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Ficino Platonic Theology Volume II Lexicon</w:t>
      </w:r>
    </w:p>
    <w:p>
      <w:pPr>
        <w:pStyle w:val="Subtitle"/>
      </w:pPr>
      <w:r>
        <w:t>A Philological and Philosophical Reading Companion</w:t>
      </w:r>
    </w:p>
    <w:p>
      <w:r>
        <w:t>October 2026</w:t>
      </w:r>
    </w:p>
    <w:p>
      <w:r>
        <w:t>Books V–VIII</w:t>
        <w:br/>
        <w:t>A companion to the supplied Diotimos bilingual edition</w:t>
      </w:r>
    </w:p>
    <w:p>
      <w:r>
        <w:br w:type="page"/>
      </w:r>
    </w:p>
    <w:p>
      <w:pPr>
        <w:pStyle w:val="Heading1"/>
      </w:pPr>
      <w:bookmarkStart w:id="1" w:name="introduction"/>
      <w:r>
        <w:rPr>
          <w:b w:val="0"/>
          <w:i w:val="0"/>
        </w:rPr>
        <w:t>Introduction</w:t>
      </w:r>
      <w:bookmarkEnd w:id="1"/>
    </w:p>
    <w:p>
      <w:pPr>
        <w:pStyle w:val="Heading2"/>
      </w:pPr>
      <w:bookmarkStart w:id="2" w:name="contents"/>
      <w:r>
        <w:rPr>
          <w:b w:val="0"/>
          <w:i w:val="0"/>
        </w:rPr>
        <w:t>Contents</w:t>
      </w:r>
      <w:bookmarkEnd w:id="2"/>
    </w:p>
    <w:p>
      <w:pPr>
        <w:widowControl/>
      </w:pPr>
      <w:hyperlink w:anchor="introduction">
        <w:r>
          <w:rPr>
            <w:color w:val="000000"/>
          </w:rPr>
          <w:t xml:space="preserve">Introduction</w:t>
        </w:r>
      </w:hyperlink>
      <w:r>
        <w:rPr>
          <w:b w:val="0"/>
          <w:i w:val="0"/>
        </w:rPr>
        <w:t xml:space="preserve"> · </w:t>
      </w:r>
      <w:hyperlink w:anchor="argument-map">
        <w:r>
          <w:rPr>
            <w:color w:val="000000"/>
          </w:rPr>
          <w:t xml:space="preserve">Argument map</w:t>
        </w:r>
      </w:hyperlink>
      <w:r>
        <w:rPr>
          <w:b w:val="0"/>
          <w:i w:val="0"/>
        </w:rPr>
        <w:t xml:space="preserve"> · </w:t>
      </w:r>
      <w:hyperlink w:anchor="close-reading-distinctions">
        <w:r>
          <w:rPr>
            <w:color w:val="000000"/>
          </w:rPr>
          <w:t xml:space="preserve">Close-reading distinctions</w:t>
        </w:r>
      </w:hyperlink>
      <w:r>
        <w:rPr>
          <w:b w:val="0"/>
          <w:i w:val="0"/>
        </w:rPr>
        <w:t xml:space="preserve"> · </w:t>
      </w:r>
      <w:hyperlink w:anchor="article-directory">
        <w:r>
          <w:rPr>
            <w:color w:val="000000"/>
          </w:rPr>
          <w:t xml:space="preserve">Article directory</w:t>
        </w:r>
      </w:hyperlink>
      <w:r>
        <w:rPr>
          <w:b w:val="0"/>
          <w:i w:val="0"/>
        </w:rPr>
        <w:t xml:space="preserve"> · </w:t>
      </w:r>
      <w:hyperlink w:anchor="latin-vocabulary-register">
        <w:r>
          <w:rPr>
            <w:color w:val="000000"/>
          </w:rPr>
          <w:t xml:space="preserve">Latin register</w:t>
        </w:r>
      </w:hyperlink>
      <w:r>
        <w:rPr>
          <w:b w:val="0"/>
          <w:i w:val="0"/>
        </w:rPr>
        <w:t xml:space="preserve"> · </w:t>
      </w:r>
      <w:hyperlink w:anchor="greek-expressions">
        <w:r>
          <w:rPr>
            <w:color w:val="000000"/>
          </w:rPr>
          <w:t xml:space="preserve">Greek expressions</w:t>
        </w:r>
      </w:hyperlink>
      <w:r>
        <w:rPr>
          <w:b w:val="0"/>
          <w:i w:val="0"/>
        </w:rPr>
        <w:t xml:space="preserve"> · </w:t>
      </w:r>
      <w:hyperlink w:anchor="original-form-lookup">
        <w:r>
          <w:rPr>
            <w:color w:val="000000"/>
          </w:rPr>
          <w:t xml:space="preserve">Original forms</w:t>
        </w:r>
      </w:hyperlink>
      <w:r>
        <w:rPr>
          <w:b w:val="0"/>
          <w:i w:val="0"/>
        </w:rPr>
        <w:t xml:space="preserve"> · </w:t>
      </w:r>
      <w:hyperlink w:anchor="passage-index">
        <w:r>
          <w:rPr>
            <w:color w:val="000000"/>
          </w:rPr>
          <w:t xml:space="preserve">Passage index</w:t>
        </w:r>
      </w:hyperlink>
      <w:r>
        <w:rPr>
          <w:b w:val="0"/>
          <w:i w:val="0"/>
        </w:rPr>
        <w:t xml:space="preserve"> · </w:t>
      </w:r>
      <w:hyperlink w:anchor="english-lookup">
        <w:r>
          <w:rPr>
            <w:color w:val="000000"/>
          </w:rPr>
          <w:t xml:space="preserve">English lookup</w:t>
        </w:r>
      </w:hyperlink>
      <w:r>
        <w:rPr>
          <w:b w:val="0"/>
          <w:i w:val="0"/>
        </w:rPr>
        <w:t xml:space="preserve"> · </w:t>
      </w:r>
      <w:hyperlink w:anchor="thematic-index">
        <w:r>
          <w:rPr>
            <w:color w:val="000000"/>
          </w:rPr>
          <w:t xml:space="preserve">Thematic index</w:t>
        </w:r>
      </w:hyperlink>
      <w:r>
        <w:rPr>
          <w:b w:val="0"/>
          <w:i w:val="0"/>
        </w:rPr>
        <w:t xml:space="preserve"> · </w:t>
      </w:r>
      <w:hyperlink w:anchor="authorities-and-cited-works">
        <w:r>
          <w:rPr>
            <w:color w:val="000000"/>
          </w:rPr>
          <w:t xml:space="preserve">Authorities and works</w:t>
        </w:r>
      </w:hyperlink>
      <w:r>
        <w:rPr>
          <w:b w:val="0"/>
          <w:i w:val="0"/>
        </w:rPr>
        <w:t xml:space="preserve"> · </w:t>
      </w:r>
      <w:hyperlink w:anchor="sources-and-editorial-notes">
        <w:r>
          <w:rPr>
            <w:color w:val="000000"/>
          </w:rPr>
          <w:t xml:space="preserve">Sources and notes</w:t>
        </w:r>
      </w:hyperlink>
    </w:p>
    <w:p>
      <w:pPr>
        <w:pStyle w:val="Heading2"/>
      </w:pPr>
      <w:bookmarkStart w:id="3" w:name="scope-and-purpose"/>
      <w:r>
        <w:rPr>
          <w:b w:val="0"/>
          <w:i w:val="0"/>
        </w:rPr>
        <w:t>Scope and purpose</w:t>
      </w:r>
      <w:bookmarkEnd w:id="3"/>
    </w:p>
    <w:p>
      <w:pPr>
        <w:widowControl/>
      </w:pPr>
      <w:r>
        <w:rPr>
          <w:b w:val="0"/>
          <w:i w:val="0"/>
        </w:rPr>
        <w:t xml:space="preserve">This lexicon accompanies Books V–VIII of Marsilio Ficino’s </w:t>
      </w:r>
      <w:r>
        <w:rPr>
          <w:b w:val="0"/>
          <w:i/>
        </w:rPr>
        <w:t>Platonic Theology on the Immortality of Souls</w:t>
      </w:r>
      <w:r>
        <w:rPr>
          <w:b w:val="0"/>
          <w:i w:val="0"/>
        </w:rPr>
        <w:t>, in the supplied Diotimos bilingual edition. It explains the Latin words, the English translation’s choices, the distinctions on which the arguments turn, and the concrete examples through which those distinctions are tested. It is a companion to this volume, not a substitute for the complete eighteen-book work or a new critical edition of its historical witnesses.</w:t>
      </w:r>
    </w:p>
    <w:p>
      <w:pPr>
        <w:widowControl/>
      </w:pPr>
      <w:r>
        <w:rPr>
          <w:b w:val="0"/>
          <w:i w:val="0"/>
        </w:rPr>
        <w:t>The preceding volume establishes the fivefold hierarchy of body, quality, soul, angelic mind and God. Volume II makes the soul’s immortality the direct object of sustained proof. Book V develops general arguments; Book VI argues from the soul’s natural powers; Book VII turns to sensation; Book VIII turns to understanding. The stages overlap, but they do not simply repeat one argument. A proof that soul is not extended like a body, an argument that a living activity needs an inward source, and a claim that rational soul cannot lose its being require different premises.</w:t>
      </w:r>
    </w:p>
    <w:p>
      <w:pPr>
        <w:widowControl/>
      </w:pPr>
      <w:r>
        <w:rPr>
          <w:b w:val="0"/>
          <w:i w:val="0"/>
        </w:rPr>
        <w:t xml:space="preserve">The vocabulary is correspondingly precise. </w:t>
      </w:r>
      <w:r>
        <w:rPr>
          <w:b w:val="0"/>
          <w:i/>
        </w:rPr>
        <w:t>Per se</w:t>
      </w:r>
      <w:r>
        <w:rPr>
          <w:b w:val="0"/>
          <w:i w:val="0"/>
        </w:rPr>
        <w:t xml:space="preserve"> can mean through a thing’s own nature without making that thing uncreated. </w:t>
      </w:r>
      <w:r>
        <w:rPr>
          <w:b w:val="0"/>
          <w:i/>
        </w:rPr>
        <w:t>Causa</w:t>
      </w:r>
      <w:r>
        <w:rPr>
          <w:b w:val="0"/>
          <w:i w:val="0"/>
        </w:rPr>
        <w:t xml:space="preserve"> can designate efficient, final, material or formal causation. </w:t>
      </w:r>
      <w:r>
        <w:rPr>
          <w:b w:val="0"/>
          <w:i/>
        </w:rPr>
        <w:t>Complexio</w:t>
      </w:r>
      <w:r>
        <w:rPr>
          <w:b w:val="0"/>
          <w:i w:val="0"/>
        </w:rPr>
        <w:t xml:space="preserve"> concerns a bodily constitution or mixture; </w:t>
      </w:r>
      <w:r>
        <w:rPr>
          <w:b w:val="0"/>
          <w:i/>
        </w:rPr>
        <w:t>harmonia</w:t>
      </w:r>
      <w:r>
        <w:rPr>
          <w:b w:val="0"/>
          <w:i w:val="0"/>
        </w:rPr>
        <w:t xml:space="preserve"> concerns arrangement or proportion. Sensation, imagination, phantasy and intellect are differentiated powers in the opening of Book VIII. The changing senses of </w:t>
      </w:r>
      <w:r>
        <w:rPr>
          <w:b w:val="0"/>
          <w:i/>
        </w:rPr>
        <w:t>forma</w:t>
      </w:r>
      <w:r>
        <w:rPr>
          <w:b w:val="0"/>
          <w:i w:val="0"/>
        </w:rPr>
        <w:t xml:space="preserve">, </w:t>
      </w:r>
      <w:r>
        <w:rPr>
          <w:b w:val="0"/>
          <w:i/>
        </w:rPr>
        <w:t>species</w:t>
      </w:r>
      <w:r>
        <w:rPr>
          <w:b w:val="0"/>
          <w:i w:val="0"/>
        </w:rPr>
        <w:t xml:space="preserve">, </w:t>
      </w:r>
      <w:r>
        <w:rPr>
          <w:b w:val="0"/>
          <w:i/>
        </w:rPr>
        <w:t>ratio</w:t>
      </w:r>
      <w:r>
        <w:rPr>
          <w:b w:val="0"/>
          <w:i w:val="0"/>
        </w:rPr>
        <w:t xml:space="preserve">, </w:t>
      </w:r>
      <w:r>
        <w:rPr>
          <w:b w:val="0"/>
          <w:i/>
        </w:rPr>
        <w:t>virtus</w:t>
      </w:r>
      <w:r>
        <w:rPr>
          <w:b w:val="0"/>
          <w:i w:val="0"/>
        </w:rPr>
        <w:t xml:space="preserve">, </w:t>
      </w:r>
      <w:r>
        <w:rPr>
          <w:b w:val="0"/>
          <w:i/>
        </w:rPr>
        <w:t>potentia</w:t>
      </w:r>
      <w:r>
        <w:rPr>
          <w:b w:val="0"/>
          <w:i w:val="0"/>
        </w:rPr>
        <w:t xml:space="preserve"> and </w:t>
      </w:r>
      <w:r>
        <w:rPr>
          <w:b w:val="0"/>
          <w:i/>
        </w:rPr>
        <w:t>actus</w:t>
      </w:r>
      <w:r>
        <w:rPr>
          <w:b w:val="0"/>
          <w:i w:val="0"/>
        </w:rPr>
        <w:t xml:space="preserve"> need local explanation, while ordinary verbs such as receiving, containing, mixing, dividing, judging and returning often carry the decisive step of a proof.</w:t>
      </w:r>
    </w:p>
    <w:p>
      <w:pPr>
        <w:widowControl/>
      </w:pPr>
      <w:r>
        <w:rPr>
          <w:b w:val="0"/>
          <w:i w:val="0"/>
        </w:rPr>
        <w:t xml:space="preserve">The extended article on the First Cause has particular prominence. The source’s </w:t>
      </w:r>
      <w:r>
        <w:t>“</w:t>
      </w:r>
      <w:r>
        <w:rPr>
          <w:b w:val="0"/>
          <w:i w:val="0"/>
        </w:rPr>
        <w:t>first cause</w:t>
      </w:r>
      <w:r>
        <w:t>”</w:t>
      </w:r>
      <w:r>
        <w:rPr>
          <w:b w:val="0"/>
          <w:i w:val="0"/>
        </w:rPr>
        <w:t xml:space="preserve"> and </w:t>
      </w:r>
      <w:r>
        <w:t>“</w:t>
      </w:r>
      <w:r>
        <w:rPr>
          <w:b w:val="0"/>
          <w:i w:val="0"/>
        </w:rPr>
        <w:t>first principle</w:t>
      </w:r>
      <w:r>
        <w:t>”</w:t>
      </w:r>
      <w:r>
        <w:rPr>
          <w:b w:val="0"/>
          <w:i w:val="0"/>
        </w:rPr>
        <w:t xml:space="preserve"> in V.10 refer to God, while the </w:t>
      </w:r>
      <w:r>
        <w:t>“</w:t>
      </w:r>
      <w:r>
        <w:rPr>
          <w:b w:val="0"/>
          <w:i w:val="0"/>
        </w:rPr>
        <w:t>principal cause</w:t>
      </w:r>
      <w:r>
        <w:t>”</w:t>
      </w:r>
      <w:r>
        <w:rPr>
          <w:b w:val="0"/>
          <w:i w:val="0"/>
        </w:rPr>
        <w:t xml:space="preserve"> in VII.8.1 concerns the chief agent of growth in contrast to an instrument. These are consistent translations of the Latin distinctions. The possible English label </w:t>
      </w:r>
      <w:r>
        <w:t>“</w:t>
      </w:r>
      <w:r>
        <w:rPr>
          <w:b w:val="0"/>
          <w:i w:val="0"/>
        </w:rPr>
        <w:t>primary cause</w:t>
      </w:r>
      <w:r>
        <w:t>”</w:t>
      </w:r>
      <w:r>
        <w:rPr>
          <w:b w:val="0"/>
          <w:i w:val="0"/>
        </w:rPr>
        <w:t xml:space="preserve"> is explained as a reader’s lookup question, not presented as an error or as a phrase printed in this volume.</w:t>
      </w:r>
    </w:p>
    <w:p>
      <w:pPr>
        <w:pStyle w:val="Heading2"/>
      </w:pPr>
      <w:bookmarkStart w:id="4" w:name="how-to-use-this-companion"/>
      <w:r>
        <w:rPr>
          <w:b w:val="0"/>
          <w:i w:val="0"/>
        </w:rPr>
        <w:t>How to use this companion</w:t>
      </w:r>
      <w:bookmarkEnd w:id="4"/>
    </w:p>
    <w:p>
      <w:pPr>
        <w:widowControl/>
      </w:pPr>
      <w:r>
        <w:rPr>
          <w:b w:val="0"/>
          <w:i w:val="0"/>
        </w:rPr>
        <w:t>The argument map follows all fifty-nine chapters in their source order. It provides the continuous route that an alphabetical lexicon cannot supply by itself. The distinctions for close reading then identify recurrent traps: independence from body is not independence from God, formal self-causation is not efficient self-creation, and a reported opinion is not necessarily a conclusion Ficino endorses.</w:t>
      </w:r>
    </w:p>
    <w:p>
      <w:pPr>
        <w:widowControl/>
      </w:pPr>
      <w:r>
        <w:rPr>
          <w:b w:val="0"/>
          <w:i w:val="0"/>
        </w:rPr>
        <w:t xml:space="preserve">Each extended article has five parts. </w:t>
      </w:r>
      <w:r>
        <w:rPr>
          <w:b/>
          <w:i w:val="0"/>
        </w:rPr>
        <w:t>The word</w:t>
      </w:r>
      <w:r>
        <w:rPr>
          <w:b w:val="0"/>
          <w:i w:val="0"/>
        </w:rPr>
        <w:t xml:space="preserve"> defines the relevant Latin lemma, family or phrase. </w:t>
      </w:r>
      <w:r>
        <w:rPr>
          <w:b/>
          <w:i w:val="0"/>
        </w:rPr>
        <w:t>In the Platonic Theology</w:t>
      </w:r>
      <w:r>
        <w:rPr>
          <w:b w:val="0"/>
          <w:i w:val="0"/>
        </w:rPr>
        <w:t xml:space="preserve"> explains its work in the actual arguments and examples. </w:t>
      </w:r>
      <w:r>
        <w:rPr>
          <w:b/>
          <w:i w:val="0"/>
        </w:rPr>
        <w:t>Places to Read</w:t>
      </w:r>
      <w:r>
        <w:rPr>
          <w:b w:val="0"/>
          <w:i w:val="0"/>
        </w:rPr>
        <w:t xml:space="preserve"> gives annotated comparison-unit references and source PDF pages. </w:t>
      </w:r>
      <w:r>
        <w:rPr>
          <w:b/>
          <w:i w:val="0"/>
        </w:rPr>
        <w:t>In this edition</w:t>
      </w:r>
      <w:r>
        <w:rPr>
          <w:b w:val="0"/>
          <w:i w:val="0"/>
        </w:rPr>
        <w:t xml:space="preserve"> addresses local translation, editorial divisions, source readings or ambiguity. </w:t>
      </w:r>
      <w:r>
        <w:rPr>
          <w:b/>
          <w:i w:val="0"/>
        </w:rPr>
        <w:t>See also</w:t>
      </w:r>
      <w:r>
        <w:rPr>
          <w:b w:val="0"/>
          <w:i w:val="0"/>
        </w:rPr>
        <w:t xml:space="preserve"> supplies routes to related explanations without identifying their concepts as interchangeable.</w:t>
      </w:r>
    </w:p>
    <w:p>
      <w:pPr>
        <w:widowControl/>
      </w:pPr>
      <w:r>
        <w:rPr>
          <w:b w:val="0"/>
          <w:i w:val="0"/>
        </w:rPr>
        <w:t>The Latin register is independently usable. Each record supplies a definition and a local explanation, not merely a redirect to an article. A dictionary headword can differ from its printed inflections; the listed attestations reproduce forms checked in the cited passages. A family or contrast record can encompass more than one lemma, so a record count is not a count of unique dictionary words. The original-form lookup returns the reader from an encountered Latin form to those explanations; the English lookup provides alternative terms and common reading questions. The passage index covers every numbered comparison unit; the thematic index offers routes through ideas that cross the alphabetical arrangement.</w:t>
      </w:r>
    </w:p>
    <w:p>
      <w:pPr>
        <w:widowControl/>
      </w:pPr>
      <w:r>
        <w:rPr>
          <w:b w:val="0"/>
          <w:i w:val="0"/>
        </w:rPr>
        <w:t>The very small amount of Greek actually printed in this volume receives its own contextual explanation. Greek equivalents are not supplied merely to decorate Latin terms. Where Ficino quotes Greek, the account distinguishes the printed expression, his accompanying Latin gloss, its argumentative role and the edition’s textual note. An attribution in Ficino is reported as an attribution, not as an independently established quotation from an ancient author.</w:t>
      </w:r>
    </w:p>
    <w:p>
      <w:pPr>
        <w:pStyle w:val="Heading2"/>
      </w:pPr>
      <w:bookmarkStart w:id="5" w:name="references-and-consulted-edition"/>
      <w:r>
        <w:rPr>
          <w:b w:val="0"/>
          <w:i w:val="0"/>
        </w:rPr>
        <w:t>References and consulted edition</w:t>
      </w:r>
      <w:bookmarkEnd w:id="5"/>
    </w:p>
    <w:p>
      <w:pPr>
        <w:widowControl/>
      </w:pPr>
      <w:r>
        <w:rPr>
          <w:b w:val="0"/>
          <w:i w:val="0"/>
        </w:rPr>
        <w:t xml:space="preserve">A reference such as </w:t>
      </w:r>
      <w:r>
        <w:rPr>
          <w:b/>
          <w:i w:val="0"/>
        </w:rPr>
        <w:t>V.13.4</w:t>
      </w:r>
      <w:r>
        <w:rPr>
          <w:b w:val="0"/>
          <w:i w:val="0"/>
        </w:rPr>
        <w:t xml:space="preserve"> identifies Book V, chapter 13, comparison unit 4 in the supplied Diotimos edition. These comparison units are editorial. A sentence, objection or inference can continue across a unit boundary, as at V.13.15–16. References must therefore be read with their immediate neighbours when the syntax or argument requires it.</w:t>
      </w:r>
    </w:p>
    <w:p>
      <w:pPr>
        <w:widowControl/>
      </w:pPr>
      <w:r>
        <w:rPr>
          <w:b w:val="0"/>
          <w:i w:val="0"/>
        </w:rPr>
        <w:t xml:space="preserve">Source page numbers refer to the supplied </w:t>
      </w:r>
      <w:r>
        <w:rPr>
          <w:b/>
          <w:i w:val="0"/>
        </w:rPr>
        <w:t>461-page PDF</w:t>
      </w:r>
      <w:r>
        <w:rPr>
          <w:b w:val="0"/>
          <w:i w:val="0"/>
        </w:rPr>
        <w:t>, in which the Latin generally appears on an even-numbered page and its facing English on the next page. They do not refer to the early printed folios or the page counts of digital witness scans. The matching supplied DOCX was used to verify the extracted text: all 297 paired comparison units agree between the two files after whitespace normalization.</w:t>
      </w:r>
    </w:p>
    <w:p>
      <w:pPr>
        <w:widowControl/>
      </w:pPr>
      <w:r>
        <w:rPr>
          <w:b w:val="0"/>
          <w:i w:val="0"/>
        </w:rPr>
        <w:t>The edition describes its Latin as a conservatively normalized text based on the Florence 1482 printing, collated against Paris 1559, with Paris 1641 as a later control. Its apparatus records corrections, variant readings, adopted construals and disclosed editorial subdivisions.</w:t>
      </w:r>
      <w:r>
        <w:footnoteReference w:id="1"/>
      </w:r>
      <w:r>
        <w:rPr>
          <w:b w:val="0"/>
          <w:i w:val="0"/>
        </w:rPr>
        <w:t xml:space="preserve"> Those are the source edition’s statements. This companion consults the supplied text and apparatus; it does not claim a fresh collation of those three historical witnesses or independent confirmation of every reported reading.</w:t>
      </w:r>
    </w:p>
    <w:p>
      <w:pPr>
        <w:pStyle w:val="Heading2"/>
      </w:pPr>
      <w:bookmarkStart w:id="6" w:name="reading-argument-and-attribution"/>
      <w:r>
        <w:rPr>
          <w:b w:val="0"/>
          <w:i w:val="0"/>
        </w:rPr>
        <w:t>Reading argument and attribution</w:t>
      </w:r>
      <w:bookmarkEnd w:id="6"/>
    </w:p>
    <w:p>
      <w:pPr>
        <w:widowControl/>
      </w:pPr>
      <w:r>
        <w:rPr>
          <w:b w:val="0"/>
          <w:i w:val="0"/>
        </w:rPr>
        <w:t>Ficino frequently asks the reader to suppose an opponent’s thesis and then follows its consequences until a contradiction appears. Such sentences should not be lifted out as his own settled doctrine. Book VI’s accounts of bodily soul and Book VII’s arguments about soul as harmony are particularly sensitive to that distinction. Nor should the rhetorical confidence of a conclusion be confused with a modern demonstration accepted independently of its premises.</w:t>
      </w:r>
    </w:p>
    <w:p>
      <w:pPr>
        <w:widowControl/>
      </w:pPr>
      <w:r>
        <w:rPr>
          <w:b w:val="0"/>
          <w:i w:val="0"/>
        </w:rPr>
        <w:t>Several qualifications shape the volume. V.13.1 explicitly prefers one group of authorities over another concerning the soul’s origin. V.14.9 distances Ficino from the soul-fall and transmigration accounts being discussed. VII.5.4 allows an account in which a low animal soul perishes while new souls arise in severed fragments; it must not be turned into the immortality of every soul. VIII.15.2 leaves Proclus’s stronger self-production claim to Proclus, and VIII.15.3 limits mind’s self-causation to the formal rather than the efficient sense. VIII.16.4 corrects the suggestion of self-owned infinity by locating its source in divine enlargement.</w:t>
      </w:r>
    </w:p>
    <w:p>
      <w:pPr>
        <w:widowControl/>
      </w:pPr>
      <w:r>
        <w:rPr>
          <w:b w:val="0"/>
          <w:i w:val="0"/>
        </w:rPr>
        <w:t>The natural, physiological and medical examples belong to the philosophy of the source. The lexicon explains what Ficino asks them to establish. It does not recommend remedies, endorse historical accounts of digestion or sensation as current science, or infer that an animal’s reported behaviour has been verified. Likewise, geometric examples and light images have a role within the argument and are not automatically literal descriptions of soul’s substance.</w:t>
      </w:r>
    </w:p>
    <w:p>
      <w:pPr>
        <w:pStyle w:val="Heading2"/>
      </w:pPr>
      <w:bookmarkStart w:id="7" w:name="coverage-and-its-limits"/>
      <w:r>
        <w:rPr>
          <w:b w:val="0"/>
          <w:i w:val="0"/>
        </w:rPr>
        <w:t>Coverage and its limits</w:t>
      </w:r>
      <w:bookmarkEnd w:id="7"/>
    </w:p>
    <w:p>
      <w:pPr>
        <w:widowControl/>
      </w:pPr>
      <w:r>
        <w:rPr>
          <w:b w:val="0"/>
          <w:i w:val="0"/>
        </w:rPr>
        <w:t>The primary reading comprises all 297 numbered units in paired Latin and English: 117 in Book V, 100 in Book VI, 25 in Book VII and 55 in Book VIII. The source’s relevant editorial apparatus and locator register were also consulted. The 59 chapters appear in the argument map, and every comparison unit has an entry in the passage index.</w:t>
      </w:r>
    </w:p>
    <w:p>
      <w:pPr>
        <w:widowControl/>
      </w:pPr>
      <w:r>
        <w:rPr>
          <w:b w:val="0"/>
          <w:i w:val="0"/>
        </w:rPr>
        <w:t>There are 150 extended five-part articles. The Latin register groups 1,458 local explanations into 1,396 lemma, family, contrast and phrase records, with 4,129 distinct printed-form strings. Its 2 Greek passage records concern expressions actually quoted in this volume. These are different, overlapping measures; they cannot be added together as a total of distinct words or ideas.</w:t>
      </w:r>
    </w:p>
    <w:p>
      <w:pPr>
        <w:widowControl/>
      </w:pPr>
      <w:r>
        <w:rPr>
          <w:b w:val="0"/>
          <w:i w:val="0"/>
        </w:rPr>
        <w:t>The vocabulary review distinguishes exact attestations, explained lexical families, routine grammar and forms not separately expanded. Similar spelling does not by itself establish a family or a shared sense. This is a substantial philosophical reading lexicon, not a complete morphological dictionary, a concordance of every repetition, or a replacement for a Latin grammar.</w:t>
      </w:r>
    </w:p>
    <w:p>
      <w:pPr>
        <w:widowControl/>
      </w:pPr>
      <w:r>
        <w:rPr>
          <w:b w:val="0"/>
          <w:i w:val="0"/>
        </w:rPr>
        <w:t>A separate source-accuracy review examined every article’s lexical and edition notes, the chapter maps, the reading-log coverage and the Greek explanations, with fuller rechecking of high-risk causal and cognitive arguments. Exact printed-form attestations were tested against each record’s own cited units. A separate completeness review compared the companion’s structure with the preceding volume and checked the preservation of objections, examples and qualifications. These checks are not a second complete Latin–English collation, a new collation of historical witnesses or an external scholarly peer review.</w:t>
      </w:r>
    </w:p>
    <w:p>
      <w:pPr>
        <w:pStyle w:val="Heading1"/>
      </w:pPr>
      <w:bookmarkStart w:id="8" w:name="argument-map"/>
      <w:r>
        <w:rPr>
          <w:b w:val="0"/>
          <w:i w:val="0"/>
        </w:rPr>
        <w:t>Argument map</w:t>
      </w:r>
      <w:bookmarkEnd w:id="8"/>
    </w:p>
    <w:p>
      <w:pPr>
        <w:pStyle w:val="Heading2"/>
      </w:pPr>
      <w:bookmarkStart w:id="9" w:name="book-v-fifteen-arguments-for-the-immortality-of-rational-soul"/>
      <w:r>
        <w:rPr>
          <w:b w:val="0"/>
          <w:i w:val="0"/>
        </w:rPr>
        <w:t>Book V: fifteen arguments for the immortality of rational soul</w:t>
      </w:r>
      <w:bookmarkEnd w:id="9"/>
    </w:p>
    <w:p>
      <w:pPr>
        <w:widowControl/>
      </w:pPr>
      <w:r>
        <w:rPr>
          <w:b w:val="0"/>
          <w:i w:val="0"/>
        </w:rPr>
        <w:t>The book takes over the hierarchy established earlier and asks how the third essence can be immortal. V.2.1 expressly restricts the word soul in the present proofs to rational souls. The arguments are cumulative: later objections repeatedly depend on earlier claims of immateriality, self-motion, formal independence and divine conservation. The comparison units are editorial anchors, not necessarily separate authorial paragraphs.</w:t>
      </w:r>
    </w:p>
    <w:p>
      <w:pPr>
        <w:pStyle w:val="Heading3"/>
      </w:pPr>
      <w:bookmarkStart w:id="10" w:name="v.1.15-pdf-811-primary-motion-and-circular-return"/>
      <w:r>
        <w:rPr>
          <w:b w:val="0"/>
          <w:i w:val="0"/>
        </w:rPr>
        <w:t>V.1.1–5, PDF 8–11: primary motion and circular return</w:t>
      </w:r>
      <w:bookmarkEnd w:id="10"/>
    </w:p>
    <w:p>
      <w:pPr>
        <w:widowControl/>
      </w:pPr>
      <w:r>
        <w:rPr>
          <w:b w:val="0"/>
          <w:i w:val="0"/>
        </w:rPr>
        <w:t>The first route starts with self-motion. Primary movement supplies inward life and outward movement, and what is its own mover cannot lose its mover by abandonment. Ficino tests the soul’s ceasing to be before motion ceases, motion ceasing before being, and simultaneous cessation; he excludes each through the necessary relation of act and subject and the absence of an inward or outward destructive source. Circular motion adds a second consideration: it gathers rather than dissipates power and renews itself. The reported Pythagorean beginning/end argument is briefly stated, then spiritual spheres and visible shadows supply a hierarchical comparison. The argument does not make soul an extended celestial body.</w:t>
      </w:r>
    </w:p>
    <w:p>
      <w:pPr>
        <w:pStyle w:val="Heading3"/>
      </w:pPr>
      <w:bookmarkStart w:id="11" w:name="v.2.1-pdf-1213-stability-of-substance"/>
      <w:r>
        <w:rPr>
          <w:b w:val="0"/>
          <w:i w:val="0"/>
        </w:rPr>
        <w:t>V.2.1, PDF 12–13: stability of substance</w:t>
      </w:r>
      <w:bookmarkEnd w:id="11"/>
    </w:p>
    <w:p>
      <w:pPr>
        <w:widowControl/>
      </w:pPr>
      <w:r>
        <w:rPr>
          <w:b w:val="0"/>
          <w:i w:val="0"/>
        </w:rPr>
        <w:t>The apparent opposite of the first route now supports the same conclusion. Soul changes in operation but remains in substance. This is also where Ficino clarifies that the present use of anima means rational soul; irrational lives are derivative images and likenesses. Motion of operation must not be mistaken for destruction or replacement of its abiding subject.</w:t>
      </w:r>
    </w:p>
    <w:p>
      <w:pPr>
        <w:pStyle w:val="Heading3"/>
      </w:pPr>
      <w:bookmarkStart w:id="12" w:name="v.3.1-pdf-1415-proximity-to-the-active-divine-levels"/>
      <w:r>
        <w:rPr>
          <w:b w:val="0"/>
          <w:i w:val="0"/>
        </w:rPr>
        <w:t>V.3.1, PDF 14–15: proximity to the active divine levels</w:t>
      </w:r>
      <w:bookmarkEnd w:id="12"/>
    </w:p>
    <w:p>
      <w:pPr>
        <w:widowControl/>
      </w:pPr>
      <w:r>
        <w:rPr>
          <w:b w:val="0"/>
          <w:i w:val="0"/>
        </w:rPr>
        <w:t>Matter and quantity are passive, God and angel active. Quality and soul occupy intermediate ranks but do not undergo equally. A bodily quality changes in both essence and activity because it inheres in the passive subject. Soul can be affected in operative capacity while remaining free from such passion in essence. Divine proximity is explanatory rank, and the conclusion does not deny every bodily influence on experience.</w:t>
      </w:r>
    </w:p>
    <w:p>
      <w:pPr>
        <w:pStyle w:val="Heading3"/>
      </w:pPr>
      <w:bookmarkStart w:id="13" w:name="v.4.110-pdf-1625-rule-over-enduring-matter"/>
      <w:r>
        <w:rPr>
          <w:b w:val="0"/>
          <w:i w:val="0"/>
        </w:rPr>
        <w:t>V.4.1–10, PDF 16–25: rule over enduring matter</w:t>
      </w:r>
      <w:bookmarkEnd w:id="13"/>
    </w:p>
    <w:p>
      <w:pPr>
        <w:widowControl/>
      </w:pPr>
      <w:r>
        <w:rPr>
          <w:b w:val="0"/>
          <w:i w:val="0"/>
        </w:rPr>
        <w:t>The chapter first establishes the persistence of the inferior term, matter, then argues a fortiori for soul that rules it. Pottery supplies the analogy of changing shapes in enduring material. Elemental transformations expose a form-neutral underlying subject; solar vapor and the limits of natural seeds deny that alteration annihilates its material or creates the replacement from nothing. Rarefaction and condensation show one matter receiving different forms.</w:t>
      </w:r>
    </w:p>
    <w:p>
      <w:pPr>
        <w:widowControl/>
      </w:pPr>
      <w:r>
        <w:rPr>
          <w:b w:val="0"/>
          <w:i w:val="0"/>
        </w:rPr>
        <w:t>The proof then excludes separate destructive routes. Matter precedes quantitative parts, has no hostile contrary of its own, and needs no deeper bodily support. Natural activity propagates perfection and returns toward good rather than aiming at absolute nothingness. Annihilating matter would make material production impossible; independent production would have no need to destroy it. Partial survival after transformation is incompatible with primary simplicity, while the proposed surviving forms would either still need matter or be produced separately from it. The conclusion distinguishes God’s unifying production, angelic ordering and soul’s moving and vivifying work. The apparatus expressly construes hanc at V.4.10 as the efficient power formed by the first-moving power; the facing English follows that reading.</w:t>
      </w:r>
    </w:p>
    <w:p>
      <w:pPr>
        <w:pStyle w:val="Heading3"/>
      </w:pPr>
      <w:bookmarkStart w:id="14" w:name="v.5.19-pdf-2631-graded-causal-independence"/>
      <w:r>
        <w:rPr>
          <w:b w:val="0"/>
          <w:i w:val="0"/>
        </w:rPr>
        <w:t>V.5.1–9, PDF 26–31: graded causal independence</w:t>
      </w:r>
      <w:bookmarkEnd w:id="14"/>
    </w:p>
    <w:p>
      <w:pPr>
        <w:widowControl/>
      </w:pPr>
      <w:r>
        <w:rPr>
          <w:b w:val="0"/>
          <w:i w:val="0"/>
        </w:rPr>
        <w:t>The four causes are illustrated by a human being. God has none; body depends on all four. Quality lacks a further formal cause because it is itself a form, but it depends on agent, end and matter. Soul must surpass quality without claiming the divine exemption from efficient or final causality; freedom from matter is the remaining distinction. Angel’s additional superiority concerns absence of material inclination, not a fictitious reduction to one cause.</w:t>
      </w:r>
    </w:p>
    <w:p>
      <w:pPr>
        <w:widowControl/>
      </w:pPr>
      <w:r>
        <w:rPr>
          <w:b w:val="0"/>
          <w:i w:val="0"/>
        </w:rPr>
        <w:t>Ficino then gives four supports for soul’s independence: the preceding causal argument, its ability to join low and high as world-bond, free circular self-motion, and rule over matter without mixture. The consequences exclude division into quantitative parts, collapse after loss of a bodily prop, elemental disturbance of essence and admission of a hostile material quality. Separated is finally qualified as separable in potency, preserving embodied relation without dependence of essence.</w:t>
      </w:r>
    </w:p>
    <w:p>
      <w:pPr>
        <w:pStyle w:val="Heading3"/>
      </w:pPr>
      <w:bookmarkStart w:id="15" w:name="v.6.1-pdf-3233-indivisibility-and-nondestructive-reception"/>
      <w:r>
        <w:rPr>
          <w:b w:val="0"/>
          <w:i w:val="0"/>
        </w:rPr>
        <w:t>V.6.1, PDF 32–33: indivisibility and nondestructive reception</w:t>
      </w:r>
      <w:bookmarkEnd w:id="15"/>
    </w:p>
    <w:p>
      <w:pPr>
        <w:widowControl/>
      </w:pPr>
      <w:r>
        <w:rPr>
          <w:b w:val="0"/>
          <w:i w:val="0"/>
        </w:rPr>
        <w:t>A divisible thing could touch an indivisible one either through a point or through a divisible part. The first makes the contacting term indivisible; the second would require division in what is touched. Ficino excludes direct and reflected bodily disturbance on that basis. He then tests corruption by indivisible forms: spiritual reception, illustrated through images in water, mirrors and cognition, perfects rather than destroys. A superior source either creates a separate form separately or infuses beneficent power. The proof denies destructive material contact, not every reception or relation.</w:t>
      </w:r>
    </w:p>
    <w:p>
      <w:pPr>
        <w:pStyle w:val="Heading3"/>
      </w:pPr>
      <w:bookmarkStart w:id="16" w:name="v.7.12-pdf-3437-essence-and-actual-being"/>
      <w:r>
        <w:rPr>
          <w:b w:val="0"/>
          <w:i w:val="0"/>
        </w:rPr>
        <w:t>V.7.1–2, PDF 34–37: essence and actual being</w:t>
      </w:r>
      <w:bookmarkEnd w:id="16"/>
    </w:p>
    <w:p>
      <w:pPr>
        <w:widowControl/>
      </w:pPr>
      <w:r>
        <w:rPr>
          <w:b w:val="0"/>
          <w:i w:val="0"/>
        </w:rPr>
        <w:t>A comet’s definition can be true without a comet now shining; actual occurrence needs a particular time and place, but the common definition cannot include those particular coordinates. Humanity versus Plato and Socrates develops the distinction. Essence considered in itself is called immortal, but that alone does not prove every instance perpetual. The maker determines some forms to bodily being, contracting them to bodily change, while others receive being in themselves. The receiving mode of separate essence supplies the additional bridge to immortal actuality.</w:t>
      </w:r>
    </w:p>
    <w:p>
      <w:pPr>
        <w:pStyle w:val="Heading3"/>
      </w:pPr>
      <w:bookmarkStart w:id="17" w:name="v.8.14-pdf-3845-form-composite-being-and-the-fashioners-law"/>
      <w:r>
        <w:rPr>
          <w:b w:val="0"/>
          <w:i w:val="0"/>
        </w:rPr>
        <w:t>V.8.1–4, PDF 38–45: form, composite being and the fashioner’s law</w:t>
      </w:r>
      <w:bookmarkEnd w:id="17"/>
    </w:p>
    <w:p>
      <w:pPr>
        <w:widowControl/>
      </w:pPr>
      <w:r>
        <w:rPr>
          <w:b w:val="0"/>
          <w:i w:val="0"/>
        </w:rPr>
        <w:t>Bronze figures and natural kinds show that proper being comes through form rather than common matter. Fire then supplies a sustained analysis. Its substantial form, provisionally named heat, exists through the common being of the composite; when cold expels it, both that fire and its dependent form cease, while matter takes another form. The fashioner’s law specifies that material mode of being.</w:t>
      </w:r>
    </w:p>
    <w:p>
      <w:pPr>
        <w:widowControl/>
      </w:pPr>
      <w:r>
        <w:rPr>
          <w:b w:val="0"/>
          <w:i w:val="0"/>
        </w:rPr>
        <w:t>Soul is instead pure form, immediately explained as form itself rather than a material subject plus another form. Self-preserving striving and spiritual reception exclude separation from its own nature. No middle term could stand closer to soul’s form than soul itself. Soul also remains under the law of self-subsistence assigned by its maker: neither itself, superior conserving causes nor lower weaker agents can remove that condition. Formal identity and efficient conservation therefore work together.</w:t>
      </w:r>
    </w:p>
    <w:p>
      <w:pPr>
        <w:pStyle w:val="Heading3"/>
      </w:pPr>
      <w:bookmarkStart w:id="18" w:name="v.9.14-pdf-4653-being-through-ones-own-nature-and-the-fire-objection"/>
      <w:r>
        <w:rPr>
          <w:b w:val="0"/>
          <w:i w:val="0"/>
        </w:rPr>
        <w:t>V.9.1–4, PDF 46–53: being through one’s own nature and the fire objection</w:t>
      </w:r>
      <w:bookmarkEnd w:id="18"/>
    </w:p>
    <w:p>
      <w:pPr>
        <w:widowControl/>
      </w:pPr>
      <w:r>
        <w:rPr>
          <w:b w:val="0"/>
          <w:i w:val="0"/>
        </w:rPr>
        <w:t>Roundness belongs to circle intrinsically but to wood through an added shape. Form likewise explains proper being; appealing to further forms without a first formal ground produces regress. The material counterexample is answered by defining per se as through one’s own nature: a material form’s own assigned nature is to inhere in matter, whereas a separate form adheres to itself.</w:t>
      </w:r>
    </w:p>
    <w:p>
      <w:pPr>
        <w:widowControl/>
      </w:pPr>
      <w:r>
        <w:rPr>
          <w:b w:val="0"/>
          <w:i w:val="0"/>
        </w:rPr>
        <w:t>The objector then observes that fire is always hot only while it exists. Ficino first attacks the repeated qualification as generating an endless chain without a root of being. He then distinguishes being from hotness: the latter is a further act dependent upon the fire’s materially conditioned being. Soul’s being is its first proper act without such a removable bodily link. The next chapter must still clarify dependence on God, which this argument has not abolished.</w:t>
      </w:r>
    </w:p>
    <w:p>
      <w:pPr>
        <w:pStyle w:val="Heading3"/>
      </w:pPr>
      <w:bookmarkStart w:id="19" w:name="v.10.13-pdf-5459-stable-relation-to-the-first-cause"/>
      <w:r>
        <w:rPr>
          <w:b w:val="0"/>
          <w:i w:val="0"/>
        </w:rPr>
        <w:t>V.10.1–3, PDF 54–59: stable relation to the First Cause</w:t>
      </w:r>
      <w:bookmarkEnd w:id="19"/>
    </w:p>
    <w:p>
      <w:pPr>
        <w:widowControl/>
      </w:pPr>
      <w:r>
        <w:rPr>
          <w:b w:val="0"/>
          <w:i w:val="0"/>
        </w:rPr>
        <w:t>Ficino explicitly allows that soul depends on God while denying that it needs bodily help. Things remain insofar as they relate to the source through formal likeness. A composite relates through form as a part; a corporeal form itself depends on a higher source like a mirror image on a face. Soul’s mobile production relates those bodily effects mutably. Soul, by contrast, relates through its own stable essence, and that relation perfects it. God constantly overflows and soul constantly draws being. The adopted variants mutabiliter and relatio are consequential to the causal contrast.</w:t>
      </w:r>
    </w:p>
    <w:p>
      <w:pPr>
        <w:pStyle w:val="Heading3"/>
      </w:pPr>
      <w:bookmarkStart w:id="20" w:name="v.11.18-pdf-6067-attempted-resolution-and-spiritual-matter"/>
      <w:r>
        <w:rPr>
          <w:b w:val="0"/>
          <w:i w:val="0"/>
        </w:rPr>
        <w:t>V.11.1–8, PDF 60–67: attempted resolution and spiritual matter</w:t>
      </w:r>
      <w:bookmarkEnd w:id="20"/>
    </w:p>
    <w:p>
      <w:pPr>
        <w:widowControl/>
      </w:pPr>
      <w:r>
        <w:rPr>
          <w:b w:val="0"/>
          <w:i w:val="0"/>
        </w:rPr>
        <w:t>Normal corruption leaves underlying potency rather than ending in nothing. Soul’s created essence can analogically stand to being as matter/potency to form/act, though it has no bodily material composition. If its essence survived a hypothetical loss of being, it would still be and therefore still live. The objector proposes a merely potential remainder, forcing a search for its location.</w:t>
      </w:r>
    </w:p>
    <w:p>
      <w:pPr>
        <w:widowControl/>
      </w:pPr>
      <w:r>
        <w:rPr>
          <w:b w:val="0"/>
          <w:i w:val="0"/>
        </w:rPr>
        <w:t>It cannot be in matter or matter’s potentiality, nor in a subordinate creative agent. God alone creates soul, but pure act cannot become the material reservoir for a withdrawn psychic act. Seal and wax instead portray return to an exemplar as restoration of identity. Essence receiving itself still needs spiritual actuality; exchanging that act like matter exchanges forms fails because a soul’s defining nature is not common indifferent matter. Ficino excludes both a change of psychic species and migration between individual minds. The concluding celestial-matter analogy is expressly reported as the view of many.</w:t>
      </w:r>
    </w:p>
    <w:p>
      <w:pPr>
        <w:pStyle w:val="Heading3"/>
      </w:pPr>
      <w:bookmarkStart w:id="21" w:name="v.12.115-pdf-6877-potency-not-to-be-creations-possibility-and-eternal-cognition"/>
      <w:r>
        <w:rPr>
          <w:b w:val="0"/>
          <w:i w:val="0"/>
        </w:rPr>
        <w:t>V.12.1–15, PDF 68–77: potency not to be, creation’s possibility and eternal cognition</w:t>
      </w:r>
      <w:bookmarkEnd w:id="21"/>
    </w:p>
    <w:p>
      <w:pPr>
        <w:widowControl/>
      </w:pPr>
      <w:r>
        <w:rPr>
          <w:b w:val="0"/>
          <w:i w:val="0"/>
        </w:rPr>
        <w:t>Corruption requires a capacity not to be, which neither being itself nor complete separate essence can receive. In bodies that capacity lies in prime matter. Relative to unformed matter, a finished work is neither necessary nor impossible, leaving two-sided possibility. Forming a lion does not erase prime matter’s indifference, so that retained capacity explains its later corruption. Soul has no such material beginning or substrate.</w:t>
      </w:r>
    </w:p>
    <w:p>
      <w:pPr>
        <w:widowControl/>
      </w:pPr>
      <w:r>
        <w:rPr>
          <w:b w:val="0"/>
          <w:i w:val="0"/>
        </w:rPr>
        <w:t>Nevertheless a made soul must have been able to be made. That prior possibility lies neither in the absent soul, any part, bodily matter nor nothing; it lies in God’s active power. Stable actuality corresponds to that source, and God’s establishing and soul’s subsisting express one sustaining act. The objection of withdrawal of influx, pictured by a disappearing mirror image, is answered by examining source and recipient: neither changes in the way required to remove the soul’s proper life.</w:t>
      </w:r>
    </w:p>
    <w:p>
      <w:pPr>
        <w:widowControl/>
      </w:pPr>
      <w:r>
        <w:rPr>
          <w:b w:val="0"/>
          <w:i w:val="0"/>
        </w:rPr>
        <w:t>The chapter closes with a positive cognitive direction. Rational nature produces separate forms without requiring instruction or practice for the capacity itself. Natural ascent to Ideas calls for natural rest in them; continual activity toward everlasting objects points toward perpetual activity within them. Attaining an Idea according to its mode supplies the final argument for eternal life. The inference concerns a mode of rational participation, not merely thinking the word eternity.</w:t>
      </w:r>
    </w:p>
    <w:p>
      <w:pPr>
        <w:pStyle w:val="Heading3"/>
      </w:pPr>
      <w:bookmarkStart w:id="22" w:name="v.13.118-pdf-7893-god-alone-creates-and-preserves-soul"/>
      <w:r>
        <w:rPr>
          <w:b w:val="0"/>
          <w:i w:val="0"/>
        </w:rPr>
        <w:t>V.13.1–18, PDF 78–93: God alone creates and preserves soul</w:t>
      </w:r>
      <w:bookmarkEnd w:id="22"/>
    </w:p>
    <w:p>
      <w:pPr>
        <w:widowControl/>
      </w:pPr>
      <w:r>
        <w:rPr>
          <w:b w:val="0"/>
          <w:i w:val="0"/>
        </w:rPr>
        <w:t>Ficino states his preference for Dionysius, Origen and Augustine over the angelic-production account attributed to Plotinus, Proclus and others. Soul’s simplicity excludes both assembly and material eduction. The causal analysis distinguishes common being, given by God, from determinate modes supplied by secondary causes through divine power. Being is prior in explanation to this or that mode; a participant cannot generate its own absolute source. Ariston/Plato illustrates the point.</w:t>
      </w:r>
    </w:p>
    <w:p>
      <w:pPr>
        <w:widowControl/>
      </w:pPr>
      <w:r>
        <w:rPr>
          <w:b w:val="0"/>
          <w:i w:val="0"/>
        </w:rPr>
        <w:t>Sculptor/stone, seed and elemental readiness then scale the power needed to actualize a capacity. Nothing has no proportion to being, so creation is assigned to unlimited power. The extended analysis of essence, being, power and operation gives a second limitation: created operative power inheres in and is bounded by a subject. Outward heating and inward cognition/will or understanding/pleasure establish operation’s distinctness from being. Such limited agency cannot create without a substrate.</w:t>
      </w:r>
    </w:p>
    <w:p>
      <w:pPr>
        <w:widowControl/>
      </w:pPr>
      <w:r>
        <w:rPr>
          <w:b w:val="0"/>
          <w:i w:val="0"/>
        </w:rPr>
        <w:t>The angel-as-instrument workaround fails because instruments require subject, movement and time, and because a finite recipient would bound the creative power. Unequal Ideas, illustrated by a painter’s human and horse, explain unequal soul and angel despite immediate divine origin. The same power preserves what it creates; a beginning is allowed while an end is denied. A concluding attributed account distinguishes Idea, proximate effect and remoter animation, including perpetual ethereal and perishable elemental recipients. The qualification concerns the derivative life, not loss of rational essence.</w:t>
      </w:r>
    </w:p>
    <w:p>
      <w:pPr>
        <w:pStyle w:val="Heading3"/>
      </w:pPr>
      <w:bookmarkStart w:id="23" w:name="v.14.19-pdf-94103-life-contraries-and-the-limits-of-lower-soul-claims"/>
      <w:r>
        <w:rPr>
          <w:b w:val="0"/>
          <w:i w:val="0"/>
        </w:rPr>
        <w:t>V.14.1–9, PDF 94–103: life, contraries and the limits of lower-soul claims</w:t>
      </w:r>
      <w:bookmarkEnd w:id="23"/>
    </w:p>
    <w:p>
      <w:pPr>
        <w:widowControl/>
      </w:pPr>
      <w:r>
        <w:rPr>
          <w:b w:val="0"/>
          <w:i w:val="0"/>
        </w:rPr>
        <w:t>The proof shifts from soul as independent essence to soul as life. A wholly living essence is contrasted with an animated recipient; perennial vivification identifies the proper function. Detailed cognition and deliberate desire cannot account for each hidden physiological process or make departure and continuance occur at will, so natural power supplies the explanation. Ficino permits both soul as life itself and soul as substance with life properly attending it, while preferring the former.</w:t>
      </w:r>
    </w:p>
    <w:p>
      <w:pPr>
        <w:widowControl/>
      </w:pPr>
      <w:r>
        <w:rPr>
          <w:b w:val="0"/>
          <w:i w:val="0"/>
        </w:rPr>
        <w:t>Contrary forms do not receive one another while remaining themselves. Fire nevertheless perishes without becoming cold, so the analogy cannot automatically identify resistance to a contrary with imperishability. The Greek line assigned to Zoroaster summarizes soul as mistress of life, but Strato or an Epicurean immediately objects that soul might disappear without receiving death. Ficino clarifies the intended denial of any death-bearing quality entering immaterial essence; matter brings opposed forms into destructive encounter, whereas separate soul lacks that common recipient.</w:t>
      </w:r>
    </w:p>
    <w:p>
      <w:pPr>
        <w:widowControl/>
      </w:pPr>
      <w:r>
        <w:rPr>
          <w:b w:val="0"/>
          <w:i w:val="0"/>
        </w:rPr>
        <w:t>The closing units distinguish rational from derivative life, list disagreement about irrational immortality, and state a five-stage image/true-being ladder. A threefold descent of souls associated with Egyptian and Pythagorean traditions is reported and explicitly set aside. The present conclusion must not be inflated into an endorsement of every soul-fall doctrine or universal plant-soul immortality.</w:t>
      </w:r>
    </w:p>
    <w:p>
      <w:pPr>
        <w:pStyle w:val="Heading3"/>
      </w:pPr>
      <w:bookmarkStart w:id="24" w:name="v.15.127-pdf-104125-lifes-persistence-augustinian-reasoning-and-preserved-identity"/>
      <w:r>
        <w:rPr>
          <w:b w:val="0"/>
          <w:i w:val="0"/>
        </w:rPr>
        <w:t>V.15.1–27, PDF 104–125: life’s persistence, Augustinian reasoning and preserved identity</w:t>
      </w:r>
      <w:bookmarkEnd w:id="24"/>
    </w:p>
    <w:p>
      <w:pPr>
        <w:widowControl/>
      </w:pPr>
      <w:r>
        <w:rPr>
          <w:b w:val="0"/>
          <w:i w:val="0"/>
        </w:rPr>
        <w:t>The opening comparison says body remains generically body through alteration and division; the superior rational life should at least remain life. Three gifts of the soul’s middle position strengthen the inference: divine images, formation and containment of bodies, and universal reconciliation. Shadows/images, head/members and bond/unbinding articulate distinct aspects, with a local probable rather than unqualified assertion.</w:t>
      </w:r>
    </w:p>
    <w:p>
      <w:pPr>
        <w:widowControl/>
      </w:pPr>
      <w:r>
        <w:rPr>
          <w:b w:val="0"/>
          <w:i w:val="0"/>
        </w:rPr>
        <w:t>Ficino then invokes Augustine. A temporally unfolding work contrasts with the mind’s simultaneous purpose, attention, memory and expectation. Form and unity explain a body’s organization better than bulk alone, and soul’s greater stability excludes changing species or becoming another mind. Death as deprivation is also tested: the departing life is true soul, whereas what it abandons is an animated recipient.</w:t>
      </w:r>
    </w:p>
    <w:p>
      <w:pPr>
        <w:widowControl/>
      </w:pPr>
      <w:r>
        <w:rPr>
          <w:b w:val="0"/>
          <w:i w:val="0"/>
        </w:rPr>
        <w:t>The temperament challenge leads through withdrawal from senses and the cognition of unchanging objects. Three relations are considered: principles in mind, mind in principles or both self-subsisting. Arithmetic, proportion and rational art support the first; teaching does not remove truth from the teacher. The remaining alternatives likewise exclude identity with bodily mixture. Improved philosophical activity and the possible divergence of bodily and mental concord supplement the analysis.</w:t>
      </w:r>
    </w:p>
    <w:p>
      <w:pPr>
        <w:widowControl/>
      </w:pPr>
      <w:r>
        <w:rPr>
          <w:b w:val="0"/>
          <w:i w:val="0"/>
        </w:rPr>
        <w:t>The final section acknowledges that nonannihilation alone does not exclude worse survival. Conversion into body would require willing or compulsion, though neither is sufficient. Desires toward body presuppose superior agency; a change abolishing desire cannot fulfill it. The coercion branches consider body, stronger mind, benevolent or malicious purpose, embodiment and divine goodness. Sleep supplies a further objection, answered by distinguishing inhibited organs from the power shown in valid dream reasoning.</w:t>
      </w:r>
    </w:p>
    <w:p>
      <w:pPr>
        <w:widowControl/>
      </w:pPr>
      <w:r>
        <w:rPr>
          <w:b w:val="0"/>
          <w:i w:val="0"/>
        </w:rPr>
        <w:t>Finally, natural rather than spatial nearness orders the transmission of form from supreme life through soul to body. Soul must remain soul for body to receive form; conversion would remove the very mediating condition it required. The argument is extended to irrational life. Higher formal power communicates without losing its own possession and does not derive strength from increased spatial bulk. The book therefore closes by defending rational identity as well as continued being.</w:t>
      </w:r>
    </w:p>
    <w:p>
      <w:pPr>
        <w:pStyle w:val="Heading2"/>
      </w:pPr>
      <w:bookmarkStart w:id="25" w:name="book-vi-the-human-soul-and-the-natural-power-proofs"/>
      <w:r>
        <w:rPr>
          <w:b w:val="0"/>
          <w:i w:val="0"/>
        </w:rPr>
        <w:t>Book VI: the human soul and the natural-power proofs</w:t>
      </w:r>
      <w:bookmarkEnd w:id="25"/>
    </w:p>
    <w:p>
      <w:pPr>
        <w:widowControl/>
      </w:pPr>
      <w:r>
        <w:rPr>
          <w:b w:val="0"/>
          <w:i w:val="0"/>
        </w:rPr>
        <w:t>All references follow the supplied Volume II comparison units. Page numbers are source-PDF pages, not pages or folios of the early witnesses. Every chapter’s Latin and facing English, and its relevant apparatus on PDF pp. 404–429, were read. Book VI contains 100 units on PDF pp. 128–229.</w:t>
      </w:r>
    </w:p>
    <w:p>
      <w:pPr>
        <w:pStyle w:val="Heading3"/>
      </w:pPr>
      <w:bookmarkStart w:id="26" w:name="vi.1-five-positions-and-an-uncompleted-classification-vi.1.16-pdf-128133"/>
      <w:r>
        <w:rPr>
          <w:b w:val="0"/>
          <w:i w:val="0"/>
        </w:rPr>
        <w:t>VI.1 — Five positions and an uncompleted classification (VI.1.1–6; PDF 128–133)</w:t>
      </w:r>
      <w:bookmarkEnd w:id="26"/>
    </w:p>
    <w:p>
      <w:pPr>
        <w:widowControl/>
      </w:pPr>
      <w:r>
        <w:rPr>
          <w:b w:val="0"/>
          <w:i w:val="0"/>
        </w:rPr>
        <w:t>The remembered gathering beneath a laurel at Regnano supplies the book’s question through Cavalcanti’s speech. He accepts the five grades and the immortal third essence but regards the placement of our own soul there as only probable. The previous common proof therefore needs arguments proper to human soul. Five exhaustive headings organize the work: an exceedingly subtle body; a quality distributed in it; a luminous qualitative point located in heart or brain; an unlocated, whole-present principle still materially dependent; and a divine indivisible principle produced through incorporeal agency alone. Each change removes a different dependence. In particular, the fourth already has whole presence and can have a producer beyond bodily constitution; the fifth must still exclude derivation from matter’s potentiality and continued material support. Ancient authorities are reported under each heading, and the contemporary dinner circle agrees on the required method. Only the closing Haec ille yields the voice to Ficino’s answer.</w:t>
      </w:r>
    </w:p>
    <w:p>
      <w:pPr>
        <w:pStyle w:val="Heading3"/>
      </w:pPr>
      <w:bookmarkStart w:id="27" w:name="vi.2-undoing-corporeal-habit-before-the-formal-proof-vi.2.127-pdf-134167"/>
      <w:r>
        <w:rPr>
          <w:b w:val="0"/>
          <w:i w:val="0"/>
        </w:rPr>
        <w:t>VI.2 — Undoing corporeal habit before the formal proof (VI.2.1–27; PDF 134–167)</w:t>
      </w:r>
      <w:bookmarkEnd w:id="27"/>
    </w:p>
    <w:p>
      <w:pPr>
        <w:widowControl/>
      </w:pPr>
      <w:r>
        <w:rPr>
          <w:b w:val="0"/>
          <w:i w:val="0"/>
        </w:rPr>
        <w:t>The first task is pedagogical: expose the habit that makes body seem the only reality. Three functions organize the diagnosis: natural power acts in body; outward and inward sense through body; understanding through itself on what is neither body nor bodily image. Natural power and the two senses become misleading teachers when their objects are taken as the whole of reality. Even mind can mistake the soul’s acquired covering for its essence. The humoral garment and mud-coated child illustrate accretion; the boy over a well and bird over its shadow illustrate mistaken self-location. Returning within consequently means amplitude rather than contraction. Number and magnitude provide a mathematical comparison, with unlimited increase and unlimited decrease assigned to different series.</w:t>
      </w:r>
    </w:p>
    <w:p>
      <w:pPr>
        <w:widowControl/>
      </w:pPr>
      <w:r>
        <w:rPr>
          <w:b w:val="0"/>
          <w:i w:val="0"/>
        </w:rPr>
        <w:t>Reason corrects six kinds of apparent sensory error. The argument then explicitly concedes that senses disclose real bodies, while denying their claim that only bodies exist; reason would likewise err if it denied bodies. A two-branch test of intellectual objects either gives those objects independent explanatory reality or establishes at least the incorporeal intellect fashioning its own structures. Blindness and the owl’s eye illustrate the difference between what is manifest in itself and what is accessible to a limited knower. Intellectual discipline separates imparted bodily life from inward soul-life, and stages an ascent through reason, pure angelic intellect and divine truth/light/joy.</w:t>
      </w:r>
    </w:p>
    <w:p>
      <w:pPr>
        <w:widowControl/>
      </w:pPr>
      <w:r>
        <w:rPr>
          <w:b w:val="0"/>
          <w:i w:val="0"/>
        </w:rPr>
        <w:t>Two educational fictions follow. Ficino’s Avicenna creates an adult without sensory experience, whose soul nevertheless has its own substance present and affirms existence. The passage defends the further incorporeality inference through the supposed truth of uncorrupted natural judgement and answers an objection about inventing an unfamiliar body. Plato’s cave supplies gradual re-education: release initially dazzles; staged reflections, objects, night and day precede direct sunlight. The relation is then mapped onto visible and intelligible worlds, while descent into body reverses the process through darkness and disorientation.</w:t>
      </w:r>
    </w:p>
    <w:p>
      <w:pPr>
        <w:widowControl/>
      </w:pPr>
      <w:r>
        <w:rPr>
          <w:b w:val="0"/>
          <w:i w:val="0"/>
        </w:rPr>
        <w:t>The final exercises move through dimensions, concentrated fire and light. Surface, line and point remove dimensions; release from position is first conceptual, then a fifth degree reaches actual substantial unity capable of higher activity. A bronze mirror’s concentrated rays illustrate intensified power, and removal of the heart’s remaining portion is imagined before life, sensation and self-reflection are added. Visible light’s harmless instantaneous penetration and the inference from splendor to unseen radiance provide a visual route. Adjacent elemental spheres, point/circumference, spark/flame, lunar halo and luminous vehicles extend the analogy. The Heraclitean Greek maxim follows Ficino’s own gloss. Crucially, VI.2.27 calls the entire chapter an excursio and praeludium: the imaginative preparations have not completed the formal classification.</w:t>
      </w:r>
    </w:p>
    <w:p>
      <w:pPr>
        <w:pStyle w:val="Heading3"/>
      </w:pPr>
      <w:bookmarkStart w:id="28" w:name="vi.3-different-proof-stages-different-burdens-vi.3.12-pdf-168169"/>
      <w:r>
        <w:rPr>
          <w:b w:val="0"/>
          <w:i w:val="0"/>
        </w:rPr>
        <w:t>VI.3 — Different proof stages, different burdens (VI.3.1–2; PDF 168–169)</w:t>
      </w:r>
      <w:bookmarkEnd w:id="28"/>
    </w:p>
    <w:p>
      <w:pPr>
        <w:widowControl/>
      </w:pPr>
      <w:r>
        <w:rPr>
          <w:b w:val="0"/>
          <w:i w:val="0"/>
        </w:rPr>
        <w:t>Ficino specifies what the coming stages must establish. Natural power principally excludes a body and partly excludes a form divided through body. Sensation will establish indivisibility and whole presence unconfined to one member. Understanding will confirm these and add the denial of origin from matter. Only then is the human soul assigned to the everlasting third essence. An invocation of divine power introduces the first stage. The programme limits the conclusions that should be attributed to each of the ten following arguments.</w:t>
      </w:r>
    </w:p>
    <w:p>
      <w:pPr>
        <w:pStyle w:val="Heading3"/>
      </w:pPr>
      <w:bookmarkStart w:id="29" w:name="vi.4-first-argument-nourishment-requires-a-life-giving-form-vi.4.16-pdf-170173"/>
      <w:r>
        <w:rPr>
          <w:b w:val="0"/>
          <w:i w:val="0"/>
        </w:rPr>
        <w:t>VI.4 — First argument: nourishment requires a life-giving form (VI.4.1–6; PDF 170–173)</w:t>
      </w:r>
      <w:bookmarkEnd w:id="29"/>
    </w:p>
    <w:p>
      <w:pPr>
        <w:widowControl/>
      </w:pPr>
      <w:r>
        <w:rPr>
          <w:b w:val="0"/>
          <w:i w:val="0"/>
        </w:rPr>
        <w:t>Flourishing organisms and plants grow, while detached logs and stones do not, though all share corporeal matter. The source of nutrition must therefore exceed that matter. The opponent proposes a specially disposed body rather than just any body. Ficino asks what makes it special: either no addition exists, and the distinction collapses, or some quality/form supplies the proper difference. The life-giving form is what he calls soul; the matter participating in its life is animatum, neither soul nor part of soul. Operations accompanying soul’s arrival and ceasing at its departure reinforce the causal conclusion. The reply establishes more than a lexical change, because it assigns the explanatory work to the determining principle.</w:t>
      </w:r>
    </w:p>
    <w:p>
      <w:pPr>
        <w:pStyle w:val="Heading3"/>
      </w:pPr>
      <w:bookmarkStart w:id="30" w:name="vi.5-second-argument-animated-and-inanimate-alternatives-vi.5.15-pdf-174177"/>
      <w:r>
        <w:rPr>
          <w:b w:val="0"/>
          <w:i w:val="0"/>
        </w:rPr>
        <w:t>VI.5 — Second argument: animated and inanimate alternatives (VI.5.1–5; PDF 174–177)</w:t>
      </w:r>
      <w:bookmarkEnd w:id="30"/>
    </w:p>
    <w:p>
      <w:pPr>
        <w:widowControl/>
      </w:pPr>
      <w:r>
        <w:rPr>
          <w:b w:val="0"/>
          <w:i w:val="0"/>
        </w:rPr>
        <w:t xml:space="preserve">An inanimate soul-body cannot animate; an animated one requires another soul. Repeating the question generates regress. Wisdom and first light distinguish a source from what receives its defining perfection. The series must terminate in what properly animates through itself. An opponent’s substitution of </w:t>
      </w:r>
      <w:r>
        <w:t>“</w:t>
      </w:r>
      <w:r>
        <w:rPr>
          <w:b w:val="0"/>
          <w:i w:val="0"/>
        </w:rPr>
        <w:t>animal</w:t>
      </w:r>
      <w:r>
        <w:t>”</w:t>
      </w:r>
      <w:r>
        <w:rPr>
          <w:b w:val="0"/>
          <w:i w:val="0"/>
        </w:rPr>
        <w:t xml:space="preserve"> for </w:t>
      </w:r>
      <w:r>
        <w:t>“</w:t>
      </w:r>
      <w:r>
        <w:rPr>
          <w:b w:val="0"/>
          <w:i w:val="0"/>
        </w:rPr>
        <w:t>animated</w:t>
      </w:r>
      <w:r>
        <w:t>”</w:t>
      </w:r>
      <w:r>
        <w:rPr>
          <w:b w:val="0"/>
          <w:i w:val="0"/>
        </w:rPr>
        <w:t xml:space="preserve"> and </w:t>
      </w:r>
      <w:r>
        <w:t>“</w:t>
      </w:r>
      <w:r>
        <w:rPr>
          <w:b w:val="0"/>
          <w:i w:val="0"/>
        </w:rPr>
        <w:t>living</w:t>
      </w:r>
      <w:r>
        <w:t>”</w:t>
      </w:r>
      <w:r>
        <w:rPr>
          <w:b w:val="0"/>
          <w:i w:val="0"/>
        </w:rPr>
        <w:t xml:space="preserve"> for </w:t>
      </w:r>
      <w:r>
        <w:t>“</w:t>
      </w:r>
      <w:r>
        <w:rPr>
          <w:b w:val="0"/>
          <w:i w:val="0"/>
        </w:rPr>
        <w:t>vivified</w:t>
      </w:r>
      <w:r>
        <w:t>”</w:t>
      </w:r>
      <w:r>
        <w:rPr>
          <w:b w:val="0"/>
          <w:i w:val="0"/>
        </w:rPr>
        <w:t xml:space="preserve"> does not solve the causal problem: body as body would make all bodies souls, while another life-giving nature is precisely what Ficino calls soul. This denies dependence on another soul in the way a body is animated, without denying an incorporeal producer.</w:t>
      </w:r>
    </w:p>
    <w:p>
      <w:pPr>
        <w:pStyle w:val="Heading3"/>
      </w:pPr>
      <w:bookmarkStart w:id="31" w:name="vi.6-third-argument-texture-cannot-explain-animation-vi.6.15-pdf-178181"/>
      <w:r>
        <w:rPr>
          <w:b w:val="0"/>
          <w:i w:val="0"/>
        </w:rPr>
        <w:t>VI.6 — Third argument: texture cannot explain animation (VI.6.1–5; PDF 178–181)</w:t>
      </w:r>
      <w:bookmarkEnd w:id="31"/>
    </w:p>
    <w:p>
      <w:pPr>
        <w:widowControl/>
      </w:pPr>
      <w:r>
        <w:rPr>
          <w:b w:val="0"/>
          <w:i w:val="0"/>
        </w:rPr>
        <w:t xml:space="preserve">Dense matter is unsuitable for pervasive animation; rarefied fire or air is more plausible but faces the same question of a further life-giving nature. Otherwise every fire would be alive. A fifth subtle body beyond the elements repeats the matter-versus-power dilemma. The immediate result is a power </w:t>
      </w:r>
      <w:r>
        <w:t>“</w:t>
      </w:r>
      <w:r>
        <w:rPr>
          <w:b w:val="0"/>
          <w:i w:val="0"/>
        </w:rPr>
        <w:t>in some manner</w:t>
      </w:r>
      <w:r>
        <w:t>”</w:t>
      </w:r>
      <w:r>
        <w:rPr>
          <w:b w:val="0"/>
          <w:i w:val="0"/>
        </w:rPr>
        <w:t xml:space="preserve"> incorporeal. Reported brief arguments then test living parts, sensible appearance, boundedness, temporal divisibility, essential rather than quantitative presence, and containing rather than being contained. The closing </w:t>
      </w:r>
      <w:r>
        <w:t>“</w:t>
      </w:r>
      <w:r>
        <w:rPr>
          <w:b w:val="0"/>
          <w:i w:val="0"/>
        </w:rPr>
        <w:t>more indivisible</w:t>
      </w:r>
      <w:r>
        <w:t>”</w:t>
      </w:r>
      <w:r>
        <w:rPr>
          <w:b w:val="0"/>
          <w:i w:val="0"/>
        </w:rPr>
        <w:t xml:space="preserve"> than a point refers to independence from geometrical position and bodily subject, not smaller spatial fractions.</w:t>
      </w:r>
    </w:p>
    <w:p>
      <w:pPr>
        <w:pStyle w:val="Heading3"/>
      </w:pPr>
      <w:bookmarkStart w:id="32" w:name="vi.7-fourth-argument-form-substance-and-the-bearer-of-opposites-vi.7.14-pdf-182185"/>
      <w:r>
        <w:rPr>
          <w:b w:val="0"/>
          <w:i w:val="0"/>
        </w:rPr>
        <w:t>VI.7 — Fourth argument: form, substance and the bearer of opposites (VI.7.1–4; PDF 182–185)</w:t>
      </w:r>
      <w:bookmarkEnd w:id="32"/>
    </w:p>
    <w:p>
      <w:pPr>
        <w:widowControl/>
      </w:pPr>
      <w:r>
        <w:rPr>
          <w:b w:val="0"/>
          <w:i w:val="0"/>
        </w:rPr>
        <w:t>The parallel analyses of an animal into matter/form and body/soul locate soul on the formal side. It gives actual life and is an inward principle of being, movement and operation. If soul were itself a matter–form body, another unifying form would be needed; its material part would not form the organism, one form would perfect two like matters, and shared matter would permit mutual transmutation of souls and bodies. The positive account is substantial rather than accidental form. Soul contains and governs, the mover does not depend for being upon the moved, and a stable subject receives opposed opinions and affects. Further arguments from resistance, reflection and knowledge of substance are named but explicitly postponed.</w:t>
      </w:r>
    </w:p>
    <w:p>
      <w:pPr>
        <w:pStyle w:val="Heading3"/>
      </w:pPr>
      <w:bookmarkStart w:id="33" w:name="vi.8-fifth-argument-a-dispersed-body-needs-an-undispersed-binder-vi.8.17-pdf-186189"/>
      <w:r>
        <w:rPr>
          <w:b w:val="0"/>
          <w:i w:val="0"/>
        </w:rPr>
        <w:t>VI.8 — Fifth argument: a dispersed body needs an undispersed binder (VI.8.1–7; PDF 186–189)</w:t>
      </w:r>
      <w:bookmarkEnd w:id="33"/>
    </w:p>
    <w:p>
      <w:pPr>
        <w:widowControl/>
      </w:pPr>
      <w:r>
        <w:rPr>
          <w:b w:val="0"/>
          <w:i w:val="0"/>
        </w:rPr>
        <w:t>Spatial distance, temporal succession and contrary qualities explain bodily dispersion. Yet bodies actually cohere. The inference is not that bodies lack all unity but that unity needs a source beyond bodily nature considered alone. An allegedly bodily binder would need another binder. Soul or its power therefore binds humours and members, holds back flux and coordinates discord. On the Platonist account a form divided with the body shares the same instability. The closing wood-and-stones question distinguishes union and growth while attached to earth from union alone after severance; corrected ab anima does not specify terrae in the reading text.</w:t>
      </w:r>
    </w:p>
    <w:p>
      <w:pPr>
        <w:pStyle w:val="Heading3"/>
      </w:pPr>
      <w:bookmarkStart w:id="34" w:name="vi.9-sixth-argument-coincidence-and-whole-essential-presence-vi.9.14-pdf-190195"/>
      <w:r>
        <w:rPr>
          <w:b w:val="0"/>
          <w:i w:val="0"/>
        </w:rPr>
        <w:t>VI.9 — Sixth argument: coincidence and whole essential presence (VI.9.1–4; PDF 190–195)</w:t>
      </w:r>
      <w:bookmarkEnd w:id="34"/>
    </w:p>
    <w:p>
      <w:pPr>
        <w:widowControl/>
      </w:pPr>
      <w:r>
        <w:rPr>
          <w:b w:val="0"/>
          <w:i w:val="0"/>
        </w:rPr>
        <w:t>Two bodies cannot entirely coincide: dimensionless parts cannot make magnitude, while divisible parts keep their own positions, leaving many little bodies in many little places. Soul nevertheless gives substantial being and operation to every member and is united without intermediary; it therefore cannot be a second occupying body. A soul confined to one organ would leave an aggregate like walls in a house. The common sinew and immanent activities illustrate the unity of an organism rather than artificial collection. A solid soul-body would break the body and itself, causing continual pain; a fluid one would fail to consolidate it and need another stable binder. Rennet, magnet and clock illustrate binding, directed movement and coordinated operation. The closing qualification distinguishes the substantial soul from its power and from the temperament of humours it regulates.</w:t>
      </w:r>
    </w:p>
    <w:p>
      <w:pPr>
        <w:pStyle w:val="Heading3"/>
      </w:pPr>
      <w:bookmarkStart w:id="35" w:name="vi.10-seventh-argument-complete-power-in-small-and-great-vi.10.1-pdf-196197"/>
      <w:r>
        <w:rPr>
          <w:b w:val="0"/>
          <w:i w:val="0"/>
        </w:rPr>
        <w:t>VI.10 — Seventh argument: complete power in small and great (VI.10.1; PDF 196–197)</w:t>
      </w:r>
      <w:bookmarkEnd w:id="35"/>
    </w:p>
    <w:p>
      <w:pPr>
        <w:widowControl/>
      </w:pPr>
      <w:r>
        <w:rPr>
          <w:b w:val="0"/>
          <w:i w:val="0"/>
        </w:rPr>
        <w:t>The claimed production of whole animals from portions of seed, particularly fish eggs, is taken to show the whole seminal power in each productive portion. Soul is then inferred to be present still more fully because this power is its instrument. Plant seeds and a tree whose life extends from root to branches and returns to root when branches dry or are cut provide a second comparison. Plotinus and Porphyry are named for the quantity-free vegetative soul. The biological premises are historical and must not be promoted into an unrestricted modern rule of reproductive division.</w:t>
      </w:r>
    </w:p>
    <w:p>
      <w:pPr>
        <w:pStyle w:val="Heading3"/>
      </w:pPr>
      <w:bookmarkStart w:id="36" w:name="vi.11-eighth-argument-life-ordered-conjunction-and-opposed-powers-vi.11.12-pdf-198201"/>
      <w:r>
        <w:rPr>
          <w:b w:val="0"/>
          <w:i w:val="0"/>
        </w:rPr>
        <w:t>VI.11 — Eighth argument: life, ordered conjunction and opposed powers (VI.11.1–2; PDF 198–201)</w:t>
      </w:r>
      <w:bookmarkEnd w:id="36"/>
    </w:p>
    <w:p>
      <w:pPr>
        <w:widowControl/>
      </w:pPr>
      <w:r>
        <w:rPr>
          <w:b w:val="0"/>
          <w:i w:val="0"/>
        </w:rPr>
        <w:t>Soul is allowed to be life or to have life as its attendant. If a soul-body consists of elements, life in all yields many souls rather than one; life in none cannot arise by mere unordered meeting; life in one makes that alone the relevant soul. If an ordered conjunction produces life, its inward orderer supplies the explanation. A single element still lives through form rather than formless matter. The second half contrasts fixed bodily qualities with soul’s ability to generate opposing effects, regulate bodily states and direct light spirits downward or heavy humours upward. Wide agency therefore exceeds a single quality’s supposed fixed range.</w:t>
      </w:r>
    </w:p>
    <w:p>
      <w:pPr>
        <w:pStyle w:val="Heading3"/>
      </w:pPr>
      <w:bookmarkStart w:id="37" w:name="vi.12-ninth-argument-primary-self-motion-exceeds-body-vi.12.120-pdf-202221"/>
      <w:r>
        <w:rPr>
          <w:b w:val="0"/>
          <w:i w:val="0"/>
        </w:rPr>
        <w:t>VI.12 — Ninth argument: primary self-motion exceeds body (VI.12.1–20; PDF 202–221)</w:t>
      </w:r>
      <w:bookmarkEnd w:id="37"/>
    </w:p>
    <w:p>
      <w:pPr>
        <w:widowControl/>
      </w:pPr>
      <w:r>
        <w:rPr>
          <w:b w:val="0"/>
          <w:i w:val="0"/>
        </w:rPr>
        <w:t>The first proof requires the primary self-mover to be source and recipient throughout itself. Self-motion in every divisible bodily part would require an actually infinite multitude of independently actual movers; such agents would also cease to be mere parts under the composite’s being. The second proof exhausts part-by-part, part-to-whole, whole-to-part and whole-to-whole possibilities. Numerical difference or dependence on a self-moving part defeats primary self-motion. An indivisible final part concedes nonbody; a divisible one renews regress. Soul is the impartible inward source, while bodies move of themselves only derivatively through participation.</w:t>
      </w:r>
    </w:p>
    <w:p>
      <w:pPr>
        <w:widowControl/>
      </w:pPr>
      <w:r>
        <w:rPr>
          <w:b w:val="0"/>
          <w:i w:val="0"/>
        </w:rPr>
        <w:t>An opponent’s integrated whole proposes emergent movement through form and reception through matter. Ficino replies that it divides the causal roots and that a quantitatively extended integrity inherits body’s problem, whereas indivisibility concedes the sought incorporeal principle. The ensuing clarification denies transitive self-action: psychic movement is natural succession, not an agent sending an action into itself as patient. A cause unfolds vital act before giving it to the effect. Platonists distinguish action in the source from passion in body and describe essential vital motion as constant while cognitive and other acts can lapse. The strong wording about noncognitive primary motion is preserved rather than silently repaired.</w:t>
      </w:r>
    </w:p>
    <w:p>
      <w:pPr>
        <w:widowControl/>
      </w:pPr>
      <w:r>
        <w:rPr>
          <w:b w:val="0"/>
          <w:i w:val="0"/>
        </w:rPr>
        <w:t>The third proof tests eight bodily motions. Self-heating requires simultaneous possession/nonpossession; the cold-water objection distinguishes virtual power from actual quality and its source. Finite self-generation yields contradictions of being and priority; self-corruption opposes natural preservation. Growth, decrease, condensation and rarefaction depend on previously excluded motions. Passage and circuit are then excluded through the contrast of internal and external termini.</w:t>
      </w:r>
    </w:p>
    <w:p>
      <w:pPr>
        <w:widowControl/>
      </w:pPr>
      <w:r>
        <w:rPr>
          <w:b w:val="0"/>
          <w:i w:val="0"/>
        </w:rPr>
        <w:t>The positive conclusion identifies two temporal psychic sequences: productive seeds arise to govern body, and cognitions/affections pass through ascent and descent via causes. These belong to soul rather than simultaneous divine/angelic knowing or inactive body. Each bodily motion receives a psychic exemplar, with recollection, forgetting, concentrated attention, distraction, causal reasoning and self-reflection distinguished. A second directional scheme maps body/sense, self/angel, God, universals/particulars, differences and causes/effects. Soul’s fountain-like role explains derivative spontaneous activity in living bodies. Self-generation and self-corruption here remain multiply qualified analogies.</w:t>
      </w:r>
    </w:p>
    <w:p>
      <w:pPr>
        <w:pStyle w:val="Heading3"/>
      </w:pPr>
      <w:bookmarkStart w:id="38" w:name="vi.13-tenth-argument-size-nourishment-and-enduring-identity-vi.13.111-pdf-222229"/>
      <w:r>
        <w:rPr>
          <w:b w:val="0"/>
          <w:i w:val="0"/>
        </w:rPr>
        <w:t>VI.13 — Tenth argument: size, nourishment and enduring identity (VI.13.1–11; PDF 222–229)</w:t>
      </w:r>
      <w:bookmarkEnd w:id="38"/>
    </w:p>
    <w:p>
      <w:pPr>
        <w:widowControl/>
      </w:pPr>
      <w:r>
        <w:rPr>
          <w:b w:val="0"/>
          <w:i w:val="0"/>
        </w:rPr>
        <w:t>A quantitatively extended soul would leave little souls in severed limbs, become mentally diminished after amputation, and become more divine with larger body-size. These are rejected consequences. Its growth would require soul-like food: lifeless food would have to borrow the life it supposedly lends, while living food contains souls assimilated and destroyed to preserve one. Flux then threatens even the original soul’s preservation. Persistent will, character, knowledge and ten-year recognition require the same preserver as the original receiver and judge. A subtle bodily soul would be especially unstable on Ficino’s physics, outlasted by flesh, sinews and bones.</w:t>
      </w:r>
    </w:p>
    <w:p>
      <w:pPr>
        <w:widowControl/>
      </w:pPr>
      <w:r>
        <w:rPr>
          <w:b w:val="0"/>
          <w:i w:val="0"/>
        </w:rPr>
        <w:t>The argument extends to bodily quality and temperament: changing humours cannot by themselves account for enduring organic unity, continuity and the order and limit of growth. The objection from persistent bodily figure is answered through numerical identity versus repeatedly produced likeness. A stable inward craftsman carries the patterns and seeds; a face over changing river waves shows why similar new reflections require a source beyond the stream. Finally, an image cannot migrate numerically to a new subject, a perishing soul cannot adequately fashion its successor’s image, and a newly born incomplete soul cannot form itself. These three exclusions complete the stable-bearer account rather than merely reiterating that memories can last.</w:t>
      </w:r>
    </w:p>
    <w:p>
      <w:pPr>
        <w:pStyle w:val="Heading2"/>
      </w:pPr>
      <w:bookmarkStart w:id="39" w:name="book-vii-sensory-unity-and-the-rejection-of-bodily-harmony"/>
      <w:r>
        <w:rPr>
          <w:b w:val="0"/>
          <w:i w:val="0"/>
        </w:rPr>
        <w:t>Book VII: sensory unity and the rejection of bodily harmony</w:t>
      </w:r>
      <w:bookmarkEnd w:id="39"/>
    </w:p>
    <w:p>
      <w:pPr>
        <w:widowControl/>
      </w:pPr>
      <w:r>
        <w:rPr>
          <w:b w:val="0"/>
          <w:i w:val="0"/>
        </w:rPr>
        <w:t>Book VII opens by recognizing that the preceding argument has already entered the inquiry through sensation. Its first six chapters develop sensory reception, comparison, whole presence and active judgement. Chapter 7 explicitly announces arguments proper to the further denial that soul is a bodily quality or a form diffused through body. Nutrition and substantial unity prepare chapters 10–15, which examine several different versions and consequences of identifying soul with harmony. These are fifteen numbered arguments, not fifteen interchangeable formulations of one assertion.</w:t>
      </w:r>
    </w:p>
    <w:p>
      <w:pPr>
        <w:pStyle w:val="Heading3"/>
      </w:pPr>
      <w:bookmarkStart w:id="40" w:name="vii.1.13-pdf-232237-receiving-retaining-and-distinguishing-images"/>
      <w:r>
        <w:rPr>
          <w:b w:val="0"/>
          <w:i w:val="0"/>
        </w:rPr>
        <w:t>VII.1.1–3, PDF 232–237 — Receiving, retaining and distinguishing images</w:t>
      </w:r>
      <w:bookmarkEnd w:id="40"/>
    </w:p>
    <w:p>
      <w:pPr>
        <w:widowControl/>
      </w:pPr>
      <w:r>
        <w:rPr>
          <w:b w:val="0"/>
          <w:i w:val="0"/>
        </w:rPr>
        <w:t>The wax-and-seal hypothesis makes bodily reception spatial: the container limits the impression’s size, and new impressions erase or confuse old ones. Eye, brain and the whole of Socrates’ body successively expose the same problem. Solid and fluid alternatives threaten learning or memory. The mirror then highlights a contrast between image-size and the large objects soul judges or conceives. A corrective passage denies that spiritual images are literal bodily deposits and gives Ficino’s positive account of light and meanings. A final dilemma contrasts transient surface images with penetrating qualities that mix without discrimination.</w:t>
      </w:r>
    </w:p>
    <w:p>
      <w:pPr>
        <w:pStyle w:val="Heading3"/>
      </w:pPr>
      <w:bookmarkStart w:id="41" w:name="vii.2.12-pdf-238241-one-power-must-compare-the-senses"/>
      <w:r>
        <w:rPr>
          <w:b w:val="0"/>
          <w:i w:val="0"/>
        </w:rPr>
        <w:t>VII.2.1–2, PDF 238–241 — One power must compare the senses</w:t>
      </w:r>
      <w:bookmarkEnd w:id="41"/>
    </w:p>
    <w:p>
      <w:pPr>
        <w:widowControl/>
      </w:pPr>
      <w:r>
        <w:rPr>
          <w:b w:val="0"/>
          <w:i w:val="0"/>
        </w:rPr>
        <w:t>Each external sense knows one kind of object; comparison of color and voice requires one inward power knowing both. Two proposed powers are either redundant or mutually unable to compare. A point-and-line model restates the dilemma through endpoints a and b. The indivisible comparing power then supports a conclusion about the soul’s substance, which cannot be inferior to its own power.</w:t>
      </w:r>
    </w:p>
    <w:p>
      <w:pPr>
        <w:pStyle w:val="Heading3"/>
      </w:pPr>
      <w:bookmarkStart w:id="42" w:name="vii.3.1-pdf-242243-acuity-and-sufficient-power-are-not-bodily-bulk"/>
      <w:r>
        <w:rPr>
          <w:b w:val="0"/>
          <w:i w:val="0"/>
        </w:rPr>
        <w:t>VII.3.1, PDF 242–243 — Acuity and sufficient power are not bodily bulk</w:t>
      </w:r>
      <w:bookmarkEnd w:id="42"/>
    </w:p>
    <w:p>
      <w:pPr>
        <w:widowControl/>
      </w:pPr>
      <w:r>
        <w:rPr>
          <w:b w:val="0"/>
          <w:i w:val="0"/>
        </w:rPr>
        <w:t>The tiny pupil and eagle’s sight begin an ascent from external vision to common sense, soul’s substance and eventually reason. The ordered animal examples reject both a necessary benefit and a necessary disadvantage from larger size. The argument concerns the inadequacy of quantity as explanation; it does not claim that every smaller creature is cognitively superior.</w:t>
      </w:r>
    </w:p>
    <w:p>
      <w:pPr>
        <w:pStyle w:val="Heading3"/>
      </w:pPr>
      <w:bookmarkStart w:id="43" w:name="vii.4.12-pdf-244247-one-comprehension-cannot-be-assembled-from-isolated-sensory-pieces"/>
      <w:r>
        <w:rPr>
          <w:b w:val="0"/>
          <w:i w:val="0"/>
        </w:rPr>
        <w:t>VII.4.1–2, PDF 244–247 — One comprehension cannot be assembled from isolated sensory pieces</w:t>
      </w:r>
      <w:bookmarkEnd w:id="43"/>
    </w:p>
    <w:p>
      <w:pPr>
        <w:widowControl/>
      </w:pPr>
      <w:r>
        <w:rPr>
          <w:b w:val="0"/>
          <w:i w:val="0"/>
        </w:rPr>
        <w:t>A distributed inward sight gives each part only part of an object. Appealing to a common form either repeats the division or concedes an indivisible knower. Finite minima and mathematical infinite division are tested in turn. Proposed escapes through a sensing whole of nonsensing parts or a common whole vision fail to supply the required unity. The contrast between gradual aggregation and immediate sensation, and the possibility of a higher unifying sentient source, lead to indivisible sense and its source, soul.</w:t>
      </w:r>
    </w:p>
    <w:p>
      <w:pPr>
        <w:pStyle w:val="Heading3"/>
      </w:pPr>
      <w:bookmarkStart w:id="44" w:name="vii.5.13-pdf-248253-whole-awareness-of-localized-affection"/>
      <w:r>
        <w:rPr>
          <w:b w:val="0"/>
          <w:i w:val="0"/>
        </w:rPr>
        <w:t>VII.5.1–3, PDF 248–253 — Whole awareness of localized affection</w:t>
      </w:r>
      <w:bookmarkEnd w:id="44"/>
    </w:p>
    <w:p>
      <w:pPr>
        <w:widowControl/>
      </w:pPr>
      <w:r>
        <w:rPr>
          <w:b w:val="0"/>
          <w:i w:val="0"/>
        </w:rPr>
        <w:t>An injured foot elicits coordinated eye, hand and mouth movements. Whiteness provides a contrasting distributed quality: a local stain need not alter the rest. Augustine’s vital-intensity account states whole presence without local diffusion. An objection divides soul into successive reporting stations up to the brain. Ficino replies that each station would know only its own affection, producing countless delayed pains and no adequate localization of the original injury. The positive conclusion is whole immediate awareness and command.</w:t>
      </w:r>
    </w:p>
    <w:p>
      <w:pPr>
        <w:pStyle w:val="Heading3"/>
      </w:pPr>
      <w:bookmarkStart w:id="45" w:name="vii.5.4-pdf-254255-the-severed-animal-objection-qualifies-indivisibility"/>
      <w:r>
        <w:rPr>
          <w:b w:val="0"/>
          <w:i w:val="0"/>
        </w:rPr>
        <w:t>VII.5.4, PDF 254–255 — The severed-animal objection qualifies indivisibility</w:t>
      </w:r>
      <w:bookmarkEnd w:id="45"/>
    </w:p>
    <w:p>
      <w:pPr>
        <w:widowControl/>
      </w:pPr>
      <w:r>
        <w:rPr>
          <w:b w:val="0"/>
          <w:i w:val="0"/>
        </w:rPr>
        <w:t>Moving fragments seem to divide one soul. Ficino’s Platonist reply makes the former low animal soul perish and new souls arise from world-life in suitable fragments. Few-power souls need few organs; more perfect souls do not inhabit detached members. Cutting-points, broken-mirror images and the segmented name Lucifer illustrate replacement rather than division of an indivisible entity. The passage therefore does not support a blanket equation of indivisibility with immortality.</w:t>
      </w:r>
    </w:p>
    <w:p>
      <w:pPr>
        <w:pStyle w:val="Heading3"/>
      </w:pPr>
      <w:bookmarkStart w:id="46" w:name="vii.6.13-pdf-256261-bodily-injury-and-active-sensation"/>
      <w:r>
        <w:rPr>
          <w:b w:val="0"/>
          <w:i w:val="0"/>
        </w:rPr>
        <w:t>VII.6.1–3, PDF 256–261 — Bodily injury and active sensation</w:t>
      </w:r>
      <w:bookmarkEnd w:id="46"/>
    </w:p>
    <w:p>
      <w:pPr>
        <w:widowControl/>
      </w:pPr>
      <w:r>
        <w:rPr>
          <w:b w:val="0"/>
          <w:i w:val="0"/>
        </w:rPr>
        <w:t>Fine luminous bodily spirit mediates soul and gross body. The physician’s cut distinguishes affection in flesh, torment in spirit, sensing in touch and shared distress in imagination. Substance–power–operation reasoning, localization and the regress of passive judgements independently oppose transferring the same lesion into soul. The argument ends with an unmodified judge and an active account attributed to Augustine and Plotinus: soul animates the instrument already, acts more attentively when stimulated, and knows this activity. Capacity, exercise and awareness remain distinct.</w:t>
      </w:r>
    </w:p>
    <w:p>
      <w:pPr>
        <w:pStyle w:val="Heading3"/>
      </w:pPr>
      <w:bookmarkStart w:id="47" w:name="vii.7.1-pdf-262263-why-soul-is-no-bodily-quality"/>
      <w:r>
        <w:rPr>
          <w:b w:val="0"/>
          <w:i w:val="0"/>
        </w:rPr>
        <w:t>VII.7.1, PDF 262–263 — Why soul is no bodily quality</w:t>
      </w:r>
      <w:bookmarkEnd w:id="47"/>
    </w:p>
    <w:p>
      <w:pPr>
        <w:widowControl/>
      </w:pPr>
      <w:r>
        <w:rPr>
          <w:b w:val="0"/>
          <w:i w:val="0"/>
        </w:rPr>
        <w:t>Ficino explicitly turns to arguments proper against a diffused form. A simple quality has one characteristic effect; soul has many and contrary effects. A constitution still has a dominant quality and its corresponding motion; soul is not bound to one such operation. Simple quality, constitution and a form dependent on them are separate candidates.</w:t>
      </w:r>
    </w:p>
    <w:p>
      <w:pPr>
        <w:pStyle w:val="Heading3"/>
      </w:pPr>
      <w:bookmarkStart w:id="48" w:name="vii.8.1-pdf-264265-nutrition-and-growth-distinguish-principal-agency-from-instrument"/>
      <w:r>
        <w:rPr>
          <w:b w:val="0"/>
          <w:i w:val="0"/>
        </w:rPr>
        <w:t>VII.8.1, PDF 264–265 — Nutrition and growth distinguish principal agency from instrument</w:t>
      </w:r>
      <w:bookmarkEnd w:id="48"/>
    </w:p>
    <w:p>
      <w:pPr>
        <w:widowControl/>
      </w:pPr>
      <w:r>
        <w:rPr>
          <w:b w:val="0"/>
          <w:i w:val="0"/>
        </w:rPr>
        <w:t>Heat penetrates and dissolves, but soul uses it to produce living flesh and determinate organic shape. Growth reaches a definite magnitude and figure, whereas heat supplied with material has no such intrinsic prescription. Heat is therefore an instrument, not growth’s principal craftsman. Soul is excluded from being an accidental form, an aggregate of accidental forms, and an elemental or mixed substantial form directed toward one terminus. Principal agency is local to this organic work and is not the absolute First Cause.</w:t>
      </w:r>
    </w:p>
    <w:p>
      <w:pPr>
        <w:pStyle w:val="Heading3"/>
      </w:pPr>
      <w:bookmarkStart w:id="49" w:name="vii.9.12-pdf-266269-constitution-is-accidental-soul-is-substantial"/>
      <w:r>
        <w:rPr>
          <w:b w:val="0"/>
          <w:i w:val="0"/>
        </w:rPr>
        <w:t>VII.9.1–2, PDF 266–269 — Constitution is accidental; soul is substantial</w:t>
      </w:r>
      <w:bookmarkEnd w:id="49"/>
    </w:p>
    <w:p>
      <w:pPr>
        <w:widowControl/>
      </w:pPr>
      <w:r>
        <w:rPr>
          <w:b w:val="0"/>
          <w:i w:val="0"/>
        </w:rPr>
        <w:t>The constitution’s middle position among contrary qualities, dependence on their material subject, exposure to a disruptive excess and capacity for more and less distinguish it from substance. The first unit concludes conditionally that a substantial soul cannot be constitution. The second proves soul’s substantial status through determinate living kinds and bodily fabrication, preservation and repair. A separate nutritive maker followed by a sensitive soul is rejected; sorrow and joy’s effects on nutrition illustrate one soul with both offices.</w:t>
      </w:r>
    </w:p>
    <w:p>
      <w:pPr>
        <w:pStyle w:val="Heading3"/>
      </w:pPr>
      <w:bookmarkStart w:id="50" w:name="vii.10.1-pdf-270271-harmony-cannot-govern-its-own-strings"/>
      <w:r>
        <w:rPr>
          <w:b w:val="0"/>
          <w:i w:val="0"/>
        </w:rPr>
        <w:t>VII.10.1, PDF 270–271 — Harmony cannot govern its own strings</w:t>
      </w:r>
      <w:bookmarkEnd w:id="50"/>
    </w:p>
    <w:p>
      <w:pPr>
        <w:widowControl/>
      </w:pPr>
      <w:r>
        <w:rPr>
          <w:b w:val="0"/>
          <w:i w:val="0"/>
        </w:rPr>
        <w:t>Ficino rejects the harmony view attributed to Aristoxenus and other musicians. Harmony depends on strings moved from elsewhere; it does not move or govern them. A soul similarly dependent on humors would not explain organized form, resistance to bodily affect, self-reflection, orientation to incorporeal objects or independent action.</w:t>
      </w:r>
    </w:p>
    <w:p>
      <w:pPr>
        <w:pStyle w:val="Heading3"/>
      </w:pPr>
      <w:bookmarkStart w:id="51" w:name="vii.11.1-pdf-272273-a-specially-vital-harmony-still-needs-its-producer"/>
      <w:r>
        <w:rPr>
          <w:b w:val="0"/>
          <w:i w:val="0"/>
        </w:rPr>
        <w:t>VII.11.1, PDF 272–273 — A specially vital harmony still needs its producer</w:t>
      </w:r>
      <w:bookmarkEnd w:id="51"/>
    </w:p>
    <w:p>
      <w:pPr>
        <w:widowControl/>
      </w:pPr>
      <w:r>
        <w:rPr>
          <w:b w:val="0"/>
          <w:i w:val="0"/>
        </w:rPr>
        <w:t>Harmony as such occurs in any composite and cannot by itself explain life. The qualified proposal of a definite, properly tempered concord introduces a determination absent from concord in general. A source beyond bare concord is required; an external source alone does not explain constant natural inward tempering. A superior internal power produces vital harmony. Harmony remains an effect, while its identity with the life-giving producer is denied.</w:t>
      </w:r>
    </w:p>
    <w:p>
      <w:pPr>
        <w:pStyle w:val="Heading3"/>
      </w:pPr>
      <w:bookmarkStart w:id="52" w:name="vii.12.1-pdf-274275-neither-composition-nor-proportion-is-the-one-soul"/>
      <w:r>
        <w:rPr>
          <w:b w:val="0"/>
          <w:i w:val="0"/>
        </w:rPr>
        <w:t>VII.12.1, PDF 274–275 — Neither composition nor proportion is the one soul</w:t>
      </w:r>
      <w:bookmarkEnd w:id="52"/>
    </w:p>
    <w:p>
      <w:pPr>
        <w:widowControl/>
      </w:pPr>
      <w:r>
        <w:rPr>
          <w:b w:val="0"/>
          <w:i w:val="0"/>
        </w:rPr>
        <w:t>The first proposed sense, composition itself, fails to explain the soul’s powers and the one source uniting the many members. The inward-glue image distinguishes unifier from resulting union. The second sense, proportional composition, would give bone, nerve and flesh different souls. Proportion legitimately explains bodily health, strength and, qualifiedly, beauty, but not yet sensing and understanding. The Aristotle–Hippocrates comparison keeps these explanatory competencies distinct.</w:t>
      </w:r>
    </w:p>
    <w:p>
      <w:pPr>
        <w:pStyle w:val="Heading3"/>
      </w:pPr>
      <w:bookmarkStart w:id="53" w:name="vii.13.1-pdf-276277-material-causes-cannot-produce-freer-powers"/>
      <w:r>
        <w:rPr>
          <w:b w:val="0"/>
          <w:i w:val="0"/>
        </w:rPr>
        <w:t>VII.13.1, PDF 276–277 — Material causes cannot produce freer powers</w:t>
      </w:r>
      <w:bookmarkEnd w:id="53"/>
    </w:p>
    <w:p>
      <w:pPr>
        <w:widowControl/>
      </w:pPr>
      <w:r>
        <w:rPr>
          <w:b w:val="0"/>
          <w:i w:val="0"/>
        </w:rPr>
        <w:t>A producer must be superior and freer from matter than its effect. Nutrition, sensation and understanding show increasing freedom, the last reserved for fuller demonstration. Seeing a wall’s color without its matter illustrates sensation. Humoral mixtures would instead receive material fire or earth through elemental qualities; if that sufficed for sensing, earth and stone would perceive. This rejected consequence completes the causal objection.</w:t>
      </w:r>
    </w:p>
    <w:p>
      <w:pPr>
        <w:pStyle w:val="Heading3"/>
      </w:pPr>
      <w:bookmarkStart w:id="54" w:name="vii.14.1-pdf-278279-more-moral-concord-does-not-mean-more-soul"/>
      <w:r>
        <w:rPr>
          <w:b w:val="0"/>
          <w:i w:val="0"/>
        </w:rPr>
        <w:t>VII.14.1, PDF 278–279 — More moral concord does not mean more soul</w:t>
      </w:r>
      <w:bookmarkEnd w:id="54"/>
    </w:p>
    <w:p>
      <w:pPr>
        <w:widowControl/>
      </w:pPr>
      <w:r>
        <w:rPr>
          <w:b w:val="0"/>
          <w:i w:val="0"/>
        </w:rPr>
        <w:t>Degrees of musical concord, transferred to soul, imply that the good person has more soul and more life than the robber. The ensuing catalogue would give the just person superior digestion, reproduction, bodily movement, ingenuity, memory, eloquence, boldness and duration of breathing. These are consequences of the rejected thesis, not promises that virtue guarantees physiological advantage.</w:t>
      </w:r>
    </w:p>
    <w:p>
      <w:pPr>
        <w:pStyle w:val="Heading3"/>
      </w:pPr>
      <w:bookmarkStart w:id="55" w:name="vii.15.1-pdf-280281-soul-remains-amid-discord"/>
      <w:r>
        <w:rPr>
          <w:b w:val="0"/>
          <w:i w:val="0"/>
        </w:rPr>
        <w:t>VII.15.1, PDF 280–281 — Soul remains amid discord</w:t>
      </w:r>
      <w:bookmarkEnd w:id="55"/>
    </w:p>
    <w:p>
      <w:pPr>
        <w:widowControl/>
      </w:pPr>
      <w:r>
        <w:rPr>
          <w:b w:val="0"/>
          <w:i w:val="0"/>
        </w:rPr>
        <w:t>Strict harmony cannot remain harmony while dissonant, but soul persists amid opposed opinions and affections. The objection that humoral discord nevertheless destroys soul is answered through the supposed greater inwardness of psychic discord. The conclusion concerns soul’s identity and life, not the body’s immunity to disorder. The book closes by rejecting identity with harmony without denying the positive role of concord in the living body.</w:t>
      </w:r>
    </w:p>
    <w:p>
      <w:pPr>
        <w:pStyle w:val="Heading2"/>
      </w:pPr>
      <w:bookmarkStart w:id="56" w:name="book-viii-argument-map"/>
      <w:r>
        <w:rPr>
          <w:b w:val="0"/>
          <w:i w:val="0"/>
        </w:rPr>
        <w:t>Book VIII: argument map</w:t>
      </w:r>
      <w:bookmarkEnd w:id="56"/>
    </w:p>
    <w:p>
      <w:pPr>
        <w:widowControl/>
      </w:pPr>
      <w:r>
        <w:rPr>
          <w:b w:val="0"/>
          <w:i w:val="0"/>
        </w:rPr>
        <w:t>Book VIII begins the third major route to the soul’s immortality, through understanding. Its sixteen chapters examine the objects, forms, unity, activity and range of mind. The arguments do not all have the same premise or force. They repeatedly distinguish what mind knows from the manner in which it knows, then infer properties of the knowing subject. References below are the supplied comparison units and PDF pages, not new divisions attributed to Ficino.</w:t>
      </w:r>
    </w:p>
    <w:p>
      <w:pPr>
        <w:pStyle w:val="Heading3"/>
      </w:pPr>
      <w:bookmarkStart w:id="57" w:name="viii.1-from-sense-to-universal-knowledge-viii.1.15-pdf-284293"/>
      <w:r>
        <w:rPr>
          <w:b w:val="0"/>
          <w:i w:val="0"/>
        </w:rPr>
        <w:t>VIII.1 — From sense to universal knowledge (VIII.1.1–5; PDF 284–293)</w:t>
      </w:r>
      <w:bookmarkEnd w:id="57"/>
    </w:p>
    <w:p>
      <w:pPr>
        <w:widowControl/>
      </w:pPr>
      <w:r>
        <w:rPr>
          <w:b w:val="0"/>
          <w:i w:val="0"/>
        </w:rPr>
        <w:t>The account of cognition is a preliminary to the proofs. Socrates sees Plato through sensation, retains and collects his sensible features through imagination, and recognizes him as this good and beautiful friend and pupil through phantasy. These are distinct operations. Phantasy conjectures substance but does not know its rational account or recognize the incorporeality of its intentions. It retains singular place, time and position. Intellect, operating alongside it, apprehends common humanity, beauty and goodness. From the common nature in many instances Ficino argues toward a self-subsisting divine Idea, excluding chance, matter and the individual persons as sufficient causes. Stable, mutually coordinated species point toward exemplars in an immutable world-moving mind. He then corrects a possible misunderstanding: this discursive proof is not required for every immediate intellectual apprehension. A further correction affirms intellect’s knowledge of particulars by a secondary reflexive return to the prompting image. The final comparison with nutrition and sensation introduces the distinctively intellectual proof of incorporeal origin and immortal life.</w:t>
      </w:r>
    </w:p>
    <w:p>
      <w:pPr>
        <w:pStyle w:val="Heading3"/>
      </w:pPr>
      <w:bookmarkStart w:id="58" w:name="viii.2-truth-as-nourishment-viii.2.18-pdf-294305"/>
      <w:r>
        <w:rPr>
          <w:b w:val="0"/>
          <w:i w:val="0"/>
        </w:rPr>
        <w:t>VIII.2 — Truth as nourishment (VIII.2.1–8; PDF 294–305)</w:t>
      </w:r>
      <w:bookmarkEnd w:id="58"/>
    </w:p>
    <w:p>
      <w:pPr>
        <w:widowControl/>
      </w:pPr>
      <w:r>
        <w:rPr>
          <w:b w:val="0"/>
          <w:i w:val="0"/>
        </w:rPr>
        <w:t>Food must be akin to what assimilates it. A soul fed as a subtle body would become wiser and more virtuous through eating, weight gain and bodily maturation; the text rejects these consequences. The brief no-food alternative is followed by spiritual nourishment as the positive account. Against the reported Epicurean growth argument, Ficino distinguishes art from its changing instruments, bodily proportion from bulk, and mental exercise from bodily increase. The Magian description of virtue as equality is illustrated by an angular line made circular and a lyre tuned without growing larger. The objection from bodily well-being is partly conceded: moderation helps because the soul is less occupied with bodily care. Children, artisans and the costs willingly borne in inquiry identify truth as its own food. Truth is then shown incorporeal through divine and numerical objects, mathematical exactness, unextended accounts of quantity and immutable principles. Immortal nourishment, pure delight and the naturalness of separation support immortality. An expressly attributed Olympiodoran confirmation connects genuinely good natural desire with possible attainment. These are distinct steps, not a single decorative food metaphor.</w:t>
      </w:r>
    </w:p>
    <w:p>
      <w:pPr>
        <w:pStyle w:val="Heading3"/>
      </w:pPr>
      <w:bookmarkStart w:id="59" w:name="viii.3-indivisible-virtues-and-their-subject-viii.3.18-pdf-306315"/>
      <w:r>
        <w:rPr>
          <w:b w:val="0"/>
          <w:i w:val="0"/>
        </w:rPr>
        <w:t>VIII.3 — Indivisible virtues and their subject (VIII.3.1–8; PDF 306–315)</w:t>
      </w:r>
      <w:bookmarkEnd w:id="59"/>
    </w:p>
    <w:p>
      <w:pPr>
        <w:widowControl/>
      </w:pPr>
      <w:r>
        <w:rPr>
          <w:b w:val="0"/>
          <w:i w:val="0"/>
        </w:rPr>
        <w:t>A bodily quality either touches a divisible region and shares its division or belongs only to an indivisible point rather than the body. Virtue is then established as a quality of soul, which can persist without it. Ficino distinguishes intellectual and moral virtues and gives their local objects and definitions. Their perfection is not bodily size. The hare hunt, struck spark, repeated breath, mirror and prepared wool distinguish lengthy preparation from sudden realized clarity and rational ardour. Parallel reductios challenge a partition of completed knowing or willing into simultaneously present and absent parts. Indivisible origin and end support indivisible virtue. Several sciences or virtues can coexist without collision; the argument then strengthens this to mutual implication through connected propositions and interdependent virtues. The chapter concludes that soul has no bodily magnitude and is not merely the subject but the productive principle of these nonbodily qualities. Contemplative virtue flees mortal things; moral virtue drives them away.</w:t>
      </w:r>
    </w:p>
    <w:p>
      <w:pPr>
        <w:pStyle w:val="Heading3"/>
      </w:pPr>
      <w:bookmarkStart w:id="60" w:name="viii.4-no-bodily-location-or-partition-for-intellectual-form-viii.4.113-pdf-316337"/>
      <w:r>
        <w:rPr>
          <w:b w:val="0"/>
          <w:i w:val="0"/>
        </w:rPr>
        <w:t>VIII.4 — No bodily location or partition for intellectual form (VIII.4.1–13; PDF 316–337)</w:t>
      </w:r>
      <w:bookmarkEnd w:id="60"/>
    </w:p>
    <w:p>
      <w:pPr>
        <w:widowControl/>
      </w:pPr>
      <w:r>
        <w:rPr>
          <w:b w:val="0"/>
          <w:i w:val="0"/>
        </w:rPr>
        <w:t>The chapter introduces the universal form through which intellect defines a human as a rational animal. A bodily intellect would locate its form at a point or across extension. A point is only a limit, not a self-subsisting subject. Detaching it introduces a regress of further boundary points; the three-point demonstration denies that juxtaposed indivisibles produce length. Potential points are not sufficiently distinguished to select a receiver and would yield infinitely many simultaneous actual forms or acts. Extension fares no better: homogeneous parts duplicate the whole or yield mere quantity; unlike parts, modelled on genus and difference, become endlessly divided and destroy a bounded definition. The reported Epicurean right-and-left arrangement cannot explain one mind’s unified knowledge. Chance mixture fails; an active mental union must correspond to the nature of the thing. Literal subdivision becomes mangling, not analysis. Unspecified parts and numerical component-sciences are separately tested.</w:t>
      </w:r>
    </w:p>
    <w:p>
      <w:pPr>
        <w:widowControl/>
      </w:pPr>
      <w:r>
        <w:rPr>
          <w:b w:val="0"/>
          <w:i w:val="0"/>
        </w:rPr>
        <w:t>Ficino then distinguishes intelligible essences from intellectual representing forms and exhausts the alternatives for their supposed parts’ reference: none, some or all, and then the same or different reference. Knowledge of composites is addressed by the aspectual simplicity of humanity and ten. Seven, eight and six show fixed species, while words and discursive preparation need not be parts of the resulting simple act. Analysis reaches first concepts, unity and other irreducibles. The conclusion distinguishes wholly simple objects from indivisible aspects of composites, then passes from simple acts and forms to their subject and from simplicity to indissoluble life. Life’s priority to intelligence supplies the last inferential relation. The difficult compressed Latin in VIII.4.10 is retained rather than repaired.</w:t>
      </w:r>
    </w:p>
    <w:p>
      <w:pPr>
        <w:pStyle w:val="Heading3"/>
      </w:pPr>
      <w:bookmarkStart w:id="61" w:name="viii.5-knowing-is-not-physical-traversal-viii.5.12-pdf-338341"/>
      <w:r>
        <w:rPr>
          <w:b w:val="0"/>
          <w:i w:val="0"/>
        </w:rPr>
        <w:t>VIII.5 — Knowing is not physical traversal (VIII.5.1–2; PDF 338–341)</w:t>
      </w:r>
      <w:bookmarkEnd w:id="61"/>
    </w:p>
    <w:p>
      <w:pPr>
        <w:widowControl/>
      </w:pPr>
      <w:r>
        <w:rPr>
          <w:b w:val="0"/>
          <w:i w:val="0"/>
        </w:rPr>
        <w:t>A bodily mind would have to contact an object by point, extension or both. Points cannot by themselves apprehend magnitude, and extension reaches only extended things. Their combination would require endless component-to-component traversal and multiplied apprehensions. The excessive infinitude belongs to the reductio, not Ficino’s positive account of mind. A Plotinian reply identifies the indivisible sufficient knower alone as mind and sets the nonknowing remainder aside. Points without length, lines without breadth, surfaces without depth, numbers without position and beauty without deformity exemplify abstraction. Mind actively restores pure accounts from admixture, rather than merely receiving objects already purified.</w:t>
      </w:r>
    </w:p>
    <w:p>
      <w:pPr>
        <w:pStyle w:val="Heading3"/>
      </w:pPr>
      <w:bookmarkStart w:id="62" w:name="viii.6-whole-knowledge-and-equality-viii.6.1-pdf-342343"/>
      <w:r>
        <w:rPr>
          <w:b w:val="0"/>
          <w:i w:val="0"/>
        </w:rPr>
        <w:t>VIII.6 — Whole knowledge and equality (VIII.6.1; PDF 342–343)</w:t>
      </w:r>
      <w:bookmarkEnd w:id="62"/>
    </w:p>
    <w:p>
      <w:pPr>
        <w:widowControl/>
      </w:pPr>
      <w:r>
        <w:rPr>
          <w:b w:val="0"/>
          <w:i w:val="0"/>
        </w:rPr>
        <w:t>Bodily containment follows quantitative correspondence, but the same whole mind knows a whole body and each limb. Its ability to compare each with the others requires one knower of all relevant terms. A dog’s body cannot be equal in bulk to an ant, horse, elephant and sun, yet mind apprehends each without bodily enlargement. The argument ascends to supreme equality as a standard for more and less equal participants. The mind’s correspondence to that standard is qualified and cognitive, not numerical identity with the divine source.</w:t>
      </w:r>
    </w:p>
    <w:p>
      <w:pPr>
        <w:pStyle w:val="Heading3"/>
      </w:pPr>
      <w:bookmarkStart w:id="63" w:name="viii.7-reception-perfects-mind-without-replacing-it-viii.7.1-pdf-344345"/>
      <w:r>
        <w:rPr>
          <w:b w:val="0"/>
          <w:i w:val="0"/>
        </w:rPr>
        <w:t>VIII.7 — Reception perfects mind without replacing it (VIII.7.1; PDF 344–345)</w:t>
      </w:r>
      <w:bookmarkEnd w:id="63"/>
    </w:p>
    <w:p>
      <w:pPr>
        <w:widowControl/>
      </w:pPr>
      <w:r>
        <w:rPr>
          <w:b w:val="0"/>
          <w:i w:val="0"/>
        </w:rPr>
        <w:t>Water takes heat by losing coldness, and diluted wine loses intensity of flavour. Mind instead receives forms without surrendering its own intellectuality and is perfected by fuller understanding. Composition and analysis show its ability to understand mixtures through principles and principles in mixtures. Its being all things in each is intellectual presence, not material identity with the world. Its distinction of bodily and incorporeal objects supports its claimed independence from bodily violence.</w:t>
      </w:r>
    </w:p>
    <w:p>
      <w:pPr>
        <w:pStyle w:val="Heading3"/>
      </w:pPr>
      <w:bookmarkStart w:id="64" w:name="viii.8-universal-rules-cannot-be-explained-by-a-singular-receiver-viii.8.12-pdf-346347"/>
      <w:r>
        <w:rPr>
          <w:b w:val="0"/>
          <w:i w:val="0"/>
        </w:rPr>
        <w:t>VIII.8 — Universal rules cannot be explained by a singular receiver (VIII.8.1–2; PDF 346–347)</w:t>
      </w:r>
      <w:bookmarkEnd w:id="64"/>
    </w:p>
    <w:p>
      <w:pPr>
        <w:widowControl/>
      </w:pPr>
      <w:r>
        <w:rPr>
          <w:b w:val="0"/>
          <w:i w:val="0"/>
        </w:rPr>
        <w:t>A materially restricted receiver would particularize even a universal form. Form would restrict operation, and operation its product, so a bodily intellect could think only singular objects. It could not know humanity common to Plato and Socrates, establish rules for arts and conduct or make laws governing many acts. The natural daily production of universals makes mind their source and receptacle. Ficino then associates corruption with material dependence and infers mind’s freedom from it.</w:t>
      </w:r>
    </w:p>
    <w:p>
      <w:pPr>
        <w:pStyle w:val="Heading3"/>
      </w:pPr>
      <w:bookmarkStart w:id="65" w:name="viii.9-reciprocal-intellectual-containment-viii.9.1-pdf-348349"/>
      <w:r>
        <w:rPr>
          <w:b w:val="0"/>
          <w:i w:val="0"/>
        </w:rPr>
        <w:t>VIII.9 — Reciprocal intellectual containment (VIII.9.1; PDF 348–349)</w:t>
      </w:r>
      <w:bookmarkEnd w:id="65"/>
    </w:p>
    <w:p>
      <w:pPr>
        <w:widowControl/>
      </w:pPr>
      <w:r>
        <w:rPr>
          <w:b w:val="0"/>
          <w:i w:val="0"/>
        </w:rPr>
        <w:t>Saturn’s sphere contains Jupiter’s without the converse; quantitative containment is asymmetric. Minds can consider one another reciprocally and each can consider their common species. This is not a claim to read every private thought. The individual mind’s cognitive commensurability with its enduring species is then referred to its prior direct act of life. The conclusion expressly permits either past-and-future eternity or at least future permanence, so the argument does not compel an unqualified doctrine of pre-existence.</w:t>
      </w:r>
    </w:p>
    <w:p>
      <w:pPr>
        <w:pStyle w:val="Heading3"/>
      </w:pPr>
      <w:bookmarkStart w:id="66" w:name="viii.10-operation-cannot-exceed-its-substance-viii.10.12-pdf-350353"/>
      <w:r>
        <w:rPr>
          <w:b w:val="0"/>
          <w:i w:val="0"/>
        </w:rPr>
        <w:t>VIII.10 — Operation cannot exceed its substance (VIII.10.1–2; PDF 350–353)</w:t>
      </w:r>
      <w:bookmarkEnd w:id="66"/>
    </w:p>
    <w:p>
      <w:pPr>
        <w:widowControl/>
      </w:pPr>
      <w:r>
        <w:rPr>
          <w:b w:val="0"/>
          <w:i w:val="0"/>
        </w:rPr>
        <w:t>Natural agents act within their kind: a dog does not generate sheep or humans. A bodily intellect could neither acquire indiscriminately the forms of other bodies nor conceive accounts beyond its proper nature. Understanding requires both reception and conception. A merely bodily substance could not explain an operation comprehending every kind of body and incorporeals. A form mixed with body would also be restricted, as sight is through the eye. Ficino differentiates a teaching attributed to Aristotle from additions attributed to Platonists. Mind’s active abstraction, reflection, conceptual childbirth and figurative mental hands are displayed in the present argument about incorporeal soul. The chapter ends by excluding bodily and temporal confinement and saying nothing prevents perpetual existence; that local conclusion should not be silently strengthened.</w:t>
      </w:r>
    </w:p>
    <w:p>
      <w:pPr>
        <w:pStyle w:val="Heading3"/>
      </w:pPr>
      <w:bookmarkStart w:id="67" w:name="viii.11-contemplative-repose-viii.11.1-pdf-354355"/>
      <w:r>
        <w:rPr>
          <w:b w:val="0"/>
          <w:i w:val="0"/>
        </w:rPr>
        <w:t>VIII.11 — Contemplative repose (VIII.11.1; PDF 354–355)</w:t>
      </w:r>
      <w:bookmarkEnd w:id="67"/>
    </w:p>
    <w:p>
      <w:pPr>
        <w:widowControl/>
      </w:pPr>
      <w:r>
        <w:rPr>
          <w:b w:val="0"/>
          <w:i w:val="0"/>
        </w:rPr>
        <w:t>Bodies receive new forms through alteration, while mind advances in contemplation when free from disturbance. Ficino infers from perfection in repose a stable source and enduring substance. This is not the claim that embodied people never experience fatigue. The supplied edition corrects the early erroneous chapter numeral on the evidence of the eleventh-argument rubric and sequence.</w:t>
      </w:r>
    </w:p>
    <w:p>
      <w:pPr>
        <w:pStyle w:val="Heading3"/>
      </w:pPr>
      <w:bookmarkStart w:id="68" w:name="viii.12-contrary-objects-need-not-corrupt-their-knower-viii.12.1-pdf-356357"/>
      <w:r>
        <w:rPr>
          <w:b w:val="0"/>
          <w:i w:val="0"/>
        </w:rPr>
        <w:t>VIII.12 — Contrary objects need not corrupt their knower (VIII.12.1; PDF 356–357)</w:t>
      </w:r>
      <w:bookmarkEnd w:id="68"/>
    </w:p>
    <w:p>
      <w:pPr>
        <w:widowControl/>
      </w:pPr>
      <w:r>
        <w:rPr>
          <w:b w:val="0"/>
          <w:i w:val="0"/>
        </w:rPr>
        <w:t>Elemental contraries exclude each other in matter but assist understanding when known together. Good and evil, usefulness and uselessness, light and darkness, voice and silence, sweetness and bitterness exhibit the distinction. Mind’s mode of reception is therefore nonbodily. Ficino separately argues against destruction by a contrary and against corruption by separation from preservative causes; the second movement depends on mind’s capacity to reconcile and approach its proper sources.</w:t>
      </w:r>
    </w:p>
    <w:p>
      <w:pPr>
        <w:pStyle w:val="Heading3"/>
      </w:pPr>
      <w:bookmarkStart w:id="69" w:name="viii.13-true-intellectual-reception-and-the-mirror-objection-viii.13.12-pdf-358361"/>
      <w:r>
        <w:rPr>
          <w:b w:val="0"/>
          <w:i w:val="0"/>
        </w:rPr>
        <w:t>VIII.13 — True intellectual reception and the mirror objection (VIII.13.1–2; PDF 358–361)</w:t>
      </w:r>
      <w:bookmarkEnd w:id="69"/>
    </w:p>
    <w:p>
      <w:pPr>
        <w:widowControl/>
      </w:pPr>
      <w:r>
        <w:rPr>
          <w:b w:val="0"/>
          <w:i w:val="0"/>
        </w:rPr>
        <w:t>Wood receiving fire becomes fiery, whereas a distant mirror’s image does not heat it. Ficino locates the image in spiritual light around the mirror and attributes that light to the sun’s soul, with an Orphic/Heraclitean comparison of visible light and invisible soul. The supplied visibilis is an explicit editorial emendation against reported unanimous invisibilis. Returning from the optical digression, he says mind receives forms truly when it judges truly. The Platonic account brings latent forms to light under image-induced stimulation; a universal notion retains necessary content and excludes accidental restrictions. Mind does not become material water or fire, and knowing defects and evils perfects rather than corrupts it. Their intellectual benefit does not make the harms good in themselves.</w:t>
      </w:r>
    </w:p>
    <w:p>
      <w:pPr>
        <w:pStyle w:val="Heading3"/>
      </w:pPr>
      <w:bookmarkStart w:id="70" w:name="viii.14-the-simplifying-gaze-viii.14.1-pdf-362363"/>
      <w:r>
        <w:rPr>
          <w:b w:val="0"/>
          <w:i w:val="0"/>
        </w:rPr>
        <w:t>VIII.14 — The simplifying gaze (VIII.14.1; PDF 362–363)</w:t>
      </w:r>
      <w:bookmarkEnd w:id="70"/>
    </w:p>
    <w:p>
      <w:pPr>
        <w:widowControl/>
      </w:pPr>
      <w:r>
        <w:rPr>
          <w:b w:val="0"/>
          <w:i w:val="0"/>
        </w:rPr>
        <w:t>Being and operation belong to the composite of matter and form, which naturally produces composite effects. Mind instead considers the constituents apart. The catalogue proceeds through exact figures, purified qualities, many individuals under one species, changing times in one view, spatial distance together, lifeless stones referred to first life and corruptible particulars regarded apart from location and time. These are transformations in mode of understanding, not external physical transmutations. Ficino infers a subject exceeding the conditions it can thus remove from its apprehension.</w:t>
      </w:r>
    </w:p>
    <w:p>
      <w:pPr>
        <w:pStyle w:val="Heading3"/>
      </w:pPr>
      <w:bookmarkStart w:id="71" w:name="viii.15-inward-operation-generation-and-qualified-self-cause-viii.15.13-pdf-364369"/>
      <w:r>
        <w:rPr>
          <w:b w:val="0"/>
          <w:i w:val="0"/>
        </w:rPr>
        <w:t>VIII.15 — Inward operation, generation and qualified self-cause (VIII.15.1–3; PDF 364–369)</w:t>
      </w:r>
      <w:bookmarkEnd w:id="71"/>
    </w:p>
    <w:p>
      <w:pPr>
        <w:widowControl/>
      </w:pPr>
      <w:r>
        <w:rPr>
          <w:b w:val="0"/>
          <w:i w:val="0"/>
        </w:rPr>
        <w:t>Bodily action is presented as outwardly directed; intellectual activity can terminate within mind, although will can use limbs to produce external work. Essence, life and mind are aligned with repose, motion and reflection. Recursive knowing and willing can continue without an assigned final level. Self-perfecting activity, linked to Paul’s daily renewal, is described as inward generation; unlike natural succession, it retains its products in the individual intellectual parent. Being-well is then used to argue for formal self-preservation. Ficino reports but reserves Proclus’s stronger doctrine of self-produced essence. He distinguishes acts from, through and upon the self. The next unit moves from self-operation to life and being, then expressly calls mind its own formal cause, not its efficient cause. Four failures of wholly effluent life are opposed to rational life’s supporting return. The final motion argument concerns fullness of living activity. None of this erases the higher divine source made explicit in the closing chapter.</w:t>
      </w:r>
    </w:p>
    <w:p>
      <w:pPr>
        <w:pStyle w:val="Heading3"/>
      </w:pPr>
      <w:bookmarkStart w:id="72" w:name="viii.16-several-forms-of-unbounded-reach-all-finally-received-viii.16.14-pdf-370377"/>
      <w:r>
        <w:rPr>
          <w:b w:val="0"/>
          <w:i w:val="0"/>
        </w:rPr>
        <w:t>VIII.16 — Several forms of unbounded reach, all finally received (VIII.16.1–4; PDF 370–377)</w:t>
      </w:r>
      <w:bookmarkEnd w:id="72"/>
    </w:p>
    <w:p>
      <w:pPr>
        <w:widowControl/>
      </w:pPr>
      <w:r>
        <w:rPr>
          <w:b w:val="0"/>
          <w:i w:val="0"/>
        </w:rPr>
        <w:t>Self-revolution and repeated higher-order knowing and willing begin the catalogue. It expands to division, arithmetic, geometrical ratios, lines, place, time, qualities, every sensory class and unrealized or impossible representations. Inward products have their own reality as representations, not necessarily as externally existing objects. Thought rises beyond finite angels to an infinite source; God as infinite act is distinguished from matter as infinite potency subject to God. Universal cognition gathers indefinitely many instances into one and descends again into multiplicity. A further argument appeals to proportionate knowledge of infinity and to the conceptual passage between nonbeing and being. Insatiable human and divine desire points to an adequate infinite object. Fire and descending stone illustrate intensified approach to the end.</w:t>
      </w:r>
    </w:p>
    <w:p>
      <w:pPr>
        <w:widowControl/>
      </w:pPr>
      <w:r>
        <w:rPr>
          <w:b w:val="0"/>
          <w:i w:val="0"/>
        </w:rPr>
        <w:t>The decisive correction assigns the mind’s qualified infinity more truly to divine enlargement than to itself alone. God implants, preserves and recalls dependent minds. Life’s priority to intelligence then supports a granted unbounded power of living. Absolute divine infinity, communicated intellectual/vital infinity, indefinite repetition and a rejected actually infinite simultaneous multitude remain distinguishable. The awkward readings sitis eius utrumque and talem quandam alicubi aut talem infinitatem are disclosed rather than silently normalized.</w:t>
      </w:r>
    </w:p>
    <w:p>
      <w:pPr>
        <w:pStyle w:val="Heading1"/>
      </w:pPr>
      <w:bookmarkStart w:id="73" w:name="close-reading-distinctions"/>
      <w:r>
        <w:rPr>
          <w:b w:val="0"/>
          <w:i w:val="0"/>
        </w:rPr>
        <w:t>Distinctions for close reading</w:t>
      </w:r>
      <w:bookmarkEnd w:id="73"/>
    </w:p>
    <w:p>
      <w:pPr>
        <w:pStyle w:val="Heading2"/>
      </w:pPr>
      <w:bookmarkStart w:id="74" w:name="through-itself-and-without-any-cause"/>
      <w:r>
        <w:rPr>
          <w:b w:val="0"/>
          <w:i w:val="0"/>
        </w:rPr>
        <w:t>Through itself and without any cause</w:t>
      </w:r>
      <w:bookmarkEnd w:id="74"/>
    </w:p>
    <w:p>
      <w:pPr>
        <w:widowControl/>
      </w:pPr>
      <w:r>
        <w:rPr>
          <w:b w:val="0"/>
          <w:i/>
        </w:rPr>
        <w:t>Per se</w:t>
      </w:r>
      <w:r>
        <w:rPr>
          <w:b w:val="0"/>
          <w:i w:val="0"/>
        </w:rPr>
        <w:t xml:space="preserve"> must be read with its complement and contrast. V.5 reserves complete absence of every cause for God. Soul’s freedom from matter still leaves efficient and final dependence. V.9 also uses the expression for what belongs to a thing through its own nature. Its presence alone therefore does not prove that the subject is uncreated or self-sufficient.</w:t>
      </w:r>
    </w:p>
    <w:p>
      <w:pPr>
        <w:pStyle w:val="Heading2"/>
      </w:pPr>
      <w:bookmarkStart w:id="75" w:name="first-cause-and-principal-agent"/>
      <w:r>
        <w:rPr>
          <w:b w:val="0"/>
          <w:i w:val="0"/>
        </w:rPr>
        <w:t>First cause and principal agent</w:t>
      </w:r>
      <w:bookmarkEnd w:id="75"/>
    </w:p>
    <w:p>
      <w:pPr>
        <w:widowControl/>
      </w:pPr>
      <w:r>
        <w:rPr>
          <w:b w:val="0"/>
          <w:i w:val="0"/>
        </w:rPr>
        <w:t>The first cause of V.10 and V.13 is the universal source of being. A principal agent is the chief directing cause within an operation, contrasted with an instrument. VII.8 makes the soul principal in growth and heat instrumental. These descriptions answer different questions, and a created principal agent still depends on the first cause.</w:t>
      </w:r>
    </w:p>
    <w:p>
      <w:pPr>
        <w:pStyle w:val="Heading2"/>
      </w:pPr>
      <w:bookmarkStart w:id="76" w:name="efficient-cause-and-formal-self-causation"/>
      <w:r>
        <w:rPr>
          <w:b w:val="0"/>
          <w:i w:val="0"/>
        </w:rPr>
        <w:t>Efficient cause and formal self-causation</w:t>
      </w:r>
      <w:bookmarkEnd w:id="76"/>
    </w:p>
    <w:p>
      <w:pPr>
        <w:widowControl/>
      </w:pPr>
      <w:r>
        <w:rPr>
          <w:b w:val="0"/>
          <w:i w:val="0"/>
        </w:rPr>
        <w:t>VIII.15.3 expressly calls mind its own formal cause rather than its efficient cause. The qualification concerns the way mind possesses and perfects its life. It does not make mind its own creator. The stronger Proclean self-production report in VIII.15.2 carries Ficino’s distancing qualification and must not be substituted for the restricted conclusion.</w:t>
      </w:r>
    </w:p>
    <w:p>
      <w:pPr>
        <w:pStyle w:val="Heading2"/>
      </w:pPr>
      <w:bookmarkStart w:id="77" w:name="coming-to-be-and-continuing-to-be"/>
      <w:r>
        <w:rPr>
          <w:b w:val="0"/>
          <w:i w:val="0"/>
        </w:rPr>
        <w:t>Coming to be and continuing to be</w:t>
      </w:r>
      <w:bookmarkEnd w:id="77"/>
    </w:p>
    <w:p>
      <w:pPr>
        <w:widowControl/>
      </w:pPr>
      <w:r>
        <w:rPr>
          <w:b w:val="0"/>
          <w:i w:val="0"/>
        </w:rPr>
        <w:t>Arguments for the soul’s immortality need not establish beginningless existence. V.13.17 allows a soul that has a beginning yet no end. Creation, preservation, natural generation and successive replacement of individuals are different accounts of origin and persistence. The succession of a species does not amount to the continued existence of the same individual.</w:t>
      </w:r>
    </w:p>
    <w:p>
      <w:pPr>
        <w:pStyle w:val="Heading2"/>
      </w:pPr>
      <w:bookmarkStart w:id="78" w:name="indivisibility-and-the-survival-of-this-rational-soul"/>
      <w:r>
        <w:rPr>
          <w:b w:val="0"/>
          <w:i w:val="0"/>
        </w:rPr>
        <w:t>Indivisibility and the survival of this rational soul</w:t>
      </w:r>
      <w:bookmarkEnd w:id="78"/>
    </w:p>
    <w:p>
      <w:pPr>
        <w:widowControl/>
      </w:pPr>
      <w:r>
        <w:rPr>
          <w:b w:val="0"/>
          <w:i w:val="0"/>
        </w:rPr>
        <w:t>The denial of bodily division is one step in the argument. It is not automatically an assertion that every lower form of life survives every disruption. VII.5.4 discusses the generation of new animal souls after division and the disappearance of an original low soul. V.15 presses a different issue: preserving the rational soul’s identity and nature, not merely preventing an indeterminate remainder from becoming nothing.</w:t>
      </w:r>
    </w:p>
    <w:p>
      <w:pPr>
        <w:pStyle w:val="Heading2"/>
      </w:pPr>
      <w:bookmarkStart w:id="79" w:name="the-whole-and-the-aggregate"/>
      <w:r>
        <w:rPr>
          <w:b w:val="0"/>
          <w:i w:val="0"/>
        </w:rPr>
        <w:t>The whole and the aggregate</w:t>
      </w:r>
      <w:bookmarkEnd w:id="79"/>
    </w:p>
    <w:p>
      <w:pPr>
        <w:widowControl/>
      </w:pPr>
      <w:r>
        <w:rPr>
          <w:b w:val="0"/>
          <w:i w:val="0"/>
        </w:rPr>
        <w:t>A body can be an aggregate with different extended parts in different places. The claim that soul is wholly present in each member is not the claim that a tiny complete bodily copy is lodged in every member. Nor does it identify soul with a geometrical point. The source repeatedly tests the point hypothesis and the possibility of a sensation shared across an extended chain.</w:t>
      </w:r>
    </w:p>
    <w:p>
      <w:pPr>
        <w:pStyle w:val="Heading2"/>
      </w:pPr>
      <w:bookmarkStart w:id="80" w:name="potency-and-a-material-receptacle"/>
      <w:r>
        <w:rPr>
          <w:b w:val="0"/>
          <w:i w:val="0"/>
        </w:rPr>
        <w:t>Potency and a material receptacle</w:t>
      </w:r>
      <w:bookmarkEnd w:id="80"/>
    </w:p>
    <w:p>
      <w:pPr>
        <w:widowControl/>
      </w:pPr>
      <w:r>
        <w:rPr>
          <w:b w:val="0"/>
          <w:i w:val="0"/>
        </w:rPr>
        <w:t xml:space="preserve">A capacity to receive being, illumination or an operation does not invariably mean bodily matter. V.11 examines language of </w:t>
      </w:r>
      <w:r>
        <w:t>“</w:t>
      </w:r>
      <w:r>
        <w:rPr>
          <w:b w:val="0"/>
          <w:i w:val="0"/>
        </w:rPr>
        <w:t>spiritual matter</w:t>
      </w:r>
      <w:r>
        <w:t>”</w:t>
      </w:r>
      <w:r>
        <w:rPr>
          <w:b w:val="0"/>
          <w:i w:val="0"/>
        </w:rPr>
        <w:t xml:space="preserve"> through distinctions among essence, potency and reception. The argument must be followed through its qualifications rather than settled by the appearance of the noun </w:t>
      </w:r>
      <w:r>
        <w:rPr>
          <w:b w:val="0"/>
          <w:i/>
        </w:rPr>
        <w:t>materia</w:t>
      </w:r>
      <w:r>
        <w:rPr>
          <w:b w:val="0"/>
          <w:i w:val="0"/>
        </w:rPr>
        <w:t xml:space="preserve"> alone.</w:t>
      </w:r>
    </w:p>
    <w:p>
      <w:pPr>
        <w:pStyle w:val="Heading2"/>
      </w:pPr>
      <w:bookmarkStart w:id="81" w:name="bodily-constitution-and-harmony"/>
      <w:r>
        <w:rPr>
          <w:b w:val="0"/>
          <w:i w:val="0"/>
        </w:rPr>
        <w:t>Bodily constitution and harmony</w:t>
      </w:r>
      <w:bookmarkEnd w:id="81"/>
    </w:p>
    <w:p>
      <w:pPr>
        <w:widowControl/>
      </w:pPr>
      <w:r>
        <w:rPr>
          <w:b w:val="0"/>
          <w:i/>
        </w:rPr>
        <w:t>Complexio</w:t>
      </w:r>
      <w:r>
        <w:rPr>
          <w:b w:val="0"/>
          <w:i w:val="0"/>
        </w:rPr>
        <w:t xml:space="preserve"> concerns the composite body’s constitution through qualities and mixture. </w:t>
      </w:r>
      <w:r>
        <w:rPr>
          <w:b w:val="0"/>
          <w:i/>
        </w:rPr>
        <w:t>Harmonia</w:t>
      </w:r>
      <w:r>
        <w:rPr>
          <w:b w:val="0"/>
          <w:i w:val="0"/>
        </w:rPr>
        <w:t xml:space="preserve"> can concern composition or proportion. Ficino can grant bodily concord and treat it as a produced condition while rejecting the claim that soul is identical with that harmony. VII.10–15 therefore requires a distinction between a maker, an arrangement, a disposition and the living activity explained.</w:t>
      </w:r>
    </w:p>
    <w:p>
      <w:pPr>
        <w:pStyle w:val="Heading2"/>
      </w:pPr>
      <w:bookmarkStart w:id="82" w:name="sense-imagination-phantasy-and-intellect"/>
      <w:r>
        <w:rPr>
          <w:b w:val="0"/>
          <w:i w:val="0"/>
        </w:rPr>
        <w:t>Sense imagination phantasy and intellect</w:t>
      </w:r>
      <w:bookmarkEnd w:id="82"/>
    </w:p>
    <w:p>
      <w:pPr>
        <w:widowControl/>
      </w:pPr>
      <w:r>
        <w:rPr>
          <w:b w:val="0"/>
          <w:i w:val="0"/>
        </w:rPr>
        <w:t xml:space="preserve">VIII.1 separates four cognitive levels. Imagination can retain an image after the external object is absent. Phantasy adds judgements or intentions but only conjectures substance and does not recognize its intentions as incorporeal. Intellect apprehends more than the image’s particular bodily appearance. The distinctions should not be flattened into the modern colloquial opposition between </w:t>
      </w:r>
      <w:r>
        <w:t>“</w:t>
      </w:r>
      <w:r>
        <w:rPr>
          <w:b w:val="0"/>
          <w:i w:val="0"/>
        </w:rPr>
        <w:t>real</w:t>
      </w:r>
      <w:r>
        <w:t>”</w:t>
      </w:r>
      <w:r>
        <w:rPr>
          <w:b w:val="0"/>
          <w:i w:val="0"/>
        </w:rPr>
        <w:t xml:space="preserve"> sensation and </w:t>
      </w:r>
      <w:r>
        <w:t>“</w:t>
      </w:r>
      <w:r>
        <w:rPr>
          <w:b w:val="0"/>
          <w:i w:val="0"/>
        </w:rPr>
        <w:t>imaginary</w:t>
      </w:r>
      <w:r>
        <w:t>”</w:t>
      </w:r>
      <w:r>
        <w:rPr>
          <w:b w:val="0"/>
          <w:i w:val="0"/>
        </w:rPr>
        <w:t xml:space="preserve"> thought.</w:t>
      </w:r>
    </w:p>
    <w:p>
      <w:pPr>
        <w:pStyle w:val="Heading2"/>
      </w:pPr>
      <w:bookmarkStart w:id="83" w:name="universal-knowledge-and-knowledge-of-individuals"/>
      <w:r>
        <w:rPr>
          <w:b w:val="0"/>
          <w:i w:val="0"/>
        </w:rPr>
        <w:t>Universal knowledge and knowledge of individuals</w:t>
      </w:r>
      <w:bookmarkEnd w:id="83"/>
    </w:p>
    <w:p>
      <w:pPr>
        <w:widowControl/>
      </w:pPr>
      <w:r>
        <w:rPr>
          <w:b w:val="0"/>
          <w:i w:val="0"/>
        </w:rPr>
        <w:t xml:space="preserve">The universal object of intellect does not entail complete ignorance of particulars. VIII.1 allows intellect to know particulars through a reflexive act. Likewise, distinguishing a common nature from individuals is not by itself identical with establishing a separate Idea. The steps of the argument and the senses of </w:t>
      </w:r>
      <w:r>
        <w:rPr>
          <w:b w:val="0"/>
          <w:i/>
        </w:rPr>
        <w:t>species</w:t>
      </w:r>
      <w:r>
        <w:rPr>
          <w:b w:val="0"/>
          <w:i w:val="0"/>
        </w:rPr>
        <w:t xml:space="preserve">, </w:t>
      </w:r>
      <w:r>
        <w:rPr>
          <w:b w:val="0"/>
          <w:i/>
        </w:rPr>
        <w:t>forma</w:t>
      </w:r>
      <w:r>
        <w:rPr>
          <w:b w:val="0"/>
          <w:i w:val="0"/>
        </w:rPr>
        <w:t xml:space="preserve"> and </w:t>
      </w:r>
      <w:r>
        <w:rPr>
          <w:b w:val="0"/>
          <w:i/>
        </w:rPr>
        <w:t>ratio</w:t>
      </w:r>
      <w:r>
        <w:rPr>
          <w:b w:val="0"/>
          <w:i w:val="0"/>
        </w:rPr>
        <w:t xml:space="preserve"> must be kept visible.</w:t>
      </w:r>
    </w:p>
    <w:p>
      <w:pPr>
        <w:pStyle w:val="Heading2"/>
      </w:pPr>
      <w:bookmarkStart w:id="84" w:name="change-in-a-knower-and-material-alteration"/>
      <w:r>
        <w:rPr>
          <w:b w:val="0"/>
          <w:i w:val="0"/>
        </w:rPr>
        <w:t>Change in a knower and material alteration</w:t>
      </w:r>
      <w:bookmarkEnd w:id="84"/>
    </w:p>
    <w:p>
      <w:pPr>
        <w:widowControl/>
      </w:pPr>
      <w:r>
        <w:rPr>
          <w:b w:val="0"/>
          <w:i w:val="0"/>
        </w:rPr>
        <w:t>Ficino distinguishes receiving a form cognitively from becoming the material thing known. Intellectual possession of fire does not make a mind hot, and thinking contrary qualities does not impose their bodily conflict on the knower. The argument concerns a different mode of reception; it should not be reduced to the claim that no cognitive activity or state ever changes.</w:t>
      </w:r>
    </w:p>
    <w:p>
      <w:pPr>
        <w:pStyle w:val="Heading2"/>
      </w:pPr>
      <w:bookmarkStart w:id="85" w:name="inward-operation-and-outward-production"/>
      <w:r>
        <w:rPr>
          <w:b w:val="0"/>
          <w:i w:val="0"/>
        </w:rPr>
        <w:t>Inward operation and outward production</w:t>
      </w:r>
      <w:bookmarkEnd w:id="85"/>
    </w:p>
    <w:p>
      <w:pPr>
        <w:widowControl/>
      </w:pPr>
      <w:r>
        <w:rPr>
          <w:b w:val="0"/>
          <w:i w:val="0"/>
        </w:rPr>
        <w:t>V.13 and VIII.15 distinguish an activity remaining in the agent from an activity passing into external material. Understanding may be inward even when, through willing and bodily movement, it leads to an outward work. Images of flowing, turning and returning help articulate this distinction; they do not make the mind a literal liquid.</w:t>
      </w:r>
    </w:p>
    <w:p>
      <w:pPr>
        <w:pStyle w:val="Heading2"/>
      </w:pPr>
      <w:bookmarkStart w:id="86" w:name="unlimited-range-and-absolute-infinity"/>
      <w:r>
        <w:rPr>
          <w:b w:val="0"/>
          <w:i w:val="0"/>
        </w:rPr>
        <w:t>Unlimited range and absolute infinity</w:t>
      </w:r>
      <w:bookmarkEnd w:id="86"/>
    </w:p>
    <w:p>
      <w:pPr>
        <w:widowControl/>
      </w:pPr>
      <w:r>
        <w:rPr>
          <w:b w:val="0"/>
          <w:i w:val="0"/>
        </w:rPr>
        <w:t>VIII.16 describes the mind’s capacity to pass beyond any assigned finite object and to reflect upon its own acts. It does not ascribe actual possession of every truth to an ordinary human knower. At the chapter’s close, the relevant infinity is communicated and continuously sustained by God. A gifted enlargement and the absolute infinity of its source remain different.</w:t>
      </w:r>
    </w:p>
    <w:p>
      <w:pPr>
        <w:pStyle w:val="Heading2"/>
      </w:pPr>
      <w:bookmarkStart w:id="87" w:name="a-conceded-thesis-and-an-endorsed-conclusion"/>
      <w:r>
        <w:rPr>
          <w:b w:val="0"/>
          <w:i w:val="0"/>
        </w:rPr>
        <w:t>A conceded thesis and an endorsed conclusion</w:t>
      </w:r>
      <w:bookmarkEnd w:id="87"/>
    </w:p>
    <w:p>
      <w:pPr>
        <w:widowControl/>
      </w:pPr>
      <w:r>
        <w:rPr>
          <w:b w:val="0"/>
          <w:i w:val="0"/>
        </w:rPr>
        <w:t>An imperative to suppose, a question, an opponent’s answer and a consequence drawn for refutation have different argumentative roles. The vocabulary of concession, impossibility, contradiction, division and conclusion helps the reader locate those roles. A striking statement about bodily soul, mixture or self-production may be the position under examination rather than the result defended.</w:t>
      </w:r>
    </w:p>
    <w:p>
      <w:pPr>
        <w:pStyle w:val="Heading2"/>
      </w:pPr>
      <w:bookmarkStart w:id="88" w:name="an-image-and-an-identity"/>
      <w:r>
        <w:rPr>
          <w:b w:val="0"/>
          <w:i w:val="0"/>
        </w:rPr>
        <w:t>An image and an identity</w:t>
      </w:r>
      <w:bookmarkEnd w:id="88"/>
    </w:p>
    <w:p>
      <w:pPr>
        <w:widowControl/>
      </w:pPr>
      <w:r>
        <w:rPr>
          <w:b w:val="0"/>
          <w:i w:val="0"/>
        </w:rPr>
        <w:t>The fountain, mirror, circle, line, point, centre, light, musical instrument, garment and womb each explain a particular relation. Their use does not identify soul with a bodily object or prove every property of the image belongs to its subject. A reader should ask which feature is doing the explanatory work and where Ficino limits the analogy.</w:t>
      </w:r>
    </w:p>
    <w:p>
      <w:pPr>
        <w:pStyle w:val="Heading1"/>
      </w:pPr>
      <w:bookmarkStart w:id="89" w:name="article-directory"/>
      <w:r>
        <w:rPr>
          <w:b w:val="0"/>
          <w:i w:val="0"/>
        </w:rPr>
        <w:t>Article directory</w:t>
      </w:r>
      <w:bookmarkEnd w:id="89"/>
    </w:p>
    <w:p>
      <w:pPr>
        <w:widowControl/>
      </w:pPr>
      <w:r>
        <w:rPr>
          <w:b/>
          <w:i w:val="0"/>
        </w:rPr>
        <w:t>A</w:t>
      </w:r>
      <w:r>
        <w:br/>
      </w:r>
      <w:hyperlink w:anchor="viii-analysis-mangling">
        <w:r>
          <w:rPr>
            <w:color w:val="000000"/>
          </w:rPr>
          <w:t xml:space="preserve">Analysis, mangling, and fictive construction</w:t>
        </w:r>
      </w:hyperlink>
      <w:r>
        <w:t xml:space="preserve"> (p. </w:t>
      </w:r>
      <w:fldSimple w:instr=" PAGEREF &quot;viii-analysis-mangling&quot; \h ">
        <w:r>
          <w:t>26</w:t>
        </w:r>
      </w:fldSimple>
      <w:r>
        <w:t>)</w:t>
      </w:r>
      <w:r>
        <w:rPr>
          <w:b w:val="0"/>
          <w:i w:val="0"/>
        </w:rPr>
        <w:t xml:space="preserve"> · </w:t>
      </w:r>
      <w:hyperlink w:anchor="vii-animal-acuity-size">
        <w:r>
          <w:rPr>
            <w:color w:val="000000"/>
          </w:rPr>
          <w:t xml:space="preserve">Animal acuity and bodily size</w:t>
        </w:r>
      </w:hyperlink>
      <w:r>
        <w:t xml:space="preserve"> (p. </w:t>
      </w:r>
      <w:fldSimple w:instr=" PAGEREF &quot;vii-animal-acuity-size&quot; \h ">
        <w:r>
          <w:t>27</w:t>
        </w:r>
      </w:fldSimple>
      <w:r>
        <w:t>)</w:t>
      </w:r>
      <w:r>
        <w:rPr>
          <w:b w:val="0"/>
          <w:i w:val="0"/>
        </w:rPr>
        <w:t xml:space="preserve"> · </w:t>
      </w:r>
      <w:hyperlink w:anchor="animation-first-light-and-regress">
        <w:r>
          <w:rPr>
            <w:color w:val="000000"/>
          </w:rPr>
          <w:t xml:space="preserve">Animation, first light and regress</w:t>
        </w:r>
      </w:hyperlink>
      <w:r>
        <w:t xml:space="preserve"> (p. </w:t>
      </w:r>
      <w:fldSimple w:instr=" PAGEREF &quot;animation-first-light-and-regress&quot; \h ">
        <w:r>
          <w:t>28</w:t>
        </w:r>
      </w:fldSimple>
      <w:r>
        <w:t>)</w:t>
      </w:r>
      <w:r>
        <w:rPr>
          <w:b w:val="0"/>
          <w:i w:val="0"/>
        </w:rPr>
        <w:t xml:space="preserve"> · </w:t>
      </w:r>
      <w:hyperlink w:anchor="ariston-sculptor-and-painter">
        <w:r>
          <w:rPr>
            <w:color w:val="000000"/>
          </w:rPr>
          <w:t xml:space="preserve">Ariston, sculptor and painter</w:t>
        </w:r>
      </w:hyperlink>
      <w:r>
        <w:t xml:space="preserve"> (p. </w:t>
      </w:r>
      <w:fldSimple w:instr=" PAGEREF &quot;ariston-sculptor-and-painter&quot; \h ">
        <w:r>
          <w:t>28</w:t>
        </w:r>
      </w:fldSimple>
      <w:r>
        <w:t>)</w:t>
      </w:r>
      <w:r>
        <w:rPr>
          <w:b w:val="0"/>
          <w:i w:val="0"/>
        </w:rPr>
        <w:t xml:space="preserve"> · </w:t>
      </w:r>
      <w:hyperlink w:anchor="art-and-elemental-transformation">
        <w:r>
          <w:rPr>
            <w:color w:val="000000"/>
          </w:rPr>
          <w:t xml:space="preserve">Art and elemental transformation</w:t>
        </w:r>
      </w:hyperlink>
      <w:r>
        <w:t xml:space="preserve"> (p. </w:t>
      </w:r>
      <w:fldSimple w:instr=" PAGEREF &quot;art-and-elemental-transformation&quot; \h ">
        <w:r>
          <w:t>29</w:t>
        </w:r>
      </w:fldSimple>
      <w:r>
        <w:t>)</w:t>
      </w:r>
      <w:r>
        <w:rPr>
          <w:b w:val="0"/>
          <w:i w:val="0"/>
        </w:rPr>
        <w:t xml:space="preserve"> · </w:t>
      </w:r>
      <w:hyperlink w:anchor="avicenna-imagined-adult">
        <w:r>
          <w:rPr>
            <w:color w:val="000000"/>
          </w:rPr>
          <w:t xml:space="preserve">Avicenna’s imagined adult</w:t>
        </w:r>
      </w:hyperlink>
      <w:r>
        <w:t xml:space="preserve"> (p. </w:t>
      </w:r>
      <w:fldSimple w:instr=" PAGEREF &quot;avicenna-imagined-adult&quot; \h ">
        <w:r>
          <w:t>30</w:t>
        </w:r>
      </w:fldSimple>
      <w:r>
        <w:t>)</w:t>
      </w:r>
    </w:p>
    <w:p>
      <w:pPr>
        <w:widowControl/>
      </w:pPr>
      <w:r>
        <w:rPr>
          <w:b/>
          <w:i w:val="0"/>
        </w:rPr>
        <w:t>B</w:t>
      </w:r>
      <w:r>
        <w:br/>
      </w:r>
      <w:hyperlink w:anchor="vii-bodily-constitution">
        <w:r>
          <w:rPr>
            <w:color w:val="000000"/>
          </w:rPr>
          <w:t xml:space="preserve">Bodily constitution and temperament</w:t>
        </w:r>
      </w:hyperlink>
      <w:r>
        <w:t xml:space="preserve"> (p. </w:t>
      </w:r>
      <w:fldSimple w:instr=" PAGEREF &quot;vii-bodily-constitution&quot; \h ">
        <w:r>
          <w:t>32</w:t>
        </w:r>
      </w:fldSimple>
      <w:r>
        <w:t>)</w:t>
      </w:r>
      <w:r>
        <w:rPr>
          <w:b w:val="0"/>
          <w:i w:val="0"/>
        </w:rPr>
        <w:t xml:space="preserve"> · </w:t>
      </w:r>
      <w:hyperlink w:anchor="viii-bodily-points">
        <w:r>
          <w:rPr>
            <w:color w:val="000000"/>
          </w:rPr>
          <w:t xml:space="preserve">Bodily points and the seat of understanding</w:t>
        </w:r>
      </w:hyperlink>
      <w:r>
        <w:t xml:space="preserve"> (p. </w:t>
      </w:r>
      <w:fldSimple w:instr=" PAGEREF &quot;viii-bodily-points&quot; \h ">
        <w:r>
          <w:t>33</w:t>
        </w:r>
      </w:fldSimple>
      <w:r>
        <w:t>)</w:t>
      </w:r>
      <w:r>
        <w:rPr>
          <w:b w:val="0"/>
          <w:i w:val="0"/>
        </w:rPr>
        <w:t xml:space="preserve"> · </w:t>
      </w:r>
      <w:hyperlink w:anchor="vii-bodily-spirit">
        <w:r>
          <w:rPr>
            <w:color w:val="000000"/>
          </w:rPr>
          <w:t xml:space="preserve">Bodily spirit and mediation</w:t>
        </w:r>
      </w:hyperlink>
      <w:r>
        <w:t xml:space="preserve"> (p. </w:t>
      </w:r>
      <w:fldSimple w:instr=" PAGEREF &quot;vii-bodily-spirit&quot; \h ">
        <w:r>
          <w:t>34</w:t>
        </w:r>
      </w:fldSimple>
      <w:r>
        <w:t>)</w:t>
      </w:r>
      <w:r>
        <w:rPr>
          <w:b w:val="0"/>
          <w:i w:val="0"/>
        </w:rPr>
        <w:t xml:space="preserve"> · </w:t>
      </w:r>
      <w:hyperlink w:anchor="viii-body-instrument">
        <w:r>
          <w:rPr>
            <w:color w:val="000000"/>
          </w:rPr>
          <w:t xml:space="preserve">Body, instruments, and vital spirit</w:t>
        </w:r>
      </w:hyperlink>
      <w:r>
        <w:t xml:space="preserve"> (p. </w:t>
      </w:r>
      <w:fldSimple w:instr=" PAGEREF &quot;viii-body-instrument&quot; \h ">
        <w:r>
          <w:t>35</w:t>
        </w:r>
      </w:fldSimple>
      <w:r>
        <w:t>)</w:t>
      </w:r>
      <w:r>
        <w:rPr>
          <w:b w:val="0"/>
          <w:i w:val="0"/>
        </w:rPr>
        <w:t xml:space="preserve"> · </w:t>
      </w:r>
      <w:hyperlink w:anchor="bronze-mirror-and-concentrated-fire">
        <w:r>
          <w:rPr>
            <w:color w:val="000000"/>
          </w:rPr>
          <w:t xml:space="preserve">Bronze mirror and concentrated fire</w:t>
        </w:r>
      </w:hyperlink>
      <w:r>
        <w:t xml:space="preserve"> (p. </w:t>
      </w:r>
      <w:fldSimple w:instr=" PAGEREF &quot;bronze-mirror-and-concentrated-fire&quot; \h ">
        <w:r>
          <w:t>36</w:t>
        </w:r>
      </w:fldSimple>
      <w:r>
        <w:t>)</w:t>
      </w:r>
    </w:p>
    <w:p>
      <w:pPr>
        <w:widowControl/>
      </w:pPr>
      <w:r>
        <w:rPr>
          <w:b/>
          <w:i w:val="0"/>
        </w:rPr>
        <w:t>C</w:t>
      </w:r>
      <w:r>
        <w:br/>
      </w:r>
      <w:hyperlink w:anchor="cavalcanti-and-five-positions">
        <w:r>
          <w:rPr>
            <w:color w:val="000000"/>
          </w:rPr>
          <w:t xml:space="preserve">Cavalcanti and the five positions</w:t>
        </w:r>
      </w:hyperlink>
      <w:r>
        <w:t xml:space="preserve"> (p. </w:t>
      </w:r>
      <w:fldSimple w:instr=" PAGEREF &quot;cavalcanti-and-five-positions&quot; \h ">
        <w:r>
          <w:t>36</w:t>
        </w:r>
      </w:fldSimple>
      <w:r>
        <w:t>)</w:t>
      </w:r>
      <w:r>
        <w:rPr>
          <w:b w:val="0"/>
          <w:i w:val="0"/>
        </w:rPr>
        <w:t xml:space="preserve"> · </w:t>
      </w:r>
      <w:hyperlink w:anchor="circularity-and-spiritual-spheres">
        <w:r>
          <w:rPr>
            <w:color w:val="000000"/>
          </w:rPr>
          <w:t xml:space="preserve">Circularity and spiritual spheres</w:t>
        </w:r>
      </w:hyperlink>
      <w:r>
        <w:t xml:space="preserve"> (p. </w:t>
      </w:r>
      <w:fldSimple w:instr=" PAGEREF &quot;circularity-and-spiritual-spheres&quot; \h ">
        <w:r>
          <w:t>38</w:t>
        </w:r>
      </w:fldSimple>
      <w:r>
        <w:t>)</w:t>
      </w:r>
      <w:r>
        <w:rPr>
          <w:b w:val="0"/>
          <w:i w:val="0"/>
        </w:rPr>
        <w:t xml:space="preserve"> · </w:t>
      </w:r>
      <w:hyperlink w:anchor="comets-and-defining-accounts">
        <w:r>
          <w:rPr>
            <w:color w:val="000000"/>
          </w:rPr>
          <w:t xml:space="preserve">Comets and defining accounts</w:t>
        </w:r>
      </w:hyperlink>
      <w:r>
        <w:t xml:space="preserve"> (p. </w:t>
      </w:r>
      <w:fldSimple w:instr=" PAGEREF &quot;comets-and-defining-accounts&quot; \h ">
        <w:r>
          <w:t>39</w:t>
        </w:r>
      </w:fldSimple>
      <w:r>
        <w:t>)</w:t>
      </w:r>
      <w:r>
        <w:rPr>
          <w:b w:val="0"/>
          <w:i w:val="0"/>
        </w:rPr>
        <w:t xml:space="preserve"> · </w:t>
      </w:r>
      <w:hyperlink w:anchor="viii-universal-idea">
        <w:r>
          <w:rPr>
            <w:color w:val="000000"/>
          </w:rPr>
          <w:t xml:space="preserve">Common nature, participation, and the divine Idea</w:t>
        </w:r>
      </w:hyperlink>
      <w:r>
        <w:t xml:space="preserve"> (p. </w:t>
      </w:r>
      <w:fldSimple w:instr=" PAGEREF &quot;viii-universal-idea&quot; \h ">
        <w:r>
          <w:t>40</w:t>
        </w:r>
      </w:fldSimple>
      <w:r>
        <w:t>)</w:t>
      </w:r>
      <w:r>
        <w:rPr>
          <w:b w:val="0"/>
          <w:i w:val="0"/>
        </w:rPr>
        <w:t xml:space="preserve"> · </w:t>
      </w:r>
      <w:hyperlink w:anchor="vii-common-sense-comparison">
        <w:r>
          <w:rPr>
            <w:color w:val="000000"/>
          </w:rPr>
          <w:t xml:space="preserve">Comparison and common sense</w:t>
        </w:r>
      </w:hyperlink>
      <w:r>
        <w:t xml:space="preserve"> (p. </w:t>
      </w:r>
      <w:fldSimple w:instr=" PAGEREF &quot;vii-common-sense-comparison&quot; \h ">
        <w:r>
          <w:t>41</w:t>
        </w:r>
      </w:fldSimple>
      <w:r>
        <w:t>)</w:t>
      </w:r>
      <w:r>
        <w:rPr>
          <w:b w:val="0"/>
          <w:i w:val="0"/>
        </w:rPr>
        <w:t xml:space="preserve"> · </w:t>
      </w:r>
      <w:hyperlink w:anchor="vii-composition-unity">
        <w:r>
          <w:rPr>
            <w:color w:val="000000"/>
          </w:rPr>
          <w:t xml:space="preserve">Composition and inward unity</w:t>
        </w:r>
      </w:hyperlink>
      <w:r>
        <w:t xml:space="preserve"> (p. </w:t>
      </w:r>
      <w:fldSimple w:instr=" PAGEREF &quot;vii-composition-unity&quot; \h ">
        <w:r>
          <w:t>43</w:t>
        </w:r>
      </w:fldSimple>
      <w:r>
        <w:t>)</w:t>
      </w:r>
      <w:r>
        <w:rPr>
          <w:b w:val="0"/>
          <w:i w:val="0"/>
        </w:rPr>
        <w:t xml:space="preserve"> · </w:t>
      </w:r>
      <w:hyperlink w:anchor="conditions-and-the-fashioners-law">
        <w:r>
          <w:rPr>
            <w:color w:val="000000"/>
          </w:rPr>
          <w:t xml:space="preserve">Conditions and the fashioner’s law</w:t>
        </w:r>
      </w:hyperlink>
      <w:r>
        <w:t xml:space="preserve"> (p. </w:t>
      </w:r>
      <w:fldSimple w:instr=" PAGEREF &quot;conditions-and-the-fashioners-law&quot; \h ">
        <w:r>
          <w:t>43</w:t>
        </w:r>
      </w:fldSimple>
      <w:r>
        <w:t>)</w:t>
      </w:r>
      <w:r>
        <w:rPr>
          <w:b w:val="0"/>
          <w:i w:val="0"/>
        </w:rPr>
        <w:t xml:space="preserve"> · </w:t>
      </w:r>
      <w:hyperlink w:anchor="constitution-point-and-harmony">
        <w:r>
          <w:rPr>
            <w:color w:val="000000"/>
          </w:rPr>
          <w:t xml:space="preserve">Constitution, localized point and harmony</w:t>
        </w:r>
      </w:hyperlink>
      <w:r>
        <w:t xml:space="preserve"> (p. </w:t>
      </w:r>
      <w:fldSimple w:instr=" PAGEREF &quot;constitution-point-and-harmony&quot; \h ">
        <w:r>
          <w:t>44</w:t>
        </w:r>
      </w:fldSimple>
      <w:r>
        <w:t>)</w:t>
      </w:r>
      <w:r>
        <w:rPr>
          <w:b w:val="0"/>
          <w:i w:val="0"/>
        </w:rPr>
        <w:t xml:space="preserve"> · </w:t>
      </w:r>
      <w:hyperlink w:anchor="contraries-death-and-imperishability">
        <w:r>
          <w:rPr>
            <w:color w:val="000000"/>
          </w:rPr>
          <w:t xml:space="preserve">Contraries, death and imperishability</w:t>
        </w:r>
      </w:hyperlink>
      <w:r>
        <w:t xml:space="preserve"> (p. </w:t>
      </w:r>
      <w:fldSimple w:instr=" PAGEREF &quot;contraries-death-and-imperishability&quot; \h ">
        <w:r>
          <w:t>45</w:t>
        </w:r>
      </w:fldSimple>
      <w:r>
        <w:t>)</w:t>
      </w:r>
      <w:r>
        <w:rPr>
          <w:b w:val="0"/>
          <w:i w:val="0"/>
        </w:rPr>
        <w:t xml:space="preserve"> · </w:t>
      </w:r>
      <w:hyperlink w:anchor="viii-contraries-evil">
        <w:r>
          <w:rPr>
            <w:color w:val="000000"/>
          </w:rPr>
          <w:t xml:space="preserve">Contraries, privations, and knowledge of evil</w:t>
        </w:r>
      </w:hyperlink>
      <w:r>
        <w:t xml:space="preserve"> (p. </w:t>
      </w:r>
      <w:fldSimple w:instr=" PAGEREF &quot;viii-contraries-evil&quot; \h ">
        <w:r>
          <w:t>46</w:t>
        </w:r>
      </w:fldSimple>
      <w:r>
        <w:t>)</w:t>
      </w:r>
      <w:r>
        <w:rPr>
          <w:b w:val="0"/>
          <w:i w:val="0"/>
        </w:rPr>
        <w:t xml:space="preserve"> · </w:t>
      </w:r>
      <w:hyperlink w:anchor="contrary-powers-and-directed-movement">
        <w:r>
          <w:rPr>
            <w:color w:val="000000"/>
          </w:rPr>
          <w:t xml:space="preserve">Contrary powers and directed movement</w:t>
        </w:r>
      </w:hyperlink>
      <w:r>
        <w:t xml:space="preserve"> (p. </w:t>
      </w:r>
      <w:fldSimple w:instr=" PAGEREF &quot;contrary-powers-and-directed-movement&quot; \h ">
        <w:r>
          <w:t>47</w:t>
        </w:r>
      </w:fldSimple>
      <w:r>
        <w:t>)</w:t>
      </w:r>
      <w:r>
        <w:rPr>
          <w:b w:val="0"/>
          <w:i w:val="0"/>
        </w:rPr>
        <w:t xml:space="preserve"> · </w:t>
      </w:r>
      <w:hyperlink w:anchor="conversion-desire-and-compulsion">
        <w:r>
          <w:rPr>
            <w:color w:val="000000"/>
          </w:rPr>
          <w:t xml:space="preserve">Conversion, desire and compulsion</w:t>
        </w:r>
      </w:hyperlink>
      <w:r>
        <w:t xml:space="preserve"> (p. </w:t>
      </w:r>
      <w:fldSimple w:instr=" PAGEREF &quot;conversion-desire-and-compulsion&quot; \h ">
        <w:r>
          <w:t>48</w:t>
        </w:r>
      </w:fldSimple>
      <w:r>
        <w:t>)</w:t>
      </w:r>
      <w:r>
        <w:rPr>
          <w:b w:val="0"/>
          <w:i w:val="0"/>
        </w:rPr>
        <w:t xml:space="preserve"> · </w:t>
      </w:r>
      <w:hyperlink w:anchor="corporeal-soul-and-elemental-doxography">
        <w:r>
          <w:rPr>
            <w:color w:val="000000"/>
          </w:rPr>
          <w:t xml:space="preserve">Corporeal soul and elemental doxography</w:t>
        </w:r>
      </w:hyperlink>
      <w:r>
        <w:t xml:space="preserve"> (p. </w:t>
      </w:r>
      <w:fldSimple w:instr=" PAGEREF &quot;corporeal-soul-and-elemental-doxography&quot; \h ">
        <w:r>
          <w:t>49</w:t>
        </w:r>
      </w:fldSimple>
      <w:r>
        <w:t>)</w:t>
      </w:r>
      <w:r>
        <w:rPr>
          <w:b w:val="0"/>
          <w:i w:val="0"/>
        </w:rPr>
        <w:t xml:space="preserve"> · </w:t>
      </w:r>
      <w:hyperlink w:anchor="creation-and-generation">
        <w:r>
          <w:rPr>
            <w:color w:val="000000"/>
          </w:rPr>
          <w:t xml:space="preserve">Creation and generation</w:t>
        </w:r>
      </w:hyperlink>
      <w:r>
        <w:t xml:space="preserve"> (p. </w:t>
      </w:r>
      <w:fldSimple w:instr=" PAGEREF &quot;creation-and-generation&quot; \h ">
        <w:r>
          <w:t>50</w:t>
        </w:r>
      </w:fldSimple>
      <w:r>
        <w:t>)</w:t>
      </w:r>
      <w:r>
        <w:rPr>
          <w:b w:val="0"/>
          <w:i w:val="0"/>
        </w:rPr>
        <w:t xml:space="preserve"> · </w:t>
      </w:r>
      <w:hyperlink w:anchor="creature-power-and-operation">
        <w:r>
          <w:rPr>
            <w:color w:val="000000"/>
          </w:rPr>
          <w:t xml:space="preserve">Creature, power and operation</w:t>
        </w:r>
      </w:hyperlink>
      <w:r>
        <w:t xml:space="preserve"> (p. </w:t>
      </w:r>
      <w:fldSimple w:instr=" PAGEREF &quot;creature-power-and-operation&quot; \h ">
        <w:r>
          <w:t>52</w:t>
        </w:r>
      </w:fldSimple>
      <w:r>
        <w:t>)</w:t>
      </w:r>
    </w:p>
    <w:p>
      <w:pPr>
        <w:widowControl/>
      </w:pPr>
      <w:r>
        <w:rPr>
          <w:b/>
          <w:i w:val="0"/>
        </w:rPr>
        <w:t>D</w:t>
      </w:r>
      <w:r>
        <w:br/>
      </w:r>
      <w:hyperlink w:anchor="viii-definition-parts">
        <w:r>
          <w:rPr>
            <w:color w:val="000000"/>
          </w:rPr>
          <w:t xml:space="preserve">Definition, genus, difference, and mindless parts</w:t>
        </w:r>
      </w:hyperlink>
      <w:r>
        <w:t xml:space="preserve"> (p. </w:t>
      </w:r>
      <w:fldSimple w:instr=" PAGEREF &quot;viii-definition-parts&quot; \h ">
        <w:r>
          <w:t>53</w:t>
        </w:r>
      </w:fldSimple>
      <w:r>
        <w:t>)</w:t>
      </w:r>
      <w:r>
        <w:rPr>
          <w:b w:val="0"/>
          <w:i w:val="0"/>
        </w:rPr>
        <w:t xml:space="preserve"> · </w:t>
      </w:r>
      <w:hyperlink w:anchor="dense-subtle-and-fifth-body">
        <w:r>
          <w:rPr>
            <w:color w:val="000000"/>
          </w:rPr>
          <w:t xml:space="preserve">Dense, subtle and fifth body</w:t>
        </w:r>
      </w:hyperlink>
      <w:r>
        <w:t xml:space="preserve"> (p. </w:t>
      </w:r>
      <w:fldSimple w:instr=" PAGEREF &quot;dense-subtle-and-fifth-body&quot; \h ">
        <w:r>
          <w:t>54</w:t>
        </w:r>
      </w:fldSimple>
      <w:r>
        <w:t>)</w:t>
      </w:r>
      <w:r>
        <w:rPr>
          <w:b w:val="0"/>
          <w:i w:val="0"/>
        </w:rPr>
        <w:t xml:space="preserve"> · </w:t>
      </w:r>
      <w:hyperlink w:anchor="vii-discord-soul">
        <w:r>
          <w:rPr>
            <w:color w:val="000000"/>
          </w:rPr>
          <w:t xml:space="preserve">Discord and the soul’s persistence</w:t>
        </w:r>
      </w:hyperlink>
      <w:r>
        <w:t xml:space="preserve"> (p. </w:t>
      </w:r>
      <w:fldSimple w:instr=" PAGEREF &quot;vii-discord-soul&quot; \h ">
        <w:r>
          <w:t>55</w:t>
        </w:r>
      </w:fldSimple>
      <w:r>
        <w:t>)</w:t>
      </w:r>
      <w:r>
        <w:rPr>
          <w:b w:val="0"/>
          <w:i w:val="0"/>
        </w:rPr>
        <w:t xml:space="preserve"> · </w:t>
      </w:r>
      <w:hyperlink w:anchor="divine-production-and-third-essence">
        <w:r>
          <w:rPr>
            <w:color w:val="000000"/>
          </w:rPr>
          <w:t xml:space="preserve">Divine production and the third essence</w:t>
        </w:r>
      </w:hyperlink>
      <w:r>
        <w:t xml:space="preserve"> (p. </w:t>
      </w:r>
      <w:fldSimple w:instr=" PAGEREF &quot;divine-production-and-third-essence&quot; \h ">
        <w:r>
          <w:t>56</w:t>
        </w:r>
      </w:fldSimple>
      <w:r>
        <w:t>)</w:t>
      </w:r>
    </w:p>
    <w:p>
      <w:pPr>
        <w:widowControl/>
      </w:pPr>
      <w:r>
        <w:rPr>
          <w:b/>
          <w:i w:val="0"/>
        </w:rPr>
        <w:t>E</w:t>
      </w:r>
      <w:r>
        <w:br/>
      </w:r>
      <w:hyperlink w:anchor="earth-wood-and-severed-stones">
        <w:r>
          <w:rPr>
            <w:color w:val="000000"/>
          </w:rPr>
          <w:t xml:space="preserve">Earth, wood and severed stones</w:t>
        </w:r>
      </w:hyperlink>
      <w:r>
        <w:t xml:space="preserve"> (p. </w:t>
      </w:r>
      <w:fldSimple w:instr=" PAGEREF &quot;earth-wood-and-severed-stones&quot; \h ">
        <w:r>
          <w:t>57</w:t>
        </w:r>
      </w:fldSimple>
      <w:r>
        <w:t>)</w:t>
      </w:r>
      <w:r>
        <w:rPr>
          <w:b w:val="0"/>
          <w:i w:val="0"/>
        </w:rPr>
        <w:t xml:space="preserve"> · </w:t>
      </w:r>
      <w:hyperlink w:anchor="eight-motions-and-cold-water">
        <w:r>
          <w:rPr>
            <w:color w:val="000000"/>
          </w:rPr>
          <w:t xml:space="preserve">Eight motions and the cold-water objection</w:t>
        </w:r>
      </w:hyperlink>
      <w:r>
        <w:t xml:space="preserve"> (p. </w:t>
      </w:r>
      <w:fldSimple w:instr=" PAGEREF &quot;eight-motions-and-cold-water&quot; \h ">
        <w:r>
          <w:t>57</w:t>
        </w:r>
      </w:fldSimple>
      <w:r>
        <w:t>)</w:t>
      </w:r>
      <w:r>
        <w:rPr>
          <w:b w:val="0"/>
          <w:i w:val="0"/>
        </w:rPr>
        <w:t xml:space="preserve"> · </w:t>
      </w:r>
      <w:hyperlink w:anchor="elements-conjunction-and-inward-orderer">
        <w:r>
          <w:rPr>
            <w:color w:val="000000"/>
          </w:rPr>
          <w:t xml:space="preserve">Elements, conjunction and the inward orderer</w:t>
        </w:r>
      </w:hyperlink>
      <w:r>
        <w:t xml:space="preserve"> (p. </w:t>
      </w:r>
      <w:fldSimple w:instr=" PAGEREF &quot;elements-conjunction-and-inward-orderer&quot; \h ">
        <w:r>
          <w:t>58</w:t>
        </w:r>
      </w:fldSimple>
      <w:r>
        <w:t>)</w:t>
      </w:r>
      <w:r>
        <w:rPr>
          <w:b w:val="0"/>
          <w:i w:val="0"/>
        </w:rPr>
        <w:t xml:space="preserve"> · </w:t>
      </w:r>
      <w:hyperlink w:anchor="essence-and-being">
        <w:r>
          <w:rPr>
            <w:color w:val="000000"/>
          </w:rPr>
          <w:t xml:space="preserve">Essence and being</w:t>
        </w:r>
      </w:hyperlink>
      <w:r>
        <w:t xml:space="preserve"> (p. </w:t>
      </w:r>
      <w:fldSimple w:instr=" PAGEREF &quot;essence-and-being&quot; \h ">
        <w:r>
          <w:t>59</w:t>
        </w:r>
      </w:fldSimple>
      <w:r>
        <w:t>)</w:t>
      </w:r>
      <w:r>
        <w:rPr>
          <w:b w:val="0"/>
          <w:i w:val="0"/>
        </w:rPr>
        <w:t xml:space="preserve"> · </w:t>
      </w:r>
      <w:hyperlink w:anchor="essential-presence-and-containment">
        <w:r>
          <w:rPr>
            <w:color w:val="000000"/>
          </w:rPr>
          <w:t xml:space="preserve">Essential presence and containment</w:t>
        </w:r>
      </w:hyperlink>
      <w:r>
        <w:t xml:space="preserve"> (p. </w:t>
      </w:r>
      <w:fldSimple w:instr=" PAGEREF &quot;essential-presence-and-containment&quot; \h ">
        <w:r>
          <w:t>60</w:t>
        </w:r>
      </w:fldSimple>
      <w:r>
        <w:t>)</w:t>
      </w:r>
      <w:r>
        <w:rPr>
          <w:b w:val="0"/>
          <w:i w:val="0"/>
        </w:rPr>
        <w:t xml:space="preserve"> · </w:t>
      </w:r>
      <w:hyperlink w:anchor="exemplars-of-bodily-motion-in-soul">
        <w:r>
          <w:rPr>
            <w:color w:val="000000"/>
          </w:rPr>
          <w:t xml:space="preserve">Exemplars of bodily motion in soul</w:t>
        </w:r>
      </w:hyperlink>
      <w:r>
        <w:t xml:space="preserve"> (p. </w:t>
      </w:r>
      <w:fldSimple w:instr=" PAGEREF &quot;exemplars-of-bodily-motion-in-soul&quot; \h ">
        <w:r>
          <w:t>61</w:t>
        </w:r>
      </w:fldSimple>
      <w:r>
        <w:t>)</w:t>
      </w:r>
    </w:p>
    <w:p>
      <w:pPr>
        <w:widowControl/>
      </w:pPr>
      <w:r>
        <w:rPr>
          <w:b/>
          <w:i w:val="0"/>
        </w:rPr>
        <w:t>F</w:t>
      </w:r>
      <w:r>
        <w:br/>
      </w:r>
      <w:hyperlink w:anchor="viii-finite-angels">
        <w:r>
          <w:rPr>
            <w:color w:val="000000"/>
          </w:rPr>
          <w:t xml:space="preserve">Finite angels, infinite act, and infinite potency</w:t>
        </w:r>
      </w:hyperlink>
      <w:r>
        <w:t xml:space="preserve"> (p. </w:t>
      </w:r>
      <w:fldSimple w:instr=" PAGEREF &quot;viii-finite-angels&quot; \h ">
        <w:r>
          <w:t>62</w:t>
        </w:r>
      </w:fldSimple>
      <w:r>
        <w:t>)</w:t>
      </w:r>
      <w:r>
        <w:rPr>
          <w:b w:val="0"/>
          <w:i w:val="0"/>
        </w:rPr>
        <w:t xml:space="preserve"> · </w:t>
      </w:r>
      <w:hyperlink w:anchor="first-cause">
        <w:r>
          <w:rPr>
            <w:color w:val="000000"/>
          </w:rPr>
          <w:t xml:space="preserve">First Cause, principal causes and causal dependence</w:t>
        </w:r>
      </w:hyperlink>
      <w:r>
        <w:t xml:space="preserve"> (p. </w:t>
      </w:r>
      <w:fldSimple w:instr=" PAGEREF &quot;first-cause&quot; \h ">
        <w:r>
          <w:t>63</w:t>
        </w:r>
      </w:fldSimple>
      <w:r>
        <w:t>)</w:t>
      </w:r>
      <w:r>
        <w:rPr>
          <w:b w:val="0"/>
          <w:i w:val="0"/>
        </w:rPr>
        <w:t xml:space="preserve"> · </w:t>
      </w:r>
      <w:hyperlink w:anchor="viii-first-concepts">
        <w:r>
          <w:rPr>
            <w:color w:val="000000"/>
          </w:rPr>
          <w:t xml:space="preserve">First concepts, unity, and the end of analysis</w:t>
        </w:r>
      </w:hyperlink>
      <w:r>
        <w:t xml:space="preserve"> (p. </w:t>
      </w:r>
      <w:fldSimple w:instr=" PAGEREF &quot;viii-first-concepts&quot; \h ">
        <w:r>
          <w:t>67</w:t>
        </w:r>
      </w:fldSimple>
      <w:r>
        <w:t>)</w:t>
      </w:r>
      <w:r>
        <w:rPr>
          <w:b w:val="0"/>
          <w:i w:val="0"/>
        </w:rPr>
        <w:t xml:space="preserve"> · </w:t>
      </w:r>
      <w:hyperlink w:anchor="food-lending-and-borrowing-life">
        <w:r>
          <w:rPr>
            <w:color w:val="000000"/>
          </w:rPr>
          <w:t xml:space="preserve">Food, lending and borrowing life</w:t>
        </w:r>
      </w:hyperlink>
      <w:r>
        <w:t xml:space="preserve"> (p. </w:t>
      </w:r>
      <w:fldSimple w:instr=" PAGEREF &quot;food-lending-and-borrowing-life&quot; \h ">
        <w:r>
          <w:t>68</w:t>
        </w:r>
      </w:fldSimple>
      <w:r>
        <w:t>)</w:t>
      </w:r>
      <w:r>
        <w:rPr>
          <w:b w:val="0"/>
          <w:i w:val="0"/>
        </w:rPr>
        <w:t xml:space="preserve"> · </w:t>
      </w:r>
      <w:hyperlink w:anchor="viii-food-truth">
        <w:r>
          <w:rPr>
            <w:color w:val="000000"/>
          </w:rPr>
          <w:t xml:space="preserve">Food, truth, and the hungry mind</w:t>
        </w:r>
      </w:hyperlink>
      <w:r>
        <w:t xml:space="preserve"> (p. </w:t>
      </w:r>
      <w:fldSimple w:instr=" PAGEREF &quot;viii-food-truth&quot; \h ">
        <w:r>
          <w:t>69</w:t>
        </w:r>
      </w:fldSimple>
      <w:r>
        <w:t>)</w:t>
      </w:r>
      <w:r>
        <w:rPr>
          <w:b w:val="0"/>
          <w:i w:val="0"/>
        </w:rPr>
        <w:t xml:space="preserve"> · </w:t>
      </w:r>
      <w:hyperlink w:anchor="form-and-formal-being">
        <w:r>
          <w:rPr>
            <w:color w:val="000000"/>
          </w:rPr>
          <w:t xml:space="preserve">Form and formal being</w:t>
        </w:r>
      </w:hyperlink>
      <w:r>
        <w:t xml:space="preserve"> (p. </w:t>
      </w:r>
      <w:fldSimple w:instr=" PAGEREF &quot;form-and-formal-being&quot; \h ">
        <w:r>
          <w:t>70</w:t>
        </w:r>
      </w:fldSimple>
      <w:r>
        <w:t>)</w:t>
      </w:r>
      <w:r>
        <w:rPr>
          <w:b w:val="0"/>
          <w:i w:val="0"/>
        </w:rPr>
        <w:t xml:space="preserve"> · </w:t>
      </w:r>
      <w:hyperlink w:anchor="fountains-drawing-and-infusion">
        <w:r>
          <w:rPr>
            <w:color w:val="000000"/>
          </w:rPr>
          <w:t xml:space="preserve">Fountains, drawing and infusion</w:t>
        </w:r>
      </w:hyperlink>
      <w:r>
        <w:t xml:space="preserve"> (p. </w:t>
      </w:r>
      <w:fldSimple w:instr=" PAGEREF &quot;fountains-drawing-and-infusion&quot; \h ">
        <w:r>
          <w:t>71</w:t>
        </w:r>
      </w:fldSimple>
      <w:r>
        <w:t>)</w:t>
      </w:r>
      <w:r>
        <w:rPr>
          <w:b w:val="0"/>
          <w:i w:val="0"/>
        </w:rPr>
        <w:t xml:space="preserve"> · </w:t>
      </w:r>
      <w:hyperlink w:anchor="four-causes-and-graded-dependence">
        <w:r>
          <w:rPr>
            <w:color w:val="000000"/>
          </w:rPr>
          <w:t xml:space="preserve">Four causes and graded dependence</w:t>
        </w:r>
      </w:hyperlink>
      <w:r>
        <w:t xml:space="preserve"> (p. </w:t>
      </w:r>
      <w:fldSimple w:instr=" PAGEREF &quot;four-causes-and-graded-dependence&quot; \h ">
        <w:r>
          <w:t>72</w:t>
        </w:r>
      </w:fldSimple>
      <w:r>
        <w:t>)</w:t>
      </w:r>
      <w:r>
        <w:rPr>
          <w:b w:val="0"/>
          <w:i w:val="0"/>
        </w:rPr>
        <w:t xml:space="preserve"> · </w:t>
      </w:r>
      <w:hyperlink w:anchor="viii-four-stages">
        <w:r>
          <w:rPr>
            <w:color w:val="000000"/>
          </w:rPr>
          <w:t xml:space="preserve">Four stages of cognition</w:t>
        </w:r>
      </w:hyperlink>
      <w:r>
        <w:t xml:space="preserve"> (p. </w:t>
      </w:r>
      <w:fldSimple w:instr=" PAGEREF &quot;viii-four-stages&quot; \h ">
        <w:r>
          <w:t>74</w:t>
        </w:r>
      </w:fldSimple>
      <w:r>
        <w:t>)</w:t>
      </w:r>
      <w:r>
        <w:rPr>
          <w:b w:val="0"/>
          <w:i w:val="0"/>
        </w:rPr>
        <w:t xml:space="preserve"> · </w:t>
      </w:r>
      <w:hyperlink w:anchor="vii-freedom-matter">
        <w:r>
          <w:rPr>
            <w:color w:val="000000"/>
          </w:rPr>
          <w:t xml:space="preserve">Freedom from matter and causal priority</w:t>
        </w:r>
      </w:hyperlink>
      <w:r>
        <w:t xml:space="preserve"> (p. </w:t>
      </w:r>
      <w:fldSimple w:instr=" PAGEREF &quot;vii-freedom-matter&quot; \h ">
        <w:r>
          <w:t>75</w:t>
        </w:r>
      </w:fldSimple>
      <w:r>
        <w:t>)</w:t>
      </w:r>
    </w:p>
    <w:p>
      <w:pPr>
        <w:widowControl/>
      </w:pPr>
      <w:r>
        <w:rPr>
          <w:b/>
          <w:i w:val="0"/>
        </w:rPr>
        <w:t>G</w:t>
      </w:r>
      <w:r>
        <w:br/>
      </w:r>
      <w:hyperlink w:anchor="garment-mud-and-misleading-shadows">
        <w:r>
          <w:rPr>
            <w:color w:val="000000"/>
          </w:rPr>
          <w:t xml:space="preserve">Garment, mud and misleading shadows</w:t>
        </w:r>
      </w:hyperlink>
      <w:r>
        <w:t xml:space="preserve"> (p. </w:t>
      </w:r>
      <w:fldSimple w:instr=" PAGEREF &quot;garment-mud-and-misleading-shadows&quot; \h ">
        <w:r>
          <w:t>76</w:t>
        </w:r>
      </w:fldSimple>
      <w:r>
        <w:t>)</w:t>
      </w:r>
      <w:r>
        <w:rPr>
          <w:b w:val="0"/>
          <w:i w:val="0"/>
        </w:rPr>
        <w:t xml:space="preserve"> · </w:t>
      </w:r>
      <w:hyperlink w:anchor="generation-corruption-and-annihilation">
        <w:r>
          <w:rPr>
            <w:color w:val="000000"/>
          </w:rPr>
          <w:t xml:space="preserve">Generation, corruption and annihilation</w:t>
        </w:r>
      </w:hyperlink>
      <w:r>
        <w:t xml:space="preserve"> (p. </w:t>
      </w:r>
      <w:fldSimple w:instr=" PAGEREF &quot;generation-corruption-and-annihilation&quot; \h ">
        <w:r>
          <w:t>77</w:t>
        </w:r>
      </w:fldSimple>
      <w:r>
        <w:t>)</w:t>
      </w:r>
      <w:r>
        <w:rPr>
          <w:b w:val="0"/>
          <w:i w:val="0"/>
        </w:rPr>
        <w:t xml:space="preserve"> · </w:t>
      </w:r>
      <w:hyperlink w:anchor="generation-corruption-and-self-preservation">
        <w:r>
          <w:rPr>
            <w:color w:val="000000"/>
          </w:rPr>
          <w:t xml:space="preserve">Generation, corruption and self-preservation</w:t>
        </w:r>
      </w:hyperlink>
      <w:r>
        <w:t xml:space="preserve"> (p. </w:t>
      </w:r>
      <w:fldSimple w:instr=" PAGEREF &quot;generation-corruption-and-self-preservation&quot; \h ">
        <w:r>
          <w:t>78</w:t>
        </w:r>
      </w:fldSimple>
      <w:r>
        <w:t>)</w:t>
      </w:r>
      <w:r>
        <w:rPr>
          <w:b w:val="0"/>
          <w:i w:val="0"/>
        </w:rPr>
        <w:t xml:space="preserve"> · </w:t>
      </w:r>
      <w:hyperlink w:anchor="growth-amputation-and-soul-size">
        <w:r>
          <w:rPr>
            <w:color w:val="000000"/>
          </w:rPr>
          <w:t xml:space="preserve">Growth, amputation and soul-size</w:t>
        </w:r>
      </w:hyperlink>
      <w:r>
        <w:t xml:space="preserve"> (p. </w:t>
      </w:r>
      <w:fldSimple w:instr=" PAGEREF &quot;growth-amputation-and-soul-size&quot; \h ">
        <w:r>
          <w:t>79</w:t>
        </w:r>
      </w:fldSimple>
      <w:r>
        <w:t>)</w:t>
      </w:r>
    </w:p>
    <w:p>
      <w:pPr>
        <w:widowControl/>
      </w:pPr>
      <w:r>
        <w:rPr>
          <w:b/>
          <w:i w:val="0"/>
        </w:rPr>
        <w:t>H</w:t>
      </w:r>
      <w:r>
        <w:br/>
      </w:r>
      <w:hyperlink w:anchor="habit-purification-and-intellectual-experiment">
        <w:r>
          <w:rPr>
            <w:color w:val="000000"/>
          </w:rPr>
          <w:t xml:space="preserve">Habit, purification and intellectual experiment</w:t>
        </w:r>
      </w:hyperlink>
      <w:r>
        <w:t xml:space="preserve"> (p. </w:t>
      </w:r>
      <w:fldSimple w:instr=" PAGEREF &quot;habit-purification-and-intellectual-experiment&quot; \h ">
        <w:r>
          <w:t>79</w:t>
        </w:r>
      </w:fldSimple>
      <w:r>
        <w:t>)</w:t>
      </w:r>
      <w:r>
        <w:rPr>
          <w:b w:val="0"/>
          <w:i w:val="0"/>
        </w:rPr>
        <w:t xml:space="preserve"> · </w:t>
      </w:r>
      <w:hyperlink w:anchor="vii-harmony-strings">
        <w:r>
          <w:rPr>
            <w:color w:val="000000"/>
          </w:rPr>
          <w:t xml:space="preserve">Harmony and the strings</w:t>
        </w:r>
      </w:hyperlink>
      <w:r>
        <w:t xml:space="preserve"> (p. </w:t>
      </w:r>
      <w:fldSimple w:instr=" PAGEREF &quot;vii-harmony-strings&quot; \h ">
        <w:r>
          <w:t>80</w:t>
        </w:r>
      </w:fldSimple>
      <w:r>
        <w:t>)</w:t>
      </w:r>
    </w:p>
    <w:p>
      <w:pPr>
        <w:widowControl/>
      </w:pPr>
      <w:r>
        <w:rPr>
          <w:b/>
          <w:i w:val="0"/>
        </w:rPr>
        <w:t>I</w:t>
      </w:r>
      <w:r>
        <w:br/>
      </w:r>
      <w:hyperlink w:anchor="ideas-natural-ascent-and-rest">
        <w:r>
          <w:rPr>
            <w:color w:val="000000"/>
          </w:rPr>
          <w:t xml:space="preserve">Ideas, natural ascent and rest</w:t>
        </w:r>
      </w:hyperlink>
      <w:r>
        <w:t xml:space="preserve"> (p. </w:t>
      </w:r>
      <w:fldSimple w:instr=" PAGEREF &quot;ideas-natural-ascent-and-rest&quot; \h ">
        <w:r>
          <w:t>82</w:t>
        </w:r>
      </w:fldSimple>
      <w:r>
        <w:t>)</w:t>
      </w:r>
      <w:r>
        <w:rPr>
          <w:b w:val="0"/>
          <w:i w:val="0"/>
        </w:rPr>
        <w:t xml:space="preserve"> · </w:t>
      </w:r>
      <w:hyperlink w:anchor="image-shadow-and-ranked-truth">
        <w:r>
          <w:rPr>
            <w:color w:val="000000"/>
          </w:rPr>
          <w:t xml:space="preserve">Image, shadow and ranked truth</w:t>
        </w:r>
      </w:hyperlink>
      <w:r>
        <w:t xml:space="preserve"> (p. </w:t>
      </w:r>
      <w:fldSimple w:instr=" PAGEREF &quot;image-shadow-and-ranked-truth&quot; \h ">
        <w:r>
          <w:t>83</w:t>
        </w:r>
      </w:fldSimple>
      <w:r>
        <w:t>)</w:t>
      </w:r>
      <w:r>
        <w:rPr>
          <w:b w:val="0"/>
          <w:i w:val="0"/>
        </w:rPr>
        <w:t xml:space="preserve"> · </w:t>
      </w:r>
      <w:hyperlink w:anchor="viii-images-intentions">
        <w:r>
          <w:rPr>
            <w:color w:val="000000"/>
          </w:rPr>
          <w:t xml:space="preserve">Images, intentions, and conjecturing substance</w:t>
        </w:r>
      </w:hyperlink>
      <w:r>
        <w:t xml:space="preserve"> (p. </w:t>
      </w:r>
      <w:fldSimple w:instr=" PAGEREF &quot;viii-images-intentions&quot; \h ">
        <w:r>
          <w:t>84</w:t>
        </w:r>
      </w:fldSimple>
      <w:r>
        <w:t>)</w:t>
      </w:r>
      <w:r>
        <w:rPr>
          <w:b w:val="0"/>
          <w:i w:val="0"/>
        </w:rPr>
        <w:t xml:space="preserve"> · </w:t>
      </w:r>
      <w:hyperlink w:anchor="images-migration-and-perfect-agent">
        <w:r>
          <w:rPr>
            <w:color w:val="000000"/>
          </w:rPr>
          <w:t xml:space="preserve">Images, migration and the perfect agent</w:t>
        </w:r>
      </w:hyperlink>
      <w:r>
        <w:t xml:space="preserve"> (p. </w:t>
      </w:r>
      <w:fldSimple w:instr=" PAGEREF &quot;images-migration-and-perfect-agent&quot; \h ">
        <w:r>
          <w:t>85</w:t>
        </w:r>
      </w:fldSimple>
      <w:r>
        <w:t>)</w:t>
      </w:r>
      <w:r>
        <w:rPr>
          <w:b w:val="0"/>
          <w:i w:val="0"/>
        </w:rPr>
        <w:t xml:space="preserve"> · </w:t>
      </w:r>
      <w:hyperlink w:anchor="viii-immediate-reflexive">
        <w:r>
          <w:rPr>
            <w:color w:val="000000"/>
          </w:rPr>
          <w:t xml:space="preserve">Immediate intellection and the return to particulars</w:t>
        </w:r>
      </w:hyperlink>
      <w:r>
        <w:t xml:space="preserve"> (p. </w:t>
      </w:r>
      <w:fldSimple w:instr=" PAGEREF &quot;viii-immediate-reflexive&quot; \h ">
        <w:r>
          <w:t>86</w:t>
        </w:r>
      </w:fldSimple>
      <w:r>
        <w:t>)</w:t>
      </w:r>
      <w:r>
        <w:rPr>
          <w:b w:val="0"/>
          <w:i w:val="0"/>
        </w:rPr>
        <w:t xml:space="preserve"> · </w:t>
      </w:r>
      <w:hyperlink w:anchor="inclination-and-independence">
        <w:r>
          <w:rPr>
            <w:color w:val="000000"/>
          </w:rPr>
          <w:t xml:space="preserve">Inclination and independence</w:t>
        </w:r>
      </w:hyperlink>
      <w:r>
        <w:t xml:space="preserve"> (p. </w:t>
      </w:r>
      <w:fldSimple w:instr=" PAGEREF &quot;inclination-and-independence&quot; \h ">
        <w:r>
          <w:t>87</w:t>
        </w:r>
      </w:fldSimple>
      <w:r>
        <w:t>)</w:t>
      </w:r>
      <w:r>
        <w:rPr>
          <w:b w:val="0"/>
          <w:i w:val="0"/>
        </w:rPr>
        <w:t xml:space="preserve"> · </w:t>
      </w:r>
      <w:hyperlink w:anchor="viii-individual-perpetuity">
        <w:r>
          <w:rPr>
            <w:color w:val="000000"/>
          </w:rPr>
          <w:t xml:space="preserve">Individual immortality and the scope of the conclusion</w:t>
        </w:r>
      </w:hyperlink>
      <w:r>
        <w:t xml:space="preserve"> (p. </w:t>
      </w:r>
      <w:fldSimple w:instr=" PAGEREF &quot;viii-individual-perpetuity&quot; \h ">
        <w:r>
          <w:t>88</w:t>
        </w:r>
      </w:fldSimple>
      <w:r>
        <w:t>)</w:t>
      </w:r>
      <w:r>
        <w:rPr>
          <w:b w:val="0"/>
          <w:i w:val="0"/>
        </w:rPr>
        <w:t xml:space="preserve"> · </w:t>
      </w:r>
      <w:hyperlink w:anchor="indivisibility-and-contact">
        <w:r>
          <w:rPr>
            <w:color w:val="000000"/>
          </w:rPr>
          <w:t xml:space="preserve">Indivisibility and contact</w:t>
        </w:r>
      </w:hyperlink>
      <w:r>
        <w:t xml:space="preserve"> (p. </w:t>
      </w:r>
      <w:fldSimple w:instr=" PAGEREF &quot;indivisibility-and-contact&quot; \h ">
        <w:r>
          <w:t>89</w:t>
        </w:r>
      </w:fldSimple>
      <w:r>
        <w:t>)</w:t>
      </w:r>
      <w:r>
        <w:rPr>
          <w:b w:val="0"/>
          <w:i w:val="0"/>
        </w:rPr>
        <w:t xml:space="preserve"> · </w:t>
      </w:r>
      <w:hyperlink w:anchor="viii-infinite-operations">
        <w:r>
          <w:rPr>
            <w:color w:val="000000"/>
          </w:rPr>
          <w:t xml:space="preserve">Infinite operations and the limits of sensory kinds</w:t>
        </w:r>
      </w:hyperlink>
      <w:r>
        <w:t xml:space="preserve"> (p. </w:t>
      </w:r>
      <w:fldSimple w:instr=" PAGEREF &quot;viii-infinite-operations&quot; \h ">
        <w:r>
          <w:t>90</w:t>
        </w:r>
      </w:fldSimple>
      <w:r>
        <w:t>)</w:t>
      </w:r>
      <w:r>
        <w:rPr>
          <w:b w:val="0"/>
          <w:i w:val="0"/>
        </w:rPr>
        <w:t xml:space="preserve"> · </w:t>
      </w:r>
      <w:hyperlink w:anchor="vii-injury-judge">
        <w:r>
          <w:rPr>
            <w:color w:val="000000"/>
          </w:rPr>
          <w:t xml:space="preserve">Injury and the uninjured judge</w:t>
        </w:r>
      </w:hyperlink>
      <w:r>
        <w:t xml:space="preserve"> (p. </w:t>
      </w:r>
      <w:fldSimple w:instr=" PAGEREF &quot;vii-injury-judge&quot; \h ">
        <w:r>
          <w:t>91</w:t>
        </w:r>
      </w:fldSimple>
      <w:r>
        <w:t>)</w:t>
      </w:r>
      <w:r>
        <w:rPr>
          <w:b w:val="0"/>
          <w:i w:val="0"/>
        </w:rPr>
        <w:t xml:space="preserve"> · </w:t>
      </w:r>
      <w:hyperlink w:anchor="viii-innate-forms">
        <w:r>
          <w:rPr>
            <w:color w:val="000000"/>
          </w:rPr>
          <w:t xml:space="preserve">Innate forms and the stimulus of images</w:t>
        </w:r>
      </w:hyperlink>
      <w:r>
        <w:t xml:space="preserve"> (p. </w:t>
      </w:r>
      <w:fldSimple w:instr=" PAGEREF &quot;viii-innate-forms&quot; \h ">
        <w:r>
          <w:t>92</w:t>
        </w:r>
      </w:fldSimple>
      <w:r>
        <w:t>)</w:t>
      </w:r>
      <w:r>
        <w:rPr>
          <w:b w:val="0"/>
          <w:i w:val="0"/>
        </w:rPr>
        <w:t xml:space="preserve"> · </w:t>
      </w:r>
      <w:hyperlink w:anchor="viii-divine-enlargement">
        <w:r>
          <w:rPr>
            <w:color w:val="000000"/>
          </w:rPr>
          <w:t xml:space="preserve">Insatiable desire and divine enlargement</w:t>
        </w:r>
      </w:hyperlink>
      <w:r>
        <w:t xml:space="preserve"> (p. </w:t>
      </w:r>
      <w:fldSimple w:instr=" PAGEREF &quot;viii-divine-enlargement&quot; \h ">
        <w:r>
          <w:t>93</w:t>
        </w:r>
      </w:fldSimple>
      <w:r>
        <w:t>)</w:t>
      </w:r>
      <w:r>
        <w:rPr>
          <w:b w:val="0"/>
          <w:i w:val="0"/>
        </w:rPr>
        <w:t xml:space="preserve"> · </w:t>
      </w:r>
      <w:hyperlink w:anchor="instrument-and-creative-mediation">
        <w:r>
          <w:rPr>
            <w:color w:val="000000"/>
          </w:rPr>
          <w:t xml:space="preserve">Instrument and creative mediation</w:t>
        </w:r>
      </w:hyperlink>
      <w:r>
        <w:t xml:space="preserve"> (p. </w:t>
      </w:r>
      <w:fldSimple w:instr=" PAGEREF &quot;instrument-and-creative-mediation&quot; \h ">
        <w:r>
          <w:t>94</w:t>
        </w:r>
      </w:fldSimple>
      <w:r>
        <w:t>)</w:t>
      </w:r>
      <w:r>
        <w:rPr>
          <w:b w:val="0"/>
          <w:i w:val="0"/>
        </w:rPr>
        <w:t xml:space="preserve"> · </w:t>
      </w:r>
      <w:hyperlink w:anchor="integrity-of-the-whole">
        <w:r>
          <w:rPr>
            <w:color w:val="000000"/>
          </w:rPr>
          <w:t xml:space="preserve">Integrity of the whole</w:t>
        </w:r>
      </w:hyperlink>
      <w:r>
        <w:t xml:space="preserve"> (p. </w:t>
      </w:r>
      <w:fldSimple w:instr=" PAGEREF &quot;integrity-of-the-whole&quot; \h ">
        <w:r>
          <w:t>95</w:t>
        </w:r>
      </w:fldSimple>
      <w:r>
        <w:t>)</w:t>
      </w:r>
      <w:r>
        <w:rPr>
          <w:b w:val="0"/>
          <w:i w:val="0"/>
        </w:rPr>
        <w:t xml:space="preserve"> · </w:t>
      </w:r>
      <w:hyperlink w:anchor="viii-intellectual-intelligible">
        <w:r>
          <w:rPr>
            <w:color w:val="000000"/>
          </w:rPr>
          <w:t xml:space="preserve">Intellectual forms and intelligible essences</w:t>
        </w:r>
      </w:hyperlink>
      <w:r>
        <w:t xml:space="preserve"> (p. </w:t>
      </w:r>
      <w:fldSimple w:instr=" PAGEREF &quot;viii-intellectual-intelligible&quot; \h ">
        <w:r>
          <w:t>96</w:t>
        </w:r>
      </w:fldSimple>
      <w:r>
        <w:t>)</w:t>
      </w:r>
      <w:r>
        <w:rPr>
          <w:b w:val="0"/>
          <w:i w:val="0"/>
        </w:rPr>
        <w:t xml:space="preserve"> · </w:t>
      </w:r>
      <w:hyperlink w:anchor="viii-intellectual-generation">
        <w:r>
          <w:rPr>
            <w:color w:val="000000"/>
          </w:rPr>
          <w:t xml:space="preserve">Intellectual generation and daily renewal</w:t>
        </w:r>
      </w:hyperlink>
      <w:r>
        <w:t xml:space="preserve"> (p. </w:t>
      </w:r>
      <w:fldSimple w:instr=" PAGEREF &quot;viii-intellectual-generation&quot; \h ">
        <w:r>
          <w:t>98</w:t>
        </w:r>
      </w:fldSimple>
      <w:r>
        <w:t>)</w:t>
      </w:r>
      <w:r>
        <w:rPr>
          <w:b w:val="0"/>
          <w:i w:val="0"/>
        </w:rPr>
        <w:t xml:space="preserve"> · </w:t>
      </w:r>
      <w:hyperlink w:anchor="intellectual-objects-and-owl-eye">
        <w:r>
          <w:rPr>
            <w:color w:val="000000"/>
          </w:rPr>
          <w:t xml:space="preserve">Intellectual objects and the owl’s eye</w:t>
        </w:r>
      </w:hyperlink>
      <w:r>
        <w:t xml:space="preserve"> (p. </w:t>
      </w:r>
      <w:fldSimple w:instr=" PAGEREF &quot;intellectual-objects-and-owl-eye&quot; \h ">
        <w:r>
          <w:t>99</w:t>
        </w:r>
      </w:fldSimple>
      <w:r>
        <w:t>)</w:t>
      </w:r>
      <w:r>
        <w:rPr>
          <w:b w:val="0"/>
          <w:i w:val="0"/>
        </w:rPr>
        <w:t xml:space="preserve"> · </w:t>
      </w:r>
      <w:hyperlink w:anchor="intelligible-principles-and-reasoning">
        <w:r>
          <w:rPr>
            <w:color w:val="000000"/>
          </w:rPr>
          <w:t xml:space="preserve">Intelligible principles and reasoning</w:t>
        </w:r>
      </w:hyperlink>
      <w:r>
        <w:t xml:space="preserve"> (p. </w:t>
      </w:r>
      <w:fldSimple w:instr=" PAGEREF &quot;intelligible-principles-and-reasoning&quot; \h ">
        <w:r>
          <w:t>100</w:t>
        </w:r>
      </w:fldSimple>
      <w:r>
        <w:t>)</w:t>
      </w:r>
    </w:p>
    <w:p>
      <w:pPr>
        <w:widowControl/>
      </w:pPr>
      <w:r>
        <w:rPr>
          <w:b/>
          <w:i w:val="0"/>
        </w:rPr>
        <w:t>K</w:t>
      </w:r>
      <w:r>
        <w:br/>
      </w:r>
      <w:hyperlink w:anchor="viii-operation-kind">
        <w:r>
          <w:rPr>
            <w:color w:val="000000"/>
          </w:rPr>
          <w:t xml:space="preserve">Kind, generation, and operation’s dependence on substance</w:t>
        </w:r>
      </w:hyperlink>
      <w:r>
        <w:t xml:space="preserve"> (p. </w:t>
      </w:r>
      <w:fldSimple w:instr=" PAGEREF &quot;viii-operation-kind&quot; \h ">
        <w:r>
          <w:t>101</w:t>
        </w:r>
      </w:fldSimple>
      <w:r>
        <w:t>)</w:t>
      </w:r>
    </w:p>
    <w:p>
      <w:pPr>
        <w:widowControl/>
      </w:pPr>
      <w:r>
        <w:rPr>
          <w:b/>
          <w:i w:val="0"/>
        </w:rPr>
        <w:t>L</w:t>
      </w:r>
      <w:r>
        <w:br/>
      </w:r>
      <w:hyperlink w:anchor="life-and-vivification">
        <w:r>
          <w:rPr>
            <w:color w:val="000000"/>
          </w:rPr>
          <w:t xml:space="preserve">Life and vivification</w:t>
        </w:r>
      </w:hyperlink>
      <w:r>
        <w:t xml:space="preserve"> (p. </w:t>
      </w:r>
      <w:fldSimple w:instr=" PAGEREF &quot;life-and-vivification&quot; \h ">
        <w:r>
          <w:t>102</w:t>
        </w:r>
      </w:fldSimple>
      <w:r>
        <w:t>)</w:t>
      </w:r>
      <w:r>
        <w:rPr>
          <w:b w:val="0"/>
          <w:i w:val="0"/>
        </w:rPr>
        <w:t xml:space="preserve"> · </w:t>
      </w:r>
      <w:hyperlink w:anchor="light-spirit-and-unseen-source">
        <w:r>
          <w:rPr>
            <w:color w:val="000000"/>
          </w:rPr>
          <w:t xml:space="preserve">Light, spirit and the unseen source</w:t>
        </w:r>
      </w:hyperlink>
      <w:r>
        <w:t xml:space="preserve"> (p. </w:t>
      </w:r>
      <w:fldSimple w:instr=" PAGEREF &quot;light-spirit-and-unseen-source&quot; \h ">
        <w:r>
          <w:t>103</w:t>
        </w:r>
      </w:fldSimple>
      <w:r>
        <w:t>)</w:t>
      </w:r>
      <w:r>
        <w:rPr>
          <w:b w:val="0"/>
          <w:i w:val="0"/>
        </w:rPr>
        <w:t xml:space="preserve"> · </w:t>
      </w:r>
      <w:hyperlink w:anchor="vii-lucifer-meaning">
        <w:r>
          <w:rPr>
            <w:color w:val="000000"/>
          </w:rPr>
          <w:t xml:space="preserve">Lucifer and indivisible meaning</w:t>
        </w:r>
      </w:hyperlink>
      <w:r>
        <w:t xml:space="preserve"> (p. </w:t>
      </w:r>
      <w:fldSimple w:instr=" PAGEREF &quot;vii-lucifer-meaning&quot; \h ">
        <w:r>
          <w:t>103</w:t>
        </w:r>
      </w:fldSimple>
      <w:r>
        <w:t>)</w:t>
      </w:r>
    </w:p>
    <w:p>
      <w:pPr>
        <w:widowControl/>
      </w:pPr>
      <w:r>
        <w:rPr>
          <w:b/>
          <w:i w:val="0"/>
        </w:rPr>
        <w:t>M</w:t>
      </w:r>
      <w:r>
        <w:br/>
      </w:r>
      <w:hyperlink w:anchor="viii-infinity-measure">
        <w:r>
          <w:rPr>
            <w:color w:val="000000"/>
          </w:rPr>
          <w:t xml:space="preserve">Measuring infinity and thinking being and nonbeing</w:t>
        </w:r>
      </w:hyperlink>
      <w:r>
        <w:t xml:space="preserve"> (p. </w:t>
      </w:r>
      <w:fldSimple w:instr=" PAGEREF &quot;viii-infinity-measure&quot; \h ">
        <w:r>
          <w:t>104</w:t>
        </w:r>
      </w:fldSimple>
      <w:r>
        <w:t>)</w:t>
      </w:r>
      <w:r>
        <w:rPr>
          <w:b w:val="0"/>
          <w:i w:val="0"/>
        </w:rPr>
        <w:t xml:space="preserve"> · </w:t>
      </w:r>
      <w:hyperlink w:anchor="members-house-and-sinew">
        <w:r>
          <w:rPr>
            <w:color w:val="000000"/>
          </w:rPr>
          <w:t xml:space="preserve">Members, house and sinew</w:t>
        </w:r>
      </w:hyperlink>
      <w:r>
        <w:t xml:space="preserve"> (p. </w:t>
      </w:r>
      <w:fldSimple w:instr=" PAGEREF &quot;members-house-and-sinew&quot; \h ">
        <w:r>
          <w:t>105</w:t>
        </w:r>
      </w:fldSimple>
      <w:r>
        <w:t>)</w:t>
      </w:r>
      <w:r>
        <w:rPr>
          <w:b w:val="0"/>
          <w:i w:val="0"/>
        </w:rPr>
        <w:t xml:space="preserve"> · </w:t>
      </w:r>
      <w:hyperlink w:anchor="vii-memory-solid-fluid">
        <w:r>
          <w:rPr>
            <w:color w:val="000000"/>
          </w:rPr>
          <w:t xml:space="preserve">Memory, rigidity and fluidity</w:t>
        </w:r>
      </w:hyperlink>
      <w:r>
        <w:t xml:space="preserve"> (p. </w:t>
      </w:r>
      <w:fldSimple w:instr=" PAGEREF &quot;vii-memory-solid-fluid&quot; \h ">
        <w:r>
          <w:t>106</w:t>
        </w:r>
      </w:fldSimple>
      <w:r>
        <w:t>)</w:t>
      </w:r>
      <w:r>
        <w:rPr>
          <w:b w:val="0"/>
          <w:i w:val="0"/>
        </w:rPr>
        <w:t xml:space="preserve"> · </w:t>
      </w:r>
      <w:hyperlink w:anchor="viii-mental-hands">
        <w:r>
          <w:rPr>
            <w:color w:val="000000"/>
          </w:rPr>
          <w:t xml:space="preserve">Mental hands, conception, and creative understanding</w:t>
        </w:r>
      </w:hyperlink>
      <w:r>
        <w:t xml:space="preserve"> (p. </w:t>
      </w:r>
      <w:fldSimple w:instr=" PAGEREF &quot;viii-mental-hands&quot; \h ">
        <w:r>
          <w:t>107</w:t>
        </w:r>
      </w:fldSimple>
      <w:r>
        <w:t>)</w:t>
      </w:r>
      <w:r>
        <w:rPr>
          <w:b w:val="0"/>
          <w:i w:val="0"/>
        </w:rPr>
        <w:t xml:space="preserve"> · </w:t>
      </w:r>
      <w:hyperlink w:anchor="viii-mind-transforms">
        <w:r>
          <w:rPr>
            <w:color w:val="000000"/>
          </w:rPr>
          <w:t xml:space="preserve">Mind’s transformation of material conditions</w:t>
        </w:r>
      </w:hyperlink>
      <w:r>
        <w:t xml:space="preserve"> (p. </w:t>
      </w:r>
      <w:fldSimple w:instr=" PAGEREF &quot;viii-mind-transforms&quot; \h ">
        <w:r>
          <w:t>108</w:t>
        </w:r>
      </w:fldSimple>
      <w:r>
        <w:t>)</w:t>
      </w:r>
      <w:r>
        <w:rPr>
          <w:b w:val="0"/>
          <w:i w:val="0"/>
        </w:rPr>
        <w:t xml:space="preserve"> · </w:t>
      </w:r>
      <w:hyperlink w:anchor="viii-mirror-light">
        <w:r>
          <w:rPr>
            <w:color w:val="000000"/>
          </w:rPr>
          <w:t xml:space="preserve">Mirror, light, and the soul of the sun</w:t>
        </w:r>
      </w:hyperlink>
      <w:r>
        <w:t xml:space="preserve"> (p. </w:t>
      </w:r>
      <w:fldSimple w:instr=" PAGEREF &quot;viii-mirror-light&quot; \h ">
        <w:r>
          <w:t>109</w:t>
        </w:r>
      </w:fldSimple>
      <w:r>
        <w:t>)</w:t>
      </w:r>
      <w:r>
        <w:rPr>
          <w:b w:val="0"/>
          <w:i w:val="0"/>
        </w:rPr>
        <w:t xml:space="preserve"> · </w:t>
      </w:r>
      <w:hyperlink w:anchor="vii-moral-concord">
        <w:r>
          <w:rPr>
            <w:color w:val="000000"/>
          </w:rPr>
          <w:t xml:space="preserve">Moral concord and the robber</w:t>
        </w:r>
      </w:hyperlink>
      <w:r>
        <w:t xml:space="preserve"> (p. </w:t>
      </w:r>
      <w:fldSimple w:instr=" PAGEREF &quot;vii-moral-concord&quot; \h ">
        <w:r>
          <w:t>110</w:t>
        </w:r>
      </w:fldSimple>
      <w:r>
        <w:t>)</w:t>
      </w:r>
      <w:r>
        <w:rPr>
          <w:b w:val="0"/>
          <w:i w:val="0"/>
        </w:rPr>
        <w:t xml:space="preserve"> · </w:t>
      </w:r>
      <w:hyperlink w:anchor="motion-and-substantial-stability">
        <w:r>
          <w:rPr>
            <w:color w:val="000000"/>
          </w:rPr>
          <w:t xml:space="preserve">Motion and substantial stability</w:t>
        </w:r>
      </w:hyperlink>
      <w:r>
        <w:t xml:space="preserve"> (p. </w:t>
      </w:r>
      <w:fldSimple w:instr=" PAGEREF &quot;motion-and-substantial-stability&quot; \h ">
        <w:r>
          <w:t>111</w:t>
        </w:r>
      </w:fldSimple>
      <w:r>
        <w:t>)</w:t>
      </w:r>
      <w:r>
        <w:rPr>
          <w:b w:val="0"/>
          <w:i w:val="0"/>
        </w:rPr>
        <w:t xml:space="preserve"> · </w:t>
      </w:r>
      <w:hyperlink w:anchor="viii-mutual-minds">
        <w:r>
          <w:rPr>
            <w:color w:val="000000"/>
          </w:rPr>
          <w:t xml:space="preserve">Mutual knowledge of minds and the celestial spheres</w:t>
        </w:r>
      </w:hyperlink>
      <w:r>
        <w:t xml:space="preserve"> (p. </w:t>
      </w:r>
      <w:fldSimple w:instr=" PAGEREF &quot;viii-mutual-minds&quot; \h ">
        <w:r>
          <w:t>112</w:t>
        </w:r>
      </w:fldSimple>
      <w:r>
        <w:t>)</w:t>
      </w:r>
    </w:p>
    <w:p>
      <w:pPr>
        <w:widowControl/>
      </w:pPr>
      <w:r>
        <w:rPr>
          <w:b/>
          <w:i w:val="0"/>
        </w:rPr>
        <w:t>N</w:t>
      </w:r>
      <w:r>
        <w:br/>
      </w:r>
      <w:hyperlink w:anchor="viii-natural-desire">
        <w:r>
          <w:rPr>
            <w:color w:val="000000"/>
          </w:rPr>
          <w:t xml:space="preserve">Natural desire, possible good, and Olympiodorus</w:t>
        </w:r>
      </w:hyperlink>
      <w:r>
        <w:t xml:space="preserve"> (p. </w:t>
      </w:r>
      <w:fldSimple w:instr=" PAGEREF &quot;viii-natural-desire&quot; \h ">
        <w:r>
          <w:t>113</w:t>
        </w:r>
      </w:fldSimple>
      <w:r>
        <w:t>)</w:t>
      </w:r>
      <w:r>
        <w:rPr>
          <w:b w:val="0"/>
          <w:i w:val="0"/>
        </w:rPr>
        <w:t xml:space="preserve"> · </w:t>
      </w:r>
      <w:hyperlink w:anchor="natural-striving-source-and-return">
        <w:r>
          <w:rPr>
            <w:color w:val="000000"/>
          </w:rPr>
          <w:t xml:space="preserve">Natural striving, source and return</w:t>
        </w:r>
      </w:hyperlink>
      <w:r>
        <w:t xml:space="preserve"> (p. </w:t>
      </w:r>
      <w:fldSimple w:instr=" PAGEREF &quot;natural-striving-source-and-return&quot; \h ">
        <w:r>
          <w:t>113</w:t>
        </w:r>
      </w:fldSimple>
      <w:r>
        <w:t>)</w:t>
      </w:r>
      <w:r>
        <w:rPr>
          <w:b w:val="0"/>
          <w:i w:val="0"/>
        </w:rPr>
        <w:t xml:space="preserve"> · </w:t>
      </w:r>
      <w:hyperlink w:anchor="necessary-predication-and-the-fire-objection">
        <w:r>
          <w:rPr>
            <w:color w:val="000000"/>
          </w:rPr>
          <w:t xml:space="preserve">Necessary predication and the fire objection</w:t>
        </w:r>
      </w:hyperlink>
      <w:r>
        <w:t xml:space="preserve"> (p. </w:t>
      </w:r>
      <w:fldSimple w:instr=" PAGEREF &quot;necessary-predication-and-the-fire-objection&quot; \h ">
        <w:r>
          <w:t>115</w:t>
        </w:r>
      </w:fldSimple>
      <w:r>
        <w:t>)</w:t>
      </w:r>
      <w:r>
        <w:rPr>
          <w:b w:val="0"/>
          <w:i w:val="0"/>
        </w:rPr>
        <w:t xml:space="preserve"> · </w:t>
      </w:r>
      <w:hyperlink w:anchor="nourishment-and-life-giving-form">
        <w:r>
          <w:rPr>
            <w:color w:val="000000"/>
          </w:rPr>
          <w:t xml:space="preserve">Nourishment and the life-giving form</w:t>
        </w:r>
      </w:hyperlink>
      <w:r>
        <w:t xml:space="preserve"> (p. </w:t>
      </w:r>
      <w:fldSimple w:instr=" PAGEREF &quot;nourishment-and-life-giving-form&quot; \h ">
        <w:r>
          <w:t>116</w:t>
        </w:r>
      </w:fldSimple>
      <w:r>
        <w:t>)</w:t>
      </w:r>
      <w:r>
        <w:rPr>
          <w:b w:val="0"/>
          <w:i w:val="0"/>
        </w:rPr>
        <w:t xml:space="preserve"> · </w:t>
      </w:r>
      <w:hyperlink w:anchor="number-and-spiritual-amplitude">
        <w:r>
          <w:rPr>
            <w:color w:val="000000"/>
          </w:rPr>
          <w:t xml:space="preserve">Number and spiritual amplitude</w:t>
        </w:r>
      </w:hyperlink>
      <w:r>
        <w:t xml:space="preserve"> (p. </w:t>
      </w:r>
      <w:fldSimple w:instr=" PAGEREF &quot;number-and-spiritual-amplitude&quot; \h ">
        <w:r>
          <w:t>116</w:t>
        </w:r>
      </w:fldSimple>
      <w:r>
        <w:t>)</w:t>
      </w:r>
      <w:r>
        <w:rPr>
          <w:b w:val="0"/>
          <w:i w:val="0"/>
        </w:rPr>
        <w:t xml:space="preserve"> · </w:t>
      </w:r>
      <w:hyperlink w:anchor="vii-nutrition-principal-agent">
        <w:r>
          <w:rPr>
            <w:color w:val="000000"/>
          </w:rPr>
          <w:t xml:space="preserve">Nutrition, growth and the principal agent</w:t>
        </w:r>
      </w:hyperlink>
      <w:r>
        <w:t xml:space="preserve"> (p. </w:t>
      </w:r>
      <w:fldSimple w:instr=" PAGEREF &quot;vii-nutrition-principal-agent&quot; \h ">
        <w:r>
          <w:t>117</w:t>
        </w:r>
      </w:fldSimple>
      <w:r>
        <w:t>)</w:t>
      </w:r>
    </w:p>
    <w:p>
      <w:pPr>
        <w:widowControl/>
      </w:pPr>
      <w:r>
        <w:rPr>
          <w:b/>
          <w:i w:val="0"/>
        </w:rPr>
        <w:t>O</w:t>
      </w:r>
      <w:r>
        <w:br/>
      </w:r>
      <w:hyperlink w:anchor="vii-one-comprehension">
        <w:r>
          <w:rPr>
            <w:color w:val="000000"/>
          </w:rPr>
          <w:t xml:space="preserve">One comprehension and indivisible sensation</w:t>
        </w:r>
      </w:hyperlink>
      <w:r>
        <w:t xml:space="preserve"> (p. </w:t>
      </w:r>
      <w:fldSimple w:instr=" PAGEREF &quot;vii-one-comprehension&quot; \h ">
        <w:r>
          <w:t>119</w:t>
        </w:r>
      </w:fldSimple>
      <w:r>
        <w:t>)</w:t>
      </w:r>
      <w:r>
        <w:rPr>
          <w:b w:val="0"/>
          <w:i w:val="0"/>
        </w:rPr>
        <w:t xml:space="preserve"> · </w:t>
      </w:r>
      <w:hyperlink w:anchor="viii-outflow-return">
        <w:r>
          <w:rPr>
            <w:color w:val="000000"/>
          </w:rPr>
          <w:t xml:space="preserve">Outward flow and rational life’s return</w:t>
        </w:r>
      </w:hyperlink>
      <w:r>
        <w:t xml:space="preserve"> (p. </w:t>
      </w:r>
      <w:fldSimple w:instr=" PAGEREF &quot;viii-outflow-return&quot; \h ">
        <w:r>
          <w:t>120</w:t>
        </w:r>
      </w:fldSimple>
      <w:r>
        <w:t>)</w:t>
      </w:r>
    </w:p>
    <w:p>
      <w:pPr>
        <w:widowControl/>
      </w:pPr>
      <w:r>
        <w:rPr>
          <w:b/>
          <w:i w:val="0"/>
        </w:rPr>
        <w:t>P</w:t>
      </w:r>
      <w:r>
        <w:br/>
      </w:r>
      <w:hyperlink w:anchor="vii-pain-location">
        <w:r>
          <w:rPr>
            <w:color w:val="000000"/>
          </w:rPr>
          <w:t xml:space="preserve">Pain, location and reporting</w:t>
        </w:r>
      </w:hyperlink>
      <w:r>
        <w:t xml:space="preserve"> (p. </w:t>
      </w:r>
      <w:fldSimple w:instr=" PAGEREF &quot;vii-pain-location&quot; \h ">
        <w:r>
          <w:t>121</w:t>
        </w:r>
      </w:fldSimple>
      <w:r>
        <w:t>)</w:t>
      </w:r>
      <w:r>
        <w:rPr>
          <w:b w:val="0"/>
          <w:i w:val="0"/>
        </w:rPr>
        <w:t xml:space="preserve"> · </w:t>
      </w:r>
      <w:hyperlink w:anchor="participation-common-and-proper">
        <w:r>
          <w:rPr>
            <w:color w:val="000000"/>
          </w:rPr>
          <w:t xml:space="preserve">Participation, common and proper</w:t>
        </w:r>
      </w:hyperlink>
      <w:r>
        <w:t xml:space="preserve"> (p. </w:t>
      </w:r>
      <w:fldSimple w:instr=" PAGEREF &quot;participation-common-and-proper&quot; \h ">
        <w:r>
          <w:t>122</w:t>
        </w:r>
      </w:fldSimple>
      <w:r>
        <w:t>)</w:t>
      </w:r>
      <w:r>
        <w:rPr>
          <w:b w:val="0"/>
          <w:i w:val="0"/>
        </w:rPr>
        <w:t xml:space="preserve"> · </w:t>
      </w:r>
      <w:hyperlink w:anchor="passivity-and-bodily-affection">
        <w:r>
          <w:rPr>
            <w:color w:val="000000"/>
          </w:rPr>
          <w:t xml:space="preserve">Passivity and bodily affection</w:t>
        </w:r>
      </w:hyperlink>
      <w:r>
        <w:t xml:space="preserve"> (p. </w:t>
      </w:r>
      <w:fldSimple w:instr=" PAGEREF &quot;passivity-and-bodily-affection&quot; \h ">
        <w:r>
          <w:t>123</w:t>
        </w:r>
      </w:fldSimple>
      <w:r>
        <w:t>)</w:t>
      </w:r>
      <w:r>
        <w:rPr>
          <w:b w:val="0"/>
          <w:i w:val="0"/>
        </w:rPr>
        <w:t xml:space="preserve"> · </w:t>
      </w:r>
      <w:hyperlink w:anchor="persistence-memory-and-recognition">
        <w:r>
          <w:rPr>
            <w:color w:val="000000"/>
          </w:rPr>
          <w:t xml:space="preserve">Persistence, memory and recognition</w:t>
        </w:r>
      </w:hyperlink>
      <w:r>
        <w:t xml:space="preserve"> (p. </w:t>
      </w:r>
      <w:fldSimple w:instr=" PAGEREF &quot;persistence-memory-and-recognition&quot; \h ">
        <w:r>
          <w:t>124</w:t>
        </w:r>
      </w:fldSimple>
      <w:r>
        <w:t>)</w:t>
      </w:r>
      <w:r>
        <w:rPr>
          <w:b w:val="0"/>
          <w:i w:val="0"/>
        </w:rPr>
        <w:t xml:space="preserve"> · </w:t>
      </w:r>
      <w:hyperlink w:anchor="place-coincidence-and-painless-penetration">
        <w:r>
          <w:rPr>
            <w:color w:val="000000"/>
          </w:rPr>
          <w:t xml:space="preserve">Place, coincidence and painless penetration</w:t>
        </w:r>
      </w:hyperlink>
      <w:r>
        <w:t xml:space="preserve"> (p. </w:t>
      </w:r>
      <w:fldSimple w:instr=" PAGEREF &quot;place-coincidence-and-painless-penetration&quot; \h ">
        <w:r>
          <w:t>126</w:t>
        </w:r>
      </w:fldSimple>
      <w:r>
        <w:t>)</w:t>
      </w:r>
      <w:r>
        <w:rPr>
          <w:b w:val="0"/>
          <w:i w:val="0"/>
        </w:rPr>
        <w:t xml:space="preserve"> · </w:t>
      </w:r>
      <w:hyperlink w:anchor="platonist-disagreement-and-descent">
        <w:r>
          <w:rPr>
            <w:color w:val="000000"/>
          </w:rPr>
          <w:t xml:space="preserve">Platonist disagreement and descent</w:t>
        </w:r>
      </w:hyperlink>
      <w:r>
        <w:t xml:space="preserve"> (p. </w:t>
      </w:r>
      <w:fldSimple w:instr=" PAGEREF &quot;platonist-disagreement-and-descent&quot; \h ">
        <w:r>
          <w:t>126</w:t>
        </w:r>
      </w:fldSimple>
      <w:r>
        <w:t>)</w:t>
      </w:r>
      <w:r>
        <w:rPr>
          <w:b w:val="0"/>
          <w:i w:val="0"/>
        </w:rPr>
        <w:t xml:space="preserve"> · </w:t>
      </w:r>
      <w:hyperlink w:anchor="plato-cave-and-gradual-education">
        <w:r>
          <w:rPr>
            <w:color w:val="000000"/>
          </w:rPr>
          <w:t xml:space="preserve">Plato’s cave and gradual education</w:t>
        </w:r>
      </w:hyperlink>
      <w:r>
        <w:t xml:space="preserve"> (p. </w:t>
      </w:r>
      <w:fldSimple w:instr=" PAGEREF &quot;plato-cave-and-gradual-education&quot; \h ">
        <w:r>
          <w:t>127</w:t>
        </w:r>
      </w:fldSimple>
      <w:r>
        <w:t>)</w:t>
      </w:r>
      <w:r>
        <w:rPr>
          <w:b w:val="0"/>
          <w:i w:val="0"/>
        </w:rPr>
        <w:t xml:space="preserve"> · </w:t>
      </w:r>
      <w:hyperlink w:anchor="point-dimension-and-substantial-unity">
        <w:r>
          <w:rPr>
            <w:color w:val="000000"/>
          </w:rPr>
          <w:t xml:space="preserve">Point, dimension and substantial unity</w:t>
        </w:r>
      </w:hyperlink>
      <w:r>
        <w:t xml:space="preserve"> (p. </w:t>
      </w:r>
      <w:fldSimple w:instr=" PAGEREF &quot;point-dimension-and-substantial-unity&quot; \h ">
        <w:r>
          <w:t>128</w:t>
        </w:r>
      </w:fldSimple>
      <w:r>
        <w:t>)</w:t>
      </w:r>
      <w:r>
        <w:rPr>
          <w:b w:val="0"/>
          <w:i w:val="0"/>
        </w:rPr>
        <w:t xml:space="preserve"> · </w:t>
      </w:r>
      <w:hyperlink w:anchor="vii-point-line">
        <w:r>
          <w:rPr>
            <w:color w:val="000000"/>
          </w:rPr>
          <w:t xml:space="preserve">Point, line and the comparing power</w:t>
        </w:r>
      </w:hyperlink>
      <w:r>
        <w:t xml:space="preserve"> (p. </w:t>
      </w:r>
      <w:fldSimple w:instr=" PAGEREF &quot;vii-point-line&quot; \h ">
        <w:r>
          <w:t>130</w:t>
        </w:r>
      </w:fldSimple>
      <w:r>
        <w:t>)</w:t>
      </w:r>
      <w:r>
        <w:rPr>
          <w:b w:val="0"/>
          <w:i w:val="0"/>
        </w:rPr>
        <w:t xml:space="preserve"> · </w:t>
      </w:r>
      <w:hyperlink w:anchor="potency-possibility-and-the-lion">
        <w:r>
          <w:rPr>
            <w:color w:val="000000"/>
          </w:rPr>
          <w:t xml:space="preserve">Potency, possibility and the lion</w:t>
        </w:r>
      </w:hyperlink>
      <w:r>
        <w:t xml:space="preserve"> (p. </w:t>
      </w:r>
      <w:fldSimple w:instr=" PAGEREF &quot;potency-possibility-and-the-lion&quot; \h ">
        <w:r>
          <w:t>130</w:t>
        </w:r>
      </w:fldSimple>
      <w:r>
        <w:t>)</w:t>
      </w:r>
      <w:r>
        <w:rPr>
          <w:b w:val="0"/>
          <w:i w:val="0"/>
        </w:rPr>
        <w:t xml:space="preserve"> · </w:t>
      </w:r>
      <w:hyperlink w:anchor="primary-self-motion-and-parts">
        <w:r>
          <w:rPr>
            <w:color w:val="000000"/>
          </w:rPr>
          <w:t xml:space="preserve">Primary self-motion and the regress of parts</w:t>
        </w:r>
      </w:hyperlink>
      <w:r>
        <w:t xml:space="preserve"> (p. </w:t>
      </w:r>
      <w:fldSimple w:instr=" PAGEREF &quot;primary-self-motion-and-parts&quot; \h ">
        <w:r>
          <w:t>132</w:t>
        </w:r>
      </w:fldSimple>
      <w:r>
        <w:t>)</w:t>
      </w:r>
      <w:r>
        <w:rPr>
          <w:b w:val="0"/>
          <w:i w:val="0"/>
        </w:rPr>
        <w:t xml:space="preserve"> · </w:t>
      </w:r>
      <w:hyperlink w:anchor="prime-matter-and-enduring-support">
        <w:r>
          <w:rPr>
            <w:color w:val="000000"/>
          </w:rPr>
          <w:t xml:space="preserve">Prime matter and enduring support</w:t>
        </w:r>
      </w:hyperlink>
      <w:r>
        <w:t xml:space="preserve"> (p. </w:t>
      </w:r>
      <w:fldSimple w:instr=" PAGEREF &quot;prime-matter-and-enduring-support&quot; \h ">
        <w:r>
          <w:t>133</w:t>
        </w:r>
      </w:fldSimple>
      <w:r>
        <w:t>)</w:t>
      </w:r>
      <w:r>
        <w:rPr>
          <w:b w:val="0"/>
          <w:i w:val="0"/>
        </w:rPr>
        <w:t xml:space="preserve"> · </w:t>
      </w:r>
      <w:hyperlink w:anchor="vii-proportion-bodily-goods">
        <w:r>
          <w:rPr>
            <w:color w:val="000000"/>
          </w:rPr>
          <w:t xml:space="preserve">Proportion, health, strength and beauty</w:t>
        </w:r>
      </w:hyperlink>
      <w:r>
        <w:t xml:space="preserve"> (p. </w:t>
      </w:r>
      <w:fldSimple w:instr=" PAGEREF &quot;vii-proportion-bodily-goods&quot; \h ">
        <w:r>
          <w:t>135</w:t>
        </w:r>
      </w:fldSimple>
      <w:r>
        <w:t>)</w:t>
      </w:r>
    </w:p>
    <w:p>
      <w:pPr>
        <w:widowControl/>
      </w:pPr>
      <w:r>
        <w:rPr>
          <w:b/>
          <w:i w:val="0"/>
        </w:rPr>
        <w:t>R</w:t>
      </w:r>
      <w:r>
        <w:br/>
      </w:r>
      <w:hyperlink w:anchor="rational-soul-and-irrational-life">
        <w:r>
          <w:rPr>
            <w:color w:val="000000"/>
          </w:rPr>
          <w:t xml:space="preserve">Rational soul and irrational life</w:t>
        </w:r>
      </w:hyperlink>
      <w:r>
        <w:t xml:space="preserve"> (p. </w:t>
      </w:r>
      <w:fldSimple w:instr=" PAGEREF &quot;rational-soul-and-irrational-life&quot; \h ">
        <w:r>
          <w:t>135</w:t>
        </w:r>
      </w:fldSimple>
      <w:r>
        <w:t>)</w:t>
      </w:r>
      <w:r>
        <w:rPr>
          <w:b w:val="0"/>
          <w:i w:val="0"/>
        </w:rPr>
        <w:t xml:space="preserve"> · </w:t>
      </w:r>
      <w:hyperlink w:anchor="viii-reception-identity">
        <w:r>
          <w:rPr>
            <w:color w:val="000000"/>
          </w:rPr>
          <w:t xml:space="preserve">Receiving forms without losing one’s own</w:t>
        </w:r>
      </w:hyperlink>
      <w:r>
        <w:t xml:space="preserve"> (p. </w:t>
      </w:r>
      <w:fldSimple w:instr=" PAGEREF &quot;viii-reception-identity&quot; \h ">
        <w:r>
          <w:t>137</w:t>
        </w:r>
      </w:fldSimple>
      <w:r>
        <w:t>)</w:t>
      </w:r>
      <w:r>
        <w:rPr>
          <w:b w:val="0"/>
          <w:i w:val="0"/>
        </w:rPr>
        <w:t xml:space="preserve"> · </w:t>
      </w:r>
      <w:hyperlink w:anchor="vii-reception-wax-mirrors">
        <w:r>
          <w:rPr>
            <w:color w:val="000000"/>
          </w:rPr>
          <w:t xml:space="preserve">Receiving images: wax, seals and mirrors</w:t>
        </w:r>
      </w:hyperlink>
      <w:r>
        <w:t xml:space="preserve"> (p. </w:t>
      </w:r>
      <w:fldSimple w:instr=" PAGEREF &quot;vii-reception-wax-mirrors&quot; \h ">
        <w:r>
          <w:t>138</w:t>
        </w:r>
      </w:fldSimple>
      <w:r>
        <w:t>)</w:t>
      </w:r>
      <w:r>
        <w:rPr>
          <w:b w:val="0"/>
          <w:i w:val="0"/>
        </w:rPr>
        <w:t xml:space="preserve"> · </w:t>
      </w:r>
      <w:hyperlink w:anchor="reception-and-the-receiver">
        <w:r>
          <w:rPr>
            <w:color w:val="000000"/>
          </w:rPr>
          <w:t xml:space="preserve">Reception and the receiver</w:t>
        </w:r>
      </w:hyperlink>
      <w:r>
        <w:t xml:space="preserve"> (p. </w:t>
      </w:r>
      <w:fldSimple w:instr=" PAGEREF &quot;reception-and-the-receiver&quot; \h ">
        <w:r>
          <w:t>139</w:t>
        </w:r>
      </w:fldSimple>
      <w:r>
        <w:t>)</w:t>
      </w:r>
      <w:r>
        <w:rPr>
          <w:b w:val="0"/>
          <w:i w:val="0"/>
        </w:rPr>
        <w:t xml:space="preserve"> · </w:t>
      </w:r>
      <w:hyperlink w:anchor="viii-reflexive-will">
        <w:r>
          <w:rPr>
            <w:color w:val="000000"/>
          </w:rPr>
          <w:t xml:space="preserve">Reflexive understanding and willing</w:t>
        </w:r>
      </w:hyperlink>
      <w:r>
        <w:t xml:space="preserve"> (p. </w:t>
      </w:r>
      <w:fldSimple w:instr=" PAGEREF &quot;viii-reflexive-will&quot; \h ">
        <w:r>
          <w:t>140</w:t>
        </w:r>
      </w:fldSimple>
      <w:r>
        <w:t>)</w:t>
      </w:r>
      <w:r>
        <w:rPr>
          <w:b w:val="0"/>
          <w:i w:val="0"/>
        </w:rPr>
        <w:t xml:space="preserve"> · </w:t>
      </w:r>
      <w:hyperlink w:anchor="relation-and-continuing-dependence">
        <w:r>
          <w:rPr>
            <w:color w:val="000000"/>
          </w:rPr>
          <w:t xml:space="preserve">Relation and continuing dependence</w:t>
        </w:r>
      </w:hyperlink>
      <w:r>
        <w:t xml:space="preserve"> (p. </w:t>
      </w:r>
      <w:fldSimple w:instr=" PAGEREF &quot;relation-and-continuing-dependence&quot; \h ">
        <w:r>
          <w:t>141</w:t>
        </w:r>
      </w:fldSimple>
      <w:r>
        <w:t>)</w:t>
      </w:r>
      <w:r>
        <w:rPr>
          <w:b w:val="0"/>
          <w:i w:val="0"/>
        </w:rPr>
        <w:t xml:space="preserve"> · </w:t>
      </w:r>
      <w:hyperlink w:anchor="rennet-magnet-and-clock">
        <w:r>
          <w:rPr>
            <w:color w:val="000000"/>
          </w:rPr>
          <w:t xml:space="preserve">Rennet, magnet and clock</w:t>
        </w:r>
      </w:hyperlink>
      <w:r>
        <w:t xml:space="preserve"> (p. </w:t>
      </w:r>
      <w:fldSimple w:instr=" PAGEREF &quot;rennet-magnet-and-clock&quot; \h ">
        <w:r>
          <w:t>142</w:t>
        </w:r>
      </w:fldSimple>
      <w:r>
        <w:t>)</w:t>
      </w:r>
      <w:r>
        <w:rPr>
          <w:b w:val="0"/>
          <w:i w:val="0"/>
        </w:rPr>
        <w:t xml:space="preserve"> · </w:t>
      </w:r>
      <w:hyperlink w:anchor="viii-repose-contemplation">
        <w:r>
          <w:rPr>
            <w:color w:val="000000"/>
          </w:rPr>
          <w:t xml:space="preserve">Repose, motion, and contemplation</w:t>
        </w:r>
      </w:hyperlink>
      <w:r>
        <w:t xml:space="preserve"> (p. </w:t>
      </w:r>
      <w:fldSimple w:instr=" PAGEREF &quot;viii-repose-contemplation&quot; \h ">
        <w:r>
          <w:t>142</w:t>
        </w:r>
      </w:fldSimple>
      <w:r>
        <w:t>)</w:t>
      </w:r>
    </w:p>
    <w:p>
      <w:pPr>
        <w:widowControl/>
      </w:pPr>
      <w:r>
        <w:rPr>
          <w:b/>
          <w:i w:val="0"/>
        </w:rPr>
        <w:t>S</w:t>
      </w:r>
      <w:r>
        <w:br/>
      </w:r>
      <w:hyperlink w:anchor="viii-mutual-sciences">
        <w:r>
          <w:rPr>
            <w:color w:val="000000"/>
          </w:rPr>
          <w:t xml:space="preserve">Sciences, virtues, and mutual containment</w:t>
        </w:r>
      </w:hyperlink>
      <w:r>
        <w:t xml:space="preserve"> (p. </w:t>
      </w:r>
      <w:fldSimple w:instr=" PAGEREF &quot;viii-mutual-sciences&quot; \h ">
        <w:r>
          <w:t>143</w:t>
        </w:r>
      </w:fldSimple>
      <w:r>
        <w:t>)</w:t>
      </w:r>
      <w:r>
        <w:rPr>
          <w:b w:val="0"/>
          <w:i w:val="0"/>
        </w:rPr>
        <w:t xml:space="preserve"> · </w:t>
      </w:r>
      <w:hyperlink w:anchor="seal-wax-and-restoration">
        <w:r>
          <w:rPr>
            <w:color w:val="000000"/>
          </w:rPr>
          <w:t xml:space="preserve">Seal, wax and restoration</w:t>
        </w:r>
      </w:hyperlink>
      <w:r>
        <w:t xml:space="preserve"> (p. </w:t>
      </w:r>
      <w:fldSimple w:instr=" PAGEREF &quot;seal-wax-and-restoration&quot; \h ">
        <w:r>
          <w:t>144</w:t>
        </w:r>
      </w:fldSimple>
      <w:r>
        <w:t>)</w:t>
      </w:r>
      <w:r>
        <w:rPr>
          <w:b w:val="0"/>
          <w:i w:val="0"/>
        </w:rPr>
        <w:t xml:space="preserve"> · </w:t>
      </w:r>
      <w:hyperlink w:anchor="viii-self-cause">
        <w:r>
          <w:rPr>
            <w:color w:val="000000"/>
          </w:rPr>
          <w:t xml:space="preserve">Self-causation: formal cause and efficient cause</w:t>
        </w:r>
      </w:hyperlink>
      <w:r>
        <w:t xml:space="preserve"> (p. </w:t>
      </w:r>
      <w:fldSimple w:instr=" PAGEREF &quot;viii-self-cause&quot; \h ">
        <w:r>
          <w:t>145</w:t>
        </w:r>
      </w:fldSimple>
      <w:r>
        <w:t>)</w:t>
      </w:r>
      <w:r>
        <w:rPr>
          <w:b w:val="0"/>
          <w:i w:val="0"/>
        </w:rPr>
        <w:t xml:space="preserve"> · </w:t>
      </w:r>
      <w:hyperlink w:anchor="seminal-power-fish-eggs-and-tree">
        <w:r>
          <w:rPr>
            <w:color w:val="000000"/>
          </w:rPr>
          <w:t xml:space="preserve">Seminal power, fish eggs and the tree</w:t>
        </w:r>
      </w:hyperlink>
      <w:r>
        <w:t xml:space="preserve"> (p. </w:t>
      </w:r>
      <w:fldSimple w:instr=" PAGEREF &quot;seminal-power-fish-eggs-and-tree&quot; \h ">
        <w:r>
          <w:t>146</w:t>
        </w:r>
      </w:fldSimple>
      <w:r>
        <w:t>)</w:t>
      </w:r>
      <w:r>
        <w:rPr>
          <w:b w:val="0"/>
          <w:i w:val="0"/>
        </w:rPr>
        <w:t xml:space="preserve"> · </w:t>
      </w:r>
      <w:hyperlink w:anchor="vii-sensation-attention">
        <w:r>
          <w:rPr>
            <w:color w:val="000000"/>
          </w:rPr>
          <w:t xml:space="preserve">Sensation as attentive activity</w:t>
        </w:r>
      </w:hyperlink>
      <w:r>
        <w:t xml:space="preserve"> (p. </w:t>
      </w:r>
      <w:fldSimple w:instr=" PAGEREF &quot;vii-sensation-attention&quot; \h ">
        <w:r>
          <w:t>147</w:t>
        </w:r>
      </w:fldSimple>
      <w:r>
        <w:t>)</w:t>
      </w:r>
      <w:r>
        <w:rPr>
          <w:b w:val="0"/>
          <w:i w:val="0"/>
        </w:rPr>
        <w:t xml:space="preserve"> · </w:t>
      </w:r>
      <w:hyperlink w:anchor="sensory-error-and-corrective-reason">
        <w:r>
          <w:rPr>
            <w:color w:val="000000"/>
          </w:rPr>
          <w:t xml:space="preserve">Sensory error and corrective reason</w:t>
        </w:r>
      </w:hyperlink>
      <w:r>
        <w:t xml:space="preserve"> (p. </w:t>
      </w:r>
      <w:fldSimple w:instr=" PAGEREF &quot;sensory-error-and-corrective-reason&quot; \h ">
        <w:r>
          <w:t>149</w:t>
        </w:r>
      </w:fldSimple>
      <w:r>
        <w:t>)</w:t>
      </w:r>
      <w:r>
        <w:rPr>
          <w:b w:val="0"/>
          <w:i w:val="0"/>
        </w:rPr>
        <w:t xml:space="preserve"> · </w:t>
      </w:r>
      <w:hyperlink w:anchor="separate-forms-and-intellectual-life">
        <w:r>
          <w:rPr>
            <w:color w:val="000000"/>
          </w:rPr>
          <w:t xml:space="preserve">Separate forms and intellectual life</w:t>
        </w:r>
      </w:hyperlink>
      <w:r>
        <w:t xml:space="preserve"> (p. </w:t>
      </w:r>
      <w:fldSimple w:instr=" PAGEREF &quot;separate-forms-and-intellectual-life&quot; \h ">
        <w:r>
          <w:t>150</w:t>
        </w:r>
      </w:fldSimple>
      <w:r>
        <w:t>)</w:t>
      </w:r>
      <w:r>
        <w:rPr>
          <w:b w:val="0"/>
          <w:i w:val="0"/>
        </w:rPr>
        <w:t xml:space="preserve"> · </w:t>
      </w:r>
      <w:hyperlink w:anchor="vii-severed-animals">
        <w:r>
          <w:rPr>
            <w:color w:val="000000"/>
          </w:rPr>
          <w:t xml:space="preserve">Severed animals and replacement souls</w:t>
        </w:r>
      </w:hyperlink>
      <w:r>
        <w:t xml:space="preserve"> (p. </w:t>
      </w:r>
      <w:fldSimple w:instr=" PAGEREF &quot;vii-severed-animals&quot; \h ">
        <w:r>
          <w:t>151</w:t>
        </w:r>
      </w:fldSimple>
      <w:r>
        <w:t>)</w:t>
      </w:r>
      <w:r>
        <w:rPr>
          <w:b w:val="0"/>
          <w:i w:val="0"/>
        </w:rPr>
        <w:t xml:space="preserve"> · </w:t>
      </w:r>
      <w:hyperlink w:anchor="viii-species-simplicity">
        <w:r>
          <w:rPr>
            <w:color w:val="000000"/>
          </w:rPr>
          <w:t xml:space="preserve">Simplicity of human and numerical species</w:t>
        </w:r>
      </w:hyperlink>
      <w:r>
        <w:t xml:space="preserve"> (p. </w:t>
      </w:r>
      <w:fldSimple w:instr=" PAGEREF &quot;viii-species-simplicity&quot; \h ">
        <w:r>
          <w:t>152</w:t>
        </w:r>
      </w:fldSimple>
      <w:r>
        <w:t>)</w:t>
      </w:r>
      <w:r>
        <w:rPr>
          <w:b w:val="0"/>
          <w:i w:val="0"/>
        </w:rPr>
        <w:t xml:space="preserve"> · </w:t>
      </w:r>
      <w:hyperlink w:anchor="sleep-and-dreams">
        <w:r>
          <w:rPr>
            <w:color w:val="000000"/>
          </w:rPr>
          <w:t xml:space="preserve">Sleep and dreams</w:t>
        </w:r>
      </w:hyperlink>
      <w:r>
        <w:t xml:space="preserve"> (p. </w:t>
      </w:r>
      <w:fldSimple w:instr=" PAGEREF &quot;sleep-and-dreams&quot; \h ">
        <w:r>
          <w:t>153</w:t>
        </w:r>
      </w:fldSimple>
      <w:r>
        <w:t>)</w:t>
      </w:r>
      <w:r>
        <w:rPr>
          <w:b w:val="0"/>
          <w:i w:val="0"/>
        </w:rPr>
        <w:t xml:space="preserve"> · </w:t>
      </w:r>
      <w:hyperlink w:anchor="vii-soul-body-craftsman">
        <w:r>
          <w:rPr>
            <w:color w:val="000000"/>
          </w:rPr>
          <w:t xml:space="preserve">Soul as the body’s craftsman</w:t>
        </w:r>
      </w:hyperlink>
      <w:r>
        <w:t xml:space="preserve"> (p. </w:t>
      </w:r>
      <w:fldSimple w:instr=" PAGEREF &quot;vii-soul-body-craftsman&quot; \h ">
        <w:r>
          <w:t>154</w:t>
        </w:r>
      </w:fldSimple>
      <w:r>
        <w:t>)</w:t>
      </w:r>
      <w:r>
        <w:rPr>
          <w:b w:val="0"/>
          <w:i w:val="0"/>
        </w:rPr>
        <w:t xml:space="preserve"> · </w:t>
      </w:r>
      <w:hyperlink w:anchor="soul-as-universal-bond">
        <w:r>
          <w:rPr>
            <w:color w:val="000000"/>
          </w:rPr>
          <w:t xml:space="preserve">Soul as universal bond</w:t>
        </w:r>
      </w:hyperlink>
      <w:r>
        <w:t xml:space="preserve"> (p. </w:t>
      </w:r>
      <w:fldSimple w:instr=" PAGEREF &quot;soul-as-universal-bond&quot; \h ">
        <w:r>
          <w:t>155</w:t>
        </w:r>
      </w:fldSimple>
      <w:r>
        <w:t>)</w:t>
      </w:r>
      <w:r>
        <w:rPr>
          <w:b w:val="0"/>
          <w:i w:val="0"/>
        </w:rPr>
        <w:t xml:space="preserve"> · </w:t>
      </w:r>
      <w:hyperlink w:anchor="spark-globe-and-luminous-vehicles">
        <w:r>
          <w:rPr>
            <w:color w:val="000000"/>
          </w:rPr>
          <w:t xml:space="preserve">Spark, globe and luminous vehicles</w:t>
        </w:r>
      </w:hyperlink>
      <w:r>
        <w:t xml:space="preserve"> (p. </w:t>
      </w:r>
      <w:fldSimple w:instr=" PAGEREF &quot;spark-globe-and-luminous-vehicles&quot; \h ">
        <w:r>
          <w:t>156</w:t>
        </w:r>
      </w:fldSimple>
      <w:r>
        <w:t>)</w:t>
      </w:r>
      <w:r>
        <w:rPr>
          <w:b w:val="0"/>
          <w:i w:val="0"/>
        </w:rPr>
        <w:t xml:space="preserve"> · </w:t>
      </w:r>
      <w:hyperlink w:anchor="viii-virtue-equality">
        <w:r>
          <w:rPr>
            <w:color w:val="000000"/>
          </w:rPr>
          <w:t xml:space="preserve">Spiritual equality, the line, and the tuned lyre</w:t>
        </w:r>
      </w:hyperlink>
      <w:r>
        <w:t xml:space="preserve"> (p. </w:t>
      </w:r>
      <w:fldSimple w:instr=" PAGEREF &quot;viii-virtue-equality&quot; \h ">
        <w:r>
          <w:t>157</w:t>
        </w:r>
      </w:fldSimple>
      <w:r>
        <w:t>)</w:t>
      </w:r>
      <w:r>
        <w:rPr>
          <w:b w:val="0"/>
          <w:i w:val="0"/>
        </w:rPr>
        <w:t xml:space="preserve"> · </w:t>
      </w:r>
      <w:hyperlink w:anchor="vii-spiritual-images-light">
        <w:r>
          <w:rPr>
            <w:color w:val="000000"/>
          </w:rPr>
          <w:t xml:space="preserve">Spiritual images and light</w:t>
        </w:r>
      </w:hyperlink>
      <w:r>
        <w:t xml:space="preserve"> (p. </w:t>
      </w:r>
      <w:fldSimple w:instr=" PAGEREF &quot;vii-spiritual-images-light&quot; \h ">
        <w:r>
          <w:t>158</w:t>
        </w:r>
      </w:fldSimple>
      <w:r>
        <w:t>)</w:t>
      </w:r>
      <w:r>
        <w:rPr>
          <w:b w:val="0"/>
          <w:i w:val="0"/>
        </w:rPr>
        <w:t xml:space="preserve"> · </w:t>
      </w:r>
      <w:hyperlink w:anchor="spiritual-matter-and-identity">
        <w:r>
          <w:rPr>
            <w:color w:val="000000"/>
          </w:rPr>
          <w:t xml:space="preserve">Spiritual matter and identity</w:t>
        </w:r>
      </w:hyperlink>
      <w:r>
        <w:t xml:space="preserve"> (p. </w:t>
      </w:r>
      <w:fldSimple w:instr=" PAGEREF &quot;spiritual-matter-and-identity&quot; \h ">
        <w:r>
          <w:t>159</w:t>
        </w:r>
      </w:fldSimple>
      <w:r>
        <w:t>)</w:t>
      </w:r>
      <w:r>
        <w:rPr>
          <w:b w:val="0"/>
          <w:i w:val="0"/>
        </w:rPr>
        <w:t xml:space="preserve"> · </w:t>
      </w:r>
      <w:hyperlink w:anchor="stable-craftsman-and-river-reflection">
        <w:r>
          <w:rPr>
            <w:color w:val="000000"/>
          </w:rPr>
          <w:t xml:space="preserve">Stable craftsman and the river reflection</w:t>
        </w:r>
      </w:hyperlink>
      <w:r>
        <w:t xml:space="preserve"> (p. </w:t>
      </w:r>
      <w:fldSimple w:instr=" PAGEREF &quot;stable-craftsman-and-river-reflection&quot; \h ">
        <w:r>
          <w:t>160</w:t>
        </w:r>
      </w:fldSimple>
      <w:r>
        <w:t>)</w:t>
      </w:r>
      <w:r>
        <w:rPr>
          <w:b w:val="0"/>
          <w:i w:val="0"/>
        </w:rPr>
        <w:t xml:space="preserve"> · </w:t>
      </w:r>
      <w:hyperlink w:anchor="vii-substance-degrees">
        <w:r>
          <w:rPr>
            <w:color w:val="000000"/>
          </w:rPr>
          <w:t xml:space="preserve">Substance, qualities and degrees</w:t>
        </w:r>
      </w:hyperlink>
      <w:r>
        <w:t xml:space="preserve"> (p. </w:t>
      </w:r>
      <w:fldSimple w:instr=" PAGEREF &quot;vii-substance-degrees&quot; \h ">
        <w:r>
          <w:t>161</w:t>
        </w:r>
      </w:fldSimple>
      <w:r>
        <w:t>)</w:t>
      </w:r>
      <w:r>
        <w:rPr>
          <w:b w:val="0"/>
          <w:i w:val="0"/>
        </w:rPr>
        <w:t xml:space="preserve"> · </w:t>
      </w:r>
      <w:hyperlink w:anchor="substantial-form-and-receiving-subject">
        <w:r>
          <w:rPr>
            <w:color w:val="000000"/>
          </w:rPr>
          <w:t xml:space="preserve">Substantial form and the receiving subject</w:t>
        </w:r>
      </w:hyperlink>
      <w:r>
        <w:t xml:space="preserve"> (p. </w:t>
      </w:r>
      <w:fldSimple w:instr=" PAGEREF &quot;substantial-form-and-receiving-subject&quot; \h ">
        <w:r>
          <w:t>162</w:t>
        </w:r>
      </w:fldSimple>
      <w:r>
        <w:t>)</w:t>
      </w:r>
      <w:r>
        <w:rPr>
          <w:b w:val="0"/>
          <w:i w:val="0"/>
        </w:rPr>
        <w:t xml:space="preserve"> · </w:t>
      </w:r>
      <w:hyperlink w:anchor="viii-sudden-insight">
        <w:r>
          <w:rPr>
            <w:color w:val="000000"/>
          </w:rPr>
          <w:t xml:space="preserve">Sudden insight, habituation, and the hare</w:t>
        </w:r>
      </w:hyperlink>
      <w:r>
        <w:t xml:space="preserve"> (p. </w:t>
      </w:r>
      <w:fldSimple w:instr=" PAGEREF &quot;viii-sudden-insight&quot; \h ">
        <w:r>
          <w:t>163</w:t>
        </w:r>
      </w:fldSimple>
      <w:r>
        <w:t>)</w:t>
      </w:r>
    </w:p>
    <w:p>
      <w:pPr>
        <w:widowControl/>
      </w:pPr>
      <w:r>
        <w:rPr>
          <w:b/>
          <w:i w:val="0"/>
        </w:rPr>
        <w:t>T</w:t>
      </w:r>
      <w:r>
        <w:br/>
      </w:r>
      <w:hyperlink w:anchor="teaching-without-loss">
        <w:r>
          <w:rPr>
            <w:color w:val="000000"/>
          </w:rPr>
          <w:t xml:space="preserve">Teaching without loss</w:t>
        </w:r>
      </w:hyperlink>
      <w:r>
        <w:t xml:space="preserve"> (p. </w:t>
      </w:r>
      <w:fldSimple w:instr=" PAGEREF &quot;teaching-without-loss&quot; \h ">
        <w:r>
          <w:t>164</w:t>
        </w:r>
      </w:fldSimple>
      <w:r>
        <w:t>)</w:t>
      </w:r>
      <w:r>
        <w:rPr>
          <w:b w:val="0"/>
          <w:i w:val="0"/>
        </w:rPr>
        <w:t xml:space="preserve"> · </w:t>
      </w:r>
      <w:hyperlink w:anchor="temperament-and-harmony">
        <w:r>
          <w:rPr>
            <w:color w:val="000000"/>
          </w:rPr>
          <w:t xml:space="preserve">Temperament and harmony</w:t>
        </w:r>
      </w:hyperlink>
      <w:r>
        <w:t xml:space="preserve"> (p. </w:t>
      </w:r>
      <w:fldSimple w:instr=" PAGEREF &quot;temperament-and-harmony&quot; \h ">
        <w:r>
          <w:t>164</w:t>
        </w:r>
      </w:fldSimple>
      <w:r>
        <w:t>)</w:t>
      </w:r>
      <w:r>
        <w:rPr>
          <w:b w:val="0"/>
          <w:i w:val="0"/>
        </w:rPr>
        <w:t xml:space="preserve"> · </w:t>
      </w:r>
      <w:hyperlink w:anchor="temperament-flux-and-stable-ruler">
        <w:r>
          <w:rPr>
            <w:color w:val="000000"/>
          </w:rPr>
          <w:t xml:space="preserve">Temperament, flux and the stable ruler</w:t>
        </w:r>
      </w:hyperlink>
      <w:r>
        <w:t xml:space="preserve"> (p. </w:t>
      </w:r>
      <w:fldSimple w:instr=" PAGEREF &quot;temperament-flux-and-stable-ruler&quot; \h ">
        <w:r>
          <w:t>165</w:t>
        </w:r>
      </w:fldSimple>
      <w:r>
        <w:t>)</w:t>
      </w:r>
      <w:r>
        <w:rPr>
          <w:b w:val="0"/>
          <w:i w:val="0"/>
        </w:rPr>
        <w:t xml:space="preserve"> · </w:t>
      </w:r>
      <w:hyperlink w:anchor="temporal-discourse-and-psychic-ascent">
        <w:r>
          <w:rPr>
            <w:color w:val="000000"/>
          </w:rPr>
          <w:t xml:space="preserve">Temporal discourse and psychic ascent</w:t>
        </w:r>
      </w:hyperlink>
      <w:r>
        <w:t xml:space="preserve"> (p. </w:t>
      </w:r>
      <w:fldSimple w:instr=" PAGEREF &quot;temporal-discourse-and-psychic-ascent&quot; \h ">
        <w:r>
          <w:t>166</w:t>
        </w:r>
      </w:fldSimple>
      <w:r>
        <w:t>)</w:t>
      </w:r>
      <w:r>
        <w:rPr>
          <w:b w:val="0"/>
          <w:i w:val="0"/>
        </w:rPr>
        <w:t xml:space="preserve"> · </w:t>
      </w:r>
      <w:hyperlink w:anchor="viii-whole-mind">
        <w:r>
          <w:rPr>
            <w:color w:val="000000"/>
          </w:rPr>
          <w:t xml:space="preserve">The whole mind and the measure of equality</w:t>
        </w:r>
      </w:hyperlink>
      <w:r>
        <w:t xml:space="preserve"> (p. </w:t>
      </w:r>
      <w:fldSimple w:instr=" PAGEREF &quot;viii-whole-mind&quot; \h ">
        <w:r>
          <w:t>167</w:t>
        </w:r>
      </w:fldSimple>
      <w:r>
        <w:t>)</w:t>
      </w:r>
      <w:r>
        <w:rPr>
          <w:b w:val="0"/>
          <w:i w:val="0"/>
        </w:rPr>
        <w:t xml:space="preserve"> · </w:t>
      </w:r>
      <w:hyperlink w:anchor="three-offices-and-proof-order">
        <w:r>
          <w:rPr>
            <w:color w:val="000000"/>
          </w:rPr>
          <w:t xml:space="preserve">Three offices and the order of proof</w:t>
        </w:r>
      </w:hyperlink>
      <w:r>
        <w:t xml:space="preserve"> (p. </w:t>
      </w:r>
      <w:fldSimple w:instr=" PAGEREF &quot;three-offices-and-proof-order&quot; \h ">
        <w:r>
          <w:t>168</w:t>
        </w:r>
      </w:fldSimple>
      <w:r>
        <w:t>)</w:t>
      </w:r>
      <w:r>
        <w:rPr>
          <w:b w:val="0"/>
          <w:i w:val="0"/>
        </w:rPr>
        <w:t xml:space="preserve"> · </w:t>
      </w:r>
      <w:hyperlink w:anchor="through-itself-and-through-another">
        <w:r>
          <w:rPr>
            <w:color w:val="000000"/>
          </w:rPr>
          <w:t xml:space="preserve">Through itself and through another</w:t>
        </w:r>
      </w:hyperlink>
      <w:r>
        <w:t xml:space="preserve"> (p. </w:t>
      </w:r>
      <w:fldSimple w:instr=" PAGEREF &quot;through-itself-and-through-another&quot; \h ">
        <w:r>
          <w:t>169</w:t>
        </w:r>
      </w:fldSimple>
      <w:r>
        <w:t>)</w:t>
      </w:r>
      <w:r>
        <w:rPr>
          <w:b w:val="0"/>
          <w:i w:val="0"/>
        </w:rPr>
        <w:t xml:space="preserve"> · </w:t>
      </w:r>
      <w:hyperlink w:anchor="time-memory-and-expectation">
        <w:r>
          <w:rPr>
            <w:color w:val="000000"/>
          </w:rPr>
          <w:t xml:space="preserve">Time, memory and expectation</w:t>
        </w:r>
      </w:hyperlink>
      <w:r>
        <w:t xml:space="preserve"> (p. </w:t>
      </w:r>
      <w:fldSimple w:instr=" PAGEREF &quot;time-memory-and-expectation&quot; \h ">
        <w:r>
          <w:t>170</w:t>
        </w:r>
      </w:fldSimple>
      <w:r>
        <w:t>)</w:t>
      </w:r>
      <w:r>
        <w:rPr>
          <w:b w:val="0"/>
          <w:i w:val="0"/>
        </w:rPr>
        <w:t xml:space="preserve"> · </w:t>
      </w:r>
      <w:hyperlink w:anchor="viii-touch-traversal">
        <w:r>
          <w:rPr>
            <w:color w:val="000000"/>
          </w:rPr>
          <w:t xml:space="preserve">Touch, traversal, and the rejection of bodily contact</w:t>
        </w:r>
      </w:hyperlink>
      <w:r>
        <w:t xml:space="preserve"> (p. </w:t>
      </w:r>
      <w:fldSimple w:instr=" PAGEREF &quot;viii-touch-traversal&quot; \h ">
        <w:r>
          <w:t>171</w:t>
        </w:r>
      </w:fldSimple>
      <w:r>
        <w:t>)</w:t>
      </w:r>
      <w:r>
        <w:rPr>
          <w:b w:val="0"/>
          <w:i w:val="0"/>
        </w:rPr>
        <w:t xml:space="preserve"> · </w:t>
      </w:r>
      <w:hyperlink w:anchor="transmission-of-form-and-natural-order">
        <w:r>
          <w:rPr>
            <w:color w:val="000000"/>
          </w:rPr>
          <w:t xml:space="preserve">Transmission of form and natural order</w:t>
        </w:r>
      </w:hyperlink>
      <w:r>
        <w:t xml:space="preserve"> (p. </w:t>
      </w:r>
      <w:fldSimple w:instr=" PAGEREF &quot;transmission-of-form-and-natural-order&quot; \h ">
        <w:r>
          <w:t>172</w:t>
        </w:r>
      </w:fldSimple>
      <w:r>
        <w:t>)</w:t>
      </w:r>
      <w:r>
        <w:rPr>
          <w:b w:val="0"/>
          <w:i w:val="0"/>
        </w:rPr>
        <w:t xml:space="preserve"> · </w:t>
      </w:r>
      <w:hyperlink w:anchor="viii-truth-mathematics">
        <w:r>
          <w:rPr>
            <w:color w:val="000000"/>
          </w:rPr>
          <w:t xml:space="preserve">Truth, mathematical figures, and immutable principles</w:t>
        </w:r>
      </w:hyperlink>
      <w:r>
        <w:t xml:space="preserve"> (p. </w:t>
      </w:r>
      <w:fldSimple w:instr=" PAGEREF &quot;viii-truth-mathematics&quot; \h ">
        <w:r>
          <w:t>173</w:t>
        </w:r>
      </w:fldSimple>
      <w:r>
        <w:t>)</w:t>
      </w:r>
    </w:p>
    <w:p>
      <w:pPr>
        <w:widowControl/>
      </w:pPr>
      <w:r>
        <w:rPr>
          <w:b/>
          <w:i w:val="0"/>
        </w:rPr>
        <w:t>U</w:t>
      </w:r>
      <w:r>
        <w:br/>
      </w:r>
      <w:hyperlink w:anchor="unity-dispersion-and-inward-bond">
        <w:r>
          <w:rPr>
            <w:color w:val="000000"/>
          </w:rPr>
          <w:t xml:space="preserve">Unity, dispersion and the inward bond</w:t>
        </w:r>
      </w:hyperlink>
      <w:r>
        <w:t xml:space="preserve"> (p. </w:t>
      </w:r>
      <w:fldSimple w:instr=" PAGEREF &quot;unity-dispersion-and-inward-bond&quot; \h ">
        <w:r>
          <w:t>174</w:t>
        </w:r>
      </w:fldSimple>
      <w:r>
        <w:t>)</w:t>
      </w:r>
      <w:r>
        <w:rPr>
          <w:b w:val="0"/>
          <w:i w:val="0"/>
        </w:rPr>
        <w:t xml:space="preserve"> · </w:t>
      </w:r>
      <w:hyperlink w:anchor="viii-universality-law">
        <w:r>
          <w:rPr>
            <w:color w:val="000000"/>
          </w:rPr>
          <w:t xml:space="preserve">Universality, law, and material restriction</w:t>
        </w:r>
      </w:hyperlink>
      <w:r>
        <w:t xml:space="preserve"> (p. </w:t>
      </w:r>
      <w:fldSimple w:instr=" PAGEREF &quot;viii-universality-law&quot; \h ">
        <w:r>
          <w:t>175</w:t>
        </w:r>
      </w:fldSimple>
      <w:r>
        <w:t>)</w:t>
      </w:r>
    </w:p>
    <w:p>
      <w:pPr>
        <w:widowControl/>
      </w:pPr>
      <w:r>
        <w:rPr>
          <w:b/>
          <w:i w:val="0"/>
        </w:rPr>
        <w:t>V</w:t>
      </w:r>
      <w:r>
        <w:br/>
      </w:r>
      <w:hyperlink w:anchor="viii-virtue-quality">
        <w:r>
          <w:rPr>
            <w:color w:val="000000"/>
          </w:rPr>
          <w:t xml:space="preserve">Virtue as an indivisible quality</w:t>
        </w:r>
      </w:hyperlink>
      <w:r>
        <w:t xml:space="preserve"> (p. </w:t>
      </w:r>
      <w:fldSimple w:instr=" PAGEREF &quot;viii-virtue-quality&quot; \h ">
        <w:r>
          <w:t>176</w:t>
        </w:r>
      </w:fldSimple>
      <w:r>
        <w:t>)</w:t>
      </w:r>
      <w:r>
        <w:rPr>
          <w:b w:val="0"/>
          <w:i w:val="0"/>
        </w:rPr>
        <w:t xml:space="preserve"> · </w:t>
      </w:r>
      <w:hyperlink w:anchor="vii-vital-harmony">
        <w:r>
          <w:rPr>
            <w:color w:val="000000"/>
          </w:rPr>
          <w:t xml:space="preserve">Vital harmony and its producer</w:t>
        </w:r>
      </w:hyperlink>
      <w:r>
        <w:t xml:space="preserve"> (p. </w:t>
      </w:r>
      <w:fldSimple w:instr=" PAGEREF &quot;vii-vital-harmony&quot; \h ">
        <w:r>
          <w:t>177</w:t>
        </w:r>
      </w:fldSimple>
      <w:r>
        <w:t>)</w:t>
      </w:r>
      <w:r>
        <w:rPr>
          <w:b w:val="0"/>
          <w:i w:val="0"/>
        </w:rPr>
        <w:t xml:space="preserve"> · </w:t>
      </w:r>
      <w:hyperlink w:anchor="vital-motion-action-and-passion">
        <w:r>
          <w:rPr>
            <w:color w:val="000000"/>
          </w:rPr>
          <w:t xml:space="preserve">Vital motion, action and passion</w:t>
        </w:r>
      </w:hyperlink>
      <w:r>
        <w:t xml:space="preserve"> (p. </w:t>
      </w:r>
      <w:fldSimple w:instr=" PAGEREF &quot;vital-motion-action-and-passion&quot; \h ">
        <w:r>
          <w:t>178</w:t>
        </w:r>
      </w:fldSimple>
      <w:r>
        <w:t>)</w:t>
      </w:r>
    </w:p>
    <w:p>
      <w:pPr>
        <w:widowControl/>
      </w:pPr>
      <w:r>
        <w:rPr>
          <w:b/>
          <w:i w:val="0"/>
        </w:rPr>
        <w:t>W</w:t>
      </w:r>
      <w:r>
        <w:br/>
      </w:r>
      <w:hyperlink w:anchor="vii-whole-soul-vital-intensity">
        <w:r>
          <w:rPr>
            <w:color w:val="000000"/>
          </w:rPr>
          <w:t xml:space="preserve">Whole presence and vital intensity</w:t>
        </w:r>
      </w:hyperlink>
      <w:r>
        <w:t xml:space="preserve"> (p. </w:t>
      </w:r>
      <w:fldSimple w:instr=" PAGEREF &quot;vii-whole-soul-vital-intensity&quot; \h ">
        <w:r>
          <w:t>179</w:t>
        </w:r>
      </w:fldSimple>
      <w:r>
        <w:t>)</w:t>
      </w:r>
    </w:p>
    <w:p>
      <w:pPr>
        <w:widowControl/>
      </w:pPr>
      <w:r>
        <w:rPr>
          <w:b/>
          <w:i w:val="0"/>
        </w:rPr>
        <w:t>Z</w:t>
      </w:r>
      <w:r>
        <w:br/>
      </w:r>
      <w:hyperlink w:anchor="zoroaster-and-the-mistress-of-life">
        <w:r>
          <w:rPr>
            <w:color w:val="000000"/>
          </w:rPr>
          <w:t xml:space="preserve">Zoroaster and the mistress of life</w:t>
        </w:r>
      </w:hyperlink>
      <w:r>
        <w:t xml:space="preserve"> (p. </w:t>
      </w:r>
      <w:fldSimple w:instr=" PAGEREF &quot;zoroaster-and-the-mistress-of-life&quot; \h ">
        <w:r>
          <w:t>181</w:t>
        </w:r>
      </w:fldSimple>
      <w:r>
        <w:t>)</w:t>
      </w:r>
    </w:p>
    <w:p>
      <w:pPr>
        <w:pStyle w:val="Heading1"/>
      </w:pPr>
      <w:bookmarkStart w:id="90" w:name="lexicon"/>
      <w:r>
        <w:rPr>
          <w:b w:val="0"/>
          <w:i w:val="0"/>
        </w:rPr>
        <w:t>Lexicon</w:t>
      </w:r>
      <w:bookmarkEnd w:id="90"/>
    </w:p>
    <w:p>
      <w:pPr>
        <w:pStyle w:val="Heading2"/>
      </w:pPr>
      <w:bookmarkStart w:id="91" w:name="viii-analysis-mangling"/>
      <w:r>
        <w:rPr>
          <w:b w:val="0"/>
          <w:i w:val="0"/>
        </w:rPr>
        <w:t>Analysis, mangling, and fictive construction</w:t>
      </w:r>
      <w:bookmarkEnd w:id="91"/>
    </w:p>
    <w:p>
      <w:pPr>
        <w:keepNext/>
        <w:widowControl/>
      </w:pPr>
      <w:r>
        <w:rPr>
          <w:b/>
          <w:i w:val="0"/>
        </w:rPr>
        <w:t>Latin:</w:t>
      </w:r>
      <w:r>
        <w:rPr>
          <w:b w:val="0"/>
          <w:i w:val="0"/>
        </w:rPr>
        <w:t xml:space="preserve"> </w:t>
      </w:r>
      <w:r>
        <w:rPr>
          <w:b w:val="0"/>
          <w:i/>
        </w:rPr>
        <w:t>resolutio</w:t>
      </w:r>
      <w:r>
        <w:rPr>
          <w:b w:val="0"/>
          <w:i w:val="0"/>
        </w:rPr>
        <w:t xml:space="preserve">; </w:t>
      </w:r>
      <w:r>
        <w:rPr>
          <w:b w:val="0"/>
          <w:i/>
        </w:rPr>
        <w:t>resolvere</w:t>
      </w:r>
      <w:r>
        <w:rPr>
          <w:b w:val="0"/>
          <w:i w:val="0"/>
        </w:rPr>
        <w:t xml:space="preserve">; </w:t>
      </w:r>
      <w:r>
        <w:rPr>
          <w:b w:val="0"/>
          <w:i/>
        </w:rPr>
        <w:t>dilaniatio</w:t>
      </w:r>
      <w:r>
        <w:rPr>
          <w:b w:val="0"/>
          <w:i w:val="0"/>
        </w:rPr>
        <w:t xml:space="preserve">; </w:t>
      </w:r>
      <w:r>
        <w:rPr>
          <w:b w:val="0"/>
          <w:i/>
        </w:rPr>
        <w:t>lacerare</w:t>
      </w:r>
      <w:r>
        <w:rPr>
          <w:b w:val="0"/>
          <w:i w:val="0"/>
        </w:rPr>
        <w:t xml:space="preserve">; </w:t>
      </w:r>
      <w:r>
        <w:rPr>
          <w:b w:val="0"/>
          <w:i/>
        </w:rPr>
        <w:t>figmentum</w:t>
      </w:r>
      <w:r>
        <w:rPr>
          <w:b w:val="0"/>
          <w:i w:val="0"/>
        </w:rPr>
        <w:t xml:space="preserve">; </w:t>
      </w:r>
      <w:r>
        <w:rPr>
          <w:b w:val="0"/>
          <w:i/>
        </w:rPr>
        <w:t>machinatio</w:t>
      </w:r>
      <w:r>
        <w:rPr>
          <w:b w:val="0"/>
          <w:i w:val="0"/>
        </w:rPr>
        <w:t xml:space="preserve">; </w:t>
      </w:r>
      <w:r>
        <w:rPr>
          <w:b w:val="0"/>
          <w:i/>
        </w:rPr>
        <w:t>compositio</w:t>
      </w:r>
    </w:p>
    <w:p>
      <w:pPr>
        <w:keepNext/>
        <w:widowControl/>
      </w:pPr>
      <w:r>
        <w:rPr>
          <w:b/>
          <w:i w:val="0"/>
        </w:rPr>
        <w:t>The word.</w:t>
      </w:r>
    </w:p>
    <w:p>
      <w:pPr>
        <w:widowControl/>
      </w:pPr>
      <w:r>
        <w:rPr>
          <w:b w:val="0"/>
          <w:i w:val="0"/>
        </w:rPr>
        <w:t>Resolutio is intellectual analysis into explanatory constituents; dilaniatio is physical tearing or mangling. Figmentum can be an invention unsupported by things, and machinatio a contrivance. These words distinguish legitimate intellectual construction from arbitrary or destructive operations.</w:t>
      </w:r>
    </w:p>
    <w:p>
      <w:pPr>
        <w:keepNext/>
        <w:widowControl/>
      </w:pPr>
      <w:r>
        <w:rPr>
          <w:b/>
          <w:i w:val="0"/>
        </w:rPr>
        <w:t>In the Platonic Theology.</w:t>
      </w:r>
    </w:p>
    <w:p>
      <w:pPr>
        <w:widowControl/>
      </w:pPr>
      <w:r>
        <w:rPr>
          <w:b w:val="0"/>
          <w:i w:val="0"/>
        </w:rPr>
        <w:t>In the bodily hypothesis, dividing a genus would leave half in one half of the right side of mind and half in the other; difference would be treated similarly. The resulting procedure would destroy the universals it was supposed to explain. Ficino calls it mangling rather than analysis. If the universal instead remains whole throughout the division, the opponent has abandoned its dependence on a determinate bodily quantity. An infinity of supposed duplicated genera would then be a mental contrivance rather than an independently established natural plurality.</w:t>
      </w:r>
    </w:p>
    <w:p>
      <w:pPr>
        <w:widowControl/>
      </w:pPr>
      <w:r>
        <w:rPr>
          <w:b w:val="0"/>
          <w:i w:val="0"/>
        </w:rPr>
        <w:t>This criticism does not mean that all mental making is false. Elsewhere mind makes concepts, definitions, artistic exemplars and images of possibilities. A construction is called figmentum rather than knowledge when it departs from the nature of its object while claiming to know that object. VIII.16 openly allows the mind to imagine things that may never exist, or even be impossible; such scope demonstrates a cognitive power, not the truth of every imagined content.</w:t>
      </w:r>
    </w:p>
    <w:p>
      <w:pPr>
        <w:widowControl/>
      </w:pPr>
      <w:r>
        <w:rPr>
          <w:b w:val="0"/>
          <w:i w:val="0"/>
        </w:rPr>
        <w:t>Composition and resolution also become complementary operations: mind sees mixed things in their simple principles and simple things in mixtures. It can isolate a point without length or beauty without deformity. These separations concern objects as understood and do not claim that a knife could produce the same pure constituents from a bodily specimen.</w:t>
      </w:r>
    </w:p>
    <w:p>
      <w:pPr>
        <w:keepNext/>
        <w:widowControl/>
      </w:pPr>
      <w:r>
        <w:rPr>
          <w:b/>
          <w:i w:val="0"/>
        </w:rPr>
        <w:t>Places to Read.</w:t>
      </w:r>
    </w:p>
    <w:p>
      <w:pPr>
        <w:ind w:left="187" w:hanging="187"/>
      </w:pPr>
      <w:r>
        <w:t xml:space="preserve">• </w:t>
      </w:r>
      <w:r>
        <w:rPr>
          <w:b/>
          <w:i w:val="0"/>
        </w:rPr>
        <w:t>VIII.4.5, VIII.4.6, PDF pp. 324–327.</w:t>
      </w:r>
      <w:r>
        <w:rPr>
          <w:b w:val="0"/>
          <w:i w:val="0"/>
        </w:rPr>
        <w:t xml:space="preserve"> True union must correspond to things; spatial cutting destroys rather than analyzes universals.</w:t>
      </w:r>
    </w:p>
    <w:p>
      <w:pPr>
        <w:ind w:left="187" w:hanging="187"/>
      </w:pPr>
      <w:r>
        <w:t xml:space="preserve">• </w:t>
      </w:r>
      <w:r>
        <w:rPr>
          <w:b/>
          <w:i w:val="0"/>
        </w:rPr>
        <w:t>VIII.5.2, PDF pp. 340–341.</w:t>
      </w:r>
      <w:r>
        <w:rPr>
          <w:b w:val="0"/>
          <w:i w:val="0"/>
        </w:rPr>
        <w:t xml:space="preserve"> Analysis restores simple intelligible content from a composite presentation.</w:t>
      </w:r>
    </w:p>
    <w:p>
      <w:pPr>
        <w:ind w:left="187" w:hanging="187"/>
      </w:pPr>
      <w:r>
        <w:t xml:space="preserve">• </w:t>
      </w:r>
      <w:r>
        <w:rPr>
          <w:b/>
          <w:i w:val="0"/>
        </w:rPr>
        <w:t>VIII.7.1, PDF pp. 344–345.</w:t>
      </w:r>
      <w:r>
        <w:rPr>
          <w:b w:val="0"/>
          <w:i w:val="0"/>
        </w:rPr>
        <w:t xml:space="preserve"> Composition and resolution are paired cognitive operations.</w:t>
      </w:r>
    </w:p>
    <w:p>
      <w:pPr>
        <w:ind w:left="187" w:hanging="187"/>
      </w:pPr>
      <w:r>
        <w:t xml:space="preserve">• </w:t>
      </w:r>
      <w:r>
        <w:rPr>
          <w:b/>
          <w:i w:val="0"/>
        </w:rPr>
        <w:t>VIII.16.1, PDF pp. 370–371.</w:t>
      </w:r>
      <w:r>
        <w:rPr>
          <w:b w:val="0"/>
          <w:i w:val="0"/>
        </w:rPr>
        <w:t xml:space="preserve"> Invented possible and impossible objects exhibit breadth of thinking without becoming verified existents.</w:t>
      </w:r>
    </w:p>
    <w:p>
      <w:pPr>
        <w:keepNext/>
        <w:widowControl/>
      </w:pPr>
      <w:r>
        <w:rPr>
          <w:b/>
          <w:i w:val="0"/>
        </w:rPr>
        <w:t>In this edition.</w:t>
      </w:r>
    </w:p>
    <w:p>
      <w:pPr>
        <w:widowControl/>
      </w:pPr>
      <w:r>
        <w:rPr>
          <w:b w:val="0"/>
          <w:i w:val="0"/>
        </w:rPr>
        <w:t xml:space="preserve">The apparatus deliberately retains the sharp opposition </w:t>
      </w:r>
      <w:r>
        <w:t>“</w:t>
      </w:r>
      <w:r>
        <w:rPr>
          <w:b w:val="0"/>
          <w:i w:val="0"/>
        </w:rPr>
        <w:t>mangling</w:t>
      </w:r>
      <w:r>
        <w:t>”</w:t>
      </w:r>
      <w:r>
        <w:rPr>
          <w:b w:val="0"/>
          <w:i w:val="0"/>
        </w:rPr>
        <w:t>/</w:t>
      </w:r>
      <w:r>
        <w:t>“</w:t>
      </w:r>
      <w:r>
        <w:rPr>
          <w:b w:val="0"/>
          <w:i w:val="0"/>
        </w:rPr>
        <w:t>analysis.</w:t>
      </w:r>
      <w:r>
        <w:t>”</w:t>
      </w:r>
      <w:r>
        <w:rPr>
          <w:b w:val="0"/>
          <w:i w:val="0"/>
        </w:rPr>
        <w:t xml:space="preserve"> A single English </w:t>
      </w:r>
      <w:r>
        <w:t>“</w:t>
      </w:r>
      <w:r>
        <w:rPr>
          <w:b w:val="0"/>
          <w:i w:val="0"/>
        </w:rPr>
        <w:t>division</w:t>
      </w:r>
      <w:r>
        <w:t>”</w:t>
      </w:r>
      <w:r>
        <w:rPr>
          <w:b w:val="0"/>
          <w:i w:val="0"/>
        </w:rPr>
        <w:t xml:space="preserve"> for dilaniatio and resolutio would suppress the reason the opponent’s account fails.</w:t>
      </w:r>
    </w:p>
    <w:p>
      <w:pPr>
        <w:keepNext/>
        <w:widowControl/>
      </w:pPr>
      <w:r>
        <w:rPr>
          <w:b/>
          <w:i w:val="0"/>
        </w:rPr>
        <w:t>See also.</w:t>
      </w:r>
    </w:p>
    <w:p>
      <w:pPr>
        <w:widowControl/>
      </w:pPr>
      <w:hyperlink w:anchor="viii-definition-parts">
        <w:r>
          <w:rPr>
            <w:color w:val="000000"/>
          </w:rPr>
          <w:t xml:space="preserve">Definition, genus, difference, and mindless parts</w:t>
        </w:r>
      </w:hyperlink>
      <w:r>
        <w:rPr>
          <w:b w:val="0"/>
          <w:i w:val="0"/>
        </w:rPr>
        <w:t xml:space="preserve">; </w:t>
      </w:r>
      <w:hyperlink w:anchor="viii-mental-hands">
        <w:r>
          <w:rPr>
            <w:color w:val="000000"/>
          </w:rPr>
          <w:t xml:space="preserve">Mental hands, conception, and creative understanding</w:t>
        </w:r>
      </w:hyperlink>
      <w:r>
        <w:rPr>
          <w:b w:val="0"/>
          <w:i w:val="0"/>
        </w:rPr>
        <w:t xml:space="preserve">; </w:t>
      </w:r>
      <w:hyperlink w:anchor="viii-infinite-operations">
        <w:r>
          <w:rPr>
            <w:color w:val="000000"/>
          </w:rPr>
          <w:t xml:space="preserve">Infinite operations and the limits of sensory kinds</w:t>
        </w:r>
      </w:hyperlink>
    </w:p>
    <w:p>
      <w:pPr>
        <w:pStyle w:val="Heading2"/>
      </w:pPr>
      <w:bookmarkStart w:id="92" w:name="vii-animal-acuity-size"/>
      <w:r>
        <w:rPr>
          <w:b w:val="0"/>
          <w:i w:val="0"/>
        </w:rPr>
        <w:t>Animal acuity and bodily size</w:t>
      </w:r>
      <w:bookmarkEnd w:id="92"/>
    </w:p>
    <w:p>
      <w:pPr>
        <w:keepNext/>
        <w:widowControl/>
      </w:pPr>
      <w:r>
        <w:rPr>
          <w:b/>
          <w:i w:val="0"/>
        </w:rPr>
        <w:t>Latin:</w:t>
      </w:r>
      <w:r>
        <w:rPr>
          <w:b w:val="0"/>
          <w:i w:val="0"/>
        </w:rPr>
        <w:t xml:space="preserve"> </w:t>
      </w:r>
      <w:r>
        <w:rPr>
          <w:b w:val="0"/>
          <w:i/>
        </w:rPr>
        <w:t>acies</w:t>
      </w:r>
      <w:r>
        <w:rPr>
          <w:b w:val="0"/>
          <w:i w:val="0"/>
        </w:rPr>
        <w:t xml:space="preserve">; </w:t>
      </w:r>
      <w:r>
        <w:rPr>
          <w:b w:val="0"/>
          <w:i/>
        </w:rPr>
        <w:t>acutus</w:t>
      </w:r>
      <w:r>
        <w:rPr>
          <w:b w:val="0"/>
          <w:i w:val="0"/>
        </w:rPr>
        <w:t xml:space="preserve">; </w:t>
      </w:r>
      <w:r>
        <w:rPr>
          <w:b w:val="0"/>
          <w:i/>
        </w:rPr>
        <w:t>sollers</w:t>
      </w:r>
      <w:r>
        <w:rPr>
          <w:b w:val="0"/>
          <w:i w:val="0"/>
        </w:rPr>
        <w:t xml:space="preserve">; </w:t>
      </w:r>
      <w:r>
        <w:rPr>
          <w:b w:val="0"/>
          <w:i/>
        </w:rPr>
        <w:t>astutus</w:t>
      </w:r>
      <w:r>
        <w:rPr>
          <w:b w:val="0"/>
          <w:i w:val="0"/>
        </w:rPr>
        <w:t xml:space="preserve">; </w:t>
      </w:r>
      <w:r>
        <w:rPr>
          <w:b w:val="0"/>
          <w:i/>
        </w:rPr>
        <w:t>ingeniosus</w:t>
      </w:r>
      <w:r>
        <w:rPr>
          <w:b w:val="0"/>
          <w:i w:val="0"/>
        </w:rPr>
        <w:t xml:space="preserve">; </w:t>
      </w:r>
      <w:r>
        <w:rPr>
          <w:b w:val="0"/>
          <w:i/>
        </w:rPr>
        <w:t>audens</w:t>
      </w:r>
      <w:r>
        <w:rPr>
          <w:b w:val="0"/>
          <w:i w:val="0"/>
        </w:rPr>
        <w:t xml:space="preserve">; </w:t>
      </w:r>
      <w:r>
        <w:rPr>
          <w:b w:val="0"/>
          <w:i/>
        </w:rPr>
        <w:t>prudens</w:t>
      </w:r>
      <w:r>
        <w:rPr>
          <w:b w:val="0"/>
          <w:i w:val="0"/>
        </w:rPr>
        <w:t xml:space="preserve">; </w:t>
      </w:r>
      <w:r>
        <w:rPr>
          <w:b w:val="0"/>
          <w:i/>
        </w:rPr>
        <w:t>sagax</w:t>
      </w:r>
      <w:r>
        <w:rPr>
          <w:b w:val="0"/>
          <w:i w:val="0"/>
        </w:rPr>
        <w:t xml:space="preserve">; </w:t>
      </w:r>
      <w:r>
        <w:rPr>
          <w:b w:val="0"/>
          <w:i/>
        </w:rPr>
        <w:t>quantitas</w:t>
      </w:r>
    </w:p>
    <w:p>
      <w:pPr>
        <w:keepNext/>
        <w:widowControl/>
      </w:pPr>
      <w:r>
        <w:rPr>
          <w:b/>
          <w:i w:val="0"/>
        </w:rPr>
        <w:t>The word.</w:t>
      </w:r>
    </w:p>
    <w:p>
      <w:pPr>
        <w:widowControl/>
      </w:pPr>
      <w:r>
        <w:rPr>
          <w:b w:val="0"/>
          <w:i/>
        </w:rPr>
        <w:t>Acies</w:t>
      </w:r>
      <w:r>
        <w:rPr>
          <w:b w:val="0"/>
          <w:i w:val="0"/>
        </w:rPr>
        <w:t xml:space="preserve"> is the sharpness or directing edge of sight; the animal predicates distinguish skill, cunning, ingenuity, boldness, practical intelligence and discernment. They are not a single numerical measure of reason. </w:t>
      </w:r>
      <w:r>
        <w:rPr>
          <w:b w:val="0"/>
          <w:i/>
        </w:rPr>
        <w:t>Quantitas</w:t>
      </w:r>
      <w:r>
        <w:rPr>
          <w:b w:val="0"/>
          <w:i w:val="0"/>
        </w:rPr>
        <w:t xml:space="preserve"> and </w:t>
      </w:r>
      <w:r>
        <w:rPr>
          <w:b w:val="0"/>
          <w:i/>
        </w:rPr>
        <w:t>magnitudo</w:t>
      </w:r>
      <w:r>
        <w:rPr>
          <w:b w:val="0"/>
          <w:i w:val="0"/>
        </w:rPr>
        <w:t xml:space="preserve"> concern bodily size.</w:t>
      </w:r>
    </w:p>
    <w:p>
      <w:pPr>
        <w:keepNext/>
        <w:widowControl/>
      </w:pPr>
      <w:r>
        <w:rPr>
          <w:b/>
          <w:i w:val="0"/>
        </w:rPr>
        <w:t>In the Platonic Theology.</w:t>
      </w:r>
    </w:p>
    <w:p>
      <w:pPr>
        <w:widowControl/>
      </w:pPr>
      <w:r>
        <w:rPr>
          <w:b w:val="0"/>
          <w:i w:val="0"/>
        </w:rPr>
        <w:t>The small pupil gathers the appearance of a large visible body, even heaven. Ficino then contrasts the eagle’s keen sight with the ox’s larger eyes. This leads to an argument from the greater sufficiency of inward sense and, beyond it, the soul’s substance: a superior power should not require an increase of bodily magnitude to accomplish its activity.</w:t>
      </w:r>
    </w:p>
    <w:p>
      <w:pPr>
        <w:widowControl/>
      </w:pPr>
      <w:r>
        <w:rPr>
          <w:b w:val="0"/>
          <w:i w:val="0"/>
        </w:rPr>
        <w:t>The animal comparisons block two opposite necessary correlations. If size necessarily improved the soul’s gifts, the bee could not be more skillful than the sheep, the fox more cunning than the pig, the ape more ingenious than the ass, or the lion bolder than the ox. If size necessarily harmed those gifts, the elephant could not be more prudent than the horse, or the dog more discerning than the lamb. The second set is essential. Ficino is not simply claiming that smaller animals are always cognitively better.</w:t>
      </w:r>
    </w:p>
    <w:p>
      <w:pPr>
        <w:widowControl/>
      </w:pPr>
      <w:r>
        <w:rPr>
          <w:b w:val="0"/>
          <w:i w:val="0"/>
        </w:rPr>
        <w:t>These historical assessments of animal capacities are illustrations in his argument. They should not be converted into a scientific ranking of intelligence. Their function is to loosen the supposed dependence of sensing and practical ability on sheer bulk. The final inference is comparative: if quantity does not explain powers concerned with bodily quantities, still less will it explain reason, which transcends them. Reason’s full treatment is promised later.</w:t>
      </w:r>
    </w:p>
    <w:p>
      <w:pPr>
        <w:keepNext/>
        <w:widowControl/>
      </w:pPr>
      <w:r>
        <w:rPr>
          <w:b/>
          <w:i w:val="0"/>
        </w:rPr>
        <w:t>Places to Read.</w:t>
      </w:r>
    </w:p>
    <w:p>
      <w:pPr>
        <w:ind w:left="187" w:hanging="187"/>
      </w:pPr>
      <w:r>
        <w:t xml:space="preserve">• </w:t>
      </w:r>
      <w:r>
        <w:rPr>
          <w:b/>
          <w:i w:val="0"/>
        </w:rPr>
        <w:t>VII.3.1, PDF 242–243</w:t>
      </w:r>
      <w:r>
        <w:rPr>
          <w:b w:val="0"/>
          <w:i w:val="0"/>
        </w:rPr>
        <w:t>. Eye size, both animal series, inward sense and the promise concerning reason form one ordered argument.</w:t>
      </w:r>
    </w:p>
    <w:p>
      <w:pPr>
        <w:keepNext/>
        <w:widowControl/>
      </w:pPr>
      <w:r>
        <w:rPr>
          <w:b/>
          <w:i w:val="0"/>
        </w:rPr>
        <w:t>In this edition.</w:t>
      </w:r>
    </w:p>
    <w:p>
      <w:pPr>
        <w:widowControl/>
      </w:pPr>
      <w:r>
        <w:rPr>
          <w:b w:val="0"/>
          <w:i w:val="0"/>
        </w:rPr>
        <w:t xml:space="preserve">The edition keeps </w:t>
      </w:r>
      <w:r>
        <w:rPr>
          <w:b w:val="0"/>
          <w:i/>
        </w:rPr>
        <w:t>impartibile</w:t>
      </w:r>
      <w:r>
        <w:rPr>
          <w:b w:val="0"/>
          <w:i w:val="0"/>
        </w:rPr>
        <w:t xml:space="preserve"> as </w:t>
      </w:r>
      <w:r>
        <w:t>“</w:t>
      </w:r>
      <w:r>
        <w:rPr>
          <w:b w:val="0"/>
          <w:i w:val="0"/>
        </w:rPr>
        <w:t>impartible,</w:t>
      </w:r>
      <w:r>
        <w:t>”</w:t>
      </w:r>
      <w:r>
        <w:rPr>
          <w:b w:val="0"/>
          <w:i w:val="0"/>
        </w:rPr>
        <w:t xml:space="preserve"> preserving its relation to indivisibility rather than merely translating it as </w:t>
      </w:r>
      <w:r>
        <w:t>“</w:t>
      </w:r>
      <w:r>
        <w:rPr>
          <w:b w:val="0"/>
          <w:i w:val="0"/>
        </w:rPr>
        <w:t>small.</w:t>
      </w:r>
      <w:r>
        <w:t>”</w:t>
      </w:r>
      <w:r>
        <w:rPr>
          <w:b w:val="0"/>
          <w:i w:val="0"/>
        </w:rPr>
        <w:t xml:space="preserve"> A tiny pupil and a power without quantitative parts are related steps in the argument, not interchangeable objects.</w:t>
      </w:r>
    </w:p>
    <w:p>
      <w:pPr>
        <w:keepNext/>
        <w:widowControl/>
      </w:pPr>
      <w:r>
        <w:rPr>
          <w:b/>
          <w:i w:val="0"/>
        </w:rPr>
        <w:t>See also.</w:t>
      </w:r>
    </w:p>
    <w:p>
      <w:pPr>
        <w:widowControl/>
      </w:pPr>
      <w:hyperlink w:anchor="vii-common-sense-comparison">
        <w:r>
          <w:rPr>
            <w:color w:val="000000"/>
          </w:rPr>
          <w:t xml:space="preserve">Comparison and common sense</w:t>
        </w:r>
      </w:hyperlink>
      <w:r>
        <w:rPr>
          <w:b w:val="0"/>
          <w:i w:val="0"/>
        </w:rPr>
        <w:t xml:space="preserve">; </w:t>
      </w:r>
      <w:hyperlink w:anchor="vii-reception-wax-mirrors">
        <w:r>
          <w:rPr>
            <w:color w:val="000000"/>
          </w:rPr>
          <w:t xml:space="preserve">Receiving images: wax, seals and mirrors</w:t>
        </w:r>
      </w:hyperlink>
    </w:p>
    <w:p>
      <w:pPr>
        <w:pStyle w:val="Heading2"/>
      </w:pPr>
      <w:bookmarkStart w:id="93" w:name="animation-first-light-and-regress"/>
      <w:r>
        <w:rPr>
          <w:b w:val="0"/>
          <w:i w:val="0"/>
        </w:rPr>
        <w:t>Animation, first light and regress</w:t>
      </w:r>
      <w:bookmarkEnd w:id="93"/>
    </w:p>
    <w:p>
      <w:pPr>
        <w:keepNext/>
        <w:widowControl/>
      </w:pPr>
      <w:r>
        <w:rPr>
          <w:b/>
          <w:i w:val="0"/>
        </w:rPr>
        <w:t>Latin:</w:t>
      </w:r>
      <w:r>
        <w:rPr>
          <w:b w:val="0"/>
          <w:i w:val="0"/>
        </w:rPr>
        <w:t xml:space="preserve"> </w:t>
      </w:r>
      <w:r>
        <w:rPr>
          <w:b w:val="0"/>
          <w:i/>
        </w:rPr>
        <w:t>animatum</w:t>
      </w:r>
      <w:r>
        <w:rPr>
          <w:b w:val="0"/>
          <w:i w:val="0"/>
        </w:rPr>
        <w:t xml:space="preserve">; </w:t>
      </w:r>
      <w:r>
        <w:rPr>
          <w:b w:val="0"/>
          <w:i/>
        </w:rPr>
        <w:t>inanime</w:t>
      </w:r>
      <w:r>
        <w:rPr>
          <w:b w:val="0"/>
          <w:i w:val="0"/>
        </w:rPr>
        <w:t xml:space="preserve">; </w:t>
      </w:r>
      <w:r>
        <w:rPr>
          <w:b w:val="0"/>
          <w:i/>
        </w:rPr>
        <w:t>animale</w:t>
      </w:r>
      <w:r>
        <w:rPr>
          <w:b w:val="0"/>
          <w:i w:val="0"/>
        </w:rPr>
        <w:t xml:space="preserve">; </w:t>
      </w:r>
      <w:r>
        <w:rPr>
          <w:b w:val="0"/>
          <w:i/>
        </w:rPr>
        <w:t>vivificatum</w:t>
      </w:r>
      <w:r>
        <w:rPr>
          <w:b w:val="0"/>
          <w:i w:val="0"/>
        </w:rPr>
        <w:t xml:space="preserve">; </w:t>
      </w:r>
      <w:r>
        <w:rPr>
          <w:b w:val="0"/>
          <w:i/>
        </w:rPr>
        <w:t>vivens</w:t>
      </w:r>
      <w:r>
        <w:rPr>
          <w:b w:val="0"/>
          <w:i w:val="0"/>
        </w:rPr>
        <w:t xml:space="preserve">; </w:t>
      </w:r>
      <w:r>
        <w:rPr>
          <w:b w:val="0"/>
          <w:i/>
        </w:rPr>
        <w:t>in infinitum procedere</w:t>
      </w:r>
    </w:p>
    <w:p>
      <w:pPr>
        <w:keepNext/>
        <w:widowControl/>
      </w:pPr>
      <w:r>
        <w:rPr>
          <w:b/>
          <w:i w:val="0"/>
        </w:rPr>
        <w:t>The word.</w:t>
      </w:r>
    </w:p>
    <w:p>
      <w:pPr>
        <w:widowControl/>
      </w:pPr>
      <w:r>
        <w:rPr>
          <w:b w:val="0"/>
          <w:i w:val="0"/>
        </w:rPr>
        <w:t>Animatum names what has soul imparted to it; inanime what lacks soul. Animale in the objection means belonging to animal or living nature, not simply a modern zoological class. Vivificatum and vivens distinguish being given life from being alive. The argument asks whether a verbal shift removes causal dependence.</w:t>
      </w:r>
    </w:p>
    <w:p>
      <w:pPr>
        <w:keepNext/>
        <w:widowControl/>
      </w:pPr>
      <w:r>
        <w:rPr>
          <w:b/>
          <w:i w:val="0"/>
        </w:rPr>
        <w:t>In the Platonic Theology.</w:t>
      </w:r>
    </w:p>
    <w:p>
      <w:pPr>
        <w:widowControl/>
      </w:pPr>
      <w:r>
        <w:rPr>
          <w:b w:val="0"/>
          <w:i w:val="0"/>
        </w:rPr>
        <w:t>If the alleged soul-body is inanimate it cannot give animal life; if animate it requires a soul. Asking the same question about that soul produces an endless regress. Ficino’s deliberately jarring comparison with wisdom being wise or foolish marks the difference between a principle and a thing described through it. Similarly, first light is neither darkness nor something illuminated by another in the same derivative way as its recipients. The explanatory series must terminate in what properly animates and vivifies.</w:t>
      </w:r>
    </w:p>
    <w:p>
      <w:pPr>
        <w:widowControl/>
      </w:pPr>
      <w:r>
        <w:rPr>
          <w:b w:val="0"/>
          <w:i w:val="0"/>
        </w:rPr>
        <w:t xml:space="preserve">The opponent then tries </w:t>
      </w:r>
      <w:r>
        <w:t>“</w:t>
      </w:r>
      <w:r>
        <w:rPr>
          <w:b w:val="0"/>
          <w:i w:val="0"/>
        </w:rPr>
        <w:t>animal body</w:t>
      </w:r>
      <w:r>
        <w:t>”</w:t>
      </w:r>
      <w:r>
        <w:rPr>
          <w:b w:val="0"/>
          <w:i w:val="0"/>
        </w:rPr>
        <w:t xml:space="preserve"> instead of </w:t>
      </w:r>
      <w:r>
        <w:t>“</w:t>
      </w:r>
      <w:r>
        <w:rPr>
          <w:b w:val="0"/>
          <w:i w:val="0"/>
        </w:rPr>
        <w:t>animated body,</w:t>
      </w:r>
      <w:r>
        <w:t>”</w:t>
      </w:r>
      <w:r>
        <w:rPr>
          <w:b w:val="0"/>
          <w:i w:val="0"/>
        </w:rPr>
        <w:t xml:space="preserve"> and </w:t>
      </w:r>
      <w:r>
        <w:t>“</w:t>
      </w:r>
      <w:r>
        <w:rPr>
          <w:b w:val="0"/>
          <w:i w:val="0"/>
        </w:rPr>
        <w:t>living</w:t>
      </w:r>
      <w:r>
        <w:t>”</w:t>
      </w:r>
      <w:r>
        <w:rPr>
          <w:b w:val="0"/>
          <w:i w:val="0"/>
        </w:rPr>
        <w:t xml:space="preserve"> instead of </w:t>
      </w:r>
      <w:r>
        <w:t>“</w:t>
      </w:r>
      <w:r>
        <w:rPr>
          <w:b w:val="0"/>
          <w:i w:val="0"/>
        </w:rPr>
        <w:t>vivified.</w:t>
      </w:r>
      <w:r>
        <w:t>”</w:t>
      </w:r>
      <w:r>
        <w:rPr>
          <w:b w:val="0"/>
          <w:i w:val="0"/>
        </w:rPr>
        <w:t xml:space="preserve"> Ficino returns to the decisive question: is it soul precisely because it is body, or through a further nature? The former would make all bodies souls; the latter locates soul in what exceeds corporeality. The argument does not abolish the soul’s dependence on an incorporeal author established in VI.1.6. It denies that the animating principle needs another soul to animate it in the same derivative sense as the body.</w:t>
      </w:r>
    </w:p>
    <w:p>
      <w:pPr>
        <w:keepNext/>
        <w:widowControl/>
      </w:pPr>
      <w:r>
        <w:rPr>
          <w:b/>
          <w:i w:val="0"/>
        </w:rPr>
        <w:t>Places to Read.</w:t>
      </w:r>
    </w:p>
    <w:p>
      <w:pPr>
        <w:ind w:left="187" w:hanging="187"/>
      </w:pPr>
      <w:r>
        <w:t xml:space="preserve">• </w:t>
      </w:r>
      <w:r>
        <w:rPr>
          <w:b/>
          <w:i w:val="0"/>
        </w:rPr>
        <w:t>VI.5.1, VI.5.2; source PDF pp. 174, 175</w:t>
      </w:r>
      <w:r>
        <w:rPr>
          <w:b w:val="0"/>
          <w:i w:val="0"/>
        </w:rPr>
        <w:t>. The animate/inanimate dilemma forces an explanatory regress.</w:t>
      </w:r>
    </w:p>
    <w:p>
      <w:pPr>
        <w:ind w:left="187" w:hanging="187"/>
      </w:pPr>
      <w:r>
        <w:t xml:space="preserve">• </w:t>
      </w:r>
      <w:r>
        <w:rPr>
          <w:b/>
          <w:i w:val="0"/>
        </w:rPr>
        <w:t>VI.5.3; source PDF pp. 174, 175</w:t>
      </w:r>
      <w:r>
        <w:rPr>
          <w:b w:val="0"/>
          <w:i w:val="0"/>
        </w:rPr>
        <w:t>. The first-light analogy locates a nonderivative animating principle.</w:t>
      </w:r>
    </w:p>
    <w:p>
      <w:pPr>
        <w:ind w:left="187" w:hanging="187"/>
      </w:pPr>
      <w:r>
        <w:t xml:space="preserve">• </w:t>
      </w:r>
      <w:r>
        <w:rPr>
          <w:b/>
          <w:i w:val="0"/>
        </w:rPr>
        <w:t>VI.5.4, VI.5.5; source PDF pp. 176, 177</w:t>
      </w:r>
      <w:r>
        <w:rPr>
          <w:b w:val="0"/>
          <w:i w:val="0"/>
        </w:rPr>
        <w:t>. Changing predicates fails to avoid the distinction between body and its life-giving nature.</w:t>
      </w:r>
    </w:p>
    <w:p>
      <w:pPr>
        <w:keepNext/>
        <w:widowControl/>
      </w:pPr>
      <w:r>
        <w:rPr>
          <w:b/>
          <w:i w:val="0"/>
        </w:rPr>
        <w:t>In this edition.</w:t>
      </w:r>
    </w:p>
    <w:p>
      <w:pPr>
        <w:widowControl/>
      </w:pPr>
      <w:r>
        <w:rPr>
          <w:b w:val="0"/>
          <w:i w:val="0"/>
        </w:rPr>
        <w:t xml:space="preserve">The English intentionally does not flatten all five predicates into </w:t>
      </w:r>
      <w:r>
        <w:t>“</w:t>
      </w:r>
      <w:r>
        <w:rPr>
          <w:b w:val="0"/>
          <w:i w:val="0"/>
        </w:rPr>
        <w:t>living/dead.</w:t>
      </w:r>
      <w:r>
        <w:t>”</w:t>
      </w:r>
      <w:r>
        <w:rPr>
          <w:b w:val="0"/>
          <w:i w:val="0"/>
        </w:rPr>
        <w:t xml:space="preserve"> The apparatus records the authorial correction operationes in VI.5.4, keeping the inference broader than a narrow phrase about principles of life.</w:t>
      </w:r>
    </w:p>
    <w:p>
      <w:pPr>
        <w:keepNext/>
        <w:widowControl/>
      </w:pPr>
      <w:r>
        <w:rPr>
          <w:b/>
          <w:i w:val="0"/>
        </w:rPr>
        <w:t>See also.</w:t>
      </w:r>
    </w:p>
    <w:p>
      <w:pPr>
        <w:widowControl/>
      </w:pPr>
      <w:hyperlink w:anchor="nourishment-and-life-giving-form">
        <w:r>
          <w:rPr>
            <w:color w:val="000000"/>
          </w:rPr>
          <w:t xml:space="preserve">Nourishment and the life-giving form</w:t>
        </w:r>
      </w:hyperlink>
      <w:r>
        <w:rPr>
          <w:b w:val="0"/>
          <w:i w:val="0"/>
        </w:rPr>
        <w:t xml:space="preserve">; </w:t>
      </w:r>
      <w:hyperlink w:anchor="divine-production-and-third-essence">
        <w:r>
          <w:rPr>
            <w:color w:val="000000"/>
          </w:rPr>
          <w:t xml:space="preserve">Divine production and the third essence</w:t>
        </w:r>
      </w:hyperlink>
    </w:p>
    <w:p>
      <w:pPr>
        <w:pStyle w:val="Heading2"/>
      </w:pPr>
      <w:bookmarkStart w:id="94" w:name="ariston-sculptor-and-painter"/>
      <w:r>
        <w:rPr>
          <w:b w:val="0"/>
          <w:i w:val="0"/>
        </w:rPr>
        <w:t>Ariston, sculptor and painter</w:t>
      </w:r>
      <w:bookmarkEnd w:id="94"/>
    </w:p>
    <w:p>
      <w:pPr>
        <w:keepNext/>
        <w:widowControl/>
      </w:pPr>
      <w:r>
        <w:rPr>
          <w:b/>
          <w:i w:val="0"/>
        </w:rPr>
        <w:t>Latin:</w:t>
      </w:r>
      <w:r>
        <w:rPr>
          <w:b w:val="0"/>
          <w:i w:val="0"/>
        </w:rPr>
        <w:t xml:space="preserve"> </w:t>
      </w:r>
      <w:r>
        <w:rPr>
          <w:b w:val="0"/>
          <w:i/>
        </w:rPr>
        <w:t>Ariston</w:t>
      </w:r>
      <w:r>
        <w:rPr>
          <w:b w:val="0"/>
          <w:i w:val="0"/>
        </w:rPr>
        <w:t xml:space="preserve">; </w:t>
      </w:r>
      <w:r>
        <w:rPr>
          <w:b w:val="0"/>
          <w:i/>
        </w:rPr>
        <w:t>Plato</w:t>
      </w:r>
      <w:r>
        <w:rPr>
          <w:b w:val="0"/>
          <w:i w:val="0"/>
        </w:rPr>
        <w:t xml:space="preserve">; </w:t>
      </w:r>
      <w:r>
        <w:rPr>
          <w:b w:val="0"/>
          <w:i/>
        </w:rPr>
        <w:t>humanitas</w:t>
      </w:r>
      <w:r>
        <w:rPr>
          <w:b w:val="0"/>
          <w:i w:val="0"/>
        </w:rPr>
        <w:t xml:space="preserve">; </w:t>
      </w:r>
      <w:r>
        <w:rPr>
          <w:b w:val="0"/>
          <w:i/>
        </w:rPr>
        <w:t>sculptor</w:t>
      </w:r>
      <w:r>
        <w:rPr>
          <w:b w:val="0"/>
          <w:i w:val="0"/>
        </w:rPr>
        <w:t xml:space="preserve">; </w:t>
      </w:r>
      <w:r>
        <w:rPr>
          <w:b w:val="0"/>
          <w:i/>
        </w:rPr>
        <w:t>lapis</w:t>
      </w:r>
      <w:r>
        <w:rPr>
          <w:b w:val="0"/>
          <w:i w:val="0"/>
        </w:rPr>
        <w:t xml:space="preserve">; </w:t>
      </w:r>
      <w:r>
        <w:rPr>
          <w:b w:val="0"/>
          <w:i/>
        </w:rPr>
        <w:t>statua</w:t>
      </w:r>
      <w:r>
        <w:rPr>
          <w:b w:val="0"/>
          <w:i w:val="0"/>
        </w:rPr>
        <w:t xml:space="preserve">; </w:t>
      </w:r>
      <w:r>
        <w:rPr>
          <w:b w:val="0"/>
          <w:i/>
        </w:rPr>
        <w:t>pictor</w:t>
      </w:r>
      <w:r>
        <w:rPr>
          <w:b w:val="0"/>
          <w:i w:val="0"/>
        </w:rPr>
        <w:t xml:space="preserve">; </w:t>
      </w:r>
      <w:r>
        <w:rPr>
          <w:b w:val="0"/>
          <w:i/>
        </w:rPr>
        <w:t>pictura</w:t>
      </w:r>
      <w:r>
        <w:rPr>
          <w:b w:val="0"/>
          <w:i w:val="0"/>
        </w:rPr>
        <w:t xml:space="preserve">; </w:t>
      </w:r>
      <w:r>
        <w:rPr>
          <w:b w:val="0"/>
          <w:i/>
        </w:rPr>
        <w:t>exemplar</w:t>
      </w:r>
    </w:p>
    <w:p>
      <w:pPr>
        <w:keepNext/>
        <w:widowControl/>
      </w:pPr>
      <w:r>
        <w:rPr>
          <w:b/>
          <w:i w:val="0"/>
        </w:rPr>
        <w:t>The word.</w:t>
      </w:r>
    </w:p>
    <w:p>
      <w:pPr>
        <w:widowControl/>
      </w:pPr>
      <w:r>
        <w:rPr>
          <w:b w:val="0"/>
          <w:i w:val="0"/>
        </w:rPr>
        <w:t>The named father and son illustrate generation of an individual. Sculptor, stone and statue illustrate material potency actualized by craft. Pictor and exemplar introduce the painter and the mental pattern used to produce a picture. These are three different causal examples.</w:t>
      </w:r>
    </w:p>
    <w:p>
      <w:pPr>
        <w:keepNext/>
        <w:widowControl/>
      </w:pPr>
      <w:r>
        <w:rPr>
          <w:b/>
          <w:i w:val="0"/>
        </w:rPr>
        <w:t>In the Platonic Theology.</w:t>
      </w:r>
    </w:p>
    <w:p>
      <w:pPr>
        <w:widowControl/>
      </w:pPr>
      <w:r>
        <w:rPr>
          <w:b w:val="0"/>
          <w:i w:val="0"/>
        </w:rPr>
        <w:t>Ariston, Plato’s father in Ficino’s example, is this human being in this matter. He therefore generates Plato as another determinate human rather than generating absolute humanity. The example supports the participation argument: a limited possessor cannot produce the unrestricted nature upon which he depends. It does not say that the father contributes nothing to generation.</w:t>
      </w:r>
    </w:p>
    <w:p>
      <w:pPr>
        <w:widowControl/>
      </w:pPr>
      <w:r>
        <w:rPr>
          <w:b w:val="0"/>
          <w:i w:val="0"/>
        </w:rPr>
        <w:t>The sculptor draws an actual statue from stone prepared to receive it. A human agent similarly generates from seed with a relevant power. Preparedness can vary, and the examples of air and water becoming fire compare easier and harder transitions from potency to act. This introduces the claim that greater distance requires greater power, followed by the alleged infinite distance of creation from nothing.</w:t>
      </w:r>
    </w:p>
    <w:p>
      <w:pPr>
        <w:widowControl/>
      </w:pPr>
      <w:r>
        <w:rPr>
          <w:b w:val="0"/>
          <w:i w:val="0"/>
        </w:rPr>
        <w:t>The painter answers a different difficulty. If both soul and angel are created immediately by God, why are they unequal? One painter can make both a human figure and a horse while employing unequal exemplars. Ficino judges the human figure more beautiful because of the superior pattern in the painter’s mind. The comparison explains why sameness of efficient source need not entail sameness of resulting perfection. It does not establish the aesthetic hierarchy as a universal modern judgment.</w:t>
      </w:r>
    </w:p>
    <w:p>
      <w:pPr>
        <w:widowControl/>
      </w:pPr>
      <w:r>
        <w:rPr>
          <w:b w:val="0"/>
          <w:i w:val="0"/>
        </w:rPr>
        <w:t>Together the examples separate material readiness, efficient source, exemplary determination and individual production. Collapsing them into a generic craftsman image would lose the work each does.</w:t>
      </w:r>
    </w:p>
    <w:p>
      <w:pPr>
        <w:keepNext/>
        <w:widowControl/>
      </w:pPr>
      <w:r>
        <w:rPr>
          <w:b/>
          <w:i w:val="0"/>
        </w:rPr>
        <w:t>Places to Read.</w:t>
      </w:r>
    </w:p>
    <w:p>
      <w:pPr>
        <w:ind w:left="187" w:hanging="187"/>
      </w:pPr>
      <w:r>
        <w:t xml:space="preserve">• </w:t>
      </w:r>
      <w:r>
        <w:rPr>
          <w:b/>
          <w:i w:val="0"/>
        </w:rPr>
        <w:t>V.13.5, PDF 82–83.</w:t>
      </w:r>
      <w:r>
        <w:rPr>
          <w:b w:val="0"/>
          <w:i w:val="0"/>
        </w:rPr>
        <w:t xml:space="preserve"> Ariston/Plato and sculptor/stone supply two distinct steps in the causal proof.</w:t>
      </w:r>
    </w:p>
    <w:p>
      <w:pPr>
        <w:ind w:left="187" w:hanging="187"/>
      </w:pPr>
      <w:r>
        <w:t xml:space="preserve">• </w:t>
      </w:r>
      <w:r>
        <w:rPr>
          <w:b/>
          <w:i w:val="0"/>
        </w:rPr>
        <w:t>V.13.6, PDF 82–83.</w:t>
      </w:r>
      <w:r>
        <w:rPr>
          <w:b w:val="0"/>
          <w:i w:val="0"/>
        </w:rPr>
        <w:t xml:space="preserve"> The scale of finite making leads to the claimed infinite distance of creation.</w:t>
      </w:r>
    </w:p>
    <w:p>
      <w:pPr>
        <w:ind w:left="187" w:hanging="187"/>
      </w:pPr>
      <w:r>
        <w:t xml:space="preserve">• </w:t>
      </w:r>
      <w:r>
        <w:rPr>
          <w:b/>
          <w:i w:val="0"/>
        </w:rPr>
        <w:t>V.13.16, PDF 88–89.</w:t>
      </w:r>
      <w:r>
        <w:rPr>
          <w:b w:val="0"/>
          <w:i w:val="0"/>
        </w:rPr>
        <w:t xml:space="preserve"> A painter’s unequal exemplars answer the equality objection concerning soul and angel.</w:t>
      </w:r>
    </w:p>
    <w:p>
      <w:pPr>
        <w:keepNext/>
        <w:widowControl/>
      </w:pPr>
      <w:r>
        <w:rPr>
          <w:b/>
          <w:i w:val="0"/>
        </w:rPr>
        <w:t>In this edition.</w:t>
      </w:r>
    </w:p>
    <w:p>
      <w:pPr>
        <w:widowControl/>
      </w:pPr>
      <w:r>
        <w:rPr>
          <w:b w:val="0"/>
          <w:i w:val="0"/>
        </w:rPr>
        <w:t>The source uses ratio beside idea at V.13.16 in the sense of intelligible plan. The proper names in the supplied normalized Latin are retained as edition evidence; this article relies on Ficino’s usage rather than claiming a new biographical investigation.</w:t>
      </w:r>
    </w:p>
    <w:p>
      <w:pPr>
        <w:keepNext/>
        <w:widowControl/>
      </w:pPr>
      <w:r>
        <w:rPr>
          <w:b/>
          <w:i w:val="0"/>
        </w:rPr>
        <w:t>See also.</w:t>
      </w:r>
    </w:p>
    <w:p>
      <w:pPr>
        <w:widowControl/>
      </w:pPr>
      <w:hyperlink w:anchor="participation-common-and-proper">
        <w:r>
          <w:rPr>
            <w:color w:val="000000"/>
          </w:rPr>
          <w:t xml:space="preserve">Participation, common and proper</w:t>
        </w:r>
      </w:hyperlink>
      <w:r>
        <w:rPr>
          <w:b w:val="0"/>
          <w:i w:val="0"/>
        </w:rPr>
        <w:t xml:space="preserve">; </w:t>
      </w:r>
      <w:hyperlink w:anchor="creation-and-generation">
        <w:r>
          <w:rPr>
            <w:color w:val="000000"/>
          </w:rPr>
          <w:t xml:space="preserve">Creation and generation</w:t>
        </w:r>
      </w:hyperlink>
      <w:r>
        <w:rPr>
          <w:b w:val="0"/>
          <w:i w:val="0"/>
        </w:rPr>
        <w:t xml:space="preserve">; </w:t>
      </w:r>
      <w:hyperlink w:anchor="seal-wax-and-restoration">
        <w:r>
          <w:rPr>
            <w:color w:val="000000"/>
          </w:rPr>
          <w:t xml:space="preserve">Seal, wax and restoration</w:t>
        </w:r>
      </w:hyperlink>
    </w:p>
    <w:p>
      <w:pPr>
        <w:pStyle w:val="Heading2"/>
      </w:pPr>
      <w:bookmarkStart w:id="95" w:name="art-and-elemental-transformation"/>
      <w:r>
        <w:rPr>
          <w:b w:val="0"/>
          <w:i w:val="0"/>
        </w:rPr>
        <w:t>Art and elemental transformation</w:t>
      </w:r>
      <w:bookmarkEnd w:id="95"/>
    </w:p>
    <w:p>
      <w:pPr>
        <w:keepNext/>
        <w:widowControl/>
      </w:pPr>
      <w:r>
        <w:rPr>
          <w:b/>
          <w:i w:val="0"/>
        </w:rPr>
        <w:t>Latin:</w:t>
      </w:r>
      <w:r>
        <w:rPr>
          <w:b w:val="0"/>
          <w:i w:val="0"/>
        </w:rPr>
        <w:t xml:space="preserve"> </w:t>
      </w:r>
      <w:r>
        <w:rPr>
          <w:b w:val="0"/>
          <w:i/>
        </w:rPr>
        <w:t>ars</w:t>
      </w:r>
      <w:r>
        <w:rPr>
          <w:b w:val="0"/>
          <w:i w:val="0"/>
        </w:rPr>
        <w:t xml:space="preserve">; </w:t>
      </w:r>
      <w:r>
        <w:rPr>
          <w:b w:val="0"/>
          <w:i/>
        </w:rPr>
        <w:t>natura</w:t>
      </w:r>
      <w:r>
        <w:rPr>
          <w:b w:val="0"/>
          <w:i w:val="0"/>
        </w:rPr>
        <w:t xml:space="preserve">; </w:t>
      </w:r>
      <w:r>
        <w:rPr>
          <w:b w:val="0"/>
          <w:i/>
        </w:rPr>
        <w:t>figulus</w:t>
      </w:r>
      <w:r>
        <w:rPr>
          <w:b w:val="0"/>
          <w:i w:val="0"/>
        </w:rPr>
        <w:t xml:space="preserve">; </w:t>
      </w:r>
      <w:r>
        <w:rPr>
          <w:b w:val="0"/>
          <w:i/>
        </w:rPr>
        <w:t>lutum</w:t>
      </w:r>
      <w:r>
        <w:rPr>
          <w:b w:val="0"/>
          <w:i w:val="0"/>
        </w:rPr>
        <w:t xml:space="preserve">; </w:t>
      </w:r>
      <w:r>
        <w:rPr>
          <w:b w:val="0"/>
          <w:i/>
        </w:rPr>
        <w:t>vas</w:t>
      </w:r>
      <w:r>
        <w:rPr>
          <w:b w:val="0"/>
          <w:i w:val="0"/>
        </w:rPr>
        <w:t xml:space="preserve">; </w:t>
      </w:r>
      <w:r>
        <w:rPr>
          <w:b w:val="0"/>
          <w:i/>
        </w:rPr>
        <w:t>commutatio</w:t>
      </w:r>
      <w:r>
        <w:rPr>
          <w:b w:val="0"/>
          <w:i w:val="0"/>
        </w:rPr>
        <w:t xml:space="preserve">; </w:t>
      </w:r>
      <w:r>
        <w:rPr>
          <w:b w:val="0"/>
          <w:i/>
        </w:rPr>
        <w:t>rarefactio</w:t>
      </w:r>
      <w:r>
        <w:rPr>
          <w:b w:val="0"/>
          <w:i w:val="0"/>
        </w:rPr>
        <w:t xml:space="preserve">; </w:t>
      </w:r>
      <w:r>
        <w:rPr>
          <w:b w:val="0"/>
          <w:i/>
        </w:rPr>
        <w:t>densitas</w:t>
      </w:r>
      <w:r>
        <w:rPr>
          <w:b w:val="0"/>
          <w:i w:val="0"/>
        </w:rPr>
        <w:t xml:space="preserve">; </w:t>
      </w:r>
      <w:r>
        <w:rPr>
          <w:b w:val="0"/>
          <w:i/>
        </w:rPr>
        <w:t>semen</w:t>
      </w:r>
    </w:p>
    <w:p>
      <w:pPr>
        <w:keepNext/>
        <w:widowControl/>
      </w:pPr>
      <w:r>
        <w:rPr>
          <w:b/>
          <w:i w:val="0"/>
        </w:rPr>
        <w:t>The word.</w:t>
      </w:r>
    </w:p>
    <w:p>
      <w:pPr>
        <w:widowControl/>
      </w:pPr>
      <w:r>
        <w:rPr>
          <w:b w:val="0"/>
          <w:i w:val="0"/>
        </w:rPr>
        <w:t>Ars means a craft or practiced art; natura is nature as a productive principle. Figulus is the potter, lutum clay, and vas a vessel. Commutatio describes transformation. Rarefactio and densitas mark thinning and density or condensation in the elemental model.</w:t>
      </w:r>
    </w:p>
    <w:p>
      <w:pPr>
        <w:keepNext/>
        <w:widowControl/>
      </w:pPr>
      <w:r>
        <w:rPr>
          <w:b/>
          <w:i w:val="0"/>
        </w:rPr>
        <w:t>In the Platonic Theology.</w:t>
      </w:r>
    </w:p>
    <w:p>
      <w:pPr>
        <w:widowControl/>
      </w:pPr>
      <w:r>
        <w:rPr>
          <w:b w:val="0"/>
          <w:i w:val="0"/>
        </w:rPr>
        <w:t xml:space="preserve">The maxim </w:t>
      </w:r>
      <w:r>
        <w:t>“</w:t>
      </w:r>
      <w:r>
        <w:rPr>
          <w:b w:val="0"/>
          <w:i w:val="0"/>
        </w:rPr>
        <w:t>art imitates nature</w:t>
      </w:r>
      <w:r>
        <w:t>”</w:t>
      </w:r>
      <w:r>
        <w:rPr>
          <w:b w:val="0"/>
          <w:i w:val="0"/>
        </w:rPr>
        <w:t xml:space="preserve"> introduces an inference from familiar craft to the hidden structure of natural change. Clay receives one vessel shape after another and remains when a pot breaks. Nature is consequently called an artisan with a universal material. The analogy illustrates the relation of mutable forms to a continuing recipient; it does not claim that prime matter is ordinary clay or that natural generation is merely external reshaping.</w:t>
      </w:r>
    </w:p>
    <w:p>
      <w:pPr>
        <w:widowControl/>
      </w:pPr>
      <w:r>
        <w:rPr>
          <w:b w:val="0"/>
          <w:i w:val="0"/>
        </w:rPr>
        <w:t>Ficino follows this with an ancient elemental account: solar rays thin seawater into vapor and air; matter then passes through fire, air, water and earth as rarefaction and condensation alternate. The warmth, coldness, moisture and dryness are properties within that model. Their explanatory role should be reported without replacing them silently with modern chemistry or endorsing the account as current science.</w:t>
      </w:r>
    </w:p>
    <w:p>
      <w:pPr>
        <w:widowControl/>
      </w:pPr>
      <w:r>
        <w:rPr>
          <w:b w:val="0"/>
          <w:i w:val="0"/>
        </w:rPr>
        <w:t>The seed examples restrict natural power. Wheat does not yield pears, millet does not yield figs, and human seed does not yield an eagle. A natural agent unable to produce just anything from any existing seed cannot, Ficino argues, make anything from nothing. The different examples therefore support one inference about the bounds of natural agency, not three botanical curiosities.</w:t>
      </w:r>
    </w:p>
    <w:p>
      <w:pPr>
        <w:widowControl/>
      </w:pPr>
      <w:r>
        <w:rPr>
          <w:b w:val="0"/>
          <w:i w:val="0"/>
        </w:rPr>
        <w:t>Later the sculptor’s prepared stone and the differing readiness of air and water to become fire illustrate distances between potency and actuality. The power needed rises with the distance to be traversed. This prepares the special case of creation from nothing, which no finite craft can perform.</w:t>
      </w:r>
    </w:p>
    <w:p>
      <w:pPr>
        <w:keepNext/>
        <w:widowControl/>
      </w:pPr>
      <w:r>
        <w:rPr>
          <w:b/>
          <w:i w:val="0"/>
        </w:rPr>
        <w:t>Places to Read.</w:t>
      </w:r>
    </w:p>
    <w:p>
      <w:pPr>
        <w:ind w:left="187" w:hanging="187"/>
      </w:pPr>
      <w:r>
        <w:t xml:space="preserve">• </w:t>
      </w:r>
      <w:r>
        <w:rPr>
          <w:b/>
          <w:i w:val="0"/>
        </w:rPr>
        <w:t>V.4.1, PDF 16–17.</w:t>
      </w:r>
      <w:r>
        <w:rPr>
          <w:b w:val="0"/>
          <w:i w:val="0"/>
        </w:rPr>
        <w:t xml:space="preserve"> Potter and clay lead into nature’s universal underlying matter and solar vapor.</w:t>
      </w:r>
    </w:p>
    <w:p>
      <w:pPr>
        <w:ind w:left="187" w:hanging="187"/>
      </w:pPr>
      <w:r>
        <w:t xml:space="preserve">• </w:t>
      </w:r>
      <w:r>
        <w:rPr>
          <w:b/>
          <w:i w:val="0"/>
        </w:rPr>
        <w:t>V.4.2, V.4.3, V.4.4, PDF 18–21.</w:t>
      </w:r>
      <w:r>
        <w:rPr>
          <w:b w:val="0"/>
          <w:i w:val="0"/>
        </w:rPr>
        <w:t xml:space="preserve"> Nonannihilation, specific seeds and elemental transformations form one connected argument.</w:t>
      </w:r>
    </w:p>
    <w:p>
      <w:pPr>
        <w:ind w:left="187" w:hanging="187"/>
      </w:pPr>
      <w:r>
        <w:t xml:space="preserve">• </w:t>
      </w:r>
      <w:r>
        <w:rPr>
          <w:b/>
          <w:i w:val="0"/>
        </w:rPr>
        <w:t>V.13.5, V.13.6, PDF 82–83.</w:t>
      </w:r>
      <w:r>
        <w:rPr>
          <w:b w:val="0"/>
          <w:i w:val="0"/>
        </w:rPr>
        <w:t xml:space="preserve"> Prepared stone and elemental readiness support the contrast between finite production and creation.</w:t>
      </w:r>
    </w:p>
    <w:p>
      <w:pPr>
        <w:keepNext/>
        <w:widowControl/>
      </w:pPr>
      <w:r>
        <w:rPr>
          <w:b/>
          <w:i w:val="0"/>
        </w:rPr>
        <w:t>In this edition.</w:t>
      </w:r>
    </w:p>
    <w:p>
      <w:pPr>
        <w:widowControl/>
      </w:pPr>
      <w:r>
        <w:rPr>
          <w:b w:val="0"/>
          <w:i w:val="0"/>
        </w:rPr>
        <w:t xml:space="preserve">Latuerat/delitescit preserve matter’s hiddenness beneath qualities; indui formas preserves the clothing image. At V.4.3 the moisture common to air and water is expressly </w:t>
      </w:r>
      <w:r>
        <w:t>“</w:t>
      </w:r>
      <w:r>
        <w:rPr>
          <w:b w:val="0"/>
          <w:i w:val="0"/>
        </w:rPr>
        <w:t>as the Platonists hold,</w:t>
      </w:r>
      <w:r>
        <w:t>”</w:t>
      </w:r>
      <w:r>
        <w:rPr>
          <w:b w:val="0"/>
          <w:i w:val="0"/>
        </w:rPr>
        <w:t xml:space="preserve"> an attribution worth retaining. These are historical natural-philosophical examples.</w:t>
      </w:r>
    </w:p>
    <w:p>
      <w:pPr>
        <w:keepNext/>
        <w:widowControl/>
      </w:pPr>
      <w:r>
        <w:rPr>
          <w:b/>
          <w:i w:val="0"/>
        </w:rPr>
        <w:t>See also.</w:t>
      </w:r>
    </w:p>
    <w:p>
      <w:pPr>
        <w:widowControl/>
      </w:pPr>
      <w:hyperlink w:anchor="prime-matter-and-enduring-support">
        <w:r>
          <w:rPr>
            <w:color w:val="000000"/>
          </w:rPr>
          <w:t xml:space="preserve">Prime matter and enduring support</w:t>
        </w:r>
      </w:hyperlink>
      <w:r>
        <w:rPr>
          <w:b w:val="0"/>
          <w:i w:val="0"/>
        </w:rPr>
        <w:t xml:space="preserve">; </w:t>
      </w:r>
      <w:hyperlink w:anchor="creation-and-generation">
        <w:r>
          <w:rPr>
            <w:color w:val="000000"/>
          </w:rPr>
          <w:t xml:space="preserve">Creation and generation</w:t>
        </w:r>
      </w:hyperlink>
      <w:r>
        <w:rPr>
          <w:b w:val="0"/>
          <w:i w:val="0"/>
        </w:rPr>
        <w:t xml:space="preserve">; </w:t>
      </w:r>
      <w:hyperlink w:anchor="ariston-sculptor-and-painter">
        <w:r>
          <w:rPr>
            <w:color w:val="000000"/>
          </w:rPr>
          <w:t xml:space="preserve">Ariston, sculptor and painter</w:t>
        </w:r>
      </w:hyperlink>
    </w:p>
    <w:p>
      <w:pPr>
        <w:pStyle w:val="Heading2"/>
      </w:pPr>
      <w:bookmarkStart w:id="96" w:name="avicenna-imagined-adult"/>
      <w:r>
        <w:rPr>
          <w:b w:val="0"/>
          <w:i w:val="0"/>
        </w:rPr>
        <w:t>Avicenna’s imagined adult</w:t>
      </w:r>
      <w:bookmarkEnd w:id="96"/>
    </w:p>
    <w:p>
      <w:pPr>
        <w:keepNext/>
        <w:widowControl/>
      </w:pPr>
      <w:r>
        <w:rPr>
          <w:b/>
          <w:i w:val="0"/>
        </w:rPr>
        <w:t>Latin:</w:t>
      </w:r>
      <w:r>
        <w:rPr>
          <w:b w:val="0"/>
          <w:i w:val="0"/>
        </w:rPr>
        <w:t xml:space="preserve"> </w:t>
      </w:r>
      <w:r>
        <w:rPr>
          <w:b w:val="0"/>
          <w:i/>
        </w:rPr>
        <w:t>educatio ficta</w:t>
      </w:r>
      <w:r>
        <w:rPr>
          <w:b w:val="0"/>
          <w:i w:val="0"/>
        </w:rPr>
        <w:t xml:space="preserve">; </w:t>
      </w:r>
      <w:r>
        <w:rPr>
          <w:b w:val="0"/>
          <w:i/>
        </w:rPr>
        <w:t>aetas perfecta</w:t>
      </w:r>
      <w:r>
        <w:rPr>
          <w:b w:val="0"/>
          <w:i w:val="0"/>
        </w:rPr>
        <w:t xml:space="preserve">; </w:t>
      </w:r>
      <w:r>
        <w:rPr>
          <w:b w:val="0"/>
          <w:i/>
        </w:rPr>
        <w:t>apprehendere</w:t>
      </w:r>
      <w:r>
        <w:rPr>
          <w:b w:val="0"/>
          <w:i w:val="0"/>
        </w:rPr>
        <w:t xml:space="preserve">; </w:t>
      </w:r>
      <w:r>
        <w:rPr>
          <w:b w:val="0"/>
          <w:i/>
        </w:rPr>
        <w:t>affirmare esse</w:t>
      </w:r>
      <w:r>
        <w:rPr>
          <w:b w:val="0"/>
          <w:i w:val="0"/>
        </w:rPr>
        <w:t xml:space="preserve">; </w:t>
      </w:r>
      <w:r>
        <w:rPr>
          <w:b w:val="0"/>
          <w:i/>
        </w:rPr>
        <w:t>intuitus</w:t>
      </w:r>
      <w:r>
        <w:rPr>
          <w:b w:val="0"/>
          <w:i w:val="0"/>
        </w:rPr>
        <w:t xml:space="preserve">; </w:t>
      </w:r>
      <w:r>
        <w:rPr>
          <w:b w:val="0"/>
          <w:i/>
        </w:rPr>
        <w:t>expergisci</w:t>
      </w:r>
    </w:p>
    <w:p>
      <w:pPr>
        <w:keepNext/>
        <w:widowControl/>
      </w:pPr>
      <w:r>
        <w:rPr>
          <w:b/>
          <w:i w:val="0"/>
        </w:rPr>
        <w:t>The word.</w:t>
      </w:r>
    </w:p>
    <w:p>
      <w:pPr>
        <w:widowControl/>
      </w:pPr>
      <w:r>
        <w:rPr>
          <w:b w:val="0"/>
          <w:i w:val="0"/>
        </w:rPr>
        <w:t>Ficta means imagined or devised in this thought experiment, not necessarily deceitful. Apprehendere is cognitive reception; intuitus is an immediate regard or apprehension. Affirmare esse concerns the assertion of one’s existence. Expergisci introduces the transition to ordinary waking sensation.</w:t>
      </w:r>
    </w:p>
    <w:p>
      <w:pPr>
        <w:keepNext/>
        <w:widowControl/>
      </w:pPr>
      <w:r>
        <w:rPr>
          <w:b/>
          <w:i w:val="0"/>
        </w:rPr>
        <w:t>In the Platonic Theology.</w:t>
      </w:r>
    </w:p>
    <w:p>
      <w:pPr>
        <w:widowControl/>
      </w:pPr>
      <w:r>
        <w:rPr>
          <w:b w:val="0"/>
          <w:i w:val="0"/>
        </w:rPr>
        <w:t>Ficino attributes to Avicenna’s sixth book of Natural Philosophy an imagined adult created instantaneously without apprehending anything through the five senses. The subject is not an infant gradually deprived of impressions. Immediate maturity removes the bodily disturbance Ficino’s earlier developmental account assigns to childhood, while sensory isolation removes the occupations that normally distract mind. This is an imagined alternative education, not a report of an observed person or a direction to induce sensory deprivation.</w:t>
      </w:r>
    </w:p>
    <w:p>
      <w:pPr>
        <w:widowControl/>
      </w:pPr>
      <w:r>
        <w:rPr>
          <w:b w:val="0"/>
          <w:i w:val="0"/>
        </w:rPr>
        <w:t>The absence of sensation is not itself the positive object thought. The soul’s own substance remains present to mind and supplies something intelligible. The imagined subject consequently thinks that substance without calling it coloured, long, broad, sounding or fragrant, because no sense has furnished those predicates. What first offers itself to intuition is its own essence. It affirms that it exists, and Ficino’s version then draws the further conclusion that it is incorporeal. The steps should remain separate: exclusion of sensory predicates, positive self-affirmation and interpretation of the affirmed essence are not one identical proposition.</w:t>
      </w:r>
    </w:p>
    <w:p>
      <w:pPr>
        <w:widowControl/>
      </w:pPr>
      <w:r>
        <w:rPr>
          <w:b w:val="0"/>
          <w:i w:val="0"/>
        </w:rPr>
        <w:t>VI.2.13 tests an objection: the isolated mind might deny that it is one of our familiar bodies but invent some body of an unfamiliar nature. Ficino replies first through an account of imagination. Even people experienced in many bodies devise new things by combining or eliciting what encountered bodies supply. A mind without such experience lacks the materials for fabricating an entirely unfamiliar corporeal nature. He then adds a different point about identification: even if it could conceive a member of its body, it would not thereby include that member in the substance whose existence it already affirms. The experiment does not claim that the person has no body; an adult bodily constitution is part of its premise. It distinguishes that constitution from the content of immediate self-knowledge.</w:t>
      </w:r>
    </w:p>
    <w:p>
      <w:pPr>
        <w:widowControl/>
      </w:pPr>
      <w:r>
        <w:rPr>
          <w:b w:val="0"/>
          <w:i w:val="0"/>
        </w:rPr>
        <w:t>The argument then explicitly supplies a warrant for trusting the distinction. What is affirmed and what is not affirmed are different; and the judgement follows the soul’s unadulterated nature, rather than images acquired externally. Ficino therefore calls it thoroughly natural and utterly true. That premise must stay visible. The inference from absence of corporeal self-predication to actual incorporeality should not be presented as if it required no philosophical account of natural judgement.</w:t>
      </w:r>
    </w:p>
    <w:p>
      <w:pPr>
        <w:widowControl/>
      </w:pPr>
      <w:r>
        <w:rPr>
          <w:b w:val="0"/>
          <w:i w:val="0"/>
        </w:rPr>
        <w:t>Finally, the imagined person awakens into ordinary sensation. Because self-awareness came first, this person would retain an easier path to inward contemplation than those who encountered bodies before considering themselves. The comparison returns the experiment to the chapter’s diagnosis of habituation: ordinary people mistake the bodily conditions of early cognition for the full nature of the cognizing subject. VI.2.14 expressly calls the preceding narrative educatio ficta before introducing Plato’s cave. It serves the preliminary weakening of corporealist disbelief and is not silently interchangeable with a different familiar version of Avicenna’s flying-man argument.</w:t>
      </w:r>
    </w:p>
    <w:p>
      <w:pPr>
        <w:keepNext/>
        <w:widowControl/>
      </w:pPr>
      <w:r>
        <w:rPr>
          <w:b/>
          <w:i w:val="0"/>
        </w:rPr>
        <w:t>Places to Read.</w:t>
      </w:r>
    </w:p>
    <w:p>
      <w:pPr>
        <w:ind w:left="187" w:hanging="187"/>
      </w:pPr>
      <w:r>
        <w:t xml:space="preserve">• </w:t>
      </w:r>
      <w:r>
        <w:rPr>
          <w:b/>
          <w:i w:val="0"/>
        </w:rPr>
        <w:t>VI.2.12; source PDF pp. 148, 149</w:t>
      </w:r>
      <w:r>
        <w:rPr>
          <w:b w:val="0"/>
          <w:i w:val="0"/>
        </w:rPr>
        <w:t>. The adult’s immediate self-affirmation is staged without sensory predicates.</w:t>
      </w:r>
    </w:p>
    <w:p>
      <w:pPr>
        <w:ind w:left="187" w:hanging="187"/>
      </w:pPr>
      <w:r>
        <w:t xml:space="preserve">• </w:t>
      </w:r>
      <w:r>
        <w:rPr>
          <w:b/>
          <w:i w:val="0"/>
        </w:rPr>
        <w:t>VI.2.13; source PDF pp. 150, 151</w:t>
      </w:r>
      <w:r>
        <w:rPr>
          <w:b w:val="0"/>
          <w:i w:val="0"/>
        </w:rPr>
        <w:t>. The unfamiliar-body objection is answered and natural judgement is explicitly defended.</w:t>
      </w:r>
    </w:p>
    <w:p>
      <w:pPr>
        <w:keepNext/>
        <w:widowControl/>
      </w:pPr>
      <w:r>
        <w:rPr>
          <w:b/>
          <w:i w:val="0"/>
        </w:rPr>
        <w:t>In this edition.</w:t>
      </w:r>
    </w:p>
    <w:p>
      <w:pPr>
        <w:widowControl/>
      </w:pPr>
      <w:r>
        <w:rPr>
          <w:b w:val="0"/>
          <w:i w:val="0"/>
        </w:rPr>
        <w:t xml:space="preserve">This is Ficino’s report and development of the experiment, translated from his Latin. It should not be replaced by another standard version of Avicenna’s </w:t>
      </w:r>
      <w:r>
        <w:t>“</w:t>
      </w:r>
      <w:r>
        <w:rPr>
          <w:b w:val="0"/>
          <w:i w:val="0"/>
        </w:rPr>
        <w:t>flying man.</w:t>
      </w:r>
      <w:r>
        <w:t>”</w:t>
      </w:r>
      <w:r>
        <w:rPr>
          <w:b w:val="0"/>
          <w:i w:val="0"/>
        </w:rPr>
        <w:t xml:space="preserve"> The apparatus records the correction pervidere, </w:t>
      </w:r>
      <w:r>
        <w:t>“</w:t>
      </w:r>
      <w:r>
        <w:rPr>
          <w:b w:val="0"/>
          <w:i w:val="0"/>
        </w:rPr>
        <w:t>see through/discern fully,</w:t>
      </w:r>
      <w:r>
        <w:t>”</w:t>
      </w:r>
      <w:r>
        <w:rPr>
          <w:b w:val="0"/>
          <w:i w:val="0"/>
        </w:rPr>
        <w:t xml:space="preserve"> at the end of VI.2.13.</w:t>
      </w:r>
    </w:p>
    <w:p>
      <w:pPr>
        <w:keepNext/>
        <w:widowControl/>
      </w:pPr>
      <w:r>
        <w:rPr>
          <w:b/>
          <w:i w:val="0"/>
        </w:rPr>
        <w:t>See also.</w:t>
      </w:r>
    </w:p>
    <w:p>
      <w:pPr>
        <w:widowControl/>
      </w:pPr>
      <w:hyperlink w:anchor="plato-cave-and-gradual-education">
        <w:r>
          <w:rPr>
            <w:color w:val="000000"/>
          </w:rPr>
          <w:t xml:space="preserve">Plato’s cave and gradual education</w:t>
        </w:r>
      </w:hyperlink>
      <w:r>
        <w:rPr>
          <w:b w:val="0"/>
          <w:i w:val="0"/>
        </w:rPr>
        <w:t xml:space="preserve">; </w:t>
      </w:r>
      <w:hyperlink w:anchor="habit-purification-and-intellectual-experiment">
        <w:r>
          <w:rPr>
            <w:color w:val="000000"/>
          </w:rPr>
          <w:t xml:space="preserve">Habit, purification and intellectual experiment</w:t>
        </w:r>
      </w:hyperlink>
    </w:p>
    <w:p>
      <w:pPr>
        <w:pStyle w:val="Heading2"/>
      </w:pPr>
      <w:bookmarkStart w:id="97" w:name="vii-bodily-constitution"/>
      <w:r>
        <w:rPr>
          <w:b w:val="0"/>
          <w:i w:val="0"/>
        </w:rPr>
        <w:t>Bodily constitution and temperament</w:t>
      </w:r>
      <w:bookmarkEnd w:id="97"/>
    </w:p>
    <w:p>
      <w:pPr>
        <w:keepNext/>
        <w:widowControl/>
      </w:pPr>
      <w:r>
        <w:rPr>
          <w:b/>
          <w:i w:val="0"/>
        </w:rPr>
        <w:t>Latin:</w:t>
      </w:r>
      <w:r>
        <w:rPr>
          <w:b w:val="0"/>
          <w:i w:val="0"/>
        </w:rPr>
        <w:t xml:space="preserve"> </w:t>
      </w:r>
      <w:r>
        <w:rPr>
          <w:b w:val="0"/>
          <w:i/>
        </w:rPr>
        <w:t>complexio</w:t>
      </w:r>
      <w:r>
        <w:rPr>
          <w:b w:val="0"/>
          <w:i w:val="0"/>
        </w:rPr>
        <w:t xml:space="preserve">; </w:t>
      </w:r>
      <w:r>
        <w:rPr>
          <w:b w:val="0"/>
          <w:i/>
        </w:rPr>
        <w:t>qualitas simplex</w:t>
      </w:r>
      <w:r>
        <w:rPr>
          <w:b w:val="0"/>
          <w:i w:val="0"/>
        </w:rPr>
        <w:t xml:space="preserve">; </w:t>
      </w:r>
      <w:r>
        <w:rPr>
          <w:b w:val="0"/>
          <w:i/>
        </w:rPr>
        <w:t>affectio corporis</w:t>
      </w:r>
      <w:r>
        <w:rPr>
          <w:b w:val="0"/>
          <w:i w:val="0"/>
        </w:rPr>
        <w:t xml:space="preserve">; </w:t>
      </w:r>
      <w:r>
        <w:rPr>
          <w:b w:val="0"/>
          <w:i/>
        </w:rPr>
        <w:t>forma astricta</w:t>
      </w:r>
      <w:r>
        <w:rPr>
          <w:b w:val="0"/>
          <w:i w:val="0"/>
        </w:rPr>
        <w:t xml:space="preserve">; </w:t>
      </w:r>
      <w:r>
        <w:rPr>
          <w:b w:val="0"/>
          <w:i/>
        </w:rPr>
        <w:t>temperatio</w:t>
      </w:r>
      <w:r>
        <w:rPr>
          <w:b w:val="0"/>
          <w:i w:val="0"/>
        </w:rPr>
        <w:t xml:space="preserve">; </w:t>
      </w:r>
      <w:r>
        <w:rPr>
          <w:b w:val="0"/>
          <w:i/>
        </w:rPr>
        <w:t>mixtio</w:t>
      </w:r>
    </w:p>
    <w:p>
      <w:pPr>
        <w:keepNext/>
        <w:widowControl/>
      </w:pPr>
      <w:r>
        <w:rPr>
          <w:b/>
          <w:i w:val="0"/>
        </w:rPr>
        <w:t>The word.</w:t>
      </w:r>
    </w:p>
    <w:p>
      <w:pPr>
        <w:widowControl/>
      </w:pPr>
      <w:r>
        <w:rPr>
          <w:b w:val="0"/>
          <w:i/>
        </w:rPr>
        <w:t>Complexio</w:t>
      </w:r>
      <w:r>
        <w:rPr>
          <w:b w:val="0"/>
          <w:i w:val="0"/>
        </w:rPr>
        <w:t xml:space="preserve"> is a bodily constitution arising from the combination of contrary qualities. It is not merely facial complexion or a person’s emotional temperament. </w:t>
      </w:r>
      <w:r>
        <w:rPr>
          <w:b w:val="0"/>
          <w:i/>
        </w:rPr>
        <w:t>Temperatio</w:t>
      </w:r>
      <w:r>
        <w:rPr>
          <w:b w:val="0"/>
          <w:i w:val="0"/>
        </w:rPr>
        <w:t xml:space="preserve"> emphasizes an appropriate tempering; </w:t>
      </w:r>
      <w:r>
        <w:rPr>
          <w:b w:val="0"/>
          <w:i/>
        </w:rPr>
        <w:t>mixtio</w:t>
      </w:r>
      <w:r>
        <w:rPr>
          <w:b w:val="0"/>
          <w:i w:val="0"/>
        </w:rPr>
        <w:t xml:space="preserve"> the mingling. A quality, a composite constitution, and a form bound to either are distinguished.</w:t>
      </w:r>
    </w:p>
    <w:p>
      <w:pPr>
        <w:keepNext/>
        <w:widowControl/>
      </w:pPr>
      <w:r>
        <w:rPr>
          <w:b/>
          <w:i w:val="0"/>
        </w:rPr>
        <w:t>In the Platonic Theology.</w:t>
      </w:r>
    </w:p>
    <w:p>
      <w:pPr>
        <w:widowControl/>
      </w:pPr>
      <w:r>
        <w:rPr>
          <w:b w:val="0"/>
          <w:i w:val="0"/>
        </w:rPr>
        <w:t>Chapter 7 explicitly begins arguments directed against soul as a divisible bodily form, even though the preceding sensory arguments have already opposed that view. Ficino calls the relevant bodily form a quality or affection in the Platonist manner. A simple quality, and a form following it, produce one characteristic effect rather than contrary effects; soul does many and contrary things. A composite constitution still has a predominant quality whose operation governs it. Soul is bound to no such one quality or proper movement.</w:t>
      </w:r>
    </w:p>
    <w:p>
      <w:pPr>
        <w:widowControl/>
      </w:pPr>
      <w:r>
        <w:rPr>
          <w:b w:val="0"/>
          <w:i w:val="0"/>
        </w:rPr>
        <w:t>Chapter 8 distinguishes the limits of the qualities composing a constitution from what nutrition and growth accomplish. Chapter 9 then examines constitution itself: it is a middle condition of contrary qualities, received in matter rather than subsisting in itself, vulnerable to an excessive opposing quality, and capable of intensification and remission. These are several arguments for its accidental status, not a single claim that every mixture is defective.</w:t>
      </w:r>
    </w:p>
    <w:p>
      <w:pPr>
        <w:widowControl/>
      </w:pPr>
      <w:r>
        <w:rPr>
          <w:b w:val="0"/>
          <w:i w:val="0"/>
        </w:rPr>
        <w:t>Constitution remains useful. Chapter 6 requires a properly tempered instrument for sensing, and later chapters recognize vital harmony, health and bodily proportion. The denial is that the soul’s substance is identical with or wholly generated by these conditions. A suitable constitution can be an effect, instrument or condition of life without being the sufficient productive source of the life that orders it.</w:t>
      </w:r>
    </w:p>
    <w:p>
      <w:pPr>
        <w:keepNext/>
        <w:widowControl/>
      </w:pPr>
      <w:r>
        <w:rPr>
          <w:b/>
          <w:i w:val="0"/>
        </w:rPr>
        <w:t>Places to Read.</w:t>
      </w:r>
    </w:p>
    <w:p>
      <w:pPr>
        <w:ind w:left="187" w:hanging="187"/>
      </w:pPr>
      <w:r>
        <w:t xml:space="preserve">• </w:t>
      </w:r>
      <w:r>
        <w:rPr>
          <w:b/>
          <w:i w:val="0"/>
        </w:rPr>
        <w:t>VII.6.3, PDF 260–261</w:t>
      </w:r>
      <w:r>
        <w:rPr>
          <w:b w:val="0"/>
          <w:i w:val="0"/>
        </w:rPr>
        <w:t>. The soul appropriately tempers its sensory instrument.</w:t>
      </w:r>
    </w:p>
    <w:p>
      <w:pPr>
        <w:ind w:left="187" w:hanging="187"/>
      </w:pPr>
      <w:r>
        <w:t xml:space="preserve">• </w:t>
      </w:r>
      <w:r>
        <w:rPr>
          <w:b/>
          <w:i w:val="0"/>
        </w:rPr>
        <w:t>VII.7.1, PDF 262–263</w:t>
      </w:r>
      <w:r>
        <w:rPr>
          <w:b w:val="0"/>
          <w:i w:val="0"/>
        </w:rPr>
        <w:t>. Simple quality, constitution and a dependent form are separately excluded as soul.</w:t>
      </w:r>
    </w:p>
    <w:p>
      <w:pPr>
        <w:ind w:left="187" w:hanging="187"/>
      </w:pPr>
      <w:r>
        <w:t xml:space="preserve">• </w:t>
      </w:r>
      <w:r>
        <w:rPr>
          <w:b/>
          <w:i w:val="0"/>
        </w:rPr>
        <w:t>VII.8.1, PDF 264–265</w:t>
      </w:r>
      <w:r>
        <w:rPr>
          <w:b w:val="0"/>
          <w:i w:val="0"/>
        </w:rPr>
        <w:t>. Constitution operates through its constituent qualities.</w:t>
      </w:r>
    </w:p>
    <w:p>
      <w:pPr>
        <w:ind w:left="187" w:hanging="187"/>
      </w:pPr>
      <w:r>
        <w:t xml:space="preserve">• </w:t>
      </w:r>
      <w:r>
        <w:rPr>
          <w:b/>
          <w:i w:val="0"/>
        </w:rPr>
        <w:t>VII.9.1, PDF 266–267</w:t>
      </w:r>
      <w:r>
        <w:rPr>
          <w:b w:val="0"/>
          <w:i w:val="0"/>
        </w:rPr>
        <w:t>. Contrariety, material dependence and degrees mark the constitution’s accidental nature.</w:t>
      </w:r>
    </w:p>
    <w:p>
      <w:pPr>
        <w:keepNext/>
        <w:widowControl/>
      </w:pPr>
      <w:r>
        <w:rPr>
          <w:b/>
          <w:i w:val="0"/>
        </w:rPr>
        <w:t>In this edition.</w:t>
      </w:r>
    </w:p>
    <w:p>
      <w:pPr>
        <w:widowControl/>
      </w:pPr>
      <w:r>
        <w:rPr>
          <w:b w:val="0"/>
          <w:i w:val="0"/>
        </w:rPr>
        <w:t xml:space="preserve">In VII.7.1 and VII.9.1, </w:t>
      </w:r>
      <w:r>
        <w:rPr>
          <w:b w:val="0"/>
          <w:i/>
        </w:rPr>
        <w:t>complexio</w:t>
      </w:r>
      <w:r>
        <w:rPr>
          <w:b w:val="0"/>
          <w:i w:val="0"/>
        </w:rPr>
        <w:t xml:space="preserve"> is introduced as </w:t>
      </w:r>
      <w:r>
        <w:t>“</w:t>
      </w:r>
      <w:r>
        <w:rPr>
          <w:b w:val="0"/>
          <w:i w:val="0"/>
        </w:rPr>
        <w:t>bodily constitution</w:t>
      </w:r>
      <w:r>
        <w:t>”</w:t>
      </w:r>
      <w:r>
        <w:rPr>
          <w:b w:val="0"/>
          <w:i w:val="0"/>
        </w:rPr>
        <w:t xml:space="preserve"> and subsequently shortened to </w:t>
      </w:r>
      <w:r>
        <w:t>“</w:t>
      </w:r>
      <w:r>
        <w:rPr>
          <w:b w:val="0"/>
          <w:i w:val="0"/>
        </w:rPr>
        <w:t>constitution</w:t>
      </w:r>
      <w:r>
        <w:t>”</w:t>
      </w:r>
      <w:r>
        <w:rPr>
          <w:b w:val="0"/>
          <w:i w:val="0"/>
        </w:rPr>
        <w:t xml:space="preserve">; elsewhere the edition also uses </w:t>
      </w:r>
      <w:r>
        <w:t>“</w:t>
      </w:r>
      <w:r>
        <w:rPr>
          <w:b w:val="0"/>
          <w:i w:val="0"/>
        </w:rPr>
        <w:t>temperament.</w:t>
      </w:r>
      <w:r>
        <w:t>”</w:t>
      </w:r>
      <w:r>
        <w:rPr>
          <w:b w:val="0"/>
          <w:i w:val="0"/>
        </w:rPr>
        <w:t xml:space="preserve"> The elliptical </w:t>
      </w:r>
      <w:r>
        <w:rPr>
          <w:b w:val="0"/>
          <w:i/>
        </w:rPr>
        <w:t>anima plurima et contraria</w:t>
      </w:r>
      <w:r>
        <w:rPr>
          <w:b w:val="0"/>
          <w:i w:val="0"/>
        </w:rPr>
        <w:t xml:space="preserve"> at VII.7.1 takes its verb from </w:t>
      </w:r>
      <w:r>
        <w:rPr>
          <w:b w:val="0"/>
          <w:i/>
        </w:rPr>
        <w:t>facit</w:t>
      </w:r>
      <w:r>
        <w:rPr>
          <w:b w:val="0"/>
          <w:i w:val="0"/>
        </w:rPr>
        <w:t>: soul produces many and contrary effects; it is not itself merely a mixture of contradictions.</w:t>
      </w:r>
    </w:p>
    <w:p>
      <w:pPr>
        <w:keepNext/>
        <w:widowControl/>
      </w:pPr>
      <w:r>
        <w:rPr>
          <w:b/>
          <w:i w:val="0"/>
        </w:rPr>
        <w:t>See also.</w:t>
      </w:r>
    </w:p>
    <w:p>
      <w:pPr>
        <w:widowControl/>
      </w:pPr>
      <w:hyperlink w:anchor="vii-nutrition-principal-agent">
        <w:r>
          <w:rPr>
            <w:color w:val="000000"/>
          </w:rPr>
          <w:t xml:space="preserve">Nutrition, growth and the principal agent</w:t>
        </w:r>
      </w:hyperlink>
      <w:r>
        <w:rPr>
          <w:b w:val="0"/>
          <w:i w:val="0"/>
        </w:rPr>
        <w:t xml:space="preserve">; </w:t>
      </w:r>
      <w:hyperlink w:anchor="vii-substance-degrees">
        <w:r>
          <w:rPr>
            <w:color w:val="000000"/>
          </w:rPr>
          <w:t xml:space="preserve">Substance, qualities and degrees</w:t>
        </w:r>
      </w:hyperlink>
      <w:r>
        <w:rPr>
          <w:b w:val="0"/>
          <w:i w:val="0"/>
        </w:rPr>
        <w:t xml:space="preserve">; </w:t>
      </w:r>
      <w:hyperlink w:anchor="vii-vital-harmony">
        <w:r>
          <w:rPr>
            <w:color w:val="000000"/>
          </w:rPr>
          <w:t xml:space="preserve">Vital harmony and its producer</w:t>
        </w:r>
      </w:hyperlink>
    </w:p>
    <w:p>
      <w:pPr>
        <w:pStyle w:val="Heading2"/>
      </w:pPr>
      <w:bookmarkStart w:id="98" w:name="viii-bodily-points"/>
      <w:r>
        <w:rPr>
          <w:b w:val="0"/>
          <w:i w:val="0"/>
        </w:rPr>
        <w:t>Bodily points and the seat of understanding</w:t>
      </w:r>
      <w:bookmarkEnd w:id="98"/>
    </w:p>
    <w:p>
      <w:pPr>
        <w:keepNext/>
        <w:widowControl/>
      </w:pPr>
      <w:r>
        <w:rPr>
          <w:b/>
          <w:i w:val="0"/>
        </w:rPr>
        <w:t>Latin:</w:t>
      </w:r>
      <w:r>
        <w:rPr>
          <w:b w:val="0"/>
          <w:i w:val="0"/>
        </w:rPr>
        <w:t xml:space="preserve"> </w:t>
      </w:r>
      <w:r>
        <w:rPr>
          <w:b w:val="0"/>
          <w:i/>
        </w:rPr>
        <w:t>punctum</w:t>
      </w:r>
      <w:r>
        <w:rPr>
          <w:b w:val="0"/>
          <w:i w:val="0"/>
        </w:rPr>
        <w:t xml:space="preserve">; </w:t>
      </w:r>
      <w:r>
        <w:rPr>
          <w:b w:val="0"/>
          <w:i/>
        </w:rPr>
        <w:t>terminus</w:t>
      </w:r>
      <w:r>
        <w:rPr>
          <w:b w:val="0"/>
          <w:i w:val="0"/>
        </w:rPr>
        <w:t xml:space="preserve">; </w:t>
      </w:r>
      <w:r>
        <w:rPr>
          <w:b w:val="0"/>
          <w:i/>
        </w:rPr>
        <w:t>latitudo</w:t>
      </w:r>
      <w:r>
        <w:rPr>
          <w:b w:val="0"/>
          <w:i w:val="0"/>
        </w:rPr>
        <w:t xml:space="preserve">; </w:t>
      </w:r>
      <w:r>
        <w:rPr>
          <w:b w:val="0"/>
          <w:i/>
        </w:rPr>
        <w:t>extensio</w:t>
      </w:r>
      <w:r>
        <w:rPr>
          <w:b w:val="0"/>
          <w:i w:val="0"/>
        </w:rPr>
        <w:t xml:space="preserve">; </w:t>
      </w:r>
      <w:r>
        <w:rPr>
          <w:b w:val="0"/>
          <w:i/>
        </w:rPr>
        <w:t>actu</w:t>
      </w:r>
      <w:r>
        <w:rPr>
          <w:b w:val="0"/>
          <w:i w:val="0"/>
        </w:rPr>
        <w:t xml:space="preserve">; </w:t>
      </w:r>
      <w:r>
        <w:rPr>
          <w:b w:val="0"/>
          <w:i/>
        </w:rPr>
        <w:t>potentia</w:t>
      </w:r>
      <w:r>
        <w:rPr>
          <w:b w:val="0"/>
          <w:i w:val="0"/>
        </w:rPr>
        <w:t xml:space="preserve">; </w:t>
      </w:r>
      <w:r>
        <w:rPr>
          <w:b w:val="0"/>
          <w:i/>
        </w:rPr>
        <w:t>intervallum</w:t>
      </w:r>
    </w:p>
    <w:p>
      <w:pPr>
        <w:keepNext/>
        <w:widowControl/>
      </w:pPr>
      <w:r>
        <w:rPr>
          <w:b/>
          <w:i w:val="0"/>
        </w:rPr>
        <w:t>The word.</w:t>
      </w:r>
    </w:p>
    <w:p>
      <w:pPr>
        <w:widowControl/>
      </w:pPr>
      <w:r>
        <w:rPr>
          <w:b w:val="0"/>
          <w:i w:val="0"/>
        </w:rPr>
        <w:t>A bodily punctum is a limit of magnitude, not a tiny self-subsisting substance. Latitudo names bodily extent broadly in this argument. Actual and potential existence are distinguished when Ficino asks whether a point could receive an intellectual form.</w:t>
      </w:r>
    </w:p>
    <w:p>
      <w:pPr>
        <w:keepNext/>
        <w:widowControl/>
      </w:pPr>
      <w:r>
        <w:rPr>
          <w:b/>
          <w:i w:val="0"/>
        </w:rPr>
        <w:t>In the Platonic Theology.</w:t>
      </w:r>
    </w:p>
    <w:p>
      <w:pPr>
        <w:widowControl/>
      </w:pPr>
      <w:r>
        <w:rPr>
          <w:b w:val="0"/>
          <w:i w:val="0"/>
        </w:rPr>
        <w:t>The point-or-extension dilemma tests both proposed locations for a bodily intellect. A point naturally belongs to a bodily measure as its limit. If it receives a form in that role, it receives only that form’s boundary, while the rest extends through the body. If instead the point alone independently receives the whole form, the point would have to exist independently of the line. Applying the same account to the next point leads either to a line deprived of limits or to a line assembled from points.</w:t>
      </w:r>
    </w:p>
    <w:p>
      <w:pPr>
        <w:widowControl/>
      </w:pPr>
      <w:r>
        <w:rPr>
          <w:b w:val="0"/>
          <w:i w:val="0"/>
        </w:rPr>
        <w:t>The three-point demonstration challenges the latter option. If a middle point separates two outer points, it must touch them through different parts, becoming divisible and no longer a point. If it does not separate them, no interval or length arises from their juxtaposition. Ficino therefore rejects a bodily point as an independently actual subject.</w:t>
      </w:r>
    </w:p>
    <w:p>
      <w:pPr>
        <w:widowControl/>
      </w:pPr>
      <w:r>
        <w:rPr>
          <w:b w:val="0"/>
          <w:i w:val="0"/>
        </w:rPr>
        <w:t>Potential points do not solve the problem. Without a differentiating reason, any potential point would be as eligible as every other. The proposed account would yield infinitely many actual forms or simultaneous acts of understanding of one object. Ficino rejects that result. This objection concerns an actually instantiated, simultaneous multitude; it must not be confused with Book VIII’s later defence of an indefinitely repeatable reflective operation.</w:t>
      </w:r>
    </w:p>
    <w:p>
      <w:pPr>
        <w:widowControl/>
      </w:pPr>
      <w:r>
        <w:rPr>
          <w:b w:val="0"/>
          <w:i w:val="0"/>
        </w:rPr>
        <w:t>The argument is about the ontological suitability of an extended body’s limit as a cognitive subject. It does not settle modern questions about neural localization, nor does it require treating a mathematical point as a miniature atom.</w:t>
      </w:r>
    </w:p>
    <w:p>
      <w:pPr>
        <w:keepNext/>
        <w:widowControl/>
      </w:pPr>
      <w:r>
        <w:rPr>
          <w:b/>
          <w:i w:val="0"/>
        </w:rPr>
        <w:t>Places to Read.</w:t>
      </w:r>
    </w:p>
    <w:p>
      <w:pPr>
        <w:ind w:left="187" w:hanging="187"/>
      </w:pPr>
      <w:r>
        <w:t xml:space="preserve">• </w:t>
      </w:r>
      <w:r>
        <w:rPr>
          <w:b/>
          <w:i w:val="0"/>
        </w:rPr>
        <w:t>VIII.4.1, PDF pp. 316–317.</w:t>
      </w:r>
      <w:r>
        <w:rPr>
          <w:b w:val="0"/>
          <w:i w:val="0"/>
        </w:rPr>
        <w:t xml:space="preserve"> A point’s status as limit prevents it from receiving a whole nonextended form independently.</w:t>
      </w:r>
    </w:p>
    <w:p>
      <w:pPr>
        <w:ind w:left="187" w:hanging="187"/>
      </w:pPr>
      <w:r>
        <w:t xml:space="preserve">• </w:t>
      </w:r>
      <w:r>
        <w:rPr>
          <w:b/>
          <w:i w:val="0"/>
        </w:rPr>
        <w:t>VIII.4.2, PDF pp. 318–319.</w:t>
      </w:r>
      <w:r>
        <w:rPr>
          <w:b w:val="0"/>
          <w:i w:val="0"/>
        </w:rPr>
        <w:t xml:space="preserve"> Detached points, the three-point demonstration and potential points are tested in sequence.</w:t>
      </w:r>
    </w:p>
    <w:p>
      <w:pPr>
        <w:ind w:left="187" w:hanging="187"/>
      </w:pPr>
      <w:r>
        <w:t xml:space="preserve">• </w:t>
      </w:r>
      <w:r>
        <w:rPr>
          <w:b/>
          <w:i w:val="0"/>
        </w:rPr>
        <w:t>VIII.5.1, PDF pp. 338–339.</w:t>
      </w:r>
      <w:r>
        <w:rPr>
          <w:b w:val="0"/>
          <w:i w:val="0"/>
        </w:rPr>
        <w:t xml:space="preserve"> The point returns in a separate reductio of cognition as bodily contact.</w:t>
      </w:r>
    </w:p>
    <w:p>
      <w:pPr>
        <w:keepNext/>
        <w:widowControl/>
      </w:pPr>
      <w:r>
        <w:rPr>
          <w:b/>
          <w:i w:val="0"/>
        </w:rPr>
        <w:t>In this edition.</w:t>
      </w:r>
    </w:p>
    <w:p>
      <w:pPr>
        <w:widowControl/>
      </w:pPr>
      <w:r>
        <w:rPr>
          <w:b w:val="0"/>
          <w:i w:val="0"/>
        </w:rPr>
        <w:t>The apparatus records the correction non for nos in VIII.4.2. Proprie existit actu and proprio existet actu preserve the claim of independent actuality being tested. Intelligentiae at the close means acts of understanding, not multiple minds.</w:t>
      </w:r>
    </w:p>
    <w:p>
      <w:pPr>
        <w:keepNext/>
        <w:widowControl/>
      </w:pPr>
      <w:r>
        <w:rPr>
          <w:b/>
          <w:i w:val="0"/>
        </w:rPr>
        <w:t>See also.</w:t>
      </w:r>
    </w:p>
    <w:p>
      <w:pPr>
        <w:widowControl/>
      </w:pPr>
      <w:hyperlink w:anchor="viii-touch-traversal">
        <w:r>
          <w:rPr>
            <w:color w:val="000000"/>
          </w:rPr>
          <w:t xml:space="preserve">Touch, traversal, and the rejection of bodily contact</w:t>
        </w:r>
      </w:hyperlink>
      <w:r>
        <w:rPr>
          <w:b w:val="0"/>
          <w:i w:val="0"/>
        </w:rPr>
        <w:t xml:space="preserve">; </w:t>
      </w:r>
      <w:hyperlink w:anchor="viii-intellectual-intelligible">
        <w:r>
          <w:rPr>
            <w:color w:val="000000"/>
          </w:rPr>
          <w:t xml:space="preserve">Intellectual forms and intelligible essences</w:t>
        </w:r>
      </w:hyperlink>
      <w:r>
        <w:rPr>
          <w:b w:val="0"/>
          <w:i w:val="0"/>
        </w:rPr>
        <w:t xml:space="preserve">; </w:t>
      </w:r>
      <w:hyperlink w:anchor="viii-infinite-operations">
        <w:r>
          <w:rPr>
            <w:color w:val="000000"/>
          </w:rPr>
          <w:t xml:space="preserve">Infinite operations and the limits of sensory kinds</w:t>
        </w:r>
      </w:hyperlink>
    </w:p>
    <w:p>
      <w:pPr>
        <w:pStyle w:val="Heading2"/>
      </w:pPr>
      <w:bookmarkStart w:id="99" w:name="vii-bodily-spirit"/>
      <w:r>
        <w:rPr>
          <w:b w:val="0"/>
          <w:i w:val="0"/>
        </w:rPr>
        <w:t>Bodily spirit and mediation</w:t>
      </w:r>
      <w:bookmarkEnd w:id="99"/>
    </w:p>
    <w:p>
      <w:pPr>
        <w:keepNext/>
        <w:widowControl/>
      </w:pPr>
      <w:r>
        <w:rPr>
          <w:b/>
          <w:i w:val="0"/>
        </w:rPr>
        <w:t>Latin:</w:t>
      </w:r>
      <w:r>
        <w:rPr>
          <w:b w:val="0"/>
          <w:i w:val="0"/>
        </w:rPr>
        <w:t xml:space="preserve"> </w:t>
      </w:r>
      <w:r>
        <w:rPr>
          <w:b w:val="0"/>
          <w:i/>
        </w:rPr>
        <w:t>spiritus</w:t>
      </w:r>
      <w:r>
        <w:rPr>
          <w:b w:val="0"/>
          <w:i w:val="0"/>
        </w:rPr>
        <w:t xml:space="preserve">; </w:t>
      </w:r>
      <w:r>
        <w:rPr>
          <w:b w:val="0"/>
          <w:i/>
        </w:rPr>
        <w:t>corpusculum</w:t>
      </w:r>
      <w:r>
        <w:rPr>
          <w:b w:val="0"/>
          <w:i w:val="0"/>
        </w:rPr>
        <w:t xml:space="preserve">; </w:t>
      </w:r>
      <w:r>
        <w:rPr>
          <w:b w:val="0"/>
          <w:i/>
        </w:rPr>
        <w:t>tenuissimus</w:t>
      </w:r>
      <w:r>
        <w:rPr>
          <w:b w:val="0"/>
          <w:i w:val="0"/>
        </w:rPr>
        <w:t xml:space="preserve">; </w:t>
      </w:r>
      <w:r>
        <w:rPr>
          <w:b w:val="0"/>
          <w:i/>
        </w:rPr>
        <w:t>lucidissimus</w:t>
      </w:r>
      <w:r>
        <w:rPr>
          <w:b w:val="0"/>
          <w:i w:val="0"/>
        </w:rPr>
        <w:t xml:space="preserve">; </w:t>
      </w:r>
      <w:r>
        <w:rPr>
          <w:b w:val="0"/>
          <w:i/>
        </w:rPr>
        <w:t>sanguis</w:t>
      </w:r>
      <w:r>
        <w:rPr>
          <w:b w:val="0"/>
          <w:i w:val="0"/>
        </w:rPr>
        <w:t xml:space="preserve">; </w:t>
      </w:r>
      <w:r>
        <w:rPr>
          <w:b w:val="0"/>
          <w:i/>
        </w:rPr>
        <w:t>calor cordis</w:t>
      </w:r>
      <w:r>
        <w:rPr>
          <w:b w:val="0"/>
          <w:i w:val="0"/>
        </w:rPr>
        <w:t xml:space="preserve">; </w:t>
      </w:r>
      <w:r>
        <w:rPr>
          <w:b w:val="0"/>
          <w:i/>
        </w:rPr>
        <w:t>copulare</w:t>
      </w:r>
      <w:r>
        <w:rPr>
          <w:b w:val="0"/>
          <w:i w:val="0"/>
        </w:rPr>
        <w:t xml:space="preserve">; </w:t>
      </w:r>
      <w:r>
        <w:rPr>
          <w:b w:val="0"/>
          <w:i/>
        </w:rPr>
        <w:t>insinuare</w:t>
      </w:r>
    </w:p>
    <w:p>
      <w:pPr>
        <w:keepNext/>
        <w:widowControl/>
      </w:pPr>
      <w:r>
        <w:rPr>
          <w:b/>
          <w:i w:val="0"/>
        </w:rPr>
        <w:t>The word.</w:t>
      </w:r>
    </w:p>
    <w:p>
      <w:pPr>
        <w:widowControl/>
      </w:pPr>
      <w:r>
        <w:rPr>
          <w:b w:val="0"/>
          <w:i/>
        </w:rPr>
        <w:t>Spiritus</w:t>
      </w:r>
      <w:r>
        <w:rPr>
          <w:b w:val="0"/>
          <w:i w:val="0"/>
        </w:rPr>
        <w:t xml:space="preserve"> in chapter 6 is explicitly a very subtle, luminous little body. It is neither the incorporeal soul nor simply modern breath. </w:t>
      </w:r>
      <w:r>
        <w:rPr>
          <w:b w:val="0"/>
          <w:i/>
        </w:rPr>
        <w:t>Copulare</w:t>
      </w:r>
      <w:r>
        <w:rPr>
          <w:b w:val="0"/>
          <w:i w:val="0"/>
        </w:rPr>
        <w:t xml:space="preserve"> joins; </w:t>
      </w:r>
      <w:r>
        <w:rPr>
          <w:b w:val="0"/>
          <w:i/>
        </w:rPr>
        <w:t>insinuare</w:t>
      </w:r>
      <w:r>
        <w:rPr>
          <w:b w:val="0"/>
          <w:i w:val="0"/>
        </w:rPr>
        <w:t xml:space="preserve"> describes the soul entering or intimately engaging a medium akin to itself.</w:t>
      </w:r>
    </w:p>
    <w:p>
      <w:pPr>
        <w:keepNext/>
        <w:widowControl/>
      </w:pPr>
      <w:r>
        <w:rPr>
          <w:b/>
          <w:i w:val="0"/>
        </w:rPr>
        <w:t>In the Platonic Theology.</w:t>
      </w:r>
    </w:p>
    <w:p>
      <w:pPr>
        <w:widowControl/>
      </w:pPr>
      <w:r>
        <w:rPr>
          <w:b w:val="0"/>
          <w:i w:val="0"/>
        </w:rPr>
        <w:t>Ficino explains the joining of pure soul to gross earthly body through a mediating spirit generated by the heart’s heat from the finest blood. It diffuses through the body; the soul first gives it life and motion and through it governs the larger body. The language of kinship explains why this intermediary is fitted for the relation, but does not abolish the difference between a bodily medium and the soul that animates it.</w:t>
      </w:r>
    </w:p>
    <w:p>
      <w:pPr>
        <w:widowControl/>
      </w:pPr>
      <w:r>
        <w:rPr>
          <w:b w:val="0"/>
          <w:i w:val="0"/>
        </w:rPr>
        <w:t>The physician’s cut makes the distinction concrete. Flesh is severed; the spirit infused through it is partly loosened and partly contracts inward. Touch perceives the bodily event, while imagination attends to the perception, judges it and shares the distress. The concluding fourfold allocation is exact: bodily affection in flesh, torment in spirit, sensation in touch, and shared suffering in imagination. They are associated aspects of one event, not four names for a single material injury.</w:t>
      </w:r>
    </w:p>
    <w:p>
      <w:pPr>
        <w:widowControl/>
      </w:pPr>
      <w:r>
        <w:rPr>
          <w:b w:val="0"/>
          <w:i w:val="0"/>
        </w:rPr>
        <w:t>This physiology is Ficino’s historical explanatory account. Its fine body generated from blood should not be renamed a nerve impulse or treated as established medicine. The following argument moreover denies that the injury passes into the soul’s substance. To make the soul another even finer body immersed in the larger body would defeat the distinction chapter 6 is trying to secure.</w:t>
      </w:r>
    </w:p>
    <w:p>
      <w:pPr>
        <w:keepNext/>
        <w:widowControl/>
      </w:pPr>
      <w:r>
        <w:rPr>
          <w:b/>
          <w:i w:val="0"/>
        </w:rPr>
        <w:t>Places to Read.</w:t>
      </w:r>
    </w:p>
    <w:p>
      <w:pPr>
        <w:ind w:left="187" w:hanging="187"/>
      </w:pPr>
      <w:r>
        <w:t xml:space="preserve">• </w:t>
      </w:r>
      <w:r>
        <w:rPr>
          <w:b/>
          <w:i w:val="0"/>
        </w:rPr>
        <w:t>VII.6.1, PDF 256–257</w:t>
      </w:r>
      <w:r>
        <w:rPr>
          <w:b w:val="0"/>
          <w:i w:val="0"/>
        </w:rPr>
        <w:t>. Generation and diffusion of bodily spirit introduce the mediating account and the surgical example.</w:t>
      </w:r>
    </w:p>
    <w:p>
      <w:pPr>
        <w:ind w:left="187" w:hanging="187"/>
      </w:pPr>
      <w:r>
        <w:t xml:space="preserve">• </w:t>
      </w:r>
      <w:r>
        <w:rPr>
          <w:b/>
          <w:i w:val="0"/>
        </w:rPr>
        <w:t>VII.6.2, PDF 258–259</w:t>
      </w:r>
      <w:r>
        <w:rPr>
          <w:b w:val="0"/>
          <w:i w:val="0"/>
        </w:rPr>
        <w:t>. Damage to flesh and spirit is distinguished from damage to soul.</w:t>
      </w:r>
    </w:p>
    <w:p>
      <w:pPr>
        <w:ind w:left="187" w:hanging="187"/>
      </w:pPr>
      <w:r>
        <w:t xml:space="preserve">• </w:t>
      </w:r>
      <w:r>
        <w:rPr>
          <w:b/>
          <w:i w:val="0"/>
        </w:rPr>
        <w:t>VII.6.3, PDF 260–261</w:t>
      </w:r>
      <w:r>
        <w:rPr>
          <w:b w:val="0"/>
          <w:i w:val="0"/>
        </w:rPr>
        <w:t>. An extremely subtle immersed body is excluded as the final sensory judge.</w:t>
      </w:r>
    </w:p>
    <w:p>
      <w:pPr>
        <w:keepNext/>
        <w:widowControl/>
      </w:pPr>
      <w:r>
        <w:rPr>
          <w:b/>
          <w:i w:val="0"/>
        </w:rPr>
        <w:t>In this edition.</w:t>
      </w:r>
    </w:p>
    <w:p>
      <w:pPr>
        <w:widowControl/>
      </w:pPr>
      <w:r>
        <w:rPr>
          <w:b w:val="0"/>
          <w:i w:val="0"/>
        </w:rPr>
        <w:t xml:space="preserve">The relative </w:t>
      </w:r>
      <w:r>
        <w:rPr>
          <w:b w:val="0"/>
          <w:i/>
        </w:rPr>
        <w:t>quem</w:t>
      </w:r>
      <w:r>
        <w:rPr>
          <w:b w:val="0"/>
          <w:i w:val="0"/>
        </w:rPr>
        <w:t xml:space="preserve"> follows the neuter </w:t>
      </w:r>
      <w:r>
        <w:rPr>
          <w:b w:val="0"/>
          <w:i/>
        </w:rPr>
        <w:t>corpusculum</w:t>
      </w:r>
      <w:r>
        <w:rPr>
          <w:b w:val="0"/>
          <w:i w:val="0"/>
        </w:rPr>
        <w:t xml:space="preserve"> while anticipating masculine </w:t>
      </w:r>
      <w:r>
        <w:rPr>
          <w:b w:val="0"/>
          <w:i/>
        </w:rPr>
        <w:t>spiritum</w:t>
      </w:r>
      <w:r>
        <w:rPr>
          <w:b w:val="0"/>
          <w:i w:val="0"/>
        </w:rPr>
        <w:t xml:space="preserve">; the sense remains explicitly bodily. VII.11.1’s </w:t>
      </w:r>
      <w:r>
        <w:t>“</w:t>
      </w:r>
      <w:r>
        <w:rPr>
          <w:b w:val="0"/>
          <w:i w:val="0"/>
        </w:rPr>
        <w:t>life-giving spirit</w:t>
      </w:r>
      <w:r>
        <w:t>”</w:t>
      </w:r>
      <w:r>
        <w:rPr>
          <w:b w:val="0"/>
          <w:i w:val="0"/>
        </w:rPr>
        <w:t xml:space="preserve"> occurs in a different causal argument and should not automatically be assigned every physiological detail given here.</w:t>
      </w:r>
    </w:p>
    <w:p>
      <w:pPr>
        <w:keepNext/>
        <w:widowControl/>
      </w:pPr>
      <w:r>
        <w:rPr>
          <w:b/>
          <w:i w:val="0"/>
        </w:rPr>
        <w:t>See also.</w:t>
      </w:r>
    </w:p>
    <w:p>
      <w:pPr>
        <w:widowControl/>
      </w:pPr>
      <w:hyperlink w:anchor="vii-injury-judge">
        <w:r>
          <w:rPr>
            <w:color w:val="000000"/>
          </w:rPr>
          <w:t xml:space="preserve">Injury and the uninjured judge</w:t>
        </w:r>
      </w:hyperlink>
      <w:r>
        <w:rPr>
          <w:b w:val="0"/>
          <w:i w:val="0"/>
        </w:rPr>
        <w:t xml:space="preserve">; </w:t>
      </w:r>
      <w:hyperlink w:anchor="vii-sensation-attention">
        <w:r>
          <w:rPr>
            <w:color w:val="000000"/>
          </w:rPr>
          <w:t xml:space="preserve">Sensation as attentive activity</w:t>
        </w:r>
      </w:hyperlink>
      <w:r>
        <w:rPr>
          <w:b w:val="0"/>
          <w:i w:val="0"/>
        </w:rPr>
        <w:t xml:space="preserve">; </w:t>
      </w:r>
      <w:hyperlink w:anchor="vii-vital-harmony">
        <w:r>
          <w:rPr>
            <w:color w:val="000000"/>
          </w:rPr>
          <w:t xml:space="preserve">Vital harmony and its producer</w:t>
        </w:r>
      </w:hyperlink>
    </w:p>
    <w:p>
      <w:pPr>
        <w:pStyle w:val="Heading2"/>
      </w:pPr>
      <w:bookmarkStart w:id="100" w:name="viii-body-instrument"/>
      <w:r>
        <w:rPr>
          <w:b w:val="0"/>
          <w:i w:val="0"/>
        </w:rPr>
        <w:t>Body, instruments, and vital spirit</w:t>
      </w:r>
      <w:bookmarkEnd w:id="100"/>
    </w:p>
    <w:p>
      <w:pPr>
        <w:keepNext/>
        <w:widowControl/>
      </w:pPr>
      <w:r>
        <w:rPr>
          <w:b/>
          <w:i w:val="0"/>
        </w:rPr>
        <w:t>Latin:</w:t>
      </w:r>
      <w:r>
        <w:rPr>
          <w:b w:val="0"/>
          <w:i w:val="0"/>
        </w:rPr>
        <w:t xml:space="preserve"> </w:t>
      </w:r>
      <w:r>
        <w:rPr>
          <w:b w:val="0"/>
          <w:i/>
        </w:rPr>
        <w:t>ars</w:t>
      </w:r>
      <w:r>
        <w:rPr>
          <w:b w:val="0"/>
          <w:i w:val="0"/>
        </w:rPr>
        <w:t xml:space="preserve">; </w:t>
      </w:r>
      <w:r>
        <w:rPr>
          <w:b w:val="0"/>
          <w:i/>
        </w:rPr>
        <w:t>instrumentum</w:t>
      </w:r>
      <w:r>
        <w:rPr>
          <w:b w:val="0"/>
          <w:i w:val="0"/>
        </w:rPr>
        <w:t xml:space="preserve">; </w:t>
      </w:r>
      <w:r>
        <w:rPr>
          <w:b w:val="0"/>
          <w:i/>
        </w:rPr>
        <w:t>membrum</w:t>
      </w:r>
      <w:r>
        <w:rPr>
          <w:b w:val="0"/>
          <w:i w:val="0"/>
        </w:rPr>
        <w:t xml:space="preserve">; </w:t>
      </w:r>
      <w:r>
        <w:rPr>
          <w:b w:val="0"/>
          <w:i/>
        </w:rPr>
        <w:t>spiritus</w:t>
      </w:r>
      <w:r>
        <w:rPr>
          <w:b w:val="0"/>
          <w:i w:val="0"/>
        </w:rPr>
        <w:t xml:space="preserve">; </w:t>
      </w:r>
      <w:r>
        <w:rPr>
          <w:b w:val="0"/>
          <w:i/>
        </w:rPr>
        <w:t>proportio</w:t>
      </w:r>
      <w:r>
        <w:rPr>
          <w:b w:val="0"/>
          <w:i w:val="0"/>
        </w:rPr>
        <w:t xml:space="preserve">; </w:t>
      </w:r>
      <w:r>
        <w:rPr>
          <w:b w:val="0"/>
          <w:i/>
        </w:rPr>
        <w:t>conformatio</w:t>
      </w:r>
      <w:r>
        <w:rPr>
          <w:b w:val="0"/>
          <w:i w:val="0"/>
        </w:rPr>
        <w:t xml:space="preserve">; </w:t>
      </w:r>
      <w:r>
        <w:rPr>
          <w:b w:val="0"/>
          <w:i/>
        </w:rPr>
        <w:t>ingenium</w:t>
      </w:r>
      <w:r>
        <w:rPr>
          <w:b w:val="0"/>
          <w:i w:val="0"/>
        </w:rPr>
        <w:t xml:space="preserve">; </w:t>
      </w:r>
      <w:r>
        <w:rPr>
          <w:b w:val="0"/>
          <w:i/>
        </w:rPr>
        <w:t>usus</w:t>
      </w:r>
      <w:r>
        <w:rPr>
          <w:b w:val="0"/>
          <w:i w:val="0"/>
        </w:rPr>
        <w:t xml:space="preserve">; </w:t>
      </w:r>
      <w:r>
        <w:rPr>
          <w:b w:val="0"/>
          <w:i/>
        </w:rPr>
        <w:t>affectus</w:t>
      </w:r>
    </w:p>
    <w:p>
      <w:pPr>
        <w:keepNext/>
        <w:widowControl/>
      </w:pPr>
      <w:r>
        <w:rPr>
          <w:b/>
          <w:i w:val="0"/>
        </w:rPr>
        <w:t>The word.</w:t>
      </w:r>
    </w:p>
    <w:p>
      <w:pPr>
        <w:widowControl/>
      </w:pPr>
      <w:r>
        <w:rPr>
          <w:b w:val="0"/>
          <w:i w:val="0"/>
        </w:rPr>
        <w:t>An instrument is a bodily means through which a power acts. Ars supplies the comparison with an enduring skill whose expression varies with its tools. Spiritus in this local passage is the subtle bodily mediator, not the incorporeal soul proved elsewhere. Ingenium, usus and affectus name native capacity, exercise and engaged ardour.</w:t>
      </w:r>
    </w:p>
    <w:p>
      <w:pPr>
        <w:keepNext/>
        <w:widowControl/>
      </w:pPr>
      <w:r>
        <w:rPr>
          <w:b/>
          <w:i w:val="0"/>
        </w:rPr>
        <w:t>In the Platonic Theology.</w:t>
      </w:r>
    </w:p>
    <w:p>
      <w:pPr>
        <w:widowControl/>
      </w:pPr>
      <w:r>
        <w:rPr>
          <w:b w:val="0"/>
          <w:i w:val="0"/>
        </w:rPr>
        <w:t>The Epicurean argument, as Ficino reports it, infers a growing and declining soul from the changes in children’s, adults’ and elderly people’s strength. His reply distinguishes an unchanged art from variable instruments. Limbs that are too soft or dry cannot hold firm or bend equally well; that limitation does not prove that the governing art has itself become larger or smaller.</w:t>
      </w:r>
    </w:p>
    <w:p>
      <w:pPr>
        <w:widowControl/>
      </w:pPr>
      <w:r>
        <w:rPr>
          <w:b w:val="0"/>
          <w:i w:val="0"/>
        </w:rPr>
        <w:t>Even bodily effectiveness depends on proportion and skilful organization rather than simply weight of flesh. Ficino connects these factors with vital spirit. Intellectual and moral development also requires industry: a growing idle body does not acquire wisdom merely by growing. Practice, ability and ardour can strengthen mind, and reason or sudden frenzy can produce courage in an instant. The smaller person who overcomes the larger is an example of this divergence.</w:t>
      </w:r>
    </w:p>
    <w:p>
      <w:pPr>
        <w:widowControl/>
      </w:pPr>
      <w:r>
        <w:rPr>
          <w:b w:val="0"/>
          <w:i w:val="0"/>
        </w:rPr>
        <w:t>The argument does not deny that the condition of organs affects performance. It uses that admitted relation to distinguish the source of a power from the fitness of its means. Nor does every occurrence of virtus in this neighbourhood have exactly the same force: bodily strength, effective mental power and ethically formed virtue must be read in their respective sentences.</w:t>
      </w:r>
    </w:p>
    <w:p>
      <w:pPr>
        <w:keepNext/>
        <w:widowControl/>
      </w:pPr>
      <w:r>
        <w:rPr>
          <w:b/>
          <w:i w:val="0"/>
        </w:rPr>
        <w:t>Places to Read.</w:t>
      </w:r>
    </w:p>
    <w:p>
      <w:pPr>
        <w:ind w:left="187" w:hanging="187"/>
      </w:pPr>
      <w:r>
        <w:t xml:space="preserve">• </w:t>
      </w:r>
      <w:r>
        <w:rPr>
          <w:b/>
          <w:i w:val="0"/>
        </w:rPr>
        <w:t>VIII.2.3, PDF pp. 296–297.</w:t>
      </w:r>
      <w:r>
        <w:rPr>
          <w:b w:val="0"/>
          <w:i w:val="0"/>
        </w:rPr>
        <w:t xml:space="preserve"> Art and instruments answer the inference from age-dependent strength to a quantitatively growing soul.</w:t>
      </w:r>
    </w:p>
    <w:p>
      <w:pPr>
        <w:ind w:left="187" w:hanging="187"/>
      </w:pPr>
      <w:r>
        <w:t xml:space="preserve">• </w:t>
      </w:r>
      <w:r>
        <w:rPr>
          <w:b/>
          <w:i w:val="0"/>
        </w:rPr>
        <w:t>VIII.2.5, PDF pp. 298–299.</w:t>
      </w:r>
      <w:r>
        <w:rPr>
          <w:b w:val="0"/>
          <w:i w:val="0"/>
        </w:rPr>
        <w:t xml:space="preserve"> Bodily illness diverts the soul into care and government.</w:t>
      </w:r>
    </w:p>
    <w:p>
      <w:pPr>
        <w:keepNext/>
        <w:widowControl/>
      </w:pPr>
      <w:r>
        <w:rPr>
          <w:b/>
          <w:i w:val="0"/>
        </w:rPr>
        <w:t>In this edition.</w:t>
      </w:r>
    </w:p>
    <w:p>
      <w:pPr>
        <w:widowControl/>
      </w:pPr>
      <w:r>
        <w:rPr>
          <w:b w:val="0"/>
          <w:i w:val="0"/>
        </w:rPr>
        <w:t xml:space="preserve">The apparatus specifies </w:t>
      </w:r>
      <w:r>
        <w:t>“</w:t>
      </w:r>
      <w:r>
        <w:rPr>
          <w:b w:val="0"/>
          <w:i w:val="0"/>
        </w:rPr>
        <w:t>vital spirit</w:t>
      </w:r>
      <w:r>
        <w:t>”</w:t>
      </w:r>
      <w:r>
        <w:rPr>
          <w:b w:val="0"/>
          <w:i w:val="0"/>
        </w:rPr>
        <w:t xml:space="preserve"> for spiritus and </w:t>
      </w:r>
      <w:r>
        <w:t>“</w:t>
      </w:r>
      <w:r>
        <w:rPr>
          <w:b w:val="0"/>
          <w:i w:val="0"/>
        </w:rPr>
        <w:t>ardor</w:t>
      </w:r>
      <w:r>
        <w:t>”</w:t>
      </w:r>
      <w:r>
        <w:rPr>
          <w:b w:val="0"/>
          <w:i w:val="0"/>
        </w:rPr>
        <w:t xml:space="preserve"> for affectus. The corrected non tam, rather than non tamen, creates the comparison </w:t>
      </w:r>
      <w:r>
        <w:t>“</w:t>
      </w:r>
      <w:r>
        <w:rPr>
          <w:b w:val="0"/>
          <w:i w:val="0"/>
        </w:rPr>
        <w:t>not so much weight as proportion.</w:t>
      </w:r>
      <w:r>
        <w:t>”</w:t>
      </w:r>
      <w:r>
        <w:rPr>
          <w:b w:val="0"/>
          <w:i w:val="0"/>
        </w:rPr>
        <w:t xml:space="preserve"> Furor arma ministrat is retained as a vivid account of sudden arousal, not a recommendation of violence.</w:t>
      </w:r>
    </w:p>
    <w:p>
      <w:pPr>
        <w:keepNext/>
        <w:widowControl/>
      </w:pPr>
      <w:r>
        <w:rPr>
          <w:b/>
          <w:i w:val="0"/>
        </w:rPr>
        <w:t>See also.</w:t>
      </w:r>
    </w:p>
    <w:p>
      <w:pPr>
        <w:widowControl/>
      </w:pPr>
      <w:hyperlink w:anchor="viii-food-truth">
        <w:r>
          <w:rPr>
            <w:color w:val="000000"/>
          </w:rPr>
          <w:t xml:space="preserve">Food, truth, and the hungry mind</w:t>
        </w:r>
      </w:hyperlink>
      <w:r>
        <w:rPr>
          <w:b w:val="0"/>
          <w:i w:val="0"/>
        </w:rPr>
        <w:t xml:space="preserve">; </w:t>
      </w:r>
      <w:hyperlink w:anchor="viii-virtue-equality">
        <w:r>
          <w:rPr>
            <w:color w:val="000000"/>
          </w:rPr>
          <w:t xml:space="preserve">Spiritual equality, the line, and the tuned lyre</w:t>
        </w:r>
      </w:hyperlink>
      <w:r>
        <w:rPr>
          <w:b w:val="0"/>
          <w:i w:val="0"/>
        </w:rPr>
        <w:t xml:space="preserve">; </w:t>
      </w:r>
      <w:hyperlink w:anchor="viii-operation-kind">
        <w:r>
          <w:rPr>
            <w:color w:val="000000"/>
          </w:rPr>
          <w:t xml:space="preserve">Kind, generation, and operation’s dependence on substance</w:t>
        </w:r>
      </w:hyperlink>
    </w:p>
    <w:p>
      <w:pPr>
        <w:pStyle w:val="Heading2"/>
      </w:pPr>
      <w:bookmarkStart w:id="101" w:name="bronze-mirror-and-concentrated-fire"/>
      <w:r>
        <w:rPr>
          <w:b w:val="0"/>
          <w:i w:val="0"/>
        </w:rPr>
        <w:t>Bronze mirror and concentrated fire</w:t>
      </w:r>
      <w:bookmarkEnd w:id="101"/>
    </w:p>
    <w:p>
      <w:pPr>
        <w:keepNext/>
        <w:widowControl/>
      </w:pPr>
      <w:r>
        <w:rPr>
          <w:b/>
          <w:i w:val="0"/>
        </w:rPr>
        <w:t>Latin:</w:t>
      </w:r>
      <w:r>
        <w:rPr>
          <w:b w:val="0"/>
          <w:i w:val="0"/>
        </w:rPr>
        <w:t xml:space="preserve"> </w:t>
      </w:r>
      <w:r>
        <w:rPr>
          <w:b w:val="0"/>
          <w:i/>
        </w:rPr>
        <w:t>colligere</w:t>
      </w:r>
      <w:r>
        <w:rPr>
          <w:b w:val="0"/>
          <w:i w:val="0"/>
        </w:rPr>
        <w:t xml:space="preserve">; </w:t>
      </w:r>
      <w:r>
        <w:rPr>
          <w:b w:val="0"/>
          <w:i/>
        </w:rPr>
        <w:t>centrum</w:t>
      </w:r>
      <w:r>
        <w:rPr>
          <w:b w:val="0"/>
          <w:i w:val="0"/>
        </w:rPr>
        <w:t xml:space="preserve">; </w:t>
      </w:r>
      <w:r>
        <w:rPr>
          <w:b w:val="0"/>
          <w:i/>
        </w:rPr>
        <w:t>unio</w:t>
      </w:r>
      <w:r>
        <w:rPr>
          <w:b w:val="0"/>
          <w:i w:val="0"/>
        </w:rPr>
        <w:t xml:space="preserve">; </w:t>
      </w:r>
      <w:r>
        <w:rPr>
          <w:b w:val="0"/>
          <w:i/>
        </w:rPr>
        <w:t>speculum concavum aeneum</w:t>
      </w:r>
      <w:r>
        <w:rPr>
          <w:b w:val="0"/>
          <w:i w:val="0"/>
        </w:rPr>
        <w:t xml:space="preserve">; </w:t>
      </w:r>
      <w:r>
        <w:rPr>
          <w:b w:val="0"/>
          <w:i/>
        </w:rPr>
        <w:t>resilire</w:t>
      </w:r>
      <w:r>
        <w:rPr>
          <w:b w:val="0"/>
          <w:i w:val="0"/>
        </w:rPr>
        <w:t xml:space="preserve">; </w:t>
      </w:r>
      <w:r>
        <w:rPr>
          <w:b w:val="0"/>
          <w:i/>
        </w:rPr>
        <w:t>subtrahere</w:t>
      </w:r>
    </w:p>
    <w:p>
      <w:pPr>
        <w:keepNext/>
        <w:widowControl/>
      </w:pPr>
      <w:r>
        <w:rPr>
          <w:b/>
          <w:i w:val="0"/>
        </w:rPr>
        <w:t>The word.</w:t>
      </w:r>
    </w:p>
    <w:p>
      <w:pPr>
        <w:widowControl/>
      </w:pPr>
      <w:r>
        <w:rPr>
          <w:b w:val="0"/>
          <w:i w:val="0"/>
        </w:rPr>
        <w:t>Colligere gathers dispersed things; unio is their unification. Resilire is rebounding, here of rays from a concave bronze mirror. Subtrahere removes what burdens the imagined form. These verbs mark successive transformations in an exercise, not a literal anatomical procedure.</w:t>
      </w:r>
    </w:p>
    <w:p>
      <w:pPr>
        <w:keepNext/>
        <w:widowControl/>
      </w:pPr>
      <w:r>
        <w:rPr>
          <w:b/>
          <w:i w:val="0"/>
        </w:rPr>
        <w:t>In the Platonic Theology.</w:t>
      </w:r>
    </w:p>
    <w:p>
      <w:pPr>
        <w:widowControl/>
      </w:pPr>
      <w:r>
        <w:rPr>
          <w:b w:val="0"/>
          <w:i w:val="0"/>
        </w:rPr>
        <w:t>Ficino asks the reader to gather a fiery form as extended as a three-cubit body into the heart’s centre. Its power is to grow with its unity, as solar rays concentrated by a concave mirror become strong enough to burn hard things. He then removes the remaining bit of heart that weighs the form down. What remains is imagined as indivisible, agile, warm and luminous; from these predicates follow equal illumination, life-giving heat and sensation. Understanding is added if the form turns upon itself and rises upward.</w:t>
      </w:r>
    </w:p>
    <w:p>
      <w:pPr>
        <w:widowControl/>
      </w:pPr>
      <w:r>
        <w:rPr>
          <w:b w:val="0"/>
          <w:i w:val="0"/>
        </w:rPr>
        <w:t>The sequence makes a point about concentration, activity and independence from bodily bulk. It belongs to the preliminary route from touch toward an incorporeal conception. It neither identifies the rational soul with ordinary fire nor retracts the rejection of material fire as soul. The change of explanatory level occurs when extension and organ attachment are removed, and the final condition of self-reflection matters. The mirror is an analogy for intensified effective power, not experimental confirmation of each subsequent psychic predicate.</w:t>
      </w:r>
    </w:p>
    <w:p>
      <w:pPr>
        <w:keepNext/>
        <w:widowControl/>
      </w:pPr>
      <w:r>
        <w:rPr>
          <w:b/>
          <w:i w:val="0"/>
        </w:rPr>
        <w:t>Places to Read.</w:t>
      </w:r>
    </w:p>
    <w:p>
      <w:pPr>
        <w:ind w:left="187" w:hanging="187"/>
      </w:pPr>
      <w:r>
        <w:t xml:space="preserve">• </w:t>
      </w:r>
      <w:r>
        <w:rPr>
          <w:b/>
          <w:i w:val="0"/>
        </w:rPr>
        <w:t>VI.2.21; source PDF pp. 160, 161</w:t>
      </w:r>
      <w:r>
        <w:rPr>
          <w:b w:val="0"/>
          <w:i w:val="0"/>
        </w:rPr>
        <w:t>. The three-cubit fiery form, concentrated rays and removal of the heart portion form one ordered exercise.</w:t>
      </w:r>
    </w:p>
    <w:p>
      <w:pPr>
        <w:ind w:left="187" w:hanging="187"/>
      </w:pPr>
      <w:r>
        <w:t xml:space="preserve">• </w:t>
      </w:r>
      <w:r>
        <w:rPr>
          <w:b/>
          <w:i w:val="0"/>
        </w:rPr>
        <w:t>VI.2.22, VI.2.27; source PDF pp. 160, 161, 166, 167</w:t>
      </w:r>
      <w:r>
        <w:rPr>
          <w:b w:val="0"/>
          <w:i w:val="0"/>
        </w:rPr>
        <w:t>. Ficino marks the move from tactile to visual examples and finally calls the whole excursus a prelude.</w:t>
      </w:r>
    </w:p>
    <w:p>
      <w:pPr>
        <w:keepNext/>
        <w:widowControl/>
      </w:pPr>
      <w:r>
        <w:rPr>
          <w:b/>
          <w:i w:val="0"/>
        </w:rPr>
        <w:t>In this edition.</w:t>
      </w:r>
    </w:p>
    <w:p>
      <w:pPr>
        <w:widowControl/>
      </w:pPr>
      <w:r>
        <w:rPr>
          <w:b w:val="0"/>
          <w:i w:val="0"/>
        </w:rPr>
        <w:t xml:space="preserve">The apparatus applies the authorial correction aeneique, </w:t>
      </w:r>
      <w:r>
        <w:t>“</w:t>
      </w:r>
      <w:r>
        <w:rPr>
          <w:b w:val="0"/>
          <w:i w:val="0"/>
        </w:rPr>
        <w:t>and bronze,</w:t>
      </w:r>
      <w:r>
        <w:t>”</w:t>
      </w:r>
      <w:r>
        <w:rPr>
          <w:b w:val="0"/>
          <w:i w:val="0"/>
        </w:rPr>
        <w:t xml:space="preserve"> in place of igneique. The mirror is not itself described as fiery. The imperatives and subjunctives preserve a guided imagining; they should not be turned into present-tense medical facts.</w:t>
      </w:r>
    </w:p>
    <w:p>
      <w:pPr>
        <w:keepNext/>
        <w:widowControl/>
      </w:pPr>
      <w:r>
        <w:rPr>
          <w:b/>
          <w:i w:val="0"/>
        </w:rPr>
        <w:t>See also.</w:t>
      </w:r>
    </w:p>
    <w:p>
      <w:pPr>
        <w:widowControl/>
      </w:pPr>
      <w:hyperlink w:anchor="point-dimension-and-substantial-unity">
        <w:r>
          <w:rPr>
            <w:color w:val="000000"/>
          </w:rPr>
          <w:t xml:space="preserve">Point, dimension and substantial unity</w:t>
        </w:r>
      </w:hyperlink>
      <w:r>
        <w:rPr>
          <w:b w:val="0"/>
          <w:i w:val="0"/>
        </w:rPr>
        <w:t xml:space="preserve">; </w:t>
      </w:r>
      <w:hyperlink w:anchor="light-spirit-and-unseen-source">
        <w:r>
          <w:rPr>
            <w:color w:val="000000"/>
          </w:rPr>
          <w:t xml:space="preserve">Light, spirit and the unseen source</w:t>
        </w:r>
      </w:hyperlink>
    </w:p>
    <w:p>
      <w:pPr>
        <w:pStyle w:val="Heading2"/>
      </w:pPr>
      <w:bookmarkStart w:id="102" w:name="cavalcanti-and-five-positions"/>
      <w:r>
        <w:rPr>
          <w:b w:val="0"/>
          <w:i w:val="0"/>
        </w:rPr>
        <w:t>Cavalcanti and the five positions</w:t>
      </w:r>
      <w:bookmarkEnd w:id="102"/>
    </w:p>
    <w:p>
      <w:pPr>
        <w:keepNext/>
        <w:widowControl/>
      </w:pPr>
      <w:r>
        <w:rPr>
          <w:b/>
          <w:i w:val="0"/>
        </w:rPr>
        <w:t>Latin:</w:t>
      </w:r>
      <w:r>
        <w:rPr>
          <w:b w:val="0"/>
          <w:i w:val="0"/>
        </w:rPr>
        <w:t xml:space="preserve"> </w:t>
      </w:r>
      <w:r>
        <w:rPr>
          <w:b w:val="0"/>
          <w:i/>
        </w:rPr>
        <w:t>disputatio</w:t>
      </w:r>
      <w:r>
        <w:rPr>
          <w:b w:val="0"/>
          <w:i w:val="0"/>
        </w:rPr>
        <w:t xml:space="preserve">; </w:t>
      </w:r>
      <w:r>
        <w:rPr>
          <w:b w:val="0"/>
          <w:i/>
        </w:rPr>
        <w:t>opinio</w:t>
      </w:r>
      <w:r>
        <w:rPr>
          <w:b w:val="0"/>
          <w:i w:val="0"/>
        </w:rPr>
        <w:t xml:space="preserve">; </w:t>
      </w:r>
      <w:r>
        <w:rPr>
          <w:b w:val="0"/>
          <w:i/>
        </w:rPr>
        <w:t>quinque capita</w:t>
      </w:r>
      <w:r>
        <w:rPr>
          <w:b w:val="0"/>
          <w:i w:val="0"/>
        </w:rPr>
        <w:t xml:space="preserve">; </w:t>
      </w:r>
      <w:r>
        <w:rPr>
          <w:b w:val="0"/>
          <w:i/>
        </w:rPr>
        <w:t>confutare</w:t>
      </w:r>
      <w:r>
        <w:rPr>
          <w:b w:val="0"/>
          <w:i w:val="0"/>
        </w:rPr>
        <w:t xml:space="preserve">; </w:t>
      </w:r>
      <w:r>
        <w:rPr>
          <w:b w:val="0"/>
          <w:i/>
        </w:rPr>
        <w:t>approbare</w:t>
      </w:r>
    </w:p>
    <w:p>
      <w:pPr>
        <w:keepNext/>
        <w:widowControl/>
      </w:pPr>
      <w:r>
        <w:rPr>
          <w:b/>
          <w:i w:val="0"/>
        </w:rPr>
        <w:t>The word.</w:t>
      </w:r>
    </w:p>
    <w:p>
      <w:pPr>
        <w:widowControl/>
      </w:pPr>
      <w:r>
        <w:rPr>
          <w:b w:val="0"/>
          <w:i w:val="0"/>
        </w:rPr>
        <w:t>An opinio is a position held or proposed for examination; caput is a principal heading under which positions can be collected. Disputare and disserere name sustained discussion. Confutare and reprobare concern rejection by argument, while approbare here means establishing the final position rather than merely expressing approval.</w:t>
      </w:r>
    </w:p>
    <w:p>
      <w:pPr>
        <w:keepNext/>
        <w:widowControl/>
      </w:pPr>
      <w:r>
        <w:rPr>
          <w:b/>
          <w:i w:val="0"/>
        </w:rPr>
        <w:t>In the Platonic Theology.</w:t>
      </w:r>
    </w:p>
    <w:p>
      <w:pPr>
        <w:widowControl/>
      </w:pPr>
      <w:r>
        <w:rPr>
          <w:b w:val="0"/>
          <w:i w:val="0"/>
        </w:rPr>
        <w:t>Book VI opens with Ficino’s recollection of a discussion that leads into Giovanni Cavalcanti’s speech. Ficino recalls a discussion beneath a laurel at Regnano with Landino, Nuzzi and Vespucci present. Cavalcanti accepts the five grades of reality and the everlasting third essence, yet distinguishes accepting the immortality of rational soul generally from proving that our human soul belongs to that grade. The latter remains probable rather than firmly established. He therefore requires a classification of the alternatives followed by arguments proper to the human case. The demand is methodological, not merely a request to repeat the earlier conclusion more emphatically.</w:t>
      </w:r>
    </w:p>
    <w:p>
      <w:pPr>
        <w:widowControl/>
      </w:pPr>
      <w:r>
        <w:rPr>
          <w:b w:val="0"/>
          <w:i w:val="0"/>
        </w:rPr>
        <w:t>The five positions remove different dependencies. The first makes soul an exceedingly subtle body diffused through the coarser organism, with the elemental variations and associated authorities enumerated in VI.1.2. The second replaces bulk with a quality spread through that subtle body, such as heat or warm constitution. It is genuinely different from the first because the proposed source of life is now a qualifying determination, not matter or quantity as such. The third places a luminous qualitative point in heart or brain, giving one privileged organ a ruling centre. It narrows the qualitative source without freeing it from local bodily dependence.</w:t>
      </w:r>
    </w:p>
    <w:p>
      <w:pPr>
        <w:widowControl/>
      </w:pPr>
      <w:r>
        <w:rPr>
          <w:b w:val="0"/>
          <w:i w:val="0"/>
        </w:rPr>
        <w:t>The fourth removes determinate position and makes the principle wholly present in every member, but still derives or supports it through matter. Its two alternatives are important. The bodily constitution might generate the principle itself; or another producer might draw it from matter’s latent seed, beginning or proportion and bind it to matter as its natural womb. Merely admitting a producer beyond the constitution therefore does not reach the fifth account. The causal contribution and continuing support of matter must also be excluded. In the fifth, indivisible whole-present soul depends solely on its incorporeal author’s effective power, not on a material beginning, capacity or tinder. It is consequently free from matter without being unproduced or independent of all cause.</w:t>
      </w:r>
    </w:p>
    <w:p>
      <w:pPr>
        <w:widowControl/>
      </w:pPr>
      <w:r>
        <w:rPr>
          <w:b w:val="0"/>
          <w:i w:val="0"/>
        </w:rPr>
        <w:t xml:space="preserve">These headings should not be equated with five uniform ancient schools. Ficino’s reported names distinguish different proposals, and some attributions are qualified. The warm-constitution theorists </w:t>
      </w:r>
      <w:r>
        <w:t>“</w:t>
      </w:r>
      <w:r>
        <w:rPr>
          <w:b w:val="0"/>
          <w:i w:val="0"/>
        </w:rPr>
        <w:t>seem to have intended</w:t>
      </w:r>
      <w:r>
        <w:t>”</w:t>
      </w:r>
      <w:r>
        <w:rPr>
          <w:b w:val="0"/>
          <w:i w:val="0"/>
        </w:rPr>
        <w:t xml:space="preserve"> their position. Aristotle the natural philosopher follows the ancient theologians </w:t>
      </w:r>
      <w:r>
        <w:t>“</w:t>
      </w:r>
      <w:r>
        <w:rPr>
          <w:b w:val="0"/>
          <w:i w:val="0"/>
        </w:rPr>
        <w:t>for the most part,</w:t>
      </w:r>
      <w:r>
        <w:t>”</w:t>
      </w:r>
      <w:r>
        <w:rPr>
          <w:b w:val="0"/>
          <w:i w:val="0"/>
        </w:rPr>
        <w:t xml:space="preserve"> not without qualification. The remembered dinner at Bernardo Bembo’s, its named learned guests and Pier Leone’s joining of Platonic and Peripatetic teaching reinforce the cross-school demand for demonstration rather than substituting reputation for proof. Haec ille finally ends Cavalcanti’s speech and introduces Ficino’s response.</w:t>
      </w:r>
    </w:p>
    <w:p>
      <w:pPr>
        <w:widowControl/>
      </w:pPr>
      <w:r>
        <w:rPr>
          <w:b w:val="0"/>
          <w:i w:val="0"/>
        </w:rPr>
        <w:t>The classification explains the later arguments’ different scope. Nutrition first distinguishes common bodily matter from a life-giving form. Cohesion, whole presence and self-motion press further against a form divided with body. The locally seated source is challenged by soul’s essential relation to each member. Temperament returns in the final argument because qualitative flux threatens the continuity attributed to soul. Even these successes do not by themselves settle material origin: VI.3 assigns natural, sensory and intellectual evidence separate tasks, reserving the additional origin question for understanding. A reading that treats every natural-power argument as an already complete proof of all five-position distinctions erases the programme that motivates the book.</w:t>
      </w:r>
    </w:p>
    <w:p>
      <w:pPr>
        <w:keepNext/>
        <w:widowControl/>
      </w:pPr>
      <w:r>
        <w:rPr>
          <w:b/>
          <w:i w:val="0"/>
        </w:rPr>
        <w:t>Places to Read.</w:t>
      </w:r>
    </w:p>
    <w:p>
      <w:pPr>
        <w:ind w:left="187" w:hanging="187"/>
      </w:pPr>
      <w:r>
        <w:t xml:space="preserve">• </w:t>
      </w:r>
      <w:r>
        <w:rPr>
          <w:b/>
          <w:i w:val="0"/>
        </w:rPr>
        <w:t>VI.1.1; source PDF pp. 128, 129</w:t>
      </w:r>
      <w:r>
        <w:rPr>
          <w:b w:val="0"/>
          <w:i w:val="0"/>
        </w:rPr>
        <w:t>. Cavalcanti distinguishes general immortality from the unproved classification of our own soul.</w:t>
      </w:r>
    </w:p>
    <w:p>
      <w:pPr>
        <w:ind w:left="187" w:hanging="187"/>
      </w:pPr>
      <w:r>
        <w:t xml:space="preserve">• </w:t>
      </w:r>
      <w:r>
        <w:rPr>
          <w:b/>
          <w:i w:val="0"/>
        </w:rPr>
        <w:t>VI.1.2, VI.1.3, VI.1.4, VI.1.5, VI.1.6; source PDF pp. 128, 129, 130, 131, 132, 133</w:t>
      </w:r>
      <w:r>
        <w:rPr>
          <w:b w:val="0"/>
          <w:i w:val="0"/>
        </w:rPr>
        <w:t>. The five alternatives and the named supporters appear inside his reported speech.</w:t>
      </w:r>
    </w:p>
    <w:p>
      <w:pPr>
        <w:ind w:left="187" w:hanging="187"/>
      </w:pPr>
      <w:r>
        <w:t xml:space="preserve">• </w:t>
      </w:r>
      <w:r>
        <w:rPr>
          <w:b/>
          <w:i w:val="0"/>
        </w:rPr>
        <w:t>VI.3.1, VI.3.2; source PDF pp. 168, 169</w:t>
      </w:r>
      <w:r>
        <w:rPr>
          <w:b w:val="0"/>
          <w:i w:val="0"/>
        </w:rPr>
        <w:t>. Ficino assigns different conclusions to successive modes of proof.</w:t>
      </w:r>
    </w:p>
    <w:p>
      <w:pPr>
        <w:keepNext/>
        <w:widowControl/>
      </w:pPr>
      <w:r>
        <w:rPr>
          <w:b/>
          <w:i w:val="0"/>
        </w:rPr>
        <w:t>In this edition.</w:t>
      </w:r>
    </w:p>
    <w:p>
      <w:pPr>
        <w:widowControl/>
      </w:pPr>
      <w:r>
        <w:rPr>
          <w:b w:val="0"/>
          <w:i w:val="0"/>
        </w:rPr>
        <w:t>The anchors are editorial comparison units. The apparatus retains Regnano against G1559’s apparent Regoano and explains that transparent Italian personal names are rendered using their familiar Italian forms. The assertion that there are no other positions is Cavalcanti’s exhaustive classification as Ficino presents it; it is not an independent modern history of all theories of mind.</w:t>
      </w:r>
    </w:p>
    <w:p>
      <w:pPr>
        <w:keepNext/>
        <w:widowControl/>
      </w:pPr>
      <w:r>
        <w:rPr>
          <w:b/>
          <w:i w:val="0"/>
        </w:rPr>
        <w:t>See also.</w:t>
      </w:r>
    </w:p>
    <w:p>
      <w:pPr>
        <w:widowControl/>
      </w:pPr>
      <w:hyperlink w:anchor="corporeal-soul-and-elemental-doxography">
        <w:r>
          <w:rPr>
            <w:color w:val="000000"/>
          </w:rPr>
          <w:t xml:space="preserve">Corporeal soul and elemental doxography</w:t>
        </w:r>
      </w:hyperlink>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three-offices-and-proof-order">
        <w:r>
          <w:rPr>
            <w:color w:val="000000"/>
          </w:rPr>
          <w:t xml:space="preserve">Three offices and the order of proof</w:t>
        </w:r>
      </w:hyperlink>
    </w:p>
    <w:p>
      <w:pPr>
        <w:pStyle w:val="Heading2"/>
      </w:pPr>
      <w:bookmarkStart w:id="103" w:name="circularity-and-spiritual-spheres"/>
      <w:r>
        <w:rPr>
          <w:b w:val="0"/>
          <w:i w:val="0"/>
        </w:rPr>
        <w:t>Circularity and spiritual spheres</w:t>
      </w:r>
      <w:bookmarkEnd w:id="103"/>
    </w:p>
    <w:p>
      <w:pPr>
        <w:keepNext/>
        <w:widowControl/>
      </w:pPr>
      <w:r>
        <w:rPr>
          <w:b/>
          <w:i w:val="0"/>
        </w:rPr>
        <w:t>Latin:</w:t>
      </w:r>
      <w:r>
        <w:rPr>
          <w:b w:val="0"/>
          <w:i w:val="0"/>
        </w:rPr>
        <w:t xml:space="preserve"> </w:t>
      </w:r>
      <w:r>
        <w:rPr>
          <w:b w:val="0"/>
          <w:i/>
        </w:rPr>
        <w:t>circuitus</w:t>
      </w:r>
      <w:r>
        <w:rPr>
          <w:b w:val="0"/>
          <w:i w:val="0"/>
        </w:rPr>
        <w:t xml:space="preserve">; </w:t>
      </w:r>
      <w:r>
        <w:rPr>
          <w:b w:val="0"/>
          <w:i/>
        </w:rPr>
        <w:t>circulus</w:t>
      </w:r>
      <w:r>
        <w:rPr>
          <w:b w:val="0"/>
          <w:i w:val="0"/>
        </w:rPr>
        <w:t xml:space="preserve">; </w:t>
      </w:r>
      <w:r>
        <w:rPr>
          <w:b w:val="0"/>
          <w:i/>
        </w:rPr>
        <w:t>sphaera</w:t>
      </w:r>
      <w:r>
        <w:rPr>
          <w:b w:val="0"/>
          <w:i w:val="0"/>
        </w:rPr>
        <w:t xml:space="preserve">; </w:t>
      </w:r>
      <w:r>
        <w:rPr>
          <w:b w:val="0"/>
          <w:i/>
        </w:rPr>
        <w:t>spiritalis</w:t>
      </w:r>
      <w:r>
        <w:rPr>
          <w:b w:val="0"/>
          <w:i w:val="0"/>
        </w:rPr>
        <w:t xml:space="preserve">; </w:t>
      </w:r>
      <w:r>
        <w:rPr>
          <w:b w:val="0"/>
          <w:i/>
        </w:rPr>
        <w:t>recolligere</w:t>
      </w:r>
      <w:r>
        <w:rPr>
          <w:b w:val="0"/>
          <w:i w:val="0"/>
        </w:rPr>
        <w:t xml:space="preserve">; </w:t>
      </w:r>
      <w:r>
        <w:rPr>
          <w:b w:val="0"/>
          <w:i/>
        </w:rPr>
        <w:t>renovare</w:t>
      </w:r>
      <w:r>
        <w:rPr>
          <w:b w:val="0"/>
          <w:i w:val="0"/>
        </w:rPr>
        <w:t xml:space="preserve">; </w:t>
      </w:r>
      <w:r>
        <w:rPr>
          <w:b w:val="0"/>
          <w:i/>
        </w:rPr>
        <w:t>umbra</w:t>
      </w:r>
    </w:p>
    <w:p>
      <w:pPr>
        <w:keepNext/>
        <w:widowControl/>
      </w:pPr>
      <w:r>
        <w:rPr>
          <w:b/>
          <w:i w:val="0"/>
        </w:rPr>
        <w:t>The word.</w:t>
      </w:r>
    </w:p>
    <w:p>
      <w:pPr>
        <w:widowControl/>
      </w:pPr>
      <w:r>
        <w:rPr>
          <w:b w:val="0"/>
          <w:i w:val="0"/>
        </w:rPr>
        <w:t>Circuitus is a circuit or returning course; circulus a circle; sphaera a sphere. Spiritalis qualifies both the soul’s sphere and its circuit. Recolligere means gathering back together, and renovare renewing. The spatial imagery describes a claimed nonbodily self-relation.</w:t>
      </w:r>
    </w:p>
    <w:p>
      <w:pPr>
        <w:keepNext/>
        <w:widowControl/>
      </w:pPr>
      <w:r>
        <w:rPr>
          <w:b/>
          <w:i w:val="0"/>
        </w:rPr>
        <w:t>In the Platonic Theology.</w:t>
      </w:r>
    </w:p>
    <w:p>
      <w:pPr>
        <w:widowControl/>
      </w:pPr>
      <w:r>
        <w:rPr>
          <w:b w:val="0"/>
          <w:i w:val="0"/>
        </w:rPr>
        <w:t>Ficino argues that circular motion recollects its powers instead of letting them run away. What looks like its failure becomes renewal. He then refers to, while saying he passes over, Pythagoras’s argument that a sphere has no beginning or end and that motion in a spherical circuit therefore never begins or ceases. The reported conclusion is stronger than what the mere shape visibly proves; the lexicon preserves its attribution and does not turn geometry into an uncontested demonstration of temporal eternity.</w:t>
      </w:r>
    </w:p>
    <w:p>
      <w:pPr>
        <w:widowControl/>
      </w:pPr>
      <w:r>
        <w:rPr>
          <w:b w:val="0"/>
          <w:i w:val="0"/>
        </w:rPr>
        <w:t>Rational souls are called spiritual spheres whose invisible circuits are reflected by visible spheres and motions. Bodies serve as shadows, allowing an inference from the supposed perpetuity of the shadow to a stronger perpetuity in its source. The absence of contrary circular motion then supports absence of a destructive contrary. These are connected cosmological and metaphysical premises, not a statement that the soul is a tiny revolving globe.</w:t>
      </w:r>
    </w:p>
    <w:p>
      <w:pPr>
        <w:widowControl/>
      </w:pPr>
      <w:r>
        <w:rPr>
          <w:b w:val="0"/>
          <w:i w:val="0"/>
        </w:rPr>
        <w:t>V.5.8 gives the circle a different argumentative emphasis. The soul’s returning into itself, leaving matter behind, supports independent activity and freedom from material bonds. The image therefore joins conservation of power, reflexive activity and immateriality. It need not imply an absence of every changing operation: the stable subject can act successively.</w:t>
      </w:r>
    </w:p>
    <w:p>
      <w:pPr>
        <w:keepNext/>
        <w:widowControl/>
      </w:pPr>
      <w:r>
        <w:rPr>
          <w:b/>
          <w:i w:val="0"/>
        </w:rPr>
        <w:t>Places to Read.</w:t>
      </w:r>
    </w:p>
    <w:p>
      <w:pPr>
        <w:ind w:left="187" w:hanging="187"/>
      </w:pPr>
      <w:r>
        <w:t xml:space="preserve">• </w:t>
      </w:r>
      <w:r>
        <w:rPr>
          <w:b/>
          <w:i w:val="0"/>
        </w:rPr>
        <w:t>V.1.3, V.1.4, V.1.5, PDF 8–11.</w:t>
      </w:r>
      <w:r>
        <w:rPr>
          <w:b w:val="0"/>
          <w:i w:val="0"/>
        </w:rPr>
        <w:t xml:space="preserve"> Circular movement gathers and renews power; spiritual spheres are contrasted with visible shadows.</w:t>
      </w:r>
    </w:p>
    <w:p>
      <w:pPr>
        <w:ind w:left="187" w:hanging="187"/>
      </w:pPr>
      <w:r>
        <w:t xml:space="preserve">• </w:t>
      </w:r>
      <w:r>
        <w:rPr>
          <w:b/>
          <w:i w:val="0"/>
        </w:rPr>
        <w:t>V.5.8, PDF 30–31.</w:t>
      </w:r>
      <w:r>
        <w:rPr>
          <w:b w:val="0"/>
          <w:i w:val="0"/>
        </w:rPr>
        <w:t xml:space="preserve"> Return into oneself supplies an argument against bondage to matter.</w:t>
      </w:r>
    </w:p>
    <w:p>
      <w:pPr>
        <w:keepNext/>
        <w:widowControl/>
      </w:pPr>
      <w:r>
        <w:rPr>
          <w:b/>
          <w:i w:val="0"/>
        </w:rPr>
        <w:t>In this edition.</w:t>
      </w:r>
    </w:p>
    <w:p>
      <w:pPr>
        <w:widowControl/>
      </w:pPr>
      <w:r>
        <w:rPr>
          <w:b w:val="0"/>
          <w:i w:val="0"/>
        </w:rPr>
        <w:t xml:space="preserve">The source applies the first printing’s authorial corrections spiritales and facere at V.1.5. That unit continues the governing ostendit in V.1.4, so the English adds a short governing phrase. The edition’s </w:t>
      </w:r>
      <w:r>
        <w:t>“</w:t>
      </w:r>
      <w:r>
        <w:rPr>
          <w:b w:val="0"/>
          <w:i w:val="0"/>
        </w:rPr>
        <w:t>all that belongs to it</w:t>
      </w:r>
      <w:r>
        <w:t>”</w:t>
      </w:r>
      <w:r>
        <w:rPr>
          <w:b w:val="0"/>
          <w:i w:val="0"/>
        </w:rPr>
        <w:t xml:space="preserve"> for sua quaeque avoids reducing the phrase to powers alone (PDF 381–382).</w:t>
      </w:r>
    </w:p>
    <w:p>
      <w:pPr>
        <w:keepNext/>
        <w:widowControl/>
      </w:pPr>
      <w:r>
        <w:rPr>
          <w:b/>
          <w:i w:val="0"/>
        </w:rPr>
        <w:t>See also.</w:t>
      </w:r>
    </w:p>
    <w:p>
      <w:pPr>
        <w:widowControl/>
      </w:pPr>
      <w:hyperlink w:anchor="motion-and-substantial-stability">
        <w:r>
          <w:rPr>
            <w:color w:val="000000"/>
          </w:rPr>
          <w:t xml:space="preserve">Motion and substantial stability</w:t>
        </w:r>
      </w:hyperlink>
      <w:r>
        <w:rPr>
          <w:b w:val="0"/>
          <w:i w:val="0"/>
        </w:rPr>
        <w:t xml:space="preserve">; </w:t>
      </w:r>
      <w:hyperlink w:anchor="inclination-and-independence">
        <w:r>
          <w:rPr>
            <w:color w:val="000000"/>
          </w:rPr>
          <w:t xml:space="preserve">Inclination and independence</w:t>
        </w:r>
      </w:hyperlink>
      <w:r>
        <w:rPr>
          <w:b w:val="0"/>
          <w:i w:val="0"/>
        </w:rPr>
        <w:t xml:space="preserve">; </w:t>
      </w:r>
      <w:hyperlink w:anchor="image-shadow-and-ranked-truth">
        <w:r>
          <w:rPr>
            <w:color w:val="000000"/>
          </w:rPr>
          <w:t xml:space="preserve">Image, shadow and ranked truth</w:t>
        </w:r>
      </w:hyperlink>
    </w:p>
    <w:p>
      <w:pPr>
        <w:pStyle w:val="Heading2"/>
      </w:pPr>
      <w:bookmarkStart w:id="104" w:name="comets-and-defining-accounts"/>
      <w:r>
        <w:rPr>
          <w:b w:val="0"/>
          <w:i w:val="0"/>
        </w:rPr>
        <w:t>Comets and defining accounts</w:t>
      </w:r>
      <w:bookmarkEnd w:id="104"/>
    </w:p>
    <w:p>
      <w:pPr>
        <w:keepNext/>
        <w:widowControl/>
      </w:pPr>
      <w:r>
        <w:rPr>
          <w:b/>
          <w:i w:val="0"/>
        </w:rPr>
        <w:t>Latin:</w:t>
      </w:r>
      <w:r>
        <w:rPr>
          <w:b w:val="0"/>
          <w:i w:val="0"/>
        </w:rPr>
        <w:t xml:space="preserve"> </w:t>
      </w:r>
      <w:r>
        <w:rPr>
          <w:b w:val="0"/>
          <w:i/>
        </w:rPr>
        <w:t>crinita</w:t>
      </w:r>
      <w:r>
        <w:rPr>
          <w:b w:val="0"/>
          <w:i w:val="0"/>
        </w:rPr>
        <w:t xml:space="preserve">; </w:t>
      </w:r>
      <w:r>
        <w:rPr>
          <w:b w:val="0"/>
          <w:i/>
        </w:rPr>
        <w:t>coma</w:t>
      </w:r>
      <w:r>
        <w:rPr>
          <w:b w:val="0"/>
          <w:i w:val="0"/>
        </w:rPr>
        <w:t xml:space="preserve">; </w:t>
      </w:r>
      <w:r>
        <w:rPr>
          <w:b w:val="0"/>
          <w:i/>
        </w:rPr>
        <w:t>vapor siccus</w:t>
      </w:r>
      <w:r>
        <w:rPr>
          <w:b w:val="0"/>
          <w:i w:val="0"/>
        </w:rPr>
        <w:t xml:space="preserve">; </w:t>
      </w:r>
      <w:r>
        <w:rPr>
          <w:b w:val="0"/>
          <w:i/>
        </w:rPr>
        <w:t>definitio</w:t>
      </w:r>
      <w:r>
        <w:rPr>
          <w:b w:val="0"/>
          <w:i w:val="0"/>
        </w:rPr>
        <w:t xml:space="preserve">; </w:t>
      </w:r>
      <w:r>
        <w:rPr>
          <w:b w:val="0"/>
          <w:i/>
        </w:rPr>
        <w:t>ratio</w:t>
      </w:r>
      <w:r>
        <w:rPr>
          <w:b w:val="0"/>
          <w:i w:val="0"/>
        </w:rPr>
        <w:t xml:space="preserve">; </w:t>
      </w:r>
      <w:r>
        <w:rPr>
          <w:b w:val="0"/>
          <w:i/>
        </w:rPr>
        <w:t>hic</w:t>
      </w:r>
      <w:r>
        <w:rPr>
          <w:b w:val="0"/>
          <w:i w:val="0"/>
        </w:rPr>
        <w:t xml:space="preserve">; </w:t>
      </w:r>
      <w:r>
        <w:rPr>
          <w:b w:val="0"/>
          <w:i/>
        </w:rPr>
        <w:t>ibi</w:t>
      </w:r>
      <w:r>
        <w:rPr>
          <w:b w:val="0"/>
          <w:i w:val="0"/>
        </w:rPr>
        <w:t xml:space="preserve">; </w:t>
      </w:r>
      <w:r>
        <w:rPr>
          <w:b w:val="0"/>
          <w:i/>
        </w:rPr>
        <w:t>hodie</w:t>
      </w:r>
      <w:r>
        <w:rPr>
          <w:b w:val="0"/>
          <w:i w:val="0"/>
        </w:rPr>
        <w:t xml:space="preserve">; </w:t>
      </w:r>
      <w:r>
        <w:rPr>
          <w:b w:val="0"/>
          <w:i/>
        </w:rPr>
        <w:t>humanitas</w:t>
      </w:r>
    </w:p>
    <w:p>
      <w:pPr>
        <w:keepNext/>
        <w:widowControl/>
      </w:pPr>
      <w:r>
        <w:rPr>
          <w:b/>
          <w:i w:val="0"/>
        </w:rPr>
        <w:t>The word.</w:t>
      </w:r>
    </w:p>
    <w:p>
      <w:pPr>
        <w:widowControl/>
      </w:pPr>
      <w:r>
        <w:rPr>
          <w:b w:val="0"/>
          <w:i w:val="0"/>
        </w:rPr>
        <w:t>Crinita, literally the hairy one, names a comet; coma is its hair or streaming appearance. Definitio and ratio identify its defining account. Hic/ibi and hodie distinguish here/there and today from a definition’s unrestricted applicability.</w:t>
      </w:r>
    </w:p>
    <w:p>
      <w:pPr>
        <w:keepNext/>
        <w:widowControl/>
      </w:pPr>
      <w:r>
        <w:rPr>
          <w:b/>
          <w:i w:val="0"/>
        </w:rPr>
        <w:t>In the Platonic Theology.</w:t>
      </w:r>
    </w:p>
    <w:p>
      <w:pPr>
        <w:widowControl/>
      </w:pPr>
      <w:r>
        <w:rPr>
          <w:b w:val="0"/>
          <w:i w:val="0"/>
        </w:rPr>
        <w:t>V.7 gives a comet as dry vapor kindled in upper air and moving around in order. What matters to the proof is the distinction between this account and an actual shining comet. A true account need not become false when no such object appears today. The account therefore differs from the current presence that constitutes a particular comet’s esse.</w:t>
      </w:r>
    </w:p>
    <w:p>
      <w:pPr>
        <w:widowControl/>
      </w:pPr>
      <w:r>
        <w:rPr>
          <w:b w:val="0"/>
          <w:i w:val="0"/>
        </w:rPr>
        <w:t xml:space="preserve">Ficino adds a counterfactual test. If </w:t>
      </w:r>
      <w:r>
        <w:t>“</w:t>
      </w:r>
      <w:r>
        <w:rPr>
          <w:b w:val="0"/>
          <w:i w:val="0"/>
        </w:rPr>
        <w:t>here today</w:t>
      </w:r>
      <w:r>
        <w:t>”</w:t>
      </w:r>
      <w:r>
        <w:rPr>
          <w:b w:val="0"/>
          <w:i w:val="0"/>
        </w:rPr>
        <w:t xml:space="preserve"> were part of the common definition, all instances sharing the definition would be constrained to those coordinates. The essential rational capacity common to humans makes clear what inclusion in a definition would entail. Humanity can be instantiated in different centuries and in East or West; Plato and Socrates cannot avoid particular conditions in order to live.</w:t>
      </w:r>
    </w:p>
    <w:p>
      <w:pPr>
        <w:widowControl/>
      </w:pPr>
      <w:r>
        <w:rPr>
          <w:b w:val="0"/>
          <w:i w:val="0"/>
        </w:rPr>
        <w:t>The example does not by itself show that a personal soul’s definition guarantees that individual’s immortality. Ficino must still distinguish forms contracted to bodies from self-subsistent forms. The comet is an explanatory tool for that next step, not a counterexample he overlooks.</w:t>
      </w:r>
    </w:p>
    <w:p>
      <w:pPr>
        <w:widowControl/>
      </w:pPr>
      <w:r>
        <w:rPr>
          <w:b w:val="0"/>
          <w:i w:val="0"/>
        </w:rPr>
        <w:t>At V.14.6 the comet returns in a different function. Its streaming hair follows it as light follows the sun, illustrating life as the soul’s attendant. The same natural object thus serves first definition versus occurrence, then inseparable accompaniment.</w:t>
      </w:r>
    </w:p>
    <w:p>
      <w:pPr>
        <w:keepNext/>
        <w:widowControl/>
      </w:pPr>
      <w:r>
        <w:rPr>
          <w:b/>
          <w:i w:val="0"/>
        </w:rPr>
        <w:t>Places to Read.</w:t>
      </w:r>
    </w:p>
    <w:p>
      <w:pPr>
        <w:ind w:left="187" w:hanging="187"/>
      </w:pPr>
      <w:r>
        <w:t xml:space="preserve">• </w:t>
      </w:r>
      <w:r>
        <w:rPr>
          <w:b/>
          <w:i w:val="0"/>
        </w:rPr>
        <w:t>V.7.1, PDF 34–35.</w:t>
      </w:r>
      <w:r>
        <w:rPr>
          <w:b w:val="0"/>
          <w:i w:val="0"/>
        </w:rPr>
        <w:t xml:space="preserve"> The comet, human definition and named individuals distinguish essence from actual presence.</w:t>
      </w:r>
    </w:p>
    <w:p>
      <w:pPr>
        <w:ind w:left="187" w:hanging="187"/>
      </w:pPr>
      <w:r>
        <w:t xml:space="preserve">• </w:t>
      </w:r>
      <w:r>
        <w:rPr>
          <w:b/>
          <w:i w:val="0"/>
        </w:rPr>
        <w:t>V.14.6, PDF 96–97.</w:t>
      </w:r>
      <w:r>
        <w:rPr>
          <w:b w:val="0"/>
          <w:i w:val="0"/>
        </w:rPr>
        <w:t xml:space="preserve"> The comet’s hair is an attendant image in the life argument.</w:t>
      </w:r>
    </w:p>
    <w:p>
      <w:pPr>
        <w:keepNext/>
        <w:widowControl/>
      </w:pPr>
      <w:r>
        <w:rPr>
          <w:b/>
          <w:i w:val="0"/>
        </w:rPr>
        <w:t>In this edition.</w:t>
      </w:r>
    </w:p>
    <w:p>
      <w:pPr>
        <w:widowControl/>
      </w:pPr>
      <w:r>
        <w:rPr>
          <w:b w:val="0"/>
          <w:i w:val="0"/>
        </w:rPr>
        <w:t xml:space="preserve">The apparatus expressly retains Ficino’s definition rather than silently modernizing crinita into a modern astronomical theory. The Latin’s ferme in its generalization about times and places gives </w:t>
      </w:r>
      <w:r>
        <w:t>“</w:t>
      </w:r>
      <w:r>
        <w:rPr>
          <w:b w:val="0"/>
          <w:i w:val="0"/>
        </w:rPr>
        <w:t>almost</w:t>
      </w:r>
      <w:r>
        <w:t>”</w:t>
      </w:r>
      <w:r>
        <w:rPr>
          <w:b w:val="0"/>
          <w:i w:val="0"/>
        </w:rPr>
        <w:t>; the argument should not lose that qualification.</w:t>
      </w:r>
    </w:p>
    <w:p>
      <w:pPr>
        <w:keepNext/>
        <w:widowControl/>
      </w:pPr>
      <w:r>
        <w:rPr>
          <w:b/>
          <w:i w:val="0"/>
        </w:rPr>
        <w:t>See also.</w:t>
      </w:r>
    </w:p>
    <w:p>
      <w:pPr>
        <w:widowControl/>
      </w:pPr>
      <w:hyperlink w:anchor="essence-and-being">
        <w:r>
          <w:rPr>
            <w:color w:val="000000"/>
          </w:rPr>
          <w:t xml:space="preserve">Essence and being</w:t>
        </w:r>
      </w:hyperlink>
      <w:r>
        <w:rPr>
          <w:b w:val="0"/>
          <w:i w:val="0"/>
        </w:rPr>
        <w:t xml:space="preserve">; </w:t>
      </w:r>
      <w:hyperlink w:anchor="life-and-vivification">
        <w:r>
          <w:rPr>
            <w:color w:val="000000"/>
          </w:rPr>
          <w:t xml:space="preserve">Life and vivification</w:t>
        </w:r>
      </w:hyperlink>
      <w:r>
        <w:rPr>
          <w:b w:val="0"/>
          <w:i w:val="0"/>
        </w:rPr>
        <w:t xml:space="preserve">; </w:t>
      </w:r>
      <w:hyperlink w:anchor="zoroaster-and-the-mistress-of-life">
        <w:r>
          <w:rPr>
            <w:color w:val="000000"/>
          </w:rPr>
          <w:t xml:space="preserve">Zoroaster and the mistress of life</w:t>
        </w:r>
      </w:hyperlink>
    </w:p>
    <w:p>
      <w:pPr>
        <w:pStyle w:val="Heading2"/>
      </w:pPr>
      <w:bookmarkStart w:id="105" w:name="viii-universal-idea"/>
      <w:r>
        <w:rPr>
          <w:b w:val="0"/>
          <w:i w:val="0"/>
        </w:rPr>
        <w:t>Common nature, participation, and the divine Idea</w:t>
      </w:r>
      <w:bookmarkEnd w:id="105"/>
    </w:p>
    <w:p>
      <w:pPr>
        <w:keepNext/>
        <w:widowControl/>
      </w:pPr>
      <w:r>
        <w:rPr>
          <w:b/>
          <w:i w:val="0"/>
        </w:rPr>
        <w:t>Latin:</w:t>
      </w:r>
      <w:r>
        <w:rPr>
          <w:b w:val="0"/>
          <w:i w:val="0"/>
        </w:rPr>
        <w:t xml:space="preserve"> </w:t>
      </w:r>
      <w:r>
        <w:rPr>
          <w:b w:val="0"/>
          <w:i/>
        </w:rPr>
        <w:t>natura communis</w:t>
      </w:r>
      <w:r>
        <w:rPr>
          <w:b w:val="0"/>
          <w:i w:val="0"/>
        </w:rPr>
        <w:t xml:space="preserve">; </w:t>
      </w:r>
      <w:r>
        <w:rPr>
          <w:b w:val="0"/>
          <w:i/>
        </w:rPr>
        <w:t>humanitas</w:t>
      </w:r>
      <w:r>
        <w:rPr>
          <w:b w:val="0"/>
          <w:i w:val="0"/>
        </w:rPr>
        <w:t xml:space="preserve">; </w:t>
      </w:r>
      <w:r>
        <w:rPr>
          <w:b w:val="0"/>
          <w:i/>
        </w:rPr>
        <w:t>ratio</w:t>
      </w:r>
      <w:r>
        <w:rPr>
          <w:b w:val="0"/>
          <w:i w:val="0"/>
        </w:rPr>
        <w:t xml:space="preserve">; </w:t>
      </w:r>
      <w:r>
        <w:rPr>
          <w:b w:val="0"/>
          <w:i/>
        </w:rPr>
        <w:t>idea</w:t>
      </w:r>
      <w:r>
        <w:rPr>
          <w:b w:val="0"/>
          <w:i w:val="0"/>
        </w:rPr>
        <w:t xml:space="preserve">; </w:t>
      </w:r>
      <w:r>
        <w:rPr>
          <w:b w:val="0"/>
          <w:i/>
        </w:rPr>
        <w:t>participatio</w:t>
      </w:r>
      <w:r>
        <w:rPr>
          <w:b w:val="0"/>
          <w:i w:val="0"/>
        </w:rPr>
        <w:t xml:space="preserve">; </w:t>
      </w:r>
      <w:r>
        <w:rPr>
          <w:b w:val="0"/>
          <w:i/>
        </w:rPr>
        <w:t>similitudo</w:t>
      </w:r>
    </w:p>
    <w:p>
      <w:pPr>
        <w:keepNext/>
        <w:widowControl/>
      </w:pPr>
      <w:r>
        <w:rPr>
          <w:b/>
          <w:i w:val="0"/>
        </w:rPr>
        <w:t>The word.</w:t>
      </w:r>
    </w:p>
    <w:p>
      <w:pPr>
        <w:widowControl/>
      </w:pPr>
      <w:r>
        <w:rPr>
          <w:b w:val="0"/>
          <w:i w:val="0"/>
        </w:rPr>
        <w:t>Humanitas is humanity, the nature by which different persons are human. A common nature in many instances is distinguished from an Idea subsisting above them. Participatio and similitudo name the relation by which persons receive or resemble the formative principle; they do not mean that all persons are numerically one individual.</w:t>
      </w:r>
    </w:p>
    <w:p>
      <w:pPr>
        <w:keepNext/>
        <w:widowControl/>
      </w:pPr>
      <w:r>
        <w:rPr>
          <w:b/>
          <w:i w:val="0"/>
        </w:rPr>
        <w:t>In the Platonic Theology.</w:t>
      </w:r>
    </w:p>
    <w:p>
      <w:pPr>
        <w:widowControl/>
      </w:pPr>
      <w:r>
        <w:rPr>
          <w:b w:val="0"/>
          <w:i w:val="0"/>
        </w:rPr>
        <w:t>Plato, Antisthenes and Xenophon differ as persons but share humanity; the example likewise presents them as sharing beauty and goodness. Humanity is communicable to people of different places and times and, considered as common, is not restricted to one of those conditions. Ficino distinguishes the one nature in many from a one subsisting in itself above them. The transition requires more than noticing a common word: what exists in another needs a principle existing in itself, and the common nature in material instances cannot supply its own ultimate foundation.</w:t>
      </w:r>
    </w:p>
    <w:p>
      <w:pPr>
        <w:widowControl/>
      </w:pPr>
      <w:r>
        <w:rPr>
          <w:b w:val="0"/>
          <w:i w:val="0"/>
        </w:rPr>
        <w:t>The causal argument excludes several proposed sources in turn. The nature does not arise by chance, because its order is regular. Matter cannot explain it, because matter does not form itself. One particular person cannot act upon all the others and, insofar as that person’s act is particular, cannot produce their commonality. Nor do all the persons together explain it: insofar as they differ they produce differences, while insofar as they agree they already presuppose the common nature. The last proposal therefore assumes what it is supposed to explain. Various individualizing properties supervene upon that simpler nature to constitute persons. Its priority is explanatory, not the chronological age of one person relative to another.</w:t>
      </w:r>
    </w:p>
    <w:p>
      <w:pPr>
        <w:widowControl/>
      </w:pPr>
      <w:r>
        <w:rPr>
          <w:b w:val="0"/>
          <w:i w:val="0"/>
        </w:rPr>
        <w:t>Because the common nature is one, Ficino traces it to one superior form rather than a mere aggregate of particular agents. He rejects an endless regress of derivative forms and ascends to a divine Idea capable of acting equally in all. The resulting structure has three distinguishable levels: individual embodiments, their shared immanent nature and the superior exemplar. Calling the common nature universal does not by itself make it separately subsistent; Ficino adds the causal-dependence premises to reach that conclusion.</w:t>
      </w:r>
    </w:p>
    <w:p>
      <w:pPr>
        <w:widowControl/>
      </w:pPr>
      <w:r>
        <w:rPr>
          <w:b w:val="0"/>
          <w:i w:val="0"/>
        </w:rPr>
        <w:t>The movement from part to whole to what stands above the whole supplies another account of the ascent. Persons occupy parts of place and time. Their common nature is as though spread through every place and the whole of time; the Idea stands above those conditions. The spatial image is qualified: humanity is not a vast body containing people as physical fragments. Nor does participation divide the exemplar into diminished portions. The claim is that each individual is human through an account shared with others and derived from a common cause.</w:t>
      </w:r>
    </w:p>
    <w:p>
      <w:pPr>
        <w:widowControl/>
      </w:pPr>
      <w:r>
        <w:rPr>
          <w:b w:val="0"/>
          <w:i w:val="0"/>
        </w:rPr>
        <w:t>Ficino further treats natural species as everlasting. A movable cause alone could fail through its movement and therefore cannot explain their stable character. Yet the species are caused, because they belong to a composite universe derived from another. Their coordination toward one nature, work and end points to one source, with exemplars in the immutable mind moving the world. Those exemplars belong neither to bodily nature nor merely to animate nature, whose operations would still be mobile, but to an intellectual and ultimately intelligible order. This is Ficino’s defended argument; a reader evaluating it should examine the assumed stability of species, causal priority of simplicity and inference from coordinated order.</w:t>
      </w:r>
    </w:p>
    <w:p>
      <w:pPr>
        <w:widowControl/>
      </w:pPr>
      <w:r>
        <w:rPr>
          <w:b w:val="0"/>
          <w:i w:val="0"/>
        </w:rPr>
        <w:t>Two qualifications govern how the resulting Idea is known. VIII.1.3 describes intellect apprehending it either within itself or in divine light, without resolving every question about the relation of a human intellectual form to its divine exemplar. VIII.1.4 then says that the preceding discursive proof need not occur whenever intellect apprehends a universal: its natural activity can be immediate. The causal demonstration and the actual temporal course of cognition have different tasks. VIII.13.1’s later Platonic account of latent forms awakened by images connects inward cognition to the same larger explanatory scheme, but does not make a human concept numerically identical with God’s being.</w:t>
      </w:r>
    </w:p>
    <w:p>
      <w:pPr>
        <w:keepNext/>
        <w:widowControl/>
      </w:pPr>
      <w:r>
        <w:rPr>
          <w:b/>
          <w:i w:val="0"/>
        </w:rPr>
        <w:t>Places to Read.</w:t>
      </w:r>
    </w:p>
    <w:p>
      <w:pPr>
        <w:ind w:left="187" w:hanging="187"/>
      </w:pPr>
      <w:r>
        <w:t xml:space="preserve">• </w:t>
      </w:r>
      <w:r>
        <w:rPr>
          <w:b/>
          <w:i w:val="0"/>
        </w:rPr>
        <w:t>VIII.1.2, PDF pp. 286–287.</w:t>
      </w:r>
      <w:r>
        <w:rPr>
          <w:b w:val="0"/>
          <w:i w:val="0"/>
        </w:rPr>
        <w:t xml:space="preserve"> The shared humanity of three pupils leads from singular conditions to common nature and a self-subsisting Idea.</w:t>
      </w:r>
    </w:p>
    <w:p>
      <w:pPr>
        <w:ind w:left="187" w:hanging="187"/>
      </w:pPr>
      <w:r>
        <w:t xml:space="preserve">• </w:t>
      </w:r>
      <w:r>
        <w:rPr>
          <w:b/>
          <w:i w:val="0"/>
        </w:rPr>
        <w:t>VIII.1.3, PDF pp. 288–289.</w:t>
      </w:r>
      <w:r>
        <w:rPr>
          <w:b w:val="0"/>
          <w:i w:val="0"/>
        </w:rPr>
        <w:t xml:space="preserve"> The exclusions of chance, matter and persons lead to a divine exemplar and immutable mind.</w:t>
      </w:r>
    </w:p>
    <w:p>
      <w:pPr>
        <w:ind w:left="187" w:hanging="187"/>
      </w:pPr>
      <w:r>
        <w:t xml:space="preserve">• </w:t>
      </w:r>
      <w:r>
        <w:rPr>
          <w:b/>
          <w:i w:val="0"/>
        </w:rPr>
        <w:t>VIII.1.4, PDF pp. 290–291.</w:t>
      </w:r>
      <w:r>
        <w:rPr>
          <w:b w:val="0"/>
          <w:i w:val="0"/>
        </w:rPr>
        <w:t xml:space="preserve"> Discursive proof is distinguished from immediate intellectual access.</w:t>
      </w:r>
    </w:p>
    <w:p>
      <w:pPr>
        <w:keepNext/>
        <w:widowControl/>
      </w:pPr>
      <w:r>
        <w:rPr>
          <w:b/>
          <w:i w:val="0"/>
        </w:rPr>
        <w:t>In this edition.</w:t>
      </w:r>
    </w:p>
    <w:p>
      <w:pPr>
        <w:widowControl/>
      </w:pPr>
      <w:r>
        <w:rPr>
          <w:b w:val="0"/>
          <w:i w:val="0"/>
        </w:rPr>
        <w:t xml:space="preserve">Ratio moves between account, principle and rational justification. The English </w:t>
      </w:r>
      <w:r>
        <w:t>“</w:t>
      </w:r>
      <w:r>
        <w:rPr>
          <w:b w:val="0"/>
          <w:i w:val="0"/>
        </w:rPr>
        <w:t>Idea</w:t>
      </w:r>
      <w:r>
        <w:t>”</w:t>
      </w:r>
      <w:r>
        <w:rPr>
          <w:b w:val="0"/>
          <w:i w:val="0"/>
        </w:rPr>
        <w:t xml:space="preserve"> should not make natura communis and the separate exemplar interchangeable. Quodammodo, quasi and the alternative sive apud se ipsum sive in divino lumine preserve qualifications in how the ascent and apprehension are described.</w:t>
      </w:r>
    </w:p>
    <w:p>
      <w:pPr>
        <w:keepNext/>
        <w:widowControl/>
      </w:pPr>
      <w:r>
        <w:rPr>
          <w:b/>
          <w:i w:val="0"/>
        </w:rPr>
        <w:t>See also.</w:t>
      </w:r>
    </w:p>
    <w:p>
      <w:pPr>
        <w:widowControl/>
      </w:pPr>
      <w:hyperlink w:anchor="viii-four-stages">
        <w:r>
          <w:rPr>
            <w:color w:val="000000"/>
          </w:rPr>
          <w:t xml:space="preserve">Four stages of cognition</w:t>
        </w:r>
      </w:hyperlink>
      <w:r>
        <w:rPr>
          <w:b w:val="0"/>
          <w:i w:val="0"/>
        </w:rPr>
        <w:t xml:space="preserve">; </w:t>
      </w:r>
      <w:hyperlink w:anchor="viii-immediate-reflexive">
        <w:r>
          <w:rPr>
            <w:color w:val="000000"/>
          </w:rPr>
          <w:t xml:space="preserve">Immediate intellection and the return to particulars</w:t>
        </w:r>
      </w:hyperlink>
      <w:r>
        <w:rPr>
          <w:b w:val="0"/>
          <w:i w:val="0"/>
        </w:rPr>
        <w:t xml:space="preserve">; </w:t>
      </w:r>
      <w:hyperlink w:anchor="viii-finite-angels">
        <w:r>
          <w:rPr>
            <w:color w:val="000000"/>
          </w:rPr>
          <w:t xml:space="preserve">Finite angels, infinite act, and infinite potency</w:t>
        </w:r>
      </w:hyperlink>
    </w:p>
    <w:p>
      <w:pPr>
        <w:pStyle w:val="Heading2"/>
      </w:pPr>
      <w:bookmarkStart w:id="106" w:name="vii-common-sense-comparison"/>
      <w:r>
        <w:rPr>
          <w:b w:val="0"/>
          <w:i w:val="0"/>
        </w:rPr>
        <w:t>Comparison and common sense</w:t>
      </w:r>
      <w:bookmarkEnd w:id="106"/>
    </w:p>
    <w:p>
      <w:pPr>
        <w:keepNext/>
        <w:widowControl/>
      </w:pPr>
      <w:r>
        <w:rPr>
          <w:b/>
          <w:i w:val="0"/>
        </w:rPr>
        <w:t>Latin:</w:t>
      </w:r>
      <w:r>
        <w:rPr>
          <w:b w:val="0"/>
          <w:i w:val="0"/>
        </w:rPr>
        <w:t xml:space="preserve"> </w:t>
      </w:r>
      <w:r>
        <w:rPr>
          <w:b w:val="0"/>
          <w:i/>
        </w:rPr>
        <w:t>comparare</w:t>
      </w:r>
      <w:r>
        <w:rPr>
          <w:b w:val="0"/>
          <w:i w:val="0"/>
        </w:rPr>
        <w:t xml:space="preserve">; </w:t>
      </w:r>
      <w:r>
        <w:rPr>
          <w:b w:val="0"/>
          <w:i/>
        </w:rPr>
        <w:t>diiudicare</w:t>
      </w:r>
      <w:r>
        <w:rPr>
          <w:b w:val="0"/>
          <w:i w:val="0"/>
        </w:rPr>
        <w:t xml:space="preserve">; </w:t>
      </w:r>
      <w:r>
        <w:rPr>
          <w:b w:val="0"/>
          <w:i/>
        </w:rPr>
        <w:t>vis interior</w:t>
      </w:r>
      <w:r>
        <w:rPr>
          <w:b w:val="0"/>
          <w:i w:val="0"/>
        </w:rPr>
        <w:t xml:space="preserve">; </w:t>
      </w:r>
      <w:r>
        <w:rPr>
          <w:b w:val="0"/>
          <w:i/>
        </w:rPr>
        <w:t>centrum</w:t>
      </w:r>
      <w:r>
        <w:rPr>
          <w:b w:val="0"/>
          <w:i w:val="0"/>
        </w:rPr>
        <w:t xml:space="preserve">; </w:t>
      </w:r>
      <w:r>
        <w:rPr>
          <w:b w:val="0"/>
          <w:i/>
        </w:rPr>
        <w:t>communis sensus</w:t>
      </w:r>
      <w:r>
        <w:rPr>
          <w:b w:val="0"/>
          <w:i w:val="0"/>
        </w:rPr>
        <w:t xml:space="preserve">; </w:t>
      </w:r>
      <w:r>
        <w:rPr>
          <w:b w:val="0"/>
          <w:i/>
        </w:rPr>
        <w:t>magistra sensuum</w:t>
      </w:r>
    </w:p>
    <w:p>
      <w:pPr>
        <w:keepNext/>
        <w:widowControl/>
      </w:pPr>
      <w:r>
        <w:rPr>
          <w:b/>
          <w:i w:val="0"/>
        </w:rPr>
        <w:t>The word.</w:t>
      </w:r>
    </w:p>
    <w:p>
      <w:pPr>
        <w:widowControl/>
      </w:pPr>
      <w:r>
        <w:rPr>
          <w:b w:val="0"/>
          <w:i/>
        </w:rPr>
        <w:t>Comparare</w:t>
      </w:r>
      <w:r>
        <w:rPr>
          <w:b w:val="0"/>
          <w:i w:val="0"/>
        </w:rPr>
        <w:t xml:space="preserve"> means bringing different contents together for comparison, not merely acquiring them separately. </w:t>
      </w:r>
      <w:r>
        <w:rPr>
          <w:b w:val="0"/>
          <w:i/>
        </w:rPr>
        <w:t>Diiudicare</w:t>
      </w:r>
      <w:r>
        <w:rPr>
          <w:b w:val="0"/>
          <w:i w:val="0"/>
        </w:rPr>
        <w:t xml:space="preserve"> adds discrimination or judgement. The </w:t>
      </w:r>
      <w:r>
        <w:t>“</w:t>
      </w:r>
      <w:r>
        <w:rPr>
          <w:b w:val="0"/>
          <w:i w:val="0"/>
        </w:rPr>
        <w:t>common sense</w:t>
      </w:r>
      <w:r>
        <w:t>”</w:t>
      </w:r>
      <w:r>
        <w:rPr>
          <w:b w:val="0"/>
          <w:i w:val="0"/>
        </w:rPr>
        <w:t xml:space="preserve"> is an inward sensory power common to the several senses, not ordinary good judgement or public opinion.</w:t>
      </w:r>
    </w:p>
    <w:p>
      <w:pPr>
        <w:keepNext/>
        <w:widowControl/>
      </w:pPr>
      <w:r>
        <w:rPr>
          <w:b/>
          <w:i w:val="0"/>
        </w:rPr>
        <w:t>In the Platonic Theology.</w:t>
      </w:r>
    </w:p>
    <w:p>
      <w:pPr>
        <w:widowControl/>
      </w:pPr>
      <w:r>
        <w:rPr>
          <w:b w:val="0"/>
          <w:i w:val="0"/>
        </w:rPr>
        <w:t>Sight knows colors, hearing voices, and smell odors. None of these specialized powers by itself compares color with voice. Ficino’s question is how the mind can judge that they differ unless it knows both together. Merely collecting reports in one place does not yet explain that judgement: the compared contents must be available to the comparing act. Color remains color and voice remains voice, while one power apprehends their difference. Ficino pictures this inward power as a center receiving reports from five surrounding sensory instruments. The center models unified access; it does not by itself identify a location in the brain.</w:t>
      </w:r>
    </w:p>
    <w:p>
      <w:pPr>
        <w:widowControl/>
      </w:pPr>
      <w:r>
        <w:rPr>
          <w:b w:val="0"/>
          <w:i w:val="0"/>
        </w:rPr>
        <w:t>He next introduces an opponent’s concession: let there be two internal powers. If each knows both contents, each already performs the whole relevant work, and one is superfluous. Nature’s freedom from defect in necessities and excess in superfluities supports this horn. If instead each knows only its own content, neither can compare them; their juxtaposition leaves the relation unknown to either. This second horn fails independently of the economy principle. An additional common power must do the comparing, so the hypothesis intended to avoid such a power has merely postponed it. Chapter 2 then translates the dilemma into point and line, testing whether the ultimate comparing power could be quantitatively divided.</w:t>
      </w:r>
    </w:p>
    <w:p>
      <w:pPr>
        <w:widowControl/>
      </w:pPr>
      <w:r>
        <w:rPr>
          <w:b w:val="0"/>
          <w:i w:val="0"/>
        </w:rPr>
        <w:t>The conclusion does not abolish the plurality of sensory instruments. The account begins with five differently directed senses and later gives them different bodily media. What it denies is that a unified comparative judgement can be explained by mutually isolated apprehenders. One soul may possess differentiated functions and use distinct organs. The comparing power is common with respect to the contents it brings together, rather than indiscriminately identical with each external sense. Ficino also says it judges the senses’ operations, extending its scope beyond their objects. That claim helps explain its designation as their mistress, without supplying a complete theory of every form of self-consciousness.</w:t>
      </w:r>
    </w:p>
    <w:p>
      <w:pPr>
        <w:widowControl/>
      </w:pPr>
      <w:r>
        <w:rPr>
          <w:b w:val="0"/>
          <w:i w:val="0"/>
        </w:rPr>
        <w:t>A further metaphysical inference concerns the soul’s substance. Once the comparing power has been judged neither a body nor a quality diffused through body, Ficino argues that its source cannot remain corporeal: otherwise the power would be nobler than the substance to which it belongs. This premise about the adequacy of a source is an additional step, not a restatement of the earlier argument about comparative access. Chapter 3 accordingly calls inward sight and common sense more excellent and acute than each external sense, and therefore less dependent on bodily quantity. A still higher treatment of reason is promised; common sense is not thereby identified with rational intellection.</w:t>
      </w:r>
    </w:p>
    <w:p>
      <w:pPr>
        <w:keepNext/>
        <w:widowControl/>
      </w:pPr>
      <w:r>
        <w:rPr>
          <w:b/>
          <w:i w:val="0"/>
        </w:rPr>
        <w:t>Places to Read.</w:t>
      </w:r>
    </w:p>
    <w:p>
      <w:pPr>
        <w:ind w:left="187" w:hanging="187"/>
      </w:pPr>
      <w:r>
        <w:t xml:space="preserve">• </w:t>
      </w:r>
      <w:r>
        <w:rPr>
          <w:b/>
          <w:i w:val="0"/>
        </w:rPr>
        <w:t>VII.2.1, PDF 238–239</w:t>
      </w:r>
      <w:r>
        <w:rPr>
          <w:b w:val="0"/>
          <w:i w:val="0"/>
        </w:rPr>
        <w:t>. Specialized senses require one inward comparing power.</w:t>
      </w:r>
    </w:p>
    <w:p>
      <w:pPr>
        <w:ind w:left="187" w:hanging="187"/>
      </w:pPr>
      <w:r>
        <w:t xml:space="preserve">• </w:t>
      </w:r>
      <w:r>
        <w:rPr>
          <w:b/>
          <w:i w:val="0"/>
        </w:rPr>
        <w:t>VII.2.2, PDF 240–241</w:t>
      </w:r>
      <w:r>
        <w:rPr>
          <w:b w:val="0"/>
          <w:i w:val="0"/>
        </w:rPr>
        <w:t>. The mistress of the senses is judged indivisible and superior to bodily diffusion.</w:t>
      </w:r>
    </w:p>
    <w:p>
      <w:pPr>
        <w:ind w:left="187" w:hanging="187"/>
      </w:pPr>
      <w:r>
        <w:t xml:space="preserve">• </w:t>
      </w:r>
      <w:r>
        <w:rPr>
          <w:b/>
          <w:i w:val="0"/>
        </w:rPr>
        <w:t>VII.3.1, PDF 242–243</w:t>
      </w:r>
      <w:r>
        <w:rPr>
          <w:b w:val="0"/>
          <w:i w:val="0"/>
        </w:rPr>
        <w:t>. Inward sight and common sense mediate the ascent from external senses toward reason.</w:t>
      </w:r>
    </w:p>
    <w:p>
      <w:pPr>
        <w:keepNext/>
        <w:widowControl/>
      </w:pPr>
      <w:r>
        <w:rPr>
          <w:b/>
          <w:i w:val="0"/>
        </w:rPr>
        <w:t>In this edition.</w:t>
      </w:r>
    </w:p>
    <w:p>
      <w:pPr>
        <w:widowControl/>
      </w:pPr>
      <w:r>
        <w:rPr>
          <w:b w:val="0"/>
          <w:i w:val="0"/>
        </w:rPr>
        <w:t xml:space="preserve">At VII.2.1 the base </w:t>
      </w:r>
      <w:r>
        <w:rPr>
          <w:b w:val="0"/>
          <w:i/>
        </w:rPr>
        <w:t>aut … iudicet</w:t>
      </w:r>
      <w:r>
        <w:rPr>
          <w:b w:val="0"/>
          <w:i w:val="0"/>
        </w:rPr>
        <w:t xml:space="preserve"> is rendered as a reformulation, </w:t>
      </w:r>
      <w:r>
        <w:t>“</w:t>
      </w:r>
      <w:r>
        <w:rPr>
          <w:b w:val="0"/>
          <w:i w:val="0"/>
        </w:rPr>
        <w:t>or, put another way,</w:t>
      </w:r>
      <w:r>
        <w:t>”</w:t>
      </w:r>
      <w:r>
        <w:rPr>
          <w:b w:val="0"/>
          <w:i w:val="0"/>
        </w:rPr>
        <w:t xml:space="preserve"> rather than silently replaced by the later </w:t>
      </w:r>
      <w:r>
        <w:rPr>
          <w:b w:val="0"/>
          <w:i/>
        </w:rPr>
        <w:t>ut</w:t>
      </w:r>
      <w:r>
        <w:rPr>
          <w:b w:val="0"/>
          <w:i w:val="0"/>
        </w:rPr>
        <w:t xml:space="preserve">. </w:t>
      </w:r>
      <w:r>
        <w:rPr>
          <w:b w:val="0"/>
          <w:i/>
        </w:rPr>
        <w:t>Animus</w:t>
      </w:r>
      <w:r>
        <w:rPr>
          <w:b w:val="0"/>
          <w:i w:val="0"/>
        </w:rPr>
        <w:t xml:space="preserve"> is translated </w:t>
      </w:r>
      <w:r>
        <w:t>“</w:t>
      </w:r>
      <w:r>
        <w:rPr>
          <w:b w:val="0"/>
          <w:i w:val="0"/>
        </w:rPr>
        <w:t>mind</w:t>
      </w:r>
      <w:r>
        <w:t>”</w:t>
      </w:r>
      <w:r>
        <w:rPr>
          <w:b w:val="0"/>
          <w:i w:val="0"/>
        </w:rPr>
        <w:t xml:space="preserve"> for its comparing activity; this does not introduce a second substance beside </w:t>
      </w:r>
      <w:r>
        <w:rPr>
          <w:b w:val="0"/>
          <w:i/>
        </w:rPr>
        <w:t>anima</w:t>
      </w:r>
      <w:r>
        <w:rPr>
          <w:b w:val="0"/>
          <w:i w:val="0"/>
        </w:rPr>
        <w:t>.</w:t>
      </w:r>
    </w:p>
    <w:p>
      <w:pPr>
        <w:keepNext/>
        <w:widowControl/>
      </w:pPr>
      <w:r>
        <w:rPr>
          <w:b/>
          <w:i w:val="0"/>
        </w:rPr>
        <w:t>See also.</w:t>
      </w:r>
    </w:p>
    <w:p>
      <w:pPr>
        <w:widowControl/>
      </w:pPr>
      <w:hyperlink w:anchor="vii-point-line">
        <w:r>
          <w:rPr>
            <w:color w:val="000000"/>
          </w:rPr>
          <w:t xml:space="preserve">Point, line and the comparing power</w:t>
        </w:r>
      </w:hyperlink>
      <w:r>
        <w:rPr>
          <w:b w:val="0"/>
          <w:i w:val="0"/>
        </w:rPr>
        <w:t xml:space="preserve">; </w:t>
      </w:r>
      <w:hyperlink w:anchor="vii-animal-acuity-size">
        <w:r>
          <w:rPr>
            <w:color w:val="000000"/>
          </w:rPr>
          <w:t xml:space="preserve">Animal acuity and bodily size</w:t>
        </w:r>
      </w:hyperlink>
      <w:r>
        <w:rPr>
          <w:b w:val="0"/>
          <w:i w:val="0"/>
        </w:rPr>
        <w:t xml:space="preserve">; </w:t>
      </w:r>
      <w:hyperlink w:anchor="vii-one-comprehension">
        <w:r>
          <w:rPr>
            <w:color w:val="000000"/>
          </w:rPr>
          <w:t xml:space="preserve">One comprehension and indivisible sensation</w:t>
        </w:r>
      </w:hyperlink>
    </w:p>
    <w:p>
      <w:pPr>
        <w:pStyle w:val="Heading2"/>
      </w:pPr>
      <w:bookmarkStart w:id="107" w:name="vii-composition-unity"/>
      <w:r>
        <w:rPr>
          <w:b w:val="0"/>
          <w:i w:val="0"/>
        </w:rPr>
        <w:t>Composition and inward unity</w:t>
      </w:r>
      <w:bookmarkEnd w:id="107"/>
    </w:p>
    <w:p>
      <w:pPr>
        <w:keepNext/>
        <w:widowControl/>
      </w:pPr>
      <w:r>
        <w:rPr>
          <w:b/>
          <w:i w:val="0"/>
        </w:rPr>
        <w:t>Latin:</w:t>
      </w:r>
      <w:r>
        <w:rPr>
          <w:b w:val="0"/>
          <w:i w:val="0"/>
        </w:rPr>
        <w:t xml:space="preserve"> </w:t>
      </w:r>
      <w:r>
        <w:rPr>
          <w:b w:val="0"/>
          <w:i/>
        </w:rPr>
        <w:t>compositio</w:t>
      </w:r>
      <w:r>
        <w:rPr>
          <w:b w:val="0"/>
          <w:i w:val="0"/>
        </w:rPr>
        <w:t xml:space="preserve">; </w:t>
      </w:r>
      <w:r>
        <w:rPr>
          <w:b w:val="0"/>
          <w:i/>
        </w:rPr>
        <w:t>unio plurium</w:t>
      </w:r>
      <w:r>
        <w:rPr>
          <w:b w:val="0"/>
          <w:i w:val="0"/>
        </w:rPr>
        <w:t xml:space="preserve">; </w:t>
      </w:r>
      <w:r>
        <w:rPr>
          <w:b w:val="0"/>
          <w:i/>
        </w:rPr>
        <w:t>unum</w:t>
      </w:r>
      <w:r>
        <w:rPr>
          <w:b w:val="0"/>
          <w:i w:val="0"/>
        </w:rPr>
        <w:t xml:space="preserve">; </w:t>
      </w:r>
      <w:r>
        <w:rPr>
          <w:b w:val="0"/>
          <w:i/>
        </w:rPr>
        <w:t>coagulum</w:t>
      </w:r>
      <w:r>
        <w:rPr>
          <w:b w:val="0"/>
          <w:i w:val="0"/>
        </w:rPr>
        <w:t xml:space="preserve">; </w:t>
      </w:r>
      <w:r>
        <w:rPr>
          <w:b w:val="0"/>
          <w:i/>
        </w:rPr>
        <w:t>conglutinare</w:t>
      </w:r>
      <w:r>
        <w:rPr>
          <w:b w:val="0"/>
          <w:i w:val="0"/>
        </w:rPr>
        <w:t xml:space="preserve">; </w:t>
      </w:r>
      <w:r>
        <w:rPr>
          <w:b w:val="0"/>
          <w:i/>
        </w:rPr>
        <w:t>insita vis</w:t>
      </w:r>
    </w:p>
    <w:p>
      <w:pPr>
        <w:keepNext/>
        <w:widowControl/>
      </w:pPr>
      <w:r>
        <w:rPr>
          <w:b/>
          <w:i w:val="0"/>
        </w:rPr>
        <w:t>The word.</w:t>
      </w:r>
    </w:p>
    <w:p>
      <w:pPr>
        <w:widowControl/>
      </w:pPr>
      <w:r>
        <w:rPr>
          <w:b w:val="0"/>
          <w:i w:val="0"/>
        </w:rPr>
        <w:t xml:space="preserve">Composition is the joining of several constituents. </w:t>
      </w:r>
      <w:r>
        <w:rPr>
          <w:b w:val="0"/>
          <w:i/>
        </w:rPr>
        <w:t>Unio plurium</w:t>
      </w:r>
      <w:r>
        <w:rPr>
          <w:b w:val="0"/>
          <w:i w:val="0"/>
        </w:rPr>
        <w:t xml:space="preserve"> makes its plurality explicit. </w:t>
      </w:r>
      <w:r>
        <w:rPr>
          <w:b w:val="0"/>
          <w:i/>
        </w:rPr>
        <w:t>Coagulum</w:t>
      </w:r>
      <w:r>
        <w:rPr>
          <w:b w:val="0"/>
          <w:i w:val="0"/>
        </w:rPr>
        <w:t xml:space="preserve"> and </w:t>
      </w:r>
      <w:r>
        <w:rPr>
          <w:b w:val="0"/>
          <w:i/>
        </w:rPr>
        <w:t>conglutinare</w:t>
      </w:r>
      <w:r>
        <w:rPr>
          <w:b w:val="0"/>
          <w:i w:val="0"/>
        </w:rPr>
        <w:t xml:space="preserve"> furnish the concrete image of an inward binder or glue; the image does not turn the unifying soul into a bodily adhesive.</w:t>
      </w:r>
    </w:p>
    <w:p>
      <w:pPr>
        <w:keepNext/>
        <w:widowControl/>
      </w:pPr>
      <w:r>
        <w:rPr>
          <w:b/>
          <w:i w:val="0"/>
        </w:rPr>
        <w:t>In the Platonic Theology.</w:t>
      </w:r>
    </w:p>
    <w:p>
      <w:pPr>
        <w:widowControl/>
      </w:pPr>
      <w:r>
        <w:rPr>
          <w:b w:val="0"/>
          <w:i w:val="0"/>
        </w:rPr>
        <w:t>Ficino splits the assertion that soul is concord into two senses: the composition itself of humors and members, or the proportion governing that composition. Against the first, he asks how bodily compositions could correspond to the soul and its powers. Bodily structure is known to natural philosophers; the composition of intellect, sensation and appetite is not comparably transparent. The difficulty is not solved by reciting a list of faculties.</w:t>
      </w:r>
    </w:p>
    <w:p>
      <w:pPr>
        <w:widowControl/>
      </w:pPr>
      <w:r>
        <w:rPr>
          <w:b w:val="0"/>
          <w:i w:val="0"/>
        </w:rPr>
        <w:t>A positive causal distinction follows. Composition is union of many, but many are unified by one. Ficino specifies an inward one, present among the many like glue binding them. That implanted power from which the members’ union comes is better called soul than the union produced by it. This restates in another vocabulary the difference between the tempering source and vital harmony as outcome.</w:t>
      </w:r>
    </w:p>
    <w:p>
      <w:pPr>
        <w:widowControl/>
      </w:pPr>
      <w:r>
        <w:rPr>
          <w:b w:val="0"/>
          <w:i w:val="0"/>
        </w:rPr>
        <w:t>The remainder of the chapter reinforces the unity of life. Distinct tissues have different proportions, yet one animal needs one form, mover and ruler. Bone, nerve and flesh cannot simply receive independent souls from their different mixtures. The argument distinguishes a multiplicity of instruments and conditions from a multiplicity of animating subjects. It does not deny that the living being has differentiated powers; it denies that merely listing or joining them explains the single source of their life.</w:t>
      </w:r>
    </w:p>
    <w:p>
      <w:pPr>
        <w:keepNext/>
        <w:widowControl/>
      </w:pPr>
      <w:r>
        <w:rPr>
          <w:b/>
          <w:i w:val="0"/>
        </w:rPr>
        <w:t>Places to Read.</w:t>
      </w:r>
    </w:p>
    <w:p>
      <w:pPr>
        <w:ind w:left="187" w:hanging="187"/>
      </w:pPr>
      <w:r>
        <w:t xml:space="preserve">• </w:t>
      </w:r>
      <w:r>
        <w:rPr>
          <w:b/>
          <w:i w:val="0"/>
        </w:rPr>
        <w:t>VII.12.1, PDF 274–275</w:t>
      </w:r>
      <w:r>
        <w:rPr>
          <w:b w:val="0"/>
          <w:i w:val="0"/>
        </w:rPr>
        <w:t>. Composition and proportion are separated; the inward-glue argument distinguishes unifying cause from union.</w:t>
      </w:r>
    </w:p>
    <w:p>
      <w:pPr>
        <w:keepNext/>
        <w:widowControl/>
      </w:pPr>
      <w:r>
        <w:rPr>
          <w:b/>
          <w:i w:val="0"/>
        </w:rPr>
        <w:t>In this edition.</w:t>
      </w:r>
    </w:p>
    <w:p>
      <w:pPr>
        <w:widowControl/>
      </w:pPr>
      <w:r>
        <w:rPr>
          <w:b w:val="0"/>
          <w:i w:val="0"/>
        </w:rPr>
        <w:t xml:space="preserve">The edition retains active </w:t>
      </w:r>
      <w:r>
        <w:rPr>
          <w:b w:val="0"/>
          <w:i/>
        </w:rPr>
        <w:t>quomodo vires singulae componant</w:t>
      </w:r>
      <w:r>
        <w:rPr>
          <w:b w:val="0"/>
          <w:i w:val="0"/>
        </w:rPr>
        <w:t xml:space="preserve">, with the soul supplied as understood object. Later witnesses read passive </w:t>
      </w:r>
      <w:r>
        <w:rPr>
          <w:b w:val="0"/>
          <w:i/>
        </w:rPr>
        <w:t>componantur</w:t>
      </w:r>
      <w:r>
        <w:rPr>
          <w:b w:val="0"/>
          <w:i w:val="0"/>
        </w:rPr>
        <w:t xml:space="preserve">. The active </w:t>
      </w:r>
      <w:r>
        <w:t>“</w:t>
      </w:r>
      <w:r>
        <w:rPr>
          <w:b w:val="0"/>
          <w:i w:val="0"/>
        </w:rPr>
        <w:t>how the individual powers compose [the soul]</w:t>
      </w:r>
      <w:r>
        <w:t>”</w:t>
      </w:r>
      <w:r>
        <w:rPr>
          <w:b w:val="0"/>
          <w:i w:val="0"/>
        </w:rPr>
        <w:t xml:space="preserve"> should not silently become a claim about how each power is internally assembled.</w:t>
      </w:r>
    </w:p>
    <w:p>
      <w:pPr>
        <w:keepNext/>
        <w:widowControl/>
      </w:pPr>
      <w:r>
        <w:rPr>
          <w:b/>
          <w:i w:val="0"/>
        </w:rPr>
        <w:t>See also.</w:t>
      </w:r>
    </w:p>
    <w:p>
      <w:pPr>
        <w:widowControl/>
      </w:pPr>
      <w:hyperlink w:anchor="vii-proportion-bodily-goods">
        <w:r>
          <w:rPr>
            <w:color w:val="000000"/>
          </w:rPr>
          <w:t xml:space="preserve">Proportion, health, strength and beauty</w:t>
        </w:r>
      </w:hyperlink>
      <w:r>
        <w:rPr>
          <w:b w:val="0"/>
          <w:i w:val="0"/>
        </w:rPr>
        <w:t xml:space="preserve">; </w:t>
      </w:r>
      <w:hyperlink w:anchor="vii-soul-body-craftsman">
        <w:r>
          <w:rPr>
            <w:color w:val="000000"/>
          </w:rPr>
          <w:t xml:space="preserve">Soul as the body’s craftsman</w:t>
        </w:r>
      </w:hyperlink>
      <w:r>
        <w:rPr>
          <w:b w:val="0"/>
          <w:i w:val="0"/>
        </w:rPr>
        <w:t xml:space="preserve">; </w:t>
      </w:r>
      <w:hyperlink w:anchor="vii-vital-harmony">
        <w:r>
          <w:rPr>
            <w:color w:val="000000"/>
          </w:rPr>
          <w:t xml:space="preserve">Vital harmony and its producer</w:t>
        </w:r>
      </w:hyperlink>
    </w:p>
    <w:p>
      <w:pPr>
        <w:pStyle w:val="Heading2"/>
      </w:pPr>
      <w:bookmarkStart w:id="108" w:name="conditions-and-the-fashioners-law"/>
      <w:r>
        <w:rPr>
          <w:b w:val="0"/>
          <w:i w:val="0"/>
        </w:rPr>
        <w:t>Conditions and the fashioner’s law</w:t>
      </w:r>
      <w:bookmarkEnd w:id="108"/>
    </w:p>
    <w:p>
      <w:pPr>
        <w:keepNext/>
        <w:widowControl/>
      </w:pPr>
      <w:r>
        <w:rPr>
          <w:b/>
          <w:i w:val="0"/>
        </w:rPr>
        <w:t>Latin:</w:t>
      </w:r>
      <w:r>
        <w:rPr>
          <w:b w:val="0"/>
          <w:i w:val="0"/>
        </w:rPr>
        <w:t xml:space="preserve"> </w:t>
      </w:r>
      <w:r>
        <w:rPr>
          <w:b w:val="0"/>
          <w:i/>
        </w:rPr>
        <w:t>condicio</w:t>
      </w:r>
      <w:r>
        <w:rPr>
          <w:b w:val="0"/>
          <w:i w:val="0"/>
        </w:rPr>
        <w:t xml:space="preserve">; </w:t>
      </w:r>
      <w:r>
        <w:rPr>
          <w:b w:val="0"/>
          <w:i/>
        </w:rPr>
        <w:t>lex formantis</w:t>
      </w:r>
      <w:r>
        <w:rPr>
          <w:b w:val="0"/>
          <w:i w:val="0"/>
        </w:rPr>
        <w:t xml:space="preserve">; </w:t>
      </w:r>
      <w:r>
        <w:rPr>
          <w:b w:val="0"/>
          <w:i/>
        </w:rPr>
        <w:t>formator</w:t>
      </w:r>
      <w:r>
        <w:rPr>
          <w:b w:val="0"/>
          <w:i w:val="0"/>
        </w:rPr>
        <w:t xml:space="preserve">; </w:t>
      </w:r>
      <w:r>
        <w:rPr>
          <w:b w:val="0"/>
          <w:i/>
        </w:rPr>
        <w:t>opifex</w:t>
      </w:r>
      <w:r>
        <w:rPr>
          <w:b w:val="0"/>
          <w:i w:val="0"/>
        </w:rPr>
        <w:t xml:space="preserve">; </w:t>
      </w:r>
      <w:r>
        <w:rPr>
          <w:b w:val="0"/>
          <w:i/>
        </w:rPr>
        <w:t>assignare</w:t>
      </w:r>
      <w:r>
        <w:rPr>
          <w:b w:val="0"/>
          <w:i w:val="0"/>
        </w:rPr>
        <w:t xml:space="preserve">; </w:t>
      </w:r>
      <w:r>
        <w:rPr>
          <w:b w:val="0"/>
          <w:i/>
        </w:rPr>
        <w:t>determinare</w:t>
      </w:r>
      <w:r>
        <w:rPr>
          <w:b w:val="0"/>
          <w:i w:val="0"/>
        </w:rPr>
        <w:t xml:space="preserve">; </w:t>
      </w:r>
      <w:r>
        <w:rPr>
          <w:b w:val="0"/>
          <w:i/>
        </w:rPr>
        <w:t>contrahere</w:t>
      </w:r>
      <w:r>
        <w:rPr>
          <w:b w:val="0"/>
          <w:i w:val="0"/>
        </w:rPr>
        <w:t xml:space="preserve">; </w:t>
      </w:r>
      <w:r>
        <w:rPr>
          <w:b w:val="0"/>
          <w:i/>
        </w:rPr>
        <w:t>coarctare</w:t>
      </w:r>
    </w:p>
    <w:p>
      <w:pPr>
        <w:keepNext/>
        <w:widowControl/>
      </w:pPr>
      <w:r>
        <w:rPr>
          <w:b/>
          <w:i w:val="0"/>
        </w:rPr>
        <w:t>The word.</w:t>
      </w:r>
    </w:p>
    <w:p>
      <w:pPr>
        <w:widowControl/>
      </w:pPr>
      <w:r>
        <w:rPr>
          <w:b w:val="0"/>
          <w:i w:val="0"/>
        </w:rPr>
        <w:t>Condicio is a condition of existence. Lex formantis is the law or determination of the one that forms; it is not primarily a rule of civil conduct. Assignare and determinare describe the assignment of a definite mode; contrahere and coarctare narrow or confine.</w:t>
      </w:r>
    </w:p>
    <w:p>
      <w:pPr>
        <w:keepNext/>
        <w:widowControl/>
      </w:pPr>
      <w:r>
        <w:rPr>
          <w:b/>
          <w:i w:val="0"/>
        </w:rPr>
        <w:t>In the Platonic Theology.</w:t>
      </w:r>
    </w:p>
    <w:p>
      <w:pPr>
        <w:widowControl/>
      </w:pPr>
      <w:r>
        <w:rPr>
          <w:b w:val="0"/>
          <w:i w:val="0"/>
        </w:rPr>
        <w:t>Ficino’s forms do not enter existence under an identical arrangement. V.7.2 makes the agent determine some to bodily being, so the actuality and essence are contracted to place, time and exposure to contrary qualities. Other forms receive being in themselves. This creator-assigned distinction controls the later per se argument.</w:t>
      </w:r>
    </w:p>
    <w:p>
      <w:pPr>
        <w:widowControl/>
      </w:pPr>
      <w:r>
        <w:rPr>
          <w:b w:val="0"/>
          <w:i w:val="0"/>
        </w:rPr>
        <w:t xml:space="preserve">V.8.2 calls the material form’s condition a fashioner’s law. Heat, provisionally standing for fire’s substantial form, has been drawn from matter and established within the composite’s being. When contrary cold expels it, it leaves the condition under which it could exist. </w:t>
      </w:r>
      <w:r>
        <w:t>“</w:t>
      </w:r>
      <w:r>
        <w:rPr>
          <w:b w:val="0"/>
          <w:i w:val="0"/>
        </w:rPr>
        <w:t>Transgressing</w:t>
      </w:r>
      <w:r>
        <w:t>”</w:t>
      </w:r>
      <w:r>
        <w:rPr>
          <w:b w:val="0"/>
          <w:i w:val="0"/>
        </w:rPr>
        <w:t xml:space="preserve"> the law is therefore descriptive of ontological failure, not a moral blame placed upon heat.</w:t>
      </w:r>
    </w:p>
    <w:p>
      <w:pPr>
        <w:widowControl/>
      </w:pPr>
      <w:r>
        <w:rPr>
          <w:b w:val="0"/>
          <w:i w:val="0"/>
        </w:rPr>
        <w:t xml:space="preserve">Soul’s law is different: it is made to stand in itself. It does not cease to satisfy that condition because no removable material support mediates its being. The passage separately excludes displacement by the soul itself, by conserving higher causes and by weaker lower things. V.9.2 then repeats that </w:t>
      </w:r>
      <w:r>
        <w:t>“</w:t>
      </w:r>
      <w:r>
        <w:rPr>
          <w:b w:val="0"/>
          <w:i w:val="0"/>
        </w:rPr>
        <w:t>its own nature</w:t>
      </w:r>
      <w:r>
        <w:t>”</w:t>
      </w:r>
      <w:r>
        <w:rPr>
          <w:b w:val="0"/>
          <w:i w:val="0"/>
        </w:rPr>
        <w:t xml:space="preserve"> means precisely the nature assigned by its maker.</w:t>
      </w:r>
    </w:p>
    <w:p>
      <w:pPr>
        <w:widowControl/>
      </w:pPr>
      <w:r>
        <w:rPr>
          <w:b w:val="0"/>
          <w:i w:val="0"/>
        </w:rPr>
        <w:t>V.9.4’s conclusion that soul exists without condition must be read alongside V.10.1’s explicit relation to God. The condition excluded is material or intervening dependence of the kind exposed by the fire example, not every causal relation. Creator-given independence from matter remains creator-given.</w:t>
      </w:r>
    </w:p>
    <w:p>
      <w:pPr>
        <w:keepNext/>
        <w:widowControl/>
      </w:pPr>
      <w:r>
        <w:rPr>
          <w:b/>
          <w:i w:val="0"/>
        </w:rPr>
        <w:t>Places to Read.</w:t>
      </w:r>
    </w:p>
    <w:p>
      <w:pPr>
        <w:ind w:left="187" w:hanging="187"/>
      </w:pPr>
      <w:r>
        <w:t xml:space="preserve">• </w:t>
      </w:r>
      <w:r>
        <w:rPr>
          <w:b/>
          <w:i w:val="0"/>
        </w:rPr>
        <w:t>V.7.2, PDF 36–37.</w:t>
      </w:r>
      <w:r>
        <w:rPr>
          <w:b w:val="0"/>
          <w:i w:val="0"/>
        </w:rPr>
        <w:t xml:space="preserve"> Being is either contracted to bodily conditions or received in the form itself.</w:t>
      </w:r>
    </w:p>
    <w:p>
      <w:pPr>
        <w:ind w:left="187" w:hanging="187"/>
      </w:pPr>
      <w:r>
        <w:t xml:space="preserve">• </w:t>
      </w:r>
      <w:r>
        <w:rPr>
          <w:b/>
          <w:i w:val="0"/>
        </w:rPr>
        <w:t>V.8.2, V.8.4, PDF 40–41, 44–45.</w:t>
      </w:r>
      <w:r>
        <w:rPr>
          <w:b w:val="0"/>
          <w:i w:val="0"/>
        </w:rPr>
        <w:t xml:space="preserve"> The fashioner’s law distinguishes dependent heat from self-subsisting soul.</w:t>
      </w:r>
    </w:p>
    <w:p>
      <w:pPr>
        <w:ind w:left="187" w:hanging="187"/>
      </w:pPr>
      <w:r>
        <w:t xml:space="preserve">• </w:t>
      </w:r>
      <w:r>
        <w:rPr>
          <w:b/>
          <w:i w:val="0"/>
        </w:rPr>
        <w:t>V.9.2, V.9.4, V.10.1, PDF 48–49, 52–55.</w:t>
      </w:r>
      <w:r>
        <w:rPr>
          <w:b w:val="0"/>
          <w:i w:val="0"/>
        </w:rPr>
        <w:t xml:space="preserve"> Assigned nature explains per se, while dependence on God remains explicit.</w:t>
      </w:r>
    </w:p>
    <w:p>
      <w:pPr>
        <w:keepNext/>
        <w:widowControl/>
      </w:pPr>
      <w:r>
        <w:rPr>
          <w:b/>
          <w:i w:val="0"/>
        </w:rPr>
        <w:t>In this edition.</w:t>
      </w:r>
    </w:p>
    <w:p>
      <w:pPr>
        <w:widowControl/>
      </w:pPr>
      <w:r>
        <w:rPr>
          <w:b w:val="0"/>
          <w:i w:val="0"/>
        </w:rPr>
        <w:t xml:space="preserve">The English </w:t>
      </w:r>
      <w:r>
        <w:t>“</w:t>
      </w:r>
      <w:r>
        <w:rPr>
          <w:b w:val="0"/>
          <w:i w:val="0"/>
        </w:rPr>
        <w:t>law</w:t>
      </w:r>
      <w:r>
        <w:t>”</w:t>
      </w:r>
      <w:r>
        <w:rPr>
          <w:b w:val="0"/>
          <w:i w:val="0"/>
        </w:rPr>
        <w:t xml:space="preserve"> retains the repeated Latin lex rather than importing legislation. Proprius, natura and condicio are overlapping explanatory terms here, not synonyms for an externally imposed command.</w:t>
      </w:r>
    </w:p>
    <w:p>
      <w:pPr>
        <w:keepNext/>
        <w:widowControl/>
      </w:pPr>
      <w:r>
        <w:rPr>
          <w:b/>
          <w:i w:val="0"/>
        </w:rPr>
        <w:t>See also.</w:t>
      </w:r>
    </w:p>
    <w:p>
      <w:pPr>
        <w:widowControl/>
      </w:pPr>
      <w:hyperlink w:anchor="form-and-formal-being">
        <w:r>
          <w:rPr>
            <w:color w:val="000000"/>
          </w:rPr>
          <w:t xml:space="preserve">Form and formal being</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relation-and-continuing-dependence">
        <w:r>
          <w:rPr>
            <w:color w:val="000000"/>
          </w:rPr>
          <w:t xml:space="preserve">Relation and continuing dependence</w:t>
        </w:r>
      </w:hyperlink>
    </w:p>
    <w:p>
      <w:pPr>
        <w:pStyle w:val="Heading2"/>
      </w:pPr>
      <w:bookmarkStart w:id="109" w:name="constitution-point-and-harmony"/>
      <w:r>
        <w:rPr>
          <w:b w:val="0"/>
          <w:i w:val="0"/>
        </w:rPr>
        <w:t>Constitution, localized point and harmony</w:t>
      </w:r>
      <w:bookmarkEnd w:id="109"/>
    </w:p>
    <w:p>
      <w:pPr>
        <w:keepNext/>
        <w:widowControl/>
      </w:pPr>
      <w:r>
        <w:rPr>
          <w:b/>
          <w:i w:val="0"/>
        </w:rPr>
        <w:t>Latin:</w:t>
      </w:r>
      <w:r>
        <w:rPr>
          <w:b w:val="0"/>
          <w:i w:val="0"/>
        </w:rPr>
        <w:t xml:space="preserve"> </w:t>
      </w:r>
      <w:r>
        <w:rPr>
          <w:b w:val="0"/>
          <w:i/>
        </w:rPr>
        <w:t>complexio</w:t>
      </w:r>
      <w:r>
        <w:rPr>
          <w:b w:val="0"/>
          <w:i w:val="0"/>
        </w:rPr>
        <w:t xml:space="preserve">; </w:t>
      </w:r>
      <w:r>
        <w:rPr>
          <w:b w:val="0"/>
          <w:i/>
        </w:rPr>
        <w:t>qualitas</w:t>
      </w:r>
      <w:r>
        <w:rPr>
          <w:b w:val="0"/>
          <w:i w:val="0"/>
        </w:rPr>
        <w:t xml:space="preserve">; </w:t>
      </w:r>
      <w:r>
        <w:rPr>
          <w:b w:val="0"/>
          <w:i/>
        </w:rPr>
        <w:t>punctum lucidum</w:t>
      </w:r>
      <w:r>
        <w:rPr>
          <w:b w:val="0"/>
          <w:i w:val="0"/>
        </w:rPr>
        <w:t xml:space="preserve">; </w:t>
      </w:r>
      <w:r>
        <w:rPr>
          <w:b w:val="0"/>
          <w:i/>
        </w:rPr>
        <w:t>harmonia</w:t>
      </w:r>
      <w:r>
        <w:rPr>
          <w:b w:val="0"/>
          <w:i w:val="0"/>
        </w:rPr>
        <w:t xml:space="preserve">; </w:t>
      </w:r>
      <w:r>
        <w:rPr>
          <w:b w:val="0"/>
          <w:i/>
        </w:rPr>
        <w:t>materiae potentia</w:t>
      </w:r>
    </w:p>
    <w:p>
      <w:pPr>
        <w:keepNext/>
        <w:widowControl/>
      </w:pPr>
      <w:r>
        <w:rPr>
          <w:b/>
          <w:i w:val="0"/>
        </w:rPr>
        <w:t>The word.</w:t>
      </w:r>
    </w:p>
    <w:p>
      <w:pPr>
        <w:widowControl/>
      </w:pPr>
      <w:r>
        <w:rPr>
          <w:b w:val="0"/>
          <w:i w:val="0"/>
        </w:rPr>
        <w:t>Complexio is a bodily constitution or temperament, especially the proportion of constituent qualities. Qualitas is a qualifying determination. Harmonia names an arrangement or proportion of bodily parts, rather than necessarily audible music. A punctum lucidum is a luminous point; its metaphysical status depends on whether it remains tied to quality, organ or matter.</w:t>
      </w:r>
    </w:p>
    <w:p>
      <w:pPr>
        <w:keepNext/>
        <w:widowControl/>
      </w:pPr>
      <w:r>
        <w:rPr>
          <w:b/>
          <w:i w:val="0"/>
        </w:rPr>
        <w:t>In the Platonic Theology.</w:t>
      </w:r>
    </w:p>
    <w:p>
      <w:pPr>
        <w:widowControl/>
      </w:pPr>
      <w:r>
        <w:rPr>
          <w:b w:val="0"/>
          <w:i w:val="0"/>
        </w:rPr>
        <w:t>Cavalcanti’s second position is a quality spread through the soul-body, such as heat or a warm constitution. Zeno of Citium, Cleanthes, Antipater and Posidonius are said to seem to have intended this: voluisse videntur preserves a qualification. The third assigns a luminous point to the heart or brain, governing other members from that seat; Chrysippus, Archelaus and Heraclides of Pontus are its reported authorities. This point remains associated with a quality and subtle body, despite appearing purer than a distributed warmth.</w:t>
      </w:r>
    </w:p>
    <w:p>
      <w:pPr>
        <w:widowControl/>
      </w:pPr>
      <w:r>
        <w:rPr>
          <w:b w:val="0"/>
          <w:i w:val="0"/>
        </w:rPr>
        <w:t>The fourth removes determinate position and makes the principle whole in every member, but retains dependence on matter. Ficino carefully allows two versions: constitution itself generates the principle, or a producer draws it from matter’s latent resources and binds it to matter. Xenophanes of Colophon, Asclepiades, Aristoxenus and Critolaus are associated with bodily motive power or harmony. The fifth position must therefore add independence of material origin, not merely indivisibility or whole presence. Later arguments against temperament address an explanatory source that flows with the humours, not only the cruder claim that the soul is bodily bulk.</w:t>
      </w:r>
    </w:p>
    <w:p>
      <w:pPr>
        <w:keepNext/>
        <w:widowControl/>
      </w:pPr>
      <w:r>
        <w:rPr>
          <w:b/>
          <w:i w:val="0"/>
        </w:rPr>
        <w:t>Places to Read.</w:t>
      </w:r>
    </w:p>
    <w:p>
      <w:pPr>
        <w:ind w:left="187" w:hanging="187"/>
      </w:pPr>
      <w:r>
        <w:t xml:space="preserve">• </w:t>
      </w:r>
      <w:r>
        <w:rPr>
          <w:b/>
          <w:i w:val="0"/>
        </w:rPr>
        <w:t>VI.1.3, VI.1.4; source PDF pp. 128, 129, 130, 131</w:t>
      </w:r>
      <w:r>
        <w:rPr>
          <w:b w:val="0"/>
          <w:i w:val="0"/>
        </w:rPr>
        <w:t>. Distributed constitution and an organ-localized luminous point remain distinct theories.</w:t>
      </w:r>
    </w:p>
    <w:p>
      <w:pPr>
        <w:ind w:left="187" w:hanging="187"/>
      </w:pPr>
      <w:r>
        <w:t xml:space="preserve">• </w:t>
      </w:r>
      <w:r>
        <w:rPr>
          <w:b/>
          <w:i w:val="0"/>
        </w:rPr>
        <w:t>VI.1.5; source PDF pp. 130, 131</w:t>
      </w:r>
      <w:r>
        <w:rPr>
          <w:b w:val="0"/>
          <w:i w:val="0"/>
        </w:rPr>
        <w:t>. The fourth position has two explicitly different modes of material dependence.</w:t>
      </w:r>
    </w:p>
    <w:p>
      <w:pPr>
        <w:ind w:left="187" w:hanging="187"/>
      </w:pPr>
      <w:r>
        <w:t xml:space="preserve">• </w:t>
      </w:r>
      <w:r>
        <w:rPr>
          <w:b/>
          <w:i w:val="0"/>
        </w:rPr>
        <w:t>VI.13.8; source PDF pp. 226, 227</w:t>
      </w:r>
      <w:r>
        <w:rPr>
          <w:b w:val="0"/>
          <w:i w:val="0"/>
        </w:rPr>
        <w:t>. Flux is extended from a soul-body to qualitative temperament.</w:t>
      </w:r>
    </w:p>
    <w:p>
      <w:pPr>
        <w:keepNext/>
        <w:widowControl/>
      </w:pPr>
      <w:r>
        <w:rPr>
          <w:b/>
          <w:i w:val="0"/>
        </w:rPr>
        <w:t>In this edition.</w:t>
      </w:r>
    </w:p>
    <w:p>
      <w:pPr>
        <w:widowControl/>
      </w:pPr>
      <w:r>
        <w:rPr>
          <w:b w:val="0"/>
          <w:i w:val="0"/>
        </w:rPr>
        <w:t xml:space="preserve">The apparatus reports that P1641 omits the constitution-generated branch in VI.1.5; the reading text retains both branches with M1482 and G1559. Its viscera, semen, incohatio, proportio and gremium preserve the imagery of latent birth from matter. </w:t>
      </w:r>
      <w:r>
        <w:t>“</w:t>
      </w:r>
      <w:r>
        <w:rPr>
          <w:b w:val="0"/>
          <w:i w:val="0"/>
        </w:rPr>
        <w:t>Constitution</w:t>
      </w:r>
      <w:r>
        <w:t>”</w:t>
      </w:r>
      <w:r>
        <w:rPr>
          <w:b w:val="0"/>
          <w:i w:val="0"/>
        </w:rPr>
        <w:t xml:space="preserve"> avoids the modern skin-colour sense of </w:t>
      </w:r>
      <w:r>
        <w:t>“</w:t>
      </w:r>
      <w:r>
        <w:rPr>
          <w:b w:val="0"/>
          <w:i w:val="0"/>
        </w:rPr>
        <w:t>complexion.</w:t>
      </w:r>
      <w:r>
        <w:t>”</w:t>
      </w:r>
    </w:p>
    <w:p>
      <w:pPr>
        <w:keepNext/>
        <w:widowControl/>
      </w:pPr>
      <w:r>
        <w:rPr>
          <w:b/>
          <w:i w:val="0"/>
        </w:rPr>
        <w:t>See also.</w:t>
      </w:r>
    </w:p>
    <w:p>
      <w:pPr>
        <w:widowControl/>
      </w:pPr>
      <w:hyperlink w:anchor="divine-production-and-third-essence">
        <w:r>
          <w:rPr>
            <w:color w:val="000000"/>
          </w:rPr>
          <w:t xml:space="preserve">Divine production and the third essence</w:t>
        </w:r>
      </w:hyperlink>
      <w:r>
        <w:rPr>
          <w:b w:val="0"/>
          <w:i w:val="0"/>
        </w:rPr>
        <w:t xml:space="preserve">; </w:t>
      </w:r>
      <w:hyperlink w:anchor="temperament-flux-and-stable-ruler">
        <w:r>
          <w:rPr>
            <w:color w:val="000000"/>
          </w:rPr>
          <w:t xml:space="preserve">Temperament, flux and the stable ruler</w:t>
        </w:r>
      </w:hyperlink>
    </w:p>
    <w:p>
      <w:pPr>
        <w:pStyle w:val="Heading2"/>
      </w:pPr>
      <w:bookmarkStart w:id="110" w:name="contraries-death-and-imperishability"/>
      <w:r>
        <w:rPr>
          <w:b w:val="0"/>
          <w:i w:val="0"/>
        </w:rPr>
        <w:t>Contraries, death and imperishability</w:t>
      </w:r>
      <w:bookmarkEnd w:id="110"/>
    </w:p>
    <w:p>
      <w:pPr>
        <w:keepNext/>
        <w:widowControl/>
      </w:pPr>
      <w:r>
        <w:rPr>
          <w:b/>
          <w:i w:val="0"/>
        </w:rPr>
        <w:t>Latin:</w:t>
      </w:r>
      <w:r>
        <w:rPr>
          <w:b w:val="0"/>
          <w:i w:val="0"/>
        </w:rPr>
        <w:t xml:space="preserve"> </w:t>
      </w:r>
      <w:r>
        <w:rPr>
          <w:b w:val="0"/>
          <w:i/>
        </w:rPr>
        <w:t>contrarius</w:t>
      </w:r>
      <w:r>
        <w:rPr>
          <w:b w:val="0"/>
          <w:i w:val="0"/>
        </w:rPr>
        <w:t xml:space="preserve">; </w:t>
      </w:r>
      <w:r>
        <w:rPr>
          <w:b w:val="0"/>
          <w:i/>
        </w:rPr>
        <w:t>mors</w:t>
      </w:r>
      <w:r>
        <w:rPr>
          <w:b w:val="0"/>
          <w:i w:val="0"/>
        </w:rPr>
        <w:t xml:space="preserve">; </w:t>
      </w:r>
      <w:r>
        <w:rPr>
          <w:b w:val="0"/>
          <w:i/>
        </w:rPr>
        <w:t>mortifer</w:t>
      </w:r>
      <w:r>
        <w:rPr>
          <w:b w:val="0"/>
          <w:i w:val="0"/>
        </w:rPr>
        <w:t xml:space="preserve">; </w:t>
      </w:r>
      <w:r>
        <w:rPr>
          <w:b w:val="0"/>
          <w:i/>
        </w:rPr>
        <w:t>immortalis</w:t>
      </w:r>
      <w:r>
        <w:rPr>
          <w:b w:val="0"/>
          <w:i w:val="0"/>
        </w:rPr>
        <w:t xml:space="preserve">; </w:t>
      </w:r>
      <w:r>
        <w:rPr>
          <w:b w:val="0"/>
          <w:i/>
        </w:rPr>
        <w:t>infrigescibilis</w:t>
      </w:r>
      <w:r>
        <w:rPr>
          <w:b w:val="0"/>
          <w:i w:val="0"/>
        </w:rPr>
        <w:t xml:space="preserve">; </w:t>
      </w:r>
      <w:r>
        <w:rPr>
          <w:b w:val="0"/>
          <w:i/>
        </w:rPr>
        <w:t>imperdibilis</w:t>
      </w:r>
      <w:r>
        <w:rPr>
          <w:b w:val="0"/>
          <w:i w:val="0"/>
        </w:rPr>
        <w:t xml:space="preserve">; </w:t>
      </w:r>
      <w:r>
        <w:rPr>
          <w:b w:val="0"/>
          <w:i/>
        </w:rPr>
        <w:t>fugare</w:t>
      </w:r>
      <w:r>
        <w:rPr>
          <w:b w:val="0"/>
          <w:i w:val="0"/>
        </w:rPr>
        <w:t xml:space="preserve">; </w:t>
      </w:r>
      <w:r>
        <w:rPr>
          <w:b w:val="0"/>
          <w:i/>
        </w:rPr>
        <w:t>fugere</w:t>
      </w:r>
    </w:p>
    <w:p>
      <w:pPr>
        <w:keepNext/>
        <w:widowControl/>
      </w:pPr>
      <w:r>
        <w:rPr>
          <w:b/>
          <w:i w:val="0"/>
        </w:rPr>
        <w:t>The word.</w:t>
      </w:r>
    </w:p>
    <w:p>
      <w:pPr>
        <w:widowControl/>
      </w:pPr>
      <w:r>
        <w:rPr>
          <w:b w:val="0"/>
          <w:i w:val="0"/>
        </w:rPr>
        <w:t>Contraries are opposed qualities or forms, such as heat and cold. Mortifer means death-bearing; immortalis deathless. Infrigescibilis is incapable of becoming cold; imperdibilis incapable of being destroyed. The paired verbs fugare and fugere distinguish driving away from fleeing.</w:t>
      </w:r>
    </w:p>
    <w:p>
      <w:pPr>
        <w:keepNext/>
        <w:widowControl/>
      </w:pPr>
      <w:r>
        <w:rPr>
          <w:b/>
          <w:i w:val="0"/>
        </w:rPr>
        <w:t>In the Platonic Theology.</w:t>
      </w:r>
    </w:p>
    <w:p>
      <w:pPr>
        <w:widowControl/>
      </w:pPr>
      <w:r>
        <w:rPr>
          <w:b w:val="0"/>
          <w:i w:val="0"/>
        </w:rPr>
        <w:t>V.14 argues that a contrary form does not receive its contrary while remaining itself. Heat cannot become cold heat, and fire cannot be cold while remaining fire. Yet fire can perish instead of becoming cold. Ficino explicitly marks this limit of the analogy: inability to become cold is not identical with indestructibility.</w:t>
      </w:r>
    </w:p>
    <w:p>
      <w:pPr>
        <w:widowControl/>
      </w:pPr>
      <w:r>
        <w:rPr>
          <w:b w:val="0"/>
          <w:i w:val="0"/>
        </w:rPr>
        <w:t>The proposed inference for soul uses life as its essence or proper attendant. Soul does not admit death, and Ficino identifies immortality with imperishability. V.14.7 immediately gives the objection to that step, assigned to Strato or an Epicurean: perhaps soul does not receive death only because it disappears when the death-bearing quality arrives. Simply refusing a predicate would not establish survival.</w:t>
      </w:r>
    </w:p>
    <w:p>
      <w:pPr>
        <w:widowControl/>
      </w:pPr>
      <w:r>
        <w:rPr>
          <w:b w:val="0"/>
          <w:i w:val="0"/>
        </w:rPr>
        <w:t>Ficino clarifies that death as nonbeing is not literally received by either the living or the nonexistent dead. His intended claim is that no death-bearing quality can enter soul so as to end its life. Material heat is vulnerable because the matter that supports it also opens to cold, allowing heat to be expelled. A separate form lacks the shared material recipient that brings contraries together.</w:t>
      </w:r>
    </w:p>
    <w:p>
      <w:pPr>
        <w:widowControl/>
      </w:pPr>
      <w:r>
        <w:rPr>
          <w:b w:val="0"/>
          <w:i w:val="0"/>
        </w:rPr>
        <w:t xml:space="preserve">V.14.8 therefore returns to the already argued immateriality of rational soul. The contrary may corrupt qualities bound to the body, but cannot reach the essence supporting rather than supported by matter. The proof is consequently cumulative; it does not rest solely on substituting </w:t>
      </w:r>
      <w:r>
        <w:t>“</w:t>
      </w:r>
      <w:r>
        <w:rPr>
          <w:b w:val="0"/>
          <w:i w:val="0"/>
        </w:rPr>
        <w:t>indestructible</w:t>
      </w:r>
      <w:r>
        <w:t>”</w:t>
      </w:r>
      <w:r>
        <w:rPr>
          <w:b w:val="0"/>
          <w:i w:val="0"/>
        </w:rPr>
        <w:t xml:space="preserve"> for </w:t>
      </w:r>
      <w:r>
        <w:t>“</w:t>
      </w:r>
      <w:r>
        <w:rPr>
          <w:b w:val="0"/>
          <w:i w:val="0"/>
        </w:rPr>
        <w:t>deathless.</w:t>
      </w:r>
      <w:r>
        <w:t>”</w:t>
      </w:r>
    </w:p>
    <w:p>
      <w:pPr>
        <w:keepNext/>
        <w:widowControl/>
      </w:pPr>
      <w:r>
        <w:rPr>
          <w:b/>
          <w:i w:val="0"/>
        </w:rPr>
        <w:t>Places to Read.</w:t>
      </w:r>
    </w:p>
    <w:p>
      <w:pPr>
        <w:ind w:left="187" w:hanging="187"/>
      </w:pPr>
      <w:r>
        <w:t xml:space="preserve">• </w:t>
      </w:r>
      <w:r>
        <w:rPr>
          <w:b/>
          <w:i w:val="0"/>
        </w:rPr>
        <w:t>V.14.3, V.14.4, V.14.5, PDF 96–97.</w:t>
      </w:r>
      <w:r>
        <w:rPr>
          <w:b w:val="0"/>
          <w:i w:val="0"/>
        </w:rPr>
        <w:t xml:space="preserve"> Contrary forms and their bearers are compared, with the fire analogy’s limit made explicit.</w:t>
      </w:r>
    </w:p>
    <w:p>
      <w:pPr>
        <w:ind w:left="187" w:hanging="187"/>
      </w:pPr>
      <w:r>
        <w:t xml:space="preserve">• </w:t>
      </w:r>
      <w:r>
        <w:rPr>
          <w:b/>
          <w:i w:val="0"/>
        </w:rPr>
        <w:t>V.14.7, PDF 98–99.</w:t>
      </w:r>
      <w:r>
        <w:rPr>
          <w:b w:val="0"/>
          <w:i w:val="0"/>
        </w:rPr>
        <w:t xml:space="preserve"> The Epicurean objection forces a distinction between receiving death and admitting a destructive quality.</w:t>
      </w:r>
    </w:p>
    <w:p>
      <w:pPr>
        <w:ind w:left="187" w:hanging="187"/>
      </w:pPr>
      <w:r>
        <w:t xml:space="preserve">• </w:t>
      </w:r>
      <w:r>
        <w:rPr>
          <w:b/>
          <w:i w:val="0"/>
        </w:rPr>
        <w:t>V.14.8, PDF 100–101.</w:t>
      </w:r>
      <w:r>
        <w:rPr>
          <w:b w:val="0"/>
          <w:i w:val="0"/>
        </w:rPr>
        <w:t xml:space="preserve"> Independent subsistence excludes the common material ground of destructive opposition.</w:t>
      </w:r>
    </w:p>
    <w:p>
      <w:pPr>
        <w:keepNext/>
        <w:widowControl/>
      </w:pPr>
      <w:r>
        <w:rPr>
          <w:b/>
          <w:i w:val="0"/>
        </w:rPr>
        <w:t>In this edition.</w:t>
      </w:r>
    </w:p>
    <w:p>
      <w:pPr>
        <w:widowControl/>
      </w:pPr>
      <w:r>
        <w:rPr>
          <w:b w:val="0"/>
          <w:i w:val="0"/>
        </w:rPr>
        <w:t xml:space="preserve">The source keeps infrigescibilis and imperdibilis visibly distinct. Death is only </w:t>
      </w:r>
      <w:r>
        <w:t>“</w:t>
      </w:r>
      <w:r>
        <w:rPr>
          <w:b w:val="0"/>
          <w:i w:val="0"/>
        </w:rPr>
        <w:t>in a certain sense</w:t>
      </w:r>
      <w:r>
        <w:t>”</w:t>
      </w:r>
      <w:r>
        <w:rPr>
          <w:b w:val="0"/>
          <w:i w:val="0"/>
        </w:rPr>
        <w:t xml:space="preserve"> a contrary in V.14.3. The objection is a staged philosophical challenge, not proof that Ficino accepts an Epicurean account of the soul.</w:t>
      </w:r>
    </w:p>
    <w:p>
      <w:pPr>
        <w:keepNext/>
        <w:widowControl/>
      </w:pPr>
      <w:r>
        <w:rPr>
          <w:b/>
          <w:i w:val="0"/>
        </w:rPr>
        <w:t>See also.</w:t>
      </w:r>
    </w:p>
    <w:p>
      <w:pPr>
        <w:widowControl/>
      </w:pPr>
      <w:hyperlink w:anchor="life-and-vivification">
        <w:r>
          <w:rPr>
            <w:color w:val="000000"/>
          </w:rPr>
          <w:t xml:space="preserve">Life and vivification</w:t>
        </w:r>
      </w:hyperlink>
      <w:r>
        <w:rPr>
          <w:b w:val="0"/>
          <w:i w:val="0"/>
        </w:rPr>
        <w:t xml:space="preserve">; </w:t>
      </w:r>
      <w:hyperlink w:anchor="passivity-and-bodily-affection">
        <w:r>
          <w:rPr>
            <w:color w:val="000000"/>
          </w:rPr>
          <w:t xml:space="preserve">Passivity and bodily affection</w:t>
        </w:r>
      </w:hyperlink>
      <w:r>
        <w:rPr>
          <w:b w:val="0"/>
          <w:i w:val="0"/>
        </w:rPr>
        <w:t xml:space="preserve">; </w:t>
      </w:r>
      <w:hyperlink w:anchor="necessary-predication-and-the-fire-objection">
        <w:r>
          <w:rPr>
            <w:color w:val="000000"/>
          </w:rPr>
          <w:t xml:space="preserve">Necessary predication and the fire objection</w:t>
        </w:r>
      </w:hyperlink>
    </w:p>
    <w:p>
      <w:pPr>
        <w:pStyle w:val="Heading2"/>
      </w:pPr>
      <w:bookmarkStart w:id="111" w:name="viii-contraries-evil"/>
      <w:r>
        <w:rPr>
          <w:b w:val="0"/>
          <w:i w:val="0"/>
        </w:rPr>
        <w:t>Contraries, privations, and knowledge of evil</w:t>
      </w:r>
      <w:bookmarkEnd w:id="111"/>
    </w:p>
    <w:p>
      <w:pPr>
        <w:keepNext/>
        <w:widowControl/>
      </w:pPr>
      <w:r>
        <w:rPr>
          <w:b/>
          <w:i w:val="0"/>
        </w:rPr>
        <w:t>Latin:</w:t>
      </w:r>
      <w:r>
        <w:rPr>
          <w:b w:val="0"/>
          <w:i w:val="0"/>
        </w:rPr>
        <w:t xml:space="preserve"> </w:t>
      </w:r>
      <w:r>
        <w:rPr>
          <w:b w:val="0"/>
          <w:i/>
        </w:rPr>
        <w:t>contrarius</w:t>
      </w:r>
      <w:r>
        <w:rPr>
          <w:b w:val="0"/>
          <w:i w:val="0"/>
        </w:rPr>
        <w:t xml:space="preserve">; </w:t>
      </w:r>
      <w:r>
        <w:rPr>
          <w:b w:val="0"/>
          <w:i/>
        </w:rPr>
        <w:t>privatio</w:t>
      </w:r>
      <w:r>
        <w:rPr>
          <w:b w:val="0"/>
          <w:i w:val="0"/>
        </w:rPr>
        <w:t xml:space="preserve">; </w:t>
      </w:r>
      <w:r>
        <w:rPr>
          <w:b w:val="0"/>
          <w:i/>
        </w:rPr>
        <w:t>defectus</w:t>
      </w:r>
      <w:r>
        <w:rPr>
          <w:b w:val="0"/>
          <w:i w:val="0"/>
        </w:rPr>
        <w:t xml:space="preserve">; </w:t>
      </w:r>
      <w:r>
        <w:rPr>
          <w:b w:val="0"/>
          <w:i/>
        </w:rPr>
        <w:t>malum</w:t>
      </w:r>
      <w:r>
        <w:rPr>
          <w:b w:val="0"/>
          <w:i w:val="0"/>
        </w:rPr>
        <w:t xml:space="preserve">; </w:t>
      </w:r>
      <w:r>
        <w:rPr>
          <w:b w:val="0"/>
          <w:i/>
        </w:rPr>
        <w:t>conciliare</w:t>
      </w:r>
      <w:r>
        <w:rPr>
          <w:b w:val="0"/>
          <w:i w:val="0"/>
        </w:rPr>
        <w:t xml:space="preserve">; </w:t>
      </w:r>
      <w:r>
        <w:rPr>
          <w:b w:val="0"/>
          <w:i/>
        </w:rPr>
        <w:t>conservator</w:t>
      </w:r>
      <w:r>
        <w:rPr>
          <w:b w:val="0"/>
          <w:i w:val="0"/>
        </w:rPr>
        <w:t xml:space="preserve">; </w:t>
      </w:r>
      <w:r>
        <w:rPr>
          <w:b w:val="0"/>
          <w:i/>
        </w:rPr>
        <w:t>salubris</w:t>
      </w:r>
    </w:p>
    <w:p>
      <w:pPr>
        <w:keepNext/>
        <w:widowControl/>
      </w:pPr>
      <w:r>
        <w:rPr>
          <w:b/>
          <w:i w:val="0"/>
        </w:rPr>
        <w:t>The word.</w:t>
      </w:r>
    </w:p>
    <w:p>
      <w:pPr>
        <w:widowControl/>
      </w:pPr>
      <w:r>
        <w:rPr>
          <w:b w:val="0"/>
          <w:i w:val="0"/>
        </w:rPr>
        <w:t>Contraries oppose and can destroy one another in matter. Their intelligible forms need not exercise that opposition within a knower. Privation and defect name lacks or failures; knowing such a lack is different from acquiring it as one’s own condition.</w:t>
      </w:r>
    </w:p>
    <w:p>
      <w:pPr>
        <w:keepNext/>
        <w:widowControl/>
      </w:pPr>
      <w:r>
        <w:rPr>
          <w:b/>
          <w:i w:val="0"/>
        </w:rPr>
        <w:t>In the Platonic Theology.</w:t>
      </w:r>
    </w:p>
    <w:p>
      <w:pPr>
        <w:widowControl/>
      </w:pPr>
      <w:r>
        <w:rPr>
          <w:b w:val="0"/>
          <w:i w:val="0"/>
        </w:rPr>
        <w:t>Mind understands heat and cold, good and evil, useful and useless, beauty and deformity, light and darkness, voice and silence, sweet and bitter. In cognition one contrary can clarify the other, so their co-presence helps rather than destroys the act of knowing. Ficino infers that mind cannot be governed by the bodily mode of contrary reception.</w:t>
      </w:r>
    </w:p>
    <w:p>
      <w:pPr>
        <w:widowControl/>
      </w:pPr>
      <w:r>
        <w:rPr>
          <w:b w:val="0"/>
          <w:i w:val="0"/>
        </w:rPr>
        <w:t>Two proposed sources of corruption are addressed. First, destruction by a contrary fails because mind reconciles the intellectual forms of contraries. Second, separation from preservative causes is challenged because a power able to reconcile alien opposites should be able to draw itself to its own causes and preservers. The second argument should not disappear into the more memorable list of contrasts.</w:t>
      </w:r>
    </w:p>
    <w:p>
      <w:pPr>
        <w:widowControl/>
      </w:pPr>
      <w:r>
        <w:rPr>
          <w:b w:val="0"/>
          <w:i w:val="0"/>
        </w:rPr>
        <w:t>VIII.13 adds that greater knowledge includes knowledge of privations, defects and evils. Mind becomes more perfect by discerning them than by remaining ignorant. Harmful things thus become cognitive goods under the aspect of being known. This does not make harmful acts morally good, declare suffering beneficial in itself, or erase the real differences between good and evil. The conversion occurs in the mode of reception: knowledge of an evil is not the evil itself afflicting the knower in its original manner.</w:t>
      </w:r>
    </w:p>
    <w:p>
      <w:pPr>
        <w:keepNext/>
        <w:widowControl/>
      </w:pPr>
      <w:r>
        <w:rPr>
          <w:b/>
          <w:i w:val="0"/>
        </w:rPr>
        <w:t>Places to Read.</w:t>
      </w:r>
    </w:p>
    <w:p>
      <w:pPr>
        <w:ind w:left="187" w:hanging="187"/>
      </w:pPr>
      <w:r>
        <w:t xml:space="preserve">• </w:t>
      </w:r>
      <w:r>
        <w:rPr>
          <w:b/>
          <w:i w:val="0"/>
        </w:rPr>
        <w:t>VIII.12.1, PDF pp. 356–357.</w:t>
      </w:r>
      <w:r>
        <w:rPr>
          <w:b w:val="0"/>
          <w:i w:val="0"/>
        </w:rPr>
        <w:t xml:space="preserve"> The examples of contraries lead to separate replies about contrary destruction and loss of preservative causes.</w:t>
      </w:r>
    </w:p>
    <w:p>
      <w:pPr>
        <w:ind w:left="187" w:hanging="187"/>
      </w:pPr>
      <w:r>
        <w:t xml:space="preserve">• </w:t>
      </w:r>
      <w:r>
        <w:rPr>
          <w:b/>
          <w:i w:val="0"/>
        </w:rPr>
        <w:t>VIII.13.2, PDF pp. 360–361.</w:t>
      </w:r>
      <w:r>
        <w:rPr>
          <w:b w:val="0"/>
          <w:i w:val="0"/>
        </w:rPr>
        <w:t xml:space="preserve"> Knowledge of defects and evils perfects mind without turning it into what it knows.</w:t>
      </w:r>
    </w:p>
    <w:p>
      <w:pPr>
        <w:keepNext/>
        <w:widowControl/>
      </w:pPr>
      <w:r>
        <w:rPr>
          <w:b/>
          <w:i w:val="0"/>
        </w:rPr>
        <w:t>In this edition.</w:t>
      </w:r>
    </w:p>
    <w:p>
      <w:pPr>
        <w:widowControl/>
      </w:pPr>
      <w:r>
        <w:rPr>
          <w:b w:val="0"/>
          <w:i w:val="0"/>
        </w:rPr>
        <w:t xml:space="preserve">The apparatus preserves both modes of corruption. The translation’s </w:t>
      </w:r>
      <w:r>
        <w:t>“</w:t>
      </w:r>
      <w:r>
        <w:rPr>
          <w:b w:val="0"/>
          <w:i w:val="0"/>
        </w:rPr>
        <w:t>wholesome</w:t>
      </w:r>
      <w:r>
        <w:t>”</w:t>
      </w:r>
      <w:r>
        <w:rPr>
          <w:b w:val="0"/>
          <w:i w:val="0"/>
        </w:rPr>
        <w:t xml:space="preserve"> for salubria is part of the intellectual good/harm contrast, not medical advice. Quae in se ipsis mala sunt and in mente fiunt bona explicitly distinguish the objects in themselves from their cognitive reception.</w:t>
      </w:r>
    </w:p>
    <w:p>
      <w:pPr>
        <w:keepNext/>
        <w:widowControl/>
      </w:pPr>
      <w:r>
        <w:rPr>
          <w:b/>
          <w:i w:val="0"/>
        </w:rPr>
        <w:t>See also.</w:t>
      </w:r>
    </w:p>
    <w:p>
      <w:pPr>
        <w:widowControl/>
      </w:pPr>
      <w:hyperlink w:anchor="viii-reception-identity">
        <w:r>
          <w:rPr>
            <w:color w:val="000000"/>
          </w:rPr>
          <w:t xml:space="preserve">Receiving forms without losing one’s own</w:t>
        </w:r>
      </w:hyperlink>
      <w:r>
        <w:rPr>
          <w:b w:val="0"/>
          <w:i w:val="0"/>
        </w:rPr>
        <w:t xml:space="preserve">; </w:t>
      </w:r>
      <w:hyperlink w:anchor="viii-mirror-light">
        <w:r>
          <w:rPr>
            <w:color w:val="000000"/>
          </w:rPr>
          <w:t xml:space="preserve">Mirror, light, and the soul of the sun</w:t>
        </w:r>
      </w:hyperlink>
      <w:r>
        <w:rPr>
          <w:b w:val="0"/>
          <w:i w:val="0"/>
        </w:rPr>
        <w:t xml:space="preserve">; </w:t>
      </w:r>
      <w:hyperlink w:anchor="viii-self-cause">
        <w:r>
          <w:rPr>
            <w:color w:val="000000"/>
          </w:rPr>
          <w:t xml:space="preserve">Self-causation: formal cause and efficient cause</w:t>
        </w:r>
      </w:hyperlink>
    </w:p>
    <w:p>
      <w:pPr>
        <w:pStyle w:val="Heading2"/>
      </w:pPr>
      <w:bookmarkStart w:id="112" w:name="contrary-powers-and-directed-movement"/>
      <w:r>
        <w:rPr>
          <w:b w:val="0"/>
          <w:i w:val="0"/>
        </w:rPr>
        <w:t>Contrary powers and directed movement</w:t>
      </w:r>
      <w:bookmarkEnd w:id="112"/>
    </w:p>
    <w:p>
      <w:pPr>
        <w:keepNext/>
        <w:widowControl/>
      </w:pPr>
      <w:r>
        <w:rPr>
          <w:b/>
          <w:i w:val="0"/>
        </w:rPr>
        <w:t>Latin:</w:t>
      </w:r>
      <w:r>
        <w:rPr>
          <w:b w:val="0"/>
          <w:i w:val="0"/>
        </w:rPr>
        <w:t xml:space="preserve"> </w:t>
      </w:r>
      <w:r>
        <w:rPr>
          <w:b w:val="0"/>
          <w:i/>
        </w:rPr>
        <w:t>contraria</w:t>
      </w:r>
      <w:r>
        <w:rPr>
          <w:b w:val="0"/>
          <w:i w:val="0"/>
        </w:rPr>
        <w:t xml:space="preserve">; </w:t>
      </w:r>
      <w:r>
        <w:rPr>
          <w:b w:val="0"/>
          <w:i/>
        </w:rPr>
        <w:t>determinata operatio</w:t>
      </w:r>
      <w:r>
        <w:rPr>
          <w:b w:val="0"/>
          <w:i w:val="0"/>
        </w:rPr>
        <w:t xml:space="preserve">; </w:t>
      </w:r>
      <w:r>
        <w:rPr>
          <w:b w:val="0"/>
          <w:i/>
        </w:rPr>
        <w:t>compos</w:t>
      </w:r>
      <w:r>
        <w:rPr>
          <w:b w:val="0"/>
          <w:i w:val="0"/>
        </w:rPr>
        <w:t xml:space="preserve">; </w:t>
      </w:r>
      <w:r>
        <w:rPr>
          <w:b w:val="0"/>
          <w:i/>
        </w:rPr>
        <w:t>contrahere</w:t>
      </w:r>
      <w:r>
        <w:rPr>
          <w:b w:val="0"/>
          <w:i w:val="0"/>
        </w:rPr>
        <w:t xml:space="preserve">; </w:t>
      </w:r>
      <w:r>
        <w:rPr>
          <w:b w:val="0"/>
          <w:i/>
        </w:rPr>
        <w:t>extendere</w:t>
      </w:r>
      <w:r>
        <w:rPr>
          <w:b w:val="0"/>
          <w:i w:val="0"/>
        </w:rPr>
        <w:t xml:space="preserve">; </w:t>
      </w:r>
      <w:r>
        <w:rPr>
          <w:b w:val="0"/>
          <w:i/>
        </w:rPr>
        <w:t>acuere</w:t>
      </w:r>
      <w:r>
        <w:rPr>
          <w:b w:val="0"/>
          <w:i w:val="0"/>
        </w:rPr>
        <w:t xml:space="preserve">; </w:t>
      </w:r>
      <w:r>
        <w:rPr>
          <w:b w:val="0"/>
          <w:i/>
        </w:rPr>
        <w:t>obtundere</w:t>
      </w:r>
    </w:p>
    <w:p>
      <w:pPr>
        <w:keepNext/>
        <w:widowControl/>
      </w:pPr>
      <w:r>
        <w:rPr>
          <w:b/>
          <w:i w:val="0"/>
        </w:rPr>
        <w:t>The word.</w:t>
      </w:r>
    </w:p>
    <w:p>
      <w:pPr>
        <w:widowControl/>
      </w:pPr>
      <w:r>
        <w:rPr>
          <w:b w:val="0"/>
          <w:i w:val="0"/>
        </w:rPr>
        <w:t>Contraria are opposed qualities or effects. Determinata operatio is activity restricted by a definite nature. Compos with ad expresses command or capacity with respect to opposed movements. Acuere and obtundere mean sharpening and dulling, alongside paired verbs for bodily regulation.</w:t>
      </w:r>
    </w:p>
    <w:p>
      <w:pPr>
        <w:keepNext/>
        <w:widowControl/>
      </w:pPr>
      <w:r>
        <w:rPr>
          <w:b/>
          <w:i w:val="0"/>
        </w:rPr>
        <w:t>In the Platonic Theology.</w:t>
      </w:r>
    </w:p>
    <w:p>
      <w:pPr>
        <w:widowControl/>
      </w:pPr>
      <w:r>
        <w:rPr>
          <w:b w:val="0"/>
          <w:i w:val="0"/>
        </w:rPr>
        <w:t>A body, simple or composite, has determinate qualities: hot or cold, dry or moist, light or heavy, rare or dense, fluid or solid, white or black. Ficino assumes that it acts according to this fixed character and does not generate the contrary effect precisely through the contrary quality. Soul, by contrast, arrests and moves, contracts and extends, rarefies and condenses, sharpens and dulls, opens and closes, liquefies and solidifies. The list supplies differentiated evidence for a power not restricted to one bodily quality.</w:t>
      </w:r>
    </w:p>
    <w:p>
      <w:pPr>
        <w:widowControl/>
      </w:pPr>
      <w:r>
        <w:rPr>
          <w:b w:val="0"/>
          <w:i w:val="0"/>
        </w:rPr>
        <w:t>The historical physiology gives that point directional force. Soul sends light spirits down to the feet and heavy humours up to the head, and moves the body upward, downward, sideways and in a circle against the natural inclinations attributed to its elements. The inference concerns governance of contraries, not a claim that the soul is simultaneously hot and cold in the same respect. Nor should the passage’s categorical physics be treated as modern mechanics. The range of actions is supposed to exceed both body and a quality distributed through body.</w:t>
      </w:r>
    </w:p>
    <w:p>
      <w:pPr>
        <w:keepNext/>
        <w:widowControl/>
      </w:pPr>
      <w:r>
        <w:rPr>
          <w:b/>
          <w:i w:val="0"/>
        </w:rPr>
        <w:t>Places to Read.</w:t>
      </w:r>
    </w:p>
    <w:p>
      <w:pPr>
        <w:ind w:left="187" w:hanging="187"/>
      </w:pPr>
      <w:r>
        <w:t xml:space="preserve">• </w:t>
      </w:r>
      <w:r>
        <w:rPr>
          <w:b/>
          <w:i w:val="0"/>
        </w:rPr>
        <w:t>VI.11.2; source PDF pp. 200, 201</w:t>
      </w:r>
      <w:r>
        <w:rPr>
          <w:b w:val="0"/>
          <w:i w:val="0"/>
        </w:rPr>
        <w:t>. Contrary qualities, regulatory verbs, products and spatial directions form four connected but distinct series.</w:t>
      </w:r>
    </w:p>
    <w:p>
      <w:pPr>
        <w:ind w:left="187" w:hanging="187"/>
      </w:pPr>
      <w:r>
        <w:t xml:space="preserve">• </w:t>
      </w:r>
      <w:r>
        <w:rPr>
          <w:b/>
          <w:i w:val="0"/>
        </w:rPr>
        <w:t>VI.12.19; source PDF pp. 218, 219</w:t>
      </w:r>
      <w:r>
        <w:rPr>
          <w:b w:val="0"/>
          <w:i w:val="0"/>
        </w:rPr>
        <w:t>. Directions later acquire explicitly psychic analogues rather than bodily meanings.</w:t>
      </w:r>
    </w:p>
    <w:p>
      <w:pPr>
        <w:keepNext/>
        <w:widowControl/>
      </w:pPr>
      <w:r>
        <w:rPr>
          <w:b/>
          <w:i w:val="0"/>
        </w:rPr>
        <w:t>In this edition.</w:t>
      </w:r>
    </w:p>
    <w:p>
      <w:pPr>
        <w:widowControl/>
      </w:pPr>
      <w:r>
        <w:rPr>
          <w:b w:val="0"/>
          <w:i w:val="0"/>
        </w:rPr>
        <w:t xml:space="preserve">The English translates every pair separately. The qualification omnes ferme, </w:t>
      </w:r>
      <w:r>
        <w:t>“</w:t>
      </w:r>
      <w:r>
        <w:rPr>
          <w:b w:val="0"/>
          <w:i w:val="0"/>
        </w:rPr>
        <w:t>almost all,</w:t>
      </w:r>
      <w:r>
        <w:t>”</w:t>
      </w:r>
      <w:r>
        <w:rPr>
          <w:b w:val="0"/>
          <w:i w:val="0"/>
        </w:rPr>
        <w:t xml:space="preserve"> in the closing summary should remain: Ficino’s rhetoric of range is not an unrestricted claim that the soul can produce absolutely any effect whatsoever.</w:t>
      </w:r>
    </w:p>
    <w:p>
      <w:pPr>
        <w:keepNext/>
        <w:widowControl/>
      </w:pPr>
      <w:r>
        <w:rPr>
          <w:b/>
          <w:i w:val="0"/>
        </w:rPr>
        <w:t>See also.</w:t>
      </w:r>
    </w:p>
    <w:p>
      <w:pPr>
        <w:widowControl/>
      </w:pPr>
      <w:hyperlink w:anchor="elements-conjunction-and-inward-orderer">
        <w:r>
          <w:rPr>
            <w:color w:val="000000"/>
          </w:rPr>
          <w:t xml:space="preserve">Elements, conjunction and the inward orderer</w:t>
        </w:r>
      </w:hyperlink>
      <w:r>
        <w:rPr>
          <w:b w:val="0"/>
          <w:i w:val="0"/>
        </w:rPr>
        <w:t xml:space="preserve">; </w:t>
      </w:r>
      <w:hyperlink w:anchor="exemplars-of-bodily-motion-in-soul">
        <w:r>
          <w:rPr>
            <w:color w:val="000000"/>
          </w:rPr>
          <w:t xml:space="preserve">Exemplars of bodily motion in soul</w:t>
        </w:r>
      </w:hyperlink>
    </w:p>
    <w:p>
      <w:pPr>
        <w:pStyle w:val="Heading2"/>
      </w:pPr>
      <w:bookmarkStart w:id="113" w:name="conversion-desire-and-compulsion"/>
      <w:r>
        <w:rPr>
          <w:b w:val="0"/>
          <w:i w:val="0"/>
        </w:rPr>
        <w:t>Conversion, desire and compulsion</w:t>
      </w:r>
      <w:bookmarkEnd w:id="113"/>
    </w:p>
    <w:p>
      <w:pPr>
        <w:keepNext/>
        <w:widowControl/>
      </w:pPr>
      <w:r>
        <w:rPr>
          <w:b/>
          <w:i w:val="0"/>
        </w:rPr>
        <w:t>Latin:</w:t>
      </w:r>
      <w:r>
        <w:rPr>
          <w:b w:val="0"/>
          <w:i w:val="0"/>
        </w:rPr>
        <w:t xml:space="preserve"> </w:t>
      </w:r>
      <w:r>
        <w:rPr>
          <w:b w:val="0"/>
          <w:i/>
        </w:rPr>
        <w:t>converti</w:t>
      </w:r>
      <w:r>
        <w:rPr>
          <w:b w:val="0"/>
          <w:i w:val="0"/>
        </w:rPr>
        <w:t xml:space="preserve">; </w:t>
      </w:r>
      <w:r>
        <w:rPr>
          <w:b w:val="0"/>
          <w:i/>
        </w:rPr>
        <w:t>commutari</w:t>
      </w:r>
      <w:r>
        <w:rPr>
          <w:b w:val="0"/>
          <w:i w:val="0"/>
        </w:rPr>
        <w:t xml:space="preserve">; </w:t>
      </w:r>
      <w:r>
        <w:rPr>
          <w:b w:val="0"/>
          <w:i/>
        </w:rPr>
        <w:t>voluntas</w:t>
      </w:r>
      <w:r>
        <w:rPr>
          <w:b w:val="0"/>
          <w:i w:val="0"/>
        </w:rPr>
        <w:t xml:space="preserve">; </w:t>
      </w:r>
      <w:r>
        <w:rPr>
          <w:b w:val="0"/>
          <w:i/>
        </w:rPr>
        <w:t>appetitus</w:t>
      </w:r>
      <w:r>
        <w:rPr>
          <w:b w:val="0"/>
          <w:i w:val="0"/>
        </w:rPr>
        <w:t xml:space="preserve">; </w:t>
      </w:r>
      <w:r>
        <w:rPr>
          <w:b w:val="0"/>
          <w:i/>
        </w:rPr>
        <w:t>cupiditas</w:t>
      </w:r>
      <w:r>
        <w:rPr>
          <w:b w:val="0"/>
          <w:i w:val="0"/>
        </w:rPr>
        <w:t xml:space="preserve">; </w:t>
      </w:r>
      <w:r>
        <w:rPr>
          <w:b w:val="0"/>
          <w:i/>
        </w:rPr>
        <w:t>cogere</w:t>
      </w:r>
      <w:r>
        <w:rPr>
          <w:b w:val="0"/>
          <w:i w:val="0"/>
        </w:rPr>
        <w:t xml:space="preserve">; </w:t>
      </w:r>
      <w:r>
        <w:rPr>
          <w:b w:val="0"/>
          <w:i/>
        </w:rPr>
        <w:t>potestas</w:t>
      </w:r>
      <w:r>
        <w:rPr>
          <w:b w:val="0"/>
          <w:i w:val="0"/>
        </w:rPr>
        <w:t xml:space="preserve">; </w:t>
      </w:r>
      <w:r>
        <w:rPr>
          <w:b w:val="0"/>
          <w:i/>
        </w:rPr>
        <w:t>consulere</w:t>
      </w:r>
      <w:r>
        <w:rPr>
          <w:b w:val="0"/>
          <w:i w:val="0"/>
        </w:rPr>
        <w:t xml:space="preserve">; </w:t>
      </w:r>
      <w:r>
        <w:rPr>
          <w:b w:val="0"/>
          <w:i/>
        </w:rPr>
        <w:t>imperare</w:t>
      </w:r>
    </w:p>
    <w:p>
      <w:pPr>
        <w:keepNext/>
        <w:widowControl/>
      </w:pPr>
      <w:r>
        <w:rPr>
          <w:b/>
          <w:i w:val="0"/>
        </w:rPr>
        <w:t>The word.</w:t>
      </w:r>
    </w:p>
    <w:p>
      <w:pPr>
        <w:widowControl/>
      </w:pPr>
      <w:r>
        <w:rPr>
          <w:b w:val="0"/>
          <w:i w:val="0"/>
        </w:rPr>
        <w:t>Converti and commutari can mean changing into something else, not simply changing one’s mind. Appetitus and cupiditas name directed desire; voluntas willing. Cogere is compelling, potestas power or control, consulere caring for, and imperare commanding.</w:t>
      </w:r>
    </w:p>
    <w:p>
      <w:pPr>
        <w:keepNext/>
        <w:widowControl/>
      </w:pPr>
      <w:r>
        <w:rPr>
          <w:b/>
          <w:i w:val="0"/>
        </w:rPr>
        <w:t>In the Platonic Theology.</w:t>
      </w:r>
    </w:p>
    <w:p>
      <w:pPr>
        <w:widowControl/>
      </w:pPr>
      <w:r>
        <w:rPr>
          <w:b w:val="0"/>
          <w:i w:val="0"/>
        </w:rPr>
        <w:t>At V.15.19 Ficino returns explicitly to Augustine and opens a question the preceding survival arguments do not yet answer: could mind avoid annihilation but become an inferior essence, such as body? The purpose is to protect determinate rational life, not merely insist that something remains after death.</w:t>
      </w:r>
    </w:p>
    <w:p>
      <w:pPr>
        <w:widowControl/>
      </w:pPr>
      <w:r>
        <w:rPr>
          <w:b w:val="0"/>
          <w:i w:val="0"/>
        </w:rPr>
        <w:t>The opening qualification is a useful model of Ficino’s argumentative discipline. He grants that someone might reasonably think the earlier proof excludes only reduction to nothing. A lower surviving substance would escape that conclusion while forfeiting rational life. The closing pages must therefore secure the identity and rank of what survives. His distinction between necessary and sufficient conditions shows that the willing/compulsion division is only a test of possible routes, not an assertion that any sufficiently intense desire could actually transform a mind into a body.</w:t>
      </w:r>
    </w:p>
    <w:p>
      <w:pPr>
        <w:widowControl/>
      </w:pPr>
      <w:r>
        <w:rPr>
          <w:b w:val="0"/>
          <w:i w:val="0"/>
        </w:rPr>
        <w:t>The argument about desire is equally specific. Desires directed toward body are analyzed as actions upon or for it: possessing, vivifying, fashioning and caring. A body could be an object of each act without being the subject that performs it. If the agent became mere body, it would lose the superior activity by which the desired relation was to be achieved. Ficino extends this through introspection to acting, knowing, sensing and, at minimum, living. He is not claiming that no one ever speaks of wanting to be an animal or an object. He is identifying what he takes to be the active good implicitly sought by a rational appetite.</w:t>
      </w:r>
    </w:p>
    <w:p>
      <w:pPr>
        <w:widowControl/>
      </w:pPr>
      <w:r>
        <w:rPr>
          <w:b w:val="0"/>
          <w:i w:val="0"/>
        </w:rPr>
        <w:t>The compulsory route is branched rather than dismissed in one sentence. The proposed cause must be stronger than its target. A body cannot outrank rational soul on the hierarchy already assumed. A stronger soul can exercise leverage only where the weaker soul’s desires make it subject, and a transformation eliminating all desire cannot satisfy that dependence. The would-be ruler’s own purpose also fails: care seeks the other’s good, while malicious dominion seeks control over a mind, a more valuable object of rule than a body.</w:t>
      </w:r>
    </w:p>
    <w:p>
      <w:pPr>
        <w:widowControl/>
      </w:pPr>
      <w:r>
        <w:rPr>
          <w:b w:val="0"/>
          <w:i w:val="0"/>
        </w:rPr>
        <w:t>V.15.22 then separates a disembodied compeller from an embodied one and, within the latter case, an embodied target from a released target. Ficino’s premises about disembodied goodness and superiority to bodily coercion must remain visible; they are not demonstrated anew in this paragraph. The conclusion about what is above rational soul being divine supplies a final appeal to benevolent action. This is why the account should not be detached as universal social psychology about interpersonal force.</w:t>
      </w:r>
    </w:p>
    <w:p>
      <w:pPr>
        <w:widowControl/>
      </w:pPr>
      <w:r>
        <w:rPr>
          <w:b w:val="0"/>
          <w:i w:val="0"/>
        </w:rPr>
        <w:t>The next two tests address weaknesses the division might leave. Sleep seems to overcome a person involuntarily, but only closes bodily sensation and does not abolish the truth accessible within a dream. More fundamentally, the final mediation proof argues that soul’s conversion into body would require removing the form by which body can be produced. These are distinct arguments converging upon determinate continued life, rather than repetitions of the bare claim that nothing becomes nothing.</w:t>
      </w:r>
    </w:p>
    <w:p>
      <w:pPr>
        <w:keepNext/>
        <w:widowControl/>
      </w:pPr>
      <w:r>
        <w:rPr>
          <w:b/>
          <w:i w:val="0"/>
        </w:rPr>
        <w:t>Places to Read.</w:t>
      </w:r>
    </w:p>
    <w:p>
      <w:pPr>
        <w:ind w:left="187" w:hanging="187"/>
      </w:pPr>
      <w:r>
        <w:t xml:space="preserve">• </w:t>
      </w:r>
      <w:r>
        <w:rPr>
          <w:b/>
          <w:i w:val="0"/>
        </w:rPr>
        <w:t>V.15.19, V.15.20, PDF 116–117.</w:t>
      </w:r>
      <w:r>
        <w:rPr>
          <w:b w:val="0"/>
          <w:i w:val="0"/>
        </w:rPr>
        <w:t xml:space="preserve"> Nonannihilation is distinguished from identity preservation, and necessary from sufficient conditions.</w:t>
      </w:r>
    </w:p>
    <w:p>
      <w:pPr>
        <w:ind w:left="187" w:hanging="187"/>
      </w:pPr>
      <w:r>
        <w:t xml:space="preserve">• </w:t>
      </w:r>
      <w:r>
        <w:rPr>
          <w:b/>
          <w:i w:val="0"/>
        </w:rPr>
        <w:t>V.15.21, V.15.22, PDF 118–119.</w:t>
      </w:r>
      <w:r>
        <w:rPr>
          <w:b w:val="0"/>
          <w:i w:val="0"/>
        </w:rPr>
        <w:t xml:space="preserve"> Desire and coercion are tested against the proposed conversion.</w:t>
      </w:r>
    </w:p>
    <w:p>
      <w:pPr>
        <w:ind w:left="187" w:hanging="187"/>
      </w:pPr>
      <w:r>
        <w:t xml:space="preserve">• </w:t>
      </w:r>
      <w:r>
        <w:rPr>
          <w:b/>
          <w:i w:val="0"/>
        </w:rPr>
        <w:t>V.15.23, V.15.25, V.15.26, V.15.27, PDF 120–125.</w:t>
      </w:r>
      <w:r>
        <w:rPr>
          <w:b w:val="0"/>
          <w:i w:val="0"/>
        </w:rPr>
        <w:t xml:space="preserve"> Sleep and natural mediation provide the final related tests.</w:t>
      </w:r>
    </w:p>
    <w:p>
      <w:pPr>
        <w:keepNext/>
        <w:widowControl/>
      </w:pPr>
      <w:r>
        <w:rPr>
          <w:b/>
          <w:i w:val="0"/>
        </w:rPr>
        <w:t>In this edition.</w:t>
      </w:r>
    </w:p>
    <w:p>
      <w:pPr>
        <w:widowControl/>
      </w:pPr>
      <w:r>
        <w:rPr>
          <w:b w:val="0"/>
          <w:i w:val="0"/>
        </w:rPr>
        <w:t>The source’s solutus at V.15.22 means freed from bodily subjection in this argument, not dissolved into nonexistence. The chapter invokes Augustine and then returns to him by name; this companion treats the reasoning as Ficino’s Augustinian presentation without claiming independent textual collation.</w:t>
      </w:r>
    </w:p>
    <w:p>
      <w:pPr>
        <w:keepNext/>
        <w:widowControl/>
      </w:pPr>
      <w:r>
        <w:rPr>
          <w:b/>
          <w:i w:val="0"/>
        </w:rPr>
        <w:t>See also.</w:t>
      </w:r>
    </w:p>
    <w:p>
      <w:pPr>
        <w:widowControl/>
      </w:pPr>
      <w:hyperlink w:anchor="sleep-and-dreams">
        <w:r>
          <w:rPr>
            <w:color w:val="000000"/>
          </w:rPr>
          <w:t xml:space="preserve">Sleep and dreams</w:t>
        </w:r>
      </w:hyperlink>
      <w:r>
        <w:rPr>
          <w:b w:val="0"/>
          <w:i w:val="0"/>
        </w:rPr>
        <w:t xml:space="preserve">; </w:t>
      </w:r>
      <w:hyperlink w:anchor="transmission-of-form-and-natural-order">
        <w:r>
          <w:rPr>
            <w:color w:val="000000"/>
          </w:rPr>
          <w:t xml:space="preserve">Transmission of form and natural order</w:t>
        </w:r>
      </w:hyperlink>
      <w:r>
        <w:rPr>
          <w:b w:val="0"/>
          <w:i w:val="0"/>
        </w:rPr>
        <w:t xml:space="preserve">; </w:t>
      </w:r>
      <w:hyperlink w:anchor="generation-corruption-and-annihilation">
        <w:r>
          <w:rPr>
            <w:color w:val="000000"/>
          </w:rPr>
          <w:t xml:space="preserve">Generation, corruption and annihilation</w:t>
        </w:r>
      </w:hyperlink>
    </w:p>
    <w:p>
      <w:pPr>
        <w:pStyle w:val="Heading2"/>
      </w:pPr>
      <w:bookmarkStart w:id="114" w:name="corporeal-soul-and-elemental-doxography"/>
      <w:r>
        <w:rPr>
          <w:b w:val="0"/>
          <w:i w:val="0"/>
        </w:rPr>
        <w:t>Corporeal soul and elemental doxography</w:t>
      </w:r>
      <w:bookmarkEnd w:id="114"/>
    </w:p>
    <w:p>
      <w:pPr>
        <w:keepNext/>
        <w:widowControl/>
      </w:pPr>
      <w:r>
        <w:rPr>
          <w:b/>
          <w:i w:val="0"/>
        </w:rPr>
        <w:t>Latin:</w:t>
      </w:r>
      <w:r>
        <w:rPr>
          <w:b w:val="0"/>
          <w:i w:val="0"/>
        </w:rPr>
        <w:t xml:space="preserve"> </w:t>
      </w:r>
      <w:r>
        <w:rPr>
          <w:b w:val="0"/>
          <w:i/>
        </w:rPr>
        <w:t>corpusculum</w:t>
      </w:r>
      <w:r>
        <w:rPr>
          <w:b w:val="0"/>
          <w:i w:val="0"/>
        </w:rPr>
        <w:t xml:space="preserve">; </w:t>
      </w:r>
      <w:r>
        <w:rPr>
          <w:b w:val="0"/>
          <w:i/>
        </w:rPr>
        <w:t>tenuissimum</w:t>
      </w:r>
      <w:r>
        <w:rPr>
          <w:b w:val="0"/>
          <w:i w:val="0"/>
        </w:rPr>
        <w:t xml:space="preserve">; </w:t>
      </w:r>
      <w:r>
        <w:rPr>
          <w:b w:val="0"/>
          <w:i/>
        </w:rPr>
        <w:t>suffusum</w:t>
      </w:r>
      <w:r>
        <w:rPr>
          <w:b w:val="0"/>
          <w:i w:val="0"/>
        </w:rPr>
        <w:t xml:space="preserve">; </w:t>
      </w:r>
      <w:r>
        <w:rPr>
          <w:b w:val="0"/>
          <w:i/>
        </w:rPr>
        <w:t>igneum</w:t>
      </w:r>
      <w:r>
        <w:rPr>
          <w:b w:val="0"/>
          <w:i w:val="0"/>
        </w:rPr>
        <w:t xml:space="preserve">; </w:t>
      </w:r>
      <w:r>
        <w:rPr>
          <w:b w:val="0"/>
          <w:i/>
        </w:rPr>
        <w:t>aereum</w:t>
      </w:r>
      <w:r>
        <w:rPr>
          <w:b w:val="0"/>
          <w:i w:val="0"/>
        </w:rPr>
        <w:t xml:space="preserve">; </w:t>
      </w:r>
      <w:r>
        <w:rPr>
          <w:b w:val="0"/>
          <w:i/>
        </w:rPr>
        <w:t>aqueum</w:t>
      </w:r>
      <w:r>
        <w:rPr>
          <w:b w:val="0"/>
          <w:i w:val="0"/>
        </w:rPr>
        <w:t xml:space="preserve">; </w:t>
      </w:r>
      <w:r>
        <w:rPr>
          <w:b w:val="0"/>
          <w:i/>
        </w:rPr>
        <w:t>terreum</w:t>
      </w:r>
    </w:p>
    <w:p>
      <w:pPr>
        <w:keepNext/>
        <w:widowControl/>
      </w:pPr>
      <w:r>
        <w:rPr>
          <w:b/>
          <w:i w:val="0"/>
        </w:rPr>
        <w:t>The word.</w:t>
      </w:r>
    </w:p>
    <w:p>
      <w:pPr>
        <w:widowControl/>
      </w:pPr>
      <w:r>
        <w:rPr>
          <w:b w:val="0"/>
          <w:i w:val="0"/>
        </w:rPr>
        <w:t>Corpusculum is a little body; tenuis describes physical fineness or subtlety, not incorporeality. Suffundere pictures such a body diffused through a coarser one. The elemental adjectives specify what the hypothesized soul-body is made of.</w:t>
      </w:r>
    </w:p>
    <w:p>
      <w:pPr>
        <w:keepNext/>
        <w:widowControl/>
      </w:pPr>
      <w:r>
        <w:rPr>
          <w:b/>
          <w:i w:val="0"/>
        </w:rPr>
        <w:t>In the Platonic Theology.</w:t>
      </w:r>
    </w:p>
    <w:p>
      <w:pPr>
        <w:widowControl/>
      </w:pPr>
      <w:r>
        <w:rPr>
          <w:b w:val="0"/>
          <w:i w:val="0"/>
        </w:rPr>
        <w:t>The first theory makes soul an exceedingly subtle body permeating the visible body. Ficino’s catalogue attributes fire to Democritus, Leucippus and Hipparchus; air to Anaximenes, Diogenes of Apollonia and Critias; water to Hippias; earth to Hesiod and Pronopides; fire and air to Boethus and Epicurus; and water and earth to Xenophantes. These are Ficino’s reported associations, not independently authenticated ancient quotations. They must not be repaired into a modern doxography without evidence.</w:t>
      </w:r>
    </w:p>
    <w:p>
      <w:pPr>
        <w:widowControl/>
      </w:pPr>
      <w:r>
        <w:rPr>
          <w:b w:val="0"/>
          <w:i w:val="0"/>
        </w:rPr>
        <w:t>The subsequent arguments repeatedly concede subtlety to the opponent. Dense matter cannot readily penetrate the organs, but rarefied fire or air still leaves the question why this body gives life. If fire as fire were soul, every fire would be alive. A proposed fifth subtle body outside the four elements merely repeats the same explanatory problem. At the end of the book subtlety turns against the hypothesis: a soul-body light enough to spread through the organs would, on Ficino’s physical assumptions, be exceptionally fleeting and unable to preserve memory.</w:t>
      </w:r>
    </w:p>
    <w:p>
      <w:pPr>
        <w:keepNext/>
        <w:widowControl/>
      </w:pPr>
      <w:r>
        <w:rPr>
          <w:b/>
          <w:i w:val="0"/>
        </w:rPr>
        <w:t>Places to Read.</w:t>
      </w:r>
    </w:p>
    <w:p>
      <w:pPr>
        <w:ind w:left="187" w:hanging="187"/>
      </w:pPr>
      <w:r>
        <w:t xml:space="preserve">• </w:t>
      </w:r>
      <w:r>
        <w:rPr>
          <w:b/>
          <w:i w:val="0"/>
        </w:rPr>
        <w:t>VI.1.2; source PDF pp. 128, 129</w:t>
      </w:r>
      <w:r>
        <w:rPr>
          <w:b w:val="0"/>
          <w:i w:val="0"/>
        </w:rPr>
        <w:t>. The elemental theories are enumerated as the first rejected position.</w:t>
      </w:r>
    </w:p>
    <w:p>
      <w:pPr>
        <w:ind w:left="187" w:hanging="187"/>
      </w:pPr>
      <w:r>
        <w:t xml:space="preserve">• </w:t>
      </w:r>
      <w:r>
        <w:rPr>
          <w:b/>
          <w:i w:val="0"/>
        </w:rPr>
        <w:t>VI.6.1, VI.6.2, VI.6.3; source PDF pp. 178, 179</w:t>
      </w:r>
      <w:r>
        <w:rPr>
          <w:b w:val="0"/>
          <w:i w:val="0"/>
        </w:rPr>
        <w:t>. Density, rarity and a fifth body are tested without treating subtle matter as spirit.</w:t>
      </w:r>
    </w:p>
    <w:p>
      <w:pPr>
        <w:ind w:left="187" w:hanging="187"/>
      </w:pPr>
      <w:r>
        <w:t xml:space="preserve">• </w:t>
      </w:r>
      <w:r>
        <w:rPr>
          <w:b/>
          <w:i w:val="0"/>
        </w:rPr>
        <w:t>VI.13.7; source PDF pp. 224, 225</w:t>
      </w:r>
      <w:r>
        <w:rPr>
          <w:b w:val="0"/>
          <w:i w:val="0"/>
        </w:rPr>
        <w:t>. The opponent’s subtle body becomes the unstable breath of the memory reductio.</w:t>
      </w:r>
    </w:p>
    <w:p>
      <w:pPr>
        <w:keepNext/>
        <w:widowControl/>
      </w:pPr>
      <w:r>
        <w:rPr>
          <w:b/>
          <w:i w:val="0"/>
        </w:rPr>
        <w:t>In this edition.</w:t>
      </w:r>
    </w:p>
    <w:p>
      <w:pPr>
        <w:widowControl/>
      </w:pPr>
      <w:r>
        <w:rPr>
          <w:b w:val="0"/>
          <w:i w:val="0"/>
        </w:rPr>
        <w:t xml:space="preserve">The diminutive </w:t>
      </w:r>
      <w:r>
        <w:t>“</w:t>
      </w:r>
      <w:r>
        <w:rPr>
          <w:b w:val="0"/>
          <w:i w:val="0"/>
        </w:rPr>
        <w:t>little body</w:t>
      </w:r>
      <w:r>
        <w:t>”</w:t>
      </w:r>
      <w:r>
        <w:rPr>
          <w:b w:val="0"/>
          <w:i w:val="0"/>
        </w:rPr>
        <w:t xml:space="preserve"> matters: it marks the proposed hidden bodily constituent, not an affectionate name for the visible person. Xenophantes in VI.1.2 and Xenophanes Colophonius in VI.1.5 are different printed names and are not silently merged. Natural claims here belong to the historical argument.</w:t>
      </w:r>
    </w:p>
    <w:p>
      <w:pPr>
        <w:keepNext/>
        <w:widowControl/>
      </w:pPr>
      <w:r>
        <w:rPr>
          <w:b/>
          <w:i w:val="0"/>
        </w:rPr>
        <w:t>See also.</w:t>
      </w:r>
    </w:p>
    <w:p>
      <w:pPr>
        <w:widowControl/>
      </w:pPr>
      <w:hyperlink w:anchor="dense-subtle-and-fifth-body">
        <w:r>
          <w:rPr>
            <w:color w:val="000000"/>
          </w:rPr>
          <w:t xml:space="preserve">Dense and subtle bodies</w:t>
        </w:r>
      </w:hyperlink>
      <w:r>
        <w:rPr>
          <w:b w:val="0"/>
          <w:i w:val="0"/>
        </w:rPr>
        <w:t xml:space="preserve">; </w:t>
      </w:r>
      <w:hyperlink w:anchor="persistence-memory-and-recognition">
        <w:r>
          <w:rPr>
            <w:color w:val="000000"/>
          </w:rPr>
          <w:t xml:space="preserve">Persistence, memory and recognition</w:t>
        </w:r>
      </w:hyperlink>
    </w:p>
    <w:p>
      <w:pPr>
        <w:pStyle w:val="Heading2"/>
      </w:pPr>
      <w:bookmarkStart w:id="115" w:name="creation-and-generation"/>
      <w:r>
        <w:rPr>
          <w:b w:val="0"/>
          <w:i w:val="0"/>
        </w:rPr>
        <w:t>Creation and generation</w:t>
      </w:r>
      <w:bookmarkEnd w:id="115"/>
    </w:p>
    <w:p>
      <w:pPr>
        <w:keepNext/>
        <w:widowControl/>
      </w:pPr>
      <w:r>
        <w:rPr>
          <w:b/>
          <w:i w:val="0"/>
        </w:rPr>
        <w:t>Latin:</w:t>
      </w:r>
      <w:r>
        <w:rPr>
          <w:b w:val="0"/>
          <w:i w:val="0"/>
        </w:rPr>
        <w:t xml:space="preserve"> </w:t>
      </w:r>
      <w:r>
        <w:rPr>
          <w:b w:val="0"/>
          <w:i/>
        </w:rPr>
        <w:t>creatio</w:t>
      </w:r>
      <w:r>
        <w:rPr>
          <w:b w:val="0"/>
          <w:i w:val="0"/>
        </w:rPr>
        <w:t xml:space="preserve">; </w:t>
      </w:r>
      <w:r>
        <w:rPr>
          <w:b w:val="0"/>
          <w:i/>
        </w:rPr>
        <w:t>creare</w:t>
      </w:r>
      <w:r>
        <w:rPr>
          <w:b w:val="0"/>
          <w:i w:val="0"/>
        </w:rPr>
        <w:t xml:space="preserve">; </w:t>
      </w:r>
      <w:r>
        <w:rPr>
          <w:b w:val="0"/>
          <w:i/>
        </w:rPr>
        <w:t>ex nihilo</w:t>
      </w:r>
      <w:r>
        <w:rPr>
          <w:b w:val="0"/>
          <w:i w:val="0"/>
        </w:rPr>
        <w:t xml:space="preserve">; </w:t>
      </w:r>
      <w:r>
        <w:rPr>
          <w:b w:val="0"/>
          <w:i/>
        </w:rPr>
        <w:t>generare</w:t>
      </w:r>
      <w:r>
        <w:rPr>
          <w:b w:val="0"/>
          <w:i w:val="0"/>
        </w:rPr>
        <w:t xml:space="preserve">; </w:t>
      </w:r>
      <w:r>
        <w:rPr>
          <w:b w:val="0"/>
          <w:i/>
        </w:rPr>
        <w:t>procreare</w:t>
      </w:r>
      <w:r>
        <w:rPr>
          <w:b w:val="0"/>
          <w:i w:val="0"/>
        </w:rPr>
        <w:t xml:space="preserve">; </w:t>
      </w:r>
      <w:r>
        <w:rPr>
          <w:b w:val="0"/>
          <w:i/>
        </w:rPr>
        <w:t>producere in esse</w:t>
      </w:r>
      <w:r>
        <w:rPr>
          <w:b w:val="0"/>
          <w:i w:val="0"/>
        </w:rPr>
        <w:t xml:space="preserve">; </w:t>
      </w:r>
      <w:r>
        <w:rPr>
          <w:b w:val="0"/>
          <w:i/>
        </w:rPr>
        <w:t>auctor</w:t>
      </w:r>
      <w:r>
        <w:rPr>
          <w:b w:val="0"/>
          <w:i w:val="0"/>
        </w:rPr>
        <w:t xml:space="preserve">; </w:t>
      </w:r>
      <w:r>
        <w:rPr>
          <w:b w:val="0"/>
          <w:i/>
        </w:rPr>
        <w:t>conditor</w:t>
      </w:r>
    </w:p>
    <w:p>
      <w:pPr>
        <w:keepNext/>
        <w:widowControl/>
      </w:pPr>
      <w:r>
        <w:rPr>
          <w:b/>
          <w:i w:val="0"/>
        </w:rPr>
        <w:t>The word.</w:t>
      </w:r>
    </w:p>
    <w:p>
      <w:pPr>
        <w:widowControl/>
      </w:pPr>
      <w:r>
        <w:rPr>
          <w:b w:val="0"/>
          <w:i w:val="0"/>
        </w:rPr>
        <w:t>Creatio here is production from nothing, without preexisting material subject. Generare and procreare can more broadly name bringing forth, and their presence alone does not settle whether the act is creation. Ex nihilo does not make nothingness a material ingredient.</w:t>
      </w:r>
    </w:p>
    <w:p>
      <w:pPr>
        <w:keepNext/>
        <w:widowControl/>
      </w:pPr>
      <w:r>
        <w:rPr>
          <w:b/>
          <w:i w:val="0"/>
        </w:rPr>
        <w:t>In the Platonic Theology.</w:t>
      </w:r>
    </w:p>
    <w:p>
      <w:pPr>
        <w:widowControl/>
      </w:pPr>
      <w:r>
        <w:rPr>
          <w:b w:val="0"/>
          <w:i w:val="0"/>
        </w:rPr>
        <w:t>V.12 first concludes that soul, neither assembled from parts nor drawn from matter, comes from nothing. Its prior possibility belongs to the creator’s active power rather than to a nonexistent part of soul or a supposed substrate called nothingness. V.13 develops this claim through several independent causal considerations and a sustained objection about angelic mediation.</w:t>
      </w:r>
    </w:p>
    <w:p>
      <w:pPr>
        <w:widowControl/>
      </w:pPr>
      <w:r>
        <w:rPr>
          <w:b w:val="0"/>
          <w:i w:val="0"/>
        </w:rPr>
        <w:t>The opening preference in V.13.1 should remain separate from the subsequent arguments. Ficino does not say that Plotinus and Proclus are non-Platonists or reject everything they teach. He contrasts one particular account of soul’s origin with the view he chooses to follow. The soul’s lack of parts excludes assembling preexisting elements; its superiority to matter excludes drawing it from an unformed material resource. Ex nihilo names the absence of both routes. Nothingness contributes no seed and supplies no hidden stuff.</w:t>
      </w:r>
    </w:p>
    <w:p>
      <w:pPr>
        <w:widowControl/>
      </w:pPr>
      <w:r>
        <w:rPr>
          <w:b w:val="0"/>
          <w:i w:val="0"/>
        </w:rPr>
        <w:t xml:space="preserve">The common-effect proof uses the explanatory order of gifts. A thing must be in order to be this or that, and so the gift common to every particular mode is assigned to the first common source. </w:t>
      </w:r>
      <w:r>
        <w:t>“</w:t>
      </w:r>
      <w:r>
        <w:rPr>
          <w:b w:val="0"/>
          <w:i w:val="0"/>
        </w:rPr>
        <w:t>After nothing</w:t>
      </w:r>
      <w:r>
        <w:t>”</w:t>
      </w:r>
      <w:r>
        <w:rPr>
          <w:b w:val="0"/>
          <w:i w:val="0"/>
        </w:rPr>
        <w:t xml:space="preserve"> and </w:t>
      </w:r>
      <w:r>
        <w:t>“</w:t>
      </w:r>
      <w:r>
        <w:rPr>
          <w:b w:val="0"/>
          <w:i w:val="0"/>
        </w:rPr>
        <w:t>before modes</w:t>
      </w:r>
      <w:r>
        <w:t>”</w:t>
      </w:r>
      <w:r>
        <w:rPr>
          <w:b w:val="0"/>
          <w:i w:val="0"/>
        </w:rPr>
        <w:t xml:space="preserve"> need not be temporal stages in which a shapeless entity exists for a while and later becomes a human. They identify what every determinate creation presupposes. Secondary agents remain real causes of determination, but the text repeatedly adds that they act by divine power. A parent’s causation and God’s causation therefore answer different questions rather than competing to perform one interchangeable task.</w:t>
      </w:r>
    </w:p>
    <w:p>
      <w:pPr>
        <w:widowControl/>
      </w:pPr>
      <w:r>
        <w:rPr>
          <w:b w:val="0"/>
          <w:i w:val="0"/>
        </w:rPr>
        <w:t>The power argument takes a different route. A sculptor’s stone is already prepared; seed already has the capacity for its natural offspring; air is nearer to fire than water is within the elemental theory. An agent’s task grows with the gap between the starting potency and the intended act. Nothing has no proportion to being, and Ficino calls that gap infinite. His conclusion requires both this scale of power and the absence of any finite measure for nothing-to-being. It is not established simply by attaching the adjective infinite to the word distance.</w:t>
      </w:r>
    </w:p>
    <w:p>
      <w:pPr>
        <w:widowControl/>
      </w:pPr>
      <w:r>
        <w:rPr>
          <w:b w:val="0"/>
          <w:i w:val="0"/>
        </w:rPr>
        <w:t>Finally, created structure rules out delegating the task to a creature. This is why the chapter spends so long distinguishing essence, being, power and action: the conclusion about creation rests on the inherent limitation of the operative power, not merely on a conventional title reserved for God. The instrument proposal is then a real attempted escape. God could remain the principal agent while angel served as instrument, but the proposal imports material subject, movement and time and also confines the divine power in a finite recipient. Ficino rejects both mechanisms.</w:t>
      </w:r>
    </w:p>
    <w:p>
      <w:pPr>
        <w:widowControl/>
      </w:pPr>
      <w:r>
        <w:rPr>
          <w:b w:val="0"/>
          <w:i w:val="0"/>
        </w:rPr>
        <w:t>The conservation conclusion preserves the product rather than abolishing its distinctness. God keeps what he creates through the same power by which he creates it. Immediate dependence makes soul stable without making it identical with God, just as different Ideas explain why immediate angel and immediate soul need not be equal. The final either/or about beginning and end is particularly important: endless duration is the necessary conclusion of this passage, not the assertion that a created personal soul existed eternally before its appearance.</w:t>
      </w:r>
    </w:p>
    <w:p>
      <w:pPr>
        <w:keepNext/>
        <w:widowControl/>
      </w:pPr>
      <w:r>
        <w:rPr>
          <w:b/>
          <w:i w:val="0"/>
        </w:rPr>
        <w:t>Places to Read.</w:t>
      </w:r>
    </w:p>
    <w:p>
      <w:pPr>
        <w:ind w:left="187" w:hanging="187"/>
      </w:pPr>
      <w:r>
        <w:t xml:space="preserve">• </w:t>
      </w:r>
      <w:r>
        <w:rPr>
          <w:b/>
          <w:i w:val="0"/>
        </w:rPr>
        <w:t>V.12.7, V.12.8, V.12.9, V.12.10, PDF 72–73.</w:t>
      </w:r>
      <w:r>
        <w:rPr>
          <w:b w:val="0"/>
          <w:i w:val="0"/>
        </w:rPr>
        <w:t xml:space="preserve"> Soul’s origin is distinguished from material formation and its possibility located in God.</w:t>
      </w:r>
    </w:p>
    <w:p>
      <w:pPr>
        <w:ind w:left="187" w:hanging="187"/>
      </w:pPr>
      <w:r>
        <w:t xml:space="preserve">• </w:t>
      </w:r>
      <w:r>
        <w:rPr>
          <w:b/>
          <w:i w:val="0"/>
        </w:rPr>
        <w:t>V.13.1, V.13.2, V.13.3, V.13.4, V.13.5, V.13.6, PDF 78–83.</w:t>
      </w:r>
      <w:r>
        <w:rPr>
          <w:b w:val="0"/>
          <w:i w:val="0"/>
        </w:rPr>
        <w:t xml:space="preserve"> Common being, participation and infinite distance support divine creative exclusivity.</w:t>
      </w:r>
    </w:p>
    <w:p>
      <w:pPr>
        <w:ind w:left="187" w:hanging="187"/>
      </w:pPr>
      <w:r>
        <w:t xml:space="preserve">• </w:t>
      </w:r>
      <w:r>
        <w:rPr>
          <w:b/>
          <w:i w:val="0"/>
        </w:rPr>
        <w:t>V.13.7, V.13.13, V.13.14, V.13.15, V.13.16, PDF 84–89.</w:t>
      </w:r>
      <w:r>
        <w:rPr>
          <w:b w:val="0"/>
          <w:i w:val="0"/>
        </w:rPr>
        <w:t xml:space="preserve"> Creaturely limitation and the rejection of an angelic creative instrument.</w:t>
      </w:r>
    </w:p>
    <w:p>
      <w:pPr>
        <w:ind w:left="187" w:hanging="187"/>
      </w:pPr>
      <w:r>
        <w:t xml:space="preserve">• </w:t>
      </w:r>
      <w:r>
        <w:rPr>
          <w:b/>
          <w:i w:val="0"/>
        </w:rPr>
        <w:t>V.13.17, PDF 90–91.</w:t>
      </w:r>
      <w:r>
        <w:rPr>
          <w:b w:val="0"/>
          <w:i w:val="0"/>
        </w:rPr>
        <w:t xml:space="preserve"> A beginning remains compatible with endless preservation.</w:t>
      </w:r>
    </w:p>
    <w:p>
      <w:pPr>
        <w:keepNext/>
        <w:widowControl/>
      </w:pPr>
      <w:r>
        <w:rPr>
          <w:b/>
          <w:i w:val="0"/>
        </w:rPr>
        <w:t>In this edition.</w:t>
      </w:r>
    </w:p>
    <w:p>
      <w:pPr>
        <w:widowControl/>
      </w:pPr>
      <w:r>
        <w:rPr>
          <w:b w:val="0"/>
          <w:i w:val="0"/>
        </w:rPr>
        <w:t xml:space="preserve">The source’s </w:t>
      </w:r>
      <w:r>
        <w:t>“</w:t>
      </w:r>
      <w:r>
        <w:rPr>
          <w:b w:val="0"/>
          <w:i w:val="0"/>
        </w:rPr>
        <w:t>author,</w:t>
      </w:r>
      <w:r>
        <w:t>”</w:t>
      </w:r>
      <w:r>
        <w:rPr>
          <w:b w:val="0"/>
          <w:i w:val="0"/>
        </w:rPr>
        <w:t xml:space="preserve"> </w:t>
      </w:r>
      <w:r>
        <w:t>“</w:t>
      </w:r>
      <w:r>
        <w:rPr>
          <w:b w:val="0"/>
          <w:i w:val="0"/>
        </w:rPr>
        <w:t>maker,</w:t>
      </w:r>
      <w:r>
        <w:t>”</w:t>
      </w:r>
      <w:r>
        <w:rPr>
          <w:b w:val="0"/>
          <w:i w:val="0"/>
        </w:rPr>
        <w:t xml:space="preserve"> </w:t>
      </w:r>
      <w:r>
        <w:t>“</w:t>
      </w:r>
      <w:r>
        <w:rPr>
          <w:b w:val="0"/>
          <w:i w:val="0"/>
        </w:rPr>
        <w:t>creator</w:t>
      </w:r>
      <w:r>
        <w:t>”</w:t>
      </w:r>
      <w:r>
        <w:rPr>
          <w:b w:val="0"/>
          <w:i w:val="0"/>
        </w:rPr>
        <w:t xml:space="preserve"> and </w:t>
      </w:r>
      <w:r>
        <w:t>“</w:t>
      </w:r>
      <w:r>
        <w:rPr>
          <w:b w:val="0"/>
          <w:i w:val="0"/>
        </w:rPr>
        <w:t>fashioner</w:t>
      </w:r>
      <w:r>
        <w:t>”</w:t>
      </w:r>
      <w:r>
        <w:rPr>
          <w:b w:val="0"/>
          <w:i w:val="0"/>
        </w:rPr>
        <w:t xml:space="preserve"> follow several Latin nouns and should not be turned into four separate divine agents. V.13.15–16 divide a single interrogative sentence across source units, so neither should be read as a freestanding assertion.</w:t>
      </w:r>
    </w:p>
    <w:p>
      <w:pPr>
        <w:keepNext/>
        <w:widowControl/>
      </w:pPr>
      <w:r>
        <w:rPr>
          <w:b/>
          <w:i w:val="0"/>
        </w:rPr>
        <w:t>See also.</w:t>
      </w:r>
    </w:p>
    <w:p>
      <w:pPr>
        <w:widowControl/>
      </w:pPr>
      <w:hyperlink w:anchor="participation-common-and-proper">
        <w:r>
          <w:rPr>
            <w:color w:val="000000"/>
          </w:rPr>
          <w:t xml:space="preserve">Participation, common and proper</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creature-power-and-operation">
        <w:r>
          <w:rPr>
            <w:color w:val="000000"/>
          </w:rPr>
          <w:t xml:space="preserve">Creature, power and operation</w:t>
        </w:r>
      </w:hyperlink>
      <w:r>
        <w:rPr>
          <w:b w:val="0"/>
          <w:i w:val="0"/>
        </w:rPr>
        <w:t xml:space="preserve">; </w:t>
      </w:r>
      <w:hyperlink w:anchor="first-cause">
        <w:r>
          <w:rPr>
            <w:color w:val="000000"/>
          </w:rPr>
          <w:t xml:space="preserve">First Cause</w:t>
        </w:r>
      </w:hyperlink>
    </w:p>
    <w:p>
      <w:pPr>
        <w:pStyle w:val="Heading2"/>
      </w:pPr>
      <w:bookmarkStart w:id="116" w:name="creature-power-and-operation"/>
      <w:r>
        <w:rPr>
          <w:b w:val="0"/>
          <w:i w:val="0"/>
        </w:rPr>
        <w:t>Creature, power and operation</w:t>
      </w:r>
      <w:bookmarkEnd w:id="116"/>
    </w:p>
    <w:p>
      <w:pPr>
        <w:keepNext/>
        <w:widowControl/>
      </w:pPr>
      <w:r>
        <w:rPr>
          <w:b/>
          <w:i w:val="0"/>
        </w:rPr>
        <w:t>Latin:</w:t>
      </w:r>
      <w:r>
        <w:rPr>
          <w:b w:val="0"/>
          <w:i w:val="0"/>
        </w:rPr>
        <w:t xml:space="preserve"> </w:t>
      </w:r>
      <w:r>
        <w:rPr>
          <w:b w:val="0"/>
          <w:i/>
        </w:rPr>
        <w:t>creatura</w:t>
      </w:r>
      <w:r>
        <w:rPr>
          <w:b w:val="0"/>
          <w:i w:val="0"/>
        </w:rPr>
        <w:t xml:space="preserve">; </w:t>
      </w:r>
      <w:r>
        <w:rPr>
          <w:b w:val="0"/>
          <w:i/>
        </w:rPr>
        <w:t>essentia</w:t>
      </w:r>
      <w:r>
        <w:rPr>
          <w:b w:val="0"/>
          <w:i w:val="0"/>
        </w:rPr>
        <w:t xml:space="preserve">; </w:t>
      </w:r>
      <w:r>
        <w:rPr>
          <w:b w:val="0"/>
          <w:i/>
        </w:rPr>
        <w:t>esse</w:t>
      </w:r>
      <w:r>
        <w:rPr>
          <w:b w:val="0"/>
          <w:i w:val="0"/>
        </w:rPr>
        <w:t xml:space="preserve">; </w:t>
      </w:r>
      <w:r>
        <w:rPr>
          <w:b w:val="0"/>
          <w:i/>
        </w:rPr>
        <w:t>virtus</w:t>
      </w:r>
      <w:r>
        <w:rPr>
          <w:b w:val="0"/>
          <w:i w:val="0"/>
        </w:rPr>
        <w:t xml:space="preserve">; </w:t>
      </w:r>
      <w:r>
        <w:rPr>
          <w:b w:val="0"/>
          <w:i/>
        </w:rPr>
        <w:t>actio</w:t>
      </w:r>
      <w:r>
        <w:rPr>
          <w:b w:val="0"/>
          <w:i w:val="0"/>
        </w:rPr>
        <w:t xml:space="preserve">; </w:t>
      </w:r>
      <w:r>
        <w:rPr>
          <w:b w:val="0"/>
          <w:i/>
        </w:rPr>
        <w:t>operatio</w:t>
      </w:r>
      <w:r>
        <w:rPr>
          <w:b w:val="0"/>
          <w:i w:val="0"/>
        </w:rPr>
        <w:t xml:space="preserve">; </w:t>
      </w:r>
      <w:r>
        <w:rPr>
          <w:b w:val="0"/>
          <w:i/>
        </w:rPr>
        <w:t>potentia</w:t>
      </w:r>
      <w:r>
        <w:rPr>
          <w:b w:val="0"/>
          <w:i w:val="0"/>
        </w:rPr>
        <w:t xml:space="preserve">; </w:t>
      </w:r>
      <w:r>
        <w:rPr>
          <w:b w:val="0"/>
          <w:i/>
        </w:rPr>
        <w:t>accidens</w:t>
      </w:r>
      <w:r>
        <w:rPr>
          <w:b w:val="0"/>
          <w:i w:val="0"/>
        </w:rPr>
        <w:t xml:space="preserve">; </w:t>
      </w:r>
      <w:r>
        <w:rPr>
          <w:b w:val="0"/>
          <w:i/>
        </w:rPr>
        <w:t>qualitas</w:t>
      </w:r>
    </w:p>
    <w:p>
      <w:pPr>
        <w:keepNext/>
        <w:widowControl/>
      </w:pPr>
      <w:r>
        <w:rPr>
          <w:b/>
          <w:i w:val="0"/>
        </w:rPr>
        <w:t>The word.</w:t>
      </w:r>
    </w:p>
    <w:p>
      <w:pPr>
        <w:widowControl/>
      </w:pPr>
      <w:r>
        <w:rPr>
          <w:b w:val="0"/>
          <w:i w:val="0"/>
        </w:rPr>
        <w:t>Creatura is a creature, everything other than God. Virtus is effective power here, not primarily moral virtue. Operatio and actio name activity. The fourfold account distinguishes essence, being, power and action rather than listing four physical constituents.</w:t>
      </w:r>
    </w:p>
    <w:p>
      <w:pPr>
        <w:keepNext/>
        <w:widowControl/>
      </w:pPr>
      <w:r>
        <w:rPr>
          <w:b/>
          <w:i w:val="0"/>
        </w:rPr>
        <w:t>In the Platonic Theology.</w:t>
      </w:r>
    </w:p>
    <w:p>
      <w:pPr>
        <w:widowControl/>
      </w:pPr>
      <w:r>
        <w:rPr>
          <w:b w:val="0"/>
          <w:i w:val="0"/>
        </w:rPr>
        <w:t>V.13.7 describes four creaturely constituents: essence, being, power and action. Ficino attributes to Pythagoreans the qualified language of four elements even in spirits, then explains the distinctions rather than treating the number as self-evident. These are different explanatory terms within a creature, not four bodily ingredients or four independently existing substances. The staged questions lead to a specific conclusion about the limits of created agency.</w:t>
      </w:r>
    </w:p>
    <w:p>
      <w:pPr>
        <w:widowControl/>
      </w:pPr>
      <w:r>
        <w:rPr>
          <w:b w:val="0"/>
          <w:i w:val="0"/>
        </w:rPr>
        <w:t>The sequence of questions is worth following in full because no one distinction does all the work. First, essence differs from being: an essence receives the act of existence, and that reception bounds it. If no receiver other than act existed, act would be unrestricted, which belongs to God alone. Second, essence differs from operation: the essence must already be before operating, and operation cannot be an independently subsisting infinite act. Third, operation differs from being. Outward action makes the difference visible, but inward action needs a further explanation.</w:t>
      </w:r>
    </w:p>
    <w:p>
      <w:pPr>
        <w:widowControl/>
      </w:pPr>
      <w:r>
        <w:rPr>
          <w:b w:val="0"/>
          <w:i w:val="0"/>
        </w:rPr>
        <w:t>The inward case is the more demanding one. A human remains a being of one determinate species while understanding objects from many species. The being by which the person exists is therefore not the cognitive operation that assumes the objects’ intelligible determinations. Truth and good stretch at least as broadly as being, so understanding and enjoyment can in their objects range indefinitely. This range does not make the creature’s own existence infinite or transform it into each object physically. It shows that operation and the species-limited act of existence cannot simply be the same term.</w:t>
      </w:r>
    </w:p>
    <w:p>
      <w:pPr>
        <w:widowControl/>
      </w:pPr>
      <w:r>
        <w:rPr>
          <w:b w:val="0"/>
          <w:i w:val="0"/>
        </w:rPr>
        <w:t>Fourth, operation differs from power and essence as act differs from potency. Fifth, power differs from being because one is capacity and the other actuality. Sixth, power differs from essence because powers are distinguished through their own acts: being actualizes essence, operation actualizes operative power. The argument supplies the ordered relationships operation-in-power and power-and-being-in-essence. The four terms are not four independently detachable substances, and they are not a physiological diagram of four bodily elements.</w:t>
      </w:r>
    </w:p>
    <w:p>
      <w:pPr>
        <w:widowControl/>
      </w:pPr>
      <w:r>
        <w:rPr>
          <w:b w:val="0"/>
          <w:i w:val="0"/>
        </w:rPr>
        <w:t xml:space="preserve">Ficino then infers that a creature operates immediately through a quality or accident rather than naked substance. The proximate product consequently has inhering being and requires a prior recipient. This explains the otherwise surprising conclusion that no creature creates anything. It is strict creatio from nothing that is denied, not ordinary making, generating, thinking or willing. The argument’s scope also guards V.14.2: when soul vivifies </w:t>
      </w:r>
      <w:r>
        <w:t>“</w:t>
      </w:r>
      <w:r>
        <w:rPr>
          <w:b w:val="0"/>
          <w:i w:val="0"/>
        </w:rPr>
        <w:t>by its being,</w:t>
      </w:r>
      <w:r>
        <w:t>”</w:t>
      </w:r>
      <w:r>
        <w:rPr>
          <w:b w:val="0"/>
          <w:i w:val="0"/>
        </w:rPr>
        <w:t xml:space="preserve"> the phrase is immediately explained through natural power, not as a cancellation of the created essence/power distinction just established.</w:t>
      </w:r>
    </w:p>
    <w:p>
      <w:pPr>
        <w:widowControl/>
      </w:pPr>
      <w:r>
        <w:rPr>
          <w:b w:val="0"/>
          <w:i w:val="0"/>
        </w:rPr>
        <w:t>The stable spelling voluptas at V.13.11 is a small but consequential lexical point. V.13.10 names cognition and will as inward operations; V.13.11 then names understanding and pleasure and assigns truth and good as their objects. This companion explains the transition actually printed rather than making a silent emendation to align the two lists.</w:t>
      </w:r>
    </w:p>
    <w:p>
      <w:pPr>
        <w:keepNext/>
        <w:widowControl/>
      </w:pPr>
      <w:r>
        <w:rPr>
          <w:b/>
          <w:i w:val="0"/>
        </w:rPr>
        <w:t>Places to Read.</w:t>
      </w:r>
    </w:p>
    <w:p>
      <w:pPr>
        <w:ind w:left="187" w:hanging="187"/>
      </w:pPr>
      <w:r>
        <w:t xml:space="preserve">• </w:t>
      </w:r>
      <w:r>
        <w:rPr>
          <w:b/>
          <w:i w:val="0"/>
        </w:rPr>
        <w:t>V.13.7, V.13.8, V.13.9, PDF 84–85.</w:t>
      </w:r>
      <w:r>
        <w:rPr>
          <w:b w:val="0"/>
          <w:i w:val="0"/>
        </w:rPr>
        <w:t xml:space="preserve"> Four creaturely terms and their distinct relations to actuality.</w:t>
      </w:r>
    </w:p>
    <w:p>
      <w:pPr>
        <w:ind w:left="187" w:hanging="187"/>
      </w:pPr>
      <w:r>
        <w:t xml:space="preserve">• </w:t>
      </w:r>
      <w:r>
        <w:rPr>
          <w:b/>
          <w:i w:val="0"/>
        </w:rPr>
        <w:t>V.13.10, V.13.11, V.13.12, PDF 84–87.</w:t>
      </w:r>
      <w:r>
        <w:rPr>
          <w:b w:val="0"/>
          <w:i w:val="0"/>
        </w:rPr>
        <w:t xml:space="preserve"> Outward and inward operations, their objects and their distinctions from being and power.</w:t>
      </w:r>
    </w:p>
    <w:p>
      <w:pPr>
        <w:ind w:left="187" w:hanging="187"/>
      </w:pPr>
      <w:r>
        <w:t xml:space="preserve">• </w:t>
      </w:r>
      <w:r>
        <w:rPr>
          <w:b/>
          <w:i w:val="0"/>
        </w:rPr>
        <w:t>V.13.13, PDF 86–87.</w:t>
      </w:r>
      <w:r>
        <w:rPr>
          <w:b w:val="0"/>
          <w:i w:val="0"/>
        </w:rPr>
        <w:t xml:space="preserve"> Nested inherence and limited agency exclude creaturely creation.</w:t>
      </w:r>
    </w:p>
    <w:p>
      <w:pPr>
        <w:keepNext/>
        <w:widowControl/>
      </w:pPr>
      <w:r>
        <w:rPr>
          <w:b/>
          <w:i w:val="0"/>
        </w:rPr>
        <w:t>In this edition.</w:t>
      </w:r>
    </w:p>
    <w:p>
      <w:pPr>
        <w:widowControl/>
      </w:pPr>
      <w:r>
        <w:rPr>
          <w:b w:val="0"/>
          <w:i w:val="0"/>
        </w:rPr>
        <w:t xml:space="preserve">V.13.11 really reads voluptas, </w:t>
      </w:r>
      <w:r>
        <w:t>“</w:t>
      </w:r>
      <w:r>
        <w:rPr>
          <w:b w:val="0"/>
          <w:i w:val="0"/>
        </w:rPr>
        <w:t>pleasure,</w:t>
      </w:r>
      <w:r>
        <w:t>”</w:t>
      </w:r>
      <w:r>
        <w:rPr>
          <w:b w:val="0"/>
          <w:i w:val="0"/>
        </w:rPr>
        <w:t xml:space="preserve"> after V.13.10’s voluntas, </w:t>
      </w:r>
      <w:r>
        <w:t>“</w:t>
      </w:r>
      <w:r>
        <w:rPr>
          <w:b w:val="0"/>
          <w:i w:val="0"/>
        </w:rPr>
        <w:t>will.</w:t>
      </w:r>
      <w:r>
        <w:t>”</w:t>
      </w:r>
      <w:r>
        <w:rPr>
          <w:b w:val="0"/>
          <w:i w:val="0"/>
        </w:rPr>
        <w:t xml:space="preserve"> The apparatus explicitly preserves that change rather than correcting it away. M1482’s per infinita is followed against G1559’s per infinitas, where species appears to be understood (PDF 397).</w:t>
      </w:r>
    </w:p>
    <w:p>
      <w:pPr>
        <w:keepNext/>
        <w:widowControl/>
      </w:pPr>
      <w:r>
        <w:rPr>
          <w:b/>
          <w:i w:val="0"/>
        </w:rPr>
        <w:t>See also.</w:t>
      </w:r>
    </w:p>
    <w:p>
      <w:pPr>
        <w:widowControl/>
      </w:pPr>
      <w:hyperlink w:anchor="creation-and-generation">
        <w:r>
          <w:rPr>
            <w:color w:val="000000"/>
          </w:rPr>
          <w:t xml:space="preserve">Creation and generation</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intelligible-principles-and-reasoning">
        <w:r>
          <w:rPr>
            <w:color w:val="000000"/>
          </w:rPr>
          <w:t xml:space="preserve">Intelligible principles and reasoning</w:t>
        </w:r>
      </w:hyperlink>
    </w:p>
    <w:p>
      <w:pPr>
        <w:pStyle w:val="Heading2"/>
      </w:pPr>
      <w:bookmarkStart w:id="117" w:name="viii-definition-parts"/>
      <w:r>
        <w:rPr>
          <w:b w:val="0"/>
          <w:i w:val="0"/>
        </w:rPr>
        <w:t>Definition, genus, difference, and mindless parts</w:t>
      </w:r>
      <w:bookmarkEnd w:id="117"/>
    </w:p>
    <w:p>
      <w:pPr>
        <w:keepNext/>
        <w:widowControl/>
      </w:pPr>
      <w:r>
        <w:rPr>
          <w:b/>
          <w:i w:val="0"/>
        </w:rPr>
        <w:t>Latin:</w:t>
      </w:r>
      <w:r>
        <w:rPr>
          <w:b w:val="0"/>
          <w:i w:val="0"/>
        </w:rPr>
        <w:t xml:space="preserve"> </w:t>
      </w:r>
      <w:r>
        <w:rPr>
          <w:b w:val="0"/>
          <w:i/>
        </w:rPr>
        <w:t>definitio</w:t>
      </w:r>
      <w:r>
        <w:rPr>
          <w:b w:val="0"/>
          <w:i w:val="0"/>
        </w:rPr>
        <w:t xml:space="preserve">; </w:t>
      </w:r>
      <w:r>
        <w:rPr>
          <w:b w:val="0"/>
          <w:i/>
        </w:rPr>
        <w:t>genus</w:t>
      </w:r>
      <w:r>
        <w:rPr>
          <w:b w:val="0"/>
          <w:i w:val="0"/>
        </w:rPr>
        <w:t xml:space="preserve">; </w:t>
      </w:r>
      <w:r>
        <w:rPr>
          <w:b w:val="0"/>
          <w:i/>
        </w:rPr>
        <w:t>differentia</w:t>
      </w:r>
      <w:r>
        <w:rPr>
          <w:b w:val="0"/>
          <w:i w:val="0"/>
        </w:rPr>
        <w:t xml:space="preserve">; </w:t>
      </w:r>
      <w:r>
        <w:rPr>
          <w:b w:val="0"/>
          <w:i/>
        </w:rPr>
        <w:t>animal</w:t>
      </w:r>
      <w:r>
        <w:rPr>
          <w:b w:val="0"/>
          <w:i w:val="0"/>
        </w:rPr>
        <w:t xml:space="preserve">; </w:t>
      </w:r>
      <w:r>
        <w:rPr>
          <w:b w:val="0"/>
          <w:i/>
        </w:rPr>
        <w:t>rationale</w:t>
      </w:r>
      <w:r>
        <w:rPr>
          <w:b w:val="0"/>
          <w:i w:val="0"/>
        </w:rPr>
        <w:t xml:space="preserve">; </w:t>
      </w:r>
      <w:r>
        <w:rPr>
          <w:b w:val="0"/>
          <w:i/>
        </w:rPr>
        <w:t>pars</w:t>
      </w:r>
      <w:r>
        <w:rPr>
          <w:b w:val="0"/>
          <w:i w:val="0"/>
        </w:rPr>
        <w:t xml:space="preserve">; </w:t>
      </w:r>
      <w:r>
        <w:rPr>
          <w:b w:val="0"/>
          <w:i/>
        </w:rPr>
        <w:t>totum</w:t>
      </w:r>
    </w:p>
    <w:p>
      <w:pPr>
        <w:keepNext/>
        <w:widowControl/>
      </w:pPr>
      <w:r>
        <w:rPr>
          <w:b/>
          <w:i w:val="0"/>
        </w:rPr>
        <w:t>The word.</w:t>
      </w:r>
    </w:p>
    <w:p>
      <w:pPr>
        <w:widowControl/>
      </w:pPr>
      <w:r>
        <w:rPr>
          <w:b w:val="0"/>
          <w:i w:val="0"/>
        </w:rPr>
        <w:t xml:space="preserve">Genus names the broader kind shared by species; differentia specifies what distinguishes a species within it. </w:t>
      </w:r>
      <w:r>
        <w:t>“</w:t>
      </w:r>
      <w:r>
        <w:rPr>
          <w:b w:val="0"/>
          <w:i w:val="0"/>
        </w:rPr>
        <w:t>Rational animal</w:t>
      </w:r>
      <w:r>
        <w:t>”</w:t>
      </w:r>
      <w:r>
        <w:rPr>
          <w:b w:val="0"/>
          <w:i w:val="0"/>
        </w:rPr>
        <w:t xml:space="preserve"> supplies Ficino’s working definition of a human being. These are intelligible constituents, not spatial pieces of a body or mind.</w:t>
      </w:r>
    </w:p>
    <w:p>
      <w:pPr>
        <w:keepNext/>
        <w:widowControl/>
      </w:pPr>
      <w:r>
        <w:rPr>
          <w:b/>
          <w:i w:val="0"/>
        </w:rPr>
        <w:t>In the Platonic Theology.</w:t>
      </w:r>
    </w:p>
    <w:p>
      <w:pPr>
        <w:widowControl/>
      </w:pPr>
      <w:r>
        <w:rPr>
          <w:b w:val="0"/>
          <w:i w:val="0"/>
        </w:rPr>
        <w:t>A bodily form received in an extended subject would be divisible. Ficino first tests like parts: if each has the full account of the whole, as each drop has the nature of water, one part suffices and the rest add only quantity. Such repetition could not adequately distinguish a structured whole from its parts. Wheat grains and water drops illustrate increase without a new formal account.</w:t>
      </w:r>
    </w:p>
    <w:p>
      <w:pPr>
        <w:widowControl/>
      </w:pPr>
      <w:r>
        <w:rPr>
          <w:b w:val="0"/>
          <w:i w:val="0"/>
        </w:rPr>
        <w:t>Unlike parts are then tested through genus and difference. If animal and rational occupied bodily regions, each region could be divided without limit. A bounded definition would yield infinitely repeated genera and differences or an endless ascent and descent of classification. Yet the argument presupposes upper genera and ultimate differences, including substance and the determinate power of reasoning.</w:t>
      </w:r>
    </w:p>
    <w:p>
      <w:pPr>
        <w:widowControl/>
      </w:pPr>
      <w:r>
        <w:rPr>
          <w:b w:val="0"/>
          <w:i w:val="0"/>
        </w:rPr>
        <w:t>The reported Epicurean model assigns genus to the right of mind and difference to the left. Ficino asks why either region should be privileged if both are equally mind. Separated constituents do not give one mind one knowledge of one thing through one definition at one time. They must be united, and a chance collision is rejected as an account of regular knowledge. If mind itself achieves their union, it is already doing what the bodily model cannot explain.</w:t>
      </w:r>
    </w:p>
    <w:p>
      <w:pPr>
        <w:widowControl/>
      </w:pPr>
      <w:r>
        <w:rPr>
          <w:b w:val="0"/>
          <w:i w:val="0"/>
        </w:rPr>
        <w:t>The polemic against mind composed of mindless parts belongs to this argument. Its target is not every possible account of emergence; its premises concern bodily reception, spatial distribution and the unity required for definition. Ficino also insists that a true mental combination must correspond to a real union in things, rather than being an arbitrary fiction.</w:t>
      </w:r>
    </w:p>
    <w:p>
      <w:pPr>
        <w:keepNext/>
        <w:widowControl/>
      </w:pPr>
      <w:r>
        <w:rPr>
          <w:b/>
          <w:i w:val="0"/>
        </w:rPr>
        <w:t>Places to Read.</w:t>
      </w:r>
    </w:p>
    <w:p>
      <w:pPr>
        <w:ind w:left="187" w:hanging="187"/>
      </w:pPr>
      <w:r>
        <w:t xml:space="preserve">• </w:t>
      </w:r>
      <w:r>
        <w:rPr>
          <w:b/>
          <w:i w:val="0"/>
        </w:rPr>
        <w:t>VIII.4.3, PDF pp. 320–321.</w:t>
      </w:r>
      <w:r>
        <w:rPr>
          <w:b w:val="0"/>
          <w:i w:val="0"/>
        </w:rPr>
        <w:t xml:space="preserve"> Similar parts yield redundancy or merely numerical and quantitative increase.</w:t>
      </w:r>
    </w:p>
    <w:p>
      <w:pPr>
        <w:ind w:left="187" w:hanging="187"/>
      </w:pPr>
      <w:r>
        <w:t xml:space="preserve">• </w:t>
      </w:r>
      <w:r>
        <w:rPr>
          <w:b/>
          <w:i w:val="0"/>
        </w:rPr>
        <w:t>VIII.4.4, PDF pp. 322–323.</w:t>
      </w:r>
      <w:r>
        <w:rPr>
          <w:b w:val="0"/>
          <w:i w:val="0"/>
        </w:rPr>
        <w:t xml:space="preserve"> The genus-and-difference hypothesis is driven toward an impossible infinite definition.</w:t>
      </w:r>
    </w:p>
    <w:p>
      <w:pPr>
        <w:ind w:left="187" w:hanging="187"/>
      </w:pPr>
      <w:r>
        <w:t xml:space="preserve">• </w:t>
      </w:r>
      <w:r>
        <w:rPr>
          <w:b/>
          <w:i w:val="0"/>
        </w:rPr>
        <w:t>VIII.4.5, PDF pp. 324–325.</w:t>
      </w:r>
      <w:r>
        <w:rPr>
          <w:b w:val="0"/>
          <w:i w:val="0"/>
        </w:rPr>
        <w:t xml:space="preserve"> Right-and-left localization, chance mixture and mind’s unifying activity are examined.</w:t>
      </w:r>
    </w:p>
    <w:p>
      <w:pPr>
        <w:ind w:left="187" w:hanging="187"/>
      </w:pPr>
      <w:r>
        <w:t xml:space="preserve">• </w:t>
      </w:r>
      <w:r>
        <w:rPr>
          <w:b/>
          <w:i w:val="0"/>
        </w:rPr>
        <w:t>VIII.4.7, VIII.4.8, PDF pp. 326–329.</w:t>
      </w:r>
      <w:r>
        <w:rPr>
          <w:b w:val="0"/>
          <w:i w:val="0"/>
        </w:rPr>
        <w:t xml:space="preserve"> Unspecified parts and numerical models of knowledge are tested after genus and difference.</w:t>
      </w:r>
    </w:p>
    <w:p>
      <w:pPr>
        <w:keepNext/>
        <w:widowControl/>
      </w:pPr>
      <w:r>
        <w:rPr>
          <w:b/>
          <w:i w:val="0"/>
        </w:rPr>
        <w:t>In this edition.</w:t>
      </w:r>
    </w:p>
    <w:p>
      <w:pPr>
        <w:widowControl/>
      </w:pPr>
      <w:r>
        <w:rPr>
          <w:b w:val="0"/>
          <w:i w:val="0"/>
        </w:rPr>
        <w:t>The imperatives Sint hae duae and Sint extensae are hypothetical concessions to an opponent. They do not endorse spatially divided definitions. The corrected scitum/sciti in VIII.4.8 means the object known; confusing it with situm would turn the issue into position.</w:t>
      </w:r>
    </w:p>
    <w:p>
      <w:pPr>
        <w:keepNext/>
        <w:widowControl/>
      </w:pPr>
      <w:r>
        <w:rPr>
          <w:b/>
          <w:i w:val="0"/>
        </w:rPr>
        <w:t>See also.</w:t>
      </w:r>
    </w:p>
    <w:p>
      <w:pPr>
        <w:widowControl/>
      </w:pPr>
      <w:hyperlink w:anchor="viii-analysis-mangling">
        <w:r>
          <w:rPr>
            <w:color w:val="000000"/>
          </w:rPr>
          <w:t xml:space="preserve">Analysis, mangling, and fictive construction</w:t>
        </w:r>
      </w:hyperlink>
      <w:r>
        <w:rPr>
          <w:b w:val="0"/>
          <w:i w:val="0"/>
        </w:rPr>
        <w:t xml:space="preserve">; </w:t>
      </w:r>
      <w:hyperlink w:anchor="viii-species-simplicity">
        <w:r>
          <w:rPr>
            <w:color w:val="000000"/>
          </w:rPr>
          <w:t xml:space="preserve">Simplicity of human and numerical species</w:t>
        </w:r>
      </w:hyperlink>
      <w:r>
        <w:rPr>
          <w:b w:val="0"/>
          <w:i w:val="0"/>
        </w:rPr>
        <w:t xml:space="preserve">; </w:t>
      </w:r>
      <w:hyperlink w:anchor="viii-intellectual-intelligible">
        <w:r>
          <w:rPr>
            <w:color w:val="000000"/>
          </w:rPr>
          <w:t xml:space="preserve">Intellectual forms and intelligible essences</w:t>
        </w:r>
      </w:hyperlink>
    </w:p>
    <w:p>
      <w:pPr>
        <w:pStyle w:val="Heading2"/>
      </w:pPr>
      <w:bookmarkStart w:id="118" w:name="dense-subtle-and-fifth-body"/>
      <w:r>
        <w:rPr>
          <w:b w:val="0"/>
          <w:i w:val="0"/>
        </w:rPr>
        <w:t>Dense, subtle and fifth body</w:t>
      </w:r>
      <w:bookmarkEnd w:id="118"/>
    </w:p>
    <w:p>
      <w:pPr>
        <w:keepNext/>
        <w:widowControl/>
      </w:pPr>
      <w:r>
        <w:rPr>
          <w:b/>
          <w:i w:val="0"/>
        </w:rPr>
        <w:t>Latin:</w:t>
      </w:r>
      <w:r>
        <w:rPr>
          <w:b w:val="0"/>
          <w:i w:val="0"/>
        </w:rPr>
        <w:t xml:space="preserve"> </w:t>
      </w:r>
      <w:r>
        <w:rPr>
          <w:b w:val="0"/>
          <w:i/>
        </w:rPr>
        <w:t>crassum</w:t>
      </w:r>
      <w:r>
        <w:rPr>
          <w:b w:val="0"/>
          <w:i w:val="0"/>
        </w:rPr>
        <w:t xml:space="preserve">; </w:t>
      </w:r>
      <w:r>
        <w:rPr>
          <w:b w:val="0"/>
          <w:i/>
        </w:rPr>
        <w:t>subtile</w:t>
      </w:r>
      <w:r>
        <w:rPr>
          <w:b w:val="0"/>
          <w:i w:val="0"/>
        </w:rPr>
        <w:t xml:space="preserve">; </w:t>
      </w:r>
      <w:r>
        <w:rPr>
          <w:b w:val="0"/>
          <w:i/>
        </w:rPr>
        <w:t>rarum</w:t>
      </w:r>
      <w:r>
        <w:rPr>
          <w:b w:val="0"/>
          <w:i w:val="0"/>
        </w:rPr>
        <w:t xml:space="preserve">; </w:t>
      </w:r>
      <w:r>
        <w:rPr>
          <w:b w:val="0"/>
          <w:i/>
        </w:rPr>
        <w:t>penetrare</w:t>
      </w:r>
      <w:r>
        <w:rPr>
          <w:b w:val="0"/>
          <w:i w:val="0"/>
        </w:rPr>
        <w:t xml:space="preserve">; </w:t>
      </w:r>
      <w:r>
        <w:rPr>
          <w:b w:val="0"/>
          <w:i/>
        </w:rPr>
        <w:t>implere</w:t>
      </w:r>
      <w:r>
        <w:rPr>
          <w:b w:val="0"/>
          <w:i w:val="0"/>
        </w:rPr>
        <w:t xml:space="preserve">; </w:t>
      </w:r>
      <w:r>
        <w:rPr>
          <w:b w:val="0"/>
          <w:i/>
        </w:rPr>
        <w:t>quintum corpusculum</w:t>
      </w:r>
      <w:r>
        <w:rPr>
          <w:b w:val="0"/>
          <w:i w:val="0"/>
        </w:rPr>
        <w:t xml:space="preserve">; </w:t>
      </w:r>
      <w:r>
        <w:rPr>
          <w:b w:val="0"/>
          <w:i/>
        </w:rPr>
        <w:t>superadditus</w:t>
      </w:r>
    </w:p>
    <w:p>
      <w:pPr>
        <w:keepNext/>
        <w:widowControl/>
      </w:pPr>
      <w:r>
        <w:rPr>
          <w:b/>
          <w:i w:val="0"/>
        </w:rPr>
        <w:t>The word.</w:t>
      </w:r>
    </w:p>
    <w:p>
      <w:pPr>
        <w:widowControl/>
      </w:pPr>
      <w:r>
        <w:rPr>
          <w:b w:val="0"/>
          <w:i w:val="0"/>
        </w:rPr>
        <w:t>Crassum is dense or gross, subtile physically fine, rarum rarefied. Penetrare and implere are penetrating and filling. Superadditus means added beyond a proposed base; it does not itself determine whether the added principle is accidental or substantial.</w:t>
      </w:r>
    </w:p>
    <w:p>
      <w:pPr>
        <w:keepNext/>
        <w:widowControl/>
      </w:pPr>
      <w:r>
        <w:rPr>
          <w:b/>
          <w:i w:val="0"/>
        </w:rPr>
        <w:t>In the Platonic Theology.</w:t>
      </w:r>
    </w:p>
    <w:p>
      <w:pPr>
        <w:widowControl/>
      </w:pPr>
      <w:r>
        <w:rPr>
          <w:b w:val="0"/>
          <w:i w:val="0"/>
        </w:rPr>
        <w:t>Dense water or earth appears unfit to fill and move all parts readily. Fire or air seems more promising because of physical rarity. Ficino nevertheless asks whether the posited fire is soul insofar as fire or for a further reason. If the former, all fire and fiery things are alive. If the latter, the explanatory soul has been sought beyond fire’s mere bodily nature. The same test applies to air.</w:t>
      </w:r>
    </w:p>
    <w:p>
      <w:pPr>
        <w:widowControl/>
      </w:pPr>
      <w:r>
        <w:rPr>
          <w:b w:val="0"/>
          <w:i w:val="0"/>
        </w:rPr>
        <w:t xml:space="preserve">A fifth exceedingly subtle body beyond the four elements does not escape. If it vivifies through matter common to every body, every body becomes soul; if through superadded power, the opponent has conceded something </w:t>
      </w:r>
      <w:r>
        <w:t>“</w:t>
      </w:r>
      <w:r>
        <w:rPr>
          <w:b w:val="0"/>
          <w:i w:val="0"/>
        </w:rPr>
        <w:t>in some manner</w:t>
      </w:r>
      <w:r>
        <w:t>”</w:t>
      </w:r>
      <w:r>
        <w:rPr>
          <w:b w:val="0"/>
          <w:i w:val="0"/>
        </w:rPr>
        <w:t xml:space="preserve"> incorporeal. The qualification marks the limited immediate conclusion. In the wider sequence substantial form, indivisibility, whole presence and freedom from material origin still require their own arguments. Subtlety is accordingly a possible property of a bodily vehicle, never a sufficient synonym for spiritual substance.</w:t>
      </w:r>
    </w:p>
    <w:p>
      <w:pPr>
        <w:keepNext/>
        <w:widowControl/>
      </w:pPr>
      <w:r>
        <w:rPr>
          <w:b/>
          <w:i w:val="0"/>
        </w:rPr>
        <w:t>Places to Read.</w:t>
      </w:r>
    </w:p>
    <w:p>
      <w:pPr>
        <w:ind w:left="187" w:hanging="187"/>
      </w:pPr>
      <w:r>
        <w:t xml:space="preserve">• </w:t>
      </w:r>
      <w:r>
        <w:rPr>
          <w:b/>
          <w:i w:val="0"/>
        </w:rPr>
        <w:t>VI.6.1, VI.6.2, VI.6.3; source PDF pp. 178, 179</w:t>
      </w:r>
      <w:r>
        <w:rPr>
          <w:b w:val="0"/>
          <w:i w:val="0"/>
        </w:rPr>
        <w:t>. Dense, rarefied and fifth-body proposals undergo the same causal test.</w:t>
      </w:r>
    </w:p>
    <w:p>
      <w:pPr>
        <w:ind w:left="187" w:hanging="187"/>
      </w:pPr>
      <w:r>
        <w:t xml:space="preserve">• </w:t>
      </w:r>
      <w:r>
        <w:rPr>
          <w:b/>
          <w:i w:val="0"/>
        </w:rPr>
        <w:t>VI.13.7; source PDF pp. 224, 225</w:t>
      </w:r>
      <w:r>
        <w:rPr>
          <w:b w:val="0"/>
          <w:i w:val="0"/>
        </w:rPr>
        <w:t>. The very fineness needed for penetration becomes a problem for enduring memory.</w:t>
      </w:r>
    </w:p>
    <w:p>
      <w:pPr>
        <w:keepNext/>
        <w:widowControl/>
      </w:pPr>
      <w:r>
        <w:rPr>
          <w:b/>
          <w:i w:val="0"/>
        </w:rPr>
        <w:t>In this edition.</w:t>
      </w:r>
    </w:p>
    <w:p>
      <w:pPr>
        <w:widowControl/>
      </w:pPr>
      <w:r>
        <w:rPr>
          <w:b w:val="0"/>
          <w:i w:val="0"/>
        </w:rPr>
        <w:t>Quintum is numerically and philosophically specific: it is an imagined fifth body beyond the four elements. The edition retains quodammodo before incorpoream and the base witness’s conditional detur, keeping a concession distinct from an assertion.</w:t>
      </w:r>
    </w:p>
    <w:p>
      <w:pPr>
        <w:keepNext/>
        <w:widowControl/>
      </w:pPr>
      <w:r>
        <w:rPr>
          <w:b/>
          <w:i w:val="0"/>
        </w:rPr>
        <w:t>See also.</w:t>
      </w:r>
    </w:p>
    <w:p>
      <w:pPr>
        <w:widowControl/>
      </w:pPr>
      <w:hyperlink w:anchor="corporeal-soul-and-elemental-doxography">
        <w:r>
          <w:rPr>
            <w:color w:val="000000"/>
          </w:rPr>
          <w:t xml:space="preserve">Corporeal soul and elemental doxography</w:t>
        </w:r>
      </w:hyperlink>
      <w:r>
        <w:rPr>
          <w:b w:val="0"/>
          <w:i w:val="0"/>
        </w:rPr>
        <w:t xml:space="preserve">; </w:t>
      </w:r>
      <w:hyperlink w:anchor="essential-presence-and-containment">
        <w:r>
          <w:rPr>
            <w:color w:val="000000"/>
          </w:rPr>
          <w:t xml:space="preserve">Essential presence and containment</w:t>
        </w:r>
      </w:hyperlink>
    </w:p>
    <w:p>
      <w:pPr>
        <w:pStyle w:val="Heading2"/>
      </w:pPr>
      <w:bookmarkStart w:id="119" w:name="vii-discord-soul"/>
      <w:r>
        <w:rPr>
          <w:b w:val="0"/>
          <w:i w:val="0"/>
        </w:rPr>
        <w:t>Discord and the soul’s persistence</w:t>
      </w:r>
      <w:bookmarkEnd w:id="119"/>
    </w:p>
    <w:p>
      <w:pPr>
        <w:keepNext/>
        <w:widowControl/>
      </w:pPr>
      <w:r>
        <w:rPr>
          <w:b/>
          <w:i w:val="0"/>
        </w:rPr>
        <w:t>Latin:</w:t>
      </w:r>
      <w:r>
        <w:rPr>
          <w:b w:val="0"/>
          <w:i w:val="0"/>
        </w:rPr>
        <w:t xml:space="preserve"> </w:t>
      </w:r>
      <w:r>
        <w:rPr>
          <w:b w:val="0"/>
          <w:i/>
        </w:rPr>
        <w:t>dissonantia</w:t>
      </w:r>
      <w:r>
        <w:rPr>
          <w:b w:val="0"/>
          <w:i w:val="0"/>
        </w:rPr>
        <w:t xml:space="preserve">; </w:t>
      </w:r>
      <w:r>
        <w:rPr>
          <w:b w:val="0"/>
          <w:i/>
        </w:rPr>
        <w:t>discordia</w:t>
      </w:r>
      <w:r>
        <w:rPr>
          <w:b w:val="0"/>
          <w:i w:val="0"/>
        </w:rPr>
        <w:t xml:space="preserve">; </w:t>
      </w:r>
      <w:r>
        <w:rPr>
          <w:b w:val="0"/>
          <w:i/>
        </w:rPr>
        <w:t>dissensio</w:t>
      </w:r>
      <w:r>
        <w:rPr>
          <w:b w:val="0"/>
          <w:i w:val="0"/>
        </w:rPr>
        <w:t xml:space="preserve">; </w:t>
      </w:r>
      <w:r>
        <w:rPr>
          <w:b w:val="0"/>
          <w:i/>
        </w:rPr>
        <w:t>permanere</w:t>
      </w:r>
      <w:r>
        <w:rPr>
          <w:b w:val="0"/>
          <w:i w:val="0"/>
        </w:rPr>
        <w:t xml:space="preserve">; </w:t>
      </w:r>
      <w:r>
        <w:rPr>
          <w:b w:val="0"/>
          <w:i/>
        </w:rPr>
        <w:t>perseverare</w:t>
      </w:r>
      <w:r>
        <w:rPr>
          <w:b w:val="0"/>
          <w:i w:val="0"/>
        </w:rPr>
        <w:t xml:space="preserve">; </w:t>
      </w:r>
      <w:r>
        <w:rPr>
          <w:b w:val="0"/>
          <w:i/>
        </w:rPr>
        <w:t>naturalis habitus</w:t>
      </w:r>
    </w:p>
    <w:p>
      <w:pPr>
        <w:keepNext/>
        <w:widowControl/>
      </w:pPr>
      <w:r>
        <w:rPr>
          <w:b/>
          <w:i w:val="0"/>
        </w:rPr>
        <w:t>The word.</w:t>
      </w:r>
    </w:p>
    <w:p>
      <w:pPr>
        <w:widowControl/>
      </w:pPr>
      <w:r>
        <w:rPr>
          <w:b w:val="0"/>
          <w:i w:val="0"/>
        </w:rPr>
        <w:t xml:space="preserve">The discord vocabulary ranges over opposed opinions and affections, disagreement of elements and humors, and discordant parts of soul and body. </w:t>
      </w:r>
      <w:r>
        <w:rPr>
          <w:b w:val="0"/>
          <w:i/>
        </w:rPr>
        <w:t>Habitus</w:t>
      </w:r>
      <w:r>
        <w:rPr>
          <w:b w:val="0"/>
          <w:i w:val="0"/>
        </w:rPr>
        <w:t xml:space="preserve"> in </w:t>
      </w:r>
      <w:r>
        <w:t>“</w:t>
      </w:r>
      <w:r>
        <w:rPr>
          <w:b w:val="0"/>
          <w:i w:val="0"/>
        </w:rPr>
        <w:t>natural state</w:t>
      </w:r>
      <w:r>
        <w:t>”</w:t>
      </w:r>
      <w:r>
        <w:rPr>
          <w:b w:val="0"/>
          <w:i w:val="0"/>
        </w:rPr>
        <w:t xml:space="preserve"> concerns the soul’s enduring condition here, not automatically an acquired moral habit.</w:t>
      </w:r>
    </w:p>
    <w:p>
      <w:pPr>
        <w:keepNext/>
        <w:widowControl/>
      </w:pPr>
      <w:r>
        <w:rPr>
          <w:b/>
          <w:i w:val="0"/>
        </w:rPr>
        <w:t>In the Platonic Theology.</w:t>
      </w:r>
    </w:p>
    <w:p>
      <w:pPr>
        <w:widowControl/>
      </w:pPr>
      <w:r>
        <w:rPr>
          <w:b w:val="0"/>
          <w:i w:val="0"/>
        </w:rPr>
        <w:t>Chapter 15 sharpens the argument: harmony, strictly considered as harmony, admits nothing dissonant while remaining harmony. Soul, however, is continually pulled by discordant opinions and affections and remains a genuine, vital soul. This contrasts persistence of the subject with failure of harmonious agreement within it.</w:t>
      </w:r>
    </w:p>
    <w:p>
      <w:pPr>
        <w:widowControl/>
      </w:pPr>
      <w:r>
        <w:rPr>
          <w:b w:val="0"/>
          <w:i w:val="0"/>
        </w:rPr>
        <w:t>An objection distinguishes psychic discord, which does not kill, from elemental and humoral discord, which supposedly does. Ficino replies by ranking kinds of dissonance according to their closeness to soul. Disagreement of opinions and affections is proper and inward: it affects souls, not lifeless bodies, and assails the souls of mortals generally. Since this does not overthrow their life and sensation, he argues, the more foreign discord of humors will not dissolve the soul’s natural state. If that state were simply humoral concord, even slight humoral dissonance would undo it.</w:t>
      </w:r>
    </w:p>
    <w:p>
      <w:pPr>
        <w:widowControl/>
      </w:pPr>
      <w:r>
        <w:rPr>
          <w:b w:val="0"/>
          <w:i w:val="0"/>
        </w:rPr>
        <w:t>The scope is the soul’s identity and persistence, not bodily invulnerability. The argument should not be paraphrased as medical advice that disturbances of bodily constitution cannot harm a living human being. Earlier chapters freely describe bodily injury and the dissolution of animal organization. Here Ficino opposes identifying the soul with the harmony whose disruption would, by definition, end that harmony. The concluding claim permits extensive discord of soul and body while a true living soul persists.</w:t>
      </w:r>
    </w:p>
    <w:p>
      <w:pPr>
        <w:keepNext/>
        <w:widowControl/>
      </w:pPr>
      <w:r>
        <w:rPr>
          <w:b/>
          <w:i w:val="0"/>
        </w:rPr>
        <w:t>Places to Read.</w:t>
      </w:r>
    </w:p>
    <w:p>
      <w:pPr>
        <w:ind w:left="187" w:hanging="187"/>
      </w:pPr>
      <w:r>
        <w:t xml:space="preserve">• </w:t>
      </w:r>
      <w:r>
        <w:rPr>
          <w:b/>
          <w:i w:val="0"/>
        </w:rPr>
        <w:t>VII.15.1, PDF 280–281</w:t>
      </w:r>
      <w:r>
        <w:rPr>
          <w:b w:val="0"/>
          <w:i w:val="0"/>
        </w:rPr>
        <w:t>. Strict harmony, psychic discord, the bodily-discord objection and its reply complete Book VII.</w:t>
      </w:r>
    </w:p>
    <w:p>
      <w:pPr>
        <w:keepNext/>
        <w:widowControl/>
      </w:pPr>
      <w:r>
        <w:rPr>
          <w:b/>
          <w:i w:val="0"/>
        </w:rPr>
        <w:t>In this edition.</w:t>
      </w:r>
    </w:p>
    <w:p>
      <w:pPr>
        <w:widowControl/>
      </w:pPr>
      <w:r>
        <w:rPr>
          <w:b w:val="0"/>
          <w:i/>
        </w:rPr>
        <w:t>Animus</w:t>
      </w:r>
      <w:r>
        <w:rPr>
          <w:b w:val="0"/>
          <w:i w:val="0"/>
        </w:rPr>
        <w:t xml:space="preserve"> and </w:t>
      </w:r>
      <w:r>
        <w:rPr>
          <w:b w:val="0"/>
          <w:i/>
        </w:rPr>
        <w:t>anima</w:t>
      </w:r>
      <w:r>
        <w:rPr>
          <w:b w:val="0"/>
          <w:i w:val="0"/>
        </w:rPr>
        <w:t xml:space="preserve"> alternate for the same subject and are both rendered </w:t>
      </w:r>
      <w:r>
        <w:t>“</w:t>
      </w:r>
      <w:r>
        <w:rPr>
          <w:b w:val="0"/>
          <w:i w:val="0"/>
        </w:rPr>
        <w:t>soul</w:t>
      </w:r>
      <w:r>
        <w:t>”</w:t>
      </w:r>
      <w:r>
        <w:rPr>
          <w:b w:val="0"/>
          <w:i w:val="0"/>
        </w:rPr>
        <w:t xml:space="preserve"> in this argument. The three nested domains of discord must remain separate. The strength of the move from nearer to more foreign dissonance belongs to Ficino’s reasoning and should not be silently replaced by a modern biological inference. The Latin omnes mortalium … animos means the souls of mortals; the English </w:t>
      </w:r>
      <w:r>
        <w:t>“</w:t>
      </w:r>
      <w:r>
        <w:rPr>
          <w:b w:val="0"/>
          <w:i w:val="0"/>
        </w:rPr>
        <w:t>every mortal soul</w:t>
      </w:r>
      <w:r>
        <w:t>”</w:t>
      </w:r>
      <w:r>
        <w:rPr>
          <w:b w:val="0"/>
          <w:i w:val="0"/>
        </w:rPr>
        <w:t xml:space="preserve"> should not be taken as an assertion that soul is mortal.</w:t>
      </w:r>
    </w:p>
    <w:p>
      <w:pPr>
        <w:keepNext/>
        <w:widowControl/>
      </w:pPr>
      <w:r>
        <w:rPr>
          <w:b/>
          <w:i w:val="0"/>
        </w:rPr>
        <w:t>See also.</w:t>
      </w:r>
    </w:p>
    <w:p>
      <w:pPr>
        <w:widowControl/>
      </w:pPr>
      <w:hyperlink w:anchor="vii-moral-concord">
        <w:r>
          <w:rPr>
            <w:color w:val="000000"/>
          </w:rPr>
          <w:t xml:space="preserve">Moral concord and the robber</w:t>
        </w:r>
      </w:hyperlink>
      <w:r>
        <w:rPr>
          <w:b w:val="0"/>
          <w:i w:val="0"/>
        </w:rPr>
        <w:t xml:space="preserve">; </w:t>
      </w:r>
      <w:hyperlink w:anchor="vii-harmony-strings">
        <w:r>
          <w:rPr>
            <w:color w:val="000000"/>
          </w:rPr>
          <w:t xml:space="preserve">Harmony and the strings</w:t>
        </w:r>
      </w:hyperlink>
      <w:r>
        <w:rPr>
          <w:b w:val="0"/>
          <w:i w:val="0"/>
        </w:rPr>
        <w:t xml:space="preserve">; </w:t>
      </w:r>
      <w:hyperlink w:anchor="vii-severed-animals">
        <w:r>
          <w:rPr>
            <w:color w:val="000000"/>
          </w:rPr>
          <w:t xml:space="preserve">Severed animals and replacement souls</w:t>
        </w:r>
      </w:hyperlink>
    </w:p>
    <w:p>
      <w:pPr>
        <w:pStyle w:val="Heading2"/>
      </w:pPr>
      <w:bookmarkStart w:id="120" w:name="divine-production-and-third-essence"/>
      <w:r>
        <w:rPr>
          <w:b w:val="0"/>
          <w:i w:val="0"/>
        </w:rPr>
        <w:t>Divine production and the third essence</w:t>
      </w:r>
      <w:bookmarkEnd w:id="120"/>
    </w:p>
    <w:p>
      <w:pPr>
        <w:keepNext/>
        <w:widowControl/>
      </w:pPr>
      <w:r>
        <w:rPr>
          <w:b/>
          <w:i w:val="0"/>
        </w:rPr>
        <w:t>Latin:</w:t>
      </w:r>
      <w:r>
        <w:rPr>
          <w:b w:val="0"/>
          <w:i w:val="0"/>
        </w:rPr>
        <w:t xml:space="preserve"> </w:t>
      </w:r>
      <w:r>
        <w:rPr>
          <w:b w:val="0"/>
          <w:i/>
        </w:rPr>
        <w:t>individuum</w:t>
      </w:r>
      <w:r>
        <w:rPr>
          <w:b w:val="0"/>
          <w:i w:val="0"/>
        </w:rPr>
        <w:t xml:space="preserve">; </w:t>
      </w:r>
      <w:r>
        <w:rPr>
          <w:b w:val="0"/>
          <w:i/>
        </w:rPr>
        <w:t>incorporeus auctor</w:t>
      </w:r>
      <w:r>
        <w:rPr>
          <w:b w:val="0"/>
          <w:i w:val="0"/>
        </w:rPr>
        <w:t xml:space="preserve">; </w:t>
      </w:r>
      <w:r>
        <w:rPr>
          <w:b w:val="0"/>
          <w:i/>
        </w:rPr>
        <w:t>agentis virtus</w:t>
      </w:r>
      <w:r>
        <w:rPr>
          <w:b w:val="0"/>
          <w:i w:val="0"/>
        </w:rPr>
        <w:t xml:space="preserve">; </w:t>
      </w:r>
      <w:r>
        <w:rPr>
          <w:b w:val="0"/>
          <w:i/>
        </w:rPr>
        <w:t>tertia essentia</w:t>
      </w:r>
      <w:r>
        <w:rPr>
          <w:b w:val="0"/>
          <w:i w:val="0"/>
        </w:rPr>
        <w:t xml:space="preserve">; </w:t>
      </w:r>
      <w:r>
        <w:rPr>
          <w:b w:val="0"/>
          <w:i/>
        </w:rPr>
        <w:t>fomentum</w:t>
      </w:r>
    </w:p>
    <w:p>
      <w:pPr>
        <w:keepNext/>
        <w:widowControl/>
      </w:pPr>
      <w:r>
        <w:rPr>
          <w:b/>
          <w:i w:val="0"/>
        </w:rPr>
        <w:t>The word.</w:t>
      </w:r>
    </w:p>
    <w:p>
      <w:pPr>
        <w:widowControl/>
      </w:pPr>
      <w:r>
        <w:rPr>
          <w:b w:val="0"/>
          <w:i w:val="0"/>
        </w:rPr>
        <w:t>Individuum means an indivisible something here, not primarily a modern individual person. Auctor is the originating producer; virtus is effective power. Fomentum names matter’s supposed supporting or generative resource, rendered through the image of tinder. Tertia essentia is the third grade between lower body/quality and higher mind/God.</w:t>
      </w:r>
    </w:p>
    <w:p>
      <w:pPr>
        <w:keepNext/>
        <w:widowControl/>
      </w:pPr>
      <w:r>
        <w:rPr>
          <w:b/>
          <w:i w:val="0"/>
        </w:rPr>
        <w:t>In the Platonic Theology.</w:t>
      </w:r>
    </w:p>
    <w:p>
      <w:pPr>
        <w:widowControl/>
      </w:pPr>
      <w:r>
        <w:rPr>
          <w:b w:val="0"/>
          <w:i w:val="0"/>
        </w:rPr>
        <w:t>The final position in VI.1 calls the human soul divine, whole in each bodily part, and produced by an incorporeal author. The decisive contrast is between dependence solely upon the agent’s power and dependence upon matter’s beginning, capacity or tinder. The soul is produced and dependent; its freedom from matter is not self-creation or equality with God. Its substantial indivisibility and whole presence do not by themselves finish the argument, because the fourth rejected position already grants comparable features while retaining material origin.</w:t>
      </w:r>
    </w:p>
    <w:p>
      <w:pPr>
        <w:widowControl/>
      </w:pPr>
      <w:r>
        <w:rPr>
          <w:b w:val="0"/>
          <w:i w:val="0"/>
        </w:rPr>
        <w:t xml:space="preserve">The ancient theologians named here are Zoroaster, Hermes, Orpheus, Aglaophemus, Pythagoras and Plato. Aristotle the natural philosopher is said to follow their footsteps </w:t>
      </w:r>
      <w:r>
        <w:t>“</w:t>
      </w:r>
      <w:r>
        <w:rPr>
          <w:b w:val="0"/>
          <w:i w:val="0"/>
        </w:rPr>
        <w:t>for the most part,</w:t>
      </w:r>
      <w:r>
        <w:t>”</w:t>
      </w:r>
      <w:r>
        <w:rPr>
          <w:b w:val="0"/>
          <w:i w:val="0"/>
        </w:rPr>
        <w:t xml:space="preserve"> a deliberately qualified assimilation. The contemporary circle is then represented as agreeing that the human classification must be demonstrated. VI.3 consequently reserves freedom from material origin for the intellectual stage, while natural power first establishes noncorporeality and partly excludes a divided bodily form. The reader should not use the fifth position’s statement as though Book VI had already proved all its conditions.</w:t>
      </w:r>
    </w:p>
    <w:p>
      <w:pPr>
        <w:keepNext/>
        <w:widowControl/>
      </w:pPr>
      <w:r>
        <w:rPr>
          <w:b/>
          <w:i w:val="0"/>
        </w:rPr>
        <w:t>Places to Read.</w:t>
      </w:r>
    </w:p>
    <w:p>
      <w:pPr>
        <w:ind w:left="187" w:hanging="187"/>
      </w:pPr>
      <w:r>
        <w:t xml:space="preserve">• </w:t>
      </w:r>
      <w:r>
        <w:rPr>
          <w:b/>
          <w:i w:val="0"/>
        </w:rPr>
        <w:t>VI.1.5, VI.1.6; source PDF pp. 130, 131, 132, 133</w:t>
      </w:r>
      <w:r>
        <w:rPr>
          <w:b w:val="0"/>
          <w:i w:val="0"/>
        </w:rPr>
        <w:t>. The final contrast is causal independence from matter, not merely freedom from an organ.</w:t>
      </w:r>
    </w:p>
    <w:p>
      <w:pPr>
        <w:ind w:left="187" w:hanging="187"/>
      </w:pPr>
      <w:r>
        <w:t xml:space="preserve">• </w:t>
      </w:r>
      <w:r>
        <w:rPr>
          <w:b/>
          <w:i w:val="0"/>
        </w:rPr>
        <w:t>VI.3.1, VI.3.2; source PDF pp. 168, 169</w:t>
      </w:r>
      <w:r>
        <w:rPr>
          <w:b w:val="0"/>
          <w:i w:val="0"/>
        </w:rPr>
        <w:t>. The proof’s promised stages culminate in assignment to the immortal third essence.</w:t>
      </w:r>
    </w:p>
    <w:p>
      <w:pPr>
        <w:keepNext/>
        <w:widowControl/>
      </w:pPr>
      <w:r>
        <w:rPr>
          <w:b/>
          <w:i w:val="0"/>
        </w:rPr>
        <w:t>In this edition.</w:t>
      </w:r>
    </w:p>
    <w:p>
      <w:pPr>
        <w:widowControl/>
      </w:pPr>
      <w:r>
        <w:rPr>
          <w:b w:val="0"/>
          <w:i w:val="0"/>
        </w:rPr>
        <w:t xml:space="preserve">The facing English renders Mercurius as Hermes and physicus Aristoteles as </w:t>
      </w:r>
      <w:r>
        <w:t>“</w:t>
      </w:r>
      <w:r>
        <w:rPr>
          <w:b w:val="0"/>
          <w:i w:val="0"/>
        </w:rPr>
        <w:t>Aristotle the natural philosopher.</w:t>
      </w:r>
      <w:r>
        <w:t>”</w:t>
      </w:r>
      <w:r>
        <w:rPr>
          <w:b w:val="0"/>
          <w:i w:val="0"/>
        </w:rPr>
        <w:t xml:space="preserve"> Plurimum must accompany the latter attribution. The lexical contrast between material capacitas and the producing agent’s virtus is retained; neither is simply </w:t>
      </w:r>
      <w:r>
        <w:t>“</w:t>
      </w:r>
      <w:r>
        <w:rPr>
          <w:b w:val="0"/>
          <w:i w:val="0"/>
        </w:rPr>
        <w:t>strength.</w:t>
      </w:r>
      <w:r>
        <w:t>”</w:t>
      </w:r>
    </w:p>
    <w:p>
      <w:pPr>
        <w:keepNext/>
        <w:widowControl/>
      </w:pPr>
      <w:r>
        <w:rPr>
          <w:b/>
          <w:i w:val="0"/>
        </w:rPr>
        <w:t>See also.</w:t>
      </w:r>
    </w:p>
    <w:p>
      <w:pPr>
        <w:widowControl/>
      </w:pPr>
      <w:hyperlink w:anchor="cavalcanti-and-five-positions">
        <w:r>
          <w:rPr>
            <w:color w:val="000000"/>
          </w:rPr>
          <w:t xml:space="preserve">Cavalcanti and the five positions</w:t>
        </w:r>
      </w:hyperlink>
      <w:r>
        <w:rPr>
          <w:b w:val="0"/>
          <w:i w:val="0"/>
        </w:rPr>
        <w:t xml:space="preserve">; </w:t>
      </w:r>
      <w:hyperlink w:anchor="point-dimension-and-substantial-unity">
        <w:r>
          <w:rPr>
            <w:color w:val="000000"/>
          </w:rPr>
          <w:t xml:space="preserve">Point, dimension and substantial unity</w:t>
        </w:r>
      </w:hyperlink>
    </w:p>
    <w:p>
      <w:pPr>
        <w:pStyle w:val="Heading2"/>
      </w:pPr>
      <w:bookmarkStart w:id="121" w:name="earth-wood-and-severed-stones"/>
      <w:r>
        <w:rPr>
          <w:b w:val="0"/>
          <w:i w:val="0"/>
        </w:rPr>
        <w:t>Earth, wood and severed stones</w:t>
      </w:r>
      <w:bookmarkEnd w:id="121"/>
    </w:p>
    <w:p>
      <w:pPr>
        <w:keepNext/>
        <w:widowControl/>
      </w:pPr>
      <w:r>
        <w:rPr>
          <w:b/>
          <w:i w:val="0"/>
        </w:rPr>
        <w:t>Latin:</w:t>
      </w:r>
      <w:r>
        <w:rPr>
          <w:b w:val="0"/>
          <w:i w:val="0"/>
        </w:rPr>
        <w:t xml:space="preserve"> </w:t>
      </w:r>
      <w:r>
        <w:rPr>
          <w:b w:val="0"/>
          <w:i/>
        </w:rPr>
        <w:t>saxum</w:t>
      </w:r>
      <w:r>
        <w:rPr>
          <w:b w:val="0"/>
          <w:i w:val="0"/>
        </w:rPr>
        <w:t xml:space="preserve">; </w:t>
      </w:r>
      <w:r>
        <w:rPr>
          <w:b w:val="0"/>
          <w:i/>
        </w:rPr>
        <w:t>lignum</w:t>
      </w:r>
      <w:r>
        <w:rPr>
          <w:b w:val="0"/>
          <w:i w:val="0"/>
        </w:rPr>
        <w:t xml:space="preserve">; </w:t>
      </w:r>
      <w:r>
        <w:rPr>
          <w:b w:val="0"/>
          <w:i/>
        </w:rPr>
        <w:t>affigi</w:t>
      </w:r>
      <w:r>
        <w:rPr>
          <w:b w:val="0"/>
          <w:i w:val="0"/>
        </w:rPr>
        <w:t xml:space="preserve">; </w:t>
      </w:r>
      <w:r>
        <w:rPr>
          <w:b w:val="0"/>
          <w:i/>
        </w:rPr>
        <w:t>avelli</w:t>
      </w:r>
      <w:r>
        <w:rPr>
          <w:b w:val="0"/>
          <w:i w:val="0"/>
        </w:rPr>
        <w:t xml:space="preserve">; </w:t>
      </w:r>
      <w:r>
        <w:rPr>
          <w:b w:val="0"/>
          <w:i/>
        </w:rPr>
        <w:t>unio</w:t>
      </w:r>
      <w:r>
        <w:rPr>
          <w:b w:val="0"/>
          <w:i w:val="0"/>
        </w:rPr>
        <w:t xml:space="preserve">; </w:t>
      </w:r>
      <w:r>
        <w:rPr>
          <w:b w:val="0"/>
          <w:i/>
        </w:rPr>
        <w:t>augmentum</w:t>
      </w:r>
    </w:p>
    <w:p>
      <w:pPr>
        <w:keepNext/>
        <w:widowControl/>
      </w:pPr>
      <w:r>
        <w:rPr>
          <w:b/>
          <w:i w:val="0"/>
        </w:rPr>
        <w:t>The word.</w:t>
      </w:r>
    </w:p>
    <w:p>
      <w:pPr>
        <w:widowControl/>
      </w:pPr>
      <w:r>
        <w:rPr>
          <w:b w:val="0"/>
          <w:i w:val="0"/>
        </w:rPr>
        <w:t>Saxa are stones; ligna wood or logs. Affigi describes attachment to earth, avelli removal or tearing away. Unio is cohesion of parts, whereas augmentum is growth; the text distinguishes possession of the former from the latter.</w:t>
      </w:r>
    </w:p>
    <w:p>
      <w:pPr>
        <w:keepNext/>
        <w:widowControl/>
      </w:pPr>
      <w:r>
        <w:rPr>
          <w:b/>
          <w:i w:val="0"/>
        </w:rPr>
        <w:t>In the Platonic Theology.</w:t>
      </w:r>
    </w:p>
    <w:p>
      <w:pPr>
        <w:widowControl/>
      </w:pPr>
      <w:r>
        <w:rPr>
          <w:b w:val="0"/>
          <w:i w:val="0"/>
        </w:rPr>
        <w:t xml:space="preserve">The opening nutrition argument uses logs and stones </w:t>
      </w:r>
      <w:r>
        <w:t>“</w:t>
      </w:r>
      <w:r>
        <w:rPr>
          <w:b w:val="0"/>
          <w:i w:val="0"/>
        </w:rPr>
        <w:t>torn from the earth</w:t>
      </w:r>
      <w:r>
        <w:t>”</w:t>
      </w:r>
      <w:r>
        <w:rPr>
          <w:b w:val="0"/>
          <w:i w:val="0"/>
        </w:rPr>
        <w:t xml:space="preserve"> as bodies that do not grow like flourishing plants and animals. Near the end of VI.8, the obvious challenge returns: if body needs an incorporeal binder, whence comes the cohesion of these nonliving examples? The Platonists’ reported answer is that while attached to earth they receive both unity and growth from soul, but once severed retain unity alone.</w:t>
      </w:r>
    </w:p>
    <w:p>
      <w:pPr>
        <w:widowControl/>
      </w:pPr>
      <w:r>
        <w:rPr>
          <w:b w:val="0"/>
          <w:i w:val="0"/>
        </w:rPr>
        <w:t xml:space="preserve">This distinction prevents two misleading summaries. Ficino does not simply infer that every detached stone lives and grows as an animal does; nor does he regard its continued cohesion as independent of the higher unifying power. The attachment and severance conditions belong to his historical cosmological account. They should not be rewritten as current geology or botany. The source’s final corrected wording is simply </w:t>
      </w:r>
      <w:r>
        <w:t>“</w:t>
      </w:r>
      <w:r>
        <w:rPr>
          <w:b w:val="0"/>
          <w:i w:val="0"/>
        </w:rPr>
        <w:t>from soul,</w:t>
      </w:r>
      <w:r>
        <w:t>”</w:t>
      </w:r>
      <w:r>
        <w:rPr>
          <w:b w:val="0"/>
          <w:i w:val="0"/>
        </w:rPr>
        <w:t xml:space="preserve"> although the reference to earth makes a terrestrial context natural.</w:t>
      </w:r>
    </w:p>
    <w:p>
      <w:pPr>
        <w:keepNext/>
        <w:widowControl/>
      </w:pPr>
      <w:r>
        <w:rPr>
          <w:b/>
          <w:i w:val="0"/>
        </w:rPr>
        <w:t>Places to Read.</w:t>
      </w:r>
    </w:p>
    <w:p>
      <w:pPr>
        <w:ind w:left="187" w:hanging="187"/>
      </w:pPr>
      <w:r>
        <w:t xml:space="preserve">• </w:t>
      </w:r>
      <w:r>
        <w:rPr>
          <w:b/>
          <w:i w:val="0"/>
        </w:rPr>
        <w:t>VI.4.1, VI.4.5; source PDF pp. 170, 171, 172, 173</w:t>
      </w:r>
      <w:r>
        <w:rPr>
          <w:b w:val="0"/>
          <w:i w:val="0"/>
        </w:rPr>
        <w:t>. Detached wood and stones serve the distinction between mere corporeality and nourishment.</w:t>
      </w:r>
    </w:p>
    <w:p>
      <w:pPr>
        <w:ind w:left="187" w:hanging="187"/>
      </w:pPr>
      <w:r>
        <w:t xml:space="preserve">• </w:t>
      </w:r>
      <w:r>
        <w:rPr>
          <w:b/>
          <w:i w:val="0"/>
        </w:rPr>
        <w:t>VI.8.7; source PDF pp. 188, 189</w:t>
      </w:r>
      <w:r>
        <w:rPr>
          <w:b w:val="0"/>
          <w:i w:val="0"/>
        </w:rPr>
        <w:t>. The Platonist reply differentiates unity surviving severance from growth while attached.</w:t>
      </w:r>
    </w:p>
    <w:p>
      <w:pPr>
        <w:keepNext/>
        <w:widowControl/>
      </w:pPr>
      <w:r>
        <w:rPr>
          <w:b/>
          <w:i w:val="0"/>
        </w:rPr>
        <w:t>In this edition.</w:t>
      </w:r>
    </w:p>
    <w:p>
      <w:pPr>
        <w:widowControl/>
      </w:pPr>
      <w:r>
        <w:rPr>
          <w:b w:val="0"/>
          <w:i w:val="0"/>
        </w:rPr>
        <w:t xml:space="preserve">The apparatus reports that M1482’s authorial correction removes terrae from ab anima terrae at VI.8.7. The reading text therefore has ab anima, while G1559 and P1641 retain the longer wording. </w:t>
      </w:r>
      <w:r>
        <w:t>“</w:t>
      </w:r>
      <w:r>
        <w:rPr>
          <w:b w:val="0"/>
          <w:i w:val="0"/>
        </w:rPr>
        <w:t>Earth-soul</w:t>
      </w:r>
      <w:r>
        <w:t>”</w:t>
      </w:r>
      <w:r>
        <w:rPr>
          <w:b w:val="0"/>
          <w:i w:val="0"/>
        </w:rPr>
        <w:t xml:space="preserve"> may describe the broader context, but should not be printed as the exact phrase in this unit.</w:t>
      </w:r>
    </w:p>
    <w:p>
      <w:pPr>
        <w:keepNext/>
        <w:widowControl/>
      </w:pPr>
      <w:r>
        <w:rPr>
          <w:b/>
          <w:i w:val="0"/>
        </w:rPr>
        <w:t>See also.</w:t>
      </w:r>
    </w:p>
    <w:p>
      <w:pPr>
        <w:widowControl/>
      </w:pPr>
      <w:hyperlink w:anchor="nourishment-and-life-giving-form">
        <w:r>
          <w:rPr>
            <w:color w:val="000000"/>
          </w:rPr>
          <w:t xml:space="preserve">Nourishment and the life-giving form</w:t>
        </w:r>
      </w:hyperlink>
      <w:r>
        <w:rPr>
          <w:b w:val="0"/>
          <w:i w:val="0"/>
        </w:rPr>
        <w:t xml:space="preserve">; </w:t>
      </w:r>
      <w:hyperlink w:anchor="unity-dispersion-and-inward-bond">
        <w:r>
          <w:rPr>
            <w:color w:val="000000"/>
          </w:rPr>
          <w:t xml:space="preserve">Unity, dispersion and the inward bond</w:t>
        </w:r>
      </w:hyperlink>
    </w:p>
    <w:p>
      <w:pPr>
        <w:pStyle w:val="Heading2"/>
      </w:pPr>
      <w:bookmarkStart w:id="122" w:name="eight-motions-and-cold-water"/>
      <w:r>
        <w:rPr>
          <w:b w:val="0"/>
          <w:i w:val="0"/>
        </w:rPr>
        <w:t>Eight motions and the cold-water objection</w:t>
      </w:r>
      <w:bookmarkEnd w:id="122"/>
    </w:p>
    <w:p>
      <w:pPr>
        <w:keepNext/>
        <w:widowControl/>
      </w:pPr>
      <w:r>
        <w:rPr>
          <w:b/>
          <w:i w:val="0"/>
        </w:rPr>
        <w:t>Latin:</w:t>
      </w:r>
      <w:r>
        <w:rPr>
          <w:b w:val="0"/>
          <w:i w:val="0"/>
        </w:rPr>
        <w:t xml:space="preserve"> </w:t>
      </w:r>
      <w:r>
        <w:rPr>
          <w:b w:val="0"/>
          <w:i/>
        </w:rPr>
        <w:t>alteratio</w:t>
      </w:r>
      <w:r>
        <w:rPr>
          <w:b w:val="0"/>
          <w:i w:val="0"/>
        </w:rPr>
        <w:t xml:space="preserve">; </w:t>
      </w:r>
      <w:r>
        <w:rPr>
          <w:b w:val="0"/>
          <w:i/>
        </w:rPr>
        <w:t>generatio</w:t>
      </w:r>
      <w:r>
        <w:rPr>
          <w:b w:val="0"/>
          <w:i w:val="0"/>
        </w:rPr>
        <w:t xml:space="preserve">; </w:t>
      </w:r>
      <w:r>
        <w:rPr>
          <w:b w:val="0"/>
          <w:i/>
        </w:rPr>
        <w:t>corruptio</w:t>
      </w:r>
      <w:r>
        <w:rPr>
          <w:b w:val="0"/>
          <w:i w:val="0"/>
        </w:rPr>
        <w:t xml:space="preserve">; </w:t>
      </w:r>
      <w:r>
        <w:rPr>
          <w:b w:val="0"/>
          <w:i/>
        </w:rPr>
        <w:t>augmentum</w:t>
      </w:r>
      <w:r>
        <w:rPr>
          <w:b w:val="0"/>
          <w:i w:val="0"/>
        </w:rPr>
        <w:t xml:space="preserve">; </w:t>
      </w:r>
      <w:r>
        <w:rPr>
          <w:b w:val="0"/>
          <w:i/>
        </w:rPr>
        <w:t>decrementum</w:t>
      </w:r>
      <w:r>
        <w:rPr>
          <w:b w:val="0"/>
          <w:i w:val="0"/>
        </w:rPr>
        <w:t xml:space="preserve">; </w:t>
      </w:r>
      <w:r>
        <w:rPr>
          <w:b w:val="0"/>
          <w:i/>
        </w:rPr>
        <w:t>condensatio</w:t>
      </w:r>
      <w:r>
        <w:rPr>
          <w:b w:val="0"/>
          <w:i w:val="0"/>
        </w:rPr>
        <w:t xml:space="preserve">; </w:t>
      </w:r>
      <w:r>
        <w:rPr>
          <w:b w:val="0"/>
          <w:i/>
        </w:rPr>
        <w:t>rarefactio</w:t>
      </w:r>
      <w:r>
        <w:rPr>
          <w:b w:val="0"/>
          <w:i w:val="0"/>
        </w:rPr>
        <w:t xml:space="preserve">; </w:t>
      </w:r>
      <w:r>
        <w:rPr>
          <w:b w:val="0"/>
          <w:i/>
        </w:rPr>
        <w:t>progressio</w:t>
      </w:r>
    </w:p>
    <w:p>
      <w:pPr>
        <w:keepNext/>
        <w:widowControl/>
      </w:pPr>
      <w:r>
        <w:rPr>
          <w:b/>
          <w:i w:val="0"/>
        </w:rPr>
        <w:t>The word.</w:t>
      </w:r>
    </w:p>
    <w:p>
      <w:pPr>
        <w:widowControl/>
      </w:pPr>
      <w:r>
        <w:rPr>
          <w:b w:val="0"/>
          <w:i w:val="0"/>
        </w:rPr>
        <w:t xml:space="preserve">The eight motions comprise qualitative alteration, coming-to-be, corruption, increase, decrease, condensation, rarefaction and progression or locomotion. </w:t>
      </w:r>
      <w:r>
        <w:t>“</w:t>
      </w:r>
      <w:r>
        <w:rPr>
          <w:b w:val="0"/>
          <w:i w:val="0"/>
        </w:rPr>
        <w:t>Motion</w:t>
      </w:r>
      <w:r>
        <w:t>”</w:t>
      </w:r>
      <w:r>
        <w:rPr>
          <w:b w:val="0"/>
          <w:i w:val="0"/>
        </w:rPr>
        <w:t xml:space="preserve"> consequently exceeds spatial travel. Secundum virtutem is virtual possession by power, contrasted with a quality present secundum actum.</w:t>
      </w:r>
    </w:p>
    <w:p>
      <w:pPr>
        <w:keepNext/>
        <w:widowControl/>
      </w:pPr>
      <w:r>
        <w:rPr>
          <w:b/>
          <w:i w:val="0"/>
        </w:rPr>
        <w:t>In the Platonic Theology.</w:t>
      </w:r>
    </w:p>
    <w:p>
      <w:pPr>
        <w:widowControl/>
      </w:pPr>
      <w:r>
        <w:rPr>
          <w:b w:val="0"/>
          <w:i w:val="0"/>
        </w:rPr>
        <w:t>The third main proof in VI.12 tests whether body moves itself under any of the eight headings. In self-heating it would have to possess the heat it gives and lack the heat it receives at the same time. An objector proposes water’s retained virtual coldness: after heating, its native power restores actual coldness. The Platonist replies allow either external elements cooling it, or an inward quality-producing power whose own source is incorporeal substance. The second reply therefore distinguishes actual quality, productive power and substantial source rather than merely declaring water unable to cool.</w:t>
      </w:r>
    </w:p>
    <w:p>
      <w:pPr>
        <w:widowControl/>
      </w:pPr>
      <w:r>
        <w:rPr>
          <w:b w:val="0"/>
          <w:i w:val="0"/>
        </w:rPr>
        <w:t>After rejecting bodily self-generation and self-corruption, Ficino reduces growth and diminution to alteration and the generation or loss of bodily parts, and condensation and rarefaction to alteration. Locomotion by passage or circuit is then excluded because a body unable to move itself to its own internal termini is said to be still less capable of reaching external termini. This is the work’s historical metaphysical taxonomy and causal inference, not a modern account of heat flow or mechanics.</w:t>
      </w:r>
    </w:p>
    <w:p>
      <w:pPr>
        <w:keepNext/>
        <w:widowControl/>
      </w:pPr>
      <w:r>
        <w:rPr>
          <w:b/>
          <w:i w:val="0"/>
        </w:rPr>
        <w:t>Places to Read.</w:t>
      </w:r>
    </w:p>
    <w:p>
      <w:pPr>
        <w:ind w:left="187" w:hanging="187"/>
      </w:pPr>
      <w:r>
        <w:t xml:space="preserve">• </w:t>
      </w:r>
      <w:r>
        <w:rPr>
          <w:b/>
          <w:i w:val="0"/>
        </w:rPr>
        <w:t>VI.12.13; source PDF pp. 214, 215</w:t>
      </w:r>
      <w:r>
        <w:rPr>
          <w:b w:val="0"/>
          <w:i w:val="0"/>
        </w:rPr>
        <w:t>. The eightfold list, heating contradiction and water objection introduce the proof.</w:t>
      </w:r>
    </w:p>
    <w:p>
      <w:pPr>
        <w:ind w:left="187" w:hanging="187"/>
      </w:pPr>
      <w:r>
        <w:t xml:space="preserve">• </w:t>
      </w:r>
      <w:r>
        <w:rPr>
          <w:b/>
          <w:i w:val="0"/>
        </w:rPr>
        <w:t>VI.12.15, VI.12.16; source PDF pp. 216, 217</w:t>
      </w:r>
      <w:r>
        <w:rPr>
          <w:b w:val="0"/>
          <w:i w:val="0"/>
        </w:rPr>
        <w:t>. Dependent changes and local movement complete the exclusion of bodily self-motion.</w:t>
      </w:r>
    </w:p>
    <w:p>
      <w:pPr>
        <w:keepNext/>
        <w:widowControl/>
      </w:pPr>
      <w:r>
        <w:rPr>
          <w:b/>
          <w:i w:val="0"/>
        </w:rPr>
        <w:t>In this edition.</w:t>
      </w:r>
    </w:p>
    <w:p>
      <w:pPr>
        <w:widowControl/>
      </w:pPr>
      <w:r>
        <w:t>“</w:t>
      </w:r>
      <w:r>
        <w:rPr>
          <w:b w:val="0"/>
          <w:i w:val="0"/>
        </w:rPr>
        <w:t>Virtually</w:t>
      </w:r>
      <w:r>
        <w:t>”</w:t>
      </w:r>
      <w:r>
        <w:rPr>
          <w:b w:val="0"/>
          <w:i w:val="0"/>
        </w:rPr>
        <w:t xml:space="preserve"> here means in an effective power, not unreal or digitally simulated. The edition preserves </w:t>
      </w:r>
      <w:r>
        <w:t>“</w:t>
      </w:r>
      <w:r>
        <w:rPr>
          <w:b w:val="0"/>
          <w:i w:val="0"/>
        </w:rPr>
        <w:t>own</w:t>
      </w:r>
      <w:r>
        <w:t>”</w:t>
      </w:r>
      <w:r>
        <w:rPr>
          <w:b w:val="0"/>
          <w:i w:val="0"/>
        </w:rPr>
        <w:t xml:space="preserve"> and </w:t>
      </w:r>
      <w:r>
        <w:t>“</w:t>
      </w:r>
      <w:r>
        <w:rPr>
          <w:b w:val="0"/>
          <w:i w:val="0"/>
        </w:rPr>
        <w:t>another’s</w:t>
      </w:r>
      <w:r>
        <w:t>”</w:t>
      </w:r>
      <w:r>
        <w:rPr>
          <w:b w:val="0"/>
          <w:i w:val="0"/>
        </w:rPr>
        <w:t xml:space="preserve"> termini to expose the disputed inference rather than substituting an unexplained general appeal to inertia.</w:t>
      </w:r>
    </w:p>
    <w:p>
      <w:pPr>
        <w:keepNext/>
        <w:widowControl/>
      </w:pPr>
      <w:r>
        <w:rPr>
          <w:b/>
          <w:i w:val="0"/>
        </w:rPr>
        <w:t>See also.</w:t>
      </w:r>
    </w:p>
    <w:p>
      <w:pPr>
        <w:widowControl/>
      </w:pPr>
      <w:hyperlink w:anchor="generation-corruption-and-self-preservation">
        <w:r>
          <w:rPr>
            <w:color w:val="000000"/>
          </w:rPr>
          <w:t xml:space="preserve">Generation, corruption and self-preservation</w:t>
        </w:r>
      </w:hyperlink>
      <w:r>
        <w:rPr>
          <w:b w:val="0"/>
          <w:i w:val="0"/>
        </w:rPr>
        <w:t xml:space="preserve">; </w:t>
      </w:r>
      <w:hyperlink w:anchor="exemplars-of-bodily-motion-in-soul">
        <w:r>
          <w:rPr>
            <w:color w:val="000000"/>
          </w:rPr>
          <w:t xml:space="preserve">Exemplars of bodily motion in soul</w:t>
        </w:r>
      </w:hyperlink>
    </w:p>
    <w:p>
      <w:pPr>
        <w:pStyle w:val="Heading2"/>
      </w:pPr>
      <w:bookmarkStart w:id="123" w:name="elements-conjunction-and-inward-orderer"/>
      <w:r>
        <w:rPr>
          <w:b w:val="0"/>
          <w:i w:val="0"/>
        </w:rPr>
        <w:t>Elements, conjunction and the inward orderer</w:t>
      </w:r>
      <w:bookmarkEnd w:id="123"/>
    </w:p>
    <w:p>
      <w:pPr>
        <w:keepNext/>
        <w:widowControl/>
      </w:pPr>
      <w:r>
        <w:rPr>
          <w:b/>
          <w:i w:val="0"/>
        </w:rPr>
        <w:t>Latin:</w:t>
      </w:r>
      <w:r>
        <w:rPr>
          <w:b w:val="0"/>
          <w:i w:val="0"/>
        </w:rPr>
        <w:t xml:space="preserve"> </w:t>
      </w:r>
      <w:r>
        <w:rPr>
          <w:b w:val="0"/>
          <w:i/>
        </w:rPr>
        <w:t>elementum</w:t>
      </w:r>
      <w:r>
        <w:rPr>
          <w:b w:val="0"/>
          <w:i w:val="0"/>
        </w:rPr>
        <w:t xml:space="preserve">; </w:t>
      </w:r>
      <w:r>
        <w:rPr>
          <w:b w:val="0"/>
          <w:i/>
        </w:rPr>
        <w:t>concursus</w:t>
      </w:r>
      <w:r>
        <w:rPr>
          <w:b w:val="0"/>
          <w:i w:val="0"/>
        </w:rPr>
        <w:t xml:space="preserve">; </w:t>
      </w:r>
      <w:r>
        <w:rPr>
          <w:b w:val="0"/>
          <w:i/>
        </w:rPr>
        <w:t>concursio</w:t>
      </w:r>
      <w:r>
        <w:rPr>
          <w:b w:val="0"/>
          <w:i w:val="0"/>
        </w:rPr>
        <w:t xml:space="preserve">; </w:t>
      </w:r>
      <w:r>
        <w:rPr>
          <w:b w:val="0"/>
          <w:i/>
        </w:rPr>
        <w:t>ordinator</w:t>
      </w:r>
      <w:r>
        <w:rPr>
          <w:b w:val="0"/>
          <w:i w:val="0"/>
        </w:rPr>
        <w:t xml:space="preserve">; </w:t>
      </w:r>
      <w:r>
        <w:rPr>
          <w:b w:val="0"/>
          <w:i/>
        </w:rPr>
        <w:t>conflare</w:t>
      </w:r>
      <w:r>
        <w:rPr>
          <w:b w:val="0"/>
          <w:i w:val="0"/>
        </w:rPr>
        <w:t xml:space="preserve">; </w:t>
      </w:r>
      <w:r>
        <w:rPr>
          <w:b w:val="0"/>
          <w:i/>
        </w:rPr>
        <w:t>vita comes et pedisequa</w:t>
      </w:r>
    </w:p>
    <w:p>
      <w:pPr>
        <w:keepNext/>
        <w:widowControl/>
      </w:pPr>
      <w:r>
        <w:rPr>
          <w:b/>
          <w:i w:val="0"/>
        </w:rPr>
        <w:t>The word.</w:t>
      </w:r>
    </w:p>
    <w:p>
      <w:pPr>
        <w:widowControl/>
      </w:pPr>
      <w:r>
        <w:rPr>
          <w:b w:val="0"/>
          <w:i w:val="0"/>
        </w:rPr>
        <w:t>Concursus and concursio are a coming together of constituents; ordinator is what orders their meeting. Conflare suggests combining or composing. Life as comes and pedisequa is life as companion and attendant, an alternative to directly identifying soul with life.</w:t>
      </w:r>
    </w:p>
    <w:p>
      <w:pPr>
        <w:keepNext/>
        <w:widowControl/>
      </w:pPr>
      <w:r>
        <w:rPr>
          <w:b/>
          <w:i w:val="0"/>
        </w:rPr>
        <w:t>In the Platonic Theology.</w:t>
      </w:r>
    </w:p>
    <w:p>
      <w:pPr>
        <w:widowControl/>
      </w:pPr>
      <w:r>
        <w:rPr>
          <w:b w:val="0"/>
          <w:i w:val="0"/>
        </w:rPr>
        <w:t>VI.11 begins with an allowed pair of formulations: soul either is a kind of life or has life following it, since bodies receive life through soul. A supposed soul-body composed of elements then meets a threefold test. If each element independently lives, there are many souls occupying one seat rather than one composite soul. If none lives, the meeting alone cannot explain life; even if life arises in a conjunction, it does so in a determinate arrangement, requiring an inward orderer. If only some constituent lives, that alone is soul and the others are unnecessary to constitute soul itself.</w:t>
      </w:r>
    </w:p>
    <w:p>
      <w:pPr>
        <w:widowControl/>
      </w:pPr>
      <w:r>
        <w:rPr>
          <w:b w:val="0"/>
          <w:i w:val="0"/>
        </w:rPr>
        <w:t xml:space="preserve">A single element is no escape, since it is composed of matter and form. Formless matter cannot supply life, so the form must be the animating source. Ficino thus distinguishes conjunction from what explains its particular life-producing order. This is his objection to an emergent life from otherwise lifeless constituents; it should neither be recast as a modern experimental disproof of biological emergence nor stripped of its formal-causal premise. The permitted </w:t>
      </w:r>
      <w:r>
        <w:t>“</w:t>
      </w:r>
      <w:r>
        <w:rPr>
          <w:b w:val="0"/>
          <w:i w:val="0"/>
        </w:rPr>
        <w:t>life or attendant life</w:t>
      </w:r>
      <w:r>
        <w:t>”</w:t>
      </w:r>
      <w:r>
        <w:rPr>
          <w:b w:val="0"/>
          <w:i w:val="0"/>
        </w:rPr>
        <w:t xml:space="preserve"> formulation also prevents forcing a stricter identity than the opening states.</w:t>
      </w:r>
    </w:p>
    <w:p>
      <w:pPr>
        <w:keepNext/>
        <w:widowControl/>
      </w:pPr>
      <w:r>
        <w:rPr>
          <w:b/>
          <w:i w:val="0"/>
        </w:rPr>
        <w:t>Places to Read.</w:t>
      </w:r>
    </w:p>
    <w:p>
      <w:pPr>
        <w:ind w:left="187" w:hanging="187"/>
      </w:pPr>
      <w:r>
        <w:t xml:space="preserve">• </w:t>
      </w:r>
      <w:r>
        <w:rPr>
          <w:b/>
          <w:i w:val="0"/>
        </w:rPr>
        <w:t>VI.11.1; source PDF pp. 198, 199</w:t>
      </w:r>
      <w:r>
        <w:rPr>
          <w:b w:val="0"/>
          <w:i w:val="0"/>
        </w:rPr>
        <w:t>. Three possibilities for life in elemental constituents are tested before the single-element case.</w:t>
      </w:r>
    </w:p>
    <w:p>
      <w:pPr>
        <w:ind w:left="187" w:hanging="187"/>
      </w:pPr>
      <w:r>
        <w:t xml:space="preserve">• </w:t>
      </w:r>
      <w:r>
        <w:rPr>
          <w:b/>
          <w:i w:val="0"/>
        </w:rPr>
        <w:t>VI.12.9; source PDF pp. 210, 211</w:t>
      </w:r>
      <w:r>
        <w:rPr>
          <w:b w:val="0"/>
          <w:i w:val="0"/>
        </w:rPr>
        <w:t>. A different opponent later proposes the integrity of the whole as the source of self-motion.</w:t>
      </w:r>
    </w:p>
    <w:p>
      <w:pPr>
        <w:keepNext/>
        <w:widowControl/>
      </w:pPr>
      <w:r>
        <w:rPr>
          <w:b/>
          <w:i w:val="0"/>
        </w:rPr>
        <w:t>In this edition.</w:t>
      </w:r>
    </w:p>
    <w:p>
      <w:pPr>
        <w:widowControl/>
      </w:pPr>
      <w:r>
        <w:rPr>
          <w:b w:val="0"/>
          <w:i w:val="0"/>
        </w:rPr>
        <w:t xml:space="preserve">The apparatus applies the correction aliquid rather than unum aliquid in the final constituent alternative. The local question is where explanatory life resides, not a numerical census of chemical elements. </w:t>
      </w:r>
      <w:r>
        <w:t>“</w:t>
      </w:r>
      <w:r>
        <w:rPr>
          <w:b w:val="0"/>
          <w:i w:val="0"/>
        </w:rPr>
        <w:t>Element</w:t>
      </w:r>
      <w:r>
        <w:t>”</w:t>
      </w:r>
      <w:r>
        <w:rPr>
          <w:b w:val="0"/>
          <w:i w:val="0"/>
        </w:rPr>
        <w:t xml:space="preserve"> retains the work’s historical natural-philosophical meaning.</w:t>
      </w:r>
    </w:p>
    <w:p>
      <w:pPr>
        <w:keepNext/>
        <w:widowControl/>
      </w:pPr>
      <w:r>
        <w:rPr>
          <w:b/>
          <w:i w:val="0"/>
        </w:rPr>
        <w:t>See also.</w:t>
      </w:r>
    </w:p>
    <w:p>
      <w:pPr>
        <w:widowControl/>
      </w:pPr>
      <w:hyperlink w:anchor="integrity-of-the-whole">
        <w:r>
          <w:rPr>
            <w:color w:val="000000"/>
          </w:rPr>
          <w:t xml:space="preserve">Integrity of the whole</w:t>
        </w:r>
      </w:hyperlink>
      <w:r>
        <w:rPr>
          <w:b w:val="0"/>
          <w:i w:val="0"/>
        </w:rPr>
        <w:t xml:space="preserve">; </w:t>
      </w:r>
      <w:hyperlink w:anchor="contrary-powers-and-directed-movement">
        <w:r>
          <w:rPr>
            <w:color w:val="000000"/>
          </w:rPr>
          <w:t xml:space="preserve">Contrary powers and directed movement</w:t>
        </w:r>
      </w:hyperlink>
    </w:p>
    <w:p>
      <w:pPr>
        <w:pStyle w:val="Heading2"/>
      </w:pPr>
      <w:bookmarkStart w:id="124" w:name="essence-and-being"/>
      <w:r>
        <w:rPr>
          <w:b w:val="0"/>
          <w:i w:val="0"/>
        </w:rPr>
        <w:t>Essence and being</w:t>
      </w:r>
      <w:bookmarkEnd w:id="124"/>
    </w:p>
    <w:p>
      <w:pPr>
        <w:keepNext/>
        <w:widowControl/>
      </w:pPr>
      <w:r>
        <w:rPr>
          <w:b/>
          <w:i w:val="0"/>
        </w:rPr>
        <w:t>Latin:</w:t>
      </w:r>
      <w:r>
        <w:rPr>
          <w:b w:val="0"/>
          <w:i w:val="0"/>
        </w:rPr>
        <w:t xml:space="preserve"> </w:t>
      </w:r>
      <w:r>
        <w:rPr>
          <w:b w:val="0"/>
          <w:i/>
        </w:rPr>
        <w:t>essentia</w:t>
      </w:r>
      <w:r>
        <w:rPr>
          <w:b w:val="0"/>
          <w:i w:val="0"/>
        </w:rPr>
        <w:t xml:space="preserve">; </w:t>
      </w:r>
      <w:r>
        <w:rPr>
          <w:b w:val="0"/>
          <w:i/>
        </w:rPr>
        <w:t>esse</w:t>
      </w:r>
      <w:r>
        <w:rPr>
          <w:b w:val="0"/>
          <w:i w:val="0"/>
        </w:rPr>
        <w:t xml:space="preserve">; </w:t>
      </w:r>
      <w:r>
        <w:rPr>
          <w:b w:val="0"/>
          <w:i/>
        </w:rPr>
        <w:t>ratio</w:t>
      </w:r>
      <w:r>
        <w:rPr>
          <w:b w:val="0"/>
          <w:i w:val="0"/>
        </w:rPr>
        <w:t xml:space="preserve">; </w:t>
      </w:r>
      <w:r>
        <w:rPr>
          <w:b w:val="0"/>
          <w:i/>
        </w:rPr>
        <w:t>definitio</w:t>
      </w:r>
      <w:r>
        <w:rPr>
          <w:b w:val="0"/>
          <w:i w:val="0"/>
        </w:rPr>
        <w:t xml:space="preserve">; </w:t>
      </w:r>
      <w:r>
        <w:rPr>
          <w:b w:val="0"/>
          <w:i/>
        </w:rPr>
        <w:t>actus essentiae</w:t>
      </w:r>
      <w:r>
        <w:rPr>
          <w:b w:val="0"/>
          <w:i w:val="0"/>
        </w:rPr>
        <w:t xml:space="preserve">; </w:t>
      </w:r>
      <w:r>
        <w:rPr>
          <w:b w:val="0"/>
          <w:i/>
        </w:rPr>
        <w:t>praesentia</w:t>
      </w:r>
      <w:r>
        <w:rPr>
          <w:b w:val="0"/>
          <w:i w:val="0"/>
        </w:rPr>
        <w:t xml:space="preserve">; </w:t>
      </w:r>
      <w:r>
        <w:rPr>
          <w:b w:val="0"/>
          <w:i/>
        </w:rPr>
        <w:t>existentia</w:t>
      </w:r>
    </w:p>
    <w:p>
      <w:pPr>
        <w:keepNext/>
        <w:widowControl/>
      </w:pPr>
      <w:r>
        <w:rPr>
          <w:b/>
          <w:i w:val="0"/>
        </w:rPr>
        <w:t>The word.</w:t>
      </w:r>
    </w:p>
    <w:p>
      <w:pPr>
        <w:widowControl/>
      </w:pPr>
      <w:r>
        <w:rPr>
          <w:b w:val="0"/>
          <w:i w:val="0"/>
        </w:rPr>
        <w:t>Essentia is what a thing is, grasped in its account or definition; esse is its actual being. V.7 calls esse the act of essence and a certain presence in the world of things. Ratio here is an intelligible account, not necessarily a chain of reasoning or a numerical ratio.</w:t>
      </w:r>
    </w:p>
    <w:p>
      <w:pPr>
        <w:keepNext/>
        <w:widowControl/>
      </w:pPr>
      <w:r>
        <w:rPr>
          <w:b/>
          <w:i w:val="0"/>
        </w:rPr>
        <w:t>In the Platonic Theology.</w:t>
      </w:r>
    </w:p>
    <w:p>
      <w:pPr>
        <w:widowControl/>
      </w:pPr>
      <w:r>
        <w:rPr>
          <w:b w:val="0"/>
          <w:i w:val="0"/>
        </w:rPr>
        <w:t>The comet example in V.7 introduces essence as a defining account and being as its actual occurrence. The account can be true when no comet shines today; a present comet requires a particular place and time. If such coordinates belonged to the common definition, all comets would have to occur together there. Humanity likewise belongs across ages and in East and West, while Plato and Socrates must live in particular conditions. Ficino therefore calls every essence considered in itself immortal, then immediately distinguishes the ways it may be brought into actual being.</w:t>
      </w:r>
    </w:p>
    <w:p>
      <w:pPr>
        <w:widowControl/>
      </w:pPr>
      <w:r>
        <w:rPr>
          <w:b w:val="0"/>
          <w:i w:val="0"/>
        </w:rPr>
        <w:t xml:space="preserve">The comet passage also differentiates a definition’s truth from the existence of its instances. Its definition remains true </w:t>
      </w:r>
      <w:r>
        <w:t>“</w:t>
      </w:r>
      <w:r>
        <w:rPr>
          <w:b w:val="0"/>
          <w:i w:val="0"/>
        </w:rPr>
        <w:t>today</w:t>
      </w:r>
      <w:r>
        <w:t>”</w:t>
      </w:r>
      <w:r>
        <w:rPr>
          <w:b w:val="0"/>
          <w:i w:val="0"/>
        </w:rPr>
        <w:t xml:space="preserve"> without an actually shining comet </w:t>
      </w:r>
      <w:r>
        <w:t>“</w:t>
      </w:r>
      <w:r>
        <w:rPr>
          <w:b w:val="0"/>
          <w:i w:val="0"/>
        </w:rPr>
        <w:t>today.</w:t>
      </w:r>
      <w:r>
        <w:t>”</w:t>
      </w:r>
      <w:r>
        <w:rPr>
          <w:b w:val="0"/>
          <w:i w:val="0"/>
        </w:rPr>
        <w:t xml:space="preserve"> That does not mean an uninstantiated comet has a secret astronomical location. Nor does it establish that Plato’s personal soul is identical with the universal definition of humanity. Ficino uses the contrast to detach defining content from a single spatiotemporal occurrence, then asks in the next unit how an agent determines such a nature to actual being. His language gives the essence considered in itself a wider standing than a modern nominalist might allow; the companion should expose that premise rather than translate it away.</w:t>
      </w:r>
    </w:p>
    <w:p>
      <w:pPr>
        <w:widowControl/>
      </w:pPr>
      <w:r>
        <w:rPr>
          <w:b w:val="0"/>
          <w:i w:val="0"/>
        </w:rPr>
        <w:t>The argument from the receiver’s mode at V.7.2 is the decisive bridge. Whatever receives something receives according to its own character. A form whose being is in matter is subject to matter’s limits; a form whose being is in itself receives according to its own immaterial essence. Because essence as such was already called immortal, the independent form’s act is received immortally. The conclusion is therefore stronger than the definitional observation and depends on the claim of real self-subsistence. Without that premise the reasoning would incorrectly make every definition’s individual instances perpetual; Ficino blocks that route with the contrast between bodily and separate forms.</w:t>
      </w:r>
    </w:p>
    <w:p>
      <w:pPr>
        <w:widowControl/>
      </w:pPr>
      <w:r>
        <w:rPr>
          <w:b w:val="0"/>
          <w:i w:val="0"/>
        </w:rPr>
        <w:t>V.11 then makes the distinction do another kind of work. Essence is what would supposedly remain when an act of being is lost. Ficino provisionally grants the objector this model, then insists that a surviving essence already is. The objection must consequently identify a merely potential destination that avoids actual survival. The following alternatives show why none is available for soul. The essence/being distinction is not an invitation to imagine an actually existing essence with no being; that is precisely the incoherent situation the reductio exposes.</w:t>
      </w:r>
    </w:p>
    <w:p>
      <w:pPr>
        <w:widowControl/>
      </w:pPr>
      <w:r>
        <w:rPr>
          <w:b w:val="0"/>
          <w:i w:val="0"/>
        </w:rPr>
        <w:t xml:space="preserve">Finally, V.13 prevents the language of self-subsisting form from collapsing into divine simplicity. A creature’s being is circumscribed by its essence; its power is circumscribed too, and operation is actualization of that power. Divine being is not another received instance. These distinctions explain why soul can be immaterial and imperishable while still possessing received actuality and a limited created nature. </w:t>
      </w:r>
      <w:r>
        <w:t>“</w:t>
      </w:r>
      <w:r>
        <w:rPr>
          <w:b w:val="0"/>
          <w:i w:val="0"/>
        </w:rPr>
        <w:t>Simple</w:t>
      </w:r>
      <w:r>
        <w:t>”</w:t>
      </w:r>
      <w:r>
        <w:rPr>
          <w:b w:val="0"/>
          <w:i w:val="0"/>
        </w:rPr>
        <w:t xml:space="preserve"> must be read relative to the excluded bodily composition, rather than as an assertion that essence, existence, power and operation are all numerically identical in soul.</w:t>
      </w:r>
    </w:p>
    <w:p>
      <w:pPr>
        <w:keepNext/>
        <w:widowControl/>
      </w:pPr>
      <w:r>
        <w:rPr>
          <w:b/>
          <w:i w:val="0"/>
        </w:rPr>
        <w:t>Places to Read.</w:t>
      </w:r>
    </w:p>
    <w:p>
      <w:pPr>
        <w:ind w:left="187" w:hanging="187"/>
      </w:pPr>
      <w:r>
        <w:t xml:space="preserve">• </w:t>
      </w:r>
      <w:r>
        <w:rPr>
          <w:b/>
          <w:i w:val="0"/>
        </w:rPr>
        <w:t>V.7.1, V.7.2, PDF 34–37.</w:t>
      </w:r>
      <w:r>
        <w:rPr>
          <w:b w:val="0"/>
          <w:i w:val="0"/>
        </w:rPr>
        <w:t xml:space="preserve"> Definition and actual presence are distinguished before bodily and separate modes of being are contrasted.</w:t>
      </w:r>
    </w:p>
    <w:p>
      <w:pPr>
        <w:ind w:left="187" w:hanging="187"/>
      </w:pPr>
      <w:r>
        <w:t xml:space="preserve">• </w:t>
      </w:r>
      <w:r>
        <w:rPr>
          <w:b/>
          <w:i w:val="0"/>
        </w:rPr>
        <w:t>V.11.1, V.11.3, V.11.8, PDF 60–63, 66–67.</w:t>
      </w:r>
      <w:r>
        <w:rPr>
          <w:b w:val="0"/>
          <w:i w:val="0"/>
        </w:rPr>
        <w:t xml:space="preserve"> Essence/being supports the analogy of spiritual potency and its proper act.</w:t>
      </w:r>
    </w:p>
    <w:p>
      <w:pPr>
        <w:ind w:left="187" w:hanging="187"/>
      </w:pPr>
      <w:r>
        <w:t xml:space="preserve">• </w:t>
      </w:r>
      <w:r>
        <w:rPr>
          <w:b/>
          <w:i w:val="0"/>
        </w:rPr>
        <w:t>V.13.3, V.13.7, V.13.8, V.13.9, PDF 80–81, 84–85.</w:t>
      </w:r>
      <w:r>
        <w:rPr>
          <w:b w:val="0"/>
          <w:i w:val="0"/>
        </w:rPr>
        <w:t xml:space="preserve"> Absolute being and the creature’s nonidentity with its act are specified.</w:t>
      </w:r>
    </w:p>
    <w:p>
      <w:pPr>
        <w:keepNext/>
        <w:widowControl/>
      </w:pPr>
      <w:r>
        <w:rPr>
          <w:b/>
          <w:i w:val="0"/>
        </w:rPr>
        <w:t>In this edition.</w:t>
      </w:r>
    </w:p>
    <w:p>
      <w:pPr>
        <w:widowControl/>
      </w:pPr>
      <w:r>
        <w:rPr>
          <w:b w:val="0"/>
          <w:i w:val="0"/>
        </w:rPr>
        <w:t xml:space="preserve">The translation retains esse as </w:t>
      </w:r>
      <w:r>
        <w:t>“</w:t>
      </w:r>
      <w:r>
        <w:rPr>
          <w:b w:val="0"/>
          <w:i w:val="0"/>
        </w:rPr>
        <w:t>being</w:t>
      </w:r>
      <w:r>
        <w:t>”</w:t>
      </w:r>
      <w:r>
        <w:rPr>
          <w:b w:val="0"/>
          <w:i w:val="0"/>
        </w:rPr>
        <w:t xml:space="preserve"> while using verbal constructions when necessary. The long definition in V.7 follows Ficino’s historical comet theory; it is not a modern scientific definition. </w:t>
      </w:r>
      <w:r>
        <w:t>“</w:t>
      </w:r>
      <w:r>
        <w:rPr>
          <w:b w:val="0"/>
          <w:i w:val="0"/>
        </w:rPr>
        <w:t>Every essence</w:t>
      </w:r>
      <w:r>
        <w:t>”</w:t>
      </w:r>
      <w:r>
        <w:rPr>
          <w:b w:val="0"/>
          <w:i w:val="0"/>
        </w:rPr>
        <w:t xml:space="preserve"> is expressly qualified by secundum se ipsam, considered in itself.</w:t>
      </w:r>
    </w:p>
    <w:p>
      <w:pPr>
        <w:keepNext/>
        <w:widowControl/>
      </w:pPr>
      <w:r>
        <w:rPr>
          <w:b/>
          <w:i w:val="0"/>
        </w:rPr>
        <w:t>See also.</w:t>
      </w:r>
    </w:p>
    <w:p>
      <w:pPr>
        <w:widowControl/>
      </w:pPr>
      <w:hyperlink w:anchor="comets-and-defining-accounts">
        <w:r>
          <w:rPr>
            <w:color w:val="000000"/>
          </w:rPr>
          <w:t xml:space="preserve">Comets and defining accounts</w:t>
        </w:r>
      </w:hyperlink>
      <w:r>
        <w:rPr>
          <w:b w:val="0"/>
          <w:i w:val="0"/>
        </w:rPr>
        <w:t xml:space="preserve">; </w:t>
      </w:r>
      <w:hyperlink w:anchor="form-and-formal-being">
        <w:r>
          <w:rPr>
            <w:color w:val="000000"/>
          </w:rPr>
          <w:t xml:space="preserve">Form and formal being</w:t>
        </w:r>
      </w:hyperlink>
      <w:r>
        <w:rPr>
          <w:b w:val="0"/>
          <w:i w:val="0"/>
        </w:rPr>
        <w:t xml:space="preserve">; </w:t>
      </w:r>
      <w:hyperlink w:anchor="creature-power-and-operation">
        <w:r>
          <w:rPr>
            <w:color w:val="000000"/>
          </w:rPr>
          <w:t xml:space="preserve">Creature, power and operation</w:t>
        </w:r>
      </w:hyperlink>
      <w:r>
        <w:rPr>
          <w:b w:val="0"/>
          <w:i w:val="0"/>
        </w:rPr>
        <w:t xml:space="preserve">; </w:t>
      </w:r>
      <w:hyperlink w:anchor="first-cause">
        <w:r>
          <w:rPr>
            <w:color w:val="000000"/>
          </w:rPr>
          <w:t xml:space="preserve">First Cause</w:t>
        </w:r>
      </w:hyperlink>
    </w:p>
    <w:p>
      <w:pPr>
        <w:pStyle w:val="Heading2"/>
      </w:pPr>
      <w:bookmarkStart w:id="125" w:name="essential-presence-and-containment"/>
      <w:r>
        <w:rPr>
          <w:b w:val="0"/>
          <w:i w:val="0"/>
        </w:rPr>
        <w:t>Essential presence and containment</w:t>
      </w:r>
      <w:bookmarkEnd w:id="125"/>
    </w:p>
    <w:p>
      <w:pPr>
        <w:keepNext/>
        <w:widowControl/>
      </w:pPr>
      <w:r>
        <w:rPr>
          <w:b/>
          <w:i w:val="0"/>
        </w:rPr>
        <w:t>Latin:</w:t>
      </w:r>
      <w:r>
        <w:rPr>
          <w:b w:val="0"/>
          <w:i w:val="0"/>
        </w:rPr>
        <w:t xml:space="preserve"> </w:t>
      </w:r>
      <w:r>
        <w:rPr>
          <w:b w:val="0"/>
          <w:i/>
        </w:rPr>
        <w:t>per essentiam</w:t>
      </w:r>
      <w:r>
        <w:rPr>
          <w:b w:val="0"/>
          <w:i w:val="0"/>
        </w:rPr>
        <w:t xml:space="preserve">; </w:t>
      </w:r>
      <w:r>
        <w:rPr>
          <w:b w:val="0"/>
          <w:i/>
        </w:rPr>
        <w:t>per quantitatem</w:t>
      </w:r>
      <w:r>
        <w:rPr>
          <w:b w:val="0"/>
          <w:i w:val="0"/>
        </w:rPr>
        <w:t xml:space="preserve">; </w:t>
      </w:r>
      <w:r>
        <w:rPr>
          <w:b w:val="0"/>
          <w:i/>
        </w:rPr>
        <w:t>adesse</w:t>
      </w:r>
      <w:r>
        <w:rPr>
          <w:b w:val="0"/>
          <w:i w:val="0"/>
        </w:rPr>
        <w:t xml:space="preserve">; </w:t>
      </w:r>
      <w:r>
        <w:rPr>
          <w:b w:val="0"/>
          <w:i/>
        </w:rPr>
        <w:t>comprehendens</w:t>
      </w:r>
      <w:r>
        <w:rPr>
          <w:b w:val="0"/>
          <w:i w:val="0"/>
        </w:rPr>
        <w:t xml:space="preserve">; </w:t>
      </w:r>
      <w:r>
        <w:rPr>
          <w:b w:val="0"/>
          <w:i/>
        </w:rPr>
        <w:t>comprehensa</w:t>
      </w:r>
      <w:r>
        <w:rPr>
          <w:b w:val="0"/>
          <w:i w:val="0"/>
        </w:rPr>
        <w:t xml:space="preserve">; </w:t>
      </w:r>
      <w:r>
        <w:rPr>
          <w:b w:val="0"/>
          <w:i/>
        </w:rPr>
        <w:t>momentum</w:t>
      </w:r>
    </w:p>
    <w:p>
      <w:pPr>
        <w:keepNext/>
        <w:widowControl/>
      </w:pPr>
      <w:r>
        <w:rPr>
          <w:b/>
          <w:i w:val="0"/>
        </w:rPr>
        <w:t>The word.</w:t>
      </w:r>
    </w:p>
    <w:p>
      <w:pPr>
        <w:widowControl/>
      </w:pPr>
      <w:r>
        <w:rPr>
          <w:b w:val="0"/>
          <w:i w:val="0"/>
        </w:rPr>
        <w:t>Adesse means being present, not necessarily occupying a measurable place. Per essentiam and per quantitatem distinguish presence through essence from spatial occupancy through quantity. Comprehendere here contains or embraces; the active/passive contrast is metaphysical rather than solely cognitive.</w:t>
      </w:r>
    </w:p>
    <w:p>
      <w:pPr>
        <w:keepNext/>
        <w:widowControl/>
      </w:pPr>
      <w:r>
        <w:rPr>
          <w:b/>
          <w:i w:val="0"/>
        </w:rPr>
        <w:t>In the Platonic Theology.</w:t>
      </w:r>
    </w:p>
    <w:p>
      <w:pPr>
        <w:widowControl/>
      </w:pPr>
      <w:r>
        <w:rPr>
          <w:b w:val="0"/>
          <w:i w:val="0"/>
        </w:rPr>
        <w:t>At the end of VI.6 Ficino reports short arguments supplied by unnamed others. If soul’s divided parts live, the whole vital nature is in each and does not diminish with division; if they do not, life would be constructed from nonliving things. Other tests contrast bodily perceptibility, boundaries and temporally divisible action with soul’s invisibility, lack of bodily outline and capacity to act in an instant. These compact arguments are not all the same proof and carry a reported introduction.</w:t>
      </w:r>
    </w:p>
    <w:p>
      <w:pPr>
        <w:widowControl/>
      </w:pPr>
      <w:r>
        <w:rPr>
          <w:b w:val="0"/>
          <w:i w:val="0"/>
        </w:rPr>
        <w:t xml:space="preserve">Body fills place by quantity. Soul gives being when present, and being proceeds from essence; its presence is accordingly essential. Nor is it contained by body as a body is by a place. It perfects, contains and guides body. VI.9 elaborates this argument: giving substantial being and operation to each member requires communicating essence and power there. Whole presence is not the distribution of little soul-pieces. The comparative </w:t>
      </w:r>
      <w:r>
        <w:t>“</w:t>
      </w:r>
      <w:r>
        <w:rPr>
          <w:b w:val="0"/>
          <w:i w:val="0"/>
        </w:rPr>
        <w:t>more indivisible than a line or point</w:t>
      </w:r>
      <w:r>
        <w:t>”</w:t>
      </w:r>
      <w:r>
        <w:rPr>
          <w:b w:val="0"/>
          <w:i w:val="0"/>
        </w:rPr>
        <w:t xml:space="preserve"> expresses a superiority to geometrical entities still dependent on a corporeal subject.</w:t>
      </w:r>
    </w:p>
    <w:p>
      <w:pPr>
        <w:keepNext/>
        <w:widowControl/>
      </w:pPr>
      <w:r>
        <w:rPr>
          <w:b/>
          <w:i w:val="0"/>
        </w:rPr>
        <w:t>Places to Read.</w:t>
      </w:r>
    </w:p>
    <w:p>
      <w:pPr>
        <w:ind w:left="187" w:hanging="187"/>
      </w:pPr>
      <w:r>
        <w:t xml:space="preserve">• </w:t>
      </w:r>
      <w:r>
        <w:rPr>
          <w:b/>
          <w:i w:val="0"/>
        </w:rPr>
        <w:t>VI.6.4, VI.6.5; source PDF pp. 180, 181</w:t>
      </w:r>
      <w:r>
        <w:rPr>
          <w:b w:val="0"/>
          <w:i w:val="0"/>
        </w:rPr>
        <w:t>. A reported sequence distinguishes essential presence, containment and quantitative placement.</w:t>
      </w:r>
    </w:p>
    <w:p>
      <w:pPr>
        <w:ind w:left="187" w:hanging="187"/>
      </w:pPr>
      <w:r>
        <w:t xml:space="preserve">• </w:t>
      </w:r>
      <w:r>
        <w:rPr>
          <w:b/>
          <w:i w:val="0"/>
        </w:rPr>
        <w:t>VI.9.2, VI.9.3; source PDF pp. 190, 191, 192, 193</w:t>
      </w:r>
      <w:r>
        <w:rPr>
          <w:b w:val="0"/>
          <w:i w:val="0"/>
        </w:rPr>
        <w:t>. Presence in members is inferred from their being, unity and immanent operations.</w:t>
      </w:r>
    </w:p>
    <w:p>
      <w:pPr>
        <w:keepNext/>
        <w:widowControl/>
      </w:pPr>
      <w:r>
        <w:rPr>
          <w:b/>
          <w:i w:val="0"/>
        </w:rPr>
        <w:t>In this edition.</w:t>
      </w:r>
    </w:p>
    <w:p>
      <w:pPr>
        <w:widowControl/>
      </w:pPr>
      <w:r>
        <w:t>“</w:t>
      </w:r>
      <w:r>
        <w:rPr>
          <w:b w:val="0"/>
          <w:i w:val="0"/>
        </w:rPr>
        <w:t>Comprehended</w:t>
      </w:r>
      <w:r>
        <w:t>”</w:t>
      </w:r>
      <w:r>
        <w:rPr>
          <w:b w:val="0"/>
          <w:i w:val="0"/>
        </w:rPr>
        <w:t xml:space="preserve"> and </w:t>
      </w:r>
      <w:r>
        <w:t>“</w:t>
      </w:r>
      <w:r>
        <w:rPr>
          <w:b w:val="0"/>
          <w:i w:val="0"/>
        </w:rPr>
        <w:t>comprehending</w:t>
      </w:r>
      <w:r>
        <w:t>”</w:t>
      </w:r>
      <w:r>
        <w:rPr>
          <w:b w:val="0"/>
          <w:i w:val="0"/>
        </w:rPr>
        <w:t xml:space="preserve"> should be read through the following verbs perficit, continet and ducit. </w:t>
      </w:r>
      <w:r>
        <w:t>“</w:t>
      </w:r>
      <w:r>
        <w:rPr>
          <w:b w:val="0"/>
          <w:i w:val="0"/>
        </w:rPr>
        <w:t>In an instant</w:t>
      </w:r>
      <w:r>
        <w:t>”</w:t>
      </w:r>
      <w:r>
        <w:rPr>
          <w:b w:val="0"/>
          <w:i w:val="0"/>
        </w:rPr>
        <w:t xml:space="preserve"> is Ficino’s contrast with bodily temporal division, not an empirical claim about modern cognitive processing speed.</w:t>
      </w:r>
    </w:p>
    <w:p>
      <w:pPr>
        <w:keepNext/>
        <w:widowControl/>
      </w:pPr>
      <w:r>
        <w:rPr>
          <w:b/>
          <w:i w:val="0"/>
        </w:rPr>
        <w:t>See also.</w:t>
      </w:r>
    </w:p>
    <w:p>
      <w:pPr>
        <w:widowControl/>
      </w:pPr>
      <w:hyperlink w:anchor="place-coincidence-and-painless-penetration">
        <w:r>
          <w:rPr>
            <w:color w:val="000000"/>
          </w:rPr>
          <w:t xml:space="preserve">Place, coincidence and painless penetration</w:t>
        </w:r>
      </w:hyperlink>
      <w:r>
        <w:rPr>
          <w:b w:val="0"/>
          <w:i w:val="0"/>
        </w:rPr>
        <w:t xml:space="preserve">; </w:t>
      </w:r>
      <w:hyperlink w:anchor="substantial-form-and-receiving-subject">
        <w:r>
          <w:rPr>
            <w:color w:val="000000"/>
          </w:rPr>
          <w:t xml:space="preserve">Substantial form and the receiving subject</w:t>
        </w:r>
      </w:hyperlink>
    </w:p>
    <w:p>
      <w:pPr>
        <w:pStyle w:val="Heading2"/>
      </w:pPr>
      <w:bookmarkStart w:id="126" w:name="exemplars-of-bodily-motion-in-soul"/>
      <w:r>
        <w:rPr>
          <w:b w:val="0"/>
          <w:i w:val="0"/>
        </w:rPr>
        <w:t>Exemplars of bodily motion in soul</w:t>
      </w:r>
      <w:bookmarkEnd w:id="126"/>
    </w:p>
    <w:p>
      <w:pPr>
        <w:keepNext/>
        <w:widowControl/>
      </w:pPr>
      <w:r>
        <w:rPr>
          <w:b/>
          <w:i w:val="0"/>
        </w:rPr>
        <w:t>Latin:</w:t>
      </w:r>
      <w:r>
        <w:rPr>
          <w:b w:val="0"/>
          <w:i w:val="0"/>
        </w:rPr>
        <w:t xml:space="preserve"> </w:t>
      </w:r>
      <w:r>
        <w:rPr>
          <w:b w:val="0"/>
          <w:i/>
        </w:rPr>
        <w:t>exemplar</w:t>
      </w:r>
      <w:r>
        <w:rPr>
          <w:b w:val="0"/>
          <w:i w:val="0"/>
        </w:rPr>
        <w:t xml:space="preserve">; </w:t>
      </w:r>
      <w:r>
        <w:rPr>
          <w:b w:val="0"/>
          <w:i/>
        </w:rPr>
        <w:t>reminisci</w:t>
      </w:r>
      <w:r>
        <w:rPr>
          <w:b w:val="0"/>
          <w:i w:val="0"/>
        </w:rPr>
        <w:t xml:space="preserve">; </w:t>
      </w:r>
      <w:r>
        <w:rPr>
          <w:b w:val="0"/>
          <w:i/>
        </w:rPr>
        <w:t>oblivisci</w:t>
      </w:r>
      <w:r>
        <w:rPr>
          <w:b w:val="0"/>
          <w:i w:val="0"/>
        </w:rPr>
        <w:t xml:space="preserve">; </w:t>
      </w:r>
      <w:r>
        <w:rPr>
          <w:b w:val="0"/>
          <w:i/>
        </w:rPr>
        <w:t>colligere</w:t>
      </w:r>
      <w:r>
        <w:rPr>
          <w:b w:val="0"/>
          <w:i w:val="0"/>
        </w:rPr>
        <w:t xml:space="preserve">; </w:t>
      </w:r>
      <w:r>
        <w:rPr>
          <w:b w:val="0"/>
          <w:i/>
        </w:rPr>
        <w:t>distrahi</w:t>
      </w:r>
      <w:r>
        <w:rPr>
          <w:b w:val="0"/>
          <w:i w:val="0"/>
        </w:rPr>
        <w:t xml:space="preserve">; </w:t>
      </w:r>
      <w:r>
        <w:rPr>
          <w:b w:val="0"/>
          <w:i/>
        </w:rPr>
        <w:t>resolvere</w:t>
      </w:r>
      <w:r>
        <w:rPr>
          <w:b w:val="0"/>
          <w:i w:val="0"/>
        </w:rPr>
        <w:t xml:space="preserve">; </w:t>
      </w:r>
      <w:r>
        <w:rPr>
          <w:b w:val="0"/>
          <w:i/>
        </w:rPr>
        <w:t>deducere</w:t>
      </w:r>
      <w:r>
        <w:rPr>
          <w:b w:val="0"/>
          <w:i w:val="0"/>
        </w:rPr>
        <w:t xml:space="preserve">; </w:t>
      </w:r>
      <w:r>
        <w:rPr>
          <w:b w:val="0"/>
          <w:i/>
        </w:rPr>
        <w:t>reflecti</w:t>
      </w:r>
    </w:p>
    <w:p>
      <w:pPr>
        <w:keepNext/>
        <w:widowControl/>
      </w:pPr>
      <w:r>
        <w:rPr>
          <w:b/>
          <w:i w:val="0"/>
        </w:rPr>
        <w:t>The word.</w:t>
      </w:r>
    </w:p>
    <w:p>
      <w:pPr>
        <w:widowControl/>
      </w:pPr>
      <w:r>
        <w:rPr>
          <w:b w:val="0"/>
          <w:i w:val="0"/>
        </w:rPr>
        <w:t>Exemplaria are patterns or higher counterparts, not bodily movements copied at a smaller scale. Reminisci and oblivisci are recollecting and forgetting; colligere and distrahi gather or scatter attention. Resolvere traces an effect back into its cause, while deducere derives an effect from a cause.</w:t>
      </w:r>
    </w:p>
    <w:p>
      <w:pPr>
        <w:keepNext/>
        <w:widowControl/>
      </w:pPr>
      <w:r>
        <w:rPr>
          <w:b/>
          <w:i w:val="0"/>
        </w:rPr>
        <w:t>In the Platonic Theology.</w:t>
      </w:r>
    </w:p>
    <w:p>
      <w:pPr>
        <w:widowControl/>
      </w:pPr>
      <w:r>
        <w:rPr>
          <w:b w:val="0"/>
          <w:i w:val="0"/>
        </w:rPr>
        <w:t>The catalogue maps each bodily motion onto psychic activity. Attachment to divine things exemplifies generation and to mortal things corruption; recollection increase and forgetting decrease; changing affections alteration; sudden insight or self-collection condensation; discursive ranging or distraction rarefaction. Initial contact with external objects is straight progression, causal return and derivation or self-contemplation circular movement. These are analogues of activity, not literal geometrical displacements.</w:t>
      </w:r>
    </w:p>
    <w:p>
      <w:pPr>
        <w:widowControl/>
      </w:pPr>
      <w:r>
        <w:rPr>
          <w:b w:val="0"/>
          <w:i w:val="0"/>
        </w:rPr>
        <w:t>The directions are then refined: toward body and sense is straight, toward oneself or angel oblique, toward God as origin and end circular; universals are upward and particulars downward; opposed differences of a genus are right and left; causes and effects are forward and backward. This repeated spatial vocabulary expresses intellectual relations. The closing inference calls soul a fountain of motions and explains the derivative self-alteration, nourishment, growth and locomotion of living bodies. Its self-generation and self-corruption remain expressly qualified. Recollection as increase does not make soul physically bigger, a distinction the next chapter will exploit.</w:t>
      </w:r>
    </w:p>
    <w:p>
      <w:pPr>
        <w:keepNext/>
        <w:widowControl/>
      </w:pPr>
      <w:r>
        <w:rPr>
          <w:b/>
          <w:i w:val="0"/>
        </w:rPr>
        <w:t>Places to Read.</w:t>
      </w:r>
    </w:p>
    <w:p>
      <w:pPr>
        <w:ind w:left="187" w:hanging="187"/>
      </w:pPr>
      <w:r>
        <w:t xml:space="preserve">• </w:t>
      </w:r>
      <w:r>
        <w:rPr>
          <w:b/>
          <w:i w:val="0"/>
        </w:rPr>
        <w:t>VI.12.19; source PDF pp. 218, 219</w:t>
      </w:r>
      <w:r>
        <w:rPr>
          <w:b w:val="0"/>
          <w:i w:val="0"/>
        </w:rPr>
        <w:t>. Every psychic exemplar and the second directional scheme is individually specified.</w:t>
      </w:r>
    </w:p>
    <w:p>
      <w:pPr>
        <w:ind w:left="187" w:hanging="187"/>
      </w:pPr>
      <w:r>
        <w:t xml:space="preserve">• </w:t>
      </w:r>
      <w:r>
        <w:rPr>
          <w:b/>
          <w:i w:val="0"/>
        </w:rPr>
        <w:t>VI.12.20; source PDF pp. 220, 221</w:t>
      </w:r>
      <w:r>
        <w:rPr>
          <w:b w:val="0"/>
          <w:i w:val="0"/>
        </w:rPr>
        <w:t>. The fountain image concludes with qualified self-change and derived living motion.</w:t>
      </w:r>
    </w:p>
    <w:p>
      <w:pPr>
        <w:keepNext/>
        <w:widowControl/>
      </w:pPr>
      <w:r>
        <w:rPr>
          <w:b/>
          <w:i w:val="0"/>
        </w:rPr>
        <w:t>In this edition.</w:t>
      </w:r>
    </w:p>
    <w:p>
      <w:pPr>
        <w:widowControl/>
      </w:pPr>
      <w:r>
        <w:rPr>
          <w:b w:val="0"/>
          <w:i w:val="0"/>
        </w:rPr>
        <w:t xml:space="preserve">The edition retains the whole list rather than reducing it to </w:t>
      </w:r>
      <w:r>
        <w:t>“</w:t>
      </w:r>
      <w:r>
        <w:rPr>
          <w:b w:val="0"/>
          <w:i w:val="0"/>
        </w:rPr>
        <w:t>thought is movement.</w:t>
      </w:r>
      <w:r>
        <w:t>”</w:t>
      </w:r>
      <w:r>
        <w:rPr>
          <w:b w:val="0"/>
          <w:i w:val="0"/>
        </w:rPr>
        <w:t xml:space="preserve"> Quodammodo, ut ita dixerim and quasi in VI.12.20 protect the analogy, including the final </w:t>
      </w:r>
      <w:r>
        <w:t>“</w:t>
      </w:r>
      <w:r>
        <w:rPr>
          <w:b w:val="0"/>
          <w:i w:val="0"/>
        </w:rPr>
        <w:t>as though</w:t>
      </w:r>
      <w:r>
        <w:t>”</w:t>
      </w:r>
      <w:r>
        <w:rPr>
          <w:b w:val="0"/>
          <w:i w:val="0"/>
        </w:rPr>
        <w:t xml:space="preserve"> spontaneous motion belonged to life.</w:t>
      </w:r>
    </w:p>
    <w:p>
      <w:pPr>
        <w:keepNext/>
        <w:widowControl/>
      </w:pPr>
      <w:r>
        <w:rPr>
          <w:b/>
          <w:i w:val="0"/>
        </w:rPr>
        <w:t>See also.</w:t>
      </w:r>
    </w:p>
    <w:p>
      <w:pPr>
        <w:widowControl/>
      </w:pPr>
      <w:hyperlink w:anchor="temporal-discourse-and-psychic-ascent">
        <w:r>
          <w:rPr>
            <w:color w:val="000000"/>
          </w:rPr>
          <w:t xml:space="preserve">Temporal discourse and psychic ascent</w:t>
        </w:r>
      </w:hyperlink>
      <w:r>
        <w:rPr>
          <w:b w:val="0"/>
          <w:i w:val="0"/>
        </w:rPr>
        <w:t xml:space="preserve">; </w:t>
      </w:r>
      <w:hyperlink w:anchor="growth-amputation-and-soul-size">
        <w:r>
          <w:rPr>
            <w:color w:val="000000"/>
          </w:rPr>
          <w:t xml:space="preserve">Growth, amputation and soul-size</w:t>
        </w:r>
      </w:hyperlink>
    </w:p>
    <w:p>
      <w:pPr>
        <w:pStyle w:val="Heading2"/>
      </w:pPr>
      <w:bookmarkStart w:id="127" w:name="viii-finite-angels"/>
      <w:r>
        <w:rPr>
          <w:b w:val="0"/>
          <w:i w:val="0"/>
        </w:rPr>
        <w:t>Finite angels, infinite act, and infinite potency</w:t>
      </w:r>
      <w:bookmarkEnd w:id="127"/>
    </w:p>
    <w:p>
      <w:pPr>
        <w:keepNext/>
        <w:widowControl/>
      </w:pPr>
      <w:r>
        <w:rPr>
          <w:b/>
          <w:i w:val="0"/>
        </w:rPr>
        <w:t>Latin:</w:t>
      </w:r>
      <w:r>
        <w:rPr>
          <w:b w:val="0"/>
          <w:i w:val="0"/>
        </w:rPr>
        <w:t xml:space="preserve"> </w:t>
      </w:r>
      <w:r>
        <w:rPr>
          <w:b w:val="0"/>
          <w:i/>
        </w:rPr>
        <w:t>angelus finitus</w:t>
      </w:r>
      <w:r>
        <w:rPr>
          <w:b w:val="0"/>
          <w:i w:val="0"/>
        </w:rPr>
        <w:t xml:space="preserve">; </w:t>
      </w:r>
      <w:r>
        <w:rPr>
          <w:b w:val="0"/>
          <w:i/>
        </w:rPr>
        <w:t>spiritus infinitus</w:t>
      </w:r>
      <w:r>
        <w:rPr>
          <w:b w:val="0"/>
          <w:i w:val="0"/>
        </w:rPr>
        <w:t xml:space="preserve">; </w:t>
      </w:r>
      <w:r>
        <w:rPr>
          <w:b w:val="0"/>
          <w:i/>
        </w:rPr>
        <w:t>actus infinitus</w:t>
      </w:r>
      <w:r>
        <w:rPr>
          <w:b w:val="0"/>
          <w:i w:val="0"/>
        </w:rPr>
        <w:t xml:space="preserve">; </w:t>
      </w:r>
      <w:r>
        <w:rPr>
          <w:b w:val="0"/>
          <w:i/>
        </w:rPr>
        <w:t>potentia infinita</w:t>
      </w:r>
      <w:r>
        <w:rPr>
          <w:b w:val="0"/>
          <w:i w:val="0"/>
        </w:rPr>
        <w:t xml:space="preserve">; </w:t>
      </w:r>
      <w:r>
        <w:rPr>
          <w:b w:val="0"/>
          <w:i/>
        </w:rPr>
        <w:t>unitas</w:t>
      </w:r>
      <w:r>
        <w:rPr>
          <w:b w:val="0"/>
          <w:i w:val="0"/>
        </w:rPr>
        <w:t xml:space="preserve">; </w:t>
      </w:r>
      <w:r>
        <w:rPr>
          <w:b w:val="0"/>
          <w:i/>
        </w:rPr>
        <w:t>multitudo</w:t>
      </w:r>
    </w:p>
    <w:p>
      <w:pPr>
        <w:keepNext/>
        <w:widowControl/>
      </w:pPr>
      <w:r>
        <w:rPr>
          <w:b/>
          <w:i w:val="0"/>
        </w:rPr>
        <w:t>The word.</w:t>
      </w:r>
    </w:p>
    <w:p>
      <w:pPr>
        <w:widowControl/>
      </w:pPr>
      <w:r>
        <w:rPr>
          <w:b w:val="0"/>
          <w:i w:val="0"/>
        </w:rPr>
        <w:t>The infinite act is God; infinite potency is matter subject to God and receptive to indefinitely many forms. These are opposed modes, not two independent equal first principles. An angel remains a finite spirit, however elevated it is conceived.</w:t>
      </w:r>
    </w:p>
    <w:p>
      <w:pPr>
        <w:keepNext/>
        <w:widowControl/>
      </w:pPr>
      <w:r>
        <w:rPr>
          <w:b/>
          <w:i w:val="0"/>
        </w:rPr>
        <w:t>In the Platonic Theology.</w:t>
      </w:r>
    </w:p>
    <w:p>
      <w:pPr>
        <w:widowControl/>
      </w:pPr>
      <w:r>
        <w:rPr>
          <w:b w:val="0"/>
          <w:i w:val="0"/>
        </w:rPr>
        <w:t>Thought ascends beyond celestial spheres and imagines an angel higher than any finite angel already considered. As long as each remains finite, the ascent can continue. The mind ends the regress by concluding to an infinite spirit beyond every actual or conceivable angel. This is an argument from finite grades to a transcendent terminus, not a census showing that infinitely many actual angels occupy successively higher ranks.</w:t>
      </w:r>
    </w:p>
    <w:p>
      <w:pPr>
        <w:widowControl/>
      </w:pPr>
      <w:r>
        <w:rPr>
          <w:b w:val="0"/>
          <w:i w:val="0"/>
        </w:rPr>
        <w:t>The same cognitive power discovers infinite act and infinite potency. Matter is expressly subdita deo, subject to God, and capable of receiving forms from that source. Ficino then envisages the indefinite succession of generation flowing from act into receptive potency. The possibility of infinite temporal succession is not automatically an assertion that a particular material individual has always existed.</w:t>
      </w:r>
    </w:p>
    <w:p>
      <w:pPr>
        <w:widowControl/>
      </w:pPr>
      <w:r>
        <w:rPr>
          <w:b w:val="0"/>
          <w:i w:val="0"/>
        </w:rPr>
        <w:t>Universality supplies another route: indefinitely many humans fall under humanity; species gather into genus; genera into essence; essence is referred to divine unity, truth and goodness. Thought can descend again into multiplicity. Its power makes many one in understanding without physically compressing individuals into a lump or dissolving their differences.</w:t>
      </w:r>
    </w:p>
    <w:p>
      <w:pPr>
        <w:widowControl/>
      </w:pPr>
      <w:r>
        <w:rPr>
          <w:b w:val="0"/>
          <w:i w:val="0"/>
        </w:rPr>
        <w:t>This passage is important for the First Cause because it holds hierarchy, causal dependence and cognitive ascent together. The mind capable of conceiving the infinite source is not thereby that source, and matter’s receptivity does not replace God’s productive act.</w:t>
      </w:r>
    </w:p>
    <w:p>
      <w:pPr>
        <w:keepNext/>
        <w:widowControl/>
      </w:pPr>
      <w:r>
        <w:rPr>
          <w:b/>
          <w:i w:val="0"/>
        </w:rPr>
        <w:t>Places to Read.</w:t>
      </w:r>
    </w:p>
    <w:p>
      <w:pPr>
        <w:ind w:left="187" w:hanging="187"/>
      </w:pPr>
      <w:r>
        <w:t xml:space="preserve">• </w:t>
      </w:r>
      <w:r>
        <w:rPr>
          <w:b/>
          <w:i w:val="0"/>
        </w:rPr>
        <w:t>VIII.16.2, PDF pp. 372–373.</w:t>
      </w:r>
      <w:r>
        <w:rPr>
          <w:b w:val="0"/>
          <w:i w:val="0"/>
        </w:rPr>
        <w:t xml:space="preserve"> The ascending finite-angels argument leads to God, then to the act/potency contrast and the universal gathering of many into one.</w:t>
      </w:r>
    </w:p>
    <w:p>
      <w:pPr>
        <w:keepNext/>
        <w:widowControl/>
      </w:pPr>
      <w:r>
        <w:rPr>
          <w:b/>
          <w:i w:val="0"/>
        </w:rPr>
        <w:t>In this edition.</w:t>
      </w:r>
    </w:p>
    <w:p>
      <w:pPr>
        <w:widowControl/>
      </w:pPr>
      <w:r>
        <w:rPr>
          <w:b w:val="0"/>
          <w:i w:val="0"/>
        </w:rPr>
        <w:t xml:space="preserve">The source preserves </w:t>
      </w:r>
      <w:r>
        <w:t>“</w:t>
      </w:r>
      <w:r>
        <w:rPr>
          <w:b w:val="0"/>
          <w:i w:val="0"/>
        </w:rPr>
        <w:t>in some manner</w:t>
      </w:r>
      <w:r>
        <w:t>”</w:t>
      </w:r>
      <w:r>
        <w:rPr>
          <w:b w:val="0"/>
          <w:i w:val="0"/>
        </w:rPr>
        <w:t xml:space="preserve"> for mind’s infinite power, while calling God infinite act. Potentia is best retained as potency here; translating it simply as powerful matter would reverse its receptive function. The corrected quolibet governs universali.</w:t>
      </w:r>
    </w:p>
    <w:p>
      <w:pPr>
        <w:keepNext/>
        <w:widowControl/>
      </w:pPr>
      <w:r>
        <w:rPr>
          <w:b/>
          <w:i w:val="0"/>
        </w:rPr>
        <w:t>See also.</w:t>
      </w:r>
    </w:p>
    <w:p>
      <w:pPr>
        <w:widowControl/>
      </w:pPr>
      <w:hyperlink w:anchor="viii-universal-idea">
        <w:r>
          <w:rPr>
            <w:color w:val="000000"/>
          </w:rPr>
          <w:t xml:space="preserve">Common nature, participation, and the divine Idea</w:t>
        </w:r>
      </w:hyperlink>
      <w:r>
        <w:rPr>
          <w:b w:val="0"/>
          <w:i w:val="0"/>
        </w:rPr>
        <w:t xml:space="preserve">; </w:t>
      </w:r>
      <w:hyperlink w:anchor="viii-infinity-measure">
        <w:r>
          <w:rPr>
            <w:color w:val="000000"/>
          </w:rPr>
          <w:t xml:space="preserve">Measuring infinity and thinking being and nonbeing</w:t>
        </w:r>
      </w:hyperlink>
      <w:r>
        <w:rPr>
          <w:b w:val="0"/>
          <w:i w:val="0"/>
        </w:rPr>
        <w:t xml:space="preserve">; </w:t>
      </w:r>
      <w:hyperlink w:anchor="viii-divine-enlargement">
        <w:r>
          <w:rPr>
            <w:color w:val="000000"/>
          </w:rPr>
          <w:t xml:space="preserve">Insatiable desire and divine enlargement</w:t>
        </w:r>
      </w:hyperlink>
    </w:p>
    <w:p>
      <w:pPr>
        <w:pStyle w:val="Heading2"/>
      </w:pPr>
      <w:bookmarkStart w:id="128" w:name="first-cause"/>
      <w:r>
        <w:rPr>
          <w:b w:val="0"/>
          <w:i w:val="0"/>
        </w:rPr>
        <w:t>First Cause, principal causes and causal dependence</w:t>
      </w:r>
      <w:bookmarkEnd w:id="128"/>
    </w:p>
    <w:p>
      <w:pPr>
        <w:keepNext/>
        <w:widowControl/>
      </w:pPr>
      <w:r>
        <w:rPr>
          <w:b/>
          <w:i w:val="0"/>
        </w:rPr>
        <w:t>Latin:</w:t>
      </w:r>
      <w:r>
        <w:rPr>
          <w:b w:val="0"/>
          <w:i w:val="0"/>
        </w:rPr>
        <w:t xml:space="preserve"> </w:t>
      </w:r>
      <w:r>
        <w:rPr>
          <w:b w:val="0"/>
          <w:i/>
        </w:rPr>
        <w:t>causa prima</w:t>
      </w:r>
      <w:r>
        <w:rPr>
          <w:b w:val="0"/>
          <w:i w:val="0"/>
        </w:rPr>
        <w:t xml:space="preserve">; </w:t>
      </w:r>
      <w:r>
        <w:rPr>
          <w:b w:val="0"/>
          <w:i/>
        </w:rPr>
        <w:t>prima rerum causa</w:t>
      </w:r>
      <w:r>
        <w:rPr>
          <w:b w:val="0"/>
          <w:i w:val="0"/>
        </w:rPr>
        <w:t xml:space="preserve">; </w:t>
      </w:r>
      <w:r>
        <w:rPr>
          <w:b w:val="0"/>
          <w:i/>
        </w:rPr>
        <w:t>primum principium</w:t>
      </w:r>
      <w:r>
        <w:rPr>
          <w:b w:val="0"/>
          <w:i w:val="0"/>
        </w:rPr>
        <w:t xml:space="preserve">; </w:t>
      </w:r>
      <w:r>
        <w:rPr>
          <w:b w:val="0"/>
          <w:i/>
        </w:rPr>
        <w:t>causa principalis</w:t>
      </w:r>
      <w:r>
        <w:rPr>
          <w:b w:val="0"/>
          <w:i w:val="0"/>
        </w:rPr>
        <w:t xml:space="preserve">; </w:t>
      </w:r>
      <w:r>
        <w:rPr>
          <w:b w:val="0"/>
          <w:i/>
        </w:rPr>
        <w:t>agens principale</w:t>
      </w:r>
      <w:r>
        <w:rPr>
          <w:b w:val="0"/>
          <w:i w:val="0"/>
        </w:rPr>
        <w:t xml:space="preserve">; </w:t>
      </w:r>
      <w:r>
        <w:rPr>
          <w:b w:val="0"/>
          <w:i/>
        </w:rPr>
        <w:t>causae sequentes</w:t>
      </w:r>
      <w:r>
        <w:rPr>
          <w:b w:val="0"/>
          <w:i w:val="0"/>
        </w:rPr>
        <w:t xml:space="preserve">; </w:t>
      </w:r>
      <w:r>
        <w:rPr>
          <w:b w:val="0"/>
          <w:i/>
        </w:rPr>
        <w:t>causa efficiens</w:t>
      </w:r>
      <w:r>
        <w:rPr>
          <w:b w:val="0"/>
          <w:i w:val="0"/>
        </w:rPr>
        <w:t xml:space="preserve">; </w:t>
      </w:r>
      <w:r>
        <w:rPr>
          <w:b w:val="0"/>
          <w:i/>
        </w:rPr>
        <w:t>causa finalis</w:t>
      </w:r>
      <w:r>
        <w:rPr>
          <w:b w:val="0"/>
          <w:i w:val="0"/>
        </w:rPr>
        <w:t xml:space="preserve">; </w:t>
      </w:r>
      <w:r>
        <w:rPr>
          <w:b w:val="0"/>
          <w:i/>
        </w:rPr>
        <w:t>causa formalis</w:t>
      </w:r>
      <w:r>
        <w:rPr>
          <w:b w:val="0"/>
          <w:i w:val="0"/>
        </w:rPr>
        <w:t xml:space="preserve">; </w:t>
      </w:r>
      <w:r>
        <w:rPr>
          <w:b w:val="0"/>
          <w:i/>
        </w:rPr>
        <w:t>per se</w:t>
      </w:r>
      <w:r>
        <w:rPr>
          <w:b w:val="0"/>
          <w:i w:val="0"/>
        </w:rPr>
        <w:t xml:space="preserve">; </w:t>
      </w:r>
      <w:r>
        <w:rPr>
          <w:b w:val="0"/>
          <w:i/>
        </w:rPr>
        <w:t>per aliud</w:t>
      </w:r>
    </w:p>
    <w:p>
      <w:pPr>
        <w:keepNext/>
        <w:widowControl/>
      </w:pPr>
      <w:r>
        <w:rPr>
          <w:b/>
          <w:i w:val="0"/>
        </w:rPr>
        <w:t>The word.</w:t>
      </w:r>
    </w:p>
    <w:p>
      <w:pPr>
        <w:widowControl/>
      </w:pPr>
      <w:r>
        <w:rPr>
          <w:b w:val="0"/>
          <w:i w:val="0"/>
        </w:rPr>
        <w:t xml:space="preserve">A </w:t>
      </w:r>
      <w:r>
        <w:rPr>
          <w:b w:val="0"/>
          <w:i/>
        </w:rPr>
        <w:t>causa</w:t>
      </w:r>
      <w:r>
        <w:rPr>
          <w:b w:val="0"/>
          <w:i w:val="0"/>
        </w:rPr>
        <w:t xml:space="preserve"> is that through which something is, comes to be, or receives a determination. </w:t>
      </w:r>
      <w:r>
        <w:rPr>
          <w:b w:val="0"/>
          <w:i/>
        </w:rPr>
        <w:t>Prima</w:t>
      </w:r>
      <w:r>
        <w:rPr>
          <w:b w:val="0"/>
          <w:i w:val="0"/>
        </w:rPr>
        <w:t xml:space="preserve"> identifies what is first in an order; in the central passages of this volume, the first cause is God, the source on which all things depend for being. </w:t>
      </w:r>
      <w:r>
        <w:rPr>
          <w:b w:val="0"/>
          <w:i/>
        </w:rPr>
        <w:t>Principium</w:t>
      </w:r>
      <w:r>
        <w:rPr>
          <w:b w:val="0"/>
          <w:i w:val="0"/>
        </w:rPr>
        <w:t xml:space="preserve"> is a beginning, source or explanatory principle. In V.10, </w:t>
      </w:r>
      <w:r>
        <w:rPr>
          <w:b w:val="0"/>
          <w:i/>
        </w:rPr>
        <w:t>primum principium</w:t>
      </w:r>
      <w:r>
        <w:rPr>
          <w:b w:val="0"/>
          <w:i w:val="0"/>
        </w:rPr>
        <w:t xml:space="preserve"> and </w:t>
      </w:r>
      <w:r>
        <w:rPr>
          <w:b w:val="0"/>
          <w:i/>
        </w:rPr>
        <w:t>causa prima</w:t>
      </w:r>
      <w:r>
        <w:rPr>
          <w:b w:val="0"/>
          <w:i w:val="0"/>
        </w:rPr>
        <w:t xml:space="preserve"> refer to the same divine source while describing it as principle and cause respectively. Neither expression by itself requires an event earlier than every other event.</w:t>
      </w:r>
    </w:p>
    <w:p>
      <w:pPr>
        <w:widowControl/>
      </w:pPr>
      <w:r>
        <w:rPr>
          <w:b w:val="0"/>
          <w:i/>
        </w:rPr>
        <w:t>Principalis</w:t>
      </w:r>
      <w:r>
        <w:rPr>
          <w:b w:val="0"/>
          <w:i w:val="0"/>
        </w:rPr>
        <w:t xml:space="preserve"> means principal or chief. A principal cause is distinguished from an instrument within a specified operation. In VII.8.1 the question is what governs an animal’s growth: the soul is the directing agent, whereas heat serves as an instrument. A principal cause of growth is therefore not automatically the first cause of all being. The dictionary forms displayed above are lookup forms; the exact constructions include </w:t>
      </w:r>
      <w:r>
        <w:rPr>
          <w:b w:val="0"/>
          <w:i/>
        </w:rPr>
        <w:t>causam primam</w:t>
      </w:r>
      <w:r>
        <w:rPr>
          <w:b w:val="0"/>
          <w:i w:val="0"/>
        </w:rPr>
        <w:t xml:space="preserve">, </w:t>
      </w:r>
      <w:r>
        <w:rPr>
          <w:b w:val="0"/>
          <w:i/>
        </w:rPr>
        <w:t>a prima rerum causa</w:t>
      </w:r>
      <w:r>
        <w:rPr>
          <w:b w:val="0"/>
          <w:i w:val="0"/>
        </w:rPr>
        <w:t xml:space="preserve">, </w:t>
      </w:r>
      <w:r>
        <w:rPr>
          <w:b w:val="0"/>
          <w:i/>
        </w:rPr>
        <w:t>ad primum principium</w:t>
      </w:r>
      <w:r>
        <w:rPr>
          <w:b w:val="0"/>
          <w:i w:val="0"/>
        </w:rPr>
        <w:t xml:space="preserve">, </w:t>
      </w:r>
      <w:r>
        <w:rPr>
          <w:b w:val="0"/>
          <w:i/>
        </w:rPr>
        <w:t>tamquam causa principali</w:t>
      </w:r>
      <w:r>
        <w:rPr>
          <w:b w:val="0"/>
          <w:i w:val="0"/>
        </w:rPr>
        <w:t xml:space="preserve"> and </w:t>
      </w:r>
      <w:r>
        <w:rPr>
          <w:b w:val="0"/>
          <w:i/>
        </w:rPr>
        <w:t>principalis agentis</w:t>
      </w:r>
      <w:r>
        <w:rPr>
          <w:b w:val="0"/>
          <w:i w:val="0"/>
        </w:rPr>
        <w:t>.</w:t>
      </w:r>
    </w:p>
    <w:p>
      <w:pPr>
        <w:widowControl/>
      </w:pPr>
      <w:r>
        <w:t>“</w:t>
      </w:r>
      <w:r>
        <w:rPr>
          <w:b w:val="0"/>
          <w:i w:val="0"/>
        </w:rPr>
        <w:t>Primary cause</w:t>
      </w:r>
      <w:r>
        <w:t>”</w:t>
      </w:r>
      <w:r>
        <w:rPr>
          <w:b w:val="0"/>
          <w:i w:val="0"/>
        </w:rPr>
        <w:t xml:space="preserve"> needs particular care. That exact English phrase does not occur in the supplied Volume II, and its numbered Latin text has no form of </w:t>
      </w:r>
      <w:r>
        <w:rPr>
          <w:b w:val="0"/>
          <w:i/>
        </w:rPr>
        <w:t>primarius</w:t>
      </w:r>
      <w:r>
        <w:rPr>
          <w:b w:val="0"/>
          <w:i w:val="0"/>
        </w:rPr>
        <w:t xml:space="preserve">. The translation does use </w:t>
      </w:r>
      <w:r>
        <w:t>“</w:t>
      </w:r>
      <w:r>
        <w:rPr>
          <w:b w:val="0"/>
          <w:i w:val="0"/>
        </w:rPr>
        <w:t>primary intention</w:t>
      </w:r>
      <w:r>
        <w:t>”</w:t>
      </w:r>
      <w:r>
        <w:rPr>
          <w:b w:val="0"/>
          <w:i w:val="0"/>
        </w:rPr>
        <w:t xml:space="preserve"> for </w:t>
      </w:r>
      <w:r>
        <w:rPr>
          <w:b w:val="0"/>
          <w:i/>
        </w:rPr>
        <w:t>principali … proposito</w:t>
      </w:r>
      <w:r>
        <w:rPr>
          <w:b w:val="0"/>
          <w:i w:val="0"/>
        </w:rPr>
        <w:t xml:space="preserve"> in V.5.2, </w:t>
      </w:r>
      <w:r>
        <w:t>“</w:t>
      </w:r>
      <w:r>
        <w:rPr>
          <w:b w:val="0"/>
          <w:i w:val="0"/>
        </w:rPr>
        <w:t>primary motion</w:t>
      </w:r>
      <w:r>
        <w:t>”</w:t>
      </w:r>
      <w:r>
        <w:rPr>
          <w:b w:val="0"/>
          <w:i w:val="0"/>
        </w:rPr>
        <w:t xml:space="preserve"> for the language of </w:t>
      </w:r>
      <w:r>
        <w:rPr>
          <w:b w:val="0"/>
          <w:i/>
        </w:rPr>
        <w:t>primo</w:t>
      </w:r>
      <w:r>
        <w:rPr>
          <w:b w:val="0"/>
          <w:i w:val="0"/>
        </w:rPr>
        <w:t xml:space="preserve"> in V.1, and </w:t>
      </w:r>
      <w:r>
        <w:t>“</w:t>
      </w:r>
      <w:r>
        <w:rPr>
          <w:b w:val="0"/>
          <w:i w:val="0"/>
        </w:rPr>
        <w:t>principal cause</w:t>
      </w:r>
      <w:r>
        <w:t>”</w:t>
      </w:r>
      <w:r>
        <w:rPr>
          <w:b w:val="0"/>
          <w:i w:val="0"/>
        </w:rPr>
        <w:t xml:space="preserve"> in VII.8.1. A reader encountering </w:t>
      </w:r>
      <w:r>
        <w:t>“</w:t>
      </w:r>
      <w:r>
        <w:rPr>
          <w:b w:val="0"/>
          <w:i w:val="0"/>
        </w:rPr>
        <w:t>primary cause</w:t>
      </w:r>
      <w:r>
        <w:t>”</w:t>
      </w:r>
      <w:r>
        <w:rPr>
          <w:b w:val="0"/>
          <w:i w:val="0"/>
        </w:rPr>
        <w:t xml:space="preserve"> in another translation should first check which Latin expression and which contrast lie behind it. It can be an English label for the first cause, or a way of describing the chief agent; the English adjective alone does not establish a second divine cause.</w:t>
      </w:r>
    </w:p>
    <w:p>
      <w:pPr>
        <w:keepNext/>
        <w:widowControl/>
      </w:pPr>
      <w:r>
        <w:rPr>
          <w:b/>
          <w:i w:val="0"/>
        </w:rPr>
        <w:t>In the Platonic Theology.</w:t>
      </w:r>
    </w:p>
    <w:p>
      <w:pPr>
        <w:widowControl/>
      </w:pPr>
      <w:r>
        <w:rPr>
          <w:b w:val="0"/>
          <w:i w:val="0"/>
        </w:rPr>
        <w:t xml:space="preserve">The central question is not simply which thing caused an earlier thing. It is what an effect receives, from what kind of source it receives it, and whether that dependence makes its existence vulnerable to bodily dissolution. God, rational soul, bodily form, heat and an instrument can all enter causal accounts, but they do not enter them in the same way. The distinction between an ultimate source and a chief agent within a particular operation provides the first orientation; the distinctions between the four causes, formal self-possession and efficient production then make that orientation precise. V.2.1 explicitly establishes that </w:t>
      </w:r>
      <w:r>
        <w:t>“</w:t>
      </w:r>
      <w:r>
        <w:rPr>
          <w:b w:val="0"/>
          <w:i w:val="0"/>
        </w:rPr>
        <w:t>soul</w:t>
      </w:r>
      <w:r>
        <w:t>”</w:t>
      </w:r>
      <w:r>
        <w:rPr>
          <w:b w:val="0"/>
          <w:i w:val="0"/>
        </w:rPr>
        <w:t xml:space="preserve"> in this discussion normally means rational soul; the account of its immediate creation must not be extended without qualification to every lower form of life.</w:t>
      </w:r>
    </w:p>
    <w:p>
      <w:pPr>
        <w:widowControl/>
      </w:pPr>
      <w:r>
        <w:rPr>
          <w:b/>
          <w:i w:val="0"/>
        </w:rPr>
        <w:t>Four causes and unequal kinds of independence.</w:t>
      </w:r>
      <w:r>
        <w:rPr>
          <w:b w:val="0"/>
          <w:i w:val="0"/>
        </w:rPr>
        <w:t xml:space="preserve"> V.5.1 names efficient cause, end, matter and form. In its human example, universal nature together with a human being is the efficient cause, human happiness is the end, body is matter, and soul is form. These are explanatory roles rather than four competing makers. God alone excludes all four kinds of cause from his own dependence: nothing makes, constitutes or completes him. Every lower being still has an efficient cause and an end. The subsequent ascent therefore cannot mean that soul becomes a second uncaused divine being.</w:t>
      </w:r>
    </w:p>
    <w:p>
      <w:pPr>
        <w:widowControl/>
      </w:pPr>
      <w:r>
        <w:rPr>
          <w:b w:val="0"/>
          <w:i w:val="0"/>
        </w:rPr>
        <w:t xml:space="preserve">Ficino distinguishes levels by what each requires. A natural body requires all four causes. Quality is already a form and so does not require another formal cause in that respect, but remains dependent on matter, a producer and an end. The third essence, soul, is free from material dependence as well: it has efficient and final causes but no matter or additional form as constitutive causes. The soul’s inclination toward matter is not its dependence on matter for being. The angel’s further superiority in V.5.5 concerns its lack of that inclination; the argument does not make angel or soul independent of God. Thus </w:t>
      </w:r>
      <w:r>
        <w:rPr>
          <w:b w:val="0"/>
          <w:i/>
        </w:rPr>
        <w:t>per se</w:t>
      </w:r>
      <w:r>
        <w:rPr>
          <w:b w:val="0"/>
          <w:i w:val="0"/>
        </w:rPr>
        <w:t xml:space="preserve"> has a qualified use for soul and an unqualified use for God. To translate both with </w:t>
      </w:r>
      <w:r>
        <w:t>“</w:t>
      </w:r>
      <w:r>
        <w:rPr>
          <w:b w:val="0"/>
          <w:i w:val="0"/>
        </w:rPr>
        <w:t>through itself</w:t>
      </w:r>
      <w:r>
        <w:t>”</w:t>
      </w:r>
      <w:r>
        <w:rPr>
          <w:b w:val="0"/>
          <w:i w:val="0"/>
        </w:rPr>
        <w:t xml:space="preserve"> and then treat the two beings as equally self-originating would erase the chapter’s argument.</w:t>
      </w:r>
    </w:p>
    <w:p>
      <w:pPr>
        <w:widowControl/>
      </w:pPr>
      <w:r>
        <w:rPr>
          <w:b/>
          <w:i w:val="0"/>
        </w:rPr>
        <w:t>First cause and first principle in V.10.</w:t>
      </w:r>
      <w:r>
        <w:rPr>
          <w:b w:val="0"/>
          <w:i w:val="0"/>
        </w:rPr>
        <w:t xml:space="preserve"> V.10.1 takes up a possible objection: perhaps the soul exists always only under some condition. Ficino allows its relation to the first cause, but denies that the condition is bodily assistance. All things remain in being through their relation to the first cause. That source is the purest act, and lower things resemble it through form rather than through matter. A natural composite bears the likeness through only one constitutive part; a form immersed in body is in turn related to the first cause through a higher source. V.10.2 describes the dependent bodily image as hanging from a face reflected in a mirror. The image cannot simply detach itself and retain its being.</w:t>
      </w:r>
    </w:p>
    <w:p>
      <w:pPr>
        <w:widowControl/>
      </w:pPr>
      <w:r>
        <w:rPr>
          <w:b w:val="0"/>
          <w:i w:val="0"/>
        </w:rPr>
        <w:t xml:space="preserve">The argument uses </w:t>
      </w:r>
      <w:r>
        <w:t>“</w:t>
      </w:r>
      <w:r>
        <w:rPr>
          <w:b w:val="0"/>
          <w:i w:val="0"/>
        </w:rPr>
        <w:t>first cause,</w:t>
      </w:r>
      <w:r>
        <w:t>”</w:t>
      </w:r>
      <w:r>
        <w:rPr>
          <w:b w:val="0"/>
          <w:i w:val="0"/>
        </w:rPr>
        <w:t xml:space="preserve"> </w:t>
      </w:r>
      <w:r>
        <w:t>“</w:t>
      </w:r>
      <w:r>
        <w:rPr>
          <w:b w:val="0"/>
          <w:i w:val="0"/>
        </w:rPr>
        <w:t>first principle,</w:t>
      </w:r>
      <w:r>
        <w:t>”</w:t>
      </w:r>
      <w:r>
        <w:rPr>
          <w:b w:val="0"/>
          <w:i w:val="0"/>
        </w:rPr>
        <w:t xml:space="preserve"> and God within the same connected sequence. These are descriptions of the same source, not a list of three separate entities. </w:t>
      </w:r>
      <w:r>
        <w:rPr>
          <w:b w:val="0"/>
          <w:i/>
        </w:rPr>
        <w:t>Principium</w:t>
      </w:r>
      <w:r>
        <w:rPr>
          <w:b w:val="0"/>
          <w:i w:val="0"/>
        </w:rPr>
        <w:t xml:space="preserve"> emphasizes the source or ground toward which the account is traced; </w:t>
      </w:r>
      <w:r>
        <w:rPr>
          <w:b w:val="0"/>
          <w:i/>
        </w:rPr>
        <w:t>causa</w:t>
      </w:r>
      <w:r>
        <w:rPr>
          <w:b w:val="0"/>
          <w:i w:val="0"/>
        </w:rPr>
        <w:t xml:space="preserve"> emphasizes dependence and production. At the lower level, by contrast, soul mediates the production of bodily qualities through its changing operations. Those effects change because their mode of dependence includes that mutable operation. The distinction is between how the effect depends and what kind of stability belongs to the dependent effect, not between dependence and complete autonomy.</w:t>
      </w:r>
    </w:p>
    <w:p>
      <w:pPr>
        <w:widowControl/>
      </w:pPr>
      <w:r>
        <w:rPr>
          <w:b w:val="0"/>
          <w:i w:val="0"/>
        </w:rPr>
        <w:t>V.10.3 then argues that soul relates to God through its own stable essence. The soul is the cause of its own relation, and the relation is the source of its perfection. This carefully limited claim does not say that soul efficiently creates its own essence. Ficino’s concluding image keeps both sides together: God continually overflows, while soul continually draws and drinks being. Soul’s stable relation to God through its own essence is the way in which it remains dependent upon the divine source. The image joins permanence to reception rather than replacing reception with self-sufficiency.</w:t>
      </w:r>
    </w:p>
    <w:p>
      <w:pPr>
        <w:widowControl/>
      </w:pPr>
      <w:r>
        <w:rPr>
          <w:b/>
          <w:i w:val="0"/>
        </w:rPr>
        <w:t>Being itself and determinate effects.</w:t>
      </w:r>
      <w:r>
        <w:rPr>
          <w:b w:val="0"/>
          <w:i w:val="0"/>
        </w:rPr>
        <w:t xml:space="preserve"> V.13.1–4 distinguishes the common gift of being from the particular modes in which things are. The chapter opens by reporting that Plotinus, Proclus and some other Platonists make soul originate from angel, then explicitly prefers Dionysius, Origen and Augustine on its production by God alone. Those affiliations are Ficino’s presentation here; the argument does not establish the exact wording or full position of every named author independently.</w:t>
      </w:r>
    </w:p>
    <w:p>
      <w:pPr>
        <w:widowControl/>
      </w:pPr>
      <w:r>
        <w:rPr>
          <w:b w:val="0"/>
          <w:i w:val="0"/>
        </w:rPr>
        <w:t>The common feature of all effects is that they are. Particular effects also have determinate conditions: being human, being hot, being this individual, being of a particular kind. Ficino assigns being itself to God and diverse determinations to diverse causes acting through God’s power. His examples are deliberately concrete: that someone is comes from God; that the person is human also involves a human parent; that someone is hot can come from fire. The parent and the fire are not thereby competing first causes. They contribute particular effects within an order whose agents, powers and effects already depend upon the universal source.</w:t>
      </w:r>
    </w:p>
    <w:p>
      <w:pPr>
        <w:widowControl/>
      </w:pPr>
      <w:r>
        <w:rPr>
          <w:b w:val="0"/>
          <w:i w:val="0"/>
        </w:rPr>
        <w:t xml:space="preserve">V.13.4 explicitly matches the first gift, being itself, with the first cause, and second or third gifts with subsequent causes. The phrase here is </w:t>
      </w:r>
      <w:r>
        <w:rPr>
          <w:b w:val="0"/>
          <w:i/>
        </w:rPr>
        <w:t>sequentibus causis</w:t>
      </w:r>
      <w:r>
        <w:rPr>
          <w:b w:val="0"/>
          <w:i w:val="0"/>
        </w:rPr>
        <w:t xml:space="preserve">, </w:t>
      </w:r>
      <w:r>
        <w:t>“</w:t>
      </w:r>
      <w:r>
        <w:rPr>
          <w:b w:val="0"/>
          <w:i w:val="0"/>
        </w:rPr>
        <w:t>subsequent causes.</w:t>
      </w:r>
      <w:r>
        <w:t>”</w:t>
      </w:r>
      <w:r>
        <w:rPr>
          <w:b w:val="0"/>
          <w:i w:val="0"/>
        </w:rPr>
        <w:t xml:space="preserve"> It should not be misquoted as a printed occurrence of </w:t>
      </w:r>
      <w:r>
        <w:rPr>
          <w:b w:val="0"/>
          <w:i/>
        </w:rPr>
        <w:t>causae secundae</w:t>
      </w:r>
      <w:r>
        <w:rPr>
          <w:b w:val="0"/>
          <w:i w:val="0"/>
        </w:rPr>
        <w:t xml:space="preserve">. </w:t>
      </w:r>
      <w:r>
        <w:t>“</w:t>
      </w:r>
      <w:r>
        <w:rPr>
          <w:b w:val="0"/>
          <w:i w:val="0"/>
        </w:rPr>
        <w:t>Secondary causes</w:t>
      </w:r>
      <w:r>
        <w:t>”</w:t>
      </w:r>
      <w:r>
        <w:rPr>
          <w:b w:val="0"/>
          <w:i w:val="0"/>
        </w:rPr>
        <w:t xml:space="preserve"> is a useful explanatory grouping, provided the reader understands that it describes their subordinate role rather than supplying the exact wording of this sentence. Likewise, </w:t>
      </w:r>
      <w:r>
        <w:t>“</w:t>
      </w:r>
      <w:r>
        <w:rPr>
          <w:b w:val="0"/>
          <w:i w:val="0"/>
        </w:rPr>
        <w:t>being after nothing</w:t>
      </w:r>
      <w:r>
        <w:t>”</w:t>
      </w:r>
      <w:r>
        <w:rPr>
          <w:b w:val="0"/>
          <w:i w:val="0"/>
        </w:rPr>
        <w:t xml:space="preserve"> in V.13.3–4 marks the explanatory priority of being over its determinations. The same chapter states that creation does not occur through motion or time. It therefore cannot be reduced to a sequence in which nothingness is an earlier material waiting to be changed.</w:t>
      </w:r>
    </w:p>
    <w:p>
      <w:pPr>
        <w:widowControl/>
      </w:pPr>
      <w:r>
        <w:rPr>
          <w:b/>
          <w:i w:val="0"/>
        </w:rPr>
        <w:t>Creation and the limits of an instrument.</w:t>
      </w:r>
      <w:r>
        <w:rPr>
          <w:b w:val="0"/>
          <w:i w:val="0"/>
        </w:rPr>
        <w:t xml:space="preserve"> A created producer acts upon a foundation and brings a possibility into actuality: the sculptor works stone, and a human parent generates from seed. Nothingness, by contrast, is not a receptive material or an undeveloped capacity. V.13.5–6 argues that the transition from nothing to being requires an unlimited power. V.13.7–13 adds that a creature’s essence, being, power and operation are distinguishable; its operative power is received and bounded. God alone creates in the strict sense at issue. </w:t>
      </w:r>
      <w:r>
        <w:t>“</w:t>
      </w:r>
      <w:r>
        <w:rPr>
          <w:b w:val="0"/>
          <w:i w:val="0"/>
        </w:rPr>
        <w:t>No creature creates</w:t>
      </w:r>
      <w:r>
        <w:t>”</w:t>
      </w:r>
      <w:r>
        <w:rPr>
          <w:b w:val="0"/>
          <w:i w:val="0"/>
        </w:rPr>
        <w:t xml:space="preserve"> here does not mean that creatures cannot generate, make artifacts, heat bodies or perform real actions. It means that they do not supply being from no preexisting subject.</w:t>
      </w:r>
    </w:p>
    <w:p>
      <w:pPr>
        <w:widowControl/>
      </w:pPr>
      <w:r>
        <w:rPr>
          <w:b w:val="0"/>
          <w:i w:val="0"/>
        </w:rPr>
        <w:t>V.13.14 tests a proposed compromise: could God be the craftsman while an angel acts as the instrument through which the soul is created? Ficino rejects this proposal. As he describes an instrument here, it is moved by another, affects an underlying subject and conveys the principal agent’s form into that subject over time. Creation requires neither substrate nor motion nor time. V.13.15–16 adds that the divine power would be limited if it had first to be received in a finite angel for the work that requires limitless power. The soul therefore depends immediately on God for its creation. This conclusion concerns the proposed creative instrument; it does not abolish every kind of subordinate agency or every mediation in nature.</w:t>
      </w:r>
    </w:p>
    <w:p>
      <w:pPr>
        <w:widowControl/>
      </w:pPr>
      <w:r>
        <w:rPr>
          <w:b w:val="0"/>
          <w:i w:val="0"/>
        </w:rPr>
        <w:t>V.13.18 makes the distinction explicit in a report attributed to Timaeus and Plato. Rational soul originates immediately through the Idea of life, while irrational life proceeds through rational soul as an intermediary. The immediate source acts stably; the mediated production involves the soul’s mutable activity, so the derivative life is mutable in itself. Ficino then qualifies this through the Platonists’ account of life impressed on an ethereal vehicle as on an enduring mirror, as contrasted with life impressed on a perishable composite body, and defers further treatment. The report’s qualifications should remain attached to it. Immediate rational-soul creation and derivative animation are distinct causal questions.</w:t>
      </w:r>
    </w:p>
    <w:p>
      <w:pPr>
        <w:widowControl/>
      </w:pPr>
      <w:r>
        <w:rPr>
          <w:b/>
          <w:i w:val="0"/>
        </w:rPr>
        <w:t>Principal cause in growth.</w:t>
      </w:r>
      <w:r>
        <w:rPr>
          <w:b w:val="0"/>
          <w:i w:val="0"/>
        </w:rPr>
        <w:t xml:space="preserve"> VII.8.1 places the distinction within a different operation. Heat can penetrate and dissolve food, but digestion must produce living flesh and the animal’s determinate figure. Growth also has a particular magnitude and limit, whereas heat spreads according to the material available. Ficino therefore denies that heat is the principal cause or principal craftsman of growth. The soul’s nutritive power directs heat as its instrument and specifies the ordered result. The chief agent of this bounded activity remains a created soul, itself dependent upon God. The contrast is soul and heat within nourishment and growth; it is not God and a rival first cause.</w:t>
      </w:r>
    </w:p>
    <w:p>
      <w:pPr>
        <w:widowControl/>
      </w:pPr>
      <w:r>
        <w:rPr>
          <w:b w:val="0"/>
          <w:i w:val="0"/>
        </w:rPr>
        <w:t xml:space="preserve">These claims belong to Ficino’s historical natural philosophy. Their explanatory structure can be described without presenting his physiology as contemporary biological evidence. The important lexical point is that an agent can be principal relative to an instrument while subordinate relative to the source of its own being. Conversely, calling God principal in an account does not automatically identify every other use of </w:t>
      </w:r>
      <w:r>
        <w:rPr>
          <w:b w:val="0"/>
          <w:i/>
        </w:rPr>
        <w:t>principalis</w:t>
      </w:r>
      <w:r>
        <w:rPr>
          <w:b w:val="0"/>
          <w:i w:val="0"/>
        </w:rPr>
        <w:t xml:space="preserve"> with God.</w:t>
      </w:r>
    </w:p>
    <w:p>
      <w:pPr>
        <w:widowControl/>
      </w:pPr>
      <w:r>
        <w:rPr>
          <w:b/>
          <w:i w:val="0"/>
        </w:rPr>
        <w:t>Formal self-causation is not efficient self-creation.</w:t>
      </w:r>
      <w:r>
        <w:rPr>
          <w:b w:val="0"/>
          <w:i w:val="0"/>
        </w:rPr>
        <w:t xml:space="preserve"> VIII.15 returns to mind’s reflexive activity. Ficino argues that mind forms and perfects itself through understanding and willing, and distinguishes the persistence of the knowing subject from the succession by which a natural kind continues in offspring. He mentions Proclus’s stronger claim that soul has its essence from itself, but ends the report by leaving that assertion to Proclus. The distancing phrase must not disappear from a summary.</w:t>
      </w:r>
    </w:p>
    <w:p>
      <w:pPr>
        <w:widowControl/>
      </w:pPr>
      <w:r>
        <w:rPr>
          <w:b w:val="0"/>
          <w:i w:val="0"/>
        </w:rPr>
        <w:t>VIII.15.3 gives the decisive limit: mind is its own cause formally, not efficiently. Its form and reflexive life account for the way in which its being is possessed and preserved; it is not its own creator. VIII.16.4 likewise insists that the enlargement by which mind extends beyond determinate bodily limits is implanted and preserved by God, rather than owned in complete independence. These late chapters reinforce the distinction established by V.5: an incorporeal soul can possess being and act through itself without becoming the first cause of itself.</w:t>
      </w:r>
    </w:p>
    <w:p>
      <w:pPr>
        <w:widowControl/>
      </w:pPr>
      <w:r>
        <w:rPr>
          <w:b/>
          <w:i w:val="0"/>
        </w:rPr>
        <w:t>Preservation and immortality.</w:t>
      </w:r>
      <w:r>
        <w:rPr>
          <w:b w:val="0"/>
          <w:i w:val="0"/>
        </w:rPr>
        <w:t xml:space="preserve"> The causal analysis serves the volume’s central question. V.13.17 argues that the source needed for the soul to come to be is also sufficient for it to remain, and that God preserves through the same power by which he creates. An intervening bodily support cannot fail and separate soul from its preserver, because that is not the kind of dependence assigned to the soul’s essence. The passage allows the alternative of a soul that has a beginning yet no end. An argument for continuing existence therefore does not by itself establish that an individual soul has always existed. Nor does the soul’s immediate origin make soul and angel equal: V.13.16 differentiates the divine exemplars under which they are produced.</w:t>
      </w:r>
    </w:p>
    <w:p>
      <w:pPr>
        <w:widowControl/>
      </w:pPr>
      <w:r>
        <w:rPr>
          <w:b w:val="0"/>
          <w:i w:val="0"/>
        </w:rPr>
        <w:t>The safest reading sequence is consequently to ask four questions. What effect is being explained: being itself, a determinate bodily change, or the soul’s own formal activity? Which causal role is named: efficient, final, material or formal? Is the comparison between the universal source and subsequent causes, or between a principal agent and an instrument? Finally, is the dependence absolute or qualified in a particular respect? Keeping those questions separate removes much of the apparent conflict among first cause, principal cause, first principle and self-causation.</w:t>
      </w:r>
    </w:p>
    <w:p>
      <w:pPr>
        <w:keepNext/>
        <w:widowControl/>
      </w:pPr>
      <w:r>
        <w:rPr>
          <w:b/>
          <w:i w:val="0"/>
        </w:rPr>
        <w:t>Places to Read.</w:t>
      </w:r>
    </w:p>
    <w:p>
      <w:pPr>
        <w:ind w:left="187" w:hanging="187"/>
      </w:pPr>
      <w:r>
        <w:t xml:space="preserve">• </w:t>
      </w:r>
      <w:r>
        <w:rPr>
          <w:b/>
          <w:i w:val="0"/>
        </w:rPr>
        <w:t>V.2.1, PDF 12–13.</w:t>
      </w:r>
      <w:r>
        <w:rPr>
          <w:b w:val="0"/>
          <w:i w:val="0"/>
        </w:rPr>
        <w:t xml:space="preserve"> Ficino specifies the rational-soul scope of the discussion and distinguishes irrational lives as images of souls.</w:t>
      </w:r>
    </w:p>
    <w:p>
      <w:pPr>
        <w:ind w:left="187" w:hanging="187"/>
      </w:pPr>
      <w:r>
        <w:t xml:space="preserve">• </w:t>
      </w:r>
      <w:r>
        <w:rPr>
          <w:b/>
          <w:i w:val="0"/>
        </w:rPr>
        <w:t>V.5.1–5, PDF 26–29.</w:t>
      </w:r>
      <w:r>
        <w:rPr>
          <w:b w:val="0"/>
          <w:i w:val="0"/>
        </w:rPr>
        <w:t xml:space="preserve"> The four causes and the graduated uses of </w:t>
      </w:r>
      <w:r>
        <w:rPr>
          <w:b w:val="0"/>
          <w:i/>
        </w:rPr>
        <w:t>per se</w:t>
      </w:r>
      <w:r>
        <w:rPr>
          <w:b w:val="0"/>
          <w:i w:val="0"/>
        </w:rPr>
        <w:t>: soul retains efficient and final dependence although free from material dependence.</w:t>
      </w:r>
    </w:p>
    <w:p>
      <w:pPr>
        <w:ind w:left="187" w:hanging="187"/>
      </w:pPr>
      <w:r>
        <w:t xml:space="preserve">• </w:t>
      </w:r>
      <w:r>
        <w:rPr>
          <w:b/>
          <w:i w:val="0"/>
        </w:rPr>
        <w:t>V.10.1–3, PDF 54–59.</w:t>
      </w:r>
      <w:r>
        <w:rPr>
          <w:b w:val="0"/>
          <w:i w:val="0"/>
        </w:rPr>
        <w:t xml:space="preserve"> First cause, first principle and God name the same ultimate source; the conclusion joins soul’s stable relation to God through its own essence to continual reception of being.</w:t>
      </w:r>
    </w:p>
    <w:p>
      <w:pPr>
        <w:ind w:left="187" w:hanging="187"/>
      </w:pPr>
      <w:r>
        <w:t xml:space="preserve">• </w:t>
      </w:r>
      <w:r>
        <w:rPr>
          <w:b/>
          <w:i w:val="0"/>
        </w:rPr>
        <w:t>V.13.1–4, PDF 78–81.</w:t>
      </w:r>
      <w:r>
        <w:rPr>
          <w:b w:val="0"/>
          <w:i w:val="0"/>
        </w:rPr>
        <w:t xml:space="preserve"> The reported Platonic disagreement, God as cause of being, determinate effects of other causes, and the sequence of first and subsequent gifts.</w:t>
      </w:r>
    </w:p>
    <w:p>
      <w:pPr>
        <w:ind w:left="187" w:hanging="187"/>
      </w:pPr>
      <w:r>
        <w:t xml:space="preserve">• </w:t>
      </w:r>
      <w:r>
        <w:rPr>
          <w:b/>
          <w:i w:val="0"/>
        </w:rPr>
        <w:t>V.13.5–13, PDF 82–87.</w:t>
      </w:r>
      <w:r>
        <w:rPr>
          <w:b w:val="0"/>
          <w:i w:val="0"/>
        </w:rPr>
        <w:t xml:space="preserve"> Created production presupposes a foundation and limited operative power; strict creation does not.</w:t>
      </w:r>
    </w:p>
    <w:p>
      <w:pPr>
        <w:ind w:left="187" w:hanging="187"/>
      </w:pPr>
      <w:r>
        <w:t xml:space="preserve">• </w:t>
      </w:r>
      <w:r>
        <w:rPr>
          <w:b/>
          <w:i w:val="0"/>
        </w:rPr>
        <w:t>V.13.14–17, PDF 88–91.</w:t>
      </w:r>
      <w:r>
        <w:rPr>
          <w:b w:val="0"/>
          <w:i w:val="0"/>
        </w:rPr>
        <w:t xml:space="preserve"> The proposed angelic instrument is rejected; immediate creation and preservation do not require beginningless existence.</w:t>
      </w:r>
    </w:p>
    <w:p>
      <w:pPr>
        <w:ind w:left="187" w:hanging="187"/>
      </w:pPr>
      <w:r>
        <w:t xml:space="preserve">• </w:t>
      </w:r>
      <w:r>
        <w:rPr>
          <w:b/>
          <w:i w:val="0"/>
        </w:rPr>
        <w:t>V.13.18, PDF 92–93.</w:t>
      </w:r>
      <w:r>
        <w:rPr>
          <w:b w:val="0"/>
          <w:i w:val="0"/>
        </w:rPr>
        <w:t xml:space="preserve"> The reported contrast between immediate rational soul and derivative irrational life preserves a place for natural mediation.</w:t>
      </w:r>
    </w:p>
    <w:p>
      <w:pPr>
        <w:ind w:left="187" w:hanging="187"/>
      </w:pPr>
      <w:r>
        <w:t xml:space="preserve">• </w:t>
      </w:r>
      <w:r>
        <w:rPr>
          <w:b/>
          <w:i w:val="0"/>
        </w:rPr>
        <w:t>VII.8.1, PDF 264–265.</w:t>
      </w:r>
      <w:r>
        <w:rPr>
          <w:b w:val="0"/>
          <w:i w:val="0"/>
        </w:rPr>
        <w:t xml:space="preserve"> Heat is denied the role of principal cause of growth; nutritive soul directs it as an instrument.</w:t>
      </w:r>
    </w:p>
    <w:p>
      <w:pPr>
        <w:ind w:left="187" w:hanging="187"/>
      </w:pPr>
      <w:r>
        <w:t xml:space="preserve">• </w:t>
      </w:r>
      <w:r>
        <w:rPr>
          <w:b/>
          <w:i w:val="0"/>
        </w:rPr>
        <w:t>VIII.15.2–3, PDF 366–369.</w:t>
      </w:r>
      <w:r>
        <w:rPr>
          <w:b w:val="0"/>
          <w:i w:val="0"/>
        </w:rPr>
        <w:t xml:space="preserve"> The Proclean self-production report is qualified, and formal self-causation is explicitly distinguished from efficient causation.</w:t>
      </w:r>
    </w:p>
    <w:p>
      <w:pPr>
        <w:ind w:left="187" w:hanging="187"/>
      </w:pPr>
      <w:r>
        <w:t xml:space="preserve">• </w:t>
      </w:r>
      <w:r>
        <w:rPr>
          <w:b/>
          <w:i w:val="0"/>
        </w:rPr>
        <w:t>VIII.16.4, PDF 376–377.</w:t>
      </w:r>
      <w:r>
        <w:rPr>
          <w:b w:val="0"/>
          <w:i w:val="0"/>
        </w:rPr>
        <w:t xml:space="preserve"> The mind’s enlarged power remains implanted and preserved by God.</w:t>
      </w:r>
    </w:p>
    <w:p>
      <w:pPr>
        <w:keepNext/>
        <w:widowControl/>
      </w:pPr>
      <w:r>
        <w:rPr>
          <w:b/>
          <w:i w:val="0"/>
        </w:rPr>
        <w:t>In this edition.</w:t>
      </w:r>
    </w:p>
    <w:p>
      <w:pPr>
        <w:widowControl/>
      </w:pPr>
      <w:r>
        <w:rPr>
          <w:b w:val="0"/>
          <w:i w:val="0"/>
        </w:rPr>
        <w:t xml:space="preserve">The comparison-unit references are editorial divisions of the supplied Diotimos proof. </w:t>
      </w:r>
      <w:r>
        <w:t>“</w:t>
      </w:r>
      <w:r>
        <w:rPr>
          <w:b w:val="0"/>
          <w:i w:val="0"/>
        </w:rPr>
        <w:t>First cause</w:t>
      </w:r>
      <w:r>
        <w:t>”</w:t>
      </w:r>
      <w:r>
        <w:rPr>
          <w:b w:val="0"/>
          <w:i w:val="0"/>
        </w:rPr>
        <w:t xml:space="preserve"> and </w:t>
      </w:r>
      <w:r>
        <w:t>“</w:t>
      </w:r>
      <w:r>
        <w:rPr>
          <w:b w:val="0"/>
          <w:i w:val="0"/>
        </w:rPr>
        <w:t>first principle</w:t>
      </w:r>
      <w:r>
        <w:t>”</w:t>
      </w:r>
      <w:r>
        <w:rPr>
          <w:b w:val="0"/>
          <w:i w:val="0"/>
        </w:rPr>
        <w:t xml:space="preserve"> in V.10 follow </w:t>
      </w:r>
      <w:r>
        <w:rPr>
          <w:b w:val="0"/>
          <w:i/>
        </w:rPr>
        <w:t>causa prima</w:t>
      </w:r>
      <w:r>
        <w:rPr>
          <w:b w:val="0"/>
          <w:i w:val="0"/>
        </w:rPr>
        <w:t xml:space="preserve"> and </w:t>
      </w:r>
      <w:r>
        <w:rPr>
          <w:b w:val="0"/>
          <w:i/>
        </w:rPr>
        <w:t>primum principium</w:t>
      </w:r>
      <w:r>
        <w:rPr>
          <w:b w:val="0"/>
          <w:i w:val="0"/>
        </w:rPr>
        <w:t xml:space="preserve">. </w:t>
      </w:r>
      <w:r>
        <w:t>“</w:t>
      </w:r>
      <w:r>
        <w:rPr>
          <w:b w:val="0"/>
          <w:i w:val="0"/>
        </w:rPr>
        <w:t>Principal cause</w:t>
      </w:r>
      <w:r>
        <w:t>”</w:t>
      </w:r>
      <w:r>
        <w:rPr>
          <w:b w:val="0"/>
          <w:i w:val="0"/>
        </w:rPr>
        <w:t xml:space="preserve"> in VII.8.1 follows </w:t>
      </w:r>
      <w:r>
        <w:rPr>
          <w:b w:val="0"/>
          <w:i/>
        </w:rPr>
        <w:t>causa principali</w:t>
      </w:r>
      <w:r>
        <w:rPr>
          <w:b w:val="0"/>
          <w:i w:val="0"/>
        </w:rPr>
        <w:t xml:space="preserve">. The article’s English discussion of </w:t>
      </w:r>
      <w:r>
        <w:t>“</w:t>
      </w:r>
      <w:r>
        <w:rPr>
          <w:b w:val="0"/>
          <w:i w:val="0"/>
        </w:rPr>
        <w:t>primary cause</w:t>
      </w:r>
      <w:r>
        <w:t>”</w:t>
      </w:r>
      <w:r>
        <w:rPr>
          <w:b w:val="0"/>
          <w:i w:val="0"/>
        </w:rPr>
        <w:t xml:space="preserve"> explains a possible reader’s confusion; it does not manufacture that phrase as a quotation from this volume.</w:t>
      </w:r>
    </w:p>
    <w:p>
      <w:pPr>
        <w:widowControl/>
      </w:pPr>
      <w:r>
        <w:rPr>
          <w:b w:val="0"/>
          <w:i w:val="0"/>
        </w:rPr>
        <w:t xml:space="preserve">The apparatus reports </w:t>
      </w:r>
      <w:r>
        <w:rPr>
          <w:b w:val="0"/>
          <w:i/>
        </w:rPr>
        <w:t>mutabiliter</w:t>
      </w:r>
      <w:r>
        <w:rPr>
          <w:b w:val="0"/>
          <w:i w:val="0"/>
        </w:rPr>
        <w:t xml:space="preserve"> in V.10.2 against a later </w:t>
      </w:r>
      <w:r>
        <w:rPr>
          <w:b w:val="0"/>
          <w:i/>
        </w:rPr>
        <w:t>mirabiliter</w:t>
      </w:r>
      <w:r>
        <w:rPr>
          <w:b w:val="0"/>
          <w:i w:val="0"/>
        </w:rPr>
        <w:t xml:space="preserve">, so the relation of bodily effects is mutable, not merely wonderful. In V.10.3 it retains </w:t>
      </w:r>
      <w:r>
        <w:rPr>
          <w:b w:val="0"/>
          <w:i/>
        </w:rPr>
        <w:t>relatio perfectionis</w:t>
      </w:r>
      <w:r>
        <w:rPr>
          <w:b w:val="0"/>
          <w:i w:val="0"/>
        </w:rPr>
        <w:t xml:space="preserve"> rather than the later </w:t>
      </w:r>
      <w:r>
        <w:rPr>
          <w:b w:val="0"/>
          <w:i/>
        </w:rPr>
        <w:t>ratio perfectionis</w:t>
      </w:r>
      <w:r>
        <w:rPr>
          <w:b w:val="0"/>
          <w:i w:val="0"/>
        </w:rPr>
        <w:t>, sustaining the passage’s emphasis on relation. These are the supplied edition’s witness reports; no new collation is claimed here. V.13.15–16 divides a single continuous objection across two anchors, so the units must be read together. VIII.15.3 supplies the explicit efficient/formal distinction that limits the preceding language of making and preserving oneself.</w:t>
      </w:r>
    </w:p>
    <w:p>
      <w:pPr>
        <w:keepNext/>
        <w:widowControl/>
      </w:pPr>
      <w:r>
        <w:rPr>
          <w:b/>
          <w:i w:val="0"/>
        </w:rPr>
        <w:t>See also.</w:t>
      </w:r>
    </w:p>
    <w:p>
      <w:pPr>
        <w:widowControl/>
      </w:pPr>
      <w:hyperlink w:anchor="four-causes-and-graded-dependence">
        <w:r>
          <w:rPr>
            <w:color w:val="000000"/>
          </w:rPr>
          <w:t xml:space="preserve">Four causes and graded dependence</w:t>
        </w:r>
      </w:hyperlink>
      <w:r>
        <w:rPr>
          <w:b w:val="0"/>
          <w:i w:val="0"/>
        </w:rPr>
        <w:t xml:space="preserve">; </w:t>
      </w:r>
      <w:hyperlink w:anchor="essence-and-being">
        <w:r>
          <w:rPr>
            <w:color w:val="000000"/>
          </w:rPr>
          <w:t xml:space="preserve">Essence and being</w:t>
        </w:r>
      </w:hyperlink>
      <w:r>
        <w:rPr>
          <w:b w:val="0"/>
          <w:i w:val="0"/>
        </w:rPr>
        <w:t xml:space="preserve">; </w:t>
      </w:r>
      <w:hyperlink w:anchor="creation-and-generation">
        <w:r>
          <w:rPr>
            <w:color w:val="000000"/>
          </w:rPr>
          <w:t xml:space="preserve">Creation and generation</w:t>
        </w:r>
      </w:hyperlink>
      <w:r>
        <w:rPr>
          <w:b w:val="0"/>
          <w:i w:val="0"/>
        </w:rPr>
        <w:t xml:space="preserve">; </w:t>
      </w:r>
      <w:hyperlink w:anchor="relation-and-continuing-dependence">
        <w:r>
          <w:rPr>
            <w:color w:val="000000"/>
          </w:rPr>
          <w:t xml:space="preserve">Relation and continuing dependence</w:t>
        </w:r>
      </w:hyperlink>
      <w:r>
        <w:rPr>
          <w:b w:val="0"/>
          <w:i w:val="0"/>
        </w:rPr>
        <w:t xml:space="preserve">; </w:t>
      </w:r>
      <w:hyperlink w:anchor="form-and-formal-being">
        <w:r>
          <w:rPr>
            <w:color w:val="000000"/>
          </w:rPr>
          <w:t xml:space="preserve">Form and formal being</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participation-common-and-proper">
        <w:r>
          <w:rPr>
            <w:color w:val="000000"/>
          </w:rPr>
          <w:t xml:space="preserve">Participation, common and proper</w:t>
        </w:r>
      </w:hyperlink>
      <w:r>
        <w:rPr>
          <w:b w:val="0"/>
          <w:i w:val="0"/>
        </w:rPr>
        <w:t xml:space="preserve">; </w:t>
      </w:r>
      <w:hyperlink w:anchor="potency-possibility-and-the-lion">
        <w:r>
          <w:rPr>
            <w:color w:val="000000"/>
          </w:rPr>
          <w:t xml:space="preserve">Potency, possibility and the lion</w:t>
        </w:r>
      </w:hyperlink>
      <w:r>
        <w:rPr>
          <w:b w:val="0"/>
          <w:i w:val="0"/>
        </w:rPr>
        <w:t xml:space="preserve">; </w:t>
      </w:r>
      <w:hyperlink w:anchor="motion-and-substantial-stability">
        <w:r>
          <w:rPr>
            <w:color w:val="000000"/>
          </w:rPr>
          <w:t xml:space="preserve">Motion and substantial stability</w:t>
        </w:r>
      </w:hyperlink>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vii-nutrition-principal-agent">
        <w:r>
          <w:rPr>
            <w:color w:val="000000"/>
          </w:rPr>
          <w:t xml:space="preserve">Nutrition, growth and the principal agent</w:t>
        </w:r>
      </w:hyperlink>
      <w:r>
        <w:rPr>
          <w:b w:val="0"/>
          <w:i w:val="0"/>
        </w:rPr>
        <w:t xml:space="preserve">; </w:t>
      </w:r>
      <w:hyperlink w:anchor="viii-reflexive-will">
        <w:r>
          <w:rPr>
            <w:color w:val="000000"/>
          </w:rPr>
          <w:t xml:space="preserve">Reflexive understanding and willing</w:t>
        </w:r>
      </w:hyperlink>
      <w:r>
        <w:rPr>
          <w:b w:val="0"/>
          <w:i w:val="0"/>
        </w:rPr>
        <w:t>.</w:t>
      </w:r>
    </w:p>
    <w:p>
      <w:pPr>
        <w:pStyle w:val="Heading2"/>
      </w:pPr>
      <w:bookmarkStart w:id="129" w:name="viii-first-concepts"/>
      <w:r>
        <w:rPr>
          <w:b w:val="0"/>
          <w:i w:val="0"/>
        </w:rPr>
        <w:t>First concepts, unity, and the end of analysis</w:t>
      </w:r>
      <w:bookmarkEnd w:id="129"/>
    </w:p>
    <w:p>
      <w:pPr>
        <w:keepNext/>
        <w:widowControl/>
      </w:pPr>
      <w:r>
        <w:rPr>
          <w:b/>
          <w:i w:val="0"/>
        </w:rPr>
        <w:t>Latin:</w:t>
      </w:r>
      <w:r>
        <w:rPr>
          <w:b w:val="0"/>
          <w:i w:val="0"/>
        </w:rPr>
        <w:t xml:space="preserve"> </w:t>
      </w:r>
      <w:r>
        <w:rPr>
          <w:b w:val="0"/>
          <w:i/>
        </w:rPr>
        <w:t>primi conceptus</w:t>
      </w:r>
      <w:r>
        <w:rPr>
          <w:b w:val="0"/>
          <w:i w:val="0"/>
        </w:rPr>
        <w:t xml:space="preserve">; </w:t>
      </w:r>
      <w:r>
        <w:rPr>
          <w:b w:val="0"/>
          <w:i/>
        </w:rPr>
        <w:t>unitas</w:t>
      </w:r>
      <w:r>
        <w:rPr>
          <w:b w:val="0"/>
          <w:i w:val="0"/>
        </w:rPr>
        <w:t xml:space="preserve">; </w:t>
      </w:r>
      <w:r>
        <w:rPr>
          <w:b w:val="0"/>
          <w:i/>
        </w:rPr>
        <w:t>esse</w:t>
      </w:r>
      <w:r>
        <w:rPr>
          <w:b w:val="0"/>
          <w:i w:val="0"/>
        </w:rPr>
        <w:t xml:space="preserve">; </w:t>
      </w:r>
      <w:r>
        <w:rPr>
          <w:b w:val="0"/>
          <w:i/>
        </w:rPr>
        <w:t>sufficientia subsistendi</w:t>
      </w:r>
      <w:r>
        <w:rPr>
          <w:b w:val="0"/>
          <w:i w:val="0"/>
        </w:rPr>
        <w:t xml:space="preserve">; </w:t>
      </w:r>
      <w:r>
        <w:rPr>
          <w:b w:val="0"/>
          <w:i/>
        </w:rPr>
        <w:t>materia prima</w:t>
      </w:r>
      <w:r>
        <w:rPr>
          <w:b w:val="0"/>
          <w:i w:val="0"/>
        </w:rPr>
        <w:t xml:space="preserve">; </w:t>
      </w:r>
      <w:r>
        <w:rPr>
          <w:b w:val="0"/>
          <w:i/>
        </w:rPr>
        <w:t>principium</w:t>
      </w:r>
    </w:p>
    <w:p>
      <w:pPr>
        <w:keepNext/>
        <w:widowControl/>
      </w:pPr>
      <w:r>
        <w:rPr>
          <w:b/>
          <w:i w:val="0"/>
        </w:rPr>
        <w:t>The word.</w:t>
      </w:r>
    </w:p>
    <w:p>
      <w:pPr>
        <w:widowControl/>
      </w:pPr>
      <w:r>
        <w:rPr>
          <w:b w:val="0"/>
          <w:i w:val="0"/>
        </w:rPr>
        <w:t>First concepts are not resolved into concepts prior or better known. Esse names being; sufficientia subsistendi is the sufficiency or capacity for subsistence. The stopping point of analysis is meant to establish genuine simplicity rather than an indefinitely fragmented object.</w:t>
      </w:r>
    </w:p>
    <w:p>
      <w:pPr>
        <w:keepNext/>
        <w:widowControl/>
      </w:pPr>
      <w:r>
        <w:rPr>
          <w:b/>
          <w:i w:val="0"/>
        </w:rPr>
        <w:t>In the Platonic Theology.</w:t>
      </w:r>
    </w:p>
    <w:p>
      <w:pPr>
        <w:widowControl/>
      </w:pPr>
      <w:r>
        <w:rPr>
          <w:b w:val="0"/>
          <w:i w:val="0"/>
        </w:rPr>
        <w:t xml:space="preserve">Ficino offers a chain: human resolves into animal and rational; animal into body and sensation; body into substance and quantity; substance into being and subsistence. He asks where an analysis of being itself could proceed, allowing with a cautious </w:t>
      </w:r>
      <w:r>
        <w:t>“</w:t>
      </w:r>
      <w:r>
        <w:rPr>
          <w:b w:val="0"/>
          <w:i w:val="0"/>
        </w:rPr>
        <w:t>unless perhaps</w:t>
      </w:r>
      <w:r>
        <w:t>”</w:t>
      </w:r>
      <w:r>
        <w:rPr>
          <w:b w:val="0"/>
          <w:i w:val="0"/>
        </w:rPr>
        <w:t xml:space="preserve"> that Plotinus and Proclus might resolve it into unity and multitude. Even then unity itself cannot be resolved into numbers. A point cannot be resolved into magnitudes, the ultimate form into another form, or prime matter into more matter.</w:t>
      </w:r>
    </w:p>
    <w:p>
      <w:pPr>
        <w:widowControl/>
      </w:pPr>
      <w:r>
        <w:rPr>
          <w:b w:val="0"/>
          <w:i w:val="0"/>
        </w:rPr>
        <w:t>The chain does not have the same kind of constituent at every step. It is an explanatory analysis, not a physical dissection. Its final examples include simple principles of the sciences that are always luminous within mind. Where legitimate resolution ends, Ficino infers simplicity.</w:t>
      </w:r>
    </w:p>
    <w:p>
      <w:pPr>
        <w:widowControl/>
      </w:pPr>
      <w:r>
        <w:rPr>
          <w:b w:val="0"/>
          <w:i w:val="0"/>
        </w:rPr>
        <w:t>Some known things are divisible in themselves but understood under an indivisible aspect; others are wholly simple. Accordingly, simple concepts require simple intellectual forms and a simple subject. The final immortality inference adds an order of dependence: intelligence follows life, while simplicity precedes indissolubility. If the later activity reaches the higher explanatory condition, the prior life should possess the corresponding lower consequence. This is an argument from ordered perfection, not a claim that the human mind and God have identical simplicity.</w:t>
      </w:r>
    </w:p>
    <w:p>
      <w:pPr>
        <w:keepNext/>
        <w:widowControl/>
      </w:pPr>
      <w:r>
        <w:rPr>
          <w:b/>
          <w:i w:val="0"/>
        </w:rPr>
        <w:t>Places to Read.</w:t>
      </w:r>
    </w:p>
    <w:p>
      <w:pPr>
        <w:ind w:left="187" w:hanging="187"/>
      </w:pPr>
      <w:r>
        <w:t xml:space="preserve">• </w:t>
      </w:r>
      <w:r>
        <w:rPr>
          <w:b/>
          <w:i w:val="0"/>
        </w:rPr>
        <w:t>VIII.4.12, PDF pp. 334–335.</w:t>
      </w:r>
      <w:r>
        <w:rPr>
          <w:b w:val="0"/>
          <w:i w:val="0"/>
        </w:rPr>
        <w:t xml:space="preserve"> The chain of analysis reaches unity, prime matter and first scientific concepts.</w:t>
      </w:r>
    </w:p>
    <w:p>
      <w:pPr>
        <w:ind w:left="187" w:hanging="187"/>
      </w:pPr>
      <w:r>
        <w:t xml:space="preserve">• </w:t>
      </w:r>
      <w:r>
        <w:rPr>
          <w:b/>
          <w:i w:val="0"/>
        </w:rPr>
        <w:t>VIII.4.13, PDF pp. 336–337.</w:t>
      </w:r>
      <w:r>
        <w:rPr>
          <w:b w:val="0"/>
          <w:i w:val="0"/>
        </w:rPr>
        <w:t xml:space="preserve"> Simple knowing is connected to the simple subject and then to indissoluble life.</w:t>
      </w:r>
    </w:p>
    <w:p>
      <w:pPr>
        <w:keepNext/>
        <w:widowControl/>
      </w:pPr>
      <w:r>
        <w:rPr>
          <w:b/>
          <w:i w:val="0"/>
        </w:rPr>
        <w:t>In this edition.</w:t>
      </w:r>
    </w:p>
    <w:p>
      <w:pPr>
        <w:widowControl/>
      </w:pPr>
      <w:r>
        <w:rPr>
          <w:b w:val="0"/>
          <w:i w:val="0"/>
        </w:rPr>
        <w:t>The cautious nisi forte attached to Plotinus and Proclus must be preserved. The closing sequence of priority in VIII.4.13 is demanding but explicit: life precedes intelligence, and simplicity precedes indissolubility. It should not be paraphrased as a chronological creation sequence.</w:t>
      </w:r>
    </w:p>
    <w:p>
      <w:pPr>
        <w:keepNext/>
        <w:widowControl/>
      </w:pPr>
      <w:r>
        <w:rPr>
          <w:b/>
          <w:i w:val="0"/>
        </w:rPr>
        <w:t>See also.</w:t>
      </w:r>
    </w:p>
    <w:p>
      <w:pPr>
        <w:widowControl/>
      </w:pPr>
      <w:hyperlink w:anchor="viii-species-simplicity">
        <w:r>
          <w:rPr>
            <w:color w:val="000000"/>
          </w:rPr>
          <w:t xml:space="preserve">Simplicity of human and numerical species</w:t>
        </w:r>
      </w:hyperlink>
      <w:r>
        <w:rPr>
          <w:b w:val="0"/>
          <w:i w:val="0"/>
        </w:rPr>
        <w:t xml:space="preserve">; </w:t>
      </w:r>
      <w:hyperlink w:anchor="viii-self-cause">
        <w:r>
          <w:rPr>
            <w:color w:val="000000"/>
          </w:rPr>
          <w:t xml:space="preserve">Self-causation: formal cause and efficient cause</w:t>
        </w:r>
      </w:hyperlink>
      <w:r>
        <w:rPr>
          <w:b w:val="0"/>
          <w:i w:val="0"/>
        </w:rPr>
        <w:t xml:space="preserve">; </w:t>
      </w:r>
      <w:hyperlink w:anchor="viii-individual-perpetuity">
        <w:r>
          <w:rPr>
            <w:color w:val="000000"/>
          </w:rPr>
          <w:t xml:space="preserve">Individual immortality and the scope of the conclusion</w:t>
        </w:r>
      </w:hyperlink>
    </w:p>
    <w:p>
      <w:pPr>
        <w:pStyle w:val="Heading2"/>
      </w:pPr>
      <w:bookmarkStart w:id="130" w:name="food-lending-and-borrowing-life"/>
      <w:r>
        <w:rPr>
          <w:b w:val="0"/>
          <w:i w:val="0"/>
        </w:rPr>
        <w:t>Food, lending and borrowing life</w:t>
      </w:r>
      <w:bookmarkEnd w:id="130"/>
    </w:p>
    <w:p>
      <w:pPr>
        <w:keepNext/>
        <w:widowControl/>
      </w:pPr>
      <w:r>
        <w:rPr>
          <w:b/>
          <w:i w:val="0"/>
        </w:rPr>
        <w:t>Latin:</w:t>
      </w:r>
      <w:r>
        <w:rPr>
          <w:b w:val="0"/>
          <w:i w:val="0"/>
        </w:rPr>
        <w:t xml:space="preserve"> </w:t>
      </w:r>
      <w:r>
        <w:rPr>
          <w:b w:val="0"/>
          <w:i/>
        </w:rPr>
        <w:t>alimentum</w:t>
      </w:r>
      <w:r>
        <w:rPr>
          <w:b w:val="0"/>
          <w:i w:val="0"/>
        </w:rPr>
        <w:t xml:space="preserve">; </w:t>
      </w:r>
      <w:r>
        <w:rPr>
          <w:b w:val="0"/>
          <w:i/>
        </w:rPr>
        <w:t>alimonia</w:t>
      </w:r>
      <w:r>
        <w:rPr>
          <w:b w:val="0"/>
          <w:i w:val="0"/>
        </w:rPr>
        <w:t xml:space="preserve">; </w:t>
      </w:r>
      <w:r>
        <w:rPr>
          <w:b w:val="0"/>
          <w:i/>
        </w:rPr>
        <w:t>nutrimentum</w:t>
      </w:r>
      <w:r>
        <w:rPr>
          <w:b w:val="0"/>
          <w:i w:val="0"/>
        </w:rPr>
        <w:t xml:space="preserve">; </w:t>
      </w:r>
      <w:r>
        <w:rPr>
          <w:b w:val="0"/>
          <w:i/>
        </w:rPr>
        <w:t>mutuare</w:t>
      </w:r>
      <w:r>
        <w:rPr>
          <w:b w:val="0"/>
          <w:i w:val="0"/>
        </w:rPr>
        <w:t xml:space="preserve">; </w:t>
      </w:r>
      <w:r>
        <w:rPr>
          <w:b w:val="0"/>
          <w:i/>
        </w:rPr>
        <w:t>haurire</w:t>
      </w:r>
      <w:r>
        <w:rPr>
          <w:b w:val="0"/>
          <w:i w:val="0"/>
        </w:rPr>
        <w:t xml:space="preserve">; </w:t>
      </w:r>
      <w:r>
        <w:rPr>
          <w:b w:val="0"/>
          <w:i/>
        </w:rPr>
        <w:t>adsciscere</w:t>
      </w:r>
      <w:r>
        <w:rPr>
          <w:b w:val="0"/>
          <w:i w:val="0"/>
        </w:rPr>
        <w:t xml:space="preserve">; </w:t>
      </w:r>
      <w:r>
        <w:rPr>
          <w:b w:val="0"/>
          <w:i/>
        </w:rPr>
        <w:t>bonitas naturae</w:t>
      </w:r>
    </w:p>
    <w:p>
      <w:pPr>
        <w:keepNext/>
        <w:widowControl/>
      </w:pPr>
      <w:r>
        <w:rPr>
          <w:b/>
          <w:i w:val="0"/>
        </w:rPr>
        <w:t>The word.</w:t>
      </w:r>
    </w:p>
    <w:p>
      <w:pPr>
        <w:widowControl/>
      </w:pPr>
      <w:r>
        <w:rPr>
          <w:b w:val="0"/>
          <w:i w:val="0"/>
        </w:rPr>
        <w:t>Alimentum, alimonia and nutrimentum refer to food and nourishment in related constructions. Mutuare carries the reciprocal imagery of lending and borrowing. Haurire is drawing in; adsciscere recruits or adopts replacements. The goodness of nature is a teleological premise, not a dietary instruction.</w:t>
      </w:r>
    </w:p>
    <w:p>
      <w:pPr>
        <w:keepNext/>
        <w:widowControl/>
      </w:pPr>
      <w:r>
        <w:rPr>
          <w:b/>
          <w:i w:val="0"/>
        </w:rPr>
        <w:t>In the Platonic Theology.</w:t>
      </w:r>
    </w:p>
    <w:p>
      <w:pPr>
        <w:widowControl/>
      </w:pPr>
      <w:r>
        <w:rPr>
          <w:b w:val="0"/>
          <w:i w:val="0"/>
        </w:rPr>
        <w:t>If a bodily soul grows by assimilating bodily food, Ficino asks whether that food is alive before ingestion. If not, it cannot first lend life to soul, since it would itself have to borrow life from soul. If already alive, it possesses a soul. Daily nutrition would then draw new souls into us and transform them into the nature of the soul nourished. Many souls would be destroyed to preserve one, which Ficino rejects by appeal to nature’s goodness.</w:t>
      </w:r>
    </w:p>
    <w:p>
      <w:pPr>
        <w:widowControl/>
      </w:pPr>
      <w:r>
        <w:rPr>
          <w:b w:val="0"/>
          <w:i w:val="0"/>
        </w:rPr>
        <w:t>The difficulty becomes sharper if the supposed soul-body continually loses its substance as flesh does. Even the former soul would not be preserved; it would constantly recruit new souls. Ficino then asks how a newly arrived soul agrees with the previous one, opening the problem of continuity in will and memory. The hypotheses concern the corporealist model of soul-nutrition, not an assertion that ordinary eating literally devours immortal human souls. The lending/borrowing reversal exposes circular causal explanation before the identity problem is introduced.</w:t>
      </w:r>
    </w:p>
    <w:p>
      <w:pPr>
        <w:keepNext/>
        <w:widowControl/>
      </w:pPr>
      <w:r>
        <w:rPr>
          <w:b/>
          <w:i w:val="0"/>
        </w:rPr>
        <w:t>Places to Read.</w:t>
      </w:r>
    </w:p>
    <w:p>
      <w:pPr>
        <w:ind w:left="187" w:hanging="187"/>
      </w:pPr>
      <w:r>
        <w:t xml:space="preserve">• </w:t>
      </w:r>
      <w:r>
        <w:rPr>
          <w:b/>
          <w:i w:val="0"/>
        </w:rPr>
        <w:t>VI.13.3; source PDF pp. 222, 223</w:t>
      </w:r>
      <w:r>
        <w:rPr>
          <w:b w:val="0"/>
          <w:i w:val="0"/>
        </w:rPr>
        <w:t>. Living and nonliving nourishment produce distinct difficulties for a growing soul-body.</w:t>
      </w:r>
    </w:p>
    <w:p>
      <w:pPr>
        <w:ind w:left="187" w:hanging="187"/>
      </w:pPr>
      <w:r>
        <w:t xml:space="preserve">• </w:t>
      </w:r>
      <w:r>
        <w:rPr>
          <w:b/>
          <w:i w:val="0"/>
        </w:rPr>
        <w:t>VI.13.4, VI.13.5; source PDF pp. 222, 223, 224, 225</w:t>
      </w:r>
      <w:r>
        <w:rPr>
          <w:b w:val="0"/>
          <w:i w:val="0"/>
        </w:rPr>
        <w:t>. Assimilation would destroy many souls and replace even the soul purportedly preserved.</w:t>
      </w:r>
    </w:p>
    <w:p>
      <w:pPr>
        <w:keepNext/>
        <w:widowControl/>
      </w:pPr>
      <w:r>
        <w:rPr>
          <w:b/>
          <w:i w:val="0"/>
        </w:rPr>
        <w:t>In this edition.</w:t>
      </w:r>
    </w:p>
    <w:p>
      <w:pPr>
        <w:widowControl/>
      </w:pPr>
      <w:r>
        <w:rPr>
          <w:b w:val="0"/>
          <w:i w:val="0"/>
        </w:rPr>
        <w:t xml:space="preserve">The edition retains the different stages of nourishment and the purposeful ut una servetur, </w:t>
      </w:r>
      <w:r>
        <w:t>“</w:t>
      </w:r>
      <w:r>
        <w:rPr>
          <w:b w:val="0"/>
          <w:i w:val="0"/>
        </w:rPr>
        <w:t>so that one may be preserved.</w:t>
      </w:r>
      <w:r>
        <w:t>”</w:t>
      </w:r>
      <w:r>
        <w:rPr>
          <w:b w:val="0"/>
          <w:i w:val="0"/>
        </w:rPr>
        <w:t xml:space="preserve"> The claims depend on Ficino’s account of life and natural goodness; they are not modern nutritional science.</w:t>
      </w:r>
    </w:p>
    <w:p>
      <w:pPr>
        <w:keepNext/>
        <w:widowControl/>
      </w:pPr>
      <w:r>
        <w:rPr>
          <w:b/>
          <w:i w:val="0"/>
        </w:rPr>
        <w:t>See also.</w:t>
      </w:r>
    </w:p>
    <w:p>
      <w:pPr>
        <w:widowControl/>
      </w:pPr>
      <w:hyperlink w:anchor="growth-amputation-and-soul-size">
        <w:r>
          <w:rPr>
            <w:color w:val="000000"/>
          </w:rPr>
          <w:t xml:space="preserve">Growth, amputation and soul-size</w:t>
        </w:r>
      </w:hyperlink>
      <w:r>
        <w:rPr>
          <w:b w:val="0"/>
          <w:i w:val="0"/>
        </w:rPr>
        <w:t xml:space="preserve">; </w:t>
      </w:r>
      <w:hyperlink w:anchor="persistence-memory-and-recognition">
        <w:r>
          <w:rPr>
            <w:color w:val="000000"/>
          </w:rPr>
          <w:t xml:space="preserve">Persistence, memory and recognition</w:t>
        </w:r>
      </w:hyperlink>
    </w:p>
    <w:p>
      <w:pPr>
        <w:pStyle w:val="Heading2"/>
      </w:pPr>
      <w:bookmarkStart w:id="131" w:name="viii-food-truth"/>
      <w:r>
        <w:rPr>
          <w:b w:val="0"/>
          <w:i w:val="0"/>
        </w:rPr>
        <w:t>Food, truth, and the hungry mind</w:t>
      </w:r>
      <w:bookmarkEnd w:id="131"/>
    </w:p>
    <w:p>
      <w:pPr>
        <w:keepNext/>
        <w:widowControl/>
      </w:pPr>
      <w:r>
        <w:rPr>
          <w:b/>
          <w:i w:val="0"/>
        </w:rPr>
        <w:t>Latin:</w:t>
      </w:r>
      <w:r>
        <w:rPr>
          <w:b w:val="0"/>
          <w:i w:val="0"/>
        </w:rPr>
        <w:t xml:space="preserve"> </w:t>
      </w:r>
      <w:r>
        <w:rPr>
          <w:b w:val="0"/>
          <w:i/>
        </w:rPr>
        <w:t>alimentum</w:t>
      </w:r>
      <w:r>
        <w:rPr>
          <w:b w:val="0"/>
          <w:i w:val="0"/>
        </w:rPr>
        <w:t xml:space="preserve">; </w:t>
      </w:r>
      <w:r>
        <w:rPr>
          <w:b w:val="0"/>
          <w:i/>
        </w:rPr>
        <w:t>cibus</w:t>
      </w:r>
      <w:r>
        <w:rPr>
          <w:b w:val="0"/>
          <w:i w:val="0"/>
        </w:rPr>
        <w:t xml:space="preserve">; </w:t>
      </w:r>
      <w:r>
        <w:rPr>
          <w:b w:val="0"/>
          <w:i/>
        </w:rPr>
        <w:t>esca</w:t>
      </w:r>
      <w:r>
        <w:rPr>
          <w:b w:val="0"/>
          <w:i w:val="0"/>
        </w:rPr>
        <w:t xml:space="preserve">; </w:t>
      </w:r>
      <w:r>
        <w:rPr>
          <w:b w:val="0"/>
          <w:i/>
        </w:rPr>
        <w:t>alimonia</w:t>
      </w:r>
      <w:r>
        <w:rPr>
          <w:b w:val="0"/>
          <w:i w:val="0"/>
        </w:rPr>
        <w:t xml:space="preserve">; </w:t>
      </w:r>
      <w:r>
        <w:rPr>
          <w:b w:val="0"/>
          <w:i/>
        </w:rPr>
        <w:t>nutrire</w:t>
      </w:r>
      <w:r>
        <w:rPr>
          <w:b w:val="0"/>
          <w:i w:val="0"/>
        </w:rPr>
        <w:t xml:space="preserve">; </w:t>
      </w:r>
      <w:r>
        <w:rPr>
          <w:b w:val="0"/>
          <w:i/>
        </w:rPr>
        <w:t>vesci</w:t>
      </w:r>
      <w:r>
        <w:rPr>
          <w:b w:val="0"/>
          <w:i w:val="0"/>
        </w:rPr>
        <w:t xml:space="preserve">; </w:t>
      </w:r>
      <w:r>
        <w:rPr>
          <w:b w:val="0"/>
          <w:i/>
        </w:rPr>
        <w:t>esurire</w:t>
      </w:r>
      <w:r>
        <w:rPr>
          <w:b w:val="0"/>
          <w:i w:val="0"/>
        </w:rPr>
        <w:t xml:space="preserve">; </w:t>
      </w:r>
      <w:r>
        <w:rPr>
          <w:b w:val="0"/>
          <w:i/>
        </w:rPr>
        <w:t>sitire</w:t>
      </w:r>
    </w:p>
    <w:p>
      <w:pPr>
        <w:keepNext/>
        <w:widowControl/>
      </w:pPr>
      <w:r>
        <w:rPr>
          <w:b/>
          <w:i w:val="0"/>
        </w:rPr>
        <w:t>The word.</w:t>
      </w:r>
    </w:p>
    <w:p>
      <w:pPr>
        <w:widowControl/>
      </w:pPr>
      <w:r>
        <w:rPr>
          <w:b w:val="0"/>
          <w:i w:val="0"/>
        </w:rPr>
        <w:t xml:space="preserve">The several words for food support an extended analogy between bodily assimilation and intellectual nourishment. Vesci means feeding upon; esurire and sitire are hunger and thirst. </w:t>
      </w:r>
      <w:r>
        <w:t>“</w:t>
      </w:r>
      <w:r>
        <w:rPr>
          <w:b w:val="0"/>
          <w:i w:val="0"/>
        </w:rPr>
        <w:t>Growth</w:t>
      </w:r>
      <w:r>
        <w:t>”</w:t>
      </w:r>
      <w:r>
        <w:rPr>
          <w:b w:val="0"/>
          <w:i w:val="0"/>
        </w:rPr>
        <w:t xml:space="preserve"> of mind concerns increased perfection, not an increase of bodily volume.</w:t>
      </w:r>
    </w:p>
    <w:p>
      <w:pPr>
        <w:keepNext/>
        <w:widowControl/>
      </w:pPr>
      <w:r>
        <w:rPr>
          <w:b/>
          <w:i w:val="0"/>
        </w:rPr>
        <w:t>In the Platonic Theology.</w:t>
      </w:r>
    </w:p>
    <w:p>
      <w:pPr>
        <w:widowControl/>
      </w:pPr>
      <w:r>
        <w:rPr>
          <w:b w:val="0"/>
          <w:i w:val="0"/>
        </w:rPr>
        <w:t>Bread becomes flesh, and food must be akin to what it nourishes. Ficino uses this premise against the supposition that soul is a refined little body: if it grew by bodily food, eating, drinking and gaining bulk should automatically improve wisdom, memory, judgment, courage and continence. The observed mismatch is used as a reductio, not as advice to starve. A short alternative asks whether soul needs no nourishment; if so, it would already possess the independence sought. The principal argument instead identifies its proper nourishment as spiritual.</w:t>
      </w:r>
    </w:p>
    <w:p>
      <w:pPr>
        <w:widowControl/>
      </w:pPr>
      <w:r>
        <w:rPr>
          <w:b w:val="0"/>
          <w:i w:val="0"/>
        </w:rPr>
        <w:t>The objection from bodily well-being is expressly admitted in part. Moderation helps mental activity. Ficino explains this through government and attention: an ill or burdened body occupies the soul with its care; a quiet body leaves the mind free for truth. Thus dependence in the conditions of embodied activity is distinguished from the identity of mind’s own food.</w:t>
      </w:r>
    </w:p>
    <w:p>
      <w:pPr>
        <w:widowControl/>
      </w:pPr>
      <w:r>
        <w:rPr>
          <w:b w:val="0"/>
          <w:i w:val="0"/>
        </w:rPr>
        <w:t>Children’s questions, artisans’ inquiries and adults’ expenditures of time, money and labour illustrate desire for truth beyond immediate bodily benefit. The body’s meal can end while the mind still hungers. Even bodily depletion can accompany an increase of intellectual strength. These rhetorical contrasts culminate in truth’s alleged capacity to make mind stable and like higher minds.</w:t>
      </w:r>
    </w:p>
    <w:p>
      <w:pPr>
        <w:widowControl/>
      </w:pPr>
      <w:r>
        <w:rPr>
          <w:b w:val="0"/>
          <w:i w:val="0"/>
        </w:rPr>
        <w:t>The immortality inference is stronger than the metaphor alone: immortal truth, continually assimilated, is said either to be converted into the soul or to convert soul into itself. Ficino leaves those two descriptions side by side. The reader should distinguish his metaphysical claim about nourishment from a literal digestive mechanism.</w:t>
      </w:r>
    </w:p>
    <w:p>
      <w:pPr>
        <w:keepNext/>
        <w:widowControl/>
      </w:pPr>
      <w:r>
        <w:rPr>
          <w:b/>
          <w:i w:val="0"/>
        </w:rPr>
        <w:t>Places to Read.</w:t>
      </w:r>
    </w:p>
    <w:p>
      <w:pPr>
        <w:ind w:left="187" w:hanging="187"/>
      </w:pPr>
      <w:r>
        <w:t xml:space="preserve">• </w:t>
      </w:r>
      <w:r>
        <w:rPr>
          <w:b/>
          <w:i w:val="0"/>
        </w:rPr>
        <w:t>VIII.2.1, VIII.2.2, PDF pp. 294–295.</w:t>
      </w:r>
      <w:r>
        <w:rPr>
          <w:b w:val="0"/>
          <w:i w:val="0"/>
        </w:rPr>
        <w:t xml:space="preserve"> The assimilation premise and reductio oppose bodily food to spiritual nourishment.</w:t>
      </w:r>
    </w:p>
    <w:p>
      <w:pPr>
        <w:ind w:left="187" w:hanging="187"/>
      </w:pPr>
      <w:r>
        <w:t xml:space="preserve">• </w:t>
      </w:r>
      <w:r>
        <w:rPr>
          <w:b/>
          <w:i w:val="0"/>
        </w:rPr>
        <w:t>VIII.2.5, VIII.2.6, PDF pp. 298–301.</w:t>
      </w:r>
      <w:r>
        <w:rPr>
          <w:b w:val="0"/>
          <w:i w:val="0"/>
        </w:rPr>
        <w:t xml:space="preserve"> Bodily moderation frees attention; common desire identifies truth as mind’s proper food.</w:t>
      </w:r>
    </w:p>
    <w:p>
      <w:pPr>
        <w:ind w:left="187" w:hanging="187"/>
      </w:pPr>
      <w:r>
        <w:t xml:space="preserve">• </w:t>
      </w:r>
      <w:r>
        <w:rPr>
          <w:b/>
          <w:i w:val="0"/>
        </w:rPr>
        <w:t>VIII.2.8, PDF pp. 304–305.</w:t>
      </w:r>
      <w:r>
        <w:rPr>
          <w:b w:val="0"/>
          <w:i w:val="0"/>
        </w:rPr>
        <w:t xml:space="preserve"> Incorruptible nourishment supports the inference to immortal life.</w:t>
      </w:r>
    </w:p>
    <w:p>
      <w:pPr>
        <w:keepNext/>
        <w:widowControl/>
      </w:pPr>
      <w:r>
        <w:rPr>
          <w:b/>
          <w:i w:val="0"/>
        </w:rPr>
        <w:t>In this edition.</w:t>
      </w:r>
    </w:p>
    <w:p>
      <w:pPr>
        <w:widowControl/>
      </w:pPr>
      <w:r>
        <w:rPr>
          <w:b w:val="0"/>
          <w:i w:val="0"/>
        </w:rPr>
        <w:t xml:space="preserve">The diminutive corpusculum is the rejected </w:t>
      </w:r>
      <w:r>
        <w:t>“</w:t>
      </w:r>
      <w:r>
        <w:rPr>
          <w:b w:val="0"/>
          <w:i w:val="0"/>
        </w:rPr>
        <w:t>little body</w:t>
      </w:r>
      <w:r>
        <w:t>”</w:t>
      </w:r>
      <w:r>
        <w:rPr>
          <w:b w:val="0"/>
          <w:i w:val="0"/>
        </w:rPr>
        <w:t xml:space="preserve"> hypothesis. The wordplay enervamus corpus and animus fit nervosior contrasts bodily loss of sinews with mental strengthening. Odit at VIII.2.6 is forceful rhetoric; it does not cancel the explicit role of moderate nourishment at VIII.2.5.</w:t>
      </w:r>
    </w:p>
    <w:p>
      <w:pPr>
        <w:keepNext/>
        <w:widowControl/>
      </w:pPr>
      <w:r>
        <w:rPr>
          <w:b/>
          <w:i w:val="0"/>
        </w:rPr>
        <w:t>See also.</w:t>
      </w:r>
    </w:p>
    <w:p>
      <w:pPr>
        <w:widowControl/>
      </w:pPr>
      <w:hyperlink w:anchor="viii-body-instrument">
        <w:r>
          <w:rPr>
            <w:color w:val="000000"/>
          </w:rPr>
          <w:t xml:space="preserve">Body, instruments, and vital spirit</w:t>
        </w:r>
      </w:hyperlink>
      <w:r>
        <w:rPr>
          <w:b w:val="0"/>
          <w:i w:val="0"/>
        </w:rPr>
        <w:t xml:space="preserve">; </w:t>
      </w:r>
      <w:hyperlink w:anchor="viii-truth-mathematics">
        <w:r>
          <w:rPr>
            <w:color w:val="000000"/>
          </w:rPr>
          <w:t xml:space="preserve">Truth, mathematical figures, and immutable principles</w:t>
        </w:r>
      </w:hyperlink>
      <w:r>
        <w:rPr>
          <w:b w:val="0"/>
          <w:i w:val="0"/>
        </w:rPr>
        <w:t xml:space="preserve">; </w:t>
      </w:r>
      <w:hyperlink w:anchor="viii-natural-desire">
        <w:r>
          <w:rPr>
            <w:color w:val="000000"/>
          </w:rPr>
          <w:t xml:space="preserve">Natural desire, possible good, and Olympiodorus</w:t>
        </w:r>
      </w:hyperlink>
    </w:p>
    <w:p>
      <w:pPr>
        <w:pStyle w:val="Heading2"/>
      </w:pPr>
      <w:bookmarkStart w:id="132" w:name="form-and-formal-being"/>
      <w:r>
        <w:rPr>
          <w:b w:val="0"/>
          <w:i w:val="0"/>
        </w:rPr>
        <w:t>Form and formal being</w:t>
      </w:r>
      <w:bookmarkEnd w:id="132"/>
    </w:p>
    <w:p>
      <w:pPr>
        <w:keepNext/>
        <w:widowControl/>
      </w:pPr>
      <w:r>
        <w:rPr>
          <w:b/>
          <w:i w:val="0"/>
        </w:rPr>
        <w:t>Latin:</w:t>
      </w:r>
      <w:r>
        <w:rPr>
          <w:b w:val="0"/>
          <w:i w:val="0"/>
        </w:rPr>
        <w:t xml:space="preserve"> </w:t>
      </w:r>
      <w:r>
        <w:rPr>
          <w:b w:val="0"/>
          <w:i/>
        </w:rPr>
        <w:t>forma</w:t>
      </w:r>
      <w:r>
        <w:rPr>
          <w:b w:val="0"/>
          <w:i w:val="0"/>
        </w:rPr>
        <w:t xml:space="preserve">; </w:t>
      </w:r>
      <w:r>
        <w:rPr>
          <w:b w:val="0"/>
          <w:i/>
        </w:rPr>
        <w:t>species</w:t>
      </w:r>
      <w:r>
        <w:rPr>
          <w:b w:val="0"/>
          <w:i w:val="0"/>
        </w:rPr>
        <w:t xml:space="preserve">; </w:t>
      </w:r>
      <w:r>
        <w:rPr>
          <w:b w:val="0"/>
          <w:i/>
        </w:rPr>
        <w:t>mera forma</w:t>
      </w:r>
      <w:r>
        <w:rPr>
          <w:b w:val="0"/>
          <w:i w:val="0"/>
        </w:rPr>
        <w:t xml:space="preserve">; </w:t>
      </w:r>
      <w:r>
        <w:rPr>
          <w:b w:val="0"/>
          <w:i/>
        </w:rPr>
        <w:t>sui ipsius forma</w:t>
      </w:r>
      <w:r>
        <w:rPr>
          <w:b w:val="0"/>
          <w:i w:val="0"/>
        </w:rPr>
        <w:t xml:space="preserve">; </w:t>
      </w:r>
      <w:r>
        <w:rPr>
          <w:b w:val="0"/>
          <w:i/>
        </w:rPr>
        <w:t>esse proprium</w:t>
      </w:r>
      <w:r>
        <w:rPr>
          <w:b w:val="0"/>
          <w:i w:val="0"/>
        </w:rPr>
        <w:t xml:space="preserve">; </w:t>
      </w:r>
      <w:r>
        <w:rPr>
          <w:b w:val="0"/>
          <w:i/>
        </w:rPr>
        <w:t>commune esse</w:t>
      </w:r>
    </w:p>
    <w:p>
      <w:pPr>
        <w:keepNext/>
        <w:widowControl/>
      </w:pPr>
      <w:r>
        <w:rPr>
          <w:b/>
          <w:i w:val="0"/>
        </w:rPr>
        <w:t>The word.</w:t>
      </w:r>
    </w:p>
    <w:p>
      <w:pPr>
        <w:widowControl/>
      </w:pPr>
      <w:r>
        <w:rPr>
          <w:b w:val="0"/>
          <w:i w:val="0"/>
        </w:rPr>
        <w:t>Forma names a determining principle; species can mean determinate kind, form or appearance. Mera forma is pure form in the sense of being unmixed with bodily matter. A thing’s esse proprium is its proper being, while commune esse in the composite discussion is the common being of that whole, not universal being in every context.</w:t>
      </w:r>
    </w:p>
    <w:p>
      <w:pPr>
        <w:keepNext/>
        <w:widowControl/>
      </w:pPr>
      <w:r>
        <w:rPr>
          <w:b/>
          <w:i w:val="0"/>
        </w:rPr>
        <w:t>In the Platonic Theology.</w:t>
      </w:r>
    </w:p>
    <w:p>
      <w:pPr>
        <w:widowControl/>
      </w:pPr>
      <w:r>
        <w:rPr>
          <w:b w:val="0"/>
          <w:i w:val="0"/>
        </w:rPr>
        <w:t>V.8 asks why a thing has its own determinate being and what it would have to lose to cease. Generation tends toward being and corruption toward nonbeing through acquisition and loss of form. The examples move from artificial likeness to natural constitution, then to a bodily form’s dependence upon a composite and finally to the soul as pure separate form.</w:t>
      </w:r>
    </w:p>
    <w:p>
      <w:pPr>
        <w:widowControl/>
      </w:pPr>
      <w:r>
        <w:rPr>
          <w:b w:val="0"/>
          <w:i w:val="0"/>
        </w:rPr>
        <w:t>The bronze example must be kept at its proper strength. A bronze horse is called a horse by resemblance to a form supplied by craft; it is not thereby a living animal. Ficino passes from that artificial case to natural determination without forgetting the change of case. Plato is a human not because the world’s common material happens to be his, but because of the bodily constitution and soul associated with the human form. Ficus similarly becomes a tree of its kind. The examples show why material continuity cannot by itself account for species or individual form.</w:t>
      </w:r>
    </w:p>
    <w:p>
      <w:pPr>
        <w:widowControl/>
      </w:pPr>
      <w:r>
        <w:rPr>
          <w:b w:val="0"/>
          <w:i w:val="0"/>
        </w:rPr>
        <w:t xml:space="preserve">The lengthy fire passage then makes the being of a composite more precise. Being belongs primarily to the whole formed fire, not separately to a free-standing lump of matter and an independently existing heat. The heat has been drawn out under a condition: it is to extend through the matter and depend on it. Its being is the composite’s shared being. Once the two are separated, there is no surviving free heat of that same kind. Matter, however, receives another form immediately. Thus </w:t>
      </w:r>
      <w:r>
        <w:t>“</w:t>
      </w:r>
      <w:r>
        <w:rPr>
          <w:b w:val="0"/>
          <w:i w:val="0"/>
        </w:rPr>
        <w:t>the parts separate</w:t>
      </w:r>
      <w:r>
        <w:t>”</w:t>
      </w:r>
      <w:r>
        <w:rPr>
          <w:b w:val="0"/>
          <w:i w:val="0"/>
        </w:rPr>
        <w:t xml:space="preserve"> does not mean that both former parts continue with equal independence afterward.</w:t>
      </w:r>
    </w:p>
    <w:p>
      <w:pPr>
        <w:widowControl/>
      </w:pPr>
      <w:r>
        <w:rPr>
          <w:b w:val="0"/>
          <w:i w:val="0"/>
        </w:rPr>
        <w:t>Against that background, the soul’s being its own form means that the soul is not an analogous combination of an underlying material part plus an added soul-form. V.8.3 adds two defenses against loss. First, natural self-preserving striving excludes the soul’s willing separation from itself. Second, external influences are received according to its spiritual mode, so the material corruption of a receiver does not apply. The nourishment and reproduction questions are not digressions: they ask what motive or need an eternal received form could have for destroying a recipient’s supposed material. Neither need fits an eternal immaterial object.</w:t>
      </w:r>
    </w:p>
    <w:p>
      <w:pPr>
        <w:widowControl/>
      </w:pPr>
      <w:r>
        <w:rPr>
          <w:b w:val="0"/>
          <w:i w:val="0"/>
        </w:rPr>
        <w:t>V.8.4 completes the proof through two distinct conditions of continuance: remaining with one’s form and remaining under the fashioner’s law. Identity with form answers the first; the assigned law of self-subsistence and the exclusion of displacement by self, superior or inferior answer the second. The conclusion therefore uses both formal identity and efficient conservation. The neighboring article on the fashioner’s law develops the latter, while the First Cause article explains why formal self-possession never removes dependence on the giver of being.</w:t>
      </w:r>
    </w:p>
    <w:p>
      <w:pPr>
        <w:keepNext/>
        <w:widowControl/>
      </w:pPr>
      <w:r>
        <w:rPr>
          <w:b/>
          <w:i w:val="0"/>
        </w:rPr>
        <w:t>Places to Read.</w:t>
      </w:r>
    </w:p>
    <w:p>
      <w:pPr>
        <w:ind w:left="187" w:hanging="187"/>
      </w:pPr>
      <w:r>
        <w:t xml:space="preserve">• </w:t>
      </w:r>
      <w:r>
        <w:rPr>
          <w:b/>
          <w:i w:val="0"/>
        </w:rPr>
        <w:t>V.8.1, V.8.2, PDF 38–41.</w:t>
      </w:r>
      <w:r>
        <w:rPr>
          <w:b w:val="0"/>
          <w:i w:val="0"/>
        </w:rPr>
        <w:t xml:space="preserve"> Bronze figures, Plato and fire establish form’s role and the composite’s shared being.</w:t>
      </w:r>
    </w:p>
    <w:p>
      <w:pPr>
        <w:ind w:left="187" w:hanging="187"/>
      </w:pPr>
      <w:r>
        <w:t xml:space="preserve">• </w:t>
      </w:r>
      <w:r>
        <w:rPr>
          <w:b/>
          <w:i w:val="0"/>
        </w:rPr>
        <w:t>V.8.3, V.8.4, PDF 42–45.</w:t>
      </w:r>
      <w:r>
        <w:rPr>
          <w:b w:val="0"/>
          <w:i w:val="0"/>
        </w:rPr>
        <w:t xml:space="preserve"> Soul is form itself and cannot be separated from a further formal part.</w:t>
      </w:r>
    </w:p>
    <w:p>
      <w:pPr>
        <w:ind w:left="187" w:hanging="187"/>
      </w:pPr>
      <w:r>
        <w:t xml:space="preserve">• </w:t>
      </w:r>
      <w:r>
        <w:rPr>
          <w:b/>
          <w:i w:val="0"/>
        </w:rPr>
        <w:t>V.9.1, V.9.2, PDF 46–49.</w:t>
      </w:r>
      <w:r>
        <w:rPr>
          <w:b w:val="0"/>
          <w:i w:val="0"/>
        </w:rPr>
        <w:t xml:space="preserve"> Being follows form according to its specifically assigned mode.</w:t>
      </w:r>
    </w:p>
    <w:p>
      <w:pPr>
        <w:keepNext/>
        <w:widowControl/>
      </w:pPr>
      <w:r>
        <w:rPr>
          <w:b/>
          <w:i w:val="0"/>
        </w:rPr>
        <w:t>In this edition.</w:t>
      </w:r>
    </w:p>
    <w:p>
      <w:pPr>
        <w:widowControl/>
      </w:pPr>
      <w:r>
        <w:rPr>
          <w:b w:val="0"/>
          <w:i w:val="0"/>
        </w:rPr>
        <w:t xml:space="preserve">At V.8.2 Ficino expressly calls the substantial form of fire </w:t>
      </w:r>
      <w:r>
        <w:t>“</w:t>
      </w:r>
      <w:r>
        <w:rPr>
          <w:b w:val="0"/>
          <w:i w:val="0"/>
        </w:rPr>
        <w:t>heat</w:t>
      </w:r>
      <w:r>
        <w:t>”</w:t>
      </w:r>
      <w:r>
        <w:rPr>
          <w:b w:val="0"/>
          <w:i w:val="0"/>
        </w:rPr>
        <w:t xml:space="preserve"> for argumentative convenience because it lacks a readily evident name. This provisional naming must not be flattened into an uncomplicated identity between substantial form and sensible warmth. At V.8.4 the source construes nullo interveniente instrumentally: no intermediary separates soul from form.</w:t>
      </w:r>
    </w:p>
    <w:p>
      <w:pPr>
        <w:keepNext/>
        <w:widowControl/>
      </w:pPr>
      <w:r>
        <w:rPr>
          <w:b/>
          <w:i w:val="0"/>
        </w:rPr>
        <w:t>See also.</w:t>
      </w:r>
    </w:p>
    <w:p>
      <w:pPr>
        <w:widowControl/>
      </w:pPr>
      <w:hyperlink w:anchor="essence-and-being">
        <w:r>
          <w:rPr>
            <w:color w:val="000000"/>
          </w:rPr>
          <w:t xml:space="preserve">Essence and being</w:t>
        </w:r>
      </w:hyperlink>
      <w:r>
        <w:rPr>
          <w:b w:val="0"/>
          <w:i w:val="0"/>
        </w:rPr>
        <w:t xml:space="preserve">; </w:t>
      </w:r>
      <w:hyperlink w:anchor="conditions-and-the-fashioners-law">
        <w:r>
          <w:rPr>
            <w:color w:val="000000"/>
          </w:rPr>
          <w:t xml:space="preserve">Conditions and the fashioner’s law</w:t>
        </w:r>
      </w:hyperlink>
      <w:r>
        <w:rPr>
          <w:b w:val="0"/>
          <w:i w:val="0"/>
        </w:rPr>
        <w:t xml:space="preserve">; </w:t>
      </w:r>
      <w:hyperlink w:anchor="through-itself-and-through-another">
        <w:r>
          <w:rPr>
            <w:color w:val="000000"/>
          </w:rPr>
          <w:t xml:space="preserve">Through itself and through another</w:t>
        </w:r>
      </w:hyperlink>
    </w:p>
    <w:p>
      <w:pPr>
        <w:pStyle w:val="Heading2"/>
      </w:pPr>
      <w:bookmarkStart w:id="133" w:name="fountains-drawing-and-infusion"/>
      <w:r>
        <w:rPr>
          <w:b w:val="0"/>
          <w:i w:val="0"/>
        </w:rPr>
        <w:t>Fountains, drawing and infusion</w:t>
      </w:r>
      <w:bookmarkEnd w:id="133"/>
    </w:p>
    <w:p>
      <w:pPr>
        <w:keepNext/>
        <w:widowControl/>
      </w:pPr>
      <w:r>
        <w:rPr>
          <w:b/>
          <w:i w:val="0"/>
        </w:rPr>
        <w:t>Latin:</w:t>
      </w:r>
      <w:r>
        <w:rPr>
          <w:b w:val="0"/>
          <w:i w:val="0"/>
        </w:rPr>
        <w:t xml:space="preserve"> </w:t>
      </w:r>
      <w:r>
        <w:rPr>
          <w:b w:val="0"/>
          <w:i/>
        </w:rPr>
        <w:t>fons</w:t>
      </w:r>
      <w:r>
        <w:rPr>
          <w:b w:val="0"/>
          <w:i w:val="0"/>
        </w:rPr>
        <w:t xml:space="preserve">; </w:t>
      </w:r>
      <w:r>
        <w:rPr>
          <w:b w:val="0"/>
          <w:i/>
        </w:rPr>
        <w:t>haurire</w:t>
      </w:r>
      <w:r>
        <w:rPr>
          <w:b w:val="0"/>
          <w:i w:val="0"/>
        </w:rPr>
        <w:t xml:space="preserve">; </w:t>
      </w:r>
      <w:r>
        <w:rPr>
          <w:b w:val="0"/>
          <w:i/>
        </w:rPr>
        <w:t>bibere</w:t>
      </w:r>
      <w:r>
        <w:rPr>
          <w:b w:val="0"/>
          <w:i w:val="0"/>
        </w:rPr>
        <w:t xml:space="preserve">; </w:t>
      </w:r>
      <w:r>
        <w:rPr>
          <w:b w:val="0"/>
          <w:i/>
        </w:rPr>
        <w:t>exuberare</w:t>
      </w:r>
      <w:r>
        <w:rPr>
          <w:b w:val="0"/>
          <w:i w:val="0"/>
        </w:rPr>
        <w:t xml:space="preserve">; </w:t>
      </w:r>
      <w:r>
        <w:rPr>
          <w:b w:val="0"/>
          <w:i/>
        </w:rPr>
        <w:t>infundere</w:t>
      </w:r>
      <w:r>
        <w:rPr>
          <w:b w:val="0"/>
          <w:i w:val="0"/>
        </w:rPr>
        <w:t xml:space="preserve">; </w:t>
      </w:r>
      <w:r>
        <w:rPr>
          <w:b w:val="0"/>
          <w:i/>
        </w:rPr>
        <w:t>influxus</w:t>
      </w:r>
      <w:r>
        <w:rPr>
          <w:b w:val="0"/>
          <w:i w:val="0"/>
        </w:rPr>
        <w:t xml:space="preserve">; </w:t>
      </w:r>
      <w:r>
        <w:rPr>
          <w:b w:val="0"/>
          <w:i/>
        </w:rPr>
        <w:t>effundere</w:t>
      </w:r>
      <w:r>
        <w:rPr>
          <w:b w:val="0"/>
          <w:i w:val="0"/>
        </w:rPr>
        <w:t xml:space="preserve">; </w:t>
      </w:r>
      <w:r>
        <w:rPr>
          <w:b w:val="0"/>
          <w:i/>
        </w:rPr>
        <w:t>effluere</w:t>
      </w:r>
    </w:p>
    <w:p>
      <w:pPr>
        <w:keepNext/>
        <w:widowControl/>
      </w:pPr>
      <w:r>
        <w:rPr>
          <w:b/>
          <w:i w:val="0"/>
        </w:rPr>
        <w:t>The word.</w:t>
      </w:r>
    </w:p>
    <w:p>
      <w:pPr>
        <w:widowControl/>
      </w:pPr>
      <w:r>
        <w:rPr>
          <w:b w:val="0"/>
          <w:i w:val="0"/>
        </w:rPr>
        <w:t>Fons is a fountain or spring. Haurire is drawing a supply; bibere drinking; exuberare overflowing. Infundere pours into, effundere pours out, and influxus names the incoming flow. The verbs distinguish source, communication and recipient even when all use liquid imagery.</w:t>
      </w:r>
    </w:p>
    <w:p>
      <w:pPr>
        <w:keepNext/>
        <w:widowControl/>
      </w:pPr>
      <w:r>
        <w:rPr>
          <w:b/>
          <w:i w:val="0"/>
        </w:rPr>
        <w:t>In the Platonic Theology.</w:t>
      </w:r>
    </w:p>
    <w:p>
      <w:pPr>
        <w:widowControl/>
      </w:pPr>
      <w:r>
        <w:rPr>
          <w:b w:val="0"/>
          <w:i w:val="0"/>
        </w:rPr>
        <w:t>The fountain of motion at V.1 cannot run dry without ending derivative movement. In V.4 it is rational soul as moving and forming matter. V.9 speaks instead of form as fountain of being, explaining why a dependent composite has its determinate existence through form. These phrases operate at different explanatory levels; every fons is not thereby God or an absolutely first cause.</w:t>
      </w:r>
    </w:p>
    <w:p>
      <w:pPr>
        <w:widowControl/>
      </w:pPr>
      <w:r>
        <w:rPr>
          <w:b w:val="0"/>
          <w:i w:val="0"/>
        </w:rPr>
        <w:t>V.10.3 gives the most sustained reciprocal image. God overflows, soul draws, and it drinks being. The joint attention to what is drawn and the one drawing makes the continuing relation vivid. The soul’s own stable receptivity is as important to the argument as the source’s constancy.</w:t>
      </w:r>
    </w:p>
    <w:p>
      <w:pPr>
        <w:widowControl/>
      </w:pPr>
      <w:r>
        <w:rPr>
          <w:b w:val="0"/>
          <w:i w:val="0"/>
        </w:rPr>
        <w:t>V.12.12 proposes a counter-image: perhaps God could withdraw the influx just as a face’s withdrawal removes its mirror image. Ficino refuses that conclusion, then asks whether source or recipient changes. Neither can do so in the required way on his premises. V.12.13 thus identifies life as the first actuality entering essence and insists that both reception and infusion persist.</w:t>
      </w:r>
    </w:p>
    <w:p>
      <w:pPr>
        <w:widowControl/>
      </w:pPr>
      <w:r>
        <w:rPr>
          <w:b w:val="0"/>
          <w:i w:val="0"/>
        </w:rPr>
        <w:t>In V.14.8 soul pours irrational life toward body as a shadow; V.15.3–4 presents divine radiance as the reflection and outpouring of life. These are accounts of communicated dependence, not material liquids moving between containers. One should also keep the outward flow of an operation, such as heating in V.13.10, distinct from the enduring being of the agent.</w:t>
      </w:r>
    </w:p>
    <w:p>
      <w:pPr>
        <w:keepNext/>
        <w:widowControl/>
      </w:pPr>
      <w:r>
        <w:rPr>
          <w:b/>
          <w:i w:val="0"/>
        </w:rPr>
        <w:t>Places to Read.</w:t>
      </w:r>
    </w:p>
    <w:p>
      <w:pPr>
        <w:ind w:left="187" w:hanging="187"/>
      </w:pPr>
      <w:r>
        <w:t xml:space="preserve">• </w:t>
      </w:r>
      <w:r>
        <w:rPr>
          <w:b/>
          <w:i w:val="0"/>
        </w:rPr>
        <w:t>V.1.1, V.4.10, V.9.1, PDF 8–9, 24–25, 46–47.</w:t>
      </w:r>
      <w:r>
        <w:rPr>
          <w:b w:val="0"/>
          <w:i w:val="0"/>
        </w:rPr>
        <w:t xml:space="preserve"> Fountain names moving source and formal source in different arguments.</w:t>
      </w:r>
    </w:p>
    <w:p>
      <w:pPr>
        <w:ind w:left="187" w:hanging="187"/>
      </w:pPr>
      <w:r>
        <w:t xml:space="preserve">• </w:t>
      </w:r>
      <w:r>
        <w:rPr>
          <w:b/>
          <w:i w:val="0"/>
        </w:rPr>
        <w:t>V.10.3, PDF 58–59.</w:t>
      </w:r>
      <w:r>
        <w:rPr>
          <w:b w:val="0"/>
          <w:i w:val="0"/>
        </w:rPr>
        <w:t xml:space="preserve"> Overflow, drawing and drinking articulate persistent relation.</w:t>
      </w:r>
    </w:p>
    <w:p>
      <w:pPr>
        <w:ind w:left="187" w:hanging="187"/>
      </w:pPr>
      <w:r>
        <w:t xml:space="preserve">• </w:t>
      </w:r>
      <w:r>
        <w:rPr>
          <w:b/>
          <w:i w:val="0"/>
        </w:rPr>
        <w:t>V.12.12, V.12.13, PDF 74–77.</w:t>
      </w:r>
      <w:r>
        <w:rPr>
          <w:b w:val="0"/>
          <w:i w:val="0"/>
        </w:rPr>
        <w:t xml:space="preserve"> The withdrawal objection is distinguished from Ficino’s answer.</w:t>
      </w:r>
    </w:p>
    <w:p>
      <w:pPr>
        <w:ind w:left="187" w:hanging="187"/>
      </w:pPr>
      <w:r>
        <w:t xml:space="preserve">• </w:t>
      </w:r>
      <w:r>
        <w:rPr>
          <w:b/>
          <w:i w:val="0"/>
        </w:rPr>
        <w:t>V.14.8, V.15.3, V.15.4, PDF 100–101, 104–107.</w:t>
      </w:r>
      <w:r>
        <w:rPr>
          <w:b w:val="0"/>
          <w:i w:val="0"/>
        </w:rPr>
        <w:t xml:space="preserve"> Derivative animation and divine radiance extend the communication imagery.</w:t>
      </w:r>
    </w:p>
    <w:p>
      <w:pPr>
        <w:keepNext/>
        <w:widowControl/>
      </w:pPr>
      <w:r>
        <w:rPr>
          <w:b/>
          <w:i w:val="0"/>
        </w:rPr>
        <w:t>In this edition.</w:t>
      </w:r>
    </w:p>
    <w:p>
      <w:pPr>
        <w:widowControl/>
      </w:pPr>
      <w:r>
        <w:rPr>
          <w:b w:val="0"/>
          <w:i w:val="0"/>
        </w:rPr>
        <w:t xml:space="preserve">The source retains the exact water-language sequence rather than translating every verb simply as </w:t>
      </w:r>
      <w:r>
        <w:t>“</w:t>
      </w:r>
      <w:r>
        <w:rPr>
          <w:b w:val="0"/>
          <w:i w:val="0"/>
        </w:rPr>
        <w:t>causes.</w:t>
      </w:r>
      <w:r>
        <w:t>”</w:t>
      </w:r>
      <w:r>
        <w:rPr>
          <w:b w:val="0"/>
          <w:i w:val="0"/>
        </w:rPr>
        <w:t xml:space="preserve"> The mirror’s possible disappearance in V.12.12 belongs to an objection. It is not Ficino’s final assertion that God may interrupt the soul’s life.</w:t>
      </w:r>
    </w:p>
    <w:p>
      <w:pPr>
        <w:keepNext/>
        <w:widowControl/>
      </w:pPr>
      <w:r>
        <w:rPr>
          <w:b/>
          <w:i w:val="0"/>
        </w:rPr>
        <w:t>See also.</w:t>
      </w:r>
    </w:p>
    <w:p>
      <w:pPr>
        <w:widowControl/>
      </w:pPr>
      <w:hyperlink w:anchor="relation-and-continuing-dependence">
        <w:r>
          <w:rPr>
            <w:color w:val="000000"/>
          </w:rPr>
          <w:t xml:space="preserve">Relation and continuing dependence</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life-and-vivification">
        <w:r>
          <w:rPr>
            <w:color w:val="000000"/>
          </w:rPr>
          <w:t xml:space="preserve">Life and vivification</w:t>
        </w:r>
      </w:hyperlink>
    </w:p>
    <w:p>
      <w:pPr>
        <w:pStyle w:val="Heading2"/>
      </w:pPr>
      <w:bookmarkStart w:id="134" w:name="four-causes-and-graded-dependence"/>
      <w:r>
        <w:rPr>
          <w:b w:val="0"/>
          <w:i w:val="0"/>
        </w:rPr>
        <w:t>Four causes and graded dependence</w:t>
      </w:r>
      <w:bookmarkEnd w:id="134"/>
    </w:p>
    <w:p>
      <w:pPr>
        <w:keepNext/>
        <w:widowControl/>
      </w:pPr>
      <w:r>
        <w:rPr>
          <w:b/>
          <w:i w:val="0"/>
        </w:rPr>
        <w:t>Latin:</w:t>
      </w:r>
      <w:r>
        <w:rPr>
          <w:b w:val="0"/>
          <w:i w:val="0"/>
        </w:rPr>
        <w:t xml:space="preserve"> </w:t>
      </w:r>
      <w:r>
        <w:rPr>
          <w:b w:val="0"/>
          <w:i/>
        </w:rPr>
        <w:t>causa efficiens</w:t>
      </w:r>
      <w:r>
        <w:rPr>
          <w:b w:val="0"/>
          <w:i w:val="0"/>
        </w:rPr>
        <w:t xml:space="preserve">; </w:t>
      </w:r>
      <w:r>
        <w:rPr>
          <w:b w:val="0"/>
          <w:i/>
        </w:rPr>
        <w:t>finis</w:t>
      </w:r>
      <w:r>
        <w:rPr>
          <w:b w:val="0"/>
          <w:i w:val="0"/>
        </w:rPr>
        <w:t xml:space="preserve">; </w:t>
      </w:r>
      <w:r>
        <w:rPr>
          <w:b w:val="0"/>
          <w:i/>
        </w:rPr>
        <w:t>materia</w:t>
      </w:r>
      <w:r>
        <w:rPr>
          <w:b w:val="0"/>
          <w:i w:val="0"/>
        </w:rPr>
        <w:t xml:space="preserve">; </w:t>
      </w:r>
      <w:r>
        <w:rPr>
          <w:b w:val="0"/>
          <w:i/>
        </w:rPr>
        <w:t>forma</w:t>
      </w:r>
      <w:r>
        <w:rPr>
          <w:b w:val="0"/>
          <w:i w:val="0"/>
        </w:rPr>
        <w:t xml:space="preserve">; </w:t>
      </w:r>
      <w:r>
        <w:rPr>
          <w:b w:val="0"/>
          <w:i/>
        </w:rPr>
        <w:t>effector</w:t>
      </w:r>
      <w:r>
        <w:rPr>
          <w:b w:val="0"/>
          <w:i w:val="0"/>
        </w:rPr>
        <w:t xml:space="preserve">; </w:t>
      </w:r>
      <w:r>
        <w:rPr>
          <w:b w:val="0"/>
          <w:i/>
        </w:rPr>
        <w:t>finalis</w:t>
      </w:r>
      <w:r>
        <w:rPr>
          <w:b w:val="0"/>
          <w:i w:val="0"/>
        </w:rPr>
        <w:t xml:space="preserve">; </w:t>
      </w:r>
      <w:r>
        <w:rPr>
          <w:b w:val="0"/>
          <w:i/>
        </w:rPr>
        <w:t>pendere</w:t>
      </w:r>
    </w:p>
    <w:p>
      <w:pPr>
        <w:keepNext/>
        <w:widowControl/>
      </w:pPr>
      <w:r>
        <w:rPr>
          <w:b/>
          <w:i w:val="0"/>
        </w:rPr>
        <w:t>The word.</w:t>
      </w:r>
    </w:p>
    <w:p>
      <w:pPr>
        <w:widowControl/>
      </w:pPr>
      <w:r>
        <w:rPr>
          <w:b w:val="0"/>
          <w:i w:val="0"/>
        </w:rPr>
        <w:t>The four causes answer different explanatory questions: efficient cause supplies production, finis its end, materia its material basis, and forma the determination through which the thing is what it is. A cause is not always a temporally earlier event or a push.</w:t>
      </w:r>
    </w:p>
    <w:p>
      <w:pPr>
        <w:keepNext/>
        <w:widowControl/>
      </w:pPr>
      <w:r>
        <w:rPr>
          <w:b/>
          <w:i w:val="0"/>
        </w:rPr>
        <w:t>In the Platonic Theology.</w:t>
      </w:r>
    </w:p>
    <w:p>
      <w:pPr>
        <w:widowControl/>
      </w:pPr>
      <w:r>
        <w:rPr>
          <w:b w:val="0"/>
          <w:i w:val="0"/>
        </w:rPr>
        <w:t>V.5 begins with four explanatory causes of a human being: universal nature together with a human parent is efficient cause, happiness the end, body the matter, and soul the form. The singular efficient-cause heading includes both natural and parental agency. God alone excludes all four dependencies; natural body includes all four. Soul remains dependent on an efficient source and an end even as the ascent removes material dependence. Quality provides the intermediate case: it is itself a form, yet is produced by an agent, directed toward an end and drawn from matter’s pregnant womb, extended and divided with that matter.</w:t>
      </w:r>
    </w:p>
    <w:p>
      <w:pPr>
        <w:widowControl/>
      </w:pPr>
      <w:r>
        <w:rPr>
          <w:b w:val="0"/>
          <w:i w:val="0"/>
        </w:rPr>
        <w:t xml:space="preserve">The language of priority also has to be unpacked. A cause can be intrinsic to the explanation of a composite, as matter and form are, or productive and directive, as agent and end are. Consequently, saying that soul has fewer causes is not counting how many historical persons helped produce it. It is identifying fewer kinds of ontological requirement. Nor does </w:t>
      </w:r>
      <w:r>
        <w:t>“</w:t>
      </w:r>
      <w:r>
        <w:rPr>
          <w:b w:val="0"/>
          <w:i w:val="0"/>
        </w:rPr>
        <w:t>no form as cause</w:t>
      </w:r>
      <w:r>
        <w:t>”</w:t>
      </w:r>
      <w:r>
        <w:rPr>
          <w:b w:val="0"/>
          <w:i w:val="0"/>
        </w:rPr>
        <w:t xml:space="preserve"> mean a lack of intelligibility. On the contrary, soul escapes a distinct formal constituent because it is itself form. Quality already shares that exemption, which is why Ficino explicitly refuses to make it the additional respect in which soul surpasses quality.</w:t>
      </w:r>
    </w:p>
    <w:p>
      <w:pPr>
        <w:widowControl/>
      </w:pPr>
      <w:r>
        <w:rPr>
          <w:b w:val="0"/>
          <w:i w:val="0"/>
        </w:rPr>
        <w:t>V.5.4 proceeds by elimination rather than only by a picturesque ladder. Could soul surpass quality by lacking an efficient source? No, that would be divine exemption. Could it lack an end? Again no. Could it lack a formal cause? Quality already does. Material dependence is therefore the remaining candidate. This is an argument whose force depends on the completeness of the fourfold classification and the ordered differentiation of levels. The reader can see what must be accepted for the conclusion to follow, rather than merely being asked to admire the number pattern.</w:t>
      </w:r>
    </w:p>
    <w:p>
      <w:pPr>
        <w:widowControl/>
      </w:pPr>
      <w:r>
        <w:rPr>
          <w:b w:val="0"/>
          <w:i w:val="0"/>
        </w:rPr>
        <w:t xml:space="preserve">The intermediate-level premise also receives a rationale. Whatever acts acts from its nature, and an immediate product should resemble its agent more than an extremely remote one. A wholly dependent body would be maximally unlike the wholly independent source; a middle is required to connect them. Ficino speaks of the work produced immediately and by the guiding intention, </w:t>
      </w:r>
      <w:r>
        <w:t>“</w:t>
      </w:r>
      <w:r>
        <w:rPr>
          <w:b w:val="0"/>
          <w:i w:val="0"/>
        </w:rPr>
        <w:t>so to speak,</w:t>
      </w:r>
      <w:r>
        <w:t>”</w:t>
      </w:r>
      <w:r>
        <w:rPr>
          <w:b w:val="0"/>
          <w:i w:val="0"/>
        </w:rPr>
        <w:t xml:space="preserve"> so the resemblance account does not deny that God is also cause of body. It distinguishes ways in which effects stand to their source.</w:t>
      </w:r>
    </w:p>
    <w:p>
      <w:pPr>
        <w:widowControl/>
      </w:pPr>
      <w:r>
        <w:rPr>
          <w:b w:val="0"/>
          <w:i w:val="0"/>
        </w:rPr>
        <w:t>The final comparison with angel prevents a mechanically uniform sequence. Angel and soul both retain productive and final dependence. Their difference is that soul’s lower-facing inclination makes animation part of its role, whereas angel is occupied immediately by God. The chapter’s numerical ascent therefore reaches two dependencies without demanding a fictitious one-cause creature. The following four arguments secure that a lower-facing inclination does not smuggle bodily matter back into soul’s constitution.</w:t>
      </w:r>
    </w:p>
    <w:p>
      <w:pPr>
        <w:keepNext/>
        <w:widowControl/>
      </w:pPr>
      <w:r>
        <w:rPr>
          <w:b/>
          <w:i w:val="0"/>
        </w:rPr>
        <w:t>Places to Read.</w:t>
      </w:r>
    </w:p>
    <w:p>
      <w:pPr>
        <w:ind w:left="187" w:hanging="187"/>
      </w:pPr>
      <w:r>
        <w:t xml:space="preserve">• </w:t>
      </w:r>
      <w:r>
        <w:rPr>
          <w:b/>
          <w:i w:val="0"/>
        </w:rPr>
        <w:t>V.5.1, V.5.2, PDF 26–27.</w:t>
      </w:r>
      <w:r>
        <w:rPr>
          <w:b w:val="0"/>
          <w:i w:val="0"/>
        </w:rPr>
        <w:t xml:space="preserve"> Four causes, human example, divine exemption and the need for intermediate degrees.</w:t>
      </w:r>
    </w:p>
    <w:p>
      <w:pPr>
        <w:ind w:left="187" w:hanging="187"/>
      </w:pPr>
      <w:r>
        <w:t xml:space="preserve">• </w:t>
      </w:r>
      <w:r>
        <w:rPr>
          <w:b/>
          <w:i w:val="0"/>
        </w:rPr>
        <w:t>V.5.3, V.5.4, V.5.5, PDF 28–29.</w:t>
      </w:r>
      <w:r>
        <w:rPr>
          <w:b w:val="0"/>
          <w:i w:val="0"/>
        </w:rPr>
        <w:t xml:space="preserve"> Body, quality and soul are compared by four, three and two dependencies; angel adds a different distinction.</w:t>
      </w:r>
    </w:p>
    <w:p>
      <w:pPr>
        <w:ind w:left="187" w:hanging="187"/>
      </w:pPr>
      <w:r>
        <w:t xml:space="preserve">• </w:t>
      </w:r>
      <w:r>
        <w:rPr>
          <w:b/>
          <w:i w:val="0"/>
        </w:rPr>
        <w:t>V.13.1, V.13.2, PDF 78–79.</w:t>
      </w:r>
      <w:r>
        <w:rPr>
          <w:b w:val="0"/>
          <w:i w:val="0"/>
        </w:rPr>
        <w:t xml:space="preserve"> Common being and determinate modes require differently scoped causal accounts.</w:t>
      </w:r>
    </w:p>
    <w:p>
      <w:pPr>
        <w:keepNext/>
        <w:widowControl/>
      </w:pPr>
      <w:r>
        <w:rPr>
          <w:b/>
          <w:i w:val="0"/>
        </w:rPr>
        <w:t>In this edition.</w:t>
      </w:r>
    </w:p>
    <w:p>
      <w:pPr>
        <w:widowControl/>
      </w:pPr>
      <w:r>
        <w:rPr>
          <w:b w:val="0"/>
          <w:i w:val="0"/>
        </w:rPr>
        <w:t xml:space="preserve">The translation supplies </w:t>
      </w:r>
      <w:r>
        <w:t>“</w:t>
      </w:r>
      <w:r>
        <w:rPr>
          <w:b w:val="0"/>
          <w:i w:val="0"/>
        </w:rPr>
        <w:t>as a cause</w:t>
      </w:r>
      <w:r>
        <w:t>”</w:t>
      </w:r>
      <w:r>
        <w:rPr>
          <w:b w:val="0"/>
          <w:i w:val="0"/>
        </w:rPr>
        <w:t xml:space="preserve"> where V.5.5 says soul has neither form nor matter: the governing discussion requires it. Felicitas is </w:t>
      </w:r>
      <w:r>
        <w:t>“</w:t>
      </w:r>
      <w:r>
        <w:rPr>
          <w:b w:val="0"/>
          <w:i w:val="0"/>
        </w:rPr>
        <w:t>happiness,</w:t>
      </w:r>
      <w:r>
        <w:t>”</w:t>
      </w:r>
      <w:r>
        <w:rPr>
          <w:b w:val="0"/>
          <w:i w:val="0"/>
        </w:rPr>
        <w:t xml:space="preserve"> distinguished by this edition from beatitudo. Principali … proposito in V.5.2 means a guiding or primary intention and carries ut ita loquar, </w:t>
      </w:r>
      <w:r>
        <w:t>“</w:t>
      </w:r>
      <w:r>
        <w:rPr>
          <w:b w:val="0"/>
          <w:i w:val="0"/>
        </w:rPr>
        <w:t>so to speak.</w:t>
      </w:r>
      <w:r>
        <w:t>”</w:t>
      </w:r>
    </w:p>
    <w:p>
      <w:pPr>
        <w:keepNext/>
        <w:widowControl/>
      </w:pPr>
      <w:r>
        <w:rPr>
          <w:b/>
          <w:i w:val="0"/>
        </w:rPr>
        <w:t>See also.</w:t>
      </w:r>
    </w:p>
    <w:p>
      <w:pPr>
        <w:widowControl/>
      </w:pPr>
      <w:hyperlink w:anchor="through-itself-and-through-another">
        <w:r>
          <w:rPr>
            <w:color w:val="000000"/>
          </w:rPr>
          <w:t xml:space="preserve">Through itself and through another</w:t>
        </w:r>
      </w:hyperlink>
      <w:r>
        <w:rPr>
          <w:b w:val="0"/>
          <w:i w:val="0"/>
        </w:rPr>
        <w:t xml:space="preserve">; </w:t>
      </w:r>
      <w:hyperlink w:anchor="inclination-and-independence">
        <w:r>
          <w:rPr>
            <w:color w:val="000000"/>
          </w:rPr>
          <w:t xml:space="preserve">Inclination and independence</w:t>
        </w:r>
      </w:hyperlink>
      <w:r>
        <w:rPr>
          <w:b w:val="0"/>
          <w:i w:val="0"/>
        </w:rPr>
        <w:t xml:space="preserve">; </w:t>
      </w:r>
      <w:hyperlink w:anchor="first-cause">
        <w:r>
          <w:rPr>
            <w:color w:val="000000"/>
          </w:rPr>
          <w:t xml:space="preserve">First Cause</w:t>
        </w:r>
      </w:hyperlink>
    </w:p>
    <w:p>
      <w:pPr>
        <w:pStyle w:val="Heading2"/>
      </w:pPr>
      <w:bookmarkStart w:id="135" w:name="viii-four-stages"/>
      <w:r>
        <w:rPr>
          <w:b w:val="0"/>
          <w:i w:val="0"/>
        </w:rPr>
        <w:t>Four stages of cognition</w:t>
      </w:r>
      <w:bookmarkEnd w:id="135"/>
    </w:p>
    <w:p>
      <w:pPr>
        <w:keepNext/>
        <w:widowControl/>
      </w:pPr>
      <w:r>
        <w:rPr>
          <w:b/>
          <w:i w:val="0"/>
        </w:rPr>
        <w:t>Latin:</w:t>
      </w:r>
      <w:r>
        <w:rPr>
          <w:b w:val="0"/>
          <w:i w:val="0"/>
        </w:rPr>
        <w:t xml:space="preserve"> </w:t>
      </w:r>
      <w:r>
        <w:rPr>
          <w:b w:val="0"/>
          <w:i/>
        </w:rPr>
        <w:t>sensus</w:t>
      </w:r>
      <w:r>
        <w:rPr>
          <w:b w:val="0"/>
          <w:i w:val="0"/>
        </w:rPr>
        <w:t xml:space="preserve">; </w:t>
      </w:r>
      <w:r>
        <w:rPr>
          <w:b w:val="0"/>
          <w:i/>
        </w:rPr>
        <w:t>imaginatio</w:t>
      </w:r>
      <w:r>
        <w:rPr>
          <w:b w:val="0"/>
          <w:i w:val="0"/>
        </w:rPr>
        <w:t xml:space="preserve">; </w:t>
      </w:r>
      <w:r>
        <w:rPr>
          <w:b w:val="0"/>
          <w:i/>
        </w:rPr>
        <w:t>phantasia</w:t>
      </w:r>
      <w:r>
        <w:rPr>
          <w:b w:val="0"/>
          <w:i w:val="0"/>
        </w:rPr>
        <w:t xml:space="preserve">; </w:t>
      </w:r>
      <w:r>
        <w:rPr>
          <w:b w:val="0"/>
          <w:i/>
        </w:rPr>
        <w:t>intelligentia</w:t>
      </w:r>
      <w:r>
        <w:rPr>
          <w:b w:val="0"/>
          <w:i w:val="0"/>
        </w:rPr>
        <w:t xml:space="preserve">; </w:t>
      </w:r>
      <w:r>
        <w:rPr>
          <w:b w:val="0"/>
          <w:i/>
        </w:rPr>
        <w:t>intellectus</w:t>
      </w:r>
    </w:p>
    <w:p>
      <w:pPr>
        <w:keepNext/>
        <w:widowControl/>
      </w:pPr>
      <w:r>
        <w:rPr>
          <w:b/>
          <w:i w:val="0"/>
        </w:rPr>
        <w:t>The word.</w:t>
      </w:r>
    </w:p>
    <w:p>
      <w:pPr>
        <w:widowControl/>
      </w:pPr>
      <w:r>
        <w:rPr>
          <w:b w:val="0"/>
          <w:i w:val="0"/>
        </w:rPr>
        <w:t>The four names identify distinct cognitive activities in the account attributed to the Platonists. Sensus is bodily sensation; imaginatio collects and retains sensory appearances; phantasia recognizes and evaluates this particular represented thing; intelligentia or intellectus apprehends common natures and incorporeal accounts. The distinction is functional, not a list of four independent souls.</w:t>
      </w:r>
    </w:p>
    <w:p>
      <w:pPr>
        <w:keepNext/>
        <w:widowControl/>
      </w:pPr>
      <w:r>
        <w:rPr>
          <w:b/>
          <w:i w:val="0"/>
        </w:rPr>
        <w:t>In the Platonic Theology.</w:t>
      </w:r>
    </w:p>
    <w:p>
      <w:pPr>
        <w:widowControl/>
      </w:pPr>
      <w:r>
        <w:rPr>
          <w:b w:val="0"/>
          <w:i w:val="0"/>
        </w:rPr>
        <w:t>Book VIII begins the third route to the soul’s incorporeality and immortality, through understanding, after the operations of nourishment and sensation. Socrates seeing Plato supplies a controlled example: the object stays recognizably the same while the conditions of apprehending it change. Sight receives Plato’s likeness without his matter but still needs the living body present. Imagination no longer requires that presence and combines what the five senses separately supply. Phantasy judges the pictured man to be Plato, beautiful, good, a friend and a pupil. Intellect goes beyond this person, place and hour to humanity, beauty and goodness common to many.</w:t>
      </w:r>
    </w:p>
    <w:p>
      <w:pPr>
        <w:widowControl/>
      </w:pPr>
      <w:r>
        <w:rPr>
          <w:b w:val="0"/>
          <w:i w:val="0"/>
        </w:rPr>
        <w:t>These stages are not simply four degrees of photographic vividness. Phantasy adds judgment, yet remains tied to singular conditions. Intellect’s distinctive objects include common natures and principles that are not extended as bodily pictures are. Nor is sensation’s initial reception of an incorporeal likeness already equivalent to fully incorporeal understanding. The argument depends on discriminating how much material restriction remains at each stage.</w:t>
      </w:r>
    </w:p>
    <w:p>
      <w:pPr>
        <w:widowControl/>
      </w:pPr>
      <w:r>
        <w:rPr>
          <w:b w:val="0"/>
          <w:i w:val="0"/>
        </w:rPr>
        <w:t>Ficino explicitly allows phantasy and intellect to perform their different works simultaneously. He also later reminds the reader that intellect knows particulars as well as universals. The ladder therefore identifies relative independence from material conditions; it does not forbid interaction or deny lower objects to a higher faculty.</w:t>
      </w:r>
    </w:p>
    <w:p>
      <w:pPr>
        <w:widowControl/>
      </w:pPr>
      <w:r>
        <w:rPr>
          <w:b w:val="0"/>
          <w:i w:val="0"/>
        </w:rPr>
        <w:t>The portrait also separates the sensory channels from their internal coordination. Colour and outline are visible, voice audible; the same internal imagination can collect both while no single external sense performs all five senses’ tasks. That unity and the ability to operate with an absent object explain why imagination rises farther above matter than sensation. Yet its contents remain received or conceived through sensation. Ficino therefore distinguishes freedom from a body’s present proximity from freedom from the bodily character of the presentation itself.</w:t>
      </w:r>
    </w:p>
    <w:p>
      <w:pPr>
        <w:widowControl/>
      </w:pPr>
      <w:r>
        <w:rPr>
          <w:b w:val="0"/>
          <w:i w:val="0"/>
        </w:rPr>
        <w:t xml:space="preserve">The next transition should not be summarized simply as </w:t>
      </w:r>
      <w:r>
        <w:t>“</w:t>
      </w:r>
      <w:r>
        <w:rPr>
          <w:b w:val="0"/>
          <w:i w:val="0"/>
        </w:rPr>
        <w:t>interpretation.</w:t>
      </w:r>
      <w:r>
        <w:t>”</w:t>
      </w:r>
      <w:r>
        <w:rPr>
          <w:b w:val="0"/>
          <w:i w:val="0"/>
        </w:rPr>
        <w:t xml:space="preserve"> Phantasy recognizes whose likeness is present and applies predicates not themselves visible shapes: good, beautiful, friend and pupil. This is why Ficino can describe it as dreaming of incorporeals. But the same passage denies it the rational account of substance. The distinction keeps meaningful recognition below full intellectual universality without reducing it to a passive picture. Its operations are richer than imagination’s, and their limits are equally explicit.</w:t>
      </w:r>
    </w:p>
    <w:p>
      <w:pPr>
        <w:widowControl/>
      </w:pPr>
      <w:r>
        <w:rPr>
          <w:b w:val="0"/>
          <w:i w:val="0"/>
        </w:rPr>
        <w:t>Nor does the upward ordering entail that mind must become empty of sensible distinctions to know. In VIII.6 it compares individual limbs with each other and with the whole body; in VIII.12 it understands contraries together; in VIII.16 it ranges across all sensory classes. These applications depend on intellect retaining access to the materials it transcends in mode. The higher faculty’s distinctive power is to know such contents without being limited to one organ’s object or one image’s circumstance. The argument concerns the knower’s manner of possessing the objects, not the disappearance of bodies from knowledge.</w:t>
      </w:r>
    </w:p>
    <w:p>
      <w:pPr>
        <w:keepNext/>
        <w:widowControl/>
      </w:pPr>
      <w:r>
        <w:rPr>
          <w:b/>
          <w:i w:val="0"/>
        </w:rPr>
        <w:t>Places to Read.</w:t>
      </w:r>
    </w:p>
    <w:p>
      <w:pPr>
        <w:ind w:left="187" w:hanging="187"/>
      </w:pPr>
      <w:r>
        <w:t xml:space="preserve">• </w:t>
      </w:r>
      <w:r>
        <w:rPr>
          <w:b/>
          <w:i w:val="0"/>
        </w:rPr>
        <w:t>VIII.1.1, PDF pp. 284–285.</w:t>
      </w:r>
      <w:r>
        <w:rPr>
          <w:b w:val="0"/>
          <w:i w:val="0"/>
        </w:rPr>
        <w:t xml:space="preserve"> Socrates sees, remembers, and identifies Plato; each activity removes a different restriction.</w:t>
      </w:r>
    </w:p>
    <w:p>
      <w:pPr>
        <w:ind w:left="187" w:hanging="187"/>
      </w:pPr>
      <w:r>
        <w:t xml:space="preserve">• </w:t>
      </w:r>
      <w:r>
        <w:rPr>
          <w:b/>
          <w:i w:val="0"/>
        </w:rPr>
        <w:t>VIII.1.2, VIII.1.4, PDF pp. 286–287, 290–291.</w:t>
      </w:r>
      <w:r>
        <w:rPr>
          <w:b w:val="0"/>
          <w:i w:val="0"/>
        </w:rPr>
        <w:t xml:space="preserve"> Singular phantasy and universal intellect can work together; the four domains are restated.</w:t>
      </w:r>
    </w:p>
    <w:p>
      <w:pPr>
        <w:ind w:left="187" w:hanging="187"/>
      </w:pPr>
      <w:r>
        <w:t xml:space="preserve">• </w:t>
      </w:r>
      <w:r>
        <w:rPr>
          <w:b/>
          <w:i w:val="0"/>
        </w:rPr>
        <w:t>VIII.1.5, PDF pp. 292–293.</w:t>
      </w:r>
      <w:r>
        <w:rPr>
          <w:b w:val="0"/>
          <w:i w:val="0"/>
        </w:rPr>
        <w:t xml:space="preserve"> Intellect also returns to particulars, and the new proof is related to earlier arguments from nutrition and sensation.</w:t>
      </w:r>
    </w:p>
    <w:p>
      <w:pPr>
        <w:keepNext/>
        <w:widowControl/>
      </w:pPr>
      <w:r>
        <w:rPr>
          <w:b/>
          <w:i w:val="0"/>
        </w:rPr>
        <w:t>In this edition.</w:t>
      </w:r>
    </w:p>
    <w:p>
      <w:pPr>
        <w:widowControl/>
      </w:pPr>
      <w:r>
        <w:rPr>
          <w:b w:val="0"/>
          <w:i w:val="0"/>
        </w:rPr>
        <w:t xml:space="preserve">The edition deliberately distinguishes </w:t>
      </w:r>
      <w:r>
        <w:t>“</w:t>
      </w:r>
      <w:r>
        <w:rPr>
          <w:b w:val="0"/>
          <w:i w:val="0"/>
        </w:rPr>
        <w:t>imagination</w:t>
      </w:r>
      <w:r>
        <w:t>”</w:t>
      </w:r>
      <w:r>
        <w:rPr>
          <w:b w:val="0"/>
          <w:i w:val="0"/>
        </w:rPr>
        <w:t xml:space="preserve"> from </w:t>
      </w:r>
      <w:r>
        <w:t>“</w:t>
      </w:r>
      <w:r>
        <w:rPr>
          <w:b w:val="0"/>
          <w:i w:val="0"/>
        </w:rPr>
        <w:t>phantasy.</w:t>
      </w:r>
      <w:r>
        <w:t>”</w:t>
      </w:r>
      <w:r>
        <w:rPr>
          <w:b w:val="0"/>
          <w:i w:val="0"/>
        </w:rPr>
        <w:t xml:space="preserve"> Replacing both by imagination would erase the example’s central transition. At VIII.1.1, spiritum is the ascent’s nonbodily terminus; it is not the physiological </w:t>
      </w:r>
      <w:r>
        <w:t>“</w:t>
      </w:r>
      <w:r>
        <w:rPr>
          <w:b w:val="0"/>
          <w:i w:val="0"/>
        </w:rPr>
        <w:t>vital spirit</w:t>
      </w:r>
      <w:r>
        <w:t>”</w:t>
      </w:r>
      <w:r>
        <w:rPr>
          <w:b w:val="0"/>
          <w:i w:val="0"/>
        </w:rPr>
        <w:t xml:space="preserve"> of VIII.2.3.</w:t>
      </w:r>
    </w:p>
    <w:p>
      <w:pPr>
        <w:keepNext/>
        <w:widowControl/>
      </w:pPr>
      <w:r>
        <w:rPr>
          <w:b/>
          <w:i w:val="0"/>
        </w:rPr>
        <w:t>See also.</w:t>
      </w:r>
    </w:p>
    <w:p>
      <w:pPr>
        <w:widowControl/>
      </w:pPr>
      <w:hyperlink w:anchor="viii-images-intentions">
        <w:r>
          <w:rPr>
            <w:color w:val="000000"/>
          </w:rPr>
          <w:t xml:space="preserve">Images, intentions, and conjecturing substance</w:t>
        </w:r>
      </w:hyperlink>
      <w:r>
        <w:rPr>
          <w:b w:val="0"/>
          <w:i w:val="0"/>
        </w:rPr>
        <w:t xml:space="preserve">; </w:t>
      </w:r>
      <w:hyperlink w:anchor="viii-universal-idea">
        <w:r>
          <w:rPr>
            <w:color w:val="000000"/>
          </w:rPr>
          <w:t xml:space="preserve">Common nature, participation, and the divine Idea</w:t>
        </w:r>
      </w:hyperlink>
      <w:r>
        <w:rPr>
          <w:b w:val="0"/>
          <w:i w:val="0"/>
        </w:rPr>
        <w:t xml:space="preserve">; </w:t>
      </w:r>
      <w:hyperlink w:anchor="viii-immediate-reflexive">
        <w:r>
          <w:rPr>
            <w:color w:val="000000"/>
          </w:rPr>
          <w:t xml:space="preserve">Immediate intellection and the return to particulars</w:t>
        </w:r>
      </w:hyperlink>
    </w:p>
    <w:p>
      <w:pPr>
        <w:pStyle w:val="Heading2"/>
      </w:pPr>
      <w:bookmarkStart w:id="136" w:name="vii-freedom-matter"/>
      <w:r>
        <w:rPr>
          <w:b w:val="0"/>
          <w:i w:val="0"/>
        </w:rPr>
        <w:t>Freedom from matter and causal priority</w:t>
      </w:r>
      <w:bookmarkEnd w:id="136"/>
    </w:p>
    <w:p>
      <w:pPr>
        <w:keepNext/>
        <w:widowControl/>
      </w:pPr>
      <w:r>
        <w:rPr>
          <w:b/>
          <w:i w:val="0"/>
        </w:rPr>
        <w:t>Latin:</w:t>
      </w:r>
      <w:r>
        <w:rPr>
          <w:b w:val="0"/>
          <w:i w:val="0"/>
        </w:rPr>
        <w:t xml:space="preserve"> </w:t>
      </w:r>
      <w:r>
        <w:rPr>
          <w:b w:val="0"/>
          <w:i/>
        </w:rPr>
        <w:t>a materia liberior</w:t>
      </w:r>
      <w:r>
        <w:rPr>
          <w:b w:val="0"/>
          <w:i w:val="0"/>
        </w:rPr>
        <w:t xml:space="preserve">; </w:t>
      </w:r>
      <w:r>
        <w:rPr>
          <w:b w:val="0"/>
          <w:i/>
        </w:rPr>
        <w:t>causa</w:t>
      </w:r>
      <w:r>
        <w:rPr>
          <w:b w:val="0"/>
          <w:i w:val="0"/>
        </w:rPr>
        <w:t xml:space="preserve">; </w:t>
      </w:r>
      <w:r>
        <w:rPr>
          <w:b w:val="0"/>
          <w:i/>
        </w:rPr>
        <w:t>effectus</w:t>
      </w:r>
      <w:r>
        <w:rPr>
          <w:b w:val="0"/>
          <w:i w:val="0"/>
        </w:rPr>
        <w:t xml:space="preserve">; </w:t>
      </w:r>
      <w:r>
        <w:rPr>
          <w:b w:val="0"/>
          <w:i/>
        </w:rPr>
        <w:t>absque materia</w:t>
      </w:r>
      <w:r>
        <w:rPr>
          <w:b w:val="0"/>
          <w:i w:val="0"/>
        </w:rPr>
        <w:t xml:space="preserve">; </w:t>
      </w:r>
      <w:r>
        <w:rPr>
          <w:b w:val="0"/>
          <w:i/>
        </w:rPr>
        <w:t>immersus</w:t>
      </w:r>
      <w:r>
        <w:rPr>
          <w:b w:val="0"/>
          <w:i w:val="0"/>
        </w:rPr>
        <w:t xml:space="preserve">; </w:t>
      </w:r>
      <w:r>
        <w:rPr>
          <w:b w:val="0"/>
          <w:i/>
        </w:rPr>
        <w:t>fons virium</w:t>
      </w:r>
    </w:p>
    <w:p>
      <w:pPr>
        <w:keepNext/>
        <w:widowControl/>
      </w:pPr>
      <w:r>
        <w:rPr>
          <w:b/>
          <w:i w:val="0"/>
        </w:rPr>
        <w:t>The word.</w:t>
      </w:r>
    </w:p>
    <w:p>
      <w:pPr>
        <w:widowControl/>
      </w:pPr>
      <w:r>
        <w:rPr>
          <w:b w:val="0"/>
          <w:i w:val="0"/>
        </w:rPr>
        <w:t xml:space="preserve">Freedom from matter concerns a mode of operation and dependence, not political liberty or an agent’s lack of obligations. A </w:t>
      </w:r>
      <w:r>
        <w:rPr>
          <w:b w:val="0"/>
          <w:i/>
        </w:rPr>
        <w:t>fons</w:t>
      </w:r>
      <w:r>
        <w:rPr>
          <w:b w:val="0"/>
          <w:i w:val="0"/>
        </w:rPr>
        <w:t xml:space="preserve"> is a source or fountain: soul is presented as the source of its powers, not as a reservoir of bodily fluid.</w:t>
      </w:r>
    </w:p>
    <w:p>
      <w:pPr>
        <w:keepNext/>
        <w:widowControl/>
      </w:pPr>
      <w:r>
        <w:rPr>
          <w:b/>
          <w:i w:val="0"/>
        </w:rPr>
        <w:t>In the Platonic Theology.</w:t>
      </w:r>
    </w:p>
    <w:p>
      <w:pPr>
        <w:widowControl/>
      </w:pPr>
      <w:r>
        <w:rPr>
          <w:b w:val="0"/>
          <w:i w:val="0"/>
        </w:rPr>
        <w:t>Ficino begins from a principle of causal superiority: a producer must be more excellent than what it produces, and excellence is associated with freedom from matter. An effect cannot therefore possess a greater freedom from matter than its cause. The resulting hierarchy is local and ordered. Nutrition works above and beyond the elemental order; sensation receives forms without the objects’ matter; understanding does so more fully, as a later discussion will show. Soul, the fountain of these powers, cannot arise from wholly bodily humors or their mixture and concord.</w:t>
      </w:r>
    </w:p>
    <w:p>
      <w:pPr>
        <w:widowControl/>
      </w:pPr>
      <w:r>
        <w:rPr>
          <w:b w:val="0"/>
          <w:i w:val="0"/>
        </w:rPr>
        <w:t>The wall illustrates the sensory step. Seeing its color does not bring the wall itself into sight; the soul apprehends a spiritual image of the color. The reductio then contrasts this with material reception through elemental qualities. Through heat and dryness one would receive bodily fire, through cold and dryness earth, not the spiritual appearances of those things. If this kind of reception sufficed for sensing, earth and stone would sense in the same way as soul.</w:t>
      </w:r>
    </w:p>
    <w:p>
      <w:pPr>
        <w:widowControl/>
      </w:pPr>
      <w:r>
        <w:rPr>
          <w:b w:val="0"/>
          <w:i w:val="0"/>
        </w:rPr>
        <w:t>The closing consequence is rejected, not offered as a general affirmation that stones perceive. Likewise, the article should not convert the qualitative hierarchy into a contemporary physical demonstration. It explains why, within Ficino’s metaphysical account of cause and effect, the activities he attributes to soul outrun the resources of a humoral harmony.</w:t>
      </w:r>
    </w:p>
    <w:p>
      <w:pPr>
        <w:keepNext/>
        <w:widowControl/>
      </w:pPr>
      <w:r>
        <w:rPr>
          <w:b/>
          <w:i w:val="0"/>
        </w:rPr>
        <w:t>Places to Read.</w:t>
      </w:r>
    </w:p>
    <w:p>
      <w:pPr>
        <w:ind w:left="187" w:hanging="187"/>
      </w:pPr>
      <w:r>
        <w:t xml:space="preserve">• </w:t>
      </w:r>
      <w:r>
        <w:rPr>
          <w:b/>
          <w:i w:val="0"/>
        </w:rPr>
        <w:t>VII.8.1, PDF 264–265</w:t>
      </w:r>
      <w:r>
        <w:rPr>
          <w:b w:val="0"/>
          <w:i w:val="0"/>
        </w:rPr>
        <w:t>. The productive surplus of nutrition over instrumental heat supplies the earlier premise.</w:t>
      </w:r>
    </w:p>
    <w:p>
      <w:pPr>
        <w:ind w:left="187" w:hanging="187"/>
      </w:pPr>
      <w:r>
        <w:t xml:space="preserve">• </w:t>
      </w:r>
      <w:r>
        <w:rPr>
          <w:b/>
          <w:i w:val="0"/>
        </w:rPr>
        <w:t>VII.13.1, PDF 276–277</w:t>
      </w:r>
      <w:r>
        <w:rPr>
          <w:b w:val="0"/>
          <w:i w:val="0"/>
        </w:rPr>
        <w:t>. Causal excellence, three degrees of liberation and the fire–earth–stone reductio form the argument.</w:t>
      </w:r>
    </w:p>
    <w:p>
      <w:pPr>
        <w:keepNext/>
        <w:widowControl/>
      </w:pPr>
      <w:r>
        <w:rPr>
          <w:b/>
          <w:i w:val="0"/>
        </w:rPr>
        <w:t>In this edition.</w:t>
      </w:r>
    </w:p>
    <w:p>
      <w:pPr>
        <w:widowControl/>
      </w:pPr>
      <w:r>
        <w:rPr>
          <w:b w:val="0"/>
          <w:i w:val="0"/>
        </w:rPr>
        <w:t xml:space="preserve">The Latin pairs </w:t>
      </w:r>
      <w:r>
        <w:rPr>
          <w:b w:val="0"/>
          <w:i/>
        </w:rPr>
        <w:t>super et praeter</w:t>
      </w:r>
      <w:r>
        <w:rPr>
          <w:b w:val="0"/>
          <w:i w:val="0"/>
        </w:rPr>
        <w:t xml:space="preserve"> for nutrition’s relation to elemental order; both </w:t>
      </w:r>
      <w:r>
        <w:t>“</w:t>
      </w:r>
      <w:r>
        <w:rPr>
          <w:b w:val="0"/>
          <w:i w:val="0"/>
        </w:rPr>
        <w:t>above</w:t>
      </w:r>
      <w:r>
        <w:t>”</w:t>
      </w:r>
      <w:r>
        <w:rPr>
          <w:b w:val="0"/>
          <w:i w:val="0"/>
        </w:rPr>
        <w:t xml:space="preserve"> and </w:t>
      </w:r>
      <w:r>
        <w:t>“</w:t>
      </w:r>
      <w:r>
        <w:rPr>
          <w:b w:val="0"/>
          <w:i w:val="0"/>
        </w:rPr>
        <w:t>beyond</w:t>
      </w:r>
      <w:r>
        <w:t>”</w:t>
      </w:r>
      <w:r>
        <w:rPr>
          <w:b w:val="0"/>
          <w:i w:val="0"/>
        </w:rPr>
        <w:t xml:space="preserve"> matter. Understanding’s fuller freedom is explicitly promised for what follows. The present chapter should not be presented as already completing that demonstration.</w:t>
      </w:r>
    </w:p>
    <w:p>
      <w:pPr>
        <w:keepNext/>
        <w:widowControl/>
      </w:pPr>
      <w:r>
        <w:rPr>
          <w:b/>
          <w:i w:val="0"/>
        </w:rPr>
        <w:t>See also.</w:t>
      </w:r>
    </w:p>
    <w:p>
      <w:pPr>
        <w:widowControl/>
      </w:pPr>
      <w:hyperlink w:anchor="vii-nutrition-principal-agent">
        <w:r>
          <w:rPr>
            <w:color w:val="000000"/>
          </w:rPr>
          <w:t xml:space="preserve">Nutrition, growth and the principal agent</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harmony-strings">
        <w:r>
          <w:rPr>
            <w:color w:val="000000"/>
          </w:rPr>
          <w:t xml:space="preserve">Harmony and the strings</w:t>
        </w:r>
      </w:hyperlink>
    </w:p>
    <w:p>
      <w:pPr>
        <w:pStyle w:val="Heading2"/>
      </w:pPr>
      <w:bookmarkStart w:id="137" w:name="garment-mud-and-misleading-shadows"/>
      <w:r>
        <w:rPr>
          <w:b w:val="0"/>
          <w:i w:val="0"/>
        </w:rPr>
        <w:t>Garment, mud and misleading shadows</w:t>
      </w:r>
      <w:bookmarkEnd w:id="137"/>
    </w:p>
    <w:p>
      <w:pPr>
        <w:keepNext/>
        <w:widowControl/>
      </w:pPr>
      <w:r>
        <w:rPr>
          <w:b/>
          <w:i w:val="0"/>
        </w:rPr>
        <w:t>Latin:</w:t>
      </w:r>
      <w:r>
        <w:rPr>
          <w:b w:val="0"/>
          <w:i w:val="0"/>
        </w:rPr>
        <w:t xml:space="preserve"> </w:t>
      </w:r>
      <w:r>
        <w:rPr>
          <w:b w:val="0"/>
          <w:i/>
        </w:rPr>
        <w:t>vestis</w:t>
      </w:r>
      <w:r>
        <w:rPr>
          <w:b w:val="0"/>
          <w:i w:val="0"/>
        </w:rPr>
        <w:t xml:space="preserve">; </w:t>
      </w:r>
      <w:r>
        <w:rPr>
          <w:b w:val="0"/>
          <w:i/>
        </w:rPr>
        <w:t>lutum</w:t>
      </w:r>
      <w:r>
        <w:rPr>
          <w:b w:val="0"/>
          <w:i w:val="0"/>
        </w:rPr>
        <w:t xml:space="preserve">; </w:t>
      </w:r>
      <w:r>
        <w:rPr>
          <w:b w:val="0"/>
          <w:i/>
        </w:rPr>
        <w:t>testa</w:t>
      </w:r>
      <w:r>
        <w:rPr>
          <w:b w:val="0"/>
          <w:i w:val="0"/>
        </w:rPr>
        <w:t xml:space="preserve">; </w:t>
      </w:r>
      <w:r>
        <w:rPr>
          <w:b w:val="0"/>
          <w:i/>
        </w:rPr>
        <w:t>gleba</w:t>
      </w:r>
      <w:r>
        <w:rPr>
          <w:b w:val="0"/>
          <w:i w:val="0"/>
        </w:rPr>
        <w:t xml:space="preserve">; </w:t>
      </w:r>
      <w:r>
        <w:rPr>
          <w:b w:val="0"/>
          <w:i/>
        </w:rPr>
        <w:t>umbra</w:t>
      </w:r>
      <w:r>
        <w:rPr>
          <w:b w:val="0"/>
          <w:i w:val="0"/>
        </w:rPr>
        <w:t xml:space="preserve">; </w:t>
      </w:r>
      <w:r>
        <w:rPr>
          <w:b w:val="0"/>
          <w:i/>
        </w:rPr>
        <w:t>abluere</w:t>
      </w:r>
      <w:r>
        <w:rPr>
          <w:b w:val="0"/>
          <w:i w:val="0"/>
        </w:rPr>
        <w:t xml:space="preserve">; </w:t>
      </w:r>
      <w:r>
        <w:rPr>
          <w:b w:val="0"/>
          <w:i/>
        </w:rPr>
        <w:t>abstergere</w:t>
      </w:r>
      <w:r>
        <w:rPr>
          <w:b w:val="0"/>
          <w:i w:val="0"/>
        </w:rPr>
        <w:t xml:space="preserve">; </w:t>
      </w:r>
      <w:r>
        <w:rPr>
          <w:b w:val="0"/>
          <w:i/>
        </w:rPr>
        <w:t>revertere</w:t>
      </w:r>
    </w:p>
    <w:p>
      <w:pPr>
        <w:keepNext/>
        <w:widowControl/>
      </w:pPr>
      <w:r>
        <w:rPr>
          <w:b/>
          <w:i w:val="0"/>
        </w:rPr>
        <w:t>The word.</w:t>
      </w:r>
    </w:p>
    <w:p>
      <w:pPr>
        <w:widowControl/>
      </w:pPr>
      <w:r>
        <w:rPr>
          <w:b w:val="0"/>
          <w:i w:val="0"/>
        </w:rPr>
        <w:t>Vestis is clothing, testa a hardened earthen crust, gleba a clod. Umbra is shadow, distinguishable from the thing casting it. Abluere and abstergere mean washing away and wiping off; their force is to remove an accretion without destroying the underlying thing.</w:t>
      </w:r>
    </w:p>
    <w:p>
      <w:pPr>
        <w:keepNext/>
        <w:widowControl/>
      </w:pPr>
      <w:r>
        <w:rPr>
          <w:b/>
          <w:i w:val="0"/>
        </w:rPr>
        <w:t>In the Platonic Theology.</w:t>
      </w:r>
    </w:p>
    <w:p>
      <w:pPr>
        <w:widowControl/>
      </w:pPr>
      <w:r>
        <w:rPr>
          <w:b w:val="0"/>
          <w:i w:val="0"/>
        </w:rPr>
        <w:t>VI.2.2 imagines the soul’s faculties as covered by bodily conditions. The natural power is submerged in four humours and smothered by fat; imagination is overlaid with borrowed shapes. Ficino’s striking comparison is a child coated in mud from birth who mistakes the crust for his own flesh. Washing exposes what was there beneath the accretion. The purpose is epistemic and ethical: a condition acquired in bodily life need not reveal the soul’s essence. The humoral language is historical physiology and the mud story an analogy, not a medical account.</w:t>
      </w:r>
    </w:p>
    <w:p>
      <w:pPr>
        <w:widowControl/>
      </w:pPr>
      <w:r>
        <w:rPr>
          <w:b w:val="0"/>
          <w:i w:val="0"/>
        </w:rPr>
        <w:t xml:space="preserve">The next images shift from coating to projection. Body is appositional to </w:t>
      </w:r>
      <w:r>
        <w:t>“</w:t>
      </w:r>
      <w:r>
        <w:rPr>
          <w:b w:val="0"/>
          <w:i w:val="0"/>
        </w:rPr>
        <w:t>your shadow</w:t>
      </w:r>
      <w:r>
        <w:t>”</w:t>
      </w:r>
      <w:r>
        <w:rPr>
          <w:b w:val="0"/>
          <w:i w:val="0"/>
        </w:rPr>
        <w:t>: the soul mistakes the low location of its bodily image for its own mode of being. A boy above a well imagines himself at its bottom; a bird flying in air thinks itself on earth because its shadow is there. These compact cases make the direction of dependence visible. Return into oneself consequently leads to amplitude rather than confinement. They prepare the cave’s shadows, but each comparison has its own point and source unit.</w:t>
      </w:r>
    </w:p>
    <w:p>
      <w:pPr>
        <w:keepNext/>
        <w:widowControl/>
      </w:pPr>
      <w:r>
        <w:rPr>
          <w:b/>
          <w:i w:val="0"/>
        </w:rPr>
        <w:t>Places to Read.</w:t>
      </w:r>
    </w:p>
    <w:p>
      <w:pPr>
        <w:ind w:left="187" w:hanging="187"/>
      </w:pPr>
      <w:r>
        <w:t xml:space="preserve">• </w:t>
      </w:r>
      <w:r>
        <w:rPr>
          <w:b/>
          <w:i w:val="0"/>
        </w:rPr>
        <w:t>VI.2.2; source PDF pp. 136, 137</w:t>
      </w:r>
      <w:r>
        <w:rPr>
          <w:b w:val="0"/>
          <w:i w:val="0"/>
        </w:rPr>
        <w:t>. The garment and mud-clad child distinguish acquired covering from nature.</w:t>
      </w:r>
    </w:p>
    <w:p>
      <w:pPr>
        <w:ind w:left="187" w:hanging="187"/>
      </w:pPr>
      <w:r>
        <w:t xml:space="preserve">• </w:t>
      </w:r>
      <w:r>
        <w:rPr>
          <w:b/>
          <w:i w:val="0"/>
        </w:rPr>
        <w:t>VI.2.3, VI.2.4, VI.2.5; source PDF pp. 138, 139</w:t>
      </w:r>
      <w:r>
        <w:rPr>
          <w:b w:val="0"/>
          <w:i w:val="0"/>
        </w:rPr>
        <w:t>. The soul/body relation is compared with a boy’s and a bird’s misplaced identification with shadows.</w:t>
      </w:r>
    </w:p>
    <w:p>
      <w:pPr>
        <w:ind w:left="187" w:hanging="187"/>
      </w:pPr>
      <w:r>
        <w:t xml:space="preserve">• </w:t>
      </w:r>
      <w:r>
        <w:rPr>
          <w:b/>
          <w:i w:val="0"/>
        </w:rPr>
        <w:t>VI.2.6; source PDF pp. 140, 141</w:t>
      </w:r>
      <w:r>
        <w:rPr>
          <w:b w:val="0"/>
          <w:i w:val="0"/>
        </w:rPr>
        <w:t>. Return from the shadow’s confinement opens spiritual amplitude.</w:t>
      </w:r>
    </w:p>
    <w:p>
      <w:pPr>
        <w:keepNext/>
        <w:widowControl/>
      </w:pPr>
      <w:r>
        <w:rPr>
          <w:b/>
          <w:i w:val="0"/>
        </w:rPr>
        <w:t>In this edition.</w:t>
      </w:r>
    </w:p>
    <w:p>
      <w:pPr>
        <w:widowControl/>
      </w:pPr>
      <w:r>
        <w:rPr>
          <w:b w:val="0"/>
          <w:i w:val="0"/>
        </w:rPr>
        <w:t xml:space="preserve">The edition preserves the distinct body parts, humours, fat, clothing, mud, crust, clods and flesh. These are not interchangeable metaphors for </w:t>
      </w:r>
      <w:r>
        <w:t>“</w:t>
      </w:r>
      <w:r>
        <w:rPr>
          <w:b w:val="0"/>
          <w:i w:val="0"/>
        </w:rPr>
        <w:t>matter.</w:t>
      </w:r>
      <w:r>
        <w:t>”</w:t>
      </w:r>
      <w:r>
        <w:rPr>
          <w:b w:val="0"/>
          <w:i w:val="0"/>
        </w:rPr>
        <w:t xml:space="preserve"> The apparatus emphasizes corpus as an apposition to umbram tuam and the independence of the well and bird units.</w:t>
      </w:r>
    </w:p>
    <w:p>
      <w:pPr>
        <w:keepNext/>
        <w:widowControl/>
      </w:pPr>
      <w:r>
        <w:rPr>
          <w:b/>
          <w:i w:val="0"/>
        </w:rPr>
        <w:t>See also.</w:t>
      </w:r>
    </w:p>
    <w:p>
      <w:pPr>
        <w:widowControl/>
      </w:pPr>
      <w:hyperlink w:anchor="number-and-spiritual-amplitude">
        <w:r>
          <w:rPr>
            <w:color w:val="000000"/>
          </w:rPr>
          <w:t xml:space="preserve">Number and spiritual amplitude</w:t>
        </w:r>
      </w:hyperlink>
      <w:r>
        <w:rPr>
          <w:b w:val="0"/>
          <w:i w:val="0"/>
        </w:rPr>
        <w:t xml:space="preserve">; </w:t>
      </w:r>
      <w:hyperlink w:anchor="plato-cave-and-gradual-education">
        <w:r>
          <w:rPr>
            <w:color w:val="000000"/>
          </w:rPr>
          <w:t xml:space="preserve">Plato’s cave and gradual education</w:t>
        </w:r>
      </w:hyperlink>
    </w:p>
    <w:p>
      <w:pPr>
        <w:pStyle w:val="Heading2"/>
      </w:pPr>
      <w:bookmarkStart w:id="138" w:name="generation-corruption-and-annihilation"/>
      <w:r>
        <w:rPr>
          <w:b w:val="0"/>
          <w:i w:val="0"/>
        </w:rPr>
        <w:t>Generation, corruption and annihilation</w:t>
      </w:r>
      <w:bookmarkEnd w:id="138"/>
    </w:p>
    <w:p>
      <w:pPr>
        <w:keepNext/>
        <w:widowControl/>
      </w:pPr>
      <w:r>
        <w:rPr>
          <w:b/>
          <w:i w:val="0"/>
        </w:rPr>
        <w:t>Latin:</w:t>
      </w:r>
      <w:r>
        <w:rPr>
          <w:b w:val="0"/>
          <w:i w:val="0"/>
        </w:rPr>
        <w:t xml:space="preserve"> </w:t>
      </w:r>
      <w:r>
        <w:rPr>
          <w:b w:val="0"/>
          <w:i/>
        </w:rPr>
        <w:t>generatio</w:t>
      </w:r>
      <w:r>
        <w:rPr>
          <w:b w:val="0"/>
          <w:i w:val="0"/>
        </w:rPr>
        <w:t xml:space="preserve">; </w:t>
      </w:r>
      <w:r>
        <w:rPr>
          <w:b w:val="0"/>
          <w:i/>
        </w:rPr>
        <w:t>corruptio</w:t>
      </w:r>
      <w:r>
        <w:rPr>
          <w:b w:val="0"/>
          <w:i w:val="0"/>
        </w:rPr>
        <w:t xml:space="preserve">; </w:t>
      </w:r>
      <w:r>
        <w:rPr>
          <w:b w:val="0"/>
          <w:i/>
        </w:rPr>
        <w:t>interitus</w:t>
      </w:r>
      <w:r>
        <w:rPr>
          <w:b w:val="0"/>
          <w:i w:val="0"/>
        </w:rPr>
        <w:t xml:space="preserve">; </w:t>
      </w:r>
      <w:r>
        <w:rPr>
          <w:b w:val="0"/>
          <w:i/>
        </w:rPr>
        <w:t>perire</w:t>
      </w:r>
      <w:r>
        <w:rPr>
          <w:b w:val="0"/>
          <w:i w:val="0"/>
        </w:rPr>
        <w:t xml:space="preserve">; </w:t>
      </w:r>
      <w:r>
        <w:rPr>
          <w:b w:val="0"/>
          <w:i/>
        </w:rPr>
        <w:t>interire</w:t>
      </w:r>
      <w:r>
        <w:rPr>
          <w:b w:val="0"/>
          <w:i w:val="0"/>
        </w:rPr>
        <w:t xml:space="preserve">; </w:t>
      </w:r>
      <w:r>
        <w:rPr>
          <w:b w:val="0"/>
          <w:i/>
        </w:rPr>
        <w:t>in nihilum</w:t>
      </w:r>
      <w:r>
        <w:rPr>
          <w:b w:val="0"/>
          <w:i w:val="0"/>
        </w:rPr>
        <w:t xml:space="preserve">; </w:t>
      </w:r>
      <w:r>
        <w:rPr>
          <w:b w:val="0"/>
          <w:i/>
        </w:rPr>
        <w:t>resolvi</w:t>
      </w:r>
      <w:r>
        <w:rPr>
          <w:b w:val="0"/>
          <w:i w:val="0"/>
        </w:rPr>
        <w:t xml:space="preserve">; </w:t>
      </w:r>
      <w:r>
        <w:rPr>
          <w:b w:val="0"/>
          <w:i/>
        </w:rPr>
        <w:t>commutari</w:t>
      </w:r>
    </w:p>
    <w:p>
      <w:pPr>
        <w:keepNext/>
        <w:widowControl/>
      </w:pPr>
      <w:r>
        <w:rPr>
          <w:b/>
          <w:i w:val="0"/>
        </w:rPr>
        <w:t>The word.</w:t>
      </w:r>
    </w:p>
    <w:p>
      <w:pPr>
        <w:widowControl/>
      </w:pPr>
      <w:r>
        <w:rPr>
          <w:b w:val="0"/>
          <w:i w:val="0"/>
        </w:rPr>
        <w:t>Generatio is coming-to-be; corruptio the loss of a constituted thing or form. Perire and interire mean perishing. In nihilum specifies reduction to nothing and must not be supplied every time a body is said to perish. Resolvi means being dissolved or resolved into an underlying principle.</w:t>
      </w:r>
    </w:p>
    <w:p>
      <w:pPr>
        <w:keepNext/>
        <w:widowControl/>
      </w:pPr>
      <w:r>
        <w:rPr>
          <w:b/>
          <w:i w:val="0"/>
        </w:rPr>
        <w:t>In the Platonic Theology.</w:t>
      </w:r>
    </w:p>
    <w:p>
      <w:pPr>
        <w:widowControl/>
      </w:pPr>
      <w:r>
        <w:rPr>
          <w:b w:val="0"/>
          <w:i w:val="0"/>
        </w:rPr>
        <w:t>V.4’s elemental changes establish a fundamental restriction: natural agents change a determinate mode of being, but do not remove being altogether. Water may cease to be water while matter persists under another form. That is corruption and generation, not annihilation followed by creation from nothing.</w:t>
      </w:r>
    </w:p>
    <w:p>
      <w:pPr>
        <w:widowControl/>
      </w:pPr>
      <w:r>
        <w:rPr>
          <w:b w:val="0"/>
          <w:i w:val="0"/>
        </w:rPr>
        <w:t>V.8 describes generation as a path toward being and corruption as a path toward nonbeing. The relevant being is initially the thing’s proper determinate existence. Fire loses its form and ceases as fire; its matter persists. A material form likewise perishes when it loses the composite existence to which its maker assigned it. The terms do not all name the same fate.</w:t>
      </w:r>
    </w:p>
    <w:p>
      <w:pPr>
        <w:widowControl/>
      </w:pPr>
      <w:r>
        <w:rPr>
          <w:b w:val="0"/>
          <w:i w:val="0"/>
        </w:rPr>
        <w:t>V.11 tests whether an analogous resolution can be attributed to soul. The soul lacks material parts or a material seed into which it could return. If its essence survived the alleged loss of being, that essence would still be and, as soul, still live. Resolution into God cannot mean being absorbed into divine material potentiality, because God is pure act. The seal analogy instead figures strengthened conformity to an exemplar.</w:t>
      </w:r>
    </w:p>
    <w:p>
      <w:pPr>
        <w:widowControl/>
      </w:pPr>
      <w:r>
        <w:rPr>
          <w:b w:val="0"/>
          <w:i w:val="0"/>
        </w:rPr>
        <w:t>V.15.19 makes an important further concession: proving that the mind does not become nothing may still seem insufficient. Could it persist as something worse, such as body? The closing argument therefore protects determinate rational identity as well as bare nonannihilation. Its questions should not be omitted after announcing the immortality conclusion.</w:t>
      </w:r>
    </w:p>
    <w:p>
      <w:pPr>
        <w:keepNext/>
        <w:widowControl/>
      </w:pPr>
      <w:r>
        <w:rPr>
          <w:b/>
          <w:i w:val="0"/>
        </w:rPr>
        <w:t>Places to Read.</w:t>
      </w:r>
    </w:p>
    <w:p>
      <w:pPr>
        <w:ind w:left="187" w:hanging="187"/>
      </w:pPr>
      <w:r>
        <w:t xml:space="preserve">• </w:t>
      </w:r>
      <w:r>
        <w:rPr>
          <w:b/>
          <w:i w:val="0"/>
        </w:rPr>
        <w:t>V.4.2, V.4.8, V.4.9, V.4.10, PDF 18–19, 22–25.</w:t>
      </w:r>
      <w:r>
        <w:rPr>
          <w:b w:val="0"/>
          <w:i w:val="0"/>
        </w:rPr>
        <w:t xml:space="preserve"> Natural change is distinguished from annihilation of matter.</w:t>
      </w:r>
    </w:p>
    <w:p>
      <w:pPr>
        <w:ind w:left="187" w:hanging="187"/>
      </w:pPr>
      <w:r>
        <w:t xml:space="preserve">• </w:t>
      </w:r>
      <w:r>
        <w:rPr>
          <w:b/>
          <w:i w:val="0"/>
        </w:rPr>
        <w:t>V.8.1, V.8.2, PDF 38–41.</w:t>
      </w:r>
      <w:r>
        <w:rPr>
          <w:b w:val="0"/>
          <w:i w:val="0"/>
        </w:rPr>
        <w:t xml:space="preserve"> Corruption of a composite differs from the survival of matter and loss of dependent form.</w:t>
      </w:r>
    </w:p>
    <w:p>
      <w:pPr>
        <w:ind w:left="187" w:hanging="187"/>
      </w:pPr>
      <w:r>
        <w:t xml:space="preserve">• </w:t>
      </w:r>
      <w:r>
        <w:rPr>
          <w:b/>
          <w:i w:val="0"/>
        </w:rPr>
        <w:t>V.11.1, V.11.3, V.11.5, V.11.6, PDF 60–65.</w:t>
      </w:r>
      <w:r>
        <w:rPr>
          <w:b w:val="0"/>
          <w:i w:val="0"/>
        </w:rPr>
        <w:t xml:space="preserve"> Hypothetical resolution of soul is tested and rejected.</w:t>
      </w:r>
    </w:p>
    <w:p>
      <w:pPr>
        <w:ind w:left="187" w:hanging="187"/>
      </w:pPr>
      <w:r>
        <w:t xml:space="preserve">• </w:t>
      </w:r>
      <w:r>
        <w:rPr>
          <w:b/>
          <w:i w:val="0"/>
        </w:rPr>
        <w:t>V.15.19, V.15.20, V.15.27, PDF 116–117, 124–125.</w:t>
      </w:r>
      <w:r>
        <w:rPr>
          <w:b w:val="0"/>
          <w:i w:val="0"/>
        </w:rPr>
        <w:t xml:space="preserve"> Nonannihilation alone does not settle preservation of rational identity.</w:t>
      </w:r>
    </w:p>
    <w:p>
      <w:pPr>
        <w:keepNext/>
        <w:widowControl/>
      </w:pPr>
      <w:r>
        <w:rPr>
          <w:b/>
          <w:i w:val="0"/>
        </w:rPr>
        <w:t>In this edition.</w:t>
      </w:r>
    </w:p>
    <w:p>
      <w:pPr>
        <w:widowControl/>
      </w:pPr>
      <w:r>
        <w:rPr>
          <w:b w:val="0"/>
          <w:i w:val="0"/>
        </w:rPr>
        <w:t>The corrected adversative vero in V.8.1 replaces an erroneous non in the first printing. The book’s negative statements about natural production from nothing do not deny divine creation; V.12–13 argues for exactly that distinction.</w:t>
      </w:r>
    </w:p>
    <w:p>
      <w:pPr>
        <w:keepNext/>
        <w:widowControl/>
      </w:pPr>
      <w:r>
        <w:rPr>
          <w:b/>
          <w:i w:val="0"/>
        </w:rPr>
        <w:t>See also.</w:t>
      </w:r>
    </w:p>
    <w:p>
      <w:pPr>
        <w:widowControl/>
      </w:pPr>
      <w:hyperlink w:anchor="creation-and-generation">
        <w:r>
          <w:rPr>
            <w:color w:val="000000"/>
          </w:rPr>
          <w:t xml:space="preserve">Creation and generation</w:t>
        </w:r>
      </w:hyperlink>
      <w:r>
        <w:rPr>
          <w:b w:val="0"/>
          <w:i w:val="0"/>
        </w:rPr>
        <w:t xml:space="preserve">; </w:t>
      </w:r>
      <w:hyperlink w:anchor="spiritual-matter-and-identity">
        <w:r>
          <w:rPr>
            <w:color w:val="000000"/>
          </w:rPr>
          <w:t xml:space="preserve">Spiritual matter and identity</w:t>
        </w:r>
      </w:hyperlink>
      <w:r>
        <w:rPr>
          <w:b w:val="0"/>
          <w:i w:val="0"/>
        </w:rPr>
        <w:t xml:space="preserve">; </w:t>
      </w:r>
      <w:hyperlink w:anchor="conversion-desire-and-compulsion">
        <w:r>
          <w:rPr>
            <w:color w:val="000000"/>
          </w:rPr>
          <w:t xml:space="preserve">Conversion, desire and compulsion</w:t>
        </w:r>
      </w:hyperlink>
    </w:p>
    <w:p>
      <w:pPr>
        <w:pStyle w:val="Heading2"/>
      </w:pPr>
      <w:bookmarkStart w:id="139" w:name="generation-corruption-and-self-preservation"/>
      <w:r>
        <w:rPr>
          <w:b w:val="0"/>
          <w:i w:val="0"/>
        </w:rPr>
        <w:t>Generation, corruption and self-preservation</w:t>
      </w:r>
      <w:bookmarkEnd w:id="139"/>
    </w:p>
    <w:p>
      <w:pPr>
        <w:keepNext/>
        <w:widowControl/>
      </w:pPr>
      <w:r>
        <w:rPr>
          <w:b/>
          <w:i w:val="0"/>
        </w:rPr>
        <w:t>Latin:</w:t>
      </w:r>
      <w:r>
        <w:rPr>
          <w:b w:val="0"/>
          <w:i w:val="0"/>
        </w:rPr>
        <w:t xml:space="preserve"> </w:t>
      </w:r>
      <w:r>
        <w:rPr>
          <w:b w:val="0"/>
          <w:i/>
        </w:rPr>
        <w:t>genitor</w:t>
      </w:r>
      <w:r>
        <w:rPr>
          <w:b w:val="0"/>
          <w:i w:val="0"/>
        </w:rPr>
        <w:t xml:space="preserve">; </w:t>
      </w:r>
      <w:r>
        <w:rPr>
          <w:b w:val="0"/>
          <w:i/>
        </w:rPr>
        <w:t>genitum</w:t>
      </w:r>
      <w:r>
        <w:rPr>
          <w:b w:val="0"/>
          <w:i w:val="0"/>
        </w:rPr>
        <w:t xml:space="preserve">; </w:t>
      </w:r>
      <w:r>
        <w:rPr>
          <w:b w:val="0"/>
          <w:i/>
        </w:rPr>
        <w:t>proles</w:t>
      </w:r>
      <w:r>
        <w:rPr>
          <w:b w:val="0"/>
          <w:i w:val="0"/>
        </w:rPr>
        <w:t xml:space="preserve">; </w:t>
      </w:r>
      <w:r>
        <w:rPr>
          <w:b w:val="0"/>
          <w:i/>
        </w:rPr>
        <w:t>instinctus</w:t>
      </w:r>
      <w:r>
        <w:rPr>
          <w:b w:val="0"/>
          <w:i w:val="0"/>
        </w:rPr>
        <w:t xml:space="preserve">; </w:t>
      </w:r>
      <w:r>
        <w:rPr>
          <w:b w:val="0"/>
          <w:i/>
        </w:rPr>
        <w:t>nixus</w:t>
      </w:r>
      <w:r>
        <w:rPr>
          <w:b w:val="0"/>
          <w:i w:val="0"/>
        </w:rPr>
        <w:t xml:space="preserve">; </w:t>
      </w:r>
      <w:r>
        <w:rPr>
          <w:b w:val="0"/>
          <w:i/>
        </w:rPr>
        <w:t>servare</w:t>
      </w:r>
      <w:r>
        <w:rPr>
          <w:b w:val="0"/>
          <w:i w:val="0"/>
        </w:rPr>
        <w:t xml:space="preserve">; </w:t>
      </w:r>
      <w:r>
        <w:rPr>
          <w:b w:val="0"/>
          <w:i/>
        </w:rPr>
        <w:t>non esse</w:t>
      </w:r>
    </w:p>
    <w:p>
      <w:pPr>
        <w:keepNext/>
        <w:widowControl/>
      </w:pPr>
      <w:r>
        <w:rPr>
          <w:b/>
          <w:i w:val="0"/>
        </w:rPr>
        <w:t>The word.</w:t>
      </w:r>
    </w:p>
    <w:p>
      <w:pPr>
        <w:widowControl/>
      </w:pPr>
      <w:r>
        <w:rPr>
          <w:b w:val="0"/>
          <w:i w:val="0"/>
        </w:rPr>
        <w:t>Genitor is a begetter and genitum what is begotten. Proles is offspring, used both for generated things and figuratively for a natural impulse. Instinctus and nixus are inward impulse and striving; they are not necessarily conscious deliberation. Non esse is nonbeing, not merely rest or altered location.</w:t>
      </w:r>
    </w:p>
    <w:p>
      <w:pPr>
        <w:keepNext/>
        <w:widowControl/>
      </w:pPr>
      <w:r>
        <w:rPr>
          <w:b/>
          <w:i w:val="0"/>
        </w:rPr>
        <w:t>In the Platonic Theology.</w:t>
      </w:r>
    </w:p>
    <w:p>
      <w:pPr>
        <w:widowControl/>
      </w:pPr>
      <w:r>
        <w:rPr>
          <w:b w:val="0"/>
          <w:i w:val="0"/>
        </w:rPr>
        <w:t xml:space="preserve">Bodily self-generation would require the same finite thing to possess the being it imparts and lack the being it receives, and to be prior and posterior to itself. Ficino therefore denies it. Self-corruption is rejected differently: a thing’s proper natural issue accords with its own nature, and its impulse, an </w:t>
      </w:r>
      <w:r>
        <w:t>“</w:t>
      </w:r>
      <w:r>
        <w:rPr>
          <w:b w:val="0"/>
          <w:i w:val="0"/>
        </w:rPr>
        <w:t>offspring</w:t>
      </w:r>
      <w:r>
        <w:t>”</w:t>
      </w:r>
      <w:r>
        <w:rPr>
          <w:b w:val="0"/>
          <w:i w:val="0"/>
        </w:rPr>
        <w:t xml:space="preserve"> of essence and being, cannot as such aim against those sources. The striving to preserve oneself cannot be the same natural principle as a striving toward nonbeing.</w:t>
      </w:r>
    </w:p>
    <w:p>
      <w:pPr>
        <w:widowControl/>
      </w:pPr>
      <w:r>
        <w:rPr>
          <w:b w:val="0"/>
          <w:i w:val="0"/>
        </w:rPr>
        <w:t xml:space="preserve">These claims concern finite nature and natural tendency, not a modern empirical denial that organisms can contribute causally to their own destruction. They also set limits on the earlier phrase </w:t>
      </w:r>
      <w:r>
        <w:t>“</w:t>
      </w:r>
      <w:r>
        <w:rPr>
          <w:b w:val="0"/>
          <w:i w:val="0"/>
        </w:rPr>
        <w:t>life generating itself.</w:t>
      </w:r>
      <w:r>
        <w:t>”</w:t>
      </w:r>
      <w:r>
        <w:rPr>
          <w:b w:val="0"/>
          <w:i w:val="0"/>
        </w:rPr>
        <w:t xml:space="preserve"> The latter concerns soul’s unfolding vital actuality; the former excludes producing one’s own previously absent being as both finite generator and generated. VI.12.20 further qualifies soul’s analogical generation and corruption with quodammodo, ut ita dixerim and quasi. Those restrictions are necessary to prevent a contradiction manufactured by flattening different kinds of motion.</w:t>
      </w:r>
    </w:p>
    <w:p>
      <w:pPr>
        <w:keepNext/>
        <w:widowControl/>
      </w:pPr>
      <w:r>
        <w:rPr>
          <w:b/>
          <w:i w:val="0"/>
        </w:rPr>
        <w:t>Places to Read.</w:t>
      </w:r>
    </w:p>
    <w:p>
      <w:pPr>
        <w:ind w:left="187" w:hanging="187"/>
      </w:pPr>
      <w:r>
        <w:t xml:space="preserve">• </w:t>
      </w:r>
      <w:r>
        <w:rPr>
          <w:b/>
          <w:i w:val="0"/>
        </w:rPr>
        <w:t>VI.12.14; source PDF pp. 214, 215</w:t>
      </w:r>
      <w:r>
        <w:rPr>
          <w:b w:val="0"/>
          <w:i w:val="0"/>
        </w:rPr>
        <w:t>. Generation and corruption fail as bodily self-motions for different reasons.</w:t>
      </w:r>
    </w:p>
    <w:p>
      <w:pPr>
        <w:ind w:left="187" w:hanging="187"/>
      </w:pPr>
      <w:r>
        <w:t xml:space="preserve">• </w:t>
      </w:r>
      <w:r>
        <w:rPr>
          <w:b/>
          <w:i w:val="0"/>
        </w:rPr>
        <w:t>VI.12.10, VI.12.12; source PDF pp. 210, 211, 212, 213</w:t>
      </w:r>
      <w:r>
        <w:rPr>
          <w:b w:val="0"/>
          <w:i w:val="0"/>
        </w:rPr>
        <w:t>. Vital self-unfolding and reported self-production must be distinguished from creation of finite being.</w:t>
      </w:r>
    </w:p>
    <w:p>
      <w:pPr>
        <w:ind w:left="187" w:hanging="187"/>
      </w:pPr>
      <w:r>
        <w:t xml:space="preserve">• </w:t>
      </w:r>
      <w:r>
        <w:rPr>
          <w:b/>
          <w:i w:val="0"/>
        </w:rPr>
        <w:t>VI.12.19, VI.12.20; source PDF pp. 218, 219, 220, 221</w:t>
      </w:r>
      <w:r>
        <w:rPr>
          <w:b w:val="0"/>
          <w:i w:val="0"/>
        </w:rPr>
        <w:t>. Psychic generation and corruption are introduced as exemplars and qualified analogies.</w:t>
      </w:r>
    </w:p>
    <w:p>
      <w:pPr>
        <w:keepNext/>
        <w:widowControl/>
      </w:pPr>
      <w:r>
        <w:rPr>
          <w:b/>
          <w:i w:val="0"/>
        </w:rPr>
        <w:t>In this edition.</w:t>
      </w:r>
    </w:p>
    <w:p>
      <w:pPr>
        <w:widowControl/>
      </w:pPr>
      <w:r>
        <w:rPr>
          <w:b w:val="0"/>
          <w:i w:val="0"/>
        </w:rPr>
        <w:t xml:space="preserve">The restriction secundum finitam naturam belongs to the self-generation argument. The translation’s </w:t>
      </w:r>
      <w:r>
        <w:t>“</w:t>
      </w:r>
      <w:r>
        <w:rPr>
          <w:b w:val="0"/>
          <w:i w:val="0"/>
        </w:rPr>
        <w:t>offspring</w:t>
      </w:r>
      <w:r>
        <w:t>”</w:t>
      </w:r>
      <w:r>
        <w:rPr>
          <w:b w:val="0"/>
          <w:i w:val="0"/>
        </w:rPr>
        <w:t xml:space="preserve"> keeps the metaphorical causal connection between essence and instinct; it should not become a claim about literal biological parentage of every desire.</w:t>
      </w:r>
    </w:p>
    <w:p>
      <w:pPr>
        <w:keepNext/>
        <w:widowControl/>
      </w:pPr>
      <w:r>
        <w:rPr>
          <w:b/>
          <w:i w:val="0"/>
        </w:rPr>
        <w:t>See also.</w:t>
      </w:r>
    </w:p>
    <w:p>
      <w:pPr>
        <w:widowControl/>
      </w:pPr>
      <w:hyperlink w:anchor="vital-motion-action-and-passion">
        <w:r>
          <w:rPr>
            <w:color w:val="000000"/>
          </w:rPr>
          <w:t xml:space="preserve">Vital motion, action and passion</w:t>
        </w:r>
      </w:hyperlink>
      <w:r>
        <w:rPr>
          <w:b w:val="0"/>
          <w:i w:val="0"/>
        </w:rPr>
        <w:t xml:space="preserve">; </w:t>
      </w:r>
      <w:hyperlink w:anchor="exemplars-of-bodily-motion-in-soul">
        <w:r>
          <w:rPr>
            <w:color w:val="000000"/>
          </w:rPr>
          <w:t xml:space="preserve">Exemplars of bodily motion in soul</w:t>
        </w:r>
      </w:hyperlink>
    </w:p>
    <w:p>
      <w:pPr>
        <w:pStyle w:val="Heading2"/>
      </w:pPr>
      <w:bookmarkStart w:id="140" w:name="growth-amputation-and-soul-size"/>
      <w:r>
        <w:rPr>
          <w:b w:val="0"/>
          <w:i w:val="0"/>
        </w:rPr>
        <w:t>Growth, amputation and soul-size</w:t>
      </w:r>
      <w:bookmarkEnd w:id="140"/>
    </w:p>
    <w:p>
      <w:pPr>
        <w:keepNext/>
        <w:widowControl/>
      </w:pPr>
      <w:r>
        <w:rPr>
          <w:b/>
          <w:i w:val="0"/>
        </w:rPr>
        <w:t>Latin:</w:t>
      </w:r>
      <w:r>
        <w:rPr>
          <w:b w:val="0"/>
          <w:i w:val="0"/>
        </w:rPr>
        <w:t xml:space="preserve"> </w:t>
      </w:r>
      <w:r>
        <w:rPr>
          <w:b w:val="0"/>
          <w:i/>
        </w:rPr>
        <w:t>partiri</w:t>
      </w:r>
      <w:r>
        <w:rPr>
          <w:b w:val="0"/>
          <w:i w:val="0"/>
        </w:rPr>
        <w:t xml:space="preserve">; </w:t>
      </w:r>
      <w:r>
        <w:rPr>
          <w:b w:val="0"/>
          <w:i/>
        </w:rPr>
        <w:t>amputare</w:t>
      </w:r>
      <w:r>
        <w:rPr>
          <w:b w:val="0"/>
          <w:i w:val="0"/>
        </w:rPr>
        <w:t xml:space="preserve">; </w:t>
      </w:r>
      <w:r>
        <w:rPr>
          <w:b w:val="0"/>
          <w:i/>
        </w:rPr>
        <w:t>frustum</w:t>
      </w:r>
      <w:r>
        <w:rPr>
          <w:b w:val="0"/>
          <w:i w:val="0"/>
        </w:rPr>
        <w:t xml:space="preserve">; </w:t>
      </w:r>
      <w:r>
        <w:rPr>
          <w:b w:val="0"/>
          <w:i/>
        </w:rPr>
        <w:t>pusillanimis</w:t>
      </w:r>
      <w:r>
        <w:rPr>
          <w:b w:val="0"/>
          <w:i w:val="0"/>
        </w:rPr>
        <w:t xml:space="preserve">; </w:t>
      </w:r>
      <w:r>
        <w:rPr>
          <w:b w:val="0"/>
          <w:i/>
        </w:rPr>
        <w:t>adolescere</w:t>
      </w:r>
      <w:r>
        <w:rPr>
          <w:b w:val="0"/>
          <w:i w:val="0"/>
        </w:rPr>
        <w:t xml:space="preserve">; </w:t>
      </w:r>
      <w:r>
        <w:rPr>
          <w:b w:val="0"/>
          <w:i/>
        </w:rPr>
        <w:t>magnitudo</w:t>
      </w:r>
      <w:r>
        <w:rPr>
          <w:b w:val="0"/>
          <w:i w:val="0"/>
        </w:rPr>
        <w:t xml:space="preserve">; </w:t>
      </w:r>
      <w:r>
        <w:rPr>
          <w:b w:val="0"/>
          <w:i/>
        </w:rPr>
        <w:t>quantitas</w:t>
      </w:r>
    </w:p>
    <w:p>
      <w:pPr>
        <w:keepNext/>
        <w:widowControl/>
      </w:pPr>
      <w:r>
        <w:rPr>
          <w:b/>
          <w:i w:val="0"/>
        </w:rPr>
        <w:t>The word.</w:t>
      </w:r>
    </w:p>
    <w:p>
      <w:pPr>
        <w:widowControl/>
      </w:pPr>
      <w:r>
        <w:rPr>
          <w:b w:val="0"/>
          <w:i w:val="0"/>
        </w:rPr>
        <w:t xml:space="preserve">Frustum is a severed piece. Amputare is cutting off, while partiri divides. Pusillanimis conventionally means small-spirited or fainthearted, but the argument deliberately activates its literal </w:t>
      </w:r>
      <w:r>
        <w:t>“</w:t>
      </w:r>
      <w:r>
        <w:rPr>
          <w:b w:val="0"/>
          <w:i w:val="0"/>
        </w:rPr>
        <w:t>small-souled</w:t>
      </w:r>
      <w:r>
        <w:t>”</w:t>
      </w:r>
      <w:r>
        <w:rPr>
          <w:b w:val="0"/>
          <w:i w:val="0"/>
        </w:rPr>
        <w:t xml:space="preserve"> sense. Bodily magnitude and quantity are tested as alleged measures of soul.</w:t>
      </w:r>
    </w:p>
    <w:p>
      <w:pPr>
        <w:keepNext/>
        <w:widowControl/>
      </w:pPr>
      <w:r>
        <w:rPr>
          <w:b/>
          <w:i w:val="0"/>
        </w:rPr>
        <w:t>In the Platonic Theology.</w:t>
      </w:r>
    </w:p>
    <w:p>
      <w:pPr>
        <w:widowControl/>
      </w:pPr>
      <w:r>
        <w:rPr>
          <w:b w:val="0"/>
          <w:i w:val="0"/>
        </w:rPr>
        <w:t xml:space="preserve">The final chapter grants, for reductio, that a subtle soul-body fills the entire visible body. Dividing the body would then leave actual little souls in severed limbs, which should live, move and feel for a time. The surviving soul would be quantitatively reduced after amputation and should become correspondingly dull, forgetful and </w:t>
      </w:r>
      <w:r>
        <w:t>“</w:t>
      </w:r>
      <w:r>
        <w:rPr>
          <w:b w:val="0"/>
          <w:i w:val="0"/>
        </w:rPr>
        <w:t>small-souled.</w:t>
      </w:r>
      <w:r>
        <w:t>”</w:t>
      </w:r>
      <w:r>
        <w:rPr>
          <w:b w:val="0"/>
          <w:i w:val="0"/>
        </w:rPr>
        <w:t xml:space="preserve"> These are consequences Ficino rejects, not descriptions he endorses of people with amputations.</w:t>
      </w:r>
    </w:p>
    <w:p>
      <w:pPr>
        <w:widowControl/>
      </w:pPr>
      <w:r>
        <w:rPr>
          <w:b w:val="0"/>
          <w:i w:val="0"/>
        </w:rPr>
        <w:t>The same quantitative model predicts a more magnificent and divine soul in a larger body and a soul growing as the adolescent body grows. Such growth would require adding more soul-like bodily material, which opens the nourishment dilemma. The issue is a mistaken proportionality between bodily size and psychic capacity, not the denial that cognition may be affected by bodily condition or develop with age. Earlier infant/adult distinctions and the present rejection of size as soul’s essence therefore need not be flattened into inconsistency.</w:t>
      </w:r>
    </w:p>
    <w:p>
      <w:pPr>
        <w:keepNext/>
        <w:widowControl/>
      </w:pPr>
      <w:r>
        <w:rPr>
          <w:b/>
          <w:i w:val="0"/>
        </w:rPr>
        <w:t>Places to Read.</w:t>
      </w:r>
    </w:p>
    <w:p>
      <w:pPr>
        <w:ind w:left="187" w:hanging="187"/>
      </w:pPr>
      <w:r>
        <w:t xml:space="preserve">• </w:t>
      </w:r>
      <w:r>
        <w:rPr>
          <w:b/>
          <w:i w:val="0"/>
        </w:rPr>
        <w:t>VI.13.1, VI.13.2; source PDF pp. 222, 223</w:t>
      </w:r>
      <w:r>
        <w:rPr>
          <w:b w:val="0"/>
          <w:i w:val="0"/>
        </w:rPr>
        <w:t>. Severance tests whole soul against quantitative partition and its absurd psychic consequences.</w:t>
      </w:r>
    </w:p>
    <w:p>
      <w:pPr>
        <w:ind w:left="187" w:hanging="187"/>
      </w:pPr>
      <w:r>
        <w:t xml:space="preserve">• </w:t>
      </w:r>
      <w:r>
        <w:rPr>
          <w:b/>
          <w:i w:val="0"/>
        </w:rPr>
        <w:t>VI.13.3; source PDF pp. 222, 223</w:t>
      </w:r>
      <w:r>
        <w:rPr>
          <w:b w:val="0"/>
          <w:i w:val="0"/>
        </w:rPr>
        <w:t>. Growth extends the reductio from diminished members to increased bodily size.</w:t>
      </w:r>
    </w:p>
    <w:p>
      <w:pPr>
        <w:keepNext/>
        <w:widowControl/>
      </w:pPr>
      <w:r>
        <w:rPr>
          <w:b/>
          <w:i w:val="0"/>
        </w:rPr>
        <w:t>In this edition.</w:t>
      </w:r>
    </w:p>
    <w:p>
      <w:pPr>
        <w:widowControl/>
      </w:pPr>
      <w:r>
        <w:rPr>
          <w:b w:val="0"/>
          <w:i w:val="0"/>
        </w:rPr>
        <w:t xml:space="preserve">The apparatus reads anima unius sit tota naturae as </w:t>
      </w:r>
      <w:r>
        <w:t>“</w:t>
      </w:r>
      <w:r>
        <w:rPr>
          <w:b w:val="0"/>
          <w:i w:val="0"/>
        </w:rPr>
        <w:t>the whole soul is of one nature,</w:t>
      </w:r>
      <w:r>
        <w:t>”</w:t>
      </w:r>
      <w:r>
        <w:rPr>
          <w:b w:val="0"/>
          <w:i w:val="0"/>
        </w:rPr>
        <w:t xml:space="preserve"> explaining why it unites diverse members. </w:t>
      </w:r>
      <w:r>
        <w:t>“</w:t>
      </w:r>
      <w:r>
        <w:rPr>
          <w:b w:val="0"/>
          <w:i w:val="0"/>
        </w:rPr>
        <w:t>Small-souled</w:t>
      </w:r>
      <w:r>
        <w:t>”</w:t>
      </w:r>
      <w:r>
        <w:rPr>
          <w:b w:val="0"/>
          <w:i w:val="0"/>
        </w:rPr>
        <w:t xml:space="preserve"> preserves the pun. The entire opening is conditional on si anima corpus est; dropping it reverses Ficino’s position.</w:t>
      </w:r>
    </w:p>
    <w:p>
      <w:pPr>
        <w:keepNext/>
        <w:widowControl/>
      </w:pPr>
      <w:r>
        <w:rPr>
          <w:b/>
          <w:i w:val="0"/>
        </w:rPr>
        <w:t>See also.</w:t>
      </w:r>
    </w:p>
    <w:p>
      <w:pPr>
        <w:widowControl/>
      </w:pPr>
      <w:hyperlink w:anchor="food-lending-and-borrowing-life">
        <w:r>
          <w:rPr>
            <w:color w:val="000000"/>
          </w:rPr>
          <w:t xml:space="preserve">Food, lending and borrowing life</w:t>
        </w:r>
      </w:hyperlink>
      <w:r>
        <w:rPr>
          <w:b w:val="0"/>
          <w:i w:val="0"/>
        </w:rPr>
        <w:t xml:space="preserve">; </w:t>
      </w:r>
      <w:hyperlink w:anchor="persistence-memory-and-recognition">
        <w:r>
          <w:rPr>
            <w:color w:val="000000"/>
          </w:rPr>
          <w:t xml:space="preserve">Persistence, memory and recognition</w:t>
        </w:r>
      </w:hyperlink>
    </w:p>
    <w:p>
      <w:pPr>
        <w:pStyle w:val="Heading2"/>
      </w:pPr>
      <w:bookmarkStart w:id="141" w:name="habit-purification-and-intellectual-experiment"/>
      <w:r>
        <w:rPr>
          <w:b w:val="0"/>
          <w:i w:val="0"/>
        </w:rPr>
        <w:t>Habit, purification and intellectual experiment</w:t>
      </w:r>
      <w:bookmarkEnd w:id="141"/>
    </w:p>
    <w:p>
      <w:pPr>
        <w:keepNext/>
        <w:widowControl/>
      </w:pPr>
      <w:r>
        <w:rPr>
          <w:b/>
          <w:i w:val="0"/>
        </w:rPr>
        <w:t>Latin:</w:t>
      </w:r>
      <w:r>
        <w:rPr>
          <w:b w:val="0"/>
          <w:i w:val="0"/>
        </w:rPr>
        <w:t xml:space="preserve"> </w:t>
      </w:r>
      <w:r>
        <w:rPr>
          <w:b w:val="0"/>
          <w:i/>
        </w:rPr>
        <w:t>consuetudo</w:t>
      </w:r>
      <w:r>
        <w:rPr>
          <w:b w:val="0"/>
          <w:i w:val="0"/>
        </w:rPr>
        <w:t xml:space="preserve">; </w:t>
      </w:r>
      <w:r>
        <w:rPr>
          <w:b w:val="0"/>
          <w:i/>
        </w:rPr>
        <w:t>educatio</w:t>
      </w:r>
      <w:r>
        <w:rPr>
          <w:b w:val="0"/>
          <w:i w:val="0"/>
        </w:rPr>
        <w:t xml:space="preserve">; </w:t>
      </w:r>
      <w:r>
        <w:rPr>
          <w:b w:val="0"/>
          <w:i/>
        </w:rPr>
        <w:t>purificari</w:t>
      </w:r>
      <w:r>
        <w:rPr>
          <w:b w:val="0"/>
          <w:i w:val="0"/>
        </w:rPr>
        <w:t xml:space="preserve">; </w:t>
      </w:r>
      <w:r>
        <w:rPr>
          <w:b w:val="0"/>
          <w:i/>
        </w:rPr>
        <w:t>experiri</w:t>
      </w:r>
      <w:r>
        <w:rPr>
          <w:b w:val="0"/>
          <w:i w:val="0"/>
        </w:rPr>
        <w:t xml:space="preserve">; </w:t>
      </w:r>
      <w:r>
        <w:rPr>
          <w:b w:val="0"/>
          <w:i/>
        </w:rPr>
        <w:t>sevocare</w:t>
      </w:r>
      <w:r>
        <w:rPr>
          <w:b w:val="0"/>
          <w:i w:val="0"/>
        </w:rPr>
        <w:t xml:space="preserve">; </w:t>
      </w:r>
      <w:r>
        <w:rPr>
          <w:b w:val="0"/>
          <w:i/>
        </w:rPr>
        <w:t>pro viribus</w:t>
      </w:r>
    </w:p>
    <w:p>
      <w:pPr>
        <w:keepNext/>
        <w:widowControl/>
      </w:pPr>
      <w:r>
        <w:rPr>
          <w:b/>
          <w:i w:val="0"/>
        </w:rPr>
        <w:t>The word.</w:t>
      </w:r>
    </w:p>
    <w:p>
      <w:pPr>
        <w:widowControl/>
      </w:pPr>
      <w:r>
        <w:rPr>
          <w:b w:val="0"/>
          <w:i w:val="0"/>
        </w:rPr>
        <w:t>Consuetudo is habituation or long familiarity. Educatio is formative upbringing, not only formal instruction. Purificari and sevocare describe purification and withdrawal; pro viribus limits the latter to what lies within one’s powers. Experiri means making a trial or finding out through experience.</w:t>
      </w:r>
    </w:p>
    <w:p>
      <w:pPr>
        <w:keepNext/>
        <w:widowControl/>
      </w:pPr>
      <w:r>
        <w:rPr>
          <w:b/>
          <w:i w:val="0"/>
        </w:rPr>
        <w:t>In the Platonic Theology.</w:t>
      </w:r>
    </w:p>
    <w:p>
      <w:pPr>
        <w:widowControl/>
      </w:pPr>
      <w:r>
        <w:rPr>
          <w:b w:val="0"/>
          <w:i w:val="0"/>
        </w:rPr>
        <w:t>Ficino begins his reply by attributing corporealist belief to unfortunate habit rather than argument. Natural power and the outward and inward senses have attended the soul’s body before it practises pure understanding; their appropriate concern with bodies is then mistaken for an exhaustive account of reality. Even mind can misdescribe the soul when it sees only its bodily entanglements. The polemic targets habitual limitation, not a claim that sense never truthfully encounters its own objects: VI.2.8 explicitly grants the reality of corporeal things.</w:t>
      </w:r>
    </w:p>
    <w:p>
      <w:pPr>
        <w:widowControl/>
      </w:pPr>
      <w:r>
        <w:rPr>
          <w:b w:val="0"/>
          <w:i w:val="0"/>
        </w:rPr>
        <w:t>Purification changes the conditions of inquiry. The thinker is urged to make an inward experiment, distinguish imparted bodily life from the soul’s own life, and withdraw as far as possible from motion, sensation, affect and bodily imagination. This is a philosophical discipline of attention, not an instruction to injure or literally remove the body. The ensuing ascent distinguishes reason seeking truth, angelic intellect enjoying already infused truth, and God as truth, light and joy themselves. Avicenna’s imagined upbringing and Plato’s gradual re-education are complementary devices for exposing the contingency of ordinary habituation.</w:t>
      </w:r>
    </w:p>
    <w:p>
      <w:pPr>
        <w:keepNext/>
        <w:widowControl/>
      </w:pPr>
      <w:r>
        <w:rPr>
          <w:b/>
          <w:i w:val="0"/>
        </w:rPr>
        <w:t>Places to Read.</w:t>
      </w:r>
    </w:p>
    <w:p>
      <w:pPr>
        <w:ind w:left="187" w:hanging="187"/>
      </w:pPr>
      <w:r>
        <w:t xml:space="preserve">• </w:t>
      </w:r>
      <w:r>
        <w:rPr>
          <w:b/>
          <w:i w:val="0"/>
        </w:rPr>
        <w:t>VI.2.1, VI.2.2; source PDF pp. 134, 135, 136, 137</w:t>
      </w:r>
      <w:r>
        <w:rPr>
          <w:b w:val="0"/>
          <w:i w:val="0"/>
        </w:rPr>
        <w:t>. Bodily habit is diagnosed through three inadequate teachers.</w:t>
      </w:r>
    </w:p>
    <w:p>
      <w:pPr>
        <w:ind w:left="187" w:hanging="187"/>
      </w:pPr>
      <w:r>
        <w:t xml:space="preserve">• </w:t>
      </w:r>
      <w:r>
        <w:rPr>
          <w:b/>
          <w:i w:val="0"/>
        </w:rPr>
        <w:t>VI.2.3, VI.2.10, VI.2.11; source PDF pp. 138, 139, 146, 147</w:t>
      </w:r>
      <w:r>
        <w:rPr>
          <w:b w:val="0"/>
          <w:i w:val="0"/>
        </w:rPr>
        <w:t>. Purity and inward experiment prepare an ascent through soul, angel and God.</w:t>
      </w:r>
    </w:p>
    <w:p>
      <w:pPr>
        <w:ind w:left="187" w:hanging="187"/>
      </w:pPr>
      <w:r>
        <w:t xml:space="preserve">• </w:t>
      </w:r>
      <w:r>
        <w:rPr>
          <w:b/>
          <w:i w:val="0"/>
        </w:rPr>
        <w:t>VI.2.12, VI.2.14, VI.2.17; source PDF pp. 148, 149, 152, 153, 156, 157</w:t>
      </w:r>
      <w:r>
        <w:rPr>
          <w:b w:val="0"/>
          <w:i w:val="0"/>
        </w:rPr>
        <w:t>. Two educational narratives recast the mind’s starting conditions.</w:t>
      </w:r>
    </w:p>
    <w:p>
      <w:pPr>
        <w:keepNext/>
        <w:widowControl/>
      </w:pPr>
      <w:r>
        <w:rPr>
          <w:b/>
          <w:i w:val="0"/>
        </w:rPr>
        <w:t>In this edition.</w:t>
      </w:r>
    </w:p>
    <w:p>
      <w:pPr>
        <w:widowControl/>
      </w:pPr>
      <w:r>
        <w:rPr>
          <w:b w:val="0"/>
          <w:i w:val="0"/>
        </w:rPr>
        <w:t xml:space="preserve">The imperative </w:t>
      </w:r>
      <w:r>
        <w:t>“</w:t>
      </w:r>
      <w:r>
        <w:rPr>
          <w:b w:val="0"/>
          <w:i w:val="0"/>
        </w:rPr>
        <w:t>render oneself incorporeal</w:t>
      </w:r>
      <w:r>
        <w:t>”</w:t>
      </w:r>
      <w:r>
        <w:rPr>
          <w:b w:val="0"/>
          <w:i w:val="0"/>
        </w:rPr>
        <w:t xml:space="preserve"> is immediately glossed by Ficino as withdrawing the mind pro viribus. The short VI.2.11 continues the grammar of VI.2.10 despite having a separate source paragraph sign. Its light–truth–joy reciprocity is not a fourth created grade.</w:t>
      </w:r>
    </w:p>
    <w:p>
      <w:pPr>
        <w:keepNext/>
        <w:widowControl/>
      </w:pPr>
      <w:r>
        <w:rPr>
          <w:b/>
          <w:i w:val="0"/>
        </w:rPr>
        <w:t>See also.</w:t>
      </w:r>
    </w:p>
    <w:p>
      <w:pPr>
        <w:widowControl/>
      </w:pPr>
      <w:hyperlink w:anchor="avicenna-imagined-adult">
        <w:r>
          <w:rPr>
            <w:color w:val="000000"/>
          </w:rPr>
          <w:t xml:space="preserve">Avicenna’s imagined adult</w:t>
        </w:r>
      </w:hyperlink>
      <w:r>
        <w:rPr>
          <w:b w:val="0"/>
          <w:i w:val="0"/>
        </w:rPr>
        <w:t xml:space="preserve">; </w:t>
      </w:r>
      <w:hyperlink w:anchor="plato-cave-and-gradual-education">
        <w:r>
          <w:rPr>
            <w:color w:val="000000"/>
          </w:rPr>
          <w:t xml:space="preserve">Plato’s cave and gradual education</w:t>
        </w:r>
      </w:hyperlink>
      <w:r>
        <w:rPr>
          <w:b w:val="0"/>
          <w:i w:val="0"/>
        </w:rPr>
        <w:t xml:space="preserve">; </w:t>
      </w:r>
      <w:hyperlink w:anchor="separate-forms-and-intellectual-life">
        <w:r>
          <w:rPr>
            <w:color w:val="000000"/>
          </w:rPr>
          <w:t xml:space="preserve">Separate forms and intellectual life</w:t>
        </w:r>
      </w:hyperlink>
    </w:p>
    <w:p>
      <w:pPr>
        <w:pStyle w:val="Heading2"/>
      </w:pPr>
      <w:bookmarkStart w:id="142" w:name="vii-harmony-strings"/>
      <w:r>
        <w:rPr>
          <w:b w:val="0"/>
          <w:i w:val="0"/>
        </w:rPr>
        <w:t>Harmony and the strings</w:t>
      </w:r>
      <w:bookmarkEnd w:id="142"/>
    </w:p>
    <w:p>
      <w:pPr>
        <w:keepNext/>
        <w:widowControl/>
      </w:pPr>
      <w:r>
        <w:rPr>
          <w:b/>
          <w:i w:val="0"/>
        </w:rPr>
        <w:t>Latin:</w:t>
      </w:r>
      <w:r>
        <w:rPr>
          <w:b w:val="0"/>
          <w:i w:val="0"/>
        </w:rPr>
        <w:t xml:space="preserve"> </w:t>
      </w:r>
      <w:r>
        <w:rPr>
          <w:b w:val="0"/>
          <w:i/>
        </w:rPr>
        <w:t>harmonia</w:t>
      </w:r>
      <w:r>
        <w:rPr>
          <w:b w:val="0"/>
          <w:i w:val="0"/>
        </w:rPr>
        <w:t xml:space="preserve">; </w:t>
      </w:r>
      <w:r>
        <w:rPr>
          <w:b w:val="0"/>
          <w:i/>
        </w:rPr>
        <w:t>fides</w:t>
      </w:r>
      <w:r>
        <w:rPr>
          <w:b w:val="0"/>
          <w:i w:val="0"/>
        </w:rPr>
        <w:t xml:space="preserve">; </w:t>
      </w:r>
      <w:r>
        <w:rPr>
          <w:b w:val="0"/>
          <w:i/>
        </w:rPr>
        <w:t>chorda</w:t>
      </w:r>
      <w:r>
        <w:rPr>
          <w:b w:val="0"/>
          <w:i w:val="0"/>
        </w:rPr>
        <w:t xml:space="preserve">; </w:t>
      </w:r>
      <w:r>
        <w:rPr>
          <w:b w:val="0"/>
          <w:i/>
        </w:rPr>
        <w:t>pendere</w:t>
      </w:r>
      <w:r>
        <w:rPr>
          <w:b w:val="0"/>
          <w:i w:val="0"/>
        </w:rPr>
        <w:t xml:space="preserve">; </w:t>
      </w:r>
      <w:r>
        <w:rPr>
          <w:b w:val="0"/>
          <w:i/>
        </w:rPr>
        <w:t>regere</w:t>
      </w:r>
      <w:r>
        <w:rPr>
          <w:b w:val="0"/>
          <w:i w:val="0"/>
        </w:rPr>
        <w:t xml:space="preserve">; </w:t>
      </w:r>
      <w:r>
        <w:rPr>
          <w:b w:val="0"/>
          <w:i/>
        </w:rPr>
        <w:t>Aristoxenus</w:t>
      </w:r>
    </w:p>
    <w:p>
      <w:pPr>
        <w:keepNext/>
        <w:widowControl/>
      </w:pPr>
      <w:r>
        <w:rPr>
          <w:b/>
          <w:i w:val="0"/>
        </w:rPr>
        <w:t>The word.</w:t>
      </w:r>
    </w:p>
    <w:p>
      <w:pPr>
        <w:widowControl/>
      </w:pPr>
      <w:r>
        <w:rPr>
          <w:b w:val="0"/>
          <w:i w:val="0"/>
        </w:rPr>
        <w:t xml:space="preserve">Harmony is the concord produced when strings are appropriately moved together. </w:t>
      </w:r>
      <w:r>
        <w:rPr>
          <w:b w:val="0"/>
          <w:i/>
        </w:rPr>
        <w:t>Fides</w:t>
      </w:r>
      <w:r>
        <w:rPr>
          <w:b w:val="0"/>
          <w:i w:val="0"/>
        </w:rPr>
        <w:t xml:space="preserve"> here means musical strings, not faith; </w:t>
      </w:r>
      <w:r>
        <w:rPr>
          <w:b w:val="0"/>
          <w:i/>
        </w:rPr>
        <w:t>chorda</w:t>
      </w:r>
      <w:r>
        <w:rPr>
          <w:b w:val="0"/>
          <w:i w:val="0"/>
        </w:rPr>
        <w:t xml:space="preserve"> supplies the same instrumental reference. Depending upon a configuration differs from actively governing the constituents that produce it.</w:t>
      </w:r>
    </w:p>
    <w:p>
      <w:pPr>
        <w:keepNext/>
        <w:widowControl/>
      </w:pPr>
      <w:r>
        <w:rPr>
          <w:b/>
          <w:i w:val="0"/>
        </w:rPr>
        <w:t>In the Platonic Theology.</w:t>
      </w:r>
    </w:p>
    <w:p>
      <w:pPr>
        <w:widowControl/>
      </w:pPr>
      <w:r>
        <w:rPr>
          <w:b w:val="0"/>
          <w:i w:val="0"/>
        </w:rPr>
        <w:t>Ficino rejects a position he attributes to Aristoxenus and other musicians: soul is a harmony generated from bodily constitution. The proposal is more specific than saying that body and soul can be harmonious. It makes soul a product of bodily arrangement and therefore, in Ficino’s opening classification, an accident. This connects the chapter directly with chapter 9’s distinction between a constitution and the substance that makes its body.</w:t>
      </w:r>
    </w:p>
    <w:p>
      <w:pPr>
        <w:widowControl/>
      </w:pPr>
      <w:r>
        <w:rPr>
          <w:b w:val="0"/>
          <w:i w:val="0"/>
        </w:rPr>
        <w:t>The musical analogy separates three stages. An agent from elsewhere moves the strings; the moved strings produce sounding harmony; that harmony depends on their arrangement and movement. Ficino denies that the final stage supplies the prior agency that initiates or governs the others. The transferred claim is causal: a soul arising as the harmony of composed humors would be governed by those humors rather than govern them. The argument does not deny musical concord or condemn harmonious bodily order. It depends upon the assumed asymmetry between a produced arrangement and its directing source.</w:t>
      </w:r>
    </w:p>
    <w:p>
      <w:pPr>
        <w:widowControl/>
      </w:pPr>
      <w:r>
        <w:rPr>
          <w:b w:val="0"/>
          <w:i w:val="0"/>
        </w:rPr>
        <w:t>Ficino follows the consequences through productive, regulatory and cognitive activities. There would be no bodily motions beyond the humors’ condition and no works above their command. The body’s artful figure and disposition would lack the directing maker assigned to soul. Nor could soul resist bodily affections if the alleged resisting agent were wholly the bodily arrangement producing it. It could neither reflect upon itself nor turn from bodily things toward incorporeal objects as an independently active subject. These capacities are not all demonstrated anew here: Ficino appeals to earlier discussion and promises further treatment. Their present role is to specify what the harmony theory cannot explain if those capacities are established.</w:t>
      </w:r>
    </w:p>
    <w:p>
      <w:pPr>
        <w:widowControl/>
      </w:pPr>
      <w:r>
        <w:rPr>
          <w:b w:val="0"/>
          <w:i w:val="0"/>
        </w:rPr>
        <w:t>The reflexive phrases retain distinct objects. Turning back into oneself concerns self-relation; joining oneself to something incorporeal concerns the object or order of cognition. Separation from bodily things belongs here to an account of activity and should not automatically mean bodily death. The concluding link between acting through oneself and existing through oneself states the ontological requirement Ficino assigns to these activities. An effect wholly dependent on material configuration cannot supply that independent subject.</w:t>
      </w:r>
    </w:p>
    <w:p>
      <w:pPr>
        <w:widowControl/>
      </w:pPr>
      <w:r>
        <w:rPr>
          <w:b w:val="0"/>
          <w:i w:val="0"/>
        </w:rPr>
        <w:t>This opens a sustained sequence rather than completing the whole anti-harmony argument. Chapter 11 allows an opponent to specify vital concord and asks what determines and continually maintains it. Chapter 12 separates composition from proportion and tests each; chapter 13 examines the freedom from matter required by soul’s powers; chapters 14 and 15 distinguish moral concord from the degree of life and test soul’s persistence through discord. Ficino retains positive uses of coordinated order throughout. The target is the identity of soul with harmony, or the claim that bodily harmony sufficiently produces it, rather than every harmonious relation within a living being.</w:t>
      </w:r>
    </w:p>
    <w:p>
      <w:pPr>
        <w:keepNext/>
        <w:widowControl/>
      </w:pPr>
      <w:r>
        <w:rPr>
          <w:b/>
          <w:i w:val="0"/>
        </w:rPr>
        <w:t>Places to Read.</w:t>
      </w:r>
    </w:p>
    <w:p>
      <w:pPr>
        <w:ind w:left="187" w:hanging="187"/>
      </w:pPr>
      <w:r>
        <w:t xml:space="preserve">• </w:t>
      </w:r>
      <w:r>
        <w:rPr>
          <w:b/>
          <w:i w:val="0"/>
        </w:rPr>
        <w:t>VII.10.1, PDF 270–271</w:t>
      </w:r>
      <w:r>
        <w:rPr>
          <w:b w:val="0"/>
          <w:i w:val="0"/>
        </w:rPr>
        <w:t>. Aristoxenus’s reported thesis is tested through the direction of dependence between strings and harmony.</w:t>
      </w:r>
    </w:p>
    <w:p>
      <w:pPr>
        <w:ind w:left="187" w:hanging="187"/>
      </w:pPr>
      <w:r>
        <w:t xml:space="preserve">• </w:t>
      </w:r>
      <w:r>
        <w:rPr>
          <w:b/>
          <w:i w:val="0"/>
        </w:rPr>
        <w:t>VII.11.1, PDF 272–273</w:t>
      </w:r>
      <w:r>
        <w:rPr>
          <w:b w:val="0"/>
          <w:i w:val="0"/>
        </w:rPr>
        <w:t>. The reply to a specially tempered harmony requires a superior inner cause.</w:t>
      </w:r>
    </w:p>
    <w:p>
      <w:pPr>
        <w:ind w:left="187" w:hanging="187"/>
      </w:pPr>
      <w:r>
        <w:t xml:space="preserve">• </w:t>
      </w:r>
      <w:r>
        <w:rPr>
          <w:b/>
          <w:i w:val="0"/>
        </w:rPr>
        <w:t>VII.14.1, PDF 278–279</w:t>
      </w:r>
      <w:r>
        <w:rPr>
          <w:b w:val="0"/>
          <w:i w:val="0"/>
        </w:rPr>
        <w:t>. Degrees of musical concord supply a further reductio of soul-as-harmony.</w:t>
      </w:r>
    </w:p>
    <w:p>
      <w:pPr>
        <w:keepNext/>
        <w:widowControl/>
      </w:pPr>
      <w:r>
        <w:rPr>
          <w:b/>
          <w:i w:val="0"/>
        </w:rPr>
        <w:t>In this edition.</w:t>
      </w:r>
    </w:p>
    <w:p>
      <w:pPr>
        <w:widowControl/>
      </w:pPr>
      <w:r>
        <w:rPr>
          <w:b w:val="0"/>
          <w:i w:val="0"/>
        </w:rPr>
        <w:t xml:space="preserve">The attribution to Aristoxenus is Ficino’s report, not an independently verified quotation here. The edition retains singular </w:t>
      </w:r>
      <w:r>
        <w:rPr>
          <w:b w:val="0"/>
          <w:i/>
        </w:rPr>
        <w:t>extiterit</w:t>
      </w:r>
      <w:r>
        <w:rPr>
          <w:b w:val="0"/>
          <w:i w:val="0"/>
        </w:rPr>
        <w:t xml:space="preserve"> with </w:t>
      </w:r>
      <w:r>
        <w:rPr>
          <w:b w:val="0"/>
          <w:i/>
        </w:rPr>
        <w:t>animus</w:t>
      </w:r>
      <w:r>
        <w:rPr>
          <w:b w:val="0"/>
          <w:i w:val="0"/>
        </w:rPr>
        <w:t xml:space="preserve"> against later plural readings. Reflexive acting and existing belong to that same subject.</w:t>
      </w:r>
    </w:p>
    <w:p>
      <w:pPr>
        <w:keepNext/>
        <w:widowControl/>
      </w:pPr>
      <w:r>
        <w:rPr>
          <w:b/>
          <w:i w:val="0"/>
        </w:rPr>
        <w:t>See also.</w:t>
      </w:r>
    </w:p>
    <w:p>
      <w:pPr>
        <w:widowControl/>
      </w:pPr>
      <w:hyperlink w:anchor="vii-vital-harmony">
        <w:r>
          <w:rPr>
            <w:color w:val="000000"/>
          </w:rPr>
          <w:t xml:space="preserve">Vital harmony and its producer</w:t>
        </w:r>
      </w:hyperlink>
      <w:r>
        <w:rPr>
          <w:b w:val="0"/>
          <w:i w:val="0"/>
        </w:rPr>
        <w:t xml:space="preserve">; </w:t>
      </w:r>
      <w:hyperlink w:anchor="vii-composition-unity">
        <w:r>
          <w:rPr>
            <w:color w:val="000000"/>
          </w:rPr>
          <w:t xml:space="preserve">Composition and inward unity</w:t>
        </w:r>
      </w:hyperlink>
      <w:r>
        <w:rPr>
          <w:b w:val="0"/>
          <w:i w:val="0"/>
        </w:rPr>
        <w:t xml:space="preserve">; </w:t>
      </w:r>
      <w:hyperlink w:anchor="vii-discord-soul">
        <w:r>
          <w:rPr>
            <w:color w:val="000000"/>
          </w:rPr>
          <w:t xml:space="preserve">Discord and the soul’s persistence</w:t>
        </w:r>
      </w:hyperlink>
    </w:p>
    <w:p>
      <w:pPr>
        <w:pStyle w:val="Heading2"/>
      </w:pPr>
      <w:bookmarkStart w:id="143" w:name="ideas-natural-ascent-and-rest"/>
      <w:r>
        <w:rPr>
          <w:b w:val="0"/>
          <w:i w:val="0"/>
        </w:rPr>
        <w:t>Ideas, natural ascent and rest</w:t>
      </w:r>
      <w:bookmarkEnd w:id="143"/>
    </w:p>
    <w:p>
      <w:pPr>
        <w:keepNext/>
        <w:widowControl/>
      </w:pPr>
      <w:r>
        <w:rPr>
          <w:b/>
          <w:i w:val="0"/>
        </w:rPr>
        <w:t>Latin:</w:t>
      </w:r>
      <w:r>
        <w:rPr>
          <w:b w:val="0"/>
          <w:i w:val="0"/>
        </w:rPr>
        <w:t xml:space="preserve"> </w:t>
      </w:r>
      <w:r>
        <w:rPr>
          <w:b w:val="0"/>
          <w:i/>
        </w:rPr>
        <w:t>idea</w:t>
      </w:r>
      <w:r>
        <w:rPr>
          <w:b w:val="0"/>
          <w:i w:val="0"/>
        </w:rPr>
        <w:t xml:space="preserve">; </w:t>
      </w:r>
      <w:r>
        <w:rPr>
          <w:b w:val="0"/>
          <w:i/>
        </w:rPr>
        <w:t>species absolutae</w:t>
      </w:r>
      <w:r>
        <w:rPr>
          <w:b w:val="0"/>
          <w:i w:val="0"/>
        </w:rPr>
        <w:t xml:space="preserve">; </w:t>
      </w:r>
      <w:r>
        <w:rPr>
          <w:b w:val="0"/>
          <w:i/>
        </w:rPr>
        <w:t>ascendere</w:t>
      </w:r>
      <w:r>
        <w:rPr>
          <w:b w:val="0"/>
          <w:i w:val="0"/>
        </w:rPr>
        <w:t xml:space="preserve">; </w:t>
      </w:r>
      <w:r>
        <w:rPr>
          <w:b w:val="0"/>
          <w:i/>
        </w:rPr>
        <w:t>quiescere</w:t>
      </w:r>
      <w:r>
        <w:rPr>
          <w:b w:val="0"/>
          <w:i w:val="0"/>
        </w:rPr>
        <w:t xml:space="preserve">; </w:t>
      </w:r>
      <w:r>
        <w:rPr>
          <w:b w:val="0"/>
          <w:i/>
        </w:rPr>
        <w:t>disciplina</w:t>
      </w:r>
      <w:r>
        <w:rPr>
          <w:b w:val="0"/>
          <w:i w:val="0"/>
        </w:rPr>
        <w:t xml:space="preserve">; </w:t>
      </w:r>
      <w:r>
        <w:rPr>
          <w:b w:val="0"/>
          <w:i/>
        </w:rPr>
        <w:t>usus</w:t>
      </w:r>
      <w:r>
        <w:rPr>
          <w:b w:val="0"/>
          <w:i w:val="0"/>
        </w:rPr>
        <w:t xml:space="preserve">; </w:t>
      </w:r>
      <w:r>
        <w:rPr>
          <w:b w:val="0"/>
          <w:i/>
        </w:rPr>
        <w:t>perpetuum</w:t>
      </w:r>
      <w:r>
        <w:rPr>
          <w:b w:val="0"/>
          <w:i w:val="0"/>
        </w:rPr>
        <w:t xml:space="preserve">; </w:t>
      </w:r>
      <w:r>
        <w:rPr>
          <w:b w:val="0"/>
          <w:i/>
        </w:rPr>
        <w:t>modus</w:t>
      </w:r>
    </w:p>
    <w:p>
      <w:pPr>
        <w:keepNext/>
        <w:widowControl/>
      </w:pPr>
      <w:r>
        <w:rPr>
          <w:b/>
          <w:i w:val="0"/>
        </w:rPr>
        <w:t>The word.</w:t>
      </w:r>
    </w:p>
    <w:p>
      <w:pPr>
        <w:widowControl/>
      </w:pPr>
      <w:r>
        <w:rPr>
          <w:b w:val="0"/>
          <w:i w:val="0"/>
        </w:rPr>
        <w:t>An Idea is an eternal exemplary intelligible principle. Species absolutae are separate forms arising within rational cognition. Ascendere and quiescere distinguish ascent toward a higher object from fulfilled rest in it; the verbal contrast is part of the argument rather than a change in literal location.</w:t>
      </w:r>
    </w:p>
    <w:p>
      <w:pPr>
        <w:keepNext/>
        <w:widowControl/>
      </w:pPr>
      <w:r>
        <w:rPr>
          <w:b/>
          <w:i w:val="0"/>
        </w:rPr>
        <w:t>In the Platonic Theology.</w:t>
      </w:r>
    </w:p>
    <w:p>
      <w:pPr>
        <w:widowControl/>
      </w:pPr>
      <w:r>
        <w:rPr>
          <w:b w:val="0"/>
          <w:i w:val="0"/>
        </w:rPr>
        <w:t>V.12.13 has argued that soul continues to receive life because its essence depends immediately upon stable God. The ensuing cognition argument gives that nature a positive activity. Insofar as soul is rational, it daily produces separate forms within itself by its natural power, even without discipline or practice. These forms provide the nearer route toward eternal Ideas. The assertion concerns an intrinsic rational capacity, not a denial that particular people learn, practice or make mistakes.</w:t>
      </w:r>
    </w:p>
    <w:p>
      <w:pPr>
        <w:widowControl/>
      </w:pPr>
      <w:r>
        <w:rPr>
          <w:b w:val="0"/>
          <w:i w:val="0"/>
        </w:rPr>
        <w:t xml:space="preserve">The next inference is teleological. If ascent to Ideas is natural to rational mind, rest in Ideas must also be natural. Ficino moves from living through them to living in them, and from continual activity directed toward perpetual objects to perpetual activity among those objects. </w:t>
      </w:r>
      <w:r>
        <w:t>“</w:t>
      </w:r>
      <w:r>
        <w:rPr>
          <w:b w:val="0"/>
          <w:i w:val="0"/>
        </w:rPr>
        <w:t>Through</w:t>
      </w:r>
      <w:r>
        <w:t>”</w:t>
      </w:r>
      <w:r>
        <w:rPr>
          <w:b w:val="0"/>
          <w:i w:val="0"/>
        </w:rPr>
        <w:t xml:space="preserve"> marks dependence and means; </w:t>
      </w:r>
      <w:r>
        <w:t>“</w:t>
      </w:r>
      <w:r>
        <w:rPr>
          <w:b w:val="0"/>
          <w:i w:val="0"/>
        </w:rPr>
        <w:t>in</w:t>
      </w:r>
      <w:r>
        <w:t>”</w:t>
      </w:r>
      <w:r>
        <w:rPr>
          <w:b w:val="0"/>
          <w:i w:val="0"/>
        </w:rPr>
        <w:t xml:space="preserve"> marks the proposed fulfillment of that dependence. Continual striving during embodied life and perpetual fulfilled activity are thus related but not identical conditions.</w:t>
      </w:r>
    </w:p>
    <w:p>
      <w:pPr>
        <w:widowControl/>
      </w:pPr>
      <w:r>
        <w:rPr>
          <w:b w:val="0"/>
          <w:i w:val="0"/>
        </w:rPr>
        <w:t>V.12.15 supplies the mode principle. Every Idea is eternal life, so what can attain an Idea according to an Idea’s mode can attain everlasting life in an eternal mode. The repeated modus is not decorative. The inference requires more than merely mentioning an eternal object: mind must be able to receive or attain it in the object’s appropriate manner. This is another use of the relation between the mode of a recipient and the act it receives. It belongs to Ficino’s metaphysics of cognitive assimilation rather than to an empirical claim that thinking about infinity makes an organism physically immortal.</w:t>
      </w:r>
    </w:p>
    <w:p>
      <w:pPr>
        <w:widowControl/>
      </w:pPr>
      <w:r>
        <w:rPr>
          <w:b w:val="0"/>
          <w:i w:val="0"/>
        </w:rPr>
        <w:t>V.13.18 supplies a related, explicitly attributed exemplary account. God produces through Ideas, defined as absolute exemplary principles. The immediate effect should most closely resemble its source; remoter effects resemble it less. Rational soul’s production through the Idea of life gives it stable life, while derivative animation mediated through soul is naturally mutable. The reported ethereal vehicle qualification then explains how a derivative life can be continuously sustained without becoming the same kind of self-subsisting source.</w:t>
      </w:r>
    </w:p>
    <w:p>
      <w:pPr>
        <w:widowControl/>
      </w:pPr>
      <w:r>
        <w:rPr>
          <w:b w:val="0"/>
          <w:i w:val="0"/>
        </w:rPr>
        <w:t xml:space="preserve">The earlier seal example likewise gives an Idea a determinate preserving role: approaching the exemplar confirms this mind’s assigned mode of being rather than dissolving its identity. V.13.16’s different Ideas of angel and soul also explain unequal perfections from one immediate maker. These contexts prevent </w:t>
      </w:r>
      <w:r>
        <w:t>“</w:t>
      </w:r>
      <w:r>
        <w:rPr>
          <w:b w:val="0"/>
          <w:i w:val="0"/>
        </w:rPr>
        <w:t>Idea</w:t>
      </w:r>
      <w:r>
        <w:t>”</w:t>
      </w:r>
      <w:r>
        <w:rPr>
          <w:b w:val="0"/>
          <w:i w:val="0"/>
        </w:rPr>
        <w:t xml:space="preserve"> from becoming a loose synonym for any thought a person happens to have. In this book Ideas are exemplary causes and objects of rational attainment, while species produced within cognition are the more immediate forms by which that attainment is approached.</w:t>
      </w:r>
    </w:p>
    <w:p>
      <w:pPr>
        <w:keepNext/>
        <w:widowControl/>
      </w:pPr>
      <w:r>
        <w:rPr>
          <w:b/>
          <w:i w:val="0"/>
        </w:rPr>
        <w:t>Places to Read.</w:t>
      </w:r>
    </w:p>
    <w:p>
      <w:pPr>
        <w:ind w:left="187" w:hanging="187"/>
      </w:pPr>
      <w:r>
        <w:t xml:space="preserve">• </w:t>
      </w:r>
      <w:r>
        <w:rPr>
          <w:b/>
          <w:i w:val="0"/>
        </w:rPr>
        <w:t>V.11.6, PDF 64–65.</w:t>
      </w:r>
      <w:r>
        <w:rPr>
          <w:b w:val="0"/>
          <w:i w:val="0"/>
        </w:rPr>
        <w:t xml:space="preserve"> Conformity to the Idea preserves a mind’s determinate identity.</w:t>
      </w:r>
    </w:p>
    <w:p>
      <w:pPr>
        <w:ind w:left="187" w:hanging="187"/>
      </w:pPr>
      <w:r>
        <w:t xml:space="preserve">• </w:t>
      </w:r>
      <w:r>
        <w:rPr>
          <w:b/>
          <w:i w:val="0"/>
        </w:rPr>
        <w:t>V.12.13, V.12.14, V.12.15, PDF 76–77.</w:t>
      </w:r>
      <w:r>
        <w:rPr>
          <w:b w:val="0"/>
          <w:i w:val="0"/>
        </w:rPr>
        <w:t xml:space="preserve"> Natural rational formation leads from ascent to rest and from continual striving to perpetual life according to the Idea’s mode.</w:t>
      </w:r>
    </w:p>
    <w:p>
      <w:pPr>
        <w:ind w:left="187" w:hanging="187"/>
      </w:pPr>
      <w:r>
        <w:t xml:space="preserve">• </w:t>
      </w:r>
      <w:r>
        <w:rPr>
          <w:b/>
          <w:i w:val="0"/>
        </w:rPr>
        <w:t>V.13.16, V.13.18, PDF 88–89, 92–93.</w:t>
      </w:r>
      <w:r>
        <w:rPr>
          <w:b w:val="0"/>
          <w:i w:val="0"/>
        </w:rPr>
        <w:t xml:space="preserve"> Different exemplars and different degrees of immediate production distinguish created ranks and modes of life.</w:t>
      </w:r>
    </w:p>
    <w:p>
      <w:pPr>
        <w:keepNext/>
        <w:widowControl/>
      </w:pPr>
      <w:r>
        <w:rPr>
          <w:b/>
          <w:i w:val="0"/>
        </w:rPr>
        <w:t>In this edition.</w:t>
      </w:r>
    </w:p>
    <w:p>
      <w:pPr>
        <w:widowControl/>
      </w:pPr>
      <w:r>
        <w:rPr>
          <w:b w:val="0"/>
          <w:i w:val="0"/>
        </w:rPr>
        <w:t>The supplied apparatus explicitly preserves the transitions from through Ideas to in Ideas and from continual toward to perpetual within. It translates species absolutae as separate forms. V.13.18 is framed as the view of Timaeus and Plato and later Platonists; the reported ethereal embodiment should retain that attribution.</w:t>
      </w:r>
    </w:p>
    <w:p>
      <w:pPr>
        <w:keepNext/>
        <w:widowControl/>
      </w:pPr>
      <w:r>
        <w:rPr>
          <w:b/>
          <w:i w:val="0"/>
        </w:rPr>
        <w:t>See also.</w:t>
      </w:r>
    </w:p>
    <w:p>
      <w:pPr>
        <w:widowControl/>
      </w:pPr>
      <w:hyperlink w:anchor="essence-and-being">
        <w:r>
          <w:rPr>
            <w:color w:val="000000"/>
          </w:rPr>
          <w:t xml:space="preserve">Essence and being</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seal-wax-and-restoration">
        <w:r>
          <w:rPr>
            <w:color w:val="000000"/>
          </w:rPr>
          <w:t xml:space="preserve">Seal, wax and restoration</w:t>
        </w:r>
      </w:hyperlink>
      <w:r>
        <w:rPr>
          <w:b w:val="0"/>
          <w:i w:val="0"/>
        </w:rPr>
        <w:t xml:space="preserve">; </w:t>
      </w:r>
      <w:hyperlink w:anchor="platonist-disagreement-and-descent">
        <w:r>
          <w:rPr>
            <w:color w:val="000000"/>
          </w:rPr>
          <w:t xml:space="preserve">Platonist disagreement and descent</w:t>
        </w:r>
      </w:hyperlink>
    </w:p>
    <w:p>
      <w:pPr>
        <w:pStyle w:val="Heading2"/>
      </w:pPr>
      <w:bookmarkStart w:id="144" w:name="image-shadow-and-ranked-truth"/>
      <w:r>
        <w:rPr>
          <w:b w:val="0"/>
          <w:i w:val="0"/>
        </w:rPr>
        <w:t>Image, shadow and ranked truth</w:t>
      </w:r>
      <w:bookmarkEnd w:id="144"/>
    </w:p>
    <w:p>
      <w:pPr>
        <w:keepNext/>
        <w:widowControl/>
      </w:pPr>
      <w:r>
        <w:rPr>
          <w:b/>
          <w:i w:val="0"/>
        </w:rPr>
        <w:t>Latin:</w:t>
      </w:r>
      <w:r>
        <w:rPr>
          <w:b w:val="0"/>
          <w:i w:val="0"/>
        </w:rPr>
        <w:t xml:space="preserve"> </w:t>
      </w:r>
      <w:r>
        <w:rPr>
          <w:b w:val="0"/>
          <w:i/>
        </w:rPr>
        <w:t>imago</w:t>
      </w:r>
      <w:r>
        <w:rPr>
          <w:b w:val="0"/>
          <w:i w:val="0"/>
        </w:rPr>
        <w:t xml:space="preserve">; </w:t>
      </w:r>
      <w:r>
        <w:rPr>
          <w:b w:val="0"/>
          <w:i/>
        </w:rPr>
        <w:t>umbra</w:t>
      </w:r>
      <w:r>
        <w:rPr>
          <w:b w:val="0"/>
          <w:i w:val="0"/>
        </w:rPr>
        <w:t xml:space="preserve">; </w:t>
      </w:r>
      <w:r>
        <w:rPr>
          <w:b w:val="0"/>
          <w:i/>
        </w:rPr>
        <w:t>idolum</w:t>
      </w:r>
      <w:r>
        <w:rPr>
          <w:b w:val="0"/>
          <w:i w:val="0"/>
        </w:rPr>
        <w:t xml:space="preserve">; </w:t>
      </w:r>
      <w:r>
        <w:rPr>
          <w:b w:val="0"/>
          <w:i/>
        </w:rPr>
        <w:t>simulacrum</w:t>
      </w:r>
      <w:r>
        <w:rPr>
          <w:b w:val="0"/>
          <w:i w:val="0"/>
        </w:rPr>
        <w:t xml:space="preserve">; </w:t>
      </w:r>
      <w:r>
        <w:rPr>
          <w:b w:val="0"/>
          <w:i/>
        </w:rPr>
        <w:t>verus</w:t>
      </w:r>
      <w:r>
        <w:rPr>
          <w:b w:val="0"/>
          <w:i w:val="0"/>
        </w:rPr>
        <w:t xml:space="preserve">; </w:t>
      </w:r>
      <w:r>
        <w:rPr>
          <w:b w:val="0"/>
          <w:i/>
        </w:rPr>
        <w:t>splendor</w:t>
      </w:r>
      <w:r>
        <w:rPr>
          <w:b w:val="0"/>
          <w:i w:val="0"/>
        </w:rPr>
        <w:t xml:space="preserve">; </w:t>
      </w:r>
      <w:r>
        <w:rPr>
          <w:b w:val="0"/>
          <w:i/>
        </w:rPr>
        <w:t>reflexio</w:t>
      </w:r>
    </w:p>
    <w:p>
      <w:pPr>
        <w:keepNext/>
        <w:widowControl/>
      </w:pPr>
      <w:r>
        <w:rPr>
          <w:b/>
          <w:i w:val="0"/>
        </w:rPr>
        <w:t>The word.</w:t>
      </w:r>
    </w:p>
    <w:p>
      <w:pPr>
        <w:widowControl/>
      </w:pPr>
      <w:r>
        <w:rPr>
          <w:b w:val="0"/>
          <w:i w:val="0"/>
        </w:rPr>
        <w:t>Imago and simulacrum are images or likenesses; umbra is shadow. Verus can mean genuinely belonging to a rank, not simply making a true assertion. A derivative image can be real in its own lower order without being the original whose power it reflects.</w:t>
      </w:r>
    </w:p>
    <w:p>
      <w:pPr>
        <w:keepNext/>
        <w:widowControl/>
      </w:pPr>
      <w:r>
        <w:rPr>
          <w:b/>
          <w:i w:val="0"/>
        </w:rPr>
        <w:t>In the Platonic Theology.</w:t>
      </w:r>
    </w:p>
    <w:p>
      <w:pPr>
        <w:widowControl/>
      </w:pPr>
      <w:r>
        <w:rPr>
          <w:b w:val="0"/>
          <w:i w:val="0"/>
        </w:rPr>
        <w:t>V.1 uses visible spheres and circuits as shadows of invisible spiritual spheres. V.2 calls irrational lives images and likenesses of rational souls. The figures establish asymmetrical dependence, but do not mean that bodily life is nonexistent.</w:t>
      </w:r>
    </w:p>
    <w:p>
      <w:pPr>
        <w:widowControl/>
      </w:pPr>
      <w:r>
        <w:rPr>
          <w:b w:val="0"/>
          <w:i w:val="0"/>
        </w:rPr>
        <w:t>V.14.9 makes the logic explicit through five stages. God is true good. Angel images goodness yet is true intellect. Rational soul images intellect yet is true soul. Irrational soul images soul yet is true nature. A quality divided in matter images nature yet is a true instrument of natural agents. Each intermediate level is derivative relative to what stands above and genuine relative to its own characteristic function.</w:t>
      </w:r>
    </w:p>
    <w:p>
      <w:pPr>
        <w:widowControl/>
      </w:pPr>
      <w:r>
        <w:rPr>
          <w:b w:val="0"/>
          <w:i w:val="0"/>
        </w:rPr>
        <w:t xml:space="preserve">The vocabulary thus does more than sort </w:t>
      </w:r>
      <w:r>
        <w:t>“</w:t>
      </w:r>
      <w:r>
        <w:rPr>
          <w:b w:val="0"/>
          <w:i w:val="0"/>
        </w:rPr>
        <w:t>real</w:t>
      </w:r>
      <w:r>
        <w:t>”</w:t>
      </w:r>
      <w:r>
        <w:rPr>
          <w:b w:val="0"/>
          <w:i w:val="0"/>
        </w:rPr>
        <w:t xml:space="preserve"> from </w:t>
      </w:r>
      <w:r>
        <w:t>“</w:t>
      </w:r>
      <w:r>
        <w:rPr>
          <w:b w:val="0"/>
          <w:i w:val="0"/>
        </w:rPr>
        <w:t>fake.</w:t>
      </w:r>
      <w:r>
        <w:t>”</w:t>
      </w:r>
      <w:r>
        <w:rPr>
          <w:b w:val="0"/>
          <w:i w:val="0"/>
        </w:rPr>
        <w:t xml:space="preserve"> A false or derivative soul can still name a real animation lacking the self-subsisting status of true soul. The reader should not translate every simulacrum as hallucination.</w:t>
      </w:r>
    </w:p>
    <w:p>
      <w:pPr>
        <w:widowControl/>
      </w:pPr>
      <w:r>
        <w:rPr>
          <w:b w:val="0"/>
          <w:i w:val="0"/>
        </w:rPr>
        <w:t>V.15.2–4 connects images with the soul’s middle position. Divine images shine in soul while shadows appear in bodily things. Since some bodily shadows are taken to be everlasting, the superior soul-images support an a fortiori inference. Life is prior to radiance, which Ficino calls life’s reflection and outpouring. The reasoning is hierarchical and causal, not an inference from visual brightness alone.</w:t>
      </w:r>
    </w:p>
    <w:p>
      <w:pPr>
        <w:keepNext/>
        <w:widowControl/>
      </w:pPr>
      <w:r>
        <w:rPr>
          <w:b/>
          <w:i w:val="0"/>
        </w:rPr>
        <w:t>Places to Read.</w:t>
      </w:r>
    </w:p>
    <w:p>
      <w:pPr>
        <w:ind w:left="187" w:hanging="187"/>
      </w:pPr>
      <w:r>
        <w:t xml:space="preserve">• </w:t>
      </w:r>
      <w:r>
        <w:rPr>
          <w:b/>
          <w:i w:val="0"/>
        </w:rPr>
        <w:t>V.1.5, V.2.1, PDF 10–13.</w:t>
      </w:r>
      <w:r>
        <w:rPr>
          <w:b w:val="0"/>
          <w:i w:val="0"/>
        </w:rPr>
        <w:t xml:space="preserve"> Visible shadows and irrational likenesses establish derivative relations.</w:t>
      </w:r>
    </w:p>
    <w:p>
      <w:pPr>
        <w:ind w:left="187" w:hanging="187"/>
      </w:pPr>
      <w:r>
        <w:t xml:space="preserve">• </w:t>
      </w:r>
      <w:r>
        <w:rPr>
          <w:b/>
          <w:i w:val="0"/>
        </w:rPr>
        <w:t>V.14.8, V.14.9, PDF 100–103.</w:t>
      </w:r>
      <w:r>
        <w:rPr>
          <w:b w:val="0"/>
          <w:i w:val="0"/>
        </w:rPr>
        <w:t xml:space="preserve"> True soul and the five-stage image/true-being ladder.</w:t>
      </w:r>
    </w:p>
    <w:p>
      <w:pPr>
        <w:ind w:left="187" w:hanging="187"/>
      </w:pPr>
      <w:r>
        <w:t xml:space="preserve">• </w:t>
      </w:r>
      <w:r>
        <w:rPr>
          <w:b/>
          <w:i w:val="0"/>
        </w:rPr>
        <w:t>V.15.2, V.15.3, V.15.4, PDF 104–107.</w:t>
      </w:r>
      <w:r>
        <w:rPr>
          <w:b w:val="0"/>
          <w:i w:val="0"/>
        </w:rPr>
        <w:t xml:space="preserve"> Divine images and bodily shadows support the soul’s mediating permanence.</w:t>
      </w:r>
    </w:p>
    <w:p>
      <w:pPr>
        <w:keepNext/>
        <w:widowControl/>
      </w:pPr>
      <w:r>
        <w:rPr>
          <w:b/>
          <w:i w:val="0"/>
        </w:rPr>
        <w:t>In this edition.</w:t>
      </w:r>
    </w:p>
    <w:p>
      <w:pPr>
        <w:widowControl/>
      </w:pPr>
      <w:r>
        <w:rPr>
          <w:b w:val="0"/>
          <w:i w:val="0"/>
        </w:rPr>
        <w:t xml:space="preserve">The edition keeps image and shadow distinct in V.15.3 and avoids </w:t>
      </w:r>
      <w:r>
        <w:t>“</w:t>
      </w:r>
      <w:r>
        <w:rPr>
          <w:b w:val="0"/>
          <w:i w:val="0"/>
        </w:rPr>
        <w:t>illusion</w:t>
      </w:r>
      <w:r>
        <w:t>”</w:t>
      </w:r>
      <w:r>
        <w:rPr>
          <w:b w:val="0"/>
          <w:i w:val="0"/>
        </w:rPr>
        <w:t xml:space="preserve"> for simulacrum at V.15.8. The </w:t>
      </w:r>
      <w:r>
        <w:t>“</w:t>
      </w:r>
      <w:r>
        <w:rPr>
          <w:b w:val="0"/>
          <w:i w:val="0"/>
        </w:rPr>
        <w:t>false soul</w:t>
      </w:r>
      <w:r>
        <w:t>”</w:t>
      </w:r>
      <w:r>
        <w:rPr>
          <w:b w:val="0"/>
          <w:i w:val="0"/>
        </w:rPr>
        <w:t xml:space="preserve"> terminology reports ranked Platonist usage rather than denying every reality to lower life.</w:t>
      </w:r>
    </w:p>
    <w:p>
      <w:pPr>
        <w:keepNext/>
        <w:widowControl/>
      </w:pPr>
      <w:r>
        <w:rPr>
          <w:b/>
          <w:i w:val="0"/>
        </w:rPr>
        <w:t>See also.</w:t>
      </w:r>
    </w:p>
    <w:p>
      <w:pPr>
        <w:widowControl/>
      </w:pPr>
      <w:hyperlink w:anchor="rational-soul-and-irrational-life">
        <w:r>
          <w:rPr>
            <w:color w:val="000000"/>
          </w:rPr>
          <w:t xml:space="preserve">Rational soul and irrational life</w:t>
        </w:r>
      </w:hyperlink>
      <w:r>
        <w:rPr>
          <w:b w:val="0"/>
          <w:i w:val="0"/>
        </w:rPr>
        <w:t xml:space="preserve">; </w:t>
      </w:r>
      <w:hyperlink w:anchor="circularity-and-spiritual-spheres">
        <w:r>
          <w:rPr>
            <w:color w:val="000000"/>
          </w:rPr>
          <w:t xml:space="preserve">Circularity and spiritual spheres</w:t>
        </w:r>
      </w:hyperlink>
      <w:r>
        <w:rPr>
          <w:b w:val="0"/>
          <w:i w:val="0"/>
        </w:rPr>
        <w:t xml:space="preserve">; </w:t>
      </w:r>
      <w:hyperlink w:anchor="soul-as-universal-bond">
        <w:r>
          <w:rPr>
            <w:color w:val="000000"/>
          </w:rPr>
          <w:t xml:space="preserve">Soul as universal bond</w:t>
        </w:r>
      </w:hyperlink>
    </w:p>
    <w:p>
      <w:pPr>
        <w:pStyle w:val="Heading2"/>
      </w:pPr>
      <w:bookmarkStart w:id="145" w:name="viii-images-intentions"/>
      <w:r>
        <w:rPr>
          <w:b w:val="0"/>
          <w:i w:val="0"/>
        </w:rPr>
        <w:t>Images, intentions, and conjecturing substance</w:t>
      </w:r>
      <w:bookmarkEnd w:id="145"/>
    </w:p>
    <w:p>
      <w:pPr>
        <w:keepNext/>
        <w:widowControl/>
      </w:pPr>
      <w:r>
        <w:rPr>
          <w:b/>
          <w:i w:val="0"/>
        </w:rPr>
        <w:t>Latin:</w:t>
      </w:r>
      <w:r>
        <w:rPr>
          <w:b w:val="0"/>
          <w:i w:val="0"/>
        </w:rPr>
        <w:t xml:space="preserve"> </w:t>
      </w:r>
      <w:r>
        <w:rPr>
          <w:b w:val="0"/>
          <w:i/>
        </w:rPr>
        <w:t>simulacrum</w:t>
      </w:r>
      <w:r>
        <w:rPr>
          <w:b w:val="0"/>
          <w:i w:val="0"/>
        </w:rPr>
        <w:t xml:space="preserve">; </w:t>
      </w:r>
      <w:r>
        <w:rPr>
          <w:b w:val="0"/>
          <w:i/>
        </w:rPr>
        <w:t>imago</w:t>
      </w:r>
      <w:r>
        <w:rPr>
          <w:b w:val="0"/>
          <w:i w:val="0"/>
        </w:rPr>
        <w:t xml:space="preserve">; </w:t>
      </w:r>
      <w:r>
        <w:rPr>
          <w:b w:val="0"/>
          <w:i/>
        </w:rPr>
        <w:t>effigies</w:t>
      </w:r>
      <w:r>
        <w:rPr>
          <w:b w:val="0"/>
          <w:i w:val="0"/>
        </w:rPr>
        <w:t xml:space="preserve">; </w:t>
      </w:r>
      <w:r>
        <w:rPr>
          <w:b w:val="0"/>
          <w:i/>
        </w:rPr>
        <w:t>intentio</w:t>
      </w:r>
      <w:r>
        <w:rPr>
          <w:b w:val="0"/>
          <w:i w:val="0"/>
        </w:rPr>
        <w:t xml:space="preserve">; </w:t>
      </w:r>
      <w:r>
        <w:rPr>
          <w:b w:val="0"/>
          <w:i/>
        </w:rPr>
        <w:t>substantia</w:t>
      </w:r>
      <w:r>
        <w:rPr>
          <w:b w:val="0"/>
          <w:i w:val="0"/>
        </w:rPr>
        <w:t xml:space="preserve">; </w:t>
      </w:r>
      <w:r>
        <w:rPr>
          <w:b w:val="0"/>
          <w:i/>
        </w:rPr>
        <w:t>augurari</w:t>
      </w:r>
      <w:r>
        <w:rPr>
          <w:b w:val="0"/>
          <w:i w:val="0"/>
        </w:rPr>
        <w:t xml:space="preserve">; </w:t>
      </w:r>
      <w:r>
        <w:rPr>
          <w:b w:val="0"/>
          <w:i/>
        </w:rPr>
        <w:t>somniare</w:t>
      </w:r>
    </w:p>
    <w:p>
      <w:pPr>
        <w:keepNext/>
        <w:widowControl/>
      </w:pPr>
      <w:r>
        <w:rPr>
          <w:b/>
          <w:i w:val="0"/>
        </w:rPr>
        <w:t>The word.</w:t>
      </w:r>
    </w:p>
    <w:p>
      <w:pPr>
        <w:widowControl/>
      </w:pPr>
      <w:r>
        <w:rPr>
          <w:b w:val="0"/>
          <w:i w:val="0"/>
        </w:rPr>
        <w:t>Simulacrum, imago and effigies name likenesses or representations. Intentio here names a significant content discerned in connection with an image, such as this man’s goodness or friendship; it does not mean a future plan. Augurari and somniare mark conjectural or incomplete apprehension rather than full knowledge.</w:t>
      </w:r>
    </w:p>
    <w:p>
      <w:pPr>
        <w:keepNext/>
        <w:widowControl/>
      </w:pPr>
      <w:r>
        <w:rPr>
          <w:b/>
          <w:i w:val="0"/>
        </w:rPr>
        <w:t>In the Platonic Theology.</w:t>
      </w:r>
    </w:p>
    <w:p>
      <w:pPr>
        <w:widowControl/>
      </w:pPr>
      <w:r>
        <w:rPr>
          <w:b w:val="0"/>
          <w:i w:val="0"/>
        </w:rPr>
        <w:t>The opening image contains Plato’s stature, forehead, shoulders, colouring, eyes, brow, nose, mouth and voice. These details explain what the lower faculties can supply. Imagination assembles the picture but does not know whom it depicts or what sort of person he is. Phantasy makes the recognition and evaluative judgments. The contrast turns on the move from visible or audible features to what is being recognized through them.</w:t>
      </w:r>
    </w:p>
    <w:p>
      <w:pPr>
        <w:widowControl/>
      </w:pPr>
      <w:r>
        <w:rPr>
          <w:b w:val="0"/>
          <w:i w:val="0"/>
        </w:rPr>
        <w:t xml:space="preserve">Ficino does not simply grant phantasy knowledge of substance. </w:t>
      </w:r>
      <w:r>
        <w:t>“</w:t>
      </w:r>
      <w:r>
        <w:rPr>
          <w:b w:val="0"/>
          <w:i w:val="0"/>
        </w:rPr>
        <w:t>Some</w:t>
      </w:r>
      <w:r>
        <w:t>”</w:t>
      </w:r>
      <w:r>
        <w:rPr>
          <w:b w:val="0"/>
          <w:i w:val="0"/>
        </w:rPr>
        <w:t xml:space="preserve"> attribute to it a sense of substance, beauty, goodness and friendship; the Platonists nevertheless deny that it genuinely knows substance, because it does not recognize the account of substance. It at least divines that the approaching figure is a man and Plato. Its relation to incorporeals is described as a kind of dreaming. The double qualification of the intentions as incorporeal </w:t>
      </w:r>
      <w:r>
        <w:t>“</w:t>
      </w:r>
      <w:r>
        <w:rPr>
          <w:b w:val="0"/>
          <w:i w:val="0"/>
        </w:rPr>
        <w:t>in a manner</w:t>
      </w:r>
      <w:r>
        <w:t>”</w:t>
      </w:r>
      <w:r>
        <w:rPr>
          <w:b w:val="0"/>
          <w:i w:val="0"/>
        </w:rPr>
        <w:t xml:space="preserve"> matters: phantasy neither recognizes their incorporeality nor frees them from this person’s circumstances.</w:t>
      </w:r>
    </w:p>
    <w:p>
      <w:pPr>
        <w:widowControl/>
      </w:pPr>
      <w:r>
        <w:rPr>
          <w:b w:val="0"/>
          <w:i w:val="0"/>
        </w:rPr>
        <w:t>The vocabulary of painting, gathering, discerning, pronouncing and dreaming makes a fine-grained cognitive argument. The images do real work, but their possession alone does not constitute intellectual understanding. Conversely, calling an image immaterial in the limited sense of receiving no original bodily matter does not establish that its cognitive operation is independent of a bodily organ.</w:t>
      </w:r>
    </w:p>
    <w:p>
      <w:pPr>
        <w:keepNext/>
        <w:widowControl/>
      </w:pPr>
      <w:r>
        <w:rPr>
          <w:b/>
          <w:i w:val="0"/>
        </w:rPr>
        <w:t>Places to Read.</w:t>
      </w:r>
    </w:p>
    <w:p>
      <w:pPr>
        <w:ind w:left="187" w:hanging="187"/>
      </w:pPr>
      <w:r>
        <w:t xml:space="preserve">• </w:t>
      </w:r>
      <w:r>
        <w:rPr>
          <w:b/>
          <w:i w:val="0"/>
        </w:rPr>
        <w:t>VIII.1.1, PDF pp. 284–285.</w:t>
      </w:r>
      <w:r>
        <w:rPr>
          <w:b w:val="0"/>
          <w:i w:val="0"/>
        </w:rPr>
        <w:t xml:space="preserve"> The portrait distinguishes sensory features, imaginative collection, recognition and evaluative intention.</w:t>
      </w:r>
    </w:p>
    <w:p>
      <w:pPr>
        <w:ind w:left="187" w:hanging="187"/>
      </w:pPr>
      <w:r>
        <w:t xml:space="preserve">• </w:t>
      </w:r>
      <w:r>
        <w:rPr>
          <w:b/>
          <w:i w:val="0"/>
        </w:rPr>
        <w:t>VIII.1.2, PDF pp. 286–287.</w:t>
      </w:r>
      <w:r>
        <w:rPr>
          <w:b w:val="0"/>
          <w:i w:val="0"/>
        </w:rPr>
        <w:t xml:space="preserve"> Phantasy depicts Plato under the same place-and-time conditions as the embodied individual.</w:t>
      </w:r>
    </w:p>
    <w:p>
      <w:pPr>
        <w:keepNext/>
        <w:widowControl/>
      </w:pPr>
      <w:r>
        <w:rPr>
          <w:b/>
          <w:i w:val="0"/>
        </w:rPr>
        <w:t>In this edition.</w:t>
      </w:r>
    </w:p>
    <w:p>
      <w:pPr>
        <w:widowControl/>
      </w:pPr>
      <w:r>
        <w:rPr>
          <w:b w:val="0"/>
          <w:i w:val="0"/>
        </w:rPr>
        <w:t xml:space="preserve">The apparatus reports deletion of introspicit after auguratur in accordance with the 1482 correction list. </w:t>
      </w:r>
      <w:r>
        <w:t>“</w:t>
      </w:r>
      <w:r>
        <w:rPr>
          <w:b w:val="0"/>
          <w:i w:val="0"/>
        </w:rPr>
        <w:t>Intention</w:t>
      </w:r>
      <w:r>
        <w:t>”</w:t>
      </w:r>
      <w:r>
        <w:rPr>
          <w:b w:val="0"/>
          <w:i w:val="0"/>
        </w:rPr>
        <w:t xml:space="preserve"> is retained technically, and the repeated qualifications must remain visible. Disciplina in the list concerns the learning or pupil relationship, not merely external discipline.</w:t>
      </w:r>
    </w:p>
    <w:p>
      <w:pPr>
        <w:keepNext/>
        <w:widowControl/>
      </w:pPr>
      <w:r>
        <w:rPr>
          <w:b/>
          <w:i w:val="0"/>
        </w:rPr>
        <w:t>See also.</w:t>
      </w:r>
    </w:p>
    <w:p>
      <w:pPr>
        <w:widowControl/>
      </w:pPr>
      <w:hyperlink w:anchor="viii-four-stages">
        <w:r>
          <w:rPr>
            <w:color w:val="000000"/>
          </w:rPr>
          <w:t xml:space="preserve">Four stages of cognition</w:t>
        </w:r>
      </w:hyperlink>
      <w:r>
        <w:rPr>
          <w:b w:val="0"/>
          <w:i w:val="0"/>
        </w:rPr>
        <w:t xml:space="preserve">; </w:t>
      </w:r>
      <w:hyperlink w:anchor="viii-universal-idea">
        <w:r>
          <w:rPr>
            <w:color w:val="000000"/>
          </w:rPr>
          <w:t xml:space="preserve">Common nature, participation, and the divine Idea</w:t>
        </w:r>
      </w:hyperlink>
      <w:r>
        <w:rPr>
          <w:b w:val="0"/>
          <w:i w:val="0"/>
        </w:rPr>
        <w:t xml:space="preserve">; </w:t>
      </w:r>
      <w:hyperlink w:anchor="viii-innate-forms">
        <w:r>
          <w:rPr>
            <w:color w:val="000000"/>
          </w:rPr>
          <w:t xml:space="preserve">Innate forms and the stimulus of images</w:t>
        </w:r>
      </w:hyperlink>
    </w:p>
    <w:p>
      <w:pPr>
        <w:pStyle w:val="Heading2"/>
      </w:pPr>
      <w:bookmarkStart w:id="146" w:name="images-migration-and-perfect-agent"/>
      <w:r>
        <w:rPr>
          <w:b w:val="0"/>
          <w:i w:val="0"/>
        </w:rPr>
        <w:t>Images, migration and the perfect agent</w:t>
      </w:r>
      <w:bookmarkEnd w:id="146"/>
    </w:p>
    <w:p>
      <w:pPr>
        <w:keepNext/>
        <w:widowControl/>
      </w:pPr>
      <w:r>
        <w:rPr>
          <w:b/>
          <w:i w:val="0"/>
        </w:rPr>
        <w:t>Latin:</w:t>
      </w:r>
      <w:r>
        <w:rPr>
          <w:b w:val="0"/>
          <w:i w:val="0"/>
        </w:rPr>
        <w:t xml:space="preserve"> </w:t>
      </w:r>
      <w:r>
        <w:rPr>
          <w:b w:val="0"/>
          <w:i/>
        </w:rPr>
        <w:t>imago</w:t>
      </w:r>
      <w:r>
        <w:rPr>
          <w:b w:val="0"/>
          <w:i w:val="0"/>
        </w:rPr>
        <w:t xml:space="preserve">; </w:t>
      </w:r>
      <w:r>
        <w:rPr>
          <w:b w:val="0"/>
          <w:i/>
        </w:rPr>
        <w:t>subiectum</w:t>
      </w:r>
      <w:r>
        <w:rPr>
          <w:b w:val="0"/>
          <w:i w:val="0"/>
        </w:rPr>
        <w:t xml:space="preserve">; </w:t>
      </w:r>
      <w:r>
        <w:rPr>
          <w:b w:val="0"/>
          <w:i/>
        </w:rPr>
        <w:t>insinuare</w:t>
      </w:r>
      <w:r>
        <w:rPr>
          <w:b w:val="0"/>
          <w:i w:val="0"/>
        </w:rPr>
        <w:t xml:space="preserve">; </w:t>
      </w:r>
      <w:r>
        <w:rPr>
          <w:b w:val="0"/>
          <w:i/>
        </w:rPr>
        <w:t>figurare</w:t>
      </w:r>
      <w:r>
        <w:rPr>
          <w:b w:val="0"/>
          <w:i w:val="0"/>
        </w:rPr>
        <w:t xml:space="preserve">; </w:t>
      </w:r>
      <w:r>
        <w:rPr>
          <w:b w:val="0"/>
          <w:i/>
        </w:rPr>
        <w:t>perfectus agens</w:t>
      </w:r>
      <w:r>
        <w:rPr>
          <w:b w:val="0"/>
          <w:i w:val="0"/>
        </w:rPr>
        <w:t xml:space="preserve">; </w:t>
      </w:r>
      <w:r>
        <w:rPr>
          <w:b w:val="0"/>
          <w:i/>
        </w:rPr>
        <w:t>deficere</w:t>
      </w:r>
      <w:r>
        <w:rPr>
          <w:b w:val="0"/>
          <w:i w:val="0"/>
        </w:rPr>
        <w:t xml:space="preserve">; </w:t>
      </w:r>
      <w:r>
        <w:rPr>
          <w:b w:val="0"/>
          <w:i/>
        </w:rPr>
        <w:t>memoriter tenere</w:t>
      </w:r>
    </w:p>
    <w:p>
      <w:pPr>
        <w:keepNext/>
        <w:widowControl/>
      </w:pPr>
      <w:r>
        <w:rPr>
          <w:b/>
          <w:i w:val="0"/>
        </w:rPr>
        <w:t>The word.</w:t>
      </w:r>
    </w:p>
    <w:p>
      <w:pPr>
        <w:widowControl/>
      </w:pPr>
      <w:r>
        <w:rPr>
          <w:b w:val="0"/>
          <w:i w:val="0"/>
        </w:rPr>
        <w:t>Insinuare means inserting or insinuating into; the proposed transfer is rejected. Figurare forms an image, requiring an agent capable of the act. Perfectus describes an agent’s operative completeness, not moral perfection. Memoriter tenere is retaining in memory.</w:t>
      </w:r>
    </w:p>
    <w:p>
      <w:pPr>
        <w:keepNext/>
        <w:widowControl/>
      </w:pPr>
      <w:r>
        <w:rPr>
          <w:b/>
          <w:i w:val="0"/>
        </w:rPr>
        <w:t>In the Platonic Theology.</w:t>
      </w:r>
    </w:p>
    <w:p>
      <w:pPr>
        <w:widowControl/>
      </w:pPr>
      <w:r>
        <w:rPr>
          <w:b w:val="0"/>
          <w:i w:val="0"/>
        </w:rPr>
        <w:t>The final unit blocks three attempted replacements for an enduring knowing soul. First, an image cannot migrate from an old soul into a new one as the former flows away: Ficino invokes the principle that a quality does not pass numerically from one subject into another. Second, the departing soul cannot impress a similar new image in its successor, because an act of formation requires a complete agent and the perishing agent is failing. Third, the incoming soul cannot form itself at the very moment of its birth, when it too is incomplete.</w:t>
      </w:r>
    </w:p>
    <w:p>
      <w:pPr>
        <w:widowControl/>
      </w:pPr>
      <w:r>
        <w:rPr>
          <w:b w:val="0"/>
          <w:i w:val="0"/>
        </w:rPr>
        <w:t>These are distinct failures: transfer of the same quality, productive copying by the former subject and self-formation by the new subject. The conclusion is that a soul flowing like body or quality cannot retain old images and knowledge. Ficino has not merely asserted that memory contents are incorporeal; he has pressed the need for a stable bearer and adequate cause across retention and recognition. The premise about qualities and subjects belongs to his metaphysical account and should remain explicit rather than being passed off as an uncontroversial modern theory of information transfer.</w:t>
      </w:r>
    </w:p>
    <w:p>
      <w:pPr>
        <w:keepNext/>
        <w:widowControl/>
      </w:pPr>
      <w:r>
        <w:rPr>
          <w:b/>
          <w:i w:val="0"/>
        </w:rPr>
        <w:t>Places to Read.</w:t>
      </w:r>
    </w:p>
    <w:p>
      <w:pPr>
        <w:ind w:left="187" w:hanging="187"/>
      </w:pPr>
      <w:r>
        <w:t xml:space="preserve">• </w:t>
      </w:r>
      <w:r>
        <w:rPr>
          <w:b/>
          <w:i w:val="0"/>
        </w:rPr>
        <w:t>VI.13.11; source PDF pp. 228, 229</w:t>
      </w:r>
      <w:r>
        <w:rPr>
          <w:b w:val="0"/>
          <w:i w:val="0"/>
        </w:rPr>
        <w:t>. Three transmission strategies fail for different metaphysical reasons, closing the book.</w:t>
      </w:r>
    </w:p>
    <w:p>
      <w:pPr>
        <w:ind w:left="187" w:hanging="187"/>
      </w:pPr>
      <w:r>
        <w:t xml:space="preserve">• </w:t>
      </w:r>
      <w:r>
        <w:rPr>
          <w:b/>
          <w:i w:val="0"/>
        </w:rPr>
        <w:t>VI.13.6, VI.13.9, VI.13.10; source PDF pp. 224, 225, 226, 227</w:t>
      </w:r>
      <w:r>
        <w:rPr>
          <w:b w:val="0"/>
          <w:i w:val="0"/>
        </w:rPr>
        <w:t>. Recognition and the stable-craftsman reply set up this final test.</w:t>
      </w:r>
    </w:p>
    <w:p>
      <w:pPr>
        <w:keepNext/>
        <w:widowControl/>
      </w:pPr>
      <w:r>
        <w:rPr>
          <w:b/>
          <w:i w:val="0"/>
        </w:rPr>
        <w:t>In this edition.</w:t>
      </w:r>
    </w:p>
    <w:p>
      <w:pPr>
        <w:widowControl/>
      </w:pPr>
      <w:r>
        <w:rPr>
          <w:b w:val="0"/>
          <w:i w:val="0"/>
        </w:rPr>
        <w:t xml:space="preserve">The apparatus preserves imaginem aliam suae similem, </w:t>
      </w:r>
      <w:r>
        <w:t>“</w:t>
      </w:r>
      <w:r>
        <w:rPr>
          <w:b w:val="0"/>
          <w:i w:val="0"/>
        </w:rPr>
        <w:t>another image like its own,</w:t>
      </w:r>
      <w:r>
        <w:t>”</w:t>
      </w:r>
      <w:r>
        <w:rPr>
          <w:b w:val="0"/>
          <w:i w:val="0"/>
        </w:rPr>
        <w:t xml:space="preserve"> against later sive similem and adopts corrected Figurare quidem. These readings distinguish copying from numerical migration, precisely the distinction the argument needs.</w:t>
      </w:r>
    </w:p>
    <w:p>
      <w:pPr>
        <w:keepNext/>
        <w:widowControl/>
      </w:pPr>
      <w:r>
        <w:rPr>
          <w:b/>
          <w:i w:val="0"/>
        </w:rPr>
        <w:t>See also.</w:t>
      </w:r>
    </w:p>
    <w:p>
      <w:pPr>
        <w:widowControl/>
      </w:pPr>
      <w:hyperlink w:anchor="stable-craftsman-and-river-reflection">
        <w:r>
          <w:rPr>
            <w:color w:val="000000"/>
          </w:rPr>
          <w:t xml:space="preserve">Stable craftsman and the river reflection</w:t>
        </w:r>
      </w:hyperlink>
      <w:r>
        <w:rPr>
          <w:b w:val="0"/>
          <w:i w:val="0"/>
        </w:rPr>
        <w:t xml:space="preserve">; </w:t>
      </w:r>
      <w:hyperlink w:anchor="substantial-form-and-receiving-subject">
        <w:r>
          <w:rPr>
            <w:color w:val="000000"/>
          </w:rPr>
          <w:t xml:space="preserve">Substantial form and the receiving subject</w:t>
        </w:r>
      </w:hyperlink>
    </w:p>
    <w:p>
      <w:pPr>
        <w:pStyle w:val="Heading2"/>
      </w:pPr>
      <w:bookmarkStart w:id="147" w:name="viii-immediate-reflexive"/>
      <w:r>
        <w:rPr>
          <w:b w:val="0"/>
          <w:i w:val="0"/>
        </w:rPr>
        <w:t>Immediate intellection and the return to particulars</w:t>
      </w:r>
      <w:bookmarkEnd w:id="147"/>
    </w:p>
    <w:p>
      <w:pPr>
        <w:keepNext/>
        <w:widowControl/>
      </w:pPr>
      <w:r>
        <w:rPr>
          <w:b/>
          <w:i w:val="0"/>
        </w:rPr>
        <w:t>Latin:</w:t>
      </w:r>
      <w:r>
        <w:rPr>
          <w:b w:val="0"/>
          <w:i w:val="0"/>
        </w:rPr>
        <w:t xml:space="preserve"> </w:t>
      </w:r>
      <w:r>
        <w:rPr>
          <w:b w:val="0"/>
          <w:i/>
        </w:rPr>
        <w:t>statim</w:t>
      </w:r>
      <w:r>
        <w:rPr>
          <w:b w:val="0"/>
          <w:i w:val="0"/>
        </w:rPr>
        <w:t xml:space="preserve">; </w:t>
      </w:r>
      <w:r>
        <w:rPr>
          <w:b w:val="0"/>
          <w:i/>
        </w:rPr>
        <w:t>subito</w:t>
      </w:r>
      <w:r>
        <w:rPr>
          <w:b w:val="0"/>
          <w:i w:val="0"/>
        </w:rPr>
        <w:t xml:space="preserve">; </w:t>
      </w:r>
      <w:r>
        <w:rPr>
          <w:b w:val="0"/>
          <w:i/>
        </w:rPr>
        <w:t>discursus</w:t>
      </w:r>
      <w:r>
        <w:rPr>
          <w:b w:val="0"/>
          <w:i w:val="0"/>
        </w:rPr>
        <w:t xml:space="preserve">; </w:t>
      </w:r>
      <w:r>
        <w:rPr>
          <w:b w:val="0"/>
          <w:i/>
        </w:rPr>
        <w:t>abstractio</w:t>
      </w:r>
      <w:r>
        <w:rPr>
          <w:b w:val="0"/>
          <w:i w:val="0"/>
        </w:rPr>
        <w:t xml:space="preserve">; </w:t>
      </w:r>
      <w:r>
        <w:rPr>
          <w:b w:val="0"/>
          <w:i/>
        </w:rPr>
        <w:t>actus reflexus</w:t>
      </w:r>
      <w:r>
        <w:rPr>
          <w:b w:val="0"/>
          <w:i w:val="0"/>
        </w:rPr>
        <w:t xml:space="preserve">; </w:t>
      </w:r>
      <w:r>
        <w:rPr>
          <w:b w:val="0"/>
          <w:i/>
        </w:rPr>
        <w:t>particulare</w:t>
      </w:r>
    </w:p>
    <w:p>
      <w:pPr>
        <w:keepNext/>
        <w:widowControl/>
      </w:pPr>
      <w:r>
        <w:rPr>
          <w:b/>
          <w:i w:val="0"/>
        </w:rPr>
        <w:t>The word.</w:t>
      </w:r>
    </w:p>
    <w:p>
      <w:pPr>
        <w:widowControl/>
      </w:pPr>
      <w:r>
        <w:rPr>
          <w:b w:val="0"/>
          <w:i w:val="0"/>
        </w:rPr>
        <w:t>Immediate apprehension is marked by statim and subito; discursus is the movement through intermediate considerations. Abstraction frees an intelligible form from singular material conditions. A reflexive act turns intellect back toward the particular image that occasioned its activity.</w:t>
      </w:r>
    </w:p>
    <w:p>
      <w:pPr>
        <w:keepNext/>
        <w:widowControl/>
      </w:pPr>
      <w:r>
        <w:rPr>
          <w:b/>
          <w:i w:val="0"/>
        </w:rPr>
        <w:t>In the Platonic Theology.</w:t>
      </w:r>
    </w:p>
    <w:p>
      <w:pPr>
        <w:widowControl/>
      </w:pPr>
      <w:r>
        <w:rPr>
          <w:b w:val="0"/>
          <w:i w:val="0"/>
        </w:rPr>
        <w:t>The argument about a shared nature and its divine exemplar could suggest that intellect always calculates its way to a universal. Ficino explicitly corrects that reading. By its natural power intellect apprehends common nature as soon as the particular image is present in phantasy. The long demonstration explains what this apprehension involves; it need not reproduce its actual temporal course.</w:t>
      </w:r>
    </w:p>
    <w:p>
      <w:pPr>
        <w:widowControl/>
      </w:pPr>
      <w:r>
        <w:rPr>
          <w:b w:val="0"/>
          <w:i w:val="0"/>
        </w:rPr>
        <w:t>A second correction prevents universality from becoming an exclusion of particulars. Intellect must know both universal and particular in order to compare them, and it also knows lower faculties and their operations. The order defended with broad Platonic and Peripatetic agreement is that universal nature is known first, through an abstract intelligible form, while the particular is reached in a second, reflexive movement toward the phantastic image. The image prompts conception; it is not simply identical with the universal form.</w:t>
      </w:r>
    </w:p>
    <w:p>
      <w:pPr>
        <w:widowControl/>
      </w:pPr>
      <w:r>
        <w:rPr>
          <w:b w:val="0"/>
          <w:i w:val="0"/>
        </w:rPr>
        <w:t>The inference to incorporeality rests on what is most natural to mind: its first, direct movement goes toward what is free from material conditions. This is stronger than the earlier claim that nutritive and sensory soul is not spatially divided through the body. Ficino argues that intellect’s proper operation leaves matter altogether, supporting a further conclusion about its origin and survival. These are philosophical inferences from the stipulated operations, not observations that ordinary learning never takes time.</w:t>
      </w:r>
    </w:p>
    <w:p>
      <w:pPr>
        <w:keepNext/>
        <w:widowControl/>
      </w:pPr>
      <w:r>
        <w:rPr>
          <w:b/>
          <w:i w:val="0"/>
        </w:rPr>
        <w:t>Places to Read.</w:t>
      </w:r>
    </w:p>
    <w:p>
      <w:pPr>
        <w:ind w:left="187" w:hanging="187"/>
      </w:pPr>
      <w:r>
        <w:t xml:space="preserve">• </w:t>
      </w:r>
      <w:r>
        <w:rPr>
          <w:b/>
          <w:i w:val="0"/>
        </w:rPr>
        <w:t>VIII.1.4, PDF pp. 290–291.</w:t>
      </w:r>
      <w:r>
        <w:rPr>
          <w:b w:val="0"/>
          <w:i w:val="0"/>
        </w:rPr>
        <w:t xml:space="preserve"> Natural intellectual apprehension needs no preliminary discursive argument.</w:t>
      </w:r>
    </w:p>
    <w:p>
      <w:pPr>
        <w:ind w:left="187" w:hanging="187"/>
      </w:pPr>
      <w:r>
        <w:t xml:space="preserve">• </w:t>
      </w:r>
      <w:r>
        <w:rPr>
          <w:b/>
          <w:i w:val="0"/>
        </w:rPr>
        <w:t>VIII.1.5, PDF pp. 292–293.</w:t>
      </w:r>
      <w:r>
        <w:rPr>
          <w:b w:val="0"/>
          <w:i w:val="0"/>
        </w:rPr>
        <w:t xml:space="preserve"> The particular is known by a second return through act and form to the initiating image.</w:t>
      </w:r>
    </w:p>
    <w:p>
      <w:pPr>
        <w:ind w:left="187" w:hanging="187"/>
      </w:pPr>
      <w:r>
        <w:t xml:space="preserve">• </w:t>
      </w:r>
      <w:r>
        <w:rPr>
          <w:b/>
          <w:i w:val="0"/>
        </w:rPr>
        <w:t>VIII.3.2, VIII.3.3, PDF pp. 308–309.</w:t>
      </w:r>
      <w:r>
        <w:rPr>
          <w:b w:val="0"/>
          <w:i w:val="0"/>
        </w:rPr>
        <w:t xml:space="preserve"> Lengthy preparation is later reconciled with sudden realization.</w:t>
      </w:r>
    </w:p>
    <w:p>
      <w:pPr>
        <w:keepNext/>
        <w:widowControl/>
      </w:pPr>
      <w:r>
        <w:rPr>
          <w:b/>
          <w:i w:val="0"/>
        </w:rPr>
        <w:t>In this edition.</w:t>
      </w:r>
    </w:p>
    <w:p>
      <w:pPr>
        <w:widowControl/>
      </w:pPr>
      <w:r>
        <w:rPr>
          <w:b w:val="0"/>
          <w:i w:val="0"/>
        </w:rPr>
        <w:t xml:space="preserve">The emphatic statim, simul ac, subito, inquam is intentionally repeated. </w:t>
      </w:r>
      <w:r>
        <w:t>“</w:t>
      </w:r>
      <w:r>
        <w:rPr>
          <w:b w:val="0"/>
          <w:i w:val="0"/>
        </w:rPr>
        <w:t>Absolute</w:t>
      </w:r>
      <w:r>
        <w:t>”</w:t>
      </w:r>
      <w:r>
        <w:rPr>
          <w:b w:val="0"/>
          <w:i w:val="0"/>
        </w:rPr>
        <w:t xml:space="preserve"> translates a condition of release from restrictions here; it should not automatically imply that the human intellect is the unconditioned First Cause.</w:t>
      </w:r>
    </w:p>
    <w:p>
      <w:pPr>
        <w:keepNext/>
        <w:widowControl/>
      </w:pPr>
      <w:r>
        <w:rPr>
          <w:b/>
          <w:i w:val="0"/>
        </w:rPr>
        <w:t>See also.</w:t>
      </w:r>
    </w:p>
    <w:p>
      <w:pPr>
        <w:widowControl/>
      </w:pPr>
      <w:hyperlink w:anchor="viii-sudden-insight">
        <w:r>
          <w:rPr>
            <w:color w:val="000000"/>
          </w:rPr>
          <w:t xml:space="preserve">Sudden insight, habituation, and the hare</w:t>
        </w:r>
      </w:hyperlink>
      <w:r>
        <w:rPr>
          <w:b w:val="0"/>
          <w:i w:val="0"/>
        </w:rPr>
        <w:t xml:space="preserve">; </w:t>
      </w:r>
      <w:hyperlink w:anchor="viii-universality-law">
        <w:r>
          <w:rPr>
            <w:color w:val="000000"/>
          </w:rPr>
          <w:t xml:space="preserve">Universality, law, and material restriction</w:t>
        </w:r>
      </w:hyperlink>
      <w:r>
        <w:rPr>
          <w:b w:val="0"/>
          <w:i w:val="0"/>
        </w:rPr>
        <w:t xml:space="preserve">; </w:t>
      </w:r>
      <w:hyperlink w:anchor="viii-reflexive-will">
        <w:r>
          <w:rPr>
            <w:color w:val="000000"/>
          </w:rPr>
          <w:t xml:space="preserve">Reflexive understanding and willing</w:t>
        </w:r>
      </w:hyperlink>
    </w:p>
    <w:p>
      <w:pPr>
        <w:pStyle w:val="Heading2"/>
      </w:pPr>
      <w:bookmarkStart w:id="148" w:name="inclination-and-independence"/>
      <w:r>
        <w:rPr>
          <w:b w:val="0"/>
          <w:i w:val="0"/>
        </w:rPr>
        <w:t>Inclination and independence</w:t>
      </w:r>
      <w:bookmarkEnd w:id="148"/>
    </w:p>
    <w:p>
      <w:pPr>
        <w:keepNext/>
        <w:widowControl/>
      </w:pPr>
      <w:r>
        <w:rPr>
          <w:b/>
          <w:i w:val="0"/>
        </w:rPr>
        <w:t>Latin:</w:t>
      </w:r>
      <w:r>
        <w:rPr>
          <w:b w:val="0"/>
          <w:i w:val="0"/>
        </w:rPr>
        <w:t xml:space="preserve"> </w:t>
      </w:r>
      <w:r>
        <w:rPr>
          <w:b w:val="0"/>
          <w:i/>
        </w:rPr>
        <w:t>inclinari</w:t>
      </w:r>
      <w:r>
        <w:rPr>
          <w:b w:val="0"/>
          <w:i w:val="0"/>
        </w:rPr>
        <w:t xml:space="preserve">; </w:t>
      </w:r>
      <w:r>
        <w:rPr>
          <w:b w:val="0"/>
          <w:i/>
        </w:rPr>
        <w:t>dependere</w:t>
      </w:r>
      <w:r>
        <w:rPr>
          <w:b w:val="0"/>
          <w:i w:val="0"/>
        </w:rPr>
        <w:t xml:space="preserve">; </w:t>
      </w:r>
      <w:r>
        <w:rPr>
          <w:b w:val="0"/>
          <w:i/>
        </w:rPr>
        <w:t>alligare</w:t>
      </w:r>
      <w:r>
        <w:rPr>
          <w:b w:val="0"/>
          <w:i w:val="0"/>
        </w:rPr>
        <w:t xml:space="preserve">; </w:t>
      </w:r>
      <w:r>
        <w:rPr>
          <w:b w:val="0"/>
          <w:i/>
        </w:rPr>
        <w:t>immergere</w:t>
      </w:r>
      <w:r>
        <w:rPr>
          <w:b w:val="0"/>
          <w:i w:val="0"/>
        </w:rPr>
        <w:t xml:space="preserve">; </w:t>
      </w:r>
      <w:r>
        <w:rPr>
          <w:b w:val="0"/>
          <w:i/>
        </w:rPr>
        <w:t>emergere</w:t>
      </w:r>
      <w:r>
        <w:rPr>
          <w:b w:val="0"/>
          <w:i w:val="0"/>
        </w:rPr>
        <w:t xml:space="preserve">; </w:t>
      </w:r>
      <w:r>
        <w:rPr>
          <w:b w:val="0"/>
          <w:i/>
        </w:rPr>
        <w:t>separabilis</w:t>
      </w:r>
      <w:r>
        <w:rPr>
          <w:b w:val="0"/>
          <w:i w:val="0"/>
        </w:rPr>
        <w:t xml:space="preserve">; </w:t>
      </w:r>
      <w:r>
        <w:rPr>
          <w:b w:val="0"/>
          <w:i/>
        </w:rPr>
        <w:t>mundi nodus</w:t>
      </w:r>
      <w:r>
        <w:rPr>
          <w:b w:val="0"/>
          <w:i w:val="0"/>
        </w:rPr>
        <w:t xml:space="preserve">; </w:t>
      </w:r>
      <w:r>
        <w:rPr>
          <w:b w:val="0"/>
          <w:i/>
        </w:rPr>
        <w:t>patera</w:t>
      </w:r>
    </w:p>
    <w:p>
      <w:pPr>
        <w:keepNext/>
        <w:widowControl/>
      </w:pPr>
      <w:r>
        <w:rPr>
          <w:b/>
          <w:i w:val="0"/>
        </w:rPr>
        <w:t>The word.</w:t>
      </w:r>
    </w:p>
    <w:p>
      <w:pPr>
        <w:widowControl/>
      </w:pPr>
      <w:r>
        <w:rPr>
          <w:b w:val="0"/>
          <w:i w:val="0"/>
        </w:rPr>
        <w:t>Inclinari means inclining toward something; dependere means depending upon it. The contrast is substantive. Immersion, emergence and binding give bodily attachment a spatial image, while separabilis names capacity for separation. Patera is a bowl; mundi nodus is the world’s knot or bond.</w:t>
      </w:r>
    </w:p>
    <w:p>
      <w:pPr>
        <w:keepNext/>
        <w:widowControl/>
      </w:pPr>
      <w:r>
        <w:rPr>
          <w:b/>
          <w:i w:val="0"/>
        </w:rPr>
        <w:t>In the Platonic Theology.</w:t>
      </w:r>
    </w:p>
    <w:p>
      <w:pPr>
        <w:widowControl/>
      </w:pPr>
      <w:r>
        <w:rPr>
          <w:b w:val="0"/>
          <w:i w:val="0"/>
        </w:rPr>
        <w:t>V.5 distinguishes soul from angel by orientation, not by making the soul material. Angel neither depends on matter nor inclines toward it. Soul is nearer matter and bends toward its animation, yet does not draw its own essence from it. Ficino relates the name anima to this inclination. This is his explanatory account, not an independently established linguistic etymology.</w:t>
      </w:r>
    </w:p>
    <w:p>
      <w:pPr>
        <w:widowControl/>
      </w:pPr>
      <w:r>
        <w:rPr>
          <w:b w:val="0"/>
          <w:i w:val="0"/>
        </w:rPr>
        <w:t>Four arguments secure independence. The causal ranking has already removed matter as soul’s cause. The second argument says a principle immersed in matter could not rise to the divine and join lowest to highest. The third moves from primary self-motion through free activity to circular return into itself. The fourth says the principle that first moves and forms matter rules rather than mixes with it.</w:t>
      </w:r>
    </w:p>
    <w:p>
      <w:pPr>
        <w:widowControl/>
      </w:pPr>
      <w:r>
        <w:rPr>
          <w:b w:val="0"/>
          <w:i w:val="0"/>
        </w:rPr>
        <w:t xml:space="preserve">The ensuing consequences are separately stated. Soul has no quantitative parts to scatter, no bodily foundation whose removal would make it collapse, no elemental battle entering its essence, and no capacity to receive an alien harmful quality in the material manner. None of these claims requires that the embodied soul have no relation to a body. </w:t>
      </w:r>
      <w:r>
        <w:t>“</w:t>
      </w:r>
      <w:r>
        <w:rPr>
          <w:b w:val="0"/>
          <w:i w:val="0"/>
        </w:rPr>
        <w:t>Separated</w:t>
      </w:r>
      <w:r>
        <w:t>”</w:t>
      </w:r>
      <w:r>
        <w:rPr>
          <w:b w:val="0"/>
          <w:i w:val="0"/>
        </w:rPr>
        <w:t xml:space="preserve"> is explained as separable in potency at the end of V.5.9.</w:t>
      </w:r>
    </w:p>
    <w:p>
      <w:pPr>
        <w:widowControl/>
      </w:pPr>
      <w:r>
        <w:rPr>
          <w:b w:val="0"/>
          <w:i w:val="0"/>
        </w:rPr>
        <w:t>The mixing-bowl of souls, attributed to Plato’s Timaeus, supplies an image for the third essence as seat of rational souls. It should not be read as a physical container in which soul-parts are stirred together. The same chapter has excluded quantitative composition.</w:t>
      </w:r>
    </w:p>
    <w:p>
      <w:pPr>
        <w:keepNext/>
        <w:widowControl/>
      </w:pPr>
      <w:r>
        <w:rPr>
          <w:b/>
          <w:i w:val="0"/>
        </w:rPr>
        <w:t>Places to Read.</w:t>
      </w:r>
    </w:p>
    <w:p>
      <w:pPr>
        <w:ind w:left="187" w:hanging="187"/>
      </w:pPr>
      <w:r>
        <w:t xml:space="preserve">• </w:t>
      </w:r>
      <w:r>
        <w:rPr>
          <w:b/>
          <w:i w:val="0"/>
        </w:rPr>
        <w:t>V.5.5, V.5.6, PDF 28–29.</w:t>
      </w:r>
      <w:r>
        <w:rPr>
          <w:b w:val="0"/>
          <w:i w:val="0"/>
        </w:rPr>
        <w:t xml:space="preserve"> Soul’s inclination is distinguished from causal dependence, and the prior argument is recalled.</w:t>
      </w:r>
    </w:p>
    <w:p>
      <w:pPr>
        <w:ind w:left="187" w:hanging="187"/>
      </w:pPr>
      <w:r>
        <w:t xml:space="preserve">• </w:t>
      </w:r>
      <w:r>
        <w:rPr>
          <w:b/>
          <w:i w:val="0"/>
        </w:rPr>
        <w:t>V.5.7, V.5.8, PDF 30–31.</w:t>
      </w:r>
      <w:r>
        <w:rPr>
          <w:b w:val="0"/>
          <w:i w:val="0"/>
        </w:rPr>
        <w:t xml:space="preserve"> The world’s bond and circular self-return argue for material independence.</w:t>
      </w:r>
    </w:p>
    <w:p>
      <w:pPr>
        <w:ind w:left="187" w:hanging="187"/>
      </w:pPr>
      <w:r>
        <w:t xml:space="preserve">• </w:t>
      </w:r>
      <w:r>
        <w:rPr>
          <w:b/>
          <w:i w:val="0"/>
        </w:rPr>
        <w:t>V.5.9, PDF 30–31.</w:t>
      </w:r>
      <w:r>
        <w:rPr>
          <w:b w:val="0"/>
          <w:i w:val="0"/>
        </w:rPr>
        <w:t xml:space="preserve"> Rule, separability and absence of bodily routes to destruction are developed together.</w:t>
      </w:r>
    </w:p>
    <w:p>
      <w:pPr>
        <w:keepNext/>
        <w:widowControl/>
      </w:pPr>
      <w:r>
        <w:rPr>
          <w:b/>
          <w:i w:val="0"/>
        </w:rPr>
        <w:t>In this edition.</w:t>
      </w:r>
    </w:p>
    <w:p>
      <w:pPr>
        <w:widowControl/>
      </w:pPr>
      <w:r>
        <w:rPr>
          <w:b w:val="0"/>
          <w:i w:val="0"/>
        </w:rPr>
        <w:t xml:space="preserve">The apparatus preserves the repeated inclination/dependence contrast rather than treating the words as synonyms. </w:t>
      </w:r>
      <w:r>
        <w:t>“</w:t>
      </w:r>
      <w:r>
        <w:rPr>
          <w:b w:val="0"/>
          <w:i w:val="0"/>
        </w:rPr>
        <w:t>Mixing-bowl</w:t>
      </w:r>
      <w:r>
        <w:t>”</w:t>
      </w:r>
      <w:r>
        <w:rPr>
          <w:b w:val="0"/>
          <w:i w:val="0"/>
        </w:rPr>
        <w:t xml:space="preserve"> translates Ficino’s patera and attribution; this companion does not claim to have independently checked an exact quotation from Plato.</w:t>
      </w:r>
    </w:p>
    <w:p>
      <w:pPr>
        <w:keepNext/>
        <w:widowControl/>
      </w:pPr>
      <w:r>
        <w:rPr>
          <w:b/>
          <w:i w:val="0"/>
        </w:rPr>
        <w:t>See also.</w:t>
      </w:r>
    </w:p>
    <w:p>
      <w:pPr>
        <w:widowControl/>
      </w:pPr>
      <w:hyperlink w:anchor="four-causes-and-graded-dependence">
        <w:r>
          <w:rPr>
            <w:color w:val="000000"/>
          </w:rPr>
          <w:t xml:space="preserve">Four causes and graded dependence</w:t>
        </w:r>
      </w:hyperlink>
      <w:r>
        <w:rPr>
          <w:b w:val="0"/>
          <w:i w:val="0"/>
        </w:rPr>
        <w:t xml:space="preserve">; </w:t>
      </w:r>
      <w:hyperlink w:anchor="soul-as-universal-bond">
        <w:r>
          <w:rPr>
            <w:color w:val="000000"/>
          </w:rPr>
          <w:t xml:space="preserve">Soul as universal bond</w:t>
        </w:r>
      </w:hyperlink>
      <w:r>
        <w:rPr>
          <w:b w:val="0"/>
          <w:i w:val="0"/>
        </w:rPr>
        <w:t xml:space="preserve">; </w:t>
      </w:r>
      <w:hyperlink w:anchor="passivity-and-bodily-affection">
        <w:r>
          <w:rPr>
            <w:color w:val="000000"/>
          </w:rPr>
          <w:t xml:space="preserve">Passivity and bodily affection</w:t>
        </w:r>
      </w:hyperlink>
    </w:p>
    <w:p>
      <w:pPr>
        <w:pStyle w:val="Heading2"/>
      </w:pPr>
      <w:bookmarkStart w:id="149" w:name="viii-individual-perpetuity"/>
      <w:r>
        <w:rPr>
          <w:b w:val="0"/>
          <w:i w:val="0"/>
        </w:rPr>
        <w:t>Individual immortality and the scope of the conclusion</w:t>
      </w:r>
      <w:bookmarkEnd w:id="149"/>
    </w:p>
    <w:p>
      <w:pPr>
        <w:keepNext/>
        <w:widowControl/>
      </w:pPr>
      <w:r>
        <w:rPr>
          <w:b/>
          <w:i w:val="0"/>
        </w:rPr>
        <w:t>Latin:</w:t>
      </w:r>
      <w:r>
        <w:rPr>
          <w:b w:val="0"/>
          <w:i w:val="0"/>
        </w:rPr>
        <w:t xml:space="preserve"> </w:t>
      </w:r>
      <w:r>
        <w:rPr>
          <w:b w:val="0"/>
          <w:i/>
        </w:rPr>
        <w:t>immortalis</w:t>
      </w:r>
      <w:r>
        <w:rPr>
          <w:b w:val="0"/>
          <w:i w:val="0"/>
        </w:rPr>
        <w:t xml:space="preserve">; </w:t>
      </w:r>
      <w:r>
        <w:rPr>
          <w:b w:val="0"/>
          <w:i/>
        </w:rPr>
        <w:t>perpetuus</w:t>
      </w:r>
      <w:r>
        <w:rPr>
          <w:b w:val="0"/>
          <w:i w:val="0"/>
        </w:rPr>
        <w:t xml:space="preserve">; </w:t>
      </w:r>
      <w:r>
        <w:rPr>
          <w:b w:val="0"/>
          <w:i/>
        </w:rPr>
        <w:t>sempiternus</w:t>
      </w:r>
      <w:r>
        <w:rPr>
          <w:b w:val="0"/>
          <w:i w:val="0"/>
        </w:rPr>
        <w:t xml:space="preserve">; </w:t>
      </w:r>
      <w:r>
        <w:rPr>
          <w:b w:val="0"/>
          <w:i/>
        </w:rPr>
        <w:t>futurus semper</w:t>
      </w:r>
      <w:r>
        <w:rPr>
          <w:b w:val="0"/>
          <w:i w:val="0"/>
        </w:rPr>
        <w:t xml:space="preserve">; </w:t>
      </w:r>
      <w:r>
        <w:rPr>
          <w:b w:val="0"/>
          <w:i/>
        </w:rPr>
        <w:t>indissolubilis</w:t>
      </w:r>
      <w:r>
        <w:rPr>
          <w:b w:val="0"/>
          <w:i w:val="0"/>
        </w:rPr>
        <w:t xml:space="preserve">; </w:t>
      </w:r>
      <w:r>
        <w:rPr>
          <w:b w:val="0"/>
          <w:i/>
        </w:rPr>
        <w:t>vivere</w:t>
      </w:r>
    </w:p>
    <w:p>
      <w:pPr>
        <w:keepNext/>
        <w:widowControl/>
      </w:pPr>
      <w:r>
        <w:rPr>
          <w:b/>
          <w:i w:val="0"/>
        </w:rPr>
        <w:t>The word.</w:t>
      </w:r>
    </w:p>
    <w:p>
      <w:pPr>
        <w:widowControl/>
      </w:pPr>
      <w:r>
        <w:rPr>
          <w:b w:val="0"/>
          <w:i w:val="0"/>
        </w:rPr>
        <w:t>Immortality denies death; perpetuity and sempiternity name continued duration. Indissolubility denies dissolution into constituent parts. A proof of future permanence is not automatically a proof of beginningless existence.</w:t>
      </w:r>
    </w:p>
    <w:p>
      <w:pPr>
        <w:keepNext/>
        <w:widowControl/>
      </w:pPr>
      <w:r>
        <w:rPr>
          <w:b/>
          <w:i w:val="0"/>
        </w:rPr>
        <w:t>In the Platonic Theology.</w:t>
      </w:r>
    </w:p>
    <w:p>
      <w:pPr>
        <w:widowControl/>
      </w:pPr>
      <w:r>
        <w:rPr>
          <w:b w:val="0"/>
          <w:i w:val="0"/>
        </w:rPr>
        <w:t xml:space="preserve">Book VIII assembles different routes rather than simply repeating </w:t>
      </w:r>
      <w:r>
        <w:t>“</w:t>
      </w:r>
      <w:r>
        <w:rPr>
          <w:b w:val="0"/>
          <w:i w:val="0"/>
        </w:rPr>
        <w:t>incorporeal, therefore immortal.</w:t>
      </w:r>
      <w:r>
        <w:t>”</w:t>
      </w:r>
      <w:r>
        <w:rPr>
          <w:b w:val="0"/>
          <w:i w:val="0"/>
        </w:rPr>
        <w:t xml:space="preserve"> Truth nourishes mind with an incorruptible object; indivisible virtues indicate an indivisible subject and source; simple intellectual forms imply a simple knower; receptive understanding is not corrupted by the contraries it understands; reflexive life preserves its own formal integrity; and divinely enlarged intellectual power supports unbounded living.</w:t>
      </w:r>
    </w:p>
    <w:p>
      <w:pPr>
        <w:widowControl/>
      </w:pPr>
      <w:r>
        <w:rPr>
          <w:b w:val="0"/>
          <w:i w:val="0"/>
        </w:rPr>
        <w:t>The steps differ in force. VIII.10.2 says that nothing prevents mind from being perpetual after arguing that it exceeds spatial and temporal confinement. VIII.9.1 explicitly preserves two alternatives: always having existed and always existing hereafter, or at least always existing hereafter. VIII.15.2 contrasts natural succession with intellectual generation retained in the individual knower. VIII.16.4 ends with a received power of living, rather than self-originating divine existence.</w:t>
      </w:r>
    </w:p>
    <w:p>
      <w:pPr>
        <w:widowControl/>
      </w:pPr>
      <w:r>
        <w:rPr>
          <w:b w:val="0"/>
          <w:i w:val="0"/>
        </w:rPr>
        <w:t>It is consequently misleading to make the result either mere survival of the human species or an unqualified claim that every human soul is coeternal with God. Ficino seeks the enduring individual mind, while his qualifications limit what each local argument establishes. Likewise, the statement that mind is not disturbed by bodily contraries concerns its intellectual mode and metaphysical nature; the text elsewhere acknowledges distraction and impediments in embodied exercise.</w:t>
      </w:r>
    </w:p>
    <w:p>
      <w:pPr>
        <w:widowControl/>
      </w:pPr>
      <w:r>
        <w:rPr>
          <w:b w:val="0"/>
          <w:i w:val="0"/>
        </w:rPr>
        <w:t>The lexicon’s references preserve these differences so that the reader can reconstruct the cumulative proof and evaluate its premises rather than encounter a single flattened slogan.</w:t>
      </w:r>
    </w:p>
    <w:p>
      <w:pPr>
        <w:keepNext/>
        <w:widowControl/>
      </w:pPr>
      <w:r>
        <w:rPr>
          <w:b/>
          <w:i w:val="0"/>
        </w:rPr>
        <w:t>Places to Read.</w:t>
      </w:r>
    </w:p>
    <w:p>
      <w:pPr>
        <w:ind w:left="187" w:hanging="187"/>
      </w:pPr>
      <w:r>
        <w:t xml:space="preserve">• </w:t>
      </w:r>
      <w:r>
        <w:rPr>
          <w:b/>
          <w:i w:val="0"/>
        </w:rPr>
        <w:t>VIII.2.8, PDF pp. 304–305.</w:t>
      </w:r>
      <w:r>
        <w:rPr>
          <w:b w:val="0"/>
          <w:i w:val="0"/>
        </w:rPr>
        <w:t xml:space="preserve"> Immortal nourishment and natural desire supply one route.</w:t>
      </w:r>
    </w:p>
    <w:p>
      <w:pPr>
        <w:ind w:left="187" w:hanging="187"/>
      </w:pPr>
      <w:r>
        <w:t xml:space="preserve">• </w:t>
      </w:r>
      <w:r>
        <w:rPr>
          <w:b/>
          <w:i w:val="0"/>
        </w:rPr>
        <w:t>VIII.4.13, PDF pp. 336–337.</w:t>
      </w:r>
      <w:r>
        <w:rPr>
          <w:b w:val="0"/>
          <w:i w:val="0"/>
        </w:rPr>
        <w:t xml:space="preserve"> Simplicity and the priority of life supply another.</w:t>
      </w:r>
    </w:p>
    <w:p>
      <w:pPr>
        <w:ind w:left="187" w:hanging="187"/>
      </w:pPr>
      <w:r>
        <w:t xml:space="preserve">• </w:t>
      </w:r>
      <w:r>
        <w:rPr>
          <w:b/>
          <w:i w:val="0"/>
        </w:rPr>
        <w:t>VIII.9.1, PDF pp. 348–349.</w:t>
      </w:r>
      <w:r>
        <w:rPr>
          <w:b w:val="0"/>
          <w:i w:val="0"/>
        </w:rPr>
        <w:t xml:space="preserve"> Future permanence is retained without requiring past eternity.</w:t>
      </w:r>
    </w:p>
    <w:p>
      <w:pPr>
        <w:ind w:left="187" w:hanging="187"/>
      </w:pPr>
      <w:r>
        <w:t xml:space="preserve">• </w:t>
      </w:r>
      <w:r>
        <w:rPr>
          <w:b/>
          <w:i w:val="0"/>
        </w:rPr>
        <w:t>VIII.10.2, PDF pp. 352–353.</w:t>
      </w:r>
      <w:r>
        <w:rPr>
          <w:b w:val="0"/>
          <w:i w:val="0"/>
        </w:rPr>
        <w:t xml:space="preserve"> The conclusion is phrased as absence of an obstacle to perpetuity.</w:t>
      </w:r>
    </w:p>
    <w:p>
      <w:pPr>
        <w:ind w:left="187" w:hanging="187"/>
      </w:pPr>
      <w:r>
        <w:t xml:space="preserve">• </w:t>
      </w:r>
      <w:r>
        <w:rPr>
          <w:b/>
          <w:i w:val="0"/>
        </w:rPr>
        <w:t>VIII.15.2, VIII.16.4, PDF pp. 366–367, 376–377.</w:t>
      </w:r>
      <w:r>
        <w:rPr>
          <w:b w:val="0"/>
          <w:i w:val="0"/>
        </w:rPr>
        <w:t xml:space="preserve"> Inward generation and divinely given vital power support individual endurance.</w:t>
      </w:r>
    </w:p>
    <w:p>
      <w:pPr>
        <w:keepNext/>
        <w:widowControl/>
      </w:pPr>
      <w:r>
        <w:rPr>
          <w:b/>
          <w:i w:val="0"/>
        </w:rPr>
        <w:t>In this edition.</w:t>
      </w:r>
    </w:p>
    <w:p>
      <w:pPr>
        <w:widowControl/>
      </w:pPr>
      <w:r>
        <w:rPr>
          <w:b w:val="0"/>
          <w:i w:val="0"/>
        </w:rPr>
        <w:t>The several temporal and causal qualifications belong to the content, not merely to editorial caution. No single English word should obscure the difference between enduring forever in the future, existing without beginning, being formally self-sustaining and being efficiently uncaused.</w:t>
      </w:r>
    </w:p>
    <w:p>
      <w:pPr>
        <w:keepNext/>
        <w:widowControl/>
      </w:pPr>
      <w:r>
        <w:rPr>
          <w:b/>
          <w:i w:val="0"/>
        </w:rPr>
        <w:t>See also.</w:t>
      </w:r>
    </w:p>
    <w:p>
      <w:pPr>
        <w:widowControl/>
      </w:pPr>
      <w:hyperlink w:anchor="viii-food-truth">
        <w:r>
          <w:rPr>
            <w:color w:val="000000"/>
          </w:rPr>
          <w:t xml:space="preserve">Food, truth, and the hungry mind</w:t>
        </w:r>
      </w:hyperlink>
      <w:r>
        <w:rPr>
          <w:b w:val="0"/>
          <w:i w:val="0"/>
        </w:rPr>
        <w:t xml:space="preserve">; </w:t>
      </w:r>
      <w:hyperlink w:anchor="viii-self-cause">
        <w:r>
          <w:rPr>
            <w:color w:val="000000"/>
          </w:rPr>
          <w:t xml:space="preserve">Self-causation: formal cause and efficient cause</w:t>
        </w:r>
      </w:hyperlink>
      <w:r>
        <w:rPr>
          <w:b w:val="0"/>
          <w:i w:val="0"/>
        </w:rPr>
        <w:t xml:space="preserve">; </w:t>
      </w:r>
      <w:hyperlink w:anchor="viii-divine-enlargement">
        <w:r>
          <w:rPr>
            <w:color w:val="000000"/>
          </w:rPr>
          <w:t xml:space="preserve">Insatiable desire and divine enlargement</w:t>
        </w:r>
      </w:hyperlink>
    </w:p>
    <w:p>
      <w:pPr>
        <w:pStyle w:val="Heading2"/>
      </w:pPr>
      <w:bookmarkStart w:id="150" w:name="indivisibility-and-contact"/>
      <w:r>
        <w:rPr>
          <w:b w:val="0"/>
          <w:i w:val="0"/>
        </w:rPr>
        <w:t>Indivisibility and contact</w:t>
      </w:r>
      <w:bookmarkEnd w:id="150"/>
    </w:p>
    <w:p>
      <w:pPr>
        <w:keepNext/>
        <w:widowControl/>
      </w:pPr>
      <w:r>
        <w:rPr>
          <w:b/>
          <w:i w:val="0"/>
        </w:rPr>
        <w:t>Latin:</w:t>
      </w:r>
      <w:r>
        <w:rPr>
          <w:b w:val="0"/>
          <w:i w:val="0"/>
        </w:rPr>
        <w:t xml:space="preserve"> </w:t>
      </w:r>
      <w:r>
        <w:rPr>
          <w:b w:val="0"/>
          <w:i/>
        </w:rPr>
        <w:t>indivisibilis</w:t>
      </w:r>
      <w:r>
        <w:rPr>
          <w:b w:val="0"/>
          <w:i w:val="0"/>
        </w:rPr>
        <w:t xml:space="preserve">; </w:t>
      </w:r>
      <w:r>
        <w:rPr>
          <w:b w:val="0"/>
          <w:i/>
        </w:rPr>
        <w:t>individuum</w:t>
      </w:r>
      <w:r>
        <w:rPr>
          <w:b w:val="0"/>
          <w:i w:val="0"/>
        </w:rPr>
        <w:t xml:space="preserve">; </w:t>
      </w:r>
      <w:r>
        <w:rPr>
          <w:b w:val="0"/>
          <w:i/>
        </w:rPr>
        <w:t>dividuum</w:t>
      </w:r>
      <w:r>
        <w:rPr>
          <w:b w:val="0"/>
          <w:i w:val="0"/>
        </w:rPr>
        <w:t xml:space="preserve">; </w:t>
      </w:r>
      <w:r>
        <w:rPr>
          <w:b w:val="0"/>
          <w:i/>
        </w:rPr>
        <w:t>tangere</w:t>
      </w:r>
      <w:r>
        <w:rPr>
          <w:b w:val="0"/>
          <w:i w:val="0"/>
        </w:rPr>
        <w:t xml:space="preserve">; </w:t>
      </w:r>
      <w:r>
        <w:rPr>
          <w:b w:val="0"/>
          <w:i/>
        </w:rPr>
        <w:t>punctum</w:t>
      </w:r>
      <w:r>
        <w:rPr>
          <w:b w:val="0"/>
          <w:i w:val="0"/>
        </w:rPr>
        <w:t xml:space="preserve">; </w:t>
      </w:r>
      <w:r>
        <w:rPr>
          <w:b w:val="0"/>
          <w:i/>
        </w:rPr>
        <w:t>pars</w:t>
      </w:r>
      <w:r>
        <w:rPr>
          <w:b w:val="0"/>
          <w:i w:val="0"/>
        </w:rPr>
        <w:t xml:space="preserve">; </w:t>
      </w:r>
      <w:r>
        <w:rPr>
          <w:b w:val="0"/>
          <w:i/>
        </w:rPr>
        <w:t>recta linea</w:t>
      </w:r>
      <w:r>
        <w:rPr>
          <w:b w:val="0"/>
          <w:i w:val="0"/>
        </w:rPr>
        <w:t xml:space="preserve">; </w:t>
      </w:r>
      <w:r>
        <w:rPr>
          <w:b w:val="0"/>
          <w:i/>
        </w:rPr>
        <w:t>reflexa</w:t>
      </w:r>
    </w:p>
    <w:p>
      <w:pPr>
        <w:keepNext/>
        <w:widowControl/>
      </w:pPr>
      <w:r>
        <w:rPr>
          <w:b/>
          <w:i w:val="0"/>
        </w:rPr>
        <w:t>The word.</w:t>
      </w:r>
    </w:p>
    <w:p>
      <w:pPr>
        <w:widowControl/>
      </w:pPr>
      <w:r>
        <w:rPr>
          <w:b w:val="0"/>
          <w:i w:val="0"/>
        </w:rPr>
        <w:t>Indivisibilis and individuum here mean indivisible. Dividuum means divisible, not a modern individual person. Tangere is touching; punctum a point; pars a part. Contact is tested as an alleged mechanism by which a bodily quality could enter and damage soul.</w:t>
      </w:r>
    </w:p>
    <w:p>
      <w:pPr>
        <w:keepNext/>
        <w:widowControl/>
      </w:pPr>
      <w:r>
        <w:rPr>
          <w:b/>
          <w:i w:val="0"/>
        </w:rPr>
        <w:t>In the Platonic Theology.</w:t>
      </w:r>
    </w:p>
    <w:p>
      <w:pPr>
        <w:widowControl/>
      </w:pPr>
      <w:r>
        <w:rPr>
          <w:b w:val="0"/>
          <w:i w:val="0"/>
        </w:rPr>
        <w:t>V.6 asks how a divisible thing could touch an indivisible one. If contact occurs only through a point, the contacting term is itself indivisible, not the divisible body as such. If it occurs through a divisible part, then the contacted thing must correspondingly have parts touched. It would cease to be the indivisible term initially asserted. Ficino takes this dilemma to rule out the soul’s receiving divisible qualities.</w:t>
      </w:r>
    </w:p>
    <w:p>
      <w:pPr>
        <w:widowControl/>
      </w:pPr>
      <w:r>
        <w:rPr>
          <w:b w:val="0"/>
          <w:i w:val="0"/>
        </w:rPr>
        <w:t>He extends the exclusion to direct and reflected contact. Soul neither admits an opposed bodily quality head-on nor is swept along by qualities raging within a body. This is a metaphysical analysis of soul-body interaction, rather than a detailed theory of optical rays. The reflected line illustrates indirect bodily disturbance, which he also refuses to make destructive of essence.</w:t>
      </w:r>
    </w:p>
    <w:p>
      <w:pPr>
        <w:widowControl/>
      </w:pPr>
      <w:r>
        <w:rPr>
          <w:b w:val="0"/>
          <w:i w:val="0"/>
        </w:rPr>
        <w:t>The passage then tests an objection: could an indivisible quality cause corruption instead? Ficino answers that reception of indivisible forms perfects its recipient, as images are received in water, mirrors and the soul without destroying them. A bodily agent seeks to propagate its own form, but a corporeal form has no entry into immaterial essence. A superior source either produces a self-subsistent form separately or communicates a beneficent power. Neither alternative destroys the soul.</w:t>
      </w:r>
    </w:p>
    <w:p>
      <w:pPr>
        <w:widowControl/>
      </w:pPr>
      <w:r>
        <w:rPr>
          <w:b w:val="0"/>
          <w:i w:val="0"/>
        </w:rPr>
        <w:t>The argument excludes particular modes of corruption; it does not make soul incapable of cognition or every relation. Its distinction between a material quality and an image of that quality is indispensable.</w:t>
      </w:r>
    </w:p>
    <w:p>
      <w:pPr>
        <w:keepNext/>
        <w:widowControl/>
      </w:pPr>
      <w:r>
        <w:rPr>
          <w:b/>
          <w:i w:val="0"/>
        </w:rPr>
        <w:t>Places to Read.</w:t>
      </w:r>
    </w:p>
    <w:p>
      <w:pPr>
        <w:ind w:left="187" w:hanging="187"/>
      </w:pPr>
      <w:r>
        <w:t xml:space="preserve">• </w:t>
      </w:r>
      <w:r>
        <w:rPr>
          <w:b/>
          <w:i w:val="0"/>
        </w:rPr>
        <w:t>V.5.9, PDF 30–31.</w:t>
      </w:r>
      <w:r>
        <w:rPr>
          <w:b w:val="0"/>
          <w:i w:val="0"/>
        </w:rPr>
        <w:t xml:space="preserve"> Absence of quantitative parts prepares the contact argument.</w:t>
      </w:r>
    </w:p>
    <w:p>
      <w:pPr>
        <w:ind w:left="187" w:hanging="187"/>
      </w:pPr>
      <w:r>
        <w:t xml:space="preserve">• </w:t>
      </w:r>
      <w:r>
        <w:rPr>
          <w:b/>
          <w:i w:val="0"/>
        </w:rPr>
        <w:t>V.6.1, PDF 32–33.</w:t>
      </w:r>
      <w:r>
        <w:rPr>
          <w:b w:val="0"/>
          <w:i w:val="0"/>
        </w:rPr>
        <w:t xml:space="preserve"> The point/part dilemma, direct/reflected contact and nondestructive reception occupy the complete chapter.</w:t>
      </w:r>
    </w:p>
    <w:p>
      <w:pPr>
        <w:ind w:left="187" w:hanging="187"/>
      </w:pPr>
      <w:r>
        <w:t xml:space="preserve">• </w:t>
      </w:r>
      <w:r>
        <w:rPr>
          <w:b/>
          <w:i w:val="0"/>
        </w:rPr>
        <w:t>V.8.3, PDF 42–43.</w:t>
      </w:r>
      <w:r>
        <w:rPr>
          <w:b w:val="0"/>
          <w:i w:val="0"/>
        </w:rPr>
        <w:t xml:space="preserve"> The later reception argument repeats water and mirror examples.</w:t>
      </w:r>
    </w:p>
    <w:p>
      <w:pPr>
        <w:keepNext/>
        <w:widowControl/>
      </w:pPr>
      <w:r>
        <w:rPr>
          <w:b/>
          <w:i w:val="0"/>
        </w:rPr>
        <w:t>In this edition.</w:t>
      </w:r>
    </w:p>
    <w:p>
      <w:pPr>
        <w:widowControl/>
      </w:pPr>
      <w:r>
        <w:rPr>
          <w:b w:val="0"/>
          <w:i w:val="0"/>
        </w:rPr>
        <w:t>The apparatus treats V.6 as one source paragraph, despite the many internal inferences. Individuum must retain the indivisibility sense. The first-printing correction impetu et furore replaces impetu a furore in the language of bodily disturbance (PDF 387).</w:t>
      </w:r>
    </w:p>
    <w:p>
      <w:pPr>
        <w:keepNext/>
        <w:widowControl/>
      </w:pPr>
      <w:r>
        <w:rPr>
          <w:b/>
          <w:i w:val="0"/>
        </w:rPr>
        <w:t>See also.</w:t>
      </w:r>
    </w:p>
    <w:p>
      <w:pPr>
        <w:widowControl/>
      </w:pPr>
      <w:hyperlink w:anchor="passivity-and-bodily-affection">
        <w:r>
          <w:rPr>
            <w:color w:val="000000"/>
          </w:rPr>
          <w:t xml:space="preserve">Passivity and bodily affection</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prime-matter-and-enduring-support">
        <w:r>
          <w:rPr>
            <w:color w:val="000000"/>
          </w:rPr>
          <w:t xml:space="preserve">Prime matter and enduring support</w:t>
        </w:r>
      </w:hyperlink>
    </w:p>
    <w:p>
      <w:pPr>
        <w:pStyle w:val="Heading2"/>
      </w:pPr>
      <w:bookmarkStart w:id="151" w:name="viii-infinite-operations"/>
      <w:r>
        <w:rPr>
          <w:b w:val="0"/>
          <w:i w:val="0"/>
        </w:rPr>
        <w:t>Infinite operations and the limits of sensory kinds</w:t>
      </w:r>
      <w:bookmarkEnd w:id="151"/>
    </w:p>
    <w:p>
      <w:pPr>
        <w:keepNext/>
        <w:widowControl/>
      </w:pPr>
      <w:r>
        <w:rPr>
          <w:b/>
          <w:i w:val="0"/>
        </w:rPr>
        <w:t>Latin:</w:t>
      </w:r>
      <w:r>
        <w:rPr>
          <w:b w:val="0"/>
          <w:i w:val="0"/>
        </w:rPr>
        <w:t xml:space="preserve"> </w:t>
      </w:r>
      <w:r>
        <w:rPr>
          <w:b w:val="0"/>
          <w:i/>
        </w:rPr>
        <w:t>infinitus</w:t>
      </w:r>
      <w:r>
        <w:rPr>
          <w:b w:val="0"/>
          <w:i w:val="0"/>
        </w:rPr>
        <w:t xml:space="preserve">; </w:t>
      </w:r>
      <w:r>
        <w:rPr>
          <w:b w:val="0"/>
          <w:i/>
        </w:rPr>
        <w:t>interminatus</w:t>
      </w:r>
      <w:r>
        <w:rPr>
          <w:b w:val="0"/>
          <w:i w:val="0"/>
        </w:rPr>
        <w:t xml:space="preserve">; </w:t>
      </w:r>
      <w:r>
        <w:rPr>
          <w:b w:val="0"/>
          <w:i/>
        </w:rPr>
        <w:t>innumerabilis</w:t>
      </w:r>
      <w:r>
        <w:rPr>
          <w:b w:val="0"/>
          <w:i w:val="0"/>
        </w:rPr>
        <w:t xml:space="preserve">; </w:t>
      </w:r>
      <w:r>
        <w:rPr>
          <w:b w:val="0"/>
          <w:i/>
        </w:rPr>
        <w:t>revolutio</w:t>
      </w:r>
      <w:r>
        <w:rPr>
          <w:b w:val="0"/>
          <w:i w:val="0"/>
        </w:rPr>
        <w:t xml:space="preserve">; </w:t>
      </w:r>
      <w:r>
        <w:rPr>
          <w:b w:val="0"/>
          <w:i/>
        </w:rPr>
        <w:t>replicare</w:t>
      </w:r>
      <w:r>
        <w:rPr>
          <w:b w:val="0"/>
          <w:i w:val="0"/>
        </w:rPr>
        <w:t xml:space="preserve">; </w:t>
      </w:r>
      <w:r>
        <w:rPr>
          <w:b w:val="0"/>
          <w:i/>
        </w:rPr>
        <w:t>per omnia</w:t>
      </w:r>
    </w:p>
    <w:p>
      <w:pPr>
        <w:keepNext/>
        <w:widowControl/>
      </w:pPr>
      <w:r>
        <w:rPr>
          <w:b/>
          <w:i w:val="0"/>
        </w:rPr>
        <w:t>The word.</w:t>
      </w:r>
    </w:p>
    <w:p>
      <w:pPr>
        <w:widowControl/>
      </w:pPr>
      <w:r>
        <w:rPr>
          <w:b w:val="0"/>
          <w:i w:val="0"/>
        </w:rPr>
        <w:t>Infinity has several local senses: indefinite repetition, unlimited extension in thought, unrestricted kinds of objects and qualified participation in divine infinity. Innumerabilis may emphasize uncounted or indefinitely many instances. These uses must be distinguished from an actually completed infinite multitude of simultaneous acts.</w:t>
      </w:r>
    </w:p>
    <w:p>
      <w:pPr>
        <w:keepNext/>
        <w:widowControl/>
      </w:pPr>
      <w:r>
        <w:rPr>
          <w:b/>
          <w:i w:val="0"/>
        </w:rPr>
        <w:t>In the Platonic Theology.</w:t>
      </w:r>
    </w:p>
    <w:p>
      <w:pPr>
        <w:widowControl/>
      </w:pPr>
      <w:r>
        <w:rPr>
          <w:b w:val="0"/>
          <w:i w:val="0"/>
        </w:rPr>
        <w:t>Ficino begins with inward circularity. Intellect understands itself, so its activity returns to its own substance rather than ending at an external acquisition whose attainment would stop it. Desire for itself continues to animate this return. He calls the movement everlasting insofar as it is intellectual. Reflection also permits another act beyond any one assigned: knowing something, knowing that one knows it and noticing that notice. Rational appetite, will, has a corresponding recursive range. The earlier chapter allows either successive higher-order acts or one act repeatedly folded upon itself, without settling on a single mechanism.</w:t>
      </w:r>
    </w:p>
    <w:p>
      <w:pPr>
        <w:widowControl/>
      </w:pPr>
      <w:r>
        <w:rPr>
          <w:b w:val="0"/>
          <w:i w:val="0"/>
        </w:rPr>
        <w:t>The catalogue then turns outward. Mind divides bodies further, increases numbers, explores figures and proportions, extends lines beyond the heavens, thinks earlier and later times, conceives wider places and further degrees of qualities. Sight is confined to colour and hearing to sound, but mind compares these classes and reaches beyond any one of them. Past and future enlarge the temporal field; unrealized possibilities and imagined impossibilities enlarge the represented field. Conceiving them does not verify that they exist or even that they are possible. The next unit says that inward products have a reality as representations, comparable to words in air or paintings on a wall, rather than making every depicted object externally actual.</w:t>
      </w:r>
    </w:p>
    <w:p>
      <w:pPr>
        <w:widowControl/>
      </w:pPr>
      <w:r>
        <w:rPr>
          <w:b w:val="0"/>
          <w:i w:val="0"/>
        </w:rPr>
        <w:t>These forms of indefinite reach must be distinguished from the actual simultaneous infinity rejected earlier. In VIII.4.2, a bodily-point theory cannot privilege one potential point as receiver, so it generates infinitely many simultaneously actual forms or acts. In VIII.4.4, repeated bodily division of genus and difference would destroy the bounded comprehensibility of a definition. Those are consequences used against particular hypotheses. VIII.16’s indefinitely repeatable operation does not require every extension to have been completed at once, and its universal account can cover indefinitely many instances without enumerating them one by one.</w:t>
      </w:r>
    </w:p>
    <w:p>
      <w:pPr>
        <w:widowControl/>
      </w:pPr>
      <w:r>
        <w:rPr>
          <w:b w:val="0"/>
          <w:i w:val="0"/>
        </w:rPr>
        <w:t>Other senses enter through the ascent beyond finite angels. Whatever finite grade thought has reached, it can conceive a higher one; the regress ends only with an infinite spirit beyond every actual or conceivable finite angel. God is then named infinite act, while matter is infinite potency expressly subject to God and receptive to innumerable forms. This is not a pair of independent equal first principles. The gathering of individuals into species, species into genera and genera toward divine unity supplies yet another route: the many are one in an intelligible account, not physically compressed into one body.</w:t>
      </w:r>
    </w:p>
    <w:p>
      <w:pPr>
        <w:widowControl/>
      </w:pPr>
      <w:r>
        <w:rPr>
          <w:b w:val="0"/>
          <w:i w:val="0"/>
        </w:rPr>
        <w:t>VIII.16.3 adds an argument from proportionate knowledge. To define infinity, mind must in some manner correspond to what it knows. Ficino infers a qualified infinite power from that premise; this is not a modern theorem that defining infinity gives a thinker infinitely much information. The conceptual passage between being and nonbeing provides a further example of unmeasured reach without making nonbeing a spatial region. The argument then changes from cognition to appetite: finite human achievements and knowledge of created things never completely fill the mind’s desire, so only infinite God is said to be adequate to it.</w:t>
      </w:r>
    </w:p>
    <w:p>
      <w:pPr>
        <w:widowControl/>
      </w:pPr>
      <w:r>
        <w:rPr>
          <w:b w:val="0"/>
          <w:i w:val="0"/>
        </w:rPr>
        <w:t>The final account is asymmetrical. God’s infinity is absolute; mind’s intellectual and vital infinity is communicated. Ficino explicitly corrects self-owned power to a divine enlargement continually implanted and preserved. The inference to limitless duration therefore concerns a granted capacity, not an independent infinite substance. Because life is prior in origin to intelligence, he argues that a mind given such scope in understanding and willing must have received an unbounded power of living even more fundamentally. Arithmetic extension, recursive thought, common universals, cognition of infinity and desire for the infinite contribute distinct premises. None should be silently substituted for the whole cumulative argument, and none establishes exhaustive human possession of divine knowledge.</w:t>
      </w:r>
    </w:p>
    <w:p>
      <w:pPr>
        <w:keepNext/>
        <w:widowControl/>
      </w:pPr>
      <w:r>
        <w:rPr>
          <w:b/>
          <w:i w:val="0"/>
        </w:rPr>
        <w:t>Places to Read.</w:t>
      </w:r>
    </w:p>
    <w:p>
      <w:pPr>
        <w:ind w:left="187" w:hanging="187"/>
      </w:pPr>
      <w:r>
        <w:t xml:space="preserve">• </w:t>
      </w:r>
      <w:r>
        <w:rPr>
          <w:b/>
          <w:i w:val="0"/>
        </w:rPr>
        <w:t>VIII.4.2, PDF pp. 318–319.</w:t>
      </w:r>
      <w:r>
        <w:rPr>
          <w:b w:val="0"/>
          <w:i w:val="0"/>
        </w:rPr>
        <w:t xml:space="preserve"> An actually infinite simultaneous multiplicity belongs to a rejected bodily hypothesis.</w:t>
      </w:r>
    </w:p>
    <w:p>
      <w:pPr>
        <w:ind w:left="187" w:hanging="187"/>
      </w:pPr>
      <w:r>
        <w:t xml:space="preserve">• </w:t>
      </w:r>
      <w:r>
        <w:rPr>
          <w:b/>
          <w:i w:val="0"/>
        </w:rPr>
        <w:t>VIII.16.1, PDF pp. 370–371.</w:t>
      </w:r>
      <w:r>
        <w:rPr>
          <w:b w:val="0"/>
          <w:i w:val="0"/>
        </w:rPr>
        <w:t xml:space="preserve"> Self-revolution and recursive willing lead into the complete catalogue of unbounded intellectual range.</w:t>
      </w:r>
    </w:p>
    <w:p>
      <w:pPr>
        <w:ind w:left="187" w:hanging="187"/>
      </w:pPr>
      <w:r>
        <w:t xml:space="preserve">• </w:t>
      </w:r>
      <w:r>
        <w:rPr>
          <w:b/>
          <w:i w:val="0"/>
        </w:rPr>
        <w:t>VIII.16.2, PDF pp. 372–373.</w:t>
      </w:r>
      <w:r>
        <w:rPr>
          <w:b w:val="0"/>
          <w:i w:val="0"/>
        </w:rPr>
        <w:t xml:space="preserve"> The ontological status of inward representations and qualified infinity are developed.</w:t>
      </w:r>
    </w:p>
    <w:p>
      <w:pPr>
        <w:keepNext/>
        <w:widowControl/>
      </w:pPr>
      <w:r>
        <w:rPr>
          <w:b/>
          <w:i w:val="0"/>
        </w:rPr>
        <w:t>In this edition.</w:t>
      </w:r>
    </w:p>
    <w:p>
      <w:pPr>
        <w:widowControl/>
      </w:pPr>
      <w:r>
        <w:rPr>
          <w:b w:val="0"/>
          <w:i w:val="0"/>
        </w:rPr>
        <w:t>The text includes quasi, quatenus intellectualis est, forsitan and quodammodo. The apparatus reports the correction from odoribus to coloribus in the sight example. The qualifiers prevent the rhetoric of infinity from becoming an unqualified equation of human mind with God.</w:t>
      </w:r>
    </w:p>
    <w:p>
      <w:pPr>
        <w:keepNext/>
        <w:widowControl/>
      </w:pPr>
      <w:r>
        <w:rPr>
          <w:b/>
          <w:i w:val="0"/>
        </w:rPr>
        <w:t>See also.</w:t>
      </w:r>
    </w:p>
    <w:p>
      <w:pPr>
        <w:widowControl/>
      </w:pPr>
      <w:hyperlink w:anchor="viii-finite-angels">
        <w:r>
          <w:rPr>
            <w:color w:val="000000"/>
          </w:rPr>
          <w:t xml:space="preserve">Finite angels, infinite act, and infinite potency</w:t>
        </w:r>
      </w:hyperlink>
      <w:r>
        <w:rPr>
          <w:b w:val="0"/>
          <w:i w:val="0"/>
        </w:rPr>
        <w:t xml:space="preserve">; </w:t>
      </w:r>
      <w:hyperlink w:anchor="viii-infinity-measure">
        <w:r>
          <w:rPr>
            <w:color w:val="000000"/>
          </w:rPr>
          <w:t xml:space="preserve">Measuring infinity and thinking being and nonbeing</w:t>
        </w:r>
      </w:hyperlink>
      <w:r>
        <w:rPr>
          <w:b w:val="0"/>
          <w:i w:val="0"/>
        </w:rPr>
        <w:t xml:space="preserve">; </w:t>
      </w:r>
      <w:hyperlink w:anchor="viii-divine-enlargement">
        <w:r>
          <w:rPr>
            <w:color w:val="000000"/>
          </w:rPr>
          <w:t xml:space="preserve">Insatiable desire and divine enlargement</w:t>
        </w:r>
      </w:hyperlink>
    </w:p>
    <w:p>
      <w:pPr>
        <w:pStyle w:val="Heading2"/>
      </w:pPr>
      <w:bookmarkStart w:id="152" w:name="vii-injury-judge"/>
      <w:r>
        <w:rPr>
          <w:b w:val="0"/>
          <w:i w:val="0"/>
        </w:rPr>
        <w:t>Injury and the uninjured judge</w:t>
      </w:r>
      <w:bookmarkEnd w:id="152"/>
    </w:p>
    <w:p>
      <w:pPr>
        <w:keepNext/>
        <w:widowControl/>
      </w:pPr>
      <w:r>
        <w:rPr>
          <w:b/>
          <w:i w:val="0"/>
        </w:rPr>
        <w:t>Latin:</w:t>
      </w:r>
      <w:r>
        <w:rPr>
          <w:b w:val="0"/>
          <w:i w:val="0"/>
        </w:rPr>
        <w:t xml:space="preserve"> </w:t>
      </w:r>
      <w:r>
        <w:rPr>
          <w:b w:val="0"/>
          <w:i/>
        </w:rPr>
        <w:t>laesio</w:t>
      </w:r>
      <w:r>
        <w:rPr>
          <w:b w:val="0"/>
          <w:i w:val="0"/>
        </w:rPr>
        <w:t xml:space="preserve">; </w:t>
      </w:r>
      <w:r>
        <w:rPr>
          <w:b w:val="0"/>
          <w:i/>
        </w:rPr>
        <w:t>solutio</w:t>
      </w:r>
      <w:r>
        <w:rPr>
          <w:b w:val="0"/>
          <w:i w:val="0"/>
        </w:rPr>
        <w:t xml:space="preserve">; </w:t>
      </w:r>
      <w:r>
        <w:rPr>
          <w:b w:val="0"/>
          <w:i/>
        </w:rPr>
        <w:t>contractio</w:t>
      </w:r>
      <w:r>
        <w:rPr>
          <w:b w:val="0"/>
          <w:i w:val="0"/>
        </w:rPr>
        <w:t xml:space="preserve">; </w:t>
      </w:r>
      <w:r>
        <w:rPr>
          <w:b w:val="0"/>
          <w:i/>
        </w:rPr>
        <w:t>substantia</w:t>
      </w:r>
      <w:r>
        <w:rPr>
          <w:b w:val="0"/>
          <w:i w:val="0"/>
        </w:rPr>
        <w:t xml:space="preserve">; </w:t>
      </w:r>
      <w:r>
        <w:rPr>
          <w:b w:val="0"/>
          <w:i/>
        </w:rPr>
        <w:t>virtus</w:t>
      </w:r>
      <w:r>
        <w:rPr>
          <w:b w:val="0"/>
          <w:i w:val="0"/>
        </w:rPr>
        <w:t xml:space="preserve">; </w:t>
      </w:r>
      <w:r>
        <w:rPr>
          <w:b w:val="0"/>
          <w:i/>
        </w:rPr>
        <w:t>operatio</w:t>
      </w:r>
      <w:r>
        <w:rPr>
          <w:b w:val="0"/>
          <w:i w:val="0"/>
        </w:rPr>
        <w:t xml:space="preserve">; </w:t>
      </w:r>
      <w:r>
        <w:rPr>
          <w:b w:val="0"/>
          <w:i/>
        </w:rPr>
        <w:t>iudex liber passione</w:t>
      </w:r>
    </w:p>
    <w:p>
      <w:pPr>
        <w:keepNext/>
        <w:widowControl/>
      </w:pPr>
      <w:r>
        <w:rPr>
          <w:b/>
          <w:i w:val="0"/>
        </w:rPr>
        <w:t>The word.</w:t>
      </w:r>
    </w:p>
    <w:p>
      <w:pPr>
        <w:widowControl/>
      </w:pPr>
      <w:r>
        <w:rPr>
          <w:b w:val="0"/>
          <w:i/>
        </w:rPr>
        <w:t>Laesio</w:t>
      </w:r>
      <w:r>
        <w:rPr>
          <w:b w:val="0"/>
          <w:i w:val="0"/>
        </w:rPr>
        <w:t xml:space="preserve"> is an injury; loosening and contraction count as harmful when they corrupt the affected substance. A judge </w:t>
      </w:r>
      <w:r>
        <w:t>“</w:t>
      </w:r>
      <w:r>
        <w:rPr>
          <w:b w:val="0"/>
          <w:i w:val="0"/>
        </w:rPr>
        <w:t>free from affection</w:t>
      </w:r>
      <w:r>
        <w:t>”</w:t>
      </w:r>
      <w:r>
        <w:rPr>
          <w:b w:val="0"/>
          <w:i w:val="0"/>
        </w:rPr>
        <w:t xml:space="preserve"> is free from the bodily modification it judges. This does not mean that the soul is indifferent to pain or incapable of sympathetic distress.</w:t>
      </w:r>
    </w:p>
    <w:p>
      <w:pPr>
        <w:keepNext/>
        <w:widowControl/>
      </w:pPr>
      <w:r>
        <w:rPr>
          <w:b/>
          <w:i w:val="0"/>
        </w:rPr>
        <w:t>In the Platonic Theology.</w:t>
      </w:r>
    </w:p>
    <w:p>
      <w:pPr>
        <w:widowControl/>
      </w:pPr>
      <w:r>
        <w:rPr>
          <w:b w:val="0"/>
          <w:i w:val="0"/>
        </w:rPr>
        <w:t>The cut in flesh and spirit threatens their substance. Ficino argues through the ordered dependence of substance, power and operation: damaging the underlying substance would impair its power and consequently its activity. If the same cut passed into soul, its sensing and judging should be obstructed just when it must recognize the injury, locate it and direct a remedy. Yet the soul does perform those activities. The inference separates knowledge of a bodily lesion from undergoing that lesion in the same manner.</w:t>
      </w:r>
    </w:p>
    <w:p>
      <w:pPr>
        <w:widowControl/>
      </w:pPr>
      <w:r>
        <w:rPr>
          <w:b w:val="0"/>
          <w:i w:val="0"/>
        </w:rPr>
        <w:t>Whole presence yields another objection. If the whole soul itself suffered the lesion at the wounded part, the same whole soul, present throughout the body, would suffer it everywhere. It could then no longer report it as localized there rather than elsewhere. This builds upon the distinction between a painful awareness and the original bodily injury; it does not deny that the person experiences pain.</w:t>
      </w:r>
    </w:p>
    <w:p>
      <w:pPr>
        <w:widowControl/>
      </w:pPr>
      <w:r>
        <w:rPr>
          <w:b w:val="0"/>
          <w:i w:val="0"/>
        </w:rPr>
        <w:t>Finally, a passive judgement would require a further judgement of its affected state. If this further judge were equally passive, another would be needed without resolution. Ficino terminates the sequence in a judge that receives no bodily affection or bodily form. A subtle body, bodily affection, or point of an affection cannot fulfill this role. The positive active account of sensation follows from this conclusion, rather than leaving sensation as a bare absence of being affected.</w:t>
      </w:r>
    </w:p>
    <w:p>
      <w:pPr>
        <w:keepNext/>
        <w:widowControl/>
      </w:pPr>
      <w:r>
        <w:rPr>
          <w:b/>
          <w:i w:val="0"/>
        </w:rPr>
        <w:t>Places to Read.</w:t>
      </w:r>
    </w:p>
    <w:p>
      <w:pPr>
        <w:ind w:left="187" w:hanging="187"/>
      </w:pPr>
      <w:r>
        <w:t xml:space="preserve">• </w:t>
      </w:r>
      <w:r>
        <w:rPr>
          <w:b/>
          <w:i w:val="0"/>
        </w:rPr>
        <w:t>VII.6.1, PDF 256–257</w:t>
      </w:r>
      <w:r>
        <w:rPr>
          <w:b w:val="0"/>
          <w:i w:val="0"/>
        </w:rPr>
        <w:t>. The surgical example distinguishes the levels affected and aware.</w:t>
      </w:r>
    </w:p>
    <w:p>
      <w:pPr>
        <w:ind w:left="187" w:hanging="187"/>
      </w:pPr>
      <w:r>
        <w:t xml:space="preserve">• </w:t>
      </w:r>
      <w:r>
        <w:rPr>
          <w:b/>
          <w:i w:val="0"/>
        </w:rPr>
        <w:t>VII.6.2, PDF 258–259</w:t>
      </w:r>
      <w:r>
        <w:rPr>
          <w:b w:val="0"/>
          <w:i w:val="0"/>
        </w:rPr>
        <w:t>. Substance–power–operation, localization and the regress of passive judgements are separate arguments.</w:t>
      </w:r>
    </w:p>
    <w:p>
      <w:pPr>
        <w:ind w:left="187" w:hanging="187"/>
      </w:pPr>
      <w:r>
        <w:t xml:space="preserve">• </w:t>
      </w:r>
      <w:r>
        <w:rPr>
          <w:b/>
          <w:i w:val="0"/>
        </w:rPr>
        <w:t>VII.6.3, PDF 260–261</w:t>
      </w:r>
      <w:r>
        <w:rPr>
          <w:b w:val="0"/>
          <w:i w:val="0"/>
        </w:rPr>
        <w:t>. An affection-free judge supplies the transition to active sensation.</w:t>
      </w:r>
    </w:p>
    <w:p>
      <w:pPr>
        <w:keepNext/>
        <w:widowControl/>
      </w:pPr>
      <w:r>
        <w:rPr>
          <w:b/>
          <w:i w:val="0"/>
        </w:rPr>
        <w:t>In this edition.</w:t>
      </w:r>
    </w:p>
    <w:p>
      <w:pPr>
        <w:widowControl/>
      </w:pPr>
      <w:r>
        <w:t>“</w:t>
      </w:r>
      <w:r>
        <w:rPr>
          <w:b w:val="0"/>
          <w:i w:val="0"/>
        </w:rPr>
        <w:t>Affection</w:t>
      </w:r>
      <w:r>
        <w:t>”</w:t>
      </w:r>
      <w:r>
        <w:rPr>
          <w:b w:val="0"/>
          <w:i w:val="0"/>
        </w:rPr>
        <w:t xml:space="preserve"> translates a passive bodily modification in the regress. It must not be confused with the compassion and shared pain assigned to imagination. The edition’s three comparison units divide one continuous source paragraph, preserving this connection.</w:t>
      </w:r>
    </w:p>
    <w:p>
      <w:pPr>
        <w:keepNext/>
        <w:widowControl/>
      </w:pPr>
      <w:r>
        <w:rPr>
          <w:b/>
          <w:i w:val="0"/>
        </w:rPr>
        <w:t>See also.</w:t>
      </w:r>
    </w:p>
    <w:p>
      <w:pPr>
        <w:widowControl/>
      </w:pPr>
      <w:hyperlink w:anchor="vii-bodily-spirit">
        <w:r>
          <w:rPr>
            <w:color w:val="000000"/>
          </w:rPr>
          <w:t xml:space="preserve">Bodily spirit and mediation</w:t>
        </w:r>
      </w:hyperlink>
      <w:r>
        <w:rPr>
          <w:b w:val="0"/>
          <w:i w:val="0"/>
        </w:rPr>
        <w:t xml:space="preserve">; </w:t>
      </w:r>
      <w:hyperlink w:anchor="vii-pain-location">
        <w:r>
          <w:rPr>
            <w:color w:val="000000"/>
          </w:rPr>
          <w:t xml:space="preserve">Pain, location and reporting</w:t>
        </w:r>
      </w:hyperlink>
      <w:r>
        <w:rPr>
          <w:b w:val="0"/>
          <w:i w:val="0"/>
        </w:rPr>
        <w:t xml:space="preserve">; </w:t>
      </w:r>
      <w:hyperlink w:anchor="vii-sensation-attention">
        <w:r>
          <w:rPr>
            <w:color w:val="000000"/>
          </w:rPr>
          <w:t xml:space="preserve">Sensation as attentive activity</w:t>
        </w:r>
      </w:hyperlink>
    </w:p>
    <w:p>
      <w:pPr>
        <w:pStyle w:val="Heading2"/>
      </w:pPr>
      <w:bookmarkStart w:id="153" w:name="viii-innate-forms"/>
      <w:r>
        <w:rPr>
          <w:b w:val="0"/>
          <w:i w:val="0"/>
        </w:rPr>
        <w:t>Innate forms and the stimulus of images</w:t>
      </w:r>
      <w:bookmarkEnd w:id="153"/>
    </w:p>
    <w:p>
      <w:pPr>
        <w:keepNext/>
        <w:widowControl/>
      </w:pPr>
      <w:r>
        <w:rPr>
          <w:b/>
          <w:i w:val="0"/>
        </w:rPr>
        <w:t>Latin:</w:t>
      </w:r>
      <w:r>
        <w:rPr>
          <w:b w:val="0"/>
          <w:i w:val="0"/>
        </w:rPr>
        <w:t xml:space="preserve"> </w:t>
      </w:r>
      <w:r>
        <w:rPr>
          <w:b w:val="0"/>
          <w:i/>
        </w:rPr>
        <w:t>excitare</w:t>
      </w:r>
      <w:r>
        <w:rPr>
          <w:b w:val="0"/>
          <w:i w:val="0"/>
        </w:rPr>
        <w:t xml:space="preserve">; </w:t>
      </w:r>
      <w:r>
        <w:rPr>
          <w:b w:val="0"/>
          <w:i/>
        </w:rPr>
        <w:t>adita mentis</w:t>
      </w:r>
      <w:r>
        <w:rPr>
          <w:b w:val="0"/>
          <w:i w:val="0"/>
        </w:rPr>
        <w:t xml:space="preserve">; </w:t>
      </w:r>
      <w:r>
        <w:rPr>
          <w:b w:val="0"/>
          <w:i/>
        </w:rPr>
        <w:t>promere</w:t>
      </w:r>
      <w:r>
        <w:rPr>
          <w:b w:val="0"/>
          <w:i w:val="0"/>
        </w:rPr>
        <w:t xml:space="preserve">; </w:t>
      </w:r>
      <w:r>
        <w:rPr>
          <w:b w:val="0"/>
          <w:i/>
        </w:rPr>
        <w:t>idea naturaliter insita</w:t>
      </w:r>
      <w:r>
        <w:rPr>
          <w:b w:val="0"/>
          <w:i w:val="0"/>
        </w:rPr>
        <w:t xml:space="preserve">; </w:t>
      </w:r>
      <w:r>
        <w:rPr>
          <w:b w:val="0"/>
          <w:i/>
        </w:rPr>
        <w:t>integritas</w:t>
      </w:r>
      <w:r>
        <w:rPr>
          <w:b w:val="0"/>
          <w:i w:val="0"/>
        </w:rPr>
        <w:t xml:space="preserve">; </w:t>
      </w:r>
      <w:r>
        <w:rPr>
          <w:b w:val="0"/>
          <w:i/>
        </w:rPr>
        <w:t>puritas</w:t>
      </w:r>
    </w:p>
    <w:p>
      <w:pPr>
        <w:keepNext/>
        <w:widowControl/>
      </w:pPr>
      <w:r>
        <w:rPr>
          <w:b/>
          <w:i w:val="0"/>
        </w:rPr>
        <w:t>The word.</w:t>
      </w:r>
    </w:p>
    <w:p>
      <w:pPr>
        <w:widowControl/>
      </w:pPr>
      <w:r>
        <w:rPr>
          <w:b w:val="0"/>
          <w:i w:val="0"/>
        </w:rPr>
        <w:t>Excitation by an image is a prompting, while promere is bringing forth what lies concealed. Adita evokes inner recesses. The naturally implanted Idea is presented as a source of conception; its relation to sensory stimulation is not simple copying.</w:t>
      </w:r>
    </w:p>
    <w:p>
      <w:pPr>
        <w:keepNext/>
        <w:widowControl/>
      </w:pPr>
      <w:r>
        <w:rPr>
          <w:b/>
          <w:i w:val="0"/>
        </w:rPr>
        <w:t>In the Platonic Theology.</w:t>
      </w:r>
    </w:p>
    <w:p>
      <w:pPr>
        <w:widowControl/>
      </w:pPr>
      <w:r>
        <w:rPr>
          <w:b w:val="0"/>
          <w:i w:val="0"/>
        </w:rPr>
        <w:t>According to the Platonists as Ficino reports them, bodily images awaken the mind to bring forms out of its own recesses into light. The object of sensory representation occasions the activity, but the intellectual form’s universal power is not explained as a material imprint transported unchanged into a storehouse.</w:t>
      </w:r>
    </w:p>
    <w:p>
      <w:pPr>
        <w:widowControl/>
      </w:pPr>
      <w:r>
        <w:rPr>
          <w:b w:val="0"/>
          <w:i w:val="0"/>
        </w:rPr>
        <w:t xml:space="preserve">Human nature in Plato or Socrates is restricted to that person’s embodiment. The nature conceived under one definition applies to all humans. Ficino interprets this wider adequacy as greater formal perfection and truth. The mental notion includes what is necessary to the account and excludes superfluous circumstances. </w:t>
      </w:r>
      <w:r>
        <w:t>“</w:t>
      </w:r>
      <w:r>
        <w:rPr>
          <w:b w:val="0"/>
          <w:i w:val="0"/>
        </w:rPr>
        <w:t>Purity</w:t>
      </w:r>
      <w:r>
        <w:t>”</w:t>
      </w:r>
      <w:r>
        <w:rPr>
          <w:b w:val="0"/>
          <w:i w:val="0"/>
        </w:rPr>
        <w:t xml:space="preserve"> therefore means the removal of accidental restrictions and admixtures from the intelligible account, not a judgment that an actual person is disposable or unreal.</w:t>
      </w:r>
    </w:p>
    <w:p>
      <w:pPr>
        <w:widowControl/>
      </w:pPr>
      <w:r>
        <w:rPr>
          <w:b w:val="0"/>
          <w:i w:val="0"/>
        </w:rPr>
        <w:t>This passage belongs with the opening account in which an image prompts universal conception, but its attribution must remain visible. It is a Platonic explanation of the source of the form. Ficino’s subsequent proof uses the claim that mind receives forms truly without becoming a body of their kind; it does not require the reader to treat all imaginative products as innate truths.</w:t>
      </w:r>
    </w:p>
    <w:p>
      <w:pPr>
        <w:keepNext/>
        <w:widowControl/>
      </w:pPr>
      <w:r>
        <w:rPr>
          <w:b/>
          <w:i w:val="0"/>
        </w:rPr>
        <w:t>Places to Read.</w:t>
      </w:r>
    </w:p>
    <w:p>
      <w:pPr>
        <w:ind w:left="187" w:hanging="187"/>
      </w:pPr>
      <w:r>
        <w:t xml:space="preserve">• </w:t>
      </w:r>
      <w:r>
        <w:rPr>
          <w:b/>
          <w:i w:val="0"/>
        </w:rPr>
        <w:t>VIII.1.5, PDF pp. 292–293.</w:t>
      </w:r>
      <w:r>
        <w:rPr>
          <w:b w:val="0"/>
          <w:i w:val="0"/>
        </w:rPr>
        <w:t xml:space="preserve"> The phantastic image prompts the conception to which intellect later returns.</w:t>
      </w:r>
    </w:p>
    <w:p>
      <w:pPr>
        <w:ind w:left="187" w:hanging="187"/>
      </w:pPr>
      <w:r>
        <w:t xml:space="preserve">• </w:t>
      </w:r>
      <w:r>
        <w:rPr>
          <w:b/>
          <w:i w:val="0"/>
        </w:rPr>
        <w:t>VIII.13.1, PDF pp. 358–359.</w:t>
      </w:r>
      <w:r>
        <w:rPr>
          <w:b w:val="0"/>
          <w:i w:val="0"/>
        </w:rPr>
        <w:t xml:space="preserve"> Image-induced awakening, inward forms and necessary-versus-superfluous content explain the superiority of intellectual reception.</w:t>
      </w:r>
    </w:p>
    <w:p>
      <w:pPr>
        <w:keepNext/>
        <w:widowControl/>
      </w:pPr>
      <w:r>
        <w:rPr>
          <w:b/>
          <w:i w:val="0"/>
        </w:rPr>
        <w:t>In this edition.</w:t>
      </w:r>
    </w:p>
    <w:p>
      <w:pPr>
        <w:widowControl/>
      </w:pPr>
      <w:r>
        <w:rPr>
          <w:b w:val="0"/>
          <w:i w:val="0"/>
        </w:rPr>
        <w:t>Ut Platonici opinantur introduces the self-reception account. The paired pura integritate / integra puritate deliberately combines completeness with freedom from admixture. Neither phrase means sheer absence of content.</w:t>
      </w:r>
    </w:p>
    <w:p>
      <w:pPr>
        <w:keepNext/>
        <w:widowControl/>
      </w:pPr>
      <w:r>
        <w:rPr>
          <w:b/>
          <w:i w:val="0"/>
        </w:rPr>
        <w:t>See also.</w:t>
      </w:r>
    </w:p>
    <w:p>
      <w:pPr>
        <w:widowControl/>
      </w:pPr>
      <w:hyperlink w:anchor="viii-images-intentions">
        <w:r>
          <w:rPr>
            <w:color w:val="000000"/>
          </w:rPr>
          <w:t xml:space="preserve">Images, intentions, and conjecturing substance</w:t>
        </w:r>
      </w:hyperlink>
      <w:r>
        <w:rPr>
          <w:b w:val="0"/>
          <w:i w:val="0"/>
        </w:rPr>
        <w:t xml:space="preserve">; </w:t>
      </w:r>
      <w:hyperlink w:anchor="viii-universal-idea">
        <w:r>
          <w:rPr>
            <w:color w:val="000000"/>
          </w:rPr>
          <w:t xml:space="preserve">Common nature, participation, and the divine Idea</w:t>
        </w:r>
      </w:hyperlink>
      <w:r>
        <w:rPr>
          <w:b w:val="0"/>
          <w:i w:val="0"/>
        </w:rPr>
        <w:t xml:space="preserve">; </w:t>
      </w:r>
      <w:hyperlink w:anchor="viii-mental-hands">
        <w:r>
          <w:rPr>
            <w:color w:val="000000"/>
          </w:rPr>
          <w:t xml:space="preserve">Mental hands, conception, and creative understanding</w:t>
        </w:r>
      </w:hyperlink>
    </w:p>
    <w:p>
      <w:pPr>
        <w:pStyle w:val="Heading2"/>
      </w:pPr>
      <w:bookmarkStart w:id="154" w:name="viii-divine-enlargement"/>
      <w:r>
        <w:rPr>
          <w:b w:val="0"/>
          <w:i w:val="0"/>
        </w:rPr>
        <w:t>Insatiable desire and divine enlargement</w:t>
      </w:r>
      <w:bookmarkEnd w:id="154"/>
    </w:p>
    <w:p>
      <w:pPr>
        <w:keepNext/>
        <w:widowControl/>
      </w:pPr>
      <w:r>
        <w:rPr>
          <w:b/>
          <w:i w:val="0"/>
        </w:rPr>
        <w:t>Latin:</w:t>
      </w:r>
      <w:r>
        <w:rPr>
          <w:b w:val="0"/>
          <w:i w:val="0"/>
        </w:rPr>
        <w:t xml:space="preserve"> </w:t>
      </w:r>
      <w:r>
        <w:rPr>
          <w:b w:val="0"/>
          <w:i/>
        </w:rPr>
        <w:t>capacitas</w:t>
      </w:r>
      <w:r>
        <w:rPr>
          <w:b w:val="0"/>
          <w:i w:val="0"/>
        </w:rPr>
        <w:t xml:space="preserve">; </w:t>
      </w:r>
      <w:r>
        <w:rPr>
          <w:b w:val="0"/>
          <w:i/>
        </w:rPr>
        <w:t>ardor</w:t>
      </w:r>
      <w:r>
        <w:rPr>
          <w:b w:val="0"/>
          <w:i w:val="0"/>
        </w:rPr>
        <w:t xml:space="preserve">; </w:t>
      </w:r>
      <w:r>
        <w:rPr>
          <w:b w:val="0"/>
          <w:i/>
        </w:rPr>
        <w:t>amplificatio divina</w:t>
      </w:r>
      <w:r>
        <w:rPr>
          <w:b w:val="0"/>
          <w:i w:val="0"/>
        </w:rPr>
        <w:t xml:space="preserve">; </w:t>
      </w:r>
      <w:r>
        <w:rPr>
          <w:b w:val="0"/>
          <w:i/>
        </w:rPr>
        <w:t>infinitas absoluta</w:t>
      </w:r>
      <w:r>
        <w:rPr>
          <w:b w:val="0"/>
          <w:i w:val="0"/>
        </w:rPr>
        <w:t xml:space="preserve">; </w:t>
      </w:r>
      <w:r>
        <w:rPr>
          <w:b w:val="0"/>
          <w:i/>
        </w:rPr>
        <w:t>inserere</w:t>
      </w:r>
      <w:r>
        <w:rPr>
          <w:b w:val="0"/>
          <w:i w:val="0"/>
        </w:rPr>
        <w:t xml:space="preserve">; </w:t>
      </w:r>
      <w:r>
        <w:rPr>
          <w:b w:val="0"/>
          <w:i/>
        </w:rPr>
        <w:t>servare</w:t>
      </w:r>
      <w:r>
        <w:rPr>
          <w:b w:val="0"/>
          <w:i w:val="0"/>
        </w:rPr>
        <w:t xml:space="preserve">; </w:t>
      </w:r>
      <w:r>
        <w:rPr>
          <w:b w:val="0"/>
          <w:i/>
        </w:rPr>
        <w:t>revocare</w:t>
      </w:r>
    </w:p>
    <w:p>
      <w:pPr>
        <w:keepNext/>
        <w:widowControl/>
      </w:pPr>
      <w:r>
        <w:rPr>
          <w:b/>
          <w:i w:val="0"/>
        </w:rPr>
        <w:t>The word.</w:t>
      </w:r>
    </w:p>
    <w:p>
      <w:pPr>
        <w:widowControl/>
      </w:pPr>
      <w:r>
        <w:rPr>
          <w:b w:val="0"/>
          <w:i w:val="0"/>
        </w:rPr>
        <w:t>Capacity is the reach of intellectual and vital reception; ardour describes its unsatisfied desire. Divine enlargement is a received increase or communication of power. Absolute infinity belongs to God; the mind’s intellectual and vital infinity is implanted and continuously preserved.</w:t>
      </w:r>
    </w:p>
    <w:p>
      <w:pPr>
        <w:keepNext/>
        <w:widowControl/>
      </w:pPr>
      <w:r>
        <w:rPr>
          <w:b/>
          <w:i w:val="0"/>
        </w:rPr>
        <w:t>In the Platonic Theology.</w:t>
      </w:r>
    </w:p>
    <w:p>
      <w:pPr>
        <w:widowControl/>
      </w:pPr>
      <w:r>
        <w:rPr>
          <w:b w:val="0"/>
          <w:i w:val="0"/>
        </w:rPr>
        <w:t>The contrast with bodily appetite sharpens the closing proof. Hunger, thirst and sleep are satisfied by comparatively small things. The desire for wealth or dominion can go on, and the desire for divine truth finds no final fullness in finite created knowledge. Ficino argues that only infinite God adequately fills the capacity flowing from God.</w:t>
      </w:r>
    </w:p>
    <w:p>
      <w:pPr>
        <w:widowControl/>
      </w:pPr>
      <w:r>
        <w:rPr>
          <w:b w:val="0"/>
          <w:i w:val="0"/>
        </w:rPr>
        <w:t>Acquiring finite objects does not simply reduce the appetite. The closer mind comes to the infinite source through preparation, the more ardently it desires. Fire returning to its sphere and a stone descending more swiftly as it approaches earth illustrate directed acceleration. They belong to Ficino’s historical physics of natural places, not a modern quantitative account of gravitational acceleration.</w:t>
      </w:r>
    </w:p>
    <w:p>
      <w:pPr>
        <w:widowControl/>
      </w:pPr>
      <w:r>
        <w:rPr>
          <w:b w:val="0"/>
          <w:i w:val="0"/>
        </w:rPr>
        <w:t>The decisive qualification follows. Does mind possess its infinite power by itself? Ficino corrects that suggestion: more truly, it has it through a certain divine enlargement. God’s absolute infinity inserts and continually preserves intellectual and vital infinity in minds and souls most immediately dependent upon it, and calls them from an infinite principle toward an infinite end. Communication is therefore not independence.</w:t>
      </w:r>
    </w:p>
    <w:p>
      <w:pPr>
        <w:widowControl/>
      </w:pPr>
      <w:r>
        <w:rPr>
          <w:b w:val="0"/>
          <w:i w:val="0"/>
        </w:rPr>
        <w:t xml:space="preserve">The final immortality argument moves from power and operation to duration. A power so enlarged has no assigned limit in knowing and willing; because life is prior in origin to intelligence, the power of living should have been granted even more fundamentally. </w:t>
      </w:r>
      <w:r>
        <w:t>“</w:t>
      </w:r>
      <w:r>
        <w:rPr>
          <w:b w:val="0"/>
          <w:i w:val="0"/>
        </w:rPr>
        <w:t>Granted</w:t>
      </w:r>
      <w:r>
        <w:t>”</w:t>
      </w:r>
      <w:r>
        <w:rPr>
          <w:b w:val="0"/>
          <w:i w:val="0"/>
        </w:rPr>
        <w:t xml:space="preserve"> matters as much as </w:t>
      </w:r>
      <w:r>
        <w:t>“</w:t>
      </w:r>
      <w:r>
        <w:rPr>
          <w:b w:val="0"/>
          <w:i w:val="0"/>
        </w:rPr>
        <w:t>infinite.</w:t>
      </w:r>
      <w:r>
        <w:t>”</w:t>
      </w:r>
      <w:r>
        <w:rPr>
          <w:b w:val="0"/>
          <w:i w:val="0"/>
        </w:rPr>
        <w:t xml:space="preserve"> The conclusion does not erase the causal distinction between the First Cause and created mind.</w:t>
      </w:r>
    </w:p>
    <w:p>
      <w:pPr>
        <w:keepNext/>
        <w:widowControl/>
      </w:pPr>
      <w:r>
        <w:rPr>
          <w:b/>
          <w:i w:val="0"/>
        </w:rPr>
        <w:t>Places to Read.</w:t>
      </w:r>
    </w:p>
    <w:p>
      <w:pPr>
        <w:ind w:left="187" w:hanging="187"/>
      </w:pPr>
      <w:r>
        <w:t xml:space="preserve">• </w:t>
      </w:r>
      <w:r>
        <w:rPr>
          <w:b/>
          <w:i w:val="0"/>
        </w:rPr>
        <w:t>VIII.16.3, PDF pp. 374–375.</w:t>
      </w:r>
      <w:r>
        <w:rPr>
          <w:b w:val="0"/>
          <w:i w:val="0"/>
        </w:rPr>
        <w:t xml:space="preserve"> Finite human achievements and created knowledge fail to satisfy intellectual desire.</w:t>
      </w:r>
    </w:p>
    <w:p>
      <w:pPr>
        <w:ind w:left="187" w:hanging="187"/>
      </w:pPr>
      <w:r>
        <w:t xml:space="preserve">• </w:t>
      </w:r>
      <w:r>
        <w:rPr>
          <w:b/>
          <w:i w:val="0"/>
        </w:rPr>
        <w:t>VIII.16.4, PDF pp. 376–377.</w:t>
      </w:r>
      <w:r>
        <w:rPr>
          <w:b w:val="0"/>
          <w:i w:val="0"/>
        </w:rPr>
        <w:t xml:space="preserve"> Acceleration images lead to the explicit correction from self-owned power to divine enlargement and preserved dependence.</w:t>
      </w:r>
    </w:p>
    <w:p>
      <w:pPr>
        <w:keepNext/>
        <w:widowControl/>
      </w:pPr>
      <w:r>
        <w:rPr>
          <w:b/>
          <w:i w:val="0"/>
        </w:rPr>
        <w:t>In this edition.</w:t>
      </w:r>
    </w:p>
    <w:p>
      <w:pPr>
        <w:widowControl/>
      </w:pPr>
      <w:r>
        <w:rPr>
          <w:b w:val="0"/>
          <w:i w:val="0"/>
        </w:rPr>
        <w:t xml:space="preserve">Talem quandam alicubi aut talem infinitatem is awkward in all three reported witnesses. The edition renders a distributive </w:t>
      </w:r>
      <w:r>
        <w:t>“</w:t>
      </w:r>
      <w:r>
        <w:rPr>
          <w:b w:val="0"/>
          <w:i w:val="0"/>
        </w:rPr>
        <w:t>some infinity of one kind or another</w:t>
      </w:r>
      <w:r>
        <w:t>”</w:t>
      </w:r>
      <w:r>
        <w:rPr>
          <w:b w:val="0"/>
          <w:i w:val="0"/>
        </w:rPr>
        <w:t>; this contribution does not silently emend it. The earlier sitis eius utrumque is also syntactically awkward in the supplied Latin; the English expands it as thirst for both human and divine things, an interpretation supported by the preceding contrast but not a smooth literal equivalent.</w:t>
      </w:r>
    </w:p>
    <w:p>
      <w:pPr>
        <w:keepNext/>
        <w:widowControl/>
      </w:pPr>
      <w:r>
        <w:rPr>
          <w:b/>
          <w:i w:val="0"/>
        </w:rPr>
        <w:t>See also.</w:t>
      </w:r>
    </w:p>
    <w:p>
      <w:pPr>
        <w:widowControl/>
      </w:pPr>
      <w:hyperlink w:anchor="viii-self-cause">
        <w:r>
          <w:rPr>
            <w:color w:val="000000"/>
          </w:rPr>
          <w:t xml:space="preserve">Self-causation: formal cause and efficient cause</w:t>
        </w:r>
      </w:hyperlink>
      <w:r>
        <w:rPr>
          <w:b w:val="0"/>
          <w:i w:val="0"/>
        </w:rPr>
        <w:t xml:space="preserve">; </w:t>
      </w:r>
      <w:hyperlink w:anchor="viii-finite-angels">
        <w:r>
          <w:rPr>
            <w:color w:val="000000"/>
          </w:rPr>
          <w:t xml:space="preserve">Finite angels, infinite act, and infinite potency</w:t>
        </w:r>
      </w:hyperlink>
      <w:r>
        <w:rPr>
          <w:b w:val="0"/>
          <w:i w:val="0"/>
        </w:rPr>
        <w:t xml:space="preserve">; </w:t>
      </w:r>
      <w:hyperlink w:anchor="viii-individual-perpetuity">
        <w:r>
          <w:rPr>
            <w:color w:val="000000"/>
          </w:rPr>
          <w:t xml:space="preserve">Individual immortality and the scope of the conclusion</w:t>
        </w:r>
      </w:hyperlink>
    </w:p>
    <w:p>
      <w:pPr>
        <w:pStyle w:val="Heading2"/>
      </w:pPr>
      <w:bookmarkStart w:id="155" w:name="instrument-and-creative-mediation"/>
      <w:r>
        <w:rPr>
          <w:b w:val="0"/>
          <w:i w:val="0"/>
        </w:rPr>
        <w:t>Instrument and creative mediation</w:t>
      </w:r>
      <w:bookmarkEnd w:id="155"/>
    </w:p>
    <w:p>
      <w:pPr>
        <w:keepNext/>
        <w:widowControl/>
      </w:pPr>
      <w:r>
        <w:rPr>
          <w:b/>
          <w:i w:val="0"/>
        </w:rPr>
        <w:t>Latin:</w:t>
      </w:r>
      <w:r>
        <w:rPr>
          <w:b w:val="0"/>
          <w:i w:val="0"/>
        </w:rPr>
        <w:t xml:space="preserve"> </w:t>
      </w:r>
      <w:r>
        <w:rPr>
          <w:b w:val="0"/>
          <w:i/>
        </w:rPr>
        <w:t>instrumentum</w:t>
      </w:r>
      <w:r>
        <w:rPr>
          <w:b w:val="0"/>
          <w:i w:val="0"/>
        </w:rPr>
        <w:t xml:space="preserve">; </w:t>
      </w:r>
      <w:r>
        <w:rPr>
          <w:b w:val="0"/>
          <w:i/>
        </w:rPr>
        <w:t>medium</w:t>
      </w:r>
      <w:r>
        <w:rPr>
          <w:b w:val="0"/>
          <w:i w:val="0"/>
        </w:rPr>
        <w:t xml:space="preserve">; </w:t>
      </w:r>
      <w:r>
        <w:rPr>
          <w:b w:val="0"/>
          <w:i/>
        </w:rPr>
        <w:t>principalis agens</w:t>
      </w:r>
      <w:r>
        <w:rPr>
          <w:b w:val="0"/>
          <w:i w:val="0"/>
        </w:rPr>
        <w:t xml:space="preserve">; </w:t>
      </w:r>
      <w:r>
        <w:rPr>
          <w:b w:val="0"/>
          <w:i/>
        </w:rPr>
        <w:t>subiectum</w:t>
      </w:r>
      <w:r>
        <w:rPr>
          <w:b w:val="0"/>
          <w:i w:val="0"/>
        </w:rPr>
        <w:t xml:space="preserve">; </w:t>
      </w:r>
      <w:r>
        <w:rPr>
          <w:b w:val="0"/>
          <w:i/>
        </w:rPr>
        <w:t>traducere</w:t>
      </w:r>
      <w:r>
        <w:rPr>
          <w:b w:val="0"/>
          <w:i w:val="0"/>
        </w:rPr>
        <w:t xml:space="preserve">; </w:t>
      </w:r>
      <w:r>
        <w:rPr>
          <w:b w:val="0"/>
          <w:i/>
        </w:rPr>
        <w:t>temporis intervallum</w:t>
      </w:r>
      <w:r>
        <w:rPr>
          <w:b w:val="0"/>
          <w:i w:val="0"/>
        </w:rPr>
        <w:t xml:space="preserve">; </w:t>
      </w:r>
      <w:r>
        <w:rPr>
          <w:b w:val="0"/>
          <w:i/>
        </w:rPr>
        <w:t>sine medio</w:t>
      </w:r>
    </w:p>
    <w:p>
      <w:pPr>
        <w:keepNext/>
        <w:widowControl/>
      </w:pPr>
      <w:r>
        <w:rPr>
          <w:b/>
          <w:i w:val="0"/>
        </w:rPr>
        <w:t>The word.</w:t>
      </w:r>
    </w:p>
    <w:p>
      <w:pPr>
        <w:widowControl/>
      </w:pPr>
      <w:r>
        <w:rPr>
          <w:b w:val="0"/>
          <w:i w:val="0"/>
        </w:rPr>
        <w:t>Instrumentum is an instrument, an agent moved by another to act upon a recipient. Medium is an intermediary. Principalis agens names the governing agent in an instrumental action; it need not mean the absolutely First Cause of all being. Sine medio means without an intervening cause of the relevant kind.</w:t>
      </w:r>
    </w:p>
    <w:p>
      <w:pPr>
        <w:keepNext/>
        <w:widowControl/>
      </w:pPr>
      <w:r>
        <w:rPr>
          <w:b/>
          <w:i w:val="0"/>
        </w:rPr>
        <w:t>In the Platonic Theology.</w:t>
      </w:r>
    </w:p>
    <w:p>
      <w:pPr>
        <w:widowControl/>
      </w:pPr>
      <w:r>
        <w:rPr>
          <w:b w:val="0"/>
          <w:i w:val="0"/>
        </w:rPr>
        <w:t>V.4.10 makes qualities instruments through which rational soul moves matter. The example is genuinely causal: the instrument carries an agent’s operation into a receptive subject. The soul can therefore employ bodily powers without deriving its own essence from them.</w:t>
      </w:r>
    </w:p>
    <w:p>
      <w:pPr>
        <w:widowControl/>
      </w:pPr>
      <w:r>
        <w:rPr>
          <w:b w:val="0"/>
          <w:i w:val="0"/>
        </w:rPr>
        <w:t>V.13.14 tests whether an angel could have just that role in creating a soul: God the craftsman, angel the instrument. Ficino rejects it by analyzing what instruments do. They are moved by another, move something else, affect an underlying subject and convey the principal agent’s form through an interval of time. Creation from nothing lacks a subject and does not take place through motion or time. Its mode therefore cannot be transferred unchanged to this instrument model.</w:t>
      </w:r>
    </w:p>
    <w:p>
      <w:pPr>
        <w:widowControl/>
      </w:pPr>
      <w:r>
        <w:rPr>
          <w:b w:val="0"/>
          <w:i w:val="0"/>
        </w:rPr>
        <w:t>The following objection concerns power. If infinite creative power were first received in a finite angel, it would be delimited by the angel’s nature; it could not then perform an act requiring infinity. The two reasons are related but distinct: one concerns the structure of instrumental operation, the other limitation by a receiver.</w:t>
      </w:r>
    </w:p>
    <w:p>
      <w:pPr>
        <w:widowControl/>
      </w:pPr>
      <w:r>
        <w:rPr>
          <w:b w:val="0"/>
          <w:i w:val="0"/>
        </w:rPr>
        <w:t xml:space="preserve">The conclusion </w:t>
      </w:r>
      <w:r>
        <w:t>“</w:t>
      </w:r>
      <w:r>
        <w:rPr>
          <w:b w:val="0"/>
          <w:i w:val="0"/>
        </w:rPr>
        <w:t>without intermediary</w:t>
      </w:r>
      <w:r>
        <w:t>”</w:t>
      </w:r>
      <w:r>
        <w:rPr>
          <w:b w:val="0"/>
          <w:i w:val="0"/>
        </w:rPr>
        <w:t xml:space="preserve"> concerns the soul’s creation and continuing dependence. It does not forbid every angelic illumination, assistance or ranked relation elsewhere. The same V.6 that distinguishes separate forms from infused powers allows beneficent power from God or angel. Scope matters.</w:t>
      </w:r>
    </w:p>
    <w:p>
      <w:pPr>
        <w:keepNext/>
        <w:widowControl/>
      </w:pPr>
      <w:r>
        <w:rPr>
          <w:b/>
          <w:i w:val="0"/>
        </w:rPr>
        <w:t>Places to Read.</w:t>
      </w:r>
    </w:p>
    <w:p>
      <w:pPr>
        <w:ind w:left="187" w:hanging="187"/>
      </w:pPr>
      <w:r>
        <w:t xml:space="preserve">• </w:t>
      </w:r>
      <w:r>
        <w:rPr>
          <w:b/>
          <w:i w:val="0"/>
        </w:rPr>
        <w:t>V.4.10, PDF 24–25.</w:t>
      </w:r>
      <w:r>
        <w:rPr>
          <w:b w:val="0"/>
          <w:i w:val="0"/>
        </w:rPr>
        <w:t xml:space="preserve"> Qualities serve as instruments in soul’s movement of matter.</w:t>
      </w:r>
    </w:p>
    <w:p>
      <w:pPr>
        <w:ind w:left="187" w:hanging="187"/>
      </w:pPr>
      <w:r>
        <w:t xml:space="preserve">• </w:t>
      </w:r>
      <w:r>
        <w:rPr>
          <w:b/>
          <w:i w:val="0"/>
        </w:rPr>
        <w:t>V.6.1, PDF 32–33.</w:t>
      </w:r>
      <w:r>
        <w:rPr>
          <w:b w:val="0"/>
          <w:i w:val="0"/>
        </w:rPr>
        <w:t xml:space="preserve"> Infused beneficent power is distinguished from separately created subsistent form.</w:t>
      </w:r>
    </w:p>
    <w:p>
      <w:pPr>
        <w:ind w:left="187" w:hanging="187"/>
      </w:pPr>
      <w:r>
        <w:t xml:space="preserve">• </w:t>
      </w:r>
      <w:r>
        <w:rPr>
          <w:b/>
          <w:i w:val="0"/>
        </w:rPr>
        <w:t>V.13.14, V.13.15, V.13.16, V.13.17, PDF 88–91.</w:t>
      </w:r>
      <w:r>
        <w:rPr>
          <w:b w:val="0"/>
          <w:i w:val="0"/>
        </w:rPr>
        <w:t xml:space="preserve"> Angelic instrumental creation is rejected and immediate creation/preservation affirmed.</w:t>
      </w:r>
    </w:p>
    <w:p>
      <w:pPr>
        <w:keepNext/>
        <w:widowControl/>
      </w:pPr>
      <w:r>
        <w:rPr>
          <w:b/>
          <w:i w:val="0"/>
        </w:rPr>
        <w:t>In this edition.</w:t>
      </w:r>
    </w:p>
    <w:p>
      <w:pPr>
        <w:widowControl/>
      </w:pPr>
      <w:r>
        <w:rPr>
          <w:b w:val="0"/>
          <w:i w:val="0"/>
        </w:rPr>
        <w:t>The phrase formam principalis agentis at V.13.14 means the form of the principal agent in this proposed instrumental arrangement. It should not be cited as though every occurrence of principalis were the technical name causa prima. The hypothetical arrangement is rejected, not adopted. The apparatus at PDF 385 takes hanc in V.4.10 as the efficient power just mentioned: the first-moving power forms that subordinate power. The English follows this explicit editorial construal; this companion does not label it a mistranslation.</w:t>
      </w:r>
    </w:p>
    <w:p>
      <w:pPr>
        <w:keepNext/>
        <w:widowControl/>
      </w:pPr>
      <w:r>
        <w:rPr>
          <w:b/>
          <w:i w:val="0"/>
        </w:rPr>
        <w:t>See also.</w:t>
      </w:r>
    </w:p>
    <w:p>
      <w:pPr>
        <w:widowControl/>
      </w:pPr>
      <w:hyperlink w:anchor="four-causes-and-graded-dependence">
        <w:r>
          <w:rPr>
            <w:color w:val="000000"/>
          </w:rPr>
          <w:t xml:space="preserve">Four causes and graded dependence</w:t>
        </w:r>
      </w:hyperlink>
      <w:r>
        <w:rPr>
          <w:b w:val="0"/>
          <w:i w:val="0"/>
        </w:rPr>
        <w:t xml:space="preserve">; </w:t>
      </w:r>
      <w:hyperlink w:anchor="creation-and-generation">
        <w:r>
          <w:rPr>
            <w:color w:val="000000"/>
          </w:rPr>
          <w:t xml:space="preserve">Creation and generation</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first-cause">
        <w:r>
          <w:rPr>
            <w:color w:val="000000"/>
          </w:rPr>
          <w:t xml:space="preserve">First Cause</w:t>
        </w:r>
      </w:hyperlink>
    </w:p>
    <w:p>
      <w:pPr>
        <w:pStyle w:val="Heading2"/>
      </w:pPr>
      <w:bookmarkStart w:id="156" w:name="integrity-of-the-whole"/>
      <w:r>
        <w:rPr>
          <w:b w:val="0"/>
          <w:i w:val="0"/>
        </w:rPr>
        <w:t>Integrity of the whole</w:t>
      </w:r>
      <w:bookmarkEnd w:id="156"/>
    </w:p>
    <w:p>
      <w:pPr>
        <w:keepNext/>
        <w:widowControl/>
      </w:pPr>
      <w:r>
        <w:rPr>
          <w:b/>
          <w:i w:val="0"/>
        </w:rPr>
        <w:t>Latin:</w:t>
      </w:r>
      <w:r>
        <w:rPr>
          <w:b w:val="0"/>
          <w:i w:val="0"/>
        </w:rPr>
        <w:t xml:space="preserve"> </w:t>
      </w:r>
      <w:r>
        <w:rPr>
          <w:b w:val="0"/>
          <w:i/>
        </w:rPr>
        <w:t>totius integritas</w:t>
      </w:r>
      <w:r>
        <w:rPr>
          <w:b w:val="0"/>
          <w:i w:val="0"/>
        </w:rPr>
        <w:t xml:space="preserve">; </w:t>
      </w:r>
      <w:r>
        <w:rPr>
          <w:b w:val="0"/>
          <w:i/>
        </w:rPr>
        <w:t>provenire</w:t>
      </w:r>
      <w:r>
        <w:rPr>
          <w:b w:val="0"/>
          <w:i w:val="0"/>
        </w:rPr>
        <w:t xml:space="preserve">; </w:t>
      </w:r>
      <w:r>
        <w:rPr>
          <w:b w:val="0"/>
          <w:i/>
        </w:rPr>
        <w:t>materia et forma</w:t>
      </w:r>
      <w:r>
        <w:rPr>
          <w:b w:val="0"/>
          <w:i w:val="0"/>
        </w:rPr>
        <w:t xml:space="preserve">; </w:t>
      </w:r>
      <w:r>
        <w:rPr>
          <w:b w:val="0"/>
          <w:i/>
        </w:rPr>
        <w:t>radix</w:t>
      </w:r>
      <w:r>
        <w:rPr>
          <w:b w:val="0"/>
          <w:i w:val="0"/>
        </w:rPr>
        <w:t xml:space="preserve">; </w:t>
      </w:r>
      <w:r>
        <w:rPr>
          <w:b w:val="0"/>
          <w:i/>
        </w:rPr>
        <w:t>fundamentum</w:t>
      </w:r>
      <w:r>
        <w:rPr>
          <w:b w:val="0"/>
          <w:i w:val="0"/>
        </w:rPr>
        <w:t xml:space="preserve">; </w:t>
      </w:r>
      <w:r>
        <w:rPr>
          <w:b w:val="0"/>
          <w:i/>
        </w:rPr>
        <w:t>quantitate protendi</w:t>
      </w:r>
    </w:p>
    <w:p>
      <w:pPr>
        <w:keepNext/>
        <w:widowControl/>
      </w:pPr>
      <w:r>
        <w:rPr>
          <w:b/>
          <w:i w:val="0"/>
        </w:rPr>
        <w:t>The word.</w:t>
      </w:r>
    </w:p>
    <w:p>
      <w:pPr>
        <w:widowControl/>
      </w:pPr>
      <w:r>
        <w:rPr>
          <w:b w:val="0"/>
          <w:i w:val="0"/>
        </w:rPr>
        <w:t>Integritas is the completeness or integrated nature of the whole. Provenire means arising or resulting. The proposal gives form the power to move and matter the capacity to be moved; radix and fundamentum picture the roots of these capacities.</w:t>
      </w:r>
    </w:p>
    <w:p>
      <w:pPr>
        <w:keepNext/>
        <w:widowControl/>
      </w:pPr>
      <w:r>
        <w:rPr>
          <w:b/>
          <w:i w:val="0"/>
        </w:rPr>
        <w:t>In the Platonic Theology.</w:t>
      </w:r>
    </w:p>
    <w:p>
      <w:pPr>
        <w:widowControl/>
      </w:pPr>
      <w:r>
        <w:rPr>
          <w:b w:val="0"/>
          <w:i w:val="0"/>
        </w:rPr>
        <w:t>An opponent suggests that composition produces a nature beyond matter and form, or beyond the four elements: the whole’s integrity. It would move itself because its form acts and its matter receives. This objection is more sophisticated than calling soul an isolated element, and should not be assimilated to the first materialist position without qualification.</w:t>
      </w:r>
    </w:p>
    <w:p>
      <w:pPr>
        <w:widowControl/>
      </w:pPr>
      <w:r>
        <w:rPr>
          <w:b w:val="0"/>
          <w:i w:val="0"/>
        </w:rPr>
        <w:t>Ficino gives two replies from the Platonist standpoint. First, distributing action and reception between different essences still fails to reach one primary source and receptacle of motion and life. Second, if the resulting integrity is extended quantitatively, it repeats the problems already demonstrated for bodily bulk; if indivisible, it concedes the incorporeal nature sought. The following clarification is essential: incorporeal self-motion does not mean a thing passing an action to itself as a separate patient. It means the natural alternation of its own affections. The objection’s causal decomposition and Ficino’s nontransitive account of psychic motion must remain distinct.</w:t>
      </w:r>
    </w:p>
    <w:p>
      <w:pPr>
        <w:keepNext/>
        <w:widowControl/>
      </w:pPr>
      <w:r>
        <w:rPr>
          <w:b/>
          <w:i w:val="0"/>
        </w:rPr>
        <w:t>Places to Read.</w:t>
      </w:r>
    </w:p>
    <w:p>
      <w:pPr>
        <w:ind w:left="187" w:hanging="187"/>
      </w:pPr>
      <w:r>
        <w:t xml:space="preserve">• </w:t>
      </w:r>
      <w:r>
        <w:rPr>
          <w:b/>
          <w:i w:val="0"/>
        </w:rPr>
        <w:t>VI.12.9; source PDF pp. 210, 211</w:t>
      </w:r>
      <w:r>
        <w:rPr>
          <w:b w:val="0"/>
          <w:i w:val="0"/>
        </w:rPr>
        <w:t>. The emergent integrity proposal is stated and answered in two different ways.</w:t>
      </w:r>
    </w:p>
    <w:p>
      <w:pPr>
        <w:ind w:left="187" w:hanging="187"/>
      </w:pPr>
      <w:r>
        <w:t xml:space="preserve">• </w:t>
      </w:r>
      <w:r>
        <w:rPr>
          <w:b/>
          <w:i w:val="0"/>
        </w:rPr>
        <w:t>VI.12.10; source PDF pp. 210, 211</w:t>
      </w:r>
      <w:r>
        <w:rPr>
          <w:b w:val="0"/>
          <w:i w:val="0"/>
        </w:rPr>
        <w:t>. Natural succession within soul replaces an agent-to-patient transfer.</w:t>
      </w:r>
    </w:p>
    <w:p>
      <w:pPr>
        <w:keepNext/>
        <w:widowControl/>
      </w:pPr>
      <w:r>
        <w:rPr>
          <w:b/>
          <w:i w:val="0"/>
        </w:rPr>
        <w:t>In this edition.</w:t>
      </w:r>
    </w:p>
    <w:p>
      <w:pPr>
        <w:widowControl/>
      </w:pPr>
      <w:r>
        <w:rPr>
          <w:b w:val="0"/>
          <w:i w:val="0"/>
        </w:rPr>
        <w:t xml:space="preserve">The edition retains Ficino’s polemical cavillatio, </w:t>
      </w:r>
      <w:r>
        <w:t>“</w:t>
      </w:r>
      <w:r>
        <w:rPr>
          <w:b w:val="0"/>
          <w:i w:val="0"/>
        </w:rPr>
        <w:t>quibble,</w:t>
      </w:r>
      <w:r>
        <w:t>”</w:t>
      </w:r>
      <w:r>
        <w:rPr>
          <w:b w:val="0"/>
          <w:i w:val="0"/>
        </w:rPr>
        <w:t xml:space="preserve"> without making it a neutral name for all theories of emergence. This is a reported objection and reply, not a settled modern adjudication of whole-system properties.</w:t>
      </w:r>
    </w:p>
    <w:p>
      <w:pPr>
        <w:keepNext/>
        <w:widowControl/>
      </w:pPr>
      <w:r>
        <w:rPr>
          <w:b/>
          <w:i w:val="0"/>
        </w:rPr>
        <w:t>See also.</w:t>
      </w:r>
    </w:p>
    <w:p>
      <w:pPr>
        <w:widowControl/>
      </w:pPr>
      <w:hyperlink w:anchor="primary-self-motion-and-parts">
        <w:r>
          <w:rPr>
            <w:color w:val="000000"/>
          </w:rPr>
          <w:t xml:space="preserve">Primary self-motion and the regress of parts</w:t>
        </w:r>
      </w:hyperlink>
      <w:r>
        <w:rPr>
          <w:b w:val="0"/>
          <w:i w:val="0"/>
        </w:rPr>
        <w:t xml:space="preserve">; </w:t>
      </w:r>
      <w:hyperlink w:anchor="elements-conjunction-and-inward-orderer">
        <w:r>
          <w:rPr>
            <w:color w:val="000000"/>
          </w:rPr>
          <w:t xml:space="preserve">Elements, conjunction and the inward orderer</w:t>
        </w:r>
      </w:hyperlink>
    </w:p>
    <w:p>
      <w:pPr>
        <w:pStyle w:val="Heading2"/>
      </w:pPr>
      <w:bookmarkStart w:id="157" w:name="viii-intellectual-intelligible"/>
      <w:r>
        <w:rPr>
          <w:b w:val="0"/>
          <w:i w:val="0"/>
        </w:rPr>
        <w:t>Intellectual forms and intelligible essences</w:t>
      </w:r>
      <w:bookmarkEnd w:id="157"/>
    </w:p>
    <w:p>
      <w:pPr>
        <w:keepNext/>
        <w:widowControl/>
      </w:pPr>
      <w:r>
        <w:rPr>
          <w:b/>
          <w:i w:val="0"/>
        </w:rPr>
        <w:t>Latin:</w:t>
      </w:r>
      <w:r>
        <w:rPr>
          <w:b w:val="0"/>
          <w:i w:val="0"/>
        </w:rPr>
        <w:t xml:space="preserve"> </w:t>
      </w:r>
      <w:r>
        <w:rPr>
          <w:b w:val="0"/>
          <w:i/>
        </w:rPr>
        <w:t>forma intelligibilis</w:t>
      </w:r>
      <w:r>
        <w:rPr>
          <w:b w:val="0"/>
          <w:i w:val="0"/>
        </w:rPr>
        <w:t xml:space="preserve">; </w:t>
      </w:r>
      <w:r>
        <w:rPr>
          <w:b w:val="0"/>
          <w:i/>
        </w:rPr>
        <w:t>species</w:t>
      </w:r>
      <w:r>
        <w:rPr>
          <w:b w:val="0"/>
          <w:i w:val="0"/>
        </w:rPr>
        <w:t xml:space="preserve">; </w:t>
      </w:r>
      <w:r>
        <w:rPr>
          <w:b w:val="0"/>
          <w:i/>
        </w:rPr>
        <w:t>forma intellectualis</w:t>
      </w:r>
      <w:r>
        <w:rPr>
          <w:b w:val="0"/>
          <w:i w:val="0"/>
        </w:rPr>
        <w:t xml:space="preserve">; </w:t>
      </w:r>
      <w:r>
        <w:rPr>
          <w:b w:val="0"/>
          <w:i/>
        </w:rPr>
        <w:t>essentia intelligibilis</w:t>
      </w:r>
      <w:r>
        <w:rPr>
          <w:b w:val="0"/>
          <w:i w:val="0"/>
        </w:rPr>
        <w:t xml:space="preserve">; </w:t>
      </w:r>
      <w:r>
        <w:rPr>
          <w:b w:val="0"/>
          <w:i/>
        </w:rPr>
        <w:t>imago</w:t>
      </w:r>
      <w:r>
        <w:rPr>
          <w:b w:val="0"/>
          <w:i w:val="0"/>
        </w:rPr>
        <w:t xml:space="preserve">; </w:t>
      </w:r>
      <w:r>
        <w:rPr>
          <w:b w:val="0"/>
          <w:i/>
        </w:rPr>
        <w:t>aspectus</w:t>
      </w:r>
    </w:p>
    <w:p>
      <w:pPr>
        <w:keepNext/>
        <w:widowControl/>
      </w:pPr>
      <w:r>
        <w:rPr>
          <w:b/>
          <w:i w:val="0"/>
        </w:rPr>
        <w:t>The word.</w:t>
      </w:r>
    </w:p>
    <w:p>
      <w:pPr>
        <w:widowControl/>
      </w:pPr>
      <w:r>
        <w:rPr>
          <w:b w:val="0"/>
          <w:i w:val="0"/>
        </w:rPr>
        <w:t>An intelligible essence is what mind knows; an intellectual form is the image or form through which it is actually able to know that essence. Ficino says the latter is often also called intelligible, but that intellectual is the more exact Platonic designation. The lexical overlap does not abolish the distinction.</w:t>
      </w:r>
    </w:p>
    <w:p>
      <w:pPr>
        <w:keepNext/>
        <w:widowControl/>
      </w:pPr>
      <w:r>
        <w:rPr>
          <w:b/>
          <w:i w:val="0"/>
        </w:rPr>
        <w:t>In the Platonic Theology.</w:t>
      </w:r>
    </w:p>
    <w:p>
      <w:pPr>
        <w:widowControl/>
      </w:pPr>
      <w:r>
        <w:rPr>
          <w:b w:val="0"/>
          <w:i w:val="0"/>
        </w:rPr>
        <w:t>VIII.4 opens with a teaching attributed to Arab Platonists: intellect acquires a universal form signifying human beings and then judges that human nature is rational animality. This judgment can be described as conception, account, definition or knowledge, according to the aspect emphasized. The sequence distinguishes possession of a representing form from the articulated apprehension it supports; none of these names locates a bodily picture inside the mind.</w:t>
      </w:r>
    </w:p>
    <w:p>
      <w:pPr>
        <w:widowControl/>
      </w:pPr>
      <w:r>
        <w:rPr>
          <w:b w:val="0"/>
          <w:i w:val="0"/>
        </w:rPr>
        <w:t>Ficino later makes the terminology more exact. Mind acts in knowing only insofar as it is actual, and it is actualized through form. To contemplate an essence it therefore possesses a form of that essence as an image. The essence is intelligible; its image in the knower is more properly intellectual, although the latter is often also called intelligible. The refinement does not erase earlier overlapping usage. It distinguishes what is known from the representation through which the knower operates. The essence and its intellectual image remain distinct even when both are simple.</w:t>
      </w:r>
    </w:p>
    <w:p>
      <w:pPr>
        <w:widowControl/>
      </w:pPr>
      <w:r>
        <w:rPr>
          <w:b w:val="0"/>
          <w:i w:val="0"/>
        </w:rPr>
        <w:t>The chapter’s first set of arguments tests what bodily parts the representing species might possess. Homogeneous parts would merely duplicate a complete account or add quantity. Unlike parts, modelled on genus and difference, would be indefinitely cut with the body’s regions, destroying the bounded definition. Separating them to right and left cannot explain one mind’s one knowledge of one thing. Unspecified parts and numerical component-sciences are also tested. These arguments concern the proposed composition of an intellectual species; they prepare but do not replace the more direct representational argument at VIII.4.9.</w:t>
      </w:r>
    </w:p>
    <w:p>
      <w:pPr>
        <w:widowControl/>
      </w:pPr>
      <w:r>
        <w:rPr>
          <w:b w:val="0"/>
          <w:i w:val="0"/>
        </w:rPr>
        <w:t>That renewed argument begins from an object judged simple: goodness under its universal account, or God or angel when truly understood. Suppose its representing form were scattered into parts. Either no part refers to the essence, only some do, or all do. If none refers, the assembled whole has no basis for referring. If only some do, the nonreferring parts are irrelevant to the intellectual form. If all do, Ficino asks whether their reference is the same or different. Aspectus and respectus here concern intentional regard, not literal optical rays.</w:t>
      </w:r>
    </w:p>
    <w:p>
      <w:pPr>
        <w:widowControl/>
      </w:pPr>
      <w:r>
        <w:rPr>
          <w:b w:val="0"/>
          <w:i w:val="0"/>
        </w:rPr>
        <w:t>If every portion adequately refers to the whole essence, each already performs the entire cognitive work. One suffices; the others are superfluous. If such duplicates track every potential bodily subdivision and each contributes to knowing, the hypothesis yields an actually innumerable set of operative forms. If the parts instead have different reference, each must answer to a different part of the object; the proposed representation thereby makes the supposedly simple essence multiple. Correctly judging simplicity requires a simple regard. The argument depends upon the correspondence between cognitive articulation and the object understood, rather than upon the assertion that every image is identical with its object.</w:t>
      </w:r>
    </w:p>
    <w:p>
      <w:pPr>
        <w:widowControl/>
      </w:pPr>
      <w:r>
        <w:rPr>
          <w:b w:val="0"/>
          <w:i w:val="0"/>
        </w:rPr>
        <w:t>Ficino anticipates the objection from knowledge of composites. A human body has parts, and ten can be divided into numbers, but humanity as humanity and ten as ten each have one defining account. A composite can therefore be known under an indivisible aspect without losing its bodily or numerical divisibility in other respects. Other objects, including unity and the first principles reached when analysis ends, are intrinsically simple. VIII.4.13 joins these two cases: simple objects and indivisible aspects of composites require simple acts and forms.</w:t>
      </w:r>
    </w:p>
    <w:p>
      <w:pPr>
        <w:widowControl/>
      </w:pPr>
      <w:r>
        <w:rPr>
          <w:b w:val="0"/>
          <w:i w:val="0"/>
        </w:rPr>
        <w:t>The conclusion then moves beyond representation to its subject. Ficino assumes that a mind receiving such forms must itself be simple, and that greater simplicity entails greater indissolubility. Since life is prior to intelligence, the living subject must possess the relevant permanence even more fundamentally than its reflective activity. These final premises make the immortality argument more than a lexical distinction between intellectual and intelligible. Keeping the steps separate lets the reader assess where the representational analysis ends and where the stronger metaphysical inference begins.</w:t>
      </w:r>
    </w:p>
    <w:p>
      <w:pPr>
        <w:keepNext/>
        <w:widowControl/>
      </w:pPr>
      <w:r>
        <w:rPr>
          <w:b/>
          <w:i w:val="0"/>
        </w:rPr>
        <w:t>Places to Read.</w:t>
      </w:r>
    </w:p>
    <w:p>
      <w:pPr>
        <w:ind w:left="187" w:hanging="187"/>
      </w:pPr>
      <w:r>
        <w:t xml:space="preserve">• </w:t>
      </w:r>
      <w:r>
        <w:rPr>
          <w:b/>
          <w:i w:val="0"/>
        </w:rPr>
        <w:t>VIII.4.1, PDF pp. 316–317.</w:t>
      </w:r>
      <w:r>
        <w:rPr>
          <w:b w:val="0"/>
          <w:i w:val="0"/>
        </w:rPr>
        <w:t xml:space="preserve"> Universal form, conception, definition and knowledge are connected at the opening.</w:t>
      </w:r>
    </w:p>
    <w:p>
      <w:pPr>
        <w:ind w:left="187" w:hanging="187"/>
      </w:pPr>
      <w:r>
        <w:t xml:space="preserve">• </w:t>
      </w:r>
      <w:r>
        <w:rPr>
          <w:b/>
          <w:i w:val="0"/>
        </w:rPr>
        <w:t>VIII.4.9, PDF pp. 330–331.</w:t>
      </w:r>
      <w:r>
        <w:rPr>
          <w:b w:val="0"/>
          <w:i w:val="0"/>
        </w:rPr>
        <w:t xml:space="preserve"> Ficino explicitly distinguishes intellectual forms from intelligible essences and examines their possible parts.</w:t>
      </w:r>
    </w:p>
    <w:p>
      <w:pPr>
        <w:ind w:left="187" w:hanging="187"/>
      </w:pPr>
      <w:r>
        <w:t xml:space="preserve">• </w:t>
      </w:r>
      <w:r>
        <w:rPr>
          <w:b/>
          <w:i w:val="0"/>
        </w:rPr>
        <w:t>VIII.4.13, PDF pp. 336–337.</w:t>
      </w:r>
      <w:r>
        <w:rPr>
          <w:b w:val="0"/>
          <w:i w:val="0"/>
        </w:rPr>
        <w:t xml:space="preserve"> Simplicity of acts and forms supports simplicity of the knowing subject.</w:t>
      </w:r>
    </w:p>
    <w:p>
      <w:pPr>
        <w:keepNext/>
        <w:widowControl/>
      </w:pPr>
      <w:r>
        <w:rPr>
          <w:b/>
          <w:i w:val="0"/>
        </w:rPr>
        <w:t>In this edition.</w:t>
      </w:r>
    </w:p>
    <w:p>
      <w:pPr>
        <w:widowControl/>
      </w:pPr>
      <w:r>
        <w:rPr>
          <w:b w:val="0"/>
          <w:i w:val="0"/>
        </w:rPr>
        <w:t>The qualification proprius matters: Ficino is refining usage, not asserting that every earlier occurrence of intelligibilis has named only the external essence. The English preserves both labels at VIII.4.9 rather than harmonizing them.</w:t>
      </w:r>
    </w:p>
    <w:p>
      <w:pPr>
        <w:keepNext/>
        <w:widowControl/>
      </w:pPr>
      <w:r>
        <w:rPr>
          <w:b/>
          <w:i w:val="0"/>
        </w:rPr>
        <w:t>See also.</w:t>
      </w:r>
    </w:p>
    <w:p>
      <w:pPr>
        <w:widowControl/>
      </w:pPr>
      <w:hyperlink w:anchor="viii-definition-parts">
        <w:r>
          <w:rPr>
            <w:color w:val="000000"/>
          </w:rPr>
          <w:t xml:space="preserve">Definition, genus, difference, and mindless parts</w:t>
        </w:r>
      </w:hyperlink>
      <w:r>
        <w:rPr>
          <w:b w:val="0"/>
          <w:i w:val="0"/>
        </w:rPr>
        <w:t xml:space="preserve">; </w:t>
      </w:r>
      <w:hyperlink w:anchor="viii-species-simplicity">
        <w:r>
          <w:rPr>
            <w:color w:val="000000"/>
          </w:rPr>
          <w:t xml:space="preserve">Simplicity of human and numerical species</w:t>
        </w:r>
      </w:hyperlink>
      <w:r>
        <w:rPr>
          <w:b w:val="0"/>
          <w:i w:val="0"/>
        </w:rPr>
        <w:t xml:space="preserve">; </w:t>
      </w:r>
      <w:hyperlink w:anchor="viii-first-concepts">
        <w:r>
          <w:rPr>
            <w:color w:val="000000"/>
          </w:rPr>
          <w:t xml:space="preserve">First concepts, unity, and the end of analysis</w:t>
        </w:r>
      </w:hyperlink>
    </w:p>
    <w:p>
      <w:pPr>
        <w:pStyle w:val="Heading2"/>
      </w:pPr>
      <w:bookmarkStart w:id="158" w:name="viii-intellectual-generation"/>
      <w:r>
        <w:rPr>
          <w:b w:val="0"/>
          <w:i w:val="0"/>
        </w:rPr>
        <w:t>Intellectual generation and daily renewal</w:t>
      </w:r>
      <w:bookmarkEnd w:id="158"/>
    </w:p>
    <w:p>
      <w:pPr>
        <w:keepNext/>
        <w:widowControl/>
      </w:pPr>
      <w:r>
        <w:rPr>
          <w:b/>
          <w:i w:val="0"/>
        </w:rPr>
        <w:t>Latin:</w:t>
      </w:r>
      <w:r>
        <w:rPr>
          <w:b w:val="0"/>
          <w:i w:val="0"/>
        </w:rPr>
        <w:t xml:space="preserve"> </w:t>
      </w:r>
      <w:r>
        <w:rPr>
          <w:b w:val="0"/>
          <w:i/>
        </w:rPr>
        <w:t>generatio intellectualis</w:t>
      </w:r>
      <w:r>
        <w:rPr>
          <w:b w:val="0"/>
          <w:i w:val="0"/>
        </w:rPr>
        <w:t xml:space="preserve">; </w:t>
      </w:r>
      <w:r>
        <w:rPr>
          <w:b w:val="0"/>
          <w:i/>
        </w:rPr>
        <w:t>renovatio</w:t>
      </w:r>
      <w:r>
        <w:rPr>
          <w:b w:val="0"/>
          <w:i w:val="0"/>
        </w:rPr>
        <w:t xml:space="preserve">; </w:t>
      </w:r>
      <w:r>
        <w:rPr>
          <w:b w:val="0"/>
          <w:i/>
        </w:rPr>
        <w:t>formare</w:t>
      </w:r>
      <w:r>
        <w:rPr>
          <w:b w:val="0"/>
          <w:i w:val="0"/>
        </w:rPr>
        <w:t xml:space="preserve">; </w:t>
      </w:r>
      <w:r>
        <w:rPr>
          <w:b w:val="0"/>
          <w:i/>
        </w:rPr>
        <w:t>perficere</w:t>
      </w:r>
      <w:r>
        <w:rPr>
          <w:b w:val="0"/>
          <w:i w:val="0"/>
        </w:rPr>
        <w:t xml:space="preserve">; </w:t>
      </w:r>
      <w:r>
        <w:rPr>
          <w:b w:val="0"/>
          <w:i/>
        </w:rPr>
        <w:t>genitrix</w:t>
      </w:r>
      <w:r>
        <w:rPr>
          <w:b w:val="0"/>
          <w:i w:val="0"/>
        </w:rPr>
        <w:t xml:space="preserve">; </w:t>
      </w:r>
      <w:r>
        <w:rPr>
          <w:b w:val="0"/>
          <w:i/>
        </w:rPr>
        <w:t>bene esse</w:t>
      </w:r>
    </w:p>
    <w:p>
      <w:pPr>
        <w:keepNext/>
        <w:widowControl/>
      </w:pPr>
      <w:r>
        <w:rPr>
          <w:b/>
          <w:i w:val="0"/>
        </w:rPr>
        <w:t>The word.</w:t>
      </w:r>
    </w:p>
    <w:p>
      <w:pPr>
        <w:widowControl/>
      </w:pPr>
      <w:r>
        <w:rPr>
          <w:b w:val="0"/>
          <w:i w:val="0"/>
        </w:rPr>
        <w:t>Intellectual generation is the mind’s inward production of intelligible accounts. Renewal and perfection concern its continuing activity. Bene esse, being well, is distinguished from simply being; the argument moves from self-perfection toward continued existence.</w:t>
      </w:r>
    </w:p>
    <w:p>
      <w:pPr>
        <w:keepNext/>
        <w:widowControl/>
      </w:pPr>
      <w:r>
        <w:rPr>
          <w:b/>
          <w:i w:val="0"/>
        </w:rPr>
        <w:t>In the Platonic Theology.</w:t>
      </w:r>
    </w:p>
    <w:p>
      <w:pPr>
        <w:widowControl/>
      </w:pPr>
      <w:r>
        <w:rPr>
          <w:b w:val="0"/>
          <w:i w:val="0"/>
        </w:rPr>
        <w:t>Mind forms and perfects itself through understanding and willing. Ficino connects this to the apostle Paul’s language of daily renewal. He then compares natural generation, which achieves a kind of immortality through successive offspring, with intellectual generation, whose products remain within the generating mind. The continuity of an external lineage is therefore distinguished from the supposed permanence of an individual intellectual parent.</w:t>
      </w:r>
    </w:p>
    <w:p>
      <w:pPr>
        <w:widowControl/>
      </w:pPr>
      <w:r>
        <w:rPr>
          <w:b w:val="0"/>
          <w:i w:val="0"/>
        </w:rPr>
        <w:t>The mind produces accounts of itself and other things whenever it understands. Because the generative activity remains within it, Ficino argues that the enduring power is preserved there too. He adds that what can confer the higher benefit of being well should be able to confer being in the relevant formal respect. Contemplation and ethical formation supply the examples of self-perfection.</w:t>
      </w:r>
    </w:p>
    <w:p>
      <w:pPr>
        <w:widowControl/>
      </w:pPr>
      <w:r>
        <w:rPr>
          <w:b w:val="0"/>
          <w:i w:val="0"/>
        </w:rPr>
        <w:t xml:space="preserve">This language must be read with the immediately following qualifications. Ficino does not simply adopt the claim that mind efficiently creates its own essence. He distances himself from Proclus’s stronger statement and subsequently specifies formal, not efficient, self-causation. </w:t>
      </w:r>
      <w:r>
        <w:t>“</w:t>
      </w:r>
      <w:r>
        <w:rPr>
          <w:b w:val="0"/>
          <w:i w:val="0"/>
        </w:rPr>
        <w:t>Making itself</w:t>
      </w:r>
      <w:r>
        <w:t>”</w:t>
      </w:r>
      <w:r>
        <w:rPr>
          <w:b w:val="0"/>
          <w:i w:val="0"/>
        </w:rPr>
        <w:t xml:space="preserve"> in the earlier sentences cannot safely be detached from that restriction.</w:t>
      </w:r>
    </w:p>
    <w:p>
      <w:pPr>
        <w:widowControl/>
      </w:pPr>
      <w:r>
        <w:rPr>
          <w:b w:val="0"/>
          <w:i w:val="0"/>
        </w:rPr>
        <w:t>The proof also links source, path and terminus: an act proceeding from mind, through mind and upon mind is not explained by inserting an external bodily intermediary. The question becomes whether such a power can continue to operate and live separately from body.</w:t>
      </w:r>
    </w:p>
    <w:p>
      <w:pPr>
        <w:keepNext/>
        <w:widowControl/>
      </w:pPr>
      <w:r>
        <w:rPr>
          <w:b/>
          <w:i w:val="0"/>
        </w:rPr>
        <w:t>Places to Read.</w:t>
      </w:r>
    </w:p>
    <w:p>
      <w:pPr>
        <w:ind w:left="187" w:hanging="187"/>
      </w:pPr>
      <w:r>
        <w:t xml:space="preserve">• </w:t>
      </w:r>
      <w:r>
        <w:rPr>
          <w:b/>
          <w:i w:val="0"/>
        </w:rPr>
        <w:t>VI.12.12, PDF pp. 212–213.</w:t>
      </w:r>
      <w:r>
        <w:rPr>
          <w:b w:val="0"/>
          <w:i w:val="0"/>
        </w:rPr>
        <w:t xml:space="preserve"> Cross-book scope comparison: perpetual essential life is distinguished from cognitive powers and acts that may be interrupted.</w:t>
      </w:r>
    </w:p>
    <w:p>
      <w:pPr>
        <w:ind w:left="187" w:hanging="187"/>
      </w:pPr>
      <w:r>
        <w:t xml:space="preserve">• </w:t>
      </w:r>
      <w:r>
        <w:rPr>
          <w:b/>
          <w:i w:val="0"/>
        </w:rPr>
        <w:t>VIII.15.2, PDF pp. 366–367.</w:t>
      </w:r>
      <w:r>
        <w:rPr>
          <w:b w:val="0"/>
          <w:i w:val="0"/>
        </w:rPr>
        <w:t xml:space="preserve"> Daily renewal, inward offspring, being-well and the source/path/terminus of self-operation support the argument.</w:t>
      </w:r>
    </w:p>
    <w:p>
      <w:pPr>
        <w:ind w:left="187" w:hanging="187"/>
      </w:pPr>
      <w:r>
        <w:t xml:space="preserve">• </w:t>
      </w:r>
      <w:r>
        <w:rPr>
          <w:b/>
          <w:i w:val="0"/>
        </w:rPr>
        <w:t>VIII.15.3, PDF pp. 368–369.</w:t>
      </w:r>
      <w:r>
        <w:rPr>
          <w:b w:val="0"/>
          <w:i w:val="0"/>
        </w:rPr>
        <w:t xml:space="preserve"> The subsequent explicit formal-cause restriction governs the self-production language.</w:t>
      </w:r>
    </w:p>
    <w:p>
      <w:pPr>
        <w:keepNext/>
        <w:widowControl/>
      </w:pPr>
      <w:r>
        <w:rPr>
          <w:b/>
          <w:i w:val="0"/>
        </w:rPr>
        <w:t>In this edition.</w:t>
      </w:r>
    </w:p>
    <w:p>
      <w:pPr>
        <w:widowControl/>
      </w:pPr>
      <w:r>
        <w:rPr>
          <w:b w:val="0"/>
          <w:i w:val="0"/>
        </w:rPr>
        <w:t>The correction perficit, not proficit, is adopted in the opening claim that mind forms and perfects itself. The Pauline reference is Ficino’s attribution; no exact independently verified biblical quotation is being claimed here.</w:t>
      </w:r>
    </w:p>
    <w:p>
      <w:pPr>
        <w:widowControl/>
      </w:pPr>
      <w:r>
        <w:rPr>
          <w:b w:val="0"/>
          <w:i w:val="0"/>
        </w:rPr>
        <w:t xml:space="preserve">VIII.15.2 says semper intelligendo atque volendo, </w:t>
      </w:r>
      <w:r>
        <w:t>“</w:t>
      </w:r>
      <w:r>
        <w:rPr>
          <w:b w:val="0"/>
          <w:i w:val="0"/>
        </w:rPr>
        <w:t>always understanding and willing,</w:t>
      </w:r>
      <w:r>
        <w:t>”</w:t>
      </w:r>
      <w:r>
        <w:rPr>
          <w:b w:val="0"/>
          <w:i w:val="0"/>
        </w:rPr>
        <w:t xml:space="preserve"> and its emphatic wording is retained. VI.12.12 (PDF pp. 212–213), however, distinguishes the essence’s perpetual vital motion from powers and acts that can be interrupted or go astray. These formulations should be compared without silently replacing either: the present account of continual intellectual renewal does not, by itself, establish uninterrupted ordinary conscious attention. The relation between essential life and the exercise of cognition requires its own explanation.</w:t>
      </w:r>
    </w:p>
    <w:p>
      <w:pPr>
        <w:keepNext/>
        <w:widowControl/>
      </w:pPr>
      <w:r>
        <w:rPr>
          <w:b/>
          <w:i w:val="0"/>
        </w:rPr>
        <w:t>See also.</w:t>
      </w:r>
    </w:p>
    <w:p>
      <w:pPr>
        <w:widowControl/>
      </w:pPr>
      <w:hyperlink w:anchor="viii-self-cause">
        <w:r>
          <w:rPr>
            <w:color w:val="000000"/>
          </w:rPr>
          <w:t xml:space="preserve">Self-causation: formal cause and efficient cause</w:t>
        </w:r>
      </w:hyperlink>
      <w:r>
        <w:rPr>
          <w:b w:val="0"/>
          <w:i w:val="0"/>
        </w:rPr>
        <w:t xml:space="preserve">; </w:t>
      </w:r>
      <w:hyperlink w:anchor="viii-outflow-return">
        <w:r>
          <w:rPr>
            <w:color w:val="000000"/>
          </w:rPr>
          <w:t xml:space="preserve">Outward flow and rational life’s return</w:t>
        </w:r>
      </w:hyperlink>
      <w:r>
        <w:rPr>
          <w:b w:val="0"/>
          <w:i w:val="0"/>
        </w:rPr>
        <w:t xml:space="preserve">; </w:t>
      </w:r>
      <w:hyperlink w:anchor="viii-individual-perpetuity">
        <w:r>
          <w:rPr>
            <w:color w:val="000000"/>
          </w:rPr>
          <w:t xml:space="preserve">Individual immortality and the scope of the conclusion</w:t>
        </w:r>
      </w:hyperlink>
    </w:p>
    <w:p>
      <w:pPr>
        <w:pStyle w:val="Heading2"/>
      </w:pPr>
      <w:bookmarkStart w:id="159" w:name="intellectual-objects-and-owl-eye"/>
      <w:r>
        <w:rPr>
          <w:b w:val="0"/>
          <w:i w:val="0"/>
        </w:rPr>
        <w:t>Intellectual objects and the owl’s eye</w:t>
      </w:r>
      <w:bookmarkEnd w:id="159"/>
    </w:p>
    <w:p>
      <w:pPr>
        <w:keepNext/>
        <w:widowControl/>
      </w:pPr>
      <w:r>
        <w:rPr>
          <w:b/>
          <w:i w:val="0"/>
        </w:rPr>
        <w:t>Latin:</w:t>
      </w:r>
      <w:r>
        <w:rPr>
          <w:b w:val="0"/>
          <w:i w:val="0"/>
        </w:rPr>
        <w:t xml:space="preserve"> </w:t>
      </w:r>
      <w:r>
        <w:rPr>
          <w:b w:val="0"/>
          <w:i/>
        </w:rPr>
        <w:t>obiectum</w:t>
      </w:r>
      <w:r>
        <w:rPr>
          <w:b w:val="0"/>
          <w:i w:val="0"/>
        </w:rPr>
        <w:t xml:space="preserve">; </w:t>
      </w:r>
      <w:r>
        <w:rPr>
          <w:b w:val="0"/>
          <w:i/>
        </w:rPr>
        <w:t>rationis oculus</w:t>
      </w:r>
      <w:r>
        <w:rPr>
          <w:b w:val="0"/>
          <w:i w:val="0"/>
        </w:rPr>
        <w:t xml:space="preserve">; </w:t>
      </w:r>
      <w:r>
        <w:rPr>
          <w:b w:val="0"/>
          <w:i/>
        </w:rPr>
        <w:t>fabricare</w:t>
      </w:r>
      <w:r>
        <w:rPr>
          <w:b w:val="0"/>
          <w:i w:val="0"/>
        </w:rPr>
        <w:t xml:space="preserve">; </w:t>
      </w:r>
      <w:r>
        <w:rPr>
          <w:b w:val="0"/>
          <w:i/>
        </w:rPr>
        <w:t>manifestissimum</w:t>
      </w:r>
      <w:r>
        <w:rPr>
          <w:b w:val="0"/>
          <w:i w:val="0"/>
        </w:rPr>
        <w:t xml:space="preserve">; </w:t>
      </w:r>
      <w:r>
        <w:rPr>
          <w:b w:val="0"/>
          <w:i/>
        </w:rPr>
        <w:t>noctua</w:t>
      </w:r>
    </w:p>
    <w:p>
      <w:pPr>
        <w:keepNext/>
        <w:widowControl/>
      </w:pPr>
      <w:r>
        <w:rPr>
          <w:b/>
          <w:i w:val="0"/>
        </w:rPr>
        <w:t>The word.</w:t>
      </w:r>
    </w:p>
    <w:p>
      <w:pPr>
        <w:widowControl/>
      </w:pPr>
      <w:r>
        <w:rPr>
          <w:b w:val="0"/>
          <w:i w:val="0"/>
        </w:rPr>
        <w:t xml:space="preserve">Obiectum is what a cognitive power attends to or encounters. The </w:t>
      </w:r>
      <w:r>
        <w:t>“</w:t>
      </w:r>
      <w:r>
        <w:rPr>
          <w:b w:val="0"/>
          <w:i w:val="0"/>
        </w:rPr>
        <w:t>eye of reason</w:t>
      </w:r>
      <w:r>
        <w:t>”</w:t>
      </w:r>
      <w:r>
        <w:rPr>
          <w:b w:val="0"/>
          <w:i w:val="0"/>
        </w:rPr>
        <w:t xml:space="preserve"> names intellectual vision metaphorically. Fabricare can mean fashioning intelligible structures, not building physical objects. Manifestissimum describes what is most evident in itself, which need not be most evident to us.</w:t>
      </w:r>
    </w:p>
    <w:p>
      <w:pPr>
        <w:keepNext/>
        <w:widowControl/>
      </w:pPr>
      <w:r>
        <w:rPr>
          <w:b/>
          <w:i w:val="0"/>
        </w:rPr>
        <w:t>In the Platonic Theology.</w:t>
      </w:r>
    </w:p>
    <w:p>
      <w:pPr>
        <w:widowControl/>
      </w:pPr>
      <w:r>
        <w:rPr>
          <w:b w:val="0"/>
          <w:i w:val="0"/>
        </w:rPr>
        <w:t>Ficino asks why one should accept the objects of animal sensation while dismissing what distinctively human reason sees. The claim of human dignity carries the rhetoric, but a two-branch argument does the further work. If intellectual objects move mind, they require a reality of their own to exercise that role. If intellect is not moved by its objects, its production of incorporeal structures at least demonstrates its own incorporeality. The second branch does not prove exactly the same thing as the first.</w:t>
      </w:r>
    </w:p>
    <w:p>
      <w:pPr>
        <w:widowControl/>
      </w:pPr>
      <w:r>
        <w:rPr>
          <w:b w:val="0"/>
          <w:i w:val="0"/>
        </w:rPr>
        <w:t>A child blind from birth illustrates difficulty believing a reality outside one’s habitual experience; the point concerns limited access rather than a moral defect in blindness. Ficino then invokes Plato’s Republic VII and Aristotle’s second book of Divine Philosophy. The owl’s eye facing sunlight represents a proportion between a weak knower and what is intrinsically manifest. Obscurity to us does not establish unreality in the object. These reports support the account of habituation and education; they should not be treated as independently checked word-for-word ancient citations.</w:t>
      </w:r>
    </w:p>
    <w:p>
      <w:pPr>
        <w:keepNext/>
        <w:widowControl/>
      </w:pPr>
      <w:r>
        <w:rPr>
          <w:b/>
          <w:i w:val="0"/>
        </w:rPr>
        <w:t>Places to Read.</w:t>
      </w:r>
    </w:p>
    <w:p>
      <w:pPr>
        <w:ind w:left="187" w:hanging="187"/>
      </w:pPr>
      <w:r>
        <w:t xml:space="preserve">• </w:t>
      </w:r>
      <w:r>
        <w:rPr>
          <w:b/>
          <w:i w:val="0"/>
        </w:rPr>
        <w:t>VI.2.9; source PDF pp. 144, 145</w:t>
      </w:r>
      <w:r>
        <w:rPr>
          <w:b w:val="0"/>
          <w:i w:val="0"/>
        </w:rPr>
        <w:t>. The two branches distinguish the reality of intellectual objects from the minimum conclusion about intellect itself.</w:t>
      </w:r>
    </w:p>
    <w:p>
      <w:pPr>
        <w:ind w:left="187" w:hanging="187"/>
      </w:pPr>
      <w:r>
        <w:t xml:space="preserve">• </w:t>
      </w:r>
      <w:r>
        <w:rPr>
          <w:b/>
          <w:i w:val="0"/>
        </w:rPr>
        <w:t>VI.2.23; source PDF pp. 162, 163</w:t>
      </w:r>
      <w:r>
        <w:rPr>
          <w:b w:val="0"/>
          <w:i w:val="0"/>
        </w:rPr>
        <w:t>. Owls reappear in a different light argument: unseen sunlight still exists.</w:t>
      </w:r>
    </w:p>
    <w:p>
      <w:pPr>
        <w:keepNext/>
        <w:widowControl/>
      </w:pPr>
      <w:r>
        <w:rPr>
          <w:b/>
          <w:i w:val="0"/>
        </w:rPr>
        <w:t>In this edition.</w:t>
      </w:r>
    </w:p>
    <w:p>
      <w:pPr>
        <w:widowControl/>
      </w:pPr>
      <w:r>
        <w:rPr>
          <w:b w:val="0"/>
          <w:i w:val="0"/>
        </w:rPr>
        <w:t xml:space="preserve">The translation keeps the descriptive title </w:t>
      </w:r>
      <w:r>
        <w:t>“</w:t>
      </w:r>
      <w:r>
        <w:rPr>
          <w:b w:val="0"/>
          <w:i w:val="0"/>
        </w:rPr>
        <w:t>Divine Philosophy</w:t>
      </w:r>
      <w:r>
        <w:t>”</w:t>
      </w:r>
      <w:r>
        <w:rPr>
          <w:b w:val="0"/>
          <w:i w:val="0"/>
        </w:rPr>
        <w:t xml:space="preserve"> rather than importing a modern book title and apparatus. </w:t>
      </w:r>
      <w:r>
        <w:t>“</w:t>
      </w:r>
      <w:r>
        <w:rPr>
          <w:b w:val="0"/>
          <w:i w:val="0"/>
        </w:rPr>
        <w:t>In themselves most manifest</w:t>
      </w:r>
      <w:r>
        <w:t>”</w:t>
      </w:r>
      <w:r>
        <w:rPr>
          <w:b w:val="0"/>
          <w:i w:val="0"/>
        </w:rPr>
        <w:t xml:space="preserve"> concerns the order of reality, not ease of human recognition. No modern physiological claim about owl vision is being certified.</w:t>
      </w:r>
    </w:p>
    <w:p>
      <w:pPr>
        <w:keepNext/>
        <w:widowControl/>
      </w:pPr>
      <w:r>
        <w:rPr>
          <w:b/>
          <w:i w:val="0"/>
        </w:rPr>
        <w:t>See also.</w:t>
      </w:r>
    </w:p>
    <w:p>
      <w:pPr>
        <w:widowControl/>
      </w:pPr>
      <w:hyperlink w:anchor="sensory-error-and-corrective-reason">
        <w:r>
          <w:rPr>
            <w:color w:val="000000"/>
          </w:rPr>
          <w:t xml:space="preserve">Sensory error and corrective reason</w:t>
        </w:r>
      </w:hyperlink>
      <w:r>
        <w:rPr>
          <w:b w:val="0"/>
          <w:i w:val="0"/>
        </w:rPr>
        <w:t xml:space="preserve">; </w:t>
      </w:r>
      <w:hyperlink w:anchor="light-spirit-and-unseen-source">
        <w:r>
          <w:rPr>
            <w:color w:val="000000"/>
          </w:rPr>
          <w:t xml:space="preserve">Light, spirit and the unseen source</w:t>
        </w:r>
      </w:hyperlink>
    </w:p>
    <w:p>
      <w:pPr>
        <w:pStyle w:val="Heading2"/>
      </w:pPr>
      <w:bookmarkStart w:id="160" w:name="intelligible-principles-and-reasoning"/>
      <w:r>
        <w:rPr>
          <w:b w:val="0"/>
          <w:i w:val="0"/>
        </w:rPr>
        <w:t>Intelligible principles and reasoning</w:t>
      </w:r>
      <w:bookmarkEnd w:id="160"/>
    </w:p>
    <w:p>
      <w:pPr>
        <w:keepNext/>
        <w:widowControl/>
      </w:pPr>
      <w:r>
        <w:rPr>
          <w:b/>
          <w:i w:val="0"/>
        </w:rPr>
        <w:t>Latin:</w:t>
      </w:r>
      <w:r>
        <w:rPr>
          <w:b w:val="0"/>
          <w:i w:val="0"/>
        </w:rPr>
        <w:t xml:space="preserve"> </w:t>
      </w:r>
      <w:r>
        <w:rPr>
          <w:b w:val="0"/>
          <w:i/>
        </w:rPr>
        <w:t>ratio</w:t>
      </w:r>
      <w:r>
        <w:rPr>
          <w:b w:val="0"/>
          <w:i w:val="0"/>
        </w:rPr>
        <w:t xml:space="preserve">; </w:t>
      </w:r>
      <w:r>
        <w:rPr>
          <w:b w:val="0"/>
          <w:i/>
        </w:rPr>
        <w:t>rationes</w:t>
      </w:r>
      <w:r>
        <w:rPr>
          <w:b w:val="0"/>
          <w:i w:val="0"/>
        </w:rPr>
        <w:t xml:space="preserve">; </w:t>
      </w:r>
      <w:r>
        <w:rPr>
          <w:b w:val="0"/>
          <w:i/>
        </w:rPr>
        <w:t>intelligere</w:t>
      </w:r>
      <w:r>
        <w:rPr>
          <w:b w:val="0"/>
          <w:i w:val="0"/>
        </w:rPr>
        <w:t xml:space="preserve">; </w:t>
      </w:r>
      <w:r>
        <w:rPr>
          <w:b w:val="0"/>
          <w:i/>
        </w:rPr>
        <w:t>intelligentia</w:t>
      </w:r>
      <w:r>
        <w:rPr>
          <w:b w:val="0"/>
          <w:i w:val="0"/>
        </w:rPr>
        <w:t xml:space="preserve">; </w:t>
      </w:r>
      <w:r>
        <w:rPr>
          <w:b w:val="0"/>
          <w:i/>
        </w:rPr>
        <w:t>intueri</w:t>
      </w:r>
      <w:r>
        <w:rPr>
          <w:b w:val="0"/>
          <w:i w:val="0"/>
        </w:rPr>
        <w:t xml:space="preserve">; </w:t>
      </w:r>
      <w:r>
        <w:rPr>
          <w:b w:val="0"/>
          <w:i/>
        </w:rPr>
        <w:t>ars ratiocinandi</w:t>
      </w:r>
      <w:r>
        <w:rPr>
          <w:b w:val="0"/>
          <w:i w:val="0"/>
        </w:rPr>
        <w:t xml:space="preserve">; </w:t>
      </w:r>
      <w:r>
        <w:rPr>
          <w:b w:val="0"/>
          <w:i/>
        </w:rPr>
        <w:t>ratio artificiosa</w:t>
      </w:r>
      <w:r>
        <w:rPr>
          <w:b w:val="0"/>
          <w:i w:val="0"/>
        </w:rPr>
        <w:t xml:space="preserve">; </w:t>
      </w:r>
      <w:r>
        <w:rPr>
          <w:b w:val="0"/>
          <w:i/>
        </w:rPr>
        <w:t>ars rationalis</w:t>
      </w:r>
    </w:p>
    <w:p>
      <w:pPr>
        <w:keepNext/>
        <w:widowControl/>
      </w:pPr>
      <w:r>
        <w:rPr>
          <w:b/>
          <w:i w:val="0"/>
        </w:rPr>
        <w:t>The word.</w:t>
      </w:r>
    </w:p>
    <w:p>
      <w:pPr>
        <w:widowControl/>
      </w:pPr>
      <w:r>
        <w:rPr>
          <w:b w:val="0"/>
          <w:i w:val="0"/>
        </w:rPr>
        <w:t>Ratio ranges from defining account to intelligible principle and organized reasoning. Rationes in V.15 are stable intelligible contents, while ars ratiocinandi is the art of reasoning grounded in them. Intueri means contemplating or directly beholding, not necessarily seeing with bodily eyes.</w:t>
      </w:r>
    </w:p>
    <w:p>
      <w:pPr>
        <w:keepNext/>
        <w:widowControl/>
      </w:pPr>
      <w:r>
        <w:rPr>
          <w:b/>
          <w:i w:val="0"/>
        </w:rPr>
        <w:t>In the Platonic Theology.</w:t>
      </w:r>
    </w:p>
    <w:p>
      <w:pPr>
        <w:widowControl/>
      </w:pPr>
      <w:r>
        <w:rPr>
          <w:b w:val="0"/>
          <w:i w:val="0"/>
        </w:rPr>
        <w:t>V.15.9–12 describes purified attention withdrawing from sensory familiarity and attaining unchangeable things without a bodily instrument. Ficino judges these supremely real because they remain in the same condition. He then offers an exhaustive-looking division: intelligibles are in mind, mind is in them, or each subsists in itself. The proof is meant to work under any of these alternatives, so it should not be cited as choosing only the first.</w:t>
      </w:r>
    </w:p>
    <w:p>
      <w:pPr>
        <w:widowControl/>
      </w:pPr>
      <w:r>
        <w:rPr>
          <w:b w:val="0"/>
          <w:i w:val="0"/>
        </w:rPr>
        <w:t>If principles inhere in mind, their immutability is incompatible, Ficino argues, with a mind wholly bound to mutable bodily temperament. Arithmetic and proportion make the claim concrete: two plus four is six, and two to four as four to eight. Their truth does not change with a bodily mixture. The art of reasoning gathers such principles into an ordered possession that cannot vanish or simply transfer away when taught.</w:t>
      </w:r>
    </w:p>
    <w:p>
      <w:pPr>
        <w:widowControl/>
      </w:pPr>
      <w:r>
        <w:rPr>
          <w:b w:val="0"/>
          <w:i w:val="0"/>
        </w:rPr>
        <w:t>If mind is in the principles as its subject, that immaterial subject likewise excludes its identity with bodily temperament. If both independently subsist, the mind’s own subsistence already supplies the desired distinction. V.15.18 supplements all three with philosophical experience: better understanding, calmer desire and fuller enjoyment accompany commerce with stable principles.</w:t>
      </w:r>
    </w:p>
    <w:p>
      <w:pPr>
        <w:widowControl/>
      </w:pPr>
      <w:r>
        <w:rPr>
          <w:b w:val="0"/>
          <w:i w:val="0"/>
        </w:rPr>
        <w:t>This is a metaphysical argument from truth and cognitive perfection. It does not require the reader to pretend that individual people never forget facts or make mathematical mistakes. Ficino is concerned with the status of true rational principles and the subject capable of grasping them.</w:t>
      </w:r>
    </w:p>
    <w:p>
      <w:pPr>
        <w:keepNext/>
        <w:widowControl/>
      </w:pPr>
      <w:r>
        <w:rPr>
          <w:b/>
          <w:i w:val="0"/>
        </w:rPr>
        <w:t>Places to Read.</w:t>
      </w:r>
    </w:p>
    <w:p>
      <w:pPr>
        <w:ind w:left="187" w:hanging="187"/>
      </w:pPr>
      <w:r>
        <w:t xml:space="preserve">• </w:t>
      </w:r>
      <w:r>
        <w:rPr>
          <w:b/>
          <w:i w:val="0"/>
        </w:rPr>
        <w:t>V.15.9, V.15.11, V.15.12, PDF 110–113.</w:t>
      </w:r>
      <w:r>
        <w:rPr>
          <w:b w:val="0"/>
          <w:i w:val="0"/>
        </w:rPr>
        <w:t xml:space="preserve"> Withdrawal and unchanging objects introduce three possible relations to mind.</w:t>
      </w:r>
    </w:p>
    <w:p>
      <w:pPr>
        <w:ind w:left="187" w:hanging="187"/>
      </w:pPr>
      <w:r>
        <w:t xml:space="preserve">• </w:t>
      </w:r>
      <w:r>
        <w:rPr>
          <w:b/>
          <w:i w:val="0"/>
        </w:rPr>
        <w:t>V.15.13, V.15.14, V.15.15, V.15.16, PDF 112–115.</w:t>
      </w:r>
      <w:r>
        <w:rPr>
          <w:b w:val="0"/>
          <w:i w:val="0"/>
        </w:rPr>
        <w:t xml:space="preserve"> Immutable mathematics and rational art test the first alternative.</w:t>
      </w:r>
    </w:p>
    <w:p>
      <w:pPr>
        <w:ind w:left="187" w:hanging="187"/>
      </w:pPr>
      <w:r>
        <w:t xml:space="preserve">• </w:t>
      </w:r>
      <w:r>
        <w:rPr>
          <w:b/>
          <w:i w:val="0"/>
        </w:rPr>
        <w:t>V.15.17, V.15.18, PDF 114–117.</w:t>
      </w:r>
      <w:r>
        <w:rPr>
          <w:b w:val="0"/>
          <w:i w:val="0"/>
        </w:rPr>
        <w:t xml:space="preserve"> The other alternatives and the common argument from improved activity.</w:t>
      </w:r>
    </w:p>
    <w:p>
      <w:pPr>
        <w:keepNext/>
        <w:widowControl/>
      </w:pPr>
      <w:r>
        <w:rPr>
          <w:b/>
          <w:i w:val="0"/>
        </w:rPr>
        <w:t>In this edition.</w:t>
      </w:r>
    </w:p>
    <w:p>
      <w:pPr>
        <w:widowControl/>
      </w:pPr>
      <w:r>
        <w:rPr>
          <w:b w:val="0"/>
          <w:i w:val="0"/>
        </w:rPr>
        <w:t xml:space="preserve">Ratio is not mechanically </w:t>
      </w:r>
      <w:r>
        <w:t>“</w:t>
      </w:r>
      <w:r>
        <w:rPr>
          <w:b w:val="0"/>
          <w:i w:val="0"/>
        </w:rPr>
        <w:t>reason</w:t>
      </w:r>
      <w:r>
        <w:t>”</w:t>
      </w:r>
      <w:r>
        <w:rPr>
          <w:b w:val="0"/>
          <w:i w:val="0"/>
        </w:rPr>
        <w:t xml:space="preserve"> everywhere: V.7 uses it for definition, V.11.8 for defining nature, V.13.16 for intelligible plan. The apparatus interprets rationum coetus as an ordered gathering, not a literal social meeting.</w:t>
      </w:r>
    </w:p>
    <w:p>
      <w:pPr>
        <w:keepNext/>
        <w:widowControl/>
      </w:pPr>
      <w:r>
        <w:rPr>
          <w:b/>
          <w:i w:val="0"/>
        </w:rPr>
        <w:t>See also.</w:t>
      </w:r>
    </w:p>
    <w:p>
      <w:pPr>
        <w:widowControl/>
      </w:pPr>
      <w:hyperlink w:anchor="teaching-without-loss">
        <w:r>
          <w:rPr>
            <w:color w:val="000000"/>
          </w:rPr>
          <w:t xml:space="preserve">Teaching without loss</w:t>
        </w:r>
      </w:hyperlink>
      <w:r>
        <w:rPr>
          <w:b w:val="0"/>
          <w:i w:val="0"/>
        </w:rPr>
        <w:t xml:space="preserve">; </w:t>
      </w:r>
      <w:hyperlink w:anchor="temperament-and-harmony">
        <w:r>
          <w:rPr>
            <w:color w:val="000000"/>
          </w:rPr>
          <w:t xml:space="preserve">Temperament and harmony</w:t>
        </w:r>
      </w:hyperlink>
      <w:r>
        <w:rPr>
          <w:b w:val="0"/>
          <w:i w:val="0"/>
        </w:rPr>
        <w:t xml:space="preserve">; </w:t>
      </w:r>
      <w:hyperlink w:anchor="time-memory-and-expectation">
        <w:r>
          <w:rPr>
            <w:color w:val="000000"/>
          </w:rPr>
          <w:t xml:space="preserve">Time, memory and expectation</w:t>
        </w:r>
      </w:hyperlink>
    </w:p>
    <w:p>
      <w:pPr>
        <w:pStyle w:val="Heading2"/>
      </w:pPr>
      <w:bookmarkStart w:id="161" w:name="viii-operation-kind"/>
      <w:r>
        <w:rPr>
          <w:b w:val="0"/>
          <w:i w:val="0"/>
        </w:rPr>
        <w:t>Kind, generation, and operation’s dependence on substance</w:t>
      </w:r>
      <w:bookmarkEnd w:id="161"/>
    </w:p>
    <w:p>
      <w:pPr>
        <w:keepNext/>
        <w:widowControl/>
      </w:pPr>
      <w:r>
        <w:rPr>
          <w:b/>
          <w:i w:val="0"/>
        </w:rPr>
        <w:t>Latin:</w:t>
      </w:r>
      <w:r>
        <w:rPr>
          <w:b w:val="0"/>
          <w:i w:val="0"/>
        </w:rPr>
        <w:t xml:space="preserve"> </w:t>
      </w:r>
      <w:r>
        <w:rPr>
          <w:b w:val="0"/>
          <w:i/>
        </w:rPr>
        <w:t>genus</w:t>
      </w:r>
      <w:r>
        <w:rPr>
          <w:b w:val="0"/>
          <w:i w:val="0"/>
        </w:rPr>
        <w:t xml:space="preserve">; </w:t>
      </w:r>
      <w:r>
        <w:rPr>
          <w:b w:val="0"/>
          <w:i/>
        </w:rPr>
        <w:t>species</w:t>
      </w:r>
      <w:r>
        <w:rPr>
          <w:b w:val="0"/>
          <w:i w:val="0"/>
        </w:rPr>
        <w:t xml:space="preserve">; </w:t>
      </w:r>
      <w:r>
        <w:rPr>
          <w:b w:val="0"/>
          <w:i/>
        </w:rPr>
        <w:t>proles</w:t>
      </w:r>
      <w:r>
        <w:rPr>
          <w:b w:val="0"/>
          <w:i w:val="0"/>
        </w:rPr>
        <w:t xml:space="preserve">; </w:t>
      </w:r>
      <w:r>
        <w:rPr>
          <w:b w:val="0"/>
          <w:i/>
        </w:rPr>
        <w:t>generare</w:t>
      </w:r>
      <w:r>
        <w:rPr>
          <w:b w:val="0"/>
          <w:i w:val="0"/>
        </w:rPr>
        <w:t xml:space="preserve">; </w:t>
      </w:r>
      <w:r>
        <w:rPr>
          <w:b w:val="0"/>
          <w:i/>
        </w:rPr>
        <w:t>operatio</w:t>
      </w:r>
      <w:r>
        <w:rPr>
          <w:b w:val="0"/>
          <w:i w:val="0"/>
        </w:rPr>
        <w:t xml:space="preserve">; </w:t>
      </w:r>
      <w:r>
        <w:rPr>
          <w:b w:val="0"/>
          <w:i/>
        </w:rPr>
        <w:t>substantia</w:t>
      </w:r>
      <w:r>
        <w:rPr>
          <w:b w:val="0"/>
          <w:i w:val="0"/>
        </w:rPr>
        <w:t xml:space="preserve">; </w:t>
      </w:r>
      <w:r>
        <w:rPr>
          <w:b w:val="0"/>
          <w:i/>
        </w:rPr>
        <w:t>principium</w:t>
      </w:r>
    </w:p>
    <w:p>
      <w:pPr>
        <w:keepNext/>
        <w:widowControl/>
      </w:pPr>
      <w:r>
        <w:rPr>
          <w:b/>
          <w:i w:val="0"/>
        </w:rPr>
        <w:t>The word.</w:t>
      </w:r>
    </w:p>
    <w:p>
      <w:pPr>
        <w:widowControl/>
      </w:pPr>
      <w:r>
        <w:rPr>
          <w:b w:val="0"/>
          <w:i w:val="0"/>
        </w:rPr>
        <w:t>An agent’s form supplies its principle of action, and its operation is said to follow its being. Genus and species differentiate broader kind from specific nature. Proles, offspring, connects natural production with the later image of intellectual conception.</w:t>
      </w:r>
    </w:p>
    <w:p>
      <w:pPr>
        <w:keepNext/>
        <w:widowControl/>
      </w:pPr>
      <w:r>
        <w:rPr>
          <w:b/>
          <w:i w:val="0"/>
        </w:rPr>
        <w:t>In the Platonic Theology.</w:t>
      </w:r>
    </w:p>
    <w:p>
      <w:pPr>
        <w:widowControl/>
      </w:pPr>
      <w:r>
        <w:rPr>
          <w:b w:val="0"/>
          <w:i w:val="0"/>
        </w:rPr>
        <w:t>A dog does not generate a sheep, still less a human being. Ficino uses this assumed boundedness of natural generation to argue that a body cannot produce indiscriminately across kinds or above its own nature. A bodily intellect would therefore have two difficulties: receiving a form it already has and conceiving a form unlike itself. Complete understanding, however, requires reception followed by the conception of an account or definition.</w:t>
      </w:r>
    </w:p>
    <w:p>
      <w:pPr>
        <w:widowControl/>
      </w:pPr>
      <w:r>
        <w:rPr>
          <w:b w:val="0"/>
          <w:i w:val="0"/>
        </w:rPr>
        <w:t>Even a granted bodily reception would conform its object to the recipient’s particular nature. It could not explain the mind’s broad apprehension of bodies or its invention of varied possible forms. Still less could a body explain cognition of incorporeals. An operation cannot be more elevated than the substance that causes it; a merely bodily substance cannot therefore have a properly suprabodily intellectual operation.</w:t>
      </w:r>
    </w:p>
    <w:p>
      <w:pPr>
        <w:widowControl/>
      </w:pPr>
      <w:r>
        <w:rPr>
          <w:b w:val="0"/>
          <w:i w:val="0"/>
        </w:rPr>
        <w:t>A form mixed with body also acquires bodily determination, just as sight is limited through the eye to colours. The argument is attributed to Aristotle and accepted by Platonists; Ficino then distinguishes additions he attributes specifically to Platonists. In VIII.14, the principle is applied to composites: matter and form together have the composite’s being and operation, whereas intellect analyzes the composite into independently considered constituents.</w:t>
      </w:r>
    </w:p>
    <w:p>
      <w:pPr>
        <w:widowControl/>
      </w:pPr>
      <w:r>
        <w:rPr>
          <w:b w:val="0"/>
          <w:i w:val="0"/>
        </w:rPr>
        <w:t>The argument’s dependence on form and causal likeness should remain explicit. Its natural examples serve that historical metaphysics; they are not a modern account of heredity or evolutionary change.</w:t>
      </w:r>
    </w:p>
    <w:p>
      <w:pPr>
        <w:keepNext/>
        <w:widowControl/>
      </w:pPr>
      <w:r>
        <w:rPr>
          <w:b/>
          <w:i w:val="0"/>
        </w:rPr>
        <w:t>Places to Read.</w:t>
      </w:r>
    </w:p>
    <w:p>
      <w:pPr>
        <w:ind w:left="187" w:hanging="187"/>
      </w:pPr>
      <w:r>
        <w:t xml:space="preserve">• </w:t>
      </w:r>
      <w:r>
        <w:rPr>
          <w:b/>
          <w:i w:val="0"/>
        </w:rPr>
        <w:t>VIII.10.1, PDF pp. 350–351.</w:t>
      </w:r>
      <w:r>
        <w:rPr>
          <w:b w:val="0"/>
          <w:i w:val="0"/>
        </w:rPr>
        <w:t xml:space="preserve"> Dogs, sheep, fire, reception and conception establish the limits of a hypothesized bodily knower.</w:t>
      </w:r>
    </w:p>
    <w:p>
      <w:pPr>
        <w:ind w:left="187" w:hanging="187"/>
      </w:pPr>
      <w:r>
        <w:t xml:space="preserve">• </w:t>
      </w:r>
      <w:r>
        <w:rPr>
          <w:b/>
          <w:i w:val="0"/>
        </w:rPr>
        <w:t>VIII.10.2, PDF pp. 352–353.</w:t>
      </w:r>
      <w:r>
        <w:rPr>
          <w:b w:val="0"/>
          <w:i w:val="0"/>
        </w:rPr>
        <w:t xml:space="preserve"> The mixed form and colour-bound sight extend the argument, with explicit Aristotelian and Platonic attributions.</w:t>
      </w:r>
    </w:p>
    <w:p>
      <w:pPr>
        <w:ind w:left="187" w:hanging="187"/>
      </w:pPr>
      <w:r>
        <w:t xml:space="preserve">• </w:t>
      </w:r>
      <w:r>
        <w:rPr>
          <w:b/>
          <w:i w:val="0"/>
        </w:rPr>
        <w:t>VIII.14.1, PDF pp. 362–363.</w:t>
      </w:r>
      <w:r>
        <w:rPr>
          <w:b w:val="0"/>
          <w:i w:val="0"/>
        </w:rPr>
        <w:t xml:space="preserve"> The operation of a composite is contrasted with intellectual analysis of matter and form.</w:t>
      </w:r>
    </w:p>
    <w:p>
      <w:pPr>
        <w:keepNext/>
        <w:widowControl/>
      </w:pPr>
      <w:r>
        <w:rPr>
          <w:b/>
          <w:i w:val="0"/>
        </w:rPr>
        <w:t>In this edition.</w:t>
      </w:r>
    </w:p>
    <w:p>
      <w:pPr>
        <w:widowControl/>
      </w:pPr>
      <w:r>
        <w:rPr>
          <w:b w:val="0"/>
          <w:i w:val="0"/>
        </w:rPr>
        <w:t xml:space="preserve">The apparatus takes aut quodlibet corpus aut incorporalia climactically: no unrestricted production of bodies, still less incorporeals. This avoids suggesting that a body could produce no bodily effect whatsoever. Species and genus should not both be rendered by an undifferentiated </w:t>
      </w:r>
      <w:r>
        <w:t>“</w:t>
      </w:r>
      <w:r>
        <w:rPr>
          <w:b w:val="0"/>
          <w:i w:val="0"/>
        </w:rPr>
        <w:t>kind.</w:t>
      </w:r>
      <w:r>
        <w:t>”</w:t>
      </w:r>
    </w:p>
    <w:p>
      <w:pPr>
        <w:keepNext/>
        <w:widowControl/>
      </w:pPr>
      <w:r>
        <w:rPr>
          <w:b/>
          <w:i w:val="0"/>
        </w:rPr>
        <w:t>See also.</w:t>
      </w:r>
    </w:p>
    <w:p>
      <w:pPr>
        <w:widowControl/>
      </w:pPr>
      <w:hyperlink w:anchor="viii-mental-hands">
        <w:r>
          <w:rPr>
            <w:color w:val="000000"/>
          </w:rPr>
          <w:t xml:space="preserve">Mental hands, conception, and creative understanding</w:t>
        </w:r>
      </w:hyperlink>
      <w:r>
        <w:rPr>
          <w:b w:val="0"/>
          <w:i w:val="0"/>
        </w:rPr>
        <w:t xml:space="preserve">; </w:t>
      </w:r>
      <w:hyperlink w:anchor="viii-mind-transforms">
        <w:r>
          <w:rPr>
            <w:color w:val="000000"/>
          </w:rPr>
          <w:t xml:space="preserve">Mind’s transformation of material conditions</w:t>
        </w:r>
      </w:hyperlink>
      <w:r>
        <w:rPr>
          <w:b w:val="0"/>
          <w:i w:val="0"/>
        </w:rPr>
        <w:t xml:space="preserve">; </w:t>
      </w:r>
      <w:hyperlink w:anchor="viii-self-cause">
        <w:r>
          <w:rPr>
            <w:color w:val="000000"/>
          </w:rPr>
          <w:t xml:space="preserve">Self-causation: formal cause and efficient cause</w:t>
        </w:r>
      </w:hyperlink>
    </w:p>
    <w:p>
      <w:pPr>
        <w:pStyle w:val="Heading2"/>
      </w:pPr>
      <w:bookmarkStart w:id="162" w:name="life-and-vivification"/>
      <w:r>
        <w:rPr>
          <w:b w:val="0"/>
          <w:i w:val="0"/>
        </w:rPr>
        <w:t>Life and vivification</w:t>
      </w:r>
      <w:bookmarkEnd w:id="162"/>
    </w:p>
    <w:p>
      <w:pPr>
        <w:keepNext/>
        <w:widowControl/>
      </w:pPr>
      <w:r>
        <w:rPr>
          <w:b/>
          <w:i w:val="0"/>
        </w:rPr>
        <w:t>Latin:</w:t>
      </w:r>
      <w:r>
        <w:rPr>
          <w:b w:val="0"/>
          <w:i w:val="0"/>
        </w:rPr>
        <w:t xml:space="preserve"> </w:t>
      </w:r>
      <w:r>
        <w:rPr>
          <w:b w:val="0"/>
          <w:i/>
        </w:rPr>
        <w:t>vita</w:t>
      </w:r>
      <w:r>
        <w:rPr>
          <w:b w:val="0"/>
          <w:i w:val="0"/>
        </w:rPr>
        <w:t xml:space="preserve">; </w:t>
      </w:r>
      <w:r>
        <w:rPr>
          <w:b w:val="0"/>
          <w:i/>
        </w:rPr>
        <w:t>vivere</w:t>
      </w:r>
      <w:r>
        <w:rPr>
          <w:b w:val="0"/>
          <w:i w:val="0"/>
        </w:rPr>
        <w:t xml:space="preserve">; </w:t>
      </w:r>
      <w:r>
        <w:rPr>
          <w:b w:val="0"/>
          <w:i/>
        </w:rPr>
        <w:t>vivificare</w:t>
      </w:r>
      <w:r>
        <w:rPr>
          <w:b w:val="0"/>
          <w:i w:val="0"/>
        </w:rPr>
        <w:t xml:space="preserve">; </w:t>
      </w:r>
      <w:r>
        <w:rPr>
          <w:b w:val="0"/>
          <w:i/>
        </w:rPr>
        <w:t>vivificatio</w:t>
      </w:r>
      <w:r>
        <w:rPr>
          <w:b w:val="0"/>
          <w:i w:val="0"/>
        </w:rPr>
        <w:t xml:space="preserve">; </w:t>
      </w:r>
      <w:r>
        <w:rPr>
          <w:b w:val="0"/>
          <w:i/>
        </w:rPr>
        <w:t>vitalis</w:t>
      </w:r>
      <w:r>
        <w:rPr>
          <w:b w:val="0"/>
          <w:i w:val="0"/>
        </w:rPr>
        <w:t xml:space="preserve">; </w:t>
      </w:r>
      <w:r>
        <w:rPr>
          <w:b w:val="0"/>
          <w:i/>
        </w:rPr>
        <w:t>animatum</w:t>
      </w:r>
      <w:r>
        <w:rPr>
          <w:b w:val="0"/>
          <w:i w:val="0"/>
        </w:rPr>
        <w:t xml:space="preserve">; </w:t>
      </w:r>
      <w:r>
        <w:rPr>
          <w:b w:val="0"/>
          <w:i/>
        </w:rPr>
        <w:t>pedisequa</w:t>
      </w:r>
    </w:p>
    <w:p>
      <w:pPr>
        <w:keepNext/>
        <w:widowControl/>
      </w:pPr>
      <w:r>
        <w:rPr>
          <w:b/>
          <w:i w:val="0"/>
        </w:rPr>
        <w:t>The word.</w:t>
      </w:r>
    </w:p>
    <w:p>
      <w:pPr>
        <w:widowControl/>
      </w:pPr>
      <w:r>
        <w:rPr>
          <w:b w:val="0"/>
          <w:i w:val="0"/>
        </w:rPr>
        <w:t>Vita is life; vivere is living; vivificare gives life to another; vivificatio names that activity. Vitalis can mean life-bearing, living or life-giving according to context. Pedisequa is a female attendant following behind, used of life’s inseparable accompaniment.</w:t>
      </w:r>
    </w:p>
    <w:p>
      <w:pPr>
        <w:keepNext/>
        <w:widowControl/>
      </w:pPr>
      <w:r>
        <w:rPr>
          <w:b/>
          <w:i w:val="0"/>
        </w:rPr>
        <w:t>In the Platonic Theology.</w:t>
      </w:r>
    </w:p>
    <w:p>
      <w:pPr>
        <w:widowControl/>
      </w:pPr>
      <w:r>
        <w:rPr>
          <w:b w:val="0"/>
          <w:i w:val="0"/>
        </w:rPr>
        <w:t>V.14 shifts from soul as self-subsisting essence to soul as life. If some part of soul were not life, Ficino argues, the whole would be an animated recipient rather than soul itself. Whatever is wholly life lives through itself, while a derivative living thing combines its own nonliving nature with received life. The soul’s unceasing animation of a prepared body confirms its proper function.</w:t>
      </w:r>
    </w:p>
    <w:p>
      <w:pPr>
        <w:widowControl/>
      </w:pPr>
      <w:r>
        <w:rPr>
          <w:b w:val="0"/>
          <w:i w:val="0"/>
        </w:rPr>
        <w:t>Vivification is then distinguished from conscious deliberation and appetite. If bodily life depended on cognition, everyone would know each hidden nutritive and generative operation; if on desire, one could remain embodied or depart at will. Since neither follows, Ficino identifies vivification with natural power or being. This does not mean every action of the rational soul is involuntary; it concerns the specific natural act of sustaining bodily life.</w:t>
      </w:r>
    </w:p>
    <w:p>
      <w:pPr>
        <w:widowControl/>
      </w:pPr>
      <w:r>
        <w:rPr>
          <w:b w:val="0"/>
          <w:i w:val="0"/>
        </w:rPr>
        <w:t>The argument permits two formulations: soul as life living through itself, or as a substance with life properly accompanying it, like fire with heat. Ficino prefers the first but says either can support the intended result. The distinction matters because the next proof examines the bearer of an inseparable form as well as the form itself.</w:t>
      </w:r>
    </w:p>
    <w:p>
      <w:pPr>
        <w:widowControl/>
      </w:pPr>
      <w:r>
        <w:rPr>
          <w:b w:val="0"/>
          <w:i w:val="0"/>
        </w:rPr>
        <w:t>V.15.7–8 reiterates that a recipient abandoned by life is not therefore the life that abandoned it. The departing life is the true mind; it cannot abandon itself. The thesis remains dependent on the prior rejection of the theory that life is merely the body’s temperament.</w:t>
      </w:r>
    </w:p>
    <w:p>
      <w:pPr>
        <w:keepNext/>
        <w:widowControl/>
      </w:pPr>
      <w:r>
        <w:rPr>
          <w:b/>
          <w:i w:val="0"/>
        </w:rPr>
        <w:t>Places to Read.</w:t>
      </w:r>
    </w:p>
    <w:p>
      <w:pPr>
        <w:ind w:left="187" w:hanging="187"/>
      </w:pPr>
      <w:r>
        <w:t xml:space="preserve">• </w:t>
      </w:r>
      <w:r>
        <w:rPr>
          <w:b/>
          <w:i w:val="0"/>
        </w:rPr>
        <w:t>V.14.1, V.14.2, PDF 94–95.</w:t>
      </w:r>
      <w:r>
        <w:rPr>
          <w:b w:val="0"/>
          <w:i w:val="0"/>
        </w:rPr>
        <w:t xml:space="preserve"> Wholly living essence, constant vivification and the rejection of conscious or appetitive bodily control.</w:t>
      </w:r>
    </w:p>
    <w:p>
      <w:pPr>
        <w:ind w:left="187" w:hanging="187"/>
      </w:pPr>
      <w:r>
        <w:t xml:space="preserve">• </w:t>
      </w:r>
      <w:r>
        <w:rPr>
          <w:b/>
          <w:i w:val="0"/>
        </w:rPr>
        <w:t>V.14.3, V.14.5, V.14.6, PDF 96–97.</w:t>
      </w:r>
      <w:r>
        <w:rPr>
          <w:b w:val="0"/>
          <w:i w:val="0"/>
        </w:rPr>
        <w:t xml:space="preserve"> Two permissible formulations and the attendant image lead into the contrary/death argument.</w:t>
      </w:r>
    </w:p>
    <w:p>
      <w:pPr>
        <w:ind w:left="187" w:hanging="187"/>
      </w:pPr>
      <w:r>
        <w:t xml:space="preserve">• </w:t>
      </w:r>
      <w:r>
        <w:rPr>
          <w:b/>
          <w:i w:val="0"/>
        </w:rPr>
        <w:t>V.15.7, V.15.8, PDF 108–111.</w:t>
      </w:r>
      <w:r>
        <w:rPr>
          <w:b w:val="0"/>
          <w:i w:val="0"/>
        </w:rPr>
        <w:t xml:space="preserve"> Life as departing soul is distinguished from the body deprived of it.</w:t>
      </w:r>
    </w:p>
    <w:p>
      <w:pPr>
        <w:keepNext/>
        <w:widowControl/>
      </w:pPr>
      <w:r>
        <w:rPr>
          <w:b/>
          <w:i w:val="0"/>
        </w:rPr>
        <w:t>In this edition.</w:t>
      </w:r>
    </w:p>
    <w:p>
      <w:pPr>
        <w:widowControl/>
      </w:pPr>
      <w:r>
        <w:rPr>
          <w:b w:val="0"/>
          <w:i w:val="0"/>
        </w:rPr>
        <w:t xml:space="preserve">Ipso esse in V.14.2 is immediately glossed naturali virtute. It must not be turned into the claim that a creature’s substance is its own unmediated operative act, contrary to V.13.13. The edition’s coniectura is an </w:t>
      </w:r>
      <w:r>
        <w:t>“</w:t>
      </w:r>
      <w:r>
        <w:rPr>
          <w:b w:val="0"/>
          <w:i w:val="0"/>
        </w:rPr>
        <w:t>indication,</w:t>
      </w:r>
      <w:r>
        <w:t>”</w:t>
      </w:r>
      <w:r>
        <w:rPr>
          <w:b w:val="0"/>
          <w:i w:val="0"/>
        </w:rPr>
        <w:t xml:space="preserve"> preserving the local status of this supporting argument.</w:t>
      </w:r>
    </w:p>
    <w:p>
      <w:pPr>
        <w:keepNext/>
        <w:widowControl/>
      </w:pPr>
      <w:r>
        <w:rPr>
          <w:b/>
          <w:i w:val="0"/>
        </w:rPr>
        <w:t>See also.</w:t>
      </w:r>
    </w:p>
    <w:p>
      <w:pPr>
        <w:widowControl/>
      </w:pPr>
      <w:hyperlink w:anchor="rational-soul-and-irrational-life">
        <w:r>
          <w:rPr>
            <w:color w:val="000000"/>
          </w:rPr>
          <w:t xml:space="preserve">Rational soul and irrational life</w:t>
        </w:r>
      </w:hyperlink>
      <w:r>
        <w:rPr>
          <w:b w:val="0"/>
          <w:i w:val="0"/>
        </w:rPr>
        <w:t xml:space="preserve">; </w:t>
      </w:r>
      <w:hyperlink w:anchor="contraries-death-and-imperishability">
        <w:r>
          <w:rPr>
            <w:color w:val="000000"/>
          </w:rPr>
          <w:t xml:space="preserve">Contraries, death and imperishability</w:t>
        </w:r>
      </w:hyperlink>
      <w:r>
        <w:rPr>
          <w:b w:val="0"/>
          <w:i w:val="0"/>
        </w:rPr>
        <w:t xml:space="preserve">; </w:t>
      </w:r>
      <w:hyperlink w:anchor="temperament-and-harmony">
        <w:r>
          <w:rPr>
            <w:color w:val="000000"/>
          </w:rPr>
          <w:t xml:space="preserve">Temperament and harmony</w:t>
        </w:r>
      </w:hyperlink>
    </w:p>
    <w:p>
      <w:pPr>
        <w:pStyle w:val="Heading2"/>
      </w:pPr>
      <w:bookmarkStart w:id="163" w:name="light-spirit-and-unseen-source"/>
      <w:r>
        <w:rPr>
          <w:b w:val="0"/>
          <w:i w:val="0"/>
        </w:rPr>
        <w:t>Light, spirit and the unseen source</w:t>
      </w:r>
      <w:bookmarkEnd w:id="163"/>
    </w:p>
    <w:p>
      <w:pPr>
        <w:keepNext/>
        <w:widowControl/>
      </w:pPr>
      <w:r>
        <w:rPr>
          <w:b/>
          <w:i w:val="0"/>
        </w:rPr>
        <w:t>Latin:</w:t>
      </w:r>
      <w:r>
        <w:rPr>
          <w:b w:val="0"/>
          <w:i w:val="0"/>
        </w:rPr>
        <w:t xml:space="preserve"> </w:t>
      </w:r>
      <w:r>
        <w:rPr>
          <w:b w:val="0"/>
          <w:i/>
        </w:rPr>
        <w:t>lumen</w:t>
      </w:r>
      <w:r>
        <w:rPr>
          <w:b w:val="0"/>
          <w:i w:val="0"/>
        </w:rPr>
        <w:t xml:space="preserve">; </w:t>
      </w:r>
      <w:r>
        <w:rPr>
          <w:b w:val="0"/>
          <w:i/>
        </w:rPr>
        <w:t>lux</w:t>
      </w:r>
      <w:r>
        <w:rPr>
          <w:b w:val="0"/>
          <w:i w:val="0"/>
        </w:rPr>
        <w:t xml:space="preserve">; </w:t>
      </w:r>
      <w:r>
        <w:rPr>
          <w:b w:val="0"/>
          <w:i/>
        </w:rPr>
        <w:t>fulgor</w:t>
      </w:r>
      <w:r>
        <w:rPr>
          <w:b w:val="0"/>
          <w:i w:val="0"/>
        </w:rPr>
        <w:t xml:space="preserve">; </w:t>
      </w:r>
      <w:r>
        <w:rPr>
          <w:b w:val="0"/>
          <w:i/>
        </w:rPr>
        <w:t>splendor</w:t>
      </w:r>
      <w:r>
        <w:rPr>
          <w:b w:val="0"/>
          <w:i w:val="0"/>
        </w:rPr>
        <w:t xml:space="preserve">; </w:t>
      </w:r>
      <w:r>
        <w:rPr>
          <w:b w:val="0"/>
          <w:i/>
        </w:rPr>
        <w:t>spiritus</w:t>
      </w:r>
      <w:r>
        <w:rPr>
          <w:b w:val="0"/>
          <w:i w:val="0"/>
        </w:rPr>
        <w:t xml:space="preserve">; </w:t>
      </w:r>
      <w:r>
        <w:rPr>
          <w:b w:val="0"/>
          <w:i/>
        </w:rPr>
        <w:t>lucere</w:t>
      </w:r>
      <w:r>
        <w:rPr>
          <w:b w:val="0"/>
          <w:i w:val="0"/>
        </w:rPr>
        <w:t xml:space="preserve">; </w:t>
      </w:r>
      <w:r>
        <w:rPr>
          <w:b w:val="0"/>
          <w:i/>
        </w:rPr>
        <w:t>rutilare</w:t>
      </w:r>
      <w:r>
        <w:rPr>
          <w:b w:val="0"/>
          <w:i w:val="0"/>
        </w:rPr>
        <w:t xml:space="preserve">; </w:t>
      </w:r>
      <w:r>
        <w:rPr>
          <w:b w:val="0"/>
          <w:i/>
        </w:rPr>
        <w:t>coniectari</w:t>
      </w:r>
    </w:p>
    <w:p>
      <w:pPr>
        <w:keepNext/>
        <w:widowControl/>
      </w:pPr>
      <w:r>
        <w:rPr>
          <w:b/>
          <w:i w:val="0"/>
        </w:rPr>
        <w:t>The word.</w:t>
      </w:r>
    </w:p>
    <w:p>
      <w:pPr>
        <w:widowControl/>
      </w:pPr>
      <w:r>
        <w:rPr>
          <w:b w:val="0"/>
          <w:i w:val="0"/>
        </w:rPr>
        <w:t>Lumen and lux both denote light in this sequence; their local physical or spiritual reference matters more than a rigid two-word system. Fulgor is the sun’s radiance, splendor its visible manifestation mixed with vapours. Spiritus can here name a spiritual mode of being; it is not invariably the physiological spirits found elsewhere.</w:t>
      </w:r>
    </w:p>
    <w:p>
      <w:pPr>
        <w:keepNext/>
        <w:widowControl/>
      </w:pPr>
      <w:r>
        <w:rPr>
          <w:b/>
          <w:i w:val="0"/>
        </w:rPr>
        <w:t>In the Platonic Theology.</w:t>
      </w:r>
    </w:p>
    <w:p>
      <w:pPr>
        <w:widowControl/>
      </w:pPr>
      <w:r>
        <w:rPr>
          <w:b w:val="0"/>
          <w:i w:val="0"/>
        </w:rPr>
        <w:t>The visual exercise starts with light spreading instantaneously without shattering or being stained by bodies. On Ficino’s premises this is something nonbodily seen with bodily eyes. He challenges the move from invisibility to nonexistence: the most excellent elemental and celestial spheres are not all directly visible. The sun would still exist even unseen by owls, and our visible splendor points to a purer radiance. The light of stars is similarly taken as an image of spiritual light in celestial souls.</w:t>
      </w:r>
    </w:p>
    <w:p>
      <w:pPr>
        <w:widowControl/>
      </w:pPr>
      <w:r>
        <w:rPr>
          <w:b w:val="0"/>
          <w:i w:val="0"/>
        </w:rPr>
        <w:t xml:space="preserve">Next Ficino imagines light separated from all matter, increasingly active and, conditionally, most alive </w:t>
      </w:r>
      <w:r>
        <w:t>“</w:t>
      </w:r>
      <w:r>
        <w:rPr>
          <w:b w:val="0"/>
          <w:i w:val="0"/>
        </w:rPr>
        <w:t>if it is ever to live.</w:t>
      </w:r>
      <w:r>
        <w:t>”</w:t>
      </w:r>
      <w:r>
        <w:rPr>
          <w:b w:val="0"/>
          <w:i w:val="0"/>
        </w:rPr>
        <w:t xml:space="preserve"> It would sense </w:t>
      </w:r>
      <w:r>
        <w:t>“</w:t>
      </w:r>
      <w:r>
        <w:rPr>
          <w:b w:val="0"/>
          <w:i w:val="0"/>
        </w:rPr>
        <w:t>so to speak,</w:t>
      </w:r>
      <w:r>
        <w:t>”</w:t>
      </w:r>
      <w:r>
        <w:rPr>
          <w:b w:val="0"/>
          <w:i w:val="0"/>
        </w:rPr>
        <w:t xml:space="preserve"> because other beings sense through its rays, yet evade earthly sight both through subtlety and through excess intelligible brightness. These are analogical and historical-philosophical claims about illumination, not modern optics. The repeated qualifications and the chapter’s eventual </w:t>
      </w:r>
      <w:r>
        <w:t>“</w:t>
      </w:r>
      <w:r>
        <w:rPr>
          <w:b w:val="0"/>
          <w:i w:val="0"/>
        </w:rPr>
        <w:t>prelude</w:t>
      </w:r>
      <w:r>
        <w:t>”</w:t>
      </w:r>
      <w:r>
        <w:rPr>
          <w:b w:val="0"/>
          <w:i w:val="0"/>
        </w:rPr>
        <w:t xml:space="preserve"> prevent a reductive identification of soul with visible radiation. Seeing a likeness can provide access to a source without making source and likeness numerically the same.</w:t>
      </w:r>
    </w:p>
    <w:p>
      <w:pPr>
        <w:keepNext/>
        <w:widowControl/>
      </w:pPr>
      <w:r>
        <w:rPr>
          <w:b/>
          <w:i w:val="0"/>
        </w:rPr>
        <w:t>Places to Read.</w:t>
      </w:r>
    </w:p>
    <w:p>
      <w:pPr>
        <w:ind w:left="187" w:hanging="187"/>
      </w:pPr>
      <w:r>
        <w:t xml:space="preserve">• </w:t>
      </w:r>
      <w:r>
        <w:rPr>
          <w:b/>
          <w:i w:val="0"/>
        </w:rPr>
        <w:t>VI.2.22; source PDF pp. 160, 161</w:t>
      </w:r>
      <w:r>
        <w:rPr>
          <w:b w:val="0"/>
          <w:i w:val="0"/>
        </w:rPr>
        <w:t>. Light’s instantaneous, uninjuring penetration introduces the visual route.</w:t>
      </w:r>
    </w:p>
    <w:p>
      <w:pPr>
        <w:ind w:left="187" w:hanging="187"/>
      </w:pPr>
      <w:r>
        <w:t xml:space="preserve">• </w:t>
      </w:r>
      <w:r>
        <w:rPr>
          <w:b/>
          <w:i w:val="0"/>
        </w:rPr>
        <w:t>VI.2.23; source PDF pp. 162, 163</w:t>
      </w:r>
      <w:r>
        <w:rPr>
          <w:b w:val="0"/>
          <w:i w:val="0"/>
        </w:rPr>
        <w:t>. Visible splendor leads to an unseen source and a qualified ascent to living, sensing light.</w:t>
      </w:r>
    </w:p>
    <w:p>
      <w:pPr>
        <w:ind w:left="187" w:hanging="187"/>
      </w:pPr>
      <w:r>
        <w:t xml:space="preserve">• </w:t>
      </w:r>
      <w:r>
        <w:rPr>
          <w:b/>
          <w:i w:val="0"/>
        </w:rPr>
        <w:t>VI.2.26, VI.2.27; source PDF pp. 164, 165, 166, 167</w:t>
      </w:r>
      <w:r>
        <w:rPr>
          <w:b w:val="0"/>
          <w:i w:val="0"/>
        </w:rPr>
        <w:t>. Invisible intelligent light is summarized as a preliminary conception of soul.</w:t>
      </w:r>
    </w:p>
    <w:p>
      <w:pPr>
        <w:keepNext/>
        <w:widowControl/>
      </w:pPr>
      <w:r>
        <w:rPr>
          <w:b/>
          <w:i w:val="0"/>
        </w:rPr>
        <w:t>In this edition.</w:t>
      </w:r>
    </w:p>
    <w:p>
      <w:pPr>
        <w:widowControl/>
      </w:pPr>
      <w:r>
        <w:rPr>
          <w:b w:val="0"/>
          <w:i w:val="0"/>
        </w:rPr>
        <w:t xml:space="preserve">Intelligibilem and intelligentem in VI.2.26 mean respectively available to intellect and itself understanding. The facing English’s </w:t>
      </w:r>
      <w:r>
        <w:t>“</w:t>
      </w:r>
      <w:r>
        <w:rPr>
          <w:b w:val="0"/>
          <w:i w:val="0"/>
        </w:rPr>
        <w:t>light of spirits</w:t>
      </w:r>
      <w:r>
        <w:t>”</w:t>
      </w:r>
      <w:r>
        <w:rPr>
          <w:b w:val="0"/>
          <w:i w:val="0"/>
        </w:rPr>
        <w:t xml:space="preserve"> must be read with Ficino’s vocabulary of bodily vehicles and physiological mediation, not generalized into an identity of spirit and rational soul.</w:t>
      </w:r>
    </w:p>
    <w:p>
      <w:pPr>
        <w:keepNext/>
        <w:widowControl/>
      </w:pPr>
      <w:r>
        <w:rPr>
          <w:b/>
          <w:i w:val="0"/>
        </w:rPr>
        <w:t>See also.</w:t>
      </w:r>
    </w:p>
    <w:p>
      <w:pPr>
        <w:widowControl/>
      </w:pPr>
      <w:hyperlink w:anchor="spark-globe-and-luminous-vehicles">
        <w:r>
          <w:rPr>
            <w:color w:val="000000"/>
          </w:rPr>
          <w:t xml:space="preserve">Spark, globe and luminous vehicles</w:t>
        </w:r>
      </w:hyperlink>
      <w:r>
        <w:rPr>
          <w:b w:val="0"/>
          <w:i w:val="0"/>
        </w:rPr>
        <w:t xml:space="preserve">; </w:t>
      </w:r>
      <w:hyperlink w:anchor="intellectual-objects-and-owl-eye">
        <w:r>
          <w:rPr>
            <w:color w:val="000000"/>
          </w:rPr>
          <w:t xml:space="preserve">Intellectual objects and the owl’s eye</w:t>
        </w:r>
      </w:hyperlink>
    </w:p>
    <w:p>
      <w:pPr>
        <w:pStyle w:val="Heading2"/>
      </w:pPr>
      <w:bookmarkStart w:id="164" w:name="vii-lucifer-meaning"/>
      <w:r>
        <w:rPr>
          <w:b w:val="0"/>
          <w:i w:val="0"/>
        </w:rPr>
        <w:t>Lucifer and indivisible meaning</w:t>
      </w:r>
      <w:bookmarkEnd w:id="164"/>
    </w:p>
    <w:p>
      <w:pPr>
        <w:keepNext/>
        <w:widowControl/>
      </w:pPr>
      <w:r>
        <w:rPr>
          <w:b/>
          <w:i w:val="0"/>
        </w:rPr>
        <w:t>Latin:</w:t>
      </w:r>
      <w:r>
        <w:rPr>
          <w:b w:val="0"/>
          <w:i w:val="0"/>
        </w:rPr>
        <w:t xml:space="preserve"> </w:t>
      </w:r>
      <w:r>
        <w:rPr>
          <w:b w:val="0"/>
          <w:i/>
        </w:rPr>
        <w:t>Lucifer</w:t>
      </w:r>
      <w:r>
        <w:rPr>
          <w:b w:val="0"/>
          <w:i w:val="0"/>
        </w:rPr>
        <w:t xml:space="preserve">; </w:t>
      </w:r>
      <w:r>
        <w:rPr>
          <w:b w:val="0"/>
          <w:i/>
        </w:rPr>
        <w:t>luci</w:t>
      </w:r>
      <w:r>
        <w:rPr>
          <w:b w:val="0"/>
          <w:i w:val="0"/>
        </w:rPr>
        <w:t xml:space="preserve">; </w:t>
      </w:r>
      <w:r>
        <w:rPr>
          <w:b w:val="0"/>
          <w:i/>
        </w:rPr>
        <w:t>fer</w:t>
      </w:r>
      <w:r>
        <w:rPr>
          <w:b w:val="0"/>
          <w:i w:val="0"/>
        </w:rPr>
        <w:t xml:space="preserve">; </w:t>
      </w:r>
      <w:r>
        <w:rPr>
          <w:b w:val="0"/>
          <w:i/>
        </w:rPr>
        <w:t>vox</w:t>
      </w:r>
      <w:r>
        <w:rPr>
          <w:b w:val="0"/>
          <w:i w:val="0"/>
        </w:rPr>
        <w:t xml:space="preserve">; </w:t>
      </w:r>
      <w:r>
        <w:rPr>
          <w:b w:val="0"/>
          <w:i/>
        </w:rPr>
        <w:t>significatio</w:t>
      </w:r>
      <w:r>
        <w:rPr>
          <w:b w:val="0"/>
          <w:i w:val="0"/>
        </w:rPr>
        <w:t xml:space="preserve">; </w:t>
      </w:r>
      <w:r>
        <w:rPr>
          <w:b w:val="0"/>
          <w:i/>
        </w:rPr>
        <w:t>dictio</w:t>
      </w:r>
      <w:r>
        <w:rPr>
          <w:b w:val="0"/>
          <w:i w:val="0"/>
        </w:rPr>
        <w:t xml:space="preserve">; </w:t>
      </w:r>
      <w:r>
        <w:rPr>
          <w:b w:val="0"/>
          <w:i/>
        </w:rPr>
        <w:t>latio</w:t>
      </w:r>
    </w:p>
    <w:p>
      <w:pPr>
        <w:keepNext/>
        <w:widowControl/>
      </w:pPr>
      <w:r>
        <w:rPr>
          <w:b/>
          <w:i w:val="0"/>
        </w:rPr>
        <w:t>The word.</w:t>
      </w:r>
    </w:p>
    <w:p>
      <w:pPr>
        <w:widowControl/>
      </w:pPr>
      <w:r>
        <w:rPr>
          <w:b w:val="0"/>
          <w:i w:val="0"/>
        </w:rPr>
        <w:t xml:space="preserve">Here </w:t>
      </w:r>
      <w:r>
        <w:rPr>
          <w:b w:val="0"/>
          <w:i/>
        </w:rPr>
        <w:t>Lucifer</w:t>
      </w:r>
      <w:r>
        <w:rPr>
          <w:b w:val="0"/>
          <w:i w:val="0"/>
        </w:rPr>
        <w:t xml:space="preserve"> is the Latin name designating Venus as the light-bearing morning star. The example expressly concerns that reference, not a demonic character. </w:t>
      </w:r>
      <w:r>
        <w:rPr>
          <w:b w:val="0"/>
          <w:i/>
        </w:rPr>
        <w:t>Vox</w:t>
      </w:r>
      <w:r>
        <w:rPr>
          <w:b w:val="0"/>
          <w:i w:val="0"/>
        </w:rPr>
        <w:t xml:space="preserve"> is the uttered sound; </w:t>
      </w:r>
      <w:r>
        <w:rPr>
          <w:b w:val="0"/>
          <w:i/>
        </w:rPr>
        <w:t>significatio</w:t>
      </w:r>
      <w:r>
        <w:rPr>
          <w:b w:val="0"/>
          <w:i w:val="0"/>
        </w:rPr>
        <w:t xml:space="preserve"> its meaning; </w:t>
      </w:r>
      <w:r>
        <w:rPr>
          <w:b w:val="0"/>
          <w:i/>
        </w:rPr>
        <w:t>dictio</w:t>
      </w:r>
      <w:r>
        <w:rPr>
          <w:b w:val="0"/>
          <w:i w:val="0"/>
        </w:rPr>
        <w:t xml:space="preserve"> a meaningful expression. </w:t>
      </w:r>
      <w:r>
        <w:rPr>
          <w:b w:val="0"/>
          <w:i/>
        </w:rPr>
        <w:t>Latio</w:t>
      </w:r>
      <w:r>
        <w:rPr>
          <w:b w:val="0"/>
          <w:i w:val="0"/>
        </w:rPr>
        <w:t xml:space="preserve"> supplies the notion of bearing or carrying.</w:t>
      </w:r>
    </w:p>
    <w:p>
      <w:pPr>
        <w:keepNext/>
        <w:widowControl/>
      </w:pPr>
      <w:r>
        <w:rPr>
          <w:b/>
          <w:i w:val="0"/>
        </w:rPr>
        <w:t>In the Platonic Theology.</w:t>
      </w:r>
    </w:p>
    <w:p>
      <w:pPr>
        <w:widowControl/>
      </w:pPr>
      <w:r>
        <w:rPr>
          <w:b w:val="0"/>
          <w:i w:val="0"/>
        </w:rPr>
        <w:t xml:space="preserve">Ficino compares the word with an animal: sound takes the place of body and meaning the place of soul. Divide </w:t>
      </w:r>
      <w:r>
        <w:rPr>
          <w:b w:val="0"/>
          <w:i/>
        </w:rPr>
        <w:t>Lucifer</w:t>
      </w:r>
      <w:r>
        <w:rPr>
          <w:b w:val="0"/>
          <w:i w:val="0"/>
        </w:rPr>
        <w:t xml:space="preserve"> into </w:t>
      </w:r>
      <w:r>
        <w:rPr>
          <w:b w:val="0"/>
          <w:i/>
        </w:rPr>
        <w:t>luci</w:t>
      </w:r>
      <w:r>
        <w:rPr>
          <w:b w:val="0"/>
          <w:i w:val="0"/>
        </w:rPr>
        <w:t xml:space="preserve"> and </w:t>
      </w:r>
      <w:r>
        <w:rPr>
          <w:b w:val="0"/>
          <w:i/>
        </w:rPr>
        <w:t>fer</w:t>
      </w:r>
      <w:r>
        <w:rPr>
          <w:b w:val="0"/>
          <w:i w:val="0"/>
        </w:rPr>
        <w:t xml:space="preserve">. The original designation of Venus ceases, but is not itself cut into two meaningful halves. Two further significations now sustain the two expressions: a meaning of light in </w:t>
      </w:r>
      <w:r>
        <w:rPr>
          <w:b w:val="0"/>
          <w:i/>
        </w:rPr>
        <w:t>luci</w:t>
      </w:r>
      <w:r>
        <w:rPr>
          <w:b w:val="0"/>
          <w:i w:val="0"/>
        </w:rPr>
        <w:t xml:space="preserve"> and something associated with bearing in </w:t>
      </w:r>
      <w:r>
        <w:rPr>
          <w:b w:val="0"/>
          <w:i/>
        </w:rPr>
        <w:t>fer</w:t>
      </w:r>
      <w:r>
        <w:rPr>
          <w:b w:val="0"/>
          <w:i w:val="0"/>
        </w:rPr>
        <w:t>. Their continued meaningfulness parallels the new souls posited in severed animal fragments.</w:t>
      </w:r>
    </w:p>
    <w:p>
      <w:pPr>
        <w:widowControl/>
      </w:pPr>
      <w:r>
        <w:rPr>
          <w:b w:val="0"/>
          <w:i w:val="0"/>
        </w:rPr>
        <w:t>The example separates continuity of material components from identity of the organizing meaning. The meaning that disappeared and the meanings that remain must not be treated as three interchangeable versions of one content. Likewise, the account of animal division depends upon new souls rather than fragments of the original soul. Ficino postpones a fuller demonstration that a name’s meaning is indivisible; this unit supplies an analogy, not the complete semantic proof.</w:t>
      </w:r>
    </w:p>
    <w:p>
      <w:pPr>
        <w:widowControl/>
      </w:pPr>
      <w:r>
        <w:rPr>
          <w:b w:val="0"/>
          <w:i w:val="0"/>
        </w:rPr>
        <w:t>The earlier discussion of word-meanings transmitted from soul to soul establishes the relevant background. A sound reaches hearing, but what is understood is not exhausted by the bodily sound. Translation must preserve the Latin segmentation because an English substitute would not reproduce both its letters and its locally stipulated meanings.</w:t>
      </w:r>
    </w:p>
    <w:p>
      <w:pPr>
        <w:keepNext/>
        <w:widowControl/>
      </w:pPr>
      <w:r>
        <w:rPr>
          <w:b/>
          <w:i w:val="0"/>
        </w:rPr>
        <w:t>Places to Read.</w:t>
      </w:r>
    </w:p>
    <w:p>
      <w:pPr>
        <w:ind w:left="187" w:hanging="187"/>
      </w:pPr>
      <w:r>
        <w:t xml:space="preserve">• </w:t>
      </w:r>
      <w:r>
        <w:rPr>
          <w:b/>
          <w:i w:val="0"/>
        </w:rPr>
        <w:t>VII.1.3, PDF 236–237</w:t>
      </w:r>
      <w:r>
        <w:rPr>
          <w:b w:val="0"/>
          <w:i w:val="0"/>
        </w:rPr>
        <w:t>. Meanings reaching hearing are classed as spiritual and preserved through souls.</w:t>
      </w:r>
    </w:p>
    <w:p>
      <w:pPr>
        <w:ind w:left="187" w:hanging="187"/>
      </w:pPr>
      <w:r>
        <w:t xml:space="preserve">• </w:t>
      </w:r>
      <w:r>
        <w:rPr>
          <w:b/>
          <w:i w:val="0"/>
        </w:rPr>
        <w:t>VII.5.4, PDF 254–255</w:t>
      </w:r>
      <w:r>
        <w:rPr>
          <w:b w:val="0"/>
          <w:i w:val="0"/>
        </w:rPr>
        <w:t>. Lucifer, luci and fer illustrate cessation and replacement of indivisible meaning.</w:t>
      </w:r>
    </w:p>
    <w:p>
      <w:pPr>
        <w:keepNext/>
        <w:widowControl/>
      </w:pPr>
      <w:r>
        <w:rPr>
          <w:b/>
          <w:i w:val="0"/>
        </w:rPr>
        <w:t>In this edition.</w:t>
      </w:r>
    </w:p>
    <w:p>
      <w:pPr>
        <w:widowControl/>
      </w:pPr>
      <w:r>
        <w:rPr>
          <w:b w:val="0"/>
          <w:i w:val="0"/>
        </w:rPr>
        <w:t xml:space="preserve">The edition explains rather than replaces the </w:t>
      </w:r>
      <w:r>
        <w:rPr>
          <w:b w:val="0"/>
          <w:i/>
        </w:rPr>
        <w:t>luci/fer</w:t>
      </w:r>
      <w:r>
        <w:rPr>
          <w:b w:val="0"/>
          <w:i w:val="0"/>
        </w:rPr>
        <w:t xml:space="preserve"> wordplay. The printed </w:t>
      </w:r>
      <w:r>
        <w:rPr>
          <w:b w:val="0"/>
          <w:i/>
        </w:rPr>
        <w:t>fer</w:t>
      </w:r>
      <w:r>
        <w:rPr>
          <w:b w:val="0"/>
          <w:i w:val="0"/>
        </w:rPr>
        <w:t xml:space="preserve"> is glossed broadly through </w:t>
      </w:r>
      <w:r>
        <w:rPr>
          <w:b w:val="0"/>
          <w:i/>
        </w:rPr>
        <w:t>latio</w:t>
      </w:r>
      <w:r>
        <w:rPr>
          <w:b w:val="0"/>
          <w:i w:val="0"/>
        </w:rPr>
        <w:t>; the article does not silently convert it into a fully specified grammatical analysis. Venus is named by the Latin source itself.</w:t>
      </w:r>
    </w:p>
    <w:p>
      <w:pPr>
        <w:keepNext/>
        <w:widowControl/>
      </w:pPr>
      <w:r>
        <w:rPr>
          <w:b/>
          <w:i w:val="0"/>
        </w:rPr>
        <w:t>See also.</w:t>
      </w:r>
    </w:p>
    <w:p>
      <w:pPr>
        <w:widowControl/>
      </w:pPr>
      <w:hyperlink w:anchor="vii-severed-animals">
        <w:r>
          <w:rPr>
            <w:color w:val="000000"/>
          </w:rPr>
          <w:t xml:space="preserve">Severed animals and replacement souls</w:t>
        </w:r>
      </w:hyperlink>
      <w:r>
        <w:rPr>
          <w:b w:val="0"/>
          <w:i w:val="0"/>
        </w:rPr>
        <w:t xml:space="preserve">; </w:t>
      </w:r>
      <w:hyperlink w:anchor="vii-spiritual-images-light">
        <w:r>
          <w:rPr>
            <w:color w:val="000000"/>
          </w:rPr>
          <w:t xml:space="preserve">Spiritual images and light</w:t>
        </w:r>
      </w:hyperlink>
    </w:p>
    <w:p>
      <w:pPr>
        <w:pStyle w:val="Heading2"/>
      </w:pPr>
      <w:bookmarkStart w:id="165" w:name="viii-infinity-measure"/>
      <w:r>
        <w:rPr>
          <w:b w:val="0"/>
          <w:i w:val="0"/>
        </w:rPr>
        <w:t>Measuring infinity and thinking being and nonbeing</w:t>
      </w:r>
      <w:bookmarkEnd w:id="165"/>
    </w:p>
    <w:p>
      <w:pPr>
        <w:keepNext/>
        <w:widowControl/>
      </w:pPr>
      <w:r>
        <w:rPr>
          <w:b/>
          <w:i w:val="0"/>
        </w:rPr>
        <w:t>Latin:</w:t>
      </w:r>
      <w:r>
        <w:rPr>
          <w:b w:val="0"/>
          <w:i w:val="0"/>
        </w:rPr>
        <w:t xml:space="preserve"> </w:t>
      </w:r>
      <w:r>
        <w:rPr>
          <w:b w:val="0"/>
          <w:i/>
        </w:rPr>
        <w:t>aequatio</w:t>
      </w:r>
      <w:r>
        <w:rPr>
          <w:b w:val="0"/>
          <w:i w:val="0"/>
        </w:rPr>
        <w:t xml:space="preserve">; </w:t>
      </w:r>
      <w:r>
        <w:rPr>
          <w:b w:val="0"/>
          <w:i/>
        </w:rPr>
        <w:t>mensura</w:t>
      </w:r>
      <w:r>
        <w:rPr>
          <w:b w:val="0"/>
          <w:i w:val="0"/>
        </w:rPr>
        <w:t xml:space="preserve">; </w:t>
      </w:r>
      <w:r>
        <w:rPr>
          <w:b w:val="0"/>
          <w:i/>
        </w:rPr>
        <w:t>proportio</w:t>
      </w:r>
      <w:r>
        <w:rPr>
          <w:b w:val="0"/>
          <w:i w:val="0"/>
        </w:rPr>
        <w:t xml:space="preserve">; </w:t>
      </w:r>
      <w:r>
        <w:rPr>
          <w:b w:val="0"/>
          <w:i/>
        </w:rPr>
        <w:t>infinitas</w:t>
      </w:r>
      <w:r>
        <w:rPr>
          <w:b w:val="0"/>
          <w:i w:val="0"/>
        </w:rPr>
        <w:t xml:space="preserve">; </w:t>
      </w:r>
      <w:r>
        <w:rPr>
          <w:b w:val="0"/>
          <w:i/>
        </w:rPr>
        <w:t>esse</w:t>
      </w:r>
      <w:r>
        <w:rPr>
          <w:b w:val="0"/>
          <w:i w:val="0"/>
        </w:rPr>
        <w:t xml:space="preserve">; </w:t>
      </w:r>
      <w:r>
        <w:rPr>
          <w:b w:val="0"/>
          <w:i/>
        </w:rPr>
        <w:t>non esse</w:t>
      </w:r>
      <w:r>
        <w:rPr>
          <w:b w:val="0"/>
          <w:i w:val="0"/>
        </w:rPr>
        <w:t xml:space="preserve">; </w:t>
      </w:r>
      <w:r>
        <w:rPr>
          <w:b w:val="0"/>
          <w:i/>
        </w:rPr>
        <w:t>creatio</w:t>
      </w:r>
      <w:r>
        <w:rPr>
          <w:b w:val="0"/>
          <w:i w:val="0"/>
        </w:rPr>
        <w:t xml:space="preserve">; </w:t>
      </w:r>
      <w:r>
        <w:rPr>
          <w:b w:val="0"/>
          <w:i/>
        </w:rPr>
        <w:t>interitus</w:t>
      </w:r>
    </w:p>
    <w:p>
      <w:pPr>
        <w:keepNext/>
        <w:widowControl/>
      </w:pPr>
      <w:r>
        <w:rPr>
          <w:b/>
          <w:i w:val="0"/>
        </w:rPr>
        <w:t>The word.</w:t>
      </w:r>
    </w:p>
    <w:p>
      <w:pPr>
        <w:widowControl/>
      </w:pPr>
      <w:r>
        <w:rPr>
          <w:b w:val="0"/>
          <w:i w:val="0"/>
        </w:rPr>
        <w:t xml:space="preserve">Aequatio is correspondence between knower and known; mensura is the measure by which something is apprehended. Creation passes from nonbeing to being; interitus passes oppositely. Their </w:t>
      </w:r>
      <w:r>
        <w:t>“</w:t>
      </w:r>
      <w:r>
        <w:rPr>
          <w:b w:val="0"/>
          <w:i w:val="0"/>
        </w:rPr>
        <w:t>interval</w:t>
      </w:r>
      <w:r>
        <w:t>”</w:t>
      </w:r>
      <w:r>
        <w:rPr>
          <w:b w:val="0"/>
          <w:i w:val="0"/>
        </w:rPr>
        <w:t xml:space="preserve"> is metaphysical difference, not a measurable stretch of space.</w:t>
      </w:r>
    </w:p>
    <w:p>
      <w:pPr>
        <w:keepNext/>
        <w:widowControl/>
      </w:pPr>
      <w:r>
        <w:rPr>
          <w:b/>
          <w:i w:val="0"/>
        </w:rPr>
        <w:t>In the Platonic Theology.</w:t>
      </w:r>
    </w:p>
    <w:p>
      <w:pPr>
        <w:widowControl/>
      </w:pPr>
      <w:r>
        <w:rPr>
          <w:b w:val="0"/>
          <w:i w:val="0"/>
        </w:rPr>
        <w:t>Mind is said to have no fixed place or grade insofar as it traverses all grades in knowing. Ficino then argues that defining infinity requires some proportion between mind and the infinity known. Since finite and infinite have no proportion in the relevant sense, the knowing power must itself be infinite in a qualified way. Time measuring motion supplies a comparison: if motion were endless, the successive measure would also be endless; stable intellectual comprehension of infinity is presented as an even stronger case.</w:t>
      </w:r>
    </w:p>
    <w:p>
      <w:pPr>
        <w:widowControl/>
      </w:pPr>
      <w:r>
        <w:rPr>
          <w:b w:val="0"/>
          <w:i w:val="0"/>
        </w:rPr>
        <w:t xml:space="preserve">The conclusion depends on Ficino’s premise that knowledge requires a proportional matching of knower and object. It should not be silently recast as a modern proof that defining </w:t>
      </w:r>
      <w:r>
        <w:t>“</w:t>
      </w:r>
      <w:r>
        <w:rPr>
          <w:b w:val="0"/>
          <w:i w:val="0"/>
        </w:rPr>
        <w:t>infinite</w:t>
      </w:r>
      <w:r>
        <w:t>”</w:t>
      </w:r>
      <w:r>
        <w:rPr>
          <w:b w:val="0"/>
          <w:i w:val="0"/>
        </w:rPr>
        <w:t xml:space="preserve"> gives a thinker infinite information. His own repeated qualifications indicate a power of intellectual reach rather than identity with God’s absolute nature.</w:t>
      </w:r>
    </w:p>
    <w:p>
      <w:pPr>
        <w:widowControl/>
      </w:pPr>
      <w:r>
        <w:rPr>
          <w:b w:val="0"/>
          <w:i w:val="0"/>
        </w:rPr>
        <w:t xml:space="preserve">Being and nonbeing give another example. Mind understands creation and destruction and describes both termini. It also conceives common being as communicated in many modes. The immeasurable distance it </w:t>
      </w:r>
      <w:r>
        <w:t>“</w:t>
      </w:r>
      <w:r>
        <w:rPr>
          <w:b w:val="0"/>
          <w:i w:val="0"/>
        </w:rPr>
        <w:t>traverses</w:t>
      </w:r>
      <w:r>
        <w:t>”</w:t>
      </w:r>
      <w:r>
        <w:rPr>
          <w:b w:val="0"/>
          <w:i w:val="0"/>
        </w:rPr>
        <w:t xml:space="preserve"> concerns this conceptual range; understanding creation is not itself an act of efficiently creating an external substance.</w:t>
      </w:r>
    </w:p>
    <w:p>
      <w:pPr>
        <w:widowControl/>
      </w:pPr>
      <w:r>
        <w:rPr>
          <w:b w:val="0"/>
          <w:i w:val="0"/>
        </w:rPr>
        <w:t>The passage then turns from knowledge to desire: bodily hunger is readily satisfied, but ambition or desire for divine knowledge seems unbounded. That change of argumentative route leads to the closing account of divine enlargement.</w:t>
      </w:r>
    </w:p>
    <w:p>
      <w:pPr>
        <w:keepNext/>
        <w:widowControl/>
      </w:pPr>
      <w:r>
        <w:rPr>
          <w:b/>
          <w:i w:val="0"/>
        </w:rPr>
        <w:t>Places to Read.</w:t>
      </w:r>
    </w:p>
    <w:p>
      <w:pPr>
        <w:ind w:left="187" w:hanging="187"/>
      </w:pPr>
      <w:r>
        <w:t xml:space="preserve">• </w:t>
      </w:r>
      <w:r>
        <w:rPr>
          <w:b/>
          <w:i w:val="0"/>
        </w:rPr>
        <w:t>VIII.16.3, PDF pp. 374–375.</w:t>
      </w:r>
      <w:r>
        <w:rPr>
          <w:b w:val="0"/>
          <w:i w:val="0"/>
        </w:rPr>
        <w:t xml:space="preserve"> Proportional cognition of infinity is followed by thought’s passage between being and nonbeing and by insatiable desire.</w:t>
      </w:r>
    </w:p>
    <w:p>
      <w:pPr>
        <w:keepNext/>
        <w:widowControl/>
      </w:pPr>
      <w:r>
        <w:rPr>
          <w:b/>
          <w:i w:val="0"/>
        </w:rPr>
        <w:t>In this edition.</w:t>
      </w:r>
    </w:p>
    <w:p>
      <w:pPr>
        <w:widowControl/>
      </w:pPr>
      <w:r>
        <w:rPr>
          <w:b w:val="0"/>
          <w:i w:val="0"/>
        </w:rPr>
        <w:t>The apparatus emphasizes aequatio and aequatur as equality language. Qualifiers such as ut ita loquar and quodammodo remain essential. The correction percurrit immensum keeps the verb’s complete traversal image; it does not make nonbeing a place.</w:t>
      </w:r>
    </w:p>
    <w:p>
      <w:pPr>
        <w:keepNext/>
        <w:widowControl/>
      </w:pPr>
      <w:r>
        <w:rPr>
          <w:b/>
          <w:i w:val="0"/>
        </w:rPr>
        <w:t>See also.</w:t>
      </w:r>
    </w:p>
    <w:p>
      <w:pPr>
        <w:widowControl/>
      </w:pPr>
      <w:hyperlink w:anchor="viii-finite-angels">
        <w:r>
          <w:rPr>
            <w:color w:val="000000"/>
          </w:rPr>
          <w:t xml:space="preserve">Finite angels, infinite act, and infinite potency</w:t>
        </w:r>
      </w:hyperlink>
      <w:r>
        <w:rPr>
          <w:b w:val="0"/>
          <w:i w:val="0"/>
        </w:rPr>
        <w:t xml:space="preserve">; </w:t>
      </w:r>
      <w:hyperlink w:anchor="viii-divine-enlargement">
        <w:r>
          <w:rPr>
            <w:color w:val="000000"/>
          </w:rPr>
          <w:t xml:space="preserve">Insatiable desire and divine enlargement</w:t>
        </w:r>
      </w:hyperlink>
      <w:r>
        <w:rPr>
          <w:b w:val="0"/>
          <w:i w:val="0"/>
        </w:rPr>
        <w:t xml:space="preserve">; </w:t>
      </w:r>
      <w:hyperlink w:anchor="viii-self-cause">
        <w:r>
          <w:rPr>
            <w:color w:val="000000"/>
          </w:rPr>
          <w:t xml:space="preserve">Self-causation: formal cause and efficient cause</w:t>
        </w:r>
      </w:hyperlink>
    </w:p>
    <w:p>
      <w:pPr>
        <w:pStyle w:val="Heading2"/>
      </w:pPr>
      <w:bookmarkStart w:id="166" w:name="members-house-and-sinew"/>
      <w:r>
        <w:rPr>
          <w:b w:val="0"/>
          <w:i w:val="0"/>
        </w:rPr>
        <w:t>Members, house and sinew</w:t>
      </w:r>
      <w:bookmarkEnd w:id="166"/>
    </w:p>
    <w:p>
      <w:pPr>
        <w:keepNext/>
        <w:widowControl/>
      </w:pPr>
      <w:r>
        <w:rPr>
          <w:b/>
          <w:i w:val="0"/>
        </w:rPr>
        <w:t>Latin:</w:t>
      </w:r>
      <w:r>
        <w:rPr>
          <w:b w:val="0"/>
          <w:i w:val="0"/>
        </w:rPr>
        <w:t xml:space="preserve"> </w:t>
      </w:r>
      <w:r>
        <w:rPr>
          <w:b w:val="0"/>
          <w:i/>
        </w:rPr>
        <w:t>membrum</w:t>
      </w:r>
      <w:r>
        <w:rPr>
          <w:b w:val="0"/>
          <w:i w:val="0"/>
        </w:rPr>
        <w:t xml:space="preserve">; </w:t>
      </w:r>
      <w:r>
        <w:rPr>
          <w:b w:val="0"/>
          <w:i/>
        </w:rPr>
        <w:t>congregatum</w:t>
      </w:r>
      <w:r>
        <w:rPr>
          <w:b w:val="0"/>
          <w:i w:val="0"/>
        </w:rPr>
        <w:t xml:space="preserve">; </w:t>
      </w:r>
      <w:r>
        <w:rPr>
          <w:b w:val="0"/>
          <w:i/>
        </w:rPr>
        <w:t>domus</w:t>
      </w:r>
      <w:r>
        <w:rPr>
          <w:b w:val="0"/>
          <w:i w:val="0"/>
        </w:rPr>
        <w:t xml:space="preserve">; </w:t>
      </w:r>
      <w:r>
        <w:rPr>
          <w:b w:val="0"/>
          <w:i/>
        </w:rPr>
        <w:t>paries</w:t>
      </w:r>
      <w:r>
        <w:rPr>
          <w:b w:val="0"/>
          <w:i w:val="0"/>
        </w:rPr>
        <w:t xml:space="preserve">; </w:t>
      </w:r>
      <w:r>
        <w:rPr>
          <w:b w:val="0"/>
          <w:i/>
        </w:rPr>
        <w:t>nervus</w:t>
      </w:r>
      <w:r>
        <w:rPr>
          <w:b w:val="0"/>
          <w:i w:val="0"/>
        </w:rPr>
        <w:t xml:space="preserve">; </w:t>
      </w:r>
      <w:r>
        <w:rPr>
          <w:b w:val="0"/>
          <w:i/>
        </w:rPr>
        <w:t>articulus</w:t>
      </w:r>
      <w:r>
        <w:rPr>
          <w:b w:val="0"/>
          <w:i w:val="0"/>
        </w:rPr>
        <w:t xml:space="preserve">; </w:t>
      </w:r>
      <w:r>
        <w:rPr>
          <w:b w:val="0"/>
          <w:i/>
        </w:rPr>
        <w:t>conglutinare</w:t>
      </w:r>
    </w:p>
    <w:p>
      <w:pPr>
        <w:keepNext/>
        <w:widowControl/>
      </w:pPr>
      <w:r>
        <w:rPr>
          <w:b/>
          <w:i w:val="0"/>
        </w:rPr>
        <w:t>The word.</w:t>
      </w:r>
    </w:p>
    <w:p>
      <w:pPr>
        <w:widowControl/>
      </w:pPr>
      <w:r>
        <w:rPr>
          <w:b w:val="0"/>
          <w:i w:val="0"/>
        </w:rPr>
        <w:t>Membrum is an organic member. Congregatum denotes an aggregate gathered together, contrasted with a natural whole. Nervus can mean sinew or nerve in this bodily example; the translation chooses sinew. Conglutinare pictures binding together as with glue.</w:t>
      </w:r>
    </w:p>
    <w:p>
      <w:pPr>
        <w:keepNext/>
        <w:widowControl/>
      </w:pPr>
      <w:r>
        <w:rPr>
          <w:b/>
          <w:i w:val="0"/>
        </w:rPr>
        <w:t>In the Platonic Theology.</w:t>
      </w:r>
    </w:p>
    <w:p>
      <w:pPr>
        <w:widowControl/>
      </w:pPr>
      <w:r>
        <w:rPr>
          <w:b w:val="0"/>
          <w:i w:val="0"/>
        </w:rPr>
        <w:t>If soul were located only in one organ, Ficino argues, it would be the form only of that member. The other members would require other forms, leaving an aggregate comparable to a house assembled from walls rather than one natural organism. The contrast does not deny that a house is ordered; it distinguishes the kind of substantial unity claimed for an animal from artificial aggregation.</w:t>
      </w:r>
    </w:p>
    <w:p>
      <w:pPr>
        <w:widowControl/>
      </w:pPr>
      <w:r>
        <w:rPr>
          <w:b w:val="0"/>
          <w:i w:val="0"/>
        </w:rPr>
        <w:t>The pulling sinew then gives a different analogy. For the joints to contract together under one pull, one connecting sinew must be present throughout the relevant parts. Similarly, concord between animal members requires one soul uniting them. The inference is reinforced by life in even tiny bodily portions and motion and sensation in most. These are said to be operations inward to the agent and impossible without its substance. Ficino therefore moves from immanent local effects to the soul’s presence there, not merely from visible proximity between organs to psychic unity. The distinction between all parts alive and most parts sensing must remain intact.</w:t>
      </w:r>
    </w:p>
    <w:p>
      <w:pPr>
        <w:keepNext/>
        <w:widowControl/>
      </w:pPr>
      <w:r>
        <w:rPr>
          <w:b/>
          <w:i w:val="0"/>
        </w:rPr>
        <w:t>Places to Read.</w:t>
      </w:r>
    </w:p>
    <w:p>
      <w:pPr>
        <w:ind w:left="187" w:hanging="187"/>
      </w:pPr>
      <w:r>
        <w:t xml:space="preserve">• </w:t>
      </w:r>
      <w:r>
        <w:rPr>
          <w:b/>
          <w:i w:val="0"/>
        </w:rPr>
        <w:t>VI.9.3; source PDF pp. 192, 193</w:t>
      </w:r>
      <w:r>
        <w:rPr>
          <w:b w:val="0"/>
          <w:i w:val="0"/>
        </w:rPr>
        <w:t>. House, sinew, life and immanent operations supply different supports for organic unity.</w:t>
      </w:r>
    </w:p>
    <w:p>
      <w:pPr>
        <w:ind w:left="187" w:hanging="187"/>
      </w:pPr>
      <w:r>
        <w:t xml:space="preserve">• </w:t>
      </w:r>
      <w:r>
        <w:rPr>
          <w:b/>
          <w:i w:val="0"/>
        </w:rPr>
        <w:t>VI.1.4; source PDF pp. 130, 131</w:t>
      </w:r>
      <w:r>
        <w:rPr>
          <w:b w:val="0"/>
          <w:i w:val="0"/>
        </w:rPr>
        <w:t>. The argument answers the earlier localized ruling-point account.</w:t>
      </w:r>
    </w:p>
    <w:p>
      <w:pPr>
        <w:keepNext/>
        <w:widowControl/>
      </w:pPr>
      <w:r>
        <w:rPr>
          <w:b/>
          <w:i w:val="0"/>
        </w:rPr>
        <w:t>In this edition.</w:t>
      </w:r>
    </w:p>
    <w:p>
      <w:pPr>
        <w:widowControl/>
      </w:pPr>
      <w:r>
        <w:rPr>
          <w:b w:val="0"/>
          <w:i w:val="0"/>
        </w:rPr>
        <w:t xml:space="preserve">The facing English distinguishes </w:t>
      </w:r>
      <w:r>
        <w:t>“</w:t>
      </w:r>
      <w:r>
        <w:rPr>
          <w:b w:val="0"/>
          <w:i w:val="0"/>
        </w:rPr>
        <w:t>every portion</w:t>
      </w:r>
      <w:r>
        <w:t>”</w:t>
      </w:r>
      <w:r>
        <w:rPr>
          <w:b w:val="0"/>
          <w:i w:val="0"/>
        </w:rPr>
        <w:t xml:space="preserve"> for life from </w:t>
      </w:r>
      <w:r>
        <w:t>“</w:t>
      </w:r>
      <w:r>
        <w:rPr>
          <w:b w:val="0"/>
          <w:i w:val="0"/>
        </w:rPr>
        <w:t>most</w:t>
      </w:r>
      <w:r>
        <w:t>”</w:t>
      </w:r>
      <w:r>
        <w:rPr>
          <w:b w:val="0"/>
          <w:i w:val="0"/>
        </w:rPr>
        <w:t xml:space="preserve"> for motion and sensation. Nervus should not be silently modernized into a detailed neurological mechanism. The house and sinew are analogies with separate causal roles, not a single extended image.</w:t>
      </w:r>
    </w:p>
    <w:p>
      <w:pPr>
        <w:keepNext/>
        <w:widowControl/>
      </w:pPr>
      <w:r>
        <w:rPr>
          <w:b/>
          <w:i w:val="0"/>
        </w:rPr>
        <w:t>See also.</w:t>
      </w:r>
    </w:p>
    <w:p>
      <w:pPr>
        <w:widowControl/>
      </w:pPr>
      <w:hyperlink w:anchor="place-coincidence-and-painless-penetration">
        <w:r>
          <w:rPr>
            <w:color w:val="000000"/>
          </w:rPr>
          <w:t xml:space="preserve">Place, coincidence and painless penetration</w:t>
        </w:r>
      </w:hyperlink>
      <w:r>
        <w:rPr>
          <w:b w:val="0"/>
          <w:i w:val="0"/>
        </w:rPr>
        <w:t xml:space="preserve">; </w:t>
      </w:r>
      <w:hyperlink w:anchor="unity-dispersion-and-inward-bond">
        <w:r>
          <w:rPr>
            <w:color w:val="000000"/>
          </w:rPr>
          <w:t xml:space="preserve">Unity, dispersion and the inward bond</w:t>
        </w:r>
      </w:hyperlink>
    </w:p>
    <w:p>
      <w:pPr>
        <w:pStyle w:val="Heading2"/>
      </w:pPr>
      <w:bookmarkStart w:id="167" w:name="vii-memory-solid-fluid"/>
      <w:r>
        <w:rPr>
          <w:b w:val="0"/>
          <w:i w:val="0"/>
        </w:rPr>
        <w:t>Memory, rigidity and fluidity</w:t>
      </w:r>
      <w:bookmarkEnd w:id="167"/>
    </w:p>
    <w:p>
      <w:pPr>
        <w:keepNext/>
        <w:widowControl/>
      </w:pPr>
      <w:r>
        <w:rPr>
          <w:b/>
          <w:i w:val="0"/>
        </w:rPr>
        <w:t>Latin:</w:t>
      </w:r>
      <w:r>
        <w:rPr>
          <w:b w:val="0"/>
          <w:i w:val="0"/>
        </w:rPr>
        <w:t xml:space="preserve"> </w:t>
      </w:r>
      <w:r>
        <w:rPr>
          <w:b w:val="0"/>
          <w:i/>
        </w:rPr>
        <w:t>memoria</w:t>
      </w:r>
      <w:r>
        <w:rPr>
          <w:b w:val="0"/>
          <w:i w:val="0"/>
        </w:rPr>
        <w:t xml:space="preserve">; </w:t>
      </w:r>
      <w:r>
        <w:rPr>
          <w:b w:val="0"/>
          <w:i/>
        </w:rPr>
        <w:t>solidum</w:t>
      </w:r>
      <w:r>
        <w:rPr>
          <w:b w:val="0"/>
          <w:i w:val="0"/>
        </w:rPr>
        <w:t xml:space="preserve">; </w:t>
      </w:r>
      <w:r>
        <w:rPr>
          <w:b w:val="0"/>
          <w:i/>
        </w:rPr>
        <w:t>fluxum</w:t>
      </w:r>
      <w:r>
        <w:rPr>
          <w:b w:val="0"/>
          <w:i w:val="0"/>
        </w:rPr>
        <w:t xml:space="preserve">; </w:t>
      </w:r>
      <w:r>
        <w:rPr>
          <w:b w:val="0"/>
          <w:i/>
        </w:rPr>
        <w:t>labile</w:t>
      </w:r>
      <w:r>
        <w:rPr>
          <w:b w:val="0"/>
          <w:i w:val="0"/>
        </w:rPr>
        <w:t xml:space="preserve">; </w:t>
      </w:r>
      <w:r>
        <w:rPr>
          <w:b w:val="0"/>
          <w:i/>
        </w:rPr>
        <w:t>docilitas</w:t>
      </w:r>
      <w:r>
        <w:rPr>
          <w:b w:val="0"/>
          <w:i w:val="0"/>
        </w:rPr>
        <w:t xml:space="preserve">; </w:t>
      </w:r>
      <w:r>
        <w:rPr>
          <w:b w:val="0"/>
          <w:i/>
        </w:rPr>
        <w:t>acumen</w:t>
      </w:r>
      <w:r>
        <w:rPr>
          <w:b w:val="0"/>
          <w:i w:val="0"/>
        </w:rPr>
        <w:t xml:space="preserve">; </w:t>
      </w:r>
      <w:r>
        <w:rPr>
          <w:b w:val="0"/>
          <w:i/>
        </w:rPr>
        <w:t>tenere</w:t>
      </w:r>
      <w:r>
        <w:rPr>
          <w:b w:val="0"/>
          <w:i w:val="0"/>
        </w:rPr>
        <w:t xml:space="preserve">; </w:t>
      </w:r>
      <w:r>
        <w:rPr>
          <w:b w:val="0"/>
          <w:i/>
        </w:rPr>
        <w:t>obfuscare</w:t>
      </w:r>
    </w:p>
    <w:p>
      <w:pPr>
        <w:keepNext/>
        <w:widowControl/>
      </w:pPr>
      <w:r>
        <w:rPr>
          <w:b/>
          <w:i w:val="0"/>
        </w:rPr>
        <w:t>The word.</w:t>
      </w:r>
    </w:p>
    <w:p>
      <w:pPr>
        <w:widowControl/>
      </w:pPr>
      <w:r>
        <w:rPr>
          <w:b w:val="0"/>
          <w:i/>
        </w:rPr>
        <w:t>Solidum</w:t>
      </w:r>
      <w:r>
        <w:rPr>
          <w:b w:val="0"/>
          <w:i w:val="0"/>
        </w:rPr>
        <w:t xml:space="preserve"> names a solid body; </w:t>
      </w:r>
      <w:r>
        <w:rPr>
          <w:b w:val="0"/>
          <w:i/>
        </w:rPr>
        <w:t>fluxum</w:t>
      </w:r>
      <w:r>
        <w:rPr>
          <w:b w:val="0"/>
          <w:i w:val="0"/>
        </w:rPr>
        <w:t xml:space="preserve"> and </w:t>
      </w:r>
      <w:r>
        <w:rPr>
          <w:b w:val="0"/>
          <w:i/>
        </w:rPr>
        <w:t>labile</w:t>
      </w:r>
      <w:r>
        <w:rPr>
          <w:b w:val="0"/>
          <w:i w:val="0"/>
        </w:rPr>
        <w:t xml:space="preserve"> mark fluidity and instability. </w:t>
      </w:r>
      <w:r>
        <w:rPr>
          <w:b w:val="0"/>
          <w:i/>
        </w:rPr>
        <w:t>Docilitas</w:t>
      </w:r>
      <w:r>
        <w:rPr>
          <w:b w:val="0"/>
          <w:i w:val="0"/>
        </w:rPr>
        <w:t xml:space="preserve"> is readiness to learn, </w:t>
      </w:r>
      <w:r>
        <w:rPr>
          <w:b w:val="0"/>
          <w:i/>
        </w:rPr>
        <w:t>acumen</w:t>
      </w:r>
      <w:r>
        <w:rPr>
          <w:b w:val="0"/>
          <w:i w:val="0"/>
        </w:rPr>
        <w:t xml:space="preserve"> cognitive sharpness, and </w:t>
      </w:r>
      <w:r>
        <w:rPr>
          <w:b w:val="0"/>
          <w:i/>
        </w:rPr>
        <w:t>memoria</w:t>
      </w:r>
      <w:r>
        <w:rPr>
          <w:b w:val="0"/>
          <w:i w:val="0"/>
        </w:rPr>
        <w:t xml:space="preserve"> retention. None is simply another word for the ease with which matter changes.</w:t>
      </w:r>
    </w:p>
    <w:p>
      <w:pPr>
        <w:keepNext/>
        <w:widowControl/>
      </w:pPr>
      <w:r>
        <w:rPr>
          <w:b/>
          <w:i w:val="0"/>
        </w:rPr>
        <w:t>In the Platonic Theology.</w:t>
      </w:r>
    </w:p>
    <w:p>
      <w:pPr>
        <w:widowControl/>
      </w:pPr>
      <w:r>
        <w:rPr>
          <w:b w:val="0"/>
          <w:i w:val="0"/>
        </w:rPr>
        <w:t>Ficino tests a corporeal soul through opposed material conditions. If rigid, it hardly receives new figures and so loses both teachability and acuity. If it does receive successive figures, their coexistence obscures their distinctions. If fluid or unstable, it cannot retain them and consequently has no memory. A material property that seems to solve one difficulty therefore generates another: receptiveness without stability does not yield recollection, while stability as resistance to alteration does not yield learning.</w:t>
      </w:r>
    </w:p>
    <w:p>
      <w:pPr>
        <w:widowControl/>
      </w:pPr>
      <w:r>
        <w:rPr>
          <w:b w:val="0"/>
          <w:i w:val="0"/>
        </w:rPr>
        <w:t xml:space="preserve">The final division of chapter 1 recasts this dilemma. If an image only reaches the soul’s imagined surface, as in a mirror, it can account at most for a present object, not an absent object retained for thought. If qualities penetrate its substance like tastes and odors entering water, sensation and memory become successive bodily alterations whose contents mix without discriminating judgement. The ordinary verbs </w:t>
      </w:r>
      <w:r>
        <w:t>“</w:t>
      </w:r>
      <w:r>
        <w:rPr>
          <w:b w:val="0"/>
          <w:i w:val="0"/>
        </w:rPr>
        <w:t>hold,</w:t>
      </w:r>
      <w:r>
        <w:t>”</w:t>
      </w:r>
      <w:r>
        <w:rPr>
          <w:b w:val="0"/>
          <w:i w:val="0"/>
        </w:rPr>
        <w:t xml:space="preserve"> </w:t>
      </w:r>
      <w:r>
        <w:t>“</w:t>
      </w:r>
      <w:r>
        <w:rPr>
          <w:b w:val="0"/>
          <w:i w:val="0"/>
        </w:rPr>
        <w:t>lose,</w:t>
      </w:r>
      <w:r>
        <w:t>”</w:t>
      </w:r>
      <w:r>
        <w:rPr>
          <w:b w:val="0"/>
          <w:i w:val="0"/>
        </w:rPr>
        <w:t xml:space="preserve"> </w:t>
      </w:r>
      <w:r>
        <w:t>“</w:t>
      </w:r>
      <w:r>
        <w:rPr>
          <w:b w:val="0"/>
          <w:i w:val="0"/>
        </w:rPr>
        <w:t>obscure</w:t>
      </w:r>
      <w:r>
        <w:t>”</w:t>
      </w:r>
      <w:r>
        <w:rPr>
          <w:b w:val="0"/>
          <w:i w:val="0"/>
        </w:rPr>
        <w:t xml:space="preserve"> and </w:t>
      </w:r>
      <w:r>
        <w:t>“</w:t>
      </w:r>
      <w:r>
        <w:rPr>
          <w:b w:val="0"/>
          <w:i w:val="0"/>
        </w:rPr>
        <w:t>confuse</w:t>
      </w:r>
      <w:r>
        <w:t>”</w:t>
      </w:r>
      <w:r>
        <w:rPr>
          <w:b w:val="0"/>
          <w:i w:val="0"/>
        </w:rPr>
        <w:t xml:space="preserve"> carry the explanatory burden. Memory requires distinguishable retained content, not merely the continued existence of a material change.</w:t>
      </w:r>
    </w:p>
    <w:p>
      <w:pPr>
        <w:widowControl/>
      </w:pPr>
      <w:r>
        <w:rPr>
          <w:b w:val="0"/>
          <w:i w:val="0"/>
        </w:rPr>
        <w:t>The argument belongs to Ficino’s case for incorporeality. It neither supplies a contemporary theory of memory nor demonstrates that every process involving material stability is incapable of information storage.</w:t>
      </w:r>
    </w:p>
    <w:p>
      <w:pPr>
        <w:keepNext/>
        <w:widowControl/>
      </w:pPr>
      <w:r>
        <w:rPr>
          <w:b/>
          <w:i w:val="0"/>
        </w:rPr>
        <w:t>Places to Read.</w:t>
      </w:r>
    </w:p>
    <w:p>
      <w:pPr>
        <w:ind w:left="187" w:hanging="187"/>
      </w:pPr>
      <w:r>
        <w:t xml:space="preserve">• </w:t>
      </w:r>
      <w:r>
        <w:rPr>
          <w:b/>
          <w:i w:val="0"/>
        </w:rPr>
        <w:t>VII.1.1, PDF 232–233</w:t>
      </w:r>
      <w:r>
        <w:rPr>
          <w:b w:val="0"/>
          <w:i w:val="0"/>
        </w:rPr>
        <w:t>. The images of Plato, Xenophon, Alcibiades and Phaedrus test distinguishable coexistence.</w:t>
      </w:r>
    </w:p>
    <w:p>
      <w:pPr>
        <w:ind w:left="187" w:hanging="187"/>
      </w:pPr>
      <w:r>
        <w:t xml:space="preserve">• </w:t>
      </w:r>
      <w:r>
        <w:rPr>
          <w:b/>
          <w:i w:val="0"/>
        </w:rPr>
        <w:t>VII.1.2, PDF 234–235</w:t>
      </w:r>
      <w:r>
        <w:rPr>
          <w:b w:val="0"/>
          <w:i w:val="0"/>
        </w:rPr>
        <w:t>. Solid and fluid alternatives threaten learning and memory in different ways.</w:t>
      </w:r>
    </w:p>
    <w:p>
      <w:pPr>
        <w:ind w:left="187" w:hanging="187"/>
      </w:pPr>
      <w:r>
        <w:t xml:space="preserve">• </w:t>
      </w:r>
      <w:r>
        <w:rPr>
          <w:b/>
          <w:i w:val="0"/>
        </w:rPr>
        <w:t>VII.1.3, PDF 236–237</w:t>
      </w:r>
      <w:r>
        <w:rPr>
          <w:b w:val="0"/>
          <w:i w:val="0"/>
        </w:rPr>
        <w:t>. Surface reflection is contrasted with penetrating mixture and recollection of absent things.</w:t>
      </w:r>
    </w:p>
    <w:p>
      <w:pPr>
        <w:keepNext/>
        <w:widowControl/>
      </w:pPr>
      <w:r>
        <w:rPr>
          <w:b/>
          <w:i w:val="0"/>
        </w:rPr>
        <w:t>In this edition.</w:t>
      </w:r>
    </w:p>
    <w:p>
      <w:pPr>
        <w:widowControl/>
      </w:pPr>
      <w:r>
        <w:rPr>
          <w:b w:val="0"/>
          <w:i w:val="0"/>
        </w:rPr>
        <w:t xml:space="preserve">At VII.1.2 the edition retains </w:t>
      </w:r>
      <w:r>
        <w:rPr>
          <w:b w:val="0"/>
          <w:i/>
        </w:rPr>
        <w:t>cepit</w:t>
      </w:r>
      <w:r>
        <w:rPr>
          <w:b w:val="0"/>
          <w:i w:val="0"/>
        </w:rPr>
        <w:t xml:space="preserve">, </w:t>
      </w:r>
      <w:r>
        <w:t>“</w:t>
      </w:r>
      <w:r>
        <w:rPr>
          <w:b w:val="0"/>
          <w:i w:val="0"/>
        </w:rPr>
        <w:t>has received,</w:t>
      </w:r>
      <w:r>
        <w:t>”</w:t>
      </w:r>
      <w:r>
        <w:rPr>
          <w:b w:val="0"/>
          <w:i w:val="0"/>
        </w:rPr>
        <w:t xml:space="preserve"> against the later witnesses’ </w:t>
      </w:r>
      <w:r>
        <w:rPr>
          <w:b w:val="0"/>
          <w:i/>
        </w:rPr>
        <w:t>ceperit</w:t>
      </w:r>
      <w:r>
        <w:rPr>
          <w:b w:val="0"/>
          <w:i w:val="0"/>
        </w:rPr>
        <w:t xml:space="preserve">. It also retains </w:t>
      </w:r>
      <w:r>
        <w:rPr>
          <w:b w:val="0"/>
          <w:i/>
        </w:rPr>
        <w:t>Ubi</w:t>
      </w:r>
      <w:r>
        <w:rPr>
          <w:b w:val="0"/>
          <w:i w:val="0"/>
        </w:rPr>
        <w:t xml:space="preserve">, rendered </w:t>
      </w:r>
      <w:r>
        <w:t>“</w:t>
      </w:r>
      <w:r>
        <w:rPr>
          <w:b w:val="0"/>
          <w:i w:val="0"/>
        </w:rPr>
        <w:t>There,</w:t>
      </w:r>
      <w:r>
        <w:t>”</w:t>
      </w:r>
      <w:r>
        <w:rPr>
          <w:b w:val="0"/>
          <w:i w:val="0"/>
        </w:rPr>
        <w:t xml:space="preserve"> where those witnesses make the connection causal with </w:t>
      </w:r>
      <w:r>
        <w:rPr>
          <w:b w:val="0"/>
          <w:i/>
        </w:rPr>
        <w:t>Nam</w:t>
      </w:r>
      <w:r>
        <w:rPr>
          <w:b w:val="0"/>
          <w:i w:val="0"/>
        </w:rPr>
        <w:t>. Neither variation licenses merging the successive objections.</w:t>
      </w:r>
    </w:p>
    <w:p>
      <w:pPr>
        <w:keepNext/>
        <w:widowControl/>
      </w:pPr>
      <w:r>
        <w:rPr>
          <w:b/>
          <w:i w:val="0"/>
        </w:rPr>
        <w:t>See also.</w:t>
      </w:r>
    </w:p>
    <w:p>
      <w:pPr>
        <w:widowControl/>
      </w:pPr>
      <w:hyperlink w:anchor="vii-reception-wax-mirrors">
        <w:r>
          <w:rPr>
            <w:color w:val="000000"/>
          </w:rPr>
          <w:t xml:space="preserve">Receiving images: wax, seals and mirrors</w:t>
        </w:r>
      </w:hyperlink>
      <w:r>
        <w:rPr>
          <w:b w:val="0"/>
          <w:i w:val="0"/>
        </w:rPr>
        <w:t xml:space="preserve">; </w:t>
      </w:r>
      <w:hyperlink w:anchor="vii-common-sense-comparison">
        <w:r>
          <w:rPr>
            <w:color w:val="000000"/>
          </w:rPr>
          <w:t xml:space="preserve">Comparison and common sense</w:t>
        </w:r>
      </w:hyperlink>
    </w:p>
    <w:p>
      <w:pPr>
        <w:pStyle w:val="Heading2"/>
      </w:pPr>
      <w:bookmarkStart w:id="168" w:name="viii-mental-hands"/>
      <w:r>
        <w:rPr>
          <w:b w:val="0"/>
          <w:i w:val="0"/>
        </w:rPr>
        <w:t>Mental hands, conception, and creative understanding</w:t>
      </w:r>
      <w:bookmarkEnd w:id="168"/>
    </w:p>
    <w:p>
      <w:pPr>
        <w:keepNext/>
        <w:widowControl/>
      </w:pPr>
      <w:r>
        <w:rPr>
          <w:b/>
          <w:i w:val="0"/>
        </w:rPr>
        <w:t>Latin:</w:t>
      </w:r>
      <w:r>
        <w:rPr>
          <w:b w:val="0"/>
          <w:i w:val="0"/>
        </w:rPr>
        <w:t xml:space="preserve"> </w:t>
      </w:r>
      <w:r>
        <w:rPr>
          <w:b w:val="0"/>
          <w:i/>
        </w:rPr>
        <w:t>accipere</w:t>
      </w:r>
      <w:r>
        <w:rPr>
          <w:b w:val="0"/>
          <w:i w:val="0"/>
        </w:rPr>
        <w:t xml:space="preserve">; </w:t>
      </w:r>
      <w:r>
        <w:rPr>
          <w:b w:val="0"/>
          <w:i/>
        </w:rPr>
        <w:t>concipere</w:t>
      </w:r>
      <w:r>
        <w:rPr>
          <w:b w:val="0"/>
          <w:i w:val="0"/>
        </w:rPr>
        <w:t xml:space="preserve">; </w:t>
      </w:r>
      <w:r>
        <w:rPr>
          <w:b w:val="0"/>
          <w:i/>
        </w:rPr>
        <w:t>parturire</w:t>
      </w:r>
      <w:r>
        <w:rPr>
          <w:b w:val="0"/>
          <w:i w:val="0"/>
        </w:rPr>
        <w:t xml:space="preserve">; </w:t>
      </w:r>
      <w:r>
        <w:rPr>
          <w:b w:val="0"/>
          <w:i/>
        </w:rPr>
        <w:t>effingere</w:t>
      </w:r>
      <w:r>
        <w:rPr>
          <w:b w:val="0"/>
          <w:i w:val="0"/>
        </w:rPr>
        <w:t xml:space="preserve">; </w:t>
      </w:r>
      <w:r>
        <w:rPr>
          <w:b w:val="0"/>
          <w:i/>
        </w:rPr>
        <w:t>fingere</w:t>
      </w:r>
      <w:r>
        <w:rPr>
          <w:b w:val="0"/>
          <w:i w:val="0"/>
        </w:rPr>
        <w:t xml:space="preserve">; </w:t>
      </w:r>
      <w:r>
        <w:rPr>
          <w:b w:val="0"/>
          <w:i/>
        </w:rPr>
        <w:t>manus mentis</w:t>
      </w:r>
    </w:p>
    <w:p>
      <w:pPr>
        <w:keepNext/>
        <w:widowControl/>
      </w:pPr>
      <w:r>
        <w:rPr>
          <w:b/>
          <w:i w:val="0"/>
        </w:rPr>
        <w:t>The word.</w:t>
      </w:r>
    </w:p>
    <w:p>
      <w:pPr>
        <w:widowControl/>
      </w:pPr>
      <w:r>
        <w:rPr>
          <w:b w:val="0"/>
          <w:i w:val="0"/>
        </w:rPr>
        <w:t xml:space="preserve">Receiving, conceiving and giving birth are related but distinct activities. Effingere and fingere mean fashioning or forming; their truth-status depends on context. </w:t>
      </w:r>
      <w:r>
        <w:t>“</w:t>
      </w:r>
      <w:r>
        <w:rPr>
          <w:b w:val="0"/>
          <w:i w:val="0"/>
        </w:rPr>
        <w:t>Hands of the mind</w:t>
      </w:r>
      <w:r>
        <w:t>”</w:t>
      </w:r>
      <w:r>
        <w:rPr>
          <w:b w:val="0"/>
          <w:i w:val="0"/>
        </w:rPr>
        <w:t xml:space="preserve"> is an expressly figurative name for active conceptual articulation.</w:t>
      </w:r>
    </w:p>
    <w:p>
      <w:pPr>
        <w:keepNext/>
        <w:widowControl/>
      </w:pPr>
      <w:r>
        <w:rPr>
          <w:b/>
          <w:i w:val="0"/>
        </w:rPr>
        <w:t>In the Platonic Theology.</w:t>
      </w:r>
    </w:p>
    <w:p>
      <w:pPr>
        <w:widowControl/>
      </w:pPr>
      <w:r>
        <w:rPr>
          <w:b w:val="0"/>
          <w:i w:val="0"/>
        </w:rPr>
        <w:t>Ficino distinguishes receiving a form from conceiving its account or definition. This second activity is needed to complete understanding. A material recipient is constrained by its own kind, whereas mind abstracts, reasons and returns upon itself by producing forms for itself. Such production need not mean creating an external substance from nothing.</w:t>
      </w:r>
    </w:p>
    <w:p>
      <w:pPr>
        <w:widowControl/>
      </w:pPr>
      <w:r>
        <w:rPr>
          <w:b w:val="0"/>
          <w:i w:val="0"/>
        </w:rPr>
        <w:t>He turns the current debate into an example. To argue that soul is incorporeal, the disputants must already be able to conceive an incorporeal mode of being and fashion an account of it. They handle that account with mental hands. Describing something as existing without length, breadth, depth, bodily quality or figure demonstrates intellectual access to a nonbodily object; it does not by itself prove that every such described object exists outside thought.</w:t>
      </w:r>
    </w:p>
    <w:p>
      <w:pPr>
        <w:widowControl/>
      </w:pPr>
      <w:r>
        <w:rPr>
          <w:b w:val="0"/>
          <w:i w:val="0"/>
        </w:rPr>
        <w:t>The childbirth image reinforces the causal likeness argument. Mind produces an offspring resembling its own intellectual nature, not an object elevated beyond the substance of its parent. Ficino then infers that mind surpasses the restrictions of bodies. The last formulation is cautious in logical form: nothing prevents such mind from being perpetual. Other passages carry stronger positive demonstrations.</w:t>
      </w:r>
    </w:p>
    <w:p>
      <w:pPr>
        <w:widowControl/>
      </w:pPr>
      <w:r>
        <w:rPr>
          <w:b w:val="0"/>
          <w:i w:val="0"/>
        </w:rPr>
        <w:t>The same vocabulary later includes artistic and hypothetical construction. Mind paints within itself, speaks into the air or makes marks on a wall. Its inward products have an existence as conceived representations even when what they represent never comes to be.</w:t>
      </w:r>
    </w:p>
    <w:p>
      <w:pPr>
        <w:keepNext/>
        <w:widowControl/>
      </w:pPr>
      <w:r>
        <w:rPr>
          <w:b/>
          <w:i w:val="0"/>
        </w:rPr>
        <w:t>Places to Read.</w:t>
      </w:r>
    </w:p>
    <w:p>
      <w:pPr>
        <w:ind w:left="187" w:hanging="187"/>
      </w:pPr>
      <w:r>
        <w:t xml:space="preserve">• </w:t>
      </w:r>
      <w:r>
        <w:rPr>
          <w:b/>
          <w:i w:val="0"/>
        </w:rPr>
        <w:t>VIII.10.1, VIII.10.2, PDF pp. 350–353.</w:t>
      </w:r>
      <w:r>
        <w:rPr>
          <w:b w:val="0"/>
          <w:i w:val="0"/>
        </w:rPr>
        <w:t xml:space="preserve"> Reception becomes conception; active mental hands and offspring illustrate nonbodily intellectual operation.</w:t>
      </w:r>
    </w:p>
    <w:p>
      <w:pPr>
        <w:ind w:left="187" w:hanging="187"/>
      </w:pPr>
      <w:r>
        <w:t xml:space="preserve">• </w:t>
      </w:r>
      <w:r>
        <w:rPr>
          <w:b/>
          <w:i w:val="0"/>
        </w:rPr>
        <w:t>VIII.16.1, VIII.16.2, PDF pp. 370–373.</w:t>
      </w:r>
      <w:r>
        <w:rPr>
          <w:b w:val="0"/>
          <w:i w:val="0"/>
        </w:rPr>
        <w:t xml:space="preserve"> Possible, impossible and inwardly painted objects broaden the account of mental making.</w:t>
      </w:r>
    </w:p>
    <w:p>
      <w:pPr>
        <w:keepNext/>
        <w:widowControl/>
      </w:pPr>
      <w:r>
        <w:rPr>
          <w:b/>
          <w:i w:val="0"/>
        </w:rPr>
        <w:t>In this edition.</w:t>
      </w:r>
    </w:p>
    <w:p>
      <w:pPr>
        <w:widowControl/>
      </w:pPr>
      <w:r>
        <w:rPr>
          <w:b w:val="0"/>
          <w:i w:val="0"/>
        </w:rPr>
        <w:t>In et capit sola summa cum voluptate at VIII.10.2, sola qualifies mind as subject: mind alone grasps these objects in the stated way. It does not mean that mind grasps only incorporeals. The apparatus makes this ambiguity explicit.</w:t>
      </w:r>
    </w:p>
    <w:p>
      <w:pPr>
        <w:keepNext/>
        <w:widowControl/>
      </w:pPr>
      <w:r>
        <w:rPr>
          <w:b/>
          <w:i w:val="0"/>
        </w:rPr>
        <w:t>See also.</w:t>
      </w:r>
    </w:p>
    <w:p>
      <w:pPr>
        <w:widowControl/>
      </w:pPr>
      <w:hyperlink w:anchor="viii-analysis-mangling">
        <w:r>
          <w:rPr>
            <w:color w:val="000000"/>
          </w:rPr>
          <w:t xml:space="preserve">Analysis, mangling, and fictive construction</w:t>
        </w:r>
      </w:hyperlink>
      <w:r>
        <w:rPr>
          <w:b w:val="0"/>
          <w:i w:val="0"/>
        </w:rPr>
        <w:t xml:space="preserve">; </w:t>
      </w:r>
      <w:hyperlink w:anchor="viii-operation-kind">
        <w:r>
          <w:rPr>
            <w:color w:val="000000"/>
          </w:rPr>
          <w:t xml:space="preserve">Kind, generation, and operation’s dependence on substance</w:t>
        </w:r>
      </w:hyperlink>
      <w:r>
        <w:rPr>
          <w:b w:val="0"/>
          <w:i w:val="0"/>
        </w:rPr>
        <w:t xml:space="preserve">; </w:t>
      </w:r>
      <w:hyperlink w:anchor="viii-intellectual-generation">
        <w:r>
          <w:rPr>
            <w:color w:val="000000"/>
          </w:rPr>
          <w:t xml:space="preserve">Intellectual generation and daily renewal</w:t>
        </w:r>
      </w:hyperlink>
    </w:p>
    <w:p>
      <w:pPr>
        <w:pStyle w:val="Heading2"/>
      </w:pPr>
      <w:bookmarkStart w:id="169" w:name="viii-mind-transforms"/>
      <w:r>
        <w:rPr>
          <w:b w:val="0"/>
          <w:i w:val="0"/>
        </w:rPr>
        <w:t>Mind’s transformation of material conditions</w:t>
      </w:r>
      <w:bookmarkEnd w:id="169"/>
    </w:p>
    <w:p>
      <w:pPr>
        <w:keepNext/>
        <w:widowControl/>
      </w:pPr>
      <w:r>
        <w:rPr>
          <w:b/>
          <w:i w:val="0"/>
        </w:rPr>
        <w:t>Latin:</w:t>
      </w:r>
      <w:r>
        <w:rPr>
          <w:b w:val="0"/>
          <w:i w:val="0"/>
        </w:rPr>
        <w:t xml:space="preserve"> </w:t>
      </w:r>
      <w:r>
        <w:rPr>
          <w:b w:val="0"/>
          <w:i/>
        </w:rPr>
        <w:t>resolutio</w:t>
      </w:r>
      <w:r>
        <w:rPr>
          <w:b w:val="0"/>
          <w:i w:val="0"/>
        </w:rPr>
        <w:t xml:space="preserve">; </w:t>
      </w:r>
      <w:r>
        <w:rPr>
          <w:b w:val="0"/>
          <w:i/>
        </w:rPr>
        <w:t>purum</w:t>
      </w:r>
      <w:r>
        <w:rPr>
          <w:b w:val="0"/>
          <w:i w:val="0"/>
        </w:rPr>
        <w:t xml:space="preserve">; </w:t>
      </w:r>
      <w:r>
        <w:rPr>
          <w:b w:val="0"/>
          <w:i/>
        </w:rPr>
        <w:t>unum</w:t>
      </w:r>
      <w:r>
        <w:rPr>
          <w:b w:val="0"/>
          <w:i w:val="0"/>
        </w:rPr>
        <w:t xml:space="preserve">; </w:t>
      </w:r>
      <w:r>
        <w:rPr>
          <w:b w:val="0"/>
          <w:i/>
        </w:rPr>
        <w:t>stabile</w:t>
      </w:r>
      <w:r>
        <w:rPr>
          <w:b w:val="0"/>
          <w:i w:val="0"/>
        </w:rPr>
        <w:t xml:space="preserve">; </w:t>
      </w:r>
      <w:r>
        <w:rPr>
          <w:b w:val="0"/>
          <w:i/>
        </w:rPr>
        <w:t>praeteritum</w:t>
      </w:r>
      <w:r>
        <w:rPr>
          <w:b w:val="0"/>
          <w:i w:val="0"/>
        </w:rPr>
        <w:t xml:space="preserve">; </w:t>
      </w:r>
      <w:r>
        <w:rPr>
          <w:b w:val="0"/>
          <w:i/>
        </w:rPr>
        <w:t>futurum</w:t>
      </w:r>
      <w:r>
        <w:rPr>
          <w:b w:val="0"/>
          <w:i w:val="0"/>
        </w:rPr>
        <w:t xml:space="preserve">; </w:t>
      </w:r>
      <w:r>
        <w:rPr>
          <w:b w:val="0"/>
          <w:i/>
        </w:rPr>
        <w:t>vita prima</w:t>
      </w:r>
      <w:r>
        <w:rPr>
          <w:b w:val="0"/>
          <w:i w:val="0"/>
        </w:rPr>
        <w:t xml:space="preserve">; </w:t>
      </w:r>
      <w:r>
        <w:rPr>
          <w:b w:val="0"/>
          <w:i/>
        </w:rPr>
        <w:t>perpetuum</w:t>
      </w:r>
    </w:p>
    <w:p>
      <w:pPr>
        <w:keepNext/>
        <w:widowControl/>
      </w:pPr>
      <w:r>
        <w:rPr>
          <w:b/>
          <w:i w:val="0"/>
        </w:rPr>
        <w:t>The word.</w:t>
      </w:r>
    </w:p>
    <w:p>
      <w:pPr>
        <w:widowControl/>
      </w:pPr>
      <w:r>
        <w:rPr>
          <w:b w:val="0"/>
          <w:i w:val="0"/>
        </w:rPr>
        <w:t>Ficino’s series contrasts things under material conditions with their intellectual apprehension: composite/simple, impure/pure, many/one, changing/stable, distant/united, dead/living and corruptible/perpetual. The change is first in the mode of understanding, not a physical alteration of the external object.</w:t>
      </w:r>
    </w:p>
    <w:p>
      <w:pPr>
        <w:keepNext/>
        <w:widowControl/>
      </w:pPr>
      <w:r>
        <w:rPr>
          <w:b/>
          <w:i w:val="0"/>
        </w:rPr>
        <w:t>In the Platonic Theology.</w:t>
      </w:r>
    </w:p>
    <w:p>
      <w:pPr>
        <w:widowControl/>
      </w:pPr>
      <w:r>
        <w:rPr>
          <w:b w:val="0"/>
          <w:i w:val="0"/>
        </w:rPr>
        <w:t>VIII.14 gathers many earlier arguments into a catalogue. Mind resolves composite bodies into matter and form and considers each separately. It apprehends exact figures where material presentations lack exactness, isolates qualities from contrary admixtures and gathers many individuals under one species. It brings the changing parts of time together, relating past and future to present; and it can survey distant places together, as if beholding the world in a point.</w:t>
      </w:r>
    </w:p>
    <w:p>
      <w:pPr>
        <w:widowControl/>
      </w:pPr>
      <w:r>
        <w:rPr>
          <w:b w:val="0"/>
          <w:i w:val="0"/>
        </w:rPr>
        <w:t xml:space="preserve">The most striking claims concern life and perpetuity. Mind holds apparently lifeless stones </w:t>
      </w:r>
      <w:r>
        <w:t>“</w:t>
      </w:r>
      <w:r>
        <w:rPr>
          <w:b w:val="0"/>
          <w:i w:val="0"/>
        </w:rPr>
        <w:t>living</w:t>
      </w:r>
      <w:r>
        <w:t>”</w:t>
      </w:r>
      <w:r>
        <w:rPr>
          <w:b w:val="0"/>
          <w:i w:val="0"/>
        </w:rPr>
        <w:t xml:space="preserve"> within itself by comparing them to the first life from which they were produced. It considers corruptible individuals apart from their locations and times. These are exercises of intellectual reference to principles and universal accounts, not claims that a thought revives a dead organism or preserves a specific stone indefinitely in the external world.</w:t>
      </w:r>
    </w:p>
    <w:p>
      <w:pPr>
        <w:widowControl/>
      </w:pPr>
      <w:r>
        <w:rPr>
          <w:b w:val="0"/>
          <w:i w:val="0"/>
        </w:rPr>
        <w:t>Ficino draws a conclusion about the knower: a power that liberates objects from these restrictions in understanding cannot itself simply possess all the restrictions of a bodily composite. The inference from operation to substance is doing the work. A reader can therefore distinguish the described cognitive achievement from the further metaphysical conclusion Ficino wants it to warrant.</w:t>
      </w:r>
    </w:p>
    <w:p>
      <w:pPr>
        <w:keepNext/>
        <w:widowControl/>
      </w:pPr>
      <w:r>
        <w:rPr>
          <w:b/>
          <w:i w:val="0"/>
        </w:rPr>
        <w:t>Places to Read.</w:t>
      </w:r>
    </w:p>
    <w:p>
      <w:pPr>
        <w:ind w:left="187" w:hanging="187"/>
      </w:pPr>
      <w:r>
        <w:t xml:space="preserve">• </w:t>
      </w:r>
      <w:r>
        <w:rPr>
          <w:b/>
          <w:i w:val="0"/>
        </w:rPr>
        <w:t>VIII.14.1, PDF pp. 362–363.</w:t>
      </w:r>
      <w:r>
        <w:rPr>
          <w:b w:val="0"/>
          <w:i w:val="0"/>
        </w:rPr>
        <w:t xml:space="preserve"> The complete series moves from analysis through purity, unity and stability to intellectual life and perpetuity.</w:t>
      </w:r>
    </w:p>
    <w:p>
      <w:pPr>
        <w:keepNext/>
        <w:widowControl/>
      </w:pPr>
      <w:r>
        <w:rPr>
          <w:b/>
          <w:i w:val="0"/>
        </w:rPr>
        <w:t>In this edition.</w:t>
      </w:r>
    </w:p>
    <w:p>
      <w:pPr>
        <w:widowControl/>
      </w:pPr>
      <w:r>
        <w:rPr>
          <w:b w:val="0"/>
          <w:i w:val="0"/>
        </w:rPr>
        <w:t xml:space="preserve">Quodammodo qualifies the claim that material figures are false; ut ita loquar qualifies </w:t>
      </w:r>
      <w:r>
        <w:t>“</w:t>
      </w:r>
      <w:r>
        <w:rPr>
          <w:b w:val="0"/>
          <w:i w:val="0"/>
        </w:rPr>
        <w:t>dead.</w:t>
      </w:r>
      <w:r>
        <w:t>”</w:t>
      </w:r>
      <w:r>
        <w:rPr>
          <w:b w:val="0"/>
          <w:i w:val="0"/>
        </w:rPr>
        <w:t xml:space="preserve"> The English preserves both. Prima vita names the life to which stones are referred as effects; the supplied argument does not identify the stone’s own material condition with that source.</w:t>
      </w:r>
    </w:p>
    <w:p>
      <w:pPr>
        <w:keepNext/>
        <w:widowControl/>
      </w:pPr>
      <w:r>
        <w:rPr>
          <w:b/>
          <w:i w:val="0"/>
        </w:rPr>
        <w:t>See also.</w:t>
      </w:r>
    </w:p>
    <w:p>
      <w:pPr>
        <w:widowControl/>
      </w:pPr>
      <w:hyperlink w:anchor="viii-operation-kind">
        <w:r>
          <w:rPr>
            <w:color w:val="000000"/>
          </w:rPr>
          <w:t xml:space="preserve">Kind, generation, and operation’s dependence on substance</w:t>
        </w:r>
      </w:hyperlink>
      <w:r>
        <w:rPr>
          <w:b w:val="0"/>
          <w:i w:val="0"/>
        </w:rPr>
        <w:t xml:space="preserve">; </w:t>
      </w:r>
      <w:hyperlink w:anchor="viii-analysis-mangling">
        <w:r>
          <w:rPr>
            <w:color w:val="000000"/>
          </w:rPr>
          <w:t xml:space="preserve">Analysis, mangling, and fictive construction</w:t>
        </w:r>
      </w:hyperlink>
      <w:r>
        <w:rPr>
          <w:b w:val="0"/>
          <w:i w:val="0"/>
        </w:rPr>
        <w:t xml:space="preserve">; </w:t>
      </w:r>
      <w:hyperlink w:anchor="viii-first-concepts">
        <w:r>
          <w:rPr>
            <w:color w:val="000000"/>
          </w:rPr>
          <w:t xml:space="preserve">First concepts, unity, and the end of analysis</w:t>
        </w:r>
      </w:hyperlink>
    </w:p>
    <w:p>
      <w:pPr>
        <w:pStyle w:val="Heading2"/>
      </w:pPr>
      <w:bookmarkStart w:id="170" w:name="viii-mirror-light"/>
      <w:r>
        <w:rPr>
          <w:b w:val="0"/>
          <w:i w:val="0"/>
        </w:rPr>
        <w:t>Mirror, light, and the soul of the sun</w:t>
      </w:r>
      <w:bookmarkEnd w:id="170"/>
    </w:p>
    <w:p>
      <w:pPr>
        <w:keepNext/>
        <w:widowControl/>
      </w:pPr>
      <w:r>
        <w:rPr>
          <w:b/>
          <w:i w:val="0"/>
        </w:rPr>
        <w:t>Latin:</w:t>
      </w:r>
      <w:r>
        <w:rPr>
          <w:b w:val="0"/>
          <w:i w:val="0"/>
        </w:rPr>
        <w:t xml:space="preserve"> </w:t>
      </w:r>
      <w:r>
        <w:rPr>
          <w:b w:val="0"/>
          <w:i/>
        </w:rPr>
        <w:t>speculum</w:t>
      </w:r>
      <w:r>
        <w:rPr>
          <w:b w:val="0"/>
          <w:i w:val="0"/>
        </w:rPr>
        <w:t xml:space="preserve">; </w:t>
      </w:r>
      <w:r>
        <w:rPr>
          <w:b w:val="0"/>
          <w:i/>
        </w:rPr>
        <w:t>flamma</w:t>
      </w:r>
      <w:r>
        <w:rPr>
          <w:b w:val="0"/>
          <w:i w:val="0"/>
        </w:rPr>
        <w:t xml:space="preserve">; </w:t>
      </w:r>
      <w:r>
        <w:rPr>
          <w:b w:val="0"/>
          <w:i/>
        </w:rPr>
        <w:t>imago</w:t>
      </w:r>
      <w:r>
        <w:rPr>
          <w:b w:val="0"/>
          <w:i w:val="0"/>
        </w:rPr>
        <w:t xml:space="preserve">; </w:t>
      </w:r>
      <w:r>
        <w:rPr>
          <w:b w:val="0"/>
          <w:i/>
        </w:rPr>
        <w:t>lumen</w:t>
      </w:r>
      <w:r>
        <w:rPr>
          <w:b w:val="0"/>
          <w:i w:val="0"/>
        </w:rPr>
        <w:t xml:space="preserve">; </w:t>
      </w:r>
      <w:r>
        <w:rPr>
          <w:b w:val="0"/>
          <w:i/>
        </w:rPr>
        <w:t>lux</w:t>
      </w:r>
      <w:r>
        <w:rPr>
          <w:b w:val="0"/>
          <w:i w:val="0"/>
        </w:rPr>
        <w:t xml:space="preserve">; </w:t>
      </w:r>
      <w:r>
        <w:rPr>
          <w:b w:val="0"/>
          <w:i/>
        </w:rPr>
        <w:t>anima solis</w:t>
      </w:r>
      <w:r>
        <w:rPr>
          <w:b w:val="0"/>
          <w:i w:val="0"/>
        </w:rPr>
        <w:t xml:space="preserve">; </w:t>
      </w:r>
      <w:r>
        <w:rPr>
          <w:b w:val="0"/>
          <w:i/>
        </w:rPr>
        <w:t>reviviscere</w:t>
      </w:r>
    </w:p>
    <w:p>
      <w:pPr>
        <w:keepNext/>
        <w:widowControl/>
      </w:pPr>
      <w:r>
        <w:rPr>
          <w:b/>
          <w:i w:val="0"/>
        </w:rPr>
        <w:t>The word.</w:t>
      </w:r>
    </w:p>
    <w:p>
      <w:pPr>
        <w:widowControl/>
      </w:pPr>
      <w:r>
        <w:rPr>
          <w:b w:val="0"/>
          <w:i w:val="0"/>
        </w:rPr>
        <w:t>A real flame and its reflected image are distinguished. Lumen and lux concern light, with the passage contrasting outward visibility and an inward invisible source. Spiritalis marks the nonbodily status Ficino gives the image and its illuminating medium in this historical optical account.</w:t>
      </w:r>
    </w:p>
    <w:p>
      <w:pPr>
        <w:keepNext/>
        <w:widowControl/>
      </w:pPr>
      <w:r>
        <w:rPr>
          <w:b/>
          <w:i w:val="0"/>
        </w:rPr>
        <w:t>In the Platonic Theology.</w:t>
      </w:r>
    </w:p>
    <w:p>
      <w:pPr>
        <w:widowControl/>
      </w:pPr>
      <w:r>
        <w:rPr>
          <w:b w:val="0"/>
          <w:i w:val="0"/>
        </w:rPr>
        <w:t>Wood receiving fire becomes hot and fiery. A remote mirror reflecting the flame does not. The mirror therefore supplies a possible objection to the rule that reception of a bodily form assimilates its recipient: an image appears without physical heating. Ficino responds by denying that the image is truly received in the mirror’s body. He locates it instead in the spiritual light surrounding the surface.</w:t>
      </w:r>
    </w:p>
    <w:p>
      <w:pPr>
        <w:widowControl/>
      </w:pPr>
      <w:r>
        <w:rPr>
          <w:b w:val="0"/>
          <w:i w:val="0"/>
        </w:rPr>
        <w:t>The account then traces images to surrounding light rather than to bodies producing incorporeals, and light itself to the sun’s soul rather than the solar globe. The Orphics and Heraclitus are named for the reciprocal description of light as visible soul and soul as invisible light. This attribution is part of Ficino’s exposition; this contribution does not verify it as a literal quotation from an independently consulted ancient text.</w:t>
      </w:r>
    </w:p>
    <w:p>
      <w:pPr>
        <w:widowControl/>
      </w:pPr>
      <w:r>
        <w:rPr>
          <w:b w:val="0"/>
          <w:i w:val="0"/>
        </w:rPr>
        <w:t xml:space="preserve">The digression is recalled to its purpose: mind truly receives forms when it judges truly, whereas the mirror does not receive a material flame. The word </w:t>
      </w:r>
      <w:r>
        <w:t>“</w:t>
      </w:r>
      <w:r>
        <w:rPr>
          <w:b w:val="0"/>
          <w:i w:val="0"/>
        </w:rPr>
        <w:t>truly</w:t>
      </w:r>
      <w:r>
        <w:t>”</w:t>
      </w:r>
      <w:r>
        <w:rPr>
          <w:b w:val="0"/>
          <w:i w:val="0"/>
        </w:rPr>
        <w:t xml:space="preserve"> therefore does not mean one unchanged mode of reception in every case. Mind’s receiving is intellectual and can be more adequate than the restricted embodiment of a form in matter.</w:t>
      </w:r>
    </w:p>
    <w:p>
      <w:pPr>
        <w:widowControl/>
      </w:pPr>
      <w:r>
        <w:rPr>
          <w:b w:val="0"/>
          <w:i w:val="0"/>
        </w:rPr>
        <w:t>The physical explanation is historical natural philosophy. It should not be presented as current optics or used to infer that reflected light cannot heat a material surface under other conditions.</w:t>
      </w:r>
    </w:p>
    <w:p>
      <w:pPr>
        <w:keepNext/>
        <w:widowControl/>
      </w:pPr>
      <w:r>
        <w:rPr>
          <w:b/>
          <w:i w:val="0"/>
        </w:rPr>
        <w:t>Places to Read.</w:t>
      </w:r>
    </w:p>
    <w:p>
      <w:pPr>
        <w:ind w:left="187" w:hanging="187"/>
      </w:pPr>
      <w:r>
        <w:t xml:space="preserve">• </w:t>
      </w:r>
      <w:r>
        <w:rPr>
          <w:b/>
          <w:i w:val="0"/>
        </w:rPr>
        <w:t>VIII.13.1, PDF pp. 358–359.</w:t>
      </w:r>
      <w:r>
        <w:rPr>
          <w:b w:val="0"/>
          <w:i w:val="0"/>
        </w:rPr>
        <w:t xml:space="preserve"> Burning wood, a remote mirror, spiritual light and the sun’s soul introduce the distinction between material and intellectual reception.</w:t>
      </w:r>
    </w:p>
    <w:p>
      <w:pPr>
        <w:keepNext/>
        <w:widowControl/>
      </w:pPr>
      <w:r>
        <w:rPr>
          <w:b/>
          <w:i w:val="0"/>
        </w:rPr>
        <w:t>In this edition.</w:t>
      </w:r>
    </w:p>
    <w:p>
      <w:pPr>
        <w:widowControl/>
      </w:pPr>
      <w:r>
        <w:rPr>
          <w:b w:val="0"/>
          <w:i w:val="0"/>
        </w:rPr>
        <w:t>The reading text prints visibilis after effusa longius, an explicit contextual emendation against invisibilis reported in all three witnesses. The next clauses require visible manifestation, but the emendation remains the supplied editor’s intervention, not an attested unanimous reading. The apparatus also reports tribuitur as the correction of attribuitur.</w:t>
      </w:r>
    </w:p>
    <w:p>
      <w:pPr>
        <w:keepNext/>
        <w:widowControl/>
      </w:pPr>
      <w:r>
        <w:rPr>
          <w:b/>
          <w:i w:val="0"/>
        </w:rPr>
        <w:t>See also.</w:t>
      </w:r>
    </w:p>
    <w:p>
      <w:pPr>
        <w:widowControl/>
      </w:pPr>
      <w:hyperlink w:anchor="viii-innate-forms">
        <w:r>
          <w:rPr>
            <w:color w:val="000000"/>
          </w:rPr>
          <w:t xml:space="preserve">Innate forms and the stimulus of images</w:t>
        </w:r>
      </w:hyperlink>
      <w:r>
        <w:rPr>
          <w:b w:val="0"/>
          <w:i w:val="0"/>
        </w:rPr>
        <w:t xml:space="preserve">; </w:t>
      </w:r>
      <w:hyperlink w:anchor="viii-reception-identity">
        <w:r>
          <w:rPr>
            <w:color w:val="000000"/>
          </w:rPr>
          <w:t xml:space="preserve">Receiving forms without losing one’s own</w:t>
        </w:r>
      </w:hyperlink>
      <w:r>
        <w:rPr>
          <w:b w:val="0"/>
          <w:i w:val="0"/>
        </w:rPr>
        <w:t xml:space="preserve">; </w:t>
      </w:r>
      <w:hyperlink w:anchor="viii-contraries-evil">
        <w:r>
          <w:rPr>
            <w:color w:val="000000"/>
          </w:rPr>
          <w:t xml:space="preserve">Contraries, privations, and knowledge of evil</w:t>
        </w:r>
      </w:hyperlink>
    </w:p>
    <w:p>
      <w:pPr>
        <w:pStyle w:val="Heading2"/>
      </w:pPr>
      <w:bookmarkStart w:id="171" w:name="vii-moral-concord"/>
      <w:r>
        <w:rPr>
          <w:b w:val="0"/>
          <w:i w:val="0"/>
        </w:rPr>
        <w:t>Moral concord and the robber</w:t>
      </w:r>
      <w:bookmarkEnd w:id="171"/>
    </w:p>
    <w:p>
      <w:pPr>
        <w:keepNext/>
        <w:widowControl/>
      </w:pPr>
      <w:r>
        <w:rPr>
          <w:b/>
          <w:i w:val="0"/>
        </w:rPr>
        <w:t>Latin:</w:t>
      </w:r>
      <w:r>
        <w:rPr>
          <w:b w:val="0"/>
          <w:i w:val="0"/>
        </w:rPr>
        <w:t xml:space="preserve"> </w:t>
      </w:r>
      <w:r>
        <w:rPr>
          <w:b w:val="0"/>
          <w:i/>
        </w:rPr>
        <w:t>probus</w:t>
      </w:r>
      <w:r>
        <w:rPr>
          <w:b w:val="0"/>
          <w:i w:val="0"/>
        </w:rPr>
        <w:t xml:space="preserve">; </w:t>
      </w:r>
      <w:r>
        <w:rPr>
          <w:b w:val="0"/>
          <w:i/>
        </w:rPr>
        <w:t>iustus</w:t>
      </w:r>
      <w:r>
        <w:rPr>
          <w:b w:val="0"/>
          <w:i w:val="0"/>
        </w:rPr>
        <w:t xml:space="preserve">; </w:t>
      </w:r>
      <w:r>
        <w:rPr>
          <w:b w:val="0"/>
          <w:i/>
        </w:rPr>
        <w:t>nequissimus</w:t>
      </w:r>
      <w:r>
        <w:rPr>
          <w:b w:val="0"/>
          <w:i w:val="0"/>
        </w:rPr>
        <w:t xml:space="preserve">; </w:t>
      </w:r>
      <w:r>
        <w:rPr>
          <w:b w:val="0"/>
          <w:i/>
        </w:rPr>
        <w:t>latro</w:t>
      </w:r>
      <w:r>
        <w:rPr>
          <w:b w:val="0"/>
          <w:i w:val="0"/>
        </w:rPr>
        <w:t xml:space="preserve">; </w:t>
      </w:r>
      <w:r>
        <w:rPr>
          <w:b w:val="0"/>
          <w:i/>
        </w:rPr>
        <w:t>appetitus</w:t>
      </w:r>
      <w:r>
        <w:rPr>
          <w:b w:val="0"/>
          <w:i w:val="0"/>
        </w:rPr>
        <w:t xml:space="preserve">; </w:t>
      </w:r>
      <w:r>
        <w:rPr>
          <w:b w:val="0"/>
          <w:i/>
        </w:rPr>
        <w:t>concinere</w:t>
      </w:r>
      <w:r>
        <w:rPr>
          <w:b w:val="0"/>
          <w:i w:val="0"/>
        </w:rPr>
        <w:t xml:space="preserve">; </w:t>
      </w:r>
      <w:r>
        <w:rPr>
          <w:b w:val="0"/>
          <w:i/>
        </w:rPr>
        <w:t>magis anima</w:t>
      </w:r>
      <w:r>
        <w:rPr>
          <w:b w:val="0"/>
          <w:i w:val="0"/>
        </w:rPr>
        <w:t xml:space="preserve">; </w:t>
      </w:r>
      <w:r>
        <w:rPr>
          <w:b w:val="0"/>
          <w:i/>
        </w:rPr>
        <w:t>magis vita</w:t>
      </w:r>
    </w:p>
    <w:p>
      <w:pPr>
        <w:keepNext/>
        <w:widowControl/>
      </w:pPr>
      <w:r>
        <w:rPr>
          <w:b/>
          <w:i w:val="0"/>
        </w:rPr>
        <w:t>The word.</w:t>
      </w:r>
    </w:p>
    <w:p>
      <w:pPr>
        <w:widowControl/>
      </w:pPr>
      <w:r>
        <w:rPr>
          <w:b w:val="0"/>
          <w:i w:val="0"/>
        </w:rPr>
        <w:t xml:space="preserve">Moral concord is agreement of the soul’s activities with reason. The good or just person is contrasted with the wicked person or robber. </w:t>
      </w:r>
      <w:r>
        <w:t>“</w:t>
      </w:r>
      <w:r>
        <w:rPr>
          <w:b w:val="0"/>
          <w:i w:val="0"/>
        </w:rPr>
        <w:t>More soul</w:t>
      </w:r>
      <w:r>
        <w:t>”</w:t>
      </w:r>
      <w:r>
        <w:rPr>
          <w:b w:val="0"/>
          <w:i w:val="0"/>
        </w:rPr>
        <w:t xml:space="preserve"> and </w:t>
      </w:r>
      <w:r>
        <w:t>“</w:t>
      </w:r>
      <w:r>
        <w:rPr>
          <w:b w:val="0"/>
          <w:i w:val="0"/>
        </w:rPr>
        <w:t>more life</w:t>
      </w:r>
      <w:r>
        <w:t>”</w:t>
      </w:r>
      <w:r>
        <w:rPr>
          <w:b w:val="0"/>
          <w:i w:val="0"/>
        </w:rPr>
        <w:t xml:space="preserve"> are consequences drawn from the disputed harmony thesis, not Ficino’s accepted measures of human worth.</w:t>
      </w:r>
    </w:p>
    <w:p>
      <w:pPr>
        <w:keepNext/>
        <w:widowControl/>
      </w:pPr>
      <w:r>
        <w:rPr>
          <w:b/>
          <w:i w:val="0"/>
        </w:rPr>
        <w:t>In the Platonic Theology.</w:t>
      </w:r>
    </w:p>
    <w:p>
      <w:pPr>
        <w:widowControl/>
      </w:pPr>
      <w:r>
        <w:rPr>
          <w:b w:val="0"/>
          <w:i w:val="0"/>
        </w:rPr>
        <w:t>Musical harmony admits degrees: better-concording strings yield more harmony. The wicked soul has conflicting appetites and a sense at odds with reason; the good soul accords. If soul were harmony, the good person would therefore have more soul, and since soul is a kind of life, more life. Ficino tests the resulting prediction against the broad range of organic and cognitive activities.</w:t>
      </w:r>
    </w:p>
    <w:p>
      <w:pPr>
        <w:widowControl/>
      </w:pPr>
      <w:r>
        <w:rPr>
          <w:b w:val="0"/>
          <w:i w:val="0"/>
        </w:rPr>
        <w:t>The robber would digest less well, generate offspring less effectively, support and move bodily members less adequately, discover less acutely, remember less firmly, speak less elegantly, attack less boldly and breathe less long than the just person. The catalogue is not a promised empirical rule that virtuous people enjoy better health or longer lives. It is the implausible package generated when degrees of moral agreement are identified with degrees of the substance or principle of life.</w:t>
      </w:r>
    </w:p>
    <w:p>
      <w:pPr>
        <w:widowControl/>
      </w:pPr>
      <w:r>
        <w:rPr>
          <w:b w:val="0"/>
          <w:i w:val="0"/>
        </w:rPr>
        <w:t>The example also explains why ordinary virtues or skills cannot be indiscriminately merged. Bold undertaking, ingenuity, memory and eloquence can serve a bad agent. Their possession does not establish moral goodness. The next chapter changes the angle from degree to identity: discordant opinions and affections do not stop the soul being a soul. The two arguments cooperate without saying that moral discord is harmless to a person’s life in every respect.</w:t>
      </w:r>
    </w:p>
    <w:p>
      <w:pPr>
        <w:keepNext/>
        <w:widowControl/>
      </w:pPr>
      <w:r>
        <w:rPr>
          <w:b/>
          <w:i w:val="0"/>
        </w:rPr>
        <w:t>Places to Read.</w:t>
      </w:r>
    </w:p>
    <w:p>
      <w:pPr>
        <w:ind w:left="187" w:hanging="187"/>
      </w:pPr>
      <w:r>
        <w:t xml:space="preserve">• </w:t>
      </w:r>
      <w:r>
        <w:rPr>
          <w:b/>
          <w:i w:val="0"/>
        </w:rPr>
        <w:t>VII.14.1, PDF 278–279</w:t>
      </w:r>
      <w:r>
        <w:rPr>
          <w:b w:val="0"/>
          <w:i w:val="0"/>
        </w:rPr>
        <w:t>. More harmony, more soul and more life lead to the rejected catalogue of predicted differences.</w:t>
      </w:r>
    </w:p>
    <w:p>
      <w:pPr>
        <w:ind w:left="187" w:hanging="187"/>
      </w:pPr>
      <w:r>
        <w:t xml:space="preserve">• </w:t>
      </w:r>
      <w:r>
        <w:rPr>
          <w:b/>
          <w:i w:val="0"/>
        </w:rPr>
        <w:t>VII.15.1, PDF 280–281</w:t>
      </w:r>
      <w:r>
        <w:rPr>
          <w:b w:val="0"/>
          <w:i w:val="0"/>
        </w:rPr>
        <w:t>. Persisting as a soul amid discord supplies the subsequent identity argument.</w:t>
      </w:r>
    </w:p>
    <w:p>
      <w:pPr>
        <w:keepNext/>
        <w:widowControl/>
      </w:pPr>
      <w:r>
        <w:rPr>
          <w:b/>
          <w:i w:val="0"/>
        </w:rPr>
        <w:t>In this edition.</w:t>
      </w:r>
    </w:p>
    <w:p>
      <w:pPr>
        <w:widowControl/>
      </w:pPr>
      <w:r>
        <w:rPr>
          <w:b w:val="0"/>
          <w:i w:val="0"/>
        </w:rPr>
        <w:t xml:space="preserve">From </w:t>
      </w:r>
      <w:r>
        <w:rPr>
          <w:b w:val="0"/>
          <w:i/>
        </w:rPr>
        <w:t>Neque concoquet</w:t>
      </w:r>
      <w:r>
        <w:rPr>
          <w:b w:val="0"/>
          <w:i w:val="0"/>
        </w:rPr>
        <w:t xml:space="preserve"> onward, the robber’s soul remains the subject throughout. The edition keeps both </w:t>
      </w:r>
      <w:r>
        <w:rPr>
          <w:b w:val="0"/>
          <w:i/>
        </w:rPr>
        <w:t>sustinebit</w:t>
      </w:r>
      <w:r>
        <w:rPr>
          <w:b w:val="0"/>
          <w:i w:val="0"/>
        </w:rPr>
        <w:t xml:space="preserve"> and </w:t>
      </w:r>
      <w:r>
        <w:rPr>
          <w:b w:val="0"/>
          <w:i/>
        </w:rPr>
        <w:t>vibrabit</w:t>
      </w:r>
      <w:r>
        <w:rPr>
          <w:b w:val="0"/>
          <w:i w:val="0"/>
        </w:rPr>
        <w:t xml:space="preserve">: supporting bodily members and setting them moving are separate actions. </w:t>
      </w:r>
      <w:r>
        <w:rPr>
          <w:b w:val="0"/>
          <w:i/>
        </w:rPr>
        <w:t>Magis</w:t>
      </w:r>
      <w:r>
        <w:rPr>
          <w:b w:val="0"/>
          <w:i w:val="0"/>
        </w:rPr>
        <w:t xml:space="preserve"> here belongs to the reductio, not an editorial assertion of greater substantial humanity.</w:t>
      </w:r>
    </w:p>
    <w:p>
      <w:pPr>
        <w:keepNext/>
        <w:widowControl/>
      </w:pPr>
      <w:r>
        <w:rPr>
          <w:b/>
          <w:i w:val="0"/>
        </w:rPr>
        <w:t>See also.</w:t>
      </w:r>
    </w:p>
    <w:p>
      <w:pPr>
        <w:widowControl/>
      </w:pPr>
      <w:hyperlink w:anchor="vii-substance-degrees">
        <w:r>
          <w:rPr>
            <w:color w:val="000000"/>
          </w:rPr>
          <w:t xml:space="preserve">Substance, qualities and degrees</w:t>
        </w:r>
      </w:hyperlink>
      <w:r>
        <w:rPr>
          <w:b w:val="0"/>
          <w:i w:val="0"/>
        </w:rPr>
        <w:t xml:space="preserve">; </w:t>
      </w:r>
      <w:hyperlink w:anchor="vii-harmony-strings">
        <w:r>
          <w:rPr>
            <w:color w:val="000000"/>
          </w:rPr>
          <w:t xml:space="preserve">Harmony and the strings</w:t>
        </w:r>
      </w:hyperlink>
      <w:r>
        <w:rPr>
          <w:b w:val="0"/>
          <w:i w:val="0"/>
        </w:rPr>
        <w:t xml:space="preserve">; </w:t>
      </w:r>
      <w:hyperlink w:anchor="vii-discord-soul">
        <w:r>
          <w:rPr>
            <w:color w:val="000000"/>
          </w:rPr>
          <w:t xml:space="preserve">Discord and the soul’s persistence</w:t>
        </w:r>
      </w:hyperlink>
    </w:p>
    <w:p>
      <w:pPr>
        <w:pStyle w:val="Heading2"/>
      </w:pPr>
      <w:bookmarkStart w:id="172" w:name="motion-and-substantial-stability"/>
      <w:r>
        <w:rPr>
          <w:b w:val="0"/>
          <w:i w:val="0"/>
        </w:rPr>
        <w:t>Motion and substantial stability</w:t>
      </w:r>
      <w:bookmarkEnd w:id="172"/>
    </w:p>
    <w:p>
      <w:pPr>
        <w:keepNext/>
        <w:widowControl/>
      </w:pPr>
      <w:r>
        <w:rPr>
          <w:b/>
          <w:i w:val="0"/>
        </w:rPr>
        <w:t>Latin:</w:t>
      </w:r>
      <w:r>
        <w:rPr>
          <w:b w:val="0"/>
          <w:i w:val="0"/>
        </w:rPr>
        <w:t xml:space="preserve"> </w:t>
      </w:r>
      <w:r>
        <w:rPr>
          <w:b w:val="0"/>
          <w:i/>
        </w:rPr>
        <w:t>motus</w:t>
      </w:r>
      <w:r>
        <w:rPr>
          <w:b w:val="0"/>
          <w:i w:val="0"/>
        </w:rPr>
        <w:t xml:space="preserve">; </w:t>
      </w:r>
      <w:r>
        <w:rPr>
          <w:b w:val="0"/>
          <w:i/>
        </w:rPr>
        <w:t>motio</w:t>
      </w:r>
      <w:r>
        <w:rPr>
          <w:b w:val="0"/>
          <w:i w:val="0"/>
        </w:rPr>
        <w:t xml:space="preserve">; </w:t>
      </w:r>
      <w:r>
        <w:rPr>
          <w:b w:val="0"/>
          <w:i/>
        </w:rPr>
        <w:t>primo moveri</w:t>
      </w:r>
      <w:r>
        <w:rPr>
          <w:b w:val="0"/>
          <w:i w:val="0"/>
        </w:rPr>
        <w:t xml:space="preserve">; </w:t>
      </w:r>
      <w:r>
        <w:rPr>
          <w:b w:val="0"/>
          <w:i/>
        </w:rPr>
        <w:t>status</w:t>
      </w:r>
      <w:r>
        <w:rPr>
          <w:b w:val="0"/>
          <w:i w:val="0"/>
        </w:rPr>
        <w:t xml:space="preserve">; </w:t>
      </w:r>
      <w:r>
        <w:rPr>
          <w:b w:val="0"/>
          <w:i/>
        </w:rPr>
        <w:t>stare</w:t>
      </w:r>
      <w:r>
        <w:rPr>
          <w:b w:val="0"/>
          <w:i w:val="0"/>
        </w:rPr>
        <w:t xml:space="preserve">; </w:t>
      </w:r>
      <w:r>
        <w:rPr>
          <w:b w:val="0"/>
          <w:i/>
        </w:rPr>
        <w:t>substantia</w:t>
      </w:r>
      <w:r>
        <w:rPr>
          <w:b w:val="0"/>
          <w:i w:val="0"/>
        </w:rPr>
        <w:t xml:space="preserve">; </w:t>
      </w:r>
      <w:r>
        <w:rPr>
          <w:b w:val="0"/>
          <w:i/>
        </w:rPr>
        <w:t>operatio</w:t>
      </w:r>
    </w:p>
    <w:p>
      <w:pPr>
        <w:keepNext/>
        <w:widowControl/>
      </w:pPr>
      <w:r>
        <w:rPr>
          <w:b/>
          <w:i w:val="0"/>
        </w:rPr>
        <w:t>The word.</w:t>
      </w:r>
    </w:p>
    <w:p>
      <w:pPr>
        <w:widowControl/>
      </w:pPr>
      <w:r>
        <w:rPr>
          <w:b w:val="0"/>
          <w:i w:val="0"/>
        </w:rPr>
        <w:t>Motus and motio name movement or change; their objects determine whether the movement is bodily locomotion or the soul’s activity. Primo is an adverb of priority. Status is standing or stability, not a social status. Ficino separates the substance that abides from the operation that changes.</w:t>
      </w:r>
    </w:p>
    <w:p>
      <w:pPr>
        <w:keepNext/>
        <w:widowControl/>
      </w:pPr>
      <w:r>
        <w:rPr>
          <w:b/>
          <w:i w:val="0"/>
        </w:rPr>
        <w:t>In the Platonic Theology.</w:t>
      </w:r>
    </w:p>
    <w:p>
      <w:pPr>
        <w:widowControl/>
      </w:pPr>
      <w:r>
        <w:rPr>
          <w:b w:val="0"/>
          <w:i w:val="0"/>
        </w:rPr>
        <w:t>Book V’s first two proofs deliberately approach immortality from opposite directions. In V.1 the rational soul is the primary moving source. It supplies inward motion, identified with life, and outward motion to bodies. A derivative mover continues only while attached to what moves it; a self-mover cannot be deserted by its mover without being deserted by itself. Ficino then tests three hypothetical orders of failure: being ends before motion, motion before being, or both together. He rejects the first because motion needs an existent source, the second because spontaneous activity accompanies self-motion, and the third because neither the inward life-giving principle nor an outside mover can originate the required destructive alteration.</w:t>
      </w:r>
    </w:p>
    <w:p>
      <w:pPr>
        <w:widowControl/>
      </w:pPr>
      <w:r>
        <w:rPr>
          <w:b w:val="0"/>
          <w:i w:val="0"/>
        </w:rPr>
        <w:t xml:space="preserve">V.2 argues from stability instead. The soul changes in operation while remaining in substance. There is no contradiction within Ficino’s classification: the subject of successive acts is not itself a succession of perishing subjects. V.3 consequently allows bodily affection in the capacity for operating while excluding it from essence. The claim is stronger and more specific than </w:t>
      </w:r>
      <w:r>
        <w:t>“</w:t>
      </w:r>
      <w:r>
        <w:rPr>
          <w:b w:val="0"/>
          <w:i w:val="0"/>
        </w:rPr>
        <w:t>nothing ever affects us.</w:t>
      </w:r>
      <w:r>
        <w:t>”</w:t>
      </w:r>
    </w:p>
    <w:p>
      <w:pPr>
        <w:widowControl/>
      </w:pPr>
      <w:r>
        <w:rPr>
          <w:b w:val="0"/>
          <w:i w:val="0"/>
        </w:rPr>
        <w:t>The same contrast recurs in V.10.2–3: mutable operations generate mutable bodily forms, while the soul’s stable essence relates it stably to God. V.15.5–6 illustrates the distinction through purposive action. A moving work unfolds successively, but purpose, attention, memory and expectation can be held together by the mind. These are Ficino’s reasons for substantial permanence; they should not be redescribed as modern empirical demonstrations that the mind is physiologically unaffected.</w:t>
      </w:r>
    </w:p>
    <w:p>
      <w:pPr>
        <w:keepNext/>
        <w:widowControl/>
      </w:pPr>
      <w:r>
        <w:rPr>
          <w:b/>
          <w:i w:val="0"/>
        </w:rPr>
        <w:t>Places to Read.</w:t>
      </w:r>
    </w:p>
    <w:p>
      <w:pPr>
        <w:ind w:left="187" w:hanging="187"/>
      </w:pPr>
      <w:r>
        <w:t xml:space="preserve">• </w:t>
      </w:r>
      <w:r>
        <w:rPr>
          <w:b/>
          <w:i w:val="0"/>
        </w:rPr>
        <w:t>V.1.1, V.1.2, PDF 8–9.</w:t>
      </w:r>
      <w:r>
        <w:rPr>
          <w:b w:val="0"/>
          <w:i w:val="0"/>
        </w:rPr>
        <w:t xml:space="preserve"> Self-motion, dependence of derivative movement, and three imagined orders of cessation.</w:t>
      </w:r>
    </w:p>
    <w:p>
      <w:pPr>
        <w:ind w:left="187" w:hanging="187"/>
      </w:pPr>
      <w:r>
        <w:t xml:space="preserve">• </w:t>
      </w:r>
      <w:r>
        <w:rPr>
          <w:b/>
          <w:i w:val="0"/>
        </w:rPr>
        <w:t>V.2.1, V.3.1, PDF 12–15.</w:t>
      </w:r>
      <w:r>
        <w:rPr>
          <w:b w:val="0"/>
          <w:i w:val="0"/>
        </w:rPr>
        <w:t xml:space="preserve"> Changing operation is distinguished from abiding substance and essence.</w:t>
      </w:r>
    </w:p>
    <w:p>
      <w:pPr>
        <w:ind w:left="187" w:hanging="187"/>
      </w:pPr>
      <w:r>
        <w:t xml:space="preserve">• </w:t>
      </w:r>
      <w:r>
        <w:rPr>
          <w:b/>
          <w:i w:val="0"/>
        </w:rPr>
        <w:t>V.10.2, V.10.3, PDF 56–59.</w:t>
      </w:r>
      <w:r>
        <w:rPr>
          <w:b w:val="0"/>
          <w:i w:val="0"/>
        </w:rPr>
        <w:t xml:space="preserve"> Mutable production below soul contrasts with its stable relation above.</w:t>
      </w:r>
    </w:p>
    <w:p>
      <w:pPr>
        <w:ind w:left="187" w:hanging="187"/>
      </w:pPr>
      <w:r>
        <w:t xml:space="preserve">• </w:t>
      </w:r>
      <w:r>
        <w:rPr>
          <w:b/>
          <w:i w:val="0"/>
        </w:rPr>
        <w:t>V.15.5, V.15.6, PDF 106–109.</w:t>
      </w:r>
      <w:r>
        <w:rPr>
          <w:b w:val="0"/>
          <w:i w:val="0"/>
        </w:rPr>
        <w:t xml:space="preserve"> The simultaneous direction of a temporally unfolding task supplies a later illustration.</w:t>
      </w:r>
    </w:p>
    <w:p>
      <w:pPr>
        <w:keepNext/>
        <w:widowControl/>
      </w:pPr>
      <w:r>
        <w:rPr>
          <w:b/>
          <w:i w:val="0"/>
        </w:rPr>
        <w:t>In this edition.</w:t>
      </w:r>
    </w:p>
    <w:p>
      <w:pPr>
        <w:widowControl/>
      </w:pPr>
      <w:r>
        <w:rPr>
          <w:b w:val="0"/>
          <w:i w:val="0"/>
        </w:rPr>
        <w:t xml:space="preserve">The apparatus explains primary motion as hierarchical rather than merely first in time. At V.1.1 the source retains assiduus comes, without the non printed in the two later witnesses: the negative would reverse the premise that self-motion continually accompanies its source (PDF 381). The authorial addition about attachment to a mover is also incorporated. Status is accordingly translated </w:t>
      </w:r>
      <w:r>
        <w:t>“</w:t>
      </w:r>
      <w:r>
        <w:rPr>
          <w:b w:val="0"/>
          <w:i w:val="0"/>
        </w:rPr>
        <w:t>stability</w:t>
      </w:r>
      <w:r>
        <w:t>”</w:t>
      </w:r>
      <w:r>
        <w:rPr>
          <w:b w:val="0"/>
          <w:i w:val="0"/>
        </w:rPr>
        <w:t xml:space="preserve"> at V.2.1.</w:t>
      </w:r>
    </w:p>
    <w:p>
      <w:pPr>
        <w:keepNext/>
        <w:widowControl/>
      </w:pPr>
      <w:r>
        <w:rPr>
          <w:b/>
          <w:i w:val="0"/>
        </w:rPr>
        <w:t>See also.</w:t>
      </w:r>
    </w:p>
    <w:p>
      <w:pPr>
        <w:widowControl/>
      </w:pPr>
      <w:hyperlink w:anchor="circularity-and-spiritual-spheres">
        <w:r>
          <w:rPr>
            <w:color w:val="000000"/>
          </w:rPr>
          <w:t xml:space="preserve">Circularity and spiritual spheres</w:t>
        </w:r>
      </w:hyperlink>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time-memory-and-expectation">
        <w:r>
          <w:rPr>
            <w:color w:val="000000"/>
          </w:rPr>
          <w:t xml:space="preserve">Time, memory and expectation</w:t>
        </w:r>
      </w:hyperlink>
      <w:r>
        <w:rPr>
          <w:b w:val="0"/>
          <w:i w:val="0"/>
        </w:rPr>
        <w:t xml:space="preserve">; </w:t>
      </w:r>
      <w:hyperlink w:anchor="first-cause">
        <w:r>
          <w:rPr>
            <w:color w:val="000000"/>
          </w:rPr>
          <w:t xml:space="preserve">First Cause</w:t>
        </w:r>
      </w:hyperlink>
    </w:p>
    <w:p>
      <w:pPr>
        <w:pStyle w:val="Heading2"/>
      </w:pPr>
      <w:bookmarkStart w:id="173" w:name="viii-mutual-minds"/>
      <w:r>
        <w:rPr>
          <w:b w:val="0"/>
          <w:i w:val="0"/>
        </w:rPr>
        <w:t>Mutual knowledge of minds and the celestial spheres</w:t>
      </w:r>
      <w:bookmarkEnd w:id="173"/>
    </w:p>
    <w:p>
      <w:pPr>
        <w:keepNext/>
        <w:widowControl/>
      </w:pPr>
      <w:r>
        <w:rPr>
          <w:b/>
          <w:i w:val="0"/>
        </w:rPr>
        <w:t>Latin:</w:t>
      </w:r>
      <w:r>
        <w:rPr>
          <w:b w:val="0"/>
          <w:i w:val="0"/>
        </w:rPr>
        <w:t xml:space="preserve"> </w:t>
      </w:r>
      <w:r>
        <w:rPr>
          <w:b w:val="0"/>
          <w:i/>
        </w:rPr>
        <w:t>amplexus</w:t>
      </w:r>
      <w:r>
        <w:rPr>
          <w:b w:val="0"/>
          <w:i w:val="0"/>
        </w:rPr>
        <w:t xml:space="preserve">; </w:t>
      </w:r>
      <w:r>
        <w:rPr>
          <w:b w:val="0"/>
          <w:i/>
        </w:rPr>
        <w:t>continere</w:t>
      </w:r>
      <w:r>
        <w:rPr>
          <w:b w:val="0"/>
          <w:i w:val="0"/>
        </w:rPr>
        <w:t xml:space="preserve">; </w:t>
      </w:r>
      <w:r>
        <w:rPr>
          <w:b w:val="0"/>
          <w:i/>
        </w:rPr>
        <w:t>capere</w:t>
      </w:r>
      <w:r>
        <w:rPr>
          <w:b w:val="0"/>
          <w:i w:val="0"/>
        </w:rPr>
        <w:t xml:space="preserve">; </w:t>
      </w:r>
      <w:r>
        <w:rPr>
          <w:b w:val="0"/>
          <w:i/>
        </w:rPr>
        <w:t>complecti</w:t>
      </w:r>
      <w:r>
        <w:rPr>
          <w:b w:val="0"/>
          <w:i w:val="0"/>
        </w:rPr>
        <w:t xml:space="preserve">; </w:t>
      </w:r>
      <w:r>
        <w:rPr>
          <w:b w:val="0"/>
          <w:i/>
        </w:rPr>
        <w:t>claudi</w:t>
      </w:r>
      <w:r>
        <w:rPr>
          <w:b w:val="0"/>
          <w:i w:val="0"/>
        </w:rPr>
        <w:t xml:space="preserve">; </w:t>
      </w:r>
      <w:r>
        <w:rPr>
          <w:b w:val="0"/>
          <w:i/>
        </w:rPr>
        <w:t>actus rectus</w:t>
      </w:r>
      <w:r>
        <w:rPr>
          <w:b w:val="0"/>
          <w:i w:val="0"/>
        </w:rPr>
        <w:t xml:space="preserve">; </w:t>
      </w:r>
      <w:r>
        <w:rPr>
          <w:b w:val="0"/>
          <w:i/>
        </w:rPr>
        <w:t>actus reflexus</w:t>
      </w:r>
    </w:p>
    <w:p>
      <w:pPr>
        <w:keepNext/>
        <w:widowControl/>
      </w:pPr>
      <w:r>
        <w:rPr>
          <w:b/>
          <w:i w:val="0"/>
        </w:rPr>
        <w:t>The word.</w:t>
      </w:r>
    </w:p>
    <w:p>
      <w:pPr>
        <w:widowControl/>
      </w:pPr>
      <w:r>
        <w:rPr>
          <w:b w:val="0"/>
          <w:i w:val="0"/>
        </w:rPr>
        <w:t>The containing and embracing vocabulary describes mutual intellectual apprehension. The direct act is life, while the reflexive act is cognition. These terms express an explanatory order within mind rather than two spatial trajectories.</w:t>
      </w:r>
    </w:p>
    <w:p>
      <w:pPr>
        <w:keepNext/>
        <w:widowControl/>
      </w:pPr>
      <w:r>
        <w:rPr>
          <w:b/>
          <w:i w:val="0"/>
        </w:rPr>
        <w:t>In the Platonic Theology.</w:t>
      </w:r>
    </w:p>
    <w:p>
      <w:pPr>
        <w:widowControl/>
      </w:pPr>
      <w:r>
        <w:rPr>
          <w:b w:val="0"/>
          <w:i w:val="0"/>
        </w:rPr>
        <w:t xml:space="preserve">Saturn’s sphere contains Jupiter’s in the cosmological model assumed here, while Jupiter’s does not contain Saturn’s. A bodily container must be larger than its contained object and cannot at the same time be smaller than that very object. Minds, however, can consider one another reciprocally: mine knows yours and yours mine. Each therefore </w:t>
      </w:r>
      <w:r>
        <w:t>“</w:t>
      </w:r>
      <w:r>
        <w:rPr>
          <w:b w:val="0"/>
          <w:i w:val="0"/>
        </w:rPr>
        <w:t>contains</w:t>
      </w:r>
      <w:r>
        <w:t>”</w:t>
      </w:r>
      <w:r>
        <w:rPr>
          <w:b w:val="0"/>
          <w:i w:val="0"/>
        </w:rPr>
        <w:t xml:space="preserve"> what contains it through a mode that is not quantitative enclosure.</w:t>
      </w:r>
    </w:p>
    <w:p>
      <w:pPr>
        <w:widowControl/>
      </w:pPr>
      <w:r>
        <w:rPr>
          <w:b w:val="0"/>
          <w:i w:val="0"/>
        </w:rPr>
        <w:t>The argument extends to mind’s common nature. Any mind, when it attends, can consider the species of all minds. Ficino does not claim that it thereby reads every private thought or knows every detail of every actual person. The crucial content is the common intellectual nature.</w:t>
      </w:r>
    </w:p>
    <w:p>
      <w:pPr>
        <w:widowControl/>
      </w:pPr>
      <w:r>
        <w:rPr>
          <w:b w:val="0"/>
          <w:i w:val="0"/>
        </w:rPr>
        <w:t>A further immortality inference says that an individual substance equal to its enduring species should endure. The mind makes itself commensurate with that species through reflexive knowing; its prior direct act, life, must therefore have the corresponding capacity. Ficino gives an explicit alternative: either it has always existed and always will, or at least it will exist forever. The passage must not be cited as an unqualified proof of the soul’s pre-existence.</w:t>
      </w:r>
    </w:p>
    <w:p>
      <w:pPr>
        <w:keepNext/>
        <w:widowControl/>
      </w:pPr>
      <w:r>
        <w:rPr>
          <w:b/>
          <w:i w:val="0"/>
        </w:rPr>
        <w:t>Places to Read.</w:t>
      </w:r>
    </w:p>
    <w:p>
      <w:pPr>
        <w:ind w:left="187" w:hanging="187"/>
      </w:pPr>
      <w:r>
        <w:t xml:space="preserve">• </w:t>
      </w:r>
      <w:r>
        <w:rPr>
          <w:b/>
          <w:i w:val="0"/>
        </w:rPr>
        <w:t>VIII.9.1, PDF pp. 348–349.</w:t>
      </w:r>
      <w:r>
        <w:rPr>
          <w:b w:val="0"/>
          <w:i w:val="0"/>
        </w:rPr>
        <w:t xml:space="preserve"> Celestial containment contrasts with mutual knowing; the conclusion preserves the future-only alternative.</w:t>
      </w:r>
    </w:p>
    <w:p>
      <w:pPr>
        <w:keepNext/>
        <w:widowControl/>
      </w:pPr>
      <w:r>
        <w:rPr>
          <w:b/>
          <w:i w:val="0"/>
        </w:rPr>
        <w:t>In this edition.</w:t>
      </w:r>
    </w:p>
    <w:p>
      <w:pPr>
        <w:widowControl/>
      </w:pPr>
      <w:r>
        <w:rPr>
          <w:b w:val="0"/>
          <w:i w:val="0"/>
        </w:rPr>
        <w:t xml:space="preserve">The apparatus emphasizes a single sustained embracing image. The qualifiers si contingat and si animadvertat retain the conditions of occasion and attention. </w:t>
      </w:r>
      <w:r>
        <w:t>“</w:t>
      </w:r>
      <w:r>
        <w:rPr>
          <w:b w:val="0"/>
          <w:i w:val="0"/>
        </w:rPr>
        <w:t>Any mind can consider another</w:t>
      </w:r>
      <w:r>
        <w:t>”</w:t>
      </w:r>
      <w:r>
        <w:rPr>
          <w:b w:val="0"/>
          <w:i w:val="0"/>
        </w:rPr>
        <w:t xml:space="preserve"> is not unrestricted telepathic access.</w:t>
      </w:r>
    </w:p>
    <w:p>
      <w:pPr>
        <w:keepNext/>
        <w:widowControl/>
      </w:pPr>
      <w:r>
        <w:rPr>
          <w:b/>
          <w:i w:val="0"/>
        </w:rPr>
        <w:t>See also.</w:t>
      </w:r>
    </w:p>
    <w:p>
      <w:pPr>
        <w:widowControl/>
      </w:pPr>
      <w:hyperlink w:anchor="viii-whole-mind">
        <w:r>
          <w:rPr>
            <w:color w:val="000000"/>
          </w:rPr>
          <w:t xml:space="preserve">The whole mind and the measure of equality</w:t>
        </w:r>
      </w:hyperlink>
      <w:r>
        <w:rPr>
          <w:b w:val="0"/>
          <w:i w:val="0"/>
        </w:rPr>
        <w:t xml:space="preserve">; </w:t>
      </w:r>
      <w:hyperlink w:anchor="viii-mutual-sciences">
        <w:r>
          <w:rPr>
            <w:color w:val="000000"/>
          </w:rPr>
          <w:t xml:space="preserve">Sciences, virtues, and mutual containment</w:t>
        </w:r>
      </w:hyperlink>
      <w:r>
        <w:rPr>
          <w:b w:val="0"/>
          <w:i w:val="0"/>
        </w:rPr>
        <w:t xml:space="preserve">; </w:t>
      </w:r>
      <w:hyperlink w:anchor="viii-individual-perpetuity">
        <w:r>
          <w:rPr>
            <w:color w:val="000000"/>
          </w:rPr>
          <w:t xml:space="preserve">Individual immortality and the scope of the conclusion</w:t>
        </w:r>
      </w:hyperlink>
    </w:p>
    <w:p>
      <w:pPr>
        <w:pStyle w:val="Heading2"/>
      </w:pPr>
      <w:bookmarkStart w:id="174" w:name="viii-natural-desire"/>
      <w:r>
        <w:rPr>
          <w:b w:val="0"/>
          <w:i w:val="0"/>
        </w:rPr>
        <w:t>Natural desire, possible good, and Olympiodorus</w:t>
      </w:r>
      <w:bookmarkEnd w:id="174"/>
    </w:p>
    <w:p>
      <w:pPr>
        <w:keepNext/>
        <w:widowControl/>
      </w:pPr>
      <w:r>
        <w:rPr>
          <w:b/>
          <w:i w:val="0"/>
        </w:rPr>
        <w:t>Latin:</w:t>
      </w:r>
      <w:r>
        <w:rPr>
          <w:b w:val="0"/>
          <w:i w:val="0"/>
        </w:rPr>
        <w:t xml:space="preserve"> </w:t>
      </w:r>
      <w:r>
        <w:rPr>
          <w:b w:val="0"/>
          <w:i/>
        </w:rPr>
        <w:t>appetitus naturalis</w:t>
      </w:r>
      <w:r>
        <w:rPr>
          <w:b w:val="0"/>
          <w:i w:val="0"/>
        </w:rPr>
        <w:t xml:space="preserve">; </w:t>
      </w:r>
      <w:r>
        <w:rPr>
          <w:b w:val="0"/>
          <w:i/>
        </w:rPr>
        <w:t>bonum</w:t>
      </w:r>
      <w:r>
        <w:rPr>
          <w:b w:val="0"/>
          <w:i w:val="0"/>
        </w:rPr>
        <w:t xml:space="preserve">; </w:t>
      </w:r>
      <w:r>
        <w:rPr>
          <w:b w:val="0"/>
          <w:i/>
        </w:rPr>
        <w:t>possibile</w:t>
      </w:r>
      <w:r>
        <w:rPr>
          <w:b w:val="0"/>
          <w:i w:val="0"/>
        </w:rPr>
        <w:t xml:space="preserve">; </w:t>
      </w:r>
      <w:r>
        <w:rPr>
          <w:b w:val="0"/>
          <w:i/>
        </w:rPr>
        <w:t>utile</w:t>
      </w:r>
      <w:r>
        <w:rPr>
          <w:b w:val="0"/>
          <w:i w:val="0"/>
        </w:rPr>
        <w:t xml:space="preserve">; </w:t>
      </w:r>
      <w:r>
        <w:rPr>
          <w:b w:val="0"/>
          <w:i/>
        </w:rPr>
        <w:t>potentia</w:t>
      </w:r>
      <w:r>
        <w:rPr>
          <w:b w:val="0"/>
          <w:i w:val="0"/>
        </w:rPr>
        <w:t xml:space="preserve">; </w:t>
      </w:r>
      <w:r>
        <w:rPr>
          <w:b w:val="0"/>
          <w:i/>
        </w:rPr>
        <w:t>impotentia</w:t>
      </w:r>
      <w:r>
        <w:rPr>
          <w:b w:val="0"/>
          <w:i w:val="0"/>
        </w:rPr>
        <w:t xml:space="preserve">; </w:t>
      </w:r>
      <w:r>
        <w:rPr>
          <w:b w:val="0"/>
          <w:i/>
        </w:rPr>
        <w:t>Olympiodorus</w:t>
      </w:r>
    </w:p>
    <w:p>
      <w:pPr>
        <w:keepNext/>
        <w:widowControl/>
      </w:pPr>
      <w:r>
        <w:rPr>
          <w:b/>
          <w:i w:val="0"/>
        </w:rPr>
        <w:t>The word.</w:t>
      </w:r>
    </w:p>
    <w:p>
      <w:pPr>
        <w:widowControl/>
      </w:pPr>
      <w:r>
        <w:rPr>
          <w:b w:val="0"/>
          <w:i w:val="0"/>
        </w:rPr>
        <w:t>Natural desire is presented as directed toward a good appropriate to the being that desires. Possibile concerns attainability, utile usefulness, and potentia the power associated with good. The argument does not say that every passing wish must be fulfilled.</w:t>
      </w:r>
    </w:p>
    <w:p>
      <w:pPr>
        <w:keepNext/>
        <w:widowControl/>
      </w:pPr>
      <w:r>
        <w:rPr>
          <w:b/>
          <w:i w:val="0"/>
        </w:rPr>
        <w:t>In the Platonic Theology.</w:t>
      </w:r>
    </w:p>
    <w:p>
      <w:pPr>
        <w:widowControl/>
      </w:pPr>
      <w:r>
        <w:rPr>
          <w:b w:val="0"/>
          <w:i w:val="0"/>
        </w:rPr>
        <w:t>After arguing from truth as food, Ficino introduces a confirmation attributed to the Platonist Olympiodorus, woven from Pythagorean and Platonic mysteries associated with the Phaedo and Gorgias. Mind naturally separates forms from matter and strives to live apart from the perishable body, even though bodily sensation pulls it in the opposite direction. The life sought is characterized as devoted to truth and goodness.</w:t>
      </w:r>
    </w:p>
    <w:p>
      <w:pPr>
        <w:widowControl/>
      </w:pPr>
      <w:r>
        <w:rPr>
          <w:b w:val="0"/>
          <w:i w:val="0"/>
        </w:rPr>
        <w:t>The inference runs from the goodness of such a life to its possibility. What is impossible is said to be useless; good cannot be useless; and just as impotence is associated with evil, power belongs to good. Consequently, a genuinely natural appetite for good aims at a possible possession. The structure is an account of teleologically ordered desire, not a survey of human preferences.</w:t>
      </w:r>
    </w:p>
    <w:p>
      <w:pPr>
        <w:widowControl/>
      </w:pPr>
      <w:r>
        <w:rPr>
          <w:b w:val="0"/>
          <w:i w:val="0"/>
        </w:rPr>
        <w:t xml:space="preserve">Ficino’s preceding argument adds that what is most natural to mind as mind should intensify rather than diminish its life. Separation is therefore presented as a consummation. The restriction </w:t>
      </w:r>
      <w:r>
        <w:t>“</w:t>
      </w:r>
      <w:r>
        <w:rPr>
          <w:b w:val="0"/>
          <w:i w:val="0"/>
        </w:rPr>
        <w:t>insofar as it is mind</w:t>
      </w:r>
      <w:r>
        <w:t>”</w:t>
      </w:r>
      <w:r>
        <w:rPr>
          <w:b w:val="0"/>
          <w:i w:val="0"/>
        </w:rPr>
        <w:t xml:space="preserve"> is important: the passage is not denying the ordinary distress or limitations of embodied persons, nor does it invite practical self-harm. Its subject is the metaphysical adequacy of a natural end.</w:t>
      </w:r>
    </w:p>
    <w:p>
      <w:pPr>
        <w:keepNext/>
        <w:widowControl/>
      </w:pPr>
      <w:r>
        <w:rPr>
          <w:b/>
          <w:i w:val="0"/>
        </w:rPr>
        <w:t>Places to Read.</w:t>
      </w:r>
    </w:p>
    <w:p>
      <w:pPr>
        <w:ind w:left="187" w:hanging="187"/>
      </w:pPr>
      <w:r>
        <w:t xml:space="preserve">• </w:t>
      </w:r>
      <w:r>
        <w:rPr>
          <w:b/>
          <w:i w:val="0"/>
        </w:rPr>
        <w:t>VIII.2.8, PDF pp. 304–305.</w:t>
      </w:r>
      <w:r>
        <w:rPr>
          <w:b w:val="0"/>
          <w:i w:val="0"/>
        </w:rPr>
        <w:t xml:space="preserve"> The argument from immortal nourishment is followed by the explicitly attributed Olympiodoran confirmation.</w:t>
      </w:r>
    </w:p>
    <w:p>
      <w:pPr>
        <w:keepNext/>
        <w:widowControl/>
      </w:pPr>
      <w:r>
        <w:rPr>
          <w:b/>
          <w:i w:val="0"/>
        </w:rPr>
        <w:t>In this edition.</w:t>
      </w:r>
    </w:p>
    <w:p>
      <w:pPr>
        <w:widowControl/>
      </w:pPr>
      <w:r>
        <w:rPr>
          <w:b w:val="0"/>
          <w:i w:val="0"/>
        </w:rPr>
        <w:t xml:space="preserve">The repeated naturaliter is interpreted in the text itself as </w:t>
      </w:r>
      <w:r>
        <w:t>“</w:t>
      </w:r>
      <w:r>
        <w:rPr>
          <w:b w:val="0"/>
          <w:i w:val="0"/>
        </w:rPr>
        <w:t>truly.</w:t>
      </w:r>
      <w:r>
        <w:t>”</w:t>
      </w:r>
      <w:r>
        <w:rPr>
          <w:b w:val="0"/>
          <w:i w:val="0"/>
        </w:rPr>
        <w:t xml:space="preserve"> The apparatus preserves the possible/useful and impotence/power pairs and the concluding vere beneque. The ancient works are named through Ficino’s report; this contribution does not claim a separate verification of Olympiodorus’s wording.</w:t>
      </w:r>
    </w:p>
    <w:p>
      <w:pPr>
        <w:keepNext/>
        <w:widowControl/>
      </w:pPr>
      <w:r>
        <w:rPr>
          <w:b/>
          <w:i w:val="0"/>
        </w:rPr>
        <w:t>See also.</w:t>
      </w:r>
    </w:p>
    <w:p>
      <w:pPr>
        <w:widowControl/>
      </w:pPr>
      <w:hyperlink w:anchor="viii-food-truth">
        <w:r>
          <w:rPr>
            <w:color w:val="000000"/>
          </w:rPr>
          <w:t xml:space="preserve">Food, truth, and the hungry mind</w:t>
        </w:r>
      </w:hyperlink>
      <w:r>
        <w:rPr>
          <w:b w:val="0"/>
          <w:i w:val="0"/>
        </w:rPr>
        <w:t xml:space="preserve">; </w:t>
      </w:r>
      <w:hyperlink w:anchor="viii-divine-enlargement">
        <w:r>
          <w:rPr>
            <w:color w:val="000000"/>
          </w:rPr>
          <w:t xml:space="preserve">Insatiable desire and divine enlargement</w:t>
        </w:r>
      </w:hyperlink>
      <w:r>
        <w:rPr>
          <w:b w:val="0"/>
          <w:i w:val="0"/>
        </w:rPr>
        <w:t xml:space="preserve">; </w:t>
      </w:r>
      <w:hyperlink w:anchor="viii-individual-perpetuity">
        <w:r>
          <w:rPr>
            <w:color w:val="000000"/>
          </w:rPr>
          <w:t xml:space="preserve">Individual immortality and the scope of the conclusion</w:t>
        </w:r>
      </w:hyperlink>
    </w:p>
    <w:p>
      <w:pPr>
        <w:pStyle w:val="Heading2"/>
      </w:pPr>
      <w:bookmarkStart w:id="175" w:name="natural-striving-source-and-return"/>
      <w:r>
        <w:rPr>
          <w:b w:val="0"/>
          <w:i w:val="0"/>
        </w:rPr>
        <w:t>Natural striving, source and return</w:t>
      </w:r>
      <w:bookmarkEnd w:id="175"/>
    </w:p>
    <w:p>
      <w:pPr>
        <w:keepNext/>
        <w:widowControl/>
      </w:pPr>
      <w:r>
        <w:rPr>
          <w:b/>
          <w:i w:val="0"/>
        </w:rPr>
        <w:t>Latin:</w:t>
      </w:r>
      <w:r>
        <w:rPr>
          <w:b w:val="0"/>
          <w:i w:val="0"/>
        </w:rPr>
        <w:t xml:space="preserve"> </w:t>
      </w:r>
      <w:r>
        <w:rPr>
          <w:b w:val="0"/>
          <w:i/>
        </w:rPr>
        <w:t>appetitus naturalis</w:t>
      </w:r>
      <w:r>
        <w:rPr>
          <w:b w:val="0"/>
          <w:i w:val="0"/>
        </w:rPr>
        <w:t xml:space="preserve">; </w:t>
      </w:r>
      <w:r>
        <w:rPr>
          <w:b w:val="0"/>
          <w:i/>
        </w:rPr>
        <w:t>appetitio</w:t>
      </w:r>
      <w:r>
        <w:rPr>
          <w:b w:val="0"/>
          <w:i w:val="0"/>
        </w:rPr>
        <w:t xml:space="preserve">; </w:t>
      </w:r>
      <w:r>
        <w:rPr>
          <w:b w:val="0"/>
          <w:i/>
        </w:rPr>
        <w:t>operatio</w:t>
      </w:r>
      <w:r>
        <w:rPr>
          <w:b w:val="0"/>
          <w:i w:val="0"/>
        </w:rPr>
        <w:t xml:space="preserve">; </w:t>
      </w:r>
      <w:r>
        <w:rPr>
          <w:b w:val="0"/>
          <w:i/>
        </w:rPr>
        <w:t>bonum</w:t>
      </w:r>
      <w:r>
        <w:rPr>
          <w:b w:val="0"/>
          <w:i w:val="0"/>
        </w:rPr>
        <w:t xml:space="preserve">; </w:t>
      </w:r>
      <w:r>
        <w:rPr>
          <w:b w:val="0"/>
          <w:i/>
        </w:rPr>
        <w:t>unde</w:t>
      </w:r>
      <w:r>
        <w:rPr>
          <w:b w:val="0"/>
          <w:i w:val="0"/>
        </w:rPr>
        <w:t xml:space="preserve">; </w:t>
      </w:r>
      <w:r>
        <w:rPr>
          <w:b w:val="0"/>
          <w:i/>
        </w:rPr>
        <w:t>inde</w:t>
      </w:r>
      <w:r>
        <w:rPr>
          <w:b w:val="0"/>
          <w:i w:val="0"/>
        </w:rPr>
        <w:t xml:space="preserve">; </w:t>
      </w:r>
      <w:r>
        <w:rPr>
          <w:b w:val="0"/>
          <w:i/>
        </w:rPr>
        <w:t>illuc</w:t>
      </w:r>
      <w:r>
        <w:rPr>
          <w:b w:val="0"/>
          <w:i w:val="0"/>
        </w:rPr>
        <w:t xml:space="preserve">; </w:t>
      </w:r>
      <w:r>
        <w:rPr>
          <w:b w:val="0"/>
          <w:i/>
        </w:rPr>
        <w:t>reflecti</w:t>
      </w:r>
    </w:p>
    <w:p>
      <w:pPr>
        <w:keepNext/>
        <w:widowControl/>
      </w:pPr>
      <w:r>
        <w:rPr>
          <w:b/>
          <w:i w:val="0"/>
        </w:rPr>
        <w:t>The word.</w:t>
      </w:r>
    </w:p>
    <w:p>
      <w:pPr>
        <w:widowControl/>
      </w:pPr>
      <w:r>
        <w:rPr>
          <w:b w:val="0"/>
          <w:i w:val="0"/>
        </w:rPr>
        <w:t>Appetitus naturalis is a nature’s directed striving, not necessarily conscious deliberation. Appetitio emphasizes the directed act. Unde, inde and illuc mean from where, from there and toward there, giving the argument its outward-and-returning structure.</w:t>
      </w:r>
    </w:p>
    <w:p>
      <w:pPr>
        <w:keepNext/>
        <w:widowControl/>
      </w:pPr>
      <w:r>
        <w:rPr>
          <w:b/>
          <w:i w:val="0"/>
        </w:rPr>
        <w:t>In the Platonic Theology.</w:t>
      </w:r>
    </w:p>
    <w:p>
      <w:pPr>
        <w:widowControl/>
      </w:pPr>
      <w:r>
        <w:rPr>
          <w:b w:val="0"/>
          <w:i w:val="0"/>
        </w:rPr>
        <w:t>V.4.6 connects natural action with propagation of the agent’s perfection. An element, plant or animal produces something like itself as far as its powers permit. Ficino uses this to deny that an agent’s natural aim is the annihilation of the very subject required for a new work. The claim does not deny that one living organism destroys or consumes another; it distinguishes destruction of a particular form from a directed act whose end would be absolute nothingness.</w:t>
      </w:r>
    </w:p>
    <w:p>
      <w:pPr>
        <w:widowControl/>
      </w:pPr>
      <w:r>
        <w:rPr>
          <w:b w:val="0"/>
          <w:i w:val="0"/>
        </w:rPr>
        <w:t>V.4.7 makes the underlying teleology explicit. Natural appetite tends toward good, identified here with life, being and similar perfections, rather than their contraries. The supreme good implants that direction in all subordinate things. From their source of being they receive movement, and toward that same source they are borne. Every appetite and operation arising from good therefore tends and turns back toward good.</w:t>
      </w:r>
    </w:p>
    <w:p>
      <w:pPr>
        <w:widowControl/>
      </w:pPr>
      <w:r>
        <w:rPr>
          <w:b w:val="0"/>
          <w:i w:val="0"/>
        </w:rPr>
        <w:t>The repeated directional expressions do real work. Source is not simply the earliest item in a chronology. It is the cause from which an existent receives being and the end toward which its natural activity is ordered. The passage thus prepares the later efficient-and-final dependence that soul retains even while free from matter. It also complements circular self-return without making the two identical: one concerns an effect’s return toward its good source, the other the soul’s gathering activity into itself.</w:t>
      </w:r>
    </w:p>
    <w:p>
      <w:pPr>
        <w:widowControl/>
      </w:pPr>
      <w:r>
        <w:rPr>
          <w:b w:val="0"/>
          <w:i w:val="0"/>
        </w:rPr>
        <w:t>The proof remains framed by the claim of divine governance in V.4.2. Ficino is not deriving providence from contemporary observation of every natural event, nor saying every particular human desire is morally admirable. He is specifying the good that natural appetite seeks under the metaphysical description of preserving or communicating form and life. Later appetitive arguments can therefore distinguish natural vivification from deliberate wishing and can criticize desires without retracting this general direction.</w:t>
      </w:r>
    </w:p>
    <w:p>
      <w:pPr>
        <w:keepNext/>
        <w:widowControl/>
      </w:pPr>
      <w:r>
        <w:rPr>
          <w:b/>
          <w:i w:val="0"/>
        </w:rPr>
        <w:t>Places to Read.</w:t>
      </w:r>
    </w:p>
    <w:p>
      <w:pPr>
        <w:ind w:left="187" w:hanging="187"/>
      </w:pPr>
      <w:r>
        <w:t xml:space="preserve">• </w:t>
      </w:r>
      <w:r>
        <w:rPr>
          <w:b/>
          <w:i w:val="0"/>
        </w:rPr>
        <w:t>V.4.2, PDF 18–19.</w:t>
      </w:r>
      <w:r>
        <w:rPr>
          <w:b w:val="0"/>
          <w:i w:val="0"/>
        </w:rPr>
        <w:t xml:space="preserve"> Nature’s nonannihilating aim is grounded in divine goodness.</w:t>
      </w:r>
    </w:p>
    <w:p>
      <w:pPr>
        <w:ind w:left="187" w:hanging="187"/>
      </w:pPr>
      <w:r>
        <w:t xml:space="preserve">• </w:t>
      </w:r>
      <w:r>
        <w:rPr>
          <w:b/>
          <w:i w:val="0"/>
        </w:rPr>
        <w:t>V.4.6, V.4.7, PDF 20–23.</w:t>
      </w:r>
      <w:r>
        <w:rPr>
          <w:b w:val="0"/>
          <w:i w:val="0"/>
        </w:rPr>
        <w:t xml:space="preserve"> Propagation of perfection is connected explicitly to movement from and return toward good.</w:t>
      </w:r>
    </w:p>
    <w:p>
      <w:pPr>
        <w:ind w:left="187" w:hanging="187"/>
      </w:pPr>
      <w:r>
        <w:t xml:space="preserve">• </w:t>
      </w:r>
      <w:r>
        <w:rPr>
          <w:b/>
          <w:i w:val="0"/>
        </w:rPr>
        <w:t>V.5.1, V.14.2, PDF 26–27, 94–95.</w:t>
      </w:r>
      <w:r>
        <w:rPr>
          <w:b w:val="0"/>
          <w:i w:val="0"/>
        </w:rPr>
        <w:t xml:space="preserve"> Efficient/final dependence and natural rather than deliberate vivification clarify the scope.</w:t>
      </w:r>
    </w:p>
    <w:p>
      <w:pPr>
        <w:keepNext/>
        <w:widowControl/>
      </w:pPr>
      <w:r>
        <w:rPr>
          <w:b/>
          <w:i w:val="0"/>
        </w:rPr>
        <w:t>In this edition.</w:t>
      </w:r>
    </w:p>
    <w:p>
      <w:pPr>
        <w:widowControl/>
      </w:pPr>
      <w:r>
        <w:rPr>
          <w:b w:val="0"/>
          <w:i w:val="0"/>
        </w:rPr>
        <w:t xml:space="preserve">The edition preserves the unde/inde/illuc sequence and reflectiturque, </w:t>
      </w:r>
      <w:r>
        <w:t>“</w:t>
      </w:r>
      <w:r>
        <w:rPr>
          <w:b w:val="0"/>
          <w:i w:val="0"/>
        </w:rPr>
        <w:t>and turns back.</w:t>
      </w:r>
      <w:r>
        <w:t>”</w:t>
      </w:r>
      <w:r>
        <w:rPr>
          <w:b w:val="0"/>
          <w:i w:val="0"/>
        </w:rPr>
        <w:t xml:space="preserve"> Omnibus sequentibus means things following after the supreme good in the hierarchy; it need not mean events occurring later on a timeline.</w:t>
      </w:r>
    </w:p>
    <w:p>
      <w:pPr>
        <w:keepNext/>
        <w:widowControl/>
      </w:pPr>
      <w:r>
        <w:rPr>
          <w:b/>
          <w:i w:val="0"/>
        </w:rPr>
        <w:t>See also.</w:t>
      </w:r>
    </w:p>
    <w:p>
      <w:pPr>
        <w:widowControl/>
      </w:pPr>
      <w:hyperlink w:anchor="art-and-elemental-transformation">
        <w:r>
          <w:rPr>
            <w:color w:val="000000"/>
          </w:rPr>
          <w:t xml:space="preserve">Art and elemental transformation</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circularity-and-spiritual-spheres">
        <w:r>
          <w:rPr>
            <w:color w:val="000000"/>
          </w:rPr>
          <w:t xml:space="preserve">Circularity and spiritual spheres</w:t>
        </w:r>
      </w:hyperlink>
      <w:r>
        <w:rPr>
          <w:b w:val="0"/>
          <w:i w:val="0"/>
        </w:rPr>
        <w:t xml:space="preserve">; </w:t>
      </w:r>
      <w:hyperlink w:anchor="first-cause">
        <w:r>
          <w:rPr>
            <w:color w:val="000000"/>
          </w:rPr>
          <w:t xml:space="preserve">First Cause</w:t>
        </w:r>
      </w:hyperlink>
    </w:p>
    <w:p>
      <w:pPr>
        <w:pStyle w:val="Heading2"/>
      </w:pPr>
      <w:bookmarkStart w:id="176" w:name="necessary-predication-and-the-fire-objection"/>
      <w:r>
        <w:rPr>
          <w:b w:val="0"/>
          <w:i w:val="0"/>
        </w:rPr>
        <w:t>Necessary predication and the fire objection</w:t>
      </w:r>
      <w:bookmarkEnd w:id="176"/>
    </w:p>
    <w:p>
      <w:pPr>
        <w:keepNext/>
        <w:widowControl/>
      </w:pPr>
      <w:r>
        <w:rPr>
          <w:b/>
          <w:i w:val="0"/>
        </w:rPr>
        <w:t>Latin:</w:t>
      </w:r>
      <w:r>
        <w:rPr>
          <w:b w:val="0"/>
          <w:i w:val="0"/>
        </w:rPr>
        <w:t xml:space="preserve"> </w:t>
      </w:r>
      <w:r>
        <w:rPr>
          <w:b w:val="0"/>
          <w:i/>
        </w:rPr>
        <w:t>rotunditas</w:t>
      </w:r>
      <w:r>
        <w:rPr>
          <w:b w:val="0"/>
          <w:i w:val="0"/>
        </w:rPr>
        <w:t xml:space="preserve">; </w:t>
      </w:r>
      <w:r>
        <w:rPr>
          <w:b w:val="0"/>
          <w:i/>
        </w:rPr>
        <w:t>circulus</w:t>
      </w:r>
      <w:r>
        <w:rPr>
          <w:b w:val="0"/>
          <w:i w:val="0"/>
        </w:rPr>
        <w:t xml:space="preserve">; </w:t>
      </w:r>
      <w:r>
        <w:rPr>
          <w:b w:val="0"/>
          <w:i/>
        </w:rPr>
        <w:t>lignum</w:t>
      </w:r>
      <w:r>
        <w:rPr>
          <w:b w:val="0"/>
          <w:i w:val="0"/>
        </w:rPr>
        <w:t xml:space="preserve">; </w:t>
      </w:r>
      <w:r>
        <w:rPr>
          <w:b w:val="0"/>
          <w:i/>
        </w:rPr>
        <w:t>calere</w:t>
      </w:r>
      <w:r>
        <w:rPr>
          <w:b w:val="0"/>
          <w:i w:val="0"/>
        </w:rPr>
        <w:t xml:space="preserve">; </w:t>
      </w:r>
      <w:r>
        <w:rPr>
          <w:b w:val="0"/>
          <w:i/>
        </w:rPr>
        <w:t>dum est</w:t>
      </w:r>
      <w:r>
        <w:rPr>
          <w:b w:val="0"/>
          <w:i w:val="0"/>
        </w:rPr>
        <w:t xml:space="preserve">; </w:t>
      </w:r>
      <w:r>
        <w:rPr>
          <w:b w:val="0"/>
          <w:i/>
        </w:rPr>
        <w:t>semper</w:t>
      </w:r>
      <w:r>
        <w:rPr>
          <w:b w:val="0"/>
          <w:i w:val="0"/>
        </w:rPr>
        <w:t xml:space="preserve">; </w:t>
      </w:r>
      <w:r>
        <w:rPr>
          <w:b w:val="0"/>
          <w:i/>
        </w:rPr>
        <w:t>absolute</w:t>
      </w:r>
      <w:r>
        <w:rPr>
          <w:b w:val="0"/>
          <w:i w:val="0"/>
        </w:rPr>
        <w:t xml:space="preserve">; </w:t>
      </w:r>
      <w:r>
        <w:rPr>
          <w:b w:val="0"/>
          <w:i/>
        </w:rPr>
        <w:t>radix essendi</w:t>
      </w:r>
    </w:p>
    <w:p>
      <w:pPr>
        <w:keepNext/>
        <w:widowControl/>
      </w:pPr>
      <w:r>
        <w:rPr>
          <w:b/>
          <w:i w:val="0"/>
        </w:rPr>
        <w:t>The word.</w:t>
      </w:r>
    </w:p>
    <w:p>
      <w:pPr>
        <w:widowControl/>
      </w:pPr>
      <w:r>
        <w:rPr>
          <w:b w:val="0"/>
          <w:i w:val="0"/>
        </w:rPr>
        <w:t>Rotunditas is roundness; lignum wood; calere being hot. Dum est means while it exists. Semper is always, and absolute removes a proposed qualification. The question is whether an inseparable predicate guarantees that its subject exists perpetually.</w:t>
      </w:r>
    </w:p>
    <w:p>
      <w:pPr>
        <w:keepNext/>
        <w:widowControl/>
      </w:pPr>
      <w:r>
        <w:rPr>
          <w:b/>
          <w:i w:val="0"/>
        </w:rPr>
        <w:t>In the Platonic Theology.</w:t>
      </w:r>
    </w:p>
    <w:p>
      <w:pPr>
        <w:widowControl/>
      </w:pPr>
      <w:r>
        <w:rPr>
          <w:b w:val="0"/>
          <w:i w:val="0"/>
        </w:rPr>
        <w:t>V.9 contrasts the circle, intrinsically round, with wood made round by an artisan. Wood can survive the loss of roundness; a circle cannot remain a circle without it. The examples of fire’s heat, water’s moisture and the sun’s light then lead into the claim that being belongs to form through itself.</w:t>
      </w:r>
    </w:p>
    <w:p>
      <w:pPr>
        <w:widowControl/>
      </w:pPr>
      <w:r>
        <w:rPr>
          <w:b w:val="0"/>
          <w:i w:val="0"/>
        </w:rPr>
        <w:t xml:space="preserve">The objection in V.9.3 correctly targets an additional step: fire is always hot while it exists, but it can cease to exist. Why should a self-subsistent form’s possession of being imply more than being while it exists? Ficino first attacks the objector’s repeated </w:t>
      </w:r>
      <w:r>
        <w:t>“</w:t>
      </w:r>
      <w:r>
        <w:rPr>
          <w:b w:val="0"/>
          <w:i w:val="0"/>
        </w:rPr>
        <w:t>is</w:t>
      </w:r>
      <w:r>
        <w:t>”</w:t>
      </w:r>
      <w:r>
        <w:rPr>
          <w:b w:val="0"/>
          <w:i w:val="0"/>
        </w:rPr>
        <w:t xml:space="preserve"> and the proposed infinite series of conditions. A first root of being must eventually be reached. The lexicon reports that argumentative move without presenting its accusation of contradiction as an independently settled logical verdict.</w:t>
      </w:r>
    </w:p>
    <w:p>
      <w:pPr>
        <w:widowControl/>
      </w:pPr>
      <w:r>
        <w:rPr>
          <w:b w:val="0"/>
          <w:i w:val="0"/>
        </w:rPr>
        <w:t>V.9.4 gives the fuller metaphysical reply. Heat and being are different: otherwise everything existent would be hot and every cooling would be annihilation. For fire the order is essence, materially conditioned being, then heat. Its dependence upon matter permits the condition to fail. For a separate soul, being is the first proper act of essence without an intervening bodily bond that could be loosened.</w:t>
      </w:r>
    </w:p>
    <w:p>
      <w:pPr>
        <w:widowControl/>
      </w:pPr>
      <w:r>
        <w:rPr>
          <w:b w:val="0"/>
          <w:i w:val="0"/>
        </w:rPr>
        <w:t>Thus the contrast concerns the ontological source and conditions of predication, not merely the grammatical difference between nouns and verbs. The proof still requires the earlier premise that soul really is a separate form. V.10 makes clear that it does not claim exemption from God as efficient source.</w:t>
      </w:r>
    </w:p>
    <w:p>
      <w:pPr>
        <w:keepNext/>
        <w:widowControl/>
      </w:pPr>
      <w:r>
        <w:rPr>
          <w:b/>
          <w:i w:val="0"/>
        </w:rPr>
        <w:t>Places to Read.</w:t>
      </w:r>
    </w:p>
    <w:p>
      <w:pPr>
        <w:ind w:left="187" w:hanging="187"/>
      </w:pPr>
      <w:r>
        <w:t xml:space="preserve">• </w:t>
      </w:r>
      <w:r>
        <w:rPr>
          <w:b/>
          <w:i w:val="0"/>
        </w:rPr>
        <w:t>V.9.1, PDF 46–47.</w:t>
      </w:r>
      <w:r>
        <w:rPr>
          <w:b w:val="0"/>
          <w:i w:val="0"/>
        </w:rPr>
        <w:t xml:space="preserve"> Circle and wooden circle distinguish intrinsic and acquired roundness.</w:t>
      </w:r>
    </w:p>
    <w:p>
      <w:pPr>
        <w:ind w:left="187" w:hanging="187"/>
      </w:pPr>
      <w:r>
        <w:t xml:space="preserve">• </w:t>
      </w:r>
      <w:r>
        <w:rPr>
          <w:b/>
          <w:i w:val="0"/>
        </w:rPr>
        <w:t>V.9.3, PDF 50–51.</w:t>
      </w:r>
      <w:r>
        <w:rPr>
          <w:b w:val="0"/>
          <w:i w:val="0"/>
        </w:rPr>
        <w:t xml:space="preserve"> The fire objection and Ficino’s repetition/regress reply.</w:t>
      </w:r>
    </w:p>
    <w:p>
      <w:pPr>
        <w:ind w:left="187" w:hanging="187"/>
      </w:pPr>
      <w:r>
        <w:t xml:space="preserve">• </w:t>
      </w:r>
      <w:r>
        <w:rPr>
          <w:b/>
          <w:i w:val="0"/>
        </w:rPr>
        <w:t>V.9.4, V.10.1, PDF 52–55.</w:t>
      </w:r>
      <w:r>
        <w:rPr>
          <w:b w:val="0"/>
          <w:i w:val="0"/>
        </w:rPr>
        <w:t xml:space="preserve"> Being is distinguished from being hot and material conditions from divine dependence.</w:t>
      </w:r>
    </w:p>
    <w:p>
      <w:pPr>
        <w:keepNext/>
        <w:widowControl/>
      </w:pPr>
      <w:r>
        <w:rPr>
          <w:b/>
          <w:i w:val="0"/>
        </w:rPr>
        <w:t>In this edition.</w:t>
      </w:r>
    </w:p>
    <w:p>
      <w:pPr>
        <w:widowControl/>
      </w:pPr>
      <w:r>
        <w:rPr>
          <w:b w:val="0"/>
          <w:i w:val="0"/>
        </w:rPr>
        <w:t>The edition keeps the deliberately repetitive est/semper est/dum est sequence instead of replacing it with a paraphrased victory. V.9.4 applies the correction primo ponatur, preserving the ordered placement of essence, being and heat (PDF 390).</w:t>
      </w:r>
    </w:p>
    <w:p>
      <w:pPr>
        <w:keepNext/>
        <w:widowControl/>
      </w:pPr>
      <w:r>
        <w:rPr>
          <w:b/>
          <w:i w:val="0"/>
        </w:rPr>
        <w:t>See also.</w:t>
      </w:r>
    </w:p>
    <w:p>
      <w:pPr>
        <w:widowControl/>
      </w:pPr>
      <w:hyperlink w:anchor="through-itself-and-through-another">
        <w:r>
          <w:rPr>
            <w:color w:val="000000"/>
          </w:rPr>
          <w:t xml:space="preserve">Through itself and through another</w:t>
        </w:r>
      </w:hyperlink>
      <w:r>
        <w:rPr>
          <w:b w:val="0"/>
          <w:i w:val="0"/>
        </w:rPr>
        <w:t xml:space="preserve">; </w:t>
      </w:r>
      <w:hyperlink w:anchor="conditions-and-the-fashioners-law">
        <w:r>
          <w:rPr>
            <w:color w:val="000000"/>
          </w:rPr>
          <w:t xml:space="preserve">Conditions and the fashioner’s law</w:t>
        </w:r>
      </w:hyperlink>
      <w:r>
        <w:rPr>
          <w:b w:val="0"/>
          <w:i w:val="0"/>
        </w:rPr>
        <w:t xml:space="preserve">; </w:t>
      </w:r>
      <w:hyperlink w:anchor="contraries-death-and-imperishability">
        <w:r>
          <w:rPr>
            <w:color w:val="000000"/>
          </w:rPr>
          <w:t xml:space="preserve">Contraries, death and imperishability</w:t>
        </w:r>
      </w:hyperlink>
    </w:p>
    <w:p>
      <w:pPr>
        <w:pStyle w:val="Heading2"/>
      </w:pPr>
      <w:bookmarkStart w:id="177" w:name="nourishment-and-life-giving-form"/>
      <w:r>
        <w:rPr>
          <w:b w:val="0"/>
          <w:i w:val="0"/>
        </w:rPr>
        <w:t>Nourishment and the life-giving form</w:t>
      </w:r>
      <w:bookmarkEnd w:id="177"/>
    </w:p>
    <w:p>
      <w:pPr>
        <w:keepNext/>
        <w:widowControl/>
      </w:pPr>
      <w:r>
        <w:rPr>
          <w:b/>
          <w:i w:val="0"/>
        </w:rPr>
        <w:t>Latin:</w:t>
      </w:r>
      <w:r>
        <w:rPr>
          <w:b w:val="0"/>
          <w:i w:val="0"/>
        </w:rPr>
        <w:t xml:space="preserve"> </w:t>
      </w:r>
      <w:r>
        <w:rPr>
          <w:b w:val="0"/>
          <w:i/>
        </w:rPr>
        <w:t>alimentum</w:t>
      </w:r>
      <w:r>
        <w:rPr>
          <w:b w:val="0"/>
          <w:i w:val="0"/>
        </w:rPr>
        <w:t xml:space="preserve">; </w:t>
      </w:r>
      <w:r>
        <w:rPr>
          <w:b w:val="0"/>
          <w:i/>
        </w:rPr>
        <w:t>anima nutritiva</w:t>
      </w:r>
      <w:r>
        <w:rPr>
          <w:b w:val="0"/>
          <w:i w:val="0"/>
        </w:rPr>
        <w:t xml:space="preserve">; </w:t>
      </w:r>
      <w:r>
        <w:rPr>
          <w:b w:val="0"/>
          <w:i/>
        </w:rPr>
        <w:t>coalescere</w:t>
      </w:r>
      <w:r>
        <w:rPr>
          <w:b w:val="0"/>
          <w:i w:val="0"/>
        </w:rPr>
        <w:t xml:space="preserve">; </w:t>
      </w:r>
      <w:r>
        <w:rPr>
          <w:b w:val="0"/>
          <w:i/>
        </w:rPr>
        <w:t>adolescere</w:t>
      </w:r>
      <w:r>
        <w:rPr>
          <w:b w:val="0"/>
          <w:i w:val="0"/>
        </w:rPr>
        <w:t xml:space="preserve">; </w:t>
      </w:r>
      <w:r>
        <w:rPr>
          <w:b w:val="0"/>
          <w:i/>
        </w:rPr>
        <w:t>affectio</w:t>
      </w:r>
      <w:r>
        <w:rPr>
          <w:b w:val="0"/>
          <w:i w:val="0"/>
        </w:rPr>
        <w:t xml:space="preserve">; </w:t>
      </w:r>
      <w:r>
        <w:rPr>
          <w:b w:val="0"/>
          <w:i/>
        </w:rPr>
        <w:t>forma vivifica</w:t>
      </w:r>
      <w:r>
        <w:rPr>
          <w:b w:val="0"/>
          <w:i w:val="0"/>
        </w:rPr>
        <w:t xml:space="preserve">; </w:t>
      </w:r>
      <w:r>
        <w:rPr>
          <w:b w:val="0"/>
          <w:i/>
        </w:rPr>
        <w:t>animatum</w:t>
      </w:r>
    </w:p>
    <w:p>
      <w:pPr>
        <w:keepNext/>
        <w:widowControl/>
      </w:pPr>
      <w:r>
        <w:rPr>
          <w:b/>
          <w:i w:val="0"/>
        </w:rPr>
        <w:t>The word.</w:t>
      </w:r>
    </w:p>
    <w:p>
      <w:pPr>
        <w:widowControl/>
      </w:pPr>
      <w:r>
        <w:rPr>
          <w:b w:val="0"/>
          <w:i w:val="0"/>
        </w:rPr>
        <w:t>Alimentum is nourishment or its supply; coalescere here describes living growth. Affectio is a determinate condition rather than an emotion. Forma vivifica is the form that gives life; animatum is what has been animated, not the soul itself.</w:t>
      </w:r>
    </w:p>
    <w:p>
      <w:pPr>
        <w:keepNext/>
        <w:widowControl/>
      </w:pPr>
      <w:r>
        <w:rPr>
          <w:b/>
          <w:i w:val="0"/>
        </w:rPr>
        <w:t>In the Platonic Theology.</w:t>
      </w:r>
    </w:p>
    <w:p>
      <w:pPr>
        <w:widowControl/>
      </w:pPr>
      <w:r>
        <w:rPr>
          <w:b w:val="0"/>
          <w:i w:val="0"/>
        </w:rPr>
        <w:t>The first natural-power argument compares flourishing organisms and plants with severed logs and stones. All are bodies, but only the former nourish and grow in the relevant way. Bare corporeal matter, shared by all, therefore cannot explain the difference. An opponent replies that the soul is a special, appropriately disposed body, not just any body. Ficino asks what makes it special: if nothing beyond common bulk, the proposed difference disappears; if a quality or form, that additional life-giving principle is what deserves the name soul.</w:t>
      </w:r>
    </w:p>
    <w:p>
      <w:pPr>
        <w:widowControl/>
      </w:pPr>
      <w:r>
        <w:rPr>
          <w:b w:val="0"/>
          <w:i w:val="0"/>
        </w:rPr>
        <w:t>The reply is therefore a causal and definitional distinction, not simply an observation that wood does not grow. Matter joined to soul shares life and is called animate, but is neither soul nor part of soul. The beginning and cessation of characteristic operations upon soul’s arrival and departure reinforce the conclusion that body as such is not their source. This establishes noncorporeality within the staged programme; it does not yet identify every life-giving form with the fully independent rational soul.</w:t>
      </w:r>
    </w:p>
    <w:p>
      <w:pPr>
        <w:keepNext/>
        <w:widowControl/>
      </w:pPr>
      <w:r>
        <w:rPr>
          <w:b/>
          <w:i w:val="0"/>
        </w:rPr>
        <w:t>Places to Read.</w:t>
      </w:r>
    </w:p>
    <w:p>
      <w:pPr>
        <w:ind w:left="187" w:hanging="187"/>
      </w:pPr>
      <w:r>
        <w:t xml:space="preserve">• </w:t>
      </w:r>
      <w:r>
        <w:rPr>
          <w:b/>
          <w:i w:val="0"/>
        </w:rPr>
        <w:t>VI.4.1, VI.4.2; source PDF pp. 170, 171</w:t>
      </w:r>
      <w:r>
        <w:rPr>
          <w:b w:val="0"/>
          <w:i w:val="0"/>
        </w:rPr>
        <w:t>. Growth distinguishes the relevant living bodies from detached wood and stones.</w:t>
      </w:r>
    </w:p>
    <w:p>
      <w:pPr>
        <w:ind w:left="187" w:hanging="187"/>
      </w:pPr>
      <w:r>
        <w:t xml:space="preserve">• </w:t>
      </w:r>
      <w:r>
        <w:rPr>
          <w:b/>
          <w:i w:val="0"/>
        </w:rPr>
        <w:t>VI.4.3, VI.4.4; source PDF pp. 170, 171</w:t>
      </w:r>
      <w:r>
        <w:rPr>
          <w:b w:val="0"/>
          <w:i w:val="0"/>
        </w:rPr>
        <w:t xml:space="preserve">. The opponent’s </w:t>
      </w:r>
      <w:r>
        <w:t>“</w:t>
      </w:r>
      <w:r>
        <w:rPr>
          <w:b w:val="0"/>
          <w:i w:val="0"/>
        </w:rPr>
        <w:t>body of such a kind</w:t>
      </w:r>
      <w:r>
        <w:t>”</w:t>
      </w:r>
      <w:r>
        <w:rPr>
          <w:b w:val="0"/>
          <w:i w:val="0"/>
        </w:rPr>
        <w:t xml:space="preserve"> requires an explanatory added determination.</w:t>
      </w:r>
    </w:p>
    <w:p>
      <w:pPr>
        <w:ind w:left="187" w:hanging="187"/>
      </w:pPr>
      <w:r>
        <w:t xml:space="preserve">• </w:t>
      </w:r>
      <w:r>
        <w:rPr>
          <w:b/>
          <w:i w:val="0"/>
        </w:rPr>
        <w:t>VI.4.5, VI.4.6; source PDF pp. 172, 173</w:t>
      </w:r>
      <w:r>
        <w:rPr>
          <w:b w:val="0"/>
          <w:i w:val="0"/>
        </w:rPr>
        <w:t>. The life-giving form is soul; the participating matter is animate.</w:t>
      </w:r>
    </w:p>
    <w:p>
      <w:pPr>
        <w:keepNext/>
        <w:widowControl/>
      </w:pPr>
      <w:r>
        <w:rPr>
          <w:b/>
          <w:i w:val="0"/>
        </w:rPr>
        <w:t>In this edition.</w:t>
      </w:r>
    </w:p>
    <w:p>
      <w:pPr>
        <w:widowControl/>
      </w:pPr>
      <w:r>
        <w:rPr>
          <w:b w:val="0"/>
          <w:i w:val="0"/>
        </w:rPr>
        <w:t xml:space="preserve">At VI.4.6 the reading text keeps M1482’s animatum quiddam rather than the later witnesses’ animarum quiddam. This substantive distinction is essential to the inference. The supposed powers of attached stones elsewhere must not erase this chapter’s explicit </w:t>
      </w:r>
      <w:r>
        <w:t>“</w:t>
      </w:r>
      <w:r>
        <w:rPr>
          <w:b w:val="0"/>
          <w:i w:val="0"/>
        </w:rPr>
        <w:t>torn from the earth</w:t>
      </w:r>
      <w:r>
        <w:t>”</w:t>
      </w:r>
      <w:r>
        <w:rPr>
          <w:b w:val="0"/>
          <w:i w:val="0"/>
        </w:rPr>
        <w:t xml:space="preserve"> qualification.</w:t>
      </w:r>
    </w:p>
    <w:p>
      <w:pPr>
        <w:keepNext/>
        <w:widowControl/>
      </w:pPr>
      <w:r>
        <w:rPr>
          <w:b/>
          <w:i w:val="0"/>
        </w:rPr>
        <w:t>See also.</w:t>
      </w:r>
    </w:p>
    <w:p>
      <w:pPr>
        <w:widowControl/>
      </w:pPr>
      <w:hyperlink w:anchor="animation-first-light-and-regress">
        <w:r>
          <w:rPr>
            <w:color w:val="000000"/>
          </w:rPr>
          <w:t xml:space="preserve">Animation, first light and regress</w:t>
        </w:r>
      </w:hyperlink>
      <w:r>
        <w:rPr>
          <w:b w:val="0"/>
          <w:i w:val="0"/>
        </w:rPr>
        <w:t xml:space="preserve">; </w:t>
      </w:r>
      <w:hyperlink w:anchor="earth-wood-and-severed-stones">
        <w:r>
          <w:rPr>
            <w:color w:val="000000"/>
          </w:rPr>
          <w:t xml:space="preserve">Earth, wood and severed stones</w:t>
        </w:r>
      </w:hyperlink>
    </w:p>
    <w:p>
      <w:pPr>
        <w:pStyle w:val="Heading2"/>
      </w:pPr>
      <w:bookmarkStart w:id="178" w:name="number-and-spiritual-amplitude"/>
      <w:r>
        <w:rPr>
          <w:b w:val="0"/>
          <w:i w:val="0"/>
        </w:rPr>
        <w:t>Number and spiritual amplitude</w:t>
      </w:r>
      <w:bookmarkEnd w:id="178"/>
    </w:p>
    <w:p>
      <w:pPr>
        <w:keepNext/>
        <w:widowControl/>
      </w:pPr>
      <w:r>
        <w:rPr>
          <w:b/>
          <w:i w:val="0"/>
        </w:rPr>
        <w:t>Latin:</w:t>
      </w:r>
      <w:r>
        <w:rPr>
          <w:b w:val="0"/>
          <w:i w:val="0"/>
        </w:rPr>
        <w:t xml:space="preserve"> </w:t>
      </w:r>
      <w:r>
        <w:rPr>
          <w:b w:val="0"/>
          <w:i/>
        </w:rPr>
        <w:t>numerus</w:t>
      </w:r>
      <w:r>
        <w:rPr>
          <w:b w:val="0"/>
          <w:i w:val="0"/>
        </w:rPr>
        <w:t xml:space="preserve">; </w:t>
      </w:r>
      <w:r>
        <w:rPr>
          <w:b w:val="0"/>
          <w:i/>
        </w:rPr>
        <w:t>unitas</w:t>
      </w:r>
      <w:r>
        <w:rPr>
          <w:b w:val="0"/>
          <w:i w:val="0"/>
        </w:rPr>
        <w:t xml:space="preserve">; </w:t>
      </w:r>
      <w:r>
        <w:rPr>
          <w:b w:val="0"/>
          <w:i/>
        </w:rPr>
        <w:t>replicatio</w:t>
      </w:r>
      <w:r>
        <w:rPr>
          <w:b w:val="0"/>
          <w:i w:val="0"/>
        </w:rPr>
        <w:t xml:space="preserve">; </w:t>
      </w:r>
      <w:r>
        <w:rPr>
          <w:b w:val="0"/>
          <w:i/>
        </w:rPr>
        <w:t>magnitudo</w:t>
      </w:r>
      <w:r>
        <w:rPr>
          <w:b w:val="0"/>
          <w:i w:val="0"/>
        </w:rPr>
        <w:t xml:space="preserve">; </w:t>
      </w:r>
      <w:r>
        <w:rPr>
          <w:b w:val="0"/>
          <w:i/>
        </w:rPr>
        <w:t>amplitudo</w:t>
      </w:r>
      <w:r>
        <w:rPr>
          <w:b w:val="0"/>
          <w:i w:val="0"/>
        </w:rPr>
        <w:t xml:space="preserve">; </w:t>
      </w:r>
      <w:r>
        <w:rPr>
          <w:b w:val="0"/>
          <w:i/>
        </w:rPr>
        <w:t>angustia</w:t>
      </w:r>
    </w:p>
    <w:p>
      <w:pPr>
        <w:keepNext/>
        <w:widowControl/>
      </w:pPr>
      <w:r>
        <w:rPr>
          <w:b/>
          <w:i w:val="0"/>
        </w:rPr>
        <w:t>The word.</w:t>
      </w:r>
    </w:p>
    <w:p>
      <w:pPr>
        <w:widowControl/>
      </w:pPr>
      <w:r>
        <w:rPr>
          <w:b w:val="0"/>
          <w:i w:val="0"/>
        </w:rPr>
        <w:t>Numerus is number, and unitas the unity of which numbers are described as repetitions. Magnitudo is continuous magnitude. Amplitudo and angustia are breadth and narrowness, used paradoxically to contrast spirit and body rather than to give spirit physical dimensions.</w:t>
      </w:r>
    </w:p>
    <w:p>
      <w:pPr>
        <w:keepNext/>
        <w:widowControl/>
      </w:pPr>
      <w:r>
        <w:rPr>
          <w:b/>
          <w:i w:val="0"/>
        </w:rPr>
        <w:t>In the Platonic Theology.</w:t>
      </w:r>
    </w:p>
    <w:p>
      <w:pPr>
        <w:widowControl/>
      </w:pPr>
      <w:r>
        <w:rPr>
          <w:b w:val="0"/>
          <w:i w:val="0"/>
        </w:rPr>
        <w:t xml:space="preserve">After the shadow examples Ficino urges a return into oneself, calling spirit immeasurably broad and body infinitely narrow </w:t>
      </w:r>
      <w:r>
        <w:t>“</w:t>
      </w:r>
      <w:r>
        <w:rPr>
          <w:b w:val="0"/>
          <w:i w:val="0"/>
        </w:rPr>
        <w:t>if I may speak so.</w:t>
      </w:r>
      <w:r>
        <w:t>”</w:t>
      </w:r>
      <w:r>
        <w:rPr>
          <w:b w:val="0"/>
          <w:i w:val="0"/>
        </w:rPr>
        <w:t xml:space="preserve"> Numbers approach spiritual nature because they lack position and can number both incorporeal and corporeal objects according to form. They increase without end but do not decrease without end: the downward series reaches unity. Magnitude, in contrast, is given a maximum extension but no final minimum of division.</w:t>
      </w:r>
    </w:p>
    <w:p>
      <w:pPr>
        <w:widowControl/>
      </w:pPr>
      <w:r>
        <w:rPr>
          <w:b w:val="0"/>
          <w:i w:val="0"/>
        </w:rPr>
        <w:t>This is a contrast between indefinite numerical multiplication and the indefinitely divisible finite body, not a claim that all mathematical quantities have identical limits. The assumptions are the passage’s philosophical mathematics, and the rhetoric of infinity must follow the indicated direction. The subsequent geometric ascent likewise distinguishes quantity from power. An indivisible substantial unity can be great in virtus without being great in quantitas. Spiritual amplitude therefore concerns scope and effective independence, not an invisible larger body.</w:t>
      </w:r>
    </w:p>
    <w:p>
      <w:pPr>
        <w:keepNext/>
        <w:widowControl/>
      </w:pPr>
      <w:r>
        <w:rPr>
          <w:b/>
          <w:i w:val="0"/>
        </w:rPr>
        <w:t>Places to Read.</w:t>
      </w:r>
    </w:p>
    <w:p>
      <w:pPr>
        <w:ind w:left="187" w:hanging="187"/>
      </w:pPr>
      <w:r>
        <w:t xml:space="preserve">• </w:t>
      </w:r>
      <w:r>
        <w:rPr>
          <w:b/>
          <w:i w:val="0"/>
        </w:rPr>
        <w:t>VI.2.6; source PDF pp. 140, 141</w:t>
      </w:r>
      <w:r>
        <w:rPr>
          <w:b w:val="0"/>
          <w:i w:val="0"/>
        </w:rPr>
        <w:t>. Number and magnitude run in opposite directions with respect to unlimited increase and decrease.</w:t>
      </w:r>
    </w:p>
    <w:p>
      <w:pPr>
        <w:ind w:left="187" w:hanging="187"/>
      </w:pPr>
      <w:r>
        <w:t xml:space="preserve">• </w:t>
      </w:r>
      <w:r>
        <w:rPr>
          <w:b/>
          <w:i w:val="0"/>
        </w:rPr>
        <w:t>VI.2.19, VI.2.20; source PDF pp. 158, 159</w:t>
      </w:r>
      <w:r>
        <w:rPr>
          <w:b w:val="0"/>
          <w:i w:val="0"/>
        </w:rPr>
        <w:t>. The geometric ascent culminates in greatness of power without greatness of quantity.</w:t>
      </w:r>
    </w:p>
    <w:p>
      <w:pPr>
        <w:ind w:left="187" w:hanging="187"/>
      </w:pPr>
      <w:r>
        <w:t xml:space="preserve">• </w:t>
      </w:r>
      <w:r>
        <w:rPr>
          <w:b/>
          <w:i w:val="0"/>
        </w:rPr>
        <w:t>VI.12.2, VI.12.3; source PDF pp. 202, 203, 204, 205</w:t>
      </w:r>
      <w:r>
        <w:rPr>
          <w:b w:val="0"/>
          <w:i w:val="0"/>
        </w:rPr>
        <w:t>. Potential divisibility must later be distinguished from an actually infinite multitude.</w:t>
      </w:r>
    </w:p>
    <w:p>
      <w:pPr>
        <w:keepNext/>
        <w:widowControl/>
      </w:pPr>
      <w:r>
        <w:rPr>
          <w:b/>
          <w:i w:val="0"/>
        </w:rPr>
        <w:t>In this edition.</w:t>
      </w:r>
    </w:p>
    <w:p>
      <w:pPr>
        <w:widowControl/>
      </w:pPr>
      <w:r>
        <w:rPr>
          <w:b w:val="0"/>
          <w:i w:val="0"/>
        </w:rPr>
        <w:t xml:space="preserve">The apparatus explicitly declines to rationalize away the opposed directions of number and magnitude. </w:t>
      </w:r>
      <w:r>
        <w:t>“</w:t>
      </w:r>
      <w:r>
        <w:rPr>
          <w:b w:val="0"/>
          <w:i w:val="0"/>
        </w:rPr>
        <w:t>Infinite narrowness</w:t>
      </w:r>
      <w:r>
        <w:t>”</w:t>
      </w:r>
      <w:r>
        <w:rPr>
          <w:b w:val="0"/>
          <w:i w:val="0"/>
        </w:rPr>
        <w:t xml:space="preserve"> carries ut ita loquar, and </w:t>
      </w:r>
      <w:r>
        <w:t>“</w:t>
      </w:r>
      <w:r>
        <w:rPr>
          <w:b w:val="0"/>
          <w:i w:val="0"/>
        </w:rPr>
        <w:t>numbers approach spiritual nature</w:t>
      </w:r>
      <w:r>
        <w:t>”</w:t>
      </w:r>
      <w:r>
        <w:rPr>
          <w:b w:val="0"/>
          <w:i w:val="0"/>
        </w:rPr>
        <w:t xml:space="preserve"> should not be silently strengthened into an identity between numbers and souls.</w:t>
      </w:r>
    </w:p>
    <w:p>
      <w:pPr>
        <w:keepNext/>
        <w:widowControl/>
      </w:pPr>
      <w:r>
        <w:rPr>
          <w:b/>
          <w:i w:val="0"/>
        </w:rPr>
        <w:t>See also.</w:t>
      </w:r>
    </w:p>
    <w:p>
      <w:pPr>
        <w:widowControl/>
      </w:pPr>
      <w:hyperlink w:anchor="point-dimension-and-substantial-unity">
        <w:r>
          <w:rPr>
            <w:color w:val="000000"/>
          </w:rPr>
          <w:t xml:space="preserve">Point, dimension and substantial unity</w:t>
        </w:r>
      </w:hyperlink>
      <w:r>
        <w:rPr>
          <w:b w:val="0"/>
          <w:i w:val="0"/>
        </w:rPr>
        <w:t xml:space="preserve">; </w:t>
      </w:r>
      <w:hyperlink w:anchor="primary-self-motion-and-parts">
        <w:r>
          <w:rPr>
            <w:color w:val="000000"/>
          </w:rPr>
          <w:t xml:space="preserve">Primary self-motion and the regress of parts</w:t>
        </w:r>
      </w:hyperlink>
    </w:p>
    <w:p>
      <w:pPr>
        <w:pStyle w:val="Heading2"/>
      </w:pPr>
      <w:bookmarkStart w:id="179" w:name="vii-nutrition-principal-agent"/>
      <w:r>
        <w:rPr>
          <w:b w:val="0"/>
          <w:i w:val="0"/>
        </w:rPr>
        <w:t>Nutrition, growth and the principal agent</w:t>
      </w:r>
      <w:bookmarkEnd w:id="179"/>
    </w:p>
    <w:p>
      <w:pPr>
        <w:keepNext/>
        <w:widowControl/>
      </w:pPr>
      <w:r>
        <w:rPr>
          <w:b/>
          <w:i w:val="0"/>
        </w:rPr>
        <w:t>Latin:</w:t>
      </w:r>
      <w:r>
        <w:rPr>
          <w:b w:val="0"/>
          <w:i w:val="0"/>
        </w:rPr>
        <w:t xml:space="preserve"> </w:t>
      </w:r>
      <w:r>
        <w:rPr>
          <w:b w:val="0"/>
          <w:i/>
        </w:rPr>
        <w:t>nutritiva potentia</w:t>
      </w:r>
      <w:r>
        <w:rPr>
          <w:b w:val="0"/>
          <w:i w:val="0"/>
        </w:rPr>
        <w:t xml:space="preserve">; </w:t>
      </w:r>
      <w:r>
        <w:rPr>
          <w:b w:val="0"/>
          <w:i/>
        </w:rPr>
        <w:t>calor tamquam instrumentum</w:t>
      </w:r>
      <w:r>
        <w:rPr>
          <w:b w:val="0"/>
          <w:i w:val="0"/>
        </w:rPr>
        <w:t xml:space="preserve">; </w:t>
      </w:r>
      <w:r>
        <w:rPr>
          <w:b w:val="0"/>
          <w:i/>
        </w:rPr>
        <w:t>causa principalis</w:t>
      </w:r>
      <w:r>
        <w:rPr>
          <w:b w:val="0"/>
          <w:i w:val="0"/>
        </w:rPr>
        <w:t xml:space="preserve">; </w:t>
      </w:r>
      <w:r>
        <w:rPr>
          <w:b w:val="0"/>
          <w:i/>
        </w:rPr>
        <w:t>principale agens</w:t>
      </w:r>
      <w:r>
        <w:rPr>
          <w:b w:val="0"/>
          <w:i w:val="0"/>
        </w:rPr>
        <w:t xml:space="preserve">; </w:t>
      </w:r>
      <w:r>
        <w:rPr>
          <w:b w:val="0"/>
          <w:i/>
        </w:rPr>
        <w:t>principalis augmenti faber</w:t>
      </w:r>
      <w:r>
        <w:rPr>
          <w:b w:val="0"/>
          <w:i w:val="0"/>
        </w:rPr>
        <w:t xml:space="preserve">; </w:t>
      </w:r>
      <w:r>
        <w:rPr>
          <w:b w:val="0"/>
          <w:i/>
        </w:rPr>
        <w:t>terminus</w:t>
      </w:r>
      <w:r>
        <w:rPr>
          <w:b w:val="0"/>
          <w:i w:val="0"/>
        </w:rPr>
        <w:t xml:space="preserve">; </w:t>
      </w:r>
      <w:r>
        <w:rPr>
          <w:b w:val="0"/>
          <w:i/>
        </w:rPr>
        <w:t>figura</w:t>
      </w:r>
    </w:p>
    <w:p>
      <w:pPr>
        <w:keepNext/>
        <w:widowControl/>
      </w:pPr>
      <w:r>
        <w:rPr>
          <w:b/>
          <w:i w:val="0"/>
        </w:rPr>
        <w:t>The word.</w:t>
      </w:r>
    </w:p>
    <w:p>
      <w:pPr>
        <w:widowControl/>
      </w:pPr>
      <w:r>
        <w:rPr>
          <w:b w:val="0"/>
          <w:i w:val="0"/>
        </w:rPr>
        <w:t xml:space="preserve">A principal cause or agent determines the work as this organized work; an instrument supplies a subordinate power used in its production. </w:t>
      </w:r>
      <w:r>
        <w:t>“</w:t>
      </w:r>
      <w:r>
        <w:rPr>
          <w:b w:val="0"/>
          <w:i w:val="0"/>
        </w:rPr>
        <w:t>Principal</w:t>
      </w:r>
      <w:r>
        <w:t>”</w:t>
      </w:r>
      <w:r>
        <w:rPr>
          <w:b w:val="0"/>
          <w:i w:val="0"/>
        </w:rPr>
        <w:t xml:space="preserve"> is relational here: heat is considered and rejected as the principal cause of animal growth. The phrase is not the title </w:t>
      </w:r>
      <w:r>
        <w:t>“</w:t>
      </w:r>
      <w:r>
        <w:rPr>
          <w:b w:val="0"/>
          <w:i w:val="0"/>
        </w:rPr>
        <w:t>First Cause,</w:t>
      </w:r>
      <w:r>
        <w:t>”</w:t>
      </w:r>
      <w:r>
        <w:rPr>
          <w:b w:val="0"/>
          <w:i w:val="0"/>
        </w:rPr>
        <w:t xml:space="preserve"> and this passage does not identify the nutritive soul with God.</w:t>
      </w:r>
    </w:p>
    <w:p>
      <w:pPr>
        <w:keepNext/>
        <w:widowControl/>
      </w:pPr>
      <w:r>
        <w:rPr>
          <w:b/>
          <w:i w:val="0"/>
        </w:rPr>
        <w:t>In the Platonic Theology.</w:t>
      </w:r>
    </w:p>
    <w:p>
      <w:pPr>
        <w:widowControl/>
      </w:pPr>
      <w:r>
        <w:rPr>
          <w:b w:val="0"/>
          <w:i w:val="0"/>
        </w:rPr>
        <w:t>The opening premise fixes the causal resources under examination. A bodily constitution and the form dependent upon it can act only through the qualities composing that constitution. Simply renaming the resulting form therefore cannot explain an operation beyond those qualities’ powers. Ficino tests this limitation through nourishment: heat penetrates and dissolves food, but nutrition achieves a determinate organic result. Soul’s nutritive power uses heat as an instrument, cooking and digesting the food and bringing it to living flesh and the human figure. The distinction is between heat’s characteristic work and the ordering of that work into this living body. It does not deny that heat genuinely contributes.</w:t>
      </w:r>
    </w:p>
    <w:p>
      <w:pPr>
        <w:widowControl/>
      </w:pPr>
      <w:r>
        <w:rPr>
          <w:b w:val="0"/>
          <w:i w:val="0"/>
        </w:rPr>
        <w:t>Growth adds both a means and a measure. It proceeds through nourishment, yet reaches a particular magnitude and figure. Heat considered through its own quality does not prescribe that organism’s boundary: given further material, it spreads. The principal agent must account for why the process stops at a fitting size and acquires its proper shape. Mere possession of heat, or possession of more heat, is insufficient within this argument. Calling the directing cause a craftsman emphasizes its prescription and ordering; it does not require the nutritive soul to deliberate verbally like a human artisan.</w:t>
      </w:r>
    </w:p>
    <w:p>
      <w:pPr>
        <w:widowControl/>
      </w:pPr>
      <w:r>
        <w:rPr>
          <w:b w:val="0"/>
          <w:i w:val="0"/>
        </w:rPr>
        <w:t>Three exclusions then follow on different grounds. Soul is not one accidental form, because the organized effect exceeds the power of heat, which Ficino treats as the leading accidental quality. It is not a collection of accidental forms, because adding qualities lacking a determinate limit, degree, proportion and figure does not explain their ordering toward those determinations. Finally, it is not the substantial form of an element or elemental mixture of the restricted kind under discussion. Such a form has movement toward one terminus, whereas the animal’s growth extends in every direction. This third argument depends on directional range, rather than repeating the earlier accident/substance distinction.</w:t>
      </w:r>
    </w:p>
    <w:p>
      <w:pPr>
        <w:widowControl/>
      </w:pPr>
      <w:r>
        <w:rPr>
          <w:b w:val="0"/>
          <w:i w:val="0"/>
        </w:rPr>
        <w:t xml:space="preserve">The phrase about growth in every direction contrasts organic growth with one-directional elemental movement. It should not be converted into a geometrical law that every bodily part grows by identical measured increments or that every animal becomes a sphere. Nor do the exclusions amount to </w:t>
      </w:r>
      <w:r>
        <w:t>“</w:t>
      </w:r>
      <w:r>
        <w:rPr>
          <w:b w:val="0"/>
          <w:i w:val="0"/>
        </w:rPr>
        <w:t>soul is not form.</w:t>
      </w:r>
      <w:r>
        <w:t>”</w:t>
      </w:r>
      <w:r>
        <w:rPr>
          <w:b w:val="0"/>
          <w:i w:val="0"/>
        </w:rPr>
        <w:t xml:space="preserve"> The body-building soul is subsequently affirmed as substance, and one living being requires one form, mover and ruler. The distinction is between the kinds of forms proposed and the organized effects they can explain.</w:t>
      </w:r>
    </w:p>
    <w:p>
      <w:pPr>
        <w:widowControl/>
      </w:pPr>
      <w:r>
        <w:t>“</w:t>
      </w:r>
      <w:r>
        <w:rPr>
          <w:b w:val="0"/>
          <w:i w:val="0"/>
        </w:rPr>
        <w:t>Principal</w:t>
      </w:r>
      <w:r>
        <w:t>”</w:t>
      </w:r>
      <w:r>
        <w:rPr>
          <w:b w:val="0"/>
          <w:i w:val="0"/>
        </w:rPr>
        <w:t xml:space="preserve"> therefore names a relative role within a bounded operation. The same heat can be a genuine cause of dissolution and an instrument of nutrition. A created soul can be principal relative to that heat while depending on higher causes for its own being and powers. God’s universal causal priority answers a different explanatory question. Identifying the chief agent of growth does not turn it into the absolute First Cause of all being, and denying principal agency to heat does not remove its instrumental efficacy. These are the distinctions on which the historical physiological example depends.</w:t>
      </w:r>
    </w:p>
    <w:p>
      <w:pPr>
        <w:keepNext/>
        <w:widowControl/>
      </w:pPr>
      <w:r>
        <w:rPr>
          <w:b/>
          <w:i w:val="0"/>
        </w:rPr>
        <w:t>Places to Read.</w:t>
      </w:r>
    </w:p>
    <w:p>
      <w:pPr>
        <w:ind w:left="187" w:hanging="187"/>
      </w:pPr>
      <w:r>
        <w:t xml:space="preserve">• </w:t>
      </w:r>
      <w:r>
        <w:rPr>
          <w:b/>
          <w:i w:val="0"/>
        </w:rPr>
        <w:t>VII.8.1, PDF 264–265</w:t>
      </w:r>
      <w:r>
        <w:rPr>
          <w:b w:val="0"/>
          <w:i w:val="0"/>
        </w:rPr>
        <w:t>. Instrumental heat, principal agency, bounded growth and three exclusions occur in a single continuous argument.</w:t>
      </w:r>
    </w:p>
    <w:p>
      <w:pPr>
        <w:ind w:left="187" w:hanging="187"/>
      </w:pPr>
      <w:r>
        <w:t xml:space="preserve">• </w:t>
      </w:r>
      <w:r>
        <w:rPr>
          <w:b/>
          <w:i w:val="0"/>
        </w:rPr>
        <w:t>VII.9.2, PDF 268–269</w:t>
      </w:r>
      <w:r>
        <w:rPr>
          <w:b w:val="0"/>
          <w:i w:val="0"/>
        </w:rPr>
        <w:t>. The soul’s making, preserving and repairing of its own body supplies the positive causal role.</w:t>
      </w:r>
    </w:p>
    <w:p>
      <w:pPr>
        <w:ind w:left="187" w:hanging="187"/>
      </w:pPr>
      <w:r>
        <w:t xml:space="preserve">• </w:t>
      </w:r>
      <w:r>
        <w:rPr>
          <w:b/>
          <w:i w:val="0"/>
        </w:rPr>
        <w:t>VII.13.1, PDF 276–277</w:t>
      </w:r>
      <w:r>
        <w:rPr>
          <w:b w:val="0"/>
          <w:i w:val="0"/>
        </w:rPr>
        <w:t>. Nutritive power is again said to act above and beyond elemental order.</w:t>
      </w:r>
    </w:p>
    <w:p>
      <w:pPr>
        <w:keepNext/>
        <w:widowControl/>
      </w:pPr>
      <w:r>
        <w:rPr>
          <w:b/>
          <w:i w:val="0"/>
        </w:rPr>
        <w:t>In this edition.</w:t>
      </w:r>
    </w:p>
    <w:p>
      <w:pPr>
        <w:widowControl/>
      </w:pPr>
      <w:r>
        <w:rPr>
          <w:b w:val="0"/>
          <w:i w:val="0"/>
        </w:rPr>
        <w:t xml:space="preserve">The translation preserves both </w:t>
      </w:r>
      <w:r>
        <w:t>“</w:t>
      </w:r>
      <w:r>
        <w:rPr>
          <w:b w:val="0"/>
          <w:i w:val="0"/>
        </w:rPr>
        <w:t>principal cause</w:t>
      </w:r>
      <w:r>
        <w:t>”</w:t>
      </w:r>
      <w:r>
        <w:rPr>
          <w:b w:val="0"/>
          <w:i w:val="0"/>
        </w:rPr>
        <w:t xml:space="preserve"> and </w:t>
      </w:r>
      <w:r>
        <w:t>“</w:t>
      </w:r>
      <w:r>
        <w:rPr>
          <w:b w:val="0"/>
          <w:i w:val="0"/>
        </w:rPr>
        <w:t>principal craftsman.</w:t>
      </w:r>
      <w:r>
        <w:t>”</w:t>
      </w:r>
      <w:r>
        <w:rPr>
          <w:b w:val="0"/>
          <w:i w:val="0"/>
        </w:rPr>
        <w:t xml:space="preserve"> </w:t>
      </w:r>
      <w:r>
        <w:rPr>
          <w:b w:val="0"/>
          <w:i/>
        </w:rPr>
        <w:t>Principalem … fabrum</w:t>
      </w:r>
      <w:r>
        <w:rPr>
          <w:b w:val="0"/>
          <w:i w:val="0"/>
        </w:rPr>
        <w:t xml:space="preserve"> is an explanatory craft image; </w:t>
      </w:r>
      <w:r>
        <w:rPr>
          <w:b w:val="0"/>
          <w:i/>
        </w:rPr>
        <w:t>causa principali</w:t>
      </w:r>
      <w:r>
        <w:rPr>
          <w:b w:val="0"/>
          <w:i w:val="0"/>
        </w:rPr>
        <w:t xml:space="preserve"> is the same local ranking of causal contribution. Neither should be silently translated as </w:t>
      </w:r>
      <w:r>
        <w:t>“</w:t>
      </w:r>
      <w:r>
        <w:rPr>
          <w:b w:val="0"/>
          <w:i w:val="0"/>
        </w:rPr>
        <w:t>first cause.</w:t>
      </w:r>
      <w:r>
        <w:t>”</w:t>
      </w:r>
      <w:r>
        <w:rPr>
          <w:b w:val="0"/>
          <w:i w:val="0"/>
        </w:rPr>
        <w:t xml:space="preserve"> These conclusions concern Ficino’s natural philosophy, not established digestive physiology.</w:t>
      </w:r>
    </w:p>
    <w:p>
      <w:pPr>
        <w:keepNext/>
        <w:widowControl/>
      </w:pPr>
      <w:r>
        <w:rPr>
          <w:b/>
          <w:i w:val="0"/>
        </w:rPr>
        <w:t>See also.</w:t>
      </w:r>
    </w:p>
    <w:p>
      <w:pPr>
        <w:widowControl/>
      </w:pPr>
      <w:hyperlink w:anchor="vii-soul-body-craftsman">
        <w:r>
          <w:rPr>
            <w:color w:val="000000"/>
          </w:rPr>
          <w:t xml:space="preserve">Soul as the body’s craftsman</w:t>
        </w:r>
      </w:hyperlink>
      <w:r>
        <w:rPr>
          <w:b w:val="0"/>
          <w:i w:val="0"/>
        </w:rPr>
        <w:t xml:space="preserve">; </w:t>
      </w:r>
      <w:hyperlink w:anchor="vii-bodily-constitution">
        <w:r>
          <w:rPr>
            <w:color w:val="000000"/>
          </w:rPr>
          <w:t xml:space="preserve">Bodily constitution and temperament</w:t>
        </w:r>
      </w:hyperlink>
      <w:r>
        <w:rPr>
          <w:b w:val="0"/>
          <w:i w:val="0"/>
        </w:rPr>
        <w:t xml:space="preserve">; </w:t>
      </w:r>
      <w:hyperlink w:anchor="vii-freedom-matter">
        <w:r>
          <w:rPr>
            <w:color w:val="000000"/>
          </w:rPr>
          <w:t xml:space="preserve">Freedom from matter and causal priority</w:t>
        </w:r>
      </w:hyperlink>
    </w:p>
    <w:p>
      <w:pPr>
        <w:pStyle w:val="Heading2"/>
      </w:pPr>
      <w:bookmarkStart w:id="180" w:name="vii-one-comprehension"/>
      <w:r>
        <w:rPr>
          <w:b w:val="0"/>
          <w:i w:val="0"/>
        </w:rPr>
        <w:t>One comprehension and indivisible sensation</w:t>
      </w:r>
      <w:bookmarkEnd w:id="180"/>
    </w:p>
    <w:p>
      <w:pPr>
        <w:keepNext/>
        <w:widowControl/>
      </w:pPr>
      <w:r>
        <w:rPr>
          <w:b/>
          <w:i w:val="0"/>
        </w:rPr>
        <w:t>Latin:</w:t>
      </w:r>
      <w:r>
        <w:rPr>
          <w:b w:val="0"/>
          <w:i w:val="0"/>
        </w:rPr>
        <w:t xml:space="preserve"> </w:t>
      </w:r>
      <w:r>
        <w:rPr>
          <w:b w:val="0"/>
          <w:i/>
        </w:rPr>
        <w:t>comprehensio</w:t>
      </w:r>
      <w:r>
        <w:rPr>
          <w:b w:val="0"/>
          <w:i w:val="0"/>
        </w:rPr>
        <w:t xml:space="preserve">; </w:t>
      </w:r>
      <w:r>
        <w:rPr>
          <w:b w:val="0"/>
          <w:i/>
        </w:rPr>
        <w:t>comprehendens</w:t>
      </w:r>
      <w:r>
        <w:rPr>
          <w:b w:val="0"/>
          <w:i w:val="0"/>
        </w:rPr>
        <w:t xml:space="preserve">; </w:t>
      </w:r>
      <w:r>
        <w:rPr>
          <w:b w:val="0"/>
          <w:i/>
        </w:rPr>
        <w:t>individua vis</w:t>
      </w:r>
      <w:r>
        <w:rPr>
          <w:b w:val="0"/>
          <w:i w:val="0"/>
        </w:rPr>
        <w:t xml:space="preserve">; </w:t>
      </w:r>
      <w:r>
        <w:rPr>
          <w:b w:val="0"/>
          <w:i/>
        </w:rPr>
        <w:t>impartibilis</w:t>
      </w:r>
      <w:r>
        <w:rPr>
          <w:b w:val="0"/>
          <w:i w:val="0"/>
        </w:rPr>
        <w:t xml:space="preserve">; </w:t>
      </w:r>
      <w:r>
        <w:rPr>
          <w:b w:val="0"/>
          <w:i/>
        </w:rPr>
        <w:t>subito</w:t>
      </w:r>
      <w:r>
        <w:rPr>
          <w:b w:val="0"/>
          <w:i w:val="0"/>
        </w:rPr>
        <w:t xml:space="preserve">; </w:t>
      </w:r>
      <w:r>
        <w:rPr>
          <w:b w:val="0"/>
          <w:i/>
        </w:rPr>
        <w:t>paulatim</w:t>
      </w:r>
    </w:p>
    <w:p>
      <w:pPr>
        <w:keepNext/>
        <w:widowControl/>
      </w:pPr>
      <w:r>
        <w:rPr>
          <w:b/>
          <w:i w:val="0"/>
        </w:rPr>
        <w:t>The word.</w:t>
      </w:r>
    </w:p>
    <w:p>
      <w:pPr>
        <w:widowControl/>
      </w:pPr>
      <w:r>
        <w:rPr>
          <w:b w:val="0"/>
          <w:i/>
        </w:rPr>
        <w:t>Comprehensio</w:t>
      </w:r>
      <w:r>
        <w:rPr>
          <w:b w:val="0"/>
          <w:i w:val="0"/>
        </w:rPr>
        <w:t xml:space="preserve"> is an integrated grasp of an object; </w:t>
      </w:r>
      <w:r>
        <w:rPr>
          <w:b w:val="0"/>
          <w:i/>
        </w:rPr>
        <w:t>comprehendens</w:t>
      </w:r>
      <w:r>
        <w:rPr>
          <w:b w:val="0"/>
          <w:i w:val="0"/>
        </w:rPr>
        <w:t xml:space="preserve"> names what grasps it. </w:t>
      </w:r>
      <w:r>
        <w:rPr>
          <w:b w:val="0"/>
          <w:i/>
        </w:rPr>
        <w:t>Individuus</w:t>
      </w:r>
      <w:r>
        <w:rPr>
          <w:b w:val="0"/>
          <w:i w:val="0"/>
        </w:rPr>
        <w:t xml:space="preserve">, </w:t>
      </w:r>
      <w:r>
        <w:rPr>
          <w:b w:val="0"/>
          <w:i/>
        </w:rPr>
        <w:t>indivisibilis</w:t>
      </w:r>
      <w:r>
        <w:rPr>
          <w:b w:val="0"/>
          <w:i w:val="0"/>
        </w:rPr>
        <w:t xml:space="preserve"> and </w:t>
      </w:r>
      <w:r>
        <w:rPr>
          <w:b w:val="0"/>
          <w:i/>
        </w:rPr>
        <w:t>impartibilis</w:t>
      </w:r>
      <w:r>
        <w:rPr>
          <w:b w:val="0"/>
          <w:i w:val="0"/>
        </w:rPr>
        <w:t xml:space="preserve"> deny division into cognitive parts in this argument. </w:t>
      </w:r>
      <w:r>
        <w:rPr>
          <w:b w:val="0"/>
          <w:i/>
        </w:rPr>
        <w:t>Subito</w:t>
      </w:r>
      <w:r>
        <w:rPr>
          <w:b w:val="0"/>
          <w:i w:val="0"/>
        </w:rPr>
        <w:t xml:space="preserve"> contrasts immediate sensing with something completed </w:t>
      </w:r>
      <w:r>
        <w:rPr>
          <w:b w:val="0"/>
          <w:i/>
        </w:rPr>
        <w:t>paulatim</w:t>
      </w:r>
      <w:r>
        <w:rPr>
          <w:b w:val="0"/>
          <w:i w:val="0"/>
        </w:rPr>
        <w:t>, by degrees.</w:t>
      </w:r>
    </w:p>
    <w:p>
      <w:pPr>
        <w:keepNext/>
        <w:widowControl/>
      </w:pPr>
      <w:r>
        <w:rPr>
          <w:b/>
          <w:i w:val="0"/>
        </w:rPr>
        <w:t>In the Platonic Theology.</w:t>
      </w:r>
    </w:p>
    <w:p>
      <w:pPr>
        <w:widowControl/>
      </w:pPr>
      <w:r>
        <w:rPr>
          <w:b w:val="0"/>
          <w:i w:val="0"/>
        </w:rPr>
        <w:t>Chapter 4 asks whether inward sight can be spread through bodily bulk. If it is, each part receives only a corresponding part of the color, and nothing knows the whole. Invoking a common form of the composite restarts the question: if that form is divided, the problem remains; if undivided, the required indivisible knower has already been conceded. Large, small and intermediate sizes each fail to suit all objects; assigning finite natural minima does not recover one comprehension.</w:t>
      </w:r>
    </w:p>
    <w:p>
      <w:pPr>
        <w:widowControl/>
      </w:pPr>
      <w:r>
        <w:rPr>
          <w:b w:val="0"/>
          <w:i w:val="0"/>
        </w:rPr>
        <w:t>Ficino then presses mathematical division into indefinitely divisible magnitude. Each portion of sight acquires a corresponding portion of color, generating countless senses, colors and visions rather than a single perception. He examines two escapes. A sensing whole made of entirely non-sensing parts would need an explanation of how those parts produce sentience. Parts each sensing through one whole vision do not explain the unity either. The species is a means of seeing the color, and aggregation of distinct parts proceeds through accumulated moments, whereas sensing, he says, occurs at once.</w:t>
      </w:r>
    </w:p>
    <w:p>
      <w:pPr>
        <w:widowControl/>
      </w:pPr>
      <w:r>
        <w:rPr>
          <w:b w:val="0"/>
          <w:i w:val="0"/>
        </w:rPr>
        <w:t>The final alternative again exposes a concealed unifier: if a superior sentient power gathers the parts, that power is better called the soul and sense. The conclusion concerns both power and its source or subject. Its premise of instantaneous sensation is Ficino’s philosophical claim; it is not a report of experimentally measured neural processing.</w:t>
      </w:r>
    </w:p>
    <w:p>
      <w:pPr>
        <w:widowControl/>
      </w:pPr>
      <w:r>
        <w:rPr>
          <w:b w:val="0"/>
          <w:i w:val="0"/>
        </w:rPr>
        <w:t>The governing demand is repeated with unusual precision: one comprehension of one thing must come from one comprehender. The three occurrences of unity are not merely rhetorical. The object can have visible parts, but the question is how its parts are grasped as belonging to that single object. A collection of local apprehensions would leave the very relation required by the whole comprehension unexplained. Ficino’s appeal to a form common to the composite tests whether unity has been supplied in substance or only renamed.</w:t>
      </w:r>
    </w:p>
    <w:p>
      <w:pPr>
        <w:widowControl/>
      </w:pPr>
      <w:r>
        <w:rPr>
          <w:b w:val="0"/>
          <w:i w:val="0"/>
        </w:rPr>
        <w:t>The size argument is distinct from that first partition problem. Suppose the sensitive power has one fixed magnitude. A large power would contact a small object only through a matching portion, leaving its remainder outside the act; a small power would not contain the large object; an intermediate one would fail at either extreme. The relevant verbs of fitting and correspondence expose the cost of insisting on equal quantitative portions. The soul’s successful cognition of varied sizes is therefore evidence, in Ficino’s reasoning, against making its capacity an ordinary magnitude. This does not mean that the source’s visible object must physically enter the organ at full size; that is the very material picture under examination.</w:t>
      </w:r>
    </w:p>
    <w:p>
      <w:pPr>
        <w:widowControl/>
      </w:pPr>
      <w:r>
        <w:rPr>
          <w:b w:val="0"/>
          <w:i w:val="0"/>
        </w:rPr>
        <w:t xml:space="preserve">The question of how many parts there are then produces two further versions. Natural minima might supply a determinate finite division, but still no single whole grasp. Mathematical division removes even that stopping point. The accumulating </w:t>
      </w:r>
      <w:r>
        <w:t>“</w:t>
      </w:r>
      <w:r>
        <w:rPr>
          <w:b w:val="0"/>
          <w:i w:val="0"/>
        </w:rPr>
        <w:t>countless</w:t>
      </w:r>
      <w:r>
        <w:t>”</w:t>
      </w:r>
      <w:r>
        <w:rPr>
          <w:b w:val="0"/>
          <w:i w:val="0"/>
        </w:rPr>
        <w:t xml:space="preserve"> senses, colors and visions dramatizes the consequence of granting an independent act to each corresponding part. It should not be read as Ficino endorsing actual infinitely many perceivers within an eye. It is what follows if the proposed explanation keeps replicating the same part-to-part relation instead of supplying a knower of the whole.</w:t>
      </w:r>
    </w:p>
    <w:p>
      <w:pPr>
        <w:widowControl/>
      </w:pPr>
      <w:r>
        <w:rPr>
          <w:b w:val="0"/>
          <w:i w:val="0"/>
        </w:rPr>
        <w:t>The two proposed rescues address different problems. Giving sensation only to the whole makes all its constituent parts non-sensing and leaves the origin of sentience unexplained. Giving each part a complete share in the same total vision instead removes the need for the others: if one already suffices, plurality adds nothing. If each does not suffice, an additional source must make their union sentient. The higher sentient unifier thereby conceded has the explanatory role Ficino assigns to soul. The point is not merely that one component is numerically enough, but that the explanans must already possess the unity and sensing absent from the proposed aggregate.</w:t>
      </w:r>
    </w:p>
    <w:p>
      <w:pPr>
        <w:widowControl/>
      </w:pPr>
      <w:r>
        <w:rPr>
          <w:b w:val="0"/>
          <w:i w:val="0"/>
        </w:rPr>
        <w:t>The temporal comparison supplies yet another reason. Assembly from distinct parts involves accumulation of moments, whereas sensation is asserted to occur immediately. The conclusion therefore relies on a relation between quantitative division, temporal succession and conscious unity. A contemporary reader may dispute one of those premises without changing what the text argues. The lexicon preserves their separation so that accepting the phenomenological demand for one perception does not automatically entail accepting every physical and temporal claim used to defend it.</w:t>
      </w:r>
    </w:p>
    <w:p>
      <w:pPr>
        <w:keepNext/>
        <w:widowControl/>
      </w:pPr>
      <w:r>
        <w:rPr>
          <w:b/>
          <w:i w:val="0"/>
        </w:rPr>
        <w:t>Places to Read.</w:t>
      </w:r>
    </w:p>
    <w:p>
      <w:pPr>
        <w:ind w:left="187" w:hanging="187"/>
      </w:pPr>
      <w:r>
        <w:t xml:space="preserve">• </w:t>
      </w:r>
      <w:r>
        <w:rPr>
          <w:b/>
          <w:i w:val="0"/>
        </w:rPr>
        <w:t>VII.4.1, PDF 244–245</w:t>
      </w:r>
      <w:r>
        <w:rPr>
          <w:b w:val="0"/>
          <w:i w:val="0"/>
        </w:rPr>
        <w:t>. A single object requires one comprehending power; magnitude and finite partition fail to supply it.</w:t>
      </w:r>
    </w:p>
    <w:p>
      <w:pPr>
        <w:ind w:left="187" w:hanging="187"/>
      </w:pPr>
      <w:r>
        <w:t xml:space="preserve">• </w:t>
      </w:r>
      <w:r>
        <w:rPr>
          <w:b/>
          <w:i w:val="0"/>
        </w:rPr>
        <w:t>VII.4.2, PDF 246–247</w:t>
      </w:r>
      <w:r>
        <w:rPr>
          <w:b w:val="0"/>
          <w:i w:val="0"/>
        </w:rPr>
        <w:t>. Infinite partition, non-sentient parts, temporal aggregation and a superior unifier are tested.</w:t>
      </w:r>
    </w:p>
    <w:p>
      <w:pPr>
        <w:keepNext/>
        <w:widowControl/>
      </w:pPr>
      <w:r>
        <w:rPr>
          <w:b/>
          <w:i w:val="0"/>
        </w:rPr>
        <w:t>In this edition.</w:t>
      </w:r>
    </w:p>
    <w:p>
      <w:pPr>
        <w:widowControl/>
      </w:pPr>
      <w:r>
        <w:rPr>
          <w:b w:val="0"/>
          <w:i w:val="0"/>
        </w:rPr>
        <w:t xml:space="preserve">The two comparison units divide one source paragraph at the move to mathematical infinity. </w:t>
      </w:r>
      <w:r>
        <w:t>“</w:t>
      </w:r>
      <w:r>
        <w:rPr>
          <w:b w:val="0"/>
          <w:i w:val="0"/>
        </w:rPr>
        <w:t>Form</w:t>
      </w:r>
      <w:r>
        <w:t>”</w:t>
      </w:r>
      <w:r>
        <w:rPr>
          <w:b w:val="0"/>
          <w:i w:val="0"/>
        </w:rPr>
        <w:t xml:space="preserve"> for </w:t>
      </w:r>
      <w:r>
        <w:rPr>
          <w:b w:val="0"/>
          <w:i/>
        </w:rPr>
        <w:t>species</w:t>
      </w:r>
      <w:r>
        <w:rPr>
          <w:b w:val="0"/>
          <w:i w:val="0"/>
        </w:rPr>
        <w:t xml:space="preserve"> must be read with the explicit distinction between what is seen and that through which it is seen. </w:t>
      </w:r>
      <w:r>
        <w:rPr>
          <w:b w:val="0"/>
          <w:i/>
        </w:rPr>
        <w:t>Subiectum</w:t>
      </w:r>
      <w:r>
        <w:rPr>
          <w:b w:val="0"/>
          <w:i w:val="0"/>
        </w:rPr>
        <w:t xml:space="preserve"> at the end means the bearer of the power, not its perceived object.</w:t>
      </w:r>
    </w:p>
    <w:p>
      <w:pPr>
        <w:keepNext/>
        <w:widowControl/>
      </w:pPr>
      <w:r>
        <w:rPr>
          <w:b/>
          <w:i w:val="0"/>
        </w:rPr>
        <w:t>See also.</w:t>
      </w:r>
    </w:p>
    <w:p>
      <w:pPr>
        <w:widowControl/>
      </w:pPr>
      <w:hyperlink w:anchor="vii-point-line">
        <w:r>
          <w:rPr>
            <w:color w:val="000000"/>
          </w:rPr>
          <w:t xml:space="preserve">Point, line and the comparing power</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whole-soul-vital-intensity">
        <w:r>
          <w:rPr>
            <w:color w:val="000000"/>
          </w:rPr>
          <w:t xml:space="preserve">Whole presence and vital intensity</w:t>
        </w:r>
      </w:hyperlink>
    </w:p>
    <w:p>
      <w:pPr>
        <w:pStyle w:val="Heading2"/>
      </w:pPr>
      <w:bookmarkStart w:id="181" w:name="viii-outflow-return"/>
      <w:r>
        <w:rPr>
          <w:b w:val="0"/>
          <w:i w:val="0"/>
        </w:rPr>
        <w:t>Outward flow and rational life’s return</w:t>
      </w:r>
      <w:bookmarkEnd w:id="181"/>
    </w:p>
    <w:p>
      <w:pPr>
        <w:keepNext/>
        <w:widowControl/>
      </w:pPr>
      <w:r>
        <w:rPr>
          <w:b/>
          <w:i w:val="0"/>
        </w:rPr>
        <w:t>Latin:</w:t>
      </w:r>
      <w:r>
        <w:rPr>
          <w:b w:val="0"/>
          <w:i w:val="0"/>
        </w:rPr>
        <w:t xml:space="preserve"> </w:t>
      </w:r>
      <w:r>
        <w:rPr>
          <w:b w:val="0"/>
          <w:i/>
        </w:rPr>
        <w:t>effluere</w:t>
      </w:r>
      <w:r>
        <w:rPr>
          <w:b w:val="0"/>
          <w:i w:val="0"/>
        </w:rPr>
        <w:t xml:space="preserve">; </w:t>
      </w:r>
      <w:r>
        <w:rPr>
          <w:b w:val="0"/>
          <w:i/>
        </w:rPr>
        <w:t>diffluere</w:t>
      </w:r>
      <w:r>
        <w:rPr>
          <w:b w:val="0"/>
          <w:i w:val="0"/>
        </w:rPr>
        <w:t xml:space="preserve">; </w:t>
      </w:r>
      <w:r>
        <w:rPr>
          <w:b w:val="0"/>
          <w:i/>
        </w:rPr>
        <w:t>influere</w:t>
      </w:r>
      <w:r>
        <w:rPr>
          <w:b w:val="0"/>
          <w:i w:val="0"/>
        </w:rPr>
        <w:t xml:space="preserve">; </w:t>
      </w:r>
      <w:r>
        <w:rPr>
          <w:b w:val="0"/>
          <w:i/>
        </w:rPr>
        <w:t>defluere</w:t>
      </w:r>
      <w:r>
        <w:rPr>
          <w:b w:val="0"/>
          <w:i w:val="0"/>
        </w:rPr>
        <w:t xml:space="preserve">; </w:t>
      </w:r>
      <w:r>
        <w:rPr>
          <w:b w:val="0"/>
          <w:i/>
        </w:rPr>
        <w:t>relabi</w:t>
      </w:r>
      <w:r>
        <w:rPr>
          <w:b w:val="0"/>
          <w:i w:val="0"/>
        </w:rPr>
        <w:t xml:space="preserve">; </w:t>
      </w:r>
      <w:r>
        <w:rPr>
          <w:b w:val="0"/>
          <w:i/>
        </w:rPr>
        <w:t>redundare</w:t>
      </w:r>
      <w:r>
        <w:rPr>
          <w:b w:val="0"/>
          <w:i w:val="0"/>
        </w:rPr>
        <w:t xml:space="preserve">; </w:t>
      </w:r>
      <w:r>
        <w:rPr>
          <w:b w:val="0"/>
          <w:i/>
        </w:rPr>
        <w:t>sustentaculum</w:t>
      </w:r>
    </w:p>
    <w:p>
      <w:pPr>
        <w:keepNext/>
        <w:widowControl/>
      </w:pPr>
      <w:r>
        <w:rPr>
          <w:b/>
          <w:i w:val="0"/>
        </w:rPr>
        <w:t>The word.</w:t>
      </w:r>
    </w:p>
    <w:p>
      <w:pPr>
        <w:widowControl/>
      </w:pPr>
      <w:r>
        <w:rPr>
          <w:b w:val="0"/>
          <w:i w:val="0"/>
        </w:rPr>
        <w:t>Ficino varies verbs of flow to distinguish going out, dispersing, entering another, ebbing away, returning and overflowing back. Sustentaculum is a supporting prop. The watery language makes dependence and loss visible without identifying soul as a liquid.</w:t>
      </w:r>
    </w:p>
    <w:p>
      <w:pPr>
        <w:keepNext/>
        <w:widowControl/>
      </w:pPr>
      <w:r>
        <w:rPr>
          <w:b/>
          <w:i w:val="0"/>
        </w:rPr>
        <w:t>In the Platonic Theology.</w:t>
      </w:r>
    </w:p>
    <w:p>
      <w:pPr>
        <w:widowControl/>
      </w:pPr>
      <w:r>
        <w:rPr>
          <w:b w:val="0"/>
          <w:i w:val="0"/>
        </w:rPr>
        <w:t>A life whose entire operation passes into other things is said to fail in four ways. It wavers and needs external support; disperses and weakens; becomes mixed with foreign things; and finally, because of these deficiencies, falls away from its own nature. These are four linked vulnerabilities, not merely synonyms for mortality.</w:t>
      </w:r>
    </w:p>
    <w:p>
      <w:pPr>
        <w:widowControl/>
      </w:pPr>
      <w:r>
        <w:rPr>
          <w:b w:val="0"/>
          <w:i w:val="0"/>
        </w:rPr>
        <w:t>Rational life returns into itself. Ficino argues that it therefore supports itself, is not weakened or contaminated in the same way, and does not ebb out of its nature. Outwardly exhausted life tends toward death; life overflowing back into itself grows into fuller life. This extension of the reflexivity argument depends on the opposition between wholly outward operation and retained inward operation.</w:t>
      </w:r>
    </w:p>
    <w:p>
      <w:pPr>
        <w:widowControl/>
      </w:pPr>
      <w:r>
        <w:rPr>
          <w:b w:val="0"/>
          <w:i w:val="0"/>
        </w:rPr>
        <w:t>The last step uses the range of motion as an index of life. Rational life exercises bodily motions, possesses their exemplars and returns their activity to its principle through reflection. Ficino argues that such fullness excludes a privation of life. The account is a metaphysical contrast, not a blanket recommendation to avoid all outward activity: the same chapter allows will to move arms and produce a work, and the earlier virtues include civil prudence and justice.</w:t>
      </w:r>
    </w:p>
    <w:p>
      <w:pPr>
        <w:keepNext/>
        <w:widowControl/>
      </w:pPr>
      <w:r>
        <w:rPr>
          <w:b/>
          <w:i w:val="0"/>
        </w:rPr>
        <w:t>Places to Read.</w:t>
      </w:r>
    </w:p>
    <w:p>
      <w:pPr>
        <w:ind w:left="187" w:hanging="187"/>
      </w:pPr>
      <w:r>
        <w:t xml:space="preserve">• </w:t>
      </w:r>
      <w:r>
        <w:rPr>
          <w:b/>
          <w:i w:val="0"/>
        </w:rPr>
        <w:t>VIII.15.1, PDF pp. 364–365.</w:t>
      </w:r>
      <w:r>
        <w:rPr>
          <w:b w:val="0"/>
          <w:i w:val="0"/>
        </w:rPr>
        <w:t xml:space="preserve"> External work is possible through will and bodily instruments even though understanding terminates inwardly.</w:t>
      </w:r>
    </w:p>
    <w:p>
      <w:pPr>
        <w:ind w:left="187" w:hanging="187"/>
      </w:pPr>
      <w:r>
        <w:t xml:space="preserve">• </w:t>
      </w:r>
      <w:r>
        <w:rPr>
          <w:b/>
          <w:i w:val="0"/>
        </w:rPr>
        <w:t>VIII.15.3, PDF pp. 368–369.</w:t>
      </w:r>
      <w:r>
        <w:rPr>
          <w:b w:val="0"/>
          <w:i w:val="0"/>
        </w:rPr>
        <w:t xml:space="preserve"> Four failures of effluent life contrast with the self-sustaining return of rational life.</w:t>
      </w:r>
    </w:p>
    <w:p>
      <w:pPr>
        <w:keepNext/>
        <w:widowControl/>
      </w:pPr>
      <w:r>
        <w:rPr>
          <w:b/>
          <w:i w:val="0"/>
        </w:rPr>
        <w:t>In this edition.</w:t>
      </w:r>
    </w:p>
    <w:p>
      <w:pPr>
        <w:widowControl/>
      </w:pPr>
      <w:r>
        <w:rPr>
          <w:b w:val="0"/>
          <w:i w:val="0"/>
        </w:rPr>
        <w:t xml:space="preserve">The apparatus preserves the separately numbered four failures and the repeated implet/implere, </w:t>
      </w:r>
      <w:r>
        <w:t>“</w:t>
      </w:r>
      <w:r>
        <w:rPr>
          <w:b w:val="0"/>
          <w:i w:val="0"/>
        </w:rPr>
        <w:t>brings to fullness.</w:t>
      </w:r>
      <w:r>
        <w:t>”</w:t>
      </w:r>
      <w:r>
        <w:rPr>
          <w:b w:val="0"/>
          <w:i w:val="0"/>
        </w:rPr>
        <w:t xml:space="preserve"> Reducing every flow verb to </w:t>
      </w:r>
      <w:r>
        <w:t>“</w:t>
      </w:r>
      <w:r>
        <w:rPr>
          <w:b w:val="0"/>
          <w:i w:val="0"/>
        </w:rPr>
        <w:t>moves</w:t>
      </w:r>
      <w:r>
        <w:t>”</w:t>
      </w:r>
      <w:r>
        <w:rPr>
          <w:b w:val="0"/>
          <w:i w:val="0"/>
        </w:rPr>
        <w:t xml:space="preserve"> would conceal the staged account of dependence.</w:t>
      </w:r>
    </w:p>
    <w:p>
      <w:pPr>
        <w:keepNext/>
        <w:widowControl/>
      </w:pPr>
      <w:r>
        <w:rPr>
          <w:b/>
          <w:i w:val="0"/>
        </w:rPr>
        <w:t>See also.</w:t>
      </w:r>
    </w:p>
    <w:p>
      <w:pPr>
        <w:widowControl/>
      </w:pPr>
      <w:hyperlink w:anchor="viii-reflexive-will">
        <w:r>
          <w:rPr>
            <w:color w:val="000000"/>
          </w:rPr>
          <w:t xml:space="preserve">Reflexive understanding and willing</w:t>
        </w:r>
      </w:hyperlink>
      <w:r>
        <w:rPr>
          <w:b w:val="0"/>
          <w:i w:val="0"/>
        </w:rPr>
        <w:t xml:space="preserve">; </w:t>
      </w:r>
      <w:hyperlink w:anchor="viii-self-cause">
        <w:r>
          <w:rPr>
            <w:color w:val="000000"/>
          </w:rPr>
          <w:t xml:space="preserve">Self-causation: formal cause and efficient cause</w:t>
        </w:r>
      </w:hyperlink>
      <w:r>
        <w:rPr>
          <w:b w:val="0"/>
          <w:i w:val="0"/>
        </w:rPr>
        <w:t xml:space="preserve">; </w:t>
      </w:r>
      <w:hyperlink w:anchor="viii-intellectual-generation">
        <w:r>
          <w:rPr>
            <w:color w:val="000000"/>
          </w:rPr>
          <w:t xml:space="preserve">Intellectual generation and daily renewal</w:t>
        </w:r>
      </w:hyperlink>
    </w:p>
    <w:p>
      <w:pPr>
        <w:pStyle w:val="Heading2"/>
      </w:pPr>
      <w:bookmarkStart w:id="182" w:name="vii-pain-location"/>
      <w:r>
        <w:rPr>
          <w:b w:val="0"/>
          <w:i w:val="0"/>
        </w:rPr>
        <w:t>Pain, location and reporting</w:t>
      </w:r>
      <w:bookmarkEnd w:id="182"/>
    </w:p>
    <w:p>
      <w:pPr>
        <w:keepNext/>
        <w:widowControl/>
      </w:pPr>
      <w:r>
        <w:rPr>
          <w:b/>
          <w:i w:val="0"/>
        </w:rPr>
        <w:t>Latin:</w:t>
      </w:r>
      <w:r>
        <w:rPr>
          <w:b w:val="0"/>
          <w:i w:val="0"/>
        </w:rPr>
        <w:t xml:space="preserve"> </w:t>
      </w:r>
      <w:r>
        <w:rPr>
          <w:b w:val="0"/>
          <w:i/>
        </w:rPr>
        <w:t>passio</w:t>
      </w:r>
      <w:r>
        <w:rPr>
          <w:b w:val="0"/>
          <w:i w:val="0"/>
        </w:rPr>
        <w:t xml:space="preserve">; </w:t>
      </w:r>
      <w:r>
        <w:rPr>
          <w:b w:val="0"/>
          <w:i/>
        </w:rPr>
        <w:t>dolor</w:t>
      </w:r>
      <w:r>
        <w:rPr>
          <w:b w:val="0"/>
          <w:i w:val="0"/>
        </w:rPr>
        <w:t xml:space="preserve">; </w:t>
      </w:r>
      <w:r>
        <w:rPr>
          <w:b w:val="0"/>
          <w:i/>
        </w:rPr>
        <w:t>cruciatus</w:t>
      </w:r>
      <w:r>
        <w:rPr>
          <w:b w:val="0"/>
          <w:i w:val="0"/>
        </w:rPr>
        <w:t xml:space="preserve">; </w:t>
      </w:r>
      <w:r>
        <w:rPr>
          <w:b w:val="0"/>
          <w:i/>
        </w:rPr>
        <w:t>molestia</w:t>
      </w:r>
      <w:r>
        <w:rPr>
          <w:b w:val="0"/>
          <w:i w:val="0"/>
        </w:rPr>
        <w:t xml:space="preserve">; </w:t>
      </w:r>
      <w:r>
        <w:rPr>
          <w:b w:val="0"/>
          <w:i/>
        </w:rPr>
        <w:t>persensio</w:t>
      </w:r>
      <w:r>
        <w:rPr>
          <w:b w:val="0"/>
          <w:i w:val="0"/>
        </w:rPr>
        <w:t xml:space="preserve">; </w:t>
      </w:r>
      <w:r>
        <w:rPr>
          <w:b w:val="0"/>
          <w:i/>
        </w:rPr>
        <w:t>nuntiare</w:t>
      </w:r>
      <w:r>
        <w:rPr>
          <w:b w:val="0"/>
          <w:i w:val="0"/>
        </w:rPr>
        <w:t xml:space="preserve">; </w:t>
      </w:r>
      <w:r>
        <w:rPr>
          <w:b w:val="0"/>
          <w:i/>
        </w:rPr>
        <w:t>internuntius</w:t>
      </w:r>
      <w:r>
        <w:rPr>
          <w:b w:val="0"/>
          <w:i w:val="0"/>
        </w:rPr>
        <w:t xml:space="preserve">; </w:t>
      </w:r>
      <w:r>
        <w:rPr>
          <w:b w:val="0"/>
          <w:i/>
        </w:rPr>
        <w:t>medela</w:t>
      </w:r>
    </w:p>
    <w:p>
      <w:pPr>
        <w:keepNext/>
        <w:widowControl/>
      </w:pPr>
      <w:r>
        <w:rPr>
          <w:b/>
          <w:i w:val="0"/>
        </w:rPr>
        <w:t>The word.</w:t>
      </w:r>
    </w:p>
    <w:p>
      <w:pPr>
        <w:widowControl/>
      </w:pPr>
      <w:r>
        <w:rPr>
          <w:b w:val="0"/>
          <w:i/>
        </w:rPr>
        <w:t>Dolor</w:t>
      </w:r>
      <w:r>
        <w:rPr>
          <w:b w:val="0"/>
          <w:i w:val="0"/>
        </w:rPr>
        <w:t xml:space="preserve"> and </w:t>
      </w:r>
      <w:r>
        <w:rPr>
          <w:b w:val="0"/>
          <w:i/>
        </w:rPr>
        <w:t>cruciatus</w:t>
      </w:r>
      <w:r>
        <w:rPr>
          <w:b w:val="0"/>
          <w:i w:val="0"/>
        </w:rPr>
        <w:t xml:space="preserve"> concern pain or torment; </w:t>
      </w:r>
      <w:r>
        <w:rPr>
          <w:b w:val="0"/>
          <w:i/>
        </w:rPr>
        <w:t>molestia</w:t>
      </w:r>
      <w:r>
        <w:rPr>
          <w:b w:val="0"/>
          <w:i w:val="0"/>
        </w:rPr>
        <w:t xml:space="preserve"> can name the distress occasioned by it. </w:t>
      </w:r>
      <w:r>
        <w:rPr>
          <w:b w:val="0"/>
          <w:i/>
        </w:rPr>
        <w:t>Persensio</w:t>
      </w:r>
      <w:r>
        <w:rPr>
          <w:b w:val="0"/>
          <w:i w:val="0"/>
        </w:rPr>
        <w:t xml:space="preserve"> is awareness or a thorough sensing. Reporting and remedy are distinct: the soul must know both what is wrong and where assistance belongs.</w:t>
      </w:r>
    </w:p>
    <w:p>
      <w:pPr>
        <w:keepNext/>
        <w:widowControl/>
      </w:pPr>
      <w:r>
        <w:rPr>
          <w:b/>
          <w:i w:val="0"/>
        </w:rPr>
        <w:t>In the Platonic Theology.</w:t>
      </w:r>
    </w:p>
    <w:p>
      <w:pPr>
        <w:widowControl/>
      </w:pPr>
      <w:r>
        <w:rPr>
          <w:b w:val="0"/>
          <w:i w:val="0"/>
        </w:rPr>
        <w:t>The injured foot elicits an immediate coordinated response. Ficino denies that a non-sensing messenger can explain sensory reporting and also rejects mere bodily continuity as a complete account, since pain is not necessarily present everywhere along the body. He then grants, for testing, a soul distributed from foot through leg and knee to a chief judge in the brain.</w:t>
      </w:r>
    </w:p>
    <w:p>
      <w:pPr>
        <w:widowControl/>
      </w:pPr>
      <w:r>
        <w:rPr>
          <w:b w:val="0"/>
          <w:i w:val="0"/>
        </w:rPr>
        <w:t xml:space="preserve">On that model, a local soul-part knows only the affection present where it resides. The lower leg therefore feels its own distress, not the original foot’s torment; each further station repeats the limitation. The final judge would perceive only its own condition. The result would be a succession of innumerable pains rather than one immediate sensation, and no adequate recognition of the site requiring aid. The phrase </w:t>
      </w:r>
      <w:r>
        <w:rPr>
          <w:b w:val="0"/>
          <w:i/>
        </w:rPr>
        <w:t>quod nefas est</w:t>
      </w:r>
      <w:r>
        <w:rPr>
          <w:b w:val="0"/>
          <w:i w:val="0"/>
        </w:rPr>
        <w:t xml:space="preserve"> marks Ficino’s rejection of the principal sense arriving last; it is a polemical verdict within the reductio.</w:t>
      </w:r>
    </w:p>
    <w:p>
      <w:pPr>
        <w:widowControl/>
      </w:pPr>
      <w:r>
        <w:rPr>
          <w:b w:val="0"/>
          <w:i w:val="0"/>
        </w:rPr>
        <w:t>The positive alternative is the whole soul’s immediate co-awareness and command. It suffers with itself, accords with itself, and deploys bodily members toward the injured part. This use of concord does not identify soul with bodily harmony. Nor should the critique of a corporeal series be paraphrased as a modern denial that nerves transmit signals: Ficino is working with a different causal and psychological model, whose local-knowledge assumptions must remain visible.</w:t>
      </w:r>
    </w:p>
    <w:p>
      <w:pPr>
        <w:keepNext/>
        <w:widowControl/>
      </w:pPr>
      <w:r>
        <w:rPr>
          <w:b/>
          <w:i w:val="0"/>
        </w:rPr>
        <w:t>Places to Read.</w:t>
      </w:r>
    </w:p>
    <w:p>
      <w:pPr>
        <w:ind w:left="187" w:hanging="187"/>
      </w:pPr>
      <w:r>
        <w:t xml:space="preserve">• </w:t>
      </w:r>
      <w:r>
        <w:rPr>
          <w:b/>
          <w:i w:val="0"/>
        </w:rPr>
        <w:t>VII.5.1, PDF 248–249</w:t>
      </w:r>
      <w:r>
        <w:rPr>
          <w:b w:val="0"/>
          <w:i w:val="0"/>
        </w:rPr>
        <w:t>. The foot, eye, hand and mouth introduce localization and response.</w:t>
      </w:r>
    </w:p>
    <w:p>
      <w:pPr>
        <w:ind w:left="187" w:hanging="187"/>
      </w:pPr>
      <w:r>
        <w:t xml:space="preserve">• </w:t>
      </w:r>
      <w:r>
        <w:rPr>
          <w:b/>
          <w:i w:val="0"/>
        </w:rPr>
        <w:t>VII.5.2, PDF 250–251</w:t>
      </w:r>
      <w:r>
        <w:rPr>
          <w:b w:val="0"/>
          <w:i w:val="0"/>
        </w:rPr>
        <w:t>. Successive reporting to a cerebral judge is posed as an objection.</w:t>
      </w:r>
    </w:p>
    <w:p>
      <w:pPr>
        <w:ind w:left="187" w:hanging="187"/>
      </w:pPr>
      <w:r>
        <w:t xml:space="preserve">• </w:t>
      </w:r>
      <w:r>
        <w:rPr>
          <w:b/>
          <w:i w:val="0"/>
        </w:rPr>
        <w:t>VII.5.3, PDF 252–253</w:t>
      </w:r>
      <w:r>
        <w:rPr>
          <w:b w:val="0"/>
          <w:i w:val="0"/>
        </w:rPr>
        <w:t>. Distinct local affections fail to explain knowledge of the original injury and its remedy.</w:t>
      </w:r>
    </w:p>
    <w:p>
      <w:pPr>
        <w:keepNext/>
        <w:widowControl/>
      </w:pPr>
      <w:r>
        <w:rPr>
          <w:b/>
          <w:i w:val="0"/>
        </w:rPr>
        <w:t>In this edition.</w:t>
      </w:r>
    </w:p>
    <w:p>
      <w:pPr>
        <w:widowControl/>
      </w:pPr>
      <w:r>
        <w:rPr>
          <w:b w:val="0"/>
          <w:i w:val="0"/>
        </w:rPr>
        <w:t xml:space="preserve">The apparatus retains </w:t>
      </w:r>
      <w:r>
        <w:rPr>
          <w:b w:val="0"/>
          <w:i/>
        </w:rPr>
        <w:t>persensio</w:t>
      </w:r>
      <w:r>
        <w:rPr>
          <w:b w:val="0"/>
          <w:i w:val="0"/>
        </w:rPr>
        <w:t xml:space="preserve">, confirmed in the principal collation, against the later </w:t>
      </w:r>
      <w:r>
        <w:rPr>
          <w:b w:val="0"/>
          <w:i/>
        </w:rPr>
        <w:t>perpensio</w:t>
      </w:r>
      <w:r>
        <w:rPr>
          <w:b w:val="0"/>
          <w:i w:val="0"/>
        </w:rPr>
        <w:t xml:space="preserve">. </w:t>
      </w:r>
      <w:r>
        <w:t>“</w:t>
      </w:r>
      <w:r>
        <w:rPr>
          <w:b w:val="0"/>
          <w:i w:val="0"/>
        </w:rPr>
        <w:t>Awareness</w:t>
      </w:r>
      <w:r>
        <w:t>”</w:t>
      </w:r>
      <w:r>
        <w:rPr>
          <w:b w:val="0"/>
          <w:i w:val="0"/>
        </w:rPr>
        <w:t xml:space="preserve"> is therefore appropriate; </w:t>
      </w:r>
      <w:r>
        <w:t>“</w:t>
      </w:r>
      <w:r>
        <w:rPr>
          <w:b w:val="0"/>
          <w:i w:val="0"/>
        </w:rPr>
        <w:t>weighing</w:t>
      </w:r>
      <w:r>
        <w:t>”</w:t>
      </w:r>
      <w:r>
        <w:rPr>
          <w:b w:val="0"/>
          <w:i w:val="0"/>
        </w:rPr>
        <w:t xml:space="preserve"> would obscure the sensory argument. It also adopts the authorial correction </w:t>
      </w:r>
      <w:r>
        <w:rPr>
          <w:b w:val="0"/>
          <w:i/>
        </w:rPr>
        <w:t>ut quicquid sit</w:t>
      </w:r>
      <w:r>
        <w:rPr>
          <w:b w:val="0"/>
          <w:i w:val="0"/>
        </w:rPr>
        <w:t xml:space="preserve">, removing a redundant </w:t>
      </w:r>
      <w:r>
        <w:rPr>
          <w:b w:val="0"/>
          <w:i/>
        </w:rPr>
        <w:t>ubique</w:t>
      </w:r>
      <w:r>
        <w:rPr>
          <w:b w:val="0"/>
          <w:i w:val="0"/>
        </w:rPr>
        <w:t>.</w:t>
      </w:r>
    </w:p>
    <w:p>
      <w:pPr>
        <w:keepNext/>
        <w:widowControl/>
      </w:pPr>
      <w:r>
        <w:rPr>
          <w:b/>
          <w:i w:val="0"/>
        </w:rPr>
        <w:t>See also.</w:t>
      </w:r>
    </w:p>
    <w:p>
      <w:pPr>
        <w:widowControl/>
      </w:pPr>
      <w:hyperlink w:anchor="vii-whole-soul-vital-intensity">
        <w:r>
          <w:rPr>
            <w:color w:val="000000"/>
          </w:rPr>
          <w:t xml:space="preserve">Whole presence and vital intensity</w:t>
        </w:r>
      </w:hyperlink>
      <w:r>
        <w:rPr>
          <w:b w:val="0"/>
          <w:i w:val="0"/>
        </w:rPr>
        <w:t xml:space="preserve">; </w:t>
      </w:r>
      <w:hyperlink w:anchor="vii-injury-judge">
        <w:r>
          <w:rPr>
            <w:color w:val="000000"/>
          </w:rPr>
          <w:t xml:space="preserve">Injury and the uninjured judge</w:t>
        </w:r>
      </w:hyperlink>
      <w:r>
        <w:rPr>
          <w:b w:val="0"/>
          <w:i w:val="0"/>
        </w:rPr>
        <w:t xml:space="preserve">; </w:t>
      </w:r>
      <w:hyperlink w:anchor="vii-sensation-attention">
        <w:r>
          <w:rPr>
            <w:color w:val="000000"/>
          </w:rPr>
          <w:t xml:space="preserve">Sensation as attentive activity</w:t>
        </w:r>
      </w:hyperlink>
    </w:p>
    <w:p>
      <w:pPr>
        <w:pStyle w:val="Heading2"/>
      </w:pPr>
      <w:bookmarkStart w:id="183" w:name="participation-common-and-proper"/>
      <w:r>
        <w:rPr>
          <w:b w:val="0"/>
          <w:i w:val="0"/>
        </w:rPr>
        <w:t>Participation, common and proper</w:t>
      </w:r>
      <w:bookmarkEnd w:id="183"/>
    </w:p>
    <w:p>
      <w:pPr>
        <w:keepNext/>
        <w:widowControl/>
      </w:pPr>
      <w:r>
        <w:rPr>
          <w:b/>
          <w:i w:val="0"/>
        </w:rPr>
        <w:t>Latin:</w:t>
      </w:r>
      <w:r>
        <w:rPr>
          <w:b w:val="0"/>
          <w:i w:val="0"/>
        </w:rPr>
        <w:t xml:space="preserve"> </w:t>
      </w:r>
      <w:r>
        <w:rPr>
          <w:b w:val="0"/>
          <w:i/>
        </w:rPr>
        <w:t>particeps</w:t>
      </w:r>
      <w:r>
        <w:rPr>
          <w:b w:val="0"/>
          <w:i w:val="0"/>
        </w:rPr>
        <w:t xml:space="preserve">; </w:t>
      </w:r>
      <w:r>
        <w:rPr>
          <w:b w:val="0"/>
          <w:i/>
        </w:rPr>
        <w:t>participatio</w:t>
      </w:r>
      <w:r>
        <w:rPr>
          <w:b w:val="0"/>
          <w:i w:val="0"/>
        </w:rPr>
        <w:t xml:space="preserve">; </w:t>
      </w:r>
      <w:r>
        <w:rPr>
          <w:b w:val="0"/>
          <w:i/>
        </w:rPr>
        <w:t>commune</w:t>
      </w:r>
      <w:r>
        <w:rPr>
          <w:b w:val="0"/>
          <w:i w:val="0"/>
        </w:rPr>
        <w:t xml:space="preserve">; </w:t>
      </w:r>
      <w:r>
        <w:rPr>
          <w:b w:val="0"/>
          <w:i/>
        </w:rPr>
        <w:t>proprium</w:t>
      </w:r>
      <w:r>
        <w:rPr>
          <w:b w:val="0"/>
          <w:i w:val="0"/>
        </w:rPr>
        <w:t xml:space="preserve">; </w:t>
      </w:r>
      <w:r>
        <w:rPr>
          <w:b w:val="0"/>
          <w:i/>
        </w:rPr>
        <w:t>absolutum</w:t>
      </w:r>
      <w:r>
        <w:rPr>
          <w:b w:val="0"/>
          <w:i w:val="0"/>
        </w:rPr>
        <w:t xml:space="preserve">; </w:t>
      </w:r>
      <w:r>
        <w:rPr>
          <w:b w:val="0"/>
          <w:i/>
        </w:rPr>
        <w:t>modus essendi</w:t>
      </w:r>
      <w:r>
        <w:rPr>
          <w:b w:val="0"/>
          <w:i w:val="0"/>
        </w:rPr>
        <w:t xml:space="preserve">; </w:t>
      </w:r>
      <w:r>
        <w:rPr>
          <w:b w:val="0"/>
          <w:i/>
        </w:rPr>
        <w:t>effectus</w:t>
      </w:r>
      <w:r>
        <w:rPr>
          <w:b w:val="0"/>
          <w:i w:val="0"/>
        </w:rPr>
        <w:t xml:space="preserve">; </w:t>
      </w:r>
      <w:r>
        <w:rPr>
          <w:b w:val="0"/>
          <w:i/>
        </w:rPr>
        <w:t>causa</w:t>
      </w:r>
    </w:p>
    <w:p>
      <w:pPr>
        <w:keepNext/>
        <w:widowControl/>
      </w:pPr>
      <w:r>
        <w:rPr>
          <w:b/>
          <w:i w:val="0"/>
        </w:rPr>
        <w:t>The word.</w:t>
      </w:r>
    </w:p>
    <w:p>
      <w:pPr>
        <w:widowControl/>
      </w:pPr>
      <w:r>
        <w:rPr>
          <w:b w:val="0"/>
          <w:i w:val="0"/>
        </w:rPr>
        <w:t>Participatio is possession in a derived or restricted manner. Commune identifies what belongs across effects, while proprium identifies the determinate feature or effect under consideration. Absolutum can mean free from restriction or qualification; it is not always a proper name for God.</w:t>
      </w:r>
    </w:p>
    <w:p>
      <w:pPr>
        <w:keepNext/>
        <w:widowControl/>
      </w:pPr>
      <w:r>
        <w:rPr>
          <w:b/>
          <w:i w:val="0"/>
        </w:rPr>
        <w:t>In the Platonic Theology.</w:t>
      </w:r>
    </w:p>
    <w:p>
      <w:pPr>
        <w:widowControl/>
      </w:pPr>
      <w:r>
        <w:rPr>
          <w:b w:val="0"/>
          <w:i w:val="0"/>
        </w:rPr>
        <w:t>V.13 reasons from effects to their causes. Distinctive conditions demand particular causes; being shared by all demands a cause common to all. A human parent explains the individual’s being human, fire the person’s being hot, and God the fact that the person is. The parent’s role is not cancelled, since secondary causes give their modes through divine power.</w:t>
      </w:r>
    </w:p>
    <w:p>
      <w:pPr>
        <w:widowControl/>
      </w:pPr>
      <w:r>
        <w:rPr>
          <w:b w:val="0"/>
          <w:i w:val="0"/>
        </w:rPr>
        <w:t xml:space="preserve">Being without further determination is prior in explanation to being this or that, white or black, human or horse. The language of following </w:t>
      </w:r>
      <w:r>
        <w:t>“</w:t>
      </w:r>
      <w:r>
        <w:rPr>
          <w:b w:val="0"/>
          <w:i w:val="0"/>
        </w:rPr>
        <w:t>after nothing</w:t>
      </w:r>
      <w:r>
        <w:t>”</w:t>
      </w:r>
      <w:r>
        <w:rPr>
          <w:b w:val="0"/>
          <w:i w:val="0"/>
        </w:rPr>
        <w:t xml:space="preserve"> articulates creation’s terminus, not a sequence in which an actual thing first exists without any nature and only later acquires one.</w:t>
      </w:r>
    </w:p>
    <w:p>
      <w:pPr>
        <w:widowControl/>
      </w:pPr>
      <w:r>
        <w:rPr>
          <w:b w:val="0"/>
          <w:i w:val="0"/>
        </w:rPr>
        <w:t>The participation argument prevents reversing the dependence. What possesses a nature by participation cannot generate that nature absolutely, because it would generate its own prior cause and thereby itself. Ariston’s generation of Plato exemplifies a determinate individual producing another determinate individual, not production of humanity as such.</w:t>
      </w:r>
    </w:p>
    <w:p>
      <w:pPr>
        <w:widowControl/>
      </w:pPr>
      <w:r>
        <w:rPr>
          <w:b w:val="0"/>
          <w:i w:val="0"/>
        </w:rPr>
        <w:t xml:space="preserve">Elsewhere proprium is what belongs to a nature: fire’s proper heat, soul’s proper life, or a form’s proper act. The word is not interchangeable with an accidental private possession. Likewise V.8’s </w:t>
      </w:r>
      <w:r>
        <w:t>“</w:t>
      </w:r>
      <w:r>
        <w:rPr>
          <w:b w:val="0"/>
          <w:i w:val="0"/>
        </w:rPr>
        <w:t>common being of the whole</w:t>
      </w:r>
      <w:r>
        <w:t>”</w:t>
      </w:r>
      <w:r>
        <w:rPr>
          <w:b w:val="0"/>
          <w:i w:val="0"/>
        </w:rPr>
        <w:t xml:space="preserve"> concerns a composite’s unified act, a different scale from V.13’s being common to all effects.</w:t>
      </w:r>
    </w:p>
    <w:p>
      <w:pPr>
        <w:keepNext/>
        <w:widowControl/>
      </w:pPr>
      <w:r>
        <w:rPr>
          <w:b/>
          <w:i w:val="0"/>
        </w:rPr>
        <w:t>Places to Read.</w:t>
      </w:r>
    </w:p>
    <w:p>
      <w:pPr>
        <w:ind w:left="187" w:hanging="187"/>
      </w:pPr>
      <w:r>
        <w:t xml:space="preserve">• </w:t>
      </w:r>
      <w:r>
        <w:rPr>
          <w:b/>
          <w:i w:val="0"/>
        </w:rPr>
        <w:t>V.8.2, V.11.8, PDF 40–41, 66–67.</w:t>
      </w:r>
      <w:r>
        <w:rPr>
          <w:b w:val="0"/>
          <w:i w:val="0"/>
        </w:rPr>
        <w:t xml:space="preserve"> Other local uses of common and proper concern composite being and a soul’s specific act.</w:t>
      </w:r>
    </w:p>
    <w:p>
      <w:pPr>
        <w:ind w:left="187" w:hanging="187"/>
      </w:pPr>
      <w:r>
        <w:t xml:space="preserve">• </w:t>
      </w:r>
      <w:r>
        <w:rPr>
          <w:b/>
          <w:i w:val="0"/>
        </w:rPr>
        <w:t>V.13.1, V.13.2, PDF 78–79.</w:t>
      </w:r>
      <w:r>
        <w:rPr>
          <w:b w:val="0"/>
          <w:i w:val="0"/>
        </w:rPr>
        <w:t xml:space="preserve"> Proper effects and common being are assigned differently scoped causes.</w:t>
      </w:r>
    </w:p>
    <w:p>
      <w:pPr>
        <w:ind w:left="187" w:hanging="187"/>
      </w:pPr>
      <w:r>
        <w:t xml:space="preserve">• </w:t>
      </w:r>
      <w:r>
        <w:rPr>
          <w:b/>
          <w:i w:val="0"/>
        </w:rPr>
        <w:t>V.13.3, V.13.4, V.13.5, PDF 80–83.</w:t>
      </w:r>
      <w:r>
        <w:rPr>
          <w:b w:val="0"/>
          <w:i w:val="0"/>
        </w:rPr>
        <w:t xml:space="preserve"> Determinate being, participation and the Ariston example establish dependence.</w:t>
      </w:r>
    </w:p>
    <w:p>
      <w:pPr>
        <w:keepNext/>
        <w:widowControl/>
      </w:pPr>
      <w:r>
        <w:rPr>
          <w:b/>
          <w:i w:val="0"/>
        </w:rPr>
        <w:t>In this edition.</w:t>
      </w:r>
    </w:p>
    <w:p>
      <w:pPr>
        <w:widowControl/>
      </w:pPr>
      <w:r>
        <w:rPr>
          <w:b w:val="0"/>
          <w:i w:val="0"/>
        </w:rPr>
        <w:t>The repeated esse/hoc aut illud/tale distinction is essential, not stylistic redundancy. The phrase virtute Dei preserves the subordination of secondary causal action. Readers should not infer a claim that creatures are pieces of divine substance from the shared word esse.</w:t>
      </w:r>
    </w:p>
    <w:p>
      <w:pPr>
        <w:keepNext/>
        <w:widowControl/>
      </w:pPr>
      <w:r>
        <w:rPr>
          <w:b/>
          <w:i w:val="0"/>
        </w:rPr>
        <w:t>See also.</w:t>
      </w:r>
    </w:p>
    <w:p>
      <w:pPr>
        <w:widowControl/>
      </w:pPr>
      <w:hyperlink w:anchor="essence-and-being">
        <w:r>
          <w:rPr>
            <w:color w:val="000000"/>
          </w:rPr>
          <w:t xml:space="preserve">Essence and being</w:t>
        </w:r>
      </w:hyperlink>
      <w:r>
        <w:rPr>
          <w:b w:val="0"/>
          <w:i w:val="0"/>
        </w:rPr>
        <w:t xml:space="preserve">; </w:t>
      </w:r>
      <w:hyperlink w:anchor="ariston-sculptor-and-painter">
        <w:r>
          <w:rPr>
            <w:color w:val="000000"/>
          </w:rPr>
          <w:t xml:space="preserve">Ariston, sculptor and painter</w:t>
        </w:r>
      </w:hyperlink>
      <w:r>
        <w:rPr>
          <w:b w:val="0"/>
          <w:i w:val="0"/>
        </w:rPr>
        <w:t xml:space="preserve">;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w:t>
        </w:r>
      </w:hyperlink>
    </w:p>
    <w:p>
      <w:pPr>
        <w:pStyle w:val="Heading2"/>
      </w:pPr>
      <w:bookmarkStart w:id="184" w:name="passivity-and-bodily-affection"/>
      <w:r>
        <w:rPr>
          <w:b w:val="0"/>
          <w:i w:val="0"/>
        </w:rPr>
        <w:t>Passivity and bodily affection</w:t>
      </w:r>
      <w:bookmarkEnd w:id="184"/>
    </w:p>
    <w:p>
      <w:pPr>
        <w:keepNext/>
        <w:widowControl/>
      </w:pPr>
      <w:r>
        <w:rPr>
          <w:b/>
          <w:i w:val="0"/>
        </w:rPr>
        <w:t>Latin:</w:t>
      </w:r>
      <w:r>
        <w:rPr>
          <w:b w:val="0"/>
          <w:i w:val="0"/>
        </w:rPr>
        <w:t xml:space="preserve"> </w:t>
      </w:r>
      <w:r>
        <w:rPr>
          <w:b w:val="0"/>
          <w:i/>
        </w:rPr>
        <w:t>passio</w:t>
      </w:r>
      <w:r>
        <w:rPr>
          <w:b w:val="0"/>
          <w:i w:val="0"/>
        </w:rPr>
        <w:t xml:space="preserve">; </w:t>
      </w:r>
      <w:r>
        <w:rPr>
          <w:b w:val="0"/>
          <w:i/>
        </w:rPr>
        <w:t>passivus</w:t>
      </w:r>
      <w:r>
        <w:rPr>
          <w:b w:val="0"/>
          <w:i w:val="0"/>
        </w:rPr>
        <w:t xml:space="preserve">; </w:t>
      </w:r>
      <w:r>
        <w:rPr>
          <w:b w:val="0"/>
          <w:i/>
        </w:rPr>
        <w:t>activus</w:t>
      </w:r>
      <w:r>
        <w:rPr>
          <w:b w:val="0"/>
          <w:i w:val="0"/>
        </w:rPr>
        <w:t xml:space="preserve">; </w:t>
      </w:r>
      <w:r>
        <w:rPr>
          <w:b w:val="0"/>
          <w:i/>
        </w:rPr>
        <w:t>pati</w:t>
      </w:r>
      <w:r>
        <w:rPr>
          <w:b w:val="0"/>
          <w:i w:val="0"/>
        </w:rPr>
        <w:t xml:space="preserve">; </w:t>
      </w:r>
      <w:r>
        <w:rPr>
          <w:b w:val="0"/>
          <w:i/>
        </w:rPr>
        <w:t>percipere</w:t>
      </w:r>
      <w:r>
        <w:rPr>
          <w:b w:val="0"/>
          <w:i w:val="0"/>
        </w:rPr>
        <w:t xml:space="preserve">; </w:t>
      </w:r>
      <w:r>
        <w:rPr>
          <w:b w:val="0"/>
          <w:i/>
        </w:rPr>
        <w:t>suscipere</w:t>
      </w:r>
      <w:r>
        <w:rPr>
          <w:b w:val="0"/>
          <w:i w:val="0"/>
        </w:rPr>
        <w:t xml:space="preserve">; </w:t>
      </w:r>
      <w:r>
        <w:rPr>
          <w:b w:val="0"/>
          <w:i/>
        </w:rPr>
        <w:t>expers</w:t>
      </w:r>
    </w:p>
    <w:p>
      <w:pPr>
        <w:keepNext/>
        <w:widowControl/>
      </w:pPr>
      <w:r>
        <w:rPr>
          <w:b/>
          <w:i w:val="0"/>
        </w:rPr>
        <w:t>The word.</w:t>
      </w:r>
    </w:p>
    <w:p>
      <w:pPr>
        <w:widowControl/>
      </w:pPr>
      <w:r>
        <w:rPr>
          <w:b w:val="0"/>
          <w:i w:val="0"/>
        </w:rPr>
        <w:t>Passio is undergoing or being affected, broader than an emotion. Passivus and activus contrast recipients with agents. Suscipere can mean receiving a form, while percipere here can mean experiencing an affection. Expers means without a share in something.</w:t>
      </w:r>
    </w:p>
    <w:p>
      <w:pPr>
        <w:keepNext/>
        <w:widowControl/>
      </w:pPr>
      <w:r>
        <w:rPr>
          <w:b/>
          <w:i w:val="0"/>
        </w:rPr>
        <w:t>In the Platonic Theology.</w:t>
      </w:r>
    </w:p>
    <w:p>
      <w:pPr>
        <w:widowControl/>
      </w:pPr>
      <w:r>
        <w:rPr>
          <w:b w:val="0"/>
          <w:i w:val="0"/>
        </w:rPr>
        <w:t>V.3 places matter and quantity at the passive extreme and God and angel at the active extreme. Quality and soul occupy intermediate positions, but do not share equally in bodily passivity. Quality inheres in a passive body and undergoes change both in operation and essence. Soul may experience bodily affection in its operative capacity while its essence remains free of such passion. The contrast is a theory of ontological dependence, not a claim that sorrow, pain or sensory interruption never occurs.</w:t>
      </w:r>
    </w:p>
    <w:p>
      <w:pPr>
        <w:widowControl/>
      </w:pPr>
      <w:r>
        <w:rPr>
          <w:b w:val="0"/>
          <w:i w:val="0"/>
        </w:rPr>
        <w:t>V.5.9 explains why hostile elemental qualities can destroy a bodily composite but cannot enter the soul’s immaterial essence: matter is the first subject exposed to those passions, and quantity and quality share that exposure through matter. The storm of elements and the battling qualities personify that conflict. Separable essence lacks the material receptive capacity through which a contrary would injure it.</w:t>
      </w:r>
    </w:p>
    <w:p>
      <w:pPr>
        <w:widowControl/>
      </w:pPr>
      <w:r>
        <w:rPr>
          <w:b w:val="0"/>
          <w:i w:val="0"/>
        </w:rPr>
        <w:t xml:space="preserve">V.6 and V.8 do not therefore exclude every kind of reception. An indivisible image or spiritual form can perfect a recipient without material alteration. The soul’s receiving knowledge is not the same process as a hot body receiving cold. V.15’s sleep discussion likewise distinguishes interruption of bodily sensation from loss of the soul’s own power. Reading every occurrence of </w:t>
      </w:r>
      <w:r>
        <w:t>“</w:t>
      </w:r>
      <w:r>
        <w:rPr>
          <w:b w:val="0"/>
          <w:i w:val="0"/>
        </w:rPr>
        <w:t>affected</w:t>
      </w:r>
      <w:r>
        <w:t>”</w:t>
      </w:r>
      <w:r>
        <w:rPr>
          <w:b w:val="0"/>
          <w:i w:val="0"/>
        </w:rPr>
        <w:t xml:space="preserve"> as corruption would undo distinctions the proof expressly needs.</w:t>
      </w:r>
    </w:p>
    <w:p>
      <w:pPr>
        <w:keepNext/>
        <w:widowControl/>
      </w:pPr>
      <w:r>
        <w:rPr>
          <w:b/>
          <w:i w:val="0"/>
        </w:rPr>
        <w:t>Places to Read.</w:t>
      </w:r>
    </w:p>
    <w:p>
      <w:pPr>
        <w:ind w:left="187" w:hanging="187"/>
      </w:pPr>
      <w:r>
        <w:t xml:space="preserve">• </w:t>
      </w:r>
      <w:r>
        <w:rPr>
          <w:b/>
          <w:i w:val="0"/>
        </w:rPr>
        <w:t>V.3.1, PDF 14–15.</w:t>
      </w:r>
      <w:r>
        <w:rPr>
          <w:b w:val="0"/>
          <w:i w:val="0"/>
        </w:rPr>
        <w:t xml:space="preserve"> Active/passive ranking permits operative affection without essential corruption.</w:t>
      </w:r>
    </w:p>
    <w:p>
      <w:pPr>
        <w:ind w:left="187" w:hanging="187"/>
      </w:pPr>
      <w:r>
        <w:t xml:space="preserve">• </w:t>
      </w:r>
      <w:r>
        <w:rPr>
          <w:b/>
          <w:i w:val="0"/>
        </w:rPr>
        <w:t>V.5.9, V.6.1, PDF 30–33.</w:t>
      </w:r>
      <w:r>
        <w:rPr>
          <w:b w:val="0"/>
          <w:i w:val="0"/>
        </w:rPr>
        <w:t xml:space="preserve"> The material basis of destructive passion is contrasted with nondestructive reception.</w:t>
      </w:r>
    </w:p>
    <w:p>
      <w:pPr>
        <w:ind w:left="187" w:hanging="187"/>
      </w:pPr>
      <w:r>
        <w:t xml:space="preserve">• </w:t>
      </w:r>
      <w:r>
        <w:rPr>
          <w:b/>
          <w:i w:val="0"/>
        </w:rPr>
        <w:t>V.8.3, PDF 42–43.</w:t>
      </w:r>
      <w:r>
        <w:rPr>
          <w:b w:val="0"/>
          <w:i w:val="0"/>
        </w:rPr>
        <w:t xml:space="preserve"> The soul receives according to its own spiritual mode.</w:t>
      </w:r>
    </w:p>
    <w:p>
      <w:pPr>
        <w:ind w:left="187" w:hanging="187"/>
      </w:pPr>
      <w:r>
        <w:t xml:space="preserve">• </w:t>
      </w:r>
      <w:r>
        <w:rPr>
          <w:b/>
          <w:i w:val="0"/>
        </w:rPr>
        <w:t>V.15.23, V.15.24, PDF 120–121.</w:t>
      </w:r>
      <w:r>
        <w:rPr>
          <w:b w:val="0"/>
          <w:i w:val="0"/>
        </w:rPr>
        <w:t xml:space="preserve"> Sleep inhibits bodily sense without, on Ficino’s account, removing psychic power.</w:t>
      </w:r>
    </w:p>
    <w:p>
      <w:pPr>
        <w:keepNext/>
        <w:widowControl/>
      </w:pPr>
      <w:r>
        <w:rPr>
          <w:b/>
          <w:i w:val="0"/>
        </w:rPr>
        <w:t>In this edition.</w:t>
      </w:r>
    </w:p>
    <w:p>
      <w:pPr>
        <w:widowControl/>
      </w:pPr>
      <w:r>
        <w:rPr>
          <w:b w:val="0"/>
          <w:i w:val="0"/>
        </w:rPr>
        <w:t xml:space="preserve">The translation retains technical </w:t>
      </w:r>
      <w:r>
        <w:t>“</w:t>
      </w:r>
      <w:r>
        <w:rPr>
          <w:b w:val="0"/>
          <w:i w:val="0"/>
        </w:rPr>
        <w:t>passion</w:t>
      </w:r>
      <w:r>
        <w:t>”</w:t>
      </w:r>
      <w:r>
        <w:rPr>
          <w:b w:val="0"/>
          <w:i w:val="0"/>
        </w:rPr>
        <w:t xml:space="preserve"> alongside the more explanatory </w:t>
      </w:r>
      <w:r>
        <w:t>“</w:t>
      </w:r>
      <w:r>
        <w:rPr>
          <w:b w:val="0"/>
          <w:i w:val="0"/>
        </w:rPr>
        <w:t>passivity.</w:t>
      </w:r>
      <w:r>
        <w:t>”</w:t>
      </w:r>
      <w:r>
        <w:rPr>
          <w:b w:val="0"/>
          <w:i w:val="0"/>
        </w:rPr>
        <w:t xml:space="preserve"> At V.5.9 potentia separabilis is adverbial, </w:t>
      </w:r>
      <w:r>
        <w:t>“</w:t>
      </w:r>
      <w:r>
        <w:rPr>
          <w:b w:val="0"/>
          <w:i w:val="0"/>
        </w:rPr>
        <w:t>separable in potency</w:t>
      </w:r>
      <w:r>
        <w:t>”</w:t>
      </w:r>
      <w:r>
        <w:rPr>
          <w:b w:val="0"/>
          <w:i w:val="0"/>
        </w:rPr>
        <w:t>; it must not be confused with the distinct potency for receiving hostile qualities later in the unit (PDF 386).</w:t>
      </w:r>
    </w:p>
    <w:p>
      <w:pPr>
        <w:keepNext/>
        <w:widowControl/>
      </w:pPr>
      <w:r>
        <w:rPr>
          <w:b/>
          <w:i w:val="0"/>
        </w:rPr>
        <w:t>See also.</w:t>
      </w:r>
    </w:p>
    <w:p>
      <w:pPr>
        <w:widowControl/>
      </w:pPr>
      <w:hyperlink w:anchor="indivisibility-and-contact">
        <w:r>
          <w:rPr>
            <w:color w:val="000000"/>
          </w:rPr>
          <w:t xml:space="preserve">Indivisibility and contact</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sleep-and-dreams">
        <w:r>
          <w:rPr>
            <w:color w:val="000000"/>
          </w:rPr>
          <w:t xml:space="preserve">Sleep and dreams</w:t>
        </w:r>
      </w:hyperlink>
    </w:p>
    <w:p>
      <w:pPr>
        <w:pStyle w:val="Heading2"/>
      </w:pPr>
      <w:bookmarkStart w:id="185" w:name="persistence-memory-and-recognition"/>
      <w:r>
        <w:rPr>
          <w:b w:val="0"/>
          <w:i w:val="0"/>
        </w:rPr>
        <w:t>Persistence, memory and recognition</w:t>
      </w:r>
      <w:bookmarkEnd w:id="185"/>
    </w:p>
    <w:p>
      <w:pPr>
        <w:keepNext/>
        <w:widowControl/>
      </w:pPr>
      <w:r>
        <w:rPr>
          <w:b/>
          <w:i w:val="0"/>
        </w:rPr>
        <w:t>Latin:</w:t>
      </w:r>
      <w:r>
        <w:rPr>
          <w:b w:val="0"/>
          <w:i w:val="0"/>
        </w:rPr>
        <w:t xml:space="preserve"> </w:t>
      </w:r>
      <w:r>
        <w:rPr>
          <w:b w:val="0"/>
          <w:i/>
        </w:rPr>
        <w:t>idem</w:t>
      </w:r>
      <w:r>
        <w:rPr>
          <w:b w:val="0"/>
          <w:i w:val="0"/>
        </w:rPr>
        <w:t xml:space="preserve">; </w:t>
      </w:r>
      <w:r>
        <w:rPr>
          <w:b w:val="0"/>
          <w:i/>
        </w:rPr>
        <w:t>eadem</w:t>
      </w:r>
      <w:r>
        <w:rPr>
          <w:b w:val="0"/>
          <w:i w:val="0"/>
        </w:rPr>
        <w:t xml:space="preserve">; </w:t>
      </w:r>
      <w:r>
        <w:rPr>
          <w:b w:val="0"/>
          <w:i/>
        </w:rPr>
        <w:t>mos</w:t>
      </w:r>
      <w:r>
        <w:rPr>
          <w:b w:val="0"/>
          <w:i w:val="0"/>
        </w:rPr>
        <w:t xml:space="preserve">; </w:t>
      </w:r>
      <w:r>
        <w:rPr>
          <w:b w:val="0"/>
          <w:i/>
        </w:rPr>
        <w:t>opinio</w:t>
      </w:r>
      <w:r>
        <w:rPr>
          <w:b w:val="0"/>
          <w:i w:val="0"/>
        </w:rPr>
        <w:t xml:space="preserve">; </w:t>
      </w:r>
      <w:r>
        <w:rPr>
          <w:b w:val="0"/>
          <w:i/>
        </w:rPr>
        <w:t>scientia</w:t>
      </w:r>
      <w:r>
        <w:rPr>
          <w:b w:val="0"/>
          <w:i w:val="0"/>
        </w:rPr>
        <w:t xml:space="preserve">; </w:t>
      </w:r>
      <w:r>
        <w:rPr>
          <w:b w:val="0"/>
          <w:i/>
        </w:rPr>
        <w:t>memoria</w:t>
      </w:r>
      <w:r>
        <w:rPr>
          <w:b w:val="0"/>
          <w:i w:val="0"/>
        </w:rPr>
        <w:t xml:space="preserve">; </w:t>
      </w:r>
      <w:r>
        <w:rPr>
          <w:b w:val="0"/>
          <w:i/>
        </w:rPr>
        <w:t>agnoscere</w:t>
      </w:r>
      <w:r>
        <w:rPr>
          <w:b w:val="0"/>
          <w:i w:val="0"/>
        </w:rPr>
        <w:t xml:space="preserve">; </w:t>
      </w:r>
      <w:r>
        <w:rPr>
          <w:b w:val="0"/>
          <w:i/>
        </w:rPr>
        <w:t>servare</w:t>
      </w:r>
    </w:p>
    <w:p>
      <w:pPr>
        <w:keepNext/>
        <w:widowControl/>
      </w:pPr>
      <w:r>
        <w:rPr>
          <w:b/>
          <w:i w:val="0"/>
        </w:rPr>
        <w:t>The word.</w:t>
      </w:r>
    </w:p>
    <w:p>
      <w:pPr>
        <w:widowControl/>
      </w:pPr>
      <w:r>
        <w:rPr>
          <w:b w:val="0"/>
          <w:i w:val="0"/>
        </w:rPr>
        <w:t>Memory preserves what was received; agnoscere is recognizing it again. Mos is settled character or habitual manner, not merely a single custom. The repeated idem/eadem insist on sameness of will, character, opinion, knowledge and retained images, while the later reply distinguishes sameness from resemblance.</w:t>
      </w:r>
    </w:p>
    <w:p>
      <w:pPr>
        <w:keepNext/>
        <w:widowControl/>
      </w:pPr>
      <w:r>
        <w:rPr>
          <w:b/>
          <w:i w:val="0"/>
        </w:rPr>
        <w:t>In the Platonic Theology.</w:t>
      </w:r>
    </w:p>
    <w:p>
      <w:pPr>
        <w:widowControl/>
      </w:pPr>
      <w:r>
        <w:rPr>
          <w:b w:val="0"/>
          <w:i w:val="0"/>
        </w:rPr>
        <w:t xml:space="preserve">The question of memory emerges from the hypothesis that a bodily soul is nourished and continually replaced like flesh. VI.13.5 asks how a newly arrived soul would agree with its predecessor. The next unit gives that question concrete contents: the same will, character, opinion, knowledge and memory. Recognition after ten years requires images once received to remain available, and Ficino asks who preserves them if not the same animus that received and judged them. </w:t>
      </w:r>
      <w:r>
        <w:t>“</w:t>
      </w:r>
      <w:r>
        <w:rPr>
          <w:b w:val="0"/>
          <w:i w:val="0"/>
        </w:rPr>
        <w:t>How can it preserve them if it is not preserved?</w:t>
      </w:r>
      <w:r>
        <w:t>”</w:t>
      </w:r>
      <w:r>
        <w:rPr>
          <w:b w:val="0"/>
          <w:i w:val="0"/>
        </w:rPr>
        <w:t xml:space="preserve"> makes the identity of the retaining subject central, not only the similarity of successive representations.</w:t>
      </w:r>
    </w:p>
    <w:p>
      <w:pPr>
        <w:widowControl/>
      </w:pPr>
      <w:r>
        <w:rPr>
          <w:b w:val="0"/>
          <w:i w:val="0"/>
        </w:rPr>
        <w:t>This is not an assertion that every mental state remains unchanged. The text qualifies ordinary persistence with in plerisque, and elsewhere in Book VI the same soul receives contrary opinions and affections and reasons successively. What persists is the subject capable of changing and retaining, not an absolutely frozen list of thoughts. The appeal to recognition is sharper than merely noting similar behaviour: a current encounter is recognized as one formerly experienced and judged. A successor resembling the earlier subject would still need an account of that relation to the past.</w:t>
      </w:r>
    </w:p>
    <w:p>
      <w:pPr>
        <w:widowControl/>
      </w:pPr>
      <w:r>
        <w:rPr>
          <w:b w:val="0"/>
          <w:i w:val="0"/>
        </w:rPr>
        <w:t>An opponent might nevertheless give the supposed soul-body a long enough material life. VI.13.7 answers by holding the original corporealist theory to its own requirements. To penetrate the organs and explain agility, it proposed an exceptionally subtle body. On Ficino’s historical physics such matter would be especially unstable under the changing heavens, outlasted by bones and sinews and even by rapidly renewed flesh. It would vanish like breath and preserve knowledge for less than a day. The physical premises should remain attributed: this is an internal challenge to the hypothetical subtle substance, not an experimental finding in contemporary neuroscience.</w:t>
      </w:r>
    </w:p>
    <w:p>
      <w:pPr>
        <w:widowControl/>
      </w:pPr>
      <w:r>
        <w:rPr>
          <w:b w:val="0"/>
          <w:i w:val="0"/>
        </w:rPr>
        <w:t>The stronger objection in VI.13.9 appeals to the persistence of bodily form through material turnover. Why could an organized pattern of cognition not similarly survive replacement? Ficino distinguishes exact numerical identity from the successive making of figures resembling one another in some measure. Reproduced likeness then requires a stable source carrying the formative patterns and seeds. The face over a river makes that dependence visible: the waves and reflections are new, but the face producing them remains. Ficino identifies the stable bodily craftsman with soul. If soul also flows, the account loses both the continuing bearer and the continuing producer needed for the resemblance.</w:t>
      </w:r>
    </w:p>
    <w:p>
      <w:pPr>
        <w:widowControl/>
      </w:pPr>
      <w:r>
        <w:rPr>
          <w:b w:val="0"/>
          <w:i w:val="0"/>
        </w:rPr>
        <w:t>VI.13.11 tests three alternatives rather than simply repeating the need for stability. The same quality cannot migrate numerically from an old subject into a new one. A perishing soul cannot fashion a similar image in its successor because effective formation requires a complete agent. A newly coming-to-be soul likewise cannot form itself while incomplete. Thus transfer, copying and self-formation fail for different stated reasons. The memory argument’s conclusion depends on these metaphysical premises about subjects and adequate agents as well as on ordinary long-term recognition. Keeping them explicit reveals the full reasoning without promoting it into a theory of modern information storage or deriving any judgement about a person’s worth from the strength of their memory.</w:t>
      </w:r>
    </w:p>
    <w:p>
      <w:pPr>
        <w:keepNext/>
        <w:widowControl/>
      </w:pPr>
      <w:r>
        <w:rPr>
          <w:b/>
          <w:i w:val="0"/>
        </w:rPr>
        <w:t>Places to Read.</w:t>
      </w:r>
    </w:p>
    <w:p>
      <w:pPr>
        <w:ind w:left="187" w:hanging="187"/>
      </w:pPr>
      <w:r>
        <w:t xml:space="preserve">• </w:t>
      </w:r>
      <w:r>
        <w:rPr>
          <w:b/>
          <w:i w:val="0"/>
        </w:rPr>
        <w:t>VI.13.6; source PDF pp. 224, 225</w:t>
      </w:r>
      <w:r>
        <w:rPr>
          <w:b w:val="0"/>
          <w:i w:val="0"/>
        </w:rPr>
        <w:t>. Ten-year recognition and continuity of dispositions test a changing-substance model.</w:t>
      </w:r>
    </w:p>
    <w:p>
      <w:pPr>
        <w:ind w:left="187" w:hanging="187"/>
      </w:pPr>
      <w:r>
        <w:t xml:space="preserve">• </w:t>
      </w:r>
      <w:r>
        <w:rPr>
          <w:b/>
          <w:i w:val="0"/>
        </w:rPr>
        <w:t>VI.13.7; source PDF pp. 224, 225</w:t>
      </w:r>
      <w:r>
        <w:rPr>
          <w:b w:val="0"/>
          <w:i w:val="0"/>
        </w:rPr>
        <w:t>. The hypothetical subtle soul-body is judged exceptionally transient.</w:t>
      </w:r>
    </w:p>
    <w:p>
      <w:pPr>
        <w:ind w:left="187" w:hanging="187"/>
      </w:pPr>
      <w:r>
        <w:t xml:space="preserve">• </w:t>
      </w:r>
      <w:r>
        <w:rPr>
          <w:b/>
          <w:i w:val="0"/>
        </w:rPr>
        <w:t>VI.13.9, VI.13.11; source PDF pp. 226, 227, 228, 229</w:t>
      </w:r>
      <w:r>
        <w:rPr>
          <w:b w:val="0"/>
          <w:i w:val="0"/>
        </w:rPr>
        <w:t>. Objections from reproduced likeness and image transmission receive separate replies.</w:t>
      </w:r>
    </w:p>
    <w:p>
      <w:pPr>
        <w:keepNext/>
        <w:widowControl/>
      </w:pPr>
      <w:r>
        <w:rPr>
          <w:b/>
          <w:i w:val="0"/>
        </w:rPr>
        <w:t>In this edition.</w:t>
      </w:r>
    </w:p>
    <w:p>
      <w:pPr>
        <w:widowControl/>
      </w:pPr>
      <w:r>
        <w:rPr>
          <w:b w:val="0"/>
          <w:i w:val="0"/>
        </w:rPr>
        <w:t xml:space="preserve">The repeated sameness language is intentional and should not be varied away into </w:t>
      </w:r>
      <w:r>
        <w:t>“</w:t>
      </w:r>
      <w:r>
        <w:rPr>
          <w:b w:val="0"/>
          <w:i w:val="0"/>
        </w:rPr>
        <w:t>similar.</w:t>
      </w:r>
      <w:r>
        <w:t>”</w:t>
      </w:r>
      <w:r>
        <w:rPr>
          <w:b w:val="0"/>
          <w:i w:val="0"/>
        </w:rPr>
        <w:t xml:space="preserve"> The edition’s </w:t>
      </w:r>
      <w:r>
        <w:t>“</w:t>
      </w:r>
      <w:r>
        <w:rPr>
          <w:b w:val="0"/>
          <w:i w:val="0"/>
        </w:rPr>
        <w:t>in most people</w:t>
      </w:r>
      <w:r>
        <w:t>”</w:t>
      </w:r>
      <w:r>
        <w:rPr>
          <w:b w:val="0"/>
          <w:i w:val="0"/>
        </w:rPr>
        <w:t xml:space="preserve"> preserves in plerisque. No claim about the mental abilities of people with different memory capacities should be inferred from this metaphysical reductio.</w:t>
      </w:r>
    </w:p>
    <w:p>
      <w:pPr>
        <w:keepNext/>
        <w:widowControl/>
      </w:pPr>
      <w:r>
        <w:rPr>
          <w:b/>
          <w:i w:val="0"/>
        </w:rPr>
        <w:t>See also.</w:t>
      </w:r>
    </w:p>
    <w:p>
      <w:pPr>
        <w:widowControl/>
      </w:pPr>
      <w:hyperlink w:anchor="stable-craftsman-and-river-reflection">
        <w:r>
          <w:rPr>
            <w:color w:val="000000"/>
          </w:rPr>
          <w:t xml:space="preserve">Stable craftsman and the river reflection</w:t>
        </w:r>
      </w:hyperlink>
      <w:r>
        <w:rPr>
          <w:b w:val="0"/>
          <w:i w:val="0"/>
        </w:rPr>
        <w:t xml:space="preserve">; </w:t>
      </w:r>
      <w:hyperlink w:anchor="images-migration-and-perfect-agent">
        <w:r>
          <w:rPr>
            <w:color w:val="000000"/>
          </w:rPr>
          <w:t xml:space="preserve">Images, migration and the perfect agent</w:t>
        </w:r>
      </w:hyperlink>
    </w:p>
    <w:p>
      <w:pPr>
        <w:pStyle w:val="Heading2"/>
      </w:pPr>
      <w:bookmarkStart w:id="186" w:name="place-coincidence-and-painless-penetration"/>
      <w:r>
        <w:rPr>
          <w:b w:val="0"/>
          <w:i w:val="0"/>
        </w:rPr>
        <w:t>Place, coincidence and painless penetration</w:t>
      </w:r>
      <w:bookmarkEnd w:id="186"/>
    </w:p>
    <w:p>
      <w:pPr>
        <w:keepNext/>
        <w:widowControl/>
      </w:pPr>
      <w:r>
        <w:rPr>
          <w:b/>
          <w:i w:val="0"/>
        </w:rPr>
        <w:t>Latin:</w:t>
      </w:r>
      <w:r>
        <w:rPr>
          <w:b w:val="0"/>
          <w:i w:val="0"/>
        </w:rPr>
        <w:t xml:space="preserve"> </w:t>
      </w:r>
      <w:r>
        <w:rPr>
          <w:b w:val="0"/>
          <w:i/>
        </w:rPr>
        <w:t>locus</w:t>
      </w:r>
      <w:r>
        <w:rPr>
          <w:b w:val="0"/>
          <w:i w:val="0"/>
        </w:rPr>
        <w:t xml:space="preserve">; </w:t>
      </w:r>
      <w:r>
        <w:rPr>
          <w:b w:val="0"/>
          <w:i/>
        </w:rPr>
        <w:t>loculus</w:t>
      </w:r>
      <w:r>
        <w:rPr>
          <w:b w:val="0"/>
          <w:i w:val="0"/>
        </w:rPr>
        <w:t xml:space="preserve">; </w:t>
      </w:r>
      <w:r>
        <w:rPr>
          <w:b w:val="0"/>
          <w:i/>
        </w:rPr>
        <w:t>aequari</w:t>
      </w:r>
      <w:r>
        <w:rPr>
          <w:b w:val="0"/>
          <w:i w:val="0"/>
        </w:rPr>
        <w:t xml:space="preserve">; </w:t>
      </w:r>
      <w:r>
        <w:rPr>
          <w:b w:val="0"/>
          <w:i/>
        </w:rPr>
        <w:t>porrigere</w:t>
      </w:r>
      <w:r>
        <w:rPr>
          <w:b w:val="0"/>
          <w:i w:val="0"/>
        </w:rPr>
        <w:t xml:space="preserve">; </w:t>
      </w:r>
      <w:r>
        <w:rPr>
          <w:b w:val="0"/>
          <w:i/>
        </w:rPr>
        <w:t>infundere</w:t>
      </w:r>
      <w:r>
        <w:rPr>
          <w:b w:val="0"/>
          <w:i w:val="0"/>
        </w:rPr>
        <w:t xml:space="preserve">; </w:t>
      </w:r>
      <w:r>
        <w:rPr>
          <w:b w:val="0"/>
          <w:i/>
        </w:rPr>
        <w:t>offensio</w:t>
      </w:r>
      <w:r>
        <w:rPr>
          <w:b w:val="0"/>
          <w:i w:val="0"/>
        </w:rPr>
        <w:t xml:space="preserve">; </w:t>
      </w:r>
      <w:r>
        <w:rPr>
          <w:b w:val="0"/>
          <w:i/>
        </w:rPr>
        <w:t>frangere</w:t>
      </w:r>
    </w:p>
    <w:p>
      <w:pPr>
        <w:keepNext/>
        <w:widowControl/>
      </w:pPr>
      <w:r>
        <w:rPr>
          <w:b/>
          <w:i w:val="0"/>
        </w:rPr>
        <w:t>The word.</w:t>
      </w:r>
    </w:p>
    <w:p>
      <w:pPr>
        <w:widowControl/>
      </w:pPr>
      <w:r>
        <w:rPr>
          <w:b w:val="0"/>
          <w:i w:val="0"/>
        </w:rPr>
        <w:t>Coincidence here is exact occupation of one place by two bodies. Loculus is a little place, part of the conclusion that intermingled bodies still occupy distinct sites. Infundere and porrigere express soul’s inward presence, not automatically liquid pouring or spatial stretching of a substance.</w:t>
      </w:r>
    </w:p>
    <w:p>
      <w:pPr>
        <w:keepNext/>
        <w:widowControl/>
      </w:pPr>
      <w:r>
        <w:rPr>
          <w:b/>
          <w:i w:val="0"/>
        </w:rPr>
        <w:t>In the Platonic Theology.</w:t>
      </w:r>
    </w:p>
    <w:p>
      <w:pPr>
        <w:widowControl/>
      </w:pPr>
      <w:r>
        <w:rPr>
          <w:b w:val="0"/>
          <w:i w:val="0"/>
        </w:rPr>
        <w:t>VI.9 first argues that two bodies cannot entirely coincide. If their parts are indivisible, they cannot add up to bodily magnitude; if divisible, each remains a body with its own position. Intermingling yields many little bodies in many little places, not two entire bodies in one place. Soul, however, gives substantial being throughout the living body and thus must be inward to the whole and each part. Its presence cannot be a second occupying body.</w:t>
      </w:r>
    </w:p>
    <w:p>
      <w:pPr>
        <w:widowControl/>
      </w:pPr>
      <w:r>
        <w:rPr>
          <w:b w:val="0"/>
          <w:i w:val="0"/>
        </w:rPr>
        <w:t xml:space="preserve">The later painless-motion argument adds a concrete test. A solid soul-body either fails to fill the organism, leaving some parts unanimated, or breaks and is broken by the body it penetrates, causing continual pain. A fluid unstable soul-body cannot bind the organism firmly and needs another stabilizer. Actual soul’s own manner of movement causes no such continual disruption. </w:t>
      </w:r>
      <w:r>
        <w:t>“</w:t>
      </w:r>
      <w:r>
        <w:rPr>
          <w:b w:val="0"/>
          <w:i w:val="0"/>
        </w:rPr>
        <w:t>Motion through body</w:t>
      </w:r>
      <w:r>
        <w:t>”</w:t>
      </w:r>
      <w:r>
        <w:rPr>
          <w:b w:val="0"/>
          <w:i w:val="0"/>
        </w:rPr>
        <w:t xml:space="preserve"> must consequently be read alongside the later account of psychic motion, not as a tiny object physically travelling inside every member.</w:t>
      </w:r>
    </w:p>
    <w:p>
      <w:pPr>
        <w:keepNext/>
        <w:widowControl/>
      </w:pPr>
      <w:r>
        <w:rPr>
          <w:b/>
          <w:i w:val="0"/>
        </w:rPr>
        <w:t>Places to Read.</w:t>
      </w:r>
    </w:p>
    <w:p>
      <w:pPr>
        <w:ind w:left="187" w:hanging="187"/>
      </w:pPr>
      <w:r>
        <w:t xml:space="preserve">• </w:t>
      </w:r>
      <w:r>
        <w:rPr>
          <w:b/>
          <w:i w:val="0"/>
        </w:rPr>
        <w:t>VI.9.1, VI.9.2; source PDF pp. 190, 191</w:t>
      </w:r>
      <w:r>
        <w:rPr>
          <w:b w:val="0"/>
          <w:i w:val="0"/>
        </w:rPr>
        <w:t>. The impossibility of bodily coincidence is applied to essential whole presence.</w:t>
      </w:r>
    </w:p>
    <w:p>
      <w:pPr>
        <w:ind w:left="187" w:hanging="187"/>
      </w:pPr>
      <w:r>
        <w:t xml:space="preserve">• </w:t>
      </w:r>
      <w:r>
        <w:rPr>
          <w:b/>
          <w:i w:val="0"/>
        </w:rPr>
        <w:t>VI.9.4; source PDF pp. 194, 195</w:t>
      </w:r>
      <w:r>
        <w:rPr>
          <w:b w:val="0"/>
          <w:i w:val="0"/>
        </w:rPr>
        <w:t>. Solid and fluid soul-body hypotheses fail different causal tests.</w:t>
      </w:r>
    </w:p>
    <w:p>
      <w:pPr>
        <w:keepNext/>
        <w:widowControl/>
      </w:pPr>
      <w:r>
        <w:rPr>
          <w:b/>
          <w:i w:val="0"/>
        </w:rPr>
        <w:t>In this edition.</w:t>
      </w:r>
    </w:p>
    <w:p>
      <w:pPr>
        <w:widowControl/>
      </w:pPr>
      <w:r>
        <w:rPr>
          <w:b w:val="0"/>
          <w:i w:val="0"/>
        </w:rPr>
        <w:t xml:space="preserve">VI.9 is one source paragraph divided editorially into four comparison units. The apparatus preserves the chapter number IX from M1482 against later printings’ assimilation to </w:t>
      </w:r>
      <w:r>
        <w:t>“</w:t>
      </w:r>
      <w:r>
        <w:rPr>
          <w:b w:val="0"/>
          <w:i w:val="0"/>
        </w:rPr>
        <w:t>sixth argument.</w:t>
      </w:r>
      <w:r>
        <w:t>”</w:t>
      </w:r>
      <w:r>
        <w:rPr>
          <w:b w:val="0"/>
          <w:i w:val="0"/>
        </w:rPr>
        <w:t xml:space="preserve"> The lexical label offensio means injury or disturbance here; it is not modern offence at a statement.</w:t>
      </w:r>
    </w:p>
    <w:p>
      <w:pPr>
        <w:keepNext/>
        <w:widowControl/>
      </w:pPr>
      <w:r>
        <w:rPr>
          <w:b/>
          <w:i w:val="0"/>
        </w:rPr>
        <w:t>See also.</w:t>
      </w:r>
    </w:p>
    <w:p>
      <w:pPr>
        <w:widowControl/>
      </w:pPr>
      <w:hyperlink w:anchor="essential-presence-and-containment">
        <w:r>
          <w:rPr>
            <w:color w:val="000000"/>
          </w:rPr>
          <w:t xml:space="preserve">Essential presence and containment</w:t>
        </w:r>
      </w:hyperlink>
      <w:r>
        <w:rPr>
          <w:b w:val="0"/>
          <w:i w:val="0"/>
        </w:rPr>
        <w:t xml:space="preserve">; </w:t>
      </w:r>
      <w:hyperlink w:anchor="members-house-and-sinew">
        <w:r>
          <w:rPr>
            <w:color w:val="000000"/>
          </w:rPr>
          <w:t xml:space="preserve">Members, house and sinew</w:t>
        </w:r>
      </w:hyperlink>
    </w:p>
    <w:p>
      <w:pPr>
        <w:pStyle w:val="Heading2"/>
      </w:pPr>
      <w:bookmarkStart w:id="187" w:name="platonist-disagreement-and-descent"/>
      <w:r>
        <w:rPr>
          <w:b w:val="0"/>
          <w:i w:val="0"/>
        </w:rPr>
        <w:t>Platonist disagreement and descent</w:t>
      </w:r>
      <w:bookmarkEnd w:id="187"/>
    </w:p>
    <w:p>
      <w:pPr>
        <w:keepNext/>
        <w:widowControl/>
      </w:pPr>
      <w:r>
        <w:rPr>
          <w:b/>
          <w:i w:val="0"/>
        </w:rPr>
        <w:t>Latin:</w:t>
      </w:r>
      <w:r>
        <w:rPr>
          <w:b w:val="0"/>
          <w:i w:val="0"/>
        </w:rPr>
        <w:t xml:space="preserve"> </w:t>
      </w:r>
      <w:r>
        <w:rPr>
          <w:b w:val="0"/>
          <w:i/>
        </w:rPr>
        <w:t>Platonici</w:t>
      </w:r>
      <w:r>
        <w:rPr>
          <w:b w:val="0"/>
          <w:i w:val="0"/>
        </w:rPr>
        <w:t xml:space="preserve">; </w:t>
      </w:r>
      <w:r>
        <w:rPr>
          <w:b w:val="0"/>
          <w:i/>
        </w:rPr>
        <w:t>Plotinus</w:t>
      </w:r>
      <w:r>
        <w:rPr>
          <w:b w:val="0"/>
          <w:i w:val="0"/>
        </w:rPr>
        <w:t xml:space="preserve">; </w:t>
      </w:r>
      <w:r>
        <w:rPr>
          <w:b w:val="0"/>
          <w:i/>
        </w:rPr>
        <w:t>Proculus</w:t>
      </w:r>
      <w:r>
        <w:rPr>
          <w:b w:val="0"/>
          <w:i w:val="0"/>
        </w:rPr>
        <w:t xml:space="preserve">; </w:t>
      </w:r>
      <w:r>
        <w:rPr>
          <w:b w:val="0"/>
          <w:i/>
        </w:rPr>
        <w:t>Dionysius</w:t>
      </w:r>
      <w:r>
        <w:rPr>
          <w:b w:val="0"/>
          <w:i w:val="0"/>
        </w:rPr>
        <w:t xml:space="preserve">; </w:t>
      </w:r>
      <w:r>
        <w:rPr>
          <w:b w:val="0"/>
          <w:i/>
        </w:rPr>
        <w:t>Origenes</w:t>
      </w:r>
      <w:r>
        <w:rPr>
          <w:b w:val="0"/>
          <w:i w:val="0"/>
        </w:rPr>
        <w:t xml:space="preserve">; </w:t>
      </w:r>
      <w:r>
        <w:rPr>
          <w:b w:val="0"/>
          <w:i/>
        </w:rPr>
        <w:t>Augustinus</w:t>
      </w:r>
      <w:r>
        <w:rPr>
          <w:b w:val="0"/>
          <w:i w:val="0"/>
        </w:rPr>
        <w:t xml:space="preserve">; </w:t>
      </w:r>
      <w:r>
        <w:rPr>
          <w:b w:val="0"/>
          <w:i/>
        </w:rPr>
        <w:t>delabi</w:t>
      </w:r>
      <w:r>
        <w:rPr>
          <w:b w:val="0"/>
          <w:i w:val="0"/>
        </w:rPr>
        <w:t xml:space="preserve">; </w:t>
      </w:r>
      <w:r>
        <w:rPr>
          <w:b w:val="0"/>
          <w:i/>
        </w:rPr>
        <w:t>prolabi</w:t>
      </w:r>
      <w:r>
        <w:rPr>
          <w:b w:val="0"/>
          <w:i w:val="0"/>
        </w:rPr>
        <w:t xml:space="preserve">; </w:t>
      </w:r>
      <w:r>
        <w:rPr>
          <w:b w:val="0"/>
          <w:i/>
        </w:rPr>
        <w:t>converti</w:t>
      </w:r>
    </w:p>
    <w:p>
      <w:pPr>
        <w:keepNext/>
        <w:widowControl/>
      </w:pPr>
      <w:r>
        <w:rPr>
          <w:b/>
          <w:i w:val="0"/>
        </w:rPr>
        <w:t>The word.</w:t>
      </w:r>
    </w:p>
    <w:p>
      <w:pPr>
        <w:widowControl/>
      </w:pPr>
      <w:r>
        <w:rPr>
          <w:b w:val="0"/>
          <w:i w:val="0"/>
        </w:rPr>
        <w:t>Platonici names a range of thinkers rather than a single unanimous school. Delabi and prolabi picture descent or falling; converti a turning back or transformation. Named attributions and distancing formulas determine whether Ficino is adopting or reporting a claim.</w:t>
      </w:r>
    </w:p>
    <w:p>
      <w:pPr>
        <w:keepNext/>
        <w:widowControl/>
      </w:pPr>
      <w:r>
        <w:rPr>
          <w:b/>
          <w:i w:val="0"/>
        </w:rPr>
        <w:t>In the Platonic Theology.</w:t>
      </w:r>
    </w:p>
    <w:p>
      <w:pPr>
        <w:widowControl/>
      </w:pPr>
      <w:r>
        <w:rPr>
          <w:b w:val="0"/>
          <w:i w:val="0"/>
        </w:rPr>
        <w:t>V.13.1 openly chooses sides. Ficino prefers Dionysius the Areopagite, Origen and Augustine, whom he calls outstanding Platonists, in attributing the soul’s making to God alone, over the angelic production attributed to Plotinus, Proclus and some others. This is his construction of a philosophical lineage, not a modern survey verifying every ancient text.</w:t>
      </w:r>
    </w:p>
    <w:p>
      <w:pPr>
        <w:widowControl/>
      </w:pPr>
      <w:r>
        <w:rPr>
          <w:b w:val="0"/>
          <w:i w:val="0"/>
        </w:rPr>
        <w:t xml:space="preserve">V.13.18 reports a related account of derivative animation: immediate production through the Idea of life gives rational soul stable life, while life mediated through soul is by its own nature mutable. The reported ethereal vehicle may nevertheless be continuously animated, unlike the perishable elemental body. The qualification </w:t>
      </w:r>
      <w:r>
        <w:t>“</w:t>
      </w:r>
      <w:r>
        <w:rPr>
          <w:b w:val="0"/>
          <w:i w:val="0"/>
        </w:rPr>
        <w:t>in itself</w:t>
      </w:r>
      <w:r>
        <w:t>”</w:t>
      </w:r>
      <w:r>
        <w:rPr>
          <w:b w:val="0"/>
          <w:i w:val="0"/>
        </w:rPr>
        <w:t xml:space="preserve"> concerns the dependent life’s natural mode rather than the permanence of rational soul’s essence.</w:t>
      </w:r>
    </w:p>
    <w:p>
      <w:pPr>
        <w:widowControl/>
      </w:pPr>
      <w:r>
        <w:rPr>
          <w:b w:val="0"/>
          <w:i w:val="0"/>
        </w:rPr>
        <w:t>V.14.8 lists proponents and opponents of irrational immortality. V.14.9 then explains the stronger claim by reference to Egyptian and Pythagorean descent theories: minds fallen into reason and sensation; human souls fallen wholly into sensation and generation in beasts; the same souls fallen into generation alone in plants. Reascent remains possible within that reported theory.</w:t>
      </w:r>
    </w:p>
    <w:p>
      <w:pPr>
        <w:widowControl/>
      </w:pPr>
      <w:r>
        <w:rPr>
          <w:b w:val="0"/>
          <w:i w:val="0"/>
        </w:rPr>
        <w:t xml:space="preserve">Ficino ends </w:t>
      </w:r>
      <w:r>
        <w:t>“</w:t>
      </w:r>
      <w:r>
        <w:rPr>
          <w:b w:val="0"/>
          <w:i w:val="0"/>
        </w:rPr>
        <w:t>let them see to these things; let us pursue our purpose.</w:t>
      </w:r>
      <w:r>
        <w:t>”</w:t>
      </w:r>
      <w:r>
        <w:rPr>
          <w:b w:val="0"/>
          <w:i w:val="0"/>
        </w:rPr>
        <w:t xml:space="preserve"> That is a real reservation, not a decorative transition. One cannot cite the threefold descent as his unqualified account of human reincarnation, or infer that his present proof establishes all plant souls’ immortality.</w:t>
      </w:r>
    </w:p>
    <w:p>
      <w:pPr>
        <w:keepNext/>
        <w:widowControl/>
      </w:pPr>
      <w:r>
        <w:rPr>
          <w:b/>
          <w:i w:val="0"/>
        </w:rPr>
        <w:t>Places to Read.</w:t>
      </w:r>
    </w:p>
    <w:p>
      <w:pPr>
        <w:ind w:left="187" w:hanging="187"/>
      </w:pPr>
      <w:r>
        <w:t xml:space="preserve">• </w:t>
      </w:r>
      <w:r>
        <w:rPr>
          <w:b/>
          <w:i w:val="0"/>
        </w:rPr>
        <w:t>V.13.1, PDF 78–79.</w:t>
      </w:r>
      <w:r>
        <w:rPr>
          <w:b w:val="0"/>
          <w:i w:val="0"/>
        </w:rPr>
        <w:t xml:space="preserve"> Ficino expressly prefers one account of the soul’s creator over another.</w:t>
      </w:r>
    </w:p>
    <w:p>
      <w:pPr>
        <w:ind w:left="187" w:hanging="187"/>
      </w:pPr>
      <w:r>
        <w:t xml:space="preserve">• </w:t>
      </w:r>
      <w:r>
        <w:rPr>
          <w:b/>
          <w:i w:val="0"/>
        </w:rPr>
        <w:t>V.13.18, PDF 92–93.</w:t>
      </w:r>
      <w:r>
        <w:rPr>
          <w:b w:val="0"/>
          <w:i w:val="0"/>
        </w:rPr>
        <w:t xml:space="preserve"> Idea, mediated life, ethereal vehicle and elemental body are distinguished in a reported account.</w:t>
      </w:r>
    </w:p>
    <w:p>
      <w:pPr>
        <w:ind w:left="187" w:hanging="187"/>
      </w:pPr>
      <w:r>
        <w:t xml:space="preserve">• </w:t>
      </w:r>
      <w:r>
        <w:rPr>
          <w:b/>
          <w:i w:val="0"/>
        </w:rPr>
        <w:t>V.14.8, V.14.9, PDF 100–103.</w:t>
      </w:r>
      <w:r>
        <w:rPr>
          <w:b w:val="0"/>
          <w:i w:val="0"/>
        </w:rPr>
        <w:t xml:space="preserve"> Disagreement about irrational souls leads to an attributed descent theory and explicit distancing.</w:t>
      </w:r>
    </w:p>
    <w:p>
      <w:pPr>
        <w:keepNext/>
        <w:widowControl/>
      </w:pPr>
      <w:r>
        <w:rPr>
          <w:b/>
          <w:i w:val="0"/>
        </w:rPr>
        <w:t>In this edition.</w:t>
      </w:r>
    </w:p>
    <w:p>
      <w:pPr>
        <w:widowControl/>
      </w:pPr>
      <w:r>
        <w:rPr>
          <w:b w:val="0"/>
          <w:i w:val="0"/>
        </w:rPr>
        <w:t xml:space="preserve">Proculus is this edition’s Latin form for Proclus. </w:t>
      </w:r>
      <w:r>
        <w:t>“</w:t>
      </w:r>
      <w:r>
        <w:rPr>
          <w:b w:val="0"/>
          <w:i w:val="0"/>
        </w:rPr>
        <w:t>Appear to have intimated</w:t>
      </w:r>
      <w:r>
        <w:t>”</w:t>
      </w:r>
      <w:r>
        <w:rPr>
          <w:b w:val="0"/>
          <w:i w:val="0"/>
        </w:rPr>
        <w:t xml:space="preserve"> preserves videntur in the named descent attribution. The final sed haec ipsi viderint should accompany any summary of that doctrine.</w:t>
      </w:r>
    </w:p>
    <w:p>
      <w:pPr>
        <w:keepNext/>
        <w:widowControl/>
      </w:pPr>
      <w:r>
        <w:rPr>
          <w:b/>
          <w:i w:val="0"/>
        </w:rPr>
        <w:t>See also.</w:t>
      </w:r>
    </w:p>
    <w:p>
      <w:pPr>
        <w:widowControl/>
      </w:pPr>
      <w:hyperlink w:anchor="rational-soul-and-irrational-life">
        <w:r>
          <w:rPr>
            <w:color w:val="000000"/>
          </w:rPr>
          <w:t xml:space="preserve">Rational soul and irrational life</w:t>
        </w:r>
      </w:hyperlink>
      <w:r>
        <w:rPr>
          <w:b w:val="0"/>
          <w:i w:val="0"/>
        </w:rPr>
        <w:t xml:space="preserve">; </w:t>
      </w:r>
      <w:hyperlink w:anchor="creation-and-generation">
        <w:r>
          <w:rPr>
            <w:color w:val="000000"/>
          </w:rPr>
          <w:t xml:space="preserve">Creation and generation</w:t>
        </w:r>
      </w:hyperlink>
      <w:r>
        <w:rPr>
          <w:b w:val="0"/>
          <w:i w:val="0"/>
        </w:rPr>
        <w:t xml:space="preserve">; </w:t>
      </w:r>
      <w:hyperlink w:anchor="image-shadow-and-ranked-truth">
        <w:r>
          <w:rPr>
            <w:color w:val="000000"/>
          </w:rPr>
          <w:t xml:space="preserve">Image, shadow and ranked truth</w:t>
        </w:r>
      </w:hyperlink>
    </w:p>
    <w:p>
      <w:pPr>
        <w:pStyle w:val="Heading2"/>
      </w:pPr>
      <w:bookmarkStart w:id="188" w:name="plato-cave-and-gradual-education"/>
      <w:r>
        <w:rPr>
          <w:b w:val="0"/>
          <w:i w:val="0"/>
        </w:rPr>
        <w:t>Plato’s cave and gradual education</w:t>
      </w:r>
      <w:bookmarkEnd w:id="188"/>
    </w:p>
    <w:p>
      <w:pPr>
        <w:keepNext/>
        <w:widowControl/>
      </w:pPr>
      <w:r>
        <w:rPr>
          <w:b/>
          <w:i w:val="0"/>
        </w:rPr>
        <w:t>Latin:</w:t>
      </w:r>
      <w:r>
        <w:rPr>
          <w:b w:val="0"/>
          <w:i w:val="0"/>
        </w:rPr>
        <w:t xml:space="preserve"> </w:t>
      </w:r>
      <w:r>
        <w:rPr>
          <w:b w:val="0"/>
          <w:i/>
        </w:rPr>
        <w:t>spelunca</w:t>
      </w:r>
      <w:r>
        <w:rPr>
          <w:b w:val="0"/>
          <w:i w:val="0"/>
        </w:rPr>
        <w:t xml:space="preserve">; </w:t>
      </w:r>
      <w:r>
        <w:rPr>
          <w:b w:val="0"/>
          <w:i/>
        </w:rPr>
        <w:t>vinculum</w:t>
      </w:r>
      <w:r>
        <w:rPr>
          <w:b w:val="0"/>
          <w:i w:val="0"/>
        </w:rPr>
        <w:t xml:space="preserve">; </w:t>
      </w:r>
      <w:r>
        <w:rPr>
          <w:b w:val="0"/>
          <w:i/>
        </w:rPr>
        <w:t>lampas</w:t>
      </w:r>
      <w:r>
        <w:rPr>
          <w:b w:val="0"/>
          <w:i w:val="0"/>
        </w:rPr>
        <w:t xml:space="preserve">; </w:t>
      </w:r>
      <w:r>
        <w:rPr>
          <w:b w:val="0"/>
          <w:i/>
        </w:rPr>
        <w:t>simulachrum</w:t>
      </w:r>
      <w:r>
        <w:rPr>
          <w:b w:val="0"/>
          <w:i w:val="0"/>
        </w:rPr>
        <w:t xml:space="preserve">; </w:t>
      </w:r>
      <w:r>
        <w:rPr>
          <w:b w:val="0"/>
          <w:i/>
        </w:rPr>
        <w:t>gradus</w:t>
      </w:r>
      <w:r>
        <w:rPr>
          <w:b w:val="0"/>
          <w:i w:val="0"/>
        </w:rPr>
        <w:t xml:space="preserve">; </w:t>
      </w:r>
      <w:r>
        <w:rPr>
          <w:b w:val="0"/>
          <w:i/>
        </w:rPr>
        <w:t>caligare</w:t>
      </w:r>
      <w:r>
        <w:rPr>
          <w:b w:val="0"/>
          <w:i w:val="0"/>
        </w:rPr>
        <w:t xml:space="preserve">; </w:t>
      </w:r>
      <w:r>
        <w:rPr>
          <w:b w:val="0"/>
          <w:i/>
        </w:rPr>
        <w:t>sincere</w:t>
      </w:r>
    </w:p>
    <w:p>
      <w:pPr>
        <w:keepNext/>
        <w:widowControl/>
      </w:pPr>
      <w:r>
        <w:rPr>
          <w:b/>
          <w:i w:val="0"/>
        </w:rPr>
        <w:t>The word.</w:t>
      </w:r>
    </w:p>
    <w:p>
      <w:pPr>
        <w:widowControl/>
      </w:pPr>
      <w:r>
        <w:rPr>
          <w:b w:val="0"/>
          <w:i w:val="0"/>
        </w:rPr>
        <w:t>Spelunca is a cave; vincula are bonds. Simulachra are carried representations whose shadows appear on the wall. Gradus are pedagogical stages. Caligare means having clouded sight, and sincere here means without distortion or mixture, not merely honestly.</w:t>
      </w:r>
    </w:p>
    <w:p>
      <w:pPr>
        <w:keepNext/>
        <w:widowControl/>
      </w:pPr>
      <w:r>
        <w:rPr>
          <w:b/>
          <w:i w:val="0"/>
        </w:rPr>
        <w:t>In the Platonic Theology.</w:t>
      </w:r>
    </w:p>
    <w:p>
      <w:pPr>
        <w:widowControl/>
      </w:pPr>
      <w:r>
        <w:rPr>
          <w:b w:val="0"/>
          <w:i w:val="0"/>
        </w:rPr>
        <w:t>Ficino’s Republic VII narrative places people bound from childhood in an underground cave, unable to turn from the facing wall. A lamp behind them casts shadows of themselves and of representations carried by walkers. They mistake shadows for themselves, objects and light. Sudden release does not immediately yield knowledge: turning toward the lamp brings pain and dazzlement, and abrupt ascent to daylight is worse. A sequenced education passes through reflections and objects in the cave, moonlit reflections and earthly things, the heavens at night, daytime reflections, things under the sun, and finally the sun.</w:t>
      </w:r>
    </w:p>
    <w:p>
      <w:pPr>
        <w:widowControl/>
      </w:pPr>
      <w:r>
        <w:rPr>
          <w:b w:val="0"/>
          <w:i w:val="0"/>
        </w:rPr>
        <w:t xml:space="preserve">The application relates cave to visible world as visible world to invisible divine world. Its </w:t>
      </w:r>
      <w:r>
        <w:t>“</w:t>
      </w:r>
      <w:r>
        <w:rPr>
          <w:b w:val="0"/>
          <w:i w:val="0"/>
        </w:rPr>
        <w:t>true sun</w:t>
      </w:r>
      <w:r>
        <w:t>”</w:t>
      </w:r>
      <w:r>
        <w:rPr>
          <w:b w:val="0"/>
          <w:i w:val="0"/>
        </w:rPr>
        <w:t xml:space="preserve"> belongs to this intelligible contrast. Character, learning and time all contribute to education; ascent is not sheer accumulation of sensory detail. The movement then reverses: descent into body is compared with sudden entry into darkness, with stumbling and disorders illustrated by frenzy, sleep and intoxication. The historical physiological account and Ficino’s language of soul’s descent must remain attributed rather than converted into diagnosis or an independently demonstrated chronology of embodiment.</w:t>
      </w:r>
    </w:p>
    <w:p>
      <w:pPr>
        <w:keepNext/>
        <w:widowControl/>
      </w:pPr>
      <w:r>
        <w:rPr>
          <w:b/>
          <w:i w:val="0"/>
        </w:rPr>
        <w:t>Places to Read.</w:t>
      </w:r>
    </w:p>
    <w:p>
      <w:pPr>
        <w:ind w:left="187" w:hanging="187"/>
      </w:pPr>
      <w:r>
        <w:t xml:space="preserve">• </w:t>
      </w:r>
      <w:r>
        <w:rPr>
          <w:b/>
          <w:i w:val="0"/>
        </w:rPr>
        <w:t>VI.2.14; source PDF pp. 152, 153</w:t>
      </w:r>
      <w:r>
        <w:rPr>
          <w:b w:val="0"/>
          <w:i w:val="0"/>
        </w:rPr>
        <w:t>. The staging explains how a restricted field becomes mistaken for all reality.</w:t>
      </w:r>
    </w:p>
    <w:p>
      <w:pPr>
        <w:ind w:left="187" w:hanging="187"/>
      </w:pPr>
      <w:r>
        <w:t xml:space="preserve">• </w:t>
      </w:r>
      <w:r>
        <w:rPr>
          <w:b/>
          <w:i w:val="0"/>
        </w:rPr>
        <w:t>VI.2.15, VI.2.16; source PDF pp. 154, 155</w:t>
      </w:r>
      <w:r>
        <w:rPr>
          <w:b w:val="0"/>
          <w:i w:val="0"/>
        </w:rPr>
        <w:t>. Gradual re-education is mapped onto visible and invisible worlds.</w:t>
      </w:r>
    </w:p>
    <w:p>
      <w:pPr>
        <w:ind w:left="187" w:hanging="187"/>
      </w:pPr>
      <w:r>
        <w:t xml:space="preserve">• </w:t>
      </w:r>
      <w:r>
        <w:rPr>
          <w:b/>
          <w:i w:val="0"/>
        </w:rPr>
        <w:t>VI.2.17, VI.2.18; source PDF pp. 156, 157</w:t>
      </w:r>
      <w:r>
        <w:rPr>
          <w:b w:val="0"/>
          <w:i w:val="0"/>
        </w:rPr>
        <w:t>. Descent reverses the adaptation, followed by an exhortation to emerge.</w:t>
      </w:r>
    </w:p>
    <w:p>
      <w:pPr>
        <w:keepNext/>
        <w:widowControl/>
      </w:pPr>
      <w:r>
        <w:rPr>
          <w:b/>
          <w:i w:val="0"/>
        </w:rPr>
        <w:t>In this edition.</w:t>
      </w:r>
    </w:p>
    <w:p>
      <w:pPr>
        <w:widowControl/>
      </w:pPr>
      <w:r>
        <w:rPr>
          <w:b w:val="0"/>
          <w:i w:val="0"/>
        </w:rPr>
        <w:t xml:space="preserve">Lampas and ignis designate the same cave light while remaining different printed words. The edition retains moribundi, </w:t>
      </w:r>
      <w:r>
        <w:t>“</w:t>
      </w:r>
      <w:r>
        <w:rPr>
          <w:b w:val="0"/>
          <w:i w:val="0"/>
        </w:rPr>
        <w:t>dying,</w:t>
      </w:r>
      <w:r>
        <w:t>”</w:t>
      </w:r>
      <w:r>
        <w:rPr>
          <w:b w:val="0"/>
          <w:i w:val="0"/>
        </w:rPr>
        <w:t xml:space="preserve"> and the distinct moral, intellectual and temporal stages. The report is Ficino’s telling of Plato, not a replacement translation of the Republic.</w:t>
      </w:r>
    </w:p>
    <w:p>
      <w:pPr>
        <w:keepNext/>
        <w:widowControl/>
      </w:pPr>
      <w:r>
        <w:rPr>
          <w:b/>
          <w:i w:val="0"/>
        </w:rPr>
        <w:t>See also.</w:t>
      </w:r>
    </w:p>
    <w:p>
      <w:pPr>
        <w:widowControl/>
      </w:pPr>
      <w:hyperlink w:anchor="garment-mud-and-misleading-shadows">
        <w:r>
          <w:rPr>
            <w:color w:val="000000"/>
          </w:rPr>
          <w:t xml:space="preserve">Garment, mud and misleading shadows</w:t>
        </w:r>
      </w:hyperlink>
      <w:r>
        <w:rPr>
          <w:b w:val="0"/>
          <w:i w:val="0"/>
        </w:rPr>
        <w:t xml:space="preserve">; </w:t>
      </w:r>
      <w:hyperlink w:anchor="avicenna-imagined-adult">
        <w:r>
          <w:rPr>
            <w:color w:val="000000"/>
          </w:rPr>
          <w:t xml:space="preserve">Avicenna’s imagined adult</w:t>
        </w:r>
      </w:hyperlink>
    </w:p>
    <w:p>
      <w:pPr>
        <w:pStyle w:val="Heading2"/>
      </w:pPr>
      <w:bookmarkStart w:id="189" w:name="point-dimension-and-substantial-unity"/>
      <w:r>
        <w:rPr>
          <w:b w:val="0"/>
          <w:i w:val="0"/>
        </w:rPr>
        <w:t>Point, dimension and substantial unity</w:t>
      </w:r>
      <w:bookmarkEnd w:id="189"/>
    </w:p>
    <w:p>
      <w:pPr>
        <w:keepNext/>
        <w:widowControl/>
      </w:pPr>
      <w:r>
        <w:rPr>
          <w:b/>
          <w:i w:val="0"/>
        </w:rPr>
        <w:t>Latin:</w:t>
      </w:r>
      <w:r>
        <w:rPr>
          <w:b w:val="0"/>
          <w:i w:val="0"/>
        </w:rPr>
        <w:t xml:space="preserve"> </w:t>
      </w:r>
      <w:r>
        <w:rPr>
          <w:b w:val="0"/>
          <w:i/>
        </w:rPr>
        <w:t>superficies</w:t>
      </w:r>
      <w:r>
        <w:rPr>
          <w:b w:val="0"/>
          <w:i w:val="0"/>
        </w:rPr>
        <w:t xml:space="preserve">; </w:t>
      </w:r>
      <w:r>
        <w:rPr>
          <w:b w:val="0"/>
          <w:i/>
        </w:rPr>
        <w:t>linea</w:t>
      </w:r>
      <w:r>
        <w:rPr>
          <w:b w:val="0"/>
          <w:i w:val="0"/>
        </w:rPr>
        <w:t xml:space="preserve">; </w:t>
      </w:r>
      <w:r>
        <w:rPr>
          <w:b w:val="0"/>
          <w:i/>
        </w:rPr>
        <w:t>punctum</w:t>
      </w:r>
      <w:r>
        <w:rPr>
          <w:b w:val="0"/>
          <w:i w:val="0"/>
        </w:rPr>
        <w:t xml:space="preserve">; </w:t>
      </w:r>
      <w:r>
        <w:rPr>
          <w:b w:val="0"/>
          <w:i/>
        </w:rPr>
        <w:t>situs</w:t>
      </w:r>
      <w:r>
        <w:rPr>
          <w:b w:val="0"/>
          <w:i w:val="0"/>
        </w:rPr>
        <w:t xml:space="preserve">; </w:t>
      </w:r>
      <w:r>
        <w:rPr>
          <w:b w:val="0"/>
          <w:i/>
        </w:rPr>
        <w:t>unitas substantialis</w:t>
      </w:r>
      <w:r>
        <w:rPr>
          <w:b w:val="0"/>
          <w:i w:val="0"/>
        </w:rPr>
        <w:t xml:space="preserve">; </w:t>
      </w:r>
      <w:r>
        <w:rPr>
          <w:b w:val="0"/>
          <w:i/>
        </w:rPr>
        <w:t>virtute magnum</w:t>
      </w:r>
    </w:p>
    <w:p>
      <w:pPr>
        <w:keepNext/>
        <w:widowControl/>
      </w:pPr>
      <w:r>
        <w:rPr>
          <w:b/>
          <w:i w:val="0"/>
        </w:rPr>
        <w:t>The word.</w:t>
      </w:r>
    </w:p>
    <w:p>
      <w:pPr>
        <w:widowControl/>
      </w:pPr>
      <w:r>
        <w:rPr>
          <w:b w:val="0"/>
          <w:i w:val="0"/>
        </w:rPr>
        <w:t>Surface lacks depth, line lacks breadth as well, and point lacks length too. Situs is determinate position: a point can be dimensionless while still fixed as a line’s limit. Substantial unity is consequently more than a geometrical point or a small extended object.</w:t>
      </w:r>
    </w:p>
    <w:p>
      <w:pPr>
        <w:keepNext/>
        <w:widowControl/>
      </w:pPr>
      <w:r>
        <w:rPr>
          <w:b/>
          <w:i w:val="0"/>
        </w:rPr>
        <w:t>In the Platonic Theology.</w:t>
      </w:r>
    </w:p>
    <w:p>
      <w:pPr>
        <w:widowControl/>
      </w:pPr>
      <w:r>
        <w:rPr>
          <w:b w:val="0"/>
          <w:i w:val="0"/>
        </w:rPr>
        <w:t>The geometric exercise begins with finite body as long, broad and deep. Its limit of depth is a surface; the surface’s limit of breadth is a line; the line’s limit of length is a point. These successively remove three dimensions, but Ficino does not yet call the point a soul. As the line’s terminus it remains fixed at a determinate site in body and neither fills nor vivifies the whole. Dimensionlessness alone therefore fails to supply the independence being sought.</w:t>
      </w:r>
    </w:p>
    <w:p>
      <w:pPr>
        <w:widowControl/>
      </w:pPr>
      <w:r>
        <w:rPr>
          <w:b w:val="0"/>
          <w:i w:val="0"/>
        </w:rPr>
        <w:t xml:space="preserve">A fourth step releases the point at least in thought. Ficino supports this by a qualified priority: what bounds the line exists </w:t>
      </w:r>
      <w:r>
        <w:t>“</w:t>
      </w:r>
      <w:r>
        <w:rPr>
          <w:b w:val="0"/>
          <w:i w:val="0"/>
        </w:rPr>
        <w:t>in some manner</w:t>
      </w:r>
      <w:r>
        <w:t>”</w:t>
      </w:r>
      <w:r>
        <w:rPr>
          <w:b w:val="0"/>
          <w:i w:val="0"/>
        </w:rPr>
        <w:t xml:space="preserve"> before its function of bounding, and what is prior may be considered apart from what follows. The restriction cogitatione matters. The reader is not cutting a small physical object loose but considering a limit apart from its located relation. Ficino then invites the reader to give this released point an equal regard toward all bodily parts, diffusion throughout them and power to move them. Fundatur and moveat are jussives: these active capacities are introduced through guided supposition, not deduced as a geometrical theorem from absence of length. The irrational soul is assigned its seat at this fourth stage.</w:t>
      </w:r>
    </w:p>
    <w:p>
      <w:pPr>
        <w:widowControl/>
      </w:pPr>
      <w:r>
        <w:rPr>
          <w:b w:val="0"/>
          <w:i w:val="0"/>
        </w:rPr>
        <w:t>The fifth step claims a reality corresponding to the rational ascent. Because rational thought does not deceive in ascending, Ficino argues, it can find not merely a mentally released point but an indivisible something actually freed from body. It fills and moves body, is itself freely active, and can be raised toward higher things. This is called substantial unity and is the level assigned to rational soul. The transition from conceptual consideration to actual reality therefore depends on the stated reliability of rational ascent. It must not be represented as an empirical measurement proving that a material point changes into a soul.</w:t>
      </w:r>
    </w:p>
    <w:p>
      <w:pPr>
        <w:widowControl/>
      </w:pPr>
      <w:r>
        <w:rPr>
          <w:b w:val="0"/>
          <w:i w:val="0"/>
        </w:rPr>
        <w:t xml:space="preserve">The ensuing comparison ranks the stages by need and passivity. Body requires more dimensional conditions and admits more divisions; surface needs fewer, line fewer still, and point still depends on position. Substantial unity needs neither dimensions nor site. Ficino infers that the less dependent principle is more perfect, powerful and true. The point of the closing question is precisely whether something can be great in effective power without being great in measurable quantity. Removing size need not mean removing reality. When VI.6.5 later says soul is </w:t>
      </w:r>
      <w:r>
        <w:t>“</w:t>
      </w:r>
      <w:r>
        <w:rPr>
          <w:b w:val="0"/>
          <w:i w:val="0"/>
        </w:rPr>
        <w:t>more indivisible</w:t>
      </w:r>
      <w:r>
        <w:t>”</w:t>
      </w:r>
      <w:r>
        <w:rPr>
          <w:b w:val="0"/>
          <w:i w:val="0"/>
        </w:rPr>
        <w:t xml:space="preserve"> than a point, the superiority concerns release from geometrical dependence, not possession of a still smaller spatial fraction.</w:t>
      </w:r>
    </w:p>
    <w:p>
      <w:pPr>
        <w:widowControl/>
      </w:pPr>
      <w:r>
        <w:rPr>
          <w:b w:val="0"/>
          <w:i w:val="0"/>
        </w:rPr>
        <w:t>These numbered degrees belong to a particular pedagogical ascent away from bodily bulk. They should not be mechanically equated degree by degree with either the five metaphysical grades of body, quality, soul, mind and God, or Cavalcanti’s five rival accounts. The succeeding concentrated-fire and light exercises pursue the same pedagogical purpose through different images. VI.2.27 finally recalls the liberated point as a substantial unity and expressly calls the chapter an initial excursio and praeludium. Its vivid construction prepares the reader for formal arguments while retaining distinctions between thought, reality, irrational animation and rational elevation.</w:t>
      </w:r>
    </w:p>
    <w:p>
      <w:pPr>
        <w:keepNext/>
        <w:widowControl/>
      </w:pPr>
      <w:r>
        <w:rPr>
          <w:b/>
          <w:i w:val="0"/>
        </w:rPr>
        <w:t>Places to Read.</w:t>
      </w:r>
    </w:p>
    <w:p>
      <w:pPr>
        <w:ind w:left="187" w:hanging="187"/>
      </w:pPr>
      <w:r>
        <w:t xml:space="preserve">• </w:t>
      </w:r>
      <w:r>
        <w:rPr>
          <w:b/>
          <w:i w:val="0"/>
        </w:rPr>
        <w:t>VI.2.19, VI.2.20; source PDF pp. 158, 159</w:t>
      </w:r>
      <w:r>
        <w:rPr>
          <w:b w:val="0"/>
          <w:i w:val="0"/>
        </w:rPr>
        <w:t>. Four conceptual releases are distinguished from the fifth step to rational substantial unity.</w:t>
      </w:r>
    </w:p>
    <w:p>
      <w:pPr>
        <w:ind w:left="187" w:hanging="187"/>
      </w:pPr>
      <w:r>
        <w:t xml:space="preserve">• </w:t>
      </w:r>
      <w:r>
        <w:rPr>
          <w:b/>
          <w:i w:val="0"/>
        </w:rPr>
        <w:t>VI.2.27; source PDF pp. 166, 167</w:t>
      </w:r>
      <w:r>
        <w:rPr>
          <w:b w:val="0"/>
          <w:i w:val="0"/>
        </w:rPr>
        <w:t>. The exercise is expressly labelled preliminary.</w:t>
      </w:r>
    </w:p>
    <w:p>
      <w:pPr>
        <w:ind w:left="187" w:hanging="187"/>
      </w:pPr>
      <w:r>
        <w:t xml:space="preserve">• </w:t>
      </w:r>
      <w:r>
        <w:rPr>
          <w:b/>
          <w:i w:val="0"/>
        </w:rPr>
        <w:t>VI.6.4, VI.6.5; source PDF pp. 180, 181</w:t>
      </w:r>
      <w:r>
        <w:rPr>
          <w:b w:val="0"/>
          <w:i w:val="0"/>
        </w:rPr>
        <w:t>. Indivisibility exceeds geometrical dependence and positional containment.</w:t>
      </w:r>
    </w:p>
    <w:p>
      <w:pPr>
        <w:keepNext/>
        <w:widowControl/>
      </w:pPr>
      <w:r>
        <w:rPr>
          <w:b/>
          <w:i w:val="0"/>
        </w:rPr>
        <w:t>In this edition.</w:t>
      </w:r>
    </w:p>
    <w:p>
      <w:pPr>
        <w:widowControl/>
      </w:pPr>
      <w:r>
        <w:rPr>
          <w:b w:val="0"/>
          <w:i w:val="0"/>
        </w:rPr>
        <w:t xml:space="preserve">The jussives fundatur and moveat in VI.2.19 mean </w:t>
      </w:r>
      <w:r>
        <w:t>“</w:t>
      </w:r>
      <w:r>
        <w:rPr>
          <w:b w:val="0"/>
          <w:i w:val="0"/>
        </w:rPr>
        <w:t>let it be diffused</w:t>
      </w:r>
      <w:r>
        <w:t>”</w:t>
      </w:r>
      <w:r>
        <w:rPr>
          <w:b w:val="0"/>
          <w:i w:val="0"/>
        </w:rPr>
        <w:t xml:space="preserve"> and </w:t>
      </w:r>
      <w:r>
        <w:t>“</w:t>
      </w:r>
      <w:r>
        <w:rPr>
          <w:b w:val="0"/>
          <w:i w:val="0"/>
        </w:rPr>
        <w:t>let it move,</w:t>
      </w:r>
      <w:r>
        <w:t>”</w:t>
      </w:r>
      <w:r>
        <w:rPr>
          <w:b w:val="0"/>
          <w:i w:val="0"/>
        </w:rPr>
        <w:t xml:space="preserve"> preserving the imaginative construction. Cogitatione, quodammodo and re ipsa distinguish thought-experiment from the claimed real conclusion. No bodily conversion is asserted.</w:t>
      </w:r>
    </w:p>
    <w:p>
      <w:pPr>
        <w:keepNext/>
        <w:widowControl/>
      </w:pPr>
      <w:r>
        <w:rPr>
          <w:b/>
          <w:i w:val="0"/>
        </w:rPr>
        <w:t>See also.</w:t>
      </w:r>
    </w:p>
    <w:p>
      <w:pPr>
        <w:widowControl/>
      </w:pPr>
      <w:hyperlink w:anchor="number-and-spiritual-amplitude">
        <w:r>
          <w:rPr>
            <w:color w:val="000000"/>
          </w:rPr>
          <w:t xml:space="preserve">Number and spiritual amplitude</w:t>
        </w:r>
      </w:hyperlink>
      <w:r>
        <w:rPr>
          <w:b w:val="0"/>
          <w:i w:val="0"/>
        </w:rPr>
        <w:t xml:space="preserve">; </w:t>
      </w:r>
      <w:hyperlink w:anchor="bronze-mirror-and-concentrated-fire">
        <w:r>
          <w:rPr>
            <w:color w:val="000000"/>
          </w:rPr>
          <w:t xml:space="preserve">Bronze mirror and concentrated fire</w:t>
        </w:r>
      </w:hyperlink>
    </w:p>
    <w:p>
      <w:pPr>
        <w:pStyle w:val="Heading2"/>
      </w:pPr>
      <w:bookmarkStart w:id="190" w:name="vii-point-line"/>
      <w:r>
        <w:rPr>
          <w:b w:val="0"/>
          <w:i w:val="0"/>
        </w:rPr>
        <w:t>Point, line and the comparing power</w:t>
      </w:r>
      <w:bookmarkEnd w:id="190"/>
    </w:p>
    <w:p>
      <w:pPr>
        <w:keepNext/>
        <w:widowControl/>
      </w:pPr>
      <w:r>
        <w:rPr>
          <w:b/>
          <w:i w:val="0"/>
        </w:rPr>
        <w:t>Latin:</w:t>
      </w:r>
      <w:r>
        <w:rPr>
          <w:b w:val="0"/>
          <w:i w:val="0"/>
        </w:rPr>
        <w:t xml:space="preserve"> </w:t>
      </w:r>
      <w:r>
        <w:rPr>
          <w:b w:val="0"/>
          <w:i/>
        </w:rPr>
        <w:t>punctum individuum</w:t>
      </w:r>
      <w:r>
        <w:rPr>
          <w:b w:val="0"/>
          <w:i w:val="0"/>
        </w:rPr>
        <w:t xml:space="preserve">; </w:t>
      </w:r>
      <w:r>
        <w:rPr>
          <w:b w:val="0"/>
          <w:i/>
        </w:rPr>
        <w:t>linea</w:t>
      </w:r>
      <w:r>
        <w:rPr>
          <w:b w:val="0"/>
          <w:i w:val="0"/>
        </w:rPr>
        <w:t xml:space="preserve">; </w:t>
      </w:r>
      <w:r>
        <w:rPr>
          <w:b w:val="0"/>
          <w:i/>
        </w:rPr>
        <w:t>terminus</w:t>
      </w:r>
      <w:r>
        <w:rPr>
          <w:b w:val="0"/>
          <w:i w:val="0"/>
        </w:rPr>
        <w:t xml:space="preserve">; </w:t>
      </w:r>
      <w:r>
        <w:rPr>
          <w:b w:val="0"/>
          <w:i/>
        </w:rPr>
        <w:t>concurrere</w:t>
      </w:r>
      <w:r>
        <w:rPr>
          <w:b w:val="0"/>
          <w:i w:val="0"/>
        </w:rPr>
        <w:t xml:space="preserve">; </w:t>
      </w:r>
      <w:r>
        <w:rPr>
          <w:b w:val="0"/>
          <w:i/>
        </w:rPr>
        <w:t>vacare</w:t>
      </w:r>
      <w:r>
        <w:rPr>
          <w:b w:val="0"/>
          <w:i w:val="0"/>
        </w:rPr>
        <w:t xml:space="preserve">; </w:t>
      </w:r>
      <w:r>
        <w:rPr>
          <w:b w:val="0"/>
          <w:i/>
        </w:rPr>
        <w:t>partibilis</w:t>
      </w:r>
    </w:p>
    <w:p>
      <w:pPr>
        <w:keepNext/>
        <w:widowControl/>
      </w:pPr>
      <w:r>
        <w:rPr>
          <w:b/>
          <w:i w:val="0"/>
        </w:rPr>
        <w:t>The word.</w:t>
      </w:r>
    </w:p>
    <w:p>
      <w:pPr>
        <w:widowControl/>
      </w:pPr>
      <w:r>
        <w:rPr>
          <w:b w:val="0"/>
          <w:i w:val="0"/>
        </w:rPr>
        <w:t xml:space="preserve">The point and line are argumentative models for indivisibility and extension. </w:t>
      </w:r>
      <w:r>
        <w:rPr>
          <w:b w:val="0"/>
          <w:i/>
        </w:rPr>
        <w:t>Terminus</w:t>
      </w:r>
      <w:r>
        <w:rPr>
          <w:b w:val="0"/>
          <w:i w:val="0"/>
        </w:rPr>
        <w:t xml:space="preserve"> is an endpoint here, not the goal or limit of organic growth. </w:t>
      </w:r>
      <w:r>
        <w:rPr>
          <w:b w:val="0"/>
          <w:i/>
        </w:rPr>
        <w:t>Vacat altera</w:t>
      </w:r>
      <w:r>
        <w:rPr>
          <w:b w:val="0"/>
          <w:i w:val="0"/>
        </w:rPr>
        <w:t xml:space="preserve"> means that the other power has nothing additional to do: it is redundant, not a physical empty space.</w:t>
      </w:r>
    </w:p>
    <w:p>
      <w:pPr>
        <w:keepNext/>
        <w:widowControl/>
      </w:pPr>
      <w:r>
        <w:rPr>
          <w:b/>
          <w:i w:val="0"/>
        </w:rPr>
        <w:t>In the Platonic Theology.</w:t>
      </w:r>
    </w:p>
    <w:p>
      <w:pPr>
        <w:widowControl/>
      </w:pPr>
      <w:r>
        <w:rPr>
          <w:b w:val="0"/>
          <w:i w:val="0"/>
        </w:rPr>
        <w:t>Ficino asks whether the single comparing power is an indivisible point a or a line extending from a to b. Suppose color reaches a alone and voice b alone. Each endpoint then knows its own object and remains ignorant of the other; comparison is not produced. Suppose instead both contents reach both endpoints. Either endpoint already possesses what comparison requires, so the other contributes nothing. Moreover, each successful endpoint now functions as an indivisible power, which is precisely what the divided model was meant to avoid.</w:t>
      </w:r>
    </w:p>
    <w:p>
      <w:pPr>
        <w:widowControl/>
      </w:pPr>
      <w:r>
        <w:rPr>
          <w:b w:val="0"/>
          <w:i w:val="0"/>
        </w:rPr>
        <w:t>The argument is not a proof that a geometrical point is itself a soul. It uses the point’s lack of parts to expose the failure of a distributed knower whose parts have isolated contents. The book later expressly distinguishes soul from body, from a form spread through body, and from a point of such a form. An indivisible source present throughout a living body cannot be reduced to one localized extremity.</w:t>
      </w:r>
    </w:p>
    <w:p>
      <w:pPr>
        <w:widowControl/>
      </w:pPr>
      <w:r>
        <w:rPr>
          <w:b w:val="0"/>
          <w:i w:val="0"/>
        </w:rPr>
        <w:t>The repeated verbs of reaching, touching, crossing and converging make the dilemma vivid but belong to the hypothesis being tested. The conclusion is about unified judgement and the substance able to sustain it, not about trajectories of actual colored or sounded objects traveling along a diagram.</w:t>
      </w:r>
    </w:p>
    <w:p>
      <w:pPr>
        <w:keepNext/>
        <w:widowControl/>
      </w:pPr>
      <w:r>
        <w:rPr>
          <w:b/>
          <w:i w:val="0"/>
        </w:rPr>
        <w:t>Places to Read.</w:t>
      </w:r>
    </w:p>
    <w:p>
      <w:pPr>
        <w:ind w:left="187" w:hanging="187"/>
      </w:pPr>
      <w:r>
        <w:t xml:space="preserve">• </w:t>
      </w:r>
      <w:r>
        <w:rPr>
          <w:b/>
          <w:i w:val="0"/>
        </w:rPr>
        <w:t>VII.2.2, PDF 240–241</w:t>
      </w:r>
      <w:r>
        <w:rPr>
          <w:b w:val="0"/>
          <w:i w:val="0"/>
        </w:rPr>
        <w:t>. The a–b model tests separate and shared reception of color and voice.</w:t>
      </w:r>
    </w:p>
    <w:p>
      <w:pPr>
        <w:ind w:left="187" w:hanging="187"/>
      </w:pPr>
      <w:r>
        <w:t xml:space="preserve">• </w:t>
      </w:r>
      <w:r>
        <w:rPr>
          <w:b/>
          <w:i w:val="0"/>
        </w:rPr>
        <w:t>VII.5.3, PDF 252–253</w:t>
      </w:r>
      <w:r>
        <w:rPr>
          <w:b w:val="0"/>
          <w:i w:val="0"/>
        </w:rPr>
        <w:t>. The whole soul is explicitly distinguished even from a point of a diffused bodily form.</w:t>
      </w:r>
    </w:p>
    <w:p>
      <w:pPr>
        <w:keepNext/>
        <w:widowControl/>
      </w:pPr>
      <w:r>
        <w:rPr>
          <w:b/>
          <w:i w:val="0"/>
        </w:rPr>
        <w:t>In this edition.</w:t>
      </w:r>
    </w:p>
    <w:p>
      <w:pPr>
        <w:widowControl/>
      </w:pPr>
      <w:r>
        <w:rPr>
          <w:b w:val="0"/>
          <w:i w:val="0"/>
        </w:rPr>
        <w:t xml:space="preserve">The apparatus identifies VII.2.2 as an editorial subdivision within one original source paragraph. The geometric question therefore continues the two-power comparison of VII.2.1 rather than opening an unrelated mathematical proof. The corrected </w:t>
      </w:r>
      <w:r>
        <w:rPr>
          <w:b w:val="0"/>
          <w:i/>
        </w:rPr>
        <w:t>substantiae</w:t>
      </w:r>
      <w:r>
        <w:rPr>
          <w:b w:val="0"/>
          <w:i w:val="0"/>
        </w:rPr>
        <w:t xml:space="preserve"> preserves the final power–substance relation.</w:t>
      </w:r>
    </w:p>
    <w:p>
      <w:pPr>
        <w:keepNext/>
        <w:widowControl/>
      </w:pPr>
      <w:r>
        <w:rPr>
          <w:b/>
          <w:i w:val="0"/>
        </w:rPr>
        <w:t>See also.</w:t>
      </w:r>
    </w:p>
    <w:p>
      <w:pPr>
        <w:widowControl/>
      </w:pPr>
      <w:hyperlink w:anchor="vii-common-sense-comparison">
        <w:r>
          <w:rPr>
            <w:color w:val="000000"/>
          </w:rPr>
          <w:t xml:space="preserve">Comparison and common sense</w:t>
        </w:r>
      </w:hyperlink>
      <w:r>
        <w:rPr>
          <w:b w:val="0"/>
          <w:i w:val="0"/>
        </w:rPr>
        <w:t xml:space="preserve">; </w:t>
      </w:r>
      <w:hyperlink w:anchor="vii-whole-soul-vital-intensity">
        <w:r>
          <w:rPr>
            <w:color w:val="000000"/>
          </w:rPr>
          <w:t xml:space="preserve">Whole presence and vital intensity</w:t>
        </w:r>
      </w:hyperlink>
    </w:p>
    <w:p>
      <w:pPr>
        <w:pStyle w:val="Heading2"/>
      </w:pPr>
      <w:bookmarkStart w:id="191" w:name="potency-possibility-and-the-lion"/>
      <w:r>
        <w:rPr>
          <w:b w:val="0"/>
          <w:i w:val="0"/>
        </w:rPr>
        <w:t>Potency, possibility and the lion</w:t>
      </w:r>
      <w:bookmarkEnd w:id="191"/>
    </w:p>
    <w:p>
      <w:pPr>
        <w:keepNext/>
        <w:widowControl/>
      </w:pPr>
      <w:r>
        <w:rPr>
          <w:b/>
          <w:i w:val="0"/>
        </w:rPr>
        <w:t>Latin:</w:t>
      </w:r>
      <w:r>
        <w:rPr>
          <w:b w:val="0"/>
          <w:i w:val="0"/>
        </w:rPr>
        <w:t xml:space="preserve"> </w:t>
      </w:r>
      <w:r>
        <w:rPr>
          <w:b w:val="0"/>
          <w:i/>
        </w:rPr>
        <w:t>potentia ad non esse</w:t>
      </w:r>
      <w:r>
        <w:rPr>
          <w:b w:val="0"/>
          <w:i w:val="0"/>
        </w:rPr>
        <w:t xml:space="preserve">; </w:t>
      </w:r>
      <w:r>
        <w:rPr>
          <w:b w:val="0"/>
          <w:i/>
        </w:rPr>
        <w:t>possibile</w:t>
      </w:r>
      <w:r>
        <w:rPr>
          <w:b w:val="0"/>
          <w:i w:val="0"/>
        </w:rPr>
        <w:t xml:space="preserve">; </w:t>
      </w:r>
      <w:r>
        <w:rPr>
          <w:b w:val="0"/>
          <w:i/>
        </w:rPr>
        <w:t>necessarium</w:t>
      </w:r>
      <w:r>
        <w:rPr>
          <w:b w:val="0"/>
          <w:i w:val="0"/>
        </w:rPr>
        <w:t xml:space="preserve">; </w:t>
      </w:r>
      <w:r>
        <w:rPr>
          <w:b w:val="0"/>
          <w:i/>
        </w:rPr>
        <w:t>impossibile</w:t>
      </w:r>
      <w:r>
        <w:rPr>
          <w:b w:val="0"/>
          <w:i w:val="0"/>
        </w:rPr>
        <w:t xml:space="preserve">; </w:t>
      </w:r>
      <w:r>
        <w:rPr>
          <w:b w:val="0"/>
          <w:i/>
        </w:rPr>
        <w:t>indifferens</w:t>
      </w:r>
      <w:r>
        <w:rPr>
          <w:b w:val="0"/>
          <w:i w:val="0"/>
        </w:rPr>
        <w:t xml:space="preserve">; </w:t>
      </w:r>
      <w:r>
        <w:rPr>
          <w:b w:val="0"/>
          <w:i/>
        </w:rPr>
        <w:t>materia propinqua</w:t>
      </w:r>
      <w:r>
        <w:rPr>
          <w:b w:val="0"/>
          <w:i w:val="0"/>
        </w:rPr>
        <w:t xml:space="preserve">; </w:t>
      </w:r>
      <w:r>
        <w:rPr>
          <w:b w:val="0"/>
          <w:i/>
        </w:rPr>
        <w:t>leo</w:t>
      </w:r>
      <w:r>
        <w:rPr>
          <w:b w:val="0"/>
          <w:i w:val="0"/>
        </w:rPr>
        <w:t xml:space="preserve">; </w:t>
      </w:r>
      <w:r>
        <w:rPr>
          <w:b w:val="0"/>
          <w:i/>
        </w:rPr>
        <w:t>determinare</w:t>
      </w:r>
    </w:p>
    <w:p>
      <w:pPr>
        <w:keepNext/>
        <w:widowControl/>
      </w:pPr>
      <w:r>
        <w:rPr>
          <w:b/>
          <w:i w:val="0"/>
        </w:rPr>
        <w:t>The word.</w:t>
      </w:r>
    </w:p>
    <w:p>
      <w:pPr>
        <w:widowControl/>
      </w:pPr>
      <w:r>
        <w:rPr>
          <w:b w:val="0"/>
          <w:i w:val="0"/>
        </w:rPr>
        <w:t>Potentia is a capacity, whose object and bearer must be identified. Potentia ad non esse is capacity not to be. Possibile in V.12 is explicitly two-sided possibility: capable of being and not being. Indifferens means undetermined between the alternatives, not emotionally unconcerned.</w:t>
      </w:r>
    </w:p>
    <w:p>
      <w:pPr>
        <w:keepNext/>
        <w:widowControl/>
      </w:pPr>
      <w:r>
        <w:rPr>
          <w:b/>
          <w:i w:val="0"/>
        </w:rPr>
        <w:t>In the Platonic Theology.</w:t>
      </w:r>
    </w:p>
    <w:p>
      <w:pPr>
        <w:widowControl/>
      </w:pPr>
      <w:r>
        <w:rPr>
          <w:b w:val="0"/>
          <w:i w:val="0"/>
        </w:rPr>
        <w:t>V.12 begins with the premise that corruption requires a potency not to be. Such a potency belongs neither to being itself nor to soul’s complete simple essence. In a bodily substance it lies instead in the prime matter beneath the determinate form: fire cannot receive cold while remaining fire, but its matter can receive a replacement form. The remainder of the chapter explains material possibility and distinguishes it from the power responsible for soul’s creation.</w:t>
      </w:r>
    </w:p>
    <w:p>
      <w:pPr>
        <w:widowControl/>
      </w:pPr>
      <w:r>
        <w:rPr>
          <w:b w:val="0"/>
          <w:i w:val="0"/>
        </w:rPr>
        <w:t xml:space="preserve">The modal trilemma is expressly relative to a standpoint. Ficino asks what follows </w:t>
      </w:r>
      <w:r>
        <w:t>“</w:t>
      </w:r>
      <w:r>
        <w:rPr>
          <w:b w:val="0"/>
          <w:i w:val="0"/>
        </w:rPr>
        <w:t>as far as matter is concerned,</w:t>
      </w:r>
      <w:r>
        <w:t>”</w:t>
      </w:r>
      <w:r>
        <w:rPr>
          <w:b w:val="0"/>
          <w:i w:val="0"/>
        </w:rPr>
        <w:t xml:space="preserve"> not what the completed whole will do under every cause. Matter does not necessitate the finished work because it cannot form itself and needs a superior form-giver. It does not render the work impossible because it can be brought to the appropriate completion. The remaining possibility is two-sided. If it permitted only being, it would be necessity; if only nonbeing, impossibility. This context explains why possibile is narrower here than a broad modern use in which necessary propositions also count as possible.</w:t>
      </w:r>
    </w:p>
    <w:p>
      <w:pPr>
        <w:widowControl/>
      </w:pPr>
      <w:r>
        <w:rPr>
          <w:b w:val="0"/>
          <w:i w:val="0"/>
        </w:rPr>
        <w:t>Because matter is simple, the two opposed capacities are not assigned to two separately composed departments within it. The same material nature is open to both. The agent determines that nature to be a lion, but does not replace prime matter with another underlying principle. If its native indifference vanished at formation, prime matter would vanish just when a material object was made, contradicting the material constitution of the product. The continuing openness therefore permits later departure from lionhood.</w:t>
      </w:r>
    </w:p>
    <w:p>
      <w:pPr>
        <w:widowControl/>
      </w:pPr>
      <w:r>
        <w:rPr>
          <w:b w:val="0"/>
          <w:i w:val="0"/>
        </w:rPr>
        <w:t>V.12.7 adds a stronger claim: what is equally open to the extremes either turns to neither or turns by turns to both. This is the step by which potential corruptibility becomes an account of eventual bodily corruption. It is Ficino’s natural-philosophical premise, not merely the logical meaning of the word possible. The argument’s force should not be exaggerated by hiding that step. Rational soul is excluded because it is the simple source of the movement found in composites and because its judging ranges both above and below matter, supposedly demonstrating independence from a material base.</w:t>
      </w:r>
    </w:p>
    <w:p>
      <w:pPr>
        <w:widowControl/>
      </w:pPr>
      <w:r>
        <w:rPr>
          <w:b w:val="0"/>
          <w:i w:val="0"/>
        </w:rPr>
        <w:t>The question of prior possibility then prevents a loose appeal to creation from nothing. The fact that soul was made entails that it could be made, yet its prior possibility cannot be a part of an as-yet nonexistent soul. The soul is made whole, not piece by piece. Nothing cannot be the foundation of being’s potentiality because the two contradict one another. The only remaining ground is the creator’s stable power. God’s active ability to make and soul’s ability to be made are the same power viewed from opposite sides of the production relation, not a passive potency within God awaiting perfection.</w:t>
      </w:r>
    </w:p>
    <w:p>
      <w:pPr>
        <w:keepNext/>
        <w:widowControl/>
      </w:pPr>
      <w:r>
        <w:rPr>
          <w:b/>
          <w:i w:val="0"/>
        </w:rPr>
        <w:t>Places to Read.</w:t>
      </w:r>
    </w:p>
    <w:p>
      <w:pPr>
        <w:ind w:left="187" w:hanging="187"/>
      </w:pPr>
      <w:r>
        <w:t xml:space="preserve">• </w:t>
      </w:r>
      <w:r>
        <w:rPr>
          <w:b/>
          <w:i w:val="0"/>
        </w:rPr>
        <w:t>V.12.1, V.12.2, PDF 68–69.</w:t>
      </w:r>
      <w:r>
        <w:rPr>
          <w:b w:val="0"/>
          <w:i w:val="0"/>
        </w:rPr>
        <w:t xml:space="preserve"> Corruptibility requires a specifically opposed potency, absent from separate soul.</w:t>
      </w:r>
    </w:p>
    <w:p>
      <w:pPr>
        <w:ind w:left="187" w:hanging="187"/>
      </w:pPr>
      <w:r>
        <w:t xml:space="preserve">• </w:t>
      </w:r>
      <w:r>
        <w:rPr>
          <w:b/>
          <w:i w:val="0"/>
        </w:rPr>
        <w:t>V.12.3, V.12.4, V.12.5, V.12.6, V.12.7, PDF 68–73.</w:t>
      </w:r>
      <w:r>
        <w:rPr>
          <w:b w:val="0"/>
          <w:i w:val="0"/>
        </w:rPr>
        <w:t xml:space="preserve"> Modal alternatives lead to prime matter’s enduring two-sided capacity and the lion example.</w:t>
      </w:r>
    </w:p>
    <w:p>
      <w:pPr>
        <w:ind w:left="187" w:hanging="187"/>
      </w:pPr>
      <w:r>
        <w:t xml:space="preserve">• </w:t>
      </w:r>
      <w:r>
        <w:rPr>
          <w:b/>
          <w:i w:val="0"/>
        </w:rPr>
        <w:t>V.12.8, V.12.9, V.12.10, V.12.11, PDF 72–75.</w:t>
      </w:r>
      <w:r>
        <w:rPr>
          <w:b w:val="0"/>
          <w:i w:val="0"/>
        </w:rPr>
        <w:t xml:space="preserve"> The soul’s capacity to be created is located in God’s active power.</w:t>
      </w:r>
    </w:p>
    <w:p>
      <w:pPr>
        <w:keepNext/>
        <w:widowControl/>
      </w:pPr>
      <w:r>
        <w:rPr>
          <w:b/>
          <w:i w:val="0"/>
        </w:rPr>
        <w:t>In this edition.</w:t>
      </w:r>
    </w:p>
    <w:p>
      <w:pPr>
        <w:widowControl/>
      </w:pPr>
      <w:r>
        <w:rPr>
          <w:b w:val="0"/>
          <w:i w:val="0"/>
        </w:rPr>
        <w:t>The apparatus preserves quodammodo in the claims that matter precedes formation: the priority is qualified. V.12.6 applies secundaque, distinguishing secondary/proximate from primary matter. Exstat at V.12.7 is construed as being brought forth from matter in contrast with constat, being constituted from it.</w:t>
      </w:r>
    </w:p>
    <w:p>
      <w:pPr>
        <w:keepNext/>
        <w:widowControl/>
      </w:pPr>
      <w:r>
        <w:rPr>
          <w:b/>
          <w:i w:val="0"/>
        </w:rPr>
        <w:t>See also.</w:t>
      </w:r>
    </w:p>
    <w:p>
      <w:pPr>
        <w:widowControl/>
      </w:pPr>
      <w:hyperlink w:anchor="prime-matter-and-enduring-support">
        <w:r>
          <w:rPr>
            <w:color w:val="000000"/>
          </w:rPr>
          <w:t xml:space="preserve">Prime matter and enduring support</w:t>
        </w:r>
      </w:hyperlink>
      <w:r>
        <w:rPr>
          <w:b w:val="0"/>
          <w:i w:val="0"/>
        </w:rPr>
        <w:t xml:space="preserve">; </w:t>
      </w:r>
      <w:hyperlink w:anchor="creation-and-generation">
        <w:r>
          <w:rPr>
            <w:color w:val="000000"/>
          </w:rPr>
          <w:t xml:space="preserve">Creation and generation</w:t>
        </w:r>
      </w:hyperlink>
      <w:r>
        <w:rPr>
          <w:b w:val="0"/>
          <w:i w:val="0"/>
        </w:rPr>
        <w:t xml:space="preserve">; </w:t>
      </w:r>
      <w:hyperlink w:anchor="creature-power-and-operation">
        <w:r>
          <w:rPr>
            <w:color w:val="000000"/>
          </w:rPr>
          <w:t xml:space="preserve">Creature, power and operation</w:t>
        </w:r>
      </w:hyperlink>
    </w:p>
    <w:p>
      <w:pPr>
        <w:pStyle w:val="Heading2"/>
      </w:pPr>
      <w:bookmarkStart w:id="192" w:name="primary-self-motion-and-parts"/>
      <w:r>
        <w:rPr>
          <w:b w:val="0"/>
          <w:i w:val="0"/>
        </w:rPr>
        <w:t>Primary self-motion and the regress of parts</w:t>
      </w:r>
      <w:bookmarkEnd w:id="192"/>
    </w:p>
    <w:p>
      <w:pPr>
        <w:keepNext/>
        <w:widowControl/>
      </w:pPr>
      <w:r>
        <w:rPr>
          <w:b/>
          <w:i w:val="0"/>
        </w:rPr>
        <w:t>Latin:</w:t>
      </w:r>
      <w:r>
        <w:rPr>
          <w:b w:val="0"/>
          <w:i w:val="0"/>
        </w:rPr>
        <w:t xml:space="preserve"> </w:t>
      </w:r>
      <w:r>
        <w:rPr>
          <w:b w:val="0"/>
          <w:i/>
        </w:rPr>
        <w:t>per se et primo</w:t>
      </w:r>
      <w:r>
        <w:rPr>
          <w:b w:val="0"/>
          <w:i w:val="0"/>
        </w:rPr>
        <w:t xml:space="preserve">; </w:t>
      </w:r>
      <w:r>
        <w:rPr>
          <w:b w:val="0"/>
          <w:i/>
        </w:rPr>
        <w:t>fons</w:t>
      </w:r>
      <w:r>
        <w:rPr>
          <w:b w:val="0"/>
          <w:i w:val="0"/>
        </w:rPr>
        <w:t xml:space="preserve">; </w:t>
      </w:r>
      <w:r>
        <w:rPr>
          <w:b w:val="0"/>
          <w:i/>
        </w:rPr>
        <w:t>receptaculum</w:t>
      </w:r>
      <w:r>
        <w:rPr>
          <w:b w:val="0"/>
          <w:i w:val="0"/>
        </w:rPr>
        <w:t xml:space="preserve">; </w:t>
      </w:r>
      <w:r>
        <w:rPr>
          <w:b w:val="0"/>
          <w:i/>
        </w:rPr>
        <w:t>participatio</w:t>
      </w:r>
      <w:r>
        <w:rPr>
          <w:b w:val="0"/>
          <w:i w:val="0"/>
        </w:rPr>
        <w:t xml:space="preserve">; </w:t>
      </w:r>
      <w:r>
        <w:rPr>
          <w:b w:val="0"/>
          <w:i/>
        </w:rPr>
        <w:t>partes actu</w:t>
      </w:r>
      <w:r>
        <w:rPr>
          <w:b w:val="0"/>
          <w:i w:val="0"/>
        </w:rPr>
        <w:t xml:space="preserve">; </w:t>
      </w:r>
      <w:r>
        <w:rPr>
          <w:b w:val="0"/>
          <w:i/>
        </w:rPr>
        <w:t>impartibile</w:t>
      </w:r>
    </w:p>
    <w:p>
      <w:pPr>
        <w:keepNext/>
        <w:widowControl/>
      </w:pPr>
      <w:r>
        <w:rPr>
          <w:b/>
          <w:i w:val="0"/>
        </w:rPr>
        <w:t>The word.</w:t>
      </w:r>
    </w:p>
    <w:p>
      <w:pPr>
        <w:widowControl/>
      </w:pPr>
      <w:r>
        <w:rPr>
          <w:b w:val="0"/>
          <w:i w:val="0"/>
        </w:rPr>
        <w:t>Per se and primo distinguish self-motion in its own right and in the primary sense from derivative apparent self-motion. Fons is its source and receptaculum its receiving principle. Impartibile means incapable of partition. Actual parts here are independently acting beings, not merely possible divisions of a continuous whole.</w:t>
      </w:r>
    </w:p>
    <w:p>
      <w:pPr>
        <w:keepNext/>
        <w:widowControl/>
      </w:pPr>
      <w:r>
        <w:rPr>
          <w:b/>
          <w:i w:val="0"/>
        </w:rPr>
        <w:t>In the Platonic Theology.</w:t>
      </w:r>
    </w:p>
    <w:p>
      <w:pPr>
        <w:widowControl/>
      </w:pPr>
      <w:r>
        <w:rPr>
          <w:b w:val="0"/>
          <w:i w:val="0"/>
        </w:rPr>
        <w:t>VI.12 begins by specifying primary self-motion: the same reality must be source and recipient throughout itself. A body could meet this demand only if every part, and every part of each part, moved itself. Any inactive fraction would prevent the whole from being primary self-mover throughout. Since bodily parts are divisible without end, the hypothesis then gives infinitely many movers. Moving is acting, and acting requires actuality; the hypothetical movers would consequently constitute an actually infinite multitude.</w:t>
      </w:r>
    </w:p>
    <w:p>
      <w:pPr>
        <w:widowControl/>
      </w:pPr>
      <w:r>
        <w:rPr>
          <w:b w:val="0"/>
          <w:i w:val="0"/>
        </w:rPr>
        <w:t>This first reductio depends on the difference between potential division and independently actual agency. Ficino does not say that every body already contains an actually infinite population. He derives that population after granting self-motion to every proposed part. VI.12.3 adds that an independently acting part would subsist in its own actuality rather than remain merely a part contained under the composite’s being. The hypothesis thus both produces an unacceptable actual infinity and destroys the unity of the body whose motion it was meant to explain. Its result is that body cannot primarily move itself throughout its own nature.</w:t>
      </w:r>
    </w:p>
    <w:p>
      <w:pPr>
        <w:widowControl/>
      </w:pPr>
      <w:r>
        <w:rPr>
          <w:b w:val="0"/>
          <w:i w:val="0"/>
        </w:rPr>
        <w:t>A second proof in VI.12.4 approaches the claim through four relations. One part may move another; a part may move the whole; the whole may move a part; or the whole may move the whole. In the first case, mover and moved are numerically different, so there is motion by another rather than strict self-motion. In the second, a part moving every part includes itself among what it moves, transferring the decisive problem to that special part. In the third, the whole’s action upon one part still leaves only that part as the proposed self-moving locus; the other parts do not thereby acquire self-motion through themselves. In the fourth, the whole is interpreted as all its parts together moving all its parts, and the claim to self-motion again depends upon what each constituent does. These alternatives converge on dependence on parts rather than merely repeating the initial actual-infinity argument.</w:t>
      </w:r>
    </w:p>
    <w:p>
      <w:pPr>
        <w:widowControl/>
      </w:pPr>
      <w:r>
        <w:rPr>
          <w:b w:val="0"/>
          <w:i w:val="0"/>
        </w:rPr>
        <w:t xml:space="preserve">Ficino acknowledges that the whole is </w:t>
      </w:r>
      <w:r>
        <w:t>“</w:t>
      </w:r>
      <w:r>
        <w:rPr>
          <w:b w:val="0"/>
          <w:i w:val="0"/>
        </w:rPr>
        <w:t>in some manner</w:t>
      </w:r>
      <w:r>
        <w:t>”</w:t>
      </w:r>
      <w:r>
        <w:rPr>
          <w:b w:val="0"/>
          <w:i w:val="0"/>
        </w:rPr>
        <w:t xml:space="preserve"> all its parts. His criticism is that its motion remains borrowed from them, as its composite substance is received from them. Calling the composite self-moving does not yet give it the capacity primarily. The supposedly ultimate active part must therefore be examined. If indivisible, it is already something nonbodily within body, and the sought distinction has been conceded. If divisible, the analysis starts again with its parts. Infinite division never yields one first source; multiplying smaller explanations postpones rather than supplies the origin of movement. VI.12.7 identifies the required impartible inward mover as soul.</w:t>
      </w:r>
    </w:p>
    <w:p>
      <w:pPr>
        <w:widowControl/>
      </w:pPr>
      <w:r>
        <w:rPr>
          <w:b w:val="0"/>
          <w:i w:val="0"/>
        </w:rPr>
        <w:t xml:space="preserve">The participatory conclusion restricts how ordinary self-motion should be understood. While soul is present, living bodies are borne </w:t>
      </w:r>
      <w:r>
        <w:t>“</w:t>
      </w:r>
      <w:r>
        <w:rPr>
          <w:b w:val="0"/>
          <w:i w:val="0"/>
        </w:rPr>
        <w:t>in a certain way</w:t>
      </w:r>
      <w:r>
        <w:t>”</w:t>
      </w:r>
      <w:r>
        <w:rPr>
          <w:b w:val="0"/>
          <w:i w:val="0"/>
        </w:rPr>
        <w:t xml:space="preserve"> of their own accord and in varied directions. When it is absent, they require an external mover. Soul is self-moving properly; bodies acquire their derivative capacity through participation in it. A form dispersed through body cannot serve as the final source because it shares body’s quantitative conditions. The distinction is therefore between primary and derivative explanation, not a denial that animals move spontaneously in ordinary description.</w:t>
      </w:r>
    </w:p>
    <w:p>
      <w:pPr>
        <w:widowControl/>
      </w:pPr>
      <w:r>
        <w:rPr>
          <w:b w:val="0"/>
          <w:i w:val="0"/>
        </w:rPr>
        <w:t>The following objection about the integrity of a whole matters because it proposes a source beyond a bare sum of independently active pieces. Ficino answers through the separation of form’s activity and matter’s receptivity, then through the choice between extended and indivisible integrity. The subsequent clarification also blocks a mechanical picture of soul: its self-motion is not an agent sending action into itself as patient. It is inward vital succession. Those continuations preserve the result as an incorporeal source rather than a tiny bodily engine concealed at the end of division. They also leave the argument’s metaphysical premises visible instead of presenting it as a modern experimental law about physical systems.</w:t>
      </w:r>
    </w:p>
    <w:p>
      <w:pPr>
        <w:keepNext/>
        <w:widowControl/>
      </w:pPr>
      <w:r>
        <w:rPr>
          <w:b/>
          <w:i w:val="0"/>
        </w:rPr>
        <w:t>Places to Read.</w:t>
      </w:r>
    </w:p>
    <w:p>
      <w:pPr>
        <w:ind w:left="187" w:hanging="187"/>
      </w:pPr>
      <w:r>
        <w:t xml:space="preserve">• </w:t>
      </w:r>
      <w:r>
        <w:rPr>
          <w:b/>
          <w:i w:val="0"/>
        </w:rPr>
        <w:t>VI.12.1, VI.12.2, VI.12.3; source PDF pp. 202, 203, 204, 205</w:t>
      </w:r>
      <w:r>
        <w:rPr>
          <w:b w:val="0"/>
          <w:i w:val="0"/>
        </w:rPr>
        <w:t>. The primary whole self-mover is tested against actual infinity and the status of bodily parts.</w:t>
      </w:r>
    </w:p>
    <w:p>
      <w:pPr>
        <w:ind w:left="187" w:hanging="187"/>
      </w:pPr>
      <w:r>
        <w:t xml:space="preserve">• </w:t>
      </w:r>
      <w:r>
        <w:rPr>
          <w:b/>
          <w:i w:val="0"/>
        </w:rPr>
        <w:t>VI.12.4, VI.12.5, VI.12.6; source PDF pp. 204, 205, 206, 207</w:t>
      </w:r>
      <w:r>
        <w:rPr>
          <w:b w:val="0"/>
          <w:i w:val="0"/>
        </w:rPr>
        <w:t>. Four part/whole alternatives reduce to dependence on parts.</w:t>
      </w:r>
    </w:p>
    <w:p>
      <w:pPr>
        <w:ind w:left="187" w:hanging="187"/>
      </w:pPr>
      <w:r>
        <w:t xml:space="preserve">• </w:t>
      </w:r>
      <w:r>
        <w:rPr>
          <w:b/>
          <w:i w:val="0"/>
        </w:rPr>
        <w:t>VI.12.7, VI.12.8; source PDF pp. 208, 209</w:t>
      </w:r>
      <w:r>
        <w:rPr>
          <w:b w:val="0"/>
          <w:i w:val="0"/>
        </w:rPr>
        <w:t>. The regress terminates in an impartible inward soul and derivative participation.</w:t>
      </w:r>
    </w:p>
    <w:p>
      <w:pPr>
        <w:keepNext/>
        <w:widowControl/>
      </w:pPr>
      <w:r>
        <w:rPr>
          <w:b/>
          <w:i w:val="0"/>
        </w:rPr>
        <w:t>In this edition.</w:t>
      </w:r>
    </w:p>
    <w:p>
      <w:pPr>
        <w:widowControl/>
      </w:pPr>
      <w:r>
        <w:rPr>
          <w:b w:val="0"/>
          <w:i w:val="0"/>
        </w:rPr>
        <w:t xml:space="preserve">In VI.12.8 intrinseco is retained against P1641’s extrinseco: the mover must be inward because the example excludes an external push. The apparatus emphasizes actual infinity and borrowed motion. </w:t>
      </w:r>
      <w:r>
        <w:t>“</w:t>
      </w:r>
      <w:r>
        <w:rPr>
          <w:b w:val="0"/>
          <w:i w:val="0"/>
        </w:rPr>
        <w:t>First</w:t>
      </w:r>
      <w:r>
        <w:t>”</w:t>
      </w:r>
      <w:r>
        <w:rPr>
          <w:b w:val="0"/>
          <w:i w:val="0"/>
        </w:rPr>
        <w:t xml:space="preserve"> here is explanatory priority, not merely the earliest event in a chronological series.</w:t>
      </w:r>
    </w:p>
    <w:p>
      <w:pPr>
        <w:keepNext/>
        <w:widowControl/>
      </w:pPr>
      <w:r>
        <w:rPr>
          <w:b/>
          <w:i w:val="0"/>
        </w:rPr>
        <w:t>See also.</w:t>
      </w:r>
    </w:p>
    <w:p>
      <w:pPr>
        <w:widowControl/>
      </w:pPr>
      <w:hyperlink w:anchor="integrity-of-the-whole">
        <w:r>
          <w:rPr>
            <w:color w:val="000000"/>
          </w:rPr>
          <w:t xml:space="preserve">Integrity of the whole</w:t>
        </w:r>
      </w:hyperlink>
      <w:r>
        <w:rPr>
          <w:b w:val="0"/>
          <w:i w:val="0"/>
        </w:rPr>
        <w:t xml:space="preserve">; </w:t>
      </w:r>
      <w:hyperlink w:anchor="vital-motion-action-and-passion">
        <w:r>
          <w:rPr>
            <w:color w:val="000000"/>
          </w:rPr>
          <w:t xml:space="preserve">Vital motion, action and passion</w:t>
        </w:r>
      </w:hyperlink>
      <w:r>
        <w:rPr>
          <w:b w:val="0"/>
          <w:i w:val="0"/>
        </w:rPr>
        <w:t xml:space="preserve">; </w:t>
      </w:r>
      <w:hyperlink w:anchor="number-and-spiritual-amplitude">
        <w:r>
          <w:rPr>
            <w:color w:val="000000"/>
          </w:rPr>
          <w:t xml:space="preserve">Number and spiritual amplitude</w:t>
        </w:r>
      </w:hyperlink>
    </w:p>
    <w:p>
      <w:pPr>
        <w:pStyle w:val="Heading2"/>
      </w:pPr>
      <w:bookmarkStart w:id="193" w:name="prime-matter-and-enduring-support"/>
      <w:r>
        <w:rPr>
          <w:b w:val="0"/>
          <w:i w:val="0"/>
        </w:rPr>
        <w:t>Prime matter and enduring support</w:t>
      </w:r>
      <w:bookmarkEnd w:id="193"/>
    </w:p>
    <w:p>
      <w:pPr>
        <w:keepNext/>
        <w:widowControl/>
      </w:pPr>
      <w:r>
        <w:rPr>
          <w:b/>
          <w:i w:val="0"/>
        </w:rPr>
        <w:t>Latin:</w:t>
      </w:r>
      <w:r>
        <w:rPr>
          <w:b w:val="0"/>
          <w:i w:val="0"/>
        </w:rPr>
        <w:t xml:space="preserve"> </w:t>
      </w:r>
      <w:r>
        <w:rPr>
          <w:b w:val="0"/>
          <w:i/>
        </w:rPr>
        <w:t>materia prima</w:t>
      </w:r>
      <w:r>
        <w:rPr>
          <w:b w:val="0"/>
          <w:i w:val="0"/>
        </w:rPr>
        <w:t xml:space="preserve">; </w:t>
      </w:r>
      <w:r>
        <w:rPr>
          <w:b w:val="0"/>
          <w:i/>
        </w:rPr>
        <w:t>potentia pura</w:t>
      </w:r>
      <w:r>
        <w:rPr>
          <w:b w:val="0"/>
          <w:i w:val="0"/>
        </w:rPr>
        <w:t xml:space="preserve">; </w:t>
      </w:r>
      <w:r>
        <w:rPr>
          <w:b w:val="0"/>
          <w:i/>
        </w:rPr>
        <w:t>subiectum</w:t>
      </w:r>
      <w:r>
        <w:rPr>
          <w:b w:val="0"/>
          <w:i w:val="0"/>
        </w:rPr>
        <w:t xml:space="preserve">; </w:t>
      </w:r>
      <w:r>
        <w:rPr>
          <w:b w:val="0"/>
          <w:i/>
        </w:rPr>
        <w:t>susceptaculum</w:t>
      </w:r>
      <w:r>
        <w:rPr>
          <w:b w:val="0"/>
          <w:i w:val="0"/>
        </w:rPr>
        <w:t xml:space="preserve">; </w:t>
      </w:r>
      <w:r>
        <w:rPr>
          <w:b w:val="0"/>
          <w:i/>
        </w:rPr>
        <w:t>fundamentum</w:t>
      </w:r>
      <w:r>
        <w:rPr>
          <w:b w:val="0"/>
          <w:i w:val="0"/>
        </w:rPr>
        <w:t xml:space="preserve">; </w:t>
      </w:r>
      <w:r>
        <w:rPr>
          <w:b w:val="0"/>
          <w:i/>
        </w:rPr>
        <w:t>sustentaculum</w:t>
      </w:r>
      <w:r>
        <w:rPr>
          <w:b w:val="0"/>
          <w:i w:val="0"/>
        </w:rPr>
        <w:t xml:space="preserve">; </w:t>
      </w:r>
      <w:r>
        <w:rPr>
          <w:b w:val="0"/>
          <w:i/>
        </w:rPr>
        <w:t>informis</w:t>
      </w:r>
    </w:p>
    <w:p>
      <w:pPr>
        <w:keepNext/>
        <w:widowControl/>
      </w:pPr>
      <w:r>
        <w:rPr>
          <w:b/>
          <w:i w:val="0"/>
        </w:rPr>
        <w:t>The word.</w:t>
      </w:r>
    </w:p>
    <w:p>
      <w:pPr>
        <w:widowControl/>
      </w:pPr>
      <w:r>
        <w:rPr>
          <w:b w:val="0"/>
          <w:i w:val="0"/>
        </w:rPr>
        <w:t>Materia prima is primary matter, the underlying capacity for bodily forms, rather than an already identified element or lump. Informis means lacking form of its own. Subiectum, fundamentum and sustentaculum stress underlying subject, foundation and support; susceptaculum stresses receptivity.</w:t>
      </w:r>
    </w:p>
    <w:p>
      <w:pPr>
        <w:keepNext/>
        <w:widowControl/>
      </w:pPr>
      <w:r>
        <w:rPr>
          <w:b/>
          <w:i w:val="0"/>
        </w:rPr>
        <w:t>In the Platonic Theology.</w:t>
      </w:r>
    </w:p>
    <w:p>
      <w:pPr>
        <w:widowControl/>
      </w:pPr>
      <w:r>
        <w:rPr>
          <w:b w:val="0"/>
          <w:i w:val="0"/>
        </w:rPr>
        <w:t>V.4 argues first that matter persists, then a fortiori that the soul ruling matter persists. Clay surviving its vessels offers a model, but prime matter is more radical than clay: it has no particular form of its own and is equally receptive of elemental and other bodily forms. God as pure act and matter as pure potency mark opposite limits of the hierarchy. If matter were naturally cold or moist, its own character would obstruct a contrary form.</w:t>
      </w:r>
    </w:p>
    <w:p>
      <w:pPr>
        <w:widowControl/>
      </w:pPr>
      <w:r>
        <w:rPr>
          <w:b w:val="0"/>
          <w:i w:val="0"/>
        </w:rPr>
        <w:t>Elemental transformation reveals the hidden subject. Earth’s form cannot itself receive the opposed watery form; the same matter must underlie the replacement. Water’s conversion to air, and air’s to fire, similarly changes qualities without annihilating the underlying subject. Matter’s unity follows both from one world’s requiring one receptacle and from the absence of an intrinsic distinguishing form.</w:t>
      </w:r>
    </w:p>
    <w:p>
      <w:pPr>
        <w:widowControl/>
      </w:pPr>
      <w:r>
        <w:rPr>
          <w:b w:val="0"/>
          <w:i w:val="0"/>
        </w:rPr>
        <w:t>The preservation argument then tests possible destructions. Matter cannot dissolve into parts as though quantity constituted its own essence: it precedes quantity in the natural order. It cannot lose an external support, since it is the bodily order’s first support. A form requiring matter cannot annihilate its own foundation; production independent of matter has no need to destroy it. Nor can matter survive only partly after a transformation, since its primary simplicity excludes that model.</w:t>
      </w:r>
    </w:p>
    <w:p>
      <w:pPr>
        <w:widowControl/>
      </w:pPr>
      <w:r>
        <w:rPr>
          <w:b w:val="0"/>
          <w:i w:val="0"/>
        </w:rPr>
        <w:t>Ficino’s conclusion concerns prime matter, not the survival of a particular vessel, lion, fire or human body. In V.12 the very persistence of matter’s indifference to different forms explains why particular bodily substances can perish. The argument thus combines enduring substrate with changing composites.</w:t>
      </w:r>
    </w:p>
    <w:p>
      <w:pPr>
        <w:keepNext/>
        <w:widowControl/>
      </w:pPr>
      <w:r>
        <w:rPr>
          <w:b/>
          <w:i w:val="0"/>
        </w:rPr>
        <w:t>Places to Read.</w:t>
      </w:r>
    </w:p>
    <w:p>
      <w:pPr>
        <w:ind w:left="187" w:hanging="187"/>
      </w:pPr>
      <w:r>
        <w:t xml:space="preserve">• </w:t>
      </w:r>
      <w:r>
        <w:rPr>
          <w:b/>
          <w:i w:val="0"/>
        </w:rPr>
        <w:t>V.4.1, V.4.3, V.4.4, PDF 16–21.</w:t>
      </w:r>
      <w:r>
        <w:rPr>
          <w:b w:val="0"/>
          <w:i w:val="0"/>
        </w:rPr>
        <w:t xml:space="preserve"> Universal receptivity and elemental transformation disclose the hidden subject.</w:t>
      </w:r>
    </w:p>
    <w:p>
      <w:pPr>
        <w:ind w:left="187" w:hanging="187"/>
      </w:pPr>
      <w:r>
        <w:t xml:space="preserve">• </w:t>
      </w:r>
      <w:r>
        <w:rPr>
          <w:b/>
          <w:i w:val="0"/>
        </w:rPr>
        <w:t>V.4.5, V.4.6, V.4.8, V.4.9, V.4.10, PDF 20–25.</w:t>
      </w:r>
      <w:r>
        <w:rPr>
          <w:b w:val="0"/>
          <w:i w:val="0"/>
        </w:rPr>
        <w:t xml:space="preserve"> The foundation cannot be destroyed by dissolution, contrary form or independent production.</w:t>
      </w:r>
    </w:p>
    <w:p>
      <w:pPr>
        <w:ind w:left="187" w:hanging="187"/>
      </w:pPr>
      <w:r>
        <w:t xml:space="preserve">• </w:t>
      </w:r>
      <w:r>
        <w:rPr>
          <w:b/>
          <w:i w:val="0"/>
        </w:rPr>
        <w:t>V.12.5, V.12.6, V.12.7, PDF 70–73.</w:t>
      </w:r>
      <w:r>
        <w:rPr>
          <w:b w:val="0"/>
          <w:i w:val="0"/>
        </w:rPr>
        <w:t xml:space="preserve"> The surviving potency of prime matter underlies the possible loss of a particular body.</w:t>
      </w:r>
    </w:p>
    <w:p>
      <w:pPr>
        <w:keepNext/>
        <w:widowControl/>
      </w:pPr>
      <w:r>
        <w:rPr>
          <w:b/>
          <w:i w:val="0"/>
        </w:rPr>
        <w:t>In this edition.</w:t>
      </w:r>
    </w:p>
    <w:p>
      <w:pPr>
        <w:widowControl/>
      </w:pPr>
      <w:r>
        <w:t>“</w:t>
      </w:r>
      <w:r>
        <w:rPr>
          <w:b w:val="0"/>
          <w:i w:val="0"/>
        </w:rPr>
        <w:t>Primary matter</w:t>
      </w:r>
      <w:r>
        <w:t>”</w:t>
      </w:r>
      <w:r>
        <w:rPr>
          <w:b w:val="0"/>
          <w:i w:val="0"/>
        </w:rPr>
        <w:t xml:space="preserve"> in the facing translation and the conventional </w:t>
      </w:r>
      <w:r>
        <w:t>“</w:t>
      </w:r>
      <w:r>
        <w:rPr>
          <w:b w:val="0"/>
          <w:i w:val="0"/>
        </w:rPr>
        <w:t>prime matter</w:t>
      </w:r>
      <w:r>
        <w:t>”</w:t>
      </w:r>
      <w:r>
        <w:rPr>
          <w:b w:val="0"/>
          <w:i w:val="0"/>
        </w:rPr>
        <w:t xml:space="preserve"> identify the same expression. The apparatus records a corrected ad agendum at V.4.6, not the erroneous ad angelum in the body of the first printing. The occasional reference to spiritual matter in V.11 is an analogy for essence, not a retraction of the soul’s freedom from this bodily subject.</w:t>
      </w:r>
    </w:p>
    <w:p>
      <w:pPr>
        <w:keepNext/>
        <w:widowControl/>
      </w:pPr>
      <w:r>
        <w:rPr>
          <w:b/>
          <w:i w:val="0"/>
        </w:rPr>
        <w:t>See also.</w:t>
      </w:r>
    </w:p>
    <w:p>
      <w:pPr>
        <w:widowControl/>
      </w:pPr>
      <w:hyperlink w:anchor="art-and-elemental-transformation">
        <w:r>
          <w:rPr>
            <w:color w:val="000000"/>
          </w:rPr>
          <w:t xml:space="preserve">Art and elemental transformation</w:t>
        </w:r>
      </w:hyperlink>
      <w:r>
        <w:rPr>
          <w:b w:val="0"/>
          <w:i w:val="0"/>
        </w:rPr>
        <w:t xml:space="preserve">; </w:t>
      </w:r>
      <w:hyperlink w:anchor="potency-possibility-and-the-lion">
        <w:r>
          <w:rPr>
            <w:color w:val="000000"/>
          </w:rPr>
          <w:t xml:space="preserve">Potency, possibility and the lion</w:t>
        </w:r>
      </w:hyperlink>
      <w:r>
        <w:rPr>
          <w:b w:val="0"/>
          <w:i w:val="0"/>
        </w:rPr>
        <w:t xml:space="preserve">; </w:t>
      </w:r>
      <w:hyperlink w:anchor="spiritual-matter-and-identity">
        <w:r>
          <w:rPr>
            <w:color w:val="000000"/>
          </w:rPr>
          <w:t xml:space="preserve">Spiritual matter and identity</w:t>
        </w:r>
      </w:hyperlink>
    </w:p>
    <w:p>
      <w:pPr>
        <w:pStyle w:val="Heading2"/>
      </w:pPr>
      <w:bookmarkStart w:id="194" w:name="vii-proportion-bodily-goods"/>
      <w:r>
        <w:rPr>
          <w:b w:val="0"/>
          <w:i w:val="0"/>
        </w:rPr>
        <w:t>Proportion, health, strength and beauty</w:t>
      </w:r>
      <w:bookmarkEnd w:id="194"/>
    </w:p>
    <w:p>
      <w:pPr>
        <w:keepNext/>
        <w:widowControl/>
      </w:pPr>
      <w:r>
        <w:rPr>
          <w:b/>
          <w:i w:val="0"/>
        </w:rPr>
        <w:t>Latin:</w:t>
      </w:r>
      <w:r>
        <w:rPr>
          <w:b w:val="0"/>
          <w:i w:val="0"/>
        </w:rPr>
        <w:t xml:space="preserve"> </w:t>
      </w:r>
      <w:r>
        <w:rPr>
          <w:b w:val="0"/>
          <w:i/>
        </w:rPr>
        <w:t>ratio compositionis</w:t>
      </w:r>
      <w:r>
        <w:rPr>
          <w:b w:val="0"/>
          <w:i w:val="0"/>
        </w:rPr>
        <w:t xml:space="preserve">; </w:t>
      </w:r>
      <w:r>
        <w:rPr>
          <w:b w:val="0"/>
          <w:i/>
        </w:rPr>
        <w:t>proportio</w:t>
      </w:r>
      <w:r>
        <w:rPr>
          <w:b w:val="0"/>
          <w:i w:val="0"/>
        </w:rPr>
        <w:t xml:space="preserve">; </w:t>
      </w:r>
      <w:r>
        <w:rPr>
          <w:b w:val="0"/>
          <w:i/>
        </w:rPr>
        <w:t>sanitas</w:t>
      </w:r>
      <w:r>
        <w:rPr>
          <w:b w:val="0"/>
          <w:i w:val="0"/>
        </w:rPr>
        <w:t xml:space="preserve">; </w:t>
      </w:r>
      <w:r>
        <w:rPr>
          <w:b w:val="0"/>
          <w:i/>
        </w:rPr>
        <w:t>robur</w:t>
      </w:r>
      <w:r>
        <w:rPr>
          <w:b w:val="0"/>
          <w:i w:val="0"/>
        </w:rPr>
        <w:t xml:space="preserve">; </w:t>
      </w:r>
      <w:r>
        <w:rPr>
          <w:b w:val="0"/>
          <w:i/>
        </w:rPr>
        <w:t>pulchritudo</w:t>
      </w:r>
      <w:r>
        <w:rPr>
          <w:b w:val="0"/>
          <w:i w:val="0"/>
        </w:rPr>
        <w:t xml:space="preserve">; </w:t>
      </w:r>
      <w:r>
        <w:rPr>
          <w:b w:val="0"/>
          <w:i/>
        </w:rPr>
        <w:t>os</w:t>
      </w:r>
      <w:r>
        <w:rPr>
          <w:b w:val="0"/>
          <w:i w:val="0"/>
        </w:rPr>
        <w:t xml:space="preserve">; </w:t>
      </w:r>
      <w:r>
        <w:rPr>
          <w:b w:val="0"/>
          <w:i/>
        </w:rPr>
        <w:t>nervus</w:t>
      </w:r>
      <w:r>
        <w:rPr>
          <w:b w:val="0"/>
          <w:i w:val="0"/>
        </w:rPr>
        <w:t xml:space="preserve">; </w:t>
      </w:r>
      <w:r>
        <w:rPr>
          <w:b w:val="0"/>
          <w:i/>
        </w:rPr>
        <w:t>caro</w:t>
      </w:r>
    </w:p>
    <w:p>
      <w:pPr>
        <w:keepNext/>
        <w:widowControl/>
      </w:pPr>
      <w:r>
        <w:rPr>
          <w:b/>
          <w:i w:val="0"/>
        </w:rPr>
        <w:t>The word.</w:t>
      </w:r>
    </w:p>
    <w:p>
      <w:pPr>
        <w:widowControl/>
      </w:pPr>
      <w:r>
        <w:rPr>
          <w:b w:val="0"/>
          <w:i/>
        </w:rPr>
        <w:t>Ratio</w:t>
      </w:r>
      <w:r>
        <w:rPr>
          <w:b w:val="0"/>
          <w:i w:val="0"/>
        </w:rPr>
        <w:t xml:space="preserve"> can name an account or a determinate relation; here </w:t>
      </w:r>
      <w:r>
        <w:rPr>
          <w:b w:val="0"/>
          <w:i/>
        </w:rPr>
        <w:t>ratio compositionis</w:t>
      </w:r>
      <w:r>
        <w:rPr>
          <w:b w:val="0"/>
          <w:i w:val="0"/>
        </w:rPr>
        <w:t xml:space="preserve"> concerns the proportion of constituents. It is not simply the rational faculty. Health, strength and beauty are bodily perfections whose relevant proportions differ.</w:t>
      </w:r>
    </w:p>
    <w:p>
      <w:pPr>
        <w:keepNext/>
        <w:widowControl/>
      </w:pPr>
      <w:r>
        <w:rPr>
          <w:b/>
          <w:i w:val="0"/>
        </w:rPr>
        <w:t>In the Platonic Theology.</w:t>
      </w:r>
    </w:p>
    <w:p>
      <w:pPr>
        <w:widowControl/>
      </w:pPr>
      <w:r>
        <w:rPr>
          <w:b w:val="0"/>
          <w:i w:val="0"/>
        </w:rPr>
        <w:t>The second reading of soul-as-concord makes soul a proportion within bodily composition. Ficino objects that different members have different proportions: bone, nerve and flesh would each possess a different soul. This fails to explain the one life of a single living creature, requiring one form, mover and ruler.</w:t>
      </w:r>
    </w:p>
    <w:p>
      <w:pPr>
        <w:widowControl/>
      </w:pPr>
      <w:r>
        <w:rPr>
          <w:b w:val="0"/>
          <w:i w:val="0"/>
        </w:rPr>
        <w:t>He then recognizes the proper domain of the proposal. Health is concord of humors; strength concord of bones and nerves; beauty, in a qualified way, concord of members and colors. Proportion does explanatory work in those bodily cases. Sensation and intellect, however, are simple acts whose alleged harmonious constituents have not been identified. Knowing a body’s proportion therefore gives some understanding of its health, strength and beauty without yet revealing the soul’s powers, affections, acts and habits.</w:t>
      </w:r>
    </w:p>
    <w:p>
      <w:pPr>
        <w:widowControl/>
      </w:pPr>
      <w:r>
        <w:rPr>
          <w:b w:val="0"/>
          <w:i w:val="0"/>
        </w:rPr>
        <w:t>The comparison of Aristotle and Hippocrates illustrates this difference of explanatory competence. Ficino says Aristotle knows sensing and understanding better, while Hippocrates examines bodily proportions more carefully. This is a local contrast offered by Ficino; it should not become a documented historical ranking of their complete sciences. Nor does he conclude that bodily proportion is irrelevant to cognition’s instruments. His point is that the knowledge sufficient for the bodily qualities does not disclose the soul’s substance.</w:t>
      </w:r>
    </w:p>
    <w:p>
      <w:pPr>
        <w:keepNext/>
        <w:widowControl/>
      </w:pPr>
      <w:r>
        <w:rPr>
          <w:b/>
          <w:i w:val="0"/>
        </w:rPr>
        <w:t>Places to Read.</w:t>
      </w:r>
    </w:p>
    <w:p>
      <w:pPr>
        <w:ind w:left="187" w:hanging="187"/>
      </w:pPr>
      <w:r>
        <w:t xml:space="preserve">• </w:t>
      </w:r>
      <w:r>
        <w:rPr>
          <w:b/>
          <w:i w:val="0"/>
        </w:rPr>
        <w:t>VII.12.1, PDF 274–275</w:t>
      </w:r>
      <w:r>
        <w:rPr>
          <w:b w:val="0"/>
          <w:i w:val="0"/>
        </w:rPr>
        <w:t>. Different tissue proportions, one life, three bodily goods and the Aristotle–Hippocrates contrast form successive tests.</w:t>
      </w:r>
    </w:p>
    <w:p>
      <w:pPr>
        <w:keepNext/>
        <w:widowControl/>
      </w:pPr>
      <w:r>
        <w:rPr>
          <w:b/>
          <w:i w:val="0"/>
        </w:rPr>
        <w:t>In this edition.</w:t>
      </w:r>
    </w:p>
    <w:p>
      <w:pPr>
        <w:widowControl/>
      </w:pPr>
      <w:r>
        <w:rPr>
          <w:b w:val="0"/>
          <w:i w:val="0"/>
        </w:rPr>
        <w:t xml:space="preserve">The first </w:t>
      </w:r>
      <w:r>
        <w:rPr>
          <w:b w:val="0"/>
          <w:i/>
        </w:rPr>
        <w:t>ratio</w:t>
      </w:r>
      <w:r>
        <w:rPr>
          <w:b w:val="0"/>
          <w:i w:val="0"/>
        </w:rPr>
        <w:t xml:space="preserve"> in the chapter’s dilemma is rendered </w:t>
      </w:r>
      <w:r>
        <w:t>“</w:t>
      </w:r>
      <w:r>
        <w:rPr>
          <w:b w:val="0"/>
          <w:i w:val="0"/>
        </w:rPr>
        <w:t>proportion</w:t>
      </w:r>
      <w:r>
        <w:t>”</w:t>
      </w:r>
      <w:r>
        <w:rPr>
          <w:b w:val="0"/>
          <w:i w:val="0"/>
        </w:rPr>
        <w:t xml:space="preserve">; later </w:t>
      </w:r>
      <w:r>
        <w:rPr>
          <w:b w:val="0"/>
          <w:i/>
        </w:rPr>
        <w:t>rationes atque proportiones</w:t>
      </w:r>
      <w:r>
        <w:rPr>
          <w:b w:val="0"/>
          <w:i w:val="0"/>
        </w:rPr>
        <w:t xml:space="preserve"> preserves its pairing with explicit proportions. </w:t>
      </w:r>
      <w:r>
        <w:t>“</w:t>
      </w:r>
      <w:r>
        <w:rPr>
          <w:b w:val="0"/>
          <w:i w:val="0"/>
        </w:rPr>
        <w:t>In a certain way</w:t>
      </w:r>
      <w:r>
        <w:t>”</w:t>
      </w:r>
      <w:r>
        <w:rPr>
          <w:b w:val="0"/>
          <w:i w:val="0"/>
        </w:rPr>
        <w:t xml:space="preserve"> retains </w:t>
      </w:r>
      <w:r>
        <w:rPr>
          <w:b w:val="0"/>
          <w:i/>
        </w:rPr>
        <w:t>quodammodo</w:t>
      </w:r>
      <w:r>
        <w:rPr>
          <w:b w:val="0"/>
          <w:i w:val="0"/>
        </w:rPr>
        <w:t xml:space="preserve"> in the definition of beauty. </w:t>
      </w:r>
      <w:r>
        <w:rPr>
          <w:b w:val="0"/>
          <w:i/>
        </w:rPr>
        <w:t>Os</w:t>
      </w:r>
      <w:r>
        <w:rPr>
          <w:b w:val="0"/>
          <w:i w:val="0"/>
        </w:rPr>
        <w:t xml:space="preserve"> here is bone, while </w:t>
      </w:r>
      <w:r>
        <w:rPr>
          <w:b w:val="0"/>
          <w:i/>
        </w:rPr>
        <w:t>os clamat</w:t>
      </w:r>
      <w:r>
        <w:rPr>
          <w:b w:val="0"/>
          <w:i w:val="0"/>
        </w:rPr>
        <w:t xml:space="preserve"> at VII.5.1 concerns the mouth.</w:t>
      </w:r>
    </w:p>
    <w:p>
      <w:pPr>
        <w:keepNext/>
        <w:widowControl/>
      </w:pPr>
      <w:r>
        <w:rPr>
          <w:b/>
          <w:i w:val="0"/>
        </w:rPr>
        <w:t>See also.</w:t>
      </w:r>
    </w:p>
    <w:p>
      <w:pPr>
        <w:widowControl/>
      </w:pPr>
      <w:hyperlink w:anchor="vii-composition-unity">
        <w:r>
          <w:rPr>
            <w:color w:val="000000"/>
          </w:rPr>
          <w:t xml:space="preserve">Composition and inward unity</w:t>
        </w:r>
      </w:hyperlink>
      <w:r>
        <w:rPr>
          <w:b w:val="0"/>
          <w:i w:val="0"/>
        </w:rPr>
        <w:t xml:space="preserve">; </w:t>
      </w:r>
      <w:hyperlink w:anchor="vii-substance-degrees">
        <w:r>
          <w:rPr>
            <w:color w:val="000000"/>
          </w:rPr>
          <w:t xml:space="preserve">Substance, qualities and degrees</w:t>
        </w:r>
      </w:hyperlink>
      <w:r>
        <w:rPr>
          <w:b w:val="0"/>
          <w:i w:val="0"/>
        </w:rPr>
        <w:t xml:space="preserve">; </w:t>
      </w:r>
      <w:hyperlink w:anchor="vii-bodily-constitution">
        <w:r>
          <w:rPr>
            <w:color w:val="000000"/>
          </w:rPr>
          <w:t xml:space="preserve">Bodily constitution and temperament</w:t>
        </w:r>
      </w:hyperlink>
    </w:p>
    <w:p>
      <w:pPr>
        <w:pStyle w:val="Heading2"/>
      </w:pPr>
      <w:bookmarkStart w:id="195" w:name="rational-soul-and-irrational-life"/>
      <w:r>
        <w:rPr>
          <w:b w:val="0"/>
          <w:i w:val="0"/>
        </w:rPr>
        <w:t>Rational soul and irrational life</w:t>
      </w:r>
      <w:bookmarkEnd w:id="195"/>
    </w:p>
    <w:p>
      <w:pPr>
        <w:keepNext/>
        <w:widowControl/>
      </w:pPr>
      <w:r>
        <w:rPr>
          <w:b/>
          <w:i w:val="0"/>
        </w:rPr>
        <w:t>Latin:</w:t>
      </w:r>
      <w:r>
        <w:rPr>
          <w:b w:val="0"/>
          <w:i w:val="0"/>
        </w:rPr>
        <w:t xml:space="preserve"> </w:t>
      </w:r>
      <w:r>
        <w:rPr>
          <w:b w:val="0"/>
          <w:i/>
        </w:rPr>
        <w:t>anima rationalis</w:t>
      </w:r>
      <w:r>
        <w:rPr>
          <w:b w:val="0"/>
          <w:i w:val="0"/>
        </w:rPr>
        <w:t xml:space="preserve">; </w:t>
      </w:r>
      <w:r>
        <w:rPr>
          <w:b w:val="0"/>
          <w:i/>
        </w:rPr>
        <w:t>irrationales vitae</w:t>
      </w:r>
      <w:r>
        <w:rPr>
          <w:b w:val="0"/>
          <w:i w:val="0"/>
        </w:rPr>
        <w:t xml:space="preserve">; </w:t>
      </w:r>
      <w:r>
        <w:rPr>
          <w:b w:val="0"/>
          <w:i/>
        </w:rPr>
        <w:t>animus</w:t>
      </w:r>
      <w:r>
        <w:rPr>
          <w:b w:val="0"/>
          <w:i w:val="0"/>
        </w:rPr>
        <w:t xml:space="preserve">; </w:t>
      </w:r>
      <w:r>
        <w:rPr>
          <w:b w:val="0"/>
          <w:i/>
        </w:rPr>
        <w:t>animatum</w:t>
      </w:r>
      <w:r>
        <w:rPr>
          <w:b w:val="0"/>
          <w:i w:val="0"/>
        </w:rPr>
        <w:t xml:space="preserve">; </w:t>
      </w:r>
      <w:r>
        <w:rPr>
          <w:b w:val="0"/>
          <w:i/>
        </w:rPr>
        <w:t>anima vera</w:t>
      </w:r>
      <w:r>
        <w:rPr>
          <w:b w:val="0"/>
          <w:i w:val="0"/>
        </w:rPr>
        <w:t xml:space="preserve">; </w:t>
      </w:r>
      <w:r>
        <w:rPr>
          <w:b w:val="0"/>
          <w:i/>
        </w:rPr>
        <w:t>idolum</w:t>
      </w:r>
      <w:r>
        <w:rPr>
          <w:b w:val="0"/>
          <w:i w:val="0"/>
        </w:rPr>
        <w:t xml:space="preserve">; </w:t>
      </w:r>
      <w:r>
        <w:rPr>
          <w:b w:val="0"/>
          <w:i/>
        </w:rPr>
        <w:t>simulacrum</w:t>
      </w:r>
    </w:p>
    <w:p>
      <w:pPr>
        <w:keepNext/>
        <w:widowControl/>
      </w:pPr>
      <w:r>
        <w:rPr>
          <w:b/>
          <w:i w:val="0"/>
        </w:rPr>
        <w:t>The word.</w:t>
      </w:r>
    </w:p>
    <w:p>
      <w:pPr>
        <w:widowControl/>
      </w:pPr>
      <w:r>
        <w:rPr>
          <w:b w:val="0"/>
          <w:i w:val="0"/>
        </w:rPr>
        <w:t xml:space="preserve">Anima names soul; animus often names the same rational principle as mind. Animatum is a thing made alive or ensouled. Rationalis distinguishes the soul possessing rational self-directed activity from derivative forms of bodily life. </w:t>
      </w:r>
      <w:r>
        <w:t>“</w:t>
      </w:r>
      <w:r>
        <w:rPr>
          <w:b w:val="0"/>
          <w:i w:val="0"/>
        </w:rPr>
        <w:t>Irrational life</w:t>
      </w:r>
      <w:r>
        <w:t>”</w:t>
      </w:r>
      <w:r>
        <w:rPr>
          <w:b w:val="0"/>
          <w:i w:val="0"/>
        </w:rPr>
        <w:t xml:space="preserve"> is not simply a moral insult or an inability to speak.</w:t>
      </w:r>
    </w:p>
    <w:p>
      <w:pPr>
        <w:keepNext/>
        <w:widowControl/>
      </w:pPr>
      <w:r>
        <w:rPr>
          <w:b/>
          <w:i w:val="0"/>
        </w:rPr>
        <w:t>In the Platonic Theology.</w:t>
      </w:r>
    </w:p>
    <w:p>
      <w:pPr>
        <w:widowControl/>
      </w:pPr>
      <w:r>
        <w:rPr>
          <w:b w:val="0"/>
          <w:i w:val="0"/>
        </w:rPr>
        <w:t xml:space="preserve">The opening </w:t>
      </w:r>
      <w:r>
        <w:t>“</w:t>
      </w:r>
      <w:r>
        <w:rPr>
          <w:b w:val="0"/>
          <w:i w:val="0"/>
        </w:rPr>
        <w:t>all souls</w:t>
      </w:r>
      <w:r>
        <w:t>”</w:t>
      </w:r>
      <w:r>
        <w:rPr>
          <w:b w:val="0"/>
          <w:i w:val="0"/>
        </w:rPr>
        <w:t xml:space="preserve"> is explicitly limited in V.2.1: Ficino says that by soul he means the class of rational souls, while irrational lives are properly images and likenesses. This restriction controls the universality of the fifteen proofs. Their conclusions should not automatically be extended to every biological life-principle.</w:t>
      </w:r>
    </w:p>
    <w:p>
      <w:pPr>
        <w:widowControl/>
      </w:pPr>
      <w:r>
        <w:rPr>
          <w:b w:val="0"/>
          <w:i w:val="0"/>
        </w:rPr>
        <w:t xml:space="preserve">V.14.8 supplies the grounds of the distinction. True soul is subsistent life, source of motion and bodily animation, while irrational life acts with bodily instruments and is drawn by objects offered to sense. The rational soul’s approach to body pours out an irrational life as a shadow. Ficino thus distinguishes the abiding giver from its derivative animation of an organism; </w:t>
      </w:r>
      <w:r>
        <w:t>“</w:t>
      </w:r>
      <w:r>
        <w:rPr>
          <w:b w:val="0"/>
          <w:i w:val="0"/>
        </w:rPr>
        <w:t>image</w:t>
      </w:r>
      <w:r>
        <w:t>”</w:t>
      </w:r>
      <w:r>
        <w:rPr>
          <w:b w:val="0"/>
          <w:i w:val="0"/>
        </w:rPr>
        <w:t xml:space="preserve"> need not mean a wholly unreal appearance.</w:t>
      </w:r>
    </w:p>
    <w:p>
      <w:pPr>
        <w:widowControl/>
      </w:pPr>
      <w:r>
        <w:rPr>
          <w:b w:val="0"/>
          <w:i w:val="0"/>
        </w:rPr>
        <w:t>The chapter then records an actual dispute rather than inventing agreement among Platonists. Xenocrates, Speusippus, Numenius and Plotinus are said to affirm the irrational soul’s immortality, while Porphyry, Proclus and many others deny it. The subsequent descent-of-souls explanation is attributed and set aside. V.13.18 separately reports a distinction between life impressed on a perpetual ethereal vehicle and life impressed on a perishable elemental body.</w:t>
      </w:r>
    </w:p>
    <w:p>
      <w:pPr>
        <w:widowControl/>
      </w:pPr>
      <w:r>
        <w:rPr>
          <w:b w:val="0"/>
          <w:i w:val="0"/>
        </w:rPr>
        <w:t>The life argument in V.14.1 and V.15.7–8 sharpens anima/animatum: a thing whose life departs is an ensouled recipient, whereas the life that departs is the soul. Ficino is arguing for the source’s persistence, not saying the abandoned body remains alive. V.15.27 finally refuses a conversion of rational soul into its own lower derivative life.</w:t>
      </w:r>
    </w:p>
    <w:p>
      <w:pPr>
        <w:keepNext/>
        <w:widowControl/>
      </w:pPr>
      <w:r>
        <w:rPr>
          <w:b/>
          <w:i w:val="0"/>
        </w:rPr>
        <w:t>Places to Read.</w:t>
      </w:r>
    </w:p>
    <w:p>
      <w:pPr>
        <w:ind w:left="187" w:hanging="187"/>
      </w:pPr>
      <w:r>
        <w:t xml:space="preserve">• </w:t>
      </w:r>
      <w:r>
        <w:rPr>
          <w:b/>
          <w:i w:val="0"/>
        </w:rPr>
        <w:t>V.2.1, PDF 12–13.</w:t>
      </w:r>
      <w:r>
        <w:rPr>
          <w:b w:val="0"/>
          <w:i w:val="0"/>
        </w:rPr>
        <w:t xml:space="preserve"> Ficino explicitly states the rational scope of anima in these proofs.</w:t>
      </w:r>
    </w:p>
    <w:p>
      <w:pPr>
        <w:ind w:left="187" w:hanging="187"/>
      </w:pPr>
      <w:r>
        <w:t xml:space="preserve">• </w:t>
      </w:r>
      <w:r>
        <w:rPr>
          <w:b/>
          <w:i w:val="0"/>
        </w:rPr>
        <w:t>V.13.18, PDF 92–93.</w:t>
      </w:r>
      <w:r>
        <w:rPr>
          <w:b w:val="0"/>
          <w:i w:val="0"/>
        </w:rPr>
        <w:t xml:space="preserve"> Reported distinctions between rational source, irrational life and different vehicles.</w:t>
      </w:r>
    </w:p>
    <w:p>
      <w:pPr>
        <w:ind w:left="187" w:hanging="187"/>
      </w:pPr>
      <w:r>
        <w:t xml:space="preserve">• </w:t>
      </w:r>
      <w:r>
        <w:rPr>
          <w:b/>
          <w:i w:val="0"/>
        </w:rPr>
        <w:t>V.14.1, V.14.8, V.14.9, PDF 94–95, 100–103.</w:t>
      </w:r>
      <w:r>
        <w:rPr>
          <w:b w:val="0"/>
          <w:i w:val="0"/>
        </w:rPr>
        <w:t xml:space="preserve"> Life, ensouled recipient and disagreements about lower souls are distinguished.</w:t>
      </w:r>
    </w:p>
    <w:p>
      <w:pPr>
        <w:ind w:left="187" w:hanging="187"/>
      </w:pPr>
      <w:r>
        <w:t xml:space="preserve">• </w:t>
      </w:r>
      <w:r>
        <w:rPr>
          <w:b/>
          <w:i w:val="0"/>
        </w:rPr>
        <w:t>V.15.7, V.15.8, V.15.27, PDF 108–111, 124–125.</w:t>
      </w:r>
      <w:r>
        <w:rPr>
          <w:b w:val="0"/>
          <w:i w:val="0"/>
        </w:rPr>
        <w:t xml:space="preserve"> Departing life is distinguished from its recipient, and rational identity from lower animation.</w:t>
      </w:r>
    </w:p>
    <w:p>
      <w:pPr>
        <w:keepNext/>
        <w:widowControl/>
      </w:pPr>
      <w:r>
        <w:rPr>
          <w:b/>
          <w:i w:val="0"/>
        </w:rPr>
        <w:t>In this edition.</w:t>
      </w:r>
    </w:p>
    <w:p>
      <w:pPr>
        <w:widowControl/>
      </w:pPr>
      <w:r>
        <w:rPr>
          <w:b w:val="0"/>
          <w:i w:val="0"/>
        </w:rPr>
        <w:t xml:space="preserve">The source deliberately preserves irrationales vitas as </w:t>
      </w:r>
      <w:r>
        <w:t>“</w:t>
      </w:r>
      <w:r>
        <w:rPr>
          <w:b w:val="0"/>
          <w:i w:val="0"/>
        </w:rPr>
        <w:t>irrational lives</w:t>
      </w:r>
      <w:r>
        <w:t>”</w:t>
      </w:r>
      <w:r>
        <w:rPr>
          <w:b w:val="0"/>
          <w:i w:val="0"/>
        </w:rPr>
        <w:t xml:space="preserve"> and idola et simulacra as two image words. At V.14.8 the relative quam concerns irrational soul: the named disagreement is not a disagreement over rational immortality. Animus rendered </w:t>
      </w:r>
      <w:r>
        <w:t>“</w:t>
      </w:r>
      <w:r>
        <w:rPr>
          <w:b w:val="0"/>
          <w:i w:val="0"/>
        </w:rPr>
        <w:t>mind</w:t>
      </w:r>
      <w:r>
        <w:t>”</w:t>
      </w:r>
      <w:r>
        <w:rPr>
          <w:b w:val="0"/>
          <w:i w:val="0"/>
        </w:rPr>
        <w:t xml:space="preserve"> does not create an additional soul alongside anima.</w:t>
      </w:r>
    </w:p>
    <w:p>
      <w:pPr>
        <w:keepNext/>
        <w:widowControl/>
      </w:pPr>
      <w:r>
        <w:rPr>
          <w:b/>
          <w:i w:val="0"/>
        </w:rPr>
        <w:t>See also.</w:t>
      </w:r>
    </w:p>
    <w:p>
      <w:pPr>
        <w:widowControl/>
      </w:pPr>
      <w:hyperlink w:anchor="life-and-vivification">
        <w:r>
          <w:rPr>
            <w:color w:val="000000"/>
          </w:rPr>
          <w:t xml:space="preserve">Life and vivification</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image-shadow-and-ranked-truth">
        <w:r>
          <w:rPr>
            <w:color w:val="000000"/>
          </w:rPr>
          <w:t xml:space="preserve">Image, shadow and ranked truth</w:t>
        </w:r>
      </w:hyperlink>
    </w:p>
    <w:p>
      <w:pPr>
        <w:pStyle w:val="Heading2"/>
      </w:pPr>
      <w:bookmarkStart w:id="196" w:name="viii-reception-identity"/>
      <w:r>
        <w:rPr>
          <w:b w:val="0"/>
          <w:i w:val="0"/>
        </w:rPr>
        <w:t>Receiving forms without losing one’s own</w:t>
      </w:r>
      <w:bookmarkEnd w:id="196"/>
    </w:p>
    <w:p>
      <w:pPr>
        <w:keepNext/>
        <w:widowControl/>
      </w:pPr>
      <w:r>
        <w:rPr>
          <w:b/>
          <w:i w:val="0"/>
        </w:rPr>
        <w:t>Latin:</w:t>
      </w:r>
      <w:r>
        <w:rPr>
          <w:b w:val="0"/>
          <w:i w:val="0"/>
        </w:rPr>
        <w:t xml:space="preserve"> </w:t>
      </w:r>
      <w:r>
        <w:rPr>
          <w:b w:val="0"/>
          <w:i/>
        </w:rPr>
        <w:t>induere</w:t>
      </w:r>
      <w:r>
        <w:rPr>
          <w:b w:val="0"/>
          <w:i w:val="0"/>
        </w:rPr>
        <w:t xml:space="preserve">; </w:t>
      </w:r>
      <w:r>
        <w:rPr>
          <w:b w:val="0"/>
          <w:i/>
        </w:rPr>
        <w:t>exuere</w:t>
      </w:r>
      <w:r>
        <w:rPr>
          <w:b w:val="0"/>
          <w:i w:val="0"/>
        </w:rPr>
        <w:t xml:space="preserve">; </w:t>
      </w:r>
      <w:r>
        <w:rPr>
          <w:b w:val="0"/>
          <w:i/>
        </w:rPr>
        <w:t>remittere</w:t>
      </w:r>
      <w:r>
        <w:rPr>
          <w:b w:val="0"/>
          <w:i w:val="0"/>
        </w:rPr>
        <w:t xml:space="preserve">; </w:t>
      </w:r>
      <w:r>
        <w:rPr>
          <w:b w:val="0"/>
          <w:i/>
        </w:rPr>
        <w:t>perficere</w:t>
      </w:r>
      <w:r>
        <w:rPr>
          <w:b w:val="0"/>
          <w:i w:val="0"/>
        </w:rPr>
        <w:t xml:space="preserve">; </w:t>
      </w:r>
      <w:r>
        <w:rPr>
          <w:b w:val="0"/>
          <w:i/>
        </w:rPr>
        <w:t>intellectualitas</w:t>
      </w:r>
      <w:r>
        <w:rPr>
          <w:b w:val="0"/>
          <w:i w:val="0"/>
        </w:rPr>
        <w:t xml:space="preserve">; </w:t>
      </w:r>
      <w:r>
        <w:rPr>
          <w:b w:val="0"/>
          <w:i/>
        </w:rPr>
        <w:t>forma propria</w:t>
      </w:r>
    </w:p>
    <w:p>
      <w:pPr>
        <w:keepNext/>
        <w:widowControl/>
      </w:pPr>
      <w:r>
        <w:rPr>
          <w:b/>
          <w:i w:val="0"/>
        </w:rPr>
        <w:t>The word.</w:t>
      </w:r>
    </w:p>
    <w:p>
      <w:pPr>
        <w:widowControl/>
      </w:pPr>
      <w:r>
        <w:rPr>
          <w:b w:val="0"/>
          <w:i w:val="0"/>
        </w:rPr>
        <w:t>Induere and exuere literally suggest putting on and taking off clothing. Remittere is a lessening or weakening, while perficere is bringing to greater completion. Intellectualitas is Ficino’s qualified name for mind’s natural form or character as intellectual.</w:t>
      </w:r>
    </w:p>
    <w:p>
      <w:pPr>
        <w:keepNext/>
        <w:widowControl/>
      </w:pPr>
      <w:r>
        <w:rPr>
          <w:b/>
          <w:i w:val="0"/>
        </w:rPr>
        <w:t>In the Platonic Theology.</w:t>
      </w:r>
    </w:p>
    <w:p>
      <w:pPr>
        <w:widowControl/>
      </w:pPr>
      <w:r>
        <w:rPr>
          <w:b w:val="0"/>
          <w:i w:val="0"/>
        </w:rPr>
        <w:t>Water takes on fire’s heat by relinquishing its own coldness. Where one bodily quality remains while another is introduced, its strength can decline: water mixed with wine preserves some sweetness but dilutes it. These examples establish the contrast between bodily reception and intellectual reception.</w:t>
      </w:r>
    </w:p>
    <w:p>
      <w:pPr>
        <w:widowControl/>
      </w:pPr>
      <w:r>
        <w:rPr>
          <w:b w:val="0"/>
          <w:i w:val="0"/>
        </w:rPr>
        <w:t>Mind receives the forms of bodies by knowing them without losing or weakening its own form. Indeed, it becomes more accomplished through their reception. Ficino identifies the natural form of intellect from its activity: its characteristic operation is understanding, and a more perfect understanding makes its intellectuality more evident. The forms of other things therefore perfect rather than replace its own nature.</w:t>
      </w:r>
    </w:p>
    <w:p>
      <w:pPr>
        <w:widowControl/>
      </w:pPr>
      <w:r>
        <w:rPr>
          <w:b w:val="0"/>
          <w:i w:val="0"/>
        </w:rPr>
        <w:t>The chapter adds that mind can penetrate substances, compose mixed objects from principles and resolve mixtures into their simpler constituents. It is said to be all things in each through knowledge while also standing beyond bodily things in order to distinguish them from incorporeals. This language of presence is cognitive and explanatory, not the claim that a thinker materially becomes every body in the world.</w:t>
      </w:r>
    </w:p>
    <w:p>
      <w:pPr>
        <w:widowControl/>
      </w:pPr>
      <w:r>
        <w:rPr>
          <w:b w:val="0"/>
          <w:i w:val="0"/>
        </w:rPr>
        <w:t>The resistance-to-destruction inference depends on that peculiar mode of receiving: an external body’s contrary alteration cannot be assumed to describe what happens when mind knows it. The chapter’s powerful conclusion remains part of Ficino’s metaphysical argument, not a denial of fatigue or injury in embodied human experience.</w:t>
      </w:r>
    </w:p>
    <w:p>
      <w:pPr>
        <w:keepNext/>
        <w:widowControl/>
      </w:pPr>
      <w:r>
        <w:rPr>
          <w:b/>
          <w:i w:val="0"/>
        </w:rPr>
        <w:t>Places to Read.</w:t>
      </w:r>
    </w:p>
    <w:p>
      <w:pPr>
        <w:ind w:left="187" w:hanging="187"/>
      </w:pPr>
      <w:r>
        <w:t xml:space="preserve">• </w:t>
      </w:r>
      <w:r>
        <w:rPr>
          <w:b/>
          <w:i w:val="0"/>
        </w:rPr>
        <w:t>VIII.7.1, PDF pp. 344–345.</w:t>
      </w:r>
      <w:r>
        <w:rPr>
          <w:b w:val="0"/>
          <w:i w:val="0"/>
        </w:rPr>
        <w:t xml:space="preserve"> Heated water and diluted wine contrast bodily replacement with perfected intellectual reception.</w:t>
      </w:r>
    </w:p>
    <w:p>
      <w:pPr>
        <w:ind w:left="187" w:hanging="187"/>
      </w:pPr>
      <w:r>
        <w:t xml:space="preserve">• </w:t>
      </w:r>
      <w:r>
        <w:rPr>
          <w:b/>
          <w:i w:val="0"/>
        </w:rPr>
        <w:t>VIII.13.2, PDF pp. 360–361.</w:t>
      </w:r>
      <w:r>
        <w:rPr>
          <w:b w:val="0"/>
          <w:i w:val="0"/>
        </w:rPr>
        <w:t xml:space="preserve"> Knowing water, fire and evils does not make mind materially water, fire or evil.</w:t>
      </w:r>
    </w:p>
    <w:p>
      <w:pPr>
        <w:keepNext/>
        <w:widowControl/>
      </w:pPr>
      <w:r>
        <w:rPr>
          <w:b/>
          <w:i w:val="0"/>
        </w:rPr>
        <w:t>In this edition.</w:t>
      </w:r>
    </w:p>
    <w:p>
      <w:pPr>
        <w:widowControl/>
      </w:pPr>
      <w:r>
        <w:rPr>
          <w:b w:val="0"/>
          <w:i w:val="0"/>
        </w:rPr>
        <w:t xml:space="preserve">Ficino introduces intellectualitas with ut ita dixerim, </w:t>
      </w:r>
      <w:r>
        <w:t>“</w:t>
      </w:r>
      <w:r>
        <w:rPr>
          <w:b w:val="0"/>
          <w:i w:val="0"/>
        </w:rPr>
        <w:t>if I may speak so.</w:t>
      </w:r>
      <w:r>
        <w:t>”</w:t>
      </w:r>
      <w:r>
        <w:rPr>
          <w:b w:val="0"/>
          <w:i w:val="0"/>
        </w:rPr>
        <w:t xml:space="preserve"> That modest lexical qualification is worth preserving. The forms </w:t>
      </w:r>
      <w:r>
        <w:t>“</w:t>
      </w:r>
      <w:r>
        <w:rPr>
          <w:b w:val="0"/>
          <w:i w:val="0"/>
        </w:rPr>
        <w:t>put on</w:t>
      </w:r>
      <w:r>
        <w:t>”</w:t>
      </w:r>
      <w:r>
        <w:rPr>
          <w:b w:val="0"/>
          <w:i w:val="0"/>
        </w:rPr>
        <w:t xml:space="preserve"> and </w:t>
      </w:r>
      <w:r>
        <w:t>“</w:t>
      </w:r>
      <w:r>
        <w:rPr>
          <w:b w:val="0"/>
          <w:i w:val="0"/>
        </w:rPr>
        <w:t>put off</w:t>
      </w:r>
      <w:r>
        <w:t>”</w:t>
      </w:r>
      <w:r>
        <w:rPr>
          <w:b w:val="0"/>
          <w:i w:val="0"/>
        </w:rPr>
        <w:t xml:space="preserve"> retain an image that a flat translation as </w:t>
      </w:r>
      <w:r>
        <w:t>“</w:t>
      </w:r>
      <w:r>
        <w:rPr>
          <w:b w:val="0"/>
          <w:i w:val="0"/>
        </w:rPr>
        <w:t>change</w:t>
      </w:r>
      <w:r>
        <w:t>”</w:t>
      </w:r>
      <w:r>
        <w:rPr>
          <w:b w:val="0"/>
          <w:i w:val="0"/>
        </w:rPr>
        <w:t xml:space="preserve"> would lose.</w:t>
      </w:r>
    </w:p>
    <w:p>
      <w:pPr>
        <w:keepNext/>
        <w:widowControl/>
      </w:pPr>
      <w:r>
        <w:rPr>
          <w:b/>
          <w:i w:val="0"/>
        </w:rPr>
        <w:t>See also.</w:t>
      </w:r>
    </w:p>
    <w:p>
      <w:pPr>
        <w:widowControl/>
      </w:pPr>
      <w:hyperlink w:anchor="viii-contraries-evil">
        <w:r>
          <w:rPr>
            <w:color w:val="000000"/>
          </w:rPr>
          <w:t xml:space="preserve">Contraries, privations, and knowledge of evil</w:t>
        </w:r>
      </w:hyperlink>
      <w:r>
        <w:rPr>
          <w:b w:val="0"/>
          <w:i w:val="0"/>
        </w:rPr>
        <w:t xml:space="preserve">; </w:t>
      </w:r>
      <w:hyperlink w:anchor="viii-mirror-light">
        <w:r>
          <w:rPr>
            <w:color w:val="000000"/>
          </w:rPr>
          <w:t xml:space="preserve">Mirror, light, and the soul of the sun</w:t>
        </w:r>
      </w:hyperlink>
      <w:r>
        <w:rPr>
          <w:b w:val="0"/>
          <w:i w:val="0"/>
        </w:rPr>
        <w:t xml:space="preserve">; </w:t>
      </w:r>
      <w:hyperlink w:anchor="viii-operation-kind">
        <w:r>
          <w:rPr>
            <w:color w:val="000000"/>
          </w:rPr>
          <w:t xml:space="preserve">Kind, generation, and operation’s dependence on substance</w:t>
        </w:r>
      </w:hyperlink>
    </w:p>
    <w:p>
      <w:pPr>
        <w:pStyle w:val="Heading2"/>
      </w:pPr>
      <w:bookmarkStart w:id="197" w:name="vii-reception-wax-mirrors"/>
      <w:r>
        <w:rPr>
          <w:b w:val="0"/>
          <w:i w:val="0"/>
        </w:rPr>
        <w:t>Receiving images: wax, seals and mirrors</w:t>
      </w:r>
      <w:bookmarkEnd w:id="197"/>
    </w:p>
    <w:p>
      <w:pPr>
        <w:keepNext/>
        <w:widowControl/>
      </w:pPr>
      <w:r>
        <w:rPr>
          <w:b/>
          <w:i w:val="0"/>
        </w:rPr>
        <w:t>Latin:</w:t>
      </w:r>
      <w:r>
        <w:rPr>
          <w:b w:val="0"/>
          <w:i w:val="0"/>
        </w:rPr>
        <w:t xml:space="preserve"> </w:t>
      </w:r>
      <w:r>
        <w:rPr>
          <w:b w:val="0"/>
          <w:i/>
        </w:rPr>
        <w:t>suscipere</w:t>
      </w:r>
      <w:r>
        <w:rPr>
          <w:b w:val="0"/>
          <w:i w:val="0"/>
        </w:rPr>
        <w:t xml:space="preserve">; </w:t>
      </w:r>
      <w:r>
        <w:rPr>
          <w:b w:val="0"/>
          <w:i/>
        </w:rPr>
        <w:t>accipere</w:t>
      </w:r>
      <w:r>
        <w:rPr>
          <w:b w:val="0"/>
          <w:i w:val="0"/>
        </w:rPr>
        <w:t xml:space="preserve">; </w:t>
      </w:r>
      <w:r>
        <w:rPr>
          <w:b w:val="0"/>
          <w:i/>
        </w:rPr>
        <w:t>capere</w:t>
      </w:r>
      <w:r>
        <w:rPr>
          <w:b w:val="0"/>
          <w:i w:val="0"/>
        </w:rPr>
        <w:t xml:space="preserve">; </w:t>
      </w:r>
      <w:r>
        <w:rPr>
          <w:b w:val="0"/>
          <w:i/>
        </w:rPr>
        <w:t>cera</w:t>
      </w:r>
      <w:r>
        <w:rPr>
          <w:b w:val="0"/>
          <w:i w:val="0"/>
        </w:rPr>
        <w:t xml:space="preserve">; </w:t>
      </w:r>
      <w:r>
        <w:rPr>
          <w:b w:val="0"/>
          <w:i/>
        </w:rPr>
        <w:t>sigillum</w:t>
      </w:r>
      <w:r>
        <w:rPr>
          <w:b w:val="0"/>
          <w:i w:val="0"/>
        </w:rPr>
        <w:t xml:space="preserve">; </w:t>
      </w:r>
      <w:r>
        <w:rPr>
          <w:b w:val="0"/>
          <w:i/>
        </w:rPr>
        <w:t>figura</w:t>
      </w:r>
      <w:r>
        <w:rPr>
          <w:b w:val="0"/>
          <w:i w:val="0"/>
        </w:rPr>
        <w:t xml:space="preserve">; </w:t>
      </w:r>
      <w:r>
        <w:rPr>
          <w:b w:val="0"/>
          <w:i/>
        </w:rPr>
        <w:t>imago</w:t>
      </w:r>
      <w:r>
        <w:rPr>
          <w:b w:val="0"/>
          <w:i w:val="0"/>
        </w:rPr>
        <w:t xml:space="preserve">; </w:t>
      </w:r>
      <w:r>
        <w:rPr>
          <w:b w:val="0"/>
          <w:i/>
        </w:rPr>
        <w:t>speculum</w:t>
      </w:r>
    </w:p>
    <w:p>
      <w:pPr>
        <w:keepNext/>
        <w:widowControl/>
      </w:pPr>
      <w:r>
        <w:rPr>
          <w:b/>
          <w:i w:val="0"/>
        </w:rPr>
        <w:t>The word.</w:t>
      </w:r>
    </w:p>
    <w:p>
      <w:pPr>
        <w:widowControl/>
      </w:pPr>
      <w:r>
        <w:rPr>
          <w:b w:val="0"/>
          <w:i w:val="0"/>
        </w:rPr>
        <w:t xml:space="preserve">The verbs mean receiving or taking in; </w:t>
      </w:r>
      <w:r>
        <w:rPr>
          <w:b w:val="0"/>
          <w:i/>
        </w:rPr>
        <w:t>capere</w:t>
      </w:r>
      <w:r>
        <w:rPr>
          <w:b w:val="0"/>
          <w:i w:val="0"/>
        </w:rPr>
        <w:t xml:space="preserve"> can also mean containing or grasping. Their common object does not establish a common manner of reception. Wax receives an impressed figure spatially, whereas the disputed question is whether the soul receives perceptual content in that same bodily way.</w:t>
      </w:r>
    </w:p>
    <w:p>
      <w:pPr>
        <w:keepNext/>
        <w:widowControl/>
      </w:pPr>
      <w:r>
        <w:rPr>
          <w:b/>
          <w:i w:val="0"/>
        </w:rPr>
        <w:t>In the Platonic Theology.</w:t>
      </w:r>
    </w:p>
    <w:p>
      <w:pPr>
        <w:widowControl/>
      </w:pPr>
      <w:r>
        <w:rPr>
          <w:b w:val="0"/>
          <w:i w:val="0"/>
        </w:rPr>
        <w:t>The first argument proceeds under the hypothesis that the soul is a body. A bodily receiver takes the parts of an object in its own parts. Wax cannot bear an impression larger than itself; a second impression either replaces the first or confuses it. The supposition that wax could judge the size it contains lets Ficino transfer those limitations to a hypothetical corporeal soul. Plato’s image in Socrates’ eye would be limited by the eye, then by the brain, and at most by Socrates’ entire body. On the hypothesis, Socrates could never judge something larger than himself. Multiple people would similarly become either forgotten or indistinguishable impressions.</w:t>
      </w:r>
    </w:p>
    <w:p>
      <w:pPr>
        <w:widowControl/>
      </w:pPr>
      <w:r>
        <w:rPr>
          <w:b w:val="0"/>
          <w:i w:val="0"/>
        </w:rPr>
        <w:t>The sequence is a reductio, not a description of the position Ficino finally accepts. Its point is the difference between the size of a bodily trace and the magnitude judged through an image. The mirror comparison extends the objection: a face appears differently in a pupil and a larger mirror, whereas the soul can judge objects of immense magnitude and conceive something greater than any assigned body. The argument does not say that the soul is an infinitely large mirror. It denies that any assigned bodily magnitude adequately determines its cognitive capacity.</w:t>
      </w:r>
    </w:p>
    <w:p>
      <w:pPr>
        <w:widowControl/>
      </w:pPr>
      <w:r>
        <w:rPr>
          <w:b w:val="0"/>
          <w:i w:val="0"/>
        </w:rPr>
        <w:t>Ficino then expressly withdraws the literal picture of spiritual color-images being manufactured by bodies and stored in mirrors or brains. Reading the first comparison as his settled physiology would suppress that correction.</w:t>
      </w:r>
    </w:p>
    <w:p>
      <w:pPr>
        <w:keepNext/>
        <w:widowControl/>
      </w:pPr>
      <w:r>
        <w:rPr>
          <w:b/>
          <w:i w:val="0"/>
        </w:rPr>
        <w:t>Places to Read.</w:t>
      </w:r>
    </w:p>
    <w:p>
      <w:pPr>
        <w:ind w:left="187" w:hanging="187"/>
      </w:pPr>
      <w:r>
        <w:t xml:space="preserve">• </w:t>
      </w:r>
      <w:r>
        <w:rPr>
          <w:b/>
          <w:i w:val="0"/>
        </w:rPr>
        <w:t>VII.1.1, PDF 232–233</w:t>
      </w:r>
      <w:r>
        <w:rPr>
          <w:b w:val="0"/>
          <w:i w:val="0"/>
        </w:rPr>
        <w:t>. Wax and seals introduce limits of scale and the confusion of multiple images.</w:t>
      </w:r>
    </w:p>
    <w:p>
      <w:pPr>
        <w:ind w:left="187" w:hanging="187"/>
      </w:pPr>
      <w:r>
        <w:t xml:space="preserve">• </w:t>
      </w:r>
      <w:r>
        <w:rPr>
          <w:b/>
          <w:i w:val="0"/>
        </w:rPr>
        <w:t>VII.1.2, PDF 234–235</w:t>
      </w:r>
      <w:r>
        <w:rPr>
          <w:b w:val="0"/>
          <w:i w:val="0"/>
        </w:rPr>
        <w:t>. The living-mirror comparison tests the soul’s supposed proper magnitude.</w:t>
      </w:r>
    </w:p>
    <w:p>
      <w:pPr>
        <w:ind w:left="187" w:hanging="187"/>
      </w:pPr>
      <w:r>
        <w:t xml:space="preserve">• </w:t>
      </w:r>
      <w:r>
        <w:rPr>
          <w:b/>
          <w:i w:val="0"/>
        </w:rPr>
        <w:t>VII.1.3, PDF 236–237</w:t>
      </w:r>
      <w:r>
        <w:rPr>
          <w:b w:val="0"/>
          <w:i w:val="0"/>
        </w:rPr>
        <w:t>. The correction distinguishes spiritual images from bodily deposits.</w:t>
      </w:r>
    </w:p>
    <w:p>
      <w:pPr>
        <w:keepNext/>
        <w:widowControl/>
      </w:pPr>
      <w:r>
        <w:rPr>
          <w:b/>
          <w:i w:val="0"/>
        </w:rPr>
        <w:t>In this edition.</w:t>
      </w:r>
    </w:p>
    <w:p>
      <w:pPr>
        <w:widowControl/>
      </w:pPr>
      <w:r>
        <w:rPr>
          <w:b w:val="0"/>
          <w:i w:val="0"/>
        </w:rPr>
        <w:t xml:space="preserve">The image of Plato is the perceived person’s image, not a reference to a Platonic Idea. </w:t>
      </w:r>
      <w:r>
        <w:t>“</w:t>
      </w:r>
      <w:r>
        <w:rPr>
          <w:b w:val="0"/>
          <w:i w:val="0"/>
        </w:rPr>
        <w:t>Receiver,</w:t>
      </w:r>
      <w:r>
        <w:t>”</w:t>
      </w:r>
      <w:r>
        <w:rPr>
          <w:b w:val="0"/>
          <w:i w:val="0"/>
        </w:rPr>
        <w:t xml:space="preserve"> eye, brain and whole body are successive tests of the same hypothesis. The apparatus stresses their preservation rather than identifying any one of them as Ficino’s final seat of perception.</w:t>
      </w:r>
    </w:p>
    <w:p>
      <w:pPr>
        <w:keepNext/>
        <w:widowControl/>
      </w:pPr>
      <w:r>
        <w:rPr>
          <w:b/>
          <w:i w:val="0"/>
        </w:rPr>
        <w:t>See also.</w:t>
      </w:r>
    </w:p>
    <w:p>
      <w:pPr>
        <w:widowControl/>
      </w:pPr>
      <w:hyperlink w:anchor="vii-memory-solid-fluid">
        <w:r>
          <w:rPr>
            <w:color w:val="000000"/>
          </w:rPr>
          <w:t xml:space="preserve">Memory, rigidity and fluidity</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one-comprehension">
        <w:r>
          <w:rPr>
            <w:color w:val="000000"/>
          </w:rPr>
          <w:t xml:space="preserve">One comprehension and indivisible sensation</w:t>
        </w:r>
      </w:hyperlink>
    </w:p>
    <w:p>
      <w:pPr>
        <w:pStyle w:val="Heading2"/>
      </w:pPr>
      <w:bookmarkStart w:id="198" w:name="reception-and-the-receiver"/>
      <w:r>
        <w:rPr>
          <w:b w:val="0"/>
          <w:i w:val="0"/>
        </w:rPr>
        <w:t>Reception and the receiver</w:t>
      </w:r>
      <w:bookmarkEnd w:id="198"/>
    </w:p>
    <w:p>
      <w:pPr>
        <w:keepNext/>
        <w:widowControl/>
      </w:pPr>
      <w:r>
        <w:rPr>
          <w:b/>
          <w:i w:val="0"/>
        </w:rPr>
        <w:t>Latin:</w:t>
      </w:r>
      <w:r>
        <w:rPr>
          <w:b w:val="0"/>
          <w:i w:val="0"/>
        </w:rPr>
        <w:t xml:space="preserve"> </w:t>
      </w:r>
      <w:r>
        <w:rPr>
          <w:b w:val="0"/>
          <w:i/>
        </w:rPr>
        <w:t>suscipere</w:t>
      </w:r>
      <w:r>
        <w:rPr>
          <w:b w:val="0"/>
          <w:i w:val="0"/>
        </w:rPr>
        <w:t xml:space="preserve">; </w:t>
      </w:r>
      <w:r>
        <w:rPr>
          <w:b w:val="0"/>
          <w:i/>
        </w:rPr>
        <w:t>capere</w:t>
      </w:r>
      <w:r>
        <w:rPr>
          <w:b w:val="0"/>
          <w:i w:val="0"/>
        </w:rPr>
        <w:t xml:space="preserve">; </w:t>
      </w:r>
      <w:r>
        <w:rPr>
          <w:b w:val="0"/>
          <w:i/>
        </w:rPr>
        <w:t>accipere</w:t>
      </w:r>
      <w:r>
        <w:rPr>
          <w:b w:val="0"/>
          <w:i w:val="0"/>
        </w:rPr>
        <w:t xml:space="preserve">; </w:t>
      </w:r>
      <w:r>
        <w:rPr>
          <w:b w:val="0"/>
          <w:i/>
        </w:rPr>
        <w:t>receptaculum</w:t>
      </w:r>
      <w:r>
        <w:rPr>
          <w:b w:val="0"/>
          <w:i w:val="0"/>
        </w:rPr>
        <w:t xml:space="preserve">; </w:t>
      </w:r>
      <w:r>
        <w:rPr>
          <w:b w:val="0"/>
          <w:i/>
        </w:rPr>
        <w:t>susceptaculum</w:t>
      </w:r>
      <w:r>
        <w:rPr>
          <w:b w:val="0"/>
          <w:i w:val="0"/>
        </w:rPr>
        <w:t xml:space="preserve">; </w:t>
      </w:r>
      <w:r>
        <w:rPr>
          <w:b w:val="0"/>
          <w:i/>
        </w:rPr>
        <w:t>pro captu</w:t>
      </w:r>
      <w:r>
        <w:rPr>
          <w:b w:val="0"/>
          <w:i w:val="0"/>
        </w:rPr>
        <w:t xml:space="preserve">; </w:t>
      </w:r>
      <w:r>
        <w:rPr>
          <w:b w:val="0"/>
          <w:i/>
        </w:rPr>
        <w:t>suscipiens</w:t>
      </w:r>
    </w:p>
    <w:p>
      <w:pPr>
        <w:keepNext/>
        <w:widowControl/>
      </w:pPr>
      <w:r>
        <w:rPr>
          <w:b/>
          <w:i w:val="0"/>
        </w:rPr>
        <w:t>The word.</w:t>
      </w:r>
    </w:p>
    <w:p>
      <w:pPr>
        <w:widowControl/>
      </w:pPr>
      <w:r>
        <w:rPr>
          <w:b w:val="0"/>
          <w:i w:val="0"/>
        </w:rPr>
        <w:t>Suscipere, capere and accipere mean receiving or taking, with differences determined by their objects. Pro captu concerns the receiver’s capacity. Receiving need not imply a spatial interior, passivity in every respect, or injury.</w:t>
      </w:r>
    </w:p>
    <w:p>
      <w:pPr>
        <w:keepNext/>
        <w:widowControl/>
      </w:pPr>
      <w:r>
        <w:rPr>
          <w:b/>
          <w:i w:val="0"/>
        </w:rPr>
        <w:t>In the Platonic Theology.</w:t>
      </w:r>
    </w:p>
    <w:p>
      <w:pPr>
        <w:widowControl/>
      </w:pPr>
      <w:r>
        <w:rPr>
          <w:b w:val="0"/>
          <w:i w:val="0"/>
        </w:rPr>
        <w:t>V.6 distinguishes destructive bodily reception from the reception of indivisible images. Water and a mirror receive appearances without being destroyed, and the soul receives through sense and reason. The point is the received mode, not a claim that mirrors themselves think.</w:t>
      </w:r>
    </w:p>
    <w:p>
      <w:pPr>
        <w:widowControl/>
      </w:pPr>
      <w:r>
        <w:rPr>
          <w:b w:val="0"/>
          <w:i w:val="0"/>
        </w:rPr>
        <w:t>V.7.2 then invokes the principle that whatever is received is received according to its receiver. Essence considered in itself is immortal; when a separate essence receives being in its own mode, Ficino infers immortal being. Bodily forms differ because their mode is contracted to a bodily subject. The receiver principle thus helps connect the essence/being distinction to particular kinds of subsistence.</w:t>
      </w:r>
    </w:p>
    <w:p>
      <w:pPr>
        <w:widowControl/>
      </w:pPr>
      <w:r>
        <w:rPr>
          <w:b w:val="0"/>
          <w:i w:val="0"/>
        </w:rPr>
        <w:t>V.8.3 applies the same reasoning against destructive external force. The soul receives spiritually. An eternal spiritual object has no need to consume its recipient for nutrition or to destroy it to reproduce itself. The argument does not deny that cognition changes what a person knows; it denies the material process that would destroy the subject’s essence.</w:t>
      </w:r>
    </w:p>
    <w:p>
      <w:pPr>
        <w:widowControl/>
      </w:pPr>
      <w:r>
        <w:rPr>
          <w:b w:val="0"/>
          <w:i w:val="0"/>
        </w:rPr>
        <w:t>V.13.13 and V.13.15 apply reception in the opposite direction: a creature’s power is bounded by the subject in which it inheres, and infinite creative power could not first be narrowed to a finite angel and still effect unlimited creation. The same general principle can therefore explain a receiver’s stable act and the limit on a derived agent’s operation. Its precise role depends on which receiver and which act are in question.</w:t>
      </w:r>
    </w:p>
    <w:p>
      <w:pPr>
        <w:keepNext/>
        <w:widowControl/>
      </w:pPr>
      <w:r>
        <w:rPr>
          <w:b/>
          <w:i w:val="0"/>
        </w:rPr>
        <w:t>Places to Read.</w:t>
      </w:r>
    </w:p>
    <w:p>
      <w:pPr>
        <w:ind w:left="187" w:hanging="187"/>
      </w:pPr>
      <w:r>
        <w:t xml:space="preserve">• </w:t>
      </w:r>
      <w:r>
        <w:rPr>
          <w:b/>
          <w:i w:val="0"/>
        </w:rPr>
        <w:t>V.6.1, V.8.3, PDF 32–33, 42–43.</w:t>
      </w:r>
      <w:r>
        <w:rPr>
          <w:b w:val="0"/>
          <w:i w:val="0"/>
        </w:rPr>
        <w:t xml:space="preserve"> Images illustrate nondestructive spiritual reception.</w:t>
      </w:r>
    </w:p>
    <w:p>
      <w:pPr>
        <w:ind w:left="187" w:hanging="187"/>
      </w:pPr>
      <w:r>
        <w:t xml:space="preserve">• </w:t>
      </w:r>
      <w:r>
        <w:rPr>
          <w:b/>
          <w:i w:val="0"/>
        </w:rPr>
        <w:t>V.7.2, PDF 36–37.</w:t>
      </w:r>
      <w:r>
        <w:rPr>
          <w:b w:val="0"/>
          <w:i w:val="0"/>
        </w:rPr>
        <w:t xml:space="preserve"> The receiver’s mode governs its reception of being.</w:t>
      </w:r>
    </w:p>
    <w:p>
      <w:pPr>
        <w:ind w:left="187" w:hanging="187"/>
      </w:pPr>
      <w:r>
        <w:t xml:space="preserve">• </w:t>
      </w:r>
      <w:r>
        <w:rPr>
          <w:b/>
          <w:i w:val="0"/>
        </w:rPr>
        <w:t>V.13.13, V.13.15, V.13.16, PDF 86–89.</w:t>
      </w:r>
      <w:r>
        <w:rPr>
          <w:b w:val="0"/>
          <w:i w:val="0"/>
        </w:rPr>
        <w:t xml:space="preserve"> Finite recipients delimit operative power and cannot mediate infinite creation.</w:t>
      </w:r>
    </w:p>
    <w:p>
      <w:pPr>
        <w:keepNext/>
        <w:widowControl/>
      </w:pPr>
      <w:r>
        <w:rPr>
          <w:b/>
          <w:i w:val="0"/>
        </w:rPr>
        <w:t>In this edition.</w:t>
      </w:r>
    </w:p>
    <w:p>
      <w:pPr>
        <w:widowControl/>
      </w:pPr>
      <w:r>
        <w:rPr>
          <w:b w:val="0"/>
          <w:i w:val="0"/>
        </w:rPr>
        <w:t xml:space="preserve">Captus can be capacity rather than captivity. Susceptio is not automatically </w:t>
      </w:r>
      <w:r>
        <w:t>“</w:t>
      </w:r>
      <w:r>
        <w:rPr>
          <w:b w:val="0"/>
          <w:i w:val="0"/>
        </w:rPr>
        <w:t>suffering.</w:t>
      </w:r>
      <w:r>
        <w:t>”</w:t>
      </w:r>
      <w:r>
        <w:rPr>
          <w:b w:val="0"/>
          <w:i w:val="0"/>
        </w:rPr>
        <w:t xml:space="preserve"> The article follows the book’s comparisons without endorsing its historical physical account of images as modern optics.</w:t>
      </w:r>
    </w:p>
    <w:p>
      <w:pPr>
        <w:keepNext/>
        <w:widowControl/>
      </w:pPr>
      <w:r>
        <w:rPr>
          <w:b/>
          <w:i w:val="0"/>
        </w:rPr>
        <w:t>See also.</w:t>
      </w:r>
    </w:p>
    <w:p>
      <w:pPr>
        <w:widowControl/>
      </w:pPr>
      <w:hyperlink w:anchor="passivity-and-bodily-affection">
        <w:r>
          <w:rPr>
            <w:color w:val="000000"/>
          </w:rPr>
          <w:t xml:space="preserve">Passivity and bodily affection</w:t>
        </w:r>
      </w:hyperlink>
      <w:r>
        <w:rPr>
          <w:b w:val="0"/>
          <w:i w:val="0"/>
        </w:rPr>
        <w:t xml:space="preserve">; </w:t>
      </w:r>
      <w:hyperlink w:anchor="essence-and-being">
        <w:r>
          <w:rPr>
            <w:color w:val="000000"/>
          </w:rPr>
          <w:t xml:space="preserve">Essence and being</w:t>
        </w:r>
      </w:hyperlink>
      <w:r>
        <w:rPr>
          <w:b w:val="0"/>
          <w:i w:val="0"/>
        </w:rPr>
        <w:t xml:space="preserve">; </w:t>
      </w:r>
      <w:hyperlink w:anchor="instrument-and-creative-mediation">
        <w:r>
          <w:rPr>
            <w:color w:val="000000"/>
          </w:rPr>
          <w:t xml:space="preserve">Instrument and creative mediation</w:t>
        </w:r>
      </w:hyperlink>
    </w:p>
    <w:p>
      <w:pPr>
        <w:pStyle w:val="Heading2"/>
      </w:pPr>
      <w:bookmarkStart w:id="199" w:name="viii-reflexive-will"/>
      <w:r>
        <w:rPr>
          <w:b w:val="0"/>
          <w:i w:val="0"/>
        </w:rPr>
        <w:t>Reflexive understanding and willing</w:t>
      </w:r>
      <w:bookmarkEnd w:id="199"/>
    </w:p>
    <w:p>
      <w:pPr>
        <w:keepNext/>
        <w:widowControl/>
      </w:pPr>
      <w:r>
        <w:rPr>
          <w:b/>
          <w:i w:val="0"/>
        </w:rPr>
        <w:t>Latin:</w:t>
      </w:r>
      <w:r>
        <w:rPr>
          <w:b w:val="0"/>
          <w:i w:val="0"/>
        </w:rPr>
        <w:t xml:space="preserve"> </w:t>
      </w:r>
      <w:r>
        <w:rPr>
          <w:b w:val="0"/>
          <w:i/>
        </w:rPr>
        <w:t>reflexio</w:t>
      </w:r>
      <w:r>
        <w:rPr>
          <w:b w:val="0"/>
          <w:i w:val="0"/>
        </w:rPr>
        <w:t xml:space="preserve">; </w:t>
      </w:r>
      <w:r>
        <w:rPr>
          <w:b w:val="0"/>
          <w:i/>
        </w:rPr>
        <w:t>animadversio</w:t>
      </w:r>
      <w:r>
        <w:rPr>
          <w:b w:val="0"/>
          <w:i w:val="0"/>
        </w:rPr>
        <w:t xml:space="preserve">; </w:t>
      </w:r>
      <w:r>
        <w:rPr>
          <w:b w:val="0"/>
          <w:i/>
        </w:rPr>
        <w:t>conscientia</w:t>
      </w:r>
      <w:r>
        <w:rPr>
          <w:b w:val="0"/>
          <w:i w:val="0"/>
        </w:rPr>
        <w:t xml:space="preserve">; </w:t>
      </w:r>
      <w:r>
        <w:rPr>
          <w:b w:val="0"/>
          <w:i/>
        </w:rPr>
        <w:t>intelligere</w:t>
      </w:r>
      <w:r>
        <w:rPr>
          <w:b w:val="0"/>
          <w:i w:val="0"/>
        </w:rPr>
        <w:t xml:space="preserve">; </w:t>
      </w:r>
      <w:r>
        <w:rPr>
          <w:b w:val="0"/>
          <w:i/>
        </w:rPr>
        <w:t>voluntas</w:t>
      </w:r>
      <w:r>
        <w:rPr>
          <w:b w:val="0"/>
          <w:i w:val="0"/>
        </w:rPr>
        <w:t xml:space="preserve">; </w:t>
      </w:r>
      <w:r>
        <w:rPr>
          <w:b w:val="0"/>
          <w:i/>
        </w:rPr>
        <w:t>velle</w:t>
      </w:r>
    </w:p>
    <w:p>
      <w:pPr>
        <w:keepNext/>
        <w:widowControl/>
      </w:pPr>
      <w:r>
        <w:rPr>
          <w:b/>
          <w:i w:val="0"/>
        </w:rPr>
        <w:t>The word.</w:t>
      </w:r>
    </w:p>
    <w:p>
      <w:pPr>
        <w:widowControl/>
      </w:pPr>
      <w:r>
        <w:rPr>
          <w:b w:val="0"/>
          <w:i w:val="0"/>
        </w:rPr>
        <w:t>Reflexio is a return of activity upon itself; animadversio is noticing or attentive awareness. Voluntas is rational appetite. Reflexive knowing and willing concern awareness of an act and a further act directed toward that act, rather than mere repetition of its original external object.</w:t>
      </w:r>
    </w:p>
    <w:p>
      <w:pPr>
        <w:keepNext/>
        <w:widowControl/>
      </w:pPr>
      <w:r>
        <w:rPr>
          <w:b/>
          <w:i w:val="0"/>
        </w:rPr>
        <w:t>In the Platonic Theology.</w:t>
      </w:r>
    </w:p>
    <w:p>
      <w:pPr>
        <w:widowControl/>
      </w:pPr>
      <w:r>
        <w:rPr>
          <w:b w:val="0"/>
          <w:i w:val="0"/>
        </w:rPr>
        <w:t>Bodily action is presented as passing into external matter. Intellectual activity can remain within the agent: mind knows itself, knows its own knowing, and can recognize that recognition. An outward artwork may result when intelligence moves will and will moves the arms, but that mediated result is distinguished from understanding’s proper terminus.</w:t>
      </w:r>
    </w:p>
    <w:p>
      <w:pPr>
        <w:widowControl/>
      </w:pPr>
      <w:r>
        <w:rPr>
          <w:b w:val="0"/>
          <w:i w:val="0"/>
        </w:rPr>
        <w:t>Ficino contrasts sensation, moved by external objects and directed toward an external end, with mind’s free inward inspection. He then aligns essence, life and mind with repose, motion and reflection. Without life essence would be dormant; without mind life would flow outward. Mind holds life’s movement within itself and turns it back to essence through self-awareness. These are an attributed Platonic ordering, not a modern taxonomy of conscious experiences.</w:t>
      </w:r>
    </w:p>
    <w:p>
      <w:pPr>
        <w:widowControl/>
      </w:pPr>
      <w:r>
        <w:rPr>
          <w:b w:val="0"/>
          <w:i w:val="0"/>
        </w:rPr>
        <w:t>The operation can be repeated without an assigned last level: understanding a thing, noticing that understanding, noticing that notice; willing something, willing to will, and willing the further willing. Ficino allows either a series of acts terminating in further acts or one act repeatedly folded upon itself. He does not resolve those alternatives into one obligatory mechanism.</w:t>
      </w:r>
    </w:p>
    <w:p>
      <w:pPr>
        <w:widowControl/>
      </w:pPr>
      <w:r>
        <w:rPr>
          <w:b w:val="0"/>
          <w:i w:val="0"/>
        </w:rPr>
        <w:t>This reflexivity supports incorporeality and later perpetuity. It must also be distinguished from VIII.1.5’s reflexive return to a particular image: both are returns, but their immediate objects and explanatory tasks differ.</w:t>
      </w:r>
    </w:p>
    <w:p>
      <w:pPr>
        <w:keepNext/>
        <w:widowControl/>
      </w:pPr>
      <w:r>
        <w:rPr>
          <w:b/>
          <w:i w:val="0"/>
        </w:rPr>
        <w:t>Places to Read.</w:t>
      </w:r>
    </w:p>
    <w:p>
      <w:pPr>
        <w:ind w:left="187" w:hanging="187"/>
      </w:pPr>
      <w:r>
        <w:t xml:space="preserve">• </w:t>
      </w:r>
      <w:r>
        <w:rPr>
          <w:b/>
          <w:i w:val="0"/>
        </w:rPr>
        <w:t>VIII.15.1, PDF pp. 364–365.</w:t>
      </w:r>
      <w:r>
        <w:rPr>
          <w:b w:val="0"/>
          <w:i w:val="0"/>
        </w:rPr>
        <w:t xml:space="preserve"> Inward operation, essence–life–mind and recursive knowing and willing are developed together.</w:t>
      </w:r>
    </w:p>
    <w:p>
      <w:pPr>
        <w:ind w:left="187" w:hanging="187"/>
      </w:pPr>
      <w:r>
        <w:t xml:space="preserve">• </w:t>
      </w:r>
      <w:r>
        <w:rPr>
          <w:b/>
          <w:i w:val="0"/>
        </w:rPr>
        <w:t>VIII.16.1, PDF pp. 370–371.</w:t>
      </w:r>
      <w:r>
        <w:rPr>
          <w:b w:val="0"/>
          <w:i w:val="0"/>
        </w:rPr>
        <w:t xml:space="preserve"> The recursive sequence is one source of the mind’s qualified limitless power.</w:t>
      </w:r>
    </w:p>
    <w:p>
      <w:pPr>
        <w:keepNext/>
        <w:widowControl/>
      </w:pPr>
      <w:r>
        <w:rPr>
          <w:b/>
          <w:i w:val="0"/>
        </w:rPr>
        <w:t>In this edition.</w:t>
      </w:r>
    </w:p>
    <w:p>
      <w:pPr>
        <w:widowControl/>
      </w:pPr>
      <w:r>
        <w:rPr>
          <w:b w:val="0"/>
          <w:i w:val="0"/>
        </w:rPr>
        <w:t xml:space="preserve">The apparatus preserves either/or at the close: an endless sequence of operations or repeated self-folding of one operation. It also records the correction to eadem. </w:t>
      </w:r>
      <w:r>
        <w:t>“</w:t>
      </w:r>
      <w:r>
        <w:rPr>
          <w:b w:val="0"/>
          <w:i w:val="0"/>
        </w:rPr>
        <w:t>Infinite reflection</w:t>
      </w:r>
      <w:r>
        <w:t>”</w:t>
      </w:r>
      <w:r>
        <w:rPr>
          <w:b w:val="0"/>
          <w:i w:val="0"/>
        </w:rPr>
        <w:t xml:space="preserve"> should not be paraphrased as infinitely many completed conscious thoughts at a single instant.</w:t>
      </w:r>
    </w:p>
    <w:p>
      <w:pPr>
        <w:keepNext/>
        <w:widowControl/>
      </w:pPr>
      <w:r>
        <w:rPr>
          <w:b/>
          <w:i w:val="0"/>
        </w:rPr>
        <w:t>See also.</w:t>
      </w:r>
    </w:p>
    <w:p>
      <w:pPr>
        <w:widowControl/>
      </w:pPr>
      <w:hyperlink w:anchor="viii-immediate-reflexive">
        <w:r>
          <w:rPr>
            <w:color w:val="000000"/>
          </w:rPr>
          <w:t xml:space="preserve">Immediate intellection and the return to particulars</w:t>
        </w:r>
      </w:hyperlink>
      <w:r>
        <w:rPr>
          <w:b w:val="0"/>
          <w:i w:val="0"/>
        </w:rPr>
        <w:t xml:space="preserve">; </w:t>
      </w:r>
      <w:hyperlink w:anchor="viii-intellectual-generation">
        <w:r>
          <w:rPr>
            <w:color w:val="000000"/>
          </w:rPr>
          <w:t xml:space="preserve">Intellectual generation and daily renewal</w:t>
        </w:r>
      </w:hyperlink>
      <w:r>
        <w:rPr>
          <w:b w:val="0"/>
          <w:i w:val="0"/>
        </w:rPr>
        <w:t xml:space="preserve">; </w:t>
      </w:r>
      <w:hyperlink w:anchor="viii-infinite-operations">
        <w:r>
          <w:rPr>
            <w:color w:val="000000"/>
          </w:rPr>
          <w:t xml:space="preserve">Infinite operations and the limits of sensory kinds</w:t>
        </w:r>
      </w:hyperlink>
    </w:p>
    <w:p>
      <w:pPr>
        <w:pStyle w:val="Heading2"/>
      </w:pPr>
      <w:bookmarkStart w:id="200" w:name="relation-and-continuing-dependence"/>
      <w:r>
        <w:rPr>
          <w:b w:val="0"/>
          <w:i w:val="0"/>
        </w:rPr>
        <w:t>Relation and continuing dependence</w:t>
      </w:r>
      <w:bookmarkEnd w:id="200"/>
    </w:p>
    <w:p>
      <w:pPr>
        <w:keepNext/>
        <w:widowControl/>
      </w:pPr>
      <w:r>
        <w:rPr>
          <w:b/>
          <w:i w:val="0"/>
        </w:rPr>
        <w:t>Latin:</w:t>
      </w:r>
      <w:r>
        <w:rPr>
          <w:b w:val="0"/>
          <w:i w:val="0"/>
        </w:rPr>
        <w:t xml:space="preserve"> </w:t>
      </w:r>
      <w:r>
        <w:rPr>
          <w:b w:val="0"/>
          <w:i/>
        </w:rPr>
        <w:t>respectus</w:t>
      </w:r>
      <w:r>
        <w:rPr>
          <w:b w:val="0"/>
          <w:i w:val="0"/>
        </w:rPr>
        <w:t xml:space="preserve">; </w:t>
      </w:r>
      <w:r>
        <w:rPr>
          <w:b w:val="0"/>
          <w:i/>
        </w:rPr>
        <w:t>referri</w:t>
      </w:r>
      <w:r>
        <w:rPr>
          <w:b w:val="0"/>
          <w:i w:val="0"/>
        </w:rPr>
        <w:t xml:space="preserve">; </w:t>
      </w:r>
      <w:r>
        <w:rPr>
          <w:b w:val="0"/>
          <w:i/>
        </w:rPr>
        <w:t>respicere</w:t>
      </w:r>
      <w:r>
        <w:rPr>
          <w:b w:val="0"/>
          <w:i w:val="0"/>
        </w:rPr>
        <w:t xml:space="preserve">; </w:t>
      </w:r>
      <w:r>
        <w:rPr>
          <w:b w:val="0"/>
          <w:i/>
        </w:rPr>
        <w:t>relatio</w:t>
      </w:r>
      <w:r>
        <w:rPr>
          <w:b w:val="0"/>
          <w:i w:val="0"/>
        </w:rPr>
        <w:t xml:space="preserve">; </w:t>
      </w:r>
      <w:r>
        <w:rPr>
          <w:b w:val="0"/>
          <w:i/>
        </w:rPr>
        <w:t>pendere</w:t>
      </w:r>
      <w:r>
        <w:rPr>
          <w:b w:val="0"/>
          <w:i w:val="0"/>
        </w:rPr>
        <w:t xml:space="preserve">; </w:t>
      </w:r>
      <w:r>
        <w:rPr>
          <w:b w:val="0"/>
          <w:i/>
        </w:rPr>
        <w:t>similitudo</w:t>
      </w:r>
      <w:r>
        <w:rPr>
          <w:b w:val="0"/>
          <w:i w:val="0"/>
        </w:rPr>
        <w:t xml:space="preserve">; </w:t>
      </w:r>
      <w:r>
        <w:rPr>
          <w:b w:val="0"/>
          <w:i/>
        </w:rPr>
        <w:t>permanere</w:t>
      </w:r>
    </w:p>
    <w:p>
      <w:pPr>
        <w:keepNext/>
        <w:widowControl/>
      </w:pPr>
      <w:r>
        <w:rPr>
          <w:b/>
          <w:i w:val="0"/>
        </w:rPr>
        <w:t>The word.</w:t>
      </w:r>
    </w:p>
    <w:p>
      <w:pPr>
        <w:widowControl/>
      </w:pPr>
      <w:r>
        <w:rPr>
          <w:b w:val="0"/>
          <w:i w:val="0"/>
        </w:rPr>
        <w:t>Respectus and relatio concern directed relation; referri means being referred or related, while respicere retains the image of looking toward. Pendere means depending, sometimes pictured as hanging down. This dependence is a continuing relation of being, not only a past event of manufacture.</w:t>
      </w:r>
    </w:p>
    <w:p>
      <w:pPr>
        <w:keepNext/>
        <w:widowControl/>
      </w:pPr>
      <w:r>
        <w:rPr>
          <w:b/>
          <w:i w:val="0"/>
        </w:rPr>
        <w:t>In the Platonic Theology.</w:t>
      </w:r>
    </w:p>
    <w:p>
      <w:pPr>
        <w:widowControl/>
      </w:pPr>
      <w:r>
        <w:rPr>
          <w:b w:val="0"/>
          <w:i w:val="0"/>
        </w:rPr>
        <w:t>V.10 follows the assertion that soul exists in its own right with an explicit question about its cause. All things remain in being insofar as they relate to the first cause. Their likeness to pure act comes through form rather than matter. A bodily composite therefore relates through one constitutive part, while a corporeal form itself relies upon a higher immaterial source.</w:t>
      </w:r>
    </w:p>
    <w:p>
      <w:pPr>
        <w:widowControl/>
      </w:pPr>
      <w:r>
        <w:rPr>
          <w:b w:val="0"/>
          <w:i w:val="0"/>
        </w:rPr>
        <w:t xml:space="preserve">The mirror image illustrates the latter dependence: the image hangs from the face whose presence makes it appear. Soul produces bodily qualities through its changing operation, so their relation is mediated through movement and their existence is unstable. By contrast, the soul is form itself and relates through its whole stable essence. The phrase </w:t>
      </w:r>
      <w:r>
        <w:t>“</w:t>
      </w:r>
      <w:r>
        <w:rPr>
          <w:b w:val="0"/>
          <w:i w:val="0"/>
        </w:rPr>
        <w:t>the essence causes its relation</w:t>
      </w:r>
      <w:r>
        <w:t>”</w:t>
      </w:r>
      <w:r>
        <w:rPr>
          <w:b w:val="0"/>
          <w:i w:val="0"/>
        </w:rPr>
        <w:t xml:space="preserve"> means it is intrinsically the relational subject and medium; it does not say the soul first creates itself or creates God.</w:t>
      </w:r>
    </w:p>
    <w:p>
      <w:pPr>
        <w:widowControl/>
      </w:pPr>
      <w:r>
        <w:rPr>
          <w:b w:val="0"/>
          <w:i w:val="0"/>
        </w:rPr>
        <w:t xml:space="preserve">The conclusion combines two sides. God continually supplies, and soul continually receives. Stability thus belongs to a relation that does not depend on a removable bodily intermediary. This also explains why </w:t>
      </w:r>
      <w:r>
        <w:t>“</w:t>
      </w:r>
      <w:r>
        <w:rPr>
          <w:b w:val="0"/>
          <w:i w:val="0"/>
        </w:rPr>
        <w:t>self-subsisting</w:t>
      </w:r>
      <w:r>
        <w:t>”</w:t>
      </w:r>
      <w:r>
        <w:rPr>
          <w:b w:val="0"/>
          <w:i w:val="0"/>
        </w:rPr>
        <w:t xml:space="preserve"> and </w:t>
      </w:r>
      <w:r>
        <w:t>“</w:t>
      </w:r>
      <w:r>
        <w:rPr>
          <w:b w:val="0"/>
          <w:i w:val="0"/>
        </w:rPr>
        <w:t>dependent on God</w:t>
      </w:r>
      <w:r>
        <w:t>”</w:t>
      </w:r>
      <w:r>
        <w:rPr>
          <w:b w:val="0"/>
          <w:i w:val="0"/>
        </w:rPr>
        <w:t xml:space="preserve"> are compatible in Ficino’s usage.</w:t>
      </w:r>
    </w:p>
    <w:p>
      <w:pPr>
        <w:widowControl/>
      </w:pPr>
      <w:r>
        <w:rPr>
          <w:b w:val="0"/>
          <w:i w:val="0"/>
        </w:rPr>
        <w:t>V.13.17 adds that the power by which God creates is also the power by which he preserves. The soul needs no intermediary to be made and no such intermediary to remain. Its persistence is a continuous causal dependence, not a one-time gift subsequently detached from its source.</w:t>
      </w:r>
    </w:p>
    <w:p>
      <w:pPr>
        <w:keepNext/>
        <w:widowControl/>
      </w:pPr>
      <w:r>
        <w:rPr>
          <w:b/>
          <w:i w:val="0"/>
        </w:rPr>
        <w:t>Places to Read.</w:t>
      </w:r>
    </w:p>
    <w:p>
      <w:pPr>
        <w:ind w:left="187" w:hanging="187"/>
      </w:pPr>
      <w:r>
        <w:t xml:space="preserve">• </w:t>
      </w:r>
      <w:r>
        <w:rPr>
          <w:b/>
          <w:i w:val="0"/>
        </w:rPr>
        <w:t>V.10.1, V.10.2, V.10.3, PDF 54–59.</w:t>
      </w:r>
      <w:r>
        <w:rPr>
          <w:b w:val="0"/>
          <w:i w:val="0"/>
        </w:rPr>
        <w:t xml:space="preserve"> The complete chapter contrasts mediated mutable relation with intrinsic stable relation.</w:t>
      </w:r>
    </w:p>
    <w:p>
      <w:pPr>
        <w:ind w:left="187" w:hanging="187"/>
      </w:pPr>
      <w:r>
        <w:t xml:space="preserve">• </w:t>
      </w:r>
      <w:r>
        <w:rPr>
          <w:b/>
          <w:i w:val="0"/>
        </w:rPr>
        <w:t>V.12.12, V.12.13, PDF 74–77.</w:t>
      </w:r>
      <w:r>
        <w:rPr>
          <w:b w:val="0"/>
          <w:i w:val="0"/>
        </w:rPr>
        <w:t xml:space="preserve"> Withdrawal of divine influx is posed as an objection and answered through stability.</w:t>
      </w:r>
    </w:p>
    <w:p>
      <w:pPr>
        <w:ind w:left="187" w:hanging="187"/>
      </w:pPr>
      <w:r>
        <w:t xml:space="preserve">• </w:t>
      </w:r>
      <w:r>
        <w:rPr>
          <w:b/>
          <w:i w:val="0"/>
        </w:rPr>
        <w:t>V.13.17, PDF 90–91.</w:t>
      </w:r>
      <w:r>
        <w:rPr>
          <w:b w:val="0"/>
          <w:i w:val="0"/>
        </w:rPr>
        <w:t xml:space="preserve"> Creation and conservation are attributed to the same divine power.</w:t>
      </w:r>
    </w:p>
    <w:p>
      <w:pPr>
        <w:keepNext/>
        <w:widowControl/>
      </w:pPr>
      <w:r>
        <w:rPr>
          <w:b/>
          <w:i w:val="0"/>
        </w:rPr>
        <w:t>In this edition.</w:t>
      </w:r>
    </w:p>
    <w:p>
      <w:pPr>
        <w:widowControl/>
      </w:pPr>
      <w:r>
        <w:rPr>
          <w:b w:val="0"/>
          <w:i w:val="0"/>
        </w:rPr>
        <w:t>Two variants matter directly. V.10.2 follows M1482’s mutabiliter rather than later mirabiliter: the bodily relation is mutable, not merely marvellous. V.10.3 retains relatio perfectionis rather than ratio perfectionis: the source understands an ellipsis in which relation causes perfection (PDF 391).</w:t>
      </w:r>
    </w:p>
    <w:p>
      <w:pPr>
        <w:keepNext/>
        <w:widowControl/>
      </w:pPr>
      <w:r>
        <w:rPr>
          <w:b/>
          <w:i w:val="0"/>
        </w:rPr>
        <w:t>See also.</w:t>
      </w:r>
    </w:p>
    <w:p>
      <w:pPr>
        <w:widowControl/>
      </w:pPr>
      <w:hyperlink w:anchor="fountains-drawing-and-infusion">
        <w:r>
          <w:rPr>
            <w:color w:val="000000"/>
          </w:rPr>
          <w:t xml:space="preserve">Fountains, drawing and infusion</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first-cause">
        <w:r>
          <w:rPr>
            <w:color w:val="000000"/>
          </w:rPr>
          <w:t xml:space="preserve">First Cause</w:t>
        </w:r>
      </w:hyperlink>
    </w:p>
    <w:p>
      <w:pPr>
        <w:pStyle w:val="Heading2"/>
      </w:pPr>
      <w:bookmarkStart w:id="201" w:name="rennet-magnet-and-clock"/>
      <w:r>
        <w:rPr>
          <w:b w:val="0"/>
          <w:i w:val="0"/>
        </w:rPr>
        <w:t>Rennet, magnet and clock</w:t>
      </w:r>
      <w:bookmarkEnd w:id="201"/>
    </w:p>
    <w:p>
      <w:pPr>
        <w:keepNext/>
        <w:widowControl/>
      </w:pPr>
      <w:r>
        <w:rPr>
          <w:b/>
          <w:i w:val="0"/>
        </w:rPr>
        <w:t>Latin:</w:t>
      </w:r>
      <w:r>
        <w:rPr>
          <w:b w:val="0"/>
          <w:i w:val="0"/>
        </w:rPr>
        <w:t xml:space="preserve"> </w:t>
      </w:r>
      <w:r>
        <w:rPr>
          <w:b w:val="0"/>
          <w:i/>
        </w:rPr>
        <w:t>coagulum</w:t>
      </w:r>
      <w:r>
        <w:rPr>
          <w:b w:val="0"/>
          <w:i w:val="0"/>
        </w:rPr>
        <w:t xml:space="preserve">; </w:t>
      </w:r>
      <w:r>
        <w:rPr>
          <w:b w:val="0"/>
          <w:i/>
        </w:rPr>
        <w:t>lac</w:t>
      </w:r>
      <w:r>
        <w:rPr>
          <w:b w:val="0"/>
          <w:i w:val="0"/>
        </w:rPr>
        <w:t xml:space="preserve">; </w:t>
      </w:r>
      <w:r>
        <w:rPr>
          <w:b w:val="0"/>
          <w:i/>
        </w:rPr>
        <w:t>magnes</w:t>
      </w:r>
      <w:r>
        <w:rPr>
          <w:b w:val="0"/>
          <w:i w:val="0"/>
        </w:rPr>
        <w:t xml:space="preserve">; </w:t>
      </w:r>
      <w:r>
        <w:rPr>
          <w:b w:val="0"/>
          <w:i/>
        </w:rPr>
        <w:t>ferrum</w:t>
      </w:r>
      <w:r>
        <w:rPr>
          <w:b w:val="0"/>
          <w:i w:val="0"/>
        </w:rPr>
        <w:t xml:space="preserve">; </w:t>
      </w:r>
      <w:r>
        <w:rPr>
          <w:b w:val="0"/>
          <w:i/>
        </w:rPr>
        <w:t>horologium</w:t>
      </w:r>
      <w:r>
        <w:rPr>
          <w:b w:val="0"/>
          <w:i w:val="0"/>
        </w:rPr>
        <w:t xml:space="preserve">; </w:t>
      </w:r>
      <w:r>
        <w:rPr>
          <w:b w:val="0"/>
          <w:i/>
        </w:rPr>
        <w:t>temperatio artis</w:t>
      </w:r>
      <w:r>
        <w:rPr>
          <w:b w:val="0"/>
          <w:i w:val="0"/>
        </w:rPr>
        <w:t xml:space="preserve">; </w:t>
      </w:r>
      <w:r>
        <w:rPr>
          <w:b w:val="0"/>
          <w:i/>
        </w:rPr>
        <w:t>temperare</w:t>
      </w:r>
    </w:p>
    <w:p>
      <w:pPr>
        <w:keepNext/>
        <w:widowControl/>
      </w:pPr>
      <w:r>
        <w:rPr>
          <w:b/>
          <w:i w:val="0"/>
        </w:rPr>
        <w:t>The word.</w:t>
      </w:r>
    </w:p>
    <w:p>
      <w:pPr>
        <w:widowControl/>
      </w:pPr>
      <w:r>
        <w:rPr>
          <w:b w:val="0"/>
          <w:i w:val="0"/>
        </w:rPr>
        <w:t>Coagulum is rennet or a curdling agent; its effect is coagulation of milk. Magnes draws and suspends iron. Horologium is a clock. Temperatio artis is the ordering or proportioning skill embodied in an artifact, distinct from the physiological temperament of humours.</w:t>
      </w:r>
    </w:p>
    <w:p>
      <w:pPr>
        <w:keepNext/>
        <w:widowControl/>
      </w:pPr>
      <w:r>
        <w:rPr>
          <w:b/>
          <w:i w:val="0"/>
        </w:rPr>
        <w:t>In the Platonic Theology.</w:t>
      </w:r>
    </w:p>
    <w:p>
      <w:pPr>
        <w:widowControl/>
      </w:pPr>
      <w:r>
        <w:rPr>
          <w:b w:val="0"/>
          <w:i w:val="0"/>
        </w:rPr>
        <w:t>At the close of VI.9 the soul’s power in body is compared with three agents or arrangements. Rennet gathers milk into curd; a magnet draws and suspends iron; ordering skill governs a clock’s movement and sound. The comparisons distinguish binding, directed motion and coordinated operation. They do not assert that soul is a physical rennet, a magnetic stone or a mechanism.</w:t>
      </w:r>
    </w:p>
    <w:p>
      <w:pPr>
        <w:widowControl/>
      </w:pPr>
      <w:r>
        <w:rPr>
          <w:b w:val="0"/>
          <w:i w:val="0"/>
        </w:rPr>
        <w:t xml:space="preserve">Ficino immediately adds a restriction crucial to reading the examples. Soul itself is not a power or tempering of the humours; it is a simple indivisible substantial form that tempers spirits, humours and members by its natural power and art. The shift from </w:t>
      </w:r>
      <w:r>
        <w:t>“</w:t>
      </w:r>
      <w:r>
        <w:rPr>
          <w:b w:val="0"/>
          <w:i w:val="0"/>
        </w:rPr>
        <w:t>soul, or rather soul’s power</w:t>
      </w:r>
      <w:r>
        <w:t>”</w:t>
      </w:r>
      <w:r>
        <w:rPr>
          <w:b w:val="0"/>
          <w:i w:val="0"/>
        </w:rPr>
        <w:t xml:space="preserve"> prevents confusing the acting substance with its operative effect. The clock image, moreover, does not reduce life to clockwork: art supplies the explanatory order for the artifact, just as natural art supplies coordinated operations in the living body. The humours and spirits belong to the passage’s historical physiology.</w:t>
      </w:r>
    </w:p>
    <w:p>
      <w:pPr>
        <w:keepNext/>
        <w:widowControl/>
      </w:pPr>
      <w:r>
        <w:rPr>
          <w:b/>
          <w:i w:val="0"/>
        </w:rPr>
        <w:t>Places to Read.</w:t>
      </w:r>
    </w:p>
    <w:p>
      <w:pPr>
        <w:ind w:left="187" w:hanging="187"/>
      </w:pPr>
      <w:r>
        <w:t xml:space="preserve">• </w:t>
      </w:r>
      <w:r>
        <w:rPr>
          <w:b/>
          <w:i w:val="0"/>
        </w:rPr>
        <w:t>VI.9.4; source PDF pp. 194, 195</w:t>
      </w:r>
      <w:r>
        <w:rPr>
          <w:b w:val="0"/>
          <w:i w:val="0"/>
        </w:rPr>
        <w:t>. The three analogies are followed immediately by the distinction between substantial soul and its tempering power.</w:t>
      </w:r>
    </w:p>
    <w:p>
      <w:pPr>
        <w:keepNext/>
        <w:widowControl/>
      </w:pPr>
      <w:r>
        <w:rPr>
          <w:b/>
          <w:i w:val="0"/>
        </w:rPr>
        <w:t>In this edition.</w:t>
      </w:r>
    </w:p>
    <w:p>
      <w:pPr>
        <w:widowControl/>
      </w:pPr>
      <w:r>
        <w:rPr>
          <w:b w:val="0"/>
          <w:i w:val="0"/>
        </w:rPr>
        <w:t>The translation differentiates temperatio artis, ordering skill, from temperatiove humorum, tempering of humours. The final verb temperat makes the causal direction explicit: the soul regulates these bodily constituents rather than being identical with their regulation.</w:t>
      </w:r>
    </w:p>
    <w:p>
      <w:pPr>
        <w:keepNext/>
        <w:widowControl/>
      </w:pPr>
      <w:r>
        <w:rPr>
          <w:b/>
          <w:i w:val="0"/>
        </w:rPr>
        <w:t>See also.</w:t>
      </w:r>
    </w:p>
    <w:p>
      <w:pPr>
        <w:widowControl/>
      </w:pPr>
      <w:hyperlink w:anchor="substantial-form-and-receiving-subject">
        <w:r>
          <w:rPr>
            <w:color w:val="000000"/>
          </w:rPr>
          <w:t xml:space="preserve">Substantial form and the receiving subject</w:t>
        </w:r>
      </w:hyperlink>
      <w:r>
        <w:rPr>
          <w:b w:val="0"/>
          <w:i w:val="0"/>
        </w:rPr>
        <w:t xml:space="preserve">; </w:t>
      </w:r>
      <w:hyperlink w:anchor="temperament-flux-and-stable-ruler">
        <w:r>
          <w:rPr>
            <w:color w:val="000000"/>
          </w:rPr>
          <w:t xml:space="preserve">Temperament, flux and the stable ruler</w:t>
        </w:r>
      </w:hyperlink>
    </w:p>
    <w:p>
      <w:pPr>
        <w:pStyle w:val="Heading2"/>
      </w:pPr>
      <w:bookmarkStart w:id="202" w:name="viii-repose-contemplation"/>
      <w:r>
        <w:rPr>
          <w:b w:val="0"/>
          <w:i w:val="0"/>
        </w:rPr>
        <w:t>Repose, motion, and contemplation</w:t>
      </w:r>
      <w:bookmarkEnd w:id="202"/>
    </w:p>
    <w:p>
      <w:pPr>
        <w:keepNext/>
        <w:widowControl/>
      </w:pPr>
      <w:r>
        <w:rPr>
          <w:b/>
          <w:i w:val="0"/>
        </w:rPr>
        <w:t>Latin:</w:t>
      </w:r>
      <w:r>
        <w:rPr>
          <w:b w:val="0"/>
          <w:i w:val="0"/>
        </w:rPr>
        <w:t xml:space="preserve"> </w:t>
      </w:r>
      <w:r>
        <w:rPr>
          <w:b w:val="0"/>
          <w:i/>
        </w:rPr>
        <w:t>status</w:t>
      </w:r>
      <w:r>
        <w:rPr>
          <w:b w:val="0"/>
          <w:i w:val="0"/>
        </w:rPr>
        <w:t xml:space="preserve">; </w:t>
      </w:r>
      <w:r>
        <w:rPr>
          <w:b w:val="0"/>
          <w:i/>
        </w:rPr>
        <w:t>motus</w:t>
      </w:r>
      <w:r>
        <w:rPr>
          <w:b w:val="0"/>
          <w:i w:val="0"/>
        </w:rPr>
        <w:t xml:space="preserve">; </w:t>
      </w:r>
      <w:r>
        <w:rPr>
          <w:b w:val="0"/>
          <w:i/>
        </w:rPr>
        <w:t>alteratio</w:t>
      </w:r>
      <w:r>
        <w:rPr>
          <w:b w:val="0"/>
          <w:i w:val="0"/>
        </w:rPr>
        <w:t xml:space="preserve">; </w:t>
      </w:r>
      <w:r>
        <w:rPr>
          <w:b w:val="0"/>
          <w:i/>
        </w:rPr>
        <w:t>quies</w:t>
      </w:r>
      <w:r>
        <w:rPr>
          <w:b w:val="0"/>
          <w:i w:val="0"/>
        </w:rPr>
        <w:t xml:space="preserve">; </w:t>
      </w:r>
      <w:r>
        <w:rPr>
          <w:b w:val="0"/>
          <w:i/>
        </w:rPr>
        <w:t>speculatio</w:t>
      </w:r>
      <w:r>
        <w:rPr>
          <w:b w:val="0"/>
          <w:i w:val="0"/>
        </w:rPr>
        <w:t xml:space="preserve">; </w:t>
      </w:r>
      <w:r>
        <w:rPr>
          <w:b w:val="0"/>
          <w:i/>
        </w:rPr>
        <w:t>stabilis</w:t>
      </w:r>
    </w:p>
    <w:p>
      <w:pPr>
        <w:keepNext/>
        <w:widowControl/>
      </w:pPr>
      <w:r>
        <w:rPr>
          <w:b/>
          <w:i w:val="0"/>
        </w:rPr>
        <w:t>The word.</w:t>
      </w:r>
    </w:p>
    <w:p>
      <w:pPr>
        <w:widowControl/>
      </w:pPr>
      <w:r>
        <w:rPr>
          <w:b w:val="0"/>
          <w:i w:val="0"/>
        </w:rPr>
        <w:t>Status is standing, settled state or repose; alteratio is the change by which a bodily form is introduced into matter. Speculatio is contemplative inquiry or vision. Physical motion and figurative intellectual movement are not automatically the same process.</w:t>
      </w:r>
    </w:p>
    <w:p>
      <w:pPr>
        <w:keepNext/>
        <w:widowControl/>
      </w:pPr>
      <w:r>
        <w:rPr>
          <w:b/>
          <w:i w:val="0"/>
        </w:rPr>
        <w:t>In the Platonic Theology.</w:t>
      </w:r>
    </w:p>
    <w:p>
      <w:pPr>
        <w:widowControl/>
      </w:pPr>
      <w:r>
        <w:rPr>
          <w:b w:val="0"/>
          <w:i w:val="0"/>
        </w:rPr>
        <w:t>Bodies acquire new forms through change. Mind, Ficino argues, is perfected by freedom from the agitations of passions and affairs: the greater its repose, the better its contemplation of truth. This contrast supports a claim about the stable source of its being. What is perfected by standing still is said to depend on stability rather than on a process of bodily generation.</w:t>
      </w:r>
    </w:p>
    <w:p>
      <w:pPr>
        <w:widowControl/>
      </w:pPr>
      <w:r>
        <w:rPr>
          <w:b w:val="0"/>
          <w:i w:val="0"/>
        </w:rPr>
        <w:t>The brevity of VIII.11 should not hide its inferential step. Psychological quiet and metaphysical permanence are linked through the premise that a thing’s natural perfection reveals the character of its source. This is a philosophical account, not an empirical claim that learning involves no bodily processes or that a person never needs rest.</w:t>
      </w:r>
    </w:p>
    <w:p>
      <w:pPr>
        <w:widowControl/>
      </w:pPr>
      <w:r>
        <w:rPr>
          <w:b w:val="0"/>
          <w:i w:val="0"/>
        </w:rPr>
        <w:t xml:space="preserve">Later, the mind is called reflection and intellectual activity is described as circular motion. Those passages do not simply retract this chapter. Their </w:t>
      </w:r>
      <w:r>
        <w:t>“</w:t>
      </w:r>
      <w:r>
        <w:rPr>
          <w:b w:val="0"/>
          <w:i w:val="0"/>
        </w:rPr>
        <w:t>movement</w:t>
      </w:r>
      <w:r>
        <w:t>”</w:t>
      </w:r>
      <w:r>
        <w:rPr>
          <w:b w:val="0"/>
          <w:i w:val="0"/>
        </w:rPr>
        <w:t xml:space="preserve"> is inward operation and return, whereas VIII.11 denies bodily alteration as the mode by which understanding receives its forms. The local sense of motus changes with the comparison.</w:t>
      </w:r>
    </w:p>
    <w:p>
      <w:pPr>
        <w:keepNext/>
        <w:widowControl/>
      </w:pPr>
      <w:r>
        <w:rPr>
          <w:b/>
          <w:i w:val="0"/>
        </w:rPr>
        <w:t>Places to Read.</w:t>
      </w:r>
    </w:p>
    <w:p>
      <w:pPr>
        <w:ind w:left="187" w:hanging="187"/>
      </w:pPr>
      <w:r>
        <w:t xml:space="preserve">• </w:t>
      </w:r>
      <w:r>
        <w:rPr>
          <w:b/>
          <w:i w:val="0"/>
        </w:rPr>
        <w:t>VIII.11.1, PDF pp. 354–355.</w:t>
      </w:r>
      <w:r>
        <w:rPr>
          <w:b w:val="0"/>
          <w:i w:val="0"/>
        </w:rPr>
        <w:t xml:space="preserve"> Bodily acquisition through alteration is contrasted with contemplative perfection through repose.</w:t>
      </w:r>
    </w:p>
    <w:p>
      <w:pPr>
        <w:ind w:left="187" w:hanging="187"/>
      </w:pPr>
      <w:r>
        <w:t xml:space="preserve">• </w:t>
      </w:r>
      <w:r>
        <w:rPr>
          <w:b/>
          <w:i w:val="0"/>
        </w:rPr>
        <w:t>VIII.15.1, PDF pp. 364–365.</w:t>
      </w:r>
      <w:r>
        <w:rPr>
          <w:b w:val="0"/>
          <w:i w:val="0"/>
        </w:rPr>
        <w:t xml:space="preserve"> Essence, life and mind are related to repose, motion and reflection.</w:t>
      </w:r>
    </w:p>
    <w:p>
      <w:pPr>
        <w:ind w:left="187" w:hanging="187"/>
      </w:pPr>
      <w:r>
        <w:t xml:space="preserve">• </w:t>
      </w:r>
      <w:r>
        <w:rPr>
          <w:b/>
          <w:i w:val="0"/>
        </w:rPr>
        <w:t>VIII.16.1, PDF pp. 370–371.</w:t>
      </w:r>
      <w:r>
        <w:rPr>
          <w:b w:val="0"/>
          <w:i w:val="0"/>
        </w:rPr>
        <w:t xml:space="preserve"> Circular intellectual return introduces a different use of motion.</w:t>
      </w:r>
    </w:p>
    <w:p>
      <w:pPr>
        <w:keepNext/>
        <w:widowControl/>
      </w:pPr>
      <w:r>
        <w:rPr>
          <w:b/>
          <w:i w:val="0"/>
        </w:rPr>
        <w:t>In this edition.</w:t>
      </w:r>
    </w:p>
    <w:p>
      <w:pPr>
        <w:widowControl/>
      </w:pPr>
      <w:r>
        <w:rPr>
          <w:b w:val="0"/>
          <w:i w:val="0"/>
        </w:rPr>
        <w:t>The edition indexes this as chapter VIII.11 because the rubric calls it the eleventh argument and it stands between VIII.10 and VIII.12, although the reported early chapter label erroneously says ten. The correction is editorial numbering, not an additional chapter.</w:t>
      </w:r>
    </w:p>
    <w:p>
      <w:pPr>
        <w:keepNext/>
        <w:widowControl/>
      </w:pPr>
      <w:r>
        <w:rPr>
          <w:b/>
          <w:i w:val="0"/>
        </w:rPr>
        <w:t>See also.</w:t>
      </w:r>
    </w:p>
    <w:p>
      <w:pPr>
        <w:widowControl/>
      </w:pPr>
      <w:hyperlink w:anchor="viii-reflexive-will">
        <w:r>
          <w:rPr>
            <w:color w:val="000000"/>
          </w:rPr>
          <w:t xml:space="preserve">Reflexive understanding and willing</w:t>
        </w:r>
      </w:hyperlink>
      <w:r>
        <w:rPr>
          <w:b w:val="0"/>
          <w:i w:val="0"/>
        </w:rPr>
        <w:t xml:space="preserve">; </w:t>
      </w:r>
      <w:hyperlink w:anchor="viii-infinite-operations">
        <w:r>
          <w:rPr>
            <w:color w:val="000000"/>
          </w:rPr>
          <w:t xml:space="preserve">Infinite operations and the limits of sensory kinds</w:t>
        </w:r>
      </w:hyperlink>
      <w:r>
        <w:rPr>
          <w:b w:val="0"/>
          <w:i w:val="0"/>
        </w:rPr>
        <w:t xml:space="preserve">; </w:t>
      </w:r>
      <w:hyperlink w:anchor="viii-individual-perpetuity">
        <w:r>
          <w:rPr>
            <w:color w:val="000000"/>
          </w:rPr>
          <w:t xml:space="preserve">Individual immortality and the scope of the conclusion</w:t>
        </w:r>
      </w:hyperlink>
    </w:p>
    <w:p>
      <w:pPr>
        <w:pStyle w:val="Heading2"/>
      </w:pPr>
      <w:bookmarkStart w:id="203" w:name="viii-mutual-sciences"/>
      <w:r>
        <w:rPr>
          <w:b w:val="0"/>
          <w:i w:val="0"/>
        </w:rPr>
        <w:t>Sciences, virtues, and mutual containment</w:t>
      </w:r>
      <w:bookmarkEnd w:id="203"/>
    </w:p>
    <w:p>
      <w:pPr>
        <w:keepNext/>
        <w:widowControl/>
      </w:pPr>
      <w:r>
        <w:rPr>
          <w:b/>
          <w:i w:val="0"/>
        </w:rPr>
        <w:t>Latin:</w:t>
      </w:r>
      <w:r>
        <w:rPr>
          <w:b w:val="0"/>
          <w:i w:val="0"/>
        </w:rPr>
        <w:t xml:space="preserve"> </w:t>
      </w:r>
      <w:r>
        <w:rPr>
          <w:b w:val="0"/>
          <w:i/>
        </w:rPr>
        <w:t>scientiae</w:t>
      </w:r>
      <w:r>
        <w:rPr>
          <w:b w:val="0"/>
          <w:i w:val="0"/>
        </w:rPr>
        <w:t xml:space="preserve">; </w:t>
      </w:r>
      <w:r>
        <w:rPr>
          <w:b w:val="0"/>
          <w:i/>
        </w:rPr>
        <w:t>intelligentiae</w:t>
      </w:r>
      <w:r>
        <w:rPr>
          <w:b w:val="0"/>
          <w:i w:val="0"/>
        </w:rPr>
        <w:t xml:space="preserve">; </w:t>
      </w:r>
      <w:r>
        <w:rPr>
          <w:b w:val="0"/>
          <w:i/>
        </w:rPr>
        <w:t>habitus</w:t>
      </w:r>
      <w:r>
        <w:rPr>
          <w:b w:val="0"/>
          <w:i w:val="0"/>
        </w:rPr>
        <w:t xml:space="preserve">; </w:t>
      </w:r>
      <w:r>
        <w:rPr>
          <w:b w:val="0"/>
          <w:i/>
        </w:rPr>
        <w:t>exemplar</w:t>
      </w:r>
      <w:r>
        <w:rPr>
          <w:b w:val="0"/>
          <w:i w:val="0"/>
        </w:rPr>
        <w:t xml:space="preserve">; </w:t>
      </w:r>
      <w:r>
        <w:rPr>
          <w:b w:val="0"/>
          <w:i/>
        </w:rPr>
        <w:t>continere</w:t>
      </w:r>
      <w:r>
        <w:rPr>
          <w:b w:val="0"/>
          <w:i w:val="0"/>
        </w:rPr>
        <w:t xml:space="preserve">; </w:t>
      </w:r>
      <w:r>
        <w:rPr>
          <w:b w:val="0"/>
          <w:i/>
        </w:rPr>
        <w:t>elici</w:t>
      </w:r>
      <w:r>
        <w:rPr>
          <w:b w:val="0"/>
          <w:i w:val="0"/>
        </w:rPr>
        <w:t xml:space="preserve">; </w:t>
      </w:r>
      <w:r>
        <w:rPr>
          <w:b w:val="0"/>
          <w:i/>
        </w:rPr>
        <w:t>connexae</w:t>
      </w:r>
    </w:p>
    <w:p>
      <w:pPr>
        <w:keepNext/>
        <w:widowControl/>
      </w:pPr>
      <w:r>
        <w:rPr>
          <w:b/>
          <w:i w:val="0"/>
        </w:rPr>
        <w:t>The word.</w:t>
      </w:r>
    </w:p>
    <w:p>
      <w:pPr>
        <w:widowControl/>
      </w:pPr>
      <w:r>
        <w:rPr>
          <w:b w:val="0"/>
          <w:i w:val="0"/>
        </w:rPr>
        <w:t>Plural scientiae can mean distinct disciplines or bodies of knowledge. Intelligentiae in these passages are acts or conceptions of understanding, not separate angelic intellects. Containment is logical and cognitive, not spatial stacking.</w:t>
      </w:r>
    </w:p>
    <w:p>
      <w:pPr>
        <w:keepNext/>
        <w:widowControl/>
      </w:pPr>
      <w:r>
        <w:rPr>
          <w:b/>
          <w:i w:val="0"/>
        </w:rPr>
        <w:t>In the Platonic Theology.</w:t>
      </w:r>
    </w:p>
    <w:p>
      <w:pPr>
        <w:widowControl/>
      </w:pPr>
      <w:r>
        <w:rPr>
          <w:b w:val="0"/>
          <w:i w:val="0"/>
        </w:rPr>
        <w:t>Many sciences and virtues coexist in one soul without displacing or confusing one another. A person can attend to one art’s exemplar and make its appropriate work without producing the work of another. Ficino first uses this distinct coexistence against bodily mixture: such contents neither push each other out nor lose their identities through combination.</w:t>
      </w:r>
    </w:p>
    <w:p>
      <w:pPr>
        <w:widowControl/>
      </w:pPr>
      <w:r>
        <w:rPr>
          <w:b w:val="0"/>
          <w:i w:val="0"/>
        </w:rPr>
        <w:t>The next step is stronger. In an expert’s geometry or theology, propositions lead to others; effects bear signs of causes, allowing inquiry backward as well as forward. Ficino describes each understanding as containing the others, since an acute knower can unfold the connected discipline from a proposition. This is a claim about ordered inferential implication and expert access, not an assurance that any novice instantly knows an entire subject after hearing one sentence.</w:t>
      </w:r>
    </w:p>
    <w:p>
      <w:pPr>
        <w:widowControl/>
      </w:pPr>
      <w:r>
        <w:rPr>
          <w:b w:val="0"/>
          <w:i w:val="0"/>
        </w:rPr>
        <w:t>Moral virtues similarly depend on one another. Justice fails under intimidation or servile appetite; courage requires resistance to enfeebling desire; temperance needs firmness against fear; and all need prudence’s direction toward the proper end. Prudence in turn is obstructed by vice. Ficino presents perfected virtues as mutually implicated.</w:t>
      </w:r>
    </w:p>
    <w:p>
      <w:pPr>
        <w:widowControl/>
      </w:pPr>
      <w:r>
        <w:rPr>
          <w:b w:val="0"/>
          <w:i w:val="0"/>
        </w:rPr>
        <w:t>An extended bodily quality is distributed across different parts and is not whole in each. The alleged whole presence of connected knowledge and virtue therefore supplies another route to indivisibility. The chapter moves from distinct coexistence to mutual inclusion; these are related claims, not interchangeable descriptions.</w:t>
      </w:r>
    </w:p>
    <w:p>
      <w:pPr>
        <w:keepNext/>
        <w:widowControl/>
      </w:pPr>
      <w:r>
        <w:rPr>
          <w:b/>
          <w:i w:val="0"/>
        </w:rPr>
        <w:t>Places to Read.</w:t>
      </w:r>
    </w:p>
    <w:p>
      <w:pPr>
        <w:ind w:left="187" w:hanging="187"/>
      </w:pPr>
      <w:r>
        <w:t xml:space="preserve">• </w:t>
      </w:r>
      <w:r>
        <w:rPr>
          <w:b/>
          <w:i w:val="0"/>
        </w:rPr>
        <w:t>VIII.3.6, PDF pp. 310–311.</w:t>
      </w:r>
      <w:r>
        <w:rPr>
          <w:b w:val="0"/>
          <w:i w:val="0"/>
        </w:rPr>
        <w:t xml:space="preserve"> Arts and virtues remain united and distinct without collision or confusion.</w:t>
      </w:r>
    </w:p>
    <w:p>
      <w:pPr>
        <w:ind w:left="187" w:hanging="187"/>
      </w:pPr>
      <w:r>
        <w:t xml:space="preserve">• </w:t>
      </w:r>
      <w:r>
        <w:rPr>
          <w:b/>
          <w:i w:val="0"/>
        </w:rPr>
        <w:t>VIII.3.7, PDF pp. 312–313.</w:t>
      </w:r>
      <w:r>
        <w:rPr>
          <w:b w:val="0"/>
          <w:i w:val="0"/>
        </w:rPr>
        <w:t xml:space="preserve"> Inferential connection among propositions and interdependence among virtues support whole-in-each containment.</w:t>
      </w:r>
    </w:p>
    <w:p>
      <w:pPr>
        <w:keepNext/>
        <w:widowControl/>
      </w:pPr>
      <w:r>
        <w:rPr>
          <w:b/>
          <w:i w:val="0"/>
        </w:rPr>
        <w:t>In this edition.</w:t>
      </w:r>
    </w:p>
    <w:p>
      <w:pPr>
        <w:widowControl/>
      </w:pPr>
      <w:r>
        <w:rPr>
          <w:b w:val="0"/>
          <w:i w:val="0"/>
        </w:rPr>
        <w:t xml:space="preserve">VIII.3.7 retains the 1482 active quod docet, </w:t>
      </w:r>
      <w:r>
        <w:t>“</w:t>
      </w:r>
      <w:r>
        <w:rPr>
          <w:b w:val="0"/>
          <w:i w:val="0"/>
        </w:rPr>
        <w:t>what he teaches,</w:t>
      </w:r>
      <w:r>
        <w:t>”</w:t>
      </w:r>
      <w:r>
        <w:rPr>
          <w:b w:val="0"/>
          <w:i w:val="0"/>
        </w:rPr>
        <w:t xml:space="preserve"> against the later passive reported in the apparatus. The teaching analogy supports a claim that what makes another known must possess it in an explanatory sense; it is not a new doctrine about physical storage.</w:t>
      </w:r>
    </w:p>
    <w:p>
      <w:pPr>
        <w:keepNext/>
        <w:widowControl/>
      </w:pPr>
      <w:r>
        <w:rPr>
          <w:b/>
          <w:i w:val="0"/>
        </w:rPr>
        <w:t>See also.</w:t>
      </w:r>
    </w:p>
    <w:p>
      <w:pPr>
        <w:widowControl/>
      </w:pPr>
      <w:hyperlink w:anchor="viii-virtue-quality">
        <w:r>
          <w:rPr>
            <w:color w:val="000000"/>
          </w:rPr>
          <w:t xml:space="preserve">Virtue as an indivisible quality</w:t>
        </w:r>
      </w:hyperlink>
      <w:r>
        <w:rPr>
          <w:b w:val="0"/>
          <w:i w:val="0"/>
        </w:rPr>
        <w:t xml:space="preserve">; </w:t>
      </w:r>
      <w:hyperlink w:anchor="viii-whole-mind">
        <w:r>
          <w:rPr>
            <w:color w:val="000000"/>
          </w:rPr>
          <w:t xml:space="preserve">The whole mind and the measure of equality</w:t>
        </w:r>
      </w:hyperlink>
      <w:r>
        <w:rPr>
          <w:b w:val="0"/>
          <w:i w:val="0"/>
        </w:rPr>
        <w:t xml:space="preserve">; </w:t>
      </w:r>
      <w:hyperlink w:anchor="viii-mutual-minds">
        <w:r>
          <w:rPr>
            <w:color w:val="000000"/>
          </w:rPr>
          <w:t xml:space="preserve">Mutual knowledge of minds and the celestial spheres</w:t>
        </w:r>
      </w:hyperlink>
    </w:p>
    <w:p>
      <w:pPr>
        <w:pStyle w:val="Heading2"/>
      </w:pPr>
      <w:bookmarkStart w:id="204" w:name="seal-wax-and-restoration"/>
      <w:r>
        <w:rPr>
          <w:b w:val="0"/>
          <w:i w:val="0"/>
        </w:rPr>
        <w:t>Seal, wax and restoration</w:t>
      </w:r>
      <w:bookmarkEnd w:id="204"/>
    </w:p>
    <w:p>
      <w:pPr>
        <w:keepNext/>
        <w:widowControl/>
      </w:pPr>
      <w:r>
        <w:rPr>
          <w:b/>
          <w:i w:val="0"/>
        </w:rPr>
        <w:t>Latin:</w:t>
      </w:r>
      <w:r>
        <w:rPr>
          <w:b w:val="0"/>
          <w:i w:val="0"/>
        </w:rPr>
        <w:t xml:space="preserve"> </w:t>
      </w:r>
      <w:r>
        <w:rPr>
          <w:b w:val="0"/>
          <w:i/>
        </w:rPr>
        <w:t>sigillum</w:t>
      </w:r>
      <w:r>
        <w:rPr>
          <w:b w:val="0"/>
          <w:i w:val="0"/>
        </w:rPr>
        <w:t xml:space="preserve">; </w:t>
      </w:r>
      <w:r>
        <w:rPr>
          <w:b w:val="0"/>
          <w:i/>
        </w:rPr>
        <w:t>cera</w:t>
      </w:r>
      <w:r>
        <w:rPr>
          <w:b w:val="0"/>
          <w:i w:val="0"/>
        </w:rPr>
        <w:t xml:space="preserve">; </w:t>
      </w:r>
      <w:r>
        <w:rPr>
          <w:b w:val="0"/>
          <w:i/>
        </w:rPr>
        <w:t>figura</w:t>
      </w:r>
      <w:r>
        <w:rPr>
          <w:b w:val="0"/>
          <w:i w:val="0"/>
        </w:rPr>
        <w:t xml:space="preserve">; </w:t>
      </w:r>
      <w:r>
        <w:rPr>
          <w:b w:val="0"/>
          <w:i/>
        </w:rPr>
        <w:t>imprimere</w:t>
      </w:r>
      <w:r>
        <w:rPr>
          <w:b w:val="0"/>
          <w:i w:val="0"/>
        </w:rPr>
        <w:t xml:space="preserve">; </w:t>
      </w:r>
      <w:r>
        <w:rPr>
          <w:b w:val="0"/>
          <w:i/>
        </w:rPr>
        <w:t>adaequare</w:t>
      </w:r>
      <w:r>
        <w:rPr>
          <w:b w:val="0"/>
          <w:i w:val="0"/>
        </w:rPr>
        <w:t xml:space="preserve">; </w:t>
      </w:r>
      <w:r>
        <w:rPr>
          <w:b w:val="0"/>
          <w:i/>
        </w:rPr>
        <w:t>redintegrare</w:t>
      </w:r>
      <w:r>
        <w:rPr>
          <w:b w:val="0"/>
          <w:i w:val="0"/>
        </w:rPr>
        <w:t xml:space="preserve">; </w:t>
      </w:r>
      <w:r>
        <w:rPr>
          <w:b w:val="0"/>
          <w:i/>
        </w:rPr>
        <w:t>confirmare</w:t>
      </w:r>
      <w:r>
        <w:rPr>
          <w:b w:val="0"/>
          <w:i w:val="0"/>
        </w:rPr>
        <w:t xml:space="preserve">; </w:t>
      </w:r>
      <w:r>
        <w:rPr>
          <w:b w:val="0"/>
          <w:i/>
        </w:rPr>
        <w:t>roborare</w:t>
      </w:r>
    </w:p>
    <w:p>
      <w:pPr>
        <w:keepNext/>
        <w:widowControl/>
      </w:pPr>
      <w:r>
        <w:rPr>
          <w:b/>
          <w:i w:val="0"/>
        </w:rPr>
        <w:t>The word.</w:t>
      </w:r>
    </w:p>
    <w:p>
      <w:pPr>
        <w:widowControl/>
      </w:pPr>
      <w:r>
        <w:rPr>
          <w:b w:val="0"/>
          <w:i w:val="0"/>
        </w:rPr>
        <w:t>Sigillum is a seal, cera wax and figura the impressed shape. Imprimere makes an impression. Adaequare brings into conformity, redintegrare restores wholeness, and confirmare or roborare makes firm or strengthens.</w:t>
      </w:r>
    </w:p>
    <w:p>
      <w:pPr>
        <w:keepNext/>
        <w:widowControl/>
      </w:pPr>
      <w:r>
        <w:rPr>
          <w:b/>
          <w:i w:val="0"/>
        </w:rPr>
        <w:t>In the Platonic Theology.</w:t>
      </w:r>
    </w:p>
    <w:p>
      <w:pPr>
        <w:widowControl/>
      </w:pPr>
      <w:r>
        <w:rPr>
          <w:b w:val="0"/>
          <w:i w:val="0"/>
        </w:rPr>
        <w:t>V.11.6 answers the suggestion that the soul might be resolved into the power of its divine author. The impression in wax is not erased when brought fully into agreement with the seal; it is restored to its own form. Likewise, the soul’s approach to the Idea through which God appointed its mode of being confirms rather than abolishes that being.</w:t>
      </w:r>
    </w:p>
    <w:p>
      <w:pPr>
        <w:widowControl/>
      </w:pPr>
      <w:r>
        <w:rPr>
          <w:b w:val="0"/>
          <w:i w:val="0"/>
        </w:rPr>
        <w:t>The comparison therefore opposes assimilation to annihilation. An exemplar perfects the derivative thing as the thing it is. It does not swallow the derivative into an undifferentiated source. The first act strengthens the subsequent act, and God as the efficient origin of production cannot simply be redescribed as the material terminus of corruption.</w:t>
      </w:r>
    </w:p>
    <w:p>
      <w:pPr>
        <w:widowControl/>
      </w:pPr>
      <w:r>
        <w:rPr>
          <w:b w:val="0"/>
          <w:i w:val="0"/>
        </w:rPr>
        <w:t>Ficino then exposes the illicit material model: if soul arose from divine potency plus an added act, it might be thought to dissolve back into God as into matter. But God is pure act and never occupies matter’s role. The seal analogy is not permission to treat God as a physical stamp or soul as literal wax; its useful feature is determinate correspondence that restores identity.</w:t>
      </w:r>
    </w:p>
    <w:p>
      <w:pPr>
        <w:keepNext/>
        <w:widowControl/>
      </w:pPr>
      <w:r>
        <w:rPr>
          <w:b/>
          <w:i w:val="0"/>
        </w:rPr>
        <w:t>Places to Read.</w:t>
      </w:r>
    </w:p>
    <w:p>
      <w:pPr>
        <w:ind w:left="187" w:hanging="187"/>
      </w:pPr>
      <w:r>
        <w:t xml:space="preserve">• </w:t>
      </w:r>
      <w:r>
        <w:rPr>
          <w:b/>
          <w:i w:val="0"/>
        </w:rPr>
        <w:t>V.11.5, V.11.6, PDF 62–65.</w:t>
      </w:r>
      <w:r>
        <w:rPr>
          <w:b w:val="0"/>
          <w:i w:val="0"/>
        </w:rPr>
        <w:t xml:space="preserve"> Return to primal life is distinguished from loss of mind; the seal restores determinate form.</w:t>
      </w:r>
    </w:p>
    <w:p>
      <w:pPr>
        <w:ind w:left="187" w:hanging="187"/>
      </w:pPr>
      <w:r>
        <w:t xml:space="preserve">• </w:t>
      </w:r>
      <w:r>
        <w:rPr>
          <w:b/>
          <w:i w:val="0"/>
        </w:rPr>
        <w:t>V.11.8, PDF 66–67.</w:t>
      </w:r>
      <w:r>
        <w:rPr>
          <w:b w:val="0"/>
          <w:i w:val="0"/>
        </w:rPr>
        <w:t xml:space="preserve"> The following analysis protects species and individual identity.</w:t>
      </w:r>
    </w:p>
    <w:p>
      <w:pPr>
        <w:keepNext/>
        <w:widowControl/>
      </w:pPr>
      <w:r>
        <w:rPr>
          <w:b/>
          <w:i w:val="0"/>
        </w:rPr>
        <w:t>In this edition.</w:t>
      </w:r>
    </w:p>
    <w:p>
      <w:pPr>
        <w:widowControl/>
      </w:pPr>
      <w:r>
        <w:rPr>
          <w:b w:val="0"/>
          <w:i w:val="0"/>
        </w:rPr>
        <w:t>The argument uses terminus in two directions: the end toward which corruption would move and the efficient source from which production proceeds. The edition differentiates these rather than translating both as a spatial stopping point.</w:t>
      </w:r>
    </w:p>
    <w:p>
      <w:pPr>
        <w:keepNext/>
        <w:widowControl/>
      </w:pPr>
      <w:r>
        <w:rPr>
          <w:b/>
          <w:i w:val="0"/>
        </w:rPr>
        <w:t>See also.</w:t>
      </w:r>
    </w:p>
    <w:p>
      <w:pPr>
        <w:widowControl/>
      </w:pPr>
      <w:hyperlink w:anchor="spiritual-matter-and-identity">
        <w:r>
          <w:rPr>
            <w:color w:val="000000"/>
          </w:rPr>
          <w:t xml:space="preserve">Spiritual matter and identity</w:t>
        </w:r>
      </w:hyperlink>
      <w:r>
        <w:rPr>
          <w:b w:val="0"/>
          <w:i w:val="0"/>
        </w:rPr>
        <w:t xml:space="preserve">; </w:t>
      </w:r>
      <w:hyperlink w:anchor="relation-and-continuing-dependence">
        <w:r>
          <w:rPr>
            <w:color w:val="000000"/>
          </w:rPr>
          <w:t xml:space="preserve">Relation and continuing dependence</w:t>
        </w:r>
      </w:hyperlink>
      <w:r>
        <w:rPr>
          <w:b w:val="0"/>
          <w:i w:val="0"/>
        </w:rPr>
        <w:t xml:space="preserve">; </w:t>
      </w:r>
      <w:hyperlink w:anchor="ariston-sculptor-and-painter">
        <w:r>
          <w:rPr>
            <w:color w:val="000000"/>
          </w:rPr>
          <w:t xml:space="preserve">Ariston, sculptor and painter</w:t>
        </w:r>
      </w:hyperlink>
    </w:p>
    <w:p>
      <w:pPr>
        <w:pStyle w:val="Heading2"/>
      </w:pPr>
      <w:bookmarkStart w:id="205" w:name="viii-self-cause"/>
      <w:r>
        <w:rPr>
          <w:b w:val="0"/>
          <w:i w:val="0"/>
        </w:rPr>
        <w:t>Self-causation: formal cause and efficient cause</w:t>
      </w:r>
      <w:bookmarkEnd w:id="205"/>
    </w:p>
    <w:p>
      <w:pPr>
        <w:keepNext/>
        <w:widowControl/>
      </w:pPr>
      <w:r>
        <w:rPr>
          <w:b/>
          <w:i w:val="0"/>
        </w:rPr>
        <w:t>Latin:</w:t>
      </w:r>
      <w:r>
        <w:rPr>
          <w:b w:val="0"/>
          <w:i w:val="0"/>
        </w:rPr>
        <w:t xml:space="preserve"> </w:t>
      </w:r>
      <w:r>
        <w:rPr>
          <w:b w:val="0"/>
          <w:i/>
        </w:rPr>
        <w:t>causa formalis</w:t>
      </w:r>
      <w:r>
        <w:rPr>
          <w:b w:val="0"/>
          <w:i w:val="0"/>
        </w:rPr>
        <w:t xml:space="preserve">; </w:t>
      </w:r>
      <w:r>
        <w:rPr>
          <w:b w:val="0"/>
          <w:i/>
        </w:rPr>
        <w:t>causa efficiens</w:t>
      </w:r>
      <w:r>
        <w:rPr>
          <w:b w:val="0"/>
          <w:i w:val="0"/>
        </w:rPr>
        <w:t xml:space="preserve">; </w:t>
      </w:r>
      <w:r>
        <w:rPr>
          <w:b w:val="0"/>
          <w:i/>
        </w:rPr>
        <w:t>ex se</w:t>
      </w:r>
      <w:r>
        <w:rPr>
          <w:b w:val="0"/>
          <w:i w:val="0"/>
        </w:rPr>
        <w:t xml:space="preserve">; </w:t>
      </w:r>
      <w:r>
        <w:rPr>
          <w:b w:val="0"/>
          <w:i/>
        </w:rPr>
        <w:t>in se</w:t>
      </w:r>
      <w:r>
        <w:rPr>
          <w:b w:val="0"/>
          <w:i w:val="0"/>
        </w:rPr>
        <w:t xml:space="preserve">; </w:t>
      </w:r>
      <w:r>
        <w:rPr>
          <w:b w:val="0"/>
          <w:i/>
        </w:rPr>
        <w:t>per se</w:t>
      </w:r>
      <w:r>
        <w:rPr>
          <w:b w:val="0"/>
          <w:i w:val="0"/>
        </w:rPr>
        <w:t xml:space="preserve">; </w:t>
      </w:r>
      <w:r>
        <w:rPr>
          <w:b w:val="0"/>
          <w:i/>
        </w:rPr>
        <w:t>principium</w:t>
      </w:r>
      <w:r>
        <w:rPr>
          <w:b w:val="0"/>
          <w:i w:val="0"/>
        </w:rPr>
        <w:t xml:space="preserve">; </w:t>
      </w:r>
      <w:r>
        <w:rPr>
          <w:b w:val="0"/>
          <w:i/>
        </w:rPr>
        <w:t>finis</w:t>
      </w:r>
    </w:p>
    <w:p>
      <w:pPr>
        <w:keepNext/>
        <w:widowControl/>
      </w:pPr>
      <w:r>
        <w:rPr>
          <w:b/>
          <w:i w:val="0"/>
        </w:rPr>
        <w:t>The word.</w:t>
      </w:r>
    </w:p>
    <w:p>
      <w:pPr>
        <w:widowControl/>
      </w:pPr>
      <w:r>
        <w:rPr>
          <w:b w:val="0"/>
          <w:i w:val="0"/>
        </w:rPr>
        <w:t xml:space="preserve">An efficient cause is a producer of being or action; a formal cause supplies the determining principle by which a thing is what it is. Ficino explicitly permits mind to be its own cause only in the formal sense in VIII.15.3. </w:t>
      </w:r>
      <w:r>
        <w:t>“</w:t>
      </w:r>
      <w:r>
        <w:rPr>
          <w:b w:val="0"/>
          <w:i w:val="0"/>
        </w:rPr>
        <w:t>From itself,</w:t>
      </w:r>
      <w:r>
        <w:t>”</w:t>
      </w:r>
      <w:r>
        <w:rPr>
          <w:b w:val="0"/>
          <w:i w:val="0"/>
        </w:rPr>
        <w:t xml:space="preserve"> </w:t>
      </w:r>
      <w:r>
        <w:t>“</w:t>
      </w:r>
      <w:r>
        <w:rPr>
          <w:b w:val="0"/>
          <w:i w:val="0"/>
        </w:rPr>
        <w:t>upon itself</w:t>
      </w:r>
      <w:r>
        <w:t>”</w:t>
      </w:r>
      <w:r>
        <w:rPr>
          <w:b w:val="0"/>
          <w:i w:val="0"/>
        </w:rPr>
        <w:t xml:space="preserve"> and </w:t>
      </w:r>
      <w:r>
        <w:t>“</w:t>
      </w:r>
      <w:r>
        <w:rPr>
          <w:b w:val="0"/>
          <w:i w:val="0"/>
        </w:rPr>
        <w:t>through itself</w:t>
      </w:r>
      <w:r>
        <w:t>”</w:t>
      </w:r>
      <w:r>
        <w:rPr>
          <w:b w:val="0"/>
          <w:i w:val="0"/>
        </w:rPr>
        <w:t xml:space="preserve"> describe different relations within an operation.</w:t>
      </w:r>
    </w:p>
    <w:p>
      <w:pPr>
        <w:keepNext/>
        <w:widowControl/>
      </w:pPr>
      <w:r>
        <w:rPr>
          <w:b/>
          <w:i w:val="0"/>
        </w:rPr>
        <w:t>In the Platonic Theology.</w:t>
      </w:r>
    </w:p>
    <w:p>
      <w:pPr>
        <w:widowControl/>
      </w:pPr>
      <w:r>
        <w:rPr>
          <w:b w:val="0"/>
          <w:i w:val="0"/>
        </w:rPr>
        <w:t>The language of intellectual renewal raises a question about causal scope. Mind forms and perfects itself by understanding and willing, conceiving accounts of itself and other things. Unlike natural generation, which preserves a kind through successive offspring, this intellectual generation keeps its products within the individual parent. Ficino also argues from being well to being: if intellect can provide the greater good of its own perfection through contemplation and conduct, it should sustain its being in the relevant respect. The text already restricts this inference with secundum formam, according to form. It does not infer original creation simply from the ability to improve oneself.</w:t>
      </w:r>
    </w:p>
    <w:p>
      <w:pPr>
        <w:widowControl/>
      </w:pPr>
      <w:r>
        <w:rPr>
          <w:b w:val="0"/>
          <w:i w:val="0"/>
        </w:rPr>
        <w:t>A stronger proposal is then reported from Proclus. Soul, as a principle of generation, is said to beget and vivify itself so as to have essence from itself; more generally, every indivisible substance existing in its own essence is said to produce and contain itself. Divisible substances, including heaven, instead require production and containment from elsewhere. Ficino says he passes over the claim and leaves Proclus to it. This is a substantive reservation. It is not a detailed refutation of Proclus, but neither does it permit the reported doctrine to be inserted as Ficino’s unqualified conclusion.</w:t>
      </w:r>
    </w:p>
    <w:p>
      <w:pPr>
        <w:widowControl/>
      </w:pPr>
      <w:r>
        <w:rPr>
          <w:b w:val="0"/>
          <w:i w:val="0"/>
        </w:rPr>
        <w:t>Ficino next considers the actual relations within self-operation. Intellect knows and loves its own operation, and through it its power and substance. The act is upon itself and through itself, with no bodily medium inserted between the intellect and the intellect. He also argues that acting upon itself shows acting from itself: source and terminus are both within the intellectual subject, and therefore so is the relevant medium. Ex se, in se and per se name different relations of one operation, not three spatial parts. The resulting question is whether a power whose operation is fulfilled inwardly can act and live apart from body.</w:t>
      </w:r>
    </w:p>
    <w:p>
      <w:pPr>
        <w:widowControl/>
      </w:pPr>
      <w:r>
        <w:rPr>
          <w:b w:val="0"/>
          <w:i w:val="0"/>
        </w:rPr>
        <w:t xml:space="preserve">VIII.15.3 clarifies the proof through origin and end. Since mind’s operation terminates within mind, mind is in a certain manner its own operation’s end. Beings seek their source as end; mind is therefore also the operation’s principle. From self-operation Ficino passes to life, described as inward operation, and then to being, because life is the first act of existence. The sequence </w:t>
      </w:r>
      <w:r>
        <w:t>“</w:t>
      </w:r>
      <w:r>
        <w:rPr>
          <w:b w:val="0"/>
          <w:i w:val="0"/>
        </w:rPr>
        <w:t>as it operates, so it lives; as it lives, so it is</w:t>
      </w:r>
      <w:r>
        <w:t>”</w:t>
      </w:r>
      <w:r>
        <w:rPr>
          <w:b w:val="0"/>
          <w:i w:val="0"/>
        </w:rPr>
        <w:t xml:space="preserve"> attempts to move from the character of an actual inward activity toward the mode of life and being that supports it. It is not an argument from a merely verbal self-reference.</w:t>
      </w:r>
    </w:p>
    <w:p>
      <w:pPr>
        <w:widowControl/>
      </w:pPr>
      <w:r>
        <w:rPr>
          <w:b w:val="0"/>
          <w:i w:val="0"/>
        </w:rPr>
        <w:t>At the point where he calls mind its own cause, Ficino supplies the controlling correction: not an efficient cause, but a formal cause, by whose power being is bestowed and preserved. The determining principle sustains the subject’s formal integrity; the subject does not first efficiently manufacture itself out of nonbeing. Both this explicit exclusion and the earlier secundum formam must accompany a faithful explanation of the apparently unrestricted language of self-making. No chronology in which a nonexistent soul creates its own existence is asserted.</w:t>
      </w:r>
    </w:p>
    <w:p>
      <w:pPr>
        <w:widowControl/>
      </w:pPr>
      <w:r>
        <w:rPr>
          <w:b w:val="0"/>
          <w:i w:val="0"/>
        </w:rPr>
        <w:t>The relation to the First Cause becomes explicit in VIII.16.4. Ficino corrects the suggestion that mind possesses its limitless power solely by itself: more truly, it receives a divine enlargement. God’s absolute infinity implants and continually preserves intellectual and vital infinity in dependent minds and souls. Mind’s inward presence to its own perfection and its dependence on a higher source therefore answer different causal questions. Formal self-maintenance explains how the intellectual subject retains and perfects its nature; efficient first causality concerns the source from which that dependent subject and capacity arise. Book VIII’s argument cannot be reduced either to wholly external bodily support or to an independently self-created human mind.</w:t>
      </w:r>
    </w:p>
    <w:p>
      <w:pPr>
        <w:keepNext/>
        <w:widowControl/>
      </w:pPr>
      <w:r>
        <w:rPr>
          <w:b/>
          <w:i w:val="0"/>
        </w:rPr>
        <w:t>Places to Read.</w:t>
      </w:r>
    </w:p>
    <w:p>
      <w:pPr>
        <w:ind w:left="187" w:hanging="187"/>
      </w:pPr>
      <w:r>
        <w:t xml:space="preserve">• </w:t>
      </w:r>
      <w:r>
        <w:rPr>
          <w:b/>
          <w:i w:val="0"/>
        </w:rPr>
        <w:t>VIII.15.2, PDF pp. 366–367.</w:t>
      </w:r>
      <w:r>
        <w:rPr>
          <w:b w:val="0"/>
          <w:i w:val="0"/>
        </w:rPr>
        <w:t xml:space="preserve"> The Proclean claim is reported with an explicit reservation, followed by the from/through/upon-itself argument.</w:t>
      </w:r>
    </w:p>
    <w:p>
      <w:pPr>
        <w:ind w:left="187" w:hanging="187"/>
      </w:pPr>
      <w:r>
        <w:t xml:space="preserve">• </w:t>
      </w:r>
      <w:r>
        <w:rPr>
          <w:b/>
          <w:i w:val="0"/>
        </w:rPr>
        <w:t>VIII.15.3, PDF pp. 368–369.</w:t>
      </w:r>
      <w:r>
        <w:rPr>
          <w:b w:val="0"/>
          <w:i w:val="0"/>
        </w:rPr>
        <w:t xml:space="preserve"> Ficino expressly says formal cause, not efficient cause.</w:t>
      </w:r>
    </w:p>
    <w:p>
      <w:pPr>
        <w:ind w:left="187" w:hanging="187"/>
      </w:pPr>
      <w:r>
        <w:t xml:space="preserve">• </w:t>
      </w:r>
      <w:r>
        <w:rPr>
          <w:b/>
          <w:i w:val="0"/>
        </w:rPr>
        <w:t>VIII.16.4, PDF pp. 376–377.</w:t>
      </w:r>
      <w:r>
        <w:rPr>
          <w:b w:val="0"/>
          <w:i w:val="0"/>
        </w:rPr>
        <w:t xml:space="preserve"> Qualified infinity depends on divine implantation and continuing preservation.</w:t>
      </w:r>
    </w:p>
    <w:p>
      <w:pPr>
        <w:keepNext/>
        <w:widowControl/>
      </w:pPr>
      <w:r>
        <w:rPr>
          <w:b/>
          <w:i w:val="0"/>
        </w:rPr>
        <w:t>In this edition.</w:t>
      </w:r>
    </w:p>
    <w:p>
      <w:pPr>
        <w:widowControl/>
      </w:pPr>
      <w:r>
        <w:rPr>
          <w:b w:val="0"/>
          <w:i w:val="0"/>
        </w:rPr>
        <w:t xml:space="preserve">Sed hoc ipse viderit is preserved as </w:t>
      </w:r>
      <w:r>
        <w:t>“</w:t>
      </w:r>
      <w:r>
        <w:rPr>
          <w:b w:val="0"/>
          <w:i w:val="0"/>
        </w:rPr>
        <w:t>But let him see to that himself.</w:t>
      </w:r>
      <w:r>
        <w:t>”</w:t>
      </w:r>
      <w:r>
        <w:rPr>
          <w:b w:val="0"/>
          <w:i w:val="0"/>
        </w:rPr>
        <w:t xml:space="preserve"> It is not full agreement. Causa, inquam, non efficiens, sed formalis supplies the controlling correction; removing it would materially misrepresent the passage. This distinction should accompany any isolated quotation of sui ipsius est causa.</w:t>
      </w:r>
    </w:p>
    <w:p>
      <w:pPr>
        <w:keepNext/>
        <w:widowControl/>
      </w:pPr>
      <w:r>
        <w:rPr>
          <w:b/>
          <w:i w:val="0"/>
        </w:rPr>
        <w:t>See also.</w:t>
      </w:r>
    </w:p>
    <w:p>
      <w:pPr>
        <w:widowControl/>
      </w:pPr>
      <w:hyperlink w:anchor="viii-intellectual-generation">
        <w:r>
          <w:rPr>
            <w:color w:val="000000"/>
          </w:rPr>
          <w:t xml:space="preserve">Intellectual generation and daily renewal</w:t>
        </w:r>
      </w:hyperlink>
      <w:r>
        <w:rPr>
          <w:b w:val="0"/>
          <w:i w:val="0"/>
        </w:rPr>
        <w:t xml:space="preserve">; </w:t>
      </w:r>
      <w:hyperlink w:anchor="viii-divine-enlargement">
        <w:r>
          <w:rPr>
            <w:color w:val="000000"/>
          </w:rPr>
          <w:t xml:space="preserve">Insatiable desire and divine enlargement</w:t>
        </w:r>
      </w:hyperlink>
      <w:r>
        <w:rPr>
          <w:b w:val="0"/>
          <w:i w:val="0"/>
        </w:rPr>
        <w:t xml:space="preserve">; </w:t>
      </w:r>
      <w:hyperlink w:anchor="viii-first-concepts">
        <w:r>
          <w:rPr>
            <w:color w:val="000000"/>
          </w:rPr>
          <w:t xml:space="preserve">First concepts, unity, and the end of analysis</w:t>
        </w:r>
      </w:hyperlink>
    </w:p>
    <w:p>
      <w:pPr>
        <w:pStyle w:val="Heading2"/>
      </w:pPr>
      <w:bookmarkStart w:id="206" w:name="seminal-power-fish-eggs-and-tree"/>
      <w:r>
        <w:rPr>
          <w:b w:val="0"/>
          <w:i w:val="0"/>
        </w:rPr>
        <w:t>Seminal power, fish eggs and the tree</w:t>
      </w:r>
      <w:bookmarkEnd w:id="206"/>
    </w:p>
    <w:p>
      <w:pPr>
        <w:keepNext/>
        <w:widowControl/>
      </w:pPr>
      <w:r>
        <w:rPr>
          <w:b/>
          <w:i w:val="0"/>
        </w:rPr>
        <w:t>Latin:</w:t>
      </w:r>
      <w:r>
        <w:rPr>
          <w:b w:val="0"/>
          <w:i w:val="0"/>
        </w:rPr>
        <w:t xml:space="preserve"> </w:t>
      </w:r>
      <w:r>
        <w:rPr>
          <w:b w:val="0"/>
          <w:i/>
        </w:rPr>
        <w:t>vis seminaria</w:t>
      </w:r>
      <w:r>
        <w:rPr>
          <w:b w:val="0"/>
          <w:i w:val="0"/>
        </w:rPr>
        <w:t xml:space="preserve">; </w:t>
      </w:r>
      <w:r>
        <w:rPr>
          <w:b w:val="0"/>
          <w:i/>
        </w:rPr>
        <w:t>semen</w:t>
      </w:r>
      <w:r>
        <w:rPr>
          <w:b w:val="0"/>
          <w:i w:val="0"/>
        </w:rPr>
        <w:t xml:space="preserve">; </w:t>
      </w:r>
      <w:r>
        <w:rPr>
          <w:b w:val="0"/>
          <w:i/>
        </w:rPr>
        <w:t>instrumentum</w:t>
      </w:r>
      <w:r>
        <w:rPr>
          <w:b w:val="0"/>
          <w:i w:val="0"/>
        </w:rPr>
        <w:t xml:space="preserve">; </w:t>
      </w:r>
      <w:r>
        <w:rPr>
          <w:b w:val="0"/>
          <w:i/>
        </w:rPr>
        <w:t>pullulare</w:t>
      </w:r>
      <w:r>
        <w:rPr>
          <w:b w:val="0"/>
          <w:i w:val="0"/>
        </w:rPr>
        <w:t xml:space="preserve">; </w:t>
      </w:r>
      <w:r>
        <w:rPr>
          <w:b w:val="0"/>
          <w:i/>
        </w:rPr>
        <w:t>delitescere</w:t>
      </w:r>
      <w:r>
        <w:rPr>
          <w:b w:val="0"/>
          <w:i w:val="0"/>
        </w:rPr>
        <w:t xml:space="preserve">; </w:t>
      </w:r>
      <w:r>
        <w:rPr>
          <w:b w:val="0"/>
          <w:i/>
        </w:rPr>
        <w:t>radix</w:t>
      </w:r>
      <w:r>
        <w:rPr>
          <w:b w:val="0"/>
          <w:i w:val="0"/>
        </w:rPr>
        <w:t xml:space="preserve">; </w:t>
      </w:r>
      <w:r>
        <w:rPr>
          <w:b w:val="0"/>
          <w:i/>
        </w:rPr>
        <w:t>germen</w:t>
      </w:r>
      <w:r>
        <w:rPr>
          <w:b w:val="0"/>
          <w:i w:val="0"/>
        </w:rPr>
        <w:t xml:space="preserve">; </w:t>
      </w:r>
      <w:r>
        <w:rPr>
          <w:b w:val="0"/>
          <w:i/>
        </w:rPr>
        <w:t>contrahere</w:t>
      </w:r>
    </w:p>
    <w:p>
      <w:pPr>
        <w:keepNext/>
        <w:widowControl/>
      </w:pPr>
      <w:r>
        <w:rPr>
          <w:b/>
          <w:i w:val="0"/>
        </w:rPr>
        <w:t>The word.</w:t>
      </w:r>
    </w:p>
    <w:p>
      <w:pPr>
        <w:widowControl/>
      </w:pPr>
      <w:r>
        <w:rPr>
          <w:b w:val="0"/>
          <w:i w:val="0"/>
        </w:rPr>
        <w:t>Vis seminaria is the generative power conveyed in seed; it is called soul’s instrument. Pullulare means springing or sprouting forth, delitescere lying hidden. Radix is root, germen a shoot or germ. Expansion and contraction describe the extension of life’s effects, not measurement of a soul-body.</w:t>
      </w:r>
    </w:p>
    <w:p>
      <w:pPr>
        <w:keepNext/>
        <w:widowControl/>
      </w:pPr>
      <w:r>
        <w:rPr>
          <w:b/>
          <w:i w:val="0"/>
        </w:rPr>
        <w:t>In the Platonic Theology.</w:t>
      </w:r>
    </w:p>
    <w:p>
      <w:pPr>
        <w:widowControl/>
      </w:pPr>
      <w:r>
        <w:rPr>
          <w:b w:val="0"/>
          <w:i w:val="0"/>
        </w:rPr>
        <w:t>VI.10 argues from a whole formative power present in a small reproductive portion. Ficino claims that however many portions seed is divided into, so many animals arise, appealing especially to fish eggs. If an entire animal emerges from a drop, the complete seminal power must be there. Because this is an instrument serving generation, the whole soul is said to be present still more fully. A plant seed similarly contains the power to produce the entire plant.</w:t>
      </w:r>
    </w:p>
    <w:p>
      <w:pPr>
        <w:widowControl/>
      </w:pPr>
      <w:r>
        <w:rPr>
          <w:b w:val="0"/>
          <w:i w:val="0"/>
        </w:rPr>
        <w:t>The tree supplies a temporal version of the size contrast. Vegetative soul is first received in a tiny root or shoot, extends through all branches as the tree grows, and contracts back to the root when branches dry or are cut. Plotinus and Porphyry are named as holding such soul free of quantity because it fits the smallest and fills the greatest equally. The reproductive premise is historical natural philosophy and should not be offered as a verified rule about arbitrarily dividing gametes or embryos. The argumentative distinction between bodily seed, seminal instrument and soul must remain visible even where the inference passes rapidly from one to another.</w:t>
      </w:r>
    </w:p>
    <w:p>
      <w:pPr>
        <w:keepNext/>
        <w:widowControl/>
      </w:pPr>
      <w:r>
        <w:rPr>
          <w:b/>
          <w:i w:val="0"/>
        </w:rPr>
        <w:t>Places to Read.</w:t>
      </w:r>
    </w:p>
    <w:p>
      <w:pPr>
        <w:ind w:left="187" w:hanging="187"/>
      </w:pPr>
      <w:r>
        <w:t xml:space="preserve">• </w:t>
      </w:r>
      <w:r>
        <w:rPr>
          <w:b/>
          <w:i w:val="0"/>
        </w:rPr>
        <w:t>VI.10.1; source PDF pp. 196, 197</w:t>
      </w:r>
      <w:r>
        <w:rPr>
          <w:b w:val="0"/>
          <w:i w:val="0"/>
        </w:rPr>
        <w:t>. Fish eggs, plant seeds and the growing or pruned tree argue for power without quantitative size.</w:t>
      </w:r>
    </w:p>
    <w:p>
      <w:pPr>
        <w:ind w:left="187" w:hanging="187"/>
      </w:pPr>
      <w:r>
        <w:t xml:space="preserve">• </w:t>
      </w:r>
      <w:r>
        <w:rPr>
          <w:b/>
          <w:i w:val="0"/>
        </w:rPr>
        <w:t>VI.12.17; source PDF pp. 216, 217</w:t>
      </w:r>
      <w:r>
        <w:rPr>
          <w:b w:val="0"/>
          <w:i w:val="0"/>
        </w:rPr>
        <w:t>. Successive seminal emergence later explains the soul’s temporal productive activity.</w:t>
      </w:r>
    </w:p>
    <w:p>
      <w:pPr>
        <w:keepNext/>
        <w:widowControl/>
      </w:pPr>
      <w:r>
        <w:rPr>
          <w:b/>
          <w:i w:val="0"/>
        </w:rPr>
        <w:t>In this edition.</w:t>
      </w:r>
    </w:p>
    <w:p>
      <w:pPr>
        <w:widowControl/>
      </w:pPr>
      <w:r>
        <w:rPr>
          <w:b w:val="0"/>
          <w:i w:val="0"/>
        </w:rPr>
        <w:t xml:space="preserve">The chapter is a single comparison unit and source paragraph. </w:t>
      </w:r>
      <w:r>
        <w:t>“</w:t>
      </w:r>
      <w:r>
        <w:rPr>
          <w:b w:val="0"/>
          <w:i w:val="0"/>
        </w:rPr>
        <w:t>Whole in each</w:t>
      </w:r>
      <w:r>
        <w:t>”</w:t>
      </w:r>
      <w:r>
        <w:rPr>
          <w:b w:val="0"/>
          <w:i w:val="0"/>
        </w:rPr>
        <w:t xml:space="preserve"> concerns the completeness of formative power rather than a detached miniature organism. The proper names record Ficino’s attribution without claiming an independent collation of Plotinus or Porphyry.</w:t>
      </w:r>
    </w:p>
    <w:p>
      <w:pPr>
        <w:keepNext/>
        <w:widowControl/>
      </w:pPr>
      <w:r>
        <w:rPr>
          <w:b/>
          <w:i w:val="0"/>
        </w:rPr>
        <w:t>See also.</w:t>
      </w:r>
    </w:p>
    <w:p>
      <w:pPr>
        <w:widowControl/>
      </w:pPr>
      <w:hyperlink w:anchor="nourishment-and-life-giving-form">
        <w:r>
          <w:rPr>
            <w:color w:val="000000"/>
          </w:rPr>
          <w:t xml:space="preserve">Nourishment and the life-giving form</w:t>
        </w:r>
      </w:hyperlink>
      <w:r>
        <w:rPr>
          <w:b w:val="0"/>
          <w:i w:val="0"/>
        </w:rPr>
        <w:t xml:space="preserve">; </w:t>
      </w:r>
      <w:hyperlink w:anchor="growth-amputation-and-soul-size">
        <w:r>
          <w:rPr>
            <w:color w:val="000000"/>
          </w:rPr>
          <w:t xml:space="preserve">Growth, amputation and soul-size</w:t>
        </w:r>
      </w:hyperlink>
    </w:p>
    <w:p>
      <w:pPr>
        <w:pStyle w:val="Heading2"/>
      </w:pPr>
      <w:bookmarkStart w:id="207" w:name="vii-sensation-attention"/>
      <w:r>
        <w:rPr>
          <w:b w:val="0"/>
          <w:i w:val="0"/>
        </w:rPr>
        <w:t>Sensation as attentive activity</w:t>
      </w:r>
      <w:bookmarkEnd w:id="207"/>
    </w:p>
    <w:p>
      <w:pPr>
        <w:keepNext/>
        <w:widowControl/>
      </w:pPr>
      <w:r>
        <w:rPr>
          <w:b/>
          <w:i w:val="0"/>
        </w:rPr>
        <w:t>Latin:</w:t>
      </w:r>
      <w:r>
        <w:rPr>
          <w:b w:val="0"/>
          <w:i w:val="0"/>
        </w:rPr>
        <w:t xml:space="preserve"> </w:t>
      </w:r>
      <w:r>
        <w:rPr>
          <w:b w:val="0"/>
          <w:i/>
        </w:rPr>
        <w:t>agere</w:t>
      </w:r>
      <w:r>
        <w:rPr>
          <w:b w:val="0"/>
          <w:i w:val="0"/>
        </w:rPr>
        <w:t xml:space="preserve">; </w:t>
      </w:r>
      <w:r>
        <w:rPr>
          <w:b w:val="0"/>
          <w:i/>
        </w:rPr>
        <w:t>pati</w:t>
      </w:r>
      <w:r>
        <w:rPr>
          <w:b w:val="0"/>
          <w:i w:val="0"/>
        </w:rPr>
        <w:t xml:space="preserve">; </w:t>
      </w:r>
      <w:r>
        <w:rPr>
          <w:b w:val="0"/>
          <w:i/>
        </w:rPr>
        <w:t>attentio</w:t>
      </w:r>
      <w:r>
        <w:rPr>
          <w:b w:val="0"/>
          <w:i w:val="0"/>
        </w:rPr>
        <w:t xml:space="preserve">; </w:t>
      </w:r>
      <w:r>
        <w:rPr>
          <w:b w:val="0"/>
          <w:i/>
        </w:rPr>
        <w:t>animadversio</w:t>
      </w:r>
      <w:r>
        <w:rPr>
          <w:b w:val="0"/>
          <w:i w:val="0"/>
        </w:rPr>
        <w:t xml:space="preserve">; </w:t>
      </w:r>
      <w:r>
        <w:rPr>
          <w:b w:val="0"/>
          <w:i/>
        </w:rPr>
        <w:t>non latere</w:t>
      </w:r>
      <w:r>
        <w:rPr>
          <w:b w:val="0"/>
          <w:i w:val="0"/>
        </w:rPr>
        <w:t xml:space="preserve">; </w:t>
      </w:r>
      <w:r>
        <w:rPr>
          <w:b w:val="0"/>
          <w:i/>
        </w:rPr>
        <w:t>vegetare</w:t>
      </w:r>
      <w:r>
        <w:rPr>
          <w:b w:val="0"/>
          <w:i w:val="0"/>
        </w:rPr>
        <w:t xml:space="preserve">; </w:t>
      </w:r>
      <w:r>
        <w:rPr>
          <w:b w:val="0"/>
          <w:i/>
        </w:rPr>
        <w:t>sensus</w:t>
      </w:r>
      <w:r>
        <w:rPr>
          <w:b w:val="0"/>
          <w:i w:val="0"/>
        </w:rPr>
        <w:t xml:space="preserve">; </w:t>
      </w:r>
      <w:r>
        <w:rPr>
          <w:b w:val="0"/>
          <w:i/>
        </w:rPr>
        <w:t>phantasia</w:t>
      </w:r>
    </w:p>
    <w:p>
      <w:pPr>
        <w:keepNext/>
        <w:widowControl/>
      </w:pPr>
      <w:r>
        <w:rPr>
          <w:b/>
          <w:i w:val="0"/>
        </w:rPr>
        <w:t>The word.</w:t>
      </w:r>
    </w:p>
    <w:p>
      <w:pPr>
        <w:widowControl/>
      </w:pPr>
      <w:r>
        <w:rPr>
          <w:b w:val="0"/>
          <w:i/>
        </w:rPr>
        <w:t>Agere</w:t>
      </w:r>
      <w:r>
        <w:rPr>
          <w:b w:val="0"/>
          <w:i w:val="0"/>
        </w:rPr>
        <w:t xml:space="preserve"> is acting; </w:t>
      </w:r>
      <w:r>
        <w:rPr>
          <w:b w:val="0"/>
          <w:i/>
        </w:rPr>
        <w:t>pati</w:t>
      </w:r>
      <w:r>
        <w:rPr>
          <w:b w:val="0"/>
          <w:i w:val="0"/>
        </w:rPr>
        <w:t xml:space="preserve"> is undergoing an affection. </w:t>
      </w:r>
      <w:r>
        <w:rPr>
          <w:b w:val="0"/>
          <w:i/>
        </w:rPr>
        <w:t>Animadversio</w:t>
      </w:r>
      <w:r>
        <w:rPr>
          <w:b w:val="0"/>
          <w:i w:val="0"/>
        </w:rPr>
        <w:t xml:space="preserve"> means attentive awareness. The idiom </w:t>
      </w:r>
      <w:r>
        <w:rPr>
          <w:b w:val="0"/>
          <w:i/>
        </w:rPr>
        <w:t>non latere</w:t>
      </w:r>
      <w:r>
        <w:rPr>
          <w:b w:val="0"/>
          <w:i w:val="0"/>
        </w:rPr>
        <w:t xml:space="preserve"> means not escaping awareness, not literally ceasing to hide behind something. </w:t>
      </w:r>
      <w:r>
        <w:rPr>
          <w:b w:val="0"/>
          <w:i/>
        </w:rPr>
        <w:t>Vegetare</w:t>
      </w:r>
      <w:r>
        <w:rPr>
          <w:b w:val="0"/>
          <w:i w:val="0"/>
        </w:rPr>
        <w:t xml:space="preserve"> is animating or maintaining bodily vitality.</w:t>
      </w:r>
    </w:p>
    <w:p>
      <w:pPr>
        <w:keepNext/>
        <w:widowControl/>
      </w:pPr>
      <w:r>
        <w:rPr>
          <w:b/>
          <w:i w:val="0"/>
        </w:rPr>
        <w:t>In the Platonic Theology.</w:t>
      </w:r>
    </w:p>
    <w:p>
      <w:pPr>
        <w:widowControl/>
      </w:pPr>
      <w:r>
        <w:rPr>
          <w:b w:val="0"/>
          <w:i w:val="0"/>
        </w:rPr>
        <w:t>Ficino invokes Augustine and Plotinus for an account in which soul does not suffer bodily affections but acts more attentively amid them. Its activities are easy where the instrument is congruent, difficult where it is incongruent; awareness of that activity constitutes sensing. The underlying sensory capacity remains even when nothing is presently sensed. Capacity, attentive exercise and awareness of exercise must therefore remain distinct.</w:t>
      </w:r>
    </w:p>
    <w:p>
      <w:pPr>
        <w:widowControl/>
      </w:pPr>
      <w:r>
        <w:rPr>
          <w:b w:val="0"/>
          <w:i w:val="0"/>
        </w:rPr>
        <w:t>The soul gives the bodily instrument an appropriate temperament. The account associates sight with a luminous medium, hearing with clear mobile air, smell with something misty, taste with moisture, and touch with something earthy and muddy. These are elements of the historical sensory physiology reported here. Quiet health is the harmonious coherence of the organism. An encounter with something unlike it provokes more attentive activity fitted to particular organs: congruent things are associated willingly and incongruent ones resisted painfully.</w:t>
      </w:r>
    </w:p>
    <w:p>
      <w:pPr>
        <w:widowControl/>
      </w:pPr>
      <w:r>
        <w:rPr>
          <w:b w:val="0"/>
          <w:i w:val="0"/>
        </w:rPr>
        <w:t xml:space="preserve">The ear makes the argument vivid. In silence soul already animates the organ; when sound strikes the airy spirit, it animates it more attentively. Acting more attentively is not itself undergoing the bodily impact. The soul knows its own activity, and that awareness is sensing. Ficino’s final formulation offers sensation as awareness of attentive operation or judgement of bodily affection awakened by it. Earlier in the chapter </w:t>
      </w:r>
      <w:r>
        <w:rPr>
          <w:b w:val="0"/>
          <w:i/>
        </w:rPr>
        <w:t>phantasia</w:t>
      </w:r>
      <w:r>
        <w:rPr>
          <w:b w:val="0"/>
          <w:i w:val="0"/>
        </w:rPr>
        <w:t xml:space="preserve"> named attending to and judging a perception. The closely connected descriptions should be retained, not forced into an inflexible taxonomy that the passage does not supply.</w:t>
      </w:r>
    </w:p>
    <w:p>
      <w:pPr>
        <w:widowControl/>
      </w:pPr>
      <w:r>
        <w:rPr>
          <w:b w:val="0"/>
          <w:i w:val="0"/>
        </w:rPr>
        <w:t>The surgical example gives the positive account a demanding task. It must preserve actual awareness of bodily disturbance without transferring the destructive bodily process unchanged into the knower. That is why Ficino does not stop at saying that the judge is impassible. An entirely inert principle would not yet explain why an injury becomes known, why the affected organ receives attention, or why a remedy is directed to that place. The answer is increased activity by the same soul that already sustains the organ’s life.</w:t>
      </w:r>
    </w:p>
    <w:p>
      <w:pPr>
        <w:widowControl/>
      </w:pPr>
      <w:r>
        <w:t>“</w:t>
      </w:r>
      <w:r>
        <w:rPr>
          <w:b w:val="0"/>
          <w:i w:val="0"/>
        </w:rPr>
        <w:t>Even when nothing is sensed</w:t>
      </w:r>
      <w:r>
        <w:t>”</w:t>
      </w:r>
      <w:r>
        <w:rPr>
          <w:b w:val="0"/>
          <w:i w:val="0"/>
        </w:rPr>
        <w:t xml:space="preserve"> qualifies the presence of the sensory power. The power is not generated anew each time a sound strikes or a color appears. There is an ongoing relation between soul and instrument, and the instrument has been tempered for an attentive response. Quiet animation and explicit sensing are thus related stages of activity rather than the presence and total absence of a soul. In the ear example, the contrast is not between a dead ear before sound and a living ear afterward; it is between its prior animation in silence and its more attentive animation under impact.</w:t>
      </w:r>
    </w:p>
    <w:p>
      <w:pPr>
        <w:widowControl/>
      </w:pPr>
      <w:r>
        <w:rPr>
          <w:b w:val="0"/>
          <w:i w:val="0"/>
        </w:rPr>
        <w:t>The five sensory media contribute to this account of fitted instruments. Luminous material is acted upon in the eyes; clear mobile air in the ears; a misty medium in the nostrils; moisture in the mouth; something earthy and muddy in touch. Each is described as what the soul activates. Their enumeration therefore does not merely catalogue the external objects of sight, hearing, smell, taste and touch. It specifies the differing bodily settings in which a common animating source operates. The differences belong to Ficino’s inherited natural philosophy and should be preserved without substituting modern sensory anatomy.</w:t>
      </w:r>
    </w:p>
    <w:p>
      <w:pPr>
        <w:widowControl/>
      </w:pPr>
      <w:r>
        <w:rPr>
          <w:b w:val="0"/>
          <w:i w:val="0"/>
        </w:rPr>
        <w:t>Agreement and disagreement likewise concern the fit of an operation. While the bodily constituents cohere in health, the soul acts quietly. An affecting difference prompts activities accommodated to particular locations or instruments. Bringing like things together and repelling the noxious are directed responses, not passive copies of the stimulus. The pleasant association of congruent things and painful resistance to incongruent things show how the account can include feeling without making feeling identical with a lesion in the soul’s substance.</w:t>
      </w:r>
    </w:p>
    <w:p>
      <w:pPr>
        <w:widowControl/>
      </w:pPr>
      <w:r>
        <w:rPr>
          <w:b w:val="0"/>
          <w:i w:val="0"/>
        </w:rPr>
        <w:t xml:space="preserve">The definition through awareness is deliberately reflexive: the attentive operation does not escape the operating soul. Yet the text does not say that every sensation requires an explicit verbal thought, </w:t>
      </w:r>
      <w:r>
        <w:t>“</w:t>
      </w:r>
      <w:r>
        <w:rPr>
          <w:b w:val="0"/>
          <w:i w:val="0"/>
        </w:rPr>
        <w:t>I am now attending.</w:t>
      </w:r>
      <w:r>
        <w:t>”</w:t>
      </w:r>
      <w:r>
        <w:rPr>
          <w:b w:val="0"/>
          <w:i w:val="0"/>
        </w:rPr>
        <w:t xml:space="preserve"> </w:t>
      </w:r>
      <w:r>
        <w:rPr>
          <w:b w:val="0"/>
          <w:i/>
        </w:rPr>
        <w:t>Non latere</w:t>
      </w:r>
      <w:r>
        <w:rPr>
          <w:b w:val="0"/>
          <w:i w:val="0"/>
        </w:rPr>
        <w:t xml:space="preserve"> states that the activity is known or manifest to its subject. It should not be expanded into a demand for discursive reflection by a second separate subject, which would risk repeating the very regress of judges the preceding argument was meant to terminate.</w:t>
      </w:r>
    </w:p>
    <w:p>
      <w:pPr>
        <w:widowControl/>
      </w:pPr>
      <w:r>
        <w:rPr>
          <w:b w:val="0"/>
          <w:i w:val="0"/>
        </w:rPr>
        <w:t xml:space="preserve">The chapter’s final alternatives require their own restraint. Sensation is described either as awareness of the attentive operation or as judgement of the bodily affection and quality awakened by that operation. These descriptions stress respectively the soul’s activity and what it discerns through that activity. Earlier, attending to and judging perception was assigned to </w:t>
      </w:r>
      <w:r>
        <w:rPr>
          <w:b w:val="0"/>
          <w:i/>
        </w:rPr>
        <w:t>phantasia</w:t>
      </w:r>
      <w:r>
        <w:rPr>
          <w:b w:val="0"/>
          <w:i w:val="0"/>
        </w:rPr>
        <w:t>. The supplied passage does not explicitly reconcile these formulations into a fixed multi-stage chart. A useful reading preserves the local distinctions and the broader active account while leaving the precise boundaries between sensing, attending and imagination open to further textual comparison. It would be less accurate to enforce a rigid definition that suppresses one of Ficino’s own concluding descriptions.</w:t>
      </w:r>
    </w:p>
    <w:p>
      <w:pPr>
        <w:keepNext/>
        <w:widowControl/>
      </w:pPr>
      <w:r>
        <w:rPr>
          <w:b/>
          <w:i w:val="0"/>
        </w:rPr>
        <w:t>Places to Read.</w:t>
      </w:r>
    </w:p>
    <w:p>
      <w:pPr>
        <w:ind w:left="187" w:hanging="187"/>
      </w:pPr>
      <w:r>
        <w:t xml:space="preserve">• </w:t>
      </w:r>
      <w:r>
        <w:rPr>
          <w:b/>
          <w:i w:val="0"/>
        </w:rPr>
        <w:t>VII.6.1, PDF 256–257</w:t>
      </w:r>
      <w:r>
        <w:rPr>
          <w:b w:val="0"/>
          <w:i w:val="0"/>
        </w:rPr>
        <w:t>. Perception is distinguished from the attentive judgement called imagination.</w:t>
      </w:r>
    </w:p>
    <w:p>
      <w:pPr>
        <w:ind w:left="187" w:hanging="187"/>
      </w:pPr>
      <w:r>
        <w:t xml:space="preserve">• </w:t>
      </w:r>
      <w:r>
        <w:rPr>
          <w:b/>
          <w:i w:val="0"/>
        </w:rPr>
        <w:t>VII.6.3, PDF 260–261</w:t>
      </w:r>
      <w:r>
        <w:rPr>
          <w:b w:val="0"/>
          <w:i w:val="0"/>
        </w:rPr>
        <w:t>. An enduring capacity, more attentive activity and awareness of activity explain active sensation.</w:t>
      </w:r>
    </w:p>
    <w:p>
      <w:pPr>
        <w:keepNext/>
        <w:widowControl/>
      </w:pPr>
      <w:r>
        <w:rPr>
          <w:b/>
          <w:i w:val="0"/>
        </w:rPr>
        <w:t>In this edition.</w:t>
      </w:r>
    </w:p>
    <w:p>
      <w:pPr>
        <w:widowControl/>
      </w:pPr>
      <w:r>
        <w:rPr>
          <w:b w:val="0"/>
          <w:i w:val="0"/>
        </w:rPr>
        <w:t xml:space="preserve">The attribution </w:t>
      </w:r>
      <w:r>
        <w:t>“</w:t>
      </w:r>
      <w:r>
        <w:rPr>
          <w:b w:val="0"/>
          <w:i w:val="0"/>
        </w:rPr>
        <w:t>Augustine and Plotinus confirm</w:t>
      </w:r>
      <w:r>
        <w:t>”</w:t>
      </w:r>
      <w:r>
        <w:rPr>
          <w:b w:val="0"/>
          <w:i w:val="0"/>
        </w:rPr>
        <w:t xml:space="preserve"> introduces the ensuing account; the first-person </w:t>
      </w:r>
      <w:r>
        <w:t>“</w:t>
      </w:r>
      <w:r>
        <w:rPr>
          <w:b w:val="0"/>
          <w:i w:val="0"/>
        </w:rPr>
        <w:t>it seems to me</w:t>
      </w:r>
      <w:r>
        <w:t>”</w:t>
      </w:r>
      <w:r>
        <w:rPr>
          <w:b w:val="0"/>
          <w:i w:val="0"/>
        </w:rPr>
        <w:t xml:space="preserve"> should not be used to claim an independently verified direct quotation. </w:t>
      </w:r>
      <w:r>
        <w:t>“</w:t>
      </w:r>
      <w:r>
        <w:rPr>
          <w:b w:val="0"/>
          <w:i w:val="0"/>
        </w:rPr>
        <w:t>Otherness</w:t>
      </w:r>
      <w:r>
        <w:t>”</w:t>
      </w:r>
      <w:r>
        <w:rPr>
          <w:b w:val="0"/>
          <w:i w:val="0"/>
        </w:rPr>
        <w:t xml:space="preserve"> for </w:t>
      </w:r>
      <w:r>
        <w:rPr>
          <w:b w:val="0"/>
          <w:i/>
        </w:rPr>
        <w:t>alteritas</w:t>
      </w:r>
      <w:r>
        <w:rPr>
          <w:b w:val="0"/>
          <w:i w:val="0"/>
        </w:rPr>
        <w:t xml:space="preserve"> names an affecting difference here, not an unrelated doctrine of metaphysical Otherness.</w:t>
      </w:r>
    </w:p>
    <w:p>
      <w:pPr>
        <w:keepNext/>
        <w:widowControl/>
      </w:pPr>
      <w:r>
        <w:rPr>
          <w:b/>
          <w:i w:val="0"/>
        </w:rPr>
        <w:t>See also.</w:t>
      </w:r>
    </w:p>
    <w:p>
      <w:pPr>
        <w:widowControl/>
      </w:pPr>
      <w:hyperlink w:anchor="vii-injury-judge">
        <w:r>
          <w:rPr>
            <w:color w:val="000000"/>
          </w:rPr>
          <w:t xml:space="preserve">Injury and the uninjured judge</w:t>
        </w:r>
      </w:hyperlink>
      <w:r>
        <w:rPr>
          <w:b w:val="0"/>
          <w:i w:val="0"/>
        </w:rPr>
        <w:t xml:space="preserve">; </w:t>
      </w:r>
      <w:hyperlink w:anchor="vii-bodily-constitution">
        <w:r>
          <w:rPr>
            <w:color w:val="000000"/>
          </w:rPr>
          <w:t xml:space="preserve">Bodily constitution and temperament</w:t>
        </w:r>
      </w:hyperlink>
      <w:r>
        <w:rPr>
          <w:b w:val="0"/>
          <w:i w:val="0"/>
        </w:rPr>
        <w:t xml:space="preserve">; </w:t>
      </w:r>
      <w:hyperlink w:anchor="vii-spiritual-images-light">
        <w:r>
          <w:rPr>
            <w:color w:val="000000"/>
          </w:rPr>
          <w:t xml:space="preserve">Spiritual images and light</w:t>
        </w:r>
      </w:hyperlink>
    </w:p>
    <w:p>
      <w:pPr>
        <w:pStyle w:val="Heading2"/>
      </w:pPr>
      <w:bookmarkStart w:id="208" w:name="sensory-error-and-corrective-reason"/>
      <w:r>
        <w:rPr>
          <w:b w:val="0"/>
          <w:i w:val="0"/>
        </w:rPr>
        <w:t>Sensory error and corrective reason</w:t>
      </w:r>
      <w:bookmarkEnd w:id="208"/>
    </w:p>
    <w:p>
      <w:pPr>
        <w:keepNext/>
        <w:widowControl/>
      </w:pPr>
      <w:r>
        <w:rPr>
          <w:b/>
          <w:i w:val="0"/>
        </w:rPr>
        <w:t>Latin:</w:t>
      </w:r>
      <w:r>
        <w:rPr>
          <w:b w:val="0"/>
          <w:i w:val="0"/>
        </w:rPr>
        <w:t xml:space="preserve"> </w:t>
      </w:r>
      <w:r>
        <w:rPr>
          <w:b w:val="0"/>
          <w:i/>
        </w:rPr>
        <w:t>sensus</w:t>
      </w:r>
      <w:r>
        <w:rPr>
          <w:b w:val="0"/>
          <w:i w:val="0"/>
        </w:rPr>
        <w:t xml:space="preserve">; </w:t>
      </w:r>
      <w:r>
        <w:rPr>
          <w:b w:val="0"/>
          <w:i/>
        </w:rPr>
        <w:t>iudicium</w:t>
      </w:r>
      <w:r>
        <w:rPr>
          <w:b w:val="0"/>
          <w:i w:val="0"/>
        </w:rPr>
        <w:t xml:space="preserve">; </w:t>
      </w:r>
      <w:r>
        <w:rPr>
          <w:b w:val="0"/>
          <w:i/>
        </w:rPr>
        <w:t>ratio</w:t>
      </w:r>
      <w:r>
        <w:rPr>
          <w:b w:val="0"/>
          <w:i w:val="0"/>
        </w:rPr>
        <w:t xml:space="preserve">; </w:t>
      </w:r>
      <w:r>
        <w:rPr>
          <w:b w:val="0"/>
          <w:i/>
        </w:rPr>
        <w:t>emendare</w:t>
      </w:r>
      <w:r>
        <w:rPr>
          <w:b w:val="0"/>
          <w:i w:val="0"/>
        </w:rPr>
        <w:t xml:space="preserve">; </w:t>
      </w:r>
      <w:r>
        <w:rPr>
          <w:b w:val="0"/>
          <w:i/>
        </w:rPr>
        <w:t>redarguere</w:t>
      </w:r>
      <w:r>
        <w:rPr>
          <w:b w:val="0"/>
          <w:i w:val="0"/>
        </w:rPr>
        <w:t xml:space="preserve">; </w:t>
      </w:r>
      <w:r>
        <w:rPr>
          <w:b w:val="0"/>
          <w:i/>
        </w:rPr>
        <w:t>vaticinari</w:t>
      </w:r>
    </w:p>
    <w:p>
      <w:pPr>
        <w:keepNext/>
        <w:widowControl/>
      </w:pPr>
      <w:r>
        <w:rPr>
          <w:b/>
          <w:i w:val="0"/>
        </w:rPr>
        <w:t>The word.</w:t>
      </w:r>
    </w:p>
    <w:p>
      <w:pPr>
        <w:widowControl/>
      </w:pPr>
      <w:r>
        <w:rPr>
          <w:b w:val="0"/>
          <w:i w:val="0"/>
        </w:rPr>
        <w:t>Iudicium is judgement. Emendare corrects a mistake; redarguere exposes or refutes it. Vaticinari, to prophesy, gives reason’s affirmation of incorporeal reality a heightened rhetorical force. Ratio here is the correcting rational power, not the bodily proportion called ratio elsewhere.</w:t>
      </w:r>
    </w:p>
    <w:p>
      <w:pPr>
        <w:keepNext/>
        <w:widowControl/>
      </w:pPr>
      <w:r>
        <w:rPr>
          <w:b/>
          <w:i w:val="0"/>
        </w:rPr>
        <w:t>In the Platonic Theology.</w:t>
      </w:r>
    </w:p>
    <w:p>
      <w:pPr>
        <w:widowControl/>
      </w:pPr>
      <w:r>
        <w:rPr>
          <w:b w:val="0"/>
          <w:i w:val="0"/>
        </w:rPr>
        <w:t>The examples of apparent error are deliberately varied: the sun looks small, the rapidly turning heaven still, a straight oar bent in water, the shore moving from a ship; a voice appears to come from the wrong place and sweet things taste bitter. Ficino uses the correcting power’s superiority to argue for reason’s authority. His moving heaven belongs to the historical cosmology; the reader need not endorse that example to understand its place.</w:t>
      </w:r>
    </w:p>
    <w:p>
      <w:pPr>
        <w:widowControl/>
      </w:pPr>
      <w:r>
        <w:rPr>
          <w:b w:val="0"/>
          <w:i w:val="0"/>
        </w:rPr>
        <w:t xml:space="preserve">The argument then limits the senses’ jurisdiction. Sight does not disclose sounds, hearing does not disclose colours, and smell does not disclose everything that exists. Their mutual correction supplies an analogy for reason’s discovery beyond the whole sensible domain. Crucially, Ficino concedes that sensation truly establishes many corporeal things and says reason would err if it denied them. The target is exclusivism: from perceiving bodies it does not follow that only bodies exist. The legal vocabulary of condemnation and refutation personifies faculties as competing witnesses, while </w:t>
      </w:r>
      <w:r>
        <w:t>“</w:t>
      </w:r>
      <w:r>
        <w:rPr>
          <w:b w:val="0"/>
          <w:i w:val="0"/>
        </w:rPr>
        <w:t>prophecy</w:t>
      </w:r>
      <w:r>
        <w:t>”</w:t>
      </w:r>
      <w:r>
        <w:rPr>
          <w:b w:val="0"/>
          <w:i w:val="0"/>
        </w:rPr>
        <w:t xml:space="preserve"> marks a superior cognitive reach.</w:t>
      </w:r>
    </w:p>
    <w:p>
      <w:pPr>
        <w:keepNext/>
        <w:widowControl/>
      </w:pPr>
      <w:r>
        <w:rPr>
          <w:b/>
          <w:i w:val="0"/>
        </w:rPr>
        <w:t>Places to Read.</w:t>
      </w:r>
    </w:p>
    <w:p>
      <w:pPr>
        <w:ind w:left="187" w:hanging="187"/>
      </w:pPr>
      <w:r>
        <w:t xml:space="preserve">• </w:t>
      </w:r>
      <w:r>
        <w:rPr>
          <w:b/>
          <w:i w:val="0"/>
        </w:rPr>
        <w:t>VI.2.7; source PDF pp. 140, 141</w:t>
      </w:r>
      <w:r>
        <w:rPr>
          <w:b w:val="0"/>
          <w:i w:val="0"/>
        </w:rPr>
        <w:t>. The six sensory examples introduce reason as correcting and perfecting judgement.</w:t>
      </w:r>
    </w:p>
    <w:p>
      <w:pPr>
        <w:ind w:left="187" w:hanging="187"/>
      </w:pPr>
      <w:r>
        <w:t xml:space="preserve">• </w:t>
      </w:r>
      <w:r>
        <w:rPr>
          <w:b/>
          <w:i w:val="0"/>
        </w:rPr>
        <w:t>VI.2.8; source PDF pp. 142, 143</w:t>
      </w:r>
      <w:r>
        <w:rPr>
          <w:b w:val="0"/>
          <w:i w:val="0"/>
        </w:rPr>
        <w:t>. The reality of bodies is conceded while the senses’ exhaustive claim is rejected.</w:t>
      </w:r>
    </w:p>
    <w:p>
      <w:pPr>
        <w:ind w:left="187" w:hanging="187"/>
      </w:pPr>
      <w:r>
        <w:t xml:space="preserve">• </w:t>
      </w:r>
      <w:r>
        <w:rPr>
          <w:b/>
          <w:i w:val="0"/>
        </w:rPr>
        <w:t>VI.2.9; source PDF pp. 144, 145</w:t>
      </w:r>
      <w:r>
        <w:rPr>
          <w:b w:val="0"/>
          <w:i w:val="0"/>
        </w:rPr>
        <w:t>. The relative dignity of faculties leads into the argument about intellectual objects.</w:t>
      </w:r>
    </w:p>
    <w:p>
      <w:pPr>
        <w:keepNext/>
        <w:widowControl/>
      </w:pPr>
      <w:r>
        <w:rPr>
          <w:b/>
          <w:i w:val="0"/>
        </w:rPr>
        <w:t>In this edition.</w:t>
      </w:r>
    </w:p>
    <w:p>
      <w:pPr>
        <w:widowControl/>
      </w:pPr>
      <w:r>
        <w:rPr>
          <w:b w:val="0"/>
          <w:i w:val="0"/>
        </w:rPr>
        <w:t>Reason’s reliability is argued through correction; it is not licensed to deny sensible reality. The edition retains the differing verbs of judgement, condemnation, refutation and prophecy rather than flattening them into a generic statement that reason knows better.</w:t>
      </w:r>
    </w:p>
    <w:p>
      <w:pPr>
        <w:keepNext/>
        <w:widowControl/>
      </w:pPr>
      <w:r>
        <w:rPr>
          <w:b/>
          <w:i w:val="0"/>
        </w:rPr>
        <w:t>See also.</w:t>
      </w:r>
    </w:p>
    <w:p>
      <w:pPr>
        <w:widowControl/>
      </w:pPr>
      <w:hyperlink w:anchor="intellectual-objects-and-owl-eye">
        <w:r>
          <w:rPr>
            <w:color w:val="000000"/>
          </w:rPr>
          <w:t xml:space="preserve">Intellectual objects and the owl’s eye</w:t>
        </w:r>
      </w:hyperlink>
      <w:r>
        <w:rPr>
          <w:b w:val="0"/>
          <w:i w:val="0"/>
        </w:rPr>
        <w:t xml:space="preserve">; </w:t>
      </w:r>
      <w:hyperlink w:anchor="habit-purification-and-intellectual-experiment">
        <w:r>
          <w:rPr>
            <w:color w:val="000000"/>
          </w:rPr>
          <w:t xml:space="preserve">Habit, purification and intellectual experiment</w:t>
        </w:r>
      </w:hyperlink>
    </w:p>
    <w:p>
      <w:pPr>
        <w:pStyle w:val="Heading2"/>
      </w:pPr>
      <w:bookmarkStart w:id="209" w:name="separate-forms-and-intellectual-life"/>
      <w:r>
        <w:rPr>
          <w:b w:val="0"/>
          <w:i w:val="0"/>
        </w:rPr>
        <w:t>Separate forms and intellectual life</w:t>
      </w:r>
      <w:bookmarkEnd w:id="209"/>
    </w:p>
    <w:p>
      <w:pPr>
        <w:keepNext/>
        <w:widowControl/>
      </w:pPr>
      <w:r>
        <w:rPr>
          <w:b/>
          <w:i w:val="0"/>
        </w:rPr>
        <w:t>Latin:</w:t>
      </w:r>
      <w:r>
        <w:rPr>
          <w:b w:val="0"/>
          <w:i w:val="0"/>
        </w:rPr>
        <w:t xml:space="preserve"> </w:t>
      </w:r>
      <w:r>
        <w:rPr>
          <w:b w:val="0"/>
          <w:i/>
        </w:rPr>
        <w:t>forma segregata</w:t>
      </w:r>
      <w:r>
        <w:rPr>
          <w:b w:val="0"/>
          <w:i w:val="0"/>
        </w:rPr>
        <w:t xml:space="preserve">; </w:t>
      </w:r>
      <w:r>
        <w:rPr>
          <w:b w:val="0"/>
          <w:i/>
        </w:rPr>
        <w:t>subiectum formatum</w:t>
      </w:r>
      <w:r>
        <w:rPr>
          <w:b w:val="0"/>
          <w:i w:val="0"/>
        </w:rPr>
        <w:t xml:space="preserve">; </w:t>
      </w:r>
      <w:r>
        <w:rPr>
          <w:b w:val="0"/>
          <w:i/>
        </w:rPr>
        <w:t>ratio secum ipsa vivens</w:t>
      </w:r>
      <w:r>
        <w:rPr>
          <w:b w:val="0"/>
          <w:i w:val="0"/>
        </w:rPr>
        <w:t xml:space="preserve">; </w:t>
      </w:r>
      <w:r>
        <w:rPr>
          <w:b w:val="0"/>
          <w:i/>
        </w:rPr>
        <w:t>intellectus purus</w:t>
      </w:r>
      <w:r>
        <w:rPr>
          <w:b w:val="0"/>
          <w:i w:val="0"/>
        </w:rPr>
        <w:t xml:space="preserve">; </w:t>
      </w:r>
      <w:r>
        <w:rPr>
          <w:b w:val="0"/>
          <w:i/>
        </w:rPr>
        <w:t>veritas</w:t>
      </w:r>
      <w:r>
        <w:rPr>
          <w:b w:val="0"/>
          <w:i w:val="0"/>
        </w:rPr>
        <w:t xml:space="preserve">; </w:t>
      </w:r>
      <w:r>
        <w:rPr>
          <w:b w:val="0"/>
          <w:i/>
        </w:rPr>
        <w:t>gaudium</w:t>
      </w:r>
    </w:p>
    <w:p>
      <w:pPr>
        <w:keepNext/>
        <w:widowControl/>
      </w:pPr>
      <w:r>
        <w:rPr>
          <w:b/>
          <w:i w:val="0"/>
        </w:rPr>
        <w:t>The word.</w:t>
      </w:r>
    </w:p>
    <w:p>
      <w:pPr>
        <w:widowControl/>
      </w:pPr>
      <w:r>
        <w:rPr>
          <w:b w:val="0"/>
          <w:i w:val="0"/>
        </w:rPr>
        <w:t>Segregatus and separatus describe forms removed from composites. A subiectum formatum is a subject receiving form, not the subject matter of a discussion. Ratio here seeks truth discursively; intellectus purus names the pure intellect that already enjoys truth. Gaudium is joy, not appetite for an absent good.</w:t>
      </w:r>
    </w:p>
    <w:p>
      <w:pPr>
        <w:keepNext/>
        <w:widowControl/>
      </w:pPr>
      <w:r>
        <w:rPr>
          <w:b/>
          <w:i w:val="0"/>
        </w:rPr>
        <w:t>In the Platonic Theology.</w:t>
      </w:r>
    </w:p>
    <w:p>
      <w:pPr>
        <w:widowControl/>
      </w:pPr>
      <w:r>
        <w:rPr>
          <w:b w:val="0"/>
          <w:i w:val="0"/>
        </w:rPr>
        <w:t xml:space="preserve">The inward experiment of VI.2.10 begins from a distinction within the human composite: life communicated to the body and life vigorous in the soul itself. By attending to the latter, the philosopher is to verify what Ficino calls the Socratic teaching that imperfect forms in subjects depend upon perfect forms in themselves. The argument is presented as a discipline of life and attention as well as an ontological thesis. </w:t>
      </w:r>
      <w:r>
        <w:t>“</w:t>
      </w:r>
      <w:r>
        <w:rPr>
          <w:b w:val="0"/>
          <w:i w:val="0"/>
        </w:rPr>
        <w:t>Separated</w:t>
      </w:r>
      <w:r>
        <w:t>”</w:t>
      </w:r>
      <w:r>
        <w:rPr>
          <w:b w:val="0"/>
          <w:i w:val="0"/>
        </w:rPr>
        <w:t xml:space="preserve"> thinkers reach separated forms by withdrawing their mind from bodily engagements as far as they can.</w:t>
      </w:r>
    </w:p>
    <w:p>
      <w:pPr>
        <w:widowControl/>
      </w:pPr>
      <w:r>
        <w:rPr>
          <w:b w:val="0"/>
          <w:i w:val="0"/>
        </w:rPr>
        <w:t>The ascent has three carefully differentiated moments. The pure soul is reason living with itself and eagerly circling truth’s light. Angel is pure intellect rejoicing in truth already infused. When the soul comes to rejoice like an angel, it perceives God and the reciprocal expressions of self-shining truth, light and joy. Likeness to an angel in activity is not a new assertion that the soul ceases to be soul, and divine truth is not merely one more received mental form. VI.2.11 continues this crescendo in an exceptionally short unit.</w:t>
      </w:r>
    </w:p>
    <w:p>
      <w:pPr>
        <w:keepNext/>
        <w:widowControl/>
      </w:pPr>
      <w:r>
        <w:rPr>
          <w:b/>
          <w:i w:val="0"/>
        </w:rPr>
        <w:t>Places to Read.</w:t>
      </w:r>
    </w:p>
    <w:p>
      <w:pPr>
        <w:ind w:left="187" w:hanging="187"/>
      </w:pPr>
      <w:r>
        <w:t xml:space="preserve">• </w:t>
      </w:r>
      <w:r>
        <w:rPr>
          <w:b/>
          <w:i w:val="0"/>
        </w:rPr>
        <w:t>VI.2.10; source PDF pp. 146, 147</w:t>
      </w:r>
      <w:r>
        <w:rPr>
          <w:b w:val="0"/>
          <w:i w:val="0"/>
        </w:rPr>
        <w:t>. Socratic separate forms are approached through intellectual life and the soul–angel–God ascent.</w:t>
      </w:r>
    </w:p>
    <w:p>
      <w:pPr>
        <w:ind w:left="187" w:hanging="187"/>
      </w:pPr>
      <w:r>
        <w:t xml:space="preserve">• </w:t>
      </w:r>
      <w:r>
        <w:rPr>
          <w:b/>
          <w:i w:val="0"/>
        </w:rPr>
        <w:t>VI.2.11; source PDF pp. 146, 147</w:t>
      </w:r>
      <w:r>
        <w:rPr>
          <w:b w:val="0"/>
          <w:i w:val="0"/>
        </w:rPr>
        <w:t>. Truth, light and joy are reciprocally expressed at the ascent’s culmination.</w:t>
      </w:r>
    </w:p>
    <w:p>
      <w:pPr>
        <w:ind w:left="187" w:hanging="187"/>
      </w:pPr>
      <w:r>
        <w:t xml:space="preserve">• </w:t>
      </w:r>
      <w:r>
        <w:rPr>
          <w:b/>
          <w:i w:val="0"/>
        </w:rPr>
        <w:t>VI.12.18; source PDF pp. 218, 219</w:t>
      </w:r>
      <w:r>
        <w:rPr>
          <w:b w:val="0"/>
          <w:i w:val="0"/>
        </w:rPr>
        <w:t>. God and angels are later distinguished from soul’s successive reasoning.</w:t>
      </w:r>
    </w:p>
    <w:p>
      <w:pPr>
        <w:keepNext/>
        <w:widowControl/>
      </w:pPr>
      <w:r>
        <w:rPr>
          <w:b/>
          <w:i w:val="0"/>
        </w:rPr>
        <w:t>In this edition.</w:t>
      </w:r>
    </w:p>
    <w:p>
      <w:pPr>
        <w:widowControl/>
      </w:pPr>
      <w:r>
        <w:rPr>
          <w:b w:val="0"/>
          <w:i w:val="0"/>
        </w:rPr>
        <w:t xml:space="preserve">The edition’s </w:t>
      </w:r>
      <w:r>
        <w:t>“</w:t>
      </w:r>
      <w:r>
        <w:rPr>
          <w:b w:val="0"/>
          <w:i w:val="0"/>
        </w:rPr>
        <w:t>look down upon the former</w:t>
      </w:r>
      <w:r>
        <w:t>”</w:t>
      </w:r>
      <w:r>
        <w:rPr>
          <w:b w:val="0"/>
          <w:i w:val="0"/>
        </w:rPr>
        <w:t xml:space="preserve"> and </w:t>
      </w:r>
      <w:r>
        <w:t>“</w:t>
      </w:r>
      <w:r>
        <w:rPr>
          <w:b w:val="0"/>
          <w:i w:val="0"/>
        </w:rPr>
        <w:t>turn their gaze to the latter</w:t>
      </w:r>
      <w:r>
        <w:t>”</w:t>
      </w:r>
      <w:r>
        <w:rPr>
          <w:b w:val="0"/>
          <w:i w:val="0"/>
        </w:rPr>
        <w:t xml:space="preserve"> preserve despiciant/aspiciant and their antecedents. It supplies </w:t>
      </w:r>
      <w:r>
        <w:t>“</w:t>
      </w:r>
      <w:r>
        <w:rPr>
          <w:b w:val="0"/>
          <w:i w:val="0"/>
        </w:rPr>
        <w:t>it will behold</w:t>
      </w:r>
      <w:r>
        <w:t>”</w:t>
      </w:r>
      <w:r>
        <w:rPr>
          <w:b w:val="0"/>
          <w:i w:val="0"/>
        </w:rPr>
        <w:t xml:space="preserve"> in VI.2.11 because the Latin continues the previous grammatical sequence.</w:t>
      </w:r>
    </w:p>
    <w:p>
      <w:pPr>
        <w:keepNext/>
        <w:widowControl/>
      </w:pPr>
      <w:r>
        <w:rPr>
          <w:b/>
          <w:i w:val="0"/>
        </w:rPr>
        <w:t>See also.</w:t>
      </w:r>
    </w:p>
    <w:p>
      <w:pPr>
        <w:widowControl/>
      </w:pPr>
      <w:hyperlink w:anchor="habit-purification-and-intellectual-experiment">
        <w:r>
          <w:rPr>
            <w:color w:val="000000"/>
          </w:rPr>
          <w:t xml:space="preserve">Habit, purification and intellectual experiment</w:t>
        </w:r>
      </w:hyperlink>
      <w:r>
        <w:rPr>
          <w:b w:val="0"/>
          <w:i w:val="0"/>
        </w:rPr>
        <w:t xml:space="preserve">; </w:t>
      </w:r>
      <w:hyperlink w:anchor="temporal-discourse-and-psychic-ascent">
        <w:r>
          <w:rPr>
            <w:color w:val="000000"/>
          </w:rPr>
          <w:t xml:space="preserve">Temporal discourse and psychic ascent</w:t>
        </w:r>
      </w:hyperlink>
    </w:p>
    <w:p>
      <w:pPr>
        <w:pStyle w:val="Heading2"/>
      </w:pPr>
      <w:bookmarkStart w:id="210" w:name="vii-severed-animals"/>
      <w:r>
        <w:rPr>
          <w:b w:val="0"/>
          <w:i w:val="0"/>
        </w:rPr>
        <w:t>Severed animals and replacement souls</w:t>
      </w:r>
      <w:bookmarkEnd w:id="210"/>
    </w:p>
    <w:p>
      <w:pPr>
        <w:keepNext/>
        <w:widowControl/>
      </w:pPr>
      <w:r>
        <w:rPr>
          <w:b/>
          <w:i w:val="0"/>
        </w:rPr>
        <w:t>Latin:</w:t>
      </w:r>
      <w:r>
        <w:rPr>
          <w:b w:val="0"/>
          <w:i w:val="0"/>
        </w:rPr>
        <w:t xml:space="preserve"> </w:t>
      </w:r>
      <w:r>
        <w:rPr>
          <w:b w:val="0"/>
          <w:i/>
        </w:rPr>
        <w:t>frustum</w:t>
      </w:r>
      <w:r>
        <w:rPr>
          <w:b w:val="0"/>
          <w:i w:val="0"/>
        </w:rPr>
        <w:t xml:space="preserve">; </w:t>
      </w:r>
      <w:r>
        <w:rPr>
          <w:b w:val="0"/>
          <w:i/>
        </w:rPr>
        <w:t>secare</w:t>
      </w:r>
      <w:r>
        <w:rPr>
          <w:b w:val="0"/>
          <w:i w:val="0"/>
        </w:rPr>
        <w:t xml:space="preserve">; </w:t>
      </w:r>
      <w:r>
        <w:rPr>
          <w:b w:val="0"/>
          <w:i/>
        </w:rPr>
        <w:t>compago</w:t>
      </w:r>
      <w:r>
        <w:rPr>
          <w:b w:val="0"/>
          <w:i w:val="0"/>
        </w:rPr>
        <w:t xml:space="preserve">; </w:t>
      </w:r>
      <w:r>
        <w:rPr>
          <w:b w:val="0"/>
          <w:i/>
        </w:rPr>
        <w:t>interire</w:t>
      </w:r>
      <w:r>
        <w:rPr>
          <w:b w:val="0"/>
          <w:i w:val="0"/>
        </w:rPr>
        <w:t xml:space="preserve">; </w:t>
      </w:r>
      <w:r>
        <w:rPr>
          <w:b w:val="0"/>
          <w:i/>
        </w:rPr>
        <w:t>vita mundi</w:t>
      </w:r>
      <w:r>
        <w:rPr>
          <w:b w:val="0"/>
          <w:i w:val="0"/>
        </w:rPr>
        <w:t xml:space="preserve">; </w:t>
      </w:r>
      <w:r>
        <w:rPr>
          <w:b w:val="0"/>
          <w:i/>
        </w:rPr>
        <w:t>novae animae</w:t>
      </w:r>
      <w:r>
        <w:rPr>
          <w:b w:val="0"/>
          <w:i w:val="0"/>
        </w:rPr>
        <w:t xml:space="preserve">; </w:t>
      </w:r>
      <w:r>
        <w:rPr>
          <w:b w:val="0"/>
          <w:i/>
        </w:rPr>
        <w:t>instrumentum</w:t>
      </w:r>
    </w:p>
    <w:p>
      <w:pPr>
        <w:keepNext/>
        <w:widowControl/>
      </w:pPr>
      <w:r>
        <w:rPr>
          <w:b/>
          <w:i w:val="0"/>
        </w:rPr>
        <w:t>The word.</w:t>
      </w:r>
    </w:p>
    <w:p>
      <w:pPr>
        <w:widowControl/>
      </w:pPr>
      <w:r>
        <w:rPr>
          <w:b w:val="0"/>
          <w:i/>
        </w:rPr>
        <w:t>Frusta</w:t>
      </w:r>
      <w:r>
        <w:rPr>
          <w:b w:val="0"/>
          <w:i w:val="0"/>
        </w:rPr>
        <w:t xml:space="preserve"> are severed pieces; </w:t>
      </w:r>
      <w:r>
        <w:rPr>
          <w:b w:val="0"/>
          <w:i/>
        </w:rPr>
        <w:t>compago</w:t>
      </w:r>
      <w:r>
        <w:rPr>
          <w:b w:val="0"/>
          <w:i w:val="0"/>
        </w:rPr>
        <w:t xml:space="preserve"> is the organized structure joining a body. </w:t>
      </w:r>
      <w:r>
        <w:rPr>
          <w:b w:val="0"/>
          <w:i/>
        </w:rPr>
        <w:t>Interire</w:t>
      </w:r>
      <w:r>
        <w:rPr>
          <w:b w:val="0"/>
          <w:i w:val="0"/>
        </w:rPr>
        <w:t xml:space="preserve"> means perishing, not dividing. New souls arising in suitable fragments are therefore not surviving numerical parts of the former soul.</w:t>
      </w:r>
    </w:p>
    <w:p>
      <w:pPr>
        <w:keepNext/>
        <w:widowControl/>
      </w:pPr>
      <w:r>
        <w:rPr>
          <w:b/>
          <w:i w:val="0"/>
        </w:rPr>
        <w:t>In the Platonic Theology.</w:t>
      </w:r>
    </w:p>
    <w:p>
      <w:pPr>
        <w:widowControl/>
      </w:pPr>
      <w:r>
        <w:rPr>
          <w:b w:val="0"/>
          <w:i w:val="0"/>
        </w:rPr>
        <w:t>Moving and sensing animal fragments appear to challenge indivisibility: if a body divides into two living bodies, why not suppose its soul divides into two souls? Ficino’s answer is strikingly qualified. The original soul perishes when the structure to which it was assigned dissolves. New souls arise immediately from the life of the world in fragments suited to receive them. A fragment can be suited because a lowly soul has few powers and operations and accordingly needs few bodily instruments. More perfect souls need diverse organs and do not live in detached single members.</w:t>
      </w:r>
    </w:p>
    <w:p>
      <w:pPr>
        <w:widowControl/>
      </w:pPr>
      <w:r>
        <w:rPr>
          <w:b w:val="0"/>
          <w:i w:val="0"/>
        </w:rPr>
        <w:t xml:space="preserve">The analogies preserve replacement rather than division. Cutting wood at a point destroys that point as the common boundary and produces new endpoints. Breaking a mirror removes the one image and yields two newly reflected images. Cutting the word </w:t>
      </w:r>
      <w:r>
        <w:rPr>
          <w:b w:val="0"/>
          <w:i/>
        </w:rPr>
        <w:t>Lucifer</w:t>
      </w:r>
      <w:r>
        <w:rPr>
          <w:b w:val="0"/>
          <w:i w:val="0"/>
        </w:rPr>
        <w:t xml:space="preserve"> destroys its original meaning while leaving meaningful components. None makes one original indivisible entity numerically persist as two halves.</w:t>
      </w:r>
    </w:p>
    <w:p>
      <w:pPr>
        <w:widowControl/>
      </w:pPr>
      <w:r>
        <w:rPr>
          <w:b w:val="0"/>
          <w:i w:val="0"/>
        </w:rPr>
        <w:t>The final question explicitly invokes the Platonists and creeping creatures. The argument is therefore not a universal claim that every soul is deathless because indivisible, nor a modern account of regeneration. Within this passage, indivisibility is compatible with the disappearance of a low animal soul. That limitation is indispensable in a work devoted to immortality: the rational soul’s case cannot be secured by silently attributing to every soul what this chapter denies of these examples.</w:t>
      </w:r>
    </w:p>
    <w:p>
      <w:pPr>
        <w:keepNext/>
        <w:widowControl/>
      </w:pPr>
      <w:r>
        <w:rPr>
          <w:b/>
          <w:i w:val="0"/>
        </w:rPr>
        <w:t>Places to Read.</w:t>
      </w:r>
    </w:p>
    <w:p>
      <w:pPr>
        <w:ind w:left="187" w:hanging="187"/>
      </w:pPr>
      <w:r>
        <w:t xml:space="preserve">• </w:t>
      </w:r>
      <w:r>
        <w:rPr>
          <w:b/>
          <w:i w:val="0"/>
        </w:rPr>
        <w:t>VII.5.4, PDF 254–255</w:t>
      </w:r>
      <w:r>
        <w:rPr>
          <w:b w:val="0"/>
          <w:i w:val="0"/>
        </w:rPr>
        <w:t>. The objection, generation from world-life, organ requirement, and three replacement analogies occur together.</w:t>
      </w:r>
    </w:p>
    <w:p>
      <w:pPr>
        <w:keepNext/>
        <w:widowControl/>
      </w:pPr>
      <w:r>
        <w:rPr>
          <w:b/>
          <w:i w:val="0"/>
        </w:rPr>
        <w:t>In this edition.</w:t>
      </w:r>
    </w:p>
    <w:p>
      <w:pPr>
        <w:widowControl/>
      </w:pPr>
      <w:r>
        <w:rPr>
          <w:b w:val="0"/>
          <w:i w:val="0"/>
        </w:rPr>
        <w:t xml:space="preserve">The base reading says </w:t>
      </w:r>
      <w:r>
        <w:rPr>
          <w:b w:val="0"/>
          <w:i/>
        </w:rPr>
        <w:t>in singulis membris non vivunt</w:t>
      </w:r>
      <w:r>
        <w:rPr>
          <w:b w:val="0"/>
          <w:i w:val="0"/>
        </w:rPr>
        <w:t xml:space="preserve">. Later witnesses omit </w:t>
      </w:r>
      <w:r>
        <w:rPr>
          <w:b w:val="0"/>
          <w:i/>
        </w:rPr>
        <w:t>non</w:t>
      </w:r>
      <w:r>
        <w:rPr>
          <w:b w:val="0"/>
          <w:i w:val="0"/>
        </w:rPr>
        <w:t xml:space="preserve">, reversing a crucial local qualification. This edition retains it: more perfect souls do not live in separate members. </w:t>
      </w:r>
      <w:r>
        <w:t>“</w:t>
      </w:r>
      <w:r>
        <w:rPr>
          <w:b w:val="0"/>
          <w:i w:val="0"/>
        </w:rPr>
        <w:t>Perishes</w:t>
      </w:r>
      <w:r>
        <w:t>”</w:t>
      </w:r>
      <w:r>
        <w:rPr>
          <w:b w:val="0"/>
          <w:i w:val="0"/>
        </w:rPr>
        <w:t xml:space="preserve"> for </w:t>
      </w:r>
      <w:r>
        <w:rPr>
          <w:b w:val="0"/>
          <w:i/>
        </w:rPr>
        <w:t>interit</w:t>
      </w:r>
      <w:r>
        <w:rPr>
          <w:b w:val="0"/>
          <w:i w:val="0"/>
        </w:rPr>
        <w:t xml:space="preserve"> must not be softened to </w:t>
      </w:r>
      <w:r>
        <w:t>“</w:t>
      </w:r>
      <w:r>
        <w:rPr>
          <w:b w:val="0"/>
          <w:i w:val="0"/>
        </w:rPr>
        <w:t>divides</w:t>
      </w:r>
      <w:r>
        <w:t>”</w:t>
      </w:r>
      <w:r>
        <w:rPr>
          <w:b w:val="0"/>
          <w:i w:val="0"/>
        </w:rPr>
        <w:t xml:space="preserve"> or </w:t>
      </w:r>
      <w:r>
        <w:t>“</w:t>
      </w:r>
      <w:r>
        <w:rPr>
          <w:b w:val="0"/>
          <w:i w:val="0"/>
        </w:rPr>
        <w:t>withdraws</w:t>
      </w:r>
      <w:r>
        <w:t>”</w:t>
      </w:r>
      <w:r>
        <w:rPr>
          <w:b w:val="0"/>
          <w:i w:val="0"/>
        </w:rPr>
        <w:t xml:space="preserve"> without textual warrant.</w:t>
      </w:r>
    </w:p>
    <w:p>
      <w:pPr>
        <w:keepNext/>
        <w:widowControl/>
      </w:pPr>
      <w:r>
        <w:rPr>
          <w:b/>
          <w:i w:val="0"/>
        </w:rPr>
        <w:t>See also.</w:t>
      </w:r>
    </w:p>
    <w:p>
      <w:pPr>
        <w:widowControl/>
      </w:pPr>
      <w:hyperlink w:anchor="vii-lucifer-meaning">
        <w:r>
          <w:rPr>
            <w:color w:val="000000"/>
          </w:rPr>
          <w:t xml:space="preserve">Lucifer and indivisible meaning</w:t>
        </w:r>
      </w:hyperlink>
      <w:r>
        <w:rPr>
          <w:b w:val="0"/>
          <w:i w:val="0"/>
        </w:rPr>
        <w:t xml:space="preserve">; </w:t>
      </w:r>
      <w:hyperlink w:anchor="vii-whole-soul-vital-intensity">
        <w:r>
          <w:rPr>
            <w:color w:val="000000"/>
          </w:rPr>
          <w:t xml:space="preserve">Whole presence and vital intensity</w:t>
        </w:r>
      </w:hyperlink>
      <w:r>
        <w:rPr>
          <w:b w:val="0"/>
          <w:i w:val="0"/>
        </w:rPr>
        <w:t xml:space="preserve">; </w:t>
      </w:r>
      <w:hyperlink w:anchor="vii-soul-body-craftsman">
        <w:r>
          <w:rPr>
            <w:color w:val="000000"/>
          </w:rPr>
          <w:t xml:space="preserve">Soul as the body’s craftsman</w:t>
        </w:r>
      </w:hyperlink>
    </w:p>
    <w:p>
      <w:pPr>
        <w:pStyle w:val="Heading2"/>
      </w:pPr>
      <w:bookmarkStart w:id="211" w:name="viii-species-simplicity"/>
      <w:r>
        <w:rPr>
          <w:b w:val="0"/>
          <w:i w:val="0"/>
        </w:rPr>
        <w:t>Simplicity of human and numerical species</w:t>
      </w:r>
      <w:bookmarkEnd w:id="211"/>
    </w:p>
    <w:p>
      <w:pPr>
        <w:keepNext/>
        <w:widowControl/>
      </w:pPr>
      <w:r>
        <w:rPr>
          <w:b/>
          <w:i w:val="0"/>
        </w:rPr>
        <w:t>Latin:</w:t>
      </w:r>
      <w:r>
        <w:rPr>
          <w:b w:val="0"/>
          <w:i w:val="0"/>
        </w:rPr>
        <w:t xml:space="preserve"> </w:t>
      </w:r>
      <w:r>
        <w:rPr>
          <w:b w:val="0"/>
          <w:i/>
        </w:rPr>
        <w:t>species</w:t>
      </w:r>
      <w:r>
        <w:rPr>
          <w:b w:val="0"/>
          <w:i w:val="0"/>
        </w:rPr>
        <w:t xml:space="preserve">; </w:t>
      </w:r>
      <w:r>
        <w:rPr>
          <w:b w:val="0"/>
          <w:i/>
        </w:rPr>
        <w:t>rationalitas</w:t>
      </w:r>
      <w:r>
        <w:rPr>
          <w:b w:val="0"/>
          <w:i w:val="0"/>
        </w:rPr>
        <w:t xml:space="preserve">; </w:t>
      </w:r>
      <w:r>
        <w:rPr>
          <w:b w:val="0"/>
          <w:i/>
        </w:rPr>
        <w:t>animalitas</w:t>
      </w:r>
      <w:r>
        <w:rPr>
          <w:b w:val="0"/>
          <w:i w:val="0"/>
        </w:rPr>
        <w:t xml:space="preserve">; </w:t>
      </w:r>
      <w:r>
        <w:rPr>
          <w:b w:val="0"/>
          <w:i/>
        </w:rPr>
        <w:t>denarius</w:t>
      </w:r>
      <w:r>
        <w:rPr>
          <w:b w:val="0"/>
          <w:i w:val="0"/>
        </w:rPr>
        <w:t xml:space="preserve">; </w:t>
      </w:r>
      <w:r>
        <w:rPr>
          <w:b w:val="0"/>
          <w:i/>
        </w:rPr>
        <w:t>septenarius</w:t>
      </w:r>
      <w:r>
        <w:rPr>
          <w:b w:val="0"/>
          <w:i w:val="0"/>
        </w:rPr>
        <w:t xml:space="preserve">; </w:t>
      </w:r>
      <w:r>
        <w:rPr>
          <w:b w:val="0"/>
          <w:i/>
        </w:rPr>
        <w:t>magis minusve</w:t>
      </w:r>
    </w:p>
    <w:p>
      <w:pPr>
        <w:keepNext/>
        <w:widowControl/>
      </w:pPr>
      <w:r>
        <w:rPr>
          <w:b/>
          <w:i w:val="0"/>
        </w:rPr>
        <w:t>The word.</w:t>
      </w:r>
    </w:p>
    <w:p>
      <w:pPr>
        <w:widowControl/>
      </w:pPr>
      <w:r>
        <w:rPr>
          <w:b w:val="0"/>
          <w:i w:val="0"/>
        </w:rPr>
        <w:t>Species can name a determinate nature as well as the form representing it in mind. Simplicity here is often explicitly aspectual: a human being as human or ten as ten is not divided into several objects of that same species. It is not a denial that a human body has organs or ten can be partitioned into numbers.</w:t>
      </w:r>
    </w:p>
    <w:p>
      <w:pPr>
        <w:keepNext/>
        <w:widowControl/>
      </w:pPr>
      <w:r>
        <w:rPr>
          <w:b/>
          <w:i w:val="0"/>
        </w:rPr>
        <w:t>In the Platonic Theology.</w:t>
      </w:r>
    </w:p>
    <w:p>
      <w:pPr>
        <w:widowControl/>
      </w:pPr>
      <w:r>
        <w:rPr>
          <w:b w:val="0"/>
          <w:i w:val="0"/>
        </w:rPr>
        <w:t>Ficino diagnoses a mistake prompted by knowledge of composites. Humans have genus and difference, and numbers can be gathered from units; one might infer that the corresponding intellectual species is a bodily composite. He replies that bodily division does not preserve the specific whole. A head, breast or thigh is a body, but none is a human being. Dividing ten yields numbers, not several tens. Under the account that makes each the definite thing it is, the species is one.</w:t>
      </w:r>
    </w:p>
    <w:p>
      <w:pPr>
        <w:widowControl/>
      </w:pPr>
      <w:r>
        <w:rPr>
          <w:b w:val="0"/>
          <w:i w:val="0"/>
        </w:rPr>
        <w:t xml:space="preserve">Animal and rational are not two separate forms in the human species. </w:t>
      </w:r>
      <w:r>
        <w:t>“</w:t>
      </w:r>
      <w:r>
        <w:rPr>
          <w:b w:val="0"/>
          <w:i w:val="0"/>
        </w:rPr>
        <w:t>Rationality</w:t>
      </w:r>
      <w:r>
        <w:t>”</w:t>
      </w:r>
      <w:r>
        <w:rPr>
          <w:b w:val="0"/>
          <w:i w:val="0"/>
        </w:rPr>
        <w:t xml:space="preserve"> is described as animality brought into the act of reason. The distinction of concepts need not imply the coexistence of two spatially separate substantial forms. The species communicates itself whole to individuals; it is not apportioned into diminished shares.</w:t>
      </w:r>
    </w:p>
    <w:p>
      <w:pPr>
        <w:widowControl/>
      </w:pPr>
      <w:r>
        <w:rPr>
          <w:b w:val="0"/>
          <w:i w:val="0"/>
        </w:rPr>
        <w:t>The numerical example makes the absence of degrees exact. Add one to seven and the result is eight, not a more intense seven; subtract one and the result is six. Similarly, Ficino says a species cannot accept addition or subtraction without becoming another. Proper knowledge concerns such stable determinate natures, rather than unstable innumerable individuals or insufficiently differentiated genera.</w:t>
      </w:r>
    </w:p>
    <w:p>
      <w:pPr>
        <w:widowControl/>
      </w:pPr>
      <w:r>
        <w:rPr>
          <w:b w:val="0"/>
          <w:i w:val="0"/>
        </w:rPr>
        <w:t>Words and successive thoughts prepare or accompany knowledge. The achieved intellectual touch is described as one act or habit. This is a claim about the unity of the understood account, not a prohibition on analysing an argument into explanatory sentences.</w:t>
      </w:r>
    </w:p>
    <w:p>
      <w:pPr>
        <w:keepNext/>
        <w:widowControl/>
      </w:pPr>
      <w:r>
        <w:rPr>
          <w:b/>
          <w:i w:val="0"/>
        </w:rPr>
        <w:t>Places to Read.</w:t>
      </w:r>
    </w:p>
    <w:p>
      <w:pPr>
        <w:ind w:left="187" w:hanging="187"/>
      </w:pPr>
      <w:r>
        <w:t xml:space="preserve">• </w:t>
      </w:r>
      <w:r>
        <w:rPr>
          <w:b/>
          <w:i w:val="0"/>
        </w:rPr>
        <w:t>VIII.4.10, PDF pp. 332–333.</w:t>
      </w:r>
      <w:r>
        <w:rPr>
          <w:b w:val="0"/>
          <w:i w:val="0"/>
        </w:rPr>
        <w:t xml:space="preserve"> Humanity and ten remain indivisible under their specific accounts despite bodily or numerical partitions.</w:t>
      </w:r>
    </w:p>
    <w:p>
      <w:pPr>
        <w:ind w:left="187" w:hanging="187"/>
      </w:pPr>
      <w:r>
        <w:t xml:space="preserve">• </w:t>
      </w:r>
      <w:r>
        <w:rPr>
          <w:b/>
          <w:i w:val="0"/>
        </w:rPr>
        <w:t>VIII.4.11, PDF pp. 334–335.</w:t>
      </w:r>
      <w:r>
        <w:rPr>
          <w:b w:val="0"/>
          <w:i w:val="0"/>
        </w:rPr>
        <w:t xml:space="preserve"> Seven, eight and six illustrate definite species; discursive preparations are distinguished from simple knowledge.</w:t>
      </w:r>
    </w:p>
    <w:p>
      <w:pPr>
        <w:keepNext/>
        <w:widowControl/>
      </w:pPr>
      <w:r>
        <w:rPr>
          <w:b/>
          <w:i w:val="0"/>
        </w:rPr>
        <w:t>In this edition.</w:t>
      </w:r>
    </w:p>
    <w:p>
      <w:pPr>
        <w:widowControl/>
      </w:pPr>
      <w:r>
        <w:rPr>
          <w:b w:val="0"/>
          <w:i w:val="0"/>
        </w:rPr>
        <w:t>The compressed Talis autem forma simplex esse simplicis fundamentum species est is retained by the supplied Latin. The English makes an appositional interpretation explicit. This companion follows the surrounding argument without claiming that the awkward construction has been textually resolved.</w:t>
      </w:r>
    </w:p>
    <w:p>
      <w:pPr>
        <w:keepNext/>
        <w:widowControl/>
      </w:pPr>
      <w:r>
        <w:rPr>
          <w:b/>
          <w:i w:val="0"/>
        </w:rPr>
        <w:t>See also.</w:t>
      </w:r>
    </w:p>
    <w:p>
      <w:pPr>
        <w:widowControl/>
      </w:pPr>
      <w:hyperlink w:anchor="viii-definition-parts">
        <w:r>
          <w:rPr>
            <w:color w:val="000000"/>
          </w:rPr>
          <w:t xml:space="preserve">Definition, genus, difference, and mindless parts</w:t>
        </w:r>
      </w:hyperlink>
      <w:r>
        <w:rPr>
          <w:b w:val="0"/>
          <w:i w:val="0"/>
        </w:rPr>
        <w:t xml:space="preserve">; </w:t>
      </w:r>
      <w:hyperlink w:anchor="viii-first-concepts">
        <w:r>
          <w:rPr>
            <w:color w:val="000000"/>
          </w:rPr>
          <w:t xml:space="preserve">First concepts, unity, and the end of analysis</w:t>
        </w:r>
      </w:hyperlink>
      <w:r>
        <w:rPr>
          <w:b w:val="0"/>
          <w:i w:val="0"/>
        </w:rPr>
        <w:t xml:space="preserve">; </w:t>
      </w:r>
      <w:hyperlink w:anchor="viii-truth-mathematics">
        <w:r>
          <w:rPr>
            <w:color w:val="000000"/>
          </w:rPr>
          <w:t xml:space="preserve">Truth, mathematical figures, and immutable principles</w:t>
        </w:r>
      </w:hyperlink>
    </w:p>
    <w:p>
      <w:pPr>
        <w:pStyle w:val="Heading2"/>
      </w:pPr>
      <w:bookmarkStart w:id="212" w:name="sleep-and-dreams"/>
      <w:r>
        <w:rPr>
          <w:b w:val="0"/>
          <w:i w:val="0"/>
        </w:rPr>
        <w:t>Sleep and dreams</w:t>
      </w:r>
      <w:bookmarkEnd w:id="212"/>
    </w:p>
    <w:p>
      <w:pPr>
        <w:keepNext/>
        <w:widowControl/>
      </w:pPr>
      <w:r>
        <w:rPr>
          <w:b/>
          <w:i w:val="0"/>
        </w:rPr>
        <w:t>Latin:</w:t>
      </w:r>
      <w:r>
        <w:rPr>
          <w:b w:val="0"/>
          <w:i w:val="0"/>
        </w:rPr>
        <w:t xml:space="preserve"> </w:t>
      </w:r>
      <w:r>
        <w:rPr>
          <w:b w:val="0"/>
          <w:i/>
        </w:rPr>
        <w:t>somnus</w:t>
      </w:r>
      <w:r>
        <w:rPr>
          <w:b w:val="0"/>
          <w:i w:val="0"/>
        </w:rPr>
        <w:t xml:space="preserve">; </w:t>
      </w:r>
      <w:r>
        <w:rPr>
          <w:b w:val="0"/>
          <w:i/>
        </w:rPr>
        <w:t>dormire</w:t>
      </w:r>
      <w:r>
        <w:rPr>
          <w:b w:val="0"/>
          <w:i w:val="0"/>
        </w:rPr>
        <w:t xml:space="preserve">; </w:t>
      </w:r>
      <w:r>
        <w:rPr>
          <w:b w:val="0"/>
          <w:i/>
        </w:rPr>
        <w:t>vigilare</w:t>
      </w:r>
      <w:r>
        <w:rPr>
          <w:b w:val="0"/>
          <w:i w:val="0"/>
        </w:rPr>
        <w:t xml:space="preserve">; </w:t>
      </w:r>
      <w:r>
        <w:rPr>
          <w:b w:val="0"/>
          <w:i/>
        </w:rPr>
        <w:t>expergefieri</w:t>
      </w:r>
      <w:r>
        <w:rPr>
          <w:b w:val="0"/>
          <w:i w:val="0"/>
        </w:rPr>
        <w:t xml:space="preserve">; </w:t>
      </w:r>
      <w:r>
        <w:rPr>
          <w:b w:val="0"/>
          <w:i/>
        </w:rPr>
        <w:t>sopire</w:t>
      </w:r>
      <w:r>
        <w:rPr>
          <w:b w:val="0"/>
          <w:i w:val="0"/>
        </w:rPr>
        <w:t xml:space="preserve">; </w:t>
      </w:r>
      <w:r>
        <w:rPr>
          <w:b w:val="0"/>
          <w:i/>
        </w:rPr>
        <w:t>imago</w:t>
      </w:r>
      <w:r>
        <w:rPr>
          <w:b w:val="0"/>
          <w:i w:val="0"/>
        </w:rPr>
        <w:t xml:space="preserve">; </w:t>
      </w:r>
      <w:r>
        <w:rPr>
          <w:b w:val="0"/>
          <w:i/>
        </w:rPr>
        <w:t>verae rationes</w:t>
      </w:r>
      <w:r>
        <w:rPr>
          <w:b w:val="0"/>
          <w:i w:val="0"/>
        </w:rPr>
        <w:t xml:space="preserve">; </w:t>
      </w:r>
      <w:r>
        <w:rPr>
          <w:b w:val="0"/>
          <w:i/>
        </w:rPr>
        <w:t>praesentia</w:t>
      </w:r>
    </w:p>
    <w:p>
      <w:pPr>
        <w:keepNext/>
        <w:widowControl/>
      </w:pPr>
      <w:r>
        <w:rPr>
          <w:b/>
          <w:i w:val="0"/>
        </w:rPr>
        <w:t>The word.</w:t>
      </w:r>
    </w:p>
    <w:p>
      <w:pPr>
        <w:widowControl/>
      </w:pPr>
      <w:r>
        <w:rPr>
          <w:b w:val="0"/>
          <w:i w:val="0"/>
        </w:rPr>
        <w:t>Somnus is sleep; dormire sleeping; vigilare waking; expergefieri being awakened. Sopire lulls or puts to sleep. Images in dreams are distinguished from the truth of the intelligible reasoning that may occur within the dreamed setting.</w:t>
      </w:r>
    </w:p>
    <w:p>
      <w:pPr>
        <w:keepNext/>
        <w:widowControl/>
      </w:pPr>
      <w:r>
        <w:rPr>
          <w:b/>
          <w:i w:val="0"/>
        </w:rPr>
        <w:t>In the Platonic Theology.</w:t>
      </w:r>
    </w:p>
    <w:p>
      <w:pPr>
        <w:widowControl/>
      </w:pPr>
      <w:r>
        <w:rPr>
          <w:b w:val="0"/>
          <w:i w:val="0"/>
        </w:rPr>
        <w:t xml:space="preserve">V.15.23 raises involuntary sleep as a possible analogue for a deterioration of soul into body. Ficino answers that bodily slackening does not imply loss of the mind’s own power. What produces sleep acts in and upon the body, closing the bodily senses. The soul’s yielding </w:t>
      </w:r>
      <w:r>
        <w:t>“</w:t>
      </w:r>
      <w:r>
        <w:rPr>
          <w:b w:val="0"/>
          <w:i w:val="0"/>
        </w:rPr>
        <w:t>with will</w:t>
      </w:r>
      <w:r>
        <w:t>”</w:t>
      </w:r>
      <w:r>
        <w:rPr>
          <w:b w:val="0"/>
          <w:i w:val="0"/>
        </w:rPr>
        <w:t xml:space="preserve"> is connected to the change’s natural restorative purpose, even though sleep can overtake someone against an immediate wish.</w:t>
      </w:r>
    </w:p>
    <w:p>
      <w:pPr>
        <w:widowControl/>
      </w:pPr>
      <w:r>
        <w:rPr>
          <w:b w:val="0"/>
          <w:i w:val="0"/>
        </w:rPr>
        <w:t>V.15.24 then supplies a more discriminating dream example. A person may seem to debate and, by true reasoning, learn something. On waking, the mathematical or rational truth remains true even if the alleged place, interlocutor and spoken words were fictitious. The reality of the rational content is therefore separable from the sensory scene.</w:t>
      </w:r>
    </w:p>
    <w:p>
      <w:pPr>
        <w:widowControl/>
      </w:pPr>
      <w:r>
        <w:rPr>
          <w:b w:val="0"/>
          <w:i w:val="0"/>
        </w:rPr>
        <w:t>Ficino also notes the vivid likeness of sensible images during sleep: at the time they may be indistinguishable from their objects. This is not an endorsement of every dream as revelation. The point is that sensory seeming can be false while intelligible validity remains unchanged.</w:t>
      </w:r>
    </w:p>
    <w:p>
      <w:pPr>
        <w:widowControl/>
      </w:pPr>
      <w:r>
        <w:rPr>
          <w:b w:val="0"/>
          <w:i w:val="0"/>
        </w:rPr>
        <w:t>The conclusion concerns the soul’s power as distinguished from the bodily life and organs serving its operations. It does not establish a modern sleep physiology or justify ignoring medical effects of sleep deprivation.</w:t>
      </w:r>
    </w:p>
    <w:p>
      <w:pPr>
        <w:keepNext/>
        <w:widowControl/>
      </w:pPr>
      <w:r>
        <w:rPr>
          <w:b/>
          <w:i w:val="0"/>
        </w:rPr>
        <w:t>Places to Read.</w:t>
      </w:r>
    </w:p>
    <w:p>
      <w:pPr>
        <w:ind w:left="187" w:hanging="187"/>
      </w:pPr>
      <w:r>
        <w:t xml:space="preserve">• </w:t>
      </w:r>
      <w:r>
        <w:rPr>
          <w:b/>
          <w:i w:val="0"/>
        </w:rPr>
        <w:t>V.15.23, PDF 120–121.</w:t>
      </w:r>
      <w:r>
        <w:rPr>
          <w:b w:val="0"/>
          <w:i w:val="0"/>
        </w:rPr>
        <w:t xml:space="preserve"> Involuntary sleep is proposed and rejected as a model of ontological degradation.</w:t>
      </w:r>
    </w:p>
    <w:p>
      <w:pPr>
        <w:ind w:left="187" w:hanging="187"/>
      </w:pPr>
      <w:r>
        <w:t xml:space="preserve">• </w:t>
      </w:r>
      <w:r>
        <w:rPr>
          <w:b/>
          <w:i w:val="0"/>
        </w:rPr>
        <w:t>V.15.24, PDF 120–121.</w:t>
      </w:r>
      <w:r>
        <w:rPr>
          <w:b w:val="0"/>
          <w:i w:val="0"/>
        </w:rPr>
        <w:t xml:space="preserve"> A dreamed argument distinguishes stable truth from false setting, person and words.</w:t>
      </w:r>
    </w:p>
    <w:p>
      <w:pPr>
        <w:keepNext/>
        <w:widowControl/>
      </w:pPr>
      <w:r>
        <w:rPr>
          <w:b/>
          <w:i w:val="0"/>
        </w:rPr>
        <w:t>In this edition.</w:t>
      </w:r>
    </w:p>
    <w:p>
      <w:pPr>
        <w:widowControl/>
      </w:pPr>
      <w:r>
        <w:rPr>
          <w:b w:val="0"/>
          <w:i w:val="0"/>
        </w:rPr>
        <w:t>The edition retains both the involuntary opening and the later willingness, instead of hiding their difference. Praesentia at the close is lasting presence, contrasted with passing sensory events, not merely an unusually long duration.</w:t>
      </w:r>
    </w:p>
    <w:p>
      <w:pPr>
        <w:keepNext/>
        <w:widowControl/>
      </w:pPr>
      <w:r>
        <w:rPr>
          <w:b/>
          <w:i w:val="0"/>
        </w:rPr>
        <w:t>See also.</w:t>
      </w:r>
    </w:p>
    <w:p>
      <w:pPr>
        <w:widowControl/>
      </w:pPr>
      <w:hyperlink w:anchor="time-memory-and-expectation">
        <w:r>
          <w:rPr>
            <w:color w:val="000000"/>
          </w:rPr>
          <w:t xml:space="preserve">Time, memory and expectation</w:t>
        </w:r>
      </w:hyperlink>
      <w:r>
        <w:rPr>
          <w:b w:val="0"/>
          <w:i w:val="0"/>
        </w:rPr>
        <w:t xml:space="preserve">; </w:t>
      </w:r>
      <w:hyperlink w:anchor="intelligible-principles-and-reasoning">
        <w:r>
          <w:rPr>
            <w:color w:val="000000"/>
          </w:rPr>
          <w:t xml:space="preserve">Intelligible principles and reasoning</w:t>
        </w:r>
      </w:hyperlink>
      <w:r>
        <w:rPr>
          <w:b w:val="0"/>
          <w:i w:val="0"/>
        </w:rPr>
        <w:t xml:space="preserve">; </w:t>
      </w:r>
      <w:hyperlink w:anchor="conversion-desire-and-compulsion">
        <w:r>
          <w:rPr>
            <w:color w:val="000000"/>
          </w:rPr>
          <w:t xml:space="preserve">Conversion, desire and compulsion</w:t>
        </w:r>
      </w:hyperlink>
    </w:p>
    <w:p>
      <w:pPr>
        <w:pStyle w:val="Heading2"/>
      </w:pPr>
      <w:bookmarkStart w:id="213" w:name="vii-soul-body-craftsman"/>
      <w:r>
        <w:rPr>
          <w:b w:val="0"/>
          <w:i w:val="0"/>
        </w:rPr>
        <w:t>Soul as the body’s craftsman</w:t>
      </w:r>
      <w:bookmarkEnd w:id="213"/>
    </w:p>
    <w:p>
      <w:pPr>
        <w:keepNext/>
        <w:widowControl/>
      </w:pPr>
      <w:r>
        <w:rPr>
          <w:b/>
          <w:i w:val="0"/>
        </w:rPr>
        <w:t>Latin:</w:t>
      </w:r>
      <w:r>
        <w:rPr>
          <w:b w:val="0"/>
          <w:i w:val="0"/>
        </w:rPr>
        <w:t xml:space="preserve"> </w:t>
      </w:r>
      <w:r>
        <w:rPr>
          <w:b w:val="0"/>
          <w:i/>
        </w:rPr>
        <w:t>artifex</w:t>
      </w:r>
      <w:r>
        <w:rPr>
          <w:b w:val="0"/>
          <w:i w:val="0"/>
        </w:rPr>
        <w:t xml:space="preserve">; </w:t>
      </w:r>
      <w:r>
        <w:rPr>
          <w:b w:val="0"/>
          <w:i/>
        </w:rPr>
        <w:t>fabricare</w:t>
      </w:r>
      <w:r>
        <w:rPr>
          <w:b w:val="0"/>
          <w:i w:val="0"/>
        </w:rPr>
        <w:t xml:space="preserve">; </w:t>
      </w:r>
      <w:r>
        <w:rPr>
          <w:b w:val="0"/>
          <w:i/>
        </w:rPr>
        <w:t>servare</w:t>
      </w:r>
      <w:r>
        <w:rPr>
          <w:b w:val="0"/>
          <w:i w:val="0"/>
        </w:rPr>
        <w:t xml:space="preserve">; </w:t>
      </w:r>
      <w:r>
        <w:rPr>
          <w:b w:val="0"/>
          <w:i/>
        </w:rPr>
        <w:t>reficere</w:t>
      </w:r>
      <w:r>
        <w:rPr>
          <w:b w:val="0"/>
          <w:i w:val="0"/>
        </w:rPr>
        <w:t xml:space="preserve">; </w:t>
      </w:r>
      <w:r>
        <w:rPr>
          <w:b w:val="0"/>
          <w:i/>
        </w:rPr>
        <w:t>connectere</w:t>
      </w:r>
      <w:r>
        <w:rPr>
          <w:b w:val="0"/>
          <w:i w:val="0"/>
        </w:rPr>
        <w:t xml:space="preserve">; </w:t>
      </w:r>
      <w:r>
        <w:rPr>
          <w:b w:val="0"/>
          <w:i/>
        </w:rPr>
        <w:t>pedissequa</w:t>
      </w:r>
      <w:r>
        <w:rPr>
          <w:b w:val="0"/>
          <w:i w:val="0"/>
        </w:rPr>
        <w:t xml:space="preserve">; </w:t>
      </w:r>
      <w:r>
        <w:rPr>
          <w:b w:val="0"/>
          <w:i/>
        </w:rPr>
        <w:t>species</w:t>
      </w:r>
      <w:r>
        <w:rPr>
          <w:b w:val="0"/>
          <w:i w:val="0"/>
        </w:rPr>
        <w:t xml:space="preserve">; </w:t>
      </w:r>
      <w:r>
        <w:rPr>
          <w:b w:val="0"/>
          <w:i/>
        </w:rPr>
        <w:t>genus</w:t>
      </w:r>
    </w:p>
    <w:p>
      <w:pPr>
        <w:keepNext/>
        <w:widowControl/>
      </w:pPr>
      <w:r>
        <w:rPr>
          <w:b/>
          <w:i w:val="0"/>
        </w:rPr>
        <w:t>The word.</w:t>
      </w:r>
    </w:p>
    <w:p>
      <w:pPr>
        <w:widowControl/>
      </w:pPr>
      <w:r>
        <w:rPr>
          <w:b w:val="0"/>
          <w:i w:val="0"/>
        </w:rPr>
        <w:t xml:space="preserve">An </w:t>
      </w:r>
      <w:r>
        <w:rPr>
          <w:b w:val="0"/>
          <w:i/>
        </w:rPr>
        <w:t>artifex</w:t>
      </w:r>
      <w:r>
        <w:rPr>
          <w:b w:val="0"/>
          <w:i w:val="0"/>
        </w:rPr>
        <w:t xml:space="preserve"> is a skilled maker; a </w:t>
      </w:r>
      <w:r>
        <w:rPr>
          <w:b w:val="0"/>
          <w:i/>
        </w:rPr>
        <w:t>pedissequa</w:t>
      </w:r>
      <w:r>
        <w:rPr>
          <w:b w:val="0"/>
          <w:i w:val="0"/>
        </w:rPr>
        <w:t xml:space="preserve"> is an attendant or handmaid. The contrast ranks causal roles. </w:t>
      </w:r>
      <w:r>
        <w:rPr>
          <w:b w:val="0"/>
          <w:i/>
        </w:rPr>
        <w:t>Fabricare</w:t>
      </w:r>
      <w:r>
        <w:rPr>
          <w:b w:val="0"/>
          <w:i w:val="0"/>
        </w:rPr>
        <w:t xml:space="preserve">, </w:t>
      </w:r>
      <w:r>
        <w:rPr>
          <w:b w:val="0"/>
          <w:i/>
        </w:rPr>
        <w:t>servare</w:t>
      </w:r>
      <w:r>
        <w:rPr>
          <w:b w:val="0"/>
          <w:i w:val="0"/>
        </w:rPr>
        <w:t xml:space="preserve"> and </w:t>
      </w:r>
      <w:r>
        <w:rPr>
          <w:b w:val="0"/>
          <w:i/>
        </w:rPr>
        <w:t>reficere</w:t>
      </w:r>
      <w:r>
        <w:rPr>
          <w:b w:val="0"/>
          <w:i w:val="0"/>
        </w:rPr>
        <w:t xml:space="preserve"> distinguish making, preserving and repairing, rather than treating animation as a single initial event.</w:t>
      </w:r>
    </w:p>
    <w:p>
      <w:pPr>
        <w:keepNext/>
        <w:widowControl/>
      </w:pPr>
      <w:r>
        <w:rPr>
          <w:b/>
          <w:i w:val="0"/>
        </w:rPr>
        <w:t>In the Platonic Theology.</w:t>
      </w:r>
    </w:p>
    <w:p>
      <w:pPr>
        <w:widowControl/>
      </w:pPr>
      <w:r>
        <w:rPr>
          <w:b w:val="0"/>
          <w:i w:val="0"/>
        </w:rPr>
        <w:t>Soul gives the living being its determinate substantial kind: this animal is dog, that horse, another human. An accident arrives in a subject already complete in its species; soul instead makes its own body, maintains what it has made, restores it when it fails, and joins conflicting elements. On departure of soul the bodily organization collapses and its previous constitution and kind are not maintained. Ficino presents these functions as evidence of substantial rather than accidental status.</w:t>
      </w:r>
    </w:p>
    <w:p>
      <w:pPr>
        <w:widowControl/>
      </w:pPr>
      <w:r>
        <w:rPr>
          <w:b w:val="0"/>
          <w:i w:val="0"/>
        </w:rPr>
        <w:t>A possible escape makes a merely nutritive soul build the body and a sensitive soul arrive later as an accident. Ficino rejects the division of labor. The body appropriate to sensation must already possess organs for sensing and locomotion, not only nourishment. There cannot be two souls in the one body, with one making instruments for the other. The soul that nourishes is the soul that senses.</w:t>
      </w:r>
    </w:p>
    <w:p>
      <w:pPr>
        <w:widowControl/>
      </w:pPr>
      <w:r>
        <w:rPr>
          <w:b w:val="0"/>
          <w:i w:val="0"/>
        </w:rPr>
        <w:t>The interaction of imagination and nourishment makes this unity visible in the argument: sorrow weakens the nutritive work, joy strengthens it. This is a historical psychophysiological observation used to support one soul with multiple offices; the text does not supply a modern medical rule or claim that every illness is caused by emotion. The concluding craftsman–handmaid contrast summarizes the soul’s productive priority. It complements the preceding account of heat as an instrument without turning the body into an inert object with no contributory powers.</w:t>
      </w:r>
    </w:p>
    <w:p>
      <w:pPr>
        <w:keepNext/>
        <w:widowControl/>
      </w:pPr>
      <w:r>
        <w:rPr>
          <w:b/>
          <w:i w:val="0"/>
        </w:rPr>
        <w:t>Places to Read.</w:t>
      </w:r>
    </w:p>
    <w:p>
      <w:pPr>
        <w:ind w:left="187" w:hanging="187"/>
      </w:pPr>
      <w:r>
        <w:t xml:space="preserve">• </w:t>
      </w:r>
      <w:r>
        <w:rPr>
          <w:b/>
          <w:i w:val="0"/>
        </w:rPr>
        <w:t>VII.8.1, PDF 264–265</w:t>
      </w:r>
      <w:r>
        <w:rPr>
          <w:b w:val="0"/>
          <w:i w:val="0"/>
        </w:rPr>
        <w:t>. The principal craftsman determines organic growth through instrumental heat.</w:t>
      </w:r>
    </w:p>
    <w:p>
      <w:pPr>
        <w:ind w:left="187" w:hanging="187"/>
      </w:pPr>
      <w:r>
        <w:t xml:space="preserve">• </w:t>
      </w:r>
      <w:r>
        <w:rPr>
          <w:b/>
          <w:i w:val="0"/>
        </w:rPr>
        <w:t>VII.9.2, PDF 268–269</w:t>
      </w:r>
      <w:r>
        <w:rPr>
          <w:b w:val="0"/>
          <w:i w:val="0"/>
        </w:rPr>
        <w:t>. Species, fabrication, maintenance, organ-making and affective interaction establish the soul’s substantial role.</w:t>
      </w:r>
    </w:p>
    <w:p>
      <w:pPr>
        <w:keepNext/>
        <w:widowControl/>
      </w:pPr>
      <w:r>
        <w:rPr>
          <w:b/>
          <w:i w:val="0"/>
        </w:rPr>
        <w:t>In this edition.</w:t>
      </w:r>
    </w:p>
    <w:p>
      <w:pPr>
        <w:widowControl/>
      </w:pPr>
      <w:r>
        <w:rPr>
          <w:b w:val="0"/>
          <w:i w:val="0"/>
        </w:rPr>
        <w:t xml:space="preserve">The translation retains </w:t>
      </w:r>
      <w:r>
        <w:t>“</w:t>
      </w:r>
      <w:r>
        <w:rPr>
          <w:b w:val="0"/>
          <w:i w:val="0"/>
        </w:rPr>
        <w:t>craftsman</w:t>
      </w:r>
      <w:r>
        <w:t>”</w:t>
      </w:r>
      <w:r>
        <w:rPr>
          <w:b w:val="0"/>
          <w:i w:val="0"/>
        </w:rPr>
        <w:t xml:space="preserve"> and </w:t>
      </w:r>
      <w:r>
        <w:t>“</w:t>
      </w:r>
      <w:r>
        <w:rPr>
          <w:b w:val="0"/>
          <w:i w:val="0"/>
        </w:rPr>
        <w:t>handmaid</w:t>
      </w:r>
      <w:r>
        <w:t>”</w:t>
      </w:r>
      <w:r>
        <w:rPr>
          <w:b w:val="0"/>
          <w:i w:val="0"/>
        </w:rPr>
        <w:t xml:space="preserve"> to preserve the force of </w:t>
      </w:r>
      <w:r>
        <w:rPr>
          <w:b w:val="0"/>
          <w:i/>
        </w:rPr>
        <w:t>artifex</w:t>
      </w:r>
      <w:r>
        <w:rPr>
          <w:b w:val="0"/>
          <w:i w:val="0"/>
        </w:rPr>
        <w:t xml:space="preserve"> and </w:t>
      </w:r>
      <w:r>
        <w:rPr>
          <w:b w:val="0"/>
          <w:i/>
        </w:rPr>
        <w:t>pedissequa</w:t>
      </w:r>
      <w:r>
        <w:rPr>
          <w:b w:val="0"/>
          <w:i w:val="0"/>
        </w:rPr>
        <w:t xml:space="preserve">. </w:t>
      </w:r>
      <w:r>
        <w:t>“</w:t>
      </w:r>
      <w:r>
        <w:rPr>
          <w:b w:val="0"/>
          <w:i w:val="0"/>
        </w:rPr>
        <w:t>The soul which is solely nutritive</w:t>
      </w:r>
      <w:r>
        <w:t>”</w:t>
      </w:r>
      <w:r>
        <w:rPr>
          <w:b w:val="0"/>
          <w:i w:val="0"/>
        </w:rPr>
        <w:t xml:space="preserve"> belongs to the proposed two-soul explanation; it should not be printed as Ficino’s accepted division within the same animal.</w:t>
      </w:r>
    </w:p>
    <w:p>
      <w:pPr>
        <w:keepNext/>
        <w:widowControl/>
      </w:pPr>
      <w:r>
        <w:rPr>
          <w:b/>
          <w:i w:val="0"/>
        </w:rPr>
        <w:t>See also.</w:t>
      </w:r>
    </w:p>
    <w:p>
      <w:pPr>
        <w:widowControl/>
      </w:pPr>
      <w:hyperlink w:anchor="vii-nutrition-principal-agent">
        <w:r>
          <w:rPr>
            <w:color w:val="000000"/>
          </w:rPr>
          <w:t xml:space="preserve">Nutrition, growth and the principal agent</w:t>
        </w:r>
      </w:hyperlink>
      <w:r>
        <w:rPr>
          <w:b w:val="0"/>
          <w:i w:val="0"/>
        </w:rPr>
        <w:t xml:space="preserve">; </w:t>
      </w:r>
      <w:hyperlink w:anchor="vii-substance-degrees">
        <w:r>
          <w:rPr>
            <w:color w:val="000000"/>
          </w:rPr>
          <w:t xml:space="preserve">Substance, qualities and degrees</w:t>
        </w:r>
      </w:hyperlink>
      <w:r>
        <w:rPr>
          <w:b w:val="0"/>
          <w:i w:val="0"/>
        </w:rPr>
        <w:t xml:space="preserve">; </w:t>
      </w:r>
      <w:hyperlink w:anchor="vii-composition-unity">
        <w:r>
          <w:rPr>
            <w:color w:val="000000"/>
          </w:rPr>
          <w:t xml:space="preserve">Composition and inward unity</w:t>
        </w:r>
      </w:hyperlink>
    </w:p>
    <w:p>
      <w:pPr>
        <w:pStyle w:val="Heading2"/>
      </w:pPr>
      <w:bookmarkStart w:id="214" w:name="soul-as-universal-bond"/>
      <w:r>
        <w:rPr>
          <w:b w:val="0"/>
          <w:i w:val="0"/>
        </w:rPr>
        <w:t>Soul as universal bond</w:t>
      </w:r>
      <w:bookmarkEnd w:id="214"/>
    </w:p>
    <w:p>
      <w:pPr>
        <w:keepNext/>
        <w:widowControl/>
      </w:pPr>
      <w:r>
        <w:rPr>
          <w:b/>
          <w:i w:val="0"/>
        </w:rPr>
        <w:t>Latin:</w:t>
      </w:r>
      <w:r>
        <w:rPr>
          <w:b w:val="0"/>
          <w:i w:val="0"/>
        </w:rPr>
        <w:t xml:space="preserve"> </w:t>
      </w:r>
      <w:r>
        <w:rPr>
          <w:b w:val="0"/>
          <w:i/>
        </w:rPr>
        <w:t>mundi nodus</w:t>
      </w:r>
      <w:r>
        <w:rPr>
          <w:b w:val="0"/>
          <w:i w:val="0"/>
        </w:rPr>
        <w:t xml:space="preserve">; </w:t>
      </w:r>
      <w:r>
        <w:rPr>
          <w:b w:val="0"/>
          <w:i/>
        </w:rPr>
        <w:t>vinculum</w:t>
      </w:r>
      <w:r>
        <w:rPr>
          <w:b w:val="0"/>
          <w:i w:val="0"/>
        </w:rPr>
        <w:t xml:space="preserve">; </w:t>
      </w:r>
      <w:r>
        <w:rPr>
          <w:b w:val="0"/>
          <w:i/>
        </w:rPr>
        <w:t>conciliare</w:t>
      </w:r>
      <w:r>
        <w:rPr>
          <w:b w:val="0"/>
          <w:i w:val="0"/>
        </w:rPr>
        <w:t xml:space="preserve">; </w:t>
      </w:r>
      <w:r>
        <w:rPr>
          <w:b w:val="0"/>
          <w:i/>
        </w:rPr>
        <w:t>connectere</w:t>
      </w:r>
      <w:r>
        <w:rPr>
          <w:b w:val="0"/>
          <w:i w:val="0"/>
        </w:rPr>
        <w:t xml:space="preserve">; </w:t>
      </w:r>
      <w:r>
        <w:rPr>
          <w:b w:val="0"/>
          <w:i/>
        </w:rPr>
        <w:t>continere</w:t>
      </w:r>
      <w:r>
        <w:rPr>
          <w:b w:val="0"/>
          <w:i w:val="0"/>
        </w:rPr>
        <w:t xml:space="preserve">; </w:t>
      </w:r>
      <w:r>
        <w:rPr>
          <w:b w:val="0"/>
          <w:i/>
        </w:rPr>
        <w:t>machina</w:t>
      </w:r>
      <w:r>
        <w:rPr>
          <w:b w:val="0"/>
          <w:i w:val="0"/>
        </w:rPr>
        <w:t xml:space="preserve">; </w:t>
      </w:r>
      <w:r>
        <w:rPr>
          <w:b w:val="0"/>
          <w:i/>
        </w:rPr>
        <w:t>dos</w:t>
      </w:r>
      <w:r>
        <w:rPr>
          <w:b w:val="0"/>
          <w:i w:val="0"/>
        </w:rPr>
        <w:t xml:space="preserve">; </w:t>
      </w:r>
      <w:r>
        <w:rPr>
          <w:b w:val="0"/>
          <w:i/>
        </w:rPr>
        <w:t>caput</w:t>
      </w:r>
      <w:r>
        <w:rPr>
          <w:b w:val="0"/>
          <w:i w:val="0"/>
        </w:rPr>
        <w:t xml:space="preserve">; </w:t>
      </w:r>
      <w:r>
        <w:rPr>
          <w:b w:val="0"/>
          <w:i/>
        </w:rPr>
        <w:t>membra</w:t>
      </w:r>
    </w:p>
    <w:p>
      <w:pPr>
        <w:keepNext/>
        <w:widowControl/>
      </w:pPr>
      <w:r>
        <w:rPr>
          <w:b/>
          <w:i w:val="0"/>
        </w:rPr>
        <w:t>The word.</w:t>
      </w:r>
    </w:p>
    <w:p>
      <w:pPr>
        <w:widowControl/>
      </w:pPr>
      <w:r>
        <w:rPr>
          <w:b w:val="0"/>
          <w:i w:val="0"/>
        </w:rPr>
        <w:t>Nodus is a knot and vinculum a bond; connectere joins, conciliare brings into accord and continere holds together. Machina is the world’s constructed fabric. Dos names an endowment or gift, while head and members picture ranked organization.</w:t>
      </w:r>
    </w:p>
    <w:p>
      <w:pPr>
        <w:keepNext/>
        <w:widowControl/>
      </w:pPr>
      <w:r>
        <w:rPr>
          <w:b/>
          <w:i w:val="0"/>
        </w:rPr>
        <w:t>In the Platonic Theology.</w:t>
      </w:r>
    </w:p>
    <w:p>
      <w:pPr>
        <w:widowControl/>
      </w:pPr>
      <w:r>
        <w:rPr>
          <w:b w:val="0"/>
          <w:i w:val="0"/>
        </w:rPr>
        <w:t>V.5.7 argues that a soul wholly submerged in matter could not connect the lowest to the highest. Its middle position therefore requires both access to divine things and agency toward bodies. It is an explanatory middle rather than a spatial midpoint.</w:t>
      </w:r>
    </w:p>
    <w:p>
      <w:pPr>
        <w:widowControl/>
      </w:pPr>
      <w:r>
        <w:rPr>
          <w:b w:val="0"/>
          <w:i w:val="0"/>
        </w:rPr>
        <w:t>V.15.2 names three endowments of this position: divine images shine in soul, soul forms and contains the bodily fabric, and soul reconciles divine and bodily levels. V.15.3–4 derives immortality from each. Images in soul outrank the everlasting shadows assumed in some bodies; the forming and containing source must preserve its own form and constancy; the source of universal binding cannot itself dissolve without undermining what it binds.</w:t>
      </w:r>
    </w:p>
    <w:p>
      <w:pPr>
        <w:widowControl/>
      </w:pPr>
      <w:r>
        <w:rPr>
          <w:b w:val="0"/>
          <w:i w:val="0"/>
        </w:rPr>
        <w:t>Head and members give the second argument an additional picture. If the bodily world has perpetual members, the superior order of souls must have a perpetual head comprising rational souls. Ficino calls part of this inference probable, so it should not be restated as a self-evident axiom.</w:t>
      </w:r>
    </w:p>
    <w:p>
      <w:pPr>
        <w:widowControl/>
      </w:pPr>
      <w:r>
        <w:rPr>
          <w:b w:val="0"/>
          <w:i w:val="0"/>
        </w:rPr>
        <w:t>V.15.25–27 finally makes mediation a defense against soul’s conversion into body. Body receives form through soul only while soul remains itself. A supposed conversion that removed soul’s form would destroy the very means by which the resulting body was to receive form. The bond must retain its characteristic rank to perform its work.</w:t>
      </w:r>
    </w:p>
    <w:p>
      <w:pPr>
        <w:widowControl/>
      </w:pPr>
      <w:r>
        <w:rPr>
          <w:b w:val="0"/>
          <w:i w:val="0"/>
        </w:rPr>
        <w:t>The chapter’s opening a fortiori step is narrower than a complete proof of personal identity. V.15.1 says that a body, however altered or repeatedly divided, remains body: divisible bodily nature persists through the subdivisions. A superior rational life should therefore not cease to be life through change. This does not mean the same individual body never perishes; the persistence claimed is first at the level of bodily nature. Ficino develops the stronger conclusion through the three gifts and, later, by excluding a soul’s movement between species or individual minds. V.15.6 expressly says soul does not pass from species to species as body can, because its relation to change is more stable and it lacks underlying material for such a transmutation. Those additional premises prevent an unnoticed inference from generic bodily persistence directly to personal immortality.</w:t>
      </w:r>
    </w:p>
    <w:p>
      <w:pPr>
        <w:keepNext/>
        <w:widowControl/>
      </w:pPr>
      <w:r>
        <w:rPr>
          <w:b/>
          <w:i w:val="0"/>
        </w:rPr>
        <w:t>Places to Read.</w:t>
      </w:r>
    </w:p>
    <w:p>
      <w:pPr>
        <w:ind w:left="187" w:hanging="187"/>
      </w:pPr>
      <w:r>
        <w:t xml:space="preserve">• </w:t>
      </w:r>
      <w:r>
        <w:rPr>
          <w:b/>
          <w:i w:val="0"/>
        </w:rPr>
        <w:t>V.5.7, PDF 30–31.</w:t>
      </w:r>
      <w:r>
        <w:rPr>
          <w:b w:val="0"/>
          <w:i w:val="0"/>
        </w:rPr>
        <w:t xml:space="preserve"> The world-knot requires access beyond matter.</w:t>
      </w:r>
    </w:p>
    <w:p>
      <w:pPr>
        <w:ind w:left="187" w:hanging="187"/>
      </w:pPr>
      <w:r>
        <w:t xml:space="preserve">• </w:t>
      </w:r>
      <w:r>
        <w:rPr>
          <w:b/>
          <w:i w:val="0"/>
        </w:rPr>
        <w:t>V.15.1, PDF 104–105.</w:t>
      </w:r>
      <w:r>
        <w:rPr>
          <w:b w:val="0"/>
          <w:i w:val="0"/>
        </w:rPr>
        <w:t xml:space="preserve"> The initial a-fortiori comparison concerns body persisting as body, not an imperishable individual organism.</w:t>
      </w:r>
    </w:p>
    <w:p>
      <w:pPr>
        <w:ind w:left="187" w:hanging="187"/>
      </w:pPr>
      <w:r>
        <w:t xml:space="preserve">• </w:t>
      </w:r>
      <w:r>
        <w:rPr>
          <w:b/>
          <w:i w:val="0"/>
        </w:rPr>
        <w:t>V.15.2, V.15.3, V.15.4, PDF 104–107.</w:t>
      </w:r>
      <w:r>
        <w:rPr>
          <w:b w:val="0"/>
          <w:i w:val="0"/>
        </w:rPr>
        <w:t xml:space="preserve"> The three gifts support distinct arguments, including head/members and bond/unbinding.</w:t>
      </w:r>
    </w:p>
    <w:p>
      <w:pPr>
        <w:ind w:left="187" w:hanging="187"/>
      </w:pPr>
      <w:r>
        <w:t xml:space="preserve">• </w:t>
      </w:r>
      <w:r>
        <w:rPr>
          <w:b/>
          <w:i w:val="0"/>
        </w:rPr>
        <w:t>V.15.25, V.15.26, V.15.27, PDF 122–125.</w:t>
      </w:r>
      <w:r>
        <w:rPr>
          <w:b w:val="0"/>
          <w:i w:val="0"/>
        </w:rPr>
        <w:t xml:space="preserve"> The final mediation proof requires the giver’s continuing identity.</w:t>
      </w:r>
    </w:p>
    <w:p>
      <w:pPr>
        <w:keepNext/>
        <w:widowControl/>
      </w:pPr>
      <w:r>
        <w:rPr>
          <w:b/>
          <w:i w:val="0"/>
        </w:rPr>
        <w:t>In this edition.</w:t>
      </w:r>
    </w:p>
    <w:p>
      <w:pPr>
        <w:widowControl/>
      </w:pPr>
      <w:r>
        <w:rPr>
          <w:b w:val="0"/>
          <w:i w:val="0"/>
        </w:rPr>
        <w:t>Probabile est in V.15.4 signals Ficino’s local assessment, not a probability calculated from data. Machina and sedes are metaphors of fabric and dwelling, not claims that immaterial essence has a physical address.</w:t>
      </w:r>
    </w:p>
    <w:p>
      <w:pPr>
        <w:keepNext/>
        <w:widowControl/>
      </w:pPr>
      <w:r>
        <w:rPr>
          <w:b/>
          <w:i w:val="0"/>
        </w:rPr>
        <w:t>See also.</w:t>
      </w:r>
    </w:p>
    <w:p>
      <w:pPr>
        <w:widowControl/>
      </w:pPr>
      <w:hyperlink w:anchor="inclination-and-independence">
        <w:r>
          <w:rPr>
            <w:color w:val="000000"/>
          </w:rPr>
          <w:t xml:space="preserve">Inclination and independence</w:t>
        </w:r>
      </w:hyperlink>
      <w:r>
        <w:rPr>
          <w:b w:val="0"/>
          <w:i w:val="0"/>
        </w:rPr>
        <w:t xml:space="preserve">; </w:t>
      </w:r>
      <w:hyperlink w:anchor="image-shadow-and-ranked-truth">
        <w:r>
          <w:rPr>
            <w:color w:val="000000"/>
          </w:rPr>
          <w:t xml:space="preserve">Image, shadow and ranked truth</w:t>
        </w:r>
      </w:hyperlink>
      <w:r>
        <w:rPr>
          <w:b w:val="0"/>
          <w:i w:val="0"/>
        </w:rPr>
        <w:t xml:space="preserve">; </w:t>
      </w:r>
      <w:hyperlink w:anchor="transmission-of-form-and-natural-order">
        <w:r>
          <w:rPr>
            <w:color w:val="000000"/>
          </w:rPr>
          <w:t xml:space="preserve">Transmission of form and natural order</w:t>
        </w:r>
      </w:hyperlink>
    </w:p>
    <w:p>
      <w:pPr>
        <w:pStyle w:val="Heading2"/>
      </w:pPr>
      <w:bookmarkStart w:id="215" w:name="spark-globe-and-luminous-vehicles"/>
      <w:r>
        <w:rPr>
          <w:b w:val="0"/>
          <w:i w:val="0"/>
        </w:rPr>
        <w:t>Spark, globe and luminous vehicles</w:t>
      </w:r>
      <w:bookmarkEnd w:id="215"/>
    </w:p>
    <w:p>
      <w:pPr>
        <w:keepNext/>
        <w:widowControl/>
      </w:pPr>
      <w:r>
        <w:rPr>
          <w:b/>
          <w:i w:val="0"/>
        </w:rPr>
        <w:t>Latin:</w:t>
      </w:r>
      <w:r>
        <w:rPr>
          <w:b w:val="0"/>
          <w:i w:val="0"/>
        </w:rPr>
        <w:t xml:space="preserve"> </w:t>
      </w:r>
      <w:r>
        <w:rPr>
          <w:b w:val="0"/>
          <w:i/>
        </w:rPr>
        <w:t>scintilla</w:t>
      </w:r>
      <w:r>
        <w:rPr>
          <w:b w:val="0"/>
          <w:i w:val="0"/>
        </w:rPr>
        <w:t xml:space="preserve">; </w:t>
      </w:r>
      <w:r>
        <w:rPr>
          <w:b w:val="0"/>
          <w:i/>
        </w:rPr>
        <w:t>flamma</w:t>
      </w:r>
      <w:r>
        <w:rPr>
          <w:b w:val="0"/>
          <w:i w:val="0"/>
        </w:rPr>
        <w:t xml:space="preserve">; </w:t>
      </w:r>
      <w:r>
        <w:rPr>
          <w:b w:val="0"/>
          <w:i/>
        </w:rPr>
        <w:t>orbis</w:t>
      </w:r>
      <w:r>
        <w:rPr>
          <w:b w:val="0"/>
          <w:i w:val="0"/>
        </w:rPr>
        <w:t xml:space="preserve">; </w:t>
      </w:r>
      <w:r>
        <w:rPr>
          <w:b w:val="0"/>
          <w:i/>
        </w:rPr>
        <w:t>evolvere</w:t>
      </w:r>
      <w:r>
        <w:rPr>
          <w:b w:val="0"/>
          <w:i w:val="0"/>
        </w:rPr>
        <w:t xml:space="preserve">; </w:t>
      </w:r>
      <w:r>
        <w:rPr>
          <w:b w:val="0"/>
          <w:i/>
        </w:rPr>
        <w:t>convolvere</w:t>
      </w:r>
      <w:r>
        <w:rPr>
          <w:b w:val="0"/>
          <w:i w:val="0"/>
        </w:rPr>
        <w:t xml:space="preserve">; </w:t>
      </w:r>
      <w:r>
        <w:rPr>
          <w:b w:val="0"/>
          <w:i/>
        </w:rPr>
        <w:t>implicare</w:t>
      </w:r>
      <w:r>
        <w:rPr>
          <w:b w:val="0"/>
          <w:i w:val="0"/>
        </w:rPr>
        <w:t xml:space="preserve">; </w:t>
      </w:r>
      <w:r>
        <w:rPr>
          <w:b w:val="0"/>
          <w:i/>
        </w:rPr>
        <w:t>explicare</w:t>
      </w:r>
      <w:r>
        <w:rPr>
          <w:b w:val="0"/>
          <w:i w:val="0"/>
        </w:rPr>
        <w:t xml:space="preserve">; </w:t>
      </w:r>
      <w:r>
        <w:rPr>
          <w:b w:val="0"/>
          <w:i/>
        </w:rPr>
        <w:t>corpus aethereum</w:t>
      </w:r>
    </w:p>
    <w:p>
      <w:pPr>
        <w:keepNext/>
        <w:widowControl/>
      </w:pPr>
      <w:r>
        <w:rPr>
          <w:b/>
          <w:i w:val="0"/>
        </w:rPr>
        <w:t>The word.</w:t>
      </w:r>
    </w:p>
    <w:p>
      <w:pPr>
        <w:widowControl/>
      </w:pPr>
      <w:r>
        <w:rPr>
          <w:b w:val="0"/>
          <w:i w:val="0"/>
        </w:rPr>
        <w:t>Scintilla is spark, flamma flame and orbis a circular figure or orb. The paired verbs unfold and enfold a relation between concentrated source and extended manifestation. Corpus aethereum remains an ethereal body; luminous subtlety does not remove its corporeality.</w:t>
      </w:r>
    </w:p>
    <w:p>
      <w:pPr>
        <w:keepNext/>
        <w:widowControl/>
      </w:pPr>
      <w:r>
        <w:rPr>
          <w:b/>
          <w:i w:val="0"/>
        </w:rPr>
        <w:t>In the Platonic Theology.</w:t>
      </w:r>
    </w:p>
    <w:p>
      <w:pPr>
        <w:widowControl/>
      </w:pPr>
      <w:r>
        <w:rPr>
          <w:b w:val="0"/>
          <w:i w:val="0"/>
        </w:rPr>
        <w:t xml:space="preserve">The analogy between lowest fire and highest air prepares the claim that rational soul is </w:t>
      </w:r>
      <w:r>
        <w:t>“</w:t>
      </w:r>
      <w:r>
        <w:rPr>
          <w:b w:val="0"/>
          <w:i w:val="0"/>
        </w:rPr>
        <w:t>in a certain way</w:t>
      </w:r>
      <w:r>
        <w:t>”</w:t>
      </w:r>
      <w:r>
        <w:rPr>
          <w:b w:val="0"/>
          <w:i w:val="0"/>
        </w:rPr>
        <w:t xml:space="preserve"> subtle heaven and heaven denser soul. These comparisons bridge adjacent levels without abolishing their differences. A point running in a circle then becomes an image of circumference unfolded from a centre; an invisible spark becoming a flaming orb supplies its luminous counterpart. Spark represents soul, flame ethereal body. Visible light follows spiritual light as a pale lunar halo follows moonlight.</w:t>
      </w:r>
    </w:p>
    <w:p>
      <w:pPr>
        <w:widowControl/>
      </w:pPr>
      <w:r>
        <w:rPr>
          <w:b w:val="0"/>
          <w:i w:val="0"/>
        </w:rPr>
        <w:t>Ficino distinguishes the souls of fixed stars and planets, surrounded by one luminous body, from other rational souls with two bodies, luminous and opaque, or one more and one less luminous. The spark senses without being sensed; the unfolded flame is sensed without itself sensing. The distinction therefore expressly prevents making every visible luminous globe a sensing thing simply qua flame. The jokes that a denier lacks sense or lacks soul intensify persuasion. The attached Heraclitean maxim gives this luminous psychology an authoritative cadence, but the account remains the chapter’s preliminary excursion.</w:t>
      </w:r>
    </w:p>
    <w:p>
      <w:pPr>
        <w:keepNext/>
        <w:widowControl/>
      </w:pPr>
      <w:r>
        <w:rPr>
          <w:b/>
          <w:i w:val="0"/>
        </w:rPr>
        <w:t>Places to Read.</w:t>
      </w:r>
    </w:p>
    <w:p>
      <w:pPr>
        <w:ind w:left="187" w:hanging="187"/>
      </w:pPr>
      <w:r>
        <w:t xml:space="preserve">• </w:t>
      </w:r>
      <w:r>
        <w:rPr>
          <w:b/>
          <w:i w:val="0"/>
        </w:rPr>
        <w:t>VI.2.24; source PDF pp. 162, 163</w:t>
      </w:r>
      <w:r>
        <w:rPr>
          <w:b w:val="0"/>
          <w:i w:val="0"/>
        </w:rPr>
        <w:t>. Adjacent elemental levels furnish the qualified soul/heaven comparison.</w:t>
      </w:r>
    </w:p>
    <w:p>
      <w:pPr>
        <w:ind w:left="187" w:hanging="187"/>
      </w:pPr>
      <w:r>
        <w:t xml:space="preserve">• </w:t>
      </w:r>
      <w:r>
        <w:rPr>
          <w:b/>
          <w:i w:val="0"/>
        </w:rPr>
        <w:t>VI.2.25; source PDF pp. 164, 165</w:t>
      </w:r>
      <w:r>
        <w:rPr>
          <w:b w:val="0"/>
          <w:i w:val="0"/>
        </w:rPr>
        <w:t>. Point and spark are separately paired with circumference and flame; the halo image states dependence.</w:t>
      </w:r>
    </w:p>
    <w:p>
      <w:pPr>
        <w:ind w:left="187" w:hanging="187"/>
      </w:pPr>
      <w:r>
        <w:t xml:space="preserve">• </w:t>
      </w:r>
      <w:r>
        <w:rPr>
          <w:b/>
          <w:i w:val="0"/>
        </w:rPr>
        <w:t>VI.2.26; source PDF pp. 164, 165</w:t>
      </w:r>
      <w:r>
        <w:rPr>
          <w:b w:val="0"/>
          <w:i w:val="0"/>
        </w:rPr>
        <w:t>. The number of bodily vehicles and the senses of sensing/being sensed are carefully distinguished.</w:t>
      </w:r>
    </w:p>
    <w:p>
      <w:pPr>
        <w:keepNext/>
        <w:widowControl/>
      </w:pPr>
      <w:r>
        <w:rPr>
          <w:b/>
          <w:i w:val="0"/>
        </w:rPr>
        <w:t>In this edition.</w:t>
      </w:r>
    </w:p>
    <w:p>
      <w:pPr>
        <w:widowControl/>
      </w:pPr>
      <w:r>
        <w:rPr>
          <w:b w:val="0"/>
          <w:i w:val="0"/>
        </w:rPr>
        <w:t xml:space="preserve">The edition preserves tamquam, quasi and quodammodo where Ficino qualifies the likeness. The Greek αὐγὴ ξηρὴ ψυχὴ σοφωτάτη is glossed by Ficino himself as lux sicca, anima sapientissima. Its </w:t>
      </w:r>
      <w:r>
        <w:t>“</w:t>
      </w:r>
      <w:r>
        <w:rPr>
          <w:b w:val="0"/>
          <w:i w:val="0"/>
        </w:rPr>
        <w:t>dry light</w:t>
      </w:r>
      <w:r>
        <w:t>”</w:t>
      </w:r>
      <w:r>
        <w:rPr>
          <w:b w:val="0"/>
          <w:i w:val="0"/>
        </w:rPr>
        <w:t xml:space="preserve"> should not be silently replaced by another familiar text of Heraclitus.</w:t>
      </w:r>
    </w:p>
    <w:p>
      <w:pPr>
        <w:keepNext/>
        <w:widowControl/>
      </w:pPr>
      <w:r>
        <w:rPr>
          <w:b/>
          <w:i w:val="0"/>
        </w:rPr>
        <w:t>See also.</w:t>
      </w:r>
    </w:p>
    <w:p>
      <w:pPr>
        <w:widowControl/>
      </w:pPr>
      <w:hyperlink w:anchor="light-spirit-and-unseen-source">
        <w:r>
          <w:rPr>
            <w:color w:val="000000"/>
          </w:rPr>
          <w:t xml:space="preserve">Light, spirit and the unseen source</w:t>
        </w:r>
      </w:hyperlink>
      <w:r>
        <w:rPr>
          <w:b w:val="0"/>
          <w:i w:val="0"/>
        </w:rPr>
        <w:t xml:space="preserve">; </w:t>
      </w:r>
      <w:hyperlink w:anchor="point-dimension-and-substantial-unity">
        <w:r>
          <w:rPr>
            <w:color w:val="000000"/>
          </w:rPr>
          <w:t xml:space="preserve">Point, dimension and substantial unity</w:t>
        </w:r>
      </w:hyperlink>
    </w:p>
    <w:p>
      <w:pPr>
        <w:pStyle w:val="Heading2"/>
      </w:pPr>
      <w:bookmarkStart w:id="216" w:name="viii-virtue-equality"/>
      <w:r>
        <w:rPr>
          <w:b w:val="0"/>
          <w:i w:val="0"/>
        </w:rPr>
        <w:t>Spiritual equality, the line, and the tuned lyre</w:t>
      </w:r>
      <w:bookmarkEnd w:id="216"/>
    </w:p>
    <w:p>
      <w:pPr>
        <w:keepNext/>
        <w:widowControl/>
      </w:pPr>
      <w:r>
        <w:rPr>
          <w:b/>
          <w:i w:val="0"/>
        </w:rPr>
        <w:t>Latin:</w:t>
      </w:r>
      <w:r>
        <w:rPr>
          <w:b w:val="0"/>
          <w:i w:val="0"/>
        </w:rPr>
        <w:t xml:space="preserve"> </w:t>
      </w:r>
      <w:r>
        <w:rPr>
          <w:b w:val="0"/>
          <w:i/>
        </w:rPr>
        <w:t>aequalitas</w:t>
      </w:r>
      <w:r>
        <w:rPr>
          <w:b w:val="0"/>
          <w:i w:val="0"/>
        </w:rPr>
        <w:t xml:space="preserve">; </w:t>
      </w:r>
      <w:r>
        <w:rPr>
          <w:b w:val="0"/>
          <w:i/>
        </w:rPr>
        <w:t>consonantia</w:t>
      </w:r>
      <w:r>
        <w:rPr>
          <w:b w:val="0"/>
          <w:i w:val="0"/>
        </w:rPr>
        <w:t xml:space="preserve">; </w:t>
      </w:r>
      <w:r>
        <w:rPr>
          <w:b w:val="0"/>
          <w:i/>
        </w:rPr>
        <w:t>temperare</w:t>
      </w:r>
      <w:r>
        <w:rPr>
          <w:b w:val="0"/>
          <w:i w:val="0"/>
        </w:rPr>
        <w:t xml:space="preserve">; </w:t>
      </w:r>
      <w:r>
        <w:rPr>
          <w:b w:val="0"/>
          <w:i/>
        </w:rPr>
        <w:t>quadrangularis</w:t>
      </w:r>
      <w:r>
        <w:rPr>
          <w:b w:val="0"/>
          <w:i w:val="0"/>
        </w:rPr>
        <w:t xml:space="preserve">; </w:t>
      </w:r>
      <w:r>
        <w:rPr>
          <w:b w:val="0"/>
          <w:i/>
        </w:rPr>
        <w:t>circularis</w:t>
      </w:r>
      <w:r>
        <w:rPr>
          <w:b w:val="0"/>
          <w:i w:val="0"/>
        </w:rPr>
        <w:t xml:space="preserve">; </w:t>
      </w:r>
      <w:r>
        <w:rPr>
          <w:b w:val="0"/>
          <w:i/>
        </w:rPr>
        <w:t>lyra</w:t>
      </w:r>
    </w:p>
    <w:p>
      <w:pPr>
        <w:keepNext/>
        <w:widowControl/>
      </w:pPr>
      <w:r>
        <w:rPr>
          <w:b/>
          <w:i w:val="0"/>
        </w:rPr>
        <w:t>The word.</w:t>
      </w:r>
    </w:p>
    <w:p>
      <w:pPr>
        <w:widowControl/>
      </w:pPr>
      <w:r>
        <w:rPr>
          <w:b w:val="0"/>
          <w:i w:val="0"/>
        </w:rPr>
        <w:t>Aequalitas can mean equality, evenness or proportionate order; consonantia is concord or harmony. Temperare a lyre means bringing it into tune. These are models of improved arrangement without increased size.</w:t>
      </w:r>
    </w:p>
    <w:p>
      <w:pPr>
        <w:keepNext/>
        <w:widowControl/>
      </w:pPr>
      <w:r>
        <w:rPr>
          <w:b/>
          <w:i w:val="0"/>
        </w:rPr>
        <w:t>In the Platonic Theology.</w:t>
      </w:r>
    </w:p>
    <w:p>
      <w:pPr>
        <w:widowControl/>
      </w:pPr>
      <w:r>
        <w:rPr>
          <w:b w:val="0"/>
          <w:i w:val="0"/>
        </w:rPr>
        <w:t>Ficino attributes to the Magi the description of virtue as an equality through which the soul accords with itself, truth and goodness. He first imagines a four-angled line becoming circular. The imagined improvement concerns evenness, not extra length. He then imagines a lyre being tuned: it becomes more harmonious without becoming bigger.</w:t>
      </w:r>
    </w:p>
    <w:p>
      <w:pPr>
        <w:widowControl/>
      </w:pPr>
      <w:r>
        <w:rPr>
          <w:b w:val="0"/>
          <w:i w:val="0"/>
        </w:rPr>
        <w:t xml:space="preserve">The examples answer the habit of describing intellectual or moral advancement as if it were bodily enlargement. A young person can </w:t>
      </w:r>
      <w:r>
        <w:t>“</w:t>
      </w:r>
      <w:r>
        <w:rPr>
          <w:b w:val="0"/>
          <w:i w:val="0"/>
        </w:rPr>
        <w:t>grow</w:t>
      </w:r>
      <w:r>
        <w:t>”</w:t>
      </w:r>
      <w:r>
        <w:rPr>
          <w:b w:val="0"/>
          <w:i w:val="0"/>
        </w:rPr>
        <w:t xml:space="preserve"> in virtue while the soul acquires spiritual order rather than quantity. The point is not that every circular object is ethically superior to every angular one, but that one and the same measured extent can be differently ordered. Similarly, the instrument’s sound illustrates the difference between more bulk and better proportion.</w:t>
      </w:r>
    </w:p>
    <w:p>
      <w:pPr>
        <w:widowControl/>
      </w:pPr>
      <w:r>
        <w:rPr>
          <w:b w:val="0"/>
          <w:i w:val="0"/>
        </w:rPr>
        <w:t>This use of equality prepares a later argument in which mind judges varying equalities by reference to equality itself. The two uses are related but not identical: the lyre explains nonquantitative improvement, while the later passage asks how a knower can measure greatest and least without becoming their size.</w:t>
      </w:r>
    </w:p>
    <w:p>
      <w:pPr>
        <w:keepNext/>
        <w:widowControl/>
      </w:pPr>
      <w:r>
        <w:rPr>
          <w:b/>
          <w:i w:val="0"/>
        </w:rPr>
        <w:t>Places to Read.</w:t>
      </w:r>
    </w:p>
    <w:p>
      <w:pPr>
        <w:ind w:left="187" w:hanging="187"/>
      </w:pPr>
      <w:r>
        <w:t xml:space="preserve">• </w:t>
      </w:r>
      <w:r>
        <w:rPr>
          <w:b/>
          <w:i w:val="0"/>
        </w:rPr>
        <w:t>VIII.2.4, PDF pp. 296–297.</w:t>
      </w:r>
      <w:r>
        <w:rPr>
          <w:b w:val="0"/>
          <w:i w:val="0"/>
        </w:rPr>
        <w:t xml:space="preserve"> The Magian attribution introduces the line and lyre as models of spiritual perfection.</w:t>
      </w:r>
    </w:p>
    <w:p>
      <w:pPr>
        <w:ind w:left="187" w:hanging="187"/>
      </w:pPr>
      <w:r>
        <w:t xml:space="preserve">• </w:t>
      </w:r>
      <w:r>
        <w:rPr>
          <w:b/>
          <w:i w:val="0"/>
        </w:rPr>
        <w:t>VIII.6.1, PDF pp. 342–343.</w:t>
      </w:r>
      <w:r>
        <w:rPr>
          <w:b w:val="0"/>
          <w:i w:val="0"/>
        </w:rPr>
        <w:t xml:space="preserve"> Mind measures participation in supreme equality without spatial enlargement.</w:t>
      </w:r>
    </w:p>
    <w:p>
      <w:pPr>
        <w:keepNext/>
        <w:widowControl/>
      </w:pPr>
      <w:r>
        <w:rPr>
          <w:b/>
          <w:i w:val="0"/>
        </w:rPr>
        <w:t>In this edition.</w:t>
      </w:r>
    </w:p>
    <w:p>
      <w:pPr>
        <w:widowControl/>
      </w:pPr>
      <w:r>
        <w:rPr>
          <w:b w:val="0"/>
          <w:i w:val="0"/>
        </w:rPr>
        <w:t xml:space="preserve">The English keeps </w:t>
      </w:r>
      <w:r>
        <w:t>“</w:t>
      </w:r>
      <w:r>
        <w:rPr>
          <w:b w:val="0"/>
          <w:i w:val="0"/>
        </w:rPr>
        <w:t>the true and the good</w:t>
      </w:r>
      <w:r>
        <w:t>”</w:t>
      </w:r>
      <w:r>
        <w:rPr>
          <w:b w:val="0"/>
          <w:i w:val="0"/>
        </w:rPr>
        <w:t xml:space="preserve"> as substantive principles. Adolescens and adolescit create an age-and-maturation play; the explanatory conclusion is explicitly that soul does not grow quantitate.</w:t>
      </w:r>
    </w:p>
    <w:p>
      <w:pPr>
        <w:keepNext/>
        <w:widowControl/>
      </w:pPr>
      <w:r>
        <w:rPr>
          <w:b/>
          <w:i w:val="0"/>
        </w:rPr>
        <w:t>See also.</w:t>
      </w:r>
    </w:p>
    <w:p>
      <w:pPr>
        <w:widowControl/>
      </w:pPr>
      <w:hyperlink w:anchor="viii-virtue-quality">
        <w:r>
          <w:rPr>
            <w:color w:val="000000"/>
          </w:rPr>
          <w:t xml:space="preserve">Virtue as an indivisible quality</w:t>
        </w:r>
      </w:hyperlink>
      <w:r>
        <w:rPr>
          <w:b w:val="0"/>
          <w:i w:val="0"/>
        </w:rPr>
        <w:t xml:space="preserve">; </w:t>
      </w:r>
      <w:hyperlink w:anchor="viii-whole-mind">
        <w:r>
          <w:rPr>
            <w:color w:val="000000"/>
          </w:rPr>
          <w:t xml:space="preserve">The whole mind and the measure of equality</w:t>
        </w:r>
      </w:hyperlink>
      <w:r>
        <w:rPr>
          <w:b w:val="0"/>
          <w:i w:val="0"/>
        </w:rPr>
        <w:t xml:space="preserve">; </w:t>
      </w:r>
      <w:hyperlink w:anchor="viii-body-instrument">
        <w:r>
          <w:rPr>
            <w:color w:val="000000"/>
          </w:rPr>
          <w:t xml:space="preserve">Body, instruments, and vital spirit</w:t>
        </w:r>
      </w:hyperlink>
    </w:p>
    <w:p>
      <w:pPr>
        <w:pStyle w:val="Heading2"/>
      </w:pPr>
      <w:bookmarkStart w:id="217" w:name="vii-spiritual-images-light"/>
      <w:r>
        <w:rPr>
          <w:b w:val="0"/>
          <w:i w:val="0"/>
        </w:rPr>
        <w:t>Spiritual images and light</w:t>
      </w:r>
      <w:bookmarkEnd w:id="217"/>
    </w:p>
    <w:p>
      <w:pPr>
        <w:keepNext/>
        <w:widowControl/>
      </w:pPr>
      <w:r>
        <w:rPr>
          <w:b/>
          <w:i w:val="0"/>
        </w:rPr>
        <w:t>Latin:</w:t>
      </w:r>
      <w:r>
        <w:rPr>
          <w:b w:val="0"/>
          <w:i w:val="0"/>
        </w:rPr>
        <w:t xml:space="preserve"> </w:t>
      </w:r>
      <w:r>
        <w:rPr>
          <w:b w:val="0"/>
          <w:i/>
        </w:rPr>
        <w:t>spiritales colorum imagines</w:t>
      </w:r>
      <w:r>
        <w:rPr>
          <w:b w:val="0"/>
          <w:i w:val="0"/>
        </w:rPr>
        <w:t xml:space="preserve">; </w:t>
      </w:r>
      <w:r>
        <w:rPr>
          <w:b w:val="0"/>
          <w:i/>
        </w:rPr>
        <w:t>splendor</w:t>
      </w:r>
      <w:r>
        <w:rPr>
          <w:b w:val="0"/>
          <w:i w:val="0"/>
        </w:rPr>
        <w:t xml:space="preserve">; </w:t>
      </w:r>
      <w:r>
        <w:rPr>
          <w:b w:val="0"/>
          <w:i/>
        </w:rPr>
        <w:t>lumen</w:t>
      </w:r>
      <w:r>
        <w:rPr>
          <w:b w:val="0"/>
          <w:i w:val="0"/>
        </w:rPr>
        <w:t xml:space="preserve">; </w:t>
      </w:r>
      <w:r>
        <w:rPr>
          <w:b w:val="0"/>
          <w:i/>
        </w:rPr>
        <w:t>lux</w:t>
      </w:r>
      <w:r>
        <w:rPr>
          <w:b w:val="0"/>
          <w:i w:val="0"/>
        </w:rPr>
        <w:t xml:space="preserve">; </w:t>
      </w:r>
      <w:r>
        <w:rPr>
          <w:b w:val="0"/>
          <w:i/>
        </w:rPr>
        <w:t>species</w:t>
      </w:r>
      <w:r>
        <w:rPr>
          <w:b w:val="0"/>
          <w:i w:val="0"/>
        </w:rPr>
        <w:t xml:space="preserve">; </w:t>
      </w:r>
      <w:r>
        <w:rPr>
          <w:b w:val="0"/>
          <w:i/>
        </w:rPr>
        <w:t>significatio</w:t>
      </w:r>
    </w:p>
    <w:p>
      <w:pPr>
        <w:keepNext/>
        <w:widowControl/>
      </w:pPr>
      <w:r>
        <w:rPr>
          <w:b/>
          <w:i w:val="0"/>
        </w:rPr>
        <w:t>The word.</w:t>
      </w:r>
    </w:p>
    <w:p>
      <w:pPr>
        <w:widowControl/>
      </w:pPr>
      <w:r>
        <w:rPr>
          <w:b w:val="0"/>
          <w:i w:val="0"/>
        </w:rPr>
        <w:t xml:space="preserve">An image is </w:t>
      </w:r>
      <w:r>
        <w:t>“</w:t>
      </w:r>
      <w:r>
        <w:rPr>
          <w:b w:val="0"/>
          <w:i w:val="0"/>
        </w:rPr>
        <w:t>spiritual</w:t>
      </w:r>
      <w:r>
        <w:t>”</w:t>
      </w:r>
      <w:r>
        <w:rPr>
          <w:b w:val="0"/>
          <w:i w:val="0"/>
        </w:rPr>
        <w:t xml:space="preserve"> here insofar as its cognitive presentation is not the material object or a bodily quality entering as matter. </w:t>
      </w:r>
      <w:r>
        <w:rPr>
          <w:b w:val="0"/>
          <w:i/>
        </w:rPr>
        <w:t>Lumen</w:t>
      </w:r>
      <w:r>
        <w:rPr>
          <w:b w:val="0"/>
          <w:i w:val="0"/>
        </w:rPr>
        <w:t xml:space="preserve"> and </w:t>
      </w:r>
      <w:r>
        <w:rPr>
          <w:b w:val="0"/>
          <w:i/>
        </w:rPr>
        <w:t>lux</w:t>
      </w:r>
      <w:r>
        <w:rPr>
          <w:b w:val="0"/>
          <w:i w:val="0"/>
        </w:rPr>
        <w:t xml:space="preserve"> both concern light; </w:t>
      </w:r>
      <w:r>
        <w:rPr>
          <w:b w:val="0"/>
          <w:i/>
        </w:rPr>
        <w:t>splendores</w:t>
      </w:r>
      <w:r>
        <w:rPr>
          <w:b w:val="0"/>
          <w:i w:val="0"/>
        </w:rPr>
        <w:t xml:space="preserve"> are its manifestations. The wording does not make every occurrence of </w:t>
      </w:r>
      <w:r>
        <w:rPr>
          <w:b w:val="0"/>
          <w:i/>
        </w:rPr>
        <w:t>spiritus</w:t>
      </w:r>
      <w:r>
        <w:rPr>
          <w:b w:val="0"/>
          <w:i w:val="0"/>
        </w:rPr>
        <w:t xml:space="preserve"> an incorporeal soul.</w:t>
      </w:r>
    </w:p>
    <w:p>
      <w:pPr>
        <w:keepNext/>
        <w:widowControl/>
      </w:pPr>
      <w:r>
        <w:rPr>
          <w:b/>
          <w:i w:val="0"/>
        </w:rPr>
        <w:t>In the Platonic Theology.</w:t>
      </w:r>
    </w:p>
    <w:p>
      <w:pPr>
        <w:widowControl/>
      </w:pPr>
      <w:r>
        <w:rPr>
          <w:b w:val="0"/>
          <w:i w:val="0"/>
        </w:rPr>
        <w:t>After the wax and mirror hypotheses, Ficino says spiritual color-images are not produced by bodies or received in mirrors and the brain. They are splendors of light striking bodies. He traces visible light to an invisible light of heavenly souls, overflowing outward until perceptible; it is not fastened to bodies but joins the light of our spirit, which depends on our soul. This is a positive claim within his natural philosophy, not merely a modern metaphor for optical information. Its celestial explanation should be reported as his account, not validated as physical science.</w:t>
      </w:r>
    </w:p>
    <w:p>
      <w:pPr>
        <w:widowControl/>
      </w:pPr>
      <w:r>
        <w:rPr>
          <w:b w:val="0"/>
          <w:i w:val="0"/>
        </w:rPr>
        <w:t xml:space="preserve">Meanings reaching hearing supply a related example. Ficino calls them spiritual and makes their transmission and preservation depend on souls, rather than treating meaning as the corporeal sound itself. The word </w:t>
      </w:r>
      <w:r>
        <w:rPr>
          <w:b w:val="0"/>
          <w:i/>
        </w:rPr>
        <w:t>Lucifer</w:t>
      </w:r>
      <w:r>
        <w:rPr>
          <w:b w:val="0"/>
          <w:i w:val="0"/>
        </w:rPr>
        <w:t xml:space="preserve"> later tests the distinction between an indivisible meaning and divisible sound.</w:t>
      </w:r>
    </w:p>
    <w:p>
      <w:pPr>
        <w:widowControl/>
      </w:pPr>
      <w:r>
        <w:rPr>
          <w:b w:val="0"/>
          <w:i w:val="0"/>
        </w:rPr>
        <w:t xml:space="preserve">A further qualification occurs in the discussion of partitioned sight: the </w:t>
      </w:r>
      <w:r>
        <w:rPr>
          <w:b w:val="0"/>
          <w:i/>
        </w:rPr>
        <w:t>species</w:t>
      </w:r>
      <w:r>
        <w:rPr>
          <w:b w:val="0"/>
          <w:i w:val="0"/>
        </w:rPr>
        <w:t xml:space="preserve"> is not itself what is seen; the color is seen through it. The distinction separates cognitive means from the visible object. Chapter 13 likewise says that sight receives a wall’s color without receiving the wall. These formulations should stand beside chapter 6’s insistence that the soul is not passively shaped by bodily qualities. The texts distinguish cognition from material influx; they do not justify flattening all reception-language into one physical process.</w:t>
      </w:r>
    </w:p>
    <w:p>
      <w:pPr>
        <w:keepNext/>
        <w:widowControl/>
      </w:pPr>
      <w:r>
        <w:rPr>
          <w:b/>
          <w:i w:val="0"/>
        </w:rPr>
        <w:t>Places to Read.</w:t>
      </w:r>
    </w:p>
    <w:p>
      <w:pPr>
        <w:ind w:left="187" w:hanging="187"/>
      </w:pPr>
      <w:r>
        <w:t xml:space="preserve">• </w:t>
      </w:r>
      <w:r>
        <w:rPr>
          <w:b/>
          <w:i w:val="0"/>
        </w:rPr>
        <w:t>VII.1.3, PDF 236–237</w:t>
      </w:r>
      <w:r>
        <w:rPr>
          <w:b w:val="0"/>
          <w:i w:val="0"/>
        </w:rPr>
        <w:t>. Invisible and visible light, the light of our spirit, and word-meanings are distinguished.</w:t>
      </w:r>
    </w:p>
    <w:p>
      <w:pPr>
        <w:ind w:left="187" w:hanging="187"/>
      </w:pPr>
      <w:r>
        <w:t xml:space="preserve">• </w:t>
      </w:r>
      <w:r>
        <w:rPr>
          <w:b/>
          <w:i w:val="0"/>
        </w:rPr>
        <w:t>VII.4.2, PDF 246–247</w:t>
      </w:r>
      <w:r>
        <w:rPr>
          <w:b w:val="0"/>
          <w:i w:val="0"/>
        </w:rPr>
        <w:t>. The visible color is seen through a species rather than the species being the ultimate object.</w:t>
      </w:r>
    </w:p>
    <w:p>
      <w:pPr>
        <w:ind w:left="187" w:hanging="187"/>
      </w:pPr>
      <w:r>
        <w:t xml:space="preserve">• </w:t>
      </w:r>
      <w:r>
        <w:rPr>
          <w:b/>
          <w:i w:val="0"/>
        </w:rPr>
        <w:t>VII.13.1, PDF 276–277</w:t>
      </w:r>
      <w:r>
        <w:rPr>
          <w:b w:val="0"/>
          <w:i w:val="0"/>
        </w:rPr>
        <w:t>. The wall and its spiritual color-image illustrate reception without the object’s matter.</w:t>
      </w:r>
    </w:p>
    <w:p>
      <w:pPr>
        <w:keepNext/>
        <w:widowControl/>
      </w:pPr>
      <w:r>
        <w:rPr>
          <w:b/>
          <w:i w:val="0"/>
        </w:rPr>
        <w:t>In this edition.</w:t>
      </w:r>
    </w:p>
    <w:p>
      <w:pPr>
        <w:widowControl/>
      </w:pPr>
      <w:r>
        <w:t>“</w:t>
      </w:r>
      <w:r>
        <w:rPr>
          <w:b w:val="0"/>
          <w:i w:val="0"/>
        </w:rPr>
        <w:t>Spiritual</w:t>
      </w:r>
      <w:r>
        <w:t>”</w:t>
      </w:r>
      <w:r>
        <w:rPr>
          <w:b w:val="0"/>
          <w:i w:val="0"/>
        </w:rPr>
        <w:t xml:space="preserve"> preserves </w:t>
      </w:r>
      <w:r>
        <w:rPr>
          <w:b w:val="0"/>
          <w:i/>
        </w:rPr>
        <w:t>spiritalis</w:t>
      </w:r>
      <w:r>
        <w:rPr>
          <w:b w:val="0"/>
          <w:i w:val="0"/>
        </w:rPr>
        <w:t xml:space="preserve">; it does not erase the explicitly bodily </w:t>
      </w:r>
      <w:r>
        <w:rPr>
          <w:b w:val="0"/>
          <w:i/>
        </w:rPr>
        <w:t>spiritus</w:t>
      </w:r>
      <w:r>
        <w:rPr>
          <w:b w:val="0"/>
          <w:i w:val="0"/>
        </w:rPr>
        <w:t xml:space="preserve"> of VII.6.1. Chapter 6’s exclusion of forms received from bodies and chapter 13’s reception of forms without matter remain a qualified contrast, not an unnoticed contradiction repaired by changing either passage.</w:t>
      </w:r>
    </w:p>
    <w:p>
      <w:pPr>
        <w:keepNext/>
        <w:widowControl/>
      </w:pPr>
      <w:r>
        <w:rPr>
          <w:b/>
          <w:i w:val="0"/>
        </w:rPr>
        <w:t>See also.</w:t>
      </w:r>
    </w:p>
    <w:p>
      <w:pPr>
        <w:widowControl/>
      </w:pPr>
      <w:hyperlink w:anchor="vii-bodily-spirit">
        <w:r>
          <w:rPr>
            <w:color w:val="000000"/>
          </w:rPr>
          <w:t xml:space="preserve">Bodily spirit and mediation</w:t>
        </w:r>
      </w:hyperlink>
      <w:r>
        <w:rPr>
          <w:b w:val="0"/>
          <w:i w:val="0"/>
        </w:rPr>
        <w:t xml:space="preserve">; </w:t>
      </w:r>
      <w:hyperlink w:anchor="vii-sensation-attention">
        <w:r>
          <w:rPr>
            <w:color w:val="000000"/>
          </w:rPr>
          <w:t xml:space="preserve">Sensation as attentive activity</w:t>
        </w:r>
      </w:hyperlink>
      <w:r>
        <w:rPr>
          <w:b w:val="0"/>
          <w:i w:val="0"/>
        </w:rPr>
        <w:t xml:space="preserve">; </w:t>
      </w:r>
      <w:hyperlink w:anchor="vii-lucifer-meaning">
        <w:r>
          <w:rPr>
            <w:color w:val="000000"/>
          </w:rPr>
          <w:t xml:space="preserve">Lucifer and indivisible meaning</w:t>
        </w:r>
      </w:hyperlink>
    </w:p>
    <w:p>
      <w:pPr>
        <w:pStyle w:val="Heading2"/>
      </w:pPr>
      <w:bookmarkStart w:id="218" w:name="spiritual-matter-and-identity"/>
      <w:r>
        <w:rPr>
          <w:b w:val="0"/>
          <w:i w:val="0"/>
        </w:rPr>
        <w:t>Spiritual matter and identity</w:t>
      </w:r>
      <w:bookmarkEnd w:id="218"/>
    </w:p>
    <w:p>
      <w:pPr>
        <w:keepNext/>
        <w:widowControl/>
      </w:pPr>
      <w:r>
        <w:rPr>
          <w:b/>
          <w:i w:val="0"/>
        </w:rPr>
        <w:t>Latin:</w:t>
      </w:r>
      <w:r>
        <w:rPr>
          <w:b w:val="0"/>
          <w:i w:val="0"/>
        </w:rPr>
        <w:t xml:space="preserve"> </w:t>
      </w:r>
      <w:r>
        <w:rPr>
          <w:b w:val="0"/>
          <w:i/>
        </w:rPr>
        <w:t>materia spiritalis</w:t>
      </w:r>
      <w:r>
        <w:rPr>
          <w:b w:val="0"/>
          <w:i w:val="0"/>
        </w:rPr>
        <w:t xml:space="preserve">; </w:t>
      </w:r>
      <w:r>
        <w:rPr>
          <w:b w:val="0"/>
          <w:i/>
        </w:rPr>
        <w:t>potentia susceptiva</w:t>
      </w:r>
      <w:r>
        <w:rPr>
          <w:b w:val="0"/>
          <w:i w:val="0"/>
        </w:rPr>
        <w:t xml:space="preserve">; </w:t>
      </w:r>
      <w:r>
        <w:rPr>
          <w:b w:val="0"/>
          <w:i/>
        </w:rPr>
        <w:t>essentia</w:t>
      </w:r>
      <w:r>
        <w:rPr>
          <w:b w:val="0"/>
          <w:i w:val="0"/>
        </w:rPr>
        <w:t xml:space="preserve">; </w:t>
      </w:r>
      <w:r>
        <w:rPr>
          <w:b w:val="0"/>
          <w:i/>
        </w:rPr>
        <w:t>esse spiritale</w:t>
      </w:r>
      <w:r>
        <w:rPr>
          <w:b w:val="0"/>
          <w:i w:val="0"/>
        </w:rPr>
        <w:t xml:space="preserve">; </w:t>
      </w:r>
      <w:r>
        <w:rPr>
          <w:b w:val="0"/>
          <w:i/>
        </w:rPr>
        <w:t>materia propria</w:t>
      </w:r>
      <w:r>
        <w:rPr>
          <w:b w:val="0"/>
          <w:i w:val="0"/>
        </w:rPr>
        <w:t xml:space="preserve">; </w:t>
      </w:r>
      <w:r>
        <w:rPr>
          <w:b w:val="0"/>
          <w:i/>
        </w:rPr>
        <w:t>materia communis</w:t>
      </w:r>
      <w:r>
        <w:rPr>
          <w:b w:val="0"/>
          <w:i w:val="0"/>
        </w:rPr>
        <w:t xml:space="preserve">; </w:t>
      </w:r>
      <w:r>
        <w:rPr>
          <w:b w:val="0"/>
          <w:i/>
        </w:rPr>
        <w:t>species</w:t>
      </w:r>
    </w:p>
    <w:p>
      <w:pPr>
        <w:keepNext/>
        <w:widowControl/>
      </w:pPr>
      <w:r>
        <w:rPr>
          <w:b/>
          <w:i w:val="0"/>
        </w:rPr>
        <w:t>The word.</w:t>
      </w:r>
    </w:p>
    <w:p>
      <w:pPr>
        <w:widowControl/>
      </w:pPr>
      <w:r>
        <w:t>“</w:t>
      </w:r>
      <w:r>
        <w:rPr>
          <w:b w:val="0"/>
          <w:i w:val="0"/>
        </w:rPr>
        <w:t>Spiritual matter</w:t>
      </w:r>
      <w:r>
        <w:t>”</w:t>
      </w:r>
      <w:r>
        <w:rPr>
          <w:b w:val="0"/>
          <w:i w:val="0"/>
        </w:rPr>
        <w:t xml:space="preserve"> names an analogy within separate beings: essence stands to being as a receptive potency stands to act. It is not bodily prime matter hidden inside the soul. Propria and communis distinguish a recipient specific to a form from material capacity common to different forms.</w:t>
      </w:r>
    </w:p>
    <w:p>
      <w:pPr>
        <w:keepNext/>
        <w:widowControl/>
      </w:pPr>
      <w:r>
        <w:rPr>
          <w:b/>
          <w:i w:val="0"/>
        </w:rPr>
        <w:t>In the Platonic Theology.</w:t>
      </w:r>
    </w:p>
    <w:p>
      <w:pPr>
        <w:widowControl/>
      </w:pPr>
      <w:r>
        <w:rPr>
          <w:b w:val="0"/>
          <w:i w:val="0"/>
        </w:rPr>
        <w:t>V.11 permits essence to play the role of matter or receptive potency, and being the role of form or actuality, in a separate created soul. This is an analogy inside an immaterial substance. Its purpose is to test whether any intelligible route of corruption could remove the soul’s act while leaving a prior potency. The chapter ends by excluding both changes of psychic species and migration from this individual mind into another.</w:t>
      </w:r>
    </w:p>
    <w:p>
      <w:pPr>
        <w:widowControl/>
      </w:pPr>
      <w:r>
        <w:rPr>
          <w:b w:val="0"/>
          <w:i w:val="0"/>
        </w:rPr>
        <w:t>The reductio begins by preserving the normal material rule rather than discarding it. In ordinary corruption, act ceases while a recipient remains: a composite resolves into matter, and a materially educed form returns to matter’s tinder. That prevents ordinary corruption from becoming creation’s reverse, annihilation. Soul is tested by analogy because its created essence receives actuality even though it has no material constituents. Ficino says separate forms have scarcely another composition than essence and being, or something similar. The qualifications matter: he is not announcing a literal second species of elemental material.</w:t>
      </w:r>
    </w:p>
    <w:p>
      <w:pPr>
        <w:widowControl/>
      </w:pPr>
      <w:r>
        <w:rPr>
          <w:b w:val="0"/>
          <w:i w:val="0"/>
        </w:rPr>
        <w:t xml:space="preserve">The objection at V.11.4 is more subtle than </w:t>
      </w:r>
      <w:r>
        <w:t>“</w:t>
      </w:r>
      <w:r>
        <w:rPr>
          <w:b w:val="0"/>
          <w:i w:val="0"/>
        </w:rPr>
        <w:t>the soul dies.</w:t>
      </w:r>
      <w:r>
        <w:t>”</w:t>
      </w:r>
      <w:r>
        <w:rPr>
          <w:b w:val="0"/>
          <w:i w:val="0"/>
        </w:rPr>
        <w:t xml:space="preserve"> It proposes that actual being could resolve into essence while essence ceased to exist actually, leaving only a potency somewhere. Ficino must identify where. It cannot be bodily matter because soul neither consists of matter nor springs from its potentiality. It cannot be a subordinate efficient source because only God creates it. God cannot be the material receiver of a withdrawn act because God is pure act. A return to first life, moreover, would be fatal only if it stopped being this mind, and the seal’s greater conformity illustrates confirmation of identity instead.</w:t>
      </w:r>
    </w:p>
    <w:p>
      <w:pPr>
        <w:widowControl/>
      </w:pPr>
      <w:r>
        <w:rPr>
          <w:b w:val="0"/>
          <w:i w:val="0"/>
        </w:rPr>
        <w:t>A further answer proposes that essence receives itself back into itself when the former being is removed. Ficino replies that bodily material cannot be without bodily actuality and the analogous spiritual recipient cannot be without spiritual actuality. That leaves the final proposal: exchange one spiritual being for another. Here the distinction between common and proper matter becomes decisive. Common matter can take alternative forms; the defining essence of this soul is not equally open to a wholly different act. It is directed to a certain psychic species and, within that species, cannot migrate from one individual mind to another.</w:t>
      </w:r>
    </w:p>
    <w:p>
      <w:pPr>
        <w:widowControl/>
      </w:pPr>
      <w:r>
        <w:rPr>
          <w:b w:val="0"/>
          <w:i w:val="0"/>
        </w:rPr>
        <w:t>The heavenly-material comparison is deliberately modest: if, as many hold, heavenly matter retains one form, an even more stable spiritual recipient should not be denied a single abiding act. It is an analogy within the author’s cosmology, not a separate contemporary proof of unchanged celestial matter. The accumulated conclusion protects both the life of soul and its determinate individuality. The later V.15 conversion argument broadens the same issue by examining worse forms of survival, such as supposed transformation into body.</w:t>
      </w:r>
    </w:p>
    <w:p>
      <w:pPr>
        <w:keepNext/>
        <w:widowControl/>
      </w:pPr>
      <w:r>
        <w:rPr>
          <w:b/>
          <w:i w:val="0"/>
        </w:rPr>
        <w:t>Places to Read.</w:t>
      </w:r>
    </w:p>
    <w:p>
      <w:pPr>
        <w:ind w:left="187" w:hanging="187"/>
      </w:pPr>
      <w:r>
        <w:t xml:space="preserve">• </w:t>
      </w:r>
      <w:r>
        <w:rPr>
          <w:b/>
          <w:i w:val="0"/>
        </w:rPr>
        <w:t>V.11.1, V.11.2, V.11.3, PDF 60–63.</w:t>
      </w:r>
      <w:r>
        <w:rPr>
          <w:b w:val="0"/>
          <w:i w:val="0"/>
        </w:rPr>
        <w:t xml:space="preserve"> The analogy of essence/potency and being/act supports a reductio of corruption.</w:t>
      </w:r>
    </w:p>
    <w:p>
      <w:pPr>
        <w:ind w:left="187" w:hanging="187"/>
      </w:pPr>
      <w:r>
        <w:t xml:space="preserve">• </w:t>
      </w:r>
      <w:r>
        <w:rPr>
          <w:b/>
          <w:i w:val="0"/>
        </w:rPr>
        <w:t>V.11.4, V.11.5, V.11.7, PDF 62–65.</w:t>
      </w:r>
      <w:r>
        <w:rPr>
          <w:b w:val="0"/>
          <w:i w:val="0"/>
        </w:rPr>
        <w:t xml:space="preserve"> Alternative destinations for a supposedly withdrawn actuality are examined.</w:t>
      </w:r>
    </w:p>
    <w:p>
      <w:pPr>
        <w:ind w:left="187" w:hanging="187"/>
      </w:pPr>
      <w:r>
        <w:t xml:space="preserve">• </w:t>
      </w:r>
      <w:r>
        <w:rPr>
          <w:b/>
          <w:i w:val="0"/>
        </w:rPr>
        <w:t>V.11.8, PDF 66–67.</w:t>
      </w:r>
      <w:r>
        <w:rPr>
          <w:b w:val="0"/>
          <w:i w:val="0"/>
        </w:rPr>
        <w:t xml:space="preserve"> Proper essence excludes exchange of species and migration between individual minds.</w:t>
      </w:r>
    </w:p>
    <w:p>
      <w:pPr>
        <w:keepNext/>
        <w:widowControl/>
      </w:pPr>
      <w:r>
        <w:rPr>
          <w:b/>
          <w:i w:val="0"/>
        </w:rPr>
        <w:t>In this edition.</w:t>
      </w:r>
    </w:p>
    <w:p>
      <w:pPr>
        <w:widowControl/>
      </w:pPr>
      <w:r>
        <w:rPr>
          <w:b w:val="0"/>
          <w:i w:val="0"/>
        </w:rPr>
        <w:t xml:space="preserve">The edition intentionally keeps spiritalis as </w:t>
      </w:r>
      <w:r>
        <w:t>“</w:t>
      </w:r>
      <w:r>
        <w:rPr>
          <w:b w:val="0"/>
          <w:i w:val="0"/>
        </w:rPr>
        <w:t>spiritual</w:t>
      </w:r>
      <w:r>
        <w:t>”</w:t>
      </w:r>
      <w:r>
        <w:rPr>
          <w:b w:val="0"/>
          <w:i w:val="0"/>
        </w:rPr>
        <w:t xml:space="preserve"> so the analogy remains visible. Its </w:t>
      </w:r>
      <w:r>
        <w:t>“</w:t>
      </w:r>
      <w:r>
        <w:rPr>
          <w:b w:val="0"/>
          <w:i w:val="0"/>
        </w:rPr>
        <w:t>animal being</w:t>
      </w:r>
      <w:r>
        <w:t>”</w:t>
      </w:r>
      <w:r>
        <w:rPr>
          <w:b w:val="0"/>
          <w:i w:val="0"/>
        </w:rPr>
        <w:t xml:space="preserve"> for esse animale in V.11.8 should be read as psychic or ensouled being appropriate to a soul, not as a declaration that rational soul has become a beast. Ratio there is defining nature.</w:t>
      </w:r>
    </w:p>
    <w:p>
      <w:pPr>
        <w:keepNext/>
        <w:widowControl/>
      </w:pPr>
      <w:r>
        <w:rPr>
          <w:b/>
          <w:i w:val="0"/>
        </w:rPr>
        <w:t>See also.</w:t>
      </w:r>
    </w:p>
    <w:p>
      <w:pPr>
        <w:widowControl/>
      </w:pPr>
      <w:hyperlink w:anchor="essence-and-being">
        <w:r>
          <w:rPr>
            <w:color w:val="000000"/>
          </w:rPr>
          <w:t xml:space="preserve">Essence and being</w:t>
        </w:r>
      </w:hyperlink>
      <w:r>
        <w:rPr>
          <w:b w:val="0"/>
          <w:i w:val="0"/>
        </w:rPr>
        <w:t xml:space="preserve">; </w:t>
      </w:r>
      <w:hyperlink w:anchor="seal-wax-and-restoration">
        <w:r>
          <w:rPr>
            <w:color w:val="000000"/>
          </w:rPr>
          <w:t xml:space="preserve">Seal, wax and restoration</w:t>
        </w:r>
      </w:hyperlink>
      <w:r>
        <w:rPr>
          <w:b w:val="0"/>
          <w:i w:val="0"/>
        </w:rPr>
        <w:t xml:space="preserve">; </w:t>
      </w:r>
      <w:hyperlink w:anchor="conversion-desire-and-compulsion">
        <w:r>
          <w:rPr>
            <w:color w:val="000000"/>
          </w:rPr>
          <w:t xml:space="preserve">Conversion, desire and compulsion</w:t>
        </w:r>
      </w:hyperlink>
    </w:p>
    <w:p>
      <w:pPr>
        <w:pStyle w:val="Heading2"/>
      </w:pPr>
      <w:bookmarkStart w:id="219" w:name="stable-craftsman-and-river-reflection"/>
      <w:r>
        <w:rPr>
          <w:b w:val="0"/>
          <w:i w:val="0"/>
        </w:rPr>
        <w:t>Stable craftsman and the river reflection</w:t>
      </w:r>
      <w:bookmarkEnd w:id="219"/>
    </w:p>
    <w:p>
      <w:pPr>
        <w:keepNext/>
        <w:widowControl/>
      </w:pPr>
      <w:r>
        <w:rPr>
          <w:b/>
          <w:i w:val="0"/>
        </w:rPr>
        <w:t>Latin:</w:t>
      </w:r>
      <w:r>
        <w:rPr>
          <w:b w:val="0"/>
          <w:i w:val="0"/>
        </w:rPr>
        <w:t xml:space="preserve"> </w:t>
      </w:r>
      <w:r>
        <w:rPr>
          <w:b w:val="0"/>
          <w:i/>
        </w:rPr>
        <w:t>figura</w:t>
      </w:r>
      <w:r>
        <w:rPr>
          <w:b w:val="0"/>
          <w:i w:val="0"/>
        </w:rPr>
        <w:t xml:space="preserve">; </w:t>
      </w:r>
      <w:r>
        <w:rPr>
          <w:b w:val="0"/>
          <w:i/>
        </w:rPr>
        <w:t>similitudo</w:t>
      </w:r>
      <w:r>
        <w:rPr>
          <w:b w:val="0"/>
          <w:i w:val="0"/>
        </w:rPr>
        <w:t xml:space="preserve">; </w:t>
      </w:r>
      <w:r>
        <w:rPr>
          <w:b w:val="0"/>
          <w:i/>
        </w:rPr>
        <w:t>artifex stabilissimus</w:t>
      </w:r>
      <w:r>
        <w:rPr>
          <w:b w:val="0"/>
          <w:i w:val="0"/>
        </w:rPr>
        <w:t xml:space="preserve">; </w:t>
      </w:r>
      <w:r>
        <w:rPr>
          <w:b w:val="0"/>
          <w:i/>
        </w:rPr>
        <w:t>faber</w:t>
      </w:r>
      <w:r>
        <w:rPr>
          <w:b w:val="0"/>
          <w:i w:val="0"/>
        </w:rPr>
        <w:t xml:space="preserve">; </w:t>
      </w:r>
      <w:r>
        <w:rPr>
          <w:b w:val="0"/>
          <w:i/>
        </w:rPr>
        <w:t>rationes et semina</w:t>
      </w:r>
      <w:r>
        <w:rPr>
          <w:b w:val="0"/>
          <w:i w:val="0"/>
        </w:rPr>
        <w:t xml:space="preserve">; </w:t>
      </w:r>
      <w:r>
        <w:rPr>
          <w:b w:val="0"/>
          <w:i/>
        </w:rPr>
        <w:t>reficere</w:t>
      </w:r>
      <w:r>
        <w:rPr>
          <w:b w:val="0"/>
          <w:i w:val="0"/>
        </w:rPr>
        <w:t xml:space="preserve">; </w:t>
      </w:r>
      <w:r>
        <w:rPr>
          <w:b w:val="0"/>
          <w:i/>
        </w:rPr>
        <w:t>depingere</w:t>
      </w:r>
    </w:p>
    <w:p>
      <w:pPr>
        <w:keepNext/>
        <w:widowControl/>
      </w:pPr>
      <w:r>
        <w:rPr>
          <w:b/>
          <w:i w:val="0"/>
        </w:rPr>
        <w:t>The word.</w:t>
      </w:r>
    </w:p>
    <w:p>
      <w:pPr>
        <w:widowControl/>
      </w:pPr>
      <w:r>
        <w:rPr>
          <w:b w:val="0"/>
          <w:i w:val="0"/>
        </w:rPr>
        <w:t>Figura is shape or configuration, not automatically a mental image. Reficere fashions anew; depingere paints or depicts. The inward artifex or faber is a productive craftsman. Rationes et semina are the patterns and seeds by which it arranges the body’s members.</w:t>
      </w:r>
    </w:p>
    <w:p>
      <w:pPr>
        <w:keepNext/>
        <w:widowControl/>
      </w:pPr>
      <w:r>
        <w:rPr>
          <w:b/>
          <w:i w:val="0"/>
        </w:rPr>
        <w:t>In the Platonic Theology.</w:t>
      </w:r>
    </w:p>
    <w:p>
      <w:pPr>
        <w:widowControl/>
      </w:pPr>
      <w:r>
        <w:rPr>
          <w:b w:val="0"/>
          <w:i w:val="0"/>
        </w:rPr>
        <w:t>The objection appeals to bodily shape: flesh changes while the same figure seems to remain, so why could cognition not remain through replacement of soul-substance? Ficino first denies exact numerical sameness of bodily figure. The old figure departs with old flesh and a newly fashioned one resembles it in some measure. This recurring resemblance requires a supremely stable inward craftsman holding the formative patterns and seeds, capable of proportioning fresh humours and shaping fresh flesh.</w:t>
      </w:r>
    </w:p>
    <w:p>
      <w:pPr>
        <w:widowControl/>
      </w:pPr>
      <w:r>
        <w:rPr>
          <w:b w:val="0"/>
          <w:i w:val="0"/>
        </w:rPr>
        <w:t>A face looking down at a river then depicts itself in ever-new waves, making the same face seem to persist within the water. The stable face is distinct from the replacing reflections; apparent continuity in the stream depends on a source outside its flux. Ficino identifies the inward bodily craftsman as soul. If soul itself also flowed, neither continued bodily resemblance nor similar knowledge would be explained. The image therefore answers the objection rather than simply accepting that unchanged pattern can survive without an enduring agent.</w:t>
      </w:r>
    </w:p>
    <w:p>
      <w:pPr>
        <w:keepNext/>
        <w:widowControl/>
      </w:pPr>
      <w:r>
        <w:rPr>
          <w:b/>
          <w:i w:val="0"/>
        </w:rPr>
        <w:t>Places to Read.</w:t>
      </w:r>
    </w:p>
    <w:p>
      <w:pPr>
        <w:ind w:left="187" w:hanging="187"/>
      </w:pPr>
      <w:r>
        <w:t xml:space="preserve">• </w:t>
      </w:r>
      <w:r>
        <w:rPr>
          <w:b/>
          <w:i w:val="0"/>
        </w:rPr>
        <w:t>VI.13.9; source PDF pp. 226, 227</w:t>
      </w:r>
      <w:r>
        <w:rPr>
          <w:b w:val="0"/>
          <w:i w:val="0"/>
        </w:rPr>
        <w:t>. Numerical sameness and approximate reproduced likeness are distinguished through the internal craftsman.</w:t>
      </w:r>
    </w:p>
    <w:p>
      <w:pPr>
        <w:ind w:left="187" w:hanging="187"/>
      </w:pPr>
      <w:r>
        <w:t xml:space="preserve">• </w:t>
      </w:r>
      <w:r>
        <w:rPr>
          <w:b/>
          <w:i w:val="0"/>
        </w:rPr>
        <w:t>VI.13.10; source PDF pp. 226, 227</w:t>
      </w:r>
      <w:r>
        <w:rPr>
          <w:b w:val="0"/>
          <w:i w:val="0"/>
        </w:rPr>
        <w:t>. The face and new waves expose the stable source needed for recurrent reflections.</w:t>
      </w:r>
    </w:p>
    <w:p>
      <w:pPr>
        <w:keepNext/>
        <w:widowControl/>
      </w:pPr>
      <w:r>
        <w:rPr>
          <w:b/>
          <w:i w:val="0"/>
        </w:rPr>
        <w:t>In this edition.</w:t>
      </w:r>
    </w:p>
    <w:p>
      <w:pPr>
        <w:widowControl/>
      </w:pPr>
      <w:r>
        <w:rPr>
          <w:b w:val="0"/>
          <w:i w:val="0"/>
        </w:rPr>
        <w:t xml:space="preserve">The apparatus preserves M1482’s labat rather than the later labatur and emphasizes similes, </w:t>
      </w:r>
      <w:r>
        <w:t>“</w:t>
      </w:r>
      <w:r>
        <w:rPr>
          <w:b w:val="0"/>
          <w:i w:val="0"/>
        </w:rPr>
        <w:t>similar,</w:t>
      </w:r>
      <w:r>
        <w:t>”</w:t>
      </w:r>
      <w:r>
        <w:rPr>
          <w:b w:val="0"/>
          <w:i w:val="0"/>
        </w:rPr>
        <w:t xml:space="preserve"> throughout. The river analogy supplies a causal distinction between face and reflections, not a general assertion that all appearances are unreal.</w:t>
      </w:r>
    </w:p>
    <w:p>
      <w:pPr>
        <w:keepNext/>
        <w:widowControl/>
      </w:pPr>
      <w:r>
        <w:rPr>
          <w:b/>
          <w:i w:val="0"/>
        </w:rPr>
        <w:t>See also.</w:t>
      </w:r>
    </w:p>
    <w:p>
      <w:pPr>
        <w:widowControl/>
      </w:pPr>
      <w:hyperlink w:anchor="persistence-memory-and-recognition">
        <w:r>
          <w:rPr>
            <w:color w:val="000000"/>
          </w:rPr>
          <w:t xml:space="preserve">Persistence, memory and recognition</w:t>
        </w:r>
      </w:hyperlink>
      <w:r>
        <w:rPr>
          <w:b w:val="0"/>
          <w:i w:val="0"/>
        </w:rPr>
        <w:t xml:space="preserve">; </w:t>
      </w:r>
      <w:hyperlink w:anchor="images-migration-and-perfect-agent">
        <w:r>
          <w:rPr>
            <w:color w:val="000000"/>
          </w:rPr>
          <w:t xml:space="preserve">Images, migration and the perfect agent</w:t>
        </w:r>
      </w:hyperlink>
    </w:p>
    <w:p>
      <w:pPr>
        <w:pStyle w:val="Heading2"/>
      </w:pPr>
      <w:bookmarkStart w:id="220" w:name="vii-substance-degrees"/>
      <w:r>
        <w:rPr>
          <w:b w:val="0"/>
          <w:i w:val="0"/>
        </w:rPr>
        <w:t>Substance, qualities and degrees</w:t>
      </w:r>
      <w:bookmarkEnd w:id="220"/>
    </w:p>
    <w:p>
      <w:pPr>
        <w:keepNext/>
        <w:widowControl/>
      </w:pPr>
      <w:r>
        <w:rPr>
          <w:b/>
          <w:i w:val="0"/>
        </w:rPr>
        <w:t>Latin:</w:t>
      </w:r>
      <w:r>
        <w:rPr>
          <w:b w:val="0"/>
          <w:i w:val="0"/>
        </w:rPr>
        <w:t xml:space="preserve"> </w:t>
      </w:r>
      <w:r>
        <w:rPr>
          <w:b w:val="0"/>
          <w:i/>
        </w:rPr>
        <w:t>substantia</w:t>
      </w:r>
      <w:r>
        <w:rPr>
          <w:b w:val="0"/>
          <w:i w:val="0"/>
        </w:rPr>
        <w:t xml:space="preserve">; </w:t>
      </w:r>
      <w:r>
        <w:rPr>
          <w:b w:val="0"/>
          <w:i/>
        </w:rPr>
        <w:t>subiectum</w:t>
      </w:r>
      <w:r>
        <w:rPr>
          <w:b w:val="0"/>
          <w:i w:val="0"/>
        </w:rPr>
        <w:t xml:space="preserve">; </w:t>
      </w:r>
      <w:r>
        <w:rPr>
          <w:b w:val="0"/>
          <w:i/>
        </w:rPr>
        <w:t>accidens</w:t>
      </w:r>
      <w:r>
        <w:rPr>
          <w:b w:val="0"/>
          <w:i w:val="0"/>
        </w:rPr>
        <w:t xml:space="preserve">; </w:t>
      </w:r>
      <w:r>
        <w:rPr>
          <w:b w:val="0"/>
          <w:i/>
        </w:rPr>
        <w:t>genus</w:t>
      </w:r>
      <w:r>
        <w:rPr>
          <w:b w:val="0"/>
          <w:i w:val="0"/>
        </w:rPr>
        <w:t xml:space="preserve">; </w:t>
      </w:r>
      <w:r>
        <w:rPr>
          <w:b w:val="0"/>
          <w:i/>
        </w:rPr>
        <w:t>contrarium</w:t>
      </w:r>
      <w:r>
        <w:rPr>
          <w:b w:val="0"/>
          <w:i w:val="0"/>
        </w:rPr>
        <w:t xml:space="preserve">; </w:t>
      </w:r>
      <w:r>
        <w:rPr>
          <w:b w:val="0"/>
          <w:i/>
        </w:rPr>
        <w:t>magis ac minus</w:t>
      </w:r>
      <w:r>
        <w:rPr>
          <w:b w:val="0"/>
          <w:i w:val="0"/>
        </w:rPr>
        <w:t xml:space="preserve">; </w:t>
      </w:r>
      <w:r>
        <w:rPr>
          <w:b w:val="0"/>
          <w:i/>
        </w:rPr>
        <w:t>intendere</w:t>
      </w:r>
      <w:r>
        <w:rPr>
          <w:b w:val="0"/>
          <w:i w:val="0"/>
        </w:rPr>
        <w:t xml:space="preserve">; </w:t>
      </w:r>
      <w:r>
        <w:rPr>
          <w:b w:val="0"/>
          <w:i/>
        </w:rPr>
        <w:t>remittere</w:t>
      </w:r>
    </w:p>
    <w:p>
      <w:pPr>
        <w:keepNext/>
        <w:widowControl/>
      </w:pPr>
      <w:r>
        <w:rPr>
          <w:b/>
          <w:i w:val="0"/>
        </w:rPr>
        <w:t>The word.</w:t>
      </w:r>
    </w:p>
    <w:p>
      <w:pPr>
        <w:widowControl/>
      </w:pPr>
      <w:r>
        <w:rPr>
          <w:b w:val="0"/>
          <w:i w:val="0"/>
        </w:rPr>
        <w:t xml:space="preserve">Substance is what a thing is, rather than an accidental condition inhering in it. </w:t>
      </w:r>
      <w:r>
        <w:rPr>
          <w:b w:val="0"/>
          <w:i/>
        </w:rPr>
        <w:t>Subiectum</w:t>
      </w:r>
      <w:r>
        <w:rPr>
          <w:b w:val="0"/>
          <w:i w:val="0"/>
        </w:rPr>
        <w:t xml:space="preserve"> is the receiving subject. </w:t>
      </w:r>
      <w:r>
        <w:rPr>
          <w:b w:val="0"/>
          <w:i/>
        </w:rPr>
        <w:t>Magis ac minus</w:t>
      </w:r>
      <w:r>
        <w:rPr>
          <w:b w:val="0"/>
          <w:i w:val="0"/>
        </w:rPr>
        <w:t xml:space="preserve"> concerns more and less of a quality; intensification and remission are not automatically changes in substantial identity.</w:t>
      </w:r>
    </w:p>
    <w:p>
      <w:pPr>
        <w:keepNext/>
        <w:widowControl/>
      </w:pPr>
      <w:r>
        <w:rPr>
          <w:b/>
          <w:i w:val="0"/>
        </w:rPr>
        <w:t>In the Platonic Theology.</w:t>
      </w:r>
    </w:p>
    <w:p>
      <w:pPr>
        <w:widowControl/>
      </w:pPr>
      <w:r>
        <w:rPr>
          <w:b w:val="0"/>
          <w:i w:val="0"/>
        </w:rPr>
        <w:t>A constitution results when matter receives contrary qualities and they are mixed. The qualities do not simply receive one another, since they oppose one another. Their bodily subject is therefore indispensable. The constitution also has a contrary: an excessive foreign quality can disrupt its composition. Its nature, power and operation increase and decrease. Ficino uses all these features to distinguish it from substance.</w:t>
      </w:r>
    </w:p>
    <w:p>
      <w:pPr>
        <w:widowControl/>
      </w:pPr>
      <w:r>
        <w:rPr>
          <w:b w:val="0"/>
          <w:i w:val="0"/>
        </w:rPr>
        <w:t xml:space="preserve">The stone example gives the intended sense of </w:t>
      </w:r>
      <w:r>
        <w:t>“</w:t>
      </w:r>
      <w:r>
        <w:rPr>
          <w:b w:val="0"/>
          <w:i w:val="0"/>
        </w:rPr>
        <w:t>more and less.</w:t>
      </w:r>
      <w:r>
        <w:t>”</w:t>
      </w:r>
      <w:r>
        <w:rPr>
          <w:b w:val="0"/>
          <w:i w:val="0"/>
        </w:rPr>
        <w:t xml:space="preserve"> Once something is a stone, one stone is not more a stone than another by the manner in which a constitution is more intense. This does not mean that stones cannot differ in size, strength or other properties. Nor does the absence of a proper substantial contrary mean that substances cannot be destroyed. Ficino assigns contrariety, as such, to the genus of quality and denies that substantial identity itself is graded like a quality.</w:t>
      </w:r>
    </w:p>
    <w:p>
      <w:pPr>
        <w:widowControl/>
      </w:pPr>
      <w:r>
        <w:rPr>
          <w:b w:val="0"/>
          <w:i w:val="0"/>
        </w:rPr>
        <w:t xml:space="preserve">The chapter’s logical joint deserves attention. The first unit concludes conditionally: if soul is substance, it is not constitution. The next unit supplies the positive argument from a living thing’s determinate kind and the soul’s making, maintaining and repairing its body. Treating the conditional conclusion alone as the entire proof would omit this essential work. Conversely, the body-building proof does not make every form called </w:t>
      </w:r>
      <w:r>
        <w:t>“</w:t>
      </w:r>
      <w:r>
        <w:rPr>
          <w:b w:val="0"/>
          <w:i w:val="0"/>
        </w:rPr>
        <w:t>substantial</w:t>
      </w:r>
      <w:r>
        <w:t>”</w:t>
      </w:r>
      <w:r>
        <w:rPr>
          <w:b w:val="0"/>
          <w:i w:val="0"/>
        </w:rPr>
        <w:t xml:space="preserve"> in the preceding elemental discussion equivalent to soul.</w:t>
      </w:r>
    </w:p>
    <w:p>
      <w:pPr>
        <w:keepNext/>
        <w:widowControl/>
      </w:pPr>
      <w:r>
        <w:rPr>
          <w:b/>
          <w:i w:val="0"/>
        </w:rPr>
        <w:t>Places to Read.</w:t>
      </w:r>
    </w:p>
    <w:p>
      <w:pPr>
        <w:ind w:left="187" w:hanging="187"/>
      </w:pPr>
      <w:r>
        <w:t xml:space="preserve">• </w:t>
      </w:r>
      <w:r>
        <w:rPr>
          <w:b/>
          <w:i w:val="0"/>
        </w:rPr>
        <w:t>VII.9.1, PDF 266–267</w:t>
      </w:r>
      <w:r>
        <w:rPr>
          <w:b w:val="0"/>
          <w:i w:val="0"/>
        </w:rPr>
        <w:t>. Material dependence, contrariety and more-and-less distinguish constitution from substance.</w:t>
      </w:r>
    </w:p>
    <w:p>
      <w:pPr>
        <w:ind w:left="187" w:hanging="187"/>
      </w:pPr>
      <w:r>
        <w:t xml:space="preserve">• </w:t>
      </w:r>
      <w:r>
        <w:rPr>
          <w:b/>
          <w:i w:val="0"/>
        </w:rPr>
        <w:t>VII.9.2, PDF 268–269</w:t>
      </w:r>
      <w:r>
        <w:rPr>
          <w:b w:val="0"/>
          <w:i w:val="0"/>
        </w:rPr>
        <w:t>. The soul’s substantial status is argued positively through species and productive care.</w:t>
      </w:r>
    </w:p>
    <w:p>
      <w:pPr>
        <w:keepNext/>
        <w:widowControl/>
      </w:pPr>
      <w:r>
        <w:rPr>
          <w:b/>
          <w:i w:val="0"/>
        </w:rPr>
        <w:t>In this edition.</w:t>
      </w:r>
    </w:p>
    <w:p>
      <w:pPr>
        <w:widowControl/>
      </w:pPr>
      <w:r>
        <w:rPr>
          <w:b w:val="0"/>
          <w:i w:val="0"/>
        </w:rPr>
        <w:t xml:space="preserve">The source paragraph is editorially divided between its negative and positive arguments. </w:t>
      </w:r>
      <w:r>
        <w:t>“</w:t>
      </w:r>
      <w:r>
        <w:rPr>
          <w:b w:val="0"/>
          <w:i w:val="0"/>
        </w:rPr>
        <w:t>This stone more or less a stone than that</w:t>
      </w:r>
      <w:r>
        <w:t>”</w:t>
      </w:r>
      <w:r>
        <w:rPr>
          <w:b w:val="0"/>
          <w:i w:val="0"/>
        </w:rPr>
        <w:t xml:space="preserve"> concerns the stone’s being what it is. The word </w:t>
      </w:r>
      <w:r>
        <w:rPr>
          <w:b w:val="0"/>
          <w:i/>
        </w:rPr>
        <w:t>species</w:t>
      </w:r>
      <w:r>
        <w:rPr>
          <w:b w:val="0"/>
          <w:i w:val="0"/>
        </w:rPr>
        <w:t xml:space="preserve"> in the following unit names the living thing’s kind, not the sensory species of VII.4.2.</w:t>
      </w:r>
    </w:p>
    <w:p>
      <w:pPr>
        <w:keepNext/>
        <w:widowControl/>
      </w:pPr>
      <w:r>
        <w:rPr>
          <w:b/>
          <w:i w:val="0"/>
        </w:rPr>
        <w:t>See also.</w:t>
      </w:r>
    </w:p>
    <w:p>
      <w:pPr>
        <w:widowControl/>
      </w:pPr>
      <w:hyperlink w:anchor="vii-bodily-constitution">
        <w:r>
          <w:rPr>
            <w:color w:val="000000"/>
          </w:rPr>
          <w:t xml:space="preserve">Bodily constitution and temperament</w:t>
        </w:r>
      </w:hyperlink>
      <w:r>
        <w:rPr>
          <w:b w:val="0"/>
          <w:i w:val="0"/>
        </w:rPr>
        <w:t xml:space="preserve">; </w:t>
      </w:r>
      <w:hyperlink w:anchor="vii-soul-body-craftsman">
        <w:r>
          <w:rPr>
            <w:color w:val="000000"/>
          </w:rPr>
          <w:t xml:space="preserve">Soul as the body’s craftsman</w:t>
        </w:r>
      </w:hyperlink>
      <w:r>
        <w:rPr>
          <w:b w:val="0"/>
          <w:i w:val="0"/>
        </w:rPr>
        <w:t xml:space="preserve">; </w:t>
      </w:r>
      <w:hyperlink w:anchor="vii-moral-concord">
        <w:r>
          <w:rPr>
            <w:color w:val="000000"/>
          </w:rPr>
          <w:t xml:space="preserve">Moral concord and the robber</w:t>
        </w:r>
      </w:hyperlink>
    </w:p>
    <w:p>
      <w:pPr>
        <w:pStyle w:val="Heading2"/>
      </w:pPr>
      <w:bookmarkStart w:id="221" w:name="substantial-form-and-receiving-subject"/>
      <w:r>
        <w:rPr>
          <w:b w:val="0"/>
          <w:i w:val="0"/>
        </w:rPr>
        <w:t>Substantial form and the receiving subject</w:t>
      </w:r>
      <w:bookmarkEnd w:id="221"/>
    </w:p>
    <w:p>
      <w:pPr>
        <w:keepNext/>
        <w:widowControl/>
      </w:pPr>
      <w:r>
        <w:rPr>
          <w:b/>
          <w:i w:val="0"/>
        </w:rPr>
        <w:t>Latin:</w:t>
      </w:r>
      <w:r>
        <w:rPr>
          <w:b w:val="0"/>
          <w:i w:val="0"/>
        </w:rPr>
        <w:t xml:space="preserve"> </w:t>
      </w:r>
      <w:r>
        <w:rPr>
          <w:b w:val="0"/>
          <w:i/>
        </w:rPr>
        <w:t>forma substantialis</w:t>
      </w:r>
      <w:r>
        <w:rPr>
          <w:b w:val="0"/>
          <w:i w:val="0"/>
        </w:rPr>
        <w:t xml:space="preserve">; </w:t>
      </w:r>
      <w:r>
        <w:rPr>
          <w:b w:val="0"/>
          <w:i/>
        </w:rPr>
        <w:t>accidens</w:t>
      </w:r>
      <w:r>
        <w:rPr>
          <w:b w:val="0"/>
          <w:i w:val="0"/>
        </w:rPr>
        <w:t xml:space="preserve">; </w:t>
      </w:r>
      <w:r>
        <w:rPr>
          <w:b w:val="0"/>
          <w:i/>
        </w:rPr>
        <w:t>subiectum</w:t>
      </w:r>
      <w:r>
        <w:rPr>
          <w:b w:val="0"/>
          <w:i w:val="0"/>
        </w:rPr>
        <w:t xml:space="preserve">; </w:t>
      </w:r>
      <w:r>
        <w:rPr>
          <w:b w:val="0"/>
          <w:i/>
        </w:rPr>
        <w:t>potentia</w:t>
      </w:r>
      <w:r>
        <w:rPr>
          <w:b w:val="0"/>
          <w:i w:val="0"/>
        </w:rPr>
        <w:t xml:space="preserve">; </w:t>
      </w:r>
      <w:r>
        <w:rPr>
          <w:b w:val="0"/>
          <w:i/>
        </w:rPr>
        <w:t>actus</w:t>
      </w:r>
      <w:r>
        <w:rPr>
          <w:b w:val="0"/>
          <w:i w:val="0"/>
        </w:rPr>
        <w:t xml:space="preserve">; </w:t>
      </w:r>
      <w:r>
        <w:rPr>
          <w:b w:val="0"/>
          <w:i/>
        </w:rPr>
        <w:t>recipere opposita</w:t>
      </w:r>
    </w:p>
    <w:p>
      <w:pPr>
        <w:keepNext/>
        <w:widowControl/>
      </w:pPr>
      <w:r>
        <w:rPr>
          <w:b/>
          <w:i w:val="0"/>
        </w:rPr>
        <w:t>The word.</w:t>
      </w:r>
    </w:p>
    <w:p>
      <w:pPr>
        <w:widowControl/>
      </w:pPr>
      <w:r>
        <w:rPr>
          <w:b w:val="0"/>
          <w:i w:val="0"/>
        </w:rPr>
        <w:t>A substantial form constitutes what the thing is; an accident is a dependent determination. Subiectum is the bearer in which a form or condition inheres, distinct from locus, the place a body occupies. Receiving opposites while remaining the same is a criterion of substance in the argument.</w:t>
      </w:r>
    </w:p>
    <w:p>
      <w:pPr>
        <w:keepNext/>
        <w:widowControl/>
      </w:pPr>
      <w:r>
        <w:rPr>
          <w:b/>
          <w:i w:val="0"/>
        </w:rPr>
        <w:t>In the Platonic Theology.</w:t>
      </w:r>
    </w:p>
    <w:p>
      <w:pPr>
        <w:widowControl/>
      </w:pPr>
      <w:r>
        <w:rPr>
          <w:b w:val="0"/>
          <w:i w:val="0"/>
        </w:rPr>
        <w:t>The animal can be analysed as matter and form or as body and soul. Because body is not itself the form of something else, soul occupies the formal role: it is the internal principle of operation, motion and being, bringing the potentially living body into actual life. If soul itself were another matter–form body, a further unifying form would be needed. The hypothetical composition also prevents its whole essence from forming the body, assigns one form two matters of the same kind, and permits mutual transmutation between soul and lower bodies.</w:t>
      </w:r>
    </w:p>
    <w:p>
      <w:pPr>
        <w:widowControl/>
      </w:pPr>
      <w:r>
        <w:rPr>
          <w:b w:val="0"/>
          <w:i w:val="0"/>
        </w:rPr>
        <w:t>Ficino then distinguishes substantial from accidental form. Soul contains, steadies and turns body, surpassing what it governs; a mover as source of motion does not derive its being from the moved; and soul remains the same while opinions, knowledge, ignorance and affections change. Its identity is not identical with any one passing state. The closing postponed arguments concern resistance to bodily demands, self-reflection and knowledge of substance above accident. Their mention is not a full demonstration within this chapter.</w:t>
      </w:r>
    </w:p>
    <w:p>
      <w:pPr>
        <w:keepNext/>
        <w:widowControl/>
      </w:pPr>
      <w:r>
        <w:rPr>
          <w:b/>
          <w:i w:val="0"/>
        </w:rPr>
        <w:t>Places to Read.</w:t>
      </w:r>
    </w:p>
    <w:p>
      <w:pPr>
        <w:ind w:left="187" w:hanging="187"/>
      </w:pPr>
      <w:r>
        <w:t xml:space="preserve">• </w:t>
      </w:r>
      <w:r>
        <w:rPr>
          <w:b/>
          <w:i w:val="0"/>
        </w:rPr>
        <w:t>VI.7.1, VI.7.2; source PDF pp. 182, 183</w:t>
      </w:r>
      <w:r>
        <w:rPr>
          <w:b w:val="0"/>
          <w:i w:val="0"/>
        </w:rPr>
        <w:t>. The matter/form analysis and three consequences test a bodily composition of soul.</w:t>
      </w:r>
    </w:p>
    <w:p>
      <w:pPr>
        <w:ind w:left="187" w:hanging="187"/>
      </w:pPr>
      <w:r>
        <w:t xml:space="preserve">• </w:t>
      </w:r>
      <w:r>
        <w:rPr>
          <w:b/>
          <w:i w:val="0"/>
        </w:rPr>
        <w:t>VI.7.3, VI.7.4; source PDF pp. 184, 185</w:t>
      </w:r>
      <w:r>
        <w:rPr>
          <w:b w:val="0"/>
          <w:i w:val="0"/>
        </w:rPr>
        <w:t>. Governance, causal independence and reception of opposites support substantial form.</w:t>
      </w:r>
    </w:p>
    <w:p>
      <w:pPr>
        <w:keepNext/>
        <w:widowControl/>
      </w:pPr>
      <w:r>
        <w:rPr>
          <w:b/>
          <w:i w:val="0"/>
        </w:rPr>
        <w:t>In this edition.</w:t>
      </w:r>
    </w:p>
    <w:p>
      <w:pPr>
        <w:widowControl/>
      </w:pPr>
      <w:r>
        <w:rPr>
          <w:b w:val="0"/>
          <w:i w:val="0"/>
        </w:rPr>
        <w:t xml:space="preserve">The apparatus retains contineat without the later witnesses’ non in VI.7.3; that negation would conflict with the ruling soul’s containing role. VI.7.4’s </w:t>
      </w:r>
      <w:r>
        <w:t>“</w:t>
      </w:r>
      <w:r>
        <w:rPr>
          <w:b w:val="0"/>
          <w:i w:val="0"/>
        </w:rPr>
        <w:t>form insofar as form cannot be formed</w:t>
      </w:r>
      <w:r>
        <w:t>”</w:t>
      </w:r>
      <w:r>
        <w:rPr>
          <w:b w:val="0"/>
          <w:i w:val="0"/>
        </w:rPr>
        <w:t xml:space="preserve"> concerns the formal aspect, not a denial that a created soul has a producer.</w:t>
      </w:r>
    </w:p>
    <w:p>
      <w:pPr>
        <w:keepNext/>
        <w:widowControl/>
      </w:pPr>
      <w:r>
        <w:rPr>
          <w:b/>
          <w:i w:val="0"/>
        </w:rPr>
        <w:t>See also.</w:t>
      </w:r>
    </w:p>
    <w:p>
      <w:pPr>
        <w:widowControl/>
      </w:pPr>
      <w:hyperlink w:anchor="unity-dispersion-and-inward-bond">
        <w:r>
          <w:rPr>
            <w:color w:val="000000"/>
          </w:rPr>
          <w:t xml:space="preserve">Unity, dispersion and the inward bond</w:t>
        </w:r>
      </w:hyperlink>
      <w:r>
        <w:rPr>
          <w:b w:val="0"/>
          <w:i w:val="0"/>
        </w:rPr>
        <w:t xml:space="preserve">; </w:t>
      </w:r>
      <w:hyperlink w:anchor="persistence-memory-and-recognition">
        <w:r>
          <w:rPr>
            <w:color w:val="000000"/>
          </w:rPr>
          <w:t xml:space="preserve">Persistence, memory and recognition</w:t>
        </w:r>
      </w:hyperlink>
    </w:p>
    <w:p>
      <w:pPr>
        <w:pStyle w:val="Heading2"/>
      </w:pPr>
      <w:bookmarkStart w:id="222" w:name="viii-sudden-insight"/>
      <w:r>
        <w:rPr>
          <w:b w:val="0"/>
          <w:i w:val="0"/>
        </w:rPr>
        <w:t>Sudden insight, habituation, and the hare</w:t>
      </w:r>
      <w:bookmarkEnd w:id="222"/>
    </w:p>
    <w:p>
      <w:pPr>
        <w:keepNext/>
        <w:widowControl/>
      </w:pPr>
      <w:r>
        <w:rPr>
          <w:b/>
          <w:i w:val="0"/>
        </w:rPr>
        <w:t>Latin:</w:t>
      </w:r>
      <w:r>
        <w:rPr>
          <w:b w:val="0"/>
          <w:i w:val="0"/>
        </w:rPr>
        <w:t xml:space="preserve"> </w:t>
      </w:r>
      <w:r>
        <w:rPr>
          <w:b w:val="0"/>
          <w:i/>
        </w:rPr>
        <w:t>claritas</w:t>
      </w:r>
      <w:r>
        <w:rPr>
          <w:b w:val="0"/>
          <w:i w:val="0"/>
        </w:rPr>
        <w:t xml:space="preserve">; </w:t>
      </w:r>
      <w:r>
        <w:rPr>
          <w:b w:val="0"/>
          <w:i/>
        </w:rPr>
        <w:t>fervor</w:t>
      </w:r>
      <w:r>
        <w:rPr>
          <w:b w:val="0"/>
          <w:i w:val="0"/>
        </w:rPr>
        <w:t xml:space="preserve">; </w:t>
      </w:r>
      <w:r>
        <w:rPr>
          <w:b w:val="0"/>
          <w:i/>
        </w:rPr>
        <w:t>indago</w:t>
      </w:r>
      <w:r>
        <w:rPr>
          <w:b w:val="0"/>
          <w:i w:val="0"/>
        </w:rPr>
        <w:t xml:space="preserve">; </w:t>
      </w:r>
      <w:r>
        <w:rPr>
          <w:b w:val="0"/>
          <w:i/>
        </w:rPr>
        <w:t>lepus</w:t>
      </w:r>
      <w:r>
        <w:rPr>
          <w:b w:val="0"/>
          <w:i w:val="0"/>
        </w:rPr>
        <w:t xml:space="preserve">; </w:t>
      </w:r>
      <w:r>
        <w:rPr>
          <w:b w:val="0"/>
          <w:i/>
        </w:rPr>
        <w:t>discussio</w:t>
      </w:r>
      <w:r>
        <w:rPr>
          <w:b w:val="0"/>
          <w:i w:val="0"/>
        </w:rPr>
        <w:t xml:space="preserve">; </w:t>
      </w:r>
      <w:r>
        <w:rPr>
          <w:b w:val="0"/>
          <w:i/>
        </w:rPr>
        <w:t>scintilla</w:t>
      </w:r>
      <w:r>
        <w:rPr>
          <w:b w:val="0"/>
          <w:i w:val="0"/>
        </w:rPr>
        <w:t xml:space="preserve">; </w:t>
      </w:r>
      <w:r>
        <w:rPr>
          <w:b w:val="0"/>
          <w:i/>
        </w:rPr>
        <w:t>accendere</w:t>
      </w:r>
      <w:r>
        <w:rPr>
          <w:b w:val="0"/>
          <w:i w:val="0"/>
        </w:rPr>
        <w:t xml:space="preserve">; </w:t>
      </w:r>
      <w:r>
        <w:rPr>
          <w:b w:val="0"/>
          <w:i/>
        </w:rPr>
        <w:t>e vestigio</w:t>
      </w:r>
    </w:p>
    <w:p>
      <w:pPr>
        <w:keepNext/>
        <w:widowControl/>
      </w:pPr>
      <w:r>
        <w:rPr>
          <w:b/>
          <w:i w:val="0"/>
        </w:rPr>
        <w:t>The word.</w:t>
      </w:r>
    </w:p>
    <w:p>
      <w:pPr>
        <w:widowControl/>
      </w:pPr>
      <w:r>
        <w:rPr>
          <w:b w:val="0"/>
          <w:i w:val="0"/>
        </w:rPr>
        <w:t>Claritas is the realized lucidity of intellect; fervor is the stable heat of appetite ignited by it. Indago names a search, while discussio evokes both inquiry and repeated striking. E vestigio means immediately in the local conclusion.</w:t>
      </w:r>
    </w:p>
    <w:p>
      <w:pPr>
        <w:keepNext/>
        <w:widowControl/>
      </w:pPr>
      <w:r>
        <w:rPr>
          <w:b/>
          <w:i w:val="0"/>
        </w:rPr>
        <w:t>In the Platonic Theology.</w:t>
      </w:r>
    </w:p>
    <w:p>
      <w:pPr>
        <w:widowControl/>
      </w:pPr>
      <w:r>
        <w:rPr>
          <w:b w:val="0"/>
          <w:i w:val="0"/>
        </w:rPr>
        <w:t>Preparation can take time even when the achieved act is indivisible. A hunter follows many tracks before suddenly seeing the hare. Inquiry likewise proceeds laboriously before the truth becomes evident. Ficino then changes images: a stone repeatedly struck yields a spark; breath repeatedly applied finally kindles a sufficient flame. Long moral habituation prepares the young person until appetite possesses the stable rational ardour that counts as virtue.</w:t>
      </w:r>
    </w:p>
    <w:p>
      <w:pPr>
        <w:widowControl/>
      </w:pPr>
      <w:r>
        <w:rPr>
          <w:b w:val="0"/>
          <w:i w:val="0"/>
        </w:rPr>
        <w:t xml:space="preserve">A mirror turned toward the sun receives light at once; prepared wool beneath it catches fire. The reflected light models intellectual clarity, and the wool’s flame the appetite illuminated and moved by clarity. Each analogy has its own stages, so collapsing them into </w:t>
      </w:r>
      <w:r>
        <w:t>“</w:t>
      </w:r>
      <w:r>
        <w:rPr>
          <w:b w:val="0"/>
          <w:i w:val="0"/>
        </w:rPr>
        <w:t>knowledge is light</w:t>
      </w:r>
      <w:r>
        <w:t>”</w:t>
      </w:r>
      <w:r>
        <w:rPr>
          <w:b w:val="0"/>
          <w:i w:val="0"/>
        </w:rPr>
        <w:t xml:space="preserve"> would lose the role of preparation and the relation between intellect and appetite.</w:t>
      </w:r>
    </w:p>
    <w:p>
      <w:pPr>
        <w:widowControl/>
      </w:pPr>
      <w:r>
        <w:rPr>
          <w:b w:val="0"/>
          <w:i w:val="0"/>
        </w:rPr>
        <w:t>Ficino adds reductios against partitioning realized virtue. If knowing one truth consisted in simultaneously possessing and lacking parts of the same knowledge, he says, one would know and not know the same thing together. If steadfast rational willing were similarly divided, one power would will and not will the same thing together. These arguments depend on his strong account of an integrated realized act; they should not be recast as a denial that a learner can know some facts while lacking others.</w:t>
      </w:r>
    </w:p>
    <w:p>
      <w:pPr>
        <w:widowControl/>
      </w:pPr>
      <w:r>
        <w:rPr>
          <w:b w:val="0"/>
          <w:i w:val="0"/>
        </w:rPr>
        <w:t>The gradual route and sudden completion therefore remain distinct. His argument does not remove instruction, exercise, investigation or custom; those are precisely what the images describe.</w:t>
      </w:r>
    </w:p>
    <w:p>
      <w:pPr>
        <w:keepNext/>
        <w:widowControl/>
      </w:pPr>
      <w:r>
        <w:rPr>
          <w:b/>
          <w:i w:val="0"/>
        </w:rPr>
        <w:t>Places to Read.</w:t>
      </w:r>
    </w:p>
    <w:p>
      <w:pPr>
        <w:ind w:left="187" w:hanging="187"/>
      </w:pPr>
      <w:r>
        <w:t xml:space="preserve">• </w:t>
      </w:r>
      <w:r>
        <w:rPr>
          <w:b/>
          <w:i w:val="0"/>
        </w:rPr>
        <w:t>VIII.3.2, PDF pp. 308–309.</w:t>
      </w:r>
      <w:r>
        <w:rPr>
          <w:b w:val="0"/>
          <w:i w:val="0"/>
        </w:rPr>
        <w:t xml:space="preserve"> Tracking and sighting the hare distinguish preparation from realization.</w:t>
      </w:r>
    </w:p>
    <w:p>
      <w:pPr>
        <w:ind w:left="187" w:hanging="187"/>
      </w:pPr>
      <w:r>
        <w:t xml:space="preserve">• </w:t>
      </w:r>
      <w:r>
        <w:rPr>
          <w:b/>
          <w:i w:val="0"/>
        </w:rPr>
        <w:t>VIII.3.3, PDF pp. 308–309.</w:t>
      </w:r>
      <w:r>
        <w:rPr>
          <w:b w:val="0"/>
          <w:i w:val="0"/>
        </w:rPr>
        <w:t xml:space="preserve"> Spark, breath, mirror and wool develop the connection between insight and formed appetite.</w:t>
      </w:r>
    </w:p>
    <w:p>
      <w:pPr>
        <w:ind w:left="187" w:hanging="187"/>
      </w:pPr>
      <w:r>
        <w:t xml:space="preserve">• </w:t>
      </w:r>
      <w:r>
        <w:rPr>
          <w:b/>
          <w:i w:val="0"/>
        </w:rPr>
        <w:t>VIII.3.4, VIII.3.5, PDF pp. 308–311.</w:t>
      </w:r>
      <w:r>
        <w:rPr>
          <w:b w:val="0"/>
          <w:i w:val="0"/>
        </w:rPr>
        <w:t xml:space="preserve"> Parallel knowledge/ignorance and will/not-will reductios argue against partitions within a completed virtue.</w:t>
      </w:r>
    </w:p>
    <w:p>
      <w:pPr>
        <w:keepNext/>
        <w:widowControl/>
      </w:pPr>
      <w:r>
        <w:rPr>
          <w:b/>
          <w:i w:val="0"/>
        </w:rPr>
        <w:t>In this edition.</w:t>
      </w:r>
    </w:p>
    <w:p>
      <w:pPr>
        <w:widowControl/>
      </w:pPr>
      <w:r>
        <w:rPr>
          <w:b w:val="0"/>
          <w:i w:val="0"/>
        </w:rPr>
        <w:t xml:space="preserve">Constetur in VIII.3.4 is read as </w:t>
      </w:r>
      <w:r>
        <w:t>“</w:t>
      </w:r>
      <w:r>
        <w:rPr>
          <w:b w:val="0"/>
          <w:i w:val="0"/>
        </w:rPr>
        <w:t>were constituted,</w:t>
      </w:r>
      <w:r>
        <w:t>”</w:t>
      </w:r>
      <w:r>
        <w:rPr>
          <w:b w:val="0"/>
          <w:i w:val="0"/>
        </w:rPr>
        <w:t xml:space="preserve"> not simply </w:t>
      </w:r>
      <w:r>
        <w:t>“</w:t>
      </w:r>
      <w:r>
        <w:rPr>
          <w:b w:val="0"/>
          <w:i w:val="0"/>
        </w:rPr>
        <w:t>were known.</w:t>
      </w:r>
      <w:r>
        <w:t>”</w:t>
      </w:r>
      <w:r>
        <w:rPr>
          <w:b w:val="0"/>
          <w:i w:val="0"/>
        </w:rPr>
        <w:t xml:space="preserve"> The apparatus explicitly preserves donec … deficit as an interval in which something is still lacking. These choices prevent the translation from predetermining the argument by adding a final increment the Latin does not name.</w:t>
      </w:r>
    </w:p>
    <w:p>
      <w:pPr>
        <w:keepNext/>
        <w:widowControl/>
      </w:pPr>
      <w:r>
        <w:rPr>
          <w:b/>
          <w:i w:val="0"/>
        </w:rPr>
        <w:t>See also.</w:t>
      </w:r>
    </w:p>
    <w:p>
      <w:pPr>
        <w:widowControl/>
      </w:pPr>
      <w:hyperlink w:anchor="viii-virtue-quality">
        <w:r>
          <w:rPr>
            <w:color w:val="000000"/>
          </w:rPr>
          <w:t xml:space="preserve">Virtue as an indivisible quality</w:t>
        </w:r>
      </w:hyperlink>
      <w:r>
        <w:rPr>
          <w:b w:val="0"/>
          <w:i w:val="0"/>
        </w:rPr>
        <w:t xml:space="preserve">; </w:t>
      </w:r>
      <w:hyperlink w:anchor="viii-immediate-reflexive">
        <w:r>
          <w:rPr>
            <w:color w:val="000000"/>
          </w:rPr>
          <w:t xml:space="preserve">Immediate intellection and the return to particulars</w:t>
        </w:r>
      </w:hyperlink>
      <w:r>
        <w:rPr>
          <w:b w:val="0"/>
          <w:i w:val="0"/>
        </w:rPr>
        <w:t xml:space="preserve">; </w:t>
      </w:r>
      <w:hyperlink w:anchor="viii-reflexive-will">
        <w:r>
          <w:rPr>
            <w:color w:val="000000"/>
          </w:rPr>
          <w:t xml:space="preserve">Reflexive understanding and willing</w:t>
        </w:r>
      </w:hyperlink>
    </w:p>
    <w:p>
      <w:pPr>
        <w:pStyle w:val="Heading2"/>
      </w:pPr>
      <w:bookmarkStart w:id="223" w:name="teaching-without-loss"/>
      <w:r>
        <w:rPr>
          <w:b w:val="0"/>
          <w:i w:val="0"/>
        </w:rPr>
        <w:t>Teaching without loss</w:t>
      </w:r>
      <w:bookmarkEnd w:id="223"/>
    </w:p>
    <w:p>
      <w:pPr>
        <w:keepNext/>
        <w:widowControl/>
      </w:pPr>
      <w:r>
        <w:rPr>
          <w:b/>
          <w:i w:val="0"/>
        </w:rPr>
        <w:t>Latin:</w:t>
      </w:r>
      <w:r>
        <w:rPr>
          <w:b w:val="0"/>
          <w:i w:val="0"/>
        </w:rPr>
        <w:t xml:space="preserve"> </w:t>
      </w:r>
      <w:r>
        <w:rPr>
          <w:b w:val="0"/>
          <w:i/>
        </w:rPr>
        <w:t>docere</w:t>
      </w:r>
      <w:r>
        <w:rPr>
          <w:b w:val="0"/>
          <w:i w:val="0"/>
        </w:rPr>
        <w:t xml:space="preserve">; </w:t>
      </w:r>
      <w:r>
        <w:rPr>
          <w:b w:val="0"/>
          <w:i/>
        </w:rPr>
        <w:t>oblivisci</w:t>
      </w:r>
      <w:r>
        <w:rPr>
          <w:b w:val="0"/>
          <w:i w:val="0"/>
        </w:rPr>
        <w:t xml:space="preserve">; </w:t>
      </w:r>
      <w:r>
        <w:rPr>
          <w:b w:val="0"/>
          <w:i/>
        </w:rPr>
        <w:t>transitus</w:t>
      </w:r>
      <w:r>
        <w:rPr>
          <w:b w:val="0"/>
          <w:i w:val="0"/>
        </w:rPr>
        <w:t xml:space="preserve">; </w:t>
      </w:r>
      <w:r>
        <w:rPr>
          <w:b w:val="0"/>
          <w:i/>
        </w:rPr>
        <w:t>ratio artificiosa</w:t>
      </w:r>
      <w:r>
        <w:rPr>
          <w:b w:val="0"/>
          <w:i w:val="0"/>
        </w:rPr>
        <w:t xml:space="preserve">; </w:t>
      </w:r>
      <w:r>
        <w:rPr>
          <w:b w:val="0"/>
          <w:i/>
        </w:rPr>
        <w:t>rationum coetus</w:t>
      </w:r>
      <w:r>
        <w:rPr>
          <w:b w:val="0"/>
          <w:i w:val="0"/>
        </w:rPr>
        <w:t xml:space="preserve">; </w:t>
      </w:r>
      <w:r>
        <w:rPr>
          <w:b w:val="0"/>
          <w:i/>
        </w:rPr>
        <w:t>separari</w:t>
      </w:r>
    </w:p>
    <w:p>
      <w:pPr>
        <w:keepNext/>
        <w:widowControl/>
      </w:pPr>
      <w:r>
        <w:rPr>
          <w:b/>
          <w:i w:val="0"/>
        </w:rPr>
        <w:t>The word.</w:t>
      </w:r>
    </w:p>
    <w:p>
      <w:pPr>
        <w:widowControl/>
      </w:pPr>
      <w:r>
        <w:rPr>
          <w:b w:val="0"/>
          <w:i w:val="0"/>
        </w:rPr>
        <w:t>Docere is to teach; oblivisci to forget; transitus a passage or transfer. The relevant contrast is between communicating knowledge and relocating a finite item so that its former possessor loses it.</w:t>
      </w:r>
    </w:p>
    <w:p>
      <w:pPr>
        <w:keepNext/>
        <w:widowControl/>
      </w:pPr>
      <w:r>
        <w:rPr>
          <w:b/>
          <w:i w:val="0"/>
        </w:rPr>
        <w:t>In the Platonic Theology.</w:t>
      </w:r>
    </w:p>
    <w:p>
      <w:pPr>
        <w:widowControl/>
      </w:pPr>
      <w:r>
        <w:rPr>
          <w:b w:val="0"/>
          <w:i w:val="0"/>
        </w:rPr>
        <w:t>V.15.15 asks where rational art would go if it separated from its living subject. It cannot be nowhere, given the assumed permanence of its principles, nor in something lifeless, since life is said to ground reason. If it passed from one life to another, teaching would be the best candidate for such transfer.</w:t>
      </w:r>
    </w:p>
    <w:p>
      <w:pPr>
        <w:widowControl/>
      </w:pPr>
      <w:r>
        <w:rPr>
          <w:b w:val="0"/>
          <w:i w:val="0"/>
        </w:rPr>
        <w:t>But the teacher does not forget a truth by teaching it. Ficino takes this to show that the rational art does not travel out of one soul into another in the manner of a material object handed over. The image supplies an accessible test within the argument for inseparability. It is not the trivial claim that nobody ever forgets anything after giving a lesson; the asserted causal relation is that communicating a truth does not itself consume the teacher’s possession.</w:t>
      </w:r>
    </w:p>
    <w:p>
      <w:pPr>
        <w:widowControl/>
      </w:pPr>
      <w:r>
        <w:rPr>
          <w:b w:val="0"/>
          <w:i w:val="0"/>
        </w:rPr>
        <w:t>The conclusion serves the first of V.15.12’s alternatives, where principles are in the mind. V.15.17 explicitly moves to the others. This local role matters: the example supports immaterial communication and an enduring subject rather than establishing, by itself, the entire proof of immortality.</w:t>
      </w:r>
    </w:p>
    <w:p>
      <w:pPr>
        <w:keepNext/>
        <w:widowControl/>
      </w:pPr>
      <w:r>
        <w:rPr>
          <w:b/>
          <w:i w:val="0"/>
        </w:rPr>
        <w:t>Places to Read.</w:t>
      </w:r>
    </w:p>
    <w:p>
      <w:pPr>
        <w:ind w:left="187" w:hanging="187"/>
      </w:pPr>
      <w:r>
        <w:t xml:space="preserve">• </w:t>
      </w:r>
      <w:r>
        <w:rPr>
          <w:b/>
          <w:i w:val="0"/>
        </w:rPr>
        <w:t>V.15.12, V.15.17, PDF 112–115.</w:t>
      </w:r>
      <w:r>
        <w:rPr>
          <w:b w:val="0"/>
          <w:i w:val="0"/>
        </w:rPr>
        <w:t xml:space="preserve"> The example belongs to one member of the larger three-way division.</w:t>
      </w:r>
    </w:p>
    <w:p>
      <w:pPr>
        <w:ind w:left="187" w:hanging="187"/>
      </w:pPr>
      <w:r>
        <w:t xml:space="preserve">• </w:t>
      </w:r>
      <w:r>
        <w:rPr>
          <w:b/>
          <w:i w:val="0"/>
        </w:rPr>
        <w:t>V.15.15, V.15.16, PDF 114–115.</w:t>
      </w:r>
      <w:r>
        <w:rPr>
          <w:b w:val="0"/>
          <w:i w:val="0"/>
        </w:rPr>
        <w:t xml:space="preserve"> Teaching without forgetfulness tests transfer and supports inseparable rational art.</w:t>
      </w:r>
    </w:p>
    <w:p>
      <w:pPr>
        <w:keepNext/>
        <w:widowControl/>
      </w:pPr>
      <w:r>
        <w:rPr>
          <w:b/>
          <w:i w:val="0"/>
        </w:rPr>
        <w:t>In this edition.</w:t>
      </w:r>
    </w:p>
    <w:p>
      <w:pPr>
        <w:widowControl/>
      </w:pPr>
      <w:r>
        <w:rPr>
          <w:b w:val="0"/>
          <w:i w:val="0"/>
        </w:rPr>
        <w:t xml:space="preserve">The English </w:t>
      </w:r>
      <w:r>
        <w:t>“</w:t>
      </w:r>
      <w:r>
        <w:rPr>
          <w:b w:val="0"/>
          <w:i w:val="0"/>
        </w:rPr>
        <w:t>structured reason</w:t>
      </w:r>
      <w:r>
        <w:t>”</w:t>
      </w:r>
      <w:r>
        <w:rPr>
          <w:b w:val="0"/>
          <w:i w:val="0"/>
        </w:rPr>
        <w:t xml:space="preserve"> for ratio artificiosa emphasizes ordered skill, not artificial falsity. No external pedagogical theory is required to follow the example; its force lies in the difference between sharing and losing.</w:t>
      </w:r>
    </w:p>
    <w:p>
      <w:pPr>
        <w:keepNext/>
        <w:widowControl/>
      </w:pPr>
      <w:r>
        <w:rPr>
          <w:b/>
          <w:i w:val="0"/>
        </w:rPr>
        <w:t>See also.</w:t>
      </w:r>
    </w:p>
    <w:p>
      <w:pPr>
        <w:widowControl/>
      </w:pPr>
      <w:hyperlink w:anchor="intelligible-principles-and-reasoning">
        <w:r>
          <w:rPr>
            <w:color w:val="000000"/>
          </w:rPr>
          <w:t xml:space="preserve">Intelligible principles and reasoning</w:t>
        </w:r>
      </w:hyperlink>
      <w:r>
        <w:rPr>
          <w:b w:val="0"/>
          <w:i w:val="0"/>
        </w:rPr>
        <w:t xml:space="preserve">; </w:t>
      </w:r>
      <w:hyperlink w:anchor="transmission-of-form-and-natural-order">
        <w:r>
          <w:rPr>
            <w:color w:val="000000"/>
          </w:rPr>
          <w:t xml:space="preserve">Transmission of form and natural order</w:t>
        </w:r>
      </w:hyperlink>
    </w:p>
    <w:p>
      <w:pPr>
        <w:pStyle w:val="Heading2"/>
      </w:pPr>
      <w:bookmarkStart w:id="224" w:name="temperament-and-harmony"/>
      <w:r>
        <w:rPr>
          <w:b w:val="0"/>
          <w:i w:val="0"/>
        </w:rPr>
        <w:t>Temperament and harmony</w:t>
      </w:r>
      <w:bookmarkEnd w:id="224"/>
    </w:p>
    <w:p>
      <w:pPr>
        <w:keepNext/>
        <w:widowControl/>
      </w:pPr>
      <w:r>
        <w:rPr>
          <w:b/>
          <w:i w:val="0"/>
        </w:rPr>
        <w:t>Latin:</w:t>
      </w:r>
      <w:r>
        <w:rPr>
          <w:b w:val="0"/>
          <w:i w:val="0"/>
        </w:rPr>
        <w:t xml:space="preserve"> </w:t>
      </w:r>
      <w:r>
        <w:rPr>
          <w:b w:val="0"/>
          <w:i/>
        </w:rPr>
        <w:t>temperatio</w:t>
      </w:r>
      <w:r>
        <w:rPr>
          <w:b w:val="0"/>
          <w:i w:val="0"/>
        </w:rPr>
        <w:t xml:space="preserve">; </w:t>
      </w:r>
      <w:r>
        <w:rPr>
          <w:b w:val="0"/>
          <w:i/>
        </w:rPr>
        <w:t>complexio</w:t>
      </w:r>
      <w:r>
        <w:rPr>
          <w:b w:val="0"/>
          <w:i w:val="0"/>
        </w:rPr>
        <w:t xml:space="preserve">; </w:t>
      </w:r>
      <w:r>
        <w:rPr>
          <w:b w:val="0"/>
          <w:i/>
        </w:rPr>
        <w:t>commixtio</w:t>
      </w:r>
      <w:r>
        <w:rPr>
          <w:b w:val="0"/>
          <w:i w:val="0"/>
        </w:rPr>
        <w:t xml:space="preserve">; </w:t>
      </w:r>
      <w:r>
        <w:rPr>
          <w:b w:val="0"/>
          <w:i/>
        </w:rPr>
        <w:t>humores</w:t>
      </w:r>
      <w:r>
        <w:rPr>
          <w:b w:val="0"/>
          <w:i w:val="0"/>
        </w:rPr>
        <w:t xml:space="preserve">; </w:t>
      </w:r>
      <w:r>
        <w:rPr>
          <w:b w:val="0"/>
          <w:i/>
        </w:rPr>
        <w:t>consonantia</w:t>
      </w:r>
      <w:r>
        <w:rPr>
          <w:b w:val="0"/>
          <w:i w:val="0"/>
        </w:rPr>
        <w:t xml:space="preserve">; </w:t>
      </w:r>
      <w:r>
        <w:rPr>
          <w:b w:val="0"/>
          <w:i/>
        </w:rPr>
        <w:t>harmonia</w:t>
      </w:r>
      <w:r>
        <w:rPr>
          <w:b w:val="0"/>
          <w:i w:val="0"/>
        </w:rPr>
        <w:t xml:space="preserve">; </w:t>
      </w:r>
      <w:r>
        <w:rPr>
          <w:b w:val="0"/>
          <w:i/>
        </w:rPr>
        <w:t>dissonare</w:t>
      </w:r>
    </w:p>
    <w:p>
      <w:pPr>
        <w:keepNext/>
        <w:widowControl/>
      </w:pPr>
      <w:r>
        <w:rPr>
          <w:b/>
          <w:i w:val="0"/>
        </w:rPr>
        <w:t>The word.</w:t>
      </w:r>
    </w:p>
    <w:p>
      <w:pPr>
        <w:widowControl/>
      </w:pPr>
      <w:r>
        <w:rPr>
          <w:b w:val="0"/>
          <w:i w:val="0"/>
        </w:rPr>
        <w:t>Temperatio and complexio concern a bodily constitution or mixture, not primarily mood or skin color. Humores are bodily humors in the historical physiological model. Consonantia and harmonia mean harmonious proportion; dissonare is to be out of accord.</w:t>
      </w:r>
    </w:p>
    <w:p>
      <w:pPr>
        <w:keepNext/>
        <w:widowControl/>
      </w:pPr>
      <w:r>
        <w:rPr>
          <w:b/>
          <w:i w:val="0"/>
        </w:rPr>
        <w:t>In the Platonic Theology.</w:t>
      </w:r>
    </w:p>
    <w:p>
      <w:pPr>
        <w:widowControl/>
      </w:pPr>
      <w:r>
        <w:rPr>
          <w:b w:val="0"/>
          <w:i w:val="0"/>
        </w:rPr>
        <w:t>V.15.8 attributes to Aristoxenus and Dicaearchus the view that true life is bodily temperament or something consequent upon it. Ficino rejects this through the mind’s purported capacity to withdraw attention from sense and become more effective at understanding unchangeable objects. A form wholly dependent on a bodily subject could not improve by turning from that very subject.</w:t>
      </w:r>
    </w:p>
    <w:p>
      <w:pPr>
        <w:widowControl/>
      </w:pPr>
      <w:r>
        <w:rPr>
          <w:b w:val="0"/>
          <w:i w:val="0"/>
        </w:rPr>
        <w:t>The next step contrasts a composite accident, the harmony of humors, with the principles of simple substances. If soul were merely the harmony, Ficino argues, it could not know, desire and grasp those principles. V.15.12–17 then tests three possible relations between mind and intelligibles rather than assuming one arrangement throughout: principles in mind, mind in principles, or both self-subsisting. Each is used to resist material-temperament identity.</w:t>
      </w:r>
    </w:p>
    <w:p>
      <w:pPr>
        <w:widowControl/>
      </w:pPr>
      <w:r>
        <w:rPr>
          <w:b w:val="0"/>
          <w:i w:val="0"/>
        </w:rPr>
        <w:t>V.15.18 adds a practical contrast. Mind may be disordered in thought or conduct while the body is harmonious, or harmonious while the body is disordered. The closing verbal play says anyone missing the distinction is out of harmony with truth. This is both an argument and rhetoric; it should not be turned into a clinical rule that mental state is never affected by bodily illness.</w:t>
      </w:r>
    </w:p>
    <w:p>
      <w:pPr>
        <w:widowControl/>
      </w:pPr>
      <w:r>
        <w:rPr>
          <w:b w:val="0"/>
          <w:i w:val="0"/>
        </w:rPr>
        <w:t>The crucial target is identity or total dependence, not every correlation of body and mind. Earlier V.3 expressly allows affection of the soul’s operative faculty.</w:t>
      </w:r>
    </w:p>
    <w:p>
      <w:pPr>
        <w:keepNext/>
        <w:widowControl/>
      </w:pPr>
      <w:r>
        <w:rPr>
          <w:b/>
          <w:i w:val="0"/>
        </w:rPr>
        <w:t>Places to Read.</w:t>
      </w:r>
    </w:p>
    <w:p>
      <w:pPr>
        <w:ind w:left="187" w:hanging="187"/>
      </w:pPr>
      <w:r>
        <w:t xml:space="preserve">• </w:t>
      </w:r>
      <w:r>
        <w:rPr>
          <w:b/>
          <w:i w:val="0"/>
        </w:rPr>
        <w:t>V.15.8, V.15.9, V.15.10, PDF 110–111.</w:t>
      </w:r>
      <w:r>
        <w:rPr>
          <w:b w:val="0"/>
          <w:i w:val="0"/>
        </w:rPr>
        <w:t xml:space="preserve"> The reported temperament theory faces withdrawal and simple-object arguments.</w:t>
      </w:r>
    </w:p>
    <w:p>
      <w:pPr>
        <w:ind w:left="187" w:hanging="187"/>
      </w:pPr>
      <w:r>
        <w:t xml:space="preserve">• </w:t>
      </w:r>
      <w:r>
        <w:rPr>
          <w:b/>
          <w:i w:val="0"/>
        </w:rPr>
        <w:t>V.15.12, V.15.13, V.15.16, V.15.17, PDF 112–115.</w:t>
      </w:r>
      <w:r>
        <w:rPr>
          <w:b w:val="0"/>
          <w:i w:val="0"/>
        </w:rPr>
        <w:t xml:space="preserve"> Three relations to intelligibles exclude reduction to bodily harmony.</w:t>
      </w:r>
    </w:p>
    <w:p>
      <w:pPr>
        <w:ind w:left="187" w:hanging="187"/>
      </w:pPr>
      <w:r>
        <w:t xml:space="preserve">• </w:t>
      </w:r>
      <w:r>
        <w:rPr>
          <w:b/>
          <w:i w:val="0"/>
        </w:rPr>
        <w:t>V.15.18, PDF 116–117.</w:t>
      </w:r>
      <w:r>
        <w:rPr>
          <w:b w:val="0"/>
          <w:i w:val="0"/>
        </w:rPr>
        <w:t xml:space="preserve"> Mental and bodily concord can vary independently in Ficino’s counterexample.</w:t>
      </w:r>
    </w:p>
    <w:p>
      <w:pPr>
        <w:keepNext/>
        <w:widowControl/>
      </w:pPr>
      <w:r>
        <w:rPr>
          <w:b/>
          <w:i w:val="0"/>
        </w:rPr>
        <w:t>In this edition.</w:t>
      </w:r>
    </w:p>
    <w:p>
      <w:pPr>
        <w:widowControl/>
      </w:pPr>
      <w:r>
        <w:rPr>
          <w:b w:val="0"/>
          <w:i w:val="0"/>
        </w:rPr>
        <w:t xml:space="preserve">The edition’s </w:t>
      </w:r>
      <w:r>
        <w:t>“</w:t>
      </w:r>
      <w:r>
        <w:rPr>
          <w:b w:val="0"/>
          <w:i w:val="0"/>
        </w:rPr>
        <w:t>bodily constitution</w:t>
      </w:r>
      <w:r>
        <w:t>”</w:t>
      </w:r>
      <w:r>
        <w:rPr>
          <w:b w:val="0"/>
          <w:i w:val="0"/>
        </w:rPr>
        <w:t xml:space="preserve"> for complexio prevents a modern color-of-skin reading. Its musical vocabulary retains the consonare/dissonare play. The claims belong to Ficino’s historical philosophical physiology and are not contemporary medical advice.</w:t>
      </w:r>
    </w:p>
    <w:p>
      <w:pPr>
        <w:keepNext/>
        <w:widowControl/>
      </w:pPr>
      <w:r>
        <w:rPr>
          <w:b/>
          <w:i w:val="0"/>
        </w:rPr>
        <w:t>See also.</w:t>
      </w:r>
    </w:p>
    <w:p>
      <w:pPr>
        <w:widowControl/>
      </w:pPr>
      <w:hyperlink w:anchor="intelligible-principles-and-reasoning">
        <w:r>
          <w:rPr>
            <w:color w:val="000000"/>
          </w:rPr>
          <w:t xml:space="preserve">Intelligible principles and reasoning</w:t>
        </w:r>
      </w:hyperlink>
      <w:r>
        <w:rPr>
          <w:b w:val="0"/>
          <w:i w:val="0"/>
        </w:rPr>
        <w:t xml:space="preserve">; </w:t>
      </w:r>
      <w:hyperlink w:anchor="passivity-and-bodily-affection">
        <w:r>
          <w:rPr>
            <w:color w:val="000000"/>
          </w:rPr>
          <w:t xml:space="preserve">Passivity and bodily affection</w:t>
        </w:r>
      </w:hyperlink>
      <w:r>
        <w:rPr>
          <w:b w:val="0"/>
          <w:i w:val="0"/>
        </w:rPr>
        <w:t xml:space="preserve">; </w:t>
      </w:r>
      <w:hyperlink w:anchor="sleep-and-dreams">
        <w:r>
          <w:rPr>
            <w:color w:val="000000"/>
          </w:rPr>
          <w:t xml:space="preserve">Sleep and dreams</w:t>
        </w:r>
      </w:hyperlink>
    </w:p>
    <w:p>
      <w:pPr>
        <w:pStyle w:val="Heading2"/>
      </w:pPr>
      <w:bookmarkStart w:id="225" w:name="temperament-flux-and-stable-ruler"/>
      <w:r>
        <w:rPr>
          <w:b w:val="0"/>
          <w:i w:val="0"/>
        </w:rPr>
        <w:t>Temperament, flux and the stable ruler</w:t>
      </w:r>
      <w:bookmarkEnd w:id="225"/>
    </w:p>
    <w:p>
      <w:pPr>
        <w:keepNext/>
        <w:widowControl/>
      </w:pPr>
      <w:r>
        <w:rPr>
          <w:b/>
          <w:i w:val="0"/>
        </w:rPr>
        <w:t>Latin:</w:t>
      </w:r>
      <w:r>
        <w:rPr>
          <w:b w:val="0"/>
          <w:i w:val="0"/>
        </w:rPr>
        <w:t xml:space="preserve"> </w:t>
      </w:r>
      <w:r>
        <w:rPr>
          <w:b w:val="0"/>
          <w:i/>
        </w:rPr>
        <w:t>complexio</w:t>
      </w:r>
      <w:r>
        <w:rPr>
          <w:b w:val="0"/>
          <w:i w:val="0"/>
        </w:rPr>
        <w:t xml:space="preserve">; </w:t>
      </w:r>
      <w:r>
        <w:rPr>
          <w:b w:val="0"/>
          <w:i/>
        </w:rPr>
        <w:t>humor</w:t>
      </w:r>
      <w:r>
        <w:rPr>
          <w:b w:val="0"/>
          <w:i w:val="0"/>
        </w:rPr>
        <w:t xml:space="preserve">; </w:t>
      </w:r>
      <w:r>
        <w:rPr>
          <w:b w:val="0"/>
          <w:i/>
        </w:rPr>
        <w:t>effluere</w:t>
      </w:r>
      <w:r>
        <w:rPr>
          <w:b w:val="0"/>
          <w:i w:val="0"/>
        </w:rPr>
        <w:t xml:space="preserve">; </w:t>
      </w:r>
      <w:r>
        <w:rPr>
          <w:b w:val="0"/>
          <w:i/>
        </w:rPr>
        <w:t>refluere</w:t>
      </w:r>
      <w:r>
        <w:rPr>
          <w:b w:val="0"/>
          <w:i w:val="0"/>
        </w:rPr>
        <w:t xml:space="preserve">; </w:t>
      </w:r>
      <w:r>
        <w:rPr>
          <w:b w:val="0"/>
          <w:i/>
        </w:rPr>
        <w:t>innumeralis unitas</w:t>
      </w:r>
      <w:r>
        <w:rPr>
          <w:b w:val="0"/>
          <w:i w:val="0"/>
        </w:rPr>
        <w:t xml:space="preserve">; </w:t>
      </w:r>
      <w:r>
        <w:rPr>
          <w:b w:val="0"/>
          <w:i/>
        </w:rPr>
        <w:t>ordinatrix</w:t>
      </w:r>
      <w:r>
        <w:rPr>
          <w:b w:val="0"/>
          <w:i w:val="0"/>
        </w:rPr>
        <w:t xml:space="preserve">; </w:t>
      </w:r>
      <w:r>
        <w:rPr>
          <w:b w:val="0"/>
          <w:i/>
        </w:rPr>
        <w:t>rector</w:t>
      </w:r>
      <w:r>
        <w:rPr>
          <w:b w:val="0"/>
          <w:i w:val="0"/>
        </w:rPr>
        <w:t xml:space="preserve">; </w:t>
      </w:r>
      <w:r>
        <w:rPr>
          <w:b w:val="0"/>
          <w:i/>
        </w:rPr>
        <w:t>terminus</w:t>
      </w:r>
    </w:p>
    <w:p>
      <w:pPr>
        <w:keepNext/>
        <w:widowControl/>
      </w:pPr>
      <w:r>
        <w:rPr>
          <w:b/>
          <w:i w:val="0"/>
        </w:rPr>
        <w:t>The word.</w:t>
      </w:r>
    </w:p>
    <w:p>
      <w:pPr>
        <w:widowControl/>
      </w:pPr>
      <w:r>
        <w:rPr>
          <w:b w:val="0"/>
          <w:i w:val="0"/>
        </w:rPr>
        <w:t>Complexio is humoral and bodily temperament. Effluere and refluere are flowing out and back. Innumeralis unitas is the organism’s unity not reducible to a counted succession of material replacements. Ordinatrix and rector name the ordering power and ruler; terminus is the limit it imposes on growth.</w:t>
      </w:r>
    </w:p>
    <w:p>
      <w:pPr>
        <w:keepNext/>
        <w:widowControl/>
      </w:pPr>
      <w:r>
        <w:rPr>
          <w:b/>
          <w:i w:val="0"/>
        </w:rPr>
        <w:t>In the Platonic Theology.</w:t>
      </w:r>
    </w:p>
    <w:p>
      <w:pPr>
        <w:widowControl/>
      </w:pPr>
      <w:r>
        <w:rPr>
          <w:b w:val="0"/>
          <w:i w:val="0"/>
        </w:rPr>
        <w:t>The identity argument applies not only to a soul-body but to soul identified with quality or temperament. Qualities change as humours change; nutrition would therefore make the supposed soul flow out and back with bodily matter. The animal would lack constancy in form as well as in matter, and its unity and the continuity of nourishment or growth would have no stable source.</w:t>
      </w:r>
    </w:p>
    <w:p>
      <w:pPr>
        <w:widowControl/>
      </w:pPr>
      <w:r>
        <w:rPr>
          <w:b w:val="0"/>
          <w:i w:val="0"/>
        </w:rPr>
        <w:t>Ficino requires a ruler that remains in itself, orders the sequence of these processes and fixes how far they should proceed. The conclusion is about a continuing source of organized change, not the absence of change in the living organism. It also differentiates soul from the temperament it establishes, as VI.9.4 already insisted. The measure and stopping point of growth matter as much as motion’s initiation. Historical humours are the example through which Ficino states the general demand for stability in what coordinates a succession.</w:t>
      </w:r>
    </w:p>
    <w:p>
      <w:pPr>
        <w:keepNext/>
        <w:widowControl/>
      </w:pPr>
      <w:r>
        <w:rPr>
          <w:b/>
          <w:i w:val="0"/>
        </w:rPr>
        <w:t>Places to Read.</w:t>
      </w:r>
    </w:p>
    <w:p>
      <w:pPr>
        <w:ind w:left="187" w:hanging="187"/>
      </w:pPr>
      <w:r>
        <w:t xml:space="preserve">• </w:t>
      </w:r>
      <w:r>
        <w:rPr>
          <w:b/>
          <w:i w:val="0"/>
        </w:rPr>
        <w:t>VI.13.8; source PDF pp. 226, 227</w:t>
      </w:r>
      <w:r>
        <w:rPr>
          <w:b w:val="0"/>
          <w:i w:val="0"/>
        </w:rPr>
        <w:t>. Qualitative flux threatens form, unity, continuity, order and the limit of growth.</w:t>
      </w:r>
    </w:p>
    <w:p>
      <w:pPr>
        <w:ind w:left="187" w:hanging="187"/>
      </w:pPr>
      <w:r>
        <w:t xml:space="preserve">• </w:t>
      </w:r>
      <w:r>
        <w:rPr>
          <w:b/>
          <w:i w:val="0"/>
        </w:rPr>
        <w:t>VI.9.4; source PDF pp. 194, 195</w:t>
      </w:r>
      <w:r>
        <w:rPr>
          <w:b w:val="0"/>
          <w:i w:val="0"/>
        </w:rPr>
        <w:t>. Soul is already distinguished from humoral tempering and named as its substantial source.</w:t>
      </w:r>
    </w:p>
    <w:p>
      <w:pPr>
        <w:keepNext/>
        <w:widowControl/>
      </w:pPr>
      <w:r>
        <w:rPr>
          <w:b/>
          <w:i w:val="0"/>
        </w:rPr>
        <w:t>In this edition.</w:t>
      </w:r>
    </w:p>
    <w:p>
      <w:pPr>
        <w:widowControl/>
      </w:pPr>
      <w:r>
        <w:rPr>
          <w:b w:val="0"/>
          <w:i w:val="0"/>
        </w:rPr>
        <w:t xml:space="preserve">The apparatus retains innumeralis from M1482 and G1559 against P1641’s innumerabilis. The English </w:t>
      </w:r>
      <w:r>
        <w:t>“</w:t>
      </w:r>
      <w:r>
        <w:rPr>
          <w:b w:val="0"/>
          <w:i w:val="0"/>
        </w:rPr>
        <w:t>unity beyond number</w:t>
      </w:r>
      <w:r>
        <w:t>”</w:t>
      </w:r>
      <w:r>
        <w:rPr>
          <w:b w:val="0"/>
          <w:i w:val="0"/>
        </w:rPr>
        <w:t xml:space="preserve"> is an interpretive rendering, explained by the apparatus through the succession of counted material constituents; it is not a claim that the animal contains an actually infinite number of souls.</w:t>
      </w:r>
    </w:p>
    <w:p>
      <w:pPr>
        <w:keepNext/>
        <w:widowControl/>
      </w:pPr>
      <w:r>
        <w:rPr>
          <w:b/>
          <w:i w:val="0"/>
        </w:rPr>
        <w:t>See also.</w:t>
      </w:r>
    </w:p>
    <w:p>
      <w:pPr>
        <w:widowControl/>
      </w:pPr>
      <w:hyperlink w:anchor="unity-dispersion-and-inward-bond">
        <w:r>
          <w:rPr>
            <w:color w:val="000000"/>
          </w:rPr>
          <w:t xml:space="preserve">Unity, dispersion and the inward bond</w:t>
        </w:r>
      </w:hyperlink>
      <w:r>
        <w:rPr>
          <w:b w:val="0"/>
          <w:i w:val="0"/>
        </w:rPr>
        <w:t xml:space="preserve">; </w:t>
      </w:r>
      <w:hyperlink w:anchor="stable-craftsman-and-river-reflection">
        <w:r>
          <w:rPr>
            <w:color w:val="000000"/>
          </w:rPr>
          <w:t xml:space="preserve">Stable craftsman and the river reflection</w:t>
        </w:r>
      </w:hyperlink>
    </w:p>
    <w:p>
      <w:pPr>
        <w:pStyle w:val="Heading2"/>
      </w:pPr>
      <w:bookmarkStart w:id="226" w:name="temporal-discourse-and-psychic-ascent"/>
      <w:r>
        <w:rPr>
          <w:b w:val="0"/>
          <w:i w:val="0"/>
        </w:rPr>
        <w:t>Temporal discourse and psychic ascent</w:t>
      </w:r>
      <w:bookmarkEnd w:id="226"/>
    </w:p>
    <w:p>
      <w:pPr>
        <w:keepNext/>
        <w:widowControl/>
      </w:pPr>
      <w:r>
        <w:rPr>
          <w:b/>
          <w:i w:val="0"/>
        </w:rPr>
        <w:t>Latin:</w:t>
      </w:r>
      <w:r>
        <w:rPr>
          <w:b w:val="0"/>
          <w:i w:val="0"/>
        </w:rPr>
        <w:t xml:space="preserve"> </w:t>
      </w:r>
      <w:r>
        <w:rPr>
          <w:b w:val="0"/>
          <w:i/>
        </w:rPr>
        <w:t>discursus temporalis</w:t>
      </w:r>
      <w:r>
        <w:rPr>
          <w:b w:val="0"/>
          <w:i w:val="0"/>
        </w:rPr>
        <w:t xml:space="preserve">; </w:t>
      </w:r>
      <w:r>
        <w:rPr>
          <w:b w:val="0"/>
          <w:i/>
        </w:rPr>
        <w:t>ascensio</w:t>
      </w:r>
      <w:r>
        <w:rPr>
          <w:b w:val="0"/>
          <w:i w:val="0"/>
        </w:rPr>
        <w:t xml:space="preserve">; </w:t>
      </w:r>
      <w:r>
        <w:rPr>
          <w:b w:val="0"/>
          <w:i/>
        </w:rPr>
        <w:t>descensio</w:t>
      </w:r>
      <w:r>
        <w:rPr>
          <w:b w:val="0"/>
          <w:i w:val="0"/>
        </w:rPr>
        <w:t xml:space="preserve">; </w:t>
      </w:r>
      <w:r>
        <w:rPr>
          <w:b w:val="0"/>
          <w:i/>
        </w:rPr>
        <w:t>causae mediae</w:t>
      </w:r>
      <w:r>
        <w:rPr>
          <w:b w:val="0"/>
          <w:i w:val="0"/>
        </w:rPr>
        <w:t xml:space="preserve">; </w:t>
      </w:r>
      <w:r>
        <w:rPr>
          <w:b w:val="0"/>
          <w:i/>
        </w:rPr>
        <w:t>revolutio</w:t>
      </w:r>
      <w:r>
        <w:rPr>
          <w:b w:val="0"/>
          <w:i w:val="0"/>
        </w:rPr>
        <w:t xml:space="preserve">; </w:t>
      </w:r>
      <w:r>
        <w:rPr>
          <w:b w:val="0"/>
          <w:i/>
        </w:rPr>
        <w:t>per naturam ac vim propriam</w:t>
      </w:r>
    </w:p>
    <w:p>
      <w:pPr>
        <w:keepNext/>
        <w:widowControl/>
      </w:pPr>
      <w:r>
        <w:rPr>
          <w:b/>
          <w:i w:val="0"/>
        </w:rPr>
        <w:t>The word.</w:t>
      </w:r>
    </w:p>
    <w:p>
      <w:pPr>
        <w:widowControl/>
      </w:pPr>
      <w:r>
        <w:rPr>
          <w:b w:val="0"/>
          <w:i w:val="0"/>
        </w:rPr>
        <w:t>Discursus is successive passage, including movement from one cognition or affection to another. Ascensio and descensio name ordered reasoning between effects and principles through intermediate causes. Revolutio is a turning or circuit of thought, not necessarily a change of bodily place.</w:t>
      </w:r>
    </w:p>
    <w:p>
      <w:pPr>
        <w:keepNext/>
        <w:widowControl/>
      </w:pPr>
      <w:r>
        <w:rPr>
          <w:b/>
          <w:i w:val="0"/>
        </w:rPr>
        <w:t>In the Platonic Theology.</w:t>
      </w:r>
    </w:p>
    <w:p>
      <w:pPr>
        <w:widowControl/>
      </w:pPr>
      <w:r>
        <w:rPr>
          <w:b w:val="0"/>
          <w:i w:val="0"/>
        </w:rPr>
        <w:t>The positive account follows the exclusion of bodily self-motion. Bodies nevertheless display an inward source of motion, which the Platonist identifies as soul. In the governing power, seeds arise successively to produce bodily effects. In cognition, the soul moves from one cognition and affection to another, ascending from effects through causes to highest principles and descending back through causes to effects. The two successions belong to different functions of the same psychic life.</w:t>
      </w:r>
    </w:p>
    <w:p>
      <w:pPr>
        <w:widowControl/>
      </w:pPr>
      <w:r>
        <w:rPr>
          <w:b w:val="0"/>
          <w:i w:val="0"/>
        </w:rPr>
        <w:t>Ficino assigns this discursive pattern to soul specifically. God and angels see and possess all together; bodies do not act through themselves; corporeal forms do not rise toward incorporeal things. Soul’s reasoned ascent beyond bodily nature is therefore used to show that it is neither body nor a divided bodily form. This does not make sequential reasoning superior to angelic simultaneity. It places soul at the intermediate grade: inwardly self-moving and capable of higher objects, yet temporally unfolding rather than possessing all at once.</w:t>
      </w:r>
    </w:p>
    <w:p>
      <w:pPr>
        <w:keepNext/>
        <w:widowControl/>
      </w:pPr>
      <w:r>
        <w:rPr>
          <w:b/>
          <w:i w:val="0"/>
        </w:rPr>
        <w:t>Places to Read.</w:t>
      </w:r>
    </w:p>
    <w:p>
      <w:pPr>
        <w:ind w:left="187" w:hanging="187"/>
      </w:pPr>
      <w:r>
        <w:t xml:space="preserve">• </w:t>
      </w:r>
      <w:r>
        <w:rPr>
          <w:b/>
          <w:i w:val="0"/>
        </w:rPr>
        <w:t>VI.12.17; source PDF pp. 216, 217</w:t>
      </w:r>
      <w:r>
        <w:rPr>
          <w:b w:val="0"/>
          <w:i w:val="0"/>
        </w:rPr>
        <w:t>. Productive seminal succession and cognitive-affective discourse are separately described.</w:t>
      </w:r>
    </w:p>
    <w:p>
      <w:pPr>
        <w:ind w:left="187" w:hanging="187"/>
      </w:pPr>
      <w:r>
        <w:t xml:space="preserve">• </w:t>
      </w:r>
      <w:r>
        <w:rPr>
          <w:b/>
          <w:i w:val="0"/>
        </w:rPr>
        <w:t>VI.12.18; source PDF pp. 218, 219</w:t>
      </w:r>
      <w:r>
        <w:rPr>
          <w:b w:val="0"/>
          <w:i w:val="0"/>
        </w:rPr>
        <w:t>. Discursive motion is proper to soul and distinguished from divine/angelic simultaneity and bodily inactivity.</w:t>
      </w:r>
    </w:p>
    <w:p>
      <w:pPr>
        <w:keepNext/>
        <w:widowControl/>
      </w:pPr>
      <w:r>
        <w:rPr>
          <w:b/>
          <w:i w:val="0"/>
        </w:rPr>
        <w:t>In this edition.</w:t>
      </w:r>
    </w:p>
    <w:p>
      <w:pPr>
        <w:widowControl/>
      </w:pPr>
      <w:r>
        <w:rPr>
          <w:b w:val="0"/>
          <w:i w:val="0"/>
        </w:rPr>
        <w:t>The apparatus applies the authorial correction ad incorporalia in VI.12.18; the uncorrected ad corporalia would reverse the crucial object of ascent. Per se is immediately glossed per naturam ac vim propriam, anchoring its sense in the soul’s nature and power.</w:t>
      </w:r>
    </w:p>
    <w:p>
      <w:pPr>
        <w:keepNext/>
        <w:widowControl/>
      </w:pPr>
      <w:r>
        <w:rPr>
          <w:b/>
          <w:i w:val="0"/>
        </w:rPr>
        <w:t>See also.</w:t>
      </w:r>
    </w:p>
    <w:p>
      <w:pPr>
        <w:widowControl/>
      </w:pPr>
      <w:hyperlink w:anchor="three-offices-and-proof-order">
        <w:r>
          <w:rPr>
            <w:color w:val="000000"/>
          </w:rPr>
          <w:t xml:space="preserve">Three offices and the order of proof</w:t>
        </w:r>
      </w:hyperlink>
      <w:r>
        <w:rPr>
          <w:b w:val="0"/>
          <w:i w:val="0"/>
        </w:rPr>
        <w:t xml:space="preserve">; </w:t>
      </w:r>
      <w:hyperlink w:anchor="exemplars-of-bodily-motion-in-soul">
        <w:r>
          <w:rPr>
            <w:color w:val="000000"/>
          </w:rPr>
          <w:t xml:space="preserve">Exemplars of bodily motion in soul</w:t>
        </w:r>
      </w:hyperlink>
    </w:p>
    <w:p>
      <w:pPr>
        <w:pStyle w:val="Heading2"/>
      </w:pPr>
      <w:bookmarkStart w:id="227" w:name="viii-whole-mind"/>
      <w:r>
        <w:rPr>
          <w:b w:val="0"/>
          <w:i w:val="0"/>
        </w:rPr>
        <w:t>The whole mind and the measure of equality</w:t>
      </w:r>
      <w:bookmarkEnd w:id="227"/>
    </w:p>
    <w:p>
      <w:pPr>
        <w:keepNext/>
        <w:widowControl/>
      </w:pPr>
      <w:r>
        <w:rPr>
          <w:b/>
          <w:i w:val="0"/>
        </w:rPr>
        <w:t>Latin:</w:t>
      </w:r>
      <w:r>
        <w:rPr>
          <w:b w:val="0"/>
          <w:i w:val="0"/>
        </w:rPr>
        <w:t xml:space="preserve"> </w:t>
      </w:r>
      <w:r>
        <w:rPr>
          <w:b w:val="0"/>
          <w:i/>
        </w:rPr>
        <w:t>se toto</w:t>
      </w:r>
      <w:r>
        <w:rPr>
          <w:b w:val="0"/>
          <w:i w:val="0"/>
        </w:rPr>
        <w:t xml:space="preserve">; </w:t>
      </w:r>
      <w:r>
        <w:rPr>
          <w:b w:val="0"/>
          <w:i/>
        </w:rPr>
        <w:t>comparare</w:t>
      </w:r>
      <w:r>
        <w:rPr>
          <w:b w:val="0"/>
          <w:i w:val="0"/>
        </w:rPr>
        <w:t xml:space="preserve">; </w:t>
      </w:r>
      <w:r>
        <w:rPr>
          <w:b w:val="0"/>
          <w:i/>
        </w:rPr>
        <w:t>referre</w:t>
      </w:r>
      <w:r>
        <w:rPr>
          <w:b w:val="0"/>
          <w:i w:val="0"/>
        </w:rPr>
        <w:t xml:space="preserve">; </w:t>
      </w:r>
      <w:r>
        <w:rPr>
          <w:b w:val="0"/>
          <w:i/>
        </w:rPr>
        <w:t>adaequatio</w:t>
      </w:r>
      <w:r>
        <w:rPr>
          <w:b w:val="0"/>
          <w:i w:val="0"/>
        </w:rPr>
        <w:t xml:space="preserve">; </w:t>
      </w:r>
      <w:r>
        <w:rPr>
          <w:b w:val="0"/>
          <w:i/>
        </w:rPr>
        <w:t>aequalitas summa</w:t>
      </w:r>
    </w:p>
    <w:p>
      <w:pPr>
        <w:keepNext/>
        <w:widowControl/>
      </w:pPr>
      <w:r>
        <w:rPr>
          <w:b/>
          <w:i w:val="0"/>
        </w:rPr>
        <w:t>The word.</w:t>
      </w:r>
    </w:p>
    <w:p>
      <w:pPr>
        <w:widowControl/>
      </w:pPr>
      <w:r>
        <w:rPr>
          <w:b w:val="0"/>
          <w:i w:val="0"/>
        </w:rPr>
        <w:t>Se toto means with its whole self. Adaequatio is an appropriate correspondence or matching, which can be quantitative for bodies but cognitive for mind. Supreme equality supplies a standard, not an unusually large body.</w:t>
      </w:r>
    </w:p>
    <w:p>
      <w:pPr>
        <w:keepNext/>
        <w:widowControl/>
      </w:pPr>
      <w:r>
        <w:rPr>
          <w:b/>
          <w:i w:val="0"/>
        </w:rPr>
        <w:t>In the Platonic Theology.</w:t>
      </w:r>
    </w:p>
    <w:p>
      <w:pPr>
        <w:widowControl/>
      </w:pPr>
      <w:r>
        <w:rPr>
          <w:b w:val="0"/>
          <w:i w:val="0"/>
        </w:rPr>
        <w:t>A bodily container receives by dimensional correspondence: more of the container answers to more of its content. Mind, Ficino argues, knows the entire human body and each limb with the whole of its knowing power. Comparison supplies the test. If one isolated part knew only one limb and another only a different limb, neither could compare them or relate both to the whole. The same knower must have access to the terms it compares.</w:t>
      </w:r>
    </w:p>
    <w:p>
      <w:pPr>
        <w:widowControl/>
      </w:pPr>
      <w:r>
        <w:rPr>
          <w:b w:val="0"/>
          <w:i w:val="0"/>
        </w:rPr>
        <w:t>The examples of dog, ant, horse, elephant and sun make size disparity explicit. One body cannot be quantitatively equal to all these bodies at once. Mind nevertheless apprehends each without changing to its bulk. Its correspondence is therefore not the equality of containing volumes.</w:t>
      </w:r>
    </w:p>
    <w:p>
      <w:pPr>
        <w:widowControl/>
      </w:pPr>
      <w:r>
        <w:rPr>
          <w:b w:val="0"/>
          <w:i w:val="0"/>
        </w:rPr>
        <w:t xml:space="preserve">The argument ascends further: mind judges more and less equal things by their relation to equality itself. It thus stands cognitively between participants and the standard of participation. Ficino draws a consequence for its resistance to disproportionate bodily qualities. The phrase </w:t>
      </w:r>
      <w:r>
        <w:t>“</w:t>
      </w:r>
      <w:r>
        <w:rPr>
          <w:b w:val="0"/>
          <w:i w:val="0"/>
        </w:rPr>
        <w:t>in a certain manner</w:t>
      </w:r>
      <w:r>
        <w:t>”</w:t>
      </w:r>
      <w:r>
        <w:rPr>
          <w:b w:val="0"/>
          <w:i w:val="0"/>
        </w:rPr>
        <w:t xml:space="preserve"> restricts the claim that mind equals supreme equality; it should not be turned into numerical identity with a divine principle.</w:t>
      </w:r>
    </w:p>
    <w:p>
      <w:pPr>
        <w:widowControl/>
      </w:pPr>
      <w:r>
        <w:rPr>
          <w:b w:val="0"/>
          <w:i w:val="0"/>
        </w:rPr>
        <w:t>The whole-in-each vocabulary in this passage explains the unity of comparing awareness. It differs from the preceding chapter’s logical relations among propositions and from the following chapter’s preservation of intellectual identity through reception.</w:t>
      </w:r>
    </w:p>
    <w:p>
      <w:pPr>
        <w:keepNext/>
        <w:widowControl/>
      </w:pPr>
      <w:r>
        <w:rPr>
          <w:b/>
          <w:i w:val="0"/>
        </w:rPr>
        <w:t>Places to Read.</w:t>
      </w:r>
    </w:p>
    <w:p>
      <w:pPr>
        <w:ind w:left="187" w:hanging="187"/>
      </w:pPr>
      <w:r>
        <w:t xml:space="preserve">• </w:t>
      </w:r>
      <w:r>
        <w:rPr>
          <w:b/>
          <w:i w:val="0"/>
        </w:rPr>
        <w:t>VIII.6.1, PDF pp. 342–343.</w:t>
      </w:r>
      <w:r>
        <w:rPr>
          <w:b w:val="0"/>
          <w:i w:val="0"/>
        </w:rPr>
        <w:t xml:space="preserve"> Limb comparison, dramatically different animal sizes and supreme equality form three steps in one chapter.</w:t>
      </w:r>
    </w:p>
    <w:p>
      <w:pPr>
        <w:keepNext/>
        <w:widowControl/>
      </w:pPr>
      <w:r>
        <w:rPr>
          <w:b/>
          <w:i w:val="0"/>
        </w:rPr>
        <w:t>In this edition.</w:t>
      </w:r>
    </w:p>
    <w:p>
      <w:pPr>
        <w:widowControl/>
      </w:pPr>
      <w:r>
        <w:rPr>
          <w:b w:val="0"/>
          <w:i w:val="0"/>
        </w:rPr>
        <w:t xml:space="preserve">The correction non hoc pacto denies that intellect receives in the bodily way. The apparatus renders adaequari by </w:t>
      </w:r>
      <w:r>
        <w:t>“</w:t>
      </w:r>
      <w:r>
        <w:rPr>
          <w:b w:val="0"/>
          <w:i w:val="0"/>
        </w:rPr>
        <w:t>matched</w:t>
      </w:r>
      <w:r>
        <w:t>”</w:t>
      </w:r>
      <w:r>
        <w:rPr>
          <w:b w:val="0"/>
          <w:i w:val="0"/>
        </w:rPr>
        <w:t xml:space="preserve"> or </w:t>
      </w:r>
      <w:r>
        <w:t>“</w:t>
      </w:r>
      <w:r>
        <w:rPr>
          <w:b w:val="0"/>
          <w:i w:val="0"/>
        </w:rPr>
        <w:t>commensurate</w:t>
      </w:r>
      <w:r>
        <w:t>”</w:t>
      </w:r>
      <w:r>
        <w:rPr>
          <w:b w:val="0"/>
          <w:i w:val="0"/>
        </w:rPr>
        <w:t>; the relevant kind of measure must be supplied from the argument.</w:t>
      </w:r>
    </w:p>
    <w:p>
      <w:pPr>
        <w:keepNext/>
        <w:widowControl/>
      </w:pPr>
      <w:r>
        <w:rPr>
          <w:b/>
          <w:i w:val="0"/>
        </w:rPr>
        <w:t>See also.</w:t>
      </w:r>
    </w:p>
    <w:p>
      <w:pPr>
        <w:widowControl/>
      </w:pPr>
      <w:hyperlink w:anchor="viii-mutual-sciences">
        <w:r>
          <w:rPr>
            <w:color w:val="000000"/>
          </w:rPr>
          <w:t xml:space="preserve">Sciences, virtues, and mutual containment</w:t>
        </w:r>
      </w:hyperlink>
      <w:r>
        <w:rPr>
          <w:b w:val="0"/>
          <w:i w:val="0"/>
        </w:rPr>
        <w:t xml:space="preserve">; </w:t>
      </w:r>
      <w:hyperlink w:anchor="viii-virtue-equality">
        <w:r>
          <w:rPr>
            <w:color w:val="000000"/>
          </w:rPr>
          <w:t xml:space="preserve">Spiritual equality, the line, and the tuned lyre</w:t>
        </w:r>
      </w:hyperlink>
      <w:r>
        <w:rPr>
          <w:b w:val="0"/>
          <w:i w:val="0"/>
        </w:rPr>
        <w:t xml:space="preserve">; </w:t>
      </w:r>
      <w:hyperlink w:anchor="viii-mutual-minds">
        <w:r>
          <w:rPr>
            <w:color w:val="000000"/>
          </w:rPr>
          <w:t xml:space="preserve">Mutual knowledge of minds and the celestial spheres</w:t>
        </w:r>
      </w:hyperlink>
    </w:p>
    <w:p>
      <w:pPr>
        <w:pStyle w:val="Heading2"/>
      </w:pPr>
      <w:bookmarkStart w:id="228" w:name="three-offices-and-proof-order"/>
      <w:r>
        <w:rPr>
          <w:b w:val="0"/>
          <w:i w:val="0"/>
        </w:rPr>
        <w:t>Three offices and the order of proof</w:t>
      </w:r>
      <w:bookmarkEnd w:id="228"/>
    </w:p>
    <w:p>
      <w:pPr>
        <w:keepNext/>
        <w:widowControl/>
      </w:pPr>
      <w:r>
        <w:rPr>
          <w:b/>
          <w:i w:val="0"/>
        </w:rPr>
        <w:t>Latin:</w:t>
      </w:r>
      <w:r>
        <w:rPr>
          <w:b w:val="0"/>
          <w:i w:val="0"/>
        </w:rPr>
        <w:t xml:space="preserve"> </w:t>
      </w:r>
      <w:r>
        <w:rPr>
          <w:b w:val="0"/>
          <w:i/>
        </w:rPr>
        <w:t>officium</w:t>
      </w:r>
      <w:r>
        <w:rPr>
          <w:b w:val="0"/>
          <w:i w:val="0"/>
        </w:rPr>
        <w:t xml:space="preserve">; </w:t>
      </w:r>
      <w:r>
        <w:rPr>
          <w:b w:val="0"/>
          <w:i/>
        </w:rPr>
        <w:t>agit in corpore</w:t>
      </w:r>
      <w:r>
        <w:rPr>
          <w:b w:val="0"/>
          <w:i w:val="0"/>
        </w:rPr>
        <w:t xml:space="preserve">; </w:t>
      </w:r>
      <w:r>
        <w:rPr>
          <w:b w:val="0"/>
          <w:i/>
        </w:rPr>
        <w:t>agit per corpus</w:t>
      </w:r>
      <w:r>
        <w:rPr>
          <w:b w:val="0"/>
          <w:i w:val="0"/>
        </w:rPr>
        <w:t xml:space="preserve">; </w:t>
      </w:r>
      <w:r>
        <w:rPr>
          <w:b w:val="0"/>
          <w:i/>
        </w:rPr>
        <w:t>operatur per se ipsam</w:t>
      </w:r>
      <w:r>
        <w:rPr>
          <w:b w:val="0"/>
          <w:i w:val="0"/>
        </w:rPr>
        <w:t xml:space="preserve">; </w:t>
      </w:r>
      <w:r>
        <w:rPr>
          <w:b w:val="0"/>
          <w:i/>
        </w:rPr>
        <w:t>natura</w:t>
      </w:r>
      <w:r>
        <w:rPr>
          <w:b w:val="0"/>
          <w:i w:val="0"/>
        </w:rPr>
        <w:t xml:space="preserve">; </w:t>
      </w:r>
      <w:r>
        <w:rPr>
          <w:b w:val="0"/>
          <w:i/>
        </w:rPr>
        <w:t>intelligentia</w:t>
      </w:r>
    </w:p>
    <w:p>
      <w:pPr>
        <w:keepNext/>
        <w:widowControl/>
      </w:pPr>
      <w:r>
        <w:rPr>
          <w:b/>
          <w:i w:val="0"/>
        </w:rPr>
        <w:t>The word.</w:t>
      </w:r>
    </w:p>
    <w:p>
      <w:pPr>
        <w:widowControl/>
      </w:pPr>
      <w:r>
        <w:rPr>
          <w:b w:val="0"/>
          <w:i w:val="0"/>
        </w:rPr>
        <w:t>Officium is a function or characteristic task. The three prepositional constructions distinguish acting in body, through body, and through oneself. Intelligentia here is the activity of understanding, not a separate intelligence or merely a general capacity.</w:t>
      </w:r>
    </w:p>
    <w:p>
      <w:pPr>
        <w:keepNext/>
        <w:widowControl/>
      </w:pPr>
      <w:r>
        <w:rPr>
          <w:b/>
          <w:i w:val="0"/>
        </w:rPr>
        <w:t>In the Platonic Theology.</w:t>
      </w:r>
    </w:p>
    <w:p>
      <w:pPr>
        <w:widowControl/>
      </w:pPr>
      <w:r>
        <w:rPr>
          <w:b w:val="0"/>
          <w:i w:val="0"/>
        </w:rPr>
        <w:t xml:space="preserve">Natural power generates, nourishes and grows the body: Peripatetics call it vegetative, while Ficino’s Platonists call it nature. External sense sees, hears, smells, tastes and touches. Internal sense turns over the images left by those encounters, so it too acts through body even when no external object is presently affecting an organ. Understanding investigates and finds what is neither body nor a bodily image. The developmental story assigns natural action to the fetus, sensation to birth and pure understanding only with difficulty to adulthood. This is Ficino’s philosophical and physiological account, not contemporary developmental science; his thirty-year-old </w:t>
      </w:r>
      <w:r>
        <w:t>“</w:t>
      </w:r>
      <w:r>
        <w:rPr>
          <w:b w:val="0"/>
          <w:i w:val="0"/>
        </w:rPr>
        <w:t>children</w:t>
      </w:r>
      <w:r>
        <w:t>”</w:t>
      </w:r>
      <w:r>
        <w:rPr>
          <w:b w:val="0"/>
          <w:i w:val="0"/>
        </w:rPr>
        <w:t xml:space="preserve"> are a polemical judgement about intellectual practice.</w:t>
      </w:r>
    </w:p>
    <w:p>
      <w:pPr>
        <w:widowControl/>
      </w:pPr>
      <w:r>
        <w:rPr>
          <w:b w:val="0"/>
          <w:i w:val="0"/>
        </w:rPr>
        <w:t>VI.3 makes the triad determine the proof’s order. Natural power principally excludes body and partly excludes a form divided through body. Sensation is to show indivisibility and whole presence without fixation to one organ. Understanding is to confirm these and add freedom from material origin. This prevents reading every natural-power argument as an already complete demonstration of the human soul’s immortality. The later distinction between governing and cognitive succession in VI.12 also shows that natural productivity and explicit thought are not interchangeable activities.</w:t>
      </w:r>
    </w:p>
    <w:p>
      <w:pPr>
        <w:keepNext/>
        <w:widowControl/>
      </w:pPr>
      <w:r>
        <w:rPr>
          <w:b/>
          <w:i w:val="0"/>
        </w:rPr>
        <w:t>Places to Read.</w:t>
      </w:r>
    </w:p>
    <w:p>
      <w:pPr>
        <w:ind w:left="187" w:hanging="187"/>
      </w:pPr>
      <w:r>
        <w:t xml:space="preserve">• </w:t>
      </w:r>
      <w:r>
        <w:rPr>
          <w:b/>
          <w:i w:val="0"/>
        </w:rPr>
        <w:t>VI.2.1; source PDF pp. 134, 135</w:t>
      </w:r>
      <w:r>
        <w:rPr>
          <w:b w:val="0"/>
          <w:i w:val="0"/>
        </w:rPr>
        <w:t>. The triad is defined through its operations and developmental order.</w:t>
      </w:r>
    </w:p>
    <w:p>
      <w:pPr>
        <w:ind w:left="187" w:hanging="187"/>
      </w:pPr>
      <w:r>
        <w:t xml:space="preserve">• </w:t>
      </w:r>
      <w:r>
        <w:rPr>
          <w:b/>
          <w:i w:val="0"/>
        </w:rPr>
        <w:t>VI.3.1, VI.3.2; source PDF pp. 168, 169</w:t>
      </w:r>
      <w:r>
        <w:rPr>
          <w:b w:val="0"/>
          <w:i w:val="0"/>
        </w:rPr>
        <w:t>. Different stages are assigned different burdens of proof.</w:t>
      </w:r>
    </w:p>
    <w:p>
      <w:pPr>
        <w:ind w:left="187" w:hanging="187"/>
      </w:pPr>
      <w:r>
        <w:t xml:space="preserve">• </w:t>
      </w:r>
      <w:r>
        <w:rPr>
          <w:b/>
          <w:i w:val="0"/>
        </w:rPr>
        <w:t>VI.12.17; source PDF pp. 216, 217</w:t>
      </w:r>
      <w:r>
        <w:rPr>
          <w:b w:val="0"/>
          <w:i w:val="0"/>
        </w:rPr>
        <w:t>. Seminal emergence and cognitive discourse supply two distinct temporal sequences.</w:t>
      </w:r>
    </w:p>
    <w:p>
      <w:pPr>
        <w:keepNext/>
        <w:widowControl/>
      </w:pPr>
      <w:r>
        <w:rPr>
          <w:b/>
          <w:i w:val="0"/>
        </w:rPr>
        <w:t>In this edition.</w:t>
      </w:r>
    </w:p>
    <w:p>
      <w:pPr>
        <w:widowControl/>
      </w:pPr>
      <w:r>
        <w:rPr>
          <w:b w:val="0"/>
          <w:i w:val="0"/>
        </w:rPr>
        <w:t xml:space="preserve">The edition deliberately preserves all three constructions rather than translating each as </w:t>
      </w:r>
      <w:r>
        <w:t>“</w:t>
      </w:r>
      <w:r>
        <w:rPr>
          <w:b w:val="0"/>
          <w:i w:val="0"/>
        </w:rPr>
        <w:t>acts.</w:t>
      </w:r>
      <w:r>
        <w:t>”</w:t>
      </w:r>
      <w:r>
        <w:rPr>
          <w:b w:val="0"/>
          <w:i w:val="0"/>
        </w:rPr>
        <w:t xml:space="preserve"> The Latin’s per se ipsam excludes reliance upon bodily images for this act; it does not deny that the same soul also acts in and through body.</w:t>
      </w:r>
    </w:p>
    <w:p>
      <w:pPr>
        <w:keepNext/>
        <w:widowControl/>
      </w:pPr>
      <w:r>
        <w:rPr>
          <w:b/>
          <w:i w:val="0"/>
        </w:rPr>
        <w:t>See also.</w:t>
      </w:r>
    </w:p>
    <w:p>
      <w:pPr>
        <w:widowControl/>
      </w:pPr>
      <w:hyperlink w:anchor="habit-purification-and-intellectual-experiment">
        <w:r>
          <w:rPr>
            <w:color w:val="000000"/>
          </w:rPr>
          <w:t xml:space="preserve">Habit, purification and intellectual experiment</w:t>
        </w:r>
      </w:hyperlink>
      <w:r>
        <w:rPr>
          <w:b w:val="0"/>
          <w:i w:val="0"/>
        </w:rPr>
        <w:t xml:space="preserve">; </w:t>
      </w:r>
      <w:hyperlink w:anchor="seminal-power-fish-eggs-and-tree">
        <w:r>
          <w:rPr>
            <w:color w:val="000000"/>
          </w:rPr>
          <w:t xml:space="preserve">Seminal power, fish eggs and the tree</w:t>
        </w:r>
      </w:hyperlink>
    </w:p>
    <w:p>
      <w:pPr>
        <w:pStyle w:val="Heading2"/>
      </w:pPr>
      <w:bookmarkStart w:id="229" w:name="through-itself-and-through-another"/>
      <w:r>
        <w:rPr>
          <w:b w:val="0"/>
          <w:i w:val="0"/>
        </w:rPr>
        <w:t>Through itself and through another</w:t>
      </w:r>
      <w:bookmarkEnd w:id="229"/>
    </w:p>
    <w:p>
      <w:pPr>
        <w:keepNext/>
        <w:widowControl/>
      </w:pPr>
      <w:r>
        <w:rPr>
          <w:b/>
          <w:i w:val="0"/>
        </w:rPr>
        <w:t>Latin:</w:t>
      </w:r>
      <w:r>
        <w:rPr>
          <w:b w:val="0"/>
          <w:i w:val="0"/>
        </w:rPr>
        <w:t xml:space="preserve"> </w:t>
      </w:r>
      <w:r>
        <w:rPr>
          <w:b w:val="0"/>
          <w:i/>
        </w:rPr>
        <w:t>per se</w:t>
      </w:r>
      <w:r>
        <w:rPr>
          <w:b w:val="0"/>
          <w:i w:val="0"/>
        </w:rPr>
        <w:t xml:space="preserve">; </w:t>
      </w:r>
      <w:r>
        <w:rPr>
          <w:b w:val="0"/>
          <w:i/>
        </w:rPr>
        <w:t>per aliud</w:t>
      </w:r>
      <w:r>
        <w:rPr>
          <w:b w:val="0"/>
          <w:i w:val="0"/>
        </w:rPr>
        <w:t xml:space="preserve">; </w:t>
      </w:r>
      <w:r>
        <w:rPr>
          <w:b w:val="0"/>
          <w:i/>
        </w:rPr>
        <w:t>omnino per se</w:t>
      </w:r>
      <w:r>
        <w:rPr>
          <w:b w:val="0"/>
          <w:i w:val="0"/>
        </w:rPr>
        <w:t xml:space="preserve">; </w:t>
      </w:r>
      <w:r>
        <w:rPr>
          <w:b w:val="0"/>
          <w:i/>
        </w:rPr>
        <w:t>per sui naturam</w:t>
      </w:r>
      <w:r>
        <w:rPr>
          <w:b w:val="0"/>
          <w:i w:val="0"/>
        </w:rPr>
        <w:t xml:space="preserve">; </w:t>
      </w:r>
      <w:r>
        <w:rPr>
          <w:b w:val="0"/>
          <w:i/>
        </w:rPr>
        <w:t>per se subsistens</w:t>
      </w:r>
    </w:p>
    <w:p>
      <w:pPr>
        <w:keepNext/>
        <w:widowControl/>
      </w:pPr>
      <w:r>
        <w:rPr>
          <w:b/>
          <w:i w:val="0"/>
        </w:rPr>
        <w:t>The word.</w:t>
      </w:r>
    </w:p>
    <w:p>
      <w:pPr>
        <w:widowControl/>
      </w:pPr>
      <w:r>
        <w:rPr>
          <w:b w:val="0"/>
          <w:i w:val="0"/>
        </w:rPr>
        <w:t>Per se can mean through itself, by its own nature, or in its own right. Per aliud means through another. Their force must be specified by the dependence under discussion. Omnino intensifies the claim to wholly or without qualification in that respect.</w:t>
      </w:r>
    </w:p>
    <w:p>
      <w:pPr>
        <w:keepNext/>
        <w:widowControl/>
      </w:pPr>
      <w:r>
        <w:rPr>
          <w:b/>
          <w:i w:val="0"/>
        </w:rPr>
        <w:t>In the Platonic Theology.</w:t>
      </w:r>
    </w:p>
    <w:p>
      <w:pPr>
        <w:widowControl/>
      </w:pPr>
      <w:r>
        <w:rPr>
          <w:b w:val="0"/>
          <w:i w:val="0"/>
        </w:rPr>
        <w:t>Per se operates in several closely related argumentative settings. V.5 counts kinds of causal dependence; V.9 asks how being belongs intrinsically to form; V.10 tests whether the soul’s relation to God defeats the resulting claim of self-subsistence. The circle and shaped-wood comparison introduces the second setting: a circle is necessarily round, whereas wood receives roundness through an artisan and can survive without it. The fire objection then asks whether soul too might have its intrinsic property only while it exists. Ficino’s answer requires the metaphysical distinction between materially conditional and separate subsistence, not merely a change in wording.</w:t>
      </w:r>
    </w:p>
    <w:p>
      <w:pPr>
        <w:widowControl/>
      </w:pPr>
      <w:r>
        <w:rPr>
          <w:b w:val="0"/>
          <w:i w:val="0"/>
        </w:rPr>
        <w:t xml:space="preserve">The change in apparent definition between V.5 and V.9 is especially worth slowing down. V.5 says that what is per se is understood without a cause, then immediately restricts complete absence of all four kinds of cause to God. It permits qualified per se as a cause-type is removed. V.9 examines what belongs to something through its own nature and is inseparable under that description. The statements are not safely combined into </w:t>
      </w:r>
      <w:r>
        <w:t>“</w:t>
      </w:r>
      <w:r>
        <w:rPr>
          <w:b w:val="0"/>
          <w:i w:val="0"/>
        </w:rPr>
        <w:t>whatever is per se has no cause.</w:t>
      </w:r>
      <w:r>
        <w:t>”</w:t>
      </w:r>
      <w:r>
        <w:rPr>
          <w:b w:val="0"/>
          <w:i w:val="0"/>
        </w:rPr>
        <w:t xml:space="preserve"> The book itself explains both the qualification and the creature’s assigned nature. This is a lexical shift of argumentative emphasis within a related field, not grounds for silently replacing one passage with the other.</w:t>
      </w:r>
    </w:p>
    <w:p>
      <w:pPr>
        <w:widowControl/>
      </w:pPr>
      <w:r>
        <w:rPr>
          <w:b w:val="0"/>
          <w:i w:val="0"/>
        </w:rPr>
        <w:t>In V.9.1 the fountain-of-being argument proceeds by asking what would give a form its being if not form. Matter cannot do so, because matter does not explain the proper being of the composites already examined. Another form would simply restart the question. The regress must reach form as formally explanatory. But this establishes the priority of form in an explanation of determinate being; it does not erase the efficient source that gives a created form existence. The later inference to immortality needs the additional distinction between the materially inhering and the independently subsisting kinds.</w:t>
      </w:r>
    </w:p>
    <w:p>
      <w:pPr>
        <w:widowControl/>
      </w:pPr>
      <w:r>
        <w:rPr>
          <w:b w:val="0"/>
          <w:i w:val="0"/>
        </w:rPr>
        <w:t>V.9.2 spends considerable care on the apparently troublesome material case. A bodily form is genuinely form, so being follows its nature. Its nature nevertheless includes inhabiting matter. To say being follows it per se is to say being follows it as so inhabiting. Matter can receive an opposed form, and the first form loses the condition under which its being was assigned. There is no inconsistency in calling a form formally explanatory yet dependent in its existence. In the soul’s case, the corresponding adherence is to itself. The author regards that relation as incapable of interruption because nothing could stand between a thing and itself.</w:t>
      </w:r>
    </w:p>
    <w:p>
      <w:pPr>
        <w:widowControl/>
      </w:pPr>
      <w:r>
        <w:rPr>
          <w:b w:val="0"/>
          <w:i w:val="0"/>
        </w:rPr>
        <w:t>The unconditional language at the end of V.9 is thus intelligible only with its causal sequel. V.10 does not quietly retract divine dependence; it brings it forward as the anticipated objection. The relation is fulfilled through the soul’s own nature. It is not an added material link that can break while the same nature remains. One may still question the metaphysical premises of the inference, but the article should not make Ficino defend an uncaused created soul that he explicitly excludes.</w:t>
      </w:r>
    </w:p>
    <w:p>
      <w:pPr>
        <w:keepNext/>
        <w:widowControl/>
      </w:pPr>
      <w:r>
        <w:rPr>
          <w:b/>
          <w:i w:val="0"/>
        </w:rPr>
        <w:t>Places to Read.</w:t>
      </w:r>
    </w:p>
    <w:p>
      <w:pPr>
        <w:ind w:left="187" w:hanging="187"/>
      </w:pPr>
      <w:r>
        <w:t xml:space="preserve">• </w:t>
      </w:r>
      <w:r>
        <w:rPr>
          <w:b/>
          <w:i w:val="0"/>
        </w:rPr>
        <w:t>V.5.1, V.5.3, V.5.4, V.5.5, PDF 26–29.</w:t>
      </w:r>
      <w:r>
        <w:rPr>
          <w:b w:val="0"/>
          <w:i w:val="0"/>
        </w:rPr>
        <w:t xml:space="preserve"> Wholly uncaused existence is distinguished from graded formal and material independence.</w:t>
      </w:r>
    </w:p>
    <w:p>
      <w:pPr>
        <w:ind w:left="187" w:hanging="187"/>
      </w:pPr>
      <w:r>
        <w:t xml:space="preserve">• </w:t>
      </w:r>
      <w:r>
        <w:rPr>
          <w:b/>
          <w:i w:val="0"/>
        </w:rPr>
        <w:t>V.9.1, V.9.2, PDF 46–49.</w:t>
      </w:r>
      <w:r>
        <w:rPr>
          <w:b w:val="0"/>
          <w:i w:val="0"/>
        </w:rPr>
        <w:t xml:space="preserve"> Per se is explained through intrinsic nature and its assigned mode of subsistence.</w:t>
      </w:r>
    </w:p>
    <w:p>
      <w:pPr>
        <w:ind w:left="187" w:hanging="187"/>
      </w:pPr>
      <w:r>
        <w:t xml:space="preserve">• </w:t>
      </w:r>
      <w:r>
        <w:rPr>
          <w:b/>
          <w:i w:val="0"/>
        </w:rPr>
        <w:t>V.9.3, V.9.4, PDF 50–53.</w:t>
      </w:r>
      <w:r>
        <w:rPr>
          <w:b w:val="0"/>
          <w:i w:val="0"/>
        </w:rPr>
        <w:t xml:space="preserve"> The fire objection tests the move from essential predication to perpetuity.</w:t>
      </w:r>
    </w:p>
    <w:p>
      <w:pPr>
        <w:ind w:left="187" w:hanging="187"/>
      </w:pPr>
      <w:r>
        <w:t xml:space="preserve">• </w:t>
      </w:r>
      <w:r>
        <w:rPr>
          <w:b/>
          <w:i w:val="0"/>
        </w:rPr>
        <w:t>V.10.1, V.10.3, PDF 54–55, 58–59.</w:t>
      </w:r>
      <w:r>
        <w:rPr>
          <w:b w:val="0"/>
          <w:i w:val="0"/>
        </w:rPr>
        <w:t xml:space="preserve"> Self-subsistence remains compatible with continual causal dependence on God.</w:t>
      </w:r>
    </w:p>
    <w:p>
      <w:pPr>
        <w:keepNext/>
        <w:widowControl/>
      </w:pPr>
      <w:r>
        <w:rPr>
          <w:b/>
          <w:i w:val="0"/>
        </w:rPr>
        <w:t>In this edition.</w:t>
      </w:r>
    </w:p>
    <w:p>
      <w:pPr>
        <w:widowControl/>
      </w:pPr>
      <w:r>
        <w:t>“</w:t>
      </w:r>
      <w:r>
        <w:rPr>
          <w:b w:val="0"/>
          <w:i w:val="0"/>
        </w:rPr>
        <w:t>In its own right</w:t>
      </w:r>
      <w:r>
        <w:t>”</w:t>
      </w:r>
      <w:r>
        <w:rPr>
          <w:b w:val="0"/>
          <w:i w:val="0"/>
        </w:rPr>
        <w:t xml:space="preserve"> helps with predication; </w:t>
      </w:r>
      <w:r>
        <w:t>“</w:t>
      </w:r>
      <w:r>
        <w:rPr>
          <w:b w:val="0"/>
          <w:i w:val="0"/>
        </w:rPr>
        <w:t>through itself</w:t>
      </w:r>
      <w:r>
        <w:t>”</w:t>
      </w:r>
      <w:r>
        <w:rPr>
          <w:b w:val="0"/>
          <w:i w:val="0"/>
        </w:rPr>
        <w:t xml:space="preserve"> retains causal or reflexive emphasis. These translations do not represent separate Latin terms. The maker-given nature in V.9.2 is decisive: Ficino does not make created essence the uncaused source of its own existence.</w:t>
      </w:r>
    </w:p>
    <w:p>
      <w:pPr>
        <w:keepNext/>
        <w:widowControl/>
      </w:pPr>
      <w:r>
        <w:rPr>
          <w:b/>
          <w:i w:val="0"/>
        </w:rPr>
        <w:t>See also.</w:t>
      </w:r>
    </w:p>
    <w:p>
      <w:pPr>
        <w:widowControl/>
      </w:pPr>
      <w:hyperlink w:anchor="four-causes-and-graded-dependence">
        <w:r>
          <w:rPr>
            <w:color w:val="000000"/>
          </w:rPr>
          <w:t xml:space="preserve">Four causes and graded dependence</w:t>
        </w:r>
      </w:hyperlink>
      <w:r>
        <w:rPr>
          <w:b w:val="0"/>
          <w:i w:val="0"/>
        </w:rPr>
        <w:t xml:space="preserve">; </w:t>
      </w:r>
      <w:hyperlink w:anchor="necessary-predication-and-the-fire-objection">
        <w:r>
          <w:rPr>
            <w:color w:val="000000"/>
          </w:rPr>
          <w:t xml:space="preserve">Necessary predication and the fire objection</w:t>
        </w:r>
      </w:hyperlink>
      <w:r>
        <w:rPr>
          <w:b w:val="0"/>
          <w:i w:val="0"/>
        </w:rPr>
        <w:t xml:space="preserve">; </w:t>
      </w:r>
      <w:hyperlink w:anchor="relation-and-continuing-dependence">
        <w:r>
          <w:rPr>
            <w:color w:val="000000"/>
          </w:rPr>
          <w:t xml:space="preserve">Relation and continuing dependence</w:t>
        </w:r>
      </w:hyperlink>
      <w:r>
        <w:rPr>
          <w:b w:val="0"/>
          <w:i w:val="0"/>
        </w:rPr>
        <w:t xml:space="preserve">; </w:t>
      </w:r>
      <w:hyperlink w:anchor="first-cause">
        <w:r>
          <w:rPr>
            <w:color w:val="000000"/>
          </w:rPr>
          <w:t xml:space="preserve">First Cause</w:t>
        </w:r>
      </w:hyperlink>
    </w:p>
    <w:p>
      <w:pPr>
        <w:pStyle w:val="Heading2"/>
      </w:pPr>
      <w:bookmarkStart w:id="230" w:name="time-memory-and-expectation"/>
      <w:r>
        <w:rPr>
          <w:b w:val="0"/>
          <w:i w:val="0"/>
        </w:rPr>
        <w:t>Time, memory and expectation</w:t>
      </w:r>
      <w:bookmarkEnd w:id="230"/>
    </w:p>
    <w:p>
      <w:pPr>
        <w:keepNext/>
        <w:widowControl/>
      </w:pPr>
      <w:r>
        <w:rPr>
          <w:b/>
          <w:i w:val="0"/>
        </w:rPr>
        <w:t>Latin:</w:t>
      </w:r>
      <w:r>
        <w:rPr>
          <w:b w:val="0"/>
          <w:i w:val="0"/>
        </w:rPr>
        <w:t xml:space="preserve"> </w:t>
      </w:r>
      <w:r>
        <w:rPr>
          <w:b w:val="0"/>
          <w:i/>
        </w:rPr>
        <w:t>tempus</w:t>
      </w:r>
      <w:r>
        <w:rPr>
          <w:b w:val="0"/>
          <w:i w:val="0"/>
        </w:rPr>
        <w:t xml:space="preserve">; </w:t>
      </w:r>
      <w:r>
        <w:rPr>
          <w:b w:val="0"/>
          <w:i/>
        </w:rPr>
        <w:t>simul</w:t>
      </w:r>
      <w:r>
        <w:rPr>
          <w:b w:val="0"/>
          <w:i w:val="0"/>
        </w:rPr>
        <w:t xml:space="preserve">; </w:t>
      </w:r>
      <w:r>
        <w:rPr>
          <w:b w:val="0"/>
          <w:i/>
        </w:rPr>
        <w:t>propositum</w:t>
      </w:r>
      <w:r>
        <w:rPr>
          <w:b w:val="0"/>
          <w:i w:val="0"/>
        </w:rPr>
        <w:t xml:space="preserve">; </w:t>
      </w:r>
      <w:r>
        <w:rPr>
          <w:b w:val="0"/>
          <w:i/>
        </w:rPr>
        <w:t>intentio</w:t>
      </w:r>
      <w:r>
        <w:rPr>
          <w:b w:val="0"/>
          <w:i w:val="0"/>
        </w:rPr>
        <w:t xml:space="preserve">; </w:t>
      </w:r>
      <w:r>
        <w:rPr>
          <w:b w:val="0"/>
          <w:i/>
        </w:rPr>
        <w:t>memoria</w:t>
      </w:r>
      <w:r>
        <w:rPr>
          <w:b w:val="0"/>
          <w:i w:val="0"/>
        </w:rPr>
        <w:t xml:space="preserve">; </w:t>
      </w:r>
      <w:r>
        <w:rPr>
          <w:b w:val="0"/>
          <w:i/>
        </w:rPr>
        <w:t>expectatio</w:t>
      </w:r>
      <w:r>
        <w:rPr>
          <w:b w:val="0"/>
          <w:i w:val="0"/>
        </w:rPr>
        <w:t xml:space="preserve">; </w:t>
      </w:r>
      <w:r>
        <w:rPr>
          <w:b w:val="0"/>
          <w:i/>
        </w:rPr>
        <w:t>futurum</w:t>
      </w:r>
      <w:r>
        <w:rPr>
          <w:b w:val="0"/>
          <w:i w:val="0"/>
        </w:rPr>
        <w:t xml:space="preserve">; </w:t>
      </w:r>
      <w:r>
        <w:rPr>
          <w:b w:val="0"/>
          <w:i/>
        </w:rPr>
        <w:t>praesens</w:t>
      </w:r>
      <w:r>
        <w:rPr>
          <w:b w:val="0"/>
          <w:i w:val="0"/>
        </w:rPr>
        <w:t xml:space="preserve">; </w:t>
      </w:r>
      <w:r>
        <w:rPr>
          <w:b w:val="0"/>
          <w:i/>
        </w:rPr>
        <w:t>praeteritum</w:t>
      </w:r>
    </w:p>
    <w:p>
      <w:pPr>
        <w:keepNext/>
        <w:widowControl/>
      </w:pPr>
      <w:r>
        <w:rPr>
          <w:b/>
          <w:i w:val="0"/>
        </w:rPr>
        <w:t>The word.</w:t>
      </w:r>
    </w:p>
    <w:p>
      <w:pPr>
        <w:widowControl/>
      </w:pPr>
      <w:r>
        <w:rPr>
          <w:b w:val="0"/>
          <w:i w:val="0"/>
        </w:rPr>
        <w:t>Simul means together or at once. Propositum is the purpose of a whole action; intentio is directed attention; memoria recalls what has passed; expectatio anticipates what is to come. These are distinguished orientations, not synonyms for a single present sensation.</w:t>
      </w:r>
    </w:p>
    <w:p>
      <w:pPr>
        <w:keepNext/>
        <w:widowControl/>
      </w:pPr>
      <w:r>
        <w:rPr>
          <w:b/>
          <w:i w:val="0"/>
        </w:rPr>
        <w:t>In the Platonic Theology.</w:t>
      </w:r>
    </w:p>
    <w:p>
      <w:pPr>
        <w:widowControl/>
      </w:pPr>
      <w:r>
        <w:rPr>
          <w:b w:val="0"/>
          <w:i w:val="0"/>
        </w:rPr>
        <w:t>After invoking Augustine in V.15.5, Ficino contrasts a moving work with the mind directing it. Neither the movement nor the moved body possesses all its temporal phases together. It passes from future to present to past. The directing mind, however, can possess simultaneously the stable purpose of the entire work, attention to its present part, recollection of its completed part and expectation of its future part.</w:t>
      </w:r>
    </w:p>
    <w:p>
      <w:pPr>
        <w:widowControl/>
      </w:pPr>
      <w:r>
        <w:rPr>
          <w:b w:val="0"/>
          <w:i w:val="0"/>
        </w:rPr>
        <w:t>The mind therefore brings together things that do not yet exist and things no longer existent. Ficino infers that its relation to temporal movement is not identical with that movement. It is above time in attending to temporal things and immovable in attending to moving things. He asks why such a subject should not likewise be immortal while attending to mortal things.</w:t>
      </w:r>
    </w:p>
    <w:p>
      <w:pPr>
        <w:widowControl/>
      </w:pPr>
      <w:r>
        <w:rPr>
          <w:b w:val="0"/>
          <w:i w:val="0"/>
        </w:rPr>
        <w:t>This does not mean each particular psychological operation is timeless or that memory makes the past happen again. The book has already distinguished successive operation from stable essence. The example supports that distinction by showing a unifying relation to phases that the external work cannot possess all at once.</w:t>
      </w:r>
    </w:p>
    <w:p>
      <w:pPr>
        <w:widowControl/>
      </w:pPr>
      <w:r>
        <w:rPr>
          <w:b w:val="0"/>
          <w:i w:val="0"/>
        </w:rPr>
        <w:t>V.15.24 returns to permanence through dreams: true principles remain what they are when the dream’s setting, persons and words prove false. The lasting presence of truth differs both from successive events and from merely enduring for a long interval.</w:t>
      </w:r>
    </w:p>
    <w:p>
      <w:pPr>
        <w:keepNext/>
        <w:widowControl/>
      </w:pPr>
      <w:r>
        <w:rPr>
          <w:b/>
          <w:i w:val="0"/>
        </w:rPr>
        <w:t>Places to Read.</w:t>
      </w:r>
    </w:p>
    <w:p>
      <w:pPr>
        <w:ind w:left="187" w:hanging="187"/>
      </w:pPr>
      <w:r>
        <w:t xml:space="preserve">• </w:t>
      </w:r>
      <w:r>
        <w:rPr>
          <w:b/>
          <w:i w:val="0"/>
        </w:rPr>
        <w:t>V.2.1, PDF 12–13.</w:t>
      </w:r>
      <w:r>
        <w:rPr>
          <w:b w:val="0"/>
          <w:i w:val="0"/>
        </w:rPr>
        <w:t xml:space="preserve"> The earlier essence/operation distinction controls the temporal claim.</w:t>
      </w:r>
    </w:p>
    <w:p>
      <w:pPr>
        <w:ind w:left="187" w:hanging="187"/>
      </w:pPr>
      <w:r>
        <w:t xml:space="preserve">• </w:t>
      </w:r>
      <w:r>
        <w:rPr>
          <w:b/>
          <w:i w:val="0"/>
        </w:rPr>
        <w:t>V.15.5, V.15.6, PDF 106–109.</w:t>
      </w:r>
      <w:r>
        <w:rPr>
          <w:b w:val="0"/>
          <w:i w:val="0"/>
        </w:rPr>
        <w:t xml:space="preserve"> Purpose, attention, memory and expectation unite a temporally successive work.</w:t>
      </w:r>
    </w:p>
    <w:p>
      <w:pPr>
        <w:ind w:left="187" w:hanging="187"/>
      </w:pPr>
      <w:r>
        <w:t xml:space="preserve">• </w:t>
      </w:r>
      <w:r>
        <w:rPr>
          <w:b/>
          <w:i w:val="0"/>
        </w:rPr>
        <w:t>V.15.24, PDF 120–121.</w:t>
      </w:r>
      <w:r>
        <w:rPr>
          <w:b w:val="0"/>
          <w:i w:val="0"/>
        </w:rPr>
        <w:t xml:space="preserve"> Immutable principles outlast a dream’s transitory or fictitious setting.</w:t>
      </w:r>
    </w:p>
    <w:p>
      <w:pPr>
        <w:keepNext/>
        <w:widowControl/>
      </w:pPr>
      <w:r>
        <w:rPr>
          <w:b/>
          <w:i w:val="0"/>
        </w:rPr>
        <w:t>In this edition.</w:t>
      </w:r>
    </w:p>
    <w:p>
      <w:pPr>
        <w:widowControl/>
      </w:pPr>
      <w:r>
        <w:rPr>
          <w:b w:val="0"/>
          <w:i w:val="0"/>
        </w:rPr>
        <w:t>The source distinguishes praesentia, presence, from duration in the dream passage. The word intentio does not merely mean a plan; the plan has its own term propositum. The Augustinian orientation is Ficino’s explicit attribution, not a claim that the supplied passage reproduces an independently collated Augustine text.</w:t>
      </w:r>
    </w:p>
    <w:p>
      <w:pPr>
        <w:keepNext/>
        <w:widowControl/>
      </w:pPr>
      <w:r>
        <w:rPr>
          <w:b/>
          <w:i w:val="0"/>
        </w:rPr>
        <w:t>See also.</w:t>
      </w:r>
    </w:p>
    <w:p>
      <w:pPr>
        <w:widowControl/>
      </w:pPr>
      <w:hyperlink w:anchor="motion-and-substantial-stability">
        <w:r>
          <w:rPr>
            <w:color w:val="000000"/>
          </w:rPr>
          <w:t xml:space="preserve">Motion and substantial stability</w:t>
        </w:r>
      </w:hyperlink>
      <w:r>
        <w:rPr>
          <w:b w:val="0"/>
          <w:i w:val="0"/>
        </w:rPr>
        <w:t xml:space="preserve">; </w:t>
      </w:r>
      <w:hyperlink w:anchor="intelligible-principles-and-reasoning">
        <w:r>
          <w:rPr>
            <w:color w:val="000000"/>
          </w:rPr>
          <w:t xml:space="preserve">Intelligible principles and reasoning</w:t>
        </w:r>
      </w:hyperlink>
      <w:r>
        <w:rPr>
          <w:b w:val="0"/>
          <w:i w:val="0"/>
        </w:rPr>
        <w:t xml:space="preserve">; </w:t>
      </w:r>
      <w:hyperlink w:anchor="sleep-and-dreams">
        <w:r>
          <w:rPr>
            <w:color w:val="000000"/>
          </w:rPr>
          <w:t xml:space="preserve">Sleep and dreams</w:t>
        </w:r>
      </w:hyperlink>
    </w:p>
    <w:p>
      <w:pPr>
        <w:pStyle w:val="Heading2"/>
      </w:pPr>
      <w:bookmarkStart w:id="231" w:name="viii-touch-traversal"/>
      <w:r>
        <w:rPr>
          <w:b w:val="0"/>
          <w:i w:val="0"/>
        </w:rPr>
        <w:t>Touch, traversal, and the rejection of bodily contact</w:t>
      </w:r>
      <w:bookmarkEnd w:id="231"/>
    </w:p>
    <w:p>
      <w:pPr>
        <w:keepNext/>
        <w:widowControl/>
      </w:pPr>
      <w:r>
        <w:rPr>
          <w:b/>
          <w:i w:val="0"/>
        </w:rPr>
        <w:t>Latin:</w:t>
      </w:r>
      <w:r>
        <w:rPr>
          <w:b w:val="0"/>
          <w:i w:val="0"/>
        </w:rPr>
        <w:t xml:space="preserve"> </w:t>
      </w:r>
      <w:r>
        <w:rPr>
          <w:b w:val="0"/>
          <w:i/>
        </w:rPr>
        <w:t>tactus</w:t>
      </w:r>
      <w:r>
        <w:rPr>
          <w:b w:val="0"/>
          <w:i w:val="0"/>
        </w:rPr>
        <w:t xml:space="preserve">; </w:t>
      </w:r>
      <w:r>
        <w:rPr>
          <w:b w:val="0"/>
          <w:i/>
        </w:rPr>
        <w:t>tangere</w:t>
      </w:r>
      <w:r>
        <w:rPr>
          <w:b w:val="0"/>
          <w:i w:val="0"/>
        </w:rPr>
        <w:t xml:space="preserve">; </w:t>
      </w:r>
      <w:r>
        <w:rPr>
          <w:b w:val="0"/>
          <w:i/>
        </w:rPr>
        <w:t>attingere</w:t>
      </w:r>
      <w:r>
        <w:rPr>
          <w:b w:val="0"/>
          <w:i w:val="0"/>
        </w:rPr>
        <w:t xml:space="preserve">; </w:t>
      </w:r>
      <w:r>
        <w:rPr>
          <w:b w:val="0"/>
          <w:i/>
        </w:rPr>
        <w:t>transcurrere</w:t>
      </w:r>
      <w:r>
        <w:rPr>
          <w:b w:val="0"/>
          <w:i w:val="0"/>
        </w:rPr>
        <w:t xml:space="preserve">; </w:t>
      </w:r>
      <w:r>
        <w:rPr>
          <w:b w:val="0"/>
          <w:i/>
        </w:rPr>
        <w:t>admovere</w:t>
      </w:r>
      <w:r>
        <w:rPr>
          <w:b w:val="0"/>
          <w:i w:val="0"/>
        </w:rPr>
        <w:t xml:space="preserve">; </w:t>
      </w:r>
      <w:r>
        <w:rPr>
          <w:b w:val="0"/>
          <w:i/>
        </w:rPr>
        <w:t>impartibilis</w:t>
      </w:r>
    </w:p>
    <w:p>
      <w:pPr>
        <w:keepNext/>
        <w:widowControl/>
      </w:pPr>
      <w:r>
        <w:rPr>
          <w:b/>
          <w:i w:val="0"/>
        </w:rPr>
        <w:t>The word.</w:t>
      </w:r>
    </w:p>
    <w:p>
      <w:pPr>
        <w:widowControl/>
      </w:pPr>
      <w:r>
        <w:rPr>
          <w:b w:val="0"/>
          <w:i w:val="0"/>
        </w:rPr>
        <w:t xml:space="preserve">Tactus can be bodily contact or the metaphorical </w:t>
      </w:r>
      <w:r>
        <w:t>“</w:t>
      </w:r>
      <w:r>
        <w:rPr>
          <w:b w:val="0"/>
          <w:i w:val="0"/>
        </w:rPr>
        <w:t>touch</w:t>
      </w:r>
      <w:r>
        <w:t>”</w:t>
      </w:r>
      <w:r>
        <w:rPr>
          <w:b w:val="0"/>
          <w:i w:val="0"/>
        </w:rPr>
        <w:t xml:space="preserve"> of intellectual grasp. Transcurrere is traversing; admovere is bringing one thing up to another. Impartibilis means without separable parts. The argument depends on not importing the bodily sense of touch into understanding.</w:t>
      </w:r>
    </w:p>
    <w:p>
      <w:pPr>
        <w:keepNext/>
        <w:widowControl/>
      </w:pPr>
      <w:r>
        <w:rPr>
          <w:b/>
          <w:i w:val="0"/>
        </w:rPr>
        <w:t>In the Platonic Theology.</w:t>
      </w:r>
    </w:p>
    <w:p>
      <w:pPr>
        <w:widowControl/>
      </w:pPr>
      <w:r>
        <w:rPr>
          <w:b w:val="0"/>
          <w:i w:val="0"/>
        </w:rPr>
        <w:t>Suppose mind were a body, or a form spread through a body. To reach its object it would have to touch and traverse it by points, by extent, or by both. A point reaches points rather than magnitude; an accumulation of points could never complete a traversal of the hypothesized infinitely many components. Extent alone reaches only other extended things, leaving simple objects unexplained. A mixed point-and-extent model inherits both difficulties.</w:t>
      </w:r>
    </w:p>
    <w:p>
      <w:pPr>
        <w:widowControl/>
      </w:pPr>
      <w:r>
        <w:rPr>
          <w:b w:val="0"/>
          <w:i w:val="0"/>
        </w:rPr>
        <w:t>The traversal hypothesis also generates an absurd multiplication of cognition. Each mental part would have to approach each part of the object in turn, producing endlessly repeated apprehensions instead of one understanding of the whole. These suppositions are the opponent’s proposed bodily mechanism, not Ficino’s positive description of an actual intellect assembled from points.</w:t>
      </w:r>
    </w:p>
    <w:p>
      <w:pPr>
        <w:widowControl/>
      </w:pPr>
      <w:r>
        <w:rPr>
          <w:b w:val="0"/>
          <w:i w:val="0"/>
        </w:rPr>
        <w:t>A Plotinian reply then cuts through the model: if only an indivisible component performs the knowing, that component alone deserves the name mind; the alleged nonknowing bodily remainder is irrelevant. Mind’s ability to apprehend points without length, lines without breadth, surfaces without depth, numbers without position and beauty without deformity displays the contrast. It also actively separates intelligible features from their material admixtures, rather than merely receiving purified objects ready-made.</w:t>
      </w:r>
    </w:p>
    <w:p>
      <w:pPr>
        <w:keepNext/>
        <w:widowControl/>
      </w:pPr>
      <w:r>
        <w:rPr>
          <w:b/>
          <w:i w:val="0"/>
        </w:rPr>
        <w:t>Places to Read.</w:t>
      </w:r>
    </w:p>
    <w:p>
      <w:pPr>
        <w:ind w:left="187" w:hanging="187"/>
      </w:pPr>
      <w:r>
        <w:t xml:space="preserve">• </w:t>
      </w:r>
      <w:r>
        <w:rPr>
          <w:b/>
          <w:i w:val="0"/>
        </w:rPr>
        <w:t>VIII.4.11, PDF pp. 334–335.</w:t>
      </w:r>
      <w:r>
        <w:rPr>
          <w:b w:val="0"/>
          <w:i w:val="0"/>
        </w:rPr>
        <w:t xml:space="preserve"> Simple intellectual touch is a positive metaphor, distinct from the rejected bodily mechanism.</w:t>
      </w:r>
    </w:p>
    <w:p>
      <w:pPr>
        <w:ind w:left="187" w:hanging="187"/>
      </w:pPr>
      <w:r>
        <w:t xml:space="preserve">• </w:t>
      </w:r>
      <w:r>
        <w:rPr>
          <w:b/>
          <w:i w:val="0"/>
        </w:rPr>
        <w:t>VIII.5.1, PDF pp. 338–339.</w:t>
      </w:r>
      <w:r>
        <w:rPr>
          <w:b w:val="0"/>
          <w:i w:val="0"/>
        </w:rPr>
        <w:t xml:space="preserve"> Point, extent and their combination all fail to explain knowledge by physical traversal.</w:t>
      </w:r>
    </w:p>
    <w:p>
      <w:pPr>
        <w:ind w:left="187" w:hanging="187"/>
      </w:pPr>
      <w:r>
        <w:t xml:space="preserve">• </w:t>
      </w:r>
      <w:r>
        <w:rPr>
          <w:b/>
          <w:i w:val="0"/>
        </w:rPr>
        <w:t>VIII.5.2, PDF pp. 340–341.</w:t>
      </w:r>
      <w:r>
        <w:rPr>
          <w:b w:val="0"/>
          <w:i w:val="0"/>
        </w:rPr>
        <w:t xml:space="preserve"> The Plotinian sufficiency argument removes the nonknowing remainder and emphasizes abstraction.</w:t>
      </w:r>
    </w:p>
    <w:p>
      <w:pPr>
        <w:keepNext/>
        <w:widowControl/>
      </w:pPr>
      <w:r>
        <w:rPr>
          <w:b/>
          <w:i w:val="0"/>
        </w:rPr>
        <w:t>In this edition.</w:t>
      </w:r>
    </w:p>
    <w:p>
      <w:pPr>
        <w:widowControl/>
      </w:pPr>
      <w:r>
        <w:rPr>
          <w:b w:val="0"/>
          <w:i w:val="0"/>
        </w:rPr>
        <w:t xml:space="preserve">At VIII.5.1 the source correction tactu, replacing actu, is decisive: the hypothesis requires contact, not merely actuality. </w:t>
      </w:r>
      <w:r>
        <w:t>“</w:t>
      </w:r>
      <w:r>
        <w:rPr>
          <w:b w:val="0"/>
          <w:i w:val="0"/>
        </w:rPr>
        <w:t>Infinitely,</w:t>
      </w:r>
      <w:r>
        <w:t>”</w:t>
      </w:r>
      <w:r>
        <w:rPr>
          <w:b w:val="0"/>
          <w:i w:val="0"/>
        </w:rPr>
        <w:t xml:space="preserve"> </w:t>
      </w:r>
      <w:r>
        <w:t>“</w:t>
      </w:r>
      <w:r>
        <w:rPr>
          <w:b w:val="0"/>
          <w:i w:val="0"/>
        </w:rPr>
        <w:t>almost innumerably</w:t>
      </w:r>
      <w:r>
        <w:t>”</w:t>
      </w:r>
      <w:r>
        <w:rPr>
          <w:b w:val="0"/>
          <w:i w:val="0"/>
        </w:rPr>
        <w:t xml:space="preserve"> and </w:t>
      </w:r>
      <w:r>
        <w:t>“</w:t>
      </w:r>
      <w:r>
        <w:rPr>
          <w:b w:val="0"/>
          <w:i w:val="0"/>
        </w:rPr>
        <w:t>so to speak</w:t>
      </w:r>
      <w:r>
        <w:t>”</w:t>
      </w:r>
      <w:r>
        <w:rPr>
          <w:b w:val="0"/>
          <w:i w:val="0"/>
        </w:rPr>
        <w:t xml:space="preserve"> preserve the deliberately excessive reductio rather than asserting a completed physical infinity.</w:t>
      </w:r>
    </w:p>
    <w:p>
      <w:pPr>
        <w:keepNext/>
        <w:widowControl/>
      </w:pPr>
      <w:r>
        <w:rPr>
          <w:b/>
          <w:i w:val="0"/>
        </w:rPr>
        <w:t>See also.</w:t>
      </w:r>
    </w:p>
    <w:p>
      <w:pPr>
        <w:widowControl/>
      </w:pPr>
      <w:hyperlink w:anchor="viii-bodily-points">
        <w:r>
          <w:rPr>
            <w:color w:val="000000"/>
          </w:rPr>
          <w:t xml:space="preserve">Bodily points and the seat of understanding</w:t>
        </w:r>
      </w:hyperlink>
      <w:r>
        <w:rPr>
          <w:b w:val="0"/>
          <w:i w:val="0"/>
        </w:rPr>
        <w:t xml:space="preserve">; </w:t>
      </w:r>
      <w:hyperlink w:anchor="viii-whole-mind">
        <w:r>
          <w:rPr>
            <w:color w:val="000000"/>
          </w:rPr>
          <w:t xml:space="preserve">The whole mind and the measure of equality</w:t>
        </w:r>
      </w:hyperlink>
      <w:r>
        <w:rPr>
          <w:b w:val="0"/>
          <w:i w:val="0"/>
        </w:rPr>
        <w:t xml:space="preserve">; </w:t>
      </w:r>
      <w:hyperlink w:anchor="viii-analysis-mangling">
        <w:r>
          <w:rPr>
            <w:color w:val="000000"/>
          </w:rPr>
          <w:t xml:space="preserve">Analysis, mangling, and fictive construction</w:t>
        </w:r>
      </w:hyperlink>
    </w:p>
    <w:p>
      <w:pPr>
        <w:pStyle w:val="Heading2"/>
      </w:pPr>
      <w:bookmarkStart w:id="232" w:name="transmission-of-form-and-natural-order"/>
      <w:r>
        <w:rPr>
          <w:b w:val="0"/>
          <w:i w:val="0"/>
        </w:rPr>
        <w:t>Transmission of form and natural order</w:t>
      </w:r>
      <w:bookmarkEnd w:id="232"/>
    </w:p>
    <w:p>
      <w:pPr>
        <w:keepNext/>
        <w:widowControl/>
      </w:pPr>
      <w:r>
        <w:rPr>
          <w:b/>
          <w:i w:val="0"/>
        </w:rPr>
        <w:t>Latin:</w:t>
      </w:r>
      <w:r>
        <w:rPr>
          <w:b w:val="0"/>
          <w:i w:val="0"/>
        </w:rPr>
        <w:t xml:space="preserve"> </w:t>
      </w:r>
      <w:r>
        <w:rPr>
          <w:b w:val="0"/>
          <w:i/>
        </w:rPr>
        <w:t>tradere</w:t>
      </w:r>
      <w:r>
        <w:rPr>
          <w:b w:val="0"/>
          <w:i w:val="0"/>
        </w:rPr>
        <w:t xml:space="preserve">; </w:t>
      </w:r>
      <w:r>
        <w:rPr>
          <w:b w:val="0"/>
          <w:i/>
        </w:rPr>
        <w:t>adimere</w:t>
      </w:r>
      <w:r>
        <w:rPr>
          <w:b w:val="0"/>
          <w:i w:val="0"/>
        </w:rPr>
        <w:t xml:space="preserve">; </w:t>
      </w:r>
      <w:r>
        <w:rPr>
          <w:b w:val="0"/>
          <w:i/>
        </w:rPr>
        <w:t>sumere</w:t>
      </w:r>
      <w:r>
        <w:rPr>
          <w:b w:val="0"/>
          <w:i w:val="0"/>
        </w:rPr>
        <w:t xml:space="preserve">; </w:t>
      </w:r>
      <w:r>
        <w:rPr>
          <w:b w:val="0"/>
          <w:i/>
        </w:rPr>
        <w:t>species</w:t>
      </w:r>
      <w:r>
        <w:rPr>
          <w:b w:val="0"/>
          <w:i w:val="0"/>
        </w:rPr>
        <w:t xml:space="preserve">; </w:t>
      </w:r>
      <w:r>
        <w:rPr>
          <w:b w:val="0"/>
          <w:i/>
        </w:rPr>
        <w:t>naturae ordo</w:t>
      </w:r>
      <w:r>
        <w:rPr>
          <w:b w:val="0"/>
          <w:i w:val="0"/>
        </w:rPr>
        <w:t xml:space="preserve">; </w:t>
      </w:r>
      <w:r>
        <w:rPr>
          <w:b w:val="0"/>
          <w:i/>
        </w:rPr>
        <w:t>propinquitas</w:t>
      </w:r>
      <w:r>
        <w:rPr>
          <w:b w:val="0"/>
          <w:i w:val="0"/>
        </w:rPr>
        <w:t xml:space="preserve">; </w:t>
      </w:r>
      <w:r>
        <w:rPr>
          <w:b w:val="0"/>
          <w:i/>
        </w:rPr>
        <w:t>potentior</w:t>
      </w:r>
      <w:r>
        <w:rPr>
          <w:b w:val="0"/>
          <w:i w:val="0"/>
        </w:rPr>
        <w:t xml:space="preserve">; </w:t>
      </w:r>
      <w:r>
        <w:rPr>
          <w:b w:val="0"/>
          <w:i/>
        </w:rPr>
        <w:t>melior</w:t>
      </w:r>
      <w:r>
        <w:rPr>
          <w:b w:val="0"/>
          <w:i w:val="0"/>
        </w:rPr>
        <w:t xml:space="preserve">; </w:t>
      </w:r>
      <w:r>
        <w:rPr>
          <w:b w:val="0"/>
          <w:i/>
        </w:rPr>
        <w:t>moles</w:t>
      </w:r>
    </w:p>
    <w:p>
      <w:pPr>
        <w:keepNext/>
        <w:widowControl/>
      </w:pPr>
      <w:r>
        <w:rPr>
          <w:b/>
          <w:i w:val="0"/>
        </w:rPr>
        <w:t>The word.</w:t>
      </w:r>
    </w:p>
    <w:p>
      <w:pPr>
        <w:widowControl/>
      </w:pPr>
      <w:r>
        <w:rPr>
          <w:b w:val="0"/>
          <w:i w:val="0"/>
        </w:rPr>
        <w:t>Tradere transmits or hands on, adimere removes, and sumere receives or takes up. Propinquitas is nearness, here explicitly ordered by nature rather than spatial distance. Greater power and goodness concern form, not merely greater bodily bulk, moles.</w:t>
      </w:r>
    </w:p>
    <w:p>
      <w:pPr>
        <w:keepNext/>
        <w:widowControl/>
      </w:pPr>
      <w:r>
        <w:rPr>
          <w:b/>
          <w:i w:val="0"/>
        </w:rPr>
        <w:t>In the Platonic Theology.</w:t>
      </w:r>
    </w:p>
    <w:p>
      <w:pPr>
        <w:widowControl/>
      </w:pPr>
      <w:r>
        <w:rPr>
          <w:b w:val="0"/>
          <w:i w:val="0"/>
        </w:rPr>
        <w:t>The book’s final argument excludes conversion into body by examining how body receives form through soul. V.15.25–27 presents the order as supreme essence or beauty, rational soul, derivative life and body. The argument must preserve both a real communication to lower beings and the identity of the higher giver.</w:t>
      </w:r>
    </w:p>
    <w:p>
      <w:pPr>
        <w:widowControl/>
      </w:pPr>
      <w:r>
        <w:rPr>
          <w:b w:val="0"/>
          <w:i w:val="0"/>
        </w:rPr>
        <w:t xml:space="preserve">The first premise carefully orders two relations often confused by a spatial picture. Soul joins a body occupying a place, but does not itself join by occupying an adjacent place or becoming a divisible segment. Eternal principles likewise are not situated in a spatial region. Soul’s being prior and nearer to them means greater participation in the natural order. Because of that priority it is affected more fully before body receives a mediated form. </w:t>
      </w:r>
      <w:r>
        <w:t>“</w:t>
      </w:r>
      <w:r>
        <w:rPr>
          <w:b w:val="0"/>
          <w:i w:val="0"/>
        </w:rPr>
        <w:t>Before</w:t>
      </w:r>
      <w:r>
        <w:t>”</w:t>
      </w:r>
      <w:r>
        <w:rPr>
          <w:b w:val="0"/>
          <w:i w:val="0"/>
        </w:rPr>
        <w:t xml:space="preserve"> is explanatory priority here, not necessarily the claim that one event occurs several seconds earlier.</w:t>
      </w:r>
    </w:p>
    <w:p>
      <w:pPr>
        <w:widowControl/>
      </w:pPr>
      <w:r>
        <w:rPr>
          <w:b w:val="0"/>
          <w:i w:val="0"/>
        </w:rPr>
        <w:t xml:space="preserve">V.15.25 explicitly gives both universal and particular applications: the animated world and each animal within it. The proposed change into body must operate within that same order, since no body arises without receiving form through soul. The difficult formula </w:t>
      </w:r>
      <w:r>
        <w:t>“</w:t>
      </w:r>
      <w:r>
        <w:rPr>
          <w:b w:val="0"/>
          <w:i w:val="0"/>
        </w:rPr>
        <w:t>soul through soul would become body</w:t>
      </w:r>
      <w:r>
        <w:t>”</w:t>
      </w:r>
      <w:r>
        <w:rPr>
          <w:b w:val="0"/>
          <w:i w:val="0"/>
        </w:rPr>
        <w:t xml:space="preserve"> makes the circular requirement audible. The agent whose identity is to be lost is also the necessary continuing agent of the proposed result. Keeping the repeated anima is therefore philosophically useful rather than a stylistic blemish to remove.</w:t>
      </w:r>
    </w:p>
    <w:p>
      <w:pPr>
        <w:widowControl/>
      </w:pPr>
      <w:r>
        <w:rPr>
          <w:b w:val="0"/>
          <w:i w:val="0"/>
        </w:rPr>
        <w:t>The next unit tests whether a body could obtain its form without that dependence. If it receives none, it does not come to be; if it receives with the same immediacy as soul, it occupies soul’s rank rather than the bodily rank under consideration. Ficino is relying on his hierarchy of modes of reception, so this is not a free-standing proof against every conceivable theory of matter. Within that hierarchy there is no fitting mediator between supreme immutable life and the last vivified term except vivifying soul.</w:t>
      </w:r>
    </w:p>
    <w:p>
      <w:pPr>
        <w:widowControl/>
      </w:pPr>
      <w:r>
        <w:rPr>
          <w:b w:val="0"/>
          <w:i w:val="0"/>
        </w:rPr>
        <w:t>Transmission and removal are consequently opposed causal descriptions. Soul gives form to a body while keeping the form by which it gives. Conversion into body would require stripping the soul of its own superior form. One act cannot both preserve and remove that mediating condition in the needed respect. The final extension to irrational life uses the same pattern: a lower effect cannot be produced by abolishing the higher source that its production presupposes.</w:t>
      </w:r>
    </w:p>
    <w:p>
      <w:pPr>
        <w:widowControl/>
      </w:pPr>
      <w:r>
        <w:rPr>
          <w:b w:val="0"/>
          <w:i w:val="0"/>
        </w:rPr>
        <w:t>The closing association of power and goodness does not reduce superiority to force. These natures are stronger through the form by which they are better; they do not grow more powerful by adding spatial volume. The distinction completes the book’s contrast between divisible persistence of body and self-maintaining life of soul. It also supplies a useful cross-reference back to teaching: communicating an intelligible form need not be a material transfer that impoverishes the giver.</w:t>
      </w:r>
    </w:p>
    <w:p>
      <w:pPr>
        <w:keepNext/>
        <w:widowControl/>
      </w:pPr>
      <w:r>
        <w:rPr>
          <w:b/>
          <w:i w:val="0"/>
        </w:rPr>
        <w:t>Places to Read.</w:t>
      </w:r>
    </w:p>
    <w:p>
      <w:pPr>
        <w:ind w:left="187" w:hanging="187"/>
      </w:pPr>
      <w:r>
        <w:t xml:space="preserve">• </w:t>
      </w:r>
      <w:r>
        <w:rPr>
          <w:b/>
          <w:i w:val="0"/>
        </w:rPr>
        <w:t>V.15.25, PDF 122–123.</w:t>
      </w:r>
      <w:r>
        <w:rPr>
          <w:b w:val="0"/>
          <w:i w:val="0"/>
        </w:rPr>
        <w:t xml:space="preserve"> Natural priority and nonspatial nearness establish soul’s mediation of bodily form.</w:t>
      </w:r>
    </w:p>
    <w:p>
      <w:pPr>
        <w:ind w:left="187" w:hanging="187"/>
      </w:pPr>
      <w:r>
        <w:t xml:space="preserve">• </w:t>
      </w:r>
      <w:r>
        <w:rPr>
          <w:b/>
          <w:i w:val="0"/>
        </w:rPr>
        <w:t>V.15.26, PDF 122–123.</w:t>
      </w:r>
      <w:r>
        <w:rPr>
          <w:b w:val="0"/>
          <w:i w:val="0"/>
        </w:rPr>
        <w:t xml:space="preserve"> The alternatives of bypassing soul or removing its form both fail on Ficino’s premises.</w:t>
      </w:r>
    </w:p>
    <w:p>
      <w:pPr>
        <w:ind w:left="187" w:hanging="187"/>
      </w:pPr>
      <w:r>
        <w:t xml:space="preserve">• </w:t>
      </w:r>
      <w:r>
        <w:rPr>
          <w:b/>
          <w:i w:val="0"/>
        </w:rPr>
        <w:t>V.15.27, PDF 124–125.</w:t>
      </w:r>
      <w:r>
        <w:rPr>
          <w:b w:val="0"/>
          <w:i w:val="0"/>
        </w:rPr>
        <w:t xml:space="preserve"> The same protection extends against conversion into irrational life and excludes power-by-bulk.</w:t>
      </w:r>
    </w:p>
    <w:p>
      <w:pPr>
        <w:keepNext/>
        <w:widowControl/>
      </w:pPr>
      <w:r>
        <w:rPr>
          <w:b/>
          <w:i w:val="0"/>
        </w:rPr>
        <w:t>In this edition.</w:t>
      </w:r>
    </w:p>
    <w:p>
      <w:pPr>
        <w:widowControl/>
      </w:pPr>
      <w:r>
        <w:rPr>
          <w:b w:val="0"/>
          <w:i w:val="0"/>
        </w:rPr>
        <w:t>The source treats ut anima per animam corpus fieret conditionally from its context: if soul became body, it would have to do so through soul. The difficult repetition is not silently deleted. The editorial subdivisions V.15.26–27 preserve the continuation of the source paragraph (PDF 403–404).</w:t>
      </w:r>
    </w:p>
    <w:p>
      <w:pPr>
        <w:keepNext/>
        <w:widowControl/>
      </w:pPr>
      <w:r>
        <w:rPr>
          <w:b/>
          <w:i w:val="0"/>
        </w:rPr>
        <w:t>See also.</w:t>
      </w:r>
    </w:p>
    <w:p>
      <w:pPr>
        <w:widowControl/>
      </w:pPr>
      <w:hyperlink w:anchor="soul-as-universal-bond">
        <w:r>
          <w:rPr>
            <w:color w:val="000000"/>
          </w:rPr>
          <w:t xml:space="preserve">Soul as universal bond</w:t>
        </w:r>
      </w:hyperlink>
      <w:r>
        <w:rPr>
          <w:b w:val="0"/>
          <w:i w:val="0"/>
        </w:rPr>
        <w:t xml:space="preserve">; </w:t>
      </w:r>
      <w:hyperlink w:anchor="teaching-without-loss">
        <w:r>
          <w:rPr>
            <w:color w:val="000000"/>
          </w:rPr>
          <w:t xml:space="preserve">Teaching without loss</w:t>
        </w:r>
      </w:hyperlink>
      <w:r>
        <w:rPr>
          <w:b w:val="0"/>
          <w:i w:val="0"/>
        </w:rPr>
        <w:t xml:space="preserve">; </w:t>
      </w:r>
      <w:hyperlink w:anchor="conversion-desire-and-compulsion">
        <w:r>
          <w:rPr>
            <w:color w:val="000000"/>
          </w:rPr>
          <w:t xml:space="preserve">Conversion, desire and compulsion</w:t>
        </w:r>
      </w:hyperlink>
    </w:p>
    <w:p>
      <w:pPr>
        <w:pStyle w:val="Heading2"/>
      </w:pPr>
      <w:bookmarkStart w:id="233" w:name="viii-truth-mathematics"/>
      <w:r>
        <w:rPr>
          <w:b w:val="0"/>
          <w:i w:val="0"/>
        </w:rPr>
        <w:t>Truth, mathematical figures, and immutable principles</w:t>
      </w:r>
      <w:bookmarkEnd w:id="233"/>
    </w:p>
    <w:p>
      <w:pPr>
        <w:keepNext/>
        <w:widowControl/>
      </w:pPr>
      <w:r>
        <w:rPr>
          <w:b/>
          <w:i w:val="0"/>
        </w:rPr>
        <w:t>Latin:</w:t>
      </w:r>
      <w:r>
        <w:rPr>
          <w:b w:val="0"/>
          <w:i w:val="0"/>
        </w:rPr>
        <w:t xml:space="preserve"> </w:t>
      </w:r>
      <w:r>
        <w:rPr>
          <w:b w:val="0"/>
          <w:i/>
        </w:rPr>
        <w:t>veritas</w:t>
      </w:r>
      <w:r>
        <w:rPr>
          <w:b w:val="0"/>
          <w:i w:val="0"/>
        </w:rPr>
        <w:t xml:space="preserve">; </w:t>
      </w:r>
      <w:r>
        <w:rPr>
          <w:b w:val="0"/>
          <w:i/>
        </w:rPr>
        <w:t>ratio</w:t>
      </w:r>
      <w:r>
        <w:rPr>
          <w:b w:val="0"/>
          <w:i w:val="0"/>
        </w:rPr>
        <w:t xml:space="preserve">; </w:t>
      </w:r>
      <w:r>
        <w:rPr>
          <w:b w:val="0"/>
          <w:i/>
        </w:rPr>
        <w:t>scientia</w:t>
      </w:r>
      <w:r>
        <w:rPr>
          <w:b w:val="0"/>
          <w:i w:val="0"/>
        </w:rPr>
        <w:t xml:space="preserve">; </w:t>
      </w:r>
      <w:r>
        <w:rPr>
          <w:b w:val="0"/>
          <w:i/>
        </w:rPr>
        <w:t>punctum</w:t>
      </w:r>
      <w:r>
        <w:rPr>
          <w:b w:val="0"/>
          <w:i w:val="0"/>
        </w:rPr>
        <w:t xml:space="preserve">; </w:t>
      </w:r>
      <w:r>
        <w:rPr>
          <w:b w:val="0"/>
          <w:i/>
        </w:rPr>
        <w:t>linea</w:t>
      </w:r>
      <w:r>
        <w:rPr>
          <w:b w:val="0"/>
          <w:i w:val="0"/>
        </w:rPr>
        <w:t xml:space="preserve">; </w:t>
      </w:r>
      <w:r>
        <w:rPr>
          <w:b w:val="0"/>
          <w:i/>
        </w:rPr>
        <w:t>superficies</w:t>
      </w:r>
      <w:r>
        <w:rPr>
          <w:b w:val="0"/>
          <w:i w:val="0"/>
        </w:rPr>
        <w:t xml:space="preserve">; </w:t>
      </w:r>
      <w:r>
        <w:rPr>
          <w:b w:val="0"/>
          <w:i/>
        </w:rPr>
        <w:t>quantitas</w:t>
      </w:r>
      <w:r>
        <w:rPr>
          <w:b w:val="0"/>
          <w:i w:val="0"/>
        </w:rPr>
        <w:t xml:space="preserve">; </w:t>
      </w:r>
      <w:r>
        <w:rPr>
          <w:b w:val="0"/>
          <w:i/>
        </w:rPr>
        <w:t>immutabilis</w:t>
      </w:r>
    </w:p>
    <w:p>
      <w:pPr>
        <w:keepNext/>
        <w:widowControl/>
      </w:pPr>
      <w:r>
        <w:rPr>
          <w:b/>
          <w:i w:val="0"/>
        </w:rPr>
        <w:t>The word.</w:t>
      </w:r>
    </w:p>
    <w:p>
      <w:pPr>
        <w:widowControl/>
      </w:pPr>
      <w:r>
        <w:rPr>
          <w:b w:val="0"/>
          <w:i w:val="0"/>
        </w:rPr>
        <w:t>Veritas here concerns the genuine being and intelligible integrity of things as well as the correctness of knowing. Ratio can be a universal account or the reasoning power that judges. Mathematical point, line and surface are defined through the absence of respectively length, breadth and depth.</w:t>
      </w:r>
    </w:p>
    <w:p>
      <w:pPr>
        <w:keepNext/>
        <w:widowControl/>
      </w:pPr>
      <w:r>
        <w:rPr>
          <w:b/>
          <w:i w:val="0"/>
        </w:rPr>
        <w:t>In the Platonic Theology.</w:t>
      </w:r>
    </w:p>
    <w:p>
      <w:pPr>
        <w:widowControl/>
      </w:pPr>
      <w:r>
        <w:rPr>
          <w:b w:val="0"/>
          <w:i w:val="0"/>
        </w:rPr>
        <w:t>Truth cannot be corporeal, Ficino argues, since God, angels and numbers are true without being bodies. He then makes the stronger claim that truth is not properly in bodies: matter supplies no determinate species, and form in matter has its power impaired by admixture and extraneous conditions. Mathematical exactness offers his example. A true circle on a true plane is said to roll continuously because it touches at an indivisible point. That historical physical inference should not be mistaken for a modern mechanics result; its local function is to contrast exact intelligible figures with sensed bodies.</w:t>
      </w:r>
    </w:p>
    <w:p>
      <w:pPr>
        <w:widowControl/>
      </w:pPr>
      <w:r>
        <w:rPr>
          <w:b w:val="0"/>
          <w:i w:val="0"/>
        </w:rPr>
        <w:t>A further argument separates the account of quantity from quantitative extent. The entire account of circle applies to a small circle as to a large one; the entire account of length applies to a short line as to a long one. Thus an account of an extended thing is not itself extended in the same manner. Universal principles are also described as immutable, whereas bodies change. Knowledge directed toward those principles and the truth it possesses are consequently classed as incorporeal.</w:t>
      </w:r>
    </w:p>
    <w:p>
      <w:pPr>
        <w:widowControl/>
      </w:pPr>
      <w:r>
        <w:rPr>
          <w:b w:val="0"/>
          <w:i w:val="0"/>
        </w:rPr>
        <w:t>Reason, rather than a particular sense, judges what truth is and what stands nearer to it. This does not imply that the chapter’s sensory examples disappear; it assigns them a limited evidential role. The subsequent description of truth as food depends on this argument about the character of its object.</w:t>
      </w:r>
    </w:p>
    <w:p>
      <w:pPr>
        <w:keepNext/>
        <w:widowControl/>
      </w:pPr>
      <w:r>
        <w:rPr>
          <w:b/>
          <w:i w:val="0"/>
        </w:rPr>
        <w:t>Places to Read.</w:t>
      </w:r>
    </w:p>
    <w:p>
      <w:pPr>
        <w:ind w:left="187" w:hanging="187"/>
      </w:pPr>
      <w:r>
        <w:t xml:space="preserve">• </w:t>
      </w:r>
      <w:r>
        <w:rPr>
          <w:b/>
          <w:i w:val="0"/>
        </w:rPr>
        <w:t>VIII.2.7, PDF pp. 302–303.</w:t>
      </w:r>
      <w:r>
        <w:rPr>
          <w:b w:val="0"/>
          <w:i w:val="0"/>
        </w:rPr>
        <w:t xml:space="preserve"> God, angels, numbers, exact geometry and universal accounts supply distinct arguments for incorporeal truth.</w:t>
      </w:r>
    </w:p>
    <w:p>
      <w:pPr>
        <w:ind w:left="187" w:hanging="187"/>
      </w:pPr>
      <w:r>
        <w:t xml:space="preserve">• </w:t>
      </w:r>
      <w:r>
        <w:rPr>
          <w:b/>
          <w:i w:val="0"/>
        </w:rPr>
        <w:t>VIII.2.8, PDF pp. 304–305.</w:t>
      </w:r>
      <w:r>
        <w:rPr>
          <w:b w:val="0"/>
          <w:i w:val="0"/>
        </w:rPr>
        <w:t xml:space="preserve"> Reason judges truth and the soul is said to feed upon its incorruptibility.</w:t>
      </w:r>
    </w:p>
    <w:p>
      <w:pPr>
        <w:ind w:left="187" w:hanging="187"/>
      </w:pPr>
      <w:r>
        <w:t xml:space="preserve">• </w:t>
      </w:r>
      <w:r>
        <w:rPr>
          <w:b/>
          <w:i w:val="0"/>
        </w:rPr>
        <w:t>VIII.4.11, PDF pp. 334–335.</w:t>
      </w:r>
      <w:r>
        <w:rPr>
          <w:b w:val="0"/>
          <w:i w:val="0"/>
        </w:rPr>
        <w:t xml:space="preserve"> Truth is defined through correspondence of things and minds.</w:t>
      </w:r>
    </w:p>
    <w:p>
      <w:pPr>
        <w:keepNext/>
        <w:widowControl/>
      </w:pPr>
      <w:r>
        <w:rPr>
          <w:b/>
          <w:i w:val="0"/>
        </w:rPr>
        <w:t>In this edition.</w:t>
      </w:r>
    </w:p>
    <w:p>
      <w:pPr>
        <w:widowControl/>
      </w:pPr>
      <w:r>
        <w:rPr>
          <w:b w:val="0"/>
          <w:i w:val="0"/>
        </w:rPr>
        <w:t>Spiritibus at VIII.2.7 means incorporeal spirits, unlike spiritus at VIII.2.3. The qualifying forte and saltem quantum spectat ad sensum accompany the claim about geometrical principles in bodies. They should not be omitted to create a stronger unqualified statement.</w:t>
      </w:r>
    </w:p>
    <w:p>
      <w:pPr>
        <w:keepNext/>
        <w:widowControl/>
      </w:pPr>
      <w:r>
        <w:rPr>
          <w:b/>
          <w:i w:val="0"/>
        </w:rPr>
        <w:t>See also.</w:t>
      </w:r>
    </w:p>
    <w:p>
      <w:pPr>
        <w:widowControl/>
      </w:pPr>
      <w:hyperlink w:anchor="viii-food-truth">
        <w:r>
          <w:rPr>
            <w:color w:val="000000"/>
          </w:rPr>
          <w:t xml:space="preserve">Food, truth, and the hungry mind</w:t>
        </w:r>
      </w:hyperlink>
      <w:r>
        <w:rPr>
          <w:b w:val="0"/>
          <w:i w:val="0"/>
        </w:rPr>
        <w:t xml:space="preserve">; </w:t>
      </w:r>
      <w:hyperlink w:anchor="viii-species-simplicity">
        <w:r>
          <w:rPr>
            <w:color w:val="000000"/>
          </w:rPr>
          <w:t xml:space="preserve">Simplicity of human and numerical species</w:t>
        </w:r>
      </w:hyperlink>
      <w:r>
        <w:rPr>
          <w:b w:val="0"/>
          <w:i w:val="0"/>
        </w:rPr>
        <w:t xml:space="preserve">; </w:t>
      </w:r>
      <w:hyperlink w:anchor="viii-intellectual-intelligible">
        <w:r>
          <w:rPr>
            <w:color w:val="000000"/>
          </w:rPr>
          <w:t xml:space="preserve">Intellectual forms and intelligible essences</w:t>
        </w:r>
      </w:hyperlink>
    </w:p>
    <w:p>
      <w:pPr>
        <w:pStyle w:val="Heading2"/>
      </w:pPr>
      <w:bookmarkStart w:id="234" w:name="unity-dispersion-and-inward-bond"/>
      <w:r>
        <w:rPr>
          <w:b w:val="0"/>
          <w:i w:val="0"/>
        </w:rPr>
        <w:t>Unity, dispersion and the inward bond</w:t>
      </w:r>
      <w:bookmarkEnd w:id="234"/>
    </w:p>
    <w:p>
      <w:pPr>
        <w:keepNext/>
        <w:widowControl/>
      </w:pPr>
      <w:r>
        <w:rPr>
          <w:b/>
          <w:i w:val="0"/>
        </w:rPr>
        <w:t>Latin:</w:t>
      </w:r>
      <w:r>
        <w:rPr>
          <w:b w:val="0"/>
          <w:i w:val="0"/>
        </w:rPr>
        <w:t xml:space="preserve"> </w:t>
      </w:r>
      <w:r>
        <w:rPr>
          <w:b w:val="0"/>
          <w:i/>
        </w:rPr>
        <w:t>dispersio</w:t>
      </w:r>
      <w:r>
        <w:rPr>
          <w:b w:val="0"/>
          <w:i w:val="0"/>
        </w:rPr>
        <w:t xml:space="preserve">; </w:t>
      </w:r>
      <w:r>
        <w:rPr>
          <w:b w:val="0"/>
          <w:i/>
        </w:rPr>
        <w:t>distantia</w:t>
      </w:r>
      <w:r>
        <w:rPr>
          <w:b w:val="0"/>
          <w:i w:val="0"/>
        </w:rPr>
        <w:t xml:space="preserve">; </w:t>
      </w:r>
      <w:r>
        <w:rPr>
          <w:b w:val="0"/>
          <w:i/>
        </w:rPr>
        <w:t>extensio</w:t>
      </w:r>
      <w:r>
        <w:rPr>
          <w:b w:val="0"/>
          <w:i w:val="0"/>
        </w:rPr>
        <w:t xml:space="preserve">; </w:t>
      </w:r>
      <w:r>
        <w:rPr>
          <w:b w:val="0"/>
          <w:i/>
        </w:rPr>
        <w:t>copula</w:t>
      </w:r>
      <w:r>
        <w:rPr>
          <w:b w:val="0"/>
          <w:i w:val="0"/>
        </w:rPr>
        <w:t xml:space="preserve">; </w:t>
      </w:r>
      <w:r>
        <w:rPr>
          <w:b w:val="0"/>
          <w:i/>
        </w:rPr>
        <w:t>compages</w:t>
      </w:r>
      <w:r>
        <w:rPr>
          <w:b w:val="0"/>
          <w:i w:val="0"/>
        </w:rPr>
        <w:t xml:space="preserve">; </w:t>
      </w:r>
      <w:r>
        <w:rPr>
          <w:b w:val="0"/>
          <w:i/>
        </w:rPr>
        <w:t>consonantia</w:t>
      </w:r>
      <w:r>
        <w:rPr>
          <w:b w:val="0"/>
          <w:i w:val="0"/>
        </w:rPr>
        <w:t xml:space="preserve">; </w:t>
      </w:r>
      <w:r>
        <w:rPr>
          <w:b w:val="0"/>
          <w:i/>
        </w:rPr>
        <w:t>substantia copulatrix</w:t>
      </w:r>
    </w:p>
    <w:p>
      <w:pPr>
        <w:keepNext/>
        <w:widowControl/>
      </w:pPr>
      <w:r>
        <w:rPr>
          <w:b/>
          <w:i w:val="0"/>
        </w:rPr>
        <w:t>The word.</w:t>
      </w:r>
    </w:p>
    <w:p>
      <w:pPr>
        <w:widowControl/>
      </w:pPr>
      <w:r>
        <w:rPr>
          <w:b w:val="0"/>
          <w:i w:val="0"/>
        </w:rPr>
        <w:t>Copula is a bond; compages a joined structure. Consonantia and concordia express agreement without requiring literal sound. Substantia copulatrix is a substance performing the binding, distinguishable from the copulatum, the thing bound.</w:t>
      </w:r>
    </w:p>
    <w:p>
      <w:pPr>
        <w:keepNext/>
        <w:widowControl/>
      </w:pPr>
      <w:r>
        <w:rPr>
          <w:b/>
          <w:i w:val="0"/>
        </w:rPr>
        <w:t>In the Platonic Theology.</w:t>
      </w:r>
    </w:p>
    <w:p>
      <w:pPr>
        <w:widowControl/>
      </w:pPr>
      <w:r>
        <w:rPr>
          <w:b w:val="0"/>
          <w:i w:val="0"/>
        </w:rPr>
        <w:t>Body is described as dispersed in three ways: distance separates its parts, temporal succession changes its conditions, and contrary qualities resist one another. Extension, perpetual motion and qualitative contrariety therefore undermine unity, constancy and concord. Yet actual bodies do possess a binding of parts. Ficino infers an additional power that unites distance, arrests flux and holds discordant qualities in simple concord.</w:t>
      </w:r>
    </w:p>
    <w:p>
      <w:pPr>
        <w:widowControl/>
      </w:pPr>
      <w:r>
        <w:rPr>
          <w:b w:val="0"/>
          <w:i w:val="0"/>
        </w:rPr>
        <w:t>If that binder were itself a body, it would need another binder, and so on. Soul is therefore identified as the inward binding substance or its power, rather than as the composite it binds. In an animal the concrete example is the joining of contrary humours and diverse members; departure of soul dissolves the arrangement. A form divided through body cannot supply the missing stability either, because, as the Platonists hold, it loses simplicity and constancy along with the body. The argument does not say no bodily unity exists; it argues that bodily nature considered by itself is insufficient to account for the unity that does exist.</w:t>
      </w:r>
    </w:p>
    <w:p>
      <w:pPr>
        <w:keepNext/>
        <w:widowControl/>
      </w:pPr>
      <w:r>
        <w:rPr>
          <w:b/>
          <w:i w:val="0"/>
        </w:rPr>
        <w:t>Places to Read.</w:t>
      </w:r>
    </w:p>
    <w:p>
      <w:pPr>
        <w:ind w:left="187" w:hanging="187"/>
      </w:pPr>
      <w:r>
        <w:t xml:space="preserve">• </w:t>
      </w:r>
      <w:r>
        <w:rPr>
          <w:b/>
          <w:i w:val="0"/>
        </w:rPr>
        <w:t>VI.8.1, VI.8.2, VI.8.3; source PDF pp. 186, 187</w:t>
      </w:r>
      <w:r>
        <w:rPr>
          <w:b w:val="0"/>
          <w:i w:val="0"/>
        </w:rPr>
        <w:t>. Spatial, temporal and qualitative dispersions are distinguished.</w:t>
      </w:r>
    </w:p>
    <w:p>
      <w:pPr>
        <w:ind w:left="187" w:hanging="187"/>
      </w:pPr>
      <w:r>
        <w:t xml:space="preserve">• </w:t>
      </w:r>
      <w:r>
        <w:rPr>
          <w:b/>
          <w:i w:val="0"/>
        </w:rPr>
        <w:t>VI.8.4, VI.8.5, VI.8.6; source PDF pp. 186, 187, 188, 189</w:t>
      </w:r>
      <w:r>
        <w:rPr>
          <w:b w:val="0"/>
          <w:i w:val="0"/>
        </w:rPr>
        <w:t>. Actual cohesion requires an undispersed binder beyond body and divided bodily form.</w:t>
      </w:r>
    </w:p>
    <w:p>
      <w:pPr>
        <w:keepNext/>
        <w:widowControl/>
      </w:pPr>
      <w:r>
        <w:rPr>
          <w:b/>
          <w:i w:val="0"/>
        </w:rPr>
        <w:t>In this edition.</w:t>
      </w:r>
    </w:p>
    <w:p>
      <w:pPr>
        <w:widowControl/>
      </w:pPr>
      <w:r>
        <w:rPr>
          <w:b w:val="0"/>
          <w:i w:val="0"/>
        </w:rPr>
        <w:t xml:space="preserve">The three verbs unit, sistit and continet answer three problems rather than merely repeating </w:t>
      </w:r>
      <w:r>
        <w:t>“</w:t>
      </w:r>
      <w:r>
        <w:rPr>
          <w:b w:val="0"/>
          <w:i w:val="0"/>
        </w:rPr>
        <w:t>unifies.</w:t>
      </w:r>
      <w:r>
        <w:t>”</w:t>
      </w:r>
      <w:r>
        <w:rPr>
          <w:b w:val="0"/>
          <w:i w:val="0"/>
        </w:rPr>
        <w:t xml:space="preserve"> The apparatus reads VI.8.6’s quod with alio continente: the required containing principle stays one. Historical elemental physics and humoral physiology remain the premises of the example.</w:t>
      </w:r>
    </w:p>
    <w:p>
      <w:pPr>
        <w:keepNext/>
        <w:widowControl/>
      </w:pPr>
      <w:r>
        <w:rPr>
          <w:b/>
          <w:i w:val="0"/>
        </w:rPr>
        <w:t>See also.</w:t>
      </w:r>
    </w:p>
    <w:p>
      <w:pPr>
        <w:widowControl/>
      </w:pPr>
      <w:hyperlink w:anchor="earth-wood-and-severed-stones">
        <w:r>
          <w:rPr>
            <w:color w:val="000000"/>
          </w:rPr>
          <w:t xml:space="preserve">Earth, wood and severed stones</w:t>
        </w:r>
      </w:hyperlink>
      <w:r>
        <w:rPr>
          <w:b w:val="0"/>
          <w:i w:val="0"/>
        </w:rPr>
        <w:t xml:space="preserve">; </w:t>
      </w:r>
      <w:hyperlink w:anchor="rennet-magnet-and-clock">
        <w:r>
          <w:rPr>
            <w:color w:val="000000"/>
          </w:rPr>
          <w:t xml:space="preserve">Rennet, magnet and clock</w:t>
        </w:r>
      </w:hyperlink>
    </w:p>
    <w:p>
      <w:pPr>
        <w:pStyle w:val="Heading2"/>
      </w:pPr>
      <w:bookmarkStart w:id="235" w:name="viii-universality-law"/>
      <w:r>
        <w:rPr>
          <w:b w:val="0"/>
          <w:i w:val="0"/>
        </w:rPr>
        <w:t>Universality, law, and material restriction</w:t>
      </w:r>
      <w:bookmarkEnd w:id="235"/>
    </w:p>
    <w:p>
      <w:pPr>
        <w:keepNext/>
        <w:widowControl/>
      </w:pPr>
      <w:r>
        <w:rPr>
          <w:b/>
          <w:i w:val="0"/>
        </w:rPr>
        <w:t>Latin:</w:t>
      </w:r>
      <w:r>
        <w:rPr>
          <w:b w:val="0"/>
          <w:i w:val="0"/>
        </w:rPr>
        <w:t xml:space="preserve"> </w:t>
      </w:r>
      <w:r>
        <w:rPr>
          <w:b w:val="0"/>
          <w:i/>
        </w:rPr>
        <w:t>universalis</w:t>
      </w:r>
      <w:r>
        <w:rPr>
          <w:b w:val="0"/>
          <w:i w:val="0"/>
        </w:rPr>
        <w:t xml:space="preserve">; </w:t>
      </w:r>
      <w:r>
        <w:rPr>
          <w:b w:val="0"/>
          <w:i/>
        </w:rPr>
        <w:t>singularis</w:t>
      </w:r>
      <w:r>
        <w:rPr>
          <w:b w:val="0"/>
          <w:i w:val="0"/>
        </w:rPr>
        <w:t xml:space="preserve">; </w:t>
      </w:r>
      <w:r>
        <w:rPr>
          <w:b w:val="0"/>
          <w:i/>
        </w:rPr>
        <w:t>regula</w:t>
      </w:r>
      <w:r>
        <w:rPr>
          <w:b w:val="0"/>
          <w:i w:val="0"/>
        </w:rPr>
        <w:t xml:space="preserve">; </w:t>
      </w:r>
      <w:r>
        <w:rPr>
          <w:b w:val="0"/>
          <w:i/>
        </w:rPr>
        <w:t>lex</w:t>
      </w:r>
      <w:r>
        <w:rPr>
          <w:b w:val="0"/>
          <w:i w:val="0"/>
        </w:rPr>
        <w:t xml:space="preserve">; </w:t>
      </w:r>
      <w:r>
        <w:rPr>
          <w:b w:val="0"/>
          <w:i/>
        </w:rPr>
        <w:t>astringere</w:t>
      </w:r>
      <w:r>
        <w:rPr>
          <w:b w:val="0"/>
          <w:i w:val="0"/>
        </w:rPr>
        <w:t xml:space="preserve">; </w:t>
      </w:r>
      <w:r>
        <w:rPr>
          <w:b w:val="0"/>
          <w:i/>
        </w:rPr>
        <w:t>alligare</w:t>
      </w:r>
      <w:r>
        <w:rPr>
          <w:b w:val="0"/>
          <w:i w:val="0"/>
        </w:rPr>
        <w:t xml:space="preserve">; </w:t>
      </w:r>
      <w:r>
        <w:rPr>
          <w:b w:val="0"/>
          <w:i/>
        </w:rPr>
        <w:t>insidiae</w:t>
      </w:r>
    </w:p>
    <w:p>
      <w:pPr>
        <w:keepNext/>
        <w:widowControl/>
      </w:pPr>
      <w:r>
        <w:rPr>
          <w:b/>
          <w:i w:val="0"/>
        </w:rPr>
        <w:t>The word.</w:t>
      </w:r>
    </w:p>
    <w:p>
      <w:pPr>
        <w:widowControl/>
      </w:pPr>
      <w:r>
        <w:rPr>
          <w:b w:val="0"/>
          <w:i w:val="0"/>
        </w:rPr>
        <w:t>Universal power applies across many individuals; singular conditions fix an object to this place, time and instance. A rule or law is universal by its scope, not because it is physically present as one inscription everywhere. Astringere and alligare describe restriction; insidiae gives matter the figurative role of a source of snares.</w:t>
      </w:r>
    </w:p>
    <w:p>
      <w:pPr>
        <w:keepNext/>
        <w:widowControl/>
      </w:pPr>
      <w:r>
        <w:rPr>
          <w:b/>
          <w:i w:val="0"/>
        </w:rPr>
        <w:t>In the Platonic Theology.</w:t>
      </w:r>
    </w:p>
    <w:p>
      <w:pPr>
        <w:widowControl/>
      </w:pPr>
      <w:r>
        <w:rPr>
          <w:b w:val="0"/>
          <w:i w:val="0"/>
        </w:rPr>
        <w:t>Ficino reasons from the receiver’s mode: a body or a form extended through body is bound to particular circumstances. Even an intrinsically universal form would therefore become particularized in such a subject. Its operation would then produce only singular thinking. An intellect constituted in this way could picture Socrates or Plato but could not apprehend the humanity common to both.</w:t>
      </w:r>
    </w:p>
    <w:p>
      <w:pPr>
        <w:widowControl/>
      </w:pPr>
      <w:r>
        <w:rPr>
          <w:b w:val="0"/>
          <w:i w:val="0"/>
        </w:rPr>
        <w:t>Rules of conduct, arts and law make the consequence concrete. A principle that applies to many cases cannot be reduced to a picture of one case as such. The argument does not say that law contains no references to particular people or circumstances; it says the act of generalizing cannot be explained by material singularity alone.</w:t>
      </w:r>
    </w:p>
    <w:p>
      <w:pPr>
        <w:widowControl/>
      </w:pPr>
      <w:r>
        <w:rPr>
          <w:b w:val="0"/>
          <w:i w:val="0"/>
        </w:rPr>
        <w:t>The second unit adds that universal forms arise naturally, even without prior choice or habitual exercise. Mind is therefore their natural source and receptacle. Their nonrestriction to a proper portion of matter supports the inference that mind too is not materially bound. Corruption is then associated with matter’s snares. This inference belongs to Ficino’s account of material dependence and does not establish that everything a person calls a general rule is true.</w:t>
      </w:r>
    </w:p>
    <w:p>
      <w:pPr>
        <w:keepNext/>
        <w:widowControl/>
      </w:pPr>
      <w:r>
        <w:rPr>
          <w:b/>
          <w:i w:val="0"/>
        </w:rPr>
        <w:t>Places to Read.</w:t>
      </w:r>
    </w:p>
    <w:p>
      <w:pPr>
        <w:ind w:left="187" w:hanging="187"/>
      </w:pPr>
      <w:r>
        <w:t xml:space="preserve">• </w:t>
      </w:r>
      <w:r>
        <w:rPr>
          <w:b/>
          <w:i w:val="0"/>
        </w:rPr>
        <w:t>VIII.8.1, PDF pp. 346–347.</w:t>
      </w:r>
      <w:r>
        <w:rPr>
          <w:b w:val="0"/>
          <w:i w:val="0"/>
        </w:rPr>
        <w:t xml:space="preserve"> The sequence receiver–form–operation–product leads from material singularity to the impossibility of universal rules.</w:t>
      </w:r>
    </w:p>
    <w:p>
      <w:pPr>
        <w:ind w:left="187" w:hanging="187"/>
      </w:pPr>
      <w:r>
        <w:t xml:space="preserve">• </w:t>
      </w:r>
      <w:r>
        <w:rPr>
          <w:b/>
          <w:i w:val="0"/>
        </w:rPr>
        <w:t>VIII.8.2, PDF pp. 346–347.</w:t>
      </w:r>
      <w:r>
        <w:rPr>
          <w:b w:val="0"/>
          <w:i w:val="0"/>
        </w:rPr>
        <w:t xml:space="preserve"> Natural production and reception of universals is connected to incorruptibility.</w:t>
      </w:r>
    </w:p>
    <w:p>
      <w:pPr>
        <w:keepNext/>
        <w:widowControl/>
      </w:pPr>
      <w:r>
        <w:rPr>
          <w:b/>
          <w:i w:val="0"/>
        </w:rPr>
        <w:t>In this edition.</w:t>
      </w:r>
    </w:p>
    <w:p>
      <w:pPr>
        <w:widowControl/>
      </w:pPr>
      <w:r>
        <w:t>“</w:t>
      </w:r>
      <w:r>
        <w:rPr>
          <w:b w:val="0"/>
          <w:i w:val="0"/>
        </w:rPr>
        <w:t>Even if</w:t>
      </w:r>
      <w:r>
        <w:t>”</w:t>
      </w:r>
      <w:r>
        <w:rPr>
          <w:b w:val="0"/>
          <w:i w:val="0"/>
        </w:rPr>
        <w:t xml:space="preserve"> and </w:t>
      </w:r>
      <w:r>
        <w:t>“</w:t>
      </w:r>
      <w:r>
        <w:rPr>
          <w:b w:val="0"/>
          <w:i w:val="0"/>
        </w:rPr>
        <w:t>at least</w:t>
      </w:r>
      <w:r>
        <w:t>”</w:t>
      </w:r>
      <w:r>
        <w:rPr>
          <w:b w:val="0"/>
          <w:i w:val="0"/>
        </w:rPr>
        <w:t xml:space="preserve"> preserve the counterfactual precision: forms universal in themselves would become particular at least in the proposed bodily receiver. Quotidie emphasizes their recurring natural production, rather than a single exceptional act.</w:t>
      </w:r>
    </w:p>
    <w:p>
      <w:pPr>
        <w:keepNext/>
        <w:widowControl/>
      </w:pPr>
      <w:r>
        <w:rPr>
          <w:b/>
          <w:i w:val="0"/>
        </w:rPr>
        <w:t>See also.</w:t>
      </w:r>
    </w:p>
    <w:p>
      <w:pPr>
        <w:widowControl/>
      </w:pPr>
      <w:hyperlink w:anchor="viii-universal-idea">
        <w:r>
          <w:rPr>
            <w:color w:val="000000"/>
          </w:rPr>
          <w:t xml:space="preserve">Common nature, participation, and the divine Idea</w:t>
        </w:r>
      </w:hyperlink>
      <w:r>
        <w:rPr>
          <w:b w:val="0"/>
          <w:i w:val="0"/>
        </w:rPr>
        <w:t xml:space="preserve">; </w:t>
      </w:r>
      <w:hyperlink w:anchor="viii-immediate-reflexive">
        <w:r>
          <w:rPr>
            <w:color w:val="000000"/>
          </w:rPr>
          <w:t xml:space="preserve">Immediate intellection and the return to particulars</w:t>
        </w:r>
      </w:hyperlink>
      <w:r>
        <w:rPr>
          <w:b w:val="0"/>
          <w:i w:val="0"/>
        </w:rPr>
        <w:t xml:space="preserve">; </w:t>
      </w:r>
      <w:hyperlink w:anchor="viii-divine-enlargement">
        <w:r>
          <w:rPr>
            <w:color w:val="000000"/>
          </w:rPr>
          <w:t xml:space="preserve">Insatiable desire and divine enlargement</w:t>
        </w:r>
      </w:hyperlink>
    </w:p>
    <w:p>
      <w:pPr>
        <w:pStyle w:val="Heading2"/>
      </w:pPr>
      <w:bookmarkStart w:id="236" w:name="viii-virtue-quality"/>
      <w:r>
        <w:rPr>
          <w:b w:val="0"/>
          <w:i w:val="0"/>
        </w:rPr>
        <w:t>Virtue as an indivisible quality</w:t>
      </w:r>
      <w:bookmarkEnd w:id="236"/>
    </w:p>
    <w:p>
      <w:pPr>
        <w:keepNext/>
        <w:widowControl/>
      </w:pPr>
      <w:r>
        <w:rPr>
          <w:b/>
          <w:i w:val="0"/>
        </w:rPr>
        <w:t>Latin:</w:t>
      </w:r>
      <w:r>
        <w:rPr>
          <w:b w:val="0"/>
          <w:i w:val="0"/>
        </w:rPr>
        <w:t xml:space="preserve"> </w:t>
      </w:r>
      <w:r>
        <w:rPr>
          <w:b w:val="0"/>
          <w:i/>
        </w:rPr>
        <w:t>virtus</w:t>
      </w:r>
      <w:r>
        <w:rPr>
          <w:b w:val="0"/>
          <w:i w:val="0"/>
        </w:rPr>
        <w:t xml:space="preserve">; </w:t>
      </w:r>
      <w:r>
        <w:rPr>
          <w:b w:val="0"/>
          <w:i/>
        </w:rPr>
        <w:t>qualitas</w:t>
      </w:r>
      <w:r>
        <w:rPr>
          <w:b w:val="0"/>
          <w:i w:val="0"/>
        </w:rPr>
        <w:t xml:space="preserve">; </w:t>
      </w:r>
      <w:r>
        <w:rPr>
          <w:b w:val="0"/>
          <w:i/>
        </w:rPr>
        <w:t>indivisibilis</w:t>
      </w:r>
      <w:r>
        <w:rPr>
          <w:b w:val="0"/>
          <w:i w:val="0"/>
        </w:rPr>
        <w:t xml:space="preserve">; </w:t>
      </w:r>
      <w:r>
        <w:rPr>
          <w:b w:val="0"/>
          <w:i/>
        </w:rPr>
        <w:t>individuus</w:t>
      </w:r>
      <w:r>
        <w:rPr>
          <w:b w:val="0"/>
          <w:i w:val="0"/>
        </w:rPr>
        <w:t xml:space="preserve">; </w:t>
      </w:r>
      <w:r>
        <w:rPr>
          <w:b w:val="0"/>
          <w:i/>
        </w:rPr>
        <w:t>speculativus</w:t>
      </w:r>
      <w:r>
        <w:rPr>
          <w:b w:val="0"/>
          <w:i w:val="0"/>
        </w:rPr>
        <w:t xml:space="preserve">; </w:t>
      </w:r>
      <w:r>
        <w:rPr>
          <w:b w:val="0"/>
          <w:i/>
        </w:rPr>
        <w:t>moralis</w:t>
      </w:r>
    </w:p>
    <w:p>
      <w:pPr>
        <w:keepNext/>
        <w:widowControl/>
      </w:pPr>
      <w:r>
        <w:rPr>
          <w:b/>
          <w:i w:val="0"/>
        </w:rPr>
        <w:t>The word.</w:t>
      </w:r>
    </w:p>
    <w:p>
      <w:pPr>
        <w:widowControl/>
      </w:pPr>
      <w:r>
        <w:rPr>
          <w:b w:val="0"/>
          <w:i w:val="0"/>
        </w:rPr>
        <w:t>Virtus here primarily means intellectual or ethical excellence, rather than merely effective power. It is a qualitas because its presence characterizes a soul while the soul can remain without it. Individuus and indivisibilis both mean indivisible in this argument, not an individual person.</w:t>
      </w:r>
    </w:p>
    <w:p>
      <w:pPr>
        <w:keepNext/>
        <w:widowControl/>
      </w:pPr>
      <w:r>
        <w:rPr>
          <w:b/>
          <w:i w:val="0"/>
        </w:rPr>
        <w:t>In the Platonic Theology.</w:t>
      </w:r>
    </w:p>
    <w:p>
      <w:pPr>
        <w:widowControl/>
      </w:pPr>
      <w:r>
        <w:rPr>
          <w:b w:val="0"/>
          <w:i w:val="0"/>
        </w:rPr>
        <w:t>The proof starts with a dilemma: a bodily quality touching a divisible region would share its division; one touching only a point would be a quality of that point rather than of the body. Ficino then proposes that the soul is the subject of an indivisible quality, virtue, so cannot itself be a body.</w:t>
      </w:r>
    </w:p>
    <w:p>
      <w:pPr>
        <w:widowControl/>
      </w:pPr>
      <w:r>
        <w:rPr>
          <w:b w:val="0"/>
          <w:i w:val="0"/>
        </w:rPr>
        <w:t xml:space="preserve">He separates virtues in intellect from virtues in appetite, including rational and irrational appetite. His contemplative group comprises wisdom of divine things, knowledge of nature, civil prudence and skill in human works. His moral group comprises justice, which gives each what is due, courage, which removes fear’s impediment, and temperance, which repels the softness of desire. These descriptions are attributed to Plato. The local classification should be preserved even where it differs from a reader’s customary modern division of </w:t>
      </w:r>
      <w:r>
        <w:t>“</w:t>
      </w:r>
      <w:r>
        <w:rPr>
          <w:b w:val="0"/>
          <w:i w:val="0"/>
        </w:rPr>
        <w:t>theoretical</w:t>
      </w:r>
      <w:r>
        <w:t>”</w:t>
      </w:r>
      <w:r>
        <w:rPr>
          <w:b w:val="0"/>
          <w:i w:val="0"/>
        </w:rPr>
        <w:t xml:space="preserve"> and </w:t>
      </w:r>
      <w:r>
        <w:t>“</w:t>
      </w:r>
      <w:r>
        <w:rPr>
          <w:b w:val="0"/>
          <w:i w:val="0"/>
        </w:rPr>
        <w:t>practical.</w:t>
      </w:r>
      <w:r>
        <w:t>”</w:t>
      </w:r>
    </w:p>
    <w:p>
      <w:pPr>
        <w:widowControl/>
      </w:pPr>
      <w:r>
        <w:rPr>
          <w:b w:val="0"/>
          <w:i w:val="0"/>
        </w:rPr>
        <w:t>Magnitude is denied to both groups: a large person need not be wiser or more just, and knowledge of a large body is not simply a larger piece of knowledge. Subsequent arguments from sudden attainment, indivisible end and coexistence without spatial interference develop the premise of indivisibility. Finally, soul is not merely a passive subject receiving these qualities; it is also their principle. Ficino gives that productive role special weight in the immortality inference.</w:t>
      </w:r>
    </w:p>
    <w:p>
      <w:pPr>
        <w:keepNext/>
        <w:widowControl/>
      </w:pPr>
      <w:r>
        <w:rPr>
          <w:b/>
          <w:i w:val="0"/>
        </w:rPr>
        <w:t>Places to Read.</w:t>
      </w:r>
    </w:p>
    <w:p>
      <w:pPr>
        <w:ind w:left="187" w:hanging="187"/>
      </w:pPr>
      <w:r>
        <w:t xml:space="preserve">• </w:t>
      </w:r>
      <w:r>
        <w:rPr>
          <w:b/>
          <w:i w:val="0"/>
        </w:rPr>
        <w:t>VIII.3.1, PDF pp. 306–307.</w:t>
      </w:r>
      <w:r>
        <w:rPr>
          <w:b w:val="0"/>
          <w:i w:val="0"/>
        </w:rPr>
        <w:t xml:space="preserve"> The point-or-region dilemma is followed by the classification and definitions of virtues.</w:t>
      </w:r>
    </w:p>
    <w:p>
      <w:pPr>
        <w:ind w:left="187" w:hanging="187"/>
      </w:pPr>
      <w:r>
        <w:t xml:space="preserve">• </w:t>
      </w:r>
      <w:r>
        <w:rPr>
          <w:b/>
          <w:i w:val="0"/>
        </w:rPr>
        <w:t>VIII.3.6, PDF pp. 310–311.</w:t>
      </w:r>
      <w:r>
        <w:rPr>
          <w:b w:val="0"/>
          <w:i w:val="0"/>
        </w:rPr>
        <w:t xml:space="preserve"> Indivisible origin and end are joined to coexistence without confusion.</w:t>
      </w:r>
    </w:p>
    <w:p>
      <w:pPr>
        <w:ind w:left="187" w:hanging="187"/>
      </w:pPr>
      <w:r>
        <w:t xml:space="preserve">• </w:t>
      </w:r>
      <w:r>
        <w:rPr>
          <w:b/>
          <w:i w:val="0"/>
        </w:rPr>
        <w:t>VIII.3.8, PDF pp. 314–315.</w:t>
      </w:r>
      <w:r>
        <w:rPr>
          <w:b w:val="0"/>
          <w:i w:val="0"/>
        </w:rPr>
        <w:t xml:space="preserve"> Soul is both subject and source of virtues; its magnitude is rejected as a mistaken question.</w:t>
      </w:r>
    </w:p>
    <w:p>
      <w:pPr>
        <w:keepNext/>
        <w:widowControl/>
      </w:pPr>
      <w:r>
        <w:rPr>
          <w:b/>
          <w:i w:val="0"/>
        </w:rPr>
        <w:t>In this edition.</w:t>
      </w:r>
    </w:p>
    <w:p>
      <w:pPr>
        <w:widowControl/>
      </w:pPr>
      <w:r>
        <w:rPr>
          <w:b w:val="0"/>
          <w:i w:val="0"/>
        </w:rPr>
        <w:t xml:space="preserve">The edition translates both individuus and indivisibilis as </w:t>
      </w:r>
      <w:r>
        <w:t>“</w:t>
      </w:r>
      <w:r>
        <w:rPr>
          <w:b w:val="0"/>
          <w:i w:val="0"/>
        </w:rPr>
        <w:t>indivisible</w:t>
      </w:r>
      <w:r>
        <w:t>”</w:t>
      </w:r>
      <w:r>
        <w:rPr>
          <w:b w:val="0"/>
          <w:i w:val="0"/>
        </w:rPr>
        <w:t xml:space="preserve"> here. In VIII.3.8, speculativa fugit and moralis fugat deliberately differ: contemplation flees mortal things, while moral virtue drives them away.</w:t>
      </w:r>
    </w:p>
    <w:p>
      <w:pPr>
        <w:keepNext/>
        <w:widowControl/>
      </w:pPr>
      <w:r>
        <w:rPr>
          <w:b/>
          <w:i w:val="0"/>
        </w:rPr>
        <w:t>See also.</w:t>
      </w:r>
    </w:p>
    <w:p>
      <w:pPr>
        <w:widowControl/>
      </w:pPr>
      <w:hyperlink w:anchor="viii-virtue-equality">
        <w:r>
          <w:rPr>
            <w:color w:val="000000"/>
          </w:rPr>
          <w:t xml:space="preserve">Spiritual equality, the line, and the tuned lyre</w:t>
        </w:r>
      </w:hyperlink>
      <w:r>
        <w:rPr>
          <w:b w:val="0"/>
          <w:i w:val="0"/>
        </w:rPr>
        <w:t xml:space="preserve">; </w:t>
      </w:r>
      <w:hyperlink w:anchor="viii-sudden-insight">
        <w:r>
          <w:rPr>
            <w:color w:val="000000"/>
          </w:rPr>
          <w:t xml:space="preserve">Sudden insight, habituation, and the hare</w:t>
        </w:r>
      </w:hyperlink>
      <w:r>
        <w:rPr>
          <w:b w:val="0"/>
          <w:i w:val="0"/>
        </w:rPr>
        <w:t xml:space="preserve">; </w:t>
      </w:r>
      <w:hyperlink w:anchor="viii-mutual-sciences">
        <w:r>
          <w:rPr>
            <w:color w:val="000000"/>
          </w:rPr>
          <w:t xml:space="preserve">Sciences, virtues, and mutual containment</w:t>
        </w:r>
      </w:hyperlink>
    </w:p>
    <w:p>
      <w:pPr>
        <w:pStyle w:val="Heading2"/>
      </w:pPr>
      <w:bookmarkStart w:id="237" w:name="vii-vital-harmony"/>
      <w:r>
        <w:rPr>
          <w:b w:val="0"/>
          <w:i w:val="0"/>
        </w:rPr>
        <w:t>Vital harmony and its producer</w:t>
      </w:r>
      <w:bookmarkEnd w:id="237"/>
    </w:p>
    <w:p>
      <w:pPr>
        <w:keepNext/>
        <w:widowControl/>
      </w:pPr>
      <w:r>
        <w:rPr>
          <w:b/>
          <w:i w:val="0"/>
        </w:rPr>
        <w:t>Latin:</w:t>
      </w:r>
      <w:r>
        <w:rPr>
          <w:b w:val="0"/>
          <w:i w:val="0"/>
        </w:rPr>
        <w:t xml:space="preserve"> </w:t>
      </w:r>
      <w:r>
        <w:rPr>
          <w:b w:val="0"/>
          <w:i/>
        </w:rPr>
        <w:t>harmonia</w:t>
      </w:r>
      <w:r>
        <w:rPr>
          <w:b w:val="0"/>
          <w:i w:val="0"/>
        </w:rPr>
        <w:t xml:space="preserve">; </w:t>
      </w:r>
      <w:r>
        <w:rPr>
          <w:b w:val="0"/>
          <w:i/>
        </w:rPr>
        <w:t>concinnitas</w:t>
      </w:r>
      <w:r>
        <w:rPr>
          <w:b w:val="0"/>
          <w:i w:val="0"/>
        </w:rPr>
        <w:t xml:space="preserve">; </w:t>
      </w:r>
      <w:r>
        <w:rPr>
          <w:b w:val="0"/>
          <w:i/>
        </w:rPr>
        <w:t>consonantia</w:t>
      </w:r>
      <w:r>
        <w:rPr>
          <w:b w:val="0"/>
          <w:i w:val="0"/>
        </w:rPr>
        <w:t xml:space="preserve">; </w:t>
      </w:r>
      <w:r>
        <w:rPr>
          <w:b w:val="0"/>
          <w:i/>
        </w:rPr>
        <w:t>contemperare</w:t>
      </w:r>
      <w:r>
        <w:rPr>
          <w:b w:val="0"/>
          <w:i w:val="0"/>
        </w:rPr>
        <w:t xml:space="preserve">; </w:t>
      </w:r>
      <w:r>
        <w:rPr>
          <w:b w:val="0"/>
          <w:i/>
        </w:rPr>
        <w:t>temperatrix</w:t>
      </w:r>
      <w:r>
        <w:rPr>
          <w:b w:val="0"/>
          <w:i w:val="0"/>
        </w:rPr>
        <w:t xml:space="preserve">; </w:t>
      </w:r>
      <w:r>
        <w:rPr>
          <w:b w:val="0"/>
          <w:i/>
        </w:rPr>
        <w:t>vivificus spiritus</w:t>
      </w:r>
    </w:p>
    <w:p>
      <w:pPr>
        <w:keepNext/>
        <w:widowControl/>
      </w:pPr>
      <w:r>
        <w:rPr>
          <w:b/>
          <w:i w:val="0"/>
        </w:rPr>
        <w:t>The word.</w:t>
      </w:r>
    </w:p>
    <w:p>
      <w:pPr>
        <w:widowControl/>
      </w:pPr>
      <w:r>
        <w:rPr>
          <w:b w:val="0"/>
          <w:i w:val="0"/>
        </w:rPr>
        <w:t xml:space="preserve">The local glosses distinguish harmony, fitting arrangement and concord. </w:t>
      </w:r>
      <w:r>
        <w:rPr>
          <w:b w:val="0"/>
          <w:i/>
        </w:rPr>
        <w:t>Contemperare</w:t>
      </w:r>
      <w:r>
        <w:rPr>
          <w:b w:val="0"/>
          <w:i w:val="0"/>
        </w:rPr>
        <w:t xml:space="preserve"> is tempering constituents together in a definite manner. A </w:t>
      </w:r>
      <w:r>
        <w:rPr>
          <w:b w:val="0"/>
          <w:i/>
        </w:rPr>
        <w:t>temperatrix</w:t>
      </w:r>
      <w:r>
        <w:rPr>
          <w:b w:val="0"/>
          <w:i w:val="0"/>
        </w:rPr>
        <w:t xml:space="preserve"> is the power that tempers; it is not the tempered concord itself.</w:t>
      </w:r>
    </w:p>
    <w:p>
      <w:pPr>
        <w:keepNext/>
        <w:widowControl/>
      </w:pPr>
      <w:r>
        <w:rPr>
          <w:b/>
          <w:i w:val="0"/>
        </w:rPr>
        <w:t>In the Platonic Theology.</w:t>
      </w:r>
    </w:p>
    <w:p>
      <w:pPr>
        <w:widowControl/>
      </w:pPr>
      <w:r>
        <w:rPr>
          <w:b w:val="0"/>
          <w:i w:val="0"/>
        </w:rPr>
        <w:t>Every composite body has some agreement of its parts. If harmony as such were soul, every composite would live. The defender therefore narrows the claim to a harmony tempered in a proper, definite manner. Ficino replies that the qualification has introduced something not contained in the bare account of concord: otherwise all concord would already have that vital character.</w:t>
      </w:r>
    </w:p>
    <w:p>
      <w:pPr>
        <w:widowControl/>
      </w:pPr>
      <w:r>
        <w:rPr>
          <w:b w:val="0"/>
          <w:i w:val="0"/>
        </w:rPr>
        <w:t>The required determination comes from another principle. Ficino explicitly asks about an external source and answers affirmatively, but immediately adds that an external source alone is insufficient. Constant and natural tempering requires a superior power at work inwardly among the humors. This power renders their arrangement definite and distinct from that of other bodies. The resulting proper concord is called vital harmony, generated by a life-giving spirit hidden within.</w:t>
      </w:r>
    </w:p>
    <w:p>
      <w:pPr>
        <w:widowControl/>
      </w:pPr>
      <w:r>
        <w:rPr>
          <w:b w:val="0"/>
          <w:i w:val="0"/>
        </w:rPr>
        <w:t xml:space="preserve">The conclusion thus retains a real vital harmony as an effect. </w:t>
      </w:r>
      <w:r>
        <w:t>“</w:t>
      </w:r>
      <w:r>
        <w:rPr>
          <w:b w:val="0"/>
          <w:i w:val="0"/>
        </w:rPr>
        <w:t>Soul is not harmony</w:t>
      </w:r>
      <w:r>
        <w:t>”</w:t>
      </w:r>
      <w:r>
        <w:rPr>
          <w:b w:val="0"/>
          <w:i w:val="0"/>
        </w:rPr>
        <w:t xml:space="preserve"> cannot be expanded into </w:t>
      </w:r>
      <w:r>
        <w:t>“</w:t>
      </w:r>
      <w:r>
        <w:rPr>
          <w:b w:val="0"/>
          <w:i w:val="0"/>
        </w:rPr>
        <w:t>living bodies have no harmony,</w:t>
      </w:r>
      <w:r>
        <w:t>”</w:t>
      </w:r>
      <w:r>
        <w:rPr>
          <w:b w:val="0"/>
          <w:i w:val="0"/>
        </w:rPr>
        <w:t xml:space="preserve"> and </w:t>
      </w:r>
      <w:r>
        <w:t>“</w:t>
      </w:r>
      <w:r>
        <w:rPr>
          <w:b w:val="0"/>
          <w:i w:val="0"/>
        </w:rPr>
        <w:t>generated by life-giving spirit</w:t>
      </w:r>
      <w:r>
        <w:t>”</w:t>
      </w:r>
      <w:r>
        <w:rPr>
          <w:b w:val="0"/>
          <w:i w:val="0"/>
        </w:rPr>
        <w:t xml:space="preserve"> cannot be inverted to make that spirit merely a product of humoral concord. The use of </w:t>
      </w:r>
      <w:r>
        <w:rPr>
          <w:b w:val="0"/>
          <w:i/>
        </w:rPr>
        <w:t>spiritus</w:t>
      </w:r>
      <w:r>
        <w:rPr>
          <w:b w:val="0"/>
          <w:i w:val="0"/>
        </w:rPr>
        <w:t xml:space="preserve"> here requires caution. Chapter 6 explicitly describes a bodily spirit as medium; this chapter emphasizes an inward life-giving source and its superiority to the concord produced. The supplied wording does not by itself settle every ontological relation between these formulations.</w:t>
      </w:r>
    </w:p>
    <w:p>
      <w:pPr>
        <w:keepNext/>
        <w:widowControl/>
      </w:pPr>
      <w:r>
        <w:rPr>
          <w:b/>
          <w:i w:val="0"/>
        </w:rPr>
        <w:t>Places to Read.</w:t>
      </w:r>
    </w:p>
    <w:p>
      <w:pPr>
        <w:ind w:left="187" w:hanging="187"/>
      </w:pPr>
      <w:r>
        <w:t xml:space="preserve">• </w:t>
      </w:r>
      <w:r>
        <w:rPr>
          <w:b/>
          <w:i w:val="0"/>
        </w:rPr>
        <w:t>VII.6.1, PDF 256–257</w:t>
      </w:r>
      <w:r>
        <w:rPr>
          <w:b w:val="0"/>
          <w:i w:val="0"/>
        </w:rPr>
        <w:t>. The earlier physiological spirit provides a comparison that must retain its separate context.</w:t>
      </w:r>
    </w:p>
    <w:p>
      <w:pPr>
        <w:ind w:left="187" w:hanging="187"/>
      </w:pPr>
      <w:r>
        <w:t xml:space="preserve">• </w:t>
      </w:r>
      <w:r>
        <w:rPr>
          <w:b/>
          <w:i w:val="0"/>
        </w:rPr>
        <w:t>VII.11.1, PDF 272–273</w:t>
      </w:r>
      <w:r>
        <w:rPr>
          <w:b w:val="0"/>
          <w:i w:val="0"/>
        </w:rPr>
        <w:t>. The general-composite objection and qualified-harmony reply lead to an inward tempering power.</w:t>
      </w:r>
    </w:p>
    <w:p>
      <w:pPr>
        <w:keepNext/>
        <w:widowControl/>
      </w:pPr>
      <w:r>
        <w:rPr>
          <w:b/>
          <w:i w:val="0"/>
        </w:rPr>
        <w:t>In this edition.</w:t>
      </w:r>
    </w:p>
    <w:p>
      <w:pPr>
        <w:widowControl/>
      </w:pPr>
      <w:r>
        <w:rPr>
          <w:b w:val="0"/>
          <w:i w:val="0"/>
        </w:rPr>
        <w:t xml:space="preserve">The edition deliberately renders </w:t>
      </w:r>
      <w:r>
        <w:rPr>
          <w:b w:val="0"/>
          <w:i/>
        </w:rPr>
        <w:t>harmonia</w:t>
      </w:r>
      <w:r>
        <w:rPr>
          <w:b w:val="0"/>
          <w:i w:val="0"/>
        </w:rPr>
        <w:t xml:space="preserve">, </w:t>
      </w:r>
      <w:r>
        <w:rPr>
          <w:b w:val="0"/>
          <w:i/>
        </w:rPr>
        <w:t>consonantia</w:t>
      </w:r>
      <w:r>
        <w:rPr>
          <w:b w:val="0"/>
          <w:i w:val="0"/>
        </w:rPr>
        <w:t xml:space="preserve"> and </w:t>
      </w:r>
      <w:r>
        <w:rPr>
          <w:b w:val="0"/>
          <w:i/>
        </w:rPr>
        <w:t>concinnitas</w:t>
      </w:r>
      <w:r>
        <w:rPr>
          <w:b w:val="0"/>
          <w:i w:val="0"/>
        </w:rPr>
        <w:t xml:space="preserve"> differently. The explicit question and </w:t>
      </w:r>
      <w:r>
        <w:rPr>
          <w:b w:val="0"/>
          <w:i/>
        </w:rPr>
        <w:t>Immo vero</w:t>
      </w:r>
      <w:r>
        <w:rPr>
          <w:b w:val="0"/>
          <w:i w:val="0"/>
        </w:rPr>
        <w:t xml:space="preserve"> prevent the movement from external principle to inward continuing agency from disappearing into a paraphrase. No Greek words are printed in this argument.</w:t>
      </w:r>
    </w:p>
    <w:p>
      <w:pPr>
        <w:keepNext/>
        <w:widowControl/>
      </w:pPr>
      <w:r>
        <w:rPr>
          <w:b/>
          <w:i w:val="0"/>
        </w:rPr>
        <w:t>See also.</w:t>
      </w:r>
    </w:p>
    <w:p>
      <w:pPr>
        <w:widowControl/>
      </w:pPr>
      <w:hyperlink w:anchor="vii-harmony-strings">
        <w:r>
          <w:rPr>
            <w:color w:val="000000"/>
          </w:rPr>
          <w:t xml:space="preserve">Harmony and the strings</w:t>
        </w:r>
      </w:hyperlink>
      <w:r>
        <w:rPr>
          <w:b w:val="0"/>
          <w:i w:val="0"/>
        </w:rPr>
        <w:t xml:space="preserve">; </w:t>
      </w:r>
      <w:hyperlink w:anchor="vii-bodily-spirit">
        <w:r>
          <w:rPr>
            <w:color w:val="000000"/>
          </w:rPr>
          <w:t xml:space="preserve">Bodily spirit and mediation</w:t>
        </w:r>
      </w:hyperlink>
      <w:r>
        <w:rPr>
          <w:b w:val="0"/>
          <w:i w:val="0"/>
        </w:rPr>
        <w:t xml:space="preserve">; </w:t>
      </w:r>
      <w:hyperlink w:anchor="vii-bodily-constitution">
        <w:r>
          <w:rPr>
            <w:color w:val="000000"/>
          </w:rPr>
          <w:t xml:space="preserve">Bodily constitution and temperament</w:t>
        </w:r>
      </w:hyperlink>
    </w:p>
    <w:p>
      <w:pPr>
        <w:pStyle w:val="Heading2"/>
      </w:pPr>
      <w:bookmarkStart w:id="238" w:name="vital-motion-action-and-passion"/>
      <w:r>
        <w:rPr>
          <w:b w:val="0"/>
          <w:i w:val="0"/>
        </w:rPr>
        <w:t>Vital motion, action and passion</w:t>
      </w:r>
      <w:bookmarkEnd w:id="238"/>
    </w:p>
    <w:p>
      <w:pPr>
        <w:keepNext/>
        <w:widowControl/>
      </w:pPr>
      <w:r>
        <w:rPr>
          <w:b/>
          <w:i w:val="0"/>
        </w:rPr>
        <w:t>Latin:</w:t>
      </w:r>
      <w:r>
        <w:rPr>
          <w:b w:val="0"/>
          <w:i w:val="0"/>
        </w:rPr>
        <w:t xml:space="preserve"> </w:t>
      </w:r>
      <w:r>
        <w:rPr>
          <w:b w:val="0"/>
          <w:i/>
        </w:rPr>
        <w:t>vicissitudo</w:t>
      </w:r>
      <w:r>
        <w:rPr>
          <w:b w:val="0"/>
          <w:i w:val="0"/>
        </w:rPr>
        <w:t xml:space="preserve">; </w:t>
      </w:r>
      <w:r>
        <w:rPr>
          <w:b w:val="0"/>
          <w:i/>
        </w:rPr>
        <w:t>actio</w:t>
      </w:r>
      <w:r>
        <w:rPr>
          <w:b w:val="0"/>
          <w:i w:val="0"/>
        </w:rPr>
        <w:t xml:space="preserve">; </w:t>
      </w:r>
      <w:r>
        <w:rPr>
          <w:b w:val="0"/>
          <w:i/>
        </w:rPr>
        <w:t>passio</w:t>
      </w:r>
      <w:r>
        <w:rPr>
          <w:b w:val="0"/>
          <w:i w:val="0"/>
        </w:rPr>
        <w:t xml:space="preserve">; </w:t>
      </w:r>
      <w:r>
        <w:rPr>
          <w:b w:val="0"/>
          <w:i/>
        </w:rPr>
        <w:t>vita se generans</w:t>
      </w:r>
      <w:r>
        <w:rPr>
          <w:b w:val="0"/>
          <w:i w:val="0"/>
        </w:rPr>
        <w:t xml:space="preserve">; </w:t>
      </w:r>
      <w:r>
        <w:rPr>
          <w:b w:val="0"/>
          <w:i/>
        </w:rPr>
        <w:t>motus vitalis</w:t>
      </w:r>
      <w:r>
        <w:rPr>
          <w:b w:val="0"/>
          <w:i w:val="0"/>
        </w:rPr>
        <w:t xml:space="preserve">; </w:t>
      </w:r>
      <w:r>
        <w:rPr>
          <w:b w:val="0"/>
          <w:i/>
        </w:rPr>
        <w:t>adventitius</w:t>
      </w:r>
    </w:p>
    <w:p>
      <w:pPr>
        <w:keepNext/>
        <w:widowControl/>
      </w:pPr>
      <w:r>
        <w:rPr>
          <w:b/>
          <w:i w:val="0"/>
        </w:rPr>
        <w:t>The word.</w:t>
      </w:r>
    </w:p>
    <w:p>
      <w:pPr>
        <w:widowControl/>
      </w:pPr>
      <w:r>
        <w:rPr>
          <w:b w:val="0"/>
          <w:i w:val="0"/>
        </w:rPr>
        <w:t xml:space="preserve">Vicissitudo is alternation or succession. Actio and passio distinguish source-activity from received motion. Adventitius is acquired from outside or added, contrasted with life possessed through the soul’s own nature. </w:t>
      </w:r>
      <w:r>
        <w:t>“</w:t>
      </w:r>
      <w:r>
        <w:rPr>
          <w:b w:val="0"/>
          <w:i w:val="0"/>
        </w:rPr>
        <w:t>Life generating itself</w:t>
      </w:r>
      <w:r>
        <w:t>”</w:t>
      </w:r>
      <w:r>
        <w:rPr>
          <w:b w:val="0"/>
          <w:i w:val="0"/>
        </w:rPr>
        <w:t xml:space="preserve"> describes a qualified vital activity, not an uncaused creation of essence from nothing.</w:t>
      </w:r>
    </w:p>
    <w:p>
      <w:pPr>
        <w:keepNext/>
        <w:widowControl/>
      </w:pPr>
      <w:r>
        <w:rPr>
          <w:b/>
          <w:i w:val="0"/>
        </w:rPr>
        <w:t>In the Platonic Theology.</w:t>
      </w:r>
    </w:p>
    <w:p>
      <w:pPr>
        <w:widowControl/>
      </w:pPr>
      <w:r>
        <w:rPr>
          <w:b w:val="0"/>
          <w:i w:val="0"/>
        </w:rPr>
        <w:t>After answering the integrated-whole objection, Ficino clarifies what psychic self-motion means. It is not soul acting upon itself and being acted upon as distinct poles of a transitive event. Motio here is the natural alternation of its essence through successive affections, with no other thing pushing it along. Fire’s being hot provides the comparison: it is hot without an external heater or one part donating heat to another. The comparison concerns intrinsic exercise, not a claim that soul is literal fire.</w:t>
      </w:r>
    </w:p>
    <w:p>
      <w:pPr>
        <w:widowControl/>
      </w:pPr>
      <w:r>
        <w:rPr>
          <w:b w:val="0"/>
          <w:i w:val="0"/>
        </w:rPr>
        <w:t>The causal argument then distinguishes an agent’s act within itself from its communication of act. If soul gives the animal power to pass from rest into activity, it must exercise that vital progression first and more fully in itself. Heat is hot before heating another matter; animate bodies conceive within themselves before bringing forth offspring. Causal priority and the temporal imagery of generation support the claim that the source possesses what it communicates. Soul’s own unfolding from potency into act is consequently called self-motion, without making it the creator of its previously absent essence.</w:t>
      </w:r>
    </w:p>
    <w:p>
      <w:pPr>
        <w:widowControl/>
      </w:pPr>
      <w:r>
        <w:rPr>
          <w:b w:val="0"/>
          <w:i w:val="0"/>
        </w:rPr>
        <w:t xml:space="preserve">VI.12.11 explicitly attributes to the Platonists the distinction between action and passion. Motion in soul is action because it occurs in its source and forms and moves body. In body the movement is received and therefore passion. The relation is extended to universal soul and the world’s body without turning cosmic matter into a primary self-mover. </w:t>
      </w:r>
      <w:r>
        <w:t>“</w:t>
      </w:r>
      <w:r>
        <w:rPr>
          <w:b w:val="0"/>
          <w:i w:val="0"/>
        </w:rPr>
        <w:t>Perfect</w:t>
      </w:r>
      <w:r>
        <w:t>”</w:t>
      </w:r>
      <w:r>
        <w:rPr>
          <w:b w:val="0"/>
          <w:i w:val="0"/>
        </w:rPr>
        <w:t xml:space="preserve"> and </w:t>
      </w:r>
      <w:r>
        <w:t>“</w:t>
      </w:r>
      <w:r>
        <w:rPr>
          <w:b w:val="0"/>
          <w:i w:val="0"/>
        </w:rPr>
        <w:t>imperfect</w:t>
      </w:r>
      <w:r>
        <w:t>”</w:t>
      </w:r>
      <w:r>
        <w:rPr>
          <w:b w:val="0"/>
          <w:i w:val="0"/>
        </w:rPr>
        <w:t xml:space="preserve"> in this comparison describe source and derivative activity within the genus of motion. They do not imply that every human judgement is infallible.</w:t>
      </w:r>
    </w:p>
    <w:p>
      <w:pPr>
        <w:widowControl/>
      </w:pPr>
      <w:r>
        <w:rPr>
          <w:b w:val="0"/>
          <w:i w:val="0"/>
        </w:rPr>
        <w:t xml:space="preserve">Asked by what kind of motion the soul is chiefly moved, the Platonists answer neither a corporeal motion, nor an imaginable motion, nor a cognitive motion, but one according to vital essence. The reasons correspond to the exclusions: soul is incorporeal, lacks bodily figure, and, in the source’s stark wording, </w:t>
      </w:r>
      <w:r>
        <w:t>“</w:t>
      </w:r>
      <w:r>
        <w:rPr>
          <w:b w:val="0"/>
          <w:i w:val="0"/>
        </w:rPr>
        <w:t>does not know itself.</w:t>
      </w:r>
      <w:r>
        <w:t>”</w:t>
      </w:r>
      <w:r>
        <w:rPr>
          <w:b w:val="0"/>
          <w:i w:val="0"/>
        </w:rPr>
        <w:t xml:space="preserve"> The account must retain that last phrase rather than silently making primary life continuous reflective consciousness. It immediately goes on to contrast mind in potency with life in act. Particular understanding is not always being exercised, whereas the essence lives throughout. Particular vital powers and acts can also vary, lapse or go astray while the soul remains alive.</w:t>
      </w:r>
    </w:p>
    <w:p>
      <w:pPr>
        <w:widowControl/>
      </w:pPr>
      <w:r>
        <w:rPr>
          <w:b w:val="0"/>
          <w:i w:val="0"/>
        </w:rPr>
        <w:t xml:space="preserve">This resolves the apparent contradiction that soul is always moved and not always moved. Essential vital actuality persists; intellectual and other determinate operations need not. The distinction is among essence, powers and acts, not among several separate souls. It also means that </w:t>
      </w:r>
      <w:r>
        <w:t>“</w:t>
      </w:r>
      <w:r>
        <w:rPr>
          <w:b w:val="0"/>
          <w:i w:val="0"/>
        </w:rPr>
        <w:t>perfect motion at its source</w:t>
      </w:r>
      <w:r>
        <w:t>”</w:t>
      </w:r>
      <w:r>
        <w:rPr>
          <w:b w:val="0"/>
          <w:i w:val="0"/>
        </w:rPr>
        <w:t xml:space="preserve"> cannot be translated as every operation always correctly performed. The later catalogue includes explicit reflection on oneself as one psychic activity, so the local denial of cognitive primary motion should not be generalized into a denial of every possible self-knowledge throughout the work.</w:t>
      </w:r>
    </w:p>
    <w:p>
      <w:pPr>
        <w:widowControl/>
      </w:pPr>
      <w:r>
        <w:rPr>
          <w:b w:val="0"/>
          <w:i w:val="0"/>
        </w:rPr>
        <w:t xml:space="preserve">The expression </w:t>
      </w:r>
      <w:r>
        <w:t>“</w:t>
      </w:r>
      <w:r>
        <w:rPr>
          <w:b w:val="0"/>
          <w:i w:val="0"/>
        </w:rPr>
        <w:t>life generating and producing itself</w:t>
      </w:r>
      <w:r>
        <w:t>”</w:t>
      </w:r>
      <w:r>
        <w:rPr>
          <w:b w:val="0"/>
          <w:i w:val="0"/>
        </w:rPr>
        <w:t xml:space="preserve"> is introduced as the Platonists’ own wording and read through this inward vital unfolding. It does not retract VI.1.6’s incorporeal producer. Nor is it identical with the finite self-generation rejected in VI.12.14, which would require the same thing both to possess and lack the being it creates and to precede itself as its own begetter. VI.12.20’s further qualifications concerning psychic generation and corruption likewise prevent a literal contradiction. The unresolved interpretive pressure of non cognitivo, ignorat enim se ipsam remains visible, but its immediate context supplies a disciplined limit on both overconfident self-transparency and overconfident denial of self-awareness.</w:t>
      </w:r>
    </w:p>
    <w:p>
      <w:pPr>
        <w:keepNext/>
        <w:widowControl/>
      </w:pPr>
      <w:r>
        <w:rPr>
          <w:b/>
          <w:i w:val="0"/>
        </w:rPr>
        <w:t>Places to Read.</w:t>
      </w:r>
    </w:p>
    <w:p>
      <w:pPr>
        <w:ind w:left="187" w:hanging="187"/>
      </w:pPr>
      <w:r>
        <w:t xml:space="preserve">• </w:t>
      </w:r>
      <w:r>
        <w:rPr>
          <w:b/>
          <w:i w:val="0"/>
        </w:rPr>
        <w:t>VI.12.10; source PDF pp. 210, 211</w:t>
      </w:r>
      <w:r>
        <w:rPr>
          <w:b w:val="0"/>
          <w:i w:val="0"/>
        </w:rPr>
        <w:t>. Self-motion is natural succession rather than transitive self-affection.</w:t>
      </w:r>
    </w:p>
    <w:p>
      <w:pPr>
        <w:ind w:left="187" w:hanging="187"/>
      </w:pPr>
      <w:r>
        <w:t xml:space="preserve">• </w:t>
      </w:r>
      <w:r>
        <w:rPr>
          <w:b/>
          <w:i w:val="0"/>
        </w:rPr>
        <w:t>VI.12.11; source PDF pp. 212, 213</w:t>
      </w:r>
      <w:r>
        <w:rPr>
          <w:b w:val="0"/>
          <w:i w:val="0"/>
        </w:rPr>
        <w:t>. Action in soul and passion in body establish causal asymmetry.</w:t>
      </w:r>
    </w:p>
    <w:p>
      <w:pPr>
        <w:ind w:left="187" w:hanging="187"/>
      </w:pPr>
      <w:r>
        <w:t xml:space="preserve">• </w:t>
      </w:r>
      <w:r>
        <w:rPr>
          <w:b/>
          <w:i w:val="0"/>
        </w:rPr>
        <w:t>VI.12.12; source PDF pp. 212, 213</w:t>
      </w:r>
      <w:r>
        <w:rPr>
          <w:b w:val="0"/>
          <w:i w:val="0"/>
        </w:rPr>
        <w:t>. Essential vital activity is distinguished from intermittent and fallible powers and acts.</w:t>
      </w:r>
    </w:p>
    <w:p>
      <w:pPr>
        <w:keepNext/>
        <w:widowControl/>
      </w:pPr>
      <w:r>
        <w:rPr>
          <w:b/>
          <w:i w:val="0"/>
        </w:rPr>
        <w:t>In this edition.</w:t>
      </w:r>
    </w:p>
    <w:p>
      <w:pPr>
        <w:widowControl/>
      </w:pPr>
      <w:r>
        <w:t>“</w:t>
      </w:r>
      <w:r>
        <w:rPr>
          <w:b w:val="0"/>
          <w:i w:val="0"/>
        </w:rPr>
        <w:t>Life generating and producing itself</w:t>
      </w:r>
      <w:r>
        <w:t>”</w:t>
      </w:r>
      <w:r>
        <w:rPr>
          <w:b w:val="0"/>
          <w:i w:val="0"/>
        </w:rPr>
        <w:t xml:space="preserve"> is introduced as the Platonists’ words. The edition keeps the difficult non cognitivo, ignorat enim se ipsam without doctrinal expansion. Read it with the immediate contrast between life in act and mind in potency, rather than silently replacing it with a thesis of uninterrupted reflective consciousness.</w:t>
      </w:r>
    </w:p>
    <w:p>
      <w:pPr>
        <w:keepNext/>
        <w:widowControl/>
      </w:pPr>
      <w:r>
        <w:rPr>
          <w:b/>
          <w:i w:val="0"/>
        </w:rPr>
        <w:t>See also.</w:t>
      </w:r>
    </w:p>
    <w:p>
      <w:pPr>
        <w:widowControl/>
      </w:pPr>
      <w:hyperlink w:anchor="generation-corruption-and-self-preservation">
        <w:r>
          <w:rPr>
            <w:color w:val="000000"/>
          </w:rPr>
          <w:t xml:space="preserve">Generation, corruption and self-preservation</w:t>
        </w:r>
      </w:hyperlink>
      <w:r>
        <w:rPr>
          <w:b w:val="0"/>
          <w:i w:val="0"/>
        </w:rPr>
        <w:t xml:space="preserve">; </w:t>
      </w:r>
      <w:hyperlink w:anchor="temporal-discourse-and-psychic-ascent">
        <w:r>
          <w:rPr>
            <w:color w:val="000000"/>
          </w:rPr>
          <w:t xml:space="preserve">Temporal discourse and psychic ascent</w:t>
        </w:r>
      </w:hyperlink>
    </w:p>
    <w:p>
      <w:pPr>
        <w:pStyle w:val="Heading2"/>
      </w:pPr>
      <w:bookmarkStart w:id="239" w:name="vii-whole-soul-vital-intensity"/>
      <w:r>
        <w:rPr>
          <w:b w:val="0"/>
          <w:i w:val="0"/>
        </w:rPr>
        <w:t>Whole presence and vital intensity</w:t>
      </w:r>
      <w:bookmarkEnd w:id="239"/>
    </w:p>
    <w:p>
      <w:pPr>
        <w:keepNext/>
        <w:widowControl/>
      </w:pPr>
      <w:r>
        <w:rPr>
          <w:b/>
          <w:i w:val="0"/>
        </w:rPr>
        <w:t>Latin:</w:t>
      </w:r>
      <w:r>
        <w:rPr>
          <w:b w:val="0"/>
          <w:i w:val="0"/>
        </w:rPr>
        <w:t xml:space="preserve"> </w:t>
      </w:r>
      <w:r>
        <w:rPr>
          <w:b w:val="0"/>
          <w:i/>
        </w:rPr>
        <w:t>tota</w:t>
      </w:r>
      <w:r>
        <w:rPr>
          <w:b w:val="0"/>
          <w:i w:val="0"/>
        </w:rPr>
        <w:t xml:space="preserve">; </w:t>
      </w:r>
      <w:r>
        <w:rPr>
          <w:b w:val="0"/>
          <w:i/>
        </w:rPr>
        <w:t>adesse</w:t>
      </w:r>
      <w:r>
        <w:rPr>
          <w:b w:val="0"/>
          <w:i w:val="0"/>
        </w:rPr>
        <w:t xml:space="preserve">; </w:t>
      </w:r>
      <w:r>
        <w:rPr>
          <w:b w:val="0"/>
          <w:i/>
        </w:rPr>
        <w:t>localis diffusio</w:t>
      </w:r>
      <w:r>
        <w:rPr>
          <w:b w:val="0"/>
          <w:i w:val="0"/>
        </w:rPr>
        <w:t xml:space="preserve">; </w:t>
      </w:r>
      <w:r>
        <w:rPr>
          <w:b w:val="0"/>
          <w:i/>
        </w:rPr>
        <w:t>vitalis intensio</w:t>
      </w:r>
      <w:r>
        <w:rPr>
          <w:b w:val="0"/>
          <w:i w:val="0"/>
        </w:rPr>
        <w:t xml:space="preserve">; </w:t>
      </w:r>
      <w:r>
        <w:rPr>
          <w:b w:val="0"/>
          <w:i/>
        </w:rPr>
        <w:t>intensius</w:t>
      </w:r>
      <w:r>
        <w:rPr>
          <w:b w:val="0"/>
          <w:i w:val="0"/>
        </w:rPr>
        <w:t xml:space="preserve">; </w:t>
      </w:r>
      <w:r>
        <w:rPr>
          <w:b w:val="0"/>
          <w:i/>
        </w:rPr>
        <w:t>remissius</w:t>
      </w:r>
      <w:r>
        <w:rPr>
          <w:b w:val="0"/>
          <w:i w:val="0"/>
        </w:rPr>
        <w:t xml:space="preserve">; </w:t>
      </w:r>
      <w:r>
        <w:rPr>
          <w:b w:val="0"/>
          <w:i/>
        </w:rPr>
        <w:t>porrigere</w:t>
      </w:r>
    </w:p>
    <w:p>
      <w:pPr>
        <w:keepNext/>
        <w:widowControl/>
      </w:pPr>
      <w:r>
        <w:rPr>
          <w:b/>
          <w:i w:val="0"/>
        </w:rPr>
        <w:t>The word.</w:t>
      </w:r>
    </w:p>
    <w:p>
      <w:pPr>
        <w:widowControl/>
      </w:pPr>
      <w:r>
        <w:rPr>
          <w:b w:val="0"/>
          <w:i w:val="0"/>
        </w:rPr>
        <w:t xml:space="preserve">The repeated </w:t>
      </w:r>
      <w:r>
        <w:rPr>
          <w:b w:val="0"/>
          <w:i/>
        </w:rPr>
        <w:t>tota</w:t>
      </w:r>
      <w:r>
        <w:rPr>
          <w:b w:val="0"/>
          <w:i w:val="0"/>
        </w:rPr>
        <w:t xml:space="preserve"> means the whole soul, not the aggregate of spatial soul-pieces. </w:t>
      </w:r>
      <w:r>
        <w:rPr>
          <w:b w:val="0"/>
          <w:i/>
        </w:rPr>
        <w:t>Vitalis intensio</w:t>
      </w:r>
      <w:r>
        <w:rPr>
          <w:b w:val="0"/>
          <w:i w:val="0"/>
        </w:rPr>
        <w:t xml:space="preserve"> concerns life-giving intensity; </w:t>
      </w:r>
      <w:r>
        <w:rPr>
          <w:b w:val="0"/>
          <w:i/>
        </w:rPr>
        <w:t>localis diffusio</w:t>
      </w:r>
      <w:r>
        <w:rPr>
          <w:b w:val="0"/>
          <w:i w:val="0"/>
        </w:rPr>
        <w:t xml:space="preserve"> is extension through places. Stronger activity in one organ does not make a larger fraction of soul reside there.</w:t>
      </w:r>
    </w:p>
    <w:p>
      <w:pPr>
        <w:keepNext/>
        <w:widowControl/>
      </w:pPr>
      <w:r>
        <w:rPr>
          <w:b/>
          <w:i w:val="0"/>
        </w:rPr>
        <w:t>In the Platonic Theology.</w:t>
      </w:r>
    </w:p>
    <w:p>
      <w:pPr>
        <w:widowControl/>
      </w:pPr>
      <w:r>
        <w:rPr>
          <w:b w:val="0"/>
          <w:i w:val="0"/>
        </w:rPr>
        <w:t>A bodily part cannot equal the bodily whole, so a form spread dimensionally through body cannot be wholly present in each part. Ficino contrasts this limitation with the soul’s awareness of a localized injury. The same soul turns eye, hand and mouth toward a hurt foot; it therefore senses there while remaining the source of life and action elsewhere.</w:t>
      </w:r>
    </w:p>
    <w:p>
      <w:pPr>
        <w:widowControl/>
      </w:pPr>
      <w:r>
        <w:rPr>
          <w:b w:val="0"/>
          <w:i w:val="0"/>
        </w:rPr>
        <w:t>The comparison with whiteness sharpens the distinction. A patch of white can be stained without all whiteness changing. In the living being, however, an occurrence in a tiny bodily part concerns the whole soul. Ficino invokes Augustine’s account: soul extends by vital intensity rather than local diffusion, whole in all and whole in each, neither smaller in smaller parts nor larger in larger ones. More and less intensity are allowed without quantitative partition. Awareness of one touched spot does not require the touch to spread through the body, and attention there does not require abandonment of the other living parts.</w:t>
      </w:r>
    </w:p>
    <w:p>
      <w:pPr>
        <w:widowControl/>
      </w:pPr>
      <w:r>
        <w:rPr>
          <w:b w:val="0"/>
          <w:i w:val="0"/>
        </w:rPr>
        <w:t xml:space="preserve">This is not an assertion that every injury physically affects every organ. Its point is precisely the combination of localized bodily affection and unified awareness. The ensuing objection relocates a principal judge to the brain and proposes successive reports through soul-parts; the following unit rejects that division. </w:t>
      </w:r>
      <w:r>
        <w:t>“</w:t>
      </w:r>
      <w:r>
        <w:rPr>
          <w:b w:val="0"/>
          <w:i w:val="0"/>
        </w:rPr>
        <w:t>Whole everywhere</w:t>
      </w:r>
      <w:r>
        <w:t>”</w:t>
      </w:r>
      <w:r>
        <w:rPr>
          <w:b w:val="0"/>
          <w:i w:val="0"/>
        </w:rPr>
        <w:t xml:space="preserve"> consequently belongs to a disputed account of the soul’s presence, not a casual synonym for bodily omnipresence.</w:t>
      </w:r>
    </w:p>
    <w:p>
      <w:pPr>
        <w:widowControl/>
      </w:pPr>
      <w:r>
        <w:rPr>
          <w:b w:val="0"/>
          <w:i w:val="0"/>
        </w:rPr>
        <w:t xml:space="preserve">The force of </w:t>
      </w:r>
      <w:r>
        <w:t>“</w:t>
      </w:r>
      <w:r>
        <w:rPr>
          <w:b w:val="0"/>
          <w:i w:val="0"/>
        </w:rPr>
        <w:t>whole</w:t>
      </w:r>
      <w:r>
        <w:t>”</w:t>
      </w:r>
      <w:r>
        <w:rPr>
          <w:b w:val="0"/>
          <w:i w:val="0"/>
        </w:rPr>
        <w:t xml:space="preserve"> can be missed if it is translated into a collective formula such as </w:t>
      </w:r>
      <w:r>
        <w:t>“</w:t>
      </w:r>
      <w:r>
        <w:rPr>
          <w:b w:val="0"/>
          <w:i w:val="0"/>
        </w:rPr>
        <w:t>all the soul’s parts eventually learn of the injury.</w:t>
      </w:r>
      <w:r>
        <w:t>”</w:t>
      </w:r>
      <w:r>
        <w:rPr>
          <w:b w:val="0"/>
          <w:i w:val="0"/>
        </w:rPr>
        <w:t xml:space="preserve"> Ficino’s claim is the opposite: the soul is not divided into spatially assigned knowers that must exchange their private experiences. The complete judging subject is already present where the event occurs. That same complete subject continues animating uninjured members, which is why eye, hand and mouth can cooperate without becoming parts of the foot’s bodily lesion.</w:t>
      </w:r>
    </w:p>
    <w:p>
      <w:pPr>
        <w:widowControl/>
      </w:pPr>
      <w:r>
        <w:rPr>
          <w:b w:val="0"/>
          <w:i w:val="0"/>
        </w:rPr>
        <w:t>The Augustine passage adds a useful simultaneous case. If the touched event happened elsewhere as well, both would be known to the whole soul. The soul need not leave one location, travel to another and return with a report. Nor does one event’s being known require that the physical event occur throughout the organism. This separates three claims that are easily confused: the affection has a determinate bodily site; awareness belongs to the whole soul; and the same soul remains present to the body’s other living parts. The case of two events demonstrates why the account cannot be reduced to a temporary concentration of soul in a single location.</w:t>
      </w:r>
    </w:p>
    <w:p>
      <w:pPr>
        <w:widowControl/>
      </w:pPr>
      <w:r>
        <w:rPr>
          <w:b w:val="0"/>
          <w:i w:val="0"/>
        </w:rPr>
        <w:t xml:space="preserve">The language of intensity permits difference without division. An operation may be more vigorous or an organ better suited to its exercise, while soul is no larger there. The contrast is not between equal and unequal shares of a spatial substance; it is between ways of manifesting a power whose source is undivided. That is why the translation’s paired </w:t>
      </w:r>
      <w:r>
        <w:rPr>
          <w:b w:val="0"/>
          <w:i/>
        </w:rPr>
        <w:t>intensius</w:t>
      </w:r>
      <w:r>
        <w:rPr>
          <w:b w:val="0"/>
          <w:i w:val="0"/>
        </w:rPr>
        <w:t xml:space="preserve"> and </w:t>
      </w:r>
      <w:r>
        <w:rPr>
          <w:b w:val="0"/>
          <w:i/>
        </w:rPr>
        <w:t>remissius</w:t>
      </w:r>
      <w:r>
        <w:rPr>
          <w:b w:val="0"/>
          <w:i w:val="0"/>
        </w:rPr>
        <w:t xml:space="preserve"> must remain beside the explicit denial of greater and smaller soul in greater and smaller members. Dropping either half would make the passage sound like either uniform bodily extension or an unexplained denial of all organic difference.</w:t>
      </w:r>
    </w:p>
    <w:p>
      <w:pPr>
        <w:widowControl/>
      </w:pPr>
      <w:r>
        <w:rPr>
          <w:b w:val="0"/>
          <w:i w:val="0"/>
        </w:rPr>
        <w:t>The later physiological account also prevents a false consequence. Whole soul in each member does not say that every member performs every sensory function in the same way. Chapter 6 calls touch universal throughout the members, while assigning hearing and vision their particular media and instruments. Whole presence of the animating and judging subject is compatible with differentiated organs. The precise explanation of how those roles fit together belongs to Ficino’s account; one should not replace it with a flat claim that the foot literally sees because the whole soul is there.</w:t>
      </w:r>
    </w:p>
    <w:p>
      <w:pPr>
        <w:widowControl/>
      </w:pPr>
      <w:r>
        <w:rPr>
          <w:b w:val="0"/>
          <w:i w:val="0"/>
        </w:rPr>
        <w:t>This distinction is important when the text shifts to severed creatures. Whole presence in the organized animal and survival in a detached member are different questions. The next unit expressly denies that more perfect souls live in separate members lacking their requisite organs. It also allows the original low animal soul to perish when its bodily framework dissolves. Thus the whole-presence argument concerns how a soul animates and knows within its living body; it does not, by itself, establish every soul’s continued existence after that body is dismembered.</w:t>
      </w:r>
    </w:p>
    <w:p>
      <w:pPr>
        <w:keepNext/>
        <w:widowControl/>
      </w:pPr>
      <w:r>
        <w:rPr>
          <w:b/>
          <w:i w:val="0"/>
        </w:rPr>
        <w:t>Places to Read.</w:t>
      </w:r>
    </w:p>
    <w:p>
      <w:pPr>
        <w:ind w:left="187" w:hanging="187"/>
      </w:pPr>
      <w:r>
        <w:t xml:space="preserve">• </w:t>
      </w:r>
      <w:r>
        <w:rPr>
          <w:b/>
          <w:i w:val="0"/>
        </w:rPr>
        <w:t>VII.5.1, PDF 248–249</w:t>
      </w:r>
      <w:r>
        <w:rPr>
          <w:b w:val="0"/>
          <w:i w:val="0"/>
        </w:rPr>
        <w:t>. Coordinated response to an injured foot introduces whole presence.</w:t>
      </w:r>
    </w:p>
    <w:p>
      <w:pPr>
        <w:ind w:left="187" w:hanging="187"/>
      </w:pPr>
      <w:r>
        <w:t xml:space="preserve">• </w:t>
      </w:r>
      <w:r>
        <w:rPr>
          <w:b/>
          <w:i w:val="0"/>
        </w:rPr>
        <w:t>VII.5.2, PDF 250–251</w:t>
      </w:r>
      <w:r>
        <w:rPr>
          <w:b w:val="0"/>
          <w:i w:val="0"/>
        </w:rPr>
        <w:t>. Whiteness and Augustine’s vital intensity distinguish local change from unified awareness.</w:t>
      </w:r>
    </w:p>
    <w:p>
      <w:pPr>
        <w:ind w:left="187" w:hanging="187"/>
      </w:pPr>
      <w:r>
        <w:t xml:space="preserve">• </w:t>
      </w:r>
      <w:r>
        <w:rPr>
          <w:b/>
          <w:i w:val="0"/>
        </w:rPr>
        <w:t>VII.5.3, PDF 252–253</w:t>
      </w:r>
      <w:r>
        <w:rPr>
          <w:b w:val="0"/>
          <w:i w:val="0"/>
        </w:rPr>
        <w:t>. The reply to successive reporting concludes with whole immediate coordination.</w:t>
      </w:r>
    </w:p>
    <w:p>
      <w:pPr>
        <w:keepNext/>
        <w:widowControl/>
      </w:pPr>
      <w:r>
        <w:rPr>
          <w:b/>
          <w:i w:val="0"/>
        </w:rPr>
        <w:t>In this edition.</w:t>
      </w:r>
    </w:p>
    <w:p>
      <w:pPr>
        <w:widowControl/>
      </w:pPr>
      <w:r>
        <w:rPr>
          <w:b w:val="0"/>
          <w:i w:val="0"/>
        </w:rPr>
        <w:t xml:space="preserve">The Augustine passage is an attribution made by Ficino, not an independently collated quotation here. </w:t>
      </w:r>
      <w:r>
        <w:rPr>
          <w:b w:val="0"/>
          <w:i/>
        </w:rPr>
        <w:t>Aurelius</w:t>
      </w:r>
      <w:r>
        <w:rPr>
          <w:b w:val="0"/>
          <w:i w:val="0"/>
        </w:rPr>
        <w:t xml:space="preserve"> names the same authority at its close. The edition’s </w:t>
      </w:r>
      <w:r>
        <w:t>“</w:t>
      </w:r>
      <w:r>
        <w:rPr>
          <w:b w:val="0"/>
          <w:i w:val="0"/>
        </w:rPr>
        <w:t>more intense</w:t>
      </w:r>
      <w:r>
        <w:t>”</w:t>
      </w:r>
      <w:r>
        <w:rPr>
          <w:b w:val="0"/>
          <w:i w:val="0"/>
        </w:rPr>
        <w:t xml:space="preserve"> and </w:t>
      </w:r>
      <w:r>
        <w:t>“</w:t>
      </w:r>
      <w:r>
        <w:rPr>
          <w:b w:val="0"/>
          <w:i w:val="0"/>
        </w:rPr>
        <w:t>less intense</w:t>
      </w:r>
      <w:r>
        <w:t>”</w:t>
      </w:r>
      <w:r>
        <w:rPr>
          <w:b w:val="0"/>
          <w:i w:val="0"/>
        </w:rPr>
        <w:t xml:space="preserve"> preserve a distinction from greater and smaller spatial extension.</w:t>
      </w:r>
    </w:p>
    <w:p>
      <w:pPr>
        <w:keepNext/>
        <w:widowControl/>
      </w:pPr>
      <w:r>
        <w:rPr>
          <w:b/>
          <w:i w:val="0"/>
        </w:rPr>
        <w:t>See also.</w:t>
      </w:r>
    </w:p>
    <w:p>
      <w:pPr>
        <w:widowControl/>
      </w:pPr>
      <w:hyperlink w:anchor="vii-pain-location">
        <w:r>
          <w:rPr>
            <w:color w:val="000000"/>
          </w:rPr>
          <w:t xml:space="preserve">Pain, location and reporting</w:t>
        </w:r>
      </w:hyperlink>
      <w:r>
        <w:rPr>
          <w:b w:val="0"/>
          <w:i w:val="0"/>
        </w:rPr>
        <w:t xml:space="preserve">; </w:t>
      </w:r>
      <w:hyperlink w:anchor="vii-injury-judge">
        <w:r>
          <w:rPr>
            <w:color w:val="000000"/>
          </w:rPr>
          <w:t xml:space="preserve">Injury and the uninjured judge</w:t>
        </w:r>
      </w:hyperlink>
      <w:r>
        <w:rPr>
          <w:b w:val="0"/>
          <w:i w:val="0"/>
        </w:rPr>
        <w:t xml:space="preserve">; </w:t>
      </w:r>
      <w:hyperlink w:anchor="vii-severed-animals">
        <w:r>
          <w:rPr>
            <w:color w:val="000000"/>
          </w:rPr>
          <w:t xml:space="preserve">Severed animals and replacement souls</w:t>
        </w:r>
      </w:hyperlink>
    </w:p>
    <w:p>
      <w:pPr>
        <w:pStyle w:val="Heading2"/>
      </w:pPr>
      <w:bookmarkStart w:id="240" w:name="zoroaster-and-the-mistress-of-life"/>
      <w:r>
        <w:rPr>
          <w:b w:val="0"/>
          <w:i w:val="0"/>
        </w:rPr>
        <w:t>Zoroaster and the mistress of life</w:t>
      </w:r>
      <w:bookmarkEnd w:id="240"/>
    </w:p>
    <w:p>
      <w:pPr>
        <w:keepNext/>
        <w:widowControl/>
      </w:pPr>
      <w:r>
        <w:rPr>
          <w:b/>
          <w:i w:val="0"/>
        </w:rPr>
        <w:t>Latin:</w:t>
      </w:r>
      <w:r>
        <w:rPr>
          <w:b w:val="0"/>
          <w:i w:val="0"/>
        </w:rPr>
        <w:t xml:space="preserve"> </w:t>
      </w:r>
      <w:r>
        <w:rPr>
          <w:b w:val="0"/>
          <w:i/>
        </w:rPr>
        <w:t>Zoroaster</w:t>
      </w:r>
      <w:r>
        <w:rPr>
          <w:b w:val="0"/>
          <w:i w:val="0"/>
        </w:rPr>
        <w:t xml:space="preserve">; </w:t>
      </w:r>
      <w:r>
        <w:rPr>
          <w:b w:val="0"/>
          <w:i/>
        </w:rPr>
        <w:t>immortalis manet</w:t>
      </w:r>
      <w:r>
        <w:rPr>
          <w:b w:val="0"/>
          <w:i w:val="0"/>
        </w:rPr>
        <w:t xml:space="preserve">; </w:t>
      </w:r>
      <w:r>
        <w:rPr>
          <w:b w:val="0"/>
          <w:i/>
        </w:rPr>
        <w:t>vitae domina</w:t>
      </w:r>
      <w:r>
        <w:rPr>
          <w:b w:val="0"/>
          <w:i w:val="0"/>
        </w:rPr>
        <w:t xml:space="preserve">; </w:t>
      </w:r>
      <w:r>
        <w:rPr>
          <w:b w:val="0"/>
          <w:i/>
        </w:rPr>
        <w:t>pedisequa</w:t>
      </w:r>
      <w:r>
        <w:rPr>
          <w:b w:val="0"/>
          <w:i w:val="0"/>
        </w:rPr>
        <w:t xml:space="preserve">; </w:t>
      </w:r>
      <w:r>
        <w:rPr>
          <w:b w:val="0"/>
          <w:i/>
        </w:rPr>
        <w:t>ἀθάνατος</w:t>
      </w:r>
      <w:r>
        <w:rPr>
          <w:b w:val="0"/>
          <w:i w:val="0"/>
        </w:rPr>
        <w:t xml:space="preserve">; </w:t>
      </w:r>
      <w:r>
        <w:rPr>
          <w:b w:val="0"/>
          <w:i/>
        </w:rPr>
        <w:t>δεσπότις</w:t>
      </w:r>
    </w:p>
    <w:p>
      <w:pPr>
        <w:keepNext/>
        <w:widowControl/>
      </w:pPr>
      <w:r>
        <w:rPr>
          <w:b/>
          <w:i w:val="0"/>
        </w:rPr>
        <w:t>The word.</w:t>
      </w:r>
    </w:p>
    <w:p>
      <w:pPr>
        <w:widowControl/>
      </w:pPr>
      <w:r>
        <w:rPr>
          <w:b w:val="0"/>
          <w:i w:val="0"/>
        </w:rPr>
        <w:t>The Greek quotation says that the soul remains immortal and is mistress of life. Despotis is feminine, corresponding to Latin domina. Ficino’s own gloss makes life the soul’s attendant, not a superior master that may abandon it.</w:t>
      </w:r>
    </w:p>
    <w:p>
      <w:pPr>
        <w:keepNext/>
        <w:widowControl/>
      </w:pPr>
      <w:r>
        <w:rPr>
          <w:b/>
          <w:i w:val="0"/>
        </w:rPr>
        <w:t>In the Platonic Theology.</w:t>
      </w:r>
    </w:p>
    <w:p>
      <w:pPr>
        <w:widowControl/>
      </w:pPr>
      <w:r>
        <w:rPr>
          <w:b w:val="0"/>
          <w:i w:val="0"/>
        </w:rPr>
        <w:t>At V.14.6 Ficino attributes to Zoroaster a line he treats as summing up the preceding argument. Its authority reinforces the claim that soul departs at bodily death rather than perishes. He then expands the sense: soul remains immortal because life follows it as light follows the sun and streaming hair a comet.</w:t>
      </w:r>
    </w:p>
    <w:p>
      <w:pPr>
        <w:widowControl/>
      </w:pPr>
      <w:r>
        <w:rPr>
          <w:b w:val="0"/>
          <w:i w:val="0"/>
        </w:rPr>
        <w:t>The image complements the two permissible accounts in V.14.3. Whether soul is life itself or has life as its inseparable attendant, its essential relation to life differentiates it from a recipient that loses life. The quoted line therefore belongs within an argument already developed, not in place of the argument.</w:t>
      </w:r>
    </w:p>
    <w:p>
      <w:pPr>
        <w:widowControl/>
      </w:pPr>
      <w:r>
        <w:rPr>
          <w:b w:val="0"/>
          <w:i w:val="0"/>
        </w:rPr>
        <w:t xml:space="preserve">The next unit still gives the Strato/Epicurean objection. The quotation does not end debate by authority. The meaning of </w:t>
      </w:r>
      <w:r>
        <w:t>“</w:t>
      </w:r>
      <w:r>
        <w:rPr>
          <w:b w:val="0"/>
          <w:i w:val="0"/>
        </w:rPr>
        <w:t>does not receive death</w:t>
      </w:r>
      <w:r>
        <w:t>”</w:t>
      </w:r>
      <w:r>
        <w:rPr>
          <w:b w:val="0"/>
          <w:i w:val="0"/>
        </w:rPr>
        <w:t xml:space="preserve"> must be clarified against the possibility that the soul simply disappears. The lexicon’s attribution is consequently precise: this is a Greek line Ficino assigns to Zoroaster, printed and glossed in the supplied edition, rather than an independently authenticated historical utterance by Zoroaster.</w:t>
      </w:r>
    </w:p>
    <w:p>
      <w:pPr>
        <w:keepNext/>
        <w:widowControl/>
      </w:pPr>
      <w:r>
        <w:rPr>
          <w:b/>
          <w:i w:val="0"/>
        </w:rPr>
        <w:t>Places to Read.</w:t>
      </w:r>
    </w:p>
    <w:p>
      <w:pPr>
        <w:ind w:left="187" w:hanging="187"/>
      </w:pPr>
      <w:r>
        <w:t xml:space="preserve">• </w:t>
      </w:r>
      <w:r>
        <w:rPr>
          <w:b/>
          <w:i w:val="0"/>
        </w:rPr>
        <w:t>V.14.3, V.14.5, V.14.6, PDF 96–97.</w:t>
      </w:r>
      <w:r>
        <w:rPr>
          <w:b w:val="0"/>
          <w:i w:val="0"/>
        </w:rPr>
        <w:t xml:space="preserve"> The preferred life account, the fire distinction and the quoted summation.</w:t>
      </w:r>
    </w:p>
    <w:p>
      <w:pPr>
        <w:ind w:left="187" w:hanging="187"/>
      </w:pPr>
      <w:r>
        <w:t xml:space="preserve">• </w:t>
      </w:r>
      <w:r>
        <w:rPr>
          <w:b/>
          <w:i w:val="0"/>
        </w:rPr>
        <w:t>V.14.7, PDF 98–99.</w:t>
      </w:r>
      <w:r>
        <w:rPr>
          <w:b w:val="0"/>
          <w:i w:val="0"/>
        </w:rPr>
        <w:t xml:space="preserve"> The subsequent objection shows that clarification remains necessary.</w:t>
      </w:r>
    </w:p>
    <w:p>
      <w:pPr>
        <w:keepNext/>
        <w:widowControl/>
      </w:pPr>
      <w:r>
        <w:rPr>
          <w:b/>
          <w:i w:val="0"/>
        </w:rPr>
        <w:t>In this edition.</w:t>
      </w:r>
    </w:p>
    <w:p>
      <w:pPr>
        <w:widowControl/>
      </w:pPr>
      <w:r>
        <w:rPr>
          <w:b w:val="0"/>
          <w:i w:val="0"/>
        </w:rPr>
        <w:t>The apparatus says M1482 and G1559 have feminine δεσπότις and follows Ficino’s domina. The Greek quotation and its gloss are recorded separately in the Greek register. This is the only Greek-script quotation found in the Book V Latin units.</w:t>
      </w:r>
    </w:p>
    <w:p>
      <w:pPr>
        <w:keepNext/>
        <w:widowControl/>
      </w:pPr>
      <w:r>
        <w:rPr>
          <w:b/>
          <w:i w:val="0"/>
        </w:rPr>
        <w:t>See also.</w:t>
      </w:r>
    </w:p>
    <w:p>
      <w:pPr>
        <w:widowControl/>
      </w:pPr>
      <w:hyperlink w:anchor="life-and-vivification">
        <w:r>
          <w:rPr>
            <w:color w:val="000000"/>
          </w:rPr>
          <w:t xml:space="preserve">Life and vivification</w:t>
        </w:r>
      </w:hyperlink>
      <w:r>
        <w:rPr>
          <w:b w:val="0"/>
          <w:i w:val="0"/>
        </w:rPr>
        <w:t xml:space="preserve">; </w:t>
      </w:r>
      <w:hyperlink w:anchor="contraries-death-and-imperishability">
        <w:r>
          <w:rPr>
            <w:color w:val="000000"/>
          </w:rPr>
          <w:t xml:space="preserve">Contraries, death and imperishability</w:t>
        </w:r>
      </w:hyperlink>
      <w:r>
        <w:rPr>
          <w:b w:val="0"/>
          <w:i w:val="0"/>
        </w:rPr>
        <w:t xml:space="preserve">; </w:t>
      </w:r>
      <w:hyperlink w:anchor="comets-and-defining-accounts">
        <w:r>
          <w:rPr>
            <w:color w:val="000000"/>
          </w:rPr>
          <w:t xml:space="preserve">Comets and defining accounts</w:t>
        </w:r>
      </w:hyperlink>
    </w:p>
    <w:p>
      <w:pPr>
        <w:pStyle w:val="Heading1"/>
      </w:pPr>
      <w:bookmarkStart w:id="241" w:name="latin-vocabulary-register"/>
      <w:r>
        <w:rPr>
          <w:b w:val="0"/>
          <w:i w:val="0"/>
        </w:rPr>
        <w:t>Latin vocabulary register</w:t>
      </w:r>
      <w:bookmarkEnd w:id="241"/>
    </w:p>
    <w:p>
      <w:pPr>
        <w:widowControl/>
      </w:pPr>
      <w:r>
        <w:rPr>
          <w:b w:val="0"/>
          <w:i w:val="0"/>
        </w:rPr>
        <w:t>Each record defines a lemma, lexical family, contrast or significant phrase and explains its local work. Headwords can be dictionary forms. Printed forms are attestations verified in the cited source units; they are not a claim to list every inflection or every occurrence. Several contextual explanations can belong to one grouped record.</w:t>
      </w:r>
    </w:p>
    <w:p>
      <w:pPr>
        <w:keepNext/>
        <w:widowControl/>
      </w:pPr>
      <w:bookmarkStart w:id="242" w:name="latin-record-0001"/>
      <w:bookmarkEnd w:id="242"/>
      <w:r>
        <w:rPr>
          <w:b/>
          <w:i w:val="0"/>
        </w:rPr>
        <w:t>a / b: geometrical labels</w:t>
      </w:r>
      <w:r>
        <w:rPr>
          <w:b/>
          <w:i w:val="0"/>
        </w:rPr>
        <w:t>.</w:t>
      </w:r>
      <w:r>
        <w:rPr>
          <w:b w:val="0"/>
          <w:i w:val="0"/>
        </w:rPr>
        <w:t xml:space="preserve"> Printed forms: </w:t>
      </w:r>
      <w:r>
        <w:rPr>
          <w:b w:val="0"/>
          <w:i/>
        </w:rPr>
        <w:t>a</w:t>
      </w:r>
      <w:r>
        <w:rPr>
          <w:b w:val="0"/>
          <w:i w:val="0"/>
        </w:rPr>
        <w:t xml:space="preserve">; </w:t>
      </w:r>
      <w:r>
        <w:rPr>
          <w:b w:val="0"/>
          <w:i/>
        </w:rPr>
        <w:t>b</w:t>
      </w:r>
      <w:r>
        <w:rPr>
          <w:b w:val="0"/>
          <w:i w:val="0"/>
        </w:rPr>
        <w:t>.</w:t>
      </w:r>
    </w:p>
    <w:p>
      <w:pPr>
        <w:widowControl/>
      </w:pPr>
      <w:r>
        <w:rPr>
          <w:b w:val="0"/>
          <w:i w:val="0"/>
        </w:rPr>
        <w:t xml:space="preserve">Labels of the endpoints in the hypothetical model of a line-shaped comparing power. The labels distinguish cognitive access at separate endpoints; they are not the names of substances or Latin technical nouns. The letter a also occurs independently as a preposition. References: </w:t>
      </w:r>
      <w:hyperlink w:anchor="passage-vii-2-2">
        <w:r>
          <w:rPr>
            <w:color w:val="000000"/>
          </w:rPr>
          <w:t xml:space="preserve">VII.2.2</w:t>
        </w:r>
      </w:hyperlink>
      <w:r>
        <w:rPr>
          <w:b w:val="0"/>
          <w:i w:val="0"/>
        </w:rPr>
        <w:t xml:space="preserve">. See </w:t>
      </w:r>
      <w:hyperlink w:anchor="vii-point-line">
        <w:r>
          <w:rPr>
            <w:color w:val="000000"/>
          </w:rPr>
          <w:t xml:space="preserve">Point, line and the comparing power</w:t>
        </w:r>
      </w:hyperlink>
      <w:r>
        <w:rPr>
          <w:b w:val="0"/>
          <w:i w:val="0"/>
        </w:rPr>
        <w:t>.</w:t>
      </w:r>
    </w:p>
    <w:p>
      <w:pPr>
        <w:keepNext/>
        <w:widowControl/>
      </w:pPr>
      <w:bookmarkStart w:id="243" w:name="latin-record-0002"/>
      <w:bookmarkEnd w:id="243"/>
      <w:r>
        <w:rPr>
          <w:b/>
          <w:i w:val="0"/>
        </w:rPr>
        <w:t>ab anima</w:t>
      </w:r>
      <w:r>
        <w:rPr>
          <w:b/>
          <w:i w:val="0"/>
        </w:rPr>
        <w:t>.</w:t>
      </w:r>
      <w:r>
        <w:rPr>
          <w:b w:val="0"/>
          <w:i w:val="0"/>
        </w:rPr>
        <w:t xml:space="preserve"> Printed forms: </w:t>
      </w:r>
      <w:r>
        <w:rPr>
          <w:b w:val="0"/>
          <w:i/>
        </w:rPr>
        <w:t>ab anima</w:t>
      </w:r>
      <w:r>
        <w:rPr>
          <w:b w:val="0"/>
          <w:i w:val="0"/>
        </w:rPr>
        <w:t>.</w:t>
      </w:r>
    </w:p>
    <w:p>
      <w:pPr>
        <w:widowControl/>
      </w:pPr>
      <w:r>
        <w:rPr>
          <w:b w:val="0"/>
          <w:i w:val="0"/>
        </w:rPr>
        <w:t xml:space="preserve">From soul, with no following terrae in the corrected reading. The edition applies an authorial deletion; the terrestrial context does not license silently restoring the removed printed word. References: </w:t>
      </w:r>
      <w:hyperlink w:anchor="passage-vi-8-7">
        <w:r>
          <w:rPr>
            <w:color w:val="000000"/>
          </w:rPr>
          <w:t xml:space="preserve">VI.8.7</w:t>
        </w:r>
      </w:hyperlink>
      <w:r>
        <w:rPr>
          <w:b w:val="0"/>
          <w:i w:val="0"/>
        </w:rPr>
        <w:t xml:space="preserve">. See </w:t>
      </w:r>
      <w:hyperlink w:anchor="earth-wood-and-severed-stones">
        <w:r>
          <w:rPr>
            <w:color w:val="000000"/>
          </w:rPr>
          <w:t xml:space="preserve">Earth, wood and severed stones</w:t>
        </w:r>
      </w:hyperlink>
      <w:r>
        <w:rPr>
          <w:b w:val="0"/>
          <w:i w:val="0"/>
        </w:rPr>
        <w:t>.</w:t>
      </w:r>
    </w:p>
    <w:p>
      <w:pPr>
        <w:keepNext/>
        <w:widowControl/>
      </w:pPr>
      <w:bookmarkStart w:id="244" w:name="latin-record-0003"/>
      <w:bookmarkEnd w:id="244"/>
      <w:r>
        <w:rPr>
          <w:b/>
          <w:i w:val="0"/>
        </w:rPr>
        <w:t>abire / discedere</w:t>
      </w:r>
      <w:r>
        <w:rPr>
          <w:b/>
          <w:i w:val="0"/>
        </w:rPr>
        <w:t>.</w:t>
      </w:r>
      <w:r>
        <w:rPr>
          <w:b w:val="0"/>
          <w:i w:val="0"/>
        </w:rPr>
        <w:t xml:space="preserve"> Printed forms: </w:t>
      </w:r>
      <w:r>
        <w:rPr>
          <w:b w:val="0"/>
          <w:i/>
        </w:rPr>
        <w:t>abeunte</w:t>
      </w:r>
      <w:r>
        <w:rPr>
          <w:b w:val="0"/>
          <w:i w:val="0"/>
        </w:rPr>
        <w:t xml:space="preserve">; </w:t>
      </w:r>
      <w:r>
        <w:rPr>
          <w:b w:val="0"/>
          <w:i/>
        </w:rPr>
        <w:t>abit</w:t>
      </w:r>
      <w:r>
        <w:rPr>
          <w:b w:val="0"/>
          <w:i w:val="0"/>
        </w:rPr>
        <w:t xml:space="preserve">; </w:t>
      </w:r>
      <w:r>
        <w:rPr>
          <w:b w:val="0"/>
          <w:i/>
        </w:rPr>
        <w:t>Abit</w:t>
      </w:r>
      <w:r>
        <w:rPr>
          <w:b w:val="0"/>
          <w:i w:val="0"/>
        </w:rPr>
        <w:t xml:space="preserve">; </w:t>
      </w:r>
      <w:r>
        <w:rPr>
          <w:b w:val="0"/>
          <w:i/>
        </w:rPr>
        <w:t>discedit</w:t>
      </w:r>
      <w:r>
        <w:rPr>
          <w:b w:val="0"/>
          <w:i w:val="0"/>
        </w:rPr>
        <w:t>.</w:t>
      </w:r>
    </w:p>
    <w:p>
      <w:pPr>
        <w:widowControl/>
      </w:pPr>
      <w:r>
        <w:rPr>
          <w:b w:val="0"/>
          <w:i w:val="0"/>
        </w:rPr>
        <w:t xml:space="preserve">To depart, leave or withdraw. A form leaving matter may perish, but soul’s departure from body is distinguished from loss of its own life. References: </w:t>
      </w:r>
      <w:hyperlink w:anchor="passage-v-8-2">
        <w:r>
          <w:rPr>
            <w:color w:val="000000"/>
          </w:rPr>
          <w:t xml:space="preserve">V.8.2</w:t>
        </w:r>
      </w:hyperlink>
      <w:r>
        <w:rPr>
          <w:b w:val="0"/>
          <w:i w:val="0"/>
        </w:rPr>
        <w:t xml:space="preserve">, </w:t>
      </w:r>
      <w:hyperlink w:anchor="passage-v-8-4">
        <w:r>
          <w:rPr>
            <w:color w:val="000000"/>
          </w:rPr>
          <w:t xml:space="preserve">V.8.4</w:t>
        </w:r>
      </w:hyperlink>
      <w:r>
        <w:rPr>
          <w:b w:val="0"/>
          <w:i w:val="0"/>
        </w:rPr>
        <w:t xml:space="preserve">, </w:t>
      </w:r>
      <w:hyperlink w:anchor="passage-v-14-1">
        <w:r>
          <w:rPr>
            <w:color w:val="000000"/>
          </w:rPr>
          <w:t xml:space="preserve">V.14.1</w:t>
        </w:r>
      </w:hyperlink>
      <w:r>
        <w:rPr>
          <w:b w:val="0"/>
          <w:i w:val="0"/>
        </w:rPr>
        <w:t xml:space="preserve">, </w:t>
      </w:r>
      <w:hyperlink w:anchor="passage-v-14-6">
        <w:r>
          <w:rPr>
            <w:color w:val="000000"/>
          </w:rPr>
          <w:t xml:space="preserve">V.14.6</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245" w:name="latin-record-0004"/>
      <w:bookmarkEnd w:id="245"/>
      <w:r>
        <w:rPr>
          <w:b/>
          <w:i w:val="0"/>
        </w:rPr>
        <w:t>abluere; abstergere; caro</w:t>
      </w:r>
      <w:r>
        <w:rPr>
          <w:b/>
          <w:i w:val="0"/>
        </w:rPr>
        <w:t>.</w:t>
      </w:r>
      <w:r>
        <w:rPr>
          <w:b w:val="0"/>
          <w:i w:val="0"/>
        </w:rPr>
        <w:t xml:space="preserve"> Printed forms: </w:t>
      </w:r>
      <w:r>
        <w:rPr>
          <w:b w:val="0"/>
          <w:i/>
        </w:rPr>
        <w:t>Ablue</w:t>
      </w:r>
      <w:r>
        <w:rPr>
          <w:b w:val="0"/>
          <w:i w:val="0"/>
        </w:rPr>
        <w:t xml:space="preserve">; </w:t>
      </w:r>
      <w:r>
        <w:rPr>
          <w:b w:val="0"/>
          <w:i/>
        </w:rPr>
        <w:t>absterge</w:t>
      </w:r>
      <w:r>
        <w:rPr>
          <w:b w:val="0"/>
          <w:i w:val="0"/>
        </w:rPr>
        <w:t xml:space="preserve">; </w:t>
      </w:r>
      <w:r>
        <w:rPr>
          <w:b w:val="0"/>
          <w:i/>
        </w:rPr>
        <w:t>carnes</w:t>
      </w:r>
      <w:r>
        <w:rPr>
          <w:b w:val="0"/>
          <w:i w:val="0"/>
        </w:rPr>
        <w:t xml:space="preserve">; </w:t>
      </w:r>
      <w:r>
        <w:rPr>
          <w:b w:val="0"/>
          <w:i/>
        </w:rPr>
        <w:t>Carneum</w:t>
      </w:r>
      <w:r>
        <w:rPr>
          <w:b w:val="0"/>
          <w:i w:val="0"/>
        </w:rPr>
        <w:t>.</w:t>
      </w:r>
    </w:p>
    <w:p>
      <w:pPr>
        <w:widowControl/>
      </w:pPr>
      <w:r>
        <w:rPr>
          <w:b w:val="0"/>
          <w:i w:val="0"/>
        </w:rPr>
        <w:t xml:space="preserve">To wash and wipe clean; flesh or fleshly. Removing the clods reveals the underlying body in the analogy for stripping away misleading psychic accretions. References: </w:t>
      </w:r>
      <w:hyperlink w:anchor="passage-vi-2-2">
        <w:r>
          <w:rPr>
            <w:color w:val="000000"/>
          </w:rPr>
          <w:t xml:space="preserve">VI.2.2</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246" w:name="latin-record-0005"/>
      <w:bookmarkEnd w:id="246"/>
      <w:r>
        <w:rPr>
          <w:b/>
          <w:i w:val="0"/>
        </w:rPr>
        <w:t>absolute</w:t>
      </w:r>
      <w:r>
        <w:rPr>
          <w:b/>
          <w:i w:val="0"/>
        </w:rPr>
        <w:t>.</w:t>
      </w:r>
      <w:r>
        <w:rPr>
          <w:b w:val="0"/>
          <w:i w:val="0"/>
        </w:rPr>
        <w:t xml:space="preserve"> Printed forms: </w:t>
      </w:r>
      <w:r>
        <w:rPr>
          <w:b w:val="0"/>
          <w:i/>
        </w:rPr>
        <w:t>absoluta</w:t>
      </w:r>
      <w:r>
        <w:rPr>
          <w:b w:val="0"/>
          <w:i w:val="0"/>
        </w:rPr>
        <w:t xml:space="preserve">; </w:t>
      </w:r>
      <w:r>
        <w:rPr>
          <w:b w:val="0"/>
          <w:i/>
        </w:rPr>
        <w:t>absolutam</w:t>
      </w:r>
      <w:r>
        <w:rPr>
          <w:b w:val="0"/>
          <w:i w:val="0"/>
        </w:rPr>
        <w:t xml:space="preserve">; </w:t>
      </w:r>
      <w:r>
        <w:rPr>
          <w:b w:val="0"/>
          <w:i/>
        </w:rPr>
        <w:t>absolutas</w:t>
      </w:r>
      <w:r>
        <w:rPr>
          <w:b w:val="0"/>
          <w:i w:val="0"/>
        </w:rPr>
        <w:t xml:space="preserve">; </w:t>
      </w:r>
      <w:r>
        <w:rPr>
          <w:b w:val="0"/>
          <w:i/>
        </w:rPr>
        <w:t>absolute</w:t>
      </w:r>
      <w:r>
        <w:rPr>
          <w:b w:val="0"/>
          <w:i w:val="0"/>
        </w:rPr>
        <w:t xml:space="preserve">; </w:t>
      </w:r>
      <w:r>
        <w:rPr>
          <w:b w:val="0"/>
          <w:i/>
        </w:rPr>
        <w:t>absolutis</w:t>
      </w:r>
      <w:r>
        <w:rPr>
          <w:b w:val="0"/>
          <w:i w:val="0"/>
        </w:rPr>
        <w:t xml:space="preserve">; </w:t>
      </w:r>
      <w:r>
        <w:rPr>
          <w:b w:val="0"/>
          <w:i/>
        </w:rPr>
        <w:t>absolutum</w:t>
      </w:r>
      <w:r>
        <w:rPr>
          <w:b w:val="0"/>
          <w:i w:val="0"/>
        </w:rPr>
        <w:t xml:space="preserve">; </w:t>
      </w:r>
      <w:r>
        <w:rPr>
          <w:b w:val="0"/>
          <w:i/>
        </w:rPr>
        <w:t>absolutus</w:t>
      </w:r>
      <w:r>
        <w:rPr>
          <w:b w:val="0"/>
          <w:i w:val="0"/>
        </w:rPr>
        <w:t>.</w:t>
      </w:r>
    </w:p>
    <w:p>
      <w:pPr>
        <w:widowControl/>
      </w:pPr>
      <w:r>
        <w:rPr>
          <w:b w:val="0"/>
          <w:i w:val="0"/>
        </w:rPr>
        <w:t xml:space="preserve">Without a specified restriction; sometimes free from matter or determinate modal qualification. Soul’s being without a bodily condition still depends on God; common absolute being is distinguished from a particular mode. References: </w:t>
      </w:r>
      <w:hyperlink w:anchor="passage-v-8-3">
        <w:r>
          <w:rPr>
            <w:color w:val="000000"/>
          </w:rPr>
          <w:t xml:space="preserve">V.8.3</w:t>
        </w:r>
      </w:hyperlink>
      <w:r>
        <w:rPr>
          <w:b w:val="0"/>
          <w:i w:val="0"/>
        </w:rPr>
        <w:t xml:space="preserve">, </w:t>
      </w:r>
      <w:hyperlink w:anchor="passage-v-9-3">
        <w:r>
          <w:rPr>
            <w:color w:val="000000"/>
          </w:rPr>
          <w:t xml:space="preserve">V.9.3</w:t>
        </w:r>
      </w:hyperlink>
      <w:r>
        <w:rPr>
          <w:b w:val="0"/>
          <w:i w:val="0"/>
        </w:rPr>
        <w:t xml:space="preserve">, </w:t>
      </w:r>
      <w:hyperlink w:anchor="passage-v-9-4">
        <w:r>
          <w:rPr>
            <w:color w:val="000000"/>
          </w:rPr>
          <w:t xml:space="preserve">V.9.4</w:t>
        </w:r>
      </w:hyperlink>
      <w:r>
        <w:rPr>
          <w:b w:val="0"/>
          <w:i w:val="0"/>
        </w:rPr>
        <w:t xml:space="preserve">, </w:t>
      </w:r>
      <w:hyperlink w:anchor="passage-v-10-1">
        <w:r>
          <w:rPr>
            <w:color w:val="000000"/>
          </w:rPr>
          <w:t xml:space="preserve">V.10.1</w:t>
        </w:r>
      </w:hyperlink>
      <w:r>
        <w:rPr>
          <w:b w:val="0"/>
          <w:i w:val="0"/>
        </w:rPr>
        <w:t xml:space="preserve">, </w:t>
      </w:r>
      <w:hyperlink w:anchor="passage-v-11-1">
        <w:r>
          <w:rPr>
            <w:color w:val="000000"/>
          </w:rPr>
          <w:t xml:space="preserve">V.11.1</w:t>
        </w:r>
      </w:hyperlink>
      <w:r>
        <w:rPr>
          <w:b w:val="0"/>
          <w:i w:val="0"/>
        </w:rPr>
        <w:t xml:space="preserve">, </w:t>
      </w:r>
      <w:hyperlink w:anchor="passage-v-12-14">
        <w:r>
          <w:rPr>
            <w:color w:val="000000"/>
          </w:rPr>
          <w:t xml:space="preserve">V.12.14</w:t>
        </w:r>
      </w:hyperlink>
      <w:r>
        <w:rPr>
          <w:b w:val="0"/>
          <w:i w:val="0"/>
        </w:rPr>
        <w:t xml:space="preserve">, </w:t>
      </w:r>
      <w:hyperlink w:anchor="passage-v-13-3">
        <w:r>
          <w:rPr>
            <w:color w:val="000000"/>
          </w:rPr>
          <w:t xml:space="preserve">V.13.3</w:t>
        </w:r>
      </w:hyperlink>
      <w:r>
        <w:rPr>
          <w:b w:val="0"/>
          <w:i w:val="0"/>
        </w:rPr>
        <w:t xml:space="preserve">, </w:t>
      </w:r>
      <w:hyperlink w:anchor="passage-v-13-4">
        <w:r>
          <w:rPr>
            <w:color w:val="000000"/>
          </w:rPr>
          <w:t xml:space="preserve">V.13.4</w:t>
        </w:r>
      </w:hyperlink>
      <w:r>
        <w:rPr>
          <w:b w:val="0"/>
          <w:i w:val="0"/>
        </w:rPr>
        <w:t xml:space="preserve">, </w:t>
      </w:r>
      <w:hyperlink w:anchor="passage-v-13-5">
        <w:r>
          <w:rPr>
            <w:color w:val="000000"/>
          </w:rPr>
          <w:t xml:space="preserve">V.13.5</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247" w:name="latin-record-0006"/>
      <w:bookmarkEnd w:id="247"/>
      <w:r>
        <w:rPr>
          <w:b/>
          <w:i w:val="0"/>
        </w:rPr>
        <w:t>absolutus</w:t>
      </w:r>
      <w:r>
        <w:rPr>
          <w:b/>
          <w:i w:val="0"/>
        </w:rPr>
        <w:t>.</w:t>
      </w:r>
      <w:r>
        <w:rPr>
          <w:b w:val="0"/>
          <w:i w:val="0"/>
        </w:rPr>
        <w:t xml:space="preserve"> Printed forms: </w:t>
      </w:r>
      <w:r>
        <w:rPr>
          <w:b w:val="0"/>
          <w:i/>
        </w:rPr>
        <w:t>absoluta</w:t>
      </w:r>
      <w:r>
        <w:rPr>
          <w:b w:val="0"/>
          <w:i w:val="0"/>
        </w:rPr>
        <w:t xml:space="preserve">; </w:t>
      </w:r>
      <w:r>
        <w:rPr>
          <w:b w:val="0"/>
          <w:i/>
        </w:rPr>
        <w:t>absolutam</w:t>
      </w:r>
      <w:r>
        <w:rPr>
          <w:b w:val="0"/>
          <w:i w:val="0"/>
        </w:rPr>
        <w:t xml:space="preserve">; </w:t>
      </w:r>
      <w:r>
        <w:rPr>
          <w:b w:val="0"/>
          <w:i/>
        </w:rPr>
        <w:t>absolutaque</w:t>
      </w:r>
      <w:r>
        <w:rPr>
          <w:b w:val="0"/>
          <w:i w:val="0"/>
        </w:rPr>
        <w:t xml:space="preserve">; </w:t>
      </w:r>
      <w:r>
        <w:rPr>
          <w:b w:val="0"/>
          <w:i/>
        </w:rPr>
        <w:t>absolutus</w:t>
      </w:r>
      <w:r>
        <w:rPr>
          <w:b w:val="0"/>
          <w:i w:val="0"/>
        </w:rPr>
        <w:t>.</w:t>
      </w:r>
    </w:p>
    <w:p>
      <w:pPr>
        <w:widowControl/>
      </w:pPr>
      <w:r>
        <w:rPr>
          <w:b w:val="0"/>
          <w:i w:val="0"/>
        </w:rPr>
        <w:t xml:space="preserve">Released or unrestricted relative to the conditions specified in a passage. The abstract intellect’s freedom from material conditions differs from God’s absolute infinity, so the adjective alone does not establish divine identity. References: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248" w:name="latin-record-0007"/>
      <w:bookmarkEnd w:id="248"/>
      <w:r>
        <w:rPr>
          <w:b/>
          <w:i w:val="0"/>
        </w:rPr>
        <w:t>absque materia / paries</w:t>
      </w:r>
      <w:r>
        <w:rPr>
          <w:b/>
          <w:i w:val="0"/>
        </w:rPr>
        <w:t>.</w:t>
      </w:r>
      <w:r>
        <w:rPr>
          <w:b w:val="0"/>
          <w:i w:val="0"/>
        </w:rPr>
        <w:t xml:space="preserve"> Printed forms: </w:t>
      </w:r>
      <w:r>
        <w:rPr>
          <w:b w:val="0"/>
          <w:i/>
        </w:rPr>
        <w:t>absque rerum ipsarum materia</w:t>
      </w:r>
      <w:r>
        <w:rPr>
          <w:b w:val="0"/>
          <w:i w:val="0"/>
        </w:rPr>
        <w:t xml:space="preserve">; </w:t>
      </w:r>
      <w:r>
        <w:rPr>
          <w:b w:val="0"/>
          <w:i/>
        </w:rPr>
        <w:t>pariete</w:t>
      </w:r>
      <w:r>
        <w:rPr>
          <w:b w:val="0"/>
          <w:i w:val="0"/>
        </w:rPr>
        <w:t xml:space="preserve">; </w:t>
      </w:r>
      <w:r>
        <w:rPr>
          <w:b w:val="0"/>
          <w:i/>
        </w:rPr>
        <w:t>parietis</w:t>
      </w:r>
      <w:r>
        <w:rPr>
          <w:b w:val="0"/>
          <w:i w:val="0"/>
        </w:rPr>
        <w:t>.</w:t>
      </w:r>
    </w:p>
    <w:p>
      <w:pPr>
        <w:widowControl/>
      </w:pPr>
      <w:r>
        <w:rPr>
          <w:b w:val="0"/>
          <w:i w:val="0"/>
        </w:rPr>
        <w:t xml:space="preserve">Reception without the objects’ own matter, illustrated by a wall. Sight receives the wall’s color-image without receiving the wall itself, distinguishing cognition from bodily incorporation. References: </w:t>
      </w:r>
      <w:hyperlink w:anchor="passage-vii-13-1">
        <w:r>
          <w:rPr>
            <w:color w:val="000000"/>
          </w:rPr>
          <w:t xml:space="preserve">VII.13.1</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249" w:name="latin-record-0008"/>
      <w:bookmarkEnd w:id="249"/>
      <w:r>
        <w:rPr>
          <w:b/>
          <w:i w:val="0"/>
        </w:rPr>
        <w:t>abstractio / abstrahere</w:t>
      </w:r>
      <w:r>
        <w:rPr>
          <w:b/>
          <w:i w:val="0"/>
        </w:rPr>
        <w:t>.</w:t>
      </w:r>
      <w:r>
        <w:rPr>
          <w:b w:val="0"/>
          <w:i w:val="0"/>
        </w:rPr>
        <w:t xml:space="preserve"> Printed forms: </w:t>
      </w:r>
      <w:r>
        <w:rPr>
          <w:b w:val="0"/>
          <w:i/>
        </w:rPr>
        <w:t>abstractione</w:t>
      </w:r>
      <w:r>
        <w:rPr>
          <w:b w:val="0"/>
          <w:i w:val="0"/>
        </w:rPr>
        <w:t xml:space="preserve">; </w:t>
      </w:r>
      <w:r>
        <w:rPr>
          <w:b w:val="0"/>
          <w:i/>
        </w:rPr>
        <w:t>abstrahit</w:t>
      </w:r>
      <w:r>
        <w:rPr>
          <w:b w:val="0"/>
          <w:i w:val="0"/>
        </w:rPr>
        <w:t>.</w:t>
      </w:r>
    </w:p>
    <w:p>
      <w:pPr>
        <w:widowControl/>
      </w:pPr>
      <w:r>
        <w:rPr>
          <w:b w:val="0"/>
          <w:i w:val="0"/>
        </w:rPr>
        <w:t xml:space="preserve">Release of intelligible content from singular material restrictions. The abstract form first represents universal nature, and intellect actively abstracts rather than merely undergoing a bodily impression. References: </w:t>
      </w:r>
      <w:hyperlink w:anchor="passage-viii-1-5">
        <w:r>
          <w:rPr>
            <w:color w:val="000000"/>
          </w:rPr>
          <w:t xml:space="preserve">VIII.1.5</w:t>
        </w:r>
      </w:hyperlink>
      <w:r>
        <w:rPr>
          <w:b w:val="0"/>
          <w:i w:val="0"/>
        </w:rPr>
        <w:t xml:space="preserve">, </w:t>
      </w:r>
      <w:hyperlink w:anchor="passage-viii-10-2">
        <w:r>
          <w:rPr>
            <w:color w:val="000000"/>
          </w:rPr>
          <w:t xml:space="preserve">VIII.10.2</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250" w:name="latin-record-0009"/>
      <w:bookmarkEnd w:id="250"/>
      <w:r>
        <w:rPr>
          <w:b/>
          <w:i w:val="0"/>
        </w:rPr>
        <w:t>absurdus / repugnare</w:t>
      </w:r>
      <w:r>
        <w:rPr>
          <w:b/>
          <w:i w:val="0"/>
        </w:rPr>
        <w:t>.</w:t>
      </w:r>
      <w:r>
        <w:rPr>
          <w:b w:val="0"/>
          <w:i w:val="0"/>
        </w:rPr>
        <w:t xml:space="preserve"> Printed forms: </w:t>
      </w:r>
      <w:r>
        <w:rPr>
          <w:b w:val="0"/>
          <w:i/>
        </w:rPr>
        <w:t>absurdissimum</w:t>
      </w:r>
      <w:r>
        <w:rPr>
          <w:b w:val="0"/>
          <w:i w:val="0"/>
        </w:rPr>
        <w:t xml:space="preserve">; </w:t>
      </w:r>
      <w:r>
        <w:rPr>
          <w:b w:val="0"/>
          <w:i/>
        </w:rPr>
        <w:t>absurdius</w:t>
      </w:r>
      <w:r>
        <w:rPr>
          <w:b w:val="0"/>
          <w:i w:val="0"/>
        </w:rPr>
        <w:t xml:space="preserve">; </w:t>
      </w:r>
      <w:r>
        <w:rPr>
          <w:b w:val="0"/>
          <w:i/>
        </w:rPr>
        <w:t>absurdum</w:t>
      </w:r>
      <w:r>
        <w:rPr>
          <w:b w:val="0"/>
          <w:i w:val="0"/>
        </w:rPr>
        <w:t xml:space="preserve">; </w:t>
      </w:r>
      <w:r>
        <w:rPr>
          <w:b w:val="0"/>
          <w:i/>
        </w:rPr>
        <w:t>repugnans</w:t>
      </w:r>
      <w:r>
        <w:rPr>
          <w:b w:val="0"/>
          <w:i w:val="0"/>
        </w:rPr>
        <w:t xml:space="preserve">; </w:t>
      </w:r>
      <w:r>
        <w:rPr>
          <w:b w:val="0"/>
          <w:i/>
        </w:rPr>
        <w:t>repugnantia</w:t>
      </w:r>
      <w:r>
        <w:rPr>
          <w:b w:val="0"/>
          <w:i w:val="0"/>
        </w:rPr>
        <w:t xml:space="preserve">; </w:t>
      </w:r>
      <w:r>
        <w:rPr>
          <w:b w:val="0"/>
          <w:i/>
        </w:rPr>
        <w:t>repugnat</w:t>
      </w:r>
      <w:r>
        <w:rPr>
          <w:b w:val="0"/>
          <w:i w:val="0"/>
        </w:rPr>
        <w:t>.</w:t>
      </w:r>
    </w:p>
    <w:p>
      <w:pPr>
        <w:widowControl/>
      </w:pPr>
      <w:r>
        <w:rPr>
          <w:b w:val="0"/>
          <w:i w:val="0"/>
        </w:rPr>
        <w:t xml:space="preserve">Absurd or incompatible, a verdict supported locally by a contradiction or failed causal condition. The repeated objections test whether a hypothesis can preserve the nature it describes; the label is Ficino’s argumentative assessment. References: </w:t>
      </w:r>
      <w:hyperlink w:anchor="passage-v-4-9">
        <w:r>
          <w:rPr>
            <w:color w:val="000000"/>
          </w:rPr>
          <w:t xml:space="preserve">V.4.9</w:t>
        </w:r>
      </w:hyperlink>
      <w:r>
        <w:rPr>
          <w:b w:val="0"/>
          <w:i w:val="0"/>
        </w:rPr>
        <w:t xml:space="preserve">, </w:t>
      </w:r>
      <w:hyperlink w:anchor="passage-v-8-4">
        <w:r>
          <w:rPr>
            <w:color w:val="000000"/>
          </w:rPr>
          <w:t xml:space="preserve">V.8.4</w:t>
        </w:r>
      </w:hyperlink>
      <w:r>
        <w:rPr>
          <w:b w:val="0"/>
          <w:i w:val="0"/>
        </w:rPr>
        <w:t xml:space="preserve">, </w:t>
      </w:r>
      <w:hyperlink w:anchor="passage-v-9-3">
        <w:r>
          <w:rPr>
            <w:color w:val="000000"/>
          </w:rPr>
          <w:t xml:space="preserve">V.9.3</w:t>
        </w:r>
      </w:hyperlink>
      <w:r>
        <w:rPr>
          <w:b w:val="0"/>
          <w:i w:val="0"/>
        </w:rPr>
        <w:t xml:space="preserve">, </w:t>
      </w:r>
      <w:hyperlink w:anchor="passage-v-12-2">
        <w:r>
          <w:rPr>
            <w:color w:val="000000"/>
          </w:rPr>
          <w:t xml:space="preserve">V.12.2</w:t>
        </w:r>
      </w:hyperlink>
      <w:r>
        <w:rPr>
          <w:b w:val="0"/>
          <w:i w:val="0"/>
        </w:rPr>
        <w:t xml:space="preserve">, </w:t>
      </w:r>
      <w:hyperlink w:anchor="passage-v-12-13">
        <w:r>
          <w:rPr>
            <w:color w:val="000000"/>
          </w:rPr>
          <w:t xml:space="preserve">V.12.13</w:t>
        </w:r>
      </w:hyperlink>
      <w:r>
        <w:rPr>
          <w:b w:val="0"/>
          <w:i w:val="0"/>
        </w:rPr>
        <w:t xml:space="preserve">, </w:t>
      </w:r>
      <w:hyperlink w:anchor="passage-v-13-15">
        <w:r>
          <w:rPr>
            <w:color w:val="000000"/>
          </w:rPr>
          <w:t xml:space="preserve">V.13.15</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251" w:name="latin-record-0010"/>
      <w:bookmarkEnd w:id="251"/>
      <w:r>
        <w:rPr>
          <w:b/>
          <w:i w:val="0"/>
        </w:rPr>
        <w:t>accedere; discedere</w:t>
      </w:r>
      <w:r>
        <w:rPr>
          <w:b/>
          <w:i w:val="0"/>
        </w:rPr>
        <w:t>.</w:t>
      </w:r>
      <w:r>
        <w:rPr>
          <w:b w:val="0"/>
          <w:i w:val="0"/>
        </w:rPr>
        <w:t xml:space="preserve"> Printed forms: </w:t>
      </w:r>
      <w:r>
        <w:rPr>
          <w:b w:val="0"/>
          <w:i/>
        </w:rPr>
        <w:t>accedente</w:t>
      </w:r>
      <w:r>
        <w:rPr>
          <w:b w:val="0"/>
          <w:i w:val="0"/>
        </w:rPr>
        <w:t xml:space="preserve">; </w:t>
      </w:r>
      <w:r>
        <w:rPr>
          <w:b w:val="0"/>
          <w:i/>
        </w:rPr>
        <w:t>accessum</w:t>
      </w:r>
      <w:r>
        <w:rPr>
          <w:b w:val="0"/>
          <w:i w:val="0"/>
        </w:rPr>
        <w:t xml:space="preserve">; </w:t>
      </w:r>
      <w:r>
        <w:rPr>
          <w:b w:val="0"/>
          <w:i/>
        </w:rPr>
        <w:t>discessum</w:t>
      </w:r>
      <w:r>
        <w:rPr>
          <w:b w:val="0"/>
          <w:i w:val="0"/>
        </w:rPr>
        <w:t>.</w:t>
      </w:r>
    </w:p>
    <w:p>
      <w:pPr>
        <w:widowControl/>
      </w:pPr>
      <w:r>
        <w:rPr>
          <w:b w:val="0"/>
          <w:i w:val="0"/>
        </w:rPr>
        <w:t xml:space="preserve">To arrive or depart. Characteristic bodily operations occur with soul’s presence and cease upon departure, identifying it as their principle. References: </w:t>
      </w:r>
      <w:hyperlink w:anchor="passage-vi-4-6">
        <w:r>
          <w:rPr>
            <w:color w:val="000000"/>
          </w:rPr>
          <w:t xml:space="preserve">VI.4.6</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252" w:name="latin-record-0011"/>
      <w:bookmarkEnd w:id="252"/>
      <w:r>
        <w:rPr>
          <w:b/>
          <w:i w:val="0"/>
        </w:rPr>
        <w:t>accendere / effulgere</w:t>
      </w:r>
      <w:r>
        <w:rPr>
          <w:b/>
          <w:i w:val="0"/>
        </w:rPr>
        <w:t>.</w:t>
      </w:r>
      <w:r>
        <w:rPr>
          <w:b w:val="0"/>
          <w:i w:val="0"/>
        </w:rPr>
        <w:t xml:space="preserve"> Printed forms: </w:t>
      </w:r>
      <w:r>
        <w:rPr>
          <w:b w:val="0"/>
          <w:i/>
        </w:rPr>
        <w:t>accendere</w:t>
      </w:r>
      <w:r>
        <w:rPr>
          <w:b w:val="0"/>
          <w:i w:val="0"/>
        </w:rPr>
        <w:t xml:space="preserve">; </w:t>
      </w:r>
      <w:r>
        <w:rPr>
          <w:b w:val="0"/>
          <w:i/>
        </w:rPr>
        <w:t>accensus</w:t>
      </w:r>
      <w:r>
        <w:rPr>
          <w:b w:val="0"/>
          <w:i w:val="0"/>
        </w:rPr>
        <w:t xml:space="preserve">; </w:t>
      </w:r>
      <w:r>
        <w:rPr>
          <w:b w:val="0"/>
          <w:i/>
        </w:rPr>
        <w:t>effulgeat</w:t>
      </w:r>
      <w:r>
        <w:rPr>
          <w:b w:val="0"/>
          <w:i w:val="0"/>
        </w:rPr>
        <w:t>.</w:t>
      </w:r>
    </w:p>
    <w:p>
      <w:pPr>
        <w:widowControl/>
      </w:pPr>
      <w:r>
        <w:rPr>
          <w:b w:val="0"/>
          <w:i w:val="0"/>
        </w:rPr>
        <w:t xml:space="preserve">To kindle and to shine forth. A fiery vapor belongs to Ficino’s comet account, while actual shining distinguishes an existing comet from its definition. References: </w:t>
      </w:r>
      <w:hyperlink w:anchor="passage-v-7-1">
        <w:r>
          <w:rPr>
            <w:color w:val="000000"/>
          </w:rPr>
          <w:t xml:space="preserve">V.7.1</w:t>
        </w:r>
      </w:hyperlink>
      <w:r>
        <w:rPr>
          <w:b w:val="0"/>
          <w:i w:val="0"/>
        </w:rPr>
        <w:t xml:space="preserve">, </w:t>
      </w:r>
      <w:hyperlink w:anchor="passage-v-13-5">
        <w:r>
          <w:rPr>
            <w:color w:val="000000"/>
          </w:rPr>
          <w:t xml:space="preserve">V.13.5</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253" w:name="latin-record-0012"/>
      <w:bookmarkEnd w:id="253"/>
      <w:r>
        <w:rPr>
          <w:b/>
          <w:i w:val="0"/>
        </w:rPr>
        <w:t>accidens</w:t>
      </w:r>
      <w:r>
        <w:rPr>
          <w:b/>
          <w:i w:val="0"/>
        </w:rPr>
        <w:t>.</w:t>
      </w:r>
      <w:r>
        <w:rPr>
          <w:b w:val="0"/>
          <w:i w:val="0"/>
        </w:rPr>
        <w:t xml:space="preserve"> Printed forms: </w:t>
      </w:r>
      <w:r>
        <w:rPr>
          <w:b w:val="0"/>
          <w:i/>
        </w:rPr>
        <w:t>accidens</w:t>
      </w:r>
      <w:r>
        <w:rPr>
          <w:b w:val="0"/>
          <w:i w:val="0"/>
        </w:rPr>
        <w:t xml:space="preserve">; </w:t>
      </w:r>
      <w:r>
        <w:rPr>
          <w:b w:val="0"/>
          <w:i/>
        </w:rPr>
        <w:t>accidens quoddam compositum</w:t>
      </w:r>
      <w:r>
        <w:rPr>
          <w:b w:val="0"/>
          <w:i w:val="0"/>
        </w:rPr>
        <w:t xml:space="preserve">; </w:t>
      </w:r>
      <w:r>
        <w:rPr>
          <w:b w:val="0"/>
          <w:i/>
        </w:rPr>
        <w:t>accidentibus</w:t>
      </w:r>
      <w:r>
        <w:rPr>
          <w:b w:val="0"/>
          <w:i w:val="0"/>
        </w:rPr>
        <w:t xml:space="preserve">; </w:t>
      </w:r>
      <w:r>
        <w:rPr>
          <w:b w:val="0"/>
          <w:i/>
        </w:rPr>
        <w:t>accidentis</w:t>
      </w:r>
      <w:r>
        <w:rPr>
          <w:b w:val="0"/>
          <w:i w:val="0"/>
        </w:rPr>
        <w:t>.</w:t>
      </w:r>
    </w:p>
    <w:p>
      <w:pPr>
        <w:widowControl/>
      </w:pPr>
      <w:r>
        <w:rPr>
          <w:b w:val="0"/>
          <w:i w:val="0"/>
        </w:rPr>
        <w:t xml:space="preserve">An accident or dependent feature distinct from substance. Operative power is a quality/accident; bodily harmony is likewise a composite accident and is challenged as an account of rational soul. References: </w:t>
      </w:r>
      <w:hyperlink w:anchor="passage-v-13-13">
        <w:r>
          <w:rPr>
            <w:color w:val="000000"/>
          </w:rPr>
          <w:t xml:space="preserve">V.13.13</w:t>
        </w:r>
      </w:hyperlink>
      <w:r>
        <w:rPr>
          <w:b w:val="0"/>
          <w:i w:val="0"/>
        </w:rPr>
        <w:t xml:space="preserve">, </w:t>
      </w:r>
      <w:hyperlink w:anchor="passage-v-15-10">
        <w:r>
          <w:rPr>
            <w:color w:val="000000"/>
          </w:rPr>
          <w:t xml:space="preserve">V.15.10</w:t>
        </w:r>
      </w:hyperlink>
      <w:r>
        <w:rPr>
          <w:b w:val="0"/>
          <w:i w:val="0"/>
        </w:rPr>
        <w:t xml:space="preserve">. See </w:t>
      </w:r>
      <w:hyperlink w:anchor="creature-power-and-operation">
        <w:r>
          <w:rPr>
            <w:color w:val="000000"/>
          </w:rPr>
          <w:t xml:space="preserve">Creature, power and operation</w:t>
        </w:r>
      </w:hyperlink>
      <w:r>
        <w:rPr>
          <w:b w:val="0"/>
          <w:i w:val="0"/>
        </w:rPr>
        <w:t>.</w:t>
      </w:r>
    </w:p>
    <w:p>
      <w:pPr>
        <w:widowControl/>
      </w:pPr>
      <w:r>
        <w:rPr>
          <w:b w:val="0"/>
          <w:i w:val="0"/>
        </w:rPr>
        <w:t xml:space="preserve">An accidental determination inhering in a subject rather than constituting its essential account. A proper subject of an accident must actually exist, and extraneous accidents restrict form in matter; the word does not mean a chance mishap in these passages. References: </w:t>
      </w:r>
      <w:hyperlink w:anchor="passage-viii-4-2">
        <w:r>
          <w:rPr>
            <w:color w:val="000000"/>
          </w:rPr>
          <w:t xml:space="preserve">VIII.4.2</w:t>
        </w:r>
      </w:hyperlink>
      <w:r>
        <w:rPr>
          <w:b w:val="0"/>
          <w:i w:val="0"/>
        </w:rPr>
        <w:t xml:space="preserve">, </w:t>
      </w:r>
      <w:hyperlink w:anchor="passage-viii-13-1">
        <w:r>
          <w:rPr>
            <w:color w:val="000000"/>
          </w:rPr>
          <w:t xml:space="preserve">VIII.13.1</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254" w:name="latin-record-0013"/>
      <w:bookmarkEnd w:id="254"/>
      <w:r>
        <w:rPr>
          <w:b/>
          <w:i w:val="0"/>
        </w:rPr>
        <w:t>accidens adveniens</w:t>
      </w:r>
      <w:r>
        <w:rPr>
          <w:b/>
          <w:i w:val="0"/>
        </w:rPr>
        <w:t>.</w:t>
      </w:r>
      <w:r>
        <w:rPr>
          <w:b w:val="0"/>
          <w:i w:val="0"/>
        </w:rPr>
        <w:t xml:space="preserve"> Printed forms: </w:t>
      </w:r>
      <w:r>
        <w:rPr>
          <w:b w:val="0"/>
          <w:i/>
        </w:rPr>
        <w:t>accidens</w:t>
      </w:r>
      <w:r>
        <w:rPr>
          <w:b w:val="0"/>
          <w:i w:val="0"/>
        </w:rPr>
        <w:t xml:space="preserve">; </w:t>
      </w:r>
      <w:r>
        <w:rPr>
          <w:b w:val="0"/>
          <w:i/>
        </w:rPr>
        <w:t>adveniat</w:t>
      </w:r>
      <w:r>
        <w:rPr>
          <w:b w:val="0"/>
          <w:i w:val="0"/>
        </w:rPr>
        <w:t xml:space="preserve">; </w:t>
      </w:r>
      <w:r>
        <w:rPr>
          <w:b w:val="0"/>
          <w:i/>
        </w:rPr>
        <w:t>advenit</w:t>
      </w:r>
      <w:r>
        <w:rPr>
          <w:b w:val="0"/>
          <w:i w:val="0"/>
        </w:rPr>
        <w:t>.</w:t>
      </w:r>
    </w:p>
    <w:p>
      <w:pPr>
        <w:widowControl/>
      </w:pPr>
      <w:r>
        <w:rPr>
          <w:b w:val="0"/>
          <w:i w:val="0"/>
        </w:rPr>
        <w:t xml:space="preserve">An accident arriving in a subject already complete in its kind. Ficino denies that a sensitive soul arrives this way after a merely nutritive soul has made its organs.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255" w:name="latin-record-0014"/>
      <w:bookmarkEnd w:id="255"/>
      <w:r>
        <w:rPr>
          <w:b/>
          <w:i w:val="0"/>
        </w:rPr>
        <w:t>accidere</w:t>
      </w:r>
      <w:r>
        <w:rPr>
          <w:b/>
          <w:i w:val="0"/>
        </w:rPr>
        <w:t>.</w:t>
      </w:r>
      <w:r>
        <w:rPr>
          <w:b w:val="0"/>
          <w:i w:val="0"/>
        </w:rPr>
        <w:t xml:space="preserve"> Printed forms: </w:t>
      </w:r>
      <w:r>
        <w:rPr>
          <w:b w:val="0"/>
          <w:i/>
        </w:rPr>
        <w:t>accidat</w:t>
      </w:r>
      <w:r>
        <w:rPr>
          <w:b w:val="0"/>
          <w:i w:val="0"/>
        </w:rPr>
        <w:t xml:space="preserve">; </w:t>
      </w:r>
      <w:r>
        <w:rPr>
          <w:b w:val="0"/>
          <w:i/>
        </w:rPr>
        <w:t>accidere</w:t>
      </w:r>
      <w:r>
        <w:rPr>
          <w:b w:val="0"/>
          <w:i w:val="0"/>
        </w:rPr>
        <w:t xml:space="preserve">; </w:t>
      </w:r>
      <w:r>
        <w:rPr>
          <w:b w:val="0"/>
          <w:i/>
        </w:rPr>
        <w:t>accidit</w:t>
      </w:r>
      <w:r>
        <w:rPr>
          <w:b w:val="0"/>
          <w:i w:val="0"/>
        </w:rPr>
        <w:t>.</w:t>
      </w:r>
    </w:p>
    <w:p>
      <w:pPr>
        <w:widowControl/>
      </w:pPr>
      <w:r>
        <w:rPr>
          <w:b w:val="0"/>
          <w:i w:val="0"/>
        </w:rPr>
        <w:t xml:space="preserve">To happen or follow as a consequence, without necessarily meaning a technical accident. The possible dissolution after a broken bond is a consequence considered and rejected for soul. References: </w:t>
      </w:r>
      <w:hyperlink w:anchor="passage-v-9-4">
        <w:r>
          <w:rPr>
            <w:color w:val="000000"/>
          </w:rPr>
          <w:t xml:space="preserve">V.9.4</w:t>
        </w:r>
      </w:hyperlink>
      <w:r>
        <w:rPr>
          <w:b w:val="0"/>
          <w:i w:val="0"/>
        </w:rPr>
        <w:t xml:space="preserve">, </w:t>
      </w:r>
      <w:hyperlink w:anchor="passage-v-12-2">
        <w:r>
          <w:rPr>
            <w:color w:val="000000"/>
          </w:rPr>
          <w:t xml:space="preserve">V.12.2</w:t>
        </w:r>
      </w:hyperlink>
      <w:r>
        <w:rPr>
          <w:b w:val="0"/>
          <w:i w:val="0"/>
        </w:rPr>
        <w:t xml:space="preserve">, </w:t>
      </w:r>
      <w:hyperlink w:anchor="passage-v-15-9">
        <w:r>
          <w:rPr>
            <w:color w:val="000000"/>
          </w:rPr>
          <w:t xml:space="preserve">V.15.9</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256" w:name="latin-record-0015"/>
      <w:bookmarkEnd w:id="256"/>
      <w:r>
        <w:rPr>
          <w:b/>
          <w:i w:val="0"/>
        </w:rPr>
        <w:t>accipere</w:t>
      </w:r>
      <w:r>
        <w:rPr>
          <w:b/>
          <w:i w:val="0"/>
        </w:rPr>
        <w:t>.</w:t>
      </w:r>
      <w:r>
        <w:rPr>
          <w:b w:val="0"/>
          <w:i w:val="0"/>
        </w:rPr>
        <w:t xml:space="preserve"> Printed forms: </w:t>
      </w:r>
      <w:r>
        <w:rPr>
          <w:b w:val="0"/>
          <w:i/>
        </w:rPr>
        <w:t>accepta</w:t>
      </w:r>
      <w:r>
        <w:rPr>
          <w:b w:val="0"/>
          <w:i w:val="0"/>
        </w:rPr>
        <w:t xml:space="preserve">; </w:t>
      </w:r>
      <w:r>
        <w:rPr>
          <w:b w:val="0"/>
          <w:i/>
        </w:rPr>
        <w:t>accipere</w:t>
      </w:r>
      <w:r>
        <w:rPr>
          <w:b w:val="0"/>
          <w:i w:val="0"/>
        </w:rPr>
        <w:t xml:space="preserve">; </w:t>
      </w:r>
      <w:r>
        <w:rPr>
          <w:b w:val="0"/>
          <w:i/>
        </w:rPr>
        <w:t>accipit</w:t>
      </w:r>
      <w:r>
        <w:rPr>
          <w:b w:val="0"/>
          <w:i w:val="0"/>
        </w:rPr>
        <w:t>.</w:t>
      </w:r>
    </w:p>
    <w:p>
      <w:pPr>
        <w:widowControl/>
      </w:pPr>
      <w:r>
        <w:rPr>
          <w:b w:val="0"/>
          <w:i w:val="0"/>
        </w:rPr>
        <w:t xml:space="preserve">To take in or receive a figure, image or content. The successive-impression argument contrasts reception of new content with loss or confusion of the old. References: </w:t>
      </w:r>
      <w:hyperlink w:anchor="passage-vii-1-1">
        <w:r>
          <w:rPr>
            <w:color w:val="000000"/>
          </w:rPr>
          <w:t xml:space="preserve">VII.1.1</w:t>
        </w:r>
      </w:hyperlink>
      <w:r>
        <w:rPr>
          <w:b w:val="0"/>
          <w:i w:val="0"/>
        </w:rPr>
        <w:t xml:space="preserve">, </w:t>
      </w:r>
      <w:hyperlink w:anchor="passage-vii-1-2">
        <w:r>
          <w:rPr>
            <w:color w:val="000000"/>
          </w:rPr>
          <w:t xml:space="preserve">VII.1.2</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257" w:name="latin-record-0016"/>
      <w:bookmarkEnd w:id="257"/>
      <w:r>
        <w:rPr>
          <w:b/>
          <w:i w:val="0"/>
        </w:rPr>
        <w:t>accipere / concipere</w:t>
      </w:r>
      <w:r>
        <w:rPr>
          <w:b/>
          <w:i w:val="0"/>
        </w:rPr>
        <w:t>.</w:t>
      </w:r>
      <w:r>
        <w:rPr>
          <w:b w:val="0"/>
          <w:i w:val="0"/>
        </w:rPr>
        <w:t xml:space="preserve"> Printed forms: </w:t>
      </w:r>
      <w:r>
        <w:rPr>
          <w:b w:val="0"/>
          <w:i/>
        </w:rPr>
        <w:t>accipiat</w:t>
      </w:r>
      <w:r>
        <w:rPr>
          <w:b w:val="0"/>
          <w:i w:val="0"/>
        </w:rPr>
        <w:t xml:space="preserve">; </w:t>
      </w:r>
      <w:r>
        <w:rPr>
          <w:b w:val="0"/>
          <w:i/>
        </w:rPr>
        <w:t>accipiet</w:t>
      </w:r>
      <w:r>
        <w:rPr>
          <w:b w:val="0"/>
          <w:i w:val="0"/>
        </w:rPr>
        <w:t xml:space="preserve">; </w:t>
      </w:r>
      <w:r>
        <w:rPr>
          <w:b w:val="0"/>
          <w:i/>
        </w:rPr>
        <w:t>concipiat</w:t>
      </w:r>
      <w:r>
        <w:rPr>
          <w:b w:val="0"/>
          <w:i w:val="0"/>
        </w:rPr>
        <w:t xml:space="preserve">; </w:t>
      </w:r>
      <w:r>
        <w:rPr>
          <w:b w:val="0"/>
          <w:i/>
        </w:rPr>
        <w:t>concipiet</w:t>
      </w:r>
      <w:r>
        <w:rPr>
          <w:b w:val="0"/>
          <w:i w:val="0"/>
        </w:rPr>
        <w:t>.</w:t>
      </w:r>
    </w:p>
    <w:p>
      <w:pPr>
        <w:widowControl/>
      </w:pPr>
      <w:r>
        <w:rPr>
          <w:b w:val="0"/>
          <w:i w:val="0"/>
        </w:rPr>
        <w:t xml:space="preserve">Receiving a presented form and conceiving an account from it. Ficino requires both stages for completed understanding and uses their distinction against a body fixed to one natural species. References: </w:t>
      </w:r>
      <w:hyperlink w:anchor="passage-viii-10-1">
        <w:r>
          <w:rPr>
            <w:color w:val="000000"/>
          </w:rPr>
          <w:t xml:space="preserve">VIII.10.1</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258" w:name="latin-record-0017"/>
      <w:bookmarkEnd w:id="258"/>
      <w:r>
        <w:rPr>
          <w:b/>
          <w:i w:val="0"/>
        </w:rPr>
        <w:t>accipere / suscipere</w:t>
      </w:r>
      <w:r>
        <w:rPr>
          <w:b/>
          <w:i w:val="0"/>
        </w:rPr>
        <w:t>.</w:t>
      </w:r>
      <w:r>
        <w:rPr>
          <w:b w:val="0"/>
          <w:i w:val="0"/>
        </w:rPr>
        <w:t xml:space="preserve"> Printed forms: </w:t>
      </w:r>
      <w:r>
        <w:rPr>
          <w:b w:val="0"/>
          <w:i/>
        </w:rPr>
        <w:t>accepta</w:t>
      </w:r>
      <w:r>
        <w:rPr>
          <w:b w:val="0"/>
          <w:i w:val="0"/>
        </w:rPr>
        <w:t xml:space="preserve">; </w:t>
      </w:r>
      <w:r>
        <w:rPr>
          <w:b w:val="0"/>
          <w:i/>
        </w:rPr>
        <w:t>acceptas</w:t>
      </w:r>
      <w:r>
        <w:rPr>
          <w:b w:val="0"/>
          <w:i w:val="0"/>
        </w:rPr>
        <w:t xml:space="preserve">; </w:t>
      </w:r>
      <w:r>
        <w:rPr>
          <w:b w:val="0"/>
          <w:i/>
        </w:rPr>
        <w:t>acceptis</w:t>
      </w:r>
      <w:r>
        <w:rPr>
          <w:b w:val="0"/>
          <w:i w:val="0"/>
        </w:rPr>
        <w:t xml:space="preserve">; </w:t>
      </w:r>
      <w:r>
        <w:rPr>
          <w:b w:val="0"/>
          <w:i/>
        </w:rPr>
        <w:t>accipiendo</w:t>
      </w:r>
      <w:r>
        <w:rPr>
          <w:b w:val="0"/>
          <w:i w:val="0"/>
        </w:rPr>
        <w:t xml:space="preserve">; </w:t>
      </w:r>
      <w:r>
        <w:rPr>
          <w:b w:val="0"/>
          <w:i/>
        </w:rPr>
        <w:t>Accipit</w:t>
      </w:r>
      <w:r>
        <w:rPr>
          <w:b w:val="0"/>
          <w:i w:val="0"/>
        </w:rPr>
        <w:t xml:space="preserve">; </w:t>
      </w:r>
      <w:r>
        <w:rPr>
          <w:b w:val="0"/>
          <w:i/>
        </w:rPr>
        <w:t>accipit</w:t>
      </w:r>
      <w:r>
        <w:rPr>
          <w:b w:val="0"/>
          <w:i w:val="0"/>
        </w:rPr>
        <w:t xml:space="preserve">; </w:t>
      </w:r>
      <w:r>
        <w:rPr>
          <w:b w:val="0"/>
          <w:i/>
        </w:rPr>
        <w:t>suscipi</w:t>
      </w:r>
      <w:r>
        <w:rPr>
          <w:b w:val="0"/>
          <w:i w:val="0"/>
        </w:rPr>
        <w:t xml:space="preserve">; </w:t>
      </w:r>
      <w:r>
        <w:rPr>
          <w:b w:val="0"/>
          <w:i/>
        </w:rPr>
        <w:t>suscipiat</w:t>
      </w:r>
      <w:r>
        <w:rPr>
          <w:b w:val="0"/>
          <w:i w:val="0"/>
        </w:rPr>
        <w:t xml:space="preserve">; </w:t>
      </w:r>
      <w:r>
        <w:rPr>
          <w:b w:val="0"/>
          <w:i/>
        </w:rPr>
        <w:t>suscipiendis</w:t>
      </w:r>
      <w:r>
        <w:rPr>
          <w:b w:val="0"/>
          <w:i w:val="0"/>
        </w:rPr>
        <w:t xml:space="preserve">; </w:t>
      </w:r>
      <w:r>
        <w:rPr>
          <w:b w:val="0"/>
          <w:i/>
        </w:rPr>
        <w:t>suscipit</w:t>
      </w:r>
      <w:r>
        <w:rPr>
          <w:b w:val="0"/>
          <w:i w:val="0"/>
        </w:rPr>
        <w:t xml:space="preserve">; </w:t>
      </w:r>
      <w:r>
        <w:rPr>
          <w:b w:val="0"/>
          <w:i/>
        </w:rPr>
        <w:t>suscipitur</w:t>
      </w:r>
      <w:r>
        <w:rPr>
          <w:b w:val="0"/>
          <w:i w:val="0"/>
        </w:rPr>
        <w:t>.</w:t>
      </w:r>
    </w:p>
    <w:p>
      <w:pPr>
        <w:widowControl/>
      </w:pPr>
      <w:r>
        <w:rPr>
          <w:b w:val="0"/>
          <w:i w:val="0"/>
        </w:rPr>
        <w:t xml:space="preserve">Receiving a form, whose result depends upon the recipient’s mode of being. Water, mirror and intellect do not all receive in the same way; true intellectual reception need not change mind into a material object. References: </w:t>
      </w:r>
      <w:hyperlink w:anchor="passage-viii-1-1">
        <w:r>
          <w:rPr>
            <w:color w:val="000000"/>
          </w:rPr>
          <w:t xml:space="preserve">VIII.1.1</w:t>
        </w:r>
      </w:hyperlink>
      <w:r>
        <w:rPr>
          <w:b w:val="0"/>
          <w:i w:val="0"/>
        </w:rPr>
        <w:t xml:space="preserve">, </w:t>
      </w:r>
      <w:hyperlink w:anchor="passage-viii-2-8">
        <w:r>
          <w:rPr>
            <w:color w:val="000000"/>
          </w:rPr>
          <w:t xml:space="preserve">VIII.2.8</w:t>
        </w:r>
      </w:hyperlink>
      <w:r>
        <w:rPr>
          <w:b w:val="0"/>
          <w:i w:val="0"/>
        </w:rPr>
        <w:t xml:space="preserve">, </w:t>
      </w:r>
      <w:hyperlink w:anchor="passage-viii-4-1">
        <w:r>
          <w:rPr>
            <w:color w:val="000000"/>
          </w:rPr>
          <w:t xml:space="preserve">VIII.4.1</w:t>
        </w:r>
      </w:hyperlink>
      <w:r>
        <w:rPr>
          <w:b w:val="0"/>
          <w:i w:val="0"/>
        </w:rPr>
        <w:t xml:space="preserve">, </w:t>
      </w:r>
      <w:hyperlink w:anchor="passage-viii-4-5">
        <w:r>
          <w:rPr>
            <w:color w:val="000000"/>
          </w:rPr>
          <w:t xml:space="preserve">VIII.4.5</w:t>
        </w:r>
      </w:hyperlink>
      <w:r>
        <w:rPr>
          <w:b w:val="0"/>
          <w:i w:val="0"/>
        </w:rPr>
        <w:t xml:space="preserve">, </w:t>
      </w:r>
      <w:hyperlink w:anchor="passage-viii-7-1">
        <w:r>
          <w:rPr>
            <w:color w:val="000000"/>
          </w:rPr>
          <w:t xml:space="preserve">VIII.7.1</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259" w:name="latin-record-0018"/>
      <w:bookmarkEnd w:id="259"/>
      <w:r>
        <w:rPr>
          <w:b/>
          <w:i w:val="0"/>
        </w:rPr>
        <w:t>acies / acute videre</w:t>
      </w:r>
      <w:r>
        <w:rPr>
          <w:b/>
          <w:i w:val="0"/>
        </w:rPr>
        <w:t>.</w:t>
      </w:r>
      <w:r>
        <w:rPr>
          <w:b w:val="0"/>
          <w:i w:val="0"/>
        </w:rPr>
        <w:t xml:space="preserve"> Printed forms: </w:t>
      </w:r>
      <w:r>
        <w:rPr>
          <w:b w:val="0"/>
          <w:i/>
        </w:rPr>
        <w:t>acies</w:t>
      </w:r>
      <w:r>
        <w:rPr>
          <w:b w:val="0"/>
          <w:i w:val="0"/>
        </w:rPr>
        <w:t xml:space="preserve">; </w:t>
      </w:r>
      <w:r>
        <w:rPr>
          <w:b w:val="0"/>
          <w:i/>
        </w:rPr>
        <w:t>acrius</w:t>
      </w:r>
      <w:r>
        <w:rPr>
          <w:b w:val="0"/>
          <w:i w:val="0"/>
        </w:rPr>
        <w:t xml:space="preserve">; </w:t>
      </w:r>
      <w:r>
        <w:rPr>
          <w:b w:val="0"/>
          <w:i/>
        </w:rPr>
        <w:t>acutior</w:t>
      </w:r>
      <w:r>
        <w:rPr>
          <w:b w:val="0"/>
          <w:i w:val="0"/>
        </w:rPr>
        <w:t xml:space="preserve">; </w:t>
      </w:r>
      <w:r>
        <w:rPr>
          <w:b w:val="0"/>
          <w:i/>
        </w:rPr>
        <w:t>acutius</w:t>
      </w:r>
      <w:r>
        <w:rPr>
          <w:b w:val="0"/>
          <w:i w:val="0"/>
        </w:rPr>
        <w:t>.</w:t>
      </w:r>
    </w:p>
    <w:p>
      <w:pPr>
        <w:widowControl/>
      </w:pPr>
      <w:r>
        <w:rPr>
          <w:b w:val="0"/>
          <w:i w:val="0"/>
        </w:rPr>
        <w:t xml:space="preserve">Sharp sight or greater acuity of perception. Sharper sight is contrasted with larger eyes, and common sense’s superior acuity with dependence on bodily quantity.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260" w:name="latin-record-0019"/>
      <w:bookmarkEnd w:id="260"/>
      <w:r>
        <w:rPr>
          <w:b/>
          <w:i w:val="0"/>
        </w:rPr>
        <w:t>acies mentis / caligo</w:t>
      </w:r>
      <w:r>
        <w:rPr>
          <w:b/>
          <w:i w:val="0"/>
        </w:rPr>
        <w:t>.</w:t>
      </w:r>
      <w:r>
        <w:rPr>
          <w:b w:val="0"/>
          <w:i w:val="0"/>
        </w:rPr>
        <w:t xml:space="preserve"> Printed forms: </w:t>
      </w:r>
      <w:r>
        <w:rPr>
          <w:b w:val="0"/>
          <w:i/>
        </w:rPr>
        <w:t>acies</w:t>
      </w:r>
      <w:r>
        <w:rPr>
          <w:b w:val="0"/>
          <w:i w:val="0"/>
        </w:rPr>
        <w:t xml:space="preserve">; </w:t>
      </w:r>
      <w:r>
        <w:rPr>
          <w:b w:val="0"/>
          <w:i/>
        </w:rPr>
        <w:t>caligine</w:t>
      </w:r>
      <w:r>
        <w:rPr>
          <w:b w:val="0"/>
          <w:i w:val="0"/>
        </w:rPr>
        <w:t xml:space="preserve">; </w:t>
      </w:r>
      <w:r>
        <w:rPr>
          <w:b w:val="0"/>
          <w:i/>
        </w:rPr>
        <w:t>obnubiletur</w:t>
      </w:r>
      <w:r>
        <w:rPr>
          <w:b w:val="0"/>
          <w:i w:val="0"/>
        </w:rPr>
        <w:t>.</w:t>
      </w:r>
    </w:p>
    <w:p>
      <w:pPr>
        <w:widowControl/>
      </w:pPr>
      <w:r>
        <w:rPr>
          <w:b w:val="0"/>
          <w:i w:val="0"/>
        </w:rPr>
        <w:t xml:space="preserve">The mind’s sharp gaze and the darkness that can cloud it. Vice obstructs prudence, completing the claim that the perfected moral virtues depend reciprocally upon one another. References: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261" w:name="latin-record-0020"/>
      <w:bookmarkEnd w:id="261"/>
      <w:r>
        <w:rPr>
          <w:b/>
          <w:i w:val="0"/>
        </w:rPr>
        <w:t>actio / operatio / opus</w:t>
      </w:r>
      <w:r>
        <w:rPr>
          <w:b/>
          <w:i w:val="0"/>
        </w:rPr>
        <w:t>.</w:t>
      </w:r>
      <w:r>
        <w:rPr>
          <w:b w:val="0"/>
          <w:i w:val="0"/>
        </w:rPr>
        <w:t xml:space="preserve"> Printed forms: </w:t>
      </w:r>
      <w:r>
        <w:rPr>
          <w:b w:val="0"/>
          <w:i/>
        </w:rPr>
        <w:t>Actio</w:t>
      </w:r>
      <w:r>
        <w:rPr>
          <w:b w:val="0"/>
          <w:i w:val="0"/>
        </w:rPr>
        <w:t xml:space="preserve">; </w:t>
      </w:r>
      <w:r>
        <w:rPr>
          <w:b w:val="0"/>
          <w:i/>
        </w:rPr>
        <w:t>actio</w:t>
      </w:r>
      <w:r>
        <w:rPr>
          <w:b w:val="0"/>
          <w:i w:val="0"/>
        </w:rPr>
        <w:t xml:space="preserve">; </w:t>
      </w:r>
      <w:r>
        <w:rPr>
          <w:b w:val="0"/>
          <w:i/>
        </w:rPr>
        <w:t>actione</w:t>
      </w:r>
      <w:r>
        <w:rPr>
          <w:b w:val="0"/>
          <w:i w:val="0"/>
        </w:rPr>
        <w:t xml:space="preserve">; </w:t>
      </w:r>
      <w:r>
        <w:rPr>
          <w:b w:val="0"/>
          <w:i/>
        </w:rPr>
        <w:t>actionibus</w:t>
      </w:r>
      <w:r>
        <w:rPr>
          <w:b w:val="0"/>
          <w:i w:val="0"/>
        </w:rPr>
        <w:t xml:space="preserve">; </w:t>
      </w:r>
      <w:r>
        <w:rPr>
          <w:b w:val="0"/>
          <w:i/>
        </w:rPr>
        <w:t>operantem</w:t>
      </w:r>
      <w:r>
        <w:rPr>
          <w:b w:val="0"/>
          <w:i w:val="0"/>
        </w:rPr>
        <w:t xml:space="preserve">; </w:t>
      </w:r>
      <w:r>
        <w:rPr>
          <w:b w:val="0"/>
          <w:i/>
        </w:rPr>
        <w:t>operatio</w:t>
      </w:r>
      <w:r>
        <w:rPr>
          <w:b w:val="0"/>
          <w:i w:val="0"/>
        </w:rPr>
        <w:t xml:space="preserve">; </w:t>
      </w:r>
      <w:r>
        <w:rPr>
          <w:b w:val="0"/>
          <w:i/>
        </w:rPr>
        <w:t>operationes</w:t>
      </w:r>
      <w:r>
        <w:rPr>
          <w:b w:val="0"/>
          <w:i w:val="0"/>
        </w:rPr>
        <w:t xml:space="preserve">; </w:t>
      </w:r>
      <w:r>
        <w:rPr>
          <w:b w:val="0"/>
          <w:i/>
        </w:rPr>
        <w:t>operationis</w:t>
      </w:r>
      <w:r>
        <w:rPr>
          <w:b w:val="0"/>
          <w:i w:val="0"/>
        </w:rPr>
        <w:t xml:space="preserve">; </w:t>
      </w:r>
      <w:r>
        <w:rPr>
          <w:b w:val="0"/>
          <w:i/>
        </w:rPr>
        <w:t>operatur</w:t>
      </w:r>
      <w:r>
        <w:rPr>
          <w:b w:val="0"/>
          <w:i w:val="0"/>
        </w:rPr>
        <w:t xml:space="preserve">; </w:t>
      </w:r>
      <w:r>
        <w:rPr>
          <w:b w:val="0"/>
          <w:i/>
        </w:rPr>
        <w:t>operi</w:t>
      </w:r>
      <w:r>
        <w:rPr>
          <w:b w:val="0"/>
          <w:i w:val="0"/>
        </w:rPr>
        <w:t xml:space="preserve">; </w:t>
      </w:r>
      <w:r>
        <w:rPr>
          <w:b w:val="0"/>
          <w:i/>
        </w:rPr>
        <w:t>opus</w:t>
      </w:r>
      <w:r>
        <w:rPr>
          <w:b w:val="0"/>
          <w:i w:val="0"/>
        </w:rPr>
        <w:t>.</w:t>
      </w:r>
    </w:p>
    <w:p>
      <w:pPr>
        <w:widowControl/>
      </w:pPr>
      <w:r>
        <w:rPr>
          <w:b w:val="0"/>
          <w:i w:val="0"/>
        </w:rPr>
        <w:t xml:space="preserve">Activity, an operation, and a work or function accomplished. An active sensory operation is distinguished from the bodily passion that occasions it; a nutritive work is distinguished from heat’s contribution to it. References: </w:t>
      </w:r>
      <w:hyperlink w:anchor="passage-vii-6-3">
        <w:r>
          <w:rPr>
            <w:color w:val="000000"/>
          </w:rPr>
          <w:t xml:space="preserve">VII.6.3</w:t>
        </w:r>
      </w:hyperlink>
      <w:r>
        <w:rPr>
          <w:b w:val="0"/>
          <w:i w:val="0"/>
        </w:rPr>
        <w:t xml:space="preserve">, </w:t>
      </w:r>
      <w:hyperlink w:anchor="passage-vii-8-1">
        <w:r>
          <w:rPr>
            <w:color w:val="000000"/>
          </w:rPr>
          <w:t xml:space="preserve">VII.8.1</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262" w:name="latin-record-0021"/>
      <w:bookmarkEnd w:id="262"/>
      <w:r>
        <w:rPr>
          <w:b/>
          <w:i w:val="0"/>
        </w:rPr>
        <w:t>actio intima</w:t>
      </w:r>
      <w:r>
        <w:rPr>
          <w:b/>
          <w:i w:val="0"/>
        </w:rPr>
        <w:t>.</w:t>
      </w:r>
      <w:r>
        <w:rPr>
          <w:b w:val="0"/>
          <w:i w:val="0"/>
        </w:rPr>
        <w:t xml:space="preserve"> Printed forms: </w:t>
      </w:r>
      <w:r>
        <w:rPr>
          <w:b w:val="0"/>
          <w:i/>
        </w:rPr>
        <w:t>Vis actioque agenti alicui intima</w:t>
      </w:r>
      <w:r>
        <w:rPr>
          <w:b w:val="0"/>
          <w:i w:val="0"/>
        </w:rPr>
        <w:t>.</w:t>
      </w:r>
    </w:p>
    <w:p>
      <w:pPr>
        <w:widowControl/>
      </w:pPr>
      <w:r>
        <w:rPr>
          <w:b w:val="0"/>
          <w:i w:val="0"/>
        </w:rPr>
        <w:t xml:space="preserve">A power and action inward to an agent. Such an operation is taken to require the agent’s substance there, linking local life to soul’s presence. References: </w:t>
      </w:r>
      <w:hyperlink w:anchor="passage-vi-9-3">
        <w:r>
          <w:rPr>
            <w:color w:val="000000"/>
          </w:rPr>
          <w:t xml:space="preserve">VI.9.3</w:t>
        </w:r>
      </w:hyperlink>
      <w:r>
        <w:rPr>
          <w:b w:val="0"/>
          <w:i w:val="0"/>
        </w:rPr>
        <w:t xml:space="preserve">. See </w:t>
      </w:r>
      <w:hyperlink w:anchor="members-house-and-sinew">
        <w:r>
          <w:rPr>
            <w:color w:val="000000"/>
          </w:rPr>
          <w:t xml:space="preserve">Members, house and sinew</w:t>
        </w:r>
      </w:hyperlink>
      <w:r>
        <w:rPr>
          <w:b w:val="0"/>
          <w:i w:val="0"/>
        </w:rPr>
        <w:t>.</w:t>
      </w:r>
    </w:p>
    <w:p>
      <w:pPr>
        <w:keepNext/>
        <w:widowControl/>
      </w:pPr>
      <w:bookmarkStart w:id="263" w:name="latin-record-0022"/>
      <w:bookmarkEnd w:id="263"/>
      <w:r>
        <w:rPr>
          <w:b/>
          <w:i w:val="0"/>
        </w:rPr>
        <w:t>actio; passio</w:t>
      </w:r>
      <w:r>
        <w:rPr>
          <w:b/>
          <w:i w:val="0"/>
        </w:rPr>
        <w:t>.</w:t>
      </w:r>
      <w:r>
        <w:rPr>
          <w:b w:val="0"/>
          <w:i w:val="0"/>
        </w:rPr>
        <w:t xml:space="preserve"> Printed forms: </w:t>
      </w:r>
      <w:r>
        <w:rPr>
          <w:b w:val="0"/>
          <w:i/>
        </w:rPr>
        <w:t>actione</w:t>
      </w:r>
      <w:r>
        <w:rPr>
          <w:b w:val="0"/>
          <w:i w:val="0"/>
        </w:rPr>
        <w:t xml:space="preserve">; </w:t>
      </w:r>
      <w:r>
        <w:rPr>
          <w:b w:val="0"/>
          <w:i/>
        </w:rPr>
        <w:t>actionem</w:t>
      </w:r>
      <w:r>
        <w:rPr>
          <w:b w:val="0"/>
          <w:i w:val="0"/>
        </w:rPr>
        <w:t xml:space="preserve">; </w:t>
      </w:r>
      <w:r>
        <w:rPr>
          <w:b w:val="0"/>
          <w:i/>
        </w:rPr>
        <w:t>passionem</w:t>
      </w:r>
      <w:r>
        <w:rPr>
          <w:b w:val="0"/>
          <w:i w:val="0"/>
        </w:rPr>
        <w:t>.</w:t>
      </w:r>
    </w:p>
    <w:p>
      <w:pPr>
        <w:widowControl/>
      </w:pPr>
      <w:r>
        <w:rPr>
          <w:b w:val="0"/>
          <w:i w:val="0"/>
        </w:rPr>
        <w:t xml:space="preserve">Activity in its source and movement received in body. The Platonists distinguish these causal roles and extend them to universal soul and the world’s body. References: </w:t>
      </w:r>
      <w:hyperlink w:anchor="passage-vi-12-11">
        <w:r>
          <w:rPr>
            <w:color w:val="000000"/>
          </w:rPr>
          <w:t xml:space="preserve">VI.12.11</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264" w:name="latin-record-0023"/>
      <w:bookmarkEnd w:id="264"/>
      <w:r>
        <w:rPr>
          <w:b/>
          <w:i w:val="0"/>
        </w:rPr>
        <w:t>actus</w:t>
      </w:r>
      <w:r>
        <w:rPr>
          <w:b/>
          <w:i w:val="0"/>
        </w:rPr>
        <w:t>.</w:t>
      </w:r>
      <w:r>
        <w:rPr>
          <w:b w:val="0"/>
          <w:i w:val="0"/>
        </w:rPr>
        <w:t xml:space="preserve"> Printed forms: </w:t>
      </w:r>
      <w:r>
        <w:rPr>
          <w:b w:val="0"/>
          <w:i/>
        </w:rPr>
        <w:t>actu</w:t>
      </w:r>
      <w:r>
        <w:rPr>
          <w:b w:val="0"/>
          <w:i w:val="0"/>
        </w:rPr>
        <w:t xml:space="preserve">; </w:t>
      </w:r>
      <w:r>
        <w:rPr>
          <w:b w:val="0"/>
          <w:i/>
        </w:rPr>
        <w:t>actui</w:t>
      </w:r>
      <w:r>
        <w:rPr>
          <w:b w:val="0"/>
          <w:i w:val="0"/>
        </w:rPr>
        <w:t xml:space="preserve">; </w:t>
      </w:r>
      <w:r>
        <w:rPr>
          <w:b w:val="0"/>
          <w:i/>
        </w:rPr>
        <w:t>actum</w:t>
      </w:r>
      <w:r>
        <w:rPr>
          <w:b w:val="0"/>
          <w:i w:val="0"/>
        </w:rPr>
        <w:t xml:space="preserve">; </w:t>
      </w:r>
      <w:r>
        <w:rPr>
          <w:b w:val="0"/>
          <w:i/>
        </w:rPr>
        <w:t>actus</w:t>
      </w:r>
      <w:r>
        <w:rPr>
          <w:b w:val="0"/>
          <w:i w:val="0"/>
        </w:rPr>
        <w:t>.</w:t>
      </w:r>
    </w:p>
    <w:p>
      <w:pPr>
        <w:widowControl/>
      </w:pPr>
      <w:r>
        <w:rPr>
          <w:b w:val="0"/>
          <w:i w:val="0"/>
        </w:rPr>
        <w:t xml:space="preserve">Actuality or realized act, distinguished from the potency it actualizes. Being actualizes essence while operation actualizes power; God alone is unrestricted pure act. References: </w:t>
      </w:r>
      <w:hyperlink w:anchor="passage-v-7-1">
        <w:r>
          <w:rPr>
            <w:color w:val="000000"/>
          </w:rPr>
          <w:t xml:space="preserve">V.7.1</w:t>
        </w:r>
      </w:hyperlink>
      <w:r>
        <w:rPr>
          <w:b w:val="0"/>
          <w:i w:val="0"/>
        </w:rPr>
        <w:t xml:space="preserve">, </w:t>
      </w:r>
      <w:hyperlink w:anchor="passage-v-11-1">
        <w:r>
          <w:rPr>
            <w:color w:val="000000"/>
          </w:rPr>
          <w:t xml:space="preserve">V.11.1</w:t>
        </w:r>
      </w:hyperlink>
      <w:r>
        <w:rPr>
          <w:b w:val="0"/>
          <w:i w:val="0"/>
        </w:rPr>
        <w:t xml:space="preserve">, </w:t>
      </w:r>
      <w:hyperlink w:anchor="passage-v-11-2">
        <w:r>
          <w:rPr>
            <w:color w:val="000000"/>
          </w:rPr>
          <w:t xml:space="preserve">V.11.2</w:t>
        </w:r>
      </w:hyperlink>
      <w:r>
        <w:rPr>
          <w:b w:val="0"/>
          <w:i w:val="0"/>
        </w:rPr>
        <w:t xml:space="preserve">, </w:t>
      </w:r>
      <w:hyperlink w:anchor="passage-v-13-7">
        <w:r>
          <w:rPr>
            <w:color w:val="000000"/>
          </w:rPr>
          <w:t xml:space="preserve">V.13.7</w:t>
        </w:r>
      </w:hyperlink>
      <w:r>
        <w:rPr>
          <w:b w:val="0"/>
          <w:i w:val="0"/>
        </w:rPr>
        <w:t xml:space="preserve">, </w:t>
      </w:r>
      <w:hyperlink w:anchor="passage-v-13-9">
        <w:r>
          <w:rPr>
            <w:color w:val="000000"/>
          </w:rPr>
          <w:t xml:space="preserve">V.13.9</w:t>
        </w:r>
      </w:hyperlink>
      <w:r>
        <w:rPr>
          <w:b w:val="0"/>
          <w:i w:val="0"/>
        </w:rPr>
        <w:t xml:space="preserve">, </w:t>
      </w:r>
      <w:hyperlink w:anchor="passage-v-13-12">
        <w:r>
          <w:rPr>
            <w:color w:val="000000"/>
          </w:rPr>
          <w:t xml:space="preserve">V.13.12</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265" w:name="latin-record-0024"/>
      <w:bookmarkEnd w:id="265"/>
      <w:r>
        <w:rPr>
          <w:b/>
          <w:i w:val="0"/>
        </w:rPr>
        <w:t>actus / actu</w:t>
      </w:r>
      <w:r>
        <w:rPr>
          <w:b/>
          <w:i w:val="0"/>
        </w:rPr>
        <w:t>.</w:t>
      </w:r>
      <w:r>
        <w:rPr>
          <w:b w:val="0"/>
          <w:i w:val="0"/>
        </w:rPr>
        <w:t xml:space="preserve"> Printed forms: </w:t>
      </w:r>
      <w:r>
        <w:rPr>
          <w:b w:val="0"/>
          <w:i/>
        </w:rPr>
        <w:t>actu</w:t>
      </w:r>
      <w:r>
        <w:rPr>
          <w:b w:val="0"/>
          <w:i w:val="0"/>
        </w:rPr>
        <w:t xml:space="preserve">; </w:t>
      </w:r>
      <w:r>
        <w:rPr>
          <w:b w:val="0"/>
          <w:i/>
        </w:rPr>
        <w:t>actum</w:t>
      </w:r>
      <w:r>
        <w:rPr>
          <w:b w:val="0"/>
          <w:i w:val="0"/>
        </w:rPr>
        <w:t xml:space="preserve">; </w:t>
      </w:r>
      <w:r>
        <w:rPr>
          <w:b w:val="0"/>
          <w:i/>
        </w:rPr>
        <w:t>actus</w:t>
      </w:r>
      <w:r>
        <w:rPr>
          <w:b w:val="0"/>
          <w:i w:val="0"/>
        </w:rPr>
        <w:t>.</w:t>
      </w:r>
    </w:p>
    <w:p>
      <w:pPr>
        <w:widowControl/>
      </w:pPr>
      <w:r>
        <w:rPr>
          <w:b w:val="0"/>
          <w:i w:val="0"/>
        </w:rPr>
        <w:t xml:space="preserve">Actuality or realized activity, as distinguished from merely potential availability. The actual point hypothesis fails; completed knowing is an act; God is infinite act in contrast to receptive matter. References: </w:t>
      </w:r>
      <w:hyperlink w:anchor="passage-viii-4-2">
        <w:r>
          <w:rPr>
            <w:color w:val="000000"/>
          </w:rPr>
          <w:t xml:space="preserve">VIII.4.2</w:t>
        </w:r>
      </w:hyperlink>
      <w:r>
        <w:rPr>
          <w:b w:val="0"/>
          <w:i w:val="0"/>
        </w:rPr>
        <w:t xml:space="preserve">, </w:t>
      </w:r>
      <w:hyperlink w:anchor="passage-viii-4-9">
        <w:r>
          <w:rPr>
            <w:color w:val="000000"/>
          </w:rPr>
          <w:t xml:space="preserve">VIII.4.9</w:t>
        </w:r>
      </w:hyperlink>
      <w:r>
        <w:rPr>
          <w:b w:val="0"/>
          <w:i w:val="0"/>
        </w:rPr>
        <w:t xml:space="preserve">, </w:t>
      </w:r>
      <w:hyperlink w:anchor="passage-viii-4-11">
        <w:r>
          <w:rPr>
            <w:color w:val="000000"/>
          </w:rPr>
          <w:t xml:space="preserve">VIII.4.11</w:t>
        </w:r>
      </w:hyperlink>
      <w:r>
        <w:rPr>
          <w:b w:val="0"/>
          <w:i w:val="0"/>
        </w:rPr>
        <w:t xml:space="preserve">, </w:t>
      </w:r>
      <w:hyperlink w:anchor="passage-viii-15-3">
        <w:r>
          <w:rPr>
            <w:color w:val="000000"/>
          </w:rPr>
          <w:t xml:space="preserve">VIII.15.3</w:t>
        </w:r>
      </w:hyperlink>
      <w:r>
        <w:rPr>
          <w:b w:val="0"/>
          <w:i w:val="0"/>
        </w:rPr>
        <w:t xml:space="preserve">,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266" w:name="latin-record-0025"/>
      <w:bookmarkEnd w:id="266"/>
      <w:r>
        <w:rPr>
          <w:b/>
          <w:i w:val="0"/>
        </w:rPr>
        <w:t>actus infinitus / potentia infinita</w:t>
      </w:r>
      <w:r>
        <w:rPr>
          <w:b/>
          <w:i w:val="0"/>
        </w:rPr>
        <w:t>.</w:t>
      </w:r>
      <w:r>
        <w:rPr>
          <w:b w:val="0"/>
          <w:i w:val="0"/>
        </w:rPr>
        <w:t xml:space="preserve"> Printed forms: </w:t>
      </w:r>
      <w:r>
        <w:rPr>
          <w:b w:val="0"/>
          <w:i/>
        </w:rPr>
        <w:t>infinitum actum</w:t>
      </w:r>
      <w:r>
        <w:rPr>
          <w:b w:val="0"/>
          <w:i w:val="0"/>
        </w:rPr>
        <w:t xml:space="preserve">; </w:t>
      </w:r>
      <w:r>
        <w:rPr>
          <w:b w:val="0"/>
          <w:i/>
        </w:rPr>
        <w:t>potentiam infinitam</w:t>
      </w:r>
      <w:r>
        <w:rPr>
          <w:b w:val="0"/>
          <w:i w:val="0"/>
        </w:rPr>
        <w:t xml:space="preserve">; </w:t>
      </w:r>
      <w:r>
        <w:rPr>
          <w:b w:val="0"/>
          <w:i/>
        </w:rPr>
        <w:t>subdita deo</w:t>
      </w:r>
      <w:r>
        <w:rPr>
          <w:b w:val="0"/>
          <w:i w:val="0"/>
        </w:rPr>
        <w:t>.</w:t>
      </w:r>
    </w:p>
    <w:p>
      <w:pPr>
        <w:widowControl/>
      </w:pPr>
      <w:r>
        <w:rPr>
          <w:b w:val="0"/>
          <w:i w:val="0"/>
        </w:rPr>
        <w:t xml:space="preserve">Infinite act and infinite potency, with matter expressly subject to God. The contrast makes God productive and matter receptive, preventing their treatment as equal independent first principles. References: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267" w:name="latin-record-0026"/>
      <w:bookmarkEnd w:id="267"/>
      <w:r>
        <w:rPr>
          <w:b/>
          <w:i w:val="0"/>
        </w:rPr>
        <w:t>actus proprius</w:t>
      </w:r>
      <w:r>
        <w:rPr>
          <w:b/>
          <w:i w:val="0"/>
        </w:rPr>
        <w:t>.</w:t>
      </w:r>
      <w:r>
        <w:rPr>
          <w:b w:val="0"/>
          <w:i w:val="0"/>
        </w:rPr>
        <w:t xml:space="preserve"> Printed forms: </w:t>
      </w:r>
      <w:r>
        <w:rPr>
          <w:b w:val="0"/>
          <w:i/>
        </w:rPr>
        <w:t>proprie existit actu</w:t>
      </w:r>
      <w:r>
        <w:rPr>
          <w:b w:val="0"/>
          <w:i w:val="0"/>
        </w:rPr>
        <w:t xml:space="preserve">; </w:t>
      </w:r>
      <w:r>
        <w:rPr>
          <w:b w:val="0"/>
          <w:i/>
        </w:rPr>
        <w:t>proprio existet actu</w:t>
      </w:r>
      <w:r>
        <w:rPr>
          <w:b w:val="0"/>
          <w:i w:val="0"/>
        </w:rPr>
        <w:t>.</w:t>
      </w:r>
    </w:p>
    <w:p>
      <w:pPr>
        <w:widowControl/>
      </w:pPr>
      <w:r>
        <w:rPr>
          <w:b w:val="0"/>
          <w:i w:val="0"/>
        </w:rPr>
        <w:t xml:space="preserve">Independent actuality as a requirement of a proper subject of an accident. The detached-point hypothesis attributes just such actuality to a boundary, generating the dilemma over a line’s remaining limits. References: </w:t>
      </w:r>
      <w:hyperlink w:anchor="passage-viii-4-2">
        <w:r>
          <w:rPr>
            <w:color w:val="000000"/>
          </w:rPr>
          <w:t xml:space="preserve">VIII.4.2</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268" w:name="latin-record-0027"/>
      <w:bookmarkEnd w:id="268"/>
      <w:r>
        <w:rPr>
          <w:b/>
          <w:i w:val="0"/>
        </w:rPr>
        <w:t>actus rectus / reflexus</w:t>
      </w:r>
      <w:r>
        <w:rPr>
          <w:b/>
          <w:i w:val="0"/>
        </w:rPr>
        <w:t>.</w:t>
      </w:r>
      <w:r>
        <w:rPr>
          <w:b w:val="0"/>
          <w:i w:val="0"/>
        </w:rPr>
        <w:t xml:space="preserve"> Printed forms: </w:t>
      </w:r>
      <w:r>
        <w:rPr>
          <w:b w:val="0"/>
          <w:i/>
        </w:rPr>
        <w:t>actum rectum</w:t>
      </w:r>
      <w:r>
        <w:rPr>
          <w:b w:val="0"/>
          <w:i w:val="0"/>
        </w:rPr>
        <w:t xml:space="preserve">; </w:t>
      </w:r>
      <w:r>
        <w:rPr>
          <w:b w:val="0"/>
          <w:i/>
        </w:rPr>
        <w:t>actum reflexum</w:t>
      </w:r>
      <w:r>
        <w:rPr>
          <w:b w:val="0"/>
          <w:i w:val="0"/>
        </w:rPr>
        <w:t>.</w:t>
      </w:r>
    </w:p>
    <w:p>
      <w:pPr>
        <w:widowControl/>
      </w:pPr>
      <w:r>
        <w:rPr>
          <w:b w:val="0"/>
          <w:i w:val="0"/>
        </w:rPr>
        <w:t xml:space="preserve">The direct act is life; the reflexive act is cognition. Since mind apprehends its enduring species by knowing, Ficino argues that its prior living act has a corresponding enduring capacity. References: </w:t>
      </w:r>
      <w:hyperlink w:anchor="passage-viii-9-1">
        <w:r>
          <w:rPr>
            <w:color w:val="000000"/>
          </w:rPr>
          <w:t xml:space="preserve">VIII.9.1</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269" w:name="latin-record-0028"/>
      <w:bookmarkEnd w:id="269"/>
      <w:r>
        <w:rPr>
          <w:b/>
          <w:i w:val="0"/>
        </w:rPr>
        <w:t>actus reflexus (return to the particular)</w:t>
      </w:r>
      <w:r>
        <w:rPr>
          <w:b/>
          <w:i w:val="0"/>
        </w:rPr>
        <w:t>.</w:t>
      </w:r>
      <w:r>
        <w:rPr>
          <w:b w:val="0"/>
          <w:i w:val="0"/>
        </w:rPr>
        <w:t xml:space="preserve"> Printed forms: </w:t>
      </w:r>
      <w:r>
        <w:rPr>
          <w:b w:val="0"/>
          <w:i/>
        </w:rPr>
        <w:t>secundo quodam actu atque reflexo</w:t>
      </w:r>
      <w:r>
        <w:rPr>
          <w:b w:val="0"/>
          <w:i w:val="0"/>
        </w:rPr>
        <w:t xml:space="preserve">; </w:t>
      </w:r>
      <w:r>
        <w:rPr>
          <w:b w:val="0"/>
          <w:i/>
        </w:rPr>
        <w:t>sese reflectens</w:t>
      </w:r>
      <w:r>
        <w:rPr>
          <w:b w:val="0"/>
          <w:i w:val="0"/>
        </w:rPr>
        <w:t>.</w:t>
      </w:r>
    </w:p>
    <w:p>
      <w:pPr>
        <w:widowControl/>
      </w:pPr>
      <w:r>
        <w:rPr>
          <w:b w:val="0"/>
          <w:i w:val="0"/>
        </w:rPr>
        <w:t xml:space="preserve">A second, reflexive act in which intellect turns back toward a particular object through its image. Ficino says that Platonists and Peripatetics largely hold that intellect first apprehends universal nature and then returns through its act and species to the phantastic image that prompted the conception. This local direct/reflexive contrast differs from VIII.9.1, where the direct act is life and the reflexive act cognition. References: </w:t>
      </w:r>
      <w:hyperlink w:anchor="passage-viii-1-5">
        <w:r>
          <w:rPr>
            <w:color w:val="000000"/>
          </w:rPr>
          <w:t xml:space="preserve">VIII.1.5</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270" w:name="latin-record-0029"/>
      <w:bookmarkEnd w:id="270"/>
      <w:r>
        <w:rPr>
          <w:b/>
          <w:i w:val="0"/>
        </w:rPr>
        <w:t>actus simplex</w:t>
      </w:r>
      <w:r>
        <w:rPr>
          <w:b/>
          <w:i w:val="0"/>
        </w:rPr>
        <w:t>.</w:t>
      </w:r>
      <w:r>
        <w:rPr>
          <w:b w:val="0"/>
          <w:i w:val="0"/>
        </w:rPr>
        <w:t xml:space="preserve"> Printed forms: </w:t>
      </w:r>
      <w:r>
        <w:rPr>
          <w:b w:val="0"/>
          <w:i/>
        </w:rPr>
        <w:t>actus simplices</w:t>
      </w:r>
      <w:r>
        <w:rPr>
          <w:b w:val="0"/>
          <w:i w:val="0"/>
        </w:rPr>
        <w:t>.</w:t>
      </w:r>
    </w:p>
    <w:p>
      <w:pPr>
        <w:widowControl/>
      </w:pPr>
      <w:r>
        <w:rPr>
          <w:b w:val="0"/>
          <w:i w:val="0"/>
        </w:rPr>
        <w:t xml:space="preserve">Simple acts, specifically sensing and understanding. The harmony theory has not identified the constituents whose proportion would explain these activities as it explains bodily goods.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keepNext/>
        <w:widowControl/>
      </w:pPr>
      <w:bookmarkStart w:id="271" w:name="latin-record-0030"/>
      <w:bookmarkEnd w:id="271"/>
      <w:r>
        <w:rPr>
          <w:b/>
          <w:i w:val="0"/>
        </w:rPr>
        <w:t>acuere; obtundere; aperire; claudere</w:t>
      </w:r>
      <w:r>
        <w:rPr>
          <w:b/>
          <w:i w:val="0"/>
        </w:rPr>
        <w:t>.</w:t>
      </w:r>
      <w:r>
        <w:rPr>
          <w:b w:val="0"/>
          <w:i w:val="0"/>
        </w:rPr>
        <w:t xml:space="preserve"> Printed forms: </w:t>
      </w:r>
      <w:r>
        <w:rPr>
          <w:b w:val="0"/>
          <w:i/>
        </w:rPr>
        <w:t>acuit, obtundit, aperit, claudit</w:t>
      </w:r>
      <w:r>
        <w:rPr>
          <w:b w:val="0"/>
          <w:i w:val="0"/>
        </w:rPr>
        <w:t>.</w:t>
      </w:r>
    </w:p>
    <w:p>
      <w:pPr>
        <w:widowControl/>
      </w:pPr>
      <w:r>
        <w:rPr>
          <w:b w:val="0"/>
          <w:i w:val="0"/>
        </w:rPr>
        <w:t xml:space="preserve">To sharpen, blunt, open and close. These concrete regulatory verbs enlarge the evidence for variable psychic agency and should not disappear under a single abstract </w:t>
      </w:r>
      <w:r>
        <w:t>“</w:t>
      </w:r>
      <w:r>
        <w:rPr>
          <w:b w:val="0"/>
          <w:i w:val="0"/>
        </w:rPr>
        <w:t>control.</w:t>
      </w:r>
      <w:r>
        <w:t>”</w:t>
      </w:r>
      <w:r>
        <w:rPr>
          <w:b w:val="0"/>
          <w:i w:val="0"/>
        </w:rPr>
        <w:t xml:space="preserve">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272" w:name="latin-record-0031"/>
      <w:bookmarkEnd w:id="272"/>
      <w:r>
        <w:rPr>
          <w:b/>
          <w:i w:val="0"/>
        </w:rPr>
        <w:t>ad incorporalia</w:t>
      </w:r>
      <w:r>
        <w:rPr>
          <w:b/>
          <w:i w:val="0"/>
        </w:rPr>
        <w:t>.</w:t>
      </w:r>
      <w:r>
        <w:rPr>
          <w:b w:val="0"/>
          <w:i w:val="0"/>
        </w:rPr>
        <w:t xml:space="preserve"> Printed forms: </w:t>
      </w:r>
      <w:r>
        <w:rPr>
          <w:b w:val="0"/>
          <w:i/>
        </w:rPr>
        <w:t>ad incorporalia</w:t>
      </w:r>
      <w:r>
        <w:rPr>
          <w:b w:val="0"/>
          <w:i w:val="0"/>
        </w:rPr>
        <w:t>.</w:t>
      </w:r>
    </w:p>
    <w:p>
      <w:pPr>
        <w:widowControl/>
      </w:pPr>
      <w:r>
        <w:rPr>
          <w:b w:val="0"/>
          <w:i w:val="0"/>
        </w:rPr>
        <w:t xml:space="preserve">Toward incorporeal things, the corrected object of the denied bodily-form motion. The authorial correction is crucial to the inference that reasoning to higher realities exceeds corporeal nature. References: </w:t>
      </w:r>
      <w:hyperlink w:anchor="passage-vi-12-18">
        <w:r>
          <w:rPr>
            <w:color w:val="000000"/>
          </w:rPr>
          <w:t xml:space="preserve">VI.12.18</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273" w:name="latin-record-0032"/>
      <w:bookmarkEnd w:id="273"/>
      <w:r>
        <w:rPr>
          <w:b/>
          <w:i w:val="0"/>
        </w:rPr>
        <w:t>adaequare</w:t>
      </w:r>
      <w:r>
        <w:rPr>
          <w:b/>
          <w:i w:val="0"/>
        </w:rPr>
        <w:t>.</w:t>
      </w:r>
      <w:r>
        <w:rPr>
          <w:b w:val="0"/>
          <w:i w:val="0"/>
        </w:rPr>
        <w:t xml:space="preserve"> Printed forms: </w:t>
      </w:r>
      <w:r>
        <w:rPr>
          <w:b w:val="0"/>
          <w:i/>
        </w:rPr>
        <w:t>adaequatur</w:t>
      </w:r>
      <w:r>
        <w:rPr>
          <w:b w:val="0"/>
          <w:i w:val="0"/>
        </w:rPr>
        <w:t>.</w:t>
      </w:r>
    </w:p>
    <w:p>
      <w:pPr>
        <w:widowControl/>
      </w:pPr>
      <w:r>
        <w:rPr>
          <w:b w:val="0"/>
          <w:i w:val="0"/>
        </w:rPr>
        <w:t xml:space="preserve">To make equal or bring into complete conformity. The impressed figure’s full conformity to its seal restores the original shape rather than destroys it. References: </w:t>
      </w:r>
      <w:hyperlink w:anchor="passage-v-11-6">
        <w:r>
          <w:rPr>
            <w:color w:val="000000"/>
          </w:rPr>
          <w:t xml:space="preserve">V.11.6</w:t>
        </w:r>
      </w:hyperlink>
      <w:r>
        <w:rPr>
          <w:b w:val="0"/>
          <w:i w:val="0"/>
        </w:rPr>
        <w:t xml:space="preserve">. See </w:t>
      </w:r>
      <w:hyperlink w:anchor="seal-wax-and-restoration">
        <w:r>
          <w:rPr>
            <w:color w:val="000000"/>
          </w:rPr>
          <w:t xml:space="preserve">Seal, wax and restoration</w:t>
        </w:r>
      </w:hyperlink>
      <w:r>
        <w:rPr>
          <w:b w:val="0"/>
          <w:i w:val="0"/>
        </w:rPr>
        <w:t>.</w:t>
      </w:r>
    </w:p>
    <w:p>
      <w:pPr>
        <w:keepNext/>
        <w:widowControl/>
      </w:pPr>
      <w:bookmarkStart w:id="274" w:name="latin-record-0033"/>
      <w:bookmarkEnd w:id="274"/>
      <w:r>
        <w:rPr>
          <w:b/>
          <w:i w:val="0"/>
        </w:rPr>
        <w:t>adaequatio</w:t>
      </w:r>
      <w:r>
        <w:rPr>
          <w:b/>
          <w:i w:val="0"/>
        </w:rPr>
        <w:t>.</w:t>
      </w:r>
      <w:r>
        <w:rPr>
          <w:b w:val="0"/>
          <w:i w:val="0"/>
        </w:rPr>
        <w:t xml:space="preserve"> Printed forms: </w:t>
      </w:r>
      <w:r>
        <w:rPr>
          <w:b w:val="0"/>
          <w:i/>
        </w:rPr>
        <w:t>adaequationem</w:t>
      </w:r>
      <w:r>
        <w:rPr>
          <w:b w:val="0"/>
          <w:i w:val="0"/>
        </w:rPr>
        <w:t>.</w:t>
      </w:r>
    </w:p>
    <w:p>
      <w:pPr>
        <w:widowControl/>
      </w:pPr>
      <w:r>
        <w:rPr>
          <w:b w:val="0"/>
          <w:i w:val="0"/>
        </w:rPr>
        <w:t xml:space="preserve">An equal fitting or quantitative correspondence between a container and what it contains. The opening bodily model requires a whole to fit a whole and corresponding parts to fit parts. Ficino denies that intellect receives by that dimensional mechanism: the whole intellect apprehends both a whole body and each member. The later adaequatur describes cognitive correspondence, not equal bodily size. References: </w:t>
      </w:r>
      <w:hyperlink w:anchor="passage-viii-6-1">
        <w:r>
          <w:rPr>
            <w:color w:val="000000"/>
          </w:rPr>
          <w:t xml:space="preserve">VIII.6.1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275" w:name="latin-record-0034"/>
      <w:bookmarkEnd w:id="275"/>
      <w:r>
        <w:rPr>
          <w:b/>
          <w:i w:val="0"/>
        </w:rPr>
        <w:t>adimere</w:t>
      </w:r>
      <w:r>
        <w:rPr>
          <w:b/>
          <w:i w:val="0"/>
        </w:rPr>
        <w:t>.</w:t>
      </w:r>
      <w:r>
        <w:rPr>
          <w:b w:val="0"/>
          <w:i w:val="0"/>
        </w:rPr>
        <w:t xml:space="preserve"> Printed forms: </w:t>
      </w:r>
      <w:r>
        <w:rPr>
          <w:b w:val="0"/>
          <w:i/>
        </w:rPr>
        <w:t>ademptione</w:t>
      </w:r>
      <w:r>
        <w:rPr>
          <w:b w:val="0"/>
          <w:i w:val="0"/>
        </w:rPr>
        <w:t xml:space="preserve">; </w:t>
      </w:r>
      <w:r>
        <w:rPr>
          <w:b w:val="0"/>
          <w:i/>
        </w:rPr>
        <w:t>adimentem</w:t>
      </w:r>
      <w:r>
        <w:rPr>
          <w:b w:val="0"/>
          <w:i w:val="0"/>
        </w:rPr>
        <w:t xml:space="preserve">; </w:t>
      </w:r>
      <w:r>
        <w:rPr>
          <w:b w:val="0"/>
          <w:i/>
        </w:rPr>
        <w:t>adimit</w:t>
      </w:r>
      <w:r>
        <w:rPr>
          <w:b w:val="0"/>
          <w:i w:val="0"/>
        </w:rPr>
        <w:t xml:space="preserve">; </w:t>
      </w:r>
      <w:r>
        <w:rPr>
          <w:b w:val="0"/>
          <w:i/>
        </w:rPr>
        <w:t>amittendo</w:t>
      </w:r>
      <w:r>
        <w:rPr>
          <w:b w:val="0"/>
          <w:i w:val="0"/>
        </w:rPr>
        <w:t>.</w:t>
      </w:r>
    </w:p>
    <w:p>
      <w:pPr>
        <w:widowControl/>
      </w:pPr>
      <w:r>
        <w:rPr>
          <w:b w:val="0"/>
          <w:i w:val="0"/>
        </w:rPr>
        <w:t xml:space="preserve">To remove or take away; amittere supplies the corresponding loss. Making soul into body would remove the very form needed to communicate form to body, defeating the proposed change. References: </w:t>
      </w:r>
      <w:hyperlink w:anchor="passage-v-15-25">
        <w:r>
          <w:rPr>
            <w:color w:val="000000"/>
          </w:rPr>
          <w:t xml:space="preserve">V.15.25</w:t>
        </w:r>
      </w:hyperlink>
      <w:r>
        <w:rPr>
          <w:b w:val="0"/>
          <w:i w:val="0"/>
        </w:rPr>
        <w:t xml:space="preserve">, </w:t>
      </w:r>
      <w:hyperlink w:anchor="passage-v-15-26">
        <w:r>
          <w:rPr>
            <w:color w:val="000000"/>
          </w:rPr>
          <w:t xml:space="preserve">V.15.26</w:t>
        </w:r>
      </w:hyperlink>
      <w:r>
        <w:rPr>
          <w:b w:val="0"/>
          <w:i w:val="0"/>
        </w:rPr>
        <w:t xml:space="preserve">,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276" w:name="latin-record-0035"/>
      <w:bookmarkEnd w:id="276"/>
      <w:r>
        <w:rPr>
          <w:b/>
          <w:i w:val="0"/>
        </w:rPr>
        <w:t>adiungere / repellere</w:t>
      </w:r>
      <w:r>
        <w:rPr>
          <w:b/>
          <w:i w:val="0"/>
        </w:rPr>
        <w:t>.</w:t>
      </w:r>
      <w:r>
        <w:rPr>
          <w:b w:val="0"/>
          <w:i w:val="0"/>
        </w:rPr>
        <w:t xml:space="preserve"> Printed forms: </w:t>
      </w:r>
      <w:r>
        <w:rPr>
          <w:b w:val="0"/>
          <w:i/>
        </w:rPr>
        <w:t>adiungat</w:t>
      </w:r>
      <w:r>
        <w:rPr>
          <w:b w:val="0"/>
          <w:i w:val="0"/>
        </w:rPr>
        <w:t xml:space="preserve">; </w:t>
      </w:r>
      <w:r>
        <w:rPr>
          <w:b w:val="0"/>
          <w:i/>
        </w:rPr>
        <w:t>repellatque</w:t>
      </w:r>
      <w:r>
        <w:rPr>
          <w:b w:val="0"/>
          <w:i w:val="0"/>
        </w:rPr>
        <w:t>.</w:t>
      </w:r>
    </w:p>
    <w:p>
      <w:pPr>
        <w:widowControl/>
      </w:pPr>
      <w:r>
        <w:rPr>
          <w:b w:val="0"/>
          <w:i w:val="0"/>
        </w:rPr>
        <w:t xml:space="preserve">To join together and repel. The soul’s activity joins like to like and resists what harms the living organization.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277" w:name="latin-record-0036"/>
      <w:bookmarkEnd w:id="277"/>
      <w:r>
        <w:rPr>
          <w:b/>
          <w:i w:val="0"/>
        </w:rPr>
        <w:t>adventitius</w:t>
      </w:r>
      <w:r>
        <w:rPr>
          <w:b/>
          <w:i w:val="0"/>
        </w:rPr>
        <w:t>.</w:t>
      </w:r>
      <w:r>
        <w:rPr>
          <w:b w:val="0"/>
          <w:i w:val="0"/>
        </w:rPr>
        <w:t xml:space="preserve"> Printed forms: </w:t>
      </w:r>
      <w:r>
        <w:rPr>
          <w:b w:val="0"/>
          <w:i/>
        </w:rPr>
        <w:t>adventitiam</w:t>
      </w:r>
      <w:r>
        <w:rPr>
          <w:b w:val="0"/>
          <w:i w:val="0"/>
        </w:rPr>
        <w:t xml:space="preserve">; </w:t>
      </w:r>
      <w:r>
        <w:rPr>
          <w:b w:val="0"/>
          <w:i/>
        </w:rPr>
        <w:t>ex se ipsa possidet vitam</w:t>
      </w:r>
      <w:r>
        <w:rPr>
          <w:b w:val="0"/>
          <w:i w:val="0"/>
        </w:rPr>
        <w:t>.</w:t>
      </w:r>
    </w:p>
    <w:p>
      <w:pPr>
        <w:widowControl/>
      </w:pPr>
      <w:r>
        <w:rPr>
          <w:b w:val="0"/>
          <w:i w:val="0"/>
        </w:rPr>
        <w:t xml:space="preserve">Added or received from outside, contrasted with life possessed through oneself. The passage describes life as intrinsic to soul’s nature without retracting its dependence on an incorporeal producer. References: </w:t>
      </w:r>
      <w:hyperlink w:anchor="passage-vi-12-12">
        <w:r>
          <w:rPr>
            <w:color w:val="000000"/>
          </w:rPr>
          <w:t xml:space="preserve">VI.12.12</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278" w:name="latin-record-0037"/>
      <w:bookmarkEnd w:id="278"/>
      <w:r>
        <w:rPr>
          <w:b/>
          <w:i w:val="0"/>
        </w:rPr>
        <w:t>advertere / admovere / clamare</w:t>
      </w:r>
      <w:r>
        <w:rPr>
          <w:b/>
          <w:i w:val="0"/>
        </w:rPr>
        <w:t>.</w:t>
      </w:r>
      <w:r>
        <w:rPr>
          <w:b w:val="0"/>
          <w:i w:val="0"/>
        </w:rPr>
        <w:t xml:space="preserve"> Printed forms: </w:t>
      </w:r>
      <w:r>
        <w:rPr>
          <w:b w:val="0"/>
          <w:i/>
        </w:rPr>
        <w:t>admovetur</w:t>
      </w:r>
      <w:r>
        <w:rPr>
          <w:b w:val="0"/>
          <w:i w:val="0"/>
        </w:rPr>
        <w:t xml:space="preserve">; </w:t>
      </w:r>
      <w:r>
        <w:rPr>
          <w:b w:val="0"/>
          <w:i/>
        </w:rPr>
        <w:t>advertitur</w:t>
      </w:r>
      <w:r>
        <w:rPr>
          <w:b w:val="0"/>
          <w:i w:val="0"/>
        </w:rPr>
        <w:t xml:space="preserve">; </w:t>
      </w:r>
      <w:r>
        <w:rPr>
          <w:b w:val="0"/>
          <w:i/>
        </w:rPr>
        <w:t>clamat</w:t>
      </w:r>
      <w:r>
        <w:rPr>
          <w:b w:val="0"/>
          <w:i w:val="0"/>
        </w:rPr>
        <w:t>.</w:t>
      </w:r>
    </w:p>
    <w:p>
      <w:pPr>
        <w:widowControl/>
      </w:pPr>
      <w:r>
        <w:rPr>
          <w:b w:val="0"/>
          <w:i w:val="0"/>
        </w:rPr>
        <w:t xml:space="preserve">To turn toward, bring near and cry out. These ordinary actions supply evidence of coordinated response rather than a merely theoretical assertion of soul’s unity. References: </w:t>
      </w:r>
      <w:hyperlink w:anchor="passage-vii-5-1">
        <w:r>
          <w:rPr>
            <w:color w:val="000000"/>
          </w:rPr>
          <w:t xml:space="preserve">VII.5.1</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279" w:name="latin-record-0038"/>
      <w:bookmarkEnd w:id="279"/>
      <w:r>
        <w:rPr>
          <w:b/>
          <w:i w:val="0"/>
        </w:rPr>
        <w:t>Aegyptii / Pythagorei</w:t>
      </w:r>
      <w:r>
        <w:rPr>
          <w:b/>
          <w:i w:val="0"/>
        </w:rPr>
        <w:t>.</w:t>
      </w:r>
      <w:r>
        <w:rPr>
          <w:b w:val="0"/>
          <w:i w:val="0"/>
        </w:rPr>
        <w:t xml:space="preserve"> Printed forms: </w:t>
      </w:r>
      <w:r>
        <w:rPr>
          <w:b w:val="0"/>
          <w:i/>
        </w:rPr>
        <w:t>Aegyptios</w:t>
      </w:r>
      <w:r>
        <w:rPr>
          <w:b w:val="0"/>
          <w:i w:val="0"/>
        </w:rPr>
        <w:t xml:space="preserve">; </w:t>
      </w:r>
      <w:r>
        <w:rPr>
          <w:b w:val="0"/>
          <w:i/>
        </w:rPr>
        <w:t>Pythagoreosque</w:t>
      </w:r>
      <w:r>
        <w:rPr>
          <w:b w:val="0"/>
          <w:i w:val="0"/>
        </w:rPr>
        <w:t>.</w:t>
      </w:r>
    </w:p>
    <w:p>
      <w:pPr>
        <w:widowControl/>
      </w:pPr>
      <w:r>
        <w:rPr>
          <w:b w:val="0"/>
          <w:i w:val="0"/>
        </w:rPr>
        <w:t xml:space="preserve">Egyptians and Pythagoreans as the traditions behind the reported lower-soul permanence doctrine. The author describes an inherited explanatory scheme without making it the conclusion of his own present proof. References: </w:t>
      </w:r>
      <w:hyperlink w:anchor="passage-v-14-9">
        <w:r>
          <w:rPr>
            <w:color w:val="000000"/>
          </w:rPr>
          <w:t xml:space="preserve">V.14.9</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280" w:name="latin-record-0039"/>
      <w:bookmarkEnd w:id="280"/>
      <w:r>
        <w:rPr>
          <w:b/>
          <w:i w:val="0"/>
        </w:rPr>
        <w:t>aequalis pars / totum</w:t>
      </w:r>
      <w:r>
        <w:rPr>
          <w:b/>
          <w:i w:val="0"/>
        </w:rPr>
        <w:t>.</w:t>
      </w:r>
      <w:r>
        <w:rPr>
          <w:b w:val="0"/>
          <w:i w:val="0"/>
        </w:rPr>
        <w:t xml:space="preserve"> Printed forms: </w:t>
      </w:r>
      <w:r>
        <w:rPr>
          <w:b w:val="0"/>
          <w:i/>
        </w:rPr>
        <w:t>aequalem</w:t>
      </w:r>
      <w:r>
        <w:rPr>
          <w:b w:val="0"/>
          <w:i w:val="0"/>
        </w:rPr>
        <w:t xml:space="preserve">; </w:t>
      </w:r>
      <w:r>
        <w:rPr>
          <w:b w:val="0"/>
          <w:i/>
        </w:rPr>
        <w:t>aequalis</w:t>
      </w:r>
      <w:r>
        <w:rPr>
          <w:b w:val="0"/>
          <w:i w:val="0"/>
        </w:rPr>
        <w:t xml:space="preserve">; </w:t>
      </w:r>
      <w:r>
        <w:rPr>
          <w:b w:val="0"/>
          <w:i/>
        </w:rPr>
        <w:t>pars</w:t>
      </w:r>
      <w:r>
        <w:rPr>
          <w:b w:val="0"/>
          <w:i w:val="0"/>
        </w:rPr>
        <w:t xml:space="preserve">; </w:t>
      </w:r>
      <w:r>
        <w:rPr>
          <w:b w:val="0"/>
          <w:i/>
        </w:rPr>
        <w:t>toti</w:t>
      </w:r>
      <w:r>
        <w:rPr>
          <w:b w:val="0"/>
          <w:i w:val="0"/>
        </w:rPr>
        <w:t>.</w:t>
      </w:r>
    </w:p>
    <w:p>
      <w:pPr>
        <w:widowControl/>
      </w:pPr>
      <w:r>
        <w:rPr>
          <w:b w:val="0"/>
          <w:i w:val="0"/>
        </w:rPr>
        <w:t xml:space="preserve">The relation of part to whole in bodily magnitude. A bodily part cannot equal its whole, whereas the whole soul is argued to be present in each bodily part. References: </w:t>
      </w:r>
      <w:hyperlink w:anchor="passage-vii-5-1">
        <w:r>
          <w:rPr>
            <w:color w:val="000000"/>
          </w:rPr>
          <w:t xml:space="preserve">VII.5.1</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281" w:name="latin-record-0040"/>
      <w:bookmarkEnd w:id="281"/>
      <w:r>
        <w:rPr>
          <w:b/>
          <w:i w:val="0"/>
        </w:rPr>
        <w:t>aequalitas / consonantia</w:t>
      </w:r>
      <w:r>
        <w:rPr>
          <w:b/>
          <w:i w:val="0"/>
        </w:rPr>
        <w:t>.</w:t>
      </w:r>
      <w:r>
        <w:rPr>
          <w:b w:val="0"/>
          <w:i w:val="0"/>
        </w:rPr>
        <w:t xml:space="preserve"> Printed forms: </w:t>
      </w:r>
      <w:r>
        <w:rPr>
          <w:b w:val="0"/>
          <w:i/>
        </w:rPr>
        <w:t>aequalior</w:t>
      </w:r>
      <w:r>
        <w:rPr>
          <w:b w:val="0"/>
          <w:i w:val="0"/>
        </w:rPr>
        <w:t xml:space="preserve">; </w:t>
      </w:r>
      <w:r>
        <w:rPr>
          <w:b w:val="0"/>
          <w:i/>
        </w:rPr>
        <w:t>aequalitas</w:t>
      </w:r>
      <w:r>
        <w:rPr>
          <w:b w:val="0"/>
          <w:i w:val="0"/>
        </w:rPr>
        <w:t xml:space="preserve">; </w:t>
      </w:r>
      <w:r>
        <w:rPr>
          <w:b w:val="0"/>
          <w:i/>
        </w:rPr>
        <w:t>aequalitate</w:t>
      </w:r>
      <w:r>
        <w:rPr>
          <w:b w:val="0"/>
          <w:i w:val="0"/>
        </w:rPr>
        <w:t xml:space="preserve">; </w:t>
      </w:r>
      <w:r>
        <w:rPr>
          <w:b w:val="0"/>
          <w:i/>
        </w:rPr>
        <w:t>aequalitatem</w:t>
      </w:r>
      <w:r>
        <w:rPr>
          <w:b w:val="0"/>
          <w:i w:val="0"/>
        </w:rPr>
        <w:t xml:space="preserve">; </w:t>
      </w:r>
      <w:r>
        <w:rPr>
          <w:b w:val="0"/>
          <w:i/>
        </w:rPr>
        <w:t>aequalitati</w:t>
      </w:r>
      <w:r>
        <w:rPr>
          <w:b w:val="0"/>
          <w:i w:val="0"/>
        </w:rPr>
        <w:t xml:space="preserve">; </w:t>
      </w:r>
      <w:r>
        <w:rPr>
          <w:b w:val="0"/>
          <w:i/>
        </w:rPr>
        <w:t>aequalitatis</w:t>
      </w:r>
      <w:r>
        <w:rPr>
          <w:b w:val="0"/>
          <w:i w:val="0"/>
        </w:rPr>
        <w:t xml:space="preserve">; </w:t>
      </w:r>
      <w:r>
        <w:rPr>
          <w:b w:val="0"/>
          <w:i/>
        </w:rPr>
        <w:t>consonantia</w:t>
      </w:r>
      <w:r>
        <w:rPr>
          <w:b w:val="0"/>
          <w:i w:val="0"/>
        </w:rPr>
        <w:t xml:space="preserve">; </w:t>
      </w:r>
      <w:r>
        <w:rPr>
          <w:b w:val="0"/>
          <w:i/>
        </w:rPr>
        <w:t>consonantior</w:t>
      </w:r>
      <w:r>
        <w:rPr>
          <w:b w:val="0"/>
          <w:i w:val="0"/>
        </w:rPr>
        <w:t xml:space="preserve">; </w:t>
      </w:r>
      <w:r>
        <w:rPr>
          <w:b w:val="0"/>
          <w:i/>
        </w:rPr>
        <w:t>consonat</w:t>
      </w:r>
      <w:r>
        <w:rPr>
          <w:b w:val="0"/>
          <w:i w:val="0"/>
        </w:rPr>
        <w:t>.</w:t>
      </w:r>
    </w:p>
    <w:p>
      <w:pPr>
        <w:widowControl/>
      </w:pPr>
      <w:r>
        <w:rPr>
          <w:b w:val="0"/>
          <w:i w:val="0"/>
        </w:rPr>
        <w:t xml:space="preserve">Evenness, proportional agreement and harmony. The Magian account links the soul’s self-agreement to truth and goodness, illustrated by circularity and tuning. Later, equality itself is a standard used by mind when judging different participants, not an enlarged bodily measure. References: </w:t>
      </w:r>
      <w:hyperlink w:anchor="passage-viii-2-4">
        <w:r>
          <w:rPr>
            <w:color w:val="000000"/>
          </w:rPr>
          <w:t xml:space="preserve">VIII.2.4</w:t>
        </w:r>
      </w:hyperlink>
      <w:r>
        <w:rPr>
          <w:b w:val="0"/>
          <w:i w:val="0"/>
        </w:rPr>
        <w:t xml:space="preserve">, </w:t>
      </w:r>
      <w:hyperlink w:anchor="passage-viii-6-1">
        <w:r>
          <w:rPr>
            <w:color w:val="000000"/>
          </w:rPr>
          <w:t xml:space="preserve">VIII.6.1</w:t>
        </w:r>
      </w:hyperlink>
      <w:r>
        <w:rPr>
          <w:b w:val="0"/>
          <w:i w:val="0"/>
        </w:rPr>
        <w:t xml:space="preserve">. See </w:t>
      </w:r>
      <w:hyperlink w:anchor="viii-virtue-equality">
        <w:r>
          <w:rPr>
            <w:color w:val="000000"/>
          </w:rPr>
          <w:t xml:space="preserve">Spiritual equality, the line, and the tuned lyre</w:t>
        </w:r>
      </w:hyperlink>
      <w:r>
        <w:rPr>
          <w:b w:val="0"/>
          <w:i w:val="0"/>
        </w:rPr>
        <w:t>.</w:t>
      </w:r>
    </w:p>
    <w:p>
      <w:pPr>
        <w:keepNext/>
        <w:widowControl/>
      </w:pPr>
      <w:bookmarkStart w:id="282" w:name="latin-record-0041"/>
      <w:bookmarkEnd w:id="282"/>
      <w:r>
        <w:rPr>
          <w:b/>
          <w:i w:val="0"/>
        </w:rPr>
        <w:t>aequalitas summa</w:t>
      </w:r>
      <w:r>
        <w:rPr>
          <w:b/>
          <w:i w:val="0"/>
        </w:rPr>
        <w:t>.</w:t>
      </w:r>
      <w:r>
        <w:rPr>
          <w:b w:val="0"/>
          <w:i w:val="0"/>
        </w:rPr>
        <w:t xml:space="preserve"> Printed forms: </w:t>
      </w:r>
      <w:r>
        <w:rPr>
          <w:b w:val="0"/>
          <w:i/>
        </w:rPr>
        <w:t>aequalitatem summam</w:t>
      </w:r>
      <w:r>
        <w:rPr>
          <w:b w:val="0"/>
          <w:i w:val="0"/>
        </w:rPr>
        <w:t xml:space="preserve">; </w:t>
      </w:r>
      <w:r>
        <w:rPr>
          <w:b w:val="0"/>
          <w:i/>
        </w:rPr>
        <w:t>aequalitatis ipsius</w:t>
      </w:r>
      <w:r>
        <w:rPr>
          <w:b w:val="0"/>
          <w:i w:val="0"/>
        </w:rPr>
        <w:t xml:space="preserve">; </w:t>
      </w:r>
      <w:r>
        <w:rPr>
          <w:b w:val="0"/>
          <w:i/>
        </w:rPr>
        <w:t>summae aequalitati</w:t>
      </w:r>
      <w:r>
        <w:rPr>
          <w:b w:val="0"/>
          <w:i w:val="0"/>
        </w:rPr>
        <w:t>.</w:t>
      </w:r>
    </w:p>
    <w:p>
      <w:pPr>
        <w:widowControl/>
      </w:pPr>
      <w:r>
        <w:rPr>
          <w:b w:val="0"/>
          <w:i w:val="0"/>
        </w:rPr>
        <w:t xml:space="preserve">Supreme equality as the standard of more and less equal things. Mind mediates cognitively between participants and equality itself; its qualified matching to the standard does not make it God. References: </w:t>
      </w:r>
      <w:hyperlink w:anchor="passage-viii-6-1">
        <w:r>
          <w:rPr>
            <w:color w:val="000000"/>
          </w:rPr>
          <w:t xml:space="preserve">VIII.6.1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283" w:name="latin-record-0042"/>
      <w:bookmarkEnd w:id="283"/>
      <w:r>
        <w:rPr>
          <w:b/>
          <w:i w:val="0"/>
        </w:rPr>
        <w:t>aequaliter; aeque; aequare</w:t>
      </w:r>
      <w:r>
        <w:rPr>
          <w:b/>
          <w:i w:val="0"/>
        </w:rPr>
        <w:t>.</w:t>
      </w:r>
      <w:r>
        <w:rPr>
          <w:b w:val="0"/>
          <w:i w:val="0"/>
        </w:rPr>
        <w:t xml:space="preserve"> Printed forms: </w:t>
      </w:r>
      <w:r>
        <w:rPr>
          <w:b w:val="0"/>
          <w:i/>
        </w:rPr>
        <w:t>aequans</w:t>
      </w:r>
      <w:r>
        <w:rPr>
          <w:b w:val="0"/>
          <w:i w:val="0"/>
        </w:rPr>
        <w:t xml:space="preserve">; </w:t>
      </w:r>
      <w:r>
        <w:rPr>
          <w:b w:val="0"/>
          <w:i/>
        </w:rPr>
        <w:t>aequari</w:t>
      </w:r>
      <w:r>
        <w:rPr>
          <w:b w:val="0"/>
          <w:i w:val="0"/>
        </w:rPr>
        <w:t xml:space="preserve">; </w:t>
      </w:r>
      <w:r>
        <w:rPr>
          <w:b w:val="0"/>
          <w:i/>
        </w:rPr>
        <w:t>aeque</w:t>
      </w:r>
      <w:r>
        <w:rPr>
          <w:b w:val="0"/>
          <w:i w:val="0"/>
        </w:rPr>
        <w:t>.</w:t>
      </w:r>
    </w:p>
    <w:p>
      <w:pPr>
        <w:widowControl/>
      </w:pPr>
      <w:r>
        <w:rPr>
          <w:b w:val="0"/>
          <w:i w:val="0"/>
        </w:rPr>
        <w:t xml:space="preserve">Equally, matching or coinciding, with the respect specified by context. Equal relation to all parts concerns the unlocated point, exact coincidence concerns bodies in place, and matching size belongs to the rejected quantitative soul hypothesis. References: </w:t>
      </w:r>
      <w:hyperlink w:anchor="passage-vi-2-19">
        <w:r>
          <w:rPr>
            <w:color w:val="000000"/>
          </w:rPr>
          <w:t xml:space="preserve">VI.2.19</w:t>
        </w:r>
      </w:hyperlink>
      <w:r>
        <w:rPr>
          <w:b w:val="0"/>
          <w:i w:val="0"/>
        </w:rPr>
        <w:t xml:space="preserve">, </w:t>
      </w:r>
      <w:hyperlink w:anchor="passage-vi-9-1">
        <w:r>
          <w:rPr>
            <w:color w:val="000000"/>
          </w:rPr>
          <w:t xml:space="preserve">VI.9.1</w:t>
        </w:r>
      </w:hyperlink>
      <w:r>
        <w:rPr>
          <w:b w:val="0"/>
          <w:i w:val="0"/>
        </w:rPr>
        <w:t xml:space="preserve">, </w:t>
      </w:r>
      <w:hyperlink w:anchor="passage-vi-13-3">
        <w:r>
          <w:rPr>
            <w:color w:val="000000"/>
          </w:rPr>
          <w:t xml:space="preserve">VI.13.3</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284" w:name="latin-record-0043"/>
      <w:bookmarkEnd w:id="284"/>
      <w:r>
        <w:rPr>
          <w:b/>
          <w:i w:val="0"/>
        </w:rPr>
        <w:t>aequare in loco</w:t>
      </w:r>
      <w:r>
        <w:rPr>
          <w:b/>
          <w:i w:val="0"/>
        </w:rPr>
        <w:t>.</w:t>
      </w:r>
      <w:r>
        <w:rPr>
          <w:b w:val="0"/>
          <w:i w:val="0"/>
        </w:rPr>
        <w:t xml:space="preserve"> Printed forms: </w:t>
      </w:r>
      <w:r>
        <w:rPr>
          <w:b w:val="0"/>
          <w:i/>
        </w:rPr>
        <w:t>in eodem loco</w:t>
      </w:r>
      <w:r>
        <w:rPr>
          <w:b w:val="0"/>
          <w:i w:val="0"/>
        </w:rPr>
        <w:t xml:space="preserve">; </w:t>
      </w:r>
      <w:r>
        <w:rPr>
          <w:b w:val="0"/>
          <w:i/>
        </w:rPr>
        <w:t>invicem aequari</w:t>
      </w:r>
      <w:r>
        <w:rPr>
          <w:b w:val="0"/>
          <w:i w:val="0"/>
        </w:rPr>
        <w:t>.</w:t>
      </w:r>
    </w:p>
    <w:p>
      <w:pPr>
        <w:widowControl/>
      </w:pPr>
      <w:r>
        <w:rPr>
          <w:b w:val="0"/>
          <w:i w:val="0"/>
        </w:rPr>
        <w:t xml:space="preserve">To coincide entirely in the same place. The proof denies exact bodily co-occupation, not merely ordinary mixing of parts. References: </w:t>
      </w:r>
      <w:hyperlink w:anchor="passage-vi-9-1">
        <w:r>
          <w:rPr>
            <w:color w:val="000000"/>
          </w:rPr>
          <w:t xml:space="preserve">VI.9.1</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285" w:name="latin-record-0044"/>
      <w:bookmarkEnd w:id="285"/>
      <w:r>
        <w:rPr>
          <w:b/>
          <w:i w:val="0"/>
        </w:rPr>
        <w:t>aequari / aequare</w:t>
      </w:r>
      <w:r>
        <w:rPr>
          <w:b/>
          <w:i w:val="0"/>
        </w:rPr>
        <w:t>.</w:t>
      </w:r>
      <w:r>
        <w:rPr>
          <w:b w:val="0"/>
          <w:i w:val="0"/>
        </w:rPr>
        <w:t xml:space="preserve"> Printed forms: </w:t>
      </w:r>
      <w:r>
        <w:rPr>
          <w:b w:val="0"/>
          <w:i/>
        </w:rPr>
        <w:t>aequabitur</w:t>
      </w:r>
      <w:r>
        <w:rPr>
          <w:b w:val="0"/>
          <w:i w:val="0"/>
        </w:rPr>
        <w:t xml:space="preserve">; </w:t>
      </w:r>
      <w:r>
        <w:rPr>
          <w:b w:val="0"/>
          <w:i/>
        </w:rPr>
        <w:t>aequantur</w:t>
      </w:r>
      <w:r>
        <w:rPr>
          <w:b w:val="0"/>
          <w:i w:val="0"/>
        </w:rPr>
        <w:t xml:space="preserve">; </w:t>
      </w:r>
      <w:r>
        <w:rPr>
          <w:b w:val="0"/>
          <w:i/>
        </w:rPr>
        <w:t>aequare</w:t>
      </w:r>
      <w:r>
        <w:rPr>
          <w:b w:val="0"/>
          <w:i w:val="0"/>
        </w:rPr>
        <w:t xml:space="preserve">; </w:t>
      </w:r>
      <w:r>
        <w:rPr>
          <w:b w:val="0"/>
          <w:i/>
        </w:rPr>
        <w:t>aequari</w:t>
      </w:r>
      <w:r>
        <w:rPr>
          <w:b w:val="0"/>
          <w:i w:val="0"/>
        </w:rPr>
        <w:t xml:space="preserve">; </w:t>
      </w:r>
      <w:r>
        <w:rPr>
          <w:b w:val="0"/>
          <w:i/>
        </w:rPr>
        <w:t>aequat</w:t>
      </w:r>
      <w:r>
        <w:rPr>
          <w:b w:val="0"/>
          <w:i w:val="0"/>
        </w:rPr>
        <w:t xml:space="preserve">; </w:t>
      </w:r>
      <w:r>
        <w:rPr>
          <w:b w:val="0"/>
          <w:i/>
        </w:rPr>
        <w:t>aequatur</w:t>
      </w:r>
      <w:r>
        <w:rPr>
          <w:b w:val="0"/>
          <w:i w:val="0"/>
        </w:rPr>
        <w:t>.</w:t>
      </w:r>
    </w:p>
    <w:p>
      <w:pPr>
        <w:widowControl/>
      </w:pPr>
      <w:r>
        <w:rPr>
          <w:b w:val="0"/>
          <w:i w:val="0"/>
        </w:rPr>
        <w:t xml:space="preserve">Equalling or matching, by quantity or by cognitive correspondence according to context. Bodies cannot match every magnitude at once; mind matches different objects by understanding and is only qualifiedly matched to infinity. References: </w:t>
      </w:r>
      <w:hyperlink w:anchor="passage-viii-3-1">
        <w:r>
          <w:rPr>
            <w:color w:val="000000"/>
          </w:rPr>
          <w:t xml:space="preserve">VIII.3.1</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4-13">
        <w:r>
          <w:rPr>
            <w:color w:val="000000"/>
          </w:rPr>
          <w:t xml:space="preserve">VIII.4.13</w:t>
        </w:r>
      </w:hyperlink>
      <w:r>
        <w:rPr>
          <w:b w:val="0"/>
          <w:i w:val="0"/>
        </w:rPr>
        <w:t xml:space="preserve">, </w:t>
      </w:r>
      <w:hyperlink w:anchor="passage-viii-6-1">
        <w:r>
          <w:rPr>
            <w:color w:val="000000"/>
          </w:rPr>
          <w:t xml:space="preserve">VIII.6.1</w:t>
        </w:r>
      </w:hyperlink>
      <w:r>
        <w:rPr>
          <w:b w:val="0"/>
          <w:i w:val="0"/>
        </w:rPr>
        <w:t xml:space="preserve">, </w:t>
      </w:r>
      <w:hyperlink w:anchor="passage-viii-9-1">
        <w:r>
          <w:rPr>
            <w:color w:val="000000"/>
          </w:rPr>
          <w:t xml:space="preserve">VIII.9.1</w:t>
        </w:r>
      </w:hyperlink>
      <w:r>
        <w:rPr>
          <w:b w:val="0"/>
          <w:i w:val="0"/>
        </w:rPr>
        <w:t xml:space="preserve">, </w:t>
      </w:r>
      <w:hyperlink w:anchor="passage-viii-16-3">
        <w:r>
          <w:rPr>
            <w:color w:val="000000"/>
          </w:rPr>
          <w:t xml:space="preserve">VIII.16.3</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286" w:name="latin-record-0045"/>
      <w:bookmarkEnd w:id="286"/>
      <w:r>
        <w:rPr>
          <w:b/>
          <w:i w:val="0"/>
        </w:rPr>
        <w:t>aequatio</w:t>
      </w:r>
      <w:r>
        <w:rPr>
          <w:b/>
          <w:i w:val="0"/>
        </w:rPr>
        <w:t>.</w:t>
      </w:r>
      <w:r>
        <w:rPr>
          <w:b w:val="0"/>
          <w:i w:val="0"/>
        </w:rPr>
        <w:t xml:space="preserve"> Printed forms: </w:t>
      </w:r>
      <w:r>
        <w:rPr>
          <w:b w:val="0"/>
          <w:i/>
        </w:rPr>
        <w:t>aequationem</w:t>
      </w:r>
      <w:r>
        <w:rPr>
          <w:b w:val="0"/>
          <w:i w:val="0"/>
        </w:rPr>
        <w:t>.</w:t>
      </w:r>
    </w:p>
    <w:p>
      <w:pPr>
        <w:widowControl/>
      </w:pPr>
      <w:r>
        <w:rPr>
          <w:b w:val="0"/>
          <w:i w:val="0"/>
        </w:rPr>
        <w:t xml:space="preserve">A matching or correspondence, here between mind and what it knows. Ficino argues that knowledge is perfected through a certain correspondence and that knowing infinity therefore requires a qualified matching capacity. This is a premise of his philosophical argument, not a claim that defining infinity yields infinitely much information. References: </w:t>
      </w:r>
      <w:hyperlink w:anchor="passage-viii-16-3">
        <w:r>
          <w:rPr>
            <w:color w:val="000000"/>
          </w:rPr>
          <w:t xml:space="preserve">VIII.16.3</w:t>
        </w:r>
      </w:hyperlink>
      <w:r>
        <w:rPr>
          <w:b w:val="0"/>
          <w:i w:val="0"/>
        </w:rPr>
        <w:t xml:space="preserve">. See </w:t>
      </w:r>
      <w:hyperlink w:anchor="viii-infinity-measure">
        <w:r>
          <w:rPr>
            <w:color w:val="000000"/>
          </w:rPr>
          <w:t xml:space="preserve">Measuring infinity and thinking being and nonbeing</w:t>
        </w:r>
      </w:hyperlink>
      <w:r>
        <w:rPr>
          <w:b w:val="0"/>
          <w:i w:val="0"/>
        </w:rPr>
        <w:t>.</w:t>
      </w:r>
    </w:p>
    <w:p>
      <w:pPr>
        <w:keepNext/>
        <w:widowControl/>
      </w:pPr>
      <w:bookmarkStart w:id="287" w:name="latin-record-0046"/>
      <w:bookmarkEnd w:id="287"/>
      <w:r>
        <w:rPr>
          <w:b/>
          <w:i w:val="0"/>
        </w:rPr>
        <w:t>aes / aeneus</w:t>
      </w:r>
      <w:r>
        <w:rPr>
          <w:b/>
          <w:i w:val="0"/>
        </w:rPr>
        <w:t>.</w:t>
      </w:r>
      <w:r>
        <w:rPr>
          <w:b w:val="0"/>
          <w:i w:val="0"/>
        </w:rPr>
        <w:t xml:space="preserve"> Printed forms: </w:t>
      </w:r>
      <w:r>
        <w:rPr>
          <w:b w:val="0"/>
          <w:i/>
        </w:rPr>
        <w:t>Aeneus</w:t>
      </w:r>
      <w:r>
        <w:rPr>
          <w:b w:val="0"/>
          <w:i w:val="0"/>
        </w:rPr>
        <w:t xml:space="preserve">; </w:t>
      </w:r>
      <w:r>
        <w:rPr>
          <w:b w:val="0"/>
          <w:i/>
        </w:rPr>
        <w:t>aeris</w:t>
      </w:r>
      <w:r>
        <w:rPr>
          <w:b w:val="0"/>
          <w:i w:val="0"/>
        </w:rPr>
        <w:t xml:space="preserve">; </w:t>
      </w:r>
      <w:r>
        <w:rPr>
          <w:b w:val="0"/>
          <w:i/>
        </w:rPr>
        <w:t>aes</w:t>
      </w:r>
      <w:r>
        <w:rPr>
          <w:b w:val="0"/>
          <w:i w:val="0"/>
        </w:rPr>
        <w:t>.</w:t>
      </w:r>
    </w:p>
    <w:p>
      <w:pPr>
        <w:widowControl/>
      </w:pPr>
      <w:r>
        <w:rPr>
          <w:b w:val="0"/>
          <w:i w:val="0"/>
        </w:rPr>
        <w:t xml:space="preserve">Bronze and made of bronze, the common material of different representations. A bronze horse and human figure differ through impressed likeness, not through the bronze shared by both. References: </w:t>
      </w:r>
      <w:hyperlink w:anchor="passage-v-8-1">
        <w:r>
          <w:rPr>
            <w:color w:val="000000"/>
          </w:rPr>
          <w:t xml:space="preserve">V.8.1</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288" w:name="latin-record-0047"/>
      <w:bookmarkEnd w:id="288"/>
      <w:r>
        <w:rPr>
          <w:b/>
          <w:i w:val="0"/>
        </w:rPr>
        <w:t>aetas perfecta</w:t>
      </w:r>
      <w:r>
        <w:rPr>
          <w:b/>
          <w:i w:val="0"/>
        </w:rPr>
        <w:t>.</w:t>
      </w:r>
      <w:r>
        <w:rPr>
          <w:b w:val="0"/>
          <w:i w:val="0"/>
        </w:rPr>
        <w:t xml:space="preserve"> Printed forms: </w:t>
      </w:r>
      <w:r>
        <w:rPr>
          <w:b w:val="0"/>
          <w:i/>
        </w:rPr>
        <w:t>aetate adulta</w:t>
      </w:r>
      <w:r>
        <w:rPr>
          <w:b w:val="0"/>
          <w:i w:val="0"/>
        </w:rPr>
        <w:t xml:space="preserve">; </w:t>
      </w:r>
      <w:r>
        <w:rPr>
          <w:b w:val="0"/>
          <w:i/>
        </w:rPr>
        <w:t>aetate perfecta</w:t>
      </w:r>
      <w:r>
        <w:rPr>
          <w:b w:val="0"/>
          <w:i w:val="0"/>
        </w:rPr>
        <w:t>.</w:t>
      </w:r>
    </w:p>
    <w:p>
      <w:pPr>
        <w:widowControl/>
      </w:pPr>
      <w:r>
        <w:rPr>
          <w:b w:val="0"/>
          <w:i w:val="0"/>
        </w:rPr>
        <w:t xml:space="preserve">Perfected or adult age. The imagined person is mature immediately, removing the bodily disturbance Ficino assigns to childhood cognition. References: </w:t>
      </w:r>
      <w:hyperlink w:anchor="passage-vi-2-12">
        <w:r>
          <w:rPr>
            <w:color w:val="000000"/>
          </w:rPr>
          <w:t xml:space="preserve">VI.2.12</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289" w:name="latin-record-0048"/>
      <w:bookmarkEnd w:id="289"/>
      <w:r>
        <w:rPr>
          <w:b/>
          <w:i w:val="0"/>
        </w:rPr>
        <w:t>aeternus / aeternitas</w:t>
      </w:r>
      <w:r>
        <w:rPr>
          <w:b/>
          <w:i w:val="0"/>
        </w:rPr>
        <w:t>.</w:t>
      </w:r>
      <w:r>
        <w:rPr>
          <w:b w:val="0"/>
          <w:i w:val="0"/>
        </w:rPr>
        <w:t xml:space="preserve"> Printed forms: </w:t>
      </w:r>
      <w:r>
        <w:rPr>
          <w:b w:val="0"/>
          <w:i/>
        </w:rPr>
        <w:t>aeternitas</w:t>
      </w:r>
      <w:r>
        <w:rPr>
          <w:b w:val="0"/>
          <w:i w:val="0"/>
        </w:rPr>
        <w:t xml:space="preserve">; </w:t>
      </w:r>
      <w:r>
        <w:rPr>
          <w:b w:val="0"/>
          <w:i/>
        </w:rPr>
        <w:t>aeternus</w:t>
      </w:r>
      <w:r>
        <w:rPr>
          <w:b w:val="0"/>
          <w:i w:val="0"/>
        </w:rPr>
        <w:t>.</w:t>
      </w:r>
    </w:p>
    <w:p>
      <w:pPr>
        <w:widowControl/>
      </w:pPr>
      <w:r>
        <w:rPr>
          <w:b w:val="0"/>
          <w:i w:val="0"/>
        </w:rPr>
        <w:t xml:space="preserve">Eternal or eternity, here inferred from independence of nourishment or stable contemplative being. The no-food alternative is brief and conditional; the repose argument derives eternity from the mode of perfection. Neither cancels the elsewhere explicit future-only alternative. References: </w:t>
      </w:r>
      <w:hyperlink w:anchor="passage-viii-2-2">
        <w:r>
          <w:rPr>
            <w:color w:val="000000"/>
          </w:rPr>
          <w:t xml:space="preserve">VIII.2.2</w:t>
        </w:r>
      </w:hyperlink>
      <w:r>
        <w:rPr>
          <w:b w:val="0"/>
          <w:i w:val="0"/>
        </w:rPr>
        <w:t xml:space="preserve">, </w:t>
      </w:r>
      <w:hyperlink w:anchor="passage-viii-11-1">
        <w:r>
          <w:rPr>
            <w:color w:val="000000"/>
          </w:rPr>
          <w:t xml:space="preserve">VIII.11.1</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290" w:name="latin-record-0049"/>
      <w:bookmarkEnd w:id="290"/>
      <w:r>
        <w:rPr>
          <w:b/>
          <w:i w:val="0"/>
        </w:rPr>
        <w:t>affectus; imaginatio</w:t>
      </w:r>
      <w:r>
        <w:rPr>
          <w:b/>
          <w:i w:val="0"/>
        </w:rPr>
        <w:t>.</w:t>
      </w:r>
      <w:r>
        <w:rPr>
          <w:b w:val="0"/>
          <w:i w:val="0"/>
        </w:rPr>
        <w:t xml:space="preserve"> Printed forms: </w:t>
      </w:r>
      <w:r>
        <w:rPr>
          <w:b w:val="0"/>
          <w:i/>
        </w:rPr>
        <w:t>affectu</w:t>
      </w:r>
      <w:r>
        <w:rPr>
          <w:b w:val="0"/>
          <w:i w:val="0"/>
        </w:rPr>
        <w:t xml:space="preserve">; </w:t>
      </w:r>
      <w:r>
        <w:rPr>
          <w:b w:val="0"/>
          <w:i/>
        </w:rPr>
        <w:t>imaginatione corporali</w:t>
      </w:r>
      <w:r>
        <w:rPr>
          <w:b w:val="0"/>
          <w:i w:val="0"/>
        </w:rPr>
        <w:t>.</w:t>
      </w:r>
    </w:p>
    <w:p>
      <w:pPr>
        <w:widowControl/>
      </w:pPr>
      <w:r>
        <w:rPr>
          <w:b w:val="0"/>
          <w:i w:val="0"/>
        </w:rPr>
        <w:t xml:space="preserve">Affective engagement and bodily imagination. They are among the activities from which attention is to be withdrawn for the proposed intellectual experiment. References: </w:t>
      </w:r>
      <w:hyperlink w:anchor="passage-vi-2-10">
        <w:r>
          <w:rPr>
            <w:color w:val="000000"/>
          </w:rPr>
          <w:t xml:space="preserve">VI.2.10</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291" w:name="latin-record-0050"/>
      <w:bookmarkEnd w:id="291"/>
      <w:r>
        <w:rPr>
          <w:b/>
          <w:i w:val="0"/>
        </w:rPr>
        <w:t>affigere / coniungere</w:t>
      </w:r>
      <w:r>
        <w:rPr>
          <w:b/>
          <w:i w:val="0"/>
        </w:rPr>
        <w:t>.</w:t>
      </w:r>
      <w:r>
        <w:rPr>
          <w:b w:val="0"/>
          <w:i w:val="0"/>
        </w:rPr>
        <w:t xml:space="preserve"> Printed forms: </w:t>
      </w:r>
      <w:r>
        <w:rPr>
          <w:b w:val="0"/>
          <w:i/>
        </w:rPr>
        <w:t>affigitur</w:t>
      </w:r>
      <w:r>
        <w:rPr>
          <w:b w:val="0"/>
          <w:i w:val="0"/>
        </w:rPr>
        <w:t xml:space="preserve">; </w:t>
      </w:r>
      <w:r>
        <w:rPr>
          <w:b w:val="0"/>
          <w:i/>
        </w:rPr>
        <w:t>coniungi</w:t>
      </w:r>
      <w:r>
        <w:rPr>
          <w:b w:val="0"/>
          <w:i w:val="0"/>
        </w:rPr>
        <w:t>.</w:t>
      </w:r>
    </w:p>
    <w:p>
      <w:pPr>
        <w:widowControl/>
      </w:pPr>
      <w:r>
        <w:rPr>
          <w:b w:val="0"/>
          <w:i w:val="0"/>
        </w:rPr>
        <w:t xml:space="preserve">To fasten to, or join with. Light is said not to be fixed to a body but able to join the light of our spirit. The two relations are not interchangeable. References: </w:t>
      </w:r>
      <w:hyperlink w:anchor="passage-vii-1-3">
        <w:r>
          <w:rPr>
            <w:color w:val="000000"/>
          </w:rPr>
          <w:t xml:space="preserve">VII.1.3</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292" w:name="latin-record-0051"/>
      <w:bookmarkEnd w:id="292"/>
      <w:r>
        <w:rPr>
          <w:b/>
          <w:i w:val="0"/>
        </w:rPr>
        <w:t>affigere; avellere</w:t>
      </w:r>
      <w:r>
        <w:rPr>
          <w:b/>
          <w:i w:val="0"/>
        </w:rPr>
        <w:t>.</w:t>
      </w:r>
      <w:r>
        <w:rPr>
          <w:b w:val="0"/>
          <w:i w:val="0"/>
        </w:rPr>
        <w:t xml:space="preserve"> Printed forms: </w:t>
      </w:r>
      <w:r>
        <w:rPr>
          <w:b w:val="0"/>
          <w:i/>
        </w:rPr>
        <w:t>affiguntur terrae</w:t>
      </w:r>
      <w:r>
        <w:rPr>
          <w:b w:val="0"/>
          <w:i w:val="0"/>
        </w:rPr>
        <w:t xml:space="preserve">; </w:t>
      </w:r>
      <w:r>
        <w:rPr>
          <w:b w:val="0"/>
          <w:i/>
        </w:rPr>
        <w:t>avulsa</w:t>
      </w:r>
      <w:r>
        <w:rPr>
          <w:b w:val="0"/>
          <w:i w:val="0"/>
        </w:rPr>
        <w:t>.</w:t>
      </w:r>
    </w:p>
    <w:p>
      <w:pPr>
        <w:widowControl/>
      </w:pPr>
      <w:r>
        <w:rPr>
          <w:b w:val="0"/>
          <w:i w:val="0"/>
        </w:rPr>
        <w:t xml:space="preserve">To be attached to earth and torn away. The reported Platonist account ties growth plus unity to attachment, while only unity persists after severance. References: </w:t>
      </w:r>
      <w:hyperlink w:anchor="passage-vi-8-7">
        <w:r>
          <w:rPr>
            <w:color w:val="000000"/>
          </w:rPr>
          <w:t xml:space="preserve">VI.8.7</w:t>
        </w:r>
      </w:hyperlink>
      <w:r>
        <w:rPr>
          <w:b w:val="0"/>
          <w:i w:val="0"/>
        </w:rPr>
        <w:t xml:space="preserve">. See </w:t>
      </w:r>
      <w:hyperlink w:anchor="earth-wood-and-severed-stones">
        <w:r>
          <w:rPr>
            <w:color w:val="000000"/>
          </w:rPr>
          <w:t xml:space="preserve">Earth, wood and severed stones</w:t>
        </w:r>
      </w:hyperlink>
      <w:r>
        <w:rPr>
          <w:b w:val="0"/>
          <w:i w:val="0"/>
        </w:rPr>
        <w:t>.</w:t>
      </w:r>
    </w:p>
    <w:p>
      <w:pPr>
        <w:keepNext/>
        <w:widowControl/>
      </w:pPr>
      <w:bookmarkStart w:id="293" w:name="latin-record-0052"/>
      <w:bookmarkEnd w:id="293"/>
      <w:r>
        <w:rPr>
          <w:b/>
          <w:i w:val="0"/>
        </w:rPr>
        <w:t>affigere; situs</w:t>
      </w:r>
      <w:r>
        <w:rPr>
          <w:b/>
          <w:i w:val="0"/>
        </w:rPr>
        <w:t>.</w:t>
      </w:r>
      <w:r>
        <w:rPr>
          <w:b w:val="0"/>
          <w:i w:val="0"/>
        </w:rPr>
        <w:t xml:space="preserve"> Printed forms: </w:t>
      </w:r>
      <w:r>
        <w:rPr>
          <w:b w:val="0"/>
          <w:i/>
        </w:rPr>
        <w:t>affixum</w:t>
      </w:r>
      <w:r>
        <w:rPr>
          <w:b w:val="0"/>
          <w:i w:val="0"/>
        </w:rPr>
        <w:t xml:space="preserve">; </w:t>
      </w:r>
      <w:r>
        <w:rPr>
          <w:b w:val="0"/>
          <w:i/>
        </w:rPr>
        <w:t>determinato situ</w:t>
      </w:r>
      <w:r>
        <w:rPr>
          <w:b w:val="0"/>
          <w:i w:val="0"/>
        </w:rPr>
        <w:t>.</w:t>
      </w:r>
    </w:p>
    <w:p>
      <w:pPr>
        <w:widowControl/>
      </w:pPr>
      <w:r>
        <w:rPr>
          <w:b w:val="0"/>
          <w:i w:val="0"/>
        </w:rPr>
        <w:t xml:space="preserve">To attach; determinate position. The fourth theory removes attachment to any member while retaining causal dependence on body or matter.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294" w:name="latin-record-0053"/>
      <w:bookmarkEnd w:id="294"/>
      <w:r>
        <w:rPr>
          <w:b/>
          <w:i w:val="0"/>
        </w:rPr>
        <w:t>affirmare esse</w:t>
      </w:r>
      <w:r>
        <w:rPr>
          <w:b/>
          <w:i w:val="0"/>
        </w:rPr>
        <w:t>.</w:t>
      </w:r>
      <w:r>
        <w:rPr>
          <w:b w:val="0"/>
          <w:i w:val="0"/>
        </w:rPr>
        <w:t xml:space="preserve"> Printed forms: </w:t>
      </w:r>
      <w:r>
        <w:rPr>
          <w:b w:val="0"/>
          <w:i/>
        </w:rPr>
        <w:t>affirmabit esse se ipsam</w:t>
      </w:r>
      <w:r>
        <w:rPr>
          <w:b w:val="0"/>
          <w:i w:val="0"/>
        </w:rPr>
        <w:t xml:space="preserve">; </w:t>
      </w:r>
      <w:r>
        <w:rPr>
          <w:b w:val="0"/>
          <w:i/>
        </w:rPr>
        <w:t>esse se prorsus incorporalem</w:t>
      </w:r>
      <w:r>
        <w:rPr>
          <w:b w:val="0"/>
          <w:i w:val="0"/>
        </w:rPr>
        <w:t>.</w:t>
      </w:r>
    </w:p>
    <w:p>
      <w:pPr>
        <w:widowControl/>
      </w:pPr>
      <w:r>
        <w:rPr>
          <w:b w:val="0"/>
          <w:i w:val="0"/>
        </w:rPr>
        <w:t xml:space="preserve">To affirm one’s existence, then one’s incorporeality. The second inference depends on Ficino’s account of uncorrupted natural judgement, not solely the first assertion. References: </w:t>
      </w:r>
      <w:hyperlink w:anchor="passage-vi-2-12">
        <w:r>
          <w:rPr>
            <w:color w:val="000000"/>
          </w:rPr>
          <w:t xml:space="preserve">VI.2.12</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295" w:name="latin-record-0054"/>
      <w:bookmarkEnd w:id="295"/>
      <w:r>
        <w:rPr>
          <w:b/>
          <w:i w:val="0"/>
        </w:rPr>
        <w:t>affirmare; asserere; asseverare</w:t>
      </w:r>
      <w:r>
        <w:rPr>
          <w:b/>
          <w:i w:val="0"/>
        </w:rPr>
        <w:t>.</w:t>
      </w:r>
      <w:r>
        <w:rPr>
          <w:b w:val="0"/>
          <w:i w:val="0"/>
        </w:rPr>
        <w:t xml:space="preserve"> Printed forms: </w:t>
      </w:r>
      <w:r>
        <w:rPr>
          <w:b w:val="0"/>
          <w:i/>
        </w:rPr>
        <w:t>affirmabit</w:t>
      </w:r>
      <w:r>
        <w:rPr>
          <w:b w:val="0"/>
          <w:i w:val="0"/>
        </w:rPr>
        <w:t xml:space="preserve">; </w:t>
      </w:r>
      <w:r>
        <w:rPr>
          <w:b w:val="0"/>
          <w:i/>
        </w:rPr>
        <w:t>affirmare</w:t>
      </w:r>
      <w:r>
        <w:rPr>
          <w:b w:val="0"/>
          <w:i w:val="0"/>
        </w:rPr>
        <w:t xml:space="preserve">; </w:t>
      </w:r>
      <w:r>
        <w:rPr>
          <w:b w:val="0"/>
          <w:i/>
        </w:rPr>
        <w:t>affirmari</w:t>
      </w:r>
      <w:r>
        <w:rPr>
          <w:b w:val="0"/>
          <w:i w:val="0"/>
        </w:rPr>
        <w:t xml:space="preserve">; </w:t>
      </w:r>
      <w:r>
        <w:rPr>
          <w:b w:val="0"/>
          <w:i/>
        </w:rPr>
        <w:t>affirmat</w:t>
      </w:r>
      <w:r>
        <w:rPr>
          <w:b w:val="0"/>
          <w:i w:val="0"/>
        </w:rPr>
        <w:t xml:space="preserve">; </w:t>
      </w:r>
      <w:r>
        <w:rPr>
          <w:b w:val="0"/>
          <w:i/>
        </w:rPr>
        <w:t>affirmatur</w:t>
      </w:r>
      <w:r>
        <w:rPr>
          <w:b w:val="0"/>
          <w:i w:val="0"/>
        </w:rPr>
        <w:t xml:space="preserve">; </w:t>
      </w:r>
      <w:r>
        <w:rPr>
          <w:b w:val="0"/>
          <w:i/>
        </w:rPr>
        <w:t>affirmetur</w:t>
      </w:r>
      <w:r>
        <w:rPr>
          <w:b w:val="0"/>
          <w:i w:val="0"/>
        </w:rPr>
        <w:t xml:space="preserve">; </w:t>
      </w:r>
      <w:r>
        <w:rPr>
          <w:b w:val="0"/>
          <w:i/>
        </w:rPr>
        <w:t>asseras</w:t>
      </w:r>
      <w:r>
        <w:rPr>
          <w:b w:val="0"/>
          <w:i w:val="0"/>
        </w:rPr>
        <w:t xml:space="preserve">; </w:t>
      </w:r>
      <w:r>
        <w:rPr>
          <w:b w:val="0"/>
          <w:i/>
        </w:rPr>
        <w:t>asseres</w:t>
      </w:r>
      <w:r>
        <w:rPr>
          <w:b w:val="0"/>
          <w:i w:val="0"/>
        </w:rPr>
        <w:t xml:space="preserve">; </w:t>
      </w:r>
      <w:r>
        <w:rPr>
          <w:b w:val="0"/>
          <w:i/>
        </w:rPr>
        <w:t>asseri</w:t>
      </w:r>
      <w:r>
        <w:rPr>
          <w:b w:val="0"/>
          <w:i w:val="0"/>
        </w:rPr>
        <w:t xml:space="preserve">; </w:t>
      </w:r>
      <w:r>
        <w:rPr>
          <w:b w:val="0"/>
          <w:i/>
        </w:rPr>
        <w:t>asserit</w:t>
      </w:r>
      <w:r>
        <w:rPr>
          <w:b w:val="0"/>
          <w:i w:val="0"/>
        </w:rPr>
        <w:t xml:space="preserve">; </w:t>
      </w:r>
      <w:r>
        <w:rPr>
          <w:b w:val="0"/>
          <w:i/>
        </w:rPr>
        <w:t>asseritur</w:t>
      </w:r>
      <w:r>
        <w:rPr>
          <w:b w:val="0"/>
          <w:i w:val="0"/>
        </w:rPr>
        <w:t xml:space="preserve">; </w:t>
      </w:r>
      <w:r>
        <w:rPr>
          <w:b w:val="0"/>
          <w:i/>
        </w:rPr>
        <w:t>asseverabimus</w:t>
      </w:r>
      <w:r>
        <w:rPr>
          <w:b w:val="0"/>
          <w:i w:val="0"/>
        </w:rPr>
        <w:t xml:space="preserve">; </w:t>
      </w:r>
      <w:r>
        <w:rPr>
          <w:b w:val="0"/>
          <w:i/>
        </w:rPr>
        <w:t>asseverabit</w:t>
      </w:r>
      <w:r>
        <w:rPr>
          <w:b w:val="0"/>
          <w:i w:val="0"/>
        </w:rPr>
        <w:t xml:space="preserve">; </w:t>
      </w:r>
      <w:r>
        <w:rPr>
          <w:b w:val="0"/>
          <w:i/>
        </w:rPr>
        <w:t>asseveraret</w:t>
      </w:r>
      <w:r>
        <w:rPr>
          <w:b w:val="0"/>
          <w:i w:val="0"/>
        </w:rPr>
        <w:t>.</w:t>
      </w:r>
    </w:p>
    <w:p>
      <w:pPr>
        <w:widowControl/>
      </w:pPr>
      <w:r>
        <w:rPr>
          <w:b w:val="0"/>
          <w:i w:val="0"/>
        </w:rPr>
        <w:t xml:space="preserve">To affirm, assert or maintain a proposition. The verbs can introduce an opponent’s hypothesis, the imagined adult’s self-affirmation, or Ficino’s own inference; who asserts and under what condition determines the force. References: </w:t>
      </w:r>
      <w:hyperlink w:anchor="passage-vi-1-1">
        <w:r>
          <w:rPr>
            <w:color w:val="000000"/>
          </w:rPr>
          <w:t xml:space="preserve">VI.1.1</w:t>
        </w:r>
      </w:hyperlink>
      <w:r>
        <w:rPr>
          <w:b w:val="0"/>
          <w:i w:val="0"/>
        </w:rPr>
        <w:t xml:space="preserve">, </w:t>
      </w:r>
      <w:hyperlink w:anchor="passage-vi-2-8">
        <w:r>
          <w:rPr>
            <w:color w:val="000000"/>
          </w:rPr>
          <w:t xml:space="preserve">VI.2.8</w:t>
        </w:r>
      </w:hyperlink>
      <w:r>
        <w:rPr>
          <w:b w:val="0"/>
          <w:i w:val="0"/>
        </w:rPr>
        <w:t xml:space="preserve">,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5-2">
        <w:r>
          <w:rPr>
            <w:color w:val="000000"/>
          </w:rPr>
          <w:t xml:space="preserve">VI.5.2</w:t>
        </w:r>
      </w:hyperlink>
      <w:r>
        <w:rPr>
          <w:b w:val="0"/>
          <w:i w:val="0"/>
        </w:rPr>
        <w:t xml:space="preserve">, </w:t>
      </w:r>
      <w:hyperlink w:anchor="passage-vi-5-4">
        <w:r>
          <w:rPr>
            <w:color w:val="000000"/>
          </w:rPr>
          <w:t xml:space="preserve">VI.5.4</w:t>
        </w:r>
      </w:hyperlink>
      <w:r>
        <w:rPr>
          <w:b w:val="0"/>
          <w:i w:val="0"/>
        </w:rPr>
        <w:t xml:space="preserve">, </w:t>
      </w:r>
      <w:hyperlink w:anchor="passage-vi-8-5">
        <w:r>
          <w:rPr>
            <w:color w:val="000000"/>
          </w:rPr>
          <w:t xml:space="preserve">VI.8.5</w:t>
        </w:r>
      </w:hyperlink>
      <w:r>
        <w:rPr>
          <w:b w:val="0"/>
          <w:i w:val="0"/>
        </w:rPr>
        <w:t xml:space="preserve">, </w:t>
      </w:r>
      <w:hyperlink w:anchor="passage-vi-12-4">
        <w:r>
          <w:rPr>
            <w:color w:val="000000"/>
          </w:rPr>
          <w:t xml:space="preserve">VI.12.4</w:t>
        </w:r>
      </w:hyperlink>
      <w:r>
        <w:rPr>
          <w:b w:val="0"/>
          <w:i w:val="0"/>
        </w:rPr>
        <w:t xml:space="preserve">, </w:t>
      </w:r>
      <w:hyperlink w:anchor="passage-vi-12-6">
        <w:r>
          <w:rPr>
            <w:color w:val="000000"/>
          </w:rPr>
          <w:t xml:space="preserve">VI.12.6</w:t>
        </w:r>
      </w:hyperlink>
      <w:r>
        <w:rPr>
          <w:b w:val="0"/>
          <w:i w:val="0"/>
        </w:rPr>
        <w:t xml:space="preserve">, </w:t>
      </w:r>
      <w:hyperlink w:anchor="passage-vi-12-7">
        <w:r>
          <w:rPr>
            <w:color w:val="000000"/>
          </w:rPr>
          <w:t xml:space="preserve">VI.12.7</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296" w:name="latin-record-0055"/>
      <w:bookmarkEnd w:id="296"/>
      <w:r>
        <w:rPr>
          <w:b/>
          <w:i w:val="0"/>
        </w:rPr>
        <w:t>agens; patiens</w:t>
      </w:r>
      <w:r>
        <w:rPr>
          <w:b/>
          <w:i w:val="0"/>
        </w:rPr>
        <w:t>.</w:t>
      </w:r>
      <w:r>
        <w:rPr>
          <w:b w:val="0"/>
          <w:i w:val="0"/>
        </w:rPr>
        <w:t xml:space="preserve"> Printed forms: </w:t>
      </w:r>
      <w:r>
        <w:rPr>
          <w:b w:val="0"/>
          <w:i/>
        </w:rPr>
        <w:t>ab agente in patiens</w:t>
      </w:r>
      <w:r>
        <w:rPr>
          <w:b w:val="0"/>
          <w:i w:val="0"/>
        </w:rPr>
        <w:t xml:space="preserve">; </w:t>
      </w:r>
      <w:r>
        <w:rPr>
          <w:b w:val="0"/>
          <w:i/>
        </w:rPr>
        <w:t>agat et patiatur</w:t>
      </w:r>
      <w:r>
        <w:rPr>
          <w:b w:val="0"/>
          <w:i w:val="0"/>
        </w:rPr>
        <w:t>.</w:t>
      </w:r>
    </w:p>
    <w:p>
      <w:pPr>
        <w:widowControl/>
      </w:pPr>
      <w:r>
        <w:rPr>
          <w:b w:val="0"/>
          <w:i w:val="0"/>
        </w:rPr>
        <w:t xml:space="preserve">Agent and recipient in a transitive causal passage. Ficino denies that psychic self-motion requires acting upon oneself in this manner. References: </w:t>
      </w:r>
      <w:hyperlink w:anchor="passage-vi-12-10">
        <w:r>
          <w:rPr>
            <w:color w:val="000000"/>
          </w:rPr>
          <w:t xml:space="preserve">VI.12.10</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297" w:name="latin-record-0056"/>
      <w:bookmarkEnd w:id="297"/>
      <w:r>
        <w:rPr>
          <w:b/>
          <w:i w:val="0"/>
        </w:rPr>
        <w:t>agentis virtus</w:t>
      </w:r>
      <w:r>
        <w:rPr>
          <w:b/>
          <w:i w:val="0"/>
        </w:rPr>
        <w:t>.</w:t>
      </w:r>
      <w:r>
        <w:rPr>
          <w:b w:val="0"/>
          <w:i w:val="0"/>
        </w:rPr>
        <w:t xml:space="preserve"> Printed forms: </w:t>
      </w:r>
      <w:r>
        <w:rPr>
          <w:b w:val="0"/>
          <w:i/>
        </w:rPr>
        <w:t>agentis virtute solummodo</w:t>
      </w:r>
      <w:r>
        <w:rPr>
          <w:b w:val="0"/>
          <w:i w:val="0"/>
        </w:rPr>
        <w:t>.</w:t>
      </w:r>
    </w:p>
    <w:p>
      <w:pPr>
        <w:widowControl/>
      </w:pPr>
      <w:r>
        <w:rPr>
          <w:b w:val="0"/>
          <w:i w:val="0"/>
        </w:rPr>
        <w:t xml:space="preserve">The agent’s or producer’s effective power. In the attested phrase, solummodo adds solely or alone; that exclusivity does not come from agentis virtus by itself. This excludes matter’s contributory beginning, capacity and tinder without excluding dependence on the higher producer. References: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298" w:name="latin-record-0057"/>
      <w:bookmarkEnd w:id="298"/>
      <w:r>
        <w:rPr>
          <w:b/>
          <w:i w:val="0"/>
        </w:rPr>
        <w:t>agere / efficere</w:t>
      </w:r>
      <w:r>
        <w:rPr>
          <w:b/>
          <w:i w:val="0"/>
        </w:rPr>
        <w:t>.</w:t>
      </w:r>
      <w:r>
        <w:rPr>
          <w:b w:val="0"/>
          <w:i w:val="0"/>
        </w:rPr>
        <w:t xml:space="preserve"> Printed forms: </w:t>
      </w:r>
      <w:r>
        <w:rPr>
          <w:b w:val="0"/>
          <w:i/>
        </w:rPr>
        <w:t>agendi</w:t>
      </w:r>
      <w:r>
        <w:rPr>
          <w:b w:val="0"/>
          <w:i w:val="0"/>
        </w:rPr>
        <w:t xml:space="preserve">; </w:t>
      </w:r>
      <w:r>
        <w:rPr>
          <w:b w:val="0"/>
          <w:i/>
        </w:rPr>
        <w:t>agens</w:t>
      </w:r>
      <w:r>
        <w:rPr>
          <w:b w:val="0"/>
          <w:i w:val="0"/>
        </w:rPr>
        <w:t xml:space="preserve">; </w:t>
      </w:r>
      <w:r>
        <w:rPr>
          <w:b w:val="0"/>
          <w:i/>
        </w:rPr>
        <w:t>agente</w:t>
      </w:r>
      <w:r>
        <w:rPr>
          <w:b w:val="0"/>
          <w:i w:val="0"/>
        </w:rPr>
        <w:t xml:space="preserve">; </w:t>
      </w:r>
      <w:r>
        <w:rPr>
          <w:b w:val="0"/>
          <w:i/>
        </w:rPr>
        <w:t>agentis</w:t>
      </w:r>
      <w:r>
        <w:rPr>
          <w:b w:val="0"/>
          <w:i w:val="0"/>
        </w:rPr>
        <w:t xml:space="preserve">; </w:t>
      </w:r>
      <w:r>
        <w:rPr>
          <w:b w:val="0"/>
          <w:i/>
        </w:rPr>
        <w:t>agit</w:t>
      </w:r>
      <w:r>
        <w:rPr>
          <w:b w:val="0"/>
          <w:i w:val="0"/>
        </w:rPr>
        <w:t xml:space="preserve">; </w:t>
      </w:r>
      <w:r>
        <w:rPr>
          <w:b w:val="0"/>
          <w:i/>
        </w:rPr>
        <w:t>efficit</w:t>
      </w:r>
      <w:r>
        <w:rPr>
          <w:b w:val="0"/>
          <w:i w:val="0"/>
        </w:rPr>
        <w:t xml:space="preserve">; </w:t>
      </w:r>
      <w:r>
        <w:rPr>
          <w:b w:val="0"/>
          <w:i/>
        </w:rPr>
        <w:t>efficitur</w:t>
      </w:r>
      <w:r>
        <w:rPr>
          <w:b w:val="0"/>
          <w:i w:val="0"/>
        </w:rPr>
        <w:t>.</w:t>
      </w:r>
    </w:p>
    <w:p>
      <w:pPr>
        <w:widowControl/>
      </w:pPr>
      <w:r>
        <w:rPr>
          <w:b w:val="0"/>
          <w:i w:val="0"/>
        </w:rPr>
        <w:t xml:space="preserve">To act or bring about an effect, and the acting agent. The book distinguishes natural production, creation and inward activity rather than making every agent a creator from nothing. References: </w:t>
      </w:r>
      <w:hyperlink w:anchor="passage-v-4-1">
        <w:r>
          <w:rPr>
            <w:color w:val="000000"/>
          </w:rPr>
          <w:t xml:space="preserve">V.4.1</w:t>
        </w:r>
      </w:hyperlink>
      <w:r>
        <w:rPr>
          <w:b w:val="0"/>
          <w:i w:val="0"/>
        </w:rPr>
        <w:t xml:space="preserve">, </w:t>
      </w:r>
      <w:hyperlink w:anchor="passage-v-4-6">
        <w:r>
          <w:rPr>
            <w:color w:val="000000"/>
          </w:rPr>
          <w:t xml:space="preserve">V.4.6</w:t>
        </w:r>
      </w:hyperlink>
      <w:r>
        <w:rPr>
          <w:b w:val="0"/>
          <w:i w:val="0"/>
        </w:rPr>
        <w:t xml:space="preserve">, </w:t>
      </w:r>
      <w:hyperlink w:anchor="passage-v-5-2">
        <w:r>
          <w:rPr>
            <w:color w:val="000000"/>
          </w:rPr>
          <w:t xml:space="preserve">V.5.2</w:t>
        </w:r>
      </w:hyperlink>
      <w:r>
        <w:rPr>
          <w:b w:val="0"/>
          <w:i w:val="0"/>
        </w:rPr>
        <w:t xml:space="preserve">, </w:t>
      </w:r>
      <w:hyperlink w:anchor="passage-v-5-3">
        <w:r>
          <w:rPr>
            <w:color w:val="000000"/>
          </w:rPr>
          <w:t xml:space="preserve">V.5.3</w:t>
        </w:r>
      </w:hyperlink>
      <w:r>
        <w:rPr>
          <w:b w:val="0"/>
          <w:i w:val="0"/>
        </w:rPr>
        <w:t xml:space="preserve">, </w:t>
      </w:r>
      <w:hyperlink w:anchor="passage-v-6-1">
        <w:r>
          <w:rPr>
            <w:color w:val="000000"/>
          </w:rPr>
          <w:t xml:space="preserve">V.6.1</w:t>
        </w:r>
      </w:hyperlink>
      <w:r>
        <w:rPr>
          <w:b w:val="0"/>
          <w:i w:val="0"/>
        </w:rPr>
        <w:t xml:space="preserve">, </w:t>
      </w:r>
      <w:hyperlink w:anchor="passage-v-10-2">
        <w:r>
          <w:rPr>
            <w:color w:val="000000"/>
          </w:rPr>
          <w:t xml:space="preserve">V.10.2</w:t>
        </w:r>
      </w:hyperlink>
      <w:r>
        <w:rPr>
          <w:b w:val="0"/>
          <w:i w:val="0"/>
        </w:rPr>
        <w:t xml:space="preserve">, </w:t>
      </w:r>
      <w:hyperlink w:anchor="passage-v-13-5">
        <w:r>
          <w:rPr>
            <w:color w:val="000000"/>
          </w:rPr>
          <w:t xml:space="preserve">V.13.5</w:t>
        </w:r>
      </w:hyperlink>
      <w:r>
        <w:rPr>
          <w:b w:val="0"/>
          <w:i w:val="0"/>
        </w:rPr>
        <w:t xml:space="preserve">, </w:t>
      </w:r>
      <w:hyperlink w:anchor="passage-v-13-13">
        <w:r>
          <w:rPr>
            <w:color w:val="000000"/>
          </w:rPr>
          <w:t xml:space="preserve">V.13.13</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299" w:name="latin-record-0058"/>
      <w:bookmarkEnd w:id="299"/>
      <w:r>
        <w:rPr>
          <w:b/>
          <w:i w:val="0"/>
        </w:rPr>
        <w:t>agere / operari</w:t>
      </w:r>
      <w:r>
        <w:rPr>
          <w:b/>
          <w:i w:val="0"/>
        </w:rPr>
        <w:t>.</w:t>
      </w:r>
      <w:r>
        <w:rPr>
          <w:b w:val="0"/>
          <w:i w:val="0"/>
        </w:rPr>
        <w:t xml:space="preserve"> Printed forms: </w:t>
      </w:r>
      <w:r>
        <w:rPr>
          <w:b w:val="0"/>
          <w:i/>
        </w:rPr>
        <w:t>agendi</w:t>
      </w:r>
      <w:r>
        <w:rPr>
          <w:b w:val="0"/>
          <w:i w:val="0"/>
        </w:rPr>
        <w:t xml:space="preserve">; </w:t>
      </w:r>
      <w:r>
        <w:rPr>
          <w:b w:val="0"/>
          <w:i/>
        </w:rPr>
        <w:t>agit</w:t>
      </w:r>
      <w:r>
        <w:rPr>
          <w:b w:val="0"/>
          <w:i w:val="0"/>
        </w:rPr>
        <w:t xml:space="preserve">; </w:t>
      </w:r>
      <w:r>
        <w:rPr>
          <w:b w:val="0"/>
          <w:i/>
        </w:rPr>
        <w:t>operandi</w:t>
      </w:r>
      <w:r>
        <w:rPr>
          <w:b w:val="0"/>
          <w:i w:val="0"/>
        </w:rPr>
        <w:t xml:space="preserve">; </w:t>
      </w:r>
      <w:r>
        <w:rPr>
          <w:b w:val="0"/>
          <w:i/>
        </w:rPr>
        <w:t>operantur</w:t>
      </w:r>
      <w:r>
        <w:rPr>
          <w:b w:val="0"/>
          <w:i w:val="0"/>
        </w:rPr>
        <w:t xml:space="preserve">; </w:t>
      </w:r>
      <w:r>
        <w:rPr>
          <w:b w:val="0"/>
          <w:i/>
        </w:rPr>
        <w:t>operaretur</w:t>
      </w:r>
      <w:r>
        <w:rPr>
          <w:b w:val="0"/>
          <w:i w:val="0"/>
        </w:rPr>
        <w:t xml:space="preserve">; </w:t>
      </w:r>
      <w:r>
        <w:rPr>
          <w:b w:val="0"/>
          <w:i/>
        </w:rPr>
        <w:t>operari</w:t>
      </w:r>
      <w:r>
        <w:rPr>
          <w:b w:val="0"/>
          <w:i w:val="0"/>
        </w:rPr>
        <w:t xml:space="preserve">; </w:t>
      </w:r>
      <w:r>
        <w:rPr>
          <w:b w:val="0"/>
          <w:i/>
        </w:rPr>
        <w:t>operatur</w:t>
      </w:r>
      <w:r>
        <w:rPr>
          <w:b w:val="0"/>
          <w:i w:val="0"/>
        </w:rPr>
        <w:t xml:space="preserve">; </w:t>
      </w:r>
      <w:r>
        <w:rPr>
          <w:b w:val="0"/>
          <w:i/>
        </w:rPr>
        <w:t>operentur</w:t>
      </w:r>
      <w:r>
        <w:rPr>
          <w:b w:val="0"/>
          <w:i w:val="0"/>
        </w:rPr>
        <w:t xml:space="preserve">; </w:t>
      </w:r>
      <w:r>
        <w:rPr>
          <w:b w:val="0"/>
          <w:i/>
        </w:rPr>
        <w:t>operetur</w:t>
      </w:r>
      <w:r>
        <w:rPr>
          <w:b w:val="0"/>
          <w:i w:val="0"/>
        </w:rPr>
        <w:t>.</w:t>
      </w:r>
    </w:p>
    <w:p>
      <w:pPr>
        <w:widowControl/>
      </w:pPr>
      <w:r>
        <w:rPr>
          <w:b w:val="0"/>
          <w:i w:val="0"/>
        </w:rPr>
        <w:t xml:space="preserve">Acting or operating from a principle, with the agent’s form determining the activity’s mode. The substance-operation arguments move from the breadth and inward character of intellectual activity toward the nature of the mind that acts. References: </w:t>
      </w:r>
      <w:hyperlink w:anchor="passage-viii-8-1">
        <w:r>
          <w:rPr>
            <w:color w:val="000000"/>
          </w:rPr>
          <w:t xml:space="preserve">VIII.8.1</w:t>
        </w:r>
      </w:hyperlink>
      <w:r>
        <w:rPr>
          <w:b w:val="0"/>
          <w:i w:val="0"/>
        </w:rPr>
        <w:t xml:space="preserve">, </w:t>
      </w:r>
      <w:hyperlink w:anchor="passage-viii-10-1">
        <w:r>
          <w:rPr>
            <w:color w:val="000000"/>
          </w:rPr>
          <w:t xml:space="preserve">VIII.10.1</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300" w:name="latin-record-0059"/>
      <w:bookmarkEnd w:id="300"/>
      <w:r>
        <w:rPr>
          <w:b/>
          <w:i w:val="0"/>
        </w:rPr>
        <w:t>agere / pati</w:t>
      </w:r>
      <w:r>
        <w:rPr>
          <w:b/>
          <w:i w:val="0"/>
        </w:rPr>
        <w:t>.</w:t>
      </w:r>
      <w:r>
        <w:rPr>
          <w:b w:val="0"/>
          <w:i w:val="0"/>
        </w:rPr>
        <w:t xml:space="preserve"> Printed forms: </w:t>
      </w:r>
      <w:r>
        <w:rPr>
          <w:b w:val="0"/>
          <w:i/>
        </w:rPr>
        <w:t>actiones</w:t>
      </w:r>
      <w:r>
        <w:rPr>
          <w:b w:val="0"/>
          <w:i w:val="0"/>
        </w:rPr>
        <w:t xml:space="preserve">; </w:t>
      </w:r>
      <w:r>
        <w:rPr>
          <w:b w:val="0"/>
          <w:i/>
        </w:rPr>
        <w:t>agendas</w:t>
      </w:r>
      <w:r>
        <w:rPr>
          <w:b w:val="0"/>
          <w:i w:val="0"/>
        </w:rPr>
        <w:t xml:space="preserve">; </w:t>
      </w:r>
      <w:r>
        <w:rPr>
          <w:b w:val="0"/>
          <w:i/>
        </w:rPr>
        <w:t>agere</w:t>
      </w:r>
      <w:r>
        <w:rPr>
          <w:b w:val="0"/>
          <w:i w:val="0"/>
        </w:rPr>
        <w:t xml:space="preserve">; </w:t>
      </w:r>
      <w:r>
        <w:rPr>
          <w:b w:val="0"/>
          <w:i/>
        </w:rPr>
        <w:t>Agit</w:t>
      </w:r>
      <w:r>
        <w:rPr>
          <w:b w:val="0"/>
          <w:i w:val="0"/>
        </w:rPr>
        <w:t xml:space="preserve">; </w:t>
      </w:r>
      <w:r>
        <w:rPr>
          <w:b w:val="0"/>
          <w:i/>
        </w:rPr>
        <w:t>agit</w:t>
      </w:r>
      <w:r>
        <w:rPr>
          <w:b w:val="0"/>
          <w:i w:val="0"/>
        </w:rPr>
        <w:t xml:space="preserve">; </w:t>
      </w:r>
      <w:r>
        <w:rPr>
          <w:b w:val="0"/>
          <w:i/>
        </w:rPr>
        <w:t>agitur</w:t>
      </w:r>
      <w:r>
        <w:rPr>
          <w:b w:val="0"/>
          <w:i w:val="0"/>
        </w:rPr>
        <w:t xml:space="preserve">; </w:t>
      </w:r>
      <w:r>
        <w:rPr>
          <w:b w:val="0"/>
          <w:i/>
        </w:rPr>
        <w:t>pati</w:t>
      </w:r>
      <w:r>
        <w:rPr>
          <w:b w:val="0"/>
          <w:i w:val="0"/>
        </w:rPr>
        <w:t>.</w:t>
      </w:r>
    </w:p>
    <w:p>
      <w:pPr>
        <w:widowControl/>
      </w:pPr>
      <w:r>
        <w:rPr>
          <w:b w:val="0"/>
          <w:i w:val="0"/>
        </w:rPr>
        <w:t xml:space="preserve">To act and to undergo modification. The soul’s heightened animating activity is distinguished from the bodily impact that occasions it.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301" w:name="latin-record-0060"/>
      <w:bookmarkEnd w:id="301"/>
      <w:r>
        <w:rPr>
          <w:b/>
          <w:i w:val="0"/>
        </w:rPr>
        <w:t>agere in corpore; per corpus; per se</w:t>
      </w:r>
      <w:r>
        <w:rPr>
          <w:b/>
          <w:i w:val="0"/>
        </w:rPr>
        <w:t>.</w:t>
      </w:r>
      <w:r>
        <w:rPr>
          <w:b w:val="0"/>
          <w:i w:val="0"/>
        </w:rPr>
        <w:t xml:space="preserve"> Printed forms: </w:t>
      </w:r>
      <w:r>
        <w:rPr>
          <w:b w:val="0"/>
          <w:i/>
        </w:rPr>
        <w:t>agit in corpore</w:t>
      </w:r>
      <w:r>
        <w:rPr>
          <w:b w:val="0"/>
          <w:i w:val="0"/>
        </w:rPr>
        <w:t xml:space="preserve">; </w:t>
      </w:r>
      <w:r>
        <w:rPr>
          <w:b w:val="0"/>
          <w:i/>
        </w:rPr>
        <w:t>agit per corpus</w:t>
      </w:r>
      <w:r>
        <w:rPr>
          <w:b w:val="0"/>
          <w:i w:val="0"/>
        </w:rPr>
        <w:t xml:space="preserve">; </w:t>
      </w:r>
      <w:r>
        <w:rPr>
          <w:b w:val="0"/>
          <w:i/>
        </w:rPr>
        <w:t>operatur etiam per se ipsam</w:t>
      </w:r>
      <w:r>
        <w:rPr>
          <w:b w:val="0"/>
          <w:i w:val="0"/>
        </w:rPr>
        <w:t>.</w:t>
      </w:r>
    </w:p>
    <w:p>
      <w:pPr>
        <w:widowControl/>
      </w:pPr>
      <w:r>
        <w:rPr>
          <w:b w:val="0"/>
          <w:i w:val="0"/>
        </w:rPr>
        <w:t xml:space="preserve">The three modes of operation: within body, by bodily mediation and through the soul itself. The prepositions organize the book’s programme and prevent conflating nutrition, sensation and understanding.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302" w:name="latin-record-0061"/>
      <w:bookmarkEnd w:id="302"/>
      <w:r>
        <w:rPr>
          <w:b/>
          <w:i w:val="0"/>
        </w:rPr>
        <w:t>agere; operari</w:t>
      </w:r>
      <w:r>
        <w:rPr>
          <w:b/>
          <w:i w:val="0"/>
        </w:rPr>
        <w:t>.</w:t>
      </w:r>
      <w:r>
        <w:rPr>
          <w:b w:val="0"/>
          <w:i w:val="0"/>
        </w:rPr>
        <w:t xml:space="preserve"> Printed forms: </w:t>
      </w:r>
      <w:r>
        <w:rPr>
          <w:b w:val="0"/>
          <w:i/>
        </w:rPr>
        <w:t>agant</w:t>
      </w:r>
      <w:r>
        <w:rPr>
          <w:b w:val="0"/>
          <w:i w:val="0"/>
        </w:rPr>
        <w:t xml:space="preserve">; </w:t>
      </w:r>
      <w:r>
        <w:rPr>
          <w:b w:val="0"/>
          <w:i/>
        </w:rPr>
        <w:t>agat</w:t>
      </w:r>
      <w:r>
        <w:rPr>
          <w:b w:val="0"/>
          <w:i w:val="0"/>
        </w:rPr>
        <w:t xml:space="preserve">; </w:t>
      </w:r>
      <w:r>
        <w:rPr>
          <w:b w:val="0"/>
          <w:i/>
        </w:rPr>
        <w:t>agente</w:t>
      </w:r>
      <w:r>
        <w:rPr>
          <w:b w:val="0"/>
          <w:i w:val="0"/>
        </w:rPr>
        <w:t xml:space="preserve">; </w:t>
      </w:r>
      <w:r>
        <w:rPr>
          <w:b w:val="0"/>
          <w:i/>
        </w:rPr>
        <w:t>agentem</w:t>
      </w:r>
      <w:r>
        <w:rPr>
          <w:b w:val="0"/>
          <w:i w:val="0"/>
        </w:rPr>
        <w:t xml:space="preserve">; </w:t>
      </w:r>
      <w:r>
        <w:rPr>
          <w:b w:val="0"/>
          <w:i/>
        </w:rPr>
        <w:t>agenti</w:t>
      </w:r>
      <w:r>
        <w:rPr>
          <w:b w:val="0"/>
          <w:i w:val="0"/>
        </w:rPr>
        <w:t xml:space="preserve">; </w:t>
      </w:r>
      <w:r>
        <w:rPr>
          <w:b w:val="0"/>
          <w:i/>
        </w:rPr>
        <w:t>agentis</w:t>
      </w:r>
      <w:r>
        <w:rPr>
          <w:b w:val="0"/>
          <w:i w:val="0"/>
        </w:rPr>
        <w:t xml:space="preserve">; </w:t>
      </w:r>
      <w:r>
        <w:rPr>
          <w:b w:val="0"/>
          <w:i/>
        </w:rPr>
        <w:t>agere</w:t>
      </w:r>
      <w:r>
        <w:rPr>
          <w:b w:val="0"/>
          <w:i w:val="0"/>
        </w:rPr>
        <w:t xml:space="preserve">; </w:t>
      </w:r>
      <w:r>
        <w:rPr>
          <w:b w:val="0"/>
          <w:i/>
        </w:rPr>
        <w:t>agit</w:t>
      </w:r>
      <w:r>
        <w:rPr>
          <w:b w:val="0"/>
          <w:i w:val="0"/>
        </w:rPr>
        <w:t xml:space="preserve">; </w:t>
      </w:r>
      <w:r>
        <w:rPr>
          <w:b w:val="0"/>
          <w:i/>
        </w:rPr>
        <w:t>agunt</w:t>
      </w:r>
      <w:r>
        <w:rPr>
          <w:b w:val="0"/>
          <w:i w:val="0"/>
        </w:rPr>
        <w:t xml:space="preserve">; </w:t>
      </w:r>
      <w:r>
        <w:rPr>
          <w:b w:val="0"/>
          <w:i/>
        </w:rPr>
        <w:t>operatur</w:t>
      </w:r>
      <w:r>
        <w:rPr>
          <w:b w:val="0"/>
          <w:i w:val="0"/>
        </w:rPr>
        <w:t xml:space="preserve">; </w:t>
      </w:r>
      <w:r>
        <w:rPr>
          <w:b w:val="0"/>
          <w:i/>
        </w:rPr>
        <w:t>operetur</w:t>
      </w:r>
      <w:r>
        <w:rPr>
          <w:b w:val="0"/>
          <w:i w:val="0"/>
        </w:rPr>
        <w:t>.</w:t>
      </w:r>
    </w:p>
    <w:p>
      <w:pPr>
        <w:widowControl/>
      </w:pPr>
      <w:r>
        <w:rPr>
          <w:b w:val="0"/>
          <w:i w:val="0"/>
        </w:rPr>
        <w:t xml:space="preserve">To act or operate, with the mode and medium specified by the local construction. Acting in body, through body and through oneself differ; a bodily effect’s action is derivative, whereas immanent psychic operation belongs to its inward source. References: </w:t>
      </w:r>
      <w:hyperlink w:anchor="passage-vi-2-1">
        <w:r>
          <w:rPr>
            <w:color w:val="000000"/>
          </w:rPr>
          <w:t xml:space="preserve">VI.2.1</w:t>
        </w:r>
      </w:hyperlink>
      <w:r>
        <w:rPr>
          <w:b w:val="0"/>
          <w:i w:val="0"/>
        </w:rPr>
        <w:t xml:space="preserve">, </w:t>
      </w:r>
      <w:hyperlink w:anchor="passage-vi-2-10">
        <w:r>
          <w:rPr>
            <w:color w:val="000000"/>
          </w:rPr>
          <w:t xml:space="preserve">VI.2.10</w:t>
        </w:r>
      </w:hyperlink>
      <w:r>
        <w:rPr>
          <w:b w:val="0"/>
          <w:i w:val="0"/>
        </w:rPr>
        <w:t xml:space="preserve">, </w:t>
      </w:r>
      <w:hyperlink w:anchor="passage-vi-4-6">
        <w:r>
          <w:rPr>
            <w:color w:val="000000"/>
          </w:rPr>
          <w:t xml:space="preserve">VI.4.6</w:t>
        </w:r>
      </w:hyperlink>
      <w:r>
        <w:rPr>
          <w:b w:val="0"/>
          <w:i w:val="0"/>
        </w:rPr>
        <w:t xml:space="preserve">, </w:t>
      </w:r>
      <w:hyperlink w:anchor="passage-vi-9-3">
        <w:r>
          <w:rPr>
            <w:color w:val="000000"/>
          </w:rPr>
          <w:t xml:space="preserve">VI.9.3</w:t>
        </w:r>
      </w:hyperlink>
      <w:r>
        <w:rPr>
          <w:b w:val="0"/>
          <w:i w:val="0"/>
        </w:rPr>
        <w:t xml:space="preserve">, </w:t>
      </w:r>
      <w:hyperlink w:anchor="passage-vi-12-5">
        <w:r>
          <w:rPr>
            <w:color w:val="000000"/>
          </w:rPr>
          <w:t xml:space="preserve">VI.12.5</w:t>
        </w:r>
      </w:hyperlink>
      <w:r>
        <w:rPr>
          <w:b w:val="0"/>
          <w:i w:val="0"/>
        </w:rPr>
        <w:t xml:space="preserve">, </w:t>
      </w:r>
      <w:hyperlink w:anchor="passage-vi-12-10">
        <w:r>
          <w:rPr>
            <w:color w:val="000000"/>
          </w:rPr>
          <w:t xml:space="preserve">VI.12.10</w:t>
        </w:r>
      </w:hyperlink>
      <w:r>
        <w:rPr>
          <w:b w:val="0"/>
          <w:i w:val="0"/>
        </w:rPr>
        <w:t xml:space="preserve">, </w:t>
      </w:r>
      <w:hyperlink w:anchor="passage-vi-12-18">
        <w:r>
          <w:rPr>
            <w:color w:val="000000"/>
          </w:rPr>
          <w:t xml:space="preserve">VI.12.18</w:t>
        </w:r>
      </w:hyperlink>
      <w:r>
        <w:rPr>
          <w:b w:val="0"/>
          <w:i w:val="0"/>
        </w:rPr>
        <w:t xml:space="preserve">, </w:t>
      </w:r>
      <w:hyperlink w:anchor="passage-vi-13-11">
        <w:r>
          <w:rPr>
            <w:color w:val="000000"/>
          </w:rPr>
          <w:t xml:space="preserve">VI.13.11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303" w:name="latin-record-0062"/>
      <w:bookmarkEnd w:id="303"/>
      <w:r>
        <w:rPr>
          <w:b/>
          <w:i w:val="0"/>
        </w:rPr>
        <w:t>aggredi / exponere / ostendere</w:t>
      </w:r>
      <w:r>
        <w:rPr>
          <w:b/>
          <w:i w:val="0"/>
        </w:rPr>
        <w:t>.</w:t>
      </w:r>
      <w:r>
        <w:rPr>
          <w:b w:val="0"/>
          <w:i w:val="0"/>
        </w:rPr>
        <w:t xml:space="preserve"> Printed forms: </w:t>
      </w:r>
      <w:r>
        <w:rPr>
          <w:b w:val="0"/>
          <w:i/>
        </w:rPr>
        <w:t>aggrediemur</w:t>
      </w:r>
      <w:r>
        <w:rPr>
          <w:b w:val="0"/>
          <w:i w:val="0"/>
        </w:rPr>
        <w:t xml:space="preserve">; </w:t>
      </w:r>
      <w:r>
        <w:rPr>
          <w:b w:val="0"/>
          <w:i/>
        </w:rPr>
        <w:t>exposuerimus</w:t>
      </w:r>
      <w:r>
        <w:rPr>
          <w:b w:val="0"/>
          <w:i w:val="0"/>
        </w:rPr>
        <w:t xml:space="preserve">; </w:t>
      </w:r>
      <w:r>
        <w:rPr>
          <w:b w:val="0"/>
          <w:i/>
        </w:rPr>
        <w:t>ostenderimus</w:t>
      </w:r>
      <w:r>
        <w:rPr>
          <w:b w:val="0"/>
          <w:i w:val="0"/>
        </w:rPr>
        <w:t xml:space="preserve">; </w:t>
      </w:r>
      <w:r>
        <w:rPr>
          <w:b w:val="0"/>
          <w:i/>
        </w:rPr>
        <w:t>ostendimus</w:t>
      </w:r>
      <w:r>
        <w:rPr>
          <w:b w:val="0"/>
          <w:i w:val="0"/>
        </w:rPr>
        <w:t xml:space="preserve">; </w:t>
      </w:r>
      <w:r>
        <w:rPr>
          <w:b w:val="0"/>
          <w:i/>
        </w:rPr>
        <w:t>ostendit</w:t>
      </w:r>
      <w:r>
        <w:rPr>
          <w:b w:val="0"/>
          <w:i w:val="0"/>
        </w:rPr>
        <w:t>.</w:t>
      </w:r>
    </w:p>
    <w:p>
      <w:pPr>
        <w:widowControl/>
      </w:pPr>
      <w:r>
        <w:rPr>
          <w:b w:val="0"/>
          <w:i w:val="0"/>
        </w:rPr>
        <w:t xml:space="preserve">Beginning an inquiry, setting out its structure and showing a conclusion. The opening explicitly announces a third proof-route through understanding and makes the account of cognitive faculties its preliminary task. References: </w:t>
      </w:r>
      <w:hyperlink w:anchor="passage-viii-1-1">
        <w:r>
          <w:rPr>
            <w:color w:val="000000"/>
          </w:rPr>
          <w:t xml:space="preserve">VIII.1.1</w:t>
        </w:r>
      </w:hyperlink>
      <w:r>
        <w:rPr>
          <w:b w:val="0"/>
          <w:i w:val="0"/>
        </w:rPr>
        <w:t xml:space="preserve">, </w:t>
      </w:r>
      <w:hyperlink w:anchor="passage-viii-1-5">
        <w:r>
          <w:rPr>
            <w:color w:val="000000"/>
          </w:rPr>
          <w:t xml:space="preserve">VIII.1.5</w:t>
        </w:r>
      </w:hyperlink>
      <w:r>
        <w:rPr>
          <w:b w:val="0"/>
          <w:i w:val="0"/>
        </w:rPr>
        <w:t xml:space="preserve">, </w:t>
      </w:r>
      <w:hyperlink w:anchor="passage-viii-3-1">
        <w:r>
          <w:rPr>
            <w:color w:val="000000"/>
          </w:rPr>
          <w:t xml:space="preserve">VIII.3.1</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304" w:name="latin-record-0063"/>
      <w:bookmarkEnd w:id="304"/>
      <w:r>
        <w:rPr>
          <w:b/>
          <w:i w:val="0"/>
        </w:rPr>
        <w:t>aggredi / spirare</w:t>
      </w:r>
      <w:r>
        <w:rPr>
          <w:b/>
          <w:i w:val="0"/>
        </w:rPr>
        <w:t>.</w:t>
      </w:r>
      <w:r>
        <w:rPr>
          <w:b w:val="0"/>
          <w:i w:val="0"/>
        </w:rPr>
        <w:t xml:space="preserve"> Printed forms: </w:t>
      </w:r>
      <w:r>
        <w:rPr>
          <w:b w:val="0"/>
          <w:i/>
        </w:rPr>
        <w:t>aggredietur</w:t>
      </w:r>
      <w:r>
        <w:rPr>
          <w:b w:val="0"/>
          <w:i w:val="0"/>
        </w:rPr>
        <w:t xml:space="preserve">; </w:t>
      </w:r>
      <w:r>
        <w:rPr>
          <w:b w:val="0"/>
          <w:i/>
        </w:rPr>
        <w:t>spirabit</w:t>
      </w:r>
      <w:r>
        <w:rPr>
          <w:b w:val="0"/>
          <w:i w:val="0"/>
        </w:rPr>
        <w:t>.</w:t>
      </w:r>
    </w:p>
    <w:p>
      <w:pPr>
        <w:widowControl/>
      </w:pPr>
      <w:r>
        <w:rPr>
          <w:b w:val="0"/>
          <w:i w:val="0"/>
        </w:rPr>
        <w:t xml:space="preserve">To undertake or attack, and to breathe. Bold action and continued breathing extend the reductio across practical and elementary vital activities.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305" w:name="latin-record-0064"/>
      <w:bookmarkEnd w:id="305"/>
      <w:r>
        <w:rPr>
          <w:b/>
          <w:i w:val="0"/>
        </w:rPr>
        <w:t>agilis; agilitas; celeritas</w:t>
      </w:r>
      <w:r>
        <w:rPr>
          <w:b/>
          <w:i w:val="0"/>
        </w:rPr>
        <w:t>.</w:t>
      </w:r>
      <w:r>
        <w:rPr>
          <w:b w:val="0"/>
          <w:i w:val="0"/>
        </w:rPr>
        <w:t xml:space="preserve"> Printed forms: </w:t>
      </w:r>
      <w:r>
        <w:rPr>
          <w:b w:val="0"/>
          <w:i/>
        </w:rPr>
        <w:t>agile</w:t>
      </w:r>
      <w:r>
        <w:rPr>
          <w:b w:val="0"/>
          <w:i w:val="0"/>
        </w:rPr>
        <w:t xml:space="preserve">; </w:t>
      </w:r>
      <w:r>
        <w:rPr>
          <w:b w:val="0"/>
          <w:i/>
        </w:rPr>
        <w:t>agilia</w:t>
      </w:r>
      <w:r>
        <w:rPr>
          <w:b w:val="0"/>
          <w:i w:val="0"/>
        </w:rPr>
        <w:t xml:space="preserve">; </w:t>
      </w:r>
      <w:r>
        <w:rPr>
          <w:b w:val="0"/>
          <w:i/>
        </w:rPr>
        <w:t>agilis</w:t>
      </w:r>
      <w:r>
        <w:rPr>
          <w:b w:val="0"/>
          <w:i w:val="0"/>
        </w:rPr>
        <w:t xml:space="preserve">; </w:t>
      </w:r>
      <w:r>
        <w:rPr>
          <w:b w:val="0"/>
          <w:i/>
        </w:rPr>
        <w:t>celeritas</w:t>
      </w:r>
      <w:r>
        <w:rPr>
          <w:b w:val="0"/>
          <w:i w:val="0"/>
        </w:rPr>
        <w:t xml:space="preserve">; </w:t>
      </w:r>
      <w:r>
        <w:rPr>
          <w:b w:val="0"/>
          <w:i/>
        </w:rPr>
        <w:t>celeriter</w:t>
      </w:r>
      <w:r>
        <w:rPr>
          <w:b w:val="0"/>
          <w:i w:val="0"/>
        </w:rPr>
        <w:t xml:space="preserve">; </w:t>
      </w:r>
      <w:r>
        <w:rPr>
          <w:b w:val="0"/>
          <w:i/>
        </w:rPr>
        <w:t>facillime</w:t>
      </w:r>
      <w:r>
        <w:rPr>
          <w:b w:val="0"/>
          <w:i w:val="0"/>
        </w:rPr>
        <w:t>.</w:t>
      </w:r>
    </w:p>
    <w:p>
      <w:pPr>
        <w:widowControl/>
      </w:pPr>
      <w:r>
        <w:rPr>
          <w:b w:val="0"/>
          <w:i w:val="0"/>
        </w:rPr>
        <w:t xml:space="preserve">Agile, swift or readily acting, and swiftness. The bodily soul hypothesis uses extreme subtlety and agility to explain permeation, then faces the objection that such a body would be too unstable for memory. References: </w:t>
      </w:r>
      <w:hyperlink w:anchor="passage-vi-1-5">
        <w:r>
          <w:rPr>
            <w:color w:val="000000"/>
          </w:rPr>
          <w:t xml:space="preserve">VI.1.5</w:t>
        </w:r>
      </w:hyperlink>
      <w:r>
        <w:rPr>
          <w:b w:val="0"/>
          <w:i w:val="0"/>
        </w:rPr>
        <w:t xml:space="preserve">, </w:t>
      </w:r>
      <w:hyperlink w:anchor="passage-vi-13-1">
        <w:r>
          <w:rPr>
            <w:color w:val="000000"/>
          </w:rPr>
          <w:t xml:space="preserve">VI.13.1</w:t>
        </w:r>
      </w:hyperlink>
      <w:r>
        <w:rPr>
          <w:b w:val="0"/>
          <w:i w:val="0"/>
        </w:rPr>
        <w:t xml:space="preserve">, </w:t>
      </w:r>
      <w:hyperlink w:anchor="passage-vi-13-7">
        <w:r>
          <w:rPr>
            <w:color w:val="000000"/>
          </w:rPr>
          <w:t xml:space="preserve">VI.13.7</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306" w:name="latin-record-0065"/>
      <w:bookmarkEnd w:id="306"/>
      <w:r>
        <w:rPr>
          <w:b/>
          <w:i w:val="0"/>
        </w:rPr>
        <w:t>agnoscere / cognoscere</w:t>
      </w:r>
      <w:r>
        <w:rPr>
          <w:b/>
          <w:i w:val="0"/>
        </w:rPr>
        <w:t>.</w:t>
      </w:r>
      <w:r>
        <w:rPr>
          <w:b w:val="0"/>
          <w:i w:val="0"/>
        </w:rPr>
        <w:t xml:space="preserve"> Printed forms: </w:t>
      </w:r>
      <w:r>
        <w:rPr>
          <w:b w:val="0"/>
          <w:i/>
        </w:rPr>
        <w:t>agnoscat</w:t>
      </w:r>
      <w:r>
        <w:rPr>
          <w:b w:val="0"/>
          <w:i w:val="0"/>
        </w:rPr>
        <w:t xml:space="preserve">; </w:t>
      </w:r>
      <w:r>
        <w:rPr>
          <w:b w:val="0"/>
          <w:i/>
        </w:rPr>
        <w:t>agnoscit</w:t>
      </w:r>
      <w:r>
        <w:rPr>
          <w:b w:val="0"/>
          <w:i w:val="0"/>
        </w:rPr>
        <w:t xml:space="preserve">; </w:t>
      </w:r>
      <w:r>
        <w:rPr>
          <w:b w:val="0"/>
          <w:i/>
        </w:rPr>
        <w:t>cognoscere</w:t>
      </w:r>
      <w:r>
        <w:rPr>
          <w:b w:val="0"/>
          <w:i w:val="0"/>
        </w:rPr>
        <w:t xml:space="preserve">; </w:t>
      </w:r>
      <w:r>
        <w:rPr>
          <w:b w:val="0"/>
          <w:i/>
        </w:rPr>
        <w:t>cognoscet</w:t>
      </w:r>
      <w:r>
        <w:rPr>
          <w:b w:val="0"/>
          <w:i w:val="0"/>
        </w:rPr>
        <w:t xml:space="preserve">; </w:t>
      </w:r>
      <w:r>
        <w:rPr>
          <w:b w:val="0"/>
          <w:i/>
        </w:rPr>
        <w:t>cognosci</w:t>
      </w:r>
      <w:r>
        <w:rPr>
          <w:b w:val="0"/>
          <w:i w:val="0"/>
        </w:rPr>
        <w:t xml:space="preserve">; </w:t>
      </w:r>
      <w:r>
        <w:rPr>
          <w:b w:val="0"/>
          <w:i/>
        </w:rPr>
        <w:t>cognoscit</w:t>
      </w:r>
      <w:r>
        <w:rPr>
          <w:b w:val="0"/>
          <w:i w:val="0"/>
        </w:rPr>
        <w:t>.</w:t>
      </w:r>
    </w:p>
    <w:p>
      <w:pPr>
        <w:widowControl/>
      </w:pPr>
      <w:r>
        <w:rPr>
          <w:b w:val="0"/>
          <w:i w:val="0"/>
        </w:rPr>
        <w:t xml:space="preserve">Recognizing or knowing, whose object and mode determine its philosophical force. The Platonists deny genuine knowledge of substance to phantasy, yet intellect’s priority toward universals does not prevent knowledge of particulars.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6-1">
        <w:r>
          <w:rPr>
            <w:color w:val="000000"/>
          </w:rPr>
          <w:t xml:space="preserve">VIII.6.1</w:t>
        </w:r>
      </w:hyperlink>
      <w:r>
        <w:rPr>
          <w:b w:val="0"/>
          <w:i w:val="0"/>
        </w:rPr>
        <w:t xml:space="preserve">, </w:t>
      </w:r>
      <w:hyperlink w:anchor="passage-viii-10-1">
        <w:r>
          <w:rPr>
            <w:color w:val="000000"/>
          </w:rPr>
          <w:t xml:space="preserve">VIII.10.1</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307" w:name="latin-record-0066"/>
      <w:bookmarkEnd w:id="307"/>
      <w:r>
        <w:rPr>
          <w:b/>
          <w:i w:val="0"/>
        </w:rPr>
        <w:t>albedo / inficere / foedare</w:t>
      </w:r>
      <w:r>
        <w:rPr>
          <w:b/>
          <w:i w:val="0"/>
        </w:rPr>
        <w:t>.</w:t>
      </w:r>
      <w:r>
        <w:rPr>
          <w:b w:val="0"/>
          <w:i w:val="0"/>
        </w:rPr>
        <w:t xml:space="preserve"> Printed forms: </w:t>
      </w:r>
      <w:r>
        <w:rPr>
          <w:b w:val="0"/>
          <w:i/>
        </w:rPr>
        <w:t>albedini</w:t>
      </w:r>
      <w:r>
        <w:rPr>
          <w:b w:val="0"/>
          <w:i w:val="0"/>
        </w:rPr>
        <w:t xml:space="preserve">; </w:t>
      </w:r>
      <w:r>
        <w:rPr>
          <w:b w:val="0"/>
          <w:i/>
        </w:rPr>
        <w:t>albedinisque</w:t>
      </w:r>
      <w:r>
        <w:rPr>
          <w:b w:val="0"/>
          <w:i w:val="0"/>
        </w:rPr>
        <w:t xml:space="preserve">; </w:t>
      </w:r>
      <w:r>
        <w:rPr>
          <w:b w:val="0"/>
          <w:i/>
        </w:rPr>
        <w:t>foedari</w:t>
      </w:r>
      <w:r>
        <w:rPr>
          <w:b w:val="0"/>
          <w:i w:val="0"/>
        </w:rPr>
        <w:t xml:space="preserve">; </w:t>
      </w:r>
      <w:r>
        <w:rPr>
          <w:b w:val="0"/>
          <w:i/>
        </w:rPr>
        <w:t>infici</w:t>
      </w:r>
      <w:r>
        <w:rPr>
          <w:b w:val="0"/>
          <w:i w:val="0"/>
        </w:rPr>
        <w:t xml:space="preserve">; </w:t>
      </w:r>
      <w:r>
        <w:rPr>
          <w:b w:val="0"/>
          <w:i/>
        </w:rPr>
        <w:t>pollutis</w:t>
      </w:r>
      <w:r>
        <w:rPr>
          <w:b w:val="0"/>
          <w:i w:val="0"/>
        </w:rPr>
        <w:t>.</w:t>
      </w:r>
    </w:p>
    <w:p>
      <w:pPr>
        <w:widowControl/>
      </w:pPr>
      <w:r>
        <w:rPr>
          <w:b w:val="0"/>
          <w:i w:val="0"/>
        </w:rPr>
        <w:t xml:space="preserve">Whiteness, staining, disfiguring and pollution as local changes of a bodily quality. One white region can be stained while the rest remains white; soul’s whole awareness differs from this divided distribution. References: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308" w:name="latin-record-0067"/>
      <w:bookmarkEnd w:id="308"/>
      <w:r>
        <w:rPr>
          <w:b/>
          <w:i w:val="0"/>
        </w:rPr>
        <w:t>alere / nutrire</w:t>
      </w:r>
      <w:r>
        <w:rPr>
          <w:b/>
          <w:i w:val="0"/>
        </w:rPr>
        <w:t>.</w:t>
      </w:r>
      <w:r>
        <w:rPr>
          <w:b w:val="0"/>
          <w:i w:val="0"/>
        </w:rPr>
        <w:t xml:space="preserve"> Printed forms: </w:t>
      </w:r>
      <w:r>
        <w:rPr>
          <w:b w:val="0"/>
          <w:i/>
        </w:rPr>
        <w:t>alendum</w:t>
      </w:r>
      <w:r>
        <w:rPr>
          <w:b w:val="0"/>
          <w:i w:val="0"/>
        </w:rPr>
        <w:t xml:space="preserve">; </w:t>
      </w:r>
      <w:r>
        <w:rPr>
          <w:b w:val="0"/>
          <w:i/>
        </w:rPr>
        <w:t>ali</w:t>
      </w:r>
      <w:r>
        <w:rPr>
          <w:b w:val="0"/>
          <w:i w:val="0"/>
        </w:rPr>
        <w:t xml:space="preserve">; </w:t>
      </w:r>
      <w:r>
        <w:rPr>
          <w:b w:val="0"/>
          <w:i/>
        </w:rPr>
        <w:t>alitur</w:t>
      </w:r>
      <w:r>
        <w:rPr>
          <w:b w:val="0"/>
          <w:i w:val="0"/>
        </w:rPr>
        <w:t xml:space="preserve">; </w:t>
      </w:r>
      <w:r>
        <w:rPr>
          <w:b w:val="0"/>
          <w:i/>
        </w:rPr>
        <w:t>enutritur</w:t>
      </w:r>
      <w:r>
        <w:rPr>
          <w:b w:val="0"/>
          <w:i w:val="0"/>
        </w:rPr>
        <w:t xml:space="preserve">; </w:t>
      </w:r>
      <w:r>
        <w:rPr>
          <w:b w:val="0"/>
          <w:i/>
        </w:rPr>
        <w:t>nutriendi</w:t>
      </w:r>
      <w:r>
        <w:rPr>
          <w:b w:val="0"/>
          <w:i w:val="0"/>
        </w:rPr>
        <w:t xml:space="preserve">; </w:t>
      </w:r>
      <w:r>
        <w:rPr>
          <w:b w:val="0"/>
          <w:i/>
        </w:rPr>
        <w:t>nutriri</w:t>
      </w:r>
      <w:r>
        <w:rPr>
          <w:b w:val="0"/>
          <w:i w:val="0"/>
        </w:rPr>
        <w:t xml:space="preserve">; </w:t>
      </w:r>
      <w:r>
        <w:rPr>
          <w:b w:val="0"/>
          <w:i/>
        </w:rPr>
        <w:t>nutriuntur</w:t>
      </w:r>
      <w:r>
        <w:rPr>
          <w:b w:val="0"/>
          <w:i w:val="0"/>
        </w:rPr>
        <w:t>.</w:t>
      </w:r>
    </w:p>
    <w:p>
      <w:pPr>
        <w:widowControl/>
      </w:pPr>
      <w:r>
        <w:rPr>
          <w:b w:val="0"/>
          <w:i w:val="0"/>
        </w:rPr>
        <w:t xml:space="preserve">Nourishing or feeding, literally bodily or analogically intellectual. The chapter distinguishes the food assimilated by body from the truth that nourishes mind, while allowing bodily condition to affect attention. References: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5">
        <w:r>
          <w:rPr>
            <w:color w:val="000000"/>
          </w:rPr>
          <w:t xml:space="preserve">VIII.2.5</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309" w:name="latin-record-0068"/>
      <w:bookmarkEnd w:id="309"/>
      <w:r>
        <w:rPr>
          <w:b/>
          <w:i w:val="0"/>
        </w:rPr>
        <w:t>alienare / purgare</w:t>
      </w:r>
      <w:r>
        <w:rPr>
          <w:b/>
          <w:i w:val="0"/>
        </w:rPr>
        <w:t>.</w:t>
      </w:r>
      <w:r>
        <w:rPr>
          <w:b w:val="0"/>
          <w:i w:val="0"/>
        </w:rPr>
        <w:t xml:space="preserve"> Printed forms: </w:t>
      </w:r>
      <w:r>
        <w:rPr>
          <w:b w:val="0"/>
          <w:i/>
        </w:rPr>
        <w:t>alienato</w:t>
      </w:r>
      <w:r>
        <w:rPr>
          <w:b w:val="0"/>
          <w:i w:val="0"/>
        </w:rPr>
        <w:t xml:space="preserve">; </w:t>
      </w:r>
      <w:r>
        <w:rPr>
          <w:b w:val="0"/>
          <w:i/>
        </w:rPr>
        <w:t>purgato</w:t>
      </w:r>
      <w:r>
        <w:rPr>
          <w:b w:val="0"/>
          <w:i w:val="0"/>
        </w:rPr>
        <w:t>.</w:t>
      </w:r>
    </w:p>
    <w:p>
      <w:pPr>
        <w:widowControl/>
      </w:pPr>
      <w:r>
        <w:rPr>
          <w:b w:val="0"/>
          <w:i w:val="0"/>
        </w:rPr>
        <w:t xml:space="preserve">To estrange from and to purify. The philosophical discipline removes habitual bodily preoccupation so that mind can attend to stable intelligibles. References: </w:t>
      </w:r>
      <w:hyperlink w:anchor="passage-v-15-9">
        <w:r>
          <w:rPr>
            <w:color w:val="000000"/>
          </w:rPr>
          <w:t xml:space="preserve">V.15.9</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310" w:name="latin-record-0069"/>
      <w:bookmarkEnd w:id="310"/>
      <w:r>
        <w:rPr>
          <w:b/>
          <w:i w:val="0"/>
        </w:rPr>
        <w:t>alienus / extraneus</w:t>
      </w:r>
      <w:r>
        <w:rPr>
          <w:b/>
          <w:i w:val="0"/>
        </w:rPr>
        <w:t>.</w:t>
      </w:r>
      <w:r>
        <w:rPr>
          <w:b w:val="0"/>
          <w:i w:val="0"/>
        </w:rPr>
        <w:t xml:space="preserve"> Printed forms: </w:t>
      </w:r>
      <w:r>
        <w:rPr>
          <w:b w:val="0"/>
          <w:i/>
        </w:rPr>
        <w:t>aliena</w:t>
      </w:r>
      <w:r>
        <w:rPr>
          <w:b w:val="0"/>
          <w:i w:val="0"/>
        </w:rPr>
        <w:t xml:space="preserve">; </w:t>
      </w:r>
      <w:r>
        <w:rPr>
          <w:b w:val="0"/>
          <w:i/>
        </w:rPr>
        <w:t>alienis</w:t>
      </w:r>
      <w:r>
        <w:rPr>
          <w:b w:val="0"/>
          <w:i w:val="0"/>
        </w:rPr>
        <w:t xml:space="preserve">; </w:t>
      </w:r>
      <w:r>
        <w:rPr>
          <w:b w:val="0"/>
          <w:i/>
        </w:rPr>
        <w:t>extraneis</w:t>
      </w:r>
      <w:r>
        <w:rPr>
          <w:b w:val="0"/>
          <w:i w:val="0"/>
        </w:rPr>
        <w:t>.</w:t>
      </w:r>
    </w:p>
    <w:p>
      <w:pPr>
        <w:widowControl/>
      </w:pPr>
      <w:r>
        <w:rPr>
          <w:b w:val="0"/>
          <w:i w:val="0"/>
        </w:rPr>
        <w:t xml:space="preserve">What is foreign, another’s or externally added, relative to the nature under discussion. Bodily reception risks replacement or admixture by foreign qualities; the intellectual account can exclude accidental external conditions without losing essential content. References: </w:t>
      </w:r>
      <w:hyperlink w:anchor="passage-viii-7-1">
        <w:r>
          <w:rPr>
            <w:color w:val="000000"/>
          </w:rPr>
          <w:t xml:space="preserve">VIII.7.1</w:t>
        </w:r>
      </w:hyperlink>
      <w:r>
        <w:rPr>
          <w:b w:val="0"/>
          <w:i w:val="0"/>
        </w:rPr>
        <w:t xml:space="preserve">, </w:t>
      </w:r>
      <w:hyperlink w:anchor="passage-viii-12-1">
        <w:r>
          <w:rPr>
            <w:color w:val="000000"/>
          </w:rPr>
          <w:t xml:space="preserve">VIII.12.1</w:t>
        </w:r>
      </w:hyperlink>
      <w:r>
        <w:rPr>
          <w:b w:val="0"/>
          <w:i w:val="0"/>
        </w:rPr>
        <w:t xml:space="preserve">, </w:t>
      </w:r>
      <w:hyperlink w:anchor="passage-viii-13-1">
        <w:r>
          <w:rPr>
            <w:color w:val="000000"/>
          </w:rPr>
          <w:t xml:space="preserve">VIII.13.1</w:t>
        </w:r>
      </w:hyperlink>
      <w:r>
        <w:rPr>
          <w:b w:val="0"/>
          <w:i w:val="0"/>
        </w:rPr>
        <w:t xml:space="preserve">, </w:t>
      </w:r>
      <w:hyperlink w:anchor="passage-viii-15-1">
        <w:r>
          <w:rPr>
            <w:color w:val="000000"/>
          </w:rPr>
          <w:t xml:space="preserve">VIII.15.1</w:t>
        </w:r>
      </w:hyperlink>
      <w:r>
        <w:rPr>
          <w:b w:val="0"/>
          <w:i w:val="0"/>
        </w:rPr>
        <w:t xml:space="preserve">, </w:t>
      </w:r>
      <w:hyperlink w:anchor="passage-viii-15-3">
        <w:r>
          <w:rPr>
            <w:color w:val="000000"/>
          </w:rPr>
          <w:t xml:space="preserve">VIII.15.3</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311" w:name="latin-record-0070"/>
      <w:bookmarkEnd w:id="311"/>
      <w:r>
        <w:rPr>
          <w:b/>
          <w:i w:val="0"/>
        </w:rPr>
        <w:t>alimentum / alere</w:t>
      </w:r>
      <w:r>
        <w:rPr>
          <w:b/>
          <w:i w:val="0"/>
        </w:rPr>
        <w:t>.</w:t>
      </w:r>
      <w:r>
        <w:rPr>
          <w:b w:val="0"/>
          <w:i w:val="0"/>
        </w:rPr>
        <w:t xml:space="preserve"> Printed forms: </w:t>
      </w:r>
      <w:r>
        <w:rPr>
          <w:b w:val="0"/>
          <w:i/>
        </w:rPr>
        <w:t>alat</w:t>
      </w:r>
      <w:r>
        <w:rPr>
          <w:b w:val="0"/>
          <w:i w:val="0"/>
        </w:rPr>
        <w:t xml:space="preserve">; </w:t>
      </w:r>
      <w:r>
        <w:rPr>
          <w:b w:val="0"/>
          <w:i/>
        </w:rPr>
        <w:t>alimento</w:t>
      </w:r>
      <w:r>
        <w:rPr>
          <w:b w:val="0"/>
          <w:i w:val="0"/>
        </w:rPr>
        <w:t>.</w:t>
      </w:r>
    </w:p>
    <w:p>
      <w:pPr>
        <w:widowControl/>
      </w:pPr>
      <w:r>
        <w:rPr>
          <w:b w:val="0"/>
          <w:i w:val="0"/>
        </w:rPr>
        <w:t xml:space="preserve">Nourishment and nourishing. An eternal spiritual recipient or object does not need to destroy another for food; bodily hidden nutrition later tests deliberate control. References: </w:t>
      </w:r>
      <w:hyperlink w:anchor="passage-v-8-3">
        <w:r>
          <w:rPr>
            <w:color w:val="000000"/>
          </w:rPr>
          <w:t xml:space="preserve">V.8.3</w:t>
        </w:r>
      </w:hyperlink>
      <w:r>
        <w:rPr>
          <w:b w:val="0"/>
          <w:i w:val="0"/>
        </w:rPr>
        <w:t xml:space="preserve">, </w:t>
      </w:r>
      <w:hyperlink w:anchor="passage-v-14-2">
        <w:r>
          <w:rPr>
            <w:color w:val="000000"/>
          </w:rPr>
          <w:t xml:space="preserve">V.14.2</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312" w:name="latin-record-0071"/>
      <w:bookmarkEnd w:id="312"/>
      <w:r>
        <w:rPr>
          <w:b/>
          <w:i w:val="0"/>
        </w:rPr>
        <w:t>alimentum / alimonia / esca / cibus</w:t>
      </w:r>
      <w:r>
        <w:rPr>
          <w:b/>
          <w:i w:val="0"/>
        </w:rPr>
        <w:t>.</w:t>
      </w:r>
      <w:r>
        <w:rPr>
          <w:b w:val="0"/>
          <w:i w:val="0"/>
        </w:rPr>
        <w:t xml:space="preserve"> Printed forms: </w:t>
      </w:r>
      <w:r>
        <w:rPr>
          <w:b w:val="0"/>
          <w:i/>
        </w:rPr>
        <w:t>alimenta</w:t>
      </w:r>
      <w:r>
        <w:rPr>
          <w:b w:val="0"/>
          <w:i w:val="0"/>
        </w:rPr>
        <w:t xml:space="preserve">; </w:t>
      </w:r>
      <w:r>
        <w:rPr>
          <w:b w:val="0"/>
          <w:i/>
        </w:rPr>
        <w:t>alimentis</w:t>
      </w:r>
      <w:r>
        <w:rPr>
          <w:b w:val="0"/>
          <w:i w:val="0"/>
        </w:rPr>
        <w:t xml:space="preserve">; </w:t>
      </w:r>
      <w:r>
        <w:rPr>
          <w:b w:val="0"/>
          <w:i/>
        </w:rPr>
        <w:t>Alimentum</w:t>
      </w:r>
      <w:r>
        <w:rPr>
          <w:b w:val="0"/>
          <w:i w:val="0"/>
        </w:rPr>
        <w:t xml:space="preserve">; </w:t>
      </w:r>
      <w:r>
        <w:rPr>
          <w:b w:val="0"/>
          <w:i/>
        </w:rPr>
        <w:t>alimonia</w:t>
      </w:r>
      <w:r>
        <w:rPr>
          <w:b w:val="0"/>
          <w:i w:val="0"/>
        </w:rPr>
        <w:t xml:space="preserve">; </w:t>
      </w:r>
      <w:r>
        <w:rPr>
          <w:b w:val="0"/>
          <w:i/>
        </w:rPr>
        <w:t>alimoniam</w:t>
      </w:r>
      <w:r>
        <w:rPr>
          <w:b w:val="0"/>
          <w:i w:val="0"/>
        </w:rPr>
        <w:t xml:space="preserve">; </w:t>
      </w:r>
      <w:r>
        <w:rPr>
          <w:b w:val="0"/>
          <w:i/>
        </w:rPr>
        <w:t>cibis</w:t>
      </w:r>
      <w:r>
        <w:rPr>
          <w:b w:val="0"/>
          <w:i w:val="0"/>
        </w:rPr>
        <w:t xml:space="preserve">; </w:t>
      </w:r>
      <w:r>
        <w:rPr>
          <w:b w:val="0"/>
          <w:i/>
        </w:rPr>
        <w:t>cibo</w:t>
      </w:r>
      <w:r>
        <w:rPr>
          <w:b w:val="0"/>
          <w:i w:val="0"/>
        </w:rPr>
        <w:t xml:space="preserve">; </w:t>
      </w:r>
      <w:r>
        <w:rPr>
          <w:b w:val="0"/>
          <w:i/>
        </w:rPr>
        <w:t>cibus</w:t>
      </w:r>
      <w:r>
        <w:rPr>
          <w:b w:val="0"/>
          <w:i w:val="0"/>
        </w:rPr>
        <w:t xml:space="preserve">; </w:t>
      </w:r>
      <w:r>
        <w:rPr>
          <w:b w:val="0"/>
          <w:i/>
        </w:rPr>
        <w:t>esca</w:t>
      </w:r>
      <w:r>
        <w:rPr>
          <w:b w:val="0"/>
          <w:i w:val="0"/>
        </w:rPr>
        <w:t xml:space="preserve">; </w:t>
      </w:r>
      <w:r>
        <w:rPr>
          <w:b w:val="0"/>
          <w:i/>
        </w:rPr>
        <w:t>Escam</w:t>
      </w:r>
      <w:r>
        <w:rPr>
          <w:b w:val="0"/>
          <w:i w:val="0"/>
        </w:rPr>
        <w:t xml:space="preserve">; </w:t>
      </w:r>
      <w:r>
        <w:rPr>
          <w:b w:val="0"/>
          <w:i/>
        </w:rPr>
        <w:t>escam</w:t>
      </w:r>
      <w:r>
        <w:rPr>
          <w:b w:val="0"/>
          <w:i w:val="0"/>
        </w:rPr>
        <w:t>.</w:t>
      </w:r>
    </w:p>
    <w:p>
      <w:pPr>
        <w:widowControl/>
      </w:pPr>
      <w:r>
        <w:rPr>
          <w:b w:val="0"/>
          <w:i w:val="0"/>
        </w:rPr>
        <w:t xml:space="preserve">Nourishment, sustaining fare or food, with several near-synonymous Latin choices. The varied food vocabulary maintains the analogy from bodily assimilation to intellectual truth without making the processes physically identical. References: </w:t>
      </w:r>
      <w:hyperlink w:anchor="passage-viii-2-1">
        <w:r>
          <w:rPr>
            <w:color w:val="000000"/>
          </w:rPr>
          <w:t xml:space="preserve">VIII.2.1</w:t>
        </w:r>
      </w:hyperlink>
      <w:r>
        <w:rPr>
          <w:b w:val="0"/>
          <w:i w:val="0"/>
        </w:rPr>
        <w:t xml:space="preserve">, </w:t>
      </w:r>
      <w:hyperlink w:anchor="passage-viii-2-2">
        <w:r>
          <w:rPr>
            <w:color w:val="000000"/>
          </w:rPr>
          <w:t xml:space="preserve">VIII.2.2</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8">
        <w:r>
          <w:rPr>
            <w:color w:val="000000"/>
          </w:rPr>
          <w:t xml:space="preserve">VIII.2.8</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313" w:name="latin-record-0072"/>
      <w:bookmarkEnd w:id="313"/>
      <w:r>
        <w:rPr>
          <w:b/>
          <w:i w:val="0"/>
        </w:rPr>
        <w:t>alimentum; alimonia; nutrimentum</w:t>
      </w:r>
      <w:r>
        <w:rPr>
          <w:b/>
          <w:i w:val="0"/>
        </w:rPr>
        <w:t>.</w:t>
      </w:r>
      <w:r>
        <w:rPr>
          <w:b w:val="0"/>
          <w:i w:val="0"/>
        </w:rPr>
        <w:t xml:space="preserve"> Printed forms: </w:t>
      </w:r>
      <w:r>
        <w:rPr>
          <w:b w:val="0"/>
          <w:i/>
        </w:rPr>
        <w:t>Alimentum</w:t>
      </w:r>
      <w:r>
        <w:rPr>
          <w:b w:val="0"/>
          <w:i w:val="0"/>
        </w:rPr>
        <w:t xml:space="preserve">; </w:t>
      </w:r>
      <w:r>
        <w:rPr>
          <w:b w:val="0"/>
          <w:i/>
        </w:rPr>
        <w:t>alimonia</w:t>
      </w:r>
      <w:r>
        <w:rPr>
          <w:b w:val="0"/>
          <w:i w:val="0"/>
        </w:rPr>
        <w:t xml:space="preserve">; </w:t>
      </w:r>
      <w:r>
        <w:rPr>
          <w:b w:val="0"/>
          <w:i/>
        </w:rPr>
        <w:t>nutrimentum</w:t>
      </w:r>
      <w:r>
        <w:rPr>
          <w:b w:val="0"/>
          <w:i w:val="0"/>
        </w:rPr>
        <w:t>.</w:t>
      </w:r>
    </w:p>
    <w:p>
      <w:pPr>
        <w:widowControl/>
      </w:pPr>
      <w:r>
        <w:rPr>
          <w:b w:val="0"/>
          <w:i w:val="0"/>
        </w:rPr>
        <w:t xml:space="preserve">Food, nourishment and what feeds the hypothetical soul-body. The distinctions lead from whether food lives to how its nature is assimilated, rather than asserting ordinary eating consumes immortal souls. References: </w:t>
      </w:r>
      <w:hyperlink w:anchor="passage-vi-13-3">
        <w:r>
          <w:rPr>
            <w:color w:val="000000"/>
          </w:rPr>
          <w:t xml:space="preserve">VI.13.3</w:t>
        </w:r>
      </w:hyperlink>
      <w:r>
        <w:rPr>
          <w:b w:val="0"/>
          <w:i w:val="0"/>
        </w:rPr>
        <w:t xml:space="preserve">, </w:t>
      </w:r>
      <w:hyperlink w:anchor="passage-vi-13-4">
        <w:r>
          <w:rPr>
            <w:color w:val="000000"/>
          </w:rPr>
          <w:t xml:space="preserve">VI.13.4</w:t>
        </w:r>
      </w:hyperlink>
      <w:r>
        <w:rPr>
          <w:b w:val="0"/>
          <w:i w:val="0"/>
        </w:rPr>
        <w:t xml:space="preserve">. See </w:t>
      </w:r>
      <w:hyperlink w:anchor="food-lending-and-borrowing-life">
        <w:r>
          <w:rPr>
            <w:color w:val="000000"/>
          </w:rPr>
          <w:t xml:space="preserve">Food, lending and borrowing life</w:t>
        </w:r>
      </w:hyperlink>
      <w:r>
        <w:rPr>
          <w:b w:val="0"/>
          <w:i w:val="0"/>
        </w:rPr>
        <w:t>.</w:t>
      </w:r>
    </w:p>
    <w:p>
      <w:pPr>
        <w:keepNext/>
        <w:widowControl/>
      </w:pPr>
      <w:bookmarkStart w:id="314" w:name="latin-record-0073"/>
      <w:bookmarkEnd w:id="314"/>
      <w:r>
        <w:rPr>
          <w:b/>
          <w:i w:val="0"/>
        </w:rPr>
        <w:t>aliud aliud</w:t>
      </w:r>
      <w:r>
        <w:rPr>
          <w:b/>
          <w:i w:val="0"/>
        </w:rPr>
        <w:t>.</w:t>
      </w:r>
      <w:r>
        <w:rPr>
          <w:b w:val="0"/>
          <w:i w:val="0"/>
        </w:rPr>
        <w:t xml:space="preserve"> Printed forms: </w:t>
      </w:r>
      <w:r>
        <w:rPr>
          <w:b w:val="0"/>
          <w:i/>
        </w:rPr>
        <w:t>aliud potius aliud</w:t>
      </w:r>
      <w:r>
        <w:rPr>
          <w:b w:val="0"/>
          <w:i w:val="0"/>
        </w:rPr>
        <w:t>.</w:t>
      </w:r>
    </w:p>
    <w:p>
      <w:pPr>
        <w:widowControl/>
      </w:pPr>
      <w:r>
        <w:rPr>
          <w:b w:val="0"/>
          <w:i w:val="0"/>
        </w:rPr>
        <w:t xml:space="preserve">One thing moving another, numerically distinct thing. This fails the strict identity required for primary self-motion even if both belong to one composite body. References: </w:t>
      </w:r>
      <w:hyperlink w:anchor="passage-vi-12-4">
        <w:r>
          <w:rPr>
            <w:color w:val="000000"/>
          </w:rPr>
          <w:t xml:space="preserve">VI.12.4</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315" w:name="latin-record-0074"/>
      <w:bookmarkEnd w:id="315"/>
      <w:r>
        <w:rPr>
          <w:b/>
          <w:i w:val="0"/>
        </w:rPr>
        <w:t>alligare / addicere</w:t>
      </w:r>
      <w:r>
        <w:rPr>
          <w:b/>
          <w:i w:val="0"/>
        </w:rPr>
        <w:t>.</w:t>
      </w:r>
      <w:r>
        <w:rPr>
          <w:b w:val="0"/>
          <w:i w:val="0"/>
        </w:rPr>
        <w:t xml:space="preserve"> Printed forms: </w:t>
      </w:r>
      <w:r>
        <w:rPr>
          <w:b w:val="0"/>
          <w:i/>
        </w:rPr>
        <w:t>addicta</w:t>
      </w:r>
      <w:r>
        <w:rPr>
          <w:b w:val="0"/>
          <w:i w:val="0"/>
        </w:rPr>
        <w:t xml:space="preserve">; </w:t>
      </w:r>
      <w:r>
        <w:rPr>
          <w:b w:val="0"/>
          <w:i/>
        </w:rPr>
        <w:t>alligata</w:t>
      </w:r>
      <w:r>
        <w:rPr>
          <w:b w:val="0"/>
          <w:i w:val="0"/>
        </w:rPr>
        <w:t xml:space="preserve">; </w:t>
      </w:r>
      <w:r>
        <w:rPr>
          <w:b w:val="0"/>
          <w:i/>
        </w:rPr>
        <w:t>alligatur</w:t>
      </w:r>
      <w:r>
        <w:rPr>
          <w:b w:val="0"/>
          <w:i w:val="0"/>
        </w:rPr>
        <w:t>.</w:t>
      </w:r>
    </w:p>
    <w:p>
      <w:pPr>
        <w:widowControl/>
      </w:pPr>
      <w:r>
        <w:rPr>
          <w:b w:val="0"/>
          <w:i w:val="0"/>
        </w:rPr>
        <w:t xml:space="preserve">To bind or subject to another’s control. Freedom from bodily bonds is inferred from self-directed activity; the temperament objection imagines the mind bound to mutable body. References: </w:t>
      </w:r>
      <w:hyperlink w:anchor="passage-v-5-8">
        <w:r>
          <w:rPr>
            <w:color w:val="000000"/>
          </w:rPr>
          <w:t xml:space="preserve">V.5.8</w:t>
        </w:r>
      </w:hyperlink>
      <w:r>
        <w:rPr>
          <w:b w:val="0"/>
          <w:i w:val="0"/>
        </w:rPr>
        <w:t xml:space="preserve">, </w:t>
      </w:r>
      <w:hyperlink w:anchor="passage-v-15-13">
        <w:r>
          <w:rPr>
            <w:color w:val="000000"/>
          </w:rPr>
          <w:t xml:space="preserve">V.15.13</w:t>
        </w:r>
      </w:hyperlink>
      <w:r>
        <w:rPr>
          <w:b w:val="0"/>
          <w:i w:val="0"/>
        </w:rPr>
        <w:t xml:space="preserve">. See </w:t>
      </w:r>
      <w:hyperlink w:anchor="inclination-and-independence">
        <w:r>
          <w:rPr>
            <w:color w:val="000000"/>
          </w:rPr>
          <w:t xml:space="preserve">Inclination and independence</w:t>
        </w:r>
      </w:hyperlink>
      <w:r>
        <w:rPr>
          <w:b w:val="0"/>
          <w:i w:val="0"/>
        </w:rPr>
        <w:t>.</w:t>
      </w:r>
    </w:p>
    <w:p>
      <w:pPr>
        <w:keepNext/>
        <w:widowControl/>
      </w:pPr>
      <w:bookmarkStart w:id="316" w:name="latin-record-0075"/>
      <w:bookmarkEnd w:id="316"/>
      <w:r>
        <w:rPr>
          <w:b/>
          <w:i w:val="0"/>
        </w:rPr>
        <w:t>alteratio; generatio; corruptio</w:t>
      </w:r>
      <w:r>
        <w:rPr>
          <w:b/>
          <w:i w:val="0"/>
        </w:rPr>
        <w:t>.</w:t>
      </w:r>
      <w:r>
        <w:rPr>
          <w:b w:val="0"/>
          <w:i w:val="0"/>
        </w:rPr>
        <w:t xml:space="preserve"> Printed forms: </w:t>
      </w:r>
      <w:r>
        <w:rPr>
          <w:b w:val="0"/>
          <w:i/>
        </w:rPr>
        <w:t>alteratio, generatio, corruptio</w:t>
      </w:r>
      <w:r>
        <w:rPr>
          <w:b w:val="0"/>
          <w:i w:val="0"/>
        </w:rPr>
        <w:t>.</w:t>
      </w:r>
    </w:p>
    <w:p>
      <w:pPr>
        <w:widowControl/>
      </w:pPr>
      <w:r>
        <w:rPr>
          <w:b w:val="0"/>
          <w:i w:val="0"/>
        </w:rPr>
        <w:t xml:space="preserve">Change of quality, coming-to-be and corruption. These first three motions receive distinct refutations before several remaining motions are reduced to them. References: </w:t>
      </w:r>
      <w:hyperlink w:anchor="passage-vi-12-13">
        <w:r>
          <w:rPr>
            <w:color w:val="000000"/>
          </w:rPr>
          <w:t xml:space="preserve">VI.12.13</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317" w:name="latin-record-0076"/>
      <w:bookmarkEnd w:id="317"/>
      <w:r>
        <w:rPr>
          <w:b/>
          <w:i w:val="0"/>
        </w:rPr>
        <w:t>alteritas</w:t>
      </w:r>
      <w:r>
        <w:rPr>
          <w:b/>
          <w:i w:val="0"/>
        </w:rPr>
        <w:t>.</w:t>
      </w:r>
      <w:r>
        <w:rPr>
          <w:b w:val="0"/>
          <w:i w:val="0"/>
        </w:rPr>
        <w:t xml:space="preserve"> Printed forms: </w:t>
      </w:r>
      <w:r>
        <w:rPr>
          <w:b w:val="0"/>
          <w:i/>
        </w:rPr>
        <w:t>alteritate</w:t>
      </w:r>
      <w:r>
        <w:rPr>
          <w:b w:val="0"/>
          <w:i w:val="0"/>
        </w:rPr>
        <w:t>.</w:t>
      </w:r>
    </w:p>
    <w:p>
      <w:pPr>
        <w:widowControl/>
      </w:pPr>
      <w:r>
        <w:rPr>
          <w:b w:val="0"/>
          <w:i w:val="0"/>
        </w:rPr>
        <w:t xml:space="preserve">Otherness or affecting difference. The encounter with something unlike the body’s established condition calls forth more attentive organ-specific activity.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318" w:name="latin-record-0077"/>
      <w:bookmarkEnd w:id="318"/>
      <w:r>
        <w:rPr>
          <w:b/>
          <w:i w:val="0"/>
        </w:rPr>
        <w:t>alvus / fetus</w:t>
      </w:r>
      <w:r>
        <w:rPr>
          <w:b/>
          <w:i w:val="0"/>
        </w:rPr>
        <w:t>.</w:t>
      </w:r>
      <w:r>
        <w:rPr>
          <w:b w:val="0"/>
          <w:i w:val="0"/>
        </w:rPr>
        <w:t xml:space="preserve"> Printed forms: </w:t>
      </w:r>
      <w:r>
        <w:rPr>
          <w:b w:val="0"/>
          <w:i/>
        </w:rPr>
        <w:t>alvo</w:t>
      </w:r>
      <w:r>
        <w:rPr>
          <w:b w:val="0"/>
          <w:i w:val="0"/>
        </w:rPr>
        <w:t xml:space="preserve">; </w:t>
      </w:r>
      <w:r>
        <w:rPr>
          <w:b w:val="0"/>
          <w:i/>
        </w:rPr>
        <w:t>fetus</w:t>
      </w:r>
      <w:r>
        <w:rPr>
          <w:b w:val="0"/>
          <w:i w:val="0"/>
        </w:rPr>
        <w:t>.</w:t>
      </w:r>
    </w:p>
    <w:p>
      <w:pPr>
        <w:widowControl/>
      </w:pPr>
      <w:r>
        <w:rPr>
          <w:b w:val="0"/>
          <w:i w:val="0"/>
        </w:rPr>
        <w:t xml:space="preserve">Womb and offspring, a maternal image for a quality drawn from material potentiality. The offspring is extended and divided with the material from which it is produced, marking the quality’s dependence. References: </w:t>
      </w:r>
      <w:hyperlink w:anchor="passage-v-5-3">
        <w:r>
          <w:rPr>
            <w:color w:val="000000"/>
          </w:rPr>
          <w:t xml:space="preserve">V.5.3</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319" w:name="latin-record-0078"/>
      <w:bookmarkEnd w:id="319"/>
      <w:r>
        <w:rPr>
          <w:b/>
          <w:i w:val="0"/>
        </w:rPr>
        <w:t>amens / mens</w:t>
      </w:r>
      <w:r>
        <w:rPr>
          <w:b/>
          <w:i w:val="0"/>
        </w:rPr>
        <w:t>.</w:t>
      </w:r>
      <w:r>
        <w:rPr>
          <w:b w:val="0"/>
          <w:i w:val="0"/>
        </w:rPr>
        <w:t xml:space="preserve"> Printed forms: </w:t>
      </w:r>
      <w:r>
        <w:rPr>
          <w:b w:val="0"/>
          <w:i/>
        </w:rPr>
        <w:t>amentibus</w:t>
      </w:r>
      <w:r>
        <w:rPr>
          <w:b w:val="0"/>
          <w:i w:val="0"/>
        </w:rPr>
        <w:t xml:space="preserve">; </w:t>
      </w:r>
      <w:r>
        <w:rPr>
          <w:b w:val="0"/>
          <w:i/>
        </w:rPr>
        <w:t>mens</w:t>
      </w:r>
      <w:r>
        <w:rPr>
          <w:b w:val="0"/>
          <w:i w:val="0"/>
        </w:rPr>
        <w:t>.</w:t>
      </w:r>
    </w:p>
    <w:p>
      <w:pPr>
        <w:widowControl/>
      </w:pPr>
      <w:r>
        <w:rPr>
          <w:b w:val="0"/>
          <w:i w:val="0"/>
        </w:rPr>
        <w:t xml:space="preserve">Mindless and mind, forming a pointed verbal contrast. The prohibition against composing mind from mindless parts belongs to the specific reductio of a spatially divided intellectual form. References: </w:t>
      </w:r>
      <w:hyperlink w:anchor="passage-viii-4-5">
        <w:r>
          <w:rPr>
            <w:color w:val="000000"/>
          </w:rPr>
          <w:t xml:space="preserve">VIII.4.5</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320" w:name="latin-record-0079"/>
      <w:bookmarkEnd w:id="320"/>
      <w:r>
        <w:rPr>
          <w:b/>
          <w:i w:val="0"/>
        </w:rPr>
        <w:t>amicitia / disciplina</w:t>
      </w:r>
      <w:r>
        <w:rPr>
          <w:b/>
          <w:i w:val="0"/>
        </w:rPr>
        <w:t>.</w:t>
      </w:r>
      <w:r>
        <w:rPr>
          <w:b w:val="0"/>
          <w:i w:val="0"/>
        </w:rPr>
        <w:t xml:space="preserve"> Printed forms: </w:t>
      </w:r>
      <w:r>
        <w:rPr>
          <w:b w:val="0"/>
          <w:i/>
        </w:rPr>
        <w:t>amicitia</w:t>
      </w:r>
      <w:r>
        <w:rPr>
          <w:b w:val="0"/>
          <w:i w:val="0"/>
        </w:rPr>
        <w:t xml:space="preserve">; </w:t>
      </w:r>
      <w:r>
        <w:rPr>
          <w:b w:val="0"/>
          <w:i/>
        </w:rPr>
        <w:t>amicitiae</w:t>
      </w:r>
      <w:r>
        <w:rPr>
          <w:b w:val="0"/>
          <w:i w:val="0"/>
        </w:rPr>
        <w:t xml:space="preserve">; </w:t>
      </w:r>
      <w:r>
        <w:rPr>
          <w:b w:val="0"/>
          <w:i/>
        </w:rPr>
        <w:t>disciplina</w:t>
      </w:r>
      <w:r>
        <w:rPr>
          <w:b w:val="0"/>
          <w:i w:val="0"/>
        </w:rPr>
        <w:t xml:space="preserve">; </w:t>
      </w:r>
      <w:r>
        <w:rPr>
          <w:b w:val="0"/>
          <w:i/>
        </w:rPr>
        <w:t>discipuli</w:t>
      </w:r>
      <w:r>
        <w:rPr>
          <w:b w:val="0"/>
          <w:i w:val="0"/>
        </w:rPr>
        <w:t xml:space="preserve">; </w:t>
      </w:r>
      <w:r>
        <w:rPr>
          <w:b w:val="0"/>
          <w:i/>
        </w:rPr>
        <w:t>discipulum</w:t>
      </w:r>
      <w:r>
        <w:rPr>
          <w:b w:val="0"/>
          <w:i w:val="0"/>
        </w:rPr>
        <w:t>.</w:t>
      </w:r>
    </w:p>
    <w:p>
      <w:pPr>
        <w:widowControl/>
      </w:pPr>
      <w:r>
        <w:rPr>
          <w:b w:val="0"/>
          <w:i w:val="0"/>
        </w:rPr>
        <w:t xml:space="preserve">Friendship and the learning or pupil relation that recognition adds to a sensory portrait. These relations are not visible colours or shapes; they mark phantasy’s partial reach beyond sensation while remaining particularized.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321" w:name="latin-record-0080"/>
      <w:bookmarkEnd w:id="321"/>
      <w:r>
        <w:rPr>
          <w:b/>
          <w:i w:val="0"/>
        </w:rPr>
        <w:t>amittere</w:t>
      </w:r>
      <w:r>
        <w:rPr>
          <w:b/>
          <w:i w:val="0"/>
        </w:rPr>
        <w:t>.</w:t>
      </w:r>
      <w:r>
        <w:rPr>
          <w:b w:val="0"/>
          <w:i w:val="0"/>
        </w:rPr>
        <w:t xml:space="preserve"> Printed forms: </w:t>
      </w:r>
      <w:r>
        <w:rPr>
          <w:b w:val="0"/>
          <w:i/>
        </w:rPr>
        <w:t>amissum</w:t>
      </w:r>
      <w:r>
        <w:rPr>
          <w:b w:val="0"/>
          <w:i w:val="0"/>
        </w:rPr>
        <w:t xml:space="preserve">; </w:t>
      </w:r>
      <w:r>
        <w:rPr>
          <w:b w:val="0"/>
          <w:i/>
        </w:rPr>
        <w:t>amittat</w:t>
      </w:r>
      <w:r>
        <w:rPr>
          <w:b w:val="0"/>
          <w:i w:val="0"/>
        </w:rPr>
        <w:t xml:space="preserve">; </w:t>
      </w:r>
      <w:r>
        <w:rPr>
          <w:b w:val="0"/>
          <w:i/>
        </w:rPr>
        <w:t>amittere</w:t>
      </w:r>
      <w:r>
        <w:rPr>
          <w:b w:val="0"/>
          <w:i w:val="0"/>
        </w:rPr>
        <w:t xml:space="preserve">; </w:t>
      </w:r>
      <w:r>
        <w:rPr>
          <w:b w:val="0"/>
          <w:i/>
        </w:rPr>
        <w:t>amittit</w:t>
      </w:r>
      <w:r>
        <w:rPr>
          <w:b w:val="0"/>
          <w:i w:val="0"/>
        </w:rPr>
        <w:t>.</w:t>
      </w:r>
    </w:p>
    <w:p>
      <w:pPr>
        <w:widowControl/>
      </w:pPr>
      <w:r>
        <w:rPr>
          <w:b w:val="0"/>
          <w:i w:val="0"/>
        </w:rPr>
        <w:t xml:space="preserve">To lose something previously possessed. Fire loses its form and proper being; the soul’s imagined loss of being is tested against the persistence of essence. References: </w:t>
      </w:r>
      <w:hyperlink w:anchor="passage-v-8-1">
        <w:r>
          <w:rPr>
            <w:color w:val="000000"/>
          </w:rPr>
          <w:t xml:space="preserve">V.8.1</w:t>
        </w:r>
      </w:hyperlink>
      <w:r>
        <w:rPr>
          <w:b w:val="0"/>
          <w:i w:val="0"/>
        </w:rPr>
        <w:t xml:space="preserve">, </w:t>
      </w:r>
      <w:hyperlink w:anchor="passage-v-8-2">
        <w:r>
          <w:rPr>
            <w:color w:val="000000"/>
          </w:rPr>
          <w:t xml:space="preserve">V.8.2</w:t>
        </w:r>
      </w:hyperlink>
      <w:r>
        <w:rPr>
          <w:b w:val="0"/>
          <w:i w:val="0"/>
        </w:rPr>
        <w:t xml:space="preserve">, </w:t>
      </w:r>
      <w:hyperlink w:anchor="passage-v-11-2">
        <w:r>
          <w:rPr>
            <w:color w:val="000000"/>
          </w:rPr>
          <w:t xml:space="preserve">V.11.2</w:t>
        </w:r>
      </w:hyperlink>
      <w:r>
        <w:rPr>
          <w:b w:val="0"/>
          <w:i w:val="0"/>
        </w:rPr>
        <w:t xml:space="preserve">, </w:t>
      </w:r>
      <w:hyperlink w:anchor="passage-v-11-3">
        <w:r>
          <w:rPr>
            <w:color w:val="000000"/>
          </w:rPr>
          <w:t xml:space="preserve">V.11.3</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widowControl/>
      </w:pPr>
      <w:r>
        <w:rPr>
          <w:b w:val="0"/>
          <w:i w:val="0"/>
        </w:rPr>
        <w:t xml:space="preserve">To lose what was previously possessed. A new wax-like impression threatens to erase the older one, making the example a test of memory. References: </w:t>
      </w:r>
      <w:hyperlink w:anchor="passage-vii-1-1">
        <w:r>
          <w:rPr>
            <w:color w:val="000000"/>
          </w:rPr>
          <w:t xml:space="preserve">VII.1.1</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322" w:name="latin-record-0081"/>
      <w:bookmarkEnd w:id="322"/>
      <w:r>
        <w:rPr>
          <w:b/>
          <w:i w:val="0"/>
        </w:rPr>
        <w:t>amittere / deicere</w:t>
      </w:r>
      <w:r>
        <w:rPr>
          <w:b/>
          <w:i w:val="0"/>
        </w:rPr>
        <w:t>.</w:t>
      </w:r>
      <w:r>
        <w:rPr>
          <w:b w:val="0"/>
          <w:i w:val="0"/>
        </w:rPr>
        <w:t xml:space="preserve"> Printed forms: </w:t>
      </w:r>
      <w:r>
        <w:rPr>
          <w:b w:val="0"/>
          <w:i/>
        </w:rPr>
        <w:t>amittere</w:t>
      </w:r>
      <w:r>
        <w:rPr>
          <w:b w:val="0"/>
          <w:i w:val="0"/>
        </w:rPr>
        <w:t xml:space="preserve">; </w:t>
      </w:r>
      <w:r>
        <w:rPr>
          <w:b w:val="0"/>
          <w:i/>
        </w:rPr>
        <w:t>amittit</w:t>
      </w:r>
      <w:r>
        <w:rPr>
          <w:b w:val="0"/>
          <w:i w:val="0"/>
        </w:rPr>
        <w:t xml:space="preserve">; </w:t>
      </w:r>
      <w:r>
        <w:rPr>
          <w:b w:val="0"/>
          <w:i/>
        </w:rPr>
        <w:t>deicitur</w:t>
      </w:r>
      <w:r>
        <w:rPr>
          <w:b w:val="0"/>
          <w:i w:val="0"/>
        </w:rPr>
        <w:t>.</w:t>
      </w:r>
    </w:p>
    <w:p>
      <w:pPr>
        <w:widowControl/>
      </w:pPr>
      <w:r>
        <w:rPr>
          <w:b w:val="0"/>
          <w:i w:val="0"/>
        </w:rPr>
        <w:t xml:space="preserve">Losing a form or being cast down from a settled state. Mind’s reception of forms is argued to preserve its own nature, unlike heated water or a bodily recipient altered into something else. References: </w:t>
      </w:r>
      <w:hyperlink w:anchor="passage-viii-7-1">
        <w:r>
          <w:rPr>
            <w:color w:val="000000"/>
          </w:rPr>
          <w:t xml:space="preserve">VIII.7.1</w:t>
        </w:r>
      </w:hyperlink>
      <w:r>
        <w:rPr>
          <w:b w:val="0"/>
          <w:i w:val="0"/>
        </w:rPr>
        <w:t xml:space="preserve">, </w:t>
      </w:r>
      <w:hyperlink w:anchor="passage-viii-13-2">
        <w:r>
          <w:rPr>
            <w:color w:val="000000"/>
          </w:rPr>
          <w:t xml:space="preserve">VIII.13.2</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323" w:name="latin-record-0082"/>
      <w:bookmarkEnd w:id="323"/>
      <w:r>
        <w:rPr>
          <w:b/>
          <w:i w:val="0"/>
        </w:rPr>
        <w:t>amittere; quaerere; fugere</w:t>
      </w:r>
      <w:r>
        <w:rPr>
          <w:b/>
          <w:i w:val="0"/>
        </w:rPr>
        <w:t>.</w:t>
      </w:r>
      <w:r>
        <w:rPr>
          <w:b w:val="0"/>
          <w:i w:val="0"/>
        </w:rPr>
        <w:t xml:space="preserve"> Printed forms: </w:t>
      </w:r>
      <w:r>
        <w:rPr>
          <w:b w:val="0"/>
          <w:i/>
        </w:rPr>
        <w:t>amittere</w:t>
      </w:r>
      <w:r>
        <w:rPr>
          <w:b w:val="0"/>
          <w:i w:val="0"/>
        </w:rPr>
        <w:t xml:space="preserve">; </w:t>
      </w:r>
      <w:r>
        <w:rPr>
          <w:b w:val="0"/>
          <w:i/>
        </w:rPr>
        <w:t>fugam</w:t>
      </w:r>
      <w:r>
        <w:rPr>
          <w:b w:val="0"/>
          <w:i w:val="0"/>
        </w:rPr>
        <w:t xml:space="preserve">; </w:t>
      </w:r>
      <w:r>
        <w:rPr>
          <w:b w:val="0"/>
          <w:i/>
        </w:rPr>
        <w:t>fugiat</w:t>
      </w:r>
      <w:r>
        <w:rPr>
          <w:b w:val="0"/>
          <w:i w:val="0"/>
        </w:rPr>
        <w:t xml:space="preserve">; </w:t>
      </w:r>
      <w:r>
        <w:rPr>
          <w:b w:val="0"/>
          <w:i/>
        </w:rPr>
        <w:t>quaerere</w:t>
      </w:r>
      <w:r>
        <w:rPr>
          <w:b w:val="0"/>
          <w:i w:val="0"/>
        </w:rPr>
        <w:t>.</w:t>
      </w:r>
    </w:p>
    <w:p>
      <w:pPr>
        <w:widowControl/>
      </w:pPr>
      <w:r>
        <w:rPr>
          <w:b w:val="0"/>
          <w:i w:val="0"/>
        </w:rPr>
        <w:t xml:space="preserve">To lose, seek and flee. The language personifies perpetual change and qualitative conflict, not conscious decisions by bodily qualities. References: </w:t>
      </w:r>
      <w:hyperlink w:anchor="passage-vi-8-3">
        <w:r>
          <w:rPr>
            <w:color w:val="000000"/>
          </w:rPr>
          <w:t xml:space="preserve">VI.8.3</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324" w:name="latin-record-0083"/>
      <w:bookmarkEnd w:id="324"/>
      <w:r>
        <w:rPr>
          <w:b/>
          <w:i w:val="0"/>
        </w:rPr>
        <w:t>amplexus / complecti / capere</w:t>
      </w:r>
      <w:r>
        <w:rPr>
          <w:b/>
          <w:i w:val="0"/>
        </w:rPr>
        <w:t>.</w:t>
      </w:r>
      <w:r>
        <w:rPr>
          <w:b w:val="0"/>
          <w:i w:val="0"/>
        </w:rPr>
        <w:t xml:space="preserve"> Printed forms: </w:t>
      </w:r>
      <w:r>
        <w:rPr>
          <w:b w:val="0"/>
          <w:i/>
        </w:rPr>
        <w:t>amplectitur</w:t>
      </w:r>
      <w:r>
        <w:rPr>
          <w:b w:val="0"/>
          <w:i w:val="0"/>
        </w:rPr>
        <w:t xml:space="preserve">; </w:t>
      </w:r>
      <w:r>
        <w:rPr>
          <w:b w:val="0"/>
          <w:i/>
        </w:rPr>
        <w:t>amplexibus</w:t>
      </w:r>
      <w:r>
        <w:rPr>
          <w:b w:val="0"/>
          <w:i w:val="0"/>
        </w:rPr>
        <w:t xml:space="preserve">; </w:t>
      </w:r>
      <w:r>
        <w:rPr>
          <w:b w:val="0"/>
          <w:i/>
        </w:rPr>
        <w:t>capiendo</w:t>
      </w:r>
      <w:r>
        <w:rPr>
          <w:b w:val="0"/>
          <w:i w:val="0"/>
        </w:rPr>
        <w:t xml:space="preserve">; </w:t>
      </w:r>
      <w:r>
        <w:rPr>
          <w:b w:val="0"/>
          <w:i/>
        </w:rPr>
        <w:t>capiunt</w:t>
      </w:r>
      <w:r>
        <w:rPr>
          <w:b w:val="0"/>
          <w:i w:val="0"/>
        </w:rPr>
        <w:t xml:space="preserve">; </w:t>
      </w:r>
      <w:r>
        <w:rPr>
          <w:b w:val="0"/>
          <w:i/>
        </w:rPr>
        <w:t>complectuntur</w:t>
      </w:r>
      <w:r>
        <w:rPr>
          <w:b w:val="0"/>
          <w:i w:val="0"/>
        </w:rPr>
        <w:t>.</w:t>
      </w:r>
    </w:p>
    <w:p>
      <w:pPr>
        <w:widowControl/>
      </w:pPr>
      <w:r>
        <w:rPr>
          <w:b w:val="0"/>
          <w:i w:val="0"/>
        </w:rPr>
        <w:t xml:space="preserve">Embracing and receiving, extended to mutual intellectual apprehension. Each mind can consider another and the shared nature of minds without being a larger bodily container. References: </w:t>
      </w:r>
      <w:hyperlink w:anchor="passage-viii-9-1">
        <w:r>
          <w:rPr>
            <w:color w:val="000000"/>
          </w:rPr>
          <w:t xml:space="preserve">VIII.9.1</w:t>
        </w:r>
      </w:hyperlink>
      <w:r>
        <w:rPr>
          <w:b w:val="0"/>
          <w:i w:val="0"/>
        </w:rPr>
        <w:t xml:space="preserve">. See </w:t>
      </w:r>
      <w:hyperlink w:anchor="viii-mutual-minds">
        <w:r>
          <w:rPr>
            <w:color w:val="000000"/>
          </w:rPr>
          <w:t xml:space="preserve">Mutual knowledge of minds and the celestial spheres</w:t>
        </w:r>
      </w:hyperlink>
      <w:r>
        <w:rPr>
          <w:b w:val="0"/>
          <w:i w:val="0"/>
        </w:rPr>
        <w:t>.</w:t>
      </w:r>
    </w:p>
    <w:p>
      <w:pPr>
        <w:keepNext/>
        <w:widowControl/>
      </w:pPr>
      <w:bookmarkStart w:id="325" w:name="latin-record-0084"/>
      <w:bookmarkEnd w:id="325"/>
      <w:r>
        <w:rPr>
          <w:b/>
          <w:i w:val="0"/>
        </w:rPr>
        <w:t>amplificatio divina</w:t>
      </w:r>
      <w:r>
        <w:rPr>
          <w:b/>
          <w:i w:val="0"/>
        </w:rPr>
        <w:t>.</w:t>
      </w:r>
      <w:r>
        <w:rPr>
          <w:b w:val="0"/>
          <w:i w:val="0"/>
        </w:rPr>
        <w:t xml:space="preserve"> Printed forms: </w:t>
      </w:r>
      <w:r>
        <w:rPr>
          <w:b w:val="0"/>
          <w:i/>
        </w:rPr>
        <w:t>amplificata</w:t>
      </w:r>
      <w:r>
        <w:rPr>
          <w:b w:val="0"/>
          <w:i w:val="0"/>
        </w:rPr>
        <w:t xml:space="preserve">; </w:t>
      </w:r>
      <w:r>
        <w:rPr>
          <w:b w:val="0"/>
          <w:i/>
        </w:rPr>
        <w:t>amplificatione divina</w:t>
      </w:r>
      <w:r>
        <w:rPr>
          <w:b w:val="0"/>
          <w:i w:val="0"/>
        </w:rPr>
        <w:t>.</w:t>
      </w:r>
    </w:p>
    <w:p>
      <w:pPr>
        <w:widowControl/>
      </w:pPr>
      <w:r>
        <w:rPr>
          <w:b w:val="0"/>
          <w:i w:val="0"/>
        </w:rPr>
        <w:t xml:space="preserve">Divine enlargement, the received expansion of mind’s intellectual and vital power. Ficino corrects the suggestion that the power is independently self-owned; God’s absolute infinity continuously supplies and maintains it. References: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326" w:name="latin-record-0085"/>
      <w:bookmarkEnd w:id="326"/>
      <w:r>
        <w:rPr>
          <w:b/>
          <w:i w:val="0"/>
        </w:rPr>
        <w:t>amplitudo; angustia</w:t>
      </w:r>
      <w:r>
        <w:rPr>
          <w:b/>
          <w:i w:val="0"/>
        </w:rPr>
        <w:t>.</w:t>
      </w:r>
      <w:r>
        <w:rPr>
          <w:b w:val="0"/>
          <w:i w:val="0"/>
        </w:rPr>
        <w:t xml:space="preserve"> Printed forms: </w:t>
      </w:r>
      <w:r>
        <w:rPr>
          <w:b w:val="0"/>
          <w:i/>
        </w:rPr>
        <w:t>amplitudinem</w:t>
      </w:r>
      <w:r>
        <w:rPr>
          <w:b w:val="0"/>
          <w:i w:val="0"/>
        </w:rPr>
        <w:t xml:space="preserve">; </w:t>
      </w:r>
      <w:r>
        <w:rPr>
          <w:b w:val="0"/>
          <w:i/>
        </w:rPr>
        <w:t>angustiam</w:t>
      </w:r>
      <w:r>
        <w:rPr>
          <w:b w:val="0"/>
          <w:i w:val="0"/>
        </w:rPr>
        <w:t xml:space="preserve">; </w:t>
      </w:r>
      <w:r>
        <w:rPr>
          <w:b w:val="0"/>
          <w:i/>
        </w:rPr>
        <w:t>angustiis</w:t>
      </w:r>
      <w:r>
        <w:rPr>
          <w:b w:val="0"/>
          <w:i w:val="0"/>
        </w:rPr>
        <w:t>.</w:t>
      </w:r>
    </w:p>
    <w:p>
      <w:pPr>
        <w:widowControl/>
      </w:pPr>
      <w:r>
        <w:rPr>
          <w:b w:val="0"/>
          <w:i w:val="0"/>
        </w:rPr>
        <w:t xml:space="preserve">Breadth and confinement, paradoxically opposed between spirit and body. Spiritual amplitude is not physical extension; the passage qualifies its infinite narrowness metaphor with ut ita loquar. References: </w:t>
      </w:r>
      <w:hyperlink w:anchor="passage-vi-2-6">
        <w:r>
          <w:rPr>
            <w:color w:val="000000"/>
          </w:rPr>
          <w:t xml:space="preserve">VI.2.6</w:t>
        </w:r>
      </w:hyperlink>
      <w:r>
        <w:rPr>
          <w:b w:val="0"/>
          <w:i w:val="0"/>
        </w:rPr>
        <w:t xml:space="preserve">. See </w:t>
      </w:r>
      <w:hyperlink w:anchor="number-and-spiritual-amplitude">
        <w:r>
          <w:rPr>
            <w:color w:val="000000"/>
          </w:rPr>
          <w:t xml:space="preserve">Number and spiritual amplitude</w:t>
        </w:r>
      </w:hyperlink>
      <w:r>
        <w:rPr>
          <w:b w:val="0"/>
          <w:i w:val="0"/>
        </w:rPr>
        <w:t>.</w:t>
      </w:r>
    </w:p>
    <w:p>
      <w:pPr>
        <w:keepNext/>
        <w:widowControl/>
      </w:pPr>
      <w:bookmarkStart w:id="327" w:name="latin-record-0086"/>
      <w:bookmarkEnd w:id="327"/>
      <w:r>
        <w:rPr>
          <w:b/>
          <w:i w:val="0"/>
        </w:rPr>
        <w:t>Anaximenes; Diogenes; Critias</w:t>
      </w:r>
      <w:r>
        <w:rPr>
          <w:b/>
          <w:i w:val="0"/>
        </w:rPr>
        <w:t>.</w:t>
      </w:r>
      <w:r>
        <w:rPr>
          <w:b w:val="0"/>
          <w:i w:val="0"/>
        </w:rPr>
        <w:t xml:space="preserve"> Printed forms: </w:t>
      </w:r>
      <w:r>
        <w:rPr>
          <w:b w:val="0"/>
          <w:i/>
        </w:rPr>
        <w:t>Anaximenes</w:t>
      </w:r>
      <w:r>
        <w:rPr>
          <w:b w:val="0"/>
          <w:i w:val="0"/>
        </w:rPr>
        <w:t xml:space="preserve">; </w:t>
      </w:r>
      <w:r>
        <w:rPr>
          <w:b w:val="0"/>
          <w:i/>
        </w:rPr>
        <w:t>Critias</w:t>
      </w:r>
      <w:r>
        <w:rPr>
          <w:b w:val="0"/>
          <w:i w:val="0"/>
        </w:rPr>
        <w:t xml:space="preserve">; </w:t>
      </w:r>
      <w:r>
        <w:rPr>
          <w:b w:val="0"/>
          <w:i/>
        </w:rPr>
        <w:t>Diogenes Apolloniates</w:t>
      </w:r>
      <w:r>
        <w:rPr>
          <w:b w:val="0"/>
          <w:i w:val="0"/>
        </w:rPr>
        <w:t>.</w:t>
      </w:r>
    </w:p>
    <w:p>
      <w:pPr>
        <w:widowControl/>
      </w:pPr>
      <w:r>
        <w:rPr>
          <w:b w:val="0"/>
          <w:i w:val="0"/>
        </w:rPr>
        <w:t xml:space="preserve">Authorities named for the airy soul account. Diogenes is explicitly of Apollonia; the three names remain part of a reported classification.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328" w:name="latin-record-0087"/>
      <w:bookmarkEnd w:id="328"/>
      <w:r>
        <w:rPr>
          <w:b/>
          <w:i w:val="0"/>
        </w:rPr>
        <w:t>Angellerius; Arduinus</w:t>
      </w:r>
      <w:r>
        <w:rPr>
          <w:b/>
          <w:i w:val="0"/>
        </w:rPr>
        <w:t>.</w:t>
      </w:r>
      <w:r>
        <w:rPr>
          <w:b w:val="0"/>
          <w:i w:val="0"/>
        </w:rPr>
        <w:t xml:space="preserve"> Printed forms: </w:t>
      </w:r>
      <w:r>
        <w:rPr>
          <w:b w:val="0"/>
          <w:i/>
        </w:rPr>
        <w:t>Oliverio Arduino Florentino</w:t>
      </w:r>
      <w:r>
        <w:rPr>
          <w:b w:val="0"/>
          <w:i w:val="0"/>
        </w:rPr>
        <w:t xml:space="preserve">; </w:t>
      </w:r>
      <w:r>
        <w:rPr>
          <w:b w:val="0"/>
          <w:i/>
        </w:rPr>
        <w:t>Richardo Angellerio Anglariensi</w:t>
      </w:r>
      <w:r>
        <w:rPr>
          <w:b w:val="0"/>
          <w:i w:val="0"/>
        </w:rPr>
        <w:t>.</w:t>
      </w:r>
    </w:p>
    <w:p>
      <w:pPr>
        <w:widowControl/>
      </w:pPr>
      <w:r>
        <w:rPr>
          <w:b w:val="0"/>
          <w:i w:val="0"/>
        </w:rPr>
        <w:t xml:space="preserve">Richard Angellerius of Anghiari and Oliviero Arduino of Florence, named Peripatetics. Cavalcanti reports that they reached the same conclusion about the required proof. References: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329" w:name="latin-record-0088"/>
      <w:bookmarkEnd w:id="329"/>
      <w:r>
        <w:rPr>
          <w:b/>
          <w:i w:val="0"/>
        </w:rPr>
        <w:t>angelus</w:t>
      </w:r>
      <w:r>
        <w:rPr>
          <w:b/>
          <w:i w:val="0"/>
        </w:rPr>
        <w:t>.</w:t>
      </w:r>
      <w:r>
        <w:rPr>
          <w:b w:val="0"/>
          <w:i w:val="0"/>
        </w:rPr>
        <w:t xml:space="preserve"> Printed forms: </w:t>
      </w:r>
      <w:r>
        <w:rPr>
          <w:b w:val="0"/>
          <w:i/>
        </w:rPr>
        <w:t>angelo</w:t>
      </w:r>
      <w:r>
        <w:rPr>
          <w:b w:val="0"/>
          <w:i w:val="0"/>
        </w:rPr>
        <w:t xml:space="preserve">; </w:t>
      </w:r>
      <w:r>
        <w:rPr>
          <w:b w:val="0"/>
          <w:i/>
        </w:rPr>
        <w:t>angelum</w:t>
      </w:r>
      <w:r>
        <w:rPr>
          <w:b w:val="0"/>
          <w:i w:val="0"/>
        </w:rPr>
        <w:t xml:space="preserve">; </w:t>
      </w:r>
      <w:r>
        <w:rPr>
          <w:b w:val="0"/>
          <w:i/>
        </w:rPr>
        <w:t>angelus</w:t>
      </w:r>
      <w:r>
        <w:rPr>
          <w:b w:val="0"/>
          <w:i w:val="0"/>
        </w:rPr>
        <w:t>.</w:t>
      </w:r>
    </w:p>
    <w:p>
      <w:pPr>
        <w:widowControl/>
      </w:pPr>
      <w:r>
        <w:rPr>
          <w:b w:val="0"/>
          <w:i w:val="0"/>
        </w:rPr>
        <w:t xml:space="preserve">Angel or angelic mind, a created intellectual rank superior to rational soul. V.5 distinguishes freedom from material inclination, while V.13 denies that this finite being can create a soul, even as instrument. References: </w:t>
      </w:r>
      <w:hyperlink w:anchor="passage-v-3-1">
        <w:r>
          <w:rPr>
            <w:color w:val="000000"/>
          </w:rPr>
          <w:t xml:space="preserve">V.3.1</w:t>
        </w:r>
      </w:hyperlink>
      <w:r>
        <w:rPr>
          <w:b w:val="0"/>
          <w:i w:val="0"/>
        </w:rPr>
        <w:t xml:space="preserve">, </w:t>
      </w:r>
      <w:hyperlink w:anchor="passage-v-5-5">
        <w:r>
          <w:rPr>
            <w:color w:val="000000"/>
          </w:rPr>
          <w:t xml:space="preserve">V.5.5</w:t>
        </w:r>
      </w:hyperlink>
      <w:r>
        <w:rPr>
          <w:b w:val="0"/>
          <w:i w:val="0"/>
        </w:rPr>
        <w:t xml:space="preserve">, </w:t>
      </w:r>
      <w:hyperlink w:anchor="passage-v-13-1">
        <w:r>
          <w:rPr>
            <w:color w:val="000000"/>
          </w:rPr>
          <w:t xml:space="preserve">V.13.1</w:t>
        </w:r>
      </w:hyperlink>
      <w:r>
        <w:rPr>
          <w:b w:val="0"/>
          <w:i w:val="0"/>
        </w:rPr>
        <w:t xml:space="preserve">, </w:t>
      </w:r>
      <w:hyperlink w:anchor="passage-v-13-14">
        <w:r>
          <w:rPr>
            <w:color w:val="000000"/>
          </w:rPr>
          <w:t xml:space="preserve">V.13.14</w:t>
        </w:r>
      </w:hyperlink>
      <w:r>
        <w:rPr>
          <w:b w:val="0"/>
          <w:i w:val="0"/>
        </w:rPr>
        <w:t xml:space="preserve">, </w:t>
      </w:r>
      <w:hyperlink w:anchor="passage-v-13-16">
        <w:r>
          <w:rPr>
            <w:color w:val="000000"/>
          </w:rPr>
          <w:t xml:space="preserve">V.13.16</w:t>
        </w:r>
      </w:hyperlink>
      <w:r>
        <w:rPr>
          <w:b w:val="0"/>
          <w:i w:val="0"/>
        </w:rPr>
        <w:t xml:space="preserve">. See </w:t>
      </w:r>
      <w:hyperlink w:anchor="instrument-and-creative-mediation">
        <w:r>
          <w:rPr>
            <w:color w:val="000000"/>
          </w:rPr>
          <w:t xml:space="preserve">Instrument and creative mediation</w:t>
        </w:r>
      </w:hyperlink>
      <w:r>
        <w:rPr>
          <w:b w:val="0"/>
          <w:i w:val="0"/>
        </w:rPr>
        <w:t>.</w:t>
      </w:r>
    </w:p>
    <w:p>
      <w:pPr>
        <w:keepNext/>
        <w:widowControl/>
      </w:pPr>
      <w:bookmarkStart w:id="330" w:name="latin-record-0089"/>
      <w:bookmarkEnd w:id="330"/>
      <w:r>
        <w:rPr>
          <w:b/>
          <w:i w:val="0"/>
        </w:rPr>
        <w:t>angelus finitus</w:t>
      </w:r>
      <w:r>
        <w:rPr>
          <w:b/>
          <w:i w:val="0"/>
        </w:rPr>
        <w:t>.</w:t>
      </w:r>
      <w:r>
        <w:rPr>
          <w:b w:val="0"/>
          <w:i w:val="0"/>
        </w:rPr>
        <w:t xml:space="preserve"> Printed forms: </w:t>
      </w:r>
      <w:r>
        <w:rPr>
          <w:b w:val="0"/>
          <w:i/>
        </w:rPr>
        <w:t>angelos</w:t>
      </w:r>
      <w:r>
        <w:rPr>
          <w:b w:val="0"/>
          <w:i w:val="0"/>
        </w:rPr>
        <w:t xml:space="preserve">; </w:t>
      </w:r>
      <w:r>
        <w:rPr>
          <w:b w:val="0"/>
          <w:i/>
        </w:rPr>
        <w:t>angelum</w:t>
      </w:r>
      <w:r>
        <w:rPr>
          <w:b w:val="0"/>
          <w:i w:val="0"/>
        </w:rPr>
        <w:t xml:space="preserve">; </w:t>
      </w:r>
      <w:r>
        <w:rPr>
          <w:b w:val="0"/>
          <w:i/>
        </w:rPr>
        <w:t>finito</w:t>
      </w:r>
      <w:r>
        <w:rPr>
          <w:b w:val="0"/>
          <w:i w:val="0"/>
        </w:rPr>
        <w:t xml:space="preserve">; </w:t>
      </w:r>
      <w:r>
        <w:rPr>
          <w:b w:val="0"/>
          <w:i/>
        </w:rPr>
        <w:t>finitum</w:t>
      </w:r>
      <w:r>
        <w:rPr>
          <w:b w:val="0"/>
          <w:i w:val="0"/>
        </w:rPr>
        <w:t>.</w:t>
      </w:r>
    </w:p>
    <w:p>
      <w:pPr>
        <w:widowControl/>
      </w:pPr>
      <w:r>
        <w:rPr>
          <w:b w:val="0"/>
          <w:i w:val="0"/>
        </w:rPr>
        <w:t xml:space="preserve">A finite angel or spirit, however elevated its conceived grade. The mind can think a higher grade than any finite one, prompting an ascent to an infinite terminus rather than an asserted actual infinity of angels. References: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331" w:name="latin-record-0090"/>
      <w:bookmarkEnd w:id="331"/>
      <w:r>
        <w:rPr>
          <w:b/>
          <w:i w:val="0"/>
        </w:rPr>
        <w:t>angelus; Deus</w:t>
      </w:r>
      <w:r>
        <w:rPr>
          <w:b/>
          <w:i w:val="0"/>
        </w:rPr>
        <w:t>.</w:t>
      </w:r>
      <w:r>
        <w:rPr>
          <w:b w:val="0"/>
          <w:i w:val="0"/>
        </w:rPr>
        <w:t xml:space="preserve"> Printed forms: </w:t>
      </w:r>
      <w:r>
        <w:rPr>
          <w:b w:val="0"/>
          <w:i/>
        </w:rPr>
        <w:t>angelis</w:t>
      </w:r>
      <w:r>
        <w:rPr>
          <w:b w:val="0"/>
          <w:i w:val="0"/>
        </w:rPr>
        <w:t xml:space="preserve">; </w:t>
      </w:r>
      <w:r>
        <w:rPr>
          <w:b w:val="0"/>
          <w:i/>
        </w:rPr>
        <w:t>angelumve</w:t>
      </w:r>
      <w:r>
        <w:rPr>
          <w:b w:val="0"/>
          <w:i w:val="0"/>
        </w:rPr>
        <w:t xml:space="preserve">; </w:t>
      </w:r>
      <w:r>
        <w:rPr>
          <w:b w:val="0"/>
          <w:i/>
        </w:rPr>
        <w:t>angelus</w:t>
      </w:r>
      <w:r>
        <w:rPr>
          <w:b w:val="0"/>
          <w:i w:val="0"/>
        </w:rPr>
        <w:t xml:space="preserve">; </w:t>
      </w:r>
      <w:r>
        <w:rPr>
          <w:b w:val="0"/>
          <w:i/>
        </w:rPr>
        <w:t>Deo</w:t>
      </w:r>
      <w:r>
        <w:rPr>
          <w:b w:val="0"/>
          <w:i w:val="0"/>
        </w:rPr>
        <w:t xml:space="preserve">; </w:t>
      </w:r>
      <w:r>
        <w:rPr>
          <w:b w:val="0"/>
          <w:i/>
        </w:rPr>
        <w:t>Deum</w:t>
      </w:r>
      <w:r>
        <w:rPr>
          <w:b w:val="0"/>
          <w:i w:val="0"/>
        </w:rPr>
        <w:t>.</w:t>
      </w:r>
    </w:p>
    <w:p>
      <w:pPr>
        <w:widowControl/>
      </w:pPr>
      <w:r>
        <w:rPr>
          <w:b w:val="0"/>
          <w:i w:val="0"/>
        </w:rPr>
        <w:t xml:space="preserve">Angel or angelic mind, and God as higher principles distinct from rational soul. The inward ascent and the contrast with temporal discourse preserve differences between soul’s succession, angelic intellect and the divine source. References: </w:t>
      </w:r>
      <w:hyperlink w:anchor="passage-vi-2-10">
        <w:r>
          <w:rPr>
            <w:color w:val="000000"/>
          </w:rPr>
          <w:t xml:space="preserve">VI.2.10</w:t>
        </w:r>
      </w:hyperlink>
      <w:r>
        <w:rPr>
          <w:b w:val="0"/>
          <w:i w:val="0"/>
        </w:rPr>
        <w:t xml:space="preserve">, </w:t>
      </w:r>
      <w:hyperlink w:anchor="passage-vi-12-18">
        <w:r>
          <w:rPr>
            <w:color w:val="000000"/>
          </w:rPr>
          <w:t xml:space="preserve">VI.12.18</w:t>
        </w:r>
      </w:hyperlink>
      <w:r>
        <w:rPr>
          <w:b w:val="0"/>
          <w:i w:val="0"/>
        </w:rPr>
        <w:t xml:space="preserve">, </w:t>
      </w:r>
      <w:hyperlink w:anchor="passage-vi-12-19">
        <w:r>
          <w:rPr>
            <w:color w:val="000000"/>
          </w:rPr>
          <w:t xml:space="preserve">VI.12.19</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keepNext/>
        <w:widowControl/>
      </w:pPr>
      <w:bookmarkStart w:id="332" w:name="latin-record-0091"/>
      <w:bookmarkEnd w:id="332"/>
      <w:r>
        <w:rPr>
          <w:b/>
          <w:i w:val="0"/>
        </w:rPr>
        <w:t>angustus / amplus</w:t>
      </w:r>
      <w:r>
        <w:rPr>
          <w:b/>
          <w:i w:val="0"/>
        </w:rPr>
        <w:t>.</w:t>
      </w:r>
      <w:r>
        <w:rPr>
          <w:b w:val="0"/>
          <w:i w:val="0"/>
        </w:rPr>
        <w:t xml:space="preserve"> Printed forms: </w:t>
      </w:r>
      <w:r>
        <w:rPr>
          <w:b w:val="0"/>
          <w:i/>
        </w:rPr>
        <w:t>amplius</w:t>
      </w:r>
      <w:r>
        <w:rPr>
          <w:b w:val="0"/>
          <w:i w:val="0"/>
        </w:rPr>
        <w:t xml:space="preserve">; </w:t>
      </w:r>
      <w:r>
        <w:rPr>
          <w:b w:val="0"/>
          <w:i/>
        </w:rPr>
        <w:t>angustius</w:t>
      </w:r>
      <w:r>
        <w:rPr>
          <w:b w:val="0"/>
          <w:i w:val="0"/>
        </w:rPr>
        <w:t>.</w:t>
      </w:r>
    </w:p>
    <w:p>
      <w:pPr>
        <w:widowControl/>
      </w:pPr>
      <w:r>
        <w:rPr>
          <w:b w:val="0"/>
          <w:i w:val="0"/>
        </w:rPr>
        <w:t xml:space="preserve">Narrower and more ample, spatial metaphors for restriction and intellectual reach. The more a form is bound to bodily matter, the more particular its operation becomes; universality has a wider scope without greater physical bulk. References: </w:t>
      </w:r>
      <w:hyperlink w:anchor="passage-viii-8-1">
        <w:r>
          <w:rPr>
            <w:color w:val="000000"/>
          </w:rPr>
          <w:t xml:space="preserve">VIII.8.1</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333" w:name="latin-record-0092"/>
      <w:bookmarkEnd w:id="333"/>
      <w:r>
        <w:rPr>
          <w:b/>
          <w:i w:val="0"/>
        </w:rPr>
        <w:t>anima</w:t>
      </w:r>
      <w:r>
        <w:rPr>
          <w:b/>
          <w:i w:val="0"/>
        </w:rPr>
        <w:t>.</w:t>
      </w:r>
      <w:r>
        <w:rPr>
          <w:b w:val="0"/>
          <w:i w:val="0"/>
        </w:rPr>
        <w:t xml:space="preserve"> Printed forms: </w:t>
      </w:r>
      <w:r>
        <w:rPr>
          <w:b w:val="0"/>
          <w:i/>
        </w:rPr>
        <w:t>anima</w:t>
      </w:r>
      <w:r>
        <w:rPr>
          <w:b w:val="0"/>
          <w:i w:val="0"/>
        </w:rPr>
        <w:t xml:space="preserve">; </w:t>
      </w:r>
      <w:r>
        <w:rPr>
          <w:b w:val="0"/>
          <w:i/>
        </w:rPr>
        <w:t>animae</w:t>
      </w:r>
      <w:r>
        <w:rPr>
          <w:b w:val="0"/>
          <w:i w:val="0"/>
        </w:rPr>
        <w:t xml:space="preserve">; </w:t>
      </w:r>
      <w:r>
        <w:rPr>
          <w:b w:val="0"/>
          <w:i/>
        </w:rPr>
        <w:t>animam</w:t>
      </w:r>
      <w:r>
        <w:rPr>
          <w:b w:val="0"/>
          <w:i w:val="0"/>
        </w:rPr>
        <w:t xml:space="preserve">; </w:t>
      </w:r>
      <w:r>
        <w:rPr>
          <w:b w:val="0"/>
          <w:i/>
        </w:rPr>
        <w:t>animarum</w:t>
      </w:r>
      <w:r>
        <w:rPr>
          <w:b w:val="0"/>
          <w:i w:val="0"/>
        </w:rPr>
        <w:t xml:space="preserve">; </w:t>
      </w:r>
      <w:r>
        <w:rPr>
          <w:b w:val="0"/>
          <w:i/>
        </w:rPr>
        <w:t>animas</w:t>
      </w:r>
      <w:r>
        <w:rPr>
          <w:b w:val="0"/>
          <w:i w:val="0"/>
        </w:rPr>
        <w:t>.</w:t>
      </w:r>
    </w:p>
    <w:p>
      <w:pPr>
        <w:widowControl/>
      </w:pPr>
      <w:r>
        <w:rPr>
          <w:b w:val="0"/>
          <w:i w:val="0"/>
        </w:rPr>
        <w:t xml:space="preserve">Soul as a life-giving principle, whose body, qualities, powers and operations must be distinguished. Book VI tests alternative identifications of soul and asks what human soul must be to occupy the immortal third essence; a conditional soul-body is an opponent’s hypothesis, not Ficino’s conclusion. References: </w:t>
      </w:r>
      <w:hyperlink w:anchor="passage-vi-1-1">
        <w:r>
          <w:rPr>
            <w:color w:val="000000"/>
          </w:rPr>
          <w:t xml:space="preserve">VI.1.1</w:t>
        </w:r>
      </w:hyperlink>
      <w:r>
        <w:rPr>
          <w:b w:val="0"/>
          <w:i w:val="0"/>
        </w:rPr>
        <w:t xml:space="preserve">, </w:t>
      </w:r>
      <w:hyperlink w:anchor="passage-vi-1-6">
        <w:r>
          <w:rPr>
            <w:color w:val="000000"/>
          </w:rPr>
          <w:t xml:space="preserve">VI.1.6</w:t>
        </w:r>
      </w:hyperlink>
      <w:r>
        <w:rPr>
          <w:b w:val="0"/>
          <w:i w:val="0"/>
        </w:rPr>
        <w:t xml:space="preserve">, </w:t>
      </w:r>
      <w:hyperlink w:anchor="passage-vi-3-1">
        <w:r>
          <w:rPr>
            <w:color w:val="000000"/>
          </w:rPr>
          <w:t xml:space="preserve">VI.3.1</w:t>
        </w:r>
      </w:hyperlink>
      <w:r>
        <w:rPr>
          <w:b w:val="0"/>
          <w:i w:val="0"/>
        </w:rPr>
        <w:t xml:space="preserve">, </w:t>
      </w:r>
      <w:hyperlink w:anchor="passage-vi-13-1">
        <w:r>
          <w:rPr>
            <w:color w:val="000000"/>
          </w:rPr>
          <w:t xml:space="preserve">VI.13.1</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widowControl/>
      </w:pPr>
      <w:r>
        <w:rPr>
          <w:b w:val="0"/>
          <w:i w:val="0"/>
        </w:rPr>
        <w:t xml:space="preserve">Soul as the living subject and source of cognitive or ethical powers. It can remain while a virtue is absent and is argued to be more than a body or a form divided through a body. References: </w:t>
      </w:r>
      <w:hyperlink w:anchor="passage-viii-2-1">
        <w:r>
          <w:rPr>
            <w:color w:val="000000"/>
          </w:rPr>
          <w:t xml:space="preserve">VIII.2.1</w:t>
        </w:r>
      </w:hyperlink>
      <w:r>
        <w:rPr>
          <w:b w:val="0"/>
          <w:i w:val="0"/>
        </w:rPr>
        <w:t xml:space="preserve">,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15-2">
        <w:r>
          <w:rPr>
            <w:color w:val="000000"/>
          </w:rPr>
          <w:t xml:space="preserve">VIII.15.2</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334" w:name="latin-record-0093"/>
      <w:bookmarkEnd w:id="334"/>
      <w:r>
        <w:rPr>
          <w:b/>
          <w:i w:val="0"/>
        </w:rPr>
        <w:t>anima / animus</w:t>
      </w:r>
      <w:r>
        <w:rPr>
          <w:b/>
          <w:i w:val="0"/>
        </w:rPr>
        <w:t>.</w:t>
      </w:r>
      <w:r>
        <w:rPr>
          <w:b w:val="0"/>
          <w:i w:val="0"/>
        </w:rPr>
        <w:t xml:space="preserve"> Printed forms: </w:t>
      </w:r>
      <w:r>
        <w:rPr>
          <w:b w:val="0"/>
          <w:i/>
        </w:rPr>
        <w:t>anima</w:t>
      </w:r>
      <w:r>
        <w:rPr>
          <w:b w:val="0"/>
          <w:i w:val="0"/>
        </w:rPr>
        <w:t xml:space="preserve">; </w:t>
      </w:r>
      <w:r>
        <w:rPr>
          <w:b w:val="0"/>
          <w:i/>
        </w:rPr>
        <w:t>animae</w:t>
      </w:r>
      <w:r>
        <w:rPr>
          <w:b w:val="0"/>
          <w:i w:val="0"/>
        </w:rPr>
        <w:t xml:space="preserve">; </w:t>
      </w:r>
      <w:r>
        <w:rPr>
          <w:b w:val="0"/>
          <w:i/>
        </w:rPr>
        <w:t>Animam</w:t>
      </w:r>
      <w:r>
        <w:rPr>
          <w:b w:val="0"/>
          <w:i w:val="0"/>
        </w:rPr>
        <w:t xml:space="preserve">; </w:t>
      </w:r>
      <w:r>
        <w:rPr>
          <w:b w:val="0"/>
          <w:i/>
        </w:rPr>
        <w:t>animam</w:t>
      </w:r>
      <w:r>
        <w:rPr>
          <w:b w:val="0"/>
          <w:i w:val="0"/>
        </w:rPr>
        <w:t xml:space="preserve">; </w:t>
      </w:r>
      <w:r>
        <w:rPr>
          <w:b w:val="0"/>
          <w:i/>
        </w:rPr>
        <w:t>animi</w:t>
      </w:r>
      <w:r>
        <w:rPr>
          <w:b w:val="0"/>
          <w:i w:val="0"/>
        </w:rPr>
        <w:t xml:space="preserve">; </w:t>
      </w:r>
      <w:r>
        <w:rPr>
          <w:b w:val="0"/>
          <w:i/>
        </w:rPr>
        <w:t>animos</w:t>
      </w:r>
      <w:r>
        <w:rPr>
          <w:b w:val="0"/>
          <w:i w:val="0"/>
        </w:rPr>
        <w:t xml:space="preserve">; </w:t>
      </w:r>
      <w:r>
        <w:rPr>
          <w:b w:val="0"/>
          <w:i/>
        </w:rPr>
        <w:t>Animus</w:t>
      </w:r>
      <w:r>
        <w:rPr>
          <w:b w:val="0"/>
          <w:i w:val="0"/>
        </w:rPr>
        <w:t xml:space="preserve">; </w:t>
      </w:r>
      <w:r>
        <w:rPr>
          <w:b w:val="0"/>
          <w:i/>
        </w:rPr>
        <w:t>animus</w:t>
      </w:r>
      <w:r>
        <w:rPr>
          <w:b w:val="0"/>
          <w:i w:val="0"/>
        </w:rPr>
        <w:t>.</w:t>
      </w:r>
    </w:p>
    <w:p>
      <w:pPr>
        <w:widowControl/>
      </w:pPr>
      <w:r>
        <w:rPr>
          <w:b w:val="0"/>
          <w:i w:val="0"/>
        </w:rPr>
        <w:t xml:space="preserve">The living and knowing principle; animus can emphasize its inward cognitive activity without naming a second substance. Mind compares sensory contents in chapter 2; soul and mind alternate for the same persisting subject in the final argument. References: </w:t>
      </w:r>
      <w:hyperlink w:anchor="passage-vii-2-1">
        <w:r>
          <w:rPr>
            <w:color w:val="000000"/>
          </w:rPr>
          <w:t xml:space="preserve">VII.2.1</w:t>
        </w:r>
      </w:hyperlink>
      <w:r>
        <w:rPr>
          <w:b w:val="0"/>
          <w:i w:val="0"/>
        </w:rPr>
        <w:t xml:space="preserve">, </w:t>
      </w:r>
      <w:hyperlink w:anchor="passage-vii-15-1">
        <w:r>
          <w:rPr>
            <w:color w:val="000000"/>
          </w:rPr>
          <w:t xml:space="preserve">VII.15.1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335" w:name="latin-record-0094"/>
      <w:bookmarkEnd w:id="335"/>
      <w:r>
        <w:rPr>
          <w:b/>
          <w:i w:val="0"/>
        </w:rPr>
        <w:t>anima nutritiva / sensitiva</w:t>
      </w:r>
      <w:r>
        <w:rPr>
          <w:b/>
          <w:i w:val="0"/>
        </w:rPr>
        <w:t>.</w:t>
      </w:r>
      <w:r>
        <w:rPr>
          <w:b w:val="0"/>
          <w:i w:val="0"/>
        </w:rPr>
        <w:t xml:space="preserve"> Printed forms: </w:t>
      </w:r>
      <w:r>
        <w:rPr>
          <w:b w:val="0"/>
          <w:i/>
        </w:rPr>
        <w:t>anima nutritiva</w:t>
      </w:r>
      <w:r>
        <w:rPr>
          <w:b w:val="0"/>
          <w:i w:val="0"/>
        </w:rPr>
        <w:t xml:space="preserve">; </w:t>
      </w:r>
      <w:r>
        <w:rPr>
          <w:b w:val="0"/>
          <w:i/>
        </w:rPr>
        <w:t>anima sensitiva</w:t>
      </w:r>
      <w:r>
        <w:rPr>
          <w:b w:val="0"/>
          <w:i w:val="0"/>
        </w:rPr>
        <w:t xml:space="preserve">; </w:t>
      </w:r>
      <w:r>
        <w:rPr>
          <w:b w:val="0"/>
          <w:i/>
        </w:rPr>
        <w:t>nutriendi</w:t>
      </w:r>
      <w:r>
        <w:rPr>
          <w:b w:val="0"/>
          <w:i w:val="0"/>
        </w:rPr>
        <w:t xml:space="preserve">; </w:t>
      </w:r>
      <w:r>
        <w:rPr>
          <w:b w:val="0"/>
          <w:i/>
        </w:rPr>
        <w:t>nutrit</w:t>
      </w:r>
      <w:r>
        <w:rPr>
          <w:b w:val="0"/>
          <w:i w:val="0"/>
        </w:rPr>
        <w:t xml:space="preserve">; </w:t>
      </w:r>
      <w:r>
        <w:rPr>
          <w:b w:val="0"/>
          <w:i/>
        </w:rPr>
        <w:t>nutritiva</w:t>
      </w:r>
      <w:r>
        <w:rPr>
          <w:b w:val="0"/>
          <w:i w:val="0"/>
        </w:rPr>
        <w:t xml:space="preserve">; </w:t>
      </w:r>
      <w:r>
        <w:rPr>
          <w:b w:val="0"/>
          <w:i/>
        </w:rPr>
        <w:t>sensitiva</w:t>
      </w:r>
      <w:r>
        <w:rPr>
          <w:b w:val="0"/>
          <w:i w:val="0"/>
        </w:rPr>
        <w:t xml:space="preserve">; </w:t>
      </w:r>
      <w:r>
        <w:rPr>
          <w:b w:val="0"/>
          <w:i/>
        </w:rPr>
        <w:t>sensitivae</w:t>
      </w:r>
      <w:r>
        <w:rPr>
          <w:b w:val="0"/>
          <w:i w:val="0"/>
        </w:rPr>
        <w:t>.</w:t>
      </w:r>
    </w:p>
    <w:p>
      <w:pPr>
        <w:widowControl/>
      </w:pPr>
      <w:r>
        <w:rPr>
          <w:b w:val="0"/>
          <w:i w:val="0"/>
        </w:rPr>
        <w:t xml:space="preserve">Nutritive and sensitive aspects or proposed kinds of soul. The two-soul division of labor is rejected for the same animal: the soul that nourishes also senses.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336" w:name="latin-record-0095"/>
      <w:bookmarkEnd w:id="336"/>
      <w:r>
        <w:rPr>
          <w:b/>
          <w:i w:val="0"/>
        </w:rPr>
        <w:t>anima rationalis</w:t>
      </w:r>
      <w:r>
        <w:rPr>
          <w:b/>
          <w:i w:val="0"/>
        </w:rPr>
        <w:t>.</w:t>
      </w:r>
      <w:r>
        <w:rPr>
          <w:b w:val="0"/>
          <w:i w:val="0"/>
        </w:rPr>
        <w:t xml:space="preserve"> Printed forms: </w:t>
      </w:r>
      <w:r>
        <w:rPr>
          <w:b w:val="0"/>
          <w:i/>
        </w:rPr>
        <w:t>anima</w:t>
      </w:r>
      <w:r>
        <w:rPr>
          <w:b w:val="0"/>
          <w:i w:val="0"/>
        </w:rPr>
        <w:t xml:space="preserve">; </w:t>
      </w:r>
      <w:r>
        <w:rPr>
          <w:b w:val="0"/>
          <w:i/>
        </w:rPr>
        <w:t>anima rationalis</w:t>
      </w:r>
      <w:r>
        <w:rPr>
          <w:b w:val="0"/>
          <w:i w:val="0"/>
        </w:rPr>
        <w:t xml:space="preserve">; </w:t>
      </w:r>
      <w:r>
        <w:rPr>
          <w:b w:val="0"/>
          <w:i/>
        </w:rPr>
        <w:t>animae</w:t>
      </w:r>
      <w:r>
        <w:rPr>
          <w:b w:val="0"/>
          <w:i w:val="0"/>
        </w:rPr>
        <w:t xml:space="preserve">; </w:t>
      </w:r>
      <w:r>
        <w:rPr>
          <w:b w:val="0"/>
          <w:i/>
        </w:rPr>
        <w:t>animam</w:t>
      </w:r>
      <w:r>
        <w:rPr>
          <w:b w:val="0"/>
          <w:i w:val="0"/>
        </w:rPr>
        <w:t xml:space="preserve">; </w:t>
      </w:r>
      <w:r>
        <w:rPr>
          <w:b w:val="0"/>
          <w:i/>
        </w:rPr>
        <w:t>animarum</w:t>
      </w:r>
      <w:r>
        <w:rPr>
          <w:b w:val="0"/>
          <w:i w:val="0"/>
        </w:rPr>
        <w:t xml:space="preserve">; </w:t>
      </w:r>
      <w:r>
        <w:rPr>
          <w:b w:val="0"/>
          <w:i/>
        </w:rPr>
        <w:t>animas</w:t>
      </w:r>
      <w:r>
        <w:rPr>
          <w:b w:val="0"/>
          <w:i w:val="0"/>
        </w:rPr>
        <w:t xml:space="preserve">; </w:t>
      </w:r>
      <w:r>
        <w:rPr>
          <w:b w:val="0"/>
          <w:i/>
        </w:rPr>
        <w:t>rationalem</w:t>
      </w:r>
      <w:r>
        <w:rPr>
          <w:b w:val="0"/>
          <w:i w:val="0"/>
        </w:rPr>
        <w:t xml:space="preserve">; </w:t>
      </w:r>
      <w:r>
        <w:rPr>
          <w:b w:val="0"/>
          <w:i/>
        </w:rPr>
        <w:t>rationales</w:t>
      </w:r>
      <w:r>
        <w:rPr>
          <w:b w:val="0"/>
          <w:i w:val="0"/>
        </w:rPr>
        <w:t xml:space="preserve">; </w:t>
      </w:r>
      <w:r>
        <w:rPr>
          <w:b w:val="0"/>
          <w:i/>
        </w:rPr>
        <w:t>rationali</w:t>
      </w:r>
      <w:r>
        <w:rPr>
          <w:b w:val="0"/>
          <w:i w:val="0"/>
        </w:rPr>
        <w:t xml:space="preserve">; </w:t>
      </w:r>
      <w:r>
        <w:rPr>
          <w:b w:val="0"/>
          <w:i/>
        </w:rPr>
        <w:t>rationalis anima</w:t>
      </w:r>
      <w:r>
        <w:rPr>
          <w:b w:val="0"/>
          <w:i w:val="0"/>
        </w:rPr>
        <w:t xml:space="preserve">; </w:t>
      </w:r>
      <w:r>
        <w:rPr>
          <w:b w:val="0"/>
          <w:i/>
        </w:rPr>
        <w:t>rationalium</w:t>
      </w:r>
      <w:r>
        <w:rPr>
          <w:b w:val="0"/>
          <w:i w:val="0"/>
        </w:rPr>
        <w:t>.</w:t>
      </w:r>
    </w:p>
    <w:p>
      <w:pPr>
        <w:widowControl/>
      </w:pPr>
      <w:r>
        <w:rPr>
          <w:b w:val="0"/>
          <w:i w:val="0"/>
        </w:rPr>
        <w:t xml:space="preserve">The rational, self-subsisting source of life and self-directed motion; anima is expressly restricted to this class in the opening proofs. V.2 states the scope so the immortality conclusion is not silently extended to every lower life-principle. References: </w:t>
      </w:r>
      <w:hyperlink w:anchor="passage-v-1-1">
        <w:r>
          <w:rPr>
            <w:color w:val="000000"/>
          </w:rPr>
          <w:t xml:space="preserve">V.1.1</w:t>
        </w:r>
      </w:hyperlink>
      <w:r>
        <w:rPr>
          <w:b w:val="0"/>
          <w:i w:val="0"/>
        </w:rPr>
        <w:t xml:space="preserve">, </w:t>
      </w:r>
      <w:hyperlink w:anchor="passage-v-1-2">
        <w:r>
          <w:rPr>
            <w:color w:val="000000"/>
          </w:rPr>
          <w:t xml:space="preserve">V.1.2</w:t>
        </w:r>
      </w:hyperlink>
      <w:r>
        <w:rPr>
          <w:b w:val="0"/>
          <w:i w:val="0"/>
        </w:rPr>
        <w:t xml:space="preserve">, </w:t>
      </w:r>
      <w:hyperlink w:anchor="passage-v-2-1">
        <w:r>
          <w:rPr>
            <w:color w:val="000000"/>
          </w:rPr>
          <w:t xml:space="preserve">V.2.1</w:t>
        </w:r>
      </w:hyperlink>
      <w:r>
        <w:rPr>
          <w:b w:val="0"/>
          <w:i w:val="0"/>
        </w:rPr>
        <w:t xml:space="preserve">, </w:t>
      </w:r>
      <w:hyperlink w:anchor="passage-v-4-10">
        <w:r>
          <w:rPr>
            <w:color w:val="000000"/>
          </w:rPr>
          <w:t xml:space="preserve">V.4.10</w:t>
        </w:r>
      </w:hyperlink>
      <w:r>
        <w:rPr>
          <w:b w:val="0"/>
          <w:i w:val="0"/>
        </w:rPr>
        <w:t xml:space="preserve">, </w:t>
      </w:r>
      <w:hyperlink w:anchor="passage-v-12-7">
        <w:r>
          <w:rPr>
            <w:color w:val="000000"/>
          </w:rPr>
          <w:t xml:space="preserve">V.12.7</w:t>
        </w:r>
      </w:hyperlink>
      <w:r>
        <w:rPr>
          <w:b w:val="0"/>
          <w:i w:val="0"/>
        </w:rPr>
        <w:t xml:space="preserve">, </w:t>
      </w:r>
      <w:hyperlink w:anchor="passage-v-12-14">
        <w:r>
          <w:rPr>
            <w:color w:val="000000"/>
          </w:rPr>
          <w:t xml:space="preserve">V.12.14</w:t>
        </w:r>
      </w:hyperlink>
      <w:r>
        <w:rPr>
          <w:b w:val="0"/>
          <w:i w:val="0"/>
        </w:rPr>
        <w:t xml:space="preserve">, </w:t>
      </w:r>
      <w:hyperlink w:anchor="passage-v-13-18">
        <w:r>
          <w:rPr>
            <w:color w:val="000000"/>
          </w:rPr>
          <w:t xml:space="preserve">V.13.18</w:t>
        </w:r>
      </w:hyperlink>
      <w:r>
        <w:rPr>
          <w:b w:val="0"/>
          <w:i w:val="0"/>
        </w:rPr>
        <w:t xml:space="preserve">. See </w:t>
      </w:r>
      <w:hyperlink w:anchor="rational-soul-and-irrational-life">
        <w:r>
          <w:rPr>
            <w:color w:val="000000"/>
          </w:rPr>
          <w:t xml:space="preserve">Rational soul and irrational life</w:t>
        </w:r>
      </w:hyperlink>
      <w:r>
        <w:rPr>
          <w:b w:val="0"/>
          <w:i w:val="0"/>
        </w:rPr>
        <w:t>.</w:t>
      </w:r>
    </w:p>
    <w:p>
      <w:pPr>
        <w:keepNext/>
        <w:widowControl/>
      </w:pPr>
      <w:bookmarkStart w:id="337" w:name="latin-record-0096"/>
      <w:bookmarkEnd w:id="337"/>
      <w:r>
        <w:rPr>
          <w:b/>
          <w:i w:val="0"/>
        </w:rPr>
        <w:t>anima solis</w:t>
      </w:r>
      <w:r>
        <w:rPr>
          <w:b/>
          <w:i w:val="0"/>
        </w:rPr>
        <w:t>.</w:t>
      </w:r>
      <w:r>
        <w:rPr>
          <w:b w:val="0"/>
          <w:i w:val="0"/>
        </w:rPr>
        <w:t xml:space="preserve"> Printed forms: </w:t>
      </w:r>
      <w:r>
        <w:rPr>
          <w:b w:val="0"/>
          <w:i/>
        </w:rPr>
        <w:t>solis anima</w:t>
      </w:r>
      <w:r>
        <w:rPr>
          <w:b w:val="0"/>
          <w:i w:val="0"/>
        </w:rPr>
        <w:t>.</w:t>
      </w:r>
    </w:p>
    <w:p>
      <w:pPr>
        <w:widowControl/>
      </w:pPr>
      <w:r>
        <w:rPr>
          <w:b w:val="0"/>
          <w:i w:val="0"/>
        </w:rPr>
        <w:t xml:space="preserve">The soul of the sun in the cosmological account reported in this passage. Ficino traces spiritual light to the sun’s soul rather than to its bodily globe. Its inward invisible light is said to become visible when poured outward. This source-specific use is distinguished from the lexicon’s primary focus on rational human souls and from literal flame entering a mirror.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338" w:name="latin-record-0097"/>
      <w:bookmarkEnd w:id="338"/>
      <w:r>
        <w:rPr>
          <w:b/>
          <w:i w:val="0"/>
        </w:rPr>
        <w:t>anima universalis</w:t>
      </w:r>
      <w:r>
        <w:rPr>
          <w:b/>
          <w:i w:val="0"/>
        </w:rPr>
        <w:t>.</w:t>
      </w:r>
      <w:r>
        <w:rPr>
          <w:b w:val="0"/>
          <w:i w:val="0"/>
        </w:rPr>
        <w:t xml:space="preserve"> Printed forms: </w:t>
      </w:r>
      <w:r>
        <w:rPr>
          <w:b w:val="0"/>
          <w:i/>
        </w:rPr>
        <w:t>animae universalis</w:t>
      </w:r>
      <w:r>
        <w:rPr>
          <w:b w:val="0"/>
          <w:i w:val="0"/>
        </w:rPr>
        <w:t xml:space="preserve">; </w:t>
      </w:r>
      <w:r>
        <w:rPr>
          <w:b w:val="0"/>
          <w:i/>
        </w:rPr>
        <w:t>universi corporis</w:t>
      </w:r>
      <w:r>
        <w:rPr>
          <w:b w:val="0"/>
          <w:i w:val="0"/>
        </w:rPr>
        <w:t>.</w:t>
      </w:r>
    </w:p>
    <w:p>
      <w:pPr>
        <w:widowControl/>
      </w:pPr>
      <w:r>
        <w:rPr>
          <w:b w:val="0"/>
          <w:i w:val="0"/>
        </w:rPr>
        <w:t xml:space="preserve">Universal soul and the body of the universe. The analogy scales the action/passion distinction to the cosmos while keeping the two distinct. References: </w:t>
      </w:r>
      <w:hyperlink w:anchor="passage-vi-12-11">
        <w:r>
          <w:rPr>
            <w:color w:val="000000"/>
          </w:rPr>
          <w:t xml:space="preserve">VI.12.11</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339" w:name="latin-record-0098"/>
      <w:bookmarkEnd w:id="339"/>
      <w:r>
        <w:rPr>
          <w:b/>
          <w:i w:val="0"/>
        </w:rPr>
        <w:t>animal / animans</w:t>
      </w:r>
      <w:r>
        <w:rPr>
          <w:b/>
          <w:i w:val="0"/>
        </w:rPr>
        <w:t>.</w:t>
      </w:r>
      <w:r>
        <w:rPr>
          <w:b w:val="0"/>
          <w:i w:val="0"/>
        </w:rPr>
        <w:t xml:space="preserve"> Printed forms: </w:t>
      </w:r>
      <w:r>
        <w:rPr>
          <w:b w:val="0"/>
          <w:i/>
        </w:rPr>
        <w:t>animal</w:t>
      </w:r>
      <w:r>
        <w:rPr>
          <w:b w:val="0"/>
          <w:i w:val="0"/>
        </w:rPr>
        <w:t xml:space="preserve">; </w:t>
      </w:r>
      <w:r>
        <w:rPr>
          <w:b w:val="0"/>
          <w:i/>
        </w:rPr>
        <w:t>animali</w:t>
      </w:r>
      <w:r>
        <w:rPr>
          <w:b w:val="0"/>
          <w:i w:val="0"/>
        </w:rPr>
        <w:t xml:space="preserve">; </w:t>
      </w:r>
      <w:r>
        <w:rPr>
          <w:b w:val="0"/>
          <w:i/>
        </w:rPr>
        <w:t>animalia</w:t>
      </w:r>
      <w:r>
        <w:rPr>
          <w:b w:val="0"/>
          <w:i w:val="0"/>
        </w:rPr>
        <w:t xml:space="preserve">; </w:t>
      </w:r>
      <w:r>
        <w:rPr>
          <w:b w:val="0"/>
          <w:i/>
        </w:rPr>
        <w:t>animalis</w:t>
      </w:r>
      <w:r>
        <w:rPr>
          <w:b w:val="0"/>
          <w:i w:val="0"/>
        </w:rPr>
        <w:t xml:space="preserve">; </w:t>
      </w:r>
      <w:r>
        <w:rPr>
          <w:b w:val="0"/>
          <w:i/>
        </w:rPr>
        <w:t>animantis</w:t>
      </w:r>
      <w:r>
        <w:rPr>
          <w:b w:val="0"/>
          <w:i w:val="0"/>
        </w:rPr>
        <w:t>.</w:t>
      </w:r>
    </w:p>
    <w:p>
      <w:pPr>
        <w:widowControl/>
      </w:pPr>
      <w:r>
        <w:rPr>
          <w:b w:val="0"/>
          <w:i w:val="0"/>
        </w:rPr>
        <w:t xml:space="preserve">A living creature; related adjectival usage means living or animate. This differs from anima, the principle of the creature’s life. The argument compares the whole living being’s organization with the soul that animates and senses through it. References: </w:t>
      </w:r>
      <w:hyperlink w:anchor="passage-vii-1-2">
        <w:r>
          <w:rPr>
            <w:color w:val="000000"/>
          </w:rPr>
          <w:t xml:space="preserve">VII.1.2</w:t>
        </w:r>
      </w:hyperlink>
      <w:r>
        <w:rPr>
          <w:b w:val="0"/>
          <w:i w:val="0"/>
        </w:rPr>
        <w:t xml:space="preserve">, </w:t>
      </w:r>
      <w:hyperlink w:anchor="passage-vii-5-2">
        <w:r>
          <w:rPr>
            <w:color w:val="000000"/>
          </w:rPr>
          <w:t xml:space="preserve">VII.5.2</w:t>
        </w:r>
      </w:hyperlink>
      <w:r>
        <w:rPr>
          <w:b w:val="0"/>
          <w:i w:val="0"/>
        </w:rPr>
        <w:t xml:space="preserve">, </w:t>
      </w:r>
      <w:hyperlink w:anchor="passage-vii-5-4">
        <w:r>
          <w:rPr>
            <w:color w:val="000000"/>
          </w:rPr>
          <w:t xml:space="preserve">VII.5.4</w:t>
        </w:r>
      </w:hyperlink>
      <w:r>
        <w:rPr>
          <w:b w:val="0"/>
          <w:i w:val="0"/>
        </w:rPr>
        <w:t xml:space="preserve">, </w:t>
      </w:r>
      <w:hyperlink w:anchor="passage-vii-9-2">
        <w:r>
          <w:rPr>
            <w:color w:val="000000"/>
          </w:rPr>
          <w:t xml:space="preserve">VII.9.2</w:t>
        </w:r>
      </w:hyperlink>
      <w:r>
        <w:rPr>
          <w:b w:val="0"/>
          <w:i w:val="0"/>
        </w:rPr>
        <w:t xml:space="preserve">, </w:t>
      </w:r>
      <w:hyperlink w:anchor="passage-vii-12-1">
        <w:r>
          <w:rPr>
            <w:color w:val="000000"/>
          </w:rPr>
          <w:t xml:space="preserve">VII.12.1</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340" w:name="latin-record-0099"/>
      <w:bookmarkEnd w:id="340"/>
      <w:r>
        <w:rPr>
          <w:b/>
          <w:i w:val="0"/>
        </w:rPr>
        <w:t>animal / rationale</w:t>
      </w:r>
      <w:r>
        <w:rPr>
          <w:b/>
          <w:i w:val="0"/>
        </w:rPr>
        <w:t>.</w:t>
      </w:r>
      <w:r>
        <w:rPr>
          <w:b w:val="0"/>
          <w:i w:val="0"/>
        </w:rPr>
        <w:t xml:space="preserve"> Printed forms: </w:t>
      </w:r>
      <w:r>
        <w:rPr>
          <w:b w:val="0"/>
          <w:i/>
        </w:rPr>
        <w:t>Animal</w:t>
      </w:r>
      <w:r>
        <w:rPr>
          <w:b w:val="0"/>
          <w:i w:val="0"/>
        </w:rPr>
        <w:t xml:space="preserve">; </w:t>
      </w:r>
      <w:r>
        <w:rPr>
          <w:b w:val="0"/>
          <w:i/>
        </w:rPr>
        <w:t>animal</w:t>
      </w:r>
      <w:r>
        <w:rPr>
          <w:b w:val="0"/>
          <w:i w:val="0"/>
        </w:rPr>
        <w:t xml:space="preserve">; </w:t>
      </w:r>
      <w:r>
        <w:rPr>
          <w:b w:val="0"/>
          <w:i/>
        </w:rPr>
        <w:t>animali</w:t>
      </w:r>
      <w:r>
        <w:rPr>
          <w:b w:val="0"/>
          <w:i w:val="0"/>
        </w:rPr>
        <w:t xml:space="preserve">; </w:t>
      </w:r>
      <w:r>
        <w:rPr>
          <w:b w:val="0"/>
          <w:i/>
        </w:rPr>
        <w:t>animalibus</w:t>
      </w:r>
      <w:r>
        <w:rPr>
          <w:b w:val="0"/>
          <w:i w:val="0"/>
        </w:rPr>
        <w:t xml:space="preserve">; </w:t>
      </w:r>
      <w:r>
        <w:rPr>
          <w:b w:val="0"/>
          <w:i/>
        </w:rPr>
        <w:t>rationale</w:t>
      </w:r>
      <w:r>
        <w:rPr>
          <w:b w:val="0"/>
          <w:i w:val="0"/>
        </w:rPr>
        <w:t xml:space="preserve">; </w:t>
      </w:r>
      <w:r>
        <w:rPr>
          <w:b w:val="0"/>
          <w:i/>
        </w:rPr>
        <w:t>rationali</w:t>
      </w:r>
      <w:r>
        <w:rPr>
          <w:b w:val="0"/>
          <w:i w:val="0"/>
        </w:rPr>
        <w:t>.</w:t>
      </w:r>
    </w:p>
    <w:p>
      <w:pPr>
        <w:widowControl/>
      </w:pPr>
      <w:r>
        <w:rPr>
          <w:b w:val="0"/>
          <w:i w:val="0"/>
        </w:rPr>
        <w:t xml:space="preserve">Animal and rational, the genus and differentia in the working definition of humanity. The logical combination is not treated as a juxtaposition of two bodily objects inside mind. References: </w:t>
      </w:r>
      <w:hyperlink w:anchor="passage-viii-4-1">
        <w:r>
          <w:rPr>
            <w:color w:val="000000"/>
          </w:rPr>
          <w:t xml:space="preserve">VIII.4.1</w:t>
        </w:r>
      </w:hyperlink>
      <w:r>
        <w:rPr>
          <w:b w:val="0"/>
          <w:i w:val="0"/>
        </w:rPr>
        <w:t xml:space="preserve">, </w:t>
      </w:r>
      <w:hyperlink w:anchor="passage-viii-4-4">
        <w:r>
          <w:rPr>
            <w:color w:val="000000"/>
          </w:rPr>
          <w:t xml:space="preserve">VIII.4.4</w:t>
        </w:r>
      </w:hyperlink>
      <w:r>
        <w:rPr>
          <w:b w:val="0"/>
          <w:i w:val="0"/>
        </w:rPr>
        <w:t xml:space="preserve">, </w:t>
      </w:r>
      <w:hyperlink w:anchor="passage-viii-4-10">
        <w:r>
          <w:rPr>
            <w:color w:val="000000"/>
          </w:rPr>
          <w:t xml:space="preserve">VIII.4.10</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341" w:name="latin-record-0100"/>
      <w:bookmarkEnd w:id="341"/>
      <w:r>
        <w:rPr>
          <w:b/>
          <w:i w:val="0"/>
        </w:rPr>
        <w:t>animale; vivens; vivificatum</w:t>
      </w:r>
      <w:r>
        <w:rPr>
          <w:b/>
          <w:i w:val="0"/>
        </w:rPr>
        <w:t>.</w:t>
      </w:r>
      <w:r>
        <w:rPr>
          <w:b w:val="0"/>
          <w:i w:val="0"/>
        </w:rPr>
        <w:t xml:space="preserve"> Printed forms: </w:t>
      </w:r>
      <w:r>
        <w:rPr>
          <w:b w:val="0"/>
          <w:i/>
        </w:rPr>
        <w:t>corpus animale</w:t>
      </w:r>
      <w:r>
        <w:rPr>
          <w:b w:val="0"/>
          <w:i w:val="0"/>
        </w:rPr>
        <w:t xml:space="preserve">; </w:t>
      </w:r>
      <w:r>
        <w:rPr>
          <w:b w:val="0"/>
          <w:i/>
        </w:rPr>
        <w:t>vivens</w:t>
      </w:r>
      <w:r>
        <w:rPr>
          <w:b w:val="0"/>
          <w:i w:val="0"/>
        </w:rPr>
        <w:t xml:space="preserve">; </w:t>
      </w:r>
      <w:r>
        <w:rPr>
          <w:b w:val="0"/>
          <w:i/>
        </w:rPr>
        <w:t>vivificatum</w:t>
      </w:r>
      <w:r>
        <w:rPr>
          <w:b w:val="0"/>
          <w:i w:val="0"/>
        </w:rPr>
        <w:t>.</w:t>
      </w:r>
    </w:p>
    <w:p>
      <w:pPr>
        <w:widowControl/>
      </w:pPr>
      <w:r>
        <w:rPr>
          <w:b w:val="0"/>
          <w:i w:val="0"/>
        </w:rPr>
        <w:t xml:space="preserve">Animale means animal or animate in nature; vivens means living; vivificatum means made alive. The opponent’s changed wording fails unless a nature beyond mere body supplies the relevant life. References: </w:t>
      </w:r>
      <w:hyperlink w:anchor="passage-vi-5-4">
        <w:r>
          <w:rPr>
            <w:color w:val="000000"/>
          </w:rPr>
          <w:t xml:space="preserve">VI.5.4</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342" w:name="latin-record-0101"/>
      <w:bookmarkEnd w:id="342"/>
      <w:r>
        <w:rPr>
          <w:b/>
          <w:i w:val="0"/>
        </w:rPr>
        <w:t>animatum</w:t>
      </w:r>
      <w:r>
        <w:rPr>
          <w:b/>
          <w:i w:val="0"/>
        </w:rPr>
        <w:t>.</w:t>
      </w:r>
      <w:r>
        <w:rPr>
          <w:b w:val="0"/>
          <w:i w:val="0"/>
        </w:rPr>
        <w:t xml:space="preserve"> Printed forms: </w:t>
      </w:r>
      <w:r>
        <w:rPr>
          <w:b w:val="0"/>
          <w:i/>
        </w:rPr>
        <w:t>animatum</w:t>
      </w:r>
      <w:r>
        <w:rPr>
          <w:b w:val="0"/>
          <w:i w:val="0"/>
        </w:rPr>
        <w:t xml:space="preserve">; </w:t>
      </w:r>
      <w:r>
        <w:rPr>
          <w:b w:val="0"/>
          <w:i/>
        </w:rPr>
        <w:t>animatum quiddam</w:t>
      </w:r>
      <w:r>
        <w:rPr>
          <w:b w:val="0"/>
          <w:i w:val="0"/>
        </w:rPr>
        <w:t>.</w:t>
      </w:r>
    </w:p>
    <w:p>
      <w:pPr>
        <w:widowControl/>
      </w:pPr>
      <w:r>
        <w:rPr>
          <w:b w:val="0"/>
          <w:i w:val="0"/>
        </w:rPr>
        <w:t xml:space="preserve">A thing made alive by soul, as distinct from the source of animation itself. If a supposed soul contained a nonliving part, Ficino says the whole would be an animated recipient; a life-abandoned recipient is not the departing life. References: </w:t>
      </w:r>
      <w:hyperlink w:anchor="passage-v-14-1">
        <w:r>
          <w:rPr>
            <w:color w:val="000000"/>
          </w:rPr>
          <w:t xml:space="preserve">V.14.1</w:t>
        </w:r>
      </w:hyperlink>
      <w:r>
        <w:rPr>
          <w:b w:val="0"/>
          <w:i w:val="0"/>
        </w:rPr>
        <w:t xml:space="preserve">, </w:t>
      </w:r>
      <w:hyperlink w:anchor="passage-v-15-7">
        <w:r>
          <w:rPr>
            <w:color w:val="000000"/>
          </w:rPr>
          <w:t xml:space="preserve">V.15.7</w:t>
        </w:r>
      </w:hyperlink>
      <w:r>
        <w:rPr>
          <w:b w:val="0"/>
          <w:i w:val="0"/>
        </w:rPr>
        <w:t xml:space="preserve">, </w:t>
      </w:r>
      <w:hyperlink w:anchor="passage-v-15-8">
        <w:r>
          <w:rPr>
            <w:color w:val="000000"/>
          </w:rPr>
          <w:t xml:space="preserve">V.15.8</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343" w:name="latin-record-0102"/>
      <w:bookmarkEnd w:id="343"/>
      <w:r>
        <w:rPr>
          <w:b/>
          <w:i w:val="0"/>
        </w:rPr>
        <w:t>animatum quiddam</w:t>
      </w:r>
      <w:r>
        <w:rPr>
          <w:b/>
          <w:i w:val="0"/>
        </w:rPr>
        <w:t>.</w:t>
      </w:r>
      <w:r>
        <w:rPr>
          <w:b w:val="0"/>
          <w:i w:val="0"/>
        </w:rPr>
        <w:t xml:space="preserve"> Printed forms: </w:t>
      </w:r>
      <w:r>
        <w:rPr>
          <w:b w:val="0"/>
          <w:i/>
        </w:rPr>
        <w:t>animatum quiddam</w:t>
      </w:r>
      <w:r>
        <w:rPr>
          <w:b w:val="0"/>
          <w:i w:val="0"/>
        </w:rPr>
        <w:t>.</w:t>
      </w:r>
    </w:p>
    <w:p>
      <w:pPr>
        <w:widowControl/>
      </w:pPr>
      <w:r>
        <w:rPr>
          <w:b w:val="0"/>
          <w:i w:val="0"/>
        </w:rPr>
        <w:t xml:space="preserve">Something animated or animate. The matter joined to soul is life-participating, neither soul itself nor part of soul. References: </w:t>
      </w:r>
      <w:hyperlink w:anchor="passage-vi-4-6">
        <w:r>
          <w:rPr>
            <w:color w:val="000000"/>
          </w:rPr>
          <w:t xml:space="preserve">VI.4.6</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344" w:name="latin-record-0103"/>
      <w:bookmarkEnd w:id="344"/>
      <w:r>
        <w:rPr>
          <w:b/>
          <w:i w:val="0"/>
        </w:rPr>
        <w:t>animatus; inanimis</w:t>
      </w:r>
      <w:r>
        <w:rPr>
          <w:b/>
          <w:i w:val="0"/>
        </w:rPr>
        <w:t>.</w:t>
      </w:r>
      <w:r>
        <w:rPr>
          <w:b w:val="0"/>
          <w:i w:val="0"/>
        </w:rPr>
        <w:t xml:space="preserve"> Printed forms: </w:t>
      </w:r>
      <w:r>
        <w:rPr>
          <w:b w:val="0"/>
          <w:i/>
        </w:rPr>
        <w:t>animatum</w:t>
      </w:r>
      <w:r>
        <w:rPr>
          <w:b w:val="0"/>
          <w:i w:val="0"/>
        </w:rPr>
        <w:t xml:space="preserve">; </w:t>
      </w:r>
      <w:r>
        <w:rPr>
          <w:b w:val="0"/>
          <w:i/>
        </w:rPr>
        <w:t>Animatumne</w:t>
      </w:r>
      <w:r>
        <w:rPr>
          <w:b w:val="0"/>
          <w:i w:val="0"/>
        </w:rPr>
        <w:t xml:space="preserve">; </w:t>
      </w:r>
      <w:r>
        <w:rPr>
          <w:b w:val="0"/>
          <w:i/>
        </w:rPr>
        <w:t>inanime</w:t>
      </w:r>
      <w:r>
        <w:rPr>
          <w:b w:val="0"/>
          <w:i w:val="0"/>
        </w:rPr>
        <w:t xml:space="preserve">; </w:t>
      </w:r>
      <w:r>
        <w:rPr>
          <w:b w:val="0"/>
          <w:i/>
        </w:rPr>
        <w:t>inanimis</w:t>
      </w:r>
      <w:r>
        <w:rPr>
          <w:b w:val="0"/>
          <w:i w:val="0"/>
        </w:rPr>
        <w:t>.</w:t>
      </w:r>
    </w:p>
    <w:p>
      <w:pPr>
        <w:widowControl/>
      </w:pPr>
      <w:r>
        <w:rPr>
          <w:b w:val="0"/>
          <w:i w:val="0"/>
        </w:rPr>
        <w:t xml:space="preserve">Animated or lacking soul. Both answers fail when applied to soul as a supposed body: one cannot give life, the other demands another soul. References: </w:t>
      </w:r>
      <w:hyperlink w:anchor="passage-vi-5-1">
        <w:r>
          <w:rPr>
            <w:color w:val="000000"/>
          </w:rPr>
          <w:t xml:space="preserve">VI.5.1</w:t>
        </w:r>
      </w:hyperlink>
      <w:r>
        <w:rPr>
          <w:b w:val="0"/>
          <w:i w:val="0"/>
        </w:rPr>
        <w:t xml:space="preserve">, </w:t>
      </w:r>
      <w:hyperlink w:anchor="passage-vi-5-2">
        <w:r>
          <w:rPr>
            <w:color w:val="000000"/>
          </w:rPr>
          <w:t xml:space="preserve">VI.5.2</w:t>
        </w:r>
      </w:hyperlink>
      <w:r>
        <w:rPr>
          <w:b w:val="0"/>
          <w:i w:val="0"/>
        </w:rPr>
        <w:t xml:space="preserve">, </w:t>
      </w:r>
      <w:hyperlink w:anchor="passage-vi-5-3">
        <w:r>
          <w:rPr>
            <w:color w:val="000000"/>
          </w:rPr>
          <w:t xml:space="preserve">VI.5.3</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345" w:name="latin-record-0104"/>
      <w:bookmarkEnd w:id="345"/>
      <w:r>
        <w:rPr>
          <w:b/>
          <w:i w:val="0"/>
        </w:rPr>
        <w:t>animi mortalium</w:t>
      </w:r>
      <w:r>
        <w:rPr>
          <w:b/>
          <w:i w:val="0"/>
        </w:rPr>
        <w:t>.</w:t>
      </w:r>
      <w:r>
        <w:rPr>
          <w:b w:val="0"/>
          <w:i w:val="0"/>
        </w:rPr>
        <w:t xml:space="preserve"> Printed forms: </w:t>
      </w:r>
      <w:r>
        <w:rPr>
          <w:b w:val="0"/>
          <w:i/>
        </w:rPr>
        <w:t>omnes mortalium pulsat animos</w:t>
      </w:r>
      <w:r>
        <w:rPr>
          <w:b w:val="0"/>
          <w:i w:val="0"/>
        </w:rPr>
        <w:t>.</w:t>
      </w:r>
    </w:p>
    <w:p>
      <w:pPr>
        <w:widowControl/>
      </w:pPr>
      <w:r>
        <w:rPr>
          <w:b w:val="0"/>
          <w:i w:val="0"/>
        </w:rPr>
        <w:t xml:space="preserve">The souls of mortals: mortalium is a genitive identifying the people whose souls are assailed. The phrase describes the reach of discord among human beings; it does not itself assert that soul is mortal, despite the facing English’s potentially ambiguous </w:t>
      </w:r>
      <w:r>
        <w:t>“</w:t>
      </w:r>
      <w:r>
        <w:rPr>
          <w:b w:val="0"/>
          <w:i w:val="0"/>
        </w:rPr>
        <w:t>every mortal soul.</w:t>
      </w:r>
      <w:r>
        <w:t>”</w:t>
      </w:r>
      <w:r>
        <w:rPr>
          <w:b w:val="0"/>
          <w:i w:val="0"/>
        </w:rPr>
        <w:t xml:space="preserve">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346" w:name="latin-record-0105"/>
      <w:bookmarkEnd w:id="346"/>
      <w:r>
        <w:rPr>
          <w:b/>
          <w:i w:val="0"/>
        </w:rPr>
        <w:t>animus</w:t>
      </w:r>
      <w:r>
        <w:rPr>
          <w:b/>
          <w:i w:val="0"/>
        </w:rPr>
        <w:t>.</w:t>
      </w:r>
      <w:r>
        <w:rPr>
          <w:b w:val="0"/>
          <w:i w:val="0"/>
        </w:rPr>
        <w:t xml:space="preserve"> Printed forms: </w:t>
      </w:r>
      <w:r>
        <w:rPr>
          <w:b w:val="0"/>
          <w:i/>
        </w:rPr>
        <w:t>animi</w:t>
      </w:r>
      <w:r>
        <w:rPr>
          <w:b w:val="0"/>
          <w:i w:val="0"/>
        </w:rPr>
        <w:t xml:space="preserve">; </w:t>
      </w:r>
      <w:r>
        <w:rPr>
          <w:b w:val="0"/>
          <w:i/>
        </w:rPr>
        <w:t>animis</w:t>
      </w:r>
      <w:r>
        <w:rPr>
          <w:b w:val="0"/>
          <w:i w:val="0"/>
        </w:rPr>
        <w:t xml:space="preserve">; </w:t>
      </w:r>
      <w:r>
        <w:rPr>
          <w:b w:val="0"/>
          <w:i/>
        </w:rPr>
        <w:t>animo</w:t>
      </w:r>
      <w:r>
        <w:rPr>
          <w:b w:val="0"/>
          <w:i w:val="0"/>
        </w:rPr>
        <w:t xml:space="preserve">; </w:t>
      </w:r>
      <w:r>
        <w:rPr>
          <w:b w:val="0"/>
          <w:i/>
        </w:rPr>
        <w:t>Animo</w:t>
      </w:r>
      <w:r>
        <w:rPr>
          <w:b w:val="0"/>
          <w:i w:val="0"/>
        </w:rPr>
        <w:t xml:space="preserve">; </w:t>
      </w:r>
      <w:r>
        <w:rPr>
          <w:b w:val="0"/>
          <w:i/>
        </w:rPr>
        <w:t>animum</w:t>
      </w:r>
      <w:r>
        <w:rPr>
          <w:b w:val="0"/>
          <w:i w:val="0"/>
        </w:rPr>
        <w:t xml:space="preserve">; </w:t>
      </w:r>
      <w:r>
        <w:rPr>
          <w:b w:val="0"/>
          <w:i/>
        </w:rPr>
        <w:t>Animus</w:t>
      </w:r>
      <w:r>
        <w:rPr>
          <w:b w:val="0"/>
          <w:i w:val="0"/>
        </w:rPr>
        <w:t xml:space="preserve">; </w:t>
      </w:r>
      <w:r>
        <w:rPr>
          <w:b w:val="0"/>
          <w:i/>
        </w:rPr>
        <w:t>animus</w:t>
      </w:r>
      <w:r>
        <w:rPr>
          <w:b w:val="0"/>
          <w:i w:val="0"/>
        </w:rPr>
        <w:t>.</w:t>
      </w:r>
    </w:p>
    <w:p>
      <w:pPr>
        <w:widowControl/>
      </w:pPr>
      <w:r>
        <w:rPr>
          <w:b w:val="0"/>
          <w:i w:val="0"/>
        </w:rPr>
        <w:t xml:space="preserve">Mind, often the rational soul considered in its understanding, willing and individual identity. The return-to-God argument preserves mind as mind; the final conversion argument similarly protects rational identity rather than mere survival of some substance. References: </w:t>
      </w:r>
      <w:hyperlink w:anchor="passage-v-11-6">
        <w:r>
          <w:rPr>
            <w:color w:val="000000"/>
          </w:rPr>
          <w:t xml:space="preserve">V.11.6</w:t>
        </w:r>
      </w:hyperlink>
      <w:r>
        <w:rPr>
          <w:b w:val="0"/>
          <w:i w:val="0"/>
        </w:rPr>
        <w:t xml:space="preserve">, </w:t>
      </w:r>
      <w:hyperlink w:anchor="passage-v-15-19">
        <w:r>
          <w:rPr>
            <w:color w:val="000000"/>
          </w:rPr>
          <w:t xml:space="preserve">V.15.19</w:t>
        </w:r>
      </w:hyperlink>
      <w:r>
        <w:rPr>
          <w:b w:val="0"/>
          <w:i w:val="0"/>
        </w:rPr>
        <w:t xml:space="preserve">, </w:t>
      </w:r>
      <w:hyperlink w:anchor="passage-v-15-20">
        <w:r>
          <w:rPr>
            <w:color w:val="000000"/>
          </w:rPr>
          <w:t xml:space="preserve">V.15.20</w:t>
        </w:r>
      </w:hyperlink>
      <w:r>
        <w:rPr>
          <w:b w:val="0"/>
          <w:i w:val="0"/>
        </w:rPr>
        <w:t xml:space="preserve">, </w:t>
      </w:r>
      <w:hyperlink w:anchor="passage-v-15-21">
        <w:r>
          <w:rPr>
            <w:color w:val="000000"/>
          </w:rPr>
          <w:t xml:space="preserve">V.15.21</w:t>
        </w:r>
      </w:hyperlink>
      <w:r>
        <w:rPr>
          <w:b w:val="0"/>
          <w:i w:val="0"/>
        </w:rPr>
        <w:t xml:space="preserve">. See </w:t>
      </w:r>
      <w:hyperlink w:anchor="rational-soul-and-irrational-life">
        <w:r>
          <w:rPr>
            <w:color w:val="000000"/>
          </w:rPr>
          <w:t xml:space="preserve">Rational soul and irrational life</w:t>
        </w:r>
      </w:hyperlink>
      <w:r>
        <w:rPr>
          <w:b w:val="0"/>
          <w:i w:val="0"/>
        </w:rPr>
        <w:t>.</w:t>
      </w:r>
    </w:p>
    <w:p>
      <w:pPr>
        <w:widowControl/>
      </w:pPr>
      <w:r>
        <w:rPr>
          <w:b w:val="0"/>
          <w:i w:val="0"/>
        </w:rPr>
        <w:t xml:space="preserve">Soul or mind, with local emphasis on inward rational identity rather than a different physical constituent. The rational soul’s location, self-discovery and enduring memory are often expressed through animus; local sense determines whether English uses mind or soul. References: </w:t>
      </w:r>
      <w:hyperlink w:anchor="passage-vi-1-1">
        <w:r>
          <w:rPr>
            <w:color w:val="000000"/>
          </w:rPr>
          <w:t xml:space="preserve">VI.1.1</w:t>
        </w:r>
      </w:hyperlink>
      <w:r>
        <w:rPr>
          <w:b w:val="0"/>
          <w:i w:val="0"/>
        </w:rPr>
        <w:t xml:space="preserve">, </w:t>
      </w:r>
      <w:hyperlink w:anchor="passage-vi-2-9">
        <w:r>
          <w:rPr>
            <w:color w:val="000000"/>
          </w:rPr>
          <w:t xml:space="preserve">VI.2.9</w:t>
        </w:r>
      </w:hyperlink>
      <w:r>
        <w:rPr>
          <w:b w:val="0"/>
          <w:i w:val="0"/>
        </w:rPr>
        <w:t xml:space="preserve">, </w:t>
      </w:r>
      <w:hyperlink w:anchor="passage-vi-2-23">
        <w:r>
          <w:rPr>
            <w:color w:val="000000"/>
          </w:rPr>
          <w:t xml:space="preserve">VI.2.23</w:t>
        </w:r>
      </w:hyperlink>
      <w:r>
        <w:rPr>
          <w:b w:val="0"/>
          <w:i w:val="0"/>
        </w:rPr>
        <w:t xml:space="preserve">, </w:t>
      </w:r>
      <w:hyperlink w:anchor="passage-vi-13-6">
        <w:r>
          <w:rPr>
            <w:color w:val="000000"/>
          </w:rPr>
          <w:t xml:space="preserve">VI.13.6</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widowControl/>
      </w:pPr>
      <w:r>
        <w:rPr>
          <w:b w:val="0"/>
          <w:i w:val="0"/>
        </w:rPr>
        <w:t xml:space="preserve">Soul or mind with emphasis on inward cognitive and affective life. The food argument concerns its desire, intellectual strengthening and distinction from bodily growth; no rigid opposition to anima is imposed here.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w:t>
      </w:r>
      <w:hyperlink w:anchor="passage-viii-2-5">
        <w:r>
          <w:rPr>
            <w:color w:val="000000"/>
          </w:rPr>
          <w:t xml:space="preserve">VIII.2.5</w:t>
        </w:r>
      </w:hyperlink>
      <w:r>
        <w:rPr>
          <w:b w:val="0"/>
          <w:i w:val="0"/>
        </w:rPr>
        <w:t xml:space="preserve">, </w:t>
      </w:r>
      <w:hyperlink w:anchor="passage-viii-2-8">
        <w:r>
          <w:rPr>
            <w:color w:val="000000"/>
          </w:rPr>
          <w:t xml:space="preserve">VIII.2.8</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347" w:name="latin-record-0106"/>
      <w:bookmarkEnd w:id="347"/>
      <w:r>
        <w:rPr>
          <w:b/>
          <w:i w:val="0"/>
        </w:rPr>
        <w:t>Antisthenes / Xenophon</w:t>
      </w:r>
      <w:r>
        <w:rPr>
          <w:b/>
          <w:i w:val="0"/>
        </w:rPr>
        <w:t>.</w:t>
      </w:r>
      <w:r>
        <w:rPr>
          <w:b w:val="0"/>
          <w:i w:val="0"/>
        </w:rPr>
        <w:t xml:space="preserve"> Printed forms: </w:t>
      </w:r>
      <w:r>
        <w:rPr>
          <w:b w:val="0"/>
          <w:i/>
        </w:rPr>
        <w:t>Antisthenes</w:t>
      </w:r>
      <w:r>
        <w:rPr>
          <w:b w:val="0"/>
          <w:i w:val="0"/>
        </w:rPr>
        <w:t xml:space="preserve">; </w:t>
      </w:r>
      <w:r>
        <w:rPr>
          <w:b w:val="0"/>
          <w:i/>
        </w:rPr>
        <w:t>Xenophon</w:t>
      </w:r>
      <w:r>
        <w:rPr>
          <w:b w:val="0"/>
          <w:i w:val="0"/>
        </w:rPr>
        <w:t>.</w:t>
      </w:r>
    </w:p>
    <w:p>
      <w:pPr>
        <w:widowControl/>
      </w:pPr>
      <w:r>
        <w:rPr>
          <w:b w:val="0"/>
          <w:i w:val="0"/>
        </w:rPr>
        <w:t xml:space="preserve">Named comparators whose shared humanity extends the example beyond Plato alone. Ficino’s illustrative grouping makes likeness and common predicates available for the ascent to universal humanity; it is not a biographical investigation. References: </w:t>
      </w:r>
      <w:hyperlink w:anchor="passage-viii-1-2">
        <w:r>
          <w:rPr>
            <w:color w:val="000000"/>
          </w:rPr>
          <w:t xml:space="preserve">VIII.1.2</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348" w:name="latin-record-0107"/>
      <w:bookmarkEnd w:id="348"/>
      <w:r>
        <w:rPr>
          <w:b/>
          <w:i w:val="0"/>
        </w:rPr>
        <w:t>apis / ovis / sollertia</w:t>
      </w:r>
      <w:r>
        <w:rPr>
          <w:b/>
          <w:i w:val="0"/>
        </w:rPr>
        <w:t>.</w:t>
      </w:r>
      <w:r>
        <w:rPr>
          <w:b w:val="0"/>
          <w:i w:val="0"/>
        </w:rPr>
        <w:t xml:space="preserve"> Printed forms: </w:t>
      </w:r>
      <w:r>
        <w:rPr>
          <w:b w:val="0"/>
          <w:i/>
        </w:rPr>
        <w:t>apis</w:t>
      </w:r>
      <w:r>
        <w:rPr>
          <w:b w:val="0"/>
          <w:i w:val="0"/>
        </w:rPr>
        <w:t xml:space="preserve">; </w:t>
      </w:r>
      <w:r>
        <w:rPr>
          <w:b w:val="0"/>
          <w:i/>
        </w:rPr>
        <w:t>ove</w:t>
      </w:r>
      <w:r>
        <w:rPr>
          <w:b w:val="0"/>
          <w:i w:val="0"/>
        </w:rPr>
        <w:t xml:space="preserve">; </w:t>
      </w:r>
      <w:r>
        <w:rPr>
          <w:b w:val="0"/>
          <w:i/>
        </w:rPr>
        <w:t>sollertior</w:t>
      </w:r>
      <w:r>
        <w:rPr>
          <w:b w:val="0"/>
          <w:i w:val="0"/>
        </w:rPr>
        <w:t>.</w:t>
      </w:r>
    </w:p>
    <w:p>
      <w:pPr>
        <w:widowControl/>
      </w:pPr>
      <w:r>
        <w:rPr>
          <w:b w:val="0"/>
          <w:i w:val="0"/>
        </w:rPr>
        <w:t xml:space="preserve">Bee and sheep contrasted in skill or resourcefulness. The smaller bee’s supposed greater skill is an example against size necessarily improving the soul’s gifts.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349" w:name="latin-record-0108"/>
      <w:bookmarkEnd w:id="349"/>
      <w:r>
        <w:rPr>
          <w:b/>
          <w:i w:val="0"/>
        </w:rPr>
        <w:t>apparere / videri / placere</w:t>
      </w:r>
      <w:r>
        <w:rPr>
          <w:b/>
          <w:i w:val="0"/>
        </w:rPr>
        <w:t>.</w:t>
      </w:r>
      <w:r>
        <w:rPr>
          <w:b w:val="0"/>
          <w:i w:val="0"/>
        </w:rPr>
        <w:t xml:space="preserve"> Printed forms: </w:t>
      </w:r>
      <w:r>
        <w:rPr>
          <w:b w:val="0"/>
          <w:i/>
        </w:rPr>
        <w:t>apparet</w:t>
      </w:r>
      <w:r>
        <w:rPr>
          <w:b w:val="0"/>
          <w:i w:val="0"/>
        </w:rPr>
        <w:t xml:space="preserve">; </w:t>
      </w:r>
      <w:r>
        <w:rPr>
          <w:b w:val="0"/>
          <w:i/>
        </w:rPr>
        <w:t>arbitrantur</w:t>
      </w:r>
      <w:r>
        <w:rPr>
          <w:b w:val="0"/>
          <w:i w:val="0"/>
        </w:rPr>
        <w:t xml:space="preserve">; </w:t>
      </w:r>
      <w:r>
        <w:rPr>
          <w:b w:val="0"/>
          <w:i/>
        </w:rPr>
        <w:t>existimant</w:t>
      </w:r>
      <w:r>
        <w:rPr>
          <w:b w:val="0"/>
          <w:i w:val="0"/>
        </w:rPr>
        <w:t xml:space="preserve">; </w:t>
      </w:r>
      <w:r>
        <w:rPr>
          <w:b w:val="0"/>
          <w:i/>
        </w:rPr>
        <w:t>placet</w:t>
      </w:r>
      <w:r>
        <w:rPr>
          <w:b w:val="0"/>
          <w:i w:val="0"/>
        </w:rPr>
        <w:t xml:space="preserve">; </w:t>
      </w:r>
      <w:r>
        <w:rPr>
          <w:b w:val="0"/>
          <w:i/>
        </w:rPr>
        <w:t>putant</w:t>
      </w:r>
      <w:r>
        <w:rPr>
          <w:b w:val="0"/>
          <w:i w:val="0"/>
        </w:rPr>
        <w:t xml:space="preserve">; </w:t>
      </w:r>
      <w:r>
        <w:rPr>
          <w:b w:val="0"/>
          <w:i/>
        </w:rPr>
        <w:t>videatur</w:t>
      </w:r>
      <w:r>
        <w:rPr>
          <w:b w:val="0"/>
          <w:i w:val="0"/>
        </w:rPr>
        <w:t xml:space="preserve">; </w:t>
      </w:r>
      <w:r>
        <w:rPr>
          <w:b w:val="0"/>
          <w:i/>
        </w:rPr>
        <w:t>videntur</w:t>
      </w:r>
      <w:r>
        <w:rPr>
          <w:b w:val="0"/>
          <w:i w:val="0"/>
        </w:rPr>
        <w:t xml:space="preserve">; </w:t>
      </w:r>
      <w:r>
        <w:rPr>
          <w:b w:val="0"/>
          <w:i/>
        </w:rPr>
        <w:t>videtur</w:t>
      </w:r>
      <w:r>
        <w:rPr>
          <w:b w:val="0"/>
          <w:i w:val="0"/>
        </w:rPr>
        <w:t>.</w:t>
      </w:r>
    </w:p>
    <w:p>
      <w:pPr>
        <w:widowControl/>
      </w:pPr>
      <w:r>
        <w:rPr>
          <w:b w:val="0"/>
          <w:i w:val="0"/>
        </w:rPr>
        <w:t xml:space="preserve">To appear, seem, be held or be judged, marking different degrees of assertion or reported opinion. Ficino’s attribution of heavenly persistence, irrational immortality and descent theories must retain these evidential qualifications. References: </w:t>
      </w:r>
      <w:hyperlink w:anchor="passage-v-4-1">
        <w:r>
          <w:rPr>
            <w:color w:val="000000"/>
          </w:rPr>
          <w:t xml:space="preserve">V.4.1</w:t>
        </w:r>
      </w:hyperlink>
      <w:r>
        <w:rPr>
          <w:b w:val="0"/>
          <w:i w:val="0"/>
        </w:rPr>
        <w:t xml:space="preserve">, </w:t>
      </w:r>
      <w:hyperlink w:anchor="passage-v-4-3">
        <w:r>
          <w:rPr>
            <w:color w:val="000000"/>
          </w:rPr>
          <w:t xml:space="preserve">V.4.3</w:t>
        </w:r>
      </w:hyperlink>
      <w:r>
        <w:rPr>
          <w:b w:val="0"/>
          <w:i w:val="0"/>
        </w:rPr>
        <w:t xml:space="preserve">, </w:t>
      </w:r>
      <w:hyperlink w:anchor="passage-v-4-9">
        <w:r>
          <w:rPr>
            <w:color w:val="000000"/>
          </w:rPr>
          <w:t xml:space="preserve">V.4.9</w:t>
        </w:r>
      </w:hyperlink>
      <w:r>
        <w:rPr>
          <w:b w:val="0"/>
          <w:i w:val="0"/>
        </w:rPr>
        <w:t xml:space="preserve">, </w:t>
      </w:r>
      <w:hyperlink w:anchor="passage-v-10-1">
        <w:r>
          <w:rPr>
            <w:color w:val="000000"/>
          </w:rPr>
          <w:t xml:space="preserve">V.10.1</w:t>
        </w:r>
      </w:hyperlink>
      <w:r>
        <w:rPr>
          <w:b w:val="0"/>
          <w:i w:val="0"/>
        </w:rPr>
        <w:t xml:space="preserve">, </w:t>
      </w:r>
      <w:hyperlink w:anchor="passage-v-11-8">
        <w:r>
          <w:rPr>
            <w:color w:val="000000"/>
          </w:rPr>
          <w:t xml:space="preserve">V.11.8</w:t>
        </w:r>
      </w:hyperlink>
      <w:r>
        <w:rPr>
          <w:b w:val="0"/>
          <w:i w:val="0"/>
        </w:rPr>
        <w:t xml:space="preserve">, </w:t>
      </w:r>
      <w:hyperlink w:anchor="passage-v-13-1">
        <w:r>
          <w:rPr>
            <w:color w:val="000000"/>
          </w:rPr>
          <w:t xml:space="preserve">V.13.1</w:t>
        </w:r>
      </w:hyperlink>
      <w:r>
        <w:rPr>
          <w:b w:val="0"/>
          <w:i w:val="0"/>
        </w:rPr>
        <w:t xml:space="preserve">, </w:t>
      </w:r>
      <w:hyperlink w:anchor="passage-v-13-18">
        <w:r>
          <w:rPr>
            <w:color w:val="000000"/>
          </w:rPr>
          <w:t xml:space="preserve">V.13.18</w:t>
        </w:r>
      </w:hyperlink>
      <w:r>
        <w:rPr>
          <w:b w:val="0"/>
          <w:i w:val="0"/>
        </w:rPr>
        <w:t xml:space="preserve">, </w:t>
      </w:r>
      <w:hyperlink w:anchor="passage-v-14-8">
        <w:r>
          <w:rPr>
            <w:color w:val="000000"/>
          </w:rPr>
          <w:t xml:space="preserve">V.14.8</w:t>
        </w:r>
      </w:hyperlink>
      <w:r>
        <w:rPr>
          <w:b w:val="0"/>
          <w:i w:val="0"/>
        </w:rPr>
        <w:t xml:space="preserve">, </w:t>
      </w:r>
      <w:hyperlink w:anchor="passage-v-14-9">
        <w:r>
          <w:rPr>
            <w:color w:val="000000"/>
          </w:rPr>
          <w:t xml:space="preserve">V.14.9</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350" w:name="latin-record-0109"/>
      <w:bookmarkEnd w:id="350"/>
      <w:r>
        <w:rPr>
          <w:b/>
          <w:i w:val="0"/>
        </w:rPr>
        <w:t>appetere / cupere / affectare</w:t>
      </w:r>
      <w:r>
        <w:rPr>
          <w:b/>
          <w:i w:val="0"/>
        </w:rPr>
        <w:t>.</w:t>
      </w:r>
      <w:r>
        <w:rPr>
          <w:b w:val="0"/>
          <w:i w:val="0"/>
        </w:rPr>
        <w:t xml:space="preserve"> Printed forms: </w:t>
      </w:r>
      <w:r>
        <w:rPr>
          <w:b w:val="0"/>
          <w:i/>
        </w:rPr>
        <w:t>affectaret</w:t>
      </w:r>
      <w:r>
        <w:rPr>
          <w:b w:val="0"/>
          <w:i w:val="0"/>
        </w:rPr>
        <w:t xml:space="preserve">; </w:t>
      </w:r>
      <w:r>
        <w:rPr>
          <w:b w:val="0"/>
          <w:i/>
        </w:rPr>
        <w:t>affectat</w:t>
      </w:r>
      <w:r>
        <w:rPr>
          <w:b w:val="0"/>
          <w:i w:val="0"/>
        </w:rPr>
        <w:t xml:space="preserve">; </w:t>
      </w:r>
      <w:r>
        <w:rPr>
          <w:b w:val="0"/>
          <w:i/>
        </w:rPr>
        <w:t>appetant</w:t>
      </w:r>
      <w:r>
        <w:rPr>
          <w:b w:val="0"/>
          <w:i w:val="0"/>
        </w:rPr>
        <w:t xml:space="preserve">; </w:t>
      </w:r>
      <w:r>
        <w:rPr>
          <w:b w:val="0"/>
          <w:i/>
        </w:rPr>
        <w:t>appetit</w:t>
      </w:r>
      <w:r>
        <w:rPr>
          <w:b w:val="0"/>
          <w:i w:val="0"/>
        </w:rPr>
        <w:t xml:space="preserve">; </w:t>
      </w:r>
      <w:r>
        <w:rPr>
          <w:b w:val="0"/>
          <w:i/>
        </w:rPr>
        <w:t>appetunt</w:t>
      </w:r>
      <w:r>
        <w:rPr>
          <w:b w:val="0"/>
          <w:i w:val="0"/>
        </w:rPr>
        <w:t xml:space="preserve">; </w:t>
      </w:r>
      <w:r>
        <w:rPr>
          <w:b w:val="0"/>
          <w:i/>
        </w:rPr>
        <w:t>cupiat</w:t>
      </w:r>
      <w:r>
        <w:rPr>
          <w:b w:val="0"/>
          <w:i w:val="0"/>
        </w:rPr>
        <w:t xml:space="preserve">; </w:t>
      </w:r>
      <w:r>
        <w:rPr>
          <w:b w:val="0"/>
          <w:i/>
        </w:rPr>
        <w:t>cupit</w:t>
      </w:r>
      <w:r>
        <w:rPr>
          <w:b w:val="0"/>
          <w:i w:val="0"/>
        </w:rPr>
        <w:t xml:space="preserve">; </w:t>
      </w:r>
      <w:r>
        <w:rPr>
          <w:b w:val="0"/>
          <w:i/>
        </w:rPr>
        <w:t>cupitque</w:t>
      </w:r>
      <w:r>
        <w:rPr>
          <w:b w:val="0"/>
          <w:i w:val="0"/>
        </w:rPr>
        <w:t>.</w:t>
      </w:r>
    </w:p>
    <w:p>
      <w:pPr>
        <w:widowControl/>
      </w:pPr>
      <w:r>
        <w:rPr>
          <w:b w:val="0"/>
          <w:i w:val="0"/>
        </w:rPr>
        <w:t xml:space="preserve">Seeking, desiring or aspiring toward an object or end. Natural desire for truth and inward life is distinguished from bodily appetite and from the endlessly repeated willing of one’s own act. References: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8">
        <w:r>
          <w:rPr>
            <w:color w:val="000000"/>
          </w:rPr>
          <w:t xml:space="preserve">VIII.2.8</w:t>
        </w:r>
      </w:hyperlink>
      <w:r>
        <w:rPr>
          <w:b w:val="0"/>
          <w:i w:val="0"/>
        </w:rPr>
        <w:t xml:space="preserve">, </w:t>
      </w:r>
      <w:hyperlink w:anchor="passage-viii-10-2">
        <w:r>
          <w:rPr>
            <w:color w:val="000000"/>
          </w:rPr>
          <w:t xml:space="preserve">VIII.10.2</w:t>
        </w:r>
      </w:hyperlink>
      <w:r>
        <w:rPr>
          <w:b w:val="0"/>
          <w:i w:val="0"/>
        </w:rPr>
        <w:t xml:space="preserve">, </w:t>
      </w:r>
      <w:hyperlink w:anchor="passage-viii-11-1">
        <w:r>
          <w:rPr>
            <w:color w:val="000000"/>
          </w:rPr>
          <w:t xml:space="preserve">VIII.11.1</w:t>
        </w:r>
      </w:hyperlink>
      <w:r>
        <w:rPr>
          <w:b w:val="0"/>
          <w:i w:val="0"/>
        </w:rPr>
        <w:t xml:space="preserve">, </w:t>
      </w:r>
      <w:hyperlink w:anchor="passage-viii-15-3">
        <w:r>
          <w:rPr>
            <w:color w:val="000000"/>
          </w:rPr>
          <w:t xml:space="preserve">VIII.15.3</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351" w:name="latin-record-0110"/>
      <w:bookmarkEnd w:id="351"/>
      <w:r>
        <w:rPr>
          <w:b/>
          <w:i w:val="0"/>
        </w:rPr>
        <w:t>appetitus / appetitio</w:t>
      </w:r>
      <w:r>
        <w:rPr>
          <w:b/>
          <w:i w:val="0"/>
        </w:rPr>
        <w:t>.</w:t>
      </w:r>
      <w:r>
        <w:rPr>
          <w:b w:val="0"/>
          <w:i w:val="0"/>
        </w:rPr>
        <w:t xml:space="preserve"> Printed forms: </w:t>
      </w:r>
      <w:r>
        <w:rPr>
          <w:b w:val="0"/>
          <w:i/>
        </w:rPr>
        <w:t>appetitio</w:t>
      </w:r>
      <w:r>
        <w:rPr>
          <w:b w:val="0"/>
          <w:i w:val="0"/>
        </w:rPr>
        <w:t xml:space="preserve">; </w:t>
      </w:r>
      <w:r>
        <w:rPr>
          <w:b w:val="0"/>
          <w:i/>
        </w:rPr>
        <w:t>appetitu</w:t>
      </w:r>
      <w:r>
        <w:rPr>
          <w:b w:val="0"/>
          <w:i w:val="0"/>
        </w:rPr>
        <w:t xml:space="preserve">; </w:t>
      </w:r>
      <w:r>
        <w:rPr>
          <w:b w:val="0"/>
          <w:i/>
        </w:rPr>
        <w:t>appetitus</w:t>
      </w:r>
      <w:r>
        <w:rPr>
          <w:b w:val="0"/>
          <w:i w:val="0"/>
        </w:rPr>
        <w:t>.</w:t>
      </w:r>
    </w:p>
    <w:p>
      <w:pPr>
        <w:widowControl/>
      </w:pPr>
      <w:r>
        <w:rPr>
          <w:b w:val="0"/>
          <w:i w:val="0"/>
        </w:rPr>
        <w:t xml:space="preserve">Appetite or directed desire, including rational and nonrational forms. The stable appetite for truth differs from changing sensory appetite, while formed moral appetite is illuminated by intellect. References: </w:t>
      </w:r>
      <w:hyperlink w:anchor="passage-viii-2-6">
        <w:r>
          <w:rPr>
            <w:color w:val="000000"/>
          </w:rPr>
          <w:t xml:space="preserve">VIII.2.6</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3-2">
        <w:r>
          <w:rPr>
            <w:color w:val="000000"/>
          </w:rPr>
          <w:t xml:space="preserve">VIII.3.2</w:t>
        </w:r>
      </w:hyperlink>
      <w:r>
        <w:rPr>
          <w:b w:val="0"/>
          <w:i w:val="0"/>
        </w:rPr>
        <w:t xml:space="preserve">, </w:t>
      </w:r>
      <w:hyperlink w:anchor="passage-viii-16-1">
        <w:r>
          <w:rPr>
            <w:color w:val="000000"/>
          </w:rPr>
          <w:t xml:space="preserve">VIII.16.1</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352" w:name="latin-record-0111"/>
      <w:bookmarkEnd w:id="352"/>
      <w:r>
        <w:rPr>
          <w:b/>
          <w:i w:val="0"/>
        </w:rPr>
        <w:t>appetitus naturalis</w:t>
      </w:r>
      <w:r>
        <w:rPr>
          <w:b/>
          <w:i w:val="0"/>
        </w:rPr>
        <w:t>.</w:t>
      </w:r>
      <w:r>
        <w:rPr>
          <w:b w:val="0"/>
          <w:i w:val="0"/>
        </w:rPr>
        <w:t xml:space="preserve"> Printed forms: </w:t>
      </w:r>
      <w:r>
        <w:rPr>
          <w:b w:val="0"/>
          <w:i/>
        </w:rPr>
        <w:t>appetitio</w:t>
      </w:r>
      <w:r>
        <w:rPr>
          <w:b w:val="0"/>
          <w:i w:val="0"/>
        </w:rPr>
        <w:t xml:space="preserve">; </w:t>
      </w:r>
      <w:r>
        <w:rPr>
          <w:b w:val="0"/>
          <w:i/>
        </w:rPr>
        <w:t>appetitu</w:t>
      </w:r>
      <w:r>
        <w:rPr>
          <w:b w:val="0"/>
          <w:i w:val="0"/>
        </w:rPr>
        <w:t xml:space="preserve">; </w:t>
      </w:r>
      <w:r>
        <w:rPr>
          <w:b w:val="0"/>
          <w:i/>
        </w:rPr>
        <w:t>appetitum naturalem</w:t>
      </w:r>
      <w:r>
        <w:rPr>
          <w:b w:val="0"/>
          <w:i w:val="0"/>
        </w:rPr>
        <w:t>.</w:t>
      </w:r>
    </w:p>
    <w:p>
      <w:pPr>
        <w:widowControl/>
      </w:pPr>
      <w:r>
        <w:rPr>
          <w:b w:val="0"/>
          <w:i w:val="0"/>
        </w:rPr>
        <w:t xml:space="preserve">Natural directed striving toward a good or a likeness-producing act. Its source in the supreme good supports the denial that nature intends annihilation, and its return completes a causal circuit. References: </w:t>
      </w:r>
      <w:hyperlink w:anchor="passage-v-4-6">
        <w:r>
          <w:rPr>
            <w:color w:val="000000"/>
          </w:rPr>
          <w:t xml:space="preserve">V.4.6</w:t>
        </w:r>
      </w:hyperlink>
      <w:r>
        <w:rPr>
          <w:b w:val="0"/>
          <w:i w:val="0"/>
        </w:rPr>
        <w:t xml:space="preserve">, </w:t>
      </w:r>
      <w:hyperlink w:anchor="passage-v-4-7">
        <w:r>
          <w:rPr>
            <w:color w:val="000000"/>
          </w:rPr>
          <w:t xml:space="preserve">V.4.7</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353" w:name="latin-record-0112"/>
      <w:bookmarkEnd w:id="353"/>
      <w:r>
        <w:rPr>
          <w:b/>
          <w:i w:val="0"/>
        </w:rPr>
        <w:t>appetitus; proclivis</w:t>
      </w:r>
      <w:r>
        <w:rPr>
          <w:b/>
          <w:i w:val="0"/>
        </w:rPr>
        <w:t>.</w:t>
      </w:r>
      <w:r>
        <w:rPr>
          <w:b w:val="0"/>
          <w:i w:val="0"/>
        </w:rPr>
        <w:t xml:space="preserve"> Printed forms: </w:t>
      </w:r>
      <w:r>
        <w:rPr>
          <w:b w:val="0"/>
          <w:i/>
        </w:rPr>
        <w:t>appetitum</w:t>
      </w:r>
      <w:r>
        <w:rPr>
          <w:b w:val="0"/>
          <w:i w:val="0"/>
        </w:rPr>
        <w:t xml:space="preserve">; </w:t>
      </w:r>
      <w:r>
        <w:rPr>
          <w:b w:val="0"/>
          <w:i/>
        </w:rPr>
        <w:t>proclivem</w:t>
      </w:r>
      <w:r>
        <w:rPr>
          <w:b w:val="0"/>
          <w:i w:val="0"/>
        </w:rPr>
        <w:t>.</w:t>
      </w:r>
    </w:p>
    <w:p>
      <w:pPr>
        <w:widowControl/>
      </w:pPr>
      <w:r>
        <w:rPr>
          <w:b w:val="0"/>
          <w:i w:val="0"/>
        </w:rPr>
        <w:t xml:space="preserve">Appetite or inclination, here leaning toward bodies. Its direction contributes to mind’s misleading view of a soul wrapped in bodily engagements. References: </w:t>
      </w:r>
      <w:hyperlink w:anchor="passage-vi-2-2">
        <w:r>
          <w:rPr>
            <w:color w:val="000000"/>
          </w:rPr>
          <w:t xml:space="preserve">VI.2.2</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354" w:name="latin-record-0113"/>
      <w:bookmarkEnd w:id="354"/>
      <w:r>
        <w:rPr>
          <w:b/>
          <w:i w:val="0"/>
        </w:rPr>
        <w:t>apprehendere</w:t>
      </w:r>
      <w:r>
        <w:rPr>
          <w:b/>
          <w:i w:val="0"/>
        </w:rPr>
        <w:t>.</w:t>
      </w:r>
      <w:r>
        <w:rPr>
          <w:b w:val="0"/>
          <w:i w:val="0"/>
        </w:rPr>
        <w:t xml:space="preserve"> Printed forms: </w:t>
      </w:r>
      <w:r>
        <w:rPr>
          <w:b w:val="0"/>
          <w:i/>
        </w:rPr>
        <w:t>apprehendat</w:t>
      </w:r>
      <w:r>
        <w:rPr>
          <w:b w:val="0"/>
          <w:i w:val="0"/>
        </w:rPr>
        <w:t xml:space="preserve">; </w:t>
      </w:r>
      <w:r>
        <w:rPr>
          <w:b w:val="0"/>
          <w:i/>
        </w:rPr>
        <w:t>apprehendit</w:t>
      </w:r>
      <w:r>
        <w:rPr>
          <w:b w:val="0"/>
          <w:i w:val="0"/>
        </w:rPr>
        <w:t>.</w:t>
      </w:r>
    </w:p>
    <w:p>
      <w:pPr>
        <w:widowControl/>
      </w:pPr>
      <w:r>
        <w:rPr>
          <w:b w:val="0"/>
          <w:i w:val="0"/>
        </w:rPr>
        <w:t xml:space="preserve">To receive or grasp cognitively. The senses supply no qualities, while the soul’s own substance remains available to thought. References: </w:t>
      </w:r>
      <w:hyperlink w:anchor="passage-vi-2-12">
        <w:r>
          <w:rPr>
            <w:color w:val="000000"/>
          </w:rPr>
          <w:t xml:space="preserve">VI.2.12</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355" w:name="latin-record-0114"/>
      <w:bookmarkEnd w:id="355"/>
      <w:r>
        <w:rPr>
          <w:b/>
          <w:i w:val="0"/>
        </w:rPr>
        <w:t>aptus / ineptus</w:t>
      </w:r>
      <w:r>
        <w:rPr>
          <w:b/>
          <w:i w:val="0"/>
        </w:rPr>
        <w:t>.</w:t>
      </w:r>
      <w:r>
        <w:rPr>
          <w:b w:val="0"/>
          <w:i w:val="0"/>
        </w:rPr>
        <w:t xml:space="preserve"> Printed forms: </w:t>
      </w:r>
      <w:r>
        <w:rPr>
          <w:b w:val="0"/>
          <w:i/>
        </w:rPr>
        <w:t>apta</w:t>
      </w:r>
      <w:r>
        <w:rPr>
          <w:b w:val="0"/>
          <w:i w:val="0"/>
        </w:rPr>
        <w:t xml:space="preserve">; </w:t>
      </w:r>
      <w:r>
        <w:rPr>
          <w:b w:val="0"/>
          <w:i/>
        </w:rPr>
        <w:t>inepta</w:t>
      </w:r>
      <w:r>
        <w:rPr>
          <w:b w:val="0"/>
          <w:i w:val="0"/>
        </w:rPr>
        <w:t xml:space="preserve">; </w:t>
      </w:r>
      <w:r>
        <w:rPr>
          <w:b w:val="0"/>
          <w:i/>
        </w:rPr>
        <w:t>ineptior</w:t>
      </w:r>
      <w:r>
        <w:rPr>
          <w:b w:val="0"/>
          <w:i w:val="0"/>
        </w:rPr>
        <w:t>.</w:t>
      </w:r>
    </w:p>
    <w:p>
      <w:pPr>
        <w:widowControl/>
      </w:pPr>
      <w:r>
        <w:rPr>
          <w:b w:val="0"/>
          <w:i w:val="0"/>
        </w:rPr>
        <w:t xml:space="preserve">Suited or unsuited to a proposed work. Different material readiness establishes nearer or farther potency-to-act transitions, with correspondingly different demands on agency. References: </w:t>
      </w:r>
      <w:hyperlink w:anchor="passage-v-12-4">
        <w:r>
          <w:rPr>
            <w:color w:val="000000"/>
          </w:rPr>
          <w:t xml:space="preserve">V.12.4</w:t>
        </w:r>
      </w:hyperlink>
      <w:r>
        <w:rPr>
          <w:b w:val="0"/>
          <w:i w:val="0"/>
        </w:rPr>
        <w:t xml:space="preserve">, </w:t>
      </w:r>
      <w:hyperlink w:anchor="passage-v-13-5">
        <w:r>
          <w:rPr>
            <w:color w:val="000000"/>
          </w:rPr>
          <w:t xml:space="preserve">V.13.5</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356" w:name="latin-record-0115"/>
      <w:bookmarkEnd w:id="356"/>
      <w:r>
        <w:rPr>
          <w:b/>
          <w:i w:val="0"/>
        </w:rPr>
        <w:t>aqua / aer / terra</w:t>
      </w:r>
      <w:r>
        <w:rPr>
          <w:b/>
          <w:i w:val="0"/>
        </w:rPr>
        <w:t>.</w:t>
      </w:r>
      <w:r>
        <w:rPr>
          <w:b w:val="0"/>
          <w:i w:val="0"/>
        </w:rPr>
        <w:t xml:space="preserve"> Printed forms: </w:t>
      </w:r>
      <w:r>
        <w:rPr>
          <w:b w:val="0"/>
          <w:i/>
        </w:rPr>
        <w:t>aere</w:t>
      </w:r>
      <w:r>
        <w:rPr>
          <w:b w:val="0"/>
          <w:i w:val="0"/>
        </w:rPr>
        <w:t xml:space="preserve">; </w:t>
      </w:r>
      <w:r>
        <w:rPr>
          <w:b w:val="0"/>
          <w:i/>
        </w:rPr>
        <w:t>aerem</w:t>
      </w:r>
      <w:r>
        <w:rPr>
          <w:b w:val="0"/>
          <w:i w:val="0"/>
        </w:rPr>
        <w:t xml:space="preserve">; </w:t>
      </w:r>
      <w:r>
        <w:rPr>
          <w:b w:val="0"/>
          <w:i/>
        </w:rPr>
        <w:t>aeris</w:t>
      </w:r>
      <w:r>
        <w:rPr>
          <w:b w:val="0"/>
          <w:i w:val="0"/>
        </w:rPr>
        <w:t xml:space="preserve">; </w:t>
      </w:r>
      <w:r>
        <w:rPr>
          <w:b w:val="0"/>
          <w:i/>
        </w:rPr>
        <w:t>Aqua</w:t>
      </w:r>
      <w:r>
        <w:rPr>
          <w:b w:val="0"/>
          <w:i w:val="0"/>
        </w:rPr>
        <w:t xml:space="preserve">; </w:t>
      </w:r>
      <w:r>
        <w:rPr>
          <w:b w:val="0"/>
          <w:i/>
        </w:rPr>
        <w:t>aqua</w:t>
      </w:r>
      <w:r>
        <w:rPr>
          <w:b w:val="0"/>
          <w:i w:val="0"/>
        </w:rPr>
        <w:t xml:space="preserve">; </w:t>
      </w:r>
      <w:r>
        <w:rPr>
          <w:b w:val="0"/>
          <w:i/>
        </w:rPr>
        <w:t>aquae</w:t>
      </w:r>
      <w:r>
        <w:rPr>
          <w:b w:val="0"/>
          <w:i w:val="0"/>
        </w:rPr>
        <w:t xml:space="preserve">; </w:t>
      </w:r>
      <w:r>
        <w:rPr>
          <w:b w:val="0"/>
          <w:i/>
        </w:rPr>
        <w:t>aquam</w:t>
      </w:r>
      <w:r>
        <w:rPr>
          <w:b w:val="0"/>
          <w:i w:val="0"/>
        </w:rPr>
        <w:t xml:space="preserve">; </w:t>
      </w:r>
      <w:r>
        <w:rPr>
          <w:b w:val="0"/>
          <w:i/>
        </w:rPr>
        <w:t>terrae</w:t>
      </w:r>
      <w:r>
        <w:rPr>
          <w:b w:val="0"/>
          <w:i w:val="0"/>
        </w:rPr>
        <w:t xml:space="preserve">; </w:t>
      </w:r>
      <w:r>
        <w:rPr>
          <w:b w:val="0"/>
          <w:i/>
        </w:rPr>
        <w:t>terram</w:t>
      </w:r>
      <w:r>
        <w:rPr>
          <w:b w:val="0"/>
          <w:i w:val="0"/>
        </w:rPr>
        <w:t>.</w:t>
      </w:r>
    </w:p>
    <w:p>
      <w:pPr>
        <w:widowControl/>
      </w:pPr>
      <w:r>
        <w:rPr>
          <w:b w:val="0"/>
          <w:i w:val="0"/>
        </w:rPr>
        <w:t xml:space="preserve">Water, air and earth, elemental bodies within the historical transformation model. The same material subject is followed through replacement of coldness, moisture and dryness; the analysis is not modern chemistry. References: </w:t>
      </w:r>
      <w:hyperlink w:anchor="passage-v-4-1">
        <w:r>
          <w:rPr>
            <w:color w:val="000000"/>
          </w:rPr>
          <w:t xml:space="preserve">V.4.1</w:t>
        </w:r>
      </w:hyperlink>
      <w:r>
        <w:rPr>
          <w:b w:val="0"/>
          <w:i w:val="0"/>
        </w:rPr>
        <w:t xml:space="preserve">, </w:t>
      </w:r>
      <w:hyperlink w:anchor="passage-v-4-3">
        <w:r>
          <w:rPr>
            <w:color w:val="000000"/>
          </w:rPr>
          <w:t xml:space="preserve">V.4.3</w:t>
        </w:r>
      </w:hyperlink>
      <w:r>
        <w:rPr>
          <w:b w:val="0"/>
          <w:i w:val="0"/>
        </w:rPr>
        <w:t xml:space="preserve">, </w:t>
      </w:r>
      <w:hyperlink w:anchor="passage-v-4-4">
        <w:r>
          <w:rPr>
            <w:color w:val="000000"/>
          </w:rPr>
          <w:t xml:space="preserve">V.4.4</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357" w:name="latin-record-0116"/>
      <w:bookmarkEnd w:id="357"/>
      <w:r>
        <w:rPr>
          <w:b/>
          <w:i w:val="0"/>
        </w:rPr>
        <w:t>aqua / ignis / calor / frigus</w:t>
      </w:r>
      <w:r>
        <w:rPr>
          <w:b/>
          <w:i w:val="0"/>
        </w:rPr>
        <w:t>.</w:t>
      </w:r>
      <w:r>
        <w:rPr>
          <w:b w:val="0"/>
          <w:i w:val="0"/>
        </w:rPr>
        <w:t xml:space="preserve"> Printed forms: </w:t>
      </w:r>
      <w:r>
        <w:rPr>
          <w:b w:val="0"/>
          <w:i/>
        </w:rPr>
        <w:t>aqua</w:t>
      </w:r>
      <w:r>
        <w:rPr>
          <w:b w:val="0"/>
          <w:i w:val="0"/>
        </w:rPr>
        <w:t xml:space="preserve">; </w:t>
      </w:r>
      <w:r>
        <w:rPr>
          <w:b w:val="0"/>
          <w:i/>
        </w:rPr>
        <w:t>aquae</w:t>
      </w:r>
      <w:r>
        <w:rPr>
          <w:b w:val="0"/>
          <w:i w:val="0"/>
        </w:rPr>
        <w:t xml:space="preserve">; </w:t>
      </w:r>
      <w:r>
        <w:rPr>
          <w:b w:val="0"/>
          <w:i/>
        </w:rPr>
        <w:t>aquam</w:t>
      </w:r>
      <w:r>
        <w:rPr>
          <w:b w:val="0"/>
          <w:i w:val="0"/>
        </w:rPr>
        <w:t xml:space="preserve">; </w:t>
      </w:r>
      <w:r>
        <w:rPr>
          <w:b w:val="0"/>
          <w:i/>
        </w:rPr>
        <w:t>caliditatem</w:t>
      </w:r>
      <w:r>
        <w:rPr>
          <w:b w:val="0"/>
          <w:i w:val="0"/>
        </w:rPr>
        <w:t xml:space="preserve">; </w:t>
      </w:r>
      <w:r>
        <w:rPr>
          <w:b w:val="0"/>
          <w:i/>
        </w:rPr>
        <w:t>calidum</w:t>
      </w:r>
      <w:r>
        <w:rPr>
          <w:b w:val="0"/>
          <w:i w:val="0"/>
        </w:rPr>
        <w:t xml:space="preserve">; </w:t>
      </w:r>
      <w:r>
        <w:rPr>
          <w:b w:val="0"/>
          <w:i/>
        </w:rPr>
        <w:t>calorem</w:t>
      </w:r>
      <w:r>
        <w:rPr>
          <w:b w:val="0"/>
          <w:i w:val="0"/>
        </w:rPr>
        <w:t xml:space="preserve">; </w:t>
      </w:r>
      <w:r>
        <w:rPr>
          <w:b w:val="0"/>
          <w:i/>
        </w:rPr>
        <w:t>frigiditatem</w:t>
      </w:r>
      <w:r>
        <w:rPr>
          <w:b w:val="0"/>
          <w:i w:val="0"/>
        </w:rPr>
        <w:t xml:space="preserve">; </w:t>
      </w:r>
      <w:r>
        <w:rPr>
          <w:b w:val="0"/>
          <w:i/>
        </w:rPr>
        <w:t>frigus</w:t>
      </w:r>
      <w:r>
        <w:rPr>
          <w:b w:val="0"/>
          <w:i w:val="0"/>
        </w:rPr>
        <w:t xml:space="preserve">; </w:t>
      </w:r>
      <w:r>
        <w:rPr>
          <w:b w:val="0"/>
          <w:i/>
        </w:rPr>
        <w:t>ignem</w:t>
      </w:r>
      <w:r>
        <w:rPr>
          <w:b w:val="0"/>
          <w:i w:val="0"/>
        </w:rPr>
        <w:t xml:space="preserve">; </w:t>
      </w:r>
      <w:r>
        <w:rPr>
          <w:b w:val="0"/>
          <w:i/>
        </w:rPr>
        <w:t>igneum</w:t>
      </w:r>
      <w:r>
        <w:rPr>
          <w:b w:val="0"/>
          <w:i w:val="0"/>
        </w:rPr>
        <w:t xml:space="preserve">; </w:t>
      </w:r>
      <w:r>
        <w:rPr>
          <w:b w:val="0"/>
          <w:i/>
        </w:rPr>
        <w:t>ignis</w:t>
      </w:r>
      <w:r>
        <w:rPr>
          <w:b w:val="0"/>
          <w:i w:val="0"/>
        </w:rPr>
        <w:t>.</w:t>
      </w:r>
    </w:p>
    <w:p>
      <w:pPr>
        <w:widowControl/>
      </w:pPr>
      <w:r>
        <w:rPr>
          <w:b w:val="0"/>
          <w:i w:val="0"/>
        </w:rPr>
        <w:t xml:space="preserve">Water, fire, heat and cold, recurring elemental examples with different explanatory jobs. Water drops illustrate homogeneous parts; heating water illustrates replacement of qualities; knowing heat and cold together illustrates reception without material contrariety. References: </w:t>
      </w:r>
      <w:hyperlink w:anchor="passage-viii-4-3">
        <w:r>
          <w:rPr>
            <w:color w:val="000000"/>
          </w:rPr>
          <w:t xml:space="preserve">VIII.4.3</w:t>
        </w:r>
      </w:hyperlink>
      <w:r>
        <w:rPr>
          <w:b w:val="0"/>
          <w:i w:val="0"/>
        </w:rPr>
        <w:t xml:space="preserve">, </w:t>
      </w:r>
      <w:hyperlink w:anchor="passage-viii-7-1">
        <w:r>
          <w:rPr>
            <w:color w:val="000000"/>
          </w:rPr>
          <w:t xml:space="preserve">VIII.7.1</w:t>
        </w:r>
      </w:hyperlink>
      <w:r>
        <w:rPr>
          <w:b w:val="0"/>
          <w:i w:val="0"/>
        </w:rPr>
        <w:t xml:space="preserve">, </w:t>
      </w:r>
      <w:hyperlink w:anchor="passage-viii-10-1">
        <w:r>
          <w:rPr>
            <w:color w:val="000000"/>
          </w:rPr>
          <w:t xml:space="preserve">VIII.10.1</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358" w:name="latin-record-0117"/>
      <w:bookmarkEnd w:id="358"/>
      <w:r>
        <w:rPr>
          <w:b/>
          <w:i w:val="0"/>
        </w:rPr>
        <w:t>aquaticus / terrestris / aereus</w:t>
      </w:r>
      <w:r>
        <w:rPr>
          <w:b/>
          <w:i w:val="0"/>
        </w:rPr>
        <w:t>.</w:t>
      </w:r>
      <w:r>
        <w:rPr>
          <w:b w:val="0"/>
          <w:i w:val="0"/>
        </w:rPr>
        <w:t xml:space="preserve"> Printed forms: </w:t>
      </w:r>
      <w:r>
        <w:rPr>
          <w:b w:val="0"/>
          <w:i/>
        </w:rPr>
        <w:t>aerea</w:t>
      </w:r>
      <w:r>
        <w:rPr>
          <w:b w:val="0"/>
          <w:i w:val="0"/>
        </w:rPr>
        <w:t xml:space="preserve">; </w:t>
      </w:r>
      <w:r>
        <w:rPr>
          <w:b w:val="0"/>
          <w:i/>
        </w:rPr>
        <w:t>aereis</w:t>
      </w:r>
      <w:r>
        <w:rPr>
          <w:b w:val="0"/>
          <w:i w:val="0"/>
        </w:rPr>
        <w:t xml:space="preserve">; </w:t>
      </w:r>
      <w:r>
        <w:rPr>
          <w:b w:val="0"/>
          <w:i/>
        </w:rPr>
        <w:t>aquatica</w:t>
      </w:r>
      <w:r>
        <w:rPr>
          <w:b w:val="0"/>
          <w:i w:val="0"/>
        </w:rPr>
        <w:t xml:space="preserve">; </w:t>
      </w:r>
      <w:r>
        <w:rPr>
          <w:b w:val="0"/>
          <w:i/>
        </w:rPr>
        <w:t>aqueis</w:t>
      </w:r>
      <w:r>
        <w:rPr>
          <w:b w:val="0"/>
          <w:i w:val="0"/>
        </w:rPr>
        <w:t xml:space="preserve">; </w:t>
      </w:r>
      <w:r>
        <w:rPr>
          <w:b w:val="0"/>
          <w:i/>
        </w:rPr>
        <w:t>terrenis</w:t>
      </w:r>
      <w:r>
        <w:rPr>
          <w:b w:val="0"/>
          <w:i w:val="0"/>
        </w:rPr>
        <w:t xml:space="preserve">; </w:t>
      </w:r>
      <w:r>
        <w:rPr>
          <w:b w:val="0"/>
          <w:i/>
        </w:rPr>
        <w:t>terrestria</w:t>
      </w:r>
      <w:r>
        <w:rPr>
          <w:b w:val="0"/>
          <w:i w:val="0"/>
        </w:rPr>
        <w:t>.</w:t>
      </w:r>
    </w:p>
    <w:p>
      <w:pPr>
        <w:widowControl/>
      </w:pPr>
      <w:r>
        <w:rPr>
          <w:b w:val="0"/>
          <w:i w:val="0"/>
        </w:rPr>
        <w:t xml:space="preserve">Water-, earth- and air-related beings and their correspondingly classified foods. The historical natural example introduces likeness between feeder and food before the corporeal/incorporeal distinction. References: </w:t>
      </w:r>
      <w:hyperlink w:anchor="passage-viii-2-1">
        <w:r>
          <w:rPr>
            <w:color w:val="000000"/>
          </w:rPr>
          <w:t xml:space="preserve">VIII.2.1</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359" w:name="latin-record-0118"/>
      <w:bookmarkEnd w:id="359"/>
      <w:r>
        <w:rPr>
          <w:b/>
          <w:i w:val="0"/>
        </w:rPr>
        <w:t>aquila</w:t>
      </w:r>
      <w:r>
        <w:rPr>
          <w:b/>
          <w:i w:val="0"/>
        </w:rPr>
        <w:t>.</w:t>
      </w:r>
      <w:r>
        <w:rPr>
          <w:b w:val="0"/>
          <w:i w:val="0"/>
        </w:rPr>
        <w:t xml:space="preserve"> Printed forms: </w:t>
      </w:r>
      <w:r>
        <w:rPr>
          <w:b w:val="0"/>
          <w:i/>
        </w:rPr>
        <w:t>aquilam</w:t>
      </w:r>
      <w:r>
        <w:rPr>
          <w:b w:val="0"/>
          <w:i w:val="0"/>
        </w:rPr>
        <w:t>.</w:t>
      </w:r>
    </w:p>
    <w:p>
      <w:pPr>
        <w:widowControl/>
      </w:pPr>
      <w:r>
        <w:rPr>
          <w:b w:val="0"/>
          <w:i w:val="0"/>
        </w:rPr>
        <w:t xml:space="preserve">An eagle, the animal that does not arise from human seed in the example. It extends the argument about determinate natural generation beyond plants. References: </w:t>
      </w:r>
      <w:hyperlink w:anchor="passage-v-4-3">
        <w:r>
          <w:rPr>
            <w:color w:val="000000"/>
          </w:rPr>
          <w:t xml:space="preserve">V.4.3</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360" w:name="latin-record-0119"/>
      <w:bookmarkEnd w:id="360"/>
      <w:r>
        <w:rPr>
          <w:b/>
          <w:i w:val="0"/>
        </w:rPr>
        <w:t>aquila / bos</w:t>
      </w:r>
      <w:r>
        <w:rPr>
          <w:b/>
          <w:i w:val="0"/>
        </w:rPr>
        <w:t>.</w:t>
      </w:r>
      <w:r>
        <w:rPr>
          <w:b w:val="0"/>
          <w:i w:val="0"/>
        </w:rPr>
        <w:t xml:space="preserve"> Printed forms: </w:t>
      </w:r>
      <w:r>
        <w:rPr>
          <w:b w:val="0"/>
          <w:i/>
        </w:rPr>
        <w:t>aquilae</w:t>
      </w:r>
      <w:r>
        <w:rPr>
          <w:b w:val="0"/>
          <w:i w:val="0"/>
        </w:rPr>
        <w:t xml:space="preserve">; </w:t>
      </w:r>
      <w:r>
        <w:rPr>
          <w:b w:val="0"/>
          <w:i/>
        </w:rPr>
        <w:t>bove</w:t>
      </w:r>
      <w:r>
        <w:rPr>
          <w:b w:val="0"/>
          <w:i w:val="0"/>
        </w:rPr>
        <w:t xml:space="preserve">; </w:t>
      </w:r>
      <w:r>
        <w:rPr>
          <w:b w:val="0"/>
          <w:i/>
        </w:rPr>
        <w:t>bovis</w:t>
      </w:r>
      <w:r>
        <w:rPr>
          <w:b w:val="0"/>
          <w:i w:val="0"/>
        </w:rPr>
        <w:t>.</w:t>
      </w:r>
    </w:p>
    <w:p>
      <w:pPr>
        <w:widowControl/>
      </w:pPr>
      <w:r>
        <w:rPr>
          <w:b w:val="0"/>
          <w:i w:val="0"/>
        </w:rPr>
        <w:t xml:space="preserve">Eagle and ox as animal comparators. The eagle illustrates keener sight in smaller eyes; the ox later supplies the comparison for the lion’s boldness.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361" w:name="latin-record-0120"/>
      <w:bookmarkEnd w:id="361"/>
      <w:r>
        <w:rPr>
          <w:b/>
          <w:i w:val="0"/>
        </w:rPr>
        <w:t>ardor / ardere / ardenter</w:t>
      </w:r>
      <w:r>
        <w:rPr>
          <w:b/>
          <w:i w:val="0"/>
        </w:rPr>
        <w:t>.</w:t>
      </w:r>
      <w:r>
        <w:rPr>
          <w:b w:val="0"/>
          <w:i w:val="0"/>
        </w:rPr>
        <w:t xml:space="preserve"> Printed forms: </w:t>
      </w:r>
      <w:r>
        <w:rPr>
          <w:b w:val="0"/>
          <w:i/>
        </w:rPr>
        <w:t>ardentius</w:t>
      </w:r>
      <w:r>
        <w:rPr>
          <w:b w:val="0"/>
          <w:i w:val="0"/>
        </w:rPr>
        <w:t xml:space="preserve">; </w:t>
      </w:r>
      <w:r>
        <w:rPr>
          <w:b w:val="0"/>
          <w:i/>
        </w:rPr>
        <w:t>ardet</w:t>
      </w:r>
      <w:r>
        <w:rPr>
          <w:b w:val="0"/>
          <w:i w:val="0"/>
        </w:rPr>
        <w:t xml:space="preserve">; </w:t>
      </w:r>
      <w:r>
        <w:rPr>
          <w:b w:val="0"/>
          <w:i/>
        </w:rPr>
        <w:t>ardor</w:t>
      </w:r>
      <w:r>
        <w:rPr>
          <w:b w:val="0"/>
          <w:i w:val="0"/>
        </w:rPr>
        <w:t>.</w:t>
      </w:r>
    </w:p>
    <w:p>
      <w:pPr>
        <w:widowControl/>
      </w:pPr>
      <w:r>
        <w:rPr>
          <w:b w:val="0"/>
          <w:i w:val="0"/>
        </w:rPr>
        <w:t xml:space="preserve">Ardor is burning intensity or ardour; ardere means to burn; ardentius means more ardently. Mind’s desire is not satisfied by finite acquisitions and is said to burn more intensely as it approaches infinite God. The burning image is compared with the return of fire and a falling stone, while the mind’s capacity is ultimately described as divinely enlarged. These related words are a semantic family, not inflections of one noun. References: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362" w:name="latin-record-0121"/>
      <w:bookmarkEnd w:id="362"/>
      <w:r>
        <w:rPr>
          <w:b/>
          <w:i w:val="0"/>
        </w:rPr>
        <w:t>argumentatio / demonstratio</w:t>
      </w:r>
      <w:r>
        <w:rPr>
          <w:b/>
          <w:i w:val="0"/>
        </w:rPr>
        <w:t>.</w:t>
      </w:r>
      <w:r>
        <w:rPr>
          <w:b w:val="0"/>
          <w:i w:val="0"/>
        </w:rPr>
        <w:t xml:space="preserve"> Printed forms: </w:t>
      </w:r>
      <w:r>
        <w:rPr>
          <w:b w:val="0"/>
          <w:i/>
        </w:rPr>
        <w:t>argumentatio</w:t>
      </w:r>
      <w:r>
        <w:rPr>
          <w:b w:val="0"/>
          <w:i w:val="0"/>
        </w:rPr>
        <w:t xml:space="preserve">; </w:t>
      </w:r>
      <w:r>
        <w:rPr>
          <w:b w:val="0"/>
          <w:i/>
        </w:rPr>
        <w:t>argumentatione</w:t>
      </w:r>
      <w:r>
        <w:rPr>
          <w:b w:val="0"/>
          <w:i w:val="0"/>
        </w:rPr>
        <w:t xml:space="preserve">; </w:t>
      </w:r>
      <w:r>
        <w:rPr>
          <w:b w:val="0"/>
          <w:i/>
        </w:rPr>
        <w:t>argumentationem</w:t>
      </w:r>
      <w:r>
        <w:rPr>
          <w:b w:val="0"/>
          <w:i w:val="0"/>
        </w:rPr>
        <w:t xml:space="preserve">; </w:t>
      </w:r>
      <w:r>
        <w:rPr>
          <w:b w:val="0"/>
          <w:i/>
        </w:rPr>
        <w:t>demonstratio</w:t>
      </w:r>
      <w:r>
        <w:rPr>
          <w:b w:val="0"/>
          <w:i w:val="0"/>
        </w:rPr>
        <w:t>.</w:t>
      </w:r>
    </w:p>
    <w:p>
      <w:pPr>
        <w:widowControl/>
      </w:pPr>
      <w:r>
        <w:rPr>
          <w:b w:val="0"/>
          <w:i w:val="0"/>
        </w:rPr>
        <w:t xml:space="preserve">An articulated argument or demonstration, distinct from the immediate act whose nature it explains. The proof of the universal Idea need not precede every apprehension of a universal; later chapters offer cumulative but nonidentical routes to immortality. References: </w:t>
      </w:r>
      <w:hyperlink w:anchor="passage-viii-1-4">
        <w:r>
          <w:rPr>
            <w:color w:val="000000"/>
          </w:rPr>
          <w:t xml:space="preserve">VIII.1.4</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5-2">
        <w:r>
          <w:rPr>
            <w:color w:val="000000"/>
          </w:rPr>
          <w:t xml:space="preserve">VIII.5.2</w:t>
        </w:r>
      </w:hyperlink>
      <w:r>
        <w:rPr>
          <w:b w:val="0"/>
          <w:i w:val="0"/>
        </w:rPr>
        <w:t xml:space="preserve">, </w:t>
      </w:r>
      <w:hyperlink w:anchor="passage-viii-15-2">
        <w:r>
          <w:rPr>
            <w:color w:val="000000"/>
          </w:rPr>
          <w:t xml:space="preserve">VIII.15.2</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363" w:name="latin-record-0122"/>
      <w:bookmarkEnd w:id="363"/>
      <w:r>
        <w:rPr>
          <w:b/>
          <w:i w:val="0"/>
        </w:rPr>
        <w:t>Ariston</w:t>
      </w:r>
      <w:r>
        <w:rPr>
          <w:b/>
          <w:i w:val="0"/>
        </w:rPr>
        <w:t>.</w:t>
      </w:r>
      <w:r>
        <w:rPr>
          <w:b w:val="0"/>
          <w:i w:val="0"/>
        </w:rPr>
        <w:t xml:space="preserve"> Printed forms: </w:t>
      </w:r>
      <w:r>
        <w:rPr>
          <w:b w:val="0"/>
          <w:i/>
        </w:rPr>
        <w:t>Ariston</w:t>
      </w:r>
      <w:r>
        <w:rPr>
          <w:b w:val="0"/>
          <w:i w:val="0"/>
        </w:rPr>
        <w:t>.</w:t>
      </w:r>
    </w:p>
    <w:p>
      <w:pPr>
        <w:widowControl/>
      </w:pPr>
      <w:r>
        <w:rPr>
          <w:b w:val="0"/>
          <w:i w:val="0"/>
        </w:rPr>
        <w:t xml:space="preserve">Plato’s father in the text’s individual-generation example. A determinate human begets another human in matter rather than producing absolute humanity. References: </w:t>
      </w:r>
      <w:hyperlink w:anchor="passage-v-13-5">
        <w:r>
          <w:rPr>
            <w:color w:val="000000"/>
          </w:rPr>
          <w:t xml:space="preserve">V.13.5</w:t>
        </w:r>
      </w:hyperlink>
      <w:r>
        <w:rPr>
          <w:b w:val="0"/>
          <w:i w:val="0"/>
        </w:rPr>
        <w:t xml:space="preserve">. See </w:t>
      </w:r>
      <w:hyperlink w:anchor="ariston-sculptor-and-painter">
        <w:r>
          <w:rPr>
            <w:color w:val="000000"/>
          </w:rPr>
          <w:t xml:space="preserve">Ariston, sculptor and painter</w:t>
        </w:r>
      </w:hyperlink>
      <w:r>
        <w:rPr>
          <w:b w:val="0"/>
          <w:i w:val="0"/>
        </w:rPr>
        <w:t>.</w:t>
      </w:r>
    </w:p>
    <w:p>
      <w:pPr>
        <w:keepNext/>
        <w:widowControl/>
      </w:pPr>
      <w:bookmarkStart w:id="364" w:name="latin-record-0123"/>
      <w:bookmarkEnd w:id="364"/>
      <w:r>
        <w:rPr>
          <w:b/>
          <w:i w:val="0"/>
        </w:rPr>
        <w:t>Aristoteles / Hippocrates</w:t>
      </w:r>
      <w:r>
        <w:rPr>
          <w:b/>
          <w:i w:val="0"/>
        </w:rPr>
        <w:t>.</w:t>
      </w:r>
      <w:r>
        <w:rPr>
          <w:b w:val="0"/>
          <w:i w:val="0"/>
        </w:rPr>
        <w:t xml:space="preserve"> Printed forms: </w:t>
      </w:r>
      <w:r>
        <w:rPr>
          <w:b w:val="0"/>
          <w:i/>
        </w:rPr>
        <w:t>Aristoteles</w:t>
      </w:r>
      <w:r>
        <w:rPr>
          <w:b w:val="0"/>
          <w:i w:val="0"/>
        </w:rPr>
        <w:t xml:space="preserve">; </w:t>
      </w:r>
      <w:r>
        <w:rPr>
          <w:b w:val="0"/>
          <w:i/>
        </w:rPr>
        <w:t>Hippocrates</w:t>
      </w:r>
      <w:r>
        <w:rPr>
          <w:b w:val="0"/>
          <w:i w:val="0"/>
        </w:rPr>
        <w:t>.</w:t>
      </w:r>
    </w:p>
    <w:p>
      <w:pPr>
        <w:widowControl/>
      </w:pPr>
      <w:r>
        <w:rPr>
          <w:b w:val="0"/>
          <w:i w:val="0"/>
        </w:rPr>
        <w:t xml:space="preserve">Authorities contrasted in knowledge of cognitive acts and bodily proportions. Ficino attributes superior understanding of sensing and intellect to Aristotle, more careful consideration of the proportions to Hippocrates.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keepNext/>
        <w:widowControl/>
      </w:pPr>
      <w:bookmarkStart w:id="365" w:name="latin-record-0124"/>
      <w:bookmarkEnd w:id="365"/>
      <w:r>
        <w:rPr>
          <w:b/>
          <w:i w:val="0"/>
        </w:rPr>
        <w:t>Aristoteles / Platonici</w:t>
      </w:r>
      <w:r>
        <w:rPr>
          <w:b/>
          <w:i w:val="0"/>
        </w:rPr>
        <w:t>.</w:t>
      </w:r>
      <w:r>
        <w:rPr>
          <w:b w:val="0"/>
          <w:i w:val="0"/>
        </w:rPr>
        <w:t xml:space="preserve"> Printed forms: </w:t>
      </w:r>
      <w:r>
        <w:rPr>
          <w:b w:val="0"/>
          <w:i/>
        </w:rPr>
        <w:t>Aristotelis</w:t>
      </w:r>
      <w:r>
        <w:rPr>
          <w:b w:val="0"/>
          <w:i w:val="0"/>
        </w:rPr>
        <w:t xml:space="preserve">; </w:t>
      </w:r>
      <w:r>
        <w:rPr>
          <w:b w:val="0"/>
          <w:i/>
        </w:rPr>
        <w:t>Platonici</w:t>
      </w:r>
      <w:r>
        <w:rPr>
          <w:b w:val="0"/>
          <w:i w:val="0"/>
        </w:rPr>
        <w:t xml:space="preserve">; </w:t>
      </w:r>
      <w:r>
        <w:rPr>
          <w:b w:val="0"/>
          <w:i/>
        </w:rPr>
        <w:t>Platonicis</w:t>
      </w:r>
      <w:r>
        <w:rPr>
          <w:b w:val="0"/>
          <w:i w:val="0"/>
        </w:rPr>
        <w:t>.</w:t>
      </w:r>
    </w:p>
    <w:p>
      <w:pPr>
        <w:widowControl/>
      </w:pPr>
      <w:r>
        <w:rPr>
          <w:b w:val="0"/>
          <w:i w:val="0"/>
        </w:rPr>
        <w:t xml:space="preserve">Aristotle and the Platonists, whose agreement and additions are explicitly differentiated. Ficino attributes the bodily-restriction argument to Aristotle, then marks further claims as Platonic additions rather than a single undifferentiated consensus. References: </w:t>
      </w:r>
      <w:hyperlink w:anchor="passage-viii-10-2">
        <w:r>
          <w:rPr>
            <w:color w:val="000000"/>
          </w:rPr>
          <w:t xml:space="preserve">VIII.10.2</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366" w:name="latin-record-0125"/>
      <w:bookmarkEnd w:id="366"/>
      <w:r>
        <w:rPr>
          <w:b/>
          <w:i w:val="0"/>
        </w:rPr>
        <w:t>Aristoxenus / Dicaearchus</w:t>
      </w:r>
      <w:r>
        <w:rPr>
          <w:b/>
          <w:i w:val="0"/>
        </w:rPr>
        <w:t>.</w:t>
      </w:r>
      <w:r>
        <w:rPr>
          <w:b w:val="0"/>
          <w:i w:val="0"/>
        </w:rPr>
        <w:t xml:space="preserve"> Printed forms: </w:t>
      </w:r>
      <w:r>
        <w:rPr>
          <w:b w:val="0"/>
          <w:i/>
        </w:rPr>
        <w:t>Aristoxenus</w:t>
      </w:r>
      <w:r>
        <w:rPr>
          <w:b w:val="0"/>
          <w:i w:val="0"/>
        </w:rPr>
        <w:t xml:space="preserve">; </w:t>
      </w:r>
      <w:r>
        <w:rPr>
          <w:b w:val="0"/>
          <w:i/>
        </w:rPr>
        <w:t>Dicaearchus</w:t>
      </w:r>
      <w:r>
        <w:rPr>
          <w:b w:val="0"/>
          <w:i w:val="0"/>
        </w:rPr>
        <w:t>.</w:t>
      </w:r>
    </w:p>
    <w:p>
      <w:pPr>
        <w:widowControl/>
      </w:pPr>
      <w:r>
        <w:rPr>
          <w:b w:val="0"/>
          <w:i w:val="0"/>
        </w:rPr>
        <w:t xml:space="preserve">The named proponents of life as temperament or something following temperament in Ficino’s report. The subsequent withdrawal and intelligible-principles arguments target this reduction of soul to bodily mixture. References: </w:t>
      </w:r>
      <w:hyperlink w:anchor="passage-v-15-8">
        <w:r>
          <w:rPr>
            <w:color w:val="000000"/>
          </w:rPr>
          <w:t xml:space="preserve">V.15.8</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367" w:name="latin-record-0126"/>
      <w:bookmarkEnd w:id="367"/>
      <w:r>
        <w:rPr>
          <w:b/>
          <w:i w:val="0"/>
        </w:rPr>
        <w:t>Aristoxenus / musici</w:t>
      </w:r>
      <w:r>
        <w:rPr>
          <w:b/>
          <w:i w:val="0"/>
        </w:rPr>
        <w:t>.</w:t>
      </w:r>
      <w:r>
        <w:rPr>
          <w:b w:val="0"/>
          <w:i w:val="0"/>
        </w:rPr>
        <w:t xml:space="preserve"> Printed forms: </w:t>
      </w:r>
      <w:r>
        <w:rPr>
          <w:b w:val="0"/>
          <w:i/>
        </w:rPr>
        <w:t>Aristoxeno</w:t>
      </w:r>
      <w:r>
        <w:rPr>
          <w:b w:val="0"/>
          <w:i w:val="0"/>
        </w:rPr>
        <w:t xml:space="preserve">; </w:t>
      </w:r>
      <w:r>
        <w:rPr>
          <w:b w:val="0"/>
          <w:i/>
        </w:rPr>
        <w:t>musicis</w:t>
      </w:r>
      <w:r>
        <w:rPr>
          <w:b w:val="0"/>
          <w:i w:val="0"/>
        </w:rPr>
        <w:t>.</w:t>
      </w:r>
    </w:p>
    <w:p>
      <w:pPr>
        <w:widowControl/>
      </w:pPr>
      <w:r>
        <w:rPr>
          <w:b w:val="0"/>
          <w:i w:val="0"/>
        </w:rPr>
        <w:t xml:space="preserve">Aristoxenus and other musicians as the attributed proponents of soul-as-harmony. The attribution is Ficino’s report; the musical dependence argument is his reason for rejecting the doctrine.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368" w:name="latin-record-0127"/>
      <w:bookmarkEnd w:id="368"/>
      <w:r>
        <w:rPr>
          <w:b/>
          <w:i w:val="0"/>
        </w:rPr>
        <w:t>ars</w:t>
      </w:r>
      <w:r>
        <w:rPr>
          <w:b/>
          <w:i w:val="0"/>
        </w:rPr>
        <w:t>.</w:t>
      </w:r>
      <w:r>
        <w:rPr>
          <w:b w:val="0"/>
          <w:i w:val="0"/>
        </w:rPr>
        <w:t xml:space="preserve"> Printed forms: </w:t>
      </w:r>
      <w:r>
        <w:rPr>
          <w:b w:val="0"/>
          <w:i/>
        </w:rPr>
        <w:t>ars</w:t>
      </w:r>
      <w:r>
        <w:rPr>
          <w:b w:val="0"/>
          <w:i w:val="0"/>
        </w:rPr>
        <w:t xml:space="preserve">; </w:t>
      </w:r>
      <w:r>
        <w:rPr>
          <w:b w:val="0"/>
          <w:i/>
        </w:rPr>
        <w:t>Ars</w:t>
      </w:r>
      <w:r>
        <w:rPr>
          <w:b w:val="0"/>
          <w:i w:val="0"/>
        </w:rPr>
        <w:t xml:space="preserve">; </w:t>
      </w:r>
      <w:r>
        <w:rPr>
          <w:b w:val="0"/>
          <w:i/>
        </w:rPr>
        <w:t>artibus</w:t>
      </w:r>
      <w:r>
        <w:rPr>
          <w:b w:val="0"/>
          <w:i w:val="0"/>
        </w:rPr>
        <w:t>.</w:t>
      </w:r>
    </w:p>
    <w:p>
      <w:pPr>
        <w:widowControl/>
      </w:pPr>
      <w:r>
        <w:rPr>
          <w:b w:val="0"/>
          <w:i w:val="0"/>
        </w:rPr>
        <w:t xml:space="preserve">Art or craft, an organized practice of making. Pottery and sculpture illustrate receiving form and realizing a prepared potency; rational art later has a cognitive rather than manual object. References: </w:t>
      </w:r>
      <w:hyperlink w:anchor="passage-v-4-1">
        <w:r>
          <w:rPr>
            <w:color w:val="000000"/>
          </w:rPr>
          <w:t xml:space="preserve">V.4.1</w:t>
        </w:r>
      </w:hyperlink>
      <w:r>
        <w:rPr>
          <w:b w:val="0"/>
          <w:i w:val="0"/>
        </w:rPr>
        <w:t xml:space="preserve">, </w:t>
      </w:r>
      <w:hyperlink w:anchor="passage-v-8-1">
        <w:r>
          <w:rPr>
            <w:color w:val="000000"/>
          </w:rPr>
          <w:t xml:space="preserve">V.8.1</w:t>
        </w:r>
      </w:hyperlink>
      <w:r>
        <w:rPr>
          <w:b w:val="0"/>
          <w:i w:val="0"/>
        </w:rPr>
        <w:t xml:space="preserve">, </w:t>
      </w:r>
      <w:hyperlink w:anchor="passage-v-13-5">
        <w:r>
          <w:rPr>
            <w:color w:val="000000"/>
          </w:rPr>
          <w:t xml:space="preserve">V.13.5</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369" w:name="latin-record-0128"/>
      <w:bookmarkEnd w:id="369"/>
      <w:r>
        <w:rPr>
          <w:b/>
          <w:i w:val="0"/>
        </w:rPr>
        <w:t>ars / instrumentum</w:t>
      </w:r>
      <w:r>
        <w:rPr>
          <w:b/>
          <w:i w:val="0"/>
        </w:rPr>
        <w:t>.</w:t>
      </w:r>
      <w:r>
        <w:rPr>
          <w:b w:val="0"/>
          <w:i w:val="0"/>
        </w:rPr>
        <w:t xml:space="preserve"> Printed forms: </w:t>
      </w:r>
      <w:r>
        <w:rPr>
          <w:b w:val="0"/>
          <w:i/>
        </w:rPr>
        <w:t>Ars</w:t>
      </w:r>
      <w:r>
        <w:rPr>
          <w:b w:val="0"/>
          <w:i w:val="0"/>
        </w:rPr>
        <w:t xml:space="preserve">; </w:t>
      </w:r>
      <w:r>
        <w:rPr>
          <w:b w:val="0"/>
          <w:i/>
        </w:rPr>
        <w:t>artificiosam</w:t>
      </w:r>
      <w:r>
        <w:rPr>
          <w:b w:val="0"/>
          <w:i w:val="0"/>
        </w:rPr>
        <w:t xml:space="preserve">; </w:t>
      </w:r>
      <w:r>
        <w:rPr>
          <w:b w:val="0"/>
          <w:i/>
        </w:rPr>
        <w:t>artis</w:t>
      </w:r>
      <w:r>
        <w:rPr>
          <w:b w:val="0"/>
          <w:i w:val="0"/>
        </w:rPr>
        <w:t xml:space="preserve">; </w:t>
      </w:r>
      <w:r>
        <w:rPr>
          <w:b w:val="0"/>
          <w:i/>
        </w:rPr>
        <w:t>instrumenta</w:t>
      </w:r>
      <w:r>
        <w:rPr>
          <w:b w:val="0"/>
          <w:i w:val="0"/>
        </w:rPr>
        <w:t>.</w:t>
      </w:r>
    </w:p>
    <w:p>
      <w:pPr>
        <w:widowControl/>
      </w:pPr>
      <w:r>
        <w:rPr>
          <w:b w:val="0"/>
          <w:i w:val="0"/>
        </w:rPr>
        <w:t xml:space="preserve">Art or skill and the tools through which it is exercised. One art can remain unchanged while its instruments become more or less fitted to its operation, as soul’s bodily organs do.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370" w:name="latin-record-0129"/>
      <w:bookmarkEnd w:id="370"/>
      <w:r>
        <w:rPr>
          <w:b/>
          <w:i w:val="0"/>
        </w:rPr>
        <w:t>ars ratiocinandi</w:t>
      </w:r>
      <w:r>
        <w:rPr>
          <w:b/>
          <w:i w:val="0"/>
        </w:rPr>
        <w:t>.</w:t>
      </w:r>
      <w:r>
        <w:rPr>
          <w:b w:val="0"/>
          <w:i w:val="0"/>
        </w:rPr>
        <w:t xml:space="preserve"> Printed forms: </w:t>
      </w:r>
      <w:r>
        <w:rPr>
          <w:b w:val="0"/>
          <w:i/>
        </w:rPr>
        <w:t>ars consistit ratiocinandi</w:t>
      </w:r>
      <w:r>
        <w:rPr>
          <w:b w:val="0"/>
          <w:i w:val="0"/>
        </w:rPr>
        <w:t xml:space="preserve">; </w:t>
      </w:r>
      <w:r>
        <w:rPr>
          <w:b w:val="0"/>
          <w:i/>
        </w:rPr>
        <w:t>ars rationalis</w:t>
      </w:r>
      <w:r>
        <w:rPr>
          <w:b w:val="0"/>
          <w:i w:val="0"/>
        </w:rPr>
        <w:t xml:space="preserve">; </w:t>
      </w:r>
      <w:r>
        <w:rPr>
          <w:b w:val="0"/>
          <w:i/>
        </w:rPr>
        <w:t>ratio illa artificiosa</w:t>
      </w:r>
      <w:r>
        <w:rPr>
          <w:b w:val="0"/>
          <w:i w:val="0"/>
        </w:rPr>
        <w:t xml:space="preserve">; </w:t>
      </w:r>
      <w:r>
        <w:rPr>
          <w:b w:val="0"/>
          <w:i/>
        </w:rPr>
        <w:t>rationum coetus</w:t>
      </w:r>
      <w:r>
        <w:rPr>
          <w:b w:val="0"/>
          <w:i w:val="0"/>
        </w:rPr>
        <w:t>.</w:t>
      </w:r>
    </w:p>
    <w:p>
      <w:pPr>
        <w:widowControl/>
      </w:pPr>
      <w:r>
        <w:rPr>
          <w:b w:val="0"/>
          <w:i w:val="0"/>
        </w:rPr>
        <w:t xml:space="preserve">The art of reasoning, an organized gathering of intelligible principles. Its alleged inseparability from mind supports the first alternative in the mind/intelligibles division. References: </w:t>
      </w:r>
      <w:hyperlink w:anchor="passage-v-15-15">
        <w:r>
          <w:rPr>
            <w:color w:val="000000"/>
          </w:rPr>
          <w:t xml:space="preserve">V.15.15</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371" w:name="latin-record-0130"/>
      <w:bookmarkEnd w:id="371"/>
      <w:r>
        <w:rPr>
          <w:b/>
          <w:i w:val="0"/>
        </w:rPr>
        <w:t>artifex / pedissequa / officium</w:t>
      </w:r>
      <w:r>
        <w:rPr>
          <w:b/>
          <w:i w:val="0"/>
        </w:rPr>
        <w:t>.</w:t>
      </w:r>
      <w:r>
        <w:rPr>
          <w:b w:val="0"/>
          <w:i w:val="0"/>
        </w:rPr>
        <w:t xml:space="preserve"> Printed forms: </w:t>
      </w:r>
      <w:r>
        <w:rPr>
          <w:b w:val="0"/>
          <w:i/>
        </w:rPr>
        <w:t>artifex</w:t>
      </w:r>
      <w:r>
        <w:rPr>
          <w:b w:val="0"/>
          <w:i w:val="0"/>
        </w:rPr>
        <w:t xml:space="preserve">; </w:t>
      </w:r>
      <w:r>
        <w:rPr>
          <w:b w:val="0"/>
          <w:i/>
        </w:rPr>
        <w:t>officia</w:t>
      </w:r>
      <w:r>
        <w:rPr>
          <w:b w:val="0"/>
          <w:i w:val="0"/>
        </w:rPr>
        <w:t xml:space="preserve">; </w:t>
      </w:r>
      <w:r>
        <w:rPr>
          <w:b w:val="0"/>
          <w:i/>
        </w:rPr>
        <w:t>pedissequa</w:t>
      </w:r>
      <w:r>
        <w:rPr>
          <w:b w:val="0"/>
          <w:i w:val="0"/>
        </w:rPr>
        <w:t>.</w:t>
      </w:r>
    </w:p>
    <w:p>
      <w:pPr>
        <w:widowControl/>
      </w:pPr>
      <w:r>
        <w:rPr>
          <w:b w:val="0"/>
          <w:i w:val="0"/>
        </w:rPr>
        <w:t xml:space="preserve">Craftsman, handmaid and function or office. Soul is the productive maker of body with nutritive and sensory offices, rather than a dependent attendant arriving after bodily formation.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372" w:name="latin-record-0131"/>
      <w:bookmarkEnd w:id="372"/>
      <w:r>
        <w:rPr>
          <w:b/>
          <w:i w:val="0"/>
        </w:rPr>
        <w:t>artifex stabilissimus</w:t>
      </w:r>
      <w:r>
        <w:rPr>
          <w:b/>
          <w:i w:val="0"/>
        </w:rPr>
        <w:t>.</w:t>
      </w:r>
      <w:r>
        <w:rPr>
          <w:b w:val="0"/>
          <w:i w:val="0"/>
        </w:rPr>
        <w:t xml:space="preserve"> Printed forms: </w:t>
      </w:r>
      <w:r>
        <w:rPr>
          <w:b w:val="0"/>
          <w:i/>
        </w:rPr>
        <w:t>artifice stabilissimo</w:t>
      </w:r>
      <w:r>
        <w:rPr>
          <w:b w:val="0"/>
          <w:i w:val="0"/>
        </w:rPr>
        <w:t xml:space="preserve">; </w:t>
      </w:r>
      <w:r>
        <w:rPr>
          <w:b w:val="0"/>
          <w:i/>
        </w:rPr>
        <w:t>interius fabricante</w:t>
      </w:r>
      <w:r>
        <w:rPr>
          <w:b w:val="0"/>
          <w:i w:val="0"/>
        </w:rPr>
        <w:t>.</w:t>
      </w:r>
    </w:p>
    <w:p>
      <w:pPr>
        <w:widowControl/>
      </w:pPr>
      <w:r>
        <w:rPr>
          <w:b w:val="0"/>
          <w:i w:val="0"/>
        </w:rPr>
        <w:t xml:space="preserve">A supremely stable craftsman working within. The repeated bodily likeness is explained by a source that remains the same while the matter is renewed. References: </w:t>
      </w:r>
      <w:hyperlink w:anchor="passage-vi-13-9">
        <w:r>
          <w:rPr>
            <w:color w:val="000000"/>
          </w:rPr>
          <w:t xml:space="preserve">VI.13.9</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373" w:name="latin-record-0132"/>
      <w:bookmarkEnd w:id="373"/>
      <w:r>
        <w:rPr>
          <w:b/>
          <w:i w:val="0"/>
        </w:rPr>
        <w:t>ascendere / descendere</w:t>
      </w:r>
      <w:r>
        <w:rPr>
          <w:b/>
          <w:i w:val="0"/>
        </w:rPr>
        <w:t>.</w:t>
      </w:r>
      <w:r>
        <w:rPr>
          <w:b w:val="0"/>
          <w:i w:val="0"/>
        </w:rPr>
        <w:t xml:space="preserve"> Printed forms: </w:t>
      </w:r>
      <w:r>
        <w:rPr>
          <w:b w:val="0"/>
          <w:i/>
        </w:rPr>
        <w:t>ascendamus</w:t>
      </w:r>
      <w:r>
        <w:rPr>
          <w:b w:val="0"/>
          <w:i w:val="0"/>
        </w:rPr>
        <w:t xml:space="preserve">; </w:t>
      </w:r>
      <w:r>
        <w:rPr>
          <w:b w:val="0"/>
          <w:i/>
        </w:rPr>
        <w:t>ascendere</w:t>
      </w:r>
      <w:r>
        <w:rPr>
          <w:b w:val="0"/>
          <w:i w:val="0"/>
        </w:rPr>
        <w:t xml:space="preserve">; </w:t>
      </w:r>
      <w:r>
        <w:rPr>
          <w:b w:val="0"/>
          <w:i/>
        </w:rPr>
        <w:t>ascendimus</w:t>
      </w:r>
      <w:r>
        <w:rPr>
          <w:b w:val="0"/>
          <w:i w:val="0"/>
        </w:rPr>
        <w:t xml:space="preserve">; </w:t>
      </w:r>
      <w:r>
        <w:rPr>
          <w:b w:val="0"/>
          <w:i/>
        </w:rPr>
        <w:t>ascendit</w:t>
      </w:r>
      <w:r>
        <w:rPr>
          <w:b w:val="0"/>
          <w:i w:val="0"/>
        </w:rPr>
        <w:t xml:space="preserve">; </w:t>
      </w:r>
      <w:r>
        <w:rPr>
          <w:b w:val="0"/>
          <w:i/>
        </w:rPr>
        <w:t>descendit</w:t>
      </w:r>
      <w:r>
        <w:rPr>
          <w:b w:val="0"/>
          <w:i w:val="0"/>
        </w:rPr>
        <w:t xml:space="preserve">; </w:t>
      </w:r>
      <w:r>
        <w:rPr>
          <w:b w:val="0"/>
          <w:i/>
        </w:rPr>
        <w:t>gradatim</w:t>
      </w:r>
      <w:r>
        <w:rPr>
          <w:b w:val="0"/>
          <w:i w:val="0"/>
        </w:rPr>
        <w:t xml:space="preserve">; </w:t>
      </w:r>
      <w:r>
        <w:rPr>
          <w:b w:val="0"/>
          <w:i/>
        </w:rPr>
        <w:t>gradibus</w:t>
      </w:r>
      <w:r>
        <w:rPr>
          <w:b w:val="0"/>
          <w:i w:val="0"/>
        </w:rPr>
        <w:t>.</w:t>
      </w:r>
    </w:p>
    <w:p>
      <w:pPr>
        <w:widowControl/>
      </w:pPr>
      <w:r>
        <w:rPr>
          <w:b w:val="0"/>
          <w:i w:val="0"/>
        </w:rPr>
        <w:t xml:space="preserve">To ascend or descend, spatially in elemental examples and hierarchically in soul’s relation to Ideas or body. Natural order and cognitive ascent do not require a literal journey to a physically higher place. References: </w:t>
      </w:r>
      <w:hyperlink w:anchor="passage-v-4-4">
        <w:r>
          <w:rPr>
            <w:color w:val="000000"/>
          </w:rPr>
          <w:t xml:space="preserve">V.4.4</w:t>
        </w:r>
      </w:hyperlink>
      <w:r>
        <w:rPr>
          <w:b w:val="0"/>
          <w:i w:val="0"/>
        </w:rPr>
        <w:t xml:space="preserve">, </w:t>
      </w:r>
      <w:hyperlink w:anchor="passage-v-5-4">
        <w:r>
          <w:rPr>
            <w:color w:val="000000"/>
          </w:rPr>
          <w:t xml:space="preserve">V.5.4</w:t>
        </w:r>
      </w:hyperlink>
      <w:r>
        <w:rPr>
          <w:b w:val="0"/>
          <w:i w:val="0"/>
        </w:rPr>
        <w:t xml:space="preserve">, </w:t>
      </w:r>
      <w:hyperlink w:anchor="passage-v-12-14">
        <w:r>
          <w:rPr>
            <w:color w:val="000000"/>
          </w:rPr>
          <w:t xml:space="preserve">V.12.14</w:t>
        </w:r>
      </w:hyperlink>
      <w:r>
        <w:rPr>
          <w:b w:val="0"/>
          <w:i w:val="0"/>
        </w:rPr>
        <w:t xml:space="preserve">, </w:t>
      </w:r>
      <w:hyperlink w:anchor="passage-v-15-6">
        <w:r>
          <w:rPr>
            <w:color w:val="000000"/>
          </w:rPr>
          <w:t xml:space="preserve">V.15.6</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widowControl/>
      </w:pPr>
      <w:r>
        <w:rPr>
          <w:b w:val="0"/>
          <w:i w:val="0"/>
        </w:rPr>
        <w:t xml:space="preserve">Ascending and descending through ordered grades or levels of generality. Mind moves from many individuals toward divine unity and back toward multiplicity; the process is explanatory rather than bodily travel. References: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374" w:name="latin-record-0133"/>
      <w:bookmarkEnd w:id="374"/>
      <w:r>
        <w:rPr>
          <w:b/>
          <w:i w:val="0"/>
        </w:rPr>
        <w:t>ascendere / surgere / evolare</w:t>
      </w:r>
      <w:r>
        <w:rPr>
          <w:b/>
          <w:i w:val="0"/>
        </w:rPr>
        <w:t>.</w:t>
      </w:r>
      <w:r>
        <w:rPr>
          <w:b w:val="0"/>
          <w:i w:val="0"/>
        </w:rPr>
        <w:t xml:space="preserve"> Printed forms: </w:t>
      </w:r>
      <w:r>
        <w:rPr>
          <w:b w:val="0"/>
          <w:i/>
        </w:rPr>
        <w:t>ascendimus</w:t>
      </w:r>
      <w:r>
        <w:rPr>
          <w:b w:val="0"/>
          <w:i w:val="0"/>
        </w:rPr>
        <w:t xml:space="preserve">; </w:t>
      </w:r>
      <w:r>
        <w:rPr>
          <w:b w:val="0"/>
          <w:i/>
        </w:rPr>
        <w:t>ascendit</w:t>
      </w:r>
      <w:r>
        <w:rPr>
          <w:b w:val="0"/>
          <w:i w:val="0"/>
        </w:rPr>
        <w:t xml:space="preserve">; </w:t>
      </w:r>
      <w:r>
        <w:rPr>
          <w:b w:val="0"/>
          <w:i/>
        </w:rPr>
        <w:t>Ascendit</w:t>
      </w:r>
      <w:r>
        <w:rPr>
          <w:b w:val="0"/>
          <w:i w:val="0"/>
        </w:rPr>
        <w:t xml:space="preserve">; </w:t>
      </w:r>
      <w:r>
        <w:rPr>
          <w:b w:val="0"/>
          <w:i/>
        </w:rPr>
        <w:t>evolat</w:t>
      </w:r>
      <w:r>
        <w:rPr>
          <w:b w:val="0"/>
          <w:i w:val="0"/>
        </w:rPr>
        <w:t xml:space="preserve">; </w:t>
      </w:r>
      <w:r>
        <w:rPr>
          <w:b w:val="0"/>
          <w:i/>
        </w:rPr>
        <w:t>surgendum</w:t>
      </w:r>
      <w:r>
        <w:rPr>
          <w:b w:val="0"/>
          <w:i w:val="0"/>
        </w:rPr>
        <w:t xml:space="preserve">; </w:t>
      </w:r>
      <w:r>
        <w:rPr>
          <w:b w:val="0"/>
          <w:i/>
        </w:rPr>
        <w:t>surgimus</w:t>
      </w:r>
      <w:r>
        <w:rPr>
          <w:b w:val="0"/>
          <w:i w:val="0"/>
        </w:rPr>
        <w:t xml:space="preserve">; </w:t>
      </w:r>
      <w:r>
        <w:rPr>
          <w:b w:val="0"/>
          <w:i/>
        </w:rPr>
        <w:t>Surgitque</w:t>
      </w:r>
      <w:r>
        <w:rPr>
          <w:b w:val="0"/>
          <w:i w:val="0"/>
        </w:rPr>
        <w:t>.</w:t>
      </w:r>
    </w:p>
    <w:p>
      <w:pPr>
        <w:widowControl/>
      </w:pPr>
      <w:r>
        <w:rPr>
          <w:b w:val="0"/>
          <w:i w:val="0"/>
        </w:rPr>
        <w:t xml:space="preserve">Ascending, rising and soaring, spatial images for increased freedom from material restriction. The faculties progress from body toward spirit, but phantasy has not yet wholly soared beyond matter.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375" w:name="latin-record-0134"/>
      <w:bookmarkEnd w:id="375"/>
      <w:r>
        <w:rPr>
          <w:b/>
          <w:i w:val="0"/>
        </w:rPr>
        <w:t>ascensio; descensio</w:t>
      </w:r>
      <w:r>
        <w:rPr>
          <w:b/>
          <w:i w:val="0"/>
        </w:rPr>
        <w:t>.</w:t>
      </w:r>
      <w:r>
        <w:rPr>
          <w:b w:val="0"/>
          <w:i w:val="0"/>
        </w:rPr>
        <w:t xml:space="preserve"> Printed forms: </w:t>
      </w:r>
      <w:r>
        <w:rPr>
          <w:b w:val="0"/>
          <w:i/>
        </w:rPr>
        <w:t>causas medias</w:t>
      </w:r>
      <w:r>
        <w:rPr>
          <w:b w:val="0"/>
          <w:i w:val="0"/>
        </w:rPr>
        <w:t xml:space="preserve">; </w:t>
      </w:r>
      <w:r>
        <w:rPr>
          <w:b w:val="0"/>
          <w:i/>
        </w:rPr>
        <w:t>descensio</w:t>
      </w:r>
      <w:r>
        <w:rPr>
          <w:b w:val="0"/>
          <w:i w:val="0"/>
        </w:rPr>
        <w:t xml:space="preserve">; </w:t>
      </w:r>
      <w:r>
        <w:rPr>
          <w:b w:val="0"/>
          <w:i/>
        </w:rPr>
        <w:t>temporalis ascensio</w:t>
      </w:r>
      <w:r>
        <w:rPr>
          <w:b w:val="0"/>
          <w:i w:val="0"/>
        </w:rPr>
        <w:t>.</w:t>
      </w:r>
    </w:p>
    <w:p>
      <w:pPr>
        <w:widowControl/>
      </w:pPr>
      <w:r>
        <w:rPr>
          <w:b w:val="0"/>
          <w:i w:val="0"/>
        </w:rPr>
        <w:t xml:space="preserve">An ascent and descent through intermediate causes. Thought goes from lowest effects to highest principles and back, preserving causal order in both directions. References: </w:t>
      </w:r>
      <w:hyperlink w:anchor="passage-vi-12-17">
        <w:r>
          <w:rPr>
            <w:color w:val="000000"/>
          </w:rPr>
          <w:t xml:space="preserve">VI.12.17</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376" w:name="latin-record-0135"/>
      <w:bookmarkEnd w:id="376"/>
      <w:r>
        <w:rPr>
          <w:b/>
          <w:i w:val="0"/>
        </w:rPr>
        <w:t>aspectus / respectus</w:t>
      </w:r>
      <w:r>
        <w:rPr>
          <w:b/>
          <w:i w:val="0"/>
        </w:rPr>
        <w:t>.</w:t>
      </w:r>
      <w:r>
        <w:rPr>
          <w:b w:val="0"/>
          <w:i w:val="0"/>
        </w:rPr>
        <w:t xml:space="preserve"> Printed forms: </w:t>
      </w:r>
      <w:r>
        <w:rPr>
          <w:b w:val="0"/>
          <w:i/>
        </w:rPr>
        <w:t>aspectu</w:t>
      </w:r>
      <w:r>
        <w:rPr>
          <w:b w:val="0"/>
          <w:i w:val="0"/>
        </w:rPr>
        <w:t xml:space="preserve">; </w:t>
      </w:r>
      <w:r>
        <w:rPr>
          <w:b w:val="0"/>
          <w:i/>
        </w:rPr>
        <w:t>aspectum</w:t>
      </w:r>
      <w:r>
        <w:rPr>
          <w:b w:val="0"/>
          <w:i w:val="0"/>
        </w:rPr>
        <w:t xml:space="preserve">; </w:t>
      </w:r>
      <w:r>
        <w:rPr>
          <w:b w:val="0"/>
          <w:i/>
        </w:rPr>
        <w:t>respectibus</w:t>
      </w:r>
      <w:r>
        <w:rPr>
          <w:b w:val="0"/>
          <w:i w:val="0"/>
        </w:rPr>
        <w:t xml:space="preserve">; </w:t>
      </w:r>
      <w:r>
        <w:rPr>
          <w:b w:val="0"/>
          <w:i/>
        </w:rPr>
        <w:t>respectus</w:t>
      </w:r>
      <w:r>
        <w:rPr>
          <w:b w:val="0"/>
          <w:i w:val="0"/>
        </w:rPr>
        <w:t xml:space="preserve">; </w:t>
      </w:r>
      <w:r>
        <w:rPr>
          <w:b w:val="0"/>
          <w:i/>
        </w:rPr>
        <w:t>respiciat</w:t>
      </w:r>
      <w:r>
        <w:rPr>
          <w:b w:val="0"/>
          <w:i w:val="0"/>
        </w:rPr>
        <w:t>.</w:t>
      </w:r>
    </w:p>
    <w:p>
      <w:pPr>
        <w:widowControl/>
      </w:pPr>
      <w:r>
        <w:rPr>
          <w:b w:val="0"/>
          <w:i w:val="0"/>
        </w:rPr>
        <w:t xml:space="preserve">The regard or reference by which an intellectual form represents an essence. The threefold test asks whether no parts, some parts or all parts refer, then whether their references duplicate or divide the object. References: </w:t>
      </w:r>
      <w:hyperlink w:anchor="passage-viii-4-9">
        <w:r>
          <w:rPr>
            <w:color w:val="000000"/>
          </w:rPr>
          <w:t xml:space="preserve">VIII.4.9</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377" w:name="latin-record-0136"/>
      <w:bookmarkEnd w:id="377"/>
      <w:r>
        <w:rPr>
          <w:b/>
          <w:i w:val="0"/>
        </w:rPr>
        <w:t>aspicere; despicere</w:t>
      </w:r>
      <w:r>
        <w:rPr>
          <w:b/>
          <w:i w:val="0"/>
        </w:rPr>
        <w:t>.</w:t>
      </w:r>
      <w:r>
        <w:rPr>
          <w:b w:val="0"/>
          <w:i w:val="0"/>
        </w:rPr>
        <w:t xml:space="preserve"> Printed forms: </w:t>
      </w:r>
      <w:r>
        <w:rPr>
          <w:b w:val="0"/>
          <w:i/>
        </w:rPr>
        <w:t>aspiciant</w:t>
      </w:r>
      <w:r>
        <w:rPr>
          <w:b w:val="0"/>
          <w:i w:val="0"/>
        </w:rPr>
        <w:t xml:space="preserve">; </w:t>
      </w:r>
      <w:r>
        <w:rPr>
          <w:b w:val="0"/>
          <w:i/>
        </w:rPr>
        <w:t>despiciant</w:t>
      </w:r>
      <w:r>
        <w:rPr>
          <w:b w:val="0"/>
          <w:i w:val="0"/>
        </w:rPr>
        <w:t>.</w:t>
      </w:r>
    </w:p>
    <w:p>
      <w:pPr>
        <w:widowControl/>
      </w:pPr>
      <w:r>
        <w:rPr>
          <w:b w:val="0"/>
          <w:i w:val="0"/>
        </w:rPr>
        <w:t xml:space="preserve">Aspicere means to look toward; despicere means to look down upon. Despicere refers to looking down upon life communicated to the body; aspicere refers to looking toward the soul’s own inward life. The specific antecedents govern the paired verbs in VI.2.10. References: </w:t>
      </w:r>
      <w:hyperlink w:anchor="passage-vi-2-10">
        <w:r>
          <w:rPr>
            <w:color w:val="000000"/>
          </w:rPr>
          <w:t xml:space="preserve">VI.2.10</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keepNext/>
        <w:widowControl/>
      </w:pPr>
      <w:bookmarkStart w:id="378" w:name="latin-record-0137"/>
      <w:bookmarkEnd w:id="378"/>
      <w:r>
        <w:rPr>
          <w:b/>
          <w:i w:val="0"/>
        </w:rPr>
        <w:t>assentiri; opinari; arbitrari</w:t>
      </w:r>
      <w:r>
        <w:rPr>
          <w:b/>
          <w:i w:val="0"/>
        </w:rPr>
        <w:t>.</w:t>
      </w:r>
      <w:r>
        <w:rPr>
          <w:b w:val="0"/>
          <w:i w:val="0"/>
        </w:rPr>
        <w:t xml:space="preserve"> Printed forms: </w:t>
      </w:r>
      <w:r>
        <w:rPr>
          <w:b w:val="0"/>
          <w:i/>
        </w:rPr>
        <w:t>Arbitror</w:t>
      </w:r>
      <w:r>
        <w:rPr>
          <w:b w:val="0"/>
          <w:i w:val="0"/>
        </w:rPr>
        <w:t xml:space="preserve">; </w:t>
      </w:r>
      <w:r>
        <w:rPr>
          <w:b w:val="0"/>
          <w:i/>
        </w:rPr>
        <w:t>Assentior</w:t>
      </w:r>
      <w:r>
        <w:rPr>
          <w:b w:val="0"/>
          <w:i w:val="0"/>
        </w:rPr>
        <w:t xml:space="preserve">; </w:t>
      </w:r>
      <w:r>
        <w:rPr>
          <w:b w:val="0"/>
          <w:i/>
        </w:rPr>
        <w:t>Opinor</w:t>
      </w:r>
      <w:r>
        <w:rPr>
          <w:b w:val="0"/>
          <w:i w:val="0"/>
        </w:rPr>
        <w:t>.</w:t>
      </w:r>
    </w:p>
    <w:p>
      <w:pPr>
        <w:widowControl/>
      </w:pPr>
      <w:r>
        <w:rPr>
          <w:b w:val="0"/>
          <w:i w:val="0"/>
        </w:rPr>
        <w:t xml:space="preserve">To assent, hold an opinion, or judge; here they mark different degrees of commitment. Cavalcanti accepts the general hierarchy, regards the human soul’s placement as probable, and withholds firm assertion pending refutation of rivals.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379" w:name="latin-record-0138"/>
      <w:bookmarkEnd w:id="379"/>
      <w:r>
        <w:rPr>
          <w:b/>
          <w:i w:val="0"/>
        </w:rPr>
        <w:t>assidue / naturaliter / interius</w:t>
      </w:r>
      <w:r>
        <w:rPr>
          <w:b/>
          <w:i w:val="0"/>
        </w:rPr>
        <w:t>.</w:t>
      </w:r>
      <w:r>
        <w:rPr>
          <w:b w:val="0"/>
          <w:i w:val="0"/>
        </w:rPr>
        <w:t xml:space="preserve"> Printed forms: </w:t>
      </w:r>
      <w:r>
        <w:rPr>
          <w:b w:val="0"/>
          <w:i/>
        </w:rPr>
        <w:t>assidue</w:t>
      </w:r>
      <w:r>
        <w:rPr>
          <w:b w:val="0"/>
          <w:i w:val="0"/>
        </w:rPr>
        <w:t xml:space="preserve">; </w:t>
      </w:r>
      <w:r>
        <w:rPr>
          <w:b w:val="0"/>
          <w:i/>
        </w:rPr>
        <w:t>interius</w:t>
      </w:r>
      <w:r>
        <w:rPr>
          <w:b w:val="0"/>
          <w:i w:val="0"/>
        </w:rPr>
        <w:t xml:space="preserve">; </w:t>
      </w:r>
      <w:r>
        <w:rPr>
          <w:b w:val="0"/>
          <w:i/>
        </w:rPr>
        <w:t>latente</w:t>
      </w:r>
      <w:r>
        <w:rPr>
          <w:b w:val="0"/>
          <w:i w:val="0"/>
        </w:rPr>
        <w:t xml:space="preserve">; </w:t>
      </w:r>
      <w:r>
        <w:rPr>
          <w:b w:val="0"/>
          <w:i/>
        </w:rPr>
        <w:t>naturaliter</w:t>
      </w:r>
      <w:r>
        <w:rPr>
          <w:b w:val="0"/>
          <w:i w:val="0"/>
        </w:rPr>
        <w:t>.</w:t>
      </w:r>
    </w:p>
    <w:p>
      <w:pPr>
        <w:widowControl/>
      </w:pPr>
      <w:r>
        <w:rPr>
          <w:b w:val="0"/>
          <w:i w:val="0"/>
        </w:rPr>
        <w:t xml:space="preserve">Continually, naturally and inwardly. These qualifiers explain why the vital organization requires an operative inner power, not merely a one-time external arrangement.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380" w:name="latin-record-0139"/>
      <w:bookmarkEnd w:id="380"/>
      <w:r>
        <w:rPr>
          <w:b/>
          <w:i w:val="0"/>
        </w:rPr>
        <w:t>assignare (assigned nature)</w:t>
      </w:r>
      <w:r>
        <w:rPr>
          <w:b/>
          <w:i w:val="0"/>
        </w:rPr>
        <w:t>.</w:t>
      </w:r>
      <w:r>
        <w:rPr>
          <w:b w:val="0"/>
          <w:i w:val="0"/>
        </w:rPr>
        <w:t xml:space="preserve"> Printed forms: </w:t>
      </w:r>
      <w:r>
        <w:rPr>
          <w:b w:val="0"/>
          <w:i/>
        </w:rPr>
        <w:t>assignata</w:t>
      </w:r>
      <w:r>
        <w:rPr>
          <w:b w:val="0"/>
          <w:i w:val="0"/>
        </w:rPr>
        <w:t xml:space="preserve">; </w:t>
      </w:r>
      <w:r>
        <w:rPr>
          <w:b w:val="0"/>
          <w:i/>
        </w:rPr>
        <w:t>assignavit</w:t>
      </w:r>
      <w:r>
        <w:rPr>
          <w:b w:val="0"/>
          <w:i w:val="0"/>
        </w:rPr>
        <w:t>.</w:t>
      </w:r>
    </w:p>
    <w:p>
      <w:pPr>
        <w:widowControl/>
      </w:pPr>
      <w:r>
        <w:rPr>
          <w:b w:val="0"/>
          <w:i w:val="0"/>
        </w:rPr>
        <w:t xml:space="preserve">To assign or allot a nature or mode of subsistence. The maker assigns material form the nature of inhering in matter, while separate form has the nature of adhering to itself. What belongs per se consequently depends upon the particular nature assigned; the expression does not remove dependence on the maker. References: </w:t>
      </w:r>
      <w:hyperlink w:anchor="passage-v-9-2">
        <w:r>
          <w:rPr>
            <w:color w:val="000000"/>
          </w:rPr>
          <w:t xml:space="preserve">V.9.2</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381" w:name="latin-record-0140"/>
      <w:bookmarkEnd w:id="381"/>
      <w:r>
        <w:rPr>
          <w:b/>
          <w:i w:val="0"/>
        </w:rPr>
        <w:t>assignare; residere; gubernare</w:t>
      </w:r>
      <w:r>
        <w:rPr>
          <w:b/>
          <w:i w:val="0"/>
        </w:rPr>
        <w:t>.</w:t>
      </w:r>
      <w:r>
        <w:rPr>
          <w:b w:val="0"/>
          <w:i w:val="0"/>
        </w:rPr>
        <w:t xml:space="preserve"> Printed forms: </w:t>
      </w:r>
      <w:r>
        <w:rPr>
          <w:b w:val="0"/>
          <w:i/>
        </w:rPr>
        <w:t>assignatum</w:t>
      </w:r>
      <w:r>
        <w:rPr>
          <w:b w:val="0"/>
          <w:i w:val="0"/>
        </w:rPr>
        <w:t xml:space="preserve">; </w:t>
      </w:r>
      <w:r>
        <w:rPr>
          <w:b w:val="0"/>
          <w:i/>
        </w:rPr>
        <w:t>gubernans</w:t>
      </w:r>
      <w:r>
        <w:rPr>
          <w:b w:val="0"/>
          <w:i w:val="0"/>
        </w:rPr>
        <w:t xml:space="preserve">; </w:t>
      </w:r>
      <w:r>
        <w:rPr>
          <w:b w:val="0"/>
          <w:i/>
        </w:rPr>
        <w:t>residens</w:t>
      </w:r>
      <w:r>
        <w:rPr>
          <w:b w:val="0"/>
          <w:i w:val="0"/>
        </w:rPr>
        <w:t>.</w:t>
      </w:r>
    </w:p>
    <w:p>
      <w:pPr>
        <w:widowControl/>
      </w:pPr>
      <w:r>
        <w:rPr>
          <w:b w:val="0"/>
          <w:i w:val="0"/>
        </w:rPr>
        <w:t xml:space="preserve">To assign a seat, reside there, and govern from it. The sequence gives the localized principle its place and delegated control over other members. References: </w:t>
      </w:r>
      <w:hyperlink w:anchor="passage-vi-1-4">
        <w:r>
          <w:rPr>
            <w:color w:val="000000"/>
          </w:rPr>
          <w:t xml:space="preserve">VI.1.4</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382" w:name="latin-record-0141"/>
      <w:bookmarkEnd w:id="382"/>
      <w:r>
        <w:rPr>
          <w:b/>
          <w:i w:val="0"/>
        </w:rPr>
        <w:t>astringere / alligare</w:t>
      </w:r>
      <w:r>
        <w:rPr>
          <w:b/>
          <w:i w:val="0"/>
        </w:rPr>
        <w:t>.</w:t>
      </w:r>
      <w:r>
        <w:rPr>
          <w:b w:val="0"/>
          <w:i w:val="0"/>
        </w:rPr>
        <w:t xml:space="preserve"> Printed forms: </w:t>
      </w:r>
      <w:r>
        <w:rPr>
          <w:b w:val="0"/>
          <w:i/>
        </w:rPr>
        <w:t>alligatur</w:t>
      </w:r>
      <w:r>
        <w:rPr>
          <w:b w:val="0"/>
          <w:i w:val="0"/>
        </w:rPr>
        <w:t xml:space="preserve">; </w:t>
      </w:r>
      <w:r>
        <w:rPr>
          <w:b w:val="0"/>
          <w:i/>
        </w:rPr>
        <w:t>astricta</w:t>
      </w:r>
      <w:r>
        <w:rPr>
          <w:b w:val="0"/>
          <w:i w:val="0"/>
        </w:rPr>
        <w:t xml:space="preserve">; </w:t>
      </w:r>
      <w:r>
        <w:rPr>
          <w:b w:val="0"/>
          <w:i/>
        </w:rPr>
        <w:t>astrictum</w:t>
      </w:r>
      <w:r>
        <w:rPr>
          <w:b w:val="0"/>
          <w:i w:val="0"/>
        </w:rPr>
        <w:t xml:space="preserve">; </w:t>
      </w:r>
      <w:r>
        <w:rPr>
          <w:b w:val="0"/>
          <w:i/>
        </w:rPr>
        <w:t>astringuntur</w:t>
      </w:r>
      <w:r>
        <w:rPr>
          <w:b w:val="0"/>
          <w:i w:val="0"/>
        </w:rPr>
        <w:t>.</w:t>
      </w:r>
    </w:p>
    <w:p>
      <w:pPr>
        <w:widowControl/>
      </w:pPr>
      <w:r>
        <w:rPr>
          <w:b w:val="0"/>
          <w:i w:val="0"/>
        </w:rPr>
        <w:t xml:space="preserve">Binding or restricting something to material conditions. Even a universal form would be particularized in a corporeal receiver; natural universality is used to deny such confinement of mind. References: </w:t>
      </w:r>
      <w:hyperlink w:anchor="passage-viii-8-1">
        <w:r>
          <w:rPr>
            <w:color w:val="000000"/>
          </w:rPr>
          <w:t xml:space="preserve">VIII.8.1</w:t>
        </w:r>
      </w:hyperlink>
      <w:r>
        <w:rPr>
          <w:b w:val="0"/>
          <w:i w:val="0"/>
        </w:rPr>
        <w:t xml:space="preserve">, </w:t>
      </w:r>
      <w:hyperlink w:anchor="passage-viii-8-2">
        <w:r>
          <w:rPr>
            <w:color w:val="000000"/>
          </w:rPr>
          <w:t xml:space="preserve">VIII.8.2</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383" w:name="latin-record-0142"/>
      <w:bookmarkEnd w:id="383"/>
      <w:r>
        <w:rPr>
          <w:b/>
          <w:i w:val="0"/>
        </w:rPr>
        <w:t>attentio / attentior</w:t>
      </w:r>
      <w:r>
        <w:rPr>
          <w:b/>
          <w:i w:val="0"/>
        </w:rPr>
        <w:t>.</w:t>
      </w:r>
      <w:r>
        <w:rPr>
          <w:b w:val="0"/>
          <w:i w:val="0"/>
        </w:rPr>
        <w:t xml:space="preserve"> Printed forms: </w:t>
      </w:r>
      <w:r>
        <w:rPr>
          <w:b w:val="0"/>
          <w:i/>
        </w:rPr>
        <w:t>attentione</w:t>
      </w:r>
      <w:r>
        <w:rPr>
          <w:b w:val="0"/>
          <w:i w:val="0"/>
        </w:rPr>
        <w:t xml:space="preserve">; </w:t>
      </w:r>
      <w:r>
        <w:rPr>
          <w:b w:val="0"/>
          <w:i/>
        </w:rPr>
        <w:t>Attentior</w:t>
      </w:r>
      <w:r>
        <w:rPr>
          <w:b w:val="0"/>
          <w:i w:val="0"/>
        </w:rPr>
        <w:t xml:space="preserve">; </w:t>
      </w:r>
      <w:r>
        <w:rPr>
          <w:b w:val="0"/>
          <w:i/>
        </w:rPr>
        <w:t>attentiore</w:t>
      </w:r>
      <w:r>
        <w:rPr>
          <w:b w:val="0"/>
          <w:i w:val="0"/>
        </w:rPr>
        <w:t xml:space="preserve">; </w:t>
      </w:r>
      <w:r>
        <w:rPr>
          <w:b w:val="0"/>
          <w:i/>
        </w:rPr>
        <w:t>attentiores</w:t>
      </w:r>
      <w:r>
        <w:rPr>
          <w:b w:val="0"/>
          <w:i w:val="0"/>
        </w:rPr>
        <w:t xml:space="preserve">; </w:t>
      </w:r>
      <w:r>
        <w:rPr>
          <w:b w:val="0"/>
          <w:i/>
        </w:rPr>
        <w:t>attentioris</w:t>
      </w:r>
      <w:r>
        <w:rPr>
          <w:b w:val="0"/>
          <w:i w:val="0"/>
        </w:rPr>
        <w:t xml:space="preserve">; </w:t>
      </w:r>
      <w:r>
        <w:rPr>
          <w:b w:val="0"/>
          <w:i/>
        </w:rPr>
        <w:t>attentius</w:t>
      </w:r>
      <w:r>
        <w:rPr>
          <w:b w:val="0"/>
          <w:i w:val="0"/>
        </w:rPr>
        <w:t>.</w:t>
      </w:r>
    </w:p>
    <w:p>
      <w:pPr>
        <w:widowControl/>
      </w:pPr>
      <w:r>
        <w:rPr>
          <w:b w:val="0"/>
          <w:i w:val="0"/>
        </w:rPr>
        <w:t xml:space="preserve">Attention and heightened attentive activity. Soul already animates the healthy organ; stimulation calls forth an activity that it apprehends more distinctly.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384" w:name="latin-record-0143"/>
      <w:bookmarkEnd w:id="384"/>
      <w:r>
        <w:rPr>
          <w:b/>
          <w:i w:val="0"/>
        </w:rPr>
        <w:t>attingere</w:t>
      </w:r>
      <w:r>
        <w:rPr>
          <w:b/>
          <w:i w:val="0"/>
        </w:rPr>
        <w:t>.</w:t>
      </w:r>
      <w:r>
        <w:rPr>
          <w:b w:val="0"/>
          <w:i w:val="0"/>
        </w:rPr>
        <w:t xml:space="preserve"> Printed forms: </w:t>
      </w:r>
      <w:r>
        <w:rPr>
          <w:b w:val="0"/>
          <w:i/>
        </w:rPr>
        <w:t>attingat</w:t>
      </w:r>
      <w:r>
        <w:rPr>
          <w:b w:val="0"/>
          <w:i w:val="0"/>
        </w:rPr>
        <w:t xml:space="preserve">; </w:t>
      </w:r>
      <w:r>
        <w:rPr>
          <w:b w:val="0"/>
          <w:i/>
        </w:rPr>
        <w:t>attingere</w:t>
      </w:r>
      <w:r>
        <w:rPr>
          <w:b w:val="0"/>
          <w:i w:val="0"/>
        </w:rPr>
        <w:t xml:space="preserve">; </w:t>
      </w:r>
      <w:r>
        <w:rPr>
          <w:b w:val="0"/>
          <w:i/>
        </w:rPr>
        <w:t>attinget</w:t>
      </w:r>
      <w:r>
        <w:rPr>
          <w:b w:val="0"/>
          <w:i w:val="0"/>
        </w:rPr>
        <w:t xml:space="preserve">; </w:t>
      </w:r>
      <w:r>
        <w:rPr>
          <w:b w:val="0"/>
          <w:i/>
        </w:rPr>
        <w:t>attingit</w:t>
      </w:r>
      <w:r>
        <w:rPr>
          <w:b w:val="0"/>
          <w:i w:val="0"/>
        </w:rPr>
        <w:t>.</w:t>
      </w:r>
    </w:p>
    <w:p>
      <w:pPr>
        <w:widowControl/>
      </w:pPr>
      <w:r>
        <w:rPr>
          <w:b w:val="0"/>
          <w:i w:val="0"/>
        </w:rPr>
        <w:t xml:space="preserve">Reaching or apprehending, literal or cognitive according to its object. Sight reaches an image without the object’s matter; intellect reaches common principles, so the verb alone does not imply bodily contact. References: </w:t>
      </w:r>
      <w:hyperlink w:anchor="passage-viii-1-1">
        <w:r>
          <w:rPr>
            <w:color w:val="000000"/>
          </w:rPr>
          <w:t xml:space="preserve">VIII.1.1</w:t>
        </w:r>
      </w:hyperlink>
      <w:r>
        <w:rPr>
          <w:b w:val="0"/>
          <w:i w:val="0"/>
        </w:rPr>
        <w:t xml:space="preserve">, </w:t>
      </w:r>
      <w:hyperlink w:anchor="passage-viii-1-4">
        <w:r>
          <w:rPr>
            <w:color w:val="000000"/>
          </w:rPr>
          <w:t xml:space="preserve">VIII.1.4</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See </w:t>
      </w:r>
      <w:hyperlink w:anchor="viii-touch-traversal">
        <w:r>
          <w:rPr>
            <w:color w:val="000000"/>
          </w:rPr>
          <w:t xml:space="preserve">Touch, traversal, and the rejection of bodily contact</w:t>
        </w:r>
      </w:hyperlink>
      <w:r>
        <w:rPr>
          <w:b w:val="0"/>
          <w:i w:val="0"/>
        </w:rPr>
        <w:t>.</w:t>
      </w:r>
    </w:p>
    <w:p>
      <w:pPr>
        <w:keepNext/>
        <w:widowControl/>
      </w:pPr>
      <w:bookmarkStart w:id="385" w:name="latin-record-0144"/>
      <w:bookmarkEnd w:id="385"/>
      <w:r>
        <w:rPr>
          <w:b/>
          <w:i w:val="0"/>
        </w:rPr>
        <w:t>attingere / penetrare</w:t>
      </w:r>
      <w:r>
        <w:rPr>
          <w:b/>
          <w:i w:val="0"/>
        </w:rPr>
        <w:t>.</w:t>
      </w:r>
      <w:r>
        <w:rPr>
          <w:b w:val="0"/>
          <w:i w:val="0"/>
        </w:rPr>
        <w:t xml:space="preserve"> Printed forms: </w:t>
      </w:r>
      <w:r>
        <w:rPr>
          <w:b w:val="0"/>
          <w:i/>
        </w:rPr>
        <w:t>attingent</w:t>
      </w:r>
      <w:r>
        <w:rPr>
          <w:b w:val="0"/>
          <w:i w:val="0"/>
        </w:rPr>
        <w:t xml:space="preserve">; </w:t>
      </w:r>
      <w:r>
        <w:rPr>
          <w:b w:val="0"/>
          <w:i/>
        </w:rPr>
        <w:t>penetrabunt</w:t>
      </w:r>
      <w:r>
        <w:rPr>
          <w:b w:val="0"/>
          <w:i w:val="0"/>
        </w:rPr>
        <w:t>.</w:t>
      </w:r>
    </w:p>
    <w:p>
      <w:pPr>
        <w:widowControl/>
      </w:pPr>
      <w:r>
        <w:rPr>
          <w:b w:val="0"/>
          <w:i w:val="0"/>
        </w:rPr>
        <w:t xml:space="preserve">To touch or reach, and to penetrate inward. Surface contact and deep bodily penetration are alternative material explanations, each with a distinct consequence for cognition.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386" w:name="latin-record-0145"/>
      <w:bookmarkEnd w:id="386"/>
      <w:r>
        <w:rPr>
          <w:b/>
          <w:i w:val="0"/>
        </w:rPr>
        <w:t>attingere / persentire</w:t>
      </w:r>
      <w:r>
        <w:rPr>
          <w:b/>
          <w:i w:val="0"/>
        </w:rPr>
        <w:t>.</w:t>
      </w:r>
      <w:r>
        <w:rPr>
          <w:b w:val="0"/>
          <w:i w:val="0"/>
        </w:rPr>
        <w:t xml:space="preserve"> Printed forms: </w:t>
      </w:r>
      <w:r>
        <w:rPr>
          <w:b w:val="0"/>
          <w:i/>
        </w:rPr>
        <w:t>attingit</w:t>
      </w:r>
      <w:r>
        <w:rPr>
          <w:b w:val="0"/>
          <w:i w:val="0"/>
        </w:rPr>
        <w:t xml:space="preserve">; </w:t>
      </w:r>
      <w:r>
        <w:rPr>
          <w:b w:val="0"/>
          <w:i/>
        </w:rPr>
        <w:t>persentiat</w:t>
      </w:r>
      <w:r>
        <w:rPr>
          <w:b w:val="0"/>
          <w:i w:val="0"/>
        </w:rPr>
        <w:t>.</w:t>
      </w:r>
    </w:p>
    <w:p>
      <w:pPr>
        <w:widowControl/>
      </w:pPr>
      <w:r>
        <w:rPr>
          <w:b w:val="0"/>
          <w:i w:val="0"/>
        </w:rPr>
        <w:t xml:space="preserve">To apprehend or reach an object, and thoroughly perceive it. Specialized sight reaches colors; in the line model either endpoint must perceive both contents to perform comparison. References: </w:t>
      </w:r>
      <w:hyperlink w:anchor="passage-vii-2-1">
        <w:r>
          <w:rPr>
            <w:color w:val="000000"/>
          </w:rPr>
          <w:t xml:space="preserve">VII.2.1</w:t>
        </w:r>
      </w:hyperlink>
      <w:r>
        <w:rPr>
          <w:b w:val="0"/>
          <w:i w:val="0"/>
        </w:rPr>
        <w:t xml:space="preserve">, </w:t>
      </w:r>
      <w:hyperlink w:anchor="passage-vii-2-2">
        <w:r>
          <w:rPr>
            <w:color w:val="000000"/>
          </w:rPr>
          <w:t xml:space="preserve">VII.2.2</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387" w:name="latin-record-0146"/>
      <w:bookmarkEnd w:id="387"/>
      <w:r>
        <w:rPr>
          <w:b/>
          <w:i w:val="0"/>
        </w:rPr>
        <w:t>attingere; percipere</w:t>
      </w:r>
      <w:r>
        <w:rPr>
          <w:b/>
          <w:i w:val="0"/>
        </w:rPr>
        <w:t>.</w:t>
      </w:r>
      <w:r>
        <w:rPr>
          <w:b w:val="0"/>
          <w:i w:val="0"/>
        </w:rPr>
        <w:t xml:space="preserve"> Printed forms: </w:t>
      </w:r>
      <w:r>
        <w:rPr>
          <w:b w:val="0"/>
          <w:i/>
        </w:rPr>
        <w:t>attigerunt</w:t>
      </w:r>
      <w:r>
        <w:rPr>
          <w:b w:val="0"/>
          <w:i w:val="0"/>
        </w:rPr>
        <w:t xml:space="preserve">; </w:t>
      </w:r>
      <w:r>
        <w:rPr>
          <w:b w:val="0"/>
          <w:i/>
        </w:rPr>
        <w:t>attingenda</w:t>
      </w:r>
      <w:r>
        <w:rPr>
          <w:b w:val="0"/>
          <w:i w:val="0"/>
        </w:rPr>
        <w:t xml:space="preserve">; </w:t>
      </w:r>
      <w:r>
        <w:rPr>
          <w:b w:val="0"/>
          <w:i/>
        </w:rPr>
        <w:t>attingit</w:t>
      </w:r>
      <w:r>
        <w:rPr>
          <w:b w:val="0"/>
          <w:i w:val="0"/>
        </w:rPr>
        <w:t xml:space="preserve">; </w:t>
      </w:r>
      <w:r>
        <w:rPr>
          <w:b w:val="0"/>
          <w:i/>
        </w:rPr>
        <w:t>perceperimus</w:t>
      </w:r>
      <w:r>
        <w:rPr>
          <w:b w:val="0"/>
          <w:i w:val="0"/>
        </w:rPr>
        <w:t xml:space="preserve">; </w:t>
      </w:r>
      <w:r>
        <w:rPr>
          <w:b w:val="0"/>
          <w:i/>
        </w:rPr>
        <w:t>percipimus</w:t>
      </w:r>
      <w:r>
        <w:rPr>
          <w:b w:val="0"/>
          <w:i w:val="0"/>
        </w:rPr>
        <w:t xml:space="preserve">; </w:t>
      </w:r>
      <w:r>
        <w:rPr>
          <w:b w:val="0"/>
          <w:i/>
        </w:rPr>
        <w:t>percipiunt</w:t>
      </w:r>
      <w:r>
        <w:rPr>
          <w:b w:val="0"/>
          <w:i w:val="0"/>
        </w:rPr>
        <w:t xml:space="preserve">; </w:t>
      </w:r>
      <w:r>
        <w:rPr>
          <w:b w:val="0"/>
          <w:i/>
        </w:rPr>
        <w:t>Percipiunt</w:t>
      </w:r>
      <w:r>
        <w:rPr>
          <w:b w:val="0"/>
          <w:i w:val="0"/>
        </w:rPr>
        <w:t>.</w:t>
      </w:r>
    </w:p>
    <w:p>
      <w:pPr>
        <w:widowControl/>
      </w:pPr>
      <w:r>
        <w:rPr>
          <w:b w:val="0"/>
          <w:i w:val="0"/>
        </w:rPr>
        <w:t xml:space="preserve">To reach or make cognitive contact with; to perceive or apprehend. Contact can be sensible or intellectual; taking a body or an incorporeal object as its terminus does not imply the same physical touching. References: </w:t>
      </w:r>
      <w:hyperlink w:anchor="passage-vi-2-1">
        <w:r>
          <w:rPr>
            <w:color w:val="000000"/>
          </w:rPr>
          <w:t xml:space="preserve">VI.2.1</w:t>
        </w:r>
      </w:hyperlink>
      <w:r>
        <w:rPr>
          <w:b w:val="0"/>
          <w:i w:val="0"/>
        </w:rPr>
        <w:t xml:space="preserve">, </w:t>
      </w:r>
      <w:hyperlink w:anchor="passage-vi-2-9">
        <w:r>
          <w:rPr>
            <w:color w:val="000000"/>
          </w:rPr>
          <w:t xml:space="preserve">VI.2.9</w:t>
        </w:r>
      </w:hyperlink>
      <w:r>
        <w:rPr>
          <w:b w:val="0"/>
          <w:i w:val="0"/>
        </w:rPr>
        <w:t xml:space="preserve">, </w:t>
      </w:r>
      <w:hyperlink w:anchor="passage-vi-2-10">
        <w:r>
          <w:rPr>
            <w:color w:val="000000"/>
          </w:rPr>
          <w:t xml:space="preserve">VI.2.10</w:t>
        </w:r>
      </w:hyperlink>
      <w:r>
        <w:rPr>
          <w:b w:val="0"/>
          <w:i w:val="0"/>
        </w:rPr>
        <w:t xml:space="preserve">, </w:t>
      </w:r>
      <w:hyperlink w:anchor="passage-vi-2-13">
        <w:r>
          <w:rPr>
            <w:color w:val="000000"/>
          </w:rPr>
          <w:t xml:space="preserve">VI.2.13</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388" w:name="latin-record-0147"/>
      <w:bookmarkEnd w:id="388"/>
      <w:r>
        <w:rPr>
          <w:b/>
          <w:i w:val="0"/>
        </w:rPr>
        <w:t>auctor / conditor / opifex</w:t>
      </w:r>
      <w:r>
        <w:rPr>
          <w:b/>
          <w:i w:val="0"/>
        </w:rPr>
        <w:t>.</w:t>
      </w:r>
      <w:r>
        <w:rPr>
          <w:b w:val="0"/>
          <w:i w:val="0"/>
        </w:rPr>
        <w:t xml:space="preserve"> Printed forms: </w:t>
      </w:r>
      <w:r>
        <w:rPr>
          <w:b w:val="0"/>
          <w:i/>
        </w:rPr>
        <w:t>auctor</w:t>
      </w:r>
      <w:r>
        <w:rPr>
          <w:b w:val="0"/>
          <w:i w:val="0"/>
        </w:rPr>
        <w:t xml:space="preserve">; </w:t>
      </w:r>
      <w:r>
        <w:rPr>
          <w:b w:val="0"/>
          <w:i/>
        </w:rPr>
        <w:t>auctore</w:t>
      </w:r>
      <w:r>
        <w:rPr>
          <w:b w:val="0"/>
          <w:i w:val="0"/>
        </w:rPr>
        <w:t xml:space="preserve">; </w:t>
      </w:r>
      <w:r>
        <w:rPr>
          <w:b w:val="0"/>
          <w:i/>
        </w:rPr>
        <w:t>conditor</w:t>
      </w:r>
      <w:r>
        <w:rPr>
          <w:b w:val="0"/>
          <w:i w:val="0"/>
        </w:rPr>
        <w:t xml:space="preserve">; </w:t>
      </w:r>
      <w:r>
        <w:rPr>
          <w:b w:val="0"/>
          <w:i/>
        </w:rPr>
        <w:t>Opifex</w:t>
      </w:r>
      <w:r>
        <w:rPr>
          <w:b w:val="0"/>
          <w:i w:val="0"/>
        </w:rPr>
        <w:t xml:space="preserve">; </w:t>
      </w:r>
      <w:r>
        <w:rPr>
          <w:b w:val="0"/>
          <w:i/>
        </w:rPr>
        <w:t>opifex</w:t>
      </w:r>
      <w:r>
        <w:rPr>
          <w:b w:val="0"/>
          <w:i w:val="0"/>
        </w:rPr>
        <w:t xml:space="preserve">; </w:t>
      </w:r>
      <w:r>
        <w:rPr>
          <w:b w:val="0"/>
          <w:i/>
        </w:rPr>
        <w:t>opificem</w:t>
      </w:r>
      <w:r>
        <w:rPr>
          <w:b w:val="0"/>
          <w:i w:val="0"/>
        </w:rPr>
        <w:t>.</w:t>
      </w:r>
    </w:p>
    <w:p>
      <w:pPr>
        <w:widowControl/>
      </w:pPr>
      <w:r>
        <w:rPr>
          <w:b w:val="0"/>
          <w:i w:val="0"/>
        </w:rPr>
        <w:t xml:space="preserve">Author, founder or maker, emphasizing productive origin or exemplary ordering. Different Latin titles do not introduce different Gods; the context specifies creation, assignment of nature or cosmic making. References: </w:t>
      </w:r>
      <w:hyperlink w:anchor="passage-v-4-8">
        <w:r>
          <w:rPr>
            <w:color w:val="000000"/>
          </w:rPr>
          <w:t xml:space="preserve">V.4.8</w:t>
        </w:r>
      </w:hyperlink>
      <w:r>
        <w:rPr>
          <w:b w:val="0"/>
          <w:i w:val="0"/>
        </w:rPr>
        <w:t xml:space="preserve">, </w:t>
      </w:r>
      <w:hyperlink w:anchor="passage-v-7-2">
        <w:r>
          <w:rPr>
            <w:color w:val="000000"/>
          </w:rPr>
          <w:t xml:space="preserve">V.7.2</w:t>
        </w:r>
      </w:hyperlink>
      <w:r>
        <w:rPr>
          <w:b w:val="0"/>
          <w:i w:val="0"/>
        </w:rPr>
        <w:t xml:space="preserve">, </w:t>
      </w:r>
      <w:hyperlink w:anchor="passage-v-9-2">
        <w:r>
          <w:rPr>
            <w:color w:val="000000"/>
          </w:rPr>
          <w:t xml:space="preserve">V.9.2</w:t>
        </w:r>
      </w:hyperlink>
      <w:r>
        <w:rPr>
          <w:b w:val="0"/>
          <w:i w:val="0"/>
        </w:rPr>
        <w:t xml:space="preserve">, </w:t>
      </w:r>
      <w:hyperlink w:anchor="passage-v-12-9">
        <w:r>
          <w:rPr>
            <w:color w:val="000000"/>
          </w:rPr>
          <w:t xml:space="preserve">V.12.9</w:t>
        </w:r>
      </w:hyperlink>
      <w:r>
        <w:rPr>
          <w:b w:val="0"/>
          <w:i w:val="0"/>
        </w:rPr>
        <w:t xml:space="preserve">, </w:t>
      </w:r>
      <w:hyperlink w:anchor="passage-v-13-18">
        <w:r>
          <w:rPr>
            <w:color w:val="000000"/>
          </w:rPr>
          <w:t xml:space="preserve">V.13.18</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389" w:name="latin-record-0148"/>
      <w:bookmarkEnd w:id="389"/>
      <w:r>
        <w:rPr>
          <w:b/>
          <w:i w:val="0"/>
        </w:rPr>
        <w:t>auctor; producere</w:t>
      </w:r>
      <w:r>
        <w:rPr>
          <w:b/>
          <w:i w:val="0"/>
        </w:rPr>
        <w:t>.</w:t>
      </w:r>
      <w:r>
        <w:rPr>
          <w:b w:val="0"/>
          <w:i w:val="0"/>
        </w:rPr>
        <w:t xml:space="preserve"> Printed forms: </w:t>
      </w:r>
      <w:r>
        <w:rPr>
          <w:b w:val="0"/>
          <w:i/>
        </w:rPr>
        <w:t>incorporeo auctore</w:t>
      </w:r>
      <w:r>
        <w:rPr>
          <w:b w:val="0"/>
          <w:i w:val="0"/>
        </w:rPr>
        <w:t xml:space="preserve">; </w:t>
      </w:r>
      <w:r>
        <w:rPr>
          <w:b w:val="0"/>
          <w:i/>
        </w:rPr>
        <w:t>productum</w:t>
      </w:r>
      <w:r>
        <w:rPr>
          <w:b w:val="0"/>
          <w:i w:val="0"/>
        </w:rPr>
        <w:t>.</w:t>
      </w:r>
    </w:p>
    <w:p>
      <w:pPr>
        <w:widowControl/>
      </w:pPr>
      <w:r>
        <w:rPr>
          <w:b w:val="0"/>
          <w:i w:val="0"/>
        </w:rPr>
        <w:t xml:space="preserve">An incorporeal originating agent; to bring forth or produce. The soul is created or produced through an agent’s power, so freedom from matter does not make it uncaused. References: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390" w:name="latin-record-0149"/>
      <w:bookmarkEnd w:id="390"/>
      <w:r>
        <w:rPr>
          <w:b/>
          <w:i w:val="0"/>
        </w:rPr>
        <w:t>augere / augmentum / incrementum / decrementum</w:t>
      </w:r>
      <w:r>
        <w:rPr>
          <w:b/>
          <w:i w:val="0"/>
        </w:rPr>
        <w:t>.</w:t>
      </w:r>
      <w:r>
        <w:rPr>
          <w:b w:val="0"/>
          <w:i w:val="0"/>
        </w:rPr>
        <w:t xml:space="preserve"> Printed forms: </w:t>
      </w:r>
      <w:r>
        <w:rPr>
          <w:b w:val="0"/>
          <w:i/>
        </w:rPr>
        <w:t>augent</w:t>
      </w:r>
      <w:r>
        <w:rPr>
          <w:b w:val="0"/>
          <w:i w:val="0"/>
        </w:rPr>
        <w:t xml:space="preserve">; </w:t>
      </w:r>
      <w:r>
        <w:rPr>
          <w:b w:val="0"/>
          <w:i/>
        </w:rPr>
        <w:t>auget</w:t>
      </w:r>
      <w:r>
        <w:rPr>
          <w:b w:val="0"/>
          <w:i w:val="0"/>
        </w:rPr>
        <w:t xml:space="preserve">; </w:t>
      </w:r>
      <w:r>
        <w:rPr>
          <w:b w:val="0"/>
          <w:i/>
        </w:rPr>
        <w:t>augetur</w:t>
      </w:r>
      <w:r>
        <w:rPr>
          <w:b w:val="0"/>
          <w:i w:val="0"/>
        </w:rPr>
        <w:t xml:space="preserve">; </w:t>
      </w:r>
      <w:r>
        <w:rPr>
          <w:b w:val="0"/>
          <w:i/>
        </w:rPr>
        <w:t>augmentum</w:t>
      </w:r>
      <w:r>
        <w:rPr>
          <w:b w:val="0"/>
          <w:i w:val="0"/>
        </w:rPr>
        <w:t xml:space="preserve">; </w:t>
      </w:r>
      <w:r>
        <w:rPr>
          <w:b w:val="0"/>
          <w:i/>
        </w:rPr>
        <w:t>decrementum</w:t>
      </w:r>
      <w:r>
        <w:rPr>
          <w:b w:val="0"/>
          <w:i w:val="0"/>
        </w:rPr>
        <w:t xml:space="preserve">; </w:t>
      </w:r>
      <w:r>
        <w:rPr>
          <w:b w:val="0"/>
          <w:i/>
        </w:rPr>
        <w:t>incremento</w:t>
      </w:r>
      <w:r>
        <w:rPr>
          <w:b w:val="0"/>
          <w:i w:val="0"/>
        </w:rPr>
        <w:t xml:space="preserve">; </w:t>
      </w:r>
      <w:r>
        <w:rPr>
          <w:b w:val="0"/>
          <w:i/>
        </w:rPr>
        <w:t>incrementum</w:t>
      </w:r>
      <w:r>
        <w:rPr>
          <w:b w:val="0"/>
          <w:i w:val="0"/>
        </w:rPr>
        <w:t>.</w:t>
      </w:r>
    </w:p>
    <w:p>
      <w:pPr>
        <w:widowControl/>
      </w:pPr>
      <w:r>
        <w:rPr>
          <w:b w:val="0"/>
          <w:i w:val="0"/>
        </w:rPr>
        <w:t xml:space="preserve">Increasing, increase and decrease, whose quantitative or intellectual mode must be distinguished. Adding homogeneous grains or drops changes amount, while receiving forms can increase intellectual perfection without making mind physically larger. References: </w:t>
      </w:r>
      <w:hyperlink w:anchor="passage-viii-2-3">
        <w:r>
          <w:rPr>
            <w:color w:val="000000"/>
          </w:rPr>
          <w:t xml:space="preserve">VIII.2.3</w:t>
        </w:r>
      </w:hyperlink>
      <w:r>
        <w:rPr>
          <w:b w:val="0"/>
          <w:i w:val="0"/>
        </w:rPr>
        <w:t xml:space="preserve">, </w:t>
      </w:r>
      <w:hyperlink w:anchor="passage-viii-2-5">
        <w:r>
          <w:rPr>
            <w:color w:val="000000"/>
          </w:rPr>
          <w:t xml:space="preserve">VIII.2.5</w:t>
        </w:r>
      </w:hyperlink>
      <w:r>
        <w:rPr>
          <w:b w:val="0"/>
          <w:i w:val="0"/>
        </w:rPr>
        <w:t xml:space="preserve">, </w:t>
      </w:r>
      <w:hyperlink w:anchor="passage-viii-2-8">
        <w:r>
          <w:rPr>
            <w:color w:val="000000"/>
          </w:rPr>
          <w:t xml:space="preserve">VIII.2.8</w:t>
        </w:r>
      </w:hyperlink>
      <w:r>
        <w:rPr>
          <w:b w:val="0"/>
          <w:i w:val="0"/>
        </w:rPr>
        <w:t xml:space="preserve">, </w:t>
      </w:r>
      <w:hyperlink w:anchor="passage-viii-3-6">
        <w:r>
          <w:rPr>
            <w:color w:val="000000"/>
          </w:rPr>
          <w:t xml:space="preserve">VIII.3.6</w:t>
        </w:r>
      </w:hyperlink>
      <w:r>
        <w:rPr>
          <w:b w:val="0"/>
          <w:i w:val="0"/>
        </w:rPr>
        <w:t xml:space="preserve">, </w:t>
      </w:r>
      <w:hyperlink w:anchor="passage-viii-4-3">
        <w:r>
          <w:rPr>
            <w:color w:val="000000"/>
          </w:rPr>
          <w:t xml:space="preserve">VIII.4.3</w:t>
        </w:r>
      </w:hyperlink>
      <w:r>
        <w:rPr>
          <w:b w:val="0"/>
          <w:i w:val="0"/>
        </w:rPr>
        <w:t xml:space="preserve">, </w:t>
      </w:r>
      <w:hyperlink w:anchor="passage-viii-16-1">
        <w:r>
          <w:rPr>
            <w:color w:val="000000"/>
          </w:rPr>
          <w:t xml:space="preserve">VIII.16.1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391" w:name="latin-record-0150"/>
      <w:bookmarkEnd w:id="391"/>
      <w:r>
        <w:rPr>
          <w:b/>
          <w:i w:val="0"/>
        </w:rPr>
        <w:t>augmentum</w:t>
      </w:r>
      <w:r>
        <w:rPr>
          <w:b/>
          <w:i w:val="0"/>
        </w:rPr>
        <w:t>.</w:t>
      </w:r>
      <w:r>
        <w:rPr>
          <w:b w:val="0"/>
          <w:i w:val="0"/>
        </w:rPr>
        <w:t xml:space="preserve"> Printed forms: </w:t>
      </w:r>
      <w:r>
        <w:rPr>
          <w:b w:val="0"/>
          <w:i/>
        </w:rPr>
        <w:t>augmenti</w:t>
      </w:r>
      <w:r>
        <w:rPr>
          <w:b w:val="0"/>
          <w:i w:val="0"/>
        </w:rPr>
        <w:t xml:space="preserve">; </w:t>
      </w:r>
      <w:r>
        <w:rPr>
          <w:b w:val="0"/>
          <w:i/>
        </w:rPr>
        <w:t>augmentum</w:t>
      </w:r>
      <w:r>
        <w:rPr>
          <w:b w:val="0"/>
          <w:i w:val="0"/>
        </w:rPr>
        <w:t xml:space="preserve">; </w:t>
      </w:r>
      <w:r>
        <w:rPr>
          <w:b w:val="0"/>
          <w:i/>
        </w:rPr>
        <w:t>Augmentum</w:t>
      </w:r>
      <w:r>
        <w:rPr>
          <w:b w:val="0"/>
          <w:i w:val="0"/>
        </w:rPr>
        <w:t>.</w:t>
      </w:r>
    </w:p>
    <w:p>
      <w:pPr>
        <w:widowControl/>
      </w:pPr>
      <w:r>
        <w:rPr>
          <w:b w:val="0"/>
          <w:i w:val="0"/>
        </w:rPr>
        <w:t xml:space="preserve">Organic growth through nourishment. Its definite magnitude and shape require a principal agent; it is not just indefinite spreading of heat through available matter.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392" w:name="latin-record-0151"/>
      <w:bookmarkEnd w:id="392"/>
      <w:r>
        <w:rPr>
          <w:b/>
          <w:i w:val="0"/>
        </w:rPr>
        <w:t>augmentum; decrementum</w:t>
      </w:r>
      <w:r>
        <w:rPr>
          <w:b/>
          <w:i w:val="0"/>
        </w:rPr>
        <w:t>.</w:t>
      </w:r>
      <w:r>
        <w:rPr>
          <w:b w:val="0"/>
          <w:i w:val="0"/>
        </w:rPr>
        <w:t xml:space="preserve"> Printed forms: </w:t>
      </w:r>
      <w:r>
        <w:rPr>
          <w:b w:val="0"/>
          <w:i/>
        </w:rPr>
        <w:t>augmentum, decrementum</w:t>
      </w:r>
      <w:r>
        <w:rPr>
          <w:b w:val="0"/>
          <w:i w:val="0"/>
        </w:rPr>
        <w:t>.</w:t>
      </w:r>
    </w:p>
    <w:p>
      <w:pPr>
        <w:widowControl/>
      </w:pPr>
      <w:r>
        <w:rPr>
          <w:b w:val="0"/>
          <w:i w:val="0"/>
        </w:rPr>
        <w:t xml:space="preserve">Increase and decrease in bodily magnitude. Growth and decline require changes of qualities and the generation or corruption of bodily parts. References: </w:t>
      </w:r>
      <w:hyperlink w:anchor="passage-vi-12-13">
        <w:r>
          <w:rPr>
            <w:color w:val="000000"/>
          </w:rPr>
          <w:t xml:space="preserve">VI.12.13</w:t>
        </w:r>
      </w:hyperlink>
      <w:r>
        <w:rPr>
          <w:b w:val="0"/>
          <w:i w:val="0"/>
        </w:rPr>
        <w:t xml:space="preserve">, </w:t>
      </w:r>
      <w:hyperlink w:anchor="passage-vi-12-15">
        <w:r>
          <w:rPr>
            <w:color w:val="000000"/>
          </w:rPr>
          <w:t xml:space="preserve">VI.12.15</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393" w:name="latin-record-0152"/>
      <w:bookmarkEnd w:id="393"/>
      <w:r>
        <w:rPr>
          <w:b/>
          <w:i w:val="0"/>
        </w:rPr>
        <w:t>augurari / suspicari / somniare</w:t>
      </w:r>
      <w:r>
        <w:rPr>
          <w:b/>
          <w:i w:val="0"/>
        </w:rPr>
        <w:t>.</w:t>
      </w:r>
      <w:r>
        <w:rPr>
          <w:b w:val="0"/>
          <w:i w:val="0"/>
        </w:rPr>
        <w:t xml:space="preserve"> Printed forms: </w:t>
      </w:r>
      <w:r>
        <w:rPr>
          <w:b w:val="0"/>
          <w:i/>
        </w:rPr>
        <w:t>auguratur</w:t>
      </w:r>
      <w:r>
        <w:rPr>
          <w:b w:val="0"/>
          <w:i w:val="0"/>
        </w:rPr>
        <w:t xml:space="preserve">; </w:t>
      </w:r>
      <w:r>
        <w:rPr>
          <w:b w:val="0"/>
          <w:i/>
        </w:rPr>
        <w:t>somniare</w:t>
      </w:r>
      <w:r>
        <w:rPr>
          <w:b w:val="0"/>
          <w:i w:val="0"/>
        </w:rPr>
        <w:t xml:space="preserve">; </w:t>
      </w:r>
      <w:r>
        <w:rPr>
          <w:b w:val="0"/>
          <w:i/>
        </w:rPr>
        <w:t>somniaret</w:t>
      </w:r>
      <w:r>
        <w:rPr>
          <w:b w:val="0"/>
          <w:i w:val="0"/>
        </w:rPr>
        <w:t xml:space="preserve">; </w:t>
      </w:r>
      <w:r>
        <w:rPr>
          <w:b w:val="0"/>
          <w:i/>
        </w:rPr>
        <w:t>suspicatur</w:t>
      </w:r>
      <w:r>
        <w:rPr>
          <w:b w:val="0"/>
          <w:i w:val="0"/>
        </w:rPr>
        <w:t>.</w:t>
      </w:r>
    </w:p>
    <w:p>
      <w:pPr>
        <w:widowControl/>
      </w:pPr>
      <w:r>
        <w:rPr>
          <w:b w:val="0"/>
          <w:i w:val="0"/>
        </w:rPr>
        <w:t xml:space="preserve">Conjecturing, surmising or dreaming rather than possessing a clear account. These verbs qualify phantasy’s relation to substance and incorporeal predicates; the drunken dream later supplies a polemical reductio. References: </w:t>
      </w:r>
      <w:hyperlink w:anchor="passage-viii-1-1">
        <w:r>
          <w:rPr>
            <w:color w:val="000000"/>
          </w:rPr>
          <w:t xml:space="preserve">VIII.1.1</w:t>
        </w:r>
      </w:hyperlink>
      <w:r>
        <w:rPr>
          <w:b w:val="0"/>
          <w:i w:val="0"/>
        </w:rPr>
        <w:t xml:space="preserve">, </w:t>
      </w:r>
      <w:hyperlink w:anchor="passage-viii-3-4">
        <w:r>
          <w:rPr>
            <w:color w:val="000000"/>
          </w:rPr>
          <w:t xml:space="preserve">VIII.3.4</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394" w:name="latin-record-0153"/>
      <w:bookmarkEnd w:id="394"/>
      <w:r>
        <w:rPr>
          <w:b/>
          <w:i w:val="0"/>
        </w:rPr>
        <w:t>Augustinus / Aurelius</w:t>
      </w:r>
      <w:r>
        <w:rPr>
          <w:b/>
          <w:i w:val="0"/>
        </w:rPr>
        <w:t>.</w:t>
      </w:r>
      <w:r>
        <w:rPr>
          <w:b w:val="0"/>
          <w:i w:val="0"/>
        </w:rPr>
        <w:t xml:space="preserve"> Printed forms: </w:t>
      </w:r>
      <w:r>
        <w:rPr>
          <w:b w:val="0"/>
          <w:i/>
        </w:rPr>
        <w:t>Augustinus</w:t>
      </w:r>
      <w:r>
        <w:rPr>
          <w:b w:val="0"/>
          <w:i w:val="0"/>
        </w:rPr>
        <w:t xml:space="preserve">; </w:t>
      </w:r>
      <w:r>
        <w:rPr>
          <w:b w:val="0"/>
          <w:i/>
        </w:rPr>
        <w:t>Aurelius</w:t>
      </w:r>
      <w:r>
        <w:rPr>
          <w:b w:val="0"/>
          <w:i w:val="0"/>
        </w:rPr>
        <w:t>.</w:t>
      </w:r>
    </w:p>
    <w:p>
      <w:pPr>
        <w:widowControl/>
      </w:pPr>
      <w:r>
        <w:rPr>
          <w:b w:val="0"/>
          <w:i w:val="0"/>
        </w:rPr>
        <w:t xml:space="preserve">Augustine, cited under both his familiar name and Aurelius. Ficino invokes his account of the soul’s nonlocal whole presence; the citation has not been independently collated here. References: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395" w:name="latin-record-0154"/>
      <w:bookmarkEnd w:id="395"/>
      <w:r>
        <w:rPr>
          <w:b/>
          <w:i w:val="0"/>
        </w:rPr>
        <w:t>auris / nares / os</w:t>
      </w:r>
      <w:r>
        <w:rPr>
          <w:b/>
          <w:i w:val="0"/>
        </w:rPr>
        <w:t>.</w:t>
      </w:r>
      <w:r>
        <w:rPr>
          <w:b w:val="0"/>
          <w:i w:val="0"/>
        </w:rPr>
        <w:t xml:space="preserve"> Printed forms: </w:t>
      </w:r>
      <w:r>
        <w:rPr>
          <w:b w:val="0"/>
          <w:i/>
        </w:rPr>
        <w:t>auribus</w:t>
      </w:r>
      <w:r>
        <w:rPr>
          <w:b w:val="0"/>
          <w:i w:val="0"/>
        </w:rPr>
        <w:t xml:space="preserve">; </w:t>
      </w:r>
      <w:r>
        <w:rPr>
          <w:b w:val="0"/>
          <w:i/>
        </w:rPr>
        <w:t>auris</w:t>
      </w:r>
      <w:r>
        <w:rPr>
          <w:b w:val="0"/>
          <w:i w:val="0"/>
        </w:rPr>
        <w:t xml:space="preserve">; </w:t>
      </w:r>
      <w:r>
        <w:rPr>
          <w:b w:val="0"/>
          <w:i/>
        </w:rPr>
        <w:t>aurium</w:t>
      </w:r>
      <w:r>
        <w:rPr>
          <w:b w:val="0"/>
          <w:i w:val="0"/>
        </w:rPr>
        <w:t xml:space="preserve">; </w:t>
      </w:r>
      <w:r>
        <w:rPr>
          <w:b w:val="0"/>
          <w:i/>
        </w:rPr>
        <w:t>naribus</w:t>
      </w:r>
      <w:r>
        <w:rPr>
          <w:b w:val="0"/>
          <w:i w:val="0"/>
        </w:rPr>
        <w:t xml:space="preserve">; </w:t>
      </w:r>
      <w:r>
        <w:rPr>
          <w:b w:val="0"/>
          <w:i/>
        </w:rPr>
        <w:t>ore</w:t>
      </w:r>
      <w:r>
        <w:rPr>
          <w:b w:val="0"/>
          <w:i w:val="0"/>
        </w:rPr>
        <w:t>.</w:t>
      </w:r>
    </w:p>
    <w:p>
      <w:pPr>
        <w:widowControl/>
      </w:pPr>
      <w:r>
        <w:rPr>
          <w:b w:val="0"/>
          <w:i w:val="0"/>
        </w:rPr>
        <w:t xml:space="preserve">Ear, nostrils and mouth as distinct sensory organs. The reported active account assigns airy, misty and moist media to their respective activities; the nouns name organs rather than powers themselves.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396" w:name="latin-record-0155"/>
      <w:bookmarkEnd w:id="396"/>
      <w:r>
        <w:rPr>
          <w:b/>
          <w:i w:val="0"/>
        </w:rPr>
        <w:t>avertere / subducere</w:t>
      </w:r>
      <w:r>
        <w:rPr>
          <w:b/>
          <w:i w:val="0"/>
        </w:rPr>
        <w:t>.</w:t>
      </w:r>
      <w:r>
        <w:rPr>
          <w:b w:val="0"/>
          <w:i w:val="0"/>
        </w:rPr>
        <w:t xml:space="preserve"> Printed forms: </w:t>
      </w:r>
      <w:r>
        <w:rPr>
          <w:b w:val="0"/>
          <w:i/>
        </w:rPr>
        <w:t>avertere</w:t>
      </w:r>
      <w:r>
        <w:rPr>
          <w:b w:val="0"/>
          <w:i w:val="0"/>
        </w:rPr>
        <w:t xml:space="preserve">; </w:t>
      </w:r>
      <w:r>
        <w:rPr>
          <w:b w:val="0"/>
          <w:i/>
        </w:rPr>
        <w:t>averterit</w:t>
      </w:r>
      <w:r>
        <w:rPr>
          <w:b w:val="0"/>
          <w:i w:val="0"/>
        </w:rPr>
        <w:t xml:space="preserve">; </w:t>
      </w:r>
      <w:r>
        <w:rPr>
          <w:b w:val="0"/>
          <w:i/>
        </w:rPr>
        <w:t>removere</w:t>
      </w:r>
      <w:r>
        <w:rPr>
          <w:b w:val="0"/>
          <w:i w:val="0"/>
        </w:rPr>
        <w:t xml:space="preserve">; </w:t>
      </w:r>
      <w:r>
        <w:rPr>
          <w:b w:val="0"/>
          <w:i/>
        </w:rPr>
        <w:t>subducere</w:t>
      </w:r>
      <w:r>
        <w:rPr>
          <w:b w:val="0"/>
          <w:i w:val="0"/>
        </w:rPr>
        <w:t>.</w:t>
      </w:r>
    </w:p>
    <w:p>
      <w:pPr>
        <w:widowControl/>
      </w:pPr>
      <w:r>
        <w:rPr>
          <w:b w:val="0"/>
          <w:i w:val="0"/>
        </w:rPr>
        <w:t xml:space="preserve">To turn away, remove or withdraw attention. The mind’s improved understanding through withdrawal is presented against the claim that it is merely an inseparable bodily form. References: </w:t>
      </w:r>
      <w:hyperlink w:anchor="passage-v-15-9">
        <w:r>
          <w:rPr>
            <w:color w:val="000000"/>
          </w:rPr>
          <w:t xml:space="preserve">V.15.9</w:t>
        </w:r>
      </w:hyperlink>
      <w:r>
        <w:rPr>
          <w:b w:val="0"/>
          <w:i w:val="0"/>
        </w:rPr>
        <w:t xml:space="preserve">, </w:t>
      </w:r>
      <w:hyperlink w:anchor="passage-v-15-10">
        <w:r>
          <w:rPr>
            <w:color w:val="000000"/>
          </w:rPr>
          <w:t xml:space="preserve">V.15.10</w:t>
        </w:r>
      </w:hyperlink>
      <w:r>
        <w:rPr>
          <w:b w:val="0"/>
          <w:i w:val="0"/>
        </w:rPr>
        <w:t xml:space="preserve">, </w:t>
      </w:r>
      <w:hyperlink w:anchor="passage-v-15-11">
        <w:r>
          <w:rPr>
            <w:color w:val="000000"/>
          </w:rPr>
          <w:t xml:space="preserve">V.15.11</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397" w:name="latin-record-0156"/>
      <w:bookmarkEnd w:id="397"/>
      <w:r>
        <w:rPr>
          <w:b/>
          <w:i w:val="0"/>
        </w:rPr>
        <w:t>Avicenna; educatio ficta</w:t>
      </w:r>
      <w:r>
        <w:rPr>
          <w:b/>
          <w:i w:val="0"/>
        </w:rPr>
        <w:t>.</w:t>
      </w:r>
      <w:r>
        <w:rPr>
          <w:b w:val="0"/>
          <w:i w:val="0"/>
        </w:rPr>
        <w:t xml:space="preserve"> Printed forms: </w:t>
      </w:r>
      <w:r>
        <w:rPr>
          <w:b w:val="0"/>
          <w:i/>
        </w:rPr>
        <w:t>Avicenna</w:t>
      </w:r>
      <w:r>
        <w:rPr>
          <w:b w:val="0"/>
          <w:i w:val="0"/>
        </w:rPr>
        <w:t xml:space="preserve">; </w:t>
      </w:r>
      <w:r>
        <w:rPr>
          <w:b w:val="0"/>
          <w:i/>
        </w:rPr>
        <w:t>Avicenna narravisse</w:t>
      </w:r>
      <w:r>
        <w:rPr>
          <w:b w:val="0"/>
          <w:i w:val="0"/>
        </w:rPr>
        <w:t xml:space="preserve">; </w:t>
      </w:r>
      <w:r>
        <w:rPr>
          <w:b w:val="0"/>
          <w:i/>
        </w:rPr>
        <w:t>educationem fictam</w:t>
      </w:r>
      <w:r>
        <w:rPr>
          <w:b w:val="0"/>
          <w:i w:val="0"/>
        </w:rPr>
        <w:t>.</w:t>
      </w:r>
    </w:p>
    <w:p>
      <w:pPr>
        <w:widowControl/>
      </w:pPr>
      <w:r>
        <w:rPr>
          <w:b w:val="0"/>
          <w:i w:val="0"/>
        </w:rPr>
        <w:t xml:space="preserve">Avicenna and the imagined upbringing attributed to him. The thought experiment is Ficino’s version, not silently a replacement with another account of the flying man. References: </w:t>
      </w:r>
      <w:hyperlink w:anchor="passage-vi-2-12">
        <w:r>
          <w:rPr>
            <w:color w:val="000000"/>
          </w:rPr>
          <w:t xml:space="preserve">VI.2.12</w:t>
        </w:r>
      </w:hyperlink>
      <w:r>
        <w:rPr>
          <w:b w:val="0"/>
          <w:i w:val="0"/>
        </w:rPr>
        <w:t xml:space="preserve">, </w:t>
      </w:r>
      <w:hyperlink w:anchor="passage-vi-2-14">
        <w:r>
          <w:rPr>
            <w:color w:val="000000"/>
          </w:rPr>
          <w:t xml:space="preserve">VI.2.14</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398" w:name="latin-record-0157"/>
      <w:bookmarkEnd w:id="398"/>
      <w:r>
        <w:rPr>
          <w:b/>
          <w:i w:val="0"/>
        </w:rPr>
        <w:t>aviditas / cupiditas</w:t>
      </w:r>
      <w:r>
        <w:rPr>
          <w:b/>
          <w:i w:val="0"/>
        </w:rPr>
        <w:t>.</w:t>
      </w:r>
      <w:r>
        <w:rPr>
          <w:b w:val="0"/>
          <w:i w:val="0"/>
        </w:rPr>
        <w:t xml:space="preserve"> Printed forms: </w:t>
      </w:r>
      <w:r>
        <w:rPr>
          <w:b w:val="0"/>
          <w:i/>
        </w:rPr>
        <w:t>avida</w:t>
      </w:r>
      <w:r>
        <w:rPr>
          <w:b w:val="0"/>
          <w:i w:val="0"/>
        </w:rPr>
        <w:t xml:space="preserve">; </w:t>
      </w:r>
      <w:r>
        <w:rPr>
          <w:b w:val="0"/>
          <w:i/>
        </w:rPr>
        <w:t>aviditas</w:t>
      </w:r>
      <w:r>
        <w:rPr>
          <w:b w:val="0"/>
          <w:i w:val="0"/>
        </w:rPr>
        <w:t xml:space="preserve">; </w:t>
      </w:r>
      <w:r>
        <w:rPr>
          <w:b w:val="0"/>
          <w:i/>
        </w:rPr>
        <w:t>cupiditate</w:t>
      </w:r>
      <w:r>
        <w:rPr>
          <w:b w:val="0"/>
          <w:i w:val="0"/>
        </w:rPr>
        <w:t>.</w:t>
      </w:r>
    </w:p>
    <w:p>
      <w:pPr>
        <w:widowControl/>
      </w:pPr>
      <w:r>
        <w:rPr>
          <w:b w:val="0"/>
          <w:i w:val="0"/>
        </w:rPr>
        <w:t xml:space="preserve">Eager desire for oneself, the motive sustaining inward intellectual return. Ficino treats mind’s desire for its own nature as enduring; this technical self-relation is not a clinical description of narcissism. References: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399" w:name="latin-record-0158"/>
      <w:bookmarkEnd w:id="399"/>
      <w:r>
        <w:rPr>
          <w:b/>
          <w:i w:val="0"/>
        </w:rPr>
        <w:t>avis; volare</w:t>
      </w:r>
      <w:r>
        <w:rPr>
          <w:b/>
          <w:i w:val="0"/>
        </w:rPr>
        <w:t>.</w:t>
      </w:r>
      <w:r>
        <w:rPr>
          <w:b w:val="0"/>
          <w:i w:val="0"/>
        </w:rPr>
        <w:t xml:space="preserve"> Printed forms: </w:t>
      </w:r>
      <w:r>
        <w:rPr>
          <w:b w:val="0"/>
          <w:i/>
        </w:rPr>
        <w:t>avis</w:t>
      </w:r>
      <w:r>
        <w:rPr>
          <w:b w:val="0"/>
          <w:i w:val="0"/>
        </w:rPr>
        <w:t xml:space="preserve">; </w:t>
      </w:r>
      <w:r>
        <w:rPr>
          <w:b w:val="0"/>
          <w:i/>
        </w:rPr>
        <w:t>volans</w:t>
      </w:r>
      <w:r>
        <w:rPr>
          <w:b w:val="0"/>
          <w:i w:val="0"/>
        </w:rPr>
        <w:t xml:space="preserve">; </w:t>
      </w:r>
      <w:r>
        <w:rPr>
          <w:b w:val="0"/>
          <w:i/>
        </w:rPr>
        <w:t>volare</w:t>
      </w:r>
      <w:r>
        <w:rPr>
          <w:b w:val="0"/>
          <w:i w:val="0"/>
        </w:rPr>
        <w:t>.</w:t>
      </w:r>
    </w:p>
    <w:p>
      <w:pPr>
        <w:widowControl/>
      </w:pPr>
      <w:r>
        <w:rPr>
          <w:b w:val="0"/>
          <w:i w:val="0"/>
        </w:rPr>
        <w:t xml:space="preserve">Bird and flying. The bird’s shadow lies on earth while it flies in air, illustrating the same error of self-location without repeating the well’s setting. References: </w:t>
      </w:r>
      <w:hyperlink w:anchor="passage-vi-2-5">
        <w:r>
          <w:rPr>
            <w:color w:val="000000"/>
          </w:rPr>
          <w:t xml:space="preserve">VI.2.5</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400" w:name="latin-record-0159"/>
      <w:bookmarkEnd w:id="400"/>
      <w:r>
        <w:rPr>
          <w:b/>
          <w:i w:val="0"/>
        </w:rPr>
        <w:t>Bembus; Chronico; Demetrius</w:t>
      </w:r>
      <w:r>
        <w:rPr>
          <w:b/>
          <w:i w:val="0"/>
        </w:rPr>
        <w:t>.</w:t>
      </w:r>
      <w:r>
        <w:rPr>
          <w:b w:val="0"/>
          <w:i w:val="0"/>
        </w:rPr>
        <w:t xml:space="preserve"> Printed forms: </w:t>
      </w:r>
      <w:r>
        <w:rPr>
          <w:b w:val="0"/>
          <w:i/>
        </w:rPr>
        <w:t>Antonio Chronico Veneto</w:t>
      </w:r>
      <w:r>
        <w:rPr>
          <w:b w:val="0"/>
          <w:i w:val="0"/>
        </w:rPr>
        <w:t xml:space="preserve">; </w:t>
      </w:r>
      <w:r>
        <w:rPr>
          <w:b w:val="0"/>
          <w:i/>
        </w:rPr>
        <w:t>Bernardum Bembum</w:t>
      </w:r>
      <w:r>
        <w:rPr>
          <w:b w:val="0"/>
          <w:i w:val="0"/>
        </w:rPr>
        <w:t xml:space="preserve">; </w:t>
      </w:r>
      <w:r>
        <w:rPr>
          <w:b w:val="0"/>
          <w:i/>
        </w:rPr>
        <w:t>Demetrio Attico</w:t>
      </w:r>
      <w:r>
        <w:rPr>
          <w:b w:val="0"/>
          <w:i w:val="0"/>
        </w:rPr>
        <w:t>.</w:t>
      </w:r>
    </w:p>
    <w:p>
      <w:pPr>
        <w:widowControl/>
      </w:pPr>
      <w:r>
        <w:rPr>
          <w:b w:val="0"/>
          <w:i w:val="0"/>
        </w:rPr>
        <w:t xml:space="preserve">Bernardo Bembo, Antonio Cronico of Venice and Demetrius of Attica, figures named in the dinner recollection. Bembo is described as a knight and Venetian envoy, while the other two are acute disputants; these are Ficino’s local descriptions. References: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401" w:name="latin-record-0160"/>
      <w:bookmarkEnd w:id="401"/>
      <w:r>
        <w:rPr>
          <w:b/>
          <w:i w:val="0"/>
        </w:rPr>
        <w:t>bene esse / simpliciter esse</w:t>
      </w:r>
      <w:r>
        <w:rPr>
          <w:b/>
          <w:i w:val="0"/>
        </w:rPr>
        <w:t>.</w:t>
      </w:r>
      <w:r>
        <w:rPr>
          <w:b w:val="0"/>
          <w:i w:val="0"/>
        </w:rPr>
        <w:t xml:space="preserve"> Printed forms: </w:t>
      </w:r>
      <w:r>
        <w:rPr>
          <w:b w:val="0"/>
          <w:i/>
        </w:rPr>
        <w:t>bene esse</w:t>
      </w:r>
      <w:r>
        <w:rPr>
          <w:b w:val="0"/>
          <w:i w:val="0"/>
        </w:rPr>
        <w:t xml:space="preserve">; </w:t>
      </w:r>
      <w:r>
        <w:rPr>
          <w:b w:val="0"/>
          <w:i/>
        </w:rPr>
        <w:t>simpliciter esse</w:t>
      </w:r>
      <w:r>
        <w:rPr>
          <w:b w:val="0"/>
          <w:i w:val="0"/>
        </w:rPr>
        <w:t>.</w:t>
      </w:r>
    </w:p>
    <w:p>
      <w:pPr>
        <w:widowControl/>
      </w:pPr>
      <w:r>
        <w:rPr>
          <w:b w:val="0"/>
          <w:i w:val="0"/>
        </w:rPr>
        <w:t xml:space="preserve">Being well and simply being, a distinction in degrees of perfection. Ficino reasons that a mind able to confer the higher good of formal self-perfection should also sustain its being in the relevant formal respect. References: </w:t>
      </w:r>
      <w:hyperlink w:anchor="passage-viii-15-2">
        <w:r>
          <w:rPr>
            <w:color w:val="000000"/>
          </w:rPr>
          <w:t xml:space="preserve">VIII.15.2</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402" w:name="latin-record-0161"/>
      <w:bookmarkEnd w:id="402"/>
      <w:r>
        <w:rPr>
          <w:b/>
          <w:i w:val="0"/>
        </w:rPr>
        <w:t>beneficus</w:t>
      </w:r>
      <w:r>
        <w:rPr>
          <w:b/>
          <w:i w:val="0"/>
        </w:rPr>
        <w:t>.</w:t>
      </w:r>
      <w:r>
        <w:rPr>
          <w:b w:val="0"/>
          <w:i w:val="0"/>
        </w:rPr>
        <w:t xml:space="preserve"> Printed forms: </w:t>
      </w:r>
      <w:r>
        <w:rPr>
          <w:b w:val="0"/>
          <w:i/>
        </w:rPr>
        <w:t>benefica</w:t>
      </w:r>
      <w:r>
        <w:rPr>
          <w:b w:val="0"/>
          <w:i w:val="0"/>
        </w:rPr>
        <w:t xml:space="preserve">; </w:t>
      </w:r>
      <w:r>
        <w:rPr>
          <w:b w:val="0"/>
          <w:i/>
        </w:rPr>
        <w:t>beneficus</w:t>
      </w:r>
      <w:r>
        <w:rPr>
          <w:b w:val="0"/>
          <w:i w:val="0"/>
        </w:rPr>
        <w:t>.</w:t>
      </w:r>
    </w:p>
    <w:p>
      <w:pPr>
        <w:widowControl/>
      </w:pPr>
      <w:r>
        <w:rPr>
          <w:b w:val="0"/>
          <w:i w:val="0"/>
        </w:rPr>
        <w:t xml:space="preserve">Beneficent, communicating a preserving or perfecting power. The superior causes’ infusion is contrasted with destructive bodily qualities and cannot be made a corruption of soul. References: </w:t>
      </w:r>
      <w:hyperlink w:anchor="passage-v-6-1">
        <w:r>
          <w:rPr>
            <w:color w:val="000000"/>
          </w:rPr>
          <w:t xml:space="preserve">V.6.1</w:t>
        </w:r>
      </w:hyperlink>
      <w:r>
        <w:rPr>
          <w:b w:val="0"/>
          <w:i w:val="0"/>
        </w:rPr>
        <w:t xml:space="preserve">, </w:t>
      </w:r>
      <w:hyperlink w:anchor="passage-v-11-2">
        <w:r>
          <w:rPr>
            <w:color w:val="000000"/>
          </w:rPr>
          <w:t xml:space="preserve">V.11.2</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403" w:name="latin-record-0162"/>
      <w:bookmarkEnd w:id="403"/>
      <w:r>
        <w:rPr>
          <w:b/>
          <w:i w:val="0"/>
        </w:rPr>
        <w:t>bibere</w:t>
      </w:r>
      <w:r>
        <w:rPr>
          <w:b/>
          <w:i w:val="0"/>
        </w:rPr>
        <w:t>.</w:t>
      </w:r>
      <w:r>
        <w:rPr>
          <w:b w:val="0"/>
          <w:i w:val="0"/>
        </w:rPr>
        <w:t xml:space="preserve"> Printed forms: </w:t>
      </w:r>
      <w:r>
        <w:rPr>
          <w:b w:val="0"/>
          <w:i/>
        </w:rPr>
        <w:t>bibit</w:t>
      </w:r>
      <w:r>
        <w:rPr>
          <w:b w:val="0"/>
          <w:i w:val="0"/>
        </w:rPr>
        <w:t>.</w:t>
      </w:r>
    </w:p>
    <w:p>
      <w:pPr>
        <w:widowControl/>
      </w:pPr>
      <w:r>
        <w:rPr>
          <w:b w:val="0"/>
          <w:i w:val="0"/>
        </w:rPr>
        <w:t xml:space="preserve">To drink. The soul’s drinking of being is a metaphor for continuous reception, not bodily nutrition. References: </w:t>
      </w:r>
      <w:hyperlink w:anchor="passage-v-10-3">
        <w:r>
          <w:rPr>
            <w:color w:val="000000"/>
          </w:rPr>
          <w:t xml:space="preserve">V.10.3</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404" w:name="latin-record-0163"/>
      <w:bookmarkEnd w:id="404"/>
      <w:r>
        <w:rPr>
          <w:b/>
          <w:i w:val="0"/>
        </w:rPr>
        <w:t>bicubitus</w:t>
      </w:r>
      <w:r>
        <w:rPr>
          <w:b/>
          <w:i w:val="0"/>
        </w:rPr>
        <w:t>.</w:t>
      </w:r>
      <w:r>
        <w:rPr>
          <w:b w:val="0"/>
          <w:i w:val="0"/>
        </w:rPr>
        <w:t xml:space="preserve"> Printed forms: </w:t>
      </w:r>
      <w:r>
        <w:rPr>
          <w:b w:val="0"/>
          <w:i/>
        </w:rPr>
        <w:t>bicubitum</w:t>
      </w:r>
      <w:r>
        <w:rPr>
          <w:b w:val="0"/>
          <w:i w:val="0"/>
        </w:rPr>
        <w:t>.</w:t>
      </w:r>
    </w:p>
    <w:p>
      <w:pPr>
        <w:widowControl/>
      </w:pPr>
      <w:r>
        <w:rPr>
          <w:b w:val="0"/>
          <w:i w:val="0"/>
        </w:rPr>
        <w:t xml:space="preserve">Two cubits in apparent measure. The sun’s apparently small size is contrasted with its supposed true size as an example of deceptive vision. References: </w:t>
      </w:r>
      <w:hyperlink w:anchor="passage-vi-2-7">
        <w:r>
          <w:rPr>
            <w:color w:val="000000"/>
          </w:rPr>
          <w:t xml:space="preserve">VI.2.7</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405" w:name="latin-record-0164"/>
      <w:bookmarkEnd w:id="405"/>
      <w:r>
        <w:rPr>
          <w:b/>
          <w:i w:val="0"/>
        </w:rPr>
        <w:t>Boethus; Epicurus; Xenophantes</w:t>
      </w:r>
      <w:r>
        <w:rPr>
          <w:b/>
          <w:i w:val="0"/>
        </w:rPr>
        <w:t>.</w:t>
      </w:r>
      <w:r>
        <w:rPr>
          <w:b w:val="0"/>
          <w:i w:val="0"/>
        </w:rPr>
        <w:t xml:space="preserve"> Printed forms: </w:t>
      </w:r>
      <w:r>
        <w:rPr>
          <w:b w:val="0"/>
          <w:i/>
        </w:rPr>
        <w:t>Boethus</w:t>
      </w:r>
      <w:r>
        <w:rPr>
          <w:b w:val="0"/>
          <w:i w:val="0"/>
        </w:rPr>
        <w:t xml:space="preserve">; </w:t>
      </w:r>
      <w:r>
        <w:rPr>
          <w:b w:val="0"/>
          <w:i/>
        </w:rPr>
        <w:t>Epicurus</w:t>
      </w:r>
      <w:r>
        <w:rPr>
          <w:b w:val="0"/>
          <w:i w:val="0"/>
        </w:rPr>
        <w:t xml:space="preserve">; </w:t>
      </w:r>
      <w:r>
        <w:rPr>
          <w:b w:val="0"/>
          <w:i/>
        </w:rPr>
        <w:t>Xenophantes</w:t>
      </w:r>
      <w:r>
        <w:rPr>
          <w:b w:val="0"/>
          <w:i w:val="0"/>
        </w:rPr>
        <w:t>.</w:t>
      </w:r>
    </w:p>
    <w:p>
      <w:pPr>
        <w:widowControl/>
      </w:pPr>
      <w:r>
        <w:rPr>
          <w:b w:val="0"/>
          <w:i w:val="0"/>
        </w:rPr>
        <w:t xml:space="preserve">Names attached to mixed-element accounts of soul. Boethus and Epicurus are linked with fire and air, Xenophantes with water and earth; Xenophantes is not silently merged with Xenophanes below.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406" w:name="latin-record-0165"/>
      <w:bookmarkEnd w:id="406"/>
      <w:r>
        <w:rPr>
          <w:b/>
          <w:i w:val="0"/>
        </w:rPr>
        <w:t>bonitas naturae</w:t>
      </w:r>
      <w:r>
        <w:rPr>
          <w:b/>
          <w:i w:val="0"/>
        </w:rPr>
        <w:t>.</w:t>
      </w:r>
      <w:r>
        <w:rPr>
          <w:b w:val="0"/>
          <w:i w:val="0"/>
        </w:rPr>
        <w:t xml:space="preserve"> Printed forms: </w:t>
      </w:r>
      <w:r>
        <w:rPr>
          <w:b w:val="0"/>
          <w:i/>
        </w:rPr>
        <w:t>bonitas naturae</w:t>
      </w:r>
      <w:r>
        <w:rPr>
          <w:b w:val="0"/>
          <w:i w:val="0"/>
        </w:rPr>
        <w:t>.</w:t>
      </w:r>
    </w:p>
    <w:p>
      <w:pPr>
        <w:widowControl/>
      </w:pPr>
      <w:r>
        <w:rPr>
          <w:b w:val="0"/>
          <w:i w:val="0"/>
        </w:rPr>
        <w:t xml:space="preserve">The goodness attributed to nature’s ordered activity. It functions as a teleological premise against the proposed destruction of many souls to preserve one. References: </w:t>
      </w:r>
      <w:hyperlink w:anchor="passage-vi-13-4">
        <w:r>
          <w:rPr>
            <w:color w:val="000000"/>
          </w:rPr>
          <w:t xml:space="preserve">VI.13.4</w:t>
        </w:r>
      </w:hyperlink>
      <w:r>
        <w:rPr>
          <w:b w:val="0"/>
          <w:i w:val="0"/>
        </w:rPr>
        <w:t xml:space="preserve">. See </w:t>
      </w:r>
      <w:hyperlink w:anchor="food-lending-and-borrowing-life">
        <w:r>
          <w:rPr>
            <w:color w:val="000000"/>
          </w:rPr>
          <w:t xml:space="preserve">Food, lending and borrowing life</w:t>
        </w:r>
      </w:hyperlink>
      <w:r>
        <w:rPr>
          <w:b w:val="0"/>
          <w:i w:val="0"/>
        </w:rPr>
        <w:t>.</w:t>
      </w:r>
    </w:p>
    <w:p>
      <w:pPr>
        <w:keepNext/>
        <w:widowControl/>
      </w:pPr>
      <w:bookmarkStart w:id="407" w:name="latin-record-0166"/>
      <w:bookmarkEnd w:id="407"/>
      <w:r>
        <w:rPr>
          <w:b/>
          <w:i w:val="0"/>
        </w:rPr>
        <w:t>bonum / bonitas</w:t>
      </w:r>
      <w:r>
        <w:rPr>
          <w:b/>
          <w:i w:val="0"/>
        </w:rPr>
        <w:t>.</w:t>
      </w:r>
      <w:r>
        <w:rPr>
          <w:b w:val="0"/>
          <w:i w:val="0"/>
        </w:rPr>
        <w:t xml:space="preserve"> Printed forms: </w:t>
      </w:r>
      <w:r>
        <w:rPr>
          <w:b w:val="0"/>
          <w:i/>
        </w:rPr>
        <w:t>bonitate</w:t>
      </w:r>
      <w:r>
        <w:rPr>
          <w:b w:val="0"/>
          <w:i w:val="0"/>
        </w:rPr>
        <w:t xml:space="preserve">; </w:t>
      </w:r>
      <w:r>
        <w:rPr>
          <w:b w:val="0"/>
          <w:i/>
        </w:rPr>
        <w:t>bonitatis</w:t>
      </w:r>
      <w:r>
        <w:rPr>
          <w:b w:val="0"/>
          <w:i w:val="0"/>
        </w:rPr>
        <w:t xml:space="preserve">; </w:t>
      </w:r>
      <w:r>
        <w:rPr>
          <w:b w:val="0"/>
          <w:i/>
        </w:rPr>
        <w:t>bono</w:t>
      </w:r>
      <w:r>
        <w:rPr>
          <w:b w:val="0"/>
          <w:i w:val="0"/>
        </w:rPr>
        <w:t xml:space="preserve">; </w:t>
      </w:r>
      <w:r>
        <w:rPr>
          <w:b w:val="0"/>
          <w:i/>
        </w:rPr>
        <w:t>bonum</w:t>
      </w:r>
      <w:r>
        <w:rPr>
          <w:b w:val="0"/>
          <w:i w:val="0"/>
        </w:rPr>
        <w:t>.</w:t>
      </w:r>
    </w:p>
    <w:p>
      <w:pPr>
        <w:widowControl/>
      </w:pPr>
      <w:r>
        <w:rPr>
          <w:b w:val="0"/>
          <w:i w:val="0"/>
        </w:rPr>
        <w:t xml:space="preserve">Bonum names the good or what is good; bonitas names goodness. The source invokes goodness as the source and end toward which natural desire is directed. Life and being count as goods; divine goodness is invoked against a destructive withdrawal of the soul’s own life. References: </w:t>
      </w:r>
      <w:hyperlink w:anchor="passage-v-4-2">
        <w:r>
          <w:rPr>
            <w:color w:val="000000"/>
          </w:rPr>
          <w:t xml:space="preserve">V.4.2</w:t>
        </w:r>
      </w:hyperlink>
      <w:r>
        <w:rPr>
          <w:b w:val="0"/>
          <w:i w:val="0"/>
        </w:rPr>
        <w:t xml:space="preserve">, </w:t>
      </w:r>
      <w:hyperlink w:anchor="passage-v-4-7">
        <w:r>
          <w:rPr>
            <w:color w:val="000000"/>
          </w:rPr>
          <w:t xml:space="preserve">V.4.7</w:t>
        </w:r>
      </w:hyperlink>
      <w:r>
        <w:rPr>
          <w:b w:val="0"/>
          <w:i w:val="0"/>
        </w:rPr>
        <w:t xml:space="preserve">, </w:t>
      </w:r>
      <w:hyperlink w:anchor="passage-v-12-12">
        <w:r>
          <w:rPr>
            <w:color w:val="000000"/>
          </w:rPr>
          <w:t xml:space="preserve">V.12.12</w:t>
        </w:r>
      </w:hyperlink>
      <w:r>
        <w:rPr>
          <w:b w:val="0"/>
          <w:i w:val="0"/>
        </w:rPr>
        <w:t xml:space="preserve">, </w:t>
      </w:r>
      <w:hyperlink w:anchor="passage-v-13-17">
        <w:r>
          <w:rPr>
            <w:color w:val="000000"/>
          </w:rPr>
          <w:t xml:space="preserve">V.13.17</w:t>
        </w:r>
      </w:hyperlink>
      <w:r>
        <w:rPr>
          <w:b w:val="0"/>
          <w:i w:val="0"/>
        </w:rPr>
        <w:t xml:space="preserve">, </w:t>
      </w:r>
      <w:hyperlink w:anchor="passage-v-14-9">
        <w:r>
          <w:rPr>
            <w:color w:val="000000"/>
          </w:rPr>
          <w:t xml:space="preserve">V.14.9</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408" w:name="latin-record-0167"/>
      <w:bookmarkEnd w:id="408"/>
      <w:r>
        <w:rPr>
          <w:b/>
          <w:i w:val="0"/>
        </w:rPr>
        <w:t>bonum / malum</w:t>
      </w:r>
      <w:r>
        <w:rPr>
          <w:b/>
          <w:i w:val="0"/>
        </w:rPr>
        <w:t>.</w:t>
      </w:r>
      <w:r>
        <w:rPr>
          <w:b w:val="0"/>
          <w:i w:val="0"/>
        </w:rPr>
        <w:t xml:space="preserve"> Printed forms: </w:t>
      </w:r>
      <w:r>
        <w:rPr>
          <w:b w:val="0"/>
          <w:i/>
        </w:rPr>
        <w:t>bona</w:t>
      </w:r>
      <w:r>
        <w:rPr>
          <w:b w:val="0"/>
          <w:i w:val="0"/>
        </w:rPr>
        <w:t xml:space="preserve">; </w:t>
      </w:r>
      <w:r>
        <w:rPr>
          <w:b w:val="0"/>
          <w:i/>
        </w:rPr>
        <w:t>bonam</w:t>
      </w:r>
      <w:r>
        <w:rPr>
          <w:b w:val="0"/>
          <w:i w:val="0"/>
        </w:rPr>
        <w:t xml:space="preserve">; </w:t>
      </w:r>
      <w:r>
        <w:rPr>
          <w:b w:val="0"/>
          <w:i/>
        </w:rPr>
        <w:t>boni</w:t>
      </w:r>
      <w:r>
        <w:rPr>
          <w:b w:val="0"/>
          <w:i w:val="0"/>
        </w:rPr>
        <w:t xml:space="preserve">; </w:t>
      </w:r>
      <w:r>
        <w:rPr>
          <w:b w:val="0"/>
          <w:i/>
        </w:rPr>
        <w:t>bonis</w:t>
      </w:r>
      <w:r>
        <w:rPr>
          <w:b w:val="0"/>
          <w:i w:val="0"/>
        </w:rPr>
        <w:t xml:space="preserve">; </w:t>
      </w:r>
      <w:r>
        <w:rPr>
          <w:b w:val="0"/>
          <w:i/>
        </w:rPr>
        <w:t>bonum</w:t>
      </w:r>
      <w:r>
        <w:rPr>
          <w:b w:val="0"/>
          <w:i w:val="0"/>
        </w:rPr>
        <w:t xml:space="preserve">; </w:t>
      </w:r>
      <w:r>
        <w:rPr>
          <w:b w:val="0"/>
          <w:i/>
        </w:rPr>
        <w:t>mala</w:t>
      </w:r>
      <w:r>
        <w:rPr>
          <w:b w:val="0"/>
          <w:i w:val="0"/>
        </w:rPr>
        <w:t xml:space="preserve">; </w:t>
      </w:r>
      <w:r>
        <w:rPr>
          <w:b w:val="0"/>
          <w:i/>
        </w:rPr>
        <w:t>malis</w:t>
      </w:r>
      <w:r>
        <w:rPr>
          <w:b w:val="0"/>
          <w:i w:val="0"/>
        </w:rPr>
        <w:t xml:space="preserve">; </w:t>
      </w:r>
      <w:r>
        <w:rPr>
          <w:b w:val="0"/>
          <w:i/>
        </w:rPr>
        <w:t>malum</w:t>
      </w:r>
      <w:r>
        <w:rPr>
          <w:b w:val="0"/>
          <w:i w:val="0"/>
        </w:rPr>
        <w:t>.</w:t>
      </w:r>
    </w:p>
    <w:p>
      <w:pPr>
        <w:widowControl/>
      </w:pPr>
      <w:r>
        <w:rPr>
          <w:b w:val="0"/>
          <w:i w:val="0"/>
        </w:rPr>
        <w:t xml:space="preserve">Good and evil as evaluative objects, whose nature differs from the benefit of knowing them. The natural-desire argument seeks true good, while the contrary-reception argument makes accurate knowledge of evil an intellectual good without approving the evil itself.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4-9">
        <w:r>
          <w:rPr>
            <w:color w:val="000000"/>
          </w:rPr>
          <w:t xml:space="preserve">VIII.4.9</w:t>
        </w:r>
      </w:hyperlink>
      <w:r>
        <w:rPr>
          <w:b w:val="0"/>
          <w:i w:val="0"/>
        </w:rPr>
        <w:t xml:space="preserve">, </w:t>
      </w:r>
      <w:hyperlink w:anchor="passage-viii-12-1">
        <w:r>
          <w:rPr>
            <w:color w:val="000000"/>
          </w:rPr>
          <w:t xml:space="preserve">VIII.12.1</w:t>
        </w:r>
      </w:hyperlink>
      <w:r>
        <w:rPr>
          <w:b w:val="0"/>
          <w:i w:val="0"/>
        </w:rPr>
        <w:t xml:space="preserve">, </w:t>
      </w:r>
      <w:hyperlink w:anchor="passage-viii-13-2">
        <w:r>
          <w:rPr>
            <w:color w:val="000000"/>
          </w:rPr>
          <w:t xml:space="preserve">VIII.13.2</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409" w:name="latin-record-0168"/>
      <w:bookmarkEnd w:id="409"/>
      <w:r>
        <w:rPr>
          <w:b/>
          <w:i w:val="0"/>
        </w:rPr>
        <w:t>bracchium; crus</w:t>
      </w:r>
      <w:r>
        <w:rPr>
          <w:b/>
          <w:i w:val="0"/>
        </w:rPr>
        <w:t>.</w:t>
      </w:r>
      <w:r>
        <w:rPr>
          <w:b w:val="0"/>
          <w:i w:val="0"/>
        </w:rPr>
        <w:t xml:space="preserve"> Printed forms: </w:t>
      </w:r>
      <w:r>
        <w:rPr>
          <w:b w:val="0"/>
          <w:i/>
        </w:rPr>
        <w:t>brachia et crura</w:t>
      </w:r>
      <w:r>
        <w:rPr>
          <w:b w:val="0"/>
          <w:i w:val="0"/>
        </w:rPr>
        <w:t xml:space="preserve">; </w:t>
      </w:r>
      <w:r>
        <w:rPr>
          <w:b w:val="0"/>
          <w:i/>
        </w:rPr>
        <w:t>brachiis et cruribus amputatis</w:t>
      </w:r>
      <w:r>
        <w:rPr>
          <w:b w:val="0"/>
          <w:i w:val="0"/>
        </w:rPr>
        <w:t>.</w:t>
      </w:r>
    </w:p>
    <w:p>
      <w:pPr>
        <w:widowControl/>
      </w:pPr>
      <w:r>
        <w:rPr>
          <w:b w:val="0"/>
          <w:i w:val="0"/>
        </w:rPr>
        <w:t xml:space="preserve">Arms and legs, including amputated members. The allegedly diminished soul’s dullness and forgetfulness are rejected consequences of materialism, not Ficino’s view of amputees. References: </w:t>
      </w:r>
      <w:hyperlink w:anchor="passage-vi-13-1">
        <w:r>
          <w:rPr>
            <w:color w:val="000000"/>
          </w:rPr>
          <w:t xml:space="preserve">VI.13.1</w:t>
        </w:r>
      </w:hyperlink>
      <w:r>
        <w:rPr>
          <w:b w:val="0"/>
          <w:i w:val="0"/>
        </w:rPr>
        <w:t xml:space="preserve">, </w:t>
      </w:r>
      <w:hyperlink w:anchor="passage-vi-13-2">
        <w:r>
          <w:rPr>
            <w:color w:val="000000"/>
          </w:rPr>
          <w:t xml:space="preserve">VI.13.2</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410" w:name="latin-record-0169"/>
      <w:bookmarkEnd w:id="410"/>
      <w:r>
        <w:rPr>
          <w:b/>
          <w:i w:val="0"/>
        </w:rPr>
        <w:t>brachium / opus extra</w:t>
      </w:r>
      <w:r>
        <w:rPr>
          <w:b/>
          <w:i w:val="0"/>
        </w:rPr>
        <w:t>.</w:t>
      </w:r>
      <w:r>
        <w:rPr>
          <w:b w:val="0"/>
          <w:i w:val="0"/>
        </w:rPr>
        <w:t xml:space="preserve"> Printed forms: </w:t>
      </w:r>
      <w:r>
        <w:rPr>
          <w:b w:val="0"/>
          <w:i/>
        </w:rPr>
        <w:t>brachiis</w:t>
      </w:r>
      <w:r>
        <w:rPr>
          <w:b w:val="0"/>
          <w:i w:val="0"/>
        </w:rPr>
        <w:t xml:space="preserve">; </w:t>
      </w:r>
      <w:r>
        <w:rPr>
          <w:b w:val="0"/>
          <w:i/>
        </w:rPr>
        <w:t>extra</w:t>
      </w:r>
      <w:r>
        <w:rPr>
          <w:b w:val="0"/>
          <w:i w:val="0"/>
        </w:rPr>
        <w:t xml:space="preserve">; </w:t>
      </w:r>
      <w:r>
        <w:rPr>
          <w:b w:val="0"/>
          <w:i/>
        </w:rPr>
        <w:t>opus</w:t>
      </w:r>
      <w:r>
        <w:rPr>
          <w:b w:val="0"/>
          <w:i w:val="0"/>
        </w:rPr>
        <w:t xml:space="preserve">; </w:t>
      </w:r>
      <w:r>
        <w:rPr>
          <w:b w:val="0"/>
          <w:i/>
        </w:rPr>
        <w:t>voluntatem</w:t>
      </w:r>
      <w:r>
        <w:rPr>
          <w:b w:val="0"/>
          <w:i w:val="0"/>
        </w:rPr>
        <w:t>.</w:t>
      </w:r>
    </w:p>
    <w:p>
      <w:pPr>
        <w:widowControl/>
      </w:pPr>
      <w:r>
        <w:rPr>
          <w:b w:val="0"/>
          <w:i w:val="0"/>
        </w:rPr>
        <w:t xml:space="preserve">Arms and an outward work produced through will’s bodily action. Understanding may initiate external production through will and limbs, although its proper act can remain within mind. References: </w:t>
      </w:r>
      <w:hyperlink w:anchor="passage-viii-15-1">
        <w:r>
          <w:rPr>
            <w:color w:val="000000"/>
          </w:rPr>
          <w:t xml:space="preserve">VIII.15.1</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411" w:name="latin-record-0170"/>
      <w:bookmarkEnd w:id="411"/>
      <w:r>
        <w:rPr>
          <w:b/>
          <w:i w:val="0"/>
        </w:rPr>
        <w:t>caducus</w:t>
      </w:r>
      <w:r>
        <w:rPr>
          <w:b/>
          <w:i w:val="0"/>
        </w:rPr>
        <w:t>.</w:t>
      </w:r>
      <w:r>
        <w:rPr>
          <w:b w:val="0"/>
          <w:i w:val="0"/>
        </w:rPr>
        <w:t xml:space="preserve"> Printed forms: </w:t>
      </w:r>
      <w:r>
        <w:rPr>
          <w:b w:val="0"/>
          <w:i/>
        </w:rPr>
        <w:t>caduca</w:t>
      </w:r>
      <w:r>
        <w:rPr>
          <w:b w:val="0"/>
          <w:i w:val="0"/>
        </w:rPr>
        <w:t xml:space="preserve">; </w:t>
      </w:r>
      <w:r>
        <w:rPr>
          <w:b w:val="0"/>
          <w:i/>
        </w:rPr>
        <w:t>caduco</w:t>
      </w:r>
      <w:r>
        <w:rPr>
          <w:b w:val="0"/>
          <w:i w:val="0"/>
        </w:rPr>
        <w:t>.</w:t>
      </w:r>
    </w:p>
    <w:p>
      <w:pPr>
        <w:widowControl/>
      </w:pPr>
      <w:r>
        <w:rPr>
          <w:b w:val="0"/>
          <w:i w:val="0"/>
        </w:rPr>
        <w:t xml:space="preserve">Perishable or liable to fall away. Soul governs passing things, while a perishable elemental body differs from the reported perpetual ethereal vehicle. References: </w:t>
      </w:r>
      <w:hyperlink w:anchor="passage-v-12-13">
        <w:r>
          <w:rPr>
            <w:color w:val="000000"/>
          </w:rPr>
          <w:t xml:space="preserve">V.12.13</w:t>
        </w:r>
      </w:hyperlink>
      <w:r>
        <w:rPr>
          <w:b w:val="0"/>
          <w:i w:val="0"/>
        </w:rPr>
        <w:t xml:space="preserve">, </w:t>
      </w:r>
      <w:hyperlink w:anchor="passage-v-13-18">
        <w:r>
          <w:rPr>
            <w:color w:val="000000"/>
          </w:rPr>
          <w:t xml:space="preserve">V.13.18</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412" w:name="latin-record-0171"/>
      <w:bookmarkEnd w:id="412"/>
      <w:r>
        <w:rPr>
          <w:b/>
          <w:i w:val="0"/>
        </w:rPr>
        <w:t>caecus; noctua</w:t>
      </w:r>
      <w:r>
        <w:rPr>
          <w:b/>
          <w:i w:val="0"/>
        </w:rPr>
        <w:t>.</w:t>
      </w:r>
      <w:r>
        <w:rPr>
          <w:b w:val="0"/>
          <w:i w:val="0"/>
        </w:rPr>
        <w:t xml:space="preserve"> Printed forms: </w:t>
      </w:r>
      <w:r>
        <w:rPr>
          <w:b w:val="0"/>
          <w:i/>
        </w:rPr>
        <w:t>caecus</w:t>
      </w:r>
      <w:r>
        <w:rPr>
          <w:b w:val="0"/>
          <w:i w:val="0"/>
        </w:rPr>
        <w:t xml:space="preserve">; </w:t>
      </w:r>
      <w:r>
        <w:rPr>
          <w:b w:val="0"/>
          <w:i/>
        </w:rPr>
        <w:t>noctuae oculum</w:t>
      </w:r>
      <w:r>
        <w:rPr>
          <w:b w:val="0"/>
          <w:i w:val="0"/>
        </w:rPr>
        <w:t>.</w:t>
      </w:r>
    </w:p>
    <w:p>
      <w:pPr>
        <w:widowControl/>
      </w:pPr>
      <w:r>
        <w:rPr>
          <w:b w:val="0"/>
          <w:i w:val="0"/>
        </w:rPr>
        <w:t xml:space="preserve">Blindness and the owl’s eye as images of limited access to an object. They explain why what is clear in itself may be difficult for a particular knower; these are comparisons, not diagnoses.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413" w:name="latin-record-0172"/>
      <w:bookmarkEnd w:id="413"/>
      <w:r>
        <w:rPr>
          <w:b/>
          <w:i w:val="0"/>
        </w:rPr>
        <w:t>caecutire; titubare; aegrotare</w:t>
      </w:r>
      <w:r>
        <w:rPr>
          <w:b/>
          <w:i w:val="0"/>
        </w:rPr>
        <w:t>.</w:t>
      </w:r>
      <w:r>
        <w:rPr>
          <w:b w:val="0"/>
          <w:i w:val="0"/>
        </w:rPr>
        <w:t xml:space="preserve"> Printed forms: </w:t>
      </w:r>
      <w:r>
        <w:rPr>
          <w:b w:val="0"/>
          <w:i/>
        </w:rPr>
        <w:t>aegrotare</w:t>
      </w:r>
      <w:r>
        <w:rPr>
          <w:b w:val="0"/>
          <w:i w:val="0"/>
        </w:rPr>
        <w:t xml:space="preserve">; </w:t>
      </w:r>
      <w:r>
        <w:rPr>
          <w:b w:val="0"/>
          <w:i/>
        </w:rPr>
        <w:t>caecutire</w:t>
      </w:r>
      <w:r>
        <w:rPr>
          <w:b w:val="0"/>
          <w:i w:val="0"/>
        </w:rPr>
        <w:t xml:space="preserve">; </w:t>
      </w:r>
      <w:r>
        <w:rPr>
          <w:b w:val="0"/>
          <w:i/>
        </w:rPr>
        <w:t>titubare</w:t>
      </w:r>
      <w:r>
        <w:rPr>
          <w:b w:val="0"/>
          <w:i w:val="0"/>
        </w:rPr>
        <w:t>.</w:t>
      </w:r>
    </w:p>
    <w:p>
      <w:pPr>
        <w:widowControl/>
      </w:pPr>
      <w:r>
        <w:rPr>
          <w:b w:val="0"/>
          <w:i w:val="0"/>
        </w:rPr>
        <w:t xml:space="preserve">To grope blindly, stumble and be ill. The descent reverses the ascent’s adaptation to light and dramatizes the effects of sudden change. References: </w:t>
      </w:r>
      <w:hyperlink w:anchor="passage-vi-2-17">
        <w:r>
          <w:rPr>
            <w:color w:val="000000"/>
          </w:rPr>
          <w:t xml:space="preserve">VI.2.17</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414" w:name="latin-record-0173"/>
      <w:bookmarkEnd w:id="414"/>
      <w:r>
        <w:rPr>
          <w:b/>
          <w:i w:val="0"/>
        </w:rPr>
        <w:t>caelum; terra; mundus</w:t>
      </w:r>
      <w:r>
        <w:rPr>
          <w:b/>
          <w:i w:val="0"/>
        </w:rPr>
        <w:t>.</w:t>
      </w:r>
      <w:r>
        <w:rPr>
          <w:b w:val="0"/>
          <w:i w:val="0"/>
        </w:rPr>
        <w:t xml:space="preserve"> Printed forms: </w:t>
      </w:r>
      <w:r>
        <w:rPr>
          <w:b w:val="0"/>
          <w:i/>
        </w:rPr>
        <w:t>caeli</w:t>
      </w:r>
      <w:r>
        <w:rPr>
          <w:b w:val="0"/>
          <w:i w:val="0"/>
        </w:rPr>
        <w:t xml:space="preserve">; </w:t>
      </w:r>
      <w:r>
        <w:rPr>
          <w:b w:val="0"/>
          <w:i/>
        </w:rPr>
        <w:t>caelis</w:t>
      </w:r>
      <w:r>
        <w:rPr>
          <w:b w:val="0"/>
          <w:i w:val="0"/>
        </w:rPr>
        <w:t xml:space="preserve">; </w:t>
      </w:r>
      <w:r>
        <w:rPr>
          <w:b w:val="0"/>
          <w:i/>
        </w:rPr>
        <w:t>caelo</w:t>
      </w:r>
      <w:r>
        <w:rPr>
          <w:b w:val="0"/>
          <w:i w:val="0"/>
        </w:rPr>
        <w:t xml:space="preserve">; </w:t>
      </w:r>
      <w:r>
        <w:rPr>
          <w:b w:val="0"/>
          <w:i/>
        </w:rPr>
        <w:t>caelum</w:t>
      </w:r>
      <w:r>
        <w:rPr>
          <w:b w:val="0"/>
          <w:i w:val="0"/>
        </w:rPr>
        <w:t xml:space="preserve">; </w:t>
      </w:r>
      <w:r>
        <w:rPr>
          <w:b w:val="0"/>
          <w:i/>
        </w:rPr>
        <w:t>mundi</w:t>
      </w:r>
      <w:r>
        <w:rPr>
          <w:b w:val="0"/>
          <w:i w:val="0"/>
        </w:rPr>
        <w:t xml:space="preserve">; </w:t>
      </w:r>
      <w:r>
        <w:rPr>
          <w:b w:val="0"/>
          <w:i/>
        </w:rPr>
        <w:t>mundo</w:t>
      </w:r>
      <w:r>
        <w:rPr>
          <w:b w:val="0"/>
          <w:i w:val="0"/>
        </w:rPr>
        <w:t xml:space="preserve">; </w:t>
      </w:r>
      <w:r>
        <w:rPr>
          <w:b w:val="0"/>
          <w:i/>
        </w:rPr>
        <w:t>mundum</w:t>
      </w:r>
      <w:r>
        <w:rPr>
          <w:b w:val="0"/>
          <w:i w:val="0"/>
        </w:rPr>
        <w:t xml:space="preserve">; </w:t>
      </w:r>
      <w:r>
        <w:rPr>
          <w:b w:val="0"/>
          <w:i/>
        </w:rPr>
        <w:t>terra</w:t>
      </w:r>
      <w:r>
        <w:rPr>
          <w:b w:val="0"/>
          <w:i w:val="0"/>
        </w:rPr>
        <w:t xml:space="preserve">; </w:t>
      </w:r>
      <w:r>
        <w:rPr>
          <w:b w:val="0"/>
          <w:i/>
        </w:rPr>
        <w:t>terrae</w:t>
      </w:r>
      <w:r>
        <w:rPr>
          <w:b w:val="0"/>
          <w:i w:val="0"/>
        </w:rPr>
        <w:t>.</w:t>
      </w:r>
    </w:p>
    <w:p>
      <w:pPr>
        <w:widowControl/>
      </w:pPr>
      <w:r>
        <w:rPr>
          <w:b w:val="0"/>
          <w:i w:val="0"/>
        </w:rPr>
        <w:t xml:space="preserve">Heaven, earth and world, as spatial, cosmological or analogically intelligible domains. The visible and invisible worlds in the cave application differ from the physical sphere hierarchy; </w:t>
      </w:r>
      <w:r>
        <w:t>“</w:t>
      </w:r>
      <w:r>
        <w:rPr>
          <w:b w:val="0"/>
          <w:i w:val="0"/>
        </w:rPr>
        <w:t>beyond the world</w:t>
      </w:r>
      <w:r>
        <w:t>”</w:t>
      </w:r>
      <w:r>
        <w:rPr>
          <w:b w:val="0"/>
          <w:i w:val="0"/>
        </w:rPr>
        <w:t xml:space="preserve"> can concern cognitive scope rather than bodily travel. References: </w:t>
      </w:r>
      <w:hyperlink w:anchor="passage-vi-2-2">
        <w:r>
          <w:rPr>
            <w:color w:val="000000"/>
          </w:rPr>
          <w:t xml:space="preserve">VI.2.2</w:t>
        </w:r>
      </w:hyperlink>
      <w:r>
        <w:rPr>
          <w:b w:val="0"/>
          <w:i w:val="0"/>
        </w:rPr>
        <w:t xml:space="preserve">, </w:t>
      </w:r>
      <w:hyperlink w:anchor="passage-vi-2-3">
        <w:r>
          <w:rPr>
            <w:color w:val="000000"/>
          </w:rPr>
          <w:t xml:space="preserve">VI.2.3</w:t>
        </w:r>
      </w:hyperlink>
      <w:r>
        <w:rPr>
          <w:b w:val="0"/>
          <w:i w:val="0"/>
        </w:rPr>
        <w:t xml:space="preserve">, </w:t>
      </w:r>
      <w:hyperlink w:anchor="passage-vi-2-16">
        <w:r>
          <w:rPr>
            <w:color w:val="000000"/>
          </w:rPr>
          <w:t xml:space="preserve">VI.2.16</w:t>
        </w:r>
      </w:hyperlink>
      <w:r>
        <w:rPr>
          <w:b w:val="0"/>
          <w:i w:val="0"/>
        </w:rPr>
        <w:t xml:space="preserve">, </w:t>
      </w:r>
      <w:hyperlink w:anchor="passage-vi-2-22">
        <w:r>
          <w:rPr>
            <w:color w:val="000000"/>
          </w:rPr>
          <w:t xml:space="preserve">VI.2.22</w:t>
        </w:r>
      </w:hyperlink>
      <w:r>
        <w:rPr>
          <w:b w:val="0"/>
          <w:i w:val="0"/>
        </w:rPr>
        <w:t xml:space="preserve">, </w:t>
      </w:r>
      <w:hyperlink w:anchor="passage-vi-2-24">
        <w:r>
          <w:rPr>
            <w:color w:val="000000"/>
          </w:rPr>
          <w:t xml:space="preserve">VI.2.24</w:t>
        </w:r>
      </w:hyperlink>
      <w:r>
        <w:rPr>
          <w:b w:val="0"/>
          <w:i w:val="0"/>
        </w:rPr>
        <w:t xml:space="preserve">, </w:t>
      </w:r>
      <w:hyperlink w:anchor="passage-vi-8-2">
        <w:r>
          <w:rPr>
            <w:color w:val="000000"/>
          </w:rPr>
          <w:t xml:space="preserve">VI.8.2</w:t>
        </w:r>
      </w:hyperlink>
      <w:r>
        <w:rPr>
          <w:b w:val="0"/>
          <w:i w:val="0"/>
        </w:rPr>
        <w:t xml:space="preserve">, </w:t>
      </w:r>
      <w:hyperlink w:anchor="passage-vi-8-7">
        <w:r>
          <w:rPr>
            <w:color w:val="000000"/>
          </w:rPr>
          <w:t xml:space="preserve">VI.8.7</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415" w:name="latin-record-0174"/>
      <w:bookmarkEnd w:id="415"/>
      <w:r>
        <w:rPr>
          <w:b/>
          <w:i w:val="0"/>
        </w:rPr>
        <w:t>calefacere; calefieri</w:t>
      </w:r>
      <w:r>
        <w:rPr>
          <w:b/>
          <w:i w:val="0"/>
        </w:rPr>
        <w:t>.</w:t>
      </w:r>
      <w:r>
        <w:rPr>
          <w:b w:val="0"/>
          <w:i w:val="0"/>
        </w:rPr>
        <w:t xml:space="preserve"> Printed forms: </w:t>
      </w:r>
      <w:r>
        <w:rPr>
          <w:b w:val="0"/>
          <w:i/>
        </w:rPr>
        <w:t>calefacere</w:t>
      </w:r>
      <w:r>
        <w:rPr>
          <w:b w:val="0"/>
          <w:i w:val="0"/>
        </w:rPr>
        <w:t xml:space="preserve">; </w:t>
      </w:r>
      <w:r>
        <w:rPr>
          <w:b w:val="0"/>
          <w:i/>
        </w:rPr>
        <w:t>calefacit</w:t>
      </w:r>
      <w:r>
        <w:rPr>
          <w:b w:val="0"/>
          <w:i w:val="0"/>
        </w:rPr>
        <w:t xml:space="preserve">; </w:t>
      </w:r>
      <w:r>
        <w:rPr>
          <w:b w:val="0"/>
          <w:i/>
        </w:rPr>
        <w:t>calefit</w:t>
      </w:r>
      <w:r>
        <w:rPr>
          <w:b w:val="0"/>
          <w:i w:val="0"/>
        </w:rPr>
        <w:t>.</w:t>
      </w:r>
    </w:p>
    <w:p>
      <w:pPr>
        <w:widowControl/>
      </w:pPr>
      <w:r>
        <w:rPr>
          <w:b w:val="0"/>
          <w:i w:val="0"/>
        </w:rPr>
        <w:t xml:space="preserve">To heat and to become heated. A supposed body heating itself would both have and lack the heat in the same respect, producing the initial aporia. References: </w:t>
      </w:r>
      <w:hyperlink w:anchor="passage-vi-12-13">
        <w:r>
          <w:rPr>
            <w:color w:val="000000"/>
          </w:rPr>
          <w:t xml:space="preserve">VI.12.13</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416" w:name="latin-record-0175"/>
      <w:bookmarkEnd w:id="416"/>
      <w:r>
        <w:rPr>
          <w:b/>
          <w:i w:val="0"/>
        </w:rPr>
        <w:t>calefactio</w:t>
      </w:r>
      <w:r>
        <w:rPr>
          <w:b/>
          <w:i w:val="0"/>
        </w:rPr>
        <w:t>.</w:t>
      </w:r>
      <w:r>
        <w:rPr>
          <w:b w:val="0"/>
          <w:i w:val="0"/>
        </w:rPr>
        <w:t xml:space="preserve"> Printed forms: </w:t>
      </w:r>
      <w:r>
        <w:rPr>
          <w:b w:val="0"/>
          <w:i/>
        </w:rPr>
        <w:t>calefactio</w:t>
      </w:r>
      <w:r>
        <w:rPr>
          <w:b w:val="0"/>
          <w:i w:val="0"/>
        </w:rPr>
        <w:t>.</w:t>
      </w:r>
    </w:p>
    <w:p>
      <w:pPr>
        <w:widowControl/>
      </w:pPr>
      <w:r>
        <w:rPr>
          <w:b w:val="0"/>
          <w:i w:val="0"/>
        </w:rPr>
        <w:t xml:space="preserve">Heating as an activity passing from an agent toward another subject. It differs from the agent’s being, which does not flow outward in the same way. References: </w:t>
      </w:r>
      <w:hyperlink w:anchor="passage-v-13-10">
        <w:r>
          <w:rPr>
            <w:color w:val="000000"/>
          </w:rPr>
          <w:t xml:space="preserve">V.13.10</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417" w:name="latin-record-0176"/>
      <w:bookmarkEnd w:id="417"/>
      <w:r>
        <w:rPr>
          <w:b/>
          <w:i w:val="0"/>
        </w:rPr>
        <w:t>calere</w:t>
      </w:r>
      <w:r>
        <w:rPr>
          <w:b/>
          <w:i w:val="0"/>
        </w:rPr>
        <w:t>.</w:t>
      </w:r>
      <w:r>
        <w:rPr>
          <w:b w:val="0"/>
          <w:i w:val="0"/>
        </w:rPr>
        <w:t xml:space="preserve"> Printed forms: </w:t>
      </w:r>
      <w:r>
        <w:rPr>
          <w:b w:val="0"/>
          <w:i/>
        </w:rPr>
        <w:t>calere</w:t>
      </w:r>
      <w:r>
        <w:rPr>
          <w:b w:val="0"/>
          <w:i w:val="0"/>
        </w:rPr>
        <w:t xml:space="preserve">; </w:t>
      </w:r>
      <w:r>
        <w:rPr>
          <w:b w:val="0"/>
          <w:i/>
        </w:rPr>
        <w:t>Calere</w:t>
      </w:r>
      <w:r>
        <w:rPr>
          <w:b w:val="0"/>
          <w:i w:val="0"/>
        </w:rPr>
        <w:t xml:space="preserve">; </w:t>
      </w:r>
      <w:r>
        <w:rPr>
          <w:b w:val="0"/>
          <w:i/>
        </w:rPr>
        <w:t>calerent</w:t>
      </w:r>
      <w:r>
        <w:rPr>
          <w:b w:val="0"/>
          <w:i w:val="0"/>
        </w:rPr>
        <w:t xml:space="preserve">; </w:t>
      </w:r>
      <w:r>
        <w:rPr>
          <w:b w:val="0"/>
          <w:i/>
        </w:rPr>
        <w:t>calet</w:t>
      </w:r>
      <w:r>
        <w:rPr>
          <w:b w:val="0"/>
          <w:i w:val="0"/>
        </w:rPr>
        <w:t>.</w:t>
      </w:r>
    </w:p>
    <w:p>
      <w:pPr>
        <w:widowControl/>
      </w:pPr>
      <w:r>
        <w:rPr>
          <w:b w:val="0"/>
          <w:i w:val="0"/>
        </w:rPr>
        <w:t xml:space="preserve">To be hot, distinct from simply being. If hotness and existence were identical, everything existent would be hot; the absurd consequence blocks a simple transfer of the fire analogy. References: </w:t>
      </w:r>
      <w:hyperlink w:anchor="passage-v-9-4">
        <w:r>
          <w:rPr>
            <w:color w:val="000000"/>
          </w:rPr>
          <w:t xml:space="preserve">V.9.4</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418" w:name="latin-record-0177"/>
      <w:bookmarkEnd w:id="418"/>
      <w:r>
        <w:rPr>
          <w:b/>
          <w:i w:val="0"/>
        </w:rPr>
        <w:t>calere; lucere; collustrare</w:t>
      </w:r>
      <w:r>
        <w:rPr>
          <w:b/>
          <w:i w:val="0"/>
        </w:rPr>
        <w:t>.</w:t>
      </w:r>
      <w:r>
        <w:rPr>
          <w:b w:val="0"/>
          <w:i w:val="0"/>
        </w:rPr>
        <w:t xml:space="preserve"> Printed forms: </w:t>
      </w:r>
      <w:r>
        <w:rPr>
          <w:b w:val="0"/>
          <w:i/>
        </w:rPr>
        <w:t>calens</w:t>
      </w:r>
      <w:r>
        <w:rPr>
          <w:b w:val="0"/>
          <w:i w:val="0"/>
        </w:rPr>
        <w:t xml:space="preserve">; </w:t>
      </w:r>
      <w:r>
        <w:rPr>
          <w:b w:val="0"/>
          <w:i/>
        </w:rPr>
        <w:t>collustret</w:t>
      </w:r>
      <w:r>
        <w:rPr>
          <w:b w:val="0"/>
          <w:i w:val="0"/>
        </w:rPr>
        <w:t xml:space="preserve">; </w:t>
      </w:r>
      <w:r>
        <w:rPr>
          <w:b w:val="0"/>
          <w:i/>
        </w:rPr>
        <w:t>fervet</w:t>
      </w:r>
      <w:r>
        <w:rPr>
          <w:b w:val="0"/>
          <w:i w:val="0"/>
        </w:rPr>
        <w:t xml:space="preserve">; </w:t>
      </w:r>
      <w:r>
        <w:rPr>
          <w:b w:val="0"/>
          <w:i/>
        </w:rPr>
        <w:t>fulget</w:t>
      </w:r>
      <w:r>
        <w:rPr>
          <w:b w:val="0"/>
          <w:i w:val="0"/>
        </w:rPr>
        <w:t xml:space="preserve">; </w:t>
      </w:r>
      <w:r>
        <w:rPr>
          <w:b w:val="0"/>
          <w:i/>
        </w:rPr>
        <w:t>lucens</w:t>
      </w:r>
      <w:r>
        <w:rPr>
          <w:b w:val="0"/>
          <w:i w:val="0"/>
        </w:rPr>
        <w:t>.</w:t>
      </w:r>
    </w:p>
    <w:p>
      <w:pPr>
        <w:widowControl/>
      </w:pPr>
      <w:r>
        <w:rPr>
          <w:b w:val="0"/>
          <w:i w:val="0"/>
        </w:rPr>
        <w:t xml:space="preserve">To be warm, shine and illuminate together. The staged predicates lead from an indivisible active form to life and sensation, then conditionally to self-reflective understanding.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419" w:name="latin-record-0178"/>
      <w:bookmarkEnd w:id="419"/>
      <w:r>
        <w:rPr>
          <w:b/>
          <w:i w:val="0"/>
        </w:rPr>
        <w:t>caliditas / siccitas / frigus</w:t>
      </w:r>
      <w:r>
        <w:rPr>
          <w:b/>
          <w:i w:val="0"/>
        </w:rPr>
        <w:t>.</w:t>
      </w:r>
      <w:r>
        <w:rPr>
          <w:b w:val="0"/>
          <w:i w:val="0"/>
        </w:rPr>
        <w:t xml:space="preserve"> Printed forms: </w:t>
      </w:r>
      <w:r>
        <w:rPr>
          <w:b w:val="0"/>
          <w:i/>
        </w:rPr>
        <w:t>caliditatem</w:t>
      </w:r>
      <w:r>
        <w:rPr>
          <w:b w:val="0"/>
          <w:i w:val="0"/>
        </w:rPr>
        <w:t xml:space="preserve">; </w:t>
      </w:r>
      <w:r>
        <w:rPr>
          <w:b w:val="0"/>
          <w:i/>
        </w:rPr>
        <w:t>frigus</w:t>
      </w:r>
      <w:r>
        <w:rPr>
          <w:b w:val="0"/>
          <w:i w:val="0"/>
        </w:rPr>
        <w:t xml:space="preserve">; </w:t>
      </w:r>
      <w:r>
        <w:rPr>
          <w:b w:val="0"/>
          <w:i/>
        </w:rPr>
        <w:t>siccitatemque</w:t>
      </w:r>
      <w:r>
        <w:rPr>
          <w:b w:val="0"/>
          <w:i w:val="0"/>
        </w:rPr>
        <w:t xml:space="preserve">; </w:t>
      </w:r>
      <w:r>
        <w:rPr>
          <w:b w:val="0"/>
          <w:i/>
        </w:rPr>
        <w:t>siccumque</w:t>
      </w:r>
      <w:r>
        <w:rPr>
          <w:b w:val="0"/>
          <w:i w:val="0"/>
        </w:rPr>
        <w:t>.</w:t>
      </w:r>
    </w:p>
    <w:p>
      <w:pPr>
        <w:widowControl/>
      </w:pPr>
      <w:r>
        <w:rPr>
          <w:b w:val="0"/>
          <w:i w:val="0"/>
        </w:rPr>
        <w:t xml:space="preserve">Heat, dryness and cold as elemental qualities. Heat with dryness would yield bodily fire, cold with dryness earth; neither mixture is the spiritual image needed for cognition.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420" w:name="latin-record-0179"/>
      <w:bookmarkEnd w:id="420"/>
      <w:r>
        <w:rPr>
          <w:b/>
          <w:i w:val="0"/>
        </w:rPr>
        <w:t>calidus; frigidus; siccus; humidus</w:t>
      </w:r>
      <w:r>
        <w:rPr>
          <w:b/>
          <w:i w:val="0"/>
        </w:rPr>
        <w:t>.</w:t>
      </w:r>
      <w:r>
        <w:rPr>
          <w:b w:val="0"/>
          <w:i w:val="0"/>
        </w:rPr>
        <w:t xml:space="preserve"> Printed forms: </w:t>
      </w:r>
      <w:r>
        <w:rPr>
          <w:b w:val="0"/>
          <w:i/>
        </w:rPr>
        <w:t>calidum vel frigidum</w:t>
      </w:r>
      <w:r>
        <w:rPr>
          <w:b w:val="0"/>
          <w:i w:val="0"/>
        </w:rPr>
        <w:t xml:space="preserve">; </w:t>
      </w:r>
      <w:r>
        <w:rPr>
          <w:b w:val="0"/>
          <w:i/>
        </w:rPr>
        <w:t>siccum vel humidum</w:t>
      </w:r>
      <w:r>
        <w:rPr>
          <w:b w:val="0"/>
          <w:i w:val="0"/>
        </w:rPr>
        <w:t>.</w:t>
      </w:r>
    </w:p>
    <w:p>
      <w:pPr>
        <w:widowControl/>
      </w:pPr>
      <w:r>
        <w:rPr>
          <w:b w:val="0"/>
          <w:i w:val="0"/>
        </w:rPr>
        <w:t xml:space="preserve">Hot/cold and dry/moist as opposed elementary qualities. They begin the sequence of bodily determinations to which an alleged soul-body would be confined.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421" w:name="latin-record-0180"/>
      <w:bookmarkEnd w:id="421"/>
      <w:r>
        <w:rPr>
          <w:b/>
          <w:i w:val="0"/>
        </w:rPr>
        <w:t>caligare; dolere</w:t>
      </w:r>
      <w:r>
        <w:rPr>
          <w:b/>
          <w:i w:val="0"/>
        </w:rPr>
        <w:t>.</w:t>
      </w:r>
      <w:r>
        <w:rPr>
          <w:b w:val="0"/>
          <w:i w:val="0"/>
        </w:rPr>
        <w:t xml:space="preserve"> Printed forms: </w:t>
      </w:r>
      <w:r>
        <w:rPr>
          <w:b w:val="0"/>
          <w:i/>
        </w:rPr>
        <w:t>caligabit</w:t>
      </w:r>
      <w:r>
        <w:rPr>
          <w:b w:val="0"/>
          <w:i w:val="0"/>
        </w:rPr>
        <w:t xml:space="preserve">; </w:t>
      </w:r>
      <w:r>
        <w:rPr>
          <w:b w:val="0"/>
          <w:i/>
        </w:rPr>
        <w:t>caligamus</w:t>
      </w:r>
      <w:r>
        <w:rPr>
          <w:b w:val="0"/>
          <w:i w:val="0"/>
        </w:rPr>
        <w:t xml:space="preserve">; </w:t>
      </w:r>
      <w:r>
        <w:rPr>
          <w:b w:val="0"/>
          <w:i/>
        </w:rPr>
        <w:t>dolebit</w:t>
      </w:r>
      <w:r>
        <w:rPr>
          <w:b w:val="0"/>
          <w:i w:val="0"/>
        </w:rPr>
        <w:t xml:space="preserve">; </w:t>
      </w:r>
      <w:r>
        <w:rPr>
          <w:b w:val="0"/>
          <w:i/>
        </w:rPr>
        <w:t>dolemus</w:t>
      </w:r>
      <w:r>
        <w:rPr>
          <w:b w:val="0"/>
          <w:i w:val="0"/>
        </w:rPr>
        <w:t>.</w:t>
      </w:r>
    </w:p>
    <w:p>
      <w:pPr>
        <w:widowControl/>
      </w:pPr>
      <w:r>
        <w:rPr>
          <w:b w:val="0"/>
          <w:i w:val="0"/>
        </w:rPr>
        <w:t xml:space="preserve">To have clouded sight and suffer pain. Sudden exposure to brighter objects motivates the necessity of gradual education. References: </w:t>
      </w:r>
      <w:hyperlink w:anchor="passage-vi-2-15">
        <w:r>
          <w:rPr>
            <w:color w:val="000000"/>
          </w:rPr>
          <w:t xml:space="preserve">VI.2.15</w:t>
        </w:r>
      </w:hyperlink>
      <w:r>
        <w:rPr>
          <w:b w:val="0"/>
          <w:i w:val="0"/>
        </w:rPr>
        <w:t xml:space="preserve">, </w:t>
      </w:r>
      <w:hyperlink w:anchor="passage-vi-2-16">
        <w:r>
          <w:rPr>
            <w:color w:val="000000"/>
          </w:rPr>
          <w:t xml:space="preserve">VI.2.16</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422" w:name="latin-record-0181"/>
      <w:bookmarkEnd w:id="422"/>
      <w:r>
        <w:rPr>
          <w:b/>
          <w:i w:val="0"/>
        </w:rPr>
        <w:t>calor / caliditas</w:t>
      </w:r>
      <w:r>
        <w:rPr>
          <w:b/>
          <w:i w:val="0"/>
        </w:rPr>
        <w:t>.</w:t>
      </w:r>
      <w:r>
        <w:rPr>
          <w:b w:val="0"/>
          <w:i w:val="0"/>
        </w:rPr>
        <w:t xml:space="preserve"> Printed forms: </w:t>
      </w:r>
      <w:r>
        <w:rPr>
          <w:b w:val="0"/>
          <w:i/>
        </w:rPr>
        <w:t>Caliditas</w:t>
      </w:r>
      <w:r>
        <w:rPr>
          <w:b w:val="0"/>
          <w:i w:val="0"/>
        </w:rPr>
        <w:t xml:space="preserve">; </w:t>
      </w:r>
      <w:r>
        <w:rPr>
          <w:b w:val="0"/>
          <w:i/>
        </w:rPr>
        <w:t>caliditate</w:t>
      </w:r>
      <w:r>
        <w:rPr>
          <w:b w:val="0"/>
          <w:i w:val="0"/>
        </w:rPr>
        <w:t xml:space="preserve">; </w:t>
      </w:r>
      <w:r>
        <w:rPr>
          <w:b w:val="0"/>
          <w:i/>
        </w:rPr>
        <w:t>caliditatem</w:t>
      </w:r>
      <w:r>
        <w:rPr>
          <w:b w:val="0"/>
          <w:i w:val="0"/>
        </w:rPr>
        <w:t xml:space="preserve">; </w:t>
      </w:r>
      <w:r>
        <w:rPr>
          <w:b w:val="0"/>
          <w:i/>
        </w:rPr>
        <w:t>caliditati</w:t>
      </w:r>
      <w:r>
        <w:rPr>
          <w:b w:val="0"/>
          <w:i w:val="0"/>
        </w:rPr>
        <w:t xml:space="preserve">; </w:t>
      </w:r>
      <w:r>
        <w:rPr>
          <w:b w:val="0"/>
          <w:i/>
        </w:rPr>
        <w:t>calor</w:t>
      </w:r>
      <w:r>
        <w:rPr>
          <w:b w:val="0"/>
          <w:i w:val="0"/>
        </w:rPr>
        <w:t xml:space="preserve">; </w:t>
      </w:r>
      <w:r>
        <w:rPr>
          <w:b w:val="0"/>
          <w:i/>
        </w:rPr>
        <w:t>calorem</w:t>
      </w:r>
      <w:r>
        <w:rPr>
          <w:b w:val="0"/>
          <w:i w:val="0"/>
        </w:rPr>
        <w:t xml:space="preserve">; </w:t>
      </w:r>
      <w:r>
        <w:rPr>
          <w:b w:val="0"/>
          <w:i/>
        </w:rPr>
        <w:t>caloris</w:t>
      </w:r>
      <w:r>
        <w:rPr>
          <w:b w:val="0"/>
          <w:i w:val="0"/>
        </w:rPr>
        <w:t>.</w:t>
      </w:r>
    </w:p>
    <w:p>
      <w:pPr>
        <w:widowControl/>
      </w:pPr>
      <w:r>
        <w:rPr>
          <w:b w:val="0"/>
          <w:i w:val="0"/>
        </w:rPr>
        <w:t xml:space="preserve">Heat or warmth; sometimes provisionally the unnamed substantial form of fire. V.8.2 expressly qualifies the naming, so sensible heat and substantial form must not be uncritically identified. References: </w:t>
      </w:r>
      <w:hyperlink w:anchor="passage-v-8-2">
        <w:r>
          <w:rPr>
            <w:color w:val="000000"/>
          </w:rPr>
          <w:t xml:space="preserve">V.8.2</w:t>
        </w:r>
      </w:hyperlink>
      <w:r>
        <w:rPr>
          <w:b w:val="0"/>
          <w:i w:val="0"/>
        </w:rPr>
        <w:t xml:space="preserve">, </w:t>
      </w:r>
      <w:hyperlink w:anchor="passage-v-9-4">
        <w:r>
          <w:rPr>
            <w:color w:val="000000"/>
          </w:rPr>
          <w:t xml:space="preserve">V.9.4</w:t>
        </w:r>
      </w:hyperlink>
      <w:r>
        <w:rPr>
          <w:b w:val="0"/>
          <w:i w:val="0"/>
        </w:rPr>
        <w:t xml:space="preserve">, </w:t>
      </w:r>
      <w:hyperlink w:anchor="passage-v-14-3">
        <w:r>
          <w:rPr>
            <w:color w:val="000000"/>
          </w:rPr>
          <w:t xml:space="preserve">V.14.3</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423" w:name="latin-record-0182"/>
      <w:bookmarkEnd w:id="423"/>
      <w:r>
        <w:rPr>
          <w:b/>
          <w:i w:val="0"/>
        </w:rPr>
        <w:t>calor / penetrare / dissolvere</w:t>
      </w:r>
      <w:r>
        <w:rPr>
          <w:b/>
          <w:i w:val="0"/>
        </w:rPr>
        <w:t>.</w:t>
      </w:r>
      <w:r>
        <w:rPr>
          <w:b w:val="0"/>
          <w:i w:val="0"/>
        </w:rPr>
        <w:t xml:space="preserve"> Printed forms: </w:t>
      </w:r>
      <w:r>
        <w:rPr>
          <w:b w:val="0"/>
          <w:i/>
        </w:rPr>
        <w:t>calor</w:t>
      </w:r>
      <w:r>
        <w:rPr>
          <w:b w:val="0"/>
          <w:i w:val="0"/>
        </w:rPr>
        <w:t xml:space="preserve">; </w:t>
      </w:r>
      <w:r>
        <w:rPr>
          <w:b w:val="0"/>
          <w:i/>
        </w:rPr>
        <w:t>calorem</w:t>
      </w:r>
      <w:r>
        <w:rPr>
          <w:b w:val="0"/>
          <w:i w:val="0"/>
        </w:rPr>
        <w:t xml:space="preserve">; </w:t>
      </w:r>
      <w:r>
        <w:rPr>
          <w:b w:val="0"/>
          <w:i/>
        </w:rPr>
        <w:t>caloris</w:t>
      </w:r>
      <w:r>
        <w:rPr>
          <w:b w:val="0"/>
          <w:i w:val="0"/>
        </w:rPr>
        <w:t xml:space="preserve">; </w:t>
      </w:r>
      <w:r>
        <w:rPr>
          <w:b w:val="0"/>
          <w:i/>
        </w:rPr>
        <w:t>Caloris</w:t>
      </w:r>
      <w:r>
        <w:rPr>
          <w:b w:val="0"/>
          <w:i w:val="0"/>
        </w:rPr>
        <w:t xml:space="preserve">; </w:t>
      </w:r>
      <w:r>
        <w:rPr>
          <w:b w:val="0"/>
          <w:i/>
        </w:rPr>
        <w:t>dissolvere</w:t>
      </w:r>
      <w:r>
        <w:rPr>
          <w:b w:val="0"/>
          <w:i w:val="0"/>
        </w:rPr>
        <w:t xml:space="preserve">; </w:t>
      </w:r>
      <w:r>
        <w:rPr>
          <w:b w:val="0"/>
          <w:i/>
        </w:rPr>
        <w:t>dissolvit</w:t>
      </w:r>
      <w:r>
        <w:rPr>
          <w:b w:val="0"/>
          <w:i w:val="0"/>
        </w:rPr>
        <w:t xml:space="preserve">; </w:t>
      </w:r>
      <w:r>
        <w:rPr>
          <w:b w:val="0"/>
          <w:i/>
        </w:rPr>
        <w:t>penetrare</w:t>
      </w:r>
      <w:r>
        <w:rPr>
          <w:b w:val="0"/>
          <w:i w:val="0"/>
        </w:rPr>
        <w:t>.</w:t>
      </w:r>
    </w:p>
    <w:p>
      <w:pPr>
        <w:widowControl/>
      </w:pPr>
      <w:r>
        <w:rPr>
          <w:b w:val="0"/>
          <w:i w:val="0"/>
        </w:rPr>
        <w:t xml:space="preserve">Heat and its proper actions of penetrating and dissolving. Heat contributes to nutrition as an instrument but does not itself specify living flesh or the animal’s final dimensions.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424" w:name="latin-record-0183"/>
      <w:bookmarkEnd w:id="424"/>
      <w:r>
        <w:rPr>
          <w:b/>
          <w:i w:val="0"/>
        </w:rPr>
        <w:t>calor; calere</w:t>
      </w:r>
      <w:r>
        <w:rPr>
          <w:b/>
          <w:i w:val="0"/>
        </w:rPr>
        <w:t>.</w:t>
      </w:r>
      <w:r>
        <w:rPr>
          <w:b w:val="0"/>
          <w:i w:val="0"/>
        </w:rPr>
        <w:t xml:space="preserve"> Printed forms: </w:t>
      </w:r>
      <w:r>
        <w:rPr>
          <w:b w:val="0"/>
          <w:i/>
        </w:rPr>
        <w:t>calens</w:t>
      </w:r>
      <w:r>
        <w:rPr>
          <w:b w:val="0"/>
          <w:i w:val="0"/>
        </w:rPr>
        <w:t xml:space="preserve">; </w:t>
      </w:r>
      <w:r>
        <w:rPr>
          <w:b w:val="0"/>
          <w:i/>
        </w:rPr>
        <w:t>calet</w:t>
      </w:r>
      <w:r>
        <w:rPr>
          <w:b w:val="0"/>
          <w:i w:val="0"/>
        </w:rPr>
        <w:t xml:space="preserve">; </w:t>
      </w:r>
      <w:r>
        <w:rPr>
          <w:b w:val="0"/>
          <w:i/>
        </w:rPr>
        <w:t>calor</w:t>
      </w:r>
      <w:r>
        <w:rPr>
          <w:b w:val="0"/>
          <w:i w:val="0"/>
        </w:rPr>
        <w:t xml:space="preserve">; </w:t>
      </w:r>
      <w:r>
        <w:rPr>
          <w:b w:val="0"/>
          <w:i/>
        </w:rPr>
        <w:t>calorem</w:t>
      </w:r>
      <w:r>
        <w:rPr>
          <w:b w:val="0"/>
          <w:i w:val="0"/>
        </w:rPr>
        <w:t xml:space="preserve">; </w:t>
      </w:r>
      <w:r>
        <w:rPr>
          <w:b w:val="0"/>
          <w:i/>
        </w:rPr>
        <w:t>caloris</w:t>
      </w:r>
      <w:r>
        <w:rPr>
          <w:b w:val="0"/>
          <w:i w:val="0"/>
        </w:rPr>
        <w:t>.</w:t>
      </w:r>
    </w:p>
    <w:p>
      <w:pPr>
        <w:widowControl/>
      </w:pPr>
      <w:r>
        <w:rPr>
          <w:b w:val="0"/>
          <w:i w:val="0"/>
        </w:rPr>
        <w:t xml:space="preserve">Heat and being hot, either quality or the illustrative activity of fire. The distributed warm-constitution account, concentrated fiery form and self-heating contradiction use heat in different argumentative roles. References: </w:t>
      </w:r>
      <w:hyperlink w:anchor="passage-vi-1-3">
        <w:r>
          <w:rPr>
            <w:color w:val="000000"/>
          </w:rPr>
          <w:t xml:space="preserve">VI.1.3</w:t>
        </w:r>
      </w:hyperlink>
      <w:r>
        <w:rPr>
          <w:b w:val="0"/>
          <w:i w:val="0"/>
        </w:rPr>
        <w:t xml:space="preserve">, </w:t>
      </w:r>
      <w:hyperlink w:anchor="passage-vi-2-21">
        <w:r>
          <w:rPr>
            <w:color w:val="000000"/>
          </w:rPr>
          <w:t xml:space="preserve">VI.2.21</w:t>
        </w:r>
      </w:hyperlink>
      <w:r>
        <w:rPr>
          <w:b w:val="0"/>
          <w:i w:val="0"/>
        </w:rPr>
        <w:t xml:space="preserve">, </w:t>
      </w:r>
      <w:hyperlink w:anchor="passage-vi-12-9">
        <w:r>
          <w:rPr>
            <w:color w:val="000000"/>
          </w:rPr>
          <w:t xml:space="preserve">VI.12.9</w:t>
        </w:r>
      </w:hyperlink>
      <w:r>
        <w:rPr>
          <w:b w:val="0"/>
          <w:i w:val="0"/>
        </w:rPr>
        <w:t xml:space="preserve">, </w:t>
      </w:r>
      <w:hyperlink w:anchor="passage-vi-12-10">
        <w:r>
          <w:rPr>
            <w:color w:val="000000"/>
          </w:rPr>
          <w:t xml:space="preserve">VI.12.10</w:t>
        </w:r>
      </w:hyperlink>
      <w:r>
        <w:rPr>
          <w:b w:val="0"/>
          <w:i w:val="0"/>
        </w:rPr>
        <w:t xml:space="preserve">, </w:t>
      </w:r>
      <w:hyperlink w:anchor="passage-vi-12-13">
        <w:r>
          <w:rPr>
            <w:color w:val="000000"/>
          </w:rPr>
          <w:t xml:space="preserve">VI.12.13</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425" w:name="latin-record-0184"/>
      <w:bookmarkEnd w:id="425"/>
      <w:r>
        <w:rPr>
          <w:b/>
          <w:i w:val="0"/>
        </w:rPr>
        <w:t>canis / agnus / sagacitas</w:t>
      </w:r>
      <w:r>
        <w:rPr>
          <w:b/>
          <w:i w:val="0"/>
        </w:rPr>
        <w:t>.</w:t>
      </w:r>
      <w:r>
        <w:rPr>
          <w:b w:val="0"/>
          <w:i w:val="0"/>
        </w:rPr>
        <w:t xml:space="preserve"> Printed forms: </w:t>
      </w:r>
      <w:r>
        <w:rPr>
          <w:b w:val="0"/>
          <w:i/>
        </w:rPr>
        <w:t>agno</w:t>
      </w:r>
      <w:r>
        <w:rPr>
          <w:b w:val="0"/>
          <w:i w:val="0"/>
        </w:rPr>
        <w:t xml:space="preserve">; </w:t>
      </w:r>
      <w:r>
        <w:rPr>
          <w:b w:val="0"/>
          <w:i/>
        </w:rPr>
        <w:t>canis</w:t>
      </w:r>
      <w:r>
        <w:rPr>
          <w:b w:val="0"/>
          <w:i w:val="0"/>
        </w:rPr>
        <w:t xml:space="preserve">; </w:t>
      </w:r>
      <w:r>
        <w:rPr>
          <w:b w:val="0"/>
          <w:i/>
        </w:rPr>
        <w:t>sagacior</w:t>
      </w:r>
      <w:r>
        <w:rPr>
          <w:b w:val="0"/>
          <w:i w:val="0"/>
        </w:rPr>
        <w:t>.</w:t>
      </w:r>
    </w:p>
    <w:p>
      <w:pPr>
        <w:widowControl/>
      </w:pPr>
      <w:r>
        <w:rPr>
          <w:b w:val="0"/>
          <w:i w:val="0"/>
        </w:rPr>
        <w:t xml:space="preserve">Dog and lamb contrasted in discernment. The example belongs to the second series, showing that smaller size is not always cognitively preferable.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426" w:name="latin-record-0185"/>
      <w:bookmarkEnd w:id="426"/>
      <w:r>
        <w:rPr>
          <w:b/>
          <w:i w:val="0"/>
        </w:rPr>
        <w:t>canis / equus / homo</w:t>
      </w:r>
      <w:r>
        <w:rPr>
          <w:b/>
          <w:i w:val="0"/>
        </w:rPr>
        <w:t>.</w:t>
      </w:r>
      <w:r>
        <w:rPr>
          <w:b w:val="0"/>
          <w:i w:val="0"/>
        </w:rPr>
        <w:t xml:space="preserve"> Printed forms: </w:t>
      </w:r>
      <w:r>
        <w:rPr>
          <w:b w:val="0"/>
          <w:i/>
        </w:rPr>
        <w:t>canis</w:t>
      </w:r>
      <w:r>
        <w:rPr>
          <w:b w:val="0"/>
          <w:i w:val="0"/>
        </w:rPr>
        <w:t xml:space="preserve">; </w:t>
      </w:r>
      <w:r>
        <w:rPr>
          <w:b w:val="0"/>
          <w:i/>
        </w:rPr>
        <w:t>equus</w:t>
      </w:r>
      <w:r>
        <w:rPr>
          <w:b w:val="0"/>
          <w:i w:val="0"/>
        </w:rPr>
        <w:t xml:space="preserve">; </w:t>
      </w:r>
      <w:r>
        <w:rPr>
          <w:b w:val="0"/>
          <w:i/>
        </w:rPr>
        <w:t>homo</w:t>
      </w:r>
      <w:r>
        <w:rPr>
          <w:b w:val="0"/>
          <w:i w:val="0"/>
        </w:rPr>
        <w:t>.</w:t>
      </w:r>
    </w:p>
    <w:p>
      <w:pPr>
        <w:widowControl/>
      </w:pPr>
      <w:r>
        <w:rPr>
          <w:b w:val="0"/>
          <w:i w:val="0"/>
        </w:rPr>
        <w:t xml:space="preserve">Dog, horse and human as examples of determinate living kinds. The soul supplies each animal’s substantial nature, not merely an accidental ornament of an already complete subject.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427" w:name="latin-record-0186"/>
      <w:bookmarkEnd w:id="427"/>
      <w:r>
        <w:rPr>
          <w:b/>
          <w:i w:val="0"/>
        </w:rPr>
        <w:t>canis / formica / equus / elephas / sol</w:t>
      </w:r>
      <w:r>
        <w:rPr>
          <w:b/>
          <w:i w:val="0"/>
        </w:rPr>
        <w:t>.</w:t>
      </w:r>
      <w:r>
        <w:rPr>
          <w:b w:val="0"/>
          <w:i w:val="0"/>
        </w:rPr>
        <w:t xml:space="preserve"> Printed forms: </w:t>
      </w:r>
      <w:r>
        <w:rPr>
          <w:b w:val="0"/>
          <w:i/>
        </w:rPr>
        <w:t>canis</w:t>
      </w:r>
      <w:r>
        <w:rPr>
          <w:b w:val="0"/>
          <w:i w:val="0"/>
        </w:rPr>
        <w:t xml:space="preserve">; </w:t>
      </w:r>
      <w:r>
        <w:rPr>
          <w:b w:val="0"/>
          <w:i/>
        </w:rPr>
        <w:t>elephantis</w:t>
      </w:r>
      <w:r>
        <w:rPr>
          <w:b w:val="0"/>
          <w:i w:val="0"/>
        </w:rPr>
        <w:t xml:space="preserve">; </w:t>
      </w:r>
      <w:r>
        <w:rPr>
          <w:b w:val="0"/>
          <w:i/>
        </w:rPr>
        <w:t>equi</w:t>
      </w:r>
      <w:r>
        <w:rPr>
          <w:b w:val="0"/>
          <w:i w:val="0"/>
        </w:rPr>
        <w:t xml:space="preserve">; </w:t>
      </w:r>
      <w:r>
        <w:rPr>
          <w:b w:val="0"/>
          <w:i/>
        </w:rPr>
        <w:t>formicae</w:t>
      </w:r>
      <w:r>
        <w:rPr>
          <w:b w:val="0"/>
          <w:i w:val="0"/>
        </w:rPr>
        <w:t xml:space="preserve">; </w:t>
      </w:r>
      <w:r>
        <w:rPr>
          <w:b w:val="0"/>
          <w:i/>
        </w:rPr>
        <w:t>solis</w:t>
      </w:r>
      <w:r>
        <w:rPr>
          <w:b w:val="0"/>
          <w:i w:val="0"/>
        </w:rPr>
        <w:t>.</w:t>
      </w:r>
    </w:p>
    <w:p>
      <w:pPr>
        <w:widowControl/>
      </w:pPr>
      <w:r>
        <w:rPr>
          <w:b w:val="0"/>
          <w:i w:val="0"/>
        </w:rPr>
        <w:t xml:space="preserve">Dog, ant, horse, elephant and sun, illustrating extreme disparity of bodily size. One body cannot be dimensionally equal to all, but mind understands each with its whole power. Solis here is the sun, not restrictive </w:t>
      </w:r>
      <w:r>
        <w:t>‘</w:t>
      </w:r>
      <w:r>
        <w:rPr>
          <w:b w:val="0"/>
          <w:i w:val="0"/>
        </w:rPr>
        <w:t>alone</w:t>
      </w:r>
      <w:r>
        <w:t>’</w:t>
      </w:r>
      <w:r>
        <w:rPr>
          <w:b w:val="0"/>
          <w:i w:val="0"/>
        </w:rPr>
        <w:t xml:space="preserve">. References: </w:t>
      </w:r>
      <w:hyperlink w:anchor="passage-viii-6-1">
        <w:r>
          <w:rPr>
            <w:color w:val="000000"/>
          </w:rPr>
          <w:t xml:space="preserve">VIII.6.1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428" w:name="latin-record-0187"/>
      <w:bookmarkEnd w:id="428"/>
      <w:r>
        <w:rPr>
          <w:b/>
          <w:i w:val="0"/>
        </w:rPr>
        <w:t>capacitas / implere</w:t>
      </w:r>
      <w:r>
        <w:rPr>
          <w:b/>
          <w:i w:val="0"/>
        </w:rPr>
        <w:t>.</w:t>
      </w:r>
      <w:r>
        <w:rPr>
          <w:b w:val="0"/>
          <w:i w:val="0"/>
        </w:rPr>
        <w:t xml:space="preserve"> Printed forms: </w:t>
      </w:r>
      <w:r>
        <w:rPr>
          <w:b w:val="0"/>
          <w:i/>
        </w:rPr>
        <w:t>capacitatem</w:t>
      </w:r>
      <w:r>
        <w:rPr>
          <w:b w:val="0"/>
          <w:i w:val="0"/>
        </w:rPr>
        <w:t xml:space="preserve">; </w:t>
      </w:r>
      <w:r>
        <w:rPr>
          <w:b w:val="0"/>
          <w:i/>
        </w:rPr>
        <w:t>impleat</w:t>
      </w:r>
      <w:r>
        <w:rPr>
          <w:b w:val="0"/>
          <w:i w:val="0"/>
        </w:rPr>
        <w:t xml:space="preserve">; </w:t>
      </w:r>
      <w:r>
        <w:rPr>
          <w:b w:val="0"/>
          <w:i/>
        </w:rPr>
        <w:t>impleretur</w:t>
      </w:r>
      <w:r>
        <w:rPr>
          <w:b w:val="0"/>
          <w:i w:val="0"/>
        </w:rPr>
        <w:t xml:space="preserve">; </w:t>
      </w:r>
      <w:r>
        <w:rPr>
          <w:b w:val="0"/>
          <w:i/>
        </w:rPr>
        <w:t>impletur</w:t>
      </w:r>
      <w:r>
        <w:rPr>
          <w:b w:val="0"/>
          <w:i w:val="0"/>
        </w:rPr>
        <w:t>.</w:t>
      </w:r>
    </w:p>
    <w:p>
      <w:pPr>
        <w:widowControl/>
      </w:pPr>
      <w:r>
        <w:rPr>
          <w:b w:val="0"/>
          <w:i w:val="0"/>
        </w:rPr>
        <w:t xml:space="preserve">Capacity and filling, expressing the relation between desire and its adequate object. Finite created knowledge fails to satisfy; infinite God is said to fill the capacity that flows from him. References: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429" w:name="latin-record-0188"/>
      <w:bookmarkEnd w:id="429"/>
      <w:r>
        <w:rPr>
          <w:b/>
          <w:i w:val="0"/>
        </w:rPr>
        <w:t>capacitas; fomentum</w:t>
      </w:r>
      <w:r>
        <w:rPr>
          <w:b/>
          <w:i w:val="0"/>
        </w:rPr>
        <w:t>.</w:t>
      </w:r>
      <w:r>
        <w:rPr>
          <w:b w:val="0"/>
          <w:i w:val="0"/>
        </w:rPr>
        <w:t xml:space="preserve"> Printed forms: </w:t>
      </w:r>
      <w:r>
        <w:rPr>
          <w:b w:val="0"/>
          <w:i/>
        </w:rPr>
        <w:t>capacitate</w:t>
      </w:r>
      <w:r>
        <w:rPr>
          <w:b w:val="0"/>
          <w:i w:val="0"/>
        </w:rPr>
        <w:t xml:space="preserve">; </w:t>
      </w:r>
      <w:r>
        <w:rPr>
          <w:b w:val="0"/>
          <w:i/>
        </w:rPr>
        <w:t>fomento</w:t>
      </w:r>
      <w:r>
        <w:rPr>
          <w:b w:val="0"/>
          <w:i w:val="0"/>
        </w:rPr>
        <w:t>.</w:t>
      </w:r>
    </w:p>
    <w:p>
      <w:pPr>
        <w:widowControl/>
      </w:pPr>
      <w:r>
        <w:rPr>
          <w:b w:val="0"/>
          <w:i w:val="0"/>
        </w:rPr>
        <w:t xml:space="preserve">Capacity and tinder or supporting generative resource. The fifth account excludes these material prerequisites; their denial distinguishes it from a merely unlocated but materially derived soul. References: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430" w:name="latin-record-0189"/>
      <w:bookmarkEnd w:id="430"/>
      <w:r>
        <w:rPr>
          <w:b/>
          <w:i w:val="0"/>
        </w:rPr>
        <w:t>capere</w:t>
      </w:r>
      <w:r>
        <w:rPr>
          <w:b/>
          <w:i w:val="0"/>
        </w:rPr>
        <w:t>.</w:t>
      </w:r>
      <w:r>
        <w:rPr>
          <w:b w:val="0"/>
          <w:i w:val="0"/>
        </w:rPr>
        <w:t xml:space="preserve"> Printed forms: </w:t>
      </w:r>
      <w:r>
        <w:rPr>
          <w:b w:val="0"/>
          <w:i/>
        </w:rPr>
        <w:t>capere</w:t>
      </w:r>
      <w:r>
        <w:rPr>
          <w:b w:val="0"/>
          <w:i w:val="0"/>
        </w:rPr>
        <w:t xml:space="preserve">; </w:t>
      </w:r>
      <w:r>
        <w:rPr>
          <w:b w:val="0"/>
          <w:i/>
        </w:rPr>
        <w:t>capit</w:t>
      </w:r>
      <w:r>
        <w:rPr>
          <w:b w:val="0"/>
          <w:i w:val="0"/>
        </w:rPr>
        <w:t xml:space="preserve">; </w:t>
      </w:r>
      <w:r>
        <w:rPr>
          <w:b w:val="0"/>
          <w:i/>
        </w:rPr>
        <w:t>cepit</w:t>
      </w:r>
      <w:r>
        <w:rPr>
          <w:b w:val="0"/>
          <w:i w:val="0"/>
        </w:rPr>
        <w:t>.</w:t>
      </w:r>
    </w:p>
    <w:p>
      <w:pPr>
        <w:widowControl/>
      </w:pPr>
      <w:r>
        <w:rPr>
          <w:b w:val="0"/>
          <w:i w:val="0"/>
        </w:rPr>
        <w:t xml:space="preserve">To contain or grasp; context decides whether the capacity is spatial or cognitive. A supposed bodily soul is tested against the size and variety of the things it would contain. References: </w:t>
      </w:r>
      <w:hyperlink w:anchor="passage-vii-1-1">
        <w:r>
          <w:rPr>
            <w:color w:val="000000"/>
          </w:rPr>
          <w:t xml:space="preserve">VII.1.1</w:t>
        </w:r>
      </w:hyperlink>
      <w:r>
        <w:rPr>
          <w:b w:val="0"/>
          <w:i w:val="0"/>
        </w:rPr>
        <w:t xml:space="preserve">,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431" w:name="latin-record-0190"/>
      <w:bookmarkEnd w:id="431"/>
      <w:r>
        <w:rPr>
          <w:b/>
          <w:i w:val="0"/>
        </w:rPr>
        <w:t>capere / comprehendere</w:t>
      </w:r>
      <w:r>
        <w:rPr>
          <w:b/>
          <w:i w:val="0"/>
        </w:rPr>
        <w:t>.</w:t>
      </w:r>
      <w:r>
        <w:rPr>
          <w:b w:val="0"/>
          <w:i w:val="0"/>
        </w:rPr>
        <w:t xml:space="preserve"> Printed forms: </w:t>
      </w:r>
      <w:r>
        <w:rPr>
          <w:b w:val="0"/>
          <w:i/>
        </w:rPr>
        <w:t>apprehendet</w:t>
      </w:r>
      <w:r>
        <w:rPr>
          <w:b w:val="0"/>
          <w:i w:val="0"/>
        </w:rPr>
        <w:t xml:space="preserve">; </w:t>
      </w:r>
      <w:r>
        <w:rPr>
          <w:b w:val="0"/>
          <w:i/>
        </w:rPr>
        <w:t>apprehendit</w:t>
      </w:r>
      <w:r>
        <w:rPr>
          <w:b w:val="0"/>
          <w:i w:val="0"/>
        </w:rPr>
        <w:t xml:space="preserve">; </w:t>
      </w:r>
      <w:r>
        <w:rPr>
          <w:b w:val="0"/>
          <w:i/>
        </w:rPr>
        <w:t>capere</w:t>
      </w:r>
      <w:r>
        <w:rPr>
          <w:b w:val="0"/>
          <w:i w:val="0"/>
        </w:rPr>
        <w:t xml:space="preserve">; </w:t>
      </w:r>
      <w:r>
        <w:rPr>
          <w:b w:val="0"/>
          <w:i/>
        </w:rPr>
        <w:t>caperet</w:t>
      </w:r>
      <w:r>
        <w:rPr>
          <w:b w:val="0"/>
          <w:i w:val="0"/>
        </w:rPr>
        <w:t xml:space="preserve">; </w:t>
      </w:r>
      <w:r>
        <w:rPr>
          <w:b w:val="0"/>
          <w:i/>
        </w:rPr>
        <w:t>capiat</w:t>
      </w:r>
      <w:r>
        <w:rPr>
          <w:b w:val="0"/>
          <w:i w:val="0"/>
        </w:rPr>
        <w:t xml:space="preserve">; </w:t>
      </w:r>
      <w:r>
        <w:rPr>
          <w:b w:val="0"/>
          <w:i/>
        </w:rPr>
        <w:t>capit</w:t>
      </w:r>
      <w:r>
        <w:rPr>
          <w:b w:val="0"/>
          <w:i w:val="0"/>
        </w:rPr>
        <w:t xml:space="preserve">; </w:t>
      </w:r>
      <w:r>
        <w:rPr>
          <w:b w:val="0"/>
          <w:i/>
        </w:rPr>
        <w:t>capiunt</w:t>
      </w:r>
      <w:r>
        <w:rPr>
          <w:b w:val="0"/>
          <w:i w:val="0"/>
        </w:rPr>
        <w:t xml:space="preserve">; </w:t>
      </w:r>
      <w:r>
        <w:rPr>
          <w:b w:val="0"/>
          <w:i/>
        </w:rPr>
        <w:t>comprehendat</w:t>
      </w:r>
      <w:r>
        <w:rPr>
          <w:b w:val="0"/>
          <w:i w:val="0"/>
        </w:rPr>
        <w:t xml:space="preserve">; </w:t>
      </w:r>
      <w:r>
        <w:rPr>
          <w:b w:val="0"/>
          <w:i/>
        </w:rPr>
        <w:t>comprehenderet</w:t>
      </w:r>
      <w:r>
        <w:rPr>
          <w:b w:val="0"/>
          <w:i w:val="0"/>
        </w:rPr>
        <w:t xml:space="preserve">; </w:t>
      </w:r>
      <w:r>
        <w:rPr>
          <w:b w:val="0"/>
          <w:i/>
        </w:rPr>
        <w:t>comprehendimus</w:t>
      </w:r>
      <w:r>
        <w:rPr>
          <w:b w:val="0"/>
          <w:i w:val="0"/>
        </w:rPr>
        <w:t xml:space="preserve">; </w:t>
      </w:r>
      <w:r>
        <w:rPr>
          <w:b w:val="0"/>
          <w:i/>
        </w:rPr>
        <w:t>comprehendit</w:t>
      </w:r>
      <w:r>
        <w:rPr>
          <w:b w:val="0"/>
          <w:i w:val="0"/>
        </w:rPr>
        <w:t xml:space="preserve">; </w:t>
      </w:r>
      <w:r>
        <w:rPr>
          <w:b w:val="0"/>
          <w:i/>
        </w:rPr>
        <w:t>comprehenditur</w:t>
      </w:r>
      <w:r>
        <w:rPr>
          <w:b w:val="0"/>
          <w:i w:val="0"/>
        </w:rPr>
        <w:t xml:space="preserve">; </w:t>
      </w:r>
      <w:r>
        <w:rPr>
          <w:b w:val="0"/>
          <w:i/>
        </w:rPr>
        <w:t>comprehenduntur</w:t>
      </w:r>
      <w:r>
        <w:rPr>
          <w:b w:val="0"/>
          <w:i w:val="0"/>
        </w:rPr>
        <w:t>.</w:t>
      </w:r>
    </w:p>
    <w:p>
      <w:pPr>
        <w:widowControl/>
      </w:pPr>
      <w:r>
        <w:rPr>
          <w:b w:val="0"/>
          <w:i w:val="0"/>
        </w:rPr>
        <w:t xml:space="preserve">Receiving or grasping, without an automatic implication of spatial enclosure. Bodily containment is quantitative; mind can apprehend a whole and each part with its whole power, including contraries and incorporeals. References: </w:t>
      </w:r>
      <w:hyperlink w:anchor="passage-viii-4-2">
        <w:r>
          <w:rPr>
            <w:color w:val="000000"/>
          </w:rPr>
          <w:t xml:space="preserve">VIII.4.2</w:t>
        </w:r>
      </w:hyperlink>
      <w:r>
        <w:rPr>
          <w:b w:val="0"/>
          <w:i w:val="0"/>
        </w:rPr>
        <w:t xml:space="preserve">, </w:t>
      </w:r>
      <w:hyperlink w:anchor="passage-viii-4-4">
        <w:r>
          <w:rPr>
            <w:color w:val="000000"/>
          </w:rPr>
          <w:t xml:space="preserve">VIII.4.4</w:t>
        </w:r>
      </w:hyperlink>
      <w:r>
        <w:rPr>
          <w:b w:val="0"/>
          <w:i w:val="0"/>
        </w:rPr>
        <w:t xml:space="preserve">, </w:t>
      </w:r>
      <w:hyperlink w:anchor="passage-viii-4-11">
        <w:r>
          <w:rPr>
            <w:color w:val="000000"/>
          </w:rPr>
          <w:t xml:space="preserve">VIII.4.11</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2-1">
        <w:r>
          <w:rPr>
            <w:color w:val="000000"/>
          </w:rPr>
          <w:t xml:space="preserve">VIII.12.1</w:t>
        </w:r>
      </w:hyperlink>
      <w:r>
        <w:rPr>
          <w:b w:val="0"/>
          <w:i w:val="0"/>
        </w:rPr>
        <w:t xml:space="preserve">, </w:t>
      </w:r>
      <w:hyperlink w:anchor="passage-viii-16-3">
        <w:r>
          <w:rPr>
            <w:color w:val="000000"/>
          </w:rPr>
          <w:t xml:space="preserve">VIII.16.3</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432" w:name="latin-record-0191"/>
      <w:bookmarkEnd w:id="432"/>
      <w:r>
        <w:rPr>
          <w:b/>
          <w:i w:val="0"/>
        </w:rPr>
        <w:t>captus</w:t>
      </w:r>
      <w:r>
        <w:rPr>
          <w:b/>
          <w:i w:val="0"/>
        </w:rPr>
        <w:t>.</w:t>
      </w:r>
      <w:r>
        <w:rPr>
          <w:b w:val="0"/>
          <w:i w:val="0"/>
        </w:rPr>
        <w:t xml:space="preserve"> Printed forms: </w:t>
      </w:r>
      <w:r>
        <w:rPr>
          <w:b w:val="0"/>
          <w:i/>
        </w:rPr>
        <w:t>captu</w:t>
      </w:r>
      <w:r>
        <w:rPr>
          <w:b w:val="0"/>
          <w:i w:val="0"/>
        </w:rPr>
        <w:t>.</w:t>
      </w:r>
    </w:p>
    <w:p>
      <w:pPr>
        <w:widowControl/>
      </w:pPr>
      <w:r>
        <w:rPr>
          <w:b w:val="0"/>
          <w:i w:val="0"/>
        </w:rPr>
        <w:t xml:space="preserve">The receiving capacity or mode of a recipient. Being is received according to the mode of the essence receiving it; </w:t>
      </w:r>
      <w:r>
        <w:t>‘</w:t>
      </w:r>
      <w:r>
        <w:rPr>
          <w:b w:val="0"/>
          <w:i w:val="0"/>
        </w:rPr>
        <w:t>capacity</w:t>
      </w:r>
      <w:r>
        <w:t>’</w:t>
      </w:r>
      <w:r>
        <w:rPr>
          <w:b w:val="0"/>
          <w:i w:val="0"/>
        </w:rPr>
        <w:t xml:space="preserve"> here does not mean captivity. References: </w:t>
      </w:r>
      <w:hyperlink w:anchor="passage-v-7-2">
        <w:r>
          <w:rPr>
            <w:color w:val="000000"/>
          </w:rPr>
          <w:t xml:space="preserve">V.7.2</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433" w:name="latin-record-0192"/>
      <w:bookmarkEnd w:id="433"/>
      <w:r>
        <w:rPr>
          <w:b/>
          <w:i w:val="0"/>
        </w:rPr>
        <w:t>caput / finis / terminus lineae</w:t>
      </w:r>
      <w:r>
        <w:rPr>
          <w:b/>
          <w:i w:val="0"/>
        </w:rPr>
        <w:t>.</w:t>
      </w:r>
      <w:r>
        <w:rPr>
          <w:b w:val="0"/>
          <w:i w:val="0"/>
        </w:rPr>
        <w:t xml:space="preserve"> Printed forms: </w:t>
      </w:r>
      <w:r>
        <w:rPr>
          <w:b w:val="0"/>
          <w:i/>
        </w:rPr>
        <w:t>caput</w:t>
      </w:r>
      <w:r>
        <w:rPr>
          <w:b w:val="0"/>
          <w:i w:val="0"/>
        </w:rPr>
        <w:t xml:space="preserve">; </w:t>
      </w:r>
      <w:r>
        <w:rPr>
          <w:b w:val="0"/>
          <w:i/>
        </w:rPr>
        <w:t>finem</w:t>
      </w:r>
      <w:r>
        <w:rPr>
          <w:b w:val="0"/>
          <w:i w:val="0"/>
        </w:rPr>
        <w:t xml:space="preserve">; </w:t>
      </w:r>
      <w:r>
        <w:rPr>
          <w:b w:val="0"/>
          <w:i/>
        </w:rPr>
        <w:t>termini</w:t>
      </w:r>
      <w:r>
        <w:rPr>
          <w:b w:val="0"/>
          <w:i w:val="0"/>
        </w:rPr>
        <w:t xml:space="preserve">; </w:t>
      </w:r>
      <w:r>
        <w:rPr>
          <w:b w:val="0"/>
          <w:i/>
        </w:rPr>
        <w:t>terminos</w:t>
      </w:r>
      <w:r>
        <w:rPr>
          <w:b w:val="0"/>
          <w:i w:val="0"/>
        </w:rPr>
        <w:t xml:space="preserve">; </w:t>
      </w:r>
      <w:r>
        <w:rPr>
          <w:b w:val="0"/>
          <w:i/>
        </w:rPr>
        <w:t>terminum</w:t>
      </w:r>
      <w:r>
        <w:rPr>
          <w:b w:val="0"/>
          <w:i w:val="0"/>
        </w:rPr>
        <w:t>.</w:t>
      </w:r>
    </w:p>
    <w:p>
      <w:pPr>
        <w:widowControl/>
      </w:pPr>
      <w:r>
        <w:rPr>
          <w:b w:val="0"/>
          <w:i w:val="0"/>
        </w:rPr>
        <w:t xml:space="preserve">Beginning, end and boundary of the hypothetical line. The terms mark cognitive separation in the model, not a literal route for colors or voices traveling inside soul. References: </w:t>
      </w:r>
      <w:hyperlink w:anchor="passage-vii-2-2">
        <w:r>
          <w:rPr>
            <w:color w:val="000000"/>
          </w:rPr>
          <w:t xml:space="preserve">VII.2.2</w:t>
        </w:r>
      </w:hyperlink>
      <w:r>
        <w:rPr>
          <w:b w:val="0"/>
          <w:i w:val="0"/>
        </w:rPr>
        <w:t xml:space="preserve">. See </w:t>
      </w:r>
      <w:hyperlink w:anchor="vii-point-line">
        <w:r>
          <w:rPr>
            <w:color w:val="000000"/>
          </w:rPr>
          <w:t xml:space="preserve">Point, line and the comparing power</w:t>
        </w:r>
      </w:hyperlink>
      <w:r>
        <w:rPr>
          <w:b w:val="0"/>
          <w:i w:val="0"/>
        </w:rPr>
        <w:t>.</w:t>
      </w:r>
    </w:p>
    <w:p>
      <w:pPr>
        <w:keepNext/>
        <w:widowControl/>
      </w:pPr>
      <w:bookmarkStart w:id="434" w:name="latin-record-0193"/>
      <w:bookmarkEnd w:id="434"/>
      <w:r>
        <w:rPr>
          <w:b/>
          <w:i w:val="0"/>
        </w:rPr>
        <w:t>caput / membrum</w:t>
      </w:r>
      <w:r>
        <w:rPr>
          <w:b/>
          <w:i w:val="0"/>
        </w:rPr>
        <w:t>.</w:t>
      </w:r>
      <w:r>
        <w:rPr>
          <w:b w:val="0"/>
          <w:i w:val="0"/>
        </w:rPr>
        <w:t xml:space="preserve"> Printed forms: </w:t>
      </w:r>
      <w:r>
        <w:rPr>
          <w:b w:val="0"/>
          <w:i/>
        </w:rPr>
        <w:t>caput</w:t>
      </w:r>
      <w:r>
        <w:rPr>
          <w:b w:val="0"/>
          <w:i w:val="0"/>
        </w:rPr>
        <w:t xml:space="preserve">; </w:t>
      </w:r>
      <w:r>
        <w:rPr>
          <w:b w:val="0"/>
          <w:i/>
        </w:rPr>
        <w:t>membra</w:t>
      </w:r>
      <w:r>
        <w:rPr>
          <w:b w:val="0"/>
          <w:i w:val="0"/>
        </w:rPr>
        <w:t xml:space="preserve">; </w:t>
      </w:r>
      <w:r>
        <w:rPr>
          <w:b w:val="0"/>
          <w:i/>
        </w:rPr>
        <w:t>membris</w:t>
      </w:r>
      <w:r>
        <w:rPr>
          <w:b w:val="0"/>
          <w:i w:val="0"/>
        </w:rPr>
        <w:t>.</w:t>
      </w:r>
    </w:p>
    <w:p>
      <w:pPr>
        <w:widowControl/>
      </w:pPr>
      <w:r>
        <w:rPr>
          <w:b w:val="0"/>
          <w:i w:val="0"/>
        </w:rPr>
        <w:t xml:space="preserve">Head and members, a ranked-organism image for the orders of souls and bodies. Perpetual bodily members support the claim that the superior soul-order has a perpetual head. References: </w:t>
      </w:r>
      <w:hyperlink w:anchor="passage-v-15-4">
        <w:r>
          <w:rPr>
            <w:color w:val="000000"/>
          </w:rPr>
          <w:t xml:space="preserve">V.15.4</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435" w:name="latin-record-0194"/>
      <w:bookmarkEnd w:id="435"/>
      <w:r>
        <w:rPr>
          <w:b/>
          <w:i w:val="0"/>
        </w:rPr>
        <w:t>caput / pectus / femur</w:t>
      </w:r>
      <w:r>
        <w:rPr>
          <w:b/>
          <w:i w:val="0"/>
        </w:rPr>
        <w:t>.</w:t>
      </w:r>
      <w:r>
        <w:rPr>
          <w:b w:val="0"/>
          <w:i w:val="0"/>
        </w:rPr>
        <w:t xml:space="preserve"> Printed forms: </w:t>
      </w:r>
      <w:r>
        <w:rPr>
          <w:b w:val="0"/>
          <w:i/>
        </w:rPr>
        <w:t>caput</w:t>
      </w:r>
      <w:r>
        <w:rPr>
          <w:b w:val="0"/>
          <w:i w:val="0"/>
        </w:rPr>
        <w:t xml:space="preserve">; </w:t>
      </w:r>
      <w:r>
        <w:rPr>
          <w:b w:val="0"/>
          <w:i/>
        </w:rPr>
        <w:t>femur</w:t>
      </w:r>
      <w:r>
        <w:rPr>
          <w:b w:val="0"/>
          <w:i w:val="0"/>
        </w:rPr>
        <w:t xml:space="preserve">; </w:t>
      </w:r>
      <w:r>
        <w:rPr>
          <w:b w:val="0"/>
          <w:i/>
        </w:rPr>
        <w:t>pectus</w:t>
      </w:r>
      <w:r>
        <w:rPr>
          <w:b w:val="0"/>
          <w:i w:val="0"/>
        </w:rPr>
        <w:t>.</w:t>
      </w:r>
    </w:p>
    <w:p>
      <w:pPr>
        <w:widowControl/>
      </w:pPr>
      <w:r>
        <w:rPr>
          <w:b w:val="0"/>
          <w:i w:val="0"/>
        </w:rPr>
        <w:t xml:space="preserve">Head, breast and thigh, bodily parts that are not themselves humans. Dividing a human body yields bodies, not multiple humans; the distinction establishes aspectual simplicity of the specific account. References: </w:t>
      </w:r>
      <w:hyperlink w:anchor="passage-viii-4-10">
        <w:r>
          <w:rPr>
            <w:color w:val="000000"/>
          </w:rPr>
          <w:t xml:space="preserve">VIII.4.10</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436" w:name="latin-record-0195"/>
      <w:bookmarkEnd w:id="436"/>
      <w:r>
        <w:rPr>
          <w:b/>
          <w:i w:val="0"/>
        </w:rPr>
        <w:t>carere / deficere / abesse</w:t>
      </w:r>
      <w:r>
        <w:rPr>
          <w:b/>
          <w:i w:val="0"/>
        </w:rPr>
        <w:t>.</w:t>
      </w:r>
      <w:r>
        <w:rPr>
          <w:b w:val="0"/>
          <w:i w:val="0"/>
        </w:rPr>
        <w:t xml:space="preserve"> Printed forms: </w:t>
      </w:r>
      <w:r>
        <w:rPr>
          <w:b w:val="0"/>
          <w:i/>
        </w:rPr>
        <w:t>abesse</w:t>
      </w:r>
      <w:r>
        <w:rPr>
          <w:b w:val="0"/>
          <w:i w:val="0"/>
        </w:rPr>
        <w:t xml:space="preserve">; </w:t>
      </w:r>
      <w:r>
        <w:rPr>
          <w:b w:val="0"/>
          <w:i/>
        </w:rPr>
        <w:t>abest</w:t>
      </w:r>
      <w:r>
        <w:rPr>
          <w:b w:val="0"/>
          <w:i w:val="0"/>
        </w:rPr>
        <w:t xml:space="preserve">; </w:t>
      </w:r>
      <w:r>
        <w:rPr>
          <w:b w:val="0"/>
          <w:i/>
        </w:rPr>
        <w:t>absit</w:t>
      </w:r>
      <w:r>
        <w:rPr>
          <w:b w:val="0"/>
          <w:i w:val="0"/>
        </w:rPr>
        <w:t xml:space="preserve">; </w:t>
      </w:r>
      <w:r>
        <w:rPr>
          <w:b w:val="0"/>
          <w:i/>
        </w:rPr>
        <w:t>carent</w:t>
      </w:r>
      <w:r>
        <w:rPr>
          <w:b w:val="0"/>
          <w:i w:val="0"/>
        </w:rPr>
        <w:t xml:space="preserve">; </w:t>
      </w:r>
      <w:r>
        <w:rPr>
          <w:b w:val="0"/>
          <w:i/>
        </w:rPr>
        <w:t>carere</w:t>
      </w:r>
      <w:r>
        <w:rPr>
          <w:b w:val="0"/>
          <w:i w:val="0"/>
        </w:rPr>
        <w:t xml:space="preserve">; </w:t>
      </w:r>
      <w:r>
        <w:rPr>
          <w:b w:val="0"/>
          <w:i/>
        </w:rPr>
        <w:t>Caret</w:t>
      </w:r>
      <w:r>
        <w:rPr>
          <w:b w:val="0"/>
          <w:i w:val="0"/>
        </w:rPr>
        <w:t xml:space="preserve">; </w:t>
      </w:r>
      <w:r>
        <w:rPr>
          <w:b w:val="0"/>
          <w:i/>
        </w:rPr>
        <w:t>caret</w:t>
      </w:r>
      <w:r>
        <w:rPr>
          <w:b w:val="0"/>
          <w:i w:val="0"/>
        </w:rPr>
        <w:t xml:space="preserve">; </w:t>
      </w:r>
      <w:r>
        <w:rPr>
          <w:b w:val="0"/>
          <w:i/>
        </w:rPr>
        <w:t>deficerent</w:t>
      </w:r>
      <w:r>
        <w:rPr>
          <w:b w:val="0"/>
          <w:i w:val="0"/>
        </w:rPr>
        <w:t xml:space="preserve">; </w:t>
      </w:r>
      <w:r>
        <w:rPr>
          <w:b w:val="0"/>
          <w:i/>
        </w:rPr>
        <w:t>deficiet</w:t>
      </w:r>
      <w:r>
        <w:rPr>
          <w:b w:val="0"/>
          <w:i w:val="0"/>
        </w:rPr>
        <w:t xml:space="preserve">; </w:t>
      </w:r>
      <w:r>
        <w:rPr>
          <w:b w:val="0"/>
          <w:i/>
        </w:rPr>
        <w:t>deficit</w:t>
      </w:r>
      <w:r>
        <w:rPr>
          <w:b w:val="0"/>
          <w:i w:val="0"/>
        </w:rPr>
        <w:t>.</w:t>
      </w:r>
    </w:p>
    <w:p>
      <w:pPr>
        <w:widowControl/>
      </w:pPr>
      <w:r>
        <w:rPr>
          <w:b w:val="0"/>
          <w:i w:val="0"/>
        </w:rPr>
        <w:t xml:space="preserve">Lacking, failing or being absent, distinguished from positive presence. An unfinished preparation still lacks completed virtue, while a point or line is defined by lacking a higher dimension. The absence is not always a destructive privation. References: </w:t>
      </w:r>
      <w:hyperlink w:anchor="passage-viii-1-3">
        <w:r>
          <w:rPr>
            <w:color w:val="000000"/>
          </w:rPr>
          <w:t xml:space="preserve">VIII.1.3</w:t>
        </w:r>
      </w:hyperlink>
      <w:r>
        <w:rPr>
          <w:b w:val="0"/>
          <w:i w:val="0"/>
        </w:rPr>
        <w:t xml:space="preserve">, </w:t>
      </w:r>
      <w:hyperlink w:anchor="passage-viii-2-7">
        <w:r>
          <w:rPr>
            <w:color w:val="000000"/>
          </w:rPr>
          <w:t xml:space="preserve">VIII.2.7</w:t>
        </w:r>
      </w:hyperlink>
      <w:r>
        <w:rPr>
          <w:b w:val="0"/>
          <w:i w:val="0"/>
        </w:rPr>
        <w:t xml:space="preserve">, </w:t>
      </w:r>
      <w:hyperlink w:anchor="passage-viii-3-1">
        <w:r>
          <w:rPr>
            <w:color w:val="000000"/>
          </w:rPr>
          <w:t xml:space="preserve">VIII.3.1</w:t>
        </w:r>
      </w:hyperlink>
      <w:r>
        <w:rPr>
          <w:b w:val="0"/>
          <w:i w:val="0"/>
        </w:rPr>
        <w:t xml:space="preserve">, </w:t>
      </w:r>
      <w:hyperlink w:anchor="passage-viii-3-3">
        <w:r>
          <w:rPr>
            <w:color w:val="000000"/>
          </w:rPr>
          <w:t xml:space="preserve">VIII.3.3</w:t>
        </w:r>
      </w:hyperlink>
      <w:r>
        <w:rPr>
          <w:b w:val="0"/>
          <w:i w:val="0"/>
        </w:rPr>
        <w:t xml:space="preserve">, </w:t>
      </w:r>
      <w:hyperlink w:anchor="passage-viii-3-4">
        <w:r>
          <w:rPr>
            <w:color w:val="000000"/>
          </w:rPr>
          <w:t xml:space="preserve">VIII.3.4</w:t>
        </w:r>
      </w:hyperlink>
      <w:r>
        <w:rPr>
          <w:b w:val="0"/>
          <w:i w:val="0"/>
        </w:rPr>
        <w:t xml:space="preserve">, </w:t>
      </w:r>
      <w:hyperlink w:anchor="passage-viii-3-5">
        <w:r>
          <w:rPr>
            <w:color w:val="000000"/>
          </w:rPr>
          <w:t xml:space="preserve">VIII.3.5</w:t>
        </w:r>
      </w:hyperlink>
      <w:r>
        <w:rPr>
          <w:b w:val="0"/>
          <w:i w:val="0"/>
        </w:rPr>
        <w:t xml:space="preserve">, </w:t>
      </w:r>
      <w:hyperlink w:anchor="passage-viii-4-7">
        <w:r>
          <w:rPr>
            <w:color w:val="000000"/>
          </w:rPr>
          <w:t xml:space="preserve">VIII.4.7</w:t>
        </w:r>
      </w:hyperlink>
      <w:r>
        <w:rPr>
          <w:b w:val="0"/>
          <w:i w:val="0"/>
        </w:rPr>
        <w:t xml:space="preserve">, </w:t>
      </w:r>
      <w:hyperlink w:anchor="passage-viii-4-8">
        <w:r>
          <w:rPr>
            <w:color w:val="000000"/>
          </w:rPr>
          <w:t xml:space="preserve">VIII.4.8</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See </w:t>
      </w:r>
      <w:hyperlink w:anchor="viii-first-concepts">
        <w:r>
          <w:rPr>
            <w:color w:val="000000"/>
          </w:rPr>
          <w:t xml:space="preserve">First concepts, unity, and the end of analysis</w:t>
        </w:r>
      </w:hyperlink>
      <w:r>
        <w:rPr>
          <w:b w:val="0"/>
          <w:i w:val="0"/>
        </w:rPr>
        <w:t>.</w:t>
      </w:r>
    </w:p>
    <w:p>
      <w:pPr>
        <w:keepNext/>
        <w:widowControl/>
      </w:pPr>
      <w:bookmarkStart w:id="437" w:name="latin-record-0196"/>
      <w:bookmarkEnd w:id="437"/>
      <w:r>
        <w:rPr>
          <w:b/>
          <w:i w:val="0"/>
        </w:rPr>
        <w:t>carere / privari</w:t>
      </w:r>
      <w:r>
        <w:rPr>
          <w:b/>
          <w:i w:val="0"/>
        </w:rPr>
        <w:t>.</w:t>
      </w:r>
      <w:r>
        <w:rPr>
          <w:b w:val="0"/>
          <w:i w:val="0"/>
        </w:rPr>
        <w:t xml:space="preserve"> Printed forms: </w:t>
      </w:r>
      <w:r>
        <w:rPr>
          <w:b w:val="0"/>
          <w:i/>
        </w:rPr>
        <w:t>careat</w:t>
      </w:r>
      <w:r>
        <w:rPr>
          <w:b w:val="0"/>
          <w:i w:val="0"/>
        </w:rPr>
        <w:t xml:space="preserve">; </w:t>
      </w:r>
      <w:r>
        <w:rPr>
          <w:b w:val="0"/>
          <w:i/>
        </w:rPr>
        <w:t>carere</w:t>
      </w:r>
      <w:r>
        <w:rPr>
          <w:b w:val="0"/>
          <w:i w:val="0"/>
        </w:rPr>
        <w:t xml:space="preserve">; </w:t>
      </w:r>
      <w:r>
        <w:rPr>
          <w:b w:val="0"/>
          <w:i/>
        </w:rPr>
        <w:t>caret</w:t>
      </w:r>
      <w:r>
        <w:rPr>
          <w:b w:val="0"/>
          <w:i w:val="0"/>
        </w:rPr>
        <w:t xml:space="preserve">; </w:t>
      </w:r>
      <w:r>
        <w:rPr>
          <w:b w:val="0"/>
          <w:i/>
        </w:rPr>
        <w:t>privari</w:t>
      </w:r>
      <w:r>
        <w:rPr>
          <w:b w:val="0"/>
          <w:i w:val="0"/>
        </w:rPr>
        <w:t xml:space="preserve">; </w:t>
      </w:r>
      <w:r>
        <w:rPr>
          <w:b w:val="0"/>
          <w:i/>
        </w:rPr>
        <w:t>privatur</w:t>
      </w:r>
      <w:r>
        <w:rPr>
          <w:b w:val="0"/>
          <w:i w:val="0"/>
        </w:rPr>
        <w:t>.</w:t>
      </w:r>
    </w:p>
    <w:p>
      <w:pPr>
        <w:widowControl/>
      </w:pPr>
      <w:r>
        <w:rPr>
          <w:b w:val="0"/>
          <w:i w:val="0"/>
        </w:rPr>
        <w:t xml:space="preserve">To lack or be deprived of a defining possession. God lacks causal dependence; soul lacks matter; a body deprived of life is distinct from the life-source that cannot lack itself. References: </w:t>
      </w:r>
      <w:hyperlink w:anchor="passage-v-5-4">
        <w:r>
          <w:rPr>
            <w:color w:val="000000"/>
          </w:rPr>
          <w:t xml:space="preserve">V.5.4</w:t>
        </w:r>
      </w:hyperlink>
      <w:r>
        <w:rPr>
          <w:b w:val="0"/>
          <w:i w:val="0"/>
        </w:rPr>
        <w:t xml:space="preserve">, </w:t>
      </w:r>
      <w:hyperlink w:anchor="passage-v-5-9">
        <w:r>
          <w:rPr>
            <w:color w:val="000000"/>
          </w:rPr>
          <w:t xml:space="preserve">V.5.9</w:t>
        </w:r>
      </w:hyperlink>
      <w:r>
        <w:rPr>
          <w:b w:val="0"/>
          <w:i w:val="0"/>
        </w:rPr>
        <w:t xml:space="preserve">, </w:t>
      </w:r>
      <w:hyperlink w:anchor="passage-v-14-8">
        <w:r>
          <w:rPr>
            <w:color w:val="000000"/>
          </w:rPr>
          <w:t xml:space="preserve">V.14.8</w:t>
        </w:r>
      </w:hyperlink>
      <w:r>
        <w:rPr>
          <w:b w:val="0"/>
          <w:i w:val="0"/>
        </w:rPr>
        <w:t xml:space="preserve">, </w:t>
      </w:r>
      <w:hyperlink w:anchor="passage-v-15-6">
        <w:r>
          <w:rPr>
            <w:color w:val="000000"/>
          </w:rPr>
          <w:t xml:space="preserve">V.15.6</w:t>
        </w:r>
      </w:hyperlink>
      <w:r>
        <w:rPr>
          <w:b w:val="0"/>
          <w:i w:val="0"/>
        </w:rPr>
        <w:t xml:space="preserve">, </w:t>
      </w:r>
      <w:hyperlink w:anchor="passage-v-15-7">
        <w:r>
          <w:rPr>
            <w:color w:val="000000"/>
          </w:rPr>
          <w:t xml:space="preserve">V.15.7</w:t>
        </w:r>
      </w:hyperlink>
      <w:r>
        <w:rPr>
          <w:b w:val="0"/>
          <w:i w:val="0"/>
        </w:rPr>
        <w:t xml:space="preserve">, </w:t>
      </w:r>
      <w:hyperlink w:anchor="passage-v-15-8">
        <w:r>
          <w:rPr>
            <w:color w:val="000000"/>
          </w:rPr>
          <w:t xml:space="preserve">V.15.8</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438" w:name="latin-record-0197"/>
      <w:bookmarkEnd w:id="438"/>
      <w:r>
        <w:rPr>
          <w:b/>
          <w:i w:val="0"/>
        </w:rPr>
        <w:t>casus / casu</w:t>
      </w:r>
      <w:r>
        <w:rPr>
          <w:b/>
          <w:i w:val="0"/>
        </w:rPr>
        <w:t>.</w:t>
      </w:r>
      <w:r>
        <w:rPr>
          <w:b w:val="0"/>
          <w:i w:val="0"/>
        </w:rPr>
        <w:t xml:space="preserve"> Printed forms: </w:t>
      </w:r>
      <w:r>
        <w:rPr>
          <w:b w:val="0"/>
          <w:i/>
        </w:rPr>
        <w:t>Casu</w:t>
      </w:r>
      <w:r>
        <w:rPr>
          <w:b w:val="0"/>
          <w:i w:val="0"/>
        </w:rPr>
        <w:t xml:space="preserve">; </w:t>
      </w:r>
      <w:r>
        <w:rPr>
          <w:b w:val="0"/>
          <w:i/>
        </w:rPr>
        <w:t>casu</w:t>
      </w:r>
      <w:r>
        <w:rPr>
          <w:b w:val="0"/>
          <w:i w:val="0"/>
        </w:rPr>
        <w:t xml:space="preserve">; </w:t>
      </w:r>
      <w:r>
        <w:rPr>
          <w:b w:val="0"/>
          <w:i/>
        </w:rPr>
        <w:t>casus</w:t>
      </w:r>
      <w:r>
        <w:rPr>
          <w:b w:val="0"/>
          <w:i w:val="0"/>
        </w:rPr>
        <w:t>.</w:t>
      </w:r>
    </w:p>
    <w:p>
      <w:pPr>
        <w:widowControl/>
      </w:pPr>
      <w:r>
        <w:rPr>
          <w:b w:val="0"/>
          <w:i w:val="0"/>
        </w:rPr>
        <w:t xml:space="preserve">Chance as a proposed explanation for order or mental union. It is rejected both for the regular common nature and for the dependable union of genus and difference in knowledge. References: </w:t>
      </w:r>
      <w:hyperlink w:anchor="passage-viii-1-3">
        <w:r>
          <w:rPr>
            <w:color w:val="000000"/>
          </w:rPr>
          <w:t xml:space="preserve">VIII.1.3</w:t>
        </w:r>
      </w:hyperlink>
      <w:r>
        <w:rPr>
          <w:b w:val="0"/>
          <w:i w:val="0"/>
        </w:rPr>
        <w:t xml:space="preserve">, </w:t>
      </w:r>
      <w:hyperlink w:anchor="passage-viii-4-5">
        <w:r>
          <w:rPr>
            <w:color w:val="000000"/>
          </w:rPr>
          <w:t xml:space="preserve">VIII.4.5</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439" w:name="latin-record-0198"/>
      <w:bookmarkEnd w:id="439"/>
      <w:r>
        <w:rPr>
          <w:b/>
          <w:i w:val="0"/>
        </w:rPr>
        <w:t>causa</w:t>
      </w:r>
      <w:r>
        <w:rPr>
          <w:b/>
          <w:i w:val="0"/>
        </w:rPr>
        <w:t>.</w:t>
      </w:r>
      <w:r>
        <w:rPr>
          <w:b w:val="0"/>
          <w:i w:val="0"/>
        </w:rPr>
        <w:t xml:space="preserve"> Printed forms: </w:t>
      </w:r>
      <w:r>
        <w:rPr>
          <w:b w:val="0"/>
          <w:i/>
        </w:rPr>
        <w:t>causa</w:t>
      </w:r>
      <w:r>
        <w:rPr>
          <w:b w:val="0"/>
          <w:i w:val="0"/>
        </w:rPr>
        <w:t xml:space="preserve">; </w:t>
      </w:r>
      <w:r>
        <w:rPr>
          <w:b w:val="0"/>
          <w:i/>
        </w:rPr>
        <w:t>Causa</w:t>
      </w:r>
      <w:r>
        <w:rPr>
          <w:b w:val="0"/>
          <w:i w:val="0"/>
        </w:rPr>
        <w:t xml:space="preserve">; </w:t>
      </w:r>
      <w:r>
        <w:rPr>
          <w:b w:val="0"/>
          <w:i/>
        </w:rPr>
        <w:t>causarum</w:t>
      </w:r>
      <w:r>
        <w:rPr>
          <w:b w:val="0"/>
          <w:i w:val="0"/>
        </w:rPr>
        <w:t xml:space="preserve">; </w:t>
      </w:r>
      <w:r>
        <w:rPr>
          <w:b w:val="0"/>
          <w:i/>
        </w:rPr>
        <w:t>causis</w:t>
      </w:r>
      <w:r>
        <w:rPr>
          <w:b w:val="0"/>
          <w:i w:val="0"/>
        </w:rPr>
        <w:t>.</w:t>
      </w:r>
    </w:p>
    <w:p>
      <w:pPr>
        <w:widowControl/>
      </w:pPr>
      <w:r>
        <w:rPr>
          <w:b w:val="0"/>
          <w:i w:val="0"/>
        </w:rPr>
        <w:t xml:space="preserve">An explanatory source, whose specific kind must be identified rather than assumed. The divine exemplar causes common nature; mind’s alleged self-causation is expressly formal, not efficient. References: </w:t>
      </w:r>
      <w:hyperlink w:anchor="passage-viii-1-3">
        <w:r>
          <w:rPr>
            <w:color w:val="000000"/>
          </w:rPr>
          <w:t xml:space="preserve">VIII.1.3</w:t>
        </w:r>
      </w:hyperlink>
      <w:r>
        <w:rPr>
          <w:b w:val="0"/>
          <w:i w:val="0"/>
        </w:rPr>
        <w:t xml:space="preserve">, </w:t>
      </w:r>
      <w:hyperlink w:anchor="passage-viii-3-7">
        <w:r>
          <w:rPr>
            <w:color w:val="000000"/>
          </w:rPr>
          <w:t xml:space="preserve">VIII.3.7</w:t>
        </w:r>
      </w:hyperlink>
      <w:r>
        <w:rPr>
          <w:b w:val="0"/>
          <w:i w:val="0"/>
        </w:rPr>
        <w:t xml:space="preserve">, </w:t>
      </w:r>
      <w:hyperlink w:anchor="passage-viii-12-1">
        <w:r>
          <w:rPr>
            <w:color w:val="000000"/>
          </w:rPr>
          <w:t xml:space="preserve">VIII.12.1</w:t>
        </w:r>
      </w:hyperlink>
      <w:r>
        <w:rPr>
          <w:b w:val="0"/>
          <w:i w:val="0"/>
        </w:rPr>
        <w:t xml:space="preserve">, </w:t>
      </w:r>
      <w:hyperlink w:anchor="passage-viii-15-3">
        <w:r>
          <w:rPr>
            <w:color w:val="000000"/>
          </w:rPr>
          <w:t xml:space="preserve">VIII.15.3</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440" w:name="latin-record-0199"/>
      <w:bookmarkEnd w:id="440"/>
      <w:r>
        <w:rPr>
          <w:b/>
          <w:i w:val="0"/>
        </w:rPr>
        <w:t>causa communis</w:t>
      </w:r>
      <w:r>
        <w:rPr>
          <w:b/>
          <w:i w:val="0"/>
        </w:rPr>
        <w:t>.</w:t>
      </w:r>
      <w:r>
        <w:rPr>
          <w:b w:val="0"/>
          <w:i w:val="0"/>
        </w:rPr>
        <w:t xml:space="preserve"> Printed forms: </w:t>
      </w:r>
      <w:r>
        <w:rPr>
          <w:b w:val="0"/>
          <w:i/>
        </w:rPr>
        <w:t>communem omnium causam</w:t>
      </w:r>
      <w:r>
        <w:rPr>
          <w:b w:val="0"/>
          <w:i w:val="0"/>
        </w:rPr>
        <w:t xml:space="preserve">; </w:t>
      </w:r>
      <w:r>
        <w:rPr>
          <w:b w:val="0"/>
          <w:i/>
        </w:rPr>
        <w:t>communis causa</w:t>
      </w:r>
      <w:r>
        <w:rPr>
          <w:b w:val="0"/>
          <w:i w:val="0"/>
        </w:rPr>
        <w:t xml:space="preserve">; </w:t>
      </w:r>
      <w:r>
        <w:rPr>
          <w:b w:val="0"/>
          <w:i/>
        </w:rPr>
        <w:t>unam causam</w:t>
      </w:r>
      <w:r>
        <w:rPr>
          <w:b w:val="0"/>
          <w:i w:val="0"/>
        </w:rPr>
        <w:t>.</w:t>
      </w:r>
    </w:p>
    <w:p>
      <w:pPr>
        <w:widowControl/>
      </w:pPr>
      <w:r>
        <w:rPr>
          <w:b w:val="0"/>
          <w:i w:val="0"/>
        </w:rPr>
        <w:t xml:space="preserve">A cause common to all the effects under consideration. God is common cause of their being; particular agents explain their differing modes. References: </w:t>
      </w:r>
      <w:hyperlink w:anchor="passage-v-13-1">
        <w:r>
          <w:rPr>
            <w:color w:val="000000"/>
          </w:rPr>
          <w:t xml:space="preserve">V.13.1</w:t>
        </w:r>
      </w:hyperlink>
      <w:r>
        <w:rPr>
          <w:b w:val="0"/>
          <w:i w:val="0"/>
        </w:rPr>
        <w:t xml:space="preserve">, </w:t>
      </w:r>
      <w:hyperlink w:anchor="passage-v-13-2">
        <w:r>
          <w:rPr>
            <w:color w:val="000000"/>
          </w:rPr>
          <w:t xml:space="preserve">V.13.2</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441" w:name="latin-record-0200"/>
      <w:bookmarkEnd w:id="441"/>
      <w:r>
        <w:rPr>
          <w:b/>
          <w:i w:val="0"/>
        </w:rPr>
        <w:t>causa efficiens</w:t>
      </w:r>
      <w:r>
        <w:rPr>
          <w:b/>
          <w:i w:val="0"/>
        </w:rPr>
        <w:t>.</w:t>
      </w:r>
      <w:r>
        <w:rPr>
          <w:b w:val="0"/>
          <w:i w:val="0"/>
        </w:rPr>
        <w:t xml:space="preserve"> Printed forms: </w:t>
      </w:r>
      <w:r>
        <w:rPr>
          <w:b w:val="0"/>
          <w:i/>
        </w:rPr>
        <w:t>causa</w:t>
      </w:r>
      <w:r>
        <w:rPr>
          <w:b w:val="0"/>
          <w:i w:val="0"/>
        </w:rPr>
        <w:t xml:space="preserve">; </w:t>
      </w:r>
      <w:r>
        <w:rPr>
          <w:b w:val="0"/>
          <w:i/>
        </w:rPr>
        <w:t>causae</w:t>
      </w:r>
      <w:r>
        <w:rPr>
          <w:b w:val="0"/>
          <w:i w:val="0"/>
        </w:rPr>
        <w:t xml:space="preserve">; </w:t>
      </w:r>
      <w:r>
        <w:rPr>
          <w:b w:val="0"/>
          <w:i/>
        </w:rPr>
        <w:t>causam</w:t>
      </w:r>
      <w:r>
        <w:rPr>
          <w:b w:val="0"/>
          <w:i w:val="0"/>
        </w:rPr>
        <w:t xml:space="preserve">; </w:t>
      </w:r>
      <w:r>
        <w:rPr>
          <w:b w:val="0"/>
          <w:i/>
        </w:rPr>
        <w:t>causarum</w:t>
      </w:r>
      <w:r>
        <w:rPr>
          <w:b w:val="0"/>
          <w:i w:val="0"/>
        </w:rPr>
        <w:t xml:space="preserve">; </w:t>
      </w:r>
      <w:r>
        <w:rPr>
          <w:b w:val="0"/>
          <w:i/>
        </w:rPr>
        <w:t>causas</w:t>
      </w:r>
      <w:r>
        <w:rPr>
          <w:b w:val="0"/>
          <w:i w:val="0"/>
        </w:rPr>
        <w:t xml:space="preserve">; </w:t>
      </w:r>
      <w:r>
        <w:rPr>
          <w:b w:val="0"/>
          <w:i/>
        </w:rPr>
        <w:t>causis</w:t>
      </w:r>
      <w:r>
        <w:rPr>
          <w:b w:val="0"/>
          <w:i w:val="0"/>
        </w:rPr>
        <w:t xml:space="preserve">; </w:t>
      </w:r>
      <w:r>
        <w:rPr>
          <w:b w:val="0"/>
          <w:i/>
        </w:rPr>
        <w:t>effector</w:t>
      </w:r>
      <w:r>
        <w:rPr>
          <w:b w:val="0"/>
          <w:i w:val="0"/>
        </w:rPr>
        <w:t xml:space="preserve">; </w:t>
      </w:r>
      <w:r>
        <w:rPr>
          <w:b w:val="0"/>
          <w:i/>
        </w:rPr>
        <w:t>Efficiens</w:t>
      </w:r>
      <w:r>
        <w:rPr>
          <w:b w:val="0"/>
          <w:i w:val="0"/>
        </w:rPr>
        <w:t xml:space="preserve">; </w:t>
      </w:r>
      <w:r>
        <w:rPr>
          <w:b w:val="0"/>
          <w:i/>
        </w:rPr>
        <w:t>efficiens</w:t>
      </w:r>
      <w:r>
        <w:rPr>
          <w:b w:val="0"/>
          <w:i w:val="0"/>
        </w:rPr>
        <w:t xml:space="preserve">; </w:t>
      </w:r>
      <w:r>
        <w:rPr>
          <w:b w:val="0"/>
          <w:i/>
        </w:rPr>
        <w:t>efficiente</w:t>
      </w:r>
      <w:r>
        <w:rPr>
          <w:b w:val="0"/>
          <w:i w:val="0"/>
        </w:rPr>
        <w:t xml:space="preserve">; </w:t>
      </w:r>
      <w:r>
        <w:rPr>
          <w:b w:val="0"/>
          <w:i/>
        </w:rPr>
        <w:t>efficientem</w:t>
      </w:r>
      <w:r>
        <w:rPr>
          <w:b w:val="0"/>
          <w:i w:val="0"/>
        </w:rPr>
        <w:t>.</w:t>
      </w:r>
    </w:p>
    <w:p>
      <w:pPr>
        <w:widowControl/>
      </w:pPr>
      <w:r>
        <w:rPr>
          <w:b w:val="0"/>
          <w:i w:val="0"/>
        </w:rPr>
        <w:t xml:space="preserve">An efficient cause, the productive source of an effect. The human example names universal nature and human parent together; soul retains an efficient source even when independent of matter. References: </w:t>
      </w:r>
      <w:hyperlink w:anchor="passage-v-4-2">
        <w:r>
          <w:rPr>
            <w:color w:val="000000"/>
          </w:rPr>
          <w:t xml:space="preserve">V.4.2</w:t>
        </w:r>
      </w:hyperlink>
      <w:r>
        <w:rPr>
          <w:b w:val="0"/>
          <w:i w:val="0"/>
        </w:rPr>
        <w:t xml:space="preserve">, </w:t>
      </w:r>
      <w:hyperlink w:anchor="passage-v-5-1">
        <w:r>
          <w:rPr>
            <w:color w:val="000000"/>
          </w:rPr>
          <w:t xml:space="preserve">V.5.1</w:t>
        </w:r>
      </w:hyperlink>
      <w:r>
        <w:rPr>
          <w:b w:val="0"/>
          <w:i w:val="0"/>
        </w:rPr>
        <w:t xml:space="preserve">, </w:t>
      </w:r>
      <w:hyperlink w:anchor="passage-v-5-4">
        <w:r>
          <w:rPr>
            <w:color w:val="000000"/>
          </w:rPr>
          <w:t xml:space="preserve">V.5.4</w:t>
        </w:r>
      </w:hyperlink>
      <w:r>
        <w:rPr>
          <w:b w:val="0"/>
          <w:i w:val="0"/>
        </w:rPr>
        <w:t xml:space="preserve">, </w:t>
      </w:r>
      <w:hyperlink w:anchor="passage-v-5-5">
        <w:r>
          <w:rPr>
            <w:color w:val="000000"/>
          </w:rPr>
          <w:t xml:space="preserve">V.5.5</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442" w:name="latin-record-0201"/>
      <w:bookmarkEnd w:id="442"/>
      <w:r>
        <w:rPr>
          <w:b/>
          <w:i w:val="0"/>
        </w:rPr>
        <w:t>causa non efficiens sed formalis</w:t>
      </w:r>
      <w:r>
        <w:rPr>
          <w:b/>
          <w:i w:val="0"/>
        </w:rPr>
        <w:t>.</w:t>
      </w:r>
      <w:r>
        <w:rPr>
          <w:b w:val="0"/>
          <w:i w:val="0"/>
        </w:rPr>
        <w:t xml:space="preserve"> Printed forms: </w:t>
      </w:r>
      <w:r>
        <w:rPr>
          <w:b w:val="0"/>
          <w:i/>
        </w:rPr>
        <w:t>causa</w:t>
      </w:r>
      <w:r>
        <w:rPr>
          <w:b w:val="0"/>
          <w:i w:val="0"/>
        </w:rPr>
        <w:t xml:space="preserve">; </w:t>
      </w:r>
      <w:r>
        <w:rPr>
          <w:b w:val="0"/>
          <w:i/>
        </w:rPr>
        <w:t>Causa</w:t>
      </w:r>
      <w:r>
        <w:rPr>
          <w:b w:val="0"/>
          <w:i w:val="0"/>
        </w:rPr>
        <w:t xml:space="preserve">; </w:t>
      </w:r>
      <w:r>
        <w:rPr>
          <w:b w:val="0"/>
          <w:i/>
        </w:rPr>
        <w:t>non efficiens</w:t>
      </w:r>
      <w:r>
        <w:rPr>
          <w:b w:val="0"/>
          <w:i w:val="0"/>
        </w:rPr>
        <w:t xml:space="preserve">; </w:t>
      </w:r>
      <w:r>
        <w:rPr>
          <w:b w:val="0"/>
          <w:i/>
        </w:rPr>
        <w:t>sed formalis</w:t>
      </w:r>
      <w:r>
        <w:rPr>
          <w:b w:val="0"/>
          <w:i w:val="0"/>
        </w:rPr>
        <w:t>.</w:t>
      </w:r>
    </w:p>
    <w:p>
      <w:pPr>
        <w:widowControl/>
      </w:pPr>
      <w:r>
        <w:rPr>
          <w:b w:val="0"/>
          <w:i w:val="0"/>
        </w:rPr>
        <w:t xml:space="preserve">Formal rather than efficient cause, the express limit of mind’s self-causation. The clause governs the immediately preceding claim that mind is its own cause; it does not confer divine first causality on created intellect. References: </w:t>
      </w:r>
      <w:hyperlink w:anchor="passage-viii-15-3">
        <w:r>
          <w:rPr>
            <w:color w:val="000000"/>
          </w:rPr>
          <w:t xml:space="preserve">VIII.15.3</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443" w:name="latin-record-0202"/>
      <w:bookmarkEnd w:id="443"/>
      <w:r>
        <w:rPr>
          <w:b/>
          <w:i w:val="0"/>
        </w:rPr>
        <w:t>causa prima</w:t>
      </w:r>
      <w:r>
        <w:rPr>
          <w:b/>
          <w:i w:val="0"/>
        </w:rPr>
        <w:t>.</w:t>
      </w:r>
      <w:r>
        <w:rPr>
          <w:b w:val="0"/>
          <w:i w:val="0"/>
        </w:rPr>
        <w:t xml:space="preserve"> Printed forms: </w:t>
      </w:r>
      <w:r>
        <w:rPr>
          <w:b w:val="0"/>
          <w:i/>
        </w:rPr>
        <w:t>a prima sit causa</w:t>
      </w:r>
      <w:r>
        <w:rPr>
          <w:b w:val="0"/>
          <w:i w:val="0"/>
        </w:rPr>
        <w:t xml:space="preserve">; </w:t>
      </w:r>
      <w:r>
        <w:rPr>
          <w:b w:val="0"/>
          <w:i/>
        </w:rPr>
        <w:t>causam primam</w:t>
      </w:r>
      <w:r>
        <w:rPr>
          <w:b w:val="0"/>
          <w:i w:val="0"/>
        </w:rPr>
        <w:t xml:space="preserve">; </w:t>
      </w:r>
      <w:r>
        <w:rPr>
          <w:b w:val="0"/>
          <w:i/>
        </w:rPr>
        <w:t>prima rerum causa</w:t>
      </w:r>
      <w:r>
        <w:rPr>
          <w:b w:val="0"/>
          <w:i w:val="0"/>
        </w:rPr>
        <w:t xml:space="preserve">; </w:t>
      </w:r>
      <w:r>
        <w:rPr>
          <w:b w:val="0"/>
          <w:i/>
        </w:rPr>
        <w:t>primam causam</w:t>
      </w:r>
      <w:r>
        <w:rPr>
          <w:b w:val="0"/>
          <w:i w:val="0"/>
        </w:rPr>
        <w:t>.</w:t>
      </w:r>
    </w:p>
    <w:p>
      <w:pPr>
        <w:widowControl/>
      </w:pPr>
      <w:r>
        <w:rPr>
          <w:b w:val="0"/>
          <w:i w:val="0"/>
        </w:rPr>
        <w:t xml:space="preserve">First cause: the universal source on which the being of effects depends. V.10 relates both bodies and soul to this source by different modes; V.13 matches the first cause with the gift of being itself. The referent is God, not the earliest member of a temporal chain. References: </w:t>
      </w:r>
      <w:hyperlink w:anchor="passage-v-10-1">
        <w:r>
          <w:rPr>
            <w:color w:val="000000"/>
          </w:rPr>
          <w:t xml:space="preserve">V.10.1</w:t>
        </w:r>
      </w:hyperlink>
      <w:r>
        <w:rPr>
          <w:b w:val="0"/>
          <w:i w:val="0"/>
        </w:rPr>
        <w:t xml:space="preserve">, </w:t>
      </w:r>
      <w:hyperlink w:anchor="passage-v-13-4">
        <w:r>
          <w:rPr>
            <w:color w:val="000000"/>
          </w:rPr>
          <w:t xml:space="preserve">V.13.4</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444" w:name="latin-record-0203"/>
      <w:bookmarkEnd w:id="444"/>
      <w:r>
        <w:rPr>
          <w:b/>
          <w:i w:val="0"/>
        </w:rPr>
        <w:t>causa principalis</w:t>
      </w:r>
      <w:r>
        <w:rPr>
          <w:b/>
          <w:i w:val="0"/>
        </w:rPr>
        <w:t>.</w:t>
      </w:r>
      <w:r>
        <w:rPr>
          <w:b w:val="0"/>
          <w:i w:val="0"/>
        </w:rPr>
        <w:t xml:space="preserve"> Printed forms: </w:t>
      </w:r>
      <w:r>
        <w:rPr>
          <w:b w:val="0"/>
          <w:i/>
        </w:rPr>
        <w:t>causa principali</w:t>
      </w:r>
      <w:r>
        <w:rPr>
          <w:b w:val="0"/>
          <w:i w:val="0"/>
        </w:rPr>
        <w:t xml:space="preserve">; </w:t>
      </w:r>
      <w:r>
        <w:rPr>
          <w:b w:val="0"/>
          <w:i/>
        </w:rPr>
        <w:t>principalem</w:t>
      </w:r>
      <w:r>
        <w:rPr>
          <w:b w:val="0"/>
          <w:i w:val="0"/>
        </w:rPr>
        <w:t xml:space="preserve">; </w:t>
      </w:r>
      <w:r>
        <w:rPr>
          <w:b w:val="0"/>
          <w:i/>
        </w:rPr>
        <w:t>principalem augmenti fabrum</w:t>
      </w:r>
      <w:r>
        <w:rPr>
          <w:b w:val="0"/>
          <w:i w:val="0"/>
        </w:rPr>
        <w:t xml:space="preserve">; </w:t>
      </w:r>
      <w:r>
        <w:rPr>
          <w:b w:val="0"/>
          <w:i/>
        </w:rPr>
        <w:t>principali</w:t>
      </w:r>
      <w:r>
        <w:rPr>
          <w:b w:val="0"/>
          <w:i w:val="0"/>
        </w:rPr>
        <w:t xml:space="preserve">; </w:t>
      </w:r>
      <w:r>
        <w:rPr>
          <w:b w:val="0"/>
          <w:i/>
        </w:rPr>
        <w:t>principali agente</w:t>
      </w:r>
      <w:r>
        <w:rPr>
          <w:b w:val="0"/>
          <w:i w:val="0"/>
        </w:rPr>
        <w:t>.</w:t>
      </w:r>
    </w:p>
    <w:p>
      <w:pPr>
        <w:widowControl/>
      </w:pPr>
      <w:r>
        <w:rPr>
          <w:b w:val="0"/>
          <w:i w:val="0"/>
        </w:rPr>
        <w:t xml:space="preserve">The principal cause, agent or craftsman determining organic growth. Heat is rejected in this role and retained as instrument; principal here is a relative causal rank, not the absolute First Cause.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445" w:name="latin-record-0204"/>
      <w:bookmarkEnd w:id="445"/>
      <w:r>
        <w:rPr>
          <w:b/>
          <w:i w:val="0"/>
        </w:rPr>
        <w:t>causae sequentes</w:t>
      </w:r>
      <w:r>
        <w:rPr>
          <w:b/>
          <w:i w:val="0"/>
        </w:rPr>
        <w:t>.</w:t>
      </w:r>
      <w:r>
        <w:rPr>
          <w:b w:val="0"/>
          <w:i w:val="0"/>
        </w:rPr>
        <w:t xml:space="preserve"> Printed forms: </w:t>
      </w:r>
      <w:r>
        <w:rPr>
          <w:b w:val="0"/>
          <w:i/>
        </w:rPr>
        <w:t>sequentibus causis</w:t>
      </w:r>
      <w:r>
        <w:rPr>
          <w:b w:val="0"/>
          <w:i w:val="0"/>
        </w:rPr>
        <w:t>.</w:t>
      </w:r>
    </w:p>
    <w:p>
      <w:pPr>
        <w:widowControl/>
      </w:pPr>
      <w:r>
        <w:rPr>
          <w:b w:val="0"/>
          <w:i w:val="0"/>
        </w:rPr>
        <w:t xml:space="preserve">Subsequent causes, sources of further determinations within a dependent order. The printed wording attributes second or third gifts to subsequent causes after the first gift of being. </w:t>
      </w:r>
      <w:r>
        <w:t>“</w:t>
      </w:r>
      <w:r>
        <w:rPr>
          <w:b w:val="0"/>
          <w:i w:val="0"/>
        </w:rPr>
        <w:t>Secondary causes</w:t>
      </w:r>
      <w:r>
        <w:t>”</w:t>
      </w:r>
      <w:r>
        <w:rPr>
          <w:b w:val="0"/>
          <w:i w:val="0"/>
        </w:rPr>
        <w:t xml:space="preserve"> is an explanatory label here, not this sentence’s exact Latin phrase. References: </w:t>
      </w:r>
      <w:hyperlink w:anchor="passage-v-13-4">
        <w:r>
          <w:rPr>
            <w:color w:val="000000"/>
          </w:rPr>
          <w:t xml:space="preserve">V.13.4</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446" w:name="latin-record-0205"/>
      <w:bookmarkEnd w:id="446"/>
      <w:r>
        <w:rPr>
          <w:b/>
          <w:i w:val="0"/>
        </w:rPr>
        <w:t>cavillatio</w:t>
      </w:r>
      <w:r>
        <w:rPr>
          <w:b/>
          <w:i w:val="0"/>
        </w:rPr>
        <w:t>.</w:t>
      </w:r>
      <w:r>
        <w:rPr>
          <w:b w:val="0"/>
          <w:i w:val="0"/>
        </w:rPr>
        <w:t xml:space="preserve"> Printed forms: </w:t>
      </w:r>
      <w:r>
        <w:rPr>
          <w:b w:val="0"/>
          <w:i/>
        </w:rPr>
        <w:t>cavillatio</w:t>
      </w:r>
      <w:r>
        <w:rPr>
          <w:b w:val="0"/>
          <w:i w:val="0"/>
        </w:rPr>
        <w:t xml:space="preserve">; </w:t>
      </w:r>
      <w:r>
        <w:rPr>
          <w:b w:val="0"/>
          <w:i/>
        </w:rPr>
        <w:t>obiectio</w:t>
      </w:r>
      <w:r>
        <w:rPr>
          <w:b w:val="0"/>
          <w:i w:val="0"/>
        </w:rPr>
        <w:t>.</w:t>
      </w:r>
    </w:p>
    <w:p>
      <w:pPr>
        <w:widowControl/>
      </w:pPr>
      <w:r>
        <w:rPr>
          <w:b w:val="0"/>
          <w:i w:val="0"/>
        </w:rPr>
        <w:t xml:space="preserve">A polemically named quibble or objection. Ficino’s judgement labels a specifically reported proposal; it is not a neutral category for every account of emergence. References: </w:t>
      </w:r>
      <w:hyperlink w:anchor="passage-vi-12-9">
        <w:r>
          <w:rPr>
            <w:color w:val="000000"/>
          </w:rPr>
          <w:t xml:space="preserve">VI.12.9</w:t>
        </w:r>
      </w:hyperlink>
      <w:r>
        <w:rPr>
          <w:b w:val="0"/>
          <w:i w:val="0"/>
        </w:rPr>
        <w:t xml:space="preserve">. See </w:t>
      </w:r>
      <w:hyperlink w:anchor="integrity-of-the-whole">
        <w:r>
          <w:rPr>
            <w:color w:val="000000"/>
          </w:rPr>
          <w:t xml:space="preserve">Integrity of the whole</w:t>
        </w:r>
      </w:hyperlink>
      <w:r>
        <w:rPr>
          <w:b w:val="0"/>
          <w:i w:val="0"/>
        </w:rPr>
        <w:t>.</w:t>
      </w:r>
    </w:p>
    <w:p>
      <w:pPr>
        <w:keepNext/>
        <w:widowControl/>
      </w:pPr>
      <w:bookmarkStart w:id="447" w:name="latin-record-0206"/>
      <w:bookmarkEnd w:id="447"/>
      <w:r>
        <w:rPr>
          <w:b/>
          <w:i w:val="0"/>
        </w:rPr>
        <w:t>centrum (concentration)</w:t>
      </w:r>
      <w:r>
        <w:rPr>
          <w:b/>
          <w:i w:val="0"/>
        </w:rPr>
        <w:t>.</w:t>
      </w:r>
      <w:r>
        <w:rPr>
          <w:b w:val="0"/>
          <w:i w:val="0"/>
        </w:rPr>
        <w:t xml:space="preserve"> Printed forms: </w:t>
      </w:r>
      <w:r>
        <w:rPr>
          <w:b w:val="0"/>
          <w:i/>
        </w:rPr>
        <w:t>centro</w:t>
      </w:r>
      <w:r>
        <w:rPr>
          <w:b w:val="0"/>
          <w:i w:val="0"/>
        </w:rPr>
        <w:t xml:space="preserve">; </w:t>
      </w:r>
      <w:r>
        <w:rPr>
          <w:b w:val="0"/>
          <w:i/>
        </w:rPr>
        <w:t>centrum</w:t>
      </w:r>
      <w:r>
        <w:rPr>
          <w:b w:val="0"/>
          <w:i w:val="0"/>
        </w:rPr>
        <w:t>.</w:t>
      </w:r>
    </w:p>
    <w:p>
      <w:pPr>
        <w:widowControl/>
      </w:pPr>
      <w:r>
        <w:rPr>
          <w:b w:val="0"/>
          <w:i w:val="0"/>
        </w:rPr>
        <w:t xml:space="preserve">A centre at which an extended figure or rays are gathered. The exercise first concentrates the imagined fiery form into the heart’s centre and compares the increased power with sunlight collected at the centre of a concave bronze mirror. It is a preparatory image, not the final assertion that soul is a tiny extended object.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448" w:name="latin-record-0207"/>
      <w:bookmarkEnd w:id="448"/>
      <w:r>
        <w:rPr>
          <w:b/>
          <w:i w:val="0"/>
        </w:rPr>
        <w:t>centrum / vis interior</w:t>
      </w:r>
      <w:r>
        <w:rPr>
          <w:b/>
          <w:i w:val="0"/>
        </w:rPr>
        <w:t>.</w:t>
      </w:r>
      <w:r>
        <w:rPr>
          <w:b w:val="0"/>
          <w:i w:val="0"/>
        </w:rPr>
        <w:t xml:space="preserve"> Printed forms: </w:t>
      </w:r>
      <w:r>
        <w:rPr>
          <w:b w:val="0"/>
          <w:i/>
        </w:rPr>
        <w:t>centrum</w:t>
      </w:r>
      <w:r>
        <w:rPr>
          <w:b w:val="0"/>
          <w:i w:val="0"/>
        </w:rPr>
        <w:t xml:space="preserve">; </w:t>
      </w:r>
      <w:r>
        <w:rPr>
          <w:b w:val="0"/>
          <w:i/>
        </w:rPr>
        <w:t>interior animae</w:t>
      </w:r>
      <w:r>
        <w:rPr>
          <w:b w:val="0"/>
          <w:i w:val="0"/>
        </w:rPr>
        <w:t>.</w:t>
      </w:r>
    </w:p>
    <w:p>
      <w:pPr>
        <w:widowControl/>
      </w:pPr>
      <w:r>
        <w:rPr>
          <w:b w:val="0"/>
          <w:i w:val="0"/>
        </w:rPr>
        <w:t xml:space="preserve">The center-like inward power common to the senses. The image describes integrated comparison and judgement, without itself locating a material center in the brain.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449" w:name="latin-record-0208"/>
      <w:bookmarkEnd w:id="449"/>
      <w:r>
        <w:rPr>
          <w:b/>
          <w:i w:val="0"/>
        </w:rPr>
        <w:t>cera</w:t>
      </w:r>
      <w:r>
        <w:rPr>
          <w:b/>
          <w:i w:val="0"/>
        </w:rPr>
        <w:t>.</w:t>
      </w:r>
      <w:r>
        <w:rPr>
          <w:b w:val="0"/>
          <w:i w:val="0"/>
        </w:rPr>
        <w:t xml:space="preserve"> Printed forms: </w:t>
      </w:r>
      <w:r>
        <w:rPr>
          <w:b w:val="0"/>
          <w:i/>
        </w:rPr>
        <w:t>cera</w:t>
      </w:r>
      <w:r>
        <w:rPr>
          <w:b w:val="0"/>
          <w:i w:val="0"/>
        </w:rPr>
        <w:t xml:space="preserve">; </w:t>
      </w:r>
      <w:r>
        <w:rPr>
          <w:b w:val="0"/>
          <w:i/>
        </w:rPr>
        <w:t>cerae</w:t>
      </w:r>
      <w:r>
        <w:rPr>
          <w:b w:val="0"/>
          <w:i w:val="0"/>
        </w:rPr>
        <w:t>.</w:t>
      </w:r>
    </w:p>
    <w:p>
      <w:pPr>
        <w:widowControl/>
      </w:pPr>
      <w:r>
        <w:rPr>
          <w:b w:val="0"/>
          <w:i w:val="0"/>
        </w:rPr>
        <w:t xml:space="preserve">Wax as the recipient of a seal’s figure. Its comparison is limited to restoration through conformity; the soul is not thereby said to be bodily wax. References: </w:t>
      </w:r>
      <w:hyperlink w:anchor="passage-v-11-6">
        <w:r>
          <w:rPr>
            <w:color w:val="000000"/>
          </w:rPr>
          <w:t xml:space="preserve">V.11.6</w:t>
        </w:r>
      </w:hyperlink>
      <w:r>
        <w:rPr>
          <w:b w:val="0"/>
          <w:i w:val="0"/>
        </w:rPr>
        <w:t xml:space="preserve">. See </w:t>
      </w:r>
      <w:hyperlink w:anchor="seal-wax-and-restoration">
        <w:r>
          <w:rPr>
            <w:color w:val="000000"/>
          </w:rPr>
          <w:t xml:space="preserve">Seal, wax and restoration</w:t>
        </w:r>
      </w:hyperlink>
      <w:r>
        <w:rPr>
          <w:b w:val="0"/>
          <w:i w:val="0"/>
        </w:rPr>
        <w:t>.</w:t>
      </w:r>
    </w:p>
    <w:p>
      <w:pPr>
        <w:widowControl/>
      </w:pPr>
      <w:r>
        <w:rPr>
          <w:b w:val="0"/>
          <w:i w:val="0"/>
        </w:rPr>
        <w:t xml:space="preserve">Wax, capable of receiving a seal’s impressed figure. Its bounded surface and altered impressions make bodily reception concrete under the corporeal-soul hypothesis.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450" w:name="latin-record-0209"/>
      <w:bookmarkEnd w:id="450"/>
      <w:r>
        <w:rPr>
          <w:b/>
          <w:i w:val="0"/>
        </w:rPr>
        <w:t>certa / certus</w:t>
      </w:r>
      <w:r>
        <w:rPr>
          <w:b/>
          <w:i w:val="0"/>
        </w:rPr>
        <w:t>.</w:t>
      </w:r>
      <w:r>
        <w:rPr>
          <w:b w:val="0"/>
          <w:i w:val="0"/>
        </w:rPr>
        <w:t xml:space="preserve"> Printed forms: </w:t>
      </w:r>
      <w:r>
        <w:rPr>
          <w:b w:val="0"/>
          <w:i/>
        </w:rPr>
        <w:t>Certa</w:t>
      </w:r>
      <w:r>
        <w:rPr>
          <w:b w:val="0"/>
          <w:i w:val="0"/>
        </w:rPr>
        <w:t xml:space="preserve">; </w:t>
      </w:r>
      <w:r>
        <w:rPr>
          <w:b w:val="0"/>
          <w:i/>
        </w:rPr>
        <w:t>certa</w:t>
      </w:r>
      <w:r>
        <w:rPr>
          <w:b w:val="0"/>
          <w:i w:val="0"/>
        </w:rPr>
        <w:t xml:space="preserve">; </w:t>
      </w:r>
      <w:r>
        <w:rPr>
          <w:b w:val="0"/>
          <w:i/>
        </w:rPr>
        <w:t>certam</w:t>
      </w:r>
      <w:r>
        <w:rPr>
          <w:b w:val="0"/>
          <w:i w:val="0"/>
        </w:rPr>
        <w:t xml:space="preserve">; </w:t>
      </w:r>
      <w:r>
        <w:rPr>
          <w:b w:val="0"/>
          <w:i/>
        </w:rPr>
        <w:t>certo</w:t>
      </w:r>
      <w:r>
        <w:rPr>
          <w:b w:val="0"/>
          <w:i w:val="0"/>
        </w:rPr>
        <w:t xml:space="preserve">; </w:t>
      </w:r>
      <w:r>
        <w:rPr>
          <w:b w:val="0"/>
          <w:i/>
        </w:rPr>
        <w:t>certum</w:t>
      </w:r>
      <w:r>
        <w:rPr>
          <w:b w:val="0"/>
          <w:i w:val="0"/>
        </w:rPr>
        <w:t>.</w:t>
      </w:r>
    </w:p>
    <w:p>
      <w:pPr>
        <w:widowControl/>
      </w:pPr>
      <w:r>
        <w:rPr>
          <w:b w:val="0"/>
          <w:i w:val="0"/>
        </w:rPr>
        <w:t xml:space="preserve">Determinate or definite, and sometimes certain, according to context. A determinate material situation or a defined power of reasoning is not merely a psychologically confident belief; singular restrictions are central to the universal contrast. References: </w:t>
      </w:r>
      <w:hyperlink w:anchor="passage-viii-1-4">
        <w:r>
          <w:rPr>
            <w:color w:val="000000"/>
          </w:rPr>
          <w:t xml:space="preserve">VIII.1.4</w:t>
        </w:r>
      </w:hyperlink>
      <w:r>
        <w:rPr>
          <w:b w:val="0"/>
          <w:i w:val="0"/>
        </w:rPr>
        <w:t xml:space="preserve">, </w:t>
      </w:r>
      <w:hyperlink w:anchor="passage-viii-4-4">
        <w:r>
          <w:rPr>
            <w:color w:val="000000"/>
          </w:rPr>
          <w:t xml:space="preserve">VIII.4.4</w:t>
        </w:r>
      </w:hyperlink>
      <w:r>
        <w:rPr>
          <w:b w:val="0"/>
          <w:i w:val="0"/>
        </w:rPr>
        <w:t xml:space="preserve">, </w:t>
      </w:r>
      <w:hyperlink w:anchor="passage-viii-4-6">
        <w:r>
          <w:rPr>
            <w:color w:val="000000"/>
          </w:rPr>
          <w:t xml:space="preserve">VIII.4.6</w:t>
        </w:r>
      </w:hyperlink>
      <w:r>
        <w:rPr>
          <w:b w:val="0"/>
          <w:i w:val="0"/>
        </w:rPr>
        <w:t xml:space="preserve">, </w:t>
      </w:r>
      <w:hyperlink w:anchor="passage-viii-4-11">
        <w:r>
          <w:rPr>
            <w:color w:val="000000"/>
          </w:rPr>
          <w:t xml:space="preserve">VIII.4.11</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6-3">
        <w:r>
          <w:rPr>
            <w:color w:val="000000"/>
          </w:rPr>
          <w:t xml:space="preserve">VIII.16.3</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451" w:name="latin-record-0210"/>
      <w:bookmarkEnd w:id="451"/>
      <w:r>
        <w:rPr>
          <w:b/>
          <w:i w:val="0"/>
        </w:rPr>
        <w:t>certus / talis</w:t>
      </w:r>
      <w:r>
        <w:rPr>
          <w:b/>
          <w:i w:val="0"/>
        </w:rPr>
        <w:t>.</w:t>
      </w:r>
      <w:r>
        <w:rPr>
          <w:b w:val="0"/>
          <w:i w:val="0"/>
        </w:rPr>
        <w:t xml:space="preserve"> Printed forms: </w:t>
      </w:r>
      <w:r>
        <w:rPr>
          <w:b w:val="0"/>
          <w:i/>
        </w:rPr>
        <w:t>certa</w:t>
      </w:r>
      <w:r>
        <w:rPr>
          <w:b w:val="0"/>
          <w:i w:val="0"/>
        </w:rPr>
        <w:t xml:space="preserve">; </w:t>
      </w:r>
      <w:r>
        <w:rPr>
          <w:b w:val="0"/>
          <w:i/>
        </w:rPr>
        <w:t>certam</w:t>
      </w:r>
      <w:r>
        <w:rPr>
          <w:b w:val="0"/>
          <w:i w:val="0"/>
        </w:rPr>
        <w:t xml:space="preserve">; </w:t>
      </w:r>
      <w:r>
        <w:rPr>
          <w:b w:val="0"/>
          <w:i/>
        </w:rPr>
        <w:t>certo</w:t>
      </w:r>
      <w:r>
        <w:rPr>
          <w:b w:val="0"/>
          <w:i w:val="0"/>
        </w:rPr>
        <w:t xml:space="preserve">; </w:t>
      </w:r>
      <w:r>
        <w:rPr>
          <w:b w:val="0"/>
          <w:i/>
        </w:rPr>
        <w:t>certum</w:t>
      </w:r>
      <w:r>
        <w:rPr>
          <w:b w:val="0"/>
          <w:i w:val="0"/>
        </w:rPr>
        <w:t xml:space="preserve">; </w:t>
      </w:r>
      <w:r>
        <w:rPr>
          <w:b w:val="0"/>
          <w:i/>
        </w:rPr>
        <w:t>tale</w:t>
      </w:r>
      <w:r>
        <w:rPr>
          <w:b w:val="0"/>
          <w:i w:val="0"/>
        </w:rPr>
        <w:t xml:space="preserve">; </w:t>
      </w:r>
      <w:r>
        <w:rPr>
          <w:b w:val="0"/>
          <w:i/>
        </w:rPr>
        <w:t>talem</w:t>
      </w:r>
      <w:r>
        <w:rPr>
          <w:b w:val="0"/>
          <w:i w:val="0"/>
        </w:rPr>
        <w:t xml:space="preserve">; </w:t>
      </w:r>
      <w:r>
        <w:rPr>
          <w:b w:val="0"/>
          <w:i/>
        </w:rPr>
        <w:t>tales</w:t>
      </w:r>
      <w:r>
        <w:rPr>
          <w:b w:val="0"/>
          <w:i w:val="0"/>
        </w:rPr>
        <w:t xml:space="preserve">; </w:t>
      </w:r>
      <w:r>
        <w:rPr>
          <w:b w:val="0"/>
          <w:i/>
        </w:rPr>
        <w:t>tali</w:t>
      </w:r>
      <w:r>
        <w:rPr>
          <w:b w:val="0"/>
          <w:i w:val="0"/>
        </w:rPr>
        <w:t xml:space="preserve">; </w:t>
      </w:r>
      <w:r>
        <w:rPr>
          <w:b w:val="0"/>
          <w:i/>
        </w:rPr>
        <w:t>talis</w:t>
      </w:r>
      <w:r>
        <w:rPr>
          <w:b w:val="0"/>
          <w:i w:val="0"/>
        </w:rPr>
        <w:t xml:space="preserve">; </w:t>
      </w:r>
      <w:r>
        <w:rPr>
          <w:b w:val="0"/>
          <w:i/>
        </w:rPr>
        <w:t>Talis</w:t>
      </w:r>
      <w:r>
        <w:rPr>
          <w:b w:val="0"/>
          <w:i w:val="0"/>
        </w:rPr>
        <w:t>.</w:t>
      </w:r>
    </w:p>
    <w:p>
      <w:pPr>
        <w:widowControl/>
      </w:pPr>
      <w:r>
        <w:rPr>
          <w:b w:val="0"/>
          <w:i w:val="0"/>
        </w:rPr>
        <w:t xml:space="preserve">Determinate or of a specified kind, often restricting an essence or mode. A thing’s being this or such differs from being simply; these qualifiers are part of the argument for limited secondary causes. References: </w:t>
      </w:r>
      <w:hyperlink w:anchor="passage-v-4-9">
        <w:r>
          <w:rPr>
            <w:color w:val="000000"/>
          </w:rPr>
          <w:t xml:space="preserve">V.4.9</w:t>
        </w:r>
      </w:hyperlink>
      <w:r>
        <w:rPr>
          <w:b w:val="0"/>
          <w:i w:val="0"/>
        </w:rPr>
        <w:t xml:space="preserve">, </w:t>
      </w:r>
      <w:hyperlink w:anchor="passage-v-7-1">
        <w:r>
          <w:rPr>
            <w:color w:val="000000"/>
          </w:rPr>
          <w:t xml:space="preserve">V.7.1</w:t>
        </w:r>
      </w:hyperlink>
      <w:r>
        <w:rPr>
          <w:b w:val="0"/>
          <w:i w:val="0"/>
        </w:rPr>
        <w:t xml:space="preserve">, </w:t>
      </w:r>
      <w:hyperlink w:anchor="passage-v-9-2">
        <w:r>
          <w:rPr>
            <w:color w:val="000000"/>
          </w:rPr>
          <w:t xml:space="preserve">V.9.2</w:t>
        </w:r>
      </w:hyperlink>
      <w:r>
        <w:rPr>
          <w:b w:val="0"/>
          <w:i w:val="0"/>
        </w:rPr>
        <w:t xml:space="preserve">, </w:t>
      </w:r>
      <w:hyperlink w:anchor="passage-v-9-4">
        <w:r>
          <w:rPr>
            <w:color w:val="000000"/>
          </w:rPr>
          <w:t xml:space="preserve">V.9.4</w:t>
        </w:r>
      </w:hyperlink>
      <w:r>
        <w:rPr>
          <w:b w:val="0"/>
          <w:i w:val="0"/>
        </w:rPr>
        <w:t xml:space="preserve">, </w:t>
      </w:r>
      <w:hyperlink w:anchor="passage-v-11-7">
        <w:r>
          <w:rPr>
            <w:color w:val="000000"/>
          </w:rPr>
          <w:t xml:space="preserve">V.11.7</w:t>
        </w:r>
      </w:hyperlink>
      <w:r>
        <w:rPr>
          <w:b w:val="0"/>
          <w:i w:val="0"/>
        </w:rPr>
        <w:t xml:space="preserve">, </w:t>
      </w:r>
      <w:hyperlink w:anchor="passage-v-13-3">
        <w:r>
          <w:rPr>
            <w:color w:val="000000"/>
          </w:rPr>
          <w:t xml:space="preserve">V.13.3</w:t>
        </w:r>
      </w:hyperlink>
      <w:r>
        <w:rPr>
          <w:b w:val="0"/>
          <w:i w:val="0"/>
        </w:rPr>
        <w:t xml:space="preserve">, </w:t>
      </w:r>
      <w:hyperlink w:anchor="passage-v-13-5">
        <w:r>
          <w:rPr>
            <w:color w:val="000000"/>
          </w:rPr>
          <w:t xml:space="preserve">V.13.5</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452" w:name="latin-record-0211"/>
      <w:bookmarkEnd w:id="452"/>
      <w:r>
        <w:rPr>
          <w:b/>
          <w:i w:val="0"/>
        </w:rPr>
        <w:t>cervix; columna</w:t>
      </w:r>
      <w:r>
        <w:rPr>
          <w:b/>
          <w:i w:val="0"/>
        </w:rPr>
        <w:t>.</w:t>
      </w:r>
      <w:r>
        <w:rPr>
          <w:b w:val="0"/>
          <w:i w:val="0"/>
        </w:rPr>
        <w:t xml:space="preserve"> Printed forms: </w:t>
      </w:r>
      <w:r>
        <w:rPr>
          <w:b w:val="0"/>
          <w:i/>
        </w:rPr>
        <w:t>cervicem</w:t>
      </w:r>
      <w:r>
        <w:rPr>
          <w:b w:val="0"/>
          <w:i w:val="0"/>
        </w:rPr>
        <w:t xml:space="preserve">; </w:t>
      </w:r>
      <w:r>
        <w:rPr>
          <w:b w:val="0"/>
          <w:i/>
        </w:rPr>
        <w:t>columnis</w:t>
      </w:r>
      <w:r>
        <w:rPr>
          <w:b w:val="0"/>
          <w:i w:val="0"/>
        </w:rPr>
        <w:t>.</w:t>
      </w:r>
    </w:p>
    <w:p>
      <w:pPr>
        <w:widowControl/>
      </w:pPr>
      <w:r>
        <w:rPr>
          <w:b w:val="0"/>
          <w:i w:val="0"/>
        </w:rPr>
        <w:t xml:space="preserve">Neck and pillars in the cave’s staging. Bodily constraints explain why the prisoners only see what lies before them rather than its sources behind. References: </w:t>
      </w:r>
      <w:hyperlink w:anchor="passage-vi-2-14">
        <w:r>
          <w:rPr>
            <w:color w:val="000000"/>
          </w:rPr>
          <w:t xml:space="preserve">VI.2.14</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453" w:name="latin-record-0212"/>
      <w:bookmarkEnd w:id="453"/>
      <w:r>
        <w:rPr>
          <w:b/>
          <w:i w:val="0"/>
        </w:rPr>
        <w:t>chaos</w:t>
      </w:r>
      <w:r>
        <w:rPr>
          <w:b/>
          <w:i w:val="0"/>
        </w:rPr>
        <w:t>.</w:t>
      </w:r>
      <w:r>
        <w:rPr>
          <w:b w:val="0"/>
          <w:i w:val="0"/>
        </w:rPr>
        <w:t xml:space="preserve"> Printed forms: </w:t>
      </w:r>
      <w:r>
        <w:rPr>
          <w:b w:val="0"/>
          <w:i/>
        </w:rPr>
        <w:t>chaos</w:t>
      </w:r>
      <w:r>
        <w:rPr>
          <w:b w:val="0"/>
          <w:i w:val="0"/>
        </w:rPr>
        <w:t>.</w:t>
      </w:r>
    </w:p>
    <w:p>
      <w:pPr>
        <w:widowControl/>
      </w:pPr>
      <w:r>
        <w:rPr>
          <w:b w:val="0"/>
          <w:i w:val="0"/>
        </w:rPr>
        <w:t xml:space="preserve">The term for the disappearance of the previous elemental form when its replacement arrives. The earth-form passes into chaos, but the matter receiving water survives; the wording does not establish annihilation of all being. References: </w:t>
      </w:r>
      <w:hyperlink w:anchor="passage-v-4-1">
        <w:r>
          <w:rPr>
            <w:color w:val="000000"/>
          </w:rPr>
          <w:t xml:space="preserve">V.4.1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454" w:name="latin-record-0213"/>
      <w:bookmarkEnd w:id="454"/>
      <w:r>
        <w:rPr>
          <w:b/>
          <w:i w:val="0"/>
        </w:rPr>
        <w:t>Chrysippus; Archelaus; Heraclides</w:t>
      </w:r>
      <w:r>
        <w:rPr>
          <w:b/>
          <w:i w:val="0"/>
        </w:rPr>
        <w:t>.</w:t>
      </w:r>
      <w:r>
        <w:rPr>
          <w:b w:val="0"/>
          <w:i w:val="0"/>
        </w:rPr>
        <w:t xml:space="preserve"> Printed forms: </w:t>
      </w:r>
      <w:r>
        <w:rPr>
          <w:b w:val="0"/>
          <w:i/>
        </w:rPr>
        <w:t>Archelaum</w:t>
      </w:r>
      <w:r>
        <w:rPr>
          <w:b w:val="0"/>
          <w:i w:val="0"/>
        </w:rPr>
        <w:t xml:space="preserve">; </w:t>
      </w:r>
      <w:r>
        <w:rPr>
          <w:b w:val="0"/>
          <w:i/>
        </w:rPr>
        <w:t>Chrysippum</w:t>
      </w:r>
      <w:r>
        <w:rPr>
          <w:b w:val="0"/>
          <w:i w:val="0"/>
        </w:rPr>
        <w:t xml:space="preserve">; </w:t>
      </w:r>
      <w:r>
        <w:rPr>
          <w:b w:val="0"/>
          <w:i/>
        </w:rPr>
        <w:t>Heraclidem Ponticum</w:t>
      </w:r>
      <w:r>
        <w:rPr>
          <w:b w:val="0"/>
          <w:i w:val="0"/>
        </w:rPr>
        <w:t>.</w:t>
      </w:r>
    </w:p>
    <w:p>
      <w:pPr>
        <w:widowControl/>
      </w:pPr>
      <w:r>
        <w:rPr>
          <w:b w:val="0"/>
          <w:i w:val="0"/>
        </w:rPr>
        <w:t xml:space="preserve">Authorities associated here with the locally seated luminous point. Ficino’s reported grouping should not be treated as evidence that all three held an identical detailed physiology. References: </w:t>
      </w:r>
      <w:hyperlink w:anchor="passage-vi-1-4">
        <w:r>
          <w:rPr>
            <w:color w:val="000000"/>
          </w:rPr>
          <w:t xml:space="preserve">VI.1.4</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455" w:name="latin-record-0214"/>
      <w:bookmarkEnd w:id="455"/>
      <w:r>
        <w:rPr>
          <w:b/>
          <w:i w:val="0"/>
        </w:rPr>
        <w:t>cibus / nutrimentum / viva caro</w:t>
      </w:r>
      <w:r>
        <w:rPr>
          <w:b/>
          <w:i w:val="0"/>
        </w:rPr>
        <w:t>.</w:t>
      </w:r>
      <w:r>
        <w:rPr>
          <w:b w:val="0"/>
          <w:i w:val="0"/>
        </w:rPr>
        <w:t xml:space="preserve"> Printed forms: </w:t>
      </w:r>
      <w:r>
        <w:rPr>
          <w:b w:val="0"/>
          <w:i/>
        </w:rPr>
        <w:t>carnis</w:t>
      </w:r>
      <w:r>
        <w:rPr>
          <w:b w:val="0"/>
          <w:i w:val="0"/>
        </w:rPr>
        <w:t xml:space="preserve">; </w:t>
      </w:r>
      <w:r>
        <w:rPr>
          <w:b w:val="0"/>
          <w:i/>
        </w:rPr>
        <w:t>cibos</w:t>
      </w:r>
      <w:r>
        <w:rPr>
          <w:b w:val="0"/>
          <w:i w:val="0"/>
        </w:rPr>
        <w:t xml:space="preserve">; </w:t>
      </w:r>
      <w:r>
        <w:rPr>
          <w:b w:val="0"/>
          <w:i/>
        </w:rPr>
        <w:t>nutrimentum</w:t>
      </w:r>
      <w:r>
        <w:rPr>
          <w:b w:val="0"/>
          <w:i w:val="0"/>
        </w:rPr>
        <w:t xml:space="preserve">; </w:t>
      </w:r>
      <w:r>
        <w:rPr>
          <w:b w:val="0"/>
          <w:i/>
        </w:rPr>
        <w:t>vivae carnis</w:t>
      </w:r>
      <w:r>
        <w:rPr>
          <w:b w:val="0"/>
          <w:i w:val="0"/>
        </w:rPr>
        <w:t>.</w:t>
      </w:r>
    </w:p>
    <w:p>
      <w:pPr>
        <w:widowControl/>
      </w:pPr>
      <w:r>
        <w:rPr>
          <w:b w:val="0"/>
          <w:i w:val="0"/>
        </w:rPr>
        <w:t xml:space="preserve">Food, nourishment and living flesh. The nutritive transformation’s definite living product makes the distinction between instrumental heating and formative agency visible.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456" w:name="latin-record-0215"/>
      <w:bookmarkEnd w:id="456"/>
      <w:r>
        <w:rPr>
          <w:b/>
          <w:i w:val="0"/>
        </w:rPr>
        <w:t>circuitus</w:t>
      </w:r>
      <w:r>
        <w:rPr>
          <w:b/>
          <w:i w:val="0"/>
        </w:rPr>
        <w:t>.</w:t>
      </w:r>
      <w:r>
        <w:rPr>
          <w:b w:val="0"/>
          <w:i w:val="0"/>
        </w:rPr>
        <w:t xml:space="preserve"> Printed forms: </w:t>
      </w:r>
      <w:r>
        <w:rPr>
          <w:b w:val="0"/>
          <w:i/>
        </w:rPr>
        <w:t>circuitum</w:t>
      </w:r>
      <w:r>
        <w:rPr>
          <w:b w:val="0"/>
          <w:i w:val="0"/>
        </w:rPr>
        <w:t xml:space="preserve">; </w:t>
      </w:r>
      <w:r>
        <w:rPr>
          <w:b w:val="0"/>
          <w:i/>
        </w:rPr>
        <w:t>circuitus</w:t>
      </w:r>
      <w:r>
        <w:rPr>
          <w:b w:val="0"/>
          <w:i w:val="0"/>
        </w:rPr>
        <w:t xml:space="preserve">; </w:t>
      </w:r>
      <w:r>
        <w:rPr>
          <w:b w:val="0"/>
          <w:i/>
        </w:rPr>
        <w:t>Circuitus</w:t>
      </w:r>
      <w:r>
        <w:rPr>
          <w:b w:val="0"/>
          <w:i w:val="0"/>
        </w:rPr>
        <w:t xml:space="preserve">; </w:t>
      </w:r>
      <w:r>
        <w:rPr>
          <w:b w:val="0"/>
          <w:i/>
        </w:rPr>
        <w:t>circuituum</w:t>
      </w:r>
      <w:r>
        <w:rPr>
          <w:b w:val="0"/>
          <w:i w:val="0"/>
        </w:rPr>
        <w:t>.</w:t>
      </w:r>
    </w:p>
    <w:p>
      <w:pPr>
        <w:widowControl/>
      </w:pPr>
      <w:r>
        <w:rPr>
          <w:b w:val="0"/>
          <w:i w:val="0"/>
        </w:rPr>
        <w:t xml:space="preserve">A circuit or returning course whose motion is interpreted as gathering back into its source. The spiritual circuit conserves power and the soul’s return into itself supports material independence. References: </w:t>
      </w:r>
      <w:hyperlink w:anchor="passage-v-1-4">
        <w:r>
          <w:rPr>
            <w:color w:val="000000"/>
          </w:rPr>
          <w:t xml:space="preserve">V.1.4</w:t>
        </w:r>
      </w:hyperlink>
      <w:r>
        <w:rPr>
          <w:b w:val="0"/>
          <w:i w:val="0"/>
        </w:rPr>
        <w:t xml:space="preserve">, </w:t>
      </w:r>
      <w:hyperlink w:anchor="passage-v-1-5">
        <w:r>
          <w:rPr>
            <w:color w:val="000000"/>
          </w:rPr>
          <w:t xml:space="preserve">V.1.5</w:t>
        </w:r>
      </w:hyperlink>
      <w:r>
        <w:rPr>
          <w:b w:val="0"/>
          <w:i w:val="0"/>
        </w:rPr>
        <w:t xml:space="preserve">, </w:t>
      </w:r>
      <w:hyperlink w:anchor="passage-v-5-8">
        <w:r>
          <w:rPr>
            <w:color w:val="000000"/>
          </w:rPr>
          <w:t xml:space="preserve">V.5.8</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457" w:name="latin-record-0216"/>
      <w:bookmarkEnd w:id="457"/>
      <w:r>
        <w:rPr>
          <w:b/>
          <w:i w:val="0"/>
        </w:rPr>
        <w:t>circulus</w:t>
      </w:r>
      <w:r>
        <w:rPr>
          <w:b/>
          <w:i w:val="0"/>
        </w:rPr>
        <w:t>.</w:t>
      </w:r>
      <w:r>
        <w:rPr>
          <w:b w:val="0"/>
          <w:i w:val="0"/>
        </w:rPr>
        <w:t xml:space="preserve"> Printed forms: </w:t>
      </w:r>
      <w:r>
        <w:rPr>
          <w:b w:val="0"/>
          <w:i/>
        </w:rPr>
        <w:t>circulo</w:t>
      </w:r>
      <w:r>
        <w:rPr>
          <w:b w:val="0"/>
          <w:i w:val="0"/>
        </w:rPr>
        <w:t xml:space="preserve">; </w:t>
      </w:r>
      <w:r>
        <w:rPr>
          <w:b w:val="0"/>
          <w:i/>
        </w:rPr>
        <w:t>circulum</w:t>
      </w:r>
      <w:r>
        <w:rPr>
          <w:b w:val="0"/>
          <w:i w:val="0"/>
        </w:rPr>
        <w:t xml:space="preserve">; </w:t>
      </w:r>
      <w:r>
        <w:rPr>
          <w:b w:val="0"/>
          <w:i/>
        </w:rPr>
        <w:t>circulus</w:t>
      </w:r>
      <w:r>
        <w:rPr>
          <w:b w:val="0"/>
          <w:i w:val="0"/>
        </w:rPr>
        <w:t>.</w:t>
      </w:r>
    </w:p>
    <w:p>
      <w:pPr>
        <w:widowControl/>
      </w:pPr>
      <w:r>
        <w:rPr>
          <w:b w:val="0"/>
          <w:i w:val="0"/>
        </w:rPr>
        <w:t xml:space="preserve">A circle or circular course; in one context a form with intrinsic roundness, in another a model of returning movement. V.1’s movement and V.9’s predication example use circularity for different argumentative purposes. References: </w:t>
      </w:r>
      <w:hyperlink w:anchor="passage-v-1-1">
        <w:r>
          <w:rPr>
            <w:color w:val="000000"/>
          </w:rPr>
          <w:t xml:space="preserve">V.1.1</w:t>
        </w:r>
      </w:hyperlink>
      <w:r>
        <w:rPr>
          <w:b w:val="0"/>
          <w:i w:val="0"/>
        </w:rPr>
        <w:t xml:space="preserve">, </w:t>
      </w:r>
      <w:hyperlink w:anchor="passage-v-1-3">
        <w:r>
          <w:rPr>
            <w:color w:val="000000"/>
          </w:rPr>
          <w:t xml:space="preserve">V.1.3</w:t>
        </w:r>
      </w:hyperlink>
      <w:r>
        <w:rPr>
          <w:b w:val="0"/>
          <w:i w:val="0"/>
        </w:rPr>
        <w:t xml:space="preserve">, </w:t>
      </w:r>
      <w:hyperlink w:anchor="passage-v-9-1">
        <w:r>
          <w:rPr>
            <w:color w:val="000000"/>
          </w:rPr>
          <w:t xml:space="preserve">V.9.1</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458" w:name="latin-record-0217"/>
      <w:bookmarkEnd w:id="458"/>
      <w:r>
        <w:rPr>
          <w:b/>
          <w:i w:val="0"/>
        </w:rPr>
        <w:t>circumferentia; cardo</w:t>
      </w:r>
      <w:r>
        <w:rPr>
          <w:b/>
          <w:i w:val="0"/>
        </w:rPr>
        <w:t>.</w:t>
      </w:r>
      <w:r>
        <w:rPr>
          <w:b w:val="0"/>
          <w:i w:val="0"/>
        </w:rPr>
        <w:t xml:space="preserve"> Printed forms: </w:t>
      </w:r>
      <w:r>
        <w:rPr>
          <w:b w:val="0"/>
          <w:i/>
        </w:rPr>
        <w:t>cardine</w:t>
      </w:r>
      <w:r>
        <w:rPr>
          <w:b w:val="0"/>
          <w:i w:val="0"/>
        </w:rPr>
        <w:t xml:space="preserve">; </w:t>
      </w:r>
      <w:r>
        <w:rPr>
          <w:b w:val="0"/>
          <w:i/>
        </w:rPr>
        <w:t>circumferentia</w:t>
      </w:r>
      <w:r>
        <w:rPr>
          <w:b w:val="0"/>
          <w:i w:val="0"/>
        </w:rPr>
        <w:t>.</w:t>
      </w:r>
    </w:p>
    <w:p>
      <w:pPr>
        <w:widowControl/>
      </w:pPr>
      <w:r>
        <w:rPr>
          <w:b w:val="0"/>
          <w:i w:val="0"/>
        </w:rPr>
        <w:t xml:space="preserve">Circumference and stable hinge or pivot. The moving point and enfolded circle provide a geometrical counterpart to the spark–flame image. References: </w:t>
      </w:r>
      <w:hyperlink w:anchor="passage-vi-2-25">
        <w:r>
          <w:rPr>
            <w:color w:val="000000"/>
          </w:rPr>
          <w:t xml:space="preserve">VI.2.25</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459" w:name="latin-record-0218"/>
      <w:bookmarkEnd w:id="459"/>
      <w:r>
        <w:rPr>
          <w:b/>
          <w:i w:val="0"/>
        </w:rPr>
        <w:t>claritas / fervor</w:t>
      </w:r>
      <w:r>
        <w:rPr>
          <w:b/>
          <w:i w:val="0"/>
        </w:rPr>
        <w:t>.</w:t>
      </w:r>
      <w:r>
        <w:rPr>
          <w:b w:val="0"/>
          <w:i w:val="0"/>
        </w:rPr>
        <w:t xml:space="preserve"> Printed forms: </w:t>
      </w:r>
      <w:r>
        <w:rPr>
          <w:b w:val="0"/>
          <w:i/>
        </w:rPr>
        <w:t>ardorem</w:t>
      </w:r>
      <w:r>
        <w:rPr>
          <w:b w:val="0"/>
          <w:i w:val="0"/>
        </w:rPr>
        <w:t xml:space="preserve">; </w:t>
      </w:r>
      <w:r>
        <w:rPr>
          <w:b w:val="0"/>
          <w:i/>
        </w:rPr>
        <w:t>claritas</w:t>
      </w:r>
      <w:r>
        <w:rPr>
          <w:b w:val="0"/>
          <w:i w:val="0"/>
        </w:rPr>
        <w:t xml:space="preserve">; </w:t>
      </w:r>
      <w:r>
        <w:rPr>
          <w:b w:val="0"/>
          <w:i/>
        </w:rPr>
        <w:t>Claritas</w:t>
      </w:r>
      <w:r>
        <w:rPr>
          <w:b w:val="0"/>
          <w:i w:val="0"/>
        </w:rPr>
        <w:t xml:space="preserve">; </w:t>
      </w:r>
      <w:r>
        <w:rPr>
          <w:b w:val="0"/>
          <w:i/>
        </w:rPr>
        <w:t>claritate</w:t>
      </w:r>
      <w:r>
        <w:rPr>
          <w:b w:val="0"/>
          <w:i w:val="0"/>
        </w:rPr>
        <w:t xml:space="preserve">; </w:t>
      </w:r>
      <w:r>
        <w:rPr>
          <w:b w:val="0"/>
          <w:i/>
        </w:rPr>
        <w:t>fervor</w:t>
      </w:r>
      <w:r>
        <w:rPr>
          <w:b w:val="0"/>
          <w:i w:val="0"/>
        </w:rPr>
        <w:t>.</w:t>
      </w:r>
    </w:p>
    <w:p>
      <w:pPr>
        <w:widowControl/>
      </w:pPr>
      <w:r>
        <w:rPr>
          <w:b w:val="0"/>
          <w:i w:val="0"/>
        </w:rPr>
        <w:t xml:space="preserve">Intellectual clarity and the stable ardour it kindles in appetite. The relation organizes the mirror-and-wool analogy: insight illuminates, and prepared appetite is ignited into moral virtue. References: </w:t>
      </w:r>
      <w:hyperlink w:anchor="passage-viii-3-2">
        <w:r>
          <w:rPr>
            <w:color w:val="000000"/>
          </w:rPr>
          <w:t xml:space="preserve">VIII.3.2</w:t>
        </w:r>
      </w:hyperlink>
      <w:r>
        <w:rPr>
          <w:b w:val="0"/>
          <w:i w:val="0"/>
        </w:rPr>
        <w:t xml:space="preserve">, </w:t>
      </w:r>
      <w:hyperlink w:anchor="passage-viii-3-3">
        <w:r>
          <w:rPr>
            <w:color w:val="000000"/>
          </w:rPr>
          <w:t xml:space="preserve">VIII.3.3</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460" w:name="latin-record-0219"/>
      <w:bookmarkEnd w:id="460"/>
      <w:r>
        <w:rPr>
          <w:b/>
          <w:i w:val="0"/>
        </w:rPr>
        <w:t>coagulum / conglutinare</w:t>
      </w:r>
      <w:r>
        <w:rPr>
          <w:b/>
          <w:i w:val="0"/>
        </w:rPr>
        <w:t>.</w:t>
      </w:r>
      <w:r>
        <w:rPr>
          <w:b w:val="0"/>
          <w:i w:val="0"/>
        </w:rPr>
        <w:t xml:space="preserve"> Printed forms: </w:t>
      </w:r>
      <w:r>
        <w:rPr>
          <w:b w:val="0"/>
          <w:i/>
        </w:rPr>
        <w:t>coagulo</w:t>
      </w:r>
      <w:r>
        <w:rPr>
          <w:b w:val="0"/>
          <w:i w:val="0"/>
        </w:rPr>
        <w:t xml:space="preserve">; </w:t>
      </w:r>
      <w:r>
        <w:rPr>
          <w:b w:val="0"/>
          <w:i/>
        </w:rPr>
        <w:t>conglutinentur</w:t>
      </w:r>
      <w:r>
        <w:rPr>
          <w:b w:val="0"/>
          <w:i w:val="0"/>
        </w:rPr>
        <w:t>.</w:t>
      </w:r>
    </w:p>
    <w:p>
      <w:pPr>
        <w:widowControl/>
      </w:pPr>
      <w:r>
        <w:rPr>
          <w:b w:val="0"/>
          <w:i w:val="0"/>
        </w:rPr>
        <w:t xml:space="preserve">An inward binder or glue, and being glued together. The concrete image explains unification by an indwelling one without making soul a physical adhesive. References: </w:t>
      </w:r>
      <w:hyperlink w:anchor="passage-vii-12-1">
        <w:r>
          <w:rPr>
            <w:color w:val="000000"/>
          </w:rPr>
          <w:t xml:space="preserve">VII.12.1</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461" w:name="latin-record-0220"/>
      <w:bookmarkEnd w:id="461"/>
      <w:r>
        <w:rPr>
          <w:b/>
          <w:i w:val="0"/>
        </w:rPr>
        <w:t>coagulum; lac; coagulare</w:t>
      </w:r>
      <w:r>
        <w:rPr>
          <w:b/>
          <w:i w:val="0"/>
        </w:rPr>
        <w:t>.</w:t>
      </w:r>
      <w:r>
        <w:rPr>
          <w:b w:val="0"/>
          <w:i w:val="0"/>
        </w:rPr>
        <w:t xml:space="preserve"> Printed forms: </w:t>
      </w:r>
      <w:r>
        <w:rPr>
          <w:b w:val="0"/>
          <w:i/>
        </w:rPr>
        <w:t>coagulatur</w:t>
      </w:r>
      <w:r>
        <w:rPr>
          <w:b w:val="0"/>
          <w:i w:val="0"/>
        </w:rPr>
        <w:t xml:space="preserve">; </w:t>
      </w:r>
      <w:r>
        <w:rPr>
          <w:b w:val="0"/>
          <w:i/>
        </w:rPr>
        <w:t>coaguli</w:t>
      </w:r>
      <w:r>
        <w:rPr>
          <w:b w:val="0"/>
          <w:i w:val="0"/>
        </w:rPr>
        <w:t xml:space="preserve">; </w:t>
      </w:r>
      <w:r>
        <w:rPr>
          <w:b w:val="0"/>
          <w:i/>
        </w:rPr>
        <w:t>lacte</w:t>
      </w:r>
      <w:r>
        <w:rPr>
          <w:b w:val="0"/>
          <w:i w:val="0"/>
        </w:rPr>
        <w:t>.</w:t>
      </w:r>
    </w:p>
    <w:p>
      <w:pPr>
        <w:widowControl/>
      </w:pPr>
      <w:r>
        <w:rPr>
          <w:b w:val="0"/>
          <w:i w:val="0"/>
        </w:rPr>
        <w:t xml:space="preserve">Rennet, milk and curdling. The first analogy concerns the soul’s binding power, not identity between soul and a physical curdling agent. References: </w:t>
      </w:r>
      <w:hyperlink w:anchor="passage-vi-9-4">
        <w:r>
          <w:rPr>
            <w:color w:val="000000"/>
          </w:rPr>
          <w:t xml:space="preserve">VI.9.4</w:t>
        </w:r>
      </w:hyperlink>
      <w:r>
        <w:rPr>
          <w:b w:val="0"/>
          <w:i w:val="0"/>
        </w:rPr>
        <w:t xml:space="preserve">. See </w:t>
      </w:r>
      <w:hyperlink w:anchor="rennet-magnet-and-clock">
        <w:r>
          <w:rPr>
            <w:color w:val="000000"/>
          </w:rPr>
          <w:t xml:space="preserve">Rennet, magnet and clock</w:t>
        </w:r>
      </w:hyperlink>
      <w:r>
        <w:rPr>
          <w:b w:val="0"/>
          <w:i w:val="0"/>
        </w:rPr>
        <w:t>.</w:t>
      </w:r>
    </w:p>
    <w:p>
      <w:pPr>
        <w:keepNext/>
        <w:widowControl/>
      </w:pPr>
      <w:bookmarkStart w:id="462" w:name="latin-record-0221"/>
      <w:bookmarkEnd w:id="462"/>
      <w:r>
        <w:rPr>
          <w:b/>
          <w:i w:val="0"/>
        </w:rPr>
        <w:t>coalescere</w:t>
      </w:r>
      <w:r>
        <w:rPr>
          <w:b/>
          <w:i w:val="0"/>
        </w:rPr>
        <w:t>.</w:t>
      </w:r>
      <w:r>
        <w:rPr>
          <w:b w:val="0"/>
          <w:i w:val="0"/>
        </w:rPr>
        <w:t xml:space="preserve"> Printed forms: </w:t>
      </w:r>
      <w:r>
        <w:rPr>
          <w:b w:val="0"/>
          <w:i/>
        </w:rPr>
        <w:t>coalescere</w:t>
      </w:r>
      <w:r>
        <w:rPr>
          <w:b w:val="0"/>
          <w:i w:val="0"/>
        </w:rPr>
        <w:t xml:space="preserve">; </w:t>
      </w:r>
      <w:r>
        <w:rPr>
          <w:b w:val="0"/>
          <w:i/>
        </w:rPr>
        <w:t>coalesceret</w:t>
      </w:r>
      <w:r>
        <w:rPr>
          <w:b w:val="0"/>
          <w:i w:val="0"/>
        </w:rPr>
        <w:t>.</w:t>
      </w:r>
    </w:p>
    <w:p>
      <w:pPr>
        <w:widowControl/>
      </w:pPr>
      <w:r>
        <w:rPr>
          <w:b w:val="0"/>
          <w:i w:val="0"/>
        </w:rPr>
        <w:t xml:space="preserve">Growing together or developing in conjunction. The Epicureans are reported as inferring parallel growth of soul and body; the instrument analogy challenges that inference.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463" w:name="latin-record-0222"/>
      <w:bookmarkEnd w:id="463"/>
      <w:r>
        <w:rPr>
          <w:b/>
          <w:i w:val="0"/>
        </w:rPr>
        <w:t>coalescere; virere</w:t>
      </w:r>
      <w:r>
        <w:rPr>
          <w:b/>
          <w:i w:val="0"/>
        </w:rPr>
        <w:t>.</w:t>
      </w:r>
      <w:r>
        <w:rPr>
          <w:b w:val="0"/>
          <w:i w:val="0"/>
        </w:rPr>
        <w:t xml:space="preserve"> Printed forms: </w:t>
      </w:r>
      <w:r>
        <w:rPr>
          <w:b w:val="0"/>
          <w:i/>
        </w:rPr>
        <w:t>coalescunt</w:t>
      </w:r>
      <w:r>
        <w:rPr>
          <w:b w:val="0"/>
          <w:i w:val="0"/>
        </w:rPr>
        <w:t xml:space="preserve">; </w:t>
      </w:r>
      <w:r>
        <w:rPr>
          <w:b w:val="0"/>
          <w:i/>
        </w:rPr>
        <w:t>virentes</w:t>
      </w:r>
      <w:r>
        <w:rPr>
          <w:b w:val="0"/>
          <w:i w:val="0"/>
        </w:rPr>
        <w:t>.</w:t>
      </w:r>
    </w:p>
    <w:p>
      <w:pPr>
        <w:widowControl/>
      </w:pPr>
      <w:r>
        <w:rPr>
          <w:b w:val="0"/>
          <w:i w:val="0"/>
        </w:rPr>
        <w:t xml:space="preserve">To grow together and flourish green. The opening natural-power proof contrasts flourishing life with uprooted logs and stones sharing the same corporeal matter. References: </w:t>
      </w:r>
      <w:hyperlink w:anchor="passage-vi-4-1">
        <w:r>
          <w:rPr>
            <w:color w:val="000000"/>
          </w:rPr>
          <w:t xml:space="preserve">VI.4.1</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464" w:name="latin-record-0223"/>
      <w:bookmarkEnd w:id="464"/>
      <w:r>
        <w:rPr>
          <w:b/>
          <w:i w:val="0"/>
        </w:rPr>
        <w:t>cogere</w:t>
      </w:r>
      <w:r>
        <w:rPr>
          <w:b/>
          <w:i w:val="0"/>
        </w:rPr>
        <w:t>.</w:t>
      </w:r>
      <w:r>
        <w:rPr>
          <w:b w:val="0"/>
          <w:i w:val="0"/>
        </w:rPr>
        <w:t xml:space="preserve"> Printed forms: </w:t>
      </w:r>
      <w:r>
        <w:rPr>
          <w:b w:val="0"/>
          <w:i/>
        </w:rPr>
        <w:t>coactus</w:t>
      </w:r>
      <w:r>
        <w:rPr>
          <w:b w:val="0"/>
          <w:i w:val="0"/>
        </w:rPr>
        <w:t xml:space="preserve">; </w:t>
      </w:r>
      <w:r>
        <w:rPr>
          <w:b w:val="0"/>
          <w:i/>
        </w:rPr>
        <w:t>cogatur</w:t>
      </w:r>
      <w:r>
        <w:rPr>
          <w:b w:val="0"/>
          <w:i w:val="0"/>
        </w:rPr>
        <w:t xml:space="preserve">; </w:t>
      </w:r>
      <w:r>
        <w:rPr>
          <w:b w:val="0"/>
          <w:i/>
        </w:rPr>
        <w:t>cogens</w:t>
      </w:r>
      <w:r>
        <w:rPr>
          <w:b w:val="0"/>
          <w:i w:val="0"/>
        </w:rPr>
        <w:t xml:space="preserve">; </w:t>
      </w:r>
      <w:r>
        <w:rPr>
          <w:b w:val="0"/>
          <w:i/>
        </w:rPr>
        <w:t>cogente</w:t>
      </w:r>
      <w:r>
        <w:rPr>
          <w:b w:val="0"/>
          <w:i w:val="0"/>
        </w:rPr>
        <w:t xml:space="preserve">; </w:t>
      </w:r>
      <w:r>
        <w:rPr>
          <w:b w:val="0"/>
          <w:i/>
        </w:rPr>
        <w:t>cogi</w:t>
      </w:r>
      <w:r>
        <w:rPr>
          <w:b w:val="0"/>
          <w:i w:val="0"/>
        </w:rPr>
        <w:t xml:space="preserve">; </w:t>
      </w:r>
      <w:r>
        <w:rPr>
          <w:b w:val="0"/>
          <w:i/>
        </w:rPr>
        <w:t>Cogit</w:t>
      </w:r>
      <w:r>
        <w:rPr>
          <w:b w:val="0"/>
          <w:i w:val="0"/>
        </w:rPr>
        <w:t xml:space="preserve">; </w:t>
      </w:r>
      <w:r>
        <w:rPr>
          <w:b w:val="0"/>
          <w:i/>
        </w:rPr>
        <w:t>cogit</w:t>
      </w:r>
      <w:r>
        <w:rPr>
          <w:b w:val="0"/>
          <w:i w:val="0"/>
        </w:rPr>
        <w:t xml:space="preserve">; </w:t>
      </w:r>
      <w:r>
        <w:rPr>
          <w:b w:val="0"/>
          <w:i/>
        </w:rPr>
        <w:t>cogitur</w:t>
      </w:r>
      <w:r>
        <w:rPr>
          <w:b w:val="0"/>
          <w:i w:val="0"/>
        </w:rPr>
        <w:t>.</w:t>
      </w:r>
    </w:p>
    <w:p>
      <w:pPr>
        <w:widowControl/>
      </w:pPr>
      <w:r>
        <w:rPr>
          <w:b w:val="0"/>
          <w:i w:val="0"/>
        </w:rPr>
        <w:t xml:space="preserve">To compel or force, here tested as a route to ontological change. The analysis considers bodily and psychic agents; it is not a general claim that victims consent to real-world coercion. References: </w:t>
      </w:r>
      <w:hyperlink w:anchor="passage-v-15-20">
        <w:r>
          <w:rPr>
            <w:color w:val="000000"/>
          </w:rPr>
          <w:t xml:space="preserve">V.15.20</w:t>
        </w:r>
      </w:hyperlink>
      <w:r>
        <w:rPr>
          <w:b w:val="0"/>
          <w:i w:val="0"/>
        </w:rPr>
        <w:t xml:space="preserve">, </w:t>
      </w:r>
      <w:hyperlink w:anchor="passage-v-15-21">
        <w:r>
          <w:rPr>
            <w:color w:val="000000"/>
          </w:rPr>
          <w:t xml:space="preserve">V.15.21</w:t>
        </w:r>
      </w:hyperlink>
      <w:r>
        <w:rPr>
          <w:b w:val="0"/>
          <w:i w:val="0"/>
        </w:rPr>
        <w:t xml:space="preserve">, </w:t>
      </w:r>
      <w:hyperlink w:anchor="passage-v-15-22">
        <w:r>
          <w:rPr>
            <w:color w:val="000000"/>
          </w:rPr>
          <w:t xml:space="preserve">V.15.22</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465" w:name="latin-record-0224"/>
      <w:bookmarkEnd w:id="465"/>
      <w:r>
        <w:rPr>
          <w:b/>
          <w:i w:val="0"/>
        </w:rPr>
        <w:t>cogere in unum</w:t>
      </w:r>
      <w:r>
        <w:rPr>
          <w:b/>
          <w:i w:val="0"/>
        </w:rPr>
        <w:t>.</w:t>
      </w:r>
      <w:r>
        <w:rPr>
          <w:b w:val="0"/>
          <w:i w:val="0"/>
        </w:rPr>
        <w:t xml:space="preserve"> Printed forms: </w:t>
      </w:r>
      <w:r>
        <w:rPr>
          <w:b w:val="0"/>
          <w:i/>
        </w:rPr>
        <w:t>coactis in unum</w:t>
      </w:r>
      <w:r>
        <w:rPr>
          <w:b w:val="0"/>
          <w:i w:val="0"/>
        </w:rPr>
        <w:t>.</w:t>
      </w:r>
    </w:p>
    <w:p>
      <w:pPr>
        <w:widowControl/>
      </w:pPr>
      <w:r>
        <w:rPr>
          <w:b w:val="0"/>
          <w:i w:val="0"/>
        </w:rPr>
        <w:t xml:space="preserve">Forcing or bringing previously separate things into one composite. The soul’s lack of parts excludes assembly from antecedently distinct materials. References: </w:t>
      </w:r>
      <w:hyperlink w:anchor="passage-v-13-1">
        <w:r>
          <w:rPr>
            <w:color w:val="000000"/>
          </w:rPr>
          <w:t xml:space="preserve">V.13.1</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466" w:name="latin-record-0225"/>
      <w:bookmarkEnd w:id="466"/>
      <w:r>
        <w:rPr>
          <w:b/>
          <w:i w:val="0"/>
        </w:rPr>
        <w:t>cogere; compellere</w:t>
      </w:r>
      <w:r>
        <w:rPr>
          <w:b/>
          <w:i w:val="0"/>
        </w:rPr>
        <w:t>.</w:t>
      </w:r>
      <w:r>
        <w:rPr>
          <w:b w:val="0"/>
          <w:i w:val="0"/>
        </w:rPr>
        <w:t xml:space="preserve"> Printed forms: </w:t>
      </w:r>
      <w:r>
        <w:rPr>
          <w:b w:val="0"/>
          <w:i/>
        </w:rPr>
        <w:t>cogantur</w:t>
      </w:r>
      <w:r>
        <w:rPr>
          <w:b w:val="0"/>
          <w:i w:val="0"/>
        </w:rPr>
        <w:t xml:space="preserve">; </w:t>
      </w:r>
      <w:r>
        <w:rPr>
          <w:b w:val="0"/>
          <w:i/>
        </w:rPr>
        <w:t>cogatur</w:t>
      </w:r>
      <w:r>
        <w:rPr>
          <w:b w:val="0"/>
          <w:i w:val="0"/>
        </w:rPr>
        <w:t xml:space="preserve">; </w:t>
      </w:r>
      <w:r>
        <w:rPr>
          <w:b w:val="0"/>
          <w:i/>
        </w:rPr>
        <w:t>cogeris</w:t>
      </w:r>
      <w:r>
        <w:rPr>
          <w:b w:val="0"/>
          <w:i w:val="0"/>
        </w:rPr>
        <w:t xml:space="preserve">; </w:t>
      </w:r>
      <w:r>
        <w:rPr>
          <w:b w:val="0"/>
          <w:i/>
        </w:rPr>
        <w:t>cogit</w:t>
      </w:r>
      <w:r>
        <w:rPr>
          <w:b w:val="0"/>
          <w:i w:val="0"/>
        </w:rPr>
        <w:t xml:space="preserve">; </w:t>
      </w:r>
      <w:r>
        <w:rPr>
          <w:b w:val="0"/>
          <w:i/>
        </w:rPr>
        <w:t>cogitur</w:t>
      </w:r>
      <w:r>
        <w:rPr>
          <w:b w:val="0"/>
          <w:i w:val="0"/>
        </w:rPr>
        <w:t xml:space="preserve">; </w:t>
      </w:r>
      <w:r>
        <w:rPr>
          <w:b w:val="0"/>
          <w:i/>
        </w:rPr>
        <w:t>compelleris</w:t>
      </w:r>
      <w:r>
        <w:rPr>
          <w:b w:val="0"/>
          <w:i w:val="0"/>
        </w:rPr>
        <w:t xml:space="preserve">; </w:t>
      </w:r>
      <w:r>
        <w:rPr>
          <w:b w:val="0"/>
          <w:i/>
        </w:rPr>
        <w:t>compellimur</w:t>
      </w:r>
      <w:r>
        <w:rPr>
          <w:b w:val="0"/>
          <w:i w:val="0"/>
        </w:rPr>
        <w:t xml:space="preserve">; </w:t>
      </w:r>
      <w:r>
        <w:rPr>
          <w:b w:val="0"/>
          <w:i/>
        </w:rPr>
        <w:t>compellit</w:t>
      </w:r>
      <w:r>
        <w:rPr>
          <w:b w:val="0"/>
          <w:i w:val="0"/>
        </w:rPr>
        <w:t xml:space="preserve">; </w:t>
      </w:r>
      <w:r>
        <w:rPr>
          <w:b w:val="0"/>
          <w:i/>
        </w:rPr>
        <w:t>compellitur</w:t>
      </w:r>
      <w:r>
        <w:rPr>
          <w:b w:val="0"/>
          <w:i w:val="0"/>
        </w:rPr>
        <w:t xml:space="preserve">; </w:t>
      </w:r>
      <w:r>
        <w:rPr>
          <w:b w:val="0"/>
          <w:i/>
        </w:rPr>
        <w:t>compulsos</w:t>
      </w:r>
      <w:r>
        <w:rPr>
          <w:b w:val="0"/>
          <w:i w:val="0"/>
        </w:rPr>
        <w:t>.</w:t>
      </w:r>
    </w:p>
    <w:p>
      <w:pPr>
        <w:widowControl/>
      </w:pPr>
      <w:r>
        <w:rPr>
          <w:b w:val="0"/>
          <w:i w:val="0"/>
        </w:rPr>
        <w:t xml:space="preserve">To force or compel, by bodily conditions, habit or argumentative necessity. Cogere is not the verb cogitare: habit can compel error, while a dilemma compels an admission; their object and agency distinguish these uses. References: </w:t>
      </w:r>
      <w:hyperlink w:anchor="passage-vi-2-1">
        <w:r>
          <w:rPr>
            <w:color w:val="000000"/>
          </w:rPr>
          <w:t xml:space="preserve">VI.2.1</w:t>
        </w:r>
      </w:hyperlink>
      <w:r>
        <w:rPr>
          <w:b w:val="0"/>
          <w:i w:val="0"/>
        </w:rPr>
        <w:t xml:space="preserve">, </w:t>
      </w:r>
      <w:hyperlink w:anchor="passage-vi-2-2">
        <w:r>
          <w:rPr>
            <w:color w:val="000000"/>
          </w:rPr>
          <w:t xml:space="preserve">VI.2.2</w:t>
        </w:r>
      </w:hyperlink>
      <w:r>
        <w:rPr>
          <w:b w:val="0"/>
          <w:i w:val="0"/>
        </w:rPr>
        <w:t xml:space="preserve">, </w:t>
      </w:r>
      <w:hyperlink w:anchor="passage-vi-2-15">
        <w:r>
          <w:rPr>
            <w:color w:val="000000"/>
          </w:rPr>
          <w:t xml:space="preserve">VI.2.15</w:t>
        </w:r>
      </w:hyperlink>
      <w:r>
        <w:rPr>
          <w:b w:val="0"/>
          <w:i w:val="0"/>
        </w:rPr>
        <w:t xml:space="preserve">, </w:t>
      </w:r>
      <w:hyperlink w:anchor="passage-vi-2-17">
        <w:r>
          <w:rPr>
            <w:color w:val="000000"/>
          </w:rPr>
          <w:t xml:space="preserve">VI.2.17</w:t>
        </w:r>
      </w:hyperlink>
      <w:r>
        <w:rPr>
          <w:b w:val="0"/>
          <w:i w:val="0"/>
        </w:rPr>
        <w:t xml:space="preserve">, </w:t>
      </w:r>
      <w:hyperlink w:anchor="passage-vi-5-2">
        <w:r>
          <w:rPr>
            <w:color w:val="000000"/>
          </w:rPr>
          <w:t xml:space="preserve">VI.5.2</w:t>
        </w:r>
      </w:hyperlink>
      <w:r>
        <w:rPr>
          <w:b w:val="0"/>
          <w:i w:val="0"/>
        </w:rPr>
        <w:t xml:space="preserve">, </w:t>
      </w:r>
      <w:hyperlink w:anchor="passage-vi-8-3">
        <w:r>
          <w:rPr>
            <w:color w:val="000000"/>
          </w:rPr>
          <w:t xml:space="preserve">VI.8.3</w:t>
        </w:r>
      </w:hyperlink>
      <w:r>
        <w:rPr>
          <w:b w:val="0"/>
          <w:i w:val="0"/>
        </w:rPr>
        <w:t xml:space="preserve">, </w:t>
      </w:r>
      <w:hyperlink w:anchor="passage-vi-12-3">
        <w:r>
          <w:rPr>
            <w:color w:val="000000"/>
          </w:rPr>
          <w:t xml:space="preserve">VI.12.3</w:t>
        </w:r>
      </w:hyperlink>
      <w:r>
        <w:rPr>
          <w:b w:val="0"/>
          <w:i w:val="0"/>
        </w:rPr>
        <w:t xml:space="preserve">, </w:t>
      </w:r>
      <w:hyperlink w:anchor="passage-vi-12-4">
        <w:r>
          <w:rPr>
            <w:color w:val="000000"/>
          </w:rPr>
          <w:t xml:space="preserve">VI.12.4</w:t>
        </w:r>
      </w:hyperlink>
      <w:r>
        <w:rPr>
          <w:b w:val="0"/>
          <w:i w:val="0"/>
        </w:rPr>
        <w:t xml:space="preserve">, </w:t>
      </w:r>
      <w:hyperlink w:anchor="passage-vi-12-7">
        <w:r>
          <w:rPr>
            <w:color w:val="000000"/>
          </w:rPr>
          <w:t xml:space="preserve">VI.12.7</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467" w:name="latin-record-0226"/>
      <w:bookmarkEnd w:id="467"/>
      <w:r>
        <w:rPr>
          <w:b/>
          <w:i w:val="0"/>
        </w:rPr>
        <w:t>cogitare</w:t>
      </w:r>
      <w:r>
        <w:rPr>
          <w:b/>
          <w:i w:val="0"/>
        </w:rPr>
        <w:t>.</w:t>
      </w:r>
      <w:r>
        <w:rPr>
          <w:b w:val="0"/>
          <w:i w:val="0"/>
        </w:rPr>
        <w:t xml:space="preserve"> Printed forms: </w:t>
      </w:r>
      <w:r>
        <w:rPr>
          <w:b w:val="0"/>
          <w:i/>
        </w:rPr>
        <w:t>cogitare</w:t>
      </w:r>
      <w:r>
        <w:rPr>
          <w:b w:val="0"/>
          <w:i w:val="0"/>
        </w:rPr>
        <w:t xml:space="preserve">; </w:t>
      </w:r>
      <w:r>
        <w:rPr>
          <w:b w:val="0"/>
          <w:i/>
        </w:rPr>
        <w:t>cogitaret</w:t>
      </w:r>
      <w:r>
        <w:rPr>
          <w:b w:val="0"/>
          <w:i w:val="0"/>
        </w:rPr>
        <w:t xml:space="preserve">; </w:t>
      </w:r>
      <w:r>
        <w:rPr>
          <w:b w:val="0"/>
          <w:i/>
        </w:rPr>
        <w:t>cogitat</w:t>
      </w:r>
      <w:r>
        <w:rPr>
          <w:b w:val="0"/>
          <w:i w:val="0"/>
        </w:rPr>
        <w:t xml:space="preserve">; </w:t>
      </w:r>
      <w:r>
        <w:rPr>
          <w:b w:val="0"/>
          <w:i/>
        </w:rPr>
        <w:t>cogitationum</w:t>
      </w:r>
      <w:r>
        <w:rPr>
          <w:b w:val="0"/>
          <w:i w:val="0"/>
        </w:rPr>
        <w:t xml:space="preserve">; </w:t>
      </w:r>
      <w:r>
        <w:rPr>
          <w:b w:val="0"/>
          <w:i/>
        </w:rPr>
        <w:t>cogitet</w:t>
      </w:r>
      <w:r>
        <w:rPr>
          <w:b w:val="0"/>
          <w:i w:val="0"/>
        </w:rPr>
        <w:t>.</w:t>
      </w:r>
    </w:p>
    <w:p>
      <w:pPr>
        <w:widowControl/>
      </w:pPr>
      <w:r>
        <w:rPr>
          <w:b w:val="0"/>
          <w:i w:val="0"/>
        </w:rPr>
        <w:t xml:space="preserve">To think of something, including an object no longer present. A mere mirror-like surface reception cannot account for thinking of absent bodies, because it does not retain their images.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widowControl/>
      </w:pPr>
      <w:r>
        <w:rPr>
          <w:b w:val="0"/>
          <w:i w:val="0"/>
        </w:rPr>
        <w:t xml:space="preserve">Thinking or entertaining a content, which can be true, hypothetical or invented. Ficino distinguishes common intellectual accounts from singular images and allows thoughts of possible or impossible objects without asserting their external existence. References: </w:t>
      </w:r>
      <w:hyperlink w:anchor="passage-viii-1-1">
        <w:r>
          <w:rPr>
            <w:color w:val="000000"/>
          </w:rPr>
          <w:t xml:space="preserve">VIII.1.1</w:t>
        </w:r>
      </w:hyperlink>
      <w:r>
        <w:rPr>
          <w:b w:val="0"/>
          <w:i w:val="0"/>
        </w:rPr>
        <w:t xml:space="preserve">, </w:t>
      </w:r>
      <w:hyperlink w:anchor="passage-viii-1-4">
        <w:r>
          <w:rPr>
            <w:color w:val="000000"/>
          </w:rPr>
          <w:t xml:space="preserve">VIII.1.4</w:t>
        </w:r>
      </w:hyperlink>
      <w:r>
        <w:rPr>
          <w:b w:val="0"/>
          <w:i w:val="0"/>
        </w:rPr>
        <w:t xml:space="preserve">, </w:t>
      </w:r>
      <w:hyperlink w:anchor="passage-viii-3-6">
        <w:r>
          <w:rPr>
            <w:color w:val="000000"/>
          </w:rPr>
          <w:t xml:space="preserve">VIII.3.6</w:t>
        </w:r>
      </w:hyperlink>
      <w:r>
        <w:rPr>
          <w:b w:val="0"/>
          <w:i w:val="0"/>
        </w:rPr>
        <w:t xml:space="preserve">, </w:t>
      </w:r>
      <w:hyperlink w:anchor="passage-viii-4-11">
        <w:r>
          <w:rPr>
            <w:color w:val="000000"/>
          </w:rPr>
          <w:t xml:space="preserve">VIII.4.11</w:t>
        </w:r>
      </w:hyperlink>
      <w:r>
        <w:rPr>
          <w:b w:val="0"/>
          <w:i w:val="0"/>
        </w:rPr>
        <w:t xml:space="preserve">, </w:t>
      </w:r>
      <w:hyperlink w:anchor="passage-viii-8-1">
        <w:r>
          <w:rPr>
            <w:color w:val="000000"/>
          </w:rPr>
          <w:t xml:space="preserve">VIII.8.1</w:t>
        </w:r>
      </w:hyperlink>
      <w:r>
        <w:rPr>
          <w:b w:val="0"/>
          <w:i w:val="0"/>
        </w:rPr>
        <w:t xml:space="preserve">, </w:t>
      </w:r>
      <w:hyperlink w:anchor="passage-viii-14-1">
        <w:r>
          <w:rPr>
            <w:color w:val="000000"/>
          </w:rPr>
          <w:t xml:space="preserve">VIII.14.1</w:t>
        </w:r>
      </w:hyperlink>
      <w:r>
        <w:rPr>
          <w:b w:val="0"/>
          <w:i w:val="0"/>
        </w:rPr>
        <w:t xml:space="preserve">, </w:t>
      </w:r>
      <w:hyperlink w:anchor="passage-viii-16-1">
        <w:r>
          <w:rPr>
            <w:color w:val="000000"/>
          </w:rPr>
          <w:t xml:space="preserve">VIII.16.1</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468" w:name="latin-record-0227"/>
      <w:bookmarkEnd w:id="468"/>
      <w:r>
        <w:rPr>
          <w:b/>
          <w:i w:val="0"/>
        </w:rPr>
        <w:t>cogitare; considerare</w:t>
      </w:r>
      <w:r>
        <w:rPr>
          <w:b/>
          <w:i w:val="0"/>
        </w:rPr>
        <w:t>.</w:t>
      </w:r>
      <w:r>
        <w:rPr>
          <w:b w:val="0"/>
          <w:i w:val="0"/>
        </w:rPr>
        <w:t xml:space="preserve"> Printed forms: </w:t>
      </w:r>
      <w:r>
        <w:rPr>
          <w:b w:val="0"/>
          <w:i/>
        </w:rPr>
        <w:t>cogitabit</w:t>
      </w:r>
      <w:r>
        <w:rPr>
          <w:b w:val="0"/>
          <w:i w:val="0"/>
        </w:rPr>
        <w:t xml:space="preserve">; </w:t>
      </w:r>
      <w:r>
        <w:rPr>
          <w:b w:val="0"/>
          <w:i/>
        </w:rPr>
        <w:t>cogitare</w:t>
      </w:r>
      <w:r>
        <w:rPr>
          <w:b w:val="0"/>
          <w:i w:val="0"/>
        </w:rPr>
        <w:t xml:space="preserve">; </w:t>
      </w:r>
      <w:r>
        <w:rPr>
          <w:b w:val="0"/>
          <w:i/>
        </w:rPr>
        <w:t>Cogitate</w:t>
      </w:r>
      <w:r>
        <w:rPr>
          <w:b w:val="0"/>
          <w:i w:val="0"/>
        </w:rPr>
        <w:t xml:space="preserve">; </w:t>
      </w:r>
      <w:r>
        <w:rPr>
          <w:b w:val="0"/>
          <w:i/>
        </w:rPr>
        <w:t>cogitatio</w:t>
      </w:r>
      <w:r>
        <w:rPr>
          <w:b w:val="0"/>
          <w:i w:val="0"/>
        </w:rPr>
        <w:t xml:space="preserve">; </w:t>
      </w:r>
      <w:r>
        <w:rPr>
          <w:b w:val="0"/>
          <w:i/>
        </w:rPr>
        <w:t>cogitatione</w:t>
      </w:r>
      <w:r>
        <w:rPr>
          <w:b w:val="0"/>
          <w:i w:val="0"/>
        </w:rPr>
        <w:t xml:space="preserve">; </w:t>
      </w:r>
      <w:r>
        <w:rPr>
          <w:b w:val="0"/>
          <w:i/>
        </w:rPr>
        <w:t>considerare</w:t>
      </w:r>
      <w:r>
        <w:rPr>
          <w:b w:val="0"/>
          <w:i w:val="0"/>
        </w:rPr>
        <w:t xml:space="preserve">; </w:t>
      </w:r>
      <w:r>
        <w:rPr>
          <w:b w:val="0"/>
          <w:i/>
        </w:rPr>
        <w:t>considerarent</w:t>
      </w:r>
      <w:r>
        <w:rPr>
          <w:b w:val="0"/>
          <w:i w:val="0"/>
        </w:rPr>
        <w:t xml:space="preserve">; </w:t>
      </w:r>
      <w:r>
        <w:rPr>
          <w:b w:val="0"/>
          <w:i/>
        </w:rPr>
        <w:t>consideratione</w:t>
      </w:r>
      <w:r>
        <w:rPr>
          <w:b w:val="0"/>
          <w:i w:val="0"/>
        </w:rPr>
        <w:t xml:space="preserve">; </w:t>
      </w:r>
      <w:r>
        <w:rPr>
          <w:b w:val="0"/>
          <w:i/>
        </w:rPr>
        <w:t>considerationem</w:t>
      </w:r>
      <w:r>
        <w:rPr>
          <w:b w:val="0"/>
          <w:i w:val="0"/>
        </w:rPr>
        <w:t>.</w:t>
      </w:r>
    </w:p>
    <w:p>
      <w:pPr>
        <w:widowControl/>
      </w:pPr>
      <w:r>
        <w:rPr>
          <w:b w:val="0"/>
          <w:i w:val="0"/>
        </w:rPr>
        <w:t xml:space="preserve">To think, conceive or consider, including deliberately staged thought experiments. A point separated in thought is distinguished from real release, and the imagined adult’s self-consideration is compared with ordinary acquired habits. References: </w:t>
      </w:r>
      <w:hyperlink w:anchor="passage-vi-2-10">
        <w:r>
          <w:rPr>
            <w:color w:val="000000"/>
          </w:rPr>
          <w:t xml:space="preserve">VI.2.10</w:t>
        </w:r>
      </w:hyperlink>
      <w:r>
        <w:rPr>
          <w:b w:val="0"/>
          <w:i w:val="0"/>
        </w:rPr>
        <w:t xml:space="preserve">,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2-19">
        <w:r>
          <w:rPr>
            <w:color w:val="000000"/>
          </w:rPr>
          <w:t xml:space="preserve">VI.2.19</w:t>
        </w:r>
      </w:hyperlink>
      <w:r>
        <w:rPr>
          <w:b w:val="0"/>
          <w:i w:val="0"/>
        </w:rPr>
        <w:t xml:space="preserve">, </w:t>
      </w:r>
      <w:hyperlink w:anchor="passage-vi-2-20">
        <w:r>
          <w:rPr>
            <w:color w:val="000000"/>
          </w:rPr>
          <w:t xml:space="preserve">VI.2.20</w:t>
        </w:r>
      </w:hyperlink>
      <w:r>
        <w:rPr>
          <w:b w:val="0"/>
          <w:i w:val="0"/>
        </w:rPr>
        <w:t xml:space="preserve">, </w:t>
      </w:r>
      <w:hyperlink w:anchor="passage-vi-2-25">
        <w:r>
          <w:rPr>
            <w:color w:val="000000"/>
          </w:rPr>
          <w:t xml:space="preserve">VI.2.25</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469" w:name="latin-record-0228"/>
      <w:bookmarkEnd w:id="469"/>
      <w:r>
        <w:rPr>
          <w:b/>
          <w:i w:val="0"/>
        </w:rPr>
        <w:t>cogitatione separari</w:t>
      </w:r>
      <w:r>
        <w:rPr>
          <w:b/>
          <w:i w:val="0"/>
        </w:rPr>
        <w:t>.</w:t>
      </w:r>
      <w:r>
        <w:rPr>
          <w:b w:val="0"/>
          <w:i w:val="0"/>
        </w:rPr>
        <w:t xml:space="preserve"> Printed forms: </w:t>
      </w:r>
      <w:r>
        <w:rPr>
          <w:b w:val="0"/>
          <w:i/>
        </w:rPr>
        <w:t>cogitatione</w:t>
      </w:r>
      <w:r>
        <w:rPr>
          <w:b w:val="0"/>
          <w:i w:val="0"/>
        </w:rPr>
        <w:t xml:space="preserve">; </w:t>
      </w:r>
      <w:r>
        <w:rPr>
          <w:b w:val="0"/>
          <w:i/>
        </w:rPr>
        <w:t>cogitatione saltem</w:t>
      </w:r>
      <w:r>
        <w:rPr>
          <w:b w:val="0"/>
          <w:i w:val="0"/>
        </w:rPr>
        <w:t xml:space="preserve">; </w:t>
      </w:r>
      <w:r>
        <w:rPr>
          <w:b w:val="0"/>
          <w:i/>
        </w:rPr>
        <w:t>re ipsa</w:t>
      </w:r>
      <w:r>
        <w:rPr>
          <w:b w:val="0"/>
          <w:i w:val="0"/>
        </w:rPr>
        <w:t>.</w:t>
      </w:r>
    </w:p>
    <w:p>
      <w:pPr>
        <w:widowControl/>
      </w:pPr>
      <w:r>
        <w:rPr>
          <w:b w:val="0"/>
          <w:i w:val="0"/>
        </w:rPr>
        <w:t xml:space="preserve">At least in thought; contrasted with separation in reality. Ficino explicitly marks the transition from conceptual release of a point to claimed actual substantial unity. References: </w:t>
      </w:r>
      <w:hyperlink w:anchor="passage-vi-2-19">
        <w:r>
          <w:rPr>
            <w:color w:val="000000"/>
          </w:rPr>
          <w:t xml:space="preserve">VI.2.19</w:t>
        </w:r>
      </w:hyperlink>
      <w:r>
        <w:rPr>
          <w:b w:val="0"/>
          <w:i w:val="0"/>
        </w:rPr>
        <w:t xml:space="preserve">, </w:t>
      </w:r>
      <w:hyperlink w:anchor="passage-vi-2-20">
        <w:r>
          <w:rPr>
            <w:color w:val="000000"/>
          </w:rPr>
          <w:t xml:space="preserve">VI.2.20</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470" w:name="latin-record-0229"/>
      <w:bookmarkEnd w:id="470"/>
      <w:r>
        <w:rPr>
          <w:b/>
          <w:i w:val="0"/>
        </w:rPr>
        <w:t>cognitio</w:t>
      </w:r>
      <w:r>
        <w:rPr>
          <w:b/>
          <w:i w:val="0"/>
        </w:rPr>
        <w:t>.</w:t>
      </w:r>
      <w:r>
        <w:rPr>
          <w:b w:val="0"/>
          <w:i w:val="0"/>
        </w:rPr>
        <w:t xml:space="preserve"> Printed forms: </w:t>
      </w:r>
      <w:r>
        <w:rPr>
          <w:b w:val="0"/>
          <w:i/>
        </w:rPr>
        <w:t>cognitio</w:t>
      </w:r>
      <w:r>
        <w:rPr>
          <w:b w:val="0"/>
          <w:i w:val="0"/>
        </w:rPr>
        <w:t xml:space="preserve">; </w:t>
      </w:r>
      <w:r>
        <w:rPr>
          <w:b w:val="0"/>
          <w:i/>
        </w:rPr>
        <w:t>cognitione</w:t>
      </w:r>
      <w:r>
        <w:rPr>
          <w:b w:val="0"/>
          <w:i w:val="0"/>
        </w:rPr>
        <w:t xml:space="preserve">; </w:t>
      </w:r>
      <w:r>
        <w:rPr>
          <w:b w:val="0"/>
          <w:i/>
        </w:rPr>
        <w:t>cognitionem</w:t>
      </w:r>
      <w:r>
        <w:rPr>
          <w:b w:val="0"/>
          <w:i w:val="0"/>
        </w:rPr>
        <w:t>.</w:t>
      </w:r>
    </w:p>
    <w:p>
      <w:pPr>
        <w:widowControl/>
      </w:pPr>
      <w:r>
        <w:rPr>
          <w:b w:val="0"/>
          <w:i w:val="0"/>
        </w:rPr>
        <w:t xml:space="preserve">Knowledge or knowing, including acts that can be directed toward other acts. The direct life/reflexive cognition distinction prevents this word from being treated as a synonym for the whole source of living being. References: </w:t>
      </w:r>
      <w:hyperlink w:anchor="passage-viii-3-4">
        <w:r>
          <w:rPr>
            <w:color w:val="000000"/>
          </w:rPr>
          <w:t xml:space="preserve">VIII.3.4</w:t>
        </w:r>
      </w:hyperlink>
      <w:r>
        <w:rPr>
          <w:b w:val="0"/>
          <w:i w:val="0"/>
        </w:rPr>
        <w:t xml:space="preserve">, </w:t>
      </w:r>
      <w:hyperlink w:anchor="passage-viii-3-7">
        <w:r>
          <w:rPr>
            <w:color w:val="000000"/>
          </w:rPr>
          <w:t xml:space="preserve">VIII.3.7</w:t>
        </w:r>
      </w:hyperlink>
      <w:r>
        <w:rPr>
          <w:b w:val="0"/>
          <w:i w:val="0"/>
        </w:rPr>
        <w:t xml:space="preserve">, </w:t>
      </w:r>
      <w:hyperlink w:anchor="passage-viii-4-8">
        <w:r>
          <w:rPr>
            <w:color w:val="000000"/>
          </w:rPr>
          <w:t xml:space="preserve">VIII.4.8</w:t>
        </w:r>
      </w:hyperlink>
      <w:r>
        <w:rPr>
          <w:b w:val="0"/>
          <w:i w:val="0"/>
        </w:rPr>
        <w:t xml:space="preserve">, </w:t>
      </w:r>
      <w:hyperlink w:anchor="passage-viii-9-1">
        <w:r>
          <w:rPr>
            <w:color w:val="000000"/>
          </w:rPr>
          <w:t xml:space="preserve">VIII.9.1</w:t>
        </w:r>
      </w:hyperlink>
      <w:r>
        <w:rPr>
          <w:b w:val="0"/>
          <w:i w:val="0"/>
        </w:rPr>
        <w:t xml:space="preserve">, </w:t>
      </w:r>
      <w:hyperlink w:anchor="passage-viii-12-1">
        <w:r>
          <w:rPr>
            <w:color w:val="000000"/>
          </w:rPr>
          <w:t xml:space="preserve">VIII.12.1</w:t>
        </w:r>
      </w:hyperlink>
      <w:r>
        <w:rPr>
          <w:b w:val="0"/>
          <w:i w:val="0"/>
        </w:rPr>
        <w:t xml:space="preserve">, </w:t>
      </w:r>
      <w:hyperlink w:anchor="passage-viii-16-3">
        <w:r>
          <w:rPr>
            <w:color w:val="000000"/>
          </w:rPr>
          <w:t xml:space="preserve">VIII.16.3</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471" w:name="latin-record-0230"/>
      <w:bookmarkEnd w:id="471"/>
      <w:r>
        <w:rPr>
          <w:b/>
          <w:i w:val="0"/>
        </w:rPr>
        <w:t>cognitio / voluntas</w:t>
      </w:r>
      <w:r>
        <w:rPr>
          <w:b/>
          <w:i w:val="0"/>
        </w:rPr>
        <w:t>.</w:t>
      </w:r>
      <w:r>
        <w:rPr>
          <w:b w:val="0"/>
          <w:i w:val="0"/>
        </w:rPr>
        <w:t xml:space="preserve"> Printed forms: </w:t>
      </w:r>
      <w:r>
        <w:rPr>
          <w:b w:val="0"/>
          <w:i/>
        </w:rPr>
        <w:t>cognitio</w:t>
      </w:r>
      <w:r>
        <w:rPr>
          <w:b w:val="0"/>
          <w:i w:val="0"/>
        </w:rPr>
        <w:t xml:space="preserve">; </w:t>
      </w:r>
      <w:r>
        <w:rPr>
          <w:b w:val="0"/>
          <w:i/>
        </w:rPr>
        <w:t>voluntas</w:t>
      </w:r>
      <w:r>
        <w:rPr>
          <w:b w:val="0"/>
          <w:i w:val="0"/>
        </w:rPr>
        <w:t>.</w:t>
      </w:r>
    </w:p>
    <w:p>
      <w:pPr>
        <w:widowControl/>
      </w:pPr>
      <w:r>
        <w:rPr>
          <w:b w:val="0"/>
          <w:i w:val="0"/>
        </w:rPr>
        <w:t xml:space="preserve">Cognition and will, inward operations named against outward heating. Their immanence does not identify them with essence or being; their range of objects exceeds the creature’s own species. References: </w:t>
      </w:r>
      <w:hyperlink w:anchor="passage-v-13-10">
        <w:r>
          <w:rPr>
            <w:color w:val="000000"/>
          </w:rPr>
          <w:t xml:space="preserve">V.13.10</w:t>
        </w:r>
      </w:hyperlink>
      <w:r>
        <w:rPr>
          <w:b w:val="0"/>
          <w:i w:val="0"/>
        </w:rPr>
        <w:t xml:space="preserve">, </w:t>
      </w:r>
      <w:hyperlink w:anchor="passage-v-13-11">
        <w:r>
          <w:rPr>
            <w:color w:val="000000"/>
          </w:rPr>
          <w:t xml:space="preserve">V.13.11</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472" w:name="latin-record-0231"/>
      <w:bookmarkEnd w:id="472"/>
      <w:r>
        <w:rPr>
          <w:b/>
          <w:i w:val="0"/>
        </w:rPr>
        <w:t>cognoscere (additional forms)</w:t>
      </w:r>
      <w:r>
        <w:rPr>
          <w:b/>
          <w:i w:val="0"/>
        </w:rPr>
        <w:t>.</w:t>
      </w:r>
      <w:r>
        <w:rPr>
          <w:b w:val="0"/>
          <w:i w:val="0"/>
        </w:rPr>
        <w:t xml:space="preserve"> Printed forms: </w:t>
      </w:r>
      <w:r>
        <w:rPr>
          <w:b w:val="0"/>
          <w:i/>
        </w:rPr>
        <w:t>cognoscat</w:t>
      </w:r>
      <w:r>
        <w:rPr>
          <w:b w:val="0"/>
          <w:i w:val="0"/>
        </w:rPr>
        <w:t xml:space="preserve">; </w:t>
      </w:r>
      <w:r>
        <w:rPr>
          <w:b w:val="0"/>
          <w:i/>
        </w:rPr>
        <w:t>cognoscendi</w:t>
      </w:r>
      <w:r>
        <w:rPr>
          <w:b w:val="0"/>
          <w:i w:val="0"/>
        </w:rPr>
        <w:t xml:space="preserve">; </w:t>
      </w:r>
      <w:r>
        <w:rPr>
          <w:b w:val="0"/>
          <w:i/>
        </w:rPr>
        <w:t>cognoscendo</w:t>
      </w:r>
      <w:r>
        <w:rPr>
          <w:b w:val="0"/>
          <w:i w:val="0"/>
        </w:rPr>
        <w:t xml:space="preserve">; </w:t>
      </w:r>
      <w:r>
        <w:rPr>
          <w:b w:val="0"/>
          <w:i/>
        </w:rPr>
        <w:t>cognoscendum</w:t>
      </w:r>
      <w:r>
        <w:rPr>
          <w:b w:val="0"/>
          <w:i w:val="0"/>
        </w:rPr>
        <w:t xml:space="preserve">; </w:t>
      </w:r>
      <w:r>
        <w:rPr>
          <w:b w:val="0"/>
          <w:i/>
        </w:rPr>
        <w:t>cognosceret</w:t>
      </w:r>
      <w:r>
        <w:rPr>
          <w:b w:val="0"/>
          <w:i w:val="0"/>
        </w:rPr>
        <w:t xml:space="preserve">; </w:t>
      </w:r>
      <w:r>
        <w:rPr>
          <w:b w:val="0"/>
          <w:i/>
        </w:rPr>
        <w:t>Cognoscimus</w:t>
      </w:r>
      <w:r>
        <w:rPr>
          <w:b w:val="0"/>
          <w:i w:val="0"/>
        </w:rPr>
        <w:t xml:space="preserve">; </w:t>
      </w:r>
      <w:r>
        <w:rPr>
          <w:b w:val="0"/>
          <w:i/>
        </w:rPr>
        <w:t>cognoscimus</w:t>
      </w:r>
      <w:r>
        <w:rPr>
          <w:b w:val="0"/>
          <w:i w:val="0"/>
        </w:rPr>
        <w:t>.</w:t>
      </w:r>
    </w:p>
    <w:p>
      <w:pPr>
        <w:widowControl/>
      </w:pPr>
      <w:r>
        <w:rPr>
          <w:b w:val="0"/>
          <w:i w:val="0"/>
        </w:rPr>
        <w:t xml:space="preserve">Knowing, stated in different temporal, hypothetical and purposive constructions. Counterfactual clauses describe what a bodily mind could not know; they should not be quoted as positive limits on the actual intellect. References: </w:t>
      </w:r>
      <w:hyperlink w:anchor="passage-viii-1-1">
        <w:r>
          <w:rPr>
            <w:color w:val="000000"/>
          </w:rPr>
          <w:t xml:space="preserve">VIII.1.1</w:t>
        </w:r>
      </w:hyperlink>
      <w:r>
        <w:rPr>
          <w:b w:val="0"/>
          <w:i w:val="0"/>
        </w:rPr>
        <w:t xml:space="preserve">, </w:t>
      </w:r>
      <w:hyperlink w:anchor="passage-viii-3-1">
        <w:r>
          <w:rPr>
            <w:color w:val="000000"/>
          </w:rPr>
          <w:t xml:space="preserve">VIII.3.1</w:t>
        </w:r>
      </w:hyperlink>
      <w:r>
        <w:rPr>
          <w:b w:val="0"/>
          <w:i w:val="0"/>
        </w:rPr>
        <w:t xml:space="preserve">, </w:t>
      </w:r>
      <w:hyperlink w:anchor="passage-viii-4-3">
        <w:r>
          <w:rPr>
            <w:color w:val="000000"/>
          </w:rPr>
          <w:t xml:space="preserve">VIII.4.3</w:t>
        </w:r>
      </w:hyperlink>
      <w:r>
        <w:rPr>
          <w:b w:val="0"/>
          <w:i w:val="0"/>
        </w:rPr>
        <w:t xml:space="preserve">, </w:t>
      </w:r>
      <w:hyperlink w:anchor="passage-viii-4-9">
        <w:r>
          <w:rPr>
            <w:color w:val="000000"/>
          </w:rPr>
          <w:t xml:space="preserve">VIII.4.9</w:t>
        </w:r>
      </w:hyperlink>
      <w:r>
        <w:rPr>
          <w:b w:val="0"/>
          <w:i w:val="0"/>
        </w:rPr>
        <w:t xml:space="preserve">, </w:t>
      </w:r>
      <w:hyperlink w:anchor="passage-viii-4-13">
        <w:r>
          <w:rPr>
            <w:color w:val="000000"/>
          </w:rPr>
          <w:t xml:space="preserve">VIII.4.13</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w:t>
      </w:r>
      <w:hyperlink w:anchor="passage-viii-8-1">
        <w:r>
          <w:rPr>
            <w:color w:val="000000"/>
          </w:rPr>
          <w:t xml:space="preserve">VIII.8.1</w:t>
        </w:r>
      </w:hyperlink>
      <w:r>
        <w:rPr>
          <w:b w:val="0"/>
          <w:i w:val="0"/>
        </w:rPr>
        <w:t xml:space="preserve">, </w:t>
      </w:r>
      <w:hyperlink w:anchor="passage-viii-10-2">
        <w:r>
          <w:rPr>
            <w:color w:val="000000"/>
          </w:rPr>
          <w:t xml:space="preserve">VIII.10.2</w:t>
        </w:r>
      </w:hyperlink>
      <w:r>
        <w:rPr>
          <w:b w:val="0"/>
          <w:i w:val="0"/>
        </w:rPr>
        <w:t xml:space="preserve">, </w:t>
      </w:r>
      <w:hyperlink w:anchor="passage-viii-16-1">
        <w:r>
          <w:rPr>
            <w:color w:val="000000"/>
          </w:rPr>
          <w:t xml:space="preserve">VIII.16.1</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473" w:name="latin-record-0232"/>
      <w:bookmarkEnd w:id="473"/>
      <w:r>
        <w:rPr>
          <w:b/>
          <w:i w:val="0"/>
        </w:rPr>
        <w:t>cognoscere / agnoscere / noscere</w:t>
      </w:r>
      <w:r>
        <w:rPr>
          <w:b/>
          <w:i w:val="0"/>
        </w:rPr>
        <w:t>.</w:t>
      </w:r>
      <w:r>
        <w:rPr>
          <w:b w:val="0"/>
          <w:i w:val="0"/>
        </w:rPr>
        <w:t xml:space="preserve"> Printed forms: </w:t>
      </w:r>
      <w:r>
        <w:rPr>
          <w:b w:val="0"/>
          <w:i/>
        </w:rPr>
        <w:t>agnoscit</w:t>
      </w:r>
      <w:r>
        <w:rPr>
          <w:b w:val="0"/>
          <w:i w:val="0"/>
        </w:rPr>
        <w:t xml:space="preserve">; </w:t>
      </w:r>
      <w:r>
        <w:rPr>
          <w:b w:val="0"/>
          <w:i/>
        </w:rPr>
        <w:t>cognosceret</w:t>
      </w:r>
      <w:r>
        <w:rPr>
          <w:b w:val="0"/>
          <w:i w:val="0"/>
        </w:rPr>
        <w:t xml:space="preserve">; </w:t>
      </w:r>
      <w:r>
        <w:rPr>
          <w:b w:val="0"/>
          <w:i/>
        </w:rPr>
        <w:t>cognoscit</w:t>
      </w:r>
      <w:r>
        <w:rPr>
          <w:b w:val="0"/>
          <w:i w:val="0"/>
        </w:rPr>
        <w:t xml:space="preserve">; </w:t>
      </w:r>
      <w:r>
        <w:rPr>
          <w:b w:val="0"/>
          <w:i/>
        </w:rPr>
        <w:t>noscit</w:t>
      </w:r>
      <w:r>
        <w:rPr>
          <w:b w:val="0"/>
          <w:i w:val="0"/>
        </w:rPr>
        <w:t>.</w:t>
      </w:r>
    </w:p>
    <w:p>
      <w:pPr>
        <w:widowControl/>
      </w:pPr>
      <w:r>
        <w:rPr>
          <w:b w:val="0"/>
          <w:i w:val="0"/>
        </w:rPr>
        <w:t xml:space="preserve">To know or recognize the content at issue. The comparison argument repeatedly distinguishes a power’s acquaintance with its own object from knowledge of both compared objects.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474" w:name="latin-record-0233"/>
      <w:bookmarkEnd w:id="474"/>
      <w:r>
        <w:rPr>
          <w:b/>
          <w:i w:val="0"/>
        </w:rPr>
        <w:t>colligere</w:t>
      </w:r>
      <w:r>
        <w:rPr>
          <w:b/>
          <w:i w:val="0"/>
        </w:rPr>
        <w:t>.</w:t>
      </w:r>
      <w:r>
        <w:rPr>
          <w:b w:val="0"/>
          <w:i w:val="0"/>
        </w:rPr>
        <w:t xml:space="preserve"> Printed forms: </w:t>
      </w:r>
      <w:r>
        <w:rPr>
          <w:b w:val="0"/>
          <w:i/>
        </w:rPr>
        <w:t>collegerat</w:t>
      </w:r>
      <w:r>
        <w:rPr>
          <w:b w:val="0"/>
          <w:i w:val="0"/>
        </w:rPr>
        <w:t xml:space="preserve">; </w:t>
      </w:r>
      <w:r>
        <w:rPr>
          <w:b w:val="0"/>
          <w:i/>
        </w:rPr>
        <w:t>collegit</w:t>
      </w:r>
      <w:r>
        <w:rPr>
          <w:b w:val="0"/>
          <w:i w:val="0"/>
        </w:rPr>
        <w:t xml:space="preserve">; </w:t>
      </w:r>
      <w:r>
        <w:rPr>
          <w:b w:val="0"/>
          <w:i/>
        </w:rPr>
        <w:t>colligit</w:t>
      </w:r>
      <w:r>
        <w:rPr>
          <w:b w:val="0"/>
          <w:i w:val="0"/>
        </w:rPr>
        <w:t>.</w:t>
      </w:r>
    </w:p>
    <w:p>
      <w:pPr>
        <w:widowControl/>
      </w:pPr>
      <w:r>
        <w:rPr>
          <w:b w:val="0"/>
          <w:i w:val="0"/>
        </w:rPr>
        <w:t xml:space="preserve">Gathering distinct contributions into a single cognitive or explanatory unity. Imagination combines the five senses’ contributions; later intellect gathers individuals under a species and times in a common regard. References: </w:t>
      </w:r>
      <w:hyperlink w:anchor="passage-viii-1-1">
        <w:r>
          <w:rPr>
            <w:color w:val="000000"/>
          </w:rPr>
          <w:t xml:space="preserve">VIII.1.1</w:t>
        </w:r>
      </w:hyperlink>
      <w:r>
        <w:rPr>
          <w:b w:val="0"/>
          <w:i w:val="0"/>
        </w:rPr>
        <w:t xml:space="preserve">, </w:t>
      </w:r>
      <w:hyperlink w:anchor="passage-viii-14-1">
        <w:r>
          <w:rPr>
            <w:color w:val="000000"/>
          </w:rPr>
          <w:t xml:space="preserve">VIII.14.1</w:t>
        </w:r>
      </w:hyperlink>
      <w:r>
        <w:rPr>
          <w:b w:val="0"/>
          <w:i w:val="0"/>
        </w:rPr>
        <w:t xml:space="preserve">, </w:t>
      </w:r>
      <w:hyperlink w:anchor="passage-viii-16-2">
        <w:r>
          <w:rPr>
            <w:color w:val="000000"/>
          </w:rPr>
          <w:t xml:space="preserve">VIII.16.2</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475" w:name="latin-record-0234"/>
      <w:bookmarkEnd w:id="475"/>
      <w:r>
        <w:rPr>
          <w:b/>
          <w:i w:val="0"/>
        </w:rPr>
        <w:t>colligere / conciliare</w:t>
      </w:r>
      <w:r>
        <w:rPr>
          <w:b/>
          <w:i w:val="0"/>
        </w:rPr>
        <w:t>.</w:t>
      </w:r>
      <w:r>
        <w:rPr>
          <w:b w:val="0"/>
          <w:i w:val="0"/>
        </w:rPr>
        <w:t xml:space="preserve"> Printed forms: </w:t>
      </w:r>
      <w:r>
        <w:rPr>
          <w:b w:val="0"/>
          <w:i/>
        </w:rPr>
        <w:t>colligit</w:t>
      </w:r>
      <w:r>
        <w:rPr>
          <w:b w:val="0"/>
          <w:i w:val="0"/>
        </w:rPr>
        <w:t xml:space="preserve">; </w:t>
      </w:r>
      <w:r>
        <w:rPr>
          <w:b w:val="0"/>
          <w:i/>
        </w:rPr>
        <w:t>conciliat</w:t>
      </w:r>
      <w:r>
        <w:rPr>
          <w:b w:val="0"/>
          <w:i w:val="0"/>
        </w:rPr>
        <w:t xml:space="preserve">; </w:t>
      </w:r>
      <w:r>
        <w:rPr>
          <w:b w:val="0"/>
          <w:i/>
        </w:rPr>
        <w:t>conciliat invicem</w:t>
      </w:r>
      <w:r>
        <w:rPr>
          <w:b w:val="0"/>
          <w:i w:val="0"/>
        </w:rPr>
        <w:t>.</w:t>
      </w:r>
    </w:p>
    <w:p>
      <w:pPr>
        <w:widowControl/>
      </w:pPr>
      <w:r>
        <w:rPr>
          <w:b w:val="0"/>
          <w:i w:val="0"/>
        </w:rPr>
        <w:t xml:space="preserve">To gather scattered things and bring opposed terms into agreement. The stable soul collects and reconciles what is unstable below it; these actions support its middle, ordering role. References: </w:t>
      </w:r>
      <w:hyperlink w:anchor="passage-v-12-13">
        <w:r>
          <w:rPr>
            <w:color w:val="000000"/>
          </w:rPr>
          <w:t xml:space="preserve">V.12.13</w:t>
        </w:r>
      </w:hyperlink>
      <w:r>
        <w:rPr>
          <w:b w:val="0"/>
          <w:i w:val="0"/>
        </w:rPr>
        <w:t xml:space="preserve">, </w:t>
      </w:r>
      <w:hyperlink w:anchor="passage-v-15-2">
        <w:r>
          <w:rPr>
            <w:color w:val="000000"/>
          </w:rPr>
          <w:t xml:space="preserve">V.15.2</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476" w:name="latin-record-0235"/>
      <w:bookmarkEnd w:id="476"/>
      <w:r>
        <w:rPr>
          <w:b/>
          <w:i w:val="0"/>
        </w:rPr>
        <w:t>colligere / impartibilis</w:t>
      </w:r>
      <w:r>
        <w:rPr>
          <w:b/>
          <w:i w:val="0"/>
        </w:rPr>
        <w:t>.</w:t>
      </w:r>
      <w:r>
        <w:rPr>
          <w:b w:val="0"/>
          <w:i w:val="0"/>
        </w:rPr>
        <w:t xml:space="preserve"> Printed forms: </w:t>
      </w:r>
      <w:r>
        <w:rPr>
          <w:b w:val="0"/>
          <w:i/>
        </w:rPr>
        <w:t>colligi</w:t>
      </w:r>
      <w:r>
        <w:rPr>
          <w:b w:val="0"/>
          <w:i w:val="0"/>
        </w:rPr>
        <w:t xml:space="preserve">; </w:t>
      </w:r>
      <w:r>
        <w:rPr>
          <w:b w:val="0"/>
          <w:i/>
        </w:rPr>
        <w:t>impartibile</w:t>
      </w:r>
      <w:r>
        <w:rPr>
          <w:b w:val="0"/>
          <w:i w:val="0"/>
        </w:rPr>
        <w:t>.</w:t>
      </w:r>
    </w:p>
    <w:p>
      <w:pPr>
        <w:widowControl/>
      </w:pPr>
      <w:r>
        <w:rPr>
          <w:b w:val="0"/>
          <w:i w:val="0"/>
        </w:rPr>
        <w:t xml:space="preserve">To gather into one; not capable of partition. The gathering of a vast visible image into the pupil prepares the inference toward an impartible sensory power.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477" w:name="latin-record-0236"/>
      <w:bookmarkEnd w:id="477"/>
      <w:r>
        <w:rPr>
          <w:b/>
          <w:i w:val="0"/>
        </w:rPr>
        <w:t>colligere; unio</w:t>
      </w:r>
      <w:r>
        <w:rPr>
          <w:b/>
          <w:i w:val="0"/>
        </w:rPr>
        <w:t>.</w:t>
      </w:r>
      <w:r>
        <w:rPr>
          <w:b w:val="0"/>
          <w:i w:val="0"/>
        </w:rPr>
        <w:t xml:space="preserve"> Printed forms: </w:t>
      </w:r>
      <w:r>
        <w:rPr>
          <w:b w:val="0"/>
          <w:i/>
        </w:rPr>
        <w:t>collecti</w:t>
      </w:r>
      <w:r>
        <w:rPr>
          <w:b w:val="0"/>
          <w:i w:val="0"/>
        </w:rPr>
        <w:t xml:space="preserve">; </w:t>
      </w:r>
      <w:r>
        <w:rPr>
          <w:b w:val="0"/>
          <w:i/>
        </w:rPr>
        <w:t>colligite</w:t>
      </w:r>
      <w:r>
        <w:rPr>
          <w:b w:val="0"/>
          <w:i w:val="0"/>
        </w:rPr>
        <w:t xml:space="preserve">; </w:t>
      </w:r>
      <w:r>
        <w:rPr>
          <w:b w:val="0"/>
          <w:i/>
        </w:rPr>
        <w:t>unione</w:t>
      </w:r>
      <w:r>
        <w:rPr>
          <w:b w:val="0"/>
          <w:i w:val="0"/>
        </w:rPr>
        <w:t>.</w:t>
      </w:r>
    </w:p>
    <w:p>
      <w:pPr>
        <w:widowControl/>
      </w:pPr>
      <w:r>
        <w:rPr>
          <w:b w:val="0"/>
          <w:i w:val="0"/>
        </w:rPr>
        <w:t xml:space="preserve">To gather into one; union. Ficino compares increased power through concentration with the convergence of solar rays in a mirror.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478" w:name="latin-record-0237"/>
      <w:bookmarkEnd w:id="478"/>
      <w:r>
        <w:rPr>
          <w:b/>
          <w:i w:val="0"/>
        </w:rPr>
        <w:t>collocare</w:t>
      </w:r>
      <w:r>
        <w:rPr>
          <w:b/>
          <w:i w:val="0"/>
        </w:rPr>
        <w:t>.</w:t>
      </w:r>
      <w:r>
        <w:rPr>
          <w:b w:val="0"/>
          <w:i w:val="0"/>
        </w:rPr>
        <w:t xml:space="preserve"> Printed forms: </w:t>
      </w:r>
      <w:r>
        <w:rPr>
          <w:b w:val="0"/>
          <w:i/>
        </w:rPr>
        <w:t>collocabimus</w:t>
      </w:r>
      <w:r>
        <w:rPr>
          <w:b w:val="0"/>
          <w:i w:val="0"/>
        </w:rPr>
        <w:t>.</w:t>
      </w:r>
    </w:p>
    <w:p>
      <w:pPr>
        <w:widowControl/>
      </w:pPr>
      <w:r>
        <w:rPr>
          <w:b w:val="0"/>
          <w:i w:val="0"/>
        </w:rPr>
        <w:t xml:space="preserve">To place or locate an explanatory function in a power. Conceding an indivisible common form places comprehension in an indivisible power; this is an argumentative allocation, not proof of a tiny anatomical seat. References: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479" w:name="latin-record-0238"/>
      <w:bookmarkEnd w:id="479"/>
      <w:r>
        <w:rPr>
          <w:b/>
          <w:i w:val="0"/>
        </w:rPr>
        <w:t>color / figura</w:t>
      </w:r>
      <w:r>
        <w:rPr>
          <w:b/>
          <w:i w:val="0"/>
        </w:rPr>
        <w:t>.</w:t>
      </w:r>
      <w:r>
        <w:rPr>
          <w:b w:val="0"/>
          <w:i w:val="0"/>
        </w:rPr>
        <w:t xml:space="preserve"> Printed forms: </w:t>
      </w:r>
      <w:r>
        <w:rPr>
          <w:b w:val="0"/>
          <w:i/>
        </w:rPr>
        <w:t>colore</w:t>
      </w:r>
      <w:r>
        <w:rPr>
          <w:b w:val="0"/>
          <w:i w:val="0"/>
        </w:rPr>
        <w:t xml:space="preserve">; </w:t>
      </w:r>
      <w:r>
        <w:rPr>
          <w:b w:val="0"/>
          <w:i/>
        </w:rPr>
        <w:t>figura</w:t>
      </w:r>
      <w:r>
        <w:rPr>
          <w:b w:val="0"/>
          <w:i w:val="0"/>
        </w:rPr>
        <w:t xml:space="preserve">; </w:t>
      </w:r>
      <w:r>
        <w:rPr>
          <w:b w:val="0"/>
          <w:i/>
        </w:rPr>
        <w:t>figuris</w:t>
      </w:r>
      <w:r>
        <w:rPr>
          <w:b w:val="0"/>
          <w:i w:val="0"/>
        </w:rPr>
        <w:t>.</w:t>
      </w:r>
    </w:p>
    <w:p>
      <w:pPr>
        <w:widowControl/>
      </w:pPr>
      <w:r>
        <w:rPr>
          <w:b w:val="0"/>
          <w:i w:val="0"/>
        </w:rPr>
        <w:t xml:space="preserve">Colour and figure, distinct species of sensible presentation. Figure is not a constituent species contained within colour; this comparison rejects an alternative model of a species’ alleged parts. References: </w:t>
      </w:r>
      <w:hyperlink w:anchor="passage-viii-4-7">
        <w:r>
          <w:rPr>
            <w:color w:val="000000"/>
          </w:rPr>
          <w:t xml:space="preserve">VIII.4.7</w:t>
        </w:r>
      </w:hyperlink>
      <w:r>
        <w:rPr>
          <w:b w:val="0"/>
          <w:i w:val="0"/>
        </w:rPr>
        <w:t xml:space="preserve">, </w:t>
      </w:r>
      <w:hyperlink w:anchor="passage-viii-4-8">
        <w:r>
          <w:rPr>
            <w:color w:val="000000"/>
          </w:rPr>
          <w:t xml:space="preserve">VIII.4.8</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480" w:name="latin-record-0239"/>
      <w:bookmarkEnd w:id="480"/>
      <w:r>
        <w:rPr>
          <w:b/>
          <w:i w:val="0"/>
        </w:rPr>
        <w:t>color / vox / odor</w:t>
      </w:r>
      <w:r>
        <w:rPr>
          <w:b/>
          <w:i w:val="0"/>
        </w:rPr>
        <w:t>.</w:t>
      </w:r>
      <w:r>
        <w:rPr>
          <w:b w:val="0"/>
          <w:i w:val="0"/>
        </w:rPr>
        <w:t xml:space="preserve"> Printed forms: </w:t>
      </w:r>
      <w:r>
        <w:rPr>
          <w:b w:val="0"/>
          <w:i/>
        </w:rPr>
        <w:t>colorem</w:t>
      </w:r>
      <w:r>
        <w:rPr>
          <w:b w:val="0"/>
          <w:i w:val="0"/>
        </w:rPr>
        <w:t xml:space="preserve">; </w:t>
      </w:r>
      <w:r>
        <w:rPr>
          <w:b w:val="0"/>
          <w:i/>
        </w:rPr>
        <w:t>colores</w:t>
      </w:r>
      <w:r>
        <w:rPr>
          <w:b w:val="0"/>
          <w:i w:val="0"/>
        </w:rPr>
        <w:t xml:space="preserve">; </w:t>
      </w:r>
      <w:r>
        <w:rPr>
          <w:b w:val="0"/>
          <w:i/>
        </w:rPr>
        <w:t>colorum</w:t>
      </w:r>
      <w:r>
        <w:rPr>
          <w:b w:val="0"/>
          <w:i w:val="0"/>
        </w:rPr>
        <w:t xml:space="preserve">; </w:t>
      </w:r>
      <w:r>
        <w:rPr>
          <w:b w:val="0"/>
          <w:i/>
        </w:rPr>
        <w:t>odorem</w:t>
      </w:r>
      <w:r>
        <w:rPr>
          <w:b w:val="0"/>
          <w:i w:val="0"/>
        </w:rPr>
        <w:t xml:space="preserve">; </w:t>
      </w:r>
      <w:r>
        <w:rPr>
          <w:b w:val="0"/>
          <w:i/>
        </w:rPr>
        <w:t>odores</w:t>
      </w:r>
      <w:r>
        <w:rPr>
          <w:b w:val="0"/>
          <w:i w:val="0"/>
        </w:rPr>
        <w:t xml:space="preserve">; </w:t>
      </w:r>
      <w:r>
        <w:rPr>
          <w:b w:val="0"/>
          <w:i/>
        </w:rPr>
        <w:t>vocem</w:t>
      </w:r>
      <w:r>
        <w:rPr>
          <w:b w:val="0"/>
          <w:i w:val="0"/>
        </w:rPr>
        <w:t xml:space="preserve">; </w:t>
      </w:r>
      <w:r>
        <w:rPr>
          <w:b w:val="0"/>
          <w:i/>
        </w:rPr>
        <w:t>voces</w:t>
      </w:r>
      <w:r>
        <w:rPr>
          <w:b w:val="0"/>
          <w:i w:val="0"/>
        </w:rPr>
        <w:t>.</w:t>
      </w:r>
    </w:p>
    <w:p>
      <w:pPr>
        <w:widowControl/>
      </w:pPr>
      <w:r>
        <w:rPr>
          <w:b w:val="0"/>
          <w:i w:val="0"/>
        </w:rPr>
        <w:t xml:space="preserve">Color, voice and odor as distinct sensory contents. Their comparison requires joint cognitive access, not merely three separate reports.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481" w:name="latin-record-0240"/>
      <w:bookmarkEnd w:id="481"/>
      <w:r>
        <w:rPr>
          <w:b/>
          <w:i w:val="0"/>
        </w:rPr>
        <w:t>coma</w:t>
      </w:r>
      <w:r>
        <w:rPr>
          <w:b/>
          <w:i w:val="0"/>
        </w:rPr>
        <w:t>.</w:t>
      </w:r>
      <w:r>
        <w:rPr>
          <w:b w:val="0"/>
          <w:i w:val="0"/>
        </w:rPr>
        <w:t xml:space="preserve"> Printed forms: </w:t>
      </w:r>
      <w:r>
        <w:rPr>
          <w:b w:val="0"/>
          <w:i/>
        </w:rPr>
        <w:t>comam</w:t>
      </w:r>
      <w:r>
        <w:rPr>
          <w:b w:val="0"/>
          <w:i w:val="0"/>
        </w:rPr>
        <w:t>.</w:t>
      </w:r>
    </w:p>
    <w:p>
      <w:pPr>
        <w:widowControl/>
      </w:pPr>
      <w:r>
        <w:rPr>
          <w:b w:val="0"/>
          <w:i w:val="0"/>
        </w:rPr>
        <w:t xml:space="preserve">Hair or streaming tail, the visible attendant of a comet. The comet/hair analogy parallels sun/light in the claim that life follows soul. References: </w:t>
      </w:r>
      <w:hyperlink w:anchor="passage-v-14-6">
        <w:r>
          <w:rPr>
            <w:color w:val="000000"/>
          </w:rPr>
          <w:t xml:space="preserve">V.14.6</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482" w:name="latin-record-0241"/>
      <w:bookmarkEnd w:id="482"/>
      <w:r>
        <w:rPr>
          <w:b/>
          <w:i w:val="0"/>
        </w:rPr>
        <w:t>comes; pedisequa</w:t>
      </w:r>
      <w:r>
        <w:rPr>
          <w:b/>
          <w:i w:val="0"/>
        </w:rPr>
        <w:t>.</w:t>
      </w:r>
      <w:r>
        <w:rPr>
          <w:b w:val="0"/>
          <w:i w:val="0"/>
        </w:rPr>
        <w:t xml:space="preserve"> Printed forms: </w:t>
      </w:r>
      <w:r>
        <w:rPr>
          <w:b w:val="0"/>
          <w:i/>
        </w:rPr>
        <w:t>comitem</w:t>
      </w:r>
      <w:r>
        <w:rPr>
          <w:b w:val="0"/>
          <w:i w:val="0"/>
        </w:rPr>
        <w:t xml:space="preserve">; </w:t>
      </w:r>
      <w:r>
        <w:rPr>
          <w:b w:val="0"/>
          <w:i/>
        </w:rPr>
        <w:t>pedisequam</w:t>
      </w:r>
      <w:r>
        <w:rPr>
          <w:b w:val="0"/>
          <w:i w:val="0"/>
        </w:rPr>
        <w:t>.</w:t>
      </w:r>
    </w:p>
    <w:p>
      <w:pPr>
        <w:widowControl/>
      </w:pPr>
      <w:r>
        <w:rPr>
          <w:b w:val="0"/>
          <w:i w:val="0"/>
        </w:rPr>
        <w:t xml:space="preserve">Companion and attendant. Soul may be described either as life or as having life following it; both formulations explain bodies receiving life through soul. References: </w:t>
      </w:r>
      <w:hyperlink w:anchor="passage-vi-11-1">
        <w:r>
          <w:rPr>
            <w:color w:val="000000"/>
          </w:rPr>
          <w:t xml:space="preserve">VI.11.1</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483" w:name="latin-record-0242"/>
      <w:bookmarkEnd w:id="483"/>
      <w:r>
        <w:rPr>
          <w:b/>
          <w:i w:val="0"/>
        </w:rPr>
        <w:t>commixtio</w:t>
      </w:r>
      <w:r>
        <w:rPr>
          <w:b/>
          <w:i w:val="0"/>
        </w:rPr>
        <w:t>.</w:t>
      </w:r>
      <w:r>
        <w:rPr>
          <w:b w:val="0"/>
          <w:i w:val="0"/>
        </w:rPr>
        <w:t xml:space="preserve"> Printed forms: </w:t>
      </w:r>
      <w:r>
        <w:rPr>
          <w:b w:val="0"/>
          <w:i/>
        </w:rPr>
        <w:t>commixtione</w:t>
      </w:r>
      <w:r>
        <w:rPr>
          <w:b w:val="0"/>
          <w:i w:val="0"/>
        </w:rPr>
        <w:t>.</w:t>
      </w:r>
    </w:p>
    <w:p>
      <w:pPr>
        <w:widowControl/>
      </w:pPr>
      <w:r>
        <w:rPr>
          <w:b w:val="0"/>
          <w:i w:val="0"/>
        </w:rPr>
        <w:t xml:space="preserve">Mixture or blending, the constitution of the body from four natures in the historical model. A mixture-dependent form cannot, Ficino argues, turn away from its own material subject to grasp immaterial principles. References: </w:t>
      </w:r>
      <w:hyperlink w:anchor="passage-v-15-10">
        <w:r>
          <w:rPr>
            <w:color w:val="000000"/>
          </w:rPr>
          <w:t xml:space="preserve">V.15.10</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484" w:name="latin-record-0243"/>
      <w:bookmarkEnd w:id="484"/>
      <w:r>
        <w:rPr>
          <w:b/>
          <w:i w:val="0"/>
        </w:rPr>
        <w:t>commodum / utilitas</w:t>
      </w:r>
      <w:r>
        <w:rPr>
          <w:b/>
          <w:i w:val="0"/>
        </w:rPr>
        <w:t>.</w:t>
      </w:r>
      <w:r>
        <w:rPr>
          <w:b w:val="0"/>
          <w:i w:val="0"/>
        </w:rPr>
        <w:t xml:space="preserve"> Printed forms: </w:t>
      </w:r>
      <w:r>
        <w:rPr>
          <w:b w:val="0"/>
          <w:i/>
        </w:rPr>
        <w:t>commodum</w:t>
      </w:r>
      <w:r>
        <w:rPr>
          <w:b w:val="0"/>
          <w:i w:val="0"/>
        </w:rPr>
        <w:t xml:space="preserve">; </w:t>
      </w:r>
      <w:r>
        <w:rPr>
          <w:b w:val="0"/>
          <w:i/>
        </w:rPr>
        <w:t>conducere</w:t>
      </w:r>
      <w:r>
        <w:rPr>
          <w:b w:val="0"/>
          <w:i w:val="0"/>
        </w:rPr>
        <w:t xml:space="preserve">; </w:t>
      </w:r>
      <w:r>
        <w:rPr>
          <w:b w:val="0"/>
          <w:i/>
        </w:rPr>
        <w:t>utilitatis</w:t>
      </w:r>
      <w:r>
        <w:rPr>
          <w:b w:val="0"/>
          <w:i w:val="0"/>
        </w:rPr>
        <w:t>.</w:t>
      </w:r>
    </w:p>
    <w:p>
      <w:pPr>
        <w:widowControl/>
      </w:pPr>
      <w:r>
        <w:rPr>
          <w:b w:val="0"/>
          <w:i w:val="0"/>
        </w:rPr>
        <w:t xml:space="preserve">Bodily advantage or usefulness arising from truth’s discovery. Ficino distinguishes a secondary bodily benefit from the mind’s pursuit of truth for its own sake. References: </w:t>
      </w:r>
      <w:hyperlink w:anchor="passage-viii-2-5">
        <w:r>
          <w:rPr>
            <w:color w:val="000000"/>
          </w:rPr>
          <w:t xml:space="preserve">VIII.2.5</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485" w:name="latin-record-0244"/>
      <w:bookmarkEnd w:id="485"/>
      <w:r>
        <w:rPr>
          <w:b/>
          <w:i w:val="0"/>
        </w:rPr>
        <w:t>communicare / infundere</w:t>
      </w:r>
      <w:r>
        <w:rPr>
          <w:b/>
          <w:i w:val="0"/>
        </w:rPr>
        <w:t>.</w:t>
      </w:r>
      <w:r>
        <w:rPr>
          <w:b w:val="0"/>
          <w:i w:val="0"/>
        </w:rPr>
        <w:t xml:space="preserve"> Printed forms: </w:t>
      </w:r>
      <w:r>
        <w:rPr>
          <w:b w:val="0"/>
          <w:i/>
        </w:rPr>
        <w:t>communicat</w:t>
      </w:r>
      <w:r>
        <w:rPr>
          <w:b w:val="0"/>
          <w:i w:val="0"/>
        </w:rPr>
        <w:t xml:space="preserve">; </w:t>
      </w:r>
      <w:r>
        <w:rPr>
          <w:b w:val="0"/>
          <w:i/>
        </w:rPr>
        <w:t>infundit</w:t>
      </w:r>
      <w:r>
        <w:rPr>
          <w:b w:val="0"/>
          <w:i w:val="0"/>
        </w:rPr>
        <w:t>.</w:t>
      </w:r>
    </w:p>
    <w:p>
      <w:pPr>
        <w:widowControl/>
      </w:pPr>
      <w:r>
        <w:rPr>
          <w:b w:val="0"/>
          <w:i w:val="0"/>
        </w:rPr>
        <w:t xml:space="preserve">Communicating a nature to many without dividing it into diminished portions. Humanity is shared by persons, places and times; the common nature and its higher exemplar remain distinct explanatory levels. References: </w:t>
      </w:r>
      <w:hyperlink w:anchor="passage-viii-1-2">
        <w:r>
          <w:rPr>
            <w:color w:val="000000"/>
          </w:rPr>
          <w:t xml:space="preserve">VIII.1.2</w:t>
        </w:r>
      </w:hyperlink>
      <w:r>
        <w:rPr>
          <w:b w:val="0"/>
          <w:i w:val="0"/>
        </w:rPr>
        <w:t xml:space="preserve">, </w:t>
      </w:r>
      <w:hyperlink w:anchor="passage-viii-4-10">
        <w:r>
          <w:rPr>
            <w:color w:val="000000"/>
          </w:rPr>
          <w:t xml:space="preserve">VIII.4.10</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486" w:name="latin-record-0245"/>
      <w:bookmarkEnd w:id="486"/>
      <w:r>
        <w:rPr>
          <w:b/>
          <w:i w:val="0"/>
        </w:rPr>
        <w:t>communis (additional forms)</w:t>
      </w:r>
      <w:r>
        <w:rPr>
          <w:b/>
          <w:i w:val="0"/>
        </w:rPr>
        <w:t>.</w:t>
      </w:r>
      <w:r>
        <w:rPr>
          <w:b w:val="0"/>
          <w:i w:val="0"/>
        </w:rPr>
        <w:t xml:space="preserve"> Printed forms: </w:t>
      </w:r>
      <w:r>
        <w:rPr>
          <w:b w:val="0"/>
          <w:i/>
        </w:rPr>
        <w:t>commune</w:t>
      </w:r>
      <w:r>
        <w:rPr>
          <w:b w:val="0"/>
          <w:i w:val="0"/>
        </w:rPr>
        <w:t xml:space="preserve">; </w:t>
      </w:r>
      <w:r>
        <w:rPr>
          <w:b w:val="0"/>
          <w:i/>
        </w:rPr>
        <w:t>communi</w:t>
      </w:r>
      <w:r>
        <w:rPr>
          <w:b w:val="0"/>
          <w:i w:val="0"/>
        </w:rPr>
        <w:t>.</w:t>
      </w:r>
    </w:p>
    <w:p>
      <w:pPr>
        <w:widowControl/>
      </w:pPr>
      <w:r>
        <w:rPr>
          <w:b w:val="0"/>
          <w:i w:val="0"/>
        </w:rPr>
        <w:t xml:space="preserve">Shared or common, in contrast with what belongs exclusively to one instance. The form’s power extends to many cases, while the nature’s commonness does not by itself identify it with its separate divine exemplar. References: </w:t>
      </w:r>
      <w:hyperlink w:anchor="passage-viii-1-3">
        <w:r>
          <w:rPr>
            <w:color w:val="000000"/>
          </w:rPr>
          <w:t xml:space="preserve">VIII.1.3</w:t>
        </w:r>
      </w:hyperlink>
      <w:r>
        <w:rPr>
          <w:b w:val="0"/>
          <w:i w:val="0"/>
        </w:rPr>
        <w:t xml:space="preserve">, </w:t>
      </w:r>
      <w:hyperlink w:anchor="passage-viii-8-1">
        <w:r>
          <w:rPr>
            <w:color w:val="000000"/>
          </w:rPr>
          <w:t xml:space="preserve">VIII.8.1</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487" w:name="latin-record-0246"/>
      <w:bookmarkEnd w:id="487"/>
      <w:r>
        <w:rPr>
          <w:b/>
          <w:i w:val="0"/>
        </w:rPr>
        <w:t>communis sensus</w:t>
      </w:r>
      <w:r>
        <w:rPr>
          <w:b/>
          <w:i w:val="0"/>
        </w:rPr>
        <w:t>.</w:t>
      </w:r>
      <w:r>
        <w:rPr>
          <w:b w:val="0"/>
          <w:i w:val="0"/>
        </w:rPr>
        <w:t xml:space="preserve"> Printed forms: </w:t>
      </w:r>
      <w:r>
        <w:rPr>
          <w:b w:val="0"/>
          <w:i/>
        </w:rPr>
        <w:t>communi sensu</w:t>
      </w:r>
      <w:r>
        <w:rPr>
          <w:b w:val="0"/>
          <w:i w:val="0"/>
        </w:rPr>
        <w:t>.</w:t>
      </w:r>
    </w:p>
    <w:p>
      <w:pPr>
        <w:widowControl/>
      </w:pPr>
      <w:r>
        <w:rPr>
          <w:b w:val="0"/>
          <w:i w:val="0"/>
        </w:rPr>
        <w:t xml:space="preserve">The inward common sensory power coordinating individual senses. Its superiority and greater sufficiency prepare the ascent to the soul’s substance and finally to reason. References: </w:t>
      </w:r>
      <w:hyperlink w:anchor="passage-vii-3-1">
        <w:r>
          <w:rPr>
            <w:color w:val="000000"/>
          </w:rPr>
          <w:t xml:space="preserve">VII.3.1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488" w:name="latin-record-0247"/>
      <w:bookmarkEnd w:id="488"/>
      <w:r>
        <w:rPr>
          <w:b/>
          <w:i w:val="0"/>
        </w:rPr>
        <w:t>commutare</w:t>
      </w:r>
      <w:r>
        <w:rPr>
          <w:b/>
          <w:i w:val="0"/>
        </w:rPr>
        <w:t>.</w:t>
      </w:r>
      <w:r>
        <w:rPr>
          <w:b w:val="0"/>
          <w:i w:val="0"/>
        </w:rPr>
        <w:t xml:space="preserve"> Printed forms: </w:t>
      </w:r>
      <w:r>
        <w:rPr>
          <w:b w:val="0"/>
          <w:i/>
        </w:rPr>
        <w:t>commutet</w:t>
      </w:r>
      <w:r>
        <w:rPr>
          <w:b w:val="0"/>
          <w:i w:val="0"/>
        </w:rPr>
        <w:t>.</w:t>
      </w:r>
    </w:p>
    <w:p>
      <w:pPr>
        <w:widowControl/>
      </w:pPr>
      <w:r>
        <w:rPr>
          <w:b w:val="0"/>
          <w:i w:val="0"/>
        </w:rPr>
        <w:t xml:space="preserve">To alter or change something. An alteration of one region of bodily whiteness need not change all the other regions, unlike the whole soul’s awareness of a local event. References: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489" w:name="latin-record-0248"/>
      <w:bookmarkEnd w:id="489"/>
      <w:r>
        <w:rPr>
          <w:b/>
          <w:i w:val="0"/>
        </w:rPr>
        <w:t>commutare / transmutare</w:t>
      </w:r>
      <w:r>
        <w:rPr>
          <w:b/>
          <w:i w:val="0"/>
        </w:rPr>
        <w:t>.</w:t>
      </w:r>
      <w:r>
        <w:rPr>
          <w:b w:val="0"/>
          <w:i w:val="0"/>
        </w:rPr>
        <w:t xml:space="preserve"> Printed forms: </w:t>
      </w:r>
      <w:r>
        <w:rPr>
          <w:b w:val="0"/>
          <w:i/>
        </w:rPr>
        <w:t>commutabit</w:t>
      </w:r>
      <w:r>
        <w:rPr>
          <w:b w:val="0"/>
          <w:i w:val="0"/>
        </w:rPr>
        <w:t xml:space="preserve">; </w:t>
      </w:r>
      <w:r>
        <w:rPr>
          <w:b w:val="0"/>
          <w:i/>
        </w:rPr>
        <w:t>commutata</w:t>
      </w:r>
      <w:r>
        <w:rPr>
          <w:b w:val="0"/>
          <w:i w:val="0"/>
        </w:rPr>
        <w:t xml:space="preserve">; </w:t>
      </w:r>
      <w:r>
        <w:rPr>
          <w:b w:val="0"/>
          <w:i/>
        </w:rPr>
        <w:t>permutari</w:t>
      </w:r>
      <w:r>
        <w:rPr>
          <w:b w:val="0"/>
          <w:i w:val="0"/>
        </w:rPr>
        <w:t xml:space="preserve">; </w:t>
      </w:r>
      <w:r>
        <w:rPr>
          <w:b w:val="0"/>
          <w:i/>
        </w:rPr>
        <w:t>transmutabit</w:t>
      </w:r>
      <w:r>
        <w:rPr>
          <w:b w:val="0"/>
          <w:i w:val="0"/>
        </w:rPr>
        <w:t>.</w:t>
      </w:r>
    </w:p>
    <w:p>
      <w:pPr>
        <w:widowControl/>
      </w:pPr>
      <w:r>
        <w:rPr>
          <w:b w:val="0"/>
          <w:i w:val="0"/>
        </w:rPr>
        <w:t xml:space="preserve">To transform one condition or thing into another. The matter proof tests annihilation and transformation as alternatives, then excludes a surviving fragment as a model for prime matter’s loss. References: </w:t>
      </w:r>
      <w:hyperlink w:anchor="passage-v-4-6">
        <w:r>
          <w:rPr>
            <w:color w:val="000000"/>
          </w:rPr>
          <w:t xml:space="preserve">V.4.6</w:t>
        </w:r>
      </w:hyperlink>
      <w:r>
        <w:rPr>
          <w:b w:val="0"/>
          <w:i w:val="0"/>
        </w:rPr>
        <w:t xml:space="preserve">, </w:t>
      </w:r>
      <w:hyperlink w:anchor="passage-v-4-9">
        <w:r>
          <w:rPr>
            <w:color w:val="000000"/>
          </w:rPr>
          <w:t xml:space="preserve">V.4.9</w:t>
        </w:r>
      </w:hyperlink>
      <w:r>
        <w:rPr>
          <w:b w:val="0"/>
          <w:i w:val="0"/>
        </w:rPr>
        <w:t xml:space="preserve">, </w:t>
      </w:r>
      <w:hyperlink w:anchor="passage-v-4-10">
        <w:r>
          <w:rPr>
            <w:color w:val="000000"/>
          </w:rPr>
          <w:t xml:space="preserve">V.4.10</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490" w:name="latin-record-0249"/>
      <w:bookmarkEnd w:id="490"/>
      <w:r>
        <w:rPr>
          <w:b/>
          <w:i w:val="0"/>
        </w:rPr>
        <w:t>commutatio</w:t>
      </w:r>
      <w:r>
        <w:rPr>
          <w:b/>
          <w:i w:val="0"/>
        </w:rPr>
        <w:t>.</w:t>
      </w:r>
      <w:r>
        <w:rPr>
          <w:b w:val="0"/>
          <w:i w:val="0"/>
        </w:rPr>
        <w:t xml:space="preserve"> Printed forms: </w:t>
      </w:r>
      <w:r>
        <w:rPr>
          <w:b w:val="0"/>
          <w:i/>
        </w:rPr>
        <w:t>commutatio</w:t>
      </w:r>
      <w:r>
        <w:rPr>
          <w:b w:val="0"/>
          <w:i w:val="0"/>
        </w:rPr>
        <w:t xml:space="preserve">; </w:t>
      </w:r>
      <w:r>
        <w:rPr>
          <w:b w:val="0"/>
          <w:i/>
        </w:rPr>
        <w:t>commutationem</w:t>
      </w:r>
      <w:r>
        <w:rPr>
          <w:b w:val="0"/>
          <w:i w:val="0"/>
        </w:rPr>
        <w:t xml:space="preserve">; </w:t>
      </w:r>
      <w:r>
        <w:rPr>
          <w:b w:val="0"/>
          <w:i/>
        </w:rPr>
        <w:t>commutationi</w:t>
      </w:r>
      <w:r>
        <w:rPr>
          <w:b w:val="0"/>
          <w:i w:val="0"/>
        </w:rPr>
        <w:t>.</w:t>
      </w:r>
    </w:p>
    <w:p>
      <w:pPr>
        <w:widowControl/>
      </w:pPr>
      <w:r>
        <w:rPr>
          <w:b w:val="0"/>
          <w:i w:val="0"/>
        </w:rPr>
        <w:t xml:space="preserve">Transformation or change, whose subject and endpoint determine whether it concerns qualities or substance. Elemental change preserves matter; the final book section tests the stronger possibility of mind becoming body. References: </w:t>
      </w:r>
      <w:hyperlink w:anchor="passage-v-4-1">
        <w:r>
          <w:rPr>
            <w:color w:val="000000"/>
          </w:rPr>
          <w:t xml:space="preserve">V.4.1</w:t>
        </w:r>
      </w:hyperlink>
      <w:r>
        <w:rPr>
          <w:b w:val="0"/>
          <w:i w:val="0"/>
        </w:rPr>
        <w:t xml:space="preserve">, </w:t>
      </w:r>
      <w:hyperlink w:anchor="passage-v-15-6">
        <w:r>
          <w:rPr>
            <w:color w:val="000000"/>
          </w:rPr>
          <w:t xml:space="preserve">V.15.6</w:t>
        </w:r>
      </w:hyperlink>
      <w:r>
        <w:rPr>
          <w:b w:val="0"/>
          <w:i w:val="0"/>
        </w:rPr>
        <w:t xml:space="preserve">, </w:t>
      </w:r>
      <w:hyperlink w:anchor="passage-v-15-22">
        <w:r>
          <w:rPr>
            <w:color w:val="000000"/>
          </w:rPr>
          <w:t xml:space="preserve">V.15.22</w:t>
        </w:r>
      </w:hyperlink>
      <w:r>
        <w:rPr>
          <w:b w:val="0"/>
          <w:i w:val="0"/>
        </w:rPr>
        <w:t xml:space="preserve">, </w:t>
      </w:r>
      <w:hyperlink w:anchor="passage-v-15-23">
        <w:r>
          <w:rPr>
            <w:color w:val="000000"/>
          </w:rPr>
          <w:t xml:space="preserve">V.15.23</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491" w:name="latin-record-0250"/>
      <w:bookmarkEnd w:id="491"/>
      <w:r>
        <w:rPr>
          <w:b/>
          <w:i w:val="0"/>
        </w:rPr>
        <w:t>commutatio; transmutatio</w:t>
      </w:r>
      <w:r>
        <w:rPr>
          <w:b/>
          <w:i w:val="0"/>
        </w:rPr>
        <w:t>.</w:t>
      </w:r>
      <w:r>
        <w:rPr>
          <w:b w:val="0"/>
          <w:i w:val="0"/>
        </w:rPr>
        <w:t xml:space="preserve"> Printed forms: </w:t>
      </w:r>
      <w:r>
        <w:rPr>
          <w:b w:val="0"/>
          <w:i/>
        </w:rPr>
        <w:t>commutaretur</w:t>
      </w:r>
      <w:r>
        <w:rPr>
          <w:b w:val="0"/>
          <w:i w:val="0"/>
        </w:rPr>
        <w:t xml:space="preserve">; </w:t>
      </w:r>
      <w:r>
        <w:rPr>
          <w:b w:val="0"/>
          <w:i/>
        </w:rPr>
        <w:t>commutatio</w:t>
      </w:r>
      <w:r>
        <w:rPr>
          <w:b w:val="0"/>
          <w:i w:val="0"/>
        </w:rPr>
        <w:t xml:space="preserve">; </w:t>
      </w:r>
      <w:r>
        <w:rPr>
          <w:b w:val="0"/>
          <w:i/>
        </w:rPr>
        <w:t>transmutatio</w:t>
      </w:r>
      <w:r>
        <w:rPr>
          <w:b w:val="0"/>
          <w:i w:val="0"/>
        </w:rPr>
        <w:t>.</w:t>
      </w:r>
    </w:p>
    <w:p>
      <w:pPr>
        <w:widowControl/>
      </w:pPr>
      <w:r>
        <w:rPr>
          <w:b w:val="0"/>
          <w:i w:val="0"/>
        </w:rPr>
        <w:t xml:space="preserve">Mutual transformation between things. A shared matter would allow soul and lower bodies to change into each other, a consequence Ficino rejects. References: </w:t>
      </w:r>
      <w:hyperlink w:anchor="passage-vi-7-2">
        <w:r>
          <w:rPr>
            <w:color w:val="000000"/>
          </w:rPr>
          <w:t xml:space="preserve">VI.7.2</w:t>
        </w:r>
      </w:hyperlink>
      <w:r>
        <w:rPr>
          <w:b w:val="0"/>
          <w:i w:val="0"/>
        </w:rPr>
        <w:t xml:space="preserve">, </w:t>
      </w:r>
      <w:hyperlink w:anchor="passage-vi-7-3">
        <w:r>
          <w:rPr>
            <w:color w:val="000000"/>
          </w:rPr>
          <w:t xml:space="preserve">VI.7.3</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492" w:name="latin-record-0251"/>
      <w:bookmarkEnd w:id="492"/>
      <w:r>
        <w:rPr>
          <w:b/>
          <w:i w:val="0"/>
        </w:rPr>
        <w:t>compages; devincire</w:t>
      </w:r>
      <w:r>
        <w:rPr>
          <w:b/>
          <w:i w:val="0"/>
        </w:rPr>
        <w:t>.</w:t>
      </w:r>
      <w:r>
        <w:rPr>
          <w:b w:val="0"/>
          <w:i w:val="0"/>
        </w:rPr>
        <w:t xml:space="preserve"> Printed forms: </w:t>
      </w:r>
      <w:r>
        <w:rPr>
          <w:b w:val="0"/>
          <w:i/>
        </w:rPr>
        <w:t>compagem</w:t>
      </w:r>
      <w:r>
        <w:rPr>
          <w:b w:val="0"/>
          <w:i w:val="0"/>
        </w:rPr>
        <w:t xml:space="preserve">; </w:t>
      </w:r>
      <w:r>
        <w:rPr>
          <w:b w:val="0"/>
          <w:i/>
        </w:rPr>
        <w:t>devincire</w:t>
      </w:r>
      <w:r>
        <w:rPr>
          <w:b w:val="0"/>
          <w:i w:val="0"/>
        </w:rPr>
        <w:t xml:space="preserve">; </w:t>
      </w:r>
      <w:r>
        <w:rPr>
          <w:b w:val="0"/>
          <w:i/>
        </w:rPr>
        <w:t>diffluunt</w:t>
      </w:r>
      <w:r>
        <w:rPr>
          <w:b w:val="0"/>
          <w:i w:val="0"/>
        </w:rPr>
        <w:t>.</w:t>
      </w:r>
    </w:p>
    <w:p>
      <w:pPr>
        <w:widowControl/>
      </w:pPr>
      <w:r>
        <w:rPr>
          <w:b w:val="0"/>
          <w:i w:val="0"/>
        </w:rPr>
        <w:t xml:space="preserve">A joined structure; to bind firmly; to flow apart. Humours and members form one animal through soul, then disperse when that principle departs. References: </w:t>
      </w:r>
      <w:hyperlink w:anchor="passage-vi-8-5">
        <w:r>
          <w:rPr>
            <w:color w:val="000000"/>
          </w:rPr>
          <w:t xml:space="preserve">VI.8.5</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493" w:name="latin-record-0252"/>
      <w:bookmarkEnd w:id="493"/>
      <w:r>
        <w:rPr>
          <w:b/>
          <w:i w:val="0"/>
        </w:rPr>
        <w:t>compago / resolvere</w:t>
      </w:r>
      <w:r>
        <w:rPr>
          <w:b/>
          <w:i w:val="0"/>
        </w:rPr>
        <w:t>.</w:t>
      </w:r>
      <w:r>
        <w:rPr>
          <w:b w:val="0"/>
          <w:i w:val="0"/>
        </w:rPr>
        <w:t xml:space="preserve"> Printed forms: </w:t>
      </w:r>
      <w:r>
        <w:rPr>
          <w:b w:val="0"/>
          <w:i/>
        </w:rPr>
        <w:t>compago</w:t>
      </w:r>
      <w:r>
        <w:rPr>
          <w:b w:val="0"/>
          <w:i w:val="0"/>
        </w:rPr>
        <w:t xml:space="preserve">; </w:t>
      </w:r>
      <w:r>
        <w:rPr>
          <w:b w:val="0"/>
          <w:i/>
        </w:rPr>
        <w:t>resolvitur</w:t>
      </w:r>
      <w:r>
        <w:rPr>
          <w:b w:val="0"/>
          <w:i w:val="0"/>
        </w:rPr>
        <w:t>.</w:t>
      </w:r>
    </w:p>
    <w:p>
      <w:pPr>
        <w:widowControl/>
      </w:pPr>
      <w:r>
        <w:rPr>
          <w:b w:val="0"/>
          <w:i w:val="0"/>
        </w:rPr>
        <w:t xml:space="preserve">An organized bodily framework and its dissolution. The original low animal soul is said to perish when its assigned bodily organization dissolves.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494" w:name="latin-record-0253"/>
      <w:bookmarkEnd w:id="494"/>
      <w:r>
        <w:rPr>
          <w:b/>
          <w:i w:val="0"/>
        </w:rPr>
        <w:t>comparare</w:t>
      </w:r>
      <w:r>
        <w:rPr>
          <w:b/>
          <w:i w:val="0"/>
        </w:rPr>
        <w:t>.</w:t>
      </w:r>
      <w:r>
        <w:rPr>
          <w:b w:val="0"/>
          <w:i w:val="0"/>
        </w:rPr>
        <w:t xml:space="preserve"> Printed forms: </w:t>
      </w:r>
      <w:r>
        <w:rPr>
          <w:b w:val="0"/>
          <w:i/>
        </w:rPr>
        <w:t>comparabit</w:t>
      </w:r>
      <w:r>
        <w:rPr>
          <w:b w:val="0"/>
          <w:i w:val="0"/>
        </w:rPr>
        <w:t xml:space="preserve">; </w:t>
      </w:r>
      <w:r>
        <w:rPr>
          <w:b w:val="0"/>
          <w:i/>
        </w:rPr>
        <w:t>comparare</w:t>
      </w:r>
      <w:r>
        <w:rPr>
          <w:b w:val="0"/>
          <w:i w:val="0"/>
        </w:rPr>
        <w:t xml:space="preserve">; </w:t>
      </w:r>
      <w:r>
        <w:rPr>
          <w:b w:val="0"/>
          <w:i/>
        </w:rPr>
        <w:t>comparat</w:t>
      </w:r>
      <w:r>
        <w:rPr>
          <w:b w:val="0"/>
          <w:i w:val="0"/>
        </w:rPr>
        <w:t xml:space="preserve">; </w:t>
      </w:r>
      <w:r>
        <w:rPr>
          <w:b w:val="0"/>
          <w:i/>
        </w:rPr>
        <w:t>comparationis</w:t>
      </w:r>
      <w:r>
        <w:rPr>
          <w:b w:val="0"/>
          <w:i w:val="0"/>
        </w:rPr>
        <w:t xml:space="preserve">; </w:t>
      </w:r>
      <w:r>
        <w:rPr>
          <w:b w:val="0"/>
          <w:i/>
        </w:rPr>
        <w:t>comparatura</w:t>
      </w:r>
      <w:r>
        <w:rPr>
          <w:b w:val="0"/>
          <w:i w:val="0"/>
        </w:rPr>
        <w:t xml:space="preserve">; </w:t>
      </w:r>
      <w:r>
        <w:rPr>
          <w:b w:val="0"/>
          <w:i/>
        </w:rPr>
        <w:t>comparet</w:t>
      </w:r>
      <w:r>
        <w:rPr>
          <w:b w:val="0"/>
          <w:i w:val="0"/>
        </w:rPr>
        <w:t>.</w:t>
      </w:r>
    </w:p>
    <w:p>
      <w:pPr>
        <w:widowControl/>
      </w:pPr>
      <w:r>
        <w:rPr>
          <w:b w:val="0"/>
          <w:i w:val="0"/>
        </w:rPr>
        <w:t xml:space="preserve">To compare several contents with one another. A power must apprehend both objects to judge their difference; isolated reception by two powers is insufficient.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495" w:name="latin-record-0254"/>
      <w:bookmarkEnd w:id="495"/>
      <w:r>
        <w:rPr>
          <w:b/>
          <w:i w:val="0"/>
        </w:rPr>
        <w:t>comparare / referre</w:t>
      </w:r>
      <w:r>
        <w:rPr>
          <w:b/>
          <w:i w:val="0"/>
        </w:rPr>
        <w:t>.</w:t>
      </w:r>
      <w:r>
        <w:rPr>
          <w:b w:val="0"/>
          <w:i w:val="0"/>
        </w:rPr>
        <w:t xml:space="preserve"> Printed forms: </w:t>
      </w:r>
      <w:r>
        <w:rPr>
          <w:b w:val="0"/>
          <w:i/>
        </w:rPr>
        <w:t>adaequatur</w:t>
      </w:r>
      <w:r>
        <w:rPr>
          <w:b w:val="0"/>
          <w:i w:val="0"/>
        </w:rPr>
        <w:t xml:space="preserve">; </w:t>
      </w:r>
      <w:r>
        <w:rPr>
          <w:b w:val="0"/>
          <w:i/>
        </w:rPr>
        <w:t>comparat</w:t>
      </w:r>
      <w:r>
        <w:rPr>
          <w:b w:val="0"/>
          <w:i w:val="0"/>
        </w:rPr>
        <w:t xml:space="preserve">; </w:t>
      </w:r>
      <w:r>
        <w:rPr>
          <w:b w:val="0"/>
          <w:i/>
        </w:rPr>
        <w:t>refert</w:t>
      </w:r>
      <w:r>
        <w:rPr>
          <w:b w:val="0"/>
          <w:i w:val="0"/>
        </w:rPr>
        <w:t>.</w:t>
      </w:r>
    </w:p>
    <w:p>
      <w:pPr>
        <w:widowControl/>
      </w:pPr>
      <w:r>
        <w:rPr>
          <w:b w:val="0"/>
          <w:i w:val="0"/>
        </w:rPr>
        <w:t xml:space="preserve">Comparing, relating and matching, as intellectual rather than dimensional operations. Whole and parts must be available to the same knower, whose correspondence to large and small objects is not equality of bulk. References: </w:t>
      </w:r>
      <w:hyperlink w:anchor="passage-viii-6-1">
        <w:r>
          <w:rPr>
            <w:color w:val="000000"/>
          </w:rPr>
          <w:t xml:space="preserve">VIII.6.1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496" w:name="latin-record-0255"/>
      <w:bookmarkEnd w:id="496"/>
      <w:r>
        <w:rPr>
          <w:b/>
          <w:i w:val="0"/>
        </w:rPr>
        <w:t>comparatio</w:t>
      </w:r>
      <w:r>
        <w:rPr>
          <w:b/>
          <w:i w:val="0"/>
        </w:rPr>
        <w:t>.</w:t>
      </w:r>
      <w:r>
        <w:rPr>
          <w:b w:val="0"/>
          <w:i w:val="0"/>
        </w:rPr>
        <w:t xml:space="preserve"> Printed forms: </w:t>
      </w:r>
      <w:r>
        <w:rPr>
          <w:b w:val="0"/>
          <w:i/>
        </w:rPr>
        <w:t>comparatio</w:t>
      </w:r>
      <w:r>
        <w:rPr>
          <w:b w:val="0"/>
          <w:i w:val="0"/>
        </w:rPr>
        <w:t>.</w:t>
      </w:r>
    </w:p>
    <w:p>
      <w:pPr>
        <w:widowControl/>
      </w:pPr>
      <w:r>
        <w:rPr>
          <w:b w:val="0"/>
          <w:i w:val="0"/>
        </w:rPr>
        <w:t xml:space="preserve">A ratio or relation between quantities. Two to four and four to eight illustrate an immutable proportional truth distinct from the addition example. References: </w:t>
      </w:r>
      <w:hyperlink w:anchor="passage-v-15-14">
        <w:r>
          <w:rPr>
            <w:color w:val="000000"/>
          </w:rPr>
          <w:t xml:space="preserve">V.15.14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497" w:name="latin-record-0256"/>
      <w:bookmarkEnd w:id="497"/>
      <w:r>
        <w:rPr>
          <w:b/>
          <w:i w:val="0"/>
        </w:rPr>
        <w:t>compati / consonare / concurrere</w:t>
      </w:r>
      <w:r>
        <w:rPr>
          <w:b/>
          <w:i w:val="0"/>
        </w:rPr>
        <w:t>.</w:t>
      </w:r>
      <w:r>
        <w:rPr>
          <w:b w:val="0"/>
          <w:i w:val="0"/>
        </w:rPr>
        <w:t xml:space="preserve"> Printed forms: </w:t>
      </w:r>
      <w:r>
        <w:rPr>
          <w:b w:val="0"/>
          <w:i/>
        </w:rPr>
        <w:t>compatiantur</w:t>
      </w:r>
      <w:r>
        <w:rPr>
          <w:b w:val="0"/>
          <w:i w:val="0"/>
        </w:rPr>
        <w:t xml:space="preserve">; </w:t>
      </w:r>
      <w:r>
        <w:rPr>
          <w:b w:val="0"/>
          <w:i/>
        </w:rPr>
        <w:t>compatiatur</w:t>
      </w:r>
      <w:r>
        <w:rPr>
          <w:b w:val="0"/>
          <w:i w:val="0"/>
        </w:rPr>
        <w:t xml:space="preserve">; </w:t>
      </w:r>
      <w:r>
        <w:rPr>
          <w:b w:val="0"/>
          <w:i/>
        </w:rPr>
        <w:t>concurrant</w:t>
      </w:r>
      <w:r>
        <w:rPr>
          <w:b w:val="0"/>
          <w:i w:val="0"/>
        </w:rPr>
        <w:t xml:space="preserve">; </w:t>
      </w:r>
      <w:r>
        <w:rPr>
          <w:b w:val="0"/>
          <w:i/>
        </w:rPr>
        <w:t>consonet</w:t>
      </w:r>
      <w:r>
        <w:rPr>
          <w:b w:val="0"/>
          <w:i w:val="0"/>
        </w:rPr>
        <w:t>.</w:t>
      </w:r>
    </w:p>
    <w:p>
      <w:pPr>
        <w:widowControl/>
      </w:pPr>
      <w:r>
        <w:rPr>
          <w:b w:val="0"/>
          <w:i w:val="0"/>
        </w:rPr>
        <w:t xml:space="preserve">To suffer together, accord and act in concert. This positive language of concord describes coordinated soul, without identifying its substance with a humoral harmony. References: </w:t>
      </w:r>
      <w:hyperlink w:anchor="passage-vii-5-3">
        <w:r>
          <w:rPr>
            <w:color w:val="000000"/>
          </w:rPr>
          <w:t xml:space="preserve">VII.5.3</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498" w:name="latin-record-0257"/>
      <w:bookmarkEnd w:id="498"/>
      <w:r>
        <w:rPr>
          <w:b/>
          <w:i w:val="0"/>
        </w:rPr>
        <w:t>complexio</w:t>
      </w:r>
      <w:r>
        <w:rPr>
          <w:b/>
          <w:i w:val="0"/>
        </w:rPr>
        <w:t>.</w:t>
      </w:r>
      <w:r>
        <w:rPr>
          <w:b w:val="0"/>
          <w:i w:val="0"/>
        </w:rPr>
        <w:t xml:space="preserve"> Printed forms: </w:t>
      </w:r>
      <w:r>
        <w:rPr>
          <w:b w:val="0"/>
          <w:i/>
        </w:rPr>
        <w:t>complexio</w:t>
      </w:r>
      <w:r>
        <w:rPr>
          <w:b w:val="0"/>
          <w:i w:val="0"/>
        </w:rPr>
        <w:t xml:space="preserve">; </w:t>
      </w:r>
      <w:r>
        <w:rPr>
          <w:b w:val="0"/>
          <w:i/>
        </w:rPr>
        <w:t>complexionem</w:t>
      </w:r>
      <w:r>
        <w:rPr>
          <w:b w:val="0"/>
          <w:i w:val="0"/>
        </w:rPr>
        <w:t xml:space="preserve">; </w:t>
      </w:r>
      <w:r>
        <w:rPr>
          <w:b w:val="0"/>
          <w:i/>
        </w:rPr>
        <w:t>complexionis</w:t>
      </w:r>
      <w:r>
        <w:rPr>
          <w:b w:val="0"/>
          <w:i w:val="0"/>
        </w:rPr>
        <w:t>.</w:t>
      </w:r>
    </w:p>
    <w:p>
      <w:pPr>
        <w:widowControl/>
      </w:pPr>
      <w:r>
        <w:rPr>
          <w:b w:val="0"/>
          <w:i w:val="0"/>
        </w:rPr>
        <w:t xml:space="preserve">Bodily constitution produced from interacting qualities. Ficino distinguishes it from a simple quality, its dependent form, and the soul that orders its operations. References: </w:t>
      </w:r>
      <w:hyperlink w:anchor="passage-vii-7-1">
        <w:r>
          <w:rPr>
            <w:color w:val="000000"/>
          </w:rPr>
          <w:t xml:space="preserve">VII.7.1</w:t>
        </w:r>
      </w:hyperlink>
      <w:r>
        <w:rPr>
          <w:b w:val="0"/>
          <w:i w:val="0"/>
        </w:rPr>
        <w:t xml:space="preserve">, </w:t>
      </w:r>
      <w:hyperlink w:anchor="passage-vii-8-1">
        <w:r>
          <w:rPr>
            <w:color w:val="000000"/>
          </w:rPr>
          <w:t xml:space="preserve">VII.8.1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499" w:name="latin-record-0258"/>
      <w:bookmarkEnd w:id="499"/>
      <w:r>
        <w:rPr>
          <w:b/>
          <w:i w:val="0"/>
        </w:rPr>
        <w:t>complexio calida</w:t>
      </w:r>
      <w:r>
        <w:rPr>
          <w:b/>
          <w:i w:val="0"/>
        </w:rPr>
        <w:t>.</w:t>
      </w:r>
      <w:r>
        <w:rPr>
          <w:b w:val="0"/>
          <w:i w:val="0"/>
        </w:rPr>
        <w:t xml:space="preserve"> Printed forms: </w:t>
      </w:r>
      <w:r>
        <w:rPr>
          <w:b w:val="0"/>
          <w:i/>
        </w:rPr>
        <w:t>complexio calida</w:t>
      </w:r>
      <w:r>
        <w:rPr>
          <w:b w:val="0"/>
          <w:i w:val="0"/>
        </w:rPr>
        <w:t>.</w:t>
      </w:r>
    </w:p>
    <w:p>
      <w:pPr>
        <w:widowControl/>
      </w:pPr>
      <w:r>
        <w:rPr>
          <w:b w:val="0"/>
          <w:i w:val="0"/>
        </w:rPr>
        <w:t xml:space="preserve">A warm bodily constitution or temperament. This describes the second reported account more precisely than mere temperature and is not skin complexion. References: </w:t>
      </w:r>
      <w:hyperlink w:anchor="passage-vi-1-3">
        <w:r>
          <w:rPr>
            <w:color w:val="000000"/>
          </w:rPr>
          <w:t xml:space="preserve">VI.1.3</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500" w:name="latin-record-0259"/>
      <w:bookmarkEnd w:id="500"/>
      <w:r>
        <w:rPr>
          <w:b/>
          <w:i w:val="0"/>
        </w:rPr>
        <w:t>complexio humorum</w:t>
      </w:r>
      <w:r>
        <w:rPr>
          <w:b/>
          <w:i w:val="0"/>
        </w:rPr>
        <w:t>.</w:t>
      </w:r>
      <w:r>
        <w:rPr>
          <w:b w:val="0"/>
          <w:i w:val="0"/>
        </w:rPr>
        <w:t xml:space="preserve"> Printed forms: </w:t>
      </w:r>
      <w:r>
        <w:rPr>
          <w:b w:val="0"/>
          <w:i/>
        </w:rPr>
        <w:t>complexio aliqua humorum atque membrorum</w:t>
      </w:r>
      <w:r>
        <w:rPr>
          <w:b w:val="0"/>
          <w:i w:val="0"/>
        </w:rPr>
        <w:t>.</w:t>
      </w:r>
    </w:p>
    <w:p>
      <w:pPr>
        <w:widowControl/>
      </w:pPr>
      <w:r>
        <w:rPr>
          <w:b w:val="0"/>
          <w:i w:val="0"/>
        </w:rPr>
        <w:t xml:space="preserve">A temperament of humours and members. The final reductio extends from a literal soul-body to the subtler theory that soul is a bodily quality. References: </w:t>
      </w:r>
      <w:hyperlink w:anchor="passage-vi-13-8">
        <w:r>
          <w:rPr>
            <w:color w:val="000000"/>
          </w:rPr>
          <w:t xml:space="preserve">VI.13.8</w:t>
        </w:r>
      </w:hyperlink>
      <w:r>
        <w:rPr>
          <w:b w:val="0"/>
          <w:i w:val="0"/>
        </w:rPr>
        <w:t xml:space="preserve">. See </w:t>
      </w:r>
      <w:hyperlink w:anchor="temperament-flux-and-stable-ruler">
        <w:r>
          <w:rPr>
            <w:color w:val="000000"/>
          </w:rPr>
          <w:t xml:space="preserve">Temperament, flux and the stable ruler</w:t>
        </w:r>
      </w:hyperlink>
      <w:r>
        <w:rPr>
          <w:b w:val="0"/>
          <w:i w:val="0"/>
        </w:rPr>
        <w:t>.</w:t>
      </w:r>
    </w:p>
    <w:p>
      <w:pPr>
        <w:keepNext/>
        <w:widowControl/>
      </w:pPr>
      <w:bookmarkStart w:id="501" w:name="latin-record-0260"/>
      <w:bookmarkEnd w:id="501"/>
      <w:r>
        <w:rPr>
          <w:b/>
          <w:i w:val="0"/>
        </w:rPr>
        <w:t>componere</w:t>
      </w:r>
      <w:r>
        <w:rPr>
          <w:b/>
          <w:i w:val="0"/>
        </w:rPr>
        <w:t>.</w:t>
      </w:r>
      <w:r>
        <w:rPr>
          <w:b w:val="0"/>
          <w:i w:val="0"/>
        </w:rPr>
        <w:t xml:space="preserve"> Printed forms: </w:t>
      </w:r>
      <w:r>
        <w:rPr>
          <w:b w:val="0"/>
          <w:i/>
        </w:rPr>
        <w:t>componant</w:t>
      </w:r>
      <w:r>
        <w:rPr>
          <w:b w:val="0"/>
          <w:i w:val="0"/>
        </w:rPr>
        <w:t xml:space="preserve">; </w:t>
      </w:r>
      <w:r>
        <w:rPr>
          <w:b w:val="0"/>
          <w:i/>
        </w:rPr>
        <w:t>componatur</w:t>
      </w:r>
      <w:r>
        <w:rPr>
          <w:b w:val="0"/>
          <w:i w:val="0"/>
        </w:rPr>
        <w:t xml:space="preserve">; </w:t>
      </w:r>
      <w:r>
        <w:rPr>
          <w:b w:val="0"/>
          <w:i/>
        </w:rPr>
        <w:t>composita</w:t>
      </w:r>
      <w:r>
        <w:rPr>
          <w:b w:val="0"/>
          <w:i w:val="0"/>
        </w:rPr>
        <w:t>.</w:t>
      </w:r>
    </w:p>
    <w:p>
      <w:pPr>
        <w:widowControl/>
      </w:pPr>
      <w:r>
        <w:rPr>
          <w:b w:val="0"/>
          <w:i w:val="0"/>
        </w:rPr>
        <w:t xml:space="preserve">To compose, with active and passive constructions distinguished. The retained active componant asks how individual powers compose the soul; later passive readings ask how they are composed. References: </w:t>
      </w:r>
      <w:hyperlink w:anchor="passage-vii-12-1">
        <w:r>
          <w:rPr>
            <w:color w:val="000000"/>
          </w:rPr>
          <w:t xml:space="preserve">VII.12.1</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502" w:name="latin-record-0261"/>
      <w:bookmarkEnd w:id="502"/>
      <w:r>
        <w:rPr>
          <w:b/>
          <w:i w:val="0"/>
        </w:rPr>
        <w:t>componere / compositum</w:t>
      </w:r>
      <w:r>
        <w:rPr>
          <w:b/>
          <w:i w:val="0"/>
        </w:rPr>
        <w:t>.</w:t>
      </w:r>
      <w:r>
        <w:rPr>
          <w:b w:val="0"/>
          <w:i w:val="0"/>
        </w:rPr>
        <w:t xml:space="preserve"> Printed forms: </w:t>
      </w:r>
      <w:r>
        <w:rPr>
          <w:b w:val="0"/>
          <w:i/>
        </w:rPr>
        <w:t>componitur</w:t>
      </w:r>
      <w:r>
        <w:rPr>
          <w:b w:val="0"/>
          <w:i w:val="0"/>
        </w:rPr>
        <w:t xml:space="preserve">; </w:t>
      </w:r>
      <w:r>
        <w:rPr>
          <w:b w:val="0"/>
          <w:i/>
        </w:rPr>
        <w:t>componuntur</w:t>
      </w:r>
      <w:r>
        <w:rPr>
          <w:b w:val="0"/>
          <w:i w:val="0"/>
        </w:rPr>
        <w:t xml:space="preserve">; </w:t>
      </w:r>
      <w:r>
        <w:rPr>
          <w:b w:val="0"/>
          <w:i/>
        </w:rPr>
        <w:t>composita</w:t>
      </w:r>
      <w:r>
        <w:rPr>
          <w:b w:val="0"/>
          <w:i w:val="0"/>
        </w:rPr>
        <w:t xml:space="preserve">; </w:t>
      </w:r>
      <w:r>
        <w:rPr>
          <w:b w:val="0"/>
          <w:i/>
        </w:rPr>
        <w:t>compositam</w:t>
      </w:r>
      <w:r>
        <w:rPr>
          <w:b w:val="0"/>
          <w:i w:val="0"/>
        </w:rPr>
        <w:t xml:space="preserve">; </w:t>
      </w:r>
      <w:r>
        <w:rPr>
          <w:b w:val="0"/>
          <w:i/>
        </w:rPr>
        <w:t>compositi</w:t>
      </w:r>
      <w:r>
        <w:rPr>
          <w:b w:val="0"/>
          <w:i w:val="0"/>
        </w:rPr>
        <w:t xml:space="preserve">; </w:t>
      </w:r>
      <w:r>
        <w:rPr>
          <w:b w:val="0"/>
          <w:i/>
        </w:rPr>
        <w:t>compositis</w:t>
      </w:r>
      <w:r>
        <w:rPr>
          <w:b w:val="0"/>
          <w:i w:val="0"/>
        </w:rPr>
        <w:t xml:space="preserve">; </w:t>
      </w:r>
      <w:r>
        <w:rPr>
          <w:b w:val="0"/>
          <w:i/>
        </w:rPr>
        <w:t>compositum</w:t>
      </w:r>
      <w:r>
        <w:rPr>
          <w:b w:val="0"/>
          <w:i w:val="0"/>
        </w:rPr>
        <w:t>.</w:t>
      </w:r>
    </w:p>
    <w:p>
      <w:pPr>
        <w:widowControl/>
      </w:pPr>
      <w:r>
        <w:rPr>
          <w:b w:val="0"/>
          <w:i w:val="0"/>
        </w:rPr>
        <w:t xml:space="preserve">To compose or a composite constituted from distinguishable principles. Bodily matter/form composition differs from the analogy of created essence receiving being; the latter does not put bodily parts in soul. References: </w:t>
      </w:r>
      <w:hyperlink w:anchor="passage-v-8-2">
        <w:r>
          <w:rPr>
            <w:color w:val="000000"/>
          </w:rPr>
          <w:t xml:space="preserve">V.8.2</w:t>
        </w:r>
      </w:hyperlink>
      <w:r>
        <w:rPr>
          <w:b w:val="0"/>
          <w:i w:val="0"/>
        </w:rPr>
        <w:t xml:space="preserve">, </w:t>
      </w:r>
      <w:hyperlink w:anchor="passage-v-9-2">
        <w:r>
          <w:rPr>
            <w:color w:val="000000"/>
          </w:rPr>
          <w:t xml:space="preserve">V.9.2</w:t>
        </w:r>
      </w:hyperlink>
      <w:r>
        <w:rPr>
          <w:b w:val="0"/>
          <w:i w:val="0"/>
        </w:rPr>
        <w:t xml:space="preserve">, </w:t>
      </w:r>
      <w:hyperlink w:anchor="passage-v-11-1">
        <w:r>
          <w:rPr>
            <w:color w:val="000000"/>
          </w:rPr>
          <w:t xml:space="preserve">V.11.1</w:t>
        </w:r>
      </w:hyperlink>
      <w:r>
        <w:rPr>
          <w:b w:val="0"/>
          <w:i w:val="0"/>
        </w:rPr>
        <w:t xml:space="preserve">, </w:t>
      </w:r>
      <w:hyperlink w:anchor="passage-v-12-2">
        <w:r>
          <w:rPr>
            <w:color w:val="000000"/>
          </w:rPr>
          <w:t xml:space="preserve">V.12.2</w:t>
        </w:r>
      </w:hyperlink>
      <w:r>
        <w:rPr>
          <w:b w:val="0"/>
          <w:i w:val="0"/>
        </w:rPr>
        <w:t xml:space="preserve">, </w:t>
      </w:r>
      <w:hyperlink w:anchor="passage-v-12-5">
        <w:r>
          <w:rPr>
            <w:color w:val="000000"/>
          </w:rPr>
          <w:t xml:space="preserve">V.12.5</w:t>
        </w:r>
      </w:hyperlink>
      <w:r>
        <w:rPr>
          <w:b w:val="0"/>
          <w:i w:val="0"/>
        </w:rPr>
        <w:t xml:space="preserve">, </w:t>
      </w:r>
      <w:hyperlink w:anchor="passage-v-13-7">
        <w:r>
          <w:rPr>
            <w:color w:val="000000"/>
          </w:rPr>
          <w:t xml:space="preserve">V.13.7</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503" w:name="latin-record-0262"/>
      <w:bookmarkEnd w:id="503"/>
      <w:r>
        <w:rPr>
          <w:b/>
          <w:i w:val="0"/>
        </w:rPr>
        <w:t>componere; constituere</w:t>
      </w:r>
      <w:r>
        <w:rPr>
          <w:b/>
          <w:i w:val="0"/>
        </w:rPr>
        <w:t>.</w:t>
      </w:r>
      <w:r>
        <w:rPr>
          <w:b w:val="0"/>
          <w:i w:val="0"/>
        </w:rPr>
        <w:t xml:space="preserve"> Printed forms: </w:t>
      </w:r>
      <w:r>
        <w:rPr>
          <w:b w:val="0"/>
          <w:i/>
        </w:rPr>
        <w:t>componi</w:t>
      </w:r>
      <w:r>
        <w:rPr>
          <w:b w:val="0"/>
          <w:i w:val="0"/>
        </w:rPr>
        <w:t xml:space="preserve">; </w:t>
      </w:r>
      <w:r>
        <w:rPr>
          <w:b w:val="0"/>
          <w:i/>
        </w:rPr>
        <w:t>componitur</w:t>
      </w:r>
      <w:r>
        <w:rPr>
          <w:b w:val="0"/>
          <w:i w:val="0"/>
        </w:rPr>
        <w:t xml:space="preserve">; </w:t>
      </w:r>
      <w:r>
        <w:rPr>
          <w:b w:val="0"/>
          <w:i/>
        </w:rPr>
        <w:t>composita</w:t>
      </w:r>
      <w:r>
        <w:rPr>
          <w:b w:val="0"/>
          <w:i w:val="0"/>
        </w:rPr>
        <w:t xml:space="preserve">; </w:t>
      </w:r>
      <w:r>
        <w:rPr>
          <w:b w:val="0"/>
          <w:i/>
        </w:rPr>
        <w:t>compositi</w:t>
      </w:r>
      <w:r>
        <w:rPr>
          <w:b w:val="0"/>
          <w:i w:val="0"/>
        </w:rPr>
        <w:t xml:space="preserve">; </w:t>
      </w:r>
      <w:r>
        <w:rPr>
          <w:b w:val="0"/>
          <w:i/>
        </w:rPr>
        <w:t>compositis</w:t>
      </w:r>
      <w:r>
        <w:rPr>
          <w:b w:val="0"/>
          <w:i w:val="0"/>
        </w:rPr>
        <w:t xml:space="preserve">; </w:t>
      </w:r>
      <w:r>
        <w:rPr>
          <w:b w:val="0"/>
          <w:i/>
        </w:rPr>
        <w:t>compositum</w:t>
      </w:r>
      <w:r>
        <w:rPr>
          <w:b w:val="0"/>
          <w:i w:val="0"/>
        </w:rPr>
        <w:t xml:space="preserve">; </w:t>
      </w:r>
      <w:r>
        <w:rPr>
          <w:b w:val="0"/>
          <w:i/>
        </w:rPr>
        <w:t>constitutum</w:t>
      </w:r>
      <w:r>
        <w:rPr>
          <w:b w:val="0"/>
          <w:i w:val="0"/>
        </w:rPr>
        <w:t xml:space="preserve">; </w:t>
      </w:r>
      <w:r>
        <w:rPr>
          <w:b w:val="0"/>
          <w:i/>
        </w:rPr>
        <w:t>constitutus</w:t>
      </w:r>
      <w:r>
        <w:rPr>
          <w:b w:val="0"/>
          <w:i w:val="0"/>
        </w:rPr>
        <w:t>.</w:t>
      </w:r>
    </w:p>
    <w:p>
      <w:pPr>
        <w:widowControl/>
      </w:pPr>
      <w:r>
        <w:rPr>
          <w:b w:val="0"/>
          <w:i w:val="0"/>
        </w:rPr>
        <w:t xml:space="preserve">To compose or constitute, and what is composed or constituted. A living composite, its elemental constituents and a hypothesis posed as a whole’s integrity receive distinct analyses; composed does not itself mean alive. References: </w:t>
      </w:r>
      <w:hyperlink w:anchor="passage-vi-2-4">
        <w:r>
          <w:rPr>
            <w:color w:val="000000"/>
          </w:rPr>
          <w:t xml:space="preserve">VI.2.4</w:t>
        </w:r>
      </w:hyperlink>
      <w:r>
        <w:rPr>
          <w:b w:val="0"/>
          <w:i w:val="0"/>
        </w:rPr>
        <w:t xml:space="preserve">, </w:t>
      </w:r>
      <w:hyperlink w:anchor="passage-vi-2-10">
        <w:r>
          <w:rPr>
            <w:color w:val="000000"/>
          </w:rPr>
          <w:t xml:space="preserve">VI.2.10</w:t>
        </w:r>
      </w:hyperlink>
      <w:r>
        <w:rPr>
          <w:b w:val="0"/>
          <w:i w:val="0"/>
        </w:rPr>
        <w:t xml:space="preserve">, </w:t>
      </w:r>
      <w:hyperlink w:anchor="passage-vi-7-1">
        <w:r>
          <w:rPr>
            <w:color w:val="000000"/>
          </w:rPr>
          <w:t xml:space="preserve">VI.7.1</w:t>
        </w:r>
      </w:hyperlink>
      <w:r>
        <w:rPr>
          <w:b w:val="0"/>
          <w:i w:val="0"/>
        </w:rPr>
        <w:t xml:space="preserve">, </w:t>
      </w:r>
      <w:hyperlink w:anchor="passage-vi-11-1">
        <w:r>
          <w:rPr>
            <w:color w:val="000000"/>
          </w:rPr>
          <w:t xml:space="preserve">VI.11.1</w:t>
        </w:r>
      </w:hyperlink>
      <w:r>
        <w:rPr>
          <w:b w:val="0"/>
          <w:i w:val="0"/>
        </w:rPr>
        <w:t xml:space="preserve">, </w:t>
      </w:r>
      <w:hyperlink w:anchor="passage-vi-12-9">
        <w:r>
          <w:rPr>
            <w:color w:val="000000"/>
          </w:rPr>
          <w:t xml:space="preserve">VI.12.9</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504" w:name="latin-record-0263"/>
      <w:bookmarkEnd w:id="504"/>
      <w:r>
        <w:rPr>
          <w:b/>
          <w:i w:val="0"/>
        </w:rPr>
        <w:t>compos; ferme</w:t>
      </w:r>
      <w:r>
        <w:rPr>
          <w:b/>
          <w:i w:val="0"/>
        </w:rPr>
        <w:t>.</w:t>
      </w:r>
      <w:r>
        <w:rPr>
          <w:b w:val="0"/>
          <w:i w:val="0"/>
        </w:rPr>
        <w:t xml:space="preserve"> Printed forms: </w:t>
      </w:r>
      <w:r>
        <w:rPr>
          <w:b w:val="0"/>
          <w:i/>
        </w:rPr>
        <w:t>compos</w:t>
      </w:r>
      <w:r>
        <w:rPr>
          <w:b w:val="0"/>
          <w:i w:val="0"/>
        </w:rPr>
        <w:t xml:space="preserve">; </w:t>
      </w:r>
      <w:r>
        <w:rPr>
          <w:b w:val="0"/>
          <w:i/>
        </w:rPr>
        <w:t>omnes ferme effectus</w:t>
      </w:r>
      <w:r>
        <w:rPr>
          <w:b w:val="0"/>
          <w:i w:val="0"/>
        </w:rPr>
        <w:t>.</w:t>
      </w:r>
    </w:p>
    <w:p>
      <w:pPr>
        <w:widowControl/>
      </w:pPr>
      <w:r>
        <w:rPr>
          <w:b w:val="0"/>
          <w:i w:val="0"/>
        </w:rPr>
        <w:t xml:space="preserve">Compos means having command over or capacity for; ferme means almost. In omnes ferme effectus, omnes supplies all and effectus supplies effects, yielding almost all effects. The final rhetoric grants wide opposed powers but its ferme qualification prevents an unlimited claim of psychic omnipotence.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505" w:name="latin-record-0264"/>
      <w:bookmarkEnd w:id="505"/>
      <w:r>
        <w:rPr>
          <w:b/>
          <w:i w:val="0"/>
        </w:rPr>
        <w:t>compositio</w:t>
      </w:r>
      <w:r>
        <w:rPr>
          <w:b/>
          <w:i w:val="0"/>
        </w:rPr>
        <w:t>.</w:t>
      </w:r>
      <w:r>
        <w:rPr>
          <w:b w:val="0"/>
          <w:i w:val="0"/>
        </w:rPr>
        <w:t xml:space="preserve"> Printed forms: </w:t>
      </w:r>
      <w:r>
        <w:rPr>
          <w:b w:val="0"/>
          <w:i/>
        </w:rPr>
        <w:t>Compositio</w:t>
      </w:r>
      <w:r>
        <w:rPr>
          <w:b w:val="0"/>
          <w:i w:val="0"/>
        </w:rPr>
        <w:t xml:space="preserve">; </w:t>
      </w:r>
      <w:r>
        <w:rPr>
          <w:b w:val="0"/>
          <w:i/>
        </w:rPr>
        <w:t>compositio</w:t>
      </w:r>
      <w:r>
        <w:rPr>
          <w:b w:val="0"/>
          <w:i w:val="0"/>
        </w:rPr>
        <w:t xml:space="preserve">; </w:t>
      </w:r>
      <w:r>
        <w:rPr>
          <w:b w:val="0"/>
          <w:i/>
        </w:rPr>
        <w:t>compositionem</w:t>
      </w:r>
      <w:r>
        <w:rPr>
          <w:b w:val="0"/>
          <w:i w:val="0"/>
        </w:rPr>
        <w:t>.</w:t>
      </w:r>
    </w:p>
    <w:p>
      <w:pPr>
        <w:widowControl/>
      </w:pPr>
      <w:r>
        <w:rPr>
          <w:b w:val="0"/>
          <w:i w:val="0"/>
        </w:rPr>
        <w:t xml:space="preserve">Composition as the union of bodily constituents. It is the first of two interpretations of soul-as-concord rejected in chapter 12; proportion within composition is the second. References: </w:t>
      </w:r>
      <w:hyperlink w:anchor="passage-vii-12-1">
        <w:r>
          <w:rPr>
            <w:color w:val="000000"/>
          </w:rPr>
          <w:t xml:space="preserve">VII.12.1</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506" w:name="latin-record-0265"/>
      <w:bookmarkEnd w:id="506"/>
      <w:r>
        <w:rPr>
          <w:b/>
          <w:i w:val="0"/>
        </w:rPr>
        <w:t>compositio / mixtum</w:t>
      </w:r>
      <w:r>
        <w:rPr>
          <w:b/>
          <w:i w:val="0"/>
        </w:rPr>
        <w:t>.</w:t>
      </w:r>
      <w:r>
        <w:rPr>
          <w:b w:val="0"/>
          <w:i w:val="0"/>
        </w:rPr>
        <w:t xml:space="preserve"> Printed forms: </w:t>
      </w:r>
      <w:r>
        <w:rPr>
          <w:b w:val="0"/>
          <w:i/>
        </w:rPr>
        <w:t>compositionem</w:t>
      </w:r>
      <w:r>
        <w:rPr>
          <w:b w:val="0"/>
          <w:i w:val="0"/>
        </w:rPr>
        <w:t xml:space="preserve">; </w:t>
      </w:r>
      <w:r>
        <w:rPr>
          <w:b w:val="0"/>
          <w:i/>
        </w:rPr>
        <w:t>mixta</w:t>
      </w:r>
      <w:r>
        <w:rPr>
          <w:b w:val="0"/>
          <w:i w:val="0"/>
        </w:rPr>
        <w:t xml:space="preserve">; </w:t>
      </w:r>
      <w:r>
        <w:rPr>
          <w:b w:val="0"/>
          <w:i/>
        </w:rPr>
        <w:t>mixtis</w:t>
      </w:r>
      <w:r>
        <w:rPr>
          <w:b w:val="0"/>
          <w:i w:val="0"/>
        </w:rPr>
        <w:t xml:space="preserve">; </w:t>
      </w:r>
      <w:r>
        <w:rPr>
          <w:b w:val="0"/>
          <w:i/>
        </w:rPr>
        <w:t>resolutionem</w:t>
      </w:r>
      <w:r>
        <w:rPr>
          <w:b w:val="0"/>
          <w:i w:val="0"/>
        </w:rPr>
        <w:t>.</w:t>
      </w:r>
    </w:p>
    <w:p>
      <w:pPr>
        <w:widowControl/>
      </w:pPr>
      <w:r>
        <w:rPr>
          <w:b w:val="0"/>
          <w:i w:val="0"/>
        </w:rPr>
        <w:t xml:space="preserve">Composition and mixtures, paired with analysis of simple constituents. Mind sees mixtures through their principles and principles in mixtures; its operation does not reproduce their material blending. References: </w:t>
      </w:r>
      <w:hyperlink w:anchor="passage-viii-7-1">
        <w:r>
          <w:rPr>
            <w:color w:val="000000"/>
          </w:rPr>
          <w:t xml:space="preserve">VIII.7.1</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507" w:name="latin-record-0266"/>
      <w:bookmarkEnd w:id="507"/>
      <w:r>
        <w:rPr>
          <w:b/>
          <w:i w:val="0"/>
        </w:rPr>
        <w:t>compositum</w:t>
      </w:r>
      <w:r>
        <w:rPr>
          <w:b/>
          <w:i w:val="0"/>
        </w:rPr>
        <w:t>.</w:t>
      </w:r>
      <w:r>
        <w:rPr>
          <w:b w:val="0"/>
          <w:i w:val="0"/>
        </w:rPr>
        <w:t xml:space="preserve"> Printed forms: </w:t>
      </w:r>
      <w:r>
        <w:rPr>
          <w:b w:val="0"/>
          <w:i/>
        </w:rPr>
        <w:t>composita</w:t>
      </w:r>
      <w:r>
        <w:rPr>
          <w:b w:val="0"/>
          <w:i w:val="0"/>
        </w:rPr>
        <w:t xml:space="preserve">; </w:t>
      </w:r>
      <w:r>
        <w:rPr>
          <w:b w:val="0"/>
          <w:i/>
        </w:rPr>
        <w:t>compositi</w:t>
      </w:r>
      <w:r>
        <w:rPr>
          <w:b w:val="0"/>
          <w:i w:val="0"/>
        </w:rPr>
        <w:t xml:space="preserve">; </w:t>
      </w:r>
      <w:r>
        <w:rPr>
          <w:b w:val="0"/>
          <w:i/>
        </w:rPr>
        <w:t>compositis</w:t>
      </w:r>
      <w:r>
        <w:rPr>
          <w:b w:val="0"/>
          <w:i w:val="0"/>
        </w:rPr>
        <w:t xml:space="preserve">; </w:t>
      </w:r>
      <w:r>
        <w:rPr>
          <w:b w:val="0"/>
          <w:i/>
        </w:rPr>
        <w:t>compositum</w:t>
      </w:r>
      <w:r>
        <w:rPr>
          <w:b w:val="0"/>
          <w:i w:val="0"/>
        </w:rPr>
        <w:t>.</w:t>
      </w:r>
    </w:p>
    <w:p>
      <w:pPr>
        <w:widowControl/>
      </w:pPr>
      <w:r>
        <w:rPr>
          <w:b w:val="0"/>
          <w:i w:val="0"/>
        </w:rPr>
        <w:t xml:space="preserve">A whole constituted from matter and corporeal form. Its being and operation belong properly to the composite, while intellect can consider its constituents separately and so exceed that mode of operation. References: </w:t>
      </w:r>
      <w:hyperlink w:anchor="passage-viii-14-1">
        <w:r>
          <w:rPr>
            <w:color w:val="000000"/>
          </w:rPr>
          <w:t xml:space="preserve">VIII.14.1</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508" w:name="latin-record-0267"/>
      <w:bookmarkEnd w:id="508"/>
      <w:r>
        <w:rPr>
          <w:b/>
          <w:i w:val="0"/>
        </w:rPr>
        <w:t>compositum / forma communis</w:t>
      </w:r>
      <w:r>
        <w:rPr>
          <w:b/>
          <w:i w:val="0"/>
        </w:rPr>
        <w:t>.</w:t>
      </w:r>
      <w:r>
        <w:rPr>
          <w:b w:val="0"/>
          <w:i w:val="0"/>
        </w:rPr>
        <w:t xml:space="preserve"> Printed forms: </w:t>
      </w:r>
      <w:r>
        <w:rPr>
          <w:b w:val="0"/>
          <w:i/>
        </w:rPr>
        <w:t>communem partibus</w:t>
      </w:r>
      <w:r>
        <w:rPr>
          <w:b w:val="0"/>
          <w:i w:val="0"/>
        </w:rPr>
        <w:t xml:space="preserve">; </w:t>
      </w:r>
      <w:r>
        <w:rPr>
          <w:b w:val="0"/>
          <w:i/>
        </w:rPr>
        <w:t>compositi</w:t>
      </w:r>
      <w:r>
        <w:rPr>
          <w:b w:val="0"/>
          <w:i w:val="0"/>
        </w:rPr>
        <w:t xml:space="preserve">; </w:t>
      </w:r>
      <w:r>
        <w:rPr>
          <w:b w:val="0"/>
          <w:i/>
        </w:rPr>
        <w:t>formam quandam</w:t>
      </w:r>
      <w:r>
        <w:rPr>
          <w:b w:val="0"/>
          <w:i w:val="0"/>
        </w:rPr>
        <w:t>.</w:t>
      </w:r>
    </w:p>
    <w:p>
      <w:pPr>
        <w:widowControl/>
      </w:pPr>
      <w:r>
        <w:rPr>
          <w:b w:val="0"/>
          <w:i w:val="0"/>
        </w:rPr>
        <w:t xml:space="preserve">A composite and the form alleged to be common to its parts. If that form is divisible the original problem returns; if indivisible, the required nonpartitioned power is conceded. References: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509" w:name="latin-record-0268"/>
      <w:bookmarkEnd w:id="509"/>
      <w:r>
        <w:rPr>
          <w:b/>
          <w:i w:val="0"/>
        </w:rPr>
        <w:t>comprehendere</w:t>
      </w:r>
      <w:r>
        <w:rPr>
          <w:b/>
          <w:i w:val="0"/>
        </w:rPr>
        <w:t>.</w:t>
      </w:r>
      <w:r>
        <w:rPr>
          <w:b w:val="0"/>
          <w:i w:val="0"/>
        </w:rPr>
        <w:t xml:space="preserve"> Printed forms: </w:t>
      </w:r>
      <w:r>
        <w:rPr>
          <w:b w:val="0"/>
          <w:i/>
        </w:rPr>
        <w:t>comprehendens</w:t>
      </w:r>
      <w:r>
        <w:rPr>
          <w:b w:val="0"/>
          <w:i w:val="0"/>
        </w:rPr>
        <w:t xml:space="preserve">; </w:t>
      </w:r>
      <w:r>
        <w:rPr>
          <w:b w:val="0"/>
          <w:i/>
        </w:rPr>
        <w:t>comprehensa</w:t>
      </w:r>
      <w:r>
        <w:rPr>
          <w:b w:val="0"/>
          <w:i w:val="0"/>
        </w:rPr>
        <w:t xml:space="preserve">; </w:t>
      </w:r>
      <w:r>
        <w:rPr>
          <w:b w:val="0"/>
          <w:i/>
        </w:rPr>
        <w:t>continet</w:t>
      </w:r>
      <w:r>
        <w:rPr>
          <w:b w:val="0"/>
          <w:i w:val="0"/>
        </w:rPr>
        <w:t>.</w:t>
      </w:r>
    </w:p>
    <w:p>
      <w:pPr>
        <w:widowControl/>
      </w:pPr>
      <w:r>
        <w:rPr>
          <w:b w:val="0"/>
          <w:i w:val="0"/>
        </w:rPr>
        <w:t xml:space="preserve">To contain or embrace, actively rather than passively. Soul perfects and guides body; body does not enclose it as a place encloses a material occupant. References: </w:t>
      </w:r>
      <w:hyperlink w:anchor="passage-vi-6-4">
        <w:r>
          <w:rPr>
            <w:color w:val="000000"/>
          </w:rPr>
          <w:t xml:space="preserve">VI.6.4</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510" w:name="latin-record-0269"/>
      <w:bookmarkEnd w:id="510"/>
      <w:r>
        <w:rPr>
          <w:b/>
          <w:i w:val="0"/>
        </w:rPr>
        <w:t>comprimere; profundere</w:t>
      </w:r>
      <w:r>
        <w:rPr>
          <w:b/>
          <w:i w:val="0"/>
        </w:rPr>
        <w:t>.</w:t>
      </w:r>
      <w:r>
        <w:rPr>
          <w:b w:val="0"/>
          <w:i w:val="0"/>
        </w:rPr>
        <w:t xml:space="preserve"> Printed forms: </w:t>
      </w:r>
      <w:r>
        <w:rPr>
          <w:b w:val="0"/>
          <w:i/>
        </w:rPr>
        <w:t>compressa</w:t>
      </w:r>
      <w:r>
        <w:rPr>
          <w:b w:val="0"/>
          <w:i w:val="0"/>
        </w:rPr>
        <w:t xml:space="preserve">; </w:t>
      </w:r>
      <w:r>
        <w:rPr>
          <w:b w:val="0"/>
          <w:i/>
        </w:rPr>
        <w:t>profusa</w:t>
      </w:r>
      <w:r>
        <w:rPr>
          <w:b w:val="0"/>
          <w:i w:val="0"/>
        </w:rPr>
        <w:t>.</w:t>
      </w:r>
    </w:p>
    <w:p>
      <w:pPr>
        <w:widowControl/>
      </w:pPr>
      <w:r>
        <w:rPr>
          <w:b w:val="0"/>
          <w:i w:val="0"/>
        </w:rPr>
        <w:t xml:space="preserve">Compressed and poured forth. The spark is described as concentrated flame and flame as outpoured spark within the analogy. References: </w:t>
      </w:r>
      <w:hyperlink w:anchor="passage-vi-2-25">
        <w:r>
          <w:rPr>
            <w:color w:val="000000"/>
          </w:rPr>
          <w:t xml:space="preserve">VI.2.25</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511" w:name="latin-record-0270"/>
      <w:bookmarkEnd w:id="511"/>
      <w:r>
        <w:rPr>
          <w:b/>
          <w:i w:val="0"/>
        </w:rPr>
        <w:t>concedere / donare</w:t>
      </w:r>
      <w:r>
        <w:rPr>
          <w:b/>
          <w:i w:val="0"/>
        </w:rPr>
        <w:t>.</w:t>
      </w:r>
      <w:r>
        <w:rPr>
          <w:b w:val="0"/>
          <w:i w:val="0"/>
        </w:rPr>
        <w:t xml:space="preserve"> Printed forms: </w:t>
      </w:r>
      <w:r>
        <w:rPr>
          <w:b w:val="0"/>
          <w:i/>
        </w:rPr>
        <w:t>concessa</w:t>
      </w:r>
      <w:r>
        <w:rPr>
          <w:b w:val="0"/>
          <w:i w:val="0"/>
        </w:rPr>
        <w:t xml:space="preserve">; </w:t>
      </w:r>
      <w:r>
        <w:rPr>
          <w:b w:val="0"/>
          <w:i/>
        </w:rPr>
        <w:t>concessa sibi</w:t>
      </w:r>
      <w:r>
        <w:rPr>
          <w:b w:val="0"/>
          <w:i w:val="0"/>
        </w:rPr>
        <w:t xml:space="preserve">; </w:t>
      </w:r>
      <w:r>
        <w:rPr>
          <w:b w:val="0"/>
          <w:i/>
        </w:rPr>
        <w:t>donatus</w:t>
      </w:r>
      <w:r>
        <w:rPr>
          <w:b w:val="0"/>
          <w:i w:val="0"/>
        </w:rPr>
        <w:t>.</w:t>
      </w:r>
    </w:p>
    <w:p>
      <w:pPr>
        <w:widowControl/>
      </w:pPr>
      <w:r>
        <w:rPr>
          <w:b w:val="0"/>
          <w:i w:val="0"/>
        </w:rPr>
        <w:t xml:space="preserve">Granting or bestowing, the vocabulary governing the soul’s enlarged dignity. The final limitless power of living is inferred from powers of understanding and willing already granted, not claimed as efficient self-creation. References: </w:t>
      </w:r>
      <w:hyperlink w:anchor="passage-viii-16-4">
        <w:r>
          <w:rPr>
            <w:color w:val="000000"/>
          </w:rPr>
          <w:t xml:space="preserve">VIII.16.4</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512" w:name="latin-record-0271"/>
      <w:bookmarkEnd w:id="512"/>
      <w:r>
        <w:rPr>
          <w:b/>
          <w:i w:val="0"/>
        </w:rPr>
        <w:t>concentus / concinere</w:t>
      </w:r>
      <w:r>
        <w:rPr>
          <w:b/>
          <w:i w:val="0"/>
        </w:rPr>
        <w:t>.</w:t>
      </w:r>
      <w:r>
        <w:rPr>
          <w:b w:val="0"/>
          <w:i w:val="0"/>
        </w:rPr>
        <w:t xml:space="preserve"> Printed forms: </w:t>
      </w:r>
      <w:r>
        <w:rPr>
          <w:b w:val="0"/>
          <w:i/>
        </w:rPr>
        <w:t>concentu</w:t>
      </w:r>
      <w:r>
        <w:rPr>
          <w:b w:val="0"/>
          <w:i w:val="0"/>
        </w:rPr>
        <w:t xml:space="preserve">; </w:t>
      </w:r>
      <w:r>
        <w:rPr>
          <w:b w:val="0"/>
          <w:i/>
        </w:rPr>
        <w:t>concinentibus</w:t>
      </w:r>
      <w:r>
        <w:rPr>
          <w:b w:val="0"/>
          <w:i w:val="0"/>
        </w:rPr>
        <w:t xml:space="preserve">; </w:t>
      </w:r>
      <w:r>
        <w:rPr>
          <w:b w:val="0"/>
          <w:i/>
        </w:rPr>
        <w:t>concinit</w:t>
      </w:r>
      <w:r>
        <w:rPr>
          <w:b w:val="0"/>
          <w:i w:val="0"/>
        </w:rPr>
        <w:t>.</w:t>
      </w:r>
    </w:p>
    <w:p>
      <w:pPr>
        <w:widowControl/>
      </w:pPr>
      <w:r>
        <w:rPr>
          <w:b w:val="0"/>
          <w:i w:val="0"/>
        </w:rPr>
        <w:t xml:space="preserve">Concord and greater or lesser harmonizing. Degrees of musical agreement produce the reductio from more harmony to more soul and more life.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513" w:name="latin-record-0272"/>
      <w:bookmarkEnd w:id="513"/>
      <w:r>
        <w:rPr>
          <w:b/>
          <w:i w:val="0"/>
        </w:rPr>
        <w:t>conceptus / conceptio</w:t>
      </w:r>
      <w:r>
        <w:rPr>
          <w:b/>
          <w:i w:val="0"/>
        </w:rPr>
        <w:t>.</w:t>
      </w:r>
      <w:r>
        <w:rPr>
          <w:b w:val="0"/>
          <w:i w:val="0"/>
        </w:rPr>
        <w:t xml:space="preserve"> Printed forms: </w:t>
      </w:r>
      <w:r>
        <w:rPr>
          <w:b w:val="0"/>
          <w:i/>
        </w:rPr>
        <w:t>conceptio</w:t>
      </w:r>
      <w:r>
        <w:rPr>
          <w:b w:val="0"/>
          <w:i w:val="0"/>
        </w:rPr>
        <w:t xml:space="preserve">; </w:t>
      </w:r>
      <w:r>
        <w:rPr>
          <w:b w:val="0"/>
          <w:i/>
        </w:rPr>
        <w:t>conceptionisque</w:t>
      </w:r>
      <w:r>
        <w:rPr>
          <w:b w:val="0"/>
          <w:i w:val="0"/>
        </w:rPr>
        <w:t xml:space="preserve">; </w:t>
      </w:r>
      <w:r>
        <w:rPr>
          <w:b w:val="0"/>
          <w:i/>
        </w:rPr>
        <w:t>conceptus</w:t>
      </w:r>
      <w:r>
        <w:rPr>
          <w:b w:val="0"/>
          <w:i w:val="0"/>
        </w:rPr>
        <w:t>.</w:t>
      </w:r>
    </w:p>
    <w:p>
      <w:pPr>
        <w:widowControl/>
      </w:pPr>
      <w:r>
        <w:rPr>
          <w:b w:val="0"/>
          <w:i w:val="0"/>
        </w:rPr>
        <w:t xml:space="preserve">Conceived intellectual content or the act/product of conceiving it. A defining judgment counts as conception and knowledge; it cannot be explained by materially separated portions. References: </w:t>
      </w:r>
      <w:hyperlink w:anchor="passage-viii-1-1">
        <w:r>
          <w:rPr>
            <w:color w:val="000000"/>
          </w:rPr>
          <w:t xml:space="preserve">VIII.1.1</w:t>
        </w:r>
      </w:hyperlink>
      <w:r>
        <w:rPr>
          <w:b w:val="0"/>
          <w:i w:val="0"/>
        </w:rPr>
        <w:t xml:space="preserve">, </w:t>
      </w:r>
      <w:hyperlink w:anchor="passage-viii-4-1">
        <w:r>
          <w:rPr>
            <w:color w:val="000000"/>
          </w:rPr>
          <w:t xml:space="preserve">VIII.4.1</w:t>
        </w:r>
      </w:hyperlink>
      <w:r>
        <w:rPr>
          <w:b w:val="0"/>
          <w:i w:val="0"/>
        </w:rPr>
        <w:t xml:space="preserve">, </w:t>
      </w:r>
      <w:hyperlink w:anchor="passage-viii-4-8">
        <w:r>
          <w:rPr>
            <w:color w:val="000000"/>
          </w:rPr>
          <w:t xml:space="preserve">VIII.4.8</w:t>
        </w:r>
      </w:hyperlink>
      <w:r>
        <w:rPr>
          <w:b w:val="0"/>
          <w:i w:val="0"/>
        </w:rPr>
        <w:t xml:space="preserve">, </w:t>
      </w:r>
      <w:hyperlink w:anchor="passage-viii-4-13">
        <w:r>
          <w:rPr>
            <w:color w:val="000000"/>
          </w:rPr>
          <w:t xml:space="preserve">VIII.4.13</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514" w:name="latin-record-0273"/>
      <w:bookmarkEnd w:id="514"/>
      <w:r>
        <w:rPr>
          <w:b/>
          <w:i w:val="0"/>
        </w:rPr>
        <w:t>conciliare / pax</w:t>
      </w:r>
      <w:r>
        <w:rPr>
          <w:b/>
          <w:i w:val="0"/>
        </w:rPr>
        <w:t>.</w:t>
      </w:r>
      <w:r>
        <w:rPr>
          <w:b w:val="0"/>
          <w:i w:val="0"/>
        </w:rPr>
        <w:t xml:space="preserve"> Printed forms: </w:t>
      </w:r>
      <w:r>
        <w:rPr>
          <w:b w:val="0"/>
          <w:i/>
        </w:rPr>
        <w:t>conciliat</w:t>
      </w:r>
      <w:r>
        <w:rPr>
          <w:b w:val="0"/>
          <w:i w:val="0"/>
        </w:rPr>
        <w:t xml:space="preserve">; </w:t>
      </w:r>
      <w:r>
        <w:rPr>
          <w:b w:val="0"/>
          <w:i/>
        </w:rPr>
        <w:t>conciliet</w:t>
      </w:r>
      <w:r>
        <w:rPr>
          <w:b w:val="0"/>
          <w:i w:val="0"/>
        </w:rPr>
        <w:t xml:space="preserve">; </w:t>
      </w:r>
      <w:r>
        <w:rPr>
          <w:b w:val="0"/>
          <w:i/>
        </w:rPr>
        <w:t>inimica</w:t>
      </w:r>
      <w:r>
        <w:rPr>
          <w:b w:val="0"/>
          <w:i w:val="0"/>
        </w:rPr>
        <w:t xml:space="preserve">; </w:t>
      </w:r>
      <w:r>
        <w:rPr>
          <w:b w:val="0"/>
          <w:i/>
        </w:rPr>
        <w:t>pace</w:t>
      </w:r>
      <w:r>
        <w:rPr>
          <w:b w:val="0"/>
          <w:i w:val="0"/>
        </w:rPr>
        <w:t>.</w:t>
      </w:r>
    </w:p>
    <w:p>
      <w:pPr>
        <w:widowControl/>
      </w:pPr>
      <w:r>
        <w:rPr>
          <w:b w:val="0"/>
          <w:i w:val="0"/>
        </w:rPr>
        <w:t xml:space="preserve">Reconciling and peace, metaphors for the co-presence of contrary intelligible forms. Mind removes their destructive opposition in knowing without eliminating their distinction in the objects themselves. References: </w:t>
      </w:r>
      <w:hyperlink w:anchor="passage-viii-12-1">
        <w:r>
          <w:rPr>
            <w:color w:val="000000"/>
          </w:rPr>
          <w:t xml:space="preserve">VIII.12.1</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515" w:name="latin-record-0274"/>
      <w:bookmarkEnd w:id="515"/>
      <w:r>
        <w:rPr>
          <w:b/>
          <w:i w:val="0"/>
        </w:rPr>
        <w:t>concinnitas / consonantia</w:t>
      </w:r>
      <w:r>
        <w:rPr>
          <w:b/>
          <w:i w:val="0"/>
        </w:rPr>
        <w:t>.</w:t>
      </w:r>
      <w:r>
        <w:rPr>
          <w:b w:val="0"/>
          <w:i w:val="0"/>
        </w:rPr>
        <w:t xml:space="preserve"> Printed forms: </w:t>
      </w:r>
      <w:r>
        <w:rPr>
          <w:b w:val="0"/>
          <w:i/>
        </w:rPr>
        <w:t>concinnitas</w:t>
      </w:r>
      <w:r>
        <w:rPr>
          <w:b w:val="0"/>
          <w:i w:val="0"/>
        </w:rPr>
        <w:t xml:space="preserve">; </w:t>
      </w:r>
      <w:r>
        <w:rPr>
          <w:b w:val="0"/>
          <w:i/>
        </w:rPr>
        <w:t>concinnitate</w:t>
      </w:r>
      <w:r>
        <w:rPr>
          <w:b w:val="0"/>
          <w:i w:val="0"/>
        </w:rPr>
        <w:t xml:space="preserve">; </w:t>
      </w:r>
      <w:r>
        <w:rPr>
          <w:b w:val="0"/>
          <w:i/>
        </w:rPr>
        <w:t>concinnitatem</w:t>
      </w:r>
      <w:r>
        <w:rPr>
          <w:b w:val="0"/>
          <w:i w:val="0"/>
        </w:rPr>
        <w:t xml:space="preserve">; </w:t>
      </w:r>
      <w:r>
        <w:rPr>
          <w:b w:val="0"/>
          <w:i/>
        </w:rPr>
        <w:t>consonantia</w:t>
      </w:r>
      <w:r>
        <w:rPr>
          <w:b w:val="0"/>
          <w:i w:val="0"/>
        </w:rPr>
        <w:t xml:space="preserve">; </w:t>
      </w:r>
      <w:r>
        <w:rPr>
          <w:b w:val="0"/>
          <w:i/>
        </w:rPr>
        <w:t>consonantiae</w:t>
      </w:r>
      <w:r>
        <w:rPr>
          <w:b w:val="0"/>
          <w:i w:val="0"/>
        </w:rPr>
        <w:t xml:space="preserve">; </w:t>
      </w:r>
      <w:r>
        <w:rPr>
          <w:b w:val="0"/>
          <w:i/>
        </w:rPr>
        <w:t>consonantiam</w:t>
      </w:r>
      <w:r>
        <w:rPr>
          <w:b w:val="0"/>
          <w:i w:val="0"/>
        </w:rPr>
        <w:t>.</w:t>
      </w:r>
    </w:p>
    <w:p>
      <w:pPr>
        <w:widowControl/>
      </w:pPr>
      <w:r>
        <w:rPr>
          <w:b w:val="0"/>
          <w:i w:val="0"/>
        </w:rPr>
        <w:t xml:space="preserve">Fitting arrangement and concord, locally used to explain harmony. The defender qualifies the proposed soul-harmony as a specific arrangement, requiring an explanation beyond concord in general.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516" w:name="latin-record-0275"/>
      <w:bookmarkEnd w:id="516"/>
      <w:r>
        <w:rPr>
          <w:b/>
          <w:i w:val="0"/>
        </w:rPr>
        <w:t>concipere / comprehendere</w:t>
      </w:r>
      <w:r>
        <w:rPr>
          <w:b/>
          <w:i w:val="0"/>
        </w:rPr>
        <w:t>.</w:t>
      </w:r>
      <w:r>
        <w:rPr>
          <w:b w:val="0"/>
          <w:i w:val="0"/>
        </w:rPr>
        <w:t xml:space="preserve"> Printed forms: </w:t>
      </w:r>
      <w:r>
        <w:rPr>
          <w:b w:val="0"/>
          <w:i/>
        </w:rPr>
        <w:t>comprehendat</w:t>
      </w:r>
      <w:r>
        <w:rPr>
          <w:b w:val="0"/>
          <w:i w:val="0"/>
        </w:rPr>
        <w:t xml:space="preserve">; </w:t>
      </w:r>
      <w:r>
        <w:rPr>
          <w:b w:val="0"/>
          <w:i/>
        </w:rPr>
        <w:t>comprehendens</w:t>
      </w:r>
      <w:r>
        <w:rPr>
          <w:b w:val="0"/>
          <w:i w:val="0"/>
        </w:rPr>
        <w:t xml:space="preserve">; </w:t>
      </w:r>
      <w:r>
        <w:rPr>
          <w:b w:val="0"/>
          <w:i/>
        </w:rPr>
        <w:t>comprehendente</w:t>
      </w:r>
      <w:r>
        <w:rPr>
          <w:b w:val="0"/>
          <w:i w:val="0"/>
        </w:rPr>
        <w:t xml:space="preserve">; </w:t>
      </w:r>
      <w:r>
        <w:rPr>
          <w:b w:val="0"/>
          <w:i/>
        </w:rPr>
        <w:t>comprehensionem</w:t>
      </w:r>
      <w:r>
        <w:rPr>
          <w:b w:val="0"/>
          <w:i w:val="0"/>
        </w:rPr>
        <w:t xml:space="preserve">; </w:t>
      </w:r>
      <w:r>
        <w:rPr>
          <w:b w:val="0"/>
          <w:i/>
        </w:rPr>
        <w:t>concipitve</w:t>
      </w:r>
      <w:r>
        <w:rPr>
          <w:b w:val="0"/>
          <w:i w:val="0"/>
        </w:rPr>
        <w:t>.</w:t>
      </w:r>
    </w:p>
    <w:p>
      <w:pPr>
        <w:widowControl/>
      </w:pPr>
      <w:r>
        <w:rPr>
          <w:b w:val="0"/>
          <w:i w:val="0"/>
        </w:rPr>
        <w:t xml:space="preserve">To conceive or grasp; an integrated comprehension and its grasper. A divided sensory apparatus would assign a different piece of color to each part without explaining one grasp of the whole. References: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517" w:name="latin-record-0276"/>
      <w:bookmarkEnd w:id="517"/>
      <w:r>
        <w:rPr>
          <w:b/>
          <w:i w:val="0"/>
        </w:rPr>
        <w:t>concipere / excogitare</w:t>
      </w:r>
      <w:r>
        <w:rPr>
          <w:b/>
          <w:i w:val="0"/>
        </w:rPr>
        <w:t>.</w:t>
      </w:r>
      <w:r>
        <w:rPr>
          <w:b w:val="0"/>
          <w:i w:val="0"/>
        </w:rPr>
        <w:t xml:space="preserve"> Printed forms: </w:t>
      </w:r>
      <w:r>
        <w:rPr>
          <w:b w:val="0"/>
          <w:i/>
        </w:rPr>
        <w:t>concepit</w:t>
      </w:r>
      <w:r>
        <w:rPr>
          <w:b w:val="0"/>
          <w:i w:val="0"/>
        </w:rPr>
        <w:t xml:space="preserve">; </w:t>
      </w:r>
      <w:r>
        <w:rPr>
          <w:b w:val="0"/>
          <w:i/>
        </w:rPr>
        <w:t>concepta</w:t>
      </w:r>
      <w:r>
        <w:rPr>
          <w:b w:val="0"/>
          <w:i w:val="0"/>
        </w:rPr>
        <w:t xml:space="preserve">; </w:t>
      </w:r>
      <w:r>
        <w:rPr>
          <w:b w:val="0"/>
          <w:i/>
        </w:rPr>
        <w:t>conceptas</w:t>
      </w:r>
      <w:r>
        <w:rPr>
          <w:b w:val="0"/>
          <w:i w:val="0"/>
        </w:rPr>
        <w:t xml:space="preserve">; </w:t>
      </w:r>
      <w:r>
        <w:rPr>
          <w:b w:val="0"/>
          <w:i/>
        </w:rPr>
        <w:t>conciperet</w:t>
      </w:r>
      <w:r>
        <w:rPr>
          <w:b w:val="0"/>
          <w:i w:val="0"/>
        </w:rPr>
        <w:t xml:space="preserve">; </w:t>
      </w:r>
      <w:r>
        <w:rPr>
          <w:b w:val="0"/>
          <w:i/>
        </w:rPr>
        <w:t>concipiatur</w:t>
      </w:r>
      <w:r>
        <w:rPr>
          <w:b w:val="0"/>
          <w:i w:val="0"/>
        </w:rPr>
        <w:t xml:space="preserve">; </w:t>
      </w:r>
      <w:r>
        <w:rPr>
          <w:b w:val="0"/>
          <w:i/>
        </w:rPr>
        <w:t>concipit</w:t>
      </w:r>
      <w:r>
        <w:rPr>
          <w:b w:val="0"/>
          <w:i w:val="0"/>
        </w:rPr>
        <w:t xml:space="preserve">; </w:t>
      </w:r>
      <w:r>
        <w:rPr>
          <w:b w:val="0"/>
          <w:i/>
        </w:rPr>
        <w:t>excogitaret</w:t>
      </w:r>
      <w:r>
        <w:rPr>
          <w:b w:val="0"/>
          <w:i w:val="0"/>
        </w:rPr>
        <w:t xml:space="preserve">; </w:t>
      </w:r>
      <w:r>
        <w:rPr>
          <w:b w:val="0"/>
          <w:i/>
        </w:rPr>
        <w:t>excogitat</w:t>
      </w:r>
      <w:r>
        <w:rPr>
          <w:b w:val="0"/>
          <w:i w:val="0"/>
        </w:rPr>
        <w:t xml:space="preserve">; </w:t>
      </w:r>
      <w:r>
        <w:rPr>
          <w:b w:val="0"/>
          <w:i/>
        </w:rPr>
        <w:t>excogitata</w:t>
      </w:r>
      <w:r>
        <w:rPr>
          <w:b w:val="0"/>
          <w:i w:val="0"/>
        </w:rPr>
        <w:t>.</w:t>
      </w:r>
    </w:p>
    <w:p>
      <w:pPr>
        <w:widowControl/>
      </w:pPr>
      <w:r>
        <w:rPr>
          <w:b w:val="0"/>
          <w:i w:val="0"/>
        </w:rPr>
        <w:t xml:space="preserve">Conceiving or bringing an intelligible content into thought. Immediate common-nature apprehension, a proposition in a connected science and a fabricated possible object are distinct products of this activity.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3-7">
        <w:r>
          <w:rPr>
            <w:color w:val="000000"/>
          </w:rPr>
          <w:t xml:space="preserve">VIII.3.7</w:t>
        </w:r>
      </w:hyperlink>
      <w:r>
        <w:rPr>
          <w:b w:val="0"/>
          <w:i w:val="0"/>
        </w:rPr>
        <w:t xml:space="preserve">, </w:t>
      </w:r>
      <w:hyperlink w:anchor="passage-viii-8-1">
        <w:r>
          <w:rPr>
            <w:color w:val="000000"/>
          </w:rPr>
          <w:t xml:space="preserve">VIII.8.1</w:t>
        </w:r>
      </w:hyperlink>
      <w:r>
        <w:rPr>
          <w:b w:val="0"/>
          <w:i w:val="0"/>
        </w:rPr>
        <w:t xml:space="preserve">, </w:t>
      </w:r>
      <w:hyperlink w:anchor="passage-viii-10-1">
        <w:r>
          <w:rPr>
            <w:color w:val="000000"/>
          </w:rPr>
          <w:t xml:space="preserve">VIII.10.1</w:t>
        </w:r>
      </w:hyperlink>
      <w:r>
        <w:rPr>
          <w:b w:val="0"/>
          <w:i w:val="0"/>
        </w:rPr>
        <w:t xml:space="preserve">, </w:t>
      </w:r>
      <w:hyperlink w:anchor="passage-viii-16-1">
        <w:r>
          <w:rPr>
            <w:color w:val="000000"/>
          </w:rPr>
          <w:t xml:space="preserve">VIII.16.1</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518" w:name="latin-record-0277"/>
      <w:bookmarkEnd w:id="518"/>
      <w:r>
        <w:rPr>
          <w:b/>
          <w:i w:val="0"/>
        </w:rPr>
        <w:t>concludere / inferre / sequi</w:t>
      </w:r>
      <w:r>
        <w:rPr>
          <w:b/>
          <w:i w:val="0"/>
        </w:rPr>
        <w:t>.</w:t>
      </w:r>
      <w:r>
        <w:rPr>
          <w:b w:val="0"/>
          <w:i w:val="0"/>
        </w:rPr>
        <w:t xml:space="preserve"> Printed forms: </w:t>
      </w:r>
      <w:r>
        <w:rPr>
          <w:b w:val="0"/>
          <w:i/>
        </w:rPr>
        <w:t>concludendum</w:t>
      </w:r>
      <w:r>
        <w:rPr>
          <w:b w:val="0"/>
          <w:i w:val="0"/>
        </w:rPr>
        <w:t xml:space="preserve">; </w:t>
      </w:r>
      <w:r>
        <w:rPr>
          <w:b w:val="0"/>
          <w:i/>
        </w:rPr>
        <w:t>concludit</w:t>
      </w:r>
      <w:r>
        <w:rPr>
          <w:b w:val="0"/>
          <w:i w:val="0"/>
        </w:rPr>
        <w:t xml:space="preserve">; </w:t>
      </w:r>
      <w:r>
        <w:rPr>
          <w:b w:val="0"/>
          <w:i/>
        </w:rPr>
        <w:t>inferemus</w:t>
      </w:r>
      <w:r>
        <w:rPr>
          <w:b w:val="0"/>
          <w:i w:val="0"/>
        </w:rPr>
        <w:t xml:space="preserve">; </w:t>
      </w:r>
      <w:r>
        <w:rPr>
          <w:b w:val="0"/>
          <w:i/>
        </w:rPr>
        <w:t>sequerentur</w:t>
      </w:r>
      <w:r>
        <w:rPr>
          <w:b w:val="0"/>
          <w:i w:val="0"/>
        </w:rPr>
        <w:t xml:space="preserve">; </w:t>
      </w:r>
      <w:r>
        <w:rPr>
          <w:b w:val="0"/>
          <w:i/>
        </w:rPr>
        <w:t>sequeretur</w:t>
      </w:r>
      <w:r>
        <w:rPr>
          <w:b w:val="0"/>
          <w:i w:val="0"/>
        </w:rPr>
        <w:t xml:space="preserve">; </w:t>
      </w:r>
      <w:r>
        <w:rPr>
          <w:b w:val="0"/>
          <w:i/>
        </w:rPr>
        <w:t>sequitur</w:t>
      </w:r>
      <w:r>
        <w:rPr>
          <w:b w:val="0"/>
          <w:i w:val="0"/>
        </w:rPr>
        <w:t>.</w:t>
      </w:r>
    </w:p>
    <w:p>
      <w:pPr>
        <w:widowControl/>
      </w:pPr>
      <w:r>
        <w:rPr>
          <w:b w:val="0"/>
          <w:i w:val="0"/>
        </w:rPr>
        <w:t xml:space="preserve">Concluding, inferring and following as a consequence. These markers distinguish a provisional hypothesis from the result claimed against it; the consequence may be an absurdity rather than Ficino’s positive doctrine. References: </w:t>
      </w:r>
      <w:hyperlink w:anchor="passage-viii-1-3">
        <w:r>
          <w:rPr>
            <w:color w:val="000000"/>
          </w:rPr>
          <w:t xml:space="preserve">VIII.1.3</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4-13">
        <w:r>
          <w:rPr>
            <w:color w:val="000000"/>
          </w:rPr>
          <w:t xml:space="preserve">VIII.4.13</w:t>
        </w:r>
      </w:hyperlink>
      <w:r>
        <w:rPr>
          <w:b w:val="0"/>
          <w:i w:val="0"/>
        </w:rPr>
        <w:t xml:space="preserve">, </w:t>
      </w:r>
      <w:hyperlink w:anchor="passage-viii-10-1">
        <w:r>
          <w:rPr>
            <w:color w:val="000000"/>
          </w:rPr>
          <w:t xml:space="preserve">VIII.10.1</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519" w:name="latin-record-0278"/>
      <w:bookmarkEnd w:id="519"/>
      <w:r>
        <w:rPr>
          <w:b/>
          <w:i w:val="0"/>
        </w:rPr>
        <w:t>concludere / probare</w:t>
      </w:r>
      <w:r>
        <w:rPr>
          <w:b/>
          <w:i w:val="0"/>
        </w:rPr>
        <w:t>.</w:t>
      </w:r>
      <w:r>
        <w:rPr>
          <w:b w:val="0"/>
          <w:i w:val="0"/>
        </w:rPr>
        <w:t xml:space="preserve"> Printed forms: </w:t>
      </w:r>
      <w:r>
        <w:rPr>
          <w:b w:val="0"/>
          <w:i/>
        </w:rPr>
        <w:t>Concluditur</w:t>
      </w:r>
      <w:r>
        <w:rPr>
          <w:b w:val="0"/>
          <w:i w:val="0"/>
        </w:rPr>
        <w:t xml:space="preserve">; </w:t>
      </w:r>
      <w:r>
        <w:rPr>
          <w:b w:val="0"/>
          <w:i/>
        </w:rPr>
        <w:t>concluditur</w:t>
      </w:r>
      <w:r>
        <w:rPr>
          <w:b w:val="0"/>
          <w:i w:val="0"/>
        </w:rPr>
        <w:t xml:space="preserve">; </w:t>
      </w:r>
      <w:r>
        <w:rPr>
          <w:b w:val="0"/>
          <w:i/>
        </w:rPr>
        <w:t>probandum</w:t>
      </w:r>
      <w:r>
        <w:rPr>
          <w:b w:val="0"/>
          <w:i w:val="0"/>
        </w:rPr>
        <w:t xml:space="preserve">; </w:t>
      </w:r>
      <w:r>
        <w:rPr>
          <w:b w:val="0"/>
          <w:i/>
        </w:rPr>
        <w:t>probavimus</w:t>
      </w:r>
      <w:r>
        <w:rPr>
          <w:b w:val="0"/>
          <w:i w:val="0"/>
        </w:rPr>
        <w:t>.</w:t>
      </w:r>
    </w:p>
    <w:p>
      <w:pPr>
        <w:widowControl/>
      </w:pPr>
      <w:r>
        <w:rPr>
          <w:b w:val="0"/>
          <w:i w:val="0"/>
        </w:rPr>
        <w:t xml:space="preserve">To infer a conclusion or establish a thesis through argument. The three conclusions about soul’s relation to qualities in the growth chapter must remain distinct; earlier proofs do not eliminate the need for arguments proper to a further claim. References: </w:t>
      </w:r>
      <w:hyperlink w:anchor="passage-vii-7-1">
        <w:r>
          <w:rPr>
            <w:color w:val="000000"/>
          </w:rPr>
          <w:t xml:space="preserve">VII.7.1</w:t>
        </w:r>
      </w:hyperlink>
      <w:r>
        <w:rPr>
          <w:b w:val="0"/>
          <w:i w:val="0"/>
        </w:rPr>
        <w:t xml:space="preserve">,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520" w:name="latin-record-0279"/>
      <w:bookmarkEnd w:id="520"/>
      <w:r>
        <w:rPr>
          <w:b/>
          <w:i w:val="0"/>
        </w:rPr>
        <w:t>concludere; respondere; quaerere</w:t>
      </w:r>
      <w:r>
        <w:rPr>
          <w:b/>
          <w:i w:val="0"/>
        </w:rPr>
        <w:t>.</w:t>
      </w:r>
      <w:r>
        <w:rPr>
          <w:b w:val="0"/>
          <w:i w:val="0"/>
        </w:rPr>
        <w:t xml:space="preserve"> Printed forms: </w:t>
      </w:r>
      <w:r>
        <w:rPr>
          <w:b w:val="0"/>
          <w:i/>
        </w:rPr>
        <w:t>concludamus</w:t>
      </w:r>
      <w:r>
        <w:rPr>
          <w:b w:val="0"/>
          <w:i w:val="0"/>
        </w:rPr>
        <w:t xml:space="preserve">; </w:t>
      </w:r>
      <w:r>
        <w:rPr>
          <w:b w:val="0"/>
          <w:i/>
        </w:rPr>
        <w:t>concludendumque</w:t>
      </w:r>
      <w:r>
        <w:rPr>
          <w:b w:val="0"/>
          <w:i w:val="0"/>
        </w:rPr>
        <w:t xml:space="preserve">; </w:t>
      </w:r>
      <w:r>
        <w:rPr>
          <w:b w:val="0"/>
          <w:i/>
        </w:rPr>
        <w:t>concludimus</w:t>
      </w:r>
      <w:r>
        <w:rPr>
          <w:b w:val="0"/>
          <w:i w:val="0"/>
        </w:rPr>
        <w:t xml:space="preserve">; </w:t>
      </w:r>
      <w:r>
        <w:rPr>
          <w:b w:val="0"/>
          <w:i/>
        </w:rPr>
        <w:t>quaeram</w:t>
      </w:r>
      <w:r>
        <w:rPr>
          <w:b w:val="0"/>
          <w:i w:val="0"/>
        </w:rPr>
        <w:t xml:space="preserve">; </w:t>
      </w:r>
      <w:r>
        <w:rPr>
          <w:b w:val="0"/>
          <w:i/>
        </w:rPr>
        <w:t>Quaeremus</w:t>
      </w:r>
      <w:r>
        <w:rPr>
          <w:b w:val="0"/>
          <w:i w:val="0"/>
        </w:rPr>
        <w:t xml:space="preserve">; </w:t>
      </w:r>
      <w:r>
        <w:rPr>
          <w:b w:val="0"/>
          <w:i/>
        </w:rPr>
        <w:t>quaerere</w:t>
      </w:r>
      <w:r>
        <w:rPr>
          <w:b w:val="0"/>
          <w:i w:val="0"/>
        </w:rPr>
        <w:t xml:space="preserve">; </w:t>
      </w:r>
      <w:r>
        <w:rPr>
          <w:b w:val="0"/>
          <w:i/>
        </w:rPr>
        <w:t>quaeritur</w:t>
      </w:r>
      <w:r>
        <w:rPr>
          <w:b w:val="0"/>
          <w:i w:val="0"/>
        </w:rPr>
        <w:t xml:space="preserve">; </w:t>
      </w:r>
      <w:r>
        <w:rPr>
          <w:b w:val="0"/>
          <w:i/>
        </w:rPr>
        <w:t>respondebit</w:t>
      </w:r>
      <w:r>
        <w:rPr>
          <w:b w:val="0"/>
          <w:i w:val="0"/>
        </w:rPr>
        <w:t xml:space="preserve">; </w:t>
      </w:r>
      <w:r>
        <w:rPr>
          <w:b w:val="0"/>
          <w:i/>
        </w:rPr>
        <w:t>Respondemus</w:t>
      </w:r>
      <w:r>
        <w:rPr>
          <w:b w:val="0"/>
          <w:i w:val="0"/>
        </w:rPr>
        <w:t xml:space="preserve">; </w:t>
      </w:r>
      <w:r>
        <w:rPr>
          <w:b w:val="0"/>
          <w:i/>
        </w:rPr>
        <w:t>responderet</w:t>
      </w:r>
      <w:r>
        <w:rPr>
          <w:b w:val="0"/>
          <w:i w:val="0"/>
        </w:rPr>
        <w:t xml:space="preserve">; </w:t>
      </w:r>
      <w:r>
        <w:rPr>
          <w:b w:val="0"/>
          <w:i/>
        </w:rPr>
        <w:t>respondet</w:t>
      </w:r>
      <w:r>
        <w:rPr>
          <w:b w:val="0"/>
          <w:i w:val="0"/>
        </w:rPr>
        <w:t>.</w:t>
      </w:r>
    </w:p>
    <w:p>
      <w:pPr>
        <w:widowControl/>
      </w:pPr>
      <w:r>
        <w:rPr>
          <w:b w:val="0"/>
          <w:i w:val="0"/>
        </w:rPr>
        <w:t xml:space="preserve">To draw a conclusion, answer and inquire. Questions, replies and conclusions delimit the dialectic; a premise inside an objection must not be taken as Ficino’s settled assertion. References: </w:t>
      </w:r>
      <w:hyperlink w:anchor="passage-vi-2-2">
        <w:r>
          <w:rPr>
            <w:color w:val="000000"/>
          </w:rPr>
          <w:t xml:space="preserve">VI.2.2</w:t>
        </w:r>
      </w:hyperlink>
      <w:r>
        <w:rPr>
          <w:b w:val="0"/>
          <w:i w:val="0"/>
        </w:rPr>
        <w:t xml:space="preserve">, </w:t>
      </w:r>
      <w:hyperlink w:anchor="passage-vi-4-4">
        <w:r>
          <w:rPr>
            <w:color w:val="000000"/>
          </w:rPr>
          <w:t xml:space="preserve">VI.4.4</w:t>
        </w:r>
      </w:hyperlink>
      <w:r>
        <w:rPr>
          <w:b w:val="0"/>
          <w:i w:val="0"/>
        </w:rPr>
        <w:t xml:space="preserve">, </w:t>
      </w:r>
      <w:hyperlink w:anchor="passage-vi-4-6">
        <w:r>
          <w:rPr>
            <w:color w:val="000000"/>
          </w:rPr>
          <w:t xml:space="preserve">VI.4.6</w:t>
        </w:r>
      </w:hyperlink>
      <w:r>
        <w:rPr>
          <w:b w:val="0"/>
          <w:i w:val="0"/>
        </w:rPr>
        <w:t xml:space="preserve">, </w:t>
      </w:r>
      <w:hyperlink w:anchor="passage-vi-5-2">
        <w:r>
          <w:rPr>
            <w:color w:val="000000"/>
          </w:rPr>
          <w:t xml:space="preserve">VI.5.2</w:t>
        </w:r>
      </w:hyperlink>
      <w:r>
        <w:rPr>
          <w:b w:val="0"/>
          <w:i w:val="0"/>
        </w:rPr>
        <w:t xml:space="preserve">, </w:t>
      </w:r>
      <w:hyperlink w:anchor="passage-vi-6-3">
        <w:r>
          <w:rPr>
            <w:color w:val="000000"/>
          </w:rPr>
          <w:t xml:space="preserve">VI.6.3</w:t>
        </w:r>
      </w:hyperlink>
      <w:r>
        <w:rPr>
          <w:b w:val="0"/>
          <w:i w:val="0"/>
        </w:rPr>
        <w:t xml:space="preserve">, </w:t>
      </w:r>
      <w:hyperlink w:anchor="passage-vi-6-4">
        <w:r>
          <w:rPr>
            <w:color w:val="000000"/>
          </w:rPr>
          <w:t xml:space="preserve">VI.6.4</w:t>
        </w:r>
      </w:hyperlink>
      <w:r>
        <w:rPr>
          <w:b w:val="0"/>
          <w:i w:val="0"/>
        </w:rPr>
        <w:t xml:space="preserve">, </w:t>
      </w:r>
      <w:hyperlink w:anchor="passage-vi-8-3">
        <w:r>
          <w:rPr>
            <w:color w:val="000000"/>
          </w:rPr>
          <w:t xml:space="preserve">VI.8.3</w:t>
        </w:r>
      </w:hyperlink>
      <w:r>
        <w:rPr>
          <w:b w:val="0"/>
          <w:i w:val="0"/>
        </w:rPr>
        <w:t xml:space="preserve">, </w:t>
      </w:r>
      <w:hyperlink w:anchor="passage-vi-12-16">
        <w:r>
          <w:rPr>
            <w:color w:val="000000"/>
          </w:rPr>
          <w:t xml:space="preserve">VI.12.16</w:t>
        </w:r>
      </w:hyperlink>
      <w:r>
        <w:rPr>
          <w:b w:val="0"/>
          <w:i w:val="0"/>
        </w:rPr>
        <w:t xml:space="preserve">, </w:t>
      </w:r>
      <w:hyperlink w:anchor="passage-vi-13-9">
        <w:r>
          <w:rPr>
            <w:color w:val="000000"/>
          </w:rPr>
          <w:t xml:space="preserve">VI.13.9</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521" w:name="latin-record-0280"/>
      <w:bookmarkEnd w:id="521"/>
      <w:r>
        <w:rPr>
          <w:b/>
          <w:i w:val="0"/>
        </w:rPr>
        <w:t>concoquere / digerere</w:t>
      </w:r>
      <w:r>
        <w:rPr>
          <w:b/>
          <w:i w:val="0"/>
        </w:rPr>
        <w:t>.</w:t>
      </w:r>
      <w:r>
        <w:rPr>
          <w:b w:val="0"/>
          <w:i w:val="0"/>
        </w:rPr>
        <w:t xml:space="preserve"> Printed forms: </w:t>
      </w:r>
      <w:r>
        <w:rPr>
          <w:b w:val="0"/>
          <w:i/>
        </w:rPr>
        <w:t>concoquit</w:t>
      </w:r>
      <w:r>
        <w:rPr>
          <w:b w:val="0"/>
          <w:i w:val="0"/>
        </w:rPr>
        <w:t xml:space="preserve">; </w:t>
      </w:r>
      <w:r>
        <w:rPr>
          <w:b w:val="0"/>
          <w:i/>
        </w:rPr>
        <w:t>digeritque</w:t>
      </w:r>
      <w:r>
        <w:rPr>
          <w:b w:val="0"/>
          <w:i w:val="0"/>
        </w:rPr>
        <w:t>.</w:t>
      </w:r>
    </w:p>
    <w:p>
      <w:pPr>
        <w:widowControl/>
      </w:pPr>
      <w:r>
        <w:rPr>
          <w:b w:val="0"/>
          <w:i w:val="0"/>
        </w:rPr>
        <w:t xml:space="preserve">To cook or bring to digestive readiness, and digest or distribute in an ordered process. These actions are coupled with producing living flesh; they are more than the mere dissolution heat can accomplish.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522" w:name="latin-record-0281"/>
      <w:bookmarkEnd w:id="522"/>
      <w:r>
        <w:rPr>
          <w:b/>
          <w:i w:val="0"/>
        </w:rPr>
        <w:t>concoquere / generare prolem</w:t>
      </w:r>
      <w:r>
        <w:rPr>
          <w:b/>
          <w:i w:val="0"/>
        </w:rPr>
        <w:t>.</w:t>
      </w:r>
      <w:r>
        <w:rPr>
          <w:b w:val="0"/>
          <w:i w:val="0"/>
        </w:rPr>
        <w:t xml:space="preserve"> Printed forms: </w:t>
      </w:r>
      <w:r>
        <w:rPr>
          <w:b w:val="0"/>
          <w:i/>
        </w:rPr>
        <w:t>concoquet</w:t>
      </w:r>
      <w:r>
        <w:rPr>
          <w:b w:val="0"/>
          <w:i w:val="0"/>
        </w:rPr>
        <w:t xml:space="preserve">; </w:t>
      </w:r>
      <w:r>
        <w:rPr>
          <w:b w:val="0"/>
          <w:i/>
        </w:rPr>
        <w:t>generabit prolem</w:t>
      </w:r>
      <w:r>
        <w:rPr>
          <w:b w:val="0"/>
          <w:i w:val="0"/>
        </w:rPr>
        <w:t>.</w:t>
      </w:r>
    </w:p>
    <w:p>
      <w:pPr>
        <w:widowControl/>
      </w:pPr>
      <w:r>
        <w:rPr>
          <w:b w:val="0"/>
          <w:i w:val="0"/>
        </w:rPr>
        <w:t xml:space="preserve">To digest food and produce offspring. The robber’s supposed inferiority in these vital acts exposes the implausibility of deriving degree of life from moral concord.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523" w:name="latin-record-0282"/>
      <w:bookmarkEnd w:id="523"/>
      <w:r>
        <w:rPr>
          <w:b/>
          <w:i w:val="0"/>
        </w:rPr>
        <w:t>condensatio; rarefactio; progressio</w:t>
      </w:r>
      <w:r>
        <w:rPr>
          <w:b/>
          <w:i w:val="0"/>
        </w:rPr>
        <w:t>.</w:t>
      </w:r>
      <w:r>
        <w:rPr>
          <w:b w:val="0"/>
          <w:i w:val="0"/>
        </w:rPr>
        <w:t xml:space="preserve"> Printed forms: </w:t>
      </w:r>
      <w:r>
        <w:rPr>
          <w:b w:val="0"/>
          <w:i/>
        </w:rPr>
        <w:t>condensatio, rarefactio, progressio</w:t>
      </w:r>
      <w:r>
        <w:rPr>
          <w:b w:val="0"/>
          <w:i w:val="0"/>
        </w:rPr>
        <w:t>.</w:t>
      </w:r>
    </w:p>
    <w:p>
      <w:pPr>
        <w:widowControl/>
      </w:pPr>
      <w:r>
        <w:rPr>
          <w:b w:val="0"/>
          <w:i w:val="0"/>
        </w:rPr>
        <w:t xml:space="preserve">Condensation, rarefaction and progression or locomotion. They complete the eightfold historical taxonomy, which is broader than change of place alone. References: </w:t>
      </w:r>
      <w:hyperlink w:anchor="passage-vi-12-13">
        <w:r>
          <w:rPr>
            <w:color w:val="000000"/>
          </w:rPr>
          <w:t xml:space="preserve">VI.12.13</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524" w:name="latin-record-0283"/>
      <w:bookmarkEnd w:id="524"/>
      <w:r>
        <w:rPr>
          <w:b/>
          <w:i w:val="0"/>
        </w:rPr>
        <w:t>condicio</w:t>
      </w:r>
      <w:r>
        <w:rPr>
          <w:b/>
          <w:i w:val="0"/>
        </w:rPr>
        <w:t>.</w:t>
      </w:r>
      <w:r>
        <w:rPr>
          <w:b w:val="0"/>
          <w:i w:val="0"/>
        </w:rPr>
        <w:t xml:space="preserve"> Printed forms: </w:t>
      </w:r>
      <w:r>
        <w:rPr>
          <w:b w:val="0"/>
          <w:i/>
        </w:rPr>
        <w:t>condicio</w:t>
      </w:r>
      <w:r>
        <w:rPr>
          <w:b w:val="0"/>
          <w:i w:val="0"/>
        </w:rPr>
        <w:t xml:space="preserve">; </w:t>
      </w:r>
      <w:r>
        <w:rPr>
          <w:b w:val="0"/>
          <w:i/>
        </w:rPr>
        <w:t>condiciones</w:t>
      </w:r>
      <w:r>
        <w:rPr>
          <w:b w:val="0"/>
          <w:i w:val="0"/>
        </w:rPr>
        <w:t xml:space="preserve">; </w:t>
      </w:r>
      <w:r>
        <w:rPr>
          <w:b w:val="0"/>
          <w:i/>
        </w:rPr>
        <w:t>condicionibus</w:t>
      </w:r>
      <w:r>
        <w:rPr>
          <w:b w:val="0"/>
          <w:i w:val="0"/>
        </w:rPr>
        <w:t xml:space="preserve">; </w:t>
      </w:r>
      <w:r>
        <w:rPr>
          <w:b w:val="0"/>
          <w:i/>
        </w:rPr>
        <w:t>conditionibus</w:t>
      </w:r>
      <w:r>
        <w:rPr>
          <w:b w:val="0"/>
          <w:i w:val="0"/>
        </w:rPr>
        <w:t>.</w:t>
      </w:r>
    </w:p>
    <w:p>
      <w:pPr>
        <w:widowControl/>
      </w:pPr>
      <w:r>
        <w:rPr>
          <w:b w:val="0"/>
          <w:i w:val="0"/>
        </w:rPr>
        <w:t xml:space="preserve">A condition or restriction qualifying a thing’s occurrence or operation. Phantasy retains singular conditions; intellect’s distinct mode is argued from its ability to apprehend accounts beyond them. The supplied Latin has spelling variants with t/c. References: </w:t>
      </w:r>
      <w:hyperlink w:anchor="passage-viii-1-2">
        <w:r>
          <w:rPr>
            <w:color w:val="000000"/>
          </w:rPr>
          <w:t xml:space="preserve">VIII.1.2</w:t>
        </w:r>
      </w:hyperlink>
      <w:r>
        <w:rPr>
          <w:b w:val="0"/>
          <w:i w:val="0"/>
        </w:rPr>
        <w:t xml:space="preserve">, </w:t>
      </w:r>
      <w:hyperlink w:anchor="passage-viii-3-1">
        <w:r>
          <w:rPr>
            <w:color w:val="000000"/>
          </w:rPr>
          <w:t xml:space="preserve">VIII.3.1</w:t>
        </w:r>
      </w:hyperlink>
      <w:r>
        <w:rPr>
          <w:b w:val="0"/>
          <w:i w:val="0"/>
        </w:rPr>
        <w:t xml:space="preserve">, </w:t>
      </w:r>
      <w:hyperlink w:anchor="passage-viii-5-1">
        <w:r>
          <w:rPr>
            <w:color w:val="000000"/>
          </w:rPr>
          <w:t xml:space="preserve">VIII.5.1</w:t>
        </w:r>
      </w:hyperlink>
      <w:r>
        <w:rPr>
          <w:b w:val="0"/>
          <w:i w:val="0"/>
        </w:rPr>
        <w:t xml:space="preserve">, </w:t>
      </w:r>
      <w:hyperlink w:anchor="passage-viii-8-1">
        <w:r>
          <w:rPr>
            <w:color w:val="000000"/>
          </w:rPr>
          <w:t xml:space="preserve">VIII.8.1</w:t>
        </w:r>
      </w:hyperlink>
      <w:r>
        <w:rPr>
          <w:b w:val="0"/>
          <w:i w:val="0"/>
        </w:rPr>
        <w:t xml:space="preserve">, </w:t>
      </w:r>
      <w:hyperlink w:anchor="passage-viii-10-2">
        <w:r>
          <w:rPr>
            <w:color w:val="000000"/>
          </w:rPr>
          <w:t xml:space="preserve">VIII.10.2</w:t>
        </w:r>
      </w:hyperlink>
      <w:r>
        <w:rPr>
          <w:b w:val="0"/>
          <w:i w:val="0"/>
        </w:rPr>
        <w:t xml:space="preserve">, </w:t>
      </w:r>
      <w:hyperlink w:anchor="passage-viii-13-1">
        <w:r>
          <w:rPr>
            <w:color w:val="000000"/>
          </w:rPr>
          <w:t xml:space="preserve">VIII.13.1</w:t>
        </w:r>
      </w:hyperlink>
      <w:r>
        <w:rPr>
          <w:b w:val="0"/>
          <w:i w:val="0"/>
        </w:rPr>
        <w:t xml:space="preserve">, </w:t>
      </w:r>
      <w:hyperlink w:anchor="passage-viii-15-3">
        <w:r>
          <w:rPr>
            <w:color w:val="000000"/>
          </w:rPr>
          <w:t xml:space="preserve">VIII.15.3</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525" w:name="latin-record-0284"/>
      <w:bookmarkEnd w:id="525"/>
      <w:r>
        <w:rPr>
          <w:b/>
          <w:i w:val="0"/>
        </w:rPr>
        <w:t>conditio humorum / imperium</w:t>
      </w:r>
      <w:r>
        <w:rPr>
          <w:b/>
          <w:i w:val="0"/>
        </w:rPr>
        <w:t>.</w:t>
      </w:r>
      <w:r>
        <w:rPr>
          <w:b w:val="0"/>
          <w:i w:val="0"/>
        </w:rPr>
        <w:t xml:space="preserve"> Printed forms: </w:t>
      </w:r>
      <w:r>
        <w:rPr>
          <w:b w:val="0"/>
          <w:i/>
        </w:rPr>
        <w:t>humorum conditionem</w:t>
      </w:r>
      <w:r>
        <w:rPr>
          <w:b w:val="0"/>
          <w:i w:val="0"/>
        </w:rPr>
        <w:t xml:space="preserve">; </w:t>
      </w:r>
      <w:r>
        <w:rPr>
          <w:b w:val="0"/>
          <w:i/>
        </w:rPr>
        <w:t>illorum imperium</w:t>
      </w:r>
      <w:r>
        <w:rPr>
          <w:b w:val="0"/>
          <w:i w:val="0"/>
        </w:rPr>
        <w:t>.</w:t>
      </w:r>
    </w:p>
    <w:p>
      <w:pPr>
        <w:widowControl/>
      </w:pPr>
      <w:r>
        <w:rPr>
          <w:b w:val="0"/>
          <w:i w:val="0"/>
        </w:rPr>
        <w:t xml:space="preserve">The condition and governing reach of the humors. Soul-as-harmony could not explain activities exceeding those bodily powers, which Ficino says his earlier arguments establish.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526" w:name="latin-record-0285"/>
      <w:bookmarkEnd w:id="526"/>
      <w:r>
        <w:rPr>
          <w:b/>
          <w:i w:val="0"/>
        </w:rPr>
        <w:t>condolere / compassio / condolentia</w:t>
      </w:r>
      <w:r>
        <w:rPr>
          <w:b/>
          <w:i w:val="0"/>
        </w:rPr>
        <w:t>.</w:t>
      </w:r>
      <w:r>
        <w:rPr>
          <w:b w:val="0"/>
          <w:i w:val="0"/>
        </w:rPr>
        <w:t xml:space="preserve"> Printed forms: </w:t>
      </w:r>
      <w:r>
        <w:rPr>
          <w:b w:val="0"/>
          <w:i/>
        </w:rPr>
        <w:t>compassio</w:t>
      </w:r>
      <w:r>
        <w:rPr>
          <w:b w:val="0"/>
          <w:i w:val="0"/>
        </w:rPr>
        <w:t xml:space="preserve">; </w:t>
      </w:r>
      <w:r>
        <w:rPr>
          <w:b w:val="0"/>
          <w:i/>
        </w:rPr>
        <w:t>condolentia</w:t>
      </w:r>
      <w:r>
        <w:rPr>
          <w:b w:val="0"/>
          <w:i w:val="0"/>
        </w:rPr>
        <w:t xml:space="preserve">; </w:t>
      </w:r>
      <w:r>
        <w:rPr>
          <w:b w:val="0"/>
          <w:i/>
        </w:rPr>
        <w:t>condolet</w:t>
      </w:r>
      <w:r>
        <w:rPr>
          <w:b w:val="0"/>
          <w:i w:val="0"/>
        </w:rPr>
        <w:t>.</w:t>
      </w:r>
    </w:p>
    <w:p>
      <w:pPr>
        <w:widowControl/>
      </w:pPr>
      <w:r>
        <w:rPr>
          <w:b w:val="0"/>
          <w:i w:val="0"/>
        </w:rPr>
        <w:t xml:space="preserve">To share pain, with the related names for shared suffering. The account assigns these responses to imagination while reserving bodily injury for flesh and spirit. References: </w:t>
      </w:r>
      <w:hyperlink w:anchor="passage-vii-6-1">
        <w:r>
          <w:rPr>
            <w:color w:val="000000"/>
          </w:rPr>
          <w:t xml:space="preserve">VII.6.1</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527" w:name="latin-record-0286"/>
      <w:bookmarkEnd w:id="527"/>
      <w:r>
        <w:rPr>
          <w:b/>
          <w:i w:val="0"/>
        </w:rPr>
        <w:t>conducere / nocere</w:t>
      </w:r>
      <w:r>
        <w:rPr>
          <w:b/>
          <w:i w:val="0"/>
        </w:rPr>
        <w:t>.</w:t>
      </w:r>
      <w:r>
        <w:rPr>
          <w:b w:val="0"/>
          <w:i w:val="0"/>
        </w:rPr>
        <w:t xml:space="preserve"> Printed forms: </w:t>
      </w:r>
      <w:r>
        <w:rPr>
          <w:b w:val="0"/>
          <w:i/>
        </w:rPr>
        <w:t>conducat</w:t>
      </w:r>
      <w:r>
        <w:rPr>
          <w:b w:val="0"/>
          <w:i w:val="0"/>
        </w:rPr>
        <w:t xml:space="preserve">; </w:t>
      </w:r>
      <w:r>
        <w:rPr>
          <w:b w:val="0"/>
          <w:i/>
        </w:rPr>
        <w:t>conduceret</w:t>
      </w:r>
      <w:r>
        <w:rPr>
          <w:b w:val="0"/>
          <w:i w:val="0"/>
        </w:rPr>
        <w:t xml:space="preserve">; </w:t>
      </w:r>
      <w:r>
        <w:rPr>
          <w:b w:val="0"/>
          <w:i/>
        </w:rPr>
        <w:t>noceat</w:t>
      </w:r>
      <w:r>
        <w:rPr>
          <w:b w:val="0"/>
          <w:i w:val="0"/>
        </w:rPr>
        <w:t xml:space="preserve">; </w:t>
      </w:r>
      <w:r>
        <w:rPr>
          <w:b w:val="0"/>
          <w:i/>
        </w:rPr>
        <w:t>noceret</w:t>
      </w:r>
      <w:r>
        <w:rPr>
          <w:b w:val="0"/>
          <w:i w:val="0"/>
        </w:rPr>
        <w:t>.</w:t>
      </w:r>
    </w:p>
    <w:p>
      <w:pPr>
        <w:widowControl/>
      </w:pPr>
      <w:r>
        <w:rPr>
          <w:b w:val="0"/>
          <w:i w:val="0"/>
        </w:rPr>
        <w:t xml:space="preserve">To benefit and to harm or hinder. Both necessary dependence on greater size and necessary disadvantage from it are tested and rejected by opposite animal examples.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528" w:name="latin-record-0287"/>
      <w:bookmarkEnd w:id="528"/>
      <w:r>
        <w:rPr>
          <w:b/>
          <w:i w:val="0"/>
        </w:rPr>
        <w:t>conflare / peragere</w:t>
      </w:r>
      <w:r>
        <w:rPr>
          <w:b/>
          <w:i w:val="0"/>
        </w:rPr>
        <w:t>.</w:t>
      </w:r>
      <w:r>
        <w:rPr>
          <w:b w:val="0"/>
          <w:i w:val="0"/>
        </w:rPr>
        <w:t xml:space="preserve"> Printed forms: </w:t>
      </w:r>
      <w:r>
        <w:rPr>
          <w:b w:val="0"/>
          <w:i/>
        </w:rPr>
        <w:t>conflata</w:t>
      </w:r>
      <w:r>
        <w:rPr>
          <w:b w:val="0"/>
          <w:i w:val="0"/>
        </w:rPr>
        <w:t xml:space="preserve">; </w:t>
      </w:r>
      <w:r>
        <w:rPr>
          <w:b w:val="0"/>
          <w:i/>
        </w:rPr>
        <w:t>peragitur</w:t>
      </w:r>
      <w:r>
        <w:rPr>
          <w:b w:val="0"/>
          <w:i w:val="0"/>
        </w:rPr>
        <w:t>.</w:t>
      </w:r>
    </w:p>
    <w:p>
      <w:pPr>
        <w:widowControl/>
      </w:pPr>
      <w:r>
        <w:rPr>
          <w:b w:val="0"/>
          <w:i w:val="0"/>
        </w:rPr>
        <w:t xml:space="preserve">To compose together and carry an operation through. A constitution’s activity is performed through the powers of its component qualities, setting the limit tested by nutrition.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529" w:name="latin-record-0288"/>
      <w:bookmarkEnd w:id="529"/>
      <w:r>
        <w:rPr>
          <w:b/>
          <w:i w:val="0"/>
        </w:rPr>
        <w:t>conflatus; concursus</w:t>
      </w:r>
      <w:r>
        <w:rPr>
          <w:b/>
          <w:i w:val="0"/>
        </w:rPr>
        <w:t>.</w:t>
      </w:r>
      <w:r>
        <w:rPr>
          <w:b w:val="0"/>
          <w:i w:val="0"/>
        </w:rPr>
        <w:t xml:space="preserve"> Printed forms: </w:t>
      </w:r>
      <w:r>
        <w:rPr>
          <w:b w:val="0"/>
          <w:i/>
        </w:rPr>
        <w:t>concursionis</w:t>
      </w:r>
      <w:r>
        <w:rPr>
          <w:b w:val="0"/>
          <w:i w:val="0"/>
        </w:rPr>
        <w:t xml:space="preserve">; </w:t>
      </w:r>
      <w:r>
        <w:rPr>
          <w:b w:val="0"/>
          <w:i/>
        </w:rPr>
        <w:t>concursu</w:t>
      </w:r>
      <w:r>
        <w:rPr>
          <w:b w:val="0"/>
          <w:i w:val="0"/>
        </w:rPr>
        <w:t xml:space="preserve">; </w:t>
      </w:r>
      <w:r>
        <w:rPr>
          <w:b w:val="0"/>
          <w:i/>
        </w:rPr>
        <w:t>conflata</w:t>
      </w:r>
      <w:r>
        <w:rPr>
          <w:b w:val="0"/>
          <w:i w:val="0"/>
        </w:rPr>
        <w:t>.</w:t>
      </w:r>
    </w:p>
    <w:p>
      <w:pPr>
        <w:widowControl/>
      </w:pPr>
      <w:r>
        <w:rPr>
          <w:b w:val="0"/>
          <w:i w:val="0"/>
        </w:rPr>
        <w:t xml:space="preserve">Composed together; conjunction of constituents. Mere assembly is distinguished from the determinate order through which a living effect is supposedly produced. References: </w:t>
      </w:r>
      <w:hyperlink w:anchor="passage-vi-11-1">
        <w:r>
          <w:rPr>
            <w:color w:val="000000"/>
          </w:rPr>
          <w:t xml:space="preserve">VI.11.1</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530" w:name="latin-record-0289"/>
      <w:bookmarkEnd w:id="530"/>
      <w:r>
        <w:rPr>
          <w:b/>
          <w:i w:val="0"/>
        </w:rPr>
        <w:t>conformatio</w:t>
      </w:r>
      <w:r>
        <w:rPr>
          <w:b/>
          <w:i w:val="0"/>
        </w:rPr>
        <w:t>.</w:t>
      </w:r>
      <w:r>
        <w:rPr>
          <w:b w:val="0"/>
          <w:i w:val="0"/>
        </w:rPr>
        <w:t xml:space="preserve"> Printed forms: </w:t>
      </w:r>
      <w:r>
        <w:rPr>
          <w:b w:val="0"/>
          <w:i/>
        </w:rPr>
        <w:t>conformationemque</w:t>
      </w:r>
      <w:r>
        <w:rPr>
          <w:b w:val="0"/>
          <w:i w:val="0"/>
        </w:rPr>
        <w:t>.</w:t>
      </w:r>
    </w:p>
    <w:p>
      <w:pPr>
        <w:widowControl/>
      </w:pPr>
      <w:r>
        <w:rPr>
          <w:b w:val="0"/>
          <w:i w:val="0"/>
        </w:rPr>
        <w:t xml:space="preserve">An ordered shaping or configuration, here the artful arrangement of bodily members. Ficino attributes bodily efficacy to natural proportion and artful configuration rather than sheer weight of flesh; he relates these conditions more closely to vital spirit than to bulk. This historical physiological claim serves the distinction between an art and its instruments.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531" w:name="latin-record-0290"/>
      <w:bookmarkEnd w:id="531"/>
      <w:r>
        <w:rPr>
          <w:b/>
          <w:i w:val="0"/>
        </w:rPr>
        <w:t>confundere</w:t>
      </w:r>
      <w:r>
        <w:rPr>
          <w:b/>
          <w:i w:val="0"/>
        </w:rPr>
        <w:t>.</w:t>
      </w:r>
      <w:r>
        <w:rPr>
          <w:b w:val="0"/>
          <w:i w:val="0"/>
        </w:rPr>
        <w:t xml:space="preserve"> Printed forms: </w:t>
      </w:r>
      <w:r>
        <w:rPr>
          <w:b w:val="0"/>
          <w:i/>
        </w:rPr>
        <w:t>confundat</w:t>
      </w:r>
      <w:r>
        <w:rPr>
          <w:b w:val="0"/>
          <w:i w:val="0"/>
        </w:rPr>
        <w:t xml:space="preserve">; </w:t>
      </w:r>
      <w:r>
        <w:rPr>
          <w:b w:val="0"/>
          <w:i/>
        </w:rPr>
        <w:t>confundentur</w:t>
      </w:r>
      <w:r>
        <w:rPr>
          <w:b w:val="0"/>
          <w:i w:val="0"/>
        </w:rPr>
        <w:t xml:space="preserve">; </w:t>
      </w:r>
      <w:r>
        <w:rPr>
          <w:b w:val="0"/>
          <w:i/>
        </w:rPr>
        <w:t>confusas</w:t>
      </w:r>
      <w:r>
        <w:rPr>
          <w:b w:val="0"/>
          <w:i w:val="0"/>
        </w:rPr>
        <w:t>.</w:t>
      </w:r>
    </w:p>
    <w:p>
      <w:pPr>
        <w:widowControl/>
      </w:pPr>
      <w:r>
        <w:rPr>
          <w:b w:val="0"/>
          <w:i w:val="0"/>
        </w:rPr>
        <w:t xml:space="preserve">To mingle in a way that obscures distinctions. Confused images cannot distinguish the represented people; mixed qualities likewise lack a discriminating judge. References: </w:t>
      </w:r>
      <w:hyperlink w:anchor="passage-vii-1-1">
        <w:r>
          <w:rPr>
            <w:color w:val="000000"/>
          </w:rPr>
          <w:t xml:space="preserve">VII.1.1</w:t>
        </w:r>
      </w:hyperlink>
      <w:r>
        <w:rPr>
          <w:b w:val="0"/>
          <w:i w:val="0"/>
        </w:rPr>
        <w:t xml:space="preserve">,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532" w:name="latin-record-0291"/>
      <w:bookmarkEnd w:id="532"/>
      <w:r>
        <w:rPr>
          <w:b/>
          <w:i w:val="0"/>
        </w:rPr>
        <w:t>confutare; reprobare; approbare</w:t>
      </w:r>
      <w:r>
        <w:rPr>
          <w:b/>
          <w:i w:val="0"/>
        </w:rPr>
        <w:t>.</w:t>
      </w:r>
      <w:r>
        <w:rPr>
          <w:b w:val="0"/>
          <w:i w:val="0"/>
        </w:rPr>
        <w:t xml:space="preserve"> Printed forms: </w:t>
      </w:r>
      <w:r>
        <w:rPr>
          <w:b w:val="0"/>
          <w:i/>
        </w:rPr>
        <w:t>approbaveris</w:t>
      </w:r>
      <w:r>
        <w:rPr>
          <w:b w:val="0"/>
          <w:i w:val="0"/>
        </w:rPr>
        <w:t xml:space="preserve">; </w:t>
      </w:r>
      <w:r>
        <w:rPr>
          <w:b w:val="0"/>
          <w:i/>
        </w:rPr>
        <w:t>confutatis</w:t>
      </w:r>
      <w:r>
        <w:rPr>
          <w:b w:val="0"/>
          <w:i w:val="0"/>
        </w:rPr>
        <w:t xml:space="preserve">; </w:t>
      </w:r>
      <w:r>
        <w:rPr>
          <w:b w:val="0"/>
          <w:i/>
        </w:rPr>
        <w:t>reprobatis</w:t>
      </w:r>
      <w:r>
        <w:rPr>
          <w:b w:val="0"/>
          <w:i w:val="0"/>
        </w:rPr>
        <w:t>.</w:t>
      </w:r>
    </w:p>
    <w:p>
      <w:pPr>
        <w:widowControl/>
      </w:pPr>
      <w:r>
        <w:rPr>
          <w:b w:val="0"/>
          <w:i w:val="0"/>
        </w:rPr>
        <w:t xml:space="preserve">To refute, reject, and establish the acceptable alternative. The fifth position must survive examination of the four predecessors before immortality is applied to us. References: </w:t>
      </w:r>
      <w:hyperlink w:anchor="passage-vi-1-1">
        <w:r>
          <w:rPr>
            <w:color w:val="000000"/>
          </w:rPr>
          <w:t xml:space="preserve">VI.1.1</w:t>
        </w:r>
      </w:hyperlink>
      <w:r>
        <w:rPr>
          <w:b w:val="0"/>
          <w:i w:val="0"/>
        </w:rPr>
        <w:t xml:space="preserve">,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533" w:name="latin-record-0292"/>
      <w:bookmarkEnd w:id="533"/>
      <w:r>
        <w:rPr>
          <w:b/>
          <w:i w:val="0"/>
        </w:rPr>
        <w:t>congregatio / momentum</w:t>
      </w:r>
      <w:r>
        <w:rPr>
          <w:b/>
          <w:i w:val="0"/>
        </w:rPr>
        <w:t>.</w:t>
      </w:r>
      <w:r>
        <w:rPr>
          <w:b w:val="0"/>
          <w:i w:val="0"/>
        </w:rPr>
        <w:t xml:space="preserve"> Printed forms: </w:t>
      </w:r>
      <w:r>
        <w:rPr>
          <w:b w:val="0"/>
          <w:i/>
        </w:rPr>
        <w:t>congregatione</w:t>
      </w:r>
      <w:r>
        <w:rPr>
          <w:b w:val="0"/>
          <w:i w:val="0"/>
        </w:rPr>
        <w:t xml:space="preserve">; </w:t>
      </w:r>
      <w:r>
        <w:rPr>
          <w:b w:val="0"/>
          <w:i/>
        </w:rPr>
        <w:t>congregationem</w:t>
      </w:r>
      <w:r>
        <w:rPr>
          <w:b w:val="0"/>
          <w:i w:val="0"/>
        </w:rPr>
        <w:t xml:space="preserve">; </w:t>
      </w:r>
      <w:r>
        <w:rPr>
          <w:b w:val="0"/>
          <w:i/>
        </w:rPr>
        <w:t>congregentur</w:t>
      </w:r>
      <w:r>
        <w:rPr>
          <w:b w:val="0"/>
          <w:i w:val="0"/>
        </w:rPr>
        <w:t xml:space="preserve">; </w:t>
      </w:r>
      <w:r>
        <w:rPr>
          <w:b w:val="0"/>
          <w:i/>
        </w:rPr>
        <w:t>momento</w:t>
      </w:r>
      <w:r>
        <w:rPr>
          <w:b w:val="0"/>
          <w:i w:val="0"/>
        </w:rPr>
        <w:t xml:space="preserve">; </w:t>
      </w:r>
      <w:r>
        <w:rPr>
          <w:b w:val="0"/>
          <w:i/>
        </w:rPr>
        <w:t>momentorum</w:t>
      </w:r>
      <w:r>
        <w:rPr>
          <w:b w:val="0"/>
          <w:i w:val="0"/>
        </w:rPr>
        <w:t>.</w:t>
      </w:r>
    </w:p>
    <w:p>
      <w:pPr>
        <w:widowControl/>
      </w:pPr>
      <w:r>
        <w:rPr>
          <w:b w:val="0"/>
          <w:i w:val="0"/>
        </w:rPr>
        <w:t xml:space="preserve">Assembling distinct parts and an accumulation of moments. Ficino associates composite production with temporal aggregation and contrasts it with supposedly immediate sensing. References: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534" w:name="latin-record-0293"/>
      <w:bookmarkEnd w:id="534"/>
      <w:r>
        <w:rPr>
          <w:b/>
          <w:i w:val="0"/>
        </w:rPr>
        <w:t>congregatum; domus; paries</w:t>
      </w:r>
      <w:r>
        <w:rPr>
          <w:b/>
          <w:i w:val="0"/>
        </w:rPr>
        <w:t>.</w:t>
      </w:r>
      <w:r>
        <w:rPr>
          <w:b w:val="0"/>
          <w:i w:val="0"/>
        </w:rPr>
        <w:t xml:space="preserve"> Printed forms: </w:t>
      </w:r>
      <w:r>
        <w:rPr>
          <w:b w:val="0"/>
          <w:i/>
        </w:rPr>
        <w:t>congregatum</w:t>
      </w:r>
      <w:r>
        <w:rPr>
          <w:b w:val="0"/>
          <w:i w:val="0"/>
        </w:rPr>
        <w:t xml:space="preserve">; </w:t>
      </w:r>
      <w:r>
        <w:rPr>
          <w:b w:val="0"/>
          <w:i/>
        </w:rPr>
        <w:t>domus</w:t>
      </w:r>
      <w:r>
        <w:rPr>
          <w:b w:val="0"/>
          <w:i w:val="0"/>
        </w:rPr>
        <w:t xml:space="preserve">; </w:t>
      </w:r>
      <w:r>
        <w:rPr>
          <w:b w:val="0"/>
          <w:i/>
        </w:rPr>
        <w:t>parietibus</w:t>
      </w:r>
      <w:r>
        <w:rPr>
          <w:b w:val="0"/>
          <w:i w:val="0"/>
        </w:rPr>
        <w:t>.</w:t>
      </w:r>
    </w:p>
    <w:p>
      <w:pPr>
        <w:widowControl/>
      </w:pPr>
      <w:r>
        <w:rPr>
          <w:b w:val="0"/>
          <w:i w:val="0"/>
        </w:rPr>
        <w:t xml:space="preserve">Aggregate, house and walls. If each member had a different form, the result would resemble an artificial assembly rather than one natural organism. References: </w:t>
      </w:r>
      <w:hyperlink w:anchor="passage-vi-9-3">
        <w:r>
          <w:rPr>
            <w:color w:val="000000"/>
          </w:rPr>
          <w:t xml:space="preserve">VI.9.3</w:t>
        </w:r>
      </w:hyperlink>
      <w:r>
        <w:rPr>
          <w:b w:val="0"/>
          <w:i w:val="0"/>
        </w:rPr>
        <w:t xml:space="preserve">. See </w:t>
      </w:r>
      <w:hyperlink w:anchor="members-house-and-sinew">
        <w:r>
          <w:rPr>
            <w:color w:val="000000"/>
          </w:rPr>
          <w:t xml:space="preserve">Members, house and sinew</w:t>
        </w:r>
      </w:hyperlink>
      <w:r>
        <w:rPr>
          <w:b w:val="0"/>
          <w:i w:val="0"/>
        </w:rPr>
        <w:t>.</w:t>
      </w:r>
    </w:p>
    <w:p>
      <w:pPr>
        <w:keepNext/>
        <w:widowControl/>
      </w:pPr>
      <w:bookmarkStart w:id="535" w:name="latin-record-0294"/>
      <w:bookmarkEnd w:id="535"/>
      <w:r>
        <w:rPr>
          <w:b/>
          <w:i w:val="0"/>
        </w:rPr>
        <w:t>congruere / quadrare / aptare</w:t>
      </w:r>
      <w:r>
        <w:rPr>
          <w:b/>
          <w:i w:val="0"/>
        </w:rPr>
        <w:t>.</w:t>
      </w:r>
      <w:r>
        <w:rPr>
          <w:b w:val="0"/>
          <w:i w:val="0"/>
        </w:rPr>
        <w:t xml:space="preserve"> Printed forms: </w:t>
      </w:r>
      <w:r>
        <w:rPr>
          <w:b w:val="0"/>
          <w:i/>
        </w:rPr>
        <w:t>aptabis</w:t>
      </w:r>
      <w:r>
        <w:rPr>
          <w:b w:val="0"/>
          <w:i w:val="0"/>
        </w:rPr>
        <w:t xml:space="preserve">; </w:t>
      </w:r>
      <w:r>
        <w:rPr>
          <w:b w:val="0"/>
          <w:i/>
        </w:rPr>
        <w:t>congruet</w:t>
      </w:r>
      <w:r>
        <w:rPr>
          <w:b w:val="0"/>
          <w:i w:val="0"/>
        </w:rPr>
        <w:t xml:space="preserve">; </w:t>
      </w:r>
      <w:r>
        <w:rPr>
          <w:b w:val="0"/>
          <w:i/>
        </w:rPr>
        <w:t>quadrabit</w:t>
      </w:r>
      <w:r>
        <w:rPr>
          <w:b w:val="0"/>
          <w:i w:val="0"/>
        </w:rPr>
        <w:t>.</w:t>
      </w:r>
    </w:p>
    <w:p>
      <w:pPr>
        <w:widowControl/>
      </w:pPr>
      <w:r>
        <w:rPr>
          <w:b w:val="0"/>
          <w:i w:val="0"/>
        </w:rPr>
        <w:t xml:space="preserve">To fit, correspond or match one thing to another. No fixed size of sensory power can match every sensible object; equal-part assignment therefore does not explain universal perception. References: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536" w:name="latin-record-0295"/>
      <w:bookmarkEnd w:id="536"/>
      <w:r>
        <w:rPr>
          <w:b/>
          <w:i w:val="0"/>
        </w:rPr>
        <w:t>congruus / incongruus / obsistere</w:t>
      </w:r>
      <w:r>
        <w:rPr>
          <w:b/>
          <w:i w:val="0"/>
        </w:rPr>
        <w:t>.</w:t>
      </w:r>
      <w:r>
        <w:rPr>
          <w:b w:val="0"/>
          <w:i w:val="0"/>
        </w:rPr>
        <w:t xml:space="preserve"> Printed forms: </w:t>
      </w:r>
      <w:r>
        <w:rPr>
          <w:b w:val="0"/>
          <w:i/>
        </w:rPr>
        <w:t>congrua</w:t>
      </w:r>
      <w:r>
        <w:rPr>
          <w:b w:val="0"/>
          <w:i w:val="0"/>
        </w:rPr>
        <w:t xml:space="preserve">; </w:t>
      </w:r>
      <w:r>
        <w:rPr>
          <w:b w:val="0"/>
          <w:i/>
        </w:rPr>
        <w:t>incongruis</w:t>
      </w:r>
      <w:r>
        <w:rPr>
          <w:b w:val="0"/>
          <w:i w:val="0"/>
        </w:rPr>
        <w:t xml:space="preserve">; </w:t>
      </w:r>
      <w:r>
        <w:rPr>
          <w:b w:val="0"/>
          <w:i/>
        </w:rPr>
        <w:t>obsistit</w:t>
      </w:r>
      <w:r>
        <w:rPr>
          <w:b w:val="0"/>
          <w:i w:val="0"/>
        </w:rPr>
        <w:t>.</w:t>
      </w:r>
    </w:p>
    <w:p>
      <w:pPr>
        <w:widowControl/>
      </w:pPr>
      <w:r>
        <w:rPr>
          <w:b w:val="0"/>
          <w:i w:val="0"/>
        </w:rPr>
        <w:t xml:space="preserve">Congenial and uncongenial, and opposing what is uncongenial. The soul associates the former gladly and resists the latter painfully through its active responses.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537" w:name="latin-record-0296"/>
      <w:bookmarkEnd w:id="537"/>
      <w:r>
        <w:rPr>
          <w:b/>
          <w:i w:val="0"/>
        </w:rPr>
        <w:t>coniectura</w:t>
      </w:r>
      <w:r>
        <w:rPr>
          <w:b/>
          <w:i w:val="0"/>
        </w:rPr>
        <w:t>.</w:t>
      </w:r>
      <w:r>
        <w:rPr>
          <w:b w:val="0"/>
          <w:i w:val="0"/>
        </w:rPr>
        <w:t xml:space="preserve"> Printed forms: </w:t>
      </w:r>
      <w:r>
        <w:rPr>
          <w:b w:val="0"/>
          <w:i/>
        </w:rPr>
        <w:t>coniecturam</w:t>
      </w:r>
      <w:r>
        <w:rPr>
          <w:b w:val="0"/>
          <w:i w:val="0"/>
        </w:rPr>
        <w:t>.</w:t>
      </w:r>
    </w:p>
    <w:p>
      <w:pPr>
        <w:widowControl/>
      </w:pPr>
      <w:r>
        <w:rPr>
          <w:b w:val="0"/>
          <w:i w:val="0"/>
        </w:rPr>
        <w:t xml:space="preserve">An indication or supporting inference. Ficino introduces the prepared body’s immediate animation as a further indication, then tests cognition, appetite and being as possible causes. References: </w:t>
      </w:r>
      <w:hyperlink w:anchor="passage-v-14-2">
        <w:r>
          <w:rPr>
            <w:color w:val="000000"/>
          </w:rPr>
          <w:t xml:space="preserve">V.14.2</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538" w:name="latin-record-0297"/>
      <w:bookmarkEnd w:id="538"/>
      <w:r>
        <w:rPr>
          <w:b/>
          <w:i w:val="0"/>
        </w:rPr>
        <w:t>coniicere; coniectari</w:t>
      </w:r>
      <w:r>
        <w:rPr>
          <w:b/>
          <w:i w:val="0"/>
        </w:rPr>
        <w:t>.</w:t>
      </w:r>
      <w:r>
        <w:rPr>
          <w:b w:val="0"/>
          <w:i w:val="0"/>
        </w:rPr>
        <w:t xml:space="preserve"> Printed forms: </w:t>
      </w:r>
      <w:r>
        <w:rPr>
          <w:b w:val="0"/>
          <w:i/>
        </w:rPr>
        <w:t>coniectamur</w:t>
      </w:r>
      <w:r>
        <w:rPr>
          <w:b w:val="0"/>
          <w:i w:val="0"/>
        </w:rPr>
        <w:t xml:space="preserve">; </w:t>
      </w:r>
      <w:r>
        <w:rPr>
          <w:b w:val="0"/>
          <w:i/>
        </w:rPr>
        <w:t>coniicimus</w:t>
      </w:r>
      <w:r>
        <w:rPr>
          <w:b w:val="0"/>
          <w:i w:val="0"/>
        </w:rPr>
        <w:t>.</w:t>
      </w:r>
    </w:p>
    <w:p>
      <w:pPr>
        <w:widowControl/>
      </w:pPr>
      <w:r>
        <w:rPr>
          <w:b w:val="0"/>
          <w:i w:val="0"/>
        </w:rPr>
        <w:t xml:space="preserve">To infer or conjecture from an effect or image. The seen splendor indicates unseen radiance, and stellar light similarly suggests spiritual light in celestial souls. References: </w:t>
      </w:r>
      <w:hyperlink w:anchor="passage-vi-2-23">
        <w:r>
          <w:rPr>
            <w:color w:val="000000"/>
          </w:rPr>
          <w:t xml:space="preserve">VI.2.23</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539" w:name="latin-record-0298"/>
      <w:bookmarkEnd w:id="539"/>
      <w:r>
        <w:rPr>
          <w:b/>
          <w:i w:val="0"/>
        </w:rPr>
        <w:t>connectere / labi / abire</w:t>
      </w:r>
      <w:r>
        <w:rPr>
          <w:b/>
          <w:i w:val="0"/>
        </w:rPr>
        <w:t>.</w:t>
      </w:r>
      <w:r>
        <w:rPr>
          <w:b w:val="0"/>
          <w:i w:val="0"/>
        </w:rPr>
        <w:t xml:space="preserve"> Printed forms: </w:t>
      </w:r>
      <w:r>
        <w:rPr>
          <w:b w:val="0"/>
          <w:i/>
        </w:rPr>
        <w:t>abeunte</w:t>
      </w:r>
      <w:r>
        <w:rPr>
          <w:b w:val="0"/>
          <w:i w:val="0"/>
        </w:rPr>
        <w:t xml:space="preserve">; </w:t>
      </w:r>
      <w:r>
        <w:rPr>
          <w:b w:val="0"/>
          <w:i/>
        </w:rPr>
        <w:t>connectit</w:t>
      </w:r>
      <w:r>
        <w:rPr>
          <w:b w:val="0"/>
          <w:i w:val="0"/>
        </w:rPr>
        <w:t xml:space="preserve">; </w:t>
      </w:r>
      <w:r>
        <w:rPr>
          <w:b w:val="0"/>
          <w:i/>
        </w:rPr>
        <w:t>labitur</w:t>
      </w:r>
      <w:r>
        <w:rPr>
          <w:b w:val="0"/>
          <w:i w:val="0"/>
        </w:rPr>
        <w:t>.</w:t>
      </w:r>
    </w:p>
    <w:p>
      <w:pPr>
        <w:widowControl/>
      </w:pPr>
      <w:r>
        <w:rPr>
          <w:b w:val="0"/>
          <w:i w:val="0"/>
        </w:rPr>
        <w:t xml:space="preserve">To bind together, collapse and depart. Soul joins conflicting elements; its departure accompanies loss of the former bodily constitution and kind.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540" w:name="latin-record-0299"/>
      <w:bookmarkEnd w:id="540"/>
      <w:r>
        <w:rPr>
          <w:b/>
          <w:i w:val="0"/>
        </w:rPr>
        <w:t>connexus</w:t>
      </w:r>
      <w:r>
        <w:rPr>
          <w:b/>
          <w:i w:val="0"/>
        </w:rPr>
        <w:t>.</w:t>
      </w:r>
      <w:r>
        <w:rPr>
          <w:b w:val="0"/>
          <w:i w:val="0"/>
        </w:rPr>
        <w:t xml:space="preserve"> Printed forms: </w:t>
      </w:r>
      <w:r>
        <w:rPr>
          <w:b w:val="0"/>
          <w:i/>
        </w:rPr>
        <w:t>connexae</w:t>
      </w:r>
      <w:r>
        <w:rPr>
          <w:b w:val="0"/>
          <w:i w:val="0"/>
        </w:rPr>
        <w:t>.</w:t>
      </w:r>
    </w:p>
    <w:p>
      <w:pPr>
        <w:widowControl/>
      </w:pPr>
      <w:r>
        <w:rPr>
          <w:b w:val="0"/>
          <w:i w:val="0"/>
        </w:rPr>
        <w:t xml:space="preserve">Connected or interlinked; connexae describes feminine plural things linked with one another. The virtues are said to be so connected that each is wholly present in each, in parallel with the mutual implication of propositions. The claimed connection is ethical and intelligible rather than a spatial fastening of bodily parts. References: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541" w:name="latin-record-0300"/>
      <w:bookmarkEnd w:id="541"/>
      <w:r>
        <w:rPr>
          <w:b/>
          <w:i w:val="0"/>
        </w:rPr>
        <w:t>conscius / animadversio</w:t>
      </w:r>
      <w:r>
        <w:rPr>
          <w:b/>
          <w:i w:val="0"/>
        </w:rPr>
        <w:t>.</w:t>
      </w:r>
      <w:r>
        <w:rPr>
          <w:b w:val="0"/>
          <w:i w:val="0"/>
        </w:rPr>
        <w:t xml:space="preserve"> Printed forms: </w:t>
      </w:r>
      <w:r>
        <w:rPr>
          <w:b w:val="0"/>
          <w:i/>
        </w:rPr>
        <w:t>agnoscit</w:t>
      </w:r>
      <w:r>
        <w:rPr>
          <w:b w:val="0"/>
          <w:i w:val="0"/>
        </w:rPr>
        <w:t xml:space="preserve">; </w:t>
      </w:r>
      <w:r>
        <w:rPr>
          <w:b w:val="0"/>
          <w:i/>
        </w:rPr>
        <w:t>animadversione</w:t>
      </w:r>
      <w:r>
        <w:rPr>
          <w:b w:val="0"/>
          <w:i w:val="0"/>
        </w:rPr>
        <w:t xml:space="preserve">; </w:t>
      </w:r>
      <w:r>
        <w:rPr>
          <w:b w:val="0"/>
          <w:i/>
        </w:rPr>
        <w:t>animadvertat</w:t>
      </w:r>
      <w:r>
        <w:rPr>
          <w:b w:val="0"/>
          <w:i w:val="0"/>
        </w:rPr>
        <w:t xml:space="preserve">; </w:t>
      </w:r>
      <w:r>
        <w:rPr>
          <w:b w:val="0"/>
          <w:i/>
        </w:rPr>
        <w:t>animadvertit</w:t>
      </w:r>
      <w:r>
        <w:rPr>
          <w:b w:val="0"/>
          <w:i w:val="0"/>
        </w:rPr>
        <w:t xml:space="preserve">; </w:t>
      </w:r>
      <w:r>
        <w:rPr>
          <w:b w:val="0"/>
          <w:i/>
        </w:rPr>
        <w:t>conscius</w:t>
      </w:r>
      <w:r>
        <w:rPr>
          <w:b w:val="0"/>
          <w:i w:val="0"/>
        </w:rPr>
        <w:t>.</w:t>
      </w:r>
    </w:p>
    <w:p>
      <w:pPr>
        <w:widowControl/>
      </w:pPr>
      <w:r>
        <w:rPr>
          <w:b w:val="0"/>
          <w:i w:val="0"/>
        </w:rPr>
        <w:t xml:space="preserve">Self-aware, attentive noticing and recognition of one’s own act. Reflexive mind knows its knowing and willing, unlike sensation as characterized in this argument; recursive levels need not be simultaneously completed. References: </w:t>
      </w:r>
      <w:hyperlink w:anchor="passage-viii-15-1">
        <w:r>
          <w:rPr>
            <w:color w:val="000000"/>
          </w:rPr>
          <w:t xml:space="preserve">VIII.15.1</w:t>
        </w:r>
      </w:hyperlink>
      <w:r>
        <w:rPr>
          <w:b w:val="0"/>
          <w:i w:val="0"/>
        </w:rPr>
        <w:t xml:space="preserve">, </w:t>
      </w:r>
      <w:hyperlink w:anchor="passage-viii-16-1">
        <w:r>
          <w:rPr>
            <w:color w:val="000000"/>
          </w:rPr>
          <w:t xml:space="preserve">VIII.16.1</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542" w:name="latin-record-0301"/>
      <w:bookmarkEnd w:id="542"/>
      <w:r>
        <w:rPr>
          <w:b/>
          <w:i w:val="0"/>
        </w:rPr>
        <w:t>consensio stabilis</w:t>
      </w:r>
      <w:r>
        <w:rPr>
          <w:b/>
          <w:i w:val="0"/>
        </w:rPr>
        <w:t>.</w:t>
      </w:r>
      <w:r>
        <w:rPr>
          <w:b w:val="0"/>
          <w:i w:val="0"/>
        </w:rPr>
        <w:t xml:space="preserve"> Printed forms: </w:t>
      </w:r>
      <w:r>
        <w:rPr>
          <w:b w:val="0"/>
          <w:i/>
        </w:rPr>
        <w:t>consensio</w:t>
      </w:r>
      <w:r>
        <w:rPr>
          <w:b w:val="0"/>
          <w:i w:val="0"/>
        </w:rPr>
        <w:t xml:space="preserve">; </w:t>
      </w:r>
      <w:r>
        <w:rPr>
          <w:b w:val="0"/>
          <w:i/>
        </w:rPr>
        <w:t>convenire</w:t>
      </w:r>
      <w:r>
        <w:rPr>
          <w:b w:val="0"/>
          <w:i w:val="0"/>
        </w:rPr>
        <w:t xml:space="preserve">; </w:t>
      </w:r>
      <w:r>
        <w:rPr>
          <w:b w:val="0"/>
          <w:i/>
        </w:rPr>
        <w:t>stabilis</w:t>
      </w:r>
      <w:r>
        <w:rPr>
          <w:b w:val="0"/>
          <w:i w:val="0"/>
        </w:rPr>
        <w:t>.</w:t>
      </w:r>
    </w:p>
    <w:p>
      <w:pPr>
        <w:widowControl/>
      </w:pPr>
      <w:r>
        <w:rPr>
          <w:b w:val="0"/>
          <w:i w:val="0"/>
        </w:rPr>
        <w:t xml:space="preserve">Stable agreement of minds in their shared desire for truth. It is contrasted with appetites varying with bodily constitution and change, not with every difference of opinion between people. References: </w:t>
      </w:r>
      <w:hyperlink w:anchor="passage-viii-2-6">
        <w:r>
          <w:rPr>
            <w:color w:val="000000"/>
          </w:rPr>
          <w:t xml:space="preserve">VIII.2.6</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543" w:name="latin-record-0302"/>
      <w:bookmarkEnd w:id="543"/>
      <w:r>
        <w:rPr>
          <w:b/>
          <w:i w:val="0"/>
        </w:rPr>
        <w:t>consensio; concordia; conglutinare</w:t>
      </w:r>
      <w:r>
        <w:rPr>
          <w:b/>
          <w:i w:val="0"/>
        </w:rPr>
        <w:t>.</w:t>
      </w:r>
      <w:r>
        <w:rPr>
          <w:b w:val="0"/>
          <w:i w:val="0"/>
        </w:rPr>
        <w:t xml:space="preserve"> Printed forms: </w:t>
      </w:r>
      <w:r>
        <w:rPr>
          <w:b w:val="0"/>
          <w:i/>
        </w:rPr>
        <w:t>conglutinentur</w:t>
      </w:r>
      <w:r>
        <w:rPr>
          <w:b w:val="0"/>
          <w:i w:val="0"/>
        </w:rPr>
        <w:t xml:space="preserve">; </w:t>
      </w:r>
      <w:r>
        <w:rPr>
          <w:b w:val="0"/>
          <w:i/>
        </w:rPr>
        <w:t>consensio et concordia</w:t>
      </w:r>
      <w:r>
        <w:rPr>
          <w:b w:val="0"/>
          <w:i w:val="0"/>
        </w:rPr>
        <w:t>.</w:t>
      </w:r>
    </w:p>
    <w:p>
      <w:pPr>
        <w:widowControl/>
      </w:pPr>
      <w:r>
        <w:rPr>
          <w:b w:val="0"/>
          <w:i w:val="0"/>
        </w:rPr>
        <w:t xml:space="preserve">Mutual coordination and agreement; being bound together. The concord of diverse members supports one soul present throughout rather than a form confined to one organ. References: </w:t>
      </w:r>
      <w:hyperlink w:anchor="passage-vi-9-3">
        <w:r>
          <w:rPr>
            <w:color w:val="000000"/>
          </w:rPr>
          <w:t xml:space="preserve">VI.9.3</w:t>
        </w:r>
      </w:hyperlink>
      <w:r>
        <w:rPr>
          <w:b w:val="0"/>
          <w:i w:val="0"/>
        </w:rPr>
        <w:t xml:space="preserve">. See </w:t>
      </w:r>
      <w:hyperlink w:anchor="members-house-and-sinew">
        <w:r>
          <w:rPr>
            <w:color w:val="000000"/>
          </w:rPr>
          <w:t xml:space="preserve">Members, house and sinew</w:t>
        </w:r>
      </w:hyperlink>
      <w:r>
        <w:rPr>
          <w:b w:val="0"/>
          <w:i w:val="0"/>
        </w:rPr>
        <w:t>.</w:t>
      </w:r>
    </w:p>
    <w:p>
      <w:pPr>
        <w:keepNext/>
        <w:widowControl/>
      </w:pPr>
      <w:bookmarkStart w:id="544" w:name="latin-record-0303"/>
      <w:bookmarkEnd w:id="544"/>
      <w:r>
        <w:rPr>
          <w:b/>
          <w:i w:val="0"/>
        </w:rPr>
        <w:t>consentire</w:t>
      </w:r>
      <w:r>
        <w:rPr>
          <w:b/>
          <w:i w:val="0"/>
        </w:rPr>
        <w:t>.</w:t>
      </w:r>
      <w:r>
        <w:rPr>
          <w:b w:val="0"/>
          <w:i w:val="0"/>
        </w:rPr>
        <w:t xml:space="preserve"> Printed forms: </w:t>
      </w:r>
      <w:r>
        <w:rPr>
          <w:b w:val="0"/>
          <w:i/>
        </w:rPr>
        <w:t>consentit</w:t>
      </w:r>
      <w:r>
        <w:rPr>
          <w:b w:val="0"/>
          <w:i w:val="0"/>
        </w:rPr>
        <w:t>.</w:t>
      </w:r>
    </w:p>
    <w:p>
      <w:pPr>
        <w:widowControl/>
      </w:pPr>
      <w:r>
        <w:rPr>
          <w:b w:val="0"/>
          <w:i w:val="0"/>
        </w:rPr>
        <w:t xml:space="preserve">To agree or accord with what came before. The question asks how a newly arrived soul could share the previous soul’s dispositions and knowledge. References: </w:t>
      </w:r>
      <w:hyperlink w:anchor="passage-vi-13-5">
        <w:r>
          <w:rPr>
            <w:color w:val="000000"/>
          </w:rPr>
          <w:t xml:space="preserve">VI.13.5</w:t>
        </w:r>
      </w:hyperlink>
      <w:r>
        <w:rPr>
          <w:b w:val="0"/>
          <w:i w:val="0"/>
        </w:rPr>
        <w:t xml:space="preserve">. See </w:t>
      </w:r>
      <w:hyperlink w:anchor="food-lending-and-borrowing-life">
        <w:r>
          <w:rPr>
            <w:color w:val="000000"/>
          </w:rPr>
          <w:t xml:space="preserve">Food, lending and borrowing life</w:t>
        </w:r>
      </w:hyperlink>
      <w:r>
        <w:rPr>
          <w:b w:val="0"/>
          <w:i w:val="0"/>
        </w:rPr>
        <w:t>.</w:t>
      </w:r>
    </w:p>
    <w:p>
      <w:pPr>
        <w:keepNext/>
        <w:widowControl/>
      </w:pPr>
      <w:bookmarkStart w:id="545" w:name="latin-record-0304"/>
      <w:bookmarkEnd w:id="545"/>
      <w:r>
        <w:rPr>
          <w:b/>
          <w:i w:val="0"/>
        </w:rPr>
        <w:t>conservare / servare</w:t>
      </w:r>
      <w:r>
        <w:rPr>
          <w:b/>
          <w:i w:val="0"/>
        </w:rPr>
        <w:t>.</w:t>
      </w:r>
      <w:r>
        <w:rPr>
          <w:b w:val="0"/>
          <w:i w:val="0"/>
        </w:rPr>
        <w:t xml:space="preserve"> Printed forms: </w:t>
      </w:r>
      <w:r>
        <w:rPr>
          <w:b w:val="0"/>
          <w:i/>
        </w:rPr>
        <w:t>conservatorem</w:t>
      </w:r>
      <w:r>
        <w:rPr>
          <w:b w:val="0"/>
          <w:i w:val="0"/>
        </w:rPr>
        <w:t xml:space="preserve">; </w:t>
      </w:r>
      <w:r>
        <w:rPr>
          <w:b w:val="0"/>
          <w:i/>
        </w:rPr>
        <w:t>conservatrix</w:t>
      </w:r>
      <w:r>
        <w:rPr>
          <w:b w:val="0"/>
          <w:i w:val="0"/>
        </w:rPr>
        <w:t xml:space="preserve">; </w:t>
      </w:r>
      <w:r>
        <w:rPr>
          <w:b w:val="0"/>
          <w:i/>
        </w:rPr>
        <w:t>conservet</w:t>
      </w:r>
      <w:r>
        <w:rPr>
          <w:b w:val="0"/>
          <w:i w:val="0"/>
        </w:rPr>
        <w:t xml:space="preserve">; </w:t>
      </w:r>
      <w:r>
        <w:rPr>
          <w:b w:val="0"/>
          <w:i/>
        </w:rPr>
        <w:t>servat</w:t>
      </w:r>
      <w:r>
        <w:rPr>
          <w:b w:val="0"/>
          <w:i w:val="0"/>
        </w:rPr>
        <w:t xml:space="preserve">; </w:t>
      </w:r>
      <w:r>
        <w:rPr>
          <w:b w:val="0"/>
          <w:i/>
        </w:rPr>
        <w:t>servatur</w:t>
      </w:r>
      <w:r>
        <w:rPr>
          <w:b w:val="0"/>
          <w:i w:val="0"/>
        </w:rPr>
        <w:t>.</w:t>
      </w:r>
    </w:p>
    <w:p>
      <w:pPr>
        <w:widowControl/>
      </w:pPr>
      <w:r>
        <w:rPr>
          <w:b w:val="0"/>
          <w:i w:val="0"/>
        </w:rPr>
        <w:t xml:space="preserve">To preserve or maintain an effect in being. God’s conserving power is the power that created; preservation is therefore not merely the absence of an external attack. References: </w:t>
      </w:r>
      <w:hyperlink w:anchor="passage-v-4-2">
        <w:r>
          <w:rPr>
            <w:color w:val="000000"/>
          </w:rPr>
          <w:t xml:space="preserve">V.4.2</w:t>
        </w:r>
      </w:hyperlink>
      <w:r>
        <w:rPr>
          <w:b w:val="0"/>
          <w:i w:val="0"/>
        </w:rPr>
        <w:t xml:space="preserve">, </w:t>
      </w:r>
      <w:hyperlink w:anchor="passage-v-6-1">
        <w:r>
          <w:rPr>
            <w:color w:val="000000"/>
          </w:rPr>
          <w:t xml:space="preserve">V.6.1</w:t>
        </w:r>
      </w:hyperlink>
      <w:r>
        <w:rPr>
          <w:b w:val="0"/>
          <w:i w:val="0"/>
        </w:rPr>
        <w:t xml:space="preserve">, </w:t>
      </w:r>
      <w:hyperlink w:anchor="passage-v-12-12">
        <w:r>
          <w:rPr>
            <w:color w:val="000000"/>
          </w:rPr>
          <w:t xml:space="preserve">V.12.12</w:t>
        </w:r>
      </w:hyperlink>
      <w:r>
        <w:rPr>
          <w:b w:val="0"/>
          <w:i w:val="0"/>
        </w:rPr>
        <w:t xml:space="preserve">, </w:t>
      </w:r>
      <w:hyperlink w:anchor="passage-v-13-17">
        <w:r>
          <w:rPr>
            <w:color w:val="000000"/>
          </w:rPr>
          <w:t xml:space="preserve">V.13.17</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546" w:name="latin-record-0305"/>
      <w:bookmarkEnd w:id="546"/>
      <w:r>
        <w:rPr>
          <w:b/>
          <w:i w:val="0"/>
        </w:rPr>
        <w:t>conservator / servator</w:t>
      </w:r>
      <w:r>
        <w:rPr>
          <w:b/>
          <w:i w:val="0"/>
        </w:rPr>
        <w:t>.</w:t>
      </w:r>
      <w:r>
        <w:rPr>
          <w:b w:val="0"/>
          <w:i w:val="0"/>
        </w:rPr>
        <w:t xml:space="preserve"> Printed forms: </w:t>
      </w:r>
      <w:r>
        <w:rPr>
          <w:b w:val="0"/>
          <w:i/>
        </w:rPr>
        <w:t>admovet</w:t>
      </w:r>
      <w:r>
        <w:rPr>
          <w:b w:val="0"/>
          <w:i w:val="0"/>
        </w:rPr>
        <w:t xml:space="preserve">; </w:t>
      </w:r>
      <w:r>
        <w:rPr>
          <w:b w:val="0"/>
          <w:i/>
        </w:rPr>
        <w:t>causis</w:t>
      </w:r>
      <w:r>
        <w:rPr>
          <w:b w:val="0"/>
          <w:i w:val="0"/>
        </w:rPr>
        <w:t xml:space="preserve">; </w:t>
      </w:r>
      <w:r>
        <w:rPr>
          <w:b w:val="0"/>
          <w:i/>
        </w:rPr>
        <w:t>conservatoribus</w:t>
      </w:r>
      <w:r>
        <w:rPr>
          <w:b w:val="0"/>
          <w:i w:val="0"/>
        </w:rPr>
        <w:t xml:space="preserve">; </w:t>
      </w:r>
      <w:r>
        <w:rPr>
          <w:b w:val="0"/>
          <w:i/>
        </w:rPr>
        <w:t>servatoribus</w:t>
      </w:r>
      <w:r>
        <w:rPr>
          <w:b w:val="0"/>
          <w:i w:val="0"/>
        </w:rPr>
        <w:t>.</w:t>
      </w:r>
    </w:p>
    <w:p>
      <w:pPr>
        <w:widowControl/>
      </w:pPr>
      <w:r>
        <w:rPr>
          <w:b w:val="0"/>
          <w:i w:val="0"/>
        </w:rPr>
        <w:t xml:space="preserve">Preserving causes or preservers to which a dependent being remains related. The second anti-corruption argument concerns separation from these sources, distinct from destruction by an opposite. References: </w:t>
      </w:r>
      <w:hyperlink w:anchor="passage-viii-12-1">
        <w:r>
          <w:rPr>
            <w:color w:val="000000"/>
          </w:rPr>
          <w:t xml:space="preserve">VIII.12.1</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547" w:name="latin-record-0306"/>
      <w:bookmarkEnd w:id="547"/>
      <w:r>
        <w:rPr>
          <w:b/>
          <w:i w:val="0"/>
        </w:rPr>
        <w:t>considerare / contemplari / speculari / inspicere</w:t>
      </w:r>
      <w:r>
        <w:rPr>
          <w:b/>
          <w:i w:val="0"/>
        </w:rPr>
        <w:t>.</w:t>
      </w:r>
      <w:r>
        <w:rPr>
          <w:b w:val="0"/>
          <w:i w:val="0"/>
        </w:rPr>
        <w:t xml:space="preserve"> Printed forms: </w:t>
      </w:r>
      <w:r>
        <w:rPr>
          <w:b w:val="0"/>
          <w:i/>
        </w:rPr>
        <w:t>aspicitur</w:t>
      </w:r>
      <w:r>
        <w:rPr>
          <w:b w:val="0"/>
          <w:i w:val="0"/>
        </w:rPr>
        <w:t xml:space="preserve">; </w:t>
      </w:r>
      <w:r>
        <w:rPr>
          <w:b w:val="0"/>
          <w:i/>
        </w:rPr>
        <w:t>considerando</w:t>
      </w:r>
      <w:r>
        <w:rPr>
          <w:b w:val="0"/>
          <w:i w:val="0"/>
        </w:rPr>
        <w:t xml:space="preserve">; </w:t>
      </w:r>
      <w:r>
        <w:rPr>
          <w:b w:val="0"/>
          <w:i/>
        </w:rPr>
        <w:t>considerat</w:t>
      </w:r>
      <w:r>
        <w:rPr>
          <w:b w:val="0"/>
          <w:i w:val="0"/>
        </w:rPr>
        <w:t xml:space="preserve">; </w:t>
      </w:r>
      <w:r>
        <w:rPr>
          <w:b w:val="0"/>
          <w:i/>
        </w:rPr>
        <w:t>contemplatur</w:t>
      </w:r>
      <w:r>
        <w:rPr>
          <w:b w:val="0"/>
          <w:i w:val="0"/>
        </w:rPr>
        <w:t xml:space="preserve">; </w:t>
      </w:r>
      <w:r>
        <w:rPr>
          <w:b w:val="0"/>
          <w:i/>
        </w:rPr>
        <w:t>inspiciet</w:t>
      </w:r>
      <w:r>
        <w:rPr>
          <w:b w:val="0"/>
          <w:i w:val="0"/>
        </w:rPr>
        <w:t xml:space="preserve">; </w:t>
      </w:r>
      <w:r>
        <w:rPr>
          <w:b w:val="0"/>
          <w:i/>
        </w:rPr>
        <w:t>inspicit</w:t>
      </w:r>
      <w:r>
        <w:rPr>
          <w:b w:val="0"/>
          <w:i w:val="0"/>
        </w:rPr>
        <w:t xml:space="preserve">; </w:t>
      </w:r>
      <w:r>
        <w:rPr>
          <w:b w:val="0"/>
          <w:i/>
        </w:rPr>
        <w:t>prospicit</w:t>
      </w:r>
      <w:r>
        <w:rPr>
          <w:b w:val="0"/>
          <w:i w:val="0"/>
        </w:rPr>
        <w:t xml:space="preserve">; </w:t>
      </w:r>
      <w:r>
        <w:rPr>
          <w:b w:val="0"/>
          <w:i/>
        </w:rPr>
        <w:t>respicit</w:t>
      </w:r>
      <w:r>
        <w:rPr>
          <w:b w:val="0"/>
          <w:i w:val="0"/>
        </w:rPr>
        <w:t xml:space="preserve">; </w:t>
      </w:r>
      <w:r>
        <w:rPr>
          <w:b w:val="0"/>
          <w:i/>
        </w:rPr>
        <w:t>spectat</w:t>
      </w:r>
      <w:r>
        <w:rPr>
          <w:b w:val="0"/>
          <w:i w:val="0"/>
        </w:rPr>
        <w:t xml:space="preserve">; </w:t>
      </w:r>
      <w:r>
        <w:rPr>
          <w:b w:val="0"/>
          <w:i/>
        </w:rPr>
        <w:t>speculando</w:t>
      </w:r>
      <w:r>
        <w:rPr>
          <w:b w:val="0"/>
          <w:i w:val="0"/>
        </w:rPr>
        <w:t xml:space="preserve">; </w:t>
      </w:r>
      <w:r>
        <w:rPr>
          <w:b w:val="0"/>
          <w:i/>
        </w:rPr>
        <w:t>speculatio</w:t>
      </w:r>
      <w:r>
        <w:rPr>
          <w:b w:val="0"/>
          <w:i w:val="0"/>
        </w:rPr>
        <w:t xml:space="preserve">; </w:t>
      </w:r>
      <w:r>
        <w:rPr>
          <w:b w:val="0"/>
          <w:i/>
        </w:rPr>
        <w:t>speculatur</w:t>
      </w:r>
      <w:r>
        <w:rPr>
          <w:b w:val="0"/>
          <w:i w:val="0"/>
        </w:rPr>
        <w:t>.</w:t>
      </w:r>
    </w:p>
    <w:p>
      <w:pPr>
        <w:widowControl/>
      </w:pPr>
      <w:r>
        <w:rPr>
          <w:b w:val="0"/>
          <w:i w:val="0"/>
        </w:rPr>
        <w:t xml:space="preserve">Considering, contemplating and intellectual inspection. The verbs name different descriptions of mind’s attention, which can take bodies, common natures, its own acts or divine things as objects. References: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2-5">
        <w:r>
          <w:rPr>
            <w:color w:val="000000"/>
          </w:rPr>
          <w:t xml:space="preserve">VIII.2.5</w:t>
        </w:r>
      </w:hyperlink>
      <w:r>
        <w:rPr>
          <w:b w:val="0"/>
          <w:i w:val="0"/>
        </w:rPr>
        <w:t xml:space="preserve">, </w:t>
      </w:r>
      <w:hyperlink w:anchor="passage-viii-2-7">
        <w:r>
          <w:rPr>
            <w:color w:val="000000"/>
          </w:rPr>
          <w:t xml:space="preserve">VIII.2.7</w:t>
        </w:r>
      </w:hyperlink>
      <w:r>
        <w:rPr>
          <w:b w:val="0"/>
          <w:i w:val="0"/>
        </w:rPr>
        <w:t xml:space="preserve">, </w:t>
      </w:r>
      <w:hyperlink w:anchor="passage-viii-3-1">
        <w:r>
          <w:rPr>
            <w:color w:val="000000"/>
          </w:rPr>
          <w:t xml:space="preserve">VIII.3.1</w:t>
        </w:r>
      </w:hyperlink>
      <w:r>
        <w:rPr>
          <w:b w:val="0"/>
          <w:i w:val="0"/>
        </w:rPr>
        <w:t xml:space="preserve">, </w:t>
      </w:r>
      <w:hyperlink w:anchor="passage-viii-3-2">
        <w:r>
          <w:rPr>
            <w:color w:val="000000"/>
          </w:rPr>
          <w:t xml:space="preserve">VIII.3.2</w:t>
        </w:r>
      </w:hyperlink>
      <w:r>
        <w:rPr>
          <w:b w:val="0"/>
          <w:i w:val="0"/>
        </w:rPr>
        <w:t xml:space="preserve">, </w:t>
      </w:r>
      <w:hyperlink w:anchor="passage-viii-3-7">
        <w:r>
          <w:rPr>
            <w:color w:val="000000"/>
          </w:rPr>
          <w:t xml:space="preserve">VIII.3.7</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4-9">
        <w:r>
          <w:rPr>
            <w:color w:val="000000"/>
          </w:rPr>
          <w:t xml:space="preserve">VIII.4.9</w:t>
        </w:r>
      </w:hyperlink>
      <w:r>
        <w:rPr>
          <w:b w:val="0"/>
          <w:i w:val="0"/>
        </w:rPr>
        <w:t xml:space="preserve">, </w:t>
      </w:r>
      <w:hyperlink w:anchor="passage-viii-5-2">
        <w:r>
          <w:rPr>
            <w:color w:val="000000"/>
          </w:rPr>
          <w:t xml:space="preserve">VIII.5.2</w:t>
        </w:r>
      </w:hyperlink>
      <w:r>
        <w:rPr>
          <w:b w:val="0"/>
          <w:i w:val="0"/>
        </w:rPr>
        <w:t xml:space="preserve">, </w:t>
      </w:r>
      <w:hyperlink w:anchor="passage-viii-11-1">
        <w:r>
          <w:rPr>
            <w:color w:val="000000"/>
          </w:rPr>
          <w:t xml:space="preserve">VIII.11.1</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See </w:t>
      </w:r>
      <w:hyperlink w:anchor="viii-repose-contemplation">
        <w:r>
          <w:rPr>
            <w:color w:val="000000"/>
          </w:rPr>
          <w:t xml:space="preserve">Repose, motion, and contemplation</w:t>
        </w:r>
      </w:hyperlink>
      <w:r>
        <w:rPr>
          <w:b w:val="0"/>
          <w:i w:val="0"/>
        </w:rPr>
        <w:t>.</w:t>
      </w:r>
    </w:p>
    <w:p>
      <w:pPr>
        <w:keepNext/>
        <w:widowControl/>
      </w:pPr>
      <w:bookmarkStart w:id="548" w:name="latin-record-0307"/>
      <w:bookmarkEnd w:id="548"/>
      <w:r>
        <w:rPr>
          <w:b/>
          <w:i w:val="0"/>
        </w:rPr>
        <w:t>consilium</w:t>
      </w:r>
      <w:r>
        <w:rPr>
          <w:b/>
          <w:i w:val="0"/>
        </w:rPr>
        <w:t>.</w:t>
      </w:r>
      <w:r>
        <w:rPr>
          <w:b w:val="0"/>
          <w:i w:val="0"/>
        </w:rPr>
        <w:t xml:space="preserve"> Printed forms: </w:t>
      </w:r>
      <w:r>
        <w:rPr>
          <w:b w:val="0"/>
          <w:i/>
        </w:rPr>
        <w:t>consilio</w:t>
      </w:r>
      <w:r>
        <w:rPr>
          <w:b w:val="0"/>
          <w:i w:val="0"/>
        </w:rPr>
        <w:t>.</w:t>
      </w:r>
    </w:p>
    <w:p>
      <w:pPr>
        <w:widowControl/>
      </w:pPr>
      <w:r>
        <w:rPr>
          <w:b w:val="0"/>
          <w:i w:val="0"/>
        </w:rPr>
        <w:t xml:space="preserve">Deliberation or counsel, a proposed but rejected immediate basis of bodily animation. If every hidden bodily process required such cognition, everyone would know its workings; Ficino instead locates vivification in natural power. References: </w:t>
      </w:r>
      <w:hyperlink w:anchor="passage-v-14-2">
        <w:r>
          <w:rPr>
            <w:color w:val="000000"/>
          </w:rPr>
          <w:t xml:space="preserve">V.14.2</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549" w:name="latin-record-0308"/>
      <w:bookmarkEnd w:id="549"/>
      <w:r>
        <w:rPr>
          <w:b/>
          <w:i w:val="0"/>
        </w:rPr>
        <w:t>consonantia / harmonia</w:t>
      </w:r>
      <w:r>
        <w:rPr>
          <w:b/>
          <w:i w:val="0"/>
        </w:rPr>
        <w:t>.</w:t>
      </w:r>
      <w:r>
        <w:rPr>
          <w:b w:val="0"/>
          <w:i w:val="0"/>
        </w:rPr>
        <w:t xml:space="preserve"> Printed forms: </w:t>
      </w:r>
      <w:r>
        <w:rPr>
          <w:b w:val="0"/>
          <w:i/>
        </w:rPr>
        <w:t>consonantia</w:t>
      </w:r>
      <w:r>
        <w:rPr>
          <w:b w:val="0"/>
          <w:i w:val="0"/>
        </w:rPr>
        <w:t xml:space="preserve">; </w:t>
      </w:r>
      <w:r>
        <w:rPr>
          <w:b w:val="0"/>
          <w:i/>
        </w:rPr>
        <w:t>harmonia</w:t>
      </w:r>
      <w:r>
        <w:rPr>
          <w:b w:val="0"/>
          <w:i w:val="0"/>
        </w:rPr>
        <w:t xml:space="preserve">; </w:t>
      </w:r>
      <w:r>
        <w:rPr>
          <w:b w:val="0"/>
          <w:i/>
        </w:rPr>
        <w:t>harmoniae</w:t>
      </w:r>
      <w:r>
        <w:rPr>
          <w:b w:val="0"/>
          <w:i w:val="0"/>
        </w:rPr>
        <w:t>.</w:t>
      </w:r>
    </w:p>
    <w:p>
      <w:pPr>
        <w:widowControl/>
      </w:pPr>
      <w:r>
        <w:rPr>
          <w:b w:val="0"/>
          <w:i w:val="0"/>
        </w:rPr>
        <w:t xml:space="preserve">Concord or harmony, used as a proposed bodily explanation of mind. The argument tests its dependence on mutable body, then contrasts bodily and mental concord in experience. References: </w:t>
      </w:r>
      <w:hyperlink w:anchor="passage-v-15-10">
        <w:r>
          <w:rPr>
            <w:color w:val="000000"/>
          </w:rPr>
          <w:t xml:space="preserve">V.15.10</w:t>
        </w:r>
      </w:hyperlink>
      <w:r>
        <w:rPr>
          <w:b w:val="0"/>
          <w:i w:val="0"/>
        </w:rPr>
        <w:t xml:space="preserve">, </w:t>
      </w:r>
      <w:hyperlink w:anchor="passage-v-15-12">
        <w:r>
          <w:rPr>
            <w:color w:val="000000"/>
          </w:rPr>
          <w:t xml:space="preserve">V.15.12</w:t>
        </w:r>
      </w:hyperlink>
      <w:r>
        <w:rPr>
          <w:b w:val="0"/>
          <w:i w:val="0"/>
        </w:rPr>
        <w:t xml:space="preserve">, </w:t>
      </w:r>
      <w:hyperlink w:anchor="passage-v-15-16">
        <w:r>
          <w:rPr>
            <w:color w:val="000000"/>
          </w:rPr>
          <w:t xml:space="preserve">V.15.16</w:t>
        </w:r>
      </w:hyperlink>
      <w:r>
        <w:rPr>
          <w:b w:val="0"/>
          <w:i w:val="0"/>
        </w:rPr>
        <w:t xml:space="preserve">, </w:t>
      </w:r>
      <w:hyperlink w:anchor="passage-v-15-18">
        <w:r>
          <w:rPr>
            <w:color w:val="000000"/>
          </w:rPr>
          <w:t xml:space="preserve">V.15.18</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550" w:name="latin-record-0309"/>
      <w:bookmarkEnd w:id="550"/>
      <w:r>
        <w:rPr>
          <w:b/>
          <w:i w:val="0"/>
        </w:rPr>
        <w:t>consonantia; dissonus</w:t>
      </w:r>
      <w:r>
        <w:rPr>
          <w:b/>
          <w:i w:val="0"/>
        </w:rPr>
        <w:t>.</w:t>
      </w:r>
      <w:r>
        <w:rPr>
          <w:b w:val="0"/>
          <w:i w:val="0"/>
        </w:rPr>
        <w:t xml:space="preserve"> Printed forms: </w:t>
      </w:r>
      <w:r>
        <w:rPr>
          <w:b w:val="0"/>
          <w:i/>
        </w:rPr>
        <w:t>concordiam</w:t>
      </w:r>
      <w:r>
        <w:rPr>
          <w:b w:val="0"/>
          <w:i w:val="0"/>
        </w:rPr>
        <w:t xml:space="preserve">; </w:t>
      </w:r>
      <w:r>
        <w:rPr>
          <w:b w:val="0"/>
          <w:i/>
        </w:rPr>
        <w:t>consonantiam</w:t>
      </w:r>
      <w:r>
        <w:rPr>
          <w:b w:val="0"/>
          <w:i w:val="0"/>
        </w:rPr>
        <w:t xml:space="preserve">; </w:t>
      </w:r>
      <w:r>
        <w:rPr>
          <w:b w:val="0"/>
          <w:i/>
        </w:rPr>
        <w:t>dissonas</w:t>
      </w:r>
      <w:r>
        <w:rPr>
          <w:b w:val="0"/>
          <w:i w:val="0"/>
        </w:rPr>
        <w:t>.</w:t>
      </w:r>
    </w:p>
    <w:p>
      <w:pPr>
        <w:widowControl/>
      </w:pPr>
      <w:r>
        <w:rPr>
          <w:b w:val="0"/>
          <w:i w:val="0"/>
        </w:rPr>
        <w:t xml:space="preserve">Concord, discordant and agreement. A simple binder coordinates opposed bodily qualities without itself repeating their discord. References: </w:t>
      </w:r>
      <w:hyperlink w:anchor="passage-vi-8-5">
        <w:r>
          <w:rPr>
            <w:color w:val="000000"/>
          </w:rPr>
          <w:t xml:space="preserve">VI.8.5</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551" w:name="latin-record-0310"/>
      <w:bookmarkEnd w:id="551"/>
      <w:r>
        <w:rPr>
          <w:b/>
          <w:i w:val="0"/>
        </w:rPr>
        <w:t>consonare / dissonare</w:t>
      </w:r>
      <w:r>
        <w:rPr>
          <w:b/>
          <w:i w:val="0"/>
        </w:rPr>
        <w:t>.</w:t>
      </w:r>
      <w:r>
        <w:rPr>
          <w:b w:val="0"/>
          <w:i w:val="0"/>
        </w:rPr>
        <w:t xml:space="preserve"> Printed forms: </w:t>
      </w:r>
      <w:r>
        <w:rPr>
          <w:b w:val="0"/>
          <w:i/>
        </w:rPr>
        <w:t>consonante</w:t>
      </w:r>
      <w:r>
        <w:rPr>
          <w:b w:val="0"/>
          <w:i w:val="0"/>
        </w:rPr>
        <w:t xml:space="preserve">; </w:t>
      </w:r>
      <w:r>
        <w:rPr>
          <w:b w:val="0"/>
          <w:i/>
        </w:rPr>
        <w:t>consonet</w:t>
      </w:r>
      <w:r>
        <w:rPr>
          <w:b w:val="0"/>
          <w:i w:val="0"/>
        </w:rPr>
        <w:t xml:space="preserve">; </w:t>
      </w:r>
      <w:r>
        <w:rPr>
          <w:b w:val="0"/>
          <w:i/>
        </w:rPr>
        <w:t>dissonante</w:t>
      </w:r>
      <w:r>
        <w:rPr>
          <w:b w:val="0"/>
          <w:i w:val="0"/>
        </w:rPr>
        <w:t xml:space="preserve">; </w:t>
      </w:r>
      <w:r>
        <w:rPr>
          <w:b w:val="0"/>
          <w:i/>
        </w:rPr>
        <w:t>dissonat</w:t>
      </w:r>
      <w:r>
        <w:rPr>
          <w:b w:val="0"/>
          <w:i w:val="0"/>
        </w:rPr>
        <w:t xml:space="preserve">; </w:t>
      </w:r>
      <w:r>
        <w:rPr>
          <w:b w:val="0"/>
          <w:i/>
        </w:rPr>
        <w:t>dissonet</w:t>
      </w:r>
      <w:r>
        <w:rPr>
          <w:b w:val="0"/>
          <w:i w:val="0"/>
        </w:rPr>
        <w:t>.</w:t>
      </w:r>
    </w:p>
    <w:p>
      <w:pPr>
        <w:widowControl/>
      </w:pPr>
      <w:r>
        <w:rPr>
          <w:b w:val="0"/>
          <w:i w:val="0"/>
        </w:rPr>
        <w:t xml:space="preserve">To be in harmony or discord, used of body, mind and agreement with truth. Their cross-combinations resist reducing mental order to bodily order and produce the paragraph’s closing wordplay. References: </w:t>
      </w:r>
      <w:hyperlink w:anchor="passage-v-15-18">
        <w:r>
          <w:rPr>
            <w:color w:val="000000"/>
          </w:rPr>
          <w:t xml:space="preserve">V.15.18</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552" w:name="latin-record-0311"/>
      <w:bookmarkEnd w:id="552"/>
      <w:r>
        <w:rPr>
          <w:b/>
          <w:i w:val="0"/>
        </w:rPr>
        <w:t>conspirare; damnare; redarguere</w:t>
      </w:r>
      <w:r>
        <w:rPr>
          <w:b/>
          <w:i w:val="0"/>
        </w:rPr>
        <w:t>.</w:t>
      </w:r>
      <w:r>
        <w:rPr>
          <w:b w:val="0"/>
          <w:i w:val="0"/>
        </w:rPr>
        <w:t xml:space="preserve"> Printed forms: </w:t>
      </w:r>
      <w:r>
        <w:rPr>
          <w:b w:val="0"/>
          <w:i/>
        </w:rPr>
        <w:t>conspirantes</w:t>
      </w:r>
      <w:r>
        <w:rPr>
          <w:b w:val="0"/>
          <w:i w:val="0"/>
        </w:rPr>
        <w:t xml:space="preserve">; </w:t>
      </w:r>
      <w:r>
        <w:rPr>
          <w:b w:val="0"/>
          <w:i/>
        </w:rPr>
        <w:t>damnantur</w:t>
      </w:r>
      <w:r>
        <w:rPr>
          <w:b w:val="0"/>
          <w:i w:val="0"/>
        </w:rPr>
        <w:t xml:space="preserve">; </w:t>
      </w:r>
      <w:r>
        <w:rPr>
          <w:b w:val="0"/>
          <w:i/>
        </w:rPr>
        <w:t>redarguuntur</w:t>
      </w:r>
      <w:r>
        <w:rPr>
          <w:b w:val="0"/>
          <w:i w:val="0"/>
        </w:rPr>
        <w:t>.</w:t>
      </w:r>
    </w:p>
    <w:p>
      <w:pPr>
        <w:widowControl/>
      </w:pPr>
      <w:r>
        <w:rPr>
          <w:b w:val="0"/>
          <w:i w:val="0"/>
        </w:rPr>
        <w:t xml:space="preserve">To act together, condemn and refute. The faculties are personified as witnesses whose restricted claims are corrected by others and by reason. References: </w:t>
      </w:r>
      <w:hyperlink w:anchor="passage-vi-2-8">
        <w:r>
          <w:rPr>
            <w:color w:val="000000"/>
          </w:rPr>
          <w:t xml:space="preserve">VI.2.8</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553" w:name="latin-record-0312"/>
      <w:bookmarkEnd w:id="553"/>
      <w:r>
        <w:rPr>
          <w:b/>
          <w:i w:val="0"/>
        </w:rPr>
        <w:t>conspiratio / concinere / coalescere</w:t>
      </w:r>
      <w:r>
        <w:rPr>
          <w:b/>
          <w:i w:val="0"/>
        </w:rPr>
        <w:t>.</w:t>
      </w:r>
      <w:r>
        <w:rPr>
          <w:b w:val="0"/>
          <w:i w:val="0"/>
        </w:rPr>
        <w:t xml:space="preserve"> Printed forms: </w:t>
      </w:r>
      <w:r>
        <w:rPr>
          <w:b w:val="0"/>
          <w:i/>
        </w:rPr>
        <w:t>coalescent</w:t>
      </w:r>
      <w:r>
        <w:rPr>
          <w:b w:val="0"/>
          <w:i w:val="0"/>
        </w:rPr>
        <w:t xml:space="preserve">; </w:t>
      </w:r>
      <w:r>
        <w:rPr>
          <w:b w:val="0"/>
          <w:i/>
        </w:rPr>
        <w:t>concinunt</w:t>
      </w:r>
      <w:r>
        <w:rPr>
          <w:b w:val="0"/>
          <w:i w:val="0"/>
        </w:rPr>
        <w:t xml:space="preserve">; </w:t>
      </w:r>
      <w:r>
        <w:rPr>
          <w:b w:val="0"/>
          <w:i/>
        </w:rPr>
        <w:t>conspiratione</w:t>
      </w:r>
      <w:r>
        <w:rPr>
          <w:b w:val="0"/>
          <w:i w:val="0"/>
        </w:rPr>
        <w:t xml:space="preserve">; </w:t>
      </w:r>
      <w:r>
        <w:rPr>
          <w:b w:val="0"/>
          <w:i/>
        </w:rPr>
        <w:t>mutua</w:t>
      </w:r>
      <w:r>
        <w:rPr>
          <w:b w:val="0"/>
          <w:i w:val="0"/>
        </w:rPr>
        <w:t>.</w:t>
      </w:r>
    </w:p>
    <w:p>
      <w:pPr>
        <w:widowControl/>
      </w:pPr>
      <w:r>
        <w:rPr>
          <w:b w:val="0"/>
          <w:i w:val="0"/>
        </w:rPr>
        <w:t xml:space="preserve">Mutual accord, harmonizing and growing or holding together. Some agreement exists in every composite body, so agreement as such cannot distinguish living bodies from all composites.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554" w:name="latin-record-0313"/>
      <w:bookmarkEnd w:id="554"/>
      <w:r>
        <w:rPr>
          <w:b/>
          <w:i w:val="0"/>
        </w:rPr>
        <w:t>constare / exstare</w:t>
      </w:r>
      <w:r>
        <w:rPr>
          <w:b/>
          <w:i w:val="0"/>
        </w:rPr>
        <w:t>.</w:t>
      </w:r>
      <w:r>
        <w:rPr>
          <w:b w:val="0"/>
          <w:i w:val="0"/>
        </w:rPr>
        <w:t xml:space="preserve"> Printed forms: </w:t>
      </w:r>
      <w:r>
        <w:rPr>
          <w:b w:val="0"/>
          <w:i/>
        </w:rPr>
        <w:t>constat</w:t>
      </w:r>
      <w:r>
        <w:rPr>
          <w:b w:val="0"/>
          <w:i w:val="0"/>
        </w:rPr>
        <w:t xml:space="preserve">; </w:t>
      </w:r>
      <w:r>
        <w:rPr>
          <w:b w:val="0"/>
          <w:i/>
        </w:rPr>
        <w:t>exstat</w:t>
      </w:r>
      <w:r>
        <w:rPr>
          <w:b w:val="0"/>
          <w:i w:val="0"/>
        </w:rPr>
        <w:t>.</w:t>
      </w:r>
    </w:p>
    <w:p>
      <w:pPr>
        <w:widowControl/>
      </w:pPr>
      <w:r>
        <w:rPr>
          <w:b w:val="0"/>
          <w:i w:val="0"/>
        </w:rPr>
        <w:t xml:space="preserve">To be constituted from and, in this local contrast, to come forth from. The soul neither consists of matter nor arises from its latent resources; the supplied translation makes the contrast explicit. References: </w:t>
      </w:r>
      <w:hyperlink w:anchor="passage-v-12-7">
        <w:r>
          <w:rPr>
            <w:color w:val="000000"/>
          </w:rPr>
          <w:t xml:space="preserve">V.12.7</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555" w:name="latin-record-0314"/>
      <w:bookmarkEnd w:id="555"/>
      <w:r>
        <w:rPr>
          <w:b/>
          <w:i w:val="0"/>
        </w:rPr>
        <w:t>construere / constituere</w:t>
      </w:r>
      <w:r>
        <w:rPr>
          <w:b/>
          <w:i w:val="0"/>
        </w:rPr>
        <w:t>.</w:t>
      </w:r>
      <w:r>
        <w:rPr>
          <w:b w:val="0"/>
          <w:i w:val="0"/>
        </w:rPr>
        <w:t xml:space="preserve"> Printed forms: </w:t>
      </w:r>
      <w:r>
        <w:rPr>
          <w:b w:val="0"/>
          <w:i/>
        </w:rPr>
        <w:t>constituent</w:t>
      </w:r>
      <w:r>
        <w:rPr>
          <w:b w:val="0"/>
          <w:i w:val="0"/>
        </w:rPr>
        <w:t xml:space="preserve">; </w:t>
      </w:r>
      <w:r>
        <w:rPr>
          <w:b w:val="0"/>
          <w:i/>
        </w:rPr>
        <w:t>constituta</w:t>
      </w:r>
      <w:r>
        <w:rPr>
          <w:b w:val="0"/>
          <w:i w:val="0"/>
        </w:rPr>
        <w:t xml:space="preserve">; </w:t>
      </w:r>
      <w:r>
        <w:rPr>
          <w:b w:val="0"/>
          <w:i/>
        </w:rPr>
        <w:t>constitutam</w:t>
      </w:r>
      <w:r>
        <w:rPr>
          <w:b w:val="0"/>
          <w:i w:val="0"/>
        </w:rPr>
        <w:t xml:space="preserve">; </w:t>
      </w:r>
      <w:r>
        <w:rPr>
          <w:b w:val="0"/>
          <w:i/>
        </w:rPr>
        <w:t>construere</w:t>
      </w:r>
      <w:r>
        <w:rPr>
          <w:b w:val="0"/>
          <w:i w:val="0"/>
        </w:rPr>
        <w:t>.</w:t>
      </w:r>
    </w:p>
    <w:p>
      <w:pPr>
        <w:widowControl/>
      </w:pPr>
      <w:r>
        <w:rPr>
          <w:b w:val="0"/>
          <w:i w:val="0"/>
        </w:rPr>
        <w:t xml:space="preserve">To build or constitute a whole from its components. The body-building proposal must explain organs suited for sensation; simply combining nonsensing parts does not explain a sensing subject. References: </w:t>
      </w:r>
      <w:hyperlink w:anchor="passage-vii-4-2">
        <w:r>
          <w:rPr>
            <w:color w:val="000000"/>
          </w:rPr>
          <w:t xml:space="preserve">VII.4.2</w:t>
        </w:r>
      </w:hyperlink>
      <w:r>
        <w:rPr>
          <w:b w:val="0"/>
          <w:i w:val="0"/>
        </w:rPr>
        <w:t xml:space="preserve">, </w:t>
      </w:r>
      <w:hyperlink w:anchor="passage-vii-8-1">
        <w:r>
          <w:rPr>
            <w:color w:val="000000"/>
          </w:rPr>
          <w:t xml:space="preserve">VII.8.1</w:t>
        </w:r>
      </w:hyperlink>
      <w:r>
        <w:rPr>
          <w:b w:val="0"/>
          <w:i w:val="0"/>
        </w:rPr>
        <w:t xml:space="preserve">, </w:t>
      </w:r>
      <w:hyperlink w:anchor="passage-vii-9-1">
        <w:r>
          <w:rPr>
            <w:color w:val="000000"/>
          </w:rPr>
          <w:t xml:space="preserve">VII.9.1</w:t>
        </w:r>
      </w:hyperlink>
      <w:r>
        <w:rPr>
          <w:b w:val="0"/>
          <w:i w:val="0"/>
        </w:rPr>
        <w:t xml:space="preserve">, </w:t>
      </w:r>
      <w:hyperlink w:anchor="passage-vii-9-2">
        <w:r>
          <w:rPr>
            <w:color w:val="000000"/>
          </w:rPr>
          <w:t xml:space="preserve">VII.9.2</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556" w:name="latin-record-0315"/>
      <w:bookmarkEnd w:id="556"/>
      <w:r>
        <w:rPr>
          <w:b/>
          <w:i w:val="0"/>
        </w:rPr>
        <w:t>consuetudo</w:t>
      </w:r>
      <w:r>
        <w:rPr>
          <w:b/>
          <w:i w:val="0"/>
        </w:rPr>
        <w:t>.</w:t>
      </w:r>
      <w:r>
        <w:rPr>
          <w:b w:val="0"/>
          <w:i w:val="0"/>
        </w:rPr>
        <w:t xml:space="preserve"> Printed forms: </w:t>
      </w:r>
      <w:r>
        <w:rPr>
          <w:b w:val="0"/>
          <w:i/>
        </w:rPr>
        <w:t>consuetudine</w:t>
      </w:r>
      <w:r>
        <w:rPr>
          <w:b w:val="0"/>
          <w:i w:val="0"/>
        </w:rPr>
        <w:t xml:space="preserve">; </w:t>
      </w:r>
      <w:r>
        <w:rPr>
          <w:b w:val="0"/>
          <w:i/>
        </w:rPr>
        <w:t>consuetudine in hanc sententiam compulsos</w:t>
      </w:r>
      <w:r>
        <w:rPr>
          <w:b w:val="0"/>
          <w:i w:val="0"/>
        </w:rPr>
        <w:t xml:space="preserve">; </w:t>
      </w:r>
      <w:r>
        <w:rPr>
          <w:b w:val="0"/>
          <w:i/>
        </w:rPr>
        <w:t>consuetudinem</w:t>
      </w:r>
      <w:r>
        <w:rPr>
          <w:b w:val="0"/>
          <w:i w:val="0"/>
        </w:rPr>
        <w:t>.</w:t>
      </w:r>
    </w:p>
    <w:p>
      <w:pPr>
        <w:widowControl/>
      </w:pPr>
      <w:r>
        <w:rPr>
          <w:b w:val="0"/>
          <w:i w:val="0"/>
        </w:rPr>
        <w:t xml:space="preserve">Familiarity or habitual association. Bodily familiarity can distract attention; withdrawal from it is used as evidence against identity with bodily temperament. References: </w:t>
      </w:r>
      <w:hyperlink w:anchor="passage-v-14-2">
        <w:r>
          <w:rPr>
            <w:color w:val="000000"/>
          </w:rPr>
          <w:t xml:space="preserve">V.14.2</w:t>
        </w:r>
      </w:hyperlink>
      <w:r>
        <w:rPr>
          <w:b w:val="0"/>
          <w:i w:val="0"/>
        </w:rPr>
        <w:t xml:space="preserve">, </w:t>
      </w:r>
      <w:hyperlink w:anchor="passage-v-15-9">
        <w:r>
          <w:rPr>
            <w:color w:val="000000"/>
          </w:rPr>
          <w:t xml:space="preserve">V.15.9</w:t>
        </w:r>
      </w:hyperlink>
      <w:r>
        <w:rPr>
          <w:b w:val="0"/>
          <w:i w:val="0"/>
        </w:rPr>
        <w:t xml:space="preserve">. See </w:t>
      </w:r>
      <w:hyperlink w:anchor="temperament-and-harmony">
        <w:r>
          <w:rPr>
            <w:color w:val="000000"/>
          </w:rPr>
          <w:t xml:space="preserve">Temperament and harmony</w:t>
        </w:r>
      </w:hyperlink>
      <w:r>
        <w:rPr>
          <w:b w:val="0"/>
          <w:i w:val="0"/>
        </w:rPr>
        <w:t>.</w:t>
      </w:r>
    </w:p>
    <w:p>
      <w:pPr>
        <w:widowControl/>
      </w:pPr>
      <w:r>
        <w:rPr>
          <w:b w:val="0"/>
          <w:i w:val="0"/>
        </w:rPr>
        <w:t xml:space="preserve">Long habit or familiarity that shapes judgement. Ficino attributes corporealist conviction to bodily habituation rather than rational persuasion. References: </w:t>
      </w:r>
      <w:hyperlink w:anchor="passage-vi-2-1">
        <w:r>
          <w:rPr>
            <w:color w:val="000000"/>
          </w:rPr>
          <w:t xml:space="preserve">VI.2.1</w:t>
        </w:r>
      </w:hyperlink>
      <w:r>
        <w:rPr>
          <w:b w:val="0"/>
          <w:i w:val="0"/>
        </w:rPr>
        <w:t xml:space="preserve">, </w:t>
      </w:r>
      <w:hyperlink w:anchor="passage-vi-2-10">
        <w:r>
          <w:rPr>
            <w:color w:val="000000"/>
          </w:rPr>
          <w:t xml:space="preserve">VI.2.10</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557" w:name="latin-record-0316"/>
      <w:bookmarkEnd w:id="557"/>
      <w:r>
        <w:rPr>
          <w:b/>
          <w:i w:val="0"/>
        </w:rPr>
        <w:t>contemperare / temperatrix</w:t>
      </w:r>
      <w:r>
        <w:rPr>
          <w:b/>
          <w:i w:val="0"/>
        </w:rPr>
        <w:t>.</w:t>
      </w:r>
      <w:r>
        <w:rPr>
          <w:b w:val="0"/>
          <w:i w:val="0"/>
        </w:rPr>
        <w:t xml:space="preserve"> Printed forms: </w:t>
      </w:r>
      <w:r>
        <w:rPr>
          <w:b w:val="0"/>
          <w:i/>
        </w:rPr>
        <w:t>contemperans</w:t>
      </w:r>
      <w:r>
        <w:rPr>
          <w:b w:val="0"/>
          <w:i w:val="0"/>
        </w:rPr>
        <w:t xml:space="preserve">; </w:t>
      </w:r>
      <w:r>
        <w:rPr>
          <w:b w:val="0"/>
          <w:i/>
        </w:rPr>
        <w:t>contemperatam</w:t>
      </w:r>
      <w:r>
        <w:rPr>
          <w:b w:val="0"/>
          <w:i w:val="0"/>
        </w:rPr>
        <w:t xml:space="preserve">; </w:t>
      </w:r>
      <w:r>
        <w:rPr>
          <w:b w:val="0"/>
          <w:i/>
        </w:rPr>
        <w:t>temperat</w:t>
      </w:r>
      <w:r>
        <w:rPr>
          <w:b w:val="0"/>
          <w:i w:val="0"/>
        </w:rPr>
        <w:t xml:space="preserve">; </w:t>
      </w:r>
      <w:r>
        <w:rPr>
          <w:b w:val="0"/>
          <w:i/>
        </w:rPr>
        <w:t>temperatrix</w:t>
      </w:r>
      <w:r>
        <w:rPr>
          <w:b w:val="0"/>
          <w:i w:val="0"/>
        </w:rPr>
        <w:t>.</w:t>
      </w:r>
    </w:p>
    <w:p>
      <w:pPr>
        <w:widowControl/>
      </w:pPr>
      <w:r>
        <w:rPr>
          <w:b w:val="0"/>
          <w:i w:val="0"/>
        </w:rPr>
        <w:t xml:space="preserve">To temper together and the power performing that tempering. The producer of vital concord is superior to the concord produced, preserving a causal distinction within the harmony vocabulary.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558" w:name="latin-record-0317"/>
      <w:bookmarkEnd w:id="558"/>
      <w:r>
        <w:rPr>
          <w:b/>
          <w:i w:val="0"/>
        </w:rPr>
        <w:t>continere</w:t>
      </w:r>
      <w:r>
        <w:rPr>
          <w:b/>
          <w:i w:val="0"/>
        </w:rPr>
        <w:t>.</w:t>
      </w:r>
      <w:r>
        <w:rPr>
          <w:b w:val="0"/>
          <w:i w:val="0"/>
        </w:rPr>
        <w:t xml:space="preserve"> Printed forms: </w:t>
      </w:r>
      <w:r>
        <w:rPr>
          <w:b w:val="0"/>
          <w:i/>
        </w:rPr>
        <w:t>contineantur</w:t>
      </w:r>
      <w:r>
        <w:rPr>
          <w:b w:val="0"/>
          <w:i w:val="0"/>
        </w:rPr>
        <w:t xml:space="preserve">; </w:t>
      </w:r>
      <w:r>
        <w:rPr>
          <w:b w:val="0"/>
          <w:i/>
        </w:rPr>
        <w:t>continere</w:t>
      </w:r>
      <w:r>
        <w:rPr>
          <w:b w:val="0"/>
          <w:i w:val="0"/>
        </w:rPr>
        <w:t xml:space="preserve">; </w:t>
      </w:r>
      <w:r>
        <w:rPr>
          <w:b w:val="0"/>
          <w:i/>
        </w:rPr>
        <w:t>contineri</w:t>
      </w:r>
      <w:r>
        <w:rPr>
          <w:b w:val="0"/>
          <w:i w:val="0"/>
        </w:rPr>
        <w:t xml:space="preserve">; </w:t>
      </w:r>
      <w:r>
        <w:rPr>
          <w:b w:val="0"/>
          <w:i/>
        </w:rPr>
        <w:t>continet</w:t>
      </w:r>
      <w:r>
        <w:rPr>
          <w:b w:val="0"/>
          <w:i w:val="0"/>
        </w:rPr>
        <w:t xml:space="preserve">; </w:t>
      </w:r>
      <w:r>
        <w:rPr>
          <w:b w:val="0"/>
          <w:i/>
        </w:rPr>
        <w:t>continetur</w:t>
      </w:r>
      <w:r>
        <w:rPr>
          <w:b w:val="0"/>
          <w:i w:val="0"/>
        </w:rPr>
        <w:t>.</w:t>
      </w:r>
    </w:p>
    <w:p>
      <w:pPr>
        <w:widowControl/>
      </w:pPr>
      <w:r>
        <w:rPr>
          <w:b w:val="0"/>
          <w:i w:val="0"/>
        </w:rPr>
        <w:t xml:space="preserve">Containing or holding, quantitatively in bodies but intellectually or causally in other contexts. Propositions contain implications, minds mutually contain known natures, and bodies enclose smaller bodies; the repeated verb does not establish one uniform spatial relation. References: </w:t>
      </w:r>
      <w:hyperlink w:anchor="passage-viii-3-7">
        <w:r>
          <w:rPr>
            <w:color w:val="000000"/>
          </w:rPr>
          <w:t xml:space="preserve">VIII.3.7</w:t>
        </w:r>
      </w:hyperlink>
      <w:r>
        <w:rPr>
          <w:b w:val="0"/>
          <w:i w:val="0"/>
        </w:rPr>
        <w:t xml:space="preserve">, </w:t>
      </w:r>
      <w:hyperlink w:anchor="passage-viii-4-7">
        <w:r>
          <w:rPr>
            <w:color w:val="000000"/>
          </w:rPr>
          <w:t xml:space="preserve">VIII.4.7</w:t>
        </w:r>
      </w:hyperlink>
      <w:r>
        <w:rPr>
          <w:b w:val="0"/>
          <w:i w:val="0"/>
        </w:rPr>
        <w:t xml:space="preserve">, </w:t>
      </w:r>
      <w:hyperlink w:anchor="passage-viii-4-8">
        <w:r>
          <w:rPr>
            <w:color w:val="000000"/>
          </w:rPr>
          <w:t xml:space="preserve">VIII.4.8</w:t>
        </w:r>
      </w:hyperlink>
      <w:r>
        <w:rPr>
          <w:b w:val="0"/>
          <w:i w:val="0"/>
        </w:rPr>
        <w:t xml:space="preserve">, </w:t>
      </w:r>
      <w:hyperlink w:anchor="passage-viii-6-1">
        <w:r>
          <w:rPr>
            <w:color w:val="000000"/>
          </w:rPr>
          <w:t xml:space="preserve">VIII.6.1</w:t>
        </w:r>
      </w:hyperlink>
      <w:r>
        <w:rPr>
          <w:b w:val="0"/>
          <w:i w:val="0"/>
        </w:rPr>
        <w:t xml:space="preserve">, </w:t>
      </w:r>
      <w:hyperlink w:anchor="passage-viii-9-1">
        <w:r>
          <w:rPr>
            <w:color w:val="000000"/>
          </w:rPr>
          <w:t xml:space="preserve">VIII.9.1</w:t>
        </w:r>
      </w:hyperlink>
      <w:r>
        <w:rPr>
          <w:b w:val="0"/>
          <w:i w:val="0"/>
        </w:rPr>
        <w:t xml:space="preserve">, </w:t>
      </w:r>
      <w:hyperlink w:anchor="passage-viii-15-2">
        <w:r>
          <w:rPr>
            <w:color w:val="000000"/>
          </w:rPr>
          <w:t xml:space="preserve">VIII.15.2</w:t>
        </w:r>
      </w:hyperlink>
      <w:r>
        <w:rPr>
          <w:b w:val="0"/>
          <w:i w:val="0"/>
        </w:rPr>
        <w:t xml:space="preserve">. See </w:t>
      </w:r>
      <w:hyperlink w:anchor="viii-mutual-minds">
        <w:r>
          <w:rPr>
            <w:color w:val="000000"/>
          </w:rPr>
          <w:t xml:space="preserve">Mutual knowledge of minds and the celestial spheres</w:t>
        </w:r>
      </w:hyperlink>
      <w:r>
        <w:rPr>
          <w:b w:val="0"/>
          <w:i w:val="0"/>
        </w:rPr>
        <w:t>.</w:t>
      </w:r>
    </w:p>
    <w:p>
      <w:pPr>
        <w:keepNext/>
        <w:widowControl/>
      </w:pPr>
      <w:bookmarkStart w:id="559" w:name="latin-record-0318"/>
      <w:bookmarkEnd w:id="559"/>
      <w:r>
        <w:rPr>
          <w:b/>
          <w:i w:val="0"/>
        </w:rPr>
        <w:t>continere; sistere; torquere</w:t>
      </w:r>
      <w:r>
        <w:rPr>
          <w:b/>
          <w:i w:val="0"/>
        </w:rPr>
        <w:t>.</w:t>
      </w:r>
      <w:r>
        <w:rPr>
          <w:b w:val="0"/>
          <w:i w:val="0"/>
        </w:rPr>
        <w:t xml:space="preserve"> Printed forms: </w:t>
      </w:r>
      <w:r>
        <w:rPr>
          <w:b w:val="0"/>
          <w:i/>
        </w:rPr>
        <w:t>contineat</w:t>
      </w:r>
      <w:r>
        <w:rPr>
          <w:b w:val="0"/>
          <w:i w:val="0"/>
        </w:rPr>
        <w:t xml:space="preserve">; </w:t>
      </w:r>
      <w:r>
        <w:rPr>
          <w:b w:val="0"/>
          <w:i/>
        </w:rPr>
        <w:t>sistat</w:t>
      </w:r>
      <w:r>
        <w:rPr>
          <w:b w:val="0"/>
          <w:i w:val="0"/>
        </w:rPr>
        <w:t xml:space="preserve">; </w:t>
      </w:r>
      <w:r>
        <w:rPr>
          <w:b w:val="0"/>
          <w:i/>
        </w:rPr>
        <w:t>torqueat</w:t>
      </w:r>
      <w:r>
        <w:rPr>
          <w:b w:val="0"/>
          <w:i w:val="0"/>
        </w:rPr>
        <w:t>.</w:t>
      </w:r>
    </w:p>
    <w:p>
      <w:pPr>
        <w:widowControl/>
      </w:pPr>
      <w:r>
        <w:rPr>
          <w:b w:val="0"/>
          <w:i w:val="0"/>
        </w:rPr>
        <w:t xml:space="preserve">To hold together, steady and turn. The three operations explicate the soul’s governance; the reading correctly lacks the later witnesses’ negation before containing. References: </w:t>
      </w:r>
      <w:hyperlink w:anchor="passage-vi-7-3">
        <w:r>
          <w:rPr>
            <w:color w:val="000000"/>
          </w:rPr>
          <w:t xml:space="preserve">VI.7.3</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560" w:name="latin-record-0319"/>
      <w:bookmarkEnd w:id="560"/>
      <w:r>
        <w:rPr>
          <w:b/>
          <w:i w:val="0"/>
        </w:rPr>
        <w:t>contingere / concursus</w:t>
      </w:r>
      <w:r>
        <w:rPr>
          <w:b/>
          <w:i w:val="0"/>
        </w:rPr>
        <w:t>.</w:t>
      </w:r>
      <w:r>
        <w:rPr>
          <w:b w:val="0"/>
          <w:i w:val="0"/>
        </w:rPr>
        <w:t xml:space="preserve"> Printed forms: </w:t>
      </w:r>
      <w:r>
        <w:rPr>
          <w:b w:val="0"/>
          <w:i/>
        </w:rPr>
        <w:t>concursu</w:t>
      </w:r>
      <w:r>
        <w:rPr>
          <w:b w:val="0"/>
          <w:i w:val="0"/>
        </w:rPr>
        <w:t xml:space="preserve">; </w:t>
      </w:r>
      <w:r>
        <w:rPr>
          <w:b w:val="0"/>
          <w:i/>
        </w:rPr>
        <w:t>concursum</w:t>
      </w:r>
      <w:r>
        <w:rPr>
          <w:b w:val="0"/>
          <w:i w:val="0"/>
        </w:rPr>
        <w:t xml:space="preserve">; </w:t>
      </w:r>
      <w:r>
        <w:rPr>
          <w:b w:val="0"/>
          <w:i/>
        </w:rPr>
        <w:t>contingant</w:t>
      </w:r>
      <w:r>
        <w:rPr>
          <w:b w:val="0"/>
          <w:i w:val="0"/>
        </w:rPr>
        <w:t>.</w:t>
      </w:r>
    </w:p>
    <w:p>
      <w:pPr>
        <w:widowControl/>
      </w:pPr>
      <w:r>
        <w:rPr>
          <w:b w:val="0"/>
          <w:i w:val="0"/>
        </w:rPr>
        <w:t xml:space="preserve">Touching or coincidence in the three-point demonstration. A nonextended middle point cannot keep the outer points apart by distinct contact surfaces without becoming divisible. References: </w:t>
      </w:r>
      <w:hyperlink w:anchor="passage-viii-4-2">
        <w:r>
          <w:rPr>
            <w:color w:val="000000"/>
          </w:rPr>
          <w:t xml:space="preserve">VIII.4.2</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561" w:name="latin-record-0320"/>
      <w:bookmarkEnd w:id="561"/>
      <w:r>
        <w:rPr>
          <w:b/>
          <w:i w:val="0"/>
        </w:rPr>
        <w:t>continuatio molis</w:t>
      </w:r>
      <w:r>
        <w:rPr>
          <w:b/>
          <w:i w:val="0"/>
        </w:rPr>
        <w:t>.</w:t>
      </w:r>
      <w:r>
        <w:rPr>
          <w:b w:val="0"/>
          <w:i w:val="0"/>
        </w:rPr>
        <w:t xml:space="preserve"> Printed forms: </w:t>
      </w:r>
      <w:r>
        <w:rPr>
          <w:b w:val="0"/>
          <w:i/>
        </w:rPr>
        <w:t>continuationem molis</w:t>
      </w:r>
      <w:r>
        <w:rPr>
          <w:b w:val="0"/>
          <w:i w:val="0"/>
        </w:rPr>
        <w:t>.</w:t>
      </w:r>
    </w:p>
    <w:p>
      <w:pPr>
        <w:widowControl/>
      </w:pPr>
      <w:r>
        <w:rPr>
          <w:b w:val="0"/>
          <w:i w:val="0"/>
        </w:rPr>
        <w:t xml:space="preserve">Continuity of bodily bulk through which a physical affection might propagate. Ficino objects that pain is not always present everywhere, so bodily continuity alone fails to explain unified awareness. References: </w:t>
      </w:r>
      <w:hyperlink w:anchor="passage-vii-5-1">
        <w:r>
          <w:rPr>
            <w:color w:val="000000"/>
          </w:rPr>
          <w:t xml:space="preserve">VII.5.1</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562" w:name="latin-record-0321"/>
      <w:bookmarkEnd w:id="562"/>
      <w:r>
        <w:rPr>
          <w:b/>
          <w:i w:val="0"/>
        </w:rPr>
        <w:t>continuatio; ordinatrix</w:t>
      </w:r>
      <w:r>
        <w:rPr>
          <w:b/>
          <w:i w:val="0"/>
        </w:rPr>
        <w:t>.</w:t>
      </w:r>
      <w:r>
        <w:rPr>
          <w:b w:val="0"/>
          <w:i w:val="0"/>
        </w:rPr>
        <w:t xml:space="preserve"> Printed forms: </w:t>
      </w:r>
      <w:r>
        <w:rPr>
          <w:b w:val="0"/>
          <w:i/>
        </w:rPr>
        <w:t>continuatio</w:t>
      </w:r>
      <w:r>
        <w:rPr>
          <w:b w:val="0"/>
          <w:i w:val="0"/>
        </w:rPr>
        <w:t xml:space="preserve">; </w:t>
      </w:r>
      <w:r>
        <w:rPr>
          <w:b w:val="0"/>
          <w:i/>
        </w:rPr>
        <w:t>ordinatrix</w:t>
      </w:r>
      <w:r>
        <w:rPr>
          <w:b w:val="0"/>
          <w:i w:val="0"/>
        </w:rPr>
        <w:t>.</w:t>
      </w:r>
    </w:p>
    <w:p>
      <w:pPr>
        <w:widowControl/>
      </w:pPr>
      <w:r>
        <w:rPr>
          <w:b w:val="0"/>
          <w:i w:val="0"/>
        </w:rPr>
        <w:t xml:space="preserve">Continuity and an ordering power. Nourishment and growth require a stable principle that coordinates their sequence through change. References: </w:t>
      </w:r>
      <w:hyperlink w:anchor="passage-vi-13-8">
        <w:r>
          <w:rPr>
            <w:color w:val="000000"/>
          </w:rPr>
          <w:t xml:space="preserve">VI.13.8</w:t>
        </w:r>
      </w:hyperlink>
      <w:r>
        <w:rPr>
          <w:b w:val="0"/>
          <w:i w:val="0"/>
        </w:rPr>
        <w:t xml:space="preserve">. See </w:t>
      </w:r>
      <w:hyperlink w:anchor="temperament-flux-and-stable-ruler">
        <w:r>
          <w:rPr>
            <w:color w:val="000000"/>
          </w:rPr>
          <w:t xml:space="preserve">Temperament, flux and the stable ruler</w:t>
        </w:r>
      </w:hyperlink>
      <w:r>
        <w:rPr>
          <w:b w:val="0"/>
          <w:i w:val="0"/>
        </w:rPr>
        <w:t>.</w:t>
      </w:r>
    </w:p>
    <w:p>
      <w:pPr>
        <w:keepNext/>
        <w:widowControl/>
      </w:pPr>
      <w:bookmarkStart w:id="563" w:name="latin-record-0322"/>
      <w:bookmarkEnd w:id="563"/>
      <w:r>
        <w:rPr>
          <w:b/>
          <w:i w:val="0"/>
        </w:rPr>
        <w:t>contrahere / coarctare</w:t>
      </w:r>
      <w:r>
        <w:rPr>
          <w:b/>
          <w:i w:val="0"/>
        </w:rPr>
        <w:t>.</w:t>
      </w:r>
      <w:r>
        <w:rPr>
          <w:b w:val="0"/>
          <w:i w:val="0"/>
        </w:rPr>
        <w:t xml:space="preserve"> Printed forms: </w:t>
      </w:r>
      <w:r>
        <w:rPr>
          <w:b w:val="0"/>
          <w:i/>
        </w:rPr>
        <w:t>coarctatur</w:t>
      </w:r>
      <w:r>
        <w:rPr>
          <w:b w:val="0"/>
          <w:i w:val="0"/>
        </w:rPr>
        <w:t xml:space="preserve">; </w:t>
      </w:r>
      <w:r>
        <w:rPr>
          <w:b w:val="0"/>
          <w:i/>
        </w:rPr>
        <w:t>contrahitur</w:t>
      </w:r>
      <w:r>
        <w:rPr>
          <w:b w:val="0"/>
          <w:i w:val="0"/>
        </w:rPr>
        <w:t>.</w:t>
      </w:r>
    </w:p>
    <w:p>
      <w:pPr>
        <w:widowControl/>
      </w:pPr>
      <w:r>
        <w:rPr>
          <w:b w:val="0"/>
          <w:i w:val="0"/>
        </w:rPr>
        <w:t xml:space="preserve">To restrict, contract or confine to a determinate condition. The being of bodily forms is narrowed to bodily place and time, and their essence follows those limits. References: </w:t>
      </w:r>
      <w:hyperlink w:anchor="passage-v-7-2">
        <w:r>
          <w:rPr>
            <w:color w:val="000000"/>
          </w:rPr>
          <w:t xml:space="preserve">V.7.2</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564" w:name="latin-record-0323"/>
      <w:bookmarkEnd w:id="564"/>
      <w:r>
        <w:rPr>
          <w:b/>
          <w:i w:val="0"/>
        </w:rPr>
        <w:t>contrahere; fundere</w:t>
      </w:r>
      <w:r>
        <w:rPr>
          <w:b/>
          <w:i w:val="0"/>
        </w:rPr>
        <w:t>.</w:t>
      </w:r>
      <w:r>
        <w:rPr>
          <w:b w:val="0"/>
          <w:i w:val="0"/>
        </w:rPr>
        <w:t xml:space="preserve"> Printed forms: </w:t>
      </w:r>
      <w:r>
        <w:rPr>
          <w:b w:val="0"/>
          <w:i/>
        </w:rPr>
        <w:t>se fundit</w:t>
      </w:r>
      <w:r>
        <w:rPr>
          <w:b w:val="0"/>
          <w:i w:val="0"/>
        </w:rPr>
        <w:t xml:space="preserve">; </w:t>
      </w:r>
      <w:r>
        <w:rPr>
          <w:b w:val="0"/>
          <w:i/>
        </w:rPr>
        <w:t>sese contrahit</w:t>
      </w:r>
      <w:r>
        <w:rPr>
          <w:b w:val="0"/>
          <w:i w:val="0"/>
        </w:rPr>
        <w:t>.</w:t>
      </w:r>
    </w:p>
    <w:p>
      <w:pPr>
        <w:widowControl/>
      </w:pPr>
      <w:r>
        <w:rPr>
          <w:b w:val="0"/>
          <w:i w:val="0"/>
        </w:rPr>
        <w:t xml:space="preserve">To contract back and diffuse outward. These describe soul’s relation to root and branches, not proportional increase and decrease in its own bodily size.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565" w:name="latin-record-0324"/>
      <w:bookmarkEnd w:id="565"/>
      <w:r>
        <w:rPr>
          <w:b/>
          <w:i w:val="0"/>
        </w:rPr>
        <w:t>contraria elementa</w:t>
      </w:r>
      <w:r>
        <w:rPr>
          <w:b/>
          <w:i w:val="0"/>
        </w:rPr>
        <w:t>.</w:t>
      </w:r>
      <w:r>
        <w:rPr>
          <w:b w:val="0"/>
          <w:i w:val="0"/>
        </w:rPr>
        <w:t xml:space="preserve"> Printed forms: </w:t>
      </w:r>
      <w:r>
        <w:rPr>
          <w:b w:val="0"/>
          <w:i/>
        </w:rPr>
        <w:t>contraria</w:t>
      </w:r>
      <w:r>
        <w:rPr>
          <w:b w:val="0"/>
          <w:i w:val="0"/>
        </w:rPr>
        <w:t xml:space="preserve">; </w:t>
      </w:r>
      <w:r>
        <w:rPr>
          <w:b w:val="0"/>
          <w:i/>
        </w:rPr>
        <w:t>contrariorum</w:t>
      </w:r>
      <w:r>
        <w:rPr>
          <w:b w:val="0"/>
          <w:i w:val="0"/>
        </w:rPr>
        <w:t xml:space="preserve">; </w:t>
      </w:r>
      <w:r>
        <w:rPr>
          <w:b w:val="0"/>
          <w:i/>
        </w:rPr>
        <w:t>elementorum</w:t>
      </w:r>
      <w:r>
        <w:rPr>
          <w:b w:val="0"/>
          <w:i w:val="0"/>
        </w:rPr>
        <w:t xml:space="preserve">; </w:t>
      </w:r>
      <w:r>
        <w:rPr>
          <w:b w:val="0"/>
          <w:i/>
        </w:rPr>
        <w:t>interimunt</w:t>
      </w:r>
      <w:r>
        <w:rPr>
          <w:b w:val="0"/>
          <w:i w:val="0"/>
        </w:rPr>
        <w:t>.</w:t>
      </w:r>
    </w:p>
    <w:p>
      <w:pPr>
        <w:widowControl/>
      </w:pPr>
      <w:r>
        <w:rPr>
          <w:b w:val="0"/>
          <w:i w:val="0"/>
        </w:rPr>
        <w:t xml:space="preserve">Contrary elements and their destructive opposition in material coexistence. Their forms can be known together without fighting in mind; this difference of reception supports incorporeality. References: </w:t>
      </w:r>
      <w:hyperlink w:anchor="passage-viii-12-1">
        <w:r>
          <w:rPr>
            <w:color w:val="000000"/>
          </w:rPr>
          <w:t xml:space="preserve">VIII.12.1</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566" w:name="latin-record-0325"/>
      <w:bookmarkEnd w:id="566"/>
      <w:r>
        <w:rPr>
          <w:b/>
          <w:i w:val="0"/>
        </w:rPr>
        <w:t>contrariae qualitates / medium</w:t>
      </w:r>
      <w:r>
        <w:rPr>
          <w:b/>
          <w:i w:val="0"/>
        </w:rPr>
        <w:t>.</w:t>
      </w:r>
      <w:r>
        <w:rPr>
          <w:b w:val="0"/>
          <w:i w:val="0"/>
        </w:rPr>
        <w:t xml:space="preserve"> Printed forms: </w:t>
      </w:r>
      <w:r>
        <w:rPr>
          <w:b w:val="0"/>
          <w:i/>
        </w:rPr>
        <w:t>contrariis</w:t>
      </w:r>
      <w:r>
        <w:rPr>
          <w:b w:val="0"/>
          <w:i w:val="0"/>
        </w:rPr>
        <w:t xml:space="preserve">; </w:t>
      </w:r>
      <w:r>
        <w:rPr>
          <w:b w:val="0"/>
          <w:i/>
        </w:rPr>
        <w:t>medium</w:t>
      </w:r>
      <w:r>
        <w:rPr>
          <w:b w:val="0"/>
          <w:i w:val="0"/>
        </w:rPr>
        <w:t xml:space="preserve">; </w:t>
      </w:r>
      <w:r>
        <w:rPr>
          <w:b w:val="0"/>
          <w:i/>
        </w:rPr>
        <w:t>qualitatibus</w:t>
      </w:r>
      <w:r>
        <w:rPr>
          <w:b w:val="0"/>
          <w:i w:val="0"/>
        </w:rPr>
        <w:t>.</w:t>
      </w:r>
    </w:p>
    <w:p>
      <w:pPr>
        <w:widowControl/>
      </w:pPr>
      <w:r>
        <w:rPr>
          <w:b w:val="0"/>
          <w:i w:val="0"/>
        </w:rPr>
        <w:t xml:space="preserve">Contrary qualities and the intermediate condition arising from their mixture. A constitution occupies this middle, rather than subsisting independently as a substance. References: </w:t>
      </w:r>
      <w:hyperlink w:anchor="passage-vii-9-1">
        <w:r>
          <w:rPr>
            <w:color w:val="000000"/>
          </w:rPr>
          <w:t xml:space="preserve">VII.9.1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567" w:name="latin-record-0326"/>
      <w:bookmarkEnd w:id="567"/>
      <w:r>
        <w:rPr>
          <w:b/>
          <w:i w:val="0"/>
        </w:rPr>
        <w:t>contrarius; oppositus; repugnans</w:t>
      </w:r>
      <w:r>
        <w:rPr>
          <w:b/>
          <w:i w:val="0"/>
        </w:rPr>
        <w:t>.</w:t>
      </w:r>
      <w:r>
        <w:rPr>
          <w:b w:val="0"/>
          <w:i w:val="0"/>
        </w:rPr>
        <w:t xml:space="preserve"> Printed forms: </w:t>
      </w:r>
      <w:r>
        <w:rPr>
          <w:b w:val="0"/>
          <w:i/>
        </w:rPr>
        <w:t>contraria</w:t>
      </w:r>
      <w:r>
        <w:rPr>
          <w:b w:val="0"/>
          <w:i w:val="0"/>
        </w:rPr>
        <w:t xml:space="preserve">; </w:t>
      </w:r>
      <w:r>
        <w:rPr>
          <w:b w:val="0"/>
          <w:i/>
        </w:rPr>
        <w:t>contrariam</w:t>
      </w:r>
      <w:r>
        <w:rPr>
          <w:b w:val="0"/>
          <w:i w:val="0"/>
        </w:rPr>
        <w:t xml:space="preserve">; </w:t>
      </w:r>
      <w:r>
        <w:rPr>
          <w:b w:val="0"/>
          <w:i/>
        </w:rPr>
        <w:t>contrariis</w:t>
      </w:r>
      <w:r>
        <w:rPr>
          <w:b w:val="0"/>
          <w:i w:val="0"/>
        </w:rPr>
        <w:t xml:space="preserve">; </w:t>
      </w:r>
      <w:r>
        <w:rPr>
          <w:b w:val="0"/>
          <w:i/>
        </w:rPr>
        <w:t>contrarios</w:t>
      </w:r>
      <w:r>
        <w:rPr>
          <w:b w:val="0"/>
          <w:i w:val="0"/>
        </w:rPr>
        <w:t xml:space="preserve">; </w:t>
      </w:r>
      <w:r>
        <w:rPr>
          <w:b w:val="0"/>
          <w:i/>
        </w:rPr>
        <w:t>contrarium</w:t>
      </w:r>
      <w:r>
        <w:rPr>
          <w:b w:val="0"/>
          <w:i w:val="0"/>
        </w:rPr>
        <w:t xml:space="preserve">; </w:t>
      </w:r>
      <w:r>
        <w:rPr>
          <w:b w:val="0"/>
          <w:i/>
        </w:rPr>
        <w:t>opposita</w:t>
      </w:r>
      <w:r>
        <w:rPr>
          <w:b w:val="0"/>
          <w:i w:val="0"/>
        </w:rPr>
        <w:t xml:space="preserve">; </w:t>
      </w:r>
      <w:r>
        <w:rPr>
          <w:b w:val="0"/>
          <w:i/>
        </w:rPr>
        <w:t>oppositas</w:t>
      </w:r>
      <w:r>
        <w:rPr>
          <w:b w:val="0"/>
          <w:i w:val="0"/>
        </w:rPr>
        <w:t xml:space="preserve">; </w:t>
      </w:r>
      <w:r>
        <w:rPr>
          <w:b w:val="0"/>
          <w:i/>
        </w:rPr>
        <w:t>oppositum</w:t>
      </w:r>
      <w:r>
        <w:rPr>
          <w:b w:val="0"/>
          <w:i w:val="0"/>
        </w:rPr>
        <w:t xml:space="preserve">; </w:t>
      </w:r>
      <w:r>
        <w:rPr>
          <w:b w:val="0"/>
          <w:i/>
        </w:rPr>
        <w:t>repugnantes</w:t>
      </w:r>
      <w:r>
        <w:rPr>
          <w:b w:val="0"/>
          <w:i w:val="0"/>
        </w:rPr>
        <w:t xml:space="preserve">; </w:t>
      </w:r>
      <w:r>
        <w:rPr>
          <w:b w:val="0"/>
          <w:i/>
        </w:rPr>
        <w:t>repugnantia</w:t>
      </w:r>
      <w:r>
        <w:rPr>
          <w:b w:val="0"/>
          <w:i w:val="0"/>
        </w:rPr>
        <w:t>.</w:t>
      </w:r>
    </w:p>
    <w:p>
      <w:pPr>
        <w:widowControl/>
      </w:pPr>
      <w:r>
        <w:rPr>
          <w:b w:val="0"/>
          <w:i w:val="0"/>
        </w:rPr>
        <w:t xml:space="preserve">Contrary, opposed or conflicting. Opposed bodily qualities, successive opinions and contrary effects have different roles; the same enduring soul can receive or govern opposites without being a fixed bodily contrary. References: </w:t>
      </w:r>
      <w:hyperlink w:anchor="passage-vi-2-17">
        <w:r>
          <w:rPr>
            <w:color w:val="000000"/>
          </w:rPr>
          <w:t xml:space="preserve">VI.2.17</w:t>
        </w:r>
      </w:hyperlink>
      <w:r>
        <w:rPr>
          <w:b w:val="0"/>
          <w:i w:val="0"/>
        </w:rPr>
        <w:t xml:space="preserve">, </w:t>
      </w:r>
      <w:hyperlink w:anchor="passage-vi-7-3">
        <w:r>
          <w:rPr>
            <w:color w:val="000000"/>
          </w:rPr>
          <w:t xml:space="preserve">VI.7.3</w:t>
        </w:r>
      </w:hyperlink>
      <w:r>
        <w:rPr>
          <w:b w:val="0"/>
          <w:i w:val="0"/>
        </w:rPr>
        <w:t xml:space="preserve">, </w:t>
      </w:r>
      <w:hyperlink w:anchor="passage-vi-11-2">
        <w:r>
          <w:rPr>
            <w:color w:val="000000"/>
          </w:rPr>
          <w:t xml:space="preserve">VI.11.2</w:t>
        </w:r>
      </w:hyperlink>
      <w:r>
        <w:rPr>
          <w:b w:val="0"/>
          <w:i w:val="0"/>
        </w:rPr>
        <w:t xml:space="preserve">, </w:t>
      </w:r>
      <w:hyperlink w:anchor="passage-vi-12-14">
        <w:r>
          <w:rPr>
            <w:color w:val="000000"/>
          </w:rPr>
          <w:t xml:space="preserve">VI.12.14</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568" w:name="latin-record-0327"/>
      <w:bookmarkEnd w:id="568"/>
      <w:r>
        <w:rPr>
          <w:b/>
          <w:i w:val="0"/>
        </w:rPr>
        <w:t>convenientia / inconvenientia</w:t>
      </w:r>
      <w:r>
        <w:rPr>
          <w:b/>
          <w:i w:val="0"/>
        </w:rPr>
        <w:t>.</w:t>
      </w:r>
      <w:r>
        <w:rPr>
          <w:b w:val="0"/>
          <w:i w:val="0"/>
        </w:rPr>
        <w:t xml:space="preserve"> Printed forms: </w:t>
      </w:r>
      <w:r>
        <w:rPr>
          <w:b w:val="0"/>
          <w:i/>
        </w:rPr>
        <w:t>convenientiam</w:t>
      </w:r>
      <w:r>
        <w:rPr>
          <w:b w:val="0"/>
          <w:i w:val="0"/>
        </w:rPr>
        <w:t xml:space="preserve">; </w:t>
      </w:r>
      <w:r>
        <w:rPr>
          <w:b w:val="0"/>
          <w:i/>
        </w:rPr>
        <w:t>inconvenientiam</w:t>
      </w:r>
      <w:r>
        <w:rPr>
          <w:b w:val="0"/>
          <w:i w:val="0"/>
        </w:rPr>
        <w:t>.</w:t>
      </w:r>
    </w:p>
    <w:p>
      <w:pPr>
        <w:widowControl/>
      </w:pPr>
      <w:r>
        <w:rPr>
          <w:b w:val="0"/>
          <w:i w:val="0"/>
        </w:rPr>
        <w:t xml:space="preserve">Congruence and incongruence between what affects the body and its appropriate operation. These mark easy and difficult activities, rather than simply pleasure and pain as separate bodily substances.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569" w:name="latin-record-0328"/>
      <w:bookmarkEnd w:id="569"/>
      <w:r>
        <w:rPr>
          <w:b/>
          <w:i w:val="0"/>
        </w:rPr>
        <w:t>convenire / conciliare</w:t>
      </w:r>
      <w:r>
        <w:rPr>
          <w:b/>
          <w:i w:val="0"/>
        </w:rPr>
        <w:t>.</w:t>
      </w:r>
      <w:r>
        <w:rPr>
          <w:b w:val="0"/>
          <w:i w:val="0"/>
        </w:rPr>
        <w:t xml:space="preserve"> Printed forms: </w:t>
      </w:r>
      <w:r>
        <w:rPr>
          <w:b w:val="0"/>
          <w:i/>
        </w:rPr>
        <w:t>conciliet</w:t>
      </w:r>
      <w:r>
        <w:rPr>
          <w:b w:val="0"/>
          <w:i w:val="0"/>
        </w:rPr>
        <w:t xml:space="preserve">; </w:t>
      </w:r>
      <w:r>
        <w:rPr>
          <w:b w:val="0"/>
          <w:i/>
        </w:rPr>
        <w:t>congruat</w:t>
      </w:r>
      <w:r>
        <w:rPr>
          <w:b w:val="0"/>
          <w:i w:val="0"/>
        </w:rPr>
        <w:t xml:space="preserve">; </w:t>
      </w:r>
      <w:r>
        <w:rPr>
          <w:b w:val="0"/>
          <w:i/>
        </w:rPr>
        <w:t>conveniunt</w:t>
      </w:r>
      <w:r>
        <w:rPr>
          <w:b w:val="0"/>
          <w:i w:val="0"/>
        </w:rPr>
        <w:t>.</w:t>
      </w:r>
    </w:p>
    <w:p>
      <w:pPr>
        <w:widowControl/>
      </w:pPr>
      <w:r>
        <w:rPr>
          <w:b w:val="0"/>
          <w:i w:val="0"/>
        </w:rPr>
        <w:t xml:space="preserve">Agreeing, being suited or bringing into common accord. Persons agree through humanity, and an Idea is said to unite them in that common nature; the source is not a chance assemblage of their differences. References: </w:t>
      </w:r>
      <w:hyperlink w:anchor="passage-viii-1-3">
        <w:r>
          <w:rPr>
            <w:color w:val="000000"/>
          </w:rPr>
          <w:t xml:space="preserve">VIII.1.3</w:t>
        </w:r>
      </w:hyperlink>
      <w:r>
        <w:rPr>
          <w:b w:val="0"/>
          <w:i w:val="0"/>
        </w:rPr>
        <w:t xml:space="preserve">, </w:t>
      </w:r>
      <w:hyperlink w:anchor="passage-viii-2-1">
        <w:r>
          <w:rPr>
            <w:color w:val="000000"/>
          </w:rPr>
          <w:t xml:space="preserve">VIII.2.1</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570" w:name="latin-record-0329"/>
      <w:bookmarkEnd w:id="570"/>
      <w:r>
        <w:rPr>
          <w:b/>
          <w:i w:val="0"/>
        </w:rPr>
        <w:t>converti / convertere</w:t>
      </w:r>
      <w:r>
        <w:rPr>
          <w:b/>
          <w:i w:val="0"/>
        </w:rPr>
        <w:t>.</w:t>
      </w:r>
      <w:r>
        <w:rPr>
          <w:b w:val="0"/>
          <w:i w:val="0"/>
        </w:rPr>
        <w:t xml:space="preserve"> Printed forms: </w:t>
      </w:r>
      <w:r>
        <w:rPr>
          <w:b w:val="0"/>
          <w:i/>
        </w:rPr>
        <w:t>convertat</w:t>
      </w:r>
      <w:r>
        <w:rPr>
          <w:b w:val="0"/>
          <w:i w:val="0"/>
        </w:rPr>
        <w:t xml:space="preserve">; </w:t>
      </w:r>
      <w:r>
        <w:rPr>
          <w:b w:val="0"/>
          <w:i/>
        </w:rPr>
        <w:t>convertatur</w:t>
      </w:r>
      <w:r>
        <w:rPr>
          <w:b w:val="0"/>
          <w:i w:val="0"/>
        </w:rPr>
        <w:t xml:space="preserve">; </w:t>
      </w:r>
      <w:r>
        <w:rPr>
          <w:b w:val="0"/>
          <w:i/>
        </w:rPr>
        <w:t>convertit</w:t>
      </w:r>
      <w:r>
        <w:rPr>
          <w:b w:val="0"/>
          <w:i w:val="0"/>
        </w:rPr>
        <w:t>.</w:t>
      </w:r>
    </w:p>
    <w:p>
      <w:pPr>
        <w:widowControl/>
      </w:pPr>
      <w:r>
        <w:rPr>
          <w:b w:val="0"/>
          <w:i w:val="0"/>
        </w:rPr>
        <w:t xml:space="preserve">Being converted or converting another into oneself, literally or through assimilation. The food argument leaves two alternatives for truth and soul; later cognition converts harmful objects into beneficial knowledge without changing the objects’ moral status. References: </w:t>
      </w:r>
      <w:hyperlink w:anchor="passage-viii-2-8">
        <w:r>
          <w:rPr>
            <w:color w:val="000000"/>
          </w:rPr>
          <w:t xml:space="preserve">VIII.2.8</w:t>
        </w:r>
      </w:hyperlink>
      <w:r>
        <w:rPr>
          <w:b w:val="0"/>
          <w:i w:val="0"/>
        </w:rPr>
        <w:t xml:space="preserve">, </w:t>
      </w:r>
      <w:hyperlink w:anchor="passage-viii-13-2">
        <w:r>
          <w:rPr>
            <w:color w:val="000000"/>
          </w:rPr>
          <w:t xml:space="preserve">VIII.13.2</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571" w:name="latin-record-0330"/>
      <w:bookmarkEnd w:id="571"/>
      <w:r>
        <w:rPr>
          <w:b/>
          <w:i w:val="0"/>
        </w:rPr>
        <w:t>convivium; discumbere</w:t>
      </w:r>
      <w:r>
        <w:rPr>
          <w:b/>
          <w:i w:val="0"/>
        </w:rPr>
        <w:t>.</w:t>
      </w:r>
      <w:r>
        <w:rPr>
          <w:b w:val="0"/>
          <w:i w:val="0"/>
        </w:rPr>
        <w:t xml:space="preserve"> Printed forms: </w:t>
      </w:r>
      <w:r>
        <w:rPr>
          <w:b w:val="0"/>
          <w:i/>
        </w:rPr>
        <w:t>convivio</w:t>
      </w:r>
      <w:r>
        <w:rPr>
          <w:b w:val="0"/>
          <w:i w:val="0"/>
        </w:rPr>
        <w:t xml:space="preserve">; </w:t>
      </w:r>
      <w:r>
        <w:rPr>
          <w:b w:val="0"/>
          <w:i/>
        </w:rPr>
        <w:t>discumberemus</w:t>
      </w:r>
      <w:r>
        <w:rPr>
          <w:b w:val="0"/>
          <w:i w:val="0"/>
        </w:rPr>
        <w:t>.</w:t>
      </w:r>
    </w:p>
    <w:p>
      <w:pPr>
        <w:widowControl/>
      </w:pPr>
      <w:r>
        <w:rPr>
          <w:b w:val="0"/>
          <w:i w:val="0"/>
        </w:rPr>
        <w:t xml:space="preserve">A dinner gathering; reclining or taking one’s place at table. The second social scene is recalled as support for the demand to establish the human soul’s proper classification. References: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572" w:name="latin-record-0331"/>
      <w:bookmarkEnd w:id="572"/>
      <w:r>
        <w:rPr>
          <w:b/>
          <w:i w:val="0"/>
        </w:rPr>
        <w:t>copula; copulatrix</w:t>
      </w:r>
      <w:r>
        <w:rPr>
          <w:b/>
          <w:i w:val="0"/>
        </w:rPr>
        <w:t>.</w:t>
      </w:r>
      <w:r>
        <w:rPr>
          <w:b w:val="0"/>
          <w:i w:val="0"/>
        </w:rPr>
        <w:t xml:space="preserve"> Printed forms: </w:t>
      </w:r>
      <w:r>
        <w:rPr>
          <w:b w:val="0"/>
          <w:i/>
        </w:rPr>
        <w:t>copula</w:t>
      </w:r>
      <w:r>
        <w:rPr>
          <w:b w:val="0"/>
          <w:i w:val="0"/>
        </w:rPr>
        <w:t xml:space="preserve">; </w:t>
      </w:r>
      <w:r>
        <w:rPr>
          <w:b w:val="0"/>
          <w:i/>
        </w:rPr>
        <w:t>copulantem</w:t>
      </w:r>
      <w:r>
        <w:rPr>
          <w:b w:val="0"/>
          <w:i w:val="0"/>
        </w:rPr>
        <w:t xml:space="preserve">; </w:t>
      </w:r>
      <w:r>
        <w:rPr>
          <w:b w:val="0"/>
          <w:i/>
        </w:rPr>
        <w:t>copulatum</w:t>
      </w:r>
      <w:r>
        <w:rPr>
          <w:b w:val="0"/>
          <w:i w:val="0"/>
        </w:rPr>
        <w:t xml:space="preserve">; </w:t>
      </w:r>
      <w:r>
        <w:rPr>
          <w:b w:val="0"/>
          <w:i/>
        </w:rPr>
        <w:t>substantia copulatrix</w:t>
      </w:r>
      <w:r>
        <w:rPr>
          <w:b w:val="0"/>
          <w:i w:val="0"/>
        </w:rPr>
        <w:t>.</w:t>
      </w:r>
    </w:p>
    <w:p>
      <w:pPr>
        <w:widowControl/>
      </w:pPr>
      <w:r>
        <w:rPr>
          <w:b w:val="0"/>
          <w:i w:val="0"/>
        </w:rPr>
        <w:t xml:space="preserve">Bond, binding power, what is bound and binding substance. Soul or its power performs the binding; it must not be identified with the composite already bound. References: </w:t>
      </w:r>
      <w:hyperlink w:anchor="passage-vi-8-5">
        <w:r>
          <w:rPr>
            <w:color w:val="000000"/>
          </w:rPr>
          <w:t xml:space="preserve">VI.8.5</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573" w:name="latin-record-0332"/>
      <w:bookmarkEnd w:id="573"/>
      <w:r>
        <w:rPr>
          <w:b/>
          <w:i w:val="0"/>
        </w:rPr>
        <w:t>copulare / insinuare / cognatus</w:t>
      </w:r>
      <w:r>
        <w:rPr>
          <w:b/>
          <w:i w:val="0"/>
        </w:rPr>
        <w:t>.</w:t>
      </w:r>
      <w:r>
        <w:rPr>
          <w:b w:val="0"/>
          <w:i w:val="0"/>
        </w:rPr>
        <w:t xml:space="preserve"> Printed forms: </w:t>
      </w:r>
      <w:r>
        <w:rPr>
          <w:b w:val="0"/>
          <w:i/>
        </w:rPr>
        <w:t>cognatissimo</w:t>
      </w:r>
      <w:r>
        <w:rPr>
          <w:b w:val="0"/>
          <w:i w:val="0"/>
        </w:rPr>
        <w:t xml:space="preserve">; </w:t>
      </w:r>
      <w:r>
        <w:rPr>
          <w:b w:val="0"/>
          <w:i/>
        </w:rPr>
        <w:t>copulatur</w:t>
      </w:r>
      <w:r>
        <w:rPr>
          <w:b w:val="0"/>
          <w:i w:val="0"/>
        </w:rPr>
        <w:t xml:space="preserve">; </w:t>
      </w:r>
      <w:r>
        <w:rPr>
          <w:b w:val="0"/>
          <w:i/>
        </w:rPr>
        <w:t>insinuans</w:t>
      </w:r>
      <w:r>
        <w:rPr>
          <w:b w:val="0"/>
          <w:i w:val="0"/>
        </w:rPr>
        <w:t>.</w:t>
      </w:r>
    </w:p>
    <w:p>
      <w:pPr>
        <w:widowControl/>
      </w:pPr>
      <w:r>
        <w:rPr>
          <w:b w:val="0"/>
          <w:i w:val="0"/>
        </w:rPr>
        <w:t xml:space="preserve">To join, enter intimately, and be most akin to. Soul engages a medium suited to itself and governs the body through it; affinity does not identify medium and soul.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574" w:name="latin-record-0333"/>
      <w:bookmarkEnd w:id="574"/>
      <w:r>
        <w:rPr>
          <w:b/>
          <w:i w:val="0"/>
        </w:rPr>
        <w:t>cor / sanguis / calor</w:t>
      </w:r>
      <w:r>
        <w:rPr>
          <w:b/>
          <w:i w:val="0"/>
        </w:rPr>
        <w:t>.</w:t>
      </w:r>
      <w:r>
        <w:rPr>
          <w:b w:val="0"/>
          <w:i w:val="0"/>
        </w:rPr>
        <w:t xml:space="preserve"> Printed forms: </w:t>
      </w:r>
      <w:r>
        <w:rPr>
          <w:b w:val="0"/>
          <w:i/>
        </w:rPr>
        <w:t>calore</w:t>
      </w:r>
      <w:r>
        <w:rPr>
          <w:b w:val="0"/>
          <w:i w:val="0"/>
        </w:rPr>
        <w:t xml:space="preserve">; </w:t>
      </w:r>
      <w:r>
        <w:rPr>
          <w:b w:val="0"/>
          <w:i/>
        </w:rPr>
        <w:t>cordis</w:t>
      </w:r>
      <w:r>
        <w:rPr>
          <w:b w:val="0"/>
          <w:i w:val="0"/>
        </w:rPr>
        <w:t xml:space="preserve">; </w:t>
      </w:r>
      <w:r>
        <w:rPr>
          <w:b w:val="0"/>
          <w:i/>
        </w:rPr>
        <w:t>sanguinis</w:t>
      </w:r>
      <w:r>
        <w:rPr>
          <w:b w:val="0"/>
          <w:i w:val="0"/>
        </w:rPr>
        <w:t>.</w:t>
      </w:r>
    </w:p>
    <w:p>
      <w:pPr>
        <w:widowControl/>
      </w:pPr>
      <w:r>
        <w:rPr>
          <w:b w:val="0"/>
          <w:i w:val="0"/>
        </w:rPr>
        <w:t xml:space="preserve">Heart, blood and heat in the historical production of bodily spirit. Ficino says the heart’s heat generates spirit from the finest blood; the explanation is not adopted as contemporary physiology.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575" w:name="latin-record-0334"/>
      <w:bookmarkEnd w:id="575"/>
      <w:r>
        <w:rPr>
          <w:b/>
          <w:i w:val="0"/>
        </w:rPr>
        <w:t>cor; cerebrum</w:t>
      </w:r>
      <w:r>
        <w:rPr>
          <w:b/>
          <w:i w:val="0"/>
        </w:rPr>
        <w:t>.</w:t>
      </w:r>
      <w:r>
        <w:rPr>
          <w:b w:val="0"/>
          <w:i w:val="0"/>
        </w:rPr>
        <w:t xml:space="preserve"> Printed forms: </w:t>
      </w:r>
      <w:r>
        <w:rPr>
          <w:b w:val="0"/>
          <w:i/>
        </w:rPr>
        <w:t>cerebro</w:t>
      </w:r>
      <w:r>
        <w:rPr>
          <w:b w:val="0"/>
          <w:i w:val="0"/>
        </w:rPr>
        <w:t xml:space="preserve">; </w:t>
      </w:r>
      <w:r>
        <w:rPr>
          <w:b w:val="0"/>
          <w:i/>
        </w:rPr>
        <w:t>corde</w:t>
      </w:r>
      <w:r>
        <w:rPr>
          <w:b w:val="0"/>
          <w:i w:val="0"/>
        </w:rPr>
        <w:t>.</w:t>
      </w:r>
    </w:p>
    <w:p>
      <w:pPr>
        <w:widowControl/>
      </w:pPr>
      <w:r>
        <w:rPr>
          <w:b w:val="0"/>
          <w:i w:val="0"/>
        </w:rPr>
        <w:t xml:space="preserve">Heart and brain as rival proposed ruling seats. They are examples of a nobler bodily part in the localized-point theory, not a final anatomical localization endorsed by Ficino. References: </w:t>
      </w:r>
      <w:hyperlink w:anchor="passage-vi-1-4">
        <w:r>
          <w:rPr>
            <w:color w:val="000000"/>
          </w:rPr>
          <w:t xml:space="preserve">VI.1.4</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576" w:name="latin-record-0335"/>
      <w:bookmarkEnd w:id="576"/>
      <w:r>
        <w:rPr>
          <w:b/>
          <w:i w:val="0"/>
        </w:rPr>
        <w:t>corporeus / corporalis</w:t>
      </w:r>
      <w:r>
        <w:rPr>
          <w:b/>
          <w:i w:val="0"/>
        </w:rPr>
        <w:t>.</w:t>
      </w:r>
      <w:r>
        <w:rPr>
          <w:b w:val="0"/>
          <w:i w:val="0"/>
        </w:rPr>
        <w:t xml:space="preserve"> Printed forms: </w:t>
      </w:r>
      <w:r>
        <w:rPr>
          <w:b w:val="0"/>
          <w:i/>
        </w:rPr>
        <w:t>corporali</w:t>
      </w:r>
      <w:r>
        <w:rPr>
          <w:b w:val="0"/>
          <w:i w:val="0"/>
        </w:rPr>
        <w:t xml:space="preserve">; </w:t>
      </w:r>
      <w:r>
        <w:rPr>
          <w:b w:val="0"/>
          <w:i/>
        </w:rPr>
        <w:t>corporalibus</w:t>
      </w:r>
      <w:r>
        <w:rPr>
          <w:b w:val="0"/>
          <w:i w:val="0"/>
        </w:rPr>
        <w:t xml:space="preserve">; </w:t>
      </w:r>
      <w:r>
        <w:rPr>
          <w:b w:val="0"/>
          <w:i/>
        </w:rPr>
        <w:t>corporalis</w:t>
      </w:r>
      <w:r>
        <w:rPr>
          <w:b w:val="0"/>
          <w:i w:val="0"/>
        </w:rPr>
        <w:t xml:space="preserve">; </w:t>
      </w:r>
      <w:r>
        <w:rPr>
          <w:b w:val="0"/>
          <w:i/>
        </w:rPr>
        <w:t>corporea</w:t>
      </w:r>
      <w:r>
        <w:rPr>
          <w:b w:val="0"/>
          <w:i w:val="0"/>
        </w:rPr>
        <w:t xml:space="preserve">; </w:t>
      </w:r>
      <w:r>
        <w:rPr>
          <w:b w:val="0"/>
          <w:i/>
        </w:rPr>
        <w:t>corporeum</w:t>
      </w:r>
      <w:r>
        <w:rPr>
          <w:b w:val="0"/>
          <w:i w:val="0"/>
        </w:rPr>
        <w:t>.</w:t>
      </w:r>
    </w:p>
    <w:p>
      <w:pPr>
        <w:widowControl/>
      </w:pPr>
      <w:r>
        <w:rPr>
          <w:b w:val="0"/>
          <w:i w:val="0"/>
        </w:rPr>
        <w:t xml:space="preserve">Bodily in being, location or mode of operation; the adjective’s particular contrast must be supplied locally. Bodily nourishment, extended forms and corporeal reception are different applications of a shared material restriction, not interchangeable physical mechanisms. References: </w:t>
      </w:r>
      <w:hyperlink w:anchor="passage-viii-1-3">
        <w:r>
          <w:rPr>
            <w:color w:val="000000"/>
          </w:rPr>
          <w:t xml:space="preserve">VIII.1.3</w:t>
        </w:r>
      </w:hyperlink>
      <w:r>
        <w:rPr>
          <w:b w:val="0"/>
          <w:i w:val="0"/>
        </w:rPr>
        <w:t xml:space="preserve">, </w:t>
      </w:r>
      <w:hyperlink w:anchor="passage-viii-2-1">
        <w:r>
          <w:rPr>
            <w:color w:val="000000"/>
          </w:rPr>
          <w:t xml:space="preserve">VIII.2.1</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w:t>
      </w:r>
      <w:hyperlink w:anchor="passage-viii-5-1">
        <w:r>
          <w:rPr>
            <w:color w:val="000000"/>
          </w:rPr>
          <w:t xml:space="preserve">VIII.5.1</w:t>
        </w:r>
      </w:hyperlink>
      <w:r>
        <w:rPr>
          <w:b w:val="0"/>
          <w:i w:val="0"/>
        </w:rPr>
        <w:t xml:space="preserve">, </w:t>
      </w:r>
      <w:hyperlink w:anchor="passage-viii-5-2">
        <w:r>
          <w:rPr>
            <w:color w:val="000000"/>
          </w:rPr>
          <w:t xml:space="preserve">VIII.5.2</w:t>
        </w:r>
      </w:hyperlink>
      <w:r>
        <w:rPr>
          <w:b w:val="0"/>
          <w:i w:val="0"/>
        </w:rPr>
        <w:t xml:space="preserve">,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8-1">
        <w:r>
          <w:rPr>
            <w:color w:val="000000"/>
          </w:rPr>
          <w:t xml:space="preserve">VIII.8.1</w:t>
        </w:r>
      </w:hyperlink>
      <w:r>
        <w:rPr>
          <w:b w:val="0"/>
          <w:i w:val="0"/>
        </w:rPr>
        <w:t xml:space="preserve">, </w:t>
      </w:r>
      <w:hyperlink w:anchor="passage-viii-9-1">
        <w:r>
          <w:rPr>
            <w:color w:val="000000"/>
          </w:rPr>
          <w:t xml:space="preserve">VIII.9.1</w:t>
        </w:r>
      </w:hyperlink>
      <w:r>
        <w:rPr>
          <w:b w:val="0"/>
          <w:i w:val="0"/>
        </w:rPr>
        <w:t xml:space="preserve">, </w:t>
      </w:r>
      <w:hyperlink w:anchor="passage-viii-12-1">
        <w:r>
          <w:rPr>
            <w:color w:val="000000"/>
          </w:rPr>
          <w:t xml:space="preserve">VIII.12.1</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577" w:name="latin-record-0336"/>
      <w:bookmarkEnd w:id="577"/>
      <w:r>
        <w:rPr>
          <w:b/>
          <w:i w:val="0"/>
        </w:rPr>
        <w:t>corporeus; corporalis; incorporeus</w:t>
      </w:r>
      <w:r>
        <w:rPr>
          <w:b/>
          <w:i w:val="0"/>
        </w:rPr>
        <w:t>.</w:t>
      </w:r>
      <w:r>
        <w:rPr>
          <w:b w:val="0"/>
          <w:i w:val="0"/>
        </w:rPr>
        <w:t xml:space="preserve"> Printed forms: </w:t>
      </w:r>
      <w:r>
        <w:rPr>
          <w:b w:val="0"/>
          <w:i/>
        </w:rPr>
        <w:t>corporale</w:t>
      </w:r>
      <w:r>
        <w:rPr>
          <w:b w:val="0"/>
          <w:i w:val="0"/>
        </w:rPr>
        <w:t xml:space="preserve">; </w:t>
      </w:r>
      <w:r>
        <w:rPr>
          <w:b w:val="0"/>
          <w:i/>
        </w:rPr>
        <w:t>corporalem</w:t>
      </w:r>
      <w:r>
        <w:rPr>
          <w:b w:val="0"/>
          <w:i w:val="0"/>
        </w:rPr>
        <w:t xml:space="preserve">; </w:t>
      </w:r>
      <w:r>
        <w:rPr>
          <w:b w:val="0"/>
          <w:i/>
        </w:rPr>
        <w:t>corporali</w:t>
      </w:r>
      <w:r>
        <w:rPr>
          <w:b w:val="0"/>
          <w:i w:val="0"/>
        </w:rPr>
        <w:t xml:space="preserve">; </w:t>
      </w:r>
      <w:r>
        <w:rPr>
          <w:b w:val="0"/>
          <w:i/>
        </w:rPr>
        <w:t>corporalia</w:t>
      </w:r>
      <w:r>
        <w:rPr>
          <w:b w:val="0"/>
          <w:i w:val="0"/>
        </w:rPr>
        <w:t xml:space="preserve">; </w:t>
      </w:r>
      <w:r>
        <w:rPr>
          <w:b w:val="0"/>
          <w:i/>
        </w:rPr>
        <w:t>corporalis</w:t>
      </w:r>
      <w:r>
        <w:rPr>
          <w:b w:val="0"/>
          <w:i w:val="0"/>
        </w:rPr>
        <w:t xml:space="preserve">; </w:t>
      </w:r>
      <w:r>
        <w:rPr>
          <w:b w:val="0"/>
          <w:i/>
        </w:rPr>
        <w:t>corporalium</w:t>
      </w:r>
      <w:r>
        <w:rPr>
          <w:b w:val="0"/>
          <w:i w:val="0"/>
        </w:rPr>
        <w:t xml:space="preserve">; </w:t>
      </w:r>
      <w:r>
        <w:rPr>
          <w:b w:val="0"/>
          <w:i/>
        </w:rPr>
        <w:t>corporea</w:t>
      </w:r>
      <w:r>
        <w:rPr>
          <w:b w:val="0"/>
          <w:i w:val="0"/>
        </w:rPr>
        <w:t xml:space="preserve">; </w:t>
      </w:r>
      <w:r>
        <w:rPr>
          <w:b w:val="0"/>
          <w:i/>
        </w:rPr>
        <w:t>corpoream</w:t>
      </w:r>
      <w:r>
        <w:rPr>
          <w:b w:val="0"/>
          <w:i w:val="0"/>
        </w:rPr>
        <w:t xml:space="preserve">; </w:t>
      </w:r>
      <w:r>
        <w:rPr>
          <w:b w:val="0"/>
          <w:i/>
        </w:rPr>
        <w:t>corporeis</w:t>
      </w:r>
      <w:r>
        <w:rPr>
          <w:b w:val="0"/>
          <w:i w:val="0"/>
        </w:rPr>
        <w:t xml:space="preserve">; </w:t>
      </w:r>
      <w:r>
        <w:rPr>
          <w:b w:val="0"/>
          <w:i/>
        </w:rPr>
        <w:t>corporeum</w:t>
      </w:r>
      <w:r>
        <w:rPr>
          <w:b w:val="0"/>
          <w:i w:val="0"/>
        </w:rPr>
        <w:t xml:space="preserve">; </w:t>
      </w:r>
      <w:r>
        <w:rPr>
          <w:b w:val="0"/>
          <w:i/>
        </w:rPr>
        <w:t>incorporale</w:t>
      </w:r>
      <w:r>
        <w:rPr>
          <w:b w:val="0"/>
          <w:i w:val="0"/>
        </w:rPr>
        <w:t xml:space="preserve">; </w:t>
      </w:r>
      <w:r>
        <w:rPr>
          <w:b w:val="0"/>
          <w:i/>
        </w:rPr>
        <w:t>incorporalem</w:t>
      </w:r>
      <w:r>
        <w:rPr>
          <w:b w:val="0"/>
          <w:i w:val="0"/>
        </w:rPr>
        <w:t xml:space="preserve">; </w:t>
      </w:r>
      <w:r>
        <w:rPr>
          <w:b w:val="0"/>
          <w:i/>
        </w:rPr>
        <w:t>incorporali</w:t>
      </w:r>
      <w:r>
        <w:rPr>
          <w:b w:val="0"/>
          <w:i w:val="0"/>
        </w:rPr>
        <w:t xml:space="preserve">; </w:t>
      </w:r>
      <w:r>
        <w:rPr>
          <w:b w:val="0"/>
          <w:i/>
        </w:rPr>
        <w:t>incorporalia</w:t>
      </w:r>
      <w:r>
        <w:rPr>
          <w:b w:val="0"/>
          <w:i w:val="0"/>
        </w:rPr>
        <w:t xml:space="preserve">; </w:t>
      </w:r>
      <w:r>
        <w:rPr>
          <w:b w:val="0"/>
          <w:i/>
        </w:rPr>
        <w:t>incorporalis</w:t>
      </w:r>
      <w:r>
        <w:rPr>
          <w:b w:val="0"/>
          <w:i w:val="0"/>
        </w:rPr>
        <w:t xml:space="preserve">; </w:t>
      </w:r>
      <w:r>
        <w:rPr>
          <w:b w:val="0"/>
          <w:i/>
        </w:rPr>
        <w:t>incorporea</w:t>
      </w:r>
      <w:r>
        <w:rPr>
          <w:b w:val="0"/>
          <w:i w:val="0"/>
        </w:rPr>
        <w:t xml:space="preserve">; </w:t>
      </w:r>
      <w:r>
        <w:rPr>
          <w:b w:val="0"/>
          <w:i/>
        </w:rPr>
        <w:t>incorpoream</w:t>
      </w:r>
      <w:r>
        <w:rPr>
          <w:b w:val="0"/>
          <w:i w:val="0"/>
        </w:rPr>
        <w:t xml:space="preserve">; </w:t>
      </w:r>
      <w:r>
        <w:rPr>
          <w:b w:val="0"/>
          <w:i/>
        </w:rPr>
        <w:t>incorporeum</w:t>
      </w:r>
      <w:r>
        <w:rPr>
          <w:b w:val="0"/>
          <w:i w:val="0"/>
        </w:rPr>
        <w:t>.</w:t>
      </w:r>
    </w:p>
    <w:p>
      <w:pPr>
        <w:widowControl/>
      </w:pPr>
      <w:r>
        <w:rPr>
          <w:b w:val="0"/>
          <w:i w:val="0"/>
        </w:rPr>
        <w:t xml:space="preserve">Bodily and nonbodily predicates, whose scope is distinct from visible versus invisible. A subtle invisible body remains bodily; incorporeality also needs to be distinguished from the stronger conclusion of independence from material origin. References: </w:t>
      </w:r>
      <w:hyperlink w:anchor="passage-vi-1-5">
        <w:r>
          <w:rPr>
            <w:color w:val="000000"/>
          </w:rPr>
          <w:t xml:space="preserve">VI.1.5</w:t>
        </w:r>
      </w:hyperlink>
      <w:r>
        <w:rPr>
          <w:b w:val="0"/>
          <w:i w:val="0"/>
        </w:rPr>
        <w:t xml:space="preserve">, </w:t>
      </w:r>
      <w:hyperlink w:anchor="passage-vi-1-6">
        <w:r>
          <w:rPr>
            <w:color w:val="000000"/>
          </w:rPr>
          <w:t xml:space="preserve">VI.1.6</w:t>
        </w:r>
      </w:hyperlink>
      <w:r>
        <w:rPr>
          <w:b w:val="0"/>
          <w:i w:val="0"/>
        </w:rPr>
        <w:t xml:space="preserve">, </w:t>
      </w:r>
      <w:hyperlink w:anchor="passage-vi-2-1">
        <w:r>
          <w:rPr>
            <w:color w:val="000000"/>
          </w:rPr>
          <w:t xml:space="preserve">VI.2.1</w:t>
        </w:r>
      </w:hyperlink>
      <w:r>
        <w:rPr>
          <w:b w:val="0"/>
          <w:i w:val="0"/>
        </w:rPr>
        <w:t xml:space="preserve">, </w:t>
      </w:r>
      <w:hyperlink w:anchor="passage-vi-2-2">
        <w:r>
          <w:rPr>
            <w:color w:val="000000"/>
          </w:rPr>
          <w:t xml:space="preserve">VI.2.2</w:t>
        </w:r>
      </w:hyperlink>
      <w:r>
        <w:rPr>
          <w:b w:val="0"/>
          <w:i w:val="0"/>
        </w:rPr>
        <w:t xml:space="preserve">, </w:t>
      </w:r>
      <w:hyperlink w:anchor="passage-vi-2-6">
        <w:r>
          <w:rPr>
            <w:color w:val="000000"/>
          </w:rPr>
          <w:t xml:space="preserve">VI.2.6</w:t>
        </w:r>
      </w:hyperlink>
      <w:r>
        <w:rPr>
          <w:b w:val="0"/>
          <w:i w:val="0"/>
        </w:rPr>
        <w:t xml:space="preserve">, </w:t>
      </w:r>
      <w:hyperlink w:anchor="passage-vi-2-8">
        <w:r>
          <w:rPr>
            <w:color w:val="000000"/>
          </w:rPr>
          <w:t xml:space="preserve">VI.2.8</w:t>
        </w:r>
      </w:hyperlink>
      <w:r>
        <w:rPr>
          <w:b w:val="0"/>
          <w:i w:val="0"/>
        </w:rPr>
        <w:t xml:space="preserve">, </w:t>
      </w:r>
      <w:hyperlink w:anchor="passage-vi-2-13">
        <w:r>
          <w:rPr>
            <w:color w:val="000000"/>
          </w:rPr>
          <w:t xml:space="preserve">VI.2.13</w:t>
        </w:r>
      </w:hyperlink>
      <w:r>
        <w:rPr>
          <w:b w:val="0"/>
          <w:i w:val="0"/>
        </w:rPr>
        <w:t xml:space="preserve">, </w:t>
      </w:r>
      <w:hyperlink w:anchor="passage-vi-3-1">
        <w:r>
          <w:rPr>
            <w:color w:val="000000"/>
          </w:rPr>
          <w:t xml:space="preserve">VI.3.1</w:t>
        </w:r>
      </w:hyperlink>
      <w:r>
        <w:rPr>
          <w:b w:val="0"/>
          <w:i w:val="0"/>
        </w:rPr>
        <w:t xml:space="preserve">, </w:t>
      </w:r>
      <w:hyperlink w:anchor="passage-vi-4-1">
        <w:r>
          <w:rPr>
            <w:color w:val="000000"/>
          </w:rPr>
          <w:t xml:space="preserve">VI.4.1</w:t>
        </w:r>
      </w:hyperlink>
      <w:r>
        <w:rPr>
          <w:b w:val="0"/>
          <w:i w:val="0"/>
        </w:rPr>
        <w:t xml:space="preserve">, </w:t>
      </w:r>
      <w:hyperlink w:anchor="passage-vi-6-3">
        <w:r>
          <w:rPr>
            <w:color w:val="000000"/>
          </w:rPr>
          <w:t xml:space="preserve">VI.6.3</w:t>
        </w:r>
      </w:hyperlink>
      <w:r>
        <w:rPr>
          <w:b w:val="0"/>
          <w:i w:val="0"/>
        </w:rPr>
        <w:t xml:space="preserve">, </w:t>
      </w:r>
      <w:hyperlink w:anchor="passage-vi-12-13">
        <w:r>
          <w:rPr>
            <w:color w:val="000000"/>
          </w:rPr>
          <w:t xml:space="preserve">VI.12.13</w:t>
        </w:r>
      </w:hyperlink>
      <w:r>
        <w:rPr>
          <w:b w:val="0"/>
          <w:i w:val="0"/>
        </w:rPr>
        <w:t xml:space="preserve">, </w:t>
      </w:r>
      <w:hyperlink w:anchor="passage-vi-12-18">
        <w:r>
          <w:rPr>
            <w:color w:val="000000"/>
          </w:rPr>
          <w:t xml:space="preserve">VI.12.18</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578" w:name="latin-record-0337"/>
      <w:bookmarkEnd w:id="578"/>
      <w:r>
        <w:rPr>
          <w:b/>
          <w:i w:val="0"/>
        </w:rPr>
        <w:t>corpus</w:t>
      </w:r>
      <w:r>
        <w:rPr>
          <w:b/>
          <w:i w:val="0"/>
        </w:rPr>
        <w:t>.</w:t>
      </w:r>
      <w:r>
        <w:rPr>
          <w:b w:val="0"/>
          <w:i w:val="0"/>
        </w:rPr>
        <w:t xml:space="preserve"> Printed forms: </w:t>
      </w:r>
      <w:r>
        <w:rPr>
          <w:b w:val="0"/>
          <w:i/>
        </w:rPr>
        <w:t>corpora</w:t>
      </w:r>
      <w:r>
        <w:rPr>
          <w:b w:val="0"/>
          <w:i w:val="0"/>
        </w:rPr>
        <w:t xml:space="preserve">; </w:t>
      </w:r>
      <w:r>
        <w:rPr>
          <w:b w:val="0"/>
          <w:i/>
        </w:rPr>
        <w:t>corpore</w:t>
      </w:r>
      <w:r>
        <w:rPr>
          <w:b w:val="0"/>
          <w:i w:val="0"/>
        </w:rPr>
        <w:t xml:space="preserve">; </w:t>
      </w:r>
      <w:r>
        <w:rPr>
          <w:b w:val="0"/>
          <w:i/>
        </w:rPr>
        <w:t>corpori</w:t>
      </w:r>
      <w:r>
        <w:rPr>
          <w:b w:val="0"/>
          <w:i w:val="0"/>
        </w:rPr>
        <w:t xml:space="preserve">; </w:t>
      </w:r>
      <w:r>
        <w:rPr>
          <w:b w:val="0"/>
          <w:i/>
        </w:rPr>
        <w:t>corporibus</w:t>
      </w:r>
      <w:r>
        <w:rPr>
          <w:b w:val="0"/>
          <w:i w:val="0"/>
        </w:rPr>
        <w:t xml:space="preserve">; </w:t>
      </w:r>
      <w:r>
        <w:rPr>
          <w:b w:val="0"/>
          <w:i/>
        </w:rPr>
        <w:t>corporis</w:t>
      </w:r>
      <w:r>
        <w:rPr>
          <w:b w:val="0"/>
          <w:i w:val="0"/>
        </w:rPr>
        <w:t xml:space="preserve">; </w:t>
      </w:r>
      <w:r>
        <w:rPr>
          <w:b w:val="0"/>
          <w:i/>
        </w:rPr>
        <w:t>corporum</w:t>
      </w:r>
      <w:r>
        <w:rPr>
          <w:b w:val="0"/>
          <w:i w:val="0"/>
        </w:rPr>
        <w:t xml:space="preserve">; </w:t>
      </w:r>
      <w:r>
        <w:rPr>
          <w:b w:val="0"/>
          <w:i/>
        </w:rPr>
        <w:t>corpus</w:t>
      </w:r>
      <w:r>
        <w:rPr>
          <w:b w:val="0"/>
          <w:i w:val="0"/>
        </w:rPr>
        <w:t>.</w:t>
      </w:r>
    </w:p>
    <w:p>
      <w:pPr>
        <w:widowControl/>
      </w:pPr>
      <w:r>
        <w:rPr>
          <w:b w:val="0"/>
          <w:i w:val="0"/>
        </w:rPr>
        <w:t xml:space="preserve">Body as extended corporeal reality, and in context the visible organism or a hypothetical subtle animating body. The arguments often isolate body precisely as body, not the whole living composite including soul; quantity, division and causal passivity are tested on that basis. References: </w:t>
      </w:r>
      <w:hyperlink w:anchor="passage-vi-1-2">
        <w:r>
          <w:rPr>
            <w:color w:val="000000"/>
          </w:rPr>
          <w:t xml:space="preserve">VI.1.2</w:t>
        </w:r>
      </w:hyperlink>
      <w:r>
        <w:rPr>
          <w:b w:val="0"/>
          <w:i w:val="0"/>
        </w:rPr>
        <w:t xml:space="preserve">, </w:t>
      </w:r>
      <w:hyperlink w:anchor="passage-vi-2-1">
        <w:r>
          <w:rPr>
            <w:color w:val="000000"/>
          </w:rPr>
          <w:t xml:space="preserve">VI.2.1</w:t>
        </w:r>
      </w:hyperlink>
      <w:r>
        <w:rPr>
          <w:b w:val="0"/>
          <w:i w:val="0"/>
        </w:rPr>
        <w:t xml:space="preserve">, </w:t>
      </w:r>
      <w:hyperlink w:anchor="passage-vi-2-2">
        <w:r>
          <w:rPr>
            <w:color w:val="000000"/>
          </w:rPr>
          <w:t xml:space="preserve">VI.2.2</w:t>
        </w:r>
      </w:hyperlink>
      <w:r>
        <w:rPr>
          <w:b w:val="0"/>
          <w:i w:val="0"/>
        </w:rPr>
        <w:t xml:space="preserve">, </w:t>
      </w:r>
      <w:hyperlink w:anchor="passage-vi-4-1">
        <w:r>
          <w:rPr>
            <w:color w:val="000000"/>
          </w:rPr>
          <w:t xml:space="preserve">VI.4.1</w:t>
        </w:r>
      </w:hyperlink>
      <w:r>
        <w:rPr>
          <w:b w:val="0"/>
          <w:i w:val="0"/>
        </w:rPr>
        <w:t xml:space="preserve">, </w:t>
      </w:r>
      <w:hyperlink w:anchor="passage-vi-9-1">
        <w:r>
          <w:rPr>
            <w:color w:val="000000"/>
          </w:rPr>
          <w:t xml:space="preserve">VI.9.1</w:t>
        </w:r>
      </w:hyperlink>
      <w:r>
        <w:rPr>
          <w:b w:val="0"/>
          <w:i w:val="0"/>
        </w:rPr>
        <w:t xml:space="preserve">. See </w:t>
      </w:r>
      <w:hyperlink w:anchor="dense-subtle-and-fifth-body">
        <w:r>
          <w:rPr>
            <w:color w:val="000000"/>
          </w:rPr>
          <w:t xml:space="preserve">Dense, subtle and fifth body</w:t>
        </w:r>
      </w:hyperlink>
      <w:r>
        <w:rPr>
          <w:b w:val="0"/>
          <w:i w:val="0"/>
        </w:rPr>
        <w:t>.</w:t>
      </w:r>
    </w:p>
    <w:p>
      <w:pPr>
        <w:widowControl/>
      </w:pPr>
      <w:r>
        <w:rPr>
          <w:b w:val="0"/>
          <w:i w:val="0"/>
        </w:rPr>
        <w:t xml:space="preserve">Body considered as extended, divisible and materially conditioned. The point-and-extension dilemmas concern the proposed bodily status of mind, while food and instrument examples concern its relation to the organism. References: </w:t>
      </w:r>
      <w:hyperlink w:anchor="passage-viii-2-1">
        <w:r>
          <w:rPr>
            <w:color w:val="000000"/>
          </w:rPr>
          <w:t xml:space="preserve">VIII.2.1</w:t>
        </w:r>
      </w:hyperlink>
      <w:r>
        <w:rPr>
          <w:b w:val="0"/>
          <w:i w:val="0"/>
        </w:rPr>
        <w:t xml:space="preserve">, </w:t>
      </w:r>
      <w:hyperlink w:anchor="passage-viii-4-1">
        <w:r>
          <w:rPr>
            <w:color w:val="000000"/>
          </w:rPr>
          <w:t xml:space="preserve">VIII.4.1</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579" w:name="latin-record-0338"/>
      <w:bookmarkEnd w:id="579"/>
      <w:r>
        <w:rPr>
          <w:b/>
          <w:i w:val="0"/>
        </w:rPr>
        <w:t>corpus / corporalis</w:t>
      </w:r>
      <w:r>
        <w:rPr>
          <w:b/>
          <w:i w:val="0"/>
        </w:rPr>
        <w:t>.</w:t>
      </w:r>
      <w:r>
        <w:rPr>
          <w:b w:val="0"/>
          <w:i w:val="0"/>
        </w:rPr>
        <w:t xml:space="preserve"> Printed forms: </w:t>
      </w:r>
      <w:r>
        <w:rPr>
          <w:b w:val="0"/>
          <w:i/>
        </w:rPr>
        <w:t>corporales</w:t>
      </w:r>
      <w:r>
        <w:rPr>
          <w:b w:val="0"/>
          <w:i w:val="0"/>
        </w:rPr>
        <w:t xml:space="preserve">; </w:t>
      </w:r>
      <w:r>
        <w:rPr>
          <w:b w:val="0"/>
          <w:i/>
        </w:rPr>
        <w:t>Corporales</w:t>
      </w:r>
      <w:r>
        <w:rPr>
          <w:b w:val="0"/>
          <w:i w:val="0"/>
        </w:rPr>
        <w:t xml:space="preserve">; </w:t>
      </w:r>
      <w:r>
        <w:rPr>
          <w:b w:val="0"/>
          <w:i/>
        </w:rPr>
        <w:t>corporali</w:t>
      </w:r>
      <w:r>
        <w:rPr>
          <w:b w:val="0"/>
          <w:i w:val="0"/>
        </w:rPr>
        <w:t xml:space="preserve">; </w:t>
      </w:r>
      <w:r>
        <w:rPr>
          <w:b w:val="0"/>
          <w:i/>
        </w:rPr>
        <w:t>corporalia</w:t>
      </w:r>
      <w:r>
        <w:rPr>
          <w:b w:val="0"/>
          <w:i w:val="0"/>
        </w:rPr>
        <w:t xml:space="preserve">; </w:t>
      </w:r>
      <w:r>
        <w:rPr>
          <w:b w:val="0"/>
          <w:i/>
        </w:rPr>
        <w:t>corporalis</w:t>
      </w:r>
      <w:r>
        <w:rPr>
          <w:b w:val="0"/>
          <w:i w:val="0"/>
        </w:rPr>
        <w:t xml:space="preserve">; </w:t>
      </w:r>
      <w:r>
        <w:rPr>
          <w:b w:val="0"/>
          <w:i/>
        </w:rPr>
        <w:t>corporalium</w:t>
      </w:r>
      <w:r>
        <w:rPr>
          <w:b w:val="0"/>
          <w:i w:val="0"/>
        </w:rPr>
        <w:t xml:space="preserve">; </w:t>
      </w:r>
      <w:r>
        <w:rPr>
          <w:b w:val="0"/>
          <w:i/>
        </w:rPr>
        <w:t>corpore</w:t>
      </w:r>
      <w:r>
        <w:rPr>
          <w:b w:val="0"/>
          <w:i w:val="0"/>
        </w:rPr>
        <w:t xml:space="preserve">; </w:t>
      </w:r>
      <w:r>
        <w:rPr>
          <w:b w:val="0"/>
          <w:i/>
        </w:rPr>
        <w:t>corporea</w:t>
      </w:r>
      <w:r>
        <w:rPr>
          <w:b w:val="0"/>
          <w:i w:val="0"/>
        </w:rPr>
        <w:t xml:space="preserve">; </w:t>
      </w:r>
      <w:r>
        <w:rPr>
          <w:b w:val="0"/>
          <w:i/>
        </w:rPr>
        <w:t>corporeo</w:t>
      </w:r>
      <w:r>
        <w:rPr>
          <w:b w:val="0"/>
          <w:i w:val="0"/>
        </w:rPr>
        <w:t xml:space="preserve">; </w:t>
      </w:r>
      <w:r>
        <w:rPr>
          <w:b w:val="0"/>
          <w:i/>
        </w:rPr>
        <w:t>corpori</w:t>
      </w:r>
      <w:r>
        <w:rPr>
          <w:b w:val="0"/>
          <w:i w:val="0"/>
        </w:rPr>
        <w:t xml:space="preserve">; </w:t>
      </w:r>
      <w:r>
        <w:rPr>
          <w:b w:val="0"/>
          <w:i/>
        </w:rPr>
        <w:t>corporibus</w:t>
      </w:r>
      <w:r>
        <w:rPr>
          <w:b w:val="0"/>
          <w:i w:val="0"/>
        </w:rPr>
        <w:t xml:space="preserve">; </w:t>
      </w:r>
      <w:r>
        <w:rPr>
          <w:b w:val="0"/>
          <w:i/>
        </w:rPr>
        <w:t>corporis</w:t>
      </w:r>
      <w:r>
        <w:rPr>
          <w:b w:val="0"/>
          <w:i w:val="0"/>
        </w:rPr>
        <w:t xml:space="preserve">; </w:t>
      </w:r>
      <w:r>
        <w:rPr>
          <w:b w:val="0"/>
          <w:i/>
        </w:rPr>
        <w:t>corporum</w:t>
      </w:r>
      <w:r>
        <w:rPr>
          <w:b w:val="0"/>
          <w:i w:val="0"/>
        </w:rPr>
        <w:t xml:space="preserve">; </w:t>
      </w:r>
      <w:r>
        <w:rPr>
          <w:b w:val="0"/>
          <w:i/>
        </w:rPr>
        <w:t>corpus</w:t>
      </w:r>
      <w:r>
        <w:rPr>
          <w:b w:val="0"/>
          <w:i w:val="0"/>
        </w:rPr>
        <w:t xml:space="preserve">; </w:t>
      </w:r>
      <w:r>
        <w:rPr>
          <w:b w:val="0"/>
          <w:i/>
        </w:rPr>
        <w:t>Corpus</w:t>
      </w:r>
      <w:r>
        <w:rPr>
          <w:b w:val="0"/>
          <w:i w:val="0"/>
        </w:rPr>
        <w:t>.</w:t>
      </w:r>
    </w:p>
    <w:p>
      <w:pPr>
        <w:widowControl/>
      </w:pPr>
      <w:r>
        <w:rPr>
          <w:b w:val="0"/>
          <w:i w:val="0"/>
        </w:rPr>
        <w:t xml:space="preserve">Body and bodily, the extended and temporally changing order contrasted with separate form. A body can persist generically while its individual form perishes; bodily dependence does not determine the rational soul’s essence. References: </w:t>
      </w:r>
      <w:hyperlink w:anchor="passage-v-3-1">
        <w:r>
          <w:rPr>
            <w:color w:val="000000"/>
          </w:rPr>
          <w:t xml:space="preserve">V.3.1</w:t>
        </w:r>
      </w:hyperlink>
      <w:r>
        <w:rPr>
          <w:b w:val="0"/>
          <w:i w:val="0"/>
        </w:rPr>
        <w:t xml:space="preserve">, </w:t>
      </w:r>
      <w:hyperlink w:anchor="passage-v-7-2">
        <w:r>
          <w:rPr>
            <w:color w:val="000000"/>
          </w:rPr>
          <w:t xml:space="preserve">V.7.2</w:t>
        </w:r>
      </w:hyperlink>
      <w:r>
        <w:rPr>
          <w:b w:val="0"/>
          <w:i w:val="0"/>
        </w:rPr>
        <w:t xml:space="preserve">, </w:t>
      </w:r>
      <w:hyperlink w:anchor="passage-v-10-2">
        <w:r>
          <w:rPr>
            <w:color w:val="000000"/>
          </w:rPr>
          <w:t xml:space="preserve">V.10.2</w:t>
        </w:r>
      </w:hyperlink>
      <w:r>
        <w:rPr>
          <w:b w:val="0"/>
          <w:i w:val="0"/>
        </w:rPr>
        <w:t xml:space="preserve">, </w:t>
      </w:r>
      <w:hyperlink w:anchor="passage-v-11-7">
        <w:r>
          <w:rPr>
            <w:color w:val="000000"/>
          </w:rPr>
          <w:t xml:space="preserve">V.11.7</w:t>
        </w:r>
      </w:hyperlink>
      <w:r>
        <w:rPr>
          <w:b w:val="0"/>
          <w:i w:val="0"/>
        </w:rPr>
        <w:t xml:space="preserve">, </w:t>
      </w:r>
      <w:hyperlink w:anchor="passage-v-11-8">
        <w:r>
          <w:rPr>
            <w:color w:val="000000"/>
          </w:rPr>
          <w:t xml:space="preserve">V.11.8</w:t>
        </w:r>
      </w:hyperlink>
      <w:r>
        <w:rPr>
          <w:b w:val="0"/>
          <w:i w:val="0"/>
        </w:rPr>
        <w:t xml:space="preserve">, </w:t>
      </w:r>
      <w:hyperlink w:anchor="passage-v-13-18">
        <w:r>
          <w:rPr>
            <w:color w:val="000000"/>
          </w:rPr>
          <w:t xml:space="preserve">V.13.18</w:t>
        </w:r>
      </w:hyperlink>
      <w:r>
        <w:rPr>
          <w:b w:val="0"/>
          <w:i w:val="0"/>
        </w:rPr>
        <w:t xml:space="preserve">, </w:t>
      </w:r>
      <w:hyperlink w:anchor="passage-v-15-1">
        <w:r>
          <w:rPr>
            <w:color w:val="000000"/>
          </w:rPr>
          <w:t xml:space="preserve">V.15.1</w:t>
        </w:r>
      </w:hyperlink>
      <w:r>
        <w:rPr>
          <w:b w:val="0"/>
          <w:i w:val="0"/>
        </w:rPr>
        <w:t xml:space="preserve">, </w:t>
      </w:r>
      <w:hyperlink w:anchor="passage-v-15-2">
        <w:r>
          <w:rPr>
            <w:color w:val="000000"/>
          </w:rPr>
          <w:t xml:space="preserve">V.15.2</w:t>
        </w:r>
      </w:hyperlink>
      <w:r>
        <w:rPr>
          <w:b w:val="0"/>
          <w:i w:val="0"/>
        </w:rPr>
        <w:t xml:space="preserve">,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widowControl/>
      </w:pPr>
      <w:r>
        <w:rPr>
          <w:b w:val="0"/>
          <w:i w:val="0"/>
        </w:rPr>
        <w:t xml:space="preserve">Body, or belonging to bodily magnitude and modification. Receiving parts in parts is the hypothesized bodily mode whose restrictions Ficino denies of cognition. References: </w:t>
      </w:r>
      <w:hyperlink w:anchor="passage-vii-1-1">
        <w:r>
          <w:rPr>
            <w:color w:val="000000"/>
          </w:rPr>
          <w:t xml:space="preserve">VII.1.1</w:t>
        </w:r>
      </w:hyperlink>
      <w:r>
        <w:rPr>
          <w:b w:val="0"/>
          <w:i w:val="0"/>
        </w:rPr>
        <w:t xml:space="preserve">, </w:t>
      </w:r>
      <w:hyperlink w:anchor="passage-vii-4-1">
        <w:r>
          <w:rPr>
            <w:color w:val="000000"/>
          </w:rPr>
          <w:t xml:space="preserve">VII.4.1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580" w:name="latin-record-0339"/>
      <w:bookmarkEnd w:id="580"/>
      <w:r>
        <w:rPr>
          <w:b/>
          <w:i w:val="0"/>
        </w:rPr>
        <w:t>corpus / corporalis (further forms)</w:t>
      </w:r>
      <w:r>
        <w:rPr>
          <w:b/>
          <w:i w:val="0"/>
        </w:rPr>
        <w:t>.</w:t>
      </w:r>
      <w:r>
        <w:rPr>
          <w:b w:val="0"/>
          <w:i w:val="0"/>
        </w:rPr>
        <w:t xml:space="preserve"> Printed forms: </w:t>
      </w:r>
      <w:r>
        <w:rPr>
          <w:b w:val="0"/>
          <w:i/>
        </w:rPr>
        <w:t>corporale</w:t>
      </w:r>
      <w:r>
        <w:rPr>
          <w:b w:val="0"/>
          <w:i w:val="0"/>
        </w:rPr>
        <w:t xml:space="preserve">; </w:t>
      </w:r>
      <w:r>
        <w:rPr>
          <w:b w:val="0"/>
          <w:i/>
        </w:rPr>
        <w:t>corporalem</w:t>
      </w:r>
      <w:r>
        <w:rPr>
          <w:b w:val="0"/>
          <w:i w:val="0"/>
        </w:rPr>
        <w:t xml:space="preserve">; </w:t>
      </w:r>
      <w:r>
        <w:rPr>
          <w:b w:val="0"/>
          <w:i/>
        </w:rPr>
        <w:t>corporales</w:t>
      </w:r>
      <w:r>
        <w:rPr>
          <w:b w:val="0"/>
          <w:i w:val="0"/>
        </w:rPr>
        <w:t xml:space="preserve">; </w:t>
      </w:r>
      <w:r>
        <w:rPr>
          <w:b w:val="0"/>
          <w:i/>
        </w:rPr>
        <w:t>corporalia</w:t>
      </w:r>
      <w:r>
        <w:rPr>
          <w:b w:val="0"/>
          <w:i w:val="0"/>
        </w:rPr>
        <w:t xml:space="preserve">; </w:t>
      </w:r>
      <w:r>
        <w:rPr>
          <w:b w:val="0"/>
          <w:i/>
        </w:rPr>
        <w:t>corporalium</w:t>
      </w:r>
      <w:r>
        <w:rPr>
          <w:b w:val="0"/>
          <w:i w:val="0"/>
        </w:rPr>
        <w:t xml:space="preserve">; </w:t>
      </w:r>
      <w:r>
        <w:rPr>
          <w:b w:val="0"/>
          <w:i/>
        </w:rPr>
        <w:t>corpori</w:t>
      </w:r>
      <w:r>
        <w:rPr>
          <w:b w:val="0"/>
          <w:i w:val="0"/>
        </w:rPr>
        <w:t xml:space="preserve">; </w:t>
      </w:r>
      <w:r>
        <w:rPr>
          <w:b w:val="0"/>
          <w:i/>
        </w:rPr>
        <w:t>Corporum</w:t>
      </w:r>
      <w:r>
        <w:rPr>
          <w:b w:val="0"/>
          <w:i w:val="0"/>
        </w:rPr>
        <w:t xml:space="preserve">; </w:t>
      </w:r>
      <w:r>
        <w:rPr>
          <w:b w:val="0"/>
          <w:i/>
        </w:rPr>
        <w:t>corporum</w:t>
      </w:r>
      <w:r>
        <w:rPr>
          <w:b w:val="0"/>
          <w:i w:val="0"/>
        </w:rPr>
        <w:t>.</w:t>
      </w:r>
    </w:p>
    <w:p>
      <w:pPr>
        <w:widowControl/>
      </w:pPr>
      <w:r>
        <w:rPr>
          <w:b w:val="0"/>
          <w:i w:val="0"/>
        </w:rPr>
        <w:t xml:space="preserve">Bodily or belonging to bodies; the noun forms retain the same bodily reference. The proof distinguishes bodies known by mind from the proposed bodily constitution of the knowing subject; they must not be inferred to share one reception mode.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2-1">
        <w:r>
          <w:rPr>
            <w:color w:val="000000"/>
          </w:rPr>
          <w:t xml:space="preserve">VIII.2.1</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7">
        <w:r>
          <w:rPr>
            <w:color w:val="000000"/>
          </w:rPr>
          <w:t xml:space="preserve">VIII.2.7</w:t>
        </w:r>
      </w:hyperlink>
      <w:r>
        <w:rPr>
          <w:b w:val="0"/>
          <w:i w:val="0"/>
        </w:rPr>
        <w:t xml:space="preserve">,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4-4">
        <w:r>
          <w:rPr>
            <w:color w:val="000000"/>
          </w:rPr>
          <w:t xml:space="preserve">VIII.4.4</w:t>
        </w:r>
      </w:hyperlink>
      <w:r>
        <w:rPr>
          <w:b w:val="0"/>
          <w:i w:val="0"/>
        </w:rPr>
        <w:t xml:space="preserve">, </w:t>
      </w:r>
      <w:hyperlink w:anchor="passage-viii-4-6">
        <w:r>
          <w:rPr>
            <w:color w:val="000000"/>
          </w:rPr>
          <w:t xml:space="preserve">VIII.4.6</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6-1">
        <w:r>
          <w:rPr>
            <w:color w:val="000000"/>
          </w:rPr>
          <w:t xml:space="preserve">VIII.16.1</w:t>
        </w:r>
      </w:hyperlink>
      <w:r>
        <w:rPr>
          <w:b w:val="0"/>
          <w:i w:val="0"/>
        </w:rPr>
        <w:t xml:space="preserve">, </w:t>
      </w:r>
      <w:hyperlink w:anchor="passage-viii-16-4">
        <w:r>
          <w:rPr>
            <w:color w:val="000000"/>
          </w:rPr>
          <w:t xml:space="preserve">VIII.16.4</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581" w:name="latin-record-0340"/>
      <w:bookmarkEnd w:id="581"/>
      <w:r>
        <w:rPr>
          <w:b/>
          <w:i w:val="0"/>
        </w:rPr>
        <w:t>corpus aethereum; corpus geminum</w:t>
      </w:r>
      <w:r>
        <w:rPr>
          <w:b/>
          <w:i w:val="0"/>
        </w:rPr>
        <w:t>.</w:t>
      </w:r>
      <w:r>
        <w:rPr>
          <w:b w:val="0"/>
          <w:i w:val="0"/>
        </w:rPr>
        <w:t xml:space="preserve"> Printed forms: </w:t>
      </w:r>
      <w:r>
        <w:rPr>
          <w:b w:val="0"/>
          <w:i/>
        </w:rPr>
        <w:t>corporibus geminis</w:t>
      </w:r>
      <w:r>
        <w:rPr>
          <w:b w:val="0"/>
          <w:i w:val="0"/>
        </w:rPr>
        <w:t xml:space="preserve">; </w:t>
      </w:r>
      <w:r>
        <w:rPr>
          <w:b w:val="0"/>
          <w:i/>
        </w:rPr>
        <w:t>corpus aethereum</w:t>
      </w:r>
      <w:r>
        <w:rPr>
          <w:b w:val="0"/>
          <w:i w:val="0"/>
        </w:rPr>
        <w:t xml:space="preserve">; </w:t>
      </w:r>
      <w:r>
        <w:rPr>
          <w:b w:val="0"/>
          <w:i/>
        </w:rPr>
        <w:t>lucido et opaco</w:t>
      </w:r>
      <w:r>
        <w:rPr>
          <w:b w:val="0"/>
          <w:i w:val="0"/>
        </w:rPr>
        <w:t>.</w:t>
      </w:r>
    </w:p>
    <w:p>
      <w:pPr>
        <w:widowControl/>
      </w:pPr>
      <w:r>
        <w:rPr>
          <w:b w:val="0"/>
          <w:i w:val="0"/>
        </w:rPr>
        <w:t xml:space="preserve">Ethereal body; a pair of luminous and opaque bodily vehicles. Ficino distinguishes the one luminous surrounding body of stellar souls from the two bodies attributed to other rational souls. References: </w:t>
      </w:r>
      <w:hyperlink w:anchor="passage-vi-2-25">
        <w:r>
          <w:rPr>
            <w:color w:val="000000"/>
          </w:rPr>
          <w:t xml:space="preserve">VI.2.25</w:t>
        </w:r>
      </w:hyperlink>
      <w:r>
        <w:rPr>
          <w:b w:val="0"/>
          <w:i w:val="0"/>
        </w:rPr>
        <w:t xml:space="preserve">, </w:t>
      </w:r>
      <w:hyperlink w:anchor="passage-vi-2-26">
        <w:r>
          <w:rPr>
            <w:color w:val="000000"/>
          </w:rPr>
          <w:t xml:space="preserve">VI.2.26</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582" w:name="latin-record-0341"/>
      <w:bookmarkEnd w:id="582"/>
      <w:r>
        <w:rPr>
          <w:b/>
          <w:i w:val="0"/>
        </w:rPr>
        <w:t>corpusculum</w:t>
      </w:r>
      <w:r>
        <w:rPr>
          <w:b/>
          <w:i w:val="0"/>
        </w:rPr>
        <w:t>.</w:t>
      </w:r>
      <w:r>
        <w:rPr>
          <w:b w:val="0"/>
          <w:i w:val="0"/>
        </w:rPr>
        <w:t xml:space="preserve"> Printed forms: </w:t>
      </w:r>
      <w:r>
        <w:rPr>
          <w:b w:val="0"/>
          <w:i/>
        </w:rPr>
        <w:t>corpusculi</w:t>
      </w:r>
      <w:r>
        <w:rPr>
          <w:b w:val="0"/>
          <w:i w:val="0"/>
        </w:rPr>
        <w:t xml:space="preserve">; </w:t>
      </w:r>
      <w:r>
        <w:rPr>
          <w:b w:val="0"/>
          <w:i/>
        </w:rPr>
        <w:t>corpusculo</w:t>
      </w:r>
      <w:r>
        <w:rPr>
          <w:b w:val="0"/>
          <w:i w:val="0"/>
        </w:rPr>
        <w:t xml:space="preserve">; </w:t>
      </w:r>
      <w:r>
        <w:rPr>
          <w:b w:val="0"/>
          <w:i/>
        </w:rPr>
        <w:t>corpusculum</w:t>
      </w:r>
      <w:r>
        <w:rPr>
          <w:b w:val="0"/>
          <w:i w:val="0"/>
        </w:rPr>
        <w:t>.</w:t>
      </w:r>
    </w:p>
    <w:p>
      <w:pPr>
        <w:widowControl/>
      </w:pPr>
      <w:r>
        <w:rPr>
          <w:b w:val="0"/>
          <w:i w:val="0"/>
        </w:rPr>
        <w:t xml:space="preserve">A small or exceptionally subtle body posited as the animating constituent. The diminutive belongs to the rejected corporealist account and does not mean an incorporeal point. References: </w:t>
      </w:r>
      <w:hyperlink w:anchor="passage-vi-1-2">
        <w:r>
          <w:rPr>
            <w:color w:val="000000"/>
          </w:rPr>
          <w:t xml:space="preserve">VI.1.2</w:t>
        </w:r>
      </w:hyperlink>
      <w:r>
        <w:rPr>
          <w:b w:val="0"/>
          <w:i w:val="0"/>
        </w:rPr>
        <w:t xml:space="preserve">, </w:t>
      </w:r>
      <w:hyperlink w:anchor="passage-vi-1-3">
        <w:r>
          <w:rPr>
            <w:color w:val="000000"/>
          </w:rPr>
          <w:t xml:space="preserve">VI.1.3</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widowControl/>
      </w:pPr>
      <w:r>
        <w:rPr>
          <w:b w:val="0"/>
          <w:i w:val="0"/>
        </w:rPr>
        <w:t xml:space="preserve">A little body, specifically the subtle bodily thing popularly supposed to be soul. The diminutive belongs to a hypothesis Ficino rejects, not his positive definition of soul. References: </w:t>
      </w:r>
      <w:hyperlink w:anchor="passage-viii-2-1">
        <w:r>
          <w:rPr>
            <w:color w:val="000000"/>
          </w:rPr>
          <w:t xml:space="preserve">VIII.2.1</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583" w:name="latin-record-0342"/>
      <w:bookmarkEnd w:id="583"/>
      <w:r>
        <w:rPr>
          <w:b/>
          <w:i w:val="0"/>
        </w:rPr>
        <w:t>corrumpere / interire / perdere</w:t>
      </w:r>
      <w:r>
        <w:rPr>
          <w:b/>
          <w:i w:val="0"/>
        </w:rPr>
        <w:t>.</w:t>
      </w:r>
      <w:r>
        <w:rPr>
          <w:b w:val="0"/>
          <w:i w:val="0"/>
        </w:rPr>
        <w:t xml:space="preserve"> Printed forms: </w:t>
      </w:r>
      <w:r>
        <w:rPr>
          <w:b w:val="0"/>
          <w:i/>
        </w:rPr>
        <w:t>corrumpetur</w:t>
      </w:r>
      <w:r>
        <w:rPr>
          <w:b w:val="0"/>
          <w:i w:val="0"/>
        </w:rPr>
        <w:t xml:space="preserve">; </w:t>
      </w:r>
      <w:r>
        <w:rPr>
          <w:b w:val="0"/>
          <w:i/>
        </w:rPr>
        <w:t>corrumpi</w:t>
      </w:r>
      <w:r>
        <w:rPr>
          <w:b w:val="0"/>
          <w:i w:val="0"/>
        </w:rPr>
        <w:t xml:space="preserve">; </w:t>
      </w:r>
      <w:r>
        <w:rPr>
          <w:b w:val="0"/>
          <w:i/>
        </w:rPr>
        <w:t>corrumpitur</w:t>
      </w:r>
      <w:r>
        <w:rPr>
          <w:b w:val="0"/>
          <w:i w:val="0"/>
        </w:rPr>
        <w:t xml:space="preserve">; </w:t>
      </w:r>
      <w:r>
        <w:rPr>
          <w:b w:val="0"/>
          <w:i/>
        </w:rPr>
        <w:t>interimatur</w:t>
      </w:r>
      <w:r>
        <w:rPr>
          <w:b w:val="0"/>
          <w:i w:val="0"/>
        </w:rPr>
        <w:t xml:space="preserve">; </w:t>
      </w:r>
      <w:r>
        <w:rPr>
          <w:b w:val="0"/>
          <w:i/>
        </w:rPr>
        <w:t>perdat</w:t>
      </w:r>
      <w:r>
        <w:rPr>
          <w:b w:val="0"/>
          <w:i w:val="0"/>
        </w:rPr>
        <w:t>.</w:t>
      </w:r>
    </w:p>
    <w:p>
      <w:pPr>
        <w:widowControl/>
      </w:pPr>
      <w:r>
        <w:rPr>
          <w:b w:val="0"/>
          <w:i w:val="0"/>
        </w:rPr>
        <w:t xml:space="preserve">Being corrupted, destroyed or lost, distinct from merely changing one’s attention. Ficino argues that mind’s mode of reception excludes the material contrariety and loss of preservative causes that would explain its destruction. References: </w:t>
      </w:r>
      <w:hyperlink w:anchor="passage-viii-2-8">
        <w:r>
          <w:rPr>
            <w:color w:val="000000"/>
          </w:rPr>
          <w:t xml:space="preserve">VIII.2.8</w:t>
        </w:r>
      </w:hyperlink>
      <w:r>
        <w:rPr>
          <w:b w:val="0"/>
          <w:i w:val="0"/>
        </w:rPr>
        <w:t xml:space="preserve">, </w:t>
      </w:r>
      <w:hyperlink w:anchor="passage-viii-8-2">
        <w:r>
          <w:rPr>
            <w:color w:val="000000"/>
          </w:rPr>
          <w:t xml:space="preserve">VIII.8.2</w:t>
        </w:r>
      </w:hyperlink>
      <w:r>
        <w:rPr>
          <w:b w:val="0"/>
          <w:i w:val="0"/>
        </w:rPr>
        <w:t xml:space="preserve">, </w:t>
      </w:r>
      <w:hyperlink w:anchor="passage-viii-12-1">
        <w:r>
          <w:rPr>
            <w:color w:val="000000"/>
          </w:rPr>
          <w:t xml:space="preserve">VIII.12.1</w:t>
        </w:r>
      </w:hyperlink>
      <w:r>
        <w:rPr>
          <w:b w:val="0"/>
          <w:i w:val="0"/>
        </w:rPr>
        <w:t xml:space="preserve">, </w:t>
      </w:r>
      <w:hyperlink w:anchor="passage-viii-13-2">
        <w:r>
          <w:rPr>
            <w:color w:val="000000"/>
          </w:rPr>
          <w:t xml:space="preserve">VIII.13.2</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584" w:name="latin-record-0343"/>
      <w:bookmarkEnd w:id="584"/>
      <w:r>
        <w:rPr>
          <w:b/>
          <w:i w:val="0"/>
        </w:rPr>
        <w:t>corrumpere / perdere / interire</w:t>
      </w:r>
      <w:r>
        <w:rPr>
          <w:b/>
          <w:i w:val="0"/>
        </w:rPr>
        <w:t>.</w:t>
      </w:r>
      <w:r>
        <w:rPr>
          <w:b w:val="0"/>
          <w:i w:val="0"/>
        </w:rPr>
        <w:t xml:space="preserve"> Printed forms: </w:t>
      </w:r>
      <w:r>
        <w:rPr>
          <w:b w:val="0"/>
          <w:i/>
        </w:rPr>
        <w:t>corrumpi</w:t>
      </w:r>
      <w:r>
        <w:rPr>
          <w:b w:val="0"/>
          <w:i w:val="0"/>
        </w:rPr>
        <w:t xml:space="preserve">; </w:t>
      </w:r>
      <w:r>
        <w:rPr>
          <w:b w:val="0"/>
          <w:i/>
        </w:rPr>
        <w:t>corrumpit</w:t>
      </w:r>
      <w:r>
        <w:rPr>
          <w:b w:val="0"/>
          <w:i w:val="0"/>
        </w:rPr>
        <w:t xml:space="preserve">; </w:t>
      </w:r>
      <w:r>
        <w:rPr>
          <w:b w:val="0"/>
          <w:i/>
        </w:rPr>
        <w:t>corrumpitur</w:t>
      </w:r>
      <w:r>
        <w:rPr>
          <w:b w:val="0"/>
          <w:i w:val="0"/>
        </w:rPr>
        <w:t xml:space="preserve">; </w:t>
      </w:r>
      <w:r>
        <w:rPr>
          <w:b w:val="0"/>
          <w:i/>
        </w:rPr>
        <w:t>interibit</w:t>
      </w:r>
      <w:r>
        <w:rPr>
          <w:b w:val="0"/>
          <w:i w:val="0"/>
        </w:rPr>
        <w:t xml:space="preserve">; </w:t>
      </w:r>
      <w:r>
        <w:rPr>
          <w:b w:val="0"/>
          <w:i/>
        </w:rPr>
        <w:t>interire</w:t>
      </w:r>
      <w:r>
        <w:rPr>
          <w:b w:val="0"/>
          <w:i w:val="0"/>
        </w:rPr>
        <w:t xml:space="preserve">; </w:t>
      </w:r>
      <w:r>
        <w:rPr>
          <w:b w:val="0"/>
          <w:i/>
        </w:rPr>
        <w:t>interit</w:t>
      </w:r>
      <w:r>
        <w:rPr>
          <w:b w:val="0"/>
          <w:i w:val="0"/>
        </w:rPr>
        <w:t xml:space="preserve">; </w:t>
      </w:r>
      <w:r>
        <w:rPr>
          <w:b w:val="0"/>
          <w:i/>
        </w:rPr>
        <w:t>perdere</w:t>
      </w:r>
      <w:r>
        <w:rPr>
          <w:b w:val="0"/>
          <w:i w:val="0"/>
        </w:rPr>
        <w:t xml:space="preserve">; </w:t>
      </w:r>
      <w:r>
        <w:rPr>
          <w:b w:val="0"/>
          <w:i/>
        </w:rPr>
        <w:t>perditur</w:t>
      </w:r>
      <w:r>
        <w:rPr>
          <w:b w:val="0"/>
          <w:i w:val="0"/>
        </w:rPr>
        <w:t xml:space="preserve">; </w:t>
      </w:r>
      <w:r>
        <w:rPr>
          <w:b w:val="0"/>
          <w:i/>
        </w:rPr>
        <w:t>perierit</w:t>
      </w:r>
      <w:r>
        <w:rPr>
          <w:b w:val="0"/>
          <w:i w:val="0"/>
        </w:rPr>
        <w:t>.</w:t>
      </w:r>
    </w:p>
    <w:p>
      <w:pPr>
        <w:widowControl/>
      </w:pPr>
      <w:r>
        <w:rPr>
          <w:b w:val="0"/>
          <w:i w:val="0"/>
        </w:rPr>
        <w:t xml:space="preserve">To corrupt, destroy or perish, usually loss of a determinate thing rather than total annihilation. The fate of fire differs from that of its matter; soul’s alleged destruction is tested against its separate form. References: </w:t>
      </w:r>
      <w:hyperlink w:anchor="passage-v-4-9">
        <w:r>
          <w:rPr>
            <w:color w:val="000000"/>
          </w:rPr>
          <w:t xml:space="preserve">V.4.9</w:t>
        </w:r>
      </w:hyperlink>
      <w:r>
        <w:rPr>
          <w:b w:val="0"/>
          <w:i w:val="0"/>
        </w:rPr>
        <w:t xml:space="preserve">, </w:t>
      </w:r>
      <w:hyperlink w:anchor="passage-v-4-10">
        <w:r>
          <w:rPr>
            <w:color w:val="000000"/>
          </w:rPr>
          <w:t xml:space="preserve">V.4.10</w:t>
        </w:r>
      </w:hyperlink>
      <w:r>
        <w:rPr>
          <w:b w:val="0"/>
          <w:i w:val="0"/>
        </w:rPr>
        <w:t xml:space="preserve">, </w:t>
      </w:r>
      <w:hyperlink w:anchor="passage-v-6-1">
        <w:r>
          <w:rPr>
            <w:color w:val="000000"/>
          </w:rPr>
          <w:t xml:space="preserve">V.6.1</w:t>
        </w:r>
      </w:hyperlink>
      <w:r>
        <w:rPr>
          <w:b w:val="0"/>
          <w:i w:val="0"/>
        </w:rPr>
        <w:t xml:space="preserve">, </w:t>
      </w:r>
      <w:hyperlink w:anchor="passage-v-8-2">
        <w:r>
          <w:rPr>
            <w:color w:val="000000"/>
          </w:rPr>
          <w:t xml:space="preserve">V.8.2</w:t>
        </w:r>
      </w:hyperlink>
      <w:r>
        <w:rPr>
          <w:b w:val="0"/>
          <w:i w:val="0"/>
        </w:rPr>
        <w:t xml:space="preserve">, </w:t>
      </w:r>
      <w:hyperlink w:anchor="passage-v-11-1">
        <w:r>
          <w:rPr>
            <w:color w:val="000000"/>
          </w:rPr>
          <w:t xml:space="preserve">V.11.1</w:t>
        </w:r>
      </w:hyperlink>
      <w:r>
        <w:rPr>
          <w:b w:val="0"/>
          <w:i w:val="0"/>
        </w:rPr>
        <w:t xml:space="preserve">, </w:t>
      </w:r>
      <w:hyperlink w:anchor="passage-v-11-3">
        <w:r>
          <w:rPr>
            <w:color w:val="000000"/>
          </w:rPr>
          <w:t xml:space="preserve">V.11.3</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585" w:name="latin-record-0344"/>
      <w:bookmarkEnd w:id="585"/>
      <w:r>
        <w:rPr>
          <w:b/>
          <w:i w:val="0"/>
        </w:rPr>
        <w:t>corruptio</w:t>
      </w:r>
      <w:r>
        <w:rPr>
          <w:b/>
          <w:i w:val="0"/>
        </w:rPr>
        <w:t>.</w:t>
      </w:r>
      <w:r>
        <w:rPr>
          <w:b w:val="0"/>
          <w:i w:val="0"/>
        </w:rPr>
        <w:t xml:space="preserve"> Printed forms: </w:t>
      </w:r>
      <w:r>
        <w:rPr>
          <w:b w:val="0"/>
          <w:i/>
        </w:rPr>
        <w:t>corruptio</w:t>
      </w:r>
      <w:r>
        <w:rPr>
          <w:b w:val="0"/>
          <w:i w:val="0"/>
        </w:rPr>
        <w:t xml:space="preserve">; </w:t>
      </w:r>
      <w:r>
        <w:rPr>
          <w:b w:val="0"/>
          <w:i/>
        </w:rPr>
        <w:t>corruptione</w:t>
      </w:r>
      <w:r>
        <w:rPr>
          <w:b w:val="0"/>
          <w:i w:val="0"/>
        </w:rPr>
        <w:t xml:space="preserve">; </w:t>
      </w:r>
      <w:r>
        <w:rPr>
          <w:b w:val="0"/>
          <w:i/>
        </w:rPr>
        <w:t>corruptionem</w:t>
      </w:r>
      <w:r>
        <w:rPr>
          <w:b w:val="0"/>
          <w:i w:val="0"/>
        </w:rPr>
        <w:t>.</w:t>
      </w:r>
    </w:p>
    <w:p>
      <w:pPr>
        <w:widowControl/>
      </w:pPr>
      <w:r>
        <w:rPr>
          <w:b w:val="0"/>
          <w:i w:val="0"/>
        </w:rPr>
        <w:t xml:space="preserve">Corruption, loss of a constituted thing or form. A composite can perish while its matter remains, so the term does not automatically mean reduction to absolute nothing. References: </w:t>
      </w:r>
      <w:hyperlink w:anchor="passage-v-8-1">
        <w:r>
          <w:rPr>
            <w:color w:val="000000"/>
          </w:rPr>
          <w:t xml:space="preserve">V.8.1</w:t>
        </w:r>
      </w:hyperlink>
      <w:r>
        <w:rPr>
          <w:b w:val="0"/>
          <w:i w:val="0"/>
        </w:rPr>
        <w:t xml:space="preserve">, </w:t>
      </w:r>
      <w:hyperlink w:anchor="passage-v-11-1">
        <w:r>
          <w:rPr>
            <w:color w:val="000000"/>
          </w:rPr>
          <w:t xml:space="preserve">V.11.1</w:t>
        </w:r>
      </w:hyperlink>
      <w:r>
        <w:rPr>
          <w:b w:val="0"/>
          <w:i w:val="0"/>
        </w:rPr>
        <w:t xml:space="preserve">, </w:t>
      </w:r>
      <w:hyperlink w:anchor="passage-v-11-3">
        <w:r>
          <w:rPr>
            <w:color w:val="000000"/>
          </w:rPr>
          <w:t xml:space="preserve">V.11.3</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586" w:name="latin-record-0345"/>
      <w:bookmarkEnd w:id="586"/>
      <w:r>
        <w:rPr>
          <w:b/>
          <w:i w:val="0"/>
        </w:rPr>
        <w:t>crassus; subtilis; rarus</w:t>
      </w:r>
      <w:r>
        <w:rPr>
          <w:b/>
          <w:i w:val="0"/>
        </w:rPr>
        <w:t>.</w:t>
      </w:r>
      <w:r>
        <w:rPr>
          <w:b w:val="0"/>
          <w:i w:val="0"/>
        </w:rPr>
        <w:t xml:space="preserve"> Printed forms: </w:t>
      </w:r>
      <w:r>
        <w:rPr>
          <w:b w:val="0"/>
          <w:i/>
        </w:rPr>
        <w:t>crassa</w:t>
      </w:r>
      <w:r>
        <w:rPr>
          <w:b w:val="0"/>
          <w:i w:val="0"/>
        </w:rPr>
        <w:t xml:space="preserve">; </w:t>
      </w:r>
      <w:r>
        <w:rPr>
          <w:b w:val="0"/>
          <w:i/>
        </w:rPr>
        <w:t>crassum</w:t>
      </w:r>
      <w:r>
        <w:rPr>
          <w:b w:val="0"/>
          <w:i w:val="0"/>
        </w:rPr>
        <w:t xml:space="preserve">; </w:t>
      </w:r>
      <w:r>
        <w:rPr>
          <w:b w:val="0"/>
          <w:i/>
        </w:rPr>
        <w:t>subtile rarumque</w:t>
      </w:r>
      <w:r>
        <w:rPr>
          <w:b w:val="0"/>
          <w:i w:val="0"/>
        </w:rPr>
        <w:t>.</w:t>
      </w:r>
    </w:p>
    <w:p>
      <w:pPr>
        <w:widowControl/>
      </w:pPr>
      <w:r>
        <w:rPr>
          <w:b w:val="0"/>
          <w:i w:val="0"/>
        </w:rPr>
        <w:t xml:space="preserve">Dense, fine and rarefied as bodily textures. Dense bodies seem unfit for permeation, but rarefaction does not itself explain life or become incorporeality. References: </w:t>
      </w:r>
      <w:hyperlink w:anchor="passage-vi-6-1">
        <w:r>
          <w:rPr>
            <w:color w:val="000000"/>
          </w:rPr>
          <w:t xml:space="preserve">VI.6.1</w:t>
        </w:r>
      </w:hyperlink>
      <w:r>
        <w:rPr>
          <w:b w:val="0"/>
          <w:i w:val="0"/>
        </w:rPr>
        <w:t xml:space="preserve">. See </w:t>
      </w:r>
      <w:hyperlink w:anchor="dense-subtle-and-fifth-body">
        <w:r>
          <w:rPr>
            <w:color w:val="000000"/>
          </w:rPr>
          <w:t xml:space="preserve">Dense, subtle and fifth body</w:t>
        </w:r>
      </w:hyperlink>
      <w:r>
        <w:rPr>
          <w:b w:val="0"/>
          <w:i w:val="0"/>
        </w:rPr>
        <w:t>.</w:t>
      </w:r>
    </w:p>
    <w:p>
      <w:pPr>
        <w:keepNext/>
        <w:widowControl/>
      </w:pPr>
      <w:bookmarkStart w:id="587" w:name="latin-record-0346"/>
      <w:bookmarkEnd w:id="587"/>
      <w:r>
        <w:rPr>
          <w:b/>
          <w:i w:val="0"/>
        </w:rPr>
        <w:t>creare / creatio</w:t>
      </w:r>
      <w:r>
        <w:rPr>
          <w:b/>
          <w:i w:val="0"/>
        </w:rPr>
        <w:t>.</w:t>
      </w:r>
      <w:r>
        <w:rPr>
          <w:b w:val="0"/>
          <w:i w:val="0"/>
        </w:rPr>
        <w:t xml:space="preserve"> Printed forms: </w:t>
      </w:r>
      <w:r>
        <w:rPr>
          <w:b w:val="0"/>
          <w:i/>
        </w:rPr>
        <w:t>creant</w:t>
      </w:r>
      <w:r>
        <w:rPr>
          <w:b w:val="0"/>
          <w:i w:val="0"/>
        </w:rPr>
        <w:t xml:space="preserve">; </w:t>
      </w:r>
      <w:r>
        <w:rPr>
          <w:b w:val="0"/>
          <w:i/>
        </w:rPr>
        <w:t>creantur</w:t>
      </w:r>
      <w:r>
        <w:rPr>
          <w:b w:val="0"/>
          <w:i w:val="0"/>
        </w:rPr>
        <w:t xml:space="preserve">; </w:t>
      </w:r>
      <w:r>
        <w:rPr>
          <w:b w:val="0"/>
          <w:i/>
        </w:rPr>
        <w:t>creat</w:t>
      </w:r>
      <w:r>
        <w:rPr>
          <w:b w:val="0"/>
          <w:i w:val="0"/>
        </w:rPr>
        <w:t xml:space="preserve">; </w:t>
      </w:r>
      <w:r>
        <w:rPr>
          <w:b w:val="0"/>
          <w:i/>
        </w:rPr>
        <w:t>creata</w:t>
      </w:r>
      <w:r>
        <w:rPr>
          <w:b w:val="0"/>
          <w:i w:val="0"/>
        </w:rPr>
        <w:t xml:space="preserve">; </w:t>
      </w:r>
      <w:r>
        <w:rPr>
          <w:b w:val="0"/>
          <w:i/>
        </w:rPr>
        <w:t>creatio</w:t>
      </w:r>
      <w:r>
        <w:rPr>
          <w:b w:val="0"/>
          <w:i w:val="0"/>
        </w:rPr>
        <w:t xml:space="preserve">; </w:t>
      </w:r>
      <w:r>
        <w:rPr>
          <w:b w:val="0"/>
          <w:i/>
        </w:rPr>
        <w:t>Creatio</w:t>
      </w:r>
      <w:r>
        <w:rPr>
          <w:b w:val="0"/>
          <w:i w:val="0"/>
        </w:rPr>
        <w:t xml:space="preserve">; </w:t>
      </w:r>
      <w:r>
        <w:rPr>
          <w:b w:val="0"/>
          <w:i/>
        </w:rPr>
        <w:t>creatione</w:t>
      </w:r>
      <w:r>
        <w:rPr>
          <w:b w:val="0"/>
          <w:i w:val="0"/>
        </w:rPr>
        <w:t xml:space="preserve">; </w:t>
      </w:r>
      <w:r>
        <w:rPr>
          <w:b w:val="0"/>
          <w:i/>
        </w:rPr>
        <w:t>creationem</w:t>
      </w:r>
      <w:r>
        <w:rPr>
          <w:b w:val="0"/>
          <w:i w:val="0"/>
        </w:rPr>
        <w:t xml:space="preserve">; </w:t>
      </w:r>
      <w:r>
        <w:rPr>
          <w:b w:val="0"/>
          <w:i/>
        </w:rPr>
        <w:t>creationis</w:t>
      </w:r>
      <w:r>
        <w:rPr>
          <w:b w:val="0"/>
          <w:i w:val="0"/>
        </w:rPr>
        <w:t xml:space="preserve">; </w:t>
      </w:r>
      <w:r>
        <w:rPr>
          <w:b w:val="0"/>
          <w:i/>
        </w:rPr>
        <w:t>creatur</w:t>
      </w:r>
      <w:r>
        <w:rPr>
          <w:b w:val="0"/>
          <w:i w:val="0"/>
        </w:rPr>
        <w:t xml:space="preserve">; </w:t>
      </w:r>
      <w:r>
        <w:rPr>
          <w:b w:val="0"/>
          <w:i/>
        </w:rPr>
        <w:t>creavit</w:t>
      </w:r>
      <w:r>
        <w:rPr>
          <w:b w:val="0"/>
          <w:i w:val="0"/>
        </w:rPr>
        <w:t>.</w:t>
      </w:r>
    </w:p>
    <w:p>
      <w:pPr>
        <w:widowControl/>
      </w:pPr>
      <w:r>
        <w:rPr>
          <w:b w:val="0"/>
          <w:i w:val="0"/>
        </w:rPr>
        <w:t xml:space="preserve">To create and creation, strictly production without a preexisting subject in V.13. The infinite work belongs only to God; an angel cannot serve as a finite instrument that does the same work. References: </w:t>
      </w:r>
      <w:hyperlink w:anchor="passage-v-6-1">
        <w:r>
          <w:rPr>
            <w:color w:val="000000"/>
          </w:rPr>
          <w:t xml:space="preserve">V.6.1</w:t>
        </w:r>
      </w:hyperlink>
      <w:r>
        <w:rPr>
          <w:b w:val="0"/>
          <w:i w:val="0"/>
        </w:rPr>
        <w:t xml:space="preserve">, </w:t>
      </w:r>
      <w:hyperlink w:anchor="passage-v-11-6">
        <w:r>
          <w:rPr>
            <w:color w:val="000000"/>
          </w:rPr>
          <w:t xml:space="preserve">V.11.6</w:t>
        </w:r>
      </w:hyperlink>
      <w:r>
        <w:rPr>
          <w:b w:val="0"/>
          <w:i w:val="0"/>
        </w:rPr>
        <w:t xml:space="preserve">, </w:t>
      </w:r>
      <w:hyperlink w:anchor="passage-v-13-13">
        <w:r>
          <w:rPr>
            <w:color w:val="000000"/>
          </w:rPr>
          <w:t xml:space="preserve">V.13.13</w:t>
        </w:r>
      </w:hyperlink>
      <w:r>
        <w:rPr>
          <w:b w:val="0"/>
          <w:i w:val="0"/>
        </w:rPr>
        <w:t xml:space="preserve">, </w:t>
      </w:r>
      <w:hyperlink w:anchor="passage-v-13-14">
        <w:r>
          <w:rPr>
            <w:color w:val="000000"/>
          </w:rPr>
          <w:t xml:space="preserve">V.13.14</w:t>
        </w:r>
      </w:hyperlink>
      <w:r>
        <w:rPr>
          <w:b w:val="0"/>
          <w:i w:val="0"/>
        </w:rPr>
        <w:t xml:space="preserve">, </w:t>
      </w:r>
      <w:hyperlink w:anchor="passage-v-13-15">
        <w:r>
          <w:rPr>
            <w:color w:val="000000"/>
          </w:rPr>
          <w:t xml:space="preserve">V.13.15</w:t>
        </w:r>
      </w:hyperlink>
      <w:r>
        <w:rPr>
          <w:b w:val="0"/>
          <w:i w:val="0"/>
        </w:rPr>
        <w:t xml:space="preserve">, </w:t>
      </w:r>
      <w:hyperlink w:anchor="passage-v-13-17">
        <w:r>
          <w:rPr>
            <w:color w:val="000000"/>
          </w:rPr>
          <w:t xml:space="preserve">V.13.17</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588" w:name="latin-record-0347"/>
      <w:bookmarkEnd w:id="588"/>
      <w:r>
        <w:rPr>
          <w:b/>
          <w:i w:val="0"/>
        </w:rPr>
        <w:t>creatio / interitus</w:t>
      </w:r>
      <w:r>
        <w:rPr>
          <w:b/>
          <w:i w:val="0"/>
        </w:rPr>
        <w:t>.</w:t>
      </w:r>
      <w:r>
        <w:rPr>
          <w:b w:val="0"/>
          <w:i w:val="0"/>
        </w:rPr>
        <w:t xml:space="preserve"> Printed forms: </w:t>
      </w:r>
      <w:r>
        <w:rPr>
          <w:b w:val="0"/>
          <w:i/>
        </w:rPr>
        <w:t>creationem</w:t>
      </w:r>
      <w:r>
        <w:rPr>
          <w:b w:val="0"/>
          <w:i w:val="0"/>
        </w:rPr>
        <w:t xml:space="preserve">; </w:t>
      </w:r>
      <w:r>
        <w:rPr>
          <w:b w:val="0"/>
          <w:i/>
        </w:rPr>
        <w:t>esse</w:t>
      </w:r>
      <w:r>
        <w:rPr>
          <w:b w:val="0"/>
          <w:i w:val="0"/>
        </w:rPr>
        <w:t xml:space="preserve">; </w:t>
      </w:r>
      <w:r>
        <w:rPr>
          <w:b w:val="0"/>
          <w:i/>
        </w:rPr>
        <w:t>Esse</w:t>
      </w:r>
      <w:r>
        <w:rPr>
          <w:b w:val="0"/>
          <w:i w:val="0"/>
        </w:rPr>
        <w:t xml:space="preserve">; </w:t>
      </w:r>
      <w:r>
        <w:rPr>
          <w:b w:val="0"/>
          <w:i/>
        </w:rPr>
        <w:t>interitum</w:t>
      </w:r>
      <w:r>
        <w:rPr>
          <w:b w:val="0"/>
          <w:i w:val="0"/>
        </w:rPr>
        <w:t xml:space="preserve">; </w:t>
      </w:r>
      <w:r>
        <w:rPr>
          <w:b w:val="0"/>
          <w:i/>
        </w:rPr>
        <w:t>non esse</w:t>
      </w:r>
      <w:r>
        <w:rPr>
          <w:b w:val="0"/>
          <w:i w:val="0"/>
        </w:rPr>
        <w:t>.</w:t>
      </w:r>
    </w:p>
    <w:p>
      <w:pPr>
        <w:widowControl/>
      </w:pPr>
      <w:r>
        <w:rPr>
          <w:b w:val="0"/>
          <w:i w:val="0"/>
        </w:rPr>
        <w:t xml:space="preserve">Creation from nonbeing and destruction in the reverse direction. Mind conceptually spans both termini; the immeasurable interval is not physical space, and understanding creation is not efficiently creating. References: </w:t>
      </w:r>
      <w:hyperlink w:anchor="passage-viii-16-3">
        <w:r>
          <w:rPr>
            <w:color w:val="000000"/>
          </w:rPr>
          <w:t xml:space="preserve">VIII.16.3</w:t>
        </w:r>
      </w:hyperlink>
      <w:r>
        <w:rPr>
          <w:b w:val="0"/>
          <w:i w:val="0"/>
        </w:rPr>
        <w:t xml:space="preserve">. See </w:t>
      </w:r>
      <w:hyperlink w:anchor="viii-infinity-measure">
        <w:r>
          <w:rPr>
            <w:color w:val="000000"/>
          </w:rPr>
          <w:t xml:space="preserve">Measuring infinity and thinking being and nonbeing</w:t>
        </w:r>
      </w:hyperlink>
      <w:r>
        <w:rPr>
          <w:b w:val="0"/>
          <w:i w:val="0"/>
        </w:rPr>
        <w:t>.</w:t>
      </w:r>
    </w:p>
    <w:p>
      <w:pPr>
        <w:keepNext/>
        <w:widowControl/>
      </w:pPr>
      <w:bookmarkStart w:id="589" w:name="latin-record-0348"/>
      <w:bookmarkEnd w:id="589"/>
      <w:r>
        <w:rPr>
          <w:b/>
          <w:i w:val="0"/>
        </w:rPr>
        <w:t>creatura</w:t>
      </w:r>
      <w:r>
        <w:rPr>
          <w:b/>
          <w:i w:val="0"/>
        </w:rPr>
        <w:t>.</w:t>
      </w:r>
      <w:r>
        <w:rPr>
          <w:b w:val="0"/>
          <w:i w:val="0"/>
        </w:rPr>
        <w:t xml:space="preserve"> Printed forms: </w:t>
      </w:r>
      <w:r>
        <w:rPr>
          <w:b w:val="0"/>
          <w:i/>
        </w:rPr>
        <w:t>creatura</w:t>
      </w:r>
      <w:r>
        <w:rPr>
          <w:b w:val="0"/>
          <w:i w:val="0"/>
        </w:rPr>
        <w:t xml:space="preserve">; </w:t>
      </w:r>
      <w:r>
        <w:rPr>
          <w:b w:val="0"/>
          <w:i/>
        </w:rPr>
        <w:t>creaturae</w:t>
      </w:r>
      <w:r>
        <w:rPr>
          <w:b w:val="0"/>
          <w:i w:val="0"/>
        </w:rPr>
        <w:t xml:space="preserve">; </w:t>
      </w:r>
      <w:r>
        <w:rPr>
          <w:b w:val="0"/>
          <w:i/>
        </w:rPr>
        <w:t>creaturam</w:t>
      </w:r>
      <w:r>
        <w:rPr>
          <w:b w:val="0"/>
          <w:i w:val="0"/>
        </w:rPr>
        <w:t>.</w:t>
      </w:r>
    </w:p>
    <w:p>
      <w:pPr>
        <w:widowControl/>
      </w:pPr>
      <w:r>
        <w:rPr>
          <w:b w:val="0"/>
          <w:i w:val="0"/>
        </w:rPr>
        <w:t xml:space="preserve">A creature, any being other than God in the theological terminology Ficino adopts. Created essence, being, power and operation are distinct; none possesses unrestricted act through itself. References: </w:t>
      </w:r>
      <w:hyperlink w:anchor="passage-v-13-7">
        <w:r>
          <w:rPr>
            <w:color w:val="000000"/>
          </w:rPr>
          <w:t xml:space="preserve">V.13.7</w:t>
        </w:r>
      </w:hyperlink>
      <w:r>
        <w:rPr>
          <w:b w:val="0"/>
          <w:i w:val="0"/>
        </w:rPr>
        <w:t xml:space="preserve">, </w:t>
      </w:r>
      <w:hyperlink w:anchor="passage-v-13-11">
        <w:r>
          <w:rPr>
            <w:color w:val="000000"/>
          </w:rPr>
          <w:t xml:space="preserve">V.13.11</w:t>
        </w:r>
      </w:hyperlink>
      <w:r>
        <w:rPr>
          <w:b w:val="0"/>
          <w:i w:val="0"/>
        </w:rPr>
        <w:t xml:space="preserve">, </w:t>
      </w:r>
      <w:hyperlink w:anchor="passage-v-13-13">
        <w:r>
          <w:rPr>
            <w:color w:val="000000"/>
          </w:rPr>
          <w:t xml:space="preserve">V.13.13</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590" w:name="latin-record-0349"/>
      <w:bookmarkEnd w:id="590"/>
      <w:r>
        <w:rPr>
          <w:b/>
          <w:i w:val="0"/>
        </w:rPr>
        <w:t>crescere; decrescere; adolescere</w:t>
      </w:r>
      <w:r>
        <w:rPr>
          <w:b/>
          <w:i w:val="0"/>
        </w:rPr>
        <w:t>.</w:t>
      </w:r>
      <w:r>
        <w:rPr>
          <w:b w:val="0"/>
          <w:i w:val="0"/>
        </w:rPr>
        <w:t xml:space="preserve"> Printed forms: </w:t>
      </w:r>
      <w:r>
        <w:rPr>
          <w:b w:val="0"/>
          <w:i/>
        </w:rPr>
        <w:t>adolescat</w:t>
      </w:r>
      <w:r>
        <w:rPr>
          <w:b w:val="0"/>
          <w:i w:val="0"/>
        </w:rPr>
        <w:t xml:space="preserve">; </w:t>
      </w:r>
      <w:r>
        <w:rPr>
          <w:b w:val="0"/>
          <w:i/>
        </w:rPr>
        <w:t>adolescet</w:t>
      </w:r>
      <w:r>
        <w:rPr>
          <w:b w:val="0"/>
          <w:i w:val="0"/>
        </w:rPr>
        <w:t xml:space="preserve">; </w:t>
      </w:r>
      <w:r>
        <w:rPr>
          <w:b w:val="0"/>
          <w:i/>
        </w:rPr>
        <w:t>crescet</w:t>
      </w:r>
      <w:r>
        <w:rPr>
          <w:b w:val="0"/>
          <w:i w:val="0"/>
        </w:rPr>
        <w:t xml:space="preserve">; </w:t>
      </w:r>
      <w:r>
        <w:rPr>
          <w:b w:val="0"/>
          <w:i/>
        </w:rPr>
        <w:t>decrescet</w:t>
      </w:r>
      <w:r>
        <w:rPr>
          <w:b w:val="0"/>
          <w:i w:val="0"/>
        </w:rPr>
        <w:t>.</w:t>
      </w:r>
    </w:p>
    <w:p>
      <w:pPr>
        <w:widowControl/>
      </w:pPr>
      <w:r>
        <w:rPr>
          <w:b w:val="0"/>
          <w:i w:val="0"/>
        </w:rPr>
        <w:t xml:space="preserve">To grow, diminish and mature. The reductio falsely makes soul-size track body-size and asks what additional material would nourish it. References: </w:t>
      </w:r>
      <w:hyperlink w:anchor="passage-vi-13-3">
        <w:r>
          <w:rPr>
            <w:color w:val="000000"/>
          </w:rPr>
          <w:t xml:space="preserve">VI.13.3</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591" w:name="latin-record-0350"/>
      <w:bookmarkEnd w:id="591"/>
      <w:r>
        <w:rPr>
          <w:b/>
          <w:i w:val="0"/>
        </w:rPr>
        <w:t>crinita</w:t>
      </w:r>
      <w:r>
        <w:rPr>
          <w:b/>
          <w:i w:val="0"/>
        </w:rPr>
        <w:t>.</w:t>
      </w:r>
      <w:r>
        <w:rPr>
          <w:b w:val="0"/>
          <w:i w:val="0"/>
        </w:rPr>
        <w:t xml:space="preserve"> Printed forms: </w:t>
      </w:r>
      <w:r>
        <w:rPr>
          <w:b w:val="0"/>
          <w:i/>
        </w:rPr>
        <w:t>crinita</w:t>
      </w:r>
      <w:r>
        <w:rPr>
          <w:b w:val="0"/>
          <w:i w:val="0"/>
        </w:rPr>
        <w:t xml:space="preserve">; </w:t>
      </w:r>
      <w:r>
        <w:rPr>
          <w:b w:val="0"/>
          <w:i/>
        </w:rPr>
        <w:t>crinitae</w:t>
      </w:r>
      <w:r>
        <w:rPr>
          <w:b w:val="0"/>
          <w:i w:val="0"/>
        </w:rPr>
        <w:t xml:space="preserve">; </w:t>
      </w:r>
      <w:r>
        <w:rPr>
          <w:b w:val="0"/>
          <w:i/>
        </w:rPr>
        <w:t>crinitis</w:t>
      </w:r>
      <w:r>
        <w:rPr>
          <w:b w:val="0"/>
          <w:i w:val="0"/>
        </w:rPr>
        <w:t>.</w:t>
      </w:r>
    </w:p>
    <w:p>
      <w:pPr>
        <w:widowControl/>
      </w:pPr>
      <w:r>
        <w:rPr>
          <w:b w:val="0"/>
          <w:i w:val="0"/>
        </w:rPr>
        <w:t xml:space="preserve">A comet, literally the hairy celestial appearance. Its historical definition distinguishes essence from current existence; its hair later illustrates an inseparable attendant. References: </w:t>
      </w:r>
      <w:hyperlink w:anchor="passage-v-7-1">
        <w:r>
          <w:rPr>
            <w:color w:val="000000"/>
          </w:rPr>
          <w:t xml:space="preserve">V.7.1</w:t>
        </w:r>
      </w:hyperlink>
      <w:r>
        <w:rPr>
          <w:b w:val="0"/>
          <w:i w:val="0"/>
        </w:rPr>
        <w:t xml:space="preserve">, </w:t>
      </w:r>
      <w:hyperlink w:anchor="passage-v-14-6">
        <w:r>
          <w:rPr>
            <w:color w:val="000000"/>
          </w:rPr>
          <w:t xml:space="preserve">V.14.6</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592" w:name="latin-record-0351"/>
      <w:bookmarkEnd w:id="592"/>
      <w:r>
        <w:rPr>
          <w:b/>
          <w:i w:val="0"/>
        </w:rPr>
        <w:t>cruciatus / molestia / persensio</w:t>
      </w:r>
      <w:r>
        <w:rPr>
          <w:b/>
          <w:i w:val="0"/>
        </w:rPr>
        <w:t>.</w:t>
      </w:r>
      <w:r>
        <w:rPr>
          <w:b w:val="0"/>
          <w:i w:val="0"/>
        </w:rPr>
        <w:t xml:space="preserve"> Printed forms: </w:t>
      </w:r>
      <w:r>
        <w:rPr>
          <w:b w:val="0"/>
          <w:i/>
        </w:rPr>
        <w:t>cruciatum</w:t>
      </w:r>
      <w:r>
        <w:rPr>
          <w:b w:val="0"/>
          <w:i w:val="0"/>
        </w:rPr>
        <w:t xml:space="preserve">; </w:t>
      </w:r>
      <w:r>
        <w:rPr>
          <w:b w:val="0"/>
          <w:i/>
        </w:rPr>
        <w:t>cruciatus</w:t>
      </w:r>
      <w:r>
        <w:rPr>
          <w:b w:val="0"/>
          <w:i w:val="0"/>
        </w:rPr>
        <w:t xml:space="preserve">; </w:t>
      </w:r>
      <w:r>
        <w:rPr>
          <w:b w:val="0"/>
          <w:i/>
        </w:rPr>
        <w:t>molesta</w:t>
      </w:r>
      <w:r>
        <w:rPr>
          <w:b w:val="0"/>
          <w:i w:val="0"/>
        </w:rPr>
        <w:t xml:space="preserve">; </w:t>
      </w:r>
      <w:r>
        <w:rPr>
          <w:b w:val="0"/>
          <w:i/>
        </w:rPr>
        <w:t>molestia</w:t>
      </w:r>
      <w:r>
        <w:rPr>
          <w:b w:val="0"/>
          <w:i w:val="0"/>
        </w:rPr>
        <w:t xml:space="preserve">; </w:t>
      </w:r>
      <w:r>
        <w:rPr>
          <w:b w:val="0"/>
          <w:i/>
        </w:rPr>
        <w:t>molestiam</w:t>
      </w:r>
      <w:r>
        <w:rPr>
          <w:b w:val="0"/>
          <w:i w:val="0"/>
        </w:rPr>
        <w:t xml:space="preserve">; </w:t>
      </w:r>
      <w:r>
        <w:rPr>
          <w:b w:val="0"/>
          <w:i/>
        </w:rPr>
        <w:t>persensio</w:t>
      </w:r>
      <w:r>
        <w:rPr>
          <w:b w:val="0"/>
          <w:i w:val="0"/>
        </w:rPr>
        <w:t>.</w:t>
      </w:r>
    </w:p>
    <w:p>
      <w:pPr>
        <w:widowControl/>
      </w:pPr>
      <w:r>
        <w:rPr>
          <w:b w:val="0"/>
          <w:i w:val="0"/>
        </w:rPr>
        <w:t xml:space="preserve">Torment, distress and awareness of torment. The intermediate members’ distress is distinguished from the foot’s original pain in the proposed relay.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593" w:name="latin-record-0352"/>
      <w:bookmarkEnd w:id="593"/>
      <w:r>
        <w:rPr>
          <w:b/>
          <w:i w:val="0"/>
        </w:rPr>
        <w:t>crus / femur / pectus / collum</w:t>
      </w:r>
      <w:r>
        <w:rPr>
          <w:b/>
          <w:i w:val="0"/>
        </w:rPr>
        <w:t>.</w:t>
      </w:r>
      <w:r>
        <w:rPr>
          <w:b w:val="0"/>
          <w:i w:val="0"/>
        </w:rPr>
        <w:t xml:space="preserve"> Printed forms: </w:t>
      </w:r>
      <w:r>
        <w:rPr>
          <w:b w:val="0"/>
          <w:i/>
        </w:rPr>
        <w:t>collo</w:t>
      </w:r>
      <w:r>
        <w:rPr>
          <w:b w:val="0"/>
          <w:i w:val="0"/>
        </w:rPr>
        <w:t xml:space="preserve">; </w:t>
      </w:r>
      <w:r>
        <w:rPr>
          <w:b w:val="0"/>
          <w:i/>
        </w:rPr>
        <w:t>crure</w:t>
      </w:r>
      <w:r>
        <w:rPr>
          <w:b w:val="0"/>
          <w:i w:val="0"/>
        </w:rPr>
        <w:t xml:space="preserve">; </w:t>
      </w:r>
      <w:r>
        <w:rPr>
          <w:b w:val="0"/>
          <w:i/>
        </w:rPr>
        <w:t>femore</w:t>
      </w:r>
      <w:r>
        <w:rPr>
          <w:b w:val="0"/>
          <w:i w:val="0"/>
        </w:rPr>
        <w:t xml:space="preserve">; </w:t>
      </w:r>
      <w:r>
        <w:rPr>
          <w:b w:val="0"/>
          <w:i/>
        </w:rPr>
        <w:t>pectore</w:t>
      </w:r>
      <w:r>
        <w:rPr>
          <w:b w:val="0"/>
          <w:i w:val="0"/>
        </w:rPr>
        <w:t>.</w:t>
      </w:r>
    </w:p>
    <w:p>
      <w:pPr>
        <w:widowControl/>
      </w:pPr>
      <w:r>
        <w:rPr>
          <w:b w:val="0"/>
          <w:i w:val="0"/>
        </w:rPr>
        <w:t xml:space="preserve">Lower leg, thigh, breast and neck as successive regions of the proposed reporting chain. The model distributes soul-parts through the body and reserves principal judgement for the brain; this is an objection to be rejected. References: </w:t>
      </w:r>
      <w:hyperlink w:anchor="passage-vii-5-2">
        <w:r>
          <w:rPr>
            <w:color w:val="000000"/>
          </w:rPr>
          <w:t xml:space="preserve">VII.5.2</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594" w:name="latin-record-0353"/>
      <w:bookmarkEnd w:id="594"/>
      <w:r>
        <w:rPr>
          <w:b/>
          <w:i w:val="0"/>
        </w:rPr>
        <w:t>cumulus / continuum</w:t>
      </w:r>
      <w:r>
        <w:rPr>
          <w:b/>
          <w:i w:val="0"/>
        </w:rPr>
        <w:t>.</w:t>
      </w:r>
      <w:r>
        <w:rPr>
          <w:b w:val="0"/>
          <w:i w:val="0"/>
        </w:rPr>
        <w:t xml:space="preserve"> Printed forms: </w:t>
      </w:r>
      <w:r>
        <w:rPr>
          <w:b w:val="0"/>
          <w:i/>
        </w:rPr>
        <w:t>continuum</w:t>
      </w:r>
      <w:r>
        <w:rPr>
          <w:b w:val="0"/>
          <w:i w:val="0"/>
        </w:rPr>
        <w:t xml:space="preserve">; </w:t>
      </w:r>
      <w:r>
        <w:rPr>
          <w:b w:val="0"/>
          <w:i/>
        </w:rPr>
        <w:t>cumulus</w:t>
      </w:r>
      <w:r>
        <w:rPr>
          <w:b w:val="0"/>
          <w:i w:val="0"/>
        </w:rPr>
        <w:t xml:space="preserve">; </w:t>
      </w:r>
      <w:r>
        <w:rPr>
          <w:b w:val="0"/>
          <w:i/>
        </w:rPr>
        <w:t>numerosum</w:t>
      </w:r>
      <w:r>
        <w:rPr>
          <w:b w:val="0"/>
          <w:i w:val="0"/>
        </w:rPr>
        <w:t>.</w:t>
      </w:r>
    </w:p>
    <w:p>
      <w:pPr>
        <w:widowControl/>
      </w:pPr>
      <w:r>
        <w:rPr>
          <w:b w:val="0"/>
          <w:i w:val="0"/>
        </w:rPr>
        <w:t xml:space="preserve">A heap, a continuous quantity or a numbered aggregate. A species assembled from identical spatial parts would amount to quantitative accumulation, closer to imagination than intellectual definition. References: </w:t>
      </w:r>
      <w:hyperlink w:anchor="passage-viii-4-3">
        <w:r>
          <w:rPr>
            <w:color w:val="000000"/>
          </w:rPr>
          <w:t xml:space="preserve">VIII.4.3</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595" w:name="latin-record-0354"/>
      <w:bookmarkEnd w:id="595"/>
      <w:r>
        <w:rPr>
          <w:b/>
          <w:i w:val="0"/>
        </w:rPr>
        <w:t>cupiditas</w:t>
      </w:r>
      <w:r>
        <w:rPr>
          <w:b/>
          <w:i w:val="0"/>
        </w:rPr>
        <w:t>.</w:t>
      </w:r>
      <w:r>
        <w:rPr>
          <w:b w:val="0"/>
          <w:i w:val="0"/>
        </w:rPr>
        <w:t xml:space="preserve"> Printed forms: </w:t>
      </w:r>
      <w:r>
        <w:rPr>
          <w:b w:val="0"/>
          <w:i/>
        </w:rPr>
        <w:t>cupiditatem</w:t>
      </w:r>
      <w:r>
        <w:rPr>
          <w:b w:val="0"/>
          <w:i w:val="0"/>
        </w:rPr>
        <w:t xml:space="preserve">; </w:t>
      </w:r>
      <w:r>
        <w:rPr>
          <w:b w:val="0"/>
          <w:i/>
        </w:rPr>
        <w:t>cupiditates</w:t>
      </w:r>
      <w:r>
        <w:rPr>
          <w:b w:val="0"/>
          <w:i w:val="0"/>
        </w:rPr>
        <w:t xml:space="preserve">; </w:t>
      </w:r>
      <w:r>
        <w:rPr>
          <w:b w:val="0"/>
          <w:i/>
        </w:rPr>
        <w:t>cupiditatibus</w:t>
      </w:r>
      <w:r>
        <w:rPr>
          <w:b w:val="0"/>
          <w:i w:val="0"/>
        </w:rPr>
        <w:t xml:space="preserve">; </w:t>
      </w:r>
      <w:r>
        <w:rPr>
          <w:b w:val="0"/>
          <w:i/>
        </w:rPr>
        <w:t>cupiditatis</w:t>
      </w:r>
      <w:r>
        <w:rPr>
          <w:b w:val="0"/>
          <w:i w:val="0"/>
        </w:rPr>
        <w:t>.</w:t>
      </w:r>
    </w:p>
    <w:p>
      <w:pPr>
        <w:widowControl/>
      </w:pPr>
      <w:r>
        <w:rPr>
          <w:b w:val="0"/>
          <w:i w:val="0"/>
        </w:rPr>
        <w:t xml:space="preserve">A directed desire through which one mind may exercise leverage over another in this account. Ficino denies that becoming mere body could satisfy desire, because the change would abolish the capacity to desire. References: </w:t>
      </w:r>
      <w:hyperlink w:anchor="passage-v-15-21">
        <w:r>
          <w:rPr>
            <w:color w:val="000000"/>
          </w:rPr>
          <w:t xml:space="preserve">V.15.21</w:t>
        </w:r>
      </w:hyperlink>
      <w:r>
        <w:rPr>
          <w:b w:val="0"/>
          <w:i w:val="0"/>
        </w:rPr>
        <w:t xml:space="preserve">, </w:t>
      </w:r>
      <w:hyperlink w:anchor="passage-v-15-22">
        <w:r>
          <w:rPr>
            <w:color w:val="000000"/>
          </w:rPr>
          <w:t xml:space="preserve">V.15.22</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596" w:name="latin-record-0355"/>
      <w:bookmarkEnd w:id="596"/>
      <w:r>
        <w:rPr>
          <w:b/>
          <w:i w:val="0"/>
        </w:rPr>
        <w:t>dare / tribuere</w:t>
      </w:r>
      <w:r>
        <w:rPr>
          <w:b/>
          <w:i w:val="0"/>
        </w:rPr>
        <w:t>.</w:t>
      </w:r>
      <w:r>
        <w:rPr>
          <w:b w:val="0"/>
          <w:i w:val="0"/>
        </w:rPr>
        <w:t xml:space="preserve"> Printed forms: </w:t>
      </w:r>
      <w:r>
        <w:rPr>
          <w:b w:val="0"/>
          <w:i/>
        </w:rPr>
        <w:t>dare</w:t>
      </w:r>
      <w:r>
        <w:rPr>
          <w:b w:val="0"/>
          <w:i w:val="0"/>
        </w:rPr>
        <w:t xml:space="preserve">; </w:t>
      </w:r>
      <w:r>
        <w:rPr>
          <w:b w:val="0"/>
          <w:i/>
        </w:rPr>
        <w:t>dent</w:t>
      </w:r>
      <w:r>
        <w:rPr>
          <w:b w:val="0"/>
          <w:i w:val="0"/>
        </w:rPr>
        <w:t xml:space="preserve">; </w:t>
      </w:r>
      <w:r>
        <w:rPr>
          <w:b w:val="0"/>
          <w:i/>
        </w:rPr>
        <w:t>detur</w:t>
      </w:r>
      <w:r>
        <w:rPr>
          <w:b w:val="0"/>
          <w:i w:val="0"/>
        </w:rPr>
        <w:t xml:space="preserve">; </w:t>
      </w:r>
      <w:r>
        <w:rPr>
          <w:b w:val="0"/>
          <w:i/>
        </w:rPr>
        <w:t>praestare</w:t>
      </w:r>
      <w:r>
        <w:rPr>
          <w:b w:val="0"/>
          <w:i w:val="0"/>
        </w:rPr>
        <w:t xml:space="preserve">; </w:t>
      </w:r>
      <w:r>
        <w:rPr>
          <w:b w:val="0"/>
          <w:i/>
        </w:rPr>
        <w:t>praestatur</w:t>
      </w:r>
      <w:r>
        <w:rPr>
          <w:b w:val="0"/>
          <w:i w:val="0"/>
        </w:rPr>
        <w:t xml:space="preserve">; </w:t>
      </w:r>
      <w:r>
        <w:rPr>
          <w:b w:val="0"/>
          <w:i/>
        </w:rPr>
        <w:t>tribuit</w:t>
      </w:r>
      <w:r>
        <w:rPr>
          <w:b w:val="0"/>
          <w:i w:val="0"/>
        </w:rPr>
        <w:t xml:space="preserve">; </w:t>
      </w:r>
      <w:r>
        <w:rPr>
          <w:b w:val="0"/>
          <w:i/>
        </w:rPr>
        <w:t>tribuitur</w:t>
      </w:r>
      <w:r>
        <w:rPr>
          <w:b w:val="0"/>
          <w:i w:val="0"/>
        </w:rPr>
        <w:t>.</w:t>
      </w:r>
    </w:p>
    <w:p>
      <w:pPr>
        <w:widowControl/>
      </w:pPr>
      <w:r>
        <w:rPr>
          <w:b w:val="0"/>
          <w:i w:val="0"/>
        </w:rPr>
        <w:t xml:space="preserve">Giving, granting or bestowing, either a causal gift or a premise conceded in argument. A granted hypothesis is different from the being or power bestowed by a source; divine communication and formal self-preservation require the causal sense to be specified. References: </w:t>
      </w:r>
      <w:hyperlink w:anchor="passage-viii-2-3">
        <w:r>
          <w:rPr>
            <w:color w:val="000000"/>
          </w:rPr>
          <w:t xml:space="preserve">VIII.2.3</w:t>
        </w:r>
      </w:hyperlink>
      <w:r>
        <w:rPr>
          <w:b w:val="0"/>
          <w:i w:val="0"/>
        </w:rPr>
        <w:t xml:space="preserve">, </w:t>
      </w:r>
      <w:hyperlink w:anchor="passage-viii-2-4">
        <w:r>
          <w:rPr>
            <w:color w:val="000000"/>
          </w:rPr>
          <w:t xml:space="preserve">VIII.2.4</w:t>
        </w:r>
      </w:hyperlink>
      <w:r>
        <w:rPr>
          <w:b w:val="0"/>
          <w:i w:val="0"/>
        </w:rPr>
        <w:t xml:space="preserve">, </w:t>
      </w:r>
      <w:hyperlink w:anchor="passage-viii-3-1">
        <w:r>
          <w:rPr>
            <w:color w:val="000000"/>
          </w:rPr>
          <w:t xml:space="preserve">VIII.3.1</w:t>
        </w:r>
      </w:hyperlink>
      <w:r>
        <w:rPr>
          <w:b w:val="0"/>
          <w:i w:val="0"/>
        </w:rPr>
        <w:t xml:space="preserve">, </w:t>
      </w:r>
      <w:hyperlink w:anchor="passage-viii-4-5">
        <w:r>
          <w:rPr>
            <w:color w:val="000000"/>
          </w:rPr>
          <w:t xml:space="preserve">VIII.4.5</w:t>
        </w:r>
      </w:hyperlink>
      <w:r>
        <w:rPr>
          <w:b w:val="0"/>
          <w:i w:val="0"/>
        </w:rPr>
        <w:t xml:space="preserve">, </w:t>
      </w:r>
      <w:hyperlink w:anchor="passage-viii-4-9">
        <w:r>
          <w:rPr>
            <w:color w:val="000000"/>
          </w:rPr>
          <w:t xml:space="preserve">VIII.4.9</w:t>
        </w:r>
      </w:hyperlink>
      <w:r>
        <w:rPr>
          <w:b w:val="0"/>
          <w:i w:val="0"/>
        </w:rPr>
        <w:t xml:space="preserve">, </w:t>
      </w:r>
      <w:hyperlink w:anchor="passage-viii-13-1">
        <w:r>
          <w:rPr>
            <w:color w:val="000000"/>
          </w:rPr>
          <w:t xml:space="preserve">VIII.13.1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597" w:name="latin-record-0356"/>
      <w:bookmarkEnd w:id="597"/>
      <w:r>
        <w:rPr>
          <w:b/>
          <w:i w:val="0"/>
        </w:rPr>
        <w:t>dare / tribuere / praestare</w:t>
      </w:r>
      <w:r>
        <w:rPr>
          <w:b/>
          <w:i w:val="0"/>
        </w:rPr>
        <w:t>.</w:t>
      </w:r>
      <w:r>
        <w:rPr>
          <w:b w:val="0"/>
          <w:i w:val="0"/>
        </w:rPr>
        <w:t xml:space="preserve"> Printed forms: </w:t>
      </w:r>
      <w:r>
        <w:rPr>
          <w:b w:val="0"/>
          <w:i/>
        </w:rPr>
        <w:t>dabit</w:t>
      </w:r>
      <w:r>
        <w:rPr>
          <w:b w:val="0"/>
          <w:i w:val="0"/>
        </w:rPr>
        <w:t xml:space="preserve">; </w:t>
      </w:r>
      <w:r>
        <w:rPr>
          <w:b w:val="0"/>
          <w:i/>
        </w:rPr>
        <w:t>dat</w:t>
      </w:r>
      <w:r>
        <w:rPr>
          <w:b w:val="0"/>
          <w:i w:val="0"/>
        </w:rPr>
        <w:t xml:space="preserve">; </w:t>
      </w:r>
      <w:r>
        <w:rPr>
          <w:b w:val="0"/>
          <w:i/>
        </w:rPr>
        <w:t>datur</w:t>
      </w:r>
      <w:r>
        <w:rPr>
          <w:b w:val="0"/>
          <w:i w:val="0"/>
        </w:rPr>
        <w:t xml:space="preserve">; </w:t>
      </w:r>
      <w:r>
        <w:rPr>
          <w:b w:val="0"/>
          <w:i/>
        </w:rPr>
        <w:t>praebet</w:t>
      </w:r>
      <w:r>
        <w:rPr>
          <w:b w:val="0"/>
          <w:i w:val="0"/>
        </w:rPr>
        <w:t xml:space="preserve">; </w:t>
      </w:r>
      <w:r>
        <w:rPr>
          <w:b w:val="0"/>
          <w:i/>
        </w:rPr>
        <w:t>praestat</w:t>
      </w:r>
      <w:r>
        <w:rPr>
          <w:b w:val="0"/>
          <w:i w:val="0"/>
        </w:rPr>
        <w:t xml:space="preserve">; </w:t>
      </w:r>
      <w:r>
        <w:rPr>
          <w:b w:val="0"/>
          <w:i/>
        </w:rPr>
        <w:t>tribuere</w:t>
      </w:r>
      <w:r>
        <w:rPr>
          <w:b w:val="0"/>
          <w:i w:val="0"/>
        </w:rPr>
        <w:t xml:space="preserve">; </w:t>
      </w:r>
      <w:r>
        <w:rPr>
          <w:b w:val="0"/>
          <w:i/>
        </w:rPr>
        <w:t>tribuit</w:t>
      </w:r>
      <w:r>
        <w:rPr>
          <w:b w:val="0"/>
          <w:i w:val="0"/>
        </w:rPr>
        <w:t>.</w:t>
      </w:r>
    </w:p>
    <w:p>
      <w:pPr>
        <w:widowControl/>
      </w:pPr>
      <w:r>
        <w:rPr>
          <w:b w:val="0"/>
          <w:i w:val="0"/>
        </w:rPr>
        <w:t xml:space="preserve">To give, bestow or supply a perfection or act. Giving life, form and being differ by agent and scope; communication need not remove the giver’s own possession. References: </w:t>
      </w:r>
      <w:hyperlink w:anchor="passage-v-1-1">
        <w:r>
          <w:rPr>
            <w:color w:val="000000"/>
          </w:rPr>
          <w:t xml:space="preserve">V.1.1</w:t>
        </w:r>
      </w:hyperlink>
      <w:r>
        <w:rPr>
          <w:b w:val="0"/>
          <w:i w:val="0"/>
        </w:rPr>
        <w:t xml:space="preserve">, </w:t>
      </w:r>
      <w:hyperlink w:anchor="passage-v-4-10">
        <w:r>
          <w:rPr>
            <w:color w:val="000000"/>
          </w:rPr>
          <w:t xml:space="preserve">V.4.10</w:t>
        </w:r>
      </w:hyperlink>
      <w:r>
        <w:rPr>
          <w:b w:val="0"/>
          <w:i w:val="0"/>
        </w:rPr>
        <w:t xml:space="preserve">, </w:t>
      </w:r>
      <w:hyperlink w:anchor="passage-v-13-2">
        <w:r>
          <w:rPr>
            <w:color w:val="000000"/>
          </w:rPr>
          <w:t xml:space="preserve">V.13.2</w:t>
        </w:r>
      </w:hyperlink>
      <w:r>
        <w:rPr>
          <w:b w:val="0"/>
          <w:i w:val="0"/>
        </w:rPr>
        <w:t xml:space="preserve">, </w:t>
      </w:r>
      <w:hyperlink w:anchor="passage-v-13-4">
        <w:r>
          <w:rPr>
            <w:color w:val="000000"/>
          </w:rPr>
          <w:t xml:space="preserve">V.13.4</w:t>
        </w:r>
      </w:hyperlink>
      <w:r>
        <w:rPr>
          <w:b w:val="0"/>
          <w:i w:val="0"/>
        </w:rPr>
        <w:t xml:space="preserve">, </w:t>
      </w:r>
      <w:hyperlink w:anchor="passage-v-14-1">
        <w:r>
          <w:rPr>
            <w:color w:val="000000"/>
          </w:rPr>
          <w:t xml:space="preserve">V.14.1</w:t>
        </w:r>
      </w:hyperlink>
      <w:r>
        <w:rPr>
          <w:b w:val="0"/>
          <w:i w:val="0"/>
        </w:rPr>
        <w:t xml:space="preserve">, </w:t>
      </w:r>
      <w:hyperlink w:anchor="passage-v-15-25">
        <w:r>
          <w:rPr>
            <w:color w:val="000000"/>
          </w:rPr>
          <w:t xml:space="preserve">V.15.25</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598" w:name="latin-record-0357"/>
      <w:bookmarkEnd w:id="598"/>
      <w:r>
        <w:rPr>
          <w:b/>
          <w:i w:val="0"/>
        </w:rPr>
        <w:t>dare; concedere</w:t>
      </w:r>
      <w:r>
        <w:rPr>
          <w:b/>
          <w:i w:val="0"/>
        </w:rPr>
        <w:t>.</w:t>
      </w:r>
      <w:r>
        <w:rPr>
          <w:b w:val="0"/>
          <w:i w:val="0"/>
        </w:rPr>
        <w:t xml:space="preserve"> Printed forms: </w:t>
      </w:r>
      <w:r>
        <w:rPr>
          <w:b w:val="0"/>
          <w:i/>
        </w:rPr>
        <w:t>Si primum detur</w:t>
      </w:r>
      <w:r>
        <w:rPr>
          <w:b w:val="0"/>
          <w:i w:val="0"/>
        </w:rPr>
        <w:t>.</w:t>
      </w:r>
    </w:p>
    <w:p>
      <w:pPr>
        <w:widowControl/>
      </w:pPr>
      <w:r>
        <w:rPr>
          <w:b w:val="0"/>
          <w:i w:val="0"/>
        </w:rPr>
        <w:t xml:space="preserve">If the first alternative is granted. The conditional introduces a temporary premise for reductio and must not be converted into Ficino’s own conclusion. References: </w:t>
      </w:r>
      <w:hyperlink w:anchor="passage-vi-6-3">
        <w:r>
          <w:rPr>
            <w:color w:val="000000"/>
          </w:rPr>
          <w:t xml:space="preserve">VI.6.3</w:t>
        </w:r>
      </w:hyperlink>
      <w:r>
        <w:rPr>
          <w:b w:val="0"/>
          <w:i w:val="0"/>
        </w:rPr>
        <w:t xml:space="preserve">. See </w:t>
      </w:r>
      <w:hyperlink w:anchor="dense-subtle-and-fifth-body">
        <w:r>
          <w:rPr>
            <w:color w:val="000000"/>
          </w:rPr>
          <w:t xml:space="preserve">Dense, subtle and fifth body</w:t>
        </w:r>
      </w:hyperlink>
      <w:r>
        <w:rPr>
          <w:b w:val="0"/>
          <w:i w:val="0"/>
        </w:rPr>
        <w:t>.</w:t>
      </w:r>
    </w:p>
    <w:p>
      <w:pPr>
        <w:keepNext/>
        <w:widowControl/>
      </w:pPr>
      <w:bookmarkStart w:id="599" w:name="latin-record-0358"/>
      <w:bookmarkEnd w:id="599"/>
      <w:r>
        <w:rPr>
          <w:b/>
          <w:i w:val="0"/>
        </w:rPr>
        <w:t>dare; tribuere; praestare</w:t>
      </w:r>
      <w:r>
        <w:rPr>
          <w:b/>
          <w:i w:val="0"/>
        </w:rPr>
        <w:t>.</w:t>
      </w:r>
      <w:r>
        <w:rPr>
          <w:b w:val="0"/>
          <w:i w:val="0"/>
        </w:rPr>
        <w:t xml:space="preserve"> Printed forms: </w:t>
      </w:r>
      <w:r>
        <w:rPr>
          <w:b w:val="0"/>
          <w:i/>
        </w:rPr>
        <w:t>dat</w:t>
      </w:r>
      <w:r>
        <w:rPr>
          <w:b w:val="0"/>
          <w:i w:val="0"/>
        </w:rPr>
        <w:t xml:space="preserve">; </w:t>
      </w:r>
      <w:r>
        <w:rPr>
          <w:b w:val="0"/>
          <w:i/>
        </w:rPr>
        <w:t>praestare</w:t>
      </w:r>
      <w:r>
        <w:rPr>
          <w:b w:val="0"/>
          <w:i w:val="0"/>
        </w:rPr>
        <w:t xml:space="preserve">; </w:t>
      </w:r>
      <w:r>
        <w:rPr>
          <w:b w:val="0"/>
          <w:i/>
        </w:rPr>
        <w:t>praestat</w:t>
      </w:r>
      <w:r>
        <w:rPr>
          <w:b w:val="0"/>
          <w:i w:val="0"/>
        </w:rPr>
        <w:t xml:space="preserve">; </w:t>
      </w:r>
      <w:r>
        <w:rPr>
          <w:b w:val="0"/>
          <w:i/>
        </w:rPr>
        <w:t>tribuat</w:t>
      </w:r>
      <w:r>
        <w:rPr>
          <w:b w:val="0"/>
          <w:i w:val="0"/>
        </w:rPr>
        <w:t xml:space="preserve">; </w:t>
      </w:r>
      <w:r>
        <w:rPr>
          <w:b w:val="0"/>
          <w:i/>
        </w:rPr>
        <w:t>tribuere</w:t>
      </w:r>
      <w:r>
        <w:rPr>
          <w:b w:val="0"/>
          <w:i w:val="0"/>
        </w:rPr>
        <w:t xml:space="preserve">; </w:t>
      </w:r>
      <w:r>
        <w:rPr>
          <w:b w:val="0"/>
          <w:i/>
        </w:rPr>
        <w:t>tribuit</w:t>
      </w:r>
      <w:r>
        <w:rPr>
          <w:b w:val="0"/>
          <w:i w:val="0"/>
        </w:rPr>
        <w:t>.</w:t>
      </w:r>
    </w:p>
    <w:p>
      <w:pPr>
        <w:widowControl/>
      </w:pPr>
      <w:r>
        <w:rPr>
          <w:b w:val="0"/>
          <w:i w:val="0"/>
        </w:rPr>
        <w:t xml:space="preserve">To give, impart or supply; praestare can also mean surpass in excellence. The source gives life or being to a recipient, whereas the comparative claim that reason surpasses beasts uses a different construction and must not be translated as donation. References: </w:t>
      </w:r>
      <w:hyperlink w:anchor="passage-vi-2-9">
        <w:r>
          <w:rPr>
            <w:color w:val="000000"/>
          </w:rPr>
          <w:t xml:space="preserve">VI.2.9</w:t>
        </w:r>
      </w:hyperlink>
      <w:r>
        <w:rPr>
          <w:b w:val="0"/>
          <w:i w:val="0"/>
        </w:rPr>
        <w:t xml:space="preserve">, </w:t>
      </w:r>
      <w:hyperlink w:anchor="passage-vi-2-12">
        <w:r>
          <w:rPr>
            <w:color w:val="000000"/>
          </w:rPr>
          <w:t xml:space="preserve">VI.2.12</w:t>
        </w:r>
      </w:hyperlink>
      <w:r>
        <w:rPr>
          <w:b w:val="0"/>
          <w:i w:val="0"/>
        </w:rPr>
        <w:t xml:space="preserve">, </w:t>
      </w:r>
      <w:hyperlink w:anchor="passage-vi-5-1">
        <w:r>
          <w:rPr>
            <w:color w:val="000000"/>
          </w:rPr>
          <w:t xml:space="preserve">VI.5.1</w:t>
        </w:r>
      </w:hyperlink>
      <w:r>
        <w:rPr>
          <w:b w:val="0"/>
          <w:i w:val="0"/>
        </w:rPr>
        <w:t xml:space="preserve">, </w:t>
      </w:r>
      <w:hyperlink w:anchor="passage-vi-6-4">
        <w:r>
          <w:rPr>
            <w:color w:val="000000"/>
          </w:rPr>
          <w:t xml:space="preserve">VI.6.4</w:t>
        </w:r>
      </w:hyperlink>
      <w:r>
        <w:rPr>
          <w:b w:val="0"/>
          <w:i w:val="0"/>
        </w:rPr>
        <w:t xml:space="preserve">, </w:t>
      </w:r>
      <w:hyperlink w:anchor="passage-vi-9-2">
        <w:r>
          <w:rPr>
            <w:color w:val="000000"/>
          </w:rPr>
          <w:t xml:space="preserve">VI.9.2</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600" w:name="latin-record-0359"/>
      <w:bookmarkEnd w:id="600"/>
      <w:r>
        <w:rPr>
          <w:b/>
          <w:i w:val="0"/>
        </w:rPr>
        <w:t>De republica; Divinorum</w:t>
      </w:r>
      <w:r>
        <w:rPr>
          <w:b/>
          <w:i w:val="0"/>
        </w:rPr>
        <w:t>.</w:t>
      </w:r>
      <w:r>
        <w:rPr>
          <w:b w:val="0"/>
          <w:i w:val="0"/>
        </w:rPr>
        <w:t xml:space="preserve"> Printed forms: </w:t>
      </w:r>
      <w:r>
        <w:rPr>
          <w:b w:val="0"/>
          <w:i/>
        </w:rPr>
        <w:t>secundo Divinorum</w:t>
      </w:r>
      <w:r>
        <w:rPr>
          <w:b w:val="0"/>
          <w:i w:val="0"/>
        </w:rPr>
        <w:t xml:space="preserve">; </w:t>
      </w:r>
      <w:r>
        <w:rPr>
          <w:b w:val="0"/>
          <w:i/>
        </w:rPr>
        <w:t>septimo De republica</w:t>
      </w:r>
      <w:r>
        <w:rPr>
          <w:b w:val="0"/>
          <w:i w:val="0"/>
        </w:rPr>
        <w:t>.</w:t>
      </w:r>
    </w:p>
    <w:p>
      <w:pPr>
        <w:widowControl/>
      </w:pPr>
      <w:r>
        <w:rPr>
          <w:b w:val="0"/>
          <w:i w:val="0"/>
        </w:rPr>
        <w:t xml:space="preserve">The work and book references by which Ficino invokes Plato and Aristotle. The edition preserves his references descriptively without independently importing an ancient-source apparatus.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601" w:name="latin-record-0360"/>
      <w:bookmarkEnd w:id="601"/>
      <w:r>
        <w:rPr>
          <w:b/>
          <w:i w:val="0"/>
        </w:rPr>
        <w:t>declinare; attollere</w:t>
      </w:r>
      <w:r>
        <w:rPr>
          <w:b/>
          <w:i w:val="0"/>
        </w:rPr>
        <w:t>.</w:t>
      </w:r>
      <w:r>
        <w:rPr>
          <w:b w:val="0"/>
          <w:i w:val="0"/>
        </w:rPr>
        <w:t xml:space="preserve"> Printed forms: </w:t>
      </w:r>
      <w:r>
        <w:rPr>
          <w:b w:val="0"/>
          <w:i/>
        </w:rPr>
        <w:t>attolli</w:t>
      </w:r>
      <w:r>
        <w:rPr>
          <w:b w:val="0"/>
          <w:i w:val="0"/>
        </w:rPr>
        <w:t xml:space="preserve">; </w:t>
      </w:r>
      <w:r>
        <w:rPr>
          <w:b w:val="0"/>
          <w:i/>
        </w:rPr>
        <w:t>declinare</w:t>
      </w:r>
      <w:r>
        <w:rPr>
          <w:b w:val="0"/>
          <w:i w:val="0"/>
        </w:rPr>
        <w:t>.</w:t>
      </w:r>
    </w:p>
    <w:p>
      <w:pPr>
        <w:widowControl/>
      </w:pPr>
      <w:r>
        <w:rPr>
          <w:b w:val="0"/>
          <w:i w:val="0"/>
        </w:rPr>
        <w:t xml:space="preserve">To tend down toward and be raised up toward. Lowest fire and highest air approach one another as the analogy for adjacent levels of heaven and rational soul. References: </w:t>
      </w:r>
      <w:hyperlink w:anchor="passage-vi-2-24">
        <w:r>
          <w:rPr>
            <w:color w:val="000000"/>
          </w:rPr>
          <w:t xml:space="preserve">VI.2.24</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602" w:name="latin-record-0361"/>
      <w:bookmarkEnd w:id="602"/>
      <w:r>
        <w:rPr>
          <w:b/>
          <w:i w:val="0"/>
        </w:rPr>
        <w:t>deficere; perficere</w:t>
      </w:r>
      <w:r>
        <w:rPr>
          <w:b/>
          <w:i w:val="0"/>
        </w:rPr>
        <w:t>.</w:t>
      </w:r>
      <w:r>
        <w:rPr>
          <w:b w:val="0"/>
          <w:i w:val="0"/>
        </w:rPr>
        <w:t xml:space="preserve"> Printed forms: </w:t>
      </w:r>
      <w:r>
        <w:rPr>
          <w:b w:val="0"/>
          <w:i/>
        </w:rPr>
        <w:t>deficit</w:t>
      </w:r>
      <w:r>
        <w:rPr>
          <w:b w:val="0"/>
          <w:i w:val="0"/>
        </w:rPr>
        <w:t xml:space="preserve">; </w:t>
      </w:r>
      <w:r>
        <w:rPr>
          <w:b w:val="0"/>
          <w:i/>
        </w:rPr>
        <w:t>imperfecta</w:t>
      </w:r>
      <w:r>
        <w:rPr>
          <w:b w:val="0"/>
          <w:i w:val="0"/>
        </w:rPr>
        <w:t xml:space="preserve">; </w:t>
      </w:r>
      <w:r>
        <w:rPr>
          <w:b w:val="0"/>
          <w:i/>
        </w:rPr>
        <w:t>perficere</w:t>
      </w:r>
      <w:r>
        <w:rPr>
          <w:b w:val="0"/>
          <w:i w:val="0"/>
        </w:rPr>
        <w:t>.</w:t>
      </w:r>
    </w:p>
    <w:p>
      <w:pPr>
        <w:widowControl/>
      </w:pPr>
      <w:r>
        <w:rPr>
          <w:b w:val="0"/>
          <w:i w:val="0"/>
        </w:rPr>
        <w:t xml:space="preserve">To fail, to perfect, and incomplete. The dying prior soul and newly born soul lack the relevant causal completeness for the proposed image-production. References: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603" w:name="latin-record-0362"/>
      <w:bookmarkEnd w:id="603"/>
      <w:r>
        <w:rPr>
          <w:b/>
          <w:i w:val="0"/>
        </w:rPr>
        <w:t>definitio</w:t>
      </w:r>
      <w:r>
        <w:rPr>
          <w:b/>
          <w:i w:val="0"/>
        </w:rPr>
        <w:t>.</w:t>
      </w:r>
      <w:r>
        <w:rPr>
          <w:b w:val="0"/>
          <w:i w:val="0"/>
        </w:rPr>
        <w:t xml:space="preserve"> Printed forms: </w:t>
      </w:r>
      <w:r>
        <w:rPr>
          <w:b w:val="0"/>
          <w:i/>
        </w:rPr>
        <w:t>definitio</w:t>
      </w:r>
      <w:r>
        <w:rPr>
          <w:b w:val="0"/>
          <w:i w:val="0"/>
        </w:rPr>
        <w:t xml:space="preserve">; </w:t>
      </w:r>
      <w:r>
        <w:rPr>
          <w:b w:val="0"/>
          <w:i/>
        </w:rPr>
        <w:t>Definitio</w:t>
      </w:r>
      <w:r>
        <w:rPr>
          <w:b w:val="0"/>
          <w:i w:val="0"/>
        </w:rPr>
        <w:t xml:space="preserve">; </w:t>
      </w:r>
      <w:r>
        <w:rPr>
          <w:b w:val="0"/>
          <w:i/>
        </w:rPr>
        <w:t>definitione</w:t>
      </w:r>
      <w:r>
        <w:rPr>
          <w:b w:val="0"/>
          <w:i w:val="0"/>
        </w:rPr>
        <w:t xml:space="preserve">; </w:t>
      </w:r>
      <w:r>
        <w:rPr>
          <w:b w:val="0"/>
          <w:i/>
        </w:rPr>
        <w:t>definitionem</w:t>
      </w:r>
      <w:r>
        <w:rPr>
          <w:b w:val="0"/>
          <w:i w:val="0"/>
        </w:rPr>
        <w:t xml:space="preserve">; </w:t>
      </w:r>
      <w:r>
        <w:rPr>
          <w:b w:val="0"/>
          <w:i/>
        </w:rPr>
        <w:t>definitiones</w:t>
      </w:r>
      <w:r>
        <w:rPr>
          <w:b w:val="0"/>
          <w:i w:val="0"/>
        </w:rPr>
        <w:t>.</w:t>
      </w:r>
    </w:p>
    <w:p>
      <w:pPr>
        <w:widowControl/>
      </w:pPr>
      <w:r>
        <w:rPr>
          <w:b w:val="0"/>
          <w:i w:val="0"/>
        </w:rPr>
        <w:t xml:space="preserve">An account identifying what a thing is, especially through genus and difference. One mind knows one thing through one definition; an unbounded partition of its supposed bodily pieces would destroy the bounded account. References: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604" w:name="latin-record-0363"/>
      <w:bookmarkEnd w:id="604"/>
      <w:r>
        <w:rPr>
          <w:b/>
          <w:i w:val="0"/>
        </w:rPr>
        <w:t>delabi / prolabi</w:t>
      </w:r>
      <w:r>
        <w:rPr>
          <w:b/>
          <w:i w:val="0"/>
        </w:rPr>
        <w:t>.</w:t>
      </w:r>
      <w:r>
        <w:rPr>
          <w:b w:val="0"/>
          <w:i w:val="0"/>
        </w:rPr>
        <w:t xml:space="preserve"> Printed forms: </w:t>
      </w:r>
      <w:r>
        <w:rPr>
          <w:b w:val="0"/>
          <w:i/>
        </w:rPr>
        <w:t>delapsas</w:t>
      </w:r>
      <w:r>
        <w:rPr>
          <w:b w:val="0"/>
          <w:i w:val="0"/>
        </w:rPr>
        <w:t xml:space="preserve">; </w:t>
      </w:r>
      <w:r>
        <w:rPr>
          <w:b w:val="0"/>
          <w:i/>
        </w:rPr>
        <w:t>lapsas</w:t>
      </w:r>
      <w:r>
        <w:rPr>
          <w:b w:val="0"/>
          <w:i w:val="0"/>
        </w:rPr>
        <w:t xml:space="preserve">; </w:t>
      </w:r>
      <w:r>
        <w:rPr>
          <w:b w:val="0"/>
          <w:i/>
        </w:rPr>
        <w:t>prolapsas</w:t>
      </w:r>
      <w:r>
        <w:rPr>
          <w:b w:val="0"/>
          <w:i w:val="0"/>
        </w:rPr>
        <w:t>.</w:t>
      </w:r>
    </w:p>
    <w:p>
      <w:pPr>
        <w:widowControl/>
      </w:pPr>
      <w:r>
        <w:rPr>
          <w:b w:val="0"/>
          <w:i w:val="0"/>
        </w:rPr>
        <w:t xml:space="preserve">To fall down or descend into a lower exercise of life. The reported doctrine distinguishes descent into reason/sense, sense/generation, and generation alone; Ficino sets it aside. References: </w:t>
      </w:r>
      <w:hyperlink w:anchor="passage-v-14-9">
        <w:r>
          <w:rPr>
            <w:color w:val="000000"/>
          </w:rPr>
          <w:t xml:space="preserve">V.14.9</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605" w:name="latin-record-0364"/>
      <w:bookmarkEnd w:id="605"/>
      <w:r>
        <w:rPr>
          <w:b/>
          <w:i w:val="0"/>
        </w:rPr>
        <w:t>Democritus; Leucippus; Hipparchus</w:t>
      </w:r>
      <w:r>
        <w:rPr>
          <w:b/>
          <w:i w:val="0"/>
        </w:rPr>
        <w:t>.</w:t>
      </w:r>
      <w:r>
        <w:rPr>
          <w:b w:val="0"/>
          <w:i w:val="0"/>
        </w:rPr>
        <w:t xml:space="preserve"> Printed forms: </w:t>
      </w:r>
      <w:r>
        <w:rPr>
          <w:b w:val="0"/>
          <w:i/>
        </w:rPr>
        <w:t>Democritus</w:t>
      </w:r>
      <w:r>
        <w:rPr>
          <w:b w:val="0"/>
          <w:i w:val="0"/>
        </w:rPr>
        <w:t xml:space="preserve">; </w:t>
      </w:r>
      <w:r>
        <w:rPr>
          <w:b w:val="0"/>
          <w:i/>
        </w:rPr>
        <w:t>Hipparchus</w:t>
      </w:r>
      <w:r>
        <w:rPr>
          <w:b w:val="0"/>
          <w:i w:val="0"/>
        </w:rPr>
        <w:t xml:space="preserve">; </w:t>
      </w:r>
      <w:r>
        <w:rPr>
          <w:b w:val="0"/>
          <w:i/>
        </w:rPr>
        <w:t>Leucippus</w:t>
      </w:r>
      <w:r>
        <w:rPr>
          <w:b w:val="0"/>
          <w:i w:val="0"/>
        </w:rPr>
        <w:t>.</w:t>
      </w:r>
    </w:p>
    <w:p>
      <w:pPr>
        <w:widowControl/>
      </w:pPr>
      <w:r>
        <w:rPr>
          <w:b w:val="0"/>
          <w:i w:val="0"/>
        </w:rPr>
        <w:t xml:space="preserve">Authorities to whom Ficino attributes a fiery soul-body. The record reports this edition’s doxography and does not independently certify those ancient doctrines.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606" w:name="latin-record-0365"/>
      <w:bookmarkEnd w:id="606"/>
      <w:r>
        <w:rPr>
          <w:b/>
          <w:i w:val="0"/>
        </w:rPr>
        <w:t>denarius / septenarius / octonarius / senarius</w:t>
      </w:r>
      <w:r>
        <w:rPr>
          <w:b/>
          <w:i w:val="0"/>
        </w:rPr>
        <w:t>.</w:t>
      </w:r>
      <w:r>
        <w:rPr>
          <w:b w:val="0"/>
          <w:i w:val="0"/>
        </w:rPr>
        <w:t xml:space="preserve"> Printed forms: </w:t>
      </w:r>
      <w:r>
        <w:rPr>
          <w:b w:val="0"/>
          <w:i/>
        </w:rPr>
        <w:t>denarios</w:t>
      </w:r>
      <w:r>
        <w:rPr>
          <w:b w:val="0"/>
          <w:i w:val="0"/>
        </w:rPr>
        <w:t xml:space="preserve">; </w:t>
      </w:r>
      <w:r>
        <w:rPr>
          <w:b w:val="0"/>
          <w:i/>
        </w:rPr>
        <w:t>denarium</w:t>
      </w:r>
      <w:r>
        <w:rPr>
          <w:b w:val="0"/>
          <w:i w:val="0"/>
        </w:rPr>
        <w:t xml:space="preserve">; </w:t>
      </w:r>
      <w:r>
        <w:rPr>
          <w:b w:val="0"/>
          <w:i/>
        </w:rPr>
        <w:t>denarius</w:t>
      </w:r>
      <w:r>
        <w:rPr>
          <w:b w:val="0"/>
          <w:i w:val="0"/>
        </w:rPr>
        <w:t xml:space="preserve">; </w:t>
      </w:r>
      <w:r>
        <w:rPr>
          <w:b w:val="0"/>
          <w:i/>
        </w:rPr>
        <w:t>Denarius</w:t>
      </w:r>
      <w:r>
        <w:rPr>
          <w:b w:val="0"/>
          <w:i w:val="0"/>
        </w:rPr>
        <w:t xml:space="preserve">; </w:t>
      </w:r>
      <w:r>
        <w:rPr>
          <w:b w:val="0"/>
          <w:i/>
        </w:rPr>
        <w:t>octonarium</w:t>
      </w:r>
      <w:r>
        <w:rPr>
          <w:b w:val="0"/>
          <w:i w:val="0"/>
        </w:rPr>
        <w:t xml:space="preserve">; </w:t>
      </w:r>
      <w:r>
        <w:rPr>
          <w:b w:val="0"/>
          <w:i/>
        </w:rPr>
        <w:t>senarium</w:t>
      </w:r>
      <w:r>
        <w:rPr>
          <w:b w:val="0"/>
          <w:i w:val="0"/>
        </w:rPr>
        <w:t xml:space="preserve">; </w:t>
      </w:r>
      <w:r>
        <w:rPr>
          <w:b w:val="0"/>
          <w:i/>
        </w:rPr>
        <w:t>septenario</w:t>
      </w:r>
      <w:r>
        <w:rPr>
          <w:b w:val="0"/>
          <w:i w:val="0"/>
        </w:rPr>
        <w:t xml:space="preserve">; </w:t>
      </w:r>
      <w:r>
        <w:rPr>
          <w:b w:val="0"/>
          <w:i/>
        </w:rPr>
        <w:t>Septenarius</w:t>
      </w:r>
      <w:r>
        <w:rPr>
          <w:b w:val="0"/>
          <w:i w:val="0"/>
        </w:rPr>
        <w:t>.</w:t>
      </w:r>
    </w:p>
    <w:p>
      <w:pPr>
        <w:widowControl/>
      </w:pPr>
      <w:r>
        <w:rPr>
          <w:b w:val="0"/>
          <w:i w:val="0"/>
        </w:rPr>
        <w:t xml:space="preserve">Ten, seven, eight and six, treated as determinate numerical species. Dividing ten gives numbers but not more tens; adding or subtracting one from seven changes the species rather than intensifying seven. References: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607" w:name="latin-record-0366"/>
      <w:bookmarkEnd w:id="607"/>
      <w:r>
        <w:rPr>
          <w:b/>
          <w:i w:val="0"/>
        </w:rPr>
        <w:t>densitas / densare</w:t>
      </w:r>
      <w:r>
        <w:rPr>
          <w:b/>
          <w:i w:val="0"/>
        </w:rPr>
        <w:t>.</w:t>
      </w:r>
      <w:r>
        <w:rPr>
          <w:b w:val="0"/>
          <w:i w:val="0"/>
        </w:rPr>
        <w:t xml:space="preserve"> Printed forms: </w:t>
      </w:r>
      <w:r>
        <w:rPr>
          <w:b w:val="0"/>
          <w:i/>
        </w:rPr>
        <w:t>densatur</w:t>
      </w:r>
      <w:r>
        <w:rPr>
          <w:b w:val="0"/>
          <w:i w:val="0"/>
        </w:rPr>
        <w:t xml:space="preserve">; </w:t>
      </w:r>
      <w:r>
        <w:rPr>
          <w:b w:val="0"/>
          <w:i/>
        </w:rPr>
        <w:t>densitate</w:t>
      </w:r>
      <w:r>
        <w:rPr>
          <w:b w:val="0"/>
          <w:i w:val="0"/>
        </w:rPr>
        <w:t>.</w:t>
      </w:r>
    </w:p>
    <w:p>
      <w:pPr>
        <w:widowControl/>
      </w:pPr>
      <w:r>
        <w:rPr>
          <w:b w:val="0"/>
          <w:i w:val="0"/>
        </w:rPr>
        <w:t xml:space="preserve">Density or condensation, the thickening associated with descent through air, water and earth. The opposite movement to rarefaction displays one matter receiving successive forms. References: </w:t>
      </w:r>
      <w:hyperlink w:anchor="passage-v-4-4">
        <w:r>
          <w:rPr>
            <w:color w:val="000000"/>
          </w:rPr>
          <w:t xml:space="preserve">V.4.4</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608" w:name="latin-record-0367"/>
      <w:bookmarkEnd w:id="608"/>
      <w:r>
        <w:rPr>
          <w:b/>
          <w:i w:val="0"/>
        </w:rPr>
        <w:t>dependere / pendere</w:t>
      </w:r>
      <w:r>
        <w:rPr>
          <w:b/>
          <w:i w:val="0"/>
        </w:rPr>
        <w:t>.</w:t>
      </w:r>
      <w:r>
        <w:rPr>
          <w:b w:val="0"/>
          <w:i w:val="0"/>
        </w:rPr>
        <w:t xml:space="preserve"> Printed forms: </w:t>
      </w:r>
      <w:r>
        <w:rPr>
          <w:b w:val="0"/>
          <w:i/>
        </w:rPr>
        <w:t>dependeat</w:t>
      </w:r>
      <w:r>
        <w:rPr>
          <w:b w:val="0"/>
          <w:i w:val="0"/>
        </w:rPr>
        <w:t xml:space="preserve">; </w:t>
      </w:r>
      <w:r>
        <w:rPr>
          <w:b w:val="0"/>
          <w:i/>
        </w:rPr>
        <w:t>dependent</w:t>
      </w:r>
      <w:r>
        <w:rPr>
          <w:b w:val="0"/>
          <w:i w:val="0"/>
        </w:rPr>
        <w:t xml:space="preserve">; </w:t>
      </w:r>
      <w:r>
        <w:rPr>
          <w:b w:val="0"/>
          <w:i/>
        </w:rPr>
        <w:t>dependet</w:t>
      </w:r>
      <w:r>
        <w:rPr>
          <w:b w:val="0"/>
          <w:i w:val="0"/>
        </w:rPr>
        <w:t xml:space="preserve">; </w:t>
      </w:r>
      <w:r>
        <w:rPr>
          <w:b w:val="0"/>
          <w:i/>
        </w:rPr>
        <w:t>pendeat</w:t>
      </w:r>
      <w:r>
        <w:rPr>
          <w:b w:val="0"/>
          <w:i w:val="0"/>
        </w:rPr>
        <w:t xml:space="preserve">; </w:t>
      </w:r>
      <w:r>
        <w:rPr>
          <w:b w:val="0"/>
          <w:i/>
        </w:rPr>
        <w:t>pendet</w:t>
      </w:r>
      <w:r>
        <w:rPr>
          <w:b w:val="0"/>
          <w:i w:val="0"/>
        </w:rPr>
        <w:t>.</w:t>
      </w:r>
    </w:p>
    <w:p>
      <w:pPr>
        <w:widowControl/>
      </w:pPr>
      <w:r>
        <w:rPr>
          <w:b w:val="0"/>
          <w:i w:val="0"/>
        </w:rPr>
        <w:t xml:space="preserve">Both verbs can mean to depend; pendere also means to hang, an image used for continuing causal dependence. Soul does not depend on matter but depends on God; corporeal forms hang from a superior source like a mirror image from a face. References: </w:t>
      </w:r>
      <w:hyperlink w:anchor="passage-v-5-5">
        <w:r>
          <w:rPr>
            <w:color w:val="000000"/>
          </w:rPr>
          <w:t xml:space="preserve">V.5.5</w:t>
        </w:r>
      </w:hyperlink>
      <w:r>
        <w:rPr>
          <w:b w:val="0"/>
          <w:i w:val="0"/>
        </w:rPr>
        <w:t xml:space="preserve">, </w:t>
      </w:r>
      <w:hyperlink w:anchor="passage-v-9-2">
        <w:r>
          <w:rPr>
            <w:color w:val="000000"/>
          </w:rPr>
          <w:t xml:space="preserve">V.9.2</w:t>
        </w:r>
      </w:hyperlink>
      <w:r>
        <w:rPr>
          <w:b w:val="0"/>
          <w:i w:val="0"/>
        </w:rPr>
        <w:t xml:space="preserve">, </w:t>
      </w:r>
      <w:hyperlink w:anchor="passage-v-10-1">
        <w:r>
          <w:rPr>
            <w:color w:val="000000"/>
          </w:rPr>
          <w:t xml:space="preserve">V.10.1</w:t>
        </w:r>
      </w:hyperlink>
      <w:r>
        <w:rPr>
          <w:b w:val="0"/>
          <w:i w:val="0"/>
        </w:rPr>
        <w:t xml:space="preserve">, </w:t>
      </w:r>
      <w:hyperlink w:anchor="passage-v-10-2">
        <w:r>
          <w:rPr>
            <w:color w:val="000000"/>
          </w:rPr>
          <w:t xml:space="preserve">V.10.2</w:t>
        </w:r>
      </w:hyperlink>
      <w:r>
        <w:rPr>
          <w:b w:val="0"/>
          <w:i w:val="0"/>
        </w:rPr>
        <w:t xml:space="preserve">, </w:t>
      </w:r>
      <w:hyperlink w:anchor="passage-v-12-13">
        <w:r>
          <w:rPr>
            <w:color w:val="000000"/>
          </w:rPr>
          <w:t xml:space="preserve">V.12.13</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609" w:name="latin-record-0368"/>
      <w:bookmarkEnd w:id="609"/>
      <w:r>
        <w:rPr>
          <w:b/>
          <w:i w:val="0"/>
        </w:rPr>
        <w:t>depingere</w:t>
      </w:r>
      <w:r>
        <w:rPr>
          <w:b/>
          <w:i w:val="0"/>
        </w:rPr>
        <w:t>.</w:t>
      </w:r>
      <w:r>
        <w:rPr>
          <w:b w:val="0"/>
          <w:i w:val="0"/>
        </w:rPr>
        <w:t xml:space="preserve"> Printed forms: </w:t>
      </w:r>
      <w:r>
        <w:rPr>
          <w:b w:val="0"/>
          <w:i/>
        </w:rPr>
        <w:t>depicta</w:t>
      </w:r>
      <w:r>
        <w:rPr>
          <w:b w:val="0"/>
          <w:i w:val="0"/>
        </w:rPr>
        <w:t xml:space="preserve">; </w:t>
      </w:r>
      <w:r>
        <w:rPr>
          <w:b w:val="0"/>
          <w:i/>
        </w:rPr>
        <w:t>depingit</w:t>
      </w:r>
      <w:r>
        <w:rPr>
          <w:b w:val="0"/>
          <w:i w:val="0"/>
        </w:rPr>
        <w:t xml:space="preserve">; </w:t>
      </w:r>
      <w:r>
        <w:rPr>
          <w:b w:val="0"/>
          <w:i/>
        </w:rPr>
        <w:t>Picta</w:t>
      </w:r>
      <w:r>
        <w:rPr>
          <w:b w:val="0"/>
          <w:i w:val="0"/>
        </w:rPr>
        <w:t>.</w:t>
      </w:r>
    </w:p>
    <w:p>
      <w:pPr>
        <w:widowControl/>
      </w:pPr>
      <w:r>
        <w:rPr>
          <w:b w:val="0"/>
          <w:i w:val="0"/>
        </w:rPr>
        <w:t xml:space="preserve">Painting or depicting an inward presentation. Phantasy paints Plato under singular conditions; the painted particular is present when intellect immediately apprehends the common nature. References: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610" w:name="latin-record-0369"/>
      <w:bookmarkEnd w:id="610"/>
      <w:r>
        <w:rPr>
          <w:b/>
          <w:i w:val="0"/>
        </w:rPr>
        <w:t>depingere; effigies</w:t>
      </w:r>
      <w:r>
        <w:rPr>
          <w:b/>
          <w:i w:val="0"/>
        </w:rPr>
        <w:t>.</w:t>
      </w:r>
      <w:r>
        <w:rPr>
          <w:b w:val="0"/>
          <w:i w:val="0"/>
        </w:rPr>
        <w:t xml:space="preserve"> Printed forms: </w:t>
      </w:r>
      <w:r>
        <w:rPr>
          <w:b w:val="0"/>
          <w:i/>
        </w:rPr>
        <w:t>depingit</w:t>
      </w:r>
      <w:r>
        <w:rPr>
          <w:b w:val="0"/>
          <w:i w:val="0"/>
        </w:rPr>
        <w:t xml:space="preserve">; </w:t>
      </w:r>
      <w:r>
        <w:rPr>
          <w:b w:val="0"/>
          <w:i/>
        </w:rPr>
        <w:t>effigies et figuras</w:t>
      </w:r>
      <w:r>
        <w:rPr>
          <w:b w:val="0"/>
          <w:i w:val="0"/>
        </w:rPr>
        <w:t>.</w:t>
      </w:r>
    </w:p>
    <w:p>
      <w:pPr>
        <w:widowControl/>
      </w:pPr>
      <w:r>
        <w:rPr>
          <w:b w:val="0"/>
          <w:i w:val="0"/>
        </w:rPr>
        <w:t xml:space="preserve">To depict; likenesses and shapes. Successive images can resemble one another because the stable source continuously produces them. References: </w:t>
      </w:r>
      <w:hyperlink w:anchor="passage-vi-13-10">
        <w:r>
          <w:rPr>
            <w:color w:val="000000"/>
          </w:rPr>
          <w:t xml:space="preserve">VI.13.10</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611" w:name="latin-record-0370"/>
      <w:bookmarkEnd w:id="611"/>
      <w:r>
        <w:rPr>
          <w:b/>
          <w:i w:val="0"/>
        </w:rPr>
        <w:t>deserere</w:t>
      </w:r>
      <w:r>
        <w:rPr>
          <w:b/>
          <w:i w:val="0"/>
        </w:rPr>
        <w:t>.</w:t>
      </w:r>
      <w:r>
        <w:rPr>
          <w:b w:val="0"/>
          <w:i w:val="0"/>
        </w:rPr>
        <w:t xml:space="preserve"> Printed forms: </w:t>
      </w:r>
      <w:r>
        <w:rPr>
          <w:b w:val="0"/>
          <w:i/>
        </w:rPr>
        <w:t>deserit</w:t>
      </w:r>
      <w:r>
        <w:rPr>
          <w:b w:val="0"/>
          <w:i w:val="0"/>
        </w:rPr>
        <w:t>.</w:t>
      </w:r>
    </w:p>
    <w:p>
      <w:pPr>
        <w:widowControl/>
      </w:pPr>
      <w:r>
        <w:rPr>
          <w:b w:val="0"/>
          <w:i w:val="0"/>
        </w:rPr>
        <w:t xml:space="preserve">To abandon or leave. The soul does not leave uninjured members in order to be wholly aware at the touched place; they continue living through its presence. References: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612" w:name="latin-record-0371"/>
      <w:bookmarkEnd w:id="612"/>
      <w:r>
        <w:rPr>
          <w:b/>
          <w:i w:val="0"/>
        </w:rPr>
        <w:t>designare / discernere</w:t>
      </w:r>
      <w:r>
        <w:rPr>
          <w:b/>
          <w:i w:val="0"/>
        </w:rPr>
        <w:t>.</w:t>
      </w:r>
      <w:r>
        <w:rPr>
          <w:b w:val="0"/>
          <w:i w:val="0"/>
        </w:rPr>
        <w:t xml:space="preserve"> Printed forms: </w:t>
      </w:r>
      <w:r>
        <w:rPr>
          <w:b w:val="0"/>
          <w:i/>
        </w:rPr>
        <w:t>designaret</w:t>
      </w:r>
      <w:r>
        <w:rPr>
          <w:b w:val="0"/>
          <w:i w:val="0"/>
        </w:rPr>
        <w:t xml:space="preserve">; </w:t>
      </w:r>
      <w:r>
        <w:rPr>
          <w:b w:val="0"/>
          <w:i/>
        </w:rPr>
        <w:t>discernere</w:t>
      </w:r>
      <w:r>
        <w:rPr>
          <w:b w:val="0"/>
          <w:i w:val="0"/>
        </w:rPr>
        <w:t xml:space="preserve">; </w:t>
      </w:r>
      <w:r>
        <w:rPr>
          <w:b w:val="0"/>
          <w:i/>
        </w:rPr>
        <w:t>discernit</w:t>
      </w:r>
      <w:r>
        <w:rPr>
          <w:b w:val="0"/>
          <w:i w:val="0"/>
        </w:rPr>
        <w:t>.</w:t>
      </w:r>
    </w:p>
    <w:p>
      <w:pPr>
        <w:widowControl/>
      </w:pPr>
      <w:r>
        <w:rPr>
          <w:b w:val="0"/>
          <w:i w:val="0"/>
        </w:rPr>
        <w:t xml:space="preserve">Indicating whom an image represents, or discriminating objects and relations. The first requires recognitive phantasy beyond imaginative collection; later discrimination of whole and parts tests intellectual adequacy. References: </w:t>
      </w:r>
      <w:hyperlink w:anchor="passage-viii-1-1">
        <w:r>
          <w:rPr>
            <w:color w:val="000000"/>
          </w:rPr>
          <w:t xml:space="preserve">VIII.1.1</w:t>
        </w:r>
      </w:hyperlink>
      <w:r>
        <w:rPr>
          <w:b w:val="0"/>
          <w:i w:val="0"/>
        </w:rPr>
        <w:t xml:space="preserve">, </w:t>
      </w:r>
      <w:hyperlink w:anchor="passage-viii-4-3">
        <w:r>
          <w:rPr>
            <w:color w:val="000000"/>
          </w:rPr>
          <w:t xml:space="preserve">VIII.4.3</w:t>
        </w:r>
      </w:hyperlink>
      <w:r>
        <w:rPr>
          <w:b w:val="0"/>
          <w:i w:val="0"/>
        </w:rPr>
        <w:t xml:space="preserve">, </w:t>
      </w:r>
      <w:hyperlink w:anchor="passage-viii-13-2">
        <w:r>
          <w:rPr>
            <w:color w:val="000000"/>
          </w:rPr>
          <w:t xml:space="preserve">VIII.13.2</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613" w:name="latin-record-0372"/>
      <w:bookmarkEnd w:id="613"/>
      <w:r>
        <w:rPr>
          <w:b/>
          <w:i w:val="0"/>
        </w:rPr>
        <w:t>desinere / cessare</w:t>
      </w:r>
      <w:r>
        <w:rPr>
          <w:b/>
          <w:i w:val="0"/>
        </w:rPr>
        <w:t>.</w:t>
      </w:r>
      <w:r>
        <w:rPr>
          <w:b w:val="0"/>
          <w:i w:val="0"/>
        </w:rPr>
        <w:t xml:space="preserve"> Printed forms: </w:t>
      </w:r>
      <w:r>
        <w:rPr>
          <w:b w:val="0"/>
          <w:i/>
        </w:rPr>
        <w:t>cessat</w:t>
      </w:r>
      <w:r>
        <w:rPr>
          <w:b w:val="0"/>
          <w:i w:val="0"/>
        </w:rPr>
        <w:t xml:space="preserve">; </w:t>
      </w:r>
      <w:r>
        <w:rPr>
          <w:b w:val="0"/>
          <w:i/>
        </w:rPr>
        <w:t>cesset</w:t>
      </w:r>
      <w:r>
        <w:rPr>
          <w:b w:val="0"/>
          <w:i w:val="0"/>
        </w:rPr>
        <w:t xml:space="preserve">; </w:t>
      </w:r>
      <w:r>
        <w:rPr>
          <w:b w:val="0"/>
          <w:i/>
        </w:rPr>
        <w:t>desinat</w:t>
      </w:r>
      <w:r>
        <w:rPr>
          <w:b w:val="0"/>
          <w:i w:val="0"/>
        </w:rPr>
        <w:t xml:space="preserve">; </w:t>
      </w:r>
      <w:r>
        <w:rPr>
          <w:b w:val="0"/>
          <w:i/>
        </w:rPr>
        <w:t>desineret</w:t>
      </w:r>
      <w:r>
        <w:rPr>
          <w:b w:val="0"/>
          <w:i w:val="0"/>
        </w:rPr>
        <w:t xml:space="preserve">; </w:t>
      </w:r>
      <w:r>
        <w:rPr>
          <w:b w:val="0"/>
          <w:i/>
        </w:rPr>
        <w:t>desinet</w:t>
      </w:r>
      <w:r>
        <w:rPr>
          <w:b w:val="0"/>
          <w:i w:val="0"/>
        </w:rPr>
        <w:t xml:space="preserve">; </w:t>
      </w:r>
      <w:r>
        <w:rPr>
          <w:b w:val="0"/>
          <w:i/>
        </w:rPr>
        <w:t>desinit</w:t>
      </w:r>
      <w:r>
        <w:rPr>
          <w:b w:val="0"/>
          <w:i w:val="0"/>
        </w:rPr>
        <w:t xml:space="preserve">; </w:t>
      </w:r>
      <w:r>
        <w:rPr>
          <w:b w:val="0"/>
          <w:i/>
        </w:rPr>
        <w:t>desinunt</w:t>
      </w:r>
      <w:r>
        <w:rPr>
          <w:b w:val="0"/>
          <w:i w:val="0"/>
        </w:rPr>
        <w:t>.</w:t>
      </w:r>
    </w:p>
    <w:p>
      <w:pPr>
        <w:widowControl/>
      </w:pPr>
      <w:r>
        <w:rPr>
          <w:b w:val="0"/>
          <w:i w:val="0"/>
        </w:rPr>
        <w:t xml:space="preserve">To cease an activity or existence, with the object determining the scope. Ceasing to be hot, ceasing to be fire and ceasing to be altogether are kept distinct in the objections and replies. References: </w:t>
      </w:r>
      <w:hyperlink w:anchor="passage-v-1-1">
        <w:r>
          <w:rPr>
            <w:color w:val="000000"/>
          </w:rPr>
          <w:t xml:space="preserve">V.1.1</w:t>
        </w:r>
      </w:hyperlink>
      <w:r>
        <w:rPr>
          <w:b w:val="0"/>
          <w:i w:val="0"/>
        </w:rPr>
        <w:t xml:space="preserve">, </w:t>
      </w:r>
      <w:hyperlink w:anchor="passage-v-1-4">
        <w:r>
          <w:rPr>
            <w:color w:val="000000"/>
          </w:rPr>
          <w:t xml:space="preserve">V.1.4</w:t>
        </w:r>
      </w:hyperlink>
      <w:r>
        <w:rPr>
          <w:b w:val="0"/>
          <w:i w:val="0"/>
        </w:rPr>
        <w:t xml:space="preserve">, </w:t>
      </w:r>
      <w:hyperlink w:anchor="passage-v-8-2">
        <w:r>
          <w:rPr>
            <w:color w:val="000000"/>
          </w:rPr>
          <w:t xml:space="preserve">V.8.2</w:t>
        </w:r>
      </w:hyperlink>
      <w:r>
        <w:rPr>
          <w:b w:val="0"/>
          <w:i w:val="0"/>
        </w:rPr>
        <w:t xml:space="preserve">, </w:t>
      </w:r>
      <w:hyperlink w:anchor="passage-v-9-4">
        <w:r>
          <w:rPr>
            <w:color w:val="000000"/>
          </w:rPr>
          <w:t xml:space="preserve">V.9.4</w:t>
        </w:r>
      </w:hyperlink>
      <w:r>
        <w:rPr>
          <w:b w:val="0"/>
          <w:i w:val="0"/>
        </w:rPr>
        <w:t xml:space="preserve">, </w:t>
      </w:r>
      <w:hyperlink w:anchor="passage-v-12-12">
        <w:r>
          <w:rPr>
            <w:color w:val="000000"/>
          </w:rPr>
          <w:t xml:space="preserve">V.12.12</w:t>
        </w:r>
      </w:hyperlink>
      <w:r>
        <w:rPr>
          <w:b w:val="0"/>
          <w:i w:val="0"/>
        </w:rPr>
        <w:t xml:space="preserve">, </w:t>
      </w:r>
      <w:hyperlink w:anchor="passage-v-12-13">
        <w:r>
          <w:rPr>
            <w:color w:val="000000"/>
          </w:rPr>
          <w:t xml:space="preserve">V.12.13</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614" w:name="latin-record-0373"/>
      <w:bookmarkEnd w:id="614"/>
      <w:r>
        <w:rPr>
          <w:b/>
          <w:i w:val="0"/>
        </w:rPr>
        <w:t>determinare</w:t>
      </w:r>
      <w:r>
        <w:rPr>
          <w:b/>
          <w:i w:val="0"/>
        </w:rPr>
        <w:t>.</w:t>
      </w:r>
      <w:r>
        <w:rPr>
          <w:b w:val="0"/>
          <w:i w:val="0"/>
        </w:rPr>
        <w:t xml:space="preserve"> Printed forms: </w:t>
      </w:r>
      <w:r>
        <w:rPr>
          <w:b w:val="0"/>
          <w:i/>
        </w:rPr>
        <w:t>determinat</w:t>
      </w:r>
      <w:r>
        <w:rPr>
          <w:b w:val="0"/>
          <w:i w:val="0"/>
        </w:rPr>
        <w:t xml:space="preserve">; </w:t>
      </w:r>
      <w:r>
        <w:rPr>
          <w:b w:val="0"/>
          <w:i/>
        </w:rPr>
        <w:t>determinatur</w:t>
      </w:r>
      <w:r>
        <w:rPr>
          <w:b w:val="0"/>
          <w:i w:val="0"/>
        </w:rPr>
        <w:t xml:space="preserve">; </w:t>
      </w:r>
      <w:r>
        <w:rPr>
          <w:b w:val="0"/>
          <w:i/>
        </w:rPr>
        <w:t>determinet</w:t>
      </w:r>
      <w:r>
        <w:rPr>
          <w:b w:val="0"/>
          <w:i w:val="0"/>
        </w:rPr>
        <w:t>.</w:t>
      </w:r>
    </w:p>
    <w:p>
      <w:pPr>
        <w:widowControl/>
      </w:pPr>
      <w:r>
        <w:rPr>
          <w:b w:val="0"/>
          <w:i w:val="0"/>
        </w:rPr>
        <w:t xml:space="preserve">To determine or restrict something to a particular mode or outcome. At V.7.2 the maker determines some forms to bodily being, with its temporal and spatial conditions. At V.12.6 a higher agent determines receptive matter to being a lion without abolishing prime matter’s capacity for another outcome. Determination does not itself mean creation from nothing. References: </w:t>
      </w:r>
      <w:hyperlink w:anchor="passage-v-7-2">
        <w:r>
          <w:rPr>
            <w:color w:val="000000"/>
          </w:rPr>
          <w:t xml:space="preserve">V.7.2</w:t>
        </w:r>
      </w:hyperlink>
      <w:r>
        <w:rPr>
          <w:b w:val="0"/>
          <w:i w:val="0"/>
        </w:rPr>
        <w:t xml:space="preserve">, </w:t>
      </w:r>
      <w:hyperlink w:anchor="passage-v-12-6">
        <w:r>
          <w:rPr>
            <w:color w:val="000000"/>
          </w:rPr>
          <w:t xml:space="preserve">V.12.6</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615" w:name="latin-record-0374"/>
      <w:bookmarkEnd w:id="615"/>
      <w:r>
        <w:rPr>
          <w:b/>
          <w:i w:val="0"/>
        </w:rPr>
        <w:t>determinata operatio</w:t>
      </w:r>
      <w:r>
        <w:rPr>
          <w:b/>
          <w:i w:val="0"/>
        </w:rPr>
        <w:t>.</w:t>
      </w:r>
      <w:r>
        <w:rPr>
          <w:b w:val="0"/>
          <w:i w:val="0"/>
        </w:rPr>
        <w:t xml:space="preserve"> Printed forms: </w:t>
      </w:r>
      <w:r>
        <w:rPr>
          <w:b w:val="0"/>
          <w:i/>
        </w:rPr>
        <w:t>certa et determinata natura</w:t>
      </w:r>
      <w:r>
        <w:rPr>
          <w:b w:val="0"/>
          <w:i w:val="0"/>
        </w:rPr>
        <w:t xml:space="preserve">; </w:t>
      </w:r>
      <w:r>
        <w:rPr>
          <w:b w:val="0"/>
          <w:i/>
        </w:rPr>
        <w:t>determinata operatio</w:t>
      </w:r>
      <w:r>
        <w:rPr>
          <w:b w:val="0"/>
          <w:i w:val="0"/>
        </w:rPr>
        <w:t>.</w:t>
      </w:r>
    </w:p>
    <w:p>
      <w:pPr>
        <w:widowControl/>
      </w:pPr>
      <w:r>
        <w:rPr>
          <w:b w:val="0"/>
          <w:i w:val="0"/>
        </w:rPr>
        <w:t xml:space="preserve">Activity restricted by a definite nature. Ficino assumes bodily quality produces its corresponding effect rather than the contrary, and tests soul against that restriction.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616" w:name="latin-record-0375"/>
      <w:bookmarkEnd w:id="616"/>
      <w:r>
        <w:rPr>
          <w:b/>
          <w:i w:val="0"/>
        </w:rPr>
        <w:t>Deus</w:t>
      </w:r>
      <w:r>
        <w:rPr>
          <w:b/>
          <w:i w:val="0"/>
        </w:rPr>
        <w:t>.</w:t>
      </w:r>
      <w:r>
        <w:rPr>
          <w:b w:val="0"/>
          <w:i w:val="0"/>
        </w:rPr>
        <w:t xml:space="preserve"> Printed forms: </w:t>
      </w:r>
      <w:r>
        <w:rPr>
          <w:b w:val="0"/>
          <w:i/>
        </w:rPr>
        <w:t>Dei</w:t>
      </w:r>
      <w:r>
        <w:rPr>
          <w:b w:val="0"/>
          <w:i w:val="0"/>
        </w:rPr>
        <w:t xml:space="preserve">; </w:t>
      </w:r>
      <w:r>
        <w:rPr>
          <w:b w:val="0"/>
          <w:i/>
        </w:rPr>
        <w:t>Deo</w:t>
      </w:r>
      <w:r>
        <w:rPr>
          <w:b w:val="0"/>
          <w:i w:val="0"/>
        </w:rPr>
        <w:t xml:space="preserve">; </w:t>
      </w:r>
      <w:r>
        <w:rPr>
          <w:b w:val="0"/>
          <w:i/>
        </w:rPr>
        <w:t>Deum</w:t>
      </w:r>
      <w:r>
        <w:rPr>
          <w:b w:val="0"/>
          <w:i w:val="0"/>
        </w:rPr>
        <w:t xml:space="preserve">; </w:t>
      </w:r>
      <w:r>
        <w:rPr>
          <w:b w:val="0"/>
          <w:i/>
        </w:rPr>
        <w:t>Deus</w:t>
      </w:r>
      <w:r>
        <w:rPr>
          <w:b w:val="0"/>
          <w:i w:val="0"/>
        </w:rPr>
        <w:t>.</w:t>
      </w:r>
    </w:p>
    <w:p>
      <w:pPr>
        <w:widowControl/>
      </w:pPr>
      <w:r>
        <w:rPr>
          <w:b w:val="0"/>
          <w:i w:val="0"/>
        </w:rPr>
        <w:t xml:space="preserve">God, the uncaused source of being, final end and continual preserver in Ficino’s argument. Soul’s self-subsistence does not make it independent of God; the four-cause analysis reserves complete causal exemption to God alone. References: </w:t>
      </w:r>
      <w:hyperlink w:anchor="passage-v-5-1">
        <w:r>
          <w:rPr>
            <w:color w:val="000000"/>
          </w:rPr>
          <w:t xml:space="preserve">V.5.1</w:t>
        </w:r>
      </w:hyperlink>
      <w:r>
        <w:rPr>
          <w:b w:val="0"/>
          <w:i w:val="0"/>
        </w:rPr>
        <w:t xml:space="preserve">, </w:t>
      </w:r>
      <w:hyperlink w:anchor="passage-v-10-1">
        <w:r>
          <w:rPr>
            <w:color w:val="000000"/>
          </w:rPr>
          <w:t xml:space="preserve">V.10.1</w:t>
        </w:r>
      </w:hyperlink>
      <w:r>
        <w:rPr>
          <w:b w:val="0"/>
          <w:i w:val="0"/>
        </w:rPr>
        <w:t xml:space="preserve">, </w:t>
      </w:r>
      <w:hyperlink w:anchor="passage-v-10-3">
        <w:r>
          <w:rPr>
            <w:color w:val="000000"/>
          </w:rPr>
          <w:t xml:space="preserve">V.10.3</w:t>
        </w:r>
      </w:hyperlink>
      <w:r>
        <w:rPr>
          <w:b w:val="0"/>
          <w:i w:val="0"/>
        </w:rPr>
        <w:t xml:space="preserve">, </w:t>
      </w:r>
      <w:hyperlink w:anchor="passage-v-13-17">
        <w:r>
          <w:rPr>
            <w:color w:val="000000"/>
          </w:rPr>
          <w:t xml:space="preserve">V.13.17</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617" w:name="latin-record-0376"/>
      <w:bookmarkEnd w:id="617"/>
      <w:r>
        <w:rPr>
          <w:b/>
          <w:i w:val="0"/>
        </w:rPr>
        <w:t>Deus / divinus</w:t>
      </w:r>
      <w:r>
        <w:rPr>
          <w:b/>
          <w:i w:val="0"/>
        </w:rPr>
        <w:t>.</w:t>
      </w:r>
      <w:r>
        <w:rPr>
          <w:b w:val="0"/>
          <w:i w:val="0"/>
        </w:rPr>
        <w:t xml:space="preserve"> Printed forms: </w:t>
      </w:r>
      <w:r>
        <w:rPr>
          <w:b w:val="0"/>
          <w:i/>
        </w:rPr>
        <w:t>dei</w:t>
      </w:r>
      <w:r>
        <w:rPr>
          <w:b w:val="0"/>
          <w:i w:val="0"/>
        </w:rPr>
        <w:t xml:space="preserve">; </w:t>
      </w:r>
      <w:r>
        <w:rPr>
          <w:b w:val="0"/>
          <w:i/>
        </w:rPr>
        <w:t>Dei</w:t>
      </w:r>
      <w:r>
        <w:rPr>
          <w:b w:val="0"/>
          <w:i w:val="0"/>
        </w:rPr>
        <w:t xml:space="preserve">; </w:t>
      </w:r>
      <w:r>
        <w:rPr>
          <w:b w:val="0"/>
          <w:i/>
        </w:rPr>
        <w:t>deo</w:t>
      </w:r>
      <w:r>
        <w:rPr>
          <w:b w:val="0"/>
          <w:i w:val="0"/>
        </w:rPr>
        <w:t xml:space="preserve">; </w:t>
      </w:r>
      <w:r>
        <w:rPr>
          <w:b w:val="0"/>
          <w:i/>
        </w:rPr>
        <w:t>Deo</w:t>
      </w:r>
      <w:r>
        <w:rPr>
          <w:b w:val="0"/>
          <w:i w:val="0"/>
        </w:rPr>
        <w:t xml:space="preserve">; </w:t>
      </w:r>
      <w:r>
        <w:rPr>
          <w:b w:val="0"/>
          <w:i/>
        </w:rPr>
        <w:t>deum</w:t>
      </w:r>
      <w:r>
        <w:rPr>
          <w:b w:val="0"/>
          <w:i w:val="0"/>
        </w:rPr>
        <w:t xml:space="preserve">; </w:t>
      </w:r>
      <w:r>
        <w:rPr>
          <w:b w:val="0"/>
          <w:i/>
        </w:rPr>
        <w:t>deus</w:t>
      </w:r>
      <w:r>
        <w:rPr>
          <w:b w:val="0"/>
          <w:i w:val="0"/>
        </w:rPr>
        <w:t xml:space="preserve">; </w:t>
      </w:r>
      <w:r>
        <w:rPr>
          <w:b w:val="0"/>
          <w:i/>
        </w:rPr>
        <w:t>divina</w:t>
      </w:r>
      <w:r>
        <w:rPr>
          <w:b w:val="0"/>
          <w:i w:val="0"/>
        </w:rPr>
        <w:t xml:space="preserve">; </w:t>
      </w:r>
      <w:r>
        <w:rPr>
          <w:b w:val="0"/>
          <w:i/>
        </w:rPr>
        <w:t>divinam</w:t>
      </w:r>
      <w:r>
        <w:rPr>
          <w:b w:val="0"/>
          <w:i w:val="0"/>
        </w:rPr>
        <w:t xml:space="preserve">; </w:t>
      </w:r>
      <w:r>
        <w:rPr>
          <w:b w:val="0"/>
          <w:i/>
        </w:rPr>
        <w:t>divino</w:t>
      </w:r>
      <w:r>
        <w:rPr>
          <w:b w:val="0"/>
          <w:i w:val="0"/>
        </w:rPr>
        <w:t xml:space="preserve">; </w:t>
      </w:r>
      <w:r>
        <w:rPr>
          <w:b w:val="0"/>
          <w:i/>
        </w:rPr>
        <w:t>divinorum</w:t>
      </w:r>
      <w:r>
        <w:rPr>
          <w:b w:val="0"/>
          <w:i w:val="0"/>
        </w:rPr>
        <w:t>.</w:t>
      </w:r>
    </w:p>
    <w:p>
      <w:pPr>
        <w:widowControl/>
      </w:pPr>
      <w:r>
        <w:rPr>
          <w:b w:val="0"/>
          <w:i w:val="0"/>
        </w:rPr>
        <w:t xml:space="preserve">God and the divine, especially the infinite source and object of intellectual return. Human intellectual range and formal self-preservation remain dependent on divine implantation and continuing conservation; knowledge of God is not identity with God. References: </w:t>
      </w:r>
      <w:hyperlink w:anchor="passage-viii-1-3">
        <w:r>
          <w:rPr>
            <w:color w:val="000000"/>
          </w:rPr>
          <w:t xml:space="preserve">VIII.1.3</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4-9">
        <w:r>
          <w:rPr>
            <w:color w:val="000000"/>
          </w:rPr>
          <w:t xml:space="preserve">VIII.4.9</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618" w:name="latin-record-0377"/>
      <w:bookmarkEnd w:id="618"/>
      <w:r>
        <w:rPr>
          <w:b/>
          <w:i w:val="0"/>
        </w:rPr>
        <w:t>dextera; sinistra; ante; retro</w:t>
      </w:r>
      <w:r>
        <w:rPr>
          <w:b/>
          <w:i w:val="0"/>
        </w:rPr>
        <w:t>.</w:t>
      </w:r>
      <w:r>
        <w:rPr>
          <w:b w:val="0"/>
          <w:i w:val="0"/>
        </w:rPr>
        <w:t xml:space="preserve"> Printed forms: </w:t>
      </w:r>
      <w:r>
        <w:rPr>
          <w:b w:val="0"/>
          <w:i/>
        </w:rPr>
        <w:t>Ad dexteram</w:t>
      </w:r>
      <w:r>
        <w:rPr>
          <w:b w:val="0"/>
          <w:i w:val="0"/>
        </w:rPr>
        <w:t xml:space="preserve">; </w:t>
      </w:r>
      <w:r>
        <w:rPr>
          <w:b w:val="0"/>
          <w:i/>
        </w:rPr>
        <w:t>ante et retro</w:t>
      </w:r>
      <w:r>
        <w:rPr>
          <w:b w:val="0"/>
          <w:i w:val="0"/>
        </w:rPr>
        <w:t xml:space="preserve">; </w:t>
      </w:r>
      <w:r>
        <w:rPr>
          <w:b w:val="0"/>
          <w:i/>
        </w:rPr>
        <w:t>sinistram</w:t>
      </w:r>
      <w:r>
        <w:rPr>
          <w:b w:val="0"/>
          <w:i w:val="0"/>
        </w:rPr>
        <w:t>.</w:t>
      </w:r>
    </w:p>
    <w:p>
      <w:pPr>
        <w:widowControl/>
      </w:pPr>
      <w:r>
        <w:rPr>
          <w:b w:val="0"/>
          <w:i w:val="0"/>
        </w:rPr>
        <w:t xml:space="preserve">Right/left and forward/backward as intellectual directions. The former mark opposed differences within a kind, the latter natural causes and effects.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619" w:name="latin-record-0378"/>
      <w:bookmarkEnd w:id="619"/>
      <w:r>
        <w:rPr>
          <w:b/>
          <w:i w:val="0"/>
        </w:rPr>
        <w:t>dextra / sinistra</w:t>
      </w:r>
      <w:r>
        <w:rPr>
          <w:b/>
          <w:i w:val="0"/>
        </w:rPr>
        <w:t>.</w:t>
      </w:r>
      <w:r>
        <w:rPr>
          <w:b w:val="0"/>
          <w:i w:val="0"/>
        </w:rPr>
        <w:t xml:space="preserve"> Printed forms: </w:t>
      </w:r>
      <w:r>
        <w:rPr>
          <w:b w:val="0"/>
          <w:i/>
        </w:rPr>
        <w:t>dextera</w:t>
      </w:r>
      <w:r>
        <w:rPr>
          <w:b w:val="0"/>
          <w:i w:val="0"/>
        </w:rPr>
        <w:t xml:space="preserve">; </w:t>
      </w:r>
      <w:r>
        <w:rPr>
          <w:b w:val="0"/>
          <w:i/>
        </w:rPr>
        <w:t>dextra</w:t>
      </w:r>
      <w:r>
        <w:rPr>
          <w:b w:val="0"/>
          <w:i w:val="0"/>
        </w:rPr>
        <w:t xml:space="preserve">; </w:t>
      </w:r>
      <w:r>
        <w:rPr>
          <w:b w:val="0"/>
          <w:i/>
        </w:rPr>
        <w:t>dextrae</w:t>
      </w:r>
      <w:r>
        <w:rPr>
          <w:b w:val="0"/>
          <w:i w:val="0"/>
        </w:rPr>
        <w:t xml:space="preserve">; </w:t>
      </w:r>
      <w:r>
        <w:rPr>
          <w:b w:val="0"/>
          <w:i/>
        </w:rPr>
        <w:t>sinistra</w:t>
      </w:r>
      <w:r>
        <w:rPr>
          <w:b w:val="0"/>
          <w:i w:val="0"/>
        </w:rPr>
        <w:t xml:space="preserve">; </w:t>
      </w:r>
      <w:r>
        <w:rPr>
          <w:b w:val="0"/>
          <w:i/>
        </w:rPr>
        <w:t>sinistram</w:t>
      </w:r>
      <w:r>
        <w:rPr>
          <w:b w:val="0"/>
          <w:i w:val="0"/>
        </w:rPr>
        <w:t>.</w:t>
      </w:r>
    </w:p>
    <w:p>
      <w:pPr>
        <w:widowControl/>
      </w:pPr>
      <w:r>
        <w:rPr>
          <w:b w:val="0"/>
          <w:i w:val="0"/>
        </w:rPr>
        <w:t xml:space="preserve">Right and left sides in the opponent’s spatial model of intellectual contents. No intrinsic reason places genus on one side and difference on the other; the unified definition cannot be known through isolated regions. References: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620" w:name="latin-record-0379"/>
      <w:bookmarkEnd w:id="620"/>
      <w:r>
        <w:rPr>
          <w:b/>
          <w:i w:val="0"/>
        </w:rPr>
        <w:t>dicere / loqui / vocare</w:t>
      </w:r>
      <w:r>
        <w:rPr>
          <w:b/>
          <w:i w:val="0"/>
        </w:rPr>
        <w:t>.</w:t>
      </w:r>
      <w:r>
        <w:rPr>
          <w:b w:val="0"/>
          <w:i w:val="0"/>
        </w:rPr>
        <w:t xml:space="preserve"> Printed forms: </w:t>
      </w:r>
      <w:r>
        <w:rPr>
          <w:b w:val="0"/>
          <w:i/>
        </w:rPr>
        <w:t>dicam</w:t>
      </w:r>
      <w:r>
        <w:rPr>
          <w:b w:val="0"/>
          <w:i w:val="0"/>
        </w:rPr>
        <w:t xml:space="preserve">; </w:t>
      </w:r>
      <w:r>
        <w:rPr>
          <w:b w:val="0"/>
          <w:i/>
        </w:rPr>
        <w:t>dicitur</w:t>
      </w:r>
      <w:r>
        <w:rPr>
          <w:b w:val="0"/>
          <w:i w:val="0"/>
        </w:rPr>
        <w:t xml:space="preserve">; </w:t>
      </w:r>
      <w:r>
        <w:rPr>
          <w:b w:val="0"/>
          <w:i/>
        </w:rPr>
        <w:t>dictu</w:t>
      </w:r>
      <w:r>
        <w:rPr>
          <w:b w:val="0"/>
          <w:i w:val="0"/>
        </w:rPr>
        <w:t xml:space="preserve">; </w:t>
      </w:r>
      <w:r>
        <w:rPr>
          <w:b w:val="0"/>
          <w:i/>
        </w:rPr>
        <w:t>dixerit</w:t>
      </w:r>
      <w:r>
        <w:rPr>
          <w:b w:val="0"/>
          <w:i w:val="0"/>
        </w:rPr>
        <w:t xml:space="preserve">; </w:t>
      </w:r>
      <w:r>
        <w:rPr>
          <w:b w:val="0"/>
          <w:i/>
        </w:rPr>
        <w:t>Dixerit</w:t>
      </w:r>
      <w:r>
        <w:rPr>
          <w:b w:val="0"/>
          <w:i w:val="0"/>
        </w:rPr>
        <w:t xml:space="preserve">; </w:t>
      </w:r>
      <w:r>
        <w:rPr>
          <w:b w:val="0"/>
          <w:i/>
        </w:rPr>
        <w:t>diximus</w:t>
      </w:r>
      <w:r>
        <w:rPr>
          <w:b w:val="0"/>
          <w:i w:val="0"/>
        </w:rPr>
        <w:t xml:space="preserve">; </w:t>
      </w:r>
      <w:r>
        <w:rPr>
          <w:b w:val="0"/>
          <w:i/>
        </w:rPr>
        <w:t>loquar</w:t>
      </w:r>
      <w:r>
        <w:rPr>
          <w:b w:val="0"/>
          <w:i w:val="0"/>
        </w:rPr>
        <w:t xml:space="preserve">; </w:t>
      </w:r>
      <w:r>
        <w:rPr>
          <w:b w:val="0"/>
          <w:i/>
        </w:rPr>
        <w:t>vocant</w:t>
      </w:r>
      <w:r>
        <w:rPr>
          <w:b w:val="0"/>
          <w:i w:val="0"/>
        </w:rPr>
        <w:t xml:space="preserve">; </w:t>
      </w:r>
      <w:r>
        <w:rPr>
          <w:b w:val="0"/>
          <w:i/>
        </w:rPr>
        <w:t>vocantur</w:t>
      </w:r>
      <w:r>
        <w:rPr>
          <w:b w:val="0"/>
          <w:i w:val="0"/>
        </w:rPr>
        <w:t xml:space="preserve">; </w:t>
      </w:r>
      <w:r>
        <w:rPr>
          <w:b w:val="0"/>
          <w:i/>
        </w:rPr>
        <w:t>vocatur</w:t>
      </w:r>
      <w:r>
        <w:rPr>
          <w:b w:val="0"/>
          <w:i w:val="0"/>
        </w:rPr>
        <w:t xml:space="preserve">; </w:t>
      </w:r>
      <w:r>
        <w:rPr>
          <w:b w:val="0"/>
          <w:i/>
        </w:rPr>
        <w:t>Vocatur</w:t>
      </w:r>
      <w:r>
        <w:rPr>
          <w:b w:val="0"/>
          <w:i w:val="0"/>
        </w:rPr>
        <w:t>.</w:t>
      </w:r>
    </w:p>
    <w:p>
      <w:pPr>
        <w:widowControl/>
      </w:pPr>
      <w:r>
        <w:rPr>
          <w:b w:val="0"/>
          <w:i w:val="0"/>
        </w:rPr>
        <w:t xml:space="preserve">Saying, speaking and naming, whose speaker and qualification determine the assertion’s force. The text can report an opponent, refine a technical name, invoke an authority or qualify a metaphor. These speech acts should not all be treated as direct endorsements. References: </w:t>
      </w:r>
      <w:hyperlink w:anchor="passage-viii-1-1">
        <w:r>
          <w:rPr>
            <w:color w:val="000000"/>
          </w:rPr>
          <w:t xml:space="preserve">VIII.1.1</w:t>
        </w:r>
      </w:hyperlink>
      <w:r>
        <w:rPr>
          <w:b w:val="0"/>
          <w:i w:val="0"/>
        </w:rPr>
        <w:t xml:space="preserve">,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8">
        <w:r>
          <w:rPr>
            <w:color w:val="000000"/>
          </w:rPr>
          <w:t xml:space="preserve">VIII.4.8</w:t>
        </w:r>
      </w:hyperlink>
      <w:r>
        <w:rPr>
          <w:b w:val="0"/>
          <w:i w:val="0"/>
        </w:rPr>
        <w:t xml:space="preserve">, </w:t>
      </w:r>
      <w:hyperlink w:anchor="passage-viii-4-10">
        <w:r>
          <w:rPr>
            <w:color w:val="000000"/>
          </w:rPr>
          <w:t xml:space="preserve">VIII.4.10</w:t>
        </w:r>
      </w:hyperlink>
      <w:r>
        <w:rPr>
          <w:b w:val="0"/>
          <w:i w:val="0"/>
        </w:rPr>
        <w:t xml:space="preserve">, </w:t>
      </w:r>
      <w:hyperlink w:anchor="passage-viii-4-13">
        <w:r>
          <w:rPr>
            <w:color w:val="000000"/>
          </w:rPr>
          <w:t xml:space="preserve">VIII.4.13</w:t>
        </w:r>
      </w:hyperlink>
      <w:r>
        <w:rPr>
          <w:b w:val="0"/>
          <w:i w:val="0"/>
        </w:rPr>
        <w:t xml:space="preserve">, </w:t>
      </w:r>
      <w:hyperlink w:anchor="passage-viii-5-1">
        <w:r>
          <w:rPr>
            <w:color w:val="000000"/>
          </w:rPr>
          <w:t xml:space="preserve">VIII.5.1</w:t>
        </w:r>
      </w:hyperlink>
      <w:r>
        <w:rPr>
          <w:b w:val="0"/>
          <w:i w:val="0"/>
        </w:rPr>
        <w:t xml:space="preserve">, </w:t>
      </w:r>
      <w:hyperlink w:anchor="passage-viii-5-2">
        <w:r>
          <w:rPr>
            <w:color w:val="000000"/>
          </w:rPr>
          <w:t xml:space="preserve">VIII.5.2</w:t>
        </w:r>
      </w:hyperlink>
      <w:r>
        <w:rPr>
          <w:b w:val="0"/>
          <w:i w:val="0"/>
        </w:rPr>
        <w:t xml:space="preserve">, </w:t>
      </w:r>
      <w:hyperlink w:anchor="passage-viii-6-1">
        <w:r>
          <w:rPr>
            <w:color w:val="000000"/>
          </w:rPr>
          <w:t xml:space="preserve">VIII.6.1</w:t>
        </w:r>
      </w:hyperlink>
      <w:r>
        <w:rPr>
          <w:b w:val="0"/>
          <w:i w:val="0"/>
        </w:rPr>
        <w:t xml:space="preserve">, </w:t>
      </w:r>
      <w:hyperlink w:anchor="passage-viii-8-1">
        <w:r>
          <w:rPr>
            <w:color w:val="000000"/>
          </w:rPr>
          <w:t xml:space="preserve">VIII.8.1</w:t>
        </w:r>
      </w:hyperlink>
      <w:r>
        <w:rPr>
          <w:b w:val="0"/>
          <w:i w:val="0"/>
        </w:rPr>
        <w:t xml:space="preserve">, </w:t>
      </w:r>
      <w:hyperlink w:anchor="passage-viii-10-2">
        <w:r>
          <w:rPr>
            <w:color w:val="000000"/>
          </w:rPr>
          <w:t xml:space="preserve">VIII.10.2</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6-1">
        <w:r>
          <w:rPr>
            <w:color w:val="000000"/>
          </w:rPr>
          <w:t xml:space="preserve">VIII.16.1</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621" w:name="latin-record-0380"/>
      <w:bookmarkEnd w:id="621"/>
      <w:r>
        <w:rPr>
          <w:b/>
          <w:i w:val="0"/>
        </w:rPr>
        <w:t>dicere; nominare; appellare</w:t>
      </w:r>
      <w:r>
        <w:rPr>
          <w:b/>
          <w:i w:val="0"/>
        </w:rPr>
        <w:t>.</w:t>
      </w:r>
      <w:r>
        <w:rPr>
          <w:b w:val="0"/>
          <w:i w:val="0"/>
        </w:rPr>
        <w:t xml:space="preserve"> Printed forms: </w:t>
      </w:r>
      <w:r>
        <w:rPr>
          <w:b w:val="0"/>
          <w:i/>
        </w:rPr>
        <w:t>appellabat</w:t>
      </w:r>
      <w:r>
        <w:rPr>
          <w:b w:val="0"/>
          <w:i w:val="0"/>
        </w:rPr>
        <w:t xml:space="preserve">; </w:t>
      </w:r>
      <w:r>
        <w:rPr>
          <w:b w:val="0"/>
          <w:i/>
        </w:rPr>
        <w:t>appellabimus</w:t>
      </w:r>
      <w:r>
        <w:rPr>
          <w:b w:val="0"/>
          <w:i w:val="0"/>
        </w:rPr>
        <w:t xml:space="preserve">; </w:t>
      </w:r>
      <w:r>
        <w:rPr>
          <w:b w:val="0"/>
          <w:i/>
        </w:rPr>
        <w:t>appellatur</w:t>
      </w:r>
      <w:r>
        <w:rPr>
          <w:b w:val="0"/>
          <w:i w:val="0"/>
        </w:rPr>
        <w:t xml:space="preserve">; </w:t>
      </w:r>
      <w:r>
        <w:rPr>
          <w:b w:val="0"/>
          <w:i/>
        </w:rPr>
        <w:t>dicam</w:t>
      </w:r>
      <w:r>
        <w:rPr>
          <w:b w:val="0"/>
          <w:i w:val="0"/>
        </w:rPr>
        <w:t xml:space="preserve">; </w:t>
      </w:r>
      <w:r>
        <w:rPr>
          <w:b w:val="0"/>
          <w:i/>
        </w:rPr>
        <w:t>dicat</w:t>
      </w:r>
      <w:r>
        <w:rPr>
          <w:b w:val="0"/>
          <w:i w:val="0"/>
        </w:rPr>
        <w:t xml:space="preserve">; </w:t>
      </w:r>
      <w:r>
        <w:rPr>
          <w:b w:val="0"/>
          <w:i/>
        </w:rPr>
        <w:t>dicatur</w:t>
      </w:r>
      <w:r>
        <w:rPr>
          <w:b w:val="0"/>
          <w:i w:val="0"/>
        </w:rPr>
        <w:t xml:space="preserve">; </w:t>
      </w:r>
      <w:r>
        <w:rPr>
          <w:b w:val="0"/>
          <w:i/>
        </w:rPr>
        <w:t>dicendum</w:t>
      </w:r>
      <w:r>
        <w:rPr>
          <w:b w:val="0"/>
          <w:i w:val="0"/>
        </w:rPr>
        <w:t xml:space="preserve">; </w:t>
      </w:r>
      <w:r>
        <w:rPr>
          <w:b w:val="0"/>
          <w:i/>
        </w:rPr>
        <w:t>dicere</w:t>
      </w:r>
      <w:r>
        <w:rPr>
          <w:b w:val="0"/>
          <w:i w:val="0"/>
        </w:rPr>
        <w:t xml:space="preserve">; </w:t>
      </w:r>
      <w:r>
        <w:rPr>
          <w:b w:val="0"/>
          <w:i/>
        </w:rPr>
        <w:t>dices</w:t>
      </w:r>
      <w:r>
        <w:rPr>
          <w:b w:val="0"/>
          <w:i w:val="0"/>
        </w:rPr>
        <w:t xml:space="preserve">; </w:t>
      </w:r>
      <w:r>
        <w:rPr>
          <w:b w:val="0"/>
          <w:i/>
        </w:rPr>
        <w:t>dici</w:t>
      </w:r>
      <w:r>
        <w:rPr>
          <w:b w:val="0"/>
          <w:i w:val="0"/>
        </w:rPr>
        <w:t xml:space="preserve">; </w:t>
      </w:r>
      <w:r>
        <w:rPr>
          <w:b w:val="0"/>
          <w:i/>
        </w:rPr>
        <w:t>dicitur</w:t>
      </w:r>
      <w:r>
        <w:rPr>
          <w:b w:val="0"/>
          <w:i w:val="0"/>
        </w:rPr>
        <w:t xml:space="preserve">; </w:t>
      </w:r>
      <w:r>
        <w:rPr>
          <w:b w:val="0"/>
          <w:i/>
        </w:rPr>
        <w:t>dixeris</w:t>
      </w:r>
      <w:r>
        <w:rPr>
          <w:b w:val="0"/>
          <w:i w:val="0"/>
        </w:rPr>
        <w:t xml:space="preserve">; </w:t>
      </w:r>
      <w:r>
        <w:rPr>
          <w:b w:val="0"/>
          <w:i/>
        </w:rPr>
        <w:t>dixerit</w:t>
      </w:r>
      <w:r>
        <w:rPr>
          <w:b w:val="0"/>
          <w:i w:val="0"/>
        </w:rPr>
        <w:t xml:space="preserve">; </w:t>
      </w:r>
      <w:r>
        <w:rPr>
          <w:b w:val="0"/>
          <w:i/>
        </w:rPr>
        <w:t>Dixerit</w:t>
      </w:r>
      <w:r>
        <w:rPr>
          <w:b w:val="0"/>
          <w:i w:val="0"/>
        </w:rPr>
        <w:t xml:space="preserve">; </w:t>
      </w:r>
      <w:r>
        <w:rPr>
          <w:b w:val="0"/>
          <w:i/>
        </w:rPr>
        <w:t>nominamus</w:t>
      </w:r>
      <w:r>
        <w:rPr>
          <w:b w:val="0"/>
          <w:i w:val="0"/>
        </w:rPr>
        <w:t xml:space="preserve">; </w:t>
      </w:r>
      <w:r>
        <w:rPr>
          <w:b w:val="0"/>
          <w:i/>
        </w:rPr>
        <w:t>nominant</w:t>
      </w:r>
      <w:r>
        <w:rPr>
          <w:b w:val="0"/>
          <w:i w:val="0"/>
        </w:rPr>
        <w:t xml:space="preserve">; </w:t>
      </w:r>
      <w:r>
        <w:rPr>
          <w:b w:val="0"/>
          <w:i/>
        </w:rPr>
        <w:t>nominatur</w:t>
      </w:r>
      <w:r>
        <w:rPr>
          <w:b w:val="0"/>
          <w:i w:val="0"/>
        </w:rPr>
        <w:t>.</w:t>
      </w:r>
    </w:p>
    <w:p>
      <w:pPr>
        <w:widowControl/>
      </w:pPr>
      <w:r>
        <w:rPr>
          <w:b w:val="0"/>
          <w:i w:val="0"/>
        </w:rPr>
        <w:t xml:space="preserve">To say, call or assign a name, in report or definition. Naming the life-giving form soul and reporting what an opponent calls soul are different acts; a change of words alone does not solve the causal problem. References: </w:t>
      </w:r>
      <w:hyperlink w:anchor="passage-vi-1-1">
        <w:r>
          <w:rPr>
            <w:color w:val="000000"/>
          </w:rPr>
          <w:t xml:space="preserve">VI.1.1</w:t>
        </w:r>
      </w:hyperlink>
      <w:r>
        <w:rPr>
          <w:b w:val="0"/>
          <w:i w:val="0"/>
        </w:rPr>
        <w:t xml:space="preserve">, </w:t>
      </w:r>
      <w:hyperlink w:anchor="passage-vi-2-1">
        <w:r>
          <w:rPr>
            <w:color w:val="000000"/>
          </w:rPr>
          <w:t xml:space="preserve">VI.2.1</w:t>
        </w:r>
      </w:hyperlink>
      <w:r>
        <w:rPr>
          <w:b w:val="0"/>
          <w:i w:val="0"/>
        </w:rPr>
        <w:t xml:space="preserve">, </w:t>
      </w:r>
      <w:hyperlink w:anchor="passage-vi-2-2">
        <w:r>
          <w:rPr>
            <w:color w:val="000000"/>
          </w:rPr>
          <w:t xml:space="preserve">VI.2.2</w:t>
        </w:r>
      </w:hyperlink>
      <w:r>
        <w:rPr>
          <w:b w:val="0"/>
          <w:i w:val="0"/>
        </w:rPr>
        <w:t xml:space="preserve">, </w:t>
      </w:r>
      <w:hyperlink w:anchor="passage-vi-2-13">
        <w:r>
          <w:rPr>
            <w:color w:val="000000"/>
          </w:rPr>
          <w:t xml:space="preserve">VI.2.13</w:t>
        </w:r>
      </w:hyperlink>
      <w:r>
        <w:rPr>
          <w:b w:val="0"/>
          <w:i w:val="0"/>
        </w:rPr>
        <w:t xml:space="preserve">, </w:t>
      </w:r>
      <w:hyperlink w:anchor="passage-vi-2-20">
        <w:r>
          <w:rPr>
            <w:color w:val="000000"/>
          </w:rPr>
          <w:t xml:space="preserve">VI.2.20</w:t>
        </w:r>
      </w:hyperlink>
      <w:r>
        <w:rPr>
          <w:b w:val="0"/>
          <w:i w:val="0"/>
        </w:rPr>
        <w:t xml:space="preserve">, </w:t>
      </w:r>
      <w:hyperlink w:anchor="passage-vi-4-5">
        <w:r>
          <w:rPr>
            <w:color w:val="000000"/>
          </w:rPr>
          <w:t xml:space="preserve">VI.4.5</w:t>
        </w:r>
      </w:hyperlink>
      <w:r>
        <w:rPr>
          <w:b w:val="0"/>
          <w:i w:val="0"/>
        </w:rPr>
        <w:t xml:space="preserve">, </w:t>
      </w:r>
      <w:hyperlink w:anchor="passage-vi-5-1">
        <w:r>
          <w:rPr>
            <w:color w:val="000000"/>
          </w:rPr>
          <w:t xml:space="preserve">VI.5.1</w:t>
        </w:r>
      </w:hyperlink>
      <w:r>
        <w:rPr>
          <w:b w:val="0"/>
          <w:i w:val="0"/>
        </w:rPr>
        <w:t xml:space="preserve">, </w:t>
      </w:r>
      <w:hyperlink w:anchor="passage-vi-5-3">
        <w:r>
          <w:rPr>
            <w:color w:val="000000"/>
          </w:rPr>
          <w:t xml:space="preserve">VI.5.3</w:t>
        </w:r>
      </w:hyperlink>
      <w:r>
        <w:rPr>
          <w:b w:val="0"/>
          <w:i w:val="0"/>
        </w:rPr>
        <w:t xml:space="preserve">, </w:t>
      </w:r>
      <w:hyperlink w:anchor="passage-vi-5-4">
        <w:r>
          <w:rPr>
            <w:color w:val="000000"/>
          </w:rPr>
          <w:t xml:space="preserve">VI.5.4</w:t>
        </w:r>
      </w:hyperlink>
      <w:r>
        <w:rPr>
          <w:b w:val="0"/>
          <w:i w:val="0"/>
        </w:rPr>
        <w:t xml:space="preserve">, </w:t>
      </w:r>
      <w:hyperlink w:anchor="passage-vi-9-4">
        <w:r>
          <w:rPr>
            <w:color w:val="000000"/>
          </w:rPr>
          <w:t xml:space="preserve">VI.9.4</w:t>
        </w:r>
      </w:hyperlink>
      <w:r>
        <w:rPr>
          <w:b w:val="0"/>
          <w:i w:val="0"/>
        </w:rPr>
        <w:t xml:space="preserve">, </w:t>
      </w:r>
      <w:hyperlink w:anchor="passage-vi-11-1">
        <w:r>
          <w:rPr>
            <w:color w:val="000000"/>
          </w:rPr>
          <w:t xml:space="preserve">VI.11.1</w:t>
        </w:r>
      </w:hyperlink>
      <w:r>
        <w:rPr>
          <w:b w:val="0"/>
          <w:i w:val="0"/>
        </w:rPr>
        <w:t xml:space="preserve">, </w:t>
      </w:r>
      <w:hyperlink w:anchor="passage-vi-12-12">
        <w:r>
          <w:rPr>
            <w:color w:val="000000"/>
          </w:rPr>
          <w:t xml:space="preserve">VI.12.12</w:t>
        </w:r>
      </w:hyperlink>
      <w:r>
        <w:rPr>
          <w:b w:val="0"/>
          <w:i w:val="0"/>
        </w:rPr>
        <w:t xml:space="preserve">, </w:t>
      </w:r>
      <w:hyperlink w:anchor="passage-vi-12-13">
        <w:r>
          <w:rPr>
            <w:color w:val="000000"/>
          </w:rPr>
          <w:t xml:space="preserve">VI.12.13</w:t>
        </w:r>
      </w:hyperlink>
      <w:r>
        <w:rPr>
          <w:b w:val="0"/>
          <w:i w:val="0"/>
        </w:rPr>
        <w:t xml:space="preserve">, </w:t>
      </w:r>
      <w:hyperlink w:anchor="passage-vi-12-16">
        <w:r>
          <w:rPr>
            <w:color w:val="000000"/>
          </w:rPr>
          <w:t xml:space="preserve">VI.12.16</w:t>
        </w:r>
      </w:hyperlink>
      <w:r>
        <w:rPr>
          <w:b w:val="0"/>
          <w:i w:val="0"/>
        </w:rPr>
        <w:t xml:space="preserve">, </w:t>
      </w:r>
      <w:hyperlink w:anchor="passage-vi-13-11">
        <w:r>
          <w:rPr>
            <w:color w:val="000000"/>
          </w:rPr>
          <w:t xml:space="preserve">VI.13.11</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622" w:name="latin-record-0381"/>
      <w:bookmarkEnd w:id="622"/>
      <w:r>
        <w:rPr>
          <w:b/>
          <w:i w:val="0"/>
        </w:rPr>
        <w:t>dictio / supervivere</w:t>
      </w:r>
      <w:r>
        <w:rPr>
          <w:b/>
          <w:i w:val="0"/>
        </w:rPr>
        <w:t>.</w:t>
      </w:r>
      <w:r>
        <w:rPr>
          <w:b w:val="0"/>
          <w:i w:val="0"/>
        </w:rPr>
        <w:t xml:space="preserve"> Printed forms: </w:t>
      </w:r>
      <w:r>
        <w:rPr>
          <w:b w:val="0"/>
          <w:i/>
        </w:rPr>
        <w:t>dictiones</w:t>
      </w:r>
      <w:r>
        <w:rPr>
          <w:b w:val="0"/>
          <w:i w:val="0"/>
        </w:rPr>
        <w:t xml:space="preserve">; </w:t>
      </w:r>
      <w:r>
        <w:rPr>
          <w:b w:val="0"/>
          <w:i/>
        </w:rPr>
        <w:t>supervivunt</w:t>
      </w:r>
      <w:r>
        <w:rPr>
          <w:b w:val="0"/>
          <w:i w:val="0"/>
        </w:rPr>
        <w:t>.</w:t>
      </w:r>
    </w:p>
    <w:p>
      <w:pPr>
        <w:widowControl/>
      </w:pPr>
      <w:r>
        <w:rPr>
          <w:b w:val="0"/>
          <w:i w:val="0"/>
        </w:rPr>
        <w:t xml:space="preserve">Meaningful expressions and their continued existence through meaning. The components survive as expressions through distinct meanings, analogously to fragments sustained by new souls. References: </w:t>
      </w:r>
      <w:hyperlink w:anchor="passage-vii-5-4">
        <w:r>
          <w:rPr>
            <w:color w:val="000000"/>
          </w:rPr>
          <w:t xml:space="preserve">VII.5.4</w:t>
        </w:r>
      </w:hyperlink>
      <w:r>
        <w:rPr>
          <w:b w:val="0"/>
          <w:i w:val="0"/>
        </w:rPr>
        <w:t xml:space="preserve">. See </w:t>
      </w:r>
      <w:hyperlink w:anchor="vii-lucifer-meaning">
        <w:r>
          <w:rPr>
            <w:color w:val="000000"/>
          </w:rPr>
          <w:t xml:space="preserve">Lucifer and indivisible meaning</w:t>
        </w:r>
      </w:hyperlink>
      <w:r>
        <w:rPr>
          <w:b w:val="0"/>
          <w:i w:val="0"/>
        </w:rPr>
        <w:t>.</w:t>
      </w:r>
    </w:p>
    <w:p>
      <w:pPr>
        <w:keepNext/>
        <w:widowControl/>
      </w:pPr>
      <w:bookmarkStart w:id="623" w:name="latin-record-0382"/>
      <w:bookmarkEnd w:id="623"/>
      <w:r>
        <w:rPr>
          <w:b/>
          <w:i w:val="0"/>
        </w:rPr>
        <w:t>differentia</w:t>
      </w:r>
      <w:r>
        <w:rPr>
          <w:b/>
          <w:i w:val="0"/>
        </w:rPr>
        <w:t>.</w:t>
      </w:r>
      <w:r>
        <w:rPr>
          <w:b w:val="0"/>
          <w:i w:val="0"/>
        </w:rPr>
        <w:t xml:space="preserve"> Printed forms: </w:t>
      </w:r>
      <w:r>
        <w:rPr>
          <w:b w:val="0"/>
          <w:i/>
        </w:rPr>
        <w:t>differentia</w:t>
      </w:r>
      <w:r>
        <w:rPr>
          <w:b w:val="0"/>
          <w:i w:val="0"/>
        </w:rPr>
        <w:t xml:space="preserve">; </w:t>
      </w:r>
      <w:r>
        <w:rPr>
          <w:b w:val="0"/>
          <w:i/>
        </w:rPr>
        <w:t>differentiae</w:t>
      </w:r>
      <w:r>
        <w:rPr>
          <w:b w:val="0"/>
          <w:i w:val="0"/>
        </w:rPr>
        <w:t xml:space="preserve">; </w:t>
      </w:r>
      <w:r>
        <w:rPr>
          <w:b w:val="0"/>
          <w:i/>
        </w:rPr>
        <w:t>differentiam</w:t>
      </w:r>
      <w:r>
        <w:rPr>
          <w:b w:val="0"/>
          <w:i w:val="0"/>
        </w:rPr>
        <w:t xml:space="preserve">; </w:t>
      </w:r>
      <w:r>
        <w:rPr>
          <w:b w:val="0"/>
          <w:i/>
        </w:rPr>
        <w:t>differentias</w:t>
      </w:r>
      <w:r>
        <w:rPr>
          <w:b w:val="0"/>
          <w:i w:val="0"/>
        </w:rPr>
        <w:t>.</w:t>
      </w:r>
    </w:p>
    <w:p>
      <w:pPr>
        <w:widowControl/>
      </w:pPr>
      <w:r>
        <w:rPr>
          <w:b w:val="0"/>
          <w:i w:val="0"/>
        </w:rPr>
        <w:t xml:space="preserve">The specifying distinction that marks one species within a genus. Rational differentiates human from nonrational animals, but does not become a bodily left-hand piece of a definition. References: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w:t>
      </w:r>
      <w:hyperlink w:anchor="passage-viii-4-10">
        <w:r>
          <w:rPr>
            <w:color w:val="000000"/>
          </w:rPr>
          <w:t xml:space="preserve">VIII.4.10</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624" w:name="latin-record-0383"/>
      <w:bookmarkEnd w:id="624"/>
      <w:r>
        <w:rPr>
          <w:b/>
          <w:i w:val="0"/>
        </w:rPr>
        <w:t>diffundere / spargere / porrigere</w:t>
      </w:r>
      <w:r>
        <w:rPr>
          <w:b/>
          <w:i w:val="0"/>
        </w:rPr>
        <w:t>.</w:t>
      </w:r>
      <w:r>
        <w:rPr>
          <w:b w:val="0"/>
          <w:i w:val="0"/>
        </w:rPr>
        <w:t xml:space="preserve"> Printed forms: </w:t>
      </w:r>
      <w:r>
        <w:rPr>
          <w:b w:val="0"/>
          <w:i/>
        </w:rPr>
        <w:t>diffusa</w:t>
      </w:r>
      <w:r>
        <w:rPr>
          <w:b w:val="0"/>
          <w:i w:val="0"/>
        </w:rPr>
        <w:t xml:space="preserve">; </w:t>
      </w:r>
      <w:r>
        <w:rPr>
          <w:b w:val="0"/>
          <w:i/>
        </w:rPr>
        <w:t>fusa</w:t>
      </w:r>
      <w:r>
        <w:rPr>
          <w:b w:val="0"/>
          <w:i w:val="0"/>
        </w:rPr>
        <w:t xml:space="preserve">; </w:t>
      </w:r>
      <w:r>
        <w:rPr>
          <w:b w:val="0"/>
          <w:i/>
        </w:rPr>
        <w:t>porrectam</w:t>
      </w:r>
      <w:r>
        <w:rPr>
          <w:b w:val="0"/>
          <w:i w:val="0"/>
        </w:rPr>
        <w:t xml:space="preserve">; </w:t>
      </w:r>
      <w:r>
        <w:rPr>
          <w:b w:val="0"/>
          <w:i/>
        </w:rPr>
        <w:t>porrigitur</w:t>
      </w:r>
      <w:r>
        <w:rPr>
          <w:b w:val="0"/>
          <w:i w:val="0"/>
        </w:rPr>
        <w:t xml:space="preserve">; </w:t>
      </w:r>
      <w:r>
        <w:rPr>
          <w:b w:val="0"/>
          <w:i/>
        </w:rPr>
        <w:t>sparsae</w:t>
      </w:r>
      <w:r>
        <w:rPr>
          <w:b w:val="0"/>
          <w:i w:val="0"/>
        </w:rPr>
        <w:t xml:space="preserve">; </w:t>
      </w:r>
      <w:r>
        <w:rPr>
          <w:b w:val="0"/>
          <w:i/>
        </w:rPr>
        <w:t>sparsam</w:t>
      </w:r>
      <w:r>
        <w:rPr>
          <w:b w:val="0"/>
          <w:i w:val="0"/>
        </w:rPr>
        <w:t>.</w:t>
      </w:r>
    </w:p>
    <w:p>
      <w:pPr>
        <w:widowControl/>
      </w:pPr>
      <w:r>
        <w:rPr>
          <w:b w:val="0"/>
          <w:i w:val="0"/>
        </w:rPr>
        <w:t xml:space="preserve">To diffuse, scatter or extend, with bodily distribution distinguished from the soul’s presence. Whiteness and other diffused forms have divided regions; the whole soul’s vital presence is expressly not such local distribution. References: </w:t>
      </w:r>
      <w:hyperlink w:anchor="passage-vii-2-2">
        <w:r>
          <w:rPr>
            <w:color w:val="000000"/>
          </w:rPr>
          <w:t xml:space="preserve">VII.2.2</w:t>
        </w:r>
      </w:hyperlink>
      <w:r>
        <w:rPr>
          <w:b w:val="0"/>
          <w:i w:val="0"/>
        </w:rPr>
        <w:t xml:space="preserve">, </w:t>
      </w:r>
      <w:hyperlink w:anchor="passage-vii-5-2">
        <w:r>
          <w:rPr>
            <w:color w:val="000000"/>
          </w:rPr>
          <w:t xml:space="preserve">VII.5.2</w:t>
        </w:r>
      </w:hyperlink>
      <w:r>
        <w:rPr>
          <w:b w:val="0"/>
          <w:i w:val="0"/>
        </w:rPr>
        <w:t xml:space="preserve">, </w:t>
      </w:r>
      <w:hyperlink w:anchor="passage-vii-5-3">
        <w:r>
          <w:rPr>
            <w:color w:val="000000"/>
          </w:rPr>
          <w:t xml:space="preserve">VII.5.3</w:t>
        </w:r>
      </w:hyperlink>
      <w:r>
        <w:rPr>
          <w:b w:val="0"/>
          <w:i w:val="0"/>
        </w:rPr>
        <w:t xml:space="preserve">, </w:t>
      </w:r>
      <w:hyperlink w:anchor="passage-vii-7-1">
        <w:r>
          <w:rPr>
            <w:color w:val="000000"/>
          </w:rPr>
          <w:t xml:space="preserve">VII.7.1</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625" w:name="latin-record-0384"/>
      <w:bookmarkEnd w:id="625"/>
      <w:r>
        <w:rPr>
          <w:b/>
          <w:i w:val="0"/>
        </w:rPr>
        <w:t>dignitas</w:t>
      </w:r>
      <w:r>
        <w:rPr>
          <w:b/>
          <w:i w:val="0"/>
        </w:rPr>
        <w:t>.</w:t>
      </w:r>
      <w:r>
        <w:rPr>
          <w:b w:val="0"/>
          <w:i w:val="0"/>
        </w:rPr>
        <w:t xml:space="preserve"> Printed forms: </w:t>
      </w:r>
      <w:r>
        <w:rPr>
          <w:b w:val="0"/>
          <w:i/>
        </w:rPr>
        <w:t>dignitatem</w:t>
      </w:r>
      <w:r>
        <w:rPr>
          <w:b w:val="0"/>
          <w:i w:val="0"/>
        </w:rPr>
        <w:t>.</w:t>
      </w:r>
    </w:p>
    <w:p>
      <w:pPr>
        <w:widowControl/>
      </w:pPr>
      <w:r>
        <w:rPr>
          <w:b w:val="0"/>
          <w:i w:val="0"/>
        </w:rPr>
        <w:t xml:space="preserve">A thing’s proper worth or rank. The soul’s preservation of its form and dignity is one reason it cannot displace itself from self-subsistence. References: </w:t>
      </w:r>
      <w:hyperlink w:anchor="passage-v-8-4">
        <w:r>
          <w:rPr>
            <w:color w:val="000000"/>
          </w:rPr>
          <w:t xml:space="preserve">V.8.4</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626" w:name="latin-record-0385"/>
      <w:bookmarkEnd w:id="626"/>
      <w:r>
        <w:rPr>
          <w:b/>
          <w:i w:val="0"/>
        </w:rPr>
        <w:t>diiudicare</w:t>
      </w:r>
      <w:r>
        <w:rPr>
          <w:b/>
          <w:i w:val="0"/>
        </w:rPr>
        <w:t>.</w:t>
      </w:r>
      <w:r>
        <w:rPr>
          <w:b w:val="0"/>
          <w:i w:val="0"/>
        </w:rPr>
        <w:t xml:space="preserve"> Printed forms: </w:t>
      </w:r>
      <w:r>
        <w:rPr>
          <w:b w:val="0"/>
          <w:i/>
        </w:rPr>
        <w:t>diiudicat</w:t>
      </w:r>
      <w:r>
        <w:rPr>
          <w:b w:val="0"/>
          <w:i w:val="0"/>
        </w:rPr>
        <w:t>.</w:t>
      </w:r>
    </w:p>
    <w:p>
      <w:pPr>
        <w:widowControl/>
      </w:pPr>
      <w:r>
        <w:rPr>
          <w:b w:val="0"/>
          <w:i w:val="0"/>
        </w:rPr>
        <w:t xml:space="preserve">To discriminate and adjudicate among contents or activities. The one inward power judges both the objects and operations of the separate external senses. References: </w:t>
      </w:r>
      <w:hyperlink w:anchor="passage-vii-2-1">
        <w:r>
          <w:rPr>
            <w:color w:val="000000"/>
          </w:rPr>
          <w:t xml:space="preserve">VII.2.1</w:t>
        </w:r>
      </w:hyperlink>
      <w:r>
        <w:rPr>
          <w:b w:val="0"/>
          <w:i w:val="0"/>
        </w:rPr>
        <w:t xml:space="preserve">, </w:t>
      </w:r>
      <w:hyperlink w:anchor="passage-vii-2-2">
        <w:r>
          <w:rPr>
            <w:color w:val="000000"/>
          </w:rPr>
          <w:t xml:space="preserve">VII.2.2</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627" w:name="latin-record-0386"/>
      <w:bookmarkEnd w:id="627"/>
      <w:r>
        <w:rPr>
          <w:b/>
          <w:i w:val="0"/>
        </w:rPr>
        <w:t>dilaniatio / lacerare / discerpere</w:t>
      </w:r>
      <w:r>
        <w:rPr>
          <w:b/>
          <w:i w:val="0"/>
        </w:rPr>
        <w:t>.</w:t>
      </w:r>
      <w:r>
        <w:rPr>
          <w:b w:val="0"/>
          <w:i w:val="0"/>
        </w:rPr>
        <w:t xml:space="preserve"> Printed forms: </w:t>
      </w:r>
      <w:r>
        <w:rPr>
          <w:b w:val="0"/>
          <w:i/>
        </w:rPr>
        <w:t>dilaniatio</w:t>
      </w:r>
      <w:r>
        <w:rPr>
          <w:b w:val="0"/>
          <w:i w:val="0"/>
        </w:rPr>
        <w:t xml:space="preserve">; </w:t>
      </w:r>
      <w:r>
        <w:rPr>
          <w:b w:val="0"/>
          <w:i/>
        </w:rPr>
        <w:t>discerptemus</w:t>
      </w:r>
      <w:r>
        <w:rPr>
          <w:b w:val="0"/>
          <w:i w:val="0"/>
        </w:rPr>
        <w:t xml:space="preserve">; </w:t>
      </w:r>
      <w:r>
        <w:rPr>
          <w:b w:val="0"/>
          <w:i/>
        </w:rPr>
        <w:t>disperdemus</w:t>
      </w:r>
      <w:r>
        <w:rPr>
          <w:b w:val="0"/>
          <w:i w:val="0"/>
        </w:rPr>
        <w:t xml:space="preserve">; </w:t>
      </w:r>
      <w:r>
        <w:rPr>
          <w:b w:val="0"/>
          <w:i/>
        </w:rPr>
        <w:t>lacerentur</w:t>
      </w:r>
      <w:r>
        <w:rPr>
          <w:b w:val="0"/>
          <w:i w:val="0"/>
        </w:rPr>
        <w:t>.</w:t>
      </w:r>
    </w:p>
    <w:p>
      <w:pPr>
        <w:widowControl/>
      </w:pPr>
      <w:r>
        <w:rPr>
          <w:b w:val="0"/>
          <w:i w:val="0"/>
        </w:rPr>
        <w:t xml:space="preserve">Mangling, tearing and scattering, contrasted with reasoned analysis. If universal contents were bodily pieces, subdividing them would destroy the account rather than illuminate it. References: </w:t>
      </w:r>
      <w:hyperlink w:anchor="passage-viii-4-6">
        <w:r>
          <w:rPr>
            <w:color w:val="000000"/>
          </w:rPr>
          <w:t xml:space="preserve">VIII.4.6</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628" w:name="latin-record-0387"/>
      <w:bookmarkEnd w:id="628"/>
      <w:r>
        <w:rPr>
          <w:b/>
          <w:i w:val="0"/>
        </w:rPr>
        <w:t>Dionysius / Origenes / Augustinus</w:t>
      </w:r>
      <w:r>
        <w:rPr>
          <w:b/>
          <w:i w:val="0"/>
        </w:rPr>
        <w:t>.</w:t>
      </w:r>
      <w:r>
        <w:rPr>
          <w:b w:val="0"/>
          <w:i w:val="0"/>
        </w:rPr>
        <w:t xml:space="preserve"> Printed forms: </w:t>
      </w:r>
      <w:r>
        <w:rPr>
          <w:b w:val="0"/>
          <w:i/>
        </w:rPr>
        <w:t>Aurelium Augustinum</w:t>
      </w:r>
      <w:r>
        <w:rPr>
          <w:b w:val="0"/>
          <w:i w:val="0"/>
        </w:rPr>
        <w:t xml:space="preserve">; </w:t>
      </w:r>
      <w:r>
        <w:rPr>
          <w:b w:val="0"/>
          <w:i/>
        </w:rPr>
        <w:t>Dionysium Areopagitam</w:t>
      </w:r>
      <w:r>
        <w:rPr>
          <w:b w:val="0"/>
          <w:i w:val="0"/>
        </w:rPr>
        <w:t xml:space="preserve">; </w:t>
      </w:r>
      <w:r>
        <w:rPr>
          <w:b w:val="0"/>
          <w:i/>
        </w:rPr>
        <w:t>Origenem</w:t>
      </w:r>
      <w:r>
        <w:rPr>
          <w:b w:val="0"/>
          <w:i w:val="0"/>
        </w:rPr>
        <w:t>.</w:t>
      </w:r>
    </w:p>
    <w:p>
      <w:pPr>
        <w:widowControl/>
      </w:pPr>
      <w:r>
        <w:rPr>
          <w:b w:val="0"/>
          <w:i w:val="0"/>
        </w:rPr>
        <w:t xml:space="preserve">The named authorities Ficino prefers for the soul’s creation by God alone. Their designation as excellent Platonists is Ficino’s own philosophical alignment, not a claim of agreement in every doctrine. References: </w:t>
      </w:r>
      <w:hyperlink w:anchor="passage-v-13-1">
        <w:r>
          <w:rPr>
            <w:color w:val="000000"/>
          </w:rPr>
          <w:t xml:space="preserve">V.13.1</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629" w:name="latin-record-0388"/>
      <w:bookmarkEnd w:id="629"/>
      <w:r>
        <w:rPr>
          <w:b/>
          <w:i w:val="0"/>
        </w:rPr>
        <w:t>discernere</w:t>
      </w:r>
      <w:r>
        <w:rPr>
          <w:b/>
          <w:i w:val="0"/>
        </w:rPr>
        <w:t>.</w:t>
      </w:r>
      <w:r>
        <w:rPr>
          <w:b w:val="0"/>
          <w:i w:val="0"/>
        </w:rPr>
        <w:t xml:space="preserve"> Printed forms: </w:t>
      </w:r>
      <w:r>
        <w:rPr>
          <w:b w:val="0"/>
          <w:i/>
        </w:rPr>
        <w:t>discernantur</w:t>
      </w:r>
      <w:r>
        <w:rPr>
          <w:b w:val="0"/>
          <w:i w:val="0"/>
        </w:rPr>
        <w:t xml:space="preserve">; </w:t>
      </w:r>
      <w:r>
        <w:rPr>
          <w:b w:val="0"/>
          <w:i/>
        </w:rPr>
        <w:t>discernat</w:t>
      </w:r>
      <w:r>
        <w:rPr>
          <w:b w:val="0"/>
          <w:i w:val="0"/>
        </w:rPr>
        <w:t xml:space="preserve">; </w:t>
      </w:r>
      <w:r>
        <w:rPr>
          <w:b w:val="0"/>
          <w:i/>
        </w:rPr>
        <w:t>discerni</w:t>
      </w:r>
      <w:r>
        <w:rPr>
          <w:b w:val="0"/>
          <w:i w:val="0"/>
        </w:rPr>
        <w:t xml:space="preserve">; </w:t>
      </w:r>
      <w:r>
        <w:rPr>
          <w:b w:val="0"/>
          <w:i/>
        </w:rPr>
        <w:t>discernimus</w:t>
      </w:r>
      <w:r>
        <w:rPr>
          <w:b w:val="0"/>
          <w:i w:val="0"/>
        </w:rPr>
        <w:t>.</w:t>
      </w:r>
    </w:p>
    <w:p>
      <w:pPr>
        <w:widowControl/>
      </w:pPr>
      <w:r>
        <w:rPr>
          <w:b w:val="0"/>
          <w:i w:val="0"/>
        </w:rPr>
        <w:t xml:space="preserve">To distinguish or discriminate between appearances or kinds. Vivid dream images may at the time be indistinguishable from their objects, unlike the later recognition of false scenery. References: </w:t>
      </w:r>
      <w:hyperlink w:anchor="passage-v-15-24">
        <w:r>
          <w:rPr>
            <w:color w:val="000000"/>
          </w:rPr>
          <w:t xml:space="preserve">V.15.24</w:t>
        </w:r>
      </w:hyperlink>
      <w:r>
        <w:rPr>
          <w:b w:val="0"/>
          <w:i w:val="0"/>
        </w:rPr>
        <w:t xml:space="preserve">. See </w:t>
      </w:r>
      <w:hyperlink w:anchor="sleep-and-dreams">
        <w:r>
          <w:rPr>
            <w:color w:val="000000"/>
          </w:rPr>
          <w:t xml:space="preserve">Sleep and dreams</w:t>
        </w:r>
      </w:hyperlink>
      <w:r>
        <w:rPr>
          <w:b w:val="0"/>
          <w:i w:val="0"/>
        </w:rPr>
        <w:t>.</w:t>
      </w:r>
    </w:p>
    <w:p>
      <w:pPr>
        <w:widowControl/>
      </w:pPr>
      <w:r>
        <w:rPr>
          <w:b w:val="0"/>
          <w:i w:val="0"/>
        </w:rPr>
        <w:t xml:space="preserve">To distinguish contents or properties from one another. The verb marks what mere coexistence of impressions does not explain, and what knowing bodily proportion still fails to reveal about soul. References: </w:t>
      </w:r>
      <w:hyperlink w:anchor="passage-vii-1-1">
        <w:r>
          <w:rPr>
            <w:color w:val="000000"/>
          </w:rPr>
          <w:t xml:space="preserve">VII.1.1</w:t>
        </w:r>
      </w:hyperlink>
      <w:r>
        <w:rPr>
          <w:b w:val="0"/>
          <w:i w:val="0"/>
        </w:rPr>
        <w:t xml:space="preserve">, </w:t>
      </w:r>
      <w:hyperlink w:anchor="passage-vii-12-1">
        <w:r>
          <w:rPr>
            <w:color w:val="000000"/>
          </w:rPr>
          <w:t xml:space="preserve">VII.12.1</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630" w:name="latin-record-0389"/>
      <w:bookmarkEnd w:id="630"/>
      <w:r>
        <w:rPr>
          <w:b/>
          <w:i w:val="0"/>
        </w:rPr>
        <w:t>disciplina / usus</w:t>
      </w:r>
      <w:r>
        <w:rPr>
          <w:b/>
          <w:i w:val="0"/>
        </w:rPr>
        <w:t>.</w:t>
      </w:r>
      <w:r>
        <w:rPr>
          <w:b w:val="0"/>
          <w:i w:val="0"/>
        </w:rPr>
        <w:t xml:space="preserve"> Printed forms: </w:t>
      </w:r>
      <w:r>
        <w:rPr>
          <w:b w:val="0"/>
          <w:i/>
        </w:rPr>
        <w:t>disciplina</w:t>
      </w:r>
      <w:r>
        <w:rPr>
          <w:b w:val="0"/>
          <w:i w:val="0"/>
        </w:rPr>
        <w:t xml:space="preserve">; </w:t>
      </w:r>
      <w:r>
        <w:rPr>
          <w:b w:val="0"/>
          <w:i/>
        </w:rPr>
        <w:t>usu</w:t>
      </w:r>
      <w:r>
        <w:rPr>
          <w:b w:val="0"/>
          <w:i w:val="0"/>
        </w:rPr>
        <w:t>.</w:t>
      </w:r>
    </w:p>
    <w:p>
      <w:pPr>
        <w:widowControl/>
      </w:pPr>
      <w:r>
        <w:rPr>
          <w:b w:val="0"/>
          <w:i w:val="0"/>
        </w:rPr>
        <w:t xml:space="preserve">Instruction and practice. The soul is said to produce separate intelligible forms naturally even without these acquired aids, supporting its intrinsic aptitude for Ideas. References: </w:t>
      </w:r>
      <w:hyperlink w:anchor="passage-v-12-14">
        <w:r>
          <w:rPr>
            <w:color w:val="000000"/>
          </w:rPr>
          <w:t xml:space="preserve">V.12.14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631" w:name="latin-record-0390"/>
      <w:bookmarkEnd w:id="631"/>
      <w:r>
        <w:rPr>
          <w:b/>
          <w:i w:val="0"/>
        </w:rPr>
        <w:t>discretio</w:t>
      </w:r>
      <w:r>
        <w:rPr>
          <w:b/>
          <w:i w:val="0"/>
        </w:rPr>
        <w:t>.</w:t>
      </w:r>
      <w:r>
        <w:rPr>
          <w:b w:val="0"/>
          <w:i w:val="0"/>
        </w:rPr>
        <w:t xml:space="preserve"> Printed forms: </w:t>
      </w:r>
      <w:r>
        <w:rPr>
          <w:b w:val="0"/>
          <w:i/>
        </w:rPr>
        <w:t>discretionis</w:t>
      </w:r>
      <w:r>
        <w:rPr>
          <w:b w:val="0"/>
          <w:i w:val="0"/>
        </w:rPr>
        <w:t>.</w:t>
      </w:r>
    </w:p>
    <w:p>
      <w:pPr>
        <w:widowControl/>
      </w:pPr>
      <w:r>
        <w:rPr>
          <w:b w:val="0"/>
          <w:i w:val="0"/>
        </w:rPr>
        <w:t xml:space="preserve">Discrimination or the ability to keep contents apart. Bodily qualities would mingle without this judgement if sensation were merely their penetration into a material soul.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632" w:name="latin-record-0391"/>
      <w:bookmarkEnd w:id="632"/>
      <w:r>
        <w:rPr>
          <w:b/>
          <w:i w:val="0"/>
        </w:rPr>
        <w:t>discurrere; distrahi</w:t>
      </w:r>
      <w:r>
        <w:rPr>
          <w:b/>
          <w:i w:val="0"/>
        </w:rPr>
        <w:t>.</w:t>
      </w:r>
      <w:r>
        <w:rPr>
          <w:b w:val="0"/>
          <w:i w:val="0"/>
        </w:rPr>
        <w:t xml:space="preserve"> Printed forms: </w:t>
      </w:r>
      <w:r>
        <w:rPr>
          <w:b w:val="0"/>
          <w:i/>
        </w:rPr>
        <w:t>discurrit</w:t>
      </w:r>
      <w:r>
        <w:rPr>
          <w:b w:val="0"/>
          <w:i w:val="0"/>
        </w:rPr>
        <w:t xml:space="preserve">; </w:t>
      </w:r>
      <w:r>
        <w:rPr>
          <w:b w:val="0"/>
          <w:i/>
        </w:rPr>
        <w:t>distrahitur</w:t>
      </w:r>
      <w:r>
        <w:rPr>
          <w:b w:val="0"/>
          <w:i w:val="0"/>
        </w:rPr>
        <w:t>.</w:t>
      </w:r>
    </w:p>
    <w:p>
      <w:pPr>
        <w:widowControl/>
      </w:pPr>
      <w:r>
        <w:rPr>
          <w:b w:val="0"/>
          <w:i w:val="0"/>
        </w:rPr>
        <w:t xml:space="preserve">To range successively and be scattered among many things. The two uses give rarefaction an intellectual or attentional counterpart, not an unequivocally negative sense in every instance.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633" w:name="latin-record-0392"/>
      <w:bookmarkEnd w:id="633"/>
      <w:r>
        <w:rPr>
          <w:b/>
          <w:i w:val="0"/>
        </w:rPr>
        <w:t>discursio; revolutio</w:t>
      </w:r>
      <w:r>
        <w:rPr>
          <w:b/>
          <w:i w:val="0"/>
        </w:rPr>
        <w:t>.</w:t>
      </w:r>
      <w:r>
        <w:rPr>
          <w:b w:val="0"/>
          <w:i w:val="0"/>
        </w:rPr>
        <w:t xml:space="preserve"> Printed forms: </w:t>
      </w:r>
      <w:r>
        <w:rPr>
          <w:b w:val="0"/>
          <w:i/>
        </w:rPr>
        <w:t>discursiones</w:t>
      </w:r>
      <w:r>
        <w:rPr>
          <w:b w:val="0"/>
          <w:i w:val="0"/>
        </w:rPr>
        <w:t xml:space="preserve">; </w:t>
      </w:r>
      <w:r>
        <w:rPr>
          <w:b w:val="0"/>
          <w:i/>
        </w:rPr>
        <w:t>revolutiones</w:t>
      </w:r>
      <w:r>
        <w:rPr>
          <w:b w:val="0"/>
          <w:i w:val="0"/>
        </w:rPr>
        <w:t>.</w:t>
      </w:r>
    </w:p>
    <w:p>
      <w:pPr>
        <w:widowControl/>
      </w:pPr>
      <w:r>
        <w:rPr>
          <w:b w:val="0"/>
          <w:i w:val="0"/>
        </w:rPr>
        <w:t xml:space="preserve">Courses and turnings of thought. They are real motions of soul’s activity without being the eight bodily motions or physical changes of place. References: </w:t>
      </w:r>
      <w:hyperlink w:anchor="passage-vi-12-18">
        <w:r>
          <w:rPr>
            <w:color w:val="000000"/>
          </w:rPr>
          <w:t xml:space="preserve">VI.12.18</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634" w:name="latin-record-0393"/>
      <w:bookmarkEnd w:id="634"/>
      <w:r>
        <w:rPr>
          <w:b/>
          <w:i w:val="0"/>
        </w:rPr>
        <w:t>discursus / discurrere</w:t>
      </w:r>
      <w:r>
        <w:rPr>
          <w:b/>
          <w:i w:val="0"/>
        </w:rPr>
        <w:t>.</w:t>
      </w:r>
      <w:r>
        <w:rPr>
          <w:b w:val="0"/>
          <w:i w:val="0"/>
        </w:rPr>
        <w:t xml:space="preserve"> Printed forms: </w:t>
      </w:r>
      <w:r>
        <w:rPr>
          <w:b w:val="0"/>
          <w:i/>
        </w:rPr>
        <w:t>discurrendi</w:t>
      </w:r>
      <w:r>
        <w:rPr>
          <w:b w:val="0"/>
          <w:i w:val="0"/>
        </w:rPr>
        <w:t xml:space="preserve">; </w:t>
      </w:r>
      <w:r>
        <w:rPr>
          <w:b w:val="0"/>
          <w:i/>
        </w:rPr>
        <w:t>discurrendo</w:t>
      </w:r>
      <w:r>
        <w:rPr>
          <w:b w:val="0"/>
          <w:i w:val="0"/>
        </w:rPr>
        <w:t xml:space="preserve">; </w:t>
      </w:r>
      <w:r>
        <w:rPr>
          <w:b w:val="0"/>
          <w:i/>
        </w:rPr>
        <w:t>discurrit</w:t>
      </w:r>
      <w:r>
        <w:rPr>
          <w:b w:val="0"/>
          <w:i w:val="0"/>
        </w:rPr>
        <w:t xml:space="preserve">; </w:t>
      </w:r>
      <w:r>
        <w:rPr>
          <w:b w:val="0"/>
          <w:i/>
        </w:rPr>
        <w:t>discursione</w:t>
      </w:r>
      <w:r>
        <w:rPr>
          <w:b w:val="0"/>
          <w:i w:val="0"/>
        </w:rPr>
        <w:t xml:space="preserve">; </w:t>
      </w:r>
      <w:r>
        <w:rPr>
          <w:b w:val="0"/>
          <w:i/>
        </w:rPr>
        <w:t>discursu</w:t>
      </w:r>
      <w:r>
        <w:rPr>
          <w:b w:val="0"/>
          <w:i w:val="0"/>
        </w:rPr>
        <w:t>.</w:t>
      </w:r>
    </w:p>
    <w:p>
      <w:pPr>
        <w:widowControl/>
      </w:pPr>
      <w:r>
        <w:rPr>
          <w:b w:val="0"/>
          <w:i w:val="0"/>
        </w:rPr>
        <w:t xml:space="preserve">Successive intellectual movement or reasoning; in a bodily hypothesis it can describe traversal. Immediate universality does not require discourse, whereas return to particulars involves it; bodily traversal is a separate rejected model. References: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4-4">
        <w:r>
          <w:rPr>
            <w:color w:val="000000"/>
          </w:rPr>
          <w:t xml:space="preserve">VIII.4.4</w:t>
        </w:r>
      </w:hyperlink>
      <w:r>
        <w:rPr>
          <w:b w:val="0"/>
          <w:i w:val="0"/>
        </w:rPr>
        <w:t xml:space="preserve">, </w:t>
      </w:r>
      <w:hyperlink w:anchor="passage-viii-5-1">
        <w:r>
          <w:rPr>
            <w:color w:val="000000"/>
          </w:rPr>
          <w:t xml:space="preserve">VIII.5.1</w:t>
        </w:r>
      </w:hyperlink>
      <w:r>
        <w:rPr>
          <w:b w:val="0"/>
          <w:i w:val="0"/>
        </w:rPr>
        <w:t xml:space="preserve">, </w:t>
      </w:r>
      <w:hyperlink w:anchor="passage-viii-10-2">
        <w:r>
          <w:rPr>
            <w:color w:val="000000"/>
          </w:rPr>
          <w:t xml:space="preserve">VIII.10.2</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635" w:name="latin-record-0394"/>
      <w:bookmarkEnd w:id="635"/>
      <w:r>
        <w:rPr>
          <w:b/>
          <w:i w:val="0"/>
        </w:rPr>
        <w:t>discursus temporalis</w:t>
      </w:r>
      <w:r>
        <w:rPr>
          <w:b/>
          <w:i w:val="0"/>
        </w:rPr>
        <w:t>.</w:t>
      </w:r>
      <w:r>
        <w:rPr>
          <w:b w:val="0"/>
          <w:i w:val="0"/>
        </w:rPr>
        <w:t xml:space="preserve"> Printed forms: </w:t>
      </w:r>
      <w:r>
        <w:rPr>
          <w:b w:val="0"/>
          <w:i/>
        </w:rPr>
        <w:t>cognitione affectioneque</w:t>
      </w:r>
      <w:r>
        <w:rPr>
          <w:b w:val="0"/>
          <w:i w:val="0"/>
        </w:rPr>
        <w:t xml:space="preserve">; </w:t>
      </w:r>
      <w:r>
        <w:rPr>
          <w:b w:val="0"/>
          <w:i/>
        </w:rPr>
        <w:t>discursus temporalis</w:t>
      </w:r>
      <w:r>
        <w:rPr>
          <w:b w:val="0"/>
          <w:i w:val="0"/>
        </w:rPr>
        <w:t>.</w:t>
      </w:r>
    </w:p>
    <w:p>
      <w:pPr>
        <w:widowControl/>
      </w:pPr>
      <w:r>
        <w:rPr>
          <w:b w:val="0"/>
          <w:i w:val="0"/>
        </w:rPr>
        <w:t xml:space="preserve">Temporal passage between cognitions and affections. Discursive cognition is not identified with the simultaneously complete knowledge attributed to God and angels. References: </w:t>
      </w:r>
      <w:hyperlink w:anchor="passage-vi-12-17">
        <w:r>
          <w:rPr>
            <w:color w:val="000000"/>
          </w:rPr>
          <w:t xml:space="preserve">VI.12.17</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636" w:name="latin-record-0395"/>
      <w:bookmarkEnd w:id="636"/>
      <w:r>
        <w:rPr>
          <w:b/>
          <w:i w:val="0"/>
        </w:rPr>
        <w:t>discussio</w:t>
      </w:r>
      <w:r>
        <w:rPr>
          <w:b/>
          <w:i w:val="0"/>
        </w:rPr>
        <w:t>.</w:t>
      </w:r>
      <w:r>
        <w:rPr>
          <w:b w:val="0"/>
          <w:i w:val="0"/>
        </w:rPr>
        <w:t xml:space="preserve"> Printed forms: </w:t>
      </w:r>
      <w:r>
        <w:rPr>
          <w:b w:val="0"/>
          <w:i/>
        </w:rPr>
        <w:t>discussione</w:t>
      </w:r>
      <w:r>
        <w:rPr>
          <w:b w:val="0"/>
          <w:i w:val="0"/>
        </w:rPr>
        <w:t>.</w:t>
      </w:r>
    </w:p>
    <w:p>
      <w:pPr>
        <w:widowControl/>
      </w:pPr>
      <w:r>
        <w:rPr>
          <w:b w:val="0"/>
          <w:i w:val="0"/>
        </w:rPr>
        <w:t xml:space="preserve">Examination or inquiry, resonating locally with striking or shaking apart. It connects the philosophical search with the repeatedly struck stone; the realized light is sudden although its preparation is not. References: </w:t>
      </w:r>
      <w:hyperlink w:anchor="passage-viii-3-3">
        <w:r>
          <w:rPr>
            <w:color w:val="000000"/>
          </w:rPr>
          <w:t xml:space="preserve">VIII.3.3</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637" w:name="latin-record-0396"/>
      <w:bookmarkEnd w:id="637"/>
      <w:r>
        <w:rPr>
          <w:b/>
          <w:i w:val="0"/>
        </w:rPr>
        <w:t>disiungere / copulare incorporeis</w:t>
      </w:r>
      <w:r>
        <w:rPr>
          <w:b/>
          <w:i w:val="0"/>
        </w:rPr>
        <w:t>.</w:t>
      </w:r>
      <w:r>
        <w:rPr>
          <w:b w:val="0"/>
          <w:i w:val="0"/>
        </w:rPr>
        <w:t xml:space="preserve"> Printed forms: </w:t>
      </w:r>
      <w:r>
        <w:rPr>
          <w:b w:val="0"/>
          <w:i/>
        </w:rPr>
        <w:t>disiunctum</w:t>
      </w:r>
      <w:r>
        <w:rPr>
          <w:b w:val="0"/>
          <w:i w:val="0"/>
        </w:rPr>
        <w:t xml:space="preserve">; </w:t>
      </w:r>
      <w:r>
        <w:rPr>
          <w:b w:val="0"/>
          <w:i/>
        </w:rPr>
        <w:t>incorporeis copulabit</w:t>
      </w:r>
      <w:r>
        <w:rPr>
          <w:b w:val="0"/>
          <w:i w:val="0"/>
        </w:rPr>
        <w:t>.</w:t>
      </w:r>
    </w:p>
    <w:p>
      <w:pPr>
        <w:widowControl/>
      </w:pPr>
      <w:r>
        <w:rPr>
          <w:b w:val="0"/>
          <w:i w:val="0"/>
        </w:rPr>
        <w:t xml:space="preserve">To separate from bodily objects and join to incorporeal ones. The rejected theory lacks an independent subject capable of this cognitive orientation beyond humoral states.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638" w:name="latin-record-0397"/>
      <w:bookmarkEnd w:id="638"/>
      <w:r>
        <w:rPr>
          <w:b/>
          <w:i w:val="0"/>
        </w:rPr>
        <w:t>dispersus; distantia</w:t>
      </w:r>
      <w:r>
        <w:rPr>
          <w:b/>
          <w:i w:val="0"/>
        </w:rPr>
        <w:t>.</w:t>
      </w:r>
      <w:r>
        <w:rPr>
          <w:b w:val="0"/>
          <w:i w:val="0"/>
        </w:rPr>
        <w:t xml:space="preserve"> Printed forms: </w:t>
      </w:r>
      <w:r>
        <w:rPr>
          <w:b w:val="0"/>
          <w:i/>
        </w:rPr>
        <w:t>dispersum</w:t>
      </w:r>
      <w:r>
        <w:rPr>
          <w:b w:val="0"/>
          <w:i w:val="0"/>
        </w:rPr>
        <w:t xml:space="preserve">; </w:t>
      </w:r>
      <w:r>
        <w:rPr>
          <w:b w:val="0"/>
          <w:i/>
        </w:rPr>
        <w:t>distantiam partium</w:t>
      </w:r>
      <w:r>
        <w:rPr>
          <w:b w:val="0"/>
          <w:i w:val="0"/>
        </w:rPr>
        <w:t>.</w:t>
      </w:r>
    </w:p>
    <w:p>
      <w:pPr>
        <w:widowControl/>
      </w:pPr>
      <w:r>
        <w:rPr>
          <w:b w:val="0"/>
          <w:i w:val="0"/>
        </w:rPr>
        <w:t xml:space="preserve">Dispersed; distance between parts. Spatial separation is the first bodily feature requiring an account of the unity nevertheless present. References: </w:t>
      </w:r>
      <w:hyperlink w:anchor="passage-vi-8-1">
        <w:r>
          <w:rPr>
            <w:color w:val="000000"/>
          </w:rPr>
          <w:t xml:space="preserve">VI.8.1</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639" w:name="latin-record-0398"/>
      <w:bookmarkEnd w:id="639"/>
      <w:r>
        <w:rPr>
          <w:b/>
          <w:i w:val="0"/>
        </w:rPr>
        <w:t>disputare</w:t>
      </w:r>
      <w:r>
        <w:rPr>
          <w:b/>
          <w:i w:val="0"/>
        </w:rPr>
        <w:t>.</w:t>
      </w:r>
      <w:r>
        <w:rPr>
          <w:b w:val="0"/>
          <w:i w:val="0"/>
        </w:rPr>
        <w:t xml:space="preserve"> Printed forms: </w:t>
      </w:r>
      <w:r>
        <w:rPr>
          <w:b w:val="0"/>
          <w:i/>
        </w:rPr>
        <w:t>disputando</w:t>
      </w:r>
      <w:r>
        <w:rPr>
          <w:b w:val="0"/>
          <w:i w:val="0"/>
        </w:rPr>
        <w:t xml:space="preserve">; </w:t>
      </w:r>
      <w:r>
        <w:rPr>
          <w:b w:val="0"/>
          <w:i/>
        </w:rPr>
        <w:t>disputare</w:t>
      </w:r>
      <w:r>
        <w:rPr>
          <w:b w:val="0"/>
          <w:i w:val="0"/>
        </w:rPr>
        <w:t xml:space="preserve">; </w:t>
      </w:r>
      <w:r>
        <w:rPr>
          <w:b w:val="0"/>
          <w:i/>
        </w:rPr>
        <w:t>disputari</w:t>
      </w:r>
      <w:r>
        <w:rPr>
          <w:b w:val="0"/>
          <w:i w:val="0"/>
        </w:rPr>
        <w:t xml:space="preserve">; </w:t>
      </w:r>
      <w:r>
        <w:rPr>
          <w:b w:val="0"/>
          <w:i/>
        </w:rPr>
        <w:t>disputatio</w:t>
      </w:r>
      <w:r>
        <w:rPr>
          <w:b w:val="0"/>
          <w:i w:val="0"/>
        </w:rPr>
        <w:t>.</w:t>
      </w:r>
    </w:p>
    <w:p>
      <w:pPr>
        <w:widowControl/>
      </w:pPr>
      <w:r>
        <w:rPr>
          <w:b w:val="0"/>
          <w:i w:val="0"/>
        </w:rPr>
        <w:t xml:space="preserve">To argue or conduct a discussion. A dreamed debate may contain valid reasoning even when its interlocutor, location and words never occurred as waking events. References: </w:t>
      </w:r>
      <w:hyperlink w:anchor="passage-v-15-24">
        <w:r>
          <w:rPr>
            <w:color w:val="000000"/>
          </w:rPr>
          <w:t xml:space="preserve">V.15.24</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640" w:name="latin-record-0399"/>
      <w:bookmarkEnd w:id="640"/>
      <w:r>
        <w:rPr>
          <w:b/>
          <w:i w:val="0"/>
        </w:rPr>
        <w:t>disputatio; disputare</w:t>
      </w:r>
      <w:r>
        <w:rPr>
          <w:b/>
          <w:i w:val="0"/>
        </w:rPr>
        <w:t>.</w:t>
      </w:r>
      <w:r>
        <w:rPr>
          <w:b w:val="0"/>
          <w:i w:val="0"/>
        </w:rPr>
        <w:t xml:space="preserve"> Printed forms: </w:t>
      </w:r>
      <w:r>
        <w:rPr>
          <w:b w:val="0"/>
          <w:i/>
        </w:rPr>
        <w:t>disputatione</w:t>
      </w:r>
      <w:r>
        <w:rPr>
          <w:b w:val="0"/>
          <w:i w:val="0"/>
        </w:rPr>
        <w:t xml:space="preserve">; </w:t>
      </w:r>
      <w:r>
        <w:rPr>
          <w:b w:val="0"/>
          <w:i/>
        </w:rPr>
        <w:t>disputaveram</w:t>
      </w:r>
      <w:r>
        <w:rPr>
          <w:b w:val="0"/>
          <w:i w:val="0"/>
        </w:rPr>
        <w:t xml:space="preserve">; </w:t>
      </w:r>
      <w:r>
        <w:rPr>
          <w:b w:val="0"/>
          <w:i/>
        </w:rPr>
        <w:t>disseras</w:t>
      </w:r>
      <w:r>
        <w:rPr>
          <w:b w:val="0"/>
          <w:i w:val="0"/>
        </w:rPr>
        <w:t xml:space="preserve">; </w:t>
      </w:r>
      <w:r>
        <w:rPr>
          <w:b w:val="0"/>
          <w:i/>
        </w:rPr>
        <w:t>disseruisti</w:t>
      </w:r>
      <w:r>
        <w:rPr>
          <w:b w:val="0"/>
          <w:i w:val="0"/>
        </w:rPr>
        <w:t>.</w:t>
      </w:r>
    </w:p>
    <w:p>
      <w:pPr>
        <w:widowControl/>
      </w:pPr>
      <w:r>
        <w:rPr>
          <w:b w:val="0"/>
          <w:i w:val="0"/>
        </w:rPr>
        <w:t xml:space="preserve">A sustained philosophical discussion or examination by argument. Cavalcanti distinguishes the preceding common proof from a requested examination specifically of our own soul.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641" w:name="latin-record-0400"/>
      <w:bookmarkEnd w:id="641"/>
      <w:r>
        <w:rPr>
          <w:b/>
          <w:i w:val="0"/>
        </w:rPr>
        <w:t>dissentire / pugnare / appetitus</w:t>
      </w:r>
      <w:r>
        <w:rPr>
          <w:b/>
          <w:i w:val="0"/>
        </w:rPr>
        <w:t>.</w:t>
      </w:r>
      <w:r>
        <w:rPr>
          <w:b w:val="0"/>
          <w:i w:val="0"/>
        </w:rPr>
        <w:t xml:space="preserve"> Printed forms: </w:t>
      </w:r>
      <w:r>
        <w:rPr>
          <w:b w:val="0"/>
          <w:i/>
        </w:rPr>
        <w:t>appetitus</w:t>
      </w:r>
      <w:r>
        <w:rPr>
          <w:b w:val="0"/>
          <w:i w:val="0"/>
        </w:rPr>
        <w:t xml:space="preserve">; </w:t>
      </w:r>
      <w:r>
        <w:rPr>
          <w:b w:val="0"/>
          <w:i/>
        </w:rPr>
        <w:t>Dissentit</w:t>
      </w:r>
      <w:r>
        <w:rPr>
          <w:b w:val="0"/>
          <w:i w:val="0"/>
        </w:rPr>
        <w:t xml:space="preserve">; </w:t>
      </w:r>
      <w:r>
        <w:rPr>
          <w:b w:val="0"/>
          <w:i/>
        </w:rPr>
        <w:t>Pugnant</w:t>
      </w:r>
      <w:r>
        <w:rPr>
          <w:b w:val="0"/>
          <w:i w:val="0"/>
        </w:rPr>
        <w:t>.</w:t>
      </w:r>
    </w:p>
    <w:p>
      <w:pPr>
        <w:widowControl/>
      </w:pPr>
      <w:r>
        <w:rPr>
          <w:b w:val="0"/>
          <w:i w:val="0"/>
        </w:rPr>
        <w:t xml:space="preserve">Disagreement with reason and conflict among appetites. These mark the wicked soul’s moral discord while leaving it a soul and a principle of ordinary life.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642" w:name="latin-record-0401"/>
      <w:bookmarkEnd w:id="642"/>
      <w:r>
        <w:rPr>
          <w:b/>
          <w:i w:val="0"/>
        </w:rPr>
        <w:t>dissonantia / discordia / dissensio</w:t>
      </w:r>
      <w:r>
        <w:rPr>
          <w:b/>
          <w:i w:val="0"/>
        </w:rPr>
        <w:t>.</w:t>
      </w:r>
      <w:r>
        <w:rPr>
          <w:b w:val="0"/>
          <w:i w:val="0"/>
        </w:rPr>
        <w:t xml:space="preserve"> Printed forms: </w:t>
      </w:r>
      <w:r>
        <w:rPr>
          <w:b w:val="0"/>
          <w:i/>
        </w:rPr>
        <w:t>discordia</w:t>
      </w:r>
      <w:r>
        <w:rPr>
          <w:b w:val="0"/>
          <w:i w:val="0"/>
        </w:rPr>
        <w:t xml:space="preserve">; </w:t>
      </w:r>
      <w:r>
        <w:rPr>
          <w:b w:val="0"/>
          <w:i/>
        </w:rPr>
        <w:t>Dissensio</w:t>
      </w:r>
      <w:r>
        <w:rPr>
          <w:b w:val="0"/>
          <w:i w:val="0"/>
        </w:rPr>
        <w:t xml:space="preserve">; </w:t>
      </w:r>
      <w:r>
        <w:rPr>
          <w:b w:val="0"/>
          <w:i/>
        </w:rPr>
        <w:t>dissensio</w:t>
      </w:r>
      <w:r>
        <w:rPr>
          <w:b w:val="0"/>
          <w:i w:val="0"/>
        </w:rPr>
        <w:t xml:space="preserve">; </w:t>
      </w:r>
      <w:r>
        <w:rPr>
          <w:b w:val="0"/>
          <w:i/>
        </w:rPr>
        <w:t>dissonantia</w:t>
      </w:r>
      <w:r>
        <w:rPr>
          <w:b w:val="0"/>
          <w:i w:val="0"/>
        </w:rPr>
        <w:t xml:space="preserve">; </w:t>
      </w:r>
      <w:r>
        <w:rPr>
          <w:b w:val="0"/>
          <w:i/>
        </w:rPr>
        <w:t>dissonantibus</w:t>
      </w:r>
      <w:r>
        <w:rPr>
          <w:b w:val="0"/>
          <w:i w:val="0"/>
        </w:rPr>
        <w:t xml:space="preserve">; </w:t>
      </w:r>
      <w:r>
        <w:rPr>
          <w:b w:val="0"/>
          <w:i/>
        </w:rPr>
        <w:t>dissonat</w:t>
      </w:r>
      <w:r>
        <w:rPr>
          <w:b w:val="0"/>
          <w:i w:val="0"/>
        </w:rPr>
        <w:t xml:space="preserve">; </w:t>
      </w:r>
      <w:r>
        <w:rPr>
          <w:b w:val="0"/>
          <w:i/>
        </w:rPr>
        <w:t>dissonent</w:t>
      </w:r>
      <w:r>
        <w:rPr>
          <w:b w:val="0"/>
          <w:i w:val="0"/>
        </w:rPr>
        <w:t xml:space="preserve">; </w:t>
      </w:r>
      <w:r>
        <w:rPr>
          <w:b w:val="0"/>
          <w:i/>
        </w:rPr>
        <w:t>dissonum</w:t>
      </w:r>
      <w:r>
        <w:rPr>
          <w:b w:val="0"/>
          <w:i w:val="0"/>
        </w:rPr>
        <w:t>.</w:t>
      </w:r>
    </w:p>
    <w:p>
      <w:pPr>
        <w:widowControl/>
      </w:pPr>
      <w:r>
        <w:rPr>
          <w:b w:val="0"/>
          <w:i w:val="0"/>
        </w:rPr>
        <w:t xml:space="preserve">Dissonance or disagreement, with its domain supplied by context. Opinions and affections, humors and elements, and parts of soul and body are three distinct domains in the final argument.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643" w:name="latin-record-0402"/>
      <w:bookmarkEnd w:id="643"/>
      <w:r>
        <w:rPr>
          <w:b/>
          <w:i w:val="0"/>
        </w:rPr>
        <w:t>distribuere / partiri / secare</w:t>
      </w:r>
      <w:r>
        <w:rPr>
          <w:b/>
          <w:i w:val="0"/>
        </w:rPr>
        <w:t>.</w:t>
      </w:r>
      <w:r>
        <w:rPr>
          <w:b w:val="0"/>
          <w:i w:val="0"/>
        </w:rPr>
        <w:t xml:space="preserve"> Printed forms: </w:t>
      </w:r>
      <w:r>
        <w:rPr>
          <w:b w:val="0"/>
          <w:i/>
        </w:rPr>
        <w:t>distribues</w:t>
      </w:r>
      <w:r>
        <w:rPr>
          <w:b w:val="0"/>
          <w:i w:val="0"/>
        </w:rPr>
        <w:t xml:space="preserve">; </w:t>
      </w:r>
      <w:r>
        <w:rPr>
          <w:b w:val="0"/>
          <w:i/>
        </w:rPr>
        <w:t>dividitur</w:t>
      </w:r>
      <w:r>
        <w:rPr>
          <w:b w:val="0"/>
          <w:i w:val="0"/>
        </w:rPr>
        <w:t xml:space="preserve">; </w:t>
      </w:r>
      <w:r>
        <w:rPr>
          <w:b w:val="0"/>
          <w:i/>
        </w:rPr>
        <w:t>partiri</w:t>
      </w:r>
      <w:r>
        <w:rPr>
          <w:b w:val="0"/>
          <w:i w:val="0"/>
        </w:rPr>
        <w:t xml:space="preserve">; </w:t>
      </w:r>
      <w:r>
        <w:rPr>
          <w:b w:val="0"/>
          <w:i/>
        </w:rPr>
        <w:t>partiturum</w:t>
      </w:r>
      <w:r>
        <w:rPr>
          <w:b w:val="0"/>
          <w:i w:val="0"/>
        </w:rPr>
        <w:t xml:space="preserve">; </w:t>
      </w:r>
      <w:r>
        <w:rPr>
          <w:b w:val="0"/>
          <w:i/>
        </w:rPr>
        <w:t>secabis</w:t>
      </w:r>
      <w:r>
        <w:rPr>
          <w:b w:val="0"/>
          <w:i w:val="0"/>
        </w:rPr>
        <w:t>.</w:t>
      </w:r>
    </w:p>
    <w:p>
      <w:pPr>
        <w:widowControl/>
      </w:pPr>
      <w:r>
        <w:rPr>
          <w:b w:val="0"/>
          <w:i w:val="0"/>
        </w:rPr>
        <w:t xml:space="preserve">To distribute or divide into portions. Finite natural minima and mathematical infinite division are successive tests of a partitioned sensory image. References: </w:t>
      </w:r>
      <w:hyperlink w:anchor="passage-vii-4-1">
        <w:r>
          <w:rPr>
            <w:color w:val="000000"/>
          </w:rPr>
          <w:t xml:space="preserve">VII.4.1</w:t>
        </w:r>
      </w:hyperlink>
      <w:r>
        <w:rPr>
          <w:b w:val="0"/>
          <w:i w:val="0"/>
        </w:rPr>
        <w:t xml:space="preserve">,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644" w:name="latin-record-0403"/>
      <w:bookmarkEnd w:id="644"/>
      <w:r>
        <w:rPr>
          <w:b/>
          <w:i w:val="0"/>
        </w:rPr>
        <w:t>dividere / secare / partiri</w:t>
      </w:r>
      <w:r>
        <w:rPr>
          <w:b/>
          <w:i w:val="0"/>
        </w:rPr>
        <w:t>.</w:t>
      </w:r>
      <w:r>
        <w:rPr>
          <w:b w:val="0"/>
          <w:i w:val="0"/>
        </w:rPr>
        <w:t xml:space="preserve"> Printed forms: </w:t>
      </w:r>
      <w:r>
        <w:rPr>
          <w:b w:val="0"/>
          <w:i/>
        </w:rPr>
        <w:t>dividas</w:t>
      </w:r>
      <w:r>
        <w:rPr>
          <w:b w:val="0"/>
          <w:i w:val="0"/>
        </w:rPr>
        <w:t xml:space="preserve">; </w:t>
      </w:r>
      <w:r>
        <w:rPr>
          <w:b w:val="0"/>
          <w:i/>
        </w:rPr>
        <w:t>dividi</w:t>
      </w:r>
      <w:r>
        <w:rPr>
          <w:b w:val="0"/>
          <w:i w:val="0"/>
        </w:rPr>
        <w:t xml:space="preserve">; </w:t>
      </w:r>
      <w:r>
        <w:rPr>
          <w:b w:val="0"/>
          <w:i/>
        </w:rPr>
        <w:t>dividimus</w:t>
      </w:r>
      <w:r>
        <w:rPr>
          <w:b w:val="0"/>
          <w:i w:val="0"/>
        </w:rPr>
        <w:t xml:space="preserve">; </w:t>
      </w:r>
      <w:r>
        <w:rPr>
          <w:b w:val="0"/>
          <w:i/>
        </w:rPr>
        <w:t>dividitur</w:t>
      </w:r>
      <w:r>
        <w:rPr>
          <w:b w:val="0"/>
          <w:i w:val="0"/>
        </w:rPr>
        <w:t xml:space="preserve">; </w:t>
      </w:r>
      <w:r>
        <w:rPr>
          <w:b w:val="0"/>
          <w:i/>
        </w:rPr>
        <w:t>partiamur</w:t>
      </w:r>
      <w:r>
        <w:rPr>
          <w:b w:val="0"/>
          <w:i w:val="0"/>
        </w:rPr>
        <w:t xml:space="preserve">; </w:t>
      </w:r>
      <w:r>
        <w:rPr>
          <w:b w:val="0"/>
          <w:i/>
        </w:rPr>
        <w:t>partiri</w:t>
      </w:r>
      <w:r>
        <w:rPr>
          <w:b w:val="0"/>
          <w:i w:val="0"/>
        </w:rPr>
        <w:t xml:space="preserve">; </w:t>
      </w:r>
      <w:r>
        <w:rPr>
          <w:b w:val="0"/>
          <w:i/>
        </w:rPr>
        <w:t>secabit</w:t>
      </w:r>
      <w:r>
        <w:rPr>
          <w:b w:val="0"/>
          <w:i w:val="0"/>
        </w:rPr>
        <w:t xml:space="preserve">; </w:t>
      </w:r>
      <w:r>
        <w:rPr>
          <w:b w:val="0"/>
          <w:i/>
        </w:rPr>
        <w:t>secas</w:t>
      </w:r>
      <w:r>
        <w:rPr>
          <w:b w:val="0"/>
          <w:i w:val="0"/>
        </w:rPr>
        <w:t xml:space="preserve">; </w:t>
      </w:r>
      <w:r>
        <w:rPr>
          <w:b w:val="0"/>
          <w:i/>
        </w:rPr>
        <w:t>secatur</w:t>
      </w:r>
      <w:r>
        <w:rPr>
          <w:b w:val="0"/>
          <w:i w:val="0"/>
        </w:rPr>
        <w:t>.</w:t>
      </w:r>
    </w:p>
    <w:p>
      <w:pPr>
        <w:widowControl/>
      </w:pPr>
      <w:r>
        <w:rPr>
          <w:b w:val="0"/>
          <w:i w:val="0"/>
        </w:rPr>
        <w:t xml:space="preserve">Dividing, cutting and partitioning, bodily or conceptual according to context. A body can be cut into bodies while humanity is not thereby cut into humans; the difference limits the claim of specific simplicity. References: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6">
        <w:r>
          <w:rPr>
            <w:color w:val="000000"/>
          </w:rPr>
          <w:t xml:space="preserve">VIII.4.6</w:t>
        </w:r>
      </w:hyperlink>
      <w:r>
        <w:rPr>
          <w:b w:val="0"/>
          <w:i w:val="0"/>
        </w:rPr>
        <w:t xml:space="preserve">, </w:t>
      </w:r>
      <w:hyperlink w:anchor="passage-viii-4-10">
        <w:r>
          <w:rPr>
            <w:color w:val="000000"/>
          </w:rPr>
          <w:t xml:space="preserve">VIII.4.10</w:t>
        </w:r>
      </w:hyperlink>
      <w:r>
        <w:rPr>
          <w:b w:val="0"/>
          <w:i w:val="0"/>
        </w:rPr>
        <w:t xml:space="preserve">, </w:t>
      </w:r>
      <w:hyperlink w:anchor="passage-viii-4-12">
        <w:r>
          <w:rPr>
            <w:color w:val="000000"/>
          </w:rPr>
          <w:t xml:space="preserve">VIII.4.12</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645" w:name="latin-record-0404"/>
      <w:bookmarkEnd w:id="645"/>
      <w:r>
        <w:rPr>
          <w:b/>
          <w:i w:val="0"/>
        </w:rPr>
        <w:t>dividere; divisio</w:t>
      </w:r>
      <w:r>
        <w:rPr>
          <w:b/>
          <w:i w:val="0"/>
        </w:rPr>
        <w:t>.</w:t>
      </w:r>
      <w:r>
        <w:rPr>
          <w:b w:val="0"/>
          <w:i w:val="0"/>
        </w:rPr>
        <w:t xml:space="preserve"> Printed forms: </w:t>
      </w:r>
      <w:r>
        <w:rPr>
          <w:b w:val="0"/>
          <w:i/>
        </w:rPr>
        <w:t>dividendo</w:t>
      </w:r>
      <w:r>
        <w:rPr>
          <w:b w:val="0"/>
          <w:i w:val="0"/>
        </w:rPr>
        <w:t xml:space="preserve">; </w:t>
      </w:r>
      <w:r>
        <w:rPr>
          <w:b w:val="0"/>
          <w:i/>
        </w:rPr>
        <w:t>dividi</w:t>
      </w:r>
      <w:r>
        <w:rPr>
          <w:b w:val="0"/>
          <w:i w:val="0"/>
        </w:rPr>
        <w:t xml:space="preserve">; </w:t>
      </w:r>
      <w:r>
        <w:rPr>
          <w:b w:val="0"/>
          <w:i/>
        </w:rPr>
        <w:t>dividitur</w:t>
      </w:r>
      <w:r>
        <w:rPr>
          <w:b w:val="0"/>
          <w:i w:val="0"/>
        </w:rPr>
        <w:t xml:space="preserve">; </w:t>
      </w:r>
      <w:r>
        <w:rPr>
          <w:b w:val="0"/>
          <w:i/>
        </w:rPr>
        <w:t>dividuntur</w:t>
      </w:r>
      <w:r>
        <w:rPr>
          <w:b w:val="0"/>
          <w:i w:val="0"/>
        </w:rPr>
        <w:t xml:space="preserve">; </w:t>
      </w:r>
      <w:r>
        <w:rPr>
          <w:b w:val="0"/>
          <w:i/>
        </w:rPr>
        <w:t>divisa</w:t>
      </w:r>
      <w:r>
        <w:rPr>
          <w:b w:val="0"/>
          <w:i w:val="0"/>
        </w:rPr>
        <w:t xml:space="preserve">; </w:t>
      </w:r>
      <w:r>
        <w:rPr>
          <w:b w:val="0"/>
          <w:i/>
        </w:rPr>
        <w:t>divisam</w:t>
      </w:r>
      <w:r>
        <w:rPr>
          <w:b w:val="0"/>
          <w:i w:val="0"/>
        </w:rPr>
        <w:t xml:space="preserve">; </w:t>
      </w:r>
      <w:r>
        <w:rPr>
          <w:b w:val="0"/>
          <w:i/>
        </w:rPr>
        <w:t>divisibile</w:t>
      </w:r>
      <w:r>
        <w:rPr>
          <w:b w:val="0"/>
          <w:i w:val="0"/>
        </w:rPr>
        <w:t xml:space="preserve">; </w:t>
      </w:r>
      <w:r>
        <w:rPr>
          <w:b w:val="0"/>
          <w:i/>
        </w:rPr>
        <w:t>divisibiles</w:t>
      </w:r>
      <w:r>
        <w:rPr>
          <w:b w:val="0"/>
          <w:i w:val="0"/>
        </w:rPr>
        <w:t xml:space="preserve">; </w:t>
      </w:r>
      <w:r>
        <w:rPr>
          <w:b w:val="0"/>
          <w:i/>
        </w:rPr>
        <w:t>divisibilis</w:t>
      </w:r>
      <w:r>
        <w:rPr>
          <w:b w:val="0"/>
          <w:i w:val="0"/>
        </w:rPr>
        <w:t xml:space="preserve">; </w:t>
      </w:r>
      <w:r>
        <w:rPr>
          <w:b w:val="0"/>
          <w:i/>
        </w:rPr>
        <w:t>divisionem</w:t>
      </w:r>
      <w:r>
        <w:rPr>
          <w:b w:val="0"/>
          <w:i w:val="0"/>
        </w:rPr>
        <w:t xml:space="preserve">; </w:t>
      </w:r>
      <w:r>
        <w:rPr>
          <w:b w:val="0"/>
          <w:i/>
        </w:rPr>
        <w:t>divisionis</w:t>
      </w:r>
      <w:r>
        <w:rPr>
          <w:b w:val="0"/>
          <w:i w:val="0"/>
        </w:rPr>
        <w:t>.</w:t>
      </w:r>
    </w:p>
    <w:p>
      <w:pPr>
        <w:widowControl/>
      </w:pPr>
      <w:r>
        <w:rPr>
          <w:b w:val="0"/>
          <w:i w:val="0"/>
        </w:rPr>
        <w:t xml:space="preserve">To divide; division either of bodies or of alternatives in an argument. Potential bodily division, a form dispersed with body and the logical fourfold division are distinct senses; the last does not assert four physical parts. References: </w:t>
      </w:r>
      <w:hyperlink w:anchor="passage-vi-2-20">
        <w:r>
          <w:rPr>
            <w:color w:val="000000"/>
          </w:rPr>
          <w:t xml:space="preserve">VI.2.20</w:t>
        </w:r>
      </w:hyperlink>
      <w:r>
        <w:rPr>
          <w:b w:val="0"/>
          <w:i w:val="0"/>
        </w:rPr>
        <w:t xml:space="preserve">, </w:t>
      </w:r>
      <w:hyperlink w:anchor="passage-vi-3-1">
        <w:r>
          <w:rPr>
            <w:color w:val="000000"/>
          </w:rPr>
          <w:t xml:space="preserve">VI.3.1</w:t>
        </w:r>
      </w:hyperlink>
      <w:r>
        <w:rPr>
          <w:b w:val="0"/>
          <w:i w:val="0"/>
        </w:rPr>
        <w:t xml:space="preserve">, </w:t>
      </w:r>
      <w:hyperlink w:anchor="passage-vi-6-4">
        <w:r>
          <w:rPr>
            <w:color w:val="000000"/>
          </w:rPr>
          <w:t xml:space="preserve">VI.6.4</w:t>
        </w:r>
      </w:hyperlink>
      <w:r>
        <w:rPr>
          <w:b w:val="0"/>
          <w:i w:val="0"/>
        </w:rPr>
        <w:t xml:space="preserve">, </w:t>
      </w:r>
      <w:hyperlink w:anchor="passage-vi-8-5">
        <w:r>
          <w:rPr>
            <w:color w:val="000000"/>
          </w:rPr>
          <w:t xml:space="preserve">VI.8.5</w:t>
        </w:r>
      </w:hyperlink>
      <w:r>
        <w:rPr>
          <w:b w:val="0"/>
          <w:i w:val="0"/>
        </w:rPr>
        <w:t xml:space="preserve">, </w:t>
      </w:r>
      <w:hyperlink w:anchor="passage-vi-9-1">
        <w:r>
          <w:rPr>
            <w:color w:val="000000"/>
          </w:rPr>
          <w:t xml:space="preserve">VI.9.1</w:t>
        </w:r>
      </w:hyperlink>
      <w:r>
        <w:rPr>
          <w:b w:val="0"/>
          <w:i w:val="0"/>
        </w:rPr>
        <w:t xml:space="preserve">, </w:t>
      </w:r>
      <w:hyperlink w:anchor="passage-vi-12-2">
        <w:r>
          <w:rPr>
            <w:color w:val="000000"/>
          </w:rPr>
          <w:t xml:space="preserve">VI.12.2</w:t>
        </w:r>
      </w:hyperlink>
      <w:r>
        <w:rPr>
          <w:b w:val="0"/>
          <w:i w:val="0"/>
        </w:rPr>
        <w:t xml:space="preserve">, </w:t>
      </w:r>
      <w:hyperlink w:anchor="passage-vi-12-4">
        <w:r>
          <w:rPr>
            <w:color w:val="000000"/>
          </w:rPr>
          <w:t xml:space="preserve">VI.12.4</w:t>
        </w:r>
      </w:hyperlink>
      <w:r>
        <w:rPr>
          <w:b w:val="0"/>
          <w:i w:val="0"/>
        </w:rPr>
        <w:t xml:space="preserve">, </w:t>
      </w:r>
      <w:hyperlink w:anchor="passage-vi-12-7">
        <w:r>
          <w:rPr>
            <w:color w:val="000000"/>
          </w:rPr>
          <w:t xml:space="preserve">VI.12.7</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646" w:name="latin-record-0405"/>
      <w:bookmarkEnd w:id="646"/>
      <w:r>
        <w:rPr>
          <w:b/>
          <w:i w:val="0"/>
        </w:rPr>
        <w:t>dividuum / divisibilis</w:t>
      </w:r>
      <w:r>
        <w:rPr>
          <w:b/>
          <w:i w:val="0"/>
        </w:rPr>
        <w:t>.</w:t>
      </w:r>
      <w:r>
        <w:rPr>
          <w:b w:val="0"/>
          <w:i w:val="0"/>
        </w:rPr>
        <w:t xml:space="preserve"> Printed forms: </w:t>
      </w:r>
      <w:r>
        <w:rPr>
          <w:b w:val="0"/>
          <w:i/>
        </w:rPr>
        <w:t>dividua</w:t>
      </w:r>
      <w:r>
        <w:rPr>
          <w:b w:val="0"/>
          <w:i w:val="0"/>
        </w:rPr>
        <w:t xml:space="preserve">; </w:t>
      </w:r>
      <w:r>
        <w:rPr>
          <w:b w:val="0"/>
          <w:i/>
        </w:rPr>
        <w:t>divisibile</w:t>
      </w:r>
      <w:r>
        <w:rPr>
          <w:b w:val="0"/>
          <w:i w:val="0"/>
        </w:rPr>
        <w:t xml:space="preserve">; </w:t>
      </w:r>
      <w:r>
        <w:rPr>
          <w:b w:val="0"/>
          <w:i/>
        </w:rPr>
        <w:t>divisibilem</w:t>
      </w:r>
      <w:r>
        <w:rPr>
          <w:b w:val="0"/>
          <w:i w:val="0"/>
        </w:rPr>
        <w:t xml:space="preserve">; </w:t>
      </w:r>
      <w:r>
        <w:rPr>
          <w:b w:val="0"/>
          <w:i/>
        </w:rPr>
        <w:t>divisibilis</w:t>
      </w:r>
      <w:r>
        <w:rPr>
          <w:b w:val="0"/>
          <w:i w:val="0"/>
        </w:rPr>
        <w:t>.</w:t>
      </w:r>
    </w:p>
    <w:p>
      <w:pPr>
        <w:widowControl/>
      </w:pPr>
      <w:r>
        <w:rPr>
          <w:b w:val="0"/>
          <w:i w:val="0"/>
        </w:rPr>
        <w:t xml:space="preserve">Divisible, admitting quantitative parts. A divisible contact would require corresponding divisible parts in the thing touched, contrary to the hypothesis about soul. References: </w:t>
      </w:r>
      <w:hyperlink w:anchor="passage-v-6-1">
        <w:r>
          <w:rPr>
            <w:color w:val="000000"/>
          </w:rPr>
          <w:t xml:space="preserve">V.6.1</w:t>
        </w:r>
      </w:hyperlink>
      <w:r>
        <w:rPr>
          <w:b w:val="0"/>
          <w:i w:val="0"/>
        </w:rPr>
        <w:t xml:space="preserve">. See </w:t>
      </w:r>
      <w:hyperlink w:anchor="indivisibility-and-contact">
        <w:r>
          <w:rPr>
            <w:color w:val="000000"/>
          </w:rPr>
          <w:t xml:space="preserve">Indivisibility and contact</w:t>
        </w:r>
      </w:hyperlink>
      <w:r>
        <w:rPr>
          <w:b w:val="0"/>
          <w:i w:val="0"/>
        </w:rPr>
        <w:t>.</w:t>
      </w:r>
    </w:p>
    <w:p>
      <w:pPr>
        <w:keepNext/>
        <w:widowControl/>
      </w:pPr>
      <w:bookmarkStart w:id="647" w:name="latin-record-0406"/>
      <w:bookmarkEnd w:id="647"/>
      <w:r>
        <w:rPr>
          <w:b/>
          <w:i w:val="0"/>
        </w:rPr>
        <w:t>divisibilis / dividuus</w:t>
      </w:r>
      <w:r>
        <w:rPr>
          <w:b/>
          <w:i w:val="0"/>
        </w:rPr>
        <w:t>.</w:t>
      </w:r>
      <w:r>
        <w:rPr>
          <w:b w:val="0"/>
          <w:i w:val="0"/>
        </w:rPr>
        <w:t xml:space="preserve"> Printed forms: </w:t>
      </w:r>
      <w:r>
        <w:rPr>
          <w:b w:val="0"/>
          <w:i/>
        </w:rPr>
        <w:t>dividua</w:t>
      </w:r>
      <w:r>
        <w:rPr>
          <w:b w:val="0"/>
          <w:i w:val="0"/>
        </w:rPr>
        <w:t xml:space="preserve">; </w:t>
      </w:r>
      <w:r>
        <w:rPr>
          <w:b w:val="0"/>
          <w:i/>
        </w:rPr>
        <w:t>dividuis</w:t>
      </w:r>
      <w:r>
        <w:rPr>
          <w:b w:val="0"/>
          <w:i w:val="0"/>
        </w:rPr>
        <w:t xml:space="preserve">; </w:t>
      </w:r>
      <w:r>
        <w:rPr>
          <w:b w:val="0"/>
          <w:i/>
        </w:rPr>
        <w:t>divisibile</w:t>
      </w:r>
      <w:r>
        <w:rPr>
          <w:b w:val="0"/>
          <w:i w:val="0"/>
        </w:rPr>
        <w:t xml:space="preserve">; </w:t>
      </w:r>
      <w:r>
        <w:rPr>
          <w:b w:val="0"/>
          <w:i/>
        </w:rPr>
        <w:t>divisibilem</w:t>
      </w:r>
      <w:r>
        <w:rPr>
          <w:b w:val="0"/>
          <w:i w:val="0"/>
        </w:rPr>
        <w:t xml:space="preserve">; </w:t>
      </w:r>
      <w:r>
        <w:rPr>
          <w:b w:val="0"/>
          <w:i/>
        </w:rPr>
        <w:t>divisibili</w:t>
      </w:r>
      <w:r>
        <w:rPr>
          <w:b w:val="0"/>
          <w:i w:val="0"/>
        </w:rPr>
        <w:t xml:space="preserve">; </w:t>
      </w:r>
      <w:r>
        <w:rPr>
          <w:b w:val="0"/>
          <w:i/>
        </w:rPr>
        <w:t>divisibilis</w:t>
      </w:r>
      <w:r>
        <w:rPr>
          <w:b w:val="0"/>
          <w:i w:val="0"/>
        </w:rPr>
        <w:t>.</w:t>
      </w:r>
    </w:p>
    <w:p>
      <w:pPr>
        <w:widowControl/>
      </w:pPr>
      <w:r>
        <w:rPr>
          <w:b w:val="0"/>
          <w:i w:val="0"/>
        </w:rPr>
        <w:t xml:space="preserve">Divisible, particularly as an extended body or a quality distributed through it. The contrast with indivisible intellectual content motivates the location, definition and knowledge arguments; it does not deny that objects known can be physically divided. References: </w:t>
      </w:r>
      <w:hyperlink w:anchor="passage-viii-3-1">
        <w:r>
          <w:rPr>
            <w:color w:val="000000"/>
          </w:rPr>
          <w:t xml:space="preserve">VIII.3.1</w:t>
        </w:r>
      </w:hyperlink>
      <w:r>
        <w:rPr>
          <w:b w:val="0"/>
          <w:i w:val="0"/>
        </w:rPr>
        <w:t xml:space="preserve">, </w:t>
      </w:r>
      <w:hyperlink w:anchor="passage-viii-3-6">
        <w:r>
          <w:rPr>
            <w:color w:val="000000"/>
          </w:rPr>
          <w:t xml:space="preserve">VIII.3.6</w:t>
        </w:r>
      </w:hyperlink>
      <w:r>
        <w:rPr>
          <w:b w:val="0"/>
          <w:i w:val="0"/>
        </w:rPr>
        <w:t xml:space="preserve">, </w:t>
      </w:r>
      <w:hyperlink w:anchor="passage-viii-3-7">
        <w:r>
          <w:rPr>
            <w:color w:val="000000"/>
          </w:rPr>
          <w:t xml:space="preserve">VIII.3.7</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9">
        <w:r>
          <w:rPr>
            <w:color w:val="000000"/>
          </w:rPr>
          <w:t xml:space="preserve">VIII.4.9</w:t>
        </w:r>
      </w:hyperlink>
      <w:r>
        <w:rPr>
          <w:b w:val="0"/>
          <w:i w:val="0"/>
        </w:rPr>
        <w:t xml:space="preserve">, </w:t>
      </w:r>
      <w:hyperlink w:anchor="passage-viii-10-2">
        <w:r>
          <w:rPr>
            <w:color w:val="000000"/>
          </w:rPr>
          <w:t xml:space="preserve">VIII.10.2</w:t>
        </w:r>
      </w:hyperlink>
      <w:r>
        <w:rPr>
          <w:b w:val="0"/>
          <w:i w:val="0"/>
        </w:rPr>
        <w:t xml:space="preserve">, </w:t>
      </w:r>
      <w:hyperlink w:anchor="passage-viii-15-2">
        <w:r>
          <w:rPr>
            <w:color w:val="000000"/>
          </w:rPr>
          <w:t xml:space="preserve">VIII.15.2</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648" w:name="latin-record-0407"/>
      <w:bookmarkEnd w:id="648"/>
      <w:r>
        <w:rPr>
          <w:b/>
          <w:i w:val="0"/>
        </w:rPr>
        <w:t>divisio / membrum</w:t>
      </w:r>
      <w:r>
        <w:rPr>
          <w:b/>
          <w:i w:val="0"/>
        </w:rPr>
        <w:t>.</w:t>
      </w:r>
      <w:r>
        <w:rPr>
          <w:b w:val="0"/>
          <w:i w:val="0"/>
        </w:rPr>
        <w:t xml:space="preserve"> Printed forms: </w:t>
      </w:r>
      <w:r>
        <w:rPr>
          <w:b w:val="0"/>
          <w:i/>
        </w:rPr>
        <w:t>divisionis</w:t>
      </w:r>
      <w:r>
        <w:rPr>
          <w:b w:val="0"/>
          <w:i w:val="0"/>
        </w:rPr>
        <w:t xml:space="preserve">; </w:t>
      </w:r>
      <w:r>
        <w:rPr>
          <w:b w:val="0"/>
          <w:i/>
        </w:rPr>
        <w:t>membro</w:t>
      </w:r>
      <w:r>
        <w:rPr>
          <w:b w:val="0"/>
          <w:i w:val="0"/>
        </w:rPr>
        <w:t xml:space="preserve">; </w:t>
      </w:r>
      <w:r>
        <w:rPr>
          <w:b w:val="0"/>
          <w:i/>
        </w:rPr>
        <w:t>membrum</w:t>
      </w:r>
      <w:r>
        <w:rPr>
          <w:b w:val="0"/>
          <w:i w:val="0"/>
        </w:rPr>
        <w:t>.</w:t>
      </w:r>
    </w:p>
    <w:p>
      <w:pPr>
        <w:widowControl/>
      </w:pPr>
      <w:r>
        <w:rPr>
          <w:b w:val="0"/>
          <w:i w:val="0"/>
        </w:rPr>
        <w:t xml:space="preserve">A logical division and one of its alternatives. The relation between mind and intelligibles has three possibilities; the argument proceeds through each rather than selecting one unannounced. References: </w:t>
      </w:r>
      <w:hyperlink w:anchor="passage-v-15-17">
        <w:r>
          <w:rPr>
            <w:color w:val="000000"/>
          </w:rPr>
          <w:t xml:space="preserve">V.15.17</w:t>
        </w:r>
      </w:hyperlink>
      <w:r>
        <w:rPr>
          <w:b w:val="0"/>
          <w:i w:val="0"/>
        </w:rPr>
        <w:t xml:space="preserve">, </w:t>
      </w:r>
      <w:hyperlink w:anchor="passage-v-15-18">
        <w:r>
          <w:rPr>
            <w:color w:val="000000"/>
          </w:rPr>
          <w:t xml:space="preserve">V.15.18</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649" w:name="latin-record-0408"/>
      <w:bookmarkEnd w:id="649"/>
      <w:r>
        <w:rPr>
          <w:b/>
          <w:i w:val="0"/>
        </w:rPr>
        <w:t>divitiarum cumulus / imperii amplitudo</w:t>
      </w:r>
      <w:r>
        <w:rPr>
          <w:b/>
          <w:i w:val="0"/>
        </w:rPr>
        <w:t>.</w:t>
      </w:r>
      <w:r>
        <w:rPr>
          <w:b w:val="0"/>
          <w:i w:val="0"/>
        </w:rPr>
        <w:t xml:space="preserve"> Printed forms: </w:t>
      </w:r>
      <w:r>
        <w:rPr>
          <w:b w:val="0"/>
          <w:i/>
        </w:rPr>
        <w:t>amplitudo</w:t>
      </w:r>
      <w:r>
        <w:rPr>
          <w:b w:val="0"/>
          <w:i w:val="0"/>
        </w:rPr>
        <w:t xml:space="preserve">; </w:t>
      </w:r>
      <w:r>
        <w:rPr>
          <w:b w:val="0"/>
          <w:i/>
        </w:rPr>
        <w:t>cumulus</w:t>
      </w:r>
      <w:r>
        <w:rPr>
          <w:b w:val="0"/>
          <w:i w:val="0"/>
        </w:rPr>
        <w:t xml:space="preserve">; </w:t>
      </w:r>
      <w:r>
        <w:rPr>
          <w:b w:val="0"/>
          <w:i/>
        </w:rPr>
        <w:t>divitiarum</w:t>
      </w:r>
      <w:r>
        <w:rPr>
          <w:b w:val="0"/>
          <w:i w:val="0"/>
        </w:rPr>
        <w:t xml:space="preserve">; </w:t>
      </w:r>
      <w:r>
        <w:rPr>
          <w:b w:val="0"/>
          <w:i/>
        </w:rPr>
        <w:t>imperii</w:t>
      </w:r>
      <w:r>
        <w:rPr>
          <w:b w:val="0"/>
          <w:i w:val="0"/>
        </w:rPr>
        <w:t>.</w:t>
      </w:r>
    </w:p>
    <w:p>
      <w:pPr>
        <w:widowControl/>
      </w:pPr>
      <w:r>
        <w:rPr>
          <w:b w:val="0"/>
          <w:i w:val="0"/>
        </w:rPr>
        <w:t xml:space="preserve">An accumulation of riches and extent of rule, examples of unsatisfied human ambition. Ficino compares their unending appetite with desire for divine knowledge; the example is diagnostic within his argument, not praise of conquest. References: </w:t>
      </w:r>
      <w:hyperlink w:anchor="passage-viii-16-3">
        <w:r>
          <w:rPr>
            <w:color w:val="000000"/>
          </w:rPr>
          <w:t xml:space="preserve">VIII.16.3</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650" w:name="latin-record-0409"/>
      <w:bookmarkEnd w:id="650"/>
      <w:r>
        <w:rPr>
          <w:b/>
          <w:i w:val="0"/>
        </w:rPr>
        <w:t>docere</w:t>
      </w:r>
      <w:r>
        <w:rPr>
          <w:b/>
          <w:i w:val="0"/>
        </w:rPr>
        <w:t>.</w:t>
      </w:r>
      <w:r>
        <w:rPr>
          <w:b w:val="0"/>
          <w:i w:val="0"/>
        </w:rPr>
        <w:t xml:space="preserve"> Printed forms: </w:t>
      </w:r>
      <w:r>
        <w:rPr>
          <w:b w:val="0"/>
          <w:i/>
        </w:rPr>
        <w:t>docendo</w:t>
      </w:r>
      <w:r>
        <w:rPr>
          <w:b w:val="0"/>
          <w:i w:val="0"/>
        </w:rPr>
        <w:t xml:space="preserve">; </w:t>
      </w:r>
      <w:r>
        <w:rPr>
          <w:b w:val="0"/>
          <w:i/>
        </w:rPr>
        <w:t>docet</w:t>
      </w:r>
      <w:r>
        <w:rPr>
          <w:b w:val="0"/>
          <w:i w:val="0"/>
        </w:rPr>
        <w:t>.</w:t>
      </w:r>
    </w:p>
    <w:p>
      <w:pPr>
        <w:widowControl/>
      </w:pPr>
      <w:r>
        <w:rPr>
          <w:b w:val="0"/>
          <w:i w:val="0"/>
        </w:rPr>
        <w:t xml:space="preserve">To teach or communicate understanding to another. Teaching does not itself make the teacher forget, so the principles do not relocate away from their original living subject. References: </w:t>
      </w:r>
      <w:hyperlink w:anchor="passage-v-15-15">
        <w:r>
          <w:rPr>
            <w:color w:val="000000"/>
          </w:rPr>
          <w:t xml:space="preserve">V.15.15</w:t>
        </w:r>
      </w:hyperlink>
      <w:r>
        <w:rPr>
          <w:b w:val="0"/>
          <w:i w:val="0"/>
        </w:rPr>
        <w:t xml:space="preserve">. See </w:t>
      </w:r>
      <w:hyperlink w:anchor="teaching-without-loss">
        <w:r>
          <w:rPr>
            <w:color w:val="000000"/>
          </w:rPr>
          <w:t xml:space="preserve">Teaching without loss</w:t>
        </w:r>
      </w:hyperlink>
      <w:r>
        <w:rPr>
          <w:b w:val="0"/>
          <w:i w:val="0"/>
        </w:rPr>
        <w:t>.</w:t>
      </w:r>
    </w:p>
    <w:p>
      <w:pPr>
        <w:keepNext/>
        <w:widowControl/>
      </w:pPr>
      <w:bookmarkStart w:id="651" w:name="latin-record-0410"/>
      <w:bookmarkEnd w:id="651"/>
      <w:r>
        <w:rPr>
          <w:b/>
          <w:i w:val="0"/>
        </w:rPr>
        <w:t>docilitas / acumen</w:t>
      </w:r>
      <w:r>
        <w:rPr>
          <w:b/>
          <w:i w:val="0"/>
        </w:rPr>
        <w:t>.</w:t>
      </w:r>
      <w:r>
        <w:rPr>
          <w:b w:val="0"/>
          <w:i w:val="0"/>
        </w:rPr>
        <w:t xml:space="preserve"> Printed forms: </w:t>
      </w:r>
      <w:r>
        <w:rPr>
          <w:b w:val="0"/>
          <w:i/>
        </w:rPr>
        <w:t>acumen</w:t>
      </w:r>
      <w:r>
        <w:rPr>
          <w:b w:val="0"/>
          <w:i w:val="0"/>
        </w:rPr>
        <w:t xml:space="preserve">; </w:t>
      </w:r>
      <w:r>
        <w:rPr>
          <w:b w:val="0"/>
          <w:i/>
        </w:rPr>
        <w:t>docilitas</w:t>
      </w:r>
      <w:r>
        <w:rPr>
          <w:b w:val="0"/>
          <w:i w:val="0"/>
        </w:rPr>
        <w:t>.</w:t>
      </w:r>
    </w:p>
    <w:p>
      <w:pPr>
        <w:widowControl/>
      </w:pPr>
      <w:r>
        <w:rPr>
          <w:b w:val="0"/>
          <w:i w:val="0"/>
        </w:rPr>
        <w:t xml:space="preserve">Capacity to learn and keenness of cognition. A soul too solid to be impressed would lose both; they are not identified with sheer material softness. References: </w:t>
      </w:r>
      <w:hyperlink w:anchor="passage-vii-1-2">
        <w:r>
          <w:rPr>
            <w:color w:val="000000"/>
          </w:rPr>
          <w:t xml:space="preserve">VII.1.2</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652" w:name="latin-record-0411"/>
      <w:bookmarkEnd w:id="652"/>
      <w:r>
        <w:rPr>
          <w:b/>
          <w:i w:val="0"/>
        </w:rPr>
        <w:t>domina / dominari</w:t>
      </w:r>
      <w:r>
        <w:rPr>
          <w:b/>
          <w:i w:val="0"/>
        </w:rPr>
        <w:t>.</w:t>
      </w:r>
      <w:r>
        <w:rPr>
          <w:b w:val="0"/>
          <w:i w:val="0"/>
        </w:rPr>
        <w:t xml:space="preserve"> Printed forms: </w:t>
      </w:r>
      <w:r>
        <w:rPr>
          <w:b w:val="0"/>
          <w:i/>
        </w:rPr>
        <w:t>domina</w:t>
      </w:r>
      <w:r>
        <w:rPr>
          <w:b w:val="0"/>
          <w:i w:val="0"/>
        </w:rPr>
        <w:t xml:space="preserve">; </w:t>
      </w:r>
      <w:r>
        <w:rPr>
          <w:b w:val="0"/>
          <w:i/>
        </w:rPr>
        <w:t>Domina</w:t>
      </w:r>
      <w:r>
        <w:rPr>
          <w:b w:val="0"/>
          <w:i w:val="0"/>
        </w:rPr>
        <w:t xml:space="preserve">; </w:t>
      </w:r>
      <w:r>
        <w:rPr>
          <w:b w:val="0"/>
          <w:i/>
        </w:rPr>
        <w:t>dominatur</w:t>
      </w:r>
      <w:r>
        <w:rPr>
          <w:b w:val="0"/>
          <w:i w:val="0"/>
        </w:rPr>
        <w:t>.</w:t>
      </w:r>
    </w:p>
    <w:p>
      <w:pPr>
        <w:widowControl/>
      </w:pPr>
      <w:r>
        <w:rPr>
          <w:b w:val="0"/>
          <w:i w:val="0"/>
        </w:rPr>
        <w:t xml:space="preserve">Mistress or ruler, and ruling, describing causal superiority rather than legal ownership. Soul’s rule over matter supports independence from its subject; mistress of life expresses the inseparability of life from soul. References: </w:t>
      </w:r>
      <w:hyperlink w:anchor="passage-v-4-10">
        <w:r>
          <w:rPr>
            <w:color w:val="000000"/>
          </w:rPr>
          <w:t xml:space="preserve">V.4.10</w:t>
        </w:r>
      </w:hyperlink>
      <w:r>
        <w:rPr>
          <w:b w:val="0"/>
          <w:i w:val="0"/>
        </w:rPr>
        <w:t xml:space="preserve">, </w:t>
      </w:r>
      <w:hyperlink w:anchor="passage-v-5-9">
        <w:r>
          <w:rPr>
            <w:color w:val="000000"/>
          </w:rPr>
          <w:t xml:space="preserve">V.5.9</w:t>
        </w:r>
      </w:hyperlink>
      <w:r>
        <w:rPr>
          <w:b w:val="0"/>
          <w:i w:val="0"/>
        </w:rPr>
        <w:t xml:space="preserve">, </w:t>
      </w:r>
      <w:hyperlink w:anchor="passage-v-14-6">
        <w:r>
          <w:rPr>
            <w:color w:val="000000"/>
          </w:rPr>
          <w:t xml:space="preserve">V.14.6</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653" w:name="latin-record-0412"/>
      <w:bookmarkEnd w:id="653"/>
      <w:r>
        <w:rPr>
          <w:b/>
          <w:i w:val="0"/>
        </w:rPr>
        <w:t>dominari / vigere / astringere</w:t>
      </w:r>
      <w:r>
        <w:rPr>
          <w:b/>
          <w:i w:val="0"/>
        </w:rPr>
        <w:t>.</w:t>
      </w:r>
      <w:r>
        <w:rPr>
          <w:b w:val="0"/>
          <w:i w:val="0"/>
        </w:rPr>
        <w:t xml:space="preserve"> Printed forms: </w:t>
      </w:r>
      <w:r>
        <w:rPr>
          <w:b w:val="0"/>
          <w:i/>
        </w:rPr>
        <w:t>astricta</w:t>
      </w:r>
      <w:r>
        <w:rPr>
          <w:b w:val="0"/>
          <w:i w:val="0"/>
        </w:rPr>
        <w:t xml:space="preserve">; </w:t>
      </w:r>
      <w:r>
        <w:rPr>
          <w:b w:val="0"/>
          <w:i/>
        </w:rPr>
        <w:t>dominatur</w:t>
      </w:r>
      <w:r>
        <w:rPr>
          <w:b w:val="0"/>
          <w:i w:val="0"/>
        </w:rPr>
        <w:t xml:space="preserve">; </w:t>
      </w:r>
      <w:r>
        <w:rPr>
          <w:b w:val="0"/>
          <w:i/>
        </w:rPr>
        <w:t>viget</w:t>
      </w:r>
      <w:r>
        <w:rPr>
          <w:b w:val="0"/>
          <w:i w:val="0"/>
        </w:rPr>
        <w:t>.</w:t>
      </w:r>
    </w:p>
    <w:p>
      <w:pPr>
        <w:widowControl/>
      </w:pPr>
      <w:r>
        <w:rPr>
          <w:b w:val="0"/>
          <w:i w:val="0"/>
        </w:rPr>
        <w:t xml:space="preserve">To predominate, prevail in activity, and be tied to a determinate mode. A constitution still has a ruling quality; soul’s activity is not bound to one quality’s proper motion. References: </w:t>
      </w:r>
      <w:hyperlink w:anchor="passage-vii-7-1">
        <w:r>
          <w:rPr>
            <w:color w:val="000000"/>
          </w:rPr>
          <w:t xml:space="preserve">VII.7.1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654" w:name="latin-record-0413"/>
      <w:bookmarkEnd w:id="654"/>
      <w:r>
        <w:rPr>
          <w:b/>
          <w:i w:val="0"/>
        </w:rPr>
        <w:t>dormire / vigilare / expergefieri</w:t>
      </w:r>
      <w:r>
        <w:rPr>
          <w:b/>
          <w:i w:val="0"/>
        </w:rPr>
        <w:t>.</w:t>
      </w:r>
      <w:r>
        <w:rPr>
          <w:b w:val="0"/>
          <w:i w:val="0"/>
        </w:rPr>
        <w:t xml:space="preserve"> Printed forms: </w:t>
      </w:r>
      <w:r>
        <w:rPr>
          <w:b w:val="0"/>
          <w:i/>
        </w:rPr>
        <w:t>dormienti</w:t>
      </w:r>
      <w:r>
        <w:rPr>
          <w:b w:val="0"/>
          <w:i w:val="0"/>
        </w:rPr>
        <w:t xml:space="preserve">; </w:t>
      </w:r>
      <w:r>
        <w:rPr>
          <w:b w:val="0"/>
          <w:i/>
        </w:rPr>
        <w:t>expergefacto</w:t>
      </w:r>
      <w:r>
        <w:rPr>
          <w:b w:val="0"/>
          <w:i w:val="0"/>
        </w:rPr>
        <w:t xml:space="preserve">; </w:t>
      </w:r>
      <w:r>
        <w:rPr>
          <w:b w:val="0"/>
          <w:i/>
        </w:rPr>
        <w:t>vigilanti</w:t>
      </w:r>
      <w:r>
        <w:rPr>
          <w:b w:val="0"/>
          <w:i w:val="0"/>
        </w:rPr>
        <w:t xml:space="preserve">; </w:t>
      </w:r>
      <w:r>
        <w:rPr>
          <w:b w:val="0"/>
          <w:i/>
        </w:rPr>
        <w:t>vigilantibus</w:t>
      </w:r>
      <w:r>
        <w:rPr>
          <w:b w:val="0"/>
          <w:i w:val="0"/>
        </w:rPr>
        <w:t>.</w:t>
      </w:r>
    </w:p>
    <w:p>
      <w:pPr>
        <w:widowControl/>
      </w:pPr>
      <w:r>
        <w:rPr>
          <w:b w:val="0"/>
          <w:i w:val="0"/>
        </w:rPr>
        <w:t xml:space="preserve">Sleeping, waking and being awakened. A truth grasped through valid reasoning remains true across these states despite the dream’s fictitious scene. References: </w:t>
      </w:r>
      <w:hyperlink w:anchor="passage-v-15-24">
        <w:r>
          <w:rPr>
            <w:color w:val="000000"/>
          </w:rPr>
          <w:t xml:space="preserve">V.15.24</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655" w:name="latin-record-0414"/>
      <w:bookmarkEnd w:id="655"/>
      <w:r>
        <w:rPr>
          <w:b/>
          <w:i w:val="0"/>
        </w:rPr>
        <w:t>dos</w:t>
      </w:r>
      <w:r>
        <w:rPr>
          <w:b/>
          <w:i w:val="0"/>
        </w:rPr>
        <w:t>.</w:t>
      </w:r>
      <w:r>
        <w:rPr>
          <w:b w:val="0"/>
          <w:i w:val="0"/>
        </w:rPr>
        <w:t xml:space="preserve"> Printed forms: </w:t>
      </w:r>
      <w:r>
        <w:rPr>
          <w:b w:val="0"/>
          <w:i/>
        </w:rPr>
        <w:t>dotes</w:t>
      </w:r>
      <w:r>
        <w:rPr>
          <w:b w:val="0"/>
          <w:i w:val="0"/>
        </w:rPr>
        <w:t xml:space="preserve">; </w:t>
      </w:r>
      <w:r>
        <w:rPr>
          <w:b w:val="0"/>
          <w:i/>
        </w:rPr>
        <w:t>dotes ex eo</w:t>
      </w:r>
      <w:r>
        <w:rPr>
          <w:b w:val="0"/>
          <w:i w:val="0"/>
        </w:rPr>
        <w:t>.</w:t>
      </w:r>
    </w:p>
    <w:p>
      <w:pPr>
        <w:widowControl/>
      </w:pPr>
      <w:r>
        <w:rPr>
          <w:b w:val="0"/>
          <w:i w:val="0"/>
        </w:rPr>
        <w:t xml:space="preserve">An endowment or gift attached to the soul’s middle position. The three gifts are divine images, forming/containing body, and reconciling divine and bodily orders. References: </w:t>
      </w:r>
      <w:hyperlink w:anchor="passage-v-15-2">
        <w:r>
          <w:rPr>
            <w:color w:val="000000"/>
          </w:rPr>
          <w:t xml:space="preserve">V.15.2</w:t>
        </w:r>
      </w:hyperlink>
      <w:r>
        <w:rPr>
          <w:b w:val="0"/>
          <w:i w:val="0"/>
        </w:rPr>
        <w:t xml:space="preserve">, </w:t>
      </w:r>
      <w:hyperlink w:anchor="passage-v-15-3">
        <w:r>
          <w:rPr>
            <w:color w:val="000000"/>
          </w:rPr>
          <w:t xml:space="preserve">V.15.3</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656" w:name="latin-record-0415"/>
      <w:bookmarkEnd w:id="656"/>
      <w:r>
        <w:rPr>
          <w:b/>
          <w:i w:val="0"/>
        </w:rPr>
        <w:t>dulce / amarum / utile / inutile</w:t>
      </w:r>
      <w:r>
        <w:rPr>
          <w:b/>
          <w:i w:val="0"/>
        </w:rPr>
        <w:t>.</w:t>
      </w:r>
      <w:r>
        <w:rPr>
          <w:b w:val="0"/>
          <w:i w:val="0"/>
        </w:rPr>
        <w:t xml:space="preserve"> Printed forms: </w:t>
      </w:r>
      <w:r>
        <w:rPr>
          <w:b w:val="0"/>
          <w:i/>
        </w:rPr>
        <w:t>amarum</w:t>
      </w:r>
      <w:r>
        <w:rPr>
          <w:b w:val="0"/>
          <w:i w:val="0"/>
        </w:rPr>
        <w:t xml:space="preserve">; </w:t>
      </w:r>
      <w:r>
        <w:rPr>
          <w:b w:val="0"/>
          <w:i/>
        </w:rPr>
        <w:t>dulce</w:t>
      </w:r>
      <w:r>
        <w:rPr>
          <w:b w:val="0"/>
          <w:i w:val="0"/>
        </w:rPr>
        <w:t xml:space="preserve">; </w:t>
      </w:r>
      <w:r>
        <w:rPr>
          <w:b w:val="0"/>
          <w:i/>
        </w:rPr>
        <w:t>inutilia</w:t>
      </w:r>
      <w:r>
        <w:rPr>
          <w:b w:val="0"/>
          <w:i w:val="0"/>
        </w:rPr>
        <w:t xml:space="preserve">; </w:t>
      </w:r>
      <w:r>
        <w:rPr>
          <w:b w:val="0"/>
          <w:i/>
        </w:rPr>
        <w:t>utilia</w:t>
      </w:r>
      <w:r>
        <w:rPr>
          <w:b w:val="0"/>
          <w:i w:val="0"/>
        </w:rPr>
        <w:t>.</w:t>
      </w:r>
    </w:p>
    <w:p>
      <w:pPr>
        <w:widowControl/>
      </w:pPr>
      <w:r>
        <w:rPr>
          <w:b w:val="0"/>
          <w:i w:val="0"/>
        </w:rPr>
        <w:t xml:space="preserve">Sweet and bitter, useful and useless, further contrary objects of joint knowledge. The range moves from bodily qualities to evaluative distinctions while preserving the same nonhostile cognitive reception. References: </w:t>
      </w:r>
      <w:hyperlink w:anchor="passage-viii-12-1">
        <w:r>
          <w:rPr>
            <w:color w:val="000000"/>
          </w:rPr>
          <w:t xml:space="preserve">VIII.12.1</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657" w:name="latin-record-0416"/>
      <w:bookmarkEnd w:id="657"/>
      <w:r>
        <w:rPr>
          <w:b/>
          <w:i w:val="0"/>
        </w:rPr>
        <w:t>dum est</w:t>
      </w:r>
      <w:r>
        <w:rPr>
          <w:b/>
          <w:i w:val="0"/>
        </w:rPr>
        <w:t>.</w:t>
      </w:r>
      <w:r>
        <w:rPr>
          <w:b w:val="0"/>
          <w:i w:val="0"/>
        </w:rPr>
        <w:t xml:space="preserve"> Printed forms: </w:t>
      </w:r>
      <w:r>
        <w:rPr>
          <w:b w:val="0"/>
          <w:i/>
        </w:rPr>
        <w:t>dum est</w:t>
      </w:r>
      <w:r>
        <w:rPr>
          <w:b w:val="0"/>
          <w:i w:val="0"/>
        </w:rPr>
        <w:t xml:space="preserve">; </w:t>
      </w:r>
      <w:r>
        <w:rPr>
          <w:b w:val="0"/>
          <w:i/>
        </w:rPr>
        <w:t>Dum scilicet est</w:t>
      </w:r>
      <w:r>
        <w:rPr>
          <w:b w:val="0"/>
          <w:i w:val="0"/>
        </w:rPr>
        <w:t xml:space="preserve">; </w:t>
      </w:r>
      <w:r>
        <w:rPr>
          <w:b w:val="0"/>
          <w:i/>
        </w:rPr>
        <w:t>dum scilicet est</w:t>
      </w:r>
      <w:r>
        <w:rPr>
          <w:b w:val="0"/>
          <w:i w:val="0"/>
        </w:rPr>
        <w:t>.</w:t>
      </w:r>
    </w:p>
    <w:p>
      <w:pPr>
        <w:widowControl/>
      </w:pPr>
      <w:r>
        <w:rPr>
          <w:b w:val="0"/>
          <w:i w:val="0"/>
        </w:rPr>
        <w:t xml:space="preserve">While it exists, the condition attached to fire’s always being hot. The objector proposes the same qualification for soul’s being; Ficino replies by distinguishing being from hotness and excluding material mediation. References: </w:t>
      </w:r>
      <w:hyperlink w:anchor="passage-v-9-3">
        <w:r>
          <w:rPr>
            <w:color w:val="000000"/>
          </w:rPr>
          <w:t xml:space="preserve">V.9.3</w:t>
        </w:r>
      </w:hyperlink>
      <w:r>
        <w:rPr>
          <w:b w:val="0"/>
          <w:i w:val="0"/>
        </w:rPr>
        <w:t xml:space="preserve">, </w:t>
      </w:r>
      <w:hyperlink w:anchor="passage-v-9-4">
        <w:r>
          <w:rPr>
            <w:color w:val="000000"/>
          </w:rPr>
          <w:t xml:space="preserve">V.9.4</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658" w:name="latin-record-0417"/>
      <w:bookmarkEnd w:id="658"/>
      <w:r>
        <w:rPr>
          <w:b/>
          <w:i w:val="0"/>
        </w:rPr>
        <w:t>duo / quattuor / sex / octo</w:t>
      </w:r>
      <w:r>
        <w:rPr>
          <w:b/>
          <w:i w:val="0"/>
        </w:rPr>
        <w:t>.</w:t>
      </w:r>
      <w:r>
        <w:rPr>
          <w:b w:val="0"/>
          <w:i w:val="0"/>
        </w:rPr>
        <w:t xml:space="preserve"> Printed forms: </w:t>
      </w:r>
      <w:r>
        <w:rPr>
          <w:b w:val="0"/>
          <w:i/>
        </w:rPr>
        <w:t>duo</w:t>
      </w:r>
      <w:r>
        <w:rPr>
          <w:b w:val="0"/>
          <w:i w:val="0"/>
        </w:rPr>
        <w:t xml:space="preserve">; </w:t>
      </w:r>
      <w:r>
        <w:rPr>
          <w:b w:val="0"/>
          <w:i/>
        </w:rPr>
        <w:t>duorum</w:t>
      </w:r>
      <w:r>
        <w:rPr>
          <w:b w:val="0"/>
          <w:i w:val="0"/>
        </w:rPr>
        <w:t xml:space="preserve">; </w:t>
      </w:r>
      <w:r>
        <w:rPr>
          <w:b w:val="0"/>
          <w:i/>
        </w:rPr>
        <w:t>octo</w:t>
      </w:r>
      <w:r>
        <w:rPr>
          <w:b w:val="0"/>
          <w:i w:val="0"/>
        </w:rPr>
        <w:t xml:space="preserve">; </w:t>
      </w:r>
      <w:r>
        <w:rPr>
          <w:b w:val="0"/>
          <w:i/>
        </w:rPr>
        <w:t>quattuor</w:t>
      </w:r>
      <w:r>
        <w:rPr>
          <w:b w:val="0"/>
          <w:i w:val="0"/>
        </w:rPr>
        <w:t xml:space="preserve">; </w:t>
      </w:r>
      <w:r>
        <w:rPr>
          <w:b w:val="0"/>
          <w:i/>
        </w:rPr>
        <w:t>sex</w:t>
      </w:r>
      <w:r>
        <w:rPr>
          <w:b w:val="0"/>
          <w:i w:val="0"/>
        </w:rPr>
        <w:t>.</w:t>
      </w:r>
    </w:p>
    <w:p>
      <w:pPr>
        <w:widowControl/>
      </w:pPr>
      <w:r>
        <w:rPr>
          <w:b w:val="0"/>
          <w:i w:val="0"/>
        </w:rPr>
        <w:t xml:space="preserve">Two, four, six and eight, the actual numbers in the reasoning example. Two plus four equals six; two relates to four as four to eight. These are distinct demonstrations of invariant rational content. References: </w:t>
      </w:r>
      <w:hyperlink w:anchor="passage-v-15-14">
        <w:r>
          <w:rPr>
            <w:color w:val="000000"/>
          </w:rPr>
          <w:t xml:space="preserve">V.15.14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659" w:name="latin-record-0418"/>
      <w:bookmarkEnd w:id="659"/>
      <w:r>
        <w:rPr>
          <w:b/>
          <w:i w:val="0"/>
        </w:rPr>
        <w:t>e vestigio</w:t>
      </w:r>
      <w:r>
        <w:rPr>
          <w:b/>
          <w:i w:val="0"/>
        </w:rPr>
        <w:t>.</w:t>
      </w:r>
      <w:r>
        <w:rPr>
          <w:b w:val="0"/>
          <w:i w:val="0"/>
        </w:rPr>
        <w:t xml:space="preserve"> Printed forms: </w:t>
      </w:r>
      <w:r>
        <w:rPr>
          <w:b w:val="0"/>
          <w:i/>
        </w:rPr>
        <w:t>e vestigio</w:t>
      </w:r>
      <w:r>
        <w:rPr>
          <w:b w:val="0"/>
          <w:i w:val="0"/>
        </w:rPr>
        <w:t>.</w:t>
      </w:r>
    </w:p>
    <w:p>
      <w:pPr>
        <w:widowControl/>
      </w:pPr>
      <w:r>
        <w:rPr>
          <w:b w:val="0"/>
          <w:i w:val="0"/>
        </w:rPr>
        <w:t xml:space="preserve">Immediately or on the instant. The phrase marks the whole realized illumination of contemplative virtue, after the extended distinction between preparation and completion. References: </w:t>
      </w:r>
      <w:hyperlink w:anchor="passage-viii-3-5">
        <w:r>
          <w:rPr>
            <w:color w:val="000000"/>
          </w:rPr>
          <w:t xml:space="preserve">VIII.3.5</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660" w:name="latin-record-0419"/>
      <w:bookmarkEnd w:id="660"/>
      <w:r>
        <w:rPr>
          <w:b/>
          <w:i w:val="0"/>
        </w:rPr>
        <w:t>ebrius / monstrum</w:t>
      </w:r>
      <w:r>
        <w:rPr>
          <w:b/>
          <w:i w:val="0"/>
        </w:rPr>
        <w:t>.</w:t>
      </w:r>
      <w:r>
        <w:rPr>
          <w:b w:val="0"/>
          <w:i w:val="0"/>
        </w:rPr>
        <w:t xml:space="preserve"> Printed forms: </w:t>
      </w:r>
      <w:r>
        <w:rPr>
          <w:b w:val="0"/>
          <w:i/>
        </w:rPr>
        <w:t>ebrius</w:t>
      </w:r>
      <w:r>
        <w:rPr>
          <w:b w:val="0"/>
          <w:i w:val="0"/>
        </w:rPr>
        <w:t xml:space="preserve">; </w:t>
      </w:r>
      <w:r>
        <w:rPr>
          <w:b w:val="0"/>
          <w:i/>
        </w:rPr>
        <w:t>monstro</w:t>
      </w:r>
      <w:r>
        <w:rPr>
          <w:b w:val="0"/>
          <w:i w:val="0"/>
        </w:rPr>
        <w:t>.</w:t>
      </w:r>
    </w:p>
    <w:p>
      <w:pPr>
        <w:widowControl/>
      </w:pPr>
      <w:r>
        <w:rPr>
          <w:b w:val="0"/>
          <w:i w:val="0"/>
        </w:rPr>
        <w:t xml:space="preserve">Drunken or monstrous, the polemical comparisons attached to reductios. Ficino rejects knowing and not knowing, or willing and not willing, the same thing by the same power in the same respect. References: </w:t>
      </w:r>
      <w:hyperlink w:anchor="passage-viii-3-4">
        <w:r>
          <w:rPr>
            <w:color w:val="000000"/>
          </w:rPr>
          <w:t xml:space="preserve">VIII.3.4</w:t>
        </w:r>
      </w:hyperlink>
      <w:r>
        <w:rPr>
          <w:b w:val="0"/>
          <w:i w:val="0"/>
        </w:rPr>
        <w:t xml:space="preserve">, </w:t>
      </w:r>
      <w:hyperlink w:anchor="passage-viii-3-5">
        <w:r>
          <w:rPr>
            <w:color w:val="000000"/>
          </w:rPr>
          <w:t xml:space="preserve">VIII.3.5</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661" w:name="latin-record-0420"/>
      <w:bookmarkEnd w:id="661"/>
      <w:r>
        <w:rPr>
          <w:b/>
          <w:i w:val="0"/>
        </w:rPr>
        <w:t>educere; eruere; addicere</w:t>
      </w:r>
      <w:r>
        <w:rPr>
          <w:b/>
          <w:i w:val="0"/>
        </w:rPr>
        <w:t>.</w:t>
      </w:r>
      <w:r>
        <w:rPr>
          <w:b w:val="0"/>
          <w:i w:val="0"/>
        </w:rPr>
        <w:t xml:space="preserve"> Printed forms: </w:t>
      </w:r>
      <w:r>
        <w:rPr>
          <w:b w:val="0"/>
          <w:i/>
        </w:rPr>
        <w:t>addixerit</w:t>
      </w:r>
      <w:r>
        <w:rPr>
          <w:b w:val="0"/>
          <w:i w:val="0"/>
        </w:rPr>
        <w:t xml:space="preserve">; </w:t>
      </w:r>
      <w:r>
        <w:rPr>
          <w:b w:val="0"/>
          <w:i/>
        </w:rPr>
        <w:t>eduxerit</w:t>
      </w:r>
      <w:r>
        <w:rPr>
          <w:b w:val="0"/>
          <w:i w:val="0"/>
        </w:rPr>
        <w:t xml:space="preserve">; </w:t>
      </w:r>
      <w:r>
        <w:rPr>
          <w:b w:val="0"/>
          <w:i/>
        </w:rPr>
        <w:t>eruerit</w:t>
      </w:r>
      <w:r>
        <w:rPr>
          <w:b w:val="0"/>
          <w:i w:val="0"/>
        </w:rPr>
        <w:t>.</w:t>
      </w:r>
    </w:p>
    <w:p>
      <w:pPr>
        <w:widowControl/>
      </w:pPr>
      <w:r>
        <w:rPr>
          <w:b w:val="0"/>
          <w:i w:val="0"/>
        </w:rPr>
        <w:t xml:space="preserve">To bring out, extract into light, and bind over or assign entirely. The first two express origin from matter; the last its continued subjection to matter.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662" w:name="latin-record-0421"/>
      <w:bookmarkEnd w:id="662"/>
      <w:r>
        <w:rPr>
          <w:b/>
          <w:i w:val="0"/>
        </w:rPr>
        <w:t>effectrix / conservatrix / corruptrix</w:t>
      </w:r>
      <w:r>
        <w:rPr>
          <w:b/>
          <w:i w:val="0"/>
        </w:rPr>
        <w:t>.</w:t>
      </w:r>
      <w:r>
        <w:rPr>
          <w:b w:val="0"/>
          <w:i w:val="0"/>
        </w:rPr>
        <w:t xml:space="preserve"> Printed forms: </w:t>
      </w:r>
      <w:r>
        <w:rPr>
          <w:b w:val="0"/>
          <w:i/>
        </w:rPr>
        <w:t>conservatrix</w:t>
      </w:r>
      <w:r>
        <w:rPr>
          <w:b w:val="0"/>
          <w:i w:val="0"/>
        </w:rPr>
        <w:t xml:space="preserve">; </w:t>
      </w:r>
      <w:r>
        <w:rPr>
          <w:b w:val="0"/>
          <w:i/>
        </w:rPr>
        <w:t>corruptrix</w:t>
      </w:r>
      <w:r>
        <w:rPr>
          <w:b w:val="0"/>
          <w:i w:val="0"/>
        </w:rPr>
        <w:t xml:space="preserve">; </w:t>
      </w:r>
      <w:r>
        <w:rPr>
          <w:b w:val="0"/>
          <w:i/>
        </w:rPr>
        <w:t>effectrix</w:t>
      </w:r>
      <w:r>
        <w:rPr>
          <w:b w:val="0"/>
          <w:i w:val="0"/>
        </w:rPr>
        <w:t>.</w:t>
      </w:r>
    </w:p>
    <w:p>
      <w:pPr>
        <w:widowControl/>
      </w:pPr>
      <w:r>
        <w:rPr>
          <w:b w:val="0"/>
          <w:i w:val="0"/>
        </w:rPr>
        <w:t xml:space="preserve">Producing, preserving and destroying cause, presented as contrasting roles. Ficino challenges whether the cause of life and preservation could also be its destroyer; the question belongs to his argument from divine goodness. References: </w:t>
      </w:r>
      <w:hyperlink w:anchor="passage-v-12-12">
        <w:r>
          <w:rPr>
            <w:color w:val="000000"/>
          </w:rPr>
          <w:t xml:space="preserve">V.12.12</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663" w:name="latin-record-0422"/>
      <w:bookmarkEnd w:id="663"/>
      <w:r>
        <w:rPr>
          <w:b/>
          <w:i w:val="0"/>
        </w:rPr>
        <w:t>effectus proprius</w:t>
      </w:r>
      <w:r>
        <w:rPr>
          <w:b/>
          <w:i w:val="0"/>
        </w:rPr>
        <w:t>.</w:t>
      </w:r>
      <w:r>
        <w:rPr>
          <w:b w:val="0"/>
          <w:i w:val="0"/>
        </w:rPr>
        <w:t xml:space="preserve"> Printed forms: </w:t>
      </w:r>
      <w:r>
        <w:rPr>
          <w:b w:val="0"/>
          <w:i/>
        </w:rPr>
        <w:t>effectibus</w:t>
      </w:r>
      <w:r>
        <w:rPr>
          <w:b w:val="0"/>
          <w:i w:val="0"/>
        </w:rPr>
        <w:t xml:space="preserve">; </w:t>
      </w:r>
      <w:r>
        <w:rPr>
          <w:b w:val="0"/>
          <w:i/>
        </w:rPr>
        <w:t>effectus proprios</w:t>
      </w:r>
      <w:r>
        <w:rPr>
          <w:b w:val="0"/>
          <w:i w:val="0"/>
        </w:rPr>
        <w:t xml:space="preserve">; </w:t>
      </w:r>
      <w:r>
        <w:rPr>
          <w:b w:val="0"/>
          <w:i/>
        </w:rPr>
        <w:t>propriis</w:t>
      </w:r>
      <w:r>
        <w:rPr>
          <w:b w:val="0"/>
          <w:i w:val="0"/>
        </w:rPr>
        <w:t>.</w:t>
      </w:r>
    </w:p>
    <w:p>
      <w:pPr>
        <w:widowControl/>
      </w:pPr>
      <w:r>
        <w:rPr>
          <w:b w:val="0"/>
          <w:i w:val="0"/>
        </w:rPr>
        <w:t xml:space="preserve">A determinate effect belonging to its corresponding cause. The causal method distinguishes these from being common to every effect, which requires a common cause. References: </w:t>
      </w:r>
      <w:hyperlink w:anchor="passage-v-13-1">
        <w:r>
          <w:rPr>
            <w:color w:val="000000"/>
          </w:rPr>
          <w:t xml:space="preserve">V.13.1</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664" w:name="latin-record-0423"/>
      <w:bookmarkEnd w:id="664"/>
      <w:r>
        <w:rPr>
          <w:b/>
          <w:i w:val="0"/>
        </w:rPr>
        <w:t>efficere / causa / effectus</w:t>
      </w:r>
      <w:r>
        <w:rPr>
          <w:b/>
          <w:i w:val="0"/>
        </w:rPr>
        <w:t>.</w:t>
      </w:r>
      <w:r>
        <w:rPr>
          <w:b w:val="0"/>
          <w:i w:val="0"/>
        </w:rPr>
        <w:t xml:space="preserve"> Printed forms: </w:t>
      </w:r>
      <w:r>
        <w:rPr>
          <w:b w:val="0"/>
          <w:i/>
        </w:rPr>
        <w:t>causa</w:t>
      </w:r>
      <w:r>
        <w:rPr>
          <w:b w:val="0"/>
          <w:i w:val="0"/>
        </w:rPr>
        <w:t xml:space="preserve">; </w:t>
      </w:r>
      <w:r>
        <w:rPr>
          <w:b w:val="0"/>
          <w:i/>
        </w:rPr>
        <w:t>effectus</w:t>
      </w:r>
      <w:r>
        <w:rPr>
          <w:b w:val="0"/>
          <w:i w:val="0"/>
        </w:rPr>
        <w:t xml:space="preserve">; </w:t>
      </w:r>
      <w:r>
        <w:rPr>
          <w:b w:val="0"/>
          <w:i/>
        </w:rPr>
        <w:t>efficit</w:t>
      </w:r>
      <w:r>
        <w:rPr>
          <w:b w:val="0"/>
          <w:i w:val="0"/>
        </w:rPr>
        <w:t>.</w:t>
      </w:r>
    </w:p>
    <w:p>
      <w:pPr>
        <w:widowControl/>
      </w:pPr>
      <w:r>
        <w:rPr>
          <w:b w:val="0"/>
          <w:i w:val="0"/>
        </w:rPr>
        <w:t xml:space="preserve">Producing, producer as cause, and the produced effect. The chapter premises that a productive cause is more excellent and freer from matter than its effect.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665" w:name="latin-record-0424"/>
      <w:bookmarkEnd w:id="665"/>
      <w:r>
        <w:rPr>
          <w:b/>
          <w:i w:val="0"/>
        </w:rPr>
        <w:t>efficere / producere / generare</w:t>
      </w:r>
      <w:r>
        <w:rPr>
          <w:b/>
          <w:i w:val="0"/>
        </w:rPr>
        <w:t>.</w:t>
      </w:r>
      <w:r>
        <w:rPr>
          <w:b w:val="0"/>
          <w:i w:val="0"/>
        </w:rPr>
        <w:t xml:space="preserve"> Printed forms: </w:t>
      </w:r>
      <w:r>
        <w:rPr>
          <w:b w:val="0"/>
          <w:i/>
        </w:rPr>
        <w:t>efficiatur</w:t>
      </w:r>
      <w:r>
        <w:rPr>
          <w:b w:val="0"/>
          <w:i w:val="0"/>
        </w:rPr>
        <w:t xml:space="preserve">; </w:t>
      </w:r>
      <w:r>
        <w:rPr>
          <w:b w:val="0"/>
          <w:i/>
        </w:rPr>
        <w:t>efficit</w:t>
      </w:r>
      <w:r>
        <w:rPr>
          <w:b w:val="0"/>
          <w:i w:val="0"/>
        </w:rPr>
        <w:t xml:space="preserve">; </w:t>
      </w:r>
      <w:r>
        <w:rPr>
          <w:b w:val="0"/>
          <w:i/>
        </w:rPr>
        <w:t>efficitur</w:t>
      </w:r>
      <w:r>
        <w:rPr>
          <w:b w:val="0"/>
          <w:i w:val="0"/>
        </w:rPr>
        <w:t xml:space="preserve">; </w:t>
      </w:r>
      <w:r>
        <w:rPr>
          <w:b w:val="0"/>
          <w:i/>
        </w:rPr>
        <w:t>efficiunt</w:t>
      </w:r>
      <w:r>
        <w:rPr>
          <w:b w:val="0"/>
          <w:i w:val="0"/>
        </w:rPr>
        <w:t xml:space="preserve">; </w:t>
      </w:r>
      <w:r>
        <w:rPr>
          <w:b w:val="0"/>
          <w:i/>
        </w:rPr>
        <w:t>generant</w:t>
      </w:r>
      <w:r>
        <w:rPr>
          <w:b w:val="0"/>
          <w:i w:val="0"/>
        </w:rPr>
        <w:t xml:space="preserve">; </w:t>
      </w:r>
      <w:r>
        <w:rPr>
          <w:b w:val="0"/>
          <w:i/>
        </w:rPr>
        <w:t>generat</w:t>
      </w:r>
      <w:r>
        <w:rPr>
          <w:b w:val="0"/>
          <w:i w:val="0"/>
        </w:rPr>
        <w:t xml:space="preserve">; </w:t>
      </w:r>
      <w:r>
        <w:rPr>
          <w:b w:val="0"/>
          <w:i/>
        </w:rPr>
        <w:t>procreat</w:t>
      </w:r>
      <w:r>
        <w:rPr>
          <w:b w:val="0"/>
          <w:i w:val="0"/>
        </w:rPr>
        <w:t xml:space="preserve">; </w:t>
      </w:r>
      <w:r>
        <w:rPr>
          <w:b w:val="0"/>
          <w:i/>
        </w:rPr>
        <w:t>produci</w:t>
      </w:r>
      <w:r>
        <w:rPr>
          <w:b w:val="0"/>
          <w:i w:val="0"/>
        </w:rPr>
        <w:t xml:space="preserve">; </w:t>
      </w:r>
      <w:r>
        <w:rPr>
          <w:b w:val="0"/>
          <w:i/>
        </w:rPr>
        <w:t>producit</w:t>
      </w:r>
      <w:r>
        <w:rPr>
          <w:b w:val="0"/>
          <w:i w:val="0"/>
        </w:rPr>
        <w:t>.</w:t>
      </w:r>
    </w:p>
    <w:p>
      <w:pPr>
        <w:widowControl/>
      </w:pPr>
      <w:r>
        <w:rPr>
          <w:b w:val="0"/>
          <w:i w:val="0"/>
        </w:rPr>
        <w:t xml:space="preserve">Bringing about, producing or generating, whose kind of causality must be determined. Natural offspring, conceptual products and formal self-preservation are not interchangeable with efficient creation of one’s own essence. References: </w:t>
      </w:r>
      <w:hyperlink w:anchor="passage-viii-1-1">
        <w:r>
          <w:rPr>
            <w:color w:val="000000"/>
          </w:rPr>
          <w:t xml:space="preserve">VIII.1.1</w:t>
        </w:r>
      </w:hyperlink>
      <w:r>
        <w:rPr>
          <w:b w:val="0"/>
          <w:i w:val="0"/>
        </w:rPr>
        <w:t xml:space="preserve">, </w:t>
      </w:r>
      <w:hyperlink w:anchor="passage-viii-2-1">
        <w:r>
          <w:rPr>
            <w:color w:val="000000"/>
          </w:rPr>
          <w:t xml:space="preserve">VIII.2.1</w:t>
        </w:r>
      </w:hyperlink>
      <w:r>
        <w:rPr>
          <w:b w:val="0"/>
          <w:i w:val="0"/>
        </w:rPr>
        <w:t xml:space="preserve">, </w:t>
      </w:r>
      <w:hyperlink w:anchor="passage-viii-2-4">
        <w:r>
          <w:rPr>
            <w:color w:val="000000"/>
          </w:rPr>
          <w:t xml:space="preserve">VIII.2.4</w:t>
        </w:r>
      </w:hyperlink>
      <w:r>
        <w:rPr>
          <w:b w:val="0"/>
          <w:i w:val="0"/>
        </w:rPr>
        <w:t xml:space="preserve">, </w:t>
      </w:r>
      <w:hyperlink w:anchor="passage-viii-2-8">
        <w:r>
          <w:rPr>
            <w:color w:val="000000"/>
          </w:rPr>
          <w:t xml:space="preserve">VIII.2.8</w:t>
        </w:r>
      </w:hyperlink>
      <w:r>
        <w:rPr>
          <w:b w:val="0"/>
          <w:i w:val="0"/>
        </w:rPr>
        <w:t xml:space="preserve">, </w:t>
      </w:r>
      <w:hyperlink w:anchor="passage-viii-4-2">
        <w:r>
          <w:rPr>
            <w:color w:val="000000"/>
          </w:rPr>
          <w:t xml:space="preserve">VIII.4.2</w:t>
        </w:r>
      </w:hyperlink>
      <w:r>
        <w:rPr>
          <w:b w:val="0"/>
          <w:i w:val="0"/>
        </w:rPr>
        <w:t xml:space="preserve">, </w:t>
      </w:r>
      <w:hyperlink w:anchor="passage-viii-4-5">
        <w:r>
          <w:rPr>
            <w:color w:val="000000"/>
          </w:rPr>
          <w:t xml:space="preserve">VIII.4.5</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3-1">
        <w:r>
          <w:rPr>
            <w:color w:val="000000"/>
          </w:rPr>
          <w:t xml:space="preserve">VIII.13.1</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666" w:name="latin-record-0425"/>
      <w:bookmarkEnd w:id="666"/>
      <w:r>
        <w:rPr>
          <w:b/>
          <w:i w:val="0"/>
        </w:rPr>
        <w:t>effluere / diffluere / defluere</w:t>
      </w:r>
      <w:r>
        <w:rPr>
          <w:b/>
          <w:i w:val="0"/>
        </w:rPr>
        <w:t>.</w:t>
      </w:r>
      <w:r>
        <w:rPr>
          <w:b w:val="0"/>
          <w:i w:val="0"/>
        </w:rPr>
        <w:t xml:space="preserve"> Printed forms: </w:t>
      </w:r>
      <w:r>
        <w:rPr>
          <w:b w:val="0"/>
          <w:i/>
        </w:rPr>
        <w:t>defluat</w:t>
      </w:r>
      <w:r>
        <w:rPr>
          <w:b w:val="0"/>
          <w:i w:val="0"/>
        </w:rPr>
        <w:t xml:space="preserve">; </w:t>
      </w:r>
      <w:r>
        <w:rPr>
          <w:b w:val="0"/>
          <w:i/>
        </w:rPr>
        <w:t>defluere</w:t>
      </w:r>
      <w:r>
        <w:rPr>
          <w:b w:val="0"/>
          <w:i w:val="0"/>
        </w:rPr>
        <w:t xml:space="preserve">; </w:t>
      </w:r>
      <w:r>
        <w:rPr>
          <w:b w:val="0"/>
          <w:i/>
        </w:rPr>
        <w:t>diffluendo</w:t>
      </w:r>
      <w:r>
        <w:rPr>
          <w:b w:val="0"/>
          <w:i w:val="0"/>
        </w:rPr>
        <w:t xml:space="preserve">; </w:t>
      </w:r>
      <w:r>
        <w:rPr>
          <w:b w:val="0"/>
          <w:i/>
        </w:rPr>
        <w:t>effluendo</w:t>
      </w:r>
      <w:r>
        <w:rPr>
          <w:b w:val="0"/>
          <w:i w:val="0"/>
        </w:rPr>
        <w:t xml:space="preserve">; </w:t>
      </w:r>
      <w:r>
        <w:rPr>
          <w:b w:val="0"/>
          <w:i/>
        </w:rPr>
        <w:t>effluit</w:t>
      </w:r>
      <w:r>
        <w:rPr>
          <w:b w:val="0"/>
          <w:i w:val="0"/>
        </w:rPr>
        <w:t>.</w:t>
      </w:r>
    </w:p>
    <w:p>
      <w:pPr>
        <w:widowControl/>
      </w:pPr>
      <w:r>
        <w:rPr>
          <w:b w:val="0"/>
          <w:i w:val="0"/>
        </w:rPr>
        <w:t xml:space="preserve">Flowing outward, dispersing and ebbing away, distinct images of dependent life. Outward effluence needs support, weakens, takes contamination and eventually loses its proper condition in the four-stage account. References: </w:t>
      </w:r>
      <w:hyperlink w:anchor="passage-viii-15-3">
        <w:r>
          <w:rPr>
            <w:color w:val="000000"/>
          </w:rPr>
          <w:t xml:space="preserve">VIII.15.3</w:t>
        </w:r>
      </w:hyperlink>
      <w:r>
        <w:rPr>
          <w:b w:val="0"/>
          <w:i w:val="0"/>
        </w:rPr>
        <w:t xml:space="preserve">. See </w:t>
      </w:r>
      <w:hyperlink w:anchor="viii-outflow-return">
        <w:r>
          <w:rPr>
            <w:color w:val="000000"/>
          </w:rPr>
          <w:t xml:space="preserve">Outward flow and rational life’s return</w:t>
        </w:r>
      </w:hyperlink>
      <w:r>
        <w:rPr>
          <w:b w:val="0"/>
          <w:i w:val="0"/>
        </w:rPr>
        <w:t>.</w:t>
      </w:r>
    </w:p>
    <w:p>
      <w:pPr>
        <w:keepNext/>
        <w:widowControl/>
      </w:pPr>
      <w:bookmarkStart w:id="667" w:name="latin-record-0426"/>
      <w:bookmarkEnd w:id="667"/>
      <w:r>
        <w:rPr>
          <w:b/>
          <w:i w:val="0"/>
        </w:rPr>
        <w:t>effluere; refluere</w:t>
      </w:r>
      <w:r>
        <w:rPr>
          <w:b/>
          <w:i w:val="0"/>
        </w:rPr>
        <w:t>.</w:t>
      </w:r>
      <w:r>
        <w:rPr>
          <w:b w:val="0"/>
          <w:i w:val="0"/>
        </w:rPr>
        <w:t xml:space="preserve"> Printed forms: </w:t>
      </w:r>
      <w:r>
        <w:rPr>
          <w:b w:val="0"/>
          <w:i/>
        </w:rPr>
        <w:t>effluet refluetque</w:t>
      </w:r>
      <w:r>
        <w:rPr>
          <w:b w:val="0"/>
          <w:i w:val="0"/>
        </w:rPr>
        <w:t xml:space="preserve">; </w:t>
      </w:r>
      <w:r>
        <w:rPr>
          <w:b w:val="0"/>
          <w:i/>
        </w:rPr>
        <w:t>fluit</w:t>
      </w:r>
      <w:r>
        <w:rPr>
          <w:b w:val="0"/>
          <w:i w:val="0"/>
        </w:rPr>
        <w:t>.</w:t>
      </w:r>
    </w:p>
    <w:p>
      <w:pPr>
        <w:widowControl/>
      </w:pPr>
      <w:r>
        <w:rPr>
          <w:b w:val="0"/>
          <w:i w:val="0"/>
        </w:rPr>
        <w:t xml:space="preserve">To flow out and back; to flow. Qualitative as well as material replacement would deprive the animal of an enduring formal source. References: </w:t>
      </w:r>
      <w:hyperlink w:anchor="passage-vi-13-8">
        <w:r>
          <w:rPr>
            <w:color w:val="000000"/>
          </w:rPr>
          <w:t xml:space="preserve">VI.13.8</w:t>
        </w:r>
      </w:hyperlink>
      <w:r>
        <w:rPr>
          <w:b w:val="0"/>
          <w:i w:val="0"/>
        </w:rPr>
        <w:t xml:space="preserve">. See </w:t>
      </w:r>
      <w:hyperlink w:anchor="temperament-flux-and-stable-ruler">
        <w:r>
          <w:rPr>
            <w:color w:val="000000"/>
          </w:rPr>
          <w:t xml:space="preserve">Temperament, flux and the stable ruler</w:t>
        </w:r>
      </w:hyperlink>
      <w:r>
        <w:rPr>
          <w:b w:val="0"/>
          <w:i w:val="0"/>
        </w:rPr>
        <w:t>.</w:t>
      </w:r>
    </w:p>
    <w:p>
      <w:pPr>
        <w:keepNext/>
        <w:widowControl/>
      </w:pPr>
      <w:bookmarkStart w:id="668" w:name="latin-record-0427"/>
      <w:bookmarkEnd w:id="668"/>
      <w:r>
        <w:rPr>
          <w:b/>
          <w:i w:val="0"/>
        </w:rPr>
        <w:t>effundere</w:t>
      </w:r>
      <w:r>
        <w:rPr>
          <w:b/>
          <w:i w:val="0"/>
        </w:rPr>
        <w:t>.</w:t>
      </w:r>
      <w:r>
        <w:rPr>
          <w:b w:val="0"/>
          <w:i w:val="0"/>
        </w:rPr>
        <w:t xml:space="preserve"> Printed forms: </w:t>
      </w:r>
      <w:r>
        <w:rPr>
          <w:b w:val="0"/>
          <w:i/>
        </w:rPr>
        <w:t>effundit</w:t>
      </w:r>
      <w:r>
        <w:rPr>
          <w:b w:val="0"/>
          <w:i w:val="0"/>
        </w:rPr>
        <w:t xml:space="preserve">; </w:t>
      </w:r>
      <w:r>
        <w:rPr>
          <w:b w:val="0"/>
          <w:i/>
        </w:rPr>
        <w:t>effusio</w:t>
      </w:r>
      <w:r>
        <w:rPr>
          <w:b w:val="0"/>
          <w:i w:val="0"/>
        </w:rPr>
        <w:t>.</w:t>
      </w:r>
    </w:p>
    <w:p>
      <w:pPr>
        <w:widowControl/>
      </w:pPr>
      <w:r>
        <w:rPr>
          <w:b w:val="0"/>
          <w:i w:val="0"/>
        </w:rPr>
        <w:t xml:space="preserve">To pour out or let flow away; effusio names an outpouring. Circular movement does not dissipate its powers, while divine radiance is positively described as life’s outpouring; loss and communication are distinct uses. References: </w:t>
      </w:r>
      <w:hyperlink w:anchor="passage-v-1-4">
        <w:r>
          <w:rPr>
            <w:color w:val="000000"/>
          </w:rPr>
          <w:t xml:space="preserve">V.1.4</w:t>
        </w:r>
      </w:hyperlink>
      <w:r>
        <w:rPr>
          <w:b w:val="0"/>
          <w:i w:val="0"/>
        </w:rPr>
        <w:t xml:space="preserve">, </w:t>
      </w:r>
      <w:hyperlink w:anchor="passage-v-15-3">
        <w:r>
          <w:rPr>
            <w:color w:val="000000"/>
          </w:rPr>
          <w:t xml:space="preserve">V.15.3</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669" w:name="latin-record-0428"/>
      <w:bookmarkEnd w:id="669"/>
      <w:r>
        <w:rPr>
          <w:b/>
          <w:i w:val="0"/>
        </w:rPr>
        <w:t>egenus / egere / indigere</w:t>
      </w:r>
      <w:r>
        <w:rPr>
          <w:b/>
          <w:i w:val="0"/>
        </w:rPr>
        <w:t>.</w:t>
      </w:r>
      <w:r>
        <w:rPr>
          <w:b w:val="0"/>
          <w:i w:val="0"/>
        </w:rPr>
        <w:t xml:space="preserve"> Printed forms: </w:t>
      </w:r>
      <w:r>
        <w:rPr>
          <w:b w:val="0"/>
          <w:i/>
        </w:rPr>
        <w:t>egeat</w:t>
      </w:r>
      <w:r>
        <w:rPr>
          <w:b w:val="0"/>
          <w:i w:val="0"/>
        </w:rPr>
        <w:t xml:space="preserve">; </w:t>
      </w:r>
      <w:r>
        <w:rPr>
          <w:b w:val="0"/>
          <w:i/>
        </w:rPr>
        <w:t>egena</w:t>
      </w:r>
      <w:r>
        <w:rPr>
          <w:b w:val="0"/>
          <w:i w:val="0"/>
        </w:rPr>
        <w:t xml:space="preserve">; </w:t>
      </w:r>
      <w:r>
        <w:rPr>
          <w:b w:val="0"/>
          <w:i/>
        </w:rPr>
        <w:t>egeret</w:t>
      </w:r>
      <w:r>
        <w:rPr>
          <w:b w:val="0"/>
          <w:i w:val="0"/>
        </w:rPr>
        <w:t xml:space="preserve">; </w:t>
      </w:r>
      <w:r>
        <w:rPr>
          <w:b w:val="0"/>
          <w:i/>
        </w:rPr>
        <w:t>eget</w:t>
      </w:r>
      <w:r>
        <w:rPr>
          <w:b w:val="0"/>
          <w:i w:val="0"/>
        </w:rPr>
        <w:t xml:space="preserve">; </w:t>
      </w:r>
      <w:r>
        <w:rPr>
          <w:b w:val="0"/>
          <w:i/>
        </w:rPr>
        <w:t>indigent</w:t>
      </w:r>
      <w:r>
        <w:rPr>
          <w:b w:val="0"/>
          <w:i w:val="0"/>
        </w:rPr>
        <w:t xml:space="preserve">; </w:t>
      </w:r>
      <w:r>
        <w:rPr>
          <w:b w:val="0"/>
          <w:i/>
        </w:rPr>
        <w:t>indiget</w:t>
      </w:r>
      <w:r>
        <w:rPr>
          <w:b w:val="0"/>
          <w:i w:val="0"/>
        </w:rPr>
        <w:t xml:space="preserve">; </w:t>
      </w:r>
      <w:r>
        <w:rPr>
          <w:b w:val="0"/>
          <w:i/>
        </w:rPr>
        <w:t>indigus</w:t>
      </w:r>
      <w:r>
        <w:rPr>
          <w:b w:val="0"/>
          <w:i w:val="0"/>
        </w:rPr>
        <w:t>.</w:t>
      </w:r>
    </w:p>
    <w:p>
      <w:pPr>
        <w:widowControl/>
      </w:pPr>
      <w:r>
        <w:rPr>
          <w:b w:val="0"/>
          <w:i w:val="0"/>
        </w:rPr>
        <w:t xml:space="preserve">To need or lack a necessary support or cause. Prime matter needs form, bodily work needs a substrate, and soul needs God but no bodily foundation for its essence. References: </w:t>
      </w:r>
      <w:hyperlink w:anchor="passage-v-4-1">
        <w:r>
          <w:rPr>
            <w:color w:val="000000"/>
          </w:rPr>
          <w:t xml:space="preserve">V.4.1</w:t>
        </w:r>
      </w:hyperlink>
      <w:r>
        <w:rPr>
          <w:b w:val="0"/>
          <w:i w:val="0"/>
        </w:rPr>
        <w:t xml:space="preserve">, </w:t>
      </w:r>
      <w:hyperlink w:anchor="passage-v-5-9">
        <w:r>
          <w:rPr>
            <w:color w:val="000000"/>
          </w:rPr>
          <w:t xml:space="preserve">V.5.9</w:t>
        </w:r>
      </w:hyperlink>
      <w:r>
        <w:rPr>
          <w:b w:val="0"/>
          <w:i w:val="0"/>
        </w:rPr>
        <w:t xml:space="preserve">, </w:t>
      </w:r>
      <w:hyperlink w:anchor="passage-v-12-3">
        <w:r>
          <w:rPr>
            <w:color w:val="000000"/>
          </w:rPr>
          <w:t xml:space="preserve">V.12.3</w:t>
        </w:r>
      </w:hyperlink>
      <w:r>
        <w:rPr>
          <w:b w:val="0"/>
          <w:i w:val="0"/>
        </w:rPr>
        <w:t xml:space="preserve">, </w:t>
      </w:r>
      <w:hyperlink w:anchor="passage-v-13-5">
        <w:r>
          <w:rPr>
            <w:color w:val="000000"/>
          </w:rPr>
          <w:t xml:space="preserve">V.13.5</w:t>
        </w:r>
      </w:hyperlink>
      <w:r>
        <w:rPr>
          <w:b w:val="0"/>
          <w:i w:val="0"/>
        </w:rPr>
        <w:t xml:space="preserve">, </w:t>
      </w:r>
      <w:hyperlink w:anchor="passage-v-13-13">
        <w:r>
          <w:rPr>
            <w:color w:val="000000"/>
          </w:rPr>
          <w:t xml:space="preserve">V.13.13</w:t>
        </w:r>
      </w:hyperlink>
      <w:r>
        <w:rPr>
          <w:b w:val="0"/>
          <w:i w:val="0"/>
        </w:rPr>
        <w:t xml:space="preserve">, </w:t>
      </w:r>
      <w:hyperlink w:anchor="passage-v-13-17">
        <w:r>
          <w:rPr>
            <w:color w:val="000000"/>
          </w:rPr>
          <w:t xml:space="preserve">V.13.17</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670" w:name="latin-record-0429"/>
      <w:bookmarkEnd w:id="670"/>
      <w:r>
        <w:rPr>
          <w:b/>
          <w:i w:val="0"/>
        </w:rPr>
        <w:t>egere; pati</w:t>
      </w:r>
      <w:r>
        <w:rPr>
          <w:b/>
          <w:i w:val="0"/>
        </w:rPr>
        <w:t>.</w:t>
      </w:r>
      <w:r>
        <w:rPr>
          <w:b w:val="0"/>
          <w:i w:val="0"/>
        </w:rPr>
        <w:t xml:space="preserve"> Printed forms: </w:t>
      </w:r>
      <w:r>
        <w:rPr>
          <w:b w:val="0"/>
          <w:i/>
        </w:rPr>
        <w:t>eget patiturque</w:t>
      </w:r>
      <w:r>
        <w:rPr>
          <w:b w:val="0"/>
          <w:i w:val="0"/>
        </w:rPr>
        <w:t xml:space="preserve">; </w:t>
      </w:r>
      <w:r>
        <w:rPr>
          <w:b w:val="0"/>
          <w:i/>
        </w:rPr>
        <w:t>indiget</w:t>
      </w:r>
      <w:r>
        <w:rPr>
          <w:b w:val="0"/>
          <w:i w:val="0"/>
        </w:rPr>
        <w:t>.</w:t>
      </w:r>
    </w:p>
    <w:p>
      <w:pPr>
        <w:widowControl/>
      </w:pPr>
      <w:r>
        <w:rPr>
          <w:b w:val="0"/>
          <w:i w:val="0"/>
        </w:rPr>
        <w:t xml:space="preserve">To need and to undergo, a double measure of dependence. Body’s dimensions and divisibility make it more dependent than surface, line, point and ultimately substantial unity. References: </w:t>
      </w:r>
      <w:hyperlink w:anchor="passage-vi-2-20">
        <w:r>
          <w:rPr>
            <w:color w:val="000000"/>
          </w:rPr>
          <w:t xml:space="preserve">VI.2.20</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671" w:name="latin-record-0430"/>
      <w:bookmarkEnd w:id="671"/>
      <w:r>
        <w:rPr>
          <w:b/>
          <w:i w:val="0"/>
        </w:rPr>
        <w:t>elementum</w:t>
      </w:r>
      <w:r>
        <w:rPr>
          <w:b/>
          <w:i w:val="0"/>
        </w:rPr>
        <w:t>.</w:t>
      </w:r>
      <w:r>
        <w:rPr>
          <w:b w:val="0"/>
          <w:i w:val="0"/>
        </w:rPr>
        <w:t xml:space="preserve"> Printed forms: </w:t>
      </w:r>
      <w:r>
        <w:rPr>
          <w:b w:val="0"/>
          <w:i/>
        </w:rPr>
        <w:t>elementa</w:t>
      </w:r>
      <w:r>
        <w:rPr>
          <w:b w:val="0"/>
          <w:i w:val="0"/>
        </w:rPr>
        <w:t xml:space="preserve">; </w:t>
      </w:r>
      <w:r>
        <w:rPr>
          <w:b w:val="0"/>
          <w:i/>
        </w:rPr>
        <w:t>elementis</w:t>
      </w:r>
      <w:r>
        <w:rPr>
          <w:b w:val="0"/>
          <w:i w:val="0"/>
        </w:rPr>
        <w:t xml:space="preserve">; </w:t>
      </w:r>
      <w:r>
        <w:rPr>
          <w:b w:val="0"/>
          <w:i/>
        </w:rPr>
        <w:t>elemento</w:t>
      </w:r>
      <w:r>
        <w:rPr>
          <w:b w:val="0"/>
          <w:i w:val="0"/>
        </w:rPr>
        <w:t xml:space="preserve">; </w:t>
      </w:r>
      <w:r>
        <w:rPr>
          <w:b w:val="0"/>
          <w:i/>
        </w:rPr>
        <w:t>elementorum</w:t>
      </w:r>
      <w:r>
        <w:rPr>
          <w:b w:val="0"/>
          <w:i w:val="0"/>
        </w:rPr>
        <w:t xml:space="preserve">; </w:t>
      </w:r>
      <w:r>
        <w:rPr>
          <w:b w:val="0"/>
          <w:i/>
        </w:rPr>
        <w:t>elementum</w:t>
      </w:r>
      <w:r>
        <w:rPr>
          <w:b w:val="0"/>
          <w:i w:val="0"/>
        </w:rPr>
        <w:t>.</w:t>
      </w:r>
    </w:p>
    <w:p>
      <w:pPr>
        <w:widowControl/>
      </w:pPr>
      <w:r>
        <w:rPr>
          <w:b w:val="0"/>
          <w:i w:val="0"/>
        </w:rPr>
        <w:t xml:space="preserve">An element of bodily nature; in V.13 the four creaturely </w:t>
      </w:r>
      <w:r>
        <w:t>‘</w:t>
      </w:r>
      <w:r>
        <w:rPr>
          <w:b w:val="0"/>
          <w:i w:val="0"/>
        </w:rPr>
        <w:t>elements</w:t>
      </w:r>
      <w:r>
        <w:t>’</w:t>
      </w:r>
      <w:r>
        <w:rPr>
          <w:b w:val="0"/>
          <w:i w:val="0"/>
        </w:rPr>
        <w:t xml:space="preserve"> are expressly analogical constituents. Elemental transformation presupposes matter; the Pythagorean analogy does not make spirits composites of literal earth, water, air and fire. References: </w:t>
      </w:r>
      <w:hyperlink w:anchor="passage-v-4-1">
        <w:r>
          <w:rPr>
            <w:color w:val="000000"/>
          </w:rPr>
          <w:t xml:space="preserve">V.4.1</w:t>
        </w:r>
      </w:hyperlink>
      <w:r>
        <w:rPr>
          <w:b w:val="0"/>
          <w:i w:val="0"/>
        </w:rPr>
        <w:t xml:space="preserve">, </w:t>
      </w:r>
      <w:hyperlink w:anchor="passage-v-4-6">
        <w:r>
          <w:rPr>
            <w:color w:val="000000"/>
          </w:rPr>
          <w:t xml:space="preserve">V.4.6</w:t>
        </w:r>
      </w:hyperlink>
      <w:r>
        <w:rPr>
          <w:b w:val="0"/>
          <w:i w:val="0"/>
        </w:rPr>
        <w:t xml:space="preserve">, </w:t>
      </w:r>
      <w:hyperlink w:anchor="passage-v-13-7">
        <w:r>
          <w:rPr>
            <w:color w:val="000000"/>
          </w:rPr>
          <w:t xml:space="preserve">V.13.7</w:t>
        </w:r>
      </w:hyperlink>
      <w:r>
        <w:rPr>
          <w:b w:val="0"/>
          <w:i w:val="0"/>
        </w:rPr>
        <w:t xml:space="preserve">. See </w:t>
      </w:r>
      <w:hyperlink w:anchor="art-and-elemental-transformation">
        <w:r>
          <w:rPr>
            <w:color w:val="000000"/>
          </w:rPr>
          <w:t xml:space="preserve">Art and elemental transformation</w:t>
        </w:r>
      </w:hyperlink>
      <w:r>
        <w:rPr>
          <w:b w:val="0"/>
          <w:i w:val="0"/>
        </w:rPr>
        <w:t>.</w:t>
      </w:r>
    </w:p>
    <w:p>
      <w:pPr>
        <w:widowControl/>
      </w:pPr>
      <w:r>
        <w:rPr>
          <w:b w:val="0"/>
          <w:i w:val="0"/>
        </w:rPr>
        <w:t xml:space="preserve">An elemental constituent of natural body. The hypothesis of a soul made of several elements is separated from the case of one element still composed of matter and form. References: </w:t>
      </w:r>
      <w:hyperlink w:anchor="passage-vi-11-1">
        <w:r>
          <w:rPr>
            <w:color w:val="000000"/>
          </w:rPr>
          <w:t xml:space="preserve">VI.11.1</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672" w:name="latin-record-0431"/>
      <w:bookmarkEnd w:id="672"/>
      <w:r>
        <w:rPr>
          <w:b/>
          <w:i w:val="0"/>
        </w:rPr>
        <w:t>elementum / mixtum</w:t>
      </w:r>
      <w:r>
        <w:rPr>
          <w:b/>
          <w:i w:val="0"/>
        </w:rPr>
        <w:t>.</w:t>
      </w:r>
      <w:r>
        <w:rPr>
          <w:b w:val="0"/>
          <w:i w:val="0"/>
        </w:rPr>
        <w:t xml:space="preserve"> Printed forms: </w:t>
      </w:r>
      <w:r>
        <w:rPr>
          <w:b w:val="0"/>
          <w:i/>
        </w:rPr>
        <w:t>elementi</w:t>
      </w:r>
      <w:r>
        <w:rPr>
          <w:b w:val="0"/>
          <w:i w:val="0"/>
        </w:rPr>
        <w:t xml:space="preserve">; </w:t>
      </w:r>
      <w:r>
        <w:rPr>
          <w:b w:val="0"/>
          <w:i/>
        </w:rPr>
        <w:t>mixti</w:t>
      </w:r>
      <w:r>
        <w:rPr>
          <w:b w:val="0"/>
          <w:i w:val="0"/>
        </w:rPr>
        <w:t>.</w:t>
      </w:r>
    </w:p>
    <w:p>
      <w:pPr>
        <w:widowControl/>
      </w:pPr>
      <w:r>
        <w:rPr>
          <w:b w:val="0"/>
          <w:i w:val="0"/>
        </w:rPr>
        <w:t xml:space="preserve">An element or mixed body considered through its determinate natural form. The final argument contrasts its movement toward a single terminus with organic growth extending in every direction.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673" w:name="latin-record-0432"/>
      <w:bookmarkEnd w:id="673"/>
      <w:r>
        <w:rPr>
          <w:b/>
          <w:i w:val="0"/>
        </w:rPr>
        <w:t>elephas / equus / prudentia</w:t>
      </w:r>
      <w:r>
        <w:rPr>
          <w:b/>
          <w:i w:val="0"/>
        </w:rPr>
        <w:t>.</w:t>
      </w:r>
      <w:r>
        <w:rPr>
          <w:b w:val="0"/>
          <w:i w:val="0"/>
        </w:rPr>
        <w:t xml:space="preserve"> Printed forms: </w:t>
      </w:r>
      <w:r>
        <w:rPr>
          <w:b w:val="0"/>
          <w:i/>
        </w:rPr>
        <w:t>elephas</w:t>
      </w:r>
      <w:r>
        <w:rPr>
          <w:b w:val="0"/>
          <w:i w:val="0"/>
        </w:rPr>
        <w:t xml:space="preserve">; </w:t>
      </w:r>
      <w:r>
        <w:rPr>
          <w:b w:val="0"/>
          <w:i/>
        </w:rPr>
        <w:t>equo</w:t>
      </w:r>
      <w:r>
        <w:rPr>
          <w:b w:val="0"/>
          <w:i w:val="0"/>
        </w:rPr>
        <w:t xml:space="preserve">; </w:t>
      </w:r>
      <w:r>
        <w:rPr>
          <w:b w:val="0"/>
          <w:i/>
        </w:rPr>
        <w:t>prudentior</w:t>
      </w:r>
      <w:r>
        <w:rPr>
          <w:b w:val="0"/>
          <w:i w:val="0"/>
        </w:rPr>
        <w:t>.</w:t>
      </w:r>
    </w:p>
    <w:p>
      <w:pPr>
        <w:widowControl/>
      </w:pPr>
      <w:r>
        <w:rPr>
          <w:b w:val="0"/>
          <w:i w:val="0"/>
        </w:rPr>
        <w:t xml:space="preserve">Elephant and horse contrasted in practical intelligence. The larger elephant reverses the earlier pattern, blocking the rule that size necessarily harms the soul’s abilities.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674" w:name="latin-record-0433"/>
      <w:bookmarkEnd w:id="674"/>
      <w:r>
        <w:rPr>
          <w:b/>
          <w:i w:val="0"/>
        </w:rPr>
        <w:t>emergere</w:t>
      </w:r>
      <w:r>
        <w:rPr>
          <w:b/>
          <w:i w:val="0"/>
        </w:rPr>
        <w:t>.</w:t>
      </w:r>
      <w:r>
        <w:rPr>
          <w:b w:val="0"/>
          <w:i w:val="0"/>
        </w:rPr>
        <w:t xml:space="preserve"> Printed forms: </w:t>
      </w:r>
      <w:r>
        <w:rPr>
          <w:b w:val="0"/>
          <w:i/>
        </w:rPr>
        <w:t>emergentium</w:t>
      </w:r>
      <w:r>
        <w:rPr>
          <w:b w:val="0"/>
          <w:i w:val="0"/>
        </w:rPr>
        <w:t>.</w:t>
      </w:r>
    </w:p>
    <w:p>
      <w:pPr>
        <w:widowControl/>
      </w:pPr>
      <w:r>
        <w:rPr>
          <w:b w:val="0"/>
          <w:i w:val="0"/>
        </w:rPr>
        <w:t xml:space="preserve">Arising or emerging successively. The seeds emerge in varying manners to generate corporeal effects; their sequence is a motion proper to soul. References: </w:t>
      </w:r>
      <w:hyperlink w:anchor="passage-vi-12-17">
        <w:r>
          <w:rPr>
            <w:color w:val="000000"/>
          </w:rPr>
          <w:t xml:space="preserve">VI.12.17</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675" w:name="latin-record-0434"/>
      <w:bookmarkEnd w:id="675"/>
      <w:r>
        <w:rPr>
          <w:b/>
          <w:i w:val="0"/>
        </w:rPr>
        <w:t>emergere; immergere</w:t>
      </w:r>
      <w:r>
        <w:rPr>
          <w:b/>
          <w:i w:val="0"/>
        </w:rPr>
        <w:t>.</w:t>
      </w:r>
      <w:r>
        <w:rPr>
          <w:b w:val="0"/>
          <w:i w:val="0"/>
        </w:rPr>
        <w:t xml:space="preserve"> Printed forms: </w:t>
      </w:r>
      <w:r>
        <w:rPr>
          <w:b w:val="0"/>
          <w:i/>
        </w:rPr>
        <w:t>Emergite</w:t>
      </w:r>
      <w:r>
        <w:rPr>
          <w:b w:val="0"/>
          <w:i w:val="0"/>
        </w:rPr>
        <w:t xml:space="preserve">; </w:t>
      </w:r>
      <w:r>
        <w:rPr>
          <w:b w:val="0"/>
          <w:i/>
        </w:rPr>
        <w:t>immersae</w:t>
      </w:r>
      <w:r>
        <w:rPr>
          <w:b w:val="0"/>
          <w:i w:val="0"/>
        </w:rPr>
        <w:t>.</w:t>
      </w:r>
    </w:p>
    <w:p>
      <w:pPr>
        <w:widowControl/>
      </w:pPr>
      <w:r>
        <w:rPr>
          <w:b w:val="0"/>
          <w:i w:val="0"/>
        </w:rPr>
        <w:t xml:space="preserve">To emerge and to be immersed. The exhortation answers the preceding image of souls engulfed in bodily darkness. References: </w:t>
      </w:r>
      <w:hyperlink w:anchor="passage-vi-2-18">
        <w:r>
          <w:rPr>
            <w:color w:val="000000"/>
          </w:rPr>
          <w:t xml:space="preserve">VI.2.18</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676" w:name="latin-record-0435"/>
      <w:bookmarkEnd w:id="676"/>
      <w:r>
        <w:rPr>
          <w:b/>
          <w:i w:val="0"/>
        </w:rPr>
        <w:t>emicare / exuberare / evadere</w:t>
      </w:r>
      <w:r>
        <w:rPr>
          <w:b/>
          <w:i w:val="0"/>
        </w:rPr>
        <w:t>.</w:t>
      </w:r>
      <w:r>
        <w:rPr>
          <w:b w:val="0"/>
          <w:i w:val="0"/>
        </w:rPr>
        <w:t xml:space="preserve"> Printed forms: </w:t>
      </w:r>
      <w:r>
        <w:rPr>
          <w:b w:val="0"/>
          <w:i/>
        </w:rPr>
        <w:t>emicet</w:t>
      </w:r>
      <w:r>
        <w:rPr>
          <w:b w:val="0"/>
          <w:i w:val="0"/>
        </w:rPr>
        <w:t xml:space="preserve">; </w:t>
      </w:r>
      <w:r>
        <w:rPr>
          <w:b w:val="0"/>
          <w:i/>
        </w:rPr>
        <w:t>evaditque</w:t>
      </w:r>
      <w:r>
        <w:rPr>
          <w:b w:val="0"/>
          <w:i w:val="0"/>
        </w:rPr>
        <w:t xml:space="preserve">; </w:t>
      </w:r>
      <w:r>
        <w:rPr>
          <w:b w:val="0"/>
          <w:i/>
        </w:rPr>
        <w:t>exuberat</w:t>
      </w:r>
      <w:r>
        <w:rPr>
          <w:b w:val="0"/>
          <w:i w:val="0"/>
        </w:rPr>
        <w:t>.</w:t>
      </w:r>
    </w:p>
    <w:p>
      <w:pPr>
        <w:widowControl/>
      </w:pPr>
      <w:r>
        <w:rPr>
          <w:b w:val="0"/>
          <w:i w:val="0"/>
        </w:rPr>
        <w:t xml:space="preserve">To shine forth, overflow abundantly and issue outward. These verbs describe the account of visible light proceeding from invisible celestial light; they report Ficino’s natural philosophy. References: </w:t>
      </w:r>
      <w:hyperlink w:anchor="passage-vii-1-3">
        <w:r>
          <w:rPr>
            <w:color w:val="000000"/>
          </w:rPr>
          <w:t xml:space="preserve">VII.1.3</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677" w:name="latin-record-0436"/>
      <w:bookmarkEnd w:id="677"/>
      <w:r>
        <w:rPr>
          <w:b/>
          <w:i w:val="0"/>
        </w:rPr>
        <w:t>Empedocles / Timaeus Locrus</w:t>
      </w:r>
      <w:r>
        <w:rPr>
          <w:b/>
          <w:i w:val="0"/>
        </w:rPr>
        <w:t>.</w:t>
      </w:r>
      <w:r>
        <w:rPr>
          <w:b w:val="0"/>
          <w:i w:val="0"/>
        </w:rPr>
        <w:t xml:space="preserve"> Printed forms: </w:t>
      </w:r>
      <w:r>
        <w:rPr>
          <w:b w:val="0"/>
          <w:i/>
        </w:rPr>
        <w:t>Empedocles</w:t>
      </w:r>
      <w:r>
        <w:rPr>
          <w:b w:val="0"/>
          <w:i w:val="0"/>
        </w:rPr>
        <w:t xml:space="preserve">; </w:t>
      </w:r>
      <w:r>
        <w:rPr>
          <w:b w:val="0"/>
          <w:i/>
        </w:rPr>
        <w:t>Timaeus Locrus</w:t>
      </w:r>
      <w:r>
        <w:rPr>
          <w:b w:val="0"/>
          <w:i w:val="0"/>
        </w:rPr>
        <w:t>.</w:t>
      </w:r>
    </w:p>
    <w:p>
      <w:pPr>
        <w:widowControl/>
      </w:pPr>
      <w:r>
        <w:rPr>
          <w:b w:val="0"/>
          <w:i w:val="0"/>
        </w:rPr>
        <w:t xml:space="preserve">Named figures who seem, in Ficino’s report, to intimate the descent and possible return of souls. The qualification videntur and the concluding reservation prevent an unqualified endorsement. References: </w:t>
      </w:r>
      <w:hyperlink w:anchor="passage-v-14-9">
        <w:r>
          <w:rPr>
            <w:color w:val="000000"/>
          </w:rPr>
          <w:t xml:space="preserve">V.14.9</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678" w:name="latin-record-0437"/>
      <w:bookmarkEnd w:id="678"/>
      <w:r>
        <w:rPr>
          <w:b/>
          <w:i w:val="0"/>
        </w:rPr>
        <w:t>enervare / nervosus</w:t>
      </w:r>
      <w:r>
        <w:rPr>
          <w:b/>
          <w:i w:val="0"/>
        </w:rPr>
        <w:t>.</w:t>
      </w:r>
      <w:r>
        <w:rPr>
          <w:b w:val="0"/>
          <w:i w:val="0"/>
        </w:rPr>
        <w:t xml:space="preserve"> Printed forms: </w:t>
      </w:r>
      <w:r>
        <w:rPr>
          <w:b w:val="0"/>
          <w:i/>
        </w:rPr>
        <w:t>enervamus</w:t>
      </w:r>
      <w:r>
        <w:rPr>
          <w:b w:val="0"/>
          <w:i w:val="0"/>
        </w:rPr>
        <w:t xml:space="preserve">; </w:t>
      </w:r>
      <w:r>
        <w:rPr>
          <w:b w:val="0"/>
          <w:i/>
        </w:rPr>
        <w:t>enervato</w:t>
      </w:r>
      <w:r>
        <w:rPr>
          <w:b w:val="0"/>
          <w:i w:val="0"/>
        </w:rPr>
        <w:t xml:space="preserve">; </w:t>
      </w:r>
      <w:r>
        <w:rPr>
          <w:b w:val="0"/>
          <w:i/>
        </w:rPr>
        <w:t>nervosior</w:t>
      </w:r>
      <w:r>
        <w:rPr>
          <w:b w:val="0"/>
          <w:i w:val="0"/>
        </w:rPr>
        <w:t>.</w:t>
      </w:r>
    </w:p>
    <w:p>
      <w:pPr>
        <w:widowControl/>
      </w:pPr>
      <w:r>
        <w:rPr>
          <w:b w:val="0"/>
          <w:i w:val="0"/>
        </w:rPr>
        <w:t xml:space="preserve">Weakening the body’s sinews and becoming more sinewy in soul. The wordplay dramatizes occasions when bodily depletion accompanies intellectual strengthening; it does not prescribe deprivation. References: </w:t>
      </w:r>
      <w:hyperlink w:anchor="passage-viii-2-5">
        <w:r>
          <w:rPr>
            <w:color w:val="000000"/>
          </w:rPr>
          <w:t xml:space="preserve">VIII.2.5</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679" w:name="latin-record-0438"/>
      <w:bookmarkEnd w:id="679"/>
      <w:r>
        <w:rPr>
          <w:b/>
          <w:i w:val="0"/>
        </w:rPr>
        <w:t>Epicurei</w:t>
      </w:r>
      <w:r>
        <w:rPr>
          <w:b/>
          <w:i w:val="0"/>
        </w:rPr>
        <w:t>.</w:t>
      </w:r>
      <w:r>
        <w:rPr>
          <w:b w:val="0"/>
          <w:i w:val="0"/>
        </w:rPr>
        <w:t xml:space="preserve"> Printed forms: </w:t>
      </w:r>
      <w:r>
        <w:rPr>
          <w:b w:val="0"/>
          <w:i/>
        </w:rPr>
        <w:t>Epicurei</w:t>
      </w:r>
      <w:r>
        <w:rPr>
          <w:b w:val="0"/>
          <w:i w:val="0"/>
        </w:rPr>
        <w:t xml:space="preserve">; </w:t>
      </w:r>
      <w:r>
        <w:rPr>
          <w:b w:val="0"/>
          <w:i/>
        </w:rPr>
        <w:t>Epicureis</w:t>
      </w:r>
      <w:r>
        <w:rPr>
          <w:b w:val="0"/>
          <w:i w:val="0"/>
        </w:rPr>
        <w:t xml:space="preserve">; </w:t>
      </w:r>
      <w:r>
        <w:rPr>
          <w:b w:val="0"/>
          <w:i/>
        </w:rPr>
        <w:t>Epicureos</w:t>
      </w:r>
      <w:r>
        <w:rPr>
          <w:b w:val="0"/>
          <w:i w:val="0"/>
        </w:rPr>
        <w:t xml:space="preserve">; </w:t>
      </w:r>
      <w:r>
        <w:rPr>
          <w:b w:val="0"/>
          <w:i/>
        </w:rPr>
        <w:t>Epicureus</w:t>
      </w:r>
      <w:r>
        <w:rPr>
          <w:b w:val="0"/>
          <w:i w:val="0"/>
        </w:rPr>
        <w:t>.</w:t>
      </w:r>
    </w:p>
    <w:p>
      <w:pPr>
        <w:widowControl/>
      </w:pPr>
      <w:r>
        <w:rPr>
          <w:b w:val="0"/>
          <w:i w:val="0"/>
        </w:rPr>
        <w:t xml:space="preserve">The opponents to whom Ficino attributes bodily models of soul and cognition. Their positions are presented polemically by Ficino; these entries explain his argument rather than independently establishing every historical Epicurean doctrine. References: </w:t>
      </w:r>
      <w:hyperlink w:anchor="passage-viii-2-3">
        <w:r>
          <w:rPr>
            <w:color w:val="000000"/>
          </w:rPr>
          <w:t xml:space="preserve">VIII.2.3</w:t>
        </w:r>
      </w:hyperlink>
      <w:r>
        <w:rPr>
          <w:b w:val="0"/>
          <w:i w:val="0"/>
        </w:rPr>
        <w:t xml:space="preserve">, </w:t>
      </w:r>
      <w:hyperlink w:anchor="passage-viii-4-5">
        <w:r>
          <w:rPr>
            <w:color w:val="000000"/>
          </w:rPr>
          <w:t xml:space="preserve">VIII.4.5</w:t>
        </w:r>
      </w:hyperlink>
      <w:r>
        <w:rPr>
          <w:b w:val="0"/>
          <w:i w:val="0"/>
        </w:rPr>
        <w:t xml:space="preserve">, </w:t>
      </w:r>
      <w:hyperlink w:anchor="passage-viii-4-7">
        <w:r>
          <w:rPr>
            <w:color w:val="000000"/>
          </w:rPr>
          <w:t xml:space="preserve">VIII.4.7</w:t>
        </w:r>
      </w:hyperlink>
      <w:r>
        <w:rPr>
          <w:b w:val="0"/>
          <w:i w:val="0"/>
        </w:rPr>
        <w:t xml:space="preserve">, </w:t>
      </w:r>
      <w:hyperlink w:anchor="passage-viii-10-2">
        <w:r>
          <w:rPr>
            <w:color w:val="000000"/>
          </w:rPr>
          <w:t xml:space="preserve">VIII.10.2</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680" w:name="latin-record-0439"/>
      <w:bookmarkEnd w:id="680"/>
      <w:r>
        <w:rPr>
          <w:b/>
          <w:i w:val="0"/>
        </w:rPr>
        <w:t>equus / homo</w:t>
      </w:r>
      <w:r>
        <w:rPr>
          <w:b/>
          <w:i w:val="0"/>
        </w:rPr>
        <w:t>.</w:t>
      </w:r>
      <w:r>
        <w:rPr>
          <w:b w:val="0"/>
          <w:i w:val="0"/>
        </w:rPr>
        <w:t xml:space="preserve"> Printed forms: </w:t>
      </w:r>
      <w:r>
        <w:rPr>
          <w:b w:val="0"/>
          <w:i/>
        </w:rPr>
        <w:t>equi</w:t>
      </w:r>
      <w:r>
        <w:rPr>
          <w:b w:val="0"/>
          <w:i w:val="0"/>
        </w:rPr>
        <w:t xml:space="preserve">; </w:t>
      </w:r>
      <w:r>
        <w:rPr>
          <w:b w:val="0"/>
          <w:i/>
        </w:rPr>
        <w:t>equum</w:t>
      </w:r>
      <w:r>
        <w:rPr>
          <w:b w:val="0"/>
          <w:i w:val="0"/>
        </w:rPr>
        <w:t xml:space="preserve">; </w:t>
      </w:r>
      <w:r>
        <w:rPr>
          <w:b w:val="0"/>
          <w:i/>
        </w:rPr>
        <w:t>equus</w:t>
      </w:r>
      <w:r>
        <w:rPr>
          <w:b w:val="0"/>
          <w:i w:val="0"/>
        </w:rPr>
        <w:t xml:space="preserve">; </w:t>
      </w:r>
      <w:r>
        <w:rPr>
          <w:b w:val="0"/>
          <w:i/>
        </w:rPr>
        <w:t>hominem</w:t>
      </w:r>
      <w:r>
        <w:rPr>
          <w:b w:val="0"/>
          <w:i w:val="0"/>
        </w:rPr>
        <w:t xml:space="preserve">; </w:t>
      </w:r>
      <w:r>
        <w:rPr>
          <w:b w:val="0"/>
          <w:i/>
        </w:rPr>
        <w:t>hominibus</w:t>
      </w:r>
      <w:r>
        <w:rPr>
          <w:b w:val="0"/>
          <w:i w:val="0"/>
        </w:rPr>
        <w:t xml:space="preserve">; </w:t>
      </w:r>
      <w:r>
        <w:rPr>
          <w:b w:val="0"/>
          <w:i/>
        </w:rPr>
        <w:t>hominis</w:t>
      </w:r>
      <w:r>
        <w:rPr>
          <w:b w:val="0"/>
          <w:i w:val="0"/>
        </w:rPr>
        <w:t xml:space="preserve">; </w:t>
      </w:r>
      <w:r>
        <w:rPr>
          <w:b w:val="0"/>
          <w:i/>
        </w:rPr>
        <w:t>homo</w:t>
      </w:r>
      <w:r>
        <w:rPr>
          <w:b w:val="0"/>
          <w:i w:val="0"/>
        </w:rPr>
        <w:t>.</w:t>
      </w:r>
    </w:p>
    <w:p>
      <w:pPr>
        <w:widowControl/>
      </w:pPr>
      <w:r>
        <w:rPr>
          <w:b w:val="0"/>
          <w:i w:val="0"/>
        </w:rPr>
        <w:t xml:space="preserve">Horse and human, distinguishable kinds or depicted figures. The bronze and painter examples use their formal difference; the latter includes Ficino’s aesthetic ranking of the exemplars. References: </w:t>
      </w:r>
      <w:hyperlink w:anchor="passage-v-8-1">
        <w:r>
          <w:rPr>
            <w:color w:val="000000"/>
          </w:rPr>
          <w:t xml:space="preserve">V.8.1</w:t>
        </w:r>
      </w:hyperlink>
      <w:r>
        <w:rPr>
          <w:b w:val="0"/>
          <w:i w:val="0"/>
        </w:rPr>
        <w:t xml:space="preserve">, </w:t>
      </w:r>
      <w:hyperlink w:anchor="passage-v-13-3">
        <w:r>
          <w:rPr>
            <w:color w:val="000000"/>
          </w:rPr>
          <w:t xml:space="preserve">V.13.3</w:t>
        </w:r>
      </w:hyperlink>
      <w:r>
        <w:rPr>
          <w:b w:val="0"/>
          <w:i w:val="0"/>
        </w:rPr>
        <w:t xml:space="preserve">, </w:t>
      </w:r>
      <w:hyperlink w:anchor="passage-v-13-16">
        <w:r>
          <w:rPr>
            <w:color w:val="000000"/>
          </w:rPr>
          <w:t xml:space="preserve">V.13.16</w:t>
        </w:r>
      </w:hyperlink>
      <w:r>
        <w:rPr>
          <w:b w:val="0"/>
          <w:i w:val="0"/>
        </w:rPr>
        <w:t xml:space="preserve">. See </w:t>
      </w:r>
      <w:hyperlink w:anchor="ariston-sculptor-and-painter">
        <w:r>
          <w:rPr>
            <w:color w:val="000000"/>
          </w:rPr>
          <w:t xml:space="preserve">Ariston, sculptor and painter</w:t>
        </w:r>
      </w:hyperlink>
      <w:r>
        <w:rPr>
          <w:b w:val="0"/>
          <w:i w:val="0"/>
        </w:rPr>
        <w:t>.</w:t>
      </w:r>
    </w:p>
    <w:p>
      <w:pPr>
        <w:keepNext/>
        <w:widowControl/>
      </w:pPr>
      <w:bookmarkStart w:id="681" w:name="latin-record-0440"/>
      <w:bookmarkEnd w:id="681"/>
      <w:r>
        <w:rPr>
          <w:b/>
          <w:i w:val="0"/>
        </w:rPr>
        <w:t>esse</w:t>
      </w:r>
      <w:r>
        <w:rPr>
          <w:b/>
          <w:i w:val="0"/>
        </w:rPr>
        <w:t>.</w:t>
      </w:r>
      <w:r>
        <w:rPr>
          <w:b w:val="0"/>
          <w:i w:val="0"/>
        </w:rPr>
        <w:t xml:space="preserve"> Printed forms: </w:t>
      </w:r>
      <w:r>
        <w:rPr>
          <w:b w:val="0"/>
          <w:i/>
        </w:rPr>
        <w:t>esse</w:t>
      </w:r>
      <w:r>
        <w:rPr>
          <w:b w:val="0"/>
          <w:i w:val="0"/>
        </w:rPr>
        <w:t xml:space="preserve">; </w:t>
      </w:r>
      <w:r>
        <w:rPr>
          <w:b w:val="0"/>
          <w:i/>
        </w:rPr>
        <w:t>Esse</w:t>
      </w:r>
      <w:r>
        <w:rPr>
          <w:b w:val="0"/>
          <w:i w:val="0"/>
        </w:rPr>
        <w:t xml:space="preserve">; </w:t>
      </w:r>
      <w:r>
        <w:rPr>
          <w:b w:val="0"/>
          <w:i/>
        </w:rPr>
        <w:t>essendi</w:t>
      </w:r>
      <w:r>
        <w:rPr>
          <w:b w:val="0"/>
          <w:i w:val="0"/>
        </w:rPr>
        <w:t>.</w:t>
      </w:r>
    </w:p>
    <w:p>
      <w:pPr>
        <w:widowControl/>
      </w:pPr>
      <w:r>
        <w:rPr>
          <w:b w:val="0"/>
          <w:i w:val="0"/>
        </w:rPr>
        <w:t xml:space="preserve">Being or existing; the act of essence rather than its definition alone. Common being and a particular mode of being are separated; soul’s being is repeatedly identified with living. References: </w:t>
      </w:r>
      <w:hyperlink w:anchor="passage-v-7-1">
        <w:r>
          <w:rPr>
            <w:color w:val="000000"/>
          </w:rPr>
          <w:t xml:space="preserve">V.7.1</w:t>
        </w:r>
      </w:hyperlink>
      <w:r>
        <w:rPr>
          <w:b w:val="0"/>
          <w:i w:val="0"/>
        </w:rPr>
        <w:t xml:space="preserve">, </w:t>
      </w:r>
      <w:hyperlink w:anchor="passage-v-11-3">
        <w:r>
          <w:rPr>
            <w:color w:val="000000"/>
          </w:rPr>
          <w:t xml:space="preserve">V.11.3</w:t>
        </w:r>
      </w:hyperlink>
      <w:r>
        <w:rPr>
          <w:b w:val="0"/>
          <w:i w:val="0"/>
        </w:rPr>
        <w:t xml:space="preserve">, </w:t>
      </w:r>
      <w:hyperlink w:anchor="passage-v-13-2">
        <w:r>
          <w:rPr>
            <w:color w:val="000000"/>
          </w:rPr>
          <w:t xml:space="preserve">V.13.2</w:t>
        </w:r>
      </w:hyperlink>
      <w:r>
        <w:rPr>
          <w:b w:val="0"/>
          <w:i w:val="0"/>
        </w:rPr>
        <w:t xml:space="preserve">, </w:t>
      </w:r>
      <w:hyperlink w:anchor="passage-v-13-3">
        <w:r>
          <w:rPr>
            <w:color w:val="000000"/>
          </w:rPr>
          <w:t xml:space="preserve">V.13.3</w:t>
        </w:r>
      </w:hyperlink>
      <w:r>
        <w:rPr>
          <w:b w:val="0"/>
          <w:i w:val="0"/>
        </w:rPr>
        <w:t xml:space="preserve">. See </w:t>
      </w:r>
      <w:hyperlink w:anchor="essence-and-being">
        <w:r>
          <w:rPr>
            <w:color w:val="000000"/>
          </w:rPr>
          <w:t xml:space="preserve">Essence and being</w:t>
        </w:r>
      </w:hyperlink>
      <w:r>
        <w:rPr>
          <w:b w:val="0"/>
          <w:i w:val="0"/>
        </w:rPr>
        <w:t>.</w:t>
      </w:r>
    </w:p>
    <w:p>
      <w:pPr>
        <w:widowControl/>
      </w:pPr>
      <w:r>
        <w:rPr>
          <w:b w:val="0"/>
          <w:i w:val="0"/>
        </w:rPr>
        <w:t xml:space="preserve">To be, either as an ordinary predication or as substantive being when used absolutely. The analysis of substance reaches being, and the self-causation passage distinguishes being-well from being according to form; those technical uses must not be imposed on every copula.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w:t>
      </w:r>
      <w:hyperlink w:anchor="passage-viii-2-5">
        <w:r>
          <w:rPr>
            <w:color w:val="000000"/>
          </w:rPr>
          <w:t xml:space="preserve">VIII.2.5</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3-6">
        <w:r>
          <w:rPr>
            <w:color w:val="000000"/>
          </w:rPr>
          <w:t xml:space="preserve">VIII.3.6</w:t>
        </w:r>
      </w:hyperlink>
      <w:r>
        <w:rPr>
          <w:b w:val="0"/>
          <w:i w:val="0"/>
        </w:rPr>
        <w:t xml:space="preserve">,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4-10">
        <w:r>
          <w:rPr>
            <w:color w:val="000000"/>
          </w:rPr>
          <w:t xml:space="preserve">VIII.4.10</w:t>
        </w:r>
      </w:hyperlink>
      <w:r>
        <w:rPr>
          <w:b w:val="0"/>
          <w:i w:val="0"/>
        </w:rPr>
        <w:t xml:space="preserve">, </w:t>
      </w:r>
      <w:hyperlink w:anchor="passage-viii-4-12">
        <w:r>
          <w:rPr>
            <w:color w:val="000000"/>
          </w:rPr>
          <w:t xml:space="preserve">VIII.4.12</w:t>
        </w:r>
      </w:hyperlink>
      <w:r>
        <w:rPr>
          <w:b w:val="0"/>
          <w:i w:val="0"/>
        </w:rPr>
        <w:t xml:space="preserve">, </w:t>
      </w:r>
      <w:hyperlink w:anchor="passage-viii-4-13">
        <w:r>
          <w:rPr>
            <w:color w:val="000000"/>
          </w:rPr>
          <w:t xml:space="preserve">VIII.4.13</w:t>
        </w:r>
      </w:hyperlink>
      <w:r>
        <w:rPr>
          <w:b w:val="0"/>
          <w:i w:val="0"/>
        </w:rPr>
        <w:t xml:space="preserve">, </w:t>
      </w:r>
      <w:hyperlink w:anchor="passage-viii-5-2">
        <w:r>
          <w:rPr>
            <w:color w:val="000000"/>
          </w:rPr>
          <w:t xml:space="preserve">VIII.5.2</w:t>
        </w:r>
      </w:hyperlink>
      <w:r>
        <w:rPr>
          <w:b w:val="0"/>
          <w:i w:val="0"/>
        </w:rPr>
        <w:t xml:space="preserve">,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9-1">
        <w:r>
          <w:rPr>
            <w:color w:val="000000"/>
          </w:rPr>
          <w:t xml:space="preserve">VIII.9.1</w:t>
        </w:r>
      </w:hyperlink>
      <w:r>
        <w:rPr>
          <w:b w:val="0"/>
          <w:i w:val="0"/>
        </w:rPr>
        <w:t xml:space="preserve">, </w:t>
      </w:r>
      <w:hyperlink w:anchor="passage-viii-10-2">
        <w:r>
          <w:rPr>
            <w:color w:val="000000"/>
          </w:rPr>
          <w:t xml:space="preserve">VIII.10.2</w:t>
        </w:r>
      </w:hyperlink>
      <w:r>
        <w:rPr>
          <w:b w:val="0"/>
          <w:i w:val="0"/>
        </w:rPr>
        <w:t xml:space="preserve">, </w:t>
      </w:r>
      <w:hyperlink w:anchor="passage-viii-12-1">
        <w:r>
          <w:rPr>
            <w:color w:val="000000"/>
          </w:rPr>
          <w:t xml:space="preserve">VIII.12.1</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first-concepts">
        <w:r>
          <w:rPr>
            <w:color w:val="000000"/>
          </w:rPr>
          <w:t xml:space="preserve">First concepts, unity, and the end of analysis</w:t>
        </w:r>
      </w:hyperlink>
      <w:r>
        <w:rPr>
          <w:b w:val="0"/>
          <w:i w:val="0"/>
        </w:rPr>
        <w:t>.</w:t>
      </w:r>
    </w:p>
    <w:p>
      <w:pPr>
        <w:keepNext/>
        <w:widowControl/>
      </w:pPr>
      <w:bookmarkStart w:id="682" w:name="latin-record-0441"/>
      <w:bookmarkEnd w:id="682"/>
      <w:r>
        <w:rPr>
          <w:b/>
          <w:i w:val="0"/>
        </w:rPr>
        <w:t>esse proprium</w:t>
      </w:r>
      <w:r>
        <w:rPr>
          <w:b/>
          <w:i w:val="0"/>
        </w:rPr>
        <w:t>.</w:t>
      </w:r>
      <w:r>
        <w:rPr>
          <w:b w:val="0"/>
          <w:i w:val="0"/>
        </w:rPr>
        <w:t xml:space="preserve"> Printed forms: </w:t>
      </w:r>
      <w:r>
        <w:rPr>
          <w:b w:val="0"/>
          <w:i/>
        </w:rPr>
        <w:t>esse proprium</w:t>
      </w:r>
      <w:r>
        <w:rPr>
          <w:b w:val="0"/>
          <w:i w:val="0"/>
        </w:rPr>
        <w:t xml:space="preserve">; </w:t>
      </w:r>
      <w:r>
        <w:rPr>
          <w:b w:val="0"/>
          <w:i/>
        </w:rPr>
        <w:t>esse totius compositi</w:t>
      </w:r>
      <w:r>
        <w:rPr>
          <w:b w:val="0"/>
          <w:i w:val="0"/>
        </w:rPr>
        <w:t>.</w:t>
      </w:r>
    </w:p>
    <w:p>
      <w:pPr>
        <w:widowControl/>
      </w:pPr>
      <w:r>
        <w:rPr>
          <w:b w:val="0"/>
          <w:i w:val="0"/>
        </w:rPr>
        <w:t xml:space="preserve">A part’s own being versus the composite whole’s being. Actual independent agency would make each supposed part a self-subsisting whole, undermining its status as a part. References: </w:t>
      </w:r>
      <w:hyperlink w:anchor="passage-vi-12-3">
        <w:r>
          <w:rPr>
            <w:color w:val="000000"/>
          </w:rPr>
          <w:t xml:space="preserve">VI.12.3</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683" w:name="latin-record-0442"/>
      <w:bookmarkEnd w:id="683"/>
      <w:r>
        <w:rPr>
          <w:b/>
          <w:i w:val="0"/>
        </w:rPr>
        <w:t>esse proprium / commune esse</w:t>
      </w:r>
      <w:r>
        <w:rPr>
          <w:b/>
          <w:i w:val="0"/>
        </w:rPr>
        <w:t>.</w:t>
      </w:r>
      <w:r>
        <w:rPr>
          <w:b w:val="0"/>
          <w:i w:val="0"/>
        </w:rPr>
        <w:t xml:space="preserve"> Printed forms: </w:t>
      </w:r>
      <w:r>
        <w:rPr>
          <w:b w:val="0"/>
          <w:i/>
        </w:rPr>
        <w:t>commune esse</w:t>
      </w:r>
      <w:r>
        <w:rPr>
          <w:b w:val="0"/>
          <w:i w:val="0"/>
        </w:rPr>
        <w:t xml:space="preserve">; </w:t>
      </w:r>
      <w:r>
        <w:rPr>
          <w:b w:val="0"/>
          <w:i/>
        </w:rPr>
        <w:t>esse commune</w:t>
      </w:r>
      <w:r>
        <w:rPr>
          <w:b w:val="0"/>
          <w:i w:val="0"/>
        </w:rPr>
        <w:t xml:space="preserve">; </w:t>
      </w:r>
      <w:r>
        <w:rPr>
          <w:b w:val="0"/>
          <w:i/>
        </w:rPr>
        <w:t>esse proprium</w:t>
      </w:r>
      <w:r>
        <w:rPr>
          <w:b w:val="0"/>
          <w:i w:val="0"/>
        </w:rPr>
        <w:t xml:space="preserve">; </w:t>
      </w:r>
      <w:r>
        <w:rPr>
          <w:b w:val="0"/>
          <w:i/>
        </w:rPr>
        <w:t>proprium suum esse</w:t>
      </w:r>
      <w:r>
        <w:rPr>
          <w:b w:val="0"/>
          <w:i w:val="0"/>
        </w:rPr>
        <w:t>.</w:t>
      </w:r>
    </w:p>
    <w:p>
      <w:pPr>
        <w:widowControl/>
      </w:pPr>
      <w:r>
        <w:rPr>
          <w:b w:val="0"/>
          <w:i w:val="0"/>
        </w:rPr>
        <w:t xml:space="preserve">Proper being belongs to something in the relevant mode; common being here is the being of a composite shared by its dependent constituents. Form gives a thing its determinate nature and proper being. In the fire example, however, the form provisionally called heat has no being proper to itself: it exists through the common being of the whole fire and perishes when that composite dissolves. Proper does not mean uncreated. References: </w:t>
      </w:r>
      <w:hyperlink w:anchor="passage-v-8-1">
        <w:r>
          <w:rPr>
            <w:color w:val="000000"/>
          </w:rPr>
          <w:t xml:space="preserve">V.8.1</w:t>
        </w:r>
      </w:hyperlink>
      <w:r>
        <w:rPr>
          <w:b w:val="0"/>
          <w:i w:val="0"/>
        </w:rPr>
        <w:t xml:space="preserve">, </w:t>
      </w:r>
      <w:hyperlink w:anchor="passage-v-8-2">
        <w:r>
          <w:rPr>
            <w:color w:val="000000"/>
          </w:rPr>
          <w:t xml:space="preserve">V.8.2</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684" w:name="latin-record-0443"/>
      <w:bookmarkEnd w:id="684"/>
      <w:r>
        <w:rPr>
          <w:b/>
          <w:i w:val="0"/>
        </w:rPr>
        <w:t>esse; existere</w:t>
      </w:r>
      <w:r>
        <w:rPr>
          <w:b/>
          <w:i w:val="0"/>
        </w:rPr>
        <w:t>.</w:t>
      </w:r>
      <w:r>
        <w:rPr>
          <w:b w:val="0"/>
          <w:i w:val="0"/>
        </w:rPr>
        <w:t xml:space="preserve"> Printed forms: </w:t>
      </w:r>
      <w:r>
        <w:rPr>
          <w:b w:val="0"/>
          <w:i/>
        </w:rPr>
        <w:t>esse</w:t>
      </w:r>
      <w:r>
        <w:rPr>
          <w:b w:val="0"/>
          <w:i w:val="0"/>
        </w:rPr>
        <w:t xml:space="preserve">; </w:t>
      </w:r>
      <w:r>
        <w:rPr>
          <w:b w:val="0"/>
          <w:i/>
        </w:rPr>
        <w:t>existere</w:t>
      </w:r>
      <w:r>
        <w:rPr>
          <w:b w:val="0"/>
          <w:i w:val="0"/>
        </w:rPr>
        <w:t xml:space="preserve">; </w:t>
      </w:r>
      <w:r>
        <w:rPr>
          <w:b w:val="0"/>
          <w:i/>
        </w:rPr>
        <w:t>existit</w:t>
      </w:r>
      <w:r>
        <w:rPr>
          <w:b w:val="0"/>
          <w:i w:val="0"/>
        </w:rPr>
        <w:t>.</w:t>
      </w:r>
    </w:p>
    <w:p>
      <w:pPr>
        <w:widowControl/>
      </w:pPr>
      <w:r>
        <w:rPr>
          <w:b w:val="0"/>
          <w:i w:val="0"/>
        </w:rPr>
        <w:t xml:space="preserve">Being or to be; existing. Affirming one’s being in the Avicennian experiment differs from predicating corporeal qualities; giving substantial being to members differs from merely moving them. References: </w:t>
      </w:r>
      <w:hyperlink w:anchor="passage-vi-2-9">
        <w:r>
          <w:rPr>
            <w:color w:val="000000"/>
          </w:rPr>
          <w:t xml:space="preserve">VI.2.9</w:t>
        </w:r>
      </w:hyperlink>
      <w:r>
        <w:rPr>
          <w:b w:val="0"/>
          <w:i w:val="0"/>
        </w:rPr>
        <w:t xml:space="preserve">, </w:t>
      </w:r>
      <w:hyperlink w:anchor="passage-vi-2-12">
        <w:r>
          <w:rPr>
            <w:color w:val="000000"/>
          </w:rPr>
          <w:t xml:space="preserve">VI.2.12</w:t>
        </w:r>
      </w:hyperlink>
      <w:r>
        <w:rPr>
          <w:b w:val="0"/>
          <w:i w:val="0"/>
        </w:rPr>
        <w:t xml:space="preserve">, </w:t>
      </w:r>
      <w:hyperlink w:anchor="passage-vi-2-23">
        <w:r>
          <w:rPr>
            <w:color w:val="000000"/>
          </w:rPr>
          <w:t xml:space="preserve">VI.2.23</w:t>
        </w:r>
      </w:hyperlink>
      <w:r>
        <w:rPr>
          <w:b w:val="0"/>
          <w:i w:val="0"/>
        </w:rPr>
        <w:t xml:space="preserve">, </w:t>
      </w:r>
      <w:hyperlink w:anchor="passage-vi-9-2">
        <w:r>
          <w:rPr>
            <w:color w:val="000000"/>
          </w:rPr>
          <w:t xml:space="preserve">VI.9.2</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685" w:name="latin-record-0444"/>
      <w:bookmarkEnd w:id="685"/>
      <w:r>
        <w:rPr>
          <w:b/>
          <w:i w:val="0"/>
        </w:rPr>
        <w:t>esse; habere; fieri</w:t>
      </w:r>
      <w:r>
        <w:rPr>
          <w:b/>
          <w:i w:val="0"/>
        </w:rPr>
        <w:t>.</w:t>
      </w:r>
      <w:r>
        <w:rPr>
          <w:b w:val="0"/>
          <w:i w:val="0"/>
        </w:rPr>
        <w:t xml:space="preserve"> Printed forms: </w:t>
      </w:r>
      <w:r>
        <w:rPr>
          <w:b w:val="0"/>
          <w:i/>
        </w:rPr>
        <w:t>erit</w:t>
      </w:r>
      <w:r>
        <w:rPr>
          <w:b w:val="0"/>
          <w:i w:val="0"/>
        </w:rPr>
        <w:t xml:space="preserve">; </w:t>
      </w:r>
      <w:r>
        <w:rPr>
          <w:b w:val="0"/>
          <w:i/>
        </w:rPr>
        <w:t>erunt</w:t>
      </w:r>
      <w:r>
        <w:rPr>
          <w:b w:val="0"/>
          <w:i w:val="0"/>
        </w:rPr>
        <w:t xml:space="preserve">; </w:t>
      </w:r>
      <w:r>
        <w:rPr>
          <w:b w:val="0"/>
          <w:i/>
        </w:rPr>
        <w:t>es</w:t>
      </w:r>
      <w:r>
        <w:rPr>
          <w:b w:val="0"/>
          <w:i w:val="0"/>
        </w:rPr>
        <w:t xml:space="preserve">; </w:t>
      </w:r>
      <w:r>
        <w:rPr>
          <w:b w:val="0"/>
          <w:i/>
        </w:rPr>
        <w:t>essent</w:t>
      </w:r>
      <w:r>
        <w:rPr>
          <w:b w:val="0"/>
          <w:i w:val="0"/>
        </w:rPr>
        <w:t xml:space="preserve">; </w:t>
      </w:r>
      <w:r>
        <w:rPr>
          <w:b w:val="0"/>
          <w:i/>
        </w:rPr>
        <w:t>esset</w:t>
      </w:r>
      <w:r>
        <w:rPr>
          <w:b w:val="0"/>
          <w:i w:val="0"/>
        </w:rPr>
        <w:t xml:space="preserve">; </w:t>
      </w:r>
      <w:r>
        <w:rPr>
          <w:b w:val="0"/>
          <w:i/>
        </w:rPr>
        <w:t>est</w:t>
      </w:r>
      <w:r>
        <w:rPr>
          <w:b w:val="0"/>
          <w:i w:val="0"/>
        </w:rPr>
        <w:t xml:space="preserve">; </w:t>
      </w:r>
      <w:r>
        <w:rPr>
          <w:b w:val="0"/>
          <w:i/>
        </w:rPr>
        <w:t>fiat</w:t>
      </w:r>
      <w:r>
        <w:rPr>
          <w:b w:val="0"/>
          <w:i w:val="0"/>
        </w:rPr>
        <w:t xml:space="preserve">; </w:t>
      </w:r>
      <w:r>
        <w:rPr>
          <w:b w:val="0"/>
          <w:i/>
        </w:rPr>
        <w:t>fieri</w:t>
      </w:r>
      <w:r>
        <w:rPr>
          <w:b w:val="0"/>
          <w:i w:val="0"/>
        </w:rPr>
        <w:t xml:space="preserve">; </w:t>
      </w:r>
      <w:r>
        <w:rPr>
          <w:b w:val="0"/>
          <w:i/>
        </w:rPr>
        <w:t>fiet</w:t>
      </w:r>
      <w:r>
        <w:rPr>
          <w:b w:val="0"/>
          <w:i w:val="0"/>
        </w:rPr>
        <w:t xml:space="preserve">; </w:t>
      </w:r>
      <w:r>
        <w:rPr>
          <w:b w:val="0"/>
          <w:i/>
        </w:rPr>
        <w:t>fit</w:t>
      </w:r>
      <w:r>
        <w:rPr>
          <w:b w:val="0"/>
          <w:i w:val="0"/>
        </w:rPr>
        <w:t xml:space="preserve">; </w:t>
      </w:r>
      <w:r>
        <w:rPr>
          <w:b w:val="0"/>
          <w:i/>
        </w:rPr>
        <w:t>fiunt</w:t>
      </w:r>
      <w:r>
        <w:rPr>
          <w:b w:val="0"/>
          <w:i w:val="0"/>
        </w:rPr>
        <w:t xml:space="preserve">; </w:t>
      </w:r>
      <w:r>
        <w:rPr>
          <w:b w:val="0"/>
          <w:i/>
        </w:rPr>
        <w:t>fore</w:t>
      </w:r>
      <w:r>
        <w:rPr>
          <w:b w:val="0"/>
          <w:i w:val="0"/>
        </w:rPr>
        <w:t xml:space="preserve">; </w:t>
      </w:r>
      <w:r>
        <w:rPr>
          <w:b w:val="0"/>
          <w:i/>
        </w:rPr>
        <w:t>foret</w:t>
      </w:r>
      <w:r>
        <w:rPr>
          <w:b w:val="0"/>
          <w:i w:val="0"/>
        </w:rPr>
        <w:t xml:space="preserve">; </w:t>
      </w:r>
      <w:r>
        <w:rPr>
          <w:b w:val="0"/>
          <w:i/>
        </w:rPr>
        <w:t>fuisse</w:t>
      </w:r>
      <w:r>
        <w:rPr>
          <w:b w:val="0"/>
          <w:i w:val="0"/>
        </w:rPr>
        <w:t xml:space="preserve">; </w:t>
      </w:r>
      <w:r>
        <w:rPr>
          <w:b w:val="0"/>
          <w:i/>
        </w:rPr>
        <w:t>habeant</w:t>
      </w:r>
      <w:r>
        <w:rPr>
          <w:b w:val="0"/>
          <w:i w:val="0"/>
        </w:rPr>
        <w:t xml:space="preserve">; </w:t>
      </w:r>
      <w:r>
        <w:rPr>
          <w:b w:val="0"/>
          <w:i/>
        </w:rPr>
        <w:t>habeat</w:t>
      </w:r>
      <w:r>
        <w:rPr>
          <w:b w:val="0"/>
          <w:i w:val="0"/>
        </w:rPr>
        <w:t xml:space="preserve">; </w:t>
      </w:r>
      <w:r>
        <w:rPr>
          <w:b w:val="0"/>
          <w:i/>
        </w:rPr>
        <w:t>habebit</w:t>
      </w:r>
      <w:r>
        <w:rPr>
          <w:b w:val="0"/>
          <w:i w:val="0"/>
        </w:rPr>
        <w:t xml:space="preserve">; </w:t>
      </w:r>
      <w:r>
        <w:rPr>
          <w:b w:val="0"/>
          <w:i/>
        </w:rPr>
        <w:t>habent</w:t>
      </w:r>
      <w:r>
        <w:rPr>
          <w:b w:val="0"/>
          <w:i w:val="0"/>
        </w:rPr>
        <w:t xml:space="preserve">; </w:t>
      </w:r>
      <w:r>
        <w:rPr>
          <w:b w:val="0"/>
          <w:i/>
        </w:rPr>
        <w:t>habere</w:t>
      </w:r>
      <w:r>
        <w:rPr>
          <w:b w:val="0"/>
          <w:i w:val="0"/>
        </w:rPr>
        <w:t xml:space="preserve">; </w:t>
      </w:r>
      <w:r>
        <w:rPr>
          <w:b w:val="0"/>
          <w:i/>
        </w:rPr>
        <w:t>haberet</w:t>
      </w:r>
      <w:r>
        <w:rPr>
          <w:b w:val="0"/>
          <w:i w:val="0"/>
        </w:rPr>
        <w:t xml:space="preserve">; </w:t>
      </w:r>
      <w:r>
        <w:rPr>
          <w:b w:val="0"/>
          <w:i/>
        </w:rPr>
        <w:t>habet</w:t>
      </w:r>
      <w:r>
        <w:rPr>
          <w:b w:val="0"/>
          <w:i w:val="0"/>
        </w:rPr>
        <w:t xml:space="preserve">; </w:t>
      </w:r>
      <w:r>
        <w:rPr>
          <w:b w:val="0"/>
          <w:i/>
        </w:rPr>
        <w:t>Habetis</w:t>
      </w:r>
      <w:r>
        <w:rPr>
          <w:b w:val="0"/>
          <w:i w:val="0"/>
        </w:rPr>
        <w:t xml:space="preserve">; </w:t>
      </w:r>
      <w:r>
        <w:rPr>
          <w:b w:val="0"/>
          <w:i/>
        </w:rPr>
        <w:t>sint</w:t>
      </w:r>
      <w:r>
        <w:rPr>
          <w:b w:val="0"/>
          <w:i w:val="0"/>
        </w:rPr>
        <w:t xml:space="preserve">; </w:t>
      </w:r>
      <w:r>
        <w:rPr>
          <w:b w:val="0"/>
          <w:i/>
        </w:rPr>
        <w:t>sit</w:t>
      </w:r>
      <w:r>
        <w:rPr>
          <w:b w:val="0"/>
          <w:i w:val="0"/>
        </w:rPr>
        <w:t xml:space="preserve">; </w:t>
      </w:r>
      <w:r>
        <w:rPr>
          <w:b w:val="0"/>
          <w:i/>
        </w:rPr>
        <w:t>sunt</w:t>
      </w:r>
      <w:r>
        <w:rPr>
          <w:b w:val="0"/>
          <w:i w:val="0"/>
        </w:rPr>
        <w:t>.</w:t>
      </w:r>
    </w:p>
    <w:p>
      <w:pPr>
        <w:widowControl/>
      </w:pPr>
      <w:r>
        <w:rPr>
          <w:b w:val="0"/>
          <w:i w:val="0"/>
        </w:rPr>
        <w:t xml:space="preserve">Being, having and becoming, distinguished by their grammatical constructions. To be soul, to possess life, and to become living are not interchangeable claims; the animate/inanimate and act/potency arguments repeatedly depend on those relations. References: </w:t>
      </w:r>
      <w:hyperlink w:anchor="passage-vi-1-6">
        <w:r>
          <w:rPr>
            <w:color w:val="000000"/>
          </w:rPr>
          <w:t xml:space="preserve">VI.1.6</w:t>
        </w:r>
      </w:hyperlink>
      <w:r>
        <w:rPr>
          <w:b w:val="0"/>
          <w:i w:val="0"/>
        </w:rPr>
        <w:t xml:space="preserve">, </w:t>
      </w:r>
      <w:hyperlink w:anchor="passage-vi-2-3">
        <w:r>
          <w:rPr>
            <w:color w:val="000000"/>
          </w:rPr>
          <w:t xml:space="preserve">VI.2.3</w:t>
        </w:r>
      </w:hyperlink>
      <w:r>
        <w:rPr>
          <w:b w:val="0"/>
          <w:i w:val="0"/>
        </w:rPr>
        <w:t xml:space="preserve">, </w:t>
      </w:r>
      <w:hyperlink w:anchor="passage-vi-2-6">
        <w:r>
          <w:rPr>
            <w:color w:val="000000"/>
          </w:rPr>
          <w:t xml:space="preserve">VI.2.6</w:t>
        </w:r>
      </w:hyperlink>
      <w:r>
        <w:rPr>
          <w:b w:val="0"/>
          <w:i w:val="0"/>
        </w:rPr>
        <w:t xml:space="preserve">, </w:t>
      </w:r>
      <w:hyperlink w:anchor="passage-vi-2-9">
        <w:r>
          <w:rPr>
            <w:color w:val="000000"/>
          </w:rPr>
          <w:t xml:space="preserve">VI.2.9</w:t>
        </w:r>
      </w:hyperlink>
      <w:r>
        <w:rPr>
          <w:b w:val="0"/>
          <w:i w:val="0"/>
        </w:rPr>
        <w:t xml:space="preserve">, </w:t>
      </w:r>
      <w:hyperlink w:anchor="passage-vi-2-10">
        <w:r>
          <w:rPr>
            <w:color w:val="000000"/>
          </w:rPr>
          <w:t xml:space="preserve">VI.2.10</w:t>
        </w:r>
      </w:hyperlink>
      <w:r>
        <w:rPr>
          <w:b w:val="0"/>
          <w:i w:val="0"/>
        </w:rPr>
        <w:t xml:space="preserve">, </w:t>
      </w:r>
      <w:hyperlink w:anchor="passage-vi-2-13">
        <w:r>
          <w:rPr>
            <w:color w:val="000000"/>
          </w:rPr>
          <w:t xml:space="preserve">VI.2.13</w:t>
        </w:r>
      </w:hyperlink>
      <w:r>
        <w:rPr>
          <w:b w:val="0"/>
          <w:i w:val="0"/>
        </w:rPr>
        <w:t xml:space="preserve">, </w:t>
      </w:r>
      <w:hyperlink w:anchor="passage-vi-2-19">
        <w:r>
          <w:rPr>
            <w:color w:val="000000"/>
          </w:rPr>
          <w:t xml:space="preserve">VI.2.19</w:t>
        </w:r>
      </w:hyperlink>
      <w:r>
        <w:rPr>
          <w:b w:val="0"/>
          <w:i w:val="0"/>
        </w:rPr>
        <w:t xml:space="preserve">, </w:t>
      </w:r>
      <w:hyperlink w:anchor="passage-vi-4-6">
        <w:r>
          <w:rPr>
            <w:color w:val="000000"/>
          </w:rPr>
          <w:t xml:space="preserve">VI.4.6</w:t>
        </w:r>
      </w:hyperlink>
      <w:r>
        <w:rPr>
          <w:b w:val="0"/>
          <w:i w:val="0"/>
        </w:rPr>
        <w:t xml:space="preserve">, </w:t>
      </w:r>
      <w:hyperlink w:anchor="passage-vi-5-1">
        <w:r>
          <w:rPr>
            <w:color w:val="000000"/>
          </w:rPr>
          <w:t xml:space="preserve">VI.5.1</w:t>
        </w:r>
      </w:hyperlink>
      <w:r>
        <w:rPr>
          <w:b w:val="0"/>
          <w:i w:val="0"/>
        </w:rPr>
        <w:t xml:space="preserve">, </w:t>
      </w:r>
      <w:hyperlink w:anchor="passage-vi-5-2">
        <w:r>
          <w:rPr>
            <w:color w:val="000000"/>
          </w:rPr>
          <w:t xml:space="preserve">VI.5.2</w:t>
        </w:r>
      </w:hyperlink>
      <w:r>
        <w:rPr>
          <w:b w:val="0"/>
          <w:i w:val="0"/>
        </w:rPr>
        <w:t xml:space="preserve">, </w:t>
      </w:r>
      <w:hyperlink w:anchor="passage-vi-5-4">
        <w:r>
          <w:rPr>
            <w:color w:val="000000"/>
          </w:rPr>
          <w:t xml:space="preserve">VI.5.4</w:t>
        </w:r>
      </w:hyperlink>
      <w:r>
        <w:rPr>
          <w:b w:val="0"/>
          <w:i w:val="0"/>
        </w:rPr>
        <w:t xml:space="preserve">, </w:t>
      </w:r>
      <w:hyperlink w:anchor="passage-vi-6-3">
        <w:r>
          <w:rPr>
            <w:color w:val="000000"/>
          </w:rPr>
          <w:t xml:space="preserve">VI.6.3</w:t>
        </w:r>
      </w:hyperlink>
      <w:r>
        <w:rPr>
          <w:b w:val="0"/>
          <w:i w:val="0"/>
        </w:rPr>
        <w:t xml:space="preserve">, </w:t>
      </w:r>
      <w:hyperlink w:anchor="passage-vi-7-1">
        <w:r>
          <w:rPr>
            <w:color w:val="000000"/>
          </w:rPr>
          <w:t xml:space="preserve">VI.7.1</w:t>
        </w:r>
      </w:hyperlink>
      <w:r>
        <w:rPr>
          <w:b w:val="0"/>
          <w:i w:val="0"/>
        </w:rPr>
        <w:t xml:space="preserve">, </w:t>
      </w:r>
      <w:hyperlink w:anchor="passage-vi-7-2">
        <w:r>
          <w:rPr>
            <w:color w:val="000000"/>
          </w:rPr>
          <w:t xml:space="preserve">VI.7.2</w:t>
        </w:r>
      </w:hyperlink>
      <w:r>
        <w:rPr>
          <w:b w:val="0"/>
          <w:i w:val="0"/>
        </w:rPr>
        <w:t xml:space="preserve">, </w:t>
      </w:r>
      <w:hyperlink w:anchor="passage-vi-7-3">
        <w:r>
          <w:rPr>
            <w:color w:val="000000"/>
          </w:rPr>
          <w:t xml:space="preserve">VI.7.3</w:t>
        </w:r>
      </w:hyperlink>
      <w:r>
        <w:rPr>
          <w:b w:val="0"/>
          <w:i w:val="0"/>
        </w:rPr>
        <w:t xml:space="preserve">, </w:t>
      </w:r>
      <w:hyperlink w:anchor="passage-vi-9-1">
        <w:r>
          <w:rPr>
            <w:color w:val="000000"/>
          </w:rPr>
          <w:t xml:space="preserve">VI.9.1</w:t>
        </w:r>
      </w:hyperlink>
      <w:r>
        <w:rPr>
          <w:b w:val="0"/>
          <w:i w:val="0"/>
        </w:rPr>
        <w:t xml:space="preserve">, </w:t>
      </w:r>
      <w:hyperlink w:anchor="passage-vi-11-1">
        <w:r>
          <w:rPr>
            <w:color w:val="000000"/>
          </w:rPr>
          <w:t xml:space="preserve">VI.11.1</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686" w:name="latin-record-0445"/>
      <w:bookmarkEnd w:id="686"/>
      <w:r>
        <w:rPr>
          <w:b/>
          <w:i w:val="0"/>
        </w:rPr>
        <w:t>essentia</w:t>
      </w:r>
      <w:r>
        <w:rPr>
          <w:b/>
          <w:i w:val="0"/>
        </w:rPr>
        <w:t>.</w:t>
      </w:r>
      <w:r>
        <w:rPr>
          <w:b w:val="0"/>
          <w:i w:val="0"/>
        </w:rPr>
        <w:t xml:space="preserve"> Printed forms: </w:t>
      </w:r>
      <w:r>
        <w:rPr>
          <w:b w:val="0"/>
          <w:i/>
        </w:rPr>
        <w:t>essentia</w:t>
      </w:r>
      <w:r>
        <w:rPr>
          <w:b w:val="0"/>
          <w:i w:val="0"/>
        </w:rPr>
        <w:t xml:space="preserve">; </w:t>
      </w:r>
      <w:r>
        <w:rPr>
          <w:b w:val="0"/>
          <w:i/>
        </w:rPr>
        <w:t>Essentia</w:t>
      </w:r>
      <w:r>
        <w:rPr>
          <w:b w:val="0"/>
          <w:i w:val="0"/>
        </w:rPr>
        <w:t xml:space="preserve">; </w:t>
      </w:r>
      <w:r>
        <w:rPr>
          <w:b w:val="0"/>
          <w:i/>
        </w:rPr>
        <w:t>essentiae</w:t>
      </w:r>
      <w:r>
        <w:rPr>
          <w:b w:val="0"/>
          <w:i w:val="0"/>
        </w:rPr>
        <w:t xml:space="preserve">; </w:t>
      </w:r>
      <w:r>
        <w:rPr>
          <w:b w:val="0"/>
          <w:i/>
        </w:rPr>
        <w:t>Essentiam</w:t>
      </w:r>
      <w:r>
        <w:rPr>
          <w:b w:val="0"/>
          <w:i w:val="0"/>
        </w:rPr>
        <w:t xml:space="preserve">; </w:t>
      </w:r>
      <w:r>
        <w:rPr>
          <w:b w:val="0"/>
          <w:i/>
        </w:rPr>
        <w:t>essentiam</w:t>
      </w:r>
      <w:r>
        <w:rPr>
          <w:b w:val="0"/>
          <w:i w:val="0"/>
        </w:rPr>
        <w:t xml:space="preserve">; </w:t>
      </w:r>
      <w:r>
        <w:rPr>
          <w:b w:val="0"/>
          <w:i/>
        </w:rPr>
        <w:t>essentias</w:t>
      </w:r>
      <w:r>
        <w:rPr>
          <w:b w:val="0"/>
          <w:i w:val="0"/>
        </w:rPr>
        <w:t>.</w:t>
      </w:r>
    </w:p>
    <w:p>
      <w:pPr>
        <w:widowControl/>
      </w:pPr>
      <w:r>
        <w:rPr>
          <w:b w:val="0"/>
          <w:i w:val="0"/>
        </w:rPr>
        <w:t xml:space="preserve">Essence, what a thing is as grasped in its defining account. V.7 distinguishes this from actual presence; V.13 denies that a creature’s essence is identical with its received being. References: </w:t>
      </w:r>
      <w:hyperlink w:anchor="passage-v-7-1">
        <w:r>
          <w:rPr>
            <w:color w:val="000000"/>
          </w:rPr>
          <w:t xml:space="preserve">V.7.1</w:t>
        </w:r>
      </w:hyperlink>
      <w:r>
        <w:rPr>
          <w:b w:val="0"/>
          <w:i w:val="0"/>
        </w:rPr>
        <w:t xml:space="preserve">, </w:t>
      </w:r>
      <w:hyperlink w:anchor="passage-v-7-2">
        <w:r>
          <w:rPr>
            <w:color w:val="000000"/>
          </w:rPr>
          <w:t xml:space="preserve">V.7.2</w:t>
        </w:r>
      </w:hyperlink>
      <w:r>
        <w:rPr>
          <w:b w:val="0"/>
          <w:i w:val="0"/>
        </w:rPr>
        <w:t xml:space="preserve">, </w:t>
      </w:r>
      <w:hyperlink w:anchor="passage-v-13-7">
        <w:r>
          <w:rPr>
            <w:color w:val="000000"/>
          </w:rPr>
          <w:t xml:space="preserve">V.13.7</w:t>
        </w:r>
      </w:hyperlink>
      <w:r>
        <w:rPr>
          <w:b w:val="0"/>
          <w:i w:val="0"/>
        </w:rPr>
        <w:t xml:space="preserve">. See </w:t>
      </w:r>
      <w:hyperlink w:anchor="essence-and-being">
        <w:r>
          <w:rPr>
            <w:color w:val="000000"/>
          </w:rPr>
          <w:t xml:space="preserve">Essence and being</w:t>
        </w:r>
      </w:hyperlink>
      <w:r>
        <w:rPr>
          <w:b w:val="0"/>
          <w:i w:val="0"/>
        </w:rPr>
        <w:t>.</w:t>
      </w:r>
    </w:p>
    <w:p>
      <w:pPr>
        <w:widowControl/>
      </w:pPr>
      <w:r>
        <w:rPr>
          <w:b w:val="0"/>
          <w:i w:val="0"/>
        </w:rPr>
        <w:t xml:space="preserve">Essence, what a thing is; as intelligible it is distinguished from mind’s representing form. The simplicity of the known essence constrains its intellectual image; later essence is related to life and reflexive mind. References: </w:t>
      </w:r>
      <w:hyperlink w:anchor="passage-viii-4-9">
        <w:r>
          <w:rPr>
            <w:color w:val="000000"/>
          </w:rPr>
          <w:t xml:space="preserve">VIII.4.9</w:t>
        </w:r>
      </w:hyperlink>
      <w:r>
        <w:rPr>
          <w:b w:val="0"/>
          <w:i w:val="0"/>
        </w:rPr>
        <w:t xml:space="preserve">, </w:t>
      </w:r>
      <w:hyperlink w:anchor="passage-viii-15-1">
        <w:r>
          <w:rPr>
            <w:color w:val="000000"/>
          </w:rPr>
          <w:t xml:space="preserve">VIII.15.1</w:t>
        </w:r>
      </w:hyperlink>
      <w:r>
        <w:rPr>
          <w:b w:val="0"/>
          <w:i w:val="0"/>
        </w:rPr>
        <w:t xml:space="preserve">, </w:t>
      </w:r>
      <w:hyperlink w:anchor="passage-viii-15-2">
        <w:r>
          <w:rPr>
            <w:color w:val="000000"/>
          </w:rPr>
          <w:t xml:space="preserve">VIII.15.2</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687" w:name="latin-record-0446"/>
      <w:bookmarkEnd w:id="687"/>
      <w:r>
        <w:rPr>
          <w:b/>
          <w:i w:val="0"/>
        </w:rPr>
        <w:t>essentia; esse; virtus; operatio</w:t>
      </w:r>
      <w:r>
        <w:rPr>
          <w:b/>
          <w:i w:val="0"/>
        </w:rPr>
        <w:t>.</w:t>
      </w:r>
      <w:r>
        <w:rPr>
          <w:b w:val="0"/>
          <w:i w:val="0"/>
        </w:rPr>
        <w:t xml:space="preserve"> Printed forms: </w:t>
      </w:r>
      <w:r>
        <w:rPr>
          <w:b w:val="0"/>
          <w:i/>
        </w:rPr>
        <w:t>a virtute operatio</w:t>
      </w:r>
      <w:r>
        <w:rPr>
          <w:b w:val="0"/>
          <w:i w:val="0"/>
        </w:rPr>
        <w:t xml:space="preserve">; </w:t>
      </w:r>
      <w:r>
        <w:rPr>
          <w:b w:val="0"/>
          <w:i/>
        </w:rPr>
        <w:t>ab essentia fluit esse</w:t>
      </w:r>
      <w:r>
        <w:rPr>
          <w:b w:val="0"/>
          <w:i w:val="0"/>
        </w:rPr>
        <w:t>.</w:t>
      </w:r>
    </w:p>
    <w:p>
      <w:pPr>
        <w:widowControl/>
      </w:pPr>
      <w:r>
        <w:rPr>
          <w:b w:val="0"/>
          <w:i w:val="0"/>
        </w:rPr>
        <w:t xml:space="preserve">Being proceeds from essence and operation from power. The causal distinction grounds the inference that giving each member being and activity requires presence of the soul’s essence and power there. References: </w:t>
      </w:r>
      <w:hyperlink w:anchor="passage-vi-9-2">
        <w:r>
          <w:rPr>
            <w:color w:val="000000"/>
          </w:rPr>
          <w:t xml:space="preserve">VI.9.2</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688" w:name="latin-record-0447"/>
      <w:bookmarkEnd w:id="688"/>
      <w:r>
        <w:rPr>
          <w:b/>
          <w:i w:val="0"/>
        </w:rPr>
        <w:t>essentia–vita–mens</w:t>
      </w:r>
      <w:r>
        <w:rPr>
          <w:b/>
          <w:i w:val="0"/>
        </w:rPr>
        <w:t>.</w:t>
      </w:r>
      <w:r>
        <w:rPr>
          <w:b w:val="0"/>
          <w:i w:val="0"/>
        </w:rPr>
        <w:t xml:space="preserve"> Printed forms: </w:t>
      </w:r>
      <w:r>
        <w:rPr>
          <w:b w:val="0"/>
          <w:i/>
        </w:rPr>
        <w:t>essentia</w:t>
      </w:r>
      <w:r>
        <w:rPr>
          <w:b w:val="0"/>
          <w:i w:val="0"/>
        </w:rPr>
        <w:t xml:space="preserve">; </w:t>
      </w:r>
      <w:r>
        <w:rPr>
          <w:b w:val="0"/>
          <w:i/>
        </w:rPr>
        <w:t>mens</w:t>
      </w:r>
      <w:r>
        <w:rPr>
          <w:b w:val="0"/>
          <w:i w:val="0"/>
        </w:rPr>
        <w:t xml:space="preserve">; </w:t>
      </w:r>
      <w:r>
        <w:rPr>
          <w:b w:val="0"/>
          <w:i/>
        </w:rPr>
        <w:t>Mens</w:t>
      </w:r>
      <w:r>
        <w:rPr>
          <w:b w:val="0"/>
          <w:i w:val="0"/>
        </w:rPr>
        <w:t xml:space="preserve">; </w:t>
      </w:r>
      <w:r>
        <w:rPr>
          <w:b w:val="0"/>
          <w:i/>
        </w:rPr>
        <w:t>motus</w:t>
      </w:r>
      <w:r>
        <w:rPr>
          <w:b w:val="0"/>
          <w:i w:val="0"/>
        </w:rPr>
        <w:t xml:space="preserve">; </w:t>
      </w:r>
      <w:r>
        <w:rPr>
          <w:b w:val="0"/>
          <w:i/>
        </w:rPr>
        <w:t>reflexio</w:t>
      </w:r>
      <w:r>
        <w:rPr>
          <w:b w:val="0"/>
          <w:i w:val="0"/>
        </w:rPr>
        <w:t xml:space="preserve">; </w:t>
      </w:r>
      <w:r>
        <w:rPr>
          <w:b w:val="0"/>
          <w:i/>
        </w:rPr>
        <w:t>status</w:t>
      </w:r>
      <w:r>
        <w:rPr>
          <w:b w:val="0"/>
          <w:i w:val="0"/>
        </w:rPr>
        <w:t xml:space="preserve">; </w:t>
      </w:r>
      <w:r>
        <w:rPr>
          <w:b w:val="0"/>
          <w:i/>
        </w:rPr>
        <w:t>vita</w:t>
      </w:r>
      <w:r>
        <w:rPr>
          <w:b w:val="0"/>
          <w:i w:val="0"/>
        </w:rPr>
        <w:t>.</w:t>
      </w:r>
    </w:p>
    <w:p>
      <w:pPr>
        <w:widowControl/>
      </w:pPr>
      <w:r>
        <w:rPr>
          <w:b w:val="0"/>
          <w:i w:val="0"/>
        </w:rPr>
        <w:t xml:space="preserve">The triad essence, life and mind, correlated with repose, activity and self-return. Ficino attributes the ordering to Plato: life activates essence, and mind prevents vital activity from being wholly effluent into an external work. References: </w:t>
      </w:r>
      <w:hyperlink w:anchor="passage-viii-15-1">
        <w:r>
          <w:rPr>
            <w:color w:val="000000"/>
          </w:rPr>
          <w:t xml:space="preserve">VIII.15.1</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689" w:name="latin-record-0448"/>
      <w:bookmarkEnd w:id="689"/>
      <w:r>
        <w:rPr>
          <w:b/>
          <w:i w:val="0"/>
        </w:rPr>
        <w:t>esurire / sitire</w:t>
      </w:r>
      <w:r>
        <w:rPr>
          <w:b/>
          <w:i w:val="0"/>
        </w:rPr>
        <w:t>.</w:t>
      </w:r>
      <w:r>
        <w:rPr>
          <w:b w:val="0"/>
          <w:i w:val="0"/>
        </w:rPr>
        <w:t xml:space="preserve"> Printed forms: </w:t>
      </w:r>
      <w:r>
        <w:rPr>
          <w:b w:val="0"/>
          <w:i/>
        </w:rPr>
        <w:t>esurienti</w:t>
      </w:r>
      <w:r>
        <w:rPr>
          <w:b w:val="0"/>
          <w:i w:val="0"/>
        </w:rPr>
        <w:t xml:space="preserve">; </w:t>
      </w:r>
      <w:r>
        <w:rPr>
          <w:b w:val="0"/>
          <w:i/>
        </w:rPr>
        <w:t>esurit</w:t>
      </w:r>
      <w:r>
        <w:rPr>
          <w:b w:val="0"/>
          <w:i w:val="0"/>
        </w:rPr>
        <w:t xml:space="preserve">; </w:t>
      </w:r>
      <w:r>
        <w:rPr>
          <w:b w:val="0"/>
          <w:i/>
        </w:rPr>
        <w:t>sitis</w:t>
      </w:r>
      <w:r>
        <w:rPr>
          <w:b w:val="0"/>
          <w:i w:val="0"/>
        </w:rPr>
        <w:t xml:space="preserve">; </w:t>
      </w:r>
      <w:r>
        <w:rPr>
          <w:b w:val="0"/>
          <w:i/>
        </w:rPr>
        <w:t>sitit</w:t>
      </w:r>
      <w:r>
        <w:rPr>
          <w:b w:val="0"/>
          <w:i w:val="0"/>
        </w:rPr>
        <w:t xml:space="preserve">; </w:t>
      </w:r>
      <w:r>
        <w:rPr>
          <w:b w:val="0"/>
          <w:i/>
        </w:rPr>
        <w:t>sititque</w:t>
      </w:r>
      <w:r>
        <w:rPr>
          <w:b w:val="0"/>
          <w:i w:val="0"/>
        </w:rPr>
        <w:t>.</w:t>
      </w:r>
    </w:p>
    <w:p>
      <w:pPr>
        <w:widowControl/>
      </w:pPr>
      <w:r>
        <w:rPr>
          <w:b w:val="0"/>
          <w:i w:val="0"/>
        </w:rPr>
        <w:t xml:space="preserve">Hungering and thirsting, extended to the desire for truth or the infinite good. A bodily meal can be complete while intellectual desire continues, and finite attainment can even intensify it. References: </w:t>
      </w:r>
      <w:hyperlink w:anchor="passage-viii-2-5">
        <w:r>
          <w:rPr>
            <w:color w:val="000000"/>
          </w:rPr>
          <w:t xml:space="preserve">VIII.2.5</w:t>
        </w:r>
      </w:hyperlink>
      <w:r>
        <w:rPr>
          <w:b w:val="0"/>
          <w:i w:val="0"/>
        </w:rPr>
        <w:t xml:space="preserve">,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690" w:name="latin-record-0449"/>
      <w:bookmarkEnd w:id="690"/>
      <w:r>
        <w:rPr>
          <w:b/>
          <w:i w:val="0"/>
        </w:rPr>
        <w:t>evolvere; convolvere</w:t>
      </w:r>
      <w:r>
        <w:rPr>
          <w:b/>
          <w:i w:val="0"/>
        </w:rPr>
        <w:t>.</w:t>
      </w:r>
      <w:r>
        <w:rPr>
          <w:b w:val="0"/>
          <w:i w:val="0"/>
        </w:rPr>
        <w:t xml:space="preserve"> Printed forms: </w:t>
      </w:r>
      <w:r>
        <w:rPr>
          <w:b w:val="0"/>
          <w:i/>
        </w:rPr>
        <w:t>convoluta</w:t>
      </w:r>
      <w:r>
        <w:rPr>
          <w:b w:val="0"/>
          <w:i w:val="0"/>
        </w:rPr>
        <w:t xml:space="preserve">; </w:t>
      </w:r>
      <w:r>
        <w:rPr>
          <w:b w:val="0"/>
          <w:i/>
        </w:rPr>
        <w:t>evolutumque</w:t>
      </w:r>
      <w:r>
        <w:rPr>
          <w:b w:val="0"/>
          <w:i w:val="0"/>
        </w:rPr>
        <w:t>.</w:t>
      </w:r>
    </w:p>
    <w:p>
      <w:pPr>
        <w:widowControl/>
      </w:pPr>
      <w:r>
        <w:rPr>
          <w:b w:val="0"/>
          <w:i w:val="0"/>
        </w:rPr>
        <w:t xml:space="preserve">To unfold outward and roll together. The paired participles express the relation of circumference to point without making the point an extended body. References: </w:t>
      </w:r>
      <w:hyperlink w:anchor="passage-vi-2-25">
        <w:r>
          <w:rPr>
            <w:color w:val="000000"/>
          </w:rPr>
          <w:t xml:space="preserve">VI.2.25</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691" w:name="latin-record-0450"/>
      <w:bookmarkEnd w:id="691"/>
      <w:r>
        <w:rPr>
          <w:b/>
          <w:i w:val="0"/>
        </w:rPr>
        <w:t>ex nihilo in lucem</w:t>
      </w:r>
      <w:r>
        <w:rPr>
          <w:b/>
          <w:i w:val="0"/>
        </w:rPr>
        <w:t>.</w:t>
      </w:r>
      <w:r>
        <w:rPr>
          <w:b w:val="0"/>
          <w:i w:val="0"/>
        </w:rPr>
        <w:t xml:space="preserve"> Printed forms: </w:t>
      </w:r>
      <w:r>
        <w:rPr>
          <w:b w:val="0"/>
          <w:i/>
        </w:rPr>
        <w:t>ex nihilo processit in lucem</w:t>
      </w:r>
      <w:r>
        <w:rPr>
          <w:b w:val="0"/>
          <w:i w:val="0"/>
        </w:rPr>
        <w:t>.</w:t>
      </w:r>
    </w:p>
    <w:p>
      <w:pPr>
        <w:widowControl/>
      </w:pPr>
      <w:r>
        <w:rPr>
          <w:b w:val="0"/>
          <w:i w:val="0"/>
        </w:rPr>
        <w:t xml:space="preserve">Coming from nothing into light, a birth-image for creation. No preexisting material ingredient is implied; the following units locate the power of production in God. References: </w:t>
      </w:r>
      <w:hyperlink w:anchor="passage-v-12-8">
        <w:r>
          <w:rPr>
            <w:color w:val="000000"/>
          </w:rPr>
          <w:t xml:space="preserve">V.12.8</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692" w:name="latin-record-0451"/>
      <w:bookmarkEnd w:id="692"/>
      <w:r>
        <w:rPr>
          <w:b/>
          <w:i w:val="0"/>
        </w:rPr>
        <w:t>ex otio in actum</w:t>
      </w:r>
      <w:r>
        <w:rPr>
          <w:b/>
          <w:i w:val="0"/>
        </w:rPr>
        <w:t>.</w:t>
      </w:r>
      <w:r>
        <w:rPr>
          <w:b w:val="0"/>
          <w:i w:val="0"/>
        </w:rPr>
        <w:t xml:space="preserve"> Printed forms: </w:t>
      </w:r>
      <w:r>
        <w:rPr>
          <w:b w:val="0"/>
          <w:i/>
        </w:rPr>
        <w:t>a potentia in actum</w:t>
      </w:r>
      <w:r>
        <w:rPr>
          <w:b w:val="0"/>
          <w:i w:val="0"/>
        </w:rPr>
        <w:t xml:space="preserve">; </w:t>
      </w:r>
      <w:r>
        <w:rPr>
          <w:b w:val="0"/>
          <w:i/>
        </w:rPr>
        <w:t>ex otio in actum</w:t>
      </w:r>
      <w:r>
        <w:rPr>
          <w:b w:val="0"/>
          <w:i w:val="0"/>
        </w:rPr>
        <w:t>.</w:t>
      </w:r>
    </w:p>
    <w:p>
      <w:pPr>
        <w:widowControl/>
      </w:pPr>
      <w:r>
        <w:rPr>
          <w:b w:val="0"/>
          <w:i w:val="0"/>
        </w:rPr>
        <w:t xml:space="preserve">From rest into activity; from potentiality into act. Soul must first exercise inwardly the vital progression it communicates to the animal. References: </w:t>
      </w:r>
      <w:hyperlink w:anchor="passage-vi-12-10">
        <w:r>
          <w:rPr>
            <w:color w:val="000000"/>
          </w:rPr>
          <w:t xml:space="preserve">VI.12.10</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693" w:name="latin-record-0452"/>
      <w:bookmarkEnd w:id="693"/>
      <w:r>
        <w:rPr>
          <w:b/>
          <w:i w:val="0"/>
        </w:rPr>
        <w:t>ex se / in se / per se</w:t>
      </w:r>
      <w:r>
        <w:rPr>
          <w:b/>
          <w:i w:val="0"/>
        </w:rPr>
        <w:t>.</w:t>
      </w:r>
      <w:r>
        <w:rPr>
          <w:b w:val="0"/>
          <w:i w:val="0"/>
        </w:rPr>
        <w:t xml:space="preserve"> Printed forms: </w:t>
      </w:r>
      <w:r>
        <w:rPr>
          <w:b w:val="0"/>
          <w:i/>
        </w:rPr>
        <w:t>ex se</w:t>
      </w:r>
      <w:r>
        <w:rPr>
          <w:b w:val="0"/>
          <w:i w:val="0"/>
        </w:rPr>
        <w:t xml:space="preserve">; </w:t>
      </w:r>
      <w:r>
        <w:rPr>
          <w:b w:val="0"/>
          <w:i/>
        </w:rPr>
        <w:t>in se</w:t>
      </w:r>
      <w:r>
        <w:rPr>
          <w:b w:val="0"/>
          <w:i w:val="0"/>
        </w:rPr>
        <w:t xml:space="preserve">; </w:t>
      </w:r>
      <w:r>
        <w:rPr>
          <w:b w:val="0"/>
          <w:i/>
        </w:rPr>
        <w:t>per se</w:t>
      </w:r>
      <w:r>
        <w:rPr>
          <w:b w:val="0"/>
          <w:i w:val="0"/>
        </w:rPr>
        <w:t xml:space="preserve">; </w:t>
      </w:r>
      <w:r>
        <w:rPr>
          <w:b w:val="0"/>
          <w:i/>
        </w:rPr>
        <w:t>Per se</w:t>
      </w:r>
      <w:r>
        <w:rPr>
          <w:b w:val="0"/>
          <w:i w:val="0"/>
        </w:rPr>
        <w:t xml:space="preserve">; </w:t>
      </w:r>
      <w:r>
        <w:rPr>
          <w:b w:val="0"/>
          <w:i/>
        </w:rPr>
        <w:t>per se ipsum</w:t>
      </w:r>
      <w:r>
        <w:rPr>
          <w:b w:val="0"/>
          <w:i w:val="0"/>
        </w:rPr>
        <w:t>.</w:t>
      </w:r>
    </w:p>
    <w:p>
      <w:pPr>
        <w:widowControl/>
      </w:pPr>
      <w:r>
        <w:rPr>
          <w:b w:val="0"/>
          <w:i w:val="0"/>
        </w:rPr>
        <w:t xml:space="preserve">From itself, upon or within itself, and through itself: distinct relations of an inward act. Source, terminus and medium are all within intellectual self-operation; that is not the same as being efficiently uncaused. References: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694" w:name="latin-record-0453"/>
      <w:bookmarkEnd w:id="694"/>
      <w:r>
        <w:rPr>
          <w:b/>
          <w:i w:val="0"/>
        </w:rPr>
        <w:t>excessus / extraneus / dissociare</w:t>
      </w:r>
      <w:r>
        <w:rPr>
          <w:b/>
          <w:i w:val="0"/>
        </w:rPr>
        <w:t>.</w:t>
      </w:r>
      <w:r>
        <w:rPr>
          <w:b w:val="0"/>
          <w:i w:val="0"/>
        </w:rPr>
        <w:t xml:space="preserve"> Printed forms: </w:t>
      </w:r>
      <w:r>
        <w:rPr>
          <w:b w:val="0"/>
          <w:i/>
        </w:rPr>
        <w:t>dissociantis</w:t>
      </w:r>
      <w:r>
        <w:rPr>
          <w:b w:val="0"/>
          <w:i w:val="0"/>
        </w:rPr>
        <w:t xml:space="preserve">; </w:t>
      </w:r>
      <w:r>
        <w:rPr>
          <w:b w:val="0"/>
          <w:i/>
        </w:rPr>
        <w:t>excessum</w:t>
      </w:r>
      <w:r>
        <w:rPr>
          <w:b w:val="0"/>
          <w:i w:val="0"/>
        </w:rPr>
        <w:t xml:space="preserve">; </w:t>
      </w:r>
      <w:r>
        <w:rPr>
          <w:b w:val="0"/>
          <w:i/>
        </w:rPr>
        <w:t>extraneae</w:t>
      </w:r>
      <w:r>
        <w:rPr>
          <w:b w:val="0"/>
          <w:i w:val="0"/>
        </w:rPr>
        <w:t>.</w:t>
      </w:r>
    </w:p>
    <w:p>
      <w:pPr>
        <w:widowControl/>
      </w:pPr>
      <w:r>
        <w:rPr>
          <w:b w:val="0"/>
          <w:i w:val="0"/>
        </w:rPr>
        <w:t xml:space="preserve">An excess of foreign quality that separates or breaks a composition. The constitution’s vulnerability to a contrary excess marks its status as a variable quality. References: </w:t>
      </w:r>
      <w:hyperlink w:anchor="passage-vii-9-1">
        <w:r>
          <w:rPr>
            <w:color w:val="000000"/>
          </w:rPr>
          <w:t xml:space="preserve">VII.9.1</w:t>
        </w:r>
      </w:hyperlink>
      <w:r>
        <w:rPr>
          <w:b w:val="0"/>
          <w:i w:val="0"/>
        </w:rPr>
        <w:t xml:space="preserve">. See </w:t>
      </w:r>
      <w:hyperlink w:anchor="vii-substance-degrees">
        <w:r>
          <w:rPr>
            <w:color w:val="000000"/>
          </w:rPr>
          <w:t xml:space="preserve">Substance, qualities and degrees</w:t>
        </w:r>
      </w:hyperlink>
      <w:r>
        <w:rPr>
          <w:b w:val="0"/>
          <w:i w:val="0"/>
        </w:rPr>
        <w:t>.</w:t>
      </w:r>
    </w:p>
    <w:p>
      <w:pPr>
        <w:keepNext/>
        <w:widowControl/>
      </w:pPr>
      <w:bookmarkStart w:id="695" w:name="latin-record-0454"/>
      <w:bookmarkEnd w:id="695"/>
      <w:r>
        <w:rPr>
          <w:b/>
          <w:i w:val="0"/>
        </w:rPr>
        <w:t>excitare / promere / adita</w:t>
      </w:r>
      <w:r>
        <w:rPr>
          <w:b/>
          <w:i w:val="0"/>
        </w:rPr>
        <w:t>.</w:t>
      </w:r>
      <w:r>
        <w:rPr>
          <w:b w:val="0"/>
          <w:i w:val="0"/>
        </w:rPr>
        <w:t xml:space="preserve"> Printed forms: </w:t>
      </w:r>
      <w:r>
        <w:rPr>
          <w:b w:val="0"/>
          <w:i/>
        </w:rPr>
        <w:t>aditis</w:t>
      </w:r>
      <w:r>
        <w:rPr>
          <w:b w:val="0"/>
          <w:i w:val="0"/>
        </w:rPr>
        <w:t xml:space="preserve">; </w:t>
      </w:r>
      <w:r>
        <w:rPr>
          <w:b w:val="0"/>
          <w:i/>
        </w:rPr>
        <w:t>excitata</w:t>
      </w:r>
      <w:r>
        <w:rPr>
          <w:b w:val="0"/>
          <w:i w:val="0"/>
        </w:rPr>
        <w:t xml:space="preserve">; </w:t>
      </w:r>
      <w:r>
        <w:rPr>
          <w:b w:val="0"/>
          <w:i/>
        </w:rPr>
        <w:t>latent</w:t>
      </w:r>
      <w:r>
        <w:rPr>
          <w:b w:val="0"/>
          <w:i w:val="0"/>
        </w:rPr>
        <w:t xml:space="preserve">; </w:t>
      </w:r>
      <w:r>
        <w:rPr>
          <w:b w:val="0"/>
          <w:i/>
        </w:rPr>
        <w:t>promit</w:t>
      </w:r>
      <w:r>
        <w:rPr>
          <w:b w:val="0"/>
          <w:i w:val="0"/>
        </w:rPr>
        <w:t>.</w:t>
      </w:r>
    </w:p>
    <w:p>
      <w:pPr>
        <w:widowControl/>
      </w:pPr>
      <w:r>
        <w:rPr>
          <w:b w:val="0"/>
          <w:i w:val="0"/>
        </w:rPr>
        <w:t xml:space="preserve">Awakening, bringing forth and the hidden inner recesses of mind. Bodily images prompt mind to bring out latent forms, according to the expressly attributed Platonic explanation. References: </w:t>
      </w:r>
      <w:hyperlink w:anchor="passage-viii-13-1">
        <w:r>
          <w:rPr>
            <w:color w:val="000000"/>
          </w:rPr>
          <w:t xml:space="preserve">VIII.13.1</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696" w:name="latin-record-0455"/>
      <w:bookmarkEnd w:id="696"/>
      <w:r>
        <w:rPr>
          <w:b/>
          <w:i w:val="0"/>
        </w:rPr>
        <w:t>excitatum iudicium</w:t>
      </w:r>
      <w:r>
        <w:rPr>
          <w:b/>
          <w:i w:val="0"/>
        </w:rPr>
        <w:t>.</w:t>
      </w:r>
      <w:r>
        <w:rPr>
          <w:b w:val="0"/>
          <w:i w:val="0"/>
        </w:rPr>
        <w:t xml:space="preserve"> Printed forms: </w:t>
      </w:r>
      <w:r>
        <w:rPr>
          <w:b w:val="0"/>
          <w:i/>
        </w:rPr>
        <w:t>excitatum</w:t>
      </w:r>
      <w:r>
        <w:rPr>
          <w:b w:val="0"/>
          <w:i w:val="0"/>
        </w:rPr>
        <w:t xml:space="preserve">; </w:t>
      </w:r>
      <w:r>
        <w:rPr>
          <w:b w:val="0"/>
          <w:i/>
        </w:rPr>
        <w:t>iudicium</w:t>
      </w:r>
      <w:r>
        <w:rPr>
          <w:b w:val="0"/>
          <w:i w:val="0"/>
        </w:rPr>
        <w:t>.</w:t>
      </w:r>
    </w:p>
    <w:p>
      <w:pPr>
        <w:widowControl/>
      </w:pPr>
      <w:r>
        <w:rPr>
          <w:b w:val="0"/>
          <w:i w:val="0"/>
        </w:rPr>
        <w:t xml:space="preserve">A judgement awakened or elicited by a more attentive action. The final account defines sensation through awareness of activity or judgement of bodily affection prompted by that activity.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697" w:name="latin-record-0456"/>
      <w:bookmarkEnd w:id="697"/>
      <w:r>
        <w:rPr>
          <w:b/>
          <w:i w:val="0"/>
        </w:rPr>
        <w:t>excursio; praeludium</w:t>
      </w:r>
      <w:r>
        <w:rPr>
          <w:b/>
          <w:i w:val="0"/>
        </w:rPr>
        <w:t>.</w:t>
      </w:r>
      <w:r>
        <w:rPr>
          <w:b w:val="0"/>
          <w:i w:val="0"/>
        </w:rPr>
        <w:t xml:space="preserve"> Printed forms: </w:t>
      </w:r>
      <w:r>
        <w:rPr>
          <w:b w:val="0"/>
          <w:i/>
        </w:rPr>
        <w:t>excursio</w:t>
      </w:r>
      <w:r>
        <w:rPr>
          <w:b w:val="0"/>
          <w:i w:val="0"/>
        </w:rPr>
        <w:t xml:space="preserve">; </w:t>
      </w:r>
      <w:r>
        <w:rPr>
          <w:b w:val="0"/>
          <w:i/>
        </w:rPr>
        <w:t>praeludium</w:t>
      </w:r>
      <w:r>
        <w:rPr>
          <w:b w:val="0"/>
          <w:i w:val="0"/>
        </w:rPr>
        <w:t>.</w:t>
      </w:r>
    </w:p>
    <w:p>
      <w:pPr>
        <w:widowControl/>
      </w:pPr>
      <w:r>
        <w:rPr>
          <w:b w:val="0"/>
          <w:i w:val="0"/>
        </w:rPr>
        <w:t xml:space="preserve">An exploratory excursion and a preliminary exercise. Ficino expressly limits the chapter’s geometric and luminous persuasion before the ordered proofs begin. References: </w:t>
      </w:r>
      <w:hyperlink w:anchor="passage-vi-2-27">
        <w:r>
          <w:rPr>
            <w:color w:val="000000"/>
          </w:rPr>
          <w:t xml:space="preserve">VI.2.27</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698" w:name="latin-record-0457"/>
      <w:bookmarkEnd w:id="698"/>
      <w:r>
        <w:rPr>
          <w:b/>
          <w:i w:val="0"/>
        </w:rPr>
        <w:t>exemplar</w:t>
      </w:r>
      <w:r>
        <w:rPr>
          <w:b/>
          <w:i w:val="0"/>
        </w:rPr>
        <w:t>.</w:t>
      </w:r>
      <w:r>
        <w:rPr>
          <w:b w:val="0"/>
          <w:i w:val="0"/>
        </w:rPr>
        <w:t xml:space="preserve"> Printed forms: </w:t>
      </w:r>
      <w:r>
        <w:rPr>
          <w:b w:val="0"/>
          <w:i/>
        </w:rPr>
        <w:t>exemplar</w:t>
      </w:r>
      <w:r>
        <w:rPr>
          <w:b w:val="0"/>
          <w:i w:val="0"/>
        </w:rPr>
        <w:t xml:space="preserve">; </w:t>
      </w:r>
      <w:r>
        <w:rPr>
          <w:b w:val="0"/>
          <w:i/>
        </w:rPr>
        <w:t>exemplares</w:t>
      </w:r>
      <w:r>
        <w:rPr>
          <w:b w:val="0"/>
          <w:i w:val="0"/>
        </w:rPr>
        <w:t xml:space="preserve">; </w:t>
      </w:r>
      <w:r>
        <w:rPr>
          <w:b w:val="0"/>
          <w:i/>
        </w:rPr>
        <w:t>exemplaria</w:t>
      </w:r>
      <w:r>
        <w:rPr>
          <w:b w:val="0"/>
          <w:i w:val="0"/>
        </w:rPr>
        <w:t xml:space="preserve">; </w:t>
      </w:r>
      <w:r>
        <w:rPr>
          <w:b w:val="0"/>
          <w:i/>
        </w:rPr>
        <w:t>motionum corporalium exemplaria</w:t>
      </w:r>
      <w:r>
        <w:rPr>
          <w:b w:val="0"/>
          <w:i w:val="0"/>
        </w:rPr>
        <w:t>.</w:t>
      </w:r>
    </w:p>
    <w:p>
      <w:pPr>
        <w:widowControl/>
      </w:pPr>
      <w:r>
        <w:rPr>
          <w:b w:val="0"/>
          <w:i w:val="0"/>
        </w:rPr>
        <w:t xml:space="preserve">An exemplary pattern, whether in the painter’s mind or in the account of divine Ideas. The image explains determination by a pattern without making the pattern a bodily ingredient. References: </w:t>
      </w:r>
      <w:hyperlink w:anchor="passage-v-13-16">
        <w:r>
          <w:rPr>
            <w:color w:val="000000"/>
          </w:rPr>
          <w:t xml:space="preserve">V.13.16</w:t>
        </w:r>
      </w:hyperlink>
      <w:r>
        <w:rPr>
          <w:b w:val="0"/>
          <w:i w:val="0"/>
        </w:rPr>
        <w:t xml:space="preserve">, </w:t>
      </w:r>
      <w:hyperlink w:anchor="passage-v-13-18">
        <w:r>
          <w:rPr>
            <w:color w:val="000000"/>
          </w:rPr>
          <w:t xml:space="preserve">V.13.18</w:t>
        </w:r>
      </w:hyperlink>
      <w:r>
        <w:rPr>
          <w:b w:val="0"/>
          <w:i w:val="0"/>
        </w:rPr>
        <w:t xml:space="preserve">. See </w:t>
      </w:r>
      <w:hyperlink w:anchor="ariston-sculptor-and-painter">
        <w:r>
          <w:rPr>
            <w:color w:val="000000"/>
          </w:rPr>
          <w:t xml:space="preserve">Ariston, sculptor and painter</w:t>
        </w:r>
      </w:hyperlink>
      <w:r>
        <w:rPr>
          <w:b w:val="0"/>
          <w:i w:val="0"/>
        </w:rPr>
        <w:t>.</w:t>
      </w:r>
    </w:p>
    <w:p>
      <w:pPr>
        <w:widowControl/>
      </w:pPr>
      <w:r>
        <w:rPr>
          <w:b w:val="0"/>
          <w:i w:val="0"/>
        </w:rPr>
        <w:t xml:space="preserve">A higher pattern or counterpart of bodily motion. Psychic generation, increase and movement are analogical activities, not literal bodily processes within soul. References: </w:t>
      </w:r>
      <w:hyperlink w:anchor="passage-vi-12-19">
        <w:r>
          <w:rPr>
            <w:color w:val="000000"/>
          </w:rPr>
          <w:t xml:space="preserve">VI.12.19</w:t>
        </w:r>
      </w:hyperlink>
      <w:r>
        <w:rPr>
          <w:b w:val="0"/>
          <w:i w:val="0"/>
        </w:rPr>
        <w:t xml:space="preserve">, </w:t>
      </w:r>
      <w:hyperlink w:anchor="passage-vi-12-20">
        <w:r>
          <w:rPr>
            <w:color w:val="000000"/>
          </w:rPr>
          <w:t xml:space="preserve">VI.12.20</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699" w:name="latin-record-0458"/>
      <w:bookmarkEnd w:id="699"/>
      <w:r>
        <w:rPr>
          <w:b/>
          <w:i w:val="0"/>
        </w:rPr>
        <w:t>exemplar / fabricare</w:t>
      </w:r>
      <w:r>
        <w:rPr>
          <w:b/>
          <w:i w:val="0"/>
        </w:rPr>
        <w:t>.</w:t>
      </w:r>
      <w:r>
        <w:rPr>
          <w:b w:val="0"/>
          <w:i w:val="0"/>
        </w:rPr>
        <w:t xml:space="preserve"> Printed forms: </w:t>
      </w:r>
      <w:r>
        <w:rPr>
          <w:b w:val="0"/>
          <w:i/>
        </w:rPr>
        <w:t>artificiorum</w:t>
      </w:r>
      <w:r>
        <w:rPr>
          <w:b w:val="0"/>
          <w:i w:val="0"/>
        </w:rPr>
        <w:t xml:space="preserve">; </w:t>
      </w:r>
      <w:r>
        <w:rPr>
          <w:b w:val="0"/>
          <w:i/>
        </w:rPr>
        <w:t>exemplar</w:t>
      </w:r>
      <w:r>
        <w:rPr>
          <w:b w:val="0"/>
          <w:i w:val="0"/>
        </w:rPr>
        <w:t xml:space="preserve">; </w:t>
      </w:r>
      <w:r>
        <w:rPr>
          <w:b w:val="0"/>
          <w:i/>
        </w:rPr>
        <w:t>exemplaria</w:t>
      </w:r>
      <w:r>
        <w:rPr>
          <w:b w:val="0"/>
          <w:i w:val="0"/>
        </w:rPr>
        <w:t xml:space="preserve">; </w:t>
      </w:r>
      <w:r>
        <w:rPr>
          <w:b w:val="0"/>
          <w:i/>
        </w:rPr>
        <w:t>fabricare</w:t>
      </w:r>
      <w:r>
        <w:rPr>
          <w:b w:val="0"/>
          <w:i w:val="0"/>
        </w:rPr>
        <w:t xml:space="preserve">; </w:t>
      </w:r>
      <w:r>
        <w:rPr>
          <w:b w:val="0"/>
          <w:i/>
        </w:rPr>
        <w:t>fabricat</w:t>
      </w:r>
      <w:r>
        <w:rPr>
          <w:b w:val="0"/>
          <w:i w:val="0"/>
        </w:rPr>
        <w:t>.</w:t>
      </w:r>
    </w:p>
    <w:p>
      <w:pPr>
        <w:widowControl/>
      </w:pPr>
      <w:r>
        <w:rPr>
          <w:b w:val="0"/>
          <w:i w:val="0"/>
        </w:rPr>
        <w:t xml:space="preserve">A model for a distinct art and the work made according to it. The mind can follow one artistic conception without producing the work proper to another, showing unity without confusion. References: </w:t>
      </w:r>
      <w:hyperlink w:anchor="passage-viii-1-3">
        <w:r>
          <w:rPr>
            <w:color w:val="000000"/>
          </w:rPr>
          <w:t xml:space="preserve">VIII.1.3</w:t>
        </w:r>
      </w:hyperlink>
      <w:r>
        <w:rPr>
          <w:b w:val="0"/>
          <w:i w:val="0"/>
        </w:rPr>
        <w:t xml:space="preserve">, </w:t>
      </w:r>
      <w:hyperlink w:anchor="passage-viii-3-6">
        <w:r>
          <w:rPr>
            <w:color w:val="000000"/>
          </w:rPr>
          <w:t xml:space="preserve">VIII.3.6</w:t>
        </w:r>
      </w:hyperlink>
      <w:r>
        <w:rPr>
          <w:b w:val="0"/>
          <w:i w:val="0"/>
        </w:rPr>
        <w:t xml:space="preserve">, </w:t>
      </w:r>
      <w:hyperlink w:anchor="passage-viii-3-8">
        <w:r>
          <w:rPr>
            <w:color w:val="000000"/>
          </w:rPr>
          <w:t xml:space="preserve">VIII.3.8</w:t>
        </w:r>
      </w:hyperlink>
      <w:r>
        <w:rPr>
          <w:b w:val="0"/>
          <w:i w:val="0"/>
        </w:rPr>
        <w:t xml:space="preserve">, </w:t>
      </w:r>
      <w:hyperlink w:anchor="passage-viii-15-3">
        <w:r>
          <w:rPr>
            <w:color w:val="000000"/>
          </w:rPr>
          <w:t xml:space="preserve">VIII.15.3</w:t>
        </w:r>
      </w:hyperlink>
      <w:r>
        <w:rPr>
          <w:b w:val="0"/>
          <w:i w:val="0"/>
        </w:rPr>
        <w:t xml:space="preserve">, </w:t>
      </w:r>
      <w:hyperlink w:anchor="passage-viii-16-2">
        <w:r>
          <w:rPr>
            <w:color w:val="000000"/>
          </w:rPr>
          <w:t xml:space="preserve">VIII.16.2</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700" w:name="latin-record-0459"/>
      <w:bookmarkEnd w:id="700"/>
      <w:r>
        <w:rPr>
          <w:b/>
          <w:i w:val="0"/>
        </w:rPr>
        <w:t>eximere / liberare</w:t>
      </w:r>
      <w:r>
        <w:rPr>
          <w:b/>
          <w:i w:val="0"/>
        </w:rPr>
        <w:t>.</w:t>
      </w:r>
      <w:r>
        <w:rPr>
          <w:b w:val="0"/>
          <w:i w:val="0"/>
        </w:rPr>
        <w:t xml:space="preserve"> Printed forms: </w:t>
      </w:r>
      <w:r>
        <w:rPr>
          <w:b w:val="0"/>
          <w:i/>
        </w:rPr>
        <w:t>eximit</w:t>
      </w:r>
      <w:r>
        <w:rPr>
          <w:b w:val="0"/>
          <w:i w:val="0"/>
        </w:rPr>
        <w:t xml:space="preserve">; </w:t>
      </w:r>
      <w:r>
        <w:rPr>
          <w:b w:val="0"/>
          <w:i/>
        </w:rPr>
        <w:t>liberet</w:t>
      </w:r>
      <w:r>
        <w:rPr>
          <w:b w:val="0"/>
          <w:i w:val="0"/>
        </w:rPr>
        <w:t>.</w:t>
      </w:r>
    </w:p>
    <w:p>
      <w:pPr>
        <w:widowControl/>
      </w:pPr>
      <w:r>
        <w:rPr>
          <w:b w:val="0"/>
          <w:i w:val="0"/>
        </w:rPr>
        <w:t xml:space="preserve">Removing from restrictions or freeing in the mode of understanding. Mind abstracts individuals from place and time and other material affections; the external body is not thereby rendered physically immortal. References: </w:t>
      </w:r>
      <w:hyperlink w:anchor="passage-viii-14-1">
        <w:r>
          <w:rPr>
            <w:color w:val="000000"/>
          </w:rPr>
          <w:t xml:space="preserve">VIII.14.1</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701" w:name="latin-record-0460"/>
      <w:bookmarkEnd w:id="701"/>
      <w:r>
        <w:rPr>
          <w:b/>
          <w:i w:val="0"/>
        </w:rPr>
        <w:t>existentia</w:t>
      </w:r>
      <w:r>
        <w:rPr>
          <w:b/>
          <w:i w:val="0"/>
        </w:rPr>
        <w:t>.</w:t>
      </w:r>
      <w:r>
        <w:rPr>
          <w:b w:val="0"/>
          <w:i w:val="0"/>
        </w:rPr>
        <w:t xml:space="preserve"> Printed forms: </w:t>
      </w:r>
      <w:r>
        <w:rPr>
          <w:b w:val="0"/>
          <w:i/>
        </w:rPr>
        <w:t>existentiae</w:t>
      </w:r>
      <w:r>
        <w:rPr>
          <w:b w:val="0"/>
          <w:i w:val="0"/>
        </w:rPr>
        <w:t xml:space="preserve">; </w:t>
      </w:r>
      <w:r>
        <w:rPr>
          <w:b w:val="0"/>
          <w:i/>
        </w:rPr>
        <w:t>existentiam</w:t>
      </w:r>
      <w:r>
        <w:rPr>
          <w:b w:val="0"/>
          <w:i w:val="0"/>
        </w:rPr>
        <w:t>.</w:t>
      </w:r>
    </w:p>
    <w:p>
      <w:pPr>
        <w:widowControl/>
      </w:pPr>
      <w:r>
        <w:rPr>
          <w:b w:val="0"/>
          <w:i w:val="0"/>
        </w:rPr>
        <w:t xml:space="preserve">Existence or subsistence, the fact or mode of being rather than merely the defining account. At V.4.9 matter is said not to require an aggregate of determinate parts for its existence because it is naturally prior to quantitative dimensions. The noun is related in meaning to esse, but existentiam is not an inflection of the verb esse. References: </w:t>
      </w:r>
      <w:hyperlink w:anchor="passage-v-4-9">
        <w:r>
          <w:rPr>
            <w:color w:val="000000"/>
          </w:rPr>
          <w:t xml:space="preserve">V.4.9</w:t>
        </w:r>
      </w:hyperlink>
      <w:r>
        <w:rPr>
          <w:b w:val="0"/>
          <w:i w:val="0"/>
        </w:rPr>
        <w:t xml:space="preserve">. See </w:t>
      </w:r>
      <w:hyperlink w:anchor="essence-and-being">
        <w:r>
          <w:rPr>
            <w:color w:val="000000"/>
          </w:rPr>
          <w:t xml:space="preserve">Essence and being</w:t>
        </w:r>
      </w:hyperlink>
      <w:r>
        <w:rPr>
          <w:b w:val="0"/>
          <w:i w:val="0"/>
        </w:rPr>
        <w:t>.</w:t>
      </w:r>
    </w:p>
    <w:p>
      <w:pPr>
        <w:widowControl/>
      </w:pPr>
      <w:r>
        <w:rPr>
          <w:b w:val="0"/>
          <w:i w:val="0"/>
        </w:rPr>
        <w:t xml:space="preserve">Existence or the state of being; existentiae means of existence. Vita est primus existentiae actus calls life the first act of existence. The ensuing self-cause is explicitly formal, not efficient. References: </w:t>
      </w:r>
      <w:hyperlink w:anchor="passage-viii-15-3">
        <w:r>
          <w:rPr>
            <w:color w:val="000000"/>
          </w:rPr>
          <w:t xml:space="preserve">VIII.15.3</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702" w:name="latin-record-0461"/>
      <w:bookmarkEnd w:id="702"/>
      <w:r>
        <w:rPr>
          <w:b/>
          <w:i w:val="0"/>
        </w:rPr>
        <w:t>expellere / depellere</w:t>
      </w:r>
      <w:r>
        <w:rPr>
          <w:b/>
          <w:i w:val="0"/>
        </w:rPr>
        <w:t>.</w:t>
      </w:r>
      <w:r>
        <w:rPr>
          <w:b w:val="0"/>
          <w:i w:val="0"/>
        </w:rPr>
        <w:t xml:space="preserve"> Printed forms: </w:t>
      </w:r>
      <w:r>
        <w:rPr>
          <w:b w:val="0"/>
          <w:i/>
        </w:rPr>
        <w:t>depellitur</w:t>
      </w:r>
      <w:r>
        <w:rPr>
          <w:b w:val="0"/>
          <w:i w:val="0"/>
        </w:rPr>
        <w:t xml:space="preserve">; </w:t>
      </w:r>
      <w:r>
        <w:rPr>
          <w:b w:val="0"/>
          <w:i/>
        </w:rPr>
        <w:t>depulsus</w:t>
      </w:r>
      <w:r>
        <w:rPr>
          <w:b w:val="0"/>
          <w:i w:val="0"/>
        </w:rPr>
        <w:t xml:space="preserve">; </w:t>
      </w:r>
      <w:r>
        <w:rPr>
          <w:b w:val="0"/>
          <w:i/>
        </w:rPr>
        <w:t>expellere</w:t>
      </w:r>
      <w:r>
        <w:rPr>
          <w:b w:val="0"/>
          <w:i w:val="0"/>
        </w:rPr>
        <w:t xml:space="preserve">; </w:t>
      </w:r>
      <w:r>
        <w:rPr>
          <w:b w:val="0"/>
          <w:i/>
        </w:rPr>
        <w:t>expulsa</w:t>
      </w:r>
      <w:r>
        <w:rPr>
          <w:b w:val="0"/>
          <w:i w:val="0"/>
        </w:rPr>
        <w:t>.</w:t>
      </w:r>
    </w:p>
    <w:p>
      <w:pPr>
        <w:widowControl/>
      </w:pPr>
      <w:r>
        <w:rPr>
          <w:b w:val="0"/>
          <w:i w:val="0"/>
        </w:rPr>
        <w:t xml:space="preserve">To drive out or expel. Cold expels heat from the matter supporting it; the ejected dependent form ceases instead of persisting independently. References: </w:t>
      </w:r>
      <w:hyperlink w:anchor="passage-v-8-2">
        <w:r>
          <w:rPr>
            <w:color w:val="000000"/>
          </w:rPr>
          <w:t xml:space="preserve">V.8.2</w:t>
        </w:r>
      </w:hyperlink>
      <w:r>
        <w:rPr>
          <w:b w:val="0"/>
          <w:i w:val="0"/>
        </w:rPr>
        <w:t xml:space="preserve">,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703" w:name="latin-record-0462"/>
      <w:bookmarkEnd w:id="703"/>
      <w:r>
        <w:rPr>
          <w:b/>
          <w:i w:val="0"/>
        </w:rPr>
        <w:t>expergisci</w:t>
      </w:r>
      <w:r>
        <w:rPr>
          <w:b/>
          <w:i w:val="0"/>
        </w:rPr>
        <w:t>.</w:t>
      </w:r>
      <w:r>
        <w:rPr>
          <w:b w:val="0"/>
          <w:i w:val="0"/>
        </w:rPr>
        <w:t xml:space="preserve"> Printed forms: </w:t>
      </w:r>
      <w:r>
        <w:rPr>
          <w:b w:val="0"/>
          <w:i/>
        </w:rPr>
        <w:t>expergiscatur</w:t>
      </w:r>
      <w:r>
        <w:rPr>
          <w:b w:val="0"/>
          <w:i w:val="0"/>
        </w:rPr>
        <w:t>.</w:t>
      </w:r>
    </w:p>
    <w:p>
      <w:pPr>
        <w:widowControl/>
      </w:pPr>
      <w:r>
        <w:rPr>
          <w:b w:val="0"/>
          <w:i w:val="0"/>
        </w:rPr>
        <w:t xml:space="preserve">To awaken into ordinary sensory life. After sensory isolation the imagined adult would retain an easier route toward self-contemplation than ordinary upbringing provides. References: </w:t>
      </w:r>
      <w:hyperlink w:anchor="passage-vi-2-13">
        <w:r>
          <w:rPr>
            <w:color w:val="000000"/>
          </w:rPr>
          <w:t xml:space="preserve">VI.2.13</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704" w:name="latin-record-0463"/>
      <w:bookmarkEnd w:id="704"/>
      <w:r>
        <w:rPr>
          <w:b/>
          <w:i w:val="0"/>
        </w:rPr>
        <w:t>experiri; experientia</w:t>
      </w:r>
      <w:r>
        <w:rPr>
          <w:b/>
          <w:i w:val="0"/>
        </w:rPr>
        <w:t>.</w:t>
      </w:r>
      <w:r>
        <w:rPr>
          <w:b w:val="0"/>
          <w:i w:val="0"/>
        </w:rPr>
        <w:t xml:space="preserve"> Printed forms: </w:t>
      </w:r>
      <w:r>
        <w:rPr>
          <w:b w:val="0"/>
          <w:i/>
        </w:rPr>
        <w:t>Experiantur</w:t>
      </w:r>
      <w:r>
        <w:rPr>
          <w:b w:val="0"/>
          <w:i w:val="0"/>
        </w:rPr>
        <w:t xml:space="preserve">; </w:t>
      </w:r>
      <w:r>
        <w:rPr>
          <w:b w:val="0"/>
          <w:i/>
        </w:rPr>
        <w:t>experientia</w:t>
      </w:r>
      <w:r>
        <w:rPr>
          <w:b w:val="0"/>
          <w:i w:val="0"/>
        </w:rPr>
        <w:t>.</w:t>
      </w:r>
    </w:p>
    <w:p>
      <w:pPr>
        <w:widowControl/>
      </w:pPr>
      <w:r>
        <w:rPr>
          <w:b w:val="0"/>
          <w:i w:val="0"/>
        </w:rPr>
        <w:t xml:space="preserve">To make trial; experience that tests a philosophical claim. Ficino asks thinkers to examine their own inward life as an approach to separate forms. References: </w:t>
      </w:r>
      <w:hyperlink w:anchor="passage-vi-2-10">
        <w:r>
          <w:rPr>
            <w:color w:val="000000"/>
          </w:rPr>
          <w:t xml:space="preserve">VI.2.10</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705" w:name="latin-record-0464"/>
      <w:bookmarkEnd w:id="705"/>
      <w:r>
        <w:rPr>
          <w:b/>
          <w:i w:val="0"/>
        </w:rPr>
        <w:t>expers</w:t>
      </w:r>
      <w:r>
        <w:rPr>
          <w:b/>
          <w:i w:val="0"/>
        </w:rPr>
        <w:t>.</w:t>
      </w:r>
      <w:r>
        <w:rPr>
          <w:b w:val="0"/>
          <w:i w:val="0"/>
        </w:rPr>
        <w:t xml:space="preserve"> Printed forms: </w:t>
      </w:r>
      <w:r>
        <w:rPr>
          <w:b w:val="0"/>
          <w:i/>
        </w:rPr>
        <w:t>expers</w:t>
      </w:r>
      <w:r>
        <w:rPr>
          <w:b w:val="0"/>
          <w:i w:val="0"/>
        </w:rPr>
        <w:t xml:space="preserve">; </w:t>
      </w:r>
      <w:r>
        <w:rPr>
          <w:b w:val="0"/>
          <w:i/>
        </w:rPr>
        <w:t>expertem</w:t>
      </w:r>
      <w:r>
        <w:rPr>
          <w:b w:val="0"/>
          <w:i w:val="0"/>
        </w:rPr>
        <w:t>.</w:t>
      </w:r>
    </w:p>
    <w:p>
      <w:pPr>
        <w:widowControl/>
      </w:pPr>
      <w:r>
        <w:rPr>
          <w:b w:val="0"/>
          <w:i w:val="0"/>
        </w:rPr>
        <w:t xml:space="preserve">Without a share in something or devoid of it. Soul’s essence is without bodily passion; prime matter is devoid of forms of its own. The privation has a different object in each case. References: </w:t>
      </w:r>
      <w:hyperlink w:anchor="passage-v-3-1">
        <w:r>
          <w:rPr>
            <w:color w:val="000000"/>
          </w:rPr>
          <w:t xml:space="preserve">V.3.1</w:t>
        </w:r>
      </w:hyperlink>
      <w:r>
        <w:rPr>
          <w:b w:val="0"/>
          <w:i w:val="0"/>
        </w:rPr>
        <w:t xml:space="preserve">, </w:t>
      </w:r>
      <w:hyperlink w:anchor="passage-v-4-1">
        <w:r>
          <w:rPr>
            <w:color w:val="000000"/>
          </w:rPr>
          <w:t xml:space="preserve">V.4.1</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706" w:name="latin-record-0465"/>
      <w:bookmarkEnd w:id="706"/>
      <w:r>
        <w:rPr>
          <w:b/>
          <w:i w:val="0"/>
        </w:rPr>
        <w:t>exsultare / illuminare / adolescere</w:t>
      </w:r>
      <w:r>
        <w:rPr>
          <w:b/>
          <w:i w:val="0"/>
        </w:rPr>
        <w:t>.</w:t>
      </w:r>
      <w:r>
        <w:rPr>
          <w:b w:val="0"/>
          <w:i w:val="0"/>
        </w:rPr>
        <w:t xml:space="preserve"> Printed forms: </w:t>
      </w:r>
      <w:r>
        <w:rPr>
          <w:b w:val="0"/>
          <w:i/>
        </w:rPr>
        <w:t>adolescit</w:t>
      </w:r>
      <w:r>
        <w:rPr>
          <w:b w:val="0"/>
          <w:i w:val="0"/>
        </w:rPr>
        <w:t xml:space="preserve">; </w:t>
      </w:r>
      <w:r>
        <w:rPr>
          <w:b w:val="0"/>
          <w:i/>
        </w:rPr>
        <w:t>exsultat</w:t>
      </w:r>
      <w:r>
        <w:rPr>
          <w:b w:val="0"/>
          <w:i w:val="0"/>
        </w:rPr>
        <w:t xml:space="preserve">; </w:t>
      </w:r>
      <w:r>
        <w:rPr>
          <w:b w:val="0"/>
          <w:i/>
        </w:rPr>
        <w:t>gaudet</w:t>
      </w:r>
      <w:r>
        <w:rPr>
          <w:b w:val="0"/>
          <w:i w:val="0"/>
        </w:rPr>
        <w:t xml:space="preserve">; </w:t>
      </w:r>
      <w:r>
        <w:rPr>
          <w:b w:val="0"/>
          <w:i/>
        </w:rPr>
        <w:t>illuminatur</w:t>
      </w:r>
      <w:r>
        <w:rPr>
          <w:b w:val="0"/>
          <w:i w:val="0"/>
        </w:rPr>
        <w:t>.</w:t>
      </w:r>
    </w:p>
    <w:p>
      <w:pPr>
        <w:widowControl/>
      </w:pPr>
      <w:r>
        <w:rPr>
          <w:b w:val="0"/>
          <w:i w:val="0"/>
        </w:rPr>
        <w:t xml:space="preserve">Exulting, becoming illuminated and maturing through possession of truth. These predicates describe intellectual delight and growth rather than a literal increase in size. References: </w:t>
      </w:r>
      <w:hyperlink w:anchor="passage-viii-2-5">
        <w:r>
          <w:rPr>
            <w:color w:val="000000"/>
          </w:rPr>
          <w:t xml:space="preserve">VIII.2.5</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707" w:name="latin-record-0466"/>
      <w:bookmarkEnd w:id="707"/>
      <w:r>
        <w:rPr>
          <w:b/>
          <w:i w:val="0"/>
        </w:rPr>
        <w:t>extensio; contrarietas</w:t>
      </w:r>
      <w:r>
        <w:rPr>
          <w:b/>
          <w:i w:val="0"/>
        </w:rPr>
        <w:t>.</w:t>
      </w:r>
      <w:r>
        <w:rPr>
          <w:b w:val="0"/>
          <w:i w:val="0"/>
        </w:rPr>
        <w:t xml:space="preserve"> Printed forms: </w:t>
      </w:r>
      <w:r>
        <w:rPr>
          <w:b w:val="0"/>
          <w:i/>
        </w:rPr>
        <w:t>contrarietas</w:t>
      </w:r>
      <w:r>
        <w:rPr>
          <w:b w:val="0"/>
          <w:i w:val="0"/>
        </w:rPr>
        <w:t xml:space="preserve">; </w:t>
      </w:r>
      <w:r>
        <w:rPr>
          <w:b w:val="0"/>
          <w:i/>
        </w:rPr>
        <w:t>Extensio</w:t>
      </w:r>
      <w:r>
        <w:rPr>
          <w:b w:val="0"/>
          <w:i w:val="0"/>
        </w:rPr>
        <w:t xml:space="preserve">; </w:t>
      </w:r>
      <w:r>
        <w:rPr>
          <w:b w:val="0"/>
          <w:i/>
        </w:rPr>
        <w:t>qualitatibus</w:t>
      </w:r>
      <w:r>
        <w:rPr>
          <w:b w:val="0"/>
          <w:i w:val="0"/>
        </w:rPr>
        <w:t>.</w:t>
      </w:r>
    </w:p>
    <w:p>
      <w:pPr>
        <w:widowControl/>
      </w:pPr>
      <w:r>
        <w:rPr>
          <w:b w:val="0"/>
          <w:i w:val="0"/>
        </w:rPr>
        <w:t xml:space="preserve">Extension and opposition of qualities. One separates parts spatially; the other drives incompatible qualities apart within a composite. References: </w:t>
      </w:r>
      <w:hyperlink w:anchor="passage-vi-8-2">
        <w:r>
          <w:rPr>
            <w:color w:val="000000"/>
          </w:rPr>
          <w:t xml:space="preserve">VI.8.2</w:t>
        </w:r>
      </w:hyperlink>
      <w:r>
        <w:rPr>
          <w:b w:val="0"/>
          <w:i w:val="0"/>
        </w:rPr>
        <w:t xml:space="preserve">, </w:t>
      </w:r>
      <w:hyperlink w:anchor="passage-vi-8-3">
        <w:r>
          <w:rPr>
            <w:color w:val="000000"/>
          </w:rPr>
          <w:t xml:space="preserve">VI.8.3</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708" w:name="latin-record-0467"/>
      <w:bookmarkEnd w:id="708"/>
      <w:r>
        <w:rPr>
          <w:b/>
          <w:i w:val="0"/>
        </w:rPr>
        <w:t>extenuare</w:t>
      </w:r>
      <w:r>
        <w:rPr>
          <w:b/>
          <w:i w:val="0"/>
        </w:rPr>
        <w:t>.</w:t>
      </w:r>
      <w:r>
        <w:rPr>
          <w:b w:val="0"/>
          <w:i w:val="0"/>
        </w:rPr>
        <w:t xml:space="preserve"> Printed forms: </w:t>
      </w:r>
      <w:r>
        <w:rPr>
          <w:b w:val="0"/>
          <w:i/>
        </w:rPr>
        <w:t>extenuat</w:t>
      </w:r>
      <w:r>
        <w:rPr>
          <w:b w:val="0"/>
          <w:i w:val="0"/>
        </w:rPr>
        <w:t xml:space="preserve">; </w:t>
      </w:r>
      <w:r>
        <w:rPr>
          <w:b w:val="0"/>
          <w:i/>
        </w:rPr>
        <w:t>extenuata</w:t>
      </w:r>
      <w:r>
        <w:rPr>
          <w:b w:val="0"/>
          <w:i w:val="0"/>
        </w:rPr>
        <w:t>.</w:t>
      </w:r>
    </w:p>
    <w:p>
      <w:pPr>
        <w:widowControl/>
      </w:pPr>
      <w:r>
        <w:rPr>
          <w:b w:val="0"/>
          <w:i w:val="0"/>
        </w:rPr>
        <w:t xml:space="preserve">To thin or attenuate. The sun thins seawater, and rarefaction thins matter toward the elemental form of fire. References: </w:t>
      </w:r>
      <w:hyperlink w:anchor="passage-v-4-1">
        <w:r>
          <w:rPr>
            <w:color w:val="000000"/>
          </w:rPr>
          <w:t xml:space="preserve">V.4.1</w:t>
        </w:r>
      </w:hyperlink>
      <w:r>
        <w:rPr>
          <w:b w:val="0"/>
          <w:i w:val="0"/>
        </w:rPr>
        <w:t xml:space="preserve">, </w:t>
      </w:r>
      <w:hyperlink w:anchor="passage-v-4-4">
        <w:r>
          <w:rPr>
            <w:color w:val="000000"/>
          </w:rPr>
          <w:t xml:space="preserve">V.4.4</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709" w:name="latin-record-0468"/>
      <w:bookmarkEnd w:id="709"/>
      <w:r>
        <w:rPr>
          <w:b/>
          <w:i w:val="0"/>
        </w:rPr>
        <w:t>extrinsecum principium</w:t>
      </w:r>
      <w:r>
        <w:rPr>
          <w:b/>
          <w:i w:val="0"/>
        </w:rPr>
        <w:t>.</w:t>
      </w:r>
      <w:r>
        <w:rPr>
          <w:b w:val="0"/>
          <w:i w:val="0"/>
        </w:rPr>
        <w:t xml:space="preserve"> Printed forms: </w:t>
      </w:r>
      <w:r>
        <w:rPr>
          <w:b w:val="0"/>
          <w:i/>
        </w:rPr>
        <w:t>extrinsecone principio</w:t>
      </w:r>
      <w:r>
        <w:rPr>
          <w:b w:val="0"/>
          <w:i w:val="0"/>
        </w:rPr>
        <w:t xml:space="preserve">; </w:t>
      </w:r>
      <w:r>
        <w:rPr>
          <w:b w:val="0"/>
          <w:i/>
        </w:rPr>
        <w:t>extrinsecum</w:t>
      </w:r>
      <w:r>
        <w:rPr>
          <w:b w:val="0"/>
          <w:i w:val="0"/>
        </w:rPr>
        <w:t>.</w:t>
      </w:r>
    </w:p>
    <w:p>
      <w:pPr>
        <w:widowControl/>
      </w:pPr>
      <w:r>
        <w:rPr>
          <w:b w:val="0"/>
          <w:i w:val="0"/>
        </w:rPr>
        <w:t xml:space="preserve">A principle from outside the concord considered in itself. Ficino affirms the need for a source beyond bare concord but says an external source alone does not explain constant inward tempering.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710" w:name="latin-record-0469"/>
      <w:bookmarkEnd w:id="710"/>
      <w:r>
        <w:rPr>
          <w:b/>
          <w:i w:val="0"/>
        </w:rPr>
        <w:t>exuberare</w:t>
      </w:r>
      <w:r>
        <w:rPr>
          <w:b/>
          <w:i w:val="0"/>
        </w:rPr>
        <w:t>.</w:t>
      </w:r>
      <w:r>
        <w:rPr>
          <w:b w:val="0"/>
          <w:i w:val="0"/>
        </w:rPr>
        <w:t xml:space="preserve"> Printed forms: </w:t>
      </w:r>
      <w:r>
        <w:rPr>
          <w:b w:val="0"/>
          <w:i/>
        </w:rPr>
        <w:t>exuberat</w:t>
      </w:r>
      <w:r>
        <w:rPr>
          <w:b w:val="0"/>
          <w:i w:val="0"/>
        </w:rPr>
        <w:t>.</w:t>
      </w:r>
    </w:p>
    <w:p>
      <w:pPr>
        <w:widowControl/>
      </w:pPr>
      <w:r>
        <w:rPr>
          <w:b w:val="0"/>
          <w:i w:val="0"/>
        </w:rPr>
        <w:t xml:space="preserve">To overflow abundantly. God’s constant overflow is paired with the soul’s constant drawing, distinguishing source and recipient. References: </w:t>
      </w:r>
      <w:hyperlink w:anchor="passage-v-10-3">
        <w:r>
          <w:rPr>
            <w:color w:val="000000"/>
          </w:rPr>
          <w:t xml:space="preserve">V.10.3</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711" w:name="latin-record-0470"/>
      <w:bookmarkEnd w:id="711"/>
      <w:r>
        <w:rPr>
          <w:b/>
          <w:i w:val="0"/>
        </w:rPr>
        <w:t>faber intimus</w:t>
      </w:r>
      <w:r>
        <w:rPr>
          <w:b/>
          <w:i w:val="0"/>
        </w:rPr>
        <w:t>.</w:t>
      </w:r>
      <w:r>
        <w:rPr>
          <w:b w:val="0"/>
          <w:i w:val="0"/>
        </w:rPr>
        <w:t xml:space="preserve"> Printed forms: </w:t>
      </w:r>
      <w:r>
        <w:rPr>
          <w:b w:val="0"/>
          <w:i/>
        </w:rPr>
        <w:t>Intimus autem ille faber corporis atque stabilis</w:t>
      </w:r>
      <w:r>
        <w:rPr>
          <w:b w:val="0"/>
          <w:i w:val="0"/>
        </w:rPr>
        <w:t>.</w:t>
      </w:r>
    </w:p>
    <w:p>
      <w:pPr>
        <w:widowControl/>
      </w:pPr>
      <w:r>
        <w:rPr>
          <w:b w:val="0"/>
          <w:i w:val="0"/>
        </w:rPr>
        <w:t xml:space="preserve">The inward stable craftsman of body. Ficino identifies this source with soul and argues that if it too flowed, bodily likeness and retained knowledge would lose their explanation. References: </w:t>
      </w:r>
      <w:hyperlink w:anchor="passage-vi-13-10">
        <w:r>
          <w:rPr>
            <w:color w:val="000000"/>
          </w:rPr>
          <w:t xml:space="preserve">VI.13.10</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712" w:name="latin-record-0471"/>
      <w:bookmarkEnd w:id="712"/>
      <w:r>
        <w:rPr>
          <w:b/>
          <w:i w:val="0"/>
        </w:rPr>
        <w:t>fabricare / servare / reficere</w:t>
      </w:r>
      <w:r>
        <w:rPr>
          <w:b/>
          <w:i w:val="0"/>
        </w:rPr>
        <w:t>.</w:t>
      </w:r>
      <w:r>
        <w:rPr>
          <w:b w:val="0"/>
          <w:i w:val="0"/>
        </w:rPr>
        <w:t xml:space="preserve"> Printed forms: </w:t>
      </w:r>
      <w:r>
        <w:rPr>
          <w:b w:val="0"/>
          <w:i/>
        </w:rPr>
        <w:t>fabricat</w:t>
      </w:r>
      <w:r>
        <w:rPr>
          <w:b w:val="0"/>
          <w:i w:val="0"/>
        </w:rPr>
        <w:t xml:space="preserve">; </w:t>
      </w:r>
      <w:r>
        <w:rPr>
          <w:b w:val="0"/>
          <w:i/>
        </w:rPr>
        <w:t>fabricet</w:t>
      </w:r>
      <w:r>
        <w:rPr>
          <w:b w:val="0"/>
          <w:i w:val="0"/>
        </w:rPr>
        <w:t xml:space="preserve">; </w:t>
      </w:r>
      <w:r>
        <w:rPr>
          <w:b w:val="0"/>
          <w:i/>
        </w:rPr>
        <w:t>reficit</w:t>
      </w:r>
      <w:r>
        <w:rPr>
          <w:b w:val="0"/>
          <w:i w:val="0"/>
        </w:rPr>
        <w:t xml:space="preserve">; </w:t>
      </w:r>
      <w:r>
        <w:rPr>
          <w:b w:val="0"/>
          <w:i/>
        </w:rPr>
        <w:t>servat</w:t>
      </w:r>
      <w:r>
        <w:rPr>
          <w:b w:val="0"/>
          <w:i w:val="0"/>
        </w:rPr>
        <w:t>.</w:t>
      </w:r>
    </w:p>
    <w:p>
      <w:pPr>
        <w:widowControl/>
      </w:pPr>
      <w:r>
        <w:rPr>
          <w:b w:val="0"/>
          <w:i w:val="0"/>
        </w:rPr>
        <w:t xml:space="preserve">To fashion, preserve and repair. The soul’s productive relation to its body extends beyond original formation to continuing maintenance and restoration.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713" w:name="latin-record-0472"/>
      <w:bookmarkEnd w:id="713"/>
      <w:r>
        <w:rPr>
          <w:b/>
          <w:i w:val="0"/>
        </w:rPr>
        <w:t>fabricare; aedificium</w:t>
      </w:r>
      <w:r>
        <w:rPr>
          <w:b/>
          <w:i w:val="0"/>
        </w:rPr>
        <w:t>.</w:t>
      </w:r>
      <w:r>
        <w:rPr>
          <w:b w:val="0"/>
          <w:i w:val="0"/>
        </w:rPr>
        <w:t xml:space="preserve"> Printed forms: </w:t>
      </w:r>
      <w:r>
        <w:rPr>
          <w:b w:val="0"/>
          <w:i/>
        </w:rPr>
        <w:t>aedificia</w:t>
      </w:r>
      <w:r>
        <w:rPr>
          <w:b w:val="0"/>
          <w:i w:val="0"/>
        </w:rPr>
        <w:t xml:space="preserve">; </w:t>
      </w:r>
      <w:r>
        <w:rPr>
          <w:b w:val="0"/>
          <w:i/>
        </w:rPr>
        <w:t>fabricat</w:t>
      </w:r>
      <w:r>
        <w:rPr>
          <w:b w:val="0"/>
          <w:i w:val="0"/>
        </w:rPr>
        <w:t>.</w:t>
      </w:r>
    </w:p>
    <w:p>
      <w:pPr>
        <w:widowControl/>
      </w:pPr>
      <w:r>
        <w:rPr>
          <w:b w:val="0"/>
          <w:i w:val="0"/>
        </w:rPr>
        <w:t xml:space="preserve">To fashion; constructed works or structures. The intellectual works in the second branch are incorporeal, so the building metaphor does not make intellect a bodily craftsman.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714" w:name="latin-record-0473"/>
      <w:bookmarkEnd w:id="714"/>
      <w:r>
        <w:rPr>
          <w:b/>
          <w:i w:val="0"/>
        </w:rPr>
        <w:t>facere / fieri</w:t>
      </w:r>
      <w:r>
        <w:rPr>
          <w:b/>
          <w:i w:val="0"/>
        </w:rPr>
        <w:t>.</w:t>
      </w:r>
      <w:r>
        <w:rPr>
          <w:b w:val="0"/>
          <w:i w:val="0"/>
        </w:rPr>
        <w:t xml:space="preserve"> Printed forms: </w:t>
      </w:r>
      <w:r>
        <w:rPr>
          <w:b w:val="0"/>
          <w:i/>
        </w:rPr>
        <w:t>facere</w:t>
      </w:r>
      <w:r>
        <w:rPr>
          <w:b w:val="0"/>
          <w:i w:val="0"/>
        </w:rPr>
        <w:t xml:space="preserve">; </w:t>
      </w:r>
      <w:r>
        <w:rPr>
          <w:b w:val="0"/>
          <w:i/>
        </w:rPr>
        <w:t>facit</w:t>
      </w:r>
      <w:r>
        <w:rPr>
          <w:b w:val="0"/>
          <w:i w:val="0"/>
        </w:rPr>
        <w:t xml:space="preserve">; </w:t>
      </w:r>
      <w:r>
        <w:rPr>
          <w:b w:val="0"/>
          <w:i/>
        </w:rPr>
        <w:t>factae</w:t>
      </w:r>
      <w:r>
        <w:rPr>
          <w:b w:val="0"/>
          <w:i w:val="0"/>
        </w:rPr>
        <w:t xml:space="preserve">; </w:t>
      </w:r>
      <w:r>
        <w:rPr>
          <w:b w:val="0"/>
          <w:i/>
        </w:rPr>
        <w:t>Factae</w:t>
      </w:r>
      <w:r>
        <w:rPr>
          <w:b w:val="0"/>
          <w:i w:val="0"/>
        </w:rPr>
        <w:t xml:space="preserve">; </w:t>
      </w:r>
      <w:r>
        <w:rPr>
          <w:b w:val="0"/>
          <w:i/>
        </w:rPr>
        <w:t>fiat</w:t>
      </w:r>
      <w:r>
        <w:rPr>
          <w:b w:val="0"/>
          <w:i w:val="0"/>
        </w:rPr>
        <w:t xml:space="preserve">; </w:t>
      </w:r>
      <w:r>
        <w:rPr>
          <w:b w:val="0"/>
          <w:i/>
        </w:rPr>
        <w:t>Fit</w:t>
      </w:r>
      <w:r>
        <w:rPr>
          <w:b w:val="0"/>
          <w:i w:val="0"/>
        </w:rPr>
        <w:t xml:space="preserve">; </w:t>
      </w:r>
      <w:r>
        <w:rPr>
          <w:b w:val="0"/>
          <w:i/>
        </w:rPr>
        <w:t>fit</w:t>
      </w:r>
      <w:r>
        <w:rPr>
          <w:b w:val="0"/>
          <w:i w:val="0"/>
        </w:rPr>
        <w:t>.</w:t>
      </w:r>
    </w:p>
    <w:p>
      <w:pPr>
        <w:widowControl/>
      </w:pPr>
      <w:r>
        <w:rPr>
          <w:b w:val="0"/>
          <w:i w:val="0"/>
        </w:rPr>
        <w:t xml:space="preserve">Making and becoming, active and passive descriptions that must not be interchanged. Mind produces forms and grows in perfection; the report of efficient self-production is expressly distinguished from Ficino’s formal self-causation. References: </w:t>
      </w:r>
      <w:hyperlink w:anchor="passage-viii-1-3">
        <w:r>
          <w:rPr>
            <w:color w:val="000000"/>
          </w:rPr>
          <w:t xml:space="preserve">VIII.1.3</w:t>
        </w:r>
      </w:hyperlink>
      <w:r>
        <w:rPr>
          <w:b w:val="0"/>
          <w:i w:val="0"/>
        </w:rPr>
        <w:t xml:space="preserve">, </w:t>
      </w:r>
      <w:hyperlink w:anchor="passage-viii-3-8">
        <w:r>
          <w:rPr>
            <w:color w:val="000000"/>
          </w:rPr>
          <w:t xml:space="preserve">VIII.3.8</w:t>
        </w:r>
      </w:hyperlink>
      <w:r>
        <w:rPr>
          <w:b w:val="0"/>
          <w:i w:val="0"/>
        </w:rPr>
        <w:t xml:space="preserve">, </w:t>
      </w:r>
      <w:hyperlink w:anchor="passage-viii-15-2">
        <w:r>
          <w:rPr>
            <w:color w:val="000000"/>
          </w:rPr>
          <w:t xml:space="preserve">VIII.15.2</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715" w:name="latin-record-0474"/>
      <w:bookmarkEnd w:id="715"/>
      <w:r>
        <w:rPr>
          <w:b/>
          <w:i w:val="0"/>
        </w:rPr>
        <w:t>facere / fieri (further forms)</w:t>
      </w:r>
      <w:r>
        <w:rPr>
          <w:b/>
          <w:i w:val="0"/>
        </w:rPr>
        <w:t>.</w:t>
      </w:r>
      <w:r>
        <w:rPr>
          <w:b w:val="0"/>
          <w:i w:val="0"/>
        </w:rPr>
        <w:t xml:space="preserve"> Printed forms: </w:t>
      </w:r>
      <w:r>
        <w:rPr>
          <w:b w:val="0"/>
          <w:i/>
        </w:rPr>
        <w:t>facta</w:t>
      </w:r>
      <w:r>
        <w:rPr>
          <w:b w:val="0"/>
          <w:i w:val="0"/>
        </w:rPr>
        <w:t xml:space="preserve">; </w:t>
      </w:r>
      <w:r>
        <w:rPr>
          <w:b w:val="0"/>
          <w:i/>
        </w:rPr>
        <w:t>facti</w:t>
      </w:r>
      <w:r>
        <w:rPr>
          <w:b w:val="0"/>
          <w:i w:val="0"/>
        </w:rPr>
        <w:t xml:space="preserve">; </w:t>
      </w:r>
      <w:r>
        <w:rPr>
          <w:b w:val="0"/>
          <w:i/>
        </w:rPr>
        <w:t>fiat</w:t>
      </w:r>
      <w:r>
        <w:rPr>
          <w:b w:val="0"/>
          <w:i w:val="0"/>
        </w:rPr>
        <w:t xml:space="preserve">; </w:t>
      </w:r>
      <w:r>
        <w:rPr>
          <w:b w:val="0"/>
          <w:i/>
        </w:rPr>
        <w:t>fieret</w:t>
      </w:r>
      <w:r>
        <w:rPr>
          <w:b w:val="0"/>
          <w:i w:val="0"/>
        </w:rPr>
        <w:t xml:space="preserve">; </w:t>
      </w:r>
      <w:r>
        <w:rPr>
          <w:b w:val="0"/>
          <w:i/>
        </w:rPr>
        <w:t>fieri</w:t>
      </w:r>
      <w:r>
        <w:rPr>
          <w:b w:val="0"/>
          <w:i w:val="0"/>
        </w:rPr>
        <w:t xml:space="preserve">; </w:t>
      </w:r>
      <w:r>
        <w:rPr>
          <w:b w:val="0"/>
          <w:i/>
        </w:rPr>
        <w:t>fiet</w:t>
      </w:r>
      <w:r>
        <w:rPr>
          <w:b w:val="0"/>
          <w:i w:val="0"/>
        </w:rPr>
        <w:t xml:space="preserve">; </w:t>
      </w:r>
      <w:r>
        <w:rPr>
          <w:b w:val="0"/>
          <w:i/>
        </w:rPr>
        <w:t>Fiet</w:t>
      </w:r>
      <w:r>
        <w:rPr>
          <w:b w:val="0"/>
          <w:i w:val="0"/>
        </w:rPr>
        <w:t xml:space="preserve">; </w:t>
      </w:r>
      <w:r>
        <w:rPr>
          <w:b w:val="0"/>
          <w:i/>
        </w:rPr>
        <w:t>fiunt</w:t>
      </w:r>
      <w:r>
        <w:rPr>
          <w:b w:val="0"/>
          <w:i w:val="0"/>
        </w:rPr>
        <w:t xml:space="preserve">; </w:t>
      </w:r>
      <w:r>
        <w:rPr>
          <w:b w:val="0"/>
          <w:i/>
        </w:rPr>
        <w:t>Fiunt</w:t>
      </w:r>
      <w:r>
        <w:rPr>
          <w:b w:val="0"/>
          <w:i w:val="0"/>
        </w:rPr>
        <w:t>.</w:t>
      </w:r>
    </w:p>
    <w:p>
      <w:pPr>
        <w:widowControl/>
      </w:pPr>
      <w:r>
        <w:rPr>
          <w:b w:val="0"/>
          <w:i w:val="0"/>
        </w:rPr>
        <w:t xml:space="preserve">Making or becoming, including resultative and passive forms rather than a single doctrine of production. Natural generation, conceptual formation and intellectual perfection differ; no occurrence alone authorizes efficient self-creation of mind.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4">
        <w:r>
          <w:rPr>
            <w:color w:val="000000"/>
          </w:rPr>
          <w:t xml:space="preserve">VIII.2.4</w:t>
        </w:r>
      </w:hyperlink>
      <w:r>
        <w:rPr>
          <w:b w:val="0"/>
          <w:i w:val="0"/>
        </w:rPr>
        <w:t xml:space="preserve">, </w:t>
      </w:r>
      <w:hyperlink w:anchor="passage-viii-2-7">
        <w:r>
          <w:rPr>
            <w:color w:val="000000"/>
          </w:rPr>
          <w:t xml:space="preserve">VIII.2.7</w:t>
        </w:r>
      </w:hyperlink>
      <w:r>
        <w:rPr>
          <w:b w:val="0"/>
          <w:i w:val="0"/>
        </w:rPr>
        <w:t xml:space="preserve">, </w:t>
      </w:r>
      <w:hyperlink w:anchor="passage-viii-3-1">
        <w:r>
          <w:rPr>
            <w:color w:val="000000"/>
          </w:rPr>
          <w:t xml:space="preserve">VIII.3.1</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w:t>
      </w:r>
      <w:hyperlink w:anchor="passage-viii-4-9">
        <w:r>
          <w:rPr>
            <w:color w:val="000000"/>
          </w:rPr>
          <w:t xml:space="preserve">VIII.4.9</w:t>
        </w:r>
      </w:hyperlink>
      <w:r>
        <w:rPr>
          <w:b w:val="0"/>
          <w:i w:val="0"/>
        </w:rPr>
        <w:t xml:space="preserve">, </w:t>
      </w:r>
      <w:hyperlink w:anchor="passage-viii-5-2">
        <w:r>
          <w:rPr>
            <w:color w:val="000000"/>
          </w:rPr>
          <w:t xml:space="preserve">VIII.5.2</w:t>
        </w:r>
      </w:hyperlink>
      <w:r>
        <w:rPr>
          <w:b w:val="0"/>
          <w:i w:val="0"/>
        </w:rPr>
        <w:t xml:space="preserve">, </w:t>
      </w:r>
      <w:hyperlink w:anchor="passage-viii-6-1">
        <w:r>
          <w:rPr>
            <w:color w:val="000000"/>
          </w:rPr>
          <w:t xml:space="preserve">VIII.6.1</w:t>
        </w:r>
      </w:hyperlink>
      <w:r>
        <w:rPr>
          <w:b w:val="0"/>
          <w:i w:val="0"/>
        </w:rPr>
        <w:t xml:space="preserve">, </w:t>
      </w:r>
      <w:hyperlink w:anchor="passage-viii-10-1">
        <w:r>
          <w:rPr>
            <w:color w:val="000000"/>
          </w:rPr>
          <w:t xml:space="preserve">VIII.10.1</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w:t>
      </w:r>
      <w:hyperlink w:anchor="passage-viii-16-4">
        <w:r>
          <w:rPr>
            <w:color w:val="000000"/>
          </w:rPr>
          <w:t xml:space="preserve">VIII.16.4</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716" w:name="latin-record-0475"/>
      <w:bookmarkEnd w:id="716"/>
      <w:r>
        <w:rPr>
          <w:b/>
          <w:i w:val="0"/>
        </w:rPr>
        <w:t>facies / profundum</w:t>
      </w:r>
      <w:r>
        <w:rPr>
          <w:b/>
          <w:i w:val="0"/>
        </w:rPr>
        <w:t>.</w:t>
      </w:r>
      <w:r>
        <w:rPr>
          <w:b w:val="0"/>
          <w:i w:val="0"/>
        </w:rPr>
        <w:t xml:space="preserve"> Printed forms: </w:t>
      </w:r>
      <w:r>
        <w:rPr>
          <w:b w:val="0"/>
          <w:i/>
        </w:rPr>
        <w:t>faciem</w:t>
      </w:r>
      <w:r>
        <w:rPr>
          <w:b w:val="0"/>
          <w:i w:val="0"/>
        </w:rPr>
        <w:t xml:space="preserve">; </w:t>
      </w:r>
      <w:r>
        <w:rPr>
          <w:b w:val="0"/>
          <w:i/>
        </w:rPr>
        <w:t>profundam</w:t>
      </w:r>
      <w:r>
        <w:rPr>
          <w:b w:val="0"/>
          <w:i w:val="0"/>
        </w:rPr>
        <w:t>.</w:t>
      </w:r>
    </w:p>
    <w:p>
      <w:pPr>
        <w:widowControl/>
      </w:pPr>
      <w:r>
        <w:rPr>
          <w:b w:val="0"/>
          <w:i w:val="0"/>
        </w:rPr>
        <w:t xml:space="preserve">Surface and depth as rival receiving sites. The closing sensory dilemma contrasts an image touching the surface with qualities penetrating deep into a supposed material soul.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717" w:name="latin-record-0476"/>
      <w:bookmarkEnd w:id="717"/>
      <w:r>
        <w:rPr>
          <w:b/>
          <w:i w:val="0"/>
        </w:rPr>
        <w:t>facilis / difficilis</w:t>
      </w:r>
      <w:r>
        <w:rPr>
          <w:b/>
          <w:i w:val="0"/>
        </w:rPr>
        <w:t>.</w:t>
      </w:r>
      <w:r>
        <w:rPr>
          <w:b w:val="0"/>
          <w:i w:val="0"/>
        </w:rPr>
        <w:t xml:space="preserve"> Printed forms: </w:t>
      </w:r>
      <w:r>
        <w:rPr>
          <w:b w:val="0"/>
          <w:i/>
        </w:rPr>
        <w:t>difficile</w:t>
      </w:r>
      <w:r>
        <w:rPr>
          <w:b w:val="0"/>
          <w:i w:val="0"/>
        </w:rPr>
        <w:t xml:space="preserve">; </w:t>
      </w:r>
      <w:r>
        <w:rPr>
          <w:b w:val="0"/>
          <w:i/>
        </w:rPr>
        <w:t>Facile</w:t>
      </w:r>
      <w:r>
        <w:rPr>
          <w:b w:val="0"/>
          <w:i w:val="0"/>
        </w:rPr>
        <w:t xml:space="preserve">; </w:t>
      </w:r>
      <w:r>
        <w:rPr>
          <w:b w:val="0"/>
          <w:i/>
        </w:rPr>
        <w:t>Facilius</w:t>
      </w:r>
      <w:r>
        <w:rPr>
          <w:b w:val="0"/>
          <w:i w:val="0"/>
        </w:rPr>
        <w:t>.</w:t>
      </w:r>
    </w:p>
    <w:p>
      <w:pPr>
        <w:widowControl/>
      </w:pPr>
      <w:r>
        <w:rPr>
          <w:b w:val="0"/>
          <w:i w:val="0"/>
        </w:rPr>
        <w:t xml:space="preserve">Easy and difficult, measuring relative demands on an agent’s power. Producing from a prepared material is easier than creation from nothing; elemental readiness provides the comparison. References: </w:t>
      </w:r>
      <w:hyperlink w:anchor="passage-v-4-2">
        <w:r>
          <w:rPr>
            <w:color w:val="000000"/>
          </w:rPr>
          <w:t xml:space="preserve">V.4.2</w:t>
        </w:r>
      </w:hyperlink>
      <w:r>
        <w:rPr>
          <w:b w:val="0"/>
          <w:i w:val="0"/>
        </w:rPr>
        <w:t xml:space="preserve">, </w:t>
      </w:r>
      <w:hyperlink w:anchor="passage-v-13-5">
        <w:r>
          <w:rPr>
            <w:color w:val="000000"/>
          </w:rPr>
          <w:t xml:space="preserve">V.13.5</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718" w:name="latin-record-0477"/>
      <w:bookmarkEnd w:id="718"/>
      <w:r>
        <w:rPr>
          <w:b/>
          <w:i w:val="0"/>
        </w:rPr>
        <w:t>facultas; capacitas</w:t>
      </w:r>
      <w:r>
        <w:rPr>
          <w:b/>
          <w:i w:val="0"/>
        </w:rPr>
        <w:t>.</w:t>
      </w:r>
      <w:r>
        <w:rPr>
          <w:b w:val="0"/>
          <w:i w:val="0"/>
        </w:rPr>
        <w:t xml:space="preserve"> Printed forms: </w:t>
      </w:r>
      <w:r>
        <w:rPr>
          <w:b w:val="0"/>
          <w:i/>
        </w:rPr>
        <w:t>capacitatem</w:t>
      </w:r>
      <w:r>
        <w:rPr>
          <w:b w:val="0"/>
          <w:i w:val="0"/>
        </w:rPr>
        <w:t xml:space="preserve">; </w:t>
      </w:r>
      <w:r>
        <w:rPr>
          <w:b w:val="0"/>
          <w:i/>
        </w:rPr>
        <w:t>facultatem</w:t>
      </w:r>
      <w:r>
        <w:rPr>
          <w:b w:val="0"/>
          <w:i w:val="0"/>
        </w:rPr>
        <w:t>.</w:t>
      </w:r>
    </w:p>
    <w:p>
      <w:pPr>
        <w:widowControl/>
      </w:pPr>
      <w:r>
        <w:rPr>
          <w:b w:val="0"/>
          <w:i w:val="0"/>
        </w:rPr>
        <w:t xml:space="preserve">Capacity or operative ability, including a recipient’s limit. Earthly sight cannot receive excess intelligible radiance, while living bodies acquire the ability to act through soul’s presence. References: </w:t>
      </w:r>
      <w:hyperlink w:anchor="passage-vi-2-23">
        <w:r>
          <w:rPr>
            <w:color w:val="000000"/>
          </w:rPr>
          <w:t xml:space="preserve">VI.2.23</w:t>
        </w:r>
      </w:hyperlink>
      <w:r>
        <w:rPr>
          <w:b w:val="0"/>
          <w:i w:val="0"/>
        </w:rPr>
        <w:t xml:space="preserve">, </w:t>
      </w:r>
      <w:hyperlink w:anchor="passage-vi-12-8">
        <w:r>
          <w:rPr>
            <w:color w:val="000000"/>
          </w:rPr>
          <w:t xml:space="preserve">VI.12.8</w:t>
        </w:r>
      </w:hyperlink>
      <w:r>
        <w:rPr>
          <w:b w:val="0"/>
          <w:i w:val="0"/>
        </w:rPr>
        <w:t xml:space="preserve">, </w:t>
      </w:r>
      <w:hyperlink w:anchor="passage-vi-12-20">
        <w:r>
          <w:rPr>
            <w:color w:val="000000"/>
          </w:rPr>
          <w:t xml:space="preserve">VI.12.20</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719" w:name="latin-record-0478"/>
      <w:bookmarkEnd w:id="719"/>
      <w:r>
        <w:rPr>
          <w:b/>
          <w:i w:val="0"/>
        </w:rPr>
        <w:t>felicitas</w:t>
      </w:r>
      <w:r>
        <w:rPr>
          <w:b/>
          <w:i w:val="0"/>
        </w:rPr>
        <w:t>.</w:t>
      </w:r>
      <w:r>
        <w:rPr>
          <w:b w:val="0"/>
          <w:i w:val="0"/>
        </w:rPr>
        <w:t xml:space="preserve"> Printed forms: </w:t>
      </w:r>
      <w:r>
        <w:rPr>
          <w:b w:val="0"/>
          <w:i/>
        </w:rPr>
        <w:t>felicitas</w:t>
      </w:r>
      <w:r>
        <w:rPr>
          <w:b w:val="0"/>
          <w:i w:val="0"/>
        </w:rPr>
        <w:t>.</w:t>
      </w:r>
    </w:p>
    <w:p>
      <w:pPr>
        <w:widowControl/>
      </w:pPr>
      <w:r>
        <w:rPr>
          <w:b w:val="0"/>
          <w:i w:val="0"/>
        </w:rPr>
        <w:t xml:space="preserve">Happiness, the stated end of a human being in the four-cause example. The supplied edition distinguishes this word from beatitudo rather than treating all blessedness-language as one Latin term. References: </w:t>
      </w:r>
      <w:hyperlink w:anchor="passage-v-5-1">
        <w:r>
          <w:rPr>
            <w:color w:val="000000"/>
          </w:rPr>
          <w:t xml:space="preserve">V.5.1</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720" w:name="latin-record-0479"/>
      <w:bookmarkEnd w:id="720"/>
      <w:r>
        <w:rPr>
          <w:b/>
          <w:i w:val="0"/>
        </w:rPr>
        <w:t>fetus; adultus</w:t>
      </w:r>
      <w:r>
        <w:rPr>
          <w:b/>
          <w:i w:val="0"/>
        </w:rPr>
        <w:t>.</w:t>
      </w:r>
      <w:r>
        <w:rPr>
          <w:b w:val="0"/>
          <w:i w:val="0"/>
        </w:rPr>
        <w:t xml:space="preserve"> Printed forms: </w:t>
      </w:r>
      <w:r>
        <w:rPr>
          <w:b w:val="0"/>
          <w:i/>
        </w:rPr>
        <w:t>adulto</w:t>
      </w:r>
      <w:r>
        <w:rPr>
          <w:b w:val="0"/>
          <w:i w:val="0"/>
        </w:rPr>
        <w:t xml:space="preserve">; </w:t>
      </w:r>
      <w:r>
        <w:rPr>
          <w:b w:val="0"/>
          <w:i/>
        </w:rPr>
        <w:t>fetu</w:t>
      </w:r>
      <w:r>
        <w:rPr>
          <w:b w:val="0"/>
          <w:i w:val="0"/>
        </w:rPr>
        <w:t xml:space="preserve">; </w:t>
      </w:r>
      <w:r>
        <w:rPr>
          <w:b w:val="0"/>
          <w:i/>
        </w:rPr>
        <w:t>trigesimo aetatis anno</w:t>
      </w:r>
      <w:r>
        <w:rPr>
          <w:b w:val="0"/>
          <w:i w:val="0"/>
        </w:rPr>
        <w:t>.</w:t>
      </w:r>
    </w:p>
    <w:p>
      <w:pPr>
        <w:widowControl/>
      </w:pPr>
      <w:r>
        <w:rPr>
          <w:b w:val="0"/>
          <w:i w:val="0"/>
        </w:rPr>
        <w:t xml:space="preserve">Fetus, mature body and the thirtieth year of age. These mark Ficino’s developmental and polemical narrative; they are not endorsed modern developmental thresholds.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721" w:name="latin-record-0480"/>
      <w:bookmarkEnd w:id="721"/>
      <w:r>
        <w:rPr>
          <w:b/>
          <w:i w:val="0"/>
        </w:rPr>
        <w:t>fides / chorda</w:t>
      </w:r>
      <w:r>
        <w:rPr>
          <w:b/>
          <w:i w:val="0"/>
        </w:rPr>
        <w:t>.</w:t>
      </w:r>
      <w:r>
        <w:rPr>
          <w:b w:val="0"/>
          <w:i w:val="0"/>
        </w:rPr>
        <w:t xml:space="preserve"> Printed forms: </w:t>
      </w:r>
      <w:r>
        <w:rPr>
          <w:b w:val="0"/>
          <w:i/>
        </w:rPr>
        <w:t>chordas</w:t>
      </w:r>
      <w:r>
        <w:rPr>
          <w:b w:val="0"/>
          <w:i w:val="0"/>
        </w:rPr>
        <w:t xml:space="preserve">; </w:t>
      </w:r>
      <w:r>
        <w:rPr>
          <w:b w:val="0"/>
          <w:i/>
        </w:rPr>
        <w:t>chordis</w:t>
      </w:r>
      <w:r>
        <w:rPr>
          <w:b w:val="0"/>
          <w:i w:val="0"/>
        </w:rPr>
        <w:t xml:space="preserve">; </w:t>
      </w:r>
      <w:r>
        <w:rPr>
          <w:b w:val="0"/>
          <w:i/>
        </w:rPr>
        <w:t>fidibus</w:t>
      </w:r>
      <w:r>
        <w:rPr>
          <w:b w:val="0"/>
          <w:i w:val="0"/>
        </w:rPr>
        <w:t>.</w:t>
      </w:r>
    </w:p>
    <w:p>
      <w:pPr>
        <w:widowControl/>
      </w:pPr>
      <w:r>
        <w:rPr>
          <w:b w:val="0"/>
          <w:i w:val="0"/>
        </w:rPr>
        <w:t xml:space="preserve">Strings of a musical instrument. Fides is not faith here. Strings moved from elsewhere produce harmony; harmony does not independently set them moving.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722" w:name="latin-record-0481"/>
      <w:bookmarkEnd w:id="722"/>
      <w:r>
        <w:rPr>
          <w:b/>
          <w:i w:val="0"/>
        </w:rPr>
        <w:t>fieri / facere</w:t>
      </w:r>
      <w:r>
        <w:rPr>
          <w:b/>
          <w:i w:val="0"/>
        </w:rPr>
        <w:t>.</w:t>
      </w:r>
      <w:r>
        <w:rPr>
          <w:b w:val="0"/>
          <w:i w:val="0"/>
        </w:rPr>
        <w:t xml:space="preserve"> Printed forms: </w:t>
      </w:r>
      <w:r>
        <w:rPr>
          <w:b w:val="0"/>
          <w:i/>
        </w:rPr>
        <w:t>facit</w:t>
      </w:r>
      <w:r>
        <w:rPr>
          <w:b w:val="0"/>
          <w:i w:val="0"/>
        </w:rPr>
        <w:t xml:space="preserve">; </w:t>
      </w:r>
      <w:r>
        <w:rPr>
          <w:b w:val="0"/>
          <w:i/>
        </w:rPr>
        <w:t>facitque</w:t>
      </w:r>
      <w:r>
        <w:rPr>
          <w:b w:val="0"/>
          <w:i w:val="0"/>
        </w:rPr>
        <w:t xml:space="preserve">; </w:t>
      </w:r>
      <w:r>
        <w:rPr>
          <w:b w:val="0"/>
          <w:i/>
        </w:rPr>
        <w:t>factum</w:t>
      </w:r>
      <w:r>
        <w:rPr>
          <w:b w:val="0"/>
          <w:i w:val="0"/>
        </w:rPr>
        <w:t xml:space="preserve">; </w:t>
      </w:r>
      <w:r>
        <w:rPr>
          <w:b w:val="0"/>
          <w:i/>
        </w:rPr>
        <w:t>fieri</w:t>
      </w:r>
      <w:r>
        <w:rPr>
          <w:b w:val="0"/>
          <w:i w:val="0"/>
        </w:rPr>
        <w:t xml:space="preserve">; </w:t>
      </w:r>
      <w:r>
        <w:rPr>
          <w:b w:val="0"/>
          <w:i/>
        </w:rPr>
        <w:t>fiet</w:t>
      </w:r>
      <w:r>
        <w:rPr>
          <w:b w:val="0"/>
          <w:i w:val="0"/>
        </w:rPr>
        <w:t xml:space="preserve">; </w:t>
      </w:r>
      <w:r>
        <w:rPr>
          <w:b w:val="0"/>
          <w:i/>
        </w:rPr>
        <w:t>fiunt</w:t>
      </w:r>
      <w:r>
        <w:rPr>
          <w:b w:val="0"/>
          <w:i w:val="0"/>
        </w:rPr>
        <w:t xml:space="preserve">; </w:t>
      </w:r>
      <w:r>
        <w:rPr>
          <w:b w:val="0"/>
          <w:i/>
        </w:rPr>
        <w:t>Fiunt</w:t>
      </w:r>
      <w:r>
        <w:rPr>
          <w:b w:val="0"/>
          <w:i w:val="0"/>
        </w:rPr>
        <w:t>.</w:t>
      </w:r>
    </w:p>
    <w:p>
      <w:pPr>
        <w:widowControl/>
      </w:pPr>
      <w:r>
        <w:rPr>
          <w:b w:val="0"/>
          <w:i w:val="0"/>
        </w:rPr>
        <w:t xml:space="preserve">To come about or be made, and to make or do. The passive/active contrast matters when a harmony is produced by moved strings, while soul is assigned the productive role in bodily organization. References: </w:t>
      </w:r>
      <w:hyperlink w:anchor="passage-vii-1-3">
        <w:r>
          <w:rPr>
            <w:color w:val="000000"/>
          </w:rPr>
          <w:t xml:space="preserve">VII.1.3</w:t>
        </w:r>
      </w:hyperlink>
      <w:r>
        <w:rPr>
          <w:b w:val="0"/>
          <w:i w:val="0"/>
        </w:rPr>
        <w:t xml:space="preserve">, </w:t>
      </w:r>
      <w:hyperlink w:anchor="passage-vii-5-4">
        <w:r>
          <w:rPr>
            <w:color w:val="000000"/>
          </w:rPr>
          <w:t xml:space="preserve">VII.5.4</w:t>
        </w:r>
      </w:hyperlink>
      <w:r>
        <w:rPr>
          <w:b w:val="0"/>
          <w:i w:val="0"/>
        </w:rPr>
        <w:t xml:space="preserve">, </w:t>
      </w:r>
      <w:hyperlink w:anchor="passage-vii-6-1">
        <w:r>
          <w:rPr>
            <w:color w:val="000000"/>
          </w:rPr>
          <w:t xml:space="preserve">VII.6.1</w:t>
        </w:r>
      </w:hyperlink>
      <w:r>
        <w:rPr>
          <w:b w:val="0"/>
          <w:i w:val="0"/>
        </w:rPr>
        <w:t xml:space="preserve">, </w:t>
      </w:r>
      <w:hyperlink w:anchor="passage-vii-7-1">
        <w:r>
          <w:rPr>
            <w:color w:val="000000"/>
          </w:rPr>
          <w:t xml:space="preserve">VII.7.1</w:t>
        </w:r>
      </w:hyperlink>
      <w:r>
        <w:rPr>
          <w:b w:val="0"/>
          <w:i w:val="0"/>
        </w:rPr>
        <w:t xml:space="preserve">,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723" w:name="latin-record-0482"/>
      <w:bookmarkEnd w:id="723"/>
      <w:r>
        <w:rPr>
          <w:b/>
          <w:i w:val="0"/>
        </w:rPr>
        <w:t>figmentum / machinatio</w:t>
      </w:r>
      <w:r>
        <w:rPr>
          <w:b/>
          <w:i w:val="0"/>
        </w:rPr>
        <w:t>.</w:t>
      </w:r>
      <w:r>
        <w:rPr>
          <w:b w:val="0"/>
          <w:i w:val="0"/>
        </w:rPr>
        <w:t xml:space="preserve"> Printed forms: </w:t>
      </w:r>
      <w:r>
        <w:rPr>
          <w:b w:val="0"/>
          <w:i/>
        </w:rPr>
        <w:t>figmento</w:t>
      </w:r>
      <w:r>
        <w:rPr>
          <w:b w:val="0"/>
          <w:i w:val="0"/>
        </w:rPr>
        <w:t xml:space="preserve">; </w:t>
      </w:r>
      <w:r>
        <w:rPr>
          <w:b w:val="0"/>
          <w:i/>
        </w:rPr>
        <w:t>figmentum</w:t>
      </w:r>
      <w:r>
        <w:rPr>
          <w:b w:val="0"/>
          <w:i w:val="0"/>
        </w:rPr>
        <w:t xml:space="preserve">; </w:t>
      </w:r>
      <w:r>
        <w:rPr>
          <w:b w:val="0"/>
          <w:i/>
        </w:rPr>
        <w:t>machinatione</w:t>
      </w:r>
      <w:r>
        <w:rPr>
          <w:b w:val="0"/>
          <w:i w:val="0"/>
        </w:rPr>
        <w:t>.</w:t>
      </w:r>
    </w:p>
    <w:p>
      <w:pPr>
        <w:widowControl/>
      </w:pPr>
      <w:r>
        <w:rPr>
          <w:b w:val="0"/>
          <w:i w:val="0"/>
        </w:rPr>
        <w:t xml:space="preserve">A fabrication or contrivance unsupported by the thing it purports to know. False union and arbitrarily multiplied genera differ from genuine intellectual analysis; not every imaginative fiction claims scientific truth. References: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724" w:name="latin-record-0483"/>
      <w:bookmarkEnd w:id="724"/>
      <w:r>
        <w:rPr>
          <w:b/>
          <w:i w:val="0"/>
        </w:rPr>
        <w:t>figulus</w:t>
      </w:r>
      <w:r>
        <w:rPr>
          <w:b/>
          <w:i w:val="0"/>
        </w:rPr>
        <w:t>.</w:t>
      </w:r>
      <w:r>
        <w:rPr>
          <w:b w:val="0"/>
          <w:i w:val="0"/>
        </w:rPr>
        <w:t xml:space="preserve"> Printed forms: </w:t>
      </w:r>
      <w:r>
        <w:rPr>
          <w:b w:val="0"/>
          <w:i/>
        </w:rPr>
        <w:t>figulo</w:t>
      </w:r>
      <w:r>
        <w:rPr>
          <w:b w:val="0"/>
          <w:i w:val="0"/>
        </w:rPr>
        <w:t>.</w:t>
      </w:r>
    </w:p>
    <w:p>
      <w:pPr>
        <w:widowControl/>
      </w:pPr>
      <w:r>
        <w:rPr>
          <w:b w:val="0"/>
          <w:i w:val="0"/>
        </w:rPr>
        <w:t xml:space="preserve">A potter who imparts successive vessel shapes to clay. The potter supplies a familiar model of differing forms received by persistent matter. References: </w:t>
      </w:r>
      <w:hyperlink w:anchor="passage-v-4-1">
        <w:r>
          <w:rPr>
            <w:color w:val="000000"/>
          </w:rPr>
          <w:t xml:space="preserve">V.4.1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725" w:name="latin-record-0484"/>
      <w:bookmarkEnd w:id="725"/>
      <w:r>
        <w:rPr>
          <w:b/>
          <w:i w:val="0"/>
        </w:rPr>
        <w:t>figura / figurare</w:t>
      </w:r>
      <w:r>
        <w:rPr>
          <w:b/>
          <w:i w:val="0"/>
        </w:rPr>
        <w:t>.</w:t>
      </w:r>
      <w:r>
        <w:rPr>
          <w:b w:val="0"/>
          <w:i w:val="0"/>
        </w:rPr>
        <w:t xml:space="preserve"> Printed forms: </w:t>
      </w:r>
      <w:r>
        <w:rPr>
          <w:b w:val="0"/>
          <w:i/>
        </w:rPr>
        <w:t>figura</w:t>
      </w:r>
      <w:r>
        <w:rPr>
          <w:b w:val="0"/>
          <w:i w:val="0"/>
        </w:rPr>
        <w:t xml:space="preserve">; </w:t>
      </w:r>
      <w:r>
        <w:rPr>
          <w:b w:val="0"/>
          <w:i/>
        </w:rPr>
        <w:t>figurae</w:t>
      </w:r>
      <w:r>
        <w:rPr>
          <w:b w:val="0"/>
          <w:i w:val="0"/>
        </w:rPr>
        <w:t xml:space="preserve">; </w:t>
      </w:r>
      <w:r>
        <w:rPr>
          <w:b w:val="0"/>
          <w:i/>
        </w:rPr>
        <w:t>figuram</w:t>
      </w:r>
      <w:r>
        <w:rPr>
          <w:b w:val="0"/>
          <w:i w:val="0"/>
        </w:rPr>
        <w:t xml:space="preserve">; </w:t>
      </w:r>
      <w:r>
        <w:rPr>
          <w:b w:val="0"/>
          <w:i/>
        </w:rPr>
        <w:t>figuras</w:t>
      </w:r>
      <w:r>
        <w:rPr>
          <w:b w:val="0"/>
          <w:i w:val="0"/>
        </w:rPr>
        <w:t xml:space="preserve">; </w:t>
      </w:r>
      <w:r>
        <w:rPr>
          <w:b w:val="0"/>
          <w:i/>
        </w:rPr>
        <w:t>figuratur</w:t>
      </w:r>
      <w:r>
        <w:rPr>
          <w:b w:val="0"/>
          <w:i w:val="0"/>
        </w:rPr>
        <w:t>.</w:t>
      </w:r>
    </w:p>
    <w:p>
      <w:pPr>
        <w:widowControl/>
      </w:pPr>
      <w:r>
        <w:rPr>
          <w:b w:val="0"/>
          <w:i w:val="0"/>
        </w:rPr>
        <w:t xml:space="preserve">A determinate shape, or being impressed with one. In wax it is an imposed bodily pattern; difficulty receiving it illustrates how rigidity threatens learning. References: </w:t>
      </w:r>
      <w:hyperlink w:anchor="passage-vii-1-1">
        <w:r>
          <w:rPr>
            <w:color w:val="000000"/>
          </w:rPr>
          <w:t xml:space="preserve">VII.1.1</w:t>
        </w:r>
      </w:hyperlink>
      <w:r>
        <w:rPr>
          <w:b w:val="0"/>
          <w:i w:val="0"/>
        </w:rPr>
        <w:t xml:space="preserve">,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726" w:name="latin-record-0485"/>
      <w:bookmarkEnd w:id="726"/>
      <w:r>
        <w:rPr>
          <w:b/>
          <w:i w:val="0"/>
        </w:rPr>
        <w:t>figura artificiosa / dispositio</w:t>
      </w:r>
      <w:r>
        <w:rPr>
          <w:b/>
          <w:i w:val="0"/>
        </w:rPr>
        <w:t>.</w:t>
      </w:r>
      <w:r>
        <w:rPr>
          <w:b w:val="0"/>
          <w:i w:val="0"/>
        </w:rPr>
        <w:t xml:space="preserve"> Printed forms: </w:t>
      </w:r>
      <w:r>
        <w:rPr>
          <w:b w:val="0"/>
          <w:i/>
        </w:rPr>
        <w:t>dispositio</w:t>
      </w:r>
      <w:r>
        <w:rPr>
          <w:b w:val="0"/>
          <w:i w:val="0"/>
        </w:rPr>
        <w:t xml:space="preserve">; </w:t>
      </w:r>
      <w:r>
        <w:rPr>
          <w:b w:val="0"/>
          <w:i/>
        </w:rPr>
        <w:t>figura artificiosa</w:t>
      </w:r>
      <w:r>
        <w:rPr>
          <w:b w:val="0"/>
          <w:i w:val="0"/>
        </w:rPr>
        <w:t>.</w:t>
      </w:r>
    </w:p>
    <w:p>
      <w:pPr>
        <w:widowControl/>
      </w:pPr>
      <w:r>
        <w:rPr>
          <w:b w:val="0"/>
          <w:i w:val="0"/>
        </w:rPr>
        <w:t xml:space="preserve">Artfully formed shape and ordered disposition. These organized bodily results require an active arranger, not a harmony wholly dependent on already arranged constituents.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727" w:name="latin-record-0486"/>
      <w:bookmarkEnd w:id="727"/>
      <w:r>
        <w:rPr>
          <w:b/>
          <w:i w:val="0"/>
        </w:rPr>
        <w:t>figura eadem; similis</w:t>
      </w:r>
      <w:r>
        <w:rPr>
          <w:b/>
          <w:i w:val="0"/>
        </w:rPr>
        <w:t>.</w:t>
      </w:r>
      <w:r>
        <w:rPr>
          <w:b w:val="0"/>
          <w:i w:val="0"/>
        </w:rPr>
        <w:t xml:space="preserve"> Printed forms: </w:t>
      </w:r>
      <w:r>
        <w:rPr>
          <w:b w:val="0"/>
          <w:i/>
        </w:rPr>
        <w:t>eandem prorsus</w:t>
      </w:r>
      <w:r>
        <w:rPr>
          <w:b w:val="0"/>
          <w:i w:val="0"/>
        </w:rPr>
        <w:t xml:space="preserve">; </w:t>
      </w:r>
      <w:r>
        <w:rPr>
          <w:b w:val="0"/>
          <w:i/>
        </w:rPr>
        <w:t>figuram eandem</w:t>
      </w:r>
      <w:r>
        <w:rPr>
          <w:b w:val="0"/>
          <w:i w:val="0"/>
        </w:rPr>
        <w:t xml:space="preserve">; </w:t>
      </w:r>
      <w:r>
        <w:rPr>
          <w:b w:val="0"/>
          <w:i/>
        </w:rPr>
        <w:t>similem</w:t>
      </w:r>
      <w:r>
        <w:rPr>
          <w:b w:val="0"/>
          <w:i w:val="0"/>
        </w:rPr>
        <w:t>.</w:t>
      </w:r>
    </w:p>
    <w:p>
      <w:pPr>
        <w:widowControl/>
      </w:pPr>
      <w:r>
        <w:rPr>
          <w:b w:val="0"/>
          <w:i w:val="0"/>
        </w:rPr>
        <w:t xml:space="preserve">The same figure, distinguished from a similar one newly produced. The reply denies exact numerical persistence of the bodily figure as its material constituents change. References: </w:t>
      </w:r>
      <w:hyperlink w:anchor="passage-vi-13-9">
        <w:r>
          <w:rPr>
            <w:color w:val="000000"/>
          </w:rPr>
          <w:t xml:space="preserve">VI.13.9</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728" w:name="latin-record-0487"/>
      <w:bookmarkEnd w:id="728"/>
      <w:r>
        <w:rPr>
          <w:b/>
          <w:i w:val="0"/>
        </w:rPr>
        <w:t>figurare; perfectus agens</w:t>
      </w:r>
      <w:r>
        <w:rPr>
          <w:b/>
          <w:i w:val="0"/>
        </w:rPr>
        <w:t>.</w:t>
      </w:r>
      <w:r>
        <w:rPr>
          <w:b w:val="0"/>
          <w:i w:val="0"/>
        </w:rPr>
        <w:t xml:space="preserve"> Printed forms: </w:t>
      </w:r>
      <w:r>
        <w:rPr>
          <w:b w:val="0"/>
          <w:i/>
        </w:rPr>
        <w:t>Figurare</w:t>
      </w:r>
      <w:r>
        <w:rPr>
          <w:b w:val="0"/>
          <w:i w:val="0"/>
        </w:rPr>
        <w:t xml:space="preserve">; </w:t>
      </w:r>
      <w:r>
        <w:rPr>
          <w:b w:val="0"/>
          <w:i/>
        </w:rPr>
        <w:t>perfectum requirit agentem</w:t>
      </w:r>
      <w:r>
        <w:rPr>
          <w:b w:val="0"/>
          <w:i w:val="0"/>
        </w:rPr>
        <w:t>.</w:t>
      </w:r>
    </w:p>
    <w:p>
      <w:pPr>
        <w:widowControl/>
      </w:pPr>
      <w:r>
        <w:rPr>
          <w:b w:val="0"/>
          <w:i w:val="0"/>
        </w:rPr>
        <w:t xml:space="preserve">To fashion an image; requiring an operatively complete agent. A former soul in the act of failing cannot perfect a replacement by impressing a similar image. References: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729" w:name="latin-record-0488"/>
      <w:bookmarkEnd w:id="729"/>
      <w:r>
        <w:rPr>
          <w:b/>
          <w:i w:val="0"/>
        </w:rPr>
        <w:t>fingere / figere</w:t>
      </w:r>
      <w:r>
        <w:rPr>
          <w:b/>
          <w:i w:val="0"/>
        </w:rPr>
        <w:t>.</w:t>
      </w:r>
      <w:r>
        <w:rPr>
          <w:b w:val="0"/>
          <w:i w:val="0"/>
        </w:rPr>
        <w:t xml:space="preserve"> Printed forms: </w:t>
      </w:r>
      <w:r>
        <w:rPr>
          <w:b w:val="0"/>
          <w:i/>
        </w:rPr>
        <w:t>figuntur</w:t>
      </w:r>
      <w:r>
        <w:rPr>
          <w:b w:val="0"/>
          <w:i w:val="0"/>
        </w:rPr>
        <w:t xml:space="preserve">; </w:t>
      </w:r>
      <w:r>
        <w:rPr>
          <w:b w:val="0"/>
          <w:i/>
        </w:rPr>
        <w:t>fingi</w:t>
      </w:r>
      <w:r>
        <w:rPr>
          <w:b w:val="0"/>
          <w:i w:val="0"/>
        </w:rPr>
        <w:t>.</w:t>
      </w:r>
    </w:p>
    <w:p>
      <w:pPr>
        <w:widowControl/>
      </w:pPr>
      <w:r>
        <w:rPr>
          <w:b w:val="0"/>
          <w:i w:val="0"/>
        </w:rPr>
        <w:t xml:space="preserve">To imagine or invent, contrasted with fixing or fastening. The impossible partitioned perception cannot even be imagined; word-meanings are not fixed in a body. These similar-looking forms belong to distinct verbs. References: </w:t>
      </w:r>
      <w:hyperlink w:anchor="passage-vii-1-3">
        <w:r>
          <w:rPr>
            <w:color w:val="000000"/>
          </w:rPr>
          <w:t xml:space="preserve">VII.1.3</w:t>
        </w:r>
      </w:hyperlink>
      <w:r>
        <w:rPr>
          <w:b w:val="0"/>
          <w:i w:val="0"/>
        </w:rPr>
        <w:t xml:space="preserve">, </w:t>
      </w:r>
      <w:hyperlink w:anchor="passage-vii-4-2">
        <w:r>
          <w:rPr>
            <w:color w:val="000000"/>
          </w:rPr>
          <w:t xml:space="preserve">VII.4.2</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730" w:name="latin-record-0489"/>
      <w:bookmarkEnd w:id="730"/>
      <w:r>
        <w:rPr>
          <w:b/>
          <w:i w:val="0"/>
        </w:rPr>
        <w:t>fingere; machinari; effingere</w:t>
      </w:r>
      <w:r>
        <w:rPr>
          <w:b/>
          <w:i w:val="0"/>
        </w:rPr>
        <w:t>.</w:t>
      </w:r>
      <w:r>
        <w:rPr>
          <w:b w:val="0"/>
          <w:i w:val="0"/>
        </w:rPr>
        <w:t xml:space="preserve"> Printed forms: </w:t>
      </w:r>
      <w:r>
        <w:rPr>
          <w:b w:val="0"/>
          <w:i/>
        </w:rPr>
        <w:t>effingere</w:t>
      </w:r>
      <w:r>
        <w:rPr>
          <w:b w:val="0"/>
          <w:i w:val="0"/>
        </w:rPr>
        <w:t xml:space="preserve">; </w:t>
      </w:r>
      <w:r>
        <w:rPr>
          <w:b w:val="0"/>
          <w:i/>
        </w:rPr>
        <w:t>fingere</w:t>
      </w:r>
      <w:r>
        <w:rPr>
          <w:b w:val="0"/>
          <w:i w:val="0"/>
        </w:rPr>
        <w:t xml:space="preserve">; </w:t>
      </w:r>
      <w:r>
        <w:rPr>
          <w:b w:val="0"/>
          <w:i/>
        </w:rPr>
        <w:t>machinari</w:t>
      </w:r>
      <w:r>
        <w:rPr>
          <w:b w:val="0"/>
          <w:i w:val="0"/>
        </w:rPr>
        <w:t>.</w:t>
      </w:r>
    </w:p>
    <w:p>
      <w:pPr>
        <w:widowControl/>
      </w:pPr>
      <w:r>
        <w:rPr>
          <w:b w:val="0"/>
          <w:i w:val="0"/>
        </w:rPr>
        <w:t xml:space="preserve">To imagine, devise and fashion a conception. The objection that the isolated soul invents an unfamiliar body is answered by restricting imaginative construction to prior materials. References: </w:t>
      </w:r>
      <w:hyperlink w:anchor="passage-vi-2-13">
        <w:r>
          <w:rPr>
            <w:color w:val="000000"/>
          </w:rPr>
          <w:t xml:space="preserve">VI.2.13</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731" w:name="latin-record-0490"/>
      <w:bookmarkEnd w:id="731"/>
      <w:r>
        <w:rPr>
          <w:b/>
          <w:i w:val="0"/>
        </w:rPr>
        <w:t>finis (end and absence of end)</w:t>
      </w:r>
      <w:r>
        <w:rPr>
          <w:b/>
          <w:i w:val="0"/>
        </w:rPr>
        <w:t>.</w:t>
      </w:r>
      <w:r>
        <w:rPr>
          <w:b w:val="0"/>
          <w:i w:val="0"/>
        </w:rPr>
        <w:t xml:space="preserve"> Printed forms: </w:t>
      </w:r>
      <w:r>
        <w:rPr>
          <w:b w:val="0"/>
          <w:i/>
        </w:rPr>
        <w:t>fine</w:t>
      </w:r>
      <w:r>
        <w:rPr>
          <w:b w:val="0"/>
          <w:i w:val="0"/>
        </w:rPr>
        <w:t xml:space="preserve">; </w:t>
      </w:r>
      <w:r>
        <w:rPr>
          <w:b w:val="0"/>
          <w:i/>
        </w:rPr>
        <w:t>finem</w:t>
      </w:r>
      <w:r>
        <w:rPr>
          <w:b w:val="0"/>
          <w:i w:val="0"/>
        </w:rPr>
        <w:t xml:space="preserve">; </w:t>
      </w:r>
      <w:r>
        <w:rPr>
          <w:b w:val="0"/>
          <w:i/>
        </w:rPr>
        <w:t>finibus</w:t>
      </w:r>
      <w:r>
        <w:rPr>
          <w:b w:val="0"/>
          <w:i w:val="0"/>
        </w:rPr>
        <w:t xml:space="preserve">; </w:t>
      </w:r>
      <w:r>
        <w:rPr>
          <w:b w:val="0"/>
          <w:i/>
        </w:rPr>
        <w:t>finis</w:t>
      </w:r>
      <w:r>
        <w:rPr>
          <w:b w:val="0"/>
          <w:i w:val="0"/>
        </w:rPr>
        <w:t>.</w:t>
      </w:r>
    </w:p>
    <w:p>
      <w:pPr>
        <w:widowControl/>
      </w:pPr>
      <w:r>
        <w:rPr>
          <w:b w:val="0"/>
          <w:i w:val="0"/>
        </w:rPr>
        <w:t xml:space="preserve">An end, goal or limit, including the negation of a final limit. Infinity as endless continuation differs from the infinite end that stops the ascent beyond finite angels; both uses appear in the closing chapter. References: </w:t>
      </w:r>
      <w:hyperlink w:anchor="passage-viii-1-3">
        <w:r>
          <w:rPr>
            <w:color w:val="000000"/>
          </w:rPr>
          <w:t xml:space="preserve">VIII.1.3</w:t>
        </w:r>
      </w:hyperlink>
      <w:r>
        <w:rPr>
          <w:b w:val="0"/>
          <w:i w:val="0"/>
        </w:rPr>
        <w:t xml:space="preserve">, </w:t>
      </w:r>
      <w:hyperlink w:anchor="passage-viii-3-6">
        <w:r>
          <w:rPr>
            <w:color w:val="000000"/>
          </w:rPr>
          <w:t xml:space="preserve">VIII.3.6</w:t>
        </w:r>
      </w:hyperlink>
      <w:r>
        <w:rPr>
          <w:b w:val="0"/>
          <w:i w:val="0"/>
        </w:rPr>
        <w:t xml:space="preserve">, </w:t>
      </w:r>
      <w:hyperlink w:anchor="passage-viii-3-7">
        <w:r>
          <w:rPr>
            <w:color w:val="000000"/>
          </w:rPr>
          <w:t xml:space="preserve">VIII.3.7</w:t>
        </w:r>
      </w:hyperlink>
      <w:r>
        <w:rPr>
          <w:b w:val="0"/>
          <w:i w:val="0"/>
        </w:rPr>
        <w:t xml:space="preserve">, </w:t>
      </w:r>
      <w:hyperlink w:anchor="passage-viii-4-4">
        <w:r>
          <w:rPr>
            <w:color w:val="000000"/>
          </w:rPr>
          <w:t xml:space="preserve">VIII.4.4</w:t>
        </w:r>
      </w:hyperlink>
      <w:r>
        <w:rPr>
          <w:b w:val="0"/>
          <w:i w:val="0"/>
        </w:rPr>
        <w:t xml:space="preserve">, </w:t>
      </w:r>
      <w:hyperlink w:anchor="passage-viii-10-2">
        <w:r>
          <w:rPr>
            <w:color w:val="000000"/>
          </w:rPr>
          <w:t xml:space="preserve">VIII.10.2</w:t>
        </w:r>
      </w:hyperlink>
      <w:r>
        <w:rPr>
          <w:b w:val="0"/>
          <w:i w:val="0"/>
        </w:rPr>
        <w:t xml:space="preserve">, </w:t>
      </w:r>
      <w:hyperlink w:anchor="passage-viii-15-1">
        <w:r>
          <w:rPr>
            <w:color w:val="000000"/>
          </w:rPr>
          <w:t xml:space="preserve">VIII.15.1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w:t>
      </w:r>
      <w:hyperlink w:anchor="passage-viii-16-4">
        <w:r>
          <w:rPr>
            <w:color w:val="000000"/>
          </w:rPr>
          <w:t xml:space="preserve">VIII.16.4</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732" w:name="latin-record-0491"/>
      <w:bookmarkEnd w:id="732"/>
      <w:r>
        <w:rPr>
          <w:b/>
          <w:i w:val="0"/>
        </w:rPr>
        <w:t>finis / causa finalis</w:t>
      </w:r>
      <w:r>
        <w:rPr>
          <w:b/>
          <w:i w:val="0"/>
        </w:rPr>
        <w:t>.</w:t>
      </w:r>
      <w:r>
        <w:rPr>
          <w:b w:val="0"/>
          <w:i w:val="0"/>
        </w:rPr>
        <w:t xml:space="preserve"> Printed forms: </w:t>
      </w:r>
      <w:r>
        <w:rPr>
          <w:b w:val="0"/>
          <w:i/>
        </w:rPr>
        <w:t>finalem</w:t>
      </w:r>
      <w:r>
        <w:rPr>
          <w:b w:val="0"/>
          <w:i w:val="0"/>
        </w:rPr>
        <w:t xml:space="preserve">; </w:t>
      </w:r>
      <w:r>
        <w:rPr>
          <w:b w:val="0"/>
          <w:i/>
        </w:rPr>
        <w:t>fine</w:t>
      </w:r>
      <w:r>
        <w:rPr>
          <w:b w:val="0"/>
          <w:i w:val="0"/>
        </w:rPr>
        <w:t xml:space="preserve">; </w:t>
      </w:r>
      <w:r>
        <w:rPr>
          <w:b w:val="0"/>
          <w:i/>
        </w:rPr>
        <w:t>finem</w:t>
      </w:r>
      <w:r>
        <w:rPr>
          <w:b w:val="0"/>
          <w:i w:val="0"/>
        </w:rPr>
        <w:t xml:space="preserve">; </w:t>
      </w:r>
      <w:r>
        <w:rPr>
          <w:b w:val="0"/>
          <w:i/>
        </w:rPr>
        <w:t>finis</w:t>
      </w:r>
      <w:r>
        <w:rPr>
          <w:b w:val="0"/>
          <w:i w:val="0"/>
        </w:rPr>
        <w:t>.</w:t>
      </w:r>
    </w:p>
    <w:p>
      <w:pPr>
        <w:widowControl/>
      </w:pPr>
      <w:r>
        <w:rPr>
          <w:b w:val="0"/>
          <w:i w:val="0"/>
        </w:rPr>
        <w:t xml:space="preserve">An end or final cause, that toward which an agent directs its work. Happiness is the human example; God is the end of all, so created soul does not lose final causality. References: </w:t>
      </w:r>
      <w:hyperlink w:anchor="passage-v-5-1">
        <w:r>
          <w:rPr>
            <w:color w:val="000000"/>
          </w:rPr>
          <w:t xml:space="preserve">V.5.1</w:t>
        </w:r>
      </w:hyperlink>
      <w:r>
        <w:rPr>
          <w:b w:val="0"/>
          <w:i w:val="0"/>
        </w:rPr>
        <w:t xml:space="preserve">, </w:t>
      </w:r>
      <w:hyperlink w:anchor="passage-v-5-3">
        <w:r>
          <w:rPr>
            <w:color w:val="000000"/>
          </w:rPr>
          <w:t xml:space="preserve">V.5.3</w:t>
        </w:r>
      </w:hyperlink>
      <w:r>
        <w:rPr>
          <w:b w:val="0"/>
          <w:i w:val="0"/>
        </w:rPr>
        <w:t xml:space="preserve">, </w:t>
      </w:r>
      <w:hyperlink w:anchor="passage-v-5-4">
        <w:r>
          <w:rPr>
            <w:color w:val="000000"/>
          </w:rPr>
          <w:t xml:space="preserve">V.5.4</w:t>
        </w:r>
      </w:hyperlink>
      <w:r>
        <w:rPr>
          <w:b w:val="0"/>
          <w:i w:val="0"/>
        </w:rPr>
        <w:t xml:space="preserve">, </w:t>
      </w:r>
      <w:hyperlink w:anchor="passage-v-5-5">
        <w:r>
          <w:rPr>
            <w:color w:val="000000"/>
          </w:rPr>
          <w:t xml:space="preserve">V.5.5</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733" w:name="latin-record-0492"/>
      <w:bookmarkEnd w:id="733"/>
      <w:r>
        <w:rPr>
          <w:b/>
          <w:i w:val="0"/>
        </w:rPr>
        <w:t>finis; limes; terminus</w:t>
      </w:r>
      <w:r>
        <w:rPr>
          <w:b/>
          <w:i w:val="0"/>
        </w:rPr>
        <w:t>.</w:t>
      </w:r>
      <w:r>
        <w:rPr>
          <w:b w:val="0"/>
          <w:i w:val="0"/>
        </w:rPr>
        <w:t xml:space="preserve"> Printed forms: </w:t>
      </w:r>
      <w:r>
        <w:rPr>
          <w:b w:val="0"/>
          <w:i/>
        </w:rPr>
        <w:t>fine</w:t>
      </w:r>
      <w:r>
        <w:rPr>
          <w:b w:val="0"/>
          <w:i w:val="0"/>
        </w:rPr>
        <w:t xml:space="preserve">; </w:t>
      </w:r>
      <w:r>
        <w:rPr>
          <w:b w:val="0"/>
          <w:i/>
        </w:rPr>
        <w:t>finem</w:t>
      </w:r>
      <w:r>
        <w:rPr>
          <w:b w:val="0"/>
          <w:i w:val="0"/>
        </w:rPr>
        <w:t xml:space="preserve">; </w:t>
      </w:r>
      <w:r>
        <w:rPr>
          <w:b w:val="0"/>
          <w:i/>
        </w:rPr>
        <w:t>fines</w:t>
      </w:r>
      <w:r>
        <w:rPr>
          <w:b w:val="0"/>
          <w:i w:val="0"/>
        </w:rPr>
        <w:t xml:space="preserve">; </w:t>
      </w:r>
      <w:r>
        <w:rPr>
          <w:b w:val="0"/>
          <w:i/>
        </w:rPr>
        <w:t>limite</w:t>
      </w:r>
      <w:r>
        <w:rPr>
          <w:b w:val="0"/>
          <w:i w:val="0"/>
        </w:rPr>
        <w:t xml:space="preserve">; </w:t>
      </w:r>
      <w:r>
        <w:rPr>
          <w:b w:val="0"/>
          <w:i/>
        </w:rPr>
        <w:t>terminos</w:t>
      </w:r>
      <w:r>
        <w:rPr>
          <w:b w:val="0"/>
          <w:i w:val="0"/>
        </w:rPr>
        <w:t xml:space="preserve">; </w:t>
      </w:r>
      <w:r>
        <w:rPr>
          <w:b w:val="0"/>
          <w:i/>
        </w:rPr>
        <w:t>terminum</w:t>
      </w:r>
      <w:r>
        <w:rPr>
          <w:b w:val="0"/>
          <w:i w:val="0"/>
        </w:rPr>
        <w:t xml:space="preserve">; </w:t>
      </w:r>
      <w:r>
        <w:rPr>
          <w:b w:val="0"/>
          <w:i/>
        </w:rPr>
        <w:t>terminus</w:t>
      </w:r>
      <w:r>
        <w:rPr>
          <w:b w:val="0"/>
          <w:i w:val="0"/>
        </w:rPr>
        <w:t>.</w:t>
      </w:r>
    </w:p>
    <w:p>
      <w:pPr>
        <w:widowControl/>
      </w:pPr>
      <w:r>
        <w:rPr>
          <w:b w:val="0"/>
          <w:i w:val="0"/>
        </w:rPr>
        <w:t xml:space="preserve">End, boundary or limit, spatial, causal or purposive as context requires. A point bounds a line, body has finite dimensions, growth has a governing limit, and God is the soul’s beginning and end; these are not one spatial relation. References: </w:t>
      </w:r>
      <w:hyperlink w:anchor="passage-vi-2-3">
        <w:r>
          <w:rPr>
            <w:color w:val="000000"/>
          </w:rPr>
          <w:t xml:space="preserve">VI.2.3</w:t>
        </w:r>
      </w:hyperlink>
      <w:r>
        <w:rPr>
          <w:b w:val="0"/>
          <w:i w:val="0"/>
        </w:rPr>
        <w:t xml:space="preserve">, </w:t>
      </w:r>
      <w:hyperlink w:anchor="passage-vi-2-6">
        <w:r>
          <w:rPr>
            <w:color w:val="000000"/>
          </w:rPr>
          <w:t xml:space="preserve">VI.2.6</w:t>
        </w:r>
      </w:hyperlink>
      <w:r>
        <w:rPr>
          <w:b w:val="0"/>
          <w:i w:val="0"/>
        </w:rPr>
        <w:t xml:space="preserve">, </w:t>
      </w:r>
      <w:hyperlink w:anchor="passage-vi-2-18">
        <w:r>
          <w:rPr>
            <w:color w:val="000000"/>
          </w:rPr>
          <w:t xml:space="preserve">VI.2.18</w:t>
        </w:r>
      </w:hyperlink>
      <w:r>
        <w:rPr>
          <w:b w:val="0"/>
          <w:i w:val="0"/>
        </w:rPr>
        <w:t xml:space="preserve">, </w:t>
      </w:r>
      <w:hyperlink w:anchor="passage-vi-2-19">
        <w:r>
          <w:rPr>
            <w:color w:val="000000"/>
          </w:rPr>
          <w:t xml:space="preserve">VI.2.19</w:t>
        </w:r>
      </w:hyperlink>
      <w:r>
        <w:rPr>
          <w:b w:val="0"/>
          <w:i w:val="0"/>
        </w:rPr>
        <w:t xml:space="preserve">, </w:t>
      </w:r>
      <w:hyperlink w:anchor="passage-vi-12-16">
        <w:r>
          <w:rPr>
            <w:color w:val="000000"/>
          </w:rPr>
          <w:t xml:space="preserve">VI.12.16</w:t>
        </w:r>
      </w:hyperlink>
      <w:r>
        <w:rPr>
          <w:b w:val="0"/>
          <w:i w:val="0"/>
        </w:rPr>
        <w:t xml:space="preserve">, </w:t>
      </w:r>
      <w:hyperlink w:anchor="passage-vi-12-19">
        <w:r>
          <w:rPr>
            <w:color w:val="000000"/>
          </w:rPr>
          <w:t xml:space="preserve">VI.12.19</w:t>
        </w:r>
      </w:hyperlink>
      <w:r>
        <w:rPr>
          <w:b w:val="0"/>
          <w:i w:val="0"/>
        </w:rPr>
        <w:t xml:space="preserve">, </w:t>
      </w:r>
      <w:hyperlink w:anchor="passage-vi-13-8">
        <w:r>
          <w:rPr>
            <w:color w:val="000000"/>
          </w:rPr>
          <w:t xml:space="preserve">VI.13.8</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734" w:name="latin-record-0493"/>
      <w:bookmarkEnd w:id="734"/>
      <w:r>
        <w:rPr>
          <w:b/>
          <w:i w:val="0"/>
        </w:rPr>
        <w:t>finita natura</w:t>
      </w:r>
      <w:r>
        <w:rPr>
          <w:b/>
          <w:i w:val="0"/>
        </w:rPr>
        <w:t>.</w:t>
      </w:r>
      <w:r>
        <w:rPr>
          <w:b w:val="0"/>
          <w:i w:val="0"/>
        </w:rPr>
        <w:t xml:space="preserve"> Printed forms: </w:t>
      </w:r>
      <w:r>
        <w:rPr>
          <w:b w:val="0"/>
          <w:i/>
        </w:rPr>
        <w:t>in natura finita</w:t>
      </w:r>
      <w:r>
        <w:rPr>
          <w:b w:val="0"/>
          <w:i w:val="0"/>
        </w:rPr>
        <w:t xml:space="preserve">; </w:t>
      </w:r>
      <w:r>
        <w:rPr>
          <w:b w:val="0"/>
          <w:i/>
        </w:rPr>
        <w:t>secundum finitam naturam</w:t>
      </w:r>
      <w:r>
        <w:rPr>
          <w:b w:val="0"/>
          <w:i w:val="0"/>
        </w:rPr>
        <w:t>.</w:t>
      </w:r>
    </w:p>
    <w:p>
      <w:pPr>
        <w:widowControl/>
      </w:pPr>
      <w:r>
        <w:rPr>
          <w:b w:val="0"/>
          <w:i w:val="0"/>
        </w:rPr>
        <w:t xml:space="preserve">Within finite nature, the explicit restriction on the generation argument. This scope must accompany the denial that one can be one’s own begetter and begotten. References: </w:t>
      </w:r>
      <w:hyperlink w:anchor="passage-vi-12-14">
        <w:r>
          <w:rPr>
            <w:color w:val="000000"/>
          </w:rPr>
          <w:t xml:space="preserve">VI.12.14</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735" w:name="latin-record-0494"/>
      <w:bookmarkEnd w:id="735"/>
      <w:r>
        <w:rPr>
          <w:b/>
          <w:i w:val="0"/>
        </w:rPr>
        <w:t>flatus; evanescere</w:t>
      </w:r>
      <w:r>
        <w:rPr>
          <w:b/>
          <w:i w:val="0"/>
        </w:rPr>
        <w:t>.</w:t>
      </w:r>
      <w:r>
        <w:rPr>
          <w:b w:val="0"/>
          <w:i w:val="0"/>
        </w:rPr>
        <w:t xml:space="preserve"> Printed forms: </w:t>
      </w:r>
      <w:r>
        <w:rPr>
          <w:b w:val="0"/>
          <w:i/>
        </w:rPr>
        <w:t>evanescens</w:t>
      </w:r>
      <w:r>
        <w:rPr>
          <w:b w:val="0"/>
          <w:i w:val="0"/>
        </w:rPr>
        <w:t xml:space="preserve">; </w:t>
      </w:r>
      <w:r>
        <w:rPr>
          <w:b w:val="0"/>
          <w:i/>
        </w:rPr>
        <w:t>flatus alicuius instar</w:t>
      </w:r>
      <w:r>
        <w:rPr>
          <w:b w:val="0"/>
          <w:i w:val="0"/>
        </w:rPr>
        <w:t>.</w:t>
      </w:r>
    </w:p>
    <w:p>
      <w:pPr>
        <w:widowControl/>
      </w:pPr>
      <w:r>
        <w:rPr>
          <w:b w:val="0"/>
          <w:i w:val="0"/>
        </w:rPr>
        <w:t xml:space="preserve">Like a breath; vanishing. The image makes the materialist soul too unstable to retain knowledge even for a day. References: </w:t>
      </w:r>
      <w:hyperlink w:anchor="passage-vi-13-7">
        <w:r>
          <w:rPr>
            <w:color w:val="000000"/>
          </w:rPr>
          <w:t xml:space="preserve">VI.13.7</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736" w:name="latin-record-0495"/>
      <w:bookmarkEnd w:id="736"/>
      <w:r>
        <w:rPr>
          <w:b/>
          <w:i w:val="0"/>
        </w:rPr>
        <w:t>fluere</w:t>
      </w:r>
      <w:r>
        <w:rPr>
          <w:b/>
          <w:i w:val="0"/>
        </w:rPr>
        <w:t>.</w:t>
      </w:r>
      <w:r>
        <w:rPr>
          <w:b w:val="0"/>
          <w:i w:val="0"/>
        </w:rPr>
        <w:t xml:space="preserve"> Printed forms: </w:t>
      </w:r>
      <w:r>
        <w:rPr>
          <w:b w:val="0"/>
          <w:i/>
        </w:rPr>
        <w:t>confluentibus</w:t>
      </w:r>
      <w:r>
        <w:rPr>
          <w:b w:val="0"/>
          <w:i w:val="0"/>
        </w:rPr>
        <w:t xml:space="preserve">; </w:t>
      </w:r>
      <w:r>
        <w:rPr>
          <w:b w:val="0"/>
          <w:i/>
        </w:rPr>
        <w:t>effluat</w:t>
      </w:r>
      <w:r>
        <w:rPr>
          <w:b w:val="0"/>
          <w:i w:val="0"/>
        </w:rPr>
        <w:t xml:space="preserve">; </w:t>
      </w:r>
      <w:r>
        <w:rPr>
          <w:b w:val="0"/>
          <w:i/>
        </w:rPr>
        <w:t>effluet</w:t>
      </w:r>
      <w:r>
        <w:rPr>
          <w:b w:val="0"/>
          <w:i w:val="0"/>
        </w:rPr>
        <w:t xml:space="preserve">; </w:t>
      </w:r>
      <w:r>
        <w:rPr>
          <w:b w:val="0"/>
          <w:i/>
        </w:rPr>
        <w:t>effluit</w:t>
      </w:r>
      <w:r>
        <w:rPr>
          <w:b w:val="0"/>
          <w:i w:val="0"/>
        </w:rPr>
        <w:t xml:space="preserve">; </w:t>
      </w:r>
      <w:r>
        <w:rPr>
          <w:b w:val="0"/>
          <w:i/>
        </w:rPr>
        <w:t>fluentes</w:t>
      </w:r>
      <w:r>
        <w:rPr>
          <w:b w:val="0"/>
          <w:i w:val="0"/>
        </w:rPr>
        <w:t xml:space="preserve">; </w:t>
      </w:r>
      <w:r>
        <w:rPr>
          <w:b w:val="0"/>
          <w:i/>
        </w:rPr>
        <w:t>fluit</w:t>
      </w:r>
      <w:r>
        <w:rPr>
          <w:b w:val="0"/>
          <w:i w:val="0"/>
        </w:rPr>
        <w:t xml:space="preserve">; </w:t>
      </w:r>
      <w:r>
        <w:rPr>
          <w:b w:val="0"/>
          <w:i/>
        </w:rPr>
        <w:t>influat</w:t>
      </w:r>
      <w:r>
        <w:rPr>
          <w:b w:val="0"/>
          <w:i w:val="0"/>
        </w:rPr>
        <w:t xml:space="preserve">; </w:t>
      </w:r>
      <w:r>
        <w:rPr>
          <w:b w:val="0"/>
          <w:i/>
        </w:rPr>
        <w:t>influenti</w:t>
      </w:r>
      <w:r>
        <w:rPr>
          <w:b w:val="0"/>
          <w:i w:val="0"/>
        </w:rPr>
        <w:t xml:space="preserve">; </w:t>
      </w:r>
      <w:r>
        <w:rPr>
          <w:b w:val="0"/>
          <w:i/>
        </w:rPr>
        <w:t>influentibus</w:t>
      </w:r>
      <w:r>
        <w:rPr>
          <w:b w:val="0"/>
          <w:i w:val="0"/>
        </w:rPr>
        <w:t xml:space="preserve">; </w:t>
      </w:r>
      <w:r>
        <w:rPr>
          <w:b w:val="0"/>
          <w:i/>
        </w:rPr>
        <w:t>influit</w:t>
      </w:r>
      <w:r>
        <w:rPr>
          <w:b w:val="0"/>
          <w:i w:val="0"/>
        </w:rPr>
        <w:t>.</w:t>
      </w:r>
    </w:p>
    <w:p>
      <w:pPr>
        <w:widowControl/>
      </w:pPr>
      <w:r>
        <w:rPr>
          <w:b w:val="0"/>
          <w:i w:val="0"/>
        </w:rPr>
        <w:t xml:space="preserve">To flow, flow out, flow in or flow together. The book uses flux for changing matter and alleged soul-substance, and flowing also pictures causal communication; local causal direction prevents a single literal hydrodynamic reading. References: </w:t>
      </w:r>
      <w:hyperlink w:anchor="passage-vi-9-2">
        <w:r>
          <w:rPr>
            <w:color w:val="000000"/>
          </w:rPr>
          <w:t xml:space="preserve">VI.9.2</w:t>
        </w:r>
      </w:hyperlink>
      <w:r>
        <w:rPr>
          <w:b w:val="0"/>
          <w:i w:val="0"/>
        </w:rPr>
        <w:t xml:space="preserve">, </w:t>
      </w:r>
      <w:hyperlink w:anchor="passage-vi-11-1">
        <w:r>
          <w:rPr>
            <w:color w:val="000000"/>
          </w:rPr>
          <w:t xml:space="preserve">VI.11.1</w:t>
        </w:r>
      </w:hyperlink>
      <w:r>
        <w:rPr>
          <w:b w:val="0"/>
          <w:i w:val="0"/>
        </w:rPr>
        <w:t xml:space="preserve">, </w:t>
      </w:r>
      <w:hyperlink w:anchor="passage-vi-13-6">
        <w:r>
          <w:rPr>
            <w:color w:val="000000"/>
          </w:rPr>
          <w:t xml:space="preserve">VI.13.6</w:t>
        </w:r>
      </w:hyperlink>
      <w:r>
        <w:rPr>
          <w:b w:val="0"/>
          <w:i w:val="0"/>
        </w:rPr>
        <w:t xml:space="preserve">, </w:t>
      </w:r>
      <w:hyperlink w:anchor="passage-vi-13-8">
        <w:r>
          <w:rPr>
            <w:color w:val="000000"/>
          </w:rPr>
          <w:t xml:space="preserve">VI.13.8</w:t>
        </w:r>
      </w:hyperlink>
      <w:r>
        <w:rPr>
          <w:b w:val="0"/>
          <w:i w:val="0"/>
        </w:rPr>
        <w:t xml:space="preserve">, </w:t>
      </w:r>
      <w:hyperlink w:anchor="passage-vi-13-9">
        <w:r>
          <w:rPr>
            <w:color w:val="000000"/>
          </w:rPr>
          <w:t xml:space="preserve">VI.13.9</w:t>
        </w:r>
      </w:hyperlink>
      <w:r>
        <w:rPr>
          <w:b w:val="0"/>
          <w:i w:val="0"/>
        </w:rPr>
        <w:t xml:space="preserve">, </w:t>
      </w:r>
      <w:hyperlink w:anchor="passage-vi-13-10">
        <w:r>
          <w:rPr>
            <w:color w:val="000000"/>
          </w:rPr>
          <w:t xml:space="preserve">VI.13.10</w:t>
        </w:r>
      </w:hyperlink>
      <w:r>
        <w:rPr>
          <w:b w:val="0"/>
          <w:i w:val="0"/>
        </w:rPr>
        <w:t xml:space="preserve">, </w:t>
      </w:r>
      <w:hyperlink w:anchor="passage-vi-13-11">
        <w:r>
          <w:rPr>
            <w:color w:val="000000"/>
          </w:rPr>
          <w:t xml:space="preserve">VI.13.11</w:t>
        </w:r>
      </w:hyperlink>
      <w:r>
        <w:rPr>
          <w:b w:val="0"/>
          <w:i w:val="0"/>
        </w:rPr>
        <w:t xml:space="preserve">. See </w:t>
      </w:r>
      <w:hyperlink w:anchor="temperament-flux-and-stable-ruler">
        <w:r>
          <w:rPr>
            <w:color w:val="000000"/>
          </w:rPr>
          <w:t xml:space="preserve">Temperament, flux and the stable ruler</w:t>
        </w:r>
      </w:hyperlink>
      <w:r>
        <w:rPr>
          <w:b w:val="0"/>
          <w:i w:val="0"/>
        </w:rPr>
        <w:t>.</w:t>
      </w:r>
    </w:p>
    <w:p>
      <w:pPr>
        <w:keepNext/>
        <w:widowControl/>
      </w:pPr>
      <w:bookmarkStart w:id="737" w:name="latin-record-0496"/>
      <w:bookmarkEnd w:id="737"/>
      <w:r>
        <w:rPr>
          <w:b/>
          <w:i w:val="0"/>
        </w:rPr>
        <w:t>fluxus; labilis; solidare</w:t>
      </w:r>
      <w:r>
        <w:rPr>
          <w:b/>
          <w:i w:val="0"/>
        </w:rPr>
        <w:t>.</w:t>
      </w:r>
      <w:r>
        <w:rPr>
          <w:b w:val="0"/>
          <w:i w:val="0"/>
        </w:rPr>
        <w:t xml:space="preserve"> Printed forms: </w:t>
      </w:r>
      <w:r>
        <w:rPr>
          <w:b w:val="0"/>
          <w:i/>
        </w:rPr>
        <w:t>fluxum et labile</w:t>
      </w:r>
      <w:r>
        <w:rPr>
          <w:b w:val="0"/>
          <w:i w:val="0"/>
        </w:rPr>
        <w:t xml:space="preserve">; </w:t>
      </w:r>
      <w:r>
        <w:rPr>
          <w:b w:val="0"/>
          <w:i/>
        </w:rPr>
        <w:t>solidaret</w:t>
      </w:r>
      <w:r>
        <w:rPr>
          <w:b w:val="0"/>
          <w:i w:val="0"/>
        </w:rPr>
        <w:t>.</w:t>
      </w:r>
    </w:p>
    <w:p>
      <w:pPr>
        <w:widowControl/>
      </w:pPr>
      <w:r>
        <w:rPr>
          <w:b w:val="0"/>
          <w:i w:val="0"/>
        </w:rPr>
        <w:t xml:space="preserve">Fluid and unstable; to consolidate. A fluid soul-body fails to bind firmly and therefore requires another stable principle. References: </w:t>
      </w:r>
      <w:hyperlink w:anchor="passage-vi-9-4">
        <w:r>
          <w:rPr>
            <w:color w:val="000000"/>
          </w:rPr>
          <w:t xml:space="preserve">VI.9.4</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738" w:name="latin-record-0497"/>
      <w:bookmarkEnd w:id="738"/>
      <w:r>
        <w:rPr>
          <w:b/>
          <w:i w:val="0"/>
        </w:rPr>
        <w:t>fluxus; solidus; albus; niger</w:t>
      </w:r>
      <w:r>
        <w:rPr>
          <w:b/>
          <w:i w:val="0"/>
        </w:rPr>
        <w:t>.</w:t>
      </w:r>
      <w:r>
        <w:rPr>
          <w:b w:val="0"/>
          <w:i w:val="0"/>
        </w:rPr>
        <w:t xml:space="preserve"> Printed forms: </w:t>
      </w:r>
      <w:r>
        <w:rPr>
          <w:b w:val="0"/>
          <w:i/>
        </w:rPr>
        <w:t>fluxum, solidum, album, nigrum</w:t>
      </w:r>
      <w:r>
        <w:rPr>
          <w:b w:val="0"/>
          <w:i w:val="0"/>
        </w:rPr>
        <w:t>.</w:t>
      </w:r>
    </w:p>
    <w:p>
      <w:pPr>
        <w:widowControl/>
      </w:pPr>
      <w:r>
        <w:rPr>
          <w:b w:val="0"/>
          <w:i w:val="0"/>
        </w:rPr>
        <w:t xml:space="preserve">Fluid, solid, white and black. The catalogue extends beyond elemental temperature to consistency and colour, illustrating determinate bodily ranges.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739" w:name="latin-record-0498"/>
      <w:bookmarkEnd w:id="739"/>
      <w:r>
        <w:rPr>
          <w:b/>
          <w:i w:val="0"/>
        </w:rPr>
        <w:t>fomes</w:t>
      </w:r>
      <w:r>
        <w:rPr>
          <w:b/>
          <w:i w:val="0"/>
        </w:rPr>
        <w:t>.</w:t>
      </w:r>
      <w:r>
        <w:rPr>
          <w:b w:val="0"/>
          <w:i w:val="0"/>
        </w:rPr>
        <w:t xml:space="preserve"> Printed forms: </w:t>
      </w:r>
      <w:r>
        <w:rPr>
          <w:b w:val="0"/>
          <w:i/>
        </w:rPr>
        <w:t>fomite</w:t>
      </w:r>
      <w:r>
        <w:rPr>
          <w:b w:val="0"/>
          <w:i w:val="0"/>
        </w:rPr>
        <w:t xml:space="preserve">; </w:t>
      </w:r>
      <w:r>
        <w:rPr>
          <w:b w:val="0"/>
          <w:i/>
        </w:rPr>
        <w:t>fomitem</w:t>
      </w:r>
      <w:r>
        <w:rPr>
          <w:b w:val="0"/>
          <w:i w:val="0"/>
        </w:rPr>
        <w:t>.</w:t>
      </w:r>
    </w:p>
    <w:p>
      <w:pPr>
        <w:widowControl/>
      </w:pPr>
      <w:r>
        <w:rPr>
          <w:b w:val="0"/>
          <w:i w:val="0"/>
        </w:rPr>
        <w:t xml:space="preserve">Tinder or combustible ground, figuratively matter’s latent productive resource. A bodily form is drawn from and can return to this material resource; soul is not generated from it. References: </w:t>
      </w:r>
      <w:hyperlink w:anchor="passage-v-8-2">
        <w:r>
          <w:rPr>
            <w:color w:val="000000"/>
          </w:rPr>
          <w:t xml:space="preserve">V.8.2</w:t>
        </w:r>
      </w:hyperlink>
      <w:r>
        <w:rPr>
          <w:b w:val="0"/>
          <w:i w:val="0"/>
        </w:rPr>
        <w:t xml:space="preserve">, </w:t>
      </w:r>
      <w:hyperlink w:anchor="passage-v-11-1">
        <w:r>
          <w:rPr>
            <w:color w:val="000000"/>
          </w:rPr>
          <w:t xml:space="preserve">V.11.1</w:t>
        </w:r>
      </w:hyperlink>
      <w:r>
        <w:rPr>
          <w:b w:val="0"/>
          <w:i w:val="0"/>
        </w:rPr>
        <w:t xml:space="preserve">, </w:t>
      </w:r>
      <w:hyperlink w:anchor="passage-v-13-1">
        <w:r>
          <w:rPr>
            <w:color w:val="000000"/>
          </w:rPr>
          <w:t xml:space="preserve">V.13.1</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740" w:name="latin-record-0499"/>
      <w:bookmarkEnd w:id="740"/>
      <w:r>
        <w:rPr>
          <w:b/>
          <w:i w:val="0"/>
        </w:rPr>
        <w:t>fons / receptaculum naturale</w:t>
      </w:r>
      <w:r>
        <w:rPr>
          <w:b/>
          <w:i w:val="0"/>
        </w:rPr>
        <w:t>.</w:t>
      </w:r>
      <w:r>
        <w:rPr>
          <w:b w:val="0"/>
          <w:i w:val="0"/>
        </w:rPr>
        <w:t xml:space="preserve"> Printed forms: </w:t>
      </w:r>
      <w:r>
        <w:rPr>
          <w:b w:val="0"/>
          <w:i/>
        </w:rPr>
        <w:t>fons</w:t>
      </w:r>
      <w:r>
        <w:rPr>
          <w:b w:val="0"/>
          <w:i w:val="0"/>
        </w:rPr>
        <w:t xml:space="preserve">; </w:t>
      </w:r>
      <w:r>
        <w:rPr>
          <w:b w:val="0"/>
          <w:i/>
        </w:rPr>
        <w:t>parit</w:t>
      </w:r>
      <w:r>
        <w:rPr>
          <w:b w:val="0"/>
          <w:i w:val="0"/>
        </w:rPr>
        <w:t xml:space="preserve">; </w:t>
      </w:r>
      <w:r>
        <w:rPr>
          <w:b w:val="0"/>
          <w:i/>
        </w:rPr>
        <w:t>receptaculum naturale</w:t>
      </w:r>
      <w:r>
        <w:rPr>
          <w:b w:val="0"/>
          <w:i w:val="0"/>
        </w:rPr>
        <w:t>.</w:t>
      </w:r>
    </w:p>
    <w:p>
      <w:pPr>
        <w:widowControl/>
      </w:pPr>
      <w:r>
        <w:rPr>
          <w:b w:val="0"/>
          <w:i w:val="0"/>
        </w:rPr>
        <w:t xml:space="preserve">Natural source and recipient of universally applicable forms. The mind’s regular production of universals is described as innate capacity, not solely the outcome of chosen practice. References: </w:t>
      </w:r>
      <w:hyperlink w:anchor="passage-viii-8-2">
        <w:r>
          <w:rPr>
            <w:color w:val="000000"/>
          </w:rPr>
          <w:t xml:space="preserve">VIII.8.2</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741" w:name="latin-record-0500"/>
      <w:bookmarkEnd w:id="741"/>
      <w:r>
        <w:rPr>
          <w:b/>
          <w:i w:val="0"/>
        </w:rPr>
        <w:t>fons / subiectum virtutis</w:t>
      </w:r>
      <w:r>
        <w:rPr>
          <w:b/>
          <w:i w:val="0"/>
        </w:rPr>
        <w:t>.</w:t>
      </w:r>
      <w:r>
        <w:rPr>
          <w:b w:val="0"/>
          <w:i w:val="0"/>
        </w:rPr>
        <w:t xml:space="preserve"> Printed forms: </w:t>
      </w:r>
      <w:r>
        <w:rPr>
          <w:b w:val="0"/>
          <w:i/>
        </w:rPr>
        <w:t>fons</w:t>
      </w:r>
      <w:r>
        <w:rPr>
          <w:b w:val="0"/>
          <w:i w:val="0"/>
        </w:rPr>
        <w:t xml:space="preserve">; </w:t>
      </w:r>
      <w:r>
        <w:rPr>
          <w:b w:val="0"/>
          <w:i/>
        </w:rPr>
        <w:t>subiectum</w:t>
      </w:r>
      <w:r>
        <w:rPr>
          <w:b w:val="0"/>
          <w:i w:val="0"/>
        </w:rPr>
        <w:t>.</w:t>
      </w:r>
    </w:p>
    <w:p>
      <w:pPr>
        <w:widowControl/>
      </w:pPr>
      <w:r>
        <w:rPr>
          <w:b w:val="0"/>
          <w:i w:val="0"/>
        </w:rPr>
        <w:t xml:space="preserve">Source and bearer of a power. The soul is both the origin and the subject of indivisible sensory power; subject does not mean perceived object here. References: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742" w:name="latin-record-0501"/>
      <w:bookmarkEnd w:id="742"/>
      <w:r>
        <w:rPr>
          <w:b/>
          <w:i w:val="0"/>
        </w:rPr>
        <w:t>fons essendi</w:t>
      </w:r>
      <w:r>
        <w:rPr>
          <w:b/>
          <w:i w:val="0"/>
        </w:rPr>
        <w:t>.</w:t>
      </w:r>
      <w:r>
        <w:rPr>
          <w:b w:val="0"/>
          <w:i w:val="0"/>
        </w:rPr>
        <w:t xml:space="preserve"> Printed forms: </w:t>
      </w:r>
      <w:r>
        <w:rPr>
          <w:b w:val="0"/>
          <w:i/>
        </w:rPr>
        <w:t>Fons</w:t>
      </w:r>
      <w:r>
        <w:rPr>
          <w:b w:val="0"/>
          <w:i w:val="0"/>
        </w:rPr>
        <w:t xml:space="preserve">; </w:t>
      </w:r>
      <w:r>
        <w:rPr>
          <w:b w:val="0"/>
          <w:i/>
        </w:rPr>
        <w:t>fontem essendi</w:t>
      </w:r>
      <w:r>
        <w:rPr>
          <w:b w:val="0"/>
          <w:i w:val="0"/>
        </w:rPr>
        <w:t>.</w:t>
      </w:r>
    </w:p>
    <w:p>
      <w:pPr>
        <w:widowControl/>
      </w:pPr>
      <w:r>
        <w:rPr>
          <w:b w:val="0"/>
          <w:i w:val="0"/>
        </w:rPr>
        <w:t xml:space="preserve">The fountain or source of being, here form’s role in giving determinate existence. The formal explanation is not an assertion that every form is the absolutely uncaused God. References: </w:t>
      </w:r>
      <w:hyperlink w:anchor="passage-v-4-10">
        <w:r>
          <w:rPr>
            <w:color w:val="000000"/>
          </w:rPr>
          <w:t xml:space="preserve">V.4.10</w:t>
        </w:r>
      </w:hyperlink>
      <w:r>
        <w:rPr>
          <w:b w:val="0"/>
          <w:i w:val="0"/>
        </w:rPr>
        <w:t xml:space="preserve">, </w:t>
      </w:r>
      <w:hyperlink w:anchor="passage-v-9-1">
        <w:r>
          <w:rPr>
            <w:color w:val="000000"/>
          </w:rPr>
          <w:t xml:space="preserve">V.9.1</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743" w:name="latin-record-0502"/>
      <w:bookmarkEnd w:id="743"/>
      <w:r>
        <w:rPr>
          <w:b/>
          <w:i w:val="0"/>
        </w:rPr>
        <w:t>fons; receptaculum</w:t>
      </w:r>
      <w:r>
        <w:rPr>
          <w:b/>
          <w:i w:val="0"/>
        </w:rPr>
        <w:t>.</w:t>
      </w:r>
      <w:r>
        <w:rPr>
          <w:b w:val="0"/>
          <w:i w:val="0"/>
        </w:rPr>
        <w:t xml:space="preserve"> Printed forms: </w:t>
      </w:r>
      <w:r>
        <w:rPr>
          <w:b w:val="0"/>
          <w:i/>
        </w:rPr>
        <w:t>fons et receptaculum motionis</w:t>
      </w:r>
      <w:r>
        <w:rPr>
          <w:b w:val="0"/>
          <w:i w:val="0"/>
        </w:rPr>
        <w:t>.</w:t>
      </w:r>
    </w:p>
    <w:p>
      <w:pPr>
        <w:widowControl/>
      </w:pPr>
      <w:r>
        <w:rPr>
          <w:b w:val="0"/>
          <w:i w:val="0"/>
        </w:rPr>
        <w:t xml:space="preserve">Source and receptacle of motion. The two poles name activity and reception in the one primary self-mover, later clarified as nontransitive vital succession. References: </w:t>
      </w:r>
      <w:hyperlink w:anchor="passage-vi-12-1">
        <w:r>
          <w:rPr>
            <w:color w:val="000000"/>
          </w:rPr>
          <w:t xml:space="preserve">VI.12.1</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744" w:name="latin-record-0503"/>
      <w:bookmarkEnd w:id="744"/>
      <w:r>
        <w:rPr>
          <w:b/>
          <w:i w:val="0"/>
        </w:rPr>
        <w:t>forma</w:t>
      </w:r>
      <w:r>
        <w:rPr>
          <w:b/>
          <w:i w:val="0"/>
        </w:rPr>
        <w:t>.</w:t>
      </w:r>
      <w:r>
        <w:rPr>
          <w:b w:val="0"/>
          <w:i w:val="0"/>
        </w:rPr>
        <w:t xml:space="preserve"> Printed forms: </w:t>
      </w:r>
      <w:r>
        <w:rPr>
          <w:b w:val="0"/>
          <w:i/>
        </w:rPr>
        <w:t>Forma</w:t>
      </w:r>
      <w:r>
        <w:rPr>
          <w:b w:val="0"/>
          <w:i w:val="0"/>
        </w:rPr>
        <w:t xml:space="preserve">; </w:t>
      </w:r>
      <w:r>
        <w:rPr>
          <w:b w:val="0"/>
          <w:i/>
        </w:rPr>
        <w:t>forma</w:t>
      </w:r>
      <w:r>
        <w:rPr>
          <w:b w:val="0"/>
          <w:i w:val="0"/>
        </w:rPr>
        <w:t xml:space="preserve">; </w:t>
      </w:r>
      <w:r>
        <w:rPr>
          <w:b w:val="0"/>
          <w:i/>
        </w:rPr>
        <w:t>formae</w:t>
      </w:r>
      <w:r>
        <w:rPr>
          <w:b w:val="0"/>
          <w:i w:val="0"/>
        </w:rPr>
        <w:t xml:space="preserve">; </w:t>
      </w:r>
      <w:r>
        <w:rPr>
          <w:b w:val="0"/>
          <w:i/>
        </w:rPr>
        <w:t>Formae</w:t>
      </w:r>
      <w:r>
        <w:rPr>
          <w:b w:val="0"/>
          <w:i w:val="0"/>
        </w:rPr>
        <w:t xml:space="preserve">; </w:t>
      </w:r>
      <w:r>
        <w:rPr>
          <w:b w:val="0"/>
          <w:i/>
        </w:rPr>
        <w:t>formam</w:t>
      </w:r>
      <w:r>
        <w:rPr>
          <w:b w:val="0"/>
          <w:i w:val="0"/>
        </w:rPr>
        <w:t xml:space="preserve">; </w:t>
      </w:r>
      <w:r>
        <w:rPr>
          <w:b w:val="0"/>
          <w:i/>
        </w:rPr>
        <w:t>formarum</w:t>
      </w:r>
      <w:r>
        <w:rPr>
          <w:b w:val="0"/>
          <w:i w:val="0"/>
        </w:rPr>
        <w:t xml:space="preserve">; </w:t>
      </w:r>
      <w:r>
        <w:rPr>
          <w:b w:val="0"/>
          <w:i/>
        </w:rPr>
        <w:t>formas</w:t>
      </w:r>
      <w:r>
        <w:rPr>
          <w:b w:val="0"/>
          <w:i w:val="0"/>
        </w:rPr>
        <w:t xml:space="preserve">; </w:t>
      </w:r>
      <w:r>
        <w:rPr>
          <w:b w:val="0"/>
          <w:i/>
        </w:rPr>
        <w:t>formis</w:t>
      </w:r>
      <w:r>
        <w:rPr>
          <w:b w:val="0"/>
          <w:i w:val="0"/>
        </w:rPr>
        <w:t>.</w:t>
      </w:r>
    </w:p>
    <w:p>
      <w:pPr>
        <w:widowControl/>
      </w:pPr>
      <w:r>
        <w:rPr>
          <w:b w:val="0"/>
          <w:i w:val="0"/>
        </w:rPr>
        <w:t xml:space="preserve">A determining principle through which a thing has its proper nature and being. A material form belongs to a composite’s common being, while rational soul is form subsisting in itself. References: </w:t>
      </w:r>
      <w:hyperlink w:anchor="passage-v-8-1">
        <w:r>
          <w:rPr>
            <w:color w:val="000000"/>
          </w:rPr>
          <w:t xml:space="preserve">V.8.1</w:t>
        </w:r>
      </w:hyperlink>
      <w:r>
        <w:rPr>
          <w:b w:val="0"/>
          <w:i w:val="0"/>
        </w:rPr>
        <w:t xml:space="preserve">, </w:t>
      </w:r>
      <w:hyperlink w:anchor="passage-v-8-2">
        <w:r>
          <w:rPr>
            <w:color w:val="000000"/>
          </w:rPr>
          <w:t xml:space="preserve">V.8.2</w:t>
        </w:r>
      </w:hyperlink>
      <w:r>
        <w:rPr>
          <w:b w:val="0"/>
          <w:i w:val="0"/>
        </w:rPr>
        <w:t xml:space="preserve">, </w:t>
      </w:r>
      <w:hyperlink w:anchor="passage-v-8-3">
        <w:r>
          <w:rPr>
            <w:color w:val="000000"/>
          </w:rPr>
          <w:t xml:space="preserve">V.8.3</w:t>
        </w:r>
      </w:hyperlink>
      <w:r>
        <w:rPr>
          <w:b w:val="0"/>
          <w:i w:val="0"/>
        </w:rPr>
        <w:t xml:space="preserve">, </w:t>
      </w:r>
      <w:hyperlink w:anchor="passage-v-9-2">
        <w:r>
          <w:rPr>
            <w:color w:val="000000"/>
          </w:rPr>
          <w:t xml:space="preserve">V.9.2</w:t>
        </w:r>
      </w:hyperlink>
      <w:r>
        <w:rPr>
          <w:b w:val="0"/>
          <w:i w:val="0"/>
        </w:rPr>
        <w:t xml:space="preserve">. See </w:t>
      </w:r>
      <w:hyperlink w:anchor="form-and-formal-being">
        <w:r>
          <w:rPr>
            <w:color w:val="000000"/>
          </w:rPr>
          <w:t xml:space="preserve">Form and formal being</w:t>
        </w:r>
      </w:hyperlink>
      <w:r>
        <w:rPr>
          <w:b w:val="0"/>
          <w:i w:val="0"/>
        </w:rPr>
        <w:t>.</w:t>
      </w:r>
    </w:p>
    <w:p>
      <w:pPr>
        <w:widowControl/>
      </w:pPr>
      <w:r>
        <w:rPr>
          <w:b w:val="0"/>
          <w:i w:val="0"/>
        </w:rPr>
        <w:t xml:space="preserve">A determining form, ranging from life-giving substantial principle to divided bodily form or separate intelligible form. The local adjective and causal role govern its sense: rejecting body does not automatically show that a form is indivisible, substantial or free from material origin. References: </w:t>
      </w:r>
      <w:hyperlink w:anchor="passage-vi-2-10">
        <w:r>
          <w:rPr>
            <w:color w:val="000000"/>
          </w:rPr>
          <w:t xml:space="preserve">VI.2.10</w:t>
        </w:r>
      </w:hyperlink>
      <w:r>
        <w:rPr>
          <w:b w:val="0"/>
          <w:i w:val="0"/>
        </w:rPr>
        <w:t xml:space="preserve">, </w:t>
      </w:r>
      <w:hyperlink w:anchor="passage-vi-3-1">
        <w:r>
          <w:rPr>
            <w:color w:val="000000"/>
          </w:rPr>
          <w:t xml:space="preserve">VI.3.1</w:t>
        </w:r>
      </w:hyperlink>
      <w:r>
        <w:rPr>
          <w:b w:val="0"/>
          <w:i w:val="0"/>
        </w:rPr>
        <w:t xml:space="preserve">, </w:t>
      </w:r>
      <w:hyperlink w:anchor="passage-vi-7-3">
        <w:r>
          <w:rPr>
            <w:color w:val="000000"/>
          </w:rPr>
          <w:t xml:space="preserve">VI.7.3</w:t>
        </w:r>
      </w:hyperlink>
      <w:r>
        <w:rPr>
          <w:b w:val="0"/>
          <w:i w:val="0"/>
        </w:rPr>
        <w:t xml:space="preserve">, </w:t>
      </w:r>
      <w:hyperlink w:anchor="passage-vi-9-3">
        <w:r>
          <w:rPr>
            <w:color w:val="000000"/>
          </w:rPr>
          <w:t xml:space="preserve">VI.9.3</w:t>
        </w:r>
      </w:hyperlink>
      <w:r>
        <w:rPr>
          <w:b w:val="0"/>
          <w:i w:val="0"/>
        </w:rPr>
        <w:t xml:space="preserve">, </w:t>
      </w:r>
      <w:hyperlink w:anchor="passage-vi-12-18">
        <w:r>
          <w:rPr>
            <w:color w:val="000000"/>
          </w:rPr>
          <w:t xml:space="preserve">VI.12.18</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widowControl/>
      </w:pPr>
      <w:r>
        <w:rPr>
          <w:b w:val="0"/>
          <w:i w:val="0"/>
        </w:rPr>
        <w:t xml:space="preserve">Determining form, or the form through which a knower apprehends an object. A form in bodily matter differs in mode from an intellectual representation; the argument cannot be read by assigning all forms one material location. References: </w:t>
      </w:r>
      <w:hyperlink w:anchor="passage-viii-4-1">
        <w:r>
          <w:rPr>
            <w:color w:val="000000"/>
          </w:rPr>
          <w:t xml:space="preserve">VIII.4.1</w:t>
        </w:r>
      </w:hyperlink>
      <w:r>
        <w:rPr>
          <w:b w:val="0"/>
          <w:i w:val="0"/>
        </w:rPr>
        <w:t xml:space="preserve">, </w:t>
      </w:r>
      <w:hyperlink w:anchor="passage-viii-4-9">
        <w:r>
          <w:rPr>
            <w:color w:val="000000"/>
          </w:rPr>
          <w:t xml:space="preserve">VIII.4.9</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745" w:name="latin-record-0504"/>
      <w:bookmarkEnd w:id="745"/>
      <w:r>
        <w:rPr>
          <w:b/>
          <w:i w:val="0"/>
        </w:rPr>
        <w:t>forma / qualitas</w:t>
      </w:r>
      <w:r>
        <w:rPr>
          <w:b/>
          <w:i w:val="0"/>
        </w:rPr>
        <w:t>.</w:t>
      </w:r>
      <w:r>
        <w:rPr>
          <w:b w:val="0"/>
          <w:i w:val="0"/>
        </w:rPr>
        <w:t xml:space="preserve"> Printed forms: </w:t>
      </w:r>
      <w:r>
        <w:rPr>
          <w:b w:val="0"/>
          <w:i/>
        </w:rPr>
        <w:t>formae</w:t>
      </w:r>
      <w:r>
        <w:rPr>
          <w:b w:val="0"/>
          <w:i w:val="0"/>
        </w:rPr>
        <w:t xml:space="preserve">; </w:t>
      </w:r>
      <w:r>
        <w:rPr>
          <w:b w:val="0"/>
          <w:i/>
        </w:rPr>
        <w:t>formam</w:t>
      </w:r>
      <w:r>
        <w:rPr>
          <w:b w:val="0"/>
          <w:i w:val="0"/>
        </w:rPr>
        <w:t xml:space="preserve">; </w:t>
      </w:r>
      <w:r>
        <w:rPr>
          <w:b w:val="0"/>
          <w:i/>
        </w:rPr>
        <w:t>formas</w:t>
      </w:r>
      <w:r>
        <w:rPr>
          <w:b w:val="0"/>
          <w:i w:val="0"/>
        </w:rPr>
        <w:t xml:space="preserve">; </w:t>
      </w:r>
      <w:r>
        <w:rPr>
          <w:b w:val="0"/>
          <w:i/>
        </w:rPr>
        <w:t>qualitates</w:t>
      </w:r>
      <w:r>
        <w:rPr>
          <w:b w:val="0"/>
          <w:i w:val="0"/>
        </w:rPr>
        <w:t xml:space="preserve">; </w:t>
      </w:r>
      <w:r>
        <w:rPr>
          <w:b w:val="0"/>
          <w:i/>
        </w:rPr>
        <w:t>qualitatum</w:t>
      </w:r>
      <w:r>
        <w:rPr>
          <w:b w:val="0"/>
          <w:i w:val="0"/>
        </w:rPr>
        <w:t>.</w:t>
      </w:r>
    </w:p>
    <w:p>
      <w:pPr>
        <w:widowControl/>
      </w:pPr>
      <w:r>
        <w:rPr>
          <w:b w:val="0"/>
          <w:i w:val="0"/>
        </w:rPr>
        <w:t xml:space="preserve">Form and quality, whose scope depends on whether the passage concerns sensory reception, an accidental condition or substantial organization. The growth argument’s accidental forms and elemental substantial forms are separate candidates; reception of cognitive forms without matter is another use. References: </w:t>
      </w:r>
      <w:hyperlink w:anchor="passage-vii-8-1">
        <w:r>
          <w:rPr>
            <w:color w:val="000000"/>
          </w:rPr>
          <w:t xml:space="preserve">VII.8.1</w:t>
        </w:r>
      </w:hyperlink>
      <w:r>
        <w:rPr>
          <w:b w:val="0"/>
          <w:i w:val="0"/>
        </w:rPr>
        <w:t xml:space="preserve">, </w:t>
      </w:r>
      <w:hyperlink w:anchor="passage-vii-13-1">
        <w:r>
          <w:rPr>
            <w:color w:val="000000"/>
          </w:rPr>
          <w:t xml:space="preserve">VII.13.1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746" w:name="latin-record-0505"/>
      <w:bookmarkEnd w:id="746"/>
      <w:r>
        <w:rPr>
          <w:b/>
          <w:i w:val="0"/>
        </w:rPr>
        <w:t>forma accidentalis / substantialis</w:t>
      </w:r>
      <w:r>
        <w:rPr>
          <w:b/>
          <w:i w:val="0"/>
        </w:rPr>
        <w:t>.</w:t>
      </w:r>
      <w:r>
        <w:rPr>
          <w:b w:val="0"/>
          <w:i w:val="0"/>
        </w:rPr>
        <w:t xml:space="preserve"> Printed forms: </w:t>
      </w:r>
      <w:r>
        <w:rPr>
          <w:b w:val="0"/>
          <w:i/>
        </w:rPr>
        <w:t>accidentalem</w:t>
      </w:r>
      <w:r>
        <w:rPr>
          <w:b w:val="0"/>
          <w:i w:val="0"/>
        </w:rPr>
        <w:t xml:space="preserve">; </w:t>
      </w:r>
      <w:r>
        <w:rPr>
          <w:b w:val="0"/>
          <w:i/>
        </w:rPr>
        <w:t>accidentalibus</w:t>
      </w:r>
      <w:r>
        <w:rPr>
          <w:b w:val="0"/>
          <w:i w:val="0"/>
        </w:rPr>
        <w:t xml:space="preserve">; </w:t>
      </w:r>
      <w:r>
        <w:rPr>
          <w:b w:val="0"/>
          <w:i/>
        </w:rPr>
        <w:t>formam accidentalem</w:t>
      </w:r>
      <w:r>
        <w:rPr>
          <w:b w:val="0"/>
          <w:i w:val="0"/>
        </w:rPr>
        <w:t xml:space="preserve">; </w:t>
      </w:r>
      <w:r>
        <w:rPr>
          <w:b w:val="0"/>
          <w:i/>
        </w:rPr>
        <w:t>formis accidentalibus</w:t>
      </w:r>
      <w:r>
        <w:rPr>
          <w:b w:val="0"/>
          <w:i w:val="0"/>
        </w:rPr>
        <w:t xml:space="preserve">; </w:t>
      </w:r>
      <w:r>
        <w:rPr>
          <w:b w:val="0"/>
          <w:i/>
        </w:rPr>
        <w:t>substantialem</w:t>
      </w:r>
      <w:r>
        <w:rPr>
          <w:b w:val="0"/>
          <w:i w:val="0"/>
        </w:rPr>
        <w:t xml:space="preserve">; </w:t>
      </w:r>
      <w:r>
        <w:rPr>
          <w:b w:val="0"/>
          <w:i/>
        </w:rPr>
        <w:t>substantialem aliquam formam</w:t>
      </w:r>
      <w:r>
        <w:rPr>
          <w:b w:val="0"/>
          <w:i w:val="0"/>
        </w:rPr>
        <w:t>.</w:t>
      </w:r>
    </w:p>
    <w:p>
      <w:pPr>
        <w:widowControl/>
      </w:pPr>
      <w:r>
        <w:rPr>
          <w:b w:val="0"/>
          <w:i w:val="0"/>
        </w:rPr>
        <w:t xml:space="preserve">An accidental form or a substantial form, with different exclusions argued separately. Soul is denied to be an accidental form, an aggregate of them, and an elemental or mixed substantial form restricted to one terminal movement. References: </w:t>
      </w:r>
      <w:hyperlink w:anchor="passage-vii-8-1">
        <w:r>
          <w:rPr>
            <w:color w:val="000000"/>
          </w:rPr>
          <w:t xml:space="preserve">VII.8.1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747" w:name="latin-record-0506"/>
      <w:bookmarkEnd w:id="747"/>
      <w:r>
        <w:rPr>
          <w:b/>
          <w:i w:val="0"/>
        </w:rPr>
        <w:t>forma segregata; subiectum</w:t>
      </w:r>
      <w:r>
        <w:rPr>
          <w:b/>
          <w:i w:val="0"/>
        </w:rPr>
        <w:t>.</w:t>
      </w:r>
      <w:r>
        <w:rPr>
          <w:b w:val="0"/>
          <w:i w:val="0"/>
        </w:rPr>
        <w:t xml:space="preserve"> Printed forms: </w:t>
      </w:r>
      <w:r>
        <w:rPr>
          <w:b w:val="0"/>
          <w:i/>
        </w:rPr>
        <w:t>formas</w:t>
      </w:r>
      <w:r>
        <w:rPr>
          <w:b w:val="0"/>
          <w:i w:val="0"/>
        </w:rPr>
        <w:t xml:space="preserve">; </w:t>
      </w:r>
      <w:r>
        <w:rPr>
          <w:b w:val="0"/>
          <w:i/>
        </w:rPr>
        <w:t>informia subiecta</w:t>
      </w:r>
      <w:r>
        <w:rPr>
          <w:b w:val="0"/>
          <w:i w:val="0"/>
        </w:rPr>
        <w:t xml:space="preserve">; </w:t>
      </w:r>
      <w:r>
        <w:rPr>
          <w:b w:val="0"/>
          <w:i/>
        </w:rPr>
        <w:t>segregatas</w:t>
      </w:r>
      <w:r>
        <w:rPr>
          <w:b w:val="0"/>
          <w:i w:val="0"/>
        </w:rPr>
        <w:t xml:space="preserve">; </w:t>
      </w:r>
      <w:r>
        <w:rPr>
          <w:b w:val="0"/>
          <w:i/>
        </w:rPr>
        <w:t>subiectis formatis</w:t>
      </w:r>
      <w:r>
        <w:rPr>
          <w:b w:val="0"/>
          <w:i w:val="0"/>
        </w:rPr>
        <w:t>.</w:t>
      </w:r>
    </w:p>
    <w:p>
      <w:pPr>
        <w:widowControl/>
      </w:pPr>
      <w:r>
        <w:rPr>
          <w:b w:val="0"/>
          <w:i w:val="0"/>
        </w:rPr>
        <w:t xml:space="preserve">Separate forms and the subjects receiving determinate form. The reported Socratic teaching makes imperfect immanent forms depend on perfect forms existing in themselves. References: </w:t>
      </w:r>
      <w:hyperlink w:anchor="passage-vi-2-10">
        <w:r>
          <w:rPr>
            <w:color w:val="000000"/>
          </w:rPr>
          <w:t xml:space="preserve">VI.2.10</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keepNext/>
        <w:widowControl/>
      </w:pPr>
      <w:bookmarkStart w:id="748" w:name="latin-record-0507"/>
      <w:bookmarkEnd w:id="748"/>
      <w:r>
        <w:rPr>
          <w:b/>
          <w:i w:val="0"/>
        </w:rPr>
        <w:t>forma substantialis; accidentalis</w:t>
      </w:r>
      <w:r>
        <w:rPr>
          <w:b/>
          <w:i w:val="0"/>
        </w:rPr>
        <w:t>.</w:t>
      </w:r>
      <w:r>
        <w:rPr>
          <w:b w:val="0"/>
          <w:i w:val="0"/>
        </w:rPr>
        <w:t xml:space="preserve"> Printed forms: </w:t>
      </w:r>
      <w:r>
        <w:rPr>
          <w:b w:val="0"/>
          <w:i/>
        </w:rPr>
        <w:t>accidens</w:t>
      </w:r>
      <w:r>
        <w:rPr>
          <w:b w:val="0"/>
          <w:i w:val="0"/>
        </w:rPr>
        <w:t xml:space="preserve">; </w:t>
      </w:r>
      <w:r>
        <w:rPr>
          <w:b w:val="0"/>
          <w:i/>
        </w:rPr>
        <w:t>non accidentalis</w:t>
      </w:r>
      <w:r>
        <w:rPr>
          <w:b w:val="0"/>
          <w:i w:val="0"/>
        </w:rPr>
        <w:t xml:space="preserve">; </w:t>
      </w:r>
      <w:r>
        <w:rPr>
          <w:b w:val="0"/>
          <w:i/>
        </w:rPr>
        <w:t>substantialis</w:t>
      </w:r>
      <w:r>
        <w:rPr>
          <w:b w:val="0"/>
          <w:i w:val="0"/>
        </w:rPr>
        <w:t>.</w:t>
      </w:r>
    </w:p>
    <w:p>
      <w:pPr>
        <w:widowControl/>
      </w:pPr>
      <w:r>
        <w:rPr>
          <w:b w:val="0"/>
          <w:i w:val="0"/>
        </w:rPr>
        <w:t xml:space="preserve">Substantial form as opposed to dependent accident. The soul’s ruling role, causal priority and endurance under contrary states support the former classification. References: </w:t>
      </w:r>
      <w:hyperlink w:anchor="passage-vi-7-3">
        <w:r>
          <w:rPr>
            <w:color w:val="000000"/>
          </w:rPr>
          <w:t xml:space="preserve">VI.7.3</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749" w:name="latin-record-0508"/>
      <w:bookmarkEnd w:id="749"/>
      <w:r>
        <w:rPr>
          <w:b/>
          <w:i w:val="0"/>
        </w:rPr>
        <w:t>forma vivifica</w:t>
      </w:r>
      <w:r>
        <w:rPr>
          <w:b/>
          <w:i w:val="0"/>
        </w:rPr>
        <w:t>.</w:t>
      </w:r>
      <w:r>
        <w:rPr>
          <w:b w:val="0"/>
          <w:i w:val="0"/>
        </w:rPr>
        <w:t xml:space="preserve"> Printed forms: </w:t>
      </w:r>
      <w:r>
        <w:rPr>
          <w:b w:val="0"/>
          <w:i/>
        </w:rPr>
        <w:t>formam</w:t>
      </w:r>
      <w:r>
        <w:rPr>
          <w:b w:val="0"/>
          <w:i w:val="0"/>
        </w:rPr>
        <w:t xml:space="preserve">; </w:t>
      </w:r>
      <w:r>
        <w:rPr>
          <w:b w:val="0"/>
          <w:i/>
        </w:rPr>
        <w:t>vivificam</w:t>
      </w:r>
      <w:r>
        <w:rPr>
          <w:b w:val="0"/>
          <w:i w:val="0"/>
        </w:rPr>
        <w:t>.</w:t>
      </w:r>
    </w:p>
    <w:p>
      <w:pPr>
        <w:widowControl/>
      </w:pPr>
      <w:r>
        <w:rPr>
          <w:b w:val="0"/>
          <w:i w:val="0"/>
        </w:rPr>
        <w:t xml:space="preserve">The form giving life, rather than matter receiving life. Ficino assigns the name soul to the causal principle, not to the whole body that it animates. References: </w:t>
      </w:r>
      <w:hyperlink w:anchor="passage-vi-4-5">
        <w:r>
          <w:rPr>
            <w:color w:val="000000"/>
          </w:rPr>
          <w:t xml:space="preserve">VI.4.5</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750" w:name="latin-record-0509"/>
      <w:bookmarkEnd w:id="750"/>
      <w:r>
        <w:rPr>
          <w:b/>
          <w:i w:val="0"/>
        </w:rPr>
        <w:t>formabile / formator</w:t>
      </w:r>
      <w:r>
        <w:rPr>
          <w:b/>
          <w:i w:val="0"/>
        </w:rPr>
        <w:t>.</w:t>
      </w:r>
      <w:r>
        <w:rPr>
          <w:b w:val="0"/>
          <w:i w:val="0"/>
        </w:rPr>
        <w:t xml:space="preserve"> Printed forms: </w:t>
      </w:r>
      <w:r>
        <w:rPr>
          <w:b w:val="0"/>
          <w:i/>
        </w:rPr>
        <w:t>formabile</w:t>
      </w:r>
      <w:r>
        <w:rPr>
          <w:b w:val="0"/>
          <w:i w:val="0"/>
        </w:rPr>
        <w:t xml:space="preserve">; </w:t>
      </w:r>
      <w:r>
        <w:rPr>
          <w:b w:val="0"/>
          <w:i/>
        </w:rPr>
        <w:t>formantis</w:t>
      </w:r>
      <w:r>
        <w:rPr>
          <w:b w:val="0"/>
          <w:i w:val="0"/>
        </w:rPr>
        <w:t xml:space="preserve">; </w:t>
      </w:r>
      <w:r>
        <w:rPr>
          <w:b w:val="0"/>
          <w:i/>
        </w:rPr>
        <w:t>formator</w:t>
      </w:r>
      <w:r>
        <w:rPr>
          <w:b w:val="0"/>
          <w:i w:val="0"/>
        </w:rPr>
        <w:t xml:space="preserve">; </w:t>
      </w:r>
      <w:r>
        <w:rPr>
          <w:b w:val="0"/>
          <w:i/>
        </w:rPr>
        <w:t>formatore</w:t>
      </w:r>
      <w:r>
        <w:rPr>
          <w:b w:val="0"/>
          <w:i w:val="0"/>
        </w:rPr>
        <w:t>.</w:t>
      </w:r>
    </w:p>
    <w:p>
      <w:pPr>
        <w:widowControl/>
      </w:pPr>
      <w:r>
        <w:rPr>
          <w:b w:val="0"/>
          <w:i w:val="0"/>
        </w:rPr>
        <w:t xml:space="preserve">What can receive form and the source imparting it. The one receptacle of the universe is paired with a single formative beginning; the fashioner’s law sets a form’s mode of subsistence. References: </w:t>
      </w:r>
      <w:hyperlink w:anchor="passage-v-4-5">
        <w:r>
          <w:rPr>
            <w:color w:val="000000"/>
          </w:rPr>
          <w:t xml:space="preserve">V.4.5</w:t>
        </w:r>
      </w:hyperlink>
      <w:r>
        <w:rPr>
          <w:b w:val="0"/>
          <w:i w:val="0"/>
        </w:rPr>
        <w:t xml:space="preserve">, </w:t>
      </w:r>
      <w:hyperlink w:anchor="passage-v-8-2">
        <w:r>
          <w:rPr>
            <w:color w:val="000000"/>
          </w:rPr>
          <w:t xml:space="preserve">V.8.2</w:t>
        </w:r>
      </w:hyperlink>
      <w:r>
        <w:rPr>
          <w:b w:val="0"/>
          <w:i w:val="0"/>
        </w:rPr>
        <w:t xml:space="preserve">, </w:t>
      </w:r>
      <w:hyperlink w:anchor="passage-v-8-4">
        <w:r>
          <w:rPr>
            <w:color w:val="000000"/>
          </w:rPr>
          <w:t xml:space="preserve">V.8.4</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751" w:name="latin-record-0510"/>
      <w:bookmarkEnd w:id="751"/>
      <w:r>
        <w:rPr>
          <w:b/>
          <w:i w:val="0"/>
        </w:rPr>
        <w:t>formare / perficere (intellectual self-formation)</w:t>
      </w:r>
      <w:r>
        <w:rPr>
          <w:b/>
          <w:i w:val="0"/>
        </w:rPr>
        <w:t>.</w:t>
      </w:r>
      <w:r>
        <w:rPr>
          <w:b w:val="0"/>
          <w:i w:val="0"/>
        </w:rPr>
        <w:t xml:space="preserve"> Printed forms: </w:t>
      </w:r>
      <w:r>
        <w:rPr>
          <w:b w:val="0"/>
          <w:i/>
        </w:rPr>
        <w:t>format</w:t>
      </w:r>
      <w:r>
        <w:rPr>
          <w:b w:val="0"/>
          <w:i w:val="0"/>
        </w:rPr>
        <w:t xml:space="preserve">; </w:t>
      </w:r>
      <w:r>
        <w:rPr>
          <w:b w:val="0"/>
          <w:i/>
        </w:rPr>
        <w:t>formetur</w:t>
      </w:r>
      <w:r>
        <w:rPr>
          <w:b w:val="0"/>
          <w:i w:val="0"/>
        </w:rPr>
        <w:t xml:space="preserve">; </w:t>
      </w:r>
      <w:r>
        <w:rPr>
          <w:b w:val="0"/>
          <w:i/>
        </w:rPr>
        <w:t>perficiatur</w:t>
      </w:r>
      <w:r>
        <w:rPr>
          <w:b w:val="0"/>
          <w:i w:val="0"/>
        </w:rPr>
        <w:t xml:space="preserve">; </w:t>
      </w:r>
      <w:r>
        <w:rPr>
          <w:b w:val="0"/>
          <w:i/>
        </w:rPr>
        <w:t>perficit</w:t>
      </w:r>
      <w:r>
        <w:rPr>
          <w:b w:val="0"/>
          <w:i w:val="0"/>
        </w:rPr>
        <w:t>.</w:t>
      </w:r>
    </w:p>
    <w:p>
      <w:pPr>
        <w:widowControl/>
      </w:pPr>
      <w:r>
        <w:rPr>
          <w:b w:val="0"/>
          <w:i w:val="0"/>
        </w:rPr>
        <w:t xml:space="preserve">To form and perfect; here intellectual activity gives its own subject further determination and perfection. Intellect forms and perfects itself through understanding, willing, contemplation and conduct. The inference to sustaining being is qualified secundum formam. It must be distinguished from efficient production of oneself from nothing and from the stronger claim left to Proclus. References: </w:t>
      </w:r>
      <w:hyperlink w:anchor="passage-viii-15-2">
        <w:r>
          <w:rPr>
            <w:color w:val="000000"/>
          </w:rPr>
          <w:t xml:space="preserve">VIII.15.2</w:t>
        </w:r>
      </w:hyperlink>
      <w:r>
        <w:rPr>
          <w:b w:val="0"/>
          <w:i w:val="0"/>
        </w:rPr>
        <w:t xml:space="preserve">. See </w:t>
      </w:r>
      <w:hyperlink w:anchor="viii-intellectual-generation">
        <w:r>
          <w:rPr>
            <w:color w:val="000000"/>
          </w:rPr>
          <w:t xml:space="preserve">Intellectual generation and daily renewal</w:t>
        </w:r>
      </w:hyperlink>
      <w:r>
        <w:rPr>
          <w:b w:val="0"/>
          <w:i w:val="0"/>
        </w:rPr>
        <w:t>.</w:t>
      </w:r>
    </w:p>
    <w:p>
      <w:pPr>
        <w:keepNext/>
        <w:widowControl/>
      </w:pPr>
      <w:bookmarkStart w:id="752" w:name="latin-record-0511"/>
      <w:bookmarkEnd w:id="752"/>
      <w:r>
        <w:rPr>
          <w:b/>
          <w:i w:val="0"/>
        </w:rPr>
        <w:t>formare se ipsam</w:t>
      </w:r>
      <w:r>
        <w:rPr>
          <w:b/>
          <w:i w:val="0"/>
        </w:rPr>
        <w:t>.</w:t>
      </w:r>
      <w:r>
        <w:rPr>
          <w:b w:val="0"/>
          <w:i w:val="0"/>
        </w:rPr>
        <w:t xml:space="preserve"> Printed forms: </w:t>
      </w:r>
      <w:r>
        <w:rPr>
          <w:b w:val="0"/>
          <w:i/>
        </w:rPr>
        <w:t>Formare vero se ipsam anima nova nequit</w:t>
      </w:r>
      <w:r>
        <w:rPr>
          <w:b w:val="0"/>
          <w:i w:val="0"/>
        </w:rPr>
        <w:t>.</w:t>
      </w:r>
    </w:p>
    <w:p>
      <w:pPr>
        <w:widowControl/>
      </w:pPr>
      <w:r>
        <w:rPr>
          <w:b w:val="0"/>
          <w:i w:val="0"/>
        </w:rPr>
        <w:t xml:space="preserve">The new soul cannot form itself at its origin. This third exclusion is distinct from quality migration and from copying by the disappearing earlier subject. References: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753" w:name="latin-record-0512"/>
      <w:bookmarkEnd w:id="753"/>
      <w:r>
        <w:rPr>
          <w:b/>
          <w:i w:val="0"/>
        </w:rPr>
        <w:t>formari</w:t>
      </w:r>
      <w:r>
        <w:rPr>
          <w:b/>
          <w:i w:val="0"/>
        </w:rPr>
        <w:t>.</w:t>
      </w:r>
      <w:r>
        <w:rPr>
          <w:b w:val="0"/>
          <w:i w:val="0"/>
        </w:rPr>
        <w:t xml:space="preserve"> Printed forms: </w:t>
      </w:r>
      <w:r>
        <w:rPr>
          <w:b w:val="0"/>
          <w:i/>
        </w:rPr>
        <w:t>formari non potest</w:t>
      </w:r>
      <w:r>
        <w:rPr>
          <w:b w:val="0"/>
          <w:i w:val="0"/>
        </w:rPr>
        <w:t>.</w:t>
      </w:r>
    </w:p>
    <w:p>
      <w:pPr>
        <w:widowControl/>
      </w:pPr>
      <w:r>
        <w:rPr>
          <w:b w:val="0"/>
          <w:i w:val="0"/>
        </w:rPr>
        <w:t xml:space="preserve">Cannot be formed, insofar as it is form. The statement isolates the formal explanatory aspect; it does not deny that a substantial soul is produced by a higher cause. References: </w:t>
      </w:r>
      <w:hyperlink w:anchor="passage-vi-7-4">
        <w:r>
          <w:rPr>
            <w:color w:val="000000"/>
          </w:rPr>
          <w:t xml:space="preserve">VI.7.4</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754" w:name="latin-record-0513"/>
      <w:bookmarkEnd w:id="754"/>
      <w:r>
        <w:rPr>
          <w:b/>
          <w:i w:val="0"/>
        </w:rPr>
        <w:t>formari a corpore</w:t>
      </w:r>
      <w:r>
        <w:rPr>
          <w:b/>
          <w:i w:val="0"/>
        </w:rPr>
        <w:t>.</w:t>
      </w:r>
      <w:r>
        <w:rPr>
          <w:b w:val="0"/>
          <w:i w:val="0"/>
        </w:rPr>
        <w:t xml:space="preserve"> Printed forms: </w:t>
      </w:r>
      <w:r>
        <w:rPr>
          <w:b w:val="0"/>
          <w:i/>
        </w:rPr>
        <w:t>formatur a corpore</w:t>
      </w:r>
      <w:r>
        <w:rPr>
          <w:b w:val="0"/>
          <w:i w:val="0"/>
        </w:rPr>
        <w:t>.</w:t>
      </w:r>
    </w:p>
    <w:p>
      <w:pPr>
        <w:widowControl/>
      </w:pPr>
      <w:r>
        <w:rPr>
          <w:b w:val="0"/>
          <w:i w:val="0"/>
        </w:rPr>
        <w:t xml:space="preserve">To be shaped or modified by a body. Ficino denies this passive formation of the final judge, while elsewhere retaining cognitive reception of forms without matter. References: </w:t>
      </w:r>
      <w:hyperlink w:anchor="passage-vii-6-3">
        <w:r>
          <w:rPr>
            <w:color w:val="000000"/>
          </w:rPr>
          <w:t xml:space="preserve">VII.6.3</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755" w:name="latin-record-0514"/>
      <w:bookmarkEnd w:id="755"/>
      <w:r>
        <w:rPr>
          <w:b/>
          <w:i w:val="0"/>
        </w:rPr>
        <w:t>forsitan / forsan / fortasse</w:t>
      </w:r>
      <w:r>
        <w:rPr>
          <w:b/>
          <w:i w:val="0"/>
        </w:rPr>
        <w:t>.</w:t>
      </w:r>
      <w:r>
        <w:rPr>
          <w:b w:val="0"/>
          <w:i w:val="0"/>
        </w:rPr>
        <w:t xml:space="preserve"> Printed forms: </w:t>
      </w:r>
      <w:r>
        <w:rPr>
          <w:b w:val="0"/>
          <w:i/>
        </w:rPr>
        <w:t>Forsan</w:t>
      </w:r>
      <w:r>
        <w:rPr>
          <w:b w:val="0"/>
          <w:i w:val="0"/>
        </w:rPr>
        <w:t xml:space="preserve">; </w:t>
      </w:r>
      <w:r>
        <w:rPr>
          <w:b w:val="0"/>
          <w:i/>
        </w:rPr>
        <w:t>forsitan</w:t>
      </w:r>
      <w:r>
        <w:rPr>
          <w:b w:val="0"/>
          <w:i w:val="0"/>
        </w:rPr>
        <w:t xml:space="preserve">; </w:t>
      </w:r>
      <w:r>
        <w:rPr>
          <w:b w:val="0"/>
          <w:i/>
        </w:rPr>
        <w:t>fortasse</w:t>
      </w:r>
      <w:r>
        <w:rPr>
          <w:b w:val="0"/>
          <w:i w:val="0"/>
        </w:rPr>
        <w:t>.</w:t>
      </w:r>
    </w:p>
    <w:p>
      <w:pPr>
        <w:widowControl/>
      </w:pPr>
      <w:r>
        <w:rPr>
          <w:b w:val="0"/>
          <w:i w:val="0"/>
        </w:rPr>
        <w:t xml:space="preserve">Perhaps, marking a proposed possibility rather than an endorsed conclusion. The surface-image account, partition escapes and divided-soul objection are entertained as possibilities to be examined. References: </w:t>
      </w:r>
      <w:hyperlink w:anchor="passage-vii-1-3">
        <w:r>
          <w:rPr>
            <w:color w:val="000000"/>
          </w:rPr>
          <w:t xml:space="preserve">VII.1.3</w:t>
        </w:r>
      </w:hyperlink>
      <w:r>
        <w:rPr>
          <w:b w:val="0"/>
          <w:i w:val="0"/>
        </w:rPr>
        <w:t xml:space="preserve">, </w:t>
      </w:r>
      <w:hyperlink w:anchor="passage-vii-4-2">
        <w:r>
          <w:rPr>
            <w:color w:val="000000"/>
          </w:rPr>
          <w:t xml:space="preserve">VII.4.2</w:t>
        </w:r>
      </w:hyperlink>
      <w:r>
        <w:rPr>
          <w:b w:val="0"/>
          <w:i w:val="0"/>
        </w:rPr>
        <w:t xml:space="preserve">, </w:t>
      </w:r>
      <w:hyperlink w:anchor="passage-vii-5-2">
        <w:r>
          <w:rPr>
            <w:color w:val="000000"/>
          </w:rPr>
          <w:t xml:space="preserve">VII.5.2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756" w:name="latin-record-0515"/>
      <w:bookmarkEnd w:id="756"/>
      <w:r>
        <w:rPr>
          <w:b/>
          <w:i w:val="0"/>
        </w:rPr>
        <w:t>forte / forsitan / si modo</w:t>
      </w:r>
      <w:r>
        <w:rPr>
          <w:b/>
          <w:i w:val="0"/>
        </w:rPr>
        <w:t>.</w:t>
      </w:r>
      <w:r>
        <w:rPr>
          <w:b w:val="0"/>
          <w:i w:val="0"/>
        </w:rPr>
        <w:t xml:space="preserve"> Printed forms: </w:t>
      </w:r>
      <w:r>
        <w:rPr>
          <w:b w:val="0"/>
          <w:i/>
        </w:rPr>
        <w:t>forsitan</w:t>
      </w:r>
      <w:r>
        <w:rPr>
          <w:b w:val="0"/>
          <w:i w:val="0"/>
        </w:rPr>
        <w:t xml:space="preserve">; </w:t>
      </w:r>
      <w:r>
        <w:rPr>
          <w:b w:val="0"/>
          <w:i/>
        </w:rPr>
        <w:t>forte</w:t>
      </w:r>
      <w:r>
        <w:rPr>
          <w:b w:val="0"/>
          <w:i w:val="0"/>
        </w:rPr>
        <w:t xml:space="preserve">; </w:t>
      </w:r>
      <w:r>
        <w:rPr>
          <w:b w:val="0"/>
          <w:i/>
        </w:rPr>
        <w:t>si modo</w:t>
      </w:r>
      <w:r>
        <w:rPr>
          <w:b w:val="0"/>
          <w:i w:val="0"/>
        </w:rPr>
        <w:t>.</w:t>
      </w:r>
    </w:p>
    <w:p>
      <w:pPr>
        <w:widowControl/>
      </w:pPr>
      <w:r>
        <w:rPr>
          <w:b w:val="0"/>
          <w:i w:val="0"/>
        </w:rPr>
        <w:t xml:space="preserve">Perhaps and provided that, marking conjecture or a stated condition. The text qualifies mathematical bodies, the possibility of invented objects and the premise that knowledge matches its object; these are not flat unconditional assertions. References: </w:t>
      </w:r>
      <w:hyperlink w:anchor="passage-viii-2-7">
        <w:r>
          <w:rPr>
            <w:color w:val="000000"/>
          </w:rPr>
          <w:t xml:space="preserve">VIII.2.7</w:t>
        </w:r>
      </w:hyperlink>
      <w:r>
        <w:rPr>
          <w:b w:val="0"/>
          <w:i w:val="0"/>
        </w:rPr>
        <w:t xml:space="preserve">, </w:t>
      </w:r>
      <w:hyperlink w:anchor="passage-viii-4-12">
        <w:r>
          <w:rPr>
            <w:color w:val="000000"/>
          </w:rPr>
          <w:t xml:space="preserve">VIII.4.12</w:t>
        </w:r>
      </w:hyperlink>
      <w:r>
        <w:rPr>
          <w:b w:val="0"/>
          <w:i w:val="0"/>
        </w:rPr>
        <w:t xml:space="preserve">, </w:t>
      </w:r>
      <w:hyperlink w:anchor="passage-viii-4-13">
        <w:r>
          <w:rPr>
            <w:color w:val="000000"/>
          </w:rPr>
          <w:t xml:space="preserve">VIII.4.13</w:t>
        </w:r>
      </w:hyperlink>
      <w:r>
        <w:rPr>
          <w:b w:val="0"/>
          <w:i w:val="0"/>
        </w:rPr>
        <w:t xml:space="preserve">, </w:t>
      </w:r>
      <w:hyperlink w:anchor="passage-viii-16-1">
        <w:r>
          <w:rPr>
            <w:color w:val="000000"/>
          </w:rPr>
          <w:t xml:space="preserve">VIII.16.1</w:t>
        </w:r>
      </w:hyperlink>
      <w:r>
        <w:rPr>
          <w:b w:val="0"/>
          <w:i w:val="0"/>
        </w:rPr>
        <w:t xml:space="preserve">, </w:t>
      </w:r>
      <w:hyperlink w:anchor="passage-viii-16-3">
        <w:r>
          <w:rPr>
            <w:color w:val="000000"/>
          </w:rPr>
          <w:t xml:space="preserve">VIII.16.3</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757" w:name="latin-record-0516"/>
      <w:bookmarkEnd w:id="757"/>
      <w:r>
        <w:rPr>
          <w:b/>
          <w:i w:val="0"/>
        </w:rPr>
        <w:t>fortitudo / timor</w:t>
      </w:r>
      <w:r>
        <w:rPr>
          <w:b/>
          <w:i w:val="0"/>
        </w:rPr>
        <w:t>.</w:t>
      </w:r>
      <w:r>
        <w:rPr>
          <w:b w:val="0"/>
          <w:i w:val="0"/>
        </w:rPr>
        <w:t xml:space="preserve"> Printed forms: </w:t>
      </w:r>
      <w:r>
        <w:rPr>
          <w:b w:val="0"/>
          <w:i/>
        </w:rPr>
        <w:t>formidini</w:t>
      </w:r>
      <w:r>
        <w:rPr>
          <w:b w:val="0"/>
          <w:i w:val="0"/>
        </w:rPr>
        <w:t xml:space="preserve">; </w:t>
      </w:r>
      <w:r>
        <w:rPr>
          <w:b w:val="0"/>
          <w:i/>
        </w:rPr>
        <w:t>fortis</w:t>
      </w:r>
      <w:r>
        <w:rPr>
          <w:b w:val="0"/>
          <w:i w:val="0"/>
        </w:rPr>
        <w:t xml:space="preserve">; </w:t>
      </w:r>
      <w:r>
        <w:rPr>
          <w:b w:val="0"/>
          <w:i/>
        </w:rPr>
        <w:t>fortiter</w:t>
      </w:r>
      <w:r>
        <w:rPr>
          <w:b w:val="0"/>
          <w:i w:val="0"/>
        </w:rPr>
        <w:t xml:space="preserve">; </w:t>
      </w:r>
      <w:r>
        <w:rPr>
          <w:b w:val="0"/>
          <w:i/>
        </w:rPr>
        <w:t>fortitudo</w:t>
      </w:r>
      <w:r>
        <w:rPr>
          <w:b w:val="0"/>
          <w:i w:val="0"/>
        </w:rPr>
        <w:t xml:space="preserve">; </w:t>
      </w:r>
      <w:r>
        <w:rPr>
          <w:b w:val="0"/>
          <w:i/>
        </w:rPr>
        <w:t>metus</w:t>
      </w:r>
      <w:r>
        <w:rPr>
          <w:b w:val="0"/>
          <w:i w:val="0"/>
        </w:rPr>
        <w:t xml:space="preserve">; </w:t>
      </w:r>
      <w:r>
        <w:rPr>
          <w:b w:val="0"/>
          <w:i/>
        </w:rPr>
        <w:t>timeat</w:t>
      </w:r>
      <w:r>
        <w:rPr>
          <w:b w:val="0"/>
          <w:i w:val="0"/>
        </w:rPr>
        <w:t xml:space="preserve">; </w:t>
      </w:r>
      <w:r>
        <w:rPr>
          <w:b w:val="0"/>
          <w:i/>
        </w:rPr>
        <w:t>timoris</w:t>
      </w:r>
      <w:r>
        <w:rPr>
          <w:b w:val="0"/>
          <w:i w:val="0"/>
        </w:rPr>
        <w:t>.</w:t>
      </w:r>
    </w:p>
    <w:p>
      <w:pPr>
        <w:widowControl/>
      </w:pPr>
      <w:r>
        <w:rPr>
          <w:b w:val="0"/>
          <w:i w:val="0"/>
        </w:rPr>
        <w:t xml:space="preserve">Courage, fear and the obstacles fear presents to honourable action. Courage removes an impediment; perfected justice and temperance also require resistance to fear, illustrating the virtues’ mutual dependence. References: </w:t>
      </w:r>
      <w:hyperlink w:anchor="passage-viii-3-1">
        <w:r>
          <w:rPr>
            <w:color w:val="000000"/>
          </w:rPr>
          <w:t xml:space="preserve">VIII.3.1</w:t>
        </w:r>
      </w:hyperlink>
      <w:r>
        <w:rPr>
          <w:b w:val="0"/>
          <w:i w:val="0"/>
        </w:rPr>
        <w:t xml:space="preserve">, </w:t>
      </w:r>
      <w:hyperlink w:anchor="passage-viii-3-7">
        <w:r>
          <w:rPr>
            <w:color w:val="000000"/>
          </w:rPr>
          <w:t xml:space="preserve">VIII.3.7</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758" w:name="latin-record-0517"/>
      <w:bookmarkEnd w:id="758"/>
      <w:r>
        <w:rPr>
          <w:b/>
          <w:i w:val="0"/>
        </w:rPr>
        <w:t>fovere</w:t>
      </w:r>
      <w:r>
        <w:rPr>
          <w:b/>
          <w:i w:val="0"/>
        </w:rPr>
        <w:t>.</w:t>
      </w:r>
      <w:r>
        <w:rPr>
          <w:b w:val="0"/>
          <w:i w:val="0"/>
        </w:rPr>
        <w:t xml:space="preserve"> Printed forms: </w:t>
      </w:r>
      <w:r>
        <w:rPr>
          <w:b w:val="0"/>
          <w:i/>
        </w:rPr>
        <w:t>foveretur</w:t>
      </w:r>
      <w:r>
        <w:rPr>
          <w:b w:val="0"/>
          <w:i w:val="0"/>
        </w:rPr>
        <w:t>.</w:t>
      </w:r>
    </w:p>
    <w:p>
      <w:pPr>
        <w:widowControl/>
      </w:pPr>
      <w:r>
        <w:rPr>
          <w:b w:val="0"/>
          <w:i w:val="0"/>
        </w:rPr>
        <w:t xml:space="preserve">To cherish, warm or sustain. Heat persists only while supported in matter’s bosom, so expulsion removes the condition of its being. References: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759" w:name="latin-record-0518"/>
      <w:bookmarkEnd w:id="759"/>
      <w:r>
        <w:rPr>
          <w:b/>
          <w:i w:val="0"/>
        </w:rPr>
        <w:t>frangere</w:t>
      </w:r>
      <w:r>
        <w:rPr>
          <w:b/>
          <w:i w:val="0"/>
        </w:rPr>
        <w:t>.</w:t>
      </w:r>
      <w:r>
        <w:rPr>
          <w:b w:val="0"/>
          <w:i w:val="0"/>
        </w:rPr>
        <w:t xml:space="preserve"> Printed forms: </w:t>
      </w:r>
      <w:r>
        <w:rPr>
          <w:b w:val="0"/>
          <w:i/>
        </w:rPr>
        <w:t>frangeret frangereturque</w:t>
      </w:r>
      <w:r>
        <w:rPr>
          <w:b w:val="0"/>
          <w:i w:val="0"/>
        </w:rPr>
        <w:t>.</w:t>
      </w:r>
    </w:p>
    <w:p>
      <w:pPr>
        <w:widowControl/>
      </w:pPr>
      <w:r>
        <w:rPr>
          <w:b w:val="0"/>
          <w:i w:val="0"/>
        </w:rPr>
        <w:t xml:space="preserve">To break and be broken reciprocally. A solid soul filling the whole body would injure it and itself, the opposed side of the painless-presence test. References: </w:t>
      </w:r>
      <w:hyperlink w:anchor="passage-vi-9-4">
        <w:r>
          <w:rPr>
            <w:color w:val="000000"/>
          </w:rPr>
          <w:t xml:space="preserve">VI.9.4</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760" w:name="latin-record-0519"/>
      <w:bookmarkEnd w:id="760"/>
      <w:r>
        <w:rPr>
          <w:b/>
          <w:i w:val="0"/>
        </w:rPr>
        <w:t>frangere / discindere / solvere / contrahere</w:t>
      </w:r>
      <w:r>
        <w:rPr>
          <w:b/>
          <w:i w:val="0"/>
        </w:rPr>
        <w:t>.</w:t>
      </w:r>
      <w:r>
        <w:rPr>
          <w:b w:val="0"/>
          <w:i w:val="0"/>
        </w:rPr>
        <w:t xml:space="preserve"> Printed forms: </w:t>
      </w:r>
      <w:r>
        <w:rPr>
          <w:b w:val="0"/>
          <w:i/>
        </w:rPr>
        <w:t>contractio</w:t>
      </w:r>
      <w:r>
        <w:rPr>
          <w:b w:val="0"/>
          <w:i w:val="0"/>
        </w:rPr>
        <w:t xml:space="preserve">; </w:t>
      </w:r>
      <w:r>
        <w:rPr>
          <w:b w:val="0"/>
          <w:i/>
        </w:rPr>
        <w:t>contrahatur</w:t>
      </w:r>
      <w:r>
        <w:rPr>
          <w:b w:val="0"/>
          <w:i w:val="0"/>
        </w:rPr>
        <w:t xml:space="preserve">; </w:t>
      </w:r>
      <w:r>
        <w:rPr>
          <w:b w:val="0"/>
          <w:i/>
        </w:rPr>
        <w:t>contrahitur</w:t>
      </w:r>
      <w:r>
        <w:rPr>
          <w:b w:val="0"/>
          <w:i w:val="0"/>
        </w:rPr>
        <w:t xml:space="preserve">; </w:t>
      </w:r>
      <w:r>
        <w:rPr>
          <w:b w:val="0"/>
          <w:i/>
        </w:rPr>
        <w:t>discindi</w:t>
      </w:r>
      <w:r>
        <w:rPr>
          <w:b w:val="0"/>
          <w:i w:val="0"/>
        </w:rPr>
        <w:t xml:space="preserve">; </w:t>
      </w:r>
      <w:r>
        <w:rPr>
          <w:b w:val="0"/>
          <w:i/>
        </w:rPr>
        <w:t>dissolvitur</w:t>
      </w:r>
      <w:r>
        <w:rPr>
          <w:b w:val="0"/>
          <w:i w:val="0"/>
        </w:rPr>
        <w:t xml:space="preserve">; </w:t>
      </w:r>
      <w:r>
        <w:rPr>
          <w:b w:val="0"/>
          <w:i/>
        </w:rPr>
        <w:t>frangitur</w:t>
      </w:r>
      <w:r>
        <w:rPr>
          <w:b w:val="0"/>
          <w:i w:val="0"/>
        </w:rPr>
        <w:t xml:space="preserve">; </w:t>
      </w:r>
      <w:r>
        <w:rPr>
          <w:b w:val="0"/>
          <w:i/>
        </w:rPr>
        <w:t>soluta</w:t>
      </w:r>
      <w:r>
        <w:rPr>
          <w:b w:val="0"/>
          <w:i w:val="0"/>
        </w:rPr>
        <w:t xml:space="preserve">; </w:t>
      </w:r>
      <w:r>
        <w:rPr>
          <w:b w:val="0"/>
          <w:i/>
        </w:rPr>
        <w:t>solutio</w:t>
      </w:r>
      <w:r>
        <w:rPr>
          <w:b w:val="0"/>
          <w:i w:val="0"/>
        </w:rPr>
        <w:t xml:space="preserve">; </w:t>
      </w:r>
      <w:r>
        <w:rPr>
          <w:b w:val="0"/>
          <w:i/>
        </w:rPr>
        <w:t>solvatur</w:t>
      </w:r>
      <w:r>
        <w:rPr>
          <w:b w:val="0"/>
          <w:i w:val="0"/>
        </w:rPr>
        <w:t xml:space="preserve">; </w:t>
      </w:r>
      <w:r>
        <w:rPr>
          <w:b w:val="0"/>
          <w:i/>
        </w:rPr>
        <w:t>suffusus</w:t>
      </w:r>
      <w:r>
        <w:rPr>
          <w:b w:val="0"/>
          <w:i w:val="0"/>
        </w:rPr>
        <w:t>.</w:t>
      </w:r>
    </w:p>
    <w:p>
      <w:pPr>
        <w:widowControl/>
      </w:pPr>
      <w:r>
        <w:rPr>
          <w:b w:val="0"/>
          <w:i w:val="0"/>
        </w:rPr>
        <w:t xml:space="preserve">To break, sever, loosen and contract. Flesh is cut and bodily spirit loosens or retreats inward; these material alterations are not passed unchanged into soul’s substance. References: </w:t>
      </w:r>
      <w:hyperlink w:anchor="passage-vii-6-1">
        <w:r>
          <w:rPr>
            <w:color w:val="000000"/>
          </w:rPr>
          <w:t xml:space="preserve">VII.6.1</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761" w:name="latin-record-0520"/>
      <w:bookmarkEnd w:id="761"/>
      <w:r>
        <w:rPr>
          <w:b/>
          <w:i w:val="0"/>
        </w:rPr>
        <w:t>frangere / recreare</w:t>
      </w:r>
      <w:r>
        <w:rPr>
          <w:b/>
          <w:i w:val="0"/>
        </w:rPr>
        <w:t>.</w:t>
      </w:r>
      <w:r>
        <w:rPr>
          <w:b w:val="0"/>
          <w:i w:val="0"/>
        </w:rPr>
        <w:t xml:space="preserve"> Printed forms: </w:t>
      </w:r>
      <w:r>
        <w:rPr>
          <w:b w:val="0"/>
          <w:i/>
        </w:rPr>
        <w:t>fregeris</w:t>
      </w:r>
      <w:r>
        <w:rPr>
          <w:b w:val="0"/>
          <w:i w:val="0"/>
        </w:rPr>
        <w:t xml:space="preserve">; </w:t>
      </w:r>
      <w:r>
        <w:rPr>
          <w:b w:val="0"/>
          <w:i/>
        </w:rPr>
        <w:t>recreantur</w:t>
      </w:r>
      <w:r>
        <w:rPr>
          <w:b w:val="0"/>
          <w:i w:val="0"/>
        </w:rPr>
        <w:t>.</w:t>
      </w:r>
    </w:p>
    <w:p>
      <w:pPr>
        <w:widowControl/>
      </w:pPr>
      <w:r>
        <w:rPr>
          <w:b w:val="0"/>
          <w:i w:val="0"/>
        </w:rPr>
        <w:t xml:space="preserve">To break and to create anew. A broken mirror produces two new images after the first disappears; its original image is not itself cut in two.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762" w:name="latin-record-0521"/>
      <w:bookmarkEnd w:id="762"/>
      <w:r>
        <w:rPr>
          <w:b/>
          <w:i w:val="0"/>
        </w:rPr>
        <w:t>frangere / reparare</w:t>
      </w:r>
      <w:r>
        <w:rPr>
          <w:b/>
          <w:i w:val="0"/>
        </w:rPr>
        <w:t>.</w:t>
      </w:r>
      <w:r>
        <w:rPr>
          <w:b w:val="0"/>
          <w:i w:val="0"/>
        </w:rPr>
        <w:t xml:space="preserve"> Printed forms: </w:t>
      </w:r>
      <w:r>
        <w:rPr>
          <w:b w:val="0"/>
          <w:i/>
        </w:rPr>
        <w:t>fractis</w:t>
      </w:r>
      <w:r>
        <w:rPr>
          <w:b w:val="0"/>
          <w:i w:val="0"/>
        </w:rPr>
        <w:t xml:space="preserve">; </w:t>
      </w:r>
      <w:r>
        <w:rPr>
          <w:b w:val="0"/>
          <w:i/>
        </w:rPr>
        <w:t>reparentur</w:t>
      </w:r>
      <w:r>
        <w:rPr>
          <w:b w:val="0"/>
          <w:i w:val="0"/>
        </w:rPr>
        <w:t>.</w:t>
      </w:r>
    </w:p>
    <w:p>
      <w:pPr>
        <w:widowControl/>
      </w:pPr>
      <w:r>
        <w:rPr>
          <w:b w:val="0"/>
          <w:i w:val="0"/>
        </w:rPr>
        <w:t xml:space="preserve">To break and to make or repair again. The pot’s form is lost in breakage, yet the surviving clay permits another vessel, illustrating material persistence. References: </w:t>
      </w:r>
      <w:hyperlink w:anchor="passage-v-4-1">
        <w:r>
          <w:rPr>
            <w:color w:val="000000"/>
          </w:rPr>
          <w:t xml:space="preserve">V.4.1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763" w:name="latin-record-0522"/>
      <w:bookmarkEnd w:id="763"/>
      <w:r>
        <w:rPr>
          <w:b/>
          <w:i w:val="0"/>
        </w:rPr>
        <w:t>frangere; inficere</w:t>
      </w:r>
      <w:r>
        <w:rPr>
          <w:b/>
          <w:i w:val="0"/>
        </w:rPr>
        <w:t>.</w:t>
      </w:r>
      <w:r>
        <w:rPr>
          <w:b w:val="0"/>
          <w:i w:val="0"/>
        </w:rPr>
        <w:t xml:space="preserve"> Printed forms: </w:t>
      </w:r>
      <w:r>
        <w:rPr>
          <w:b w:val="0"/>
          <w:i/>
        </w:rPr>
        <w:t>frangit</w:t>
      </w:r>
      <w:r>
        <w:rPr>
          <w:b w:val="0"/>
          <w:i w:val="0"/>
        </w:rPr>
        <w:t xml:space="preserve">; </w:t>
      </w:r>
      <w:r>
        <w:rPr>
          <w:b w:val="0"/>
          <w:i/>
        </w:rPr>
        <w:t>inficitur</w:t>
      </w:r>
      <w:r>
        <w:rPr>
          <w:b w:val="0"/>
          <w:i w:val="0"/>
        </w:rPr>
        <w:t>.</w:t>
      </w:r>
    </w:p>
    <w:p>
      <w:pPr>
        <w:widowControl/>
      </w:pPr>
      <w:r>
        <w:rPr>
          <w:b w:val="0"/>
          <w:i w:val="0"/>
        </w:rPr>
        <w:t xml:space="preserve">To shatter and to be stained or affected by admixture. Light is said to penetrate bodies without either breaking them or receiving contamination. References: </w:t>
      </w:r>
      <w:hyperlink w:anchor="passage-vi-2-22">
        <w:r>
          <w:rPr>
            <w:color w:val="000000"/>
          </w:rPr>
          <w:t xml:space="preserve">VI.2.22</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764" w:name="latin-record-0523"/>
      <w:bookmarkEnd w:id="764"/>
      <w:r>
        <w:rPr>
          <w:b/>
          <w:i w:val="0"/>
        </w:rPr>
        <w:t>frigefieri; scaturire</w:t>
      </w:r>
      <w:r>
        <w:rPr>
          <w:b/>
          <w:i w:val="0"/>
        </w:rPr>
        <w:t>.</w:t>
      </w:r>
      <w:r>
        <w:rPr>
          <w:b w:val="0"/>
          <w:i w:val="0"/>
        </w:rPr>
        <w:t xml:space="preserve"> Printed forms: </w:t>
      </w:r>
      <w:r>
        <w:rPr>
          <w:b w:val="0"/>
          <w:i/>
        </w:rPr>
        <w:t>frigefieri</w:t>
      </w:r>
      <w:r>
        <w:rPr>
          <w:b w:val="0"/>
          <w:i w:val="0"/>
        </w:rPr>
        <w:t xml:space="preserve">; </w:t>
      </w:r>
      <w:r>
        <w:rPr>
          <w:b w:val="0"/>
          <w:i/>
        </w:rPr>
        <w:t>scaturiat</w:t>
      </w:r>
      <w:r>
        <w:rPr>
          <w:b w:val="0"/>
          <w:i w:val="0"/>
        </w:rPr>
        <w:t>.</w:t>
      </w:r>
    </w:p>
    <w:p>
      <w:pPr>
        <w:widowControl/>
      </w:pPr>
      <w:r>
        <w:rPr>
          <w:b w:val="0"/>
          <w:i w:val="0"/>
        </w:rPr>
        <w:t xml:space="preserve">To be cooled and to spring forth from a source. Cooling may be external; alternatively productive quality flows from power and ultimately incorporeal substance in the Platonist reply. References: </w:t>
      </w:r>
      <w:hyperlink w:anchor="passage-vi-12-13">
        <w:r>
          <w:rPr>
            <w:color w:val="000000"/>
          </w:rPr>
          <w:t xml:space="preserve">VI.12.13</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765" w:name="latin-record-0524"/>
      <w:bookmarkEnd w:id="765"/>
      <w:r>
        <w:rPr>
          <w:b/>
          <w:i w:val="0"/>
        </w:rPr>
        <w:t>frigiditas / frigus</w:t>
      </w:r>
      <w:r>
        <w:rPr>
          <w:b/>
          <w:i w:val="0"/>
        </w:rPr>
        <w:t>.</w:t>
      </w:r>
      <w:r>
        <w:rPr>
          <w:b w:val="0"/>
          <w:i w:val="0"/>
        </w:rPr>
        <w:t xml:space="preserve"> Printed forms: </w:t>
      </w:r>
      <w:r>
        <w:rPr>
          <w:b w:val="0"/>
          <w:i/>
        </w:rPr>
        <w:t>frigiditas</w:t>
      </w:r>
      <w:r>
        <w:rPr>
          <w:b w:val="0"/>
          <w:i w:val="0"/>
        </w:rPr>
        <w:t xml:space="preserve">; </w:t>
      </w:r>
      <w:r>
        <w:rPr>
          <w:b w:val="0"/>
          <w:i/>
        </w:rPr>
        <w:t>frigiditatem</w:t>
      </w:r>
      <w:r>
        <w:rPr>
          <w:b w:val="0"/>
          <w:i w:val="0"/>
        </w:rPr>
        <w:t xml:space="preserve">; </w:t>
      </w:r>
      <w:r>
        <w:rPr>
          <w:b w:val="0"/>
          <w:i/>
        </w:rPr>
        <w:t>frigore</w:t>
      </w:r>
      <w:r>
        <w:rPr>
          <w:b w:val="0"/>
          <w:i w:val="0"/>
        </w:rPr>
        <w:t xml:space="preserve">; </w:t>
      </w:r>
      <w:r>
        <w:rPr>
          <w:b w:val="0"/>
          <w:i/>
        </w:rPr>
        <w:t>frigus</w:t>
      </w:r>
      <w:r>
        <w:rPr>
          <w:b w:val="0"/>
          <w:i w:val="0"/>
        </w:rPr>
        <w:t>.</w:t>
      </w:r>
    </w:p>
    <w:p>
      <w:pPr>
        <w:widowControl/>
      </w:pPr>
      <w:r>
        <w:rPr>
          <w:b w:val="0"/>
          <w:i w:val="0"/>
        </w:rPr>
        <w:t xml:space="preserve">Coldness or cold, a contrary to heat within the elemental model. Cold may replace heat in matter, but cannot become a cold heat or cold fire that retains the original form. References: </w:t>
      </w:r>
      <w:hyperlink w:anchor="passage-v-4-1">
        <w:r>
          <w:rPr>
            <w:color w:val="000000"/>
          </w:rPr>
          <w:t xml:space="preserve">V.4.1</w:t>
        </w:r>
      </w:hyperlink>
      <w:r>
        <w:rPr>
          <w:b w:val="0"/>
          <w:i w:val="0"/>
        </w:rPr>
        <w:t xml:space="preserve">, </w:t>
      </w:r>
      <w:hyperlink w:anchor="passage-v-4-3">
        <w:r>
          <w:rPr>
            <w:color w:val="000000"/>
          </w:rPr>
          <w:t xml:space="preserve">V.4.3</w:t>
        </w:r>
      </w:hyperlink>
      <w:r>
        <w:rPr>
          <w:b w:val="0"/>
          <w:i w:val="0"/>
        </w:rPr>
        <w:t xml:space="preserve">, </w:t>
      </w:r>
      <w:hyperlink w:anchor="passage-v-8-2">
        <w:r>
          <w:rPr>
            <w:color w:val="000000"/>
          </w:rPr>
          <w:t xml:space="preserve">V.8.2</w:t>
        </w:r>
      </w:hyperlink>
      <w:r>
        <w:rPr>
          <w:b w:val="0"/>
          <w:i w:val="0"/>
        </w:rPr>
        <w:t xml:space="preserve">, </w:t>
      </w:r>
      <w:hyperlink w:anchor="passage-v-14-4">
        <w:r>
          <w:rPr>
            <w:color w:val="000000"/>
          </w:rPr>
          <w:t xml:space="preserve">V.14.4</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766" w:name="latin-record-0525"/>
      <w:bookmarkEnd w:id="766"/>
      <w:r>
        <w:rPr>
          <w:b/>
          <w:i w:val="0"/>
        </w:rPr>
        <w:t>frigiditas secundum virtutem</w:t>
      </w:r>
      <w:r>
        <w:rPr>
          <w:b/>
          <w:i w:val="0"/>
        </w:rPr>
        <w:t>.</w:t>
      </w:r>
      <w:r>
        <w:rPr>
          <w:b w:val="0"/>
          <w:i w:val="0"/>
        </w:rPr>
        <w:t xml:space="preserve"> Printed forms: </w:t>
      </w:r>
      <w:r>
        <w:rPr>
          <w:b w:val="0"/>
          <w:i/>
        </w:rPr>
        <w:t>frigiditatem quandam secundum virtutem</w:t>
      </w:r>
      <w:r>
        <w:rPr>
          <w:b w:val="0"/>
          <w:i w:val="0"/>
        </w:rPr>
        <w:t xml:space="preserve">; </w:t>
      </w:r>
      <w:r>
        <w:rPr>
          <w:b w:val="0"/>
          <w:i/>
        </w:rPr>
        <w:t>frigiditatem secundum actum</w:t>
      </w:r>
      <w:r>
        <w:rPr>
          <w:b w:val="0"/>
          <w:i w:val="0"/>
        </w:rPr>
        <w:t>.</w:t>
      </w:r>
    </w:p>
    <w:p>
      <w:pPr>
        <w:widowControl/>
      </w:pPr>
      <w:r>
        <w:rPr>
          <w:b w:val="0"/>
          <w:i w:val="0"/>
        </w:rPr>
        <w:t xml:space="preserve">Coldness virtually in a productive power versus coldness actually present. The water objection preserves a native power after heating; the reply distinguishes that power from actual quality and its substantial source. References: </w:t>
      </w:r>
      <w:hyperlink w:anchor="passage-vi-12-13">
        <w:r>
          <w:rPr>
            <w:color w:val="000000"/>
          </w:rPr>
          <w:t xml:space="preserve">VI.12.13</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767" w:name="latin-record-0526"/>
      <w:bookmarkEnd w:id="767"/>
      <w:r>
        <w:rPr>
          <w:b/>
          <w:i w:val="0"/>
        </w:rPr>
        <w:t>frui</w:t>
      </w:r>
      <w:r>
        <w:rPr>
          <w:b/>
          <w:i w:val="0"/>
        </w:rPr>
        <w:t>.</w:t>
      </w:r>
      <w:r>
        <w:rPr>
          <w:b w:val="0"/>
          <w:i w:val="0"/>
        </w:rPr>
        <w:t xml:space="preserve"> Printed forms: </w:t>
      </w:r>
      <w:r>
        <w:rPr>
          <w:b w:val="0"/>
          <w:i/>
        </w:rPr>
        <w:t>fruitur</w:t>
      </w:r>
      <w:r>
        <w:rPr>
          <w:b w:val="0"/>
          <w:i w:val="0"/>
        </w:rPr>
        <w:t>.</w:t>
      </w:r>
    </w:p>
    <w:p>
      <w:pPr>
        <w:widowControl/>
      </w:pPr>
      <w:r>
        <w:rPr>
          <w:b w:val="0"/>
          <w:i w:val="0"/>
        </w:rPr>
        <w:t xml:space="preserve">To enjoy or find fulfillment in an attained object. Ficino links intellectual perfection with truer understanding, calmer desire and fuller, safer enjoyment. References: </w:t>
      </w:r>
      <w:hyperlink w:anchor="passage-v-15-18">
        <w:r>
          <w:rPr>
            <w:color w:val="000000"/>
          </w:rPr>
          <w:t xml:space="preserve">V.15.18</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768" w:name="latin-record-0527"/>
      <w:bookmarkEnd w:id="768"/>
      <w:r>
        <w:rPr>
          <w:b/>
          <w:i w:val="0"/>
        </w:rPr>
        <w:t>frustum / secare</w:t>
      </w:r>
      <w:r>
        <w:rPr>
          <w:b/>
          <w:i w:val="0"/>
        </w:rPr>
        <w:t>.</w:t>
      </w:r>
      <w:r>
        <w:rPr>
          <w:b w:val="0"/>
          <w:i w:val="0"/>
        </w:rPr>
        <w:t xml:space="preserve"> Printed forms: </w:t>
      </w:r>
      <w:r>
        <w:rPr>
          <w:b w:val="0"/>
          <w:i/>
        </w:rPr>
        <w:t>frusta</w:t>
      </w:r>
      <w:r>
        <w:rPr>
          <w:b w:val="0"/>
          <w:i w:val="0"/>
        </w:rPr>
        <w:t xml:space="preserve">; </w:t>
      </w:r>
      <w:r>
        <w:rPr>
          <w:b w:val="0"/>
          <w:i/>
        </w:rPr>
        <w:t>frustis</w:t>
      </w:r>
      <w:r>
        <w:rPr>
          <w:b w:val="0"/>
          <w:i w:val="0"/>
        </w:rPr>
        <w:t xml:space="preserve">; </w:t>
      </w:r>
      <w:r>
        <w:rPr>
          <w:b w:val="0"/>
          <w:i/>
        </w:rPr>
        <w:t>secantur</w:t>
      </w:r>
      <w:r>
        <w:rPr>
          <w:b w:val="0"/>
          <w:i w:val="0"/>
        </w:rPr>
        <w:t xml:space="preserve">; </w:t>
      </w:r>
      <w:r>
        <w:rPr>
          <w:b w:val="0"/>
          <w:i/>
        </w:rPr>
        <w:t>secari</w:t>
      </w:r>
      <w:r>
        <w:rPr>
          <w:b w:val="0"/>
          <w:i w:val="0"/>
        </w:rPr>
        <w:t xml:space="preserve">; </w:t>
      </w:r>
      <w:r>
        <w:rPr>
          <w:b w:val="0"/>
          <w:i/>
        </w:rPr>
        <w:t>secatur</w:t>
      </w:r>
      <w:r>
        <w:rPr>
          <w:b w:val="0"/>
          <w:i w:val="0"/>
        </w:rPr>
        <w:t xml:space="preserve">; </w:t>
      </w:r>
      <w:r>
        <w:rPr>
          <w:b w:val="0"/>
          <w:i/>
        </w:rPr>
        <w:t>secetur</w:t>
      </w:r>
      <w:r>
        <w:rPr>
          <w:b w:val="0"/>
          <w:i w:val="0"/>
        </w:rPr>
        <w:t>.</w:t>
      </w:r>
    </w:p>
    <w:p>
      <w:pPr>
        <w:widowControl/>
      </w:pPr>
      <w:r>
        <w:rPr>
          <w:b w:val="0"/>
          <w:i w:val="0"/>
        </w:rPr>
        <w:t xml:space="preserve">A cut fragment and the action of severing. Moving animal fragments motivate the objection that dividing body seems to divide soul.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769" w:name="latin-record-0528"/>
      <w:bookmarkEnd w:id="769"/>
      <w:r>
        <w:rPr>
          <w:b/>
          <w:i w:val="0"/>
        </w:rPr>
        <w:t>frustum; secare</w:t>
      </w:r>
      <w:r>
        <w:rPr>
          <w:b/>
          <w:i w:val="0"/>
        </w:rPr>
        <w:t>.</w:t>
      </w:r>
      <w:r>
        <w:rPr>
          <w:b w:val="0"/>
          <w:i w:val="0"/>
        </w:rPr>
        <w:t xml:space="preserve"> Printed forms: </w:t>
      </w:r>
      <w:r>
        <w:rPr>
          <w:b w:val="0"/>
          <w:i/>
        </w:rPr>
        <w:t>frusta</w:t>
      </w:r>
      <w:r>
        <w:rPr>
          <w:b w:val="0"/>
          <w:i w:val="0"/>
        </w:rPr>
        <w:t xml:space="preserve">; </w:t>
      </w:r>
      <w:r>
        <w:rPr>
          <w:b w:val="0"/>
          <w:i/>
        </w:rPr>
        <w:t>membris sectis</w:t>
      </w:r>
      <w:r>
        <w:rPr>
          <w:b w:val="0"/>
          <w:i w:val="0"/>
        </w:rPr>
        <w:t>.</w:t>
      </w:r>
    </w:p>
    <w:p>
      <w:pPr>
        <w:widowControl/>
      </w:pPr>
      <w:r>
        <w:rPr>
          <w:b w:val="0"/>
          <w:i w:val="0"/>
        </w:rPr>
        <w:t xml:space="preserve">A severed piece and cut members. The reductio assumes soul is body, then asks why each bodily piece would not retain a little soul. References: </w:t>
      </w:r>
      <w:hyperlink w:anchor="passage-vi-13-1">
        <w:r>
          <w:rPr>
            <w:color w:val="000000"/>
          </w:rPr>
          <w:t xml:space="preserve">VI.13.1</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770" w:name="latin-record-0529"/>
      <w:bookmarkEnd w:id="770"/>
      <w:r>
        <w:rPr>
          <w:b/>
          <w:i w:val="0"/>
        </w:rPr>
        <w:t>fugare / fugere</w:t>
      </w:r>
      <w:r>
        <w:rPr>
          <w:b/>
          <w:i w:val="0"/>
        </w:rPr>
        <w:t>.</w:t>
      </w:r>
      <w:r>
        <w:rPr>
          <w:b w:val="0"/>
          <w:i w:val="0"/>
        </w:rPr>
        <w:t xml:space="preserve"> Printed forms: </w:t>
      </w:r>
      <w:r>
        <w:rPr>
          <w:b w:val="0"/>
          <w:i/>
        </w:rPr>
        <w:t>fugant</w:t>
      </w:r>
      <w:r>
        <w:rPr>
          <w:b w:val="0"/>
          <w:i w:val="0"/>
        </w:rPr>
        <w:t xml:space="preserve">; </w:t>
      </w:r>
      <w:r>
        <w:rPr>
          <w:b w:val="0"/>
          <w:i/>
        </w:rPr>
        <w:t>fugatur</w:t>
      </w:r>
      <w:r>
        <w:rPr>
          <w:b w:val="0"/>
          <w:i w:val="0"/>
        </w:rPr>
        <w:t xml:space="preserve">; </w:t>
      </w:r>
      <w:r>
        <w:rPr>
          <w:b w:val="0"/>
          <w:i/>
        </w:rPr>
        <w:t>fugiunt</w:t>
      </w:r>
      <w:r>
        <w:rPr>
          <w:b w:val="0"/>
          <w:i w:val="0"/>
        </w:rPr>
        <w:t>.</w:t>
      </w:r>
    </w:p>
    <w:p>
      <w:pPr>
        <w:widowControl/>
      </w:pPr>
      <w:r>
        <w:rPr>
          <w:b w:val="0"/>
          <w:i w:val="0"/>
        </w:rPr>
        <w:t xml:space="preserve">To drive away and to flee, contrasting active expulsion with withdrawal. Opposed qualities reject one another, but common matter brings them together and permits a dependent form’s expulsion. References: </w:t>
      </w:r>
      <w:hyperlink w:anchor="passage-v-8-2">
        <w:r>
          <w:rPr>
            <w:color w:val="000000"/>
          </w:rPr>
          <w:t xml:space="preserve">V.8.2</w:t>
        </w:r>
      </w:hyperlink>
      <w:r>
        <w:rPr>
          <w:b w:val="0"/>
          <w:i w:val="0"/>
        </w:rPr>
        <w:t xml:space="preserve">,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771" w:name="latin-record-0530"/>
      <w:bookmarkEnd w:id="771"/>
      <w:r>
        <w:rPr>
          <w:b/>
          <w:i w:val="0"/>
        </w:rPr>
        <w:t>fugere / fugare</w:t>
      </w:r>
      <w:r>
        <w:rPr>
          <w:b/>
          <w:i w:val="0"/>
        </w:rPr>
        <w:t>.</w:t>
      </w:r>
      <w:r>
        <w:rPr>
          <w:b w:val="0"/>
          <w:i w:val="0"/>
        </w:rPr>
        <w:t xml:space="preserve"> Printed forms: </w:t>
      </w:r>
      <w:r>
        <w:rPr>
          <w:b w:val="0"/>
          <w:i/>
        </w:rPr>
        <w:t>fugat</w:t>
      </w:r>
      <w:r>
        <w:rPr>
          <w:b w:val="0"/>
          <w:i w:val="0"/>
        </w:rPr>
        <w:t xml:space="preserve">; </w:t>
      </w:r>
      <w:r>
        <w:rPr>
          <w:b w:val="0"/>
          <w:i/>
        </w:rPr>
        <w:t>fugit</w:t>
      </w:r>
      <w:r>
        <w:rPr>
          <w:b w:val="0"/>
          <w:i w:val="0"/>
        </w:rPr>
        <w:t>.</w:t>
      </w:r>
    </w:p>
    <w:p>
      <w:pPr>
        <w:widowControl/>
      </w:pPr>
      <w:r>
        <w:rPr>
          <w:b w:val="0"/>
          <w:i w:val="0"/>
        </w:rPr>
        <w:t xml:space="preserve">To flee and to put to flight, deliberately contrasted verbs. Contemplative virtue withdraws from mortal things; moral virtue actively repels their disordered rule. The Latin assigns distinct roles. References: </w:t>
      </w:r>
      <w:hyperlink w:anchor="passage-viii-3-8">
        <w:r>
          <w:rPr>
            <w:color w:val="000000"/>
          </w:rPr>
          <w:t xml:space="preserve">VIII.3.8</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772" w:name="latin-record-0531"/>
      <w:bookmarkEnd w:id="772"/>
      <w:r>
        <w:rPr>
          <w:b/>
          <w:i w:val="0"/>
        </w:rPr>
        <w:t>fulgor; splendor</w:t>
      </w:r>
      <w:r>
        <w:rPr>
          <w:b/>
          <w:i w:val="0"/>
        </w:rPr>
        <w:t>.</w:t>
      </w:r>
      <w:r>
        <w:rPr>
          <w:b w:val="0"/>
          <w:i w:val="0"/>
        </w:rPr>
        <w:t xml:space="preserve"> Printed forms: </w:t>
      </w:r>
      <w:r>
        <w:rPr>
          <w:b w:val="0"/>
          <w:i/>
        </w:rPr>
        <w:t>fulgor</w:t>
      </w:r>
      <w:r>
        <w:rPr>
          <w:b w:val="0"/>
          <w:i w:val="0"/>
        </w:rPr>
        <w:t xml:space="preserve">; </w:t>
      </w:r>
      <w:r>
        <w:rPr>
          <w:b w:val="0"/>
          <w:i/>
        </w:rPr>
        <w:t>splendor</w:t>
      </w:r>
      <w:r>
        <w:rPr>
          <w:b w:val="0"/>
          <w:i w:val="0"/>
        </w:rPr>
        <w:t xml:space="preserve">; </w:t>
      </w:r>
      <w:r>
        <w:rPr>
          <w:b w:val="0"/>
          <w:i/>
        </w:rPr>
        <w:t>splendore</w:t>
      </w:r>
      <w:r>
        <w:rPr>
          <w:b w:val="0"/>
          <w:i w:val="0"/>
        </w:rPr>
        <w:t>.</w:t>
      </w:r>
    </w:p>
    <w:p>
      <w:pPr>
        <w:widowControl/>
      </w:pPr>
      <w:r>
        <w:rPr>
          <w:b w:val="0"/>
          <w:i w:val="0"/>
        </w:rPr>
        <w:t xml:space="preserve">Radiance and its visible splendor. Ficino distinguishes the sun’s own light from the vapor-mixed manifestation through which we infer its source. References: </w:t>
      </w:r>
      <w:hyperlink w:anchor="passage-vi-2-23">
        <w:r>
          <w:rPr>
            <w:color w:val="000000"/>
          </w:rPr>
          <w:t xml:space="preserve">VI.2.23</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773" w:name="latin-record-0532"/>
      <w:bookmarkEnd w:id="773"/>
      <w:r>
        <w:rPr>
          <w:b/>
          <w:i w:val="0"/>
        </w:rPr>
        <w:t>fundamentum</w:t>
      </w:r>
      <w:r>
        <w:rPr>
          <w:b/>
          <w:i w:val="0"/>
        </w:rPr>
        <w:t>.</w:t>
      </w:r>
      <w:r>
        <w:rPr>
          <w:b w:val="0"/>
          <w:i w:val="0"/>
        </w:rPr>
        <w:t xml:space="preserve"> Printed forms: </w:t>
      </w:r>
      <w:r>
        <w:rPr>
          <w:b w:val="0"/>
          <w:i/>
        </w:rPr>
        <w:t>fundamento</w:t>
      </w:r>
      <w:r>
        <w:rPr>
          <w:b w:val="0"/>
          <w:i w:val="0"/>
        </w:rPr>
        <w:t xml:space="preserve">; </w:t>
      </w:r>
      <w:r>
        <w:rPr>
          <w:b w:val="0"/>
          <w:i/>
        </w:rPr>
        <w:t>fundamentum</w:t>
      </w:r>
      <w:r>
        <w:rPr>
          <w:b w:val="0"/>
          <w:i w:val="0"/>
        </w:rPr>
        <w:t>.</w:t>
      </w:r>
    </w:p>
    <w:p>
      <w:pPr>
        <w:widowControl/>
      </w:pPr>
      <w:r>
        <w:rPr>
          <w:b w:val="0"/>
          <w:i w:val="0"/>
        </w:rPr>
        <w:t xml:space="preserve">A foundation or necessary underlying support. Removing matter would remove the basis for a new material work, whereas a separate work does not require that foundation. References: </w:t>
      </w:r>
      <w:hyperlink w:anchor="passage-v-4-5">
        <w:r>
          <w:rPr>
            <w:color w:val="000000"/>
          </w:rPr>
          <w:t xml:space="preserve">V.4.5</w:t>
        </w:r>
      </w:hyperlink>
      <w:r>
        <w:rPr>
          <w:b w:val="0"/>
          <w:i w:val="0"/>
        </w:rPr>
        <w:t xml:space="preserve">, </w:t>
      </w:r>
      <w:hyperlink w:anchor="passage-v-4-6">
        <w:r>
          <w:rPr>
            <w:color w:val="000000"/>
          </w:rPr>
          <w:t xml:space="preserve">V.4.6</w:t>
        </w:r>
      </w:hyperlink>
      <w:r>
        <w:rPr>
          <w:b w:val="0"/>
          <w:i w:val="0"/>
        </w:rPr>
        <w:t xml:space="preserve">, </w:t>
      </w:r>
      <w:hyperlink w:anchor="passage-v-4-8">
        <w:r>
          <w:rPr>
            <w:color w:val="000000"/>
          </w:rPr>
          <w:t xml:space="preserve">V.4.8</w:t>
        </w:r>
      </w:hyperlink>
      <w:r>
        <w:rPr>
          <w:b w:val="0"/>
          <w:i w:val="0"/>
        </w:rPr>
        <w:t xml:space="preserve">, </w:t>
      </w:r>
      <w:hyperlink w:anchor="passage-v-13-5">
        <w:r>
          <w:rPr>
            <w:color w:val="000000"/>
          </w:rPr>
          <w:t xml:space="preserve">V.13.5</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774" w:name="latin-record-0533"/>
      <w:bookmarkEnd w:id="774"/>
      <w:r>
        <w:rPr>
          <w:b/>
          <w:i w:val="0"/>
        </w:rPr>
        <w:t>fundere / diffundere / permanare</w:t>
      </w:r>
      <w:r>
        <w:rPr>
          <w:b/>
          <w:i w:val="0"/>
        </w:rPr>
        <w:t>.</w:t>
      </w:r>
      <w:r>
        <w:rPr>
          <w:b w:val="0"/>
          <w:i w:val="0"/>
        </w:rPr>
        <w:t xml:space="preserve"> Printed forms: </w:t>
      </w:r>
      <w:r>
        <w:rPr>
          <w:b w:val="0"/>
          <w:i/>
        </w:rPr>
        <w:t>diffusum</w:t>
      </w:r>
      <w:r>
        <w:rPr>
          <w:b w:val="0"/>
          <w:i w:val="0"/>
        </w:rPr>
        <w:t xml:space="preserve">; </w:t>
      </w:r>
      <w:r>
        <w:rPr>
          <w:b w:val="0"/>
          <w:i/>
        </w:rPr>
        <w:t>fundit</w:t>
      </w:r>
      <w:r>
        <w:rPr>
          <w:b w:val="0"/>
          <w:i w:val="0"/>
        </w:rPr>
        <w:t xml:space="preserve">; </w:t>
      </w:r>
      <w:r>
        <w:rPr>
          <w:b w:val="0"/>
          <w:i/>
        </w:rPr>
        <w:t>permanat</w:t>
      </w:r>
      <w:r>
        <w:rPr>
          <w:b w:val="0"/>
          <w:i w:val="0"/>
        </w:rPr>
        <w:t>.</w:t>
      </w:r>
    </w:p>
    <w:p>
      <w:pPr>
        <w:widowControl/>
      </w:pPr>
      <w:r>
        <w:rPr>
          <w:b w:val="0"/>
          <w:i w:val="0"/>
        </w:rPr>
        <w:t xml:space="preserve">To diffuse, pour through, and pass onward. Spirit spreads through body; what passes into it is perceived by soul. The imagery does not require the soul itself to be spatially divided.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775" w:name="latin-record-0534"/>
      <w:bookmarkEnd w:id="775"/>
      <w:r>
        <w:rPr>
          <w:b/>
          <w:i w:val="0"/>
        </w:rPr>
        <w:t>fundere; movere</w:t>
      </w:r>
      <w:r>
        <w:rPr>
          <w:b/>
          <w:i w:val="0"/>
        </w:rPr>
        <w:t>.</w:t>
      </w:r>
      <w:r>
        <w:rPr>
          <w:b w:val="0"/>
          <w:i w:val="0"/>
        </w:rPr>
        <w:t xml:space="preserve"> Printed forms: </w:t>
      </w:r>
      <w:r>
        <w:rPr>
          <w:b w:val="0"/>
          <w:i/>
        </w:rPr>
        <w:t>Fundatur</w:t>
      </w:r>
      <w:r>
        <w:rPr>
          <w:b w:val="0"/>
          <w:i w:val="0"/>
        </w:rPr>
        <w:t xml:space="preserve">; </w:t>
      </w:r>
      <w:r>
        <w:rPr>
          <w:b w:val="0"/>
          <w:i/>
        </w:rPr>
        <w:t>moveat</w:t>
      </w:r>
      <w:r>
        <w:rPr>
          <w:b w:val="0"/>
          <w:i w:val="0"/>
        </w:rPr>
        <w:t>.</w:t>
      </w:r>
    </w:p>
    <w:p>
      <w:pPr>
        <w:widowControl/>
      </w:pPr>
      <w:r>
        <w:rPr>
          <w:b w:val="0"/>
          <w:i w:val="0"/>
        </w:rPr>
        <w:t xml:space="preserve">Let it be diffused and let it move the parts. These jussives belong to the guided construction of an unlocated animating point, not an observed physical event. References: </w:t>
      </w:r>
      <w:hyperlink w:anchor="passage-vi-2-19">
        <w:r>
          <w:rPr>
            <w:color w:val="000000"/>
          </w:rPr>
          <w:t xml:space="preserve">VI.2.19</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776" w:name="latin-record-0535"/>
      <w:bookmarkEnd w:id="776"/>
      <w:r>
        <w:rPr>
          <w:b/>
          <w:i w:val="0"/>
        </w:rPr>
        <w:t>fundere; solidare</w:t>
      </w:r>
      <w:r>
        <w:rPr>
          <w:b/>
          <w:i w:val="0"/>
        </w:rPr>
        <w:t>.</w:t>
      </w:r>
      <w:r>
        <w:rPr>
          <w:b w:val="0"/>
          <w:i w:val="0"/>
        </w:rPr>
        <w:t xml:space="preserve"> Printed forms: </w:t>
      </w:r>
      <w:r>
        <w:rPr>
          <w:b w:val="0"/>
          <w:i/>
        </w:rPr>
        <w:t>fundit et solidat</w:t>
      </w:r>
      <w:r>
        <w:rPr>
          <w:b w:val="0"/>
          <w:i w:val="0"/>
        </w:rPr>
        <w:t>.</w:t>
      </w:r>
    </w:p>
    <w:p>
      <w:pPr>
        <w:widowControl/>
      </w:pPr>
      <w:r>
        <w:rPr>
          <w:b w:val="0"/>
          <w:i w:val="0"/>
        </w:rPr>
        <w:t xml:space="preserve">To liquefy or pour out and make solid. The opposed effects concern the governing power’s bodily products, not alternating liquid and solid substance of soul itself.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777" w:name="latin-record-0536"/>
      <w:bookmarkEnd w:id="777"/>
      <w:r>
        <w:rPr>
          <w:b/>
          <w:i w:val="0"/>
        </w:rPr>
        <w:t>furor / arma ministrare</w:t>
      </w:r>
      <w:r>
        <w:rPr>
          <w:b/>
          <w:i w:val="0"/>
        </w:rPr>
        <w:t>.</w:t>
      </w:r>
      <w:r>
        <w:rPr>
          <w:b w:val="0"/>
          <w:i w:val="0"/>
        </w:rPr>
        <w:t xml:space="preserve"> Printed forms: </w:t>
      </w:r>
      <w:r>
        <w:rPr>
          <w:b w:val="0"/>
          <w:i/>
        </w:rPr>
        <w:t>arma</w:t>
      </w:r>
      <w:r>
        <w:rPr>
          <w:b w:val="0"/>
          <w:i w:val="0"/>
        </w:rPr>
        <w:t xml:space="preserve">; </w:t>
      </w:r>
      <w:r>
        <w:rPr>
          <w:b w:val="0"/>
          <w:i/>
        </w:rPr>
        <w:t>furor</w:t>
      </w:r>
      <w:r>
        <w:rPr>
          <w:b w:val="0"/>
          <w:i w:val="0"/>
        </w:rPr>
        <w:t xml:space="preserve">; </w:t>
      </w:r>
      <w:r>
        <w:rPr>
          <w:b w:val="0"/>
          <w:i/>
        </w:rPr>
        <w:t>ministrat</w:t>
      </w:r>
      <w:r>
        <w:rPr>
          <w:b w:val="0"/>
          <w:i w:val="0"/>
        </w:rPr>
        <w:t>.</w:t>
      </w:r>
    </w:p>
    <w:p>
      <w:pPr>
        <w:widowControl/>
      </w:pPr>
      <w:r>
        <w:rPr>
          <w:b w:val="0"/>
          <w:i w:val="0"/>
        </w:rPr>
        <w:t xml:space="preserve">Frenzy and the vivid image of supplying weapons or resources for action. A sudden arousal of courage illustrates mental effectiveness arising more rapidly than bodily strength grows; it is not ethical endorsement of frenzy.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778" w:name="latin-record-0537"/>
      <w:bookmarkEnd w:id="778"/>
      <w:r>
        <w:rPr>
          <w:b/>
          <w:i w:val="0"/>
        </w:rPr>
        <w:t>futurum / praesens / praeteritum</w:t>
      </w:r>
      <w:r>
        <w:rPr>
          <w:b/>
          <w:i w:val="0"/>
        </w:rPr>
        <w:t>.</w:t>
      </w:r>
      <w:r>
        <w:rPr>
          <w:b w:val="0"/>
          <w:i w:val="0"/>
        </w:rPr>
        <w:t xml:space="preserve"> Printed forms: </w:t>
      </w:r>
      <w:r>
        <w:rPr>
          <w:b w:val="0"/>
          <w:i/>
        </w:rPr>
        <w:t>futuri</w:t>
      </w:r>
      <w:r>
        <w:rPr>
          <w:b w:val="0"/>
          <w:i w:val="0"/>
        </w:rPr>
        <w:t xml:space="preserve">; </w:t>
      </w:r>
      <w:r>
        <w:rPr>
          <w:b w:val="0"/>
          <w:i/>
        </w:rPr>
        <w:t>futuro</w:t>
      </w:r>
      <w:r>
        <w:rPr>
          <w:b w:val="0"/>
          <w:i w:val="0"/>
        </w:rPr>
        <w:t xml:space="preserve">; </w:t>
      </w:r>
      <w:r>
        <w:rPr>
          <w:b w:val="0"/>
          <w:i/>
        </w:rPr>
        <w:t>praesens</w:t>
      </w:r>
      <w:r>
        <w:rPr>
          <w:b w:val="0"/>
          <w:i w:val="0"/>
        </w:rPr>
        <w:t xml:space="preserve">; </w:t>
      </w:r>
      <w:r>
        <w:rPr>
          <w:b w:val="0"/>
          <w:i/>
        </w:rPr>
        <w:t>praeteriti</w:t>
      </w:r>
      <w:r>
        <w:rPr>
          <w:b w:val="0"/>
          <w:i w:val="0"/>
        </w:rPr>
        <w:t xml:space="preserve">; </w:t>
      </w:r>
      <w:r>
        <w:rPr>
          <w:b w:val="0"/>
          <w:i/>
        </w:rPr>
        <w:t>praeteritum</w:t>
      </w:r>
      <w:r>
        <w:rPr>
          <w:b w:val="0"/>
          <w:i w:val="0"/>
        </w:rPr>
        <w:t>.</w:t>
      </w:r>
    </w:p>
    <w:p>
      <w:pPr>
        <w:widowControl/>
      </w:pPr>
      <w:r>
        <w:rPr>
          <w:b w:val="0"/>
          <w:i w:val="0"/>
        </w:rPr>
        <w:t xml:space="preserve">Future, present and past, the successive phases of an external work. The mind can relate to what is not yet and no longer while the body passes through the phases. References: </w:t>
      </w:r>
      <w:hyperlink w:anchor="passage-v-15-5">
        <w:r>
          <w:rPr>
            <w:color w:val="000000"/>
          </w:rPr>
          <w:t xml:space="preserve">V.15.5</w:t>
        </w:r>
      </w:hyperlink>
      <w:r>
        <w:rPr>
          <w:b w:val="0"/>
          <w:i w:val="0"/>
        </w:rPr>
        <w:t xml:space="preserve">, </w:t>
      </w:r>
      <w:hyperlink w:anchor="passage-v-15-6">
        <w:r>
          <w:rPr>
            <w:color w:val="000000"/>
          </w:rPr>
          <w:t xml:space="preserve">V.15.6</w:t>
        </w:r>
      </w:hyperlink>
      <w:r>
        <w:rPr>
          <w:b w:val="0"/>
          <w:i w:val="0"/>
        </w:rPr>
        <w:t xml:space="preserve">. See </w:t>
      </w:r>
      <w:hyperlink w:anchor="time-memory-and-expectation">
        <w:r>
          <w:rPr>
            <w:color w:val="000000"/>
          </w:rPr>
          <w:t xml:space="preserve">Time, memory and expectation</w:t>
        </w:r>
      </w:hyperlink>
      <w:r>
        <w:rPr>
          <w:b w:val="0"/>
          <w:i w:val="0"/>
        </w:rPr>
        <w:t>.</w:t>
      </w:r>
    </w:p>
    <w:p>
      <w:pPr>
        <w:keepNext/>
        <w:widowControl/>
      </w:pPr>
      <w:bookmarkStart w:id="779" w:name="latin-record-0538"/>
      <w:bookmarkEnd w:id="779"/>
      <w:r>
        <w:rPr>
          <w:b/>
          <w:i w:val="0"/>
        </w:rPr>
        <w:t>geminus / apprehendere</w:t>
      </w:r>
      <w:r>
        <w:rPr>
          <w:b/>
          <w:i w:val="0"/>
        </w:rPr>
        <w:t>.</w:t>
      </w:r>
      <w:r>
        <w:rPr>
          <w:b w:val="0"/>
          <w:i w:val="0"/>
        </w:rPr>
        <w:t xml:space="preserve"> Printed forms: </w:t>
      </w:r>
      <w:r>
        <w:rPr>
          <w:b w:val="0"/>
          <w:i/>
        </w:rPr>
        <w:t>apprehendat</w:t>
      </w:r>
      <w:r>
        <w:rPr>
          <w:b w:val="0"/>
          <w:i w:val="0"/>
        </w:rPr>
        <w:t xml:space="preserve">; </w:t>
      </w:r>
      <w:r>
        <w:rPr>
          <w:b w:val="0"/>
          <w:i/>
        </w:rPr>
        <w:t>apprehendit</w:t>
      </w:r>
      <w:r>
        <w:rPr>
          <w:b w:val="0"/>
          <w:i w:val="0"/>
        </w:rPr>
        <w:t xml:space="preserve">; </w:t>
      </w:r>
      <w:r>
        <w:rPr>
          <w:b w:val="0"/>
          <w:i/>
        </w:rPr>
        <w:t>geminae</w:t>
      </w:r>
      <w:r>
        <w:rPr>
          <w:b w:val="0"/>
          <w:i w:val="0"/>
        </w:rPr>
        <w:t xml:space="preserve">; </w:t>
      </w:r>
      <w:r>
        <w:rPr>
          <w:b w:val="0"/>
          <w:i/>
        </w:rPr>
        <w:t>geminas</w:t>
      </w:r>
      <w:r>
        <w:rPr>
          <w:b w:val="0"/>
          <w:i w:val="0"/>
        </w:rPr>
        <w:t xml:space="preserve">; </w:t>
      </w:r>
      <w:r>
        <w:rPr>
          <w:b w:val="0"/>
          <w:i/>
        </w:rPr>
        <w:t>geminis</w:t>
      </w:r>
      <w:r>
        <w:rPr>
          <w:b w:val="0"/>
          <w:i w:val="0"/>
        </w:rPr>
        <w:t>.</w:t>
      </w:r>
    </w:p>
    <w:p>
      <w:pPr>
        <w:widowControl/>
      </w:pPr>
      <w:r>
        <w:rPr>
          <w:b w:val="0"/>
          <w:i w:val="0"/>
        </w:rPr>
        <w:t xml:space="preserve">A pair of powers and their apprehension of objects. If both apprehend both, one is redundant; if each apprehends only one, neither compares them.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780" w:name="latin-record-0539"/>
      <w:bookmarkEnd w:id="780"/>
      <w:r>
        <w:rPr>
          <w:b/>
          <w:i w:val="0"/>
        </w:rPr>
        <w:t>generare; nutrire; augere</w:t>
      </w:r>
      <w:r>
        <w:rPr>
          <w:b/>
          <w:i w:val="0"/>
        </w:rPr>
        <w:t>.</w:t>
      </w:r>
      <w:r>
        <w:rPr>
          <w:b w:val="0"/>
          <w:i w:val="0"/>
        </w:rPr>
        <w:t xml:space="preserve"> Printed forms: </w:t>
      </w:r>
      <w:r>
        <w:rPr>
          <w:b w:val="0"/>
          <w:i/>
        </w:rPr>
        <w:t>auget</w:t>
      </w:r>
      <w:r>
        <w:rPr>
          <w:b w:val="0"/>
          <w:i w:val="0"/>
        </w:rPr>
        <w:t xml:space="preserve">; </w:t>
      </w:r>
      <w:r>
        <w:rPr>
          <w:b w:val="0"/>
          <w:i/>
        </w:rPr>
        <w:t>generat</w:t>
      </w:r>
      <w:r>
        <w:rPr>
          <w:b w:val="0"/>
          <w:i w:val="0"/>
        </w:rPr>
        <w:t xml:space="preserve">; </w:t>
      </w:r>
      <w:r>
        <w:rPr>
          <w:b w:val="0"/>
          <w:i/>
        </w:rPr>
        <w:t>nutritque</w:t>
      </w:r>
      <w:r>
        <w:rPr>
          <w:b w:val="0"/>
          <w:i w:val="0"/>
        </w:rPr>
        <w:t>.</w:t>
      </w:r>
    </w:p>
    <w:p>
      <w:pPr>
        <w:widowControl/>
      </w:pPr>
      <w:r>
        <w:rPr>
          <w:b w:val="0"/>
          <w:i w:val="0"/>
        </w:rPr>
        <w:t xml:space="preserve">To generate, nourish and increase. These natural operations form the first class of evidence for a principle beyond bare corporeal bulk.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781" w:name="latin-record-0540"/>
      <w:bookmarkEnd w:id="781"/>
      <w:r>
        <w:rPr>
          <w:b/>
          <w:i w:val="0"/>
        </w:rPr>
        <w:t>generatio</w:t>
      </w:r>
      <w:r>
        <w:rPr>
          <w:b/>
          <w:i w:val="0"/>
        </w:rPr>
        <w:t>.</w:t>
      </w:r>
      <w:r>
        <w:rPr>
          <w:b w:val="0"/>
          <w:i w:val="0"/>
        </w:rPr>
        <w:t xml:space="preserve"> Printed forms: </w:t>
      </w:r>
      <w:r>
        <w:rPr>
          <w:b w:val="0"/>
          <w:i/>
        </w:rPr>
        <w:t>generatio</w:t>
      </w:r>
      <w:r>
        <w:rPr>
          <w:b w:val="0"/>
          <w:i w:val="0"/>
        </w:rPr>
        <w:t xml:space="preserve">; </w:t>
      </w:r>
      <w:r>
        <w:rPr>
          <w:b w:val="0"/>
          <w:i/>
        </w:rPr>
        <w:t>Generatio</w:t>
      </w:r>
      <w:r>
        <w:rPr>
          <w:b w:val="0"/>
          <w:i w:val="0"/>
        </w:rPr>
        <w:t xml:space="preserve">; </w:t>
      </w:r>
      <w:r>
        <w:rPr>
          <w:b w:val="0"/>
          <w:i/>
        </w:rPr>
        <w:t>generatione</w:t>
      </w:r>
      <w:r>
        <w:rPr>
          <w:b w:val="0"/>
          <w:i w:val="0"/>
        </w:rPr>
        <w:t>.</w:t>
      </w:r>
    </w:p>
    <w:p>
      <w:pPr>
        <w:widowControl/>
      </w:pPr>
      <w:r>
        <w:rPr>
          <w:b w:val="0"/>
          <w:i w:val="0"/>
        </w:rPr>
        <w:t xml:space="preserve">Generation or coming-to-be, usually by receiving form in a subject here. It proceeds toward a thing’s proper being and differs from creation without preexisting matter. References: </w:t>
      </w:r>
      <w:hyperlink w:anchor="passage-v-8-1">
        <w:r>
          <w:rPr>
            <w:color w:val="000000"/>
          </w:rPr>
          <w:t xml:space="preserve">V.8.1</w:t>
        </w:r>
      </w:hyperlink>
      <w:r>
        <w:rPr>
          <w:b w:val="0"/>
          <w:i w:val="0"/>
        </w:rPr>
        <w:t xml:space="preserve">, </w:t>
      </w:r>
      <w:hyperlink w:anchor="passage-v-8-2">
        <w:r>
          <w:rPr>
            <w:color w:val="000000"/>
          </w:rPr>
          <w:t xml:space="preserve">V.8.2</w:t>
        </w:r>
      </w:hyperlink>
      <w:r>
        <w:rPr>
          <w:b w:val="0"/>
          <w:i w:val="0"/>
        </w:rPr>
        <w:t xml:space="preserve">, </w:t>
      </w:r>
      <w:hyperlink w:anchor="passage-v-11-1">
        <w:r>
          <w:rPr>
            <w:color w:val="000000"/>
          </w:rPr>
          <w:t xml:space="preserve">V.11.1</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782" w:name="latin-record-0541"/>
      <w:bookmarkEnd w:id="782"/>
      <w:r>
        <w:rPr>
          <w:b/>
          <w:i w:val="0"/>
        </w:rPr>
        <w:t>generatio / genitrix / successio</w:t>
      </w:r>
      <w:r>
        <w:rPr>
          <w:b/>
          <w:i w:val="0"/>
        </w:rPr>
        <w:t>.</w:t>
      </w:r>
      <w:r>
        <w:rPr>
          <w:b w:val="0"/>
          <w:i w:val="0"/>
        </w:rPr>
        <w:t xml:space="preserve"> Printed forms: </w:t>
      </w:r>
      <w:r>
        <w:rPr>
          <w:b w:val="0"/>
          <w:i/>
        </w:rPr>
        <w:t>generationis</w:t>
      </w:r>
      <w:r>
        <w:rPr>
          <w:b w:val="0"/>
          <w:i w:val="0"/>
        </w:rPr>
        <w:t xml:space="preserve">; </w:t>
      </w:r>
      <w:r>
        <w:rPr>
          <w:b w:val="0"/>
          <w:i/>
        </w:rPr>
        <w:t>genitrice</w:t>
      </w:r>
      <w:r>
        <w:rPr>
          <w:b w:val="0"/>
          <w:i w:val="0"/>
        </w:rPr>
        <w:t xml:space="preserve">; </w:t>
      </w:r>
      <w:r>
        <w:rPr>
          <w:b w:val="0"/>
          <w:i/>
        </w:rPr>
        <w:t>nascentium</w:t>
      </w:r>
      <w:r>
        <w:rPr>
          <w:b w:val="0"/>
          <w:i w:val="0"/>
        </w:rPr>
        <w:t xml:space="preserve">; </w:t>
      </w:r>
      <w:r>
        <w:rPr>
          <w:b w:val="0"/>
          <w:i/>
        </w:rPr>
        <w:t>successione</w:t>
      </w:r>
      <w:r>
        <w:rPr>
          <w:b w:val="0"/>
          <w:i w:val="0"/>
        </w:rPr>
        <w:t>.</w:t>
      </w:r>
    </w:p>
    <w:p>
      <w:pPr>
        <w:widowControl/>
      </w:pPr>
      <w:r>
        <w:rPr>
          <w:b w:val="0"/>
          <w:i w:val="0"/>
        </w:rPr>
        <w:t xml:space="preserve">Generation, generating parent and succession of offspring. Natural reproduction preserves a kind through later beings; intellectual generation keeps its accounts within the individual mind that produces them. References: </w:t>
      </w:r>
      <w:hyperlink w:anchor="passage-viii-15-2">
        <w:r>
          <w:rPr>
            <w:color w:val="000000"/>
          </w:rPr>
          <w:t xml:space="preserve">VIII.15.2</w:t>
        </w:r>
      </w:hyperlink>
      <w:r>
        <w:rPr>
          <w:b w:val="0"/>
          <w:i w:val="0"/>
        </w:rPr>
        <w:t xml:space="preserve">. See </w:t>
      </w:r>
      <w:hyperlink w:anchor="viii-intellectual-generation">
        <w:r>
          <w:rPr>
            <w:color w:val="000000"/>
          </w:rPr>
          <w:t xml:space="preserve">Intellectual generation and daily renewal</w:t>
        </w:r>
      </w:hyperlink>
      <w:r>
        <w:rPr>
          <w:b w:val="0"/>
          <w:i w:val="0"/>
        </w:rPr>
        <w:t>.</w:t>
      </w:r>
    </w:p>
    <w:p>
      <w:pPr>
        <w:keepNext/>
        <w:widowControl/>
      </w:pPr>
      <w:bookmarkStart w:id="783" w:name="latin-record-0542"/>
      <w:bookmarkEnd w:id="783"/>
      <w:r>
        <w:rPr>
          <w:b/>
          <w:i w:val="0"/>
        </w:rPr>
        <w:t>genitor; genitum</w:t>
      </w:r>
      <w:r>
        <w:rPr>
          <w:b/>
          <w:i w:val="0"/>
        </w:rPr>
        <w:t>.</w:t>
      </w:r>
      <w:r>
        <w:rPr>
          <w:b w:val="0"/>
          <w:i w:val="0"/>
        </w:rPr>
        <w:t xml:space="preserve"> Printed forms: </w:t>
      </w:r>
      <w:r>
        <w:rPr>
          <w:b w:val="0"/>
          <w:i/>
        </w:rPr>
        <w:t>genito</w:t>
      </w:r>
      <w:r>
        <w:rPr>
          <w:b w:val="0"/>
          <w:i w:val="0"/>
        </w:rPr>
        <w:t xml:space="preserve">; </w:t>
      </w:r>
      <w:r>
        <w:rPr>
          <w:b w:val="0"/>
          <w:i/>
        </w:rPr>
        <w:t>genitor</w:t>
      </w:r>
      <w:r>
        <w:rPr>
          <w:b w:val="0"/>
          <w:i w:val="0"/>
        </w:rPr>
        <w:t xml:space="preserve">; </w:t>
      </w:r>
      <w:r>
        <w:rPr>
          <w:b w:val="0"/>
          <w:i/>
        </w:rPr>
        <w:t>genitum</w:t>
      </w:r>
      <w:r>
        <w:rPr>
          <w:b w:val="0"/>
          <w:i w:val="0"/>
        </w:rPr>
        <w:t xml:space="preserve">; </w:t>
      </w:r>
      <w:r>
        <w:rPr>
          <w:b w:val="0"/>
          <w:i/>
        </w:rPr>
        <w:t>genitus</w:t>
      </w:r>
      <w:r>
        <w:rPr>
          <w:b w:val="0"/>
          <w:i w:val="0"/>
        </w:rPr>
        <w:t>.</w:t>
      </w:r>
    </w:p>
    <w:p>
      <w:pPr>
        <w:widowControl/>
      </w:pPr>
      <w:r>
        <w:rPr>
          <w:b w:val="0"/>
          <w:i w:val="0"/>
        </w:rPr>
        <w:t xml:space="preserve">Begetter and what is begotten. Finite self-generation would require both possession and reception of the same being and priority/posteriority to oneself. References: </w:t>
      </w:r>
      <w:hyperlink w:anchor="passage-vi-12-14">
        <w:r>
          <w:rPr>
            <w:color w:val="000000"/>
          </w:rPr>
          <w:t xml:space="preserve">VI.12.14</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784" w:name="latin-record-0543"/>
      <w:bookmarkEnd w:id="784"/>
      <w:r>
        <w:rPr>
          <w:b/>
          <w:i w:val="0"/>
        </w:rPr>
        <w:t>genu / lapillus</w:t>
      </w:r>
      <w:r>
        <w:rPr>
          <w:b/>
          <w:i w:val="0"/>
        </w:rPr>
        <w:t>.</w:t>
      </w:r>
      <w:r>
        <w:rPr>
          <w:b w:val="0"/>
          <w:i w:val="0"/>
        </w:rPr>
        <w:t xml:space="preserve"> Printed forms: </w:t>
      </w:r>
      <w:r>
        <w:rPr>
          <w:b w:val="0"/>
          <w:i/>
        </w:rPr>
        <w:t>genu</w:t>
      </w:r>
      <w:r>
        <w:rPr>
          <w:b w:val="0"/>
          <w:i w:val="0"/>
        </w:rPr>
        <w:t xml:space="preserve">; </w:t>
      </w:r>
      <w:r>
        <w:rPr>
          <w:b w:val="0"/>
          <w:i/>
        </w:rPr>
        <w:t>lapillum</w:t>
      </w:r>
      <w:r>
        <w:rPr>
          <w:b w:val="0"/>
          <w:i w:val="0"/>
        </w:rPr>
        <w:t>.</w:t>
      </w:r>
    </w:p>
    <w:p>
      <w:pPr>
        <w:widowControl/>
      </w:pPr>
      <w:r>
        <w:rPr>
          <w:b w:val="0"/>
          <w:i w:val="0"/>
        </w:rPr>
        <w:t xml:space="preserve">Knee and small stone. The knee marks another hypothetical reporting station; the pebble is the concrete occasion of the foot’s injury.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785" w:name="latin-record-0544"/>
      <w:bookmarkEnd w:id="785"/>
      <w:r>
        <w:rPr>
          <w:b/>
          <w:i w:val="0"/>
        </w:rPr>
        <w:t>genus</w:t>
      </w:r>
      <w:r>
        <w:rPr>
          <w:b/>
          <w:i w:val="0"/>
        </w:rPr>
        <w:t>.</w:t>
      </w:r>
      <w:r>
        <w:rPr>
          <w:b w:val="0"/>
          <w:i w:val="0"/>
        </w:rPr>
        <w:t xml:space="preserve"> Printed forms: </w:t>
      </w:r>
      <w:r>
        <w:rPr>
          <w:b w:val="0"/>
          <w:i/>
        </w:rPr>
        <w:t>genera</w:t>
      </w:r>
      <w:r>
        <w:rPr>
          <w:b w:val="0"/>
          <w:i w:val="0"/>
        </w:rPr>
        <w:t xml:space="preserve">; </w:t>
      </w:r>
      <w:r>
        <w:rPr>
          <w:b w:val="0"/>
          <w:i/>
        </w:rPr>
        <w:t>genere</w:t>
      </w:r>
      <w:r>
        <w:rPr>
          <w:b w:val="0"/>
          <w:i w:val="0"/>
        </w:rPr>
        <w:t xml:space="preserve">; </w:t>
      </w:r>
      <w:r>
        <w:rPr>
          <w:b w:val="0"/>
          <w:i/>
        </w:rPr>
        <w:t>generis</w:t>
      </w:r>
      <w:r>
        <w:rPr>
          <w:b w:val="0"/>
          <w:i w:val="0"/>
        </w:rPr>
        <w:t xml:space="preserve">; </w:t>
      </w:r>
      <w:r>
        <w:rPr>
          <w:b w:val="0"/>
          <w:i/>
        </w:rPr>
        <w:t>genus</w:t>
      </w:r>
      <w:r>
        <w:rPr>
          <w:b w:val="0"/>
          <w:i w:val="0"/>
        </w:rPr>
        <w:t>.</w:t>
      </w:r>
    </w:p>
    <w:p>
      <w:pPr>
        <w:widowControl/>
      </w:pPr>
      <w:r>
        <w:rPr>
          <w:b w:val="0"/>
          <w:i w:val="0"/>
        </w:rPr>
        <w:t xml:space="preserve">A broader kind or a logical genus predicated of subordinate species. Animal is humanity’s genus; its logical contribution cannot occupy the mind’s right side as a spatial fragment. References: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w:t>
      </w:r>
      <w:hyperlink w:anchor="passage-viii-10-1">
        <w:r>
          <w:rPr>
            <w:color w:val="000000"/>
          </w:rPr>
          <w:t xml:space="preserve">VIII.10.1</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786" w:name="latin-record-0545"/>
      <w:bookmarkEnd w:id="786"/>
      <w:r>
        <w:rPr>
          <w:b/>
          <w:i w:val="0"/>
        </w:rPr>
        <w:t>genus substantiae / genus qualitatis</w:t>
      </w:r>
      <w:r>
        <w:rPr>
          <w:b/>
          <w:i w:val="0"/>
        </w:rPr>
        <w:t>.</w:t>
      </w:r>
      <w:r>
        <w:rPr>
          <w:b w:val="0"/>
          <w:i w:val="0"/>
        </w:rPr>
        <w:t xml:space="preserve"> Printed forms: </w:t>
      </w:r>
      <w:r>
        <w:rPr>
          <w:b w:val="0"/>
          <w:i/>
        </w:rPr>
        <w:t>contrarietas</w:t>
      </w:r>
      <w:r>
        <w:rPr>
          <w:b w:val="0"/>
          <w:i w:val="0"/>
        </w:rPr>
        <w:t xml:space="preserve">; </w:t>
      </w:r>
      <w:r>
        <w:rPr>
          <w:b w:val="0"/>
          <w:i/>
        </w:rPr>
        <w:t>genere qualitatis</w:t>
      </w:r>
      <w:r>
        <w:rPr>
          <w:b w:val="0"/>
          <w:i w:val="0"/>
        </w:rPr>
        <w:t xml:space="preserve">; </w:t>
      </w:r>
      <w:r>
        <w:rPr>
          <w:b w:val="0"/>
          <w:i/>
        </w:rPr>
        <w:t>qualitatis</w:t>
      </w:r>
      <w:r>
        <w:rPr>
          <w:b w:val="0"/>
          <w:i w:val="0"/>
        </w:rPr>
        <w:t xml:space="preserve">; </w:t>
      </w:r>
      <w:r>
        <w:rPr>
          <w:b w:val="0"/>
          <w:i/>
        </w:rPr>
        <w:t>substantiae</w:t>
      </w:r>
      <w:r>
        <w:rPr>
          <w:b w:val="0"/>
          <w:i w:val="0"/>
        </w:rPr>
        <w:t>.</w:t>
      </w:r>
    </w:p>
    <w:p>
      <w:pPr>
        <w:widowControl/>
      </w:pPr>
      <w:r>
        <w:rPr>
          <w:b w:val="0"/>
          <w:i w:val="0"/>
        </w:rPr>
        <w:t xml:space="preserve">The categories of substance and quality and the contrariety proper to quality. The claim that substance has no proper contrary concerns categorical identity, not a denial that substances perish. References: </w:t>
      </w:r>
      <w:hyperlink w:anchor="passage-vii-9-1">
        <w:r>
          <w:rPr>
            <w:color w:val="000000"/>
          </w:rPr>
          <w:t xml:space="preserve">VII.9.1</w:t>
        </w:r>
      </w:hyperlink>
      <w:r>
        <w:rPr>
          <w:b w:val="0"/>
          <w:i w:val="0"/>
        </w:rPr>
        <w:t xml:space="preserve">. See </w:t>
      </w:r>
      <w:hyperlink w:anchor="vii-substance-degrees">
        <w:r>
          <w:rPr>
            <w:color w:val="000000"/>
          </w:rPr>
          <w:t xml:space="preserve">Substance, qualities and degrees</w:t>
        </w:r>
      </w:hyperlink>
      <w:r>
        <w:rPr>
          <w:b w:val="0"/>
          <w:i w:val="0"/>
        </w:rPr>
        <w:t>.</w:t>
      </w:r>
    </w:p>
    <w:p>
      <w:pPr>
        <w:keepNext/>
        <w:widowControl/>
      </w:pPr>
      <w:bookmarkStart w:id="787" w:name="latin-record-0546"/>
      <w:bookmarkEnd w:id="787"/>
      <w:r>
        <w:rPr>
          <w:b/>
          <w:i w:val="0"/>
        </w:rPr>
        <w:t>gradus</w:t>
      </w:r>
      <w:r>
        <w:rPr>
          <w:b/>
          <w:i w:val="0"/>
        </w:rPr>
        <w:t>.</w:t>
      </w:r>
      <w:r>
        <w:rPr>
          <w:b w:val="0"/>
          <w:i w:val="0"/>
        </w:rPr>
        <w:t xml:space="preserve"> Printed forms: </w:t>
      </w:r>
      <w:r>
        <w:rPr>
          <w:b w:val="0"/>
          <w:i/>
        </w:rPr>
        <w:t>gradatim</w:t>
      </w:r>
      <w:r>
        <w:rPr>
          <w:b w:val="0"/>
          <w:i w:val="0"/>
        </w:rPr>
        <w:t xml:space="preserve">; </w:t>
      </w:r>
      <w:r>
        <w:rPr>
          <w:b w:val="0"/>
          <w:i/>
        </w:rPr>
        <w:t>gradibus</w:t>
      </w:r>
      <w:r>
        <w:rPr>
          <w:b w:val="0"/>
          <w:i w:val="0"/>
        </w:rPr>
        <w:t xml:space="preserve">; </w:t>
      </w:r>
      <w:r>
        <w:rPr>
          <w:b w:val="0"/>
          <w:i/>
        </w:rPr>
        <w:t>gradu</w:t>
      </w:r>
      <w:r>
        <w:rPr>
          <w:b w:val="0"/>
          <w:i w:val="0"/>
        </w:rPr>
        <w:t xml:space="preserve">; </w:t>
      </w:r>
      <w:r>
        <w:rPr>
          <w:b w:val="0"/>
          <w:i/>
        </w:rPr>
        <w:t>gradum</w:t>
      </w:r>
      <w:r>
        <w:rPr>
          <w:b w:val="0"/>
          <w:i w:val="0"/>
        </w:rPr>
        <w:t xml:space="preserve">; </w:t>
      </w:r>
      <w:r>
        <w:rPr>
          <w:b w:val="0"/>
          <w:i/>
        </w:rPr>
        <w:t>gradus</w:t>
      </w:r>
      <w:r>
        <w:rPr>
          <w:b w:val="0"/>
          <w:i w:val="0"/>
        </w:rPr>
        <w:t>.</w:t>
      </w:r>
    </w:p>
    <w:p>
      <w:pPr>
        <w:widowControl/>
      </w:pPr>
      <w:r>
        <w:rPr>
          <w:b w:val="0"/>
          <w:i w:val="0"/>
        </w:rPr>
        <w:t xml:space="preserve">A degree or rank; gradatim means by stages. The movement from four causes to three and two describes graded dependency, while angel’s added distinction concerns inclination. References: </w:t>
      </w:r>
      <w:hyperlink w:anchor="passage-v-3-1">
        <w:r>
          <w:rPr>
            <w:color w:val="000000"/>
          </w:rPr>
          <w:t xml:space="preserve">V.3.1</w:t>
        </w:r>
      </w:hyperlink>
      <w:r>
        <w:rPr>
          <w:b w:val="0"/>
          <w:i w:val="0"/>
        </w:rPr>
        <w:t xml:space="preserve">, </w:t>
      </w:r>
      <w:hyperlink w:anchor="passage-v-5-3">
        <w:r>
          <w:rPr>
            <w:color w:val="000000"/>
          </w:rPr>
          <w:t xml:space="preserve">V.5.3</w:t>
        </w:r>
      </w:hyperlink>
      <w:r>
        <w:rPr>
          <w:b w:val="0"/>
          <w:i w:val="0"/>
        </w:rPr>
        <w:t xml:space="preserve">, </w:t>
      </w:r>
      <w:hyperlink w:anchor="passage-v-5-4">
        <w:r>
          <w:rPr>
            <w:color w:val="000000"/>
          </w:rPr>
          <w:t xml:space="preserve">V.5.4</w:t>
        </w:r>
      </w:hyperlink>
      <w:r>
        <w:rPr>
          <w:b w:val="0"/>
          <w:i w:val="0"/>
        </w:rPr>
        <w:t xml:space="preserve">. See </w:t>
      </w:r>
      <w:hyperlink w:anchor="four-causes-and-graded-dependence">
        <w:r>
          <w:rPr>
            <w:color w:val="000000"/>
          </w:rPr>
          <w:t xml:space="preserve">Four causes and graded dependence</w:t>
        </w:r>
      </w:hyperlink>
      <w:r>
        <w:rPr>
          <w:b w:val="0"/>
          <w:i w:val="0"/>
        </w:rPr>
        <w:t>.</w:t>
      </w:r>
    </w:p>
    <w:p>
      <w:pPr>
        <w:widowControl/>
      </w:pPr>
      <w:r>
        <w:rPr>
          <w:b w:val="0"/>
          <w:i w:val="0"/>
        </w:rPr>
        <w:t xml:space="preserve">A degree, rank or step in an ordered ascent or perfection. The four cognitive grades and the imagined hierarchy above finite angels have distinct structures; a higher grade need not mean higher physical altitude. References: </w:t>
      </w:r>
      <w:hyperlink w:anchor="passage-viii-1-1">
        <w:r>
          <w:rPr>
            <w:color w:val="000000"/>
          </w:rPr>
          <w:t xml:space="preserve">VIII.1.1</w:t>
        </w:r>
      </w:hyperlink>
      <w:r>
        <w:rPr>
          <w:b w:val="0"/>
          <w:i w:val="0"/>
        </w:rPr>
        <w:t xml:space="preserve">, </w:t>
      </w:r>
      <w:hyperlink w:anchor="passage-viii-4-11">
        <w:r>
          <w:rPr>
            <w:color w:val="000000"/>
          </w:rPr>
          <w:t xml:space="preserve">VIII.4.11</w:t>
        </w:r>
      </w:hyperlink>
      <w:r>
        <w:rPr>
          <w:b w:val="0"/>
          <w:i w:val="0"/>
        </w:rPr>
        <w:t xml:space="preserve">, </w:t>
      </w:r>
      <w:hyperlink w:anchor="passage-viii-4-13">
        <w:r>
          <w:rPr>
            <w:color w:val="000000"/>
          </w:rPr>
          <w:t xml:space="preserve">VIII.4.13</w:t>
        </w:r>
      </w:hyperlink>
      <w:r>
        <w:rPr>
          <w:b w:val="0"/>
          <w:i w:val="0"/>
        </w:rPr>
        <w:t xml:space="preserve">, </w:t>
      </w:r>
      <w:hyperlink w:anchor="passage-viii-10-2">
        <w:r>
          <w:rPr>
            <w:color w:val="000000"/>
          </w:rPr>
          <w:t xml:space="preserve">VIII.10.2</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788" w:name="latin-record-0547"/>
      <w:bookmarkEnd w:id="788"/>
      <w:r>
        <w:rPr>
          <w:b/>
          <w:i w:val="0"/>
        </w:rPr>
        <w:t>gradus; paulatim</w:t>
      </w:r>
      <w:r>
        <w:rPr>
          <w:b/>
          <w:i w:val="0"/>
        </w:rPr>
        <w:t>.</w:t>
      </w:r>
      <w:r>
        <w:rPr>
          <w:b w:val="0"/>
          <w:i w:val="0"/>
        </w:rPr>
        <w:t xml:space="preserve"> Printed forms: </w:t>
      </w:r>
      <w:r>
        <w:rPr>
          <w:b w:val="0"/>
          <w:i/>
        </w:rPr>
        <w:t>congruis educationis disciplinarumque gradibus</w:t>
      </w:r>
      <w:r>
        <w:rPr>
          <w:b w:val="0"/>
          <w:i w:val="0"/>
        </w:rPr>
        <w:t xml:space="preserve">; </w:t>
      </w:r>
      <w:r>
        <w:rPr>
          <w:b w:val="0"/>
          <w:i/>
        </w:rPr>
        <w:t>convenientibus gradibus</w:t>
      </w:r>
      <w:r>
        <w:rPr>
          <w:b w:val="0"/>
          <w:i w:val="0"/>
        </w:rPr>
        <w:t xml:space="preserve">; </w:t>
      </w:r>
      <w:r>
        <w:rPr>
          <w:b w:val="0"/>
          <w:i/>
        </w:rPr>
        <w:t>paulatim</w:t>
      </w:r>
      <w:r>
        <w:rPr>
          <w:b w:val="0"/>
          <w:i w:val="0"/>
        </w:rPr>
        <w:t>.</w:t>
      </w:r>
    </w:p>
    <w:p>
      <w:pPr>
        <w:widowControl/>
      </w:pPr>
      <w:r>
        <w:rPr>
          <w:b w:val="0"/>
          <w:i w:val="0"/>
        </w:rPr>
        <w:t xml:space="preserve">Gradual stages fitted to a learner’s condition. The sequence of reflections, objects, night and daylight structures the ascent rather than a single leap to the sun. References: </w:t>
      </w:r>
      <w:hyperlink w:anchor="passage-vi-2-15">
        <w:r>
          <w:rPr>
            <w:color w:val="000000"/>
          </w:rPr>
          <w:t xml:space="preserve">VI.2.15</w:t>
        </w:r>
      </w:hyperlink>
      <w:r>
        <w:rPr>
          <w:b w:val="0"/>
          <w:i w:val="0"/>
        </w:rPr>
        <w:t xml:space="preserve">, </w:t>
      </w:r>
      <w:hyperlink w:anchor="passage-vi-2-16">
        <w:r>
          <w:rPr>
            <w:color w:val="000000"/>
          </w:rPr>
          <w:t xml:space="preserve">VI.2.16</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789" w:name="latin-record-0548"/>
      <w:bookmarkEnd w:id="789"/>
      <w:r>
        <w:rPr>
          <w:b/>
          <w:i w:val="0"/>
        </w:rPr>
        <w:t>Graeci Platonici / Arabes Platonici</w:t>
      </w:r>
      <w:r>
        <w:rPr>
          <w:b/>
          <w:i w:val="0"/>
        </w:rPr>
        <w:t>.</w:t>
      </w:r>
      <w:r>
        <w:rPr>
          <w:b w:val="0"/>
          <w:i w:val="0"/>
        </w:rPr>
        <w:t xml:space="preserve"> Printed forms: </w:t>
      </w:r>
      <w:r>
        <w:rPr>
          <w:b w:val="0"/>
          <w:i/>
        </w:rPr>
        <w:t>Graeci</w:t>
      </w:r>
      <w:r>
        <w:rPr>
          <w:b w:val="0"/>
          <w:i w:val="0"/>
        </w:rPr>
        <w:t xml:space="preserve">; </w:t>
      </w:r>
      <w:r>
        <w:rPr>
          <w:b w:val="0"/>
          <w:i/>
        </w:rPr>
        <w:t>Platonicorum Arabum</w:t>
      </w:r>
      <w:r>
        <w:rPr>
          <w:b w:val="0"/>
          <w:i w:val="0"/>
        </w:rPr>
        <w:t>.</w:t>
      </w:r>
    </w:p>
    <w:p>
      <w:pPr>
        <w:widowControl/>
      </w:pPr>
      <w:r>
        <w:rPr>
          <w:b w:val="0"/>
          <w:i w:val="0"/>
        </w:rPr>
        <w:t xml:space="preserve">The Greek and Arab Platonists named in the introduction to the form argument. Ficino groups authorities to support a doctrine of universal representation; no unnamed individual’s precise doctrine is independently attributed here. References: </w:t>
      </w:r>
      <w:hyperlink w:anchor="passage-viii-4-1">
        <w:r>
          <w:rPr>
            <w:color w:val="000000"/>
          </w:rPr>
          <w:t xml:space="preserve">VIII.4.1</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790" w:name="latin-record-0549"/>
      <w:bookmarkEnd w:id="790"/>
      <w:r>
        <w:rPr>
          <w:b/>
          <w:i w:val="0"/>
        </w:rPr>
        <w:t>gremium / detrudere / pellere</w:t>
      </w:r>
      <w:r>
        <w:rPr>
          <w:b/>
          <w:i w:val="0"/>
        </w:rPr>
        <w:t>.</w:t>
      </w:r>
      <w:r>
        <w:rPr>
          <w:b w:val="0"/>
          <w:i w:val="0"/>
        </w:rPr>
        <w:t xml:space="preserve"> Printed forms: </w:t>
      </w:r>
      <w:r>
        <w:rPr>
          <w:b w:val="0"/>
          <w:i/>
        </w:rPr>
        <w:t>detrudant</w:t>
      </w:r>
      <w:r>
        <w:rPr>
          <w:b w:val="0"/>
          <w:i w:val="0"/>
        </w:rPr>
        <w:t xml:space="preserve">; </w:t>
      </w:r>
      <w:r>
        <w:rPr>
          <w:b w:val="0"/>
          <w:i/>
        </w:rPr>
        <w:t>gremio</w:t>
      </w:r>
      <w:r>
        <w:rPr>
          <w:b w:val="0"/>
          <w:i w:val="0"/>
        </w:rPr>
        <w:t xml:space="preserve">; </w:t>
      </w:r>
      <w:r>
        <w:rPr>
          <w:b w:val="0"/>
          <w:i/>
        </w:rPr>
        <w:t>pellantque</w:t>
      </w:r>
      <w:r>
        <w:rPr>
          <w:b w:val="0"/>
          <w:i w:val="0"/>
        </w:rPr>
        <w:t>.</w:t>
      </w:r>
    </w:p>
    <w:p>
      <w:pPr>
        <w:widowControl/>
      </w:pPr>
      <w:r>
        <w:rPr>
          <w:b w:val="0"/>
          <w:i w:val="0"/>
        </w:rPr>
        <w:t xml:space="preserve">The soul’s bosom and the pushing out associated with competing bodily occupants. Sciences and virtues coexist without displacing or blending into one another, so their containment is not spatial crowding. References: </w:t>
      </w:r>
      <w:hyperlink w:anchor="passage-viii-3-6">
        <w:r>
          <w:rPr>
            <w:color w:val="000000"/>
          </w:rPr>
          <w:t xml:space="preserve">VIII.3.6</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791" w:name="latin-record-0550"/>
      <w:bookmarkEnd w:id="791"/>
      <w:r>
        <w:rPr>
          <w:b/>
          <w:i w:val="0"/>
        </w:rPr>
        <w:t>gutta / triticum / granum</w:t>
      </w:r>
      <w:r>
        <w:rPr>
          <w:b/>
          <w:i w:val="0"/>
        </w:rPr>
        <w:t>.</w:t>
      </w:r>
      <w:r>
        <w:rPr>
          <w:b w:val="0"/>
          <w:i w:val="0"/>
        </w:rPr>
        <w:t xml:space="preserve"> Printed forms: </w:t>
      </w:r>
      <w:r>
        <w:rPr>
          <w:b w:val="0"/>
          <w:i/>
        </w:rPr>
        <w:t>granis</w:t>
      </w:r>
      <w:r>
        <w:rPr>
          <w:b w:val="0"/>
          <w:i w:val="0"/>
        </w:rPr>
        <w:t xml:space="preserve">; </w:t>
      </w:r>
      <w:r>
        <w:rPr>
          <w:b w:val="0"/>
          <w:i/>
        </w:rPr>
        <w:t>guttis</w:t>
      </w:r>
      <w:r>
        <w:rPr>
          <w:b w:val="0"/>
          <w:i w:val="0"/>
        </w:rPr>
        <w:t xml:space="preserve">; </w:t>
      </w:r>
      <w:r>
        <w:rPr>
          <w:b w:val="0"/>
          <w:i/>
        </w:rPr>
        <w:t>tritici</w:t>
      </w:r>
      <w:r>
        <w:rPr>
          <w:b w:val="0"/>
          <w:i w:val="0"/>
        </w:rPr>
        <w:t>.</w:t>
      </w:r>
    </w:p>
    <w:p>
      <w:pPr>
        <w:widowControl/>
      </w:pPr>
      <w:r>
        <w:rPr>
          <w:b w:val="0"/>
          <w:i w:val="0"/>
        </w:rPr>
        <w:t xml:space="preserve">Water drops and wheat grains, homogeneous units whose aggregation increases amount. They illustrate why wholly similar hypothetical parts add number or magnitude rather than a distinct intelligible structure. References: </w:t>
      </w:r>
      <w:hyperlink w:anchor="passage-viii-4-3">
        <w:r>
          <w:rPr>
            <w:color w:val="000000"/>
          </w:rPr>
          <w:t xml:space="preserve">VIII.4.3</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792" w:name="latin-record-0551"/>
      <w:bookmarkEnd w:id="792"/>
      <w:r>
        <w:rPr>
          <w:b/>
          <w:i w:val="0"/>
        </w:rPr>
        <w:t>guttula; ova piscium</w:t>
      </w:r>
      <w:r>
        <w:rPr>
          <w:b/>
          <w:i w:val="0"/>
        </w:rPr>
        <w:t>.</w:t>
      </w:r>
      <w:r>
        <w:rPr>
          <w:b w:val="0"/>
          <w:i w:val="0"/>
        </w:rPr>
        <w:t xml:space="preserve"> Printed forms: </w:t>
      </w:r>
      <w:r>
        <w:rPr>
          <w:b w:val="0"/>
          <w:i/>
        </w:rPr>
        <w:t>guttula seminis</w:t>
      </w:r>
      <w:r>
        <w:rPr>
          <w:b w:val="0"/>
          <w:i w:val="0"/>
        </w:rPr>
        <w:t xml:space="preserve">; </w:t>
      </w:r>
      <w:r>
        <w:rPr>
          <w:b w:val="0"/>
          <w:i/>
        </w:rPr>
        <w:t>piscium ovis</w:t>
      </w:r>
      <w:r>
        <w:rPr>
          <w:b w:val="0"/>
          <w:i w:val="0"/>
        </w:rPr>
        <w:t>.</w:t>
      </w:r>
    </w:p>
    <w:p>
      <w:pPr>
        <w:widowControl/>
      </w:pPr>
      <w:r>
        <w:rPr>
          <w:b w:val="0"/>
          <w:i w:val="0"/>
        </w:rPr>
        <w:t xml:space="preserve">A drop of seed and fish eggs. These are Ficino’s reproductive examples; the text’s general claim about division is historical natural philosophy, not a verified embryological rule.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793" w:name="latin-record-0552"/>
      <w:bookmarkEnd w:id="793"/>
      <w:r>
        <w:rPr>
          <w:b/>
          <w:i w:val="0"/>
        </w:rPr>
        <w:t>habere</w:t>
      </w:r>
      <w:r>
        <w:rPr>
          <w:b/>
          <w:i w:val="0"/>
        </w:rPr>
        <w:t>.</w:t>
      </w:r>
      <w:r>
        <w:rPr>
          <w:b w:val="0"/>
          <w:i w:val="0"/>
        </w:rPr>
        <w:t xml:space="preserve"> Printed forms: </w:t>
      </w:r>
      <w:r>
        <w:rPr>
          <w:b w:val="0"/>
          <w:i/>
        </w:rPr>
        <w:t>habeant</w:t>
      </w:r>
      <w:r>
        <w:rPr>
          <w:b w:val="0"/>
          <w:i w:val="0"/>
        </w:rPr>
        <w:t xml:space="preserve">; </w:t>
      </w:r>
      <w:r>
        <w:rPr>
          <w:b w:val="0"/>
          <w:i/>
        </w:rPr>
        <w:t>habeat</w:t>
      </w:r>
      <w:r>
        <w:rPr>
          <w:b w:val="0"/>
          <w:i w:val="0"/>
        </w:rPr>
        <w:t xml:space="preserve">; </w:t>
      </w:r>
      <w:r>
        <w:rPr>
          <w:b w:val="0"/>
          <w:i/>
        </w:rPr>
        <w:t>habent</w:t>
      </w:r>
      <w:r>
        <w:rPr>
          <w:b w:val="0"/>
          <w:i w:val="0"/>
        </w:rPr>
        <w:t xml:space="preserve">; </w:t>
      </w:r>
      <w:r>
        <w:rPr>
          <w:b w:val="0"/>
          <w:i/>
        </w:rPr>
        <w:t>habere</w:t>
      </w:r>
      <w:r>
        <w:rPr>
          <w:b w:val="0"/>
          <w:i w:val="0"/>
        </w:rPr>
        <w:t xml:space="preserve">; </w:t>
      </w:r>
      <w:r>
        <w:rPr>
          <w:b w:val="0"/>
          <w:i/>
        </w:rPr>
        <w:t>haberet</w:t>
      </w:r>
      <w:r>
        <w:rPr>
          <w:b w:val="0"/>
          <w:i w:val="0"/>
        </w:rPr>
        <w:t xml:space="preserve">; </w:t>
      </w:r>
      <w:r>
        <w:rPr>
          <w:b w:val="0"/>
          <w:i/>
        </w:rPr>
        <w:t>habet</w:t>
      </w:r>
      <w:r>
        <w:rPr>
          <w:b w:val="0"/>
          <w:i w:val="0"/>
        </w:rPr>
        <w:t xml:space="preserve">; </w:t>
      </w:r>
      <w:r>
        <w:rPr>
          <w:b w:val="0"/>
          <w:i/>
        </w:rPr>
        <w:t>habuerit</w:t>
      </w:r>
      <w:r>
        <w:rPr>
          <w:b w:val="0"/>
          <w:i w:val="0"/>
        </w:rPr>
        <w:t>.</w:t>
      </w:r>
    </w:p>
    <w:p>
      <w:pPr>
        <w:widowControl/>
      </w:pPr>
      <w:r>
        <w:rPr>
          <w:b w:val="0"/>
          <w:i w:val="0"/>
        </w:rPr>
        <w:t xml:space="preserve">To have or possess a property, capacity or received act. Having life as a proper attendant is allowed as an alternative to being life itself; the distinction matters in the death argument. References: </w:t>
      </w:r>
      <w:hyperlink w:anchor="passage-v-1-5">
        <w:r>
          <w:rPr>
            <w:color w:val="000000"/>
          </w:rPr>
          <w:t xml:space="preserve">V.1.5</w:t>
        </w:r>
      </w:hyperlink>
      <w:r>
        <w:rPr>
          <w:b w:val="0"/>
          <w:i w:val="0"/>
        </w:rPr>
        <w:t xml:space="preserve">, </w:t>
      </w:r>
      <w:hyperlink w:anchor="passage-v-4-1">
        <w:r>
          <w:rPr>
            <w:color w:val="000000"/>
          </w:rPr>
          <w:t xml:space="preserve">V.4.1</w:t>
        </w:r>
      </w:hyperlink>
      <w:r>
        <w:rPr>
          <w:b w:val="0"/>
          <w:i w:val="0"/>
        </w:rPr>
        <w:t xml:space="preserve">, </w:t>
      </w:r>
      <w:hyperlink w:anchor="passage-v-5-9">
        <w:r>
          <w:rPr>
            <w:color w:val="000000"/>
          </w:rPr>
          <w:t xml:space="preserve">V.5.9</w:t>
        </w:r>
      </w:hyperlink>
      <w:r>
        <w:rPr>
          <w:b w:val="0"/>
          <w:i w:val="0"/>
        </w:rPr>
        <w:t xml:space="preserve">, </w:t>
      </w:r>
      <w:hyperlink w:anchor="passage-v-6-1">
        <w:r>
          <w:rPr>
            <w:color w:val="000000"/>
          </w:rPr>
          <w:t xml:space="preserve">V.6.1</w:t>
        </w:r>
      </w:hyperlink>
      <w:r>
        <w:rPr>
          <w:b w:val="0"/>
          <w:i w:val="0"/>
        </w:rPr>
        <w:t xml:space="preserve">, </w:t>
      </w:r>
      <w:hyperlink w:anchor="passage-v-13-17">
        <w:r>
          <w:rPr>
            <w:color w:val="000000"/>
          </w:rPr>
          <w:t xml:space="preserve">V.13.17</w:t>
        </w:r>
      </w:hyperlink>
      <w:r>
        <w:rPr>
          <w:b w:val="0"/>
          <w:i w:val="0"/>
        </w:rPr>
        <w:t xml:space="preserve">, </w:t>
      </w:r>
      <w:hyperlink w:anchor="passage-v-14-3">
        <w:r>
          <w:rPr>
            <w:color w:val="000000"/>
          </w:rPr>
          <w:t xml:space="preserve">V.14.3</w:t>
        </w:r>
      </w:hyperlink>
      <w:r>
        <w:rPr>
          <w:b w:val="0"/>
          <w:i w:val="0"/>
        </w:rPr>
        <w:t xml:space="preserve">, </w:t>
      </w:r>
      <w:hyperlink w:anchor="passage-v-14-5">
        <w:r>
          <w:rPr>
            <w:color w:val="000000"/>
          </w:rPr>
          <w:t xml:space="preserve">V.14.5</w:t>
        </w:r>
      </w:hyperlink>
      <w:r>
        <w:rPr>
          <w:b w:val="0"/>
          <w:i w:val="0"/>
        </w:rPr>
        <w:t xml:space="preserve">, </w:t>
      </w:r>
      <w:hyperlink w:anchor="passage-v-14-8">
        <w:r>
          <w:rPr>
            <w:color w:val="000000"/>
          </w:rPr>
          <w:t xml:space="preserve">V.14.8</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794" w:name="latin-record-0553"/>
      <w:bookmarkEnd w:id="794"/>
      <w:r>
        <w:rPr>
          <w:b/>
          <w:i w:val="0"/>
        </w:rPr>
        <w:t>habere / possidere</w:t>
      </w:r>
      <w:r>
        <w:rPr>
          <w:b/>
          <w:i w:val="0"/>
        </w:rPr>
        <w:t>.</w:t>
      </w:r>
      <w:r>
        <w:rPr>
          <w:b w:val="0"/>
          <w:i w:val="0"/>
        </w:rPr>
        <w:t xml:space="preserve"> Printed forms: </w:t>
      </w:r>
      <w:r>
        <w:rPr>
          <w:b w:val="0"/>
          <w:i/>
        </w:rPr>
        <w:t>habeant</w:t>
      </w:r>
      <w:r>
        <w:rPr>
          <w:b w:val="0"/>
          <w:i w:val="0"/>
        </w:rPr>
        <w:t xml:space="preserve">; </w:t>
      </w:r>
      <w:r>
        <w:rPr>
          <w:b w:val="0"/>
          <w:i/>
        </w:rPr>
        <w:t>habeat</w:t>
      </w:r>
      <w:r>
        <w:rPr>
          <w:b w:val="0"/>
          <w:i w:val="0"/>
        </w:rPr>
        <w:t xml:space="preserve">; </w:t>
      </w:r>
      <w:r>
        <w:rPr>
          <w:b w:val="0"/>
          <w:i/>
        </w:rPr>
        <w:t>habebitur</w:t>
      </w:r>
      <w:r>
        <w:rPr>
          <w:b w:val="0"/>
          <w:i w:val="0"/>
        </w:rPr>
        <w:t xml:space="preserve">; </w:t>
      </w:r>
      <w:r>
        <w:rPr>
          <w:b w:val="0"/>
          <w:i/>
        </w:rPr>
        <w:t>habemus</w:t>
      </w:r>
      <w:r>
        <w:rPr>
          <w:b w:val="0"/>
          <w:i w:val="0"/>
        </w:rPr>
        <w:t xml:space="preserve">; </w:t>
      </w:r>
      <w:r>
        <w:rPr>
          <w:b w:val="0"/>
          <w:i/>
        </w:rPr>
        <w:t>habentur</w:t>
      </w:r>
      <w:r>
        <w:rPr>
          <w:b w:val="0"/>
          <w:i w:val="0"/>
        </w:rPr>
        <w:t xml:space="preserve">; </w:t>
      </w:r>
      <w:r>
        <w:rPr>
          <w:b w:val="0"/>
          <w:i/>
        </w:rPr>
        <w:t>habere</w:t>
      </w:r>
      <w:r>
        <w:rPr>
          <w:b w:val="0"/>
          <w:i w:val="0"/>
        </w:rPr>
        <w:t xml:space="preserve">; </w:t>
      </w:r>
      <w:r>
        <w:rPr>
          <w:b w:val="0"/>
          <w:i/>
        </w:rPr>
        <w:t>habet</w:t>
      </w:r>
      <w:r>
        <w:rPr>
          <w:b w:val="0"/>
          <w:i w:val="0"/>
        </w:rPr>
        <w:t xml:space="preserve">; </w:t>
      </w:r>
      <w:r>
        <w:rPr>
          <w:b w:val="0"/>
          <w:i/>
        </w:rPr>
        <w:t>habetur</w:t>
      </w:r>
      <w:r>
        <w:rPr>
          <w:b w:val="0"/>
          <w:i w:val="0"/>
        </w:rPr>
        <w:t xml:space="preserve">; </w:t>
      </w:r>
      <w:r>
        <w:rPr>
          <w:b w:val="0"/>
          <w:i/>
        </w:rPr>
        <w:t>habituram</w:t>
      </w:r>
      <w:r>
        <w:rPr>
          <w:b w:val="0"/>
          <w:i w:val="0"/>
        </w:rPr>
        <w:t xml:space="preserve">; </w:t>
      </w:r>
      <w:r>
        <w:rPr>
          <w:b w:val="0"/>
          <w:i/>
        </w:rPr>
        <w:t>possidet</w:t>
      </w:r>
      <w:r>
        <w:rPr>
          <w:b w:val="0"/>
          <w:i w:val="0"/>
        </w:rPr>
        <w:t xml:space="preserve">; </w:t>
      </w:r>
      <w:r>
        <w:rPr>
          <w:b w:val="0"/>
          <w:i/>
        </w:rPr>
        <w:t>possidetur</w:t>
      </w:r>
      <w:r>
        <w:rPr>
          <w:b w:val="0"/>
          <w:i w:val="0"/>
        </w:rPr>
        <w:t>.</w:t>
      </w:r>
    </w:p>
    <w:p>
      <w:pPr>
        <w:widowControl/>
      </w:pPr>
      <w:r>
        <w:rPr>
          <w:b w:val="0"/>
          <w:i w:val="0"/>
        </w:rPr>
        <w:t xml:space="preserve">Having or possessing, whose mode may be habitual, actual, cognitive or bodily. Possession of a form in mind need not be material containment; the virtue arguments also distinguish preparation from already having the completed quality. References: </w:t>
      </w:r>
      <w:hyperlink w:anchor="passage-viii-1-1">
        <w:r>
          <w:rPr>
            <w:color w:val="000000"/>
          </w:rPr>
          <w:t xml:space="preserve">VIII.1.1</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3">
        <w:r>
          <w:rPr>
            <w:color w:val="000000"/>
          </w:rPr>
          <w:t xml:space="preserve">VIII.3.3</w:t>
        </w:r>
      </w:hyperlink>
      <w:r>
        <w:rPr>
          <w:b w:val="0"/>
          <w:i w:val="0"/>
        </w:rPr>
        <w:t xml:space="preserve">, </w:t>
      </w:r>
      <w:hyperlink w:anchor="passage-viii-3-4">
        <w:r>
          <w:rPr>
            <w:color w:val="000000"/>
          </w:rPr>
          <w:t xml:space="preserve">VIII.3.4</w:t>
        </w:r>
      </w:hyperlink>
      <w:r>
        <w:rPr>
          <w:b w:val="0"/>
          <w:i w:val="0"/>
        </w:rPr>
        <w:t xml:space="preserve">, </w:t>
      </w:r>
      <w:hyperlink w:anchor="passage-viii-3-5">
        <w:r>
          <w:rPr>
            <w:color w:val="000000"/>
          </w:rPr>
          <w:t xml:space="preserve">VIII.3.5</w:t>
        </w:r>
      </w:hyperlink>
      <w:r>
        <w:rPr>
          <w:b w:val="0"/>
          <w:i w:val="0"/>
        </w:rPr>
        <w:t xml:space="preserve">, </w:t>
      </w:r>
      <w:hyperlink w:anchor="passage-viii-3-6">
        <w:r>
          <w:rPr>
            <w:color w:val="000000"/>
          </w:rPr>
          <w:t xml:space="preserve">VIII.3.6</w:t>
        </w:r>
      </w:hyperlink>
      <w:r>
        <w:rPr>
          <w:b w:val="0"/>
          <w:i w:val="0"/>
        </w:rPr>
        <w:t xml:space="preserve">, </w:t>
      </w:r>
      <w:hyperlink w:anchor="passage-viii-3-7">
        <w:r>
          <w:rPr>
            <w:color w:val="000000"/>
          </w:rPr>
          <w:t xml:space="preserve">VIII.3.7</w:t>
        </w:r>
      </w:hyperlink>
      <w:r>
        <w:rPr>
          <w:b w:val="0"/>
          <w:i w:val="0"/>
        </w:rPr>
        <w:t xml:space="preserve">, </w:t>
      </w:r>
      <w:hyperlink w:anchor="passage-viii-4-1">
        <w:r>
          <w:rPr>
            <w:color w:val="000000"/>
          </w:rPr>
          <w:t xml:space="preserve">VIII.4.1</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4-11">
        <w:r>
          <w:rPr>
            <w:color w:val="000000"/>
          </w:rPr>
          <w:t xml:space="preserve">VIII.4.11</w:t>
        </w:r>
      </w:hyperlink>
      <w:r>
        <w:rPr>
          <w:b w:val="0"/>
          <w:i w:val="0"/>
        </w:rPr>
        <w:t xml:space="preserve">, </w:t>
      </w:r>
      <w:hyperlink w:anchor="passage-viii-4-12">
        <w:r>
          <w:rPr>
            <w:color w:val="000000"/>
          </w:rPr>
          <w:t xml:space="preserve">VIII.4.12</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w:t>
      </w:r>
      <w:hyperlink w:anchor="passage-viii-8-1">
        <w:r>
          <w:rPr>
            <w:color w:val="000000"/>
          </w:rPr>
          <w:t xml:space="preserve">VIII.8.1</w:t>
        </w:r>
      </w:hyperlink>
      <w:r>
        <w:rPr>
          <w:b w:val="0"/>
          <w:i w:val="0"/>
        </w:rPr>
        <w:t xml:space="preserve">, </w:t>
      </w:r>
      <w:hyperlink w:anchor="passage-viii-10-2">
        <w:r>
          <w:rPr>
            <w:color w:val="000000"/>
          </w:rPr>
          <w:t xml:space="preserve">VIII.10.2</w:t>
        </w:r>
      </w:hyperlink>
      <w:r>
        <w:rPr>
          <w:b w:val="0"/>
          <w:i w:val="0"/>
        </w:rPr>
        <w:t xml:space="preserve">, </w:t>
      </w:r>
      <w:hyperlink w:anchor="passage-viii-11-1">
        <w:r>
          <w:rPr>
            <w:color w:val="000000"/>
          </w:rPr>
          <w:t xml:space="preserve">VIII.11.1</w:t>
        </w:r>
      </w:hyperlink>
      <w:r>
        <w:rPr>
          <w:b w:val="0"/>
          <w:i w:val="0"/>
        </w:rPr>
        <w:t xml:space="preserve">, </w:t>
      </w:r>
      <w:hyperlink w:anchor="passage-viii-12-1">
        <w:r>
          <w:rPr>
            <w:color w:val="000000"/>
          </w:rPr>
          <w:t xml:space="preserve">VIII.12.1</w:t>
        </w:r>
      </w:hyperlink>
      <w:r>
        <w:rPr>
          <w:b w:val="0"/>
          <w:i w:val="0"/>
        </w:rPr>
        <w:t xml:space="preserve">, </w:t>
      </w:r>
      <w:hyperlink w:anchor="passage-viii-13-1">
        <w:r>
          <w:rPr>
            <w:color w:val="000000"/>
          </w:rPr>
          <w:t xml:space="preserve">VIII.13.1</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795" w:name="latin-record-0554"/>
      <w:bookmarkEnd w:id="795"/>
      <w:r>
        <w:rPr>
          <w:b/>
          <w:i w:val="0"/>
        </w:rPr>
        <w:t>habitus</w:t>
      </w:r>
      <w:r>
        <w:rPr>
          <w:b/>
          <w:i w:val="0"/>
        </w:rPr>
        <w:t>.</w:t>
      </w:r>
      <w:r>
        <w:rPr>
          <w:b w:val="0"/>
          <w:i w:val="0"/>
        </w:rPr>
        <w:t xml:space="preserve"> Printed forms: </w:t>
      </w:r>
      <w:r>
        <w:rPr>
          <w:b w:val="0"/>
          <w:i/>
        </w:rPr>
        <w:t>habitum</w:t>
      </w:r>
      <w:r>
        <w:rPr>
          <w:b w:val="0"/>
          <w:i w:val="0"/>
        </w:rPr>
        <w:t xml:space="preserve">; </w:t>
      </w:r>
      <w:r>
        <w:rPr>
          <w:b w:val="0"/>
          <w:i/>
        </w:rPr>
        <w:t>habitus</w:t>
      </w:r>
      <w:r>
        <w:rPr>
          <w:b w:val="0"/>
          <w:i w:val="0"/>
        </w:rPr>
        <w:t>.</w:t>
      </w:r>
    </w:p>
    <w:p>
      <w:pPr>
        <w:widowControl/>
      </w:pPr>
      <w:r>
        <w:rPr>
          <w:b w:val="0"/>
          <w:i w:val="0"/>
        </w:rPr>
        <w:t xml:space="preserve">Settled possession or condition, rather than always a momentary act. Knowledge may be one act or habit; in the mental-union argument habitus names the incorporeal condition into which received forms are brought. References: </w:t>
      </w:r>
      <w:hyperlink w:anchor="passage-viii-3-8">
        <w:r>
          <w:rPr>
            <w:color w:val="000000"/>
          </w:rPr>
          <w:t xml:space="preserve">VIII.3.8</w:t>
        </w:r>
      </w:hyperlink>
      <w:r>
        <w:rPr>
          <w:b w:val="0"/>
          <w:i w:val="0"/>
        </w:rPr>
        <w:t xml:space="preserve">, </w:t>
      </w:r>
      <w:hyperlink w:anchor="passage-viii-4-5">
        <w:r>
          <w:rPr>
            <w:color w:val="000000"/>
          </w:rPr>
          <w:t xml:space="preserve">VIII.4.5</w:t>
        </w:r>
      </w:hyperlink>
      <w:r>
        <w:rPr>
          <w:b w:val="0"/>
          <w:i w:val="0"/>
        </w:rPr>
        <w:t xml:space="preserve">, </w:t>
      </w:r>
      <w:hyperlink w:anchor="passage-viii-4-11">
        <w:r>
          <w:rPr>
            <w:color w:val="000000"/>
          </w:rPr>
          <w:t xml:space="preserve">VIII.4.11</w:t>
        </w:r>
      </w:hyperlink>
      <w:r>
        <w:rPr>
          <w:b w:val="0"/>
          <w:i w:val="0"/>
        </w:rPr>
        <w:t xml:space="preserve">, </w:t>
      </w:r>
      <w:hyperlink w:anchor="passage-viii-7-1">
        <w:r>
          <w:rPr>
            <w:color w:val="000000"/>
          </w:rPr>
          <w:t xml:space="preserve">VIII.7.1</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796" w:name="latin-record-0555"/>
      <w:bookmarkEnd w:id="796"/>
      <w:r>
        <w:rPr>
          <w:b/>
          <w:i w:val="0"/>
        </w:rPr>
        <w:t>haerere</w:t>
      </w:r>
      <w:r>
        <w:rPr>
          <w:b/>
          <w:i w:val="0"/>
        </w:rPr>
        <w:t>.</w:t>
      </w:r>
      <w:r>
        <w:rPr>
          <w:b w:val="0"/>
          <w:i w:val="0"/>
        </w:rPr>
        <w:t xml:space="preserve"> Printed forms: </w:t>
      </w:r>
      <w:r>
        <w:rPr>
          <w:b w:val="0"/>
          <w:i/>
        </w:rPr>
        <w:t>divinis haeret</w:t>
      </w:r>
      <w:r>
        <w:rPr>
          <w:b w:val="0"/>
          <w:i w:val="0"/>
        </w:rPr>
        <w:t xml:space="preserve">; </w:t>
      </w:r>
      <w:r>
        <w:rPr>
          <w:b w:val="0"/>
          <w:i/>
        </w:rPr>
        <w:t>mortalibus</w:t>
      </w:r>
      <w:r>
        <w:rPr>
          <w:b w:val="0"/>
          <w:i w:val="0"/>
        </w:rPr>
        <w:t>.</w:t>
      </w:r>
    </w:p>
    <w:p>
      <w:pPr>
        <w:widowControl/>
      </w:pPr>
      <w:r>
        <w:rPr>
          <w:b w:val="0"/>
          <w:i w:val="0"/>
        </w:rPr>
        <w:t xml:space="preserve">To cleave or adhere to an object. Attachment to divine things exemplifies generation, attachment to mortal things corruption, in the psychic mapping.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797" w:name="latin-record-0556"/>
      <w:bookmarkEnd w:id="797"/>
      <w:r>
        <w:rPr>
          <w:b/>
          <w:i w:val="0"/>
        </w:rPr>
        <w:t>haerere / inhaerere</w:t>
      </w:r>
      <w:r>
        <w:rPr>
          <w:b/>
          <w:i w:val="0"/>
        </w:rPr>
        <w:t>.</w:t>
      </w:r>
      <w:r>
        <w:rPr>
          <w:b w:val="0"/>
          <w:i w:val="0"/>
        </w:rPr>
        <w:t xml:space="preserve"> Printed forms: </w:t>
      </w:r>
      <w:r>
        <w:rPr>
          <w:b w:val="0"/>
          <w:i/>
        </w:rPr>
        <w:t>haerent</w:t>
      </w:r>
      <w:r>
        <w:rPr>
          <w:b w:val="0"/>
          <w:i w:val="0"/>
        </w:rPr>
        <w:t xml:space="preserve">; </w:t>
      </w:r>
      <w:r>
        <w:rPr>
          <w:b w:val="0"/>
          <w:i/>
        </w:rPr>
        <w:t>haerentem</w:t>
      </w:r>
      <w:r>
        <w:rPr>
          <w:b w:val="0"/>
          <w:i w:val="0"/>
        </w:rPr>
        <w:t xml:space="preserve">; </w:t>
      </w:r>
      <w:r>
        <w:rPr>
          <w:b w:val="0"/>
          <w:i/>
        </w:rPr>
        <w:t>haerere</w:t>
      </w:r>
      <w:r>
        <w:rPr>
          <w:b w:val="0"/>
          <w:i w:val="0"/>
        </w:rPr>
        <w:t xml:space="preserve">; </w:t>
      </w:r>
      <w:r>
        <w:rPr>
          <w:b w:val="0"/>
          <w:i/>
        </w:rPr>
        <w:t>haeret</w:t>
      </w:r>
      <w:r>
        <w:rPr>
          <w:b w:val="0"/>
          <w:i w:val="0"/>
        </w:rPr>
        <w:t xml:space="preserve">; </w:t>
      </w:r>
      <w:r>
        <w:rPr>
          <w:b w:val="0"/>
          <w:i/>
        </w:rPr>
        <w:t>inhaerentem</w:t>
      </w:r>
      <w:r>
        <w:rPr>
          <w:b w:val="0"/>
          <w:i w:val="0"/>
        </w:rPr>
        <w:t xml:space="preserve">; </w:t>
      </w:r>
      <w:r>
        <w:rPr>
          <w:b w:val="0"/>
          <w:i/>
        </w:rPr>
        <w:t>inhaerere</w:t>
      </w:r>
      <w:r>
        <w:rPr>
          <w:b w:val="0"/>
          <w:i w:val="0"/>
        </w:rPr>
        <w:t xml:space="preserve">; </w:t>
      </w:r>
      <w:r>
        <w:rPr>
          <w:b w:val="0"/>
          <w:i/>
        </w:rPr>
        <w:t>inhaeret</w:t>
      </w:r>
      <w:r>
        <w:rPr>
          <w:b w:val="0"/>
          <w:i w:val="0"/>
        </w:rPr>
        <w:t>.</w:t>
      </w:r>
    </w:p>
    <w:p>
      <w:pPr>
        <w:widowControl/>
      </w:pPr>
      <w:r>
        <w:rPr>
          <w:b w:val="0"/>
          <w:i w:val="0"/>
        </w:rPr>
        <w:t xml:space="preserve">To adhere or inhere, with materially dependent and reflexive uses. A bodily form adheres to matter; a separate form adheres to itself. The identity of the object matters to the argument. References: </w:t>
      </w:r>
      <w:hyperlink w:anchor="passage-v-3-1">
        <w:r>
          <w:rPr>
            <w:color w:val="000000"/>
          </w:rPr>
          <w:t xml:space="preserve">V.3.1</w:t>
        </w:r>
      </w:hyperlink>
      <w:r>
        <w:rPr>
          <w:b w:val="0"/>
          <w:i w:val="0"/>
        </w:rPr>
        <w:t xml:space="preserve">, </w:t>
      </w:r>
      <w:hyperlink w:anchor="passage-v-9-2">
        <w:r>
          <w:rPr>
            <w:color w:val="000000"/>
          </w:rPr>
          <w:t xml:space="preserve">V.9.2</w:t>
        </w:r>
      </w:hyperlink>
      <w:r>
        <w:rPr>
          <w:b w:val="0"/>
          <w:i w:val="0"/>
        </w:rPr>
        <w:t xml:space="preserve">, </w:t>
      </w:r>
      <w:hyperlink w:anchor="passage-v-9-4">
        <w:r>
          <w:rPr>
            <w:color w:val="000000"/>
          </w:rPr>
          <w:t xml:space="preserve">V.9.4</w:t>
        </w:r>
      </w:hyperlink>
      <w:r>
        <w:rPr>
          <w:b w:val="0"/>
          <w:i w:val="0"/>
        </w:rPr>
        <w:t xml:space="preserve">, </w:t>
      </w:r>
      <w:hyperlink w:anchor="passage-v-10-2">
        <w:r>
          <w:rPr>
            <w:color w:val="000000"/>
          </w:rPr>
          <w:t xml:space="preserve">V.10.2</w:t>
        </w:r>
      </w:hyperlink>
      <w:r>
        <w:rPr>
          <w:b w:val="0"/>
          <w:i w:val="0"/>
        </w:rPr>
        <w:t xml:space="preserve">, </w:t>
      </w:r>
      <w:hyperlink w:anchor="passage-v-13-13">
        <w:r>
          <w:rPr>
            <w:color w:val="000000"/>
          </w:rPr>
          <w:t xml:space="preserve">V.13.13</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798" w:name="latin-record-0557"/>
      <w:bookmarkEnd w:id="798"/>
      <w:r>
        <w:rPr>
          <w:b/>
          <w:i w:val="0"/>
        </w:rPr>
        <w:t>harmonia</w:t>
      </w:r>
      <w:r>
        <w:rPr>
          <w:b/>
          <w:i w:val="0"/>
        </w:rPr>
        <w:t>.</w:t>
      </w:r>
      <w:r>
        <w:rPr>
          <w:b w:val="0"/>
          <w:i w:val="0"/>
        </w:rPr>
        <w:t xml:space="preserve"> Printed forms: </w:t>
      </w:r>
      <w:r>
        <w:rPr>
          <w:b w:val="0"/>
          <w:i/>
        </w:rPr>
        <w:t>harmonia</w:t>
      </w:r>
      <w:r>
        <w:rPr>
          <w:b w:val="0"/>
          <w:i w:val="0"/>
        </w:rPr>
        <w:t>.</w:t>
      </w:r>
    </w:p>
    <w:p>
      <w:pPr>
        <w:widowControl/>
      </w:pPr>
      <w:r>
        <w:rPr>
          <w:b w:val="0"/>
          <w:i w:val="0"/>
        </w:rPr>
        <w:t xml:space="preserve">An ordered proportion or concord of bodily parts. It names one formulation of the fourth position, alongside bodily motive power; it need not mean audible musical sound.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799" w:name="latin-record-0558"/>
      <w:bookmarkEnd w:id="799"/>
      <w:r>
        <w:rPr>
          <w:b/>
          <w:i w:val="0"/>
        </w:rPr>
        <w:t>harmonia / progenitus</w:t>
      </w:r>
      <w:r>
        <w:rPr>
          <w:b/>
          <w:i w:val="0"/>
        </w:rPr>
        <w:t>.</w:t>
      </w:r>
      <w:r>
        <w:rPr>
          <w:b w:val="0"/>
          <w:i w:val="0"/>
        </w:rPr>
        <w:t xml:space="preserve"> Printed forms: </w:t>
      </w:r>
      <w:r>
        <w:rPr>
          <w:b w:val="0"/>
          <w:i/>
        </w:rPr>
        <w:t>harmonia</w:t>
      </w:r>
      <w:r>
        <w:rPr>
          <w:b w:val="0"/>
          <w:i w:val="0"/>
        </w:rPr>
        <w:t xml:space="preserve">; </w:t>
      </w:r>
      <w:r>
        <w:rPr>
          <w:b w:val="0"/>
          <w:i/>
        </w:rPr>
        <w:t>harmoniam</w:t>
      </w:r>
      <w:r>
        <w:rPr>
          <w:b w:val="0"/>
          <w:i w:val="0"/>
        </w:rPr>
        <w:t xml:space="preserve">; </w:t>
      </w:r>
      <w:r>
        <w:rPr>
          <w:b w:val="0"/>
          <w:i/>
        </w:rPr>
        <w:t>progenitam</w:t>
      </w:r>
      <w:r>
        <w:rPr>
          <w:b w:val="0"/>
          <w:i w:val="0"/>
        </w:rPr>
        <w:t>.</w:t>
      </w:r>
    </w:p>
    <w:p>
      <w:pPr>
        <w:widowControl/>
      </w:pPr>
      <w:r>
        <w:rPr>
          <w:b w:val="0"/>
          <w:i w:val="0"/>
        </w:rPr>
        <w:t xml:space="preserve">Harmony and its being generated from another condition. The disputed view makes soul an outcome of constituted humors, which would leave it an accident dependent on them.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800" w:name="latin-record-0559"/>
      <w:bookmarkEnd w:id="800"/>
      <w:r>
        <w:rPr>
          <w:b/>
          <w:i w:val="0"/>
        </w:rPr>
        <w:t>haurire</w:t>
      </w:r>
      <w:r>
        <w:rPr>
          <w:b/>
          <w:i w:val="0"/>
        </w:rPr>
        <w:t>.</w:t>
      </w:r>
      <w:r>
        <w:rPr>
          <w:b w:val="0"/>
          <w:i w:val="0"/>
        </w:rPr>
        <w:t xml:space="preserve"> Printed forms: </w:t>
      </w:r>
      <w:r>
        <w:rPr>
          <w:b w:val="0"/>
          <w:i/>
        </w:rPr>
        <w:t>hauriatur</w:t>
      </w:r>
      <w:r>
        <w:rPr>
          <w:b w:val="0"/>
          <w:i w:val="0"/>
        </w:rPr>
        <w:t xml:space="preserve">; </w:t>
      </w:r>
      <w:r>
        <w:rPr>
          <w:b w:val="0"/>
          <w:i/>
        </w:rPr>
        <w:t>haurientis</w:t>
      </w:r>
      <w:r>
        <w:rPr>
          <w:b w:val="0"/>
          <w:i w:val="0"/>
        </w:rPr>
        <w:t xml:space="preserve">; </w:t>
      </w:r>
      <w:r>
        <w:rPr>
          <w:b w:val="0"/>
          <w:i/>
        </w:rPr>
        <w:t>haurire</w:t>
      </w:r>
      <w:r>
        <w:rPr>
          <w:b w:val="0"/>
          <w:i w:val="0"/>
        </w:rPr>
        <w:t xml:space="preserve">; </w:t>
      </w:r>
      <w:r>
        <w:rPr>
          <w:b w:val="0"/>
          <w:i/>
        </w:rPr>
        <w:t>haurit</w:t>
      </w:r>
      <w:r>
        <w:rPr>
          <w:b w:val="0"/>
          <w:i w:val="0"/>
        </w:rPr>
        <w:t xml:space="preserve">; </w:t>
      </w:r>
      <w:r>
        <w:rPr>
          <w:b w:val="0"/>
          <w:i/>
        </w:rPr>
        <w:t>hausti</w:t>
      </w:r>
      <w:r>
        <w:rPr>
          <w:b w:val="0"/>
          <w:i w:val="0"/>
        </w:rPr>
        <w:t>.</w:t>
      </w:r>
    </w:p>
    <w:p>
      <w:pPr>
        <w:widowControl/>
      </w:pPr>
      <w:r>
        <w:rPr>
          <w:b w:val="0"/>
          <w:i w:val="0"/>
        </w:rPr>
        <w:t xml:space="preserve">To draw or drink in a supply. The soul continually draws being or life; the withdrawal objection asks whether receiver or giver could stop. References: </w:t>
      </w:r>
      <w:hyperlink w:anchor="passage-v-8-3">
        <w:r>
          <w:rPr>
            <w:color w:val="000000"/>
          </w:rPr>
          <w:t xml:space="preserve">V.8.3</w:t>
        </w:r>
      </w:hyperlink>
      <w:r>
        <w:rPr>
          <w:b w:val="0"/>
          <w:i w:val="0"/>
        </w:rPr>
        <w:t xml:space="preserve">, </w:t>
      </w:r>
      <w:hyperlink w:anchor="passage-v-10-3">
        <w:r>
          <w:rPr>
            <w:color w:val="000000"/>
          </w:rPr>
          <w:t xml:space="preserve">V.10.3</w:t>
        </w:r>
      </w:hyperlink>
      <w:r>
        <w:rPr>
          <w:b w:val="0"/>
          <w:i w:val="0"/>
        </w:rPr>
        <w:t xml:space="preserve">, </w:t>
      </w:r>
      <w:hyperlink w:anchor="passage-v-12-12">
        <w:r>
          <w:rPr>
            <w:color w:val="000000"/>
          </w:rPr>
          <w:t xml:space="preserve">V.12.12</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801" w:name="latin-record-0560"/>
      <w:bookmarkEnd w:id="801"/>
      <w:r>
        <w:rPr>
          <w:b/>
          <w:i w:val="0"/>
        </w:rPr>
        <w:t>haurire; perdere; servare</w:t>
      </w:r>
      <w:r>
        <w:rPr>
          <w:b/>
          <w:i w:val="0"/>
        </w:rPr>
        <w:t>.</w:t>
      </w:r>
      <w:r>
        <w:rPr>
          <w:b w:val="0"/>
          <w:i w:val="0"/>
        </w:rPr>
        <w:t xml:space="preserve"> Printed forms: </w:t>
      </w:r>
      <w:r>
        <w:rPr>
          <w:b w:val="0"/>
          <w:i/>
        </w:rPr>
        <w:t>hauriuntur</w:t>
      </w:r>
      <w:r>
        <w:rPr>
          <w:b w:val="0"/>
          <w:i w:val="0"/>
        </w:rPr>
        <w:t xml:space="preserve">; </w:t>
      </w:r>
      <w:r>
        <w:rPr>
          <w:b w:val="0"/>
          <w:i/>
        </w:rPr>
        <w:t>perdentur</w:t>
      </w:r>
      <w:r>
        <w:rPr>
          <w:b w:val="0"/>
          <w:i w:val="0"/>
        </w:rPr>
        <w:t xml:space="preserve">; </w:t>
      </w:r>
      <w:r>
        <w:rPr>
          <w:b w:val="0"/>
          <w:i/>
        </w:rPr>
        <w:t>servetur</w:t>
      </w:r>
      <w:r>
        <w:rPr>
          <w:b w:val="0"/>
          <w:i w:val="0"/>
        </w:rPr>
        <w:t>.</w:t>
      </w:r>
    </w:p>
    <w:p>
      <w:pPr>
        <w:widowControl/>
      </w:pPr>
      <w:r>
        <w:rPr>
          <w:b w:val="0"/>
          <w:i w:val="0"/>
        </w:rPr>
        <w:t xml:space="preserve">To draw in, destroy and preserve. The hypothesis makes many incoming souls perish to maintain one, which Ficino rejects by natural goodness. References: </w:t>
      </w:r>
      <w:hyperlink w:anchor="passage-vi-13-4">
        <w:r>
          <w:rPr>
            <w:color w:val="000000"/>
          </w:rPr>
          <w:t xml:space="preserve">VI.13.4</w:t>
        </w:r>
      </w:hyperlink>
      <w:r>
        <w:rPr>
          <w:b w:val="0"/>
          <w:i w:val="0"/>
        </w:rPr>
        <w:t xml:space="preserve">. See </w:t>
      </w:r>
      <w:hyperlink w:anchor="food-lending-and-borrowing-life">
        <w:r>
          <w:rPr>
            <w:color w:val="000000"/>
          </w:rPr>
          <w:t xml:space="preserve">Food, lending and borrowing life</w:t>
        </w:r>
      </w:hyperlink>
      <w:r>
        <w:rPr>
          <w:b w:val="0"/>
          <w:i w:val="0"/>
        </w:rPr>
        <w:t>.</w:t>
      </w:r>
    </w:p>
    <w:p>
      <w:pPr>
        <w:keepNext/>
        <w:widowControl/>
      </w:pPr>
      <w:bookmarkStart w:id="802" w:name="latin-record-0561"/>
      <w:bookmarkEnd w:id="802"/>
      <w:r>
        <w:rPr>
          <w:b/>
          <w:i w:val="0"/>
        </w:rPr>
        <w:t>Heraclitus; lux sicca</w:t>
      </w:r>
      <w:r>
        <w:rPr>
          <w:b/>
          <w:i w:val="0"/>
        </w:rPr>
        <w:t>.</w:t>
      </w:r>
      <w:r>
        <w:rPr>
          <w:b w:val="0"/>
          <w:i w:val="0"/>
        </w:rPr>
        <w:t xml:space="preserve"> Printed forms: </w:t>
      </w:r>
      <w:r>
        <w:rPr>
          <w:b w:val="0"/>
          <w:i/>
        </w:rPr>
        <w:t>anima sapientissima</w:t>
      </w:r>
      <w:r>
        <w:rPr>
          <w:b w:val="0"/>
          <w:i w:val="0"/>
        </w:rPr>
        <w:t xml:space="preserve">; </w:t>
      </w:r>
      <w:r>
        <w:rPr>
          <w:b w:val="0"/>
          <w:i/>
        </w:rPr>
        <w:t>Heraclitus</w:t>
      </w:r>
      <w:r>
        <w:rPr>
          <w:b w:val="0"/>
          <w:i w:val="0"/>
        </w:rPr>
        <w:t xml:space="preserve">; </w:t>
      </w:r>
      <w:r>
        <w:rPr>
          <w:b w:val="0"/>
          <w:i/>
        </w:rPr>
        <w:t>lux sicca</w:t>
      </w:r>
      <w:r>
        <w:rPr>
          <w:b w:val="0"/>
          <w:i w:val="0"/>
        </w:rPr>
        <w:t>.</w:t>
      </w:r>
    </w:p>
    <w:p>
      <w:pPr>
        <w:widowControl/>
      </w:pPr>
      <w:r>
        <w:rPr>
          <w:b w:val="0"/>
          <w:i w:val="0"/>
        </w:rPr>
        <w:t xml:space="preserve">Heraclitus and the maxim glossed as dry light, wisest soul. The local Greek supports Ficino’s luminous analogy; its wording is retained rather than replaced with a different familiar fragment. References: </w:t>
      </w:r>
      <w:hyperlink w:anchor="passage-vi-2-26">
        <w:r>
          <w:rPr>
            <w:color w:val="000000"/>
          </w:rPr>
          <w:t xml:space="preserve">VI.2.26</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803" w:name="latin-record-0562"/>
      <w:bookmarkEnd w:id="803"/>
      <w:r>
        <w:rPr>
          <w:b/>
          <w:i w:val="0"/>
        </w:rPr>
        <w:t>hic / ibi</w:t>
      </w:r>
      <w:r>
        <w:rPr>
          <w:b/>
          <w:i w:val="0"/>
        </w:rPr>
        <w:t>.</w:t>
      </w:r>
      <w:r>
        <w:rPr>
          <w:b w:val="0"/>
          <w:i w:val="0"/>
        </w:rPr>
        <w:t xml:space="preserve"> Printed forms: </w:t>
      </w:r>
      <w:r>
        <w:rPr>
          <w:b w:val="0"/>
          <w:i/>
        </w:rPr>
        <w:t>hic</w:t>
      </w:r>
      <w:r>
        <w:rPr>
          <w:b w:val="0"/>
          <w:i w:val="0"/>
        </w:rPr>
        <w:t xml:space="preserve">; </w:t>
      </w:r>
      <w:r>
        <w:rPr>
          <w:b w:val="0"/>
          <w:i/>
        </w:rPr>
        <w:t>ibi</w:t>
      </w:r>
      <w:r>
        <w:rPr>
          <w:b w:val="0"/>
          <w:i w:val="0"/>
        </w:rPr>
        <w:t>.</w:t>
      </w:r>
    </w:p>
    <w:p>
      <w:pPr>
        <w:widowControl/>
      </w:pPr>
      <w:r>
        <w:rPr>
          <w:b w:val="0"/>
          <w:i w:val="0"/>
        </w:rPr>
        <w:t xml:space="preserve">Here and there, deictic indications of a particular place. If a common definition included one such coordinate, every instance would be confined to the same place. References: </w:t>
      </w:r>
      <w:hyperlink w:anchor="passage-v-7-1">
        <w:r>
          <w:rPr>
            <w:color w:val="000000"/>
          </w:rPr>
          <w:t xml:space="preserve">V.7.1</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804" w:name="latin-record-0563"/>
      <w:bookmarkEnd w:id="804"/>
      <w:r>
        <w:rPr>
          <w:b/>
          <w:i w:val="0"/>
        </w:rPr>
        <w:t>Hippias; Hesiodus; Pronopides</w:t>
      </w:r>
      <w:r>
        <w:rPr>
          <w:b/>
          <w:i w:val="0"/>
        </w:rPr>
        <w:t>.</w:t>
      </w:r>
      <w:r>
        <w:rPr>
          <w:b w:val="0"/>
          <w:i w:val="0"/>
        </w:rPr>
        <w:t xml:space="preserve"> Printed forms: </w:t>
      </w:r>
      <w:r>
        <w:rPr>
          <w:b w:val="0"/>
          <w:i/>
        </w:rPr>
        <w:t>Hesiodus</w:t>
      </w:r>
      <w:r>
        <w:rPr>
          <w:b w:val="0"/>
          <w:i w:val="0"/>
        </w:rPr>
        <w:t xml:space="preserve">; </w:t>
      </w:r>
      <w:r>
        <w:rPr>
          <w:b w:val="0"/>
          <w:i/>
        </w:rPr>
        <w:t>Hippias</w:t>
      </w:r>
      <w:r>
        <w:rPr>
          <w:b w:val="0"/>
          <w:i w:val="0"/>
        </w:rPr>
        <w:t xml:space="preserve">; </w:t>
      </w:r>
      <w:r>
        <w:rPr>
          <w:b w:val="0"/>
          <w:i/>
        </w:rPr>
        <w:t>Pronopides</w:t>
      </w:r>
      <w:r>
        <w:rPr>
          <w:b w:val="0"/>
          <w:i w:val="0"/>
        </w:rPr>
        <w:t>.</w:t>
      </w:r>
    </w:p>
    <w:p>
      <w:pPr>
        <w:widowControl/>
      </w:pPr>
      <w:r>
        <w:rPr>
          <w:b w:val="0"/>
          <w:i w:val="0"/>
        </w:rPr>
        <w:t xml:space="preserve">The names attached to watery soul and to earthy soul respectively. Ficino assigns water to Hippias, earth to Hesiod and Pronopides; no silent correction of the unusual name is made.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805" w:name="latin-record-0564"/>
      <w:bookmarkEnd w:id="805"/>
      <w:r>
        <w:rPr>
          <w:b/>
          <w:i w:val="0"/>
        </w:rPr>
        <w:t>hodie / cras</w:t>
      </w:r>
      <w:r>
        <w:rPr>
          <w:b/>
          <w:i w:val="0"/>
        </w:rPr>
        <w:t>.</w:t>
      </w:r>
      <w:r>
        <w:rPr>
          <w:b w:val="0"/>
          <w:i w:val="0"/>
        </w:rPr>
        <w:t xml:space="preserve"> Printed forms: </w:t>
      </w:r>
      <w:r>
        <w:rPr>
          <w:b w:val="0"/>
          <w:i/>
        </w:rPr>
        <w:t>cras</w:t>
      </w:r>
      <w:r>
        <w:rPr>
          <w:b w:val="0"/>
          <w:i w:val="0"/>
        </w:rPr>
        <w:t xml:space="preserve">; </w:t>
      </w:r>
      <w:r>
        <w:rPr>
          <w:b w:val="0"/>
          <w:i/>
        </w:rPr>
        <w:t>hodie</w:t>
      </w:r>
      <w:r>
        <w:rPr>
          <w:b w:val="0"/>
          <w:i w:val="0"/>
        </w:rPr>
        <w:t>.</w:t>
      </w:r>
    </w:p>
    <w:p>
      <w:pPr>
        <w:widowControl/>
      </w:pPr>
      <w:r>
        <w:rPr>
          <w:b w:val="0"/>
          <w:i w:val="0"/>
        </w:rPr>
        <w:t xml:space="preserve">Today and tomorrow, examples of particular temporal coordinates. They specify an occurrence rather than the unrestricted defining account of a comet. References: </w:t>
      </w:r>
      <w:hyperlink w:anchor="passage-v-7-1">
        <w:r>
          <w:rPr>
            <w:color w:val="000000"/>
          </w:rPr>
          <w:t xml:space="preserve">V.7.1</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806" w:name="latin-record-0565"/>
      <w:bookmarkEnd w:id="806"/>
      <w:r>
        <w:rPr>
          <w:b/>
          <w:i w:val="0"/>
        </w:rPr>
        <w:t>homo / humanus</w:t>
      </w:r>
      <w:r>
        <w:rPr>
          <w:b/>
          <w:i w:val="0"/>
        </w:rPr>
        <w:t>.</w:t>
      </w:r>
      <w:r>
        <w:rPr>
          <w:b w:val="0"/>
          <w:i w:val="0"/>
        </w:rPr>
        <w:t xml:space="preserve"> Printed forms: </w:t>
      </w:r>
      <w:r>
        <w:rPr>
          <w:b w:val="0"/>
          <w:i/>
        </w:rPr>
        <w:t>homine</w:t>
      </w:r>
      <w:r>
        <w:rPr>
          <w:b w:val="0"/>
          <w:i w:val="0"/>
        </w:rPr>
        <w:t xml:space="preserve">; </w:t>
      </w:r>
      <w:r>
        <w:rPr>
          <w:b w:val="0"/>
          <w:i/>
        </w:rPr>
        <w:t>Hominem</w:t>
      </w:r>
      <w:r>
        <w:rPr>
          <w:b w:val="0"/>
          <w:i w:val="0"/>
        </w:rPr>
        <w:t xml:space="preserve">; </w:t>
      </w:r>
      <w:r>
        <w:rPr>
          <w:b w:val="0"/>
          <w:i/>
        </w:rPr>
        <w:t>hominem</w:t>
      </w:r>
      <w:r>
        <w:rPr>
          <w:b w:val="0"/>
          <w:i w:val="0"/>
        </w:rPr>
        <w:t xml:space="preserve">; </w:t>
      </w:r>
      <w:r>
        <w:rPr>
          <w:b w:val="0"/>
          <w:i/>
        </w:rPr>
        <w:t>homines</w:t>
      </w:r>
      <w:r>
        <w:rPr>
          <w:b w:val="0"/>
          <w:i w:val="0"/>
        </w:rPr>
        <w:t xml:space="preserve">; </w:t>
      </w:r>
      <w:r>
        <w:rPr>
          <w:b w:val="0"/>
          <w:i/>
        </w:rPr>
        <w:t>hominis</w:t>
      </w:r>
      <w:r>
        <w:rPr>
          <w:b w:val="0"/>
          <w:i w:val="0"/>
        </w:rPr>
        <w:t xml:space="preserve">; </w:t>
      </w:r>
      <w:r>
        <w:rPr>
          <w:b w:val="0"/>
          <w:i/>
        </w:rPr>
        <w:t>hominum</w:t>
      </w:r>
      <w:r>
        <w:rPr>
          <w:b w:val="0"/>
          <w:i w:val="0"/>
        </w:rPr>
        <w:t xml:space="preserve">; </w:t>
      </w:r>
      <w:r>
        <w:rPr>
          <w:b w:val="0"/>
          <w:i/>
        </w:rPr>
        <w:t>homo</w:t>
      </w:r>
      <w:r>
        <w:rPr>
          <w:b w:val="0"/>
          <w:i w:val="0"/>
        </w:rPr>
        <w:t xml:space="preserve">; </w:t>
      </w:r>
      <w:r>
        <w:rPr>
          <w:b w:val="0"/>
          <w:i/>
        </w:rPr>
        <w:t>humana</w:t>
      </w:r>
      <w:r>
        <w:rPr>
          <w:b w:val="0"/>
          <w:i w:val="0"/>
        </w:rPr>
        <w:t xml:space="preserve">; </w:t>
      </w:r>
      <w:r>
        <w:rPr>
          <w:b w:val="0"/>
          <w:i/>
        </w:rPr>
        <w:t>Humana</w:t>
      </w:r>
      <w:r>
        <w:rPr>
          <w:b w:val="0"/>
          <w:i w:val="0"/>
        </w:rPr>
        <w:t xml:space="preserve">; </w:t>
      </w:r>
      <w:r>
        <w:rPr>
          <w:b w:val="0"/>
          <w:i/>
        </w:rPr>
        <w:t>humanae</w:t>
      </w:r>
      <w:r>
        <w:rPr>
          <w:b w:val="0"/>
          <w:i w:val="0"/>
        </w:rPr>
        <w:t xml:space="preserve">; </w:t>
      </w:r>
      <w:r>
        <w:rPr>
          <w:b w:val="0"/>
          <w:i/>
        </w:rPr>
        <w:t>humanam</w:t>
      </w:r>
      <w:r>
        <w:rPr>
          <w:b w:val="0"/>
          <w:i w:val="0"/>
        </w:rPr>
        <w:t xml:space="preserve">; </w:t>
      </w:r>
      <w:r>
        <w:rPr>
          <w:b w:val="0"/>
          <w:i/>
        </w:rPr>
        <w:t>humanus</w:t>
      </w:r>
      <w:r>
        <w:rPr>
          <w:b w:val="0"/>
          <w:i w:val="0"/>
        </w:rPr>
        <w:t>.</w:t>
      </w:r>
    </w:p>
    <w:p>
      <w:pPr>
        <w:widowControl/>
      </w:pPr>
      <w:r>
        <w:rPr>
          <w:b w:val="0"/>
          <w:i w:val="0"/>
        </w:rPr>
        <w:t xml:space="preserve">A human being, or what belongs to human nature. The opening distinguishes Plato as a particular human from humanity, while the division examples distinguish human bodily parts from a human as such.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w:t>
      </w:r>
      <w:hyperlink w:anchor="passage-viii-2-3">
        <w:r>
          <w:rPr>
            <w:color w:val="000000"/>
          </w:rPr>
          <w:t xml:space="preserve">VIII.2.3</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7">
        <w:r>
          <w:rPr>
            <w:color w:val="000000"/>
          </w:rPr>
          <w:t xml:space="preserve">VIII.2.7</w:t>
        </w:r>
      </w:hyperlink>
      <w:r>
        <w:rPr>
          <w:b w:val="0"/>
          <w:i w:val="0"/>
        </w:rPr>
        <w:t xml:space="preserve">, </w:t>
      </w:r>
      <w:hyperlink w:anchor="passage-viii-3-1">
        <w:r>
          <w:rPr>
            <w:color w:val="000000"/>
          </w:rPr>
          <w:t xml:space="preserve">VIII.3.1</w:t>
        </w:r>
      </w:hyperlink>
      <w:r>
        <w:rPr>
          <w:b w:val="0"/>
          <w:i w:val="0"/>
        </w:rPr>
        <w:t xml:space="preserve">, </w:t>
      </w:r>
      <w:hyperlink w:anchor="passage-viii-4-1">
        <w:r>
          <w:rPr>
            <w:color w:val="000000"/>
          </w:rPr>
          <w:t xml:space="preserve">VIII.4.1</w:t>
        </w:r>
      </w:hyperlink>
      <w:r>
        <w:rPr>
          <w:b w:val="0"/>
          <w:i w:val="0"/>
        </w:rPr>
        <w:t xml:space="preserve">, </w:t>
      </w:r>
      <w:hyperlink w:anchor="passage-viii-4-4">
        <w:r>
          <w:rPr>
            <w:color w:val="000000"/>
          </w:rPr>
          <w:t xml:space="preserve">VIII.4.4</w:t>
        </w:r>
      </w:hyperlink>
      <w:r>
        <w:rPr>
          <w:b w:val="0"/>
          <w:i w:val="0"/>
        </w:rPr>
        <w:t xml:space="preserve">, </w:t>
      </w:r>
      <w:hyperlink w:anchor="passage-viii-4-10">
        <w:r>
          <w:rPr>
            <w:color w:val="000000"/>
          </w:rPr>
          <w:t xml:space="preserve">VIII.4.10</w:t>
        </w:r>
      </w:hyperlink>
      <w:r>
        <w:rPr>
          <w:b w:val="0"/>
          <w:i w:val="0"/>
        </w:rPr>
        <w:t xml:space="preserve">, </w:t>
      </w:r>
      <w:hyperlink w:anchor="passage-viii-4-12">
        <w:r>
          <w:rPr>
            <w:color w:val="000000"/>
          </w:rPr>
          <w:t xml:space="preserve">VIII.4.12</w:t>
        </w:r>
      </w:hyperlink>
      <w:r>
        <w:rPr>
          <w:b w:val="0"/>
          <w:i w:val="0"/>
        </w:rPr>
        <w:t xml:space="preserve">, </w:t>
      </w:r>
      <w:hyperlink w:anchor="passage-viii-6-1">
        <w:r>
          <w:rPr>
            <w:color w:val="000000"/>
          </w:rPr>
          <w:t xml:space="preserve">VIII.6.1</w:t>
        </w:r>
      </w:hyperlink>
      <w:r>
        <w:rPr>
          <w:b w:val="0"/>
          <w:i w:val="0"/>
        </w:rPr>
        <w:t xml:space="preserve">, </w:t>
      </w:r>
      <w:hyperlink w:anchor="passage-viii-8-1">
        <w:r>
          <w:rPr>
            <w:color w:val="000000"/>
          </w:rPr>
          <w:t xml:space="preserve">VIII.8.1</w:t>
        </w:r>
      </w:hyperlink>
      <w:r>
        <w:rPr>
          <w:b w:val="0"/>
          <w:i w:val="0"/>
        </w:rPr>
        <w:t xml:space="preserve">, </w:t>
      </w:r>
      <w:hyperlink w:anchor="passage-viii-10-1">
        <w:r>
          <w:rPr>
            <w:color w:val="000000"/>
          </w:rPr>
          <w:t xml:space="preserve">VIII.10.1</w:t>
        </w:r>
      </w:hyperlink>
      <w:r>
        <w:rPr>
          <w:b w:val="0"/>
          <w:i w:val="0"/>
        </w:rPr>
        <w:t xml:space="preserve">, </w:t>
      </w:r>
      <w:hyperlink w:anchor="passage-viii-13-1">
        <w:r>
          <w:rPr>
            <w:color w:val="000000"/>
          </w:rPr>
          <w:t xml:space="preserve">VIII.13.1</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807" w:name="latin-record-0566"/>
      <w:bookmarkEnd w:id="807"/>
      <w:r>
        <w:rPr>
          <w:b/>
          <w:i w:val="0"/>
        </w:rPr>
        <w:t>homo; animal; animans</w:t>
      </w:r>
      <w:r>
        <w:rPr>
          <w:b/>
          <w:i w:val="0"/>
        </w:rPr>
        <w:t>.</w:t>
      </w:r>
      <w:r>
        <w:rPr>
          <w:b w:val="0"/>
          <w:i w:val="0"/>
        </w:rPr>
        <w:t xml:space="preserve"> Printed forms: </w:t>
      </w:r>
      <w:r>
        <w:rPr>
          <w:b w:val="0"/>
          <w:i/>
        </w:rPr>
        <w:t>animal</w:t>
      </w:r>
      <w:r>
        <w:rPr>
          <w:b w:val="0"/>
          <w:i w:val="0"/>
        </w:rPr>
        <w:t xml:space="preserve">; </w:t>
      </w:r>
      <w:r>
        <w:rPr>
          <w:b w:val="0"/>
          <w:i/>
        </w:rPr>
        <w:t>animali</w:t>
      </w:r>
      <w:r>
        <w:rPr>
          <w:b w:val="0"/>
          <w:i w:val="0"/>
        </w:rPr>
        <w:t xml:space="preserve">; </w:t>
      </w:r>
      <w:r>
        <w:rPr>
          <w:b w:val="0"/>
          <w:i/>
        </w:rPr>
        <w:t>animalia</w:t>
      </w:r>
      <w:r>
        <w:rPr>
          <w:b w:val="0"/>
          <w:i w:val="0"/>
        </w:rPr>
        <w:t xml:space="preserve">; </w:t>
      </w:r>
      <w:r>
        <w:rPr>
          <w:b w:val="0"/>
          <w:i/>
        </w:rPr>
        <w:t>animalis</w:t>
      </w:r>
      <w:r>
        <w:rPr>
          <w:b w:val="0"/>
          <w:i w:val="0"/>
        </w:rPr>
        <w:t xml:space="preserve">; </w:t>
      </w:r>
      <w:r>
        <w:rPr>
          <w:b w:val="0"/>
          <w:i/>
        </w:rPr>
        <w:t>animalium</w:t>
      </w:r>
      <w:r>
        <w:rPr>
          <w:b w:val="0"/>
          <w:i w:val="0"/>
        </w:rPr>
        <w:t xml:space="preserve">; </w:t>
      </w:r>
      <w:r>
        <w:rPr>
          <w:b w:val="0"/>
          <w:i/>
        </w:rPr>
        <w:t>animantibus</w:t>
      </w:r>
      <w:r>
        <w:rPr>
          <w:b w:val="0"/>
          <w:i w:val="0"/>
        </w:rPr>
        <w:t xml:space="preserve">; </w:t>
      </w:r>
      <w:r>
        <w:rPr>
          <w:b w:val="0"/>
          <w:i/>
        </w:rPr>
        <w:t>homine</w:t>
      </w:r>
      <w:r>
        <w:rPr>
          <w:b w:val="0"/>
          <w:i w:val="0"/>
        </w:rPr>
        <w:t xml:space="preserve">; </w:t>
      </w:r>
      <w:r>
        <w:rPr>
          <w:b w:val="0"/>
          <w:i/>
        </w:rPr>
        <w:t>homines</w:t>
      </w:r>
      <w:r>
        <w:rPr>
          <w:b w:val="0"/>
          <w:i w:val="0"/>
        </w:rPr>
        <w:t xml:space="preserve">; </w:t>
      </w:r>
      <w:r>
        <w:rPr>
          <w:b w:val="0"/>
          <w:i/>
        </w:rPr>
        <w:t>hominis</w:t>
      </w:r>
      <w:r>
        <w:rPr>
          <w:b w:val="0"/>
          <w:i w:val="0"/>
        </w:rPr>
        <w:t xml:space="preserve">; </w:t>
      </w:r>
      <w:r>
        <w:rPr>
          <w:b w:val="0"/>
          <w:i/>
        </w:rPr>
        <w:t>hominum</w:t>
      </w:r>
      <w:r>
        <w:rPr>
          <w:b w:val="0"/>
          <w:i w:val="0"/>
        </w:rPr>
        <w:t xml:space="preserve">; </w:t>
      </w:r>
      <w:r>
        <w:rPr>
          <w:b w:val="0"/>
          <w:i/>
        </w:rPr>
        <w:t>homo</w:t>
      </w:r>
      <w:r>
        <w:rPr>
          <w:b w:val="0"/>
          <w:i w:val="0"/>
        </w:rPr>
        <w:t>.</w:t>
      </w:r>
    </w:p>
    <w:p>
      <w:pPr>
        <w:widowControl/>
      </w:pPr>
      <w:r>
        <w:rPr>
          <w:b w:val="0"/>
          <w:i w:val="0"/>
        </w:rPr>
        <w:t xml:space="preserve">Human being and living animal or creature. The argument aims to classify our human soul, while natural examples often range across animals and plants without establishing that every soul is rational. References: </w:t>
      </w:r>
      <w:hyperlink w:anchor="passage-vi-1-1">
        <w:r>
          <w:rPr>
            <w:color w:val="000000"/>
          </w:rPr>
          <w:t xml:space="preserve">VI.1.1</w:t>
        </w:r>
      </w:hyperlink>
      <w:r>
        <w:rPr>
          <w:b w:val="0"/>
          <w:i w:val="0"/>
        </w:rPr>
        <w:t xml:space="preserve">, </w:t>
      </w:r>
      <w:hyperlink w:anchor="passage-vi-2-1">
        <w:r>
          <w:rPr>
            <w:color w:val="000000"/>
          </w:rPr>
          <w:t xml:space="preserve">VI.2.1</w:t>
        </w:r>
      </w:hyperlink>
      <w:r>
        <w:rPr>
          <w:b w:val="0"/>
          <w:i w:val="0"/>
        </w:rPr>
        <w:t xml:space="preserve">, </w:t>
      </w:r>
      <w:hyperlink w:anchor="passage-vi-2-9">
        <w:r>
          <w:rPr>
            <w:color w:val="000000"/>
          </w:rPr>
          <w:t xml:space="preserve">VI.2.9</w:t>
        </w:r>
      </w:hyperlink>
      <w:r>
        <w:rPr>
          <w:b w:val="0"/>
          <w:i w:val="0"/>
        </w:rPr>
        <w:t xml:space="preserve">, </w:t>
      </w:r>
      <w:hyperlink w:anchor="passage-vi-2-12">
        <w:r>
          <w:rPr>
            <w:color w:val="000000"/>
          </w:rPr>
          <w:t xml:space="preserve">VI.2.12</w:t>
        </w:r>
      </w:hyperlink>
      <w:r>
        <w:rPr>
          <w:b w:val="0"/>
          <w:i w:val="0"/>
        </w:rPr>
        <w:t xml:space="preserve">, </w:t>
      </w:r>
      <w:hyperlink w:anchor="passage-vi-2-14">
        <w:r>
          <w:rPr>
            <w:color w:val="000000"/>
          </w:rPr>
          <w:t xml:space="preserve">VI.2.14</w:t>
        </w:r>
      </w:hyperlink>
      <w:r>
        <w:rPr>
          <w:b w:val="0"/>
          <w:i w:val="0"/>
        </w:rPr>
        <w:t xml:space="preserve">, </w:t>
      </w:r>
      <w:hyperlink w:anchor="passage-vi-4-1">
        <w:r>
          <w:rPr>
            <w:color w:val="000000"/>
          </w:rPr>
          <w:t xml:space="preserve">VI.4.1</w:t>
        </w:r>
      </w:hyperlink>
      <w:r>
        <w:rPr>
          <w:b w:val="0"/>
          <w:i w:val="0"/>
        </w:rPr>
        <w:t xml:space="preserve">, </w:t>
      </w:r>
      <w:hyperlink w:anchor="passage-vi-4-3">
        <w:r>
          <w:rPr>
            <w:color w:val="000000"/>
          </w:rPr>
          <w:t xml:space="preserve">VI.4.3</w:t>
        </w:r>
      </w:hyperlink>
      <w:r>
        <w:rPr>
          <w:b w:val="0"/>
          <w:i w:val="0"/>
        </w:rPr>
        <w:t xml:space="preserve">, </w:t>
      </w:r>
      <w:hyperlink w:anchor="passage-vi-7-1">
        <w:r>
          <w:rPr>
            <w:color w:val="000000"/>
          </w:rPr>
          <w:t xml:space="preserve">VI.7.1</w:t>
        </w:r>
      </w:hyperlink>
      <w:r>
        <w:rPr>
          <w:b w:val="0"/>
          <w:i w:val="0"/>
        </w:rPr>
        <w:t xml:space="preserve">, </w:t>
      </w:r>
      <w:hyperlink w:anchor="passage-vi-8-5">
        <w:r>
          <w:rPr>
            <w:color w:val="000000"/>
          </w:rPr>
          <w:t xml:space="preserve">VI.8.5</w:t>
        </w:r>
      </w:hyperlink>
      <w:r>
        <w:rPr>
          <w:b w:val="0"/>
          <w:i w:val="0"/>
        </w:rPr>
        <w:t xml:space="preserve">, </w:t>
      </w:r>
      <w:hyperlink w:anchor="passage-vi-10-1">
        <w:r>
          <w:rPr>
            <w:color w:val="000000"/>
          </w:rPr>
          <w:t xml:space="preserve">VI.10.1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808" w:name="latin-record-0567"/>
      <w:bookmarkEnd w:id="808"/>
      <w:r>
        <w:rPr>
          <w:b/>
          <w:i w:val="0"/>
        </w:rPr>
        <w:t>horologium; sonare</w:t>
      </w:r>
      <w:r>
        <w:rPr>
          <w:b/>
          <w:i w:val="0"/>
        </w:rPr>
        <w:t>.</w:t>
      </w:r>
      <w:r>
        <w:rPr>
          <w:b w:val="0"/>
          <w:i w:val="0"/>
        </w:rPr>
        <w:t xml:space="preserve"> Printed forms: </w:t>
      </w:r>
      <w:r>
        <w:rPr>
          <w:b w:val="0"/>
          <w:i/>
        </w:rPr>
        <w:t>horologio</w:t>
      </w:r>
      <w:r>
        <w:rPr>
          <w:b w:val="0"/>
          <w:i w:val="0"/>
        </w:rPr>
        <w:t xml:space="preserve">; </w:t>
      </w:r>
      <w:r>
        <w:rPr>
          <w:b w:val="0"/>
          <w:i/>
        </w:rPr>
        <w:t>sonat</w:t>
      </w:r>
      <w:r>
        <w:rPr>
          <w:b w:val="0"/>
          <w:i w:val="0"/>
        </w:rPr>
        <w:t>.</w:t>
      </w:r>
    </w:p>
    <w:p>
      <w:pPr>
        <w:widowControl/>
      </w:pPr>
      <w:r>
        <w:rPr>
          <w:b w:val="0"/>
          <w:i w:val="0"/>
        </w:rPr>
        <w:t xml:space="preserve">Clock and sounding. The third analogy exhibits coordinated motion and sound through art’s ordering proportion. References: </w:t>
      </w:r>
      <w:hyperlink w:anchor="passage-vi-9-4">
        <w:r>
          <w:rPr>
            <w:color w:val="000000"/>
          </w:rPr>
          <w:t xml:space="preserve">VI.9.4</w:t>
        </w:r>
      </w:hyperlink>
      <w:r>
        <w:rPr>
          <w:b w:val="0"/>
          <w:i w:val="0"/>
        </w:rPr>
        <w:t xml:space="preserve">. See </w:t>
      </w:r>
      <w:hyperlink w:anchor="rennet-magnet-and-clock">
        <w:r>
          <w:rPr>
            <w:color w:val="000000"/>
          </w:rPr>
          <w:t xml:space="preserve">Rennet, magnet and clock</w:t>
        </w:r>
      </w:hyperlink>
      <w:r>
        <w:rPr>
          <w:b w:val="0"/>
          <w:i w:val="0"/>
        </w:rPr>
        <w:t>.</w:t>
      </w:r>
    </w:p>
    <w:p>
      <w:pPr>
        <w:keepNext/>
        <w:widowControl/>
      </w:pPr>
      <w:bookmarkStart w:id="809" w:name="latin-record-0568"/>
      <w:bookmarkEnd w:id="809"/>
      <w:r>
        <w:rPr>
          <w:b/>
          <w:i w:val="0"/>
        </w:rPr>
        <w:t>hostilis / noxius</w:t>
      </w:r>
      <w:r>
        <w:rPr>
          <w:b/>
          <w:i w:val="0"/>
        </w:rPr>
        <w:t>.</w:t>
      </w:r>
      <w:r>
        <w:rPr>
          <w:b w:val="0"/>
          <w:i w:val="0"/>
        </w:rPr>
        <w:t xml:space="preserve"> Printed forms: </w:t>
      </w:r>
      <w:r>
        <w:rPr>
          <w:b w:val="0"/>
          <w:i/>
        </w:rPr>
        <w:t>hostile</w:t>
      </w:r>
      <w:r>
        <w:rPr>
          <w:b w:val="0"/>
          <w:i w:val="0"/>
        </w:rPr>
        <w:t xml:space="preserve">; </w:t>
      </w:r>
      <w:r>
        <w:rPr>
          <w:b w:val="0"/>
          <w:i/>
        </w:rPr>
        <w:t>noxiam</w:t>
      </w:r>
      <w:r>
        <w:rPr>
          <w:b w:val="0"/>
          <w:i w:val="0"/>
        </w:rPr>
        <w:t xml:space="preserve">; </w:t>
      </w:r>
      <w:r>
        <w:rPr>
          <w:b w:val="0"/>
          <w:i/>
        </w:rPr>
        <w:t>noxium</w:t>
      </w:r>
      <w:r>
        <w:rPr>
          <w:b w:val="0"/>
          <w:i w:val="0"/>
        </w:rPr>
        <w:t>.</w:t>
      </w:r>
    </w:p>
    <w:p>
      <w:pPr>
        <w:widowControl/>
      </w:pPr>
      <w:r>
        <w:rPr>
          <w:b w:val="0"/>
          <w:i w:val="0"/>
        </w:rPr>
        <w:t xml:space="preserve">Hostile or harmful, qualifying the destructive kind of reception under discussion. The argument does not exclude all reception; it excludes a material openness to something that would destroy the soul’s essence. References: </w:t>
      </w:r>
      <w:hyperlink w:anchor="passage-v-5-9">
        <w:r>
          <w:rPr>
            <w:color w:val="000000"/>
          </w:rPr>
          <w:t xml:space="preserve">V.5.9</w:t>
        </w:r>
      </w:hyperlink>
      <w:r>
        <w:rPr>
          <w:b w:val="0"/>
          <w:i w:val="0"/>
        </w:rPr>
        <w:t xml:space="preserve">, </w:t>
      </w:r>
      <w:hyperlink w:anchor="passage-v-8-3">
        <w:r>
          <w:rPr>
            <w:color w:val="000000"/>
          </w:rPr>
          <w:t xml:space="preserve">V.8.3</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810" w:name="latin-record-0569"/>
      <w:bookmarkEnd w:id="810"/>
      <w:r>
        <w:rPr>
          <w:b/>
          <w:i w:val="0"/>
        </w:rPr>
        <w:t>humanitas</w:t>
      </w:r>
      <w:r>
        <w:rPr>
          <w:b/>
          <w:i w:val="0"/>
        </w:rPr>
        <w:t>.</w:t>
      </w:r>
      <w:r>
        <w:rPr>
          <w:b w:val="0"/>
          <w:i w:val="0"/>
        </w:rPr>
        <w:t xml:space="preserve"> Printed forms: </w:t>
      </w:r>
      <w:r>
        <w:rPr>
          <w:b w:val="0"/>
          <w:i/>
        </w:rPr>
        <w:t>humanitas</w:t>
      </w:r>
      <w:r>
        <w:rPr>
          <w:b w:val="0"/>
          <w:i w:val="0"/>
        </w:rPr>
        <w:t xml:space="preserve">; </w:t>
      </w:r>
      <w:r>
        <w:rPr>
          <w:b w:val="0"/>
          <w:i/>
        </w:rPr>
        <w:t>Humanitas</w:t>
      </w:r>
      <w:r>
        <w:rPr>
          <w:b w:val="0"/>
          <w:i w:val="0"/>
        </w:rPr>
        <w:t xml:space="preserve">; </w:t>
      </w:r>
      <w:r>
        <w:rPr>
          <w:b w:val="0"/>
          <w:i/>
        </w:rPr>
        <w:t>humanitate</w:t>
      </w:r>
      <w:r>
        <w:rPr>
          <w:b w:val="0"/>
          <w:i w:val="0"/>
        </w:rPr>
        <w:t xml:space="preserve">; </w:t>
      </w:r>
      <w:r>
        <w:rPr>
          <w:b w:val="0"/>
          <w:i/>
        </w:rPr>
        <w:t>humanitatem</w:t>
      </w:r>
      <w:r>
        <w:rPr>
          <w:b w:val="0"/>
          <w:i w:val="0"/>
        </w:rPr>
        <w:t xml:space="preserve">; </w:t>
      </w:r>
      <w:r>
        <w:rPr>
          <w:b w:val="0"/>
          <w:i/>
        </w:rPr>
        <w:t>humanitatis</w:t>
      </w:r>
      <w:r>
        <w:rPr>
          <w:b w:val="0"/>
          <w:i w:val="0"/>
        </w:rPr>
        <w:t>.</w:t>
      </w:r>
    </w:p>
    <w:p>
      <w:pPr>
        <w:widowControl/>
      </w:pPr>
      <w:r>
        <w:rPr>
          <w:b w:val="0"/>
          <w:i w:val="0"/>
        </w:rPr>
        <w:t xml:space="preserve">Humanity, the common defining nature rather than an individual human being. Humanity is not confined to Plato’s time or place, and Ariston does not generate humanity itself when begetting Plato. References: </w:t>
      </w:r>
      <w:hyperlink w:anchor="passage-v-7-1">
        <w:r>
          <w:rPr>
            <w:color w:val="000000"/>
          </w:rPr>
          <w:t xml:space="preserve">V.7.1</w:t>
        </w:r>
      </w:hyperlink>
      <w:r>
        <w:rPr>
          <w:b w:val="0"/>
          <w:i w:val="0"/>
        </w:rPr>
        <w:t xml:space="preserve">, </w:t>
      </w:r>
      <w:hyperlink w:anchor="passage-v-13-5">
        <w:r>
          <w:rPr>
            <w:color w:val="000000"/>
          </w:rPr>
          <w:t xml:space="preserve">V.13.5</w:t>
        </w:r>
      </w:hyperlink>
      <w:r>
        <w:rPr>
          <w:b w:val="0"/>
          <w:i w:val="0"/>
        </w:rPr>
        <w:t xml:space="preserve">. See </w:t>
      </w:r>
      <w:hyperlink w:anchor="participation-common-and-proper">
        <w:r>
          <w:rPr>
            <w:color w:val="000000"/>
          </w:rPr>
          <w:t xml:space="preserve">Participation, common and proper</w:t>
        </w:r>
      </w:hyperlink>
      <w:r>
        <w:rPr>
          <w:b w:val="0"/>
          <w:i w:val="0"/>
        </w:rPr>
        <w:t>.</w:t>
      </w:r>
    </w:p>
    <w:p>
      <w:pPr>
        <w:widowControl/>
      </w:pPr>
      <w:r>
        <w:rPr>
          <w:b w:val="0"/>
          <w:i w:val="0"/>
        </w:rPr>
        <w:t xml:space="preserve">Humanity, the nature by which human individuals are human. Its communication across persons, times and places supplies the opening example of universality and the ascent to an Idea. References: </w:t>
      </w:r>
      <w:hyperlink w:anchor="passage-viii-1-2">
        <w:r>
          <w:rPr>
            <w:color w:val="000000"/>
          </w:rPr>
          <w:t xml:space="preserve">VIII.1.2</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811" w:name="latin-record-0570"/>
      <w:bookmarkEnd w:id="811"/>
      <w:r>
        <w:rPr>
          <w:b/>
          <w:i w:val="0"/>
        </w:rPr>
        <w:t>humiditas / humor</w:t>
      </w:r>
      <w:r>
        <w:rPr>
          <w:b/>
          <w:i w:val="0"/>
        </w:rPr>
        <w:t>.</w:t>
      </w:r>
      <w:r>
        <w:rPr>
          <w:b w:val="0"/>
          <w:i w:val="0"/>
        </w:rPr>
        <w:t xml:space="preserve"> Printed forms: </w:t>
      </w:r>
      <w:r>
        <w:rPr>
          <w:b w:val="0"/>
          <w:i/>
        </w:rPr>
        <w:t>humiditas</w:t>
      </w:r>
      <w:r>
        <w:rPr>
          <w:b w:val="0"/>
          <w:i w:val="0"/>
        </w:rPr>
        <w:t xml:space="preserve">; </w:t>
      </w:r>
      <w:r>
        <w:rPr>
          <w:b w:val="0"/>
          <w:i/>
        </w:rPr>
        <w:t>Humiditas</w:t>
      </w:r>
      <w:r>
        <w:rPr>
          <w:b w:val="0"/>
          <w:i w:val="0"/>
        </w:rPr>
        <w:t xml:space="preserve">; </w:t>
      </w:r>
      <w:r>
        <w:rPr>
          <w:b w:val="0"/>
          <w:i/>
        </w:rPr>
        <w:t>humiditatem</w:t>
      </w:r>
      <w:r>
        <w:rPr>
          <w:b w:val="0"/>
          <w:i w:val="0"/>
        </w:rPr>
        <w:t xml:space="preserve">; </w:t>
      </w:r>
      <w:r>
        <w:rPr>
          <w:b w:val="0"/>
          <w:i/>
        </w:rPr>
        <w:t>humiditati</w:t>
      </w:r>
      <w:r>
        <w:rPr>
          <w:b w:val="0"/>
          <w:i w:val="0"/>
        </w:rPr>
        <w:t xml:space="preserve">; </w:t>
      </w:r>
      <w:r>
        <w:rPr>
          <w:b w:val="0"/>
          <w:i/>
        </w:rPr>
        <w:t>humor</w:t>
      </w:r>
      <w:r>
        <w:rPr>
          <w:b w:val="0"/>
          <w:i w:val="0"/>
        </w:rPr>
        <w:t>.</w:t>
      </w:r>
    </w:p>
    <w:p>
      <w:pPr>
        <w:widowControl/>
      </w:pPr>
      <w:r>
        <w:rPr>
          <w:b w:val="0"/>
          <w:i w:val="0"/>
        </w:rPr>
        <w:t xml:space="preserve">Moisture, shared by air and water in the Platonic account reported here. Its persistence during water-to-air transformation signals a continuing material subject; it is not the same use as plural bodily humors. References: </w:t>
      </w:r>
      <w:hyperlink w:anchor="passage-v-4-1">
        <w:r>
          <w:rPr>
            <w:color w:val="000000"/>
          </w:rPr>
          <w:t xml:space="preserve">V.4.1</w:t>
        </w:r>
      </w:hyperlink>
      <w:r>
        <w:rPr>
          <w:b w:val="0"/>
          <w:i w:val="0"/>
        </w:rPr>
        <w:t xml:space="preserve">, </w:t>
      </w:r>
      <w:hyperlink w:anchor="passage-v-4-3">
        <w:r>
          <w:rPr>
            <w:color w:val="000000"/>
          </w:rPr>
          <w:t xml:space="preserve">V.4.3</w:t>
        </w:r>
      </w:hyperlink>
      <w:r>
        <w:rPr>
          <w:b w:val="0"/>
          <w:i w:val="0"/>
        </w:rPr>
        <w:t xml:space="preserve">, </w:t>
      </w:r>
      <w:hyperlink w:anchor="passage-v-4-4">
        <w:r>
          <w:rPr>
            <w:color w:val="000000"/>
          </w:rPr>
          <w:t xml:space="preserve">V.4.4</w:t>
        </w:r>
      </w:hyperlink>
      <w:r>
        <w:rPr>
          <w:b w:val="0"/>
          <w:i w:val="0"/>
        </w:rPr>
        <w:t xml:space="preserve">, </w:t>
      </w:r>
      <w:hyperlink w:anchor="passage-v-9-1">
        <w:r>
          <w:rPr>
            <w:color w:val="000000"/>
          </w:rPr>
          <w:t xml:space="preserve">V.9.1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812" w:name="latin-record-0571"/>
      <w:bookmarkEnd w:id="812"/>
      <w:r>
        <w:rPr>
          <w:b/>
          <w:i w:val="0"/>
        </w:rPr>
        <w:t>humidus / terreus / lutulentus</w:t>
      </w:r>
      <w:r>
        <w:rPr>
          <w:b/>
          <w:i w:val="0"/>
        </w:rPr>
        <w:t>.</w:t>
      </w:r>
      <w:r>
        <w:rPr>
          <w:b w:val="0"/>
          <w:i w:val="0"/>
        </w:rPr>
        <w:t xml:space="preserve"> Printed forms: </w:t>
      </w:r>
      <w:r>
        <w:rPr>
          <w:b w:val="0"/>
          <w:i/>
        </w:rPr>
        <w:t>humidum</w:t>
      </w:r>
      <w:r>
        <w:rPr>
          <w:b w:val="0"/>
          <w:i w:val="0"/>
        </w:rPr>
        <w:t xml:space="preserve">; </w:t>
      </w:r>
      <w:r>
        <w:rPr>
          <w:b w:val="0"/>
          <w:i/>
        </w:rPr>
        <w:t>lutulentum</w:t>
      </w:r>
      <w:r>
        <w:rPr>
          <w:b w:val="0"/>
          <w:i w:val="0"/>
        </w:rPr>
        <w:t xml:space="preserve">; </w:t>
      </w:r>
      <w:r>
        <w:rPr>
          <w:b w:val="0"/>
          <w:i/>
        </w:rPr>
        <w:t>terreum</w:t>
      </w:r>
      <w:r>
        <w:rPr>
          <w:b w:val="0"/>
          <w:i w:val="0"/>
        </w:rPr>
        <w:t>.</w:t>
      </w:r>
    </w:p>
    <w:p>
      <w:pPr>
        <w:widowControl/>
      </w:pPr>
      <w:r>
        <w:rPr>
          <w:b w:val="0"/>
          <w:i w:val="0"/>
        </w:rPr>
        <w:t xml:space="preserve">Moist, earthy and muddy. The first describes the mouth’s medium, the latter pair touch’s medium; they should not be modernized into anatomical discoveries.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813" w:name="latin-record-0572"/>
      <w:bookmarkEnd w:id="813"/>
      <w:r>
        <w:rPr>
          <w:b/>
          <w:i w:val="0"/>
        </w:rPr>
        <w:t>humor / mixtio / procreare</w:t>
      </w:r>
      <w:r>
        <w:rPr>
          <w:b/>
          <w:i w:val="0"/>
        </w:rPr>
        <w:t>.</w:t>
      </w:r>
      <w:r>
        <w:rPr>
          <w:b w:val="0"/>
          <w:i w:val="0"/>
        </w:rPr>
        <w:t xml:space="preserve"> Printed forms: </w:t>
      </w:r>
      <w:r>
        <w:rPr>
          <w:b w:val="0"/>
          <w:i/>
        </w:rPr>
        <w:t>humores</w:t>
      </w:r>
      <w:r>
        <w:rPr>
          <w:b w:val="0"/>
          <w:i w:val="0"/>
        </w:rPr>
        <w:t xml:space="preserve">; </w:t>
      </w:r>
      <w:r>
        <w:rPr>
          <w:b w:val="0"/>
          <w:i/>
        </w:rPr>
        <w:t>Humores</w:t>
      </w:r>
      <w:r>
        <w:rPr>
          <w:b w:val="0"/>
          <w:i w:val="0"/>
        </w:rPr>
        <w:t xml:space="preserve">; </w:t>
      </w:r>
      <w:r>
        <w:rPr>
          <w:b w:val="0"/>
          <w:i/>
        </w:rPr>
        <w:t>mixtione</w:t>
      </w:r>
      <w:r>
        <w:rPr>
          <w:b w:val="0"/>
          <w:i w:val="0"/>
        </w:rPr>
        <w:t xml:space="preserve">; </w:t>
      </w:r>
      <w:r>
        <w:rPr>
          <w:b w:val="0"/>
          <w:i/>
        </w:rPr>
        <w:t>procreare</w:t>
      </w:r>
      <w:r>
        <w:rPr>
          <w:b w:val="0"/>
          <w:i w:val="0"/>
        </w:rPr>
        <w:t>.</w:t>
      </w:r>
    </w:p>
    <w:p>
      <w:pPr>
        <w:widowControl/>
      </w:pPr>
      <w:r>
        <w:rPr>
          <w:b w:val="0"/>
          <w:i w:val="0"/>
        </w:rPr>
        <w:t xml:space="preserve">Bodily humors, their mixture, and producing offspring or effects. Ficino denies that their mixing or concord can generate powers freer from matter, much less the soul as their source.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814" w:name="latin-record-0573"/>
      <w:bookmarkEnd w:id="814"/>
      <w:r>
        <w:rPr>
          <w:b/>
          <w:i w:val="0"/>
        </w:rPr>
        <w:t>humor; membrum; spiritus</w:t>
      </w:r>
      <w:r>
        <w:rPr>
          <w:b/>
          <w:i w:val="0"/>
        </w:rPr>
        <w:t>.</w:t>
      </w:r>
      <w:r>
        <w:rPr>
          <w:b w:val="0"/>
          <w:i w:val="0"/>
        </w:rPr>
        <w:t xml:space="preserve"> Printed forms: </w:t>
      </w:r>
      <w:r>
        <w:rPr>
          <w:b w:val="0"/>
          <w:i/>
        </w:rPr>
        <w:t>humor</w:t>
      </w:r>
      <w:r>
        <w:rPr>
          <w:b w:val="0"/>
          <w:i w:val="0"/>
        </w:rPr>
        <w:t xml:space="preserve">; </w:t>
      </w:r>
      <w:r>
        <w:rPr>
          <w:b w:val="0"/>
          <w:i/>
        </w:rPr>
        <w:t>humores</w:t>
      </w:r>
      <w:r>
        <w:rPr>
          <w:b w:val="0"/>
          <w:i w:val="0"/>
        </w:rPr>
        <w:t xml:space="preserve">; </w:t>
      </w:r>
      <w:r>
        <w:rPr>
          <w:b w:val="0"/>
          <w:i/>
        </w:rPr>
        <w:t>humoribus</w:t>
      </w:r>
      <w:r>
        <w:rPr>
          <w:b w:val="0"/>
          <w:i w:val="0"/>
        </w:rPr>
        <w:t xml:space="preserve">; </w:t>
      </w:r>
      <w:r>
        <w:rPr>
          <w:b w:val="0"/>
          <w:i/>
        </w:rPr>
        <w:t>humorum</w:t>
      </w:r>
      <w:r>
        <w:rPr>
          <w:b w:val="0"/>
          <w:i w:val="0"/>
        </w:rPr>
        <w:t xml:space="preserve">; </w:t>
      </w:r>
      <w:r>
        <w:rPr>
          <w:b w:val="0"/>
          <w:i/>
        </w:rPr>
        <w:t>membris</w:t>
      </w:r>
      <w:r>
        <w:rPr>
          <w:b w:val="0"/>
          <w:i w:val="0"/>
        </w:rPr>
        <w:t xml:space="preserve">; </w:t>
      </w:r>
      <w:r>
        <w:rPr>
          <w:b w:val="0"/>
          <w:i/>
        </w:rPr>
        <w:t>membrorum</w:t>
      </w:r>
      <w:r>
        <w:rPr>
          <w:b w:val="0"/>
          <w:i w:val="0"/>
        </w:rPr>
        <w:t xml:space="preserve">; </w:t>
      </w:r>
      <w:r>
        <w:rPr>
          <w:b w:val="0"/>
          <w:i/>
        </w:rPr>
        <w:t>spiritus</w:t>
      </w:r>
      <w:r>
        <w:rPr>
          <w:b w:val="0"/>
          <w:i w:val="0"/>
        </w:rPr>
        <w:t xml:space="preserve">; </w:t>
      </w:r>
      <w:r>
        <w:rPr>
          <w:b w:val="0"/>
          <w:i/>
        </w:rPr>
        <w:t>spirituum</w:t>
      </w:r>
      <w:r>
        <w:rPr>
          <w:b w:val="0"/>
          <w:i w:val="0"/>
        </w:rPr>
        <w:t>.</w:t>
      </w:r>
    </w:p>
    <w:p>
      <w:pPr>
        <w:widowControl/>
      </w:pPr>
      <w:r>
        <w:rPr>
          <w:b w:val="0"/>
          <w:i w:val="0"/>
        </w:rPr>
        <w:t xml:space="preserve">Humours, bodily members and physiological spirits in the natural account. Soul’s governing power regulates these instruments; the spiritual reality called spiritus in the light exercise must not be mechanically equated with physiological spirits. References: </w:t>
      </w:r>
      <w:hyperlink w:anchor="passage-vi-2-2">
        <w:r>
          <w:rPr>
            <w:color w:val="000000"/>
          </w:rPr>
          <w:t xml:space="preserve">VI.2.2</w:t>
        </w:r>
      </w:hyperlink>
      <w:r>
        <w:rPr>
          <w:b w:val="0"/>
          <w:i w:val="0"/>
        </w:rPr>
        <w:t xml:space="preserve">, </w:t>
      </w:r>
      <w:hyperlink w:anchor="passage-vi-2-26">
        <w:r>
          <w:rPr>
            <w:color w:val="000000"/>
          </w:rPr>
          <w:t xml:space="preserve">VI.2.26</w:t>
        </w:r>
      </w:hyperlink>
      <w:r>
        <w:rPr>
          <w:b w:val="0"/>
          <w:i w:val="0"/>
        </w:rPr>
        <w:t xml:space="preserve">, </w:t>
      </w:r>
      <w:hyperlink w:anchor="passage-vi-9-2">
        <w:r>
          <w:rPr>
            <w:color w:val="000000"/>
          </w:rPr>
          <w:t xml:space="preserve">VI.9.2</w:t>
        </w:r>
      </w:hyperlink>
      <w:r>
        <w:rPr>
          <w:b w:val="0"/>
          <w:i w:val="0"/>
        </w:rPr>
        <w:t xml:space="preserve">, </w:t>
      </w:r>
      <w:hyperlink w:anchor="passage-vi-9-4">
        <w:r>
          <w:rPr>
            <w:color w:val="000000"/>
          </w:rPr>
          <w:t xml:space="preserve">VI.9.4</w:t>
        </w:r>
      </w:hyperlink>
      <w:r>
        <w:rPr>
          <w:b w:val="0"/>
          <w:i w:val="0"/>
        </w:rPr>
        <w:t xml:space="preserve">, </w:t>
      </w:r>
      <w:hyperlink w:anchor="passage-vi-11-2">
        <w:r>
          <w:rPr>
            <w:color w:val="000000"/>
          </w:rPr>
          <w:t xml:space="preserve">VI.11.2</w:t>
        </w:r>
      </w:hyperlink>
      <w:r>
        <w:rPr>
          <w:b w:val="0"/>
          <w:i w:val="0"/>
        </w:rPr>
        <w:t xml:space="preserve">, </w:t>
      </w:r>
      <w:hyperlink w:anchor="passage-vi-13-8">
        <w:r>
          <w:rPr>
            <w:color w:val="000000"/>
          </w:rPr>
          <w:t xml:space="preserve">VI.13.8</w:t>
        </w:r>
      </w:hyperlink>
      <w:r>
        <w:rPr>
          <w:b w:val="0"/>
          <w:i w:val="0"/>
        </w:rPr>
        <w:t xml:space="preserve">. See </w:t>
      </w:r>
      <w:hyperlink w:anchor="rennet-magnet-and-clock">
        <w:r>
          <w:rPr>
            <w:color w:val="000000"/>
          </w:rPr>
          <w:t xml:space="preserve">Rennet, magnet and clock</w:t>
        </w:r>
      </w:hyperlink>
      <w:r>
        <w:rPr>
          <w:b w:val="0"/>
          <w:i w:val="0"/>
        </w:rPr>
        <w:t>.</w:t>
      </w:r>
    </w:p>
    <w:p>
      <w:pPr>
        <w:keepNext/>
        <w:widowControl/>
      </w:pPr>
      <w:bookmarkStart w:id="815" w:name="latin-record-0574"/>
      <w:bookmarkEnd w:id="815"/>
      <w:r>
        <w:rPr>
          <w:b/>
          <w:i w:val="0"/>
        </w:rPr>
        <w:t>humor; tabes; pinguedo</w:t>
      </w:r>
      <w:r>
        <w:rPr>
          <w:b/>
          <w:i w:val="0"/>
        </w:rPr>
        <w:t>.</w:t>
      </w:r>
      <w:r>
        <w:rPr>
          <w:b w:val="0"/>
          <w:i w:val="0"/>
        </w:rPr>
        <w:t xml:space="preserve"> Printed forms: </w:t>
      </w:r>
      <w:r>
        <w:rPr>
          <w:b w:val="0"/>
          <w:i/>
        </w:rPr>
        <w:t>pinguedine</w:t>
      </w:r>
      <w:r>
        <w:rPr>
          <w:b w:val="0"/>
          <w:i w:val="0"/>
        </w:rPr>
        <w:t xml:space="preserve">; </w:t>
      </w:r>
      <w:r>
        <w:rPr>
          <w:b w:val="0"/>
          <w:i/>
        </w:rPr>
        <w:t>quattuor humorum</w:t>
      </w:r>
      <w:r>
        <w:rPr>
          <w:b w:val="0"/>
          <w:i w:val="0"/>
        </w:rPr>
        <w:t xml:space="preserve">; </w:t>
      </w:r>
      <w:r>
        <w:rPr>
          <w:b w:val="0"/>
          <w:i/>
        </w:rPr>
        <w:t>tabe</w:t>
      </w:r>
      <w:r>
        <w:rPr>
          <w:b w:val="0"/>
          <w:i w:val="0"/>
        </w:rPr>
        <w:t>.</w:t>
      </w:r>
    </w:p>
    <w:p>
      <w:pPr>
        <w:widowControl/>
      </w:pPr>
      <w:r>
        <w:rPr>
          <w:b w:val="0"/>
          <w:i w:val="0"/>
        </w:rPr>
        <w:t xml:space="preserve">The four humours, corrupt matter and fat in the historical physiological picture. These describe the natural power’s entanglement and should not be treated as modern medical mechanisms. References: </w:t>
      </w:r>
      <w:hyperlink w:anchor="passage-vi-2-2">
        <w:r>
          <w:rPr>
            <w:color w:val="000000"/>
          </w:rPr>
          <w:t xml:space="preserve">VI.2.2</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816" w:name="latin-record-0575"/>
      <w:bookmarkEnd w:id="816"/>
      <w:r>
        <w:rPr>
          <w:b/>
          <w:i w:val="0"/>
        </w:rPr>
        <w:t>humores</w:t>
      </w:r>
      <w:r>
        <w:rPr>
          <w:b/>
          <w:i w:val="0"/>
        </w:rPr>
        <w:t>.</w:t>
      </w:r>
      <w:r>
        <w:rPr>
          <w:b w:val="0"/>
          <w:i w:val="0"/>
        </w:rPr>
        <w:t xml:space="preserve"> Printed forms: </w:t>
      </w:r>
      <w:r>
        <w:rPr>
          <w:b w:val="0"/>
          <w:i/>
        </w:rPr>
        <w:t>humorum</w:t>
      </w:r>
      <w:r>
        <w:rPr>
          <w:b w:val="0"/>
          <w:i w:val="0"/>
        </w:rPr>
        <w:t>.</w:t>
      </w:r>
    </w:p>
    <w:p>
      <w:pPr>
        <w:widowControl/>
      </w:pPr>
      <w:r>
        <w:rPr>
          <w:b w:val="0"/>
          <w:i w:val="0"/>
        </w:rPr>
        <w:t xml:space="preserve">Bodily humors, whose concord constitutes a physiological mixture in the reported account. Their harmony is classified as a composite accident, contrasted with the simple principles understood by mind. References: </w:t>
      </w:r>
      <w:hyperlink w:anchor="passage-v-15-10">
        <w:r>
          <w:rPr>
            <w:color w:val="000000"/>
          </w:rPr>
          <w:t xml:space="preserve">V.15.10</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817" w:name="latin-record-0576"/>
      <w:bookmarkEnd w:id="817"/>
      <w:r>
        <w:rPr>
          <w:b/>
          <w:i w:val="0"/>
        </w:rPr>
        <w:t>hypothetical concession</w:t>
      </w:r>
      <w:r>
        <w:rPr>
          <w:b/>
          <w:i w:val="0"/>
        </w:rPr>
        <w:t>.</w:t>
      </w:r>
      <w:r>
        <w:rPr>
          <w:b w:val="0"/>
          <w:i w:val="0"/>
        </w:rPr>
        <w:t xml:space="preserve"> Printed forms: </w:t>
      </w:r>
      <w:r>
        <w:rPr>
          <w:b w:val="0"/>
          <w:i/>
        </w:rPr>
        <w:t>Esto, si vis</w:t>
      </w:r>
      <w:r>
        <w:rPr>
          <w:b w:val="0"/>
          <w:i w:val="0"/>
        </w:rPr>
        <w:t xml:space="preserve">; </w:t>
      </w:r>
      <w:r>
        <w:rPr>
          <w:b w:val="0"/>
          <w:i/>
        </w:rPr>
        <w:t>forsitan</w:t>
      </w:r>
      <w:r>
        <w:rPr>
          <w:b w:val="0"/>
          <w:i w:val="0"/>
        </w:rPr>
        <w:t xml:space="preserve">; </w:t>
      </w:r>
      <w:r>
        <w:rPr>
          <w:b w:val="0"/>
          <w:i/>
        </w:rPr>
        <w:t>Si dixeris</w:t>
      </w:r>
      <w:r>
        <w:rPr>
          <w:b w:val="0"/>
          <w:i w:val="0"/>
        </w:rPr>
        <w:t xml:space="preserve">; </w:t>
      </w:r>
      <w:r>
        <w:rPr>
          <w:b w:val="0"/>
          <w:i/>
        </w:rPr>
        <w:t>Sint, si vis</w:t>
      </w:r>
      <w:r>
        <w:rPr>
          <w:b w:val="0"/>
          <w:i w:val="0"/>
        </w:rPr>
        <w:t>.</w:t>
      </w:r>
    </w:p>
    <w:p>
      <w:pPr>
        <w:widowControl/>
      </w:pPr>
      <w:r>
        <w:rPr>
          <w:b w:val="0"/>
          <w:i w:val="0"/>
        </w:rPr>
        <w:t xml:space="preserve">Granting a position for examination rather than affirming it. The divided-soul, line and harmony proposals are opponent positions or temporary suppositions; their rejected consequences must not be reported as doctrines. References: </w:t>
      </w:r>
      <w:hyperlink w:anchor="passage-vii-2-1">
        <w:r>
          <w:rPr>
            <w:color w:val="000000"/>
          </w:rPr>
          <w:t xml:space="preserve">VII.2.1</w:t>
        </w:r>
      </w:hyperlink>
      <w:r>
        <w:rPr>
          <w:b w:val="0"/>
          <w:i w:val="0"/>
        </w:rPr>
        <w:t xml:space="preserve">, </w:t>
      </w:r>
      <w:hyperlink w:anchor="passage-vii-2-2">
        <w:r>
          <w:rPr>
            <w:color w:val="000000"/>
          </w:rPr>
          <w:t xml:space="preserve">VII.2.2</w:t>
        </w:r>
      </w:hyperlink>
      <w:r>
        <w:rPr>
          <w:b w:val="0"/>
          <w:i w:val="0"/>
        </w:rPr>
        <w:t xml:space="preserve">, </w:t>
      </w:r>
      <w:hyperlink w:anchor="passage-vii-4-1">
        <w:r>
          <w:rPr>
            <w:color w:val="000000"/>
          </w:rPr>
          <w:t xml:space="preserve">VII.4.1</w:t>
        </w:r>
      </w:hyperlink>
      <w:r>
        <w:rPr>
          <w:b w:val="0"/>
          <w:i w:val="0"/>
        </w:rPr>
        <w:t xml:space="preserve">, </w:t>
      </w:r>
      <w:hyperlink w:anchor="passage-vii-11-1">
        <w:r>
          <w:rPr>
            <w:color w:val="000000"/>
          </w:rPr>
          <w:t xml:space="preserve">VII.11.1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818" w:name="latin-record-0577"/>
      <w:bookmarkEnd w:id="818"/>
      <w:r>
        <w:rPr>
          <w:b/>
          <w:i w:val="0"/>
        </w:rPr>
        <w:t>idea</w:t>
      </w:r>
      <w:r>
        <w:rPr>
          <w:b/>
          <w:i w:val="0"/>
        </w:rPr>
        <w:t>.</w:t>
      </w:r>
      <w:r>
        <w:rPr>
          <w:b w:val="0"/>
          <w:i w:val="0"/>
        </w:rPr>
        <w:t xml:space="preserve"> Printed forms: </w:t>
      </w:r>
      <w:r>
        <w:rPr>
          <w:b w:val="0"/>
          <w:i/>
        </w:rPr>
        <w:t>idea</w:t>
      </w:r>
      <w:r>
        <w:rPr>
          <w:b w:val="0"/>
          <w:i w:val="0"/>
        </w:rPr>
        <w:t xml:space="preserve">; </w:t>
      </w:r>
      <w:r>
        <w:rPr>
          <w:b w:val="0"/>
          <w:i/>
        </w:rPr>
        <w:t>ideae</w:t>
      </w:r>
      <w:r>
        <w:rPr>
          <w:b w:val="0"/>
          <w:i w:val="0"/>
        </w:rPr>
        <w:t xml:space="preserve">; </w:t>
      </w:r>
      <w:r>
        <w:rPr>
          <w:b w:val="0"/>
          <w:i/>
        </w:rPr>
        <w:t>ideam</w:t>
      </w:r>
      <w:r>
        <w:rPr>
          <w:b w:val="0"/>
          <w:i w:val="0"/>
        </w:rPr>
        <w:t xml:space="preserve">; </w:t>
      </w:r>
      <w:r>
        <w:rPr>
          <w:b w:val="0"/>
          <w:i/>
        </w:rPr>
        <w:t>ideaque</w:t>
      </w:r>
      <w:r>
        <w:rPr>
          <w:b w:val="0"/>
          <w:i w:val="0"/>
        </w:rPr>
        <w:t xml:space="preserve">; </w:t>
      </w:r>
      <w:r>
        <w:rPr>
          <w:b w:val="0"/>
          <w:i/>
        </w:rPr>
        <w:t>ideas</w:t>
      </w:r>
      <w:r>
        <w:rPr>
          <w:b w:val="0"/>
          <w:i w:val="0"/>
        </w:rPr>
        <w:t xml:space="preserve">; </w:t>
      </w:r>
      <w:r>
        <w:rPr>
          <w:b w:val="0"/>
          <w:i/>
        </w:rPr>
        <w:t>ideis</w:t>
      </w:r>
      <w:r>
        <w:rPr>
          <w:b w:val="0"/>
          <w:i w:val="0"/>
        </w:rPr>
        <w:t>.</w:t>
      </w:r>
    </w:p>
    <w:p>
      <w:pPr>
        <w:widowControl/>
      </w:pPr>
      <w:r>
        <w:rPr>
          <w:b w:val="0"/>
          <w:i w:val="0"/>
        </w:rPr>
        <w:t xml:space="preserve">An exemplary intelligible principle through which God produces a determinate nature. Ideas supply the stable patterns of soul and angel; the soul’s cognition of Ideas supports its aptitude for eternal life. References: </w:t>
      </w:r>
      <w:hyperlink w:anchor="passage-v-11-6">
        <w:r>
          <w:rPr>
            <w:color w:val="000000"/>
          </w:rPr>
          <w:t xml:space="preserve">V.11.6</w:t>
        </w:r>
      </w:hyperlink>
      <w:r>
        <w:rPr>
          <w:b w:val="0"/>
          <w:i w:val="0"/>
        </w:rPr>
        <w:t xml:space="preserve">, </w:t>
      </w:r>
      <w:hyperlink w:anchor="passage-v-12-14">
        <w:r>
          <w:rPr>
            <w:color w:val="000000"/>
          </w:rPr>
          <w:t xml:space="preserve">V.12.14</w:t>
        </w:r>
      </w:hyperlink>
      <w:r>
        <w:rPr>
          <w:b w:val="0"/>
          <w:i w:val="0"/>
        </w:rPr>
        <w:t xml:space="preserve">, </w:t>
      </w:r>
      <w:hyperlink w:anchor="passage-v-12-15">
        <w:r>
          <w:rPr>
            <w:color w:val="000000"/>
          </w:rPr>
          <w:t xml:space="preserve">V.12.15</w:t>
        </w:r>
      </w:hyperlink>
      <w:r>
        <w:rPr>
          <w:b w:val="0"/>
          <w:i w:val="0"/>
        </w:rPr>
        <w:t xml:space="preserve">, </w:t>
      </w:r>
      <w:hyperlink w:anchor="passage-v-13-16">
        <w:r>
          <w:rPr>
            <w:color w:val="000000"/>
          </w:rPr>
          <w:t xml:space="preserve">V.13.16</w:t>
        </w:r>
      </w:hyperlink>
      <w:r>
        <w:rPr>
          <w:b w:val="0"/>
          <w:i w:val="0"/>
        </w:rPr>
        <w:t xml:space="preserve">, </w:t>
      </w:r>
      <w:hyperlink w:anchor="passage-v-13-18">
        <w:r>
          <w:rPr>
            <w:color w:val="000000"/>
          </w:rPr>
          <w:t xml:space="preserve">V.13.18</w:t>
        </w:r>
      </w:hyperlink>
      <w:r>
        <w:rPr>
          <w:b w:val="0"/>
          <w:i w:val="0"/>
        </w:rPr>
        <w:t xml:space="preserve">. See </w:t>
      </w:r>
      <w:hyperlink w:anchor="creation-and-generation">
        <w:r>
          <w:rPr>
            <w:color w:val="000000"/>
          </w:rPr>
          <w:t xml:space="preserve">Creation and generation</w:t>
        </w:r>
      </w:hyperlink>
      <w:r>
        <w:rPr>
          <w:b w:val="0"/>
          <w:i w:val="0"/>
        </w:rPr>
        <w:t>.</w:t>
      </w:r>
    </w:p>
    <w:p>
      <w:pPr>
        <w:widowControl/>
      </w:pPr>
      <w:r>
        <w:rPr>
          <w:b w:val="0"/>
          <w:i w:val="0"/>
        </w:rPr>
        <w:t xml:space="preserve">An intelligible exemplar or principle; context distinguishes the divine source from an exemplar possessed by mind. The divine Idea grounds shared humanity, while artistic ideas within mind guide distinct acts of making.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3-6">
        <w:r>
          <w:rPr>
            <w:color w:val="000000"/>
          </w:rPr>
          <w:t xml:space="preserve">VIII.3.6</w:t>
        </w:r>
      </w:hyperlink>
      <w:r>
        <w:rPr>
          <w:b w:val="0"/>
          <w:i w:val="0"/>
        </w:rPr>
        <w:t xml:space="preserve">, </w:t>
      </w:r>
      <w:hyperlink w:anchor="passage-viii-13-1">
        <w:r>
          <w:rPr>
            <w:color w:val="000000"/>
          </w:rPr>
          <w:t xml:space="preserve">VIII.13.1</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819" w:name="latin-record-0578"/>
      <w:bookmarkEnd w:id="819"/>
      <w:r>
        <w:rPr>
          <w:b/>
          <w:i w:val="0"/>
        </w:rPr>
        <w:t>idolum / simulacrum</w:t>
      </w:r>
      <w:r>
        <w:rPr>
          <w:b/>
          <w:i w:val="0"/>
        </w:rPr>
        <w:t>.</w:t>
      </w:r>
      <w:r>
        <w:rPr>
          <w:b w:val="0"/>
          <w:i w:val="0"/>
        </w:rPr>
        <w:t xml:space="preserve"> Printed forms: </w:t>
      </w:r>
      <w:r>
        <w:rPr>
          <w:b w:val="0"/>
          <w:i/>
        </w:rPr>
        <w:t>idola</w:t>
      </w:r>
      <w:r>
        <w:rPr>
          <w:b w:val="0"/>
          <w:i w:val="0"/>
        </w:rPr>
        <w:t xml:space="preserve">; </w:t>
      </w:r>
      <w:r>
        <w:rPr>
          <w:b w:val="0"/>
          <w:i/>
        </w:rPr>
        <w:t>simulacra</w:t>
      </w:r>
      <w:r>
        <w:rPr>
          <w:b w:val="0"/>
          <w:i w:val="0"/>
        </w:rPr>
        <w:t xml:space="preserve">; </w:t>
      </w:r>
      <w:r>
        <w:rPr>
          <w:b w:val="0"/>
          <w:i/>
        </w:rPr>
        <w:t>simulacrorum</w:t>
      </w:r>
      <w:r>
        <w:rPr>
          <w:b w:val="0"/>
          <w:i w:val="0"/>
        </w:rPr>
        <w:t xml:space="preserve">; </w:t>
      </w:r>
      <w:r>
        <w:rPr>
          <w:b w:val="0"/>
          <w:i/>
        </w:rPr>
        <w:t>simulacrum</w:t>
      </w:r>
      <w:r>
        <w:rPr>
          <w:b w:val="0"/>
          <w:i w:val="0"/>
        </w:rPr>
        <w:t>.</w:t>
      </w:r>
    </w:p>
    <w:p>
      <w:pPr>
        <w:widowControl/>
      </w:pPr>
      <w:r>
        <w:rPr>
          <w:b w:val="0"/>
          <w:i w:val="0"/>
        </w:rPr>
        <w:t xml:space="preserve">An image or likeness rather than the original subsisting source. Irrational lives are called images of souls; mirror images illustrate reception without destructive alteration. References: </w:t>
      </w:r>
      <w:hyperlink w:anchor="passage-v-2-1">
        <w:r>
          <w:rPr>
            <w:color w:val="000000"/>
          </w:rPr>
          <w:t xml:space="preserve">V.2.1</w:t>
        </w:r>
      </w:hyperlink>
      <w:r>
        <w:rPr>
          <w:b w:val="0"/>
          <w:i w:val="0"/>
        </w:rPr>
        <w:t xml:space="preserve">, </w:t>
      </w:r>
      <w:hyperlink w:anchor="passage-v-8-3">
        <w:r>
          <w:rPr>
            <w:color w:val="000000"/>
          </w:rPr>
          <w:t xml:space="preserve">V.8.3</w:t>
        </w:r>
      </w:hyperlink>
      <w:r>
        <w:rPr>
          <w:b w:val="0"/>
          <w:i w:val="0"/>
        </w:rPr>
        <w:t xml:space="preserve">, </w:t>
      </w:r>
      <w:hyperlink w:anchor="passage-v-15-8">
        <w:r>
          <w:rPr>
            <w:color w:val="000000"/>
          </w:rPr>
          <w:t xml:space="preserve">V.15.8</w:t>
        </w:r>
      </w:hyperlink>
      <w:r>
        <w:rPr>
          <w:b w:val="0"/>
          <w:i w:val="0"/>
        </w:rPr>
        <w:t xml:space="preserve">. See </w:t>
      </w:r>
      <w:hyperlink w:anchor="image-shadow-and-ranked-truth">
        <w:r>
          <w:rPr>
            <w:color w:val="000000"/>
          </w:rPr>
          <w:t xml:space="preserve">Image, shadow and ranked truth</w:t>
        </w:r>
      </w:hyperlink>
      <w:r>
        <w:rPr>
          <w:b w:val="0"/>
          <w:i w:val="0"/>
        </w:rPr>
        <w:t>.</w:t>
      </w:r>
    </w:p>
    <w:p>
      <w:pPr>
        <w:keepNext/>
        <w:widowControl/>
      </w:pPr>
      <w:bookmarkStart w:id="820" w:name="latin-record-0579"/>
      <w:bookmarkEnd w:id="820"/>
      <w:r>
        <w:rPr>
          <w:b/>
          <w:i w:val="0"/>
        </w:rPr>
        <w:t>idoneus / vilis / perfectior</w:t>
      </w:r>
      <w:r>
        <w:rPr>
          <w:b/>
          <w:i w:val="0"/>
        </w:rPr>
        <w:t>.</w:t>
      </w:r>
      <w:r>
        <w:rPr>
          <w:b w:val="0"/>
          <w:i w:val="0"/>
        </w:rPr>
        <w:t xml:space="preserve"> Printed forms: </w:t>
      </w:r>
      <w:r>
        <w:rPr>
          <w:b w:val="0"/>
          <w:i/>
        </w:rPr>
        <w:t>idoneis</w:t>
      </w:r>
      <w:r>
        <w:rPr>
          <w:b w:val="0"/>
          <w:i w:val="0"/>
        </w:rPr>
        <w:t xml:space="preserve">; </w:t>
      </w:r>
      <w:r>
        <w:rPr>
          <w:b w:val="0"/>
          <w:i/>
        </w:rPr>
        <w:t>perfectioribus</w:t>
      </w:r>
      <w:r>
        <w:rPr>
          <w:b w:val="0"/>
          <w:i w:val="0"/>
        </w:rPr>
        <w:t xml:space="preserve">; </w:t>
      </w:r>
      <w:r>
        <w:rPr>
          <w:b w:val="0"/>
          <w:i/>
        </w:rPr>
        <w:t>viles</w:t>
      </w:r>
      <w:r>
        <w:rPr>
          <w:b w:val="0"/>
          <w:i w:val="0"/>
        </w:rPr>
        <w:t>.</w:t>
      </w:r>
    </w:p>
    <w:p>
      <w:pPr>
        <w:widowControl/>
      </w:pPr>
      <w:r>
        <w:rPr>
          <w:b w:val="0"/>
          <w:i w:val="0"/>
        </w:rPr>
        <w:t xml:space="preserve">Suitable, lowly in powers, and more perfect or functionally richer. Few-power souls need few instruments; more perfect souls require the differentiated organs absent from detached members.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821" w:name="latin-record-0580"/>
      <w:bookmarkEnd w:id="821"/>
      <w:r>
        <w:rPr>
          <w:b/>
          <w:i w:val="0"/>
        </w:rPr>
        <w:t>igitur; ergo; quapropter; sequitur</w:t>
      </w:r>
      <w:r>
        <w:rPr>
          <w:b/>
          <w:i w:val="0"/>
        </w:rPr>
        <w:t>.</w:t>
      </w:r>
      <w:r>
        <w:rPr>
          <w:b w:val="0"/>
          <w:i w:val="0"/>
        </w:rPr>
        <w:t xml:space="preserve"> Printed forms: </w:t>
      </w:r>
      <w:r>
        <w:rPr>
          <w:b w:val="0"/>
          <w:i/>
        </w:rPr>
        <w:t>ergo</w:t>
      </w:r>
      <w:r>
        <w:rPr>
          <w:b w:val="0"/>
          <w:i w:val="0"/>
        </w:rPr>
        <w:t xml:space="preserve">; </w:t>
      </w:r>
      <w:r>
        <w:rPr>
          <w:b w:val="0"/>
          <w:i/>
        </w:rPr>
        <w:t>Ergo</w:t>
      </w:r>
      <w:r>
        <w:rPr>
          <w:b w:val="0"/>
          <w:i w:val="0"/>
        </w:rPr>
        <w:t xml:space="preserve">; </w:t>
      </w:r>
      <w:r>
        <w:rPr>
          <w:b w:val="0"/>
          <w:i/>
        </w:rPr>
        <w:t>Igitur</w:t>
      </w:r>
      <w:r>
        <w:rPr>
          <w:b w:val="0"/>
          <w:i w:val="0"/>
        </w:rPr>
        <w:t xml:space="preserve">; </w:t>
      </w:r>
      <w:r>
        <w:rPr>
          <w:b w:val="0"/>
          <w:i/>
        </w:rPr>
        <w:t>igitur</w:t>
      </w:r>
      <w:r>
        <w:rPr>
          <w:b w:val="0"/>
          <w:i w:val="0"/>
        </w:rPr>
        <w:t xml:space="preserve">; </w:t>
      </w:r>
      <w:r>
        <w:rPr>
          <w:b w:val="0"/>
          <w:i/>
        </w:rPr>
        <w:t>Itaque</w:t>
      </w:r>
      <w:r>
        <w:rPr>
          <w:b w:val="0"/>
          <w:i w:val="0"/>
        </w:rPr>
        <w:t xml:space="preserve">; </w:t>
      </w:r>
      <w:r>
        <w:rPr>
          <w:b w:val="0"/>
          <w:i/>
        </w:rPr>
        <w:t>itaque</w:t>
      </w:r>
      <w:r>
        <w:rPr>
          <w:b w:val="0"/>
          <w:i w:val="0"/>
        </w:rPr>
        <w:t xml:space="preserve">; </w:t>
      </w:r>
      <w:r>
        <w:rPr>
          <w:b w:val="0"/>
          <w:i/>
        </w:rPr>
        <w:t>Quamobrem</w:t>
      </w:r>
      <w:r>
        <w:rPr>
          <w:b w:val="0"/>
          <w:i w:val="0"/>
        </w:rPr>
        <w:t xml:space="preserve">; </w:t>
      </w:r>
      <w:r>
        <w:rPr>
          <w:b w:val="0"/>
          <w:i/>
        </w:rPr>
        <w:t>Quapropter</w:t>
      </w:r>
      <w:r>
        <w:rPr>
          <w:b w:val="0"/>
          <w:i w:val="0"/>
        </w:rPr>
        <w:t xml:space="preserve">; </w:t>
      </w:r>
      <w:r>
        <w:rPr>
          <w:b w:val="0"/>
          <w:i/>
        </w:rPr>
        <w:t>Quare</w:t>
      </w:r>
      <w:r>
        <w:rPr>
          <w:b w:val="0"/>
          <w:i w:val="0"/>
        </w:rPr>
        <w:t xml:space="preserve">; </w:t>
      </w:r>
      <w:r>
        <w:rPr>
          <w:b w:val="0"/>
          <w:i/>
        </w:rPr>
        <w:t>Quocirca</w:t>
      </w:r>
      <w:r>
        <w:rPr>
          <w:b w:val="0"/>
          <w:i w:val="0"/>
        </w:rPr>
        <w:t xml:space="preserve">; </w:t>
      </w:r>
      <w:r>
        <w:rPr>
          <w:b w:val="0"/>
          <w:i/>
        </w:rPr>
        <w:t>sequitur</w:t>
      </w:r>
      <w:r>
        <w:rPr>
          <w:b w:val="0"/>
          <w:i w:val="0"/>
        </w:rPr>
        <w:t>.</w:t>
      </w:r>
    </w:p>
    <w:p>
      <w:pPr>
        <w:widowControl/>
      </w:pPr>
      <w:r>
        <w:rPr>
          <w:b w:val="0"/>
          <w:i w:val="0"/>
        </w:rPr>
        <w:t xml:space="preserve">Therefore, consequently, and it follows: markers of inference. These connect a specific conclusion to preceding premises, including conclusions drawn only within an opponent’s hypothesis. References: </w:t>
      </w:r>
      <w:hyperlink w:anchor="passage-vi-2-1">
        <w:r>
          <w:rPr>
            <w:color w:val="000000"/>
          </w:rPr>
          <w:t xml:space="preserve">VI.2.1</w:t>
        </w:r>
      </w:hyperlink>
      <w:r>
        <w:rPr>
          <w:b w:val="0"/>
          <w:i w:val="0"/>
        </w:rPr>
        <w:t xml:space="preserve">, </w:t>
      </w:r>
      <w:hyperlink w:anchor="passage-vi-2-6">
        <w:r>
          <w:rPr>
            <w:color w:val="000000"/>
          </w:rPr>
          <w:t xml:space="preserve">VI.2.6</w:t>
        </w:r>
      </w:hyperlink>
      <w:r>
        <w:rPr>
          <w:b w:val="0"/>
          <w:i w:val="0"/>
        </w:rPr>
        <w:t xml:space="preserve">, </w:t>
      </w:r>
      <w:hyperlink w:anchor="passage-vi-2-12">
        <w:r>
          <w:rPr>
            <w:color w:val="000000"/>
          </w:rPr>
          <w:t xml:space="preserve">VI.2.12</w:t>
        </w:r>
      </w:hyperlink>
      <w:r>
        <w:rPr>
          <w:b w:val="0"/>
          <w:i w:val="0"/>
        </w:rPr>
        <w:t xml:space="preserve">, </w:t>
      </w:r>
      <w:hyperlink w:anchor="passage-vi-2-15">
        <w:r>
          <w:rPr>
            <w:color w:val="000000"/>
          </w:rPr>
          <w:t xml:space="preserve">VI.2.15</w:t>
        </w:r>
      </w:hyperlink>
      <w:r>
        <w:rPr>
          <w:b w:val="0"/>
          <w:i w:val="0"/>
        </w:rPr>
        <w:t xml:space="preserve">, </w:t>
      </w:r>
      <w:hyperlink w:anchor="passage-vi-3-2">
        <w:r>
          <w:rPr>
            <w:color w:val="000000"/>
          </w:rPr>
          <w:t xml:space="preserve">VI.3.2</w:t>
        </w:r>
      </w:hyperlink>
      <w:r>
        <w:rPr>
          <w:b w:val="0"/>
          <w:i w:val="0"/>
        </w:rPr>
        <w:t xml:space="preserve">, </w:t>
      </w:r>
      <w:hyperlink w:anchor="passage-vi-4-2">
        <w:r>
          <w:rPr>
            <w:color w:val="000000"/>
          </w:rPr>
          <w:t xml:space="preserve">VI.4.2</w:t>
        </w:r>
      </w:hyperlink>
      <w:r>
        <w:rPr>
          <w:b w:val="0"/>
          <w:i w:val="0"/>
        </w:rPr>
        <w:t xml:space="preserve">, </w:t>
      </w:r>
      <w:hyperlink w:anchor="passage-vi-4-5">
        <w:r>
          <w:rPr>
            <w:color w:val="000000"/>
          </w:rPr>
          <w:t xml:space="preserve">VI.4.5</w:t>
        </w:r>
      </w:hyperlink>
      <w:r>
        <w:rPr>
          <w:b w:val="0"/>
          <w:i w:val="0"/>
        </w:rPr>
        <w:t xml:space="preserve">, </w:t>
      </w:r>
      <w:hyperlink w:anchor="passage-vi-7-1">
        <w:r>
          <w:rPr>
            <w:color w:val="000000"/>
          </w:rPr>
          <w:t xml:space="preserve">VI.7.1</w:t>
        </w:r>
      </w:hyperlink>
      <w:r>
        <w:rPr>
          <w:b w:val="0"/>
          <w:i w:val="0"/>
        </w:rPr>
        <w:t xml:space="preserve">, </w:t>
      </w:r>
      <w:hyperlink w:anchor="passage-vi-8-5">
        <w:r>
          <w:rPr>
            <w:color w:val="000000"/>
          </w:rPr>
          <w:t xml:space="preserve">VI.8.5</w:t>
        </w:r>
      </w:hyperlink>
      <w:r>
        <w:rPr>
          <w:b w:val="0"/>
          <w:i w:val="0"/>
        </w:rPr>
        <w:t xml:space="preserve">, </w:t>
      </w:r>
      <w:hyperlink w:anchor="passage-vi-11-1">
        <w:r>
          <w:rPr>
            <w:color w:val="000000"/>
          </w:rPr>
          <w:t xml:space="preserve">VI.11.1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822" w:name="latin-record-0581"/>
      <w:bookmarkEnd w:id="822"/>
      <w:r>
        <w:rPr>
          <w:b/>
          <w:i w:val="0"/>
        </w:rPr>
        <w:t>ignavia / torpere</w:t>
      </w:r>
      <w:r>
        <w:rPr>
          <w:b/>
          <w:i w:val="0"/>
        </w:rPr>
        <w:t>.</w:t>
      </w:r>
      <w:r>
        <w:rPr>
          <w:b w:val="0"/>
          <w:i w:val="0"/>
        </w:rPr>
        <w:t xml:space="preserve"> Printed forms: </w:t>
      </w:r>
      <w:r>
        <w:rPr>
          <w:b w:val="0"/>
          <w:i/>
        </w:rPr>
        <w:t>ignavia</w:t>
      </w:r>
      <w:r>
        <w:rPr>
          <w:b w:val="0"/>
          <w:i w:val="0"/>
        </w:rPr>
        <w:t xml:space="preserve">; </w:t>
      </w:r>
      <w:r>
        <w:rPr>
          <w:b w:val="0"/>
          <w:i/>
        </w:rPr>
        <w:t>torpent</w:t>
      </w:r>
      <w:r>
        <w:rPr>
          <w:b w:val="0"/>
          <w:i w:val="0"/>
        </w:rPr>
        <w:t>.</w:t>
      </w:r>
    </w:p>
    <w:p>
      <w:pPr>
        <w:widowControl/>
      </w:pPr>
      <w:r>
        <w:rPr>
          <w:b w:val="0"/>
          <w:i w:val="0"/>
        </w:rPr>
        <w:t xml:space="preserve">Idleness and sluggish inactivity. The idle person can grow bodily without making intellectual progress, exposing the weakness of the parallel-growth inference.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823" w:name="latin-record-0582"/>
      <w:bookmarkEnd w:id="823"/>
      <w:r>
        <w:rPr>
          <w:b/>
          <w:i w:val="0"/>
        </w:rPr>
        <w:t>igneus; aereus; aqueus; terreus</w:t>
      </w:r>
      <w:r>
        <w:rPr>
          <w:b/>
          <w:i w:val="0"/>
        </w:rPr>
        <w:t>.</w:t>
      </w:r>
      <w:r>
        <w:rPr>
          <w:b w:val="0"/>
          <w:i w:val="0"/>
        </w:rPr>
        <w:t xml:space="preserve"> Printed forms: </w:t>
      </w:r>
      <w:r>
        <w:rPr>
          <w:b w:val="0"/>
          <w:i/>
        </w:rPr>
        <w:t>aereum</w:t>
      </w:r>
      <w:r>
        <w:rPr>
          <w:b w:val="0"/>
          <w:i w:val="0"/>
        </w:rPr>
        <w:t xml:space="preserve">; </w:t>
      </w:r>
      <w:r>
        <w:rPr>
          <w:b w:val="0"/>
          <w:i/>
        </w:rPr>
        <w:t>aqueum</w:t>
      </w:r>
      <w:r>
        <w:rPr>
          <w:b w:val="0"/>
          <w:i w:val="0"/>
        </w:rPr>
        <w:t xml:space="preserve">; </w:t>
      </w:r>
      <w:r>
        <w:rPr>
          <w:b w:val="0"/>
          <w:i/>
        </w:rPr>
        <w:t>igneum</w:t>
      </w:r>
      <w:r>
        <w:rPr>
          <w:b w:val="0"/>
          <w:i w:val="0"/>
        </w:rPr>
        <w:t xml:space="preserve">; </w:t>
      </w:r>
      <w:r>
        <w:rPr>
          <w:b w:val="0"/>
          <w:i/>
        </w:rPr>
        <w:t>terreum</w:t>
      </w:r>
      <w:r>
        <w:rPr>
          <w:b w:val="0"/>
          <w:i w:val="0"/>
        </w:rPr>
        <w:t>.</w:t>
      </w:r>
    </w:p>
    <w:p>
      <w:pPr>
        <w:widowControl/>
      </w:pPr>
      <w:r>
        <w:rPr>
          <w:b w:val="0"/>
          <w:i w:val="0"/>
        </w:rPr>
        <w:t xml:space="preserve">Fiery, airy, watery and earthy: elemental composition predicates. These are different reported answers to what the hypothesized soul-body consists of.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824" w:name="latin-record-0583"/>
      <w:bookmarkEnd w:id="824"/>
      <w:r>
        <w:rPr>
          <w:b/>
          <w:i w:val="0"/>
        </w:rPr>
        <w:t>ignis</w:t>
      </w:r>
      <w:r>
        <w:rPr>
          <w:b/>
          <w:i w:val="0"/>
        </w:rPr>
        <w:t>.</w:t>
      </w:r>
      <w:r>
        <w:rPr>
          <w:b w:val="0"/>
          <w:i w:val="0"/>
        </w:rPr>
        <w:t xml:space="preserve"> Printed forms: </w:t>
      </w:r>
      <w:r>
        <w:rPr>
          <w:b w:val="0"/>
          <w:i/>
        </w:rPr>
        <w:t>ignem</w:t>
      </w:r>
      <w:r>
        <w:rPr>
          <w:b w:val="0"/>
          <w:i w:val="0"/>
        </w:rPr>
        <w:t xml:space="preserve">; </w:t>
      </w:r>
      <w:r>
        <w:rPr>
          <w:b w:val="0"/>
          <w:i/>
        </w:rPr>
        <w:t>igneum</w:t>
      </w:r>
      <w:r>
        <w:rPr>
          <w:b w:val="0"/>
          <w:i w:val="0"/>
        </w:rPr>
        <w:t xml:space="preserve">; </w:t>
      </w:r>
      <w:r>
        <w:rPr>
          <w:b w:val="0"/>
          <w:i/>
        </w:rPr>
        <w:t>igni</w:t>
      </w:r>
      <w:r>
        <w:rPr>
          <w:b w:val="0"/>
          <w:i w:val="0"/>
        </w:rPr>
        <w:t xml:space="preserve">; </w:t>
      </w:r>
      <w:r>
        <w:rPr>
          <w:b w:val="0"/>
          <w:i/>
        </w:rPr>
        <w:t>ignis</w:t>
      </w:r>
      <w:r>
        <w:rPr>
          <w:b w:val="0"/>
          <w:i w:val="0"/>
        </w:rPr>
        <w:t xml:space="preserve">; </w:t>
      </w:r>
      <w:r>
        <w:rPr>
          <w:b w:val="0"/>
          <w:i/>
        </w:rPr>
        <w:t>Ignis</w:t>
      </w:r>
      <w:r>
        <w:rPr>
          <w:b w:val="0"/>
          <w:i w:val="0"/>
        </w:rPr>
        <w:t>.</w:t>
      </w:r>
    </w:p>
    <w:p>
      <w:pPr>
        <w:widowControl/>
      </w:pPr>
      <w:r>
        <w:rPr>
          <w:b w:val="0"/>
          <w:i w:val="0"/>
        </w:rPr>
        <w:t xml:space="preserve">Fire, the elemental substance used repeatedly to distinguish intrinsic heat, material support and loss of form. Fire cannot become cold while remaining fire but may perish; soul’s argument therefore needs more than the mere exclusion of a contrary predicate. References: </w:t>
      </w:r>
      <w:hyperlink w:anchor="passage-v-8-2">
        <w:r>
          <w:rPr>
            <w:color w:val="000000"/>
          </w:rPr>
          <w:t xml:space="preserve">V.8.2</w:t>
        </w:r>
      </w:hyperlink>
      <w:r>
        <w:rPr>
          <w:b w:val="0"/>
          <w:i w:val="0"/>
        </w:rPr>
        <w:t xml:space="preserve">, </w:t>
      </w:r>
      <w:hyperlink w:anchor="passage-v-9-1">
        <w:r>
          <w:rPr>
            <w:color w:val="000000"/>
          </w:rPr>
          <w:t xml:space="preserve">V.9.1</w:t>
        </w:r>
      </w:hyperlink>
      <w:r>
        <w:rPr>
          <w:b w:val="0"/>
          <w:i w:val="0"/>
        </w:rPr>
        <w:t xml:space="preserve">, </w:t>
      </w:r>
      <w:hyperlink w:anchor="passage-v-9-4">
        <w:r>
          <w:rPr>
            <w:color w:val="000000"/>
          </w:rPr>
          <w:t xml:space="preserve">V.9.4</w:t>
        </w:r>
      </w:hyperlink>
      <w:r>
        <w:rPr>
          <w:b w:val="0"/>
          <w:i w:val="0"/>
        </w:rPr>
        <w:t xml:space="preserve">, </w:t>
      </w:r>
      <w:hyperlink w:anchor="passage-v-14-4">
        <w:r>
          <w:rPr>
            <w:color w:val="000000"/>
          </w:rPr>
          <w:t xml:space="preserve">V.14.4</w:t>
        </w:r>
      </w:hyperlink>
      <w:r>
        <w:rPr>
          <w:b w:val="0"/>
          <w:i w:val="0"/>
        </w:rPr>
        <w:t xml:space="preserve">, </w:t>
      </w:r>
      <w:hyperlink w:anchor="passage-v-14-5">
        <w:r>
          <w:rPr>
            <w:color w:val="000000"/>
          </w:rPr>
          <w:t xml:space="preserve">V.14.5</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825" w:name="latin-record-0584"/>
      <w:bookmarkEnd w:id="825"/>
      <w:r>
        <w:rPr>
          <w:b/>
          <w:i w:val="0"/>
        </w:rPr>
        <w:t>ignis / lapis / descendere / deferre</w:t>
      </w:r>
      <w:r>
        <w:rPr>
          <w:b/>
          <w:i w:val="0"/>
        </w:rPr>
        <w:t>.</w:t>
      </w:r>
      <w:r>
        <w:rPr>
          <w:b w:val="0"/>
          <w:i w:val="0"/>
        </w:rPr>
        <w:t xml:space="preserve"> Printed forms: </w:t>
      </w:r>
      <w:r>
        <w:rPr>
          <w:b w:val="0"/>
          <w:i/>
        </w:rPr>
        <w:t>defertur</w:t>
      </w:r>
      <w:r>
        <w:rPr>
          <w:b w:val="0"/>
          <w:i w:val="0"/>
        </w:rPr>
        <w:t xml:space="preserve">; </w:t>
      </w:r>
      <w:r>
        <w:rPr>
          <w:b w:val="0"/>
          <w:i/>
        </w:rPr>
        <w:t>descendit</w:t>
      </w:r>
      <w:r>
        <w:rPr>
          <w:b w:val="0"/>
          <w:i w:val="0"/>
        </w:rPr>
        <w:t xml:space="preserve">; </w:t>
      </w:r>
      <w:r>
        <w:rPr>
          <w:b w:val="0"/>
          <w:i/>
        </w:rPr>
        <w:t>ignis</w:t>
      </w:r>
      <w:r>
        <w:rPr>
          <w:b w:val="0"/>
          <w:i w:val="0"/>
        </w:rPr>
        <w:t xml:space="preserve">; </w:t>
      </w:r>
      <w:r>
        <w:rPr>
          <w:b w:val="0"/>
          <w:i/>
        </w:rPr>
        <w:t>lapis</w:t>
      </w:r>
      <w:r>
        <w:rPr>
          <w:b w:val="0"/>
          <w:i w:val="0"/>
        </w:rPr>
        <w:t xml:space="preserve">; </w:t>
      </w:r>
      <w:r>
        <w:rPr>
          <w:b w:val="0"/>
          <w:i/>
        </w:rPr>
        <w:t>propinquior</w:t>
      </w:r>
      <w:r>
        <w:rPr>
          <w:b w:val="0"/>
          <w:i w:val="0"/>
        </w:rPr>
        <w:t>.</w:t>
      </w:r>
    </w:p>
    <w:p>
      <w:pPr>
        <w:widowControl/>
      </w:pPr>
      <w:r>
        <w:rPr>
          <w:b w:val="0"/>
          <w:i w:val="0"/>
        </w:rPr>
        <w:t xml:space="preserve">Ignis is fire and lapis a stone; descendere means to descend and deferre to carry downward here. Their natural movements provide historical examples of return toward an end. Their accelerated return illustrates desire intensifying near its end; the passage does not offer modern quantitative mechanics. References: </w:t>
      </w:r>
      <w:hyperlink w:anchor="passage-viii-16-4">
        <w:r>
          <w:rPr>
            <w:color w:val="000000"/>
          </w:rPr>
          <w:t xml:space="preserve">VIII.16.4</w:t>
        </w:r>
      </w:hyperlink>
      <w:r>
        <w:rPr>
          <w:b w:val="0"/>
          <w:i w:val="0"/>
        </w:rPr>
        <w:t xml:space="preserve">. See </w:t>
      </w:r>
      <w:hyperlink w:anchor="viii-divine-enlargement">
        <w:r>
          <w:rPr>
            <w:color w:val="000000"/>
          </w:rPr>
          <w:t xml:space="preserve">Insatiable desire and divine enlargement</w:t>
        </w:r>
      </w:hyperlink>
      <w:r>
        <w:rPr>
          <w:b w:val="0"/>
          <w:i w:val="0"/>
        </w:rPr>
        <w:t>.</w:t>
      </w:r>
    </w:p>
    <w:p>
      <w:pPr>
        <w:keepNext/>
        <w:widowControl/>
      </w:pPr>
      <w:bookmarkStart w:id="826" w:name="latin-record-0585"/>
      <w:bookmarkEnd w:id="826"/>
      <w:r>
        <w:rPr>
          <w:b/>
          <w:i w:val="0"/>
        </w:rPr>
        <w:t>ignis / terra / lapis</w:t>
      </w:r>
      <w:r>
        <w:rPr>
          <w:b/>
          <w:i w:val="0"/>
        </w:rPr>
        <w:t>.</w:t>
      </w:r>
      <w:r>
        <w:rPr>
          <w:b w:val="0"/>
          <w:i w:val="0"/>
        </w:rPr>
        <w:t xml:space="preserve"> Printed forms: </w:t>
      </w:r>
      <w:r>
        <w:rPr>
          <w:b w:val="0"/>
          <w:i/>
        </w:rPr>
        <w:t>ignis</w:t>
      </w:r>
      <w:r>
        <w:rPr>
          <w:b w:val="0"/>
          <w:i w:val="0"/>
        </w:rPr>
        <w:t xml:space="preserve">; </w:t>
      </w:r>
      <w:r>
        <w:rPr>
          <w:b w:val="0"/>
          <w:i/>
        </w:rPr>
        <w:t>lapis</w:t>
      </w:r>
      <w:r>
        <w:rPr>
          <w:b w:val="0"/>
          <w:i w:val="0"/>
        </w:rPr>
        <w:t xml:space="preserve">; </w:t>
      </w:r>
      <w:r>
        <w:rPr>
          <w:b w:val="0"/>
          <w:i/>
        </w:rPr>
        <w:t>terra</w:t>
      </w:r>
      <w:r>
        <w:rPr>
          <w:b w:val="0"/>
          <w:i w:val="0"/>
        </w:rPr>
        <w:t xml:space="preserve">; </w:t>
      </w:r>
      <w:r>
        <w:rPr>
          <w:b w:val="0"/>
          <w:i/>
        </w:rPr>
        <w:t>terram</w:t>
      </w:r>
      <w:r>
        <w:rPr>
          <w:b w:val="0"/>
          <w:i w:val="0"/>
        </w:rPr>
        <w:t>.</w:t>
      </w:r>
    </w:p>
    <w:p>
      <w:pPr>
        <w:widowControl/>
      </w:pPr>
      <w:r>
        <w:rPr>
          <w:b w:val="0"/>
          <w:i w:val="0"/>
        </w:rPr>
        <w:t xml:space="preserve">Fire, earth and stone in the material-reception reductio. If receiving through bodily qualities sufficed for sensing, earth and stone would sense like soul. This is a rejected consequence.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827" w:name="latin-record-0586"/>
      <w:bookmarkEnd w:id="827"/>
      <w:r>
        <w:rPr>
          <w:b/>
          <w:i w:val="0"/>
        </w:rPr>
        <w:t>ignis; aer; aqua</w:t>
      </w:r>
      <w:r>
        <w:rPr>
          <w:b/>
          <w:i w:val="0"/>
        </w:rPr>
        <w:t>.</w:t>
      </w:r>
      <w:r>
        <w:rPr>
          <w:b w:val="0"/>
          <w:i w:val="0"/>
        </w:rPr>
        <w:t xml:space="preserve"> Printed forms: </w:t>
      </w:r>
      <w:r>
        <w:rPr>
          <w:b w:val="0"/>
          <w:i/>
        </w:rPr>
        <w:t>aer</w:t>
      </w:r>
      <w:r>
        <w:rPr>
          <w:b w:val="0"/>
          <w:i w:val="0"/>
        </w:rPr>
        <w:t xml:space="preserve">; </w:t>
      </w:r>
      <w:r>
        <w:rPr>
          <w:b w:val="0"/>
          <w:i/>
        </w:rPr>
        <w:t>aere</w:t>
      </w:r>
      <w:r>
        <w:rPr>
          <w:b w:val="0"/>
          <w:i w:val="0"/>
        </w:rPr>
        <w:t xml:space="preserve">; </w:t>
      </w:r>
      <w:r>
        <w:rPr>
          <w:b w:val="0"/>
          <w:i/>
        </w:rPr>
        <w:t>aerem</w:t>
      </w:r>
      <w:r>
        <w:rPr>
          <w:b w:val="0"/>
          <w:i w:val="0"/>
        </w:rPr>
        <w:t xml:space="preserve">; </w:t>
      </w:r>
      <w:r>
        <w:rPr>
          <w:b w:val="0"/>
          <w:i/>
        </w:rPr>
        <w:t>aeris</w:t>
      </w:r>
      <w:r>
        <w:rPr>
          <w:b w:val="0"/>
          <w:i w:val="0"/>
        </w:rPr>
        <w:t xml:space="preserve">; </w:t>
      </w:r>
      <w:r>
        <w:rPr>
          <w:b w:val="0"/>
          <w:i/>
        </w:rPr>
        <w:t>aqua</w:t>
      </w:r>
      <w:r>
        <w:rPr>
          <w:b w:val="0"/>
          <w:i w:val="0"/>
        </w:rPr>
        <w:t xml:space="preserve">; </w:t>
      </w:r>
      <w:r>
        <w:rPr>
          <w:b w:val="0"/>
          <w:i/>
        </w:rPr>
        <w:t>aquam</w:t>
      </w:r>
      <w:r>
        <w:rPr>
          <w:b w:val="0"/>
          <w:i w:val="0"/>
        </w:rPr>
        <w:t xml:space="preserve">; </w:t>
      </w:r>
      <w:r>
        <w:rPr>
          <w:b w:val="0"/>
          <w:i/>
        </w:rPr>
        <w:t>igne</w:t>
      </w:r>
      <w:r>
        <w:rPr>
          <w:b w:val="0"/>
          <w:i w:val="0"/>
        </w:rPr>
        <w:t xml:space="preserve">; </w:t>
      </w:r>
      <w:r>
        <w:rPr>
          <w:b w:val="0"/>
          <w:i/>
        </w:rPr>
        <w:t>ignem</w:t>
      </w:r>
      <w:r>
        <w:rPr>
          <w:b w:val="0"/>
          <w:i w:val="0"/>
        </w:rPr>
        <w:t xml:space="preserve">; </w:t>
      </w:r>
      <w:r>
        <w:rPr>
          <w:b w:val="0"/>
          <w:i/>
        </w:rPr>
        <w:t>ignis</w:t>
      </w:r>
      <w:r>
        <w:rPr>
          <w:b w:val="0"/>
          <w:i w:val="0"/>
        </w:rPr>
        <w:t>.</w:t>
      </w:r>
    </w:p>
    <w:p>
      <w:pPr>
        <w:widowControl/>
      </w:pPr>
      <w:r>
        <w:rPr>
          <w:b w:val="0"/>
          <w:i w:val="0"/>
        </w:rPr>
        <w:t xml:space="preserve">Fire, air and water as elements and illustrative bodies in Ficino’s natural philosophy. They occur in rejected soul-body theories, adjacent-sphere analogies and the cold-water objection; not every mention is an endorsed identification of soul with an element. References: </w:t>
      </w:r>
      <w:hyperlink w:anchor="passage-vi-1-2">
        <w:r>
          <w:rPr>
            <w:color w:val="000000"/>
          </w:rPr>
          <w:t xml:space="preserve">VI.1.2</w:t>
        </w:r>
      </w:hyperlink>
      <w:r>
        <w:rPr>
          <w:b w:val="0"/>
          <w:i w:val="0"/>
        </w:rPr>
        <w:t xml:space="preserve">, </w:t>
      </w:r>
      <w:hyperlink w:anchor="passage-vi-2-24">
        <w:r>
          <w:rPr>
            <w:color w:val="000000"/>
          </w:rPr>
          <w:t xml:space="preserve">VI.2.24</w:t>
        </w:r>
      </w:hyperlink>
      <w:r>
        <w:rPr>
          <w:b w:val="0"/>
          <w:i w:val="0"/>
        </w:rPr>
        <w:t xml:space="preserve">, </w:t>
      </w:r>
      <w:hyperlink w:anchor="passage-vi-6-2">
        <w:r>
          <w:rPr>
            <w:color w:val="000000"/>
          </w:rPr>
          <w:t xml:space="preserve">VI.6.2</w:t>
        </w:r>
      </w:hyperlink>
      <w:r>
        <w:rPr>
          <w:b w:val="0"/>
          <w:i w:val="0"/>
        </w:rPr>
        <w:t xml:space="preserve">, </w:t>
      </w:r>
      <w:hyperlink w:anchor="passage-vi-12-13">
        <w:r>
          <w:rPr>
            <w:color w:val="000000"/>
          </w:rPr>
          <w:t xml:space="preserve">VI.12.13</w:t>
        </w:r>
      </w:hyperlink>
      <w:r>
        <w:rPr>
          <w:b w:val="0"/>
          <w:i w:val="0"/>
        </w:rPr>
        <w:t xml:space="preserve">. See </w:t>
      </w:r>
      <w:hyperlink w:anchor="dense-subtle-and-fifth-body">
        <w:r>
          <w:rPr>
            <w:color w:val="000000"/>
          </w:rPr>
          <w:t xml:space="preserve">Dense, subtle and fifth body</w:t>
        </w:r>
      </w:hyperlink>
      <w:r>
        <w:rPr>
          <w:b w:val="0"/>
          <w:i w:val="0"/>
        </w:rPr>
        <w:t>.</w:t>
      </w:r>
    </w:p>
    <w:p>
      <w:pPr>
        <w:keepNext/>
        <w:widowControl/>
      </w:pPr>
      <w:bookmarkStart w:id="828" w:name="latin-record-0587"/>
      <w:bookmarkEnd w:id="828"/>
      <w:r>
        <w:rPr>
          <w:b/>
          <w:i w:val="0"/>
        </w:rPr>
        <w:t>ignitus</w:t>
      </w:r>
      <w:r>
        <w:rPr>
          <w:b/>
          <w:i w:val="0"/>
        </w:rPr>
        <w:t>.</w:t>
      </w:r>
      <w:r>
        <w:rPr>
          <w:b w:val="0"/>
          <w:i w:val="0"/>
        </w:rPr>
        <w:t xml:space="preserve"> Printed forms: </w:t>
      </w:r>
      <w:r>
        <w:rPr>
          <w:b w:val="0"/>
          <w:i/>
        </w:rPr>
        <w:t>ignita</w:t>
      </w:r>
      <w:r>
        <w:rPr>
          <w:b w:val="0"/>
          <w:i w:val="0"/>
        </w:rPr>
        <w:t>.</w:t>
      </w:r>
    </w:p>
    <w:p>
      <w:pPr>
        <w:widowControl/>
      </w:pPr>
      <w:r>
        <w:rPr>
          <w:b w:val="0"/>
          <w:i w:val="0"/>
        </w:rPr>
        <w:t xml:space="preserve">Fiery or affected by fire. If fire precisely as fire were soul, every fiery thing would be alive, the unwanted consequence of the hypothesis. References: </w:t>
      </w:r>
      <w:hyperlink w:anchor="passage-vi-6-2">
        <w:r>
          <w:rPr>
            <w:color w:val="000000"/>
          </w:rPr>
          <w:t xml:space="preserve">VI.6.2</w:t>
        </w:r>
      </w:hyperlink>
      <w:r>
        <w:rPr>
          <w:b w:val="0"/>
          <w:i w:val="0"/>
        </w:rPr>
        <w:t xml:space="preserve">. See </w:t>
      </w:r>
      <w:hyperlink w:anchor="dense-subtle-and-fifth-body">
        <w:r>
          <w:rPr>
            <w:color w:val="000000"/>
          </w:rPr>
          <w:t xml:space="preserve">Dense, subtle and fifth body</w:t>
        </w:r>
      </w:hyperlink>
      <w:r>
        <w:rPr>
          <w:b w:val="0"/>
          <w:i w:val="0"/>
        </w:rPr>
        <w:t>.</w:t>
      </w:r>
    </w:p>
    <w:p>
      <w:pPr>
        <w:keepNext/>
        <w:widowControl/>
      </w:pPr>
      <w:bookmarkStart w:id="829" w:name="latin-record-0588"/>
      <w:bookmarkEnd w:id="829"/>
      <w:r>
        <w:rPr>
          <w:b/>
          <w:i w:val="0"/>
        </w:rPr>
        <w:t>ignorare se ipsam</w:t>
      </w:r>
      <w:r>
        <w:rPr>
          <w:b/>
          <w:i w:val="0"/>
        </w:rPr>
        <w:t>.</w:t>
      </w:r>
      <w:r>
        <w:rPr>
          <w:b w:val="0"/>
          <w:i w:val="0"/>
        </w:rPr>
        <w:t xml:space="preserve"> Printed forms: </w:t>
      </w:r>
      <w:r>
        <w:rPr>
          <w:b w:val="0"/>
          <w:i/>
        </w:rPr>
        <w:t>ignorat enim se ipsam</w:t>
      </w:r>
      <w:r>
        <w:rPr>
          <w:b w:val="0"/>
          <w:i w:val="0"/>
        </w:rPr>
        <w:t>.</w:t>
      </w:r>
    </w:p>
    <w:p>
      <w:pPr>
        <w:widowControl/>
      </w:pPr>
      <w:r>
        <w:rPr>
          <w:b w:val="0"/>
          <w:i w:val="0"/>
        </w:rPr>
        <w:t xml:space="preserve">It does not know itself, the text’s stated reason for excluding cognitive primary motion. The phrase is preserved without silently adding uninterrupted self-awareness; the following contrast concerns essential life and intermittent cognition. References: </w:t>
      </w:r>
      <w:hyperlink w:anchor="passage-vi-12-12">
        <w:r>
          <w:rPr>
            <w:color w:val="000000"/>
          </w:rPr>
          <w:t xml:space="preserve">VI.12.12</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830" w:name="latin-record-0589"/>
      <w:bookmarkEnd w:id="830"/>
      <w:r>
        <w:rPr>
          <w:b/>
          <w:i w:val="0"/>
        </w:rPr>
        <w:t>illecebra</w:t>
      </w:r>
      <w:r>
        <w:rPr>
          <w:b/>
          <w:i w:val="0"/>
        </w:rPr>
        <w:t>.</w:t>
      </w:r>
      <w:r>
        <w:rPr>
          <w:b w:val="0"/>
          <w:i w:val="0"/>
        </w:rPr>
        <w:t xml:space="preserve"> Printed forms: </w:t>
      </w:r>
      <w:r>
        <w:rPr>
          <w:b w:val="0"/>
          <w:i/>
        </w:rPr>
        <w:t>illecebras</w:t>
      </w:r>
      <w:r>
        <w:rPr>
          <w:b w:val="0"/>
          <w:i w:val="0"/>
        </w:rPr>
        <w:t>.</w:t>
      </w:r>
    </w:p>
    <w:p>
      <w:pPr>
        <w:widowControl/>
      </w:pPr>
      <w:r>
        <w:rPr>
          <w:b w:val="0"/>
          <w:i w:val="0"/>
        </w:rPr>
        <w:t xml:space="preserve">An enticement or alluring temptation. The bodily-food hypothesis would predict that feeding and fatness improve resistance to shameful bodily attractions, a prediction Ficino rejects. References: </w:t>
      </w:r>
      <w:hyperlink w:anchor="passage-viii-2-1">
        <w:r>
          <w:rPr>
            <w:color w:val="000000"/>
          </w:rPr>
          <w:t xml:space="preserve">VIII.2.1</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831" w:name="latin-record-0590"/>
      <w:bookmarkEnd w:id="831"/>
      <w:r>
        <w:rPr>
          <w:b/>
          <w:i w:val="0"/>
        </w:rPr>
        <w:t>imaginatio</w:t>
      </w:r>
      <w:r>
        <w:rPr>
          <w:b/>
          <w:i w:val="0"/>
        </w:rPr>
        <w:t>.</w:t>
      </w:r>
      <w:r>
        <w:rPr>
          <w:b w:val="0"/>
          <w:i w:val="0"/>
        </w:rPr>
        <w:t xml:space="preserve"> Printed forms: </w:t>
      </w:r>
      <w:r>
        <w:rPr>
          <w:b w:val="0"/>
          <w:i/>
        </w:rPr>
        <w:t>imaginatio</w:t>
      </w:r>
      <w:r>
        <w:rPr>
          <w:b w:val="0"/>
          <w:i w:val="0"/>
        </w:rPr>
        <w:t xml:space="preserve">; </w:t>
      </w:r>
      <w:r>
        <w:rPr>
          <w:b w:val="0"/>
          <w:i/>
        </w:rPr>
        <w:t>Imaginatio</w:t>
      </w:r>
      <w:r>
        <w:rPr>
          <w:b w:val="0"/>
          <w:i w:val="0"/>
        </w:rPr>
        <w:t xml:space="preserve">; </w:t>
      </w:r>
      <w:r>
        <w:rPr>
          <w:b w:val="0"/>
          <w:i/>
        </w:rPr>
        <w:t>imaginationem</w:t>
      </w:r>
      <w:r>
        <w:rPr>
          <w:b w:val="0"/>
          <w:i w:val="0"/>
        </w:rPr>
        <w:t xml:space="preserve">; </w:t>
      </w:r>
      <w:r>
        <w:rPr>
          <w:b w:val="0"/>
          <w:i/>
        </w:rPr>
        <w:t>imaginationi</w:t>
      </w:r>
      <w:r>
        <w:rPr>
          <w:b w:val="0"/>
          <w:i w:val="0"/>
        </w:rPr>
        <w:t>.</w:t>
      </w:r>
    </w:p>
    <w:p>
      <w:pPr>
        <w:widowControl/>
      </w:pPr>
      <w:r>
        <w:rPr>
          <w:b w:val="0"/>
          <w:i w:val="0"/>
        </w:rPr>
        <w:t xml:space="preserve">The faculty collecting and retaining sensory likenesses, distinct here from recognitive phantasy. Socrates can imagine absent Plato, combining the five senses, but this collection alone does not identify the person or know substance. References: </w:t>
      </w:r>
      <w:hyperlink w:anchor="passage-viii-1-1">
        <w:r>
          <w:rPr>
            <w:color w:val="000000"/>
          </w:rPr>
          <w:t xml:space="preserve">VIII.1.1</w:t>
        </w:r>
      </w:hyperlink>
      <w:r>
        <w:rPr>
          <w:b w:val="0"/>
          <w:i w:val="0"/>
        </w:rPr>
        <w:t xml:space="preserve">, </w:t>
      </w:r>
      <w:hyperlink w:anchor="passage-viii-1-4">
        <w:r>
          <w:rPr>
            <w:color w:val="000000"/>
          </w:rPr>
          <w:t xml:space="preserve">VIII.1.4</w:t>
        </w:r>
      </w:hyperlink>
      <w:r>
        <w:rPr>
          <w:b w:val="0"/>
          <w:i w:val="0"/>
        </w:rPr>
        <w:t xml:space="preserve">, </w:t>
      </w:r>
      <w:hyperlink w:anchor="passage-viii-4-3">
        <w:r>
          <w:rPr>
            <w:color w:val="000000"/>
          </w:rPr>
          <w:t xml:space="preserve">VIII.4.3</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832" w:name="latin-record-0591"/>
      <w:bookmarkEnd w:id="832"/>
      <w:r>
        <w:rPr>
          <w:b/>
          <w:i w:val="0"/>
        </w:rPr>
        <w:t>imaginem aliam suae similem</w:t>
      </w:r>
      <w:r>
        <w:rPr>
          <w:b/>
          <w:i w:val="0"/>
        </w:rPr>
        <w:t>.</w:t>
      </w:r>
      <w:r>
        <w:rPr>
          <w:b w:val="0"/>
          <w:i w:val="0"/>
        </w:rPr>
        <w:t xml:space="preserve"> Printed forms: </w:t>
      </w:r>
      <w:r>
        <w:rPr>
          <w:b w:val="0"/>
          <w:i/>
        </w:rPr>
        <w:t>imaginem aliam suae similem</w:t>
      </w:r>
      <w:r>
        <w:rPr>
          <w:b w:val="0"/>
          <w:i w:val="0"/>
        </w:rPr>
        <w:t>.</w:t>
      </w:r>
    </w:p>
    <w:p>
      <w:pPr>
        <w:widowControl/>
      </w:pPr>
      <w:r>
        <w:rPr>
          <w:b w:val="0"/>
          <w:i w:val="0"/>
        </w:rPr>
        <w:t xml:space="preserve">Another image like the former soul’s own. Copying is distinguished from the first strategy’s transfer of the same quality; the edition retains suae against the later sive. References: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833" w:name="latin-record-0592"/>
      <w:bookmarkEnd w:id="833"/>
      <w:r>
        <w:rPr>
          <w:b/>
          <w:i w:val="0"/>
        </w:rPr>
        <w:t>imago</w:t>
      </w:r>
      <w:r>
        <w:rPr>
          <w:b/>
          <w:i w:val="0"/>
        </w:rPr>
        <w:t>.</w:t>
      </w:r>
      <w:r>
        <w:rPr>
          <w:b w:val="0"/>
          <w:i w:val="0"/>
        </w:rPr>
        <w:t xml:space="preserve"> Printed forms: </w:t>
      </w:r>
      <w:r>
        <w:rPr>
          <w:b w:val="0"/>
          <w:i/>
        </w:rPr>
        <w:t>imaginem</w:t>
      </w:r>
      <w:r>
        <w:rPr>
          <w:b w:val="0"/>
          <w:i w:val="0"/>
        </w:rPr>
        <w:t xml:space="preserve">; </w:t>
      </w:r>
      <w:r>
        <w:rPr>
          <w:b w:val="0"/>
          <w:i/>
        </w:rPr>
        <w:t>imagines</w:t>
      </w:r>
      <w:r>
        <w:rPr>
          <w:b w:val="0"/>
          <w:i w:val="0"/>
        </w:rPr>
        <w:t xml:space="preserve">; </w:t>
      </w:r>
      <w:r>
        <w:rPr>
          <w:b w:val="0"/>
          <w:i/>
        </w:rPr>
        <w:t>imaginibus</w:t>
      </w:r>
      <w:r>
        <w:rPr>
          <w:b w:val="0"/>
          <w:i w:val="0"/>
        </w:rPr>
        <w:t xml:space="preserve">; </w:t>
      </w:r>
      <w:r>
        <w:rPr>
          <w:b w:val="0"/>
          <w:i/>
        </w:rPr>
        <w:t>imaginum</w:t>
      </w:r>
      <w:r>
        <w:rPr>
          <w:b w:val="0"/>
          <w:i w:val="0"/>
        </w:rPr>
        <w:t xml:space="preserve">; </w:t>
      </w:r>
      <w:r>
        <w:rPr>
          <w:b w:val="0"/>
          <w:i/>
        </w:rPr>
        <w:t>imago</w:t>
      </w:r>
      <w:r>
        <w:rPr>
          <w:b w:val="0"/>
          <w:i w:val="0"/>
        </w:rPr>
        <w:t>.</w:t>
      </w:r>
    </w:p>
    <w:p>
      <w:pPr>
        <w:widowControl/>
      </w:pPr>
      <w:r>
        <w:rPr>
          <w:b w:val="0"/>
          <w:i w:val="0"/>
        </w:rPr>
        <w:t xml:space="preserve">An image or likeness; an inferior manifestation can remain genuine at its own level. Mirrors model dependence, the ranked ladder distinguishes image from original, and divine images shine in soul. References: </w:t>
      </w:r>
      <w:hyperlink w:anchor="passage-v-6-1">
        <w:r>
          <w:rPr>
            <w:color w:val="000000"/>
          </w:rPr>
          <w:t xml:space="preserve">V.6.1</w:t>
        </w:r>
      </w:hyperlink>
      <w:r>
        <w:rPr>
          <w:b w:val="0"/>
          <w:i w:val="0"/>
        </w:rPr>
        <w:t xml:space="preserve">, </w:t>
      </w:r>
      <w:hyperlink w:anchor="passage-v-10-2">
        <w:r>
          <w:rPr>
            <w:color w:val="000000"/>
          </w:rPr>
          <w:t xml:space="preserve">V.10.2</w:t>
        </w:r>
      </w:hyperlink>
      <w:r>
        <w:rPr>
          <w:b w:val="0"/>
          <w:i w:val="0"/>
        </w:rPr>
        <w:t xml:space="preserve">, </w:t>
      </w:r>
      <w:hyperlink w:anchor="passage-v-12-12">
        <w:r>
          <w:rPr>
            <w:color w:val="000000"/>
          </w:rPr>
          <w:t xml:space="preserve">V.12.12</w:t>
        </w:r>
      </w:hyperlink>
      <w:r>
        <w:rPr>
          <w:b w:val="0"/>
          <w:i w:val="0"/>
        </w:rPr>
        <w:t xml:space="preserve">, </w:t>
      </w:r>
      <w:hyperlink w:anchor="passage-v-14-9">
        <w:r>
          <w:rPr>
            <w:color w:val="000000"/>
          </w:rPr>
          <w:t xml:space="preserve">V.14.9</w:t>
        </w:r>
      </w:hyperlink>
      <w:r>
        <w:rPr>
          <w:b w:val="0"/>
          <w:i w:val="0"/>
        </w:rPr>
        <w:t xml:space="preserve">, </w:t>
      </w:r>
      <w:hyperlink w:anchor="passage-v-15-4">
        <w:r>
          <w:rPr>
            <w:color w:val="000000"/>
          </w:rPr>
          <w:t xml:space="preserve">V.15.4</w:t>
        </w:r>
      </w:hyperlink>
      <w:r>
        <w:rPr>
          <w:b w:val="0"/>
          <w:i w:val="0"/>
        </w:rPr>
        <w:t xml:space="preserve">. See </w:t>
      </w:r>
      <w:hyperlink w:anchor="image-shadow-and-ranked-truth">
        <w:r>
          <w:rPr>
            <w:color w:val="000000"/>
          </w:rPr>
          <w:t xml:space="preserve">Image, shadow and ranked truth</w:t>
        </w:r>
      </w:hyperlink>
      <w:r>
        <w:rPr>
          <w:b w:val="0"/>
          <w:i w:val="0"/>
        </w:rPr>
        <w:t>.</w:t>
      </w:r>
    </w:p>
    <w:p>
      <w:pPr>
        <w:widowControl/>
      </w:pPr>
      <w:r>
        <w:rPr>
          <w:b w:val="0"/>
          <w:i w:val="0"/>
        </w:rPr>
        <w:t xml:space="preserve">An image or representation, sensible or mental according to context. Internal sense handles bodily residues; the cave displays projected likenesses; the closing memory proof tests images retained by or allegedly transferred between subjects. References: </w:t>
      </w:r>
      <w:hyperlink w:anchor="passage-vi-2-1">
        <w:r>
          <w:rPr>
            <w:color w:val="000000"/>
          </w:rPr>
          <w:t xml:space="preserve">VI.2.1</w:t>
        </w:r>
      </w:hyperlink>
      <w:r>
        <w:rPr>
          <w:b w:val="0"/>
          <w:i w:val="0"/>
        </w:rPr>
        <w:t xml:space="preserve">, </w:t>
      </w:r>
      <w:hyperlink w:anchor="passage-vi-2-7">
        <w:r>
          <w:rPr>
            <w:color w:val="000000"/>
          </w:rPr>
          <w:t xml:space="preserve">VI.2.7</w:t>
        </w:r>
      </w:hyperlink>
      <w:r>
        <w:rPr>
          <w:b w:val="0"/>
          <w:i w:val="0"/>
        </w:rPr>
        <w:t xml:space="preserve">, </w:t>
      </w:r>
      <w:hyperlink w:anchor="passage-vi-2-14">
        <w:r>
          <w:rPr>
            <w:color w:val="000000"/>
          </w:rPr>
          <w:t xml:space="preserve">VI.2.14</w:t>
        </w:r>
      </w:hyperlink>
      <w:r>
        <w:rPr>
          <w:b w:val="0"/>
          <w:i w:val="0"/>
        </w:rPr>
        <w:t xml:space="preserve">,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widowControl/>
      </w:pPr>
      <w:r>
        <w:rPr>
          <w:b w:val="0"/>
          <w:i w:val="0"/>
        </w:rPr>
        <w:t xml:space="preserve">An image through which something is represented or perceived. Plato’s image is the image of a visible person; it is not a technical reference to a separate Platonic Idea.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834" w:name="latin-record-0593"/>
      <w:bookmarkEnd w:id="834"/>
      <w:r>
        <w:rPr>
          <w:b/>
          <w:i w:val="0"/>
        </w:rPr>
        <w:t>immensus / ingens</w:t>
      </w:r>
      <w:r>
        <w:rPr>
          <w:b/>
          <w:i w:val="0"/>
        </w:rPr>
        <w:t>.</w:t>
      </w:r>
      <w:r>
        <w:rPr>
          <w:b w:val="0"/>
          <w:i w:val="0"/>
        </w:rPr>
        <w:t xml:space="preserve"> Printed forms: </w:t>
      </w:r>
      <w:r>
        <w:rPr>
          <w:b w:val="0"/>
          <w:i/>
        </w:rPr>
        <w:t>immensae</w:t>
      </w:r>
      <w:r>
        <w:rPr>
          <w:b w:val="0"/>
          <w:i w:val="0"/>
        </w:rPr>
        <w:t xml:space="preserve">; </w:t>
      </w:r>
      <w:r>
        <w:rPr>
          <w:b w:val="0"/>
          <w:i/>
        </w:rPr>
        <w:t>immensum</w:t>
      </w:r>
      <w:r>
        <w:rPr>
          <w:b w:val="0"/>
          <w:i w:val="0"/>
        </w:rPr>
        <w:t xml:space="preserve">; </w:t>
      </w:r>
      <w:r>
        <w:rPr>
          <w:b w:val="0"/>
          <w:i/>
        </w:rPr>
        <w:t>ingens</w:t>
      </w:r>
      <w:r>
        <w:rPr>
          <w:b w:val="0"/>
          <w:i w:val="0"/>
        </w:rPr>
        <w:t xml:space="preserve">; </w:t>
      </w:r>
      <w:r>
        <w:rPr>
          <w:b w:val="0"/>
          <w:i/>
        </w:rPr>
        <w:t>ingentem</w:t>
      </w:r>
      <w:r>
        <w:rPr>
          <w:b w:val="0"/>
          <w:i w:val="0"/>
        </w:rPr>
        <w:t>.</w:t>
      </w:r>
    </w:p>
    <w:p>
      <w:pPr>
        <w:widowControl/>
      </w:pPr>
      <w:r>
        <w:rPr>
          <w:b w:val="0"/>
          <w:i w:val="0"/>
        </w:rPr>
        <w:t xml:space="preserve">Immeasurably large or very great. The soul’s conception of such bodies and of a still greater body challenges any assigned spatial size of the soul itself. References: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835" w:name="latin-record-0594"/>
      <w:bookmarkEnd w:id="835"/>
      <w:r>
        <w:rPr>
          <w:b/>
          <w:i w:val="0"/>
        </w:rPr>
        <w:t>immergere / emergere</w:t>
      </w:r>
      <w:r>
        <w:rPr>
          <w:b/>
          <w:i w:val="0"/>
        </w:rPr>
        <w:t>.</w:t>
      </w:r>
      <w:r>
        <w:rPr>
          <w:b w:val="0"/>
          <w:i w:val="0"/>
        </w:rPr>
        <w:t xml:space="preserve"> Printed forms: </w:t>
      </w:r>
      <w:r>
        <w:rPr>
          <w:b w:val="0"/>
          <w:i/>
        </w:rPr>
        <w:t>emergeret</w:t>
      </w:r>
      <w:r>
        <w:rPr>
          <w:b w:val="0"/>
          <w:i w:val="0"/>
        </w:rPr>
        <w:t xml:space="preserve">; </w:t>
      </w:r>
      <w:r>
        <w:rPr>
          <w:b w:val="0"/>
          <w:i/>
        </w:rPr>
        <w:t>immersa</w:t>
      </w:r>
      <w:r>
        <w:rPr>
          <w:b w:val="0"/>
          <w:i w:val="0"/>
        </w:rPr>
        <w:t>.</w:t>
      </w:r>
    </w:p>
    <w:p>
      <w:pPr>
        <w:widowControl/>
      </w:pPr>
      <w:r>
        <w:rPr>
          <w:b w:val="0"/>
          <w:i w:val="0"/>
        </w:rPr>
        <w:t xml:space="preserve">To immerse and to emerge, images of being bound within matter or rising beyond it. A materially immersed essence could not reach divine things and function as the world’s bond. References: </w:t>
      </w:r>
      <w:hyperlink w:anchor="passage-v-5-7">
        <w:r>
          <w:rPr>
            <w:color w:val="000000"/>
          </w:rPr>
          <w:t xml:space="preserve">V.5.7</w:t>
        </w:r>
      </w:hyperlink>
      <w:r>
        <w:rPr>
          <w:b w:val="0"/>
          <w:i w:val="0"/>
        </w:rPr>
        <w:t xml:space="preserve">, </w:t>
      </w:r>
      <w:hyperlink w:anchor="passage-v-10-2">
        <w:r>
          <w:rPr>
            <w:color w:val="000000"/>
          </w:rPr>
          <w:t xml:space="preserve">V.10.2</w:t>
        </w:r>
      </w:hyperlink>
      <w:r>
        <w:rPr>
          <w:b w:val="0"/>
          <w:i w:val="0"/>
        </w:rPr>
        <w:t xml:space="preserve">. See </w:t>
      </w:r>
      <w:hyperlink w:anchor="inclination-and-independence">
        <w:r>
          <w:rPr>
            <w:color w:val="000000"/>
          </w:rPr>
          <w:t xml:space="preserve">Inclination and independence</w:t>
        </w:r>
      </w:hyperlink>
      <w:r>
        <w:rPr>
          <w:b w:val="0"/>
          <w:i w:val="0"/>
        </w:rPr>
        <w:t>.</w:t>
      </w:r>
    </w:p>
    <w:p>
      <w:pPr>
        <w:keepNext/>
        <w:widowControl/>
      </w:pPr>
      <w:bookmarkStart w:id="836" w:name="latin-record-0595"/>
      <w:bookmarkEnd w:id="836"/>
      <w:r>
        <w:rPr>
          <w:b/>
          <w:i w:val="0"/>
        </w:rPr>
        <w:t>immo / tamen / non tamen</w:t>
      </w:r>
      <w:r>
        <w:rPr>
          <w:b/>
          <w:i w:val="0"/>
        </w:rPr>
        <w:t>.</w:t>
      </w:r>
      <w:r>
        <w:rPr>
          <w:b w:val="0"/>
          <w:i w:val="0"/>
        </w:rPr>
        <w:t xml:space="preserve"> Printed forms: </w:t>
      </w:r>
      <w:r>
        <w:rPr>
          <w:b w:val="0"/>
          <w:i/>
        </w:rPr>
        <w:t>Atqui</w:t>
      </w:r>
      <w:r>
        <w:rPr>
          <w:b w:val="0"/>
          <w:i w:val="0"/>
        </w:rPr>
        <w:t xml:space="preserve">; </w:t>
      </w:r>
      <w:r>
        <w:rPr>
          <w:b w:val="0"/>
          <w:i/>
        </w:rPr>
        <w:t>immo</w:t>
      </w:r>
      <w:r>
        <w:rPr>
          <w:b w:val="0"/>
          <w:i w:val="0"/>
        </w:rPr>
        <w:t xml:space="preserve">; </w:t>
      </w:r>
      <w:r>
        <w:rPr>
          <w:b w:val="0"/>
          <w:i/>
        </w:rPr>
        <w:t>Immo</w:t>
      </w:r>
      <w:r>
        <w:rPr>
          <w:b w:val="0"/>
          <w:i w:val="0"/>
        </w:rPr>
        <w:t xml:space="preserve">; </w:t>
      </w:r>
      <w:r>
        <w:rPr>
          <w:b w:val="0"/>
          <w:i/>
        </w:rPr>
        <w:t>Non tamen</w:t>
      </w:r>
      <w:r>
        <w:rPr>
          <w:b w:val="0"/>
          <w:i w:val="0"/>
        </w:rPr>
        <w:t xml:space="preserve">; </w:t>
      </w:r>
      <w:r>
        <w:rPr>
          <w:b w:val="0"/>
          <w:i/>
        </w:rPr>
        <w:t>non tamen</w:t>
      </w:r>
      <w:r>
        <w:rPr>
          <w:b w:val="0"/>
          <w:i w:val="0"/>
        </w:rPr>
        <w:t xml:space="preserve">; </w:t>
      </w:r>
      <w:r>
        <w:rPr>
          <w:b w:val="0"/>
          <w:i/>
        </w:rPr>
        <w:t>tamen</w:t>
      </w:r>
      <w:r>
        <w:rPr>
          <w:b w:val="0"/>
          <w:i w:val="0"/>
        </w:rPr>
        <w:t>.</w:t>
      </w:r>
    </w:p>
    <w:p>
      <w:pPr>
        <w:widowControl/>
      </w:pPr>
      <w:r>
        <w:rPr>
          <w:b w:val="0"/>
          <w:i w:val="0"/>
        </w:rPr>
        <w:t xml:space="preserve">Indeed or rather, nevertheless and corrective transitions. Non tamen at VIII.1.4 limits the necessity of the preceding discursive argument; other corrections sharpen conclusions rather than adding interchangeable connective filler. References: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w:t>
      </w:r>
      <w:hyperlink w:anchor="passage-viii-2-5">
        <w:r>
          <w:rPr>
            <w:color w:val="000000"/>
          </w:rPr>
          <w:t xml:space="preserve">VIII.2.5</w:t>
        </w:r>
      </w:hyperlink>
      <w:r>
        <w:rPr>
          <w:b w:val="0"/>
          <w:i w:val="0"/>
        </w:rPr>
        <w:t xml:space="preserve">, </w:t>
      </w:r>
      <w:hyperlink w:anchor="passage-viii-3-7">
        <w:r>
          <w:rPr>
            <w:color w:val="000000"/>
          </w:rPr>
          <w:t xml:space="preserve">VIII.3.7</w:t>
        </w:r>
      </w:hyperlink>
      <w:r>
        <w:rPr>
          <w:b w:val="0"/>
          <w:i w:val="0"/>
        </w:rPr>
        <w:t xml:space="preserve">, </w:t>
      </w:r>
      <w:hyperlink w:anchor="passage-viii-10-2">
        <w:r>
          <w:rPr>
            <w:color w:val="000000"/>
          </w:rPr>
          <w:t xml:space="preserve">VIII.10.2</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837" w:name="latin-record-0596"/>
      <w:bookmarkEnd w:id="837"/>
      <w:r>
        <w:rPr>
          <w:b/>
          <w:i w:val="0"/>
        </w:rPr>
        <w:t>immo; tamen; nihilominus</w:t>
      </w:r>
      <w:r>
        <w:rPr>
          <w:b/>
          <w:i w:val="0"/>
        </w:rPr>
        <w:t>.</w:t>
      </w:r>
      <w:r>
        <w:rPr>
          <w:b w:val="0"/>
          <w:i w:val="0"/>
        </w:rPr>
        <w:t xml:space="preserve"> Printed forms: </w:t>
      </w:r>
      <w:r>
        <w:rPr>
          <w:b w:val="0"/>
          <w:i/>
        </w:rPr>
        <w:t>immo</w:t>
      </w:r>
      <w:r>
        <w:rPr>
          <w:b w:val="0"/>
          <w:i w:val="0"/>
        </w:rPr>
        <w:t xml:space="preserve">; </w:t>
      </w:r>
      <w:r>
        <w:rPr>
          <w:b w:val="0"/>
          <w:i/>
        </w:rPr>
        <w:t>Immo</w:t>
      </w:r>
      <w:r>
        <w:rPr>
          <w:b w:val="0"/>
          <w:i w:val="0"/>
        </w:rPr>
        <w:t xml:space="preserve">; </w:t>
      </w:r>
      <w:r>
        <w:rPr>
          <w:b w:val="0"/>
          <w:i/>
        </w:rPr>
        <w:t>Nihilominus</w:t>
      </w:r>
      <w:r>
        <w:rPr>
          <w:b w:val="0"/>
          <w:i w:val="0"/>
        </w:rPr>
        <w:t xml:space="preserve">; </w:t>
      </w:r>
      <w:r>
        <w:rPr>
          <w:b w:val="0"/>
          <w:i/>
        </w:rPr>
        <w:t>tamen</w:t>
      </w:r>
      <w:r>
        <w:rPr>
          <w:b w:val="0"/>
          <w:i w:val="0"/>
        </w:rPr>
        <w:t xml:space="preserve">; </w:t>
      </w:r>
      <w:r>
        <w:rPr>
          <w:b w:val="0"/>
          <w:i/>
        </w:rPr>
        <w:t>Verumtamen</w:t>
      </w:r>
      <w:r>
        <w:rPr>
          <w:b w:val="0"/>
          <w:i w:val="0"/>
        </w:rPr>
        <w:t>.</w:t>
      </w:r>
    </w:p>
    <w:p>
      <w:pPr>
        <w:widowControl/>
      </w:pPr>
      <w:r>
        <w:rPr>
          <w:b w:val="0"/>
          <w:i w:val="0"/>
        </w:rPr>
        <w:t xml:space="preserve">Rather or indeed, nevertheless and yet, marking correction or qualification. Ficino often strengthens a preceding claim or introduces a reply; the adversative must be preserved to avoid joining objection and answer into one view. References: </w:t>
      </w:r>
      <w:hyperlink w:anchor="passage-vi-2-2">
        <w:r>
          <w:rPr>
            <w:color w:val="000000"/>
          </w:rPr>
          <w:t xml:space="preserve">VI.2.2</w:t>
        </w:r>
      </w:hyperlink>
      <w:r>
        <w:rPr>
          <w:b w:val="0"/>
          <w:i w:val="0"/>
        </w:rPr>
        <w:t xml:space="preserve">, </w:t>
      </w:r>
      <w:hyperlink w:anchor="passage-vi-2-8">
        <w:r>
          <w:rPr>
            <w:color w:val="000000"/>
          </w:rPr>
          <w:t xml:space="preserve">VI.2.8</w:t>
        </w:r>
      </w:hyperlink>
      <w:r>
        <w:rPr>
          <w:b w:val="0"/>
          <w:i w:val="0"/>
        </w:rPr>
        <w:t xml:space="preserve">, </w:t>
      </w:r>
      <w:hyperlink w:anchor="passage-vi-2-17">
        <w:r>
          <w:rPr>
            <w:color w:val="000000"/>
          </w:rPr>
          <w:t xml:space="preserve">VI.2.17</w:t>
        </w:r>
      </w:hyperlink>
      <w:r>
        <w:rPr>
          <w:b w:val="0"/>
          <w:i w:val="0"/>
        </w:rPr>
        <w:t xml:space="preserve">, </w:t>
      </w:r>
      <w:hyperlink w:anchor="passage-vi-13-5">
        <w:r>
          <w:rPr>
            <w:color w:val="000000"/>
          </w:rPr>
          <w:t xml:space="preserve">VI.13.5</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838" w:name="latin-record-0597"/>
      <w:bookmarkEnd w:id="838"/>
      <w:r>
        <w:rPr>
          <w:b/>
          <w:i w:val="0"/>
        </w:rPr>
        <w:t>immobilis / stabilis</w:t>
      </w:r>
      <w:r>
        <w:rPr>
          <w:b/>
          <w:i w:val="0"/>
        </w:rPr>
        <w:t>.</w:t>
      </w:r>
      <w:r>
        <w:rPr>
          <w:b w:val="0"/>
          <w:i w:val="0"/>
        </w:rPr>
        <w:t xml:space="preserve"> Printed forms: </w:t>
      </w:r>
      <w:r>
        <w:rPr>
          <w:b w:val="0"/>
          <w:i/>
        </w:rPr>
        <w:t>immobile</w:t>
      </w:r>
      <w:r>
        <w:rPr>
          <w:b w:val="0"/>
          <w:i w:val="0"/>
        </w:rPr>
        <w:t xml:space="preserve">; </w:t>
      </w:r>
      <w:r>
        <w:rPr>
          <w:b w:val="0"/>
          <w:i/>
        </w:rPr>
        <w:t>immobilis</w:t>
      </w:r>
      <w:r>
        <w:rPr>
          <w:b w:val="0"/>
          <w:i w:val="0"/>
        </w:rPr>
        <w:t xml:space="preserve">; </w:t>
      </w:r>
      <w:r>
        <w:rPr>
          <w:b w:val="0"/>
          <w:i/>
        </w:rPr>
        <w:t>stabilem</w:t>
      </w:r>
      <w:r>
        <w:rPr>
          <w:b w:val="0"/>
          <w:i w:val="0"/>
        </w:rPr>
        <w:t xml:space="preserve">; </w:t>
      </w:r>
      <w:r>
        <w:rPr>
          <w:b w:val="0"/>
          <w:i/>
        </w:rPr>
        <w:t>stabilia</w:t>
      </w:r>
      <w:r>
        <w:rPr>
          <w:b w:val="0"/>
          <w:i w:val="0"/>
        </w:rPr>
        <w:t xml:space="preserve">; </w:t>
      </w:r>
      <w:r>
        <w:rPr>
          <w:b w:val="0"/>
          <w:i/>
        </w:rPr>
        <w:t>stabilis</w:t>
      </w:r>
      <w:r>
        <w:rPr>
          <w:b w:val="0"/>
          <w:i w:val="0"/>
        </w:rPr>
        <w:t>.</w:t>
      </w:r>
    </w:p>
    <w:p>
      <w:pPr>
        <w:widowControl/>
      </w:pPr>
      <w:r>
        <w:rPr>
          <w:b w:val="0"/>
          <w:i w:val="0"/>
        </w:rPr>
        <w:t xml:space="preserve">Unmoved or stable, especially the abiding essence contrasted with changing operations. The soul can direct a moving task without being dissolved into the task’s successive phases. References: </w:t>
      </w:r>
      <w:hyperlink w:anchor="passage-v-10-3">
        <w:r>
          <w:rPr>
            <w:color w:val="000000"/>
          </w:rPr>
          <w:t xml:space="preserve">V.10.3</w:t>
        </w:r>
      </w:hyperlink>
      <w:r>
        <w:rPr>
          <w:b w:val="0"/>
          <w:i w:val="0"/>
        </w:rPr>
        <w:t xml:space="preserve">, </w:t>
      </w:r>
      <w:hyperlink w:anchor="passage-v-12-13">
        <w:r>
          <w:rPr>
            <w:color w:val="000000"/>
          </w:rPr>
          <w:t xml:space="preserve">V.12.13</w:t>
        </w:r>
      </w:hyperlink>
      <w:r>
        <w:rPr>
          <w:b w:val="0"/>
          <w:i w:val="0"/>
        </w:rPr>
        <w:t xml:space="preserve">, </w:t>
      </w:r>
      <w:hyperlink w:anchor="passage-v-15-5">
        <w:r>
          <w:rPr>
            <w:color w:val="000000"/>
          </w:rPr>
          <w:t xml:space="preserve">V.15.5</w:t>
        </w:r>
      </w:hyperlink>
      <w:r>
        <w:rPr>
          <w:b w:val="0"/>
          <w:i w:val="0"/>
        </w:rPr>
        <w:t xml:space="preserve">, </w:t>
      </w:r>
      <w:hyperlink w:anchor="passage-v-15-6">
        <w:r>
          <w:rPr>
            <w:color w:val="000000"/>
          </w:rPr>
          <w:t xml:space="preserve">V.15.6</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839" w:name="latin-record-0598"/>
      <w:bookmarkEnd w:id="839"/>
      <w:r>
        <w:rPr>
          <w:b/>
          <w:i w:val="0"/>
        </w:rPr>
        <w:t>immortalis / immortalitas</w:t>
      </w:r>
      <w:r>
        <w:rPr>
          <w:b/>
          <w:i w:val="0"/>
        </w:rPr>
        <w:t>.</w:t>
      </w:r>
      <w:r>
        <w:rPr>
          <w:b w:val="0"/>
          <w:i w:val="0"/>
        </w:rPr>
        <w:t xml:space="preserve"> Printed forms: </w:t>
      </w:r>
      <w:r>
        <w:rPr>
          <w:b w:val="0"/>
          <w:i/>
        </w:rPr>
        <w:t>immortalem</w:t>
      </w:r>
      <w:r>
        <w:rPr>
          <w:b w:val="0"/>
          <w:i w:val="0"/>
        </w:rPr>
        <w:t xml:space="preserve">; </w:t>
      </w:r>
      <w:r>
        <w:rPr>
          <w:b w:val="0"/>
          <w:i/>
        </w:rPr>
        <w:t>immortales</w:t>
      </w:r>
      <w:r>
        <w:rPr>
          <w:b w:val="0"/>
          <w:i w:val="0"/>
        </w:rPr>
        <w:t xml:space="preserve">; </w:t>
      </w:r>
      <w:r>
        <w:rPr>
          <w:b w:val="0"/>
          <w:i/>
        </w:rPr>
        <w:t>immortali</w:t>
      </w:r>
      <w:r>
        <w:rPr>
          <w:b w:val="0"/>
          <w:i w:val="0"/>
        </w:rPr>
        <w:t xml:space="preserve">; </w:t>
      </w:r>
      <w:r>
        <w:rPr>
          <w:b w:val="0"/>
          <w:i/>
        </w:rPr>
        <w:t>immortalis</w:t>
      </w:r>
      <w:r>
        <w:rPr>
          <w:b w:val="0"/>
          <w:i w:val="0"/>
        </w:rPr>
        <w:t xml:space="preserve">; </w:t>
      </w:r>
      <w:r>
        <w:rPr>
          <w:b w:val="0"/>
          <w:i/>
        </w:rPr>
        <w:t>Immortalis</w:t>
      </w:r>
      <w:r>
        <w:rPr>
          <w:b w:val="0"/>
          <w:i w:val="0"/>
        </w:rPr>
        <w:t xml:space="preserve">; </w:t>
      </w:r>
      <w:r>
        <w:rPr>
          <w:b w:val="0"/>
          <w:i/>
        </w:rPr>
        <w:t>immortalitas</w:t>
      </w:r>
      <w:r>
        <w:rPr>
          <w:b w:val="0"/>
          <w:i w:val="0"/>
        </w:rPr>
        <w:t xml:space="preserve">; </w:t>
      </w:r>
      <w:r>
        <w:rPr>
          <w:b w:val="0"/>
          <w:i/>
        </w:rPr>
        <w:t>immortalitatem</w:t>
      </w:r>
      <w:r>
        <w:rPr>
          <w:b w:val="0"/>
          <w:i w:val="0"/>
        </w:rPr>
        <w:t xml:space="preserve">; </w:t>
      </w:r>
      <w:r>
        <w:rPr>
          <w:b w:val="0"/>
          <w:i/>
        </w:rPr>
        <w:t>immortalitatis</w:t>
      </w:r>
      <w:r>
        <w:rPr>
          <w:b w:val="0"/>
          <w:i w:val="0"/>
        </w:rPr>
        <w:t>.</w:t>
      </w:r>
    </w:p>
    <w:p>
      <w:pPr>
        <w:widowControl/>
      </w:pPr>
      <w:r>
        <w:rPr>
          <w:b w:val="0"/>
          <w:i w:val="0"/>
        </w:rPr>
        <w:t xml:space="preserve">Immortalis means immortal or deathless; immortalitas means immortality, the conclusion sought for rational souls and a recurrent attribute of higher principles. The life argument must explain why nonreception of death entails survival, rather than relying solely on the word. References: </w:t>
      </w:r>
      <w:hyperlink w:anchor="passage-v-1-1">
        <w:r>
          <w:rPr>
            <w:color w:val="000000"/>
          </w:rPr>
          <w:t xml:space="preserve">V.1.1</w:t>
        </w:r>
      </w:hyperlink>
      <w:r>
        <w:rPr>
          <w:b w:val="0"/>
          <w:i w:val="0"/>
        </w:rPr>
        <w:t xml:space="preserve">, </w:t>
      </w:r>
      <w:hyperlink w:anchor="passage-v-2-1">
        <w:r>
          <w:rPr>
            <w:color w:val="000000"/>
          </w:rPr>
          <w:t xml:space="preserve">V.2.1</w:t>
        </w:r>
      </w:hyperlink>
      <w:r>
        <w:rPr>
          <w:b w:val="0"/>
          <w:i w:val="0"/>
        </w:rPr>
        <w:t xml:space="preserve">, </w:t>
      </w:r>
      <w:hyperlink w:anchor="passage-v-4-1">
        <w:r>
          <w:rPr>
            <w:color w:val="000000"/>
          </w:rPr>
          <w:t xml:space="preserve">V.4.1</w:t>
        </w:r>
      </w:hyperlink>
      <w:r>
        <w:rPr>
          <w:b w:val="0"/>
          <w:i w:val="0"/>
        </w:rPr>
        <w:t xml:space="preserve">, </w:t>
      </w:r>
      <w:hyperlink w:anchor="passage-v-4-10">
        <w:r>
          <w:rPr>
            <w:color w:val="000000"/>
          </w:rPr>
          <w:t xml:space="preserve">V.4.10</w:t>
        </w:r>
      </w:hyperlink>
      <w:r>
        <w:rPr>
          <w:b w:val="0"/>
          <w:i w:val="0"/>
        </w:rPr>
        <w:t xml:space="preserve">, </w:t>
      </w:r>
      <w:hyperlink w:anchor="passage-v-14-1">
        <w:r>
          <w:rPr>
            <w:color w:val="000000"/>
          </w:rPr>
          <w:t xml:space="preserve">V.14.1</w:t>
        </w:r>
      </w:hyperlink>
      <w:r>
        <w:rPr>
          <w:b w:val="0"/>
          <w:i w:val="0"/>
        </w:rPr>
        <w:t xml:space="preserve">, </w:t>
      </w:r>
      <w:hyperlink w:anchor="passage-v-14-5">
        <w:r>
          <w:rPr>
            <w:color w:val="000000"/>
          </w:rPr>
          <w:t xml:space="preserve">V.14.5</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widowControl/>
      </w:pPr>
      <w:r>
        <w:rPr>
          <w:b w:val="0"/>
          <w:i w:val="0"/>
        </w:rPr>
        <w:t xml:space="preserve">Not subject to death, or the corresponding enduring condition. The immortality of truth, species and an individual mind are connected but remain distinct subjects; intellectual generation is contrasted with biological succession. References: </w:t>
      </w:r>
      <w:hyperlink w:anchor="passage-viii-2-8">
        <w:r>
          <w:rPr>
            <w:color w:val="000000"/>
          </w:rPr>
          <w:t xml:space="preserve">VIII.2.8</w:t>
        </w:r>
      </w:hyperlink>
      <w:r>
        <w:rPr>
          <w:b w:val="0"/>
          <w:i w:val="0"/>
        </w:rPr>
        <w:t xml:space="preserve">, </w:t>
      </w:r>
      <w:hyperlink w:anchor="passage-viii-9-1">
        <w:r>
          <w:rPr>
            <w:color w:val="000000"/>
          </w:rPr>
          <w:t xml:space="preserve">VIII.9.1</w:t>
        </w:r>
      </w:hyperlink>
      <w:r>
        <w:rPr>
          <w:b w:val="0"/>
          <w:i w:val="0"/>
        </w:rPr>
        <w:t xml:space="preserve">, </w:t>
      </w:r>
      <w:hyperlink w:anchor="passage-viii-15-2">
        <w:r>
          <w:rPr>
            <w:color w:val="000000"/>
          </w:rPr>
          <w:t xml:space="preserve">VIII.15.2</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840" w:name="latin-record-0599"/>
      <w:bookmarkEnd w:id="840"/>
      <w:r>
        <w:rPr>
          <w:b/>
          <w:i w:val="0"/>
        </w:rPr>
        <w:t>immortalis; perpetuus; sempiternus</w:t>
      </w:r>
      <w:r>
        <w:rPr>
          <w:b/>
          <w:i w:val="0"/>
        </w:rPr>
        <w:t>.</w:t>
      </w:r>
      <w:r>
        <w:rPr>
          <w:b w:val="0"/>
          <w:i w:val="0"/>
        </w:rPr>
        <w:t xml:space="preserve"> Printed forms: </w:t>
      </w:r>
      <w:r>
        <w:rPr>
          <w:b w:val="0"/>
          <w:i/>
        </w:rPr>
        <w:t>immortalis</w:t>
      </w:r>
      <w:r>
        <w:rPr>
          <w:b w:val="0"/>
          <w:i w:val="0"/>
        </w:rPr>
        <w:t xml:space="preserve">; </w:t>
      </w:r>
      <w:r>
        <w:rPr>
          <w:b w:val="0"/>
          <w:i/>
        </w:rPr>
        <w:t>immortalitate</w:t>
      </w:r>
      <w:r>
        <w:rPr>
          <w:b w:val="0"/>
          <w:i w:val="0"/>
        </w:rPr>
        <w:t xml:space="preserve">; </w:t>
      </w:r>
      <w:r>
        <w:rPr>
          <w:b w:val="0"/>
          <w:i/>
        </w:rPr>
        <w:t>immortalitatem</w:t>
      </w:r>
      <w:r>
        <w:rPr>
          <w:b w:val="0"/>
          <w:i w:val="0"/>
        </w:rPr>
        <w:t xml:space="preserve">; </w:t>
      </w:r>
      <w:r>
        <w:rPr>
          <w:b w:val="0"/>
          <w:i/>
        </w:rPr>
        <w:t>perpetua</w:t>
      </w:r>
      <w:r>
        <w:rPr>
          <w:b w:val="0"/>
          <w:i w:val="0"/>
        </w:rPr>
        <w:t xml:space="preserve">; </w:t>
      </w:r>
      <w:r>
        <w:rPr>
          <w:b w:val="0"/>
          <w:i/>
        </w:rPr>
        <w:t>perpetuaque</w:t>
      </w:r>
      <w:r>
        <w:rPr>
          <w:b w:val="0"/>
          <w:i w:val="0"/>
        </w:rPr>
        <w:t xml:space="preserve">; </w:t>
      </w:r>
      <w:r>
        <w:rPr>
          <w:b w:val="0"/>
          <w:i/>
        </w:rPr>
        <w:t>perpetuo</w:t>
      </w:r>
      <w:r>
        <w:rPr>
          <w:b w:val="0"/>
          <w:i w:val="0"/>
        </w:rPr>
        <w:t xml:space="preserve">; </w:t>
      </w:r>
      <w:r>
        <w:rPr>
          <w:b w:val="0"/>
          <w:i/>
        </w:rPr>
        <w:t>perpetuus</w:t>
      </w:r>
      <w:r>
        <w:rPr>
          <w:b w:val="0"/>
          <w:i w:val="0"/>
        </w:rPr>
        <w:t xml:space="preserve">; </w:t>
      </w:r>
      <w:r>
        <w:rPr>
          <w:b w:val="0"/>
          <w:i/>
        </w:rPr>
        <w:t>sempiterna</w:t>
      </w:r>
      <w:r>
        <w:rPr>
          <w:b w:val="0"/>
          <w:i w:val="0"/>
        </w:rPr>
        <w:t xml:space="preserve">; </w:t>
      </w:r>
      <w:r>
        <w:rPr>
          <w:b w:val="0"/>
          <w:i/>
        </w:rPr>
        <w:t>Sempiternum</w:t>
      </w:r>
      <w:r>
        <w:rPr>
          <w:b w:val="0"/>
          <w:i w:val="0"/>
        </w:rPr>
        <w:t>.</w:t>
      </w:r>
    </w:p>
    <w:p>
      <w:pPr>
        <w:widowControl/>
      </w:pPr>
      <w:r>
        <w:rPr>
          <w:b w:val="0"/>
          <w:i w:val="0"/>
        </w:rPr>
        <w:t xml:space="preserve">Immortal, perpetual and everlasting, with the subject and mode of duration specified. The inquiry aims at the soul’s immortality, while perpetual bodily motion or pain may occur only inside a hypothetical reductio; duration words alone do not identify their subjects. References: </w:t>
      </w:r>
      <w:hyperlink w:anchor="passage-vi-1-1">
        <w:r>
          <w:rPr>
            <w:color w:val="000000"/>
          </w:rPr>
          <w:t xml:space="preserve">VI.1.1</w:t>
        </w:r>
      </w:hyperlink>
      <w:r>
        <w:rPr>
          <w:b w:val="0"/>
          <w:i w:val="0"/>
        </w:rPr>
        <w:t xml:space="preserve">, </w:t>
      </w:r>
      <w:hyperlink w:anchor="passage-vi-1-6">
        <w:r>
          <w:rPr>
            <w:color w:val="000000"/>
          </w:rPr>
          <w:t xml:space="preserve">VI.1.6</w:t>
        </w:r>
      </w:hyperlink>
      <w:r>
        <w:rPr>
          <w:b w:val="0"/>
          <w:i w:val="0"/>
        </w:rPr>
        <w:t xml:space="preserve">, </w:t>
      </w:r>
      <w:hyperlink w:anchor="passage-vi-2-3">
        <w:r>
          <w:rPr>
            <w:color w:val="000000"/>
          </w:rPr>
          <w:t xml:space="preserve">VI.2.3</w:t>
        </w:r>
      </w:hyperlink>
      <w:r>
        <w:rPr>
          <w:b w:val="0"/>
          <w:i w:val="0"/>
        </w:rPr>
        <w:t xml:space="preserve">, </w:t>
      </w:r>
      <w:hyperlink w:anchor="passage-vi-3-2">
        <w:r>
          <w:rPr>
            <w:color w:val="000000"/>
          </w:rPr>
          <w:t xml:space="preserve">VI.3.2</w:t>
        </w:r>
      </w:hyperlink>
      <w:r>
        <w:rPr>
          <w:b w:val="0"/>
          <w:i w:val="0"/>
        </w:rPr>
        <w:t xml:space="preserve">, </w:t>
      </w:r>
      <w:hyperlink w:anchor="passage-vi-9-4">
        <w:r>
          <w:rPr>
            <w:color w:val="000000"/>
          </w:rPr>
          <w:t xml:space="preserve">VI.9.4</w:t>
        </w:r>
      </w:hyperlink>
      <w:r>
        <w:rPr>
          <w:b w:val="0"/>
          <w:i w:val="0"/>
        </w:rPr>
        <w:t xml:space="preserve">, </w:t>
      </w:r>
      <w:hyperlink w:anchor="passage-vi-13-6">
        <w:r>
          <w:rPr>
            <w:color w:val="000000"/>
          </w:rPr>
          <w:t xml:space="preserve">VI.13.6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841" w:name="latin-record-0600"/>
      <w:bookmarkEnd w:id="841"/>
      <w:r>
        <w:rPr>
          <w:b/>
          <w:i w:val="0"/>
        </w:rPr>
        <w:t>impartibile; internus agitator</w:t>
      </w:r>
      <w:r>
        <w:rPr>
          <w:b/>
          <w:i w:val="0"/>
        </w:rPr>
        <w:t>.</w:t>
      </w:r>
      <w:r>
        <w:rPr>
          <w:b w:val="0"/>
          <w:i w:val="0"/>
        </w:rPr>
        <w:t xml:space="preserve"> Printed forms: </w:t>
      </w:r>
      <w:r>
        <w:rPr>
          <w:b w:val="0"/>
          <w:i/>
        </w:rPr>
        <w:t>impartibile aliquid</w:t>
      </w:r>
      <w:r>
        <w:rPr>
          <w:b w:val="0"/>
          <w:i w:val="0"/>
        </w:rPr>
        <w:t xml:space="preserve">; </w:t>
      </w:r>
      <w:r>
        <w:rPr>
          <w:b w:val="0"/>
          <w:i/>
        </w:rPr>
        <w:t>Internus autem corporis agitator</w:t>
      </w:r>
      <w:r>
        <w:rPr>
          <w:b w:val="0"/>
          <w:i w:val="0"/>
        </w:rPr>
        <w:t>.</w:t>
      </w:r>
    </w:p>
    <w:p>
      <w:pPr>
        <w:widowControl/>
      </w:pPr>
      <w:r>
        <w:rPr>
          <w:b w:val="0"/>
          <w:i w:val="0"/>
        </w:rPr>
        <w:t xml:space="preserve">An impartible principle; the body’s inward mover. The regress terminates in soul, whose presence enables spontaneous bodily movement while its absence leaves a need for an external mover. References: </w:t>
      </w:r>
      <w:hyperlink w:anchor="passage-vi-12-7">
        <w:r>
          <w:rPr>
            <w:color w:val="000000"/>
          </w:rPr>
          <w:t xml:space="preserve">VI.12.7</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842" w:name="latin-record-0601"/>
      <w:bookmarkEnd w:id="842"/>
      <w:r>
        <w:rPr>
          <w:b/>
          <w:i w:val="0"/>
        </w:rPr>
        <w:t>impartibilis</w:t>
      </w:r>
      <w:r>
        <w:rPr>
          <w:b/>
          <w:i w:val="0"/>
        </w:rPr>
        <w:t>.</w:t>
      </w:r>
      <w:r>
        <w:rPr>
          <w:b w:val="0"/>
          <w:i w:val="0"/>
        </w:rPr>
        <w:t xml:space="preserve"> Printed forms: </w:t>
      </w:r>
      <w:r>
        <w:rPr>
          <w:b w:val="0"/>
          <w:i/>
        </w:rPr>
        <w:t>impartibile</w:t>
      </w:r>
      <w:r>
        <w:rPr>
          <w:b w:val="0"/>
          <w:i w:val="0"/>
        </w:rPr>
        <w:t xml:space="preserve">; </w:t>
      </w:r>
      <w:r>
        <w:rPr>
          <w:b w:val="0"/>
          <w:i/>
        </w:rPr>
        <w:t>impartibili</w:t>
      </w:r>
      <w:r>
        <w:rPr>
          <w:b w:val="0"/>
          <w:i w:val="0"/>
        </w:rPr>
        <w:t>.</w:t>
      </w:r>
    </w:p>
    <w:p>
      <w:pPr>
        <w:widowControl/>
      </w:pPr>
      <w:r>
        <w:rPr>
          <w:b w:val="0"/>
          <w:i w:val="0"/>
        </w:rPr>
        <w:t xml:space="preserve">Indivisible or without separable parts, naming the sufficient knower in the Plotinian reply. If this alone performs understanding, the alleged remainder of a bodily intellect has no explanatory role in being mind. References: </w:t>
      </w:r>
      <w:hyperlink w:anchor="passage-viii-5-2">
        <w:r>
          <w:rPr>
            <w:color w:val="000000"/>
          </w:rPr>
          <w:t xml:space="preserve">VIII.5.2</w:t>
        </w:r>
      </w:hyperlink>
      <w:r>
        <w:rPr>
          <w:b w:val="0"/>
          <w:i w:val="0"/>
        </w:rPr>
        <w:t xml:space="preserve">. See </w:t>
      </w:r>
      <w:hyperlink w:anchor="viii-touch-traversal">
        <w:r>
          <w:rPr>
            <w:color w:val="000000"/>
          </w:rPr>
          <w:t xml:space="preserve">Touch, traversal, and the rejection of bodily contact</w:t>
        </w:r>
      </w:hyperlink>
      <w:r>
        <w:rPr>
          <w:b w:val="0"/>
          <w:i w:val="0"/>
        </w:rPr>
        <w:t>.</w:t>
      </w:r>
    </w:p>
    <w:p>
      <w:pPr>
        <w:keepNext/>
        <w:widowControl/>
      </w:pPr>
      <w:bookmarkStart w:id="843" w:name="latin-record-0602"/>
      <w:bookmarkEnd w:id="843"/>
      <w:r>
        <w:rPr>
          <w:b/>
          <w:i w:val="0"/>
        </w:rPr>
        <w:t>impedire / cohibere / claudere</w:t>
      </w:r>
      <w:r>
        <w:rPr>
          <w:b/>
          <w:i w:val="0"/>
        </w:rPr>
        <w:t>.</w:t>
      </w:r>
      <w:r>
        <w:rPr>
          <w:b w:val="0"/>
          <w:i w:val="0"/>
        </w:rPr>
        <w:t xml:space="preserve"> Printed forms: </w:t>
      </w:r>
      <w:r>
        <w:rPr>
          <w:b w:val="0"/>
          <w:i/>
        </w:rPr>
        <w:t>claudi</w:t>
      </w:r>
      <w:r>
        <w:rPr>
          <w:b w:val="0"/>
          <w:i w:val="0"/>
        </w:rPr>
        <w:t xml:space="preserve">; </w:t>
      </w:r>
      <w:r>
        <w:rPr>
          <w:b w:val="0"/>
          <w:i/>
        </w:rPr>
        <w:t>clauditur</w:t>
      </w:r>
      <w:r>
        <w:rPr>
          <w:b w:val="0"/>
          <w:i w:val="0"/>
        </w:rPr>
        <w:t xml:space="preserve">; </w:t>
      </w:r>
      <w:r>
        <w:rPr>
          <w:b w:val="0"/>
          <w:i/>
        </w:rPr>
        <w:t>cohibent</w:t>
      </w:r>
      <w:r>
        <w:rPr>
          <w:b w:val="0"/>
          <w:i w:val="0"/>
        </w:rPr>
        <w:t xml:space="preserve">; </w:t>
      </w:r>
      <w:r>
        <w:rPr>
          <w:b w:val="0"/>
          <w:i/>
        </w:rPr>
        <w:t>impediat</w:t>
      </w:r>
      <w:r>
        <w:rPr>
          <w:b w:val="0"/>
          <w:i w:val="0"/>
        </w:rPr>
        <w:t xml:space="preserve">; </w:t>
      </w:r>
      <w:r>
        <w:rPr>
          <w:b w:val="0"/>
          <w:i/>
        </w:rPr>
        <w:t>impedimentum</w:t>
      </w:r>
      <w:r>
        <w:rPr>
          <w:b w:val="0"/>
          <w:i w:val="0"/>
        </w:rPr>
        <w:t>.</w:t>
      </w:r>
    </w:p>
    <w:p>
      <w:pPr>
        <w:widowControl/>
      </w:pPr>
      <w:r>
        <w:rPr>
          <w:b w:val="0"/>
          <w:i w:val="0"/>
        </w:rPr>
        <w:t xml:space="preserve">Impeding, restraining or enclosing, bodily or explanatory according to context. Fear obstructs action, a middle point cannot create distance, and spatial intervals do not enclose intellectual comparison in the way they bound bodies. References: </w:t>
      </w:r>
      <w:hyperlink w:anchor="passage-viii-3-1">
        <w:r>
          <w:rPr>
            <w:color w:val="000000"/>
          </w:rPr>
          <w:t xml:space="preserve">VIII.3.1</w:t>
        </w:r>
      </w:hyperlink>
      <w:r>
        <w:rPr>
          <w:b w:val="0"/>
          <w:i w:val="0"/>
        </w:rPr>
        <w:t xml:space="preserve">, </w:t>
      </w:r>
      <w:hyperlink w:anchor="passage-viii-4-2">
        <w:r>
          <w:rPr>
            <w:color w:val="000000"/>
          </w:rPr>
          <w:t xml:space="preserve">VIII.4.2</w:t>
        </w:r>
      </w:hyperlink>
      <w:r>
        <w:rPr>
          <w:b w:val="0"/>
          <w:i w:val="0"/>
        </w:rPr>
        <w:t xml:space="preserve">, </w:t>
      </w:r>
      <w:hyperlink w:anchor="passage-viii-9-1">
        <w:r>
          <w:rPr>
            <w:color w:val="000000"/>
          </w:rPr>
          <w:t xml:space="preserve">VIII.9.1</w:t>
        </w:r>
      </w:hyperlink>
      <w:r>
        <w:rPr>
          <w:b w:val="0"/>
          <w:i w:val="0"/>
        </w:rPr>
        <w:t xml:space="preserve">, </w:t>
      </w:r>
      <w:hyperlink w:anchor="passage-viii-10-2">
        <w:r>
          <w:rPr>
            <w:color w:val="000000"/>
          </w:rPr>
          <w:t xml:space="preserve">VIII.10.2</w:t>
        </w:r>
      </w:hyperlink>
      <w:r>
        <w:rPr>
          <w:b w:val="0"/>
          <w:i w:val="0"/>
        </w:rPr>
        <w:t xml:space="preserve">, </w:t>
      </w:r>
      <w:hyperlink w:anchor="passage-viii-14-1">
        <w:r>
          <w:rPr>
            <w:color w:val="000000"/>
          </w:rPr>
          <w:t xml:space="preserve">VIII.14.1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844" w:name="latin-record-0603"/>
      <w:bookmarkEnd w:id="844"/>
      <w:r>
        <w:rPr>
          <w:b/>
          <w:i w:val="0"/>
        </w:rPr>
        <w:t>imperdibilis</w:t>
      </w:r>
      <w:r>
        <w:rPr>
          <w:b/>
          <w:i w:val="0"/>
        </w:rPr>
        <w:t>.</w:t>
      </w:r>
      <w:r>
        <w:rPr>
          <w:b w:val="0"/>
          <w:i w:val="0"/>
        </w:rPr>
        <w:t xml:space="preserve"> Printed forms: </w:t>
      </w:r>
      <w:r>
        <w:rPr>
          <w:b w:val="0"/>
          <w:i/>
        </w:rPr>
        <w:t>imperdibile</w:t>
      </w:r>
      <w:r>
        <w:rPr>
          <w:b w:val="0"/>
          <w:i w:val="0"/>
        </w:rPr>
        <w:t xml:space="preserve">; </w:t>
      </w:r>
      <w:r>
        <w:rPr>
          <w:b w:val="0"/>
          <w:i/>
        </w:rPr>
        <w:t>imperdibilis</w:t>
      </w:r>
      <w:r>
        <w:rPr>
          <w:b w:val="0"/>
          <w:i w:val="0"/>
        </w:rPr>
        <w:t>.</w:t>
      </w:r>
    </w:p>
    <w:p>
      <w:pPr>
        <w:widowControl/>
      </w:pPr>
      <w:r>
        <w:rPr>
          <w:b w:val="0"/>
          <w:i w:val="0"/>
        </w:rPr>
        <w:t xml:space="preserve">Imperishable or incapable of destruction. Ficino identifies this with deathlessness for soul, then answers the objection that mere nonreception of death might still allow disappearance. References: </w:t>
      </w:r>
      <w:hyperlink w:anchor="passage-v-14-5">
        <w:r>
          <w:rPr>
            <w:color w:val="000000"/>
          </w:rPr>
          <w:t xml:space="preserve">V.14.5</w:t>
        </w:r>
      </w:hyperlink>
      <w:r>
        <w:rPr>
          <w:b w:val="0"/>
          <w:i w:val="0"/>
        </w:rPr>
        <w:t xml:space="preserve">,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845" w:name="latin-record-0604"/>
      <w:bookmarkEnd w:id="845"/>
      <w:r>
        <w:rPr>
          <w:b/>
          <w:i w:val="0"/>
        </w:rPr>
        <w:t>imperium / adhibere</w:t>
      </w:r>
      <w:r>
        <w:rPr>
          <w:b/>
          <w:i w:val="0"/>
        </w:rPr>
        <w:t>.</w:t>
      </w:r>
      <w:r>
        <w:rPr>
          <w:b w:val="0"/>
          <w:i w:val="0"/>
        </w:rPr>
        <w:t xml:space="preserve"> Printed forms: </w:t>
      </w:r>
      <w:r>
        <w:rPr>
          <w:b w:val="0"/>
          <w:i/>
        </w:rPr>
        <w:t>adhibeat</w:t>
      </w:r>
      <w:r>
        <w:rPr>
          <w:b w:val="0"/>
          <w:i w:val="0"/>
        </w:rPr>
        <w:t xml:space="preserve">; </w:t>
      </w:r>
      <w:r>
        <w:rPr>
          <w:b w:val="0"/>
          <w:i/>
        </w:rPr>
        <w:t>imperio</w:t>
      </w:r>
      <w:r>
        <w:rPr>
          <w:b w:val="0"/>
          <w:i w:val="0"/>
        </w:rPr>
        <w:t xml:space="preserve">; </w:t>
      </w:r>
      <w:r>
        <w:rPr>
          <w:b w:val="0"/>
          <w:i/>
        </w:rPr>
        <w:t>imperium</w:t>
      </w:r>
      <w:r>
        <w:rPr>
          <w:b w:val="0"/>
          <w:i w:val="0"/>
        </w:rPr>
        <w:t>.</w:t>
      </w:r>
    </w:p>
    <w:p>
      <w:pPr>
        <w:widowControl/>
      </w:pPr>
      <w:r>
        <w:rPr>
          <w:b w:val="0"/>
          <w:i w:val="0"/>
        </w:rPr>
        <w:t xml:space="preserve">Command and directed employment. The whole soul calls its powers and bodily members to aid the wounded part.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846" w:name="latin-record-0605"/>
      <w:bookmarkEnd w:id="846"/>
      <w:r>
        <w:rPr>
          <w:b/>
          <w:i w:val="0"/>
        </w:rPr>
        <w:t>implere / consummare</w:t>
      </w:r>
      <w:r>
        <w:rPr>
          <w:b/>
          <w:i w:val="0"/>
        </w:rPr>
        <w:t>.</w:t>
      </w:r>
      <w:r>
        <w:rPr>
          <w:b w:val="0"/>
          <w:i w:val="0"/>
        </w:rPr>
        <w:t xml:space="preserve"> Printed forms: </w:t>
      </w:r>
      <w:r>
        <w:rPr>
          <w:b w:val="0"/>
          <w:i/>
        </w:rPr>
        <w:t>consumiturque</w:t>
      </w:r>
      <w:r>
        <w:rPr>
          <w:b w:val="0"/>
          <w:i w:val="0"/>
        </w:rPr>
        <w:t xml:space="preserve">; </w:t>
      </w:r>
      <w:r>
        <w:rPr>
          <w:b w:val="0"/>
          <w:i/>
        </w:rPr>
        <w:t>consummatur</w:t>
      </w:r>
      <w:r>
        <w:rPr>
          <w:b w:val="0"/>
          <w:i w:val="0"/>
        </w:rPr>
        <w:t xml:space="preserve">; </w:t>
      </w:r>
      <w:r>
        <w:rPr>
          <w:b w:val="0"/>
          <w:i/>
        </w:rPr>
        <w:t>implere</w:t>
      </w:r>
      <w:r>
        <w:rPr>
          <w:b w:val="0"/>
          <w:i w:val="0"/>
        </w:rPr>
        <w:t xml:space="preserve">; </w:t>
      </w:r>
      <w:r>
        <w:rPr>
          <w:b w:val="0"/>
          <w:i/>
        </w:rPr>
        <w:t>implet</w:t>
      </w:r>
      <w:r>
        <w:rPr>
          <w:b w:val="0"/>
          <w:i w:val="0"/>
        </w:rPr>
        <w:t>.</w:t>
      </w:r>
    </w:p>
    <w:p>
      <w:pPr>
        <w:widowControl/>
      </w:pPr>
      <w:r>
        <w:rPr>
          <w:b w:val="0"/>
          <w:i w:val="0"/>
        </w:rPr>
        <w:t xml:space="preserve">Bringing to fullness or completion, contrasted with being consumed. Ficino says fuller rational motion fills the range of living; similar-looking consummation and consumption verbs have opposite roles in the life/death contrast. References: </w:t>
      </w:r>
      <w:hyperlink w:anchor="passage-viii-15-3">
        <w:r>
          <w:rPr>
            <w:color w:val="000000"/>
          </w:rPr>
          <w:t xml:space="preserve">VIII.15.3</w:t>
        </w:r>
      </w:hyperlink>
      <w:r>
        <w:rPr>
          <w:b w:val="0"/>
          <w:i w:val="0"/>
        </w:rPr>
        <w:t xml:space="preserve">. See </w:t>
      </w:r>
      <w:hyperlink w:anchor="viii-outflow-return">
        <w:r>
          <w:rPr>
            <w:color w:val="000000"/>
          </w:rPr>
          <w:t xml:space="preserve">Outward flow and rational life’s return</w:t>
        </w:r>
      </w:hyperlink>
      <w:r>
        <w:rPr>
          <w:b w:val="0"/>
          <w:i w:val="0"/>
        </w:rPr>
        <w:t>.</w:t>
      </w:r>
    </w:p>
    <w:p>
      <w:pPr>
        <w:keepNext/>
        <w:widowControl/>
      </w:pPr>
      <w:bookmarkStart w:id="847" w:name="latin-record-0606"/>
      <w:bookmarkEnd w:id="847"/>
      <w:r>
        <w:rPr>
          <w:b/>
          <w:i w:val="0"/>
        </w:rPr>
        <w:t>implicare; explicare</w:t>
      </w:r>
      <w:r>
        <w:rPr>
          <w:b/>
          <w:i w:val="0"/>
        </w:rPr>
        <w:t>.</w:t>
      </w:r>
      <w:r>
        <w:rPr>
          <w:b w:val="0"/>
          <w:i w:val="0"/>
        </w:rPr>
        <w:t xml:space="preserve"> Printed forms: </w:t>
      </w:r>
      <w:r>
        <w:rPr>
          <w:b w:val="0"/>
          <w:i/>
        </w:rPr>
        <w:t>explicatas</w:t>
      </w:r>
      <w:r>
        <w:rPr>
          <w:b w:val="0"/>
          <w:i w:val="0"/>
        </w:rPr>
        <w:t xml:space="preserve">; </w:t>
      </w:r>
      <w:r>
        <w:rPr>
          <w:b w:val="0"/>
          <w:i/>
        </w:rPr>
        <w:t>explicatur</w:t>
      </w:r>
      <w:r>
        <w:rPr>
          <w:b w:val="0"/>
          <w:i w:val="0"/>
        </w:rPr>
        <w:t xml:space="preserve">; </w:t>
      </w:r>
      <w:r>
        <w:rPr>
          <w:b w:val="0"/>
          <w:i/>
        </w:rPr>
        <w:t>implicatos</w:t>
      </w:r>
      <w:r>
        <w:rPr>
          <w:b w:val="0"/>
          <w:i w:val="0"/>
        </w:rPr>
        <w:t>.</w:t>
      </w:r>
    </w:p>
    <w:p>
      <w:pPr>
        <w:widowControl/>
      </w:pPr>
      <w:r>
        <w:rPr>
          <w:b w:val="0"/>
          <w:i w:val="0"/>
        </w:rPr>
        <w:t xml:space="preserve">To enfold and unfold. Souls are called enfolded luminous globes and globes unfolded souls, with the sensing/sensed distinction still preserved. References: </w:t>
      </w:r>
      <w:hyperlink w:anchor="passage-vi-2-26">
        <w:r>
          <w:rPr>
            <w:color w:val="000000"/>
          </w:rPr>
          <w:t xml:space="preserve">VI.2.26</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848" w:name="latin-record-0607"/>
      <w:bookmarkEnd w:id="848"/>
      <w:r>
        <w:rPr>
          <w:b/>
          <w:i w:val="0"/>
        </w:rPr>
        <w:t>imponere; implere; continere</w:t>
      </w:r>
      <w:r>
        <w:rPr>
          <w:b/>
          <w:i w:val="0"/>
        </w:rPr>
        <w:t>.</w:t>
      </w:r>
      <w:r>
        <w:rPr>
          <w:b w:val="0"/>
          <w:i w:val="0"/>
        </w:rPr>
        <w:t xml:space="preserve"> Printed forms: </w:t>
      </w:r>
      <w:r>
        <w:rPr>
          <w:b w:val="0"/>
          <w:i/>
        </w:rPr>
        <w:t>contineat</w:t>
      </w:r>
      <w:r>
        <w:rPr>
          <w:b w:val="0"/>
          <w:i w:val="0"/>
        </w:rPr>
        <w:t xml:space="preserve">; </w:t>
      </w:r>
      <w:r>
        <w:rPr>
          <w:b w:val="0"/>
          <w:i/>
        </w:rPr>
        <w:t>contineatur</w:t>
      </w:r>
      <w:r>
        <w:rPr>
          <w:b w:val="0"/>
          <w:i w:val="0"/>
        </w:rPr>
        <w:t xml:space="preserve">; </w:t>
      </w:r>
      <w:r>
        <w:rPr>
          <w:b w:val="0"/>
          <w:i/>
        </w:rPr>
        <w:t>continet</w:t>
      </w:r>
      <w:r>
        <w:rPr>
          <w:b w:val="0"/>
          <w:i w:val="0"/>
        </w:rPr>
        <w:t xml:space="preserve">; </w:t>
      </w:r>
      <w:r>
        <w:rPr>
          <w:b w:val="0"/>
          <w:i/>
        </w:rPr>
        <w:t>implere</w:t>
      </w:r>
      <w:r>
        <w:rPr>
          <w:b w:val="0"/>
          <w:i w:val="0"/>
        </w:rPr>
        <w:t xml:space="preserve">; </w:t>
      </w:r>
      <w:r>
        <w:rPr>
          <w:b w:val="0"/>
          <w:i/>
        </w:rPr>
        <w:t>impleret</w:t>
      </w:r>
      <w:r>
        <w:rPr>
          <w:b w:val="0"/>
          <w:i w:val="0"/>
        </w:rPr>
        <w:t xml:space="preserve">; </w:t>
      </w:r>
      <w:r>
        <w:rPr>
          <w:b w:val="0"/>
          <w:i/>
        </w:rPr>
        <w:t>implet</w:t>
      </w:r>
      <w:r>
        <w:rPr>
          <w:b w:val="0"/>
          <w:i w:val="0"/>
        </w:rPr>
        <w:t xml:space="preserve">; </w:t>
      </w:r>
      <w:r>
        <w:rPr>
          <w:b w:val="0"/>
          <w:i/>
        </w:rPr>
        <w:t>imponat</w:t>
      </w:r>
      <w:r>
        <w:rPr>
          <w:b w:val="0"/>
          <w:i w:val="0"/>
        </w:rPr>
        <w:t xml:space="preserve">; </w:t>
      </w:r>
      <w:r>
        <w:rPr>
          <w:b w:val="0"/>
          <w:i/>
        </w:rPr>
        <w:t>imponit</w:t>
      </w:r>
      <w:r>
        <w:rPr>
          <w:b w:val="0"/>
          <w:i w:val="0"/>
        </w:rPr>
        <w:t>.</w:t>
      </w:r>
    </w:p>
    <w:p>
      <w:pPr>
        <w:widowControl/>
      </w:pPr>
      <w:r>
        <w:rPr>
          <w:b w:val="0"/>
          <w:i w:val="0"/>
        </w:rPr>
        <w:t xml:space="preserve">To impose a limit, fill, or contain. A body fills place quantitatively, while soul’s whole presence and containment are causal and essential; imposing growth’s limit is a governing act. References: </w:t>
      </w:r>
      <w:hyperlink w:anchor="passage-vi-2-3">
        <w:r>
          <w:rPr>
            <w:color w:val="000000"/>
          </w:rPr>
          <w:t xml:space="preserve">VI.2.3</w:t>
        </w:r>
      </w:hyperlink>
      <w:r>
        <w:rPr>
          <w:b w:val="0"/>
          <w:i w:val="0"/>
        </w:rPr>
        <w:t xml:space="preserve">, </w:t>
      </w:r>
      <w:hyperlink w:anchor="passage-vi-4-4">
        <w:r>
          <w:rPr>
            <w:color w:val="000000"/>
          </w:rPr>
          <w:t xml:space="preserve">VI.4.4</w:t>
        </w:r>
      </w:hyperlink>
      <w:r>
        <w:rPr>
          <w:b w:val="0"/>
          <w:i w:val="0"/>
        </w:rPr>
        <w:t xml:space="preserve">, </w:t>
      </w:r>
      <w:hyperlink w:anchor="passage-vi-6-1">
        <w:r>
          <w:rPr>
            <w:color w:val="000000"/>
          </w:rPr>
          <w:t xml:space="preserve">VI.6.1</w:t>
        </w:r>
      </w:hyperlink>
      <w:r>
        <w:rPr>
          <w:b w:val="0"/>
          <w:i w:val="0"/>
        </w:rPr>
        <w:t xml:space="preserve">, </w:t>
      </w:r>
      <w:hyperlink w:anchor="passage-vi-6-4">
        <w:r>
          <w:rPr>
            <w:color w:val="000000"/>
          </w:rPr>
          <w:t xml:space="preserve">VI.6.4</w:t>
        </w:r>
      </w:hyperlink>
      <w:r>
        <w:rPr>
          <w:b w:val="0"/>
          <w:i w:val="0"/>
        </w:rPr>
        <w:t xml:space="preserve">, </w:t>
      </w:r>
      <w:hyperlink w:anchor="passage-vi-9-4">
        <w:r>
          <w:rPr>
            <w:color w:val="000000"/>
          </w:rPr>
          <w:t xml:space="preserve">VI.9.4</w:t>
        </w:r>
      </w:hyperlink>
      <w:r>
        <w:rPr>
          <w:b w:val="0"/>
          <w:i w:val="0"/>
        </w:rPr>
        <w:t xml:space="preserve">, </w:t>
      </w:r>
      <w:hyperlink w:anchor="passage-vi-13-8">
        <w:r>
          <w:rPr>
            <w:color w:val="000000"/>
          </w:rPr>
          <w:t xml:space="preserve">VI.13.8</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849" w:name="latin-record-0608"/>
      <w:bookmarkEnd w:id="849"/>
      <w:r>
        <w:rPr>
          <w:b/>
          <w:i w:val="0"/>
        </w:rPr>
        <w:t>imprimere</w:t>
      </w:r>
      <w:r>
        <w:rPr>
          <w:b/>
          <w:i w:val="0"/>
        </w:rPr>
        <w:t>.</w:t>
      </w:r>
      <w:r>
        <w:rPr>
          <w:b w:val="0"/>
          <w:i w:val="0"/>
        </w:rPr>
        <w:t xml:space="preserve"> Printed forms: </w:t>
      </w:r>
      <w:r>
        <w:rPr>
          <w:b w:val="0"/>
          <w:i/>
        </w:rPr>
        <w:t>impressa</w:t>
      </w:r>
      <w:r>
        <w:rPr>
          <w:b w:val="0"/>
          <w:i w:val="0"/>
        </w:rPr>
        <w:t xml:space="preserve">; </w:t>
      </w:r>
      <w:r>
        <w:rPr>
          <w:b w:val="0"/>
          <w:i/>
        </w:rPr>
        <w:t>impressam</w:t>
      </w:r>
      <w:r>
        <w:rPr>
          <w:b w:val="0"/>
          <w:i w:val="0"/>
        </w:rPr>
        <w:t xml:space="preserve">; </w:t>
      </w:r>
      <w:r>
        <w:rPr>
          <w:b w:val="0"/>
          <w:i/>
        </w:rPr>
        <w:t>imprimentem</w:t>
      </w:r>
      <w:r>
        <w:rPr>
          <w:b w:val="0"/>
          <w:i w:val="0"/>
        </w:rPr>
        <w:t xml:space="preserve">; </w:t>
      </w:r>
      <w:r>
        <w:rPr>
          <w:b w:val="0"/>
          <w:i/>
        </w:rPr>
        <w:t>imprimit</w:t>
      </w:r>
      <w:r>
        <w:rPr>
          <w:b w:val="0"/>
          <w:i w:val="0"/>
        </w:rPr>
        <w:t>.</w:t>
      </w:r>
    </w:p>
    <w:p>
      <w:pPr>
        <w:widowControl/>
      </w:pPr>
      <w:r>
        <w:rPr>
          <w:b w:val="0"/>
          <w:i w:val="0"/>
        </w:rPr>
        <w:t xml:space="preserve">To impress or stamp a form upon a recipient. Craft impresses matter, a seal stamps wax, and the soul is said to impress life upon a vehicle; dependence differs with the recipient. References: </w:t>
      </w:r>
      <w:hyperlink w:anchor="passage-v-4-1">
        <w:r>
          <w:rPr>
            <w:color w:val="000000"/>
          </w:rPr>
          <w:t xml:space="preserve">V.4.1</w:t>
        </w:r>
      </w:hyperlink>
      <w:r>
        <w:rPr>
          <w:b w:val="0"/>
          <w:i w:val="0"/>
        </w:rPr>
        <w:t xml:space="preserve">, </w:t>
      </w:r>
      <w:hyperlink w:anchor="passage-v-11-6">
        <w:r>
          <w:rPr>
            <w:color w:val="000000"/>
          </w:rPr>
          <w:t xml:space="preserve">V.11.6</w:t>
        </w:r>
      </w:hyperlink>
      <w:r>
        <w:rPr>
          <w:b w:val="0"/>
          <w:i w:val="0"/>
        </w:rPr>
        <w:t xml:space="preserve">, </w:t>
      </w:r>
      <w:hyperlink w:anchor="passage-v-13-18">
        <w:r>
          <w:rPr>
            <w:color w:val="000000"/>
          </w:rPr>
          <w:t xml:space="preserve">V.13.18</w:t>
        </w:r>
      </w:hyperlink>
      <w:r>
        <w:rPr>
          <w:b w:val="0"/>
          <w:i w:val="0"/>
        </w:rPr>
        <w:t xml:space="preserve">. See </w:t>
      </w:r>
      <w:hyperlink w:anchor="seal-wax-and-restoration">
        <w:r>
          <w:rPr>
            <w:color w:val="000000"/>
          </w:rPr>
          <w:t xml:space="preserve">Seal, wax and restoration</w:t>
        </w:r>
      </w:hyperlink>
      <w:r>
        <w:rPr>
          <w:b w:val="0"/>
          <w:i w:val="0"/>
        </w:rPr>
        <w:t>.</w:t>
      </w:r>
    </w:p>
    <w:p>
      <w:pPr>
        <w:keepNext/>
        <w:widowControl/>
      </w:pPr>
      <w:bookmarkStart w:id="850" w:name="latin-record-0609"/>
      <w:bookmarkEnd w:id="850"/>
      <w:r>
        <w:rPr>
          <w:b/>
          <w:i w:val="0"/>
        </w:rPr>
        <w:t>in deteriorem essentiam</w:t>
      </w:r>
      <w:r>
        <w:rPr>
          <w:b/>
          <w:i w:val="0"/>
        </w:rPr>
        <w:t>.</w:t>
      </w:r>
      <w:r>
        <w:rPr>
          <w:b w:val="0"/>
          <w:i w:val="0"/>
        </w:rPr>
        <w:t xml:space="preserve"> Printed forms: </w:t>
      </w:r>
      <w:r>
        <w:rPr>
          <w:b w:val="0"/>
          <w:i/>
        </w:rPr>
        <w:t>in deteriorem commutetur essentiam</w:t>
      </w:r>
      <w:r>
        <w:rPr>
          <w:b w:val="0"/>
          <w:i w:val="0"/>
        </w:rPr>
        <w:t>.</w:t>
      </w:r>
    </w:p>
    <w:p>
      <w:pPr>
        <w:widowControl/>
      </w:pPr>
      <w:r>
        <w:rPr>
          <w:b w:val="0"/>
          <w:i w:val="0"/>
        </w:rPr>
        <w:t xml:space="preserve">Being transformed into a worse kind of essence. Ficino explicitly recognizes that excluding annihilation does not yet exclude the soul’s degradation into body. References: </w:t>
      </w:r>
      <w:hyperlink w:anchor="passage-v-15-19">
        <w:r>
          <w:rPr>
            <w:color w:val="000000"/>
          </w:rPr>
          <w:t xml:space="preserve">V.15.19</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851" w:name="latin-record-0610"/>
      <w:bookmarkEnd w:id="851"/>
      <w:r>
        <w:rPr>
          <w:b/>
          <w:i w:val="0"/>
        </w:rPr>
        <w:t>in nihilum</w:t>
      </w:r>
      <w:r>
        <w:rPr>
          <w:b/>
          <w:i w:val="0"/>
        </w:rPr>
        <w:t>.</w:t>
      </w:r>
      <w:r>
        <w:rPr>
          <w:b w:val="0"/>
          <w:i w:val="0"/>
        </w:rPr>
        <w:t xml:space="preserve"> Printed forms: </w:t>
      </w:r>
      <w:r>
        <w:rPr>
          <w:b w:val="0"/>
          <w:i/>
        </w:rPr>
        <w:t>Ex nihilo</w:t>
      </w:r>
      <w:r>
        <w:rPr>
          <w:b w:val="0"/>
          <w:i w:val="0"/>
        </w:rPr>
        <w:t xml:space="preserve">; </w:t>
      </w:r>
      <w:r>
        <w:rPr>
          <w:b w:val="0"/>
          <w:i/>
        </w:rPr>
        <w:t>ex nihilo</w:t>
      </w:r>
      <w:r>
        <w:rPr>
          <w:b w:val="0"/>
          <w:i w:val="0"/>
        </w:rPr>
        <w:t xml:space="preserve">; </w:t>
      </w:r>
      <w:r>
        <w:rPr>
          <w:b w:val="0"/>
          <w:i/>
        </w:rPr>
        <w:t>in nihil</w:t>
      </w:r>
      <w:r>
        <w:rPr>
          <w:b w:val="0"/>
          <w:i w:val="0"/>
        </w:rPr>
        <w:t xml:space="preserve">; </w:t>
      </w:r>
      <w:r>
        <w:rPr>
          <w:b w:val="0"/>
          <w:i/>
        </w:rPr>
        <w:t>In nihilum</w:t>
      </w:r>
      <w:r>
        <w:rPr>
          <w:b w:val="0"/>
          <w:i w:val="0"/>
        </w:rPr>
        <w:t xml:space="preserve">; </w:t>
      </w:r>
      <w:r>
        <w:rPr>
          <w:b w:val="0"/>
          <w:i/>
        </w:rPr>
        <w:t>in nihilum</w:t>
      </w:r>
      <w:r>
        <w:rPr>
          <w:b w:val="0"/>
          <w:i w:val="0"/>
        </w:rPr>
        <w:t>.</w:t>
      </w:r>
    </w:p>
    <w:p>
      <w:pPr>
        <w:widowControl/>
      </w:pPr>
      <w:r>
        <w:rPr>
          <w:b w:val="0"/>
          <w:i w:val="0"/>
        </w:rPr>
        <w:t xml:space="preserve">Into nothing and from nothing, marking annihilation and creation rather than ordinary alteration. Natural agents cannot perform either operation upon being as such; the soul’s origin is reserved to God. References: </w:t>
      </w:r>
      <w:hyperlink w:anchor="passage-v-4-2">
        <w:r>
          <w:rPr>
            <w:color w:val="000000"/>
          </w:rPr>
          <w:t xml:space="preserve">V.4.2</w:t>
        </w:r>
      </w:hyperlink>
      <w:r>
        <w:rPr>
          <w:b w:val="0"/>
          <w:i w:val="0"/>
        </w:rPr>
        <w:t xml:space="preserve">, </w:t>
      </w:r>
      <w:hyperlink w:anchor="passage-v-4-8">
        <w:r>
          <w:rPr>
            <w:color w:val="000000"/>
          </w:rPr>
          <w:t xml:space="preserve">V.4.8</w:t>
        </w:r>
      </w:hyperlink>
      <w:r>
        <w:rPr>
          <w:b w:val="0"/>
          <w:i w:val="0"/>
        </w:rPr>
        <w:t xml:space="preserve">, </w:t>
      </w:r>
      <w:hyperlink w:anchor="passage-v-4-10">
        <w:r>
          <w:rPr>
            <w:color w:val="000000"/>
          </w:rPr>
          <w:t xml:space="preserve">V.4.10</w:t>
        </w:r>
      </w:hyperlink>
      <w:r>
        <w:rPr>
          <w:b w:val="0"/>
          <w:i w:val="0"/>
        </w:rPr>
        <w:t xml:space="preserve">, </w:t>
      </w:r>
      <w:hyperlink w:anchor="passage-v-12-8">
        <w:r>
          <w:rPr>
            <w:color w:val="000000"/>
          </w:rPr>
          <w:t xml:space="preserve">V.12.8</w:t>
        </w:r>
      </w:hyperlink>
      <w:r>
        <w:rPr>
          <w:b w:val="0"/>
          <w:i w:val="0"/>
        </w:rPr>
        <w:t xml:space="preserve">, </w:t>
      </w:r>
      <w:hyperlink w:anchor="passage-v-13-1">
        <w:r>
          <w:rPr>
            <w:color w:val="000000"/>
          </w:rPr>
          <w:t xml:space="preserve">V.13.1</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852" w:name="latin-record-0611"/>
      <w:bookmarkEnd w:id="852"/>
      <w:r>
        <w:rPr>
          <w:b/>
          <w:i w:val="0"/>
        </w:rPr>
        <w:t>in se / in alio / in multis</w:t>
      </w:r>
      <w:r>
        <w:rPr>
          <w:b/>
          <w:i w:val="0"/>
        </w:rPr>
        <w:t>.</w:t>
      </w:r>
      <w:r>
        <w:rPr>
          <w:b w:val="0"/>
          <w:i w:val="0"/>
        </w:rPr>
        <w:t xml:space="preserve"> Printed forms: </w:t>
      </w:r>
      <w:r>
        <w:rPr>
          <w:b w:val="0"/>
          <w:i/>
        </w:rPr>
        <w:t>in alio</w:t>
      </w:r>
      <w:r>
        <w:rPr>
          <w:b w:val="0"/>
          <w:i w:val="0"/>
        </w:rPr>
        <w:t xml:space="preserve">; </w:t>
      </w:r>
      <w:r>
        <w:rPr>
          <w:b w:val="0"/>
          <w:i/>
        </w:rPr>
        <w:t>in multis</w:t>
      </w:r>
      <w:r>
        <w:rPr>
          <w:b w:val="0"/>
          <w:i w:val="0"/>
        </w:rPr>
        <w:t xml:space="preserve">; </w:t>
      </w:r>
      <w:r>
        <w:rPr>
          <w:b w:val="0"/>
          <w:i/>
        </w:rPr>
        <w:t>in se ipso</w:t>
      </w:r>
      <w:r>
        <w:rPr>
          <w:b w:val="0"/>
          <w:i w:val="0"/>
        </w:rPr>
        <w:t>.</w:t>
      </w:r>
    </w:p>
    <w:p>
      <w:pPr>
        <w:widowControl/>
      </w:pPr>
      <w:r>
        <w:rPr>
          <w:b w:val="0"/>
          <w:i w:val="0"/>
        </w:rPr>
        <w:t xml:space="preserve">In itself, in another and in many, different modes of dependence and unity. The passage from an immanent common nature to an independent exemplar depends on these distinctions, not merely on counting individuals. References: </w:t>
      </w:r>
      <w:hyperlink w:anchor="passage-viii-1-2">
        <w:r>
          <w:rPr>
            <w:color w:val="000000"/>
          </w:rPr>
          <w:t xml:space="preserve">VIII.1.2</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853" w:name="latin-record-0612"/>
      <w:bookmarkEnd w:id="853"/>
      <w:r>
        <w:rPr>
          <w:b/>
          <w:i w:val="0"/>
        </w:rPr>
        <w:t>inanimis / mortuus</w:t>
      </w:r>
      <w:r>
        <w:rPr>
          <w:b/>
          <w:i w:val="0"/>
        </w:rPr>
        <w:t>.</w:t>
      </w:r>
      <w:r>
        <w:rPr>
          <w:b w:val="0"/>
          <w:i w:val="0"/>
        </w:rPr>
        <w:t xml:space="preserve"> Printed forms: </w:t>
      </w:r>
      <w:r>
        <w:rPr>
          <w:b w:val="0"/>
          <w:i/>
        </w:rPr>
        <w:t>inanime</w:t>
      </w:r>
      <w:r>
        <w:rPr>
          <w:b w:val="0"/>
          <w:i w:val="0"/>
        </w:rPr>
        <w:t xml:space="preserve">; </w:t>
      </w:r>
      <w:r>
        <w:rPr>
          <w:b w:val="0"/>
          <w:i/>
        </w:rPr>
        <w:t>mortua</w:t>
      </w:r>
      <w:r>
        <w:rPr>
          <w:b w:val="0"/>
          <w:i w:val="0"/>
        </w:rPr>
        <w:t xml:space="preserve">; </w:t>
      </w:r>
      <w:r>
        <w:rPr>
          <w:b w:val="0"/>
          <w:i/>
        </w:rPr>
        <w:t>mortuum</w:t>
      </w:r>
      <w:r>
        <w:rPr>
          <w:b w:val="0"/>
          <w:i w:val="0"/>
        </w:rPr>
        <w:t>.</w:t>
      </w:r>
    </w:p>
    <w:p>
      <w:pPr>
        <w:widowControl/>
      </w:pPr>
      <w:r>
        <w:rPr>
          <w:b w:val="0"/>
          <w:i w:val="0"/>
        </w:rPr>
        <w:t xml:space="preserve">Without soul and dead, here applied to what can receive life but is deprived of it. The distinction keeps the recipient of life separate from the life that leaves it. References: </w:t>
      </w:r>
      <w:hyperlink w:anchor="passage-v-15-7">
        <w:r>
          <w:rPr>
            <w:color w:val="000000"/>
          </w:rPr>
          <w:t xml:space="preserve">V.15.7</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854" w:name="latin-record-0613"/>
      <w:bookmarkEnd w:id="854"/>
      <w:r>
        <w:rPr>
          <w:b/>
          <w:i w:val="0"/>
        </w:rPr>
        <w:t>inchoatio</w:t>
      </w:r>
      <w:r>
        <w:rPr>
          <w:b/>
          <w:i w:val="0"/>
        </w:rPr>
        <w:t>.</w:t>
      </w:r>
      <w:r>
        <w:rPr>
          <w:b w:val="0"/>
          <w:i w:val="0"/>
        </w:rPr>
        <w:t xml:space="preserve"> Printed forms: </w:t>
      </w:r>
      <w:r>
        <w:rPr>
          <w:b w:val="0"/>
          <w:i/>
        </w:rPr>
        <w:t>inchoatione</w:t>
      </w:r>
      <w:r>
        <w:rPr>
          <w:b w:val="0"/>
          <w:i w:val="0"/>
        </w:rPr>
        <w:t>.</w:t>
      </w:r>
    </w:p>
    <w:p>
      <w:pPr>
        <w:widowControl/>
      </w:pPr>
      <w:r>
        <w:rPr>
          <w:b w:val="0"/>
          <w:i w:val="0"/>
        </w:rPr>
        <w:t xml:space="preserve">An initial beginning or seed-stage of formation. Ficino denies that soul consists of a material beginning completed by an added act. References: </w:t>
      </w:r>
      <w:hyperlink w:anchor="passage-v-12-7">
        <w:r>
          <w:rPr>
            <w:color w:val="000000"/>
          </w:rPr>
          <w:t xml:space="preserve">V.12.7</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855" w:name="latin-record-0614"/>
      <w:bookmarkEnd w:id="855"/>
      <w:r>
        <w:rPr>
          <w:b/>
          <w:i w:val="0"/>
        </w:rPr>
        <w:t>incitare</w:t>
      </w:r>
      <w:r>
        <w:rPr>
          <w:b/>
          <w:i w:val="0"/>
        </w:rPr>
        <w:t>.</w:t>
      </w:r>
      <w:r>
        <w:rPr>
          <w:b w:val="0"/>
          <w:i w:val="0"/>
        </w:rPr>
        <w:t xml:space="preserve"> Printed forms: </w:t>
      </w:r>
      <w:r>
        <w:rPr>
          <w:b w:val="0"/>
          <w:i/>
        </w:rPr>
        <w:t>incitante</w:t>
      </w:r>
      <w:r>
        <w:rPr>
          <w:b w:val="0"/>
          <w:i w:val="0"/>
        </w:rPr>
        <w:t>.</w:t>
      </w:r>
    </w:p>
    <w:p>
      <w:pPr>
        <w:widowControl/>
      </w:pPr>
      <w:r>
        <w:rPr>
          <w:b w:val="0"/>
          <w:i w:val="0"/>
        </w:rPr>
        <w:t xml:space="preserve">Prompting an intellectual conception without being identical to its resulting universal form. The phantastic image occasions the form and becomes the destination of the later reflexive return to a particular. References: </w:t>
      </w:r>
      <w:hyperlink w:anchor="passage-viii-1-5">
        <w:r>
          <w:rPr>
            <w:color w:val="000000"/>
          </w:rPr>
          <w:t xml:space="preserve">VIII.1.5</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856" w:name="latin-record-0615"/>
      <w:bookmarkEnd w:id="856"/>
      <w:r>
        <w:rPr>
          <w:b/>
          <w:i w:val="0"/>
        </w:rPr>
        <w:t>inclinari</w:t>
      </w:r>
      <w:r>
        <w:rPr>
          <w:b/>
          <w:i w:val="0"/>
        </w:rPr>
        <w:t>.</w:t>
      </w:r>
      <w:r>
        <w:rPr>
          <w:b w:val="0"/>
          <w:i w:val="0"/>
        </w:rPr>
        <w:t xml:space="preserve"> Printed forms: </w:t>
      </w:r>
      <w:r>
        <w:rPr>
          <w:b w:val="0"/>
          <w:i/>
        </w:rPr>
        <w:t>inclinationem</w:t>
      </w:r>
      <w:r>
        <w:rPr>
          <w:b w:val="0"/>
          <w:i w:val="0"/>
        </w:rPr>
        <w:t xml:space="preserve">; </w:t>
      </w:r>
      <w:r>
        <w:rPr>
          <w:b w:val="0"/>
          <w:i/>
        </w:rPr>
        <w:t>inclinatur</w:t>
      </w:r>
      <w:r>
        <w:rPr>
          <w:b w:val="0"/>
          <w:i w:val="0"/>
        </w:rPr>
        <w:t xml:space="preserve">; </w:t>
      </w:r>
      <w:r>
        <w:rPr>
          <w:b w:val="0"/>
          <w:i/>
        </w:rPr>
        <w:t>inclinetur</w:t>
      </w:r>
      <w:r>
        <w:rPr>
          <w:b w:val="0"/>
          <w:i w:val="0"/>
        </w:rPr>
        <w:t>.</w:t>
      </w:r>
    </w:p>
    <w:p>
      <w:pPr>
        <w:widowControl/>
      </w:pPr>
      <w:r>
        <w:rPr>
          <w:b w:val="0"/>
          <w:i w:val="0"/>
        </w:rPr>
        <w:t xml:space="preserve">To incline toward matter, here an orientation to animation. Soul’s inclination explains its lower relation without making matter a cause of its essence. References: </w:t>
      </w:r>
      <w:hyperlink w:anchor="passage-v-5-5">
        <w:r>
          <w:rPr>
            <w:color w:val="000000"/>
          </w:rPr>
          <w:t xml:space="preserve">V.5.5</w:t>
        </w:r>
      </w:hyperlink>
      <w:r>
        <w:rPr>
          <w:b w:val="0"/>
          <w:i w:val="0"/>
        </w:rPr>
        <w:t xml:space="preserve">. See </w:t>
      </w:r>
      <w:hyperlink w:anchor="inclination-and-independence">
        <w:r>
          <w:rPr>
            <w:color w:val="000000"/>
          </w:rPr>
          <w:t xml:space="preserve">Inclination and independence</w:t>
        </w:r>
      </w:hyperlink>
      <w:r>
        <w:rPr>
          <w:b w:val="0"/>
          <w:i w:val="0"/>
        </w:rPr>
        <w:t>.</w:t>
      </w:r>
    </w:p>
    <w:p>
      <w:pPr>
        <w:keepNext/>
        <w:widowControl/>
      </w:pPr>
      <w:bookmarkStart w:id="857" w:name="latin-record-0616"/>
      <w:bookmarkEnd w:id="857"/>
      <w:r>
        <w:rPr>
          <w:b/>
          <w:i w:val="0"/>
        </w:rPr>
        <w:t>incolumis; servare</w:t>
      </w:r>
      <w:r>
        <w:rPr>
          <w:b/>
          <w:i w:val="0"/>
        </w:rPr>
        <w:t>.</w:t>
      </w:r>
      <w:r>
        <w:rPr>
          <w:b w:val="0"/>
          <w:i w:val="0"/>
        </w:rPr>
        <w:t xml:space="preserve"> Printed forms: </w:t>
      </w:r>
      <w:r>
        <w:rPr>
          <w:b w:val="0"/>
          <w:i/>
        </w:rPr>
        <w:t>incolumes</w:t>
      </w:r>
      <w:r>
        <w:rPr>
          <w:b w:val="0"/>
          <w:i w:val="0"/>
        </w:rPr>
        <w:t xml:space="preserve">; </w:t>
      </w:r>
      <w:r>
        <w:rPr>
          <w:b w:val="0"/>
          <w:i/>
        </w:rPr>
        <w:t>servat</w:t>
      </w:r>
      <w:r>
        <w:rPr>
          <w:b w:val="0"/>
          <w:i w:val="0"/>
        </w:rPr>
        <w:t xml:space="preserve">; </w:t>
      </w:r>
      <w:r>
        <w:rPr>
          <w:b w:val="0"/>
          <w:i/>
        </w:rPr>
        <w:t>servatur</w:t>
      </w:r>
      <w:r>
        <w:rPr>
          <w:b w:val="0"/>
          <w:i w:val="0"/>
        </w:rPr>
        <w:t xml:space="preserve">; </w:t>
      </w:r>
      <w:r>
        <w:rPr>
          <w:b w:val="0"/>
          <w:i/>
        </w:rPr>
        <w:t>serventur</w:t>
      </w:r>
      <w:r>
        <w:rPr>
          <w:b w:val="0"/>
          <w:i w:val="0"/>
        </w:rPr>
        <w:t>.</w:t>
      </w:r>
    </w:p>
    <w:p>
      <w:pPr>
        <w:widowControl/>
      </w:pPr>
      <w:r>
        <w:rPr>
          <w:b w:val="0"/>
          <w:i w:val="0"/>
        </w:rPr>
        <w:t xml:space="preserve">Intact; to preserve and be preserved. Ficino asks how retained contents persist if the retaining subject does not itself remain. References: </w:t>
      </w:r>
      <w:hyperlink w:anchor="passage-vi-13-6">
        <w:r>
          <w:rPr>
            <w:color w:val="000000"/>
          </w:rPr>
          <w:t xml:space="preserve">VI.13.6</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858" w:name="latin-record-0617"/>
      <w:bookmarkEnd w:id="858"/>
      <w:r>
        <w:rPr>
          <w:b/>
          <w:i w:val="0"/>
        </w:rPr>
        <w:t>incommutabilis / immutabilis</w:t>
      </w:r>
      <w:r>
        <w:rPr>
          <w:b/>
          <w:i w:val="0"/>
        </w:rPr>
        <w:t>.</w:t>
      </w:r>
      <w:r>
        <w:rPr>
          <w:b w:val="0"/>
          <w:i w:val="0"/>
        </w:rPr>
        <w:t xml:space="preserve"> Printed forms: </w:t>
      </w:r>
      <w:r>
        <w:rPr>
          <w:b w:val="0"/>
          <w:i/>
        </w:rPr>
        <w:t>immutabiles</w:t>
      </w:r>
      <w:r>
        <w:rPr>
          <w:b w:val="0"/>
          <w:i w:val="0"/>
        </w:rPr>
        <w:t xml:space="preserve">; </w:t>
      </w:r>
      <w:r>
        <w:rPr>
          <w:b w:val="0"/>
          <w:i/>
        </w:rPr>
        <w:t>immutabilibus</w:t>
      </w:r>
      <w:r>
        <w:rPr>
          <w:b w:val="0"/>
          <w:i w:val="0"/>
        </w:rPr>
        <w:t xml:space="preserve">; </w:t>
      </w:r>
      <w:r>
        <w:rPr>
          <w:b w:val="0"/>
          <w:i/>
        </w:rPr>
        <w:t>immutabilis</w:t>
      </w:r>
      <w:r>
        <w:rPr>
          <w:b w:val="0"/>
          <w:i w:val="0"/>
        </w:rPr>
        <w:t xml:space="preserve">; </w:t>
      </w:r>
      <w:r>
        <w:rPr>
          <w:b w:val="0"/>
          <w:i/>
        </w:rPr>
        <w:t>incommutabilia</w:t>
      </w:r>
      <w:r>
        <w:rPr>
          <w:b w:val="0"/>
          <w:i w:val="0"/>
        </w:rPr>
        <w:t xml:space="preserve">; </w:t>
      </w:r>
      <w:r>
        <w:rPr>
          <w:b w:val="0"/>
          <w:i/>
        </w:rPr>
        <w:t>incommutabiliter</w:t>
      </w:r>
      <w:r>
        <w:rPr>
          <w:b w:val="0"/>
          <w:i w:val="0"/>
        </w:rPr>
        <w:t>.</w:t>
      </w:r>
    </w:p>
    <w:p>
      <w:pPr>
        <w:widowControl/>
      </w:pPr>
      <w:r>
        <w:rPr>
          <w:b w:val="0"/>
          <w:i w:val="0"/>
        </w:rPr>
        <w:t xml:space="preserve">Unchangeable, remaining the same in the relevant rational content. Arithmetic and proportional truths are used to challenge a mind reduced to mutable bodily temperament. References: </w:t>
      </w:r>
      <w:hyperlink w:anchor="passage-v-15-9">
        <w:r>
          <w:rPr>
            <w:color w:val="000000"/>
          </w:rPr>
          <w:t xml:space="preserve">V.15.9</w:t>
        </w:r>
      </w:hyperlink>
      <w:r>
        <w:rPr>
          <w:b w:val="0"/>
          <w:i w:val="0"/>
        </w:rPr>
        <w:t xml:space="preserve">, </w:t>
      </w:r>
      <w:hyperlink w:anchor="passage-v-15-15">
        <w:r>
          <w:rPr>
            <w:color w:val="000000"/>
          </w:rPr>
          <w:t xml:space="preserve">V.15.15</w:t>
        </w:r>
      </w:hyperlink>
      <w:r>
        <w:rPr>
          <w:b w:val="0"/>
          <w:i w:val="0"/>
        </w:rPr>
        <w:t xml:space="preserve">, </w:t>
      </w:r>
      <w:hyperlink w:anchor="passage-v-15-16">
        <w:r>
          <w:rPr>
            <w:color w:val="000000"/>
          </w:rPr>
          <w:t xml:space="preserve">V.15.16</w:t>
        </w:r>
      </w:hyperlink>
      <w:r>
        <w:rPr>
          <w:b w:val="0"/>
          <w:i w:val="0"/>
        </w:rPr>
        <w:t xml:space="preserve">, </w:t>
      </w:r>
      <w:hyperlink w:anchor="passage-v-15-18">
        <w:r>
          <w:rPr>
            <w:color w:val="000000"/>
          </w:rPr>
          <w:t xml:space="preserve">V.15.18</w:t>
        </w:r>
      </w:hyperlink>
      <w:r>
        <w:rPr>
          <w:b w:val="0"/>
          <w:i w:val="0"/>
        </w:rPr>
        <w:t xml:space="preserve">, </w:t>
      </w:r>
      <w:hyperlink w:anchor="passage-v-15-24">
        <w:r>
          <w:rPr>
            <w:color w:val="000000"/>
          </w:rPr>
          <w:t xml:space="preserve">V.15.24</w:t>
        </w:r>
      </w:hyperlink>
      <w:r>
        <w:rPr>
          <w:b w:val="0"/>
          <w:i w:val="0"/>
        </w:rPr>
        <w:t xml:space="preserve">, </w:t>
      </w:r>
      <w:hyperlink w:anchor="passage-v-15-25">
        <w:r>
          <w:rPr>
            <w:color w:val="000000"/>
          </w:rPr>
          <w:t xml:space="preserve">V.15.25</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859" w:name="latin-record-0618"/>
      <w:bookmarkEnd w:id="859"/>
      <w:r>
        <w:rPr>
          <w:b/>
          <w:i w:val="0"/>
        </w:rPr>
        <w:t>incorporeus / incorporalis</w:t>
      </w:r>
      <w:r>
        <w:rPr>
          <w:b/>
          <w:i w:val="0"/>
        </w:rPr>
        <w:t>.</w:t>
      </w:r>
      <w:r>
        <w:rPr>
          <w:b w:val="0"/>
          <w:i w:val="0"/>
        </w:rPr>
        <w:t xml:space="preserve"> Printed forms: </w:t>
      </w:r>
      <w:r>
        <w:rPr>
          <w:b w:val="0"/>
          <w:i/>
        </w:rPr>
        <w:t>incorporales</w:t>
      </w:r>
      <w:r>
        <w:rPr>
          <w:b w:val="0"/>
          <w:i w:val="0"/>
        </w:rPr>
        <w:t xml:space="preserve">; </w:t>
      </w:r>
      <w:r>
        <w:rPr>
          <w:b w:val="0"/>
          <w:i/>
        </w:rPr>
        <w:t>incorporalia</w:t>
      </w:r>
      <w:r>
        <w:rPr>
          <w:b w:val="0"/>
          <w:i w:val="0"/>
        </w:rPr>
        <w:t xml:space="preserve">; </w:t>
      </w:r>
      <w:r>
        <w:rPr>
          <w:b w:val="0"/>
          <w:i/>
        </w:rPr>
        <w:t>incorporalium</w:t>
      </w:r>
      <w:r>
        <w:rPr>
          <w:b w:val="0"/>
          <w:i w:val="0"/>
        </w:rPr>
        <w:t xml:space="preserve">; </w:t>
      </w:r>
      <w:r>
        <w:rPr>
          <w:b w:val="0"/>
          <w:i/>
        </w:rPr>
        <w:t>incorporea</w:t>
      </w:r>
      <w:r>
        <w:rPr>
          <w:b w:val="0"/>
          <w:i w:val="0"/>
        </w:rPr>
        <w:t xml:space="preserve">; </w:t>
      </w:r>
      <w:r>
        <w:rPr>
          <w:b w:val="0"/>
          <w:i/>
        </w:rPr>
        <w:t>incorporealem</w:t>
      </w:r>
      <w:r>
        <w:rPr>
          <w:b w:val="0"/>
          <w:i w:val="0"/>
        </w:rPr>
        <w:t xml:space="preserve">; </w:t>
      </w:r>
      <w:r>
        <w:rPr>
          <w:b w:val="0"/>
          <w:i/>
        </w:rPr>
        <w:t>incorporeas</w:t>
      </w:r>
      <w:r>
        <w:rPr>
          <w:b w:val="0"/>
          <w:i w:val="0"/>
        </w:rPr>
        <w:t xml:space="preserve">; </w:t>
      </w:r>
      <w:r>
        <w:rPr>
          <w:b w:val="0"/>
          <w:i/>
        </w:rPr>
        <w:t>incorporeis</w:t>
      </w:r>
      <w:r>
        <w:rPr>
          <w:b w:val="0"/>
          <w:i w:val="0"/>
        </w:rPr>
        <w:t xml:space="preserve">; </w:t>
      </w:r>
      <w:r>
        <w:rPr>
          <w:b w:val="0"/>
          <w:i/>
        </w:rPr>
        <w:t>incorporeum</w:t>
      </w:r>
      <w:r>
        <w:rPr>
          <w:b w:val="0"/>
          <w:i w:val="0"/>
        </w:rPr>
        <w:t>.</w:t>
      </w:r>
    </w:p>
    <w:p>
      <w:pPr>
        <w:widowControl/>
      </w:pPr>
      <w:r>
        <w:rPr>
          <w:b w:val="0"/>
          <w:i w:val="0"/>
        </w:rPr>
        <w:t xml:space="preserve">Not bodily; the degree and respect of freedom from material conditions can vary in the opening ascent. The image received by sense, phantasy’s qualified intentions and the fully incorporeal principles of intellect must not be collapsed into one mode.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7">
        <w:r>
          <w:rPr>
            <w:color w:val="000000"/>
          </w:rPr>
          <w:t xml:space="preserve">VIII.2.7</w:t>
        </w:r>
      </w:hyperlink>
      <w:r>
        <w:rPr>
          <w:b w:val="0"/>
          <w:i w:val="0"/>
        </w:rPr>
        <w:t xml:space="preserve">, </w:t>
      </w:r>
      <w:hyperlink w:anchor="passage-viii-3-8">
        <w:r>
          <w:rPr>
            <w:color w:val="000000"/>
          </w:rPr>
          <w:t xml:space="preserve">VIII.3.8</w:t>
        </w:r>
      </w:hyperlink>
      <w:r>
        <w:rPr>
          <w:b w:val="0"/>
          <w:i w:val="0"/>
        </w:rPr>
        <w:t xml:space="preserve">, </w:t>
      </w:r>
      <w:hyperlink w:anchor="passage-viii-4-5">
        <w:r>
          <w:rPr>
            <w:color w:val="000000"/>
          </w:rPr>
          <w:t xml:space="preserve">VIII.4.5</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3-1">
        <w:r>
          <w:rPr>
            <w:color w:val="000000"/>
          </w:rPr>
          <w:t xml:space="preserve">VIII.13.1</w:t>
        </w:r>
      </w:hyperlink>
      <w:r>
        <w:rPr>
          <w:b w:val="0"/>
          <w:i w:val="0"/>
        </w:rPr>
        <w:t xml:space="preserve">, </w:t>
      </w:r>
      <w:hyperlink w:anchor="passage-viii-15-2">
        <w:r>
          <w:rPr>
            <w:color w:val="000000"/>
          </w:rPr>
          <w:t xml:space="preserve">VIII.15.2</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860" w:name="latin-record-0619"/>
      <w:bookmarkEnd w:id="860"/>
      <w:r>
        <w:rPr>
          <w:b/>
          <w:i w:val="0"/>
        </w:rPr>
        <w:t>indicium / rimari</w:t>
      </w:r>
      <w:r>
        <w:rPr>
          <w:b/>
          <w:i w:val="0"/>
        </w:rPr>
        <w:t>.</w:t>
      </w:r>
      <w:r>
        <w:rPr>
          <w:b w:val="0"/>
          <w:i w:val="0"/>
        </w:rPr>
        <w:t xml:space="preserve"> Printed forms: </w:t>
      </w:r>
      <w:r>
        <w:rPr>
          <w:b w:val="0"/>
          <w:i/>
        </w:rPr>
        <w:t>indiciis</w:t>
      </w:r>
      <w:r>
        <w:rPr>
          <w:b w:val="0"/>
          <w:i w:val="0"/>
        </w:rPr>
        <w:t xml:space="preserve">; </w:t>
      </w:r>
      <w:r>
        <w:rPr>
          <w:b w:val="0"/>
          <w:i/>
        </w:rPr>
        <w:t>rimari</w:t>
      </w:r>
      <w:r>
        <w:rPr>
          <w:b w:val="0"/>
          <w:i w:val="0"/>
        </w:rPr>
        <w:t>.</w:t>
      </w:r>
    </w:p>
    <w:p>
      <w:pPr>
        <w:widowControl/>
      </w:pPr>
      <w:r>
        <w:rPr>
          <w:b w:val="0"/>
          <w:i w:val="0"/>
        </w:rPr>
        <w:t xml:space="preserve">A sign or clue, and searching out what is disclosed through it. Later propositions and effects can help discover earlier principles and causes, so inferential passage need not run in only one direction. References: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861" w:name="latin-record-0620"/>
      <w:bookmarkEnd w:id="861"/>
      <w:r>
        <w:rPr>
          <w:b/>
          <w:i w:val="0"/>
        </w:rPr>
        <w:t>indifferens</w:t>
      </w:r>
      <w:r>
        <w:rPr>
          <w:b/>
          <w:i w:val="0"/>
        </w:rPr>
        <w:t>.</w:t>
      </w:r>
      <w:r>
        <w:rPr>
          <w:b w:val="0"/>
          <w:i w:val="0"/>
        </w:rPr>
        <w:t xml:space="preserve"> Printed forms: </w:t>
      </w:r>
      <w:r>
        <w:rPr>
          <w:b w:val="0"/>
          <w:i/>
        </w:rPr>
        <w:t>indifferens</w:t>
      </w:r>
      <w:r>
        <w:rPr>
          <w:b w:val="0"/>
          <w:i w:val="0"/>
        </w:rPr>
        <w:t xml:space="preserve">; </w:t>
      </w:r>
      <w:r>
        <w:rPr>
          <w:b w:val="0"/>
          <w:i/>
        </w:rPr>
        <w:t>indifferens ad utrumque</w:t>
      </w:r>
      <w:r>
        <w:rPr>
          <w:b w:val="0"/>
          <w:i w:val="0"/>
        </w:rPr>
        <w:t>.</w:t>
      </w:r>
    </w:p>
    <w:p>
      <w:pPr>
        <w:widowControl/>
      </w:pPr>
      <w:r>
        <w:rPr>
          <w:b w:val="0"/>
          <w:i w:val="0"/>
        </w:rPr>
        <w:t xml:space="preserve">Undetermined between opposed outcomes. Prime matter remains open to other forms after becoming this lion’s matter; the forming agent determines it to an act. References: </w:t>
      </w:r>
      <w:hyperlink w:anchor="passage-v-12-6">
        <w:r>
          <w:rPr>
            <w:color w:val="000000"/>
          </w:rPr>
          <w:t xml:space="preserve">V.12.6</w:t>
        </w:r>
      </w:hyperlink>
      <w:r>
        <w:rPr>
          <w:b w:val="0"/>
          <w:i w:val="0"/>
        </w:rPr>
        <w:t xml:space="preserve">, </w:t>
      </w:r>
      <w:hyperlink w:anchor="passage-v-12-7">
        <w:r>
          <w:rPr>
            <w:color w:val="000000"/>
          </w:rPr>
          <w:t xml:space="preserve">V.12.7</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862" w:name="latin-record-0621"/>
      <w:bookmarkEnd w:id="862"/>
      <w:r>
        <w:rPr>
          <w:b/>
          <w:i w:val="0"/>
        </w:rPr>
        <w:t>indissolubilis</w:t>
      </w:r>
      <w:r>
        <w:rPr>
          <w:b/>
          <w:i w:val="0"/>
        </w:rPr>
        <w:t>.</w:t>
      </w:r>
      <w:r>
        <w:rPr>
          <w:b w:val="0"/>
          <w:i w:val="0"/>
        </w:rPr>
        <w:t xml:space="preserve"> Printed forms: </w:t>
      </w:r>
      <w:r>
        <w:rPr>
          <w:b w:val="0"/>
          <w:i/>
        </w:rPr>
        <w:t>indissolubile</w:t>
      </w:r>
      <w:r>
        <w:rPr>
          <w:b w:val="0"/>
          <w:i w:val="0"/>
        </w:rPr>
        <w:t xml:space="preserve">; </w:t>
      </w:r>
      <w:r>
        <w:rPr>
          <w:b w:val="0"/>
          <w:i/>
        </w:rPr>
        <w:t>indissolubilem</w:t>
      </w:r>
      <w:r>
        <w:rPr>
          <w:b w:val="0"/>
          <w:i w:val="0"/>
        </w:rPr>
        <w:t xml:space="preserve">; </w:t>
      </w:r>
      <w:r>
        <w:rPr>
          <w:b w:val="0"/>
          <w:i/>
        </w:rPr>
        <w:t>indissolubilis</w:t>
      </w:r>
      <w:r>
        <w:rPr>
          <w:b w:val="0"/>
          <w:i w:val="0"/>
        </w:rPr>
        <w:t>.</w:t>
      </w:r>
    </w:p>
    <w:p>
      <w:pPr>
        <w:widowControl/>
      </w:pPr>
      <w:r>
        <w:rPr>
          <w:b w:val="0"/>
          <w:i w:val="0"/>
        </w:rPr>
        <w:t xml:space="preserve">Not liable to dissolution, inferred from simplicity rather than merely asserted from the name soul. Ficino relates simplicity in knowing to stable living through the priority of life over its reflective operation. References: </w:t>
      </w:r>
      <w:hyperlink w:anchor="passage-viii-4-13">
        <w:r>
          <w:rPr>
            <w:color w:val="000000"/>
          </w:rPr>
          <w:t xml:space="preserve">VIII.4.13</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863" w:name="latin-record-0622"/>
      <w:bookmarkEnd w:id="863"/>
      <w:r>
        <w:rPr>
          <w:b/>
          <w:i w:val="0"/>
        </w:rPr>
        <w:t>individua; magnitudo</w:t>
      </w:r>
      <w:r>
        <w:rPr>
          <w:b/>
          <w:i w:val="0"/>
        </w:rPr>
        <w:t>.</w:t>
      </w:r>
      <w:r>
        <w:rPr>
          <w:b w:val="0"/>
          <w:i w:val="0"/>
        </w:rPr>
        <w:t xml:space="preserve"> Printed forms: </w:t>
      </w:r>
      <w:r>
        <w:rPr>
          <w:b w:val="0"/>
          <w:i/>
        </w:rPr>
        <w:t>individua</w:t>
      </w:r>
      <w:r>
        <w:rPr>
          <w:b w:val="0"/>
          <w:i w:val="0"/>
        </w:rPr>
        <w:t xml:space="preserve">; </w:t>
      </w:r>
      <w:r>
        <w:rPr>
          <w:b w:val="0"/>
          <w:i/>
        </w:rPr>
        <w:t>magnitudinem</w:t>
      </w:r>
      <w:r>
        <w:rPr>
          <w:b w:val="0"/>
          <w:i w:val="0"/>
        </w:rPr>
        <w:t>.</w:t>
      </w:r>
    </w:p>
    <w:p>
      <w:pPr>
        <w:widowControl/>
      </w:pPr>
      <w:r>
        <w:rPr>
          <w:b w:val="0"/>
          <w:i w:val="0"/>
        </w:rPr>
        <w:t xml:space="preserve">Indivisibles and extended magnitude. Ficino denies that adding dimensionless indivisibles yields an extended body, one branch of the coincidence argument. References: </w:t>
      </w:r>
      <w:hyperlink w:anchor="passage-vi-9-1">
        <w:r>
          <w:rPr>
            <w:color w:val="000000"/>
          </w:rPr>
          <w:t xml:space="preserve">VI.9.1</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864" w:name="latin-record-0623"/>
      <w:bookmarkEnd w:id="864"/>
      <w:r>
        <w:rPr>
          <w:b/>
          <w:i w:val="0"/>
        </w:rPr>
        <w:t>individuum</w:t>
      </w:r>
      <w:r>
        <w:rPr>
          <w:b/>
          <w:i w:val="0"/>
        </w:rPr>
        <w:t>.</w:t>
      </w:r>
      <w:r>
        <w:rPr>
          <w:b w:val="0"/>
          <w:i w:val="0"/>
        </w:rPr>
        <w:t xml:space="preserve"> Printed forms: </w:t>
      </w:r>
      <w:r>
        <w:rPr>
          <w:b w:val="0"/>
          <w:i/>
        </w:rPr>
        <w:t>individuum</w:t>
      </w:r>
      <w:r>
        <w:rPr>
          <w:b w:val="0"/>
          <w:i w:val="0"/>
        </w:rPr>
        <w:t>.</w:t>
      </w:r>
    </w:p>
    <w:p>
      <w:pPr>
        <w:widowControl/>
      </w:pPr>
      <w:r>
        <w:rPr>
          <w:b w:val="0"/>
          <w:i w:val="0"/>
        </w:rPr>
        <w:t xml:space="preserve">An indivisible reality, not an extended atom or merely a named person. The fifth position combines indivisibility with whole presence and an origin independent of matter. References: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865" w:name="latin-record-0624"/>
      <w:bookmarkEnd w:id="865"/>
      <w:r>
        <w:rPr>
          <w:b/>
          <w:i w:val="0"/>
        </w:rPr>
        <w:t>individuus / indivisibilis</w:t>
      </w:r>
      <w:r>
        <w:rPr>
          <w:b/>
          <w:i w:val="0"/>
        </w:rPr>
        <w:t>.</w:t>
      </w:r>
      <w:r>
        <w:rPr>
          <w:b w:val="0"/>
          <w:i w:val="0"/>
        </w:rPr>
        <w:t xml:space="preserve"> Printed forms: </w:t>
      </w:r>
      <w:r>
        <w:rPr>
          <w:b w:val="0"/>
          <w:i/>
        </w:rPr>
        <w:t>Individua</w:t>
      </w:r>
      <w:r>
        <w:rPr>
          <w:b w:val="0"/>
          <w:i w:val="0"/>
        </w:rPr>
        <w:t xml:space="preserve">; </w:t>
      </w:r>
      <w:r>
        <w:rPr>
          <w:b w:val="0"/>
          <w:i/>
        </w:rPr>
        <w:t>individua</w:t>
      </w:r>
      <w:r>
        <w:rPr>
          <w:b w:val="0"/>
          <w:i w:val="0"/>
        </w:rPr>
        <w:t xml:space="preserve">; </w:t>
      </w:r>
      <w:r>
        <w:rPr>
          <w:b w:val="0"/>
          <w:i/>
        </w:rPr>
        <w:t>individuam</w:t>
      </w:r>
      <w:r>
        <w:rPr>
          <w:b w:val="0"/>
          <w:i w:val="0"/>
        </w:rPr>
        <w:t xml:space="preserve">; </w:t>
      </w:r>
      <w:r>
        <w:rPr>
          <w:b w:val="0"/>
          <w:i/>
        </w:rPr>
        <w:t>individuamque</w:t>
      </w:r>
      <w:r>
        <w:rPr>
          <w:b w:val="0"/>
          <w:i w:val="0"/>
        </w:rPr>
        <w:t xml:space="preserve">; </w:t>
      </w:r>
      <w:r>
        <w:rPr>
          <w:b w:val="0"/>
          <w:i/>
        </w:rPr>
        <w:t>individuas</w:t>
      </w:r>
      <w:r>
        <w:rPr>
          <w:b w:val="0"/>
          <w:i w:val="0"/>
        </w:rPr>
        <w:t xml:space="preserve">; </w:t>
      </w:r>
      <w:r>
        <w:rPr>
          <w:b w:val="0"/>
          <w:i/>
        </w:rPr>
        <w:t>individuis</w:t>
      </w:r>
      <w:r>
        <w:rPr>
          <w:b w:val="0"/>
          <w:i w:val="0"/>
        </w:rPr>
        <w:t xml:space="preserve">; </w:t>
      </w:r>
      <w:r>
        <w:rPr>
          <w:b w:val="0"/>
          <w:i/>
        </w:rPr>
        <w:t>individuum</w:t>
      </w:r>
      <w:r>
        <w:rPr>
          <w:b w:val="0"/>
          <w:i w:val="0"/>
        </w:rPr>
        <w:t xml:space="preserve">; </w:t>
      </w:r>
      <w:r>
        <w:rPr>
          <w:b w:val="0"/>
          <w:i/>
        </w:rPr>
        <w:t>individuumque</w:t>
      </w:r>
      <w:r>
        <w:rPr>
          <w:b w:val="0"/>
          <w:i w:val="0"/>
        </w:rPr>
        <w:t xml:space="preserve">; </w:t>
      </w:r>
      <w:r>
        <w:rPr>
          <w:b w:val="0"/>
          <w:i/>
        </w:rPr>
        <w:t>individuus</w:t>
      </w:r>
      <w:r>
        <w:rPr>
          <w:b w:val="0"/>
          <w:i w:val="0"/>
        </w:rPr>
        <w:t xml:space="preserve">; </w:t>
      </w:r>
      <w:r>
        <w:rPr>
          <w:b w:val="0"/>
          <w:i/>
        </w:rPr>
        <w:t>indivisibile</w:t>
      </w:r>
      <w:r>
        <w:rPr>
          <w:b w:val="0"/>
          <w:i w:val="0"/>
        </w:rPr>
        <w:t xml:space="preserve">; </w:t>
      </w:r>
      <w:r>
        <w:rPr>
          <w:b w:val="0"/>
          <w:i/>
        </w:rPr>
        <w:t>indivisibilem</w:t>
      </w:r>
      <w:r>
        <w:rPr>
          <w:b w:val="0"/>
          <w:i w:val="0"/>
        </w:rPr>
        <w:t xml:space="preserve">; </w:t>
      </w:r>
      <w:r>
        <w:rPr>
          <w:b w:val="0"/>
          <w:i/>
        </w:rPr>
        <w:t>indivisibili</w:t>
      </w:r>
      <w:r>
        <w:rPr>
          <w:b w:val="0"/>
          <w:i w:val="0"/>
        </w:rPr>
        <w:t xml:space="preserve">; </w:t>
      </w:r>
      <w:r>
        <w:rPr>
          <w:b w:val="0"/>
          <w:i/>
        </w:rPr>
        <w:t>indivisibilis</w:t>
      </w:r>
      <w:r>
        <w:rPr>
          <w:b w:val="0"/>
          <w:i w:val="0"/>
        </w:rPr>
        <w:t>.</w:t>
      </w:r>
    </w:p>
    <w:p>
      <w:pPr>
        <w:widowControl/>
      </w:pPr>
      <w:r>
        <w:rPr>
          <w:b w:val="0"/>
          <w:i w:val="0"/>
        </w:rPr>
        <w:t xml:space="preserve">Without divisible parts in the respect under consideration; individuus is not necessarily a personal individual. Virtue, intellectual form and simple concept are called indivisible, and this status is then attributed to their subject. References: </w:t>
      </w:r>
      <w:hyperlink w:anchor="passage-viii-3-1">
        <w:r>
          <w:rPr>
            <w:color w:val="000000"/>
          </w:rPr>
          <w:t xml:space="preserve">VIII.3.1</w:t>
        </w:r>
      </w:hyperlink>
      <w:r>
        <w:rPr>
          <w:b w:val="0"/>
          <w:i w:val="0"/>
        </w:rPr>
        <w:t xml:space="preserve">, </w:t>
      </w:r>
      <w:hyperlink w:anchor="passage-viii-3-6">
        <w:r>
          <w:rPr>
            <w:color w:val="000000"/>
          </w:rPr>
          <w:t xml:space="preserve">VIII.3.6</w:t>
        </w:r>
      </w:hyperlink>
      <w:r>
        <w:rPr>
          <w:b w:val="0"/>
          <w:i w:val="0"/>
        </w:rPr>
        <w:t xml:space="preserve">, </w:t>
      </w:r>
      <w:hyperlink w:anchor="passage-viii-4-11">
        <w:r>
          <w:rPr>
            <w:color w:val="000000"/>
          </w:rPr>
          <w:t xml:space="preserve">VIII.4.11</w:t>
        </w:r>
      </w:hyperlink>
      <w:r>
        <w:rPr>
          <w:b w:val="0"/>
          <w:i w:val="0"/>
        </w:rPr>
        <w:t xml:space="preserve">, </w:t>
      </w:r>
      <w:hyperlink w:anchor="passage-viii-4-13">
        <w:r>
          <w:rPr>
            <w:color w:val="000000"/>
          </w:rPr>
          <w:t xml:space="preserve">VIII.4.13</w:t>
        </w:r>
      </w:hyperlink>
      <w:r>
        <w:rPr>
          <w:b w:val="0"/>
          <w:i w:val="0"/>
        </w:rPr>
        <w:t xml:space="preserve">, </w:t>
      </w:r>
      <w:hyperlink w:anchor="passage-viii-5-2">
        <w:r>
          <w:rPr>
            <w:color w:val="000000"/>
          </w:rPr>
          <w:t xml:space="preserve">VIII.5.2</w:t>
        </w:r>
      </w:hyperlink>
      <w:r>
        <w:rPr>
          <w:b w:val="0"/>
          <w:i w:val="0"/>
        </w:rPr>
        <w:t xml:space="preserve">. See </w:t>
      </w:r>
      <w:hyperlink w:anchor="viii-first-concepts">
        <w:r>
          <w:rPr>
            <w:color w:val="000000"/>
          </w:rPr>
          <w:t xml:space="preserve">First concepts, unity, and the end of analysis</w:t>
        </w:r>
      </w:hyperlink>
      <w:r>
        <w:rPr>
          <w:b w:val="0"/>
          <w:i w:val="0"/>
        </w:rPr>
        <w:t>.</w:t>
      </w:r>
    </w:p>
    <w:p>
      <w:pPr>
        <w:keepNext/>
        <w:widowControl/>
      </w:pPr>
      <w:bookmarkStart w:id="866" w:name="latin-record-0625"/>
      <w:bookmarkEnd w:id="866"/>
      <w:r>
        <w:rPr>
          <w:b/>
          <w:i w:val="0"/>
        </w:rPr>
        <w:t>indivisibilis / individuum</w:t>
      </w:r>
      <w:r>
        <w:rPr>
          <w:b/>
          <w:i w:val="0"/>
        </w:rPr>
        <w:t>.</w:t>
      </w:r>
      <w:r>
        <w:rPr>
          <w:b w:val="0"/>
          <w:i w:val="0"/>
        </w:rPr>
        <w:t xml:space="preserve"> Printed forms: </w:t>
      </w:r>
      <w:r>
        <w:rPr>
          <w:b w:val="0"/>
          <w:i/>
        </w:rPr>
        <w:t>individua</w:t>
      </w:r>
      <w:r>
        <w:rPr>
          <w:b w:val="0"/>
          <w:i w:val="0"/>
        </w:rPr>
        <w:t xml:space="preserve">; </w:t>
      </w:r>
      <w:r>
        <w:rPr>
          <w:b w:val="0"/>
          <w:i/>
        </w:rPr>
        <w:t>individuam</w:t>
      </w:r>
      <w:r>
        <w:rPr>
          <w:b w:val="0"/>
          <w:i w:val="0"/>
        </w:rPr>
        <w:t xml:space="preserve">; </w:t>
      </w:r>
      <w:r>
        <w:rPr>
          <w:b w:val="0"/>
          <w:i/>
        </w:rPr>
        <w:t>individuum</w:t>
      </w:r>
      <w:r>
        <w:rPr>
          <w:b w:val="0"/>
          <w:i w:val="0"/>
        </w:rPr>
        <w:t xml:space="preserve">; </w:t>
      </w:r>
      <w:r>
        <w:rPr>
          <w:b w:val="0"/>
          <w:i/>
        </w:rPr>
        <w:t>indivisibile</w:t>
      </w:r>
      <w:r>
        <w:rPr>
          <w:b w:val="0"/>
          <w:i w:val="0"/>
        </w:rPr>
        <w:t xml:space="preserve">; </w:t>
      </w:r>
      <w:r>
        <w:rPr>
          <w:b w:val="0"/>
          <w:i/>
        </w:rPr>
        <w:t>indivisibilem</w:t>
      </w:r>
      <w:r>
        <w:rPr>
          <w:b w:val="0"/>
          <w:i w:val="0"/>
        </w:rPr>
        <w:t xml:space="preserve">; </w:t>
      </w:r>
      <w:r>
        <w:rPr>
          <w:b w:val="0"/>
          <w:i/>
        </w:rPr>
        <w:t>indivisibili</w:t>
      </w:r>
      <w:r>
        <w:rPr>
          <w:b w:val="0"/>
          <w:i w:val="0"/>
        </w:rPr>
        <w:t xml:space="preserve">; </w:t>
      </w:r>
      <w:r>
        <w:rPr>
          <w:b w:val="0"/>
          <w:i/>
        </w:rPr>
        <w:t>indivisibilis</w:t>
      </w:r>
      <w:r>
        <w:rPr>
          <w:b w:val="0"/>
          <w:i w:val="0"/>
        </w:rPr>
        <w:t xml:space="preserve">; </w:t>
      </w:r>
      <w:r>
        <w:rPr>
          <w:b w:val="0"/>
          <w:i/>
        </w:rPr>
        <w:t>indivisibilium</w:t>
      </w:r>
      <w:r>
        <w:rPr>
          <w:b w:val="0"/>
          <w:i w:val="0"/>
        </w:rPr>
        <w:t>.</w:t>
      </w:r>
    </w:p>
    <w:p>
      <w:pPr>
        <w:widowControl/>
      </w:pPr>
      <w:r>
        <w:rPr>
          <w:b w:val="0"/>
          <w:i w:val="0"/>
        </w:rPr>
        <w:t xml:space="preserve">Indivisible, without separable quantitative parts. The contact dilemma turns on this property; individuum here should not be mistaken for the modern notion of a person. References: </w:t>
      </w:r>
      <w:hyperlink w:anchor="passage-v-6-1">
        <w:r>
          <w:rPr>
            <w:color w:val="000000"/>
          </w:rPr>
          <w:t xml:space="preserve">V.6.1</w:t>
        </w:r>
      </w:hyperlink>
      <w:r>
        <w:rPr>
          <w:b w:val="0"/>
          <w:i w:val="0"/>
        </w:rPr>
        <w:t xml:space="preserve">. See </w:t>
      </w:r>
      <w:hyperlink w:anchor="indivisibility-and-contact">
        <w:r>
          <w:rPr>
            <w:color w:val="000000"/>
          </w:rPr>
          <w:t xml:space="preserve">Indivisibility and contact</w:t>
        </w:r>
      </w:hyperlink>
      <w:r>
        <w:rPr>
          <w:b w:val="0"/>
          <w:i w:val="0"/>
        </w:rPr>
        <w:t>.</w:t>
      </w:r>
    </w:p>
    <w:p>
      <w:pPr>
        <w:keepNext/>
        <w:widowControl/>
      </w:pPr>
      <w:bookmarkStart w:id="867" w:name="latin-record-0626"/>
      <w:bookmarkEnd w:id="867"/>
      <w:r>
        <w:rPr>
          <w:b/>
          <w:i w:val="0"/>
        </w:rPr>
        <w:t>indivisibilis / individuus / partibilis</w:t>
      </w:r>
      <w:r>
        <w:rPr>
          <w:b/>
          <w:i w:val="0"/>
        </w:rPr>
        <w:t>.</w:t>
      </w:r>
      <w:r>
        <w:rPr>
          <w:b w:val="0"/>
          <w:i w:val="0"/>
        </w:rPr>
        <w:t xml:space="preserve"> Printed forms: </w:t>
      </w:r>
      <w:r>
        <w:rPr>
          <w:b w:val="0"/>
          <w:i/>
        </w:rPr>
        <w:t>divisa</w:t>
      </w:r>
      <w:r>
        <w:rPr>
          <w:b w:val="0"/>
          <w:i w:val="0"/>
        </w:rPr>
        <w:t xml:space="preserve">; </w:t>
      </w:r>
      <w:r>
        <w:rPr>
          <w:b w:val="0"/>
          <w:i/>
        </w:rPr>
        <w:t>individuum</w:t>
      </w:r>
      <w:r>
        <w:rPr>
          <w:b w:val="0"/>
          <w:i w:val="0"/>
        </w:rPr>
        <w:t xml:space="preserve">; </w:t>
      </w:r>
      <w:r>
        <w:rPr>
          <w:b w:val="0"/>
          <w:i/>
        </w:rPr>
        <w:t>indivisibiles</w:t>
      </w:r>
      <w:r>
        <w:rPr>
          <w:b w:val="0"/>
          <w:i w:val="0"/>
        </w:rPr>
        <w:t xml:space="preserve">; </w:t>
      </w:r>
      <w:r>
        <w:rPr>
          <w:b w:val="0"/>
          <w:i/>
        </w:rPr>
        <w:t>indivisibilis</w:t>
      </w:r>
      <w:r>
        <w:rPr>
          <w:b w:val="0"/>
          <w:i w:val="0"/>
        </w:rPr>
        <w:t xml:space="preserve">; </w:t>
      </w:r>
      <w:r>
        <w:rPr>
          <w:b w:val="0"/>
          <w:i/>
        </w:rPr>
        <w:t>partibilem</w:t>
      </w:r>
      <w:r>
        <w:rPr>
          <w:b w:val="0"/>
          <w:i w:val="0"/>
        </w:rPr>
        <w:t>.</w:t>
      </w:r>
    </w:p>
    <w:p>
      <w:pPr>
        <w:widowControl/>
      </w:pPr>
      <w:r>
        <w:rPr>
          <w:b w:val="0"/>
          <w:i w:val="0"/>
        </w:rPr>
        <w:t xml:space="preserve">Undivided or divisible into parts. The successful comparing power cannot distribute its compared contents among mutually ignorant portions. References: </w:t>
      </w:r>
      <w:hyperlink w:anchor="passage-vii-2-2">
        <w:r>
          <w:rPr>
            <w:color w:val="000000"/>
          </w:rPr>
          <w:t xml:space="preserve">VII.2.2</w:t>
        </w:r>
      </w:hyperlink>
      <w:r>
        <w:rPr>
          <w:b w:val="0"/>
          <w:i w:val="0"/>
        </w:rPr>
        <w:t xml:space="preserve">. See </w:t>
      </w:r>
      <w:hyperlink w:anchor="vii-point-line">
        <w:r>
          <w:rPr>
            <w:color w:val="000000"/>
          </w:rPr>
          <w:t xml:space="preserve">Point, line and the comparing power</w:t>
        </w:r>
      </w:hyperlink>
      <w:r>
        <w:rPr>
          <w:b w:val="0"/>
          <w:i w:val="0"/>
        </w:rPr>
        <w:t>.</w:t>
      </w:r>
    </w:p>
    <w:p>
      <w:pPr>
        <w:keepNext/>
        <w:widowControl/>
      </w:pPr>
      <w:bookmarkStart w:id="868" w:name="latin-record-0627"/>
      <w:bookmarkEnd w:id="868"/>
      <w:r>
        <w:rPr>
          <w:b/>
          <w:i w:val="0"/>
        </w:rPr>
        <w:t>indivisibilis; impartibilis</w:t>
      </w:r>
      <w:r>
        <w:rPr>
          <w:b/>
          <w:i w:val="0"/>
        </w:rPr>
        <w:t>.</w:t>
      </w:r>
      <w:r>
        <w:rPr>
          <w:b w:val="0"/>
          <w:i w:val="0"/>
        </w:rPr>
        <w:t xml:space="preserve"> Printed forms: </w:t>
      </w:r>
      <w:r>
        <w:rPr>
          <w:b w:val="0"/>
          <w:i/>
        </w:rPr>
        <w:t>impartibilem</w:t>
      </w:r>
      <w:r>
        <w:rPr>
          <w:b w:val="0"/>
          <w:i w:val="0"/>
        </w:rPr>
        <w:t xml:space="preserve">; </w:t>
      </w:r>
      <w:r>
        <w:rPr>
          <w:b w:val="0"/>
          <w:i/>
        </w:rPr>
        <w:t>indivisibilem</w:t>
      </w:r>
      <w:r>
        <w:rPr>
          <w:b w:val="0"/>
          <w:i w:val="0"/>
        </w:rPr>
        <w:t>.</w:t>
      </w:r>
    </w:p>
    <w:p>
      <w:pPr>
        <w:widowControl/>
      </w:pPr>
      <w:r>
        <w:rPr>
          <w:b w:val="0"/>
          <w:i w:val="0"/>
        </w:rPr>
        <w:t xml:space="preserve">Indivisible and incapable of partition. The sensory and intellectual proofs are promised to establish these characteristics together with whole presence. References: </w:t>
      </w:r>
      <w:hyperlink w:anchor="passage-vi-3-1">
        <w:r>
          <w:rPr>
            <w:color w:val="000000"/>
          </w:rPr>
          <w:t xml:space="preserve">VI.3.1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869" w:name="latin-record-0628"/>
      <w:bookmarkEnd w:id="869"/>
      <w:r>
        <w:rPr>
          <w:b/>
          <w:i w:val="0"/>
        </w:rPr>
        <w:t>induere / exuere</w:t>
      </w:r>
      <w:r>
        <w:rPr>
          <w:b/>
          <w:i w:val="0"/>
        </w:rPr>
        <w:t>.</w:t>
      </w:r>
      <w:r>
        <w:rPr>
          <w:b w:val="0"/>
          <w:i w:val="0"/>
        </w:rPr>
        <w:t xml:space="preserve"> Printed forms: </w:t>
      </w:r>
      <w:r>
        <w:rPr>
          <w:b w:val="0"/>
          <w:i/>
        </w:rPr>
        <w:t>exuerit</w:t>
      </w:r>
      <w:r>
        <w:rPr>
          <w:b w:val="0"/>
          <w:i w:val="0"/>
        </w:rPr>
        <w:t xml:space="preserve">; </w:t>
      </w:r>
      <w:r>
        <w:rPr>
          <w:b w:val="0"/>
          <w:i/>
        </w:rPr>
        <w:t>exuit</w:t>
      </w:r>
      <w:r>
        <w:rPr>
          <w:b w:val="0"/>
          <w:i w:val="0"/>
        </w:rPr>
        <w:t xml:space="preserve">; </w:t>
      </w:r>
      <w:r>
        <w:rPr>
          <w:b w:val="0"/>
          <w:i/>
        </w:rPr>
        <w:t>induet</w:t>
      </w:r>
      <w:r>
        <w:rPr>
          <w:b w:val="0"/>
          <w:i w:val="0"/>
        </w:rPr>
        <w:t xml:space="preserve">; </w:t>
      </w:r>
      <w:r>
        <w:rPr>
          <w:b w:val="0"/>
          <w:i/>
        </w:rPr>
        <w:t>indui</w:t>
      </w:r>
      <w:r>
        <w:rPr>
          <w:b w:val="0"/>
          <w:i w:val="0"/>
        </w:rPr>
        <w:t xml:space="preserve">; </w:t>
      </w:r>
      <w:r>
        <w:rPr>
          <w:b w:val="0"/>
          <w:i/>
        </w:rPr>
        <w:t>induitur</w:t>
      </w:r>
      <w:r>
        <w:rPr>
          <w:b w:val="0"/>
          <w:i w:val="0"/>
        </w:rPr>
        <w:t>.</w:t>
      </w:r>
    </w:p>
    <w:p>
      <w:pPr>
        <w:widowControl/>
      </w:pPr>
      <w:r>
        <w:rPr>
          <w:b w:val="0"/>
          <w:i w:val="0"/>
        </w:rPr>
        <w:t xml:space="preserve">To put on and to take off, clothing metaphors for receiving or relinquishing a mode. Matter clothes itself in forms; the soul’s supposed exchange of spiritual being is raised and rejected. References: </w:t>
      </w:r>
      <w:hyperlink w:anchor="passage-v-4-4">
        <w:r>
          <w:rPr>
            <w:color w:val="000000"/>
          </w:rPr>
          <w:t xml:space="preserve">V.4.4</w:t>
        </w:r>
      </w:hyperlink>
      <w:r>
        <w:rPr>
          <w:b w:val="0"/>
          <w:i w:val="0"/>
        </w:rPr>
        <w:t xml:space="preserve">, </w:t>
      </w:r>
      <w:hyperlink w:anchor="passage-v-11-7">
        <w:r>
          <w:rPr>
            <w:color w:val="000000"/>
          </w:rPr>
          <w:t xml:space="preserve">V.11.7</w:t>
        </w:r>
      </w:hyperlink>
      <w:r>
        <w:rPr>
          <w:b w:val="0"/>
          <w:i w:val="0"/>
        </w:rPr>
        <w:t xml:space="preserve">, </w:t>
      </w:r>
      <w:hyperlink w:anchor="passage-v-13-12">
        <w:r>
          <w:rPr>
            <w:color w:val="000000"/>
          </w:rPr>
          <w:t xml:space="preserve">V.13.12</w:t>
        </w:r>
      </w:hyperlink>
      <w:r>
        <w:rPr>
          <w:b w:val="0"/>
          <w:i w:val="0"/>
        </w:rPr>
        <w:t xml:space="preserve">. See </w:t>
      </w:r>
      <w:hyperlink w:anchor="spiritual-matter-and-identity">
        <w:r>
          <w:rPr>
            <w:color w:val="000000"/>
          </w:rPr>
          <w:t xml:space="preserve">Spiritual matter and identity</w:t>
        </w:r>
      </w:hyperlink>
      <w:r>
        <w:rPr>
          <w:b w:val="0"/>
          <w:i w:val="0"/>
        </w:rPr>
        <w:t>.</w:t>
      </w:r>
    </w:p>
    <w:p>
      <w:pPr>
        <w:widowControl/>
      </w:pPr>
      <w:r>
        <w:rPr>
          <w:b w:val="0"/>
          <w:i w:val="0"/>
        </w:rPr>
        <w:t xml:space="preserve">Putting on and taking off, the clothing verbs applied to bodily qualities. Water takes on heat by relinquishing coldness, establishing the contrast with mind’s reception of forms without loss of its own nature. References: </w:t>
      </w:r>
      <w:hyperlink w:anchor="passage-viii-7-1">
        <w:r>
          <w:rPr>
            <w:color w:val="000000"/>
          </w:rPr>
          <w:t xml:space="preserve">VIII.7.1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870" w:name="latin-record-0629"/>
      <w:bookmarkEnd w:id="870"/>
      <w:r>
        <w:rPr>
          <w:b/>
          <w:i w:val="0"/>
        </w:rPr>
        <w:t>industria / usus / affectus</w:t>
      </w:r>
      <w:r>
        <w:rPr>
          <w:b/>
          <w:i w:val="0"/>
        </w:rPr>
        <w:t>.</w:t>
      </w:r>
      <w:r>
        <w:rPr>
          <w:b w:val="0"/>
          <w:i w:val="0"/>
        </w:rPr>
        <w:t xml:space="preserve"> Printed forms: </w:t>
      </w:r>
      <w:r>
        <w:rPr>
          <w:b w:val="0"/>
          <w:i/>
        </w:rPr>
        <w:t>affectu</w:t>
      </w:r>
      <w:r>
        <w:rPr>
          <w:b w:val="0"/>
          <w:i w:val="0"/>
        </w:rPr>
        <w:t xml:space="preserve">; </w:t>
      </w:r>
      <w:r>
        <w:rPr>
          <w:b w:val="0"/>
          <w:i/>
        </w:rPr>
        <w:t>industria</w:t>
      </w:r>
      <w:r>
        <w:rPr>
          <w:b w:val="0"/>
          <w:i w:val="0"/>
        </w:rPr>
        <w:t xml:space="preserve">; </w:t>
      </w:r>
      <w:r>
        <w:rPr>
          <w:b w:val="0"/>
          <w:i/>
        </w:rPr>
        <w:t>usu</w:t>
      </w:r>
      <w:r>
        <w:rPr>
          <w:b w:val="0"/>
          <w:i w:val="0"/>
        </w:rPr>
        <w:t>.</w:t>
      </w:r>
    </w:p>
    <w:p>
      <w:pPr>
        <w:widowControl/>
      </w:pPr>
      <w:r>
        <w:rPr>
          <w:b w:val="0"/>
          <w:i w:val="0"/>
        </w:rPr>
        <w:t xml:space="preserve">Active exertion, practice and engaged ardour in mental development. Soul’s progress depends on these activities rather than merely on a body’s increase in bulk.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871" w:name="latin-record-0630"/>
      <w:bookmarkEnd w:id="871"/>
      <w:r>
        <w:rPr>
          <w:b/>
          <w:i w:val="0"/>
        </w:rPr>
        <w:t>inesse</w:t>
      </w:r>
      <w:r>
        <w:rPr>
          <w:b/>
          <w:i w:val="0"/>
        </w:rPr>
        <w:t>.</w:t>
      </w:r>
      <w:r>
        <w:rPr>
          <w:b w:val="0"/>
          <w:i w:val="0"/>
        </w:rPr>
        <w:t xml:space="preserve"> Printed forms: </w:t>
      </w:r>
      <w:r>
        <w:rPr>
          <w:b w:val="0"/>
          <w:i/>
        </w:rPr>
        <w:t>inerit</w:t>
      </w:r>
      <w:r>
        <w:rPr>
          <w:b w:val="0"/>
          <w:i w:val="0"/>
        </w:rPr>
        <w:t xml:space="preserve">; </w:t>
      </w:r>
      <w:r>
        <w:rPr>
          <w:b w:val="0"/>
          <w:i/>
        </w:rPr>
        <w:t>inesse</w:t>
      </w:r>
      <w:r>
        <w:rPr>
          <w:b w:val="0"/>
          <w:i w:val="0"/>
        </w:rPr>
        <w:t xml:space="preserve">; </w:t>
      </w:r>
      <w:r>
        <w:rPr>
          <w:b w:val="0"/>
          <w:i/>
        </w:rPr>
        <w:t>inesset</w:t>
      </w:r>
      <w:r>
        <w:rPr>
          <w:b w:val="0"/>
          <w:i w:val="0"/>
        </w:rPr>
        <w:t xml:space="preserve">; </w:t>
      </w:r>
      <w:r>
        <w:rPr>
          <w:b w:val="0"/>
          <w:i/>
        </w:rPr>
        <w:t>inest</w:t>
      </w:r>
      <w:r>
        <w:rPr>
          <w:b w:val="0"/>
          <w:i w:val="0"/>
        </w:rPr>
        <w:t xml:space="preserve">; </w:t>
      </w:r>
      <w:r>
        <w:rPr>
          <w:b w:val="0"/>
          <w:i/>
        </w:rPr>
        <w:t>insunt</w:t>
      </w:r>
      <w:r>
        <w:rPr>
          <w:b w:val="0"/>
          <w:i w:val="0"/>
        </w:rPr>
        <w:t>.</w:t>
      </w:r>
    </w:p>
    <w:p>
      <w:pPr>
        <w:widowControl/>
      </w:pPr>
      <w:r>
        <w:rPr>
          <w:b w:val="0"/>
          <w:i w:val="0"/>
        </w:rPr>
        <w:t xml:space="preserve">Being in or inhering in a subject, without necessarily occupying a bodily space. Virtue’s presence characterizes soul, and forms coexist within mind; the mode of inherence is exactly what the bodily-quality arguments test. References: </w:t>
      </w:r>
      <w:hyperlink w:anchor="passage-viii-2-3">
        <w:r>
          <w:rPr>
            <w:color w:val="000000"/>
          </w:rPr>
          <w:t xml:space="preserve">VIII.2.3</w:t>
        </w:r>
      </w:hyperlink>
      <w:r>
        <w:rPr>
          <w:b w:val="0"/>
          <w:i w:val="0"/>
        </w:rPr>
        <w:t xml:space="preserve">, </w:t>
      </w:r>
      <w:hyperlink w:anchor="passage-viii-2-7">
        <w:r>
          <w:rPr>
            <w:color w:val="000000"/>
          </w:rPr>
          <w:t xml:space="preserve">VIII.2.7</w:t>
        </w:r>
      </w:hyperlink>
      <w:r>
        <w:rPr>
          <w:b w:val="0"/>
          <w:i w:val="0"/>
        </w:rPr>
        <w:t xml:space="preserve">, </w:t>
      </w:r>
      <w:hyperlink w:anchor="passage-viii-3-5">
        <w:r>
          <w:rPr>
            <w:color w:val="000000"/>
          </w:rPr>
          <w:t xml:space="preserve">VIII.3.5</w:t>
        </w:r>
      </w:hyperlink>
      <w:r>
        <w:rPr>
          <w:b w:val="0"/>
          <w:i w:val="0"/>
        </w:rPr>
        <w:t xml:space="preserve">, </w:t>
      </w:r>
      <w:hyperlink w:anchor="passage-viii-3-7">
        <w:r>
          <w:rPr>
            <w:color w:val="000000"/>
          </w:rPr>
          <w:t xml:space="preserve">VIII.3.7</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872" w:name="latin-record-0631"/>
      <w:bookmarkEnd w:id="872"/>
      <w:r>
        <w:rPr>
          <w:b/>
          <w:i w:val="0"/>
        </w:rPr>
        <w:t>infectio / puritas</w:t>
      </w:r>
      <w:r>
        <w:rPr>
          <w:b/>
          <w:i w:val="0"/>
        </w:rPr>
        <w:t>.</w:t>
      </w:r>
      <w:r>
        <w:rPr>
          <w:b w:val="0"/>
          <w:i w:val="0"/>
        </w:rPr>
        <w:t xml:space="preserve"> Printed forms: </w:t>
      </w:r>
      <w:r>
        <w:rPr>
          <w:b w:val="0"/>
          <w:i/>
        </w:rPr>
        <w:t>infectionem</w:t>
      </w:r>
      <w:r>
        <w:rPr>
          <w:b w:val="0"/>
          <w:i w:val="0"/>
        </w:rPr>
        <w:t xml:space="preserve">; </w:t>
      </w:r>
      <w:r>
        <w:rPr>
          <w:b w:val="0"/>
          <w:i/>
        </w:rPr>
        <w:t>infectis</w:t>
      </w:r>
      <w:r>
        <w:rPr>
          <w:b w:val="0"/>
          <w:i w:val="0"/>
        </w:rPr>
        <w:t xml:space="preserve">; </w:t>
      </w:r>
      <w:r>
        <w:rPr>
          <w:b w:val="0"/>
          <w:i/>
        </w:rPr>
        <w:t>puritate</w:t>
      </w:r>
      <w:r>
        <w:rPr>
          <w:b w:val="0"/>
          <w:i w:val="0"/>
        </w:rPr>
        <w:t xml:space="preserve">; </w:t>
      </w:r>
      <w:r>
        <w:rPr>
          <w:b w:val="0"/>
          <w:i/>
        </w:rPr>
        <w:t>puritatem</w:t>
      </w:r>
      <w:r>
        <w:rPr>
          <w:b w:val="0"/>
          <w:i w:val="0"/>
        </w:rPr>
        <w:t>.</w:t>
      </w:r>
    </w:p>
    <w:p>
      <w:pPr>
        <w:widowControl/>
      </w:pPr>
      <w:r>
        <w:rPr>
          <w:b w:val="0"/>
          <w:i w:val="0"/>
        </w:rPr>
        <w:t xml:space="preserve">Taint or admixture and purity, applied to material restriction and intelligible release. Mind’s ability to restore an account’s purity is used to argue that its own intellectual nature stands beyond the relevant admixture. References: </w:t>
      </w:r>
      <w:hyperlink w:anchor="passage-viii-5-2">
        <w:r>
          <w:rPr>
            <w:color w:val="000000"/>
          </w:rPr>
          <w:t xml:space="preserve">VIII.5.2</w:t>
        </w:r>
      </w:hyperlink>
      <w:r>
        <w:rPr>
          <w:b w:val="0"/>
          <w:i w:val="0"/>
        </w:rPr>
        <w:t xml:space="preserve">, </w:t>
      </w:r>
      <w:hyperlink w:anchor="passage-viii-13-1">
        <w:r>
          <w:rPr>
            <w:color w:val="000000"/>
          </w:rPr>
          <w:t xml:space="preserve">VIII.13.1</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873" w:name="latin-record-0632"/>
      <w:bookmarkEnd w:id="873"/>
      <w:r>
        <w:rPr>
          <w:b/>
          <w:i w:val="0"/>
        </w:rPr>
        <w:t>infinitae partes actu</w:t>
      </w:r>
      <w:r>
        <w:rPr>
          <w:b/>
          <w:i w:val="0"/>
        </w:rPr>
        <w:t>.</w:t>
      </w:r>
      <w:r>
        <w:rPr>
          <w:b w:val="0"/>
          <w:i w:val="0"/>
        </w:rPr>
        <w:t xml:space="preserve"> Printed forms: </w:t>
      </w:r>
      <w:r>
        <w:rPr>
          <w:b w:val="0"/>
          <w:i/>
        </w:rPr>
        <w:t>infinita quaedam multitudo</w:t>
      </w:r>
      <w:r>
        <w:rPr>
          <w:b w:val="0"/>
          <w:i w:val="0"/>
        </w:rPr>
        <w:t xml:space="preserve">; </w:t>
      </w:r>
      <w:r>
        <w:rPr>
          <w:b w:val="0"/>
          <w:i/>
        </w:rPr>
        <w:t>infinitae partes in actu</w:t>
      </w:r>
      <w:r>
        <w:rPr>
          <w:b w:val="0"/>
          <w:i w:val="0"/>
        </w:rPr>
        <w:t>.</w:t>
      </w:r>
    </w:p>
    <w:p>
      <w:pPr>
        <w:widowControl/>
      </w:pPr>
      <w:r>
        <w:rPr>
          <w:b w:val="0"/>
          <w:i w:val="0"/>
        </w:rPr>
        <w:t xml:space="preserve">Actually infinite acting parts or multitude. The reductio arises from granting autonomous motion to every infinitely divisible part, not simply from potential divisibility alone. References: </w:t>
      </w:r>
      <w:hyperlink w:anchor="passage-vi-12-2">
        <w:r>
          <w:rPr>
            <w:color w:val="000000"/>
          </w:rPr>
          <w:t xml:space="preserve">VI.12.2</w:t>
        </w:r>
      </w:hyperlink>
      <w:r>
        <w:rPr>
          <w:b w:val="0"/>
          <w:i w:val="0"/>
        </w:rPr>
        <w:t xml:space="preserve">, </w:t>
      </w:r>
      <w:hyperlink w:anchor="passage-vi-12-3">
        <w:r>
          <w:rPr>
            <w:color w:val="000000"/>
          </w:rPr>
          <w:t xml:space="preserve">VI.12.3</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874" w:name="latin-record-0633"/>
      <w:bookmarkEnd w:id="874"/>
      <w:r>
        <w:rPr>
          <w:b/>
          <w:i w:val="0"/>
        </w:rPr>
        <w:t>infinitus / immensus</w:t>
      </w:r>
      <w:r>
        <w:rPr>
          <w:b/>
          <w:i w:val="0"/>
        </w:rPr>
        <w:t>.</w:t>
      </w:r>
      <w:r>
        <w:rPr>
          <w:b w:val="0"/>
          <w:i w:val="0"/>
        </w:rPr>
        <w:t xml:space="preserve"> Printed forms: </w:t>
      </w:r>
      <w:r>
        <w:rPr>
          <w:b w:val="0"/>
          <w:i/>
        </w:rPr>
        <w:t>immensa</w:t>
      </w:r>
      <w:r>
        <w:rPr>
          <w:b w:val="0"/>
          <w:i w:val="0"/>
        </w:rPr>
        <w:t xml:space="preserve">; </w:t>
      </w:r>
      <w:r>
        <w:rPr>
          <w:b w:val="0"/>
          <w:i/>
        </w:rPr>
        <w:t>immensam</w:t>
      </w:r>
      <w:r>
        <w:rPr>
          <w:b w:val="0"/>
          <w:i w:val="0"/>
        </w:rPr>
        <w:t xml:space="preserve">; </w:t>
      </w:r>
      <w:r>
        <w:rPr>
          <w:b w:val="0"/>
          <w:i/>
        </w:rPr>
        <w:t>infinita</w:t>
      </w:r>
      <w:r>
        <w:rPr>
          <w:b w:val="0"/>
          <w:i w:val="0"/>
        </w:rPr>
        <w:t xml:space="preserve">; </w:t>
      </w:r>
      <w:r>
        <w:rPr>
          <w:b w:val="0"/>
          <w:i/>
        </w:rPr>
        <w:t>infinitam</w:t>
      </w:r>
      <w:r>
        <w:rPr>
          <w:b w:val="0"/>
          <w:i w:val="0"/>
        </w:rPr>
        <w:t xml:space="preserve">; </w:t>
      </w:r>
      <w:r>
        <w:rPr>
          <w:b w:val="0"/>
          <w:i/>
        </w:rPr>
        <w:t>infinitus</w:t>
      </w:r>
      <w:r>
        <w:rPr>
          <w:b w:val="0"/>
          <w:i w:val="0"/>
        </w:rPr>
        <w:t>.</w:t>
      </w:r>
    </w:p>
    <w:p>
      <w:pPr>
        <w:widowControl/>
      </w:pPr>
      <w:r>
        <w:rPr>
          <w:b w:val="0"/>
          <w:i w:val="0"/>
        </w:rPr>
        <w:t xml:space="preserve">Infinite or immeasurable, particularly unrestricted creative power. A finite receiver would bound that power, which is why the angelic-instrument proposal fails. References: </w:t>
      </w:r>
      <w:hyperlink w:anchor="passage-v-13-6">
        <w:r>
          <w:rPr>
            <w:color w:val="000000"/>
          </w:rPr>
          <w:t xml:space="preserve">V.13.6</w:t>
        </w:r>
      </w:hyperlink>
      <w:r>
        <w:rPr>
          <w:b w:val="0"/>
          <w:i w:val="0"/>
        </w:rPr>
        <w:t xml:space="preserve">, </w:t>
      </w:r>
      <w:hyperlink w:anchor="passage-v-13-7">
        <w:r>
          <w:rPr>
            <w:color w:val="000000"/>
          </w:rPr>
          <w:t xml:space="preserve">V.13.7</w:t>
        </w:r>
      </w:hyperlink>
      <w:r>
        <w:rPr>
          <w:b w:val="0"/>
          <w:i w:val="0"/>
        </w:rPr>
        <w:t xml:space="preserve">, </w:t>
      </w:r>
      <w:hyperlink w:anchor="passage-v-13-13">
        <w:r>
          <w:rPr>
            <w:color w:val="000000"/>
          </w:rPr>
          <w:t xml:space="preserve">V.13.13</w:t>
        </w:r>
      </w:hyperlink>
      <w:r>
        <w:rPr>
          <w:b w:val="0"/>
          <w:i w:val="0"/>
        </w:rPr>
        <w:t xml:space="preserve">, </w:t>
      </w:r>
      <w:hyperlink w:anchor="passage-v-13-15">
        <w:r>
          <w:rPr>
            <w:color w:val="000000"/>
          </w:rPr>
          <w:t xml:space="preserve">V.13.15</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875" w:name="latin-record-0634"/>
      <w:bookmarkEnd w:id="875"/>
      <w:r>
        <w:rPr>
          <w:b/>
          <w:i w:val="0"/>
        </w:rPr>
        <w:t>infinitus / infinitas</w:t>
      </w:r>
      <w:r>
        <w:rPr>
          <w:b/>
          <w:i w:val="0"/>
        </w:rPr>
        <w:t>.</w:t>
      </w:r>
      <w:r>
        <w:rPr>
          <w:b w:val="0"/>
          <w:i w:val="0"/>
        </w:rPr>
        <w:t xml:space="preserve"> Printed forms: </w:t>
      </w:r>
      <w:r>
        <w:rPr>
          <w:b w:val="0"/>
          <w:i/>
        </w:rPr>
        <w:t>infinita</w:t>
      </w:r>
      <w:r>
        <w:rPr>
          <w:b w:val="0"/>
          <w:i w:val="0"/>
        </w:rPr>
        <w:t xml:space="preserve">; </w:t>
      </w:r>
      <w:r>
        <w:rPr>
          <w:b w:val="0"/>
          <w:i/>
        </w:rPr>
        <w:t>infinitam</w:t>
      </w:r>
      <w:r>
        <w:rPr>
          <w:b w:val="0"/>
          <w:i w:val="0"/>
        </w:rPr>
        <w:t xml:space="preserve">; </w:t>
      </w:r>
      <w:r>
        <w:rPr>
          <w:b w:val="0"/>
          <w:i/>
        </w:rPr>
        <w:t>infinitas</w:t>
      </w:r>
      <w:r>
        <w:rPr>
          <w:b w:val="0"/>
          <w:i w:val="0"/>
        </w:rPr>
        <w:t xml:space="preserve">; </w:t>
      </w:r>
      <w:r>
        <w:rPr>
          <w:b w:val="0"/>
          <w:i/>
        </w:rPr>
        <w:t>infinitate</w:t>
      </w:r>
      <w:r>
        <w:rPr>
          <w:b w:val="0"/>
          <w:i w:val="0"/>
        </w:rPr>
        <w:t xml:space="preserve">; </w:t>
      </w:r>
      <w:r>
        <w:rPr>
          <w:b w:val="0"/>
          <w:i/>
        </w:rPr>
        <w:t>infinitatem</w:t>
      </w:r>
      <w:r>
        <w:rPr>
          <w:b w:val="0"/>
          <w:i w:val="0"/>
        </w:rPr>
        <w:t xml:space="preserve">; </w:t>
      </w:r>
      <w:r>
        <w:rPr>
          <w:b w:val="0"/>
          <w:i/>
        </w:rPr>
        <w:t>infinitati</w:t>
      </w:r>
      <w:r>
        <w:rPr>
          <w:b w:val="0"/>
          <w:i w:val="0"/>
        </w:rPr>
        <w:t xml:space="preserve">; </w:t>
      </w:r>
      <w:r>
        <w:rPr>
          <w:b w:val="0"/>
          <w:i/>
        </w:rPr>
        <w:t>infinite</w:t>
      </w:r>
      <w:r>
        <w:rPr>
          <w:b w:val="0"/>
          <w:i w:val="0"/>
        </w:rPr>
        <w:t xml:space="preserve">; </w:t>
      </w:r>
      <w:r>
        <w:rPr>
          <w:b w:val="0"/>
          <w:i/>
        </w:rPr>
        <w:t>infinitis</w:t>
      </w:r>
      <w:r>
        <w:rPr>
          <w:b w:val="0"/>
          <w:i w:val="0"/>
        </w:rPr>
        <w:t xml:space="preserve">; </w:t>
      </w:r>
      <w:r>
        <w:rPr>
          <w:b w:val="0"/>
          <w:i/>
        </w:rPr>
        <w:t>infinito</w:t>
      </w:r>
      <w:r>
        <w:rPr>
          <w:b w:val="0"/>
          <w:i w:val="0"/>
        </w:rPr>
        <w:t xml:space="preserve">; </w:t>
      </w:r>
      <w:r>
        <w:rPr>
          <w:b w:val="0"/>
          <w:i/>
        </w:rPr>
        <w:t>infinitos</w:t>
      </w:r>
      <w:r>
        <w:rPr>
          <w:b w:val="0"/>
          <w:i w:val="0"/>
        </w:rPr>
        <w:t xml:space="preserve">; </w:t>
      </w:r>
      <w:r>
        <w:rPr>
          <w:b w:val="0"/>
          <w:i/>
        </w:rPr>
        <w:t>Infinitum</w:t>
      </w:r>
      <w:r>
        <w:rPr>
          <w:b w:val="0"/>
          <w:i w:val="0"/>
        </w:rPr>
        <w:t xml:space="preserve">; </w:t>
      </w:r>
      <w:r>
        <w:rPr>
          <w:b w:val="0"/>
          <w:i/>
        </w:rPr>
        <w:t>infinitum</w:t>
      </w:r>
      <w:r>
        <w:rPr>
          <w:b w:val="0"/>
          <w:i w:val="0"/>
        </w:rPr>
        <w:t xml:space="preserve">; </w:t>
      </w:r>
      <w:r>
        <w:rPr>
          <w:b w:val="0"/>
          <w:i/>
        </w:rPr>
        <w:t>infinitus</w:t>
      </w:r>
      <w:r>
        <w:rPr>
          <w:b w:val="0"/>
          <w:i w:val="0"/>
        </w:rPr>
        <w:t>.</w:t>
      </w:r>
    </w:p>
    <w:p>
      <w:pPr>
        <w:widowControl/>
      </w:pPr>
      <w:r>
        <w:rPr>
          <w:b w:val="0"/>
          <w:i w:val="0"/>
        </w:rPr>
        <w:t xml:space="preserve">Without the relevant limit; the word’s mode must be distinguished in each argument. Simultaneous actual infinity is rejected in the point hypothesis, while recursive range and received intellectual infinity are defended with qualifications. References: </w:t>
      </w:r>
      <w:hyperlink w:anchor="passage-viii-4-2">
        <w:r>
          <w:rPr>
            <w:color w:val="000000"/>
          </w:rPr>
          <w:t xml:space="preserve">VIII.4.2</w:t>
        </w:r>
      </w:hyperlink>
      <w:r>
        <w:rPr>
          <w:b w:val="0"/>
          <w:i w:val="0"/>
        </w:rPr>
        <w:t xml:space="preserve">, </w:t>
      </w:r>
      <w:hyperlink w:anchor="passage-viii-4-4">
        <w:r>
          <w:rPr>
            <w:color w:val="000000"/>
          </w:rPr>
          <w:t xml:space="preserve">VIII.4.4</w:t>
        </w:r>
      </w:hyperlink>
      <w:r>
        <w:rPr>
          <w:b w:val="0"/>
          <w:i w:val="0"/>
        </w:rPr>
        <w:t xml:space="preserve">, </w:t>
      </w:r>
      <w:hyperlink w:anchor="passage-viii-5-1">
        <w:r>
          <w:rPr>
            <w:color w:val="000000"/>
          </w:rPr>
          <w:t xml:space="preserve">VIII.5.1</w:t>
        </w:r>
      </w:hyperlink>
      <w:r>
        <w:rPr>
          <w:b w:val="0"/>
          <w:i w:val="0"/>
        </w:rPr>
        <w:t xml:space="preserve">, </w:t>
      </w:r>
      <w:hyperlink w:anchor="passage-viii-10-1">
        <w:r>
          <w:rPr>
            <w:color w:val="000000"/>
          </w:rPr>
          <w:t xml:space="preserve">VIII.10.1</w:t>
        </w:r>
      </w:hyperlink>
      <w:r>
        <w:rPr>
          <w:b w:val="0"/>
          <w:i w:val="0"/>
        </w:rPr>
        <w:t xml:space="preserve">, </w:t>
      </w:r>
      <w:hyperlink w:anchor="passage-viii-14-1">
        <w:r>
          <w:rPr>
            <w:color w:val="000000"/>
          </w:rPr>
          <w:t xml:space="preserve">VIII.14.1</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876" w:name="latin-record-0635"/>
      <w:bookmarkEnd w:id="876"/>
      <w:r>
        <w:rPr>
          <w:b/>
          <w:i w:val="0"/>
        </w:rPr>
        <w:t>infinitus / innumerabilis</w:t>
      </w:r>
      <w:r>
        <w:rPr>
          <w:b/>
          <w:i w:val="0"/>
        </w:rPr>
        <w:t>.</w:t>
      </w:r>
      <w:r>
        <w:rPr>
          <w:b w:val="0"/>
          <w:i w:val="0"/>
        </w:rPr>
        <w:t xml:space="preserve"> Printed forms: </w:t>
      </w:r>
      <w:r>
        <w:rPr>
          <w:b w:val="0"/>
          <w:i/>
        </w:rPr>
        <w:t>infinitas</w:t>
      </w:r>
      <w:r>
        <w:rPr>
          <w:b w:val="0"/>
          <w:i w:val="0"/>
        </w:rPr>
        <w:t xml:space="preserve">; </w:t>
      </w:r>
      <w:r>
        <w:rPr>
          <w:b w:val="0"/>
          <w:i/>
        </w:rPr>
        <w:t>infinite</w:t>
      </w:r>
      <w:r>
        <w:rPr>
          <w:b w:val="0"/>
          <w:i w:val="0"/>
        </w:rPr>
        <w:t xml:space="preserve">; </w:t>
      </w:r>
      <w:r>
        <w:rPr>
          <w:b w:val="0"/>
          <w:i/>
        </w:rPr>
        <w:t>infiniti</w:t>
      </w:r>
      <w:r>
        <w:rPr>
          <w:b w:val="0"/>
          <w:i w:val="0"/>
        </w:rPr>
        <w:t xml:space="preserve">; </w:t>
      </w:r>
      <w:r>
        <w:rPr>
          <w:b w:val="0"/>
          <w:i/>
        </w:rPr>
        <w:t>infinitos</w:t>
      </w:r>
      <w:r>
        <w:rPr>
          <w:b w:val="0"/>
          <w:i w:val="0"/>
        </w:rPr>
        <w:t xml:space="preserve">; </w:t>
      </w:r>
      <w:r>
        <w:rPr>
          <w:b w:val="0"/>
          <w:i/>
        </w:rPr>
        <w:t>innumerabiles</w:t>
      </w:r>
      <w:r>
        <w:rPr>
          <w:b w:val="0"/>
          <w:i w:val="0"/>
        </w:rPr>
        <w:t>.</w:t>
      </w:r>
    </w:p>
    <w:p>
      <w:pPr>
        <w:widowControl/>
      </w:pPr>
      <w:r>
        <w:rPr>
          <w:b w:val="0"/>
          <w:i w:val="0"/>
        </w:rPr>
        <w:t xml:space="preserve">Infinite or countless plurality generated by the partition hypothesis. The multiplication of senses, colors and visions is an unacceptable consequence, not Ficino’s accepted account of perception. References: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877" w:name="latin-record-0636"/>
      <w:bookmarkEnd w:id="877"/>
      <w:r>
        <w:rPr>
          <w:b/>
          <w:i w:val="0"/>
        </w:rPr>
        <w:t>influxus</w:t>
      </w:r>
      <w:r>
        <w:rPr>
          <w:b/>
          <w:i w:val="0"/>
        </w:rPr>
        <w:t>.</w:t>
      </w:r>
      <w:r>
        <w:rPr>
          <w:b w:val="0"/>
          <w:i w:val="0"/>
        </w:rPr>
        <w:t xml:space="preserve"> Printed forms: </w:t>
      </w:r>
      <w:r>
        <w:rPr>
          <w:b w:val="0"/>
          <w:i/>
        </w:rPr>
        <w:t>influxu</w:t>
      </w:r>
      <w:r>
        <w:rPr>
          <w:b w:val="0"/>
          <w:i w:val="0"/>
        </w:rPr>
        <w:t xml:space="preserve">; </w:t>
      </w:r>
      <w:r>
        <w:rPr>
          <w:b w:val="0"/>
          <w:i/>
        </w:rPr>
        <w:t>influxum</w:t>
      </w:r>
      <w:r>
        <w:rPr>
          <w:b w:val="0"/>
          <w:i w:val="0"/>
        </w:rPr>
        <w:t xml:space="preserve">; </w:t>
      </w:r>
      <w:r>
        <w:rPr>
          <w:b w:val="0"/>
          <w:i/>
        </w:rPr>
        <w:t>influxus</w:t>
      </w:r>
      <w:r>
        <w:rPr>
          <w:b w:val="0"/>
          <w:i w:val="0"/>
        </w:rPr>
        <w:t>.</w:t>
      </w:r>
    </w:p>
    <w:p>
      <w:pPr>
        <w:widowControl/>
      </w:pPr>
      <w:r>
        <w:rPr>
          <w:b w:val="0"/>
          <w:i w:val="0"/>
        </w:rPr>
        <w:t xml:space="preserve">Influx, the continuing communication of divine life and being. The objection of withdrawing it is presented and answered; it should not be mistaken for Ficino’s settled conclusion. References: </w:t>
      </w:r>
      <w:hyperlink w:anchor="passage-v-4-2">
        <w:r>
          <w:rPr>
            <w:color w:val="000000"/>
          </w:rPr>
          <w:t xml:space="preserve">V.4.2</w:t>
        </w:r>
      </w:hyperlink>
      <w:r>
        <w:rPr>
          <w:b w:val="0"/>
          <w:i w:val="0"/>
        </w:rPr>
        <w:t xml:space="preserve">, </w:t>
      </w:r>
      <w:hyperlink w:anchor="passage-v-11-2">
        <w:r>
          <w:rPr>
            <w:color w:val="000000"/>
          </w:rPr>
          <w:t xml:space="preserve">V.11.2</w:t>
        </w:r>
      </w:hyperlink>
      <w:r>
        <w:rPr>
          <w:b w:val="0"/>
          <w:i w:val="0"/>
        </w:rPr>
        <w:t xml:space="preserve">, </w:t>
      </w:r>
      <w:hyperlink w:anchor="passage-v-12-12">
        <w:r>
          <w:rPr>
            <w:color w:val="000000"/>
          </w:rPr>
          <w:t xml:space="preserve">V.12.12</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878" w:name="latin-record-0637"/>
      <w:bookmarkEnd w:id="878"/>
      <w:r>
        <w:rPr>
          <w:b/>
          <w:i w:val="0"/>
        </w:rPr>
        <w:t>informis</w:t>
      </w:r>
      <w:r>
        <w:rPr>
          <w:b/>
          <w:i w:val="0"/>
        </w:rPr>
        <w:t>.</w:t>
      </w:r>
      <w:r>
        <w:rPr>
          <w:b w:val="0"/>
          <w:i w:val="0"/>
        </w:rPr>
        <w:t xml:space="preserve"> Printed forms: </w:t>
      </w:r>
      <w:r>
        <w:rPr>
          <w:b w:val="0"/>
          <w:i/>
        </w:rPr>
        <w:t>informe</w:t>
      </w:r>
      <w:r>
        <w:rPr>
          <w:b w:val="0"/>
          <w:i w:val="0"/>
        </w:rPr>
        <w:t xml:space="preserve">; </w:t>
      </w:r>
      <w:r>
        <w:rPr>
          <w:b w:val="0"/>
          <w:i/>
        </w:rPr>
        <w:t>informi</w:t>
      </w:r>
      <w:r>
        <w:rPr>
          <w:b w:val="0"/>
          <w:i w:val="0"/>
        </w:rPr>
        <w:t xml:space="preserve">; </w:t>
      </w:r>
      <w:r>
        <w:rPr>
          <w:b w:val="0"/>
          <w:i/>
        </w:rPr>
        <w:t>informis</w:t>
      </w:r>
      <w:r>
        <w:rPr>
          <w:b w:val="0"/>
          <w:i w:val="0"/>
        </w:rPr>
        <w:t>.</w:t>
      </w:r>
    </w:p>
    <w:p>
      <w:pPr>
        <w:widowControl/>
      </w:pPr>
      <w:r>
        <w:rPr>
          <w:b w:val="0"/>
          <w:i w:val="0"/>
        </w:rPr>
        <w:t xml:space="preserve">Formless, lacking its own determining form rather than merely shapeless to sight. Matter cannot form itself; a superior agent must determine it, and the soul is not drawn from such an unformed material seed. References: </w:t>
      </w:r>
      <w:hyperlink w:anchor="passage-v-4-1">
        <w:r>
          <w:rPr>
            <w:color w:val="000000"/>
          </w:rPr>
          <w:t xml:space="preserve">V.4.1</w:t>
        </w:r>
      </w:hyperlink>
      <w:r>
        <w:rPr>
          <w:b w:val="0"/>
          <w:i w:val="0"/>
        </w:rPr>
        <w:t xml:space="preserve">, </w:t>
      </w:r>
      <w:hyperlink w:anchor="passage-v-12-3">
        <w:r>
          <w:rPr>
            <w:color w:val="000000"/>
          </w:rPr>
          <w:t xml:space="preserve">V.12.3</w:t>
        </w:r>
      </w:hyperlink>
      <w:r>
        <w:rPr>
          <w:b w:val="0"/>
          <w:i w:val="0"/>
        </w:rPr>
        <w:t xml:space="preserve">, </w:t>
      </w:r>
      <w:hyperlink w:anchor="passage-v-13-1">
        <w:r>
          <w:rPr>
            <w:color w:val="000000"/>
          </w:rPr>
          <w:t xml:space="preserve">V.13.1</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879" w:name="latin-record-0638"/>
      <w:bookmarkEnd w:id="879"/>
      <w:r>
        <w:rPr>
          <w:b/>
          <w:i w:val="0"/>
        </w:rPr>
        <w:t>informis materia</w:t>
      </w:r>
      <w:r>
        <w:rPr>
          <w:b/>
          <w:i w:val="0"/>
        </w:rPr>
        <w:t>.</w:t>
      </w:r>
      <w:r>
        <w:rPr>
          <w:b w:val="0"/>
          <w:i w:val="0"/>
        </w:rPr>
        <w:t xml:space="preserve"> Printed forms: </w:t>
      </w:r>
      <w:r>
        <w:rPr>
          <w:b w:val="0"/>
          <w:i/>
        </w:rPr>
        <w:t>informis materia</w:t>
      </w:r>
      <w:r>
        <w:rPr>
          <w:b w:val="0"/>
          <w:i w:val="0"/>
        </w:rPr>
        <w:t>.</w:t>
      </w:r>
    </w:p>
    <w:p>
      <w:pPr>
        <w:widowControl/>
      </w:pPr>
      <w:r>
        <w:rPr>
          <w:b w:val="0"/>
          <w:i w:val="0"/>
        </w:rPr>
        <w:t xml:space="preserve">Matter considered without determining form. It cannot provide life either to another or itself, so even a living element would live through its form. References: </w:t>
      </w:r>
      <w:hyperlink w:anchor="passage-vi-11-1">
        <w:r>
          <w:rPr>
            <w:color w:val="000000"/>
          </w:rPr>
          <w:t xml:space="preserve">VI.11.1</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880" w:name="latin-record-0639"/>
      <w:bookmarkEnd w:id="880"/>
      <w:r>
        <w:rPr>
          <w:b/>
          <w:i w:val="0"/>
        </w:rPr>
        <w:t>infrigescibilis</w:t>
      </w:r>
      <w:r>
        <w:rPr>
          <w:b/>
          <w:i w:val="0"/>
        </w:rPr>
        <w:t>.</w:t>
      </w:r>
      <w:r>
        <w:rPr>
          <w:b w:val="0"/>
          <w:i w:val="0"/>
        </w:rPr>
        <w:t xml:space="preserve"> Printed forms: </w:t>
      </w:r>
      <w:r>
        <w:rPr>
          <w:b w:val="0"/>
          <w:i/>
        </w:rPr>
        <w:t>infrigescibile</w:t>
      </w:r>
      <w:r>
        <w:rPr>
          <w:b w:val="0"/>
          <w:i w:val="0"/>
        </w:rPr>
        <w:t xml:space="preserve">; </w:t>
      </w:r>
      <w:r>
        <w:rPr>
          <w:b w:val="0"/>
          <w:i/>
        </w:rPr>
        <w:t>infrigescibilis</w:t>
      </w:r>
      <w:r>
        <w:rPr>
          <w:b w:val="0"/>
          <w:i w:val="0"/>
        </w:rPr>
        <w:t>.</w:t>
      </w:r>
    </w:p>
    <w:p>
      <w:pPr>
        <w:widowControl/>
      </w:pPr>
      <w:r>
        <w:rPr>
          <w:b w:val="0"/>
          <w:i w:val="0"/>
        </w:rPr>
        <w:t xml:space="preserve">Incapable of becoming cold while remaining what it is. Fire possesses this property yet can perish, so it is not equivalent to indestructibility; Ficino explicitly marks the limit. References: </w:t>
      </w:r>
      <w:hyperlink w:anchor="passage-v-14-5">
        <w:r>
          <w:rPr>
            <w:color w:val="000000"/>
          </w:rPr>
          <w:t xml:space="preserve">V.14.5</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881" w:name="latin-record-0640"/>
      <w:bookmarkEnd w:id="881"/>
      <w:r>
        <w:rPr>
          <w:b/>
          <w:i w:val="0"/>
        </w:rPr>
        <w:t>infundere</w:t>
      </w:r>
      <w:r>
        <w:rPr>
          <w:b/>
          <w:i w:val="0"/>
        </w:rPr>
        <w:t>.</w:t>
      </w:r>
      <w:r>
        <w:rPr>
          <w:b w:val="0"/>
          <w:i w:val="0"/>
        </w:rPr>
        <w:t xml:space="preserve"> Printed forms: </w:t>
      </w:r>
      <w:r>
        <w:rPr>
          <w:b w:val="0"/>
          <w:i/>
        </w:rPr>
        <w:t>infundendo</w:t>
      </w:r>
      <w:r>
        <w:rPr>
          <w:b w:val="0"/>
          <w:i w:val="0"/>
        </w:rPr>
        <w:t xml:space="preserve">; </w:t>
      </w:r>
      <w:r>
        <w:rPr>
          <w:b w:val="0"/>
          <w:i/>
        </w:rPr>
        <w:t>infundendum</w:t>
      </w:r>
      <w:r>
        <w:rPr>
          <w:b w:val="0"/>
          <w:i w:val="0"/>
        </w:rPr>
        <w:t xml:space="preserve">; </w:t>
      </w:r>
      <w:r>
        <w:rPr>
          <w:b w:val="0"/>
          <w:i/>
        </w:rPr>
        <w:t>infundere</w:t>
      </w:r>
      <w:r>
        <w:rPr>
          <w:b w:val="0"/>
          <w:i w:val="0"/>
        </w:rPr>
        <w:t xml:space="preserve">; </w:t>
      </w:r>
      <w:r>
        <w:rPr>
          <w:b w:val="0"/>
          <w:i/>
        </w:rPr>
        <w:t>infundit</w:t>
      </w:r>
      <w:r>
        <w:rPr>
          <w:b w:val="0"/>
          <w:i w:val="0"/>
        </w:rPr>
        <w:t xml:space="preserve">; </w:t>
      </w:r>
      <w:r>
        <w:rPr>
          <w:b w:val="0"/>
          <w:i/>
        </w:rPr>
        <w:t>infundunt</w:t>
      </w:r>
      <w:r>
        <w:rPr>
          <w:b w:val="0"/>
          <w:i w:val="0"/>
        </w:rPr>
        <w:t>.</w:t>
      </w:r>
    </w:p>
    <w:p>
      <w:pPr>
        <w:widowControl/>
      </w:pPr>
      <w:r>
        <w:rPr>
          <w:b w:val="0"/>
          <w:i w:val="0"/>
        </w:rPr>
        <w:t xml:space="preserve">To pour into or communicate. Beneficent power is infused into soul, and life is continually communicated to its essence. References: </w:t>
      </w:r>
      <w:hyperlink w:anchor="passage-v-6-1">
        <w:r>
          <w:rPr>
            <w:color w:val="000000"/>
          </w:rPr>
          <w:t xml:space="preserve">V.6.1</w:t>
        </w:r>
      </w:hyperlink>
      <w:r>
        <w:rPr>
          <w:b w:val="0"/>
          <w:i w:val="0"/>
        </w:rPr>
        <w:t xml:space="preserve">, </w:t>
      </w:r>
      <w:hyperlink w:anchor="passage-v-12-12">
        <w:r>
          <w:rPr>
            <w:color w:val="000000"/>
          </w:rPr>
          <w:t xml:space="preserve">V.12.12</w:t>
        </w:r>
      </w:hyperlink>
      <w:r>
        <w:rPr>
          <w:b w:val="0"/>
          <w:i w:val="0"/>
        </w:rPr>
        <w:t xml:space="preserve">, </w:t>
      </w:r>
      <w:hyperlink w:anchor="passage-v-12-13">
        <w:r>
          <w:rPr>
            <w:color w:val="000000"/>
          </w:rPr>
          <w:t xml:space="preserve">V.12.13</w:t>
        </w:r>
      </w:hyperlink>
      <w:r>
        <w:rPr>
          <w:b w:val="0"/>
          <w:i w:val="0"/>
        </w:rPr>
        <w:t xml:space="preserve">. See </w:t>
      </w:r>
      <w:hyperlink w:anchor="fountains-drawing-and-infusion">
        <w:r>
          <w:rPr>
            <w:color w:val="000000"/>
          </w:rPr>
          <w:t xml:space="preserve">Fountains, drawing and infusion</w:t>
        </w:r>
      </w:hyperlink>
      <w:r>
        <w:rPr>
          <w:b w:val="0"/>
          <w:i w:val="0"/>
        </w:rPr>
        <w:t>.</w:t>
      </w:r>
    </w:p>
    <w:p>
      <w:pPr>
        <w:keepNext/>
        <w:widowControl/>
      </w:pPr>
      <w:bookmarkStart w:id="882" w:name="latin-record-0641"/>
      <w:bookmarkEnd w:id="882"/>
      <w:r>
        <w:rPr>
          <w:b/>
          <w:i w:val="0"/>
        </w:rPr>
        <w:t>ingenium</w:t>
      </w:r>
      <w:r>
        <w:rPr>
          <w:b/>
          <w:i w:val="0"/>
        </w:rPr>
        <w:t>.</w:t>
      </w:r>
      <w:r>
        <w:rPr>
          <w:b w:val="0"/>
          <w:i w:val="0"/>
        </w:rPr>
        <w:t xml:space="preserve"> Printed forms: </w:t>
      </w:r>
      <w:r>
        <w:rPr>
          <w:b w:val="0"/>
          <w:i/>
        </w:rPr>
        <w:t>ingenii</w:t>
      </w:r>
      <w:r>
        <w:rPr>
          <w:b w:val="0"/>
          <w:i w:val="0"/>
        </w:rPr>
        <w:t xml:space="preserve">; </w:t>
      </w:r>
      <w:r>
        <w:rPr>
          <w:b w:val="0"/>
          <w:i/>
        </w:rPr>
        <w:t>ingenio</w:t>
      </w:r>
      <w:r>
        <w:rPr>
          <w:b w:val="0"/>
          <w:i w:val="0"/>
        </w:rPr>
        <w:t xml:space="preserve">; </w:t>
      </w:r>
      <w:r>
        <w:rPr>
          <w:b w:val="0"/>
          <w:i/>
        </w:rPr>
        <w:t>ingenium</w:t>
      </w:r>
      <w:r>
        <w:rPr>
          <w:b w:val="0"/>
          <w:i w:val="0"/>
        </w:rPr>
        <w:t>.</w:t>
      </w:r>
    </w:p>
    <w:p>
      <w:pPr>
        <w:widowControl/>
      </w:pPr>
      <w:r>
        <w:rPr>
          <w:b w:val="0"/>
          <w:i w:val="0"/>
        </w:rPr>
        <w:t xml:space="preserve">Native capacity, mental acuteness or resourcefulness. Food and wine would sharpen it under the rejected material hypothesis; disciplined ingenuity enables rapid inferences among scientific propositions.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883" w:name="latin-record-0642"/>
      <w:bookmarkEnd w:id="883"/>
      <w:r>
        <w:rPr>
          <w:b/>
          <w:i w:val="0"/>
        </w:rPr>
        <w:t>innotescere; circumscribere</w:t>
      </w:r>
      <w:r>
        <w:rPr>
          <w:b/>
          <w:i w:val="0"/>
        </w:rPr>
        <w:t>.</w:t>
      </w:r>
      <w:r>
        <w:rPr>
          <w:b w:val="0"/>
          <w:i w:val="0"/>
        </w:rPr>
        <w:t xml:space="preserve"> Printed forms: </w:t>
      </w:r>
      <w:r>
        <w:rPr>
          <w:b w:val="0"/>
          <w:i/>
        </w:rPr>
        <w:t>circumscribitur</w:t>
      </w:r>
      <w:r>
        <w:rPr>
          <w:b w:val="0"/>
          <w:i w:val="0"/>
        </w:rPr>
        <w:t xml:space="preserve">; </w:t>
      </w:r>
      <w:r>
        <w:rPr>
          <w:b w:val="0"/>
          <w:i/>
        </w:rPr>
        <w:t>innotescere</w:t>
      </w:r>
      <w:r>
        <w:rPr>
          <w:b w:val="0"/>
          <w:i w:val="0"/>
        </w:rPr>
        <w:t>.</w:t>
      </w:r>
    </w:p>
    <w:p>
      <w:pPr>
        <w:widowControl/>
      </w:pPr>
      <w:r>
        <w:rPr>
          <w:b w:val="0"/>
          <w:i w:val="0"/>
        </w:rPr>
        <w:t xml:space="preserve">To become known to sense and be enclosed by a figure or boundary. The short arguments contrast body’s sensible bounded character with soul’s absence of such a bodily profile. References: </w:t>
      </w:r>
      <w:hyperlink w:anchor="passage-vi-6-4">
        <w:r>
          <w:rPr>
            <w:color w:val="000000"/>
          </w:rPr>
          <w:t xml:space="preserve">VI.6.4</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884" w:name="latin-record-0643"/>
      <w:bookmarkEnd w:id="884"/>
      <w:r>
        <w:rPr>
          <w:b/>
          <w:i w:val="0"/>
        </w:rPr>
        <w:t>innumerabilis</w:t>
      </w:r>
      <w:r>
        <w:rPr>
          <w:b/>
          <w:i w:val="0"/>
        </w:rPr>
        <w:t>.</w:t>
      </w:r>
      <w:r>
        <w:rPr>
          <w:b w:val="0"/>
          <w:i w:val="0"/>
        </w:rPr>
        <w:t xml:space="preserve"> Printed forms: </w:t>
      </w:r>
      <w:r>
        <w:rPr>
          <w:b w:val="0"/>
          <w:i/>
        </w:rPr>
        <w:t>Innumerabiles</w:t>
      </w:r>
      <w:r>
        <w:rPr>
          <w:b w:val="0"/>
          <w:i w:val="0"/>
        </w:rPr>
        <w:t xml:space="preserve">; </w:t>
      </w:r>
      <w:r>
        <w:rPr>
          <w:b w:val="0"/>
          <w:i/>
        </w:rPr>
        <w:t>innumerabiles</w:t>
      </w:r>
      <w:r>
        <w:rPr>
          <w:b w:val="0"/>
          <w:i w:val="0"/>
        </w:rPr>
        <w:t xml:space="preserve">; </w:t>
      </w:r>
      <w:r>
        <w:rPr>
          <w:b w:val="0"/>
          <w:i/>
        </w:rPr>
        <w:t>innumerabilia</w:t>
      </w:r>
      <w:r>
        <w:rPr>
          <w:b w:val="0"/>
          <w:i w:val="0"/>
        </w:rPr>
        <w:t xml:space="preserve">; </w:t>
      </w:r>
      <w:r>
        <w:rPr>
          <w:b w:val="0"/>
          <w:i/>
        </w:rPr>
        <w:t>innumerabilibus</w:t>
      </w:r>
      <w:r>
        <w:rPr>
          <w:b w:val="0"/>
          <w:i w:val="0"/>
        </w:rPr>
        <w:t xml:space="preserve">; </w:t>
      </w:r>
      <w:r>
        <w:rPr>
          <w:b w:val="0"/>
          <w:i/>
        </w:rPr>
        <w:t>innumerabilis</w:t>
      </w:r>
      <w:r>
        <w:rPr>
          <w:b w:val="0"/>
          <w:i w:val="0"/>
        </w:rPr>
        <w:t xml:space="preserve">; </w:t>
      </w:r>
      <w:r>
        <w:rPr>
          <w:b w:val="0"/>
          <w:i/>
        </w:rPr>
        <w:t>innumerabiliter</w:t>
      </w:r>
      <w:r>
        <w:rPr>
          <w:b w:val="0"/>
          <w:i w:val="0"/>
        </w:rPr>
        <w:t xml:space="preserve">; </w:t>
      </w:r>
      <w:r>
        <w:rPr>
          <w:b w:val="0"/>
          <w:i/>
        </w:rPr>
        <w:t>innumere</w:t>
      </w:r>
      <w:r>
        <w:rPr>
          <w:b w:val="0"/>
          <w:i w:val="0"/>
        </w:rPr>
        <w:t>.</w:t>
      </w:r>
    </w:p>
    <w:p>
      <w:pPr>
        <w:widowControl/>
      </w:pPr>
      <w:r>
        <w:rPr>
          <w:b w:val="0"/>
          <w:i w:val="0"/>
        </w:rPr>
        <w:t xml:space="preserve">Countless or indefinitely many; often emphasizing a range rather than a counted completed total. It describes the many individuals under a universal and the excessive repetitions generated by the bodily cognition hypothesis. References: </w:t>
      </w:r>
      <w:hyperlink w:anchor="passage-viii-1-2">
        <w:r>
          <w:rPr>
            <w:color w:val="000000"/>
          </w:rPr>
          <w:t xml:space="preserve">VIII.1.2</w:t>
        </w:r>
      </w:hyperlink>
      <w:r>
        <w:rPr>
          <w:b w:val="0"/>
          <w:i w:val="0"/>
        </w:rPr>
        <w:t xml:space="preserve">, </w:t>
      </w:r>
      <w:hyperlink w:anchor="passage-viii-4-4">
        <w:r>
          <w:rPr>
            <w:color w:val="000000"/>
          </w:rPr>
          <w:t xml:space="preserve">VIII.4.4</w:t>
        </w:r>
      </w:hyperlink>
      <w:r>
        <w:rPr>
          <w:b w:val="0"/>
          <w:i w:val="0"/>
        </w:rPr>
        <w:t xml:space="preserve">, </w:t>
      </w:r>
      <w:hyperlink w:anchor="passage-viii-5-1">
        <w:r>
          <w:rPr>
            <w:color w:val="000000"/>
          </w:rPr>
          <w:t xml:space="preserve">VIII.5.1</w:t>
        </w:r>
      </w:hyperlink>
      <w:r>
        <w:rPr>
          <w:b w:val="0"/>
          <w:i w:val="0"/>
        </w:rPr>
        <w:t xml:space="preserve">, </w:t>
      </w:r>
      <w:hyperlink w:anchor="passage-viii-15-1">
        <w:r>
          <w:rPr>
            <w:color w:val="000000"/>
          </w:rPr>
          <w:t xml:space="preserve">VIII.15.1</w:t>
        </w:r>
      </w:hyperlink>
      <w:r>
        <w:rPr>
          <w:b w:val="0"/>
          <w:i w:val="0"/>
        </w:rPr>
        <w:t xml:space="preserve">, </w:t>
      </w:r>
      <w:hyperlink w:anchor="passage-viii-16-2">
        <w:r>
          <w:rPr>
            <w:color w:val="000000"/>
          </w:rPr>
          <w:t xml:space="preserve">VIII.16.2</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885" w:name="latin-record-0644"/>
      <w:bookmarkEnd w:id="885"/>
      <w:r>
        <w:rPr>
          <w:b/>
          <w:i w:val="0"/>
        </w:rPr>
        <w:t>innumeralis unitas</w:t>
      </w:r>
      <w:r>
        <w:rPr>
          <w:b/>
          <w:i w:val="0"/>
        </w:rPr>
        <w:t>.</w:t>
      </w:r>
      <w:r>
        <w:rPr>
          <w:b w:val="0"/>
          <w:i w:val="0"/>
        </w:rPr>
        <w:t xml:space="preserve"> Printed forms: </w:t>
      </w:r>
      <w:r>
        <w:rPr>
          <w:b w:val="0"/>
          <w:i/>
        </w:rPr>
        <w:t>innumeralis unitas animalis</w:t>
      </w:r>
      <w:r>
        <w:rPr>
          <w:b w:val="0"/>
          <w:i w:val="0"/>
        </w:rPr>
        <w:t>.</w:t>
      </w:r>
    </w:p>
    <w:p>
      <w:pPr>
        <w:widowControl/>
      </w:pPr>
      <w:r>
        <w:rPr>
          <w:b w:val="0"/>
          <w:i w:val="0"/>
        </w:rPr>
        <w:t xml:space="preserve">The animal’s unity beyond a succession of numbered material constituents. The reading is innumeralis, not the later innumerabilis; it concerns stable organic identity rather than an actual infinity. References: </w:t>
      </w:r>
      <w:hyperlink w:anchor="passage-vi-13-8">
        <w:r>
          <w:rPr>
            <w:color w:val="000000"/>
          </w:rPr>
          <w:t xml:space="preserve">VI.13.8</w:t>
        </w:r>
      </w:hyperlink>
      <w:r>
        <w:rPr>
          <w:b w:val="0"/>
          <w:i w:val="0"/>
        </w:rPr>
        <w:t xml:space="preserve">. See </w:t>
      </w:r>
      <w:hyperlink w:anchor="temperament-flux-and-stable-ruler">
        <w:r>
          <w:rPr>
            <w:color w:val="000000"/>
          </w:rPr>
          <w:t xml:space="preserve">Temperament, flux and the stable ruler</w:t>
        </w:r>
      </w:hyperlink>
      <w:r>
        <w:rPr>
          <w:b w:val="0"/>
          <w:i w:val="0"/>
        </w:rPr>
        <w:t>.</w:t>
      </w:r>
    </w:p>
    <w:p>
      <w:pPr>
        <w:keepNext/>
        <w:widowControl/>
      </w:pPr>
      <w:bookmarkStart w:id="886" w:name="latin-record-0645"/>
      <w:bookmarkEnd w:id="886"/>
      <w:r>
        <w:rPr>
          <w:b/>
          <w:i w:val="0"/>
        </w:rPr>
        <w:t>inquam</w:t>
      </w:r>
      <w:r>
        <w:rPr>
          <w:b/>
          <w:i w:val="0"/>
        </w:rPr>
        <w:t>.</w:t>
      </w:r>
      <w:r>
        <w:rPr>
          <w:b w:val="0"/>
          <w:i w:val="0"/>
        </w:rPr>
        <w:t xml:space="preserve"> Printed forms: </w:t>
      </w:r>
      <w:r>
        <w:rPr>
          <w:b w:val="0"/>
          <w:i/>
        </w:rPr>
        <w:t>inquam</w:t>
      </w:r>
      <w:r>
        <w:rPr>
          <w:b w:val="0"/>
          <w:i w:val="0"/>
        </w:rPr>
        <w:t xml:space="preserve">; </w:t>
      </w:r>
      <w:r>
        <w:rPr>
          <w:b w:val="0"/>
          <w:i/>
        </w:rPr>
        <w:t>inquit</w:t>
      </w:r>
      <w:r>
        <w:rPr>
          <w:b w:val="0"/>
          <w:i w:val="0"/>
        </w:rPr>
        <w:t>.</w:t>
      </w:r>
    </w:p>
    <w:p>
      <w:pPr>
        <w:widowControl/>
      </w:pPr>
      <w:r>
        <w:rPr>
          <w:b w:val="0"/>
          <w:i w:val="0"/>
        </w:rPr>
        <w:t xml:space="preserve">I say; he or she says, marking clarification or reported speech. Cavalcanti’s speech and Ficino’s emphatic restat/formam clarifications must be attributed to their proper voices rather than flattened into one undifferentiated assertion. References: </w:t>
      </w:r>
      <w:hyperlink w:anchor="passage-vi-1-1">
        <w:r>
          <w:rPr>
            <w:color w:val="000000"/>
          </w:rPr>
          <w:t xml:space="preserve">VI.1.1</w:t>
        </w:r>
      </w:hyperlink>
      <w:r>
        <w:rPr>
          <w:b w:val="0"/>
          <w:i w:val="0"/>
        </w:rPr>
        <w:t xml:space="preserve">, </w:t>
      </w:r>
      <w:hyperlink w:anchor="passage-vi-4-5">
        <w:r>
          <w:rPr>
            <w:color w:val="000000"/>
          </w:rPr>
          <w:t xml:space="preserve">VI.4.5</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887" w:name="latin-record-0646"/>
      <w:bookmarkEnd w:id="887"/>
      <w:r>
        <w:rPr>
          <w:b/>
          <w:i w:val="0"/>
        </w:rPr>
        <w:t>inquinare</w:t>
      </w:r>
      <w:r>
        <w:rPr>
          <w:b/>
          <w:i w:val="0"/>
        </w:rPr>
        <w:t>.</w:t>
      </w:r>
      <w:r>
        <w:rPr>
          <w:b w:val="0"/>
          <w:i w:val="0"/>
        </w:rPr>
        <w:t xml:space="preserve"> Printed forms: </w:t>
      </w:r>
      <w:r>
        <w:rPr>
          <w:b w:val="0"/>
          <w:i/>
        </w:rPr>
        <w:t>inquinabitur</w:t>
      </w:r>
      <w:r>
        <w:rPr>
          <w:b w:val="0"/>
          <w:i w:val="0"/>
        </w:rPr>
        <w:t xml:space="preserve">; </w:t>
      </w:r>
      <w:r>
        <w:rPr>
          <w:b w:val="0"/>
          <w:i/>
        </w:rPr>
        <w:t>inquinat</w:t>
      </w:r>
      <w:r>
        <w:rPr>
          <w:b w:val="0"/>
          <w:i w:val="0"/>
        </w:rPr>
        <w:t>.</w:t>
      </w:r>
    </w:p>
    <w:p>
      <w:pPr>
        <w:widowControl/>
      </w:pPr>
      <w:r>
        <w:rPr>
          <w:b w:val="0"/>
          <w:i w:val="0"/>
        </w:rPr>
        <w:t xml:space="preserve">To stain or defile by receiving something alien. A contrary quality may stain matter-bound forms, but cannot enter and corrupt the separate rational essence. References: </w:t>
      </w:r>
      <w:hyperlink w:anchor="passage-v-5-9">
        <w:r>
          <w:rPr>
            <w:color w:val="000000"/>
          </w:rPr>
          <w:t xml:space="preserve">V.5.9</w:t>
        </w:r>
      </w:hyperlink>
      <w:r>
        <w:rPr>
          <w:b w:val="0"/>
          <w:i w:val="0"/>
        </w:rPr>
        <w:t xml:space="preserve">, </w:t>
      </w:r>
      <w:hyperlink w:anchor="passage-v-14-8">
        <w:r>
          <w:rPr>
            <w:color w:val="000000"/>
          </w:rPr>
          <w:t xml:space="preserve">V.14.8</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888" w:name="latin-record-0647"/>
      <w:bookmarkEnd w:id="888"/>
      <w:r>
        <w:rPr>
          <w:b/>
          <w:i w:val="0"/>
        </w:rPr>
        <w:t>inscitia</w:t>
      </w:r>
      <w:r>
        <w:rPr>
          <w:b/>
          <w:i w:val="0"/>
        </w:rPr>
        <w:t>.</w:t>
      </w:r>
      <w:r>
        <w:rPr>
          <w:b w:val="0"/>
          <w:i w:val="0"/>
        </w:rPr>
        <w:t xml:space="preserve"> Printed forms: </w:t>
      </w:r>
      <w:r>
        <w:rPr>
          <w:b w:val="0"/>
          <w:i/>
        </w:rPr>
        <w:t>inscitiis</w:t>
      </w:r>
      <w:r>
        <w:rPr>
          <w:b w:val="0"/>
          <w:i w:val="0"/>
        </w:rPr>
        <w:t>.</w:t>
      </w:r>
    </w:p>
    <w:p>
      <w:pPr>
        <w:widowControl/>
      </w:pPr>
      <w:r>
        <w:rPr>
          <w:b w:val="0"/>
          <w:i w:val="0"/>
        </w:rPr>
        <w:t xml:space="preserve">Ignorance, used in the plural for alleged nonknowing constituents. A proposed composition of knowledge from parts that are not knowledge is compared to producing whiteness from figures. References: </w:t>
      </w:r>
      <w:hyperlink w:anchor="passage-viii-4-8">
        <w:r>
          <w:rPr>
            <w:color w:val="000000"/>
          </w:rPr>
          <w:t xml:space="preserve">VIII.4.8</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889" w:name="latin-record-0648"/>
      <w:bookmarkEnd w:id="889"/>
      <w:r>
        <w:rPr>
          <w:b/>
          <w:i w:val="0"/>
        </w:rPr>
        <w:t>inserere / servare / revocare</w:t>
      </w:r>
      <w:r>
        <w:rPr>
          <w:b/>
          <w:i w:val="0"/>
        </w:rPr>
        <w:t>.</w:t>
      </w:r>
      <w:r>
        <w:rPr>
          <w:b w:val="0"/>
          <w:i w:val="0"/>
        </w:rPr>
        <w:t xml:space="preserve"> Printed forms: </w:t>
      </w:r>
      <w:r>
        <w:rPr>
          <w:b w:val="0"/>
          <w:i/>
        </w:rPr>
        <w:t>inserit</w:t>
      </w:r>
      <w:r>
        <w:rPr>
          <w:b w:val="0"/>
          <w:i w:val="0"/>
        </w:rPr>
        <w:t xml:space="preserve">; </w:t>
      </w:r>
      <w:r>
        <w:rPr>
          <w:b w:val="0"/>
          <w:i/>
        </w:rPr>
        <w:t>pendentibus</w:t>
      </w:r>
      <w:r>
        <w:rPr>
          <w:b w:val="0"/>
          <w:i w:val="0"/>
        </w:rPr>
        <w:t xml:space="preserve">; </w:t>
      </w:r>
      <w:r>
        <w:rPr>
          <w:b w:val="0"/>
          <w:i/>
        </w:rPr>
        <w:t>revocat</w:t>
      </w:r>
      <w:r>
        <w:rPr>
          <w:b w:val="0"/>
          <w:i w:val="0"/>
        </w:rPr>
        <w:t xml:space="preserve">; </w:t>
      </w:r>
      <w:r>
        <w:rPr>
          <w:b w:val="0"/>
          <w:i/>
        </w:rPr>
        <w:t>servatque</w:t>
      </w:r>
      <w:r>
        <w:rPr>
          <w:b w:val="0"/>
          <w:i w:val="0"/>
        </w:rPr>
        <w:t>.</w:t>
      </w:r>
    </w:p>
    <w:p>
      <w:pPr>
        <w:widowControl/>
      </w:pPr>
      <w:r>
        <w:rPr>
          <w:b w:val="0"/>
          <w:i w:val="0"/>
        </w:rPr>
        <w:t xml:space="preserve">Implanting, preserving, recalling and depending upon a source. God’s continuing action supplies qualified infinity to dependent minds and souls; their formal self-preservation does not abolish higher causality. References: </w:t>
      </w:r>
      <w:hyperlink w:anchor="passage-viii-16-4">
        <w:r>
          <w:rPr>
            <w:color w:val="000000"/>
          </w:rPr>
          <w:t xml:space="preserve">VIII.16.4</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890" w:name="latin-record-0649"/>
      <w:bookmarkEnd w:id="890"/>
      <w:r>
        <w:rPr>
          <w:b/>
          <w:i w:val="0"/>
        </w:rPr>
        <w:t>insidiae materiae</w:t>
      </w:r>
      <w:r>
        <w:rPr>
          <w:b/>
          <w:i w:val="0"/>
        </w:rPr>
        <w:t>.</w:t>
      </w:r>
      <w:r>
        <w:rPr>
          <w:b w:val="0"/>
          <w:i w:val="0"/>
        </w:rPr>
        <w:t xml:space="preserve"> Printed forms: </w:t>
      </w:r>
      <w:r>
        <w:rPr>
          <w:b w:val="0"/>
          <w:i/>
        </w:rPr>
        <w:t>materiae insidiis</w:t>
      </w:r>
      <w:r>
        <w:rPr>
          <w:b w:val="0"/>
          <w:i w:val="0"/>
        </w:rPr>
        <w:t>.</w:t>
      </w:r>
    </w:p>
    <w:p>
      <w:pPr>
        <w:widowControl/>
      </w:pPr>
      <w:r>
        <w:rPr>
          <w:b w:val="0"/>
          <w:i w:val="0"/>
        </w:rPr>
        <w:t xml:space="preserve">The snares of matter, a figurative account of the source of corruption. Ficino argues that a mind not materially bound escapes the dependency through which such corruption arises. References: </w:t>
      </w:r>
      <w:hyperlink w:anchor="passage-viii-8-2">
        <w:r>
          <w:rPr>
            <w:color w:val="000000"/>
          </w:rPr>
          <w:t xml:space="preserve">VIII.8.2</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891" w:name="latin-record-0650"/>
      <w:bookmarkEnd w:id="891"/>
      <w:r>
        <w:rPr>
          <w:b/>
          <w:i w:val="0"/>
        </w:rPr>
        <w:t>insinuare; transire</w:t>
      </w:r>
      <w:r>
        <w:rPr>
          <w:b/>
          <w:i w:val="0"/>
        </w:rPr>
        <w:t>.</w:t>
      </w:r>
      <w:r>
        <w:rPr>
          <w:b w:val="0"/>
          <w:i w:val="0"/>
        </w:rPr>
        <w:t xml:space="preserve"> Printed forms: </w:t>
      </w:r>
      <w:r>
        <w:rPr>
          <w:b w:val="0"/>
          <w:i/>
        </w:rPr>
        <w:t>in subiectum novum de vetere subiecto transire</w:t>
      </w:r>
      <w:r>
        <w:rPr>
          <w:b w:val="0"/>
          <w:i w:val="0"/>
        </w:rPr>
        <w:t xml:space="preserve">; </w:t>
      </w:r>
      <w:r>
        <w:rPr>
          <w:b w:val="0"/>
          <w:i/>
        </w:rPr>
        <w:t>insinuare</w:t>
      </w:r>
      <w:r>
        <w:rPr>
          <w:b w:val="0"/>
          <w:i w:val="0"/>
        </w:rPr>
        <w:t>.</w:t>
      </w:r>
    </w:p>
    <w:p>
      <w:pPr>
        <w:widowControl/>
      </w:pPr>
      <w:r>
        <w:rPr>
          <w:b w:val="0"/>
          <w:i w:val="0"/>
        </w:rPr>
        <w:t xml:space="preserve">To insert or pass from an old subject into a new one. The first rejected strategy makes the same image migrate numerically, contrary to the rule about qualities and their subjects. References: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892" w:name="latin-record-0651"/>
      <w:bookmarkEnd w:id="892"/>
      <w:r>
        <w:rPr>
          <w:b/>
          <w:i w:val="0"/>
        </w:rPr>
        <w:t>inspirare / flagrare / aestus</w:t>
      </w:r>
      <w:r>
        <w:rPr>
          <w:b/>
          <w:i w:val="0"/>
        </w:rPr>
        <w:t>.</w:t>
      </w:r>
      <w:r>
        <w:rPr>
          <w:b w:val="0"/>
          <w:i w:val="0"/>
        </w:rPr>
        <w:t xml:space="preserve"> Printed forms: </w:t>
      </w:r>
      <w:r>
        <w:rPr>
          <w:b w:val="0"/>
          <w:i/>
        </w:rPr>
        <w:t>aestus</w:t>
      </w:r>
      <w:r>
        <w:rPr>
          <w:b w:val="0"/>
          <w:i w:val="0"/>
        </w:rPr>
        <w:t xml:space="preserve">; </w:t>
      </w:r>
      <w:r>
        <w:rPr>
          <w:b w:val="0"/>
          <w:i/>
        </w:rPr>
        <w:t>flagrantia</w:t>
      </w:r>
      <w:r>
        <w:rPr>
          <w:b w:val="0"/>
          <w:i w:val="0"/>
        </w:rPr>
        <w:t xml:space="preserve">; </w:t>
      </w:r>
      <w:r>
        <w:rPr>
          <w:b w:val="0"/>
          <w:i/>
        </w:rPr>
        <w:t>flagrat</w:t>
      </w:r>
      <w:r>
        <w:rPr>
          <w:b w:val="0"/>
          <w:i w:val="0"/>
        </w:rPr>
        <w:t xml:space="preserve">; </w:t>
      </w:r>
      <w:r>
        <w:rPr>
          <w:b w:val="0"/>
          <w:i/>
        </w:rPr>
        <w:t>inspirando</w:t>
      </w:r>
      <w:r>
        <w:rPr>
          <w:b w:val="0"/>
          <w:i w:val="0"/>
        </w:rPr>
        <w:t>.</w:t>
      </w:r>
    </w:p>
    <w:p>
      <w:pPr>
        <w:widowControl/>
      </w:pPr>
      <w:r>
        <w:rPr>
          <w:b w:val="0"/>
          <w:i w:val="0"/>
        </w:rPr>
        <w:t xml:space="preserve">Blowing upon a fire, bursting into flame and its heat. Repeated preparation brings appetite to the sufficient rational ardour that Ficino calls virtue, without gradual bodily partitions of the final act. References: </w:t>
      </w:r>
      <w:hyperlink w:anchor="passage-viii-3-3">
        <w:r>
          <w:rPr>
            <w:color w:val="000000"/>
          </w:rPr>
          <w:t xml:space="preserve">VIII.3.3</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893" w:name="latin-record-0652"/>
      <w:bookmarkEnd w:id="893"/>
      <w:r>
        <w:rPr>
          <w:b/>
          <w:i w:val="0"/>
        </w:rPr>
        <w:t>instinctus</w:t>
      </w:r>
      <w:r>
        <w:rPr>
          <w:b/>
          <w:i w:val="0"/>
        </w:rPr>
        <w:t>.</w:t>
      </w:r>
      <w:r>
        <w:rPr>
          <w:b w:val="0"/>
          <w:i w:val="0"/>
        </w:rPr>
        <w:t xml:space="preserve"> Printed forms: </w:t>
      </w:r>
      <w:r>
        <w:rPr>
          <w:b w:val="0"/>
          <w:i/>
        </w:rPr>
        <w:t>instinctu</w:t>
      </w:r>
      <w:r>
        <w:rPr>
          <w:b w:val="0"/>
          <w:i w:val="0"/>
        </w:rPr>
        <w:t>.</w:t>
      </w:r>
    </w:p>
    <w:p>
      <w:pPr>
        <w:widowControl/>
      </w:pPr>
      <w:r>
        <w:rPr>
          <w:b w:val="0"/>
          <w:i w:val="0"/>
        </w:rPr>
        <w:t xml:space="preserve">Natural prompting, not a modern technical biological reflex. It accompanies the perpetual effort by which things preserve themselves as far as possible. References: </w:t>
      </w:r>
      <w:hyperlink w:anchor="passage-v-8-3">
        <w:r>
          <w:rPr>
            <w:color w:val="000000"/>
          </w:rPr>
          <w:t xml:space="preserve">V.8.3</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894" w:name="latin-record-0653"/>
      <w:bookmarkEnd w:id="894"/>
      <w:r>
        <w:rPr>
          <w:b/>
          <w:i w:val="0"/>
        </w:rPr>
        <w:t>instinctus; nixus</w:t>
      </w:r>
      <w:r>
        <w:rPr>
          <w:b/>
          <w:i w:val="0"/>
        </w:rPr>
        <w:t>.</w:t>
      </w:r>
      <w:r>
        <w:rPr>
          <w:b w:val="0"/>
          <w:i w:val="0"/>
        </w:rPr>
        <w:t xml:space="preserve"> Printed forms: </w:t>
      </w:r>
      <w:r>
        <w:rPr>
          <w:b w:val="0"/>
          <w:i/>
        </w:rPr>
        <w:t>instinctus</w:t>
      </w:r>
      <w:r>
        <w:rPr>
          <w:b w:val="0"/>
          <w:i w:val="0"/>
        </w:rPr>
        <w:t xml:space="preserve">; </w:t>
      </w:r>
      <w:r>
        <w:rPr>
          <w:b w:val="0"/>
          <w:i/>
        </w:rPr>
        <w:t>nixus</w:t>
      </w:r>
      <w:r>
        <w:rPr>
          <w:b w:val="0"/>
          <w:i w:val="0"/>
        </w:rPr>
        <w:t>.</w:t>
      </w:r>
    </w:p>
    <w:p>
      <w:pPr>
        <w:widowControl/>
      </w:pPr>
      <w:r>
        <w:rPr>
          <w:b w:val="0"/>
          <w:i w:val="0"/>
        </w:rPr>
        <w:t xml:space="preserve">Natural impulse and striving. These tend to preservation rather than nonbeing as their own proper end; they need not be conscious choices. References: </w:t>
      </w:r>
      <w:hyperlink w:anchor="passage-vi-12-14">
        <w:r>
          <w:rPr>
            <w:color w:val="000000"/>
          </w:rPr>
          <w:t xml:space="preserve">VI.12.14</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895" w:name="latin-record-0654"/>
      <w:bookmarkEnd w:id="895"/>
      <w:r>
        <w:rPr>
          <w:b/>
          <w:i w:val="0"/>
        </w:rPr>
        <w:t>instrumentum</w:t>
      </w:r>
      <w:r>
        <w:rPr>
          <w:b/>
          <w:i w:val="0"/>
        </w:rPr>
        <w:t>.</w:t>
      </w:r>
      <w:r>
        <w:rPr>
          <w:b w:val="0"/>
          <w:i w:val="0"/>
        </w:rPr>
        <w:t xml:space="preserve"> Printed forms: </w:t>
      </w:r>
      <w:r>
        <w:rPr>
          <w:b w:val="0"/>
          <w:i/>
        </w:rPr>
        <w:t>instrumenta</w:t>
      </w:r>
      <w:r>
        <w:rPr>
          <w:b w:val="0"/>
          <w:i w:val="0"/>
        </w:rPr>
        <w:t xml:space="preserve">; </w:t>
      </w:r>
      <w:r>
        <w:rPr>
          <w:b w:val="0"/>
          <w:i/>
        </w:rPr>
        <w:t>instrumentis</w:t>
      </w:r>
      <w:r>
        <w:rPr>
          <w:b w:val="0"/>
          <w:i w:val="0"/>
        </w:rPr>
        <w:t xml:space="preserve">; </w:t>
      </w:r>
      <w:r>
        <w:rPr>
          <w:b w:val="0"/>
          <w:i/>
        </w:rPr>
        <w:t>instrumentum</w:t>
      </w:r>
      <w:r>
        <w:rPr>
          <w:b w:val="0"/>
          <w:i w:val="0"/>
        </w:rPr>
        <w:t>.</w:t>
      </w:r>
    </w:p>
    <w:p>
      <w:pPr>
        <w:widowControl/>
      </w:pPr>
      <w:r>
        <w:rPr>
          <w:b w:val="0"/>
          <w:i w:val="0"/>
        </w:rPr>
        <w:t xml:space="preserve">An instrument carrying a principal agent’s action to a recipient. Bodily qualities serve soul instrumentally, but creation is said to lack the subject, motion and time required for instrumental action. References: </w:t>
      </w:r>
      <w:hyperlink w:anchor="passage-v-4-10">
        <w:r>
          <w:rPr>
            <w:color w:val="000000"/>
          </w:rPr>
          <w:t xml:space="preserve">V.4.10</w:t>
        </w:r>
      </w:hyperlink>
      <w:r>
        <w:rPr>
          <w:b w:val="0"/>
          <w:i w:val="0"/>
        </w:rPr>
        <w:t xml:space="preserve">, </w:t>
      </w:r>
      <w:hyperlink w:anchor="passage-v-13-14">
        <w:r>
          <w:rPr>
            <w:color w:val="000000"/>
          </w:rPr>
          <w:t xml:space="preserve">V.13.14</w:t>
        </w:r>
      </w:hyperlink>
      <w:r>
        <w:rPr>
          <w:b w:val="0"/>
          <w:i w:val="0"/>
        </w:rPr>
        <w:t xml:space="preserve">, </w:t>
      </w:r>
      <w:hyperlink w:anchor="passage-v-14-8">
        <w:r>
          <w:rPr>
            <w:color w:val="000000"/>
          </w:rPr>
          <w:t xml:space="preserve">V.14.8</w:t>
        </w:r>
      </w:hyperlink>
      <w:r>
        <w:rPr>
          <w:b w:val="0"/>
          <w:i w:val="0"/>
        </w:rPr>
        <w:t xml:space="preserve">. See </w:t>
      </w:r>
      <w:hyperlink w:anchor="instrument-and-creative-mediation">
        <w:r>
          <w:rPr>
            <w:color w:val="000000"/>
          </w:rPr>
          <w:t xml:space="preserve">Instrument and creative mediation</w:t>
        </w:r>
      </w:hyperlink>
      <w:r>
        <w:rPr>
          <w:b w:val="0"/>
          <w:i w:val="0"/>
        </w:rPr>
        <w:t>.</w:t>
      </w:r>
    </w:p>
    <w:p>
      <w:pPr>
        <w:widowControl/>
      </w:pPr>
      <w:r>
        <w:rPr>
          <w:b w:val="0"/>
          <w:i w:val="0"/>
        </w:rPr>
        <w:t xml:space="preserve">An organ or instrument fitted to a power’s activity. External senses, the bodily medium and nutritive heat are instruments in different contexts; none is simply the source of its own ordered use. References: </w:t>
      </w:r>
      <w:hyperlink w:anchor="passage-vii-2-1">
        <w:r>
          <w:rPr>
            <w:color w:val="000000"/>
          </w:rPr>
          <w:t xml:space="preserve">VII.2.1</w:t>
        </w:r>
      </w:hyperlink>
      <w:r>
        <w:rPr>
          <w:b w:val="0"/>
          <w:i w:val="0"/>
        </w:rPr>
        <w:t xml:space="preserve">, </w:t>
      </w:r>
      <w:hyperlink w:anchor="passage-vii-6-3">
        <w:r>
          <w:rPr>
            <w:color w:val="000000"/>
          </w:rPr>
          <w:t xml:space="preserve">VII.6.3</w:t>
        </w:r>
      </w:hyperlink>
      <w:r>
        <w:rPr>
          <w:b w:val="0"/>
          <w:i w:val="0"/>
        </w:rPr>
        <w:t xml:space="preserve">, </w:t>
      </w:r>
      <w:hyperlink w:anchor="passage-vii-8-1">
        <w:r>
          <w:rPr>
            <w:color w:val="000000"/>
          </w:rPr>
          <w:t xml:space="preserve">VII.8.1</w:t>
        </w:r>
      </w:hyperlink>
      <w:r>
        <w:rPr>
          <w:b w:val="0"/>
          <w:i w:val="0"/>
        </w:rPr>
        <w:t xml:space="preserve">, </w:t>
      </w:r>
      <w:hyperlink w:anchor="passage-vii-9-2">
        <w:r>
          <w:rPr>
            <w:color w:val="000000"/>
          </w:rPr>
          <w:t xml:space="preserve">VII.9.2</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896" w:name="latin-record-0655"/>
      <w:bookmarkEnd w:id="896"/>
      <w:r>
        <w:rPr>
          <w:b/>
          <w:i w:val="0"/>
        </w:rPr>
        <w:t>instrumentum; subservire</w:t>
      </w:r>
      <w:r>
        <w:rPr>
          <w:b/>
          <w:i w:val="0"/>
        </w:rPr>
        <w:t>.</w:t>
      </w:r>
      <w:r>
        <w:rPr>
          <w:b w:val="0"/>
          <w:i w:val="0"/>
        </w:rPr>
        <w:t xml:space="preserve"> Printed forms: </w:t>
      </w:r>
      <w:r>
        <w:rPr>
          <w:b w:val="0"/>
          <w:i/>
        </w:rPr>
        <w:t>instrumentum generationi subserviens</w:t>
      </w:r>
      <w:r>
        <w:rPr>
          <w:b w:val="0"/>
          <w:i w:val="0"/>
        </w:rPr>
        <w:t>.</w:t>
      </w:r>
    </w:p>
    <w:p>
      <w:pPr>
        <w:widowControl/>
      </w:pPr>
      <w:r>
        <w:rPr>
          <w:b w:val="0"/>
          <w:i w:val="0"/>
        </w:rPr>
        <w:t xml:space="preserve">An instrument serving generation. Seminal power is distinguished from soul before the argument infers that soul is whole in each still more fully.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897" w:name="latin-record-0656"/>
      <w:bookmarkEnd w:id="897"/>
      <w:r>
        <w:rPr>
          <w:b/>
          <w:i w:val="0"/>
        </w:rPr>
        <w:t>integra / perfecta</w:t>
      </w:r>
      <w:r>
        <w:rPr>
          <w:b/>
          <w:i w:val="0"/>
        </w:rPr>
        <w:t>.</w:t>
      </w:r>
      <w:r>
        <w:rPr>
          <w:b w:val="0"/>
          <w:i w:val="0"/>
        </w:rPr>
        <w:t xml:space="preserve"> Printed forms: </w:t>
      </w:r>
      <w:r>
        <w:rPr>
          <w:b w:val="0"/>
          <w:i/>
        </w:rPr>
        <w:t>integra</w:t>
      </w:r>
      <w:r>
        <w:rPr>
          <w:b w:val="0"/>
          <w:i w:val="0"/>
        </w:rPr>
        <w:t xml:space="preserve">; </w:t>
      </w:r>
      <w:r>
        <w:rPr>
          <w:b w:val="0"/>
          <w:i/>
        </w:rPr>
        <w:t>integritatem</w:t>
      </w:r>
      <w:r>
        <w:rPr>
          <w:b w:val="0"/>
          <w:i w:val="0"/>
        </w:rPr>
        <w:t xml:space="preserve">; </w:t>
      </w:r>
      <w:r>
        <w:rPr>
          <w:b w:val="0"/>
          <w:i/>
        </w:rPr>
        <w:t>perfecta</w:t>
      </w:r>
      <w:r>
        <w:rPr>
          <w:b w:val="0"/>
          <w:i w:val="0"/>
        </w:rPr>
        <w:t>.</w:t>
      </w:r>
    </w:p>
    <w:p>
      <w:pPr>
        <w:widowControl/>
      </w:pPr>
      <w:r>
        <w:rPr>
          <w:b w:val="0"/>
          <w:i w:val="0"/>
        </w:rPr>
        <w:t xml:space="preserve">Whole or complete in its defining form, not assembled from incomplete material pieces. Soul is called a complete simple form; the completion contrasts with prime matter’s openness to replacement forms. References: </w:t>
      </w:r>
      <w:hyperlink w:anchor="passage-v-12-1">
        <w:r>
          <w:rPr>
            <w:color w:val="000000"/>
          </w:rPr>
          <w:t xml:space="preserve">V.12.1</w:t>
        </w:r>
      </w:hyperlink>
      <w:r>
        <w:rPr>
          <w:b w:val="0"/>
          <w:i w:val="0"/>
        </w:rPr>
        <w:t xml:space="preserve">, </w:t>
      </w:r>
      <w:hyperlink w:anchor="passage-v-12-2">
        <w:r>
          <w:rPr>
            <w:color w:val="000000"/>
          </w:rPr>
          <w:t xml:space="preserve">V.12.2</w:t>
        </w:r>
      </w:hyperlink>
      <w:r>
        <w:rPr>
          <w:b w:val="0"/>
          <w:i w:val="0"/>
        </w:rPr>
        <w:t xml:space="preserve">, </w:t>
      </w:r>
      <w:hyperlink w:anchor="passage-v-13-18">
        <w:r>
          <w:rPr>
            <w:color w:val="000000"/>
          </w:rPr>
          <w:t xml:space="preserve">V.13.18</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898" w:name="latin-record-0657"/>
      <w:bookmarkEnd w:id="898"/>
      <w:r>
        <w:rPr>
          <w:b/>
          <w:i w:val="0"/>
        </w:rPr>
        <w:t>integritas / puritas / supervacuum</w:t>
      </w:r>
      <w:r>
        <w:rPr>
          <w:b/>
          <w:i w:val="0"/>
        </w:rPr>
        <w:t>.</w:t>
      </w:r>
      <w:r>
        <w:rPr>
          <w:b w:val="0"/>
          <w:i w:val="0"/>
        </w:rPr>
        <w:t xml:space="preserve"> Printed forms: </w:t>
      </w:r>
      <w:r>
        <w:rPr>
          <w:b w:val="0"/>
          <w:i/>
        </w:rPr>
        <w:t>integritate</w:t>
      </w:r>
      <w:r>
        <w:rPr>
          <w:b w:val="0"/>
          <w:i w:val="0"/>
        </w:rPr>
        <w:t xml:space="preserve">; </w:t>
      </w:r>
      <w:r>
        <w:rPr>
          <w:b w:val="0"/>
          <w:i/>
        </w:rPr>
        <w:t>necessaria</w:t>
      </w:r>
      <w:r>
        <w:rPr>
          <w:b w:val="0"/>
          <w:i w:val="0"/>
        </w:rPr>
        <w:t xml:space="preserve">; </w:t>
      </w:r>
      <w:r>
        <w:rPr>
          <w:b w:val="0"/>
          <w:i/>
        </w:rPr>
        <w:t>puritate</w:t>
      </w:r>
      <w:r>
        <w:rPr>
          <w:b w:val="0"/>
          <w:i w:val="0"/>
        </w:rPr>
        <w:t xml:space="preserve">; </w:t>
      </w:r>
      <w:r>
        <w:rPr>
          <w:b w:val="0"/>
          <w:i/>
        </w:rPr>
        <w:t>supervacua</w:t>
      </w:r>
      <w:r>
        <w:rPr>
          <w:b w:val="0"/>
          <w:i w:val="0"/>
        </w:rPr>
        <w:t>.</w:t>
      </w:r>
    </w:p>
    <w:p>
      <w:pPr>
        <w:widowControl/>
      </w:pPr>
      <w:r>
        <w:rPr>
          <w:b w:val="0"/>
          <w:i w:val="0"/>
        </w:rPr>
        <w:t xml:space="preserve">Completeness, purity, necessities and superfluities in the account of an intelligible form. A notion is more adequate when it retains essential content while setting aside material admixture and accidental restrictions. References: </w:t>
      </w:r>
      <w:hyperlink w:anchor="passage-viii-13-1">
        <w:r>
          <w:rPr>
            <w:color w:val="000000"/>
          </w:rPr>
          <w:t xml:space="preserve">VIII.13.1</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899" w:name="latin-record-0658"/>
      <w:bookmarkEnd w:id="899"/>
      <w:r>
        <w:rPr>
          <w:b/>
          <w:i w:val="0"/>
        </w:rPr>
        <w:t>intellectualis / intelligibilis</w:t>
      </w:r>
      <w:r>
        <w:rPr>
          <w:b/>
          <w:i w:val="0"/>
        </w:rPr>
        <w:t>.</w:t>
      </w:r>
      <w:r>
        <w:rPr>
          <w:b w:val="0"/>
          <w:i w:val="0"/>
        </w:rPr>
        <w:t xml:space="preserve"> Printed forms: </w:t>
      </w:r>
      <w:r>
        <w:rPr>
          <w:b w:val="0"/>
          <w:i/>
        </w:rPr>
        <w:t>intellectuale</w:t>
      </w:r>
      <w:r>
        <w:rPr>
          <w:b w:val="0"/>
          <w:i w:val="0"/>
        </w:rPr>
        <w:t xml:space="preserve">; </w:t>
      </w:r>
      <w:r>
        <w:rPr>
          <w:b w:val="0"/>
          <w:i/>
        </w:rPr>
        <w:t>intellectualem</w:t>
      </w:r>
      <w:r>
        <w:rPr>
          <w:b w:val="0"/>
          <w:i w:val="0"/>
        </w:rPr>
        <w:t xml:space="preserve">; </w:t>
      </w:r>
      <w:r>
        <w:rPr>
          <w:b w:val="0"/>
          <w:i/>
        </w:rPr>
        <w:t>intellectuali</w:t>
      </w:r>
      <w:r>
        <w:rPr>
          <w:b w:val="0"/>
          <w:i w:val="0"/>
        </w:rPr>
        <w:t xml:space="preserve">; </w:t>
      </w:r>
      <w:r>
        <w:rPr>
          <w:b w:val="0"/>
          <w:i/>
        </w:rPr>
        <w:t>intellectualis</w:t>
      </w:r>
      <w:r>
        <w:rPr>
          <w:b w:val="0"/>
          <w:i w:val="0"/>
        </w:rPr>
        <w:t xml:space="preserve">; </w:t>
      </w:r>
      <w:r>
        <w:rPr>
          <w:b w:val="0"/>
          <w:i/>
        </w:rPr>
        <w:t>intelligibiles</w:t>
      </w:r>
      <w:r>
        <w:rPr>
          <w:b w:val="0"/>
          <w:i w:val="0"/>
        </w:rPr>
        <w:t xml:space="preserve">; </w:t>
      </w:r>
      <w:r>
        <w:rPr>
          <w:b w:val="0"/>
          <w:i/>
        </w:rPr>
        <w:t>intelligibili</w:t>
      </w:r>
      <w:r>
        <w:rPr>
          <w:b w:val="0"/>
          <w:i w:val="0"/>
        </w:rPr>
        <w:t xml:space="preserve">; </w:t>
      </w:r>
      <w:r>
        <w:rPr>
          <w:b w:val="0"/>
          <w:i/>
        </w:rPr>
        <w:t>intelligibilia</w:t>
      </w:r>
      <w:r>
        <w:rPr>
          <w:b w:val="0"/>
          <w:i w:val="0"/>
        </w:rPr>
        <w:t>.</w:t>
      </w:r>
    </w:p>
    <w:p>
      <w:pPr>
        <w:widowControl/>
      </w:pPr>
      <w:r>
        <w:rPr>
          <w:b w:val="0"/>
          <w:i w:val="0"/>
        </w:rPr>
        <w:t xml:space="preserve">Intellectual refers to mind or its forms; intelligible properly refers to what is known. Ficino allows overlapping usage but explicitly refines the distinction between essence and mental representation in VIII.4.9. References: </w:t>
      </w:r>
      <w:hyperlink w:anchor="passage-viii-1-3">
        <w:r>
          <w:rPr>
            <w:color w:val="000000"/>
          </w:rPr>
          <w:t xml:space="preserve">VIII.1.3</w:t>
        </w:r>
      </w:hyperlink>
      <w:r>
        <w:rPr>
          <w:b w:val="0"/>
          <w:i w:val="0"/>
        </w:rPr>
        <w:t xml:space="preserve">, </w:t>
      </w:r>
      <w:hyperlink w:anchor="passage-viii-4-9">
        <w:r>
          <w:rPr>
            <w:color w:val="000000"/>
          </w:rPr>
          <w:t xml:space="preserve">VIII.4.9</w:t>
        </w:r>
      </w:hyperlink>
      <w:r>
        <w:rPr>
          <w:b w:val="0"/>
          <w:i w:val="0"/>
        </w:rPr>
        <w:t xml:space="preserve">, </w:t>
      </w:r>
      <w:hyperlink w:anchor="passage-viii-13-2">
        <w:r>
          <w:rPr>
            <w:color w:val="000000"/>
          </w:rPr>
          <w:t xml:space="preserve">VIII.13.2</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w:t>
      </w:r>
      <w:hyperlink w:anchor="passage-viii-16-4">
        <w:r>
          <w:rPr>
            <w:color w:val="000000"/>
          </w:rPr>
          <w:t xml:space="preserve">VIII.16.4</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900" w:name="latin-record-0659"/>
      <w:bookmarkEnd w:id="900"/>
      <w:r>
        <w:rPr>
          <w:b/>
          <w:i w:val="0"/>
        </w:rPr>
        <w:t>intellectualitas</w:t>
      </w:r>
      <w:r>
        <w:rPr>
          <w:b/>
          <w:i w:val="0"/>
        </w:rPr>
        <w:t>.</w:t>
      </w:r>
      <w:r>
        <w:rPr>
          <w:b w:val="0"/>
          <w:i w:val="0"/>
        </w:rPr>
        <w:t xml:space="preserve"> Printed forms: </w:t>
      </w:r>
      <w:r>
        <w:rPr>
          <w:b w:val="0"/>
          <w:i/>
        </w:rPr>
        <w:t>intellectualitas</w:t>
      </w:r>
      <w:r>
        <w:rPr>
          <w:b w:val="0"/>
          <w:i w:val="0"/>
        </w:rPr>
        <w:t>.</w:t>
      </w:r>
    </w:p>
    <w:p>
      <w:pPr>
        <w:widowControl/>
      </w:pPr>
      <w:r>
        <w:rPr>
          <w:b w:val="0"/>
          <w:i w:val="0"/>
        </w:rPr>
        <w:t xml:space="preserve">Natural intellectuality, a qualified name for intellect’s own form. Its perfection is indicated by more accomplished understanding, so receiving more forms strengthens rather than replaces it. References: </w:t>
      </w:r>
      <w:hyperlink w:anchor="passage-viii-7-1">
        <w:r>
          <w:rPr>
            <w:color w:val="000000"/>
          </w:rPr>
          <w:t xml:space="preserve">VIII.7.1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901" w:name="latin-record-0660"/>
      <w:bookmarkEnd w:id="901"/>
      <w:r>
        <w:rPr>
          <w:b/>
          <w:i w:val="0"/>
        </w:rPr>
        <w:t>intellectus</w:t>
      </w:r>
      <w:r>
        <w:rPr>
          <w:b/>
          <w:i w:val="0"/>
        </w:rPr>
        <w:t>.</w:t>
      </w:r>
      <w:r>
        <w:rPr>
          <w:b w:val="0"/>
          <w:i w:val="0"/>
        </w:rPr>
        <w:t xml:space="preserve"> Printed forms: </w:t>
      </w:r>
      <w:r>
        <w:rPr>
          <w:b w:val="0"/>
          <w:i/>
        </w:rPr>
        <w:t>intellectu</w:t>
      </w:r>
      <w:r>
        <w:rPr>
          <w:b w:val="0"/>
          <w:i w:val="0"/>
        </w:rPr>
        <w:t xml:space="preserve">; </w:t>
      </w:r>
      <w:r>
        <w:rPr>
          <w:b w:val="0"/>
          <w:i/>
        </w:rPr>
        <w:t>intellectum</w:t>
      </w:r>
      <w:r>
        <w:rPr>
          <w:b w:val="0"/>
          <w:i w:val="0"/>
        </w:rPr>
        <w:t xml:space="preserve">; </w:t>
      </w:r>
      <w:r>
        <w:rPr>
          <w:b w:val="0"/>
          <w:i/>
        </w:rPr>
        <w:t>Intellectus</w:t>
      </w:r>
      <w:r>
        <w:rPr>
          <w:b w:val="0"/>
          <w:i w:val="0"/>
        </w:rPr>
        <w:t xml:space="preserve">; </w:t>
      </w:r>
      <w:r>
        <w:rPr>
          <w:b w:val="0"/>
          <w:i/>
        </w:rPr>
        <w:t>intellectus</w:t>
      </w:r>
      <w:r>
        <w:rPr>
          <w:b w:val="0"/>
          <w:i w:val="0"/>
        </w:rPr>
        <w:t>.</w:t>
      </w:r>
    </w:p>
    <w:p>
      <w:pPr>
        <w:widowControl/>
      </w:pPr>
      <w:r>
        <w:rPr>
          <w:b w:val="0"/>
          <w:i w:val="0"/>
        </w:rPr>
        <w:t xml:space="preserve">Intellect, distinguished locally from discursive reason and sensory imagination. Ficino reasons from its objects, its incorporeal constructions and angelic pure exercise; no single use makes every intellectual act uninterrupted. References: </w:t>
      </w:r>
      <w:hyperlink w:anchor="passage-vi-2-9">
        <w:r>
          <w:rPr>
            <w:color w:val="000000"/>
          </w:rPr>
          <w:t xml:space="preserve">VI.2.9</w:t>
        </w:r>
      </w:hyperlink>
      <w:r>
        <w:rPr>
          <w:b w:val="0"/>
          <w:i w:val="0"/>
        </w:rPr>
        <w:t xml:space="preserve">, </w:t>
      </w:r>
      <w:hyperlink w:anchor="passage-vi-2-10">
        <w:r>
          <w:rPr>
            <w:color w:val="000000"/>
          </w:rPr>
          <w:t xml:space="preserve">VI.2.10</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widowControl/>
      </w:pPr>
      <w:r>
        <w:rPr>
          <w:b w:val="0"/>
          <w:i w:val="0"/>
        </w:rPr>
        <w:t xml:space="preserve">The intellectual faculty or knower able to apprehend universal and incorporeal accounts. It first knows universal nature and then returns to particulars; its unity and nonextended reception drive the later arguments. References: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3-1">
        <w:r>
          <w:rPr>
            <w:color w:val="000000"/>
          </w:rPr>
          <w:t xml:space="preserve">VIII.3.1</w:t>
        </w:r>
      </w:hyperlink>
      <w:r>
        <w:rPr>
          <w:b w:val="0"/>
          <w:i w:val="0"/>
        </w:rPr>
        <w:t xml:space="preserve">, </w:t>
      </w:r>
      <w:hyperlink w:anchor="passage-viii-3-3">
        <w:r>
          <w:rPr>
            <w:color w:val="000000"/>
          </w:rPr>
          <w:t xml:space="preserve">VIII.3.3</w:t>
        </w:r>
      </w:hyperlink>
      <w:r>
        <w:rPr>
          <w:b w:val="0"/>
          <w:i w:val="0"/>
        </w:rPr>
        <w:t xml:space="preserve">, </w:t>
      </w:r>
      <w:hyperlink w:anchor="passage-viii-3-6">
        <w:r>
          <w:rPr>
            <w:color w:val="000000"/>
          </w:rPr>
          <w:t xml:space="preserve">VIII.3.6</w:t>
        </w:r>
      </w:hyperlink>
      <w:r>
        <w:rPr>
          <w:b w:val="0"/>
          <w:i w:val="0"/>
        </w:rPr>
        <w:t xml:space="preserve">, </w:t>
      </w:r>
      <w:hyperlink w:anchor="passage-viii-4-1">
        <w:r>
          <w:rPr>
            <w:color w:val="000000"/>
          </w:rPr>
          <w:t xml:space="preserve">VIII.4.1</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6-1">
        <w:r>
          <w:rPr>
            <w:color w:val="000000"/>
          </w:rPr>
          <w:t xml:space="preserve">VIII.6.1</w:t>
        </w:r>
      </w:hyperlink>
      <w:r>
        <w:rPr>
          <w:b w:val="0"/>
          <w:i w:val="0"/>
        </w:rPr>
        <w:t xml:space="preserve">, </w:t>
      </w:r>
      <w:hyperlink w:anchor="passage-viii-10-2">
        <w:r>
          <w:rPr>
            <w:color w:val="000000"/>
          </w:rPr>
          <w:t xml:space="preserve">VIII.10.2</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6-3">
        <w:r>
          <w:rPr>
            <w:color w:val="000000"/>
          </w:rPr>
          <w:t xml:space="preserve">VIII.16.3</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902" w:name="latin-record-0661"/>
      <w:bookmarkEnd w:id="902"/>
      <w:r>
        <w:rPr>
          <w:b/>
          <w:i w:val="0"/>
        </w:rPr>
        <w:t>intellectus / sensus / appetitus</w:t>
      </w:r>
      <w:r>
        <w:rPr>
          <w:b/>
          <w:i w:val="0"/>
        </w:rPr>
        <w:t>.</w:t>
      </w:r>
      <w:r>
        <w:rPr>
          <w:b w:val="0"/>
          <w:i w:val="0"/>
        </w:rPr>
        <w:t xml:space="preserve"> Printed forms: </w:t>
      </w:r>
      <w:r>
        <w:rPr>
          <w:b w:val="0"/>
          <w:i/>
        </w:rPr>
        <w:t>appetitu</w:t>
      </w:r>
      <w:r>
        <w:rPr>
          <w:b w:val="0"/>
          <w:i w:val="0"/>
        </w:rPr>
        <w:t xml:space="preserve">; </w:t>
      </w:r>
      <w:r>
        <w:rPr>
          <w:b w:val="0"/>
          <w:i/>
        </w:rPr>
        <w:t>intellectu</w:t>
      </w:r>
      <w:r>
        <w:rPr>
          <w:b w:val="0"/>
          <w:i w:val="0"/>
        </w:rPr>
        <w:t xml:space="preserve">; </w:t>
      </w:r>
      <w:r>
        <w:rPr>
          <w:b w:val="0"/>
          <w:i/>
        </w:rPr>
        <w:t>intellectus</w:t>
      </w:r>
      <w:r>
        <w:rPr>
          <w:b w:val="0"/>
          <w:i w:val="0"/>
        </w:rPr>
        <w:t xml:space="preserve">; </w:t>
      </w:r>
      <w:r>
        <w:rPr>
          <w:b w:val="0"/>
          <w:i/>
        </w:rPr>
        <w:t>intelligendi</w:t>
      </w:r>
      <w:r>
        <w:rPr>
          <w:b w:val="0"/>
          <w:i w:val="0"/>
        </w:rPr>
        <w:t xml:space="preserve">; </w:t>
      </w:r>
      <w:r>
        <w:rPr>
          <w:b w:val="0"/>
          <w:i/>
        </w:rPr>
        <w:t>intelligere</w:t>
      </w:r>
      <w:r>
        <w:rPr>
          <w:b w:val="0"/>
          <w:i w:val="0"/>
        </w:rPr>
        <w:t xml:space="preserve">; </w:t>
      </w:r>
      <w:r>
        <w:rPr>
          <w:b w:val="0"/>
          <w:i/>
        </w:rPr>
        <w:t>sensu</w:t>
      </w:r>
      <w:r>
        <w:rPr>
          <w:b w:val="0"/>
          <w:i w:val="0"/>
        </w:rPr>
        <w:t>.</w:t>
      </w:r>
    </w:p>
    <w:p>
      <w:pPr>
        <w:widowControl/>
      </w:pPr>
      <w:r>
        <w:rPr>
          <w:b w:val="0"/>
          <w:i w:val="0"/>
        </w:rPr>
        <w:t xml:space="preserve">Intellect, sensation and appetite as powers of soul. The difficulty of explaining how these compose a soul is not solved by knowing the bodily parts’ mixture. References: </w:t>
      </w:r>
      <w:hyperlink w:anchor="passage-vii-12-1">
        <w:r>
          <w:rPr>
            <w:color w:val="000000"/>
          </w:rPr>
          <w:t xml:space="preserve">VII.12.1</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903" w:name="latin-record-0662"/>
      <w:bookmarkEnd w:id="903"/>
      <w:r>
        <w:rPr>
          <w:b/>
          <w:i w:val="0"/>
        </w:rPr>
        <w:t>intellectus purus</w:t>
      </w:r>
      <w:r>
        <w:rPr>
          <w:b/>
          <w:i w:val="0"/>
        </w:rPr>
        <w:t>.</w:t>
      </w:r>
      <w:r>
        <w:rPr>
          <w:b w:val="0"/>
          <w:i w:val="0"/>
        </w:rPr>
        <w:t xml:space="preserve"> Printed forms: </w:t>
      </w:r>
      <w:r>
        <w:rPr>
          <w:b w:val="0"/>
          <w:i/>
        </w:rPr>
        <w:t>intellectus purus</w:t>
      </w:r>
      <w:r>
        <w:rPr>
          <w:b w:val="0"/>
          <w:i w:val="0"/>
        </w:rPr>
        <w:t>.</w:t>
      </w:r>
    </w:p>
    <w:p>
      <w:pPr>
        <w:widowControl/>
      </w:pPr>
      <w:r>
        <w:rPr>
          <w:b w:val="0"/>
          <w:i w:val="0"/>
        </w:rPr>
        <w:t xml:space="preserve">Pure intellect in the angelic stage of the ascent. The soul’s later angel-like enjoyment is a likeness of activity, not its promotion into an uncreated being. References: </w:t>
      </w:r>
      <w:hyperlink w:anchor="passage-vi-2-10">
        <w:r>
          <w:rPr>
            <w:color w:val="000000"/>
          </w:rPr>
          <w:t xml:space="preserve">VI.2.10</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keepNext/>
        <w:widowControl/>
      </w:pPr>
      <w:bookmarkStart w:id="904" w:name="latin-record-0663"/>
      <w:bookmarkEnd w:id="904"/>
      <w:r>
        <w:rPr>
          <w:b/>
          <w:i w:val="0"/>
        </w:rPr>
        <w:t>intelligentia</w:t>
      </w:r>
      <w:r>
        <w:rPr>
          <w:b/>
          <w:i w:val="0"/>
        </w:rPr>
        <w:t>.</w:t>
      </w:r>
      <w:r>
        <w:rPr>
          <w:b w:val="0"/>
          <w:i w:val="0"/>
        </w:rPr>
        <w:t xml:space="preserve"> Printed forms: </w:t>
      </w:r>
      <w:r>
        <w:rPr>
          <w:b w:val="0"/>
          <w:i/>
        </w:rPr>
        <w:t>intelligentia</w:t>
      </w:r>
      <w:r>
        <w:rPr>
          <w:b w:val="0"/>
          <w:i w:val="0"/>
        </w:rPr>
        <w:t xml:space="preserve">; </w:t>
      </w:r>
      <w:r>
        <w:rPr>
          <w:b w:val="0"/>
          <w:i/>
        </w:rPr>
        <w:t>intelligentia pura</w:t>
      </w:r>
      <w:r>
        <w:rPr>
          <w:b w:val="0"/>
          <w:i w:val="0"/>
        </w:rPr>
        <w:t xml:space="preserve">; </w:t>
      </w:r>
      <w:r>
        <w:rPr>
          <w:b w:val="0"/>
          <w:i/>
        </w:rPr>
        <w:t>intelligentiae</w:t>
      </w:r>
      <w:r>
        <w:rPr>
          <w:b w:val="0"/>
          <w:i w:val="0"/>
        </w:rPr>
        <w:t xml:space="preserve">; </w:t>
      </w:r>
      <w:r>
        <w:rPr>
          <w:b w:val="0"/>
          <w:i/>
        </w:rPr>
        <w:t>intelligentiam</w:t>
      </w:r>
      <w:r>
        <w:rPr>
          <w:b w:val="0"/>
          <w:i w:val="0"/>
        </w:rPr>
        <w:t>.</w:t>
      </w:r>
    </w:p>
    <w:p>
      <w:pPr>
        <w:widowControl/>
      </w:pPr>
      <w:r>
        <w:rPr>
          <w:b w:val="0"/>
          <w:i w:val="0"/>
        </w:rPr>
        <w:t xml:space="preserve">Understanding as the soul’s activity directed to incorporeal objects. The passage treats pure exercise as difficult and late, not as continuously actual in every human being.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widowControl/>
      </w:pPr>
      <w:r>
        <w:rPr>
          <w:b w:val="0"/>
          <w:i w:val="0"/>
        </w:rPr>
        <w:t xml:space="preserve">Understanding as a still freer mode of cognition. Its superiority is announced but deferred to later demonstration; this unit does not complete the promised intellectual proof.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widowControl/>
      </w:pPr>
      <w:r>
        <w:rPr>
          <w:b w:val="0"/>
          <w:i w:val="0"/>
        </w:rPr>
        <w:t xml:space="preserve">Understanding as an act or activity; plural forms can designate acts or conceptions rather than separate minds. It names the highest stage of the opening ascent and later the acts whose hypothetical simultaneous infinity is rejected.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3-6">
        <w:r>
          <w:rPr>
            <w:color w:val="000000"/>
          </w:rPr>
          <w:t xml:space="preserve">VIII.3.6</w:t>
        </w:r>
      </w:hyperlink>
      <w:r>
        <w:rPr>
          <w:b w:val="0"/>
          <w:i w:val="0"/>
        </w:rPr>
        <w:t xml:space="preserve">, </w:t>
      </w:r>
      <w:hyperlink w:anchor="passage-viii-3-7">
        <w:r>
          <w:rPr>
            <w:color w:val="000000"/>
          </w:rPr>
          <w:t xml:space="preserve">VIII.3.7</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905" w:name="latin-record-0664"/>
      <w:bookmarkEnd w:id="905"/>
      <w:r>
        <w:rPr>
          <w:b/>
          <w:i w:val="0"/>
        </w:rPr>
        <w:t>intelligere / intellectio</w:t>
      </w:r>
      <w:r>
        <w:rPr>
          <w:b/>
          <w:i w:val="0"/>
        </w:rPr>
        <w:t>.</w:t>
      </w:r>
      <w:r>
        <w:rPr>
          <w:b w:val="0"/>
          <w:i w:val="0"/>
        </w:rPr>
        <w:t xml:space="preserve"> Printed forms: </w:t>
      </w:r>
      <w:r>
        <w:rPr>
          <w:b w:val="0"/>
          <w:i/>
        </w:rPr>
        <w:t>intellectio</w:t>
      </w:r>
      <w:r>
        <w:rPr>
          <w:b w:val="0"/>
          <w:i w:val="0"/>
        </w:rPr>
        <w:t xml:space="preserve">; </w:t>
      </w:r>
      <w:r>
        <w:rPr>
          <w:b w:val="0"/>
          <w:i/>
        </w:rPr>
        <w:t>intellectis</w:t>
      </w:r>
      <w:r>
        <w:rPr>
          <w:b w:val="0"/>
          <w:i w:val="0"/>
        </w:rPr>
        <w:t xml:space="preserve">; </w:t>
      </w:r>
      <w:r>
        <w:rPr>
          <w:b w:val="0"/>
          <w:i/>
        </w:rPr>
        <w:t>intelligat</w:t>
      </w:r>
      <w:r>
        <w:rPr>
          <w:b w:val="0"/>
          <w:i w:val="0"/>
        </w:rPr>
        <w:t xml:space="preserve">; </w:t>
      </w:r>
      <w:r>
        <w:rPr>
          <w:b w:val="0"/>
          <w:i/>
        </w:rPr>
        <w:t>intelligendae</w:t>
      </w:r>
      <w:r>
        <w:rPr>
          <w:b w:val="0"/>
          <w:i w:val="0"/>
        </w:rPr>
        <w:t xml:space="preserve">; </w:t>
      </w:r>
      <w:r>
        <w:rPr>
          <w:b w:val="0"/>
          <w:i/>
        </w:rPr>
        <w:t>intelligendi</w:t>
      </w:r>
      <w:r>
        <w:rPr>
          <w:b w:val="0"/>
          <w:i w:val="0"/>
        </w:rPr>
        <w:t xml:space="preserve">; </w:t>
      </w:r>
      <w:r>
        <w:rPr>
          <w:b w:val="0"/>
          <w:i/>
        </w:rPr>
        <w:t>intelligendo</w:t>
      </w:r>
      <w:r>
        <w:rPr>
          <w:b w:val="0"/>
          <w:i w:val="0"/>
        </w:rPr>
        <w:t xml:space="preserve">; </w:t>
      </w:r>
      <w:r>
        <w:rPr>
          <w:b w:val="0"/>
          <w:i/>
        </w:rPr>
        <w:t>intelligendum</w:t>
      </w:r>
      <w:r>
        <w:rPr>
          <w:b w:val="0"/>
          <w:i w:val="0"/>
        </w:rPr>
        <w:t xml:space="preserve">; </w:t>
      </w:r>
      <w:r>
        <w:rPr>
          <w:b w:val="0"/>
          <w:i/>
        </w:rPr>
        <w:t>intelligere</w:t>
      </w:r>
      <w:r>
        <w:rPr>
          <w:b w:val="0"/>
          <w:i w:val="0"/>
        </w:rPr>
        <w:t xml:space="preserve">; </w:t>
      </w:r>
      <w:r>
        <w:rPr>
          <w:b w:val="0"/>
          <w:i/>
        </w:rPr>
        <w:t>intelliget</w:t>
      </w:r>
      <w:r>
        <w:rPr>
          <w:b w:val="0"/>
          <w:i w:val="0"/>
        </w:rPr>
        <w:t xml:space="preserve">; </w:t>
      </w:r>
      <w:r>
        <w:rPr>
          <w:b w:val="0"/>
          <w:i/>
        </w:rPr>
        <w:t>Intelligit</w:t>
      </w:r>
      <w:r>
        <w:rPr>
          <w:b w:val="0"/>
          <w:i w:val="0"/>
        </w:rPr>
        <w:t xml:space="preserve">; </w:t>
      </w:r>
      <w:r>
        <w:rPr>
          <w:b w:val="0"/>
          <w:i/>
        </w:rPr>
        <w:t>intelligit</w:t>
      </w:r>
      <w:r>
        <w:rPr>
          <w:b w:val="0"/>
          <w:i w:val="0"/>
        </w:rPr>
        <w:t xml:space="preserve">; </w:t>
      </w:r>
      <w:r>
        <w:rPr>
          <w:b w:val="0"/>
          <w:i/>
        </w:rPr>
        <w:t>intelliguntur</w:t>
      </w:r>
      <w:r>
        <w:rPr>
          <w:b w:val="0"/>
          <w:i w:val="0"/>
        </w:rPr>
        <w:t>.</w:t>
      </w:r>
    </w:p>
    <w:p>
      <w:pPr>
        <w:widowControl/>
      </w:pPr>
      <w:r>
        <w:rPr>
          <w:b w:val="0"/>
          <w:i w:val="0"/>
        </w:rPr>
        <w:t xml:space="preserve">Understanding as an intellectual operation, not simply receiving a sensory impression. It includes universal apprehension, definition, comparison, knowledge of particulars and self-reflection, and is used to infer the nature of the active subject. References: </w:t>
      </w:r>
      <w:hyperlink w:anchor="passage-viii-1-1">
        <w:r>
          <w:rPr>
            <w:color w:val="000000"/>
          </w:rPr>
          <w:t xml:space="preserve">VIII.1.1</w:t>
        </w:r>
      </w:hyperlink>
      <w:r>
        <w:rPr>
          <w:b w:val="0"/>
          <w:i w:val="0"/>
        </w:rPr>
        <w:t xml:space="preserve">, </w:t>
      </w:r>
      <w:hyperlink w:anchor="passage-viii-1-5">
        <w:r>
          <w:rPr>
            <w:color w:val="000000"/>
          </w:rPr>
          <w:t xml:space="preserve">VIII.1.5</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9">
        <w:r>
          <w:rPr>
            <w:color w:val="000000"/>
          </w:rPr>
          <w:t xml:space="preserve">VIII.4.9</w:t>
        </w:r>
      </w:hyperlink>
      <w:r>
        <w:rPr>
          <w:b w:val="0"/>
          <w:i w:val="0"/>
        </w:rPr>
        <w:t xml:space="preserve">, </w:t>
      </w:r>
      <w:hyperlink w:anchor="passage-viii-4-13">
        <w:r>
          <w:rPr>
            <w:color w:val="000000"/>
          </w:rPr>
          <w:t xml:space="preserve">VIII.4.13</w:t>
        </w:r>
      </w:hyperlink>
      <w:r>
        <w:rPr>
          <w:b w:val="0"/>
          <w:i w:val="0"/>
        </w:rPr>
        <w:t xml:space="preserve">, </w:t>
      </w:r>
      <w:hyperlink w:anchor="passage-viii-5-1">
        <w:r>
          <w:rPr>
            <w:color w:val="000000"/>
          </w:rPr>
          <w:t xml:space="preserve">VIII.5.1</w:t>
        </w:r>
      </w:hyperlink>
      <w:r>
        <w:rPr>
          <w:b w:val="0"/>
          <w:i w:val="0"/>
        </w:rPr>
        <w:t xml:space="preserve">, </w:t>
      </w:r>
      <w:hyperlink w:anchor="passage-viii-5-2">
        <w:r>
          <w:rPr>
            <w:color w:val="000000"/>
          </w:rPr>
          <w:t xml:space="preserve">VIII.5.2</w:t>
        </w:r>
      </w:hyperlink>
      <w:r>
        <w:rPr>
          <w:b w:val="0"/>
          <w:i w:val="0"/>
        </w:rPr>
        <w:t xml:space="preserve">, </w:t>
      </w:r>
      <w:hyperlink w:anchor="passage-viii-6-1">
        <w:r>
          <w:rPr>
            <w:color w:val="000000"/>
          </w:rPr>
          <w:t xml:space="preserve">VIII.6.1</w:t>
        </w:r>
      </w:hyperlink>
      <w:r>
        <w:rPr>
          <w:b w:val="0"/>
          <w:i w:val="0"/>
        </w:rPr>
        <w:t xml:space="preserve">, </w:t>
      </w:r>
      <w:hyperlink w:anchor="passage-viii-9-1">
        <w:r>
          <w:rPr>
            <w:color w:val="000000"/>
          </w:rPr>
          <w:t xml:space="preserve">VIII.9.1</w:t>
        </w:r>
      </w:hyperlink>
      <w:r>
        <w:rPr>
          <w:b w:val="0"/>
          <w:i w:val="0"/>
        </w:rPr>
        <w:t xml:space="preserve">, </w:t>
      </w:r>
      <w:hyperlink w:anchor="passage-viii-10-1">
        <w:r>
          <w:rPr>
            <w:color w:val="000000"/>
          </w:rPr>
          <w:t xml:space="preserve">VIII.10.1</w:t>
        </w:r>
      </w:hyperlink>
      <w:r>
        <w:rPr>
          <w:b w:val="0"/>
          <w:i w:val="0"/>
        </w:rPr>
        <w:t xml:space="preserve">, </w:t>
      </w:r>
      <w:hyperlink w:anchor="passage-viii-13-2">
        <w:r>
          <w:rPr>
            <w:color w:val="000000"/>
          </w:rPr>
          <w:t xml:space="preserve">VIII.13.2</w:t>
        </w:r>
      </w:hyperlink>
      <w:r>
        <w:rPr>
          <w:b w:val="0"/>
          <w:i w:val="0"/>
        </w:rPr>
        <w:t xml:space="preserve">, </w:t>
      </w:r>
      <w:hyperlink w:anchor="passage-viii-15-1">
        <w:r>
          <w:rPr>
            <w:color w:val="000000"/>
          </w:rPr>
          <w:t xml:space="preserve">VIII.15.1</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w:t>
      </w:r>
      <w:hyperlink w:anchor="passage-viii-16-4">
        <w:r>
          <w:rPr>
            <w:color w:val="000000"/>
          </w:rPr>
          <w:t xml:space="preserve">VIII.16.4</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906" w:name="latin-record-0665"/>
      <w:bookmarkEnd w:id="906"/>
      <w:r>
        <w:rPr>
          <w:b/>
          <w:i w:val="0"/>
        </w:rPr>
        <w:t>intelligere / intelligentia</w:t>
      </w:r>
      <w:r>
        <w:rPr>
          <w:b/>
          <w:i w:val="0"/>
        </w:rPr>
        <w:t>.</w:t>
      </w:r>
      <w:r>
        <w:rPr>
          <w:b w:val="0"/>
          <w:i w:val="0"/>
        </w:rPr>
        <w:t xml:space="preserve"> Printed forms: </w:t>
      </w:r>
      <w:r>
        <w:rPr>
          <w:b w:val="0"/>
          <w:i/>
        </w:rPr>
        <w:t>intellexisse</w:t>
      </w:r>
      <w:r>
        <w:rPr>
          <w:b w:val="0"/>
          <w:i w:val="0"/>
        </w:rPr>
        <w:t xml:space="preserve">; </w:t>
      </w:r>
      <w:r>
        <w:rPr>
          <w:b w:val="0"/>
          <w:i/>
        </w:rPr>
        <w:t>intelligentia</w:t>
      </w:r>
      <w:r>
        <w:rPr>
          <w:b w:val="0"/>
          <w:i w:val="0"/>
        </w:rPr>
        <w:t xml:space="preserve">; </w:t>
      </w:r>
      <w:r>
        <w:rPr>
          <w:b w:val="0"/>
          <w:i/>
        </w:rPr>
        <w:t>intelligentiam</w:t>
      </w:r>
      <w:r>
        <w:rPr>
          <w:b w:val="0"/>
          <w:i w:val="0"/>
        </w:rPr>
        <w:t xml:space="preserve">; </w:t>
      </w:r>
      <w:r>
        <w:rPr>
          <w:b w:val="0"/>
          <w:i/>
        </w:rPr>
        <w:t>intelligit</w:t>
      </w:r>
      <w:r>
        <w:rPr>
          <w:b w:val="0"/>
          <w:i w:val="0"/>
        </w:rPr>
        <w:t xml:space="preserve">; </w:t>
      </w:r>
      <w:r>
        <w:rPr>
          <w:b w:val="0"/>
          <w:i/>
        </w:rPr>
        <w:t>intelliguntur</w:t>
      </w:r>
      <w:r>
        <w:rPr>
          <w:b w:val="0"/>
          <w:i w:val="0"/>
        </w:rPr>
        <w:t>.</w:t>
      </w:r>
    </w:p>
    <w:p>
      <w:pPr>
        <w:widowControl/>
      </w:pPr>
      <w:r>
        <w:rPr>
          <w:b w:val="0"/>
          <w:i w:val="0"/>
        </w:rPr>
        <w:t xml:space="preserve">To understand and understanding, an operation directed to intelligibles rather than only sensory appearances. The mind’s stable objects and instrument-free contemplation support Ficino’s anti-temperament argument. References: </w:t>
      </w:r>
      <w:hyperlink w:anchor="passage-v-15-9">
        <w:r>
          <w:rPr>
            <w:color w:val="000000"/>
          </w:rPr>
          <w:t xml:space="preserve">V.15.9</w:t>
        </w:r>
      </w:hyperlink>
      <w:r>
        <w:rPr>
          <w:b w:val="0"/>
          <w:i w:val="0"/>
        </w:rPr>
        <w:t xml:space="preserve">, </w:t>
      </w:r>
      <w:hyperlink w:anchor="passage-v-15-11">
        <w:r>
          <w:rPr>
            <w:color w:val="000000"/>
          </w:rPr>
          <w:t xml:space="preserve">V.15.11</w:t>
        </w:r>
      </w:hyperlink>
      <w:r>
        <w:rPr>
          <w:b w:val="0"/>
          <w:i w:val="0"/>
        </w:rPr>
        <w:t xml:space="preserve">, </w:t>
      </w:r>
      <w:hyperlink w:anchor="passage-v-15-12">
        <w:r>
          <w:rPr>
            <w:color w:val="000000"/>
          </w:rPr>
          <w:t xml:space="preserve">V.15.12</w:t>
        </w:r>
      </w:hyperlink>
      <w:r>
        <w:rPr>
          <w:b w:val="0"/>
          <w:i w:val="0"/>
        </w:rPr>
        <w:t xml:space="preserve">, </w:t>
      </w:r>
      <w:hyperlink w:anchor="passage-v-15-24">
        <w:r>
          <w:rPr>
            <w:color w:val="000000"/>
          </w:rPr>
          <w:t xml:space="preserve">V.15.24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907" w:name="latin-record-0666"/>
      <w:bookmarkEnd w:id="907"/>
      <w:r>
        <w:rPr>
          <w:b/>
          <w:i w:val="0"/>
        </w:rPr>
        <w:t>intelligibilis (additional forms)</w:t>
      </w:r>
      <w:r>
        <w:rPr>
          <w:b/>
          <w:i w:val="0"/>
        </w:rPr>
        <w:t>.</w:t>
      </w:r>
      <w:r>
        <w:rPr>
          <w:b w:val="0"/>
          <w:i w:val="0"/>
        </w:rPr>
        <w:t xml:space="preserve"> Printed forms: </w:t>
      </w:r>
      <w:r>
        <w:rPr>
          <w:b w:val="0"/>
          <w:i/>
        </w:rPr>
        <w:t>intelligibilem</w:t>
      </w:r>
      <w:r>
        <w:rPr>
          <w:b w:val="0"/>
          <w:i w:val="0"/>
        </w:rPr>
        <w:t xml:space="preserve">; </w:t>
      </w:r>
      <w:r>
        <w:rPr>
          <w:b w:val="0"/>
          <w:i/>
        </w:rPr>
        <w:t>intelligibili</w:t>
      </w:r>
      <w:r>
        <w:rPr>
          <w:b w:val="0"/>
          <w:i w:val="0"/>
        </w:rPr>
        <w:t xml:space="preserve">; </w:t>
      </w:r>
      <w:r>
        <w:rPr>
          <w:b w:val="0"/>
          <w:i/>
        </w:rPr>
        <w:t>intelligibilis</w:t>
      </w:r>
      <w:r>
        <w:rPr>
          <w:b w:val="0"/>
          <w:i w:val="0"/>
        </w:rPr>
        <w:t>.</w:t>
      </w:r>
    </w:p>
    <w:p>
      <w:pPr>
        <w:widowControl/>
      </w:pPr>
      <w:r>
        <w:rPr>
          <w:b w:val="0"/>
          <w:i w:val="0"/>
        </w:rPr>
        <w:t xml:space="preserve">Intelligible, capable of being intellectually known, with a refined distinction from intellectual representation. Ficino sometimes uses the term for a mental form but calls the known essence intelligible in the more precise Platonic distinction. References: </w:t>
      </w:r>
      <w:hyperlink w:anchor="passage-viii-1-3">
        <w:r>
          <w:rPr>
            <w:color w:val="000000"/>
          </w:rPr>
          <w:t xml:space="preserve">VIII.1.3</w:t>
        </w:r>
      </w:hyperlink>
      <w:r>
        <w:rPr>
          <w:b w:val="0"/>
          <w:i w:val="0"/>
        </w:rPr>
        <w:t xml:space="preserve">, </w:t>
      </w:r>
      <w:hyperlink w:anchor="passage-viii-1-5">
        <w:r>
          <w:rPr>
            <w:color w:val="000000"/>
          </w:rPr>
          <w:t xml:space="preserve">VIII.1.5</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7">
        <w:r>
          <w:rPr>
            <w:color w:val="000000"/>
          </w:rPr>
          <w:t xml:space="preserve">VIII.4.7</w:t>
        </w:r>
      </w:hyperlink>
      <w:r>
        <w:rPr>
          <w:b w:val="0"/>
          <w:i w:val="0"/>
        </w:rPr>
        <w:t xml:space="preserve">, </w:t>
      </w:r>
      <w:hyperlink w:anchor="passage-viii-4-9">
        <w:r>
          <w:rPr>
            <w:color w:val="000000"/>
          </w:rPr>
          <w:t xml:space="preserve">VIII.4.9</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908" w:name="latin-record-0667"/>
      <w:bookmarkEnd w:id="908"/>
      <w:r>
        <w:rPr>
          <w:b/>
          <w:i w:val="0"/>
        </w:rPr>
        <w:t>intelligibilis; intelligens</w:t>
      </w:r>
      <w:r>
        <w:rPr>
          <w:b/>
          <w:i w:val="0"/>
        </w:rPr>
        <w:t>.</w:t>
      </w:r>
      <w:r>
        <w:rPr>
          <w:b w:val="0"/>
          <w:i w:val="0"/>
        </w:rPr>
        <w:t xml:space="preserve"> Printed forms: </w:t>
      </w:r>
      <w:r>
        <w:rPr>
          <w:b w:val="0"/>
          <w:i/>
        </w:rPr>
        <w:t>intelligentem</w:t>
      </w:r>
      <w:r>
        <w:rPr>
          <w:b w:val="0"/>
          <w:i w:val="0"/>
        </w:rPr>
        <w:t xml:space="preserve">; </w:t>
      </w:r>
      <w:r>
        <w:rPr>
          <w:b w:val="0"/>
          <w:i/>
        </w:rPr>
        <w:t>intelligibilem</w:t>
      </w:r>
      <w:r>
        <w:rPr>
          <w:b w:val="0"/>
          <w:i w:val="0"/>
        </w:rPr>
        <w:t>.</w:t>
      </w:r>
    </w:p>
    <w:p>
      <w:pPr>
        <w:widowControl/>
      </w:pPr>
      <w:r>
        <w:rPr>
          <w:b w:val="0"/>
          <w:i w:val="0"/>
        </w:rPr>
        <w:t xml:space="preserve">Intelligible, available to intellect; intelligent, itself understanding. Both predicates describe the imagined invisible light, and neither should be used as a substitute for the other. References: </w:t>
      </w:r>
      <w:hyperlink w:anchor="passage-vi-2-26">
        <w:r>
          <w:rPr>
            <w:color w:val="000000"/>
          </w:rPr>
          <w:t xml:space="preserve">VI.2.26</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909" w:name="latin-record-0668"/>
      <w:bookmarkEnd w:id="909"/>
      <w:r>
        <w:rPr>
          <w:b/>
          <w:i w:val="0"/>
        </w:rPr>
        <w:t>intensius / remissius</w:t>
      </w:r>
      <w:r>
        <w:rPr>
          <w:b/>
          <w:i w:val="0"/>
        </w:rPr>
        <w:t>.</w:t>
      </w:r>
      <w:r>
        <w:rPr>
          <w:b w:val="0"/>
          <w:i w:val="0"/>
        </w:rPr>
        <w:t xml:space="preserve"> Printed forms: </w:t>
      </w:r>
      <w:r>
        <w:rPr>
          <w:b w:val="0"/>
          <w:i/>
        </w:rPr>
        <w:t>intensius</w:t>
      </w:r>
      <w:r>
        <w:rPr>
          <w:b w:val="0"/>
          <w:i w:val="0"/>
        </w:rPr>
        <w:t xml:space="preserve">; </w:t>
      </w:r>
      <w:r>
        <w:rPr>
          <w:b w:val="0"/>
          <w:i/>
        </w:rPr>
        <w:t>remissius</w:t>
      </w:r>
      <w:r>
        <w:rPr>
          <w:b w:val="0"/>
          <w:i w:val="0"/>
        </w:rPr>
        <w:t>.</w:t>
      </w:r>
    </w:p>
    <w:p>
      <w:pPr>
        <w:widowControl/>
      </w:pPr>
      <w:r>
        <w:rPr>
          <w:b w:val="0"/>
          <w:i w:val="0"/>
        </w:rPr>
        <w:t xml:space="preserve">More intensely and less intensely. Different organs can manifest different intensity without the soul being spatially larger in one and smaller in another. References: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910" w:name="latin-record-0669"/>
      <w:bookmarkEnd w:id="910"/>
      <w:r>
        <w:rPr>
          <w:b/>
          <w:i w:val="0"/>
        </w:rPr>
        <w:t>intentio</w:t>
      </w:r>
      <w:r>
        <w:rPr>
          <w:b/>
          <w:i w:val="0"/>
        </w:rPr>
        <w:t>.</w:t>
      </w:r>
      <w:r>
        <w:rPr>
          <w:b w:val="0"/>
          <w:i w:val="0"/>
        </w:rPr>
        <w:t xml:space="preserve"> Printed forms: </w:t>
      </w:r>
      <w:r>
        <w:rPr>
          <w:b w:val="0"/>
          <w:i/>
        </w:rPr>
        <w:t>intentio</w:t>
      </w:r>
      <w:r>
        <w:rPr>
          <w:b w:val="0"/>
          <w:i w:val="0"/>
        </w:rPr>
        <w:t xml:space="preserve">; </w:t>
      </w:r>
      <w:r>
        <w:rPr>
          <w:b w:val="0"/>
          <w:i/>
        </w:rPr>
        <w:t>intentionem</w:t>
      </w:r>
      <w:r>
        <w:rPr>
          <w:b w:val="0"/>
          <w:i w:val="0"/>
        </w:rPr>
        <w:t xml:space="preserve">; </w:t>
      </w:r>
      <w:r>
        <w:rPr>
          <w:b w:val="0"/>
          <w:i/>
        </w:rPr>
        <w:t>intentionem mentis</w:t>
      </w:r>
      <w:r>
        <w:rPr>
          <w:b w:val="0"/>
          <w:i w:val="0"/>
        </w:rPr>
        <w:t xml:space="preserve">; </w:t>
      </w:r>
      <w:r>
        <w:rPr>
          <w:b w:val="0"/>
          <w:i/>
        </w:rPr>
        <w:t>intentiones</w:t>
      </w:r>
      <w:r>
        <w:rPr>
          <w:b w:val="0"/>
          <w:i w:val="0"/>
        </w:rPr>
        <w:t xml:space="preserve">; </w:t>
      </w:r>
      <w:r>
        <w:rPr>
          <w:b w:val="0"/>
          <w:i/>
        </w:rPr>
        <w:t>intentionum</w:t>
      </w:r>
      <w:r>
        <w:rPr>
          <w:b w:val="0"/>
          <w:i w:val="0"/>
        </w:rPr>
        <w:t>.</w:t>
      </w:r>
    </w:p>
    <w:p>
      <w:pPr>
        <w:widowControl/>
      </w:pPr>
      <w:r>
        <w:rPr>
          <w:b w:val="0"/>
          <w:i w:val="0"/>
        </w:rPr>
        <w:t xml:space="preserve">Directed attention, distinct from the overarching plan. Its relation to present work and its withdrawal from bodily senses illustrate the mind’s different orientations. References: </w:t>
      </w:r>
      <w:hyperlink w:anchor="passage-v-15-5">
        <w:r>
          <w:rPr>
            <w:color w:val="000000"/>
          </w:rPr>
          <w:t xml:space="preserve">V.15.5</w:t>
        </w:r>
      </w:hyperlink>
      <w:r>
        <w:rPr>
          <w:b w:val="0"/>
          <w:i w:val="0"/>
        </w:rPr>
        <w:t xml:space="preserve">, </w:t>
      </w:r>
      <w:hyperlink w:anchor="passage-v-15-9">
        <w:r>
          <w:rPr>
            <w:color w:val="000000"/>
          </w:rPr>
          <w:t xml:space="preserve">V.15.9</w:t>
        </w:r>
      </w:hyperlink>
      <w:r>
        <w:rPr>
          <w:b w:val="0"/>
          <w:i w:val="0"/>
        </w:rPr>
        <w:t xml:space="preserve">. See </w:t>
      </w:r>
      <w:hyperlink w:anchor="time-memory-and-expectation">
        <w:r>
          <w:rPr>
            <w:color w:val="000000"/>
          </w:rPr>
          <w:t xml:space="preserve">Time, memory and expectation</w:t>
        </w:r>
      </w:hyperlink>
      <w:r>
        <w:rPr>
          <w:b w:val="0"/>
          <w:i w:val="0"/>
        </w:rPr>
        <w:t>.</w:t>
      </w:r>
    </w:p>
    <w:p>
      <w:pPr>
        <w:widowControl/>
      </w:pPr>
      <w:r>
        <w:rPr>
          <w:b w:val="0"/>
          <w:i w:val="0"/>
        </w:rPr>
        <w:t xml:space="preserve">A meaningful particular content discerned through an image, such as this person’s goodness or friendship. It is called incorporeal only in a qualified manner at the phantasy stage, which does not yet recognize that status.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911" w:name="latin-record-0670"/>
      <w:bookmarkEnd w:id="911"/>
      <w:r>
        <w:rPr>
          <w:b/>
          <w:i w:val="0"/>
        </w:rPr>
        <w:t>intercidere / interponere</w:t>
      </w:r>
      <w:r>
        <w:rPr>
          <w:b/>
          <w:i w:val="0"/>
        </w:rPr>
        <w:t>.</w:t>
      </w:r>
      <w:r>
        <w:rPr>
          <w:b w:val="0"/>
          <w:i w:val="0"/>
        </w:rPr>
        <w:t xml:space="preserve"> Printed forms: </w:t>
      </w:r>
      <w:r>
        <w:rPr>
          <w:b w:val="0"/>
          <w:i/>
        </w:rPr>
        <w:t>intercidet</w:t>
      </w:r>
      <w:r>
        <w:rPr>
          <w:b w:val="0"/>
          <w:i w:val="0"/>
        </w:rPr>
        <w:t xml:space="preserve">; </w:t>
      </w:r>
      <w:r>
        <w:rPr>
          <w:b w:val="0"/>
          <w:i/>
        </w:rPr>
        <w:t>intercidit</w:t>
      </w:r>
      <w:r>
        <w:rPr>
          <w:b w:val="0"/>
          <w:i w:val="0"/>
        </w:rPr>
        <w:t>.</w:t>
      </w:r>
    </w:p>
    <w:p>
      <w:pPr>
        <w:widowControl/>
      </w:pPr>
      <w:r>
        <w:rPr>
          <w:b w:val="0"/>
          <w:i w:val="0"/>
        </w:rPr>
        <w:t xml:space="preserve">To fall or stand between two terms as an intermediary. Nothing can be closer to the soul’s form than its own essence, so no middle term can sever the supposed bond. References: </w:t>
      </w:r>
      <w:hyperlink w:anchor="passage-v-8-4">
        <w:r>
          <w:rPr>
            <w:color w:val="000000"/>
          </w:rPr>
          <w:t xml:space="preserve">V.8.4</w:t>
        </w:r>
      </w:hyperlink>
      <w:r>
        <w:rPr>
          <w:b w:val="0"/>
          <w:i w:val="0"/>
        </w:rPr>
        <w:t xml:space="preserve">, </w:t>
      </w:r>
      <w:hyperlink w:anchor="passage-v-9-2">
        <w:r>
          <w:rPr>
            <w:color w:val="000000"/>
          </w:rPr>
          <w:t xml:space="preserve">V.9.2</w:t>
        </w:r>
      </w:hyperlink>
      <w:r>
        <w:rPr>
          <w:b w:val="0"/>
          <w:i w:val="0"/>
        </w:rPr>
        <w:t xml:space="preserve">, </w:t>
      </w:r>
      <w:hyperlink w:anchor="passage-v-13-17">
        <w:r>
          <w:rPr>
            <w:color w:val="000000"/>
          </w:rPr>
          <w:t xml:space="preserve">V.13.17</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912" w:name="latin-record-0671"/>
      <w:bookmarkEnd w:id="912"/>
      <w:r>
        <w:rPr>
          <w:b/>
          <w:i w:val="0"/>
        </w:rPr>
        <w:t>interire / perire / abire</w:t>
      </w:r>
      <w:r>
        <w:rPr>
          <w:b/>
          <w:i w:val="0"/>
        </w:rPr>
        <w:t>.</w:t>
      </w:r>
      <w:r>
        <w:rPr>
          <w:b w:val="0"/>
          <w:i w:val="0"/>
        </w:rPr>
        <w:t xml:space="preserve"> Printed forms: </w:t>
      </w:r>
      <w:r>
        <w:rPr>
          <w:b w:val="0"/>
          <w:i/>
        </w:rPr>
        <w:t>abit</w:t>
      </w:r>
      <w:r>
        <w:rPr>
          <w:b w:val="0"/>
          <w:i w:val="0"/>
        </w:rPr>
        <w:t xml:space="preserve">; </w:t>
      </w:r>
      <w:r>
        <w:rPr>
          <w:b w:val="0"/>
          <w:i/>
        </w:rPr>
        <w:t>interit</w:t>
      </w:r>
      <w:r>
        <w:rPr>
          <w:b w:val="0"/>
          <w:i w:val="0"/>
        </w:rPr>
        <w:t xml:space="preserve">; </w:t>
      </w:r>
      <w:r>
        <w:rPr>
          <w:b w:val="0"/>
          <w:i/>
        </w:rPr>
        <w:t>perit</w:t>
      </w:r>
      <w:r>
        <w:rPr>
          <w:b w:val="0"/>
          <w:i w:val="0"/>
        </w:rPr>
        <w:t>.</w:t>
      </w:r>
    </w:p>
    <w:p>
      <w:pPr>
        <w:widowControl/>
      </w:pPr>
      <w:r>
        <w:rPr>
          <w:b w:val="0"/>
          <w:i w:val="0"/>
        </w:rPr>
        <w:t xml:space="preserve">To perish or cease, and to depart or disappear. The old soul, cutting-point and mirror-image cease in their respective examples; none is simply divided into surviving halves.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913" w:name="latin-record-0672"/>
      <w:bookmarkEnd w:id="913"/>
      <w:r>
        <w:rPr>
          <w:b/>
          <w:i w:val="0"/>
        </w:rPr>
        <w:t>interminatus</w:t>
      </w:r>
      <w:r>
        <w:rPr>
          <w:b/>
          <w:i w:val="0"/>
        </w:rPr>
        <w:t>.</w:t>
      </w:r>
      <w:r>
        <w:rPr>
          <w:b w:val="0"/>
          <w:i w:val="0"/>
        </w:rPr>
        <w:t xml:space="preserve"> Printed forms: </w:t>
      </w:r>
      <w:r>
        <w:rPr>
          <w:b w:val="0"/>
          <w:i/>
        </w:rPr>
        <w:t>interminatam</w:t>
      </w:r>
      <w:r>
        <w:rPr>
          <w:b w:val="0"/>
          <w:i w:val="0"/>
        </w:rPr>
        <w:t>.</w:t>
      </w:r>
    </w:p>
    <w:p>
      <w:pPr>
        <w:widowControl/>
      </w:pPr>
      <w:r>
        <w:rPr>
          <w:b w:val="0"/>
          <w:i w:val="0"/>
        </w:rPr>
        <w:t xml:space="preserve">Unbounded or without a determinate limit in the specified respect. Ficino introduces the description cautiously, ut ita loquar, for mind’s power as it discovers and defines infinity. The subsequent conclusion remains qualified: intellectual scope is not identical with God’s absolute infinity or with a completed infinite multitude. References: </w:t>
      </w:r>
      <w:hyperlink w:anchor="passage-viii-16-3">
        <w:r>
          <w:rPr>
            <w:color w:val="000000"/>
          </w:rPr>
          <w:t xml:space="preserve">VIII.16.3</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914" w:name="latin-record-0673"/>
      <w:bookmarkEnd w:id="914"/>
      <w:r>
        <w:rPr>
          <w:b/>
          <w:i w:val="0"/>
        </w:rPr>
        <w:t>intermittere; aberrare</w:t>
      </w:r>
      <w:r>
        <w:rPr>
          <w:b/>
          <w:i w:val="0"/>
        </w:rPr>
        <w:t>.</w:t>
      </w:r>
      <w:r>
        <w:rPr>
          <w:b w:val="0"/>
          <w:i w:val="0"/>
        </w:rPr>
        <w:t xml:space="preserve"> Printed forms: </w:t>
      </w:r>
      <w:r>
        <w:rPr>
          <w:b w:val="0"/>
          <w:i/>
        </w:rPr>
        <w:t>aberrare</w:t>
      </w:r>
      <w:r>
        <w:rPr>
          <w:b w:val="0"/>
          <w:i w:val="0"/>
        </w:rPr>
        <w:t xml:space="preserve">; </w:t>
      </w:r>
      <w:r>
        <w:rPr>
          <w:b w:val="0"/>
          <w:i/>
        </w:rPr>
        <w:t>intermitti</w:t>
      </w:r>
      <w:r>
        <w:rPr>
          <w:b w:val="0"/>
          <w:i w:val="0"/>
        </w:rPr>
        <w:t>.</w:t>
      </w:r>
    </w:p>
    <w:p>
      <w:pPr>
        <w:widowControl/>
      </w:pPr>
      <w:r>
        <w:rPr>
          <w:b w:val="0"/>
          <w:i w:val="0"/>
        </w:rPr>
        <w:t xml:space="preserve">To be interrupted and to go astray. These possibilities apply to powers and acts while the essence’s vital activity continues. References: </w:t>
      </w:r>
      <w:hyperlink w:anchor="passage-vi-12-12">
        <w:r>
          <w:rPr>
            <w:color w:val="000000"/>
          </w:rPr>
          <w:t xml:space="preserve">VI.12.12</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915" w:name="latin-record-0674"/>
      <w:bookmarkEnd w:id="915"/>
      <w:r>
        <w:rPr>
          <w:b/>
          <w:i w:val="0"/>
        </w:rPr>
        <w:t>internuntius / mora</w:t>
      </w:r>
      <w:r>
        <w:rPr>
          <w:b/>
          <w:i w:val="0"/>
        </w:rPr>
        <w:t>.</w:t>
      </w:r>
      <w:r>
        <w:rPr>
          <w:b w:val="0"/>
          <w:i w:val="0"/>
        </w:rPr>
        <w:t xml:space="preserve"> Printed forms: </w:t>
      </w:r>
      <w:r>
        <w:rPr>
          <w:b w:val="0"/>
          <w:i/>
        </w:rPr>
        <w:t>internuntio</w:t>
      </w:r>
      <w:r>
        <w:rPr>
          <w:b w:val="0"/>
          <w:i w:val="0"/>
        </w:rPr>
        <w:t xml:space="preserve">; </w:t>
      </w:r>
      <w:r>
        <w:rPr>
          <w:b w:val="0"/>
          <w:i/>
        </w:rPr>
        <w:t>mora</w:t>
      </w:r>
      <w:r>
        <w:rPr>
          <w:b w:val="0"/>
          <w:i w:val="0"/>
        </w:rPr>
        <w:t>.</w:t>
      </w:r>
    </w:p>
    <w:p>
      <w:pPr>
        <w:widowControl/>
      </w:pPr>
      <w:r>
        <w:rPr>
          <w:b w:val="0"/>
          <w:i w:val="0"/>
        </w:rPr>
        <w:t xml:space="preserve">Intermediary messenger and delay. The soul’s whole co-awareness is described as immediate, without a relay of mutually isolated soul-parts.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916" w:name="latin-record-0675"/>
      <w:bookmarkEnd w:id="916"/>
      <w:r>
        <w:rPr>
          <w:b/>
          <w:i w:val="0"/>
        </w:rPr>
        <w:t>intervallum / distantia</w:t>
      </w:r>
      <w:r>
        <w:rPr>
          <w:b/>
          <w:i w:val="0"/>
        </w:rPr>
        <w:t>.</w:t>
      </w:r>
      <w:r>
        <w:rPr>
          <w:b w:val="0"/>
          <w:i w:val="0"/>
        </w:rPr>
        <w:t xml:space="preserve"> Printed forms: </w:t>
      </w:r>
      <w:r>
        <w:rPr>
          <w:b w:val="0"/>
          <w:i/>
        </w:rPr>
        <w:t>Distantia</w:t>
      </w:r>
      <w:r>
        <w:rPr>
          <w:b w:val="0"/>
          <w:i w:val="0"/>
        </w:rPr>
        <w:t xml:space="preserve">; </w:t>
      </w:r>
      <w:r>
        <w:rPr>
          <w:b w:val="0"/>
          <w:i/>
        </w:rPr>
        <w:t>distantia</w:t>
      </w:r>
      <w:r>
        <w:rPr>
          <w:b w:val="0"/>
          <w:i w:val="0"/>
        </w:rPr>
        <w:t xml:space="preserve">; </w:t>
      </w:r>
      <w:r>
        <w:rPr>
          <w:b w:val="0"/>
          <w:i/>
        </w:rPr>
        <w:t>Distantiam</w:t>
      </w:r>
      <w:r>
        <w:rPr>
          <w:b w:val="0"/>
          <w:i w:val="0"/>
        </w:rPr>
        <w:t xml:space="preserve">; </w:t>
      </w:r>
      <w:r>
        <w:rPr>
          <w:b w:val="0"/>
          <w:i/>
        </w:rPr>
        <w:t>intervallum</w:t>
      </w:r>
      <w:r>
        <w:rPr>
          <w:b w:val="0"/>
          <w:i w:val="0"/>
        </w:rPr>
        <w:t>.</w:t>
      </w:r>
    </w:p>
    <w:p>
      <w:pPr>
        <w:widowControl/>
      </w:pPr>
      <w:r>
        <w:rPr>
          <w:b w:val="0"/>
          <w:i w:val="0"/>
        </w:rPr>
        <w:t xml:space="preserve">An interval or distance, spatial in imagery but explanatory in the creation argument. The greater the gap between potentiality and result, the greater the power required; nothing-to-being is then described as infinite. References: </w:t>
      </w:r>
      <w:hyperlink w:anchor="passage-v-13-5">
        <w:r>
          <w:rPr>
            <w:color w:val="000000"/>
          </w:rPr>
          <w:t xml:space="preserve">V.13.5</w:t>
        </w:r>
      </w:hyperlink>
      <w:r>
        <w:rPr>
          <w:b w:val="0"/>
          <w:i w:val="0"/>
        </w:rPr>
        <w:t xml:space="preserve">, </w:t>
      </w:r>
      <w:hyperlink w:anchor="passage-v-13-6">
        <w:r>
          <w:rPr>
            <w:color w:val="000000"/>
          </w:rPr>
          <w:t xml:space="preserve">V.13.6</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917" w:name="latin-record-0676"/>
      <w:bookmarkEnd w:id="917"/>
      <w:r>
        <w:rPr>
          <w:b/>
          <w:i w:val="0"/>
        </w:rPr>
        <w:t>intervallum temporis</w:t>
      </w:r>
      <w:r>
        <w:rPr>
          <w:b/>
          <w:i w:val="0"/>
        </w:rPr>
        <w:t>.</w:t>
      </w:r>
      <w:r>
        <w:rPr>
          <w:b w:val="0"/>
          <w:i w:val="0"/>
        </w:rPr>
        <w:t xml:space="preserve"> Printed forms: </w:t>
      </w:r>
      <w:r>
        <w:rPr>
          <w:b w:val="0"/>
          <w:i/>
        </w:rPr>
        <w:t>momento temporis</w:t>
      </w:r>
      <w:r>
        <w:rPr>
          <w:b w:val="0"/>
          <w:i w:val="0"/>
        </w:rPr>
        <w:t xml:space="preserve">; </w:t>
      </w:r>
      <w:r>
        <w:rPr>
          <w:b w:val="0"/>
          <w:i/>
        </w:rPr>
        <w:t>temporis intervallo</w:t>
      </w:r>
      <w:r>
        <w:rPr>
          <w:b w:val="0"/>
          <w:i w:val="0"/>
        </w:rPr>
        <w:t>.</w:t>
      </w:r>
    </w:p>
    <w:p>
      <w:pPr>
        <w:widowControl/>
      </w:pPr>
      <w:r>
        <w:rPr>
          <w:b w:val="0"/>
          <w:i w:val="0"/>
        </w:rPr>
        <w:t xml:space="preserve">An interval and an instant of time. Bodily divisibility is contrasted with the soul’s claimed capacity for instantaneous operation. References: </w:t>
      </w:r>
      <w:hyperlink w:anchor="passage-vi-6-4">
        <w:r>
          <w:rPr>
            <w:color w:val="000000"/>
          </w:rPr>
          <w:t xml:space="preserve">VI.6.4</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918" w:name="latin-record-0677"/>
      <w:bookmarkEnd w:id="918"/>
      <w:r>
        <w:rPr>
          <w:b/>
          <w:i w:val="0"/>
        </w:rPr>
        <w:t>intimus ordinator</w:t>
      </w:r>
      <w:r>
        <w:rPr>
          <w:b/>
          <w:i w:val="0"/>
        </w:rPr>
        <w:t>.</w:t>
      </w:r>
      <w:r>
        <w:rPr>
          <w:b w:val="0"/>
          <w:i w:val="0"/>
        </w:rPr>
        <w:t xml:space="preserve"> Printed forms: </w:t>
      </w:r>
      <w:r>
        <w:rPr>
          <w:b w:val="0"/>
          <w:i/>
        </w:rPr>
        <w:t>intimus ordinator</w:t>
      </w:r>
      <w:r>
        <w:rPr>
          <w:b w:val="0"/>
          <w:i w:val="0"/>
        </w:rPr>
        <w:t>.</w:t>
      </w:r>
    </w:p>
    <w:p>
      <w:pPr>
        <w:widowControl/>
      </w:pPr>
      <w:r>
        <w:rPr>
          <w:b w:val="0"/>
          <w:i w:val="0"/>
        </w:rPr>
        <w:t xml:space="preserve">The inward source ordering the conjunction. If life follows a particular arrangement, Ficino assigns explanatory priority to its orderer rather than to lifeless elements as such. References: </w:t>
      </w:r>
      <w:hyperlink w:anchor="passage-vi-11-1">
        <w:r>
          <w:rPr>
            <w:color w:val="000000"/>
          </w:rPr>
          <w:t xml:space="preserve">VI.11.1</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919" w:name="latin-record-0678"/>
      <w:bookmarkEnd w:id="919"/>
      <w:r>
        <w:rPr>
          <w:b/>
          <w:i w:val="0"/>
        </w:rPr>
        <w:t>intimus; absque medio</w:t>
      </w:r>
      <w:r>
        <w:rPr>
          <w:b/>
          <w:i w:val="0"/>
        </w:rPr>
        <w:t>.</w:t>
      </w:r>
      <w:r>
        <w:rPr>
          <w:b w:val="0"/>
          <w:i w:val="0"/>
        </w:rPr>
        <w:t xml:space="preserve"> Printed forms: </w:t>
      </w:r>
      <w:r>
        <w:rPr>
          <w:b w:val="0"/>
          <w:i/>
        </w:rPr>
        <w:t>absque medio</w:t>
      </w:r>
      <w:r>
        <w:rPr>
          <w:b w:val="0"/>
          <w:i w:val="0"/>
        </w:rPr>
        <w:t xml:space="preserve">; </w:t>
      </w:r>
      <w:r>
        <w:rPr>
          <w:b w:val="0"/>
          <w:i/>
        </w:rPr>
        <w:t>intima</w:t>
      </w:r>
      <w:r>
        <w:rPr>
          <w:b w:val="0"/>
          <w:i w:val="0"/>
        </w:rPr>
        <w:t>.</w:t>
      </w:r>
    </w:p>
    <w:p>
      <w:pPr>
        <w:widowControl/>
      </w:pPr>
      <w:r>
        <w:rPr>
          <w:b w:val="0"/>
          <w:i w:val="0"/>
        </w:rPr>
        <w:t xml:space="preserve">Inward or intimate; without an intermediary. The source of substantial being must be immediately united to the body and parts it animates. References: </w:t>
      </w:r>
      <w:hyperlink w:anchor="passage-vi-9-2">
        <w:r>
          <w:rPr>
            <w:color w:val="000000"/>
          </w:rPr>
          <w:t xml:space="preserve">VI.9.2</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920" w:name="latin-record-0679"/>
      <w:bookmarkEnd w:id="920"/>
      <w:r>
        <w:rPr>
          <w:b/>
          <w:i w:val="0"/>
        </w:rPr>
        <w:t>intrinsecus; extrinsecus</w:t>
      </w:r>
      <w:r>
        <w:rPr>
          <w:b/>
          <w:i w:val="0"/>
        </w:rPr>
        <w:t>.</w:t>
      </w:r>
      <w:r>
        <w:rPr>
          <w:b w:val="0"/>
          <w:i w:val="0"/>
        </w:rPr>
        <w:t xml:space="preserve"> Printed forms: </w:t>
      </w:r>
      <w:r>
        <w:rPr>
          <w:b w:val="0"/>
          <w:i/>
        </w:rPr>
        <w:t>externo</w:t>
      </w:r>
      <w:r>
        <w:rPr>
          <w:b w:val="0"/>
          <w:i w:val="0"/>
        </w:rPr>
        <w:t xml:space="preserve">; </w:t>
      </w:r>
      <w:r>
        <w:rPr>
          <w:b w:val="0"/>
          <w:i/>
        </w:rPr>
        <w:t>intrinseco</w:t>
      </w:r>
      <w:r>
        <w:rPr>
          <w:b w:val="0"/>
          <w:i w:val="0"/>
        </w:rPr>
        <w:t xml:space="preserve">; </w:t>
      </w:r>
      <w:r>
        <w:rPr>
          <w:b w:val="0"/>
          <w:i/>
        </w:rPr>
        <w:t>sui met agitatricem</w:t>
      </w:r>
      <w:r>
        <w:rPr>
          <w:b w:val="0"/>
          <w:i w:val="0"/>
        </w:rPr>
        <w:t>.</w:t>
      </w:r>
    </w:p>
    <w:p>
      <w:pPr>
        <w:widowControl/>
      </w:pPr>
      <w:r>
        <w:rPr>
          <w:b w:val="0"/>
          <w:i w:val="0"/>
        </w:rPr>
        <w:t xml:space="preserve">Inward and external; a nature moving itself. The text requires an inward soul rather than another external push; P1641’s opposing reading is not adopted. References: </w:t>
      </w:r>
      <w:hyperlink w:anchor="passage-vi-12-7">
        <w:r>
          <w:rPr>
            <w:color w:val="000000"/>
          </w:rPr>
          <w:t xml:space="preserve">VI.12.7</w:t>
        </w:r>
      </w:hyperlink>
      <w:r>
        <w:rPr>
          <w:b w:val="0"/>
          <w:i w:val="0"/>
        </w:rPr>
        <w:t xml:space="preserve">, </w:t>
      </w:r>
      <w:hyperlink w:anchor="passage-vi-12-8">
        <w:r>
          <w:rPr>
            <w:color w:val="000000"/>
          </w:rPr>
          <w:t xml:space="preserve">VI.12.8</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921" w:name="latin-record-0680"/>
      <w:bookmarkEnd w:id="921"/>
      <w:r>
        <w:rPr>
          <w:b/>
          <w:i w:val="0"/>
        </w:rPr>
        <w:t>intueri</w:t>
      </w:r>
      <w:r>
        <w:rPr>
          <w:b/>
          <w:i w:val="0"/>
        </w:rPr>
        <w:t>.</w:t>
      </w:r>
      <w:r>
        <w:rPr>
          <w:b w:val="0"/>
          <w:i w:val="0"/>
        </w:rPr>
        <w:t xml:space="preserve"> Printed forms: </w:t>
      </w:r>
      <w:r>
        <w:rPr>
          <w:b w:val="0"/>
          <w:i/>
        </w:rPr>
        <w:t>intueri</w:t>
      </w:r>
      <w:r>
        <w:rPr>
          <w:b w:val="0"/>
          <w:i w:val="0"/>
        </w:rPr>
        <w:t xml:space="preserve">; </w:t>
      </w:r>
      <w:r>
        <w:rPr>
          <w:b w:val="0"/>
          <w:i/>
        </w:rPr>
        <w:t>intuetur</w:t>
      </w:r>
      <w:r>
        <w:rPr>
          <w:b w:val="0"/>
          <w:i w:val="0"/>
        </w:rPr>
        <w:t>.</w:t>
      </w:r>
    </w:p>
    <w:p>
      <w:pPr>
        <w:widowControl/>
      </w:pPr>
      <w:r>
        <w:rPr>
          <w:b w:val="0"/>
          <w:i w:val="0"/>
        </w:rPr>
        <w:t xml:space="preserve">To contemplate or behold intellectually. The mind’s seeing of stable objects is explicitly without a bodily instrument and not a local conjunction. References: </w:t>
      </w:r>
      <w:hyperlink w:anchor="passage-v-15-9">
        <w:r>
          <w:rPr>
            <w:color w:val="000000"/>
          </w:rPr>
          <w:t xml:space="preserve">V.15.9</w:t>
        </w:r>
      </w:hyperlink>
      <w:r>
        <w:rPr>
          <w:b w:val="0"/>
          <w:i w:val="0"/>
        </w:rPr>
        <w:t xml:space="preserve">, </w:t>
      </w:r>
      <w:hyperlink w:anchor="passage-v-15-12">
        <w:r>
          <w:rPr>
            <w:color w:val="000000"/>
          </w:rPr>
          <w:t xml:space="preserve">V.15.12</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922" w:name="latin-record-0681"/>
      <w:bookmarkEnd w:id="922"/>
      <w:r>
        <w:rPr>
          <w:b/>
          <w:i w:val="0"/>
        </w:rPr>
        <w:t>intueri; colligere</w:t>
      </w:r>
      <w:r>
        <w:rPr>
          <w:b/>
          <w:i w:val="0"/>
        </w:rPr>
        <w:t>.</w:t>
      </w:r>
      <w:r>
        <w:rPr>
          <w:b w:val="0"/>
          <w:i w:val="0"/>
        </w:rPr>
        <w:t xml:space="preserve"> Printed forms: </w:t>
      </w:r>
      <w:r>
        <w:rPr>
          <w:b w:val="0"/>
          <w:i/>
        </w:rPr>
        <w:t>intuetur</w:t>
      </w:r>
      <w:r>
        <w:rPr>
          <w:b w:val="0"/>
          <w:i w:val="0"/>
        </w:rPr>
        <w:t xml:space="preserve">; </w:t>
      </w:r>
      <w:r>
        <w:rPr>
          <w:b w:val="0"/>
          <w:i/>
        </w:rPr>
        <w:t>sese colligit</w:t>
      </w:r>
      <w:r>
        <w:rPr>
          <w:b w:val="0"/>
          <w:i w:val="0"/>
        </w:rPr>
        <w:t>.</w:t>
      </w:r>
    </w:p>
    <w:p>
      <w:pPr>
        <w:widowControl/>
      </w:pPr>
      <w:r>
        <w:rPr>
          <w:b w:val="0"/>
          <w:i w:val="0"/>
        </w:rPr>
        <w:t xml:space="preserve">To behold directly and gather oneself together. Sudden insight and collected attention furnish psychic counterparts of condensation.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923" w:name="latin-record-0682"/>
      <w:bookmarkEnd w:id="923"/>
      <w:r>
        <w:rPr>
          <w:b/>
          <w:i w:val="0"/>
        </w:rPr>
        <w:t>intuitus / intueri / conspicere</w:t>
      </w:r>
      <w:r>
        <w:rPr>
          <w:b/>
          <w:i w:val="0"/>
        </w:rPr>
        <w:t>.</w:t>
      </w:r>
      <w:r>
        <w:rPr>
          <w:b w:val="0"/>
          <w:i w:val="0"/>
        </w:rPr>
        <w:t xml:space="preserve"> Printed forms: </w:t>
      </w:r>
      <w:r>
        <w:rPr>
          <w:b w:val="0"/>
          <w:i/>
        </w:rPr>
        <w:t>conspiciat</w:t>
      </w:r>
      <w:r>
        <w:rPr>
          <w:b w:val="0"/>
          <w:i w:val="0"/>
        </w:rPr>
        <w:t xml:space="preserve">; </w:t>
      </w:r>
      <w:r>
        <w:rPr>
          <w:b w:val="0"/>
          <w:i/>
        </w:rPr>
        <w:t>conspicit</w:t>
      </w:r>
      <w:r>
        <w:rPr>
          <w:b w:val="0"/>
          <w:i w:val="0"/>
        </w:rPr>
        <w:t xml:space="preserve">; </w:t>
      </w:r>
      <w:r>
        <w:rPr>
          <w:b w:val="0"/>
          <w:i/>
        </w:rPr>
        <w:t>conspicitur</w:t>
      </w:r>
      <w:r>
        <w:rPr>
          <w:b w:val="0"/>
          <w:i w:val="0"/>
        </w:rPr>
        <w:t xml:space="preserve">; </w:t>
      </w:r>
      <w:r>
        <w:rPr>
          <w:b w:val="0"/>
          <w:i/>
        </w:rPr>
        <w:t>intueri</w:t>
      </w:r>
      <w:r>
        <w:rPr>
          <w:b w:val="0"/>
          <w:i w:val="0"/>
        </w:rPr>
        <w:t xml:space="preserve">; </w:t>
      </w:r>
      <w:r>
        <w:rPr>
          <w:b w:val="0"/>
          <w:i/>
        </w:rPr>
        <w:t>intuetur</w:t>
      </w:r>
      <w:r>
        <w:rPr>
          <w:b w:val="0"/>
          <w:i w:val="0"/>
        </w:rPr>
        <w:t xml:space="preserve">; </w:t>
      </w:r>
      <w:r>
        <w:rPr>
          <w:b w:val="0"/>
          <w:i/>
        </w:rPr>
        <w:t>intuitum</w:t>
      </w:r>
      <w:r>
        <w:rPr>
          <w:b w:val="0"/>
          <w:i w:val="0"/>
        </w:rPr>
        <w:t xml:space="preserve">; </w:t>
      </w:r>
      <w:r>
        <w:rPr>
          <w:b w:val="0"/>
          <w:i/>
        </w:rPr>
        <w:t>intuitus</w:t>
      </w:r>
      <w:r>
        <w:rPr>
          <w:b w:val="0"/>
          <w:i w:val="0"/>
        </w:rPr>
        <w:t>.</w:t>
      </w:r>
    </w:p>
    <w:p>
      <w:pPr>
        <w:widowControl/>
      </w:pPr>
      <w:r>
        <w:rPr>
          <w:b w:val="0"/>
          <w:i w:val="0"/>
        </w:rPr>
        <w:t xml:space="preserve">A directed intellectual gaze or apprehension, frequently described through visual language. The mind’s unified regard can embrace simple content, a composite under one aspect or its own act; the metaphor does not make the intellect a bodily eye. References: </w:t>
      </w:r>
      <w:hyperlink w:anchor="passage-viii-1-5">
        <w:r>
          <w:rPr>
            <w:color w:val="000000"/>
          </w:rPr>
          <w:t xml:space="preserve">VIII.1.5</w:t>
        </w:r>
      </w:hyperlink>
      <w:r>
        <w:rPr>
          <w:b w:val="0"/>
          <w:i w:val="0"/>
        </w:rPr>
        <w:t xml:space="preserve">, </w:t>
      </w:r>
      <w:hyperlink w:anchor="passage-viii-3-2">
        <w:r>
          <w:rPr>
            <w:color w:val="000000"/>
          </w:rPr>
          <w:t xml:space="preserve">VIII.3.2</w:t>
        </w:r>
      </w:hyperlink>
      <w:r>
        <w:rPr>
          <w:b w:val="0"/>
          <w:i w:val="0"/>
        </w:rPr>
        <w:t xml:space="preserve">, </w:t>
      </w:r>
      <w:hyperlink w:anchor="passage-viii-3-7">
        <w:r>
          <w:rPr>
            <w:color w:val="000000"/>
          </w:rPr>
          <w:t xml:space="preserve">VIII.3.7</w:t>
        </w:r>
      </w:hyperlink>
      <w:r>
        <w:rPr>
          <w:b w:val="0"/>
          <w:i w:val="0"/>
        </w:rPr>
        <w:t xml:space="preserve">, </w:t>
      </w:r>
      <w:hyperlink w:anchor="passage-viii-4-2">
        <w:r>
          <w:rPr>
            <w:color w:val="000000"/>
          </w:rPr>
          <w:t xml:space="preserve">VIII.4.2</w:t>
        </w:r>
      </w:hyperlink>
      <w:r>
        <w:rPr>
          <w:b w:val="0"/>
          <w:i w:val="0"/>
        </w:rPr>
        <w:t xml:space="preserve">, </w:t>
      </w:r>
      <w:hyperlink w:anchor="passage-viii-4-11">
        <w:r>
          <w:rPr>
            <w:color w:val="000000"/>
          </w:rPr>
          <w:t xml:space="preserve">VIII.4.11</w:t>
        </w:r>
      </w:hyperlink>
      <w:r>
        <w:rPr>
          <w:b w:val="0"/>
          <w:i w:val="0"/>
        </w:rPr>
        <w:t xml:space="preserve">, </w:t>
      </w:r>
      <w:hyperlink w:anchor="passage-viii-7-1">
        <w:r>
          <w:rPr>
            <w:color w:val="000000"/>
          </w:rPr>
          <w:t xml:space="preserve">VIII.7.1</w:t>
        </w:r>
      </w:hyperlink>
      <w:r>
        <w:rPr>
          <w:b w:val="0"/>
          <w:i w:val="0"/>
        </w:rPr>
        <w:t xml:space="preserve">, </w:t>
      </w:r>
      <w:hyperlink w:anchor="passage-viii-9-1">
        <w:r>
          <w:rPr>
            <w:color w:val="000000"/>
          </w:rPr>
          <w:t xml:space="preserve">VIII.9.1</w:t>
        </w:r>
      </w:hyperlink>
      <w:r>
        <w:rPr>
          <w:b w:val="0"/>
          <w:i w:val="0"/>
        </w:rPr>
        <w:t xml:space="preserve">, </w:t>
      </w:r>
      <w:hyperlink w:anchor="passage-viii-14-1">
        <w:r>
          <w:rPr>
            <w:color w:val="000000"/>
          </w:rPr>
          <w:t xml:space="preserve">VIII.14.1</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924" w:name="latin-record-0683"/>
      <w:bookmarkEnd w:id="924"/>
      <w:r>
        <w:rPr>
          <w:b/>
          <w:i w:val="0"/>
        </w:rPr>
        <w:t>intuitus; essentia</w:t>
      </w:r>
      <w:r>
        <w:rPr>
          <w:b/>
          <w:i w:val="0"/>
        </w:rPr>
        <w:t>.</w:t>
      </w:r>
      <w:r>
        <w:rPr>
          <w:b w:val="0"/>
          <w:i w:val="0"/>
        </w:rPr>
        <w:t xml:space="preserve"> Printed forms: </w:t>
      </w:r>
      <w:r>
        <w:rPr>
          <w:b w:val="0"/>
          <w:i/>
        </w:rPr>
        <w:t>ipsius essentia</w:t>
      </w:r>
      <w:r>
        <w:rPr>
          <w:b w:val="0"/>
          <w:i w:val="0"/>
        </w:rPr>
        <w:t xml:space="preserve">; </w:t>
      </w:r>
      <w:r>
        <w:rPr>
          <w:b w:val="0"/>
          <w:i/>
        </w:rPr>
        <w:t>primo offeretur intuitu</w:t>
      </w:r>
      <w:r>
        <w:rPr>
          <w:b w:val="0"/>
          <w:i w:val="0"/>
        </w:rPr>
        <w:t>.</w:t>
      </w:r>
    </w:p>
    <w:p>
      <w:pPr>
        <w:widowControl/>
      </w:pPr>
      <w:r>
        <w:rPr>
          <w:b w:val="0"/>
          <w:i w:val="0"/>
        </w:rPr>
        <w:t xml:space="preserve">Immediate presentation to awareness; the soul’s own essence. The isolated mind first affirms its existence without attaching sensory predicates. References: </w:t>
      </w:r>
      <w:hyperlink w:anchor="passage-vi-2-12">
        <w:r>
          <w:rPr>
            <w:color w:val="000000"/>
          </w:rPr>
          <w:t xml:space="preserve">VI.2.12</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925" w:name="latin-record-0684"/>
      <w:bookmarkEnd w:id="925"/>
      <w:r>
        <w:rPr>
          <w:b/>
          <w:i w:val="0"/>
        </w:rPr>
        <w:t>invenire / reminisci / loqui</w:t>
      </w:r>
      <w:r>
        <w:rPr>
          <w:b/>
          <w:i w:val="0"/>
        </w:rPr>
        <w:t>.</w:t>
      </w:r>
      <w:r>
        <w:rPr>
          <w:b w:val="0"/>
          <w:i w:val="0"/>
        </w:rPr>
        <w:t xml:space="preserve"> Printed forms: </w:t>
      </w:r>
      <w:r>
        <w:rPr>
          <w:b w:val="0"/>
          <w:i/>
        </w:rPr>
        <w:t>inveniet</w:t>
      </w:r>
      <w:r>
        <w:rPr>
          <w:b w:val="0"/>
          <w:i w:val="0"/>
        </w:rPr>
        <w:t xml:space="preserve">; </w:t>
      </w:r>
      <w:r>
        <w:rPr>
          <w:b w:val="0"/>
          <w:i/>
        </w:rPr>
        <w:t>loquetur</w:t>
      </w:r>
      <w:r>
        <w:rPr>
          <w:b w:val="0"/>
          <w:i w:val="0"/>
        </w:rPr>
        <w:t xml:space="preserve">; </w:t>
      </w:r>
      <w:r>
        <w:rPr>
          <w:b w:val="0"/>
          <w:i/>
        </w:rPr>
        <w:t>reminiscetur</w:t>
      </w:r>
      <w:r>
        <w:rPr>
          <w:b w:val="0"/>
          <w:i w:val="0"/>
        </w:rPr>
        <w:t>.</w:t>
      </w:r>
    </w:p>
    <w:p>
      <w:pPr>
        <w:widowControl/>
      </w:pPr>
      <w:r>
        <w:rPr>
          <w:b w:val="0"/>
          <w:i w:val="0"/>
        </w:rPr>
        <w:t xml:space="preserve">To discover, remember and speak. Acute discovery, firm memory and elegant speech are capacities that need not coincide with the agent’s moral goodness.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926" w:name="latin-record-0685"/>
      <w:bookmarkEnd w:id="926"/>
      <w:r>
        <w:rPr>
          <w:b/>
          <w:i w:val="0"/>
        </w:rPr>
        <w:t>invenire / reperire</w:t>
      </w:r>
      <w:r>
        <w:rPr>
          <w:b/>
          <w:i w:val="0"/>
        </w:rPr>
        <w:t>.</w:t>
      </w:r>
      <w:r>
        <w:rPr>
          <w:b w:val="0"/>
          <w:i w:val="0"/>
        </w:rPr>
        <w:t xml:space="preserve"> Printed forms: </w:t>
      </w:r>
      <w:r>
        <w:rPr>
          <w:b w:val="0"/>
          <w:i/>
        </w:rPr>
        <w:t>inveniendum</w:t>
      </w:r>
      <w:r>
        <w:rPr>
          <w:b w:val="0"/>
          <w:i w:val="0"/>
        </w:rPr>
        <w:t xml:space="preserve">; </w:t>
      </w:r>
      <w:r>
        <w:rPr>
          <w:b w:val="0"/>
          <w:i/>
        </w:rPr>
        <w:t>invenies</w:t>
      </w:r>
      <w:r>
        <w:rPr>
          <w:b w:val="0"/>
          <w:i w:val="0"/>
        </w:rPr>
        <w:t xml:space="preserve">; </w:t>
      </w:r>
      <w:r>
        <w:rPr>
          <w:b w:val="0"/>
          <w:i/>
        </w:rPr>
        <w:t>invenimus</w:t>
      </w:r>
      <w:r>
        <w:rPr>
          <w:b w:val="0"/>
          <w:i w:val="0"/>
        </w:rPr>
        <w:t xml:space="preserve">; </w:t>
      </w:r>
      <w:r>
        <w:rPr>
          <w:b w:val="0"/>
          <w:i/>
        </w:rPr>
        <w:t>invenire</w:t>
      </w:r>
      <w:r>
        <w:rPr>
          <w:b w:val="0"/>
          <w:i w:val="0"/>
        </w:rPr>
        <w:t xml:space="preserve">; </w:t>
      </w:r>
      <w:r>
        <w:rPr>
          <w:b w:val="0"/>
          <w:i/>
        </w:rPr>
        <w:t>invenit</w:t>
      </w:r>
      <w:r>
        <w:rPr>
          <w:b w:val="0"/>
          <w:i w:val="0"/>
        </w:rPr>
        <w:t xml:space="preserve">; </w:t>
      </w:r>
      <w:r>
        <w:rPr>
          <w:b w:val="0"/>
          <w:i/>
        </w:rPr>
        <w:t>invenitur</w:t>
      </w:r>
      <w:r>
        <w:rPr>
          <w:b w:val="0"/>
          <w:i w:val="0"/>
        </w:rPr>
        <w:t xml:space="preserve">; </w:t>
      </w:r>
      <w:r>
        <w:rPr>
          <w:b w:val="0"/>
          <w:i/>
        </w:rPr>
        <w:t>inventa</w:t>
      </w:r>
      <w:r>
        <w:rPr>
          <w:b w:val="0"/>
          <w:i w:val="0"/>
        </w:rPr>
        <w:t xml:space="preserve">; </w:t>
      </w:r>
      <w:r>
        <w:rPr>
          <w:b w:val="0"/>
          <w:i/>
        </w:rPr>
        <w:t>reperisse</w:t>
      </w:r>
      <w:r>
        <w:rPr>
          <w:b w:val="0"/>
          <w:i w:val="0"/>
        </w:rPr>
        <w:t xml:space="preserve">; </w:t>
      </w:r>
      <w:r>
        <w:rPr>
          <w:b w:val="0"/>
          <w:i/>
        </w:rPr>
        <w:t>reperit</w:t>
      </w:r>
      <w:r>
        <w:rPr>
          <w:b w:val="0"/>
          <w:i w:val="0"/>
        </w:rPr>
        <w:t xml:space="preserve">; </w:t>
      </w:r>
      <w:r>
        <w:rPr>
          <w:b w:val="0"/>
          <w:i/>
        </w:rPr>
        <w:t>reperitur</w:t>
      </w:r>
      <w:r>
        <w:rPr>
          <w:b w:val="0"/>
          <w:i w:val="0"/>
        </w:rPr>
        <w:t xml:space="preserve">; </w:t>
      </w:r>
      <w:r>
        <w:rPr>
          <w:b w:val="0"/>
          <w:i/>
        </w:rPr>
        <w:t>reperiunt</w:t>
      </w:r>
      <w:r>
        <w:rPr>
          <w:b w:val="0"/>
          <w:i w:val="0"/>
        </w:rPr>
        <w:t xml:space="preserve">; </w:t>
      </w:r>
      <w:r>
        <w:rPr>
          <w:b w:val="0"/>
          <w:i/>
        </w:rPr>
        <w:t>reperta</w:t>
      </w:r>
      <w:r>
        <w:rPr>
          <w:b w:val="0"/>
          <w:i w:val="0"/>
        </w:rPr>
        <w:t>.</w:t>
      </w:r>
    </w:p>
    <w:p>
      <w:pPr>
        <w:widowControl/>
      </w:pPr>
      <w:r>
        <w:rPr>
          <w:b w:val="0"/>
          <w:i w:val="0"/>
        </w:rPr>
        <w:t xml:space="preserve">To find or discover a structure or explanation. Finding bodily proportion does not amount to discovering sensing and understanding; the object discovered matters to the claim. References: </w:t>
      </w:r>
      <w:hyperlink w:anchor="passage-vii-4-1">
        <w:r>
          <w:rPr>
            <w:color w:val="000000"/>
          </w:rPr>
          <w:t xml:space="preserve">VII.4.1</w:t>
        </w:r>
      </w:hyperlink>
      <w:r>
        <w:rPr>
          <w:b w:val="0"/>
          <w:i w:val="0"/>
        </w:rPr>
        <w:t xml:space="preserve">,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widowControl/>
      </w:pPr>
      <w:r>
        <w:rPr>
          <w:b w:val="0"/>
          <w:i w:val="0"/>
        </w:rPr>
        <w:t xml:space="preserve">Finding or discovering, in inquiry, analysis and the enlargement of thought. Mathematical principles are not found by sense in matter, whereas mind discovers principles and can conceive a higher finite grade before reaching the infinite source. References: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7">
        <w:r>
          <w:rPr>
            <w:color w:val="000000"/>
          </w:rPr>
          <w:t xml:space="preserve">VIII.2.7</w:t>
        </w:r>
      </w:hyperlink>
      <w:r>
        <w:rPr>
          <w:b w:val="0"/>
          <w:i w:val="0"/>
        </w:rPr>
        <w:t xml:space="preserve">, </w:t>
      </w:r>
      <w:hyperlink w:anchor="passage-viii-3-7">
        <w:r>
          <w:rPr>
            <w:color w:val="000000"/>
          </w:rPr>
          <w:t xml:space="preserve">VIII.3.7</w:t>
        </w:r>
      </w:hyperlink>
      <w:r>
        <w:rPr>
          <w:b w:val="0"/>
          <w:i w:val="0"/>
        </w:rPr>
        <w:t xml:space="preserve">, </w:t>
      </w:r>
      <w:hyperlink w:anchor="passage-viii-4-2">
        <w:r>
          <w:rPr>
            <w:color w:val="000000"/>
          </w:rPr>
          <w:t xml:space="preserve">VIII.4.2</w:t>
        </w:r>
      </w:hyperlink>
      <w:r>
        <w:rPr>
          <w:b w:val="0"/>
          <w:i w:val="0"/>
        </w:rPr>
        <w:t xml:space="preserve">, </w:t>
      </w:r>
      <w:hyperlink w:anchor="passage-viii-13-1">
        <w:r>
          <w:rPr>
            <w:color w:val="000000"/>
          </w:rPr>
          <w:t xml:space="preserve">VIII.13.1</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See </w:t>
      </w:r>
      <w:hyperlink w:anchor="viii-infinity-measure">
        <w:r>
          <w:rPr>
            <w:color w:val="000000"/>
          </w:rPr>
          <w:t xml:space="preserve">Measuring infinity and thinking being and nonbeing</w:t>
        </w:r>
      </w:hyperlink>
      <w:r>
        <w:rPr>
          <w:b w:val="0"/>
          <w:i w:val="0"/>
        </w:rPr>
        <w:t>.</w:t>
      </w:r>
    </w:p>
    <w:p>
      <w:pPr>
        <w:keepNext/>
        <w:widowControl/>
      </w:pPr>
      <w:bookmarkStart w:id="927" w:name="latin-record-0686"/>
      <w:bookmarkEnd w:id="927"/>
      <w:r>
        <w:rPr>
          <w:b/>
          <w:i w:val="0"/>
        </w:rPr>
        <w:t>investigare; invenire</w:t>
      </w:r>
      <w:r>
        <w:rPr>
          <w:b/>
          <w:i w:val="0"/>
        </w:rPr>
        <w:t>.</w:t>
      </w:r>
      <w:r>
        <w:rPr>
          <w:b w:val="0"/>
          <w:i w:val="0"/>
        </w:rPr>
        <w:t xml:space="preserve"> Printed forms: </w:t>
      </w:r>
      <w:r>
        <w:rPr>
          <w:b w:val="0"/>
          <w:i/>
        </w:rPr>
        <w:t>invenit</w:t>
      </w:r>
      <w:r>
        <w:rPr>
          <w:b w:val="0"/>
          <w:i w:val="0"/>
        </w:rPr>
        <w:t xml:space="preserve">; </w:t>
      </w:r>
      <w:r>
        <w:rPr>
          <w:b w:val="0"/>
          <w:i/>
        </w:rPr>
        <w:t>investigat</w:t>
      </w:r>
      <w:r>
        <w:rPr>
          <w:b w:val="0"/>
          <w:i w:val="0"/>
        </w:rPr>
        <w:t>.</w:t>
      </w:r>
    </w:p>
    <w:p>
      <w:pPr>
        <w:widowControl/>
      </w:pPr>
      <w:r>
        <w:rPr>
          <w:b w:val="0"/>
          <w:i w:val="0"/>
        </w:rPr>
        <w:t xml:space="preserve">To investigate and discover. The bare incorporeal power seeks what is neither body nor a bodily image; understanding is characterized through this activity.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928" w:name="latin-record-0687"/>
      <w:bookmarkEnd w:id="928"/>
      <w:r>
        <w:rPr>
          <w:b/>
          <w:i w:val="0"/>
        </w:rPr>
        <w:t>invicem / vicissim</w:t>
      </w:r>
      <w:r>
        <w:rPr>
          <w:b/>
          <w:i w:val="0"/>
        </w:rPr>
        <w:t>.</w:t>
      </w:r>
      <w:r>
        <w:rPr>
          <w:b w:val="0"/>
          <w:i w:val="0"/>
        </w:rPr>
        <w:t xml:space="preserve"> Printed forms: </w:t>
      </w:r>
      <w:r>
        <w:rPr>
          <w:b w:val="0"/>
          <w:i/>
        </w:rPr>
        <w:t>invicem</w:t>
      </w:r>
      <w:r>
        <w:rPr>
          <w:b w:val="0"/>
          <w:i w:val="0"/>
        </w:rPr>
        <w:t xml:space="preserve">; </w:t>
      </w:r>
      <w:r>
        <w:rPr>
          <w:b w:val="0"/>
          <w:i/>
        </w:rPr>
        <w:t>Vicissim</w:t>
      </w:r>
      <w:r>
        <w:rPr>
          <w:b w:val="0"/>
          <w:i w:val="0"/>
        </w:rPr>
        <w:t xml:space="preserve">; </w:t>
      </w:r>
      <w:r>
        <w:rPr>
          <w:b w:val="0"/>
          <w:i/>
        </w:rPr>
        <w:t>vicissim</w:t>
      </w:r>
      <w:r>
        <w:rPr>
          <w:b w:val="0"/>
          <w:i w:val="0"/>
        </w:rPr>
        <w:t>.</w:t>
      </w:r>
    </w:p>
    <w:p>
      <w:pPr>
        <w:widowControl/>
      </w:pPr>
      <w:r>
        <w:rPr>
          <w:b w:val="0"/>
          <w:i w:val="0"/>
        </w:rPr>
        <w:t xml:space="preserve">Reciprocally or in turn, marking a two-way relation. Minds know one another and virtues imply one another; the reciprocity contrasts with the one-way quantitative containment of celestial spheres. References: </w:t>
      </w:r>
      <w:hyperlink w:anchor="passage-viii-1-3">
        <w:r>
          <w:rPr>
            <w:color w:val="000000"/>
          </w:rPr>
          <w:t xml:space="preserve">VIII.1.3</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3-7">
        <w:r>
          <w:rPr>
            <w:color w:val="000000"/>
          </w:rPr>
          <w:t xml:space="preserve">VIII.3.7</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9-1">
        <w:r>
          <w:rPr>
            <w:color w:val="000000"/>
          </w:rPr>
          <w:t xml:space="preserve">VIII.9.1</w:t>
        </w:r>
      </w:hyperlink>
      <w:r>
        <w:rPr>
          <w:b w:val="0"/>
          <w:i w:val="0"/>
        </w:rPr>
        <w:t xml:space="preserve">, </w:t>
      </w:r>
      <w:hyperlink w:anchor="passage-viii-12-1">
        <w:r>
          <w:rPr>
            <w:color w:val="000000"/>
          </w:rPr>
          <w:t xml:space="preserve">VIII.12.1</w:t>
        </w:r>
      </w:hyperlink>
      <w:r>
        <w:rPr>
          <w:b w:val="0"/>
          <w:i w:val="0"/>
        </w:rPr>
        <w:t xml:space="preserve">, </w:t>
      </w:r>
      <w:hyperlink w:anchor="passage-viii-14-1">
        <w:r>
          <w:rPr>
            <w:color w:val="000000"/>
          </w:rPr>
          <w:t xml:space="preserve">VIII.14.1</w:t>
        </w:r>
      </w:hyperlink>
      <w:r>
        <w:rPr>
          <w:b w:val="0"/>
          <w:i w:val="0"/>
        </w:rPr>
        <w:t xml:space="preserve">, </w:t>
      </w:r>
      <w:hyperlink w:anchor="passage-viii-16-2">
        <w:r>
          <w:rPr>
            <w:color w:val="000000"/>
          </w:rPr>
          <w:t xml:space="preserve">VIII.16.2</w:t>
        </w:r>
      </w:hyperlink>
      <w:r>
        <w:rPr>
          <w:b w:val="0"/>
          <w:i w:val="0"/>
        </w:rPr>
        <w:t xml:space="preserve">. See </w:t>
      </w:r>
      <w:hyperlink w:anchor="viii-mutual-minds">
        <w:r>
          <w:rPr>
            <w:color w:val="000000"/>
          </w:rPr>
          <w:t xml:space="preserve">Mutual knowledge of minds and the celestial spheres</w:t>
        </w:r>
      </w:hyperlink>
      <w:r>
        <w:rPr>
          <w:b w:val="0"/>
          <w:i w:val="0"/>
        </w:rPr>
        <w:t>.</w:t>
      </w:r>
    </w:p>
    <w:p>
      <w:pPr>
        <w:keepNext/>
        <w:widowControl/>
      </w:pPr>
      <w:bookmarkStart w:id="929" w:name="latin-record-0688"/>
      <w:bookmarkEnd w:id="929"/>
      <w:r>
        <w:rPr>
          <w:b/>
          <w:i w:val="0"/>
        </w:rPr>
        <w:t>ipsi viderint</w:t>
      </w:r>
      <w:r>
        <w:rPr>
          <w:b/>
          <w:i w:val="0"/>
        </w:rPr>
        <w:t>.</w:t>
      </w:r>
      <w:r>
        <w:rPr>
          <w:b w:val="0"/>
          <w:i w:val="0"/>
        </w:rPr>
        <w:t xml:space="preserve"> Printed forms: </w:t>
      </w:r>
      <w:r>
        <w:rPr>
          <w:b w:val="0"/>
          <w:i/>
        </w:rPr>
        <w:t>haec ipsi viderint</w:t>
      </w:r>
      <w:r>
        <w:rPr>
          <w:b w:val="0"/>
          <w:i w:val="0"/>
        </w:rPr>
        <w:t>.</w:t>
      </w:r>
    </w:p>
    <w:p>
      <w:pPr>
        <w:widowControl/>
      </w:pPr>
      <w:r>
        <w:rPr>
          <w:b w:val="0"/>
          <w:i w:val="0"/>
        </w:rPr>
        <w:t xml:space="preserve">Let those thinkers answer for these matters, a distancing formula. Ficino ends the descent report and resumes his own purpose, so the report must not be silently turned into his settled teaching. References: </w:t>
      </w:r>
      <w:hyperlink w:anchor="passage-v-14-9">
        <w:r>
          <w:rPr>
            <w:color w:val="000000"/>
          </w:rPr>
          <w:t xml:space="preserve">V.14.9</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930" w:name="latin-record-0689"/>
      <w:bookmarkEnd w:id="930"/>
      <w:r>
        <w:rPr>
          <w:b/>
          <w:i w:val="0"/>
        </w:rPr>
        <w:t>irrationalis vita</w:t>
      </w:r>
      <w:r>
        <w:rPr>
          <w:b/>
          <w:i w:val="0"/>
        </w:rPr>
        <w:t>.</w:t>
      </w:r>
      <w:r>
        <w:rPr>
          <w:b w:val="0"/>
          <w:i w:val="0"/>
        </w:rPr>
        <w:t xml:space="preserve"> Printed forms: </w:t>
      </w:r>
      <w:r>
        <w:rPr>
          <w:b w:val="0"/>
          <w:i/>
        </w:rPr>
        <w:t>irrationalem</w:t>
      </w:r>
      <w:r>
        <w:rPr>
          <w:b w:val="0"/>
          <w:i w:val="0"/>
        </w:rPr>
        <w:t xml:space="preserve">; </w:t>
      </w:r>
      <w:r>
        <w:rPr>
          <w:b w:val="0"/>
          <w:i/>
        </w:rPr>
        <w:t>irrationales vitas</w:t>
      </w:r>
      <w:r>
        <w:rPr>
          <w:b w:val="0"/>
          <w:i w:val="0"/>
        </w:rPr>
        <w:t xml:space="preserve">; </w:t>
      </w:r>
      <w:r>
        <w:rPr>
          <w:b w:val="0"/>
          <w:i/>
        </w:rPr>
        <w:t>irrationali anima vel vita</w:t>
      </w:r>
      <w:r>
        <w:rPr>
          <w:b w:val="0"/>
          <w:i w:val="0"/>
        </w:rPr>
        <w:t xml:space="preserve">; </w:t>
      </w:r>
      <w:r>
        <w:rPr>
          <w:b w:val="0"/>
          <w:i/>
        </w:rPr>
        <w:t>Irrationalis</w:t>
      </w:r>
      <w:r>
        <w:rPr>
          <w:b w:val="0"/>
          <w:i w:val="0"/>
        </w:rPr>
        <w:t>.</w:t>
      </w:r>
    </w:p>
    <w:p>
      <w:pPr>
        <w:widowControl/>
      </w:pPr>
      <w:r>
        <w:rPr>
          <w:b w:val="0"/>
          <w:i w:val="0"/>
        </w:rPr>
        <w:t xml:space="preserve">Irrational or derivative life associated with bodily animation and sense rather than independent rational activity. Ficino distinguishes this from true soul and reports disagreement over its immortality; the final chapter denies that rational soul becomes such lower life. References: </w:t>
      </w:r>
      <w:hyperlink w:anchor="passage-v-2-1">
        <w:r>
          <w:rPr>
            <w:color w:val="000000"/>
          </w:rPr>
          <w:t xml:space="preserve">V.2.1</w:t>
        </w:r>
      </w:hyperlink>
      <w:r>
        <w:rPr>
          <w:b w:val="0"/>
          <w:i w:val="0"/>
        </w:rPr>
        <w:t xml:space="preserve">, </w:t>
      </w:r>
      <w:hyperlink w:anchor="passage-v-14-8">
        <w:r>
          <w:rPr>
            <w:color w:val="000000"/>
          </w:rPr>
          <w:t xml:space="preserve">V.14.8</w:t>
        </w:r>
      </w:hyperlink>
      <w:r>
        <w:rPr>
          <w:b w:val="0"/>
          <w:i w:val="0"/>
        </w:rPr>
        <w:t xml:space="preserve">, </w:t>
      </w:r>
      <w:hyperlink w:anchor="passage-v-15-27">
        <w:r>
          <w:rPr>
            <w:color w:val="000000"/>
          </w:rPr>
          <w:t xml:space="preserve">V.15.27</w:t>
        </w:r>
      </w:hyperlink>
      <w:r>
        <w:rPr>
          <w:b w:val="0"/>
          <w:i w:val="0"/>
        </w:rPr>
        <w:t xml:space="preserve">. See </w:t>
      </w:r>
      <w:hyperlink w:anchor="rational-soul-and-irrational-life">
        <w:r>
          <w:rPr>
            <w:color w:val="000000"/>
          </w:rPr>
          <w:t xml:space="preserve">Rational soul and irrational life</w:t>
        </w:r>
      </w:hyperlink>
      <w:r>
        <w:rPr>
          <w:b w:val="0"/>
          <w:i w:val="0"/>
        </w:rPr>
        <w:t>.</w:t>
      </w:r>
    </w:p>
    <w:p>
      <w:pPr>
        <w:keepNext/>
        <w:widowControl/>
      </w:pPr>
      <w:bookmarkStart w:id="931" w:name="latin-record-0690"/>
      <w:bookmarkEnd w:id="931"/>
      <w:r>
        <w:rPr>
          <w:b/>
          <w:i w:val="0"/>
        </w:rPr>
        <w:t>iudex liber passione</w:t>
      </w:r>
      <w:r>
        <w:rPr>
          <w:b/>
          <w:i w:val="0"/>
        </w:rPr>
        <w:t>.</w:t>
      </w:r>
      <w:r>
        <w:rPr>
          <w:b w:val="0"/>
          <w:i w:val="0"/>
        </w:rPr>
        <w:t xml:space="preserve"> Printed forms: </w:t>
      </w:r>
      <w:r>
        <w:rPr>
          <w:b w:val="0"/>
          <w:i/>
        </w:rPr>
        <w:t>iudex</w:t>
      </w:r>
      <w:r>
        <w:rPr>
          <w:b w:val="0"/>
          <w:i w:val="0"/>
        </w:rPr>
        <w:t xml:space="preserve">; </w:t>
      </w:r>
      <w:r>
        <w:rPr>
          <w:b w:val="0"/>
          <w:i/>
        </w:rPr>
        <w:t>iudicem</w:t>
      </w:r>
      <w:r>
        <w:rPr>
          <w:b w:val="0"/>
          <w:i w:val="0"/>
        </w:rPr>
        <w:t xml:space="preserve">; </w:t>
      </w:r>
      <w:r>
        <w:rPr>
          <w:b w:val="0"/>
          <w:i/>
        </w:rPr>
        <w:t>iudicem quendam liberum passione</w:t>
      </w:r>
      <w:r>
        <w:rPr>
          <w:b w:val="0"/>
          <w:i w:val="0"/>
        </w:rPr>
        <w:t xml:space="preserve">; </w:t>
      </w:r>
      <w:r>
        <w:rPr>
          <w:b w:val="0"/>
          <w:i/>
        </w:rPr>
        <w:t>liberum</w:t>
      </w:r>
      <w:r>
        <w:rPr>
          <w:b w:val="0"/>
          <w:i w:val="0"/>
        </w:rPr>
        <w:t>.</w:t>
      </w:r>
    </w:p>
    <w:p>
      <w:pPr>
        <w:widowControl/>
      </w:pPr>
      <w:r>
        <w:rPr>
          <w:b w:val="0"/>
          <w:i w:val="0"/>
        </w:rPr>
        <w:t xml:space="preserve">A judge free of the bodily affection it knows. The regress terminates in such a judge, excluding a subtle body, bodily affection and a point of an affection. References: </w:t>
      </w:r>
      <w:hyperlink w:anchor="passage-vii-6-3">
        <w:r>
          <w:rPr>
            <w:color w:val="000000"/>
          </w:rPr>
          <w:t xml:space="preserve">VII.6.3</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932" w:name="latin-record-0691"/>
      <w:bookmarkEnd w:id="932"/>
      <w:r>
        <w:rPr>
          <w:b/>
          <w:i w:val="0"/>
        </w:rPr>
        <w:t>iudicare</w:t>
      </w:r>
      <w:r>
        <w:rPr>
          <w:b/>
          <w:i w:val="0"/>
        </w:rPr>
        <w:t>.</w:t>
      </w:r>
      <w:r>
        <w:rPr>
          <w:b w:val="0"/>
          <w:i w:val="0"/>
        </w:rPr>
        <w:t xml:space="preserve"> Printed forms: </w:t>
      </w:r>
      <w:r>
        <w:rPr>
          <w:b w:val="0"/>
          <w:i/>
        </w:rPr>
        <w:t>iudicantur</w:t>
      </w:r>
      <w:r>
        <w:rPr>
          <w:b w:val="0"/>
          <w:i w:val="0"/>
        </w:rPr>
        <w:t xml:space="preserve">; </w:t>
      </w:r>
      <w:r>
        <w:rPr>
          <w:b w:val="0"/>
          <w:i/>
        </w:rPr>
        <w:t>iudicaret</w:t>
      </w:r>
      <w:r>
        <w:rPr>
          <w:b w:val="0"/>
          <w:i w:val="0"/>
        </w:rPr>
        <w:t xml:space="preserve">; </w:t>
      </w:r>
      <w:r>
        <w:rPr>
          <w:b w:val="0"/>
          <w:i/>
        </w:rPr>
        <w:t>iudicat</w:t>
      </w:r>
      <w:r>
        <w:rPr>
          <w:b w:val="0"/>
          <w:i w:val="0"/>
        </w:rPr>
        <w:t>.</w:t>
      </w:r>
    </w:p>
    <w:p>
      <w:pPr>
        <w:widowControl/>
      </w:pPr>
      <w:r>
        <w:rPr>
          <w:b w:val="0"/>
          <w:i w:val="0"/>
        </w:rPr>
        <w:t xml:space="preserve">To judge or determine something about what appears. Hypothetical wax would judge only the size of its impression; the soul judges objects through images. References: </w:t>
      </w:r>
      <w:hyperlink w:anchor="passage-vii-1-1">
        <w:r>
          <w:rPr>
            <w:color w:val="000000"/>
          </w:rPr>
          <w:t xml:space="preserve">VII.1.1</w:t>
        </w:r>
      </w:hyperlink>
      <w:r>
        <w:rPr>
          <w:b w:val="0"/>
          <w:i w:val="0"/>
        </w:rPr>
        <w:t xml:space="preserve">,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933" w:name="latin-record-0692"/>
      <w:bookmarkEnd w:id="933"/>
      <w:r>
        <w:rPr>
          <w:b/>
          <w:i w:val="0"/>
        </w:rPr>
        <w:t>iudicare / pronuntiare</w:t>
      </w:r>
      <w:r>
        <w:rPr>
          <w:b/>
          <w:i w:val="0"/>
        </w:rPr>
        <w:t>.</w:t>
      </w:r>
      <w:r>
        <w:rPr>
          <w:b w:val="0"/>
          <w:i w:val="0"/>
        </w:rPr>
        <w:t xml:space="preserve"> Printed forms: </w:t>
      </w:r>
      <w:r>
        <w:rPr>
          <w:b w:val="0"/>
          <w:i/>
        </w:rPr>
        <w:t>iudicare</w:t>
      </w:r>
      <w:r>
        <w:rPr>
          <w:b w:val="0"/>
          <w:i w:val="0"/>
        </w:rPr>
        <w:t xml:space="preserve">; </w:t>
      </w:r>
      <w:r>
        <w:rPr>
          <w:b w:val="0"/>
          <w:i/>
        </w:rPr>
        <w:t>iudicat</w:t>
      </w:r>
      <w:r>
        <w:rPr>
          <w:b w:val="0"/>
          <w:i w:val="0"/>
        </w:rPr>
        <w:t xml:space="preserve">; </w:t>
      </w:r>
      <w:r>
        <w:rPr>
          <w:b w:val="0"/>
          <w:i/>
        </w:rPr>
        <w:t>iudicet</w:t>
      </w:r>
      <w:r>
        <w:rPr>
          <w:b w:val="0"/>
          <w:i w:val="0"/>
        </w:rPr>
        <w:t xml:space="preserve">; </w:t>
      </w:r>
      <w:r>
        <w:rPr>
          <w:b w:val="0"/>
          <w:i/>
        </w:rPr>
        <w:t>Iudicium</w:t>
      </w:r>
      <w:r>
        <w:rPr>
          <w:b w:val="0"/>
          <w:i w:val="0"/>
        </w:rPr>
        <w:t xml:space="preserve">; </w:t>
      </w:r>
      <w:r>
        <w:rPr>
          <w:b w:val="0"/>
          <w:i/>
        </w:rPr>
        <w:t>pronuntiat</w:t>
      </w:r>
      <w:r>
        <w:rPr>
          <w:b w:val="0"/>
          <w:i w:val="0"/>
        </w:rPr>
        <w:t>.</w:t>
      </w:r>
    </w:p>
    <w:p>
      <w:pPr>
        <w:widowControl/>
      </w:pPr>
      <w:r>
        <w:rPr>
          <w:b w:val="0"/>
          <w:i w:val="0"/>
        </w:rPr>
        <w:t xml:space="preserve">Judging or explicitly declaring what an object is or how it is related. Phantasy identifies Plato; intellect defines humanity and evaluates truth. The same judgment vocabulary can therefore operate at different cognitive levels. References: </w:t>
      </w:r>
      <w:hyperlink w:anchor="passage-viii-1-1">
        <w:r>
          <w:rPr>
            <w:color w:val="000000"/>
          </w:rPr>
          <w:t xml:space="preserve">VIII.1.1</w:t>
        </w:r>
      </w:hyperlink>
      <w:r>
        <w:rPr>
          <w:b w:val="0"/>
          <w:i w:val="0"/>
        </w:rPr>
        <w:t xml:space="preserve">, </w:t>
      </w:r>
      <w:hyperlink w:anchor="passage-viii-2-8">
        <w:r>
          <w:rPr>
            <w:color w:val="000000"/>
          </w:rPr>
          <w:t xml:space="preserve">VIII.2.8</w:t>
        </w:r>
      </w:hyperlink>
      <w:r>
        <w:rPr>
          <w:b w:val="0"/>
          <w:i w:val="0"/>
        </w:rPr>
        <w:t xml:space="preserve">, </w:t>
      </w:r>
      <w:hyperlink w:anchor="passage-viii-4-1">
        <w:r>
          <w:rPr>
            <w:color w:val="000000"/>
          </w:rPr>
          <w:t xml:space="preserve">VIII.4.1</w:t>
        </w:r>
      </w:hyperlink>
      <w:r>
        <w:rPr>
          <w:b w:val="0"/>
          <w:i w:val="0"/>
        </w:rPr>
        <w:t xml:space="preserve">, </w:t>
      </w:r>
      <w:hyperlink w:anchor="passage-viii-16-2">
        <w:r>
          <w:rPr>
            <w:color w:val="000000"/>
          </w:rPr>
          <w:t xml:space="preserve">VIII.16.2</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934" w:name="latin-record-0693"/>
      <w:bookmarkEnd w:id="934"/>
      <w:r>
        <w:rPr>
          <w:b/>
          <w:i w:val="0"/>
        </w:rPr>
        <w:t>iudicare; discernere</w:t>
      </w:r>
      <w:r>
        <w:rPr>
          <w:b/>
          <w:i w:val="0"/>
        </w:rPr>
        <w:t>.</w:t>
      </w:r>
      <w:r>
        <w:rPr>
          <w:b w:val="0"/>
          <w:i w:val="0"/>
        </w:rPr>
        <w:t xml:space="preserve"> Printed forms: </w:t>
      </w:r>
      <w:r>
        <w:rPr>
          <w:b w:val="0"/>
          <w:i/>
        </w:rPr>
        <w:t>discernere</w:t>
      </w:r>
      <w:r>
        <w:rPr>
          <w:b w:val="0"/>
          <w:i w:val="0"/>
        </w:rPr>
        <w:t xml:space="preserve">; </w:t>
      </w:r>
      <w:r>
        <w:rPr>
          <w:b w:val="0"/>
          <w:i/>
        </w:rPr>
        <w:t>discernet</w:t>
      </w:r>
      <w:r>
        <w:rPr>
          <w:b w:val="0"/>
          <w:i w:val="0"/>
        </w:rPr>
        <w:t xml:space="preserve">; </w:t>
      </w:r>
      <w:r>
        <w:rPr>
          <w:b w:val="0"/>
          <w:i/>
        </w:rPr>
        <w:t>discernimus</w:t>
      </w:r>
      <w:r>
        <w:rPr>
          <w:b w:val="0"/>
          <w:i w:val="0"/>
        </w:rPr>
        <w:t xml:space="preserve">; </w:t>
      </w:r>
      <w:r>
        <w:rPr>
          <w:b w:val="0"/>
          <w:i/>
        </w:rPr>
        <w:t>iudicabitur</w:t>
      </w:r>
      <w:r>
        <w:rPr>
          <w:b w:val="0"/>
          <w:i w:val="0"/>
        </w:rPr>
        <w:t xml:space="preserve">; </w:t>
      </w:r>
      <w:r>
        <w:rPr>
          <w:b w:val="0"/>
          <w:i/>
        </w:rPr>
        <w:t>iudicat</w:t>
      </w:r>
      <w:r>
        <w:rPr>
          <w:b w:val="0"/>
          <w:i w:val="0"/>
        </w:rPr>
        <w:t xml:space="preserve">; </w:t>
      </w:r>
      <w:r>
        <w:rPr>
          <w:b w:val="0"/>
          <w:i/>
        </w:rPr>
        <w:t>iudicaverat</w:t>
      </w:r>
      <w:r>
        <w:rPr>
          <w:b w:val="0"/>
          <w:i w:val="0"/>
        </w:rPr>
        <w:t xml:space="preserve">; </w:t>
      </w:r>
      <w:r>
        <w:rPr>
          <w:b w:val="0"/>
          <w:i/>
        </w:rPr>
        <w:t>iudicaverint</w:t>
      </w:r>
      <w:r>
        <w:rPr>
          <w:b w:val="0"/>
          <w:i w:val="0"/>
        </w:rPr>
        <w:t xml:space="preserve">; </w:t>
      </w:r>
      <w:r>
        <w:rPr>
          <w:b w:val="0"/>
          <w:i/>
        </w:rPr>
        <w:t>iudicet</w:t>
      </w:r>
      <w:r>
        <w:rPr>
          <w:b w:val="0"/>
          <w:i w:val="0"/>
        </w:rPr>
        <w:t xml:space="preserve">; </w:t>
      </w:r>
      <w:r>
        <w:rPr>
          <w:b w:val="0"/>
          <w:i/>
        </w:rPr>
        <w:t>iudicium</w:t>
      </w:r>
      <w:r>
        <w:rPr>
          <w:b w:val="0"/>
          <w:i w:val="0"/>
        </w:rPr>
        <w:t>.</w:t>
      </w:r>
    </w:p>
    <w:p>
      <w:pPr>
        <w:widowControl/>
      </w:pPr>
      <w:r>
        <w:rPr>
          <w:b w:val="0"/>
          <w:i w:val="0"/>
        </w:rPr>
        <w:t xml:space="preserve">To judge and discriminate among objects or claims. Reason corrects sensory judgements, the trained cave-prisoner distinguishes objects, and the enduring soul preserves what it once judged. References: </w:t>
      </w:r>
      <w:hyperlink w:anchor="passage-vi-2-7">
        <w:r>
          <w:rPr>
            <w:color w:val="000000"/>
          </w:rPr>
          <w:t xml:space="preserve">VI.2.7</w:t>
        </w:r>
      </w:hyperlink>
      <w:r>
        <w:rPr>
          <w:b w:val="0"/>
          <w:i w:val="0"/>
        </w:rPr>
        <w:t xml:space="preserve">, </w:t>
      </w:r>
      <w:hyperlink w:anchor="passage-vi-2-8">
        <w:r>
          <w:rPr>
            <w:color w:val="000000"/>
          </w:rPr>
          <w:t xml:space="preserve">VI.2.8</w:t>
        </w:r>
      </w:hyperlink>
      <w:r>
        <w:rPr>
          <w:b w:val="0"/>
          <w:i w:val="0"/>
        </w:rPr>
        <w:t xml:space="preserve">, </w:t>
      </w:r>
      <w:hyperlink w:anchor="passage-vi-2-15">
        <w:r>
          <w:rPr>
            <w:color w:val="000000"/>
          </w:rPr>
          <w:t xml:space="preserve">VI.2.15</w:t>
        </w:r>
      </w:hyperlink>
      <w:r>
        <w:rPr>
          <w:b w:val="0"/>
          <w:i w:val="0"/>
        </w:rPr>
        <w:t xml:space="preserve">, </w:t>
      </w:r>
      <w:hyperlink w:anchor="passage-vi-2-17">
        <w:r>
          <w:rPr>
            <w:color w:val="000000"/>
          </w:rPr>
          <w:t xml:space="preserve">VI.2.17</w:t>
        </w:r>
      </w:hyperlink>
      <w:r>
        <w:rPr>
          <w:b w:val="0"/>
          <w:i w:val="0"/>
        </w:rPr>
        <w:t xml:space="preserve">, </w:t>
      </w:r>
      <w:hyperlink w:anchor="passage-vi-3-2">
        <w:r>
          <w:rPr>
            <w:color w:val="000000"/>
          </w:rPr>
          <w:t xml:space="preserve">VI.3.2</w:t>
        </w:r>
      </w:hyperlink>
      <w:r>
        <w:rPr>
          <w:b w:val="0"/>
          <w:i w:val="0"/>
        </w:rPr>
        <w:t xml:space="preserve">, </w:t>
      </w:r>
      <w:hyperlink w:anchor="passage-vi-12-20">
        <w:r>
          <w:rPr>
            <w:color w:val="000000"/>
          </w:rPr>
          <w:t xml:space="preserve">VI.12.20</w:t>
        </w:r>
      </w:hyperlink>
      <w:r>
        <w:rPr>
          <w:b w:val="0"/>
          <w:i w:val="0"/>
        </w:rPr>
        <w:t xml:space="preserve">, </w:t>
      </w:r>
      <w:hyperlink w:anchor="passage-vi-13-6">
        <w:r>
          <w:rPr>
            <w:color w:val="000000"/>
          </w:rPr>
          <w:t xml:space="preserve">VI.13.6</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935" w:name="latin-record-0694"/>
      <w:bookmarkEnd w:id="935"/>
      <w:r>
        <w:rPr>
          <w:b/>
          <w:i w:val="0"/>
        </w:rPr>
        <w:t>iudicium passionis</w:t>
      </w:r>
      <w:r>
        <w:rPr>
          <w:b/>
          <w:i w:val="0"/>
        </w:rPr>
        <w:t>.</w:t>
      </w:r>
      <w:r>
        <w:rPr>
          <w:b w:val="0"/>
          <w:i w:val="0"/>
        </w:rPr>
        <w:t xml:space="preserve"> Printed forms: </w:t>
      </w:r>
      <w:r>
        <w:rPr>
          <w:b w:val="0"/>
          <w:i/>
        </w:rPr>
        <w:t>iudicio</w:t>
      </w:r>
      <w:r>
        <w:rPr>
          <w:b w:val="0"/>
          <w:i w:val="0"/>
        </w:rPr>
        <w:t xml:space="preserve">; </w:t>
      </w:r>
      <w:r>
        <w:rPr>
          <w:b w:val="0"/>
          <w:i/>
        </w:rPr>
        <w:t>iudicium</w:t>
      </w:r>
      <w:r>
        <w:rPr>
          <w:b w:val="0"/>
          <w:i w:val="0"/>
        </w:rPr>
        <w:t xml:space="preserve">; </w:t>
      </w:r>
      <w:r>
        <w:rPr>
          <w:b w:val="0"/>
          <w:i/>
        </w:rPr>
        <w:t>iudicium passionis</w:t>
      </w:r>
      <w:r>
        <w:rPr>
          <w:b w:val="0"/>
          <w:i w:val="0"/>
        </w:rPr>
        <w:t xml:space="preserve">; </w:t>
      </w:r>
      <w:r>
        <w:rPr>
          <w:b w:val="0"/>
          <w:i/>
        </w:rPr>
        <w:t>passivum iudicium</w:t>
      </w:r>
      <w:r>
        <w:rPr>
          <w:b w:val="0"/>
          <w:i w:val="0"/>
        </w:rPr>
        <w:t>.</w:t>
      </w:r>
    </w:p>
    <w:p>
      <w:pPr>
        <w:widowControl/>
      </w:pPr>
      <w:r>
        <w:rPr>
          <w:b w:val="0"/>
          <w:i w:val="0"/>
        </w:rPr>
        <w:t xml:space="preserve">Judgement of an affection, distinguished from the affection itself. A judgement passively altered in the same way would require another judge; repeating passivity recreates the regress. References: </w:t>
      </w:r>
      <w:hyperlink w:anchor="passage-vii-6-2">
        <w:r>
          <w:rPr>
            <w:color w:val="000000"/>
          </w:rPr>
          <w:t xml:space="preserve">VII.6.2</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936" w:name="latin-record-0695"/>
      <w:bookmarkEnd w:id="936"/>
      <w:r>
        <w:rPr>
          <w:b/>
          <w:i w:val="0"/>
        </w:rPr>
        <w:t>iudicium; emendare</w:t>
      </w:r>
      <w:r>
        <w:rPr>
          <w:b/>
          <w:i w:val="0"/>
        </w:rPr>
        <w:t>.</w:t>
      </w:r>
      <w:r>
        <w:rPr>
          <w:b w:val="0"/>
          <w:i w:val="0"/>
        </w:rPr>
        <w:t xml:space="preserve"> Printed forms: </w:t>
      </w:r>
      <w:r>
        <w:rPr>
          <w:b w:val="0"/>
          <w:i/>
        </w:rPr>
        <w:t>emendat</w:t>
      </w:r>
      <w:r>
        <w:rPr>
          <w:b w:val="0"/>
          <w:i w:val="0"/>
        </w:rPr>
        <w:t xml:space="preserve">; </w:t>
      </w:r>
      <w:r>
        <w:rPr>
          <w:b w:val="0"/>
          <w:i/>
        </w:rPr>
        <w:t>emendentur</w:t>
      </w:r>
      <w:r>
        <w:rPr>
          <w:b w:val="0"/>
          <w:i w:val="0"/>
        </w:rPr>
        <w:t xml:space="preserve">; </w:t>
      </w:r>
      <w:r>
        <w:rPr>
          <w:b w:val="0"/>
          <w:i/>
        </w:rPr>
        <w:t>iudicium</w:t>
      </w:r>
      <w:r>
        <w:rPr>
          <w:b w:val="0"/>
          <w:i w:val="0"/>
        </w:rPr>
        <w:t>.</w:t>
      </w:r>
    </w:p>
    <w:p>
      <w:pPr>
        <w:widowControl/>
      </w:pPr>
      <w:r>
        <w:rPr>
          <w:b w:val="0"/>
          <w:i w:val="0"/>
        </w:rPr>
        <w:t xml:space="preserve">Judgement and correction of error. Reason corrects sense, but would itself err if it denied that bodily things exist. References: </w:t>
      </w:r>
      <w:hyperlink w:anchor="passage-vi-2-7">
        <w:r>
          <w:rPr>
            <w:color w:val="000000"/>
          </w:rPr>
          <w:t xml:space="preserve">VI.2.7</w:t>
        </w:r>
      </w:hyperlink>
      <w:r>
        <w:rPr>
          <w:b w:val="0"/>
          <w:i w:val="0"/>
        </w:rPr>
        <w:t xml:space="preserve">, </w:t>
      </w:r>
      <w:hyperlink w:anchor="passage-vi-2-8">
        <w:r>
          <w:rPr>
            <w:color w:val="000000"/>
          </w:rPr>
          <w:t xml:space="preserve">VI.2.8</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937" w:name="latin-record-0696"/>
      <w:bookmarkEnd w:id="937"/>
      <w:r>
        <w:rPr>
          <w:b/>
          <w:i w:val="0"/>
        </w:rPr>
        <w:t>iustitia / suum cuique</w:t>
      </w:r>
      <w:r>
        <w:rPr>
          <w:b/>
          <w:i w:val="0"/>
        </w:rPr>
        <w:t>.</w:t>
      </w:r>
      <w:r>
        <w:rPr>
          <w:b w:val="0"/>
          <w:i w:val="0"/>
        </w:rPr>
        <w:t xml:space="preserve"> Printed forms: </w:t>
      </w:r>
      <w:r>
        <w:rPr>
          <w:b w:val="0"/>
          <w:i/>
        </w:rPr>
        <w:t>distribuet</w:t>
      </w:r>
      <w:r>
        <w:rPr>
          <w:b w:val="0"/>
          <w:i w:val="0"/>
        </w:rPr>
        <w:t xml:space="preserve">; </w:t>
      </w:r>
      <w:r>
        <w:rPr>
          <w:b w:val="0"/>
          <w:i/>
        </w:rPr>
        <w:t>iustitia</w:t>
      </w:r>
      <w:r>
        <w:rPr>
          <w:b w:val="0"/>
          <w:i w:val="0"/>
        </w:rPr>
        <w:t xml:space="preserve">; </w:t>
      </w:r>
      <w:r>
        <w:rPr>
          <w:b w:val="0"/>
          <w:i/>
        </w:rPr>
        <w:t>suum cuique</w:t>
      </w:r>
      <w:r>
        <w:rPr>
          <w:b w:val="0"/>
          <w:i w:val="0"/>
        </w:rPr>
        <w:t xml:space="preserve">; </w:t>
      </w:r>
      <w:r>
        <w:rPr>
          <w:b w:val="0"/>
          <w:i/>
        </w:rPr>
        <w:t>tribuit</w:t>
      </w:r>
      <w:r>
        <w:rPr>
          <w:b w:val="0"/>
          <w:i w:val="0"/>
        </w:rPr>
        <w:t>.</w:t>
      </w:r>
    </w:p>
    <w:p>
      <w:pPr>
        <w:widowControl/>
      </w:pPr>
      <w:r>
        <w:rPr>
          <w:b w:val="0"/>
          <w:i w:val="0"/>
        </w:rPr>
        <w:t xml:space="preserve">Justice, defined through rendering or distributing what belongs to each. The definition becomes an interdependence argument: a just distributor must also resist intimidation and disordered desire. References: </w:t>
      </w:r>
      <w:hyperlink w:anchor="passage-viii-3-1">
        <w:r>
          <w:rPr>
            <w:color w:val="000000"/>
          </w:rPr>
          <w:t xml:space="preserve">VIII.3.1</w:t>
        </w:r>
      </w:hyperlink>
      <w:r>
        <w:rPr>
          <w:b w:val="0"/>
          <w:i w:val="0"/>
        </w:rPr>
        <w:t xml:space="preserve">,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938" w:name="latin-record-0697"/>
      <w:bookmarkEnd w:id="938"/>
      <w:r>
        <w:rPr>
          <w:b/>
          <w:i w:val="0"/>
        </w:rPr>
        <w:t>Kalendae; laurus</w:t>
      </w:r>
      <w:r>
        <w:rPr>
          <w:b/>
          <w:i w:val="0"/>
        </w:rPr>
        <w:t>.</w:t>
      </w:r>
      <w:r>
        <w:rPr>
          <w:b w:val="0"/>
          <w:i w:val="0"/>
        </w:rPr>
        <w:t xml:space="preserve"> Printed forms: </w:t>
      </w:r>
      <w:r>
        <w:rPr>
          <w:b w:val="0"/>
          <w:i/>
        </w:rPr>
        <w:t>Kalendis Martiis</w:t>
      </w:r>
      <w:r>
        <w:rPr>
          <w:b w:val="0"/>
          <w:i w:val="0"/>
        </w:rPr>
        <w:t xml:space="preserve">; </w:t>
      </w:r>
      <w:r>
        <w:rPr>
          <w:b w:val="0"/>
          <w:i/>
        </w:rPr>
        <w:t>sub lauro</w:t>
      </w:r>
      <w:r>
        <w:rPr>
          <w:b w:val="0"/>
          <w:i w:val="0"/>
        </w:rPr>
        <w:t>.</w:t>
      </w:r>
    </w:p>
    <w:p>
      <w:pPr>
        <w:widowControl/>
      </w:pPr>
      <w:r>
        <w:rPr>
          <w:b w:val="0"/>
          <w:i w:val="0"/>
        </w:rPr>
        <w:t xml:space="preserve">The first day of March; beneath a laurel tree. These expressions set the recalled discussion’s date and setting, without specifying a year in this passage.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939" w:name="latin-record-0698"/>
      <w:bookmarkEnd w:id="939"/>
      <w:r>
        <w:rPr>
          <w:b/>
          <w:i w:val="0"/>
        </w:rPr>
        <w:t>laesio / noxius</w:t>
      </w:r>
      <w:r>
        <w:rPr>
          <w:b/>
          <w:i w:val="0"/>
        </w:rPr>
        <w:t>.</w:t>
      </w:r>
      <w:r>
        <w:rPr>
          <w:b w:val="0"/>
          <w:i w:val="0"/>
        </w:rPr>
        <w:t xml:space="preserve"> Printed forms: </w:t>
      </w:r>
      <w:r>
        <w:rPr>
          <w:b w:val="0"/>
          <w:i/>
        </w:rPr>
        <w:t>laesio</w:t>
      </w:r>
      <w:r>
        <w:rPr>
          <w:b w:val="0"/>
          <w:i w:val="0"/>
        </w:rPr>
        <w:t xml:space="preserve">; </w:t>
      </w:r>
      <w:r>
        <w:rPr>
          <w:b w:val="0"/>
          <w:i/>
        </w:rPr>
        <w:t>laesione</w:t>
      </w:r>
      <w:r>
        <w:rPr>
          <w:b w:val="0"/>
          <w:i w:val="0"/>
        </w:rPr>
        <w:t xml:space="preserve">; </w:t>
      </w:r>
      <w:r>
        <w:rPr>
          <w:b w:val="0"/>
          <w:i/>
        </w:rPr>
        <w:t>laesionem</w:t>
      </w:r>
      <w:r>
        <w:rPr>
          <w:b w:val="0"/>
          <w:i w:val="0"/>
        </w:rPr>
        <w:t xml:space="preserve">; </w:t>
      </w:r>
      <w:r>
        <w:rPr>
          <w:b w:val="0"/>
          <w:i/>
        </w:rPr>
        <w:t>noxiam</w:t>
      </w:r>
      <w:r>
        <w:rPr>
          <w:b w:val="0"/>
          <w:i w:val="0"/>
        </w:rPr>
        <w:t>.</w:t>
      </w:r>
    </w:p>
    <w:p>
      <w:pPr>
        <w:widowControl/>
      </w:pPr>
      <w:r>
        <w:rPr>
          <w:b w:val="0"/>
          <w:i w:val="0"/>
        </w:rPr>
        <w:t xml:space="preserve">Injury that harms or corrupts a substance. Ficino asks whether the same harmful alteration can pass from flesh and spirit into the soul. References: </w:t>
      </w:r>
      <w:hyperlink w:anchor="passage-vii-6-2">
        <w:r>
          <w:rPr>
            <w:color w:val="000000"/>
          </w:rPr>
          <w:t xml:space="preserve">VII.6.2</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940" w:name="latin-record-0699"/>
      <w:bookmarkEnd w:id="940"/>
      <w:r>
        <w:rPr>
          <w:b/>
          <w:i w:val="0"/>
        </w:rPr>
        <w:t>lampas; ignis</w:t>
      </w:r>
      <w:r>
        <w:rPr>
          <w:b/>
          <w:i w:val="0"/>
        </w:rPr>
        <w:t>.</w:t>
      </w:r>
      <w:r>
        <w:rPr>
          <w:b w:val="0"/>
          <w:i w:val="0"/>
        </w:rPr>
        <w:t xml:space="preserve"> Printed forms: </w:t>
      </w:r>
      <w:r>
        <w:rPr>
          <w:b w:val="0"/>
          <w:i/>
        </w:rPr>
        <w:t>ignem</w:t>
      </w:r>
      <w:r>
        <w:rPr>
          <w:b w:val="0"/>
          <w:i w:val="0"/>
        </w:rPr>
        <w:t xml:space="preserve">; </w:t>
      </w:r>
      <w:r>
        <w:rPr>
          <w:b w:val="0"/>
          <w:i/>
        </w:rPr>
        <w:t>lampadem</w:t>
      </w:r>
      <w:r>
        <w:rPr>
          <w:b w:val="0"/>
          <w:i w:val="0"/>
        </w:rPr>
        <w:t xml:space="preserve">; </w:t>
      </w:r>
      <w:r>
        <w:rPr>
          <w:b w:val="0"/>
          <w:i/>
        </w:rPr>
        <w:t>lampas</w:t>
      </w:r>
      <w:r>
        <w:rPr>
          <w:b w:val="0"/>
          <w:i w:val="0"/>
        </w:rPr>
        <w:t>.</w:t>
      </w:r>
    </w:p>
    <w:p>
      <w:pPr>
        <w:widowControl/>
      </w:pPr>
      <w:r>
        <w:rPr>
          <w:b w:val="0"/>
          <w:i w:val="0"/>
        </w:rPr>
        <w:t xml:space="preserve">Lamp and fire as names of the cave’s artificial light-source. They must remain distinct from the sun reached in the later ascent. References: </w:t>
      </w:r>
      <w:hyperlink w:anchor="passage-vi-2-14">
        <w:r>
          <w:rPr>
            <w:color w:val="000000"/>
          </w:rPr>
          <w:t xml:space="preserve">VI.2.14</w:t>
        </w:r>
      </w:hyperlink>
      <w:r>
        <w:rPr>
          <w:b w:val="0"/>
          <w:i w:val="0"/>
        </w:rPr>
        <w:t xml:space="preserve">, </w:t>
      </w:r>
      <w:hyperlink w:anchor="passage-vi-2-15">
        <w:r>
          <w:rPr>
            <w:color w:val="000000"/>
          </w:rPr>
          <w:t xml:space="preserve">VI.2.15</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941" w:name="latin-record-0700"/>
      <w:bookmarkEnd w:id="941"/>
      <w:r>
        <w:rPr>
          <w:b/>
          <w:i w:val="0"/>
        </w:rPr>
        <w:t>Landinus; Nuthius; Vespuccius</w:t>
      </w:r>
      <w:r>
        <w:rPr>
          <w:b/>
          <w:i w:val="0"/>
        </w:rPr>
        <w:t>.</w:t>
      </w:r>
      <w:r>
        <w:rPr>
          <w:b w:val="0"/>
          <w:i w:val="0"/>
        </w:rPr>
        <w:t xml:space="preserve"> Printed forms: </w:t>
      </w:r>
      <w:r>
        <w:rPr>
          <w:b w:val="0"/>
          <w:i/>
        </w:rPr>
        <w:t>Bernardus Nuthius</w:t>
      </w:r>
      <w:r>
        <w:rPr>
          <w:b w:val="0"/>
          <w:i w:val="0"/>
        </w:rPr>
        <w:t xml:space="preserve">; </w:t>
      </w:r>
      <w:r>
        <w:rPr>
          <w:b w:val="0"/>
          <w:i/>
        </w:rPr>
        <w:t>Christophorus Landinus</w:t>
      </w:r>
      <w:r>
        <w:rPr>
          <w:b w:val="0"/>
          <w:i w:val="0"/>
        </w:rPr>
        <w:t xml:space="preserve">; </w:t>
      </w:r>
      <w:r>
        <w:rPr>
          <w:b w:val="0"/>
          <w:i/>
        </w:rPr>
        <w:t>Georgius Antonius Vespuccius</w:t>
      </w:r>
      <w:r>
        <w:rPr>
          <w:b w:val="0"/>
          <w:i w:val="0"/>
        </w:rPr>
        <w:t>.</w:t>
      </w:r>
    </w:p>
    <w:p>
      <w:pPr>
        <w:widowControl/>
      </w:pPr>
      <w:r>
        <w:rPr>
          <w:b w:val="0"/>
          <w:i w:val="0"/>
        </w:rPr>
        <w:t xml:space="preserve">Cristoforo Landino, Bernardo Nuzzi and Giorgio Antonio Vespucci, the named associates present. Their integrity and learning locate the debate within Ficino’s circle; their presence is not itself a premise proving immortality.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942" w:name="latin-record-0701"/>
      <w:bookmarkEnd w:id="942"/>
      <w:r>
        <w:rPr>
          <w:b/>
          <w:i w:val="0"/>
        </w:rPr>
        <w:t>lapides / prima vita</w:t>
      </w:r>
      <w:r>
        <w:rPr>
          <w:b/>
          <w:i w:val="0"/>
        </w:rPr>
        <w:t>.</w:t>
      </w:r>
      <w:r>
        <w:rPr>
          <w:b w:val="0"/>
          <w:i w:val="0"/>
        </w:rPr>
        <w:t xml:space="preserve"> Printed forms: </w:t>
      </w:r>
      <w:r>
        <w:rPr>
          <w:b w:val="0"/>
          <w:i/>
        </w:rPr>
        <w:t>lapides</w:t>
      </w:r>
      <w:r>
        <w:rPr>
          <w:b w:val="0"/>
          <w:i w:val="0"/>
        </w:rPr>
        <w:t xml:space="preserve">; </w:t>
      </w:r>
      <w:r>
        <w:rPr>
          <w:b w:val="0"/>
          <w:i/>
        </w:rPr>
        <w:t>primam</w:t>
      </w:r>
      <w:r>
        <w:rPr>
          <w:b w:val="0"/>
          <w:i w:val="0"/>
        </w:rPr>
        <w:t xml:space="preserve">; </w:t>
      </w:r>
      <w:r>
        <w:rPr>
          <w:b w:val="0"/>
          <w:i/>
        </w:rPr>
        <w:t>vitam</w:t>
      </w:r>
      <w:r>
        <w:rPr>
          <w:b w:val="0"/>
          <w:i w:val="0"/>
        </w:rPr>
        <w:t xml:space="preserve">; </w:t>
      </w:r>
      <w:r>
        <w:rPr>
          <w:b w:val="0"/>
          <w:i/>
        </w:rPr>
        <w:t>vivos</w:t>
      </w:r>
      <w:r>
        <w:rPr>
          <w:b w:val="0"/>
          <w:i w:val="0"/>
        </w:rPr>
        <w:t>.</w:t>
      </w:r>
    </w:p>
    <w:p>
      <w:pPr>
        <w:widowControl/>
      </w:pPr>
      <w:r>
        <w:rPr>
          <w:b w:val="0"/>
          <w:i w:val="0"/>
        </w:rPr>
        <w:t xml:space="preserve">Lifeless stones and their reference to the first life as their source. Mind possesses stones as living in the sense of referring their intelligible account to that cause, not by physically animating the stone. References: </w:t>
      </w:r>
      <w:hyperlink w:anchor="passage-viii-14-1">
        <w:r>
          <w:rPr>
            <w:color w:val="000000"/>
          </w:rPr>
          <w:t xml:space="preserve">VIII.14.1</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943" w:name="latin-record-0702"/>
      <w:bookmarkEnd w:id="943"/>
      <w:r>
        <w:rPr>
          <w:b/>
          <w:i w:val="0"/>
        </w:rPr>
        <w:t>lapis</w:t>
      </w:r>
      <w:r>
        <w:rPr>
          <w:b/>
          <w:i w:val="0"/>
        </w:rPr>
        <w:t>.</w:t>
      </w:r>
      <w:r>
        <w:rPr>
          <w:b w:val="0"/>
          <w:i w:val="0"/>
        </w:rPr>
        <w:t xml:space="preserve"> Printed forms: </w:t>
      </w:r>
      <w:r>
        <w:rPr>
          <w:b w:val="0"/>
          <w:i/>
        </w:rPr>
        <w:t>lapis</w:t>
      </w:r>
      <w:r>
        <w:rPr>
          <w:b w:val="0"/>
          <w:i w:val="0"/>
        </w:rPr>
        <w:t xml:space="preserve">; </w:t>
      </w:r>
      <w:r>
        <w:rPr>
          <w:b w:val="0"/>
          <w:i/>
        </w:rPr>
        <w:t>lapis iste</w:t>
      </w:r>
      <w:r>
        <w:rPr>
          <w:b w:val="0"/>
          <w:i w:val="0"/>
        </w:rPr>
        <w:t>.</w:t>
      </w:r>
    </w:p>
    <w:p>
      <w:pPr>
        <w:widowControl/>
      </w:pPr>
      <w:r>
        <w:rPr>
          <w:b w:val="0"/>
          <w:i w:val="0"/>
        </w:rPr>
        <w:t xml:space="preserve">Stone as the example of nongraded substantial identity. One stone is not more stone than another as a quality is more intense; this does not exclude differences in size or strength. References: </w:t>
      </w:r>
      <w:hyperlink w:anchor="passage-vii-9-1">
        <w:r>
          <w:rPr>
            <w:color w:val="000000"/>
          </w:rPr>
          <w:t xml:space="preserve">VII.9.1</w:t>
        </w:r>
      </w:hyperlink>
      <w:r>
        <w:rPr>
          <w:b w:val="0"/>
          <w:i w:val="0"/>
        </w:rPr>
        <w:t xml:space="preserve">. See </w:t>
      </w:r>
      <w:hyperlink w:anchor="vii-substance-degrees">
        <w:r>
          <w:rPr>
            <w:color w:val="000000"/>
          </w:rPr>
          <w:t xml:space="preserve">Substance, qualities and degrees</w:t>
        </w:r>
      </w:hyperlink>
      <w:r>
        <w:rPr>
          <w:b w:val="0"/>
          <w:i w:val="0"/>
        </w:rPr>
        <w:t>.</w:t>
      </w:r>
    </w:p>
    <w:p>
      <w:pPr>
        <w:keepNext/>
        <w:widowControl/>
      </w:pPr>
      <w:bookmarkStart w:id="944" w:name="latin-record-0703"/>
      <w:bookmarkEnd w:id="944"/>
      <w:r>
        <w:rPr>
          <w:b/>
          <w:i w:val="0"/>
        </w:rPr>
        <w:t>lapis / scintilla / collidere</w:t>
      </w:r>
      <w:r>
        <w:rPr>
          <w:b/>
          <w:i w:val="0"/>
        </w:rPr>
        <w:t>.</w:t>
      </w:r>
      <w:r>
        <w:rPr>
          <w:b w:val="0"/>
          <w:i w:val="0"/>
        </w:rPr>
        <w:t xml:space="preserve"> Printed forms: </w:t>
      </w:r>
      <w:r>
        <w:rPr>
          <w:b w:val="0"/>
          <w:i/>
        </w:rPr>
        <w:t>colliso</w:t>
      </w:r>
      <w:r>
        <w:rPr>
          <w:b w:val="0"/>
          <w:i w:val="0"/>
        </w:rPr>
        <w:t xml:space="preserve">; </w:t>
      </w:r>
      <w:r>
        <w:rPr>
          <w:b w:val="0"/>
          <w:i/>
        </w:rPr>
        <w:t>lapide</w:t>
      </w:r>
      <w:r>
        <w:rPr>
          <w:b w:val="0"/>
          <w:i w:val="0"/>
        </w:rPr>
        <w:t xml:space="preserve">; </w:t>
      </w:r>
      <w:r>
        <w:rPr>
          <w:b w:val="0"/>
          <w:i/>
        </w:rPr>
        <w:t>scintilla</w:t>
      </w:r>
      <w:r>
        <w:rPr>
          <w:b w:val="0"/>
          <w:i w:val="0"/>
        </w:rPr>
        <w:t>.</w:t>
      </w:r>
    </w:p>
    <w:p>
      <w:pPr>
        <w:widowControl/>
      </w:pPr>
      <w:r>
        <w:rPr>
          <w:b w:val="0"/>
          <w:i w:val="0"/>
        </w:rPr>
        <w:t xml:space="preserve">Stone, spark and repeated striking. The spark analogy couples the sudden light of truth with a long process of inquiry rather than spontaneous unsupported insight. References: </w:t>
      </w:r>
      <w:hyperlink w:anchor="passage-viii-3-3">
        <w:r>
          <w:rPr>
            <w:color w:val="000000"/>
          </w:rPr>
          <w:t xml:space="preserve">VIII.3.3</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945" w:name="latin-record-0704"/>
      <w:bookmarkEnd w:id="945"/>
      <w:r>
        <w:rPr>
          <w:b/>
          <w:i w:val="0"/>
        </w:rPr>
        <w:t>latere / delitescere</w:t>
      </w:r>
      <w:r>
        <w:rPr>
          <w:b/>
          <w:i w:val="0"/>
        </w:rPr>
        <w:t>.</w:t>
      </w:r>
      <w:r>
        <w:rPr>
          <w:b w:val="0"/>
          <w:i w:val="0"/>
        </w:rPr>
        <w:t xml:space="preserve"> Printed forms: </w:t>
      </w:r>
      <w:r>
        <w:rPr>
          <w:b w:val="0"/>
          <w:i/>
        </w:rPr>
        <w:t>delitescit</w:t>
      </w:r>
      <w:r>
        <w:rPr>
          <w:b w:val="0"/>
          <w:i w:val="0"/>
        </w:rPr>
        <w:t xml:space="preserve">; </w:t>
      </w:r>
      <w:r>
        <w:rPr>
          <w:b w:val="0"/>
          <w:i/>
        </w:rPr>
        <w:t>latet</w:t>
      </w:r>
      <w:r>
        <w:rPr>
          <w:b w:val="0"/>
          <w:i w:val="0"/>
        </w:rPr>
        <w:t xml:space="preserve">; </w:t>
      </w:r>
      <w:r>
        <w:rPr>
          <w:b w:val="0"/>
          <w:i/>
        </w:rPr>
        <w:t>latuerat</w:t>
      </w:r>
      <w:r>
        <w:rPr>
          <w:b w:val="0"/>
          <w:i w:val="0"/>
        </w:rPr>
        <w:t xml:space="preserve">; </w:t>
      </w:r>
      <w:r>
        <w:rPr>
          <w:b w:val="0"/>
          <w:i/>
        </w:rPr>
        <w:t>latuit</w:t>
      </w:r>
      <w:r>
        <w:rPr>
          <w:b w:val="0"/>
          <w:i w:val="0"/>
        </w:rPr>
        <w:t>.</w:t>
      </w:r>
    </w:p>
    <w:p>
      <w:pPr>
        <w:widowControl/>
      </w:pPr>
      <w:r>
        <w:rPr>
          <w:b w:val="0"/>
          <w:i w:val="0"/>
        </w:rPr>
        <w:t xml:space="preserve">To lie hidden or remain concealed. Matter is hidden beneath changing sensible qualities, while potential fire is pictured as concealed in matter before manifestation. References: </w:t>
      </w:r>
      <w:hyperlink w:anchor="passage-v-4-3">
        <w:r>
          <w:rPr>
            <w:color w:val="000000"/>
          </w:rPr>
          <w:t xml:space="preserve">V.4.3</w:t>
        </w:r>
      </w:hyperlink>
      <w:r>
        <w:rPr>
          <w:b w:val="0"/>
          <w:i w:val="0"/>
        </w:rPr>
        <w:t xml:space="preserve">, </w:t>
      </w:r>
      <w:hyperlink w:anchor="passage-v-9-4">
        <w:r>
          <w:rPr>
            <w:color w:val="000000"/>
          </w:rPr>
          <w:t xml:space="preserve">V.9.4</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946" w:name="latin-record-0705"/>
      <w:bookmarkEnd w:id="946"/>
      <w:r>
        <w:rPr>
          <w:b/>
          <w:i w:val="0"/>
        </w:rPr>
        <w:t>latere / lucere</w:t>
      </w:r>
      <w:r>
        <w:rPr>
          <w:b/>
          <w:i w:val="0"/>
        </w:rPr>
        <w:t>.</w:t>
      </w:r>
      <w:r>
        <w:rPr>
          <w:b w:val="0"/>
          <w:i w:val="0"/>
        </w:rPr>
        <w:t xml:space="preserve"> Printed forms: </w:t>
      </w:r>
      <w:r>
        <w:rPr>
          <w:b w:val="0"/>
          <w:i/>
        </w:rPr>
        <w:t>latent</w:t>
      </w:r>
      <w:r>
        <w:rPr>
          <w:b w:val="0"/>
          <w:i w:val="0"/>
        </w:rPr>
        <w:t xml:space="preserve">; </w:t>
      </w:r>
      <w:r>
        <w:rPr>
          <w:b w:val="0"/>
          <w:i/>
        </w:rPr>
        <w:t>latet</w:t>
      </w:r>
      <w:r>
        <w:rPr>
          <w:b w:val="0"/>
          <w:i w:val="0"/>
        </w:rPr>
        <w:t xml:space="preserve">; </w:t>
      </w:r>
      <w:r>
        <w:rPr>
          <w:b w:val="0"/>
          <w:i/>
        </w:rPr>
        <w:t>Latet</w:t>
      </w:r>
      <w:r>
        <w:rPr>
          <w:b w:val="0"/>
          <w:i w:val="0"/>
        </w:rPr>
        <w:t xml:space="preserve">; </w:t>
      </w:r>
      <w:r>
        <w:rPr>
          <w:b w:val="0"/>
          <w:i/>
        </w:rPr>
        <w:t>lucent</w:t>
      </w:r>
      <w:r>
        <w:rPr>
          <w:b w:val="0"/>
          <w:i w:val="0"/>
        </w:rPr>
        <w:t xml:space="preserve">; </w:t>
      </w:r>
      <w:r>
        <w:rPr>
          <w:b w:val="0"/>
          <w:i/>
        </w:rPr>
        <w:t>lucet</w:t>
      </w:r>
      <w:r>
        <w:rPr>
          <w:b w:val="0"/>
          <w:i w:val="0"/>
        </w:rPr>
        <w:t>.</w:t>
      </w:r>
    </w:p>
    <w:p>
      <w:pPr>
        <w:widowControl/>
      </w:pPr>
      <w:r>
        <w:rPr>
          <w:b w:val="0"/>
          <w:i w:val="0"/>
        </w:rPr>
        <w:t xml:space="preserve">Lying concealed and shining forth, images of implicit and explicit intelligible content. A discipline’s implications lie within propositions, while principles and latent forms become evident to reflective intellect. References: </w:t>
      </w:r>
      <w:hyperlink w:anchor="passage-viii-3-5">
        <w:r>
          <w:rPr>
            <w:color w:val="000000"/>
          </w:rPr>
          <w:t xml:space="preserve">VIII.3.5</w:t>
        </w:r>
      </w:hyperlink>
      <w:r>
        <w:rPr>
          <w:b w:val="0"/>
          <w:i w:val="0"/>
        </w:rPr>
        <w:t xml:space="preserve">, </w:t>
      </w:r>
      <w:hyperlink w:anchor="passage-viii-3-7">
        <w:r>
          <w:rPr>
            <w:color w:val="000000"/>
          </w:rPr>
          <w:t xml:space="preserve">VIII.3.7</w:t>
        </w:r>
      </w:hyperlink>
      <w:r>
        <w:rPr>
          <w:b w:val="0"/>
          <w:i w:val="0"/>
        </w:rPr>
        <w:t xml:space="preserve">, </w:t>
      </w:r>
      <w:hyperlink w:anchor="passage-viii-4-12">
        <w:r>
          <w:rPr>
            <w:color w:val="000000"/>
          </w:rPr>
          <w:t xml:space="preserve">VIII.4.12</w:t>
        </w:r>
      </w:hyperlink>
      <w:r>
        <w:rPr>
          <w:b w:val="0"/>
          <w:i w:val="0"/>
        </w:rPr>
        <w:t xml:space="preserve">, </w:t>
      </w:r>
      <w:hyperlink w:anchor="passage-viii-13-1">
        <w:r>
          <w:rPr>
            <w:color w:val="000000"/>
          </w:rPr>
          <w:t xml:space="preserve">VIII.13.1</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947" w:name="latin-record-0706"/>
      <w:bookmarkEnd w:id="947"/>
      <w:r>
        <w:rPr>
          <w:b/>
          <w:i w:val="0"/>
        </w:rPr>
        <w:t>latitudo / extensio</w:t>
      </w:r>
      <w:r>
        <w:rPr>
          <w:b/>
          <w:i w:val="0"/>
        </w:rPr>
        <w:t>.</w:t>
      </w:r>
      <w:r>
        <w:rPr>
          <w:b w:val="0"/>
          <w:i w:val="0"/>
        </w:rPr>
        <w:t xml:space="preserve"> Printed forms: </w:t>
      </w:r>
      <w:r>
        <w:rPr>
          <w:b w:val="0"/>
          <w:i/>
        </w:rPr>
        <w:t>extensio</w:t>
      </w:r>
      <w:r>
        <w:rPr>
          <w:b w:val="0"/>
          <w:i w:val="0"/>
        </w:rPr>
        <w:t xml:space="preserve">; </w:t>
      </w:r>
      <w:r>
        <w:rPr>
          <w:b w:val="0"/>
          <w:i/>
        </w:rPr>
        <w:t>latitudine</w:t>
      </w:r>
      <w:r>
        <w:rPr>
          <w:b w:val="0"/>
          <w:i w:val="0"/>
        </w:rPr>
        <w:t xml:space="preserve">; </w:t>
      </w:r>
      <w:r>
        <w:rPr>
          <w:b w:val="0"/>
          <w:i/>
        </w:rPr>
        <w:t>latitudinem</w:t>
      </w:r>
      <w:r>
        <w:rPr>
          <w:b w:val="0"/>
          <w:i w:val="0"/>
        </w:rPr>
        <w:t xml:space="preserve">; </w:t>
      </w:r>
      <w:r>
        <w:rPr>
          <w:b w:val="0"/>
          <w:i/>
        </w:rPr>
        <w:t>latitudinis</w:t>
      </w:r>
      <w:r>
        <w:rPr>
          <w:b w:val="0"/>
          <w:i w:val="0"/>
        </w:rPr>
        <w:t xml:space="preserve">; </w:t>
      </w:r>
      <w:r>
        <w:rPr>
          <w:b w:val="0"/>
          <w:i/>
        </w:rPr>
        <w:t>latitudo</w:t>
      </w:r>
      <w:r>
        <w:rPr>
          <w:b w:val="0"/>
          <w:i w:val="0"/>
        </w:rPr>
        <w:t>.</w:t>
      </w:r>
    </w:p>
    <w:p>
      <w:pPr>
        <w:widowControl/>
      </w:pPr>
      <w:r>
        <w:rPr>
          <w:b w:val="0"/>
          <w:i w:val="0"/>
        </w:rPr>
        <w:t xml:space="preserve">Bodily breadth or extension distributed in parts. The proposed form spread through extension would share its division; intellect’s correspondence to objects cannot be measured this way. References: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5-1">
        <w:r>
          <w:rPr>
            <w:color w:val="000000"/>
          </w:rPr>
          <w:t xml:space="preserve">VIII.5.1</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948" w:name="latin-record-0707"/>
      <w:bookmarkEnd w:id="948"/>
      <w:r>
        <w:rPr>
          <w:b/>
          <w:i w:val="0"/>
        </w:rPr>
        <w:t>leo</w:t>
      </w:r>
      <w:r>
        <w:rPr>
          <w:b/>
          <w:i w:val="0"/>
        </w:rPr>
        <w:t>.</w:t>
      </w:r>
      <w:r>
        <w:rPr>
          <w:b w:val="0"/>
          <w:i w:val="0"/>
        </w:rPr>
        <w:t xml:space="preserve"> Printed forms: </w:t>
      </w:r>
      <w:r>
        <w:rPr>
          <w:b w:val="0"/>
          <w:i/>
        </w:rPr>
        <w:t>leo</w:t>
      </w:r>
      <w:r>
        <w:rPr>
          <w:b w:val="0"/>
          <w:i w:val="0"/>
        </w:rPr>
        <w:t xml:space="preserve">; </w:t>
      </w:r>
      <w:r>
        <w:rPr>
          <w:b w:val="0"/>
          <w:i/>
        </w:rPr>
        <w:t>leone</w:t>
      </w:r>
      <w:r>
        <w:rPr>
          <w:b w:val="0"/>
          <w:i w:val="0"/>
        </w:rPr>
        <w:t xml:space="preserve">; </w:t>
      </w:r>
      <w:r>
        <w:rPr>
          <w:b w:val="0"/>
          <w:i/>
        </w:rPr>
        <w:t>leonem</w:t>
      </w:r>
      <w:r>
        <w:rPr>
          <w:b w:val="0"/>
          <w:i w:val="0"/>
        </w:rPr>
        <w:t xml:space="preserve">; </w:t>
      </w:r>
      <w:r>
        <w:rPr>
          <w:b w:val="0"/>
          <w:i/>
        </w:rPr>
        <w:t>leonis</w:t>
      </w:r>
      <w:r>
        <w:rPr>
          <w:b w:val="0"/>
          <w:i w:val="0"/>
        </w:rPr>
        <w:t>.</w:t>
      </w:r>
    </w:p>
    <w:p>
      <w:pPr>
        <w:widowControl/>
      </w:pPr>
      <w:r>
        <w:rPr>
          <w:b w:val="0"/>
          <w:i w:val="0"/>
        </w:rPr>
        <w:t xml:space="preserve">A lion, the generated animal used to distinguish determinate form from underlying prime matter. The lion’s actuality does not abolish prime matter’s capacity to receive a nonlion form later. References: </w:t>
      </w:r>
      <w:hyperlink w:anchor="passage-v-12-6">
        <w:r>
          <w:rPr>
            <w:color w:val="000000"/>
          </w:rPr>
          <w:t xml:space="preserve">V.12.6</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949" w:name="latin-record-0708"/>
      <w:bookmarkEnd w:id="949"/>
      <w:r>
        <w:rPr>
          <w:b/>
          <w:i w:val="0"/>
        </w:rPr>
        <w:t>leo / audacia</w:t>
      </w:r>
      <w:r>
        <w:rPr>
          <w:b/>
          <w:i w:val="0"/>
        </w:rPr>
        <w:t>.</w:t>
      </w:r>
      <w:r>
        <w:rPr>
          <w:b w:val="0"/>
          <w:i w:val="0"/>
        </w:rPr>
        <w:t xml:space="preserve"> Printed forms: </w:t>
      </w:r>
      <w:r>
        <w:rPr>
          <w:b w:val="0"/>
          <w:i/>
        </w:rPr>
        <w:t>audentior</w:t>
      </w:r>
      <w:r>
        <w:rPr>
          <w:b w:val="0"/>
          <w:i w:val="0"/>
        </w:rPr>
        <w:t xml:space="preserve">; </w:t>
      </w:r>
      <w:r>
        <w:rPr>
          <w:b w:val="0"/>
          <w:i/>
        </w:rPr>
        <w:t>leo</w:t>
      </w:r>
      <w:r>
        <w:rPr>
          <w:b w:val="0"/>
          <w:i w:val="0"/>
        </w:rPr>
        <w:t>.</w:t>
      </w:r>
    </w:p>
    <w:p>
      <w:pPr>
        <w:widowControl/>
      </w:pPr>
      <w:r>
        <w:rPr>
          <w:b w:val="0"/>
          <w:i w:val="0"/>
        </w:rPr>
        <w:t xml:space="preserve">Lion and greater boldness. Boldness is one of several animal gifts and should not be merged with reasoning, acuity or moral virtue.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950" w:name="latin-record-0709"/>
      <w:bookmarkEnd w:id="950"/>
      <w:r>
        <w:rPr>
          <w:b/>
          <w:i w:val="0"/>
        </w:rPr>
        <w:t>lepus / vestigium / indago</w:t>
      </w:r>
      <w:r>
        <w:rPr>
          <w:b/>
          <w:i w:val="0"/>
        </w:rPr>
        <w:t>.</w:t>
      </w:r>
      <w:r>
        <w:rPr>
          <w:b w:val="0"/>
          <w:i w:val="0"/>
        </w:rPr>
        <w:t xml:space="preserve"> Printed forms: </w:t>
      </w:r>
      <w:r>
        <w:rPr>
          <w:b w:val="0"/>
          <w:i/>
        </w:rPr>
        <w:t>indaginem</w:t>
      </w:r>
      <w:r>
        <w:rPr>
          <w:b w:val="0"/>
          <w:i w:val="0"/>
        </w:rPr>
        <w:t xml:space="preserve">; </w:t>
      </w:r>
      <w:r>
        <w:rPr>
          <w:b w:val="0"/>
          <w:i/>
        </w:rPr>
        <w:t>investigationem</w:t>
      </w:r>
      <w:r>
        <w:rPr>
          <w:b w:val="0"/>
          <w:i w:val="0"/>
        </w:rPr>
        <w:t xml:space="preserve">; </w:t>
      </w:r>
      <w:r>
        <w:rPr>
          <w:b w:val="0"/>
          <w:i/>
        </w:rPr>
        <w:t>lepus</w:t>
      </w:r>
      <w:r>
        <w:rPr>
          <w:b w:val="0"/>
          <w:i w:val="0"/>
        </w:rPr>
        <w:t xml:space="preserve">; </w:t>
      </w:r>
      <w:r>
        <w:rPr>
          <w:b w:val="0"/>
          <w:i/>
        </w:rPr>
        <w:t>vestigia</w:t>
      </w:r>
      <w:r>
        <w:rPr>
          <w:b w:val="0"/>
          <w:i w:val="0"/>
        </w:rPr>
        <w:t>.</w:t>
      </w:r>
    </w:p>
    <w:p>
      <w:pPr>
        <w:widowControl/>
      </w:pPr>
      <w:r>
        <w:rPr>
          <w:b w:val="0"/>
          <w:i w:val="0"/>
        </w:rPr>
        <w:t xml:space="preserve">Hare, tracks and the prolonged search that precedes a sudden sighting. The hunt models the difference between gradually preparing for knowledge and actually apprehending its truth. References: </w:t>
      </w:r>
      <w:hyperlink w:anchor="passage-viii-3-2">
        <w:r>
          <w:rPr>
            <w:color w:val="000000"/>
          </w:rPr>
          <w:t xml:space="preserve">VIII.3.2</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951" w:name="latin-record-0710"/>
      <w:bookmarkEnd w:id="951"/>
      <w:r>
        <w:rPr>
          <w:b/>
          <w:i w:val="0"/>
        </w:rPr>
        <w:t>levis; gravis; rarus; densus</w:t>
      </w:r>
      <w:r>
        <w:rPr>
          <w:b/>
          <w:i w:val="0"/>
        </w:rPr>
        <w:t>.</w:t>
      </w:r>
      <w:r>
        <w:rPr>
          <w:b w:val="0"/>
          <w:i w:val="0"/>
        </w:rPr>
        <w:t xml:space="preserve"> Printed forms: </w:t>
      </w:r>
      <w:r>
        <w:rPr>
          <w:b w:val="0"/>
          <w:i/>
        </w:rPr>
        <w:t>leve vel grave</w:t>
      </w:r>
      <w:r>
        <w:rPr>
          <w:b w:val="0"/>
          <w:i w:val="0"/>
        </w:rPr>
        <w:t xml:space="preserve">; </w:t>
      </w:r>
      <w:r>
        <w:rPr>
          <w:b w:val="0"/>
          <w:i/>
        </w:rPr>
        <w:t>rarum vel densum</w:t>
      </w:r>
      <w:r>
        <w:rPr>
          <w:b w:val="0"/>
          <w:i w:val="0"/>
        </w:rPr>
        <w:t>.</w:t>
      </w:r>
    </w:p>
    <w:p>
      <w:pPr>
        <w:widowControl/>
      </w:pPr>
      <w:r>
        <w:rPr>
          <w:b w:val="0"/>
          <w:i w:val="0"/>
        </w:rPr>
        <w:t xml:space="preserve">Light/heavy and rare/dense as physical contraries. The directional argument then asks how soul moves light spirits down and heavy humours up against these natural inclinations.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952" w:name="latin-record-0711"/>
      <w:bookmarkEnd w:id="952"/>
      <w:r>
        <w:rPr>
          <w:b/>
          <w:i w:val="0"/>
        </w:rPr>
        <w:t>lex formantis</w:t>
      </w:r>
      <w:r>
        <w:rPr>
          <w:b/>
          <w:i w:val="0"/>
        </w:rPr>
        <w:t>.</w:t>
      </w:r>
      <w:r>
        <w:rPr>
          <w:b w:val="0"/>
          <w:i w:val="0"/>
        </w:rPr>
        <w:t xml:space="preserve"> Printed forms: </w:t>
      </w:r>
      <w:r>
        <w:rPr>
          <w:b w:val="0"/>
          <w:i/>
        </w:rPr>
        <w:t>formantis lege</w:t>
      </w:r>
      <w:r>
        <w:rPr>
          <w:b w:val="0"/>
          <w:i w:val="0"/>
        </w:rPr>
        <w:t xml:space="preserve">; </w:t>
      </w:r>
      <w:r>
        <w:rPr>
          <w:b w:val="0"/>
          <w:i/>
        </w:rPr>
        <w:t>lege</w:t>
      </w:r>
      <w:r>
        <w:rPr>
          <w:b w:val="0"/>
          <w:i w:val="0"/>
        </w:rPr>
        <w:t>.</w:t>
      </w:r>
    </w:p>
    <w:p>
      <w:pPr>
        <w:widowControl/>
      </w:pPr>
      <w:r>
        <w:rPr>
          <w:b w:val="0"/>
          <w:i w:val="0"/>
        </w:rPr>
        <w:t xml:space="preserve">The law or determination of a forming agent, specifying a form’s mode of existence. A material form must remain in its subject; soul is created to stand in itself. The law is ontological, not a moral prohibition on heat. References: </w:t>
      </w:r>
      <w:hyperlink w:anchor="passage-v-8-2">
        <w:r>
          <w:rPr>
            <w:color w:val="000000"/>
          </w:rPr>
          <w:t xml:space="preserve">V.8.2</w:t>
        </w:r>
      </w:hyperlink>
      <w:r>
        <w:rPr>
          <w:b w:val="0"/>
          <w:i w:val="0"/>
        </w:rPr>
        <w:t xml:space="preserve">, </w:t>
      </w:r>
      <w:hyperlink w:anchor="passage-v-8-4">
        <w:r>
          <w:rPr>
            <w:color w:val="000000"/>
          </w:rPr>
          <w:t xml:space="preserve">V.8.4</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953" w:name="latin-record-0712"/>
      <w:bookmarkEnd w:id="953"/>
      <w:r>
        <w:rPr>
          <w:b/>
          <w:i w:val="0"/>
        </w:rPr>
        <w:t>liber / libere / libertas</w:t>
      </w:r>
      <w:r>
        <w:rPr>
          <w:b/>
          <w:i w:val="0"/>
        </w:rPr>
        <w:t>.</w:t>
      </w:r>
      <w:r>
        <w:rPr>
          <w:b w:val="0"/>
          <w:i w:val="0"/>
        </w:rPr>
        <w:t xml:space="preserve"> Printed forms: </w:t>
      </w:r>
      <w:r>
        <w:rPr>
          <w:b w:val="0"/>
          <w:i/>
        </w:rPr>
        <w:t>libera</w:t>
      </w:r>
      <w:r>
        <w:rPr>
          <w:b w:val="0"/>
          <w:i w:val="0"/>
        </w:rPr>
        <w:t xml:space="preserve">; </w:t>
      </w:r>
      <w:r>
        <w:rPr>
          <w:b w:val="0"/>
          <w:i/>
        </w:rPr>
        <w:t>liberam</w:t>
      </w:r>
      <w:r>
        <w:rPr>
          <w:b w:val="0"/>
          <w:i w:val="0"/>
        </w:rPr>
        <w:t xml:space="preserve">; </w:t>
      </w:r>
      <w:r>
        <w:rPr>
          <w:b w:val="0"/>
          <w:i/>
        </w:rPr>
        <w:t>libere</w:t>
      </w:r>
      <w:r>
        <w:rPr>
          <w:b w:val="0"/>
          <w:i w:val="0"/>
        </w:rPr>
        <w:t xml:space="preserve">; </w:t>
      </w:r>
      <w:r>
        <w:rPr>
          <w:b w:val="0"/>
          <w:i/>
        </w:rPr>
        <w:t>libertate</w:t>
      </w:r>
      <w:r>
        <w:rPr>
          <w:b w:val="0"/>
          <w:i w:val="0"/>
        </w:rPr>
        <w:t xml:space="preserve">; </w:t>
      </w:r>
      <w:r>
        <w:rPr>
          <w:b w:val="0"/>
          <w:i/>
        </w:rPr>
        <w:t>liberum</w:t>
      </w:r>
      <w:r>
        <w:rPr>
          <w:b w:val="0"/>
          <w:i w:val="0"/>
        </w:rPr>
        <w:t>.</w:t>
      </w:r>
    </w:p>
    <w:p>
      <w:pPr>
        <w:widowControl/>
      </w:pPr>
      <w:r>
        <w:rPr>
          <w:b w:val="0"/>
          <w:i w:val="0"/>
        </w:rPr>
        <w:t xml:space="preserve">Liber means free, libere freely, and libertas freedom, particularly freedom from material dependence or forced movement. Primary movement is called free; irrational life is said to lack this freedom because sensory objects draw it. References: </w:t>
      </w:r>
      <w:hyperlink w:anchor="passage-v-4-8">
        <w:r>
          <w:rPr>
            <w:color w:val="000000"/>
          </w:rPr>
          <w:t xml:space="preserve">V.4.8</w:t>
        </w:r>
      </w:hyperlink>
      <w:r>
        <w:rPr>
          <w:b w:val="0"/>
          <w:i w:val="0"/>
        </w:rPr>
        <w:t xml:space="preserve">, </w:t>
      </w:r>
      <w:hyperlink w:anchor="passage-v-5-8">
        <w:r>
          <w:rPr>
            <w:color w:val="000000"/>
          </w:rPr>
          <w:t xml:space="preserve">V.5.8</w:t>
        </w:r>
      </w:hyperlink>
      <w:r>
        <w:rPr>
          <w:b w:val="0"/>
          <w:i w:val="0"/>
        </w:rPr>
        <w:t xml:space="preserve">, </w:t>
      </w:r>
      <w:hyperlink w:anchor="passage-v-8-3">
        <w:r>
          <w:rPr>
            <w:color w:val="000000"/>
          </w:rPr>
          <w:t xml:space="preserve">V.8.3</w:t>
        </w:r>
      </w:hyperlink>
      <w:r>
        <w:rPr>
          <w:b w:val="0"/>
          <w:i w:val="0"/>
        </w:rPr>
        <w:t xml:space="preserve">, </w:t>
      </w:r>
      <w:hyperlink w:anchor="passage-v-10-2">
        <w:r>
          <w:rPr>
            <w:color w:val="000000"/>
          </w:rPr>
          <w:t xml:space="preserve">V.10.2</w:t>
        </w:r>
      </w:hyperlink>
      <w:r>
        <w:rPr>
          <w:b w:val="0"/>
          <w:i w:val="0"/>
        </w:rPr>
        <w:t xml:space="preserve">, </w:t>
      </w:r>
      <w:hyperlink w:anchor="passage-v-10-3">
        <w:r>
          <w:rPr>
            <w:color w:val="000000"/>
          </w:rPr>
          <w:t xml:space="preserve">V.10.3</w:t>
        </w:r>
      </w:hyperlink>
      <w:r>
        <w:rPr>
          <w:b w:val="0"/>
          <w:i w:val="0"/>
        </w:rPr>
        <w:t xml:space="preserve">, </w:t>
      </w:r>
      <w:hyperlink w:anchor="passage-v-14-8">
        <w:r>
          <w:rPr>
            <w:color w:val="000000"/>
          </w:rPr>
          <w:t xml:space="preserve">V.14.8</w:t>
        </w:r>
      </w:hyperlink>
      <w:r>
        <w:rPr>
          <w:b w:val="0"/>
          <w:i w:val="0"/>
        </w:rPr>
        <w:t xml:space="preserve">. See </w:t>
      </w:r>
      <w:hyperlink w:anchor="inclination-and-independence">
        <w:r>
          <w:rPr>
            <w:color w:val="000000"/>
          </w:rPr>
          <w:t xml:space="preserve">Inclination and independence</w:t>
        </w:r>
      </w:hyperlink>
      <w:r>
        <w:rPr>
          <w:b w:val="0"/>
          <w:i w:val="0"/>
        </w:rPr>
        <w:t>.</w:t>
      </w:r>
    </w:p>
    <w:p>
      <w:pPr>
        <w:keepNext/>
        <w:widowControl/>
      </w:pPr>
      <w:bookmarkStart w:id="954" w:name="latin-record-0713"/>
      <w:bookmarkEnd w:id="954"/>
      <w:r>
        <w:rPr>
          <w:b/>
          <w:i w:val="0"/>
        </w:rPr>
        <w:t>liber a materia</w:t>
      </w:r>
      <w:r>
        <w:rPr>
          <w:b/>
          <w:i w:val="0"/>
        </w:rPr>
        <w:t>.</w:t>
      </w:r>
      <w:r>
        <w:rPr>
          <w:b w:val="0"/>
          <w:i w:val="0"/>
        </w:rPr>
        <w:t xml:space="preserve"> Printed forms: </w:t>
      </w:r>
      <w:r>
        <w:rPr>
          <w:b w:val="0"/>
          <w:i/>
        </w:rPr>
        <w:t>a materia libera</w:t>
      </w:r>
      <w:r>
        <w:rPr>
          <w:b w:val="0"/>
          <w:i w:val="0"/>
        </w:rPr>
        <w:t xml:space="preserve">; </w:t>
      </w:r>
      <w:r>
        <w:rPr>
          <w:b w:val="0"/>
          <w:i/>
        </w:rPr>
        <w:t>a materia liberior</w:t>
      </w:r>
      <w:r>
        <w:rPr>
          <w:b w:val="0"/>
          <w:i w:val="0"/>
        </w:rPr>
        <w:t xml:space="preserve">; </w:t>
      </w:r>
      <w:r>
        <w:rPr>
          <w:b w:val="0"/>
          <w:i/>
        </w:rPr>
        <w:t>a materia liberius</w:t>
      </w:r>
      <w:r>
        <w:rPr>
          <w:b w:val="0"/>
          <w:i w:val="0"/>
        </w:rPr>
        <w:t xml:space="preserve">; </w:t>
      </w:r>
      <w:r>
        <w:rPr>
          <w:b w:val="0"/>
          <w:i/>
        </w:rPr>
        <w:t>libera</w:t>
      </w:r>
      <w:r>
        <w:rPr>
          <w:b w:val="0"/>
          <w:i w:val="0"/>
        </w:rPr>
        <w:t xml:space="preserve">; </w:t>
      </w:r>
      <w:r>
        <w:rPr>
          <w:b w:val="0"/>
          <w:i/>
        </w:rPr>
        <w:t>liberae</w:t>
      </w:r>
      <w:r>
        <w:rPr>
          <w:b w:val="0"/>
          <w:i w:val="0"/>
        </w:rPr>
        <w:t xml:space="preserve">; </w:t>
      </w:r>
      <w:r>
        <w:rPr>
          <w:b w:val="0"/>
          <w:i/>
        </w:rPr>
        <w:t>liberior</w:t>
      </w:r>
      <w:r>
        <w:rPr>
          <w:b w:val="0"/>
          <w:i w:val="0"/>
        </w:rPr>
        <w:t xml:space="preserve">; </w:t>
      </w:r>
      <w:r>
        <w:rPr>
          <w:b w:val="0"/>
          <w:i/>
        </w:rPr>
        <w:t>liberius</w:t>
      </w:r>
      <w:r>
        <w:rPr>
          <w:b w:val="0"/>
          <w:i w:val="0"/>
        </w:rPr>
        <w:t xml:space="preserve">; </w:t>
      </w:r>
      <w:r>
        <w:rPr>
          <w:b w:val="0"/>
          <w:i/>
        </w:rPr>
        <w:t>materia</w:t>
      </w:r>
      <w:r>
        <w:rPr>
          <w:b w:val="0"/>
          <w:i w:val="0"/>
        </w:rPr>
        <w:t xml:space="preserve">; </w:t>
      </w:r>
      <w:r>
        <w:rPr>
          <w:b w:val="0"/>
          <w:i/>
        </w:rPr>
        <w:t>materiae</w:t>
      </w:r>
      <w:r>
        <w:rPr>
          <w:b w:val="0"/>
          <w:i w:val="0"/>
        </w:rPr>
        <w:t>.</w:t>
      </w:r>
    </w:p>
    <w:p>
      <w:pPr>
        <w:widowControl/>
      </w:pPr>
      <w:r>
        <w:rPr>
          <w:b w:val="0"/>
          <w:i w:val="0"/>
        </w:rPr>
        <w:t xml:space="preserve">Freedom from matter and immersion in matter as modes of dependence. The degrees of nutrition, sensing and understanding are used to deny their production by wholly bodily humors.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955" w:name="latin-record-0714"/>
      <w:bookmarkEnd w:id="955"/>
      <w:r>
        <w:rPr>
          <w:b/>
          <w:i w:val="0"/>
        </w:rPr>
        <w:t>liber; solutus; separatus</w:t>
      </w:r>
      <w:r>
        <w:rPr>
          <w:b/>
          <w:i w:val="0"/>
        </w:rPr>
        <w:t>.</w:t>
      </w:r>
      <w:r>
        <w:rPr>
          <w:b w:val="0"/>
          <w:i w:val="0"/>
        </w:rPr>
        <w:t xml:space="preserve"> Printed forms: </w:t>
      </w:r>
      <w:r>
        <w:rPr>
          <w:b w:val="0"/>
          <w:i/>
        </w:rPr>
        <w:t>libere</w:t>
      </w:r>
      <w:r>
        <w:rPr>
          <w:b w:val="0"/>
          <w:i w:val="0"/>
        </w:rPr>
        <w:t xml:space="preserve">; </w:t>
      </w:r>
      <w:r>
        <w:rPr>
          <w:b w:val="0"/>
          <w:i/>
        </w:rPr>
        <w:t>liberius</w:t>
      </w:r>
      <w:r>
        <w:rPr>
          <w:b w:val="0"/>
          <w:i w:val="0"/>
        </w:rPr>
        <w:t xml:space="preserve">; </w:t>
      </w:r>
      <w:r>
        <w:rPr>
          <w:b w:val="0"/>
          <w:i/>
        </w:rPr>
        <w:t>liberum</w:t>
      </w:r>
      <w:r>
        <w:rPr>
          <w:b w:val="0"/>
          <w:i w:val="0"/>
        </w:rPr>
        <w:t xml:space="preserve">; </w:t>
      </w:r>
      <w:r>
        <w:rPr>
          <w:b w:val="0"/>
          <w:i/>
        </w:rPr>
        <w:t>seorsum</w:t>
      </w:r>
      <w:r>
        <w:rPr>
          <w:b w:val="0"/>
          <w:i w:val="0"/>
        </w:rPr>
        <w:t xml:space="preserve">; </w:t>
      </w:r>
      <w:r>
        <w:rPr>
          <w:b w:val="0"/>
          <w:i/>
        </w:rPr>
        <w:t>separata</w:t>
      </w:r>
      <w:r>
        <w:rPr>
          <w:b w:val="0"/>
          <w:i w:val="0"/>
        </w:rPr>
        <w:t xml:space="preserve">; </w:t>
      </w:r>
      <w:r>
        <w:rPr>
          <w:b w:val="0"/>
          <w:i/>
        </w:rPr>
        <w:t>separatas</w:t>
      </w:r>
      <w:r>
        <w:rPr>
          <w:b w:val="0"/>
          <w:i w:val="0"/>
        </w:rPr>
        <w:t xml:space="preserve">; </w:t>
      </w:r>
      <w:r>
        <w:rPr>
          <w:b w:val="0"/>
          <w:i/>
        </w:rPr>
        <w:t>soluta</w:t>
      </w:r>
      <w:r>
        <w:rPr>
          <w:b w:val="0"/>
          <w:i w:val="0"/>
        </w:rPr>
        <w:t xml:space="preserve">; </w:t>
      </w:r>
      <w:r>
        <w:rPr>
          <w:b w:val="0"/>
          <w:i/>
        </w:rPr>
        <w:t>solutum</w:t>
      </w:r>
      <w:r>
        <w:rPr>
          <w:b w:val="0"/>
          <w:i w:val="0"/>
        </w:rPr>
        <w:t>.</w:t>
      </w:r>
    </w:p>
    <w:p>
      <w:pPr>
        <w:widowControl/>
      </w:pPr>
      <w:r>
        <w:rPr>
          <w:b w:val="0"/>
          <w:i w:val="0"/>
        </w:rPr>
        <w:t xml:space="preserve">Free, released, separated and apart, whose respect must be specified. Conceptual release from position differs from actual freedom from material origin; separated limbs in a reductio do not imply quantitatively severed souls. References: </w:t>
      </w:r>
      <w:hyperlink w:anchor="passage-vi-1-1">
        <w:r>
          <w:rPr>
            <w:color w:val="000000"/>
          </w:rPr>
          <w:t xml:space="preserve">VI.1.1</w:t>
        </w:r>
      </w:hyperlink>
      <w:r>
        <w:rPr>
          <w:b w:val="0"/>
          <w:i w:val="0"/>
        </w:rPr>
        <w:t xml:space="preserve">, </w:t>
      </w:r>
      <w:hyperlink w:anchor="passage-vi-1-5">
        <w:r>
          <w:rPr>
            <w:color w:val="000000"/>
          </w:rPr>
          <w:t xml:space="preserve">VI.1.5</w:t>
        </w:r>
      </w:hyperlink>
      <w:r>
        <w:rPr>
          <w:b w:val="0"/>
          <w:i w:val="0"/>
        </w:rPr>
        <w:t xml:space="preserve">, </w:t>
      </w:r>
      <w:hyperlink w:anchor="passage-vi-2-10">
        <w:r>
          <w:rPr>
            <w:color w:val="000000"/>
          </w:rPr>
          <w:t xml:space="preserve">VI.2.10</w:t>
        </w:r>
      </w:hyperlink>
      <w:r>
        <w:rPr>
          <w:b w:val="0"/>
          <w:i w:val="0"/>
        </w:rPr>
        <w:t xml:space="preserve">, </w:t>
      </w:r>
      <w:hyperlink w:anchor="passage-vi-2-13">
        <w:r>
          <w:rPr>
            <w:color w:val="000000"/>
          </w:rPr>
          <w:t xml:space="preserve">VI.2.13</w:t>
        </w:r>
      </w:hyperlink>
      <w:r>
        <w:rPr>
          <w:b w:val="0"/>
          <w:i w:val="0"/>
        </w:rPr>
        <w:t xml:space="preserve">, </w:t>
      </w:r>
      <w:hyperlink w:anchor="passage-vi-2-19">
        <w:r>
          <w:rPr>
            <w:color w:val="000000"/>
          </w:rPr>
          <w:t xml:space="preserve">VI.2.19</w:t>
        </w:r>
      </w:hyperlink>
      <w:r>
        <w:rPr>
          <w:b w:val="0"/>
          <w:i w:val="0"/>
        </w:rPr>
        <w:t xml:space="preserve">, </w:t>
      </w:r>
      <w:hyperlink w:anchor="passage-vi-2-20">
        <w:r>
          <w:rPr>
            <w:color w:val="000000"/>
          </w:rPr>
          <w:t xml:space="preserve">VI.2.20</w:t>
        </w:r>
      </w:hyperlink>
      <w:r>
        <w:rPr>
          <w:b w:val="0"/>
          <w:i w:val="0"/>
        </w:rPr>
        <w:t xml:space="preserve">, </w:t>
      </w:r>
      <w:hyperlink w:anchor="passage-vi-13-1">
        <w:r>
          <w:rPr>
            <w:color w:val="000000"/>
          </w:rPr>
          <w:t xml:space="preserve">VI.13.1</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956" w:name="latin-record-0715"/>
      <w:bookmarkEnd w:id="956"/>
      <w:r>
        <w:rPr>
          <w:b/>
          <w:i w:val="0"/>
        </w:rPr>
        <w:t>ligare; vincire</w:t>
      </w:r>
      <w:r>
        <w:rPr>
          <w:b/>
          <w:i w:val="0"/>
        </w:rPr>
        <w:t>.</w:t>
      </w:r>
      <w:r>
        <w:rPr>
          <w:b w:val="0"/>
          <w:i w:val="0"/>
        </w:rPr>
        <w:t xml:space="preserve"> Printed forms: </w:t>
      </w:r>
      <w:r>
        <w:rPr>
          <w:b w:val="0"/>
          <w:i/>
        </w:rPr>
        <w:t>alligatos</w:t>
      </w:r>
      <w:r>
        <w:rPr>
          <w:b w:val="0"/>
          <w:i w:val="0"/>
        </w:rPr>
        <w:t xml:space="preserve">; </w:t>
      </w:r>
      <w:r>
        <w:rPr>
          <w:b w:val="0"/>
          <w:i/>
        </w:rPr>
        <w:t>vincti</w:t>
      </w:r>
      <w:r>
        <w:rPr>
          <w:b w:val="0"/>
          <w:i w:val="0"/>
        </w:rPr>
        <w:t xml:space="preserve">; </w:t>
      </w:r>
      <w:r>
        <w:rPr>
          <w:b w:val="0"/>
          <w:i/>
        </w:rPr>
        <w:t>vinctus</w:t>
      </w:r>
      <w:r>
        <w:rPr>
          <w:b w:val="0"/>
          <w:i w:val="0"/>
        </w:rPr>
        <w:t>.</w:t>
      </w:r>
    </w:p>
    <w:p>
      <w:pPr>
        <w:widowControl/>
      </w:pPr>
      <w:r>
        <w:rPr>
          <w:b w:val="0"/>
          <w:i w:val="0"/>
        </w:rPr>
        <w:t xml:space="preserve">To bind or fasten. The prisoners cannot turn or move to correct their restricted view of projected shadows. References: </w:t>
      </w:r>
      <w:hyperlink w:anchor="passage-vi-2-14">
        <w:r>
          <w:rPr>
            <w:color w:val="000000"/>
          </w:rPr>
          <w:t xml:space="preserve">VI.2.14</w:t>
        </w:r>
      </w:hyperlink>
      <w:r>
        <w:rPr>
          <w:b w:val="0"/>
          <w:i w:val="0"/>
        </w:rPr>
        <w:t xml:space="preserve">, </w:t>
      </w:r>
      <w:hyperlink w:anchor="passage-vi-2-15">
        <w:r>
          <w:rPr>
            <w:color w:val="000000"/>
          </w:rPr>
          <w:t xml:space="preserve">VI.2.15</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957" w:name="latin-record-0716"/>
      <w:bookmarkEnd w:id="957"/>
      <w:r>
        <w:rPr>
          <w:b/>
          <w:i w:val="0"/>
        </w:rPr>
        <w:t>lignum</w:t>
      </w:r>
      <w:r>
        <w:rPr>
          <w:b/>
          <w:i w:val="0"/>
        </w:rPr>
        <w:t>.</w:t>
      </w:r>
      <w:r>
        <w:rPr>
          <w:b w:val="0"/>
          <w:i w:val="0"/>
        </w:rPr>
        <w:t xml:space="preserve"> Printed forms: </w:t>
      </w:r>
      <w:r>
        <w:rPr>
          <w:b w:val="0"/>
          <w:i/>
        </w:rPr>
        <w:t>Ligno</w:t>
      </w:r>
      <w:r>
        <w:rPr>
          <w:b w:val="0"/>
          <w:i w:val="0"/>
        </w:rPr>
        <w:t xml:space="preserve">; </w:t>
      </w:r>
      <w:r>
        <w:rPr>
          <w:b w:val="0"/>
          <w:i/>
        </w:rPr>
        <w:t>lignum</w:t>
      </w:r>
      <w:r>
        <w:rPr>
          <w:b w:val="0"/>
          <w:i w:val="0"/>
        </w:rPr>
        <w:t>.</w:t>
      </w:r>
    </w:p>
    <w:p>
      <w:pPr>
        <w:widowControl/>
      </w:pPr>
      <w:r>
        <w:rPr>
          <w:b w:val="0"/>
          <w:i w:val="0"/>
        </w:rPr>
        <w:t xml:space="preserve">Wood, a material that may acquire and lose circular shape. Its continued existence after losing roundness demonstrates that the property is not intrinsic to wood as wood. References: </w:t>
      </w:r>
      <w:hyperlink w:anchor="passage-v-9-1">
        <w:r>
          <w:rPr>
            <w:color w:val="000000"/>
          </w:rPr>
          <w:t xml:space="preserve">V.9.1</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958" w:name="latin-record-0717"/>
      <w:bookmarkEnd w:id="958"/>
      <w:r>
        <w:rPr>
          <w:b/>
          <w:i w:val="0"/>
        </w:rPr>
        <w:t>lignum / extremum punctum</w:t>
      </w:r>
      <w:r>
        <w:rPr>
          <w:b/>
          <w:i w:val="0"/>
        </w:rPr>
        <w:t>.</w:t>
      </w:r>
      <w:r>
        <w:rPr>
          <w:b w:val="0"/>
          <w:i w:val="0"/>
        </w:rPr>
        <w:t xml:space="preserve"> Printed forms: </w:t>
      </w:r>
      <w:r>
        <w:rPr>
          <w:b w:val="0"/>
          <w:i/>
        </w:rPr>
        <w:t>extrema</w:t>
      </w:r>
      <w:r>
        <w:rPr>
          <w:b w:val="0"/>
          <w:i w:val="0"/>
        </w:rPr>
        <w:t xml:space="preserve">; </w:t>
      </w:r>
      <w:r>
        <w:rPr>
          <w:b w:val="0"/>
          <w:i/>
        </w:rPr>
        <w:t>lignum</w:t>
      </w:r>
      <w:r>
        <w:rPr>
          <w:b w:val="0"/>
          <w:i w:val="0"/>
        </w:rPr>
        <w:t xml:space="preserve">; </w:t>
      </w:r>
      <w:r>
        <w:rPr>
          <w:b w:val="0"/>
          <w:i/>
        </w:rPr>
        <w:t>puncta</w:t>
      </w:r>
      <w:r>
        <w:rPr>
          <w:b w:val="0"/>
          <w:i w:val="0"/>
        </w:rPr>
        <w:t xml:space="preserve">; </w:t>
      </w:r>
      <w:r>
        <w:rPr>
          <w:b w:val="0"/>
          <w:i/>
        </w:rPr>
        <w:t>puncto</w:t>
      </w:r>
      <w:r>
        <w:rPr>
          <w:b w:val="0"/>
          <w:i w:val="0"/>
        </w:rPr>
        <w:t xml:space="preserve">; </w:t>
      </w:r>
      <w:r>
        <w:rPr>
          <w:b w:val="0"/>
          <w:i/>
        </w:rPr>
        <w:t>punctum</w:t>
      </w:r>
      <w:r>
        <w:rPr>
          <w:b w:val="0"/>
          <w:i w:val="0"/>
        </w:rPr>
        <w:t>.</w:t>
      </w:r>
    </w:p>
    <w:p>
      <w:pPr>
        <w:widowControl/>
      </w:pPr>
      <w:r>
        <w:rPr>
          <w:b w:val="0"/>
          <w:i w:val="0"/>
        </w:rPr>
        <w:t xml:space="preserve">Wood and the new terminal points produced at its cut. The original indivisible cutting-point perishes; two endpoints arise, illustrating replacement rather than splitting an indivisible thing.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959" w:name="latin-record-0718"/>
      <w:bookmarkEnd w:id="959"/>
      <w:r>
        <w:rPr>
          <w:b/>
          <w:i w:val="0"/>
        </w:rPr>
        <w:t>lignum / flamma / flammula</w:t>
      </w:r>
      <w:r>
        <w:rPr>
          <w:b/>
          <w:i w:val="0"/>
        </w:rPr>
        <w:t>.</w:t>
      </w:r>
      <w:r>
        <w:rPr>
          <w:b w:val="0"/>
          <w:i w:val="0"/>
        </w:rPr>
        <w:t xml:space="preserve"> Printed forms: </w:t>
      </w:r>
      <w:r>
        <w:rPr>
          <w:b w:val="0"/>
          <w:i/>
        </w:rPr>
        <w:t>Flamma</w:t>
      </w:r>
      <w:r>
        <w:rPr>
          <w:b w:val="0"/>
          <w:i w:val="0"/>
        </w:rPr>
        <w:t xml:space="preserve">; </w:t>
      </w:r>
      <w:r>
        <w:rPr>
          <w:b w:val="0"/>
          <w:i/>
        </w:rPr>
        <w:t>flamma</w:t>
      </w:r>
      <w:r>
        <w:rPr>
          <w:b w:val="0"/>
          <w:i w:val="0"/>
        </w:rPr>
        <w:t xml:space="preserve">; </w:t>
      </w:r>
      <w:r>
        <w:rPr>
          <w:b w:val="0"/>
          <w:i/>
        </w:rPr>
        <w:t>flammam</w:t>
      </w:r>
      <w:r>
        <w:rPr>
          <w:b w:val="0"/>
          <w:i w:val="0"/>
        </w:rPr>
        <w:t xml:space="preserve">; </w:t>
      </w:r>
      <w:r>
        <w:rPr>
          <w:b w:val="0"/>
          <w:i/>
        </w:rPr>
        <w:t>flammula</w:t>
      </w:r>
      <w:r>
        <w:rPr>
          <w:b w:val="0"/>
          <w:i w:val="0"/>
        </w:rPr>
        <w:t xml:space="preserve">; </w:t>
      </w:r>
      <w:r>
        <w:rPr>
          <w:b w:val="0"/>
          <w:i/>
        </w:rPr>
        <w:t>ligno</w:t>
      </w:r>
      <w:r>
        <w:rPr>
          <w:b w:val="0"/>
          <w:i w:val="0"/>
        </w:rPr>
        <w:t xml:space="preserve">; </w:t>
      </w:r>
      <w:r>
        <w:rPr>
          <w:b w:val="0"/>
          <w:i/>
        </w:rPr>
        <w:t>lignum</w:t>
      </w:r>
      <w:r>
        <w:rPr>
          <w:b w:val="0"/>
          <w:i w:val="0"/>
        </w:rPr>
        <w:t>.</w:t>
      </w:r>
    </w:p>
    <w:p>
      <w:pPr>
        <w:widowControl/>
      </w:pPr>
      <w:r>
        <w:rPr>
          <w:b w:val="0"/>
          <w:i w:val="0"/>
        </w:rPr>
        <w:t xml:space="preserve">Wood, flame and the diminutive flame-image reflected in a mirror. Real fire heats wood, while the remote reflection does not; the difference motivates Ficino’s account of the image’s spiritual medium.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960" w:name="latin-record-0719"/>
      <w:bookmarkEnd w:id="960"/>
      <w:r>
        <w:rPr>
          <w:b/>
          <w:i w:val="0"/>
        </w:rPr>
        <w:t>localis diffusio / vitalis intensio</w:t>
      </w:r>
      <w:r>
        <w:rPr>
          <w:b/>
          <w:i w:val="0"/>
        </w:rPr>
        <w:t>.</w:t>
      </w:r>
      <w:r>
        <w:rPr>
          <w:b w:val="0"/>
          <w:i w:val="0"/>
        </w:rPr>
        <w:t xml:space="preserve"> Printed forms: </w:t>
      </w:r>
      <w:r>
        <w:rPr>
          <w:b w:val="0"/>
          <w:i/>
        </w:rPr>
        <w:t>diffusione</w:t>
      </w:r>
      <w:r>
        <w:rPr>
          <w:b w:val="0"/>
          <w:i w:val="0"/>
        </w:rPr>
        <w:t xml:space="preserve">; </w:t>
      </w:r>
      <w:r>
        <w:rPr>
          <w:b w:val="0"/>
          <w:i/>
        </w:rPr>
        <w:t>intensione</w:t>
      </w:r>
      <w:r>
        <w:rPr>
          <w:b w:val="0"/>
          <w:i w:val="0"/>
        </w:rPr>
        <w:t xml:space="preserve">; </w:t>
      </w:r>
      <w:r>
        <w:rPr>
          <w:b w:val="0"/>
          <w:i/>
        </w:rPr>
        <w:t>locali</w:t>
      </w:r>
      <w:r>
        <w:rPr>
          <w:b w:val="0"/>
          <w:i w:val="0"/>
        </w:rPr>
        <w:t xml:space="preserve">; </w:t>
      </w:r>
      <w:r>
        <w:rPr>
          <w:b w:val="0"/>
          <w:i/>
        </w:rPr>
        <w:t>locali diffusione</w:t>
      </w:r>
      <w:r>
        <w:rPr>
          <w:b w:val="0"/>
          <w:i w:val="0"/>
        </w:rPr>
        <w:t xml:space="preserve">; </w:t>
      </w:r>
      <w:r>
        <w:rPr>
          <w:b w:val="0"/>
          <w:i/>
        </w:rPr>
        <w:t>porrectam</w:t>
      </w:r>
      <w:r>
        <w:rPr>
          <w:b w:val="0"/>
          <w:i w:val="0"/>
        </w:rPr>
        <w:t xml:space="preserve">; </w:t>
      </w:r>
      <w:r>
        <w:rPr>
          <w:b w:val="0"/>
          <w:i/>
        </w:rPr>
        <w:t>porrigitur</w:t>
      </w:r>
      <w:r>
        <w:rPr>
          <w:b w:val="0"/>
          <w:i w:val="0"/>
        </w:rPr>
        <w:t xml:space="preserve">; </w:t>
      </w:r>
      <w:r>
        <w:rPr>
          <w:b w:val="0"/>
          <w:i/>
        </w:rPr>
        <w:t>sparsae</w:t>
      </w:r>
      <w:r>
        <w:rPr>
          <w:b w:val="0"/>
          <w:i w:val="0"/>
        </w:rPr>
        <w:t xml:space="preserve">; </w:t>
      </w:r>
      <w:r>
        <w:rPr>
          <w:b w:val="0"/>
          <w:i/>
        </w:rPr>
        <w:t>vitali</w:t>
      </w:r>
      <w:r>
        <w:rPr>
          <w:b w:val="0"/>
          <w:i w:val="0"/>
        </w:rPr>
        <w:t xml:space="preserve">; </w:t>
      </w:r>
      <w:r>
        <w:rPr>
          <w:b w:val="0"/>
          <w:i/>
        </w:rPr>
        <w:t>vitali intensione</w:t>
      </w:r>
      <w:r>
        <w:rPr>
          <w:b w:val="0"/>
          <w:i w:val="0"/>
        </w:rPr>
        <w:t>.</w:t>
      </w:r>
    </w:p>
    <w:p>
      <w:pPr>
        <w:widowControl/>
      </w:pPr>
      <w:r>
        <w:rPr>
          <w:b w:val="0"/>
          <w:i w:val="0"/>
        </w:rPr>
        <w:t xml:space="preserve">Spatial diffusion contrasted with life-giving intensity. The soul’s extension through the body is described by intensity of animation, not by larger and smaller pieces of soul. References: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961" w:name="latin-record-0720"/>
      <w:bookmarkEnd w:id="961"/>
      <w:r>
        <w:rPr>
          <w:b/>
          <w:i w:val="0"/>
        </w:rPr>
        <w:t>loculus; corpusculum</w:t>
      </w:r>
      <w:r>
        <w:rPr>
          <w:b/>
          <w:i w:val="0"/>
        </w:rPr>
        <w:t>.</w:t>
      </w:r>
      <w:r>
        <w:rPr>
          <w:b w:val="0"/>
          <w:i w:val="0"/>
        </w:rPr>
        <w:t xml:space="preserve"> Printed forms: </w:t>
      </w:r>
      <w:r>
        <w:rPr>
          <w:b w:val="0"/>
          <w:i/>
        </w:rPr>
        <w:t>corpuscula</w:t>
      </w:r>
      <w:r>
        <w:rPr>
          <w:b w:val="0"/>
          <w:i w:val="0"/>
        </w:rPr>
        <w:t xml:space="preserve">; </w:t>
      </w:r>
      <w:r>
        <w:rPr>
          <w:b w:val="0"/>
          <w:i/>
        </w:rPr>
        <w:t>loculis</w:t>
      </w:r>
      <w:r>
        <w:rPr>
          <w:b w:val="0"/>
          <w:i w:val="0"/>
        </w:rPr>
        <w:t>.</w:t>
      </w:r>
    </w:p>
    <w:p>
      <w:pPr>
        <w:widowControl/>
      </w:pPr>
      <w:r>
        <w:rPr>
          <w:b w:val="0"/>
          <w:i w:val="0"/>
        </w:rPr>
        <w:t xml:space="preserve">Little places and little bodies. Divisible mixed parts remain separate bodies at separate sites, not two whole bodies in one position. References: </w:t>
      </w:r>
      <w:hyperlink w:anchor="passage-vi-9-1">
        <w:r>
          <w:rPr>
            <w:color w:val="000000"/>
          </w:rPr>
          <w:t xml:space="preserve">VI.9.1</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962" w:name="latin-record-0721"/>
      <w:bookmarkEnd w:id="962"/>
      <w:r>
        <w:rPr>
          <w:b/>
          <w:i w:val="0"/>
        </w:rPr>
        <w:t>locus / situs / tempus</w:t>
      </w:r>
      <w:r>
        <w:rPr>
          <w:b/>
          <w:i w:val="0"/>
        </w:rPr>
        <w:t>.</w:t>
      </w:r>
      <w:r>
        <w:rPr>
          <w:b w:val="0"/>
          <w:i w:val="0"/>
        </w:rPr>
        <w:t xml:space="preserve"> Printed forms: </w:t>
      </w:r>
      <w:r>
        <w:rPr>
          <w:b w:val="0"/>
          <w:i/>
        </w:rPr>
        <w:t>locis</w:t>
      </w:r>
      <w:r>
        <w:rPr>
          <w:b w:val="0"/>
          <w:i w:val="0"/>
        </w:rPr>
        <w:t xml:space="preserve">; </w:t>
      </w:r>
      <w:r>
        <w:rPr>
          <w:b w:val="0"/>
          <w:i/>
        </w:rPr>
        <w:t>loco</w:t>
      </w:r>
      <w:r>
        <w:rPr>
          <w:b w:val="0"/>
          <w:i w:val="0"/>
        </w:rPr>
        <w:t xml:space="preserve">; </w:t>
      </w:r>
      <w:r>
        <w:rPr>
          <w:b w:val="0"/>
          <w:i/>
        </w:rPr>
        <w:t>locum</w:t>
      </w:r>
      <w:r>
        <w:rPr>
          <w:b w:val="0"/>
          <w:i w:val="0"/>
        </w:rPr>
        <w:t xml:space="preserve">; </w:t>
      </w:r>
      <w:r>
        <w:rPr>
          <w:b w:val="0"/>
          <w:i/>
        </w:rPr>
        <w:t>situ</w:t>
      </w:r>
      <w:r>
        <w:rPr>
          <w:b w:val="0"/>
          <w:i w:val="0"/>
        </w:rPr>
        <w:t xml:space="preserve">; </w:t>
      </w:r>
      <w:r>
        <w:rPr>
          <w:b w:val="0"/>
          <w:i/>
        </w:rPr>
        <w:t>tempore</w:t>
      </w:r>
      <w:r>
        <w:rPr>
          <w:b w:val="0"/>
          <w:i w:val="0"/>
        </w:rPr>
        <w:t xml:space="preserve">; </w:t>
      </w:r>
      <w:r>
        <w:rPr>
          <w:b w:val="0"/>
          <w:i/>
        </w:rPr>
        <w:t>tempori</w:t>
      </w:r>
      <w:r>
        <w:rPr>
          <w:b w:val="0"/>
          <w:i w:val="0"/>
        </w:rPr>
        <w:t xml:space="preserve">; </w:t>
      </w:r>
      <w:r>
        <w:rPr>
          <w:b w:val="0"/>
          <w:i/>
        </w:rPr>
        <w:t>tempus</w:t>
      </w:r>
      <w:r>
        <w:rPr>
          <w:b w:val="0"/>
          <w:i w:val="0"/>
        </w:rPr>
        <w:t>.</w:t>
      </w:r>
    </w:p>
    <w:p>
      <w:pPr>
        <w:widowControl/>
      </w:pPr>
      <w:r>
        <w:rPr>
          <w:b w:val="0"/>
          <w:i w:val="0"/>
        </w:rPr>
        <w:t xml:space="preserve">Place, position and time as conditions individuating a material presentation. Phantasy pictures this person under these circumstances; intellect considers a common nature not confined to any one of them.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963" w:name="latin-record-0722"/>
      <w:bookmarkEnd w:id="963"/>
      <w:r>
        <w:rPr>
          <w:b/>
          <w:i w:val="0"/>
        </w:rPr>
        <w:t>locus / tempus</w:t>
      </w:r>
      <w:r>
        <w:rPr>
          <w:b/>
          <w:i w:val="0"/>
        </w:rPr>
        <w:t>.</w:t>
      </w:r>
      <w:r>
        <w:rPr>
          <w:b w:val="0"/>
          <w:i w:val="0"/>
        </w:rPr>
        <w:t xml:space="preserve"> Printed forms: </w:t>
      </w:r>
      <w:r>
        <w:rPr>
          <w:b w:val="0"/>
          <w:i/>
        </w:rPr>
        <w:t>loco</w:t>
      </w:r>
      <w:r>
        <w:rPr>
          <w:b w:val="0"/>
          <w:i w:val="0"/>
        </w:rPr>
        <w:t xml:space="preserve">; </w:t>
      </w:r>
      <w:r>
        <w:rPr>
          <w:b w:val="0"/>
          <w:i/>
        </w:rPr>
        <w:t>locum</w:t>
      </w:r>
      <w:r>
        <w:rPr>
          <w:b w:val="0"/>
          <w:i w:val="0"/>
        </w:rPr>
        <w:t xml:space="preserve">; </w:t>
      </w:r>
      <w:r>
        <w:rPr>
          <w:b w:val="0"/>
          <w:i/>
        </w:rPr>
        <w:t>locumque</w:t>
      </w:r>
      <w:r>
        <w:rPr>
          <w:b w:val="0"/>
          <w:i w:val="0"/>
        </w:rPr>
        <w:t xml:space="preserve">; </w:t>
      </w:r>
      <w:r>
        <w:rPr>
          <w:b w:val="0"/>
          <w:i/>
        </w:rPr>
        <w:t>tempore</w:t>
      </w:r>
      <w:r>
        <w:rPr>
          <w:b w:val="0"/>
          <w:i w:val="0"/>
        </w:rPr>
        <w:t xml:space="preserve">; </w:t>
      </w:r>
      <w:r>
        <w:rPr>
          <w:b w:val="0"/>
          <w:i/>
        </w:rPr>
        <w:t>temporis</w:t>
      </w:r>
      <w:r>
        <w:rPr>
          <w:b w:val="0"/>
          <w:i w:val="0"/>
        </w:rPr>
        <w:t xml:space="preserve">; </w:t>
      </w:r>
      <w:r>
        <w:rPr>
          <w:b w:val="0"/>
          <w:i/>
        </w:rPr>
        <w:t>tempus</w:t>
      </w:r>
      <w:r>
        <w:rPr>
          <w:b w:val="0"/>
          <w:i w:val="0"/>
        </w:rPr>
        <w:t>.</w:t>
      </w:r>
    </w:p>
    <w:p>
      <w:pPr>
        <w:widowControl/>
      </w:pPr>
      <w:r>
        <w:rPr>
          <w:b w:val="0"/>
          <w:i w:val="0"/>
        </w:rPr>
        <w:t xml:space="preserve">Place and time, bodily conditions of extension and succession. A definition is not tied to one here and now, whereas a corporeal instance and a form contracted to body are. References: </w:t>
      </w:r>
      <w:hyperlink w:anchor="passage-v-7-1">
        <w:r>
          <w:rPr>
            <w:color w:val="000000"/>
          </w:rPr>
          <w:t xml:space="preserve">V.7.1</w:t>
        </w:r>
      </w:hyperlink>
      <w:r>
        <w:rPr>
          <w:b w:val="0"/>
          <w:i w:val="0"/>
        </w:rPr>
        <w:t xml:space="preserve">, </w:t>
      </w:r>
      <w:hyperlink w:anchor="passage-v-7-2">
        <w:r>
          <w:rPr>
            <w:color w:val="000000"/>
          </w:rPr>
          <w:t xml:space="preserve">V.7.2</w:t>
        </w:r>
      </w:hyperlink>
      <w:r>
        <w:rPr>
          <w:b w:val="0"/>
          <w:i w:val="0"/>
        </w:rPr>
        <w:t xml:space="preserve">, </w:t>
      </w:r>
      <w:hyperlink w:anchor="passage-v-10-2">
        <w:r>
          <w:rPr>
            <w:color w:val="000000"/>
          </w:rPr>
          <w:t xml:space="preserve">V.10.2</w:t>
        </w:r>
      </w:hyperlink>
      <w:r>
        <w:rPr>
          <w:b w:val="0"/>
          <w:i w:val="0"/>
        </w:rPr>
        <w:t xml:space="preserve">. See </w:t>
      </w:r>
      <w:hyperlink w:anchor="essence-and-being">
        <w:r>
          <w:rPr>
            <w:color w:val="000000"/>
          </w:rPr>
          <w:t xml:space="preserve">Essence and being</w:t>
        </w:r>
      </w:hyperlink>
      <w:r>
        <w:rPr>
          <w:b w:val="0"/>
          <w:i w:val="0"/>
        </w:rPr>
        <w:t>.</w:t>
      </w:r>
    </w:p>
    <w:p>
      <w:pPr>
        <w:keepNext/>
        <w:widowControl/>
      </w:pPr>
      <w:bookmarkStart w:id="964" w:name="latin-record-0723"/>
      <w:bookmarkEnd w:id="964"/>
      <w:r>
        <w:rPr>
          <w:b/>
          <w:i w:val="0"/>
        </w:rPr>
        <w:t>locus; situs</w:t>
      </w:r>
      <w:r>
        <w:rPr>
          <w:b/>
          <w:i w:val="0"/>
        </w:rPr>
        <w:t>.</w:t>
      </w:r>
      <w:r>
        <w:rPr>
          <w:b w:val="0"/>
          <w:i w:val="0"/>
        </w:rPr>
        <w:t xml:space="preserve"> Printed forms: </w:t>
      </w:r>
      <w:r>
        <w:rPr>
          <w:b w:val="0"/>
          <w:i/>
        </w:rPr>
        <w:t>loci</w:t>
      </w:r>
      <w:r>
        <w:rPr>
          <w:b w:val="0"/>
          <w:i w:val="0"/>
        </w:rPr>
        <w:t xml:space="preserve">; </w:t>
      </w:r>
      <w:r>
        <w:rPr>
          <w:b w:val="0"/>
          <w:i/>
        </w:rPr>
        <w:t>locis</w:t>
      </w:r>
      <w:r>
        <w:rPr>
          <w:b w:val="0"/>
          <w:i w:val="0"/>
        </w:rPr>
        <w:t xml:space="preserve">; </w:t>
      </w:r>
      <w:r>
        <w:rPr>
          <w:b w:val="0"/>
          <w:i/>
        </w:rPr>
        <w:t>loco</w:t>
      </w:r>
      <w:r>
        <w:rPr>
          <w:b w:val="0"/>
          <w:i w:val="0"/>
        </w:rPr>
        <w:t xml:space="preserve">; </w:t>
      </w:r>
      <w:r>
        <w:rPr>
          <w:b w:val="0"/>
          <w:i/>
        </w:rPr>
        <w:t>locum</w:t>
      </w:r>
      <w:r>
        <w:rPr>
          <w:b w:val="0"/>
          <w:i w:val="0"/>
        </w:rPr>
        <w:t xml:space="preserve">; </w:t>
      </w:r>
      <w:r>
        <w:rPr>
          <w:b w:val="0"/>
          <w:i/>
        </w:rPr>
        <w:t>locus</w:t>
      </w:r>
      <w:r>
        <w:rPr>
          <w:b w:val="0"/>
          <w:i w:val="0"/>
        </w:rPr>
        <w:t xml:space="preserve">; </w:t>
      </w:r>
      <w:r>
        <w:rPr>
          <w:b w:val="0"/>
          <w:i/>
        </w:rPr>
        <w:t>situ</w:t>
      </w:r>
      <w:r>
        <w:rPr>
          <w:b w:val="0"/>
          <w:i w:val="0"/>
        </w:rPr>
        <w:t xml:space="preserve">; </w:t>
      </w:r>
      <w:r>
        <w:rPr>
          <w:b w:val="0"/>
          <w:i/>
        </w:rPr>
        <w:t>situm</w:t>
      </w:r>
      <w:r>
        <w:rPr>
          <w:b w:val="0"/>
          <w:i w:val="0"/>
        </w:rPr>
        <w:t>.</w:t>
      </w:r>
    </w:p>
    <w:p>
      <w:pPr>
        <w:widowControl/>
      </w:pPr>
      <w:r>
        <w:rPr>
          <w:b w:val="0"/>
          <w:i w:val="0"/>
        </w:rPr>
        <w:t xml:space="preserve">Place and determinate position. Dimensionlessness does not remove a point’s positional attachment; soul’s presence is not occupation of another bodily place. References: </w:t>
      </w:r>
      <w:hyperlink w:anchor="passage-vi-1-5">
        <w:r>
          <w:rPr>
            <w:color w:val="000000"/>
          </w:rPr>
          <w:t xml:space="preserve">VI.1.5</w:t>
        </w:r>
      </w:hyperlink>
      <w:r>
        <w:rPr>
          <w:b w:val="0"/>
          <w:i w:val="0"/>
        </w:rPr>
        <w:t xml:space="preserve">, </w:t>
      </w:r>
      <w:hyperlink w:anchor="passage-vi-2-3">
        <w:r>
          <w:rPr>
            <w:color w:val="000000"/>
          </w:rPr>
          <w:t xml:space="preserve">VI.2.3</w:t>
        </w:r>
      </w:hyperlink>
      <w:r>
        <w:rPr>
          <w:b w:val="0"/>
          <w:i w:val="0"/>
        </w:rPr>
        <w:t xml:space="preserve">, </w:t>
      </w:r>
      <w:hyperlink w:anchor="passage-vi-2-19">
        <w:r>
          <w:rPr>
            <w:color w:val="000000"/>
          </w:rPr>
          <w:t xml:space="preserve">VI.2.19</w:t>
        </w:r>
      </w:hyperlink>
      <w:r>
        <w:rPr>
          <w:b w:val="0"/>
          <w:i w:val="0"/>
        </w:rPr>
        <w:t xml:space="preserve">, </w:t>
      </w:r>
      <w:hyperlink w:anchor="passage-vi-2-25">
        <w:r>
          <w:rPr>
            <w:color w:val="000000"/>
          </w:rPr>
          <w:t xml:space="preserve">VI.2.25</w:t>
        </w:r>
      </w:hyperlink>
      <w:r>
        <w:rPr>
          <w:b w:val="0"/>
          <w:i w:val="0"/>
        </w:rPr>
        <w:t xml:space="preserve">, </w:t>
      </w:r>
      <w:hyperlink w:anchor="passage-vi-9-1">
        <w:r>
          <w:rPr>
            <w:color w:val="000000"/>
          </w:rPr>
          <w:t xml:space="preserve">VI.9.1</w:t>
        </w:r>
      </w:hyperlink>
      <w:r>
        <w:rPr>
          <w:b w:val="0"/>
          <w:i w:val="0"/>
        </w:rPr>
        <w:t xml:space="preserve">, </w:t>
      </w:r>
      <w:hyperlink w:anchor="passage-vi-10-1">
        <w:r>
          <w:rPr>
            <w:color w:val="000000"/>
          </w:rPr>
          <w:t xml:space="preserve">VI.10.1</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965" w:name="latin-record-0724"/>
      <w:bookmarkEnd w:id="965"/>
      <w:r>
        <w:rPr>
          <w:b/>
          <w:i w:val="0"/>
        </w:rPr>
        <w:t>longitudo / latitudo / profunditas</w:t>
      </w:r>
      <w:r>
        <w:rPr>
          <w:b/>
          <w:i w:val="0"/>
        </w:rPr>
        <w:t>.</w:t>
      </w:r>
      <w:r>
        <w:rPr>
          <w:b w:val="0"/>
          <w:i w:val="0"/>
        </w:rPr>
        <w:t xml:space="preserve"> Printed forms: </w:t>
      </w:r>
      <w:r>
        <w:rPr>
          <w:b w:val="0"/>
          <w:i/>
        </w:rPr>
        <w:t>latitudine</w:t>
      </w:r>
      <w:r>
        <w:rPr>
          <w:b w:val="0"/>
          <w:i w:val="0"/>
        </w:rPr>
        <w:t xml:space="preserve">; </w:t>
      </w:r>
      <w:r>
        <w:rPr>
          <w:b w:val="0"/>
          <w:i/>
        </w:rPr>
        <w:t>latitudinis</w:t>
      </w:r>
      <w:r>
        <w:rPr>
          <w:b w:val="0"/>
          <w:i w:val="0"/>
        </w:rPr>
        <w:t xml:space="preserve">; </w:t>
      </w:r>
      <w:r>
        <w:rPr>
          <w:b w:val="0"/>
          <w:i/>
        </w:rPr>
        <w:t>lineae</w:t>
      </w:r>
      <w:r>
        <w:rPr>
          <w:b w:val="0"/>
          <w:i w:val="0"/>
        </w:rPr>
        <w:t xml:space="preserve">; </w:t>
      </w:r>
      <w:r>
        <w:rPr>
          <w:b w:val="0"/>
          <w:i/>
        </w:rPr>
        <w:t>longitudine</w:t>
      </w:r>
      <w:r>
        <w:rPr>
          <w:b w:val="0"/>
          <w:i w:val="0"/>
        </w:rPr>
        <w:t xml:space="preserve">; </w:t>
      </w:r>
      <w:r>
        <w:rPr>
          <w:b w:val="0"/>
          <w:i/>
        </w:rPr>
        <w:t>longitudinem</w:t>
      </w:r>
      <w:r>
        <w:rPr>
          <w:b w:val="0"/>
          <w:i w:val="0"/>
        </w:rPr>
        <w:t xml:space="preserve">; </w:t>
      </w:r>
      <w:r>
        <w:rPr>
          <w:b w:val="0"/>
          <w:i/>
        </w:rPr>
        <w:t>longitudinis</w:t>
      </w:r>
      <w:r>
        <w:rPr>
          <w:b w:val="0"/>
          <w:i w:val="0"/>
        </w:rPr>
        <w:t xml:space="preserve">; </w:t>
      </w:r>
      <w:r>
        <w:rPr>
          <w:b w:val="0"/>
          <w:i/>
        </w:rPr>
        <w:t>longitudo</w:t>
      </w:r>
      <w:r>
        <w:rPr>
          <w:b w:val="0"/>
          <w:i w:val="0"/>
        </w:rPr>
        <w:t xml:space="preserve">; </w:t>
      </w:r>
      <w:r>
        <w:rPr>
          <w:b w:val="0"/>
          <w:i/>
        </w:rPr>
        <w:t>profunditate</w:t>
      </w:r>
      <w:r>
        <w:rPr>
          <w:b w:val="0"/>
          <w:i w:val="0"/>
        </w:rPr>
        <w:t xml:space="preserve">; </w:t>
      </w:r>
      <w:r>
        <w:rPr>
          <w:b w:val="0"/>
          <w:i/>
        </w:rPr>
        <w:t>profunditatis</w:t>
      </w:r>
      <w:r>
        <w:rPr>
          <w:b w:val="0"/>
          <w:i w:val="0"/>
        </w:rPr>
        <w:t xml:space="preserve">; </w:t>
      </w:r>
      <w:r>
        <w:rPr>
          <w:b w:val="0"/>
          <w:i/>
        </w:rPr>
        <w:t>superficies</w:t>
      </w:r>
      <w:r>
        <w:rPr>
          <w:b w:val="0"/>
          <w:i w:val="0"/>
        </w:rPr>
        <w:t>.</w:t>
      </w:r>
    </w:p>
    <w:p>
      <w:pPr>
        <w:widowControl/>
      </w:pPr>
      <w:r>
        <w:rPr>
          <w:b w:val="0"/>
          <w:i w:val="0"/>
        </w:rPr>
        <w:t xml:space="preserve">Length, breadth and depth as dimensions whose accounts are separable in thought. An exact point lacks length, a line breadth, a surface depth; the corresponding intelligible principles are not themselves measured bodily spans. References: </w:t>
      </w:r>
      <w:hyperlink w:anchor="passage-viii-2-7">
        <w:r>
          <w:rPr>
            <w:color w:val="000000"/>
          </w:rPr>
          <w:t xml:space="preserve">VIII.2.7</w:t>
        </w:r>
      </w:hyperlink>
      <w:r>
        <w:rPr>
          <w:b w:val="0"/>
          <w:i w:val="0"/>
        </w:rPr>
        <w:t xml:space="preserve">, </w:t>
      </w:r>
      <w:hyperlink w:anchor="passage-viii-4-2">
        <w:r>
          <w:rPr>
            <w:color w:val="000000"/>
          </w:rPr>
          <w:t xml:space="preserve">VIII.4.2</w:t>
        </w:r>
      </w:hyperlink>
      <w:r>
        <w:rPr>
          <w:b w:val="0"/>
          <w:i w:val="0"/>
        </w:rPr>
        <w:t xml:space="preserve">, </w:t>
      </w:r>
      <w:hyperlink w:anchor="passage-viii-5-2">
        <w:r>
          <w:rPr>
            <w:color w:val="000000"/>
          </w:rPr>
          <w:t xml:space="preserve">VIII.5.2</w:t>
        </w:r>
      </w:hyperlink>
      <w:r>
        <w:rPr>
          <w:b w:val="0"/>
          <w:i w:val="0"/>
        </w:rPr>
        <w:t xml:space="preserve">, </w:t>
      </w:r>
      <w:hyperlink w:anchor="passage-viii-10-2">
        <w:r>
          <w:rPr>
            <w:color w:val="000000"/>
          </w:rPr>
          <w:t xml:space="preserve">VIII.10.2</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966" w:name="latin-record-0725"/>
      <w:bookmarkEnd w:id="966"/>
      <w:r>
        <w:rPr>
          <w:b/>
          <w:i w:val="0"/>
        </w:rPr>
        <w:t>longitudo; latitudo; profunditas</w:t>
      </w:r>
      <w:r>
        <w:rPr>
          <w:b/>
          <w:i w:val="0"/>
        </w:rPr>
        <w:t>.</w:t>
      </w:r>
      <w:r>
        <w:rPr>
          <w:b w:val="0"/>
          <w:i w:val="0"/>
        </w:rPr>
        <w:t xml:space="preserve"> Printed forms: </w:t>
      </w:r>
      <w:r>
        <w:rPr>
          <w:b w:val="0"/>
          <w:i/>
        </w:rPr>
        <w:t>latitudo</w:t>
      </w:r>
      <w:r>
        <w:rPr>
          <w:b w:val="0"/>
          <w:i w:val="0"/>
        </w:rPr>
        <w:t xml:space="preserve">; </w:t>
      </w:r>
      <w:r>
        <w:rPr>
          <w:b w:val="0"/>
          <w:i/>
        </w:rPr>
        <w:t>longitudine</w:t>
      </w:r>
      <w:r>
        <w:rPr>
          <w:b w:val="0"/>
          <w:i w:val="0"/>
        </w:rPr>
        <w:t xml:space="preserve">; </w:t>
      </w:r>
      <w:r>
        <w:rPr>
          <w:b w:val="0"/>
          <w:i/>
        </w:rPr>
        <w:t>longitudo</w:t>
      </w:r>
      <w:r>
        <w:rPr>
          <w:b w:val="0"/>
          <w:i w:val="0"/>
        </w:rPr>
        <w:t xml:space="preserve">; </w:t>
      </w:r>
      <w:r>
        <w:rPr>
          <w:b w:val="0"/>
          <w:i/>
        </w:rPr>
        <w:t>profunditatis</w:t>
      </w:r>
      <w:r>
        <w:rPr>
          <w:b w:val="0"/>
          <w:i w:val="0"/>
        </w:rPr>
        <w:t>.</w:t>
      </w:r>
    </w:p>
    <w:p>
      <w:pPr>
        <w:widowControl/>
      </w:pPr>
      <w:r>
        <w:rPr>
          <w:b w:val="0"/>
          <w:i w:val="0"/>
        </w:rPr>
        <w:t xml:space="preserve">Length, breadth and depth. Their ordered removal organizes the first three approaches to incorporeality; bodily magnitude is not reduced to a single length. References: </w:t>
      </w:r>
      <w:hyperlink w:anchor="passage-vi-2-19">
        <w:r>
          <w:rPr>
            <w:color w:val="000000"/>
          </w:rPr>
          <w:t xml:space="preserve">VI.2.19</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967" w:name="latin-record-0726"/>
      <w:bookmarkEnd w:id="967"/>
      <w:r>
        <w:rPr>
          <w:b/>
          <w:i w:val="0"/>
        </w:rPr>
        <w:t>lucere / perspicuus</w:t>
      </w:r>
      <w:r>
        <w:rPr>
          <w:b/>
          <w:i w:val="0"/>
        </w:rPr>
        <w:t>.</w:t>
      </w:r>
      <w:r>
        <w:rPr>
          <w:b w:val="0"/>
          <w:i w:val="0"/>
        </w:rPr>
        <w:t xml:space="preserve"> Printed forms: </w:t>
      </w:r>
      <w:r>
        <w:rPr>
          <w:b w:val="0"/>
          <w:i/>
        </w:rPr>
        <w:t>lucent</w:t>
      </w:r>
      <w:r>
        <w:rPr>
          <w:b w:val="0"/>
          <w:i w:val="0"/>
        </w:rPr>
        <w:t xml:space="preserve">; </w:t>
      </w:r>
      <w:r>
        <w:rPr>
          <w:b w:val="0"/>
          <w:i/>
        </w:rPr>
        <w:t>lucere</w:t>
      </w:r>
      <w:r>
        <w:rPr>
          <w:b w:val="0"/>
          <w:i w:val="0"/>
        </w:rPr>
        <w:t xml:space="preserve">; </w:t>
      </w:r>
      <w:r>
        <w:rPr>
          <w:b w:val="0"/>
          <w:i/>
        </w:rPr>
        <w:t>perspicuae</w:t>
      </w:r>
      <w:r>
        <w:rPr>
          <w:b w:val="0"/>
          <w:i w:val="0"/>
        </w:rPr>
        <w:t>.</w:t>
      </w:r>
    </w:p>
    <w:p>
      <w:pPr>
        <w:widowControl/>
      </w:pPr>
      <w:r>
        <w:rPr>
          <w:b w:val="0"/>
          <w:i w:val="0"/>
        </w:rPr>
        <w:t xml:space="preserve">To shine or be manifest; clear to apprehension. The many clear images shining in the soul contrast with what a tiny material mirror could contain. References: </w:t>
      </w:r>
      <w:hyperlink w:anchor="passage-vii-1-2">
        <w:r>
          <w:rPr>
            <w:color w:val="000000"/>
          </w:rPr>
          <w:t xml:space="preserve">VII.1.2</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968" w:name="latin-record-0727"/>
      <w:bookmarkEnd w:id="968"/>
      <w:r>
        <w:rPr>
          <w:b/>
          <w:i w:val="0"/>
        </w:rPr>
        <w:t>lucere; rutilare</w:t>
      </w:r>
      <w:r>
        <w:rPr>
          <w:b/>
          <w:i w:val="0"/>
        </w:rPr>
        <w:t>.</w:t>
      </w:r>
      <w:r>
        <w:rPr>
          <w:b w:val="0"/>
          <w:i w:val="0"/>
        </w:rPr>
        <w:t xml:space="preserve"> Printed forms: </w:t>
      </w:r>
      <w:r>
        <w:rPr>
          <w:b w:val="0"/>
          <w:i/>
        </w:rPr>
        <w:t>lucere</w:t>
      </w:r>
      <w:r>
        <w:rPr>
          <w:b w:val="0"/>
          <w:i w:val="0"/>
        </w:rPr>
        <w:t xml:space="preserve">; </w:t>
      </w:r>
      <w:r>
        <w:rPr>
          <w:b w:val="0"/>
          <w:i/>
        </w:rPr>
        <w:t>rutilabit</w:t>
      </w:r>
      <w:r>
        <w:rPr>
          <w:b w:val="0"/>
          <w:i w:val="0"/>
        </w:rPr>
        <w:t xml:space="preserve">; </w:t>
      </w:r>
      <w:r>
        <w:rPr>
          <w:b w:val="0"/>
          <w:i/>
        </w:rPr>
        <w:t>rutilare</w:t>
      </w:r>
      <w:r>
        <w:rPr>
          <w:b w:val="0"/>
          <w:i w:val="0"/>
        </w:rPr>
        <w:t>.</w:t>
      </w:r>
    </w:p>
    <w:p>
      <w:pPr>
        <w:widowControl/>
      </w:pPr>
      <w:r>
        <w:rPr>
          <w:b w:val="0"/>
          <w:i w:val="0"/>
        </w:rPr>
        <w:t xml:space="preserve">To shine or glow brilliantly. Light’s activity is identified with shining and imagined as intensified through separation from dense matter. References: </w:t>
      </w:r>
      <w:hyperlink w:anchor="passage-vi-2-23">
        <w:r>
          <w:rPr>
            <w:color w:val="000000"/>
          </w:rPr>
          <w:t xml:space="preserve">VI.2.23</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969" w:name="latin-record-0728"/>
      <w:bookmarkEnd w:id="969"/>
      <w:r>
        <w:rPr>
          <w:b/>
          <w:i w:val="0"/>
        </w:rPr>
        <w:t>luci / fer / latio</w:t>
      </w:r>
      <w:r>
        <w:rPr>
          <w:b/>
          <w:i w:val="0"/>
        </w:rPr>
        <w:t>.</w:t>
      </w:r>
      <w:r>
        <w:rPr>
          <w:b w:val="0"/>
          <w:i w:val="0"/>
        </w:rPr>
        <w:t xml:space="preserve"> Printed forms: </w:t>
      </w:r>
      <w:r>
        <w:rPr>
          <w:b w:val="0"/>
          <w:i/>
        </w:rPr>
        <w:t>fer</w:t>
      </w:r>
      <w:r>
        <w:rPr>
          <w:b w:val="0"/>
          <w:i w:val="0"/>
        </w:rPr>
        <w:t xml:space="preserve">; </w:t>
      </w:r>
      <w:r>
        <w:rPr>
          <w:b w:val="0"/>
          <w:i/>
        </w:rPr>
        <w:t>lationis</w:t>
      </w:r>
      <w:r>
        <w:rPr>
          <w:b w:val="0"/>
          <w:i w:val="0"/>
        </w:rPr>
        <w:t xml:space="preserve">; </w:t>
      </w:r>
      <w:r>
        <w:rPr>
          <w:b w:val="0"/>
          <w:i/>
        </w:rPr>
        <w:t>luci</w:t>
      </w:r>
      <w:r>
        <w:rPr>
          <w:b w:val="0"/>
          <w:i w:val="0"/>
        </w:rPr>
        <w:t xml:space="preserve">; </w:t>
      </w:r>
      <w:r>
        <w:rPr>
          <w:b w:val="0"/>
          <w:i/>
        </w:rPr>
        <w:t>lucis</w:t>
      </w:r>
      <w:r>
        <w:rPr>
          <w:b w:val="0"/>
          <w:i w:val="0"/>
        </w:rPr>
        <w:t>.</w:t>
      </w:r>
    </w:p>
    <w:p>
      <w:pPr>
        <w:widowControl/>
      </w:pPr>
      <w:r>
        <w:rPr>
          <w:b w:val="0"/>
          <w:i w:val="0"/>
        </w:rPr>
        <w:t xml:space="preserve">The segmented expressions and their associations with light and bearing. Ficino assigns the pieces meanings after the original Venus-designation ceases; he does not claim that original meaning was divided. References: </w:t>
      </w:r>
      <w:hyperlink w:anchor="passage-vii-5-4">
        <w:r>
          <w:rPr>
            <w:color w:val="000000"/>
          </w:rPr>
          <w:t xml:space="preserve">VII.5.4</w:t>
        </w:r>
      </w:hyperlink>
      <w:r>
        <w:rPr>
          <w:b w:val="0"/>
          <w:i w:val="0"/>
        </w:rPr>
        <w:t xml:space="preserve">. See </w:t>
      </w:r>
      <w:hyperlink w:anchor="vii-lucifer-meaning">
        <w:r>
          <w:rPr>
            <w:color w:val="000000"/>
          </w:rPr>
          <w:t xml:space="preserve">Lucifer and indivisible meaning</w:t>
        </w:r>
      </w:hyperlink>
      <w:r>
        <w:rPr>
          <w:b w:val="0"/>
          <w:i w:val="0"/>
        </w:rPr>
        <w:t>.</w:t>
      </w:r>
    </w:p>
    <w:p>
      <w:pPr>
        <w:keepNext/>
        <w:widowControl/>
      </w:pPr>
      <w:bookmarkStart w:id="970" w:name="latin-record-0729"/>
      <w:bookmarkEnd w:id="970"/>
      <w:r>
        <w:rPr>
          <w:b/>
          <w:i w:val="0"/>
        </w:rPr>
        <w:t>Lucifer / Venus</w:t>
      </w:r>
      <w:r>
        <w:rPr>
          <w:b/>
          <w:i w:val="0"/>
        </w:rPr>
        <w:t>.</w:t>
      </w:r>
      <w:r>
        <w:rPr>
          <w:b w:val="0"/>
          <w:i w:val="0"/>
        </w:rPr>
        <w:t xml:space="preserve"> Printed forms: </w:t>
      </w:r>
      <w:r>
        <w:rPr>
          <w:b w:val="0"/>
          <w:i/>
        </w:rPr>
        <w:t>Lucifer</w:t>
      </w:r>
      <w:r>
        <w:rPr>
          <w:b w:val="0"/>
          <w:i w:val="0"/>
        </w:rPr>
        <w:t xml:space="preserve">; </w:t>
      </w:r>
      <w:r>
        <w:rPr>
          <w:b w:val="0"/>
          <w:i/>
        </w:rPr>
        <w:t>Venus</w:t>
      </w:r>
      <w:r>
        <w:rPr>
          <w:b w:val="0"/>
          <w:i w:val="0"/>
        </w:rPr>
        <w:t>.</w:t>
      </w:r>
    </w:p>
    <w:p>
      <w:pPr>
        <w:widowControl/>
      </w:pPr>
      <w:r>
        <w:rPr>
          <w:b w:val="0"/>
          <w:i w:val="0"/>
        </w:rPr>
        <w:t xml:space="preserve">The name Lucifer and the Venus it designates in this passage. The example is the morning-star name’s semantic structure, not a reference to a demonic figure. References: </w:t>
      </w:r>
      <w:hyperlink w:anchor="passage-vii-5-4">
        <w:r>
          <w:rPr>
            <w:color w:val="000000"/>
          </w:rPr>
          <w:t xml:space="preserve">VII.5.4</w:t>
        </w:r>
      </w:hyperlink>
      <w:r>
        <w:rPr>
          <w:b w:val="0"/>
          <w:i w:val="0"/>
        </w:rPr>
        <w:t xml:space="preserve">. See </w:t>
      </w:r>
      <w:hyperlink w:anchor="vii-lucifer-meaning">
        <w:r>
          <w:rPr>
            <w:color w:val="000000"/>
          </w:rPr>
          <w:t xml:space="preserve">Lucifer and indivisible meaning</w:t>
        </w:r>
      </w:hyperlink>
      <w:r>
        <w:rPr>
          <w:b w:val="0"/>
          <w:i w:val="0"/>
        </w:rPr>
        <w:t>.</w:t>
      </w:r>
    </w:p>
    <w:p>
      <w:pPr>
        <w:keepNext/>
        <w:widowControl/>
      </w:pPr>
      <w:bookmarkStart w:id="971" w:name="latin-record-0730"/>
      <w:bookmarkEnd w:id="971"/>
      <w:r>
        <w:rPr>
          <w:b/>
          <w:i w:val="0"/>
        </w:rPr>
        <w:t>lucrari</w:t>
      </w:r>
      <w:r>
        <w:rPr>
          <w:b/>
          <w:i w:val="0"/>
        </w:rPr>
        <w:t>.</w:t>
      </w:r>
      <w:r>
        <w:rPr>
          <w:b w:val="0"/>
          <w:i w:val="0"/>
        </w:rPr>
        <w:t xml:space="preserve"> Printed forms: </w:t>
      </w:r>
      <w:r>
        <w:rPr>
          <w:b w:val="0"/>
          <w:i/>
        </w:rPr>
        <w:t>lucrari</w:t>
      </w:r>
      <w:r>
        <w:rPr>
          <w:b w:val="0"/>
          <w:i w:val="0"/>
        </w:rPr>
        <w:t xml:space="preserve">; </w:t>
      </w:r>
      <w:r>
        <w:rPr>
          <w:b w:val="0"/>
          <w:i/>
        </w:rPr>
        <w:t>lucratur</w:t>
      </w:r>
      <w:r>
        <w:rPr>
          <w:b w:val="0"/>
          <w:i w:val="0"/>
        </w:rPr>
        <w:t>.</w:t>
      </w:r>
    </w:p>
    <w:p>
      <w:pPr>
        <w:widowControl/>
      </w:pPr>
      <w:r>
        <w:rPr>
          <w:b w:val="0"/>
          <w:i w:val="0"/>
        </w:rPr>
        <w:t xml:space="preserve">Gaining or profiting, even through knowledge of harmful things. Discernment of privation and evil perfects understanding more than ignorance does, without converting mind into those defects. References: </w:t>
      </w:r>
      <w:hyperlink w:anchor="passage-viii-13-2">
        <w:r>
          <w:rPr>
            <w:color w:val="000000"/>
          </w:rPr>
          <w:t xml:space="preserve">VIII.13.2</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972" w:name="latin-record-0731"/>
      <w:bookmarkEnd w:id="972"/>
      <w:r>
        <w:rPr>
          <w:b/>
          <w:i w:val="0"/>
        </w:rPr>
        <w:t>lumen / lux</w:t>
      </w:r>
      <w:r>
        <w:rPr>
          <w:b/>
          <w:i w:val="0"/>
        </w:rPr>
        <w:t>.</w:t>
      </w:r>
      <w:r>
        <w:rPr>
          <w:b w:val="0"/>
          <w:i w:val="0"/>
        </w:rPr>
        <w:t xml:space="preserve"> Printed forms: </w:t>
      </w:r>
      <w:r>
        <w:rPr>
          <w:b w:val="0"/>
          <w:i/>
        </w:rPr>
        <w:t>lucem</w:t>
      </w:r>
      <w:r>
        <w:rPr>
          <w:b w:val="0"/>
          <w:i w:val="0"/>
        </w:rPr>
        <w:t xml:space="preserve">; </w:t>
      </w:r>
      <w:r>
        <w:rPr>
          <w:b w:val="0"/>
          <w:i/>
        </w:rPr>
        <w:t>Lumen</w:t>
      </w:r>
      <w:r>
        <w:rPr>
          <w:b w:val="0"/>
          <w:i w:val="0"/>
        </w:rPr>
        <w:t xml:space="preserve">; </w:t>
      </w:r>
      <w:r>
        <w:rPr>
          <w:b w:val="0"/>
          <w:i/>
        </w:rPr>
        <w:t>lumen</w:t>
      </w:r>
      <w:r>
        <w:rPr>
          <w:b w:val="0"/>
          <w:i w:val="0"/>
        </w:rPr>
        <w:t xml:space="preserve">; </w:t>
      </w:r>
      <w:r>
        <w:rPr>
          <w:b w:val="0"/>
          <w:i/>
        </w:rPr>
        <w:t>lumine</w:t>
      </w:r>
      <w:r>
        <w:rPr>
          <w:b w:val="0"/>
          <w:i w:val="0"/>
        </w:rPr>
        <w:t xml:space="preserve">; </w:t>
      </w:r>
      <w:r>
        <w:rPr>
          <w:b w:val="0"/>
          <w:i/>
        </w:rPr>
        <w:t>lux</w:t>
      </w:r>
      <w:r>
        <w:rPr>
          <w:b w:val="0"/>
          <w:i w:val="0"/>
        </w:rPr>
        <w:t>.</w:t>
      </w:r>
    </w:p>
    <w:p>
      <w:pPr>
        <w:widowControl/>
      </w:pPr>
      <w:r>
        <w:rPr>
          <w:b w:val="0"/>
          <w:i w:val="0"/>
        </w:rPr>
        <w:t xml:space="preserve">Light, with inward invisible and outward visible modes distinguished in the solar-soul account. The sun’s soul is said to produce outward light; images are traced to that spiritual medium rather than to bodies producing incorporeals.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973" w:name="latin-record-0732"/>
      <w:bookmarkEnd w:id="973"/>
      <w:r>
        <w:rPr>
          <w:b/>
          <w:i w:val="0"/>
        </w:rPr>
        <w:t>lumen; lux</w:t>
      </w:r>
      <w:r>
        <w:rPr>
          <w:b/>
          <w:i w:val="0"/>
        </w:rPr>
        <w:t>.</w:t>
      </w:r>
      <w:r>
        <w:rPr>
          <w:b w:val="0"/>
          <w:i w:val="0"/>
        </w:rPr>
        <w:t xml:space="preserve"> Printed forms: </w:t>
      </w:r>
      <w:r>
        <w:rPr>
          <w:b w:val="0"/>
          <w:i/>
        </w:rPr>
        <w:t>luce</w:t>
      </w:r>
      <w:r>
        <w:rPr>
          <w:b w:val="0"/>
          <w:i w:val="0"/>
        </w:rPr>
        <w:t xml:space="preserve">; </w:t>
      </w:r>
      <w:r>
        <w:rPr>
          <w:b w:val="0"/>
          <w:i/>
        </w:rPr>
        <w:t>lucem</w:t>
      </w:r>
      <w:r>
        <w:rPr>
          <w:b w:val="0"/>
          <w:i w:val="0"/>
        </w:rPr>
        <w:t xml:space="preserve">; </w:t>
      </w:r>
      <w:r>
        <w:rPr>
          <w:b w:val="0"/>
          <w:i/>
        </w:rPr>
        <w:t>lucis</w:t>
      </w:r>
      <w:r>
        <w:rPr>
          <w:b w:val="0"/>
          <w:i w:val="0"/>
        </w:rPr>
        <w:t xml:space="preserve">; </w:t>
      </w:r>
      <w:r>
        <w:rPr>
          <w:b w:val="0"/>
          <w:i/>
        </w:rPr>
        <w:t>lumen</w:t>
      </w:r>
      <w:r>
        <w:rPr>
          <w:b w:val="0"/>
          <w:i w:val="0"/>
        </w:rPr>
        <w:t xml:space="preserve">; </w:t>
      </w:r>
      <w:r>
        <w:rPr>
          <w:b w:val="0"/>
          <w:i/>
        </w:rPr>
        <w:t>lumine</w:t>
      </w:r>
      <w:r>
        <w:rPr>
          <w:b w:val="0"/>
          <w:i w:val="0"/>
        </w:rPr>
        <w:t xml:space="preserve">; </w:t>
      </w:r>
      <w:r>
        <w:rPr>
          <w:b w:val="0"/>
          <w:i/>
        </w:rPr>
        <w:t>luminis</w:t>
      </w:r>
      <w:r>
        <w:rPr>
          <w:b w:val="0"/>
          <w:i w:val="0"/>
        </w:rPr>
        <w:t xml:space="preserve">; </w:t>
      </w:r>
      <w:r>
        <w:rPr>
          <w:b w:val="0"/>
          <w:i/>
        </w:rPr>
        <w:t>luminum</w:t>
      </w:r>
      <w:r>
        <w:rPr>
          <w:b w:val="0"/>
          <w:i w:val="0"/>
        </w:rPr>
        <w:t xml:space="preserve">; </w:t>
      </w:r>
      <w:r>
        <w:rPr>
          <w:b w:val="0"/>
          <w:i/>
        </w:rPr>
        <w:t>lux</w:t>
      </w:r>
      <w:r>
        <w:rPr>
          <w:b w:val="0"/>
          <w:i w:val="0"/>
        </w:rPr>
        <w:t>.</w:t>
      </w:r>
    </w:p>
    <w:p>
      <w:pPr>
        <w:widowControl/>
      </w:pPr>
      <w:r>
        <w:rPr>
          <w:b w:val="0"/>
          <w:i w:val="0"/>
        </w:rPr>
        <w:t xml:space="preserve">Light, ranging from visible illumination to analogical intelligible source. The prelude follows rays, vapor-mixed appearance, spiritual source and intelligent light; no invariant distinction between the two Latin nouns replaces attention to those referents. References: </w:t>
      </w:r>
      <w:hyperlink w:anchor="passage-vi-2-9">
        <w:r>
          <w:rPr>
            <w:color w:val="000000"/>
          </w:rPr>
          <w:t xml:space="preserve">VI.2.9</w:t>
        </w:r>
      </w:hyperlink>
      <w:r>
        <w:rPr>
          <w:b w:val="0"/>
          <w:i w:val="0"/>
        </w:rPr>
        <w:t xml:space="preserve">, </w:t>
      </w:r>
      <w:hyperlink w:anchor="passage-vi-2-15">
        <w:r>
          <w:rPr>
            <w:color w:val="000000"/>
          </w:rPr>
          <w:t xml:space="preserve">VI.2.15</w:t>
        </w:r>
      </w:hyperlink>
      <w:r>
        <w:rPr>
          <w:b w:val="0"/>
          <w:i w:val="0"/>
        </w:rPr>
        <w:t xml:space="preserve">, </w:t>
      </w:r>
      <w:hyperlink w:anchor="passage-vi-2-22">
        <w:r>
          <w:rPr>
            <w:color w:val="000000"/>
          </w:rPr>
          <w:t xml:space="preserve">VI.2.22</w:t>
        </w:r>
      </w:hyperlink>
      <w:r>
        <w:rPr>
          <w:b w:val="0"/>
          <w:i w:val="0"/>
        </w:rPr>
        <w:t xml:space="preserve">, </w:t>
      </w:r>
      <w:hyperlink w:anchor="passage-vi-2-23">
        <w:r>
          <w:rPr>
            <w:color w:val="000000"/>
          </w:rPr>
          <w:t xml:space="preserve">VI.2.23</w:t>
        </w:r>
      </w:hyperlink>
      <w:r>
        <w:rPr>
          <w:b w:val="0"/>
          <w:i w:val="0"/>
        </w:rPr>
        <w:t xml:space="preserve">, </w:t>
      </w:r>
      <w:hyperlink w:anchor="passage-vi-2-26">
        <w:r>
          <w:rPr>
            <w:color w:val="000000"/>
          </w:rPr>
          <w:t xml:space="preserve">VI.2.26</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974" w:name="latin-record-0733"/>
      <w:bookmarkEnd w:id="974"/>
      <w:r>
        <w:rPr>
          <w:b/>
          <w:i w:val="0"/>
        </w:rPr>
        <w:t>lumen; spiritus</w:t>
      </w:r>
      <w:r>
        <w:rPr>
          <w:b/>
          <w:i w:val="0"/>
        </w:rPr>
        <w:t>.</w:t>
      </w:r>
      <w:r>
        <w:rPr>
          <w:b w:val="0"/>
          <w:i w:val="0"/>
        </w:rPr>
        <w:t xml:space="preserve"> Printed forms: </w:t>
      </w:r>
      <w:r>
        <w:rPr>
          <w:b w:val="0"/>
          <w:i/>
        </w:rPr>
        <w:t>lumen</w:t>
      </w:r>
      <w:r>
        <w:rPr>
          <w:b w:val="0"/>
          <w:i w:val="0"/>
        </w:rPr>
        <w:t xml:space="preserve">; </w:t>
      </w:r>
      <w:r>
        <w:rPr>
          <w:b w:val="0"/>
          <w:i/>
        </w:rPr>
        <w:t>spiritale</w:t>
      </w:r>
      <w:r>
        <w:rPr>
          <w:b w:val="0"/>
          <w:i w:val="0"/>
        </w:rPr>
        <w:t xml:space="preserve">; </w:t>
      </w:r>
      <w:r>
        <w:rPr>
          <w:b w:val="0"/>
          <w:i/>
        </w:rPr>
        <w:t>spiritum</w:t>
      </w:r>
      <w:r>
        <w:rPr>
          <w:b w:val="0"/>
          <w:i w:val="0"/>
        </w:rPr>
        <w:t>.</w:t>
      </w:r>
    </w:p>
    <w:p>
      <w:pPr>
        <w:widowControl/>
      </w:pPr>
      <w:r>
        <w:rPr>
          <w:b w:val="0"/>
          <w:i w:val="0"/>
        </w:rPr>
        <w:t xml:space="preserve">Light and spiritual reality in the visual exercise. The rhetoric invites readers to recognize a nonbodily mode through light’s supposedly instantaneous and harmless presence. References: </w:t>
      </w:r>
      <w:hyperlink w:anchor="passage-vi-2-22">
        <w:r>
          <w:rPr>
            <w:color w:val="000000"/>
          </w:rPr>
          <w:t xml:space="preserve">VI.2.22</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975" w:name="latin-record-0734"/>
      <w:bookmarkEnd w:id="975"/>
      <w:r>
        <w:rPr>
          <w:b/>
          <w:i w:val="0"/>
        </w:rPr>
        <w:t>luminosus / aereus / caliginosus</w:t>
      </w:r>
      <w:r>
        <w:rPr>
          <w:b/>
          <w:i w:val="0"/>
        </w:rPr>
        <w:t>.</w:t>
      </w:r>
      <w:r>
        <w:rPr>
          <w:b w:val="0"/>
          <w:i w:val="0"/>
        </w:rPr>
        <w:t xml:space="preserve"> Printed forms: </w:t>
      </w:r>
      <w:r>
        <w:rPr>
          <w:b w:val="0"/>
          <w:i/>
        </w:rPr>
        <w:t>aereum</w:t>
      </w:r>
      <w:r>
        <w:rPr>
          <w:b w:val="0"/>
          <w:i w:val="0"/>
        </w:rPr>
        <w:t xml:space="preserve">; </w:t>
      </w:r>
      <w:r>
        <w:rPr>
          <w:b w:val="0"/>
          <w:i/>
        </w:rPr>
        <w:t>aereus</w:t>
      </w:r>
      <w:r>
        <w:rPr>
          <w:b w:val="0"/>
          <w:i w:val="0"/>
        </w:rPr>
        <w:t xml:space="preserve">; </w:t>
      </w:r>
      <w:r>
        <w:rPr>
          <w:b w:val="0"/>
          <w:i/>
        </w:rPr>
        <w:t>caliginosum</w:t>
      </w:r>
      <w:r>
        <w:rPr>
          <w:b w:val="0"/>
          <w:i w:val="0"/>
        </w:rPr>
        <w:t xml:space="preserve">; </w:t>
      </w:r>
      <w:r>
        <w:rPr>
          <w:b w:val="0"/>
          <w:i/>
        </w:rPr>
        <w:t>luminosum</w:t>
      </w:r>
      <w:r>
        <w:rPr>
          <w:b w:val="0"/>
          <w:i w:val="0"/>
        </w:rPr>
        <w:t>.</w:t>
      </w:r>
    </w:p>
    <w:p>
      <w:pPr>
        <w:widowControl/>
      </w:pPr>
      <w:r>
        <w:rPr>
          <w:b w:val="0"/>
          <w:i w:val="0"/>
        </w:rPr>
        <w:t xml:space="preserve">Luminous, airy and misty sensory media. These are assigned respectively to sight, hearing and smell in the reported historical account.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976" w:name="latin-record-0735"/>
      <w:bookmarkEnd w:id="976"/>
      <w:r>
        <w:rPr>
          <w:b/>
          <w:i w:val="0"/>
        </w:rPr>
        <w:t>lutum</w:t>
      </w:r>
      <w:r>
        <w:rPr>
          <w:b/>
          <w:i w:val="0"/>
        </w:rPr>
        <w:t>.</w:t>
      </w:r>
      <w:r>
        <w:rPr>
          <w:b w:val="0"/>
          <w:i w:val="0"/>
        </w:rPr>
        <w:t xml:space="preserve"> Printed forms: </w:t>
      </w:r>
      <w:r>
        <w:rPr>
          <w:b w:val="0"/>
          <w:i/>
        </w:rPr>
        <w:t>lutum</w:t>
      </w:r>
      <w:r>
        <w:rPr>
          <w:b w:val="0"/>
          <w:i w:val="0"/>
        </w:rPr>
        <w:t>.</w:t>
      </w:r>
    </w:p>
    <w:p>
      <w:pPr>
        <w:widowControl/>
      </w:pPr>
      <w:r>
        <w:rPr>
          <w:b w:val="0"/>
          <w:i w:val="0"/>
        </w:rPr>
        <w:t xml:space="preserve">Clay, the enduring material of different vessels. Clay survives a broken pot and can receive another shape; the analogy prepares, without identifying clay with, prime matter. References: </w:t>
      </w:r>
      <w:hyperlink w:anchor="passage-v-4-1">
        <w:r>
          <w:rPr>
            <w:color w:val="000000"/>
          </w:rPr>
          <w:t xml:space="preserve">V.4.1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977" w:name="latin-record-0736"/>
      <w:bookmarkEnd w:id="977"/>
      <w:r>
        <w:rPr>
          <w:b/>
          <w:i w:val="0"/>
        </w:rPr>
        <w:t>lutum; testa; gleba</w:t>
      </w:r>
      <w:r>
        <w:rPr>
          <w:b/>
          <w:i w:val="0"/>
        </w:rPr>
        <w:t>.</w:t>
      </w:r>
      <w:r>
        <w:rPr>
          <w:b w:val="0"/>
          <w:i w:val="0"/>
        </w:rPr>
        <w:t xml:space="preserve"> Printed forms: </w:t>
      </w:r>
      <w:r>
        <w:rPr>
          <w:b w:val="0"/>
          <w:i/>
        </w:rPr>
        <w:t>glebis</w:t>
      </w:r>
      <w:r>
        <w:rPr>
          <w:b w:val="0"/>
          <w:i w:val="0"/>
        </w:rPr>
        <w:t xml:space="preserve">; </w:t>
      </w:r>
      <w:r>
        <w:rPr>
          <w:b w:val="0"/>
          <w:i/>
        </w:rPr>
        <w:t>lutea testa</w:t>
      </w:r>
      <w:r>
        <w:rPr>
          <w:b w:val="0"/>
          <w:i w:val="0"/>
        </w:rPr>
        <w:t xml:space="preserve">; </w:t>
      </w:r>
      <w:r>
        <w:rPr>
          <w:b w:val="0"/>
          <w:i/>
        </w:rPr>
        <w:t>luteum</w:t>
      </w:r>
      <w:r>
        <w:rPr>
          <w:b w:val="0"/>
          <w:i w:val="0"/>
        </w:rPr>
        <w:t xml:space="preserve">; </w:t>
      </w:r>
      <w:r>
        <w:rPr>
          <w:b w:val="0"/>
          <w:i/>
        </w:rPr>
        <w:t>luto</w:t>
      </w:r>
      <w:r>
        <w:rPr>
          <w:b w:val="0"/>
          <w:i w:val="0"/>
        </w:rPr>
        <w:t>.</w:t>
      </w:r>
    </w:p>
    <w:p>
      <w:pPr>
        <w:widowControl/>
      </w:pPr>
      <w:r>
        <w:rPr>
          <w:b w:val="0"/>
          <w:i w:val="0"/>
        </w:rPr>
        <w:t xml:space="preserve">Mud, an earthen crust and clods. A child encrusted from birth mistakes the acquired mud-covering for his body’s own flesh. References: </w:t>
      </w:r>
      <w:hyperlink w:anchor="passage-vi-2-2">
        <w:r>
          <w:rPr>
            <w:color w:val="000000"/>
          </w:rPr>
          <w:t xml:space="preserve">VI.2.2</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978" w:name="latin-record-0737"/>
      <w:bookmarkEnd w:id="978"/>
      <w:r>
        <w:rPr>
          <w:b/>
          <w:i w:val="0"/>
        </w:rPr>
        <w:t>lux / tenebrae / vox / silentium</w:t>
      </w:r>
      <w:r>
        <w:rPr>
          <w:b/>
          <w:i w:val="0"/>
        </w:rPr>
        <w:t>.</w:t>
      </w:r>
      <w:r>
        <w:rPr>
          <w:b w:val="0"/>
          <w:i w:val="0"/>
        </w:rPr>
        <w:t xml:space="preserve"> Printed forms: </w:t>
      </w:r>
      <w:r>
        <w:rPr>
          <w:b w:val="0"/>
          <w:i/>
        </w:rPr>
        <w:t>lucem</w:t>
      </w:r>
      <w:r>
        <w:rPr>
          <w:b w:val="0"/>
          <w:i w:val="0"/>
        </w:rPr>
        <w:t xml:space="preserve">; </w:t>
      </w:r>
      <w:r>
        <w:rPr>
          <w:b w:val="0"/>
          <w:i/>
        </w:rPr>
        <w:t>silentium</w:t>
      </w:r>
      <w:r>
        <w:rPr>
          <w:b w:val="0"/>
          <w:i w:val="0"/>
        </w:rPr>
        <w:t xml:space="preserve">; </w:t>
      </w:r>
      <w:r>
        <w:rPr>
          <w:b w:val="0"/>
          <w:i/>
        </w:rPr>
        <w:t>tenebras</w:t>
      </w:r>
      <w:r>
        <w:rPr>
          <w:b w:val="0"/>
          <w:i w:val="0"/>
        </w:rPr>
        <w:t xml:space="preserve">; </w:t>
      </w:r>
      <w:r>
        <w:rPr>
          <w:b w:val="0"/>
          <w:i/>
        </w:rPr>
        <w:t>vocem</w:t>
      </w:r>
      <w:r>
        <w:rPr>
          <w:b w:val="0"/>
          <w:i w:val="0"/>
        </w:rPr>
        <w:t>.</w:t>
      </w:r>
    </w:p>
    <w:p>
      <w:pPr>
        <w:widowControl/>
      </w:pPr>
      <w:r>
        <w:rPr>
          <w:b w:val="0"/>
          <w:i w:val="0"/>
        </w:rPr>
        <w:t xml:space="preserve">Light and darkness, voice and silence, examples of contraries known together. Knowing one sharpens judgment of the other, rather than one mental content physically destroying the other. References: </w:t>
      </w:r>
      <w:hyperlink w:anchor="passage-viii-12-1">
        <w:r>
          <w:rPr>
            <w:color w:val="000000"/>
          </w:rPr>
          <w:t xml:space="preserve">VIII.12.1</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979" w:name="latin-record-0738"/>
      <w:bookmarkEnd w:id="979"/>
      <w:r>
        <w:rPr>
          <w:b/>
          <w:i w:val="0"/>
        </w:rPr>
        <w:t>lyra / temperare</w:t>
      </w:r>
      <w:r>
        <w:rPr>
          <w:b/>
          <w:i w:val="0"/>
        </w:rPr>
        <w:t>.</w:t>
      </w:r>
      <w:r>
        <w:rPr>
          <w:b w:val="0"/>
          <w:i w:val="0"/>
        </w:rPr>
        <w:t xml:space="preserve"> Printed forms: </w:t>
      </w:r>
      <w:r>
        <w:rPr>
          <w:b w:val="0"/>
          <w:i/>
        </w:rPr>
        <w:t>lyra</w:t>
      </w:r>
      <w:r>
        <w:rPr>
          <w:b w:val="0"/>
          <w:i w:val="0"/>
        </w:rPr>
        <w:t xml:space="preserve">; </w:t>
      </w:r>
      <w:r>
        <w:rPr>
          <w:b w:val="0"/>
          <w:i/>
        </w:rPr>
        <w:t>temperetur</w:t>
      </w:r>
      <w:r>
        <w:rPr>
          <w:b w:val="0"/>
          <w:i w:val="0"/>
        </w:rPr>
        <w:t>.</w:t>
      </w:r>
    </w:p>
    <w:p>
      <w:pPr>
        <w:widowControl/>
      </w:pPr>
      <w:r>
        <w:rPr>
          <w:b w:val="0"/>
          <w:i w:val="0"/>
        </w:rPr>
        <w:t xml:space="preserve">Lyre and its tuning into better proportion. An improved instrument need not be larger; greater concord illustrates the soul’s advancement in virtue. References: </w:t>
      </w:r>
      <w:hyperlink w:anchor="passage-viii-2-4">
        <w:r>
          <w:rPr>
            <w:color w:val="000000"/>
          </w:rPr>
          <w:t xml:space="preserve">VIII.2.4</w:t>
        </w:r>
      </w:hyperlink>
      <w:r>
        <w:rPr>
          <w:b w:val="0"/>
          <w:i w:val="0"/>
        </w:rPr>
        <w:t xml:space="preserve">. See </w:t>
      </w:r>
      <w:hyperlink w:anchor="viii-virtue-equality">
        <w:r>
          <w:rPr>
            <w:color w:val="000000"/>
          </w:rPr>
          <w:t xml:space="preserve">Spiritual equality, the line, and the tuned lyre</w:t>
        </w:r>
      </w:hyperlink>
      <w:r>
        <w:rPr>
          <w:b w:val="0"/>
          <w:i w:val="0"/>
        </w:rPr>
        <w:t>.</w:t>
      </w:r>
    </w:p>
    <w:p>
      <w:pPr>
        <w:keepNext/>
        <w:widowControl/>
      </w:pPr>
      <w:bookmarkStart w:id="980" w:name="latin-record-0739"/>
      <w:bookmarkEnd w:id="980"/>
      <w:r>
        <w:rPr>
          <w:b/>
          <w:i w:val="0"/>
        </w:rPr>
        <w:t>machina</w:t>
      </w:r>
      <w:r>
        <w:rPr>
          <w:b/>
          <w:i w:val="0"/>
        </w:rPr>
        <w:t>.</w:t>
      </w:r>
      <w:r>
        <w:rPr>
          <w:b w:val="0"/>
          <w:i w:val="0"/>
        </w:rPr>
        <w:t xml:space="preserve"> Printed forms: </w:t>
      </w:r>
      <w:r>
        <w:rPr>
          <w:b w:val="0"/>
          <w:i/>
        </w:rPr>
        <w:t>machina</w:t>
      </w:r>
      <w:r>
        <w:rPr>
          <w:b w:val="0"/>
          <w:i w:val="0"/>
        </w:rPr>
        <w:t xml:space="preserve">; </w:t>
      </w:r>
      <w:r>
        <w:rPr>
          <w:b w:val="0"/>
          <w:i/>
        </w:rPr>
        <w:t>machinam</w:t>
      </w:r>
      <w:r>
        <w:rPr>
          <w:b w:val="0"/>
          <w:i w:val="0"/>
        </w:rPr>
        <w:t>.</w:t>
      </w:r>
    </w:p>
    <w:p>
      <w:pPr>
        <w:widowControl/>
      </w:pPr>
      <w:r>
        <w:rPr>
          <w:b w:val="0"/>
          <w:i w:val="0"/>
        </w:rPr>
        <w:t xml:space="preserve">A constructed fabric or machinery, here the bodily world held together by its principles. Matter is the foundation whose removal would collapse the fabric; soul forms and contains that fabric. References: </w:t>
      </w:r>
      <w:hyperlink w:anchor="passage-v-4-5">
        <w:r>
          <w:rPr>
            <w:color w:val="000000"/>
          </w:rPr>
          <w:t xml:space="preserve">V.4.5</w:t>
        </w:r>
      </w:hyperlink>
      <w:r>
        <w:rPr>
          <w:b w:val="0"/>
          <w:i w:val="0"/>
        </w:rPr>
        <w:t xml:space="preserve">, </w:t>
      </w:r>
      <w:hyperlink w:anchor="passage-v-15-2">
        <w:r>
          <w:rPr>
            <w:color w:val="000000"/>
          </w:rPr>
          <w:t xml:space="preserve">V.15.2</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981" w:name="latin-record-0740"/>
      <w:bookmarkEnd w:id="981"/>
      <w:r>
        <w:rPr>
          <w:b/>
          <w:i w:val="0"/>
        </w:rPr>
        <w:t>Magi</w:t>
      </w:r>
      <w:r>
        <w:rPr>
          <w:b/>
          <w:i w:val="0"/>
        </w:rPr>
        <w:t>.</w:t>
      </w:r>
      <w:r>
        <w:rPr>
          <w:b w:val="0"/>
          <w:i w:val="0"/>
        </w:rPr>
        <w:t xml:space="preserve"> Printed forms: </w:t>
      </w:r>
      <w:r>
        <w:rPr>
          <w:b w:val="0"/>
          <w:i/>
        </w:rPr>
        <w:t>Magi</w:t>
      </w:r>
      <w:r>
        <w:rPr>
          <w:b w:val="0"/>
          <w:i w:val="0"/>
        </w:rPr>
        <w:t>.</w:t>
      </w:r>
    </w:p>
    <w:p>
      <w:pPr>
        <w:widowControl/>
      </w:pPr>
      <w:r>
        <w:rPr>
          <w:b w:val="0"/>
          <w:i w:val="0"/>
        </w:rPr>
        <w:t xml:space="preserve">The authorities to whom the account of virtue as equality is attributed. Their claim is reported by Ficino and applied through the line-and-lyre comparisons, not independently verified here. References: </w:t>
      </w:r>
      <w:hyperlink w:anchor="passage-viii-2-4">
        <w:r>
          <w:rPr>
            <w:color w:val="000000"/>
          </w:rPr>
          <w:t xml:space="preserve">VIII.2.4</w:t>
        </w:r>
      </w:hyperlink>
      <w:r>
        <w:rPr>
          <w:b w:val="0"/>
          <w:i w:val="0"/>
        </w:rPr>
        <w:t xml:space="preserve">. See </w:t>
      </w:r>
      <w:hyperlink w:anchor="viii-virtue-equality">
        <w:r>
          <w:rPr>
            <w:color w:val="000000"/>
          </w:rPr>
          <w:t xml:space="preserve">Spiritual equality, the line, and the tuned lyre</w:t>
        </w:r>
      </w:hyperlink>
      <w:r>
        <w:rPr>
          <w:b w:val="0"/>
          <w:i w:val="0"/>
        </w:rPr>
        <w:t>.</w:t>
      </w:r>
    </w:p>
    <w:p>
      <w:pPr>
        <w:keepNext/>
        <w:widowControl/>
      </w:pPr>
      <w:bookmarkStart w:id="982" w:name="latin-record-0741"/>
      <w:bookmarkEnd w:id="982"/>
      <w:r>
        <w:rPr>
          <w:b/>
          <w:i w:val="0"/>
        </w:rPr>
        <w:t>magis ac minus / intensio / remissio</w:t>
      </w:r>
      <w:r>
        <w:rPr>
          <w:b/>
          <w:i w:val="0"/>
        </w:rPr>
        <w:t>.</w:t>
      </w:r>
      <w:r>
        <w:rPr>
          <w:b w:val="0"/>
          <w:i w:val="0"/>
        </w:rPr>
        <w:t xml:space="preserve"> Printed forms: </w:t>
      </w:r>
      <w:r>
        <w:rPr>
          <w:b w:val="0"/>
          <w:i/>
        </w:rPr>
        <w:t>intenditur</w:t>
      </w:r>
      <w:r>
        <w:rPr>
          <w:b w:val="0"/>
          <w:i w:val="0"/>
        </w:rPr>
        <w:t xml:space="preserve">; </w:t>
      </w:r>
      <w:r>
        <w:rPr>
          <w:b w:val="0"/>
          <w:i/>
        </w:rPr>
        <w:t>Intenditur</w:t>
      </w:r>
      <w:r>
        <w:rPr>
          <w:b w:val="0"/>
          <w:i w:val="0"/>
        </w:rPr>
        <w:t xml:space="preserve">; </w:t>
      </w:r>
      <w:r>
        <w:rPr>
          <w:b w:val="0"/>
          <w:i/>
        </w:rPr>
        <w:t>magis</w:t>
      </w:r>
      <w:r>
        <w:rPr>
          <w:b w:val="0"/>
          <w:i w:val="0"/>
        </w:rPr>
        <w:t xml:space="preserve">; </w:t>
      </w:r>
      <w:r>
        <w:rPr>
          <w:b w:val="0"/>
          <w:i/>
        </w:rPr>
        <w:t>magis ac minus</w:t>
      </w:r>
      <w:r>
        <w:rPr>
          <w:b w:val="0"/>
          <w:i w:val="0"/>
        </w:rPr>
        <w:t xml:space="preserve">; </w:t>
      </w:r>
      <w:r>
        <w:rPr>
          <w:b w:val="0"/>
          <w:i/>
        </w:rPr>
        <w:t>minus</w:t>
      </w:r>
      <w:r>
        <w:rPr>
          <w:b w:val="0"/>
          <w:i w:val="0"/>
        </w:rPr>
        <w:t xml:space="preserve">; </w:t>
      </w:r>
      <w:r>
        <w:rPr>
          <w:b w:val="0"/>
          <w:i/>
        </w:rPr>
        <w:t>remittitur</w:t>
      </w:r>
      <w:r>
        <w:rPr>
          <w:b w:val="0"/>
          <w:i w:val="0"/>
        </w:rPr>
        <w:t>.</w:t>
      </w:r>
    </w:p>
    <w:p>
      <w:pPr>
        <w:widowControl/>
      </w:pPr>
      <w:r>
        <w:rPr>
          <w:b w:val="0"/>
          <w:i w:val="0"/>
        </w:rPr>
        <w:t xml:space="preserve">More and less, intensification and diminution. Constitution varies in nature, power and operation, while substantial identity is not intensified in that same way. References: </w:t>
      </w:r>
      <w:hyperlink w:anchor="passage-vii-9-1">
        <w:r>
          <w:rPr>
            <w:color w:val="000000"/>
          </w:rPr>
          <w:t xml:space="preserve">VII.9.1</w:t>
        </w:r>
      </w:hyperlink>
      <w:r>
        <w:rPr>
          <w:b w:val="0"/>
          <w:i w:val="0"/>
        </w:rPr>
        <w:t xml:space="preserve">. See </w:t>
      </w:r>
      <w:hyperlink w:anchor="vii-substance-degrees">
        <w:r>
          <w:rPr>
            <w:color w:val="000000"/>
          </w:rPr>
          <w:t xml:space="preserve">Substance, qualities and degrees</w:t>
        </w:r>
      </w:hyperlink>
      <w:r>
        <w:rPr>
          <w:b w:val="0"/>
          <w:i w:val="0"/>
        </w:rPr>
        <w:t>.</w:t>
      </w:r>
    </w:p>
    <w:p>
      <w:pPr>
        <w:keepNext/>
        <w:widowControl/>
      </w:pPr>
      <w:bookmarkStart w:id="983" w:name="latin-record-0742"/>
      <w:bookmarkEnd w:id="983"/>
      <w:r>
        <w:rPr>
          <w:b/>
          <w:i w:val="0"/>
        </w:rPr>
        <w:t>magis anima / magis vita</w:t>
      </w:r>
      <w:r>
        <w:rPr>
          <w:b/>
          <w:i w:val="0"/>
        </w:rPr>
        <w:t>.</w:t>
      </w:r>
      <w:r>
        <w:rPr>
          <w:b w:val="0"/>
          <w:i w:val="0"/>
        </w:rPr>
        <w:t xml:space="preserve"> Printed forms: </w:t>
      </w:r>
      <w:r>
        <w:rPr>
          <w:b w:val="0"/>
          <w:i/>
        </w:rPr>
        <w:t>anima magis</w:t>
      </w:r>
      <w:r>
        <w:rPr>
          <w:b w:val="0"/>
          <w:i w:val="0"/>
        </w:rPr>
        <w:t xml:space="preserve">; </w:t>
      </w:r>
      <w:r>
        <w:rPr>
          <w:b w:val="0"/>
          <w:i/>
        </w:rPr>
        <w:t>magis vita</w:t>
      </w:r>
      <w:r>
        <w:rPr>
          <w:b w:val="0"/>
          <w:i w:val="0"/>
        </w:rPr>
        <w:t>.</w:t>
      </w:r>
    </w:p>
    <w:p>
      <w:pPr>
        <w:widowControl/>
      </w:pPr>
      <w:r>
        <w:rPr>
          <w:b w:val="0"/>
          <w:i w:val="0"/>
        </w:rPr>
        <w:t xml:space="preserve">More soul and more life as proposed consequences of more harmony. The graded-harmony account illegitimately converts moral accord into degree of the living principle itself.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984" w:name="latin-record-0743"/>
      <w:bookmarkEnd w:id="984"/>
      <w:r>
        <w:rPr>
          <w:b/>
          <w:i w:val="0"/>
        </w:rPr>
        <w:t>magis indivisibilis</w:t>
      </w:r>
      <w:r>
        <w:rPr>
          <w:b/>
          <w:i w:val="0"/>
        </w:rPr>
        <w:t>.</w:t>
      </w:r>
      <w:r>
        <w:rPr>
          <w:b w:val="0"/>
          <w:i w:val="0"/>
        </w:rPr>
        <w:t xml:space="preserve"> Printed forms: </w:t>
      </w:r>
      <w:r>
        <w:rPr>
          <w:b w:val="0"/>
          <w:i/>
        </w:rPr>
        <w:t>magis indivisibilis</w:t>
      </w:r>
      <w:r>
        <w:rPr>
          <w:b w:val="0"/>
          <w:i w:val="0"/>
        </w:rPr>
        <w:t>.</w:t>
      </w:r>
    </w:p>
    <w:p>
      <w:pPr>
        <w:widowControl/>
      </w:pPr>
      <w:r>
        <w:rPr>
          <w:b w:val="0"/>
          <w:i w:val="0"/>
        </w:rPr>
        <w:t xml:space="preserve">More indivisible, expressing superiority to geometrical dependence. Soul surpasses even a point because a point remains in a bodily subject and at a determinate site. References: </w:t>
      </w:r>
      <w:hyperlink w:anchor="passage-vi-6-5">
        <w:r>
          <w:rPr>
            <w:color w:val="000000"/>
          </w:rPr>
          <w:t xml:space="preserve">VI.6.5</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985" w:name="latin-record-0744"/>
      <w:bookmarkEnd w:id="985"/>
      <w:r>
        <w:rPr>
          <w:b/>
          <w:i w:val="0"/>
        </w:rPr>
        <w:t>magis minusve</w:t>
      </w:r>
      <w:r>
        <w:rPr>
          <w:b/>
          <w:i w:val="0"/>
        </w:rPr>
        <w:t>.</w:t>
      </w:r>
      <w:r>
        <w:rPr>
          <w:b w:val="0"/>
          <w:i w:val="0"/>
        </w:rPr>
        <w:t xml:space="preserve"> Printed forms: </w:t>
      </w:r>
      <w:r>
        <w:rPr>
          <w:b w:val="0"/>
          <w:i/>
        </w:rPr>
        <w:t>addi</w:t>
      </w:r>
      <w:r>
        <w:rPr>
          <w:b w:val="0"/>
          <w:i w:val="0"/>
        </w:rPr>
        <w:t xml:space="preserve">; </w:t>
      </w:r>
      <w:r>
        <w:rPr>
          <w:b w:val="0"/>
          <w:i/>
        </w:rPr>
        <w:t>demi</w:t>
      </w:r>
      <w:r>
        <w:rPr>
          <w:b w:val="0"/>
          <w:i w:val="0"/>
        </w:rPr>
        <w:t xml:space="preserve">; </w:t>
      </w:r>
      <w:r>
        <w:rPr>
          <w:b w:val="0"/>
          <w:i/>
        </w:rPr>
        <w:t>magis minusve</w:t>
      </w:r>
      <w:r>
        <w:rPr>
          <w:b w:val="0"/>
          <w:i w:val="0"/>
        </w:rPr>
        <w:t>.</w:t>
      </w:r>
    </w:p>
    <w:p>
      <w:pPr>
        <w:widowControl/>
      </w:pPr>
      <w:r>
        <w:rPr>
          <w:b w:val="0"/>
          <w:i w:val="0"/>
        </w:rPr>
        <w:t xml:space="preserve">More or less, adding and taking away in the test for a species’ fixed account. A determinate species does not gain intensity by acquiring an extra constituent; its defining identity changes, as the numerical examples show. References: </w:t>
      </w:r>
      <w:hyperlink w:anchor="passage-viii-4-11">
        <w:r>
          <w:rPr>
            <w:color w:val="000000"/>
          </w:rPr>
          <w:t xml:space="preserve">VIII.4.11</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986" w:name="latin-record-0745"/>
      <w:bookmarkEnd w:id="986"/>
      <w:r>
        <w:rPr>
          <w:b/>
          <w:i w:val="0"/>
        </w:rPr>
        <w:t>magistra sensuum</w:t>
      </w:r>
      <w:r>
        <w:rPr>
          <w:b/>
          <w:i w:val="0"/>
        </w:rPr>
        <w:t>.</w:t>
      </w:r>
      <w:r>
        <w:rPr>
          <w:b w:val="0"/>
          <w:i w:val="0"/>
        </w:rPr>
        <w:t xml:space="preserve"> Printed forms: </w:t>
      </w:r>
      <w:r>
        <w:rPr>
          <w:b w:val="0"/>
          <w:i/>
        </w:rPr>
        <w:t>magistra sensuum</w:t>
      </w:r>
      <w:r>
        <w:rPr>
          <w:b w:val="0"/>
          <w:i w:val="0"/>
        </w:rPr>
        <w:t>.</w:t>
      </w:r>
    </w:p>
    <w:p>
      <w:pPr>
        <w:widowControl/>
      </w:pPr>
      <w:r>
        <w:rPr>
          <w:b w:val="0"/>
          <w:i w:val="0"/>
        </w:rPr>
        <w:t xml:space="preserve">Mistress or governing judge of the senses. This epithet names the common inward power’s adjudication, not a sixth specialized sense with one narrow object. References: </w:t>
      </w:r>
      <w:hyperlink w:anchor="passage-vii-2-2">
        <w:r>
          <w:rPr>
            <w:color w:val="000000"/>
          </w:rPr>
          <w:t xml:space="preserve">VII.2.2</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987" w:name="latin-record-0746"/>
      <w:bookmarkEnd w:id="987"/>
      <w:r>
        <w:rPr>
          <w:b/>
          <w:i w:val="0"/>
        </w:rPr>
        <w:t>magnanimitas / pusillanimitas</w:t>
      </w:r>
      <w:r>
        <w:rPr>
          <w:b/>
          <w:i w:val="0"/>
        </w:rPr>
        <w:t>.</w:t>
      </w:r>
      <w:r>
        <w:rPr>
          <w:b w:val="0"/>
          <w:i w:val="0"/>
        </w:rPr>
        <w:t xml:space="preserve"> Printed forms: </w:t>
      </w:r>
      <w:r>
        <w:rPr>
          <w:b w:val="0"/>
          <w:i/>
        </w:rPr>
        <w:t>magnanimitas</w:t>
      </w:r>
      <w:r>
        <w:rPr>
          <w:b w:val="0"/>
          <w:i w:val="0"/>
        </w:rPr>
        <w:t xml:space="preserve">; </w:t>
      </w:r>
      <w:r>
        <w:rPr>
          <w:b w:val="0"/>
          <w:i/>
        </w:rPr>
        <w:t>magnanimitatemque</w:t>
      </w:r>
      <w:r>
        <w:rPr>
          <w:b w:val="0"/>
          <w:i w:val="0"/>
        </w:rPr>
        <w:t xml:space="preserve">; </w:t>
      </w:r>
      <w:r>
        <w:rPr>
          <w:b w:val="0"/>
          <w:i/>
        </w:rPr>
        <w:t>pusillanimitas</w:t>
      </w:r>
      <w:r>
        <w:rPr>
          <w:b w:val="0"/>
          <w:i w:val="0"/>
        </w:rPr>
        <w:t>.</w:t>
      </w:r>
    </w:p>
    <w:p>
      <w:pPr>
        <w:widowControl/>
      </w:pPr>
      <w:r>
        <w:rPr>
          <w:b w:val="0"/>
          <w:i w:val="0"/>
        </w:rPr>
        <w:t xml:space="preserve">Greatness and littleness of soul, not large and small physical volume. The food reductio would absurdly allocate magnanimity by bodily bulk; experience of a small person overcoming a larger supports the distinction.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988" w:name="latin-record-0747"/>
      <w:bookmarkEnd w:id="988"/>
      <w:r>
        <w:rPr>
          <w:b/>
          <w:i w:val="0"/>
        </w:rPr>
        <w:t>magnes / ferrum / trahere / suspendere</w:t>
      </w:r>
      <w:r>
        <w:rPr>
          <w:b/>
          <w:i w:val="0"/>
        </w:rPr>
        <w:t>.</w:t>
      </w:r>
      <w:r>
        <w:rPr>
          <w:b w:val="0"/>
          <w:i w:val="0"/>
        </w:rPr>
        <w:t xml:space="preserve"> Printed forms: </w:t>
      </w:r>
      <w:r>
        <w:rPr>
          <w:b w:val="0"/>
          <w:i/>
        </w:rPr>
        <w:t>ferro</w:t>
      </w:r>
      <w:r>
        <w:rPr>
          <w:b w:val="0"/>
          <w:i w:val="0"/>
        </w:rPr>
        <w:t xml:space="preserve">; </w:t>
      </w:r>
      <w:r>
        <w:rPr>
          <w:b w:val="0"/>
          <w:i/>
        </w:rPr>
        <w:t>magnetis</w:t>
      </w:r>
      <w:r>
        <w:rPr>
          <w:b w:val="0"/>
          <w:i w:val="0"/>
        </w:rPr>
        <w:t xml:space="preserve">; </w:t>
      </w:r>
      <w:r>
        <w:rPr>
          <w:b w:val="0"/>
          <w:i/>
        </w:rPr>
        <w:t>trahitur et suspenditur</w:t>
      </w:r>
      <w:r>
        <w:rPr>
          <w:b w:val="0"/>
          <w:i w:val="0"/>
        </w:rPr>
        <w:t>.</w:t>
      </w:r>
    </w:p>
    <w:p>
      <w:pPr>
        <w:widowControl/>
      </w:pPr>
      <w:r>
        <w:rPr>
          <w:b w:val="0"/>
          <w:i w:val="0"/>
        </w:rPr>
        <w:t xml:space="preserve">Magnes is a magnet and ferrum iron; trahere means to draw and suspendere to suspend. In trahitur et suspenditur, the iron is drawn and suspended. The second analogy concerns effective directed action, distinct from the rennet’s consolidation. References: </w:t>
      </w:r>
      <w:hyperlink w:anchor="passage-vi-9-4">
        <w:r>
          <w:rPr>
            <w:color w:val="000000"/>
          </w:rPr>
          <w:t xml:space="preserve">VI.9.4</w:t>
        </w:r>
      </w:hyperlink>
      <w:r>
        <w:rPr>
          <w:b w:val="0"/>
          <w:i w:val="0"/>
        </w:rPr>
        <w:t xml:space="preserve">. See </w:t>
      </w:r>
      <w:hyperlink w:anchor="rennet-magnet-and-clock">
        <w:r>
          <w:rPr>
            <w:color w:val="000000"/>
          </w:rPr>
          <w:t xml:space="preserve">Rennet, magnet and clock</w:t>
        </w:r>
      </w:hyperlink>
      <w:r>
        <w:rPr>
          <w:b w:val="0"/>
          <w:i w:val="0"/>
        </w:rPr>
        <w:t>.</w:t>
      </w:r>
    </w:p>
    <w:p>
      <w:pPr>
        <w:keepNext/>
        <w:widowControl/>
      </w:pPr>
      <w:bookmarkStart w:id="989" w:name="latin-record-0748"/>
      <w:bookmarkEnd w:id="989"/>
      <w:r>
        <w:rPr>
          <w:b/>
          <w:i w:val="0"/>
        </w:rPr>
        <w:t>magnificentior; divinior</w:t>
      </w:r>
      <w:r>
        <w:rPr>
          <w:b/>
          <w:i w:val="0"/>
        </w:rPr>
        <w:t>.</w:t>
      </w:r>
      <w:r>
        <w:rPr>
          <w:b w:val="0"/>
          <w:i w:val="0"/>
        </w:rPr>
        <w:t xml:space="preserve"> Printed forms: </w:t>
      </w:r>
      <w:r>
        <w:rPr>
          <w:b w:val="0"/>
          <w:i/>
        </w:rPr>
        <w:t>divinior</w:t>
      </w:r>
      <w:r>
        <w:rPr>
          <w:b w:val="0"/>
          <w:i w:val="0"/>
        </w:rPr>
        <w:t xml:space="preserve">; </w:t>
      </w:r>
      <w:r>
        <w:rPr>
          <w:b w:val="0"/>
          <w:i/>
        </w:rPr>
        <w:t>magnificentior</w:t>
      </w:r>
      <w:r>
        <w:rPr>
          <w:b w:val="0"/>
          <w:i w:val="0"/>
        </w:rPr>
        <w:t>.</w:t>
      </w:r>
    </w:p>
    <w:p>
      <w:pPr>
        <w:widowControl/>
      </w:pPr>
      <w:r>
        <w:rPr>
          <w:b w:val="0"/>
          <w:i w:val="0"/>
        </w:rPr>
        <w:t xml:space="preserve">More magnificent and more divine. These comparative predicates expose the absurdity of treating a larger body as the measure of a better soul. References: </w:t>
      </w:r>
      <w:hyperlink w:anchor="passage-vi-13-3">
        <w:r>
          <w:rPr>
            <w:color w:val="000000"/>
          </w:rPr>
          <w:t xml:space="preserve">VI.13.3</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990" w:name="latin-record-0749"/>
      <w:bookmarkEnd w:id="990"/>
      <w:r>
        <w:rPr>
          <w:b/>
          <w:i w:val="0"/>
        </w:rPr>
        <w:t>magnitudo</w:t>
      </w:r>
      <w:r>
        <w:rPr>
          <w:b/>
          <w:i w:val="0"/>
        </w:rPr>
        <w:t>.</w:t>
      </w:r>
      <w:r>
        <w:rPr>
          <w:b w:val="0"/>
          <w:i w:val="0"/>
        </w:rPr>
        <w:t xml:space="preserve"> Printed forms: </w:t>
      </w:r>
      <w:r>
        <w:rPr>
          <w:b w:val="0"/>
          <w:i/>
        </w:rPr>
        <w:t>magnitudine</w:t>
      </w:r>
      <w:r>
        <w:rPr>
          <w:b w:val="0"/>
          <w:i w:val="0"/>
        </w:rPr>
        <w:t xml:space="preserve">; </w:t>
      </w:r>
      <w:r>
        <w:rPr>
          <w:b w:val="0"/>
          <w:i/>
        </w:rPr>
        <w:t>magnitudinem</w:t>
      </w:r>
      <w:r>
        <w:rPr>
          <w:b w:val="0"/>
          <w:i w:val="0"/>
        </w:rPr>
        <w:t xml:space="preserve">; </w:t>
      </w:r>
      <w:r>
        <w:rPr>
          <w:b w:val="0"/>
          <w:i/>
        </w:rPr>
        <w:t>magnitudinis</w:t>
      </w:r>
      <w:r>
        <w:rPr>
          <w:b w:val="0"/>
          <w:i w:val="0"/>
        </w:rPr>
        <w:t xml:space="preserve">; </w:t>
      </w:r>
      <w:r>
        <w:rPr>
          <w:b w:val="0"/>
          <w:i/>
        </w:rPr>
        <w:t>magnitudo</w:t>
      </w:r>
      <w:r>
        <w:rPr>
          <w:b w:val="0"/>
          <w:i w:val="0"/>
        </w:rPr>
        <w:t>.</w:t>
      </w:r>
    </w:p>
    <w:p>
      <w:pPr>
        <w:widowControl/>
      </w:pPr>
      <w:r>
        <w:rPr>
          <w:b w:val="0"/>
          <w:i w:val="0"/>
        </w:rPr>
        <w:t xml:space="preserve">Magnitude or spatial size. Ficino distinguishes an image’s bodily dimensions from the magnitude correctly judged through it. References: </w:t>
      </w:r>
      <w:hyperlink w:anchor="passage-vii-1-1">
        <w:r>
          <w:rPr>
            <w:color w:val="000000"/>
          </w:rPr>
          <w:t xml:space="preserve">VII.1.1</w:t>
        </w:r>
      </w:hyperlink>
      <w:r>
        <w:rPr>
          <w:b w:val="0"/>
          <w:i w:val="0"/>
        </w:rPr>
        <w:t xml:space="preserve">,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991" w:name="latin-record-0750"/>
      <w:bookmarkEnd w:id="991"/>
      <w:r>
        <w:rPr>
          <w:b/>
          <w:i w:val="0"/>
        </w:rPr>
        <w:t>magnitudo; crescere; decrescere</w:t>
      </w:r>
      <w:r>
        <w:rPr>
          <w:b/>
          <w:i w:val="0"/>
        </w:rPr>
        <w:t>.</w:t>
      </w:r>
      <w:r>
        <w:rPr>
          <w:b w:val="0"/>
          <w:i w:val="0"/>
        </w:rPr>
        <w:t xml:space="preserve"> Printed forms: </w:t>
      </w:r>
      <w:r>
        <w:rPr>
          <w:b w:val="0"/>
          <w:i/>
        </w:rPr>
        <w:t>augmenti</w:t>
      </w:r>
      <w:r>
        <w:rPr>
          <w:b w:val="0"/>
          <w:i w:val="0"/>
        </w:rPr>
        <w:t xml:space="preserve">; </w:t>
      </w:r>
      <w:r>
        <w:rPr>
          <w:b w:val="0"/>
          <w:i/>
        </w:rPr>
        <w:t>crescunt</w:t>
      </w:r>
      <w:r>
        <w:rPr>
          <w:b w:val="0"/>
          <w:i w:val="0"/>
        </w:rPr>
        <w:t xml:space="preserve">; </w:t>
      </w:r>
      <w:r>
        <w:rPr>
          <w:b w:val="0"/>
          <w:i/>
        </w:rPr>
        <w:t>decrementi</w:t>
      </w:r>
      <w:r>
        <w:rPr>
          <w:b w:val="0"/>
          <w:i w:val="0"/>
        </w:rPr>
        <w:t xml:space="preserve">; </w:t>
      </w:r>
      <w:r>
        <w:rPr>
          <w:b w:val="0"/>
          <w:i/>
        </w:rPr>
        <w:t>decrescunt</w:t>
      </w:r>
      <w:r>
        <w:rPr>
          <w:b w:val="0"/>
          <w:i w:val="0"/>
        </w:rPr>
        <w:t xml:space="preserve">; </w:t>
      </w:r>
      <w:r>
        <w:rPr>
          <w:b w:val="0"/>
          <w:i/>
        </w:rPr>
        <w:t>Magnitudo</w:t>
      </w:r>
      <w:r>
        <w:rPr>
          <w:b w:val="0"/>
          <w:i w:val="0"/>
        </w:rPr>
        <w:t>.</w:t>
      </w:r>
    </w:p>
    <w:p>
      <w:pPr>
        <w:widowControl/>
      </w:pPr>
      <w:r>
        <w:rPr>
          <w:b w:val="0"/>
          <w:i w:val="0"/>
        </w:rPr>
        <w:t xml:space="preserve">Magnitude and increase or decrease. Numbers increase indefinitely but terminate downward at unity; finite magnitude has no terminal minimum of division in Ficino’s contrast. References: </w:t>
      </w:r>
      <w:hyperlink w:anchor="passage-vi-2-6">
        <w:r>
          <w:rPr>
            <w:color w:val="000000"/>
          </w:rPr>
          <w:t xml:space="preserve">VI.2.6</w:t>
        </w:r>
      </w:hyperlink>
      <w:r>
        <w:rPr>
          <w:b w:val="0"/>
          <w:i w:val="0"/>
        </w:rPr>
        <w:t xml:space="preserve">. See </w:t>
      </w:r>
      <w:hyperlink w:anchor="number-and-spiritual-amplitude">
        <w:r>
          <w:rPr>
            <w:color w:val="000000"/>
          </w:rPr>
          <w:t xml:space="preserve">Number and spiritual amplitude</w:t>
        </w:r>
      </w:hyperlink>
      <w:r>
        <w:rPr>
          <w:b w:val="0"/>
          <w:i w:val="0"/>
        </w:rPr>
        <w:t>.</w:t>
      </w:r>
    </w:p>
    <w:p>
      <w:pPr>
        <w:keepNext/>
        <w:widowControl/>
      </w:pPr>
      <w:bookmarkStart w:id="992" w:name="latin-record-0751"/>
      <w:bookmarkEnd w:id="992"/>
      <w:r>
        <w:rPr>
          <w:b/>
          <w:i w:val="0"/>
        </w:rPr>
        <w:t>maior / minor</w:t>
      </w:r>
      <w:r>
        <w:rPr>
          <w:b/>
          <w:i w:val="0"/>
        </w:rPr>
        <w:t>.</w:t>
      </w:r>
      <w:r>
        <w:rPr>
          <w:b w:val="0"/>
          <w:i w:val="0"/>
        </w:rPr>
        <w:t xml:space="preserve"> Printed forms: </w:t>
      </w:r>
      <w:r>
        <w:rPr>
          <w:b w:val="0"/>
          <w:i/>
        </w:rPr>
        <w:t>maior</w:t>
      </w:r>
      <w:r>
        <w:rPr>
          <w:b w:val="0"/>
          <w:i w:val="0"/>
        </w:rPr>
        <w:t xml:space="preserve">; </w:t>
      </w:r>
      <w:r>
        <w:rPr>
          <w:b w:val="0"/>
          <w:i/>
        </w:rPr>
        <w:t>maiora</w:t>
      </w:r>
      <w:r>
        <w:rPr>
          <w:b w:val="0"/>
          <w:i w:val="0"/>
        </w:rPr>
        <w:t xml:space="preserve">; </w:t>
      </w:r>
      <w:r>
        <w:rPr>
          <w:b w:val="0"/>
          <w:i/>
        </w:rPr>
        <w:t>maiorem</w:t>
      </w:r>
      <w:r>
        <w:rPr>
          <w:b w:val="0"/>
          <w:i w:val="0"/>
        </w:rPr>
        <w:t xml:space="preserve">; </w:t>
      </w:r>
      <w:r>
        <w:rPr>
          <w:b w:val="0"/>
          <w:i/>
        </w:rPr>
        <w:t>maiores</w:t>
      </w:r>
      <w:r>
        <w:rPr>
          <w:b w:val="0"/>
          <w:i w:val="0"/>
        </w:rPr>
        <w:t xml:space="preserve">; </w:t>
      </w:r>
      <w:r>
        <w:rPr>
          <w:b w:val="0"/>
          <w:i/>
        </w:rPr>
        <w:t>maiori</w:t>
      </w:r>
      <w:r>
        <w:rPr>
          <w:b w:val="0"/>
          <w:i w:val="0"/>
        </w:rPr>
        <w:t xml:space="preserve">; </w:t>
      </w:r>
      <w:r>
        <w:rPr>
          <w:b w:val="0"/>
          <w:i/>
        </w:rPr>
        <w:t>maius</w:t>
      </w:r>
      <w:r>
        <w:rPr>
          <w:b w:val="0"/>
          <w:i w:val="0"/>
        </w:rPr>
        <w:t xml:space="preserve">; </w:t>
      </w:r>
      <w:r>
        <w:rPr>
          <w:b w:val="0"/>
          <w:i/>
        </w:rPr>
        <w:t>minora</w:t>
      </w:r>
      <w:r>
        <w:rPr>
          <w:b w:val="0"/>
          <w:i w:val="0"/>
        </w:rPr>
        <w:t xml:space="preserve">; </w:t>
      </w:r>
      <w:r>
        <w:rPr>
          <w:b w:val="0"/>
          <w:i/>
        </w:rPr>
        <w:t>minoresve</w:t>
      </w:r>
      <w:r>
        <w:rPr>
          <w:b w:val="0"/>
          <w:i w:val="0"/>
        </w:rPr>
        <w:t>.</w:t>
      </w:r>
    </w:p>
    <w:p>
      <w:pPr>
        <w:widowControl/>
      </w:pPr>
      <w:r>
        <w:rPr>
          <w:b w:val="0"/>
          <w:i w:val="0"/>
        </w:rPr>
        <w:t xml:space="preserve">Greater or smaller in the specified respect, usually bodily magnitude in the mirror argument. The soul’s ability to conceive a greater body than an assigned one does not make the soul itself infinitely large. References: </w:t>
      </w:r>
      <w:hyperlink w:anchor="passage-vii-1-1">
        <w:r>
          <w:rPr>
            <w:color w:val="000000"/>
          </w:rPr>
          <w:t xml:space="preserve">VII.1.1</w:t>
        </w:r>
      </w:hyperlink>
      <w:r>
        <w:rPr>
          <w:b w:val="0"/>
          <w:i w:val="0"/>
        </w:rPr>
        <w:t xml:space="preserve">,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993" w:name="latin-record-0752"/>
      <w:bookmarkEnd w:id="993"/>
      <w:r>
        <w:rPr>
          <w:b/>
          <w:i w:val="0"/>
        </w:rPr>
        <w:t>mancipare</w:t>
      </w:r>
      <w:r>
        <w:rPr>
          <w:b/>
          <w:i w:val="0"/>
        </w:rPr>
        <w:t>.</w:t>
      </w:r>
      <w:r>
        <w:rPr>
          <w:b w:val="0"/>
          <w:i w:val="0"/>
        </w:rPr>
        <w:t xml:space="preserve"> Printed forms: </w:t>
      </w:r>
      <w:r>
        <w:rPr>
          <w:b w:val="0"/>
          <w:i/>
        </w:rPr>
        <w:t>mancipatus</w:t>
      </w:r>
      <w:r>
        <w:rPr>
          <w:b w:val="0"/>
          <w:i w:val="0"/>
        </w:rPr>
        <w:t>.</w:t>
      </w:r>
    </w:p>
    <w:p>
      <w:pPr>
        <w:widowControl/>
      </w:pPr>
      <w:r>
        <w:rPr>
          <w:b w:val="0"/>
          <w:i w:val="0"/>
        </w:rPr>
        <w:t xml:space="preserve">To enslave or subject as under another’s ownership. Mind is denied to be enslaved to bodily harmony when its relation to intelligibles is considered. References: </w:t>
      </w:r>
      <w:hyperlink w:anchor="passage-v-15-12">
        <w:r>
          <w:rPr>
            <w:color w:val="000000"/>
          </w:rPr>
          <w:t xml:space="preserve">V.15.12</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994" w:name="latin-record-0753"/>
      <w:bookmarkEnd w:id="994"/>
      <w:r>
        <w:rPr>
          <w:b/>
          <w:i w:val="0"/>
        </w:rPr>
        <w:t>manere; permanere; constare</w:t>
      </w:r>
      <w:r>
        <w:rPr>
          <w:b/>
          <w:i w:val="0"/>
        </w:rPr>
        <w:t>.</w:t>
      </w:r>
      <w:r>
        <w:rPr>
          <w:b w:val="0"/>
          <w:i w:val="0"/>
        </w:rPr>
        <w:t xml:space="preserve"> Printed forms: </w:t>
      </w:r>
      <w:r>
        <w:rPr>
          <w:b w:val="0"/>
          <w:i/>
        </w:rPr>
        <w:t>constabit</w:t>
      </w:r>
      <w:r>
        <w:rPr>
          <w:b w:val="0"/>
          <w:i w:val="0"/>
        </w:rPr>
        <w:t xml:space="preserve">; </w:t>
      </w:r>
      <w:r>
        <w:rPr>
          <w:b w:val="0"/>
          <w:i/>
        </w:rPr>
        <w:t>constare</w:t>
      </w:r>
      <w:r>
        <w:rPr>
          <w:b w:val="0"/>
          <w:i w:val="0"/>
        </w:rPr>
        <w:t xml:space="preserve">; </w:t>
      </w:r>
      <w:r>
        <w:rPr>
          <w:b w:val="0"/>
          <w:i/>
        </w:rPr>
        <w:t>constat</w:t>
      </w:r>
      <w:r>
        <w:rPr>
          <w:b w:val="0"/>
          <w:i w:val="0"/>
        </w:rPr>
        <w:t xml:space="preserve">; </w:t>
      </w:r>
      <w:r>
        <w:rPr>
          <w:b w:val="0"/>
          <w:i/>
        </w:rPr>
        <w:t>constet</w:t>
      </w:r>
      <w:r>
        <w:rPr>
          <w:b w:val="0"/>
          <w:i w:val="0"/>
        </w:rPr>
        <w:t xml:space="preserve">; </w:t>
      </w:r>
      <w:r>
        <w:rPr>
          <w:b w:val="0"/>
          <w:i/>
        </w:rPr>
        <w:t>maneat</w:t>
      </w:r>
      <w:r>
        <w:rPr>
          <w:b w:val="0"/>
          <w:i w:val="0"/>
        </w:rPr>
        <w:t xml:space="preserve">; </w:t>
      </w:r>
      <w:r>
        <w:rPr>
          <w:b w:val="0"/>
          <w:i/>
        </w:rPr>
        <w:t>manere</w:t>
      </w:r>
      <w:r>
        <w:rPr>
          <w:b w:val="0"/>
          <w:i w:val="0"/>
        </w:rPr>
        <w:t xml:space="preserve">; </w:t>
      </w:r>
      <w:r>
        <w:rPr>
          <w:b w:val="0"/>
          <w:i/>
        </w:rPr>
        <w:t>manet</w:t>
      </w:r>
      <w:r>
        <w:rPr>
          <w:b w:val="0"/>
          <w:i w:val="0"/>
        </w:rPr>
        <w:t xml:space="preserve">; </w:t>
      </w:r>
      <w:r>
        <w:rPr>
          <w:b w:val="0"/>
          <w:i/>
        </w:rPr>
        <w:t>permanebunt</w:t>
      </w:r>
      <w:r>
        <w:rPr>
          <w:b w:val="0"/>
          <w:i w:val="0"/>
        </w:rPr>
        <w:t xml:space="preserve">; </w:t>
      </w:r>
      <w:r>
        <w:rPr>
          <w:b w:val="0"/>
          <w:i/>
        </w:rPr>
        <w:t>permanere</w:t>
      </w:r>
      <w:r>
        <w:rPr>
          <w:b w:val="0"/>
          <w:i w:val="0"/>
        </w:rPr>
        <w:t xml:space="preserve">; </w:t>
      </w:r>
      <w:r>
        <w:rPr>
          <w:b w:val="0"/>
          <w:i/>
        </w:rPr>
        <w:t>permanet</w:t>
      </w:r>
      <w:r>
        <w:rPr>
          <w:b w:val="0"/>
          <w:i w:val="0"/>
        </w:rPr>
        <w:t>.</w:t>
      </w:r>
    </w:p>
    <w:p>
      <w:pPr>
        <w:widowControl/>
      </w:pPr>
      <w:r>
        <w:rPr>
          <w:b w:val="0"/>
          <w:i w:val="0"/>
        </w:rPr>
        <w:t xml:space="preserve">To remain or persist; to stand established, consist, or be evident, according to construction. Persistence of the knowing subject differs from constare used for an inference being established or a body consisting of constituents. References: </w:t>
      </w:r>
      <w:hyperlink w:anchor="passage-vi-1-2">
        <w:r>
          <w:rPr>
            <w:color w:val="000000"/>
          </w:rPr>
          <w:t xml:space="preserve">VI.1.2</w:t>
        </w:r>
      </w:hyperlink>
      <w:r>
        <w:rPr>
          <w:b w:val="0"/>
          <w:i w:val="0"/>
        </w:rPr>
        <w:t xml:space="preserve">, </w:t>
      </w:r>
      <w:hyperlink w:anchor="passage-vi-1-6">
        <w:r>
          <w:rPr>
            <w:color w:val="000000"/>
          </w:rPr>
          <w:t xml:space="preserve">VI.1.6</w:t>
        </w:r>
      </w:hyperlink>
      <w:r>
        <w:rPr>
          <w:b w:val="0"/>
          <w:i w:val="0"/>
        </w:rPr>
        <w:t xml:space="preserve">, </w:t>
      </w:r>
      <w:hyperlink w:anchor="passage-vi-4-5">
        <w:r>
          <w:rPr>
            <w:color w:val="000000"/>
          </w:rPr>
          <w:t xml:space="preserve">VI.4.5</w:t>
        </w:r>
      </w:hyperlink>
      <w:r>
        <w:rPr>
          <w:b w:val="0"/>
          <w:i w:val="0"/>
        </w:rPr>
        <w:t xml:space="preserve">, </w:t>
      </w:r>
      <w:hyperlink w:anchor="passage-vi-7-3">
        <w:r>
          <w:rPr>
            <w:color w:val="000000"/>
          </w:rPr>
          <w:t xml:space="preserve">VI.7.3</w:t>
        </w:r>
      </w:hyperlink>
      <w:r>
        <w:rPr>
          <w:b w:val="0"/>
          <w:i w:val="0"/>
        </w:rPr>
        <w:t xml:space="preserve">, </w:t>
      </w:r>
      <w:hyperlink w:anchor="passage-vi-8-2">
        <w:r>
          <w:rPr>
            <w:color w:val="000000"/>
          </w:rPr>
          <w:t xml:space="preserve">VI.8.2</w:t>
        </w:r>
      </w:hyperlink>
      <w:r>
        <w:rPr>
          <w:b w:val="0"/>
          <w:i w:val="0"/>
        </w:rPr>
        <w:t xml:space="preserve">, </w:t>
      </w:r>
      <w:hyperlink w:anchor="passage-vi-13-6">
        <w:r>
          <w:rPr>
            <w:color w:val="000000"/>
          </w:rPr>
          <w:t xml:space="preserve">VI.13.6</w:t>
        </w:r>
      </w:hyperlink>
      <w:r>
        <w:rPr>
          <w:b w:val="0"/>
          <w:i w:val="0"/>
        </w:rPr>
        <w:t xml:space="preserve">, </w:t>
      </w:r>
      <w:hyperlink w:anchor="passage-vi-13-7">
        <w:r>
          <w:rPr>
            <w:color w:val="000000"/>
          </w:rPr>
          <w:t xml:space="preserve">VI.13.7</w:t>
        </w:r>
      </w:hyperlink>
      <w:r>
        <w:rPr>
          <w:b w:val="0"/>
          <w:i w:val="0"/>
        </w:rPr>
        <w:t xml:space="preserve">, </w:t>
      </w:r>
      <w:hyperlink w:anchor="passage-vi-13-9">
        <w:r>
          <w:rPr>
            <w:color w:val="000000"/>
          </w:rPr>
          <w:t xml:space="preserve">VI.13.9</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995" w:name="latin-record-0754"/>
      <w:bookmarkEnd w:id="995"/>
      <w:r>
        <w:rPr>
          <w:b/>
          <w:i w:val="0"/>
        </w:rPr>
        <w:t>manifestissimus</w:t>
      </w:r>
      <w:r>
        <w:rPr>
          <w:b/>
          <w:i w:val="0"/>
        </w:rPr>
        <w:t>.</w:t>
      </w:r>
      <w:r>
        <w:rPr>
          <w:b w:val="0"/>
          <w:i w:val="0"/>
        </w:rPr>
        <w:t xml:space="preserve"> Printed forms: </w:t>
      </w:r>
      <w:r>
        <w:rPr>
          <w:b w:val="0"/>
          <w:i/>
        </w:rPr>
        <w:t>manifestissima</w:t>
      </w:r>
      <w:r>
        <w:rPr>
          <w:b w:val="0"/>
          <w:i w:val="0"/>
        </w:rPr>
        <w:t>.</w:t>
      </w:r>
    </w:p>
    <w:p>
      <w:pPr>
        <w:widowControl/>
      </w:pPr>
      <w:r>
        <w:rPr>
          <w:b w:val="0"/>
          <w:i w:val="0"/>
        </w:rPr>
        <w:t xml:space="preserve">Most evident in itself in the order of reality. The Aristotelian comparison contrasts intrinsic clarity with the weakness of our intellectual sight.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996" w:name="latin-record-0755"/>
      <w:bookmarkEnd w:id="996"/>
      <w:r>
        <w:rPr>
          <w:b/>
          <w:i w:val="0"/>
        </w:rPr>
        <w:t>manus mentis</w:t>
      </w:r>
      <w:r>
        <w:rPr>
          <w:b/>
          <w:i w:val="0"/>
        </w:rPr>
        <w:t>.</w:t>
      </w:r>
      <w:r>
        <w:rPr>
          <w:b w:val="0"/>
          <w:i w:val="0"/>
        </w:rPr>
        <w:t xml:space="preserve"> Printed forms: </w:t>
      </w:r>
      <w:r>
        <w:rPr>
          <w:b w:val="0"/>
          <w:i/>
        </w:rPr>
        <w:t>manibus</w:t>
      </w:r>
      <w:r>
        <w:rPr>
          <w:b w:val="0"/>
          <w:i w:val="0"/>
        </w:rPr>
        <w:t xml:space="preserve">; </w:t>
      </w:r>
      <w:r>
        <w:rPr>
          <w:b w:val="0"/>
          <w:i/>
        </w:rPr>
        <w:t>mentis nostrae</w:t>
      </w:r>
      <w:r>
        <w:rPr>
          <w:b w:val="0"/>
          <w:i w:val="0"/>
        </w:rPr>
        <w:t>.</w:t>
      </w:r>
    </w:p>
    <w:p>
      <w:pPr>
        <w:widowControl/>
      </w:pPr>
      <w:r>
        <w:rPr>
          <w:b w:val="0"/>
          <w:i w:val="0"/>
        </w:rPr>
        <w:t xml:space="preserve">The mind’s hands, a metaphor for active conceptual fashioning and handling. The present proof is itself an example: it articulates an incorporeal object of thought rather than manipulating a bodily shape. References: </w:t>
      </w:r>
      <w:hyperlink w:anchor="passage-viii-10-2">
        <w:r>
          <w:rPr>
            <w:color w:val="000000"/>
          </w:rPr>
          <w:t xml:space="preserve">VIII.10.2</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997" w:name="latin-record-0756"/>
      <w:bookmarkEnd w:id="997"/>
      <w:r>
        <w:rPr>
          <w:b/>
          <w:i w:val="0"/>
        </w:rPr>
        <w:t>mare</w:t>
      </w:r>
      <w:r>
        <w:rPr>
          <w:b/>
          <w:i w:val="0"/>
        </w:rPr>
        <w:t>.</w:t>
      </w:r>
      <w:r>
        <w:rPr>
          <w:b w:val="0"/>
          <w:i w:val="0"/>
        </w:rPr>
        <w:t xml:space="preserve"> Printed forms: </w:t>
      </w:r>
      <w:r>
        <w:rPr>
          <w:b w:val="0"/>
          <w:i/>
        </w:rPr>
        <w:t>mare</w:t>
      </w:r>
      <w:r>
        <w:rPr>
          <w:b w:val="0"/>
          <w:i w:val="0"/>
        </w:rPr>
        <w:t xml:space="preserve">; </w:t>
      </w:r>
      <w:r>
        <w:rPr>
          <w:b w:val="0"/>
          <w:i/>
        </w:rPr>
        <w:t>mari</w:t>
      </w:r>
      <w:r>
        <w:rPr>
          <w:b w:val="0"/>
          <w:i w:val="0"/>
        </w:rPr>
        <w:t>.</w:t>
      </w:r>
    </w:p>
    <w:p>
      <w:pPr>
        <w:widowControl/>
      </w:pPr>
      <w:r>
        <w:rPr>
          <w:b w:val="0"/>
          <w:i w:val="0"/>
        </w:rPr>
        <w:t xml:space="preserve">The sea, the watery body from which a portion is drawn by solar action. The example follows the same portion through change so that the question of persistence is concrete. References: </w:t>
      </w:r>
      <w:hyperlink w:anchor="passage-v-4-1">
        <w:r>
          <w:rPr>
            <w:color w:val="000000"/>
          </w:rPr>
          <w:t xml:space="preserve">V.4.1</w:t>
        </w:r>
      </w:hyperlink>
      <w:r>
        <w:rPr>
          <w:b w:val="0"/>
          <w:i w:val="0"/>
        </w:rPr>
        <w:t xml:space="preserve">, </w:t>
      </w:r>
      <w:hyperlink w:anchor="passage-v-4-3">
        <w:r>
          <w:rPr>
            <w:color w:val="000000"/>
          </w:rPr>
          <w:t xml:space="preserve">V.4.3</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998" w:name="latin-record-0757"/>
      <w:bookmarkEnd w:id="998"/>
      <w:r>
        <w:rPr>
          <w:b/>
          <w:i w:val="0"/>
        </w:rPr>
        <w:t>materia</w:t>
      </w:r>
      <w:r>
        <w:rPr>
          <w:b/>
          <w:i w:val="0"/>
        </w:rPr>
        <w:t>.</w:t>
      </w:r>
      <w:r>
        <w:rPr>
          <w:b w:val="0"/>
          <w:i w:val="0"/>
        </w:rPr>
        <w:t xml:space="preserve"> Printed forms: </w:t>
      </w:r>
      <w:r>
        <w:rPr>
          <w:b w:val="0"/>
          <w:i/>
        </w:rPr>
        <w:t>materia</w:t>
      </w:r>
      <w:r>
        <w:rPr>
          <w:b w:val="0"/>
          <w:i w:val="0"/>
        </w:rPr>
        <w:t xml:space="preserve">; </w:t>
      </w:r>
      <w:r>
        <w:rPr>
          <w:b w:val="0"/>
          <w:i/>
        </w:rPr>
        <w:t>materiae</w:t>
      </w:r>
      <w:r>
        <w:rPr>
          <w:b w:val="0"/>
          <w:i w:val="0"/>
        </w:rPr>
        <w:t xml:space="preserve">; </w:t>
      </w:r>
      <w:r>
        <w:rPr>
          <w:b w:val="0"/>
          <w:i/>
        </w:rPr>
        <w:t>materiam</w:t>
      </w:r>
      <w:r>
        <w:rPr>
          <w:b w:val="0"/>
          <w:i w:val="0"/>
        </w:rPr>
        <w:t xml:space="preserve">; </w:t>
      </w:r>
      <w:r>
        <w:rPr>
          <w:b w:val="0"/>
          <w:i/>
        </w:rPr>
        <w:t>materiarum</w:t>
      </w:r>
      <w:r>
        <w:rPr>
          <w:b w:val="0"/>
          <w:i w:val="0"/>
        </w:rPr>
        <w:t>.</w:t>
      </w:r>
    </w:p>
    <w:p>
      <w:pPr>
        <w:widowControl/>
      </w:pPr>
      <w:r>
        <w:rPr>
          <w:b w:val="0"/>
          <w:i w:val="0"/>
        </w:rPr>
        <w:t xml:space="preserve">Matter as recipient, common bodily constituent or alleged latent source of soul. The disputed question is not whether soul animates matter, but whether its nature depends upon or originates from material potentiality. References: </w:t>
      </w:r>
      <w:hyperlink w:anchor="passage-vi-1-5">
        <w:r>
          <w:rPr>
            <w:color w:val="000000"/>
          </w:rPr>
          <w:t xml:space="preserve">VI.1.5</w:t>
        </w:r>
      </w:hyperlink>
      <w:r>
        <w:rPr>
          <w:b w:val="0"/>
          <w:i w:val="0"/>
        </w:rPr>
        <w:t xml:space="preserve">, </w:t>
      </w:r>
      <w:hyperlink w:anchor="passage-vi-1-6">
        <w:r>
          <w:rPr>
            <w:color w:val="000000"/>
          </w:rPr>
          <w:t xml:space="preserve">VI.1.6</w:t>
        </w:r>
      </w:hyperlink>
      <w:r>
        <w:rPr>
          <w:b w:val="0"/>
          <w:i w:val="0"/>
        </w:rPr>
        <w:t xml:space="preserve">, </w:t>
      </w:r>
      <w:hyperlink w:anchor="passage-vi-7-1">
        <w:r>
          <w:rPr>
            <w:color w:val="000000"/>
          </w:rPr>
          <w:t xml:space="preserve">VI.7.1</w:t>
        </w:r>
      </w:hyperlink>
      <w:r>
        <w:rPr>
          <w:b w:val="0"/>
          <w:i w:val="0"/>
        </w:rPr>
        <w:t xml:space="preserve">, </w:t>
      </w:r>
      <w:hyperlink w:anchor="passage-vi-7-2">
        <w:r>
          <w:rPr>
            <w:color w:val="000000"/>
          </w:rPr>
          <w:t xml:space="preserve">VI.7.2</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widowControl/>
      </w:pPr>
      <w:r>
        <w:rPr>
          <w:b w:val="0"/>
          <w:i w:val="0"/>
        </w:rPr>
        <w:t xml:space="preserve">The receptive material principle and source of bodily particularization in these arguments. Common nature needs a material foundation in its instances; intellect considers forms apart from it; infinite potency remains subject to God. References: </w:t>
      </w:r>
      <w:hyperlink w:anchor="passage-viii-1-3">
        <w:r>
          <w:rPr>
            <w:color w:val="000000"/>
          </w:rPr>
          <w:t xml:space="preserve">VIII.1.3</w:t>
        </w:r>
      </w:hyperlink>
      <w:r>
        <w:rPr>
          <w:b w:val="0"/>
          <w:i w:val="0"/>
        </w:rPr>
        <w:t xml:space="preserve">, </w:t>
      </w:r>
      <w:hyperlink w:anchor="passage-viii-8-1">
        <w:r>
          <w:rPr>
            <w:color w:val="000000"/>
          </w:rPr>
          <w:t xml:space="preserve">VIII.8.1</w:t>
        </w:r>
      </w:hyperlink>
      <w:r>
        <w:rPr>
          <w:b w:val="0"/>
          <w:i w:val="0"/>
        </w:rPr>
        <w:t xml:space="preserve">,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999" w:name="latin-record-0758"/>
      <w:bookmarkEnd w:id="999"/>
      <w:r>
        <w:rPr>
          <w:b/>
          <w:i w:val="0"/>
        </w:rPr>
        <w:t>materia (additional forms)</w:t>
      </w:r>
      <w:r>
        <w:rPr>
          <w:b/>
          <w:i w:val="0"/>
        </w:rPr>
        <w:t>.</w:t>
      </w:r>
      <w:r>
        <w:rPr>
          <w:b w:val="0"/>
          <w:i w:val="0"/>
        </w:rPr>
        <w:t xml:space="preserve"> Printed forms: </w:t>
      </w:r>
      <w:r>
        <w:rPr>
          <w:b w:val="0"/>
          <w:i/>
        </w:rPr>
        <w:t>materiam</w:t>
      </w:r>
      <w:r>
        <w:rPr>
          <w:b w:val="0"/>
          <w:i w:val="0"/>
        </w:rPr>
        <w:t>.</w:t>
      </w:r>
    </w:p>
    <w:p>
      <w:pPr>
        <w:widowControl/>
      </w:pPr>
      <w:r>
        <w:rPr>
          <w:b w:val="0"/>
          <w:i w:val="0"/>
        </w:rPr>
        <w:t xml:space="preserve">Matter as the receiver from which intellect separates its accounts. Mental separation does not physically destroy material objects; the concluding infinite potency is matter under God rather than an independent rival principle.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4-12">
        <w:r>
          <w:rPr>
            <w:color w:val="000000"/>
          </w:rPr>
          <w:t xml:space="preserve">VIII.4.12</w:t>
        </w:r>
      </w:hyperlink>
      <w:r>
        <w:rPr>
          <w:b w:val="0"/>
          <w:i w:val="0"/>
        </w:rPr>
        <w:t xml:space="preserve">, </w:t>
      </w:r>
      <w:hyperlink w:anchor="passage-viii-11-1">
        <w:r>
          <w:rPr>
            <w:color w:val="000000"/>
          </w:rPr>
          <w:t xml:space="preserve">VIII.11.1</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1000" w:name="latin-record-0759"/>
      <w:bookmarkEnd w:id="1000"/>
      <w:r>
        <w:rPr>
          <w:b/>
          <w:i w:val="0"/>
        </w:rPr>
        <w:t>materia / suscipi / misceri</w:t>
      </w:r>
      <w:r>
        <w:rPr>
          <w:b/>
          <w:i w:val="0"/>
        </w:rPr>
        <w:t>.</w:t>
      </w:r>
      <w:r>
        <w:rPr>
          <w:b w:val="0"/>
          <w:i w:val="0"/>
        </w:rPr>
        <w:t xml:space="preserve"> Printed forms: </w:t>
      </w:r>
      <w:r>
        <w:rPr>
          <w:b w:val="0"/>
          <w:i/>
        </w:rPr>
        <w:t>materia</w:t>
      </w:r>
      <w:r>
        <w:rPr>
          <w:b w:val="0"/>
          <w:i w:val="0"/>
        </w:rPr>
        <w:t xml:space="preserve">; </w:t>
      </w:r>
      <w:r>
        <w:rPr>
          <w:b w:val="0"/>
          <w:i/>
        </w:rPr>
        <w:t>mixtae</w:t>
      </w:r>
      <w:r>
        <w:rPr>
          <w:b w:val="0"/>
          <w:i w:val="0"/>
        </w:rPr>
        <w:t xml:space="preserve">; </w:t>
      </w:r>
      <w:r>
        <w:rPr>
          <w:b w:val="0"/>
          <w:i/>
        </w:rPr>
        <w:t>susceptae</w:t>
      </w:r>
      <w:r>
        <w:rPr>
          <w:b w:val="0"/>
          <w:i w:val="0"/>
        </w:rPr>
        <w:t>.</w:t>
      </w:r>
    </w:p>
    <w:p>
      <w:pPr>
        <w:widowControl/>
      </w:pPr>
      <w:r>
        <w:rPr>
          <w:b w:val="0"/>
          <w:i w:val="0"/>
        </w:rPr>
        <w:t xml:space="preserve">Matter, being received and being mingled. Contrary qualities do not receive one another; they are received in matter and mingled to generate constitution. References: </w:t>
      </w:r>
      <w:hyperlink w:anchor="passage-vii-9-1">
        <w:r>
          <w:rPr>
            <w:color w:val="000000"/>
          </w:rPr>
          <w:t xml:space="preserve">VII.9.1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001" w:name="latin-record-0760"/>
      <w:bookmarkEnd w:id="1001"/>
      <w:r>
        <w:rPr>
          <w:b/>
          <w:i w:val="0"/>
        </w:rPr>
        <w:t>materia communis / propria</w:t>
      </w:r>
      <w:r>
        <w:rPr>
          <w:b/>
          <w:i w:val="0"/>
        </w:rPr>
        <w:t>.</w:t>
      </w:r>
      <w:r>
        <w:rPr>
          <w:b w:val="0"/>
          <w:i w:val="0"/>
        </w:rPr>
        <w:t xml:space="preserve"> Printed forms: </w:t>
      </w:r>
      <w:r>
        <w:rPr>
          <w:b w:val="0"/>
          <w:i/>
        </w:rPr>
        <w:t>Materia quidem communis</w:t>
      </w:r>
      <w:r>
        <w:rPr>
          <w:b w:val="0"/>
          <w:i w:val="0"/>
        </w:rPr>
        <w:t xml:space="preserve">; </w:t>
      </w:r>
      <w:r>
        <w:rPr>
          <w:b w:val="0"/>
          <w:i/>
        </w:rPr>
        <w:t>materia vero propria</w:t>
      </w:r>
      <w:r>
        <w:rPr>
          <w:b w:val="0"/>
          <w:i w:val="0"/>
        </w:rPr>
        <w:t>.</w:t>
      </w:r>
    </w:p>
    <w:p>
      <w:pPr>
        <w:widowControl/>
      </w:pPr>
      <w:r>
        <w:rPr>
          <w:b w:val="0"/>
          <w:i w:val="0"/>
        </w:rPr>
        <w:t xml:space="preserve">Common matter can receive different acts; proper matter is directed to its own act. Soul’s defining essence is used as the latter analogy to exclude migration between species or individual minds. References: </w:t>
      </w:r>
      <w:hyperlink w:anchor="passage-v-11-8">
        <w:r>
          <w:rPr>
            <w:color w:val="000000"/>
          </w:rPr>
          <w:t xml:space="preserve">V.11.8</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1002" w:name="latin-record-0761"/>
      <w:bookmarkEnd w:id="1002"/>
      <w:r>
        <w:rPr>
          <w:b/>
          <w:i w:val="0"/>
        </w:rPr>
        <w:t>materia et forma</w:t>
      </w:r>
      <w:r>
        <w:rPr>
          <w:b/>
          <w:i w:val="0"/>
        </w:rPr>
        <w:t>.</w:t>
      </w:r>
      <w:r>
        <w:rPr>
          <w:b w:val="0"/>
          <w:i w:val="0"/>
        </w:rPr>
        <w:t xml:space="preserve"> Printed forms: </w:t>
      </w:r>
      <w:r>
        <w:rPr>
          <w:b w:val="0"/>
          <w:i/>
        </w:rPr>
        <w:t>anima atque corpore</w:t>
      </w:r>
      <w:r>
        <w:rPr>
          <w:b w:val="0"/>
          <w:i w:val="0"/>
        </w:rPr>
        <w:t xml:space="preserve">; </w:t>
      </w:r>
      <w:r>
        <w:rPr>
          <w:b w:val="0"/>
          <w:i/>
        </w:rPr>
        <w:t>materia et forma</w:t>
      </w:r>
      <w:r>
        <w:rPr>
          <w:b w:val="0"/>
          <w:i w:val="0"/>
        </w:rPr>
        <w:t>.</w:t>
      </w:r>
    </w:p>
    <w:p>
      <w:pPr>
        <w:widowControl/>
      </w:pPr>
      <w:r>
        <w:rPr>
          <w:b w:val="0"/>
          <w:i w:val="0"/>
        </w:rPr>
        <w:t xml:space="preserve">Matter and form, compared with soul and body as analyses of a living composite. The parallel makes soul, not body, occupy the formal constitutive role. References: </w:t>
      </w:r>
      <w:hyperlink w:anchor="passage-vi-7-1">
        <w:r>
          <w:rPr>
            <w:color w:val="000000"/>
          </w:rPr>
          <w:t xml:space="preserve">VI.7.1</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003" w:name="latin-record-0762"/>
      <w:bookmarkEnd w:id="1003"/>
      <w:r>
        <w:rPr>
          <w:b/>
          <w:i w:val="0"/>
        </w:rPr>
        <w:t>materia prima</w:t>
      </w:r>
      <w:r>
        <w:rPr>
          <w:b/>
          <w:i w:val="0"/>
        </w:rPr>
        <w:t>.</w:t>
      </w:r>
      <w:r>
        <w:rPr>
          <w:b w:val="0"/>
          <w:i w:val="0"/>
        </w:rPr>
        <w:t xml:space="preserve"> Printed forms: </w:t>
      </w:r>
      <w:r>
        <w:rPr>
          <w:b w:val="0"/>
          <w:i/>
        </w:rPr>
        <w:t>materia</w:t>
      </w:r>
      <w:r>
        <w:rPr>
          <w:b w:val="0"/>
          <w:i w:val="0"/>
        </w:rPr>
        <w:t xml:space="preserve">; </w:t>
      </w:r>
      <w:r>
        <w:rPr>
          <w:b w:val="0"/>
          <w:i/>
        </w:rPr>
        <w:t>materia prima</w:t>
      </w:r>
      <w:r>
        <w:rPr>
          <w:b w:val="0"/>
          <w:i w:val="0"/>
        </w:rPr>
        <w:t xml:space="preserve">; </w:t>
      </w:r>
      <w:r>
        <w:rPr>
          <w:b w:val="0"/>
          <w:i/>
        </w:rPr>
        <w:t>materiae</w:t>
      </w:r>
      <w:r>
        <w:rPr>
          <w:b w:val="0"/>
          <w:i w:val="0"/>
        </w:rPr>
        <w:t xml:space="preserve">; </w:t>
      </w:r>
      <w:r>
        <w:rPr>
          <w:b w:val="0"/>
          <w:i/>
        </w:rPr>
        <w:t>materiam</w:t>
      </w:r>
      <w:r>
        <w:rPr>
          <w:b w:val="0"/>
          <w:i w:val="0"/>
        </w:rPr>
        <w:t>.</w:t>
      </w:r>
    </w:p>
    <w:p>
      <w:pPr>
        <w:widowControl/>
      </w:pPr>
      <w:r>
        <w:rPr>
          <w:b w:val="0"/>
          <w:i w:val="0"/>
        </w:rPr>
        <w:t xml:space="preserve">Primary matter, the form-neutral underlying potency for changing bodily forms. Its persistence does not make individual composites imperishable; its retained openness helps explain their corruption. References: </w:t>
      </w:r>
      <w:hyperlink w:anchor="passage-v-4-1">
        <w:r>
          <w:rPr>
            <w:color w:val="000000"/>
          </w:rPr>
          <w:t xml:space="preserve">V.4.1</w:t>
        </w:r>
      </w:hyperlink>
      <w:r>
        <w:rPr>
          <w:b w:val="0"/>
          <w:i w:val="0"/>
        </w:rPr>
        <w:t xml:space="preserve">, </w:t>
      </w:r>
      <w:hyperlink w:anchor="passage-v-4-9">
        <w:r>
          <w:rPr>
            <w:color w:val="000000"/>
          </w:rPr>
          <w:t xml:space="preserve">V.4.9</w:t>
        </w:r>
      </w:hyperlink>
      <w:r>
        <w:rPr>
          <w:b w:val="0"/>
          <w:i w:val="0"/>
        </w:rPr>
        <w:t xml:space="preserve">, </w:t>
      </w:r>
      <w:hyperlink w:anchor="passage-v-12-2">
        <w:r>
          <w:rPr>
            <w:color w:val="000000"/>
          </w:rPr>
          <w:t xml:space="preserve">V.12.2</w:t>
        </w:r>
      </w:hyperlink>
      <w:r>
        <w:rPr>
          <w:b w:val="0"/>
          <w:i w:val="0"/>
        </w:rPr>
        <w:t xml:space="preserve">, </w:t>
      </w:r>
      <w:hyperlink w:anchor="passage-v-12-6">
        <w:r>
          <w:rPr>
            <w:color w:val="000000"/>
          </w:rPr>
          <w:t xml:space="preserve">V.12.6</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1004" w:name="latin-record-0763"/>
      <w:bookmarkEnd w:id="1004"/>
      <w:r>
        <w:rPr>
          <w:b/>
          <w:i w:val="0"/>
        </w:rPr>
        <w:t>materia propinqua / secunda</w:t>
      </w:r>
      <w:r>
        <w:rPr>
          <w:b/>
          <w:i w:val="0"/>
        </w:rPr>
        <w:t>.</w:t>
      </w:r>
      <w:r>
        <w:rPr>
          <w:b w:val="0"/>
          <w:i w:val="0"/>
        </w:rPr>
        <w:t xml:space="preserve"> Printed forms: </w:t>
      </w:r>
      <w:r>
        <w:rPr>
          <w:b w:val="0"/>
          <w:i/>
        </w:rPr>
        <w:t>materia non propinqua leoni</w:t>
      </w:r>
      <w:r>
        <w:rPr>
          <w:b w:val="0"/>
          <w:i w:val="0"/>
        </w:rPr>
        <w:t xml:space="preserve">; </w:t>
      </w:r>
      <w:r>
        <w:rPr>
          <w:b w:val="0"/>
          <w:i/>
        </w:rPr>
        <w:t>prima</w:t>
      </w:r>
      <w:r>
        <w:rPr>
          <w:b w:val="0"/>
          <w:i w:val="0"/>
        </w:rPr>
        <w:t xml:space="preserve">; </w:t>
      </w:r>
      <w:r>
        <w:rPr>
          <w:b w:val="0"/>
          <w:i/>
        </w:rPr>
        <w:t>secundaque</w:t>
      </w:r>
      <w:r>
        <w:rPr>
          <w:b w:val="0"/>
          <w:i w:val="0"/>
        </w:rPr>
        <w:t>.</w:t>
      </w:r>
    </w:p>
    <w:p>
      <w:pPr>
        <w:widowControl/>
      </w:pPr>
      <w:r>
        <w:rPr>
          <w:b w:val="0"/>
          <w:i w:val="0"/>
        </w:rPr>
        <w:t xml:space="preserve">Proximate or secondary matter, distinguished from primary matter beneath the determinate organism. The capacity relevant to later corruption is retained at the prime-matter level, not assigned indiscriminately to every already formed organ. References: </w:t>
      </w:r>
      <w:hyperlink w:anchor="passage-v-12-6">
        <w:r>
          <w:rPr>
            <w:color w:val="000000"/>
          </w:rPr>
          <w:t xml:space="preserve">V.12.6</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1005" w:name="latin-record-0764"/>
      <w:bookmarkEnd w:id="1005"/>
      <w:r>
        <w:rPr>
          <w:b/>
          <w:i w:val="0"/>
        </w:rPr>
        <w:t>materia spiritalis</w:t>
      </w:r>
      <w:r>
        <w:rPr>
          <w:b/>
          <w:i w:val="0"/>
        </w:rPr>
        <w:t>.</w:t>
      </w:r>
      <w:r>
        <w:rPr>
          <w:b w:val="0"/>
          <w:i w:val="0"/>
        </w:rPr>
        <w:t xml:space="preserve"> Printed forms: </w:t>
      </w:r>
      <w:r>
        <w:rPr>
          <w:b w:val="0"/>
          <w:i/>
        </w:rPr>
        <w:t>materia spiritalium</w:t>
      </w:r>
      <w:r>
        <w:rPr>
          <w:b w:val="0"/>
          <w:i w:val="0"/>
        </w:rPr>
        <w:t xml:space="preserve">; </w:t>
      </w:r>
      <w:r>
        <w:rPr>
          <w:b w:val="0"/>
          <w:i/>
        </w:rPr>
        <w:t>materiam animi spiritalem</w:t>
      </w:r>
      <w:r>
        <w:rPr>
          <w:b w:val="0"/>
          <w:i w:val="0"/>
        </w:rPr>
        <w:t xml:space="preserve">; </w:t>
      </w:r>
      <w:r>
        <w:rPr>
          <w:b w:val="0"/>
          <w:i/>
        </w:rPr>
        <w:t>spiritalis</w:t>
      </w:r>
      <w:r>
        <w:rPr>
          <w:b w:val="0"/>
          <w:i w:val="0"/>
        </w:rPr>
        <w:t>.</w:t>
      </w:r>
    </w:p>
    <w:p>
      <w:pPr>
        <w:widowControl/>
      </w:pPr>
      <w:r>
        <w:rPr>
          <w:b w:val="0"/>
          <w:i w:val="0"/>
        </w:rPr>
        <w:t xml:space="preserve">Spiritual matter, analogically essence as recipient of spiritual being. The argument rejects treating God as material potency and rejects exchanges of spiritual acts analogous to changing bodily forms. References: </w:t>
      </w:r>
      <w:hyperlink w:anchor="passage-v-11-7">
        <w:r>
          <w:rPr>
            <w:color w:val="000000"/>
          </w:rPr>
          <w:t xml:space="preserve">V.11.7</w:t>
        </w:r>
      </w:hyperlink>
      <w:r>
        <w:rPr>
          <w:b w:val="0"/>
          <w:i w:val="0"/>
        </w:rPr>
        <w:t xml:space="preserve">, </w:t>
      </w:r>
      <w:hyperlink w:anchor="passage-v-11-8">
        <w:r>
          <w:rPr>
            <w:color w:val="000000"/>
          </w:rPr>
          <w:t xml:space="preserve">V.11.8</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1006" w:name="latin-record-0765"/>
      <w:bookmarkEnd w:id="1006"/>
      <w:r>
        <w:rPr>
          <w:b/>
          <w:i w:val="0"/>
        </w:rPr>
        <w:t>materiae potentia</w:t>
      </w:r>
      <w:r>
        <w:rPr>
          <w:b/>
          <w:i w:val="0"/>
        </w:rPr>
        <w:t>.</w:t>
      </w:r>
      <w:r>
        <w:rPr>
          <w:b w:val="0"/>
          <w:i w:val="0"/>
        </w:rPr>
        <w:t xml:space="preserve"> Printed forms: </w:t>
      </w:r>
      <w:r>
        <w:rPr>
          <w:b w:val="0"/>
          <w:i/>
        </w:rPr>
        <w:t>materiae potentia</w:t>
      </w:r>
      <w:r>
        <w:rPr>
          <w:b w:val="0"/>
          <w:i w:val="0"/>
        </w:rPr>
        <w:t>.</w:t>
      </w:r>
    </w:p>
    <w:p>
      <w:pPr>
        <w:widowControl/>
      </w:pPr>
      <w:r>
        <w:rPr>
          <w:b w:val="0"/>
          <w:i w:val="0"/>
        </w:rPr>
        <w:t xml:space="preserve">Matter’s latent capacity from which a form might be drawn. The rejected fourth account permits a producer distinct from temperament but still makes soul arise from material resources.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007" w:name="latin-record-0766"/>
      <w:bookmarkEnd w:id="1007"/>
      <w:r>
        <w:rPr>
          <w:b/>
          <w:i w:val="0"/>
        </w:rPr>
        <w:t>materialis</w:t>
      </w:r>
      <w:r>
        <w:rPr>
          <w:b/>
          <w:i w:val="0"/>
        </w:rPr>
        <w:t>.</w:t>
      </w:r>
      <w:r>
        <w:rPr>
          <w:b w:val="0"/>
          <w:i w:val="0"/>
        </w:rPr>
        <w:t xml:space="preserve"> Printed forms: </w:t>
      </w:r>
      <w:r>
        <w:rPr>
          <w:b w:val="0"/>
          <w:i/>
        </w:rPr>
        <w:t>materialem</w:t>
      </w:r>
      <w:r>
        <w:rPr>
          <w:b w:val="0"/>
          <w:i w:val="0"/>
        </w:rPr>
        <w:t xml:space="preserve">; </w:t>
      </w:r>
      <w:r>
        <w:rPr>
          <w:b w:val="0"/>
          <w:i/>
        </w:rPr>
        <w:t>materialia</w:t>
      </w:r>
      <w:r>
        <w:rPr>
          <w:b w:val="0"/>
          <w:i w:val="0"/>
        </w:rPr>
        <w:t xml:space="preserve">; </w:t>
      </w:r>
      <w:r>
        <w:rPr>
          <w:b w:val="0"/>
          <w:i/>
        </w:rPr>
        <w:t>materialis</w:t>
      </w:r>
      <w:r>
        <w:rPr>
          <w:b w:val="0"/>
          <w:i w:val="0"/>
        </w:rPr>
        <w:t>.</w:t>
      </w:r>
    </w:p>
    <w:p>
      <w:pPr>
        <w:widowControl/>
      </w:pPr>
      <w:r>
        <w:rPr>
          <w:b w:val="0"/>
          <w:i w:val="0"/>
        </w:rPr>
        <w:t xml:space="preserve">Material or bound to matter’s conditions of reception. A material intellect would particularize its forms and confine its operations; the hypothesis is contrasted with universal cognition. References: </w:t>
      </w:r>
      <w:hyperlink w:anchor="passage-viii-8-1">
        <w:r>
          <w:rPr>
            <w:color w:val="000000"/>
          </w:rPr>
          <w:t xml:space="preserve">VIII.8.1</w:t>
        </w:r>
      </w:hyperlink>
      <w:r>
        <w:rPr>
          <w:b w:val="0"/>
          <w:i w:val="0"/>
        </w:rPr>
        <w:t xml:space="preserve">, </w:t>
      </w:r>
      <w:hyperlink w:anchor="passage-viii-10-2">
        <w:r>
          <w:rPr>
            <w:color w:val="000000"/>
          </w:rPr>
          <w:t xml:space="preserve">VIII.10.2</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1008" w:name="latin-record-0767"/>
      <w:bookmarkEnd w:id="1008"/>
      <w:r>
        <w:rPr>
          <w:b/>
          <w:i w:val="0"/>
        </w:rPr>
        <w:t>mathematici / circulus / planum</w:t>
      </w:r>
      <w:r>
        <w:rPr>
          <w:b/>
          <w:i w:val="0"/>
        </w:rPr>
        <w:t>.</w:t>
      </w:r>
      <w:r>
        <w:rPr>
          <w:b w:val="0"/>
          <w:i w:val="0"/>
        </w:rPr>
        <w:t xml:space="preserve"> Printed forms: </w:t>
      </w:r>
      <w:r>
        <w:rPr>
          <w:b w:val="0"/>
          <w:i/>
        </w:rPr>
        <w:t>circuli</w:t>
      </w:r>
      <w:r>
        <w:rPr>
          <w:b w:val="0"/>
          <w:i w:val="0"/>
        </w:rPr>
        <w:t xml:space="preserve">; </w:t>
      </w:r>
      <w:r>
        <w:rPr>
          <w:b w:val="0"/>
          <w:i/>
        </w:rPr>
        <w:t>circulus</w:t>
      </w:r>
      <w:r>
        <w:rPr>
          <w:b w:val="0"/>
          <w:i w:val="0"/>
        </w:rPr>
        <w:t xml:space="preserve">; </w:t>
      </w:r>
      <w:r>
        <w:rPr>
          <w:b w:val="0"/>
          <w:i/>
        </w:rPr>
        <w:t>mathematici</w:t>
      </w:r>
      <w:r>
        <w:rPr>
          <w:b w:val="0"/>
          <w:i w:val="0"/>
        </w:rPr>
        <w:t xml:space="preserve">; </w:t>
      </w:r>
      <w:r>
        <w:rPr>
          <w:b w:val="0"/>
          <w:i/>
        </w:rPr>
        <w:t>plano</w:t>
      </w:r>
      <w:r>
        <w:rPr>
          <w:b w:val="0"/>
          <w:i w:val="0"/>
        </w:rPr>
        <w:t xml:space="preserve">; </w:t>
      </w:r>
      <w:r>
        <w:rPr>
          <w:b w:val="0"/>
          <w:i/>
        </w:rPr>
        <w:t>planum</w:t>
      </w:r>
      <w:r>
        <w:rPr>
          <w:b w:val="0"/>
          <w:i w:val="0"/>
        </w:rPr>
        <w:t>.</w:t>
      </w:r>
    </w:p>
    <w:p>
      <w:pPr>
        <w:widowControl/>
      </w:pPr>
      <w:r>
        <w:rPr>
          <w:b w:val="0"/>
          <w:i w:val="0"/>
        </w:rPr>
        <w:t xml:space="preserve">Mathematicians, an exact circle and an exact plane. Their ideal figures support the contrast between intelligible exactness and sensed material shapes; the rolling claim is historical reasoning, not current mechanics. References: </w:t>
      </w:r>
      <w:hyperlink w:anchor="passage-viii-2-7">
        <w:r>
          <w:rPr>
            <w:color w:val="000000"/>
          </w:rPr>
          <w:t xml:space="preserve">VIII.2.7</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009" w:name="latin-record-0768"/>
      <w:bookmarkEnd w:id="1009"/>
      <w:r>
        <w:rPr>
          <w:b/>
          <w:i w:val="0"/>
        </w:rPr>
        <w:t>maxime quae sunt</w:t>
      </w:r>
      <w:r>
        <w:rPr>
          <w:b/>
          <w:i w:val="0"/>
        </w:rPr>
        <w:t>.</w:t>
      </w:r>
      <w:r>
        <w:rPr>
          <w:b w:val="0"/>
          <w:i w:val="0"/>
        </w:rPr>
        <w:t xml:space="preserve"> Printed forms: </w:t>
      </w:r>
      <w:r>
        <w:rPr>
          <w:b w:val="0"/>
          <w:i/>
        </w:rPr>
        <w:t>maxime quae sunt</w:t>
      </w:r>
      <w:r>
        <w:rPr>
          <w:b w:val="0"/>
          <w:i w:val="0"/>
        </w:rPr>
        <w:t>.</w:t>
      </w:r>
    </w:p>
    <w:p>
      <w:pPr>
        <w:widowControl/>
      </w:pPr>
      <w:r>
        <w:rPr>
          <w:b w:val="0"/>
          <w:i w:val="0"/>
        </w:rPr>
        <w:t xml:space="preserve">Things that are most fully or supremely real. Ficino predicates this of incorporeal intelligibles because they remain unchangeable, not because they are visually largest. References: </w:t>
      </w:r>
      <w:hyperlink w:anchor="passage-v-15-11">
        <w:r>
          <w:rPr>
            <w:color w:val="000000"/>
          </w:rPr>
          <w:t xml:space="preserve">V.15.11</w:t>
        </w:r>
      </w:hyperlink>
      <w:r>
        <w:rPr>
          <w:b w:val="0"/>
          <w:i w:val="0"/>
        </w:rPr>
        <w:t xml:space="preserve">, </w:t>
      </w:r>
      <w:hyperlink w:anchor="passage-v-15-12">
        <w:r>
          <w:rPr>
            <w:color w:val="000000"/>
          </w:rPr>
          <w:t xml:space="preserve">V.15.12</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1010" w:name="latin-record-0769"/>
      <w:bookmarkEnd w:id="1010"/>
      <w:r>
        <w:rPr>
          <w:b/>
          <w:i w:val="0"/>
        </w:rPr>
        <w:t>medicus / cutis / caro</w:t>
      </w:r>
      <w:r>
        <w:rPr>
          <w:b/>
          <w:i w:val="0"/>
        </w:rPr>
        <w:t>.</w:t>
      </w:r>
      <w:r>
        <w:rPr>
          <w:b w:val="0"/>
          <w:i w:val="0"/>
        </w:rPr>
        <w:t xml:space="preserve"> Printed forms: </w:t>
      </w:r>
      <w:r>
        <w:rPr>
          <w:b w:val="0"/>
          <w:i/>
        </w:rPr>
        <w:t>carne</w:t>
      </w:r>
      <w:r>
        <w:rPr>
          <w:b w:val="0"/>
          <w:i w:val="0"/>
        </w:rPr>
        <w:t xml:space="preserve">; </w:t>
      </w:r>
      <w:r>
        <w:rPr>
          <w:b w:val="0"/>
          <w:i/>
        </w:rPr>
        <w:t>caro</w:t>
      </w:r>
      <w:r>
        <w:rPr>
          <w:b w:val="0"/>
          <w:i w:val="0"/>
        </w:rPr>
        <w:t xml:space="preserve">; </w:t>
      </w:r>
      <w:r>
        <w:rPr>
          <w:b w:val="0"/>
          <w:i/>
        </w:rPr>
        <w:t>cutem</w:t>
      </w:r>
      <w:r>
        <w:rPr>
          <w:b w:val="0"/>
          <w:i w:val="0"/>
        </w:rPr>
        <w:t xml:space="preserve">; </w:t>
      </w:r>
      <w:r>
        <w:rPr>
          <w:b w:val="0"/>
          <w:i/>
        </w:rPr>
        <w:t>medicus</w:t>
      </w:r>
      <w:r>
        <w:rPr>
          <w:b w:val="0"/>
          <w:i w:val="0"/>
        </w:rPr>
        <w:t>.</w:t>
      </w:r>
    </w:p>
    <w:p>
      <w:pPr>
        <w:widowControl/>
      </w:pPr>
      <w:r>
        <w:rPr>
          <w:b w:val="0"/>
          <w:i w:val="0"/>
        </w:rPr>
        <w:t xml:space="preserve">Physician, skin and flesh in the example of a cut. The concrete surgery separates physical severing from the soul’s sensing and judgement of it. References: </w:t>
      </w:r>
      <w:hyperlink w:anchor="passage-vii-6-1">
        <w:r>
          <w:rPr>
            <w:color w:val="000000"/>
          </w:rPr>
          <w:t xml:space="preserve">VII.6.1</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1011" w:name="latin-record-0770"/>
      <w:bookmarkEnd w:id="1011"/>
      <w:r>
        <w:rPr>
          <w:b/>
          <w:i w:val="0"/>
        </w:rPr>
        <w:t>mediocriter / gravari / languescere / aegrotare</w:t>
      </w:r>
      <w:r>
        <w:rPr>
          <w:b/>
          <w:i w:val="0"/>
        </w:rPr>
        <w:t>.</w:t>
      </w:r>
      <w:r>
        <w:rPr>
          <w:b w:val="0"/>
          <w:i w:val="0"/>
        </w:rPr>
        <w:t xml:space="preserve"> Printed forms: </w:t>
      </w:r>
      <w:r>
        <w:rPr>
          <w:b w:val="0"/>
          <w:i/>
        </w:rPr>
        <w:t>aegrotat</w:t>
      </w:r>
      <w:r>
        <w:rPr>
          <w:b w:val="0"/>
          <w:i w:val="0"/>
        </w:rPr>
        <w:t xml:space="preserve">; </w:t>
      </w:r>
      <w:r>
        <w:rPr>
          <w:b w:val="0"/>
          <w:i/>
        </w:rPr>
        <w:t>gravatur</w:t>
      </w:r>
      <w:r>
        <w:rPr>
          <w:b w:val="0"/>
          <w:i w:val="0"/>
        </w:rPr>
        <w:t xml:space="preserve">; </w:t>
      </w:r>
      <w:r>
        <w:rPr>
          <w:b w:val="0"/>
          <w:i/>
        </w:rPr>
        <w:t>languescit</w:t>
      </w:r>
      <w:r>
        <w:rPr>
          <w:b w:val="0"/>
          <w:i w:val="0"/>
        </w:rPr>
        <w:t xml:space="preserve">; </w:t>
      </w:r>
      <w:r>
        <w:rPr>
          <w:b w:val="0"/>
          <w:i/>
        </w:rPr>
        <w:t>mediocriter</w:t>
      </w:r>
      <w:r>
        <w:rPr>
          <w:b w:val="0"/>
          <w:i w:val="0"/>
        </w:rPr>
        <w:t xml:space="preserve">; </w:t>
      </w:r>
      <w:r>
        <w:rPr>
          <w:b w:val="0"/>
          <w:i/>
        </w:rPr>
        <w:t>occupatur</w:t>
      </w:r>
      <w:r>
        <w:rPr>
          <w:b w:val="0"/>
          <w:i w:val="0"/>
        </w:rPr>
        <w:t>.</w:t>
      </w:r>
    </w:p>
    <w:p>
      <w:pPr>
        <w:widowControl/>
      </w:pPr>
      <w:r>
        <w:rPr>
          <w:b w:val="0"/>
          <w:i w:val="0"/>
        </w:rPr>
        <w:t xml:space="preserve">Moderate nourishment, burden, weakness, sickness and occupation of attention. The reply concedes that bodily well-being helps mind, then explains this by the soul’s freedom from distracting bodily care. References: </w:t>
      </w:r>
      <w:hyperlink w:anchor="passage-viii-2-5">
        <w:r>
          <w:rPr>
            <w:color w:val="000000"/>
          </w:rPr>
          <w:t xml:space="preserve">VIII.2.5</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012" w:name="latin-record-0771"/>
      <w:bookmarkEnd w:id="1012"/>
      <w:r>
        <w:rPr>
          <w:b/>
          <w:i w:val="0"/>
        </w:rPr>
        <w:t>medium</w:t>
      </w:r>
      <w:r>
        <w:rPr>
          <w:b/>
          <w:i w:val="0"/>
        </w:rPr>
        <w:t>.</w:t>
      </w:r>
      <w:r>
        <w:rPr>
          <w:b w:val="0"/>
          <w:i w:val="0"/>
        </w:rPr>
        <w:t xml:space="preserve"> Printed forms: </w:t>
      </w:r>
      <w:r>
        <w:rPr>
          <w:b w:val="0"/>
          <w:i/>
        </w:rPr>
        <w:t>medio</w:t>
      </w:r>
      <w:r>
        <w:rPr>
          <w:b w:val="0"/>
          <w:i w:val="0"/>
        </w:rPr>
        <w:t xml:space="preserve">; </w:t>
      </w:r>
      <w:r>
        <w:rPr>
          <w:b w:val="0"/>
          <w:i/>
        </w:rPr>
        <w:t>medium</w:t>
      </w:r>
      <w:r>
        <w:rPr>
          <w:b w:val="0"/>
          <w:i w:val="0"/>
        </w:rPr>
        <w:t xml:space="preserve">; </w:t>
      </w:r>
      <w:r>
        <w:rPr>
          <w:b w:val="0"/>
          <w:i/>
        </w:rPr>
        <w:t>medius</w:t>
      </w:r>
      <w:r>
        <w:rPr>
          <w:b w:val="0"/>
          <w:i w:val="0"/>
        </w:rPr>
        <w:t>.</w:t>
      </w:r>
    </w:p>
    <w:p>
      <w:pPr>
        <w:widowControl/>
      </w:pPr>
      <w:r>
        <w:rPr>
          <w:b w:val="0"/>
          <w:i w:val="0"/>
        </w:rPr>
        <w:t xml:space="preserve">A middle term, intermediary or mean between extremes. The causal hierarchy requires mediating degrees, but immediate creation excludes an angelic instrument between soul and God. References: </w:t>
      </w:r>
      <w:hyperlink w:anchor="passage-v-5-1">
        <w:r>
          <w:rPr>
            <w:color w:val="000000"/>
          </w:rPr>
          <w:t xml:space="preserve">V.5.1</w:t>
        </w:r>
      </w:hyperlink>
      <w:r>
        <w:rPr>
          <w:b w:val="0"/>
          <w:i w:val="0"/>
        </w:rPr>
        <w:t xml:space="preserve">, </w:t>
      </w:r>
      <w:hyperlink w:anchor="passage-v-8-4">
        <w:r>
          <w:rPr>
            <w:color w:val="000000"/>
          </w:rPr>
          <w:t xml:space="preserve">V.8.4</w:t>
        </w:r>
      </w:hyperlink>
      <w:r>
        <w:rPr>
          <w:b w:val="0"/>
          <w:i w:val="0"/>
        </w:rPr>
        <w:t xml:space="preserve">, </w:t>
      </w:r>
      <w:hyperlink w:anchor="passage-v-13-14">
        <w:r>
          <w:rPr>
            <w:color w:val="000000"/>
          </w:rPr>
          <w:t xml:space="preserve">V.13.14</w:t>
        </w:r>
      </w:hyperlink>
      <w:r>
        <w:rPr>
          <w:b w:val="0"/>
          <w:i w:val="0"/>
        </w:rPr>
        <w:t xml:space="preserve">, </w:t>
      </w:r>
      <w:hyperlink w:anchor="passage-v-13-17">
        <w:r>
          <w:rPr>
            <w:color w:val="000000"/>
          </w:rPr>
          <w:t xml:space="preserve">V.13.17</w:t>
        </w:r>
      </w:hyperlink>
      <w:r>
        <w:rPr>
          <w:b w:val="0"/>
          <w:i w:val="0"/>
        </w:rPr>
        <w:t xml:space="preserve">, </w:t>
      </w:r>
      <w:hyperlink w:anchor="passage-v-14-7">
        <w:r>
          <w:rPr>
            <w:color w:val="000000"/>
          </w:rPr>
          <w:t xml:space="preserve">V.14.7</w:t>
        </w:r>
      </w:hyperlink>
      <w:r>
        <w:rPr>
          <w:b w:val="0"/>
          <w:i w:val="0"/>
        </w:rPr>
        <w:t xml:space="preserve">. See </w:t>
      </w:r>
      <w:hyperlink w:anchor="instrument-and-creative-mediation">
        <w:r>
          <w:rPr>
            <w:color w:val="000000"/>
          </w:rPr>
          <w:t xml:space="preserve">Instrument and creative mediation</w:t>
        </w:r>
      </w:hyperlink>
      <w:r>
        <w:rPr>
          <w:b w:val="0"/>
          <w:i w:val="0"/>
        </w:rPr>
        <w:t>.</w:t>
      </w:r>
    </w:p>
    <w:p>
      <w:pPr>
        <w:keepNext/>
        <w:widowControl/>
      </w:pPr>
      <w:bookmarkStart w:id="1013" w:name="latin-record-0772"/>
      <w:bookmarkEnd w:id="1013"/>
      <w:r>
        <w:rPr>
          <w:b/>
          <w:i w:val="0"/>
        </w:rPr>
        <w:t>membrum</w:t>
      </w:r>
      <w:r>
        <w:rPr>
          <w:b/>
          <w:i w:val="0"/>
        </w:rPr>
        <w:t>.</w:t>
      </w:r>
      <w:r>
        <w:rPr>
          <w:b w:val="0"/>
          <w:i w:val="0"/>
        </w:rPr>
        <w:t xml:space="preserve"> Printed forms: </w:t>
      </w:r>
      <w:r>
        <w:rPr>
          <w:b w:val="0"/>
          <w:i/>
        </w:rPr>
        <w:t>membra</w:t>
      </w:r>
      <w:r>
        <w:rPr>
          <w:b w:val="0"/>
          <w:i w:val="0"/>
        </w:rPr>
        <w:t xml:space="preserve">; </w:t>
      </w:r>
      <w:r>
        <w:rPr>
          <w:b w:val="0"/>
          <w:i/>
        </w:rPr>
        <w:t>membrorum</w:t>
      </w:r>
      <w:r>
        <w:rPr>
          <w:b w:val="0"/>
          <w:i w:val="0"/>
        </w:rPr>
        <w:t xml:space="preserve">; </w:t>
      </w:r>
      <w:r>
        <w:rPr>
          <w:b w:val="0"/>
          <w:i/>
        </w:rPr>
        <w:t>membrum</w:t>
      </w:r>
      <w:r>
        <w:rPr>
          <w:b w:val="0"/>
          <w:i w:val="0"/>
        </w:rPr>
        <w:t>.</w:t>
      </w:r>
    </w:p>
    <w:p>
      <w:pPr>
        <w:widowControl/>
      </w:pPr>
      <w:r>
        <w:rPr>
          <w:b w:val="0"/>
          <w:i w:val="0"/>
        </w:rPr>
        <w:t xml:space="preserve">A bodily member or limb, serving both as instrument and as a part compared with a whole. Changing fitness of limbs need not change the art using them; comparison of each limb with others requires a single knower. References: </w:t>
      </w:r>
      <w:hyperlink w:anchor="passage-viii-2-3">
        <w:r>
          <w:rPr>
            <w:color w:val="000000"/>
          </w:rPr>
          <w:t xml:space="preserve">VIII.2.3</w:t>
        </w:r>
      </w:hyperlink>
      <w:r>
        <w:rPr>
          <w:b w:val="0"/>
          <w:i w:val="0"/>
        </w:rPr>
        <w:t xml:space="preserve">, </w:t>
      </w:r>
      <w:hyperlink w:anchor="passage-viii-4-10">
        <w:r>
          <w:rPr>
            <w:color w:val="000000"/>
          </w:rPr>
          <w:t xml:space="preserve">VIII.4.10</w:t>
        </w:r>
      </w:hyperlink>
      <w:r>
        <w:rPr>
          <w:b w:val="0"/>
          <w:i w:val="0"/>
        </w:rPr>
        <w:t xml:space="preserve">, </w:t>
      </w:r>
      <w:hyperlink w:anchor="passage-viii-6-1">
        <w:r>
          <w:rPr>
            <w:color w:val="000000"/>
          </w:rPr>
          <w:t xml:space="preserve">VIII.6.1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1014" w:name="latin-record-0773"/>
      <w:bookmarkEnd w:id="1014"/>
      <w:r>
        <w:rPr>
          <w:b/>
          <w:i w:val="0"/>
        </w:rPr>
        <w:t>membrum / particula</w:t>
      </w:r>
      <w:r>
        <w:rPr>
          <w:b/>
          <w:i w:val="0"/>
        </w:rPr>
        <w:t>.</w:t>
      </w:r>
      <w:r>
        <w:rPr>
          <w:b w:val="0"/>
          <w:i w:val="0"/>
        </w:rPr>
        <w:t xml:space="preserve"> Printed forms: </w:t>
      </w:r>
      <w:r>
        <w:rPr>
          <w:b w:val="0"/>
          <w:i/>
        </w:rPr>
        <w:t>membra</w:t>
      </w:r>
      <w:r>
        <w:rPr>
          <w:b w:val="0"/>
          <w:i w:val="0"/>
        </w:rPr>
        <w:t xml:space="preserve">; </w:t>
      </w:r>
      <w:r>
        <w:rPr>
          <w:b w:val="0"/>
          <w:i/>
        </w:rPr>
        <w:t>membris</w:t>
      </w:r>
      <w:r>
        <w:rPr>
          <w:b w:val="0"/>
          <w:i w:val="0"/>
        </w:rPr>
        <w:t xml:space="preserve">; </w:t>
      </w:r>
      <w:r>
        <w:rPr>
          <w:b w:val="0"/>
          <w:i/>
        </w:rPr>
        <w:t>membro</w:t>
      </w:r>
      <w:r>
        <w:rPr>
          <w:b w:val="0"/>
          <w:i w:val="0"/>
        </w:rPr>
        <w:t xml:space="preserve">; </w:t>
      </w:r>
      <w:r>
        <w:rPr>
          <w:b w:val="0"/>
          <w:i/>
        </w:rPr>
        <w:t>particula</w:t>
      </w:r>
      <w:r>
        <w:rPr>
          <w:b w:val="0"/>
          <w:i w:val="0"/>
        </w:rPr>
        <w:t xml:space="preserve">; </w:t>
      </w:r>
      <w:r>
        <w:rPr>
          <w:b w:val="0"/>
          <w:i/>
        </w:rPr>
        <w:t>particulae</w:t>
      </w:r>
      <w:r>
        <w:rPr>
          <w:b w:val="0"/>
          <w:i w:val="0"/>
        </w:rPr>
        <w:t xml:space="preserve">; </w:t>
      </w:r>
      <w:r>
        <w:rPr>
          <w:b w:val="0"/>
          <w:i/>
        </w:rPr>
        <w:t>particulas</w:t>
      </w:r>
      <w:r>
        <w:rPr>
          <w:b w:val="0"/>
          <w:i w:val="0"/>
        </w:rPr>
        <w:t>.</w:t>
      </w:r>
    </w:p>
    <w:p>
      <w:pPr>
        <w:widowControl/>
      </w:pPr>
      <w:r>
        <w:rPr>
          <w:b w:val="0"/>
          <w:i w:val="0"/>
        </w:rPr>
        <w:t xml:space="preserve">Member, organ or small bodily portion. Different organs perform different offices while one soul senses each local event and coordinates assistance. References: </w:t>
      </w:r>
      <w:hyperlink w:anchor="passage-vii-5-1">
        <w:r>
          <w:rPr>
            <w:color w:val="000000"/>
          </w:rPr>
          <w:t xml:space="preserve">VII.5.1</w:t>
        </w:r>
      </w:hyperlink>
      <w:r>
        <w:rPr>
          <w:b w:val="0"/>
          <w:i w:val="0"/>
        </w:rPr>
        <w:t xml:space="preserve">, </w:t>
      </w:r>
      <w:hyperlink w:anchor="passage-vii-5-2">
        <w:r>
          <w:rPr>
            <w:color w:val="000000"/>
          </w:rPr>
          <w:t xml:space="preserve">VII.5.2</w:t>
        </w:r>
      </w:hyperlink>
      <w:r>
        <w:rPr>
          <w:b w:val="0"/>
          <w:i w:val="0"/>
        </w:rPr>
        <w:t xml:space="preserve">,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015" w:name="latin-record-0774"/>
      <w:bookmarkEnd w:id="1015"/>
      <w:r>
        <w:rPr>
          <w:b/>
          <w:i w:val="0"/>
        </w:rPr>
        <w:t>memoria / expectatio</w:t>
      </w:r>
      <w:r>
        <w:rPr>
          <w:b/>
          <w:i w:val="0"/>
        </w:rPr>
        <w:t>.</w:t>
      </w:r>
      <w:r>
        <w:rPr>
          <w:b w:val="0"/>
          <w:i w:val="0"/>
        </w:rPr>
        <w:t xml:space="preserve"> Printed forms: </w:t>
      </w:r>
      <w:r>
        <w:rPr>
          <w:b w:val="0"/>
          <w:i/>
        </w:rPr>
        <w:t>expectationemque</w:t>
      </w:r>
      <w:r>
        <w:rPr>
          <w:b w:val="0"/>
          <w:i w:val="0"/>
        </w:rPr>
        <w:t xml:space="preserve">; </w:t>
      </w:r>
      <w:r>
        <w:rPr>
          <w:b w:val="0"/>
          <w:i/>
        </w:rPr>
        <w:t>memoriam</w:t>
      </w:r>
      <w:r>
        <w:rPr>
          <w:b w:val="0"/>
          <w:i w:val="0"/>
        </w:rPr>
        <w:t>.</w:t>
      </w:r>
    </w:p>
    <w:p>
      <w:pPr>
        <w:widowControl/>
      </w:pPr>
      <w:r>
        <w:rPr>
          <w:b w:val="0"/>
          <w:i w:val="0"/>
        </w:rPr>
        <w:t xml:space="preserve">Memory and expectation, directed respectively toward past and future phases. Their simultaneous presence in the mind unifies phases absent from one another in external motion. References: </w:t>
      </w:r>
      <w:hyperlink w:anchor="passage-v-15-5">
        <w:r>
          <w:rPr>
            <w:color w:val="000000"/>
          </w:rPr>
          <w:t xml:space="preserve">V.15.5</w:t>
        </w:r>
      </w:hyperlink>
      <w:r>
        <w:rPr>
          <w:b w:val="0"/>
          <w:i w:val="0"/>
        </w:rPr>
        <w:t xml:space="preserve">. See </w:t>
      </w:r>
      <w:hyperlink w:anchor="time-memory-and-expectation">
        <w:r>
          <w:rPr>
            <w:color w:val="000000"/>
          </w:rPr>
          <w:t xml:space="preserve">Time, memory and expectation</w:t>
        </w:r>
      </w:hyperlink>
      <w:r>
        <w:rPr>
          <w:b w:val="0"/>
          <w:i w:val="0"/>
        </w:rPr>
        <w:t>.</w:t>
      </w:r>
    </w:p>
    <w:p>
      <w:pPr>
        <w:keepNext/>
        <w:widowControl/>
      </w:pPr>
      <w:bookmarkStart w:id="1016" w:name="latin-record-0775"/>
      <w:bookmarkEnd w:id="1016"/>
      <w:r>
        <w:rPr>
          <w:b/>
          <w:i w:val="0"/>
        </w:rPr>
        <w:t>memoria; agnoscere</w:t>
      </w:r>
      <w:r>
        <w:rPr>
          <w:b/>
          <w:i w:val="0"/>
        </w:rPr>
        <w:t>.</w:t>
      </w:r>
      <w:r>
        <w:rPr>
          <w:b w:val="0"/>
          <w:i w:val="0"/>
        </w:rPr>
        <w:t xml:space="preserve"> Printed forms: </w:t>
      </w:r>
      <w:r>
        <w:rPr>
          <w:b w:val="0"/>
          <w:i/>
        </w:rPr>
        <w:t>agnoscimus</w:t>
      </w:r>
      <w:r>
        <w:rPr>
          <w:b w:val="0"/>
          <w:i w:val="0"/>
        </w:rPr>
        <w:t xml:space="preserve">; </w:t>
      </w:r>
      <w:r>
        <w:rPr>
          <w:b w:val="0"/>
          <w:i/>
        </w:rPr>
        <w:t>decennium</w:t>
      </w:r>
      <w:r>
        <w:rPr>
          <w:b w:val="0"/>
          <w:i w:val="0"/>
        </w:rPr>
        <w:t xml:space="preserve">; </w:t>
      </w:r>
      <w:r>
        <w:rPr>
          <w:b w:val="0"/>
          <w:i/>
        </w:rPr>
        <w:t>memoria</w:t>
      </w:r>
      <w:r>
        <w:rPr>
          <w:b w:val="0"/>
          <w:i w:val="0"/>
        </w:rPr>
        <w:t>.</w:t>
      </w:r>
    </w:p>
    <w:p>
      <w:pPr>
        <w:widowControl/>
      </w:pPr>
      <w:r>
        <w:rPr>
          <w:b w:val="0"/>
          <w:i w:val="0"/>
        </w:rPr>
        <w:t xml:space="preserve">Memory and recognition after ten years. The temporal example requires a preserver identical with the knower that formerly received and judged the image. References: </w:t>
      </w:r>
      <w:hyperlink w:anchor="passage-vi-13-6">
        <w:r>
          <w:rPr>
            <w:color w:val="000000"/>
          </w:rPr>
          <w:t xml:space="preserve">VI.13.6</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1017" w:name="latin-record-0776"/>
      <w:bookmarkEnd w:id="1017"/>
      <w:r>
        <w:rPr>
          <w:b/>
          <w:i w:val="0"/>
        </w:rPr>
        <w:t>memoriter tenere</w:t>
      </w:r>
      <w:r>
        <w:rPr>
          <w:b/>
          <w:i w:val="0"/>
        </w:rPr>
        <w:t>.</w:t>
      </w:r>
      <w:r>
        <w:rPr>
          <w:b w:val="0"/>
          <w:i w:val="0"/>
        </w:rPr>
        <w:t xml:space="preserve"> Printed forms: </w:t>
      </w:r>
      <w:r>
        <w:rPr>
          <w:b w:val="0"/>
          <w:i/>
        </w:rPr>
        <w:t>imagines scientiasque tenere memoriter</w:t>
      </w:r>
      <w:r>
        <w:rPr>
          <w:b w:val="0"/>
          <w:i w:val="0"/>
        </w:rPr>
        <w:t>.</w:t>
      </w:r>
    </w:p>
    <w:p>
      <w:pPr>
        <w:widowControl/>
      </w:pPr>
      <w:r>
        <w:rPr>
          <w:b w:val="0"/>
          <w:i w:val="0"/>
        </w:rPr>
        <w:t xml:space="preserve">To retain images and knowledge in memory. The conclusion links stable cognitive contents to an enduring bearer rather than a soul flowing like body or quality. References: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1018" w:name="latin-record-0777"/>
      <w:bookmarkEnd w:id="1018"/>
      <w:r>
        <w:rPr>
          <w:b/>
          <w:i w:val="0"/>
        </w:rPr>
        <w:t>mens</w:t>
      </w:r>
      <w:r>
        <w:rPr>
          <w:b/>
          <w:i w:val="0"/>
        </w:rPr>
        <w:t>.</w:t>
      </w:r>
      <w:r>
        <w:rPr>
          <w:b w:val="0"/>
          <w:i w:val="0"/>
        </w:rPr>
        <w:t xml:space="preserve"> Printed forms: </w:t>
      </w:r>
      <w:r>
        <w:rPr>
          <w:b w:val="0"/>
          <w:i/>
        </w:rPr>
        <w:t>mens</w:t>
      </w:r>
      <w:r>
        <w:rPr>
          <w:b w:val="0"/>
          <w:i w:val="0"/>
        </w:rPr>
        <w:t xml:space="preserve">; </w:t>
      </w:r>
      <w:r>
        <w:rPr>
          <w:b w:val="0"/>
          <w:i/>
        </w:rPr>
        <w:t>Mens</w:t>
      </w:r>
      <w:r>
        <w:rPr>
          <w:b w:val="0"/>
          <w:i w:val="0"/>
        </w:rPr>
        <w:t xml:space="preserve">; </w:t>
      </w:r>
      <w:r>
        <w:rPr>
          <w:b w:val="0"/>
          <w:i/>
        </w:rPr>
        <w:t>mente</w:t>
      </w:r>
      <w:r>
        <w:rPr>
          <w:b w:val="0"/>
          <w:i w:val="0"/>
        </w:rPr>
        <w:t xml:space="preserve">; </w:t>
      </w:r>
      <w:r>
        <w:rPr>
          <w:b w:val="0"/>
          <w:i/>
        </w:rPr>
        <w:t>mentem</w:t>
      </w:r>
      <w:r>
        <w:rPr>
          <w:b w:val="0"/>
          <w:i w:val="0"/>
        </w:rPr>
        <w:t xml:space="preserve">; </w:t>
      </w:r>
      <w:r>
        <w:rPr>
          <w:b w:val="0"/>
          <w:i/>
        </w:rPr>
        <w:t>mentes</w:t>
      </w:r>
      <w:r>
        <w:rPr>
          <w:b w:val="0"/>
          <w:i w:val="0"/>
        </w:rPr>
        <w:t xml:space="preserve">; </w:t>
      </w:r>
      <w:r>
        <w:rPr>
          <w:b w:val="0"/>
          <w:i/>
        </w:rPr>
        <w:t>menti</w:t>
      </w:r>
      <w:r>
        <w:rPr>
          <w:b w:val="0"/>
          <w:i w:val="0"/>
        </w:rPr>
        <w:t xml:space="preserve">; </w:t>
      </w:r>
      <w:r>
        <w:rPr>
          <w:b w:val="0"/>
          <w:i/>
        </w:rPr>
        <w:t>mentibus</w:t>
      </w:r>
      <w:r>
        <w:rPr>
          <w:b w:val="0"/>
          <w:i w:val="0"/>
        </w:rPr>
        <w:t xml:space="preserve">; </w:t>
      </w:r>
      <w:r>
        <w:rPr>
          <w:b w:val="0"/>
          <w:i/>
        </w:rPr>
        <w:t>mentis</w:t>
      </w:r>
      <w:r>
        <w:rPr>
          <w:b w:val="0"/>
          <w:i w:val="0"/>
        </w:rPr>
        <w:t xml:space="preserve">; </w:t>
      </w:r>
      <w:r>
        <w:rPr>
          <w:b w:val="0"/>
          <w:i/>
        </w:rPr>
        <w:t>mentium</w:t>
      </w:r>
      <w:r>
        <w:rPr>
          <w:b w:val="0"/>
          <w:i w:val="0"/>
        </w:rPr>
        <w:t>.</w:t>
      </w:r>
    </w:p>
    <w:p>
      <w:pPr>
        <w:widowControl/>
      </w:pPr>
      <w:r>
        <w:rPr>
          <w:b w:val="0"/>
          <w:i w:val="0"/>
        </w:rPr>
        <w:t xml:space="preserve">Mind, especially the cognitive power directed to intelligible reality. Mind can inspect a soul obscured by bodily habit, or attend inwardly to its substance; its operations need not be constantly actual. References: </w:t>
      </w:r>
      <w:hyperlink w:anchor="passage-vi-2-2">
        <w:r>
          <w:rPr>
            <w:color w:val="000000"/>
          </w:rPr>
          <w:t xml:space="preserve">VI.2.2</w:t>
        </w:r>
      </w:hyperlink>
      <w:r>
        <w:rPr>
          <w:b w:val="0"/>
          <w:i w:val="0"/>
        </w:rPr>
        <w:t xml:space="preserve">, </w:t>
      </w:r>
      <w:hyperlink w:anchor="passage-vi-2-12">
        <w:r>
          <w:rPr>
            <w:color w:val="000000"/>
          </w:rPr>
          <w:t xml:space="preserve">VI.2.12</w:t>
        </w:r>
      </w:hyperlink>
      <w:r>
        <w:rPr>
          <w:b w:val="0"/>
          <w:i w:val="0"/>
        </w:rPr>
        <w:t xml:space="preserve">, </w:t>
      </w:r>
      <w:hyperlink w:anchor="passage-vi-2-16">
        <w:r>
          <w:rPr>
            <w:color w:val="000000"/>
          </w:rPr>
          <w:t xml:space="preserve">VI.2.16</w:t>
        </w:r>
      </w:hyperlink>
      <w:r>
        <w:rPr>
          <w:b w:val="0"/>
          <w:i w:val="0"/>
        </w:rPr>
        <w:t xml:space="preserve">, </w:t>
      </w:r>
      <w:hyperlink w:anchor="passage-vi-12-12">
        <w:r>
          <w:rPr>
            <w:color w:val="000000"/>
          </w:rPr>
          <w:t xml:space="preserve">VI.12.12</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widowControl/>
      </w:pPr>
      <w:r>
        <w:rPr>
          <w:b w:val="0"/>
          <w:i w:val="0"/>
        </w:rPr>
        <w:t xml:space="preserve">Mind considered as an intellectual subject, power or nature. Its reception, comparison, inward operation and divinely enlarged range are distinguished from bodily extension; it is not identified with the First Cause. References: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9-1">
        <w:r>
          <w:rPr>
            <w:color w:val="000000"/>
          </w:rPr>
          <w:t xml:space="preserve">VIII.9.1</w:t>
        </w:r>
      </w:hyperlink>
      <w:r>
        <w:rPr>
          <w:b w:val="0"/>
          <w:i w:val="0"/>
        </w:rPr>
        <w:t xml:space="preserve">, </w:t>
      </w:r>
      <w:hyperlink w:anchor="passage-viii-15-3">
        <w:r>
          <w:rPr>
            <w:color w:val="000000"/>
          </w:rPr>
          <w:t xml:space="preserve">VIII.15.3</w:t>
        </w:r>
      </w:hyperlink>
      <w:r>
        <w:rPr>
          <w:b w:val="0"/>
          <w:i w:val="0"/>
        </w:rPr>
        <w:t xml:space="preserve">, </w:t>
      </w:r>
      <w:hyperlink w:anchor="passage-viii-16-4">
        <w:r>
          <w:rPr>
            <w:color w:val="000000"/>
          </w:rPr>
          <w:t xml:space="preserve">VIII.16.4</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1019" w:name="latin-record-0778"/>
      <w:bookmarkEnd w:id="1019"/>
      <w:r>
        <w:rPr>
          <w:b/>
          <w:i w:val="0"/>
        </w:rPr>
        <w:t>mens (additional inflections)</w:t>
      </w:r>
      <w:r>
        <w:rPr>
          <w:b/>
          <w:i w:val="0"/>
        </w:rPr>
        <w:t>.</w:t>
      </w:r>
      <w:r>
        <w:rPr>
          <w:b w:val="0"/>
          <w:i w:val="0"/>
        </w:rPr>
        <w:t xml:space="preserve"> Printed forms: </w:t>
      </w:r>
      <w:r>
        <w:rPr>
          <w:b w:val="0"/>
          <w:i/>
        </w:rPr>
        <w:t>menti</w:t>
      </w:r>
      <w:r>
        <w:rPr>
          <w:b w:val="0"/>
          <w:i w:val="0"/>
        </w:rPr>
        <w:t>.</w:t>
      </w:r>
    </w:p>
    <w:p>
      <w:pPr>
        <w:widowControl/>
      </w:pPr>
      <w:r>
        <w:rPr>
          <w:b w:val="0"/>
          <w:i w:val="0"/>
        </w:rPr>
        <w:t xml:space="preserve">To or for mind, the dative form in claims about its objects, contraries and fitting end. The recipient’s intellectual mode governs why bodily forms or evils known by it need not alter it as a body. References: </w:t>
      </w:r>
      <w:hyperlink w:anchor="passage-viii-1-5">
        <w:r>
          <w:rPr>
            <w:color w:val="000000"/>
          </w:rPr>
          <w:t xml:space="preserve">VIII.1.5</w:t>
        </w:r>
      </w:hyperlink>
      <w:r>
        <w:rPr>
          <w:b w:val="0"/>
          <w:i w:val="0"/>
        </w:rPr>
        <w:t xml:space="preserve">, </w:t>
      </w:r>
      <w:hyperlink w:anchor="passage-viii-2-8">
        <w:r>
          <w:rPr>
            <w:color w:val="000000"/>
          </w:rPr>
          <w:t xml:space="preserve">VIII.2.8</w:t>
        </w:r>
      </w:hyperlink>
      <w:r>
        <w:rPr>
          <w:b w:val="0"/>
          <w:i w:val="0"/>
        </w:rPr>
        <w:t xml:space="preserve">, </w:t>
      </w:r>
      <w:hyperlink w:anchor="passage-viii-4-6">
        <w:r>
          <w:rPr>
            <w:color w:val="000000"/>
          </w:rPr>
          <w:t xml:space="preserve">VIII.4.6</w:t>
        </w:r>
      </w:hyperlink>
      <w:r>
        <w:rPr>
          <w:b w:val="0"/>
          <w:i w:val="0"/>
        </w:rPr>
        <w:t xml:space="preserve">, </w:t>
      </w:r>
      <w:hyperlink w:anchor="passage-viii-12-1">
        <w:r>
          <w:rPr>
            <w:color w:val="000000"/>
          </w:rPr>
          <w:t xml:space="preserve">VIII.12.1</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1020" w:name="latin-record-0779"/>
      <w:bookmarkEnd w:id="1020"/>
      <w:r>
        <w:rPr>
          <w:b/>
          <w:i w:val="0"/>
        </w:rPr>
        <w:t>mensura / magnitudo</w:t>
      </w:r>
      <w:r>
        <w:rPr>
          <w:b/>
          <w:i w:val="0"/>
        </w:rPr>
        <w:t>.</w:t>
      </w:r>
      <w:r>
        <w:rPr>
          <w:b w:val="0"/>
          <w:i w:val="0"/>
        </w:rPr>
        <w:t xml:space="preserve"> Printed forms: </w:t>
      </w:r>
      <w:r>
        <w:rPr>
          <w:b w:val="0"/>
          <w:i/>
        </w:rPr>
        <w:t>longitudinem</w:t>
      </w:r>
      <w:r>
        <w:rPr>
          <w:b w:val="0"/>
          <w:i w:val="0"/>
        </w:rPr>
        <w:t xml:space="preserve">; </w:t>
      </w:r>
      <w:r>
        <w:rPr>
          <w:b w:val="0"/>
          <w:i/>
        </w:rPr>
        <w:t>longitudo</w:t>
      </w:r>
      <w:r>
        <w:rPr>
          <w:b w:val="0"/>
          <w:i w:val="0"/>
        </w:rPr>
        <w:t xml:space="preserve">; </w:t>
      </w:r>
      <w:r>
        <w:rPr>
          <w:b w:val="0"/>
          <w:i/>
        </w:rPr>
        <w:t>magnitudine</w:t>
      </w:r>
      <w:r>
        <w:rPr>
          <w:b w:val="0"/>
          <w:i w:val="0"/>
        </w:rPr>
        <w:t xml:space="preserve">; </w:t>
      </w:r>
      <w:r>
        <w:rPr>
          <w:b w:val="0"/>
          <w:i/>
        </w:rPr>
        <w:t>magnitudinem</w:t>
      </w:r>
      <w:r>
        <w:rPr>
          <w:b w:val="0"/>
          <w:i w:val="0"/>
        </w:rPr>
        <w:t xml:space="preserve">; </w:t>
      </w:r>
      <w:r>
        <w:rPr>
          <w:b w:val="0"/>
          <w:i/>
        </w:rPr>
        <w:t>magnitudines</w:t>
      </w:r>
      <w:r>
        <w:rPr>
          <w:b w:val="0"/>
          <w:i w:val="0"/>
        </w:rPr>
        <w:t xml:space="preserve">; </w:t>
      </w:r>
      <w:r>
        <w:rPr>
          <w:b w:val="0"/>
          <w:i/>
        </w:rPr>
        <w:t>magnitudinis</w:t>
      </w:r>
      <w:r>
        <w:rPr>
          <w:b w:val="0"/>
          <w:i w:val="0"/>
        </w:rPr>
        <w:t xml:space="preserve">; </w:t>
      </w:r>
      <w:r>
        <w:rPr>
          <w:b w:val="0"/>
          <w:i/>
        </w:rPr>
        <w:t>magnitudo</w:t>
      </w:r>
      <w:r>
        <w:rPr>
          <w:b w:val="0"/>
          <w:i w:val="0"/>
        </w:rPr>
        <w:t xml:space="preserve">; </w:t>
      </w:r>
      <w:r>
        <w:rPr>
          <w:b w:val="0"/>
          <w:i/>
        </w:rPr>
        <w:t>mensura</w:t>
      </w:r>
      <w:r>
        <w:rPr>
          <w:b w:val="0"/>
          <w:i w:val="0"/>
        </w:rPr>
        <w:t xml:space="preserve">; </w:t>
      </w:r>
      <w:r>
        <w:rPr>
          <w:b w:val="0"/>
          <w:i/>
        </w:rPr>
        <w:t>mensurae</w:t>
      </w:r>
      <w:r>
        <w:rPr>
          <w:b w:val="0"/>
          <w:i w:val="0"/>
        </w:rPr>
        <w:t>.</w:t>
      </w:r>
    </w:p>
    <w:p>
      <w:pPr>
        <w:widowControl/>
      </w:pPr>
      <w:r>
        <w:rPr>
          <w:b w:val="0"/>
          <w:i w:val="0"/>
        </w:rPr>
        <w:t xml:space="preserve">Measured extent or magnitude, as distinct from the nonextended account through which it is known. A point limits magnitude; later mind knows large and small objects without equalling either in bulk. References: </w:t>
      </w:r>
      <w:hyperlink w:anchor="passage-viii-2-5">
        <w:r>
          <w:rPr>
            <w:color w:val="000000"/>
          </w:rPr>
          <w:t xml:space="preserve">VIII.2.5</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12">
        <w:r>
          <w:rPr>
            <w:color w:val="000000"/>
          </w:rPr>
          <w:t xml:space="preserve">VIII.4.12</w:t>
        </w:r>
      </w:hyperlink>
      <w:r>
        <w:rPr>
          <w:b w:val="0"/>
          <w:i w:val="0"/>
        </w:rPr>
        <w:t xml:space="preserve">, </w:t>
      </w:r>
      <w:hyperlink w:anchor="passage-viii-5-1">
        <w:r>
          <w:rPr>
            <w:color w:val="000000"/>
          </w:rPr>
          <w:t xml:space="preserve">VIII.5.1</w:t>
        </w:r>
      </w:hyperlink>
      <w:r>
        <w:rPr>
          <w:b w:val="0"/>
          <w:i w:val="0"/>
        </w:rPr>
        <w:t xml:space="preserve">, </w:t>
      </w:r>
      <w:hyperlink w:anchor="passage-viii-10-2">
        <w:r>
          <w:rPr>
            <w:color w:val="000000"/>
          </w:rPr>
          <w:t xml:space="preserve">VIII.10.2</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1021" w:name="latin-record-0780"/>
      <w:bookmarkEnd w:id="1021"/>
      <w:r>
        <w:rPr>
          <w:b/>
          <w:i w:val="0"/>
        </w:rPr>
        <w:t>mensura / metiri / proportio / aequare</w:t>
      </w:r>
      <w:r>
        <w:rPr>
          <w:b/>
          <w:i w:val="0"/>
        </w:rPr>
        <w:t>.</w:t>
      </w:r>
      <w:r>
        <w:rPr>
          <w:b w:val="0"/>
          <w:i w:val="0"/>
        </w:rPr>
        <w:t xml:space="preserve"> Printed forms: </w:t>
      </w:r>
      <w:r>
        <w:rPr>
          <w:b w:val="0"/>
          <w:i/>
        </w:rPr>
        <w:t>aequatur</w:t>
      </w:r>
      <w:r>
        <w:rPr>
          <w:b w:val="0"/>
          <w:i w:val="0"/>
        </w:rPr>
        <w:t xml:space="preserve">; </w:t>
      </w:r>
      <w:r>
        <w:rPr>
          <w:b w:val="0"/>
          <w:i/>
        </w:rPr>
        <w:t>mensuram</w:t>
      </w:r>
      <w:r>
        <w:rPr>
          <w:b w:val="0"/>
          <w:i w:val="0"/>
        </w:rPr>
        <w:t xml:space="preserve">; </w:t>
      </w:r>
      <w:r>
        <w:rPr>
          <w:b w:val="0"/>
          <w:i/>
        </w:rPr>
        <w:t>metitur</w:t>
      </w:r>
      <w:r>
        <w:rPr>
          <w:b w:val="0"/>
          <w:i w:val="0"/>
        </w:rPr>
        <w:t xml:space="preserve">; </w:t>
      </w:r>
      <w:r>
        <w:rPr>
          <w:b w:val="0"/>
          <w:i/>
        </w:rPr>
        <w:t>proportionem</w:t>
      </w:r>
      <w:r>
        <w:rPr>
          <w:b w:val="0"/>
          <w:i w:val="0"/>
        </w:rPr>
        <w:t>.</w:t>
      </w:r>
    </w:p>
    <w:p>
      <w:pPr>
        <w:widowControl/>
      </w:pPr>
      <w:r>
        <w:rPr>
          <w:b w:val="0"/>
          <w:i w:val="0"/>
        </w:rPr>
        <w:t xml:space="preserve">Measure, measuring, proportion and correspondence in knowing. Ficino argues that apprehending infinity requires a qualified matching power; this premise is not a modern theorem equating a definition with infinite information. References: </w:t>
      </w:r>
      <w:hyperlink w:anchor="passage-viii-16-3">
        <w:r>
          <w:rPr>
            <w:color w:val="000000"/>
          </w:rPr>
          <w:t xml:space="preserve">VIII.16.3</w:t>
        </w:r>
      </w:hyperlink>
      <w:r>
        <w:rPr>
          <w:b w:val="0"/>
          <w:i w:val="0"/>
        </w:rPr>
        <w:t xml:space="preserve">. See </w:t>
      </w:r>
      <w:hyperlink w:anchor="viii-infinity-measure">
        <w:r>
          <w:rPr>
            <w:color w:val="000000"/>
          </w:rPr>
          <w:t xml:space="preserve">Measuring infinity and thinking being and nonbeing</w:t>
        </w:r>
      </w:hyperlink>
      <w:r>
        <w:rPr>
          <w:b w:val="0"/>
          <w:i w:val="0"/>
        </w:rPr>
        <w:t>.</w:t>
      </w:r>
    </w:p>
    <w:p>
      <w:pPr>
        <w:keepNext/>
        <w:widowControl/>
      </w:pPr>
      <w:bookmarkStart w:id="1022" w:name="latin-record-0781"/>
      <w:bookmarkEnd w:id="1022"/>
      <w:r>
        <w:rPr>
          <w:b/>
          <w:i w:val="0"/>
        </w:rPr>
        <w:t>mera forma</w:t>
      </w:r>
      <w:r>
        <w:rPr>
          <w:b/>
          <w:i w:val="0"/>
        </w:rPr>
        <w:t>.</w:t>
      </w:r>
      <w:r>
        <w:rPr>
          <w:b w:val="0"/>
          <w:i w:val="0"/>
        </w:rPr>
        <w:t xml:space="preserve"> Printed forms: </w:t>
      </w:r>
      <w:r>
        <w:rPr>
          <w:b w:val="0"/>
          <w:i/>
        </w:rPr>
        <w:t>mera forma</w:t>
      </w:r>
      <w:r>
        <w:rPr>
          <w:b w:val="0"/>
          <w:i w:val="0"/>
        </w:rPr>
        <w:t xml:space="preserve">; </w:t>
      </w:r>
      <w:r>
        <w:rPr>
          <w:b w:val="0"/>
          <w:i/>
        </w:rPr>
        <w:t>mera quaedam forma</w:t>
      </w:r>
      <w:r>
        <w:rPr>
          <w:b w:val="0"/>
          <w:i w:val="0"/>
        </w:rPr>
        <w:t>.</w:t>
      </w:r>
    </w:p>
    <w:p>
      <w:pPr>
        <w:widowControl/>
      </w:pPr>
      <w:r>
        <w:rPr>
          <w:b w:val="0"/>
          <w:i w:val="0"/>
        </w:rPr>
        <w:t xml:space="preserve">Pure form in the sense of not being composed with or lodged in bodily matter. The soul’s identity with its own form excludes separation from a detachable formal part without excluding efficient creation. References: </w:t>
      </w:r>
      <w:hyperlink w:anchor="passage-v-8-3">
        <w:r>
          <w:rPr>
            <w:color w:val="000000"/>
          </w:rPr>
          <w:t xml:space="preserve">V.8.3</w:t>
        </w:r>
      </w:hyperlink>
      <w:r>
        <w:rPr>
          <w:b w:val="0"/>
          <w:i w:val="0"/>
        </w:rPr>
        <w:t xml:space="preserve">, </w:t>
      </w:r>
      <w:hyperlink w:anchor="passage-v-8-4">
        <w:r>
          <w:rPr>
            <w:color w:val="000000"/>
          </w:rPr>
          <w:t xml:space="preserve">V.8.4</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1023" w:name="latin-record-0782"/>
      <w:bookmarkEnd w:id="1023"/>
      <w:r>
        <w:rPr>
          <w:b/>
          <w:i w:val="0"/>
        </w:rPr>
        <w:t>mergere; suffocare</w:t>
      </w:r>
      <w:r>
        <w:rPr>
          <w:b/>
          <w:i w:val="0"/>
        </w:rPr>
        <w:t>.</w:t>
      </w:r>
      <w:r>
        <w:rPr>
          <w:b w:val="0"/>
          <w:i w:val="0"/>
        </w:rPr>
        <w:t xml:space="preserve"> Printed forms: </w:t>
      </w:r>
      <w:r>
        <w:rPr>
          <w:b w:val="0"/>
          <w:i/>
        </w:rPr>
        <w:t>mergitur</w:t>
      </w:r>
      <w:r>
        <w:rPr>
          <w:b w:val="0"/>
          <w:i w:val="0"/>
        </w:rPr>
        <w:t xml:space="preserve">; </w:t>
      </w:r>
      <w:r>
        <w:rPr>
          <w:b w:val="0"/>
          <w:i/>
        </w:rPr>
        <w:t>suffocatam</w:t>
      </w:r>
      <w:r>
        <w:rPr>
          <w:b w:val="0"/>
          <w:i w:val="0"/>
        </w:rPr>
        <w:t>.</w:t>
      </w:r>
    </w:p>
    <w:p>
      <w:pPr>
        <w:widowControl/>
      </w:pPr>
      <w:r>
        <w:rPr>
          <w:b w:val="0"/>
          <w:i w:val="0"/>
        </w:rPr>
        <w:t xml:space="preserve">To submerge and smother. The verbs intensify the picture of bodily conditions obscuring the soul’s power without becoming its essence. References: </w:t>
      </w:r>
      <w:hyperlink w:anchor="passage-vi-2-2">
        <w:r>
          <w:rPr>
            <w:color w:val="000000"/>
          </w:rPr>
          <w:t xml:space="preserve">VI.2.2</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1024" w:name="latin-record-0783"/>
      <w:bookmarkEnd w:id="1024"/>
      <w:r>
        <w:rPr>
          <w:b/>
          <w:i w:val="0"/>
        </w:rPr>
        <w:t>mersus / affectio / punctum affectionis</w:t>
      </w:r>
      <w:r>
        <w:rPr>
          <w:b/>
          <w:i w:val="0"/>
        </w:rPr>
        <w:t>.</w:t>
      </w:r>
      <w:r>
        <w:rPr>
          <w:b w:val="0"/>
          <w:i w:val="0"/>
        </w:rPr>
        <w:t xml:space="preserve"> Printed forms: </w:t>
      </w:r>
      <w:r>
        <w:rPr>
          <w:b w:val="0"/>
          <w:i/>
        </w:rPr>
        <w:t>affectio</w:t>
      </w:r>
      <w:r>
        <w:rPr>
          <w:b w:val="0"/>
          <w:i w:val="0"/>
        </w:rPr>
        <w:t xml:space="preserve">; </w:t>
      </w:r>
      <w:r>
        <w:rPr>
          <w:b w:val="0"/>
          <w:i/>
        </w:rPr>
        <w:t>mersum</w:t>
      </w:r>
      <w:r>
        <w:rPr>
          <w:b w:val="0"/>
          <w:i w:val="0"/>
        </w:rPr>
        <w:t xml:space="preserve">; </w:t>
      </w:r>
      <w:r>
        <w:rPr>
          <w:b w:val="0"/>
          <w:i/>
        </w:rPr>
        <w:t>punctum quoddam affectionis</w:t>
      </w:r>
      <w:r>
        <w:rPr>
          <w:b w:val="0"/>
          <w:i w:val="0"/>
        </w:rPr>
        <w:t>.</w:t>
      </w:r>
    </w:p>
    <w:p>
      <w:pPr>
        <w:widowControl/>
      </w:pPr>
      <w:r>
        <w:rPr>
          <w:b w:val="0"/>
          <w:i w:val="0"/>
        </w:rPr>
        <w:t xml:space="preserve">An immersed fine body, a bodily condition, or a point of such a condition. All three candidates are rejected as unable to supply the unmodified judging power. References: </w:t>
      </w:r>
      <w:hyperlink w:anchor="passage-vii-6-3">
        <w:r>
          <w:rPr>
            <w:color w:val="000000"/>
          </w:rPr>
          <w:t xml:space="preserve">VII.6.3</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1025" w:name="latin-record-0784"/>
      <w:bookmarkEnd w:id="1025"/>
      <w:r>
        <w:rPr>
          <w:b/>
          <w:i w:val="0"/>
        </w:rPr>
        <w:t>metiri; numerare</w:t>
      </w:r>
      <w:r>
        <w:rPr>
          <w:b/>
          <w:i w:val="0"/>
        </w:rPr>
        <w:t>.</w:t>
      </w:r>
      <w:r>
        <w:rPr>
          <w:b w:val="0"/>
          <w:i w:val="0"/>
        </w:rPr>
        <w:t xml:space="preserve"> Printed forms: </w:t>
      </w:r>
      <w:r>
        <w:rPr>
          <w:b w:val="0"/>
          <w:i/>
        </w:rPr>
        <w:t>metiantur</w:t>
      </w:r>
      <w:r>
        <w:rPr>
          <w:b w:val="0"/>
          <w:i w:val="0"/>
        </w:rPr>
        <w:t xml:space="preserve">; </w:t>
      </w:r>
      <w:r>
        <w:rPr>
          <w:b w:val="0"/>
          <w:i/>
        </w:rPr>
        <w:t>numerentque</w:t>
      </w:r>
      <w:r>
        <w:rPr>
          <w:b w:val="0"/>
          <w:i w:val="0"/>
        </w:rPr>
        <w:t>.</w:t>
      </w:r>
    </w:p>
    <w:p>
      <w:pPr>
        <w:widowControl/>
      </w:pPr>
      <w:r>
        <w:rPr>
          <w:b w:val="0"/>
          <w:i w:val="0"/>
        </w:rPr>
        <w:t xml:space="preserve">To measure and to number. These functions concern form and apply across bodily and incorporeal objects in the mathematical analogy. References: </w:t>
      </w:r>
      <w:hyperlink w:anchor="passage-vi-2-6">
        <w:r>
          <w:rPr>
            <w:color w:val="000000"/>
          </w:rPr>
          <w:t xml:space="preserve">VI.2.6</w:t>
        </w:r>
      </w:hyperlink>
      <w:r>
        <w:rPr>
          <w:b w:val="0"/>
          <w:i w:val="0"/>
        </w:rPr>
        <w:t xml:space="preserve">. See </w:t>
      </w:r>
      <w:hyperlink w:anchor="number-and-spiritual-amplitude">
        <w:r>
          <w:rPr>
            <w:color w:val="000000"/>
          </w:rPr>
          <w:t xml:space="preserve">Number and spiritual amplitude</w:t>
        </w:r>
      </w:hyperlink>
      <w:r>
        <w:rPr>
          <w:b w:val="0"/>
          <w:i w:val="0"/>
        </w:rPr>
        <w:t>.</w:t>
      </w:r>
    </w:p>
    <w:p>
      <w:pPr>
        <w:keepNext/>
        <w:widowControl/>
      </w:pPr>
      <w:bookmarkStart w:id="1026" w:name="latin-record-0785"/>
      <w:bookmarkEnd w:id="1026"/>
      <w:r>
        <w:rPr>
          <w:b/>
          <w:i w:val="0"/>
        </w:rPr>
        <w:t>migrare</w:t>
      </w:r>
      <w:r>
        <w:rPr>
          <w:b/>
          <w:i w:val="0"/>
        </w:rPr>
        <w:t>.</w:t>
      </w:r>
      <w:r>
        <w:rPr>
          <w:b w:val="0"/>
          <w:i w:val="0"/>
        </w:rPr>
        <w:t xml:space="preserve"> Printed forms: </w:t>
      </w:r>
      <w:r>
        <w:rPr>
          <w:b w:val="0"/>
          <w:i/>
        </w:rPr>
        <w:t>migrabit</w:t>
      </w:r>
      <w:r>
        <w:rPr>
          <w:b w:val="0"/>
          <w:i w:val="0"/>
        </w:rPr>
        <w:t>.</w:t>
      </w:r>
    </w:p>
    <w:p>
      <w:pPr>
        <w:widowControl/>
      </w:pPr>
      <w:r>
        <w:rPr>
          <w:b w:val="0"/>
          <w:i w:val="0"/>
        </w:rPr>
        <w:t xml:space="preserve">To migrate from one bearer or identity into another. Ficino expressly denies that the same soul-essence moves from this mind into another within the same species. References: </w:t>
      </w:r>
      <w:hyperlink w:anchor="passage-v-11-8">
        <w:r>
          <w:rPr>
            <w:color w:val="000000"/>
          </w:rPr>
          <w:t xml:space="preserve">V.11.8</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1027" w:name="latin-record-0786"/>
      <w:bookmarkEnd w:id="1027"/>
      <w:r>
        <w:rPr>
          <w:b/>
          <w:i w:val="0"/>
        </w:rPr>
        <w:t>milium / ficus</w:t>
      </w:r>
      <w:r>
        <w:rPr>
          <w:b/>
          <w:i w:val="0"/>
        </w:rPr>
        <w:t>.</w:t>
      </w:r>
      <w:r>
        <w:rPr>
          <w:b w:val="0"/>
          <w:i w:val="0"/>
        </w:rPr>
        <w:t xml:space="preserve"> Printed forms: </w:t>
      </w:r>
      <w:r>
        <w:rPr>
          <w:b w:val="0"/>
          <w:i/>
        </w:rPr>
        <w:t>ficus</w:t>
      </w:r>
      <w:r>
        <w:rPr>
          <w:b w:val="0"/>
          <w:i w:val="0"/>
        </w:rPr>
        <w:t xml:space="preserve">; </w:t>
      </w:r>
      <w:r>
        <w:rPr>
          <w:b w:val="0"/>
          <w:i/>
        </w:rPr>
        <w:t>milio</w:t>
      </w:r>
      <w:r>
        <w:rPr>
          <w:b w:val="0"/>
          <w:i w:val="0"/>
        </w:rPr>
        <w:t>.</w:t>
      </w:r>
    </w:p>
    <w:p>
      <w:pPr>
        <w:widowControl/>
      </w:pPr>
      <w:r>
        <w:rPr>
          <w:b w:val="0"/>
          <w:i w:val="0"/>
        </w:rPr>
        <w:t xml:space="preserve">Millet and figs, a second mismatched pair of seed and product. Ficus later supplies a tree whose determinate nature is explained by form rather than common matter. References: </w:t>
      </w:r>
      <w:hyperlink w:anchor="passage-v-4-3">
        <w:r>
          <w:rPr>
            <w:color w:val="000000"/>
          </w:rPr>
          <w:t xml:space="preserve">V.4.3</w:t>
        </w:r>
      </w:hyperlink>
      <w:r>
        <w:rPr>
          <w:b w:val="0"/>
          <w:i w:val="0"/>
        </w:rPr>
        <w:t xml:space="preserve">, </w:t>
      </w:r>
      <w:hyperlink w:anchor="passage-v-8-1">
        <w:r>
          <w:rPr>
            <w:color w:val="000000"/>
          </w:rPr>
          <w:t xml:space="preserve">V.8.1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028" w:name="latin-record-0787"/>
      <w:bookmarkEnd w:id="1028"/>
      <w:r>
        <w:rPr>
          <w:b/>
          <w:i w:val="0"/>
        </w:rPr>
        <w:t>mitto / ipse viderit</w:t>
      </w:r>
      <w:r>
        <w:rPr>
          <w:b/>
          <w:i w:val="0"/>
        </w:rPr>
        <w:t>.</w:t>
      </w:r>
      <w:r>
        <w:rPr>
          <w:b w:val="0"/>
          <w:i w:val="0"/>
        </w:rPr>
        <w:t xml:space="preserve"> Printed forms: </w:t>
      </w:r>
      <w:r>
        <w:rPr>
          <w:b w:val="0"/>
          <w:i/>
        </w:rPr>
        <w:t>Mitto</w:t>
      </w:r>
      <w:r>
        <w:rPr>
          <w:b w:val="0"/>
          <w:i w:val="0"/>
        </w:rPr>
        <w:t xml:space="preserve">; </w:t>
      </w:r>
      <w:r>
        <w:rPr>
          <w:b w:val="0"/>
          <w:i/>
        </w:rPr>
        <w:t>Sed hoc ipse viderit</w:t>
      </w:r>
      <w:r>
        <w:rPr>
          <w:b w:val="0"/>
          <w:i w:val="0"/>
        </w:rPr>
        <w:t>.</w:t>
      </w:r>
    </w:p>
    <w:p>
      <w:pPr>
        <w:widowControl/>
      </w:pPr>
      <w:r>
        <w:rPr>
          <w:b w:val="0"/>
          <w:i w:val="0"/>
        </w:rPr>
        <w:t xml:space="preserve">I pass over it; let him see to that himself: explicit distancing formulas. They qualify the Proclean claim that soul produces its own essence and prevent the report from becoming Ficino’s unreserved assertion. References: </w:t>
      </w:r>
      <w:hyperlink w:anchor="passage-viii-15-2">
        <w:r>
          <w:rPr>
            <w:color w:val="000000"/>
          </w:rPr>
          <w:t xml:space="preserve">VIII.15.2</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1029" w:name="latin-record-0788"/>
      <w:bookmarkEnd w:id="1029"/>
      <w:r>
        <w:rPr>
          <w:b/>
          <w:i w:val="0"/>
        </w:rPr>
        <w:t>mixtio / miscere</w:t>
      </w:r>
      <w:r>
        <w:rPr>
          <w:b/>
          <w:i w:val="0"/>
        </w:rPr>
        <w:t>.</w:t>
      </w:r>
      <w:r>
        <w:rPr>
          <w:b w:val="0"/>
          <w:i w:val="0"/>
        </w:rPr>
        <w:t xml:space="preserve"> Printed forms: </w:t>
      </w:r>
      <w:r>
        <w:rPr>
          <w:b w:val="0"/>
          <w:i/>
        </w:rPr>
        <w:t>misceantur</w:t>
      </w:r>
      <w:r>
        <w:rPr>
          <w:b w:val="0"/>
          <w:i w:val="0"/>
        </w:rPr>
        <w:t xml:space="preserve">; </w:t>
      </w:r>
      <w:r>
        <w:rPr>
          <w:b w:val="0"/>
          <w:i/>
        </w:rPr>
        <w:t>Misceantur</w:t>
      </w:r>
      <w:r>
        <w:rPr>
          <w:b w:val="0"/>
          <w:i w:val="0"/>
        </w:rPr>
        <w:t xml:space="preserve">; </w:t>
      </w:r>
      <w:r>
        <w:rPr>
          <w:b w:val="0"/>
          <w:i/>
        </w:rPr>
        <w:t>miscentur</w:t>
      </w:r>
      <w:r>
        <w:rPr>
          <w:b w:val="0"/>
          <w:i w:val="0"/>
        </w:rPr>
        <w:t xml:space="preserve">; </w:t>
      </w:r>
      <w:r>
        <w:rPr>
          <w:b w:val="0"/>
          <w:i/>
        </w:rPr>
        <w:t>misceri</w:t>
      </w:r>
      <w:r>
        <w:rPr>
          <w:b w:val="0"/>
          <w:i w:val="0"/>
        </w:rPr>
        <w:t xml:space="preserve">; </w:t>
      </w:r>
      <w:r>
        <w:rPr>
          <w:b w:val="0"/>
          <w:i/>
        </w:rPr>
        <w:t>mixtio</w:t>
      </w:r>
      <w:r>
        <w:rPr>
          <w:b w:val="0"/>
          <w:i w:val="0"/>
        </w:rPr>
        <w:t xml:space="preserve">; </w:t>
      </w:r>
      <w:r>
        <w:rPr>
          <w:b w:val="0"/>
          <w:i/>
        </w:rPr>
        <w:t>mixtionem</w:t>
      </w:r>
      <w:r>
        <w:rPr>
          <w:b w:val="0"/>
          <w:i w:val="0"/>
        </w:rPr>
        <w:t xml:space="preserve">; </w:t>
      </w:r>
      <w:r>
        <w:rPr>
          <w:b w:val="0"/>
          <w:i/>
        </w:rPr>
        <w:t>unita</w:t>
      </w:r>
      <w:r>
        <w:rPr>
          <w:b w:val="0"/>
          <w:i w:val="0"/>
        </w:rPr>
        <w:t>.</w:t>
      </w:r>
    </w:p>
    <w:p>
      <w:pPr>
        <w:widowControl/>
      </w:pPr>
      <w:r>
        <w:rPr>
          <w:b w:val="0"/>
          <w:i w:val="0"/>
        </w:rPr>
        <w:t xml:space="preserve">Mixing or joining, whose cognitive sense must be distinguished from bodily blending. Genus and difference require a real intelligible union; chance mixture and separated spatial placement fail as explanations of knowledge. References: </w:t>
      </w:r>
      <w:hyperlink w:anchor="passage-viii-4-5">
        <w:r>
          <w:rPr>
            <w:color w:val="000000"/>
          </w:rPr>
          <w:t xml:space="preserve">VIII.4.5</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030" w:name="latin-record-0789"/>
      <w:bookmarkEnd w:id="1030"/>
      <w:r>
        <w:rPr>
          <w:b/>
          <w:i w:val="0"/>
        </w:rPr>
        <w:t>mixtus / sincerus</w:t>
      </w:r>
      <w:r>
        <w:rPr>
          <w:b/>
          <w:i w:val="0"/>
        </w:rPr>
        <w:t>.</w:t>
      </w:r>
      <w:r>
        <w:rPr>
          <w:b w:val="0"/>
          <w:i w:val="0"/>
        </w:rPr>
        <w:t xml:space="preserve"> Printed forms: </w:t>
      </w:r>
      <w:r>
        <w:rPr>
          <w:b w:val="0"/>
          <w:i/>
        </w:rPr>
        <w:t>mixta</w:t>
      </w:r>
      <w:r>
        <w:rPr>
          <w:b w:val="0"/>
          <w:i w:val="0"/>
        </w:rPr>
        <w:t xml:space="preserve">; </w:t>
      </w:r>
      <w:r>
        <w:rPr>
          <w:b w:val="0"/>
          <w:i/>
        </w:rPr>
        <w:t>mixtum</w:t>
      </w:r>
      <w:r>
        <w:rPr>
          <w:b w:val="0"/>
          <w:i w:val="0"/>
        </w:rPr>
        <w:t xml:space="preserve">; </w:t>
      </w:r>
      <w:r>
        <w:rPr>
          <w:b w:val="0"/>
          <w:i/>
        </w:rPr>
        <w:t>separatum</w:t>
      </w:r>
      <w:r>
        <w:rPr>
          <w:b w:val="0"/>
          <w:i w:val="0"/>
        </w:rPr>
        <w:t xml:space="preserve">; </w:t>
      </w:r>
      <w:r>
        <w:rPr>
          <w:b w:val="0"/>
          <w:i/>
        </w:rPr>
        <w:t>sincera</w:t>
      </w:r>
      <w:r>
        <w:rPr>
          <w:b w:val="0"/>
          <w:i w:val="0"/>
        </w:rPr>
        <w:t>.</w:t>
      </w:r>
    </w:p>
    <w:p>
      <w:pPr>
        <w:widowControl/>
      </w:pPr>
      <w:r>
        <w:rPr>
          <w:b w:val="0"/>
          <w:i w:val="0"/>
        </w:rPr>
        <w:t xml:space="preserve">Mixed and pure or separate, describing different modes of reception. A form bound to a bodily quality would be restricted like sight through an eye and could not explain grasp of pure incorporeal objects. References: </w:t>
      </w:r>
      <w:hyperlink w:anchor="passage-viii-10-2">
        <w:r>
          <w:rPr>
            <w:color w:val="000000"/>
          </w:rPr>
          <w:t xml:space="preserve">VIII.10.2</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1031" w:name="latin-record-0790"/>
      <w:bookmarkEnd w:id="1031"/>
      <w:r>
        <w:rPr>
          <w:b/>
          <w:i w:val="0"/>
        </w:rPr>
        <w:t>modus / pactum</w:t>
      </w:r>
      <w:r>
        <w:rPr>
          <w:b/>
          <w:i w:val="0"/>
        </w:rPr>
        <w:t>.</w:t>
      </w:r>
      <w:r>
        <w:rPr>
          <w:b w:val="0"/>
          <w:i w:val="0"/>
        </w:rPr>
        <w:t xml:space="preserve"> Printed forms: </w:t>
      </w:r>
      <w:r>
        <w:rPr>
          <w:b w:val="0"/>
          <w:i/>
        </w:rPr>
        <w:t>modo</w:t>
      </w:r>
      <w:r>
        <w:rPr>
          <w:b w:val="0"/>
          <w:i w:val="0"/>
        </w:rPr>
        <w:t xml:space="preserve">; </w:t>
      </w:r>
      <w:r>
        <w:rPr>
          <w:b w:val="0"/>
          <w:i/>
        </w:rPr>
        <w:t>modos</w:t>
      </w:r>
      <w:r>
        <w:rPr>
          <w:b w:val="0"/>
          <w:i w:val="0"/>
        </w:rPr>
        <w:t xml:space="preserve">; </w:t>
      </w:r>
      <w:r>
        <w:rPr>
          <w:b w:val="0"/>
          <w:i/>
        </w:rPr>
        <w:t>modum</w:t>
      </w:r>
      <w:r>
        <w:rPr>
          <w:b w:val="0"/>
          <w:i w:val="0"/>
        </w:rPr>
        <w:t xml:space="preserve">; </w:t>
      </w:r>
      <w:r>
        <w:rPr>
          <w:b w:val="0"/>
          <w:i/>
        </w:rPr>
        <w:t>modus</w:t>
      </w:r>
      <w:r>
        <w:rPr>
          <w:b w:val="0"/>
          <w:i w:val="0"/>
        </w:rPr>
        <w:t xml:space="preserve">; </w:t>
      </w:r>
      <w:r>
        <w:rPr>
          <w:b w:val="0"/>
          <w:i/>
        </w:rPr>
        <w:t>pacto</w:t>
      </w:r>
      <w:r>
        <w:rPr>
          <w:b w:val="0"/>
          <w:i w:val="0"/>
        </w:rPr>
        <w:t>.</w:t>
      </w:r>
    </w:p>
    <w:p>
      <w:pPr>
        <w:widowControl/>
      </w:pPr>
      <w:r>
        <w:rPr>
          <w:b w:val="0"/>
          <w:i w:val="0"/>
        </w:rPr>
        <w:t xml:space="preserve">Manner, mode or way; adverbial modo can also mean only or now, including repeated now-at-one-time/now-at-another alternatives. The comparison of bodily and intellectual reception depends on mode of operation. In VIII.2.3, modo … modo instead marks changing ease and difficulty of an art using its instruments; pacto names the way something occurs.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2-3">
        <w:r>
          <w:rPr>
            <w:color w:val="000000"/>
          </w:rPr>
          <w:t xml:space="preserve">VIII.2.3</w:t>
        </w:r>
      </w:hyperlink>
      <w:r>
        <w:rPr>
          <w:b w:val="0"/>
          <w:i w:val="0"/>
        </w:rPr>
        <w:t xml:space="preserve">, </w:t>
      </w:r>
      <w:hyperlink w:anchor="passage-viii-2-4">
        <w:r>
          <w:rPr>
            <w:color w:val="000000"/>
          </w:rPr>
          <w:t xml:space="preserve">VIII.2.4</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3-4">
        <w:r>
          <w:rPr>
            <w:color w:val="000000"/>
          </w:rPr>
          <w:t xml:space="preserve">VIII.3.4</w:t>
        </w:r>
      </w:hyperlink>
      <w:r>
        <w:rPr>
          <w:b w:val="0"/>
          <w:i w:val="0"/>
        </w:rPr>
        <w:t xml:space="preserve">, </w:t>
      </w:r>
      <w:hyperlink w:anchor="passage-viii-3-6">
        <w:r>
          <w:rPr>
            <w:color w:val="000000"/>
          </w:rPr>
          <w:t xml:space="preserve">VIII.3.6</w:t>
        </w:r>
      </w:hyperlink>
      <w:r>
        <w:rPr>
          <w:b w:val="0"/>
          <w:i w:val="0"/>
        </w:rPr>
        <w:t xml:space="preserve">, </w:t>
      </w:r>
      <w:hyperlink w:anchor="passage-viii-3-8">
        <w:r>
          <w:rPr>
            <w:color w:val="000000"/>
          </w:rPr>
          <w:t xml:space="preserve">VIII.3.8</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6">
        <w:r>
          <w:rPr>
            <w:color w:val="000000"/>
          </w:rPr>
          <w:t xml:space="preserve">VIII.4.6</w:t>
        </w:r>
      </w:hyperlink>
      <w:r>
        <w:rPr>
          <w:b w:val="0"/>
          <w:i w:val="0"/>
        </w:rPr>
        <w:t xml:space="preserve">, </w:t>
      </w:r>
      <w:hyperlink w:anchor="passage-viii-4-9">
        <w:r>
          <w:rPr>
            <w:color w:val="000000"/>
          </w:rPr>
          <w:t xml:space="preserve">VIII.4.9</w:t>
        </w:r>
      </w:hyperlink>
      <w:r>
        <w:rPr>
          <w:b w:val="0"/>
          <w:i w:val="0"/>
        </w:rPr>
        <w:t xml:space="preserve">, </w:t>
      </w:r>
      <w:hyperlink w:anchor="passage-viii-4-11">
        <w:r>
          <w:rPr>
            <w:color w:val="000000"/>
          </w:rPr>
          <w:t xml:space="preserve">VIII.4.11</w:t>
        </w:r>
      </w:hyperlink>
      <w:r>
        <w:rPr>
          <w:b w:val="0"/>
          <w:i w:val="0"/>
        </w:rPr>
        <w:t xml:space="preserve">, </w:t>
      </w:r>
      <w:hyperlink w:anchor="passage-viii-4-13">
        <w:r>
          <w:rPr>
            <w:color w:val="000000"/>
          </w:rPr>
          <w:t xml:space="preserve">VIII.4.13</w:t>
        </w:r>
      </w:hyperlink>
      <w:r>
        <w:rPr>
          <w:b w:val="0"/>
          <w:i w:val="0"/>
        </w:rPr>
        <w:t xml:space="preserve">,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2-1">
        <w:r>
          <w:rPr>
            <w:color w:val="000000"/>
          </w:rPr>
          <w:t xml:space="preserve">VIII.12.1</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1032" w:name="latin-record-0791"/>
      <w:bookmarkEnd w:id="1032"/>
      <w:r>
        <w:rPr>
          <w:b/>
          <w:i w:val="0"/>
        </w:rPr>
        <w:t>modus essendi</w:t>
      </w:r>
      <w:r>
        <w:rPr>
          <w:b/>
          <w:i w:val="0"/>
        </w:rPr>
        <w:t>.</w:t>
      </w:r>
      <w:r>
        <w:rPr>
          <w:b w:val="0"/>
          <w:i w:val="0"/>
        </w:rPr>
        <w:t xml:space="preserve"> Printed forms: </w:t>
      </w:r>
      <w:r>
        <w:rPr>
          <w:b w:val="0"/>
          <w:i/>
        </w:rPr>
        <w:t>essendi modos</w:t>
      </w:r>
      <w:r>
        <w:rPr>
          <w:b w:val="0"/>
          <w:i w:val="0"/>
        </w:rPr>
        <w:t xml:space="preserve">; </w:t>
      </w:r>
      <w:r>
        <w:rPr>
          <w:b w:val="0"/>
          <w:i/>
        </w:rPr>
        <w:t>essendi modum</w:t>
      </w:r>
      <w:r>
        <w:rPr>
          <w:b w:val="0"/>
          <w:i w:val="0"/>
        </w:rPr>
        <w:t xml:space="preserve">; </w:t>
      </w:r>
      <w:r>
        <w:rPr>
          <w:b w:val="0"/>
          <w:i/>
        </w:rPr>
        <w:t>essendi naturam</w:t>
      </w:r>
      <w:r>
        <w:rPr>
          <w:b w:val="0"/>
          <w:i w:val="0"/>
        </w:rPr>
        <w:t>.</w:t>
      </w:r>
    </w:p>
    <w:p>
      <w:pPr>
        <w:widowControl/>
      </w:pPr>
      <w:r>
        <w:rPr>
          <w:b w:val="0"/>
          <w:i w:val="0"/>
        </w:rPr>
        <w:t xml:space="preserve">A mode of being, the way in which an already dependent being is determinate. Secondary agents produce this or that qualification by divine power rather than produce being from nothing. References: </w:t>
      </w:r>
      <w:hyperlink w:anchor="passage-v-13-2">
        <w:r>
          <w:rPr>
            <w:color w:val="000000"/>
          </w:rPr>
          <w:t xml:space="preserve">V.13.2</w:t>
        </w:r>
      </w:hyperlink>
      <w:r>
        <w:rPr>
          <w:b w:val="0"/>
          <w:i w:val="0"/>
        </w:rPr>
        <w:t xml:space="preserve">, </w:t>
      </w:r>
      <w:hyperlink w:anchor="passage-v-13-5">
        <w:r>
          <w:rPr>
            <w:color w:val="000000"/>
          </w:rPr>
          <w:t xml:space="preserve">V.13.5</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1033" w:name="latin-record-0792"/>
      <w:bookmarkEnd w:id="1033"/>
      <w:r>
        <w:rPr>
          <w:b/>
          <w:i w:val="0"/>
        </w:rPr>
        <w:t>moles</w:t>
      </w:r>
      <w:r>
        <w:rPr>
          <w:b/>
          <w:i w:val="0"/>
        </w:rPr>
        <w:t>.</w:t>
      </w:r>
      <w:r>
        <w:rPr>
          <w:b w:val="0"/>
          <w:i w:val="0"/>
        </w:rPr>
        <w:t xml:space="preserve"> Printed forms: </w:t>
      </w:r>
      <w:r>
        <w:rPr>
          <w:b w:val="0"/>
          <w:i/>
        </w:rPr>
        <w:t>mole</w:t>
      </w:r>
      <w:r>
        <w:rPr>
          <w:b w:val="0"/>
          <w:i w:val="0"/>
        </w:rPr>
        <w:t xml:space="preserve">; </w:t>
      </w:r>
      <w:r>
        <w:rPr>
          <w:b w:val="0"/>
          <w:i/>
        </w:rPr>
        <w:t>molibus</w:t>
      </w:r>
      <w:r>
        <w:rPr>
          <w:b w:val="0"/>
          <w:i w:val="0"/>
        </w:rPr>
        <w:t xml:space="preserve">; </w:t>
      </w:r>
      <w:r>
        <w:rPr>
          <w:b w:val="0"/>
          <w:i/>
        </w:rPr>
        <w:t>molis</w:t>
      </w:r>
      <w:r>
        <w:rPr>
          <w:b w:val="0"/>
          <w:i w:val="0"/>
        </w:rPr>
        <w:t>.</w:t>
      </w:r>
    </w:p>
    <w:p>
      <w:pPr>
        <w:widowControl/>
      </w:pPr>
      <w:r>
        <w:rPr>
          <w:b w:val="0"/>
          <w:i w:val="0"/>
        </w:rPr>
        <w:t xml:space="preserve">Bodily bulk or mass. Form and unity rather than sheer bulk explain a body’s degree of organization, and greater psychic power need not mean spatial swelling. References: </w:t>
      </w:r>
      <w:hyperlink w:anchor="passage-v-15-6">
        <w:r>
          <w:rPr>
            <w:color w:val="000000"/>
          </w:rPr>
          <w:t xml:space="preserve">V.15.6</w:t>
        </w:r>
      </w:hyperlink>
      <w:r>
        <w:rPr>
          <w:b w:val="0"/>
          <w:i w:val="0"/>
        </w:rPr>
        <w:t xml:space="preserve">,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034" w:name="latin-record-0793"/>
      <w:bookmarkEnd w:id="1034"/>
      <w:r>
        <w:rPr>
          <w:b/>
          <w:i w:val="0"/>
        </w:rPr>
        <w:t>moles / distendere</w:t>
      </w:r>
      <w:r>
        <w:rPr>
          <w:b/>
          <w:i w:val="0"/>
        </w:rPr>
        <w:t>.</w:t>
      </w:r>
      <w:r>
        <w:rPr>
          <w:b w:val="0"/>
          <w:i w:val="0"/>
        </w:rPr>
        <w:t xml:space="preserve"> Printed forms: </w:t>
      </w:r>
      <w:r>
        <w:rPr>
          <w:b w:val="0"/>
          <w:i/>
        </w:rPr>
        <w:t>distentus</w:t>
      </w:r>
      <w:r>
        <w:rPr>
          <w:b w:val="0"/>
          <w:i w:val="0"/>
        </w:rPr>
        <w:t xml:space="preserve">; </w:t>
      </w:r>
      <w:r>
        <w:rPr>
          <w:b w:val="0"/>
          <w:i/>
        </w:rPr>
        <w:t>mole</w:t>
      </w:r>
      <w:r>
        <w:rPr>
          <w:b w:val="0"/>
          <w:i w:val="0"/>
        </w:rPr>
        <w:t>.</w:t>
      </w:r>
    </w:p>
    <w:p>
      <w:pPr>
        <w:widowControl/>
      </w:pPr>
      <w:r>
        <w:rPr>
          <w:b w:val="0"/>
          <w:i w:val="0"/>
        </w:rPr>
        <w:t xml:space="preserve">Bodily bulk and being spread out through it. The hypothesis of an inward sight extended in bulk is granted temporarily so that its consequences can be tested. References: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1035" w:name="latin-record-0794"/>
      <w:bookmarkEnd w:id="1035"/>
      <w:r>
        <w:rPr>
          <w:b/>
          <w:i w:val="0"/>
        </w:rPr>
        <w:t>moles; affectio</w:t>
      </w:r>
      <w:r>
        <w:rPr>
          <w:b/>
          <w:i w:val="0"/>
        </w:rPr>
        <w:t>.</w:t>
      </w:r>
      <w:r>
        <w:rPr>
          <w:b w:val="0"/>
          <w:i w:val="0"/>
        </w:rPr>
        <w:t xml:space="preserve"> Printed forms: </w:t>
      </w:r>
      <w:r>
        <w:rPr>
          <w:b w:val="0"/>
          <w:i/>
        </w:rPr>
        <w:t>affectionem</w:t>
      </w:r>
      <w:r>
        <w:rPr>
          <w:b w:val="0"/>
          <w:i w:val="0"/>
        </w:rPr>
        <w:t xml:space="preserve">; </w:t>
      </w:r>
      <w:r>
        <w:rPr>
          <w:b w:val="0"/>
          <w:i/>
        </w:rPr>
        <w:t>molem</w:t>
      </w:r>
      <w:r>
        <w:rPr>
          <w:b w:val="0"/>
          <w:i w:val="0"/>
        </w:rPr>
        <w:t xml:space="preserve">; </w:t>
      </w:r>
      <w:r>
        <w:rPr>
          <w:b w:val="0"/>
          <w:i/>
        </w:rPr>
        <w:t>superadditam</w:t>
      </w:r>
      <w:r>
        <w:rPr>
          <w:b w:val="0"/>
          <w:i w:val="0"/>
        </w:rPr>
        <w:t>.</w:t>
      </w:r>
    </w:p>
    <w:p>
      <w:pPr>
        <w:widowControl/>
      </w:pPr>
      <w:r>
        <w:rPr>
          <w:b w:val="0"/>
          <w:i w:val="0"/>
        </w:rPr>
        <w:t xml:space="preserve">Corporeal bulk and an added qualifying condition. A body’s being this particular kind requires more than the common matter of all bodies. References: </w:t>
      </w:r>
      <w:hyperlink w:anchor="passage-vi-4-4">
        <w:r>
          <w:rPr>
            <w:color w:val="000000"/>
          </w:rPr>
          <w:t xml:space="preserve">VI.4.4</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1036" w:name="latin-record-0795"/>
      <w:bookmarkEnd w:id="1036"/>
      <w:r>
        <w:rPr>
          <w:b/>
          <w:i w:val="0"/>
        </w:rPr>
        <w:t>mollities / ariditas</w:t>
      </w:r>
      <w:r>
        <w:rPr>
          <w:b/>
          <w:i w:val="0"/>
        </w:rPr>
        <w:t>.</w:t>
      </w:r>
      <w:r>
        <w:rPr>
          <w:b w:val="0"/>
          <w:i w:val="0"/>
        </w:rPr>
        <w:t xml:space="preserve"> Printed forms: </w:t>
      </w:r>
      <w:r>
        <w:rPr>
          <w:b w:val="0"/>
          <w:i/>
        </w:rPr>
        <w:t>ariditatem</w:t>
      </w:r>
      <w:r>
        <w:rPr>
          <w:b w:val="0"/>
          <w:i w:val="0"/>
        </w:rPr>
        <w:t xml:space="preserve">; </w:t>
      </w:r>
      <w:r>
        <w:rPr>
          <w:b w:val="0"/>
          <w:i/>
        </w:rPr>
        <w:t>mollitiem</w:t>
      </w:r>
      <w:r>
        <w:rPr>
          <w:b w:val="0"/>
          <w:i w:val="0"/>
        </w:rPr>
        <w:t>.</w:t>
      </w:r>
    </w:p>
    <w:p>
      <w:pPr>
        <w:widowControl/>
      </w:pPr>
      <w:r>
        <w:rPr>
          <w:b w:val="0"/>
          <w:i w:val="0"/>
        </w:rPr>
        <w:t xml:space="preserve">Excessive softness or dryness that impedes bodily firmness and flexibility. These are limitations of limbs as instruments; they do not establish a quantitatively altered intellectual substance.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1037" w:name="latin-record-0796"/>
      <w:bookmarkEnd w:id="1037"/>
      <w:r>
        <w:rPr>
          <w:b/>
          <w:i w:val="0"/>
        </w:rPr>
        <w:t>mollities appetitus</w:t>
      </w:r>
      <w:r>
        <w:rPr>
          <w:b/>
          <w:i w:val="0"/>
        </w:rPr>
        <w:t>.</w:t>
      </w:r>
      <w:r>
        <w:rPr>
          <w:b w:val="0"/>
          <w:i w:val="0"/>
        </w:rPr>
        <w:t xml:space="preserve"> Printed forms: </w:t>
      </w:r>
      <w:r>
        <w:rPr>
          <w:b w:val="0"/>
          <w:i/>
        </w:rPr>
        <w:t>mollitiem</w:t>
      </w:r>
      <w:r>
        <w:rPr>
          <w:b w:val="0"/>
          <w:i w:val="0"/>
        </w:rPr>
        <w:t>.</w:t>
      </w:r>
    </w:p>
    <w:p>
      <w:pPr>
        <w:widowControl/>
      </w:pPr>
      <w:r>
        <w:rPr>
          <w:b w:val="0"/>
          <w:i w:val="0"/>
        </w:rPr>
        <w:t xml:space="preserve">Enfeebling softness of appetite, the moral impediment countered by temperance. This moral sense in the virtue definitions differs from excessive bodily softness of limbs in the earlier art-and-instruments comparison. References: </w:t>
      </w:r>
      <w:hyperlink w:anchor="passage-viii-3-1">
        <w:r>
          <w:rPr>
            <w:color w:val="000000"/>
          </w:rPr>
          <w:t xml:space="preserve">VIII.3.1</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038" w:name="latin-record-0797"/>
      <w:bookmarkEnd w:id="1038"/>
      <w:r>
        <w:rPr>
          <w:b/>
          <w:i w:val="0"/>
        </w:rPr>
        <w:t>momentum</w:t>
      </w:r>
      <w:r>
        <w:rPr>
          <w:b/>
          <w:i w:val="0"/>
        </w:rPr>
        <w:t>.</w:t>
      </w:r>
      <w:r>
        <w:rPr>
          <w:b w:val="0"/>
          <w:i w:val="0"/>
        </w:rPr>
        <w:t xml:space="preserve"> Printed forms: </w:t>
      </w:r>
      <w:r>
        <w:rPr>
          <w:b w:val="0"/>
          <w:i/>
        </w:rPr>
        <w:t>momento</w:t>
      </w:r>
      <w:r>
        <w:rPr>
          <w:b w:val="0"/>
          <w:i w:val="0"/>
        </w:rPr>
        <w:t>.</w:t>
      </w:r>
    </w:p>
    <w:p>
      <w:pPr>
        <w:widowControl/>
      </w:pPr>
      <w:r>
        <w:rPr>
          <w:b w:val="0"/>
          <w:i w:val="0"/>
        </w:rPr>
        <w:t xml:space="preserve">An instant without a bodily interval of traversal. Ficino uses the instantaneous diffusion of light as part of the case for its noncorporeal mode. References: </w:t>
      </w:r>
      <w:hyperlink w:anchor="passage-vi-2-22">
        <w:r>
          <w:rPr>
            <w:color w:val="000000"/>
          </w:rPr>
          <w:t xml:space="preserve">VI.2.22</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1039" w:name="latin-record-0798"/>
      <w:bookmarkEnd w:id="1039"/>
      <w:r>
        <w:rPr>
          <w:b/>
          <w:i w:val="0"/>
        </w:rPr>
        <w:t>mores; doctrina; tempus</w:t>
      </w:r>
      <w:r>
        <w:rPr>
          <w:b/>
          <w:i w:val="0"/>
        </w:rPr>
        <w:t>.</w:t>
      </w:r>
      <w:r>
        <w:rPr>
          <w:b w:val="0"/>
          <w:i w:val="0"/>
        </w:rPr>
        <w:t xml:space="preserve"> Printed forms: </w:t>
      </w:r>
      <w:r>
        <w:rPr>
          <w:b w:val="0"/>
          <w:i/>
        </w:rPr>
        <w:t>doctrinarum</w:t>
      </w:r>
      <w:r>
        <w:rPr>
          <w:b w:val="0"/>
          <w:i w:val="0"/>
        </w:rPr>
        <w:t xml:space="preserve">; </w:t>
      </w:r>
      <w:r>
        <w:rPr>
          <w:b w:val="0"/>
          <w:i/>
        </w:rPr>
        <w:t>morum</w:t>
      </w:r>
      <w:r>
        <w:rPr>
          <w:b w:val="0"/>
          <w:i w:val="0"/>
        </w:rPr>
        <w:t xml:space="preserve">; </w:t>
      </w:r>
      <w:r>
        <w:rPr>
          <w:b w:val="0"/>
          <w:i/>
        </w:rPr>
        <w:t>temporis</w:t>
      </w:r>
      <w:r>
        <w:rPr>
          <w:b w:val="0"/>
          <w:i w:val="0"/>
        </w:rPr>
        <w:t>.</w:t>
      </w:r>
    </w:p>
    <w:p>
      <w:pPr>
        <w:widowControl/>
      </w:pPr>
      <w:r>
        <w:rPr>
          <w:b w:val="0"/>
          <w:i w:val="0"/>
        </w:rPr>
        <w:t xml:space="preserve">Character, learning and time as dimensions of education. All three qualify the ascent; intellectual information alone is not the whole discipline. References: </w:t>
      </w:r>
      <w:hyperlink w:anchor="passage-vi-2-17">
        <w:r>
          <w:rPr>
            <w:color w:val="000000"/>
          </w:rPr>
          <w:t xml:space="preserve">VI.2.17</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040" w:name="latin-record-0799"/>
      <w:bookmarkEnd w:id="1040"/>
      <w:r>
        <w:rPr>
          <w:b/>
          <w:i w:val="0"/>
        </w:rPr>
        <w:t>moribundus; carcer</w:t>
      </w:r>
      <w:r>
        <w:rPr>
          <w:b/>
          <w:i w:val="0"/>
        </w:rPr>
        <w:t>.</w:t>
      </w:r>
      <w:r>
        <w:rPr>
          <w:b w:val="0"/>
          <w:i w:val="0"/>
        </w:rPr>
        <w:t xml:space="preserve"> Printed forms: </w:t>
      </w:r>
      <w:r>
        <w:rPr>
          <w:b w:val="0"/>
          <w:i/>
        </w:rPr>
        <w:t>carcere caeco</w:t>
      </w:r>
      <w:r>
        <w:rPr>
          <w:b w:val="0"/>
          <w:i w:val="0"/>
        </w:rPr>
        <w:t xml:space="preserve">; </w:t>
      </w:r>
      <w:r>
        <w:rPr>
          <w:b w:val="0"/>
          <w:i/>
        </w:rPr>
        <w:t>moribundi corporis</w:t>
      </w:r>
      <w:r>
        <w:rPr>
          <w:b w:val="0"/>
          <w:i w:val="0"/>
        </w:rPr>
        <w:t>.</w:t>
      </w:r>
    </w:p>
    <w:p>
      <w:pPr>
        <w:widowControl/>
      </w:pPr>
      <w:r>
        <w:rPr>
          <w:b w:val="0"/>
          <w:i w:val="0"/>
        </w:rPr>
        <w:t xml:space="preserve">A dying body and blind prison. Ficino’s stronger mortal image maps the visible world onto the cave without reducing </w:t>
      </w:r>
      <w:r>
        <w:t>“</w:t>
      </w:r>
      <w:r>
        <w:rPr>
          <w:b w:val="0"/>
          <w:i w:val="0"/>
        </w:rPr>
        <w:t>dying</w:t>
      </w:r>
      <w:r>
        <w:t>”</w:t>
      </w:r>
      <w:r>
        <w:rPr>
          <w:b w:val="0"/>
          <w:i w:val="0"/>
        </w:rPr>
        <w:t xml:space="preserve"> to a neutral bodily location. References: </w:t>
      </w:r>
      <w:hyperlink w:anchor="passage-vi-2-16">
        <w:r>
          <w:rPr>
            <w:color w:val="000000"/>
          </w:rPr>
          <w:t xml:space="preserve">VI.2.16</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041" w:name="latin-record-0800"/>
      <w:bookmarkEnd w:id="1041"/>
      <w:r>
        <w:rPr>
          <w:b/>
          <w:i w:val="0"/>
        </w:rPr>
        <w:t>mors</w:t>
      </w:r>
      <w:r>
        <w:rPr>
          <w:b/>
          <w:i w:val="0"/>
        </w:rPr>
        <w:t>.</w:t>
      </w:r>
      <w:r>
        <w:rPr>
          <w:b w:val="0"/>
          <w:i w:val="0"/>
        </w:rPr>
        <w:t xml:space="preserve"> Printed forms: </w:t>
      </w:r>
      <w:r>
        <w:rPr>
          <w:b w:val="0"/>
          <w:i/>
        </w:rPr>
        <w:t>mors</w:t>
      </w:r>
      <w:r>
        <w:rPr>
          <w:b w:val="0"/>
          <w:i w:val="0"/>
        </w:rPr>
        <w:t xml:space="preserve">; </w:t>
      </w:r>
      <w:r>
        <w:rPr>
          <w:b w:val="0"/>
          <w:i/>
        </w:rPr>
        <w:t>morte</w:t>
      </w:r>
      <w:r>
        <w:rPr>
          <w:b w:val="0"/>
          <w:i w:val="0"/>
        </w:rPr>
        <w:t xml:space="preserve">; </w:t>
      </w:r>
      <w:r>
        <w:rPr>
          <w:b w:val="0"/>
          <w:i/>
        </w:rPr>
        <w:t>mortem</w:t>
      </w:r>
      <w:r>
        <w:rPr>
          <w:b w:val="0"/>
          <w:i w:val="0"/>
        </w:rPr>
        <w:t xml:space="preserve">; </w:t>
      </w:r>
      <w:r>
        <w:rPr>
          <w:b w:val="0"/>
          <w:i/>
        </w:rPr>
        <w:t>mortis</w:t>
      </w:r>
      <w:r>
        <w:rPr>
          <w:b w:val="0"/>
          <w:i w:val="0"/>
        </w:rPr>
        <w:t>.</w:t>
      </w:r>
    </w:p>
    <w:p>
      <w:pPr>
        <w:widowControl/>
      </w:pPr>
      <w:r>
        <w:rPr>
          <w:b w:val="0"/>
          <w:i w:val="0"/>
        </w:rPr>
        <w:t xml:space="preserve">Death, clarified as deprivation or nonbeing rather than a literal received object. The significant claim is that no death-bearing quality can enter soul and terminate its life. References: </w:t>
      </w:r>
      <w:hyperlink w:anchor="passage-v-12-12">
        <w:r>
          <w:rPr>
            <w:color w:val="000000"/>
          </w:rPr>
          <w:t xml:space="preserve">V.12.12</w:t>
        </w:r>
      </w:hyperlink>
      <w:r>
        <w:rPr>
          <w:b w:val="0"/>
          <w:i w:val="0"/>
        </w:rPr>
        <w:t xml:space="preserve">, </w:t>
      </w:r>
      <w:hyperlink w:anchor="passage-v-14-3">
        <w:r>
          <w:rPr>
            <w:color w:val="000000"/>
          </w:rPr>
          <w:t xml:space="preserve">V.14.3</w:t>
        </w:r>
      </w:hyperlink>
      <w:r>
        <w:rPr>
          <w:b w:val="0"/>
          <w:i w:val="0"/>
        </w:rPr>
        <w:t xml:space="preserve">, </w:t>
      </w:r>
      <w:hyperlink w:anchor="passage-v-14-6">
        <w:r>
          <w:rPr>
            <w:color w:val="000000"/>
          </w:rPr>
          <w:t xml:space="preserve">V.14.6</w:t>
        </w:r>
      </w:hyperlink>
      <w:r>
        <w:rPr>
          <w:b w:val="0"/>
          <w:i w:val="0"/>
        </w:rPr>
        <w:t xml:space="preserve">,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1042" w:name="latin-record-0801"/>
      <w:bookmarkEnd w:id="1042"/>
      <w:r>
        <w:rPr>
          <w:b/>
          <w:i w:val="0"/>
        </w:rPr>
        <w:t>mortalis / corruptibilis</w:t>
      </w:r>
      <w:r>
        <w:rPr>
          <w:b/>
          <w:i w:val="0"/>
        </w:rPr>
        <w:t>.</w:t>
      </w:r>
      <w:r>
        <w:rPr>
          <w:b w:val="0"/>
          <w:i w:val="0"/>
        </w:rPr>
        <w:t xml:space="preserve"> Printed forms: </w:t>
      </w:r>
      <w:r>
        <w:rPr>
          <w:b w:val="0"/>
          <w:i/>
        </w:rPr>
        <w:t>corruptibile</w:t>
      </w:r>
      <w:r>
        <w:rPr>
          <w:b w:val="0"/>
          <w:i w:val="0"/>
        </w:rPr>
        <w:t xml:space="preserve">; </w:t>
      </w:r>
      <w:r>
        <w:rPr>
          <w:b w:val="0"/>
          <w:i/>
        </w:rPr>
        <w:t>corruptibilem</w:t>
      </w:r>
      <w:r>
        <w:rPr>
          <w:b w:val="0"/>
          <w:i w:val="0"/>
        </w:rPr>
        <w:t xml:space="preserve">; </w:t>
      </w:r>
      <w:r>
        <w:rPr>
          <w:b w:val="0"/>
          <w:i/>
        </w:rPr>
        <w:t>corruptibilia</w:t>
      </w:r>
      <w:r>
        <w:rPr>
          <w:b w:val="0"/>
          <w:i w:val="0"/>
        </w:rPr>
        <w:t xml:space="preserve">; </w:t>
      </w:r>
      <w:r>
        <w:rPr>
          <w:b w:val="0"/>
          <w:i/>
        </w:rPr>
        <w:t>corruptibilis</w:t>
      </w:r>
      <w:r>
        <w:rPr>
          <w:b w:val="0"/>
          <w:i w:val="0"/>
        </w:rPr>
        <w:t xml:space="preserve">; </w:t>
      </w:r>
      <w:r>
        <w:rPr>
          <w:b w:val="0"/>
          <w:i/>
        </w:rPr>
        <w:t>mortalem</w:t>
      </w:r>
      <w:r>
        <w:rPr>
          <w:b w:val="0"/>
          <w:i w:val="0"/>
        </w:rPr>
        <w:t xml:space="preserve">; </w:t>
      </w:r>
      <w:r>
        <w:rPr>
          <w:b w:val="0"/>
          <w:i/>
        </w:rPr>
        <w:t>mortalibus</w:t>
      </w:r>
      <w:r>
        <w:rPr>
          <w:b w:val="0"/>
          <w:i w:val="0"/>
        </w:rPr>
        <w:t xml:space="preserve">; </w:t>
      </w:r>
      <w:r>
        <w:rPr>
          <w:b w:val="0"/>
          <w:i/>
        </w:rPr>
        <w:t>mortalis</w:t>
      </w:r>
      <w:r>
        <w:rPr>
          <w:b w:val="0"/>
          <w:i w:val="0"/>
        </w:rPr>
        <w:t>.</w:t>
      </w:r>
    </w:p>
    <w:p>
      <w:pPr>
        <w:widowControl/>
      </w:pPr>
      <w:r>
        <w:rPr>
          <w:b w:val="0"/>
          <w:i w:val="0"/>
        </w:rPr>
        <w:t xml:space="preserve">Subject to death or corruption, in contrast with the intellect’s alleged proper nature. The predicates describe bodies and also a rejected view of mind; the completed immortality inference must be distinguished from the hypothesis it refutes. References: </w:t>
      </w:r>
      <w:hyperlink w:anchor="passage-viii-1-5">
        <w:r>
          <w:rPr>
            <w:color w:val="000000"/>
          </w:rPr>
          <w:t xml:space="preserve">VIII.1.5</w:t>
        </w:r>
      </w:hyperlink>
      <w:r>
        <w:rPr>
          <w:b w:val="0"/>
          <w:i w:val="0"/>
        </w:rPr>
        <w:t xml:space="preserve">, </w:t>
      </w:r>
      <w:hyperlink w:anchor="passage-viii-2-8">
        <w:r>
          <w:rPr>
            <w:color w:val="000000"/>
          </w:rPr>
          <w:t xml:space="preserve">VIII.2.8</w:t>
        </w:r>
      </w:hyperlink>
      <w:r>
        <w:rPr>
          <w:b w:val="0"/>
          <w:i w:val="0"/>
        </w:rPr>
        <w:t xml:space="preserve">, </w:t>
      </w:r>
      <w:hyperlink w:anchor="passage-viii-3-8">
        <w:r>
          <w:rPr>
            <w:color w:val="000000"/>
          </w:rPr>
          <w:t xml:space="preserve">VIII.3.8</w:t>
        </w:r>
      </w:hyperlink>
      <w:r>
        <w:rPr>
          <w:b w:val="0"/>
          <w:i w:val="0"/>
        </w:rPr>
        <w:t xml:space="preserve">, </w:t>
      </w:r>
      <w:hyperlink w:anchor="passage-viii-12-1">
        <w:r>
          <w:rPr>
            <w:color w:val="000000"/>
          </w:rPr>
          <w:t xml:space="preserve">VIII.12.1</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1043" w:name="latin-record-0802"/>
      <w:bookmarkEnd w:id="1043"/>
      <w:r>
        <w:rPr>
          <w:b/>
          <w:i w:val="0"/>
        </w:rPr>
        <w:t>mortifer</w:t>
      </w:r>
      <w:r>
        <w:rPr>
          <w:b/>
          <w:i w:val="0"/>
        </w:rPr>
        <w:t>.</w:t>
      </w:r>
      <w:r>
        <w:rPr>
          <w:b w:val="0"/>
          <w:i w:val="0"/>
        </w:rPr>
        <w:t xml:space="preserve"> Printed forms: </w:t>
      </w:r>
      <w:r>
        <w:rPr>
          <w:b w:val="0"/>
          <w:i/>
        </w:rPr>
        <w:t>mortifera</w:t>
      </w:r>
      <w:r>
        <w:rPr>
          <w:b w:val="0"/>
          <w:i w:val="0"/>
        </w:rPr>
        <w:t xml:space="preserve">; </w:t>
      </w:r>
      <w:r>
        <w:rPr>
          <w:b w:val="0"/>
          <w:i/>
        </w:rPr>
        <w:t>mortiferam</w:t>
      </w:r>
      <w:r>
        <w:rPr>
          <w:b w:val="0"/>
          <w:i w:val="0"/>
        </w:rPr>
        <w:t>.</w:t>
      </w:r>
    </w:p>
    <w:p>
      <w:pPr>
        <w:widowControl/>
      </w:pPr>
      <w:r>
        <w:rPr>
          <w:b w:val="0"/>
          <w:i w:val="0"/>
        </w:rPr>
        <w:t xml:space="preserve">Death-bearing or destructive of life. The Epicurean challenge and Ficino’s answer concern whether such a quality can enter an immaterial essence. References: </w:t>
      </w:r>
      <w:hyperlink w:anchor="passage-v-14-3">
        <w:r>
          <w:rPr>
            <w:color w:val="000000"/>
          </w:rPr>
          <w:t xml:space="preserve">V.14.3</w:t>
        </w:r>
      </w:hyperlink>
      <w:r>
        <w:rPr>
          <w:b w:val="0"/>
          <w:i w:val="0"/>
        </w:rPr>
        <w:t xml:space="preserve">,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1044" w:name="latin-record-0803"/>
      <w:bookmarkEnd w:id="1044"/>
      <w:r>
        <w:rPr>
          <w:b/>
          <w:i w:val="0"/>
        </w:rPr>
        <w:t>mos / consuetudo</w:t>
      </w:r>
      <w:r>
        <w:rPr>
          <w:b/>
          <w:i w:val="0"/>
        </w:rPr>
        <w:t>.</w:t>
      </w:r>
      <w:r>
        <w:rPr>
          <w:b w:val="0"/>
          <w:i w:val="0"/>
        </w:rPr>
        <w:t xml:space="preserve"> Printed forms: </w:t>
      </w:r>
      <w:r>
        <w:rPr>
          <w:b w:val="0"/>
          <w:i/>
        </w:rPr>
        <w:t>consuetudine</w:t>
      </w:r>
      <w:r>
        <w:rPr>
          <w:b w:val="0"/>
          <w:i w:val="0"/>
        </w:rPr>
        <w:t xml:space="preserve">; </w:t>
      </w:r>
      <w:r>
        <w:rPr>
          <w:b w:val="0"/>
          <w:i/>
        </w:rPr>
        <w:t>more</w:t>
      </w:r>
      <w:r>
        <w:rPr>
          <w:b w:val="0"/>
          <w:i w:val="0"/>
        </w:rPr>
        <w:t xml:space="preserve">; </w:t>
      </w:r>
      <w:r>
        <w:rPr>
          <w:b w:val="0"/>
          <w:i/>
        </w:rPr>
        <w:t>mores</w:t>
      </w:r>
      <w:r>
        <w:rPr>
          <w:b w:val="0"/>
          <w:i w:val="0"/>
        </w:rPr>
        <w:t xml:space="preserve">; </w:t>
      </w:r>
      <w:r>
        <w:rPr>
          <w:b w:val="0"/>
          <w:i/>
        </w:rPr>
        <w:t>moribus</w:t>
      </w:r>
      <w:r>
        <w:rPr>
          <w:b w:val="0"/>
          <w:i w:val="0"/>
        </w:rPr>
        <w:t>.</w:t>
      </w:r>
    </w:p>
    <w:p>
      <w:pPr>
        <w:widowControl/>
      </w:pPr>
      <w:r>
        <w:rPr>
          <w:b w:val="0"/>
          <w:i w:val="0"/>
        </w:rPr>
        <w:t xml:space="preserve">Conduct, custom and habituated character. Moral virtues are prepared through repeated practice, even though the fulfilled rational orientation is described as an indivisible attainment. References: </w:t>
      </w:r>
      <w:hyperlink w:anchor="passage-viii-3-1">
        <w:r>
          <w:rPr>
            <w:color w:val="000000"/>
          </w:rPr>
          <w:t xml:space="preserve">VIII.3.1</w:t>
        </w:r>
      </w:hyperlink>
      <w:r>
        <w:rPr>
          <w:b w:val="0"/>
          <w:i w:val="0"/>
        </w:rPr>
        <w:t xml:space="preserve">, </w:t>
      </w:r>
      <w:hyperlink w:anchor="passage-viii-3-3">
        <w:r>
          <w:rPr>
            <w:color w:val="000000"/>
          </w:rPr>
          <w:t xml:space="preserve">VIII.3.3</w:t>
        </w:r>
      </w:hyperlink>
      <w:r>
        <w:rPr>
          <w:b w:val="0"/>
          <w:i w:val="0"/>
        </w:rPr>
        <w:t xml:space="preserve">, </w:t>
      </w:r>
      <w:hyperlink w:anchor="passage-viii-15-2">
        <w:r>
          <w:rPr>
            <w:color w:val="000000"/>
          </w:rPr>
          <w:t xml:space="preserve">VIII.15.2</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1045" w:name="latin-record-0804"/>
      <w:bookmarkEnd w:id="1045"/>
      <w:r>
        <w:rPr>
          <w:b/>
          <w:i w:val="0"/>
        </w:rPr>
        <w:t>motio</w:t>
      </w:r>
      <w:r>
        <w:rPr>
          <w:b/>
          <w:i w:val="0"/>
        </w:rPr>
        <w:t>.</w:t>
      </w:r>
      <w:r>
        <w:rPr>
          <w:b w:val="0"/>
          <w:i w:val="0"/>
        </w:rPr>
        <w:t xml:space="preserve"> Printed forms: </w:t>
      </w:r>
      <w:r>
        <w:rPr>
          <w:b w:val="0"/>
          <w:i/>
        </w:rPr>
        <w:t>motionem</w:t>
      </w:r>
      <w:r>
        <w:rPr>
          <w:b w:val="0"/>
          <w:i w:val="0"/>
        </w:rPr>
        <w:t xml:space="preserve">; </w:t>
      </w:r>
      <w:r>
        <w:rPr>
          <w:b w:val="0"/>
          <w:i/>
        </w:rPr>
        <w:t>motionis</w:t>
      </w:r>
      <w:r>
        <w:rPr>
          <w:b w:val="0"/>
          <w:i w:val="0"/>
        </w:rPr>
        <w:t>.</w:t>
      </w:r>
    </w:p>
    <w:p>
      <w:pPr>
        <w:widowControl/>
      </w:pPr>
      <w:r>
        <w:rPr>
          <w:b w:val="0"/>
          <w:i w:val="0"/>
        </w:rPr>
        <w:t xml:space="preserve">Movement, particularly as an effect requiring a primary moving source. The fountain of motion supplies the movement of matter and remains distinct from its instrumental qualities. References: </w:t>
      </w:r>
      <w:hyperlink w:anchor="passage-v-1-2">
        <w:r>
          <w:rPr>
            <w:color w:val="000000"/>
          </w:rPr>
          <w:t xml:space="preserve">V.1.2</w:t>
        </w:r>
      </w:hyperlink>
      <w:r>
        <w:rPr>
          <w:b w:val="0"/>
          <w:i w:val="0"/>
        </w:rPr>
        <w:t xml:space="preserve">, </w:t>
      </w:r>
      <w:hyperlink w:anchor="passage-v-4-10">
        <w:r>
          <w:rPr>
            <w:color w:val="000000"/>
          </w:rPr>
          <w:t xml:space="preserve">V.4.10</w:t>
        </w:r>
      </w:hyperlink>
      <w:r>
        <w:rPr>
          <w:b w:val="0"/>
          <w:i w:val="0"/>
        </w:rPr>
        <w:t xml:space="preserve">, </w:t>
      </w:r>
      <w:hyperlink w:anchor="passage-v-15-5">
        <w:r>
          <w:rPr>
            <w:color w:val="000000"/>
          </w:rPr>
          <w:t xml:space="preserve">V.15.5</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046" w:name="latin-record-0805"/>
      <w:bookmarkEnd w:id="1046"/>
      <w:r>
        <w:rPr>
          <w:b/>
          <w:i w:val="0"/>
        </w:rPr>
        <w:t>motor</w:t>
      </w:r>
      <w:r>
        <w:rPr>
          <w:b/>
          <w:i w:val="0"/>
        </w:rPr>
        <w:t>.</w:t>
      </w:r>
      <w:r>
        <w:rPr>
          <w:b w:val="0"/>
          <w:i w:val="0"/>
        </w:rPr>
        <w:t xml:space="preserve"> Printed forms: </w:t>
      </w:r>
      <w:r>
        <w:rPr>
          <w:b w:val="0"/>
          <w:i/>
        </w:rPr>
        <w:t>motor</w:t>
      </w:r>
      <w:r>
        <w:rPr>
          <w:b w:val="0"/>
          <w:i w:val="0"/>
        </w:rPr>
        <w:t xml:space="preserve">; </w:t>
      </w:r>
      <w:r>
        <w:rPr>
          <w:b w:val="0"/>
          <w:i/>
        </w:rPr>
        <w:t>motore</w:t>
      </w:r>
      <w:r>
        <w:rPr>
          <w:b w:val="0"/>
          <w:i w:val="0"/>
        </w:rPr>
        <w:t xml:space="preserve">; </w:t>
      </w:r>
      <w:r>
        <w:rPr>
          <w:b w:val="0"/>
          <w:i/>
        </w:rPr>
        <w:t>motori</w:t>
      </w:r>
      <w:r>
        <w:rPr>
          <w:b w:val="0"/>
          <w:i w:val="0"/>
        </w:rPr>
        <w:t>.</w:t>
      </w:r>
    </w:p>
    <w:p>
      <w:pPr>
        <w:widowControl/>
      </w:pPr>
      <w:r>
        <w:rPr>
          <w:b w:val="0"/>
          <w:i w:val="0"/>
        </w:rPr>
        <w:t xml:space="preserve">A mover or source of movement. A derivative movable continues while attached to its mover; the self-mover is identical with its mover and cannot be abandoned by it. References: </w:t>
      </w:r>
      <w:hyperlink w:anchor="passage-v-1-1">
        <w:r>
          <w:rPr>
            <w:color w:val="000000"/>
          </w:rPr>
          <w:t xml:space="preserve">V.1.1</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047" w:name="latin-record-0806"/>
      <w:bookmarkEnd w:id="1047"/>
      <w:r>
        <w:rPr>
          <w:b/>
          <w:i w:val="0"/>
        </w:rPr>
        <w:t>motor / rector / una forma</w:t>
      </w:r>
      <w:r>
        <w:rPr>
          <w:b/>
          <w:i w:val="0"/>
        </w:rPr>
        <w:t>.</w:t>
      </w:r>
      <w:r>
        <w:rPr>
          <w:b w:val="0"/>
          <w:i w:val="0"/>
        </w:rPr>
        <w:t xml:space="preserve"> Printed forms: </w:t>
      </w:r>
      <w:r>
        <w:rPr>
          <w:b w:val="0"/>
          <w:i/>
        </w:rPr>
        <w:t>formam</w:t>
      </w:r>
      <w:r>
        <w:rPr>
          <w:b w:val="0"/>
          <w:i w:val="0"/>
        </w:rPr>
        <w:t xml:space="preserve">; </w:t>
      </w:r>
      <w:r>
        <w:rPr>
          <w:b w:val="0"/>
          <w:i/>
        </w:rPr>
        <w:t>motorem</w:t>
      </w:r>
      <w:r>
        <w:rPr>
          <w:b w:val="0"/>
          <w:i w:val="0"/>
        </w:rPr>
        <w:t xml:space="preserve">; </w:t>
      </w:r>
      <w:r>
        <w:rPr>
          <w:b w:val="0"/>
          <w:i/>
        </w:rPr>
        <w:t>rectorem</w:t>
      </w:r>
      <w:r>
        <w:rPr>
          <w:b w:val="0"/>
          <w:i w:val="0"/>
        </w:rPr>
        <w:t>.</w:t>
      </w:r>
    </w:p>
    <w:p>
      <w:pPr>
        <w:widowControl/>
      </w:pPr>
      <w:r>
        <w:rPr>
          <w:b w:val="0"/>
          <w:i w:val="0"/>
        </w:rPr>
        <w:t xml:space="preserve">One form, mover and ruler of the living being. The three roles converge on one soul as the explanation of one life amid different bodily members. References: </w:t>
      </w:r>
      <w:hyperlink w:anchor="passage-vii-12-1">
        <w:r>
          <w:rPr>
            <w:color w:val="000000"/>
          </w:rPr>
          <w:t xml:space="preserve">VII.12.1</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1048" w:name="latin-record-0807"/>
      <w:bookmarkEnd w:id="1048"/>
      <w:r>
        <w:rPr>
          <w:b/>
          <w:i w:val="0"/>
        </w:rPr>
        <w:t>motus / alteratio / quies</w:t>
      </w:r>
      <w:r>
        <w:rPr>
          <w:b/>
          <w:i w:val="0"/>
        </w:rPr>
        <w:t>.</w:t>
      </w:r>
      <w:r>
        <w:rPr>
          <w:b w:val="0"/>
          <w:i w:val="0"/>
        </w:rPr>
        <w:t xml:space="preserve"> Printed forms: </w:t>
      </w:r>
      <w:r>
        <w:rPr>
          <w:b w:val="0"/>
          <w:i/>
        </w:rPr>
        <w:t>alterationem</w:t>
      </w:r>
      <w:r>
        <w:rPr>
          <w:b w:val="0"/>
          <w:i w:val="0"/>
        </w:rPr>
        <w:t xml:space="preserve">; </w:t>
      </w:r>
      <w:r>
        <w:rPr>
          <w:b w:val="0"/>
          <w:i/>
        </w:rPr>
        <w:t>motionem</w:t>
      </w:r>
      <w:r>
        <w:rPr>
          <w:b w:val="0"/>
          <w:i w:val="0"/>
        </w:rPr>
        <w:t xml:space="preserve">; </w:t>
      </w:r>
      <w:r>
        <w:rPr>
          <w:b w:val="0"/>
          <w:i/>
        </w:rPr>
        <w:t>motionum</w:t>
      </w:r>
      <w:r>
        <w:rPr>
          <w:b w:val="0"/>
          <w:i w:val="0"/>
        </w:rPr>
        <w:t xml:space="preserve">; </w:t>
      </w:r>
      <w:r>
        <w:rPr>
          <w:b w:val="0"/>
          <w:i/>
        </w:rPr>
        <w:t>motu</w:t>
      </w:r>
      <w:r>
        <w:rPr>
          <w:b w:val="0"/>
          <w:i w:val="0"/>
        </w:rPr>
        <w:t xml:space="preserve">; </w:t>
      </w:r>
      <w:r>
        <w:rPr>
          <w:b w:val="0"/>
          <w:i/>
        </w:rPr>
        <w:t>motum</w:t>
      </w:r>
      <w:r>
        <w:rPr>
          <w:b w:val="0"/>
          <w:i w:val="0"/>
        </w:rPr>
        <w:t xml:space="preserve">; </w:t>
      </w:r>
      <w:r>
        <w:rPr>
          <w:b w:val="0"/>
          <w:i/>
        </w:rPr>
        <w:t>movetur</w:t>
      </w:r>
      <w:r>
        <w:rPr>
          <w:b w:val="0"/>
          <w:i w:val="0"/>
        </w:rPr>
        <w:t xml:space="preserve">; </w:t>
      </w:r>
      <w:r>
        <w:rPr>
          <w:b w:val="0"/>
          <w:i/>
        </w:rPr>
        <w:t>quietem</w:t>
      </w:r>
      <w:r>
        <w:rPr>
          <w:b w:val="0"/>
          <w:i w:val="0"/>
        </w:rPr>
        <w:t xml:space="preserve">; </w:t>
      </w:r>
      <w:r>
        <w:rPr>
          <w:b w:val="0"/>
          <w:i/>
        </w:rPr>
        <w:t>stando</w:t>
      </w:r>
      <w:r>
        <w:rPr>
          <w:b w:val="0"/>
          <w:i w:val="0"/>
        </w:rPr>
        <w:t xml:space="preserve">; </w:t>
      </w:r>
      <w:r>
        <w:rPr>
          <w:b w:val="0"/>
          <w:i/>
        </w:rPr>
        <w:t>statu</w:t>
      </w:r>
      <w:r>
        <w:rPr>
          <w:b w:val="0"/>
          <w:i w:val="0"/>
        </w:rPr>
        <w:t xml:space="preserve">; </w:t>
      </w:r>
      <w:r>
        <w:rPr>
          <w:b w:val="0"/>
          <w:i/>
        </w:rPr>
        <w:t>statum</w:t>
      </w:r>
      <w:r>
        <w:rPr>
          <w:b w:val="0"/>
          <w:i w:val="0"/>
        </w:rPr>
        <w:t>.</w:t>
      </w:r>
    </w:p>
    <w:p>
      <w:pPr>
        <w:widowControl/>
      </w:pPr>
      <w:r>
        <w:rPr>
          <w:b w:val="0"/>
          <w:i w:val="0"/>
        </w:rPr>
        <w:t xml:space="preserve">Motion, alteration, repose and standing still as contrasting modes of perfection. The bodily acquisition of form occurs through change; mind is said to contemplate better when freed from agitation and distracting affairs. References: </w:t>
      </w:r>
      <w:hyperlink w:anchor="passage-viii-1-3">
        <w:r>
          <w:rPr>
            <w:color w:val="000000"/>
          </w:rPr>
          <w:t xml:space="preserve">VIII.1.3</w:t>
        </w:r>
      </w:hyperlink>
      <w:r>
        <w:rPr>
          <w:b w:val="0"/>
          <w:i w:val="0"/>
        </w:rPr>
        <w:t xml:space="preserve">, </w:t>
      </w:r>
      <w:hyperlink w:anchor="passage-viii-2-5">
        <w:r>
          <w:rPr>
            <w:color w:val="000000"/>
          </w:rPr>
          <w:t xml:space="preserve">VIII.2.5</w:t>
        </w:r>
      </w:hyperlink>
      <w:r>
        <w:rPr>
          <w:b w:val="0"/>
          <w:i w:val="0"/>
        </w:rPr>
        <w:t xml:space="preserve">, </w:t>
      </w:r>
      <w:hyperlink w:anchor="passage-viii-7-1">
        <w:r>
          <w:rPr>
            <w:color w:val="000000"/>
          </w:rPr>
          <w:t xml:space="preserve">VIII.7.1</w:t>
        </w:r>
      </w:hyperlink>
      <w:r>
        <w:rPr>
          <w:b w:val="0"/>
          <w:i w:val="0"/>
        </w:rPr>
        <w:t xml:space="preserve">, </w:t>
      </w:r>
      <w:hyperlink w:anchor="passage-viii-10-2">
        <w:r>
          <w:rPr>
            <w:color w:val="000000"/>
          </w:rPr>
          <w:t xml:space="preserve">VIII.10.2</w:t>
        </w:r>
      </w:hyperlink>
      <w:r>
        <w:rPr>
          <w:b w:val="0"/>
          <w:i w:val="0"/>
        </w:rPr>
        <w:t xml:space="preserve">, </w:t>
      </w:r>
      <w:hyperlink w:anchor="passage-viii-11-1">
        <w:r>
          <w:rPr>
            <w:color w:val="000000"/>
          </w:rPr>
          <w:t xml:space="preserve">VIII.11.1</w:t>
        </w:r>
      </w:hyperlink>
      <w:r>
        <w:rPr>
          <w:b w:val="0"/>
          <w:i w:val="0"/>
        </w:rPr>
        <w:t xml:space="preserve">, </w:t>
      </w:r>
      <w:hyperlink w:anchor="passage-viii-13-2">
        <w:r>
          <w:rPr>
            <w:color w:val="000000"/>
          </w:rPr>
          <w:t xml:space="preserve">VIII.13.2</w:t>
        </w:r>
      </w:hyperlink>
      <w:r>
        <w:rPr>
          <w:b w:val="0"/>
          <w:i w:val="0"/>
        </w:rPr>
        <w:t xml:space="preserve">, </w:t>
      </w:r>
      <w:hyperlink w:anchor="passage-viii-15-1">
        <w:r>
          <w:rPr>
            <w:color w:val="000000"/>
          </w:rPr>
          <w:t xml:space="preserve">VIII.15.1</w:t>
        </w:r>
      </w:hyperlink>
      <w:r>
        <w:rPr>
          <w:b w:val="0"/>
          <w:i w:val="0"/>
        </w:rPr>
        <w:t xml:space="preserve">, </w:t>
      </w:r>
      <w:hyperlink w:anchor="passage-viii-15-3">
        <w:r>
          <w:rPr>
            <w:color w:val="000000"/>
          </w:rPr>
          <w:t xml:space="preserve">VIII.15.3</w:t>
        </w:r>
      </w:hyperlink>
      <w:r>
        <w:rPr>
          <w:b w:val="0"/>
          <w:i w:val="0"/>
        </w:rPr>
        <w:t xml:space="preserve">. See </w:t>
      </w:r>
      <w:hyperlink w:anchor="viii-repose-contemplation">
        <w:r>
          <w:rPr>
            <w:color w:val="000000"/>
          </w:rPr>
          <w:t xml:space="preserve">Repose, motion, and contemplation</w:t>
        </w:r>
      </w:hyperlink>
      <w:r>
        <w:rPr>
          <w:b w:val="0"/>
          <w:i w:val="0"/>
        </w:rPr>
        <w:t>.</w:t>
      </w:r>
    </w:p>
    <w:p>
      <w:pPr>
        <w:keepNext/>
        <w:widowControl/>
      </w:pPr>
      <w:bookmarkStart w:id="1049" w:name="latin-record-0808"/>
      <w:bookmarkEnd w:id="1049"/>
      <w:r>
        <w:rPr>
          <w:b/>
          <w:i w:val="0"/>
        </w:rPr>
        <w:t>motus / movere</w:t>
      </w:r>
      <w:r>
        <w:rPr>
          <w:b/>
          <w:i w:val="0"/>
        </w:rPr>
        <w:t>.</w:t>
      </w:r>
      <w:r>
        <w:rPr>
          <w:b w:val="0"/>
          <w:i w:val="0"/>
        </w:rPr>
        <w:t xml:space="preserve"> Printed forms: </w:t>
      </w:r>
      <w:r>
        <w:rPr>
          <w:b w:val="0"/>
          <w:i/>
        </w:rPr>
        <w:t>motam</w:t>
      </w:r>
      <w:r>
        <w:rPr>
          <w:b w:val="0"/>
          <w:i w:val="0"/>
        </w:rPr>
        <w:t xml:space="preserve">; </w:t>
      </w:r>
      <w:r>
        <w:rPr>
          <w:b w:val="0"/>
          <w:i/>
        </w:rPr>
        <w:t>motis</w:t>
      </w:r>
      <w:r>
        <w:rPr>
          <w:b w:val="0"/>
          <w:i w:val="0"/>
        </w:rPr>
        <w:t xml:space="preserve">; </w:t>
      </w:r>
      <w:r>
        <w:rPr>
          <w:b w:val="0"/>
          <w:i/>
        </w:rPr>
        <w:t>motu</w:t>
      </w:r>
      <w:r>
        <w:rPr>
          <w:b w:val="0"/>
          <w:i w:val="0"/>
        </w:rPr>
        <w:t xml:space="preserve">; </w:t>
      </w:r>
      <w:r>
        <w:rPr>
          <w:b w:val="0"/>
          <w:i/>
        </w:rPr>
        <w:t>motui</w:t>
      </w:r>
      <w:r>
        <w:rPr>
          <w:b w:val="0"/>
          <w:i w:val="0"/>
        </w:rPr>
        <w:t xml:space="preserve">; </w:t>
      </w:r>
      <w:r>
        <w:rPr>
          <w:b w:val="0"/>
          <w:i/>
        </w:rPr>
        <w:t>motum</w:t>
      </w:r>
      <w:r>
        <w:rPr>
          <w:b w:val="0"/>
          <w:i w:val="0"/>
        </w:rPr>
        <w:t xml:space="preserve">; </w:t>
      </w:r>
      <w:r>
        <w:rPr>
          <w:b w:val="0"/>
          <w:i/>
        </w:rPr>
        <w:t>motus</w:t>
      </w:r>
      <w:r>
        <w:rPr>
          <w:b w:val="0"/>
          <w:i w:val="0"/>
        </w:rPr>
        <w:t xml:space="preserve">; </w:t>
      </w:r>
      <w:r>
        <w:rPr>
          <w:b w:val="0"/>
          <w:i/>
        </w:rPr>
        <w:t>movebit</w:t>
      </w:r>
      <w:r>
        <w:rPr>
          <w:b w:val="0"/>
          <w:i w:val="0"/>
        </w:rPr>
        <w:t xml:space="preserve">; </w:t>
      </w:r>
      <w:r>
        <w:rPr>
          <w:b w:val="0"/>
          <w:i/>
        </w:rPr>
        <w:t>moventur</w:t>
      </w:r>
      <w:r>
        <w:rPr>
          <w:b w:val="0"/>
          <w:i w:val="0"/>
        </w:rPr>
        <w:t xml:space="preserve">; </w:t>
      </w:r>
      <w:r>
        <w:rPr>
          <w:b w:val="0"/>
          <w:i/>
        </w:rPr>
        <w:t>movet</w:t>
      </w:r>
      <w:r>
        <w:rPr>
          <w:b w:val="0"/>
          <w:i w:val="0"/>
        </w:rPr>
        <w:t>.</w:t>
      </w:r>
    </w:p>
    <w:p>
      <w:pPr>
        <w:widowControl/>
      </w:pPr>
      <w:r>
        <w:rPr>
          <w:b w:val="0"/>
          <w:i w:val="0"/>
        </w:rPr>
        <w:t xml:space="preserve">Motus is motion or activity, ranging from bodily movement to inward living self-motion; movere is to move, and motam means moved in rem motam, the thing moved, at V.15.5. The first proof identifies inward movement with life, while V.2 distinguishes motion of operation from stable substance. References: </w:t>
      </w:r>
      <w:hyperlink w:anchor="passage-v-1-1">
        <w:r>
          <w:rPr>
            <w:color w:val="000000"/>
          </w:rPr>
          <w:t xml:space="preserve">V.1.1</w:t>
        </w:r>
      </w:hyperlink>
      <w:r>
        <w:rPr>
          <w:b w:val="0"/>
          <w:i w:val="0"/>
        </w:rPr>
        <w:t xml:space="preserve">, </w:t>
      </w:r>
      <w:hyperlink w:anchor="passage-v-1-5">
        <w:r>
          <w:rPr>
            <w:color w:val="000000"/>
          </w:rPr>
          <w:t xml:space="preserve">V.1.5</w:t>
        </w:r>
      </w:hyperlink>
      <w:r>
        <w:rPr>
          <w:b w:val="0"/>
          <w:i w:val="0"/>
        </w:rPr>
        <w:t xml:space="preserve">, </w:t>
      </w:r>
      <w:hyperlink w:anchor="passage-v-2-1">
        <w:r>
          <w:rPr>
            <w:color w:val="000000"/>
          </w:rPr>
          <w:t xml:space="preserve">V.2.1</w:t>
        </w:r>
      </w:hyperlink>
      <w:r>
        <w:rPr>
          <w:b w:val="0"/>
          <w:i w:val="0"/>
        </w:rPr>
        <w:t xml:space="preserve">, </w:t>
      </w:r>
      <w:hyperlink w:anchor="passage-v-12-13">
        <w:r>
          <w:rPr>
            <w:color w:val="000000"/>
          </w:rPr>
          <w:t xml:space="preserve">V.12.13</w:t>
        </w:r>
      </w:hyperlink>
      <w:r>
        <w:rPr>
          <w:b w:val="0"/>
          <w:i w:val="0"/>
        </w:rPr>
        <w:t xml:space="preserve">, </w:t>
      </w:r>
      <w:hyperlink w:anchor="passage-v-15-5">
        <w:r>
          <w:rPr>
            <w:color w:val="000000"/>
          </w:rPr>
          <w:t xml:space="preserve">V.15.5</w:t>
        </w:r>
      </w:hyperlink>
      <w:r>
        <w:rPr>
          <w:b w:val="0"/>
          <w:i w:val="0"/>
        </w:rPr>
        <w:t xml:space="preserve">. See </w:t>
      </w:r>
      <w:hyperlink w:anchor="motion-and-substantial-stability">
        <w:r>
          <w:rPr>
            <w:color w:val="000000"/>
          </w:rPr>
          <w:t xml:space="preserve">Motion and substantial stability</w:t>
        </w:r>
      </w:hyperlink>
      <w:r>
        <w:rPr>
          <w:b w:val="0"/>
          <w:i w:val="0"/>
        </w:rPr>
        <w:t>.</w:t>
      </w:r>
    </w:p>
    <w:p>
      <w:pPr>
        <w:widowControl/>
      </w:pPr>
      <w:r>
        <w:rPr>
          <w:b w:val="0"/>
          <w:i w:val="0"/>
        </w:rPr>
        <w:t xml:space="preserve">Movement and the action of moving. The severed-fragment objection uses apparent continued movement; the harmony critique distinguishes moving constituents from the outcome they produce. References: </w:t>
      </w:r>
      <w:hyperlink w:anchor="passage-vii-5-4">
        <w:r>
          <w:rPr>
            <w:color w:val="000000"/>
          </w:rPr>
          <w:t xml:space="preserve">VII.5.4</w:t>
        </w:r>
      </w:hyperlink>
      <w:r>
        <w:rPr>
          <w:b w:val="0"/>
          <w:i w:val="0"/>
        </w:rPr>
        <w:t xml:space="preserve">, </w:t>
      </w:r>
      <w:hyperlink w:anchor="passage-vii-6-1">
        <w:r>
          <w:rPr>
            <w:color w:val="000000"/>
          </w:rPr>
          <w:t xml:space="preserve">VII.6.1</w:t>
        </w:r>
      </w:hyperlink>
      <w:r>
        <w:rPr>
          <w:b w:val="0"/>
          <w:i w:val="0"/>
        </w:rPr>
        <w:t xml:space="preserve">,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1050" w:name="latin-record-0809"/>
      <w:bookmarkEnd w:id="1050"/>
      <w:r>
        <w:rPr>
          <w:b/>
          <w:i w:val="0"/>
        </w:rPr>
        <w:t>motus internus / externus</w:t>
      </w:r>
      <w:r>
        <w:rPr>
          <w:b/>
          <w:i w:val="0"/>
        </w:rPr>
        <w:t>.</w:t>
      </w:r>
      <w:r>
        <w:rPr>
          <w:b w:val="0"/>
          <w:i w:val="0"/>
        </w:rPr>
        <w:t xml:space="preserve"> Printed forms: </w:t>
      </w:r>
      <w:r>
        <w:rPr>
          <w:b w:val="0"/>
          <w:i/>
        </w:rPr>
        <w:t>Internus motus</w:t>
      </w:r>
      <w:r>
        <w:rPr>
          <w:b w:val="0"/>
          <w:i w:val="0"/>
        </w:rPr>
        <w:t xml:space="preserve">; </w:t>
      </w:r>
      <w:r>
        <w:rPr>
          <w:b w:val="0"/>
          <w:i/>
        </w:rPr>
        <w:t>motum internum atque externum</w:t>
      </w:r>
      <w:r>
        <w:rPr>
          <w:b w:val="0"/>
          <w:i w:val="0"/>
        </w:rPr>
        <w:t>.</w:t>
      </w:r>
    </w:p>
    <w:p>
      <w:pPr>
        <w:widowControl/>
      </w:pPr>
      <w:r>
        <w:rPr>
          <w:b w:val="0"/>
          <w:i w:val="0"/>
        </w:rPr>
        <w:t xml:space="preserve">Inward and outward movement, distinguishing the soul’s own life from movement communicated beyond it. Ficino expressly calls inward motion life before reasoning from self-supply to unceasing living. References: </w:t>
      </w:r>
      <w:hyperlink w:anchor="passage-v-1-1">
        <w:r>
          <w:rPr>
            <w:color w:val="000000"/>
          </w:rPr>
          <w:t xml:space="preserve">V.1.1</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051" w:name="latin-record-0810"/>
      <w:bookmarkEnd w:id="1051"/>
      <w:r>
        <w:rPr>
          <w:b/>
          <w:i w:val="0"/>
        </w:rPr>
        <w:t>motus vitalis</w:t>
      </w:r>
      <w:r>
        <w:rPr>
          <w:b/>
          <w:i w:val="0"/>
        </w:rPr>
        <w:t>.</w:t>
      </w:r>
      <w:r>
        <w:rPr>
          <w:b w:val="0"/>
          <w:i w:val="0"/>
        </w:rPr>
        <w:t xml:space="preserve"> Printed forms: </w:t>
      </w:r>
      <w:r>
        <w:rPr>
          <w:b w:val="0"/>
          <w:i/>
        </w:rPr>
        <w:t>motu secundum essentiam vitalem</w:t>
      </w:r>
      <w:r>
        <w:rPr>
          <w:b w:val="0"/>
          <w:i w:val="0"/>
        </w:rPr>
        <w:t xml:space="preserve">; </w:t>
      </w:r>
      <w:r>
        <w:rPr>
          <w:b w:val="0"/>
          <w:i/>
        </w:rPr>
        <w:t>non intellectuali</w:t>
      </w:r>
      <w:r>
        <w:rPr>
          <w:b w:val="0"/>
          <w:i w:val="0"/>
        </w:rPr>
        <w:t xml:space="preserve">; </w:t>
      </w:r>
      <w:r>
        <w:rPr>
          <w:b w:val="0"/>
          <w:i/>
        </w:rPr>
        <w:t>sed vitali</w:t>
      </w:r>
      <w:r>
        <w:rPr>
          <w:b w:val="0"/>
          <w:i w:val="0"/>
        </w:rPr>
        <w:t>.</w:t>
      </w:r>
    </w:p>
    <w:p>
      <w:pPr>
        <w:widowControl/>
      </w:pPr>
      <w:r>
        <w:rPr>
          <w:b w:val="0"/>
          <w:i w:val="0"/>
        </w:rPr>
        <w:t xml:space="preserve">Motion belonging to the essence as life, rather than continuous thought. Essential living persists while cognitive and other powers may lapse or err. References: </w:t>
      </w:r>
      <w:hyperlink w:anchor="passage-vi-12-12">
        <w:r>
          <w:rPr>
            <w:color w:val="000000"/>
          </w:rPr>
          <w:t xml:space="preserve">VI.12.12</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052" w:name="latin-record-0811"/>
      <w:bookmarkEnd w:id="1052"/>
      <w:r>
        <w:rPr>
          <w:b/>
          <w:i w:val="0"/>
        </w:rPr>
        <w:t>movere / immobilis</w:t>
      </w:r>
      <w:r>
        <w:rPr>
          <w:b/>
          <w:i w:val="0"/>
        </w:rPr>
        <w:t>.</w:t>
      </w:r>
      <w:r>
        <w:rPr>
          <w:b w:val="0"/>
          <w:i w:val="0"/>
        </w:rPr>
        <w:t xml:space="preserve"> Printed forms: </w:t>
      </w:r>
      <w:r>
        <w:rPr>
          <w:b w:val="0"/>
          <w:i/>
        </w:rPr>
        <w:t>immobili</w:t>
      </w:r>
      <w:r>
        <w:rPr>
          <w:b w:val="0"/>
          <w:i w:val="0"/>
        </w:rPr>
        <w:t xml:space="preserve">; </w:t>
      </w:r>
      <w:r>
        <w:rPr>
          <w:b w:val="0"/>
          <w:i/>
        </w:rPr>
        <w:t>mobilem</w:t>
      </w:r>
      <w:r>
        <w:rPr>
          <w:b w:val="0"/>
          <w:i w:val="0"/>
        </w:rPr>
        <w:t xml:space="preserve">; </w:t>
      </w:r>
      <w:r>
        <w:rPr>
          <w:b w:val="0"/>
          <w:i/>
        </w:rPr>
        <w:t>mobiles</w:t>
      </w:r>
      <w:r>
        <w:rPr>
          <w:b w:val="0"/>
          <w:i w:val="0"/>
        </w:rPr>
        <w:t xml:space="preserve">; </w:t>
      </w:r>
      <w:r>
        <w:rPr>
          <w:b w:val="0"/>
          <w:i/>
        </w:rPr>
        <w:t>mobili</w:t>
      </w:r>
      <w:r>
        <w:rPr>
          <w:b w:val="0"/>
          <w:i w:val="0"/>
        </w:rPr>
        <w:t xml:space="preserve">; </w:t>
      </w:r>
      <w:r>
        <w:rPr>
          <w:b w:val="0"/>
          <w:i/>
        </w:rPr>
        <w:t>motionem</w:t>
      </w:r>
      <w:r>
        <w:rPr>
          <w:b w:val="0"/>
          <w:i w:val="0"/>
        </w:rPr>
        <w:t xml:space="preserve">; </w:t>
      </w:r>
      <w:r>
        <w:rPr>
          <w:b w:val="0"/>
          <w:i/>
        </w:rPr>
        <w:t>motrice</w:t>
      </w:r>
      <w:r>
        <w:rPr>
          <w:b w:val="0"/>
          <w:i w:val="0"/>
        </w:rPr>
        <w:t>.</w:t>
      </w:r>
    </w:p>
    <w:p>
      <w:pPr>
        <w:widowControl/>
      </w:pPr>
      <w:r>
        <w:rPr>
          <w:b w:val="0"/>
          <w:i w:val="0"/>
        </w:rPr>
        <w:t xml:space="preserve">Motion and its absence as conditions relevant to causal stability. Everlasting natural species are traced to an immutable world-moving mind rather than a moving bodily or merely animate cause. References: </w:t>
      </w:r>
      <w:hyperlink w:anchor="passage-viii-1-3">
        <w:r>
          <w:rPr>
            <w:color w:val="000000"/>
          </w:rPr>
          <w:t xml:space="preserve">VIII.1.3</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053" w:name="latin-record-0812"/>
      <w:bookmarkEnd w:id="1053"/>
      <w:r>
        <w:rPr>
          <w:b/>
          <w:i w:val="0"/>
        </w:rPr>
        <w:t>movere et moveri</w:t>
      </w:r>
      <w:r>
        <w:rPr>
          <w:b/>
          <w:i w:val="0"/>
        </w:rPr>
        <w:t>.</w:t>
      </w:r>
      <w:r>
        <w:rPr>
          <w:b w:val="0"/>
          <w:i w:val="0"/>
        </w:rPr>
        <w:t xml:space="preserve"> Printed forms: </w:t>
      </w:r>
      <w:r>
        <w:rPr>
          <w:b w:val="0"/>
          <w:i/>
        </w:rPr>
        <w:t>moveat</w:t>
      </w:r>
      <w:r>
        <w:rPr>
          <w:b w:val="0"/>
          <w:i w:val="0"/>
        </w:rPr>
        <w:t xml:space="preserve">; </w:t>
      </w:r>
      <w:r>
        <w:rPr>
          <w:b w:val="0"/>
          <w:i/>
        </w:rPr>
        <w:t>moveatur</w:t>
      </w:r>
      <w:r>
        <w:rPr>
          <w:b w:val="0"/>
          <w:i w:val="0"/>
        </w:rPr>
        <w:t xml:space="preserve">; </w:t>
      </w:r>
      <w:r>
        <w:rPr>
          <w:b w:val="0"/>
          <w:i/>
        </w:rPr>
        <w:t>per formam</w:t>
      </w:r>
      <w:r>
        <w:rPr>
          <w:b w:val="0"/>
          <w:i w:val="0"/>
        </w:rPr>
        <w:t xml:space="preserve">; </w:t>
      </w:r>
      <w:r>
        <w:rPr>
          <w:b w:val="0"/>
          <w:i/>
        </w:rPr>
        <w:t>per materiam</w:t>
      </w:r>
      <w:r>
        <w:rPr>
          <w:b w:val="0"/>
          <w:i w:val="0"/>
        </w:rPr>
        <w:t>.</w:t>
      </w:r>
    </w:p>
    <w:p>
      <w:pPr>
        <w:widowControl/>
      </w:pPr>
      <w:r>
        <w:rPr>
          <w:b w:val="0"/>
          <w:i w:val="0"/>
        </w:rPr>
        <w:t xml:space="preserve">Moving through form and being moved through matter. The opponent distributes activity and receptivity, while Ficino demands a single primary principle rather than different roots. References: </w:t>
      </w:r>
      <w:hyperlink w:anchor="passage-vi-12-9">
        <w:r>
          <w:rPr>
            <w:color w:val="000000"/>
          </w:rPr>
          <w:t xml:space="preserve">VI.12.9</w:t>
        </w:r>
      </w:hyperlink>
      <w:r>
        <w:rPr>
          <w:b w:val="0"/>
          <w:i w:val="0"/>
        </w:rPr>
        <w:t xml:space="preserve">. See </w:t>
      </w:r>
      <w:hyperlink w:anchor="integrity-of-the-whole">
        <w:r>
          <w:rPr>
            <w:color w:val="000000"/>
          </w:rPr>
          <w:t xml:space="preserve">Integrity of the whole</w:t>
        </w:r>
      </w:hyperlink>
      <w:r>
        <w:rPr>
          <w:b w:val="0"/>
          <w:i w:val="0"/>
        </w:rPr>
        <w:t>.</w:t>
      </w:r>
    </w:p>
    <w:p>
      <w:pPr>
        <w:keepNext/>
        <w:widowControl/>
      </w:pPr>
      <w:bookmarkStart w:id="1054" w:name="latin-record-0813"/>
      <w:bookmarkEnd w:id="1054"/>
      <w:r>
        <w:rPr>
          <w:b/>
          <w:i w:val="0"/>
        </w:rPr>
        <w:t>movere; motus</w:t>
      </w:r>
      <w:r>
        <w:rPr>
          <w:b/>
          <w:i w:val="0"/>
        </w:rPr>
        <w:t>.</w:t>
      </w:r>
      <w:r>
        <w:rPr>
          <w:b w:val="0"/>
          <w:i w:val="0"/>
        </w:rPr>
        <w:t xml:space="preserve"> Printed forms: </w:t>
      </w:r>
      <w:r>
        <w:rPr>
          <w:b w:val="0"/>
          <w:i/>
        </w:rPr>
        <w:t>motor</w:t>
      </w:r>
      <w:r>
        <w:rPr>
          <w:b w:val="0"/>
          <w:i w:val="0"/>
        </w:rPr>
        <w:t xml:space="preserve">; </w:t>
      </w:r>
      <w:r>
        <w:rPr>
          <w:b w:val="0"/>
          <w:i/>
        </w:rPr>
        <w:t>motores</w:t>
      </w:r>
      <w:r>
        <w:rPr>
          <w:b w:val="0"/>
          <w:i w:val="0"/>
        </w:rPr>
        <w:t xml:space="preserve">; </w:t>
      </w:r>
      <w:r>
        <w:rPr>
          <w:b w:val="0"/>
          <w:i/>
        </w:rPr>
        <w:t>motu</w:t>
      </w:r>
      <w:r>
        <w:rPr>
          <w:b w:val="0"/>
          <w:i w:val="0"/>
        </w:rPr>
        <w:t xml:space="preserve">; </w:t>
      </w:r>
      <w:r>
        <w:rPr>
          <w:b w:val="0"/>
          <w:i/>
        </w:rPr>
        <w:t>motum</w:t>
      </w:r>
      <w:r>
        <w:rPr>
          <w:b w:val="0"/>
          <w:i w:val="0"/>
        </w:rPr>
        <w:t xml:space="preserve">; </w:t>
      </w:r>
      <w:r>
        <w:rPr>
          <w:b w:val="0"/>
          <w:i/>
        </w:rPr>
        <w:t>motus</w:t>
      </w:r>
      <w:r>
        <w:rPr>
          <w:b w:val="0"/>
          <w:i w:val="0"/>
        </w:rPr>
        <w:t xml:space="preserve">; </w:t>
      </w:r>
      <w:r>
        <w:rPr>
          <w:b w:val="0"/>
          <w:i/>
        </w:rPr>
        <w:t>motuum</w:t>
      </w:r>
      <w:r>
        <w:rPr>
          <w:b w:val="0"/>
          <w:i w:val="0"/>
        </w:rPr>
        <w:t xml:space="preserve">; </w:t>
      </w:r>
      <w:r>
        <w:rPr>
          <w:b w:val="0"/>
          <w:i/>
        </w:rPr>
        <w:t>moveant</w:t>
      </w:r>
      <w:r>
        <w:rPr>
          <w:b w:val="0"/>
          <w:i w:val="0"/>
        </w:rPr>
        <w:t xml:space="preserve">; </w:t>
      </w:r>
      <w:r>
        <w:rPr>
          <w:b w:val="0"/>
          <w:i/>
        </w:rPr>
        <w:t>moveantur</w:t>
      </w:r>
      <w:r>
        <w:rPr>
          <w:b w:val="0"/>
          <w:i w:val="0"/>
        </w:rPr>
        <w:t xml:space="preserve">; </w:t>
      </w:r>
      <w:r>
        <w:rPr>
          <w:b w:val="0"/>
          <w:i/>
        </w:rPr>
        <w:t>moveat</w:t>
      </w:r>
      <w:r>
        <w:rPr>
          <w:b w:val="0"/>
          <w:i w:val="0"/>
        </w:rPr>
        <w:t xml:space="preserve">; </w:t>
      </w:r>
      <w:r>
        <w:rPr>
          <w:b w:val="0"/>
          <w:i/>
        </w:rPr>
        <w:t>moveatur</w:t>
      </w:r>
      <w:r>
        <w:rPr>
          <w:b w:val="0"/>
          <w:i w:val="0"/>
        </w:rPr>
        <w:t xml:space="preserve">; </w:t>
      </w:r>
      <w:r>
        <w:rPr>
          <w:b w:val="0"/>
          <w:i/>
        </w:rPr>
        <w:t>movent</w:t>
      </w:r>
      <w:r>
        <w:rPr>
          <w:b w:val="0"/>
          <w:i w:val="0"/>
        </w:rPr>
        <w:t xml:space="preserve">; </w:t>
      </w:r>
      <w:r>
        <w:rPr>
          <w:b w:val="0"/>
          <w:i/>
        </w:rPr>
        <w:t>moventur</w:t>
      </w:r>
      <w:r>
        <w:rPr>
          <w:b w:val="0"/>
          <w:i w:val="0"/>
        </w:rPr>
        <w:t xml:space="preserve">; </w:t>
      </w:r>
      <w:r>
        <w:rPr>
          <w:b w:val="0"/>
          <w:i/>
        </w:rPr>
        <w:t>movere</w:t>
      </w:r>
      <w:r>
        <w:rPr>
          <w:b w:val="0"/>
          <w:i w:val="0"/>
        </w:rPr>
        <w:t xml:space="preserve">; </w:t>
      </w:r>
      <w:r>
        <w:rPr>
          <w:b w:val="0"/>
          <w:i/>
        </w:rPr>
        <w:t>moveri</w:t>
      </w:r>
      <w:r>
        <w:rPr>
          <w:b w:val="0"/>
          <w:i w:val="0"/>
        </w:rPr>
        <w:t xml:space="preserve">; </w:t>
      </w:r>
      <w:r>
        <w:rPr>
          <w:b w:val="0"/>
          <w:i/>
        </w:rPr>
        <w:t>movet</w:t>
      </w:r>
      <w:r>
        <w:rPr>
          <w:b w:val="0"/>
          <w:i w:val="0"/>
        </w:rPr>
        <w:t xml:space="preserve">; </w:t>
      </w:r>
      <w:r>
        <w:rPr>
          <w:b w:val="0"/>
          <w:i/>
        </w:rPr>
        <w:t>movetur</w:t>
      </w:r>
      <w:r>
        <w:rPr>
          <w:b w:val="0"/>
          <w:i w:val="0"/>
        </w:rPr>
        <w:t>.</w:t>
      </w:r>
    </w:p>
    <w:p>
      <w:pPr>
        <w:widowControl/>
      </w:pPr>
      <w:r>
        <w:rPr>
          <w:b w:val="0"/>
          <w:i w:val="0"/>
        </w:rPr>
        <w:t xml:space="preserve">To move or be moved; movement ranging from bodily change to psychic activity. Primary self-motion, derivative animal motion, received bodily motion and temporal discourse have different senses and causal relations; movement need not be spatial traversal. References: </w:t>
      </w:r>
      <w:hyperlink w:anchor="passage-vi-2-7">
        <w:r>
          <w:rPr>
            <w:color w:val="000000"/>
          </w:rPr>
          <w:t xml:space="preserve">VI.2.7</w:t>
        </w:r>
      </w:hyperlink>
      <w:r>
        <w:rPr>
          <w:b w:val="0"/>
          <w:i w:val="0"/>
        </w:rPr>
        <w:t xml:space="preserve">, </w:t>
      </w:r>
      <w:hyperlink w:anchor="passage-vi-2-10">
        <w:r>
          <w:rPr>
            <w:color w:val="000000"/>
          </w:rPr>
          <w:t xml:space="preserve">VI.2.10</w:t>
        </w:r>
      </w:hyperlink>
      <w:r>
        <w:rPr>
          <w:b w:val="0"/>
          <w:i w:val="0"/>
        </w:rPr>
        <w:t xml:space="preserve">, </w:t>
      </w:r>
      <w:hyperlink w:anchor="passage-vi-2-20">
        <w:r>
          <w:rPr>
            <w:color w:val="000000"/>
          </w:rPr>
          <w:t xml:space="preserve">VI.2.20</w:t>
        </w:r>
      </w:hyperlink>
      <w:r>
        <w:rPr>
          <w:b w:val="0"/>
          <w:i w:val="0"/>
        </w:rPr>
        <w:t xml:space="preserve">, </w:t>
      </w:r>
      <w:hyperlink w:anchor="passage-vi-12-1">
        <w:r>
          <w:rPr>
            <w:color w:val="000000"/>
          </w:rPr>
          <w:t xml:space="preserve">VI.12.1</w:t>
        </w:r>
      </w:hyperlink>
      <w:r>
        <w:rPr>
          <w:b w:val="0"/>
          <w:i w:val="0"/>
        </w:rPr>
        <w:t xml:space="preserve">, </w:t>
      </w:r>
      <w:hyperlink w:anchor="passage-vi-12-2">
        <w:r>
          <w:rPr>
            <w:color w:val="000000"/>
          </w:rPr>
          <w:t xml:space="preserve">VI.12.2</w:t>
        </w:r>
      </w:hyperlink>
      <w:r>
        <w:rPr>
          <w:b w:val="0"/>
          <w:i w:val="0"/>
        </w:rPr>
        <w:t xml:space="preserve">, </w:t>
      </w:r>
      <w:hyperlink w:anchor="passage-vi-12-3">
        <w:r>
          <w:rPr>
            <w:color w:val="000000"/>
          </w:rPr>
          <w:t xml:space="preserve">VI.12.3</w:t>
        </w:r>
      </w:hyperlink>
      <w:r>
        <w:rPr>
          <w:b w:val="0"/>
          <w:i w:val="0"/>
        </w:rPr>
        <w:t xml:space="preserve">, </w:t>
      </w:r>
      <w:hyperlink w:anchor="passage-vi-12-4">
        <w:r>
          <w:rPr>
            <w:color w:val="000000"/>
          </w:rPr>
          <w:t xml:space="preserve">VI.12.4</w:t>
        </w:r>
      </w:hyperlink>
      <w:r>
        <w:rPr>
          <w:b w:val="0"/>
          <w:i w:val="0"/>
        </w:rPr>
        <w:t xml:space="preserve">, </w:t>
      </w:r>
      <w:hyperlink w:anchor="passage-vi-12-8">
        <w:r>
          <w:rPr>
            <w:color w:val="000000"/>
          </w:rPr>
          <w:t xml:space="preserve">VI.12.8</w:t>
        </w:r>
      </w:hyperlink>
      <w:r>
        <w:rPr>
          <w:b w:val="0"/>
          <w:i w:val="0"/>
        </w:rPr>
        <w:t xml:space="preserve">, </w:t>
      </w:r>
      <w:hyperlink w:anchor="passage-vi-12-10">
        <w:r>
          <w:rPr>
            <w:color w:val="000000"/>
          </w:rPr>
          <w:t xml:space="preserve">VI.12.10</w:t>
        </w:r>
      </w:hyperlink>
      <w:r>
        <w:rPr>
          <w:b w:val="0"/>
          <w:i w:val="0"/>
        </w:rPr>
        <w:t xml:space="preserve">, </w:t>
      </w:r>
      <w:hyperlink w:anchor="passage-vi-12-17">
        <w:r>
          <w:rPr>
            <w:color w:val="000000"/>
          </w:rPr>
          <w:t xml:space="preserve">VI.12.17</w:t>
        </w:r>
      </w:hyperlink>
      <w:r>
        <w:rPr>
          <w:b w:val="0"/>
          <w:i w:val="0"/>
        </w:rPr>
        <w:t xml:space="preserve">, </w:t>
      </w:r>
      <w:hyperlink w:anchor="passage-vi-13-8">
        <w:r>
          <w:rPr>
            <w:color w:val="000000"/>
          </w:rPr>
          <w:t xml:space="preserve">VI.13.8</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055" w:name="latin-record-0814"/>
      <w:bookmarkEnd w:id="1055"/>
      <w:r>
        <w:rPr>
          <w:b/>
          <w:i w:val="0"/>
        </w:rPr>
        <w:t>mundi nodus</w:t>
      </w:r>
      <w:r>
        <w:rPr>
          <w:b/>
          <w:i w:val="0"/>
        </w:rPr>
        <w:t>.</w:t>
      </w:r>
      <w:r>
        <w:rPr>
          <w:b w:val="0"/>
          <w:i w:val="0"/>
        </w:rPr>
        <w:t xml:space="preserve"> Printed forms: </w:t>
      </w:r>
      <w:r>
        <w:rPr>
          <w:b w:val="0"/>
          <w:i/>
        </w:rPr>
        <w:t>mundi nodus</w:t>
      </w:r>
      <w:r>
        <w:rPr>
          <w:b w:val="0"/>
          <w:i w:val="0"/>
        </w:rPr>
        <w:t>.</w:t>
      </w:r>
    </w:p>
    <w:p>
      <w:pPr>
        <w:widowControl/>
      </w:pPr>
      <w:r>
        <w:rPr>
          <w:b w:val="0"/>
          <w:i w:val="0"/>
        </w:rPr>
        <w:t xml:space="preserve">The world’s knot or bond, joining lower and higher levels. The soul must reach divine and material orders if it is to perform this mediating function. References: </w:t>
      </w:r>
      <w:hyperlink w:anchor="passage-v-5-7">
        <w:r>
          <w:rPr>
            <w:color w:val="000000"/>
          </w:rPr>
          <w:t xml:space="preserve">V.5.7</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1056" w:name="latin-record-0815"/>
      <w:bookmarkEnd w:id="1056"/>
      <w:r>
        <w:rPr>
          <w:b/>
          <w:i w:val="0"/>
        </w:rPr>
        <w:t>mutabilis / immutabilis</w:t>
      </w:r>
      <w:r>
        <w:rPr>
          <w:b/>
          <w:i w:val="0"/>
        </w:rPr>
        <w:t>.</w:t>
      </w:r>
      <w:r>
        <w:rPr>
          <w:b w:val="0"/>
          <w:i w:val="0"/>
        </w:rPr>
        <w:t xml:space="preserve"> Printed forms: </w:t>
      </w:r>
      <w:r>
        <w:rPr>
          <w:b w:val="0"/>
          <w:i/>
        </w:rPr>
        <w:t>immutabiles</w:t>
      </w:r>
      <w:r>
        <w:rPr>
          <w:b w:val="0"/>
          <w:i w:val="0"/>
        </w:rPr>
        <w:t xml:space="preserve">; </w:t>
      </w:r>
      <w:r>
        <w:rPr>
          <w:b w:val="0"/>
          <w:i/>
        </w:rPr>
        <w:t>mutabilia</w:t>
      </w:r>
      <w:r>
        <w:rPr>
          <w:b w:val="0"/>
          <w:i w:val="0"/>
        </w:rPr>
        <w:t>.</w:t>
      </w:r>
    </w:p>
    <w:p>
      <w:pPr>
        <w:widowControl/>
      </w:pPr>
      <w:r>
        <w:rPr>
          <w:b w:val="0"/>
          <w:i w:val="0"/>
        </w:rPr>
        <w:t xml:space="preserve">Capable or incapable of change in the relevant nature or account. Universal principles are said to be unable to be otherwise, whereas bodily instances are subject to alteration. References: </w:t>
      </w:r>
      <w:hyperlink w:anchor="passage-viii-2-7">
        <w:r>
          <w:rPr>
            <w:color w:val="000000"/>
          </w:rPr>
          <w:t xml:space="preserve">VIII.2.7</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057" w:name="latin-record-0816"/>
      <w:bookmarkEnd w:id="1057"/>
      <w:r>
        <w:rPr>
          <w:b/>
          <w:i w:val="0"/>
        </w:rPr>
        <w:t>mutare / mutatio</w:t>
      </w:r>
      <w:r>
        <w:rPr>
          <w:b/>
          <w:i w:val="0"/>
        </w:rPr>
        <w:t>.</w:t>
      </w:r>
      <w:r>
        <w:rPr>
          <w:b w:val="0"/>
          <w:i w:val="0"/>
        </w:rPr>
        <w:t xml:space="preserve"> Printed forms: </w:t>
      </w:r>
      <w:r>
        <w:rPr>
          <w:b w:val="0"/>
          <w:i/>
        </w:rPr>
        <w:t>Mutabile</w:t>
      </w:r>
      <w:r>
        <w:rPr>
          <w:b w:val="0"/>
          <w:i w:val="0"/>
        </w:rPr>
        <w:t xml:space="preserve">; </w:t>
      </w:r>
      <w:r>
        <w:rPr>
          <w:b w:val="0"/>
          <w:i/>
        </w:rPr>
        <w:t>Mutabiles</w:t>
      </w:r>
      <w:r>
        <w:rPr>
          <w:b w:val="0"/>
          <w:i w:val="0"/>
        </w:rPr>
        <w:t xml:space="preserve">; </w:t>
      </w:r>
      <w:r>
        <w:rPr>
          <w:b w:val="0"/>
          <w:i/>
        </w:rPr>
        <w:t>mutabili</w:t>
      </w:r>
      <w:r>
        <w:rPr>
          <w:b w:val="0"/>
          <w:i w:val="0"/>
        </w:rPr>
        <w:t xml:space="preserve">; </w:t>
      </w:r>
      <w:r>
        <w:rPr>
          <w:b w:val="0"/>
          <w:i/>
        </w:rPr>
        <w:t>mutabiliter</w:t>
      </w:r>
      <w:r>
        <w:rPr>
          <w:b w:val="0"/>
          <w:i w:val="0"/>
        </w:rPr>
        <w:t xml:space="preserve">; </w:t>
      </w:r>
      <w:r>
        <w:rPr>
          <w:b w:val="0"/>
          <w:i/>
        </w:rPr>
        <w:t>mutatio</w:t>
      </w:r>
      <w:r>
        <w:rPr>
          <w:b w:val="0"/>
          <w:i w:val="0"/>
        </w:rPr>
        <w:t xml:space="preserve">; </w:t>
      </w:r>
      <w:r>
        <w:rPr>
          <w:b w:val="0"/>
          <w:i/>
        </w:rPr>
        <w:t>mutationis</w:t>
      </w:r>
      <w:r>
        <w:rPr>
          <w:b w:val="0"/>
          <w:i w:val="0"/>
        </w:rPr>
        <w:t xml:space="preserve">; </w:t>
      </w:r>
      <w:r>
        <w:rPr>
          <w:b w:val="0"/>
          <w:i/>
        </w:rPr>
        <w:t>mutatur</w:t>
      </w:r>
      <w:r>
        <w:rPr>
          <w:b w:val="0"/>
          <w:i w:val="0"/>
        </w:rPr>
        <w:t xml:space="preserve">; </w:t>
      </w:r>
      <w:r>
        <w:rPr>
          <w:b w:val="0"/>
          <w:i/>
        </w:rPr>
        <w:t>mutetur</w:t>
      </w:r>
      <w:r>
        <w:rPr>
          <w:b w:val="0"/>
          <w:i w:val="0"/>
        </w:rPr>
        <w:t>.</w:t>
      </w:r>
    </w:p>
    <w:p>
      <w:pPr>
        <w:widowControl/>
      </w:pPr>
      <w:r>
        <w:rPr>
          <w:b w:val="0"/>
          <w:i w:val="0"/>
        </w:rPr>
        <w:t xml:space="preserve">To change and changeability, whether in operation, material constitution or essence. The stable-essence/mobile-operation distinction prevents every altered bodily or cognitive condition from counting as soul’s destruction. References: </w:t>
      </w:r>
      <w:hyperlink w:anchor="passage-v-2-1">
        <w:r>
          <w:rPr>
            <w:color w:val="000000"/>
          </w:rPr>
          <w:t xml:space="preserve">V.2.1</w:t>
        </w:r>
      </w:hyperlink>
      <w:r>
        <w:rPr>
          <w:b w:val="0"/>
          <w:i w:val="0"/>
        </w:rPr>
        <w:t xml:space="preserve">, </w:t>
      </w:r>
      <w:hyperlink w:anchor="passage-v-10-2">
        <w:r>
          <w:rPr>
            <w:color w:val="000000"/>
          </w:rPr>
          <w:t xml:space="preserve">V.10.2</w:t>
        </w:r>
      </w:hyperlink>
      <w:r>
        <w:rPr>
          <w:b w:val="0"/>
          <w:i w:val="0"/>
        </w:rPr>
        <w:t xml:space="preserve">, </w:t>
      </w:r>
      <w:hyperlink w:anchor="passage-v-12-13">
        <w:r>
          <w:rPr>
            <w:color w:val="000000"/>
          </w:rPr>
          <w:t xml:space="preserve">V.12.13</w:t>
        </w:r>
      </w:hyperlink>
      <w:r>
        <w:rPr>
          <w:b w:val="0"/>
          <w:i w:val="0"/>
        </w:rPr>
        <w:t xml:space="preserve">, </w:t>
      </w:r>
      <w:hyperlink w:anchor="passage-v-15-13">
        <w:r>
          <w:rPr>
            <w:color w:val="000000"/>
          </w:rPr>
          <w:t xml:space="preserve">V.15.13</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058" w:name="latin-record-0817"/>
      <w:bookmarkEnd w:id="1058"/>
      <w:r>
        <w:rPr>
          <w:b/>
          <w:i w:val="0"/>
        </w:rPr>
        <w:t>mutare speciem</w:t>
      </w:r>
      <w:r>
        <w:rPr>
          <w:b/>
          <w:i w:val="0"/>
        </w:rPr>
        <w:t>.</w:t>
      </w:r>
      <w:r>
        <w:rPr>
          <w:b w:val="0"/>
          <w:i w:val="0"/>
        </w:rPr>
        <w:t xml:space="preserve"> Printed forms: </w:t>
      </w:r>
      <w:r>
        <w:rPr>
          <w:b w:val="0"/>
          <w:i/>
        </w:rPr>
        <w:t>mutant speciem</w:t>
      </w:r>
      <w:r>
        <w:rPr>
          <w:b w:val="0"/>
          <w:i w:val="0"/>
        </w:rPr>
        <w:t>.</w:t>
      </w:r>
    </w:p>
    <w:p>
      <w:pPr>
        <w:widowControl/>
      </w:pPr>
      <w:r>
        <w:rPr>
          <w:b w:val="0"/>
          <w:i w:val="0"/>
        </w:rPr>
        <w:t xml:space="preserve">To change the kind or substantial character. The members’ change upon removal of soul is offered as evidence that soul imparts substantial being. References: </w:t>
      </w:r>
      <w:hyperlink w:anchor="passage-vi-9-2">
        <w:r>
          <w:rPr>
            <w:color w:val="000000"/>
          </w:rPr>
          <w:t xml:space="preserve">VI.9.2</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1059" w:name="latin-record-0818"/>
      <w:bookmarkEnd w:id="1059"/>
      <w:r>
        <w:rPr>
          <w:b/>
          <w:i w:val="0"/>
        </w:rPr>
        <w:t>mutatio / mutare</w:t>
      </w:r>
      <w:r>
        <w:rPr>
          <w:b/>
          <w:i w:val="0"/>
        </w:rPr>
        <w:t>.</w:t>
      </w:r>
      <w:r>
        <w:rPr>
          <w:b w:val="0"/>
          <w:i w:val="0"/>
        </w:rPr>
        <w:t xml:space="preserve"> Printed forms: </w:t>
      </w:r>
      <w:r>
        <w:rPr>
          <w:b w:val="0"/>
          <w:i/>
        </w:rPr>
        <w:t>mutatio</w:t>
      </w:r>
      <w:r>
        <w:rPr>
          <w:b w:val="0"/>
          <w:i w:val="0"/>
        </w:rPr>
        <w:t xml:space="preserve">; </w:t>
      </w:r>
      <w:r>
        <w:rPr>
          <w:b w:val="0"/>
          <w:i/>
        </w:rPr>
        <w:t>mutationem</w:t>
      </w:r>
      <w:r>
        <w:rPr>
          <w:b w:val="0"/>
          <w:i w:val="0"/>
        </w:rPr>
        <w:t xml:space="preserve">; </w:t>
      </w:r>
      <w:r>
        <w:rPr>
          <w:b w:val="0"/>
          <w:i/>
        </w:rPr>
        <w:t>mutet</w:t>
      </w:r>
      <w:r>
        <w:rPr>
          <w:b w:val="0"/>
          <w:i w:val="0"/>
        </w:rPr>
        <w:t xml:space="preserve">; </w:t>
      </w:r>
      <w:r>
        <w:rPr>
          <w:b w:val="0"/>
          <w:i/>
        </w:rPr>
        <w:t>permutatur</w:t>
      </w:r>
      <w:r>
        <w:rPr>
          <w:b w:val="0"/>
          <w:i w:val="0"/>
        </w:rPr>
        <w:t xml:space="preserve">; </w:t>
      </w:r>
      <w:r>
        <w:rPr>
          <w:b w:val="0"/>
          <w:i/>
        </w:rPr>
        <w:t>variatur</w:t>
      </w:r>
      <w:r>
        <w:rPr>
          <w:b w:val="0"/>
          <w:i w:val="0"/>
        </w:rPr>
        <w:t>.</w:t>
      </w:r>
    </w:p>
    <w:p>
      <w:pPr>
        <w:widowControl/>
      </w:pPr>
      <w:r>
        <w:rPr>
          <w:b w:val="0"/>
          <w:i w:val="0"/>
        </w:rPr>
        <w:t xml:space="preserve">Change or alteration of state, distinguished from stable intelligible content. Bodily conditions alter sensory appetite, while reason’s immutable accounts are used to establish a different mode of cognitive being. References: </w:t>
      </w:r>
      <w:hyperlink w:anchor="passage-viii-2-6">
        <w:r>
          <w:rPr>
            <w:color w:val="000000"/>
          </w:rPr>
          <w:t xml:space="preserve">VIII.2.6</w:t>
        </w:r>
      </w:hyperlink>
      <w:r>
        <w:rPr>
          <w:b w:val="0"/>
          <w:i w:val="0"/>
        </w:rPr>
        <w:t xml:space="preserve">, </w:t>
      </w:r>
      <w:hyperlink w:anchor="passage-viii-4-3">
        <w:r>
          <w:rPr>
            <w:color w:val="000000"/>
          </w:rPr>
          <w:t xml:space="preserve">VIII.4.3</w:t>
        </w:r>
      </w:hyperlink>
      <w:r>
        <w:rPr>
          <w:b w:val="0"/>
          <w:i w:val="0"/>
        </w:rPr>
        <w:t xml:space="preserve">, </w:t>
      </w:r>
      <w:hyperlink w:anchor="passage-viii-13-2">
        <w:r>
          <w:rPr>
            <w:color w:val="000000"/>
          </w:rPr>
          <w:t xml:space="preserve">VIII.13.2</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060" w:name="latin-record-0819"/>
      <w:bookmarkEnd w:id="1060"/>
      <w:r>
        <w:rPr>
          <w:b/>
          <w:i w:val="0"/>
        </w:rPr>
        <w:t>mutuare vitam</w:t>
      </w:r>
      <w:r>
        <w:rPr>
          <w:b/>
          <w:i w:val="0"/>
        </w:rPr>
        <w:t>.</w:t>
      </w:r>
      <w:r>
        <w:rPr>
          <w:b w:val="0"/>
          <w:i w:val="0"/>
        </w:rPr>
        <w:t xml:space="preserve"> Printed forms: </w:t>
      </w:r>
      <w:r>
        <w:rPr>
          <w:b w:val="0"/>
          <w:i/>
        </w:rPr>
        <w:t>vitam ab anima mutuari</w:t>
      </w:r>
      <w:r>
        <w:rPr>
          <w:b w:val="0"/>
          <w:i w:val="0"/>
        </w:rPr>
        <w:t xml:space="preserve">; </w:t>
      </w:r>
      <w:r>
        <w:rPr>
          <w:b w:val="0"/>
          <w:i/>
        </w:rPr>
        <w:t>vitam animae mutuet</w:t>
      </w:r>
      <w:r>
        <w:rPr>
          <w:b w:val="0"/>
          <w:i w:val="0"/>
        </w:rPr>
        <w:t>.</w:t>
      </w:r>
    </w:p>
    <w:p>
      <w:pPr>
        <w:widowControl/>
      </w:pPr>
      <w:r>
        <w:rPr>
          <w:b w:val="0"/>
          <w:i w:val="0"/>
        </w:rPr>
        <w:t xml:space="preserve">Lending life to soul and borrowing life from soul. Lifeless food cannot first give the very life it must receive from the soul it is supposed to nourish. References: </w:t>
      </w:r>
      <w:hyperlink w:anchor="passage-vi-13-3">
        <w:r>
          <w:rPr>
            <w:color w:val="000000"/>
          </w:rPr>
          <w:t xml:space="preserve">VI.13.3</w:t>
        </w:r>
      </w:hyperlink>
      <w:r>
        <w:rPr>
          <w:b w:val="0"/>
          <w:i w:val="0"/>
        </w:rPr>
        <w:t xml:space="preserve">. See </w:t>
      </w:r>
      <w:hyperlink w:anchor="food-lending-and-borrowing-life">
        <w:r>
          <w:rPr>
            <w:color w:val="000000"/>
          </w:rPr>
          <w:t xml:space="preserve">Food, lending and borrowing life</w:t>
        </w:r>
      </w:hyperlink>
      <w:r>
        <w:rPr>
          <w:b w:val="0"/>
          <w:i w:val="0"/>
        </w:rPr>
        <w:t>.</w:t>
      </w:r>
    </w:p>
    <w:p>
      <w:pPr>
        <w:keepNext/>
        <w:widowControl/>
      </w:pPr>
      <w:bookmarkStart w:id="1061" w:name="latin-record-0820"/>
      <w:bookmarkEnd w:id="1061"/>
      <w:r>
        <w:rPr>
          <w:b/>
          <w:i w:val="0"/>
        </w:rPr>
        <w:t>mutuari</w:t>
      </w:r>
      <w:r>
        <w:rPr>
          <w:b/>
          <w:i w:val="0"/>
        </w:rPr>
        <w:t>.</w:t>
      </w:r>
      <w:r>
        <w:rPr>
          <w:b w:val="0"/>
          <w:i w:val="0"/>
        </w:rPr>
        <w:t xml:space="preserve"> Printed forms: </w:t>
      </w:r>
      <w:r>
        <w:rPr>
          <w:b w:val="0"/>
          <w:i/>
        </w:rPr>
        <w:t>mutuari</w:t>
      </w:r>
      <w:r>
        <w:rPr>
          <w:b w:val="0"/>
          <w:i w:val="0"/>
        </w:rPr>
        <w:t xml:space="preserve">; </w:t>
      </w:r>
      <w:r>
        <w:rPr>
          <w:b w:val="0"/>
          <w:i/>
        </w:rPr>
        <w:t>mutuatur</w:t>
      </w:r>
      <w:r>
        <w:rPr>
          <w:b w:val="0"/>
          <w:i w:val="0"/>
        </w:rPr>
        <w:t>.</w:t>
      </w:r>
    </w:p>
    <w:p>
      <w:pPr>
        <w:widowControl/>
      </w:pPr>
      <w:r>
        <w:rPr>
          <w:b w:val="0"/>
          <w:i w:val="0"/>
        </w:rPr>
        <w:t xml:space="preserve">To borrow or receive from something else. A composite said to move itself only because its parts do so possesses motion derivatively, not through its own primary nature. References: </w:t>
      </w:r>
      <w:hyperlink w:anchor="passage-vi-12-6">
        <w:r>
          <w:rPr>
            <w:color w:val="000000"/>
          </w:rPr>
          <w:t xml:space="preserve">VI.12.6</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062" w:name="latin-record-0821"/>
      <w:bookmarkEnd w:id="1062"/>
      <w:r>
        <w:rPr>
          <w:b/>
          <w:i w:val="0"/>
        </w:rPr>
        <w:t>Naldius; Fontius; Bonisegnius</w:t>
      </w:r>
      <w:r>
        <w:rPr>
          <w:b/>
          <w:i w:val="0"/>
        </w:rPr>
        <w:t>.</w:t>
      </w:r>
      <w:r>
        <w:rPr>
          <w:b w:val="0"/>
          <w:i w:val="0"/>
        </w:rPr>
        <w:t xml:space="preserve"> Printed forms: </w:t>
      </w:r>
      <w:r>
        <w:rPr>
          <w:b w:val="0"/>
          <w:i/>
        </w:rPr>
        <w:t>Bartholomaeus Fontius</w:t>
      </w:r>
      <w:r>
        <w:rPr>
          <w:b w:val="0"/>
          <w:i w:val="0"/>
        </w:rPr>
        <w:t xml:space="preserve">; </w:t>
      </w:r>
      <w:r>
        <w:rPr>
          <w:b w:val="0"/>
          <w:i/>
        </w:rPr>
        <w:t>Ioannes Baptista Bonisegnius</w:t>
      </w:r>
      <w:r>
        <w:rPr>
          <w:b w:val="0"/>
          <w:i w:val="0"/>
        </w:rPr>
        <w:t xml:space="preserve">; </w:t>
      </w:r>
      <w:r>
        <w:rPr>
          <w:b w:val="0"/>
          <w:i/>
        </w:rPr>
        <w:t>Naldus Naldius</w:t>
      </w:r>
      <w:r>
        <w:rPr>
          <w:b w:val="0"/>
          <w:i w:val="0"/>
        </w:rPr>
        <w:t>.</w:t>
      </w:r>
    </w:p>
    <w:p>
      <w:pPr>
        <w:widowControl/>
      </w:pPr>
      <w:r>
        <w:rPr>
          <w:b w:val="0"/>
          <w:i w:val="0"/>
        </w:rPr>
        <w:t xml:space="preserve">Naldo Naldi, Bartolomeo Fonzio and Giovanni Battista Boninsegni, learned witnesses in the narrative. They are named as friends present when the Peripatetic agreement was reached. References: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063" w:name="latin-record-0822"/>
      <w:bookmarkEnd w:id="1063"/>
      <w:r>
        <w:rPr>
          <w:b/>
          <w:i w:val="0"/>
        </w:rPr>
        <w:t>nascendi potentia</w:t>
      </w:r>
      <w:r>
        <w:rPr>
          <w:b/>
          <w:i w:val="0"/>
        </w:rPr>
        <w:t>.</w:t>
      </w:r>
      <w:r>
        <w:rPr>
          <w:b w:val="0"/>
          <w:i w:val="0"/>
        </w:rPr>
        <w:t xml:space="preserve"> Printed forms: </w:t>
      </w:r>
      <w:r>
        <w:rPr>
          <w:b w:val="0"/>
          <w:i/>
        </w:rPr>
        <w:t>nascendi potentia</w:t>
      </w:r>
      <w:r>
        <w:rPr>
          <w:b w:val="0"/>
          <w:i w:val="0"/>
        </w:rPr>
        <w:t xml:space="preserve">; </w:t>
      </w:r>
      <w:r>
        <w:rPr>
          <w:b w:val="0"/>
          <w:i/>
        </w:rPr>
        <w:t>potentia essendi</w:t>
      </w:r>
      <w:r>
        <w:rPr>
          <w:b w:val="0"/>
          <w:i w:val="0"/>
        </w:rPr>
        <w:t>.</w:t>
      </w:r>
    </w:p>
    <w:p>
      <w:pPr>
        <w:widowControl/>
      </w:pPr>
      <w:r>
        <w:rPr>
          <w:b w:val="0"/>
          <w:i w:val="0"/>
        </w:rPr>
        <w:t xml:space="preserve">The capacity for the soul’s coming-to-be. It is absent from the not-yet-existent soul, any part, matter and nothing, so Ficino locates it in divine productive power. References: </w:t>
      </w:r>
      <w:hyperlink w:anchor="passage-v-12-10">
        <w:r>
          <w:rPr>
            <w:color w:val="000000"/>
          </w:rPr>
          <w:t xml:space="preserve">V.12.10</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064" w:name="latin-record-0823"/>
      <w:bookmarkEnd w:id="1064"/>
      <w:r>
        <w:rPr>
          <w:b/>
          <w:i w:val="0"/>
        </w:rPr>
        <w:t>natura</w:t>
      </w:r>
      <w:r>
        <w:rPr>
          <w:b/>
          <w:i w:val="0"/>
        </w:rPr>
        <w:t>.</w:t>
      </w:r>
      <w:r>
        <w:rPr>
          <w:b w:val="0"/>
          <w:i w:val="0"/>
        </w:rPr>
        <w:t xml:space="preserve"> Printed forms: </w:t>
      </w:r>
      <w:r>
        <w:rPr>
          <w:b w:val="0"/>
          <w:i/>
        </w:rPr>
        <w:t>natura</w:t>
      </w:r>
      <w:r>
        <w:rPr>
          <w:b w:val="0"/>
          <w:i w:val="0"/>
        </w:rPr>
        <w:t xml:space="preserve">; </w:t>
      </w:r>
      <w:r>
        <w:rPr>
          <w:b w:val="0"/>
          <w:i/>
        </w:rPr>
        <w:t>Natura</w:t>
      </w:r>
      <w:r>
        <w:rPr>
          <w:b w:val="0"/>
          <w:i w:val="0"/>
        </w:rPr>
        <w:t xml:space="preserve">; </w:t>
      </w:r>
      <w:r>
        <w:rPr>
          <w:b w:val="0"/>
          <w:i/>
        </w:rPr>
        <w:t>naturae</w:t>
      </w:r>
      <w:r>
        <w:rPr>
          <w:b w:val="0"/>
          <w:i w:val="0"/>
        </w:rPr>
        <w:t xml:space="preserve">; </w:t>
      </w:r>
      <w:r>
        <w:rPr>
          <w:b w:val="0"/>
          <w:i/>
        </w:rPr>
        <w:t>naturam</w:t>
      </w:r>
      <w:r>
        <w:rPr>
          <w:b w:val="0"/>
          <w:i w:val="0"/>
        </w:rPr>
        <w:t xml:space="preserve">; </w:t>
      </w:r>
      <w:r>
        <w:rPr>
          <w:b w:val="0"/>
          <w:i/>
        </w:rPr>
        <w:t>Naturam</w:t>
      </w:r>
      <w:r>
        <w:rPr>
          <w:b w:val="0"/>
          <w:i w:val="0"/>
        </w:rPr>
        <w:t>.</w:t>
      </w:r>
    </w:p>
    <w:p>
      <w:pPr>
        <w:widowControl/>
      </w:pPr>
      <w:r>
        <w:rPr>
          <w:b w:val="0"/>
          <w:i w:val="0"/>
        </w:rPr>
        <w:t xml:space="preserve">Nature, either a thing’s proper constitution or the productive order of natural agents. Nature as artisan forms a substrate; a form’s own nature also means the determinate mode assigned by its maker. References: </w:t>
      </w:r>
      <w:hyperlink w:anchor="passage-v-4-1">
        <w:r>
          <w:rPr>
            <w:color w:val="000000"/>
          </w:rPr>
          <w:t xml:space="preserve">V.4.1</w:t>
        </w:r>
      </w:hyperlink>
      <w:r>
        <w:rPr>
          <w:b w:val="0"/>
          <w:i w:val="0"/>
        </w:rPr>
        <w:t xml:space="preserve">, </w:t>
      </w:r>
      <w:hyperlink w:anchor="passage-v-9-2">
        <w:r>
          <w:rPr>
            <w:color w:val="000000"/>
          </w:rPr>
          <w:t xml:space="preserve">V.9.2</w:t>
        </w:r>
      </w:hyperlink>
      <w:r>
        <w:rPr>
          <w:b w:val="0"/>
          <w:i w:val="0"/>
        </w:rPr>
        <w:t xml:space="preserve">, </w:t>
      </w:r>
      <w:hyperlink w:anchor="passage-v-13-5">
        <w:r>
          <w:rPr>
            <w:color w:val="000000"/>
          </w:rPr>
          <w:t xml:space="preserve">V.13.5</w:t>
        </w:r>
      </w:hyperlink>
      <w:r>
        <w:rPr>
          <w:b w:val="0"/>
          <w:i w:val="0"/>
        </w:rPr>
        <w:t xml:space="preserve">. See </w:t>
      </w:r>
      <w:hyperlink w:anchor="art-and-elemental-transformation">
        <w:r>
          <w:rPr>
            <w:color w:val="000000"/>
          </w:rPr>
          <w:t xml:space="preserve">Art and elemental transformation</w:t>
        </w:r>
      </w:hyperlink>
      <w:r>
        <w:rPr>
          <w:b w:val="0"/>
          <w:i w:val="0"/>
        </w:rPr>
        <w:t>.</w:t>
      </w:r>
    </w:p>
    <w:p>
      <w:pPr>
        <w:widowControl/>
      </w:pPr>
      <w:r>
        <w:rPr>
          <w:b w:val="0"/>
          <w:i w:val="0"/>
        </w:rPr>
        <w:t xml:space="preserve">A thing’s defining nature or characteristic way of being and acting. The book distinguishes common nature, particular embodiment and the natural mode of an intellectual power; naturalness concerns explanatory fitness, not merely frequency.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8">
        <w:r>
          <w:rPr>
            <w:color w:val="000000"/>
          </w:rPr>
          <w:t xml:space="preserve">VIII.2.8</w:t>
        </w:r>
      </w:hyperlink>
      <w:r>
        <w:rPr>
          <w:b w:val="0"/>
          <w:i w:val="0"/>
        </w:rPr>
        <w:t xml:space="preserve">, </w:t>
      </w:r>
      <w:hyperlink w:anchor="passage-viii-3-6">
        <w:r>
          <w:rPr>
            <w:color w:val="000000"/>
          </w:rPr>
          <w:t xml:space="preserve">VIII.3.6</w:t>
        </w:r>
      </w:hyperlink>
      <w:r>
        <w:rPr>
          <w:b w:val="0"/>
          <w:i w:val="0"/>
        </w:rPr>
        <w:t xml:space="preserve">,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w:t>
      </w:r>
      <w:hyperlink w:anchor="passage-viii-4-12">
        <w:r>
          <w:rPr>
            <w:color w:val="000000"/>
          </w:rPr>
          <w:t xml:space="preserve">VIII.4.12</w:t>
        </w:r>
      </w:hyperlink>
      <w:r>
        <w:rPr>
          <w:b w:val="0"/>
          <w:i w:val="0"/>
        </w:rPr>
        <w:t xml:space="preserve">, </w:t>
      </w:r>
      <w:hyperlink w:anchor="passage-viii-4-13">
        <w:r>
          <w:rPr>
            <w:color w:val="000000"/>
          </w:rPr>
          <w:t xml:space="preserve">VIII.4.13</w:t>
        </w:r>
      </w:hyperlink>
      <w:r>
        <w:rPr>
          <w:b w:val="0"/>
          <w:i w:val="0"/>
        </w:rPr>
        <w:t xml:space="preserve">, </w:t>
      </w:r>
      <w:hyperlink w:anchor="passage-viii-5-2">
        <w:r>
          <w:rPr>
            <w:color w:val="000000"/>
          </w:rPr>
          <w:t xml:space="preserve">VIII.5.2</w:t>
        </w:r>
      </w:hyperlink>
      <w:r>
        <w:rPr>
          <w:b w:val="0"/>
          <w:i w:val="0"/>
        </w:rPr>
        <w:t xml:space="preserve">,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8-1">
        <w:r>
          <w:rPr>
            <w:color w:val="000000"/>
          </w:rPr>
          <w:t xml:space="preserve">VIII.8.1</w:t>
        </w:r>
      </w:hyperlink>
      <w:r>
        <w:rPr>
          <w:b w:val="0"/>
          <w:i w:val="0"/>
        </w:rPr>
        <w:t xml:space="preserve">, </w:t>
      </w:r>
      <w:hyperlink w:anchor="passage-viii-9-1">
        <w:r>
          <w:rPr>
            <w:color w:val="000000"/>
          </w:rPr>
          <w:t xml:space="preserve">VIII.9.1</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1-1">
        <w:r>
          <w:rPr>
            <w:color w:val="000000"/>
          </w:rPr>
          <w:t xml:space="preserve">VIII.11.1</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065" w:name="latin-record-0824"/>
      <w:bookmarkEnd w:id="1065"/>
      <w:r>
        <w:rPr>
          <w:b/>
          <w:i w:val="0"/>
        </w:rPr>
        <w:t>natura / naturalis</w:t>
      </w:r>
      <w:r>
        <w:rPr>
          <w:b/>
          <w:i w:val="0"/>
        </w:rPr>
        <w:t>.</w:t>
      </w:r>
      <w:r>
        <w:rPr>
          <w:b w:val="0"/>
          <w:i w:val="0"/>
        </w:rPr>
        <w:t xml:space="preserve"> Printed forms: </w:t>
      </w:r>
      <w:r>
        <w:rPr>
          <w:b w:val="0"/>
          <w:i/>
        </w:rPr>
        <w:t>natura</w:t>
      </w:r>
      <w:r>
        <w:rPr>
          <w:b w:val="0"/>
          <w:i w:val="0"/>
        </w:rPr>
        <w:t xml:space="preserve">; </w:t>
      </w:r>
      <w:r>
        <w:rPr>
          <w:b w:val="0"/>
          <w:i/>
        </w:rPr>
        <w:t>naturalem</w:t>
      </w:r>
      <w:r>
        <w:rPr>
          <w:b w:val="0"/>
          <w:i w:val="0"/>
        </w:rPr>
        <w:t xml:space="preserve">; </w:t>
      </w:r>
      <w:r>
        <w:rPr>
          <w:b w:val="0"/>
          <w:i/>
        </w:rPr>
        <w:t>naturali</w:t>
      </w:r>
      <w:r>
        <w:rPr>
          <w:b w:val="0"/>
          <w:i w:val="0"/>
        </w:rPr>
        <w:t>.</w:t>
      </w:r>
    </w:p>
    <w:p>
      <w:pPr>
        <w:widowControl/>
      </w:pPr>
      <w:r>
        <w:rPr>
          <w:b w:val="0"/>
          <w:i w:val="0"/>
        </w:rPr>
        <w:t xml:space="preserve">A thing’s nature or a condition proper to its kind. The source distinguishes the natural structure of fragments, the nature of bodily constitution and the soul’s natural state; natural does not always mean elemental or material. References: </w:t>
      </w:r>
      <w:hyperlink w:anchor="passage-vii-4-1">
        <w:r>
          <w:rPr>
            <w:color w:val="000000"/>
          </w:rPr>
          <w:t xml:space="preserve">VII.4.1</w:t>
        </w:r>
      </w:hyperlink>
      <w:r>
        <w:rPr>
          <w:b w:val="0"/>
          <w:i w:val="0"/>
        </w:rPr>
        <w:t xml:space="preserve">, </w:t>
      </w:r>
      <w:hyperlink w:anchor="passage-vii-5-4">
        <w:r>
          <w:rPr>
            <w:color w:val="000000"/>
          </w:rPr>
          <w:t xml:space="preserve">VII.5.4</w:t>
        </w:r>
      </w:hyperlink>
      <w:r>
        <w:rPr>
          <w:b w:val="0"/>
          <w:i w:val="0"/>
        </w:rPr>
        <w:t xml:space="preserve">, </w:t>
      </w:r>
      <w:hyperlink w:anchor="passage-vii-9-1">
        <w:r>
          <w:rPr>
            <w:color w:val="000000"/>
          </w:rPr>
          <w:t xml:space="preserve">VII.9.1</w:t>
        </w:r>
      </w:hyperlink>
      <w:r>
        <w:rPr>
          <w:b w:val="0"/>
          <w:i w:val="0"/>
        </w:rPr>
        <w:t xml:space="preserve">, </w:t>
      </w:r>
      <w:hyperlink w:anchor="passage-vii-15-1">
        <w:r>
          <w:rPr>
            <w:color w:val="000000"/>
          </w:rPr>
          <w:t xml:space="preserve">VII.15.1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066" w:name="latin-record-0825"/>
      <w:bookmarkEnd w:id="1066"/>
      <w:r>
        <w:rPr>
          <w:b/>
          <w:i w:val="0"/>
        </w:rPr>
        <w:t>natura communis</w:t>
      </w:r>
      <w:r>
        <w:rPr>
          <w:b/>
          <w:i w:val="0"/>
        </w:rPr>
        <w:t>.</w:t>
      </w:r>
      <w:r>
        <w:rPr>
          <w:b w:val="0"/>
          <w:i w:val="0"/>
        </w:rPr>
        <w:t xml:space="preserve"> Printed forms: </w:t>
      </w:r>
      <w:r>
        <w:rPr>
          <w:b w:val="0"/>
          <w:i/>
        </w:rPr>
        <w:t>communem</w:t>
      </w:r>
      <w:r>
        <w:rPr>
          <w:b w:val="0"/>
          <w:i w:val="0"/>
        </w:rPr>
        <w:t xml:space="preserve">; </w:t>
      </w:r>
      <w:r>
        <w:rPr>
          <w:b w:val="0"/>
          <w:i/>
        </w:rPr>
        <w:t>communes</w:t>
      </w:r>
      <w:r>
        <w:rPr>
          <w:b w:val="0"/>
          <w:i w:val="0"/>
        </w:rPr>
        <w:t xml:space="preserve">; </w:t>
      </w:r>
      <w:r>
        <w:rPr>
          <w:b w:val="0"/>
          <w:i/>
        </w:rPr>
        <w:t>communia</w:t>
      </w:r>
      <w:r>
        <w:rPr>
          <w:b w:val="0"/>
          <w:i w:val="0"/>
        </w:rPr>
        <w:t xml:space="preserve">; </w:t>
      </w:r>
      <w:r>
        <w:rPr>
          <w:b w:val="0"/>
          <w:i/>
        </w:rPr>
        <w:t>communis</w:t>
      </w:r>
      <w:r>
        <w:rPr>
          <w:b w:val="0"/>
          <w:i w:val="0"/>
        </w:rPr>
        <w:t>.</w:t>
      </w:r>
    </w:p>
    <w:p>
      <w:pPr>
        <w:widowControl/>
      </w:pPr>
      <w:r>
        <w:rPr>
          <w:b w:val="0"/>
          <w:i w:val="0"/>
        </w:rPr>
        <w:t xml:space="preserve">A nature or intelligible content shared across many individuals without restriction to one instance. Humanity is common to Plato and others; the common nature in instances is then distinguished from its self-subsisting divine exemplar.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4-6">
        <w:r>
          <w:rPr>
            <w:color w:val="000000"/>
          </w:rPr>
          <w:t xml:space="preserve">VIII.4.6</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067" w:name="latin-record-0826"/>
      <w:bookmarkEnd w:id="1067"/>
      <w:r>
        <w:rPr>
          <w:b/>
          <w:i w:val="0"/>
        </w:rPr>
        <w:t>natura praeter corporis rationem</w:t>
      </w:r>
      <w:r>
        <w:rPr>
          <w:b/>
          <w:i w:val="0"/>
        </w:rPr>
        <w:t>.</w:t>
      </w:r>
      <w:r>
        <w:rPr>
          <w:b w:val="0"/>
          <w:i w:val="0"/>
        </w:rPr>
        <w:t xml:space="preserve"> Printed forms: </w:t>
      </w:r>
      <w:r>
        <w:rPr>
          <w:b w:val="0"/>
          <w:i/>
        </w:rPr>
        <w:t>natura praeter corporis rationem</w:t>
      </w:r>
      <w:r>
        <w:rPr>
          <w:b w:val="0"/>
          <w:i w:val="0"/>
        </w:rPr>
        <w:t>.</w:t>
      </w:r>
    </w:p>
    <w:p>
      <w:pPr>
        <w:widowControl/>
      </w:pPr>
      <w:r>
        <w:rPr>
          <w:b w:val="0"/>
          <w:i w:val="0"/>
        </w:rPr>
        <w:t xml:space="preserve">A further nature beyond the defining account of body. The conclusion names this life-giving nature soul and life, completing the reply to the opponent’s change from animated to animal body. References: </w:t>
      </w:r>
      <w:hyperlink w:anchor="passage-vi-5-5">
        <w:r>
          <w:rPr>
            <w:color w:val="000000"/>
          </w:rPr>
          <w:t xml:space="preserve">VI.5.5</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068" w:name="latin-record-0827"/>
      <w:bookmarkEnd w:id="1068"/>
      <w:r>
        <w:rPr>
          <w:b/>
          <w:i w:val="0"/>
        </w:rPr>
        <w:t>natura; naturalis</w:t>
      </w:r>
      <w:r>
        <w:rPr>
          <w:b/>
          <w:i w:val="0"/>
        </w:rPr>
        <w:t>.</w:t>
      </w:r>
      <w:r>
        <w:rPr>
          <w:b w:val="0"/>
          <w:i w:val="0"/>
        </w:rPr>
        <w:t xml:space="preserve"> Printed forms: </w:t>
      </w:r>
      <w:r>
        <w:rPr>
          <w:b w:val="0"/>
          <w:i/>
        </w:rPr>
        <w:t>natura</w:t>
      </w:r>
      <w:r>
        <w:rPr>
          <w:b w:val="0"/>
          <w:i w:val="0"/>
        </w:rPr>
        <w:t xml:space="preserve">; </w:t>
      </w:r>
      <w:r>
        <w:rPr>
          <w:b w:val="0"/>
          <w:i/>
        </w:rPr>
        <w:t>naturae</w:t>
      </w:r>
      <w:r>
        <w:rPr>
          <w:b w:val="0"/>
          <w:i w:val="0"/>
        </w:rPr>
        <w:t xml:space="preserve">; </w:t>
      </w:r>
      <w:r>
        <w:rPr>
          <w:b w:val="0"/>
          <w:i/>
        </w:rPr>
        <w:t>naturale</w:t>
      </w:r>
      <w:r>
        <w:rPr>
          <w:b w:val="0"/>
          <w:i w:val="0"/>
        </w:rPr>
        <w:t xml:space="preserve">; </w:t>
      </w:r>
      <w:r>
        <w:rPr>
          <w:b w:val="0"/>
          <w:i/>
        </w:rPr>
        <w:t>naturalem</w:t>
      </w:r>
      <w:r>
        <w:rPr>
          <w:b w:val="0"/>
          <w:i w:val="0"/>
        </w:rPr>
        <w:t xml:space="preserve">; </w:t>
      </w:r>
      <w:r>
        <w:rPr>
          <w:b w:val="0"/>
          <w:i/>
        </w:rPr>
        <w:t>naturali</w:t>
      </w:r>
      <w:r>
        <w:rPr>
          <w:b w:val="0"/>
          <w:i w:val="0"/>
        </w:rPr>
        <w:t xml:space="preserve">; </w:t>
      </w:r>
      <w:r>
        <w:rPr>
          <w:b w:val="0"/>
          <w:i/>
        </w:rPr>
        <w:t>naturalis</w:t>
      </w:r>
      <w:r>
        <w:rPr>
          <w:b w:val="0"/>
          <w:i w:val="0"/>
        </w:rPr>
        <w:t xml:space="preserve">; </w:t>
      </w:r>
      <w:r>
        <w:rPr>
          <w:b w:val="0"/>
          <w:i/>
        </w:rPr>
        <w:t>naturam</w:t>
      </w:r>
      <w:r>
        <w:rPr>
          <w:b w:val="0"/>
          <w:i w:val="0"/>
        </w:rPr>
        <w:t>.</w:t>
      </w:r>
    </w:p>
    <w:p>
      <w:pPr>
        <w:widowControl/>
      </w:pPr>
      <w:r>
        <w:rPr>
          <w:b w:val="0"/>
          <w:i w:val="0"/>
        </w:rPr>
        <w:t xml:space="preserve">Nature or a thing’s defining native constitution; natural. Natura can name the vegetative power, the defining character of a body, or the order of nature invoked in a reply; the reference must be specified locally. References: </w:t>
      </w:r>
      <w:hyperlink w:anchor="passage-vi-2-1">
        <w:r>
          <w:rPr>
            <w:color w:val="000000"/>
          </w:rPr>
          <w:t xml:space="preserve">VI.2.1</w:t>
        </w:r>
      </w:hyperlink>
      <w:r>
        <w:rPr>
          <w:b w:val="0"/>
          <w:i w:val="0"/>
        </w:rPr>
        <w:t xml:space="preserve">, </w:t>
      </w:r>
      <w:hyperlink w:anchor="passage-vi-7-1">
        <w:r>
          <w:rPr>
            <w:color w:val="000000"/>
          </w:rPr>
          <w:t xml:space="preserve">VI.7.1</w:t>
        </w:r>
      </w:hyperlink>
      <w:r>
        <w:rPr>
          <w:b w:val="0"/>
          <w:i w:val="0"/>
        </w:rPr>
        <w:t xml:space="preserve">, </w:t>
      </w:r>
      <w:hyperlink w:anchor="passage-vi-11-2">
        <w:r>
          <w:rPr>
            <w:color w:val="000000"/>
          </w:rPr>
          <w:t xml:space="preserve">VI.11.2</w:t>
        </w:r>
      </w:hyperlink>
      <w:r>
        <w:rPr>
          <w:b w:val="0"/>
          <w:i w:val="0"/>
        </w:rPr>
        <w:t xml:space="preserve">, </w:t>
      </w:r>
      <w:hyperlink w:anchor="passage-vi-13-4">
        <w:r>
          <w:rPr>
            <w:color w:val="000000"/>
          </w:rPr>
          <w:t xml:space="preserve">VI.13.4</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069" w:name="latin-record-0828"/>
      <w:bookmarkEnd w:id="1069"/>
      <w:r>
        <w:rPr>
          <w:b/>
          <w:i w:val="0"/>
        </w:rPr>
        <w:t>naturale iudicium</w:t>
      </w:r>
      <w:r>
        <w:rPr>
          <w:b/>
          <w:i w:val="0"/>
        </w:rPr>
        <w:t>.</w:t>
      </w:r>
      <w:r>
        <w:rPr>
          <w:b w:val="0"/>
          <w:i w:val="0"/>
        </w:rPr>
        <w:t xml:space="preserve"> Printed forms: </w:t>
      </w:r>
      <w:r>
        <w:rPr>
          <w:b w:val="0"/>
          <w:i/>
        </w:rPr>
        <w:t>iudicium naturale</w:t>
      </w:r>
      <w:r>
        <w:rPr>
          <w:b w:val="0"/>
          <w:i w:val="0"/>
        </w:rPr>
        <w:t>.</w:t>
      </w:r>
    </w:p>
    <w:p>
      <w:pPr>
        <w:widowControl/>
      </w:pPr>
      <w:r>
        <w:rPr>
          <w:b w:val="0"/>
          <w:i w:val="0"/>
        </w:rPr>
        <w:t xml:space="preserve">A judgement following unadulterated nature rather than acquired external images. Ficino expressly gives this as the warrant for the thought experiment’s conclusion about soul. References: </w:t>
      </w:r>
      <w:hyperlink w:anchor="passage-vi-2-13">
        <w:r>
          <w:rPr>
            <w:color w:val="000000"/>
          </w:rPr>
          <w:t xml:space="preserve">VI.2.13</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1070" w:name="latin-record-0829"/>
      <w:bookmarkEnd w:id="1070"/>
      <w:r>
        <w:rPr>
          <w:b/>
          <w:i w:val="0"/>
        </w:rPr>
        <w:t>naturalis</w:t>
      </w:r>
      <w:r>
        <w:rPr>
          <w:b/>
          <w:i w:val="0"/>
        </w:rPr>
        <w:t>.</w:t>
      </w:r>
      <w:r>
        <w:rPr>
          <w:b w:val="0"/>
          <w:i w:val="0"/>
        </w:rPr>
        <w:t xml:space="preserve"> Printed forms: </w:t>
      </w:r>
      <w:r>
        <w:rPr>
          <w:b w:val="0"/>
          <w:i/>
        </w:rPr>
        <w:t>naturale</w:t>
      </w:r>
      <w:r>
        <w:rPr>
          <w:b w:val="0"/>
          <w:i w:val="0"/>
        </w:rPr>
        <w:t xml:space="preserve">; </w:t>
      </w:r>
      <w:r>
        <w:rPr>
          <w:b w:val="0"/>
          <w:i/>
        </w:rPr>
        <w:t>naturalem</w:t>
      </w:r>
      <w:r>
        <w:rPr>
          <w:b w:val="0"/>
          <w:i w:val="0"/>
        </w:rPr>
        <w:t xml:space="preserve">; </w:t>
      </w:r>
      <w:r>
        <w:rPr>
          <w:b w:val="0"/>
          <w:i/>
        </w:rPr>
        <w:t>naturali</w:t>
      </w:r>
      <w:r>
        <w:rPr>
          <w:b w:val="0"/>
          <w:i w:val="0"/>
        </w:rPr>
        <w:t xml:space="preserve">; </w:t>
      </w:r>
      <w:r>
        <w:rPr>
          <w:b w:val="0"/>
          <w:i/>
        </w:rPr>
        <w:t>naturalis</w:t>
      </w:r>
      <w:r>
        <w:rPr>
          <w:b w:val="0"/>
          <w:i w:val="0"/>
        </w:rPr>
        <w:t xml:space="preserve">; </w:t>
      </w:r>
      <w:r>
        <w:rPr>
          <w:b w:val="0"/>
          <w:i/>
        </w:rPr>
        <w:t>naturaliter</w:t>
      </w:r>
      <w:r>
        <w:rPr>
          <w:b w:val="0"/>
          <w:i w:val="0"/>
        </w:rPr>
        <w:t xml:space="preserve">; </w:t>
      </w:r>
      <w:r>
        <w:rPr>
          <w:b w:val="0"/>
          <w:i/>
        </w:rPr>
        <w:t>naturalium</w:t>
      </w:r>
      <w:r>
        <w:rPr>
          <w:b w:val="0"/>
          <w:i w:val="0"/>
        </w:rPr>
        <w:t>.</w:t>
      </w:r>
    </w:p>
    <w:p>
      <w:pPr>
        <w:widowControl/>
      </w:pPr>
      <w:r>
        <w:rPr>
          <w:b w:val="0"/>
          <w:i w:val="0"/>
        </w:rPr>
        <w:t xml:space="preserve">Natural, belonging to the characteristic constitution or operation of a being. Natural appetite is taken to disclose a possible proper end, while natural intellectual universality precedes deliberate training; these are specific teleological claims. References: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2-3">
        <w:r>
          <w:rPr>
            <w:color w:val="000000"/>
          </w:rPr>
          <w:t xml:space="preserve">VIII.2.3</w:t>
        </w:r>
      </w:hyperlink>
      <w:r>
        <w:rPr>
          <w:b w:val="0"/>
          <w:i w:val="0"/>
        </w:rPr>
        <w:t xml:space="preserve">, </w:t>
      </w:r>
      <w:hyperlink w:anchor="passage-viii-2-6">
        <w:r>
          <w:rPr>
            <w:color w:val="000000"/>
          </w:rPr>
          <w:t xml:space="preserve">VIII.2.6</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7-1">
        <w:r>
          <w:rPr>
            <w:color w:val="000000"/>
          </w:rPr>
          <w:t xml:space="preserve">VIII.7.1</w:t>
        </w:r>
      </w:hyperlink>
      <w:r>
        <w:rPr>
          <w:b w:val="0"/>
          <w:i w:val="0"/>
        </w:rPr>
        <w:t xml:space="preserve">, </w:t>
      </w:r>
      <w:hyperlink w:anchor="passage-viii-8-2">
        <w:r>
          <w:rPr>
            <w:color w:val="000000"/>
          </w:rPr>
          <w:t xml:space="preserve">VIII.8.2</w:t>
        </w:r>
      </w:hyperlink>
      <w:r>
        <w:rPr>
          <w:b w:val="0"/>
          <w:i w:val="0"/>
        </w:rPr>
        <w:t xml:space="preserve">, </w:t>
      </w:r>
      <w:hyperlink w:anchor="passage-viii-13-1">
        <w:r>
          <w:rPr>
            <w:color w:val="000000"/>
          </w:rPr>
          <w:t xml:space="preserve">VIII.13.1</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1071" w:name="latin-record-0830"/>
      <w:bookmarkEnd w:id="1071"/>
      <w:r>
        <w:rPr>
          <w:b/>
          <w:i w:val="0"/>
        </w:rPr>
        <w:t>naturalis habitus / dissipare</w:t>
      </w:r>
      <w:r>
        <w:rPr>
          <w:b/>
          <w:i w:val="0"/>
        </w:rPr>
        <w:t>.</w:t>
      </w:r>
      <w:r>
        <w:rPr>
          <w:b w:val="0"/>
          <w:i w:val="0"/>
        </w:rPr>
        <w:t xml:space="preserve"> Printed forms: </w:t>
      </w:r>
      <w:r>
        <w:rPr>
          <w:b w:val="0"/>
          <w:i/>
        </w:rPr>
        <w:t>dissipabit</w:t>
      </w:r>
      <w:r>
        <w:rPr>
          <w:b w:val="0"/>
          <w:i w:val="0"/>
        </w:rPr>
        <w:t xml:space="preserve">; </w:t>
      </w:r>
      <w:r>
        <w:rPr>
          <w:b w:val="0"/>
          <w:i/>
        </w:rPr>
        <w:t>dissiparetur</w:t>
      </w:r>
      <w:r>
        <w:rPr>
          <w:b w:val="0"/>
          <w:i w:val="0"/>
        </w:rPr>
        <w:t xml:space="preserve">; </w:t>
      </w:r>
      <w:r>
        <w:rPr>
          <w:b w:val="0"/>
          <w:i/>
        </w:rPr>
        <w:t>habitum</w:t>
      </w:r>
      <w:r>
        <w:rPr>
          <w:b w:val="0"/>
          <w:i w:val="0"/>
        </w:rPr>
        <w:t xml:space="preserve">; </w:t>
      </w:r>
      <w:r>
        <w:rPr>
          <w:b w:val="0"/>
          <w:i/>
        </w:rPr>
        <w:t>naturalem</w:t>
      </w:r>
      <w:r>
        <w:rPr>
          <w:b w:val="0"/>
          <w:i w:val="0"/>
        </w:rPr>
        <w:t xml:space="preserve">; </w:t>
      </w:r>
      <w:r>
        <w:rPr>
          <w:b w:val="0"/>
          <w:i/>
        </w:rPr>
        <w:t>naturalem habitum</w:t>
      </w:r>
      <w:r>
        <w:rPr>
          <w:b w:val="0"/>
          <w:i w:val="0"/>
        </w:rPr>
        <w:t xml:space="preserve">; </w:t>
      </w:r>
      <w:r>
        <w:rPr>
          <w:b w:val="0"/>
          <w:i/>
        </w:rPr>
        <w:t>statu</w:t>
      </w:r>
      <w:r>
        <w:rPr>
          <w:b w:val="0"/>
          <w:i w:val="0"/>
        </w:rPr>
        <w:t>.</w:t>
      </w:r>
    </w:p>
    <w:p>
      <w:pPr>
        <w:widowControl/>
      </w:pPr>
      <w:r>
        <w:rPr>
          <w:b w:val="0"/>
          <w:i w:val="0"/>
        </w:rPr>
        <w:t xml:space="preserve">The soul’s natural state and its possible dissolution. Ficino denies that humoral discord dissolves soul as such; if soul were merely humoral concord, slight discord would undo it.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1072" w:name="latin-record-0831"/>
      <w:bookmarkEnd w:id="1072"/>
      <w:r>
        <w:rPr>
          <w:b/>
          <w:i w:val="0"/>
        </w:rPr>
        <w:t>naturaliter insitus</w:t>
      </w:r>
      <w:r>
        <w:rPr>
          <w:b/>
          <w:i w:val="0"/>
        </w:rPr>
        <w:t>.</w:t>
      </w:r>
      <w:r>
        <w:rPr>
          <w:b w:val="0"/>
          <w:i w:val="0"/>
        </w:rPr>
        <w:t xml:space="preserve"> Printed forms: </w:t>
      </w:r>
      <w:r>
        <w:rPr>
          <w:b w:val="0"/>
          <w:i/>
        </w:rPr>
        <w:t>naturaliter insita</w:t>
      </w:r>
      <w:r>
        <w:rPr>
          <w:b w:val="0"/>
          <w:i w:val="0"/>
        </w:rPr>
        <w:t>.</w:t>
      </w:r>
    </w:p>
    <w:p>
      <w:pPr>
        <w:widowControl/>
      </w:pPr>
      <w:r>
        <w:rPr>
          <w:b w:val="0"/>
          <w:i w:val="0"/>
        </w:rPr>
        <w:t xml:space="preserve">Naturally implanted, describing the Idea from which a mental notion is produced. The account includes what is necessary and excludes superfluous circumstances; it is not merely a sensory copy. References: </w:t>
      </w:r>
      <w:hyperlink w:anchor="passage-viii-13-1">
        <w:r>
          <w:rPr>
            <w:color w:val="000000"/>
          </w:rPr>
          <w:t xml:space="preserve">VIII.13.1</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1073" w:name="latin-record-0832"/>
      <w:bookmarkEnd w:id="1073"/>
      <w:r>
        <w:rPr>
          <w:b/>
          <w:i w:val="0"/>
        </w:rPr>
        <w:t>necessarium / impossibile</w:t>
      </w:r>
      <w:r>
        <w:rPr>
          <w:b/>
          <w:i w:val="0"/>
        </w:rPr>
        <w:t>.</w:t>
      </w:r>
      <w:r>
        <w:rPr>
          <w:b w:val="0"/>
          <w:i w:val="0"/>
        </w:rPr>
        <w:t xml:space="preserve"> Printed forms: </w:t>
      </w:r>
      <w:r>
        <w:rPr>
          <w:b w:val="0"/>
          <w:i/>
        </w:rPr>
        <w:t>impossibile</w:t>
      </w:r>
      <w:r>
        <w:rPr>
          <w:b w:val="0"/>
          <w:i w:val="0"/>
        </w:rPr>
        <w:t xml:space="preserve">; </w:t>
      </w:r>
      <w:r>
        <w:rPr>
          <w:b w:val="0"/>
          <w:i/>
        </w:rPr>
        <w:t>necessarium</w:t>
      </w:r>
      <w:r>
        <w:rPr>
          <w:b w:val="0"/>
          <w:i w:val="0"/>
        </w:rPr>
        <w:t>.</w:t>
      </w:r>
    </w:p>
    <w:p>
      <w:pPr>
        <w:widowControl/>
      </w:pPr>
      <w:r>
        <w:rPr>
          <w:b w:val="0"/>
          <w:i w:val="0"/>
        </w:rPr>
        <w:t xml:space="preserve">Necessary and impossible, the two extremes excluded in the material-production trilemma. Matter neither imposes a finished work by itself nor makes it impossible, so the work remains possible relative to it. References: </w:t>
      </w:r>
      <w:hyperlink w:anchor="passage-v-12-3">
        <w:r>
          <w:rPr>
            <w:color w:val="000000"/>
          </w:rPr>
          <w:t xml:space="preserve">V.12.3</w:t>
        </w:r>
      </w:hyperlink>
      <w:r>
        <w:rPr>
          <w:b w:val="0"/>
          <w:i w:val="0"/>
        </w:rPr>
        <w:t xml:space="preserve">, </w:t>
      </w:r>
      <w:hyperlink w:anchor="passage-v-12-4">
        <w:r>
          <w:rPr>
            <w:color w:val="000000"/>
          </w:rPr>
          <w:t xml:space="preserve">V.12.4</w:t>
        </w:r>
      </w:hyperlink>
      <w:r>
        <w:rPr>
          <w:b w:val="0"/>
          <w:i w:val="0"/>
        </w:rPr>
        <w:t xml:space="preserve">, </w:t>
      </w:r>
      <w:hyperlink w:anchor="passage-v-12-5">
        <w:r>
          <w:rPr>
            <w:color w:val="000000"/>
          </w:rPr>
          <w:t xml:space="preserve">V.12.5</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1074" w:name="latin-record-0833"/>
      <w:bookmarkEnd w:id="1074"/>
      <w:r>
        <w:rPr>
          <w:b/>
          <w:i w:val="0"/>
        </w:rPr>
        <w:t>necesse / oportere</w:t>
      </w:r>
      <w:r>
        <w:rPr>
          <w:b/>
          <w:i w:val="0"/>
        </w:rPr>
        <w:t>.</w:t>
      </w:r>
      <w:r>
        <w:rPr>
          <w:b w:val="0"/>
          <w:i w:val="0"/>
        </w:rPr>
        <w:t xml:space="preserve"> Printed forms: </w:t>
      </w:r>
      <w:r>
        <w:rPr>
          <w:b w:val="0"/>
          <w:i/>
        </w:rPr>
        <w:t>necessario</w:t>
      </w:r>
      <w:r>
        <w:rPr>
          <w:b w:val="0"/>
          <w:i w:val="0"/>
        </w:rPr>
        <w:t xml:space="preserve">; </w:t>
      </w:r>
      <w:r>
        <w:rPr>
          <w:b w:val="0"/>
          <w:i/>
        </w:rPr>
        <w:t>necesse</w:t>
      </w:r>
      <w:r>
        <w:rPr>
          <w:b w:val="0"/>
          <w:i w:val="0"/>
        </w:rPr>
        <w:t xml:space="preserve">; </w:t>
      </w:r>
      <w:r>
        <w:rPr>
          <w:b w:val="0"/>
          <w:i/>
        </w:rPr>
        <w:t>Oportere</w:t>
      </w:r>
      <w:r>
        <w:rPr>
          <w:b w:val="0"/>
          <w:i w:val="0"/>
        </w:rPr>
        <w:t xml:space="preserve">; </w:t>
      </w:r>
      <w:r>
        <w:rPr>
          <w:b w:val="0"/>
          <w:i/>
        </w:rPr>
        <w:t>oportet</w:t>
      </w:r>
      <w:r>
        <w:rPr>
          <w:b w:val="0"/>
          <w:i w:val="0"/>
        </w:rPr>
        <w:t>.</w:t>
      </w:r>
    </w:p>
    <w:p>
      <w:pPr>
        <w:widowControl/>
      </w:pPr>
      <w:r>
        <w:rPr>
          <w:b w:val="0"/>
          <w:i w:val="0"/>
        </w:rPr>
        <w:t xml:space="preserve">Necessary or required within an argument. The necessity follows the stated conditions; the final conversion argument carefully denies that willing or compulsion is sufficient for the change. References: </w:t>
      </w:r>
      <w:hyperlink w:anchor="passage-v-4-1">
        <w:r>
          <w:rPr>
            <w:color w:val="000000"/>
          </w:rPr>
          <w:t xml:space="preserve">V.4.1</w:t>
        </w:r>
      </w:hyperlink>
      <w:r>
        <w:rPr>
          <w:b w:val="0"/>
          <w:i w:val="0"/>
        </w:rPr>
        <w:t xml:space="preserve">, </w:t>
      </w:r>
      <w:hyperlink w:anchor="passage-v-5-2">
        <w:r>
          <w:rPr>
            <w:color w:val="000000"/>
          </w:rPr>
          <w:t xml:space="preserve">V.5.2</w:t>
        </w:r>
      </w:hyperlink>
      <w:r>
        <w:rPr>
          <w:b w:val="0"/>
          <w:i w:val="0"/>
        </w:rPr>
        <w:t xml:space="preserve">, </w:t>
      </w:r>
      <w:hyperlink w:anchor="passage-v-12-2">
        <w:r>
          <w:rPr>
            <w:color w:val="000000"/>
          </w:rPr>
          <w:t xml:space="preserve">V.12.2</w:t>
        </w:r>
      </w:hyperlink>
      <w:r>
        <w:rPr>
          <w:b w:val="0"/>
          <w:i w:val="0"/>
        </w:rPr>
        <w:t xml:space="preserve">, </w:t>
      </w:r>
      <w:hyperlink w:anchor="passage-v-13-18">
        <w:r>
          <w:rPr>
            <w:color w:val="000000"/>
          </w:rPr>
          <w:t xml:space="preserve">V.13.18</w:t>
        </w:r>
      </w:hyperlink>
      <w:r>
        <w:rPr>
          <w:b w:val="0"/>
          <w:i w:val="0"/>
        </w:rPr>
        <w:t xml:space="preserve">, </w:t>
      </w:r>
      <w:hyperlink w:anchor="passage-v-15-20">
        <w:r>
          <w:rPr>
            <w:color w:val="000000"/>
          </w:rPr>
          <w:t xml:space="preserve">V.15.20</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1075" w:name="latin-record-0834"/>
      <w:bookmarkEnd w:id="1075"/>
      <w:r>
        <w:rPr>
          <w:b/>
          <w:i w:val="0"/>
        </w:rPr>
        <w:t>necessitas / oportet</w:t>
      </w:r>
      <w:r>
        <w:rPr>
          <w:b/>
          <w:i w:val="0"/>
        </w:rPr>
        <w:t>.</w:t>
      </w:r>
      <w:r>
        <w:rPr>
          <w:b w:val="0"/>
          <w:i w:val="0"/>
        </w:rPr>
        <w:t xml:space="preserve"> Printed forms: </w:t>
      </w:r>
      <w:r>
        <w:rPr>
          <w:b w:val="0"/>
          <w:i/>
        </w:rPr>
        <w:t>necessario</w:t>
      </w:r>
      <w:r>
        <w:rPr>
          <w:b w:val="0"/>
          <w:i w:val="0"/>
        </w:rPr>
        <w:t xml:space="preserve">; </w:t>
      </w:r>
      <w:r>
        <w:rPr>
          <w:b w:val="0"/>
          <w:i/>
        </w:rPr>
        <w:t>oportet</w:t>
      </w:r>
      <w:r>
        <w:rPr>
          <w:b w:val="0"/>
          <w:i w:val="0"/>
        </w:rPr>
        <w:t xml:space="preserve">; </w:t>
      </w:r>
      <w:r>
        <w:rPr>
          <w:b w:val="0"/>
          <w:i/>
        </w:rPr>
        <w:t>Oportet</w:t>
      </w:r>
      <w:r>
        <w:rPr>
          <w:b w:val="0"/>
          <w:i w:val="0"/>
        </w:rPr>
        <w:t>.</w:t>
      </w:r>
    </w:p>
    <w:p>
      <w:pPr>
        <w:widowControl/>
      </w:pPr>
      <w:r>
        <w:rPr>
          <w:b w:val="0"/>
          <w:i w:val="0"/>
        </w:rPr>
        <w:t xml:space="preserve">Necessity or what an argument says is required. The animal examples contest a necessary relation of size to capacity; the one-comprehension argument requires a unified grasper. References: </w:t>
      </w:r>
      <w:hyperlink w:anchor="passage-vii-3-1">
        <w:r>
          <w:rPr>
            <w:color w:val="000000"/>
          </w:rPr>
          <w:t xml:space="preserve">VII.3.1</w:t>
        </w:r>
      </w:hyperlink>
      <w:r>
        <w:rPr>
          <w:b w:val="0"/>
          <w:i w:val="0"/>
        </w:rPr>
        <w:t xml:space="preserve">,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1076" w:name="latin-record-0835"/>
      <w:bookmarkEnd w:id="1076"/>
      <w:r>
        <w:rPr>
          <w:b/>
          <w:i w:val="0"/>
        </w:rPr>
        <w:t>nectere; conspirare</w:t>
      </w:r>
      <w:r>
        <w:rPr>
          <w:b/>
          <w:i w:val="0"/>
        </w:rPr>
        <w:t>.</w:t>
      </w:r>
      <w:r>
        <w:rPr>
          <w:b w:val="0"/>
          <w:i w:val="0"/>
        </w:rPr>
        <w:t xml:space="preserve"> Printed forms: </w:t>
      </w:r>
      <w:r>
        <w:rPr>
          <w:b w:val="0"/>
          <w:i/>
        </w:rPr>
        <w:t>conspirantibus</w:t>
      </w:r>
      <w:r>
        <w:rPr>
          <w:b w:val="0"/>
          <w:i w:val="0"/>
        </w:rPr>
        <w:t xml:space="preserve">; </w:t>
      </w:r>
      <w:r>
        <w:rPr>
          <w:b w:val="0"/>
          <w:i/>
        </w:rPr>
        <w:t>nectitur</w:t>
      </w:r>
      <w:r>
        <w:rPr>
          <w:b w:val="0"/>
          <w:i w:val="0"/>
        </w:rPr>
        <w:t>.</w:t>
      </w:r>
    </w:p>
    <w:p>
      <w:pPr>
        <w:widowControl/>
      </w:pPr>
      <w:r>
        <w:rPr>
          <w:b w:val="0"/>
          <w:i w:val="0"/>
        </w:rPr>
        <w:t xml:space="preserve">To bind together and cooperate toward one result. Actual bodily cohesion is conceded, then explained through a principle beyond dispersed bodily nature. References: </w:t>
      </w:r>
      <w:hyperlink w:anchor="passage-vi-8-4">
        <w:r>
          <w:rPr>
            <w:color w:val="000000"/>
          </w:rPr>
          <w:t xml:space="preserve">VI.8.4</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1077" w:name="latin-record-0836"/>
      <w:bookmarkEnd w:id="1077"/>
      <w:r>
        <w:rPr>
          <w:b/>
          <w:i w:val="0"/>
        </w:rPr>
        <w:t>negare; fateri; confiteri</w:t>
      </w:r>
      <w:r>
        <w:rPr>
          <w:b/>
          <w:i w:val="0"/>
        </w:rPr>
        <w:t>.</w:t>
      </w:r>
      <w:r>
        <w:rPr>
          <w:b w:val="0"/>
          <w:i w:val="0"/>
        </w:rPr>
        <w:t xml:space="preserve"> Printed forms: </w:t>
      </w:r>
      <w:r>
        <w:rPr>
          <w:b w:val="0"/>
          <w:i/>
        </w:rPr>
        <w:t>confiteri</w:t>
      </w:r>
      <w:r>
        <w:rPr>
          <w:b w:val="0"/>
          <w:i w:val="0"/>
        </w:rPr>
        <w:t xml:space="preserve">; </w:t>
      </w:r>
      <w:r>
        <w:rPr>
          <w:b w:val="0"/>
          <w:i/>
        </w:rPr>
        <w:t>fateberis</w:t>
      </w:r>
      <w:r>
        <w:rPr>
          <w:b w:val="0"/>
          <w:i w:val="0"/>
        </w:rPr>
        <w:t xml:space="preserve">; </w:t>
      </w:r>
      <w:r>
        <w:rPr>
          <w:b w:val="0"/>
          <w:i/>
        </w:rPr>
        <w:t>fatebitur</w:t>
      </w:r>
      <w:r>
        <w:rPr>
          <w:b w:val="0"/>
          <w:i w:val="0"/>
        </w:rPr>
        <w:t xml:space="preserve">; </w:t>
      </w:r>
      <w:r>
        <w:rPr>
          <w:b w:val="0"/>
          <w:i/>
        </w:rPr>
        <w:t>fatendum</w:t>
      </w:r>
      <w:r>
        <w:rPr>
          <w:b w:val="0"/>
          <w:i w:val="0"/>
        </w:rPr>
        <w:t xml:space="preserve">; </w:t>
      </w:r>
      <w:r>
        <w:rPr>
          <w:b w:val="0"/>
          <w:i/>
        </w:rPr>
        <w:t>negabis</w:t>
      </w:r>
      <w:r>
        <w:rPr>
          <w:b w:val="0"/>
          <w:i w:val="0"/>
        </w:rPr>
        <w:t xml:space="preserve">; </w:t>
      </w:r>
      <w:r>
        <w:rPr>
          <w:b w:val="0"/>
          <w:i/>
        </w:rPr>
        <w:t>negabitis</w:t>
      </w:r>
      <w:r>
        <w:rPr>
          <w:b w:val="0"/>
          <w:i w:val="0"/>
        </w:rPr>
        <w:t xml:space="preserve">; </w:t>
      </w:r>
      <w:r>
        <w:rPr>
          <w:b w:val="0"/>
          <w:i/>
        </w:rPr>
        <w:t>negant</w:t>
      </w:r>
      <w:r>
        <w:rPr>
          <w:b w:val="0"/>
          <w:i w:val="0"/>
        </w:rPr>
        <w:t xml:space="preserve">; </w:t>
      </w:r>
      <w:r>
        <w:rPr>
          <w:b w:val="0"/>
          <w:i/>
        </w:rPr>
        <w:t>negaret</w:t>
      </w:r>
      <w:r>
        <w:rPr>
          <w:b w:val="0"/>
          <w:i w:val="0"/>
        </w:rPr>
        <w:t xml:space="preserve">; </w:t>
      </w:r>
      <w:r>
        <w:rPr>
          <w:b w:val="0"/>
          <w:i/>
        </w:rPr>
        <w:t>negat</w:t>
      </w:r>
      <w:r>
        <w:rPr>
          <w:b w:val="0"/>
          <w:i w:val="0"/>
        </w:rPr>
        <w:t xml:space="preserve">; </w:t>
      </w:r>
      <w:r>
        <w:rPr>
          <w:b w:val="0"/>
          <w:i/>
        </w:rPr>
        <w:t>negaverit</w:t>
      </w:r>
      <w:r>
        <w:rPr>
          <w:b w:val="0"/>
          <w:i w:val="0"/>
        </w:rPr>
        <w:t>.</w:t>
      </w:r>
    </w:p>
    <w:p>
      <w:pPr>
        <w:widowControl/>
      </w:pPr>
      <w:r>
        <w:rPr>
          <w:b w:val="0"/>
          <w:i w:val="0"/>
        </w:rPr>
        <w:t xml:space="preserve">To deny, acknowledge or confess assent. The sensory exclusivism debate and the reductios depend on what the interlocutor is compelled to admit after a branch fails. References: </w:t>
      </w:r>
      <w:hyperlink w:anchor="passage-vi-2-8">
        <w:r>
          <w:rPr>
            <w:color w:val="000000"/>
          </w:rPr>
          <w:t xml:space="preserve">VI.2.8</w:t>
        </w:r>
      </w:hyperlink>
      <w:r>
        <w:rPr>
          <w:b w:val="0"/>
          <w:i w:val="0"/>
        </w:rPr>
        <w:t xml:space="preserve">, </w:t>
      </w:r>
      <w:hyperlink w:anchor="passage-vi-2-9">
        <w:r>
          <w:rPr>
            <w:color w:val="000000"/>
          </w:rPr>
          <w:t xml:space="preserve">VI.2.9</w:t>
        </w:r>
      </w:hyperlink>
      <w:r>
        <w:rPr>
          <w:b w:val="0"/>
          <w:i w:val="0"/>
        </w:rPr>
        <w:t xml:space="preserve">, </w:t>
      </w:r>
      <w:hyperlink w:anchor="passage-vi-2-20">
        <w:r>
          <w:rPr>
            <w:color w:val="000000"/>
          </w:rPr>
          <w:t xml:space="preserve">VI.2.20</w:t>
        </w:r>
      </w:hyperlink>
      <w:r>
        <w:rPr>
          <w:b w:val="0"/>
          <w:i w:val="0"/>
        </w:rPr>
        <w:t xml:space="preserve">, </w:t>
      </w:r>
      <w:hyperlink w:anchor="passage-vi-2-22">
        <w:r>
          <w:rPr>
            <w:color w:val="000000"/>
          </w:rPr>
          <w:t xml:space="preserve">VI.2.22</w:t>
        </w:r>
      </w:hyperlink>
      <w:r>
        <w:rPr>
          <w:b w:val="0"/>
          <w:i w:val="0"/>
        </w:rPr>
        <w:t xml:space="preserve">, </w:t>
      </w:r>
      <w:hyperlink w:anchor="passage-vi-2-26">
        <w:r>
          <w:rPr>
            <w:color w:val="000000"/>
          </w:rPr>
          <w:t xml:space="preserve">VI.2.26</w:t>
        </w:r>
      </w:hyperlink>
      <w:r>
        <w:rPr>
          <w:b w:val="0"/>
          <w:i w:val="0"/>
        </w:rPr>
        <w:t xml:space="preserve">, </w:t>
      </w:r>
      <w:hyperlink w:anchor="passage-vi-8-5">
        <w:r>
          <w:rPr>
            <w:color w:val="000000"/>
          </w:rPr>
          <w:t xml:space="preserve">VI.8.5</w:t>
        </w:r>
      </w:hyperlink>
      <w:r>
        <w:rPr>
          <w:b w:val="0"/>
          <w:i w:val="0"/>
        </w:rPr>
        <w:t xml:space="preserve">, </w:t>
      </w:r>
      <w:hyperlink w:anchor="passage-vi-12-5">
        <w:r>
          <w:rPr>
            <w:color w:val="000000"/>
          </w:rPr>
          <w:t xml:space="preserve">VI.12.5</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078" w:name="latin-record-0837"/>
      <w:bookmarkEnd w:id="1078"/>
      <w:r>
        <w:rPr>
          <w:b/>
          <w:i w:val="0"/>
        </w:rPr>
        <w:t>nequam / probus / iustus / latro</w:t>
      </w:r>
      <w:r>
        <w:rPr>
          <w:b/>
          <w:i w:val="0"/>
        </w:rPr>
        <w:t>.</w:t>
      </w:r>
      <w:r>
        <w:rPr>
          <w:b w:val="0"/>
          <w:i w:val="0"/>
        </w:rPr>
        <w:t xml:space="preserve"> Printed forms: </w:t>
      </w:r>
      <w:r>
        <w:rPr>
          <w:b w:val="0"/>
          <w:i/>
        </w:rPr>
        <w:t>iusti</w:t>
      </w:r>
      <w:r>
        <w:rPr>
          <w:b w:val="0"/>
          <w:i w:val="0"/>
        </w:rPr>
        <w:t xml:space="preserve">; </w:t>
      </w:r>
      <w:r>
        <w:rPr>
          <w:b w:val="0"/>
          <w:i/>
        </w:rPr>
        <w:t>latronis</w:t>
      </w:r>
      <w:r>
        <w:rPr>
          <w:b w:val="0"/>
          <w:i w:val="0"/>
        </w:rPr>
        <w:t xml:space="preserve">; </w:t>
      </w:r>
      <w:r>
        <w:rPr>
          <w:b w:val="0"/>
          <w:i/>
        </w:rPr>
        <w:t>nequissimi</w:t>
      </w:r>
      <w:r>
        <w:rPr>
          <w:b w:val="0"/>
          <w:i w:val="0"/>
        </w:rPr>
        <w:t xml:space="preserve">; </w:t>
      </w:r>
      <w:r>
        <w:rPr>
          <w:b w:val="0"/>
          <w:i/>
        </w:rPr>
        <w:t>probi</w:t>
      </w:r>
      <w:r>
        <w:rPr>
          <w:b w:val="0"/>
          <w:i w:val="0"/>
        </w:rPr>
        <w:t>.</w:t>
      </w:r>
    </w:p>
    <w:p>
      <w:pPr>
        <w:widowControl/>
      </w:pPr>
      <w:r>
        <w:rPr>
          <w:b w:val="0"/>
          <w:i w:val="0"/>
        </w:rPr>
        <w:t xml:space="preserve">Wicked, good, just, and robber as moral contrasts. The example does not infer that moral goodness guarantees bodily vigor or cognitive skill; that is the absurd consequence being tested.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1079" w:name="latin-record-0838"/>
      <w:bookmarkEnd w:id="1079"/>
      <w:r>
        <w:rPr>
          <w:b/>
          <w:i w:val="0"/>
        </w:rPr>
        <w:t>nervus; articulus; tractus</w:t>
      </w:r>
      <w:r>
        <w:rPr>
          <w:b/>
          <w:i w:val="0"/>
        </w:rPr>
        <w:t>.</w:t>
      </w:r>
      <w:r>
        <w:rPr>
          <w:b w:val="0"/>
          <w:i w:val="0"/>
        </w:rPr>
        <w:t xml:space="preserve"> Printed forms: </w:t>
      </w:r>
      <w:r>
        <w:rPr>
          <w:b w:val="0"/>
          <w:i/>
        </w:rPr>
        <w:t>articuli</w:t>
      </w:r>
      <w:r>
        <w:rPr>
          <w:b w:val="0"/>
          <w:i w:val="0"/>
        </w:rPr>
        <w:t xml:space="preserve">; </w:t>
      </w:r>
      <w:r>
        <w:rPr>
          <w:b w:val="0"/>
          <w:i/>
        </w:rPr>
        <w:t>contrahuntur</w:t>
      </w:r>
      <w:r>
        <w:rPr>
          <w:b w:val="0"/>
          <w:i w:val="0"/>
        </w:rPr>
        <w:t xml:space="preserve">; </w:t>
      </w:r>
      <w:r>
        <w:rPr>
          <w:b w:val="0"/>
          <w:i/>
        </w:rPr>
        <w:t>nervi</w:t>
      </w:r>
      <w:r>
        <w:rPr>
          <w:b w:val="0"/>
          <w:i w:val="0"/>
        </w:rPr>
        <w:t xml:space="preserve">; </w:t>
      </w:r>
      <w:r>
        <w:rPr>
          <w:b w:val="0"/>
          <w:i/>
        </w:rPr>
        <w:t>tractum</w:t>
      </w:r>
      <w:r>
        <w:rPr>
          <w:b w:val="0"/>
          <w:i w:val="0"/>
        </w:rPr>
        <w:t>.</w:t>
      </w:r>
    </w:p>
    <w:p>
      <w:pPr>
        <w:widowControl/>
      </w:pPr>
      <w:r>
        <w:rPr>
          <w:b w:val="0"/>
          <w:i w:val="0"/>
        </w:rPr>
        <w:t xml:space="preserve">Sinew, joint and pull; contraction. The same sinew through the joints illustrates common movement requiring one connecting principle. References: </w:t>
      </w:r>
      <w:hyperlink w:anchor="passage-vi-9-3">
        <w:r>
          <w:rPr>
            <w:color w:val="000000"/>
          </w:rPr>
          <w:t xml:space="preserve">VI.9.3</w:t>
        </w:r>
      </w:hyperlink>
      <w:r>
        <w:rPr>
          <w:b w:val="0"/>
          <w:i w:val="0"/>
        </w:rPr>
        <w:t xml:space="preserve">. See </w:t>
      </w:r>
      <w:hyperlink w:anchor="members-house-and-sinew">
        <w:r>
          <w:rPr>
            <w:color w:val="000000"/>
          </w:rPr>
          <w:t xml:space="preserve">Members, house and sinew</w:t>
        </w:r>
      </w:hyperlink>
      <w:r>
        <w:rPr>
          <w:b w:val="0"/>
          <w:i w:val="0"/>
        </w:rPr>
        <w:t>.</w:t>
      </w:r>
    </w:p>
    <w:p>
      <w:pPr>
        <w:keepNext/>
        <w:widowControl/>
      </w:pPr>
      <w:bookmarkStart w:id="1080" w:name="latin-record-0839"/>
      <w:bookmarkEnd w:id="1080"/>
      <w:r>
        <w:rPr>
          <w:b/>
          <w:i w:val="0"/>
        </w:rPr>
        <w:t>nix / albedo</w:t>
      </w:r>
      <w:r>
        <w:rPr>
          <w:b/>
          <w:i w:val="0"/>
        </w:rPr>
        <w:t>.</w:t>
      </w:r>
      <w:r>
        <w:rPr>
          <w:b w:val="0"/>
          <w:i w:val="0"/>
        </w:rPr>
        <w:t xml:space="preserve"> Printed forms: </w:t>
      </w:r>
      <w:r>
        <w:rPr>
          <w:b w:val="0"/>
          <w:i/>
        </w:rPr>
        <w:t>albedinem</w:t>
      </w:r>
      <w:r>
        <w:rPr>
          <w:b w:val="0"/>
          <w:i w:val="0"/>
        </w:rPr>
        <w:t xml:space="preserve">; </w:t>
      </w:r>
      <w:r>
        <w:rPr>
          <w:b w:val="0"/>
          <w:i/>
        </w:rPr>
        <w:t>albedo</w:t>
      </w:r>
      <w:r>
        <w:rPr>
          <w:b w:val="0"/>
          <w:i w:val="0"/>
        </w:rPr>
        <w:t xml:space="preserve">; </w:t>
      </w:r>
      <w:r>
        <w:rPr>
          <w:b w:val="0"/>
          <w:i/>
        </w:rPr>
        <w:t>nivis</w:t>
      </w:r>
      <w:r>
        <w:rPr>
          <w:b w:val="0"/>
          <w:i w:val="0"/>
        </w:rPr>
        <w:t>.</w:t>
      </w:r>
    </w:p>
    <w:p>
      <w:pPr>
        <w:widowControl/>
      </w:pPr>
      <w:r>
        <w:rPr>
          <w:b w:val="0"/>
          <w:i w:val="0"/>
        </w:rPr>
        <w:t xml:space="preserve">Snow and whiteness, illustrating a bodily quality divided with its subject. The physical example introduces the claim that a form received in extended matter inherits the receiver’s divisibility. References: </w:t>
      </w:r>
      <w:hyperlink w:anchor="passage-viii-4-3">
        <w:r>
          <w:rPr>
            <w:color w:val="000000"/>
          </w:rPr>
          <w:t xml:space="preserve">VIII.4.3</w:t>
        </w:r>
      </w:hyperlink>
      <w:r>
        <w:rPr>
          <w:b w:val="0"/>
          <w:i w:val="0"/>
        </w:rPr>
        <w:t xml:space="preserve">, </w:t>
      </w:r>
      <w:hyperlink w:anchor="passage-viii-4-8">
        <w:r>
          <w:rPr>
            <w:color w:val="000000"/>
          </w:rPr>
          <w:t xml:space="preserve">VIII.4.8</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081" w:name="latin-record-0840"/>
      <w:bookmarkEnd w:id="1081"/>
      <w:r>
        <w:rPr>
          <w:b/>
          <w:i w:val="0"/>
        </w:rPr>
        <w:t>nixus / niti</w:t>
      </w:r>
      <w:r>
        <w:rPr>
          <w:b/>
          <w:i w:val="0"/>
        </w:rPr>
        <w:t>.</w:t>
      </w:r>
      <w:r>
        <w:rPr>
          <w:b w:val="0"/>
          <w:i w:val="0"/>
        </w:rPr>
        <w:t xml:space="preserve"> Printed forms: </w:t>
      </w:r>
      <w:r>
        <w:rPr>
          <w:b w:val="0"/>
          <w:i/>
        </w:rPr>
        <w:t>nititur</w:t>
      </w:r>
      <w:r>
        <w:rPr>
          <w:b w:val="0"/>
          <w:i w:val="0"/>
        </w:rPr>
        <w:t xml:space="preserve">; </w:t>
      </w:r>
      <w:r>
        <w:rPr>
          <w:b w:val="0"/>
          <w:i/>
        </w:rPr>
        <w:t>nixuque</w:t>
      </w:r>
      <w:r>
        <w:rPr>
          <w:b w:val="0"/>
          <w:i w:val="0"/>
        </w:rPr>
        <w:t xml:space="preserve">; </w:t>
      </w:r>
      <w:r>
        <w:rPr>
          <w:b w:val="0"/>
          <w:i/>
        </w:rPr>
        <w:t>nixus</w:t>
      </w:r>
      <w:r>
        <w:rPr>
          <w:b w:val="0"/>
          <w:i w:val="0"/>
        </w:rPr>
        <w:t>.</w:t>
      </w:r>
    </w:p>
    <w:p>
      <w:pPr>
        <w:widowControl/>
      </w:pPr>
      <w:r>
        <w:rPr>
          <w:b w:val="0"/>
          <w:i w:val="0"/>
        </w:rPr>
        <w:t xml:space="preserve">Striving or a sustaining impulse, and the act of striving. Self-preservation is a continuing effort; V.12.11 uses one sustaining act for divine establishing and the soul’s subsistence. References: </w:t>
      </w:r>
      <w:hyperlink w:anchor="passage-v-6-1">
        <w:r>
          <w:rPr>
            <w:color w:val="000000"/>
          </w:rPr>
          <w:t xml:space="preserve">V.6.1</w:t>
        </w:r>
      </w:hyperlink>
      <w:r>
        <w:rPr>
          <w:b w:val="0"/>
          <w:i w:val="0"/>
        </w:rPr>
        <w:t xml:space="preserve">, </w:t>
      </w:r>
      <w:hyperlink w:anchor="passage-v-8-3">
        <w:r>
          <w:rPr>
            <w:color w:val="000000"/>
          </w:rPr>
          <w:t xml:space="preserve">V.8.3</w:t>
        </w:r>
      </w:hyperlink>
      <w:r>
        <w:rPr>
          <w:b w:val="0"/>
          <w:i w:val="0"/>
        </w:rPr>
        <w:t xml:space="preserve">, </w:t>
      </w:r>
      <w:hyperlink w:anchor="passage-v-12-11">
        <w:r>
          <w:rPr>
            <w:color w:val="000000"/>
          </w:rPr>
          <w:t xml:space="preserve">V.12.11</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082" w:name="latin-record-0841"/>
      <w:bookmarkEnd w:id="1082"/>
      <w:r>
        <w:rPr>
          <w:b/>
          <w:i w:val="0"/>
        </w:rPr>
        <w:t>nobilior</w:t>
      </w:r>
      <w:r>
        <w:rPr>
          <w:b/>
          <w:i w:val="0"/>
        </w:rPr>
        <w:t>.</w:t>
      </w:r>
      <w:r>
        <w:rPr>
          <w:b w:val="0"/>
          <w:i w:val="0"/>
        </w:rPr>
        <w:t xml:space="preserve"> Printed forms: </w:t>
      </w:r>
      <w:r>
        <w:rPr>
          <w:b w:val="0"/>
          <w:i/>
        </w:rPr>
        <w:t>nobiliorem</w:t>
      </w:r>
      <w:r>
        <w:rPr>
          <w:b w:val="0"/>
          <w:i w:val="0"/>
        </w:rPr>
        <w:t>.</w:t>
      </w:r>
    </w:p>
    <w:p>
      <w:pPr>
        <w:widowControl/>
      </w:pPr>
      <w:r>
        <w:rPr>
          <w:b w:val="0"/>
          <w:i w:val="0"/>
        </w:rPr>
        <w:t xml:space="preserve">Nobler or higher in explanatory rank. Ficino rejects a theory that would make the soul’s indivisible power superior to the substance that possesses and produces it. References: </w:t>
      </w:r>
      <w:hyperlink w:anchor="passage-vii-2-2">
        <w:r>
          <w:rPr>
            <w:color w:val="000000"/>
          </w:rPr>
          <w:t xml:space="preserve">VII.2.2</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083" w:name="latin-record-0842"/>
      <w:bookmarkEnd w:id="1083"/>
      <w:r>
        <w:rPr>
          <w:b/>
          <w:i w:val="0"/>
        </w:rPr>
        <w:t>non efficiens sed formalis</w:t>
      </w:r>
      <w:r>
        <w:rPr>
          <w:b/>
          <w:i w:val="0"/>
        </w:rPr>
        <w:t>.</w:t>
      </w:r>
      <w:r>
        <w:rPr>
          <w:b w:val="0"/>
          <w:i w:val="0"/>
        </w:rPr>
        <w:t xml:space="preserve"> Printed forms: </w:t>
      </w:r>
      <w:r>
        <w:rPr>
          <w:b w:val="0"/>
          <w:i/>
        </w:rPr>
        <w:t>formalis</w:t>
      </w:r>
      <w:r>
        <w:rPr>
          <w:b w:val="0"/>
          <w:i w:val="0"/>
        </w:rPr>
        <w:t xml:space="preserve">; </w:t>
      </w:r>
      <w:r>
        <w:rPr>
          <w:b w:val="0"/>
          <w:i/>
        </w:rPr>
        <w:t>non efficiens, sed</w:t>
      </w:r>
      <w:r>
        <w:rPr>
          <w:b w:val="0"/>
          <w:i w:val="0"/>
        </w:rPr>
        <w:t>.</w:t>
      </w:r>
    </w:p>
    <w:p>
      <w:pPr>
        <w:widowControl/>
      </w:pPr>
      <w:r>
        <w:rPr>
          <w:b w:val="0"/>
          <w:i w:val="0"/>
        </w:rPr>
        <w:t xml:space="preserve">Not efficient but formal: the expressly limited sense in which mind is called its own cause. Reflexive self-perfection and formal possession of being do not make mind its own efficient creator. The restriction governs the strong self-making language nearby. References: </w:t>
      </w:r>
      <w:hyperlink w:anchor="passage-viii-15-3">
        <w:r>
          <w:rPr>
            <w:color w:val="000000"/>
          </w:rPr>
          <w:t xml:space="preserve">VIII.15.3</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1084" w:name="latin-record-0843"/>
      <w:bookmarkEnd w:id="1084"/>
      <w:r>
        <w:rPr>
          <w:b/>
          <w:i w:val="0"/>
        </w:rPr>
        <w:t>non latere</w:t>
      </w:r>
      <w:r>
        <w:rPr>
          <w:b/>
          <w:i w:val="0"/>
        </w:rPr>
        <w:t>.</w:t>
      </w:r>
      <w:r>
        <w:rPr>
          <w:b w:val="0"/>
          <w:i w:val="0"/>
        </w:rPr>
        <w:t xml:space="preserve"> Printed forms: </w:t>
      </w:r>
      <w:r>
        <w:rPr>
          <w:b w:val="0"/>
          <w:i/>
        </w:rPr>
        <w:t>latere</w:t>
      </w:r>
      <w:r>
        <w:rPr>
          <w:b w:val="0"/>
          <w:i w:val="0"/>
        </w:rPr>
        <w:t xml:space="preserve">; </w:t>
      </w:r>
      <w:r>
        <w:rPr>
          <w:b w:val="0"/>
          <w:i/>
        </w:rPr>
        <w:t>latet</w:t>
      </w:r>
      <w:r>
        <w:rPr>
          <w:b w:val="0"/>
          <w:i w:val="0"/>
        </w:rPr>
        <w:t xml:space="preserve">; </w:t>
      </w:r>
      <w:r>
        <w:rPr>
          <w:b w:val="0"/>
          <w:i/>
        </w:rPr>
        <w:t>non eam latere</w:t>
      </w:r>
      <w:r>
        <w:rPr>
          <w:b w:val="0"/>
          <w:i w:val="0"/>
        </w:rPr>
        <w:t xml:space="preserve">; </w:t>
      </w:r>
      <w:r>
        <w:rPr>
          <w:b w:val="0"/>
          <w:i/>
        </w:rPr>
        <w:t>Non latere</w:t>
      </w:r>
      <w:r>
        <w:rPr>
          <w:b w:val="0"/>
          <w:i w:val="0"/>
        </w:rPr>
        <w:t xml:space="preserve">; </w:t>
      </w:r>
      <w:r>
        <w:rPr>
          <w:b w:val="0"/>
          <w:i/>
        </w:rPr>
        <w:t>non latet</w:t>
      </w:r>
      <w:r>
        <w:rPr>
          <w:b w:val="0"/>
          <w:i w:val="0"/>
        </w:rPr>
        <w:t>.</w:t>
      </w:r>
    </w:p>
    <w:p>
      <w:pPr>
        <w:widowControl/>
      </w:pPr>
      <w:r>
        <w:rPr>
          <w:b w:val="0"/>
          <w:i w:val="0"/>
        </w:rPr>
        <w:t xml:space="preserve">Not to escape awareness. Ficino uses this idiom to describe the soul knowing its own activity, and hence sensing.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085" w:name="latin-record-0844"/>
      <w:bookmarkEnd w:id="1085"/>
      <w:r>
        <w:rPr>
          <w:b/>
          <w:i w:val="0"/>
        </w:rPr>
        <w:t>non localiter</w:t>
      </w:r>
      <w:r>
        <w:rPr>
          <w:b/>
          <w:i w:val="0"/>
        </w:rPr>
        <w:t>.</w:t>
      </w:r>
      <w:r>
        <w:rPr>
          <w:b w:val="0"/>
          <w:i w:val="0"/>
        </w:rPr>
        <w:t xml:space="preserve"> Printed forms: </w:t>
      </w:r>
      <w:r>
        <w:rPr>
          <w:b w:val="0"/>
          <w:i/>
        </w:rPr>
        <w:t>non localiter</w:t>
      </w:r>
      <w:r>
        <w:rPr>
          <w:b w:val="0"/>
          <w:i w:val="0"/>
        </w:rPr>
        <w:t xml:space="preserve">; </w:t>
      </w:r>
      <w:r>
        <w:rPr>
          <w:b w:val="0"/>
          <w:i/>
        </w:rPr>
        <w:t>non secundum locum</w:t>
      </w:r>
      <w:r>
        <w:rPr>
          <w:b w:val="0"/>
          <w:i w:val="0"/>
        </w:rPr>
        <w:t>.</w:t>
      </w:r>
    </w:p>
    <w:p>
      <w:pPr>
        <w:widowControl/>
      </w:pPr>
      <w:r>
        <w:rPr>
          <w:b w:val="0"/>
          <w:i w:val="0"/>
        </w:rPr>
        <w:t xml:space="preserve">Not by spatial location, describing soul’s conjunction with body and intelligibles. Nearness to eternal principles is explicitly a matter of natural order rather than physical distance. References: </w:t>
      </w:r>
      <w:hyperlink w:anchor="passage-v-15-12">
        <w:r>
          <w:rPr>
            <w:color w:val="000000"/>
          </w:rPr>
          <w:t xml:space="preserve">V.15.12</w:t>
        </w:r>
      </w:hyperlink>
      <w:r>
        <w:rPr>
          <w:b w:val="0"/>
          <w:i w:val="0"/>
        </w:rPr>
        <w:t xml:space="preserve">, </w:t>
      </w:r>
      <w:hyperlink w:anchor="passage-v-15-25">
        <w:r>
          <w:rPr>
            <w:color w:val="000000"/>
          </w:rPr>
          <w:t xml:space="preserve">V.15.25</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086" w:name="latin-record-0845"/>
      <w:bookmarkEnd w:id="1086"/>
      <w:r>
        <w:rPr>
          <w:b/>
          <w:i w:val="0"/>
        </w:rPr>
        <w:t>notio / perceptio</w:t>
      </w:r>
      <w:r>
        <w:rPr>
          <w:b/>
          <w:i w:val="0"/>
        </w:rPr>
        <w:t>.</w:t>
      </w:r>
      <w:r>
        <w:rPr>
          <w:b w:val="0"/>
          <w:i w:val="0"/>
        </w:rPr>
        <w:t xml:space="preserve"> Printed forms: </w:t>
      </w:r>
      <w:r>
        <w:rPr>
          <w:b w:val="0"/>
          <w:i/>
        </w:rPr>
        <w:t>notio</w:t>
      </w:r>
      <w:r>
        <w:rPr>
          <w:b w:val="0"/>
          <w:i w:val="0"/>
        </w:rPr>
        <w:t xml:space="preserve">; </w:t>
      </w:r>
      <w:r>
        <w:rPr>
          <w:b w:val="0"/>
          <w:i/>
        </w:rPr>
        <w:t>notione</w:t>
      </w:r>
      <w:r>
        <w:rPr>
          <w:b w:val="0"/>
          <w:i w:val="0"/>
        </w:rPr>
        <w:t xml:space="preserve">; </w:t>
      </w:r>
      <w:r>
        <w:rPr>
          <w:b w:val="0"/>
          <w:i/>
        </w:rPr>
        <w:t>notionem</w:t>
      </w:r>
      <w:r>
        <w:rPr>
          <w:b w:val="0"/>
          <w:i w:val="0"/>
        </w:rPr>
        <w:t xml:space="preserve">; </w:t>
      </w:r>
      <w:r>
        <w:rPr>
          <w:b w:val="0"/>
          <w:i/>
        </w:rPr>
        <w:t>perceptio</w:t>
      </w:r>
      <w:r>
        <w:rPr>
          <w:b w:val="0"/>
          <w:i w:val="0"/>
        </w:rPr>
        <w:t xml:space="preserve">; </w:t>
      </w:r>
      <w:r>
        <w:rPr>
          <w:b w:val="0"/>
          <w:i/>
        </w:rPr>
        <w:t>perceptionem</w:t>
      </w:r>
      <w:r>
        <w:rPr>
          <w:b w:val="0"/>
          <w:i w:val="0"/>
        </w:rPr>
        <w:t>.</w:t>
      </w:r>
    </w:p>
    <w:p>
      <w:pPr>
        <w:widowControl/>
      </w:pPr>
      <w:r>
        <w:rPr>
          <w:b w:val="0"/>
          <w:i w:val="0"/>
        </w:rPr>
        <w:t xml:space="preserve">An apprehended account or cognitive grasp, with no automatic implication of sensory perception. Simple perception follows simple intellectual content, and innate principles produce notions including necessities while excluding superfluities. References: </w:t>
      </w:r>
      <w:hyperlink w:anchor="passage-viii-4-13">
        <w:r>
          <w:rPr>
            <w:color w:val="000000"/>
          </w:rPr>
          <w:t xml:space="preserve">VIII.4.13</w:t>
        </w:r>
      </w:hyperlink>
      <w:r>
        <w:rPr>
          <w:b w:val="0"/>
          <w:i w:val="0"/>
        </w:rPr>
        <w:t xml:space="preserve">, </w:t>
      </w:r>
      <w:hyperlink w:anchor="passage-viii-13-1">
        <w:r>
          <w:rPr>
            <w:color w:val="000000"/>
          </w:rPr>
          <w:t xml:space="preserve">VIII.13.1</w:t>
        </w:r>
      </w:hyperlink>
      <w:r>
        <w:rPr>
          <w:b w:val="0"/>
          <w:i w:val="0"/>
        </w:rPr>
        <w:t xml:space="preserve">, </w:t>
      </w:r>
      <w:hyperlink w:anchor="passage-viii-16-3">
        <w:r>
          <w:rPr>
            <w:color w:val="000000"/>
          </w:rPr>
          <w:t xml:space="preserve">VIII.16.3</w:t>
        </w:r>
      </w:hyperlink>
      <w:r>
        <w:rPr>
          <w:b w:val="0"/>
          <w:i w:val="0"/>
        </w:rPr>
        <w:t xml:space="preserve">. See </w:t>
      </w:r>
      <w:hyperlink w:anchor="viii-first-concepts">
        <w:r>
          <w:rPr>
            <w:color w:val="000000"/>
          </w:rPr>
          <w:t xml:space="preserve">First concepts, unity, and the end of analysis</w:t>
        </w:r>
      </w:hyperlink>
      <w:r>
        <w:rPr>
          <w:b w:val="0"/>
          <w:i w:val="0"/>
        </w:rPr>
        <w:t>.</w:t>
      </w:r>
    </w:p>
    <w:p>
      <w:pPr>
        <w:keepNext/>
        <w:widowControl/>
      </w:pPr>
      <w:bookmarkStart w:id="1087" w:name="latin-record-0846"/>
      <w:bookmarkEnd w:id="1087"/>
      <w:r>
        <w:rPr>
          <w:b/>
          <w:i w:val="0"/>
        </w:rPr>
        <w:t>numen invocare</w:t>
      </w:r>
      <w:r>
        <w:rPr>
          <w:b/>
          <w:i w:val="0"/>
        </w:rPr>
        <w:t>.</w:t>
      </w:r>
      <w:r>
        <w:rPr>
          <w:b w:val="0"/>
          <w:i w:val="0"/>
        </w:rPr>
        <w:t xml:space="preserve"> Printed forms: </w:t>
      </w:r>
      <w:r>
        <w:rPr>
          <w:b w:val="0"/>
          <w:i/>
        </w:rPr>
        <w:t>divino numine invocato</w:t>
      </w:r>
      <w:r>
        <w:rPr>
          <w:b w:val="0"/>
          <w:i w:val="0"/>
        </w:rPr>
        <w:t>.</w:t>
      </w:r>
    </w:p>
    <w:p>
      <w:pPr>
        <w:widowControl/>
      </w:pPr>
      <w:r>
        <w:rPr>
          <w:b w:val="0"/>
          <w:i w:val="0"/>
        </w:rPr>
        <w:t xml:space="preserve">Calling upon divine power at the start of the proof. The invocation introduces the first argumentative stage and does not replace its reasons. References: </w:t>
      </w:r>
      <w:hyperlink w:anchor="passage-vi-3-2">
        <w:r>
          <w:rPr>
            <w:color w:val="000000"/>
          </w:rPr>
          <w:t xml:space="preserve">VI.3.2</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088" w:name="latin-record-0847"/>
      <w:bookmarkEnd w:id="1088"/>
      <w:r>
        <w:rPr>
          <w:b/>
          <w:i w:val="0"/>
        </w:rPr>
        <w:t>numerus / figura / proportio</w:t>
      </w:r>
      <w:r>
        <w:rPr>
          <w:b/>
          <w:i w:val="0"/>
        </w:rPr>
        <w:t>.</w:t>
      </w:r>
      <w:r>
        <w:rPr>
          <w:b w:val="0"/>
          <w:i w:val="0"/>
        </w:rPr>
        <w:t xml:space="preserve"> Printed forms: </w:t>
      </w:r>
      <w:r>
        <w:rPr>
          <w:b w:val="0"/>
          <w:i/>
        </w:rPr>
        <w:t>comparationes</w:t>
      </w:r>
      <w:r>
        <w:rPr>
          <w:b w:val="0"/>
          <w:i w:val="0"/>
        </w:rPr>
        <w:t xml:space="preserve">; </w:t>
      </w:r>
      <w:r>
        <w:rPr>
          <w:b w:val="0"/>
          <w:i/>
        </w:rPr>
        <w:t>figura</w:t>
      </w:r>
      <w:r>
        <w:rPr>
          <w:b w:val="0"/>
          <w:i w:val="0"/>
        </w:rPr>
        <w:t xml:space="preserve">; </w:t>
      </w:r>
      <w:r>
        <w:rPr>
          <w:b w:val="0"/>
          <w:i/>
        </w:rPr>
        <w:t>figurae</w:t>
      </w:r>
      <w:r>
        <w:rPr>
          <w:b w:val="0"/>
          <w:i w:val="0"/>
        </w:rPr>
        <w:t xml:space="preserve">; </w:t>
      </w:r>
      <w:r>
        <w:rPr>
          <w:b w:val="0"/>
          <w:i/>
        </w:rPr>
        <w:t>Figurarum</w:t>
      </w:r>
      <w:r>
        <w:rPr>
          <w:b w:val="0"/>
          <w:i w:val="0"/>
        </w:rPr>
        <w:t xml:space="preserve">; </w:t>
      </w:r>
      <w:r>
        <w:rPr>
          <w:b w:val="0"/>
          <w:i/>
        </w:rPr>
        <w:t>figurarum</w:t>
      </w:r>
      <w:r>
        <w:rPr>
          <w:b w:val="0"/>
          <w:i w:val="0"/>
        </w:rPr>
        <w:t xml:space="preserve">; </w:t>
      </w:r>
      <w:r>
        <w:rPr>
          <w:b w:val="0"/>
          <w:i/>
        </w:rPr>
        <w:t>figuras</w:t>
      </w:r>
      <w:r>
        <w:rPr>
          <w:b w:val="0"/>
          <w:i w:val="0"/>
        </w:rPr>
        <w:t xml:space="preserve">; </w:t>
      </w:r>
      <w:r>
        <w:rPr>
          <w:b w:val="0"/>
          <w:i/>
        </w:rPr>
        <w:t>lineam</w:t>
      </w:r>
      <w:r>
        <w:rPr>
          <w:b w:val="0"/>
          <w:i w:val="0"/>
        </w:rPr>
        <w:t xml:space="preserve">; </w:t>
      </w:r>
      <w:r>
        <w:rPr>
          <w:b w:val="0"/>
          <w:i/>
        </w:rPr>
        <w:t>numeri</w:t>
      </w:r>
      <w:r>
        <w:rPr>
          <w:b w:val="0"/>
          <w:i w:val="0"/>
        </w:rPr>
        <w:t xml:space="preserve">; </w:t>
      </w:r>
      <w:r>
        <w:rPr>
          <w:b w:val="0"/>
          <w:i/>
        </w:rPr>
        <w:t>numeris</w:t>
      </w:r>
      <w:r>
        <w:rPr>
          <w:b w:val="0"/>
          <w:i w:val="0"/>
        </w:rPr>
        <w:t xml:space="preserve">; </w:t>
      </w:r>
      <w:r>
        <w:rPr>
          <w:b w:val="0"/>
          <w:i/>
        </w:rPr>
        <w:t>numerorum</w:t>
      </w:r>
      <w:r>
        <w:rPr>
          <w:b w:val="0"/>
          <w:i w:val="0"/>
        </w:rPr>
        <w:t xml:space="preserve">; </w:t>
      </w:r>
      <w:r>
        <w:rPr>
          <w:b w:val="0"/>
          <w:i/>
        </w:rPr>
        <w:t>Numeros</w:t>
      </w:r>
      <w:r>
        <w:rPr>
          <w:b w:val="0"/>
          <w:i w:val="0"/>
        </w:rPr>
        <w:t xml:space="preserve">; </w:t>
      </w:r>
      <w:r>
        <w:rPr>
          <w:b w:val="0"/>
          <w:i/>
        </w:rPr>
        <w:t>numeros</w:t>
      </w:r>
      <w:r>
        <w:rPr>
          <w:b w:val="0"/>
          <w:i w:val="0"/>
        </w:rPr>
        <w:t xml:space="preserve">; </w:t>
      </w:r>
      <w:r>
        <w:rPr>
          <w:b w:val="0"/>
          <w:i/>
        </w:rPr>
        <w:t>proportiones</w:t>
      </w:r>
      <w:r>
        <w:rPr>
          <w:b w:val="0"/>
          <w:i w:val="0"/>
        </w:rPr>
        <w:t>.</w:t>
      </w:r>
    </w:p>
    <w:p>
      <w:pPr>
        <w:widowControl/>
      </w:pPr>
      <w:r>
        <w:rPr>
          <w:b w:val="0"/>
          <w:i w:val="0"/>
        </w:rPr>
        <w:t xml:space="preserve">Numbers, figures, proportions, comparisons and an indefinitely extended line. The catalogue displays mental operations without an assigned final bound, not the completed calculation of an actual infinite set of results. References: </w:t>
      </w:r>
      <w:hyperlink w:anchor="passage-viii-2-7">
        <w:r>
          <w:rPr>
            <w:color w:val="000000"/>
          </w:rPr>
          <w:t xml:space="preserve">VIII.2.7</w:t>
        </w:r>
      </w:hyperlink>
      <w:r>
        <w:rPr>
          <w:b w:val="0"/>
          <w:i w:val="0"/>
        </w:rPr>
        <w:t xml:space="preserve">, </w:t>
      </w:r>
      <w:hyperlink w:anchor="passage-viii-4-3">
        <w:r>
          <w:rPr>
            <w:color w:val="000000"/>
          </w:rPr>
          <w:t xml:space="preserve">VIII.4.3</w:t>
        </w:r>
      </w:hyperlink>
      <w:r>
        <w:rPr>
          <w:b w:val="0"/>
          <w:i w:val="0"/>
        </w:rPr>
        <w:t xml:space="preserve">, </w:t>
      </w:r>
      <w:hyperlink w:anchor="passage-viii-4-7">
        <w:r>
          <w:rPr>
            <w:color w:val="000000"/>
          </w:rPr>
          <w:t xml:space="preserve">VIII.4.7</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w:t>
      </w:r>
      <w:hyperlink w:anchor="passage-viii-14-1">
        <w:r>
          <w:rPr>
            <w:color w:val="000000"/>
          </w:rPr>
          <w:t xml:space="preserve">VIII.14.1</w:t>
        </w:r>
      </w:hyperlink>
      <w:r>
        <w:rPr>
          <w:b w:val="0"/>
          <w:i w:val="0"/>
        </w:rPr>
        <w:t xml:space="preserve">,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089" w:name="latin-record-0848"/>
      <w:bookmarkEnd w:id="1089"/>
      <w:r>
        <w:rPr>
          <w:b/>
          <w:i w:val="0"/>
        </w:rPr>
        <w:t>numerus; replicatio</w:t>
      </w:r>
      <w:r>
        <w:rPr>
          <w:b/>
          <w:i w:val="0"/>
        </w:rPr>
        <w:t>.</w:t>
      </w:r>
      <w:r>
        <w:rPr>
          <w:b w:val="0"/>
          <w:i w:val="0"/>
        </w:rPr>
        <w:t xml:space="preserve"> Printed forms: </w:t>
      </w:r>
      <w:r>
        <w:rPr>
          <w:b w:val="0"/>
          <w:i/>
        </w:rPr>
        <w:t>Numeri</w:t>
      </w:r>
      <w:r>
        <w:rPr>
          <w:b w:val="0"/>
          <w:i w:val="0"/>
        </w:rPr>
        <w:t xml:space="preserve">; </w:t>
      </w:r>
      <w:r>
        <w:rPr>
          <w:b w:val="0"/>
          <w:i/>
        </w:rPr>
        <w:t>numeri</w:t>
      </w:r>
      <w:r>
        <w:rPr>
          <w:b w:val="0"/>
          <w:i w:val="0"/>
        </w:rPr>
        <w:t xml:space="preserve">; </w:t>
      </w:r>
      <w:r>
        <w:rPr>
          <w:b w:val="0"/>
          <w:i/>
        </w:rPr>
        <w:t>replicationes</w:t>
      </w:r>
      <w:r>
        <w:rPr>
          <w:b w:val="0"/>
          <w:i w:val="0"/>
        </w:rPr>
        <w:t>.</w:t>
      </w:r>
    </w:p>
    <w:p>
      <w:pPr>
        <w:widowControl/>
      </w:pPr>
      <w:r>
        <w:rPr>
          <w:b w:val="0"/>
          <w:i w:val="0"/>
        </w:rPr>
        <w:t xml:space="preserve">Numbers and repeated expressions of unity. Numbers lack position and number bodily and incorporeal objects, so they approach spiritual nature. References: </w:t>
      </w:r>
      <w:hyperlink w:anchor="passage-vi-2-6">
        <w:r>
          <w:rPr>
            <w:color w:val="000000"/>
          </w:rPr>
          <w:t xml:space="preserve">VI.2.6</w:t>
        </w:r>
      </w:hyperlink>
      <w:r>
        <w:rPr>
          <w:b w:val="0"/>
          <w:i w:val="0"/>
        </w:rPr>
        <w:t xml:space="preserve">. See </w:t>
      </w:r>
      <w:hyperlink w:anchor="number-and-spiritual-amplitude">
        <w:r>
          <w:rPr>
            <w:color w:val="000000"/>
          </w:rPr>
          <w:t xml:space="preserve">Number and spiritual amplitude</w:t>
        </w:r>
      </w:hyperlink>
      <w:r>
        <w:rPr>
          <w:b w:val="0"/>
          <w:i w:val="0"/>
        </w:rPr>
        <w:t>.</w:t>
      </w:r>
    </w:p>
    <w:p>
      <w:pPr>
        <w:keepNext/>
        <w:widowControl/>
      </w:pPr>
      <w:bookmarkStart w:id="1090" w:name="latin-record-0849"/>
      <w:bookmarkEnd w:id="1090"/>
      <w:r>
        <w:rPr>
          <w:b/>
          <w:i w:val="0"/>
        </w:rPr>
        <w:t>nuntiare</w:t>
      </w:r>
      <w:r>
        <w:rPr>
          <w:b/>
          <w:i w:val="0"/>
        </w:rPr>
        <w:t>.</w:t>
      </w:r>
      <w:r>
        <w:rPr>
          <w:b w:val="0"/>
          <w:i w:val="0"/>
        </w:rPr>
        <w:t xml:space="preserve"> Printed forms: </w:t>
      </w:r>
      <w:r>
        <w:rPr>
          <w:b w:val="0"/>
          <w:i/>
        </w:rPr>
        <w:t>nuntiantur</w:t>
      </w:r>
      <w:r>
        <w:rPr>
          <w:b w:val="0"/>
          <w:i w:val="0"/>
        </w:rPr>
        <w:t xml:space="preserve">; </w:t>
      </w:r>
      <w:r>
        <w:rPr>
          <w:b w:val="0"/>
          <w:i/>
        </w:rPr>
        <w:t>nuntiat</w:t>
      </w:r>
      <w:r>
        <w:rPr>
          <w:b w:val="0"/>
          <w:i w:val="0"/>
        </w:rPr>
        <w:t>.</w:t>
      </w:r>
    </w:p>
    <w:p>
      <w:pPr>
        <w:widowControl/>
      </w:pPr>
      <w:r>
        <w:rPr>
          <w:b w:val="0"/>
          <w:i w:val="0"/>
        </w:rPr>
        <w:t xml:space="preserve">To report or convey awareness. The five sensory instruments are likened to reporters to one center; the later foot example tests how such reporting can be understood.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091" w:name="latin-record-0850"/>
      <w:bookmarkEnd w:id="1091"/>
      <w:r>
        <w:rPr>
          <w:b/>
          <w:i w:val="0"/>
        </w:rPr>
        <w:t>nutritiva potentia</w:t>
      </w:r>
      <w:r>
        <w:rPr>
          <w:b/>
          <w:i w:val="0"/>
        </w:rPr>
        <w:t>.</w:t>
      </w:r>
      <w:r>
        <w:rPr>
          <w:b w:val="0"/>
          <w:i w:val="0"/>
        </w:rPr>
        <w:t xml:space="preserve"> Printed forms: </w:t>
      </w:r>
      <w:r>
        <w:rPr>
          <w:b w:val="0"/>
          <w:i/>
        </w:rPr>
        <w:t>nutritiva potentia</w:t>
      </w:r>
      <w:r>
        <w:rPr>
          <w:b w:val="0"/>
          <w:i w:val="0"/>
        </w:rPr>
        <w:t>.</w:t>
      </w:r>
    </w:p>
    <w:p>
      <w:pPr>
        <w:widowControl/>
      </w:pPr>
      <w:r>
        <w:rPr>
          <w:b w:val="0"/>
          <w:i w:val="0"/>
        </w:rPr>
        <w:t xml:space="preserve">The soul’s power of nourishment. It uses heat but directs food toward living flesh and the determinate human figure, exceeding heat’s own characteristic work.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1092" w:name="latin-record-0851"/>
      <w:bookmarkEnd w:id="1092"/>
      <w:r>
        <w:rPr>
          <w:b/>
          <w:i w:val="0"/>
        </w:rPr>
        <w:t>obfuscare</w:t>
      </w:r>
      <w:r>
        <w:rPr>
          <w:b/>
          <w:i w:val="0"/>
        </w:rPr>
        <w:t>.</w:t>
      </w:r>
      <w:r>
        <w:rPr>
          <w:b w:val="0"/>
          <w:i w:val="0"/>
        </w:rPr>
        <w:t xml:space="preserve"> Printed forms: </w:t>
      </w:r>
      <w:r>
        <w:rPr>
          <w:b w:val="0"/>
          <w:i/>
        </w:rPr>
        <w:t>obfuscantur</w:t>
      </w:r>
      <w:r>
        <w:rPr>
          <w:b w:val="0"/>
          <w:i w:val="0"/>
        </w:rPr>
        <w:t>.</w:t>
      </w:r>
    </w:p>
    <w:p>
      <w:pPr>
        <w:widowControl/>
      </w:pPr>
      <w:r>
        <w:rPr>
          <w:b w:val="0"/>
          <w:i w:val="0"/>
        </w:rPr>
        <w:t xml:space="preserve">To darken or obscure each other. Successively received figures would cease to be distinguishable if their bodily impressions overlaid one another. References: </w:t>
      </w:r>
      <w:hyperlink w:anchor="passage-vii-1-2">
        <w:r>
          <w:rPr>
            <w:color w:val="000000"/>
          </w:rPr>
          <w:t xml:space="preserve">VII.1.2</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093" w:name="latin-record-0852"/>
      <w:bookmarkEnd w:id="1093"/>
      <w:r>
        <w:rPr>
          <w:b/>
          <w:i w:val="0"/>
        </w:rPr>
        <w:t>obiectum</w:t>
      </w:r>
      <w:r>
        <w:rPr>
          <w:b/>
          <w:i w:val="0"/>
        </w:rPr>
        <w:t>.</w:t>
      </w:r>
      <w:r>
        <w:rPr>
          <w:b w:val="0"/>
          <w:i w:val="0"/>
        </w:rPr>
        <w:t xml:space="preserve"> Printed forms: </w:t>
      </w:r>
      <w:r>
        <w:rPr>
          <w:b w:val="0"/>
          <w:i/>
        </w:rPr>
        <w:t>mentis obiectum</w:t>
      </w:r>
      <w:r>
        <w:rPr>
          <w:b w:val="0"/>
          <w:i w:val="0"/>
        </w:rPr>
        <w:t xml:space="preserve">; </w:t>
      </w:r>
      <w:r>
        <w:rPr>
          <w:b w:val="0"/>
          <w:i/>
        </w:rPr>
        <w:t>obiecta</w:t>
      </w:r>
      <w:r>
        <w:rPr>
          <w:b w:val="0"/>
          <w:i w:val="0"/>
        </w:rPr>
        <w:t xml:space="preserve">; </w:t>
      </w:r>
      <w:r>
        <w:rPr>
          <w:b w:val="0"/>
          <w:i/>
        </w:rPr>
        <w:t>obiecta mentis</w:t>
      </w:r>
      <w:r>
        <w:rPr>
          <w:b w:val="0"/>
          <w:i w:val="0"/>
        </w:rPr>
        <w:t xml:space="preserve">; </w:t>
      </w:r>
      <w:r>
        <w:rPr>
          <w:b w:val="0"/>
          <w:i/>
        </w:rPr>
        <w:t>obiecto</w:t>
      </w:r>
      <w:r>
        <w:rPr>
          <w:b w:val="0"/>
          <w:i w:val="0"/>
        </w:rPr>
        <w:t xml:space="preserve">; </w:t>
      </w:r>
      <w:r>
        <w:rPr>
          <w:b w:val="0"/>
          <w:i/>
        </w:rPr>
        <w:t>obiectum</w:t>
      </w:r>
      <w:r>
        <w:rPr>
          <w:b w:val="0"/>
          <w:i w:val="0"/>
        </w:rPr>
        <w:t xml:space="preserve">; </w:t>
      </w:r>
      <w:r>
        <w:rPr>
          <w:b w:val="0"/>
          <w:i/>
        </w:rPr>
        <w:t>sensus obiecto</w:t>
      </w:r>
      <w:r>
        <w:rPr>
          <w:b w:val="0"/>
          <w:i w:val="0"/>
        </w:rPr>
        <w:t>.</w:t>
      </w:r>
    </w:p>
    <w:p>
      <w:pPr>
        <w:widowControl/>
      </w:pPr>
      <w:r>
        <w:rPr>
          <w:b w:val="0"/>
          <w:i w:val="0"/>
        </w:rPr>
        <w:t xml:space="preserve">Object, what an operation is directed toward and from which it takes its species. Truth and good allow inward operations to range beyond the single species in which the creature itself exists. References: </w:t>
      </w:r>
      <w:hyperlink w:anchor="passage-v-13-11">
        <w:r>
          <w:rPr>
            <w:color w:val="000000"/>
          </w:rPr>
          <w:t xml:space="preserve">V.13.11</w:t>
        </w:r>
      </w:hyperlink>
      <w:r>
        <w:rPr>
          <w:b w:val="0"/>
          <w:i w:val="0"/>
        </w:rPr>
        <w:t xml:space="preserve">, </w:t>
      </w:r>
      <w:hyperlink w:anchor="passage-v-13-12">
        <w:r>
          <w:rPr>
            <w:color w:val="000000"/>
          </w:rPr>
          <w:t xml:space="preserve">V.13.12</w:t>
        </w:r>
      </w:hyperlink>
      <w:r>
        <w:rPr>
          <w:b w:val="0"/>
          <w:i w:val="0"/>
        </w:rPr>
        <w:t xml:space="preserve">. See </w:t>
      </w:r>
      <w:hyperlink w:anchor="creature-power-and-operation">
        <w:r>
          <w:rPr>
            <w:color w:val="000000"/>
          </w:rPr>
          <w:t xml:space="preserve">Creature, power and operation</w:t>
        </w:r>
      </w:hyperlink>
      <w:r>
        <w:rPr>
          <w:b w:val="0"/>
          <w:i w:val="0"/>
        </w:rPr>
        <w:t>.</w:t>
      </w:r>
    </w:p>
    <w:p>
      <w:pPr>
        <w:widowControl/>
      </w:pPr>
      <w:r>
        <w:rPr>
          <w:b w:val="0"/>
          <w:i w:val="0"/>
        </w:rPr>
        <w:t xml:space="preserve">The object toward which mind or sense is directed. Ficino tests whether intellectual objects move mind, or whether intellect independently fashions incorporeal structures.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widowControl/>
      </w:pPr>
      <w:r>
        <w:rPr>
          <w:b w:val="0"/>
          <w:i w:val="0"/>
        </w:rPr>
        <w:t xml:space="preserve">An object of a sensory power, distinguished from that power’s operation. The inward comparing power judges both the external senses’ objects and their activities.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094" w:name="latin-record-0853"/>
      <w:bookmarkEnd w:id="1094"/>
      <w:r>
        <w:rPr>
          <w:b/>
          <w:i w:val="0"/>
        </w:rPr>
        <w:t>oblivisci</w:t>
      </w:r>
      <w:r>
        <w:rPr>
          <w:b/>
          <w:i w:val="0"/>
        </w:rPr>
        <w:t>.</w:t>
      </w:r>
      <w:r>
        <w:rPr>
          <w:b w:val="0"/>
          <w:i w:val="0"/>
        </w:rPr>
        <w:t xml:space="preserve"> Printed forms: </w:t>
      </w:r>
      <w:r>
        <w:rPr>
          <w:b w:val="0"/>
          <w:i/>
        </w:rPr>
        <w:t>obliviscitur</w:t>
      </w:r>
      <w:r>
        <w:rPr>
          <w:b w:val="0"/>
          <w:i w:val="0"/>
        </w:rPr>
        <w:t>.</w:t>
      </w:r>
    </w:p>
    <w:p>
      <w:pPr>
        <w:widowControl/>
      </w:pPr>
      <w:r>
        <w:rPr>
          <w:b w:val="0"/>
          <w:i w:val="0"/>
        </w:rPr>
        <w:t xml:space="preserve">To forget. The denial concerns loss caused by the act of teaching, not an assertion that no person ever forgets any fact. References: </w:t>
      </w:r>
      <w:hyperlink w:anchor="passage-v-15-15">
        <w:r>
          <w:rPr>
            <w:color w:val="000000"/>
          </w:rPr>
          <w:t xml:space="preserve">V.15.15</w:t>
        </w:r>
      </w:hyperlink>
      <w:r>
        <w:rPr>
          <w:b w:val="0"/>
          <w:i w:val="0"/>
        </w:rPr>
        <w:t xml:space="preserve">. See </w:t>
      </w:r>
      <w:hyperlink w:anchor="teaching-without-loss">
        <w:r>
          <w:rPr>
            <w:color w:val="000000"/>
          </w:rPr>
          <w:t xml:space="preserve">Teaching without loss</w:t>
        </w:r>
      </w:hyperlink>
      <w:r>
        <w:rPr>
          <w:b w:val="0"/>
          <w:i w:val="0"/>
        </w:rPr>
        <w:t>.</w:t>
      </w:r>
    </w:p>
    <w:p>
      <w:pPr>
        <w:keepNext/>
        <w:widowControl/>
      </w:pPr>
      <w:bookmarkStart w:id="1095" w:name="latin-record-0854"/>
      <w:bookmarkEnd w:id="1095"/>
      <w:r>
        <w:rPr>
          <w:b/>
          <w:i w:val="0"/>
        </w:rPr>
        <w:t>oculus / cerebrum</w:t>
      </w:r>
      <w:r>
        <w:rPr>
          <w:b/>
          <w:i w:val="0"/>
        </w:rPr>
        <w:t>.</w:t>
      </w:r>
      <w:r>
        <w:rPr>
          <w:b w:val="0"/>
          <w:i w:val="0"/>
        </w:rPr>
        <w:t xml:space="preserve"> Printed forms: </w:t>
      </w:r>
      <w:r>
        <w:rPr>
          <w:b w:val="0"/>
          <w:i/>
        </w:rPr>
        <w:t>cerebrum</w:t>
      </w:r>
      <w:r>
        <w:rPr>
          <w:b w:val="0"/>
          <w:i w:val="0"/>
        </w:rPr>
        <w:t xml:space="preserve">; </w:t>
      </w:r>
      <w:r>
        <w:rPr>
          <w:b w:val="0"/>
          <w:i/>
        </w:rPr>
        <w:t>oculo</w:t>
      </w:r>
      <w:r>
        <w:rPr>
          <w:b w:val="0"/>
          <w:i w:val="0"/>
        </w:rPr>
        <w:t xml:space="preserve">; </w:t>
      </w:r>
      <w:r>
        <w:rPr>
          <w:b w:val="0"/>
          <w:i/>
        </w:rPr>
        <w:t>oculum</w:t>
      </w:r>
      <w:r>
        <w:rPr>
          <w:b w:val="0"/>
          <w:i w:val="0"/>
        </w:rPr>
        <w:t xml:space="preserve">; </w:t>
      </w:r>
      <w:r>
        <w:rPr>
          <w:b w:val="0"/>
          <w:i/>
        </w:rPr>
        <w:t>oculus</w:t>
      </w:r>
      <w:r>
        <w:rPr>
          <w:b w:val="0"/>
          <w:i w:val="0"/>
        </w:rPr>
        <w:t>.</w:t>
      </w:r>
    </w:p>
    <w:p>
      <w:pPr>
        <w:widowControl/>
      </w:pPr>
      <w:r>
        <w:rPr>
          <w:b w:val="0"/>
          <w:i w:val="0"/>
        </w:rPr>
        <w:t xml:space="preserve">Eye and brain, bodily candidates for receiving or judging sensory images. The argument expands the proposed image-container from eye to brain to the whole body, retaining each hypothetical limit.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096" w:name="latin-record-0855"/>
      <w:bookmarkEnd w:id="1096"/>
      <w:r>
        <w:rPr>
          <w:b/>
          <w:i w:val="0"/>
        </w:rPr>
        <w:t>offendere / dolere</w:t>
      </w:r>
      <w:r>
        <w:rPr>
          <w:b/>
          <w:i w:val="0"/>
        </w:rPr>
        <w:t>.</w:t>
      </w:r>
      <w:r>
        <w:rPr>
          <w:b w:val="0"/>
          <w:i w:val="0"/>
        </w:rPr>
        <w:t xml:space="preserve"> Printed forms: </w:t>
      </w:r>
      <w:r>
        <w:rPr>
          <w:b w:val="0"/>
          <w:i/>
        </w:rPr>
        <w:t>doleat</w:t>
      </w:r>
      <w:r>
        <w:rPr>
          <w:b w:val="0"/>
          <w:i w:val="0"/>
        </w:rPr>
        <w:t xml:space="preserve">; </w:t>
      </w:r>
      <w:r>
        <w:rPr>
          <w:b w:val="0"/>
          <w:i/>
        </w:rPr>
        <w:t>dolor</w:t>
      </w:r>
      <w:r>
        <w:rPr>
          <w:b w:val="0"/>
          <w:i w:val="0"/>
        </w:rPr>
        <w:t xml:space="preserve">; </w:t>
      </w:r>
      <w:r>
        <w:rPr>
          <w:b w:val="0"/>
          <w:i/>
        </w:rPr>
        <w:t>offensus</w:t>
      </w:r>
      <w:r>
        <w:rPr>
          <w:b w:val="0"/>
          <w:i w:val="0"/>
        </w:rPr>
        <w:t>.</w:t>
      </w:r>
    </w:p>
    <w:p>
      <w:pPr>
        <w:widowControl/>
      </w:pPr>
      <w:r>
        <w:rPr>
          <w:b w:val="0"/>
          <w:i w:val="0"/>
        </w:rPr>
        <w:t xml:space="preserve">To strike or be hurt and to feel pain. An accidentally hurt foot introduces the problem of recognizing a localized bodily lesion. References: </w:t>
      </w:r>
      <w:hyperlink w:anchor="passage-vii-5-1">
        <w:r>
          <w:rPr>
            <w:color w:val="000000"/>
          </w:rPr>
          <w:t xml:space="preserve">VII.5.1</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097" w:name="latin-record-0856"/>
      <w:bookmarkEnd w:id="1097"/>
      <w:r>
        <w:rPr>
          <w:b/>
          <w:i w:val="0"/>
        </w:rPr>
        <w:t>offensio; dolor</w:t>
      </w:r>
      <w:r>
        <w:rPr>
          <w:b/>
          <w:i w:val="0"/>
        </w:rPr>
        <w:t>.</w:t>
      </w:r>
      <w:r>
        <w:rPr>
          <w:b w:val="0"/>
          <w:i w:val="0"/>
        </w:rPr>
        <w:t xml:space="preserve"> Printed forms: </w:t>
      </w:r>
      <w:r>
        <w:rPr>
          <w:b w:val="0"/>
          <w:i/>
        </w:rPr>
        <w:t>dolor</w:t>
      </w:r>
      <w:r>
        <w:rPr>
          <w:b w:val="0"/>
          <w:i w:val="0"/>
        </w:rPr>
        <w:t xml:space="preserve">; </w:t>
      </w:r>
      <w:r>
        <w:rPr>
          <w:b w:val="0"/>
          <w:i/>
        </w:rPr>
        <w:t>offensione</w:t>
      </w:r>
      <w:r>
        <w:rPr>
          <w:b w:val="0"/>
          <w:i w:val="0"/>
        </w:rPr>
        <w:t>.</w:t>
      </w:r>
    </w:p>
    <w:p>
      <w:pPr>
        <w:widowControl/>
      </w:pPr>
      <w:r>
        <w:rPr>
          <w:b w:val="0"/>
          <w:i w:val="0"/>
        </w:rPr>
        <w:t xml:space="preserve">Disturbance or injury and pain. The bodily hypothesis predicts continual painful disruption from a soul-body’s penetration, which the argument rejects. References: </w:t>
      </w:r>
      <w:hyperlink w:anchor="passage-vi-9-4">
        <w:r>
          <w:rPr>
            <w:color w:val="000000"/>
          </w:rPr>
          <w:t xml:space="preserve">VI.9.4</w:t>
        </w:r>
      </w:hyperlink>
      <w:r>
        <w:rPr>
          <w:b w:val="0"/>
          <w:i w:val="0"/>
        </w:rPr>
        <w:t xml:space="preserve">. See </w:t>
      </w:r>
      <w:hyperlink w:anchor="place-coincidence-and-painless-penetration">
        <w:r>
          <w:rPr>
            <w:color w:val="000000"/>
          </w:rPr>
          <w:t xml:space="preserve">Place, coincidence and painless penetration</w:t>
        </w:r>
      </w:hyperlink>
      <w:r>
        <w:rPr>
          <w:b w:val="0"/>
          <w:i w:val="0"/>
        </w:rPr>
        <w:t>.</w:t>
      </w:r>
    </w:p>
    <w:p>
      <w:pPr>
        <w:keepNext/>
        <w:widowControl/>
      </w:pPr>
      <w:bookmarkStart w:id="1098" w:name="latin-record-0857"/>
      <w:bookmarkEnd w:id="1098"/>
      <w:r>
        <w:rPr>
          <w:b/>
          <w:i w:val="0"/>
        </w:rPr>
        <w:t>officium</w:t>
      </w:r>
      <w:r>
        <w:rPr>
          <w:b/>
          <w:i w:val="0"/>
        </w:rPr>
        <w:t>.</w:t>
      </w:r>
      <w:r>
        <w:rPr>
          <w:b w:val="0"/>
          <w:i w:val="0"/>
        </w:rPr>
        <w:t xml:space="preserve"> Printed forms: </w:t>
      </w:r>
      <w:r>
        <w:rPr>
          <w:b w:val="0"/>
          <w:i/>
        </w:rPr>
        <w:t>officia</w:t>
      </w:r>
      <w:r>
        <w:rPr>
          <w:b w:val="0"/>
          <w:i w:val="0"/>
        </w:rPr>
        <w:t>.</w:t>
      </w:r>
    </w:p>
    <w:p>
      <w:pPr>
        <w:widowControl/>
      </w:pPr>
      <w:r>
        <w:rPr>
          <w:b w:val="0"/>
          <w:i w:val="0"/>
        </w:rPr>
        <w:t xml:space="preserve">A characteristic task or function. The soul’s three offices define acting in body, through body and through itself, rather than three separate souls.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099" w:name="latin-record-0858"/>
      <w:bookmarkEnd w:id="1099"/>
      <w:r>
        <w:rPr>
          <w:b/>
          <w:i w:val="0"/>
        </w:rPr>
        <w:t>Olympiodorus / Phaedo / Gorgias</w:t>
      </w:r>
      <w:r>
        <w:rPr>
          <w:b/>
          <w:i w:val="0"/>
        </w:rPr>
        <w:t>.</w:t>
      </w:r>
      <w:r>
        <w:rPr>
          <w:b w:val="0"/>
          <w:i w:val="0"/>
        </w:rPr>
        <w:t xml:space="preserve"> Printed forms: </w:t>
      </w:r>
      <w:r>
        <w:rPr>
          <w:b w:val="0"/>
          <w:i/>
        </w:rPr>
        <w:t>Gorgiaque</w:t>
      </w:r>
      <w:r>
        <w:rPr>
          <w:b w:val="0"/>
          <w:i w:val="0"/>
        </w:rPr>
        <w:t xml:space="preserve">; </w:t>
      </w:r>
      <w:r>
        <w:rPr>
          <w:b w:val="0"/>
          <w:i/>
        </w:rPr>
        <w:t>Olympiodori</w:t>
      </w:r>
      <w:r>
        <w:rPr>
          <w:b w:val="0"/>
          <w:i w:val="0"/>
        </w:rPr>
        <w:t xml:space="preserve">; </w:t>
      </w:r>
      <w:r>
        <w:rPr>
          <w:b w:val="0"/>
          <w:i/>
        </w:rPr>
        <w:t>Phaedone</w:t>
      </w:r>
      <w:r>
        <w:rPr>
          <w:b w:val="0"/>
          <w:i w:val="0"/>
        </w:rPr>
        <w:t>.</w:t>
      </w:r>
    </w:p>
    <w:p>
      <w:pPr>
        <w:widowControl/>
      </w:pPr>
      <w:r>
        <w:rPr>
          <w:b w:val="0"/>
          <w:i w:val="0"/>
        </w:rPr>
        <w:t xml:space="preserve">The named Platonist and dialogues invoked for a confirmation from natural desire. Ficino attributes the argument’s Pythagorean and Platonic materials to this line of reception; no separate ancient-source collation is claimed. References: </w:t>
      </w:r>
      <w:hyperlink w:anchor="passage-viii-2-8">
        <w:r>
          <w:rPr>
            <w:color w:val="000000"/>
          </w:rPr>
          <w:t xml:space="preserve">VIII.2.8</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1100" w:name="latin-record-0859"/>
      <w:bookmarkEnd w:id="1100"/>
      <w:r>
        <w:rPr>
          <w:b/>
          <w:i w:val="0"/>
        </w:rPr>
        <w:t>omnino</w:t>
      </w:r>
      <w:r>
        <w:rPr>
          <w:b/>
          <w:i w:val="0"/>
        </w:rPr>
        <w:t>.</w:t>
      </w:r>
      <w:r>
        <w:rPr>
          <w:b w:val="0"/>
          <w:i w:val="0"/>
        </w:rPr>
        <w:t xml:space="preserve"> Printed forms: </w:t>
      </w:r>
      <w:r>
        <w:rPr>
          <w:b w:val="0"/>
          <w:i/>
        </w:rPr>
        <w:t>omnino</w:t>
      </w:r>
      <w:r>
        <w:rPr>
          <w:b w:val="0"/>
          <w:i w:val="0"/>
        </w:rPr>
        <w:t>.</w:t>
      </w:r>
    </w:p>
    <w:p>
      <w:pPr>
        <w:widowControl/>
      </w:pPr>
      <w:r>
        <w:rPr>
          <w:b w:val="0"/>
          <w:i w:val="0"/>
        </w:rPr>
        <w:t xml:space="preserve">Wholly or altogether, intensifying the scope of a claim. Wholly through oneself belongs to God, whereas a created form may be per se only with respect to formal or material dependence. References: </w:t>
      </w:r>
      <w:hyperlink w:anchor="passage-v-5-1">
        <w:r>
          <w:rPr>
            <w:color w:val="000000"/>
          </w:rPr>
          <w:t xml:space="preserve">V.5.1</w:t>
        </w:r>
      </w:hyperlink>
      <w:r>
        <w:rPr>
          <w:b w:val="0"/>
          <w:i w:val="0"/>
        </w:rPr>
        <w:t xml:space="preserve">, </w:t>
      </w:r>
      <w:hyperlink w:anchor="passage-v-5-2">
        <w:r>
          <w:rPr>
            <w:color w:val="000000"/>
          </w:rPr>
          <w:t xml:space="preserve">V.5.2</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101" w:name="latin-record-0860"/>
      <w:bookmarkEnd w:id="1101"/>
      <w:r>
        <w:rPr>
          <w:b/>
          <w:i w:val="0"/>
        </w:rPr>
        <w:t>operatio / actio</w:t>
      </w:r>
      <w:r>
        <w:rPr>
          <w:b/>
          <w:i w:val="0"/>
        </w:rPr>
        <w:t>.</w:t>
      </w:r>
      <w:r>
        <w:rPr>
          <w:b w:val="0"/>
          <w:i w:val="0"/>
        </w:rPr>
        <w:t xml:space="preserve"> Printed forms: </w:t>
      </w:r>
      <w:r>
        <w:rPr>
          <w:b w:val="0"/>
          <w:i/>
        </w:rPr>
        <w:t>actio</w:t>
      </w:r>
      <w:r>
        <w:rPr>
          <w:b w:val="0"/>
          <w:i w:val="0"/>
        </w:rPr>
        <w:t xml:space="preserve">; </w:t>
      </w:r>
      <w:r>
        <w:rPr>
          <w:b w:val="0"/>
          <w:i/>
        </w:rPr>
        <w:t>actionem</w:t>
      </w:r>
      <w:r>
        <w:rPr>
          <w:b w:val="0"/>
          <w:i w:val="0"/>
        </w:rPr>
        <w:t xml:space="preserve">; </w:t>
      </w:r>
      <w:r>
        <w:rPr>
          <w:b w:val="0"/>
          <w:i/>
        </w:rPr>
        <w:t>actionis</w:t>
      </w:r>
      <w:r>
        <w:rPr>
          <w:b w:val="0"/>
          <w:i w:val="0"/>
        </w:rPr>
        <w:t xml:space="preserve">; </w:t>
      </w:r>
      <w:r>
        <w:rPr>
          <w:b w:val="0"/>
          <w:i/>
        </w:rPr>
        <w:t>operatio</w:t>
      </w:r>
      <w:r>
        <w:rPr>
          <w:b w:val="0"/>
          <w:i w:val="0"/>
        </w:rPr>
        <w:t xml:space="preserve">; </w:t>
      </w:r>
      <w:r>
        <w:rPr>
          <w:b w:val="0"/>
          <w:i/>
        </w:rPr>
        <w:t>Operatio</w:t>
      </w:r>
      <w:r>
        <w:rPr>
          <w:b w:val="0"/>
          <w:i w:val="0"/>
        </w:rPr>
        <w:t xml:space="preserve">; </w:t>
      </w:r>
      <w:r>
        <w:rPr>
          <w:b w:val="0"/>
          <w:i/>
        </w:rPr>
        <w:t>operatione</w:t>
      </w:r>
      <w:r>
        <w:rPr>
          <w:b w:val="0"/>
          <w:i w:val="0"/>
        </w:rPr>
        <w:t xml:space="preserve">; </w:t>
      </w:r>
      <w:r>
        <w:rPr>
          <w:b w:val="0"/>
          <w:i/>
        </w:rPr>
        <w:t>operationem</w:t>
      </w:r>
      <w:r>
        <w:rPr>
          <w:b w:val="0"/>
          <w:i w:val="0"/>
        </w:rPr>
        <w:t xml:space="preserve">; </w:t>
      </w:r>
      <w:r>
        <w:rPr>
          <w:b w:val="0"/>
          <w:i/>
        </w:rPr>
        <w:t>operationis</w:t>
      </w:r>
      <w:r>
        <w:rPr>
          <w:b w:val="0"/>
          <w:i w:val="0"/>
        </w:rPr>
        <w:t>.</w:t>
      </w:r>
    </w:p>
    <w:p>
      <w:pPr>
        <w:widowControl/>
      </w:pPr>
      <w:r>
        <w:rPr>
          <w:b w:val="0"/>
          <w:i w:val="0"/>
        </w:rPr>
        <w:t xml:space="preserve">An activity whose origin, mode and terminus reveal the nature of its agent. Bodily operation passes to external matter; understanding can terminate within the mind and support a distinct claim about its formal preservation. References: </w:t>
      </w:r>
      <w:hyperlink w:anchor="passage-viii-7-1">
        <w:r>
          <w:rPr>
            <w:color w:val="000000"/>
          </w:rPr>
          <w:t xml:space="preserve">VIII.7.1</w:t>
        </w:r>
      </w:hyperlink>
      <w:r>
        <w:rPr>
          <w:b w:val="0"/>
          <w:i w:val="0"/>
        </w:rPr>
        <w:t xml:space="preserve">, </w:t>
      </w:r>
      <w:hyperlink w:anchor="passage-viii-10-1">
        <w:r>
          <w:rPr>
            <w:color w:val="000000"/>
          </w:rPr>
          <w:t xml:space="preserve">VIII.10.1</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w:t>
      </w:r>
      <w:hyperlink w:anchor="passage-viii-16-4">
        <w:r>
          <w:rPr>
            <w:color w:val="000000"/>
          </w:rPr>
          <w:t xml:space="preserve">VIII.16.4</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1102" w:name="latin-record-0861"/>
      <w:bookmarkEnd w:id="1102"/>
      <w:r>
        <w:rPr>
          <w:b/>
          <w:i w:val="0"/>
        </w:rPr>
        <w:t>operatio / operari</w:t>
      </w:r>
      <w:r>
        <w:rPr>
          <w:b/>
          <w:i w:val="0"/>
        </w:rPr>
        <w:t>.</w:t>
      </w:r>
      <w:r>
        <w:rPr>
          <w:b w:val="0"/>
          <w:i w:val="0"/>
        </w:rPr>
        <w:t xml:space="preserve"> Printed forms: </w:t>
      </w:r>
      <w:r>
        <w:rPr>
          <w:b w:val="0"/>
          <w:i/>
        </w:rPr>
        <w:t>operabatur</w:t>
      </w:r>
      <w:r>
        <w:rPr>
          <w:b w:val="0"/>
          <w:i w:val="0"/>
        </w:rPr>
        <w:t xml:space="preserve">; </w:t>
      </w:r>
      <w:r>
        <w:rPr>
          <w:b w:val="0"/>
          <w:i/>
        </w:rPr>
        <w:t>operantem</w:t>
      </w:r>
      <w:r>
        <w:rPr>
          <w:b w:val="0"/>
          <w:i w:val="0"/>
        </w:rPr>
        <w:t xml:space="preserve">; </w:t>
      </w:r>
      <w:r>
        <w:rPr>
          <w:b w:val="0"/>
          <w:i/>
        </w:rPr>
        <w:t>operari</w:t>
      </w:r>
      <w:r>
        <w:rPr>
          <w:b w:val="0"/>
          <w:i w:val="0"/>
        </w:rPr>
        <w:t xml:space="preserve">; </w:t>
      </w:r>
      <w:r>
        <w:rPr>
          <w:b w:val="0"/>
          <w:i/>
        </w:rPr>
        <w:t>operatio</w:t>
      </w:r>
      <w:r>
        <w:rPr>
          <w:b w:val="0"/>
          <w:i w:val="0"/>
        </w:rPr>
        <w:t xml:space="preserve">; </w:t>
      </w:r>
      <w:r>
        <w:rPr>
          <w:b w:val="0"/>
          <w:i/>
        </w:rPr>
        <w:t>Operatio</w:t>
      </w:r>
      <w:r>
        <w:rPr>
          <w:b w:val="0"/>
          <w:i w:val="0"/>
        </w:rPr>
        <w:t xml:space="preserve">; </w:t>
      </w:r>
      <w:r>
        <w:rPr>
          <w:b w:val="0"/>
          <w:i/>
        </w:rPr>
        <w:t>operatione</w:t>
      </w:r>
      <w:r>
        <w:rPr>
          <w:b w:val="0"/>
          <w:i w:val="0"/>
        </w:rPr>
        <w:t xml:space="preserve">; </w:t>
      </w:r>
      <w:r>
        <w:rPr>
          <w:b w:val="0"/>
          <w:i/>
        </w:rPr>
        <w:t>operationem</w:t>
      </w:r>
      <w:r>
        <w:rPr>
          <w:b w:val="0"/>
          <w:i w:val="0"/>
        </w:rPr>
        <w:t xml:space="preserve">; </w:t>
      </w:r>
      <w:r>
        <w:rPr>
          <w:b w:val="0"/>
          <w:i/>
        </w:rPr>
        <w:t>operatur</w:t>
      </w:r>
      <w:r>
        <w:rPr>
          <w:b w:val="0"/>
          <w:i w:val="0"/>
        </w:rPr>
        <w:t xml:space="preserve">; </w:t>
      </w:r>
      <w:r>
        <w:rPr>
          <w:b w:val="0"/>
          <w:i/>
        </w:rPr>
        <w:t>operetur</w:t>
      </w:r>
      <w:r>
        <w:rPr>
          <w:b w:val="0"/>
          <w:i w:val="0"/>
        </w:rPr>
        <w:t>.</w:t>
      </w:r>
    </w:p>
    <w:p>
      <w:pPr>
        <w:widowControl/>
      </w:pPr>
      <w:r>
        <w:rPr>
          <w:b w:val="0"/>
          <w:i w:val="0"/>
        </w:rPr>
        <w:t xml:space="preserve">Operatio is an operation or activity, the actual exercise of a power; operari means to operate or act. Changing operation does not necessarily change essence; V.13 distinguishes operation both from being and from the power exercised. References: </w:t>
      </w:r>
      <w:hyperlink w:anchor="passage-v-2-1">
        <w:r>
          <w:rPr>
            <w:color w:val="000000"/>
          </w:rPr>
          <w:t xml:space="preserve">V.2.1</w:t>
        </w:r>
      </w:hyperlink>
      <w:r>
        <w:rPr>
          <w:b w:val="0"/>
          <w:i w:val="0"/>
        </w:rPr>
        <w:t xml:space="preserve">, </w:t>
      </w:r>
      <w:hyperlink w:anchor="passage-v-5-8">
        <w:r>
          <w:rPr>
            <w:color w:val="000000"/>
          </w:rPr>
          <w:t xml:space="preserve">V.5.8</w:t>
        </w:r>
      </w:hyperlink>
      <w:r>
        <w:rPr>
          <w:b w:val="0"/>
          <w:i w:val="0"/>
        </w:rPr>
        <w:t xml:space="preserve">, </w:t>
      </w:r>
      <w:hyperlink w:anchor="passage-v-10-2">
        <w:r>
          <w:rPr>
            <w:color w:val="000000"/>
          </w:rPr>
          <w:t xml:space="preserve">V.10.2</w:t>
        </w:r>
      </w:hyperlink>
      <w:r>
        <w:rPr>
          <w:b w:val="0"/>
          <w:i w:val="0"/>
        </w:rPr>
        <w:t xml:space="preserve">, </w:t>
      </w:r>
      <w:hyperlink w:anchor="passage-v-12-14">
        <w:r>
          <w:rPr>
            <w:color w:val="000000"/>
          </w:rPr>
          <w:t xml:space="preserve">V.12.14</w:t>
        </w:r>
      </w:hyperlink>
      <w:r>
        <w:rPr>
          <w:b w:val="0"/>
          <w:i w:val="0"/>
        </w:rPr>
        <w:t xml:space="preserve">, </w:t>
      </w:r>
      <w:hyperlink w:anchor="passage-v-13-8">
        <w:r>
          <w:rPr>
            <w:color w:val="000000"/>
          </w:rPr>
          <w:t xml:space="preserve">V.13.8</w:t>
        </w:r>
      </w:hyperlink>
      <w:r>
        <w:rPr>
          <w:b w:val="0"/>
          <w:i w:val="0"/>
        </w:rPr>
        <w:t xml:space="preserve">, </w:t>
      </w:r>
      <w:hyperlink w:anchor="passage-v-13-9">
        <w:r>
          <w:rPr>
            <w:color w:val="000000"/>
          </w:rPr>
          <w:t xml:space="preserve">V.13.9</w:t>
        </w:r>
      </w:hyperlink>
      <w:r>
        <w:rPr>
          <w:b w:val="0"/>
          <w:i w:val="0"/>
        </w:rPr>
        <w:t xml:space="preserve">, </w:t>
      </w:r>
      <w:hyperlink w:anchor="passage-v-13-10">
        <w:r>
          <w:rPr>
            <w:color w:val="000000"/>
          </w:rPr>
          <w:t xml:space="preserve">V.13.10</w:t>
        </w:r>
      </w:hyperlink>
      <w:r>
        <w:rPr>
          <w:b w:val="0"/>
          <w:i w:val="0"/>
        </w:rPr>
        <w:t xml:space="preserve">, </w:t>
      </w:r>
      <w:hyperlink w:anchor="passage-v-13-12">
        <w:r>
          <w:rPr>
            <w:color w:val="000000"/>
          </w:rPr>
          <w:t xml:space="preserve">V.13.12</w:t>
        </w:r>
      </w:hyperlink>
      <w:r>
        <w:rPr>
          <w:b w:val="0"/>
          <w:i w:val="0"/>
        </w:rPr>
        <w:t xml:space="preserve">, </w:t>
      </w:r>
      <w:hyperlink w:anchor="passage-v-13-13">
        <w:r>
          <w:rPr>
            <w:color w:val="000000"/>
          </w:rPr>
          <w:t xml:space="preserve">V.13.13</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1103" w:name="latin-record-0862"/>
      <w:bookmarkEnd w:id="1103"/>
      <w:r>
        <w:rPr>
          <w:b/>
          <w:i w:val="0"/>
        </w:rPr>
        <w:t>operatio quae effluit / quae manet</w:t>
      </w:r>
      <w:r>
        <w:rPr>
          <w:b/>
          <w:i w:val="0"/>
        </w:rPr>
        <w:t>.</w:t>
      </w:r>
      <w:r>
        <w:rPr>
          <w:b w:val="0"/>
          <w:i w:val="0"/>
        </w:rPr>
        <w:t xml:space="preserve"> Printed forms: </w:t>
      </w:r>
      <w:r>
        <w:rPr>
          <w:b w:val="0"/>
          <w:i/>
        </w:rPr>
        <w:t>effluit extra operantem</w:t>
      </w:r>
      <w:r>
        <w:rPr>
          <w:b w:val="0"/>
          <w:i w:val="0"/>
        </w:rPr>
        <w:t xml:space="preserve">; </w:t>
      </w:r>
      <w:r>
        <w:rPr>
          <w:b w:val="0"/>
          <w:i/>
        </w:rPr>
        <w:t>manet intus</w:t>
      </w:r>
      <w:r>
        <w:rPr>
          <w:b w:val="0"/>
          <w:i w:val="0"/>
        </w:rPr>
        <w:t xml:space="preserve">; </w:t>
      </w:r>
      <w:r>
        <w:rPr>
          <w:b w:val="0"/>
          <w:i/>
        </w:rPr>
        <w:t>Quae effluit</w:t>
      </w:r>
      <w:r>
        <w:rPr>
          <w:b w:val="0"/>
          <w:i w:val="0"/>
        </w:rPr>
        <w:t xml:space="preserve">; </w:t>
      </w:r>
      <w:r>
        <w:rPr>
          <w:b w:val="0"/>
          <w:i/>
        </w:rPr>
        <w:t>Quae manet</w:t>
      </w:r>
      <w:r>
        <w:rPr>
          <w:b w:val="0"/>
          <w:i w:val="0"/>
        </w:rPr>
        <w:t>.</w:t>
      </w:r>
    </w:p>
    <w:p>
      <w:pPr>
        <w:widowControl/>
      </w:pPr>
      <w:r>
        <w:rPr>
          <w:b w:val="0"/>
          <w:i w:val="0"/>
        </w:rPr>
        <w:t xml:space="preserve">Immanent operation remains within its agent; effluent operation passes outward beyond it. Knowing and willing exemplify immanent activity; heating exemplifies effluent activity. Both are distinguished from the creature’s own being. References: </w:t>
      </w:r>
      <w:hyperlink w:anchor="passage-v-13-10">
        <w:r>
          <w:rPr>
            <w:color w:val="000000"/>
          </w:rPr>
          <w:t xml:space="preserve">V.13.10</w:t>
        </w:r>
      </w:hyperlink>
      <w:r>
        <w:rPr>
          <w:b w:val="0"/>
          <w:i w:val="0"/>
        </w:rPr>
        <w:t xml:space="preserve">, </w:t>
      </w:r>
      <w:hyperlink w:anchor="passage-v-13-11">
        <w:r>
          <w:rPr>
            <w:color w:val="000000"/>
          </w:rPr>
          <w:t xml:space="preserve">V.13.11</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1104" w:name="latin-record-0863"/>
      <w:bookmarkEnd w:id="1104"/>
      <w:r>
        <w:rPr>
          <w:b/>
          <w:i w:val="0"/>
        </w:rPr>
        <w:t>operatio; actus</w:t>
      </w:r>
      <w:r>
        <w:rPr>
          <w:b/>
          <w:i w:val="0"/>
        </w:rPr>
        <w:t>.</w:t>
      </w:r>
      <w:r>
        <w:rPr>
          <w:b w:val="0"/>
          <w:i w:val="0"/>
        </w:rPr>
        <w:t xml:space="preserve"> Printed forms: </w:t>
      </w:r>
      <w:r>
        <w:rPr>
          <w:b w:val="0"/>
          <w:i/>
        </w:rPr>
        <w:t>actu</w:t>
      </w:r>
      <w:r>
        <w:rPr>
          <w:b w:val="0"/>
          <w:i w:val="0"/>
        </w:rPr>
        <w:t xml:space="preserve">; </w:t>
      </w:r>
      <w:r>
        <w:rPr>
          <w:b w:val="0"/>
          <w:i/>
        </w:rPr>
        <w:t>actum</w:t>
      </w:r>
      <w:r>
        <w:rPr>
          <w:b w:val="0"/>
          <w:i w:val="0"/>
        </w:rPr>
        <w:t xml:space="preserve">; </w:t>
      </w:r>
      <w:r>
        <w:rPr>
          <w:b w:val="0"/>
          <w:i/>
        </w:rPr>
        <w:t>actus</w:t>
      </w:r>
      <w:r>
        <w:rPr>
          <w:b w:val="0"/>
          <w:i w:val="0"/>
        </w:rPr>
        <w:t xml:space="preserve">; </w:t>
      </w:r>
      <w:r>
        <w:rPr>
          <w:b w:val="0"/>
          <w:i/>
        </w:rPr>
        <w:t>operatio</w:t>
      </w:r>
      <w:r>
        <w:rPr>
          <w:b w:val="0"/>
          <w:i w:val="0"/>
        </w:rPr>
        <w:t xml:space="preserve">; </w:t>
      </w:r>
      <w:r>
        <w:rPr>
          <w:b w:val="0"/>
          <w:i/>
        </w:rPr>
        <w:t>operationem</w:t>
      </w:r>
      <w:r>
        <w:rPr>
          <w:b w:val="0"/>
          <w:i w:val="0"/>
        </w:rPr>
        <w:t xml:space="preserve">; </w:t>
      </w:r>
      <w:r>
        <w:rPr>
          <w:b w:val="0"/>
          <w:i/>
        </w:rPr>
        <w:t>operationes</w:t>
      </w:r>
      <w:r>
        <w:rPr>
          <w:b w:val="0"/>
          <w:i w:val="0"/>
        </w:rPr>
        <w:t xml:space="preserve">; </w:t>
      </w:r>
      <w:r>
        <w:rPr>
          <w:b w:val="0"/>
          <w:i/>
        </w:rPr>
        <w:t>operationum</w:t>
      </w:r>
      <w:r>
        <w:rPr>
          <w:b w:val="0"/>
          <w:i w:val="0"/>
        </w:rPr>
        <w:t>.</w:t>
      </w:r>
    </w:p>
    <w:p>
      <w:pPr>
        <w:widowControl/>
      </w:pPr>
      <w:r>
        <w:rPr>
          <w:b w:val="0"/>
          <w:i w:val="0"/>
        </w:rPr>
        <w:t xml:space="preserve">Operation and act or actuality, distinguishable from the essence and power producing them. Some acts occur successively or lapse while essential vital actuality remains; the movement from potency to act must not be equated with adding a physical piece. References: </w:t>
      </w:r>
      <w:hyperlink w:anchor="passage-vi-2-12">
        <w:r>
          <w:rPr>
            <w:color w:val="000000"/>
          </w:rPr>
          <w:t xml:space="preserve">VI.2.12</w:t>
        </w:r>
      </w:hyperlink>
      <w:r>
        <w:rPr>
          <w:b w:val="0"/>
          <w:i w:val="0"/>
        </w:rPr>
        <w:t xml:space="preserve">, </w:t>
      </w:r>
      <w:hyperlink w:anchor="passage-vi-4-6">
        <w:r>
          <w:rPr>
            <w:color w:val="000000"/>
          </w:rPr>
          <w:t xml:space="preserve">VI.4.6</w:t>
        </w:r>
      </w:hyperlink>
      <w:r>
        <w:rPr>
          <w:b w:val="0"/>
          <w:i w:val="0"/>
        </w:rPr>
        <w:t xml:space="preserve">, </w:t>
      </w:r>
      <w:hyperlink w:anchor="passage-vi-7-1">
        <w:r>
          <w:rPr>
            <w:color w:val="000000"/>
          </w:rPr>
          <w:t xml:space="preserve">VI.7.1</w:t>
        </w:r>
      </w:hyperlink>
      <w:r>
        <w:rPr>
          <w:b w:val="0"/>
          <w:i w:val="0"/>
        </w:rPr>
        <w:t xml:space="preserve">, </w:t>
      </w:r>
      <w:hyperlink w:anchor="passage-vi-9-2">
        <w:r>
          <w:rPr>
            <w:color w:val="000000"/>
          </w:rPr>
          <w:t xml:space="preserve">VI.9.2</w:t>
        </w:r>
      </w:hyperlink>
      <w:r>
        <w:rPr>
          <w:b w:val="0"/>
          <w:i w:val="0"/>
        </w:rPr>
        <w:t xml:space="preserve">, </w:t>
      </w:r>
      <w:hyperlink w:anchor="passage-vi-12-12">
        <w:r>
          <w:rPr>
            <w:color w:val="000000"/>
          </w:rPr>
          <w:t xml:space="preserve">VI.12.12</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105" w:name="latin-record-0864"/>
      <w:bookmarkEnd w:id="1105"/>
      <w:r>
        <w:rPr>
          <w:b/>
          <w:i w:val="0"/>
        </w:rPr>
        <w:t>opinio / affectus / distrahere</w:t>
      </w:r>
      <w:r>
        <w:rPr>
          <w:b/>
          <w:i w:val="0"/>
        </w:rPr>
        <w:t>.</w:t>
      </w:r>
      <w:r>
        <w:rPr>
          <w:b w:val="0"/>
          <w:i w:val="0"/>
        </w:rPr>
        <w:t xml:space="preserve"> Printed forms: </w:t>
      </w:r>
      <w:r>
        <w:rPr>
          <w:b w:val="0"/>
          <w:i/>
        </w:rPr>
        <w:t>affectibus</w:t>
      </w:r>
      <w:r>
        <w:rPr>
          <w:b w:val="0"/>
          <w:i w:val="0"/>
        </w:rPr>
        <w:t xml:space="preserve">; </w:t>
      </w:r>
      <w:r>
        <w:rPr>
          <w:b w:val="0"/>
          <w:i/>
        </w:rPr>
        <w:t>distrahi</w:t>
      </w:r>
      <w:r>
        <w:rPr>
          <w:b w:val="0"/>
          <w:i w:val="0"/>
        </w:rPr>
        <w:t xml:space="preserve">; </w:t>
      </w:r>
      <w:r>
        <w:rPr>
          <w:b w:val="0"/>
          <w:i/>
        </w:rPr>
        <w:t>opinionibus</w:t>
      </w:r>
      <w:r>
        <w:rPr>
          <w:b w:val="0"/>
          <w:i w:val="0"/>
        </w:rPr>
        <w:t xml:space="preserve">; </w:t>
      </w:r>
      <w:r>
        <w:rPr>
          <w:b w:val="0"/>
          <w:i/>
        </w:rPr>
        <w:t>opinionum</w:t>
      </w:r>
      <w:r>
        <w:rPr>
          <w:b w:val="0"/>
          <w:i w:val="0"/>
        </w:rPr>
        <w:t>.</w:t>
      </w:r>
    </w:p>
    <w:p>
      <w:pPr>
        <w:widowControl/>
      </w:pPr>
      <w:r>
        <w:rPr>
          <w:b w:val="0"/>
          <w:i w:val="0"/>
        </w:rPr>
        <w:t xml:space="preserve">Opinions, affections and being pulled apart by their disagreement. The soul remains a true, vital soul despite its internal conflicts, unlike harmony qua harmony.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1106" w:name="latin-record-0865"/>
      <w:bookmarkEnd w:id="1106"/>
      <w:r>
        <w:rPr>
          <w:b/>
          <w:i w:val="0"/>
        </w:rPr>
        <w:t>opinio / sententia</w:t>
      </w:r>
      <w:r>
        <w:rPr>
          <w:b/>
          <w:i w:val="0"/>
        </w:rPr>
        <w:t>.</w:t>
      </w:r>
      <w:r>
        <w:rPr>
          <w:b w:val="0"/>
          <w:i w:val="0"/>
        </w:rPr>
        <w:t xml:space="preserve"> Printed forms: </w:t>
      </w:r>
      <w:r>
        <w:rPr>
          <w:b w:val="0"/>
          <w:i/>
        </w:rPr>
        <w:t>opinantur</w:t>
      </w:r>
      <w:r>
        <w:rPr>
          <w:b w:val="0"/>
          <w:i w:val="0"/>
        </w:rPr>
        <w:t xml:space="preserve">; </w:t>
      </w:r>
      <w:r>
        <w:rPr>
          <w:b w:val="0"/>
          <w:i/>
        </w:rPr>
        <w:t>putant</w:t>
      </w:r>
      <w:r>
        <w:rPr>
          <w:b w:val="0"/>
          <w:i w:val="0"/>
        </w:rPr>
        <w:t xml:space="preserve">; </w:t>
      </w:r>
      <w:r>
        <w:rPr>
          <w:b w:val="0"/>
          <w:i/>
        </w:rPr>
        <w:t>sententia</w:t>
      </w:r>
      <w:r>
        <w:rPr>
          <w:b w:val="0"/>
          <w:i w:val="0"/>
        </w:rPr>
        <w:t xml:space="preserve">; </w:t>
      </w:r>
      <w:r>
        <w:rPr>
          <w:b w:val="0"/>
          <w:i/>
        </w:rPr>
        <w:t>sententiam</w:t>
      </w:r>
      <w:r>
        <w:rPr>
          <w:b w:val="0"/>
          <w:i w:val="0"/>
        </w:rPr>
        <w:t>.</w:t>
      </w:r>
    </w:p>
    <w:p>
      <w:pPr>
        <w:widowControl/>
      </w:pPr>
      <w:r>
        <w:rPr>
          <w:b w:val="0"/>
          <w:i w:val="0"/>
        </w:rPr>
        <w:t xml:space="preserve">A stated teaching, position or opinion with an identifiable source or speaker. Platonist, Peripatetic, Epicurean and Proclean claims are not all adopted with equal force; attribution and reservation remain part of their meaning. References: </w:t>
      </w:r>
      <w:hyperlink w:anchor="passage-viii-1-1">
        <w:r>
          <w:rPr>
            <w:color w:val="000000"/>
          </w:rPr>
          <w:t xml:space="preserve">VIII.1.1</w:t>
        </w:r>
      </w:hyperlink>
      <w:r>
        <w:rPr>
          <w:b w:val="0"/>
          <w:i w:val="0"/>
        </w:rPr>
        <w:t xml:space="preserve">, </w:t>
      </w:r>
      <w:hyperlink w:anchor="passage-viii-4-1">
        <w:r>
          <w:rPr>
            <w:color w:val="000000"/>
          </w:rPr>
          <w:t xml:space="preserve">VIII.4.1</w:t>
        </w:r>
      </w:hyperlink>
      <w:r>
        <w:rPr>
          <w:b w:val="0"/>
          <w:i w:val="0"/>
        </w:rPr>
        <w:t xml:space="preserve">, </w:t>
      </w:r>
      <w:hyperlink w:anchor="passage-viii-4-5">
        <w:r>
          <w:rPr>
            <w:color w:val="000000"/>
          </w:rPr>
          <w:t xml:space="preserve">VIII.4.5</w:t>
        </w:r>
      </w:hyperlink>
      <w:r>
        <w:rPr>
          <w:b w:val="0"/>
          <w:i w:val="0"/>
        </w:rPr>
        <w:t xml:space="preserve">, </w:t>
      </w:r>
      <w:hyperlink w:anchor="passage-viii-5-2">
        <w:r>
          <w:rPr>
            <w:color w:val="000000"/>
          </w:rPr>
          <w:t xml:space="preserve">VIII.5.2</w:t>
        </w:r>
      </w:hyperlink>
      <w:r>
        <w:rPr>
          <w:b w:val="0"/>
          <w:i w:val="0"/>
        </w:rPr>
        <w:t xml:space="preserve">, </w:t>
      </w:r>
      <w:hyperlink w:anchor="passage-viii-10-2">
        <w:r>
          <w:rPr>
            <w:color w:val="000000"/>
          </w:rPr>
          <w:t xml:space="preserve">VIII.10.2</w:t>
        </w:r>
      </w:hyperlink>
      <w:r>
        <w:rPr>
          <w:b w:val="0"/>
          <w:i w:val="0"/>
        </w:rPr>
        <w:t xml:space="preserve">, </w:t>
      </w:r>
      <w:hyperlink w:anchor="passage-viii-13-1">
        <w:r>
          <w:rPr>
            <w:color w:val="000000"/>
          </w:rPr>
          <w:t xml:space="preserve">VIII.13.1</w:t>
        </w:r>
      </w:hyperlink>
      <w:r>
        <w:rPr>
          <w:b w:val="0"/>
          <w:i w:val="0"/>
        </w:rPr>
        <w:t xml:space="preserve">, </w:t>
      </w:r>
      <w:hyperlink w:anchor="passage-viii-16-4">
        <w:r>
          <w:rPr>
            <w:color w:val="000000"/>
          </w:rPr>
          <w:t xml:space="preserve">VIII.16.4</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1107" w:name="latin-record-0866"/>
      <w:bookmarkEnd w:id="1107"/>
      <w:r>
        <w:rPr>
          <w:b/>
          <w:i w:val="0"/>
        </w:rPr>
        <w:t>opinio; sententia</w:t>
      </w:r>
      <w:r>
        <w:rPr>
          <w:b/>
          <w:i w:val="0"/>
        </w:rPr>
        <w:t>.</w:t>
      </w:r>
      <w:r>
        <w:rPr>
          <w:b w:val="0"/>
          <w:i w:val="0"/>
        </w:rPr>
        <w:t xml:space="preserve"> Printed forms: </w:t>
      </w:r>
      <w:r>
        <w:rPr>
          <w:b w:val="0"/>
          <w:i/>
        </w:rPr>
        <w:t>opiniones</w:t>
      </w:r>
      <w:r>
        <w:rPr>
          <w:b w:val="0"/>
          <w:i w:val="0"/>
        </w:rPr>
        <w:t xml:space="preserve">; </w:t>
      </w:r>
      <w:r>
        <w:rPr>
          <w:b w:val="0"/>
          <w:i/>
        </w:rPr>
        <w:t>sententiam</w:t>
      </w:r>
      <w:r>
        <w:rPr>
          <w:b w:val="0"/>
          <w:i w:val="0"/>
        </w:rPr>
        <w:t>.</w:t>
      </w:r>
    </w:p>
    <w:p>
      <w:pPr>
        <w:widowControl/>
      </w:pPr>
      <w:r>
        <w:rPr>
          <w:b w:val="0"/>
          <w:i w:val="0"/>
        </w:rPr>
        <w:t xml:space="preserve">An articulated position or judgement, which may be reported rather than endorsed. The fivefold classification is a programme for adjudicating rival accounts, and the dinner guests are reported as agreeing with its demand. References: </w:t>
      </w:r>
      <w:hyperlink w:anchor="passage-vi-1-1">
        <w:r>
          <w:rPr>
            <w:color w:val="000000"/>
          </w:rPr>
          <w:t xml:space="preserve">VI.1.1</w:t>
        </w:r>
      </w:hyperlink>
      <w:r>
        <w:rPr>
          <w:b w:val="0"/>
          <w:i w:val="0"/>
        </w:rPr>
        <w:t xml:space="preserve">, </w:t>
      </w:r>
      <w:hyperlink w:anchor="passage-vi-1-5">
        <w:r>
          <w:rPr>
            <w:color w:val="000000"/>
          </w:rPr>
          <w:t xml:space="preserve">VI.1.5</w:t>
        </w:r>
      </w:hyperlink>
      <w:r>
        <w:rPr>
          <w:b w:val="0"/>
          <w:i w:val="0"/>
        </w:rPr>
        <w:t xml:space="preserve">,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108" w:name="latin-record-0867"/>
      <w:bookmarkEnd w:id="1108"/>
      <w:r>
        <w:rPr>
          <w:b/>
          <w:i w:val="0"/>
        </w:rPr>
        <w:t>oportere / necesse / debere</w:t>
      </w:r>
      <w:r>
        <w:rPr>
          <w:b/>
          <w:i w:val="0"/>
        </w:rPr>
        <w:t>.</w:t>
      </w:r>
      <w:r>
        <w:rPr>
          <w:b w:val="0"/>
          <w:i w:val="0"/>
        </w:rPr>
        <w:t xml:space="preserve"> Printed forms: </w:t>
      </w:r>
      <w:r>
        <w:rPr>
          <w:b w:val="0"/>
          <w:i/>
        </w:rPr>
        <w:t>debent</w:t>
      </w:r>
      <w:r>
        <w:rPr>
          <w:b w:val="0"/>
          <w:i w:val="0"/>
        </w:rPr>
        <w:t xml:space="preserve">; </w:t>
      </w:r>
      <w:r>
        <w:rPr>
          <w:b w:val="0"/>
          <w:i/>
        </w:rPr>
        <w:t>debet</w:t>
      </w:r>
      <w:r>
        <w:rPr>
          <w:b w:val="0"/>
          <w:i w:val="0"/>
        </w:rPr>
        <w:t xml:space="preserve">; </w:t>
      </w:r>
      <w:r>
        <w:rPr>
          <w:b w:val="0"/>
          <w:i/>
        </w:rPr>
        <w:t>necesse</w:t>
      </w:r>
      <w:r>
        <w:rPr>
          <w:b w:val="0"/>
          <w:i w:val="0"/>
        </w:rPr>
        <w:t xml:space="preserve">; </w:t>
      </w:r>
      <w:r>
        <w:rPr>
          <w:b w:val="0"/>
          <w:i/>
        </w:rPr>
        <w:t>Oportet</w:t>
      </w:r>
      <w:r>
        <w:rPr>
          <w:b w:val="0"/>
          <w:i w:val="0"/>
        </w:rPr>
        <w:t xml:space="preserve">; </w:t>
      </w:r>
      <w:r>
        <w:rPr>
          <w:b w:val="0"/>
          <w:i/>
        </w:rPr>
        <w:t>oportet</w:t>
      </w:r>
      <w:r>
        <w:rPr>
          <w:b w:val="0"/>
          <w:i w:val="0"/>
        </w:rPr>
        <w:t>.</w:t>
      </w:r>
    </w:p>
    <w:p>
      <w:pPr>
        <w:widowControl/>
      </w:pPr>
      <w:r>
        <w:rPr>
          <w:b w:val="0"/>
          <w:i w:val="0"/>
        </w:rPr>
        <w:t xml:space="preserve">It must be so, it is necessary, or something ought to follow, according to the premise being used. These modal expressions can state a necessary consequence within an opponent’s hypothesis. They do not always announce an unconditionally endorsed doctrine. References: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5">
        <w:r>
          <w:rPr>
            <w:color w:val="000000"/>
          </w:rPr>
          <w:t xml:space="preserve">VIII.4.5</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6-1">
        <w:r>
          <w:rPr>
            <w:color w:val="000000"/>
          </w:rPr>
          <w:t xml:space="preserve">VIII.6.1</w:t>
        </w:r>
      </w:hyperlink>
      <w:r>
        <w:rPr>
          <w:b w:val="0"/>
          <w:i w:val="0"/>
        </w:rPr>
        <w:t xml:space="preserve">, </w:t>
      </w:r>
      <w:hyperlink w:anchor="passage-viii-10-1">
        <w:r>
          <w:rPr>
            <w:color w:val="000000"/>
          </w:rPr>
          <w:t xml:space="preserve">VIII.10.1</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109" w:name="latin-record-0868"/>
      <w:bookmarkEnd w:id="1109"/>
      <w:r>
        <w:rPr>
          <w:b/>
          <w:i w:val="0"/>
        </w:rPr>
        <w:t>opponere / oppositum</w:t>
      </w:r>
      <w:r>
        <w:rPr>
          <w:b/>
          <w:i w:val="0"/>
        </w:rPr>
        <w:t>.</w:t>
      </w:r>
      <w:r>
        <w:rPr>
          <w:b w:val="0"/>
          <w:i w:val="0"/>
        </w:rPr>
        <w:t xml:space="preserve"> Printed forms: </w:t>
      </w:r>
      <w:r>
        <w:rPr>
          <w:b w:val="0"/>
          <w:i/>
        </w:rPr>
        <w:t>opponitur</w:t>
      </w:r>
      <w:r>
        <w:rPr>
          <w:b w:val="0"/>
          <w:i w:val="0"/>
        </w:rPr>
        <w:t xml:space="preserve">; </w:t>
      </w:r>
      <w:r>
        <w:rPr>
          <w:b w:val="0"/>
          <w:i/>
        </w:rPr>
        <w:t>opponuntur</w:t>
      </w:r>
      <w:r>
        <w:rPr>
          <w:b w:val="0"/>
          <w:i w:val="0"/>
        </w:rPr>
        <w:t xml:space="preserve">; </w:t>
      </w:r>
      <w:r>
        <w:rPr>
          <w:b w:val="0"/>
          <w:i/>
        </w:rPr>
        <w:t>opposita</w:t>
      </w:r>
      <w:r>
        <w:rPr>
          <w:b w:val="0"/>
          <w:i w:val="0"/>
        </w:rPr>
        <w:t xml:space="preserve">; </w:t>
      </w:r>
      <w:r>
        <w:rPr>
          <w:b w:val="0"/>
          <w:i/>
        </w:rPr>
        <w:t>oppositi</w:t>
      </w:r>
      <w:r>
        <w:rPr>
          <w:b w:val="0"/>
          <w:i w:val="0"/>
        </w:rPr>
        <w:t xml:space="preserve">; </w:t>
      </w:r>
      <w:r>
        <w:rPr>
          <w:b w:val="0"/>
          <w:i/>
        </w:rPr>
        <w:t>oppositum</w:t>
      </w:r>
      <w:r>
        <w:rPr>
          <w:b w:val="0"/>
          <w:i w:val="0"/>
        </w:rPr>
        <w:t>.</w:t>
      </w:r>
    </w:p>
    <w:p>
      <w:pPr>
        <w:widowControl/>
      </w:pPr>
      <w:r>
        <w:rPr>
          <w:b w:val="0"/>
          <w:i w:val="0"/>
        </w:rPr>
        <w:t xml:space="preserve">To oppose and an opposed term, including contrary qualities and contradictory being/nonbeing. The specific opposition matters: cold and heat share matter, whereas nothing is not a substrate for being. References: </w:t>
      </w:r>
      <w:hyperlink w:anchor="passage-v-5-4">
        <w:r>
          <w:rPr>
            <w:color w:val="000000"/>
          </w:rPr>
          <w:t xml:space="preserve">V.5.4</w:t>
        </w:r>
      </w:hyperlink>
      <w:r>
        <w:rPr>
          <w:b w:val="0"/>
          <w:i w:val="0"/>
        </w:rPr>
        <w:t xml:space="preserve">, </w:t>
      </w:r>
      <w:hyperlink w:anchor="passage-v-8-1">
        <w:r>
          <w:rPr>
            <w:color w:val="000000"/>
          </w:rPr>
          <w:t xml:space="preserve">V.8.1</w:t>
        </w:r>
      </w:hyperlink>
      <w:r>
        <w:rPr>
          <w:b w:val="0"/>
          <w:i w:val="0"/>
        </w:rPr>
        <w:t xml:space="preserve">, </w:t>
      </w:r>
      <w:hyperlink w:anchor="passage-v-12-2">
        <w:r>
          <w:rPr>
            <w:color w:val="000000"/>
          </w:rPr>
          <w:t xml:space="preserve">V.12.2</w:t>
        </w:r>
      </w:hyperlink>
      <w:r>
        <w:rPr>
          <w:b w:val="0"/>
          <w:i w:val="0"/>
        </w:rPr>
        <w:t xml:space="preserve">, </w:t>
      </w:r>
      <w:hyperlink w:anchor="passage-v-12-10">
        <w:r>
          <w:rPr>
            <w:color w:val="000000"/>
          </w:rPr>
          <w:t xml:space="preserve">V.12.10</w:t>
        </w:r>
      </w:hyperlink>
      <w:r>
        <w:rPr>
          <w:b w:val="0"/>
          <w:i w:val="0"/>
        </w:rPr>
        <w:t xml:space="preserve">, </w:t>
      </w:r>
      <w:hyperlink w:anchor="passage-v-13-7">
        <w:r>
          <w:rPr>
            <w:color w:val="000000"/>
          </w:rPr>
          <w:t xml:space="preserve">V.13.7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1110" w:name="latin-record-0869"/>
      <w:bookmarkEnd w:id="1110"/>
      <w:r>
        <w:rPr>
          <w:b/>
          <w:i w:val="0"/>
        </w:rPr>
        <w:t>opposita / contraria</w:t>
      </w:r>
      <w:r>
        <w:rPr>
          <w:b/>
          <w:i w:val="0"/>
        </w:rPr>
        <w:t>.</w:t>
      </w:r>
      <w:r>
        <w:rPr>
          <w:b w:val="0"/>
          <w:i w:val="0"/>
        </w:rPr>
        <w:t xml:space="preserve"> Printed forms: </w:t>
      </w:r>
      <w:r>
        <w:rPr>
          <w:b w:val="0"/>
          <w:i/>
        </w:rPr>
        <w:t>contraria</w:t>
      </w:r>
      <w:r>
        <w:rPr>
          <w:b w:val="0"/>
          <w:i w:val="0"/>
        </w:rPr>
        <w:t xml:space="preserve">; </w:t>
      </w:r>
      <w:r>
        <w:rPr>
          <w:b w:val="0"/>
          <w:i/>
        </w:rPr>
        <w:t>opposita</w:t>
      </w:r>
      <w:r>
        <w:rPr>
          <w:b w:val="0"/>
          <w:i w:val="0"/>
        </w:rPr>
        <w:t>.</w:t>
      </w:r>
    </w:p>
    <w:p>
      <w:pPr>
        <w:widowControl/>
      </w:pPr>
      <w:r>
        <w:rPr>
          <w:b w:val="0"/>
          <w:i w:val="0"/>
        </w:rPr>
        <w:t xml:space="preserve">Opposed or contrary effects. A simple quality produces one characteristic kind of result; soul produces many and contrary effects. References: </w:t>
      </w:r>
      <w:hyperlink w:anchor="passage-vii-7-1">
        <w:r>
          <w:rPr>
            <w:color w:val="000000"/>
          </w:rPr>
          <w:t xml:space="preserve">VII.7.1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111" w:name="latin-record-0870"/>
      <w:bookmarkEnd w:id="1111"/>
      <w:r>
        <w:rPr>
          <w:b/>
          <w:i w:val="0"/>
        </w:rPr>
        <w:t>opposita suscipere</w:t>
      </w:r>
      <w:r>
        <w:rPr>
          <w:b/>
          <w:i w:val="0"/>
        </w:rPr>
        <w:t>.</w:t>
      </w:r>
      <w:r>
        <w:rPr>
          <w:b w:val="0"/>
          <w:i w:val="0"/>
        </w:rPr>
        <w:t xml:space="preserve"> Printed forms: </w:t>
      </w:r>
      <w:r>
        <w:rPr>
          <w:b w:val="0"/>
          <w:i/>
        </w:rPr>
        <w:t>opposita suscipit</w:t>
      </w:r>
      <w:r>
        <w:rPr>
          <w:b w:val="0"/>
          <w:i w:val="0"/>
        </w:rPr>
        <w:t xml:space="preserve">; </w:t>
      </w:r>
      <w:r>
        <w:rPr>
          <w:b w:val="0"/>
          <w:i/>
        </w:rPr>
        <w:t>permanet idem</w:t>
      </w:r>
      <w:r>
        <w:rPr>
          <w:b w:val="0"/>
          <w:i w:val="0"/>
        </w:rPr>
        <w:t xml:space="preserve">; </w:t>
      </w:r>
      <w:r>
        <w:rPr>
          <w:b w:val="0"/>
          <w:i/>
        </w:rPr>
        <w:t>repugnantes affectus</w:t>
      </w:r>
      <w:r>
        <w:rPr>
          <w:b w:val="0"/>
          <w:i w:val="0"/>
        </w:rPr>
        <w:t>.</w:t>
      </w:r>
    </w:p>
    <w:p>
      <w:pPr>
        <w:widowControl/>
      </w:pPr>
      <w:r>
        <w:rPr>
          <w:b w:val="0"/>
          <w:i w:val="0"/>
        </w:rPr>
        <w:t xml:space="preserve">Receiving contrary states while remaining the same bearer. Changing opinions, knowledge/ignorance and affects supply a test for substance rather than identifying soul with any transient state. References: </w:t>
      </w:r>
      <w:hyperlink w:anchor="passage-vi-7-3">
        <w:r>
          <w:rPr>
            <w:color w:val="000000"/>
          </w:rPr>
          <w:t xml:space="preserve">VI.7.3</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112" w:name="latin-record-0871"/>
      <w:bookmarkEnd w:id="1112"/>
      <w:r>
        <w:rPr>
          <w:b/>
          <w:i w:val="0"/>
        </w:rPr>
        <w:t>opprimere / marcescere</w:t>
      </w:r>
      <w:r>
        <w:rPr>
          <w:b/>
          <w:i w:val="0"/>
        </w:rPr>
        <w:t>.</w:t>
      </w:r>
      <w:r>
        <w:rPr>
          <w:b w:val="0"/>
          <w:i w:val="0"/>
        </w:rPr>
        <w:t xml:space="preserve"> Printed forms: </w:t>
      </w:r>
      <w:r>
        <w:rPr>
          <w:b w:val="0"/>
          <w:i/>
        </w:rPr>
        <w:t>marcescunt</w:t>
      </w:r>
      <w:r>
        <w:rPr>
          <w:b w:val="0"/>
          <w:i w:val="0"/>
        </w:rPr>
        <w:t xml:space="preserve">; </w:t>
      </w:r>
      <w:r>
        <w:rPr>
          <w:b w:val="0"/>
          <w:i/>
        </w:rPr>
        <w:t>opprimit</w:t>
      </w:r>
      <w:r>
        <w:rPr>
          <w:b w:val="0"/>
          <w:i w:val="0"/>
        </w:rPr>
        <w:t>.</w:t>
      </w:r>
    </w:p>
    <w:p>
      <w:pPr>
        <w:widowControl/>
      </w:pPr>
      <w:r>
        <w:rPr>
          <w:b w:val="0"/>
          <w:i w:val="0"/>
        </w:rPr>
        <w:t xml:space="preserve">To overwhelm and to grow slack. Sleep overtakes people and relaxes limbs, but Ficino denies that this by itself weakens the mind’s essential power. References: </w:t>
      </w:r>
      <w:hyperlink w:anchor="passage-v-15-23">
        <w:r>
          <w:rPr>
            <w:color w:val="000000"/>
          </w:rPr>
          <w:t xml:space="preserve">V.15.23</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1113" w:name="latin-record-0872"/>
      <w:bookmarkEnd w:id="1113"/>
      <w:r>
        <w:rPr>
          <w:b/>
          <w:i w:val="0"/>
        </w:rPr>
        <w:t>opus</w:t>
      </w:r>
      <w:r>
        <w:rPr>
          <w:b/>
          <w:i w:val="0"/>
        </w:rPr>
        <w:t>.</w:t>
      </w:r>
      <w:r>
        <w:rPr>
          <w:b w:val="0"/>
          <w:i w:val="0"/>
        </w:rPr>
        <w:t xml:space="preserve"> Printed forms: </w:t>
      </w:r>
      <w:r>
        <w:rPr>
          <w:b w:val="0"/>
          <w:i/>
        </w:rPr>
        <w:t>opera</w:t>
      </w:r>
      <w:r>
        <w:rPr>
          <w:b w:val="0"/>
          <w:i w:val="0"/>
        </w:rPr>
        <w:t xml:space="preserve">; </w:t>
      </w:r>
      <w:r>
        <w:rPr>
          <w:b w:val="0"/>
          <w:i/>
        </w:rPr>
        <w:t>operibus</w:t>
      </w:r>
      <w:r>
        <w:rPr>
          <w:b w:val="0"/>
          <w:i w:val="0"/>
        </w:rPr>
        <w:t xml:space="preserve">; </w:t>
      </w:r>
      <w:r>
        <w:rPr>
          <w:b w:val="0"/>
          <w:i/>
        </w:rPr>
        <w:t>operis</w:t>
      </w:r>
      <w:r>
        <w:rPr>
          <w:b w:val="0"/>
          <w:i w:val="0"/>
        </w:rPr>
        <w:t xml:space="preserve">; </w:t>
      </w:r>
      <w:r>
        <w:rPr>
          <w:b w:val="0"/>
          <w:i/>
        </w:rPr>
        <w:t>opus</w:t>
      </w:r>
      <w:r>
        <w:rPr>
          <w:b w:val="0"/>
          <w:i w:val="0"/>
        </w:rPr>
        <w:t>.</w:t>
      </w:r>
    </w:p>
    <w:p>
      <w:pPr>
        <w:widowControl/>
      </w:pPr>
      <w:r>
        <w:rPr>
          <w:b w:val="0"/>
          <w:i w:val="0"/>
        </w:rPr>
        <w:t xml:space="preserve">A work, product or task made or performed by an agent. A completed artifact, natural product and the whole task held in mind use the same family without making them identical kinds of effect. References: </w:t>
      </w:r>
      <w:hyperlink w:anchor="passage-v-4-1">
        <w:r>
          <w:rPr>
            <w:color w:val="000000"/>
          </w:rPr>
          <w:t xml:space="preserve">V.4.1</w:t>
        </w:r>
      </w:hyperlink>
      <w:r>
        <w:rPr>
          <w:b w:val="0"/>
          <w:i w:val="0"/>
        </w:rPr>
        <w:t xml:space="preserve">, </w:t>
      </w:r>
      <w:hyperlink w:anchor="passage-v-4-8">
        <w:r>
          <w:rPr>
            <w:color w:val="000000"/>
          </w:rPr>
          <w:t xml:space="preserve">V.4.8</w:t>
        </w:r>
      </w:hyperlink>
      <w:r>
        <w:rPr>
          <w:b w:val="0"/>
          <w:i w:val="0"/>
        </w:rPr>
        <w:t xml:space="preserve">, </w:t>
      </w:r>
      <w:hyperlink w:anchor="passage-v-12-3">
        <w:r>
          <w:rPr>
            <w:color w:val="000000"/>
          </w:rPr>
          <w:t xml:space="preserve">V.12.3</w:t>
        </w:r>
      </w:hyperlink>
      <w:r>
        <w:rPr>
          <w:b w:val="0"/>
          <w:i w:val="0"/>
        </w:rPr>
        <w:t xml:space="preserve">, </w:t>
      </w:r>
      <w:hyperlink w:anchor="passage-v-13-2">
        <w:r>
          <w:rPr>
            <w:color w:val="000000"/>
          </w:rPr>
          <w:t xml:space="preserve">V.13.2</w:t>
        </w:r>
      </w:hyperlink>
      <w:r>
        <w:rPr>
          <w:b w:val="0"/>
          <w:i w:val="0"/>
        </w:rPr>
        <w:t xml:space="preserve">, </w:t>
      </w:r>
      <w:hyperlink w:anchor="passage-v-15-5">
        <w:r>
          <w:rPr>
            <w:color w:val="000000"/>
          </w:rPr>
          <w:t xml:space="preserve">V.15.5</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114" w:name="latin-record-0873"/>
      <w:bookmarkEnd w:id="1114"/>
      <w:r>
        <w:rPr>
          <w:b/>
          <w:i w:val="0"/>
        </w:rPr>
        <w:t>orbis in puncto</w:t>
      </w:r>
      <w:r>
        <w:rPr>
          <w:b/>
          <w:i w:val="0"/>
        </w:rPr>
        <w:t>.</w:t>
      </w:r>
      <w:r>
        <w:rPr>
          <w:b w:val="0"/>
          <w:i w:val="0"/>
        </w:rPr>
        <w:t xml:space="preserve"> Printed forms: </w:t>
      </w:r>
      <w:r>
        <w:rPr>
          <w:b w:val="0"/>
          <w:i/>
        </w:rPr>
        <w:t>intervalla</w:t>
      </w:r>
      <w:r>
        <w:rPr>
          <w:b w:val="0"/>
          <w:i w:val="0"/>
        </w:rPr>
        <w:t xml:space="preserve">; </w:t>
      </w:r>
      <w:r>
        <w:rPr>
          <w:b w:val="0"/>
          <w:i/>
        </w:rPr>
        <w:t>orbem</w:t>
      </w:r>
      <w:r>
        <w:rPr>
          <w:b w:val="0"/>
          <w:i w:val="0"/>
        </w:rPr>
        <w:t xml:space="preserve">; </w:t>
      </w:r>
      <w:r>
        <w:rPr>
          <w:b w:val="0"/>
          <w:i/>
        </w:rPr>
        <w:t>puncto</w:t>
      </w:r>
      <w:r>
        <w:rPr>
          <w:b w:val="0"/>
          <w:i w:val="0"/>
        </w:rPr>
        <w:t xml:space="preserve">; </w:t>
      </w:r>
      <w:r>
        <w:rPr>
          <w:b w:val="0"/>
          <w:i/>
        </w:rPr>
        <w:t>spatia</w:t>
      </w:r>
      <w:r>
        <w:rPr>
          <w:b w:val="0"/>
          <w:i w:val="0"/>
        </w:rPr>
        <w:t>.</w:t>
      </w:r>
    </w:p>
    <w:p>
      <w:pPr>
        <w:widowControl/>
      </w:pPr>
      <w:r>
        <w:rPr>
          <w:b w:val="0"/>
          <w:i w:val="0"/>
        </w:rPr>
        <w:t xml:space="preserve">The world seen in a point, an image of nonextended intellectual survey. Mind can consider spatially distant objects together without its gaze being confined to their bodily distances. References: </w:t>
      </w:r>
      <w:hyperlink w:anchor="passage-viii-14-1">
        <w:r>
          <w:rPr>
            <w:color w:val="000000"/>
          </w:rPr>
          <w:t xml:space="preserve">VIII.14.1</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1115" w:name="latin-record-0874"/>
      <w:bookmarkEnd w:id="1115"/>
      <w:r>
        <w:rPr>
          <w:b/>
          <w:i w:val="0"/>
        </w:rPr>
        <w:t>orbis pallidus</w:t>
      </w:r>
      <w:r>
        <w:rPr>
          <w:b/>
          <w:i w:val="0"/>
        </w:rPr>
        <w:t>.</w:t>
      </w:r>
      <w:r>
        <w:rPr>
          <w:b w:val="0"/>
          <w:i w:val="0"/>
        </w:rPr>
        <w:t xml:space="preserve"> Printed forms: </w:t>
      </w:r>
      <w:r>
        <w:rPr>
          <w:b w:val="0"/>
          <w:i/>
        </w:rPr>
        <w:t>pallidus orbis in nubibus</w:t>
      </w:r>
      <w:r>
        <w:rPr>
          <w:b w:val="0"/>
          <w:i w:val="0"/>
        </w:rPr>
        <w:t>.</w:t>
      </w:r>
    </w:p>
    <w:p>
      <w:pPr>
        <w:widowControl/>
      </w:pPr>
      <w:r>
        <w:rPr>
          <w:b w:val="0"/>
          <w:i w:val="0"/>
        </w:rPr>
        <w:t xml:space="preserve">A pale circle in clouds, the lunar halo. Its following moonlight illustrates visible light’s dependence on spiritual source rather than identity with it. References: </w:t>
      </w:r>
      <w:hyperlink w:anchor="passage-vi-2-25">
        <w:r>
          <w:rPr>
            <w:color w:val="000000"/>
          </w:rPr>
          <w:t xml:space="preserve">VI.2.25</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1116" w:name="latin-record-0875"/>
      <w:bookmarkEnd w:id="1116"/>
      <w:r>
        <w:rPr>
          <w:b/>
          <w:i w:val="0"/>
        </w:rPr>
        <w:t>ordinare / ordo</w:t>
      </w:r>
      <w:r>
        <w:rPr>
          <w:b/>
          <w:i w:val="0"/>
        </w:rPr>
        <w:t>.</w:t>
      </w:r>
      <w:r>
        <w:rPr>
          <w:b w:val="0"/>
          <w:i w:val="0"/>
        </w:rPr>
        <w:t xml:space="preserve"> Printed forms: </w:t>
      </w:r>
      <w:r>
        <w:rPr>
          <w:b w:val="0"/>
          <w:i/>
        </w:rPr>
        <w:t>ordinatae</w:t>
      </w:r>
      <w:r>
        <w:rPr>
          <w:b w:val="0"/>
          <w:i w:val="0"/>
        </w:rPr>
        <w:t xml:space="preserve">; </w:t>
      </w:r>
      <w:r>
        <w:rPr>
          <w:b w:val="0"/>
          <w:i/>
        </w:rPr>
        <w:t>ordinatur</w:t>
      </w:r>
      <w:r>
        <w:rPr>
          <w:b w:val="0"/>
          <w:i w:val="0"/>
        </w:rPr>
        <w:t xml:space="preserve">; </w:t>
      </w:r>
      <w:r>
        <w:rPr>
          <w:b w:val="0"/>
          <w:i/>
        </w:rPr>
        <w:t>ordine</w:t>
      </w:r>
      <w:r>
        <w:rPr>
          <w:b w:val="0"/>
          <w:i w:val="0"/>
        </w:rPr>
        <w:t xml:space="preserve">; </w:t>
      </w:r>
      <w:r>
        <w:rPr>
          <w:b w:val="0"/>
          <w:i/>
        </w:rPr>
        <w:t>ordinem</w:t>
      </w:r>
      <w:r>
        <w:rPr>
          <w:b w:val="0"/>
          <w:i w:val="0"/>
        </w:rPr>
        <w:t>.</w:t>
      </w:r>
    </w:p>
    <w:p>
      <w:pPr>
        <w:widowControl/>
      </w:pPr>
      <w:r>
        <w:rPr>
          <w:b w:val="0"/>
          <w:i w:val="0"/>
        </w:rPr>
        <w:t xml:space="preserve">Ordering and ordered relation among principles, parts or operations. The regular coordination of natural species supports a common cause; ordered reasoning differs from chance assembly of spatial mental fragments. References: </w:t>
      </w:r>
      <w:hyperlink w:anchor="passage-viii-1-3">
        <w:r>
          <w:rPr>
            <w:color w:val="000000"/>
          </w:rPr>
          <w:t xml:space="preserve">VIII.1.3</w:t>
        </w:r>
      </w:hyperlink>
      <w:r>
        <w:rPr>
          <w:b w:val="0"/>
          <w:i w:val="0"/>
        </w:rPr>
        <w:t xml:space="preserve">, </w:t>
      </w:r>
      <w:hyperlink w:anchor="passage-viii-4-4">
        <w:r>
          <w:rPr>
            <w:color w:val="000000"/>
          </w:rPr>
          <w:t xml:space="preserve">VIII.4.4</w:t>
        </w:r>
      </w:hyperlink>
      <w:r>
        <w:rPr>
          <w:b w:val="0"/>
          <w:i w:val="0"/>
        </w:rPr>
        <w:t xml:space="preserve">, </w:t>
      </w:r>
      <w:hyperlink w:anchor="passage-viii-4-10">
        <w:r>
          <w:rPr>
            <w:color w:val="000000"/>
          </w:rPr>
          <w:t xml:space="preserve">VIII.4.10</w:t>
        </w:r>
      </w:hyperlink>
      <w:r>
        <w:rPr>
          <w:b w:val="0"/>
          <w:i w:val="0"/>
        </w:rPr>
        <w:t xml:space="preserve">, </w:t>
      </w:r>
      <w:hyperlink w:anchor="passage-viii-5-1">
        <w:r>
          <w:rPr>
            <w:color w:val="000000"/>
          </w:rPr>
          <w:t xml:space="preserve">VIII.5.1</w:t>
        </w:r>
      </w:hyperlink>
      <w:r>
        <w:rPr>
          <w:b w:val="0"/>
          <w:i w:val="0"/>
        </w:rPr>
        <w:t xml:space="preserve">, </w:t>
      </w:r>
      <w:hyperlink w:anchor="passage-viii-10-1">
        <w:r>
          <w:rPr>
            <w:color w:val="000000"/>
          </w:rPr>
          <w:t xml:space="preserve">VIII.10.1</w:t>
        </w:r>
      </w:hyperlink>
      <w:r>
        <w:rPr>
          <w:b w:val="0"/>
          <w:i w:val="0"/>
        </w:rPr>
        <w:t xml:space="preserve">, </w:t>
      </w:r>
      <w:hyperlink w:anchor="passage-viii-16-2">
        <w:r>
          <w:rPr>
            <w:color w:val="000000"/>
          </w:rPr>
          <w:t xml:space="preserve">VIII.16.2</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117" w:name="latin-record-0876"/>
      <w:bookmarkEnd w:id="1117"/>
      <w:r>
        <w:rPr>
          <w:b/>
          <w:i w:val="0"/>
        </w:rPr>
        <w:t>ordinare; ordo</w:t>
      </w:r>
      <w:r>
        <w:rPr>
          <w:b/>
          <w:i w:val="0"/>
        </w:rPr>
        <w:t>.</w:t>
      </w:r>
      <w:r>
        <w:rPr>
          <w:b w:val="0"/>
          <w:i w:val="0"/>
        </w:rPr>
        <w:t xml:space="preserve"> Printed forms: </w:t>
      </w:r>
      <w:r>
        <w:rPr>
          <w:b w:val="0"/>
          <w:i/>
        </w:rPr>
        <w:t>ordinantis</w:t>
      </w:r>
      <w:r>
        <w:rPr>
          <w:b w:val="0"/>
          <w:i w:val="0"/>
        </w:rPr>
        <w:t xml:space="preserve">; </w:t>
      </w:r>
      <w:r>
        <w:rPr>
          <w:b w:val="0"/>
          <w:i/>
        </w:rPr>
        <w:t>ordinat</w:t>
      </w:r>
      <w:r>
        <w:rPr>
          <w:b w:val="0"/>
          <w:i w:val="0"/>
        </w:rPr>
        <w:t xml:space="preserve">; </w:t>
      </w:r>
      <w:r>
        <w:rPr>
          <w:b w:val="0"/>
          <w:i/>
        </w:rPr>
        <w:t>ordinator</w:t>
      </w:r>
      <w:r>
        <w:rPr>
          <w:b w:val="0"/>
          <w:i w:val="0"/>
        </w:rPr>
        <w:t xml:space="preserve">; </w:t>
      </w:r>
      <w:r>
        <w:rPr>
          <w:b w:val="0"/>
          <w:i/>
        </w:rPr>
        <w:t>ordinatrix</w:t>
      </w:r>
      <w:r>
        <w:rPr>
          <w:b w:val="0"/>
          <w:i w:val="0"/>
        </w:rPr>
        <w:t xml:space="preserve">; </w:t>
      </w:r>
      <w:r>
        <w:rPr>
          <w:b w:val="0"/>
          <w:i/>
        </w:rPr>
        <w:t>ordine</w:t>
      </w:r>
      <w:r>
        <w:rPr>
          <w:b w:val="0"/>
          <w:i w:val="0"/>
        </w:rPr>
        <w:t xml:space="preserve">; </w:t>
      </w:r>
      <w:r>
        <w:rPr>
          <w:b w:val="0"/>
          <w:i/>
        </w:rPr>
        <w:t>ordinem</w:t>
      </w:r>
      <w:r>
        <w:rPr>
          <w:b w:val="0"/>
          <w:i w:val="0"/>
        </w:rPr>
        <w:t>.</w:t>
      </w:r>
    </w:p>
    <w:p>
      <w:pPr>
        <w:widowControl/>
      </w:pPr>
      <w:r>
        <w:rPr>
          <w:b w:val="0"/>
          <w:i w:val="0"/>
        </w:rPr>
        <w:t xml:space="preserve">To order; order or the source of coordination. Determinate conjunction, bodily regulation and limited growth require an orderer in Ficino’s causal account; order is not merely where objects stand spatially. References: </w:t>
      </w:r>
      <w:hyperlink w:anchor="passage-vi-1-6">
        <w:r>
          <w:rPr>
            <w:color w:val="000000"/>
          </w:rPr>
          <w:t xml:space="preserve">VI.1.6</w:t>
        </w:r>
      </w:hyperlink>
      <w:r>
        <w:rPr>
          <w:b w:val="0"/>
          <w:i w:val="0"/>
        </w:rPr>
        <w:t xml:space="preserve">, </w:t>
      </w:r>
      <w:hyperlink w:anchor="passage-vi-11-1">
        <w:r>
          <w:rPr>
            <w:color w:val="000000"/>
          </w:rPr>
          <w:t xml:space="preserve">VI.11.1</w:t>
        </w:r>
      </w:hyperlink>
      <w:r>
        <w:rPr>
          <w:b w:val="0"/>
          <w:i w:val="0"/>
        </w:rPr>
        <w:t xml:space="preserve">, </w:t>
      </w:r>
      <w:hyperlink w:anchor="passage-vi-13-8">
        <w:r>
          <w:rPr>
            <w:color w:val="000000"/>
          </w:rPr>
          <w:t xml:space="preserve">VI.13.8</w:t>
        </w:r>
      </w:hyperlink>
      <w:r>
        <w:rPr>
          <w:b w:val="0"/>
          <w:i w:val="0"/>
        </w:rPr>
        <w:t xml:space="preserve">. See </w:t>
      </w:r>
      <w:hyperlink w:anchor="elements-conjunction-and-inward-orderer">
        <w:r>
          <w:rPr>
            <w:color w:val="000000"/>
          </w:rPr>
          <w:t xml:space="preserve">Elements, conjunction and the inward orderer</w:t>
        </w:r>
      </w:hyperlink>
      <w:r>
        <w:rPr>
          <w:b w:val="0"/>
          <w:i w:val="0"/>
        </w:rPr>
        <w:t>.</w:t>
      </w:r>
    </w:p>
    <w:p>
      <w:pPr>
        <w:keepNext/>
        <w:widowControl/>
      </w:pPr>
      <w:bookmarkStart w:id="1118" w:name="latin-record-0877"/>
      <w:bookmarkEnd w:id="1118"/>
      <w:r>
        <w:rPr>
          <w:b/>
          <w:i w:val="0"/>
        </w:rPr>
        <w:t>ordo / ordinare</w:t>
      </w:r>
      <w:r>
        <w:rPr>
          <w:b/>
          <w:i w:val="0"/>
        </w:rPr>
        <w:t>.</w:t>
      </w:r>
      <w:r>
        <w:rPr>
          <w:b w:val="0"/>
          <w:i w:val="0"/>
        </w:rPr>
        <w:t xml:space="preserve"> Printed forms: </w:t>
      </w:r>
      <w:r>
        <w:rPr>
          <w:b w:val="0"/>
          <w:i/>
        </w:rPr>
        <w:t>ordinat</w:t>
      </w:r>
      <w:r>
        <w:rPr>
          <w:b w:val="0"/>
          <w:i w:val="0"/>
        </w:rPr>
        <w:t xml:space="preserve">; </w:t>
      </w:r>
      <w:r>
        <w:rPr>
          <w:b w:val="0"/>
          <w:i/>
        </w:rPr>
        <w:t>ordinem</w:t>
      </w:r>
      <w:r>
        <w:rPr>
          <w:b w:val="0"/>
          <w:i w:val="0"/>
        </w:rPr>
        <w:t xml:space="preserve">; </w:t>
      </w:r>
      <w:r>
        <w:rPr>
          <w:b w:val="0"/>
          <w:i/>
        </w:rPr>
        <w:t>ordo</w:t>
      </w:r>
      <w:r>
        <w:rPr>
          <w:b w:val="0"/>
          <w:i w:val="0"/>
        </w:rPr>
        <w:t>.</w:t>
      </w:r>
    </w:p>
    <w:p>
      <w:pPr>
        <w:widowControl/>
      </w:pPr>
      <w:r>
        <w:rPr>
          <w:b w:val="0"/>
          <w:i w:val="0"/>
        </w:rPr>
        <w:t xml:space="preserve">Order or ordering, here the angel’s contribution in the reported Platonist triad. The term concerns determinate arrangement, distinguished from God’s giving unity and soul’s giving life by movement. References: </w:t>
      </w:r>
      <w:hyperlink w:anchor="passage-v-4-10">
        <w:r>
          <w:rPr>
            <w:color w:val="000000"/>
          </w:rPr>
          <w:t xml:space="preserve">V.4.10</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1119" w:name="latin-record-0878"/>
      <w:bookmarkEnd w:id="1119"/>
      <w:r>
        <w:rPr>
          <w:b/>
          <w:i w:val="0"/>
        </w:rPr>
        <w:t>ordo naturae / effectus</w:t>
      </w:r>
      <w:r>
        <w:rPr>
          <w:b/>
          <w:i w:val="0"/>
        </w:rPr>
        <w:t>.</w:t>
      </w:r>
      <w:r>
        <w:rPr>
          <w:b w:val="0"/>
          <w:i w:val="0"/>
        </w:rPr>
        <w:t xml:space="preserve"> Printed forms: </w:t>
      </w:r>
      <w:r>
        <w:rPr>
          <w:b w:val="0"/>
          <w:i/>
        </w:rPr>
        <w:t>effectibus</w:t>
      </w:r>
      <w:r>
        <w:rPr>
          <w:b w:val="0"/>
          <w:i w:val="0"/>
        </w:rPr>
        <w:t xml:space="preserve">; </w:t>
      </w:r>
      <w:r>
        <w:rPr>
          <w:b w:val="0"/>
          <w:i/>
        </w:rPr>
        <w:t>effectu</w:t>
      </w:r>
      <w:r>
        <w:rPr>
          <w:b w:val="0"/>
          <w:i w:val="0"/>
        </w:rPr>
        <w:t xml:space="preserve">; </w:t>
      </w:r>
      <w:r>
        <w:rPr>
          <w:b w:val="0"/>
          <w:i/>
        </w:rPr>
        <w:t>ordine</w:t>
      </w:r>
      <w:r>
        <w:rPr>
          <w:b w:val="0"/>
          <w:i w:val="0"/>
        </w:rPr>
        <w:t>.</w:t>
      </w:r>
    </w:p>
    <w:p>
      <w:pPr>
        <w:widowControl/>
      </w:pPr>
      <w:r>
        <w:rPr>
          <w:b w:val="0"/>
          <w:i w:val="0"/>
        </w:rPr>
        <w:t xml:space="preserve">Natural order, and actual realization or effect. Ordo names the ordered constitution of nature; effectus names its actual realization or an effect, as distinguished locally from an invented conceptual multiplication. The genus-and-difference argument rejects actually innumerable natural constituents; elsewhere effects reveal images of causes. Effectu is not always simply an external product. References: </w:t>
      </w:r>
      <w:hyperlink w:anchor="passage-viii-3-7">
        <w:r>
          <w:rPr>
            <w:color w:val="000000"/>
          </w:rPr>
          <w:t xml:space="preserve">VIII.3.7</w:t>
        </w:r>
      </w:hyperlink>
      <w:r>
        <w:rPr>
          <w:b w:val="0"/>
          <w:i w:val="0"/>
        </w:rPr>
        <w:t xml:space="preserve">, </w:t>
      </w:r>
      <w:hyperlink w:anchor="passage-viii-4-4">
        <w:r>
          <w:rPr>
            <w:color w:val="000000"/>
          </w:rPr>
          <w:t xml:space="preserve">VIII.4.4</w:t>
        </w:r>
      </w:hyperlink>
      <w:r>
        <w:rPr>
          <w:b w:val="0"/>
          <w:i w:val="0"/>
        </w:rPr>
        <w:t xml:space="preserve">, </w:t>
      </w:r>
      <w:hyperlink w:anchor="passage-viii-4-10">
        <w:r>
          <w:rPr>
            <w:color w:val="000000"/>
          </w:rPr>
          <w:t xml:space="preserve">VIII.4.10</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120" w:name="latin-record-0879"/>
      <w:bookmarkEnd w:id="1120"/>
      <w:r>
        <w:rPr>
          <w:b/>
          <w:i w:val="0"/>
        </w:rPr>
        <w:t>oriens / occidens</w:t>
      </w:r>
      <w:r>
        <w:rPr>
          <w:b/>
          <w:i w:val="0"/>
        </w:rPr>
        <w:t>.</w:t>
      </w:r>
      <w:r>
        <w:rPr>
          <w:b w:val="0"/>
          <w:i w:val="0"/>
        </w:rPr>
        <w:t xml:space="preserve"> Printed forms: </w:t>
      </w:r>
      <w:r>
        <w:rPr>
          <w:b w:val="0"/>
          <w:i/>
        </w:rPr>
        <w:t>occidente</w:t>
      </w:r>
      <w:r>
        <w:rPr>
          <w:b w:val="0"/>
          <w:i w:val="0"/>
        </w:rPr>
        <w:t xml:space="preserve">; </w:t>
      </w:r>
      <w:r>
        <w:rPr>
          <w:b w:val="0"/>
          <w:i/>
        </w:rPr>
        <w:t>oriente</w:t>
      </w:r>
      <w:r>
        <w:rPr>
          <w:b w:val="0"/>
          <w:i w:val="0"/>
        </w:rPr>
        <w:t>.</w:t>
      </w:r>
    </w:p>
    <w:p>
      <w:pPr>
        <w:widowControl/>
      </w:pPr>
      <w:r>
        <w:rPr>
          <w:b w:val="0"/>
          <w:i w:val="0"/>
        </w:rPr>
        <w:t xml:space="preserve">East and West, paired regions illustrating a common nature’s geographic nonrestriction. Humanity can occur in either; the pair supports a claim about definition rather than a travel description. References: </w:t>
      </w:r>
      <w:hyperlink w:anchor="passage-v-7-1">
        <w:r>
          <w:rPr>
            <w:color w:val="000000"/>
          </w:rPr>
          <w:t xml:space="preserve">V.7.1</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1121" w:name="latin-record-0880"/>
      <w:bookmarkEnd w:id="1121"/>
      <w:r>
        <w:rPr>
          <w:b/>
          <w:i w:val="0"/>
        </w:rPr>
        <w:t>origo</w:t>
      </w:r>
      <w:r>
        <w:rPr>
          <w:b/>
          <w:i w:val="0"/>
        </w:rPr>
        <w:t>.</w:t>
      </w:r>
      <w:r>
        <w:rPr>
          <w:b w:val="0"/>
          <w:i w:val="0"/>
        </w:rPr>
        <w:t xml:space="preserve"> Printed forms: </w:t>
      </w:r>
      <w:r>
        <w:rPr>
          <w:b w:val="0"/>
          <w:i/>
        </w:rPr>
        <w:t>origine</w:t>
      </w:r>
      <w:r>
        <w:rPr>
          <w:b w:val="0"/>
          <w:i w:val="0"/>
        </w:rPr>
        <w:t xml:space="preserve">; </w:t>
      </w:r>
      <w:r>
        <w:rPr>
          <w:b w:val="0"/>
          <w:i/>
        </w:rPr>
        <w:t>originem</w:t>
      </w:r>
      <w:r>
        <w:rPr>
          <w:b w:val="0"/>
          <w:i w:val="0"/>
        </w:rPr>
        <w:t xml:space="preserve">; </w:t>
      </w:r>
      <w:r>
        <w:rPr>
          <w:b w:val="0"/>
          <w:i/>
        </w:rPr>
        <w:t>origo</w:t>
      </w:r>
      <w:r>
        <w:rPr>
          <w:b w:val="0"/>
          <w:i w:val="0"/>
        </w:rPr>
        <w:t>.</w:t>
      </w:r>
    </w:p>
    <w:p>
      <w:pPr>
        <w:widowControl/>
      </w:pPr>
      <w:r>
        <w:rPr>
          <w:b w:val="0"/>
          <w:i w:val="0"/>
        </w:rPr>
        <w:t xml:space="preserve">Origin or source, whether productive or explanatory. Soul is denied an origin from bodies; an irrational life’s mediated origin differs from rational soul’s immediate source. References: </w:t>
      </w:r>
      <w:hyperlink w:anchor="passage-v-5-9">
        <w:r>
          <w:rPr>
            <w:color w:val="000000"/>
          </w:rPr>
          <w:t xml:space="preserve">V.5.9</w:t>
        </w:r>
      </w:hyperlink>
      <w:r>
        <w:rPr>
          <w:b w:val="0"/>
          <w:i w:val="0"/>
        </w:rPr>
        <w:t xml:space="preserve">, </w:t>
      </w:r>
      <w:hyperlink w:anchor="passage-v-12-12">
        <w:r>
          <w:rPr>
            <w:color w:val="000000"/>
          </w:rPr>
          <w:t xml:space="preserve">V.12.12</w:t>
        </w:r>
      </w:hyperlink>
      <w:r>
        <w:rPr>
          <w:b w:val="0"/>
          <w:i w:val="0"/>
        </w:rPr>
        <w:t xml:space="preserve">, </w:t>
      </w:r>
      <w:hyperlink w:anchor="passage-v-13-18">
        <w:r>
          <w:rPr>
            <w:color w:val="000000"/>
          </w:rPr>
          <w:t xml:space="preserve">V.13.18</w:t>
        </w:r>
      </w:hyperlink>
      <w:r>
        <w:rPr>
          <w:b w:val="0"/>
          <w:i w:val="0"/>
        </w:rPr>
        <w:t xml:space="preserve">, </w:t>
      </w:r>
      <w:hyperlink w:anchor="passage-v-15-18">
        <w:r>
          <w:rPr>
            <w:color w:val="000000"/>
          </w:rPr>
          <w:t xml:space="preserve">V.15.18</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122" w:name="latin-record-0881"/>
      <w:bookmarkEnd w:id="1122"/>
      <w:r>
        <w:rPr>
          <w:b/>
          <w:i w:val="0"/>
        </w:rPr>
        <w:t>origo a materia</w:t>
      </w:r>
      <w:r>
        <w:rPr>
          <w:b/>
          <w:i w:val="0"/>
        </w:rPr>
        <w:t>.</w:t>
      </w:r>
      <w:r>
        <w:rPr>
          <w:b w:val="0"/>
          <w:i w:val="0"/>
        </w:rPr>
        <w:t xml:space="preserve"> Printed forms: </w:t>
      </w:r>
      <w:r>
        <w:rPr>
          <w:b w:val="0"/>
          <w:i/>
        </w:rPr>
        <w:t>nullam trahat originem a materia</w:t>
      </w:r>
      <w:r>
        <w:rPr>
          <w:b w:val="0"/>
          <w:i w:val="0"/>
        </w:rPr>
        <w:t>.</w:t>
      </w:r>
    </w:p>
    <w:p>
      <w:pPr>
        <w:widowControl/>
      </w:pPr>
      <w:r>
        <w:rPr>
          <w:b w:val="0"/>
          <w:i w:val="0"/>
        </w:rPr>
        <w:t xml:space="preserve">Deriving no origin from matter. Ficino assigns this additional conclusion to the intellectual stage, beyond what natural power establishes. References: </w:t>
      </w:r>
      <w:hyperlink w:anchor="passage-vi-3-1">
        <w:r>
          <w:rPr>
            <w:color w:val="000000"/>
          </w:rPr>
          <w:t xml:space="preserve">VI.3.1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123" w:name="latin-record-0882"/>
      <w:bookmarkEnd w:id="1123"/>
      <w:r>
        <w:rPr>
          <w:b/>
          <w:i w:val="0"/>
        </w:rPr>
        <w:t>origo; principium; causa</w:t>
      </w:r>
      <w:r>
        <w:rPr>
          <w:b/>
          <w:i w:val="0"/>
        </w:rPr>
        <w:t>.</w:t>
      </w:r>
      <w:r>
        <w:rPr>
          <w:b w:val="0"/>
          <w:i w:val="0"/>
        </w:rPr>
        <w:t xml:space="preserve"> Printed forms: </w:t>
      </w:r>
      <w:r>
        <w:rPr>
          <w:b w:val="0"/>
          <w:i/>
        </w:rPr>
        <w:t>causa</w:t>
      </w:r>
      <w:r>
        <w:rPr>
          <w:b w:val="0"/>
          <w:i w:val="0"/>
        </w:rPr>
        <w:t xml:space="preserve">; </w:t>
      </w:r>
      <w:r>
        <w:rPr>
          <w:b w:val="0"/>
          <w:i/>
        </w:rPr>
        <w:t>causam</w:t>
      </w:r>
      <w:r>
        <w:rPr>
          <w:b w:val="0"/>
          <w:i w:val="0"/>
        </w:rPr>
        <w:t xml:space="preserve">; </w:t>
      </w:r>
      <w:r>
        <w:rPr>
          <w:b w:val="0"/>
          <w:i/>
        </w:rPr>
        <w:t>causas</w:t>
      </w:r>
      <w:r>
        <w:rPr>
          <w:b w:val="0"/>
          <w:i w:val="0"/>
        </w:rPr>
        <w:t xml:space="preserve">; </w:t>
      </w:r>
      <w:r>
        <w:rPr>
          <w:b w:val="0"/>
          <w:i/>
        </w:rPr>
        <w:t>originem</w:t>
      </w:r>
      <w:r>
        <w:rPr>
          <w:b w:val="0"/>
          <w:i w:val="0"/>
        </w:rPr>
        <w:t xml:space="preserve">; </w:t>
      </w:r>
      <w:r>
        <w:rPr>
          <w:b w:val="0"/>
          <w:i/>
        </w:rPr>
        <w:t>origo</w:t>
      </w:r>
      <w:r>
        <w:rPr>
          <w:b w:val="0"/>
          <w:i w:val="0"/>
        </w:rPr>
        <w:t xml:space="preserve">; </w:t>
      </w:r>
      <w:r>
        <w:rPr>
          <w:b w:val="0"/>
          <w:i/>
        </w:rPr>
        <w:t>principia</w:t>
      </w:r>
      <w:r>
        <w:rPr>
          <w:b w:val="0"/>
          <w:i w:val="0"/>
        </w:rPr>
        <w:t xml:space="preserve">; </w:t>
      </w:r>
      <w:r>
        <w:rPr>
          <w:b w:val="0"/>
          <w:i/>
        </w:rPr>
        <w:t>principiis</w:t>
      </w:r>
      <w:r>
        <w:rPr>
          <w:b w:val="0"/>
          <w:i w:val="0"/>
        </w:rPr>
        <w:t xml:space="preserve">; </w:t>
      </w:r>
      <w:r>
        <w:rPr>
          <w:b w:val="0"/>
          <w:i/>
        </w:rPr>
        <w:t>principium</w:t>
      </w:r>
      <w:r>
        <w:rPr>
          <w:b w:val="0"/>
          <w:i w:val="0"/>
        </w:rPr>
        <w:t>.</w:t>
      </w:r>
    </w:p>
    <w:p>
      <w:pPr>
        <w:widowControl/>
      </w:pPr>
      <w:r>
        <w:rPr>
          <w:b w:val="0"/>
          <w:i w:val="0"/>
        </w:rPr>
        <w:t xml:space="preserve">Origin, principle and cause, each naming an explanatory beginning in context. Material origin, the source of nutrition and reasoning through causes are distinct applications; a first explanatory principle need not be first merely in elapsed time. References: </w:t>
      </w:r>
      <w:hyperlink w:anchor="passage-vi-3-1">
        <w:r>
          <w:rPr>
            <w:color w:val="000000"/>
          </w:rPr>
          <w:t xml:space="preserve">VI.3.1</w:t>
        </w:r>
      </w:hyperlink>
      <w:r>
        <w:rPr>
          <w:b w:val="0"/>
          <w:i w:val="0"/>
        </w:rPr>
        <w:t xml:space="preserve">, </w:t>
      </w:r>
      <w:hyperlink w:anchor="passage-vi-4-1">
        <w:r>
          <w:rPr>
            <w:color w:val="000000"/>
          </w:rPr>
          <w:t xml:space="preserve">VI.4.1</w:t>
        </w:r>
      </w:hyperlink>
      <w:r>
        <w:rPr>
          <w:b w:val="0"/>
          <w:i w:val="0"/>
        </w:rPr>
        <w:t xml:space="preserve">, </w:t>
      </w:r>
      <w:hyperlink w:anchor="passage-vi-12-5">
        <w:r>
          <w:rPr>
            <w:color w:val="000000"/>
          </w:rPr>
          <w:t xml:space="preserve">VI.12.5</w:t>
        </w:r>
      </w:hyperlink>
      <w:r>
        <w:rPr>
          <w:b w:val="0"/>
          <w:i w:val="0"/>
        </w:rPr>
        <w:t xml:space="preserve">, </w:t>
      </w:r>
      <w:hyperlink w:anchor="passage-vi-12-7">
        <w:r>
          <w:rPr>
            <w:color w:val="000000"/>
          </w:rPr>
          <w:t xml:space="preserve">VI.12.7</w:t>
        </w:r>
      </w:hyperlink>
      <w:r>
        <w:rPr>
          <w:b w:val="0"/>
          <w:i w:val="0"/>
        </w:rPr>
        <w:t xml:space="preserve">, </w:t>
      </w:r>
      <w:hyperlink w:anchor="passage-vi-12-10">
        <w:r>
          <w:rPr>
            <w:color w:val="000000"/>
          </w:rPr>
          <w:t xml:space="preserve">VI.12.10</w:t>
        </w:r>
      </w:hyperlink>
      <w:r>
        <w:rPr>
          <w:b w:val="0"/>
          <w:i w:val="0"/>
        </w:rPr>
        <w:t xml:space="preserve">, </w:t>
      </w:r>
      <w:hyperlink w:anchor="passage-vi-12-17">
        <w:r>
          <w:rPr>
            <w:color w:val="000000"/>
          </w:rPr>
          <w:t xml:space="preserve">VI.12.17</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1124" w:name="latin-record-0883"/>
      <w:bookmarkEnd w:id="1124"/>
      <w:r>
        <w:rPr>
          <w:b/>
          <w:i w:val="0"/>
        </w:rPr>
        <w:t>Orphici / Heraclitus</w:t>
      </w:r>
      <w:r>
        <w:rPr>
          <w:b/>
          <w:i w:val="0"/>
        </w:rPr>
        <w:t>.</w:t>
      </w:r>
      <w:r>
        <w:rPr>
          <w:b w:val="0"/>
          <w:i w:val="0"/>
        </w:rPr>
        <w:t xml:space="preserve"> Printed forms: </w:t>
      </w:r>
      <w:r>
        <w:rPr>
          <w:b w:val="0"/>
          <w:i/>
        </w:rPr>
        <w:t>Heraclito</w:t>
      </w:r>
      <w:r>
        <w:rPr>
          <w:b w:val="0"/>
          <w:i w:val="0"/>
        </w:rPr>
        <w:t xml:space="preserve">; </w:t>
      </w:r>
      <w:r>
        <w:rPr>
          <w:b w:val="0"/>
          <w:i/>
        </w:rPr>
        <w:t>Orphicis</w:t>
      </w:r>
      <w:r>
        <w:rPr>
          <w:b w:val="0"/>
          <w:i w:val="0"/>
        </w:rPr>
        <w:t>.</w:t>
      </w:r>
    </w:p>
    <w:p>
      <w:pPr>
        <w:widowControl/>
      </w:pPr>
      <w:r>
        <w:rPr>
          <w:b w:val="0"/>
          <w:i w:val="0"/>
        </w:rPr>
        <w:t xml:space="preserve">The named authorities for light as visible soul and soul as invisible light. The attribution belongs to Ficino’s report; the lexicon does not claim direct verification against separate ancient witnesses.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1125" w:name="latin-record-0884"/>
      <w:bookmarkEnd w:id="1125"/>
      <w:r>
        <w:rPr>
          <w:b/>
          <w:i w:val="0"/>
        </w:rPr>
        <w:t>ortus / finis virtutis</w:t>
      </w:r>
      <w:r>
        <w:rPr>
          <w:b/>
          <w:i w:val="0"/>
        </w:rPr>
        <w:t>.</w:t>
      </w:r>
      <w:r>
        <w:rPr>
          <w:b w:val="0"/>
          <w:i w:val="0"/>
        </w:rPr>
        <w:t xml:space="preserve"> Printed forms: </w:t>
      </w:r>
      <w:r>
        <w:rPr>
          <w:b w:val="0"/>
          <w:i/>
        </w:rPr>
        <w:t>finem</w:t>
      </w:r>
      <w:r>
        <w:rPr>
          <w:b w:val="0"/>
          <w:i w:val="0"/>
        </w:rPr>
        <w:t xml:space="preserve">; </w:t>
      </w:r>
      <w:r>
        <w:rPr>
          <w:b w:val="0"/>
          <w:i/>
        </w:rPr>
        <w:t>finis</w:t>
      </w:r>
      <w:r>
        <w:rPr>
          <w:b w:val="0"/>
          <w:i w:val="0"/>
        </w:rPr>
        <w:t xml:space="preserve">; </w:t>
      </w:r>
      <w:r>
        <w:rPr>
          <w:b w:val="0"/>
          <w:i/>
        </w:rPr>
        <w:t>originem</w:t>
      </w:r>
      <w:r>
        <w:rPr>
          <w:b w:val="0"/>
          <w:i w:val="0"/>
        </w:rPr>
        <w:t xml:space="preserve">; </w:t>
      </w:r>
      <w:r>
        <w:rPr>
          <w:b w:val="0"/>
          <w:i/>
        </w:rPr>
        <w:t>ortus</w:t>
      </w:r>
      <w:r>
        <w:rPr>
          <w:b w:val="0"/>
          <w:i w:val="0"/>
        </w:rPr>
        <w:t>.</w:t>
      </w:r>
    </w:p>
    <w:p>
      <w:pPr>
        <w:widowControl/>
      </w:pPr>
      <w:r>
        <w:rPr>
          <w:b w:val="0"/>
          <w:i w:val="0"/>
        </w:rPr>
        <w:t xml:space="preserve">The origin and end of virtue, treated as evidence of its nature. An indivisible attainment and nonbodily goal together support the inference that the virtue itself is indivisible. References: </w:t>
      </w:r>
      <w:hyperlink w:anchor="passage-viii-3-6">
        <w:r>
          <w:rPr>
            <w:color w:val="000000"/>
          </w:rPr>
          <w:t xml:space="preserve">VIII.3.6</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126" w:name="latin-record-0885"/>
      <w:bookmarkEnd w:id="1126"/>
      <w:r>
        <w:rPr>
          <w:b/>
          <w:i w:val="0"/>
        </w:rPr>
        <w:t>os / nervus / caro</w:t>
      </w:r>
      <w:r>
        <w:rPr>
          <w:b/>
          <w:i w:val="0"/>
        </w:rPr>
        <w:t>.</w:t>
      </w:r>
      <w:r>
        <w:rPr>
          <w:b w:val="0"/>
          <w:i w:val="0"/>
        </w:rPr>
        <w:t xml:space="preserve"> Printed forms: </w:t>
      </w:r>
      <w:r>
        <w:rPr>
          <w:b w:val="0"/>
          <w:i/>
        </w:rPr>
        <w:t>caro</w:t>
      </w:r>
      <w:r>
        <w:rPr>
          <w:b w:val="0"/>
          <w:i w:val="0"/>
        </w:rPr>
        <w:t xml:space="preserve">; </w:t>
      </w:r>
      <w:r>
        <w:rPr>
          <w:b w:val="0"/>
          <w:i/>
        </w:rPr>
        <w:t>nervorum</w:t>
      </w:r>
      <w:r>
        <w:rPr>
          <w:b w:val="0"/>
          <w:i w:val="0"/>
        </w:rPr>
        <w:t xml:space="preserve">; </w:t>
      </w:r>
      <w:r>
        <w:rPr>
          <w:b w:val="0"/>
          <w:i/>
        </w:rPr>
        <w:t>nervus</w:t>
      </w:r>
      <w:r>
        <w:rPr>
          <w:b w:val="0"/>
          <w:i w:val="0"/>
        </w:rPr>
        <w:t xml:space="preserve">; </w:t>
      </w:r>
      <w:r>
        <w:rPr>
          <w:b w:val="0"/>
          <w:i/>
        </w:rPr>
        <w:t>os</w:t>
      </w:r>
      <w:r>
        <w:rPr>
          <w:b w:val="0"/>
          <w:i w:val="0"/>
        </w:rPr>
        <w:t xml:space="preserve">; </w:t>
      </w:r>
      <w:r>
        <w:rPr>
          <w:b w:val="0"/>
          <w:i/>
        </w:rPr>
        <w:t>ossium</w:t>
      </w:r>
      <w:r>
        <w:rPr>
          <w:b w:val="0"/>
          <w:i w:val="0"/>
        </w:rPr>
        <w:t>.</w:t>
      </w:r>
    </w:p>
    <w:p>
      <w:pPr>
        <w:widowControl/>
      </w:pPr>
      <w:r>
        <w:rPr>
          <w:b w:val="0"/>
          <w:i w:val="0"/>
        </w:rPr>
        <w:t xml:space="preserve">Bone, nerve or sinew, and flesh as differently constituted tissues. Their differing proportions cannot each supply a different soul if one animal is to have one life.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keepNext/>
        <w:widowControl/>
      </w:pPr>
      <w:bookmarkStart w:id="1127" w:name="latin-record-0886"/>
      <w:bookmarkEnd w:id="1127"/>
      <w:r>
        <w:rPr>
          <w:b/>
          <w:i w:val="0"/>
        </w:rPr>
        <w:t>ossa / caro / nervi</w:t>
      </w:r>
      <w:r>
        <w:rPr>
          <w:b/>
          <w:i w:val="0"/>
        </w:rPr>
        <w:t>.</w:t>
      </w:r>
      <w:r>
        <w:rPr>
          <w:b w:val="0"/>
          <w:i w:val="0"/>
        </w:rPr>
        <w:t xml:space="preserve"> Printed forms: </w:t>
      </w:r>
      <w:r>
        <w:rPr>
          <w:b w:val="0"/>
          <w:i/>
        </w:rPr>
        <w:t>carnes</w:t>
      </w:r>
      <w:r>
        <w:rPr>
          <w:b w:val="0"/>
          <w:i w:val="0"/>
        </w:rPr>
        <w:t xml:space="preserve">; </w:t>
      </w:r>
      <w:r>
        <w:rPr>
          <w:b w:val="0"/>
          <w:i/>
        </w:rPr>
        <w:t>nervos</w:t>
      </w:r>
      <w:r>
        <w:rPr>
          <w:b w:val="0"/>
          <w:i w:val="0"/>
        </w:rPr>
        <w:t xml:space="preserve">; </w:t>
      </w:r>
      <w:r>
        <w:rPr>
          <w:b w:val="0"/>
          <w:i/>
        </w:rPr>
        <w:t>ossa</w:t>
      </w:r>
      <w:r>
        <w:rPr>
          <w:b w:val="0"/>
          <w:i w:val="0"/>
        </w:rPr>
        <w:t>.</w:t>
      </w:r>
    </w:p>
    <w:p>
      <w:pPr>
        <w:widowControl/>
      </w:pPr>
      <w:r>
        <w:rPr>
          <w:b w:val="0"/>
          <w:i w:val="0"/>
        </w:rPr>
        <w:t xml:space="preserve">Bones, flesh and sinews, examples of unlike bodily constituents. The analogy prompts the alternative that an intellectual form has unlike parts, which Ficino next tests as genus and difference. References: </w:t>
      </w:r>
      <w:hyperlink w:anchor="passage-viii-4-4">
        <w:r>
          <w:rPr>
            <w:color w:val="000000"/>
          </w:rPr>
          <w:t xml:space="preserve">VIII.4.4</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128" w:name="latin-record-0887"/>
      <w:bookmarkEnd w:id="1128"/>
      <w:r>
        <w:rPr>
          <w:b/>
          <w:i w:val="0"/>
        </w:rPr>
        <w:t>ossa; nervi; caro</w:t>
      </w:r>
      <w:r>
        <w:rPr>
          <w:b/>
          <w:i w:val="0"/>
        </w:rPr>
        <w:t>.</w:t>
      </w:r>
      <w:r>
        <w:rPr>
          <w:b w:val="0"/>
          <w:i w:val="0"/>
        </w:rPr>
        <w:t xml:space="preserve"> Printed forms: </w:t>
      </w:r>
      <w:r>
        <w:rPr>
          <w:b w:val="0"/>
          <w:i/>
        </w:rPr>
        <w:t>caro</w:t>
      </w:r>
      <w:r>
        <w:rPr>
          <w:b w:val="0"/>
          <w:i w:val="0"/>
        </w:rPr>
        <w:t xml:space="preserve">; </w:t>
      </w:r>
      <w:r>
        <w:rPr>
          <w:b w:val="0"/>
          <w:i/>
        </w:rPr>
        <w:t>ossa et nervi</w:t>
      </w:r>
      <w:r>
        <w:rPr>
          <w:b w:val="0"/>
          <w:i w:val="0"/>
        </w:rPr>
        <w:t>.</w:t>
      </w:r>
    </w:p>
    <w:p>
      <w:pPr>
        <w:widowControl/>
      </w:pPr>
      <w:r>
        <w:rPr>
          <w:b w:val="0"/>
          <w:i w:val="0"/>
        </w:rPr>
        <w:t xml:space="preserve">Bones, sinews and flesh. In the historical physical comparison these endure longer than a supposed exceptionally subtle soul-body. References: </w:t>
      </w:r>
      <w:hyperlink w:anchor="passage-vi-13-7">
        <w:r>
          <w:rPr>
            <w:color w:val="000000"/>
          </w:rPr>
          <w:t xml:space="preserve">VI.13.7</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1129" w:name="latin-record-0888"/>
      <w:bookmarkEnd w:id="1129"/>
      <w:r>
        <w:rPr>
          <w:b/>
          <w:i w:val="0"/>
        </w:rPr>
        <w:t>ovis / ignis</w:t>
      </w:r>
      <w:r>
        <w:rPr>
          <w:b/>
          <w:i w:val="0"/>
        </w:rPr>
        <w:t>.</w:t>
      </w:r>
      <w:r>
        <w:rPr>
          <w:b w:val="0"/>
          <w:i w:val="0"/>
        </w:rPr>
        <w:t xml:space="preserve"> Printed forms: </w:t>
      </w:r>
      <w:r>
        <w:rPr>
          <w:b w:val="0"/>
          <w:i/>
        </w:rPr>
        <w:t>ignis</w:t>
      </w:r>
      <w:r>
        <w:rPr>
          <w:b w:val="0"/>
          <w:i w:val="0"/>
        </w:rPr>
        <w:t xml:space="preserve">; </w:t>
      </w:r>
      <w:r>
        <w:rPr>
          <w:b w:val="0"/>
          <w:i/>
        </w:rPr>
        <w:t>ovem</w:t>
      </w:r>
      <w:r>
        <w:rPr>
          <w:b w:val="0"/>
          <w:i w:val="0"/>
        </w:rPr>
        <w:t>.</w:t>
      </w:r>
    </w:p>
    <w:p>
      <w:pPr>
        <w:widowControl/>
      </w:pPr>
      <w:r>
        <w:rPr>
          <w:b w:val="0"/>
          <w:i w:val="0"/>
        </w:rPr>
        <w:t xml:space="preserve">Sheep and fire in two distinct examples concerning specific form. A dog does not beget a sheep; fire already possesses its own form and cannot receive that same determination as something lacking. References: </w:t>
      </w:r>
      <w:hyperlink w:anchor="passage-viii-10-1">
        <w:r>
          <w:rPr>
            <w:color w:val="000000"/>
          </w:rPr>
          <w:t xml:space="preserve">VIII.10.1</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1130" w:name="latin-record-0889"/>
      <w:bookmarkEnd w:id="1130"/>
      <w:r>
        <w:rPr>
          <w:b/>
          <w:i w:val="0"/>
        </w:rPr>
        <w:t>panis / caro</w:t>
      </w:r>
      <w:r>
        <w:rPr>
          <w:b/>
          <w:i w:val="0"/>
        </w:rPr>
        <w:t>.</w:t>
      </w:r>
      <w:r>
        <w:rPr>
          <w:b w:val="0"/>
          <w:i w:val="0"/>
        </w:rPr>
        <w:t xml:space="preserve"> Printed forms: </w:t>
      </w:r>
      <w:r>
        <w:rPr>
          <w:b w:val="0"/>
          <w:i/>
        </w:rPr>
        <w:t>carnis</w:t>
      </w:r>
      <w:r>
        <w:rPr>
          <w:b w:val="0"/>
          <w:i w:val="0"/>
        </w:rPr>
        <w:t xml:space="preserve">; </w:t>
      </w:r>
      <w:r>
        <w:rPr>
          <w:b w:val="0"/>
          <w:i/>
        </w:rPr>
        <w:t>caro</w:t>
      </w:r>
      <w:r>
        <w:rPr>
          <w:b w:val="0"/>
          <w:i w:val="0"/>
        </w:rPr>
        <w:t xml:space="preserve">; </w:t>
      </w:r>
      <w:r>
        <w:rPr>
          <w:b w:val="0"/>
          <w:i/>
        </w:rPr>
        <w:t>panis</w:t>
      </w:r>
      <w:r>
        <w:rPr>
          <w:b w:val="0"/>
          <w:i w:val="0"/>
        </w:rPr>
        <w:t>.</w:t>
      </w:r>
    </w:p>
    <w:p>
      <w:pPr>
        <w:widowControl/>
      </w:pPr>
      <w:r>
        <w:rPr>
          <w:b w:val="0"/>
          <w:i w:val="0"/>
        </w:rPr>
        <w:t xml:space="preserve">Bread and flesh, the elementary example of bodily assimilation. Bread is eaten so that it becomes flesh; this sets the premise that food must be akin to the substance it sustains.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131" w:name="latin-record-0890"/>
      <w:bookmarkEnd w:id="1131"/>
      <w:r>
        <w:rPr>
          <w:b/>
          <w:i w:val="0"/>
        </w:rPr>
        <w:t>pars</w:t>
      </w:r>
      <w:r>
        <w:rPr>
          <w:b/>
          <w:i w:val="0"/>
        </w:rPr>
        <w:t>.</w:t>
      </w:r>
      <w:r>
        <w:rPr>
          <w:b w:val="0"/>
          <w:i w:val="0"/>
        </w:rPr>
        <w:t xml:space="preserve"> Printed forms: </w:t>
      </w:r>
      <w:r>
        <w:rPr>
          <w:b w:val="0"/>
          <w:i/>
        </w:rPr>
        <w:t>partem</w:t>
      </w:r>
      <w:r>
        <w:rPr>
          <w:b w:val="0"/>
          <w:i w:val="0"/>
        </w:rPr>
        <w:t xml:space="preserve">; </w:t>
      </w:r>
      <w:r>
        <w:rPr>
          <w:b w:val="0"/>
          <w:i/>
        </w:rPr>
        <w:t>partes</w:t>
      </w:r>
      <w:r>
        <w:rPr>
          <w:b w:val="0"/>
          <w:i w:val="0"/>
        </w:rPr>
        <w:t xml:space="preserve">; </w:t>
      </w:r>
      <w:r>
        <w:rPr>
          <w:b w:val="0"/>
          <w:i/>
        </w:rPr>
        <w:t>partibus</w:t>
      </w:r>
      <w:r>
        <w:rPr>
          <w:b w:val="0"/>
          <w:i w:val="0"/>
        </w:rPr>
        <w:t>.</w:t>
      </w:r>
    </w:p>
    <w:p>
      <w:pPr>
        <w:widowControl/>
      </w:pPr>
      <w:r>
        <w:rPr>
          <w:b w:val="0"/>
          <w:i w:val="0"/>
        </w:rPr>
        <w:t xml:space="preserve">A part, especially one region of an extended body or a proposed partition of a sensory power. The account asks how individually bounded parts could yield one grasp of a whole. References: </w:t>
      </w:r>
      <w:hyperlink w:anchor="passage-vii-1-1">
        <w:r>
          <w:rPr>
            <w:color w:val="000000"/>
          </w:rPr>
          <w:t xml:space="preserve">VII.1.1</w:t>
        </w:r>
      </w:hyperlink>
      <w:r>
        <w:rPr>
          <w:b w:val="0"/>
          <w:i w:val="0"/>
        </w:rPr>
        <w:t xml:space="preserve">, </w:t>
      </w:r>
      <w:hyperlink w:anchor="passage-vii-4-1">
        <w:r>
          <w:rPr>
            <w:color w:val="000000"/>
          </w:rPr>
          <w:t xml:space="preserve">VII.4.1</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1132" w:name="latin-record-0891"/>
      <w:bookmarkEnd w:id="1132"/>
      <w:r>
        <w:rPr>
          <w:b/>
          <w:i w:val="0"/>
        </w:rPr>
        <w:t>pars / particula</w:t>
      </w:r>
      <w:r>
        <w:rPr>
          <w:b/>
          <w:i w:val="0"/>
        </w:rPr>
        <w:t>.</w:t>
      </w:r>
      <w:r>
        <w:rPr>
          <w:b w:val="0"/>
          <w:i w:val="0"/>
        </w:rPr>
        <w:t xml:space="preserve"> Printed forms: </w:t>
      </w:r>
      <w:r>
        <w:rPr>
          <w:b w:val="0"/>
          <w:i/>
        </w:rPr>
        <w:t>pars</w:t>
      </w:r>
      <w:r>
        <w:rPr>
          <w:b w:val="0"/>
          <w:i w:val="0"/>
        </w:rPr>
        <w:t xml:space="preserve">; </w:t>
      </w:r>
      <w:r>
        <w:rPr>
          <w:b w:val="0"/>
          <w:i/>
        </w:rPr>
        <w:t>parte</w:t>
      </w:r>
      <w:r>
        <w:rPr>
          <w:b w:val="0"/>
          <w:i w:val="0"/>
        </w:rPr>
        <w:t xml:space="preserve">; </w:t>
      </w:r>
      <w:r>
        <w:rPr>
          <w:b w:val="0"/>
          <w:i/>
        </w:rPr>
        <w:t>partem</w:t>
      </w:r>
      <w:r>
        <w:rPr>
          <w:b w:val="0"/>
          <w:i w:val="0"/>
        </w:rPr>
        <w:t xml:space="preserve">; </w:t>
      </w:r>
      <w:r>
        <w:rPr>
          <w:b w:val="0"/>
          <w:i/>
        </w:rPr>
        <w:t>Partes</w:t>
      </w:r>
      <w:r>
        <w:rPr>
          <w:b w:val="0"/>
          <w:i w:val="0"/>
        </w:rPr>
        <w:t xml:space="preserve">; </w:t>
      </w:r>
      <w:r>
        <w:rPr>
          <w:b w:val="0"/>
          <w:i/>
        </w:rPr>
        <w:t>partes</w:t>
      </w:r>
      <w:r>
        <w:rPr>
          <w:b w:val="0"/>
          <w:i w:val="0"/>
        </w:rPr>
        <w:t xml:space="preserve">; </w:t>
      </w:r>
      <w:r>
        <w:rPr>
          <w:b w:val="0"/>
          <w:i/>
        </w:rPr>
        <w:t>partibus</w:t>
      </w:r>
      <w:r>
        <w:rPr>
          <w:b w:val="0"/>
          <w:i w:val="0"/>
        </w:rPr>
        <w:t xml:space="preserve">; </w:t>
      </w:r>
      <w:r>
        <w:rPr>
          <w:b w:val="0"/>
          <w:i/>
        </w:rPr>
        <w:t>particulas</w:t>
      </w:r>
      <w:r>
        <w:rPr>
          <w:b w:val="0"/>
          <w:i w:val="0"/>
        </w:rPr>
        <w:t xml:space="preserve">; </w:t>
      </w:r>
      <w:r>
        <w:rPr>
          <w:b w:val="0"/>
          <w:i/>
        </w:rPr>
        <w:t>partium</w:t>
      </w:r>
      <w:r>
        <w:rPr>
          <w:b w:val="0"/>
          <w:i w:val="0"/>
        </w:rPr>
        <w:t>.</w:t>
      </w:r>
    </w:p>
    <w:p>
      <w:pPr>
        <w:widowControl/>
      </w:pPr>
      <w:r>
        <w:rPr>
          <w:b w:val="0"/>
          <w:i w:val="0"/>
        </w:rPr>
        <w:t xml:space="preserve">A part, or smaller part, of a quantitatively divisible whole. Matter’s own nature precedes quantitative parts, while bodily parts can be divided without ceasing to belong to the bodily order. References: </w:t>
      </w:r>
      <w:hyperlink w:anchor="passage-v-4-5">
        <w:r>
          <w:rPr>
            <w:color w:val="000000"/>
          </w:rPr>
          <w:t xml:space="preserve">V.4.5</w:t>
        </w:r>
      </w:hyperlink>
      <w:r>
        <w:rPr>
          <w:b w:val="0"/>
          <w:i w:val="0"/>
        </w:rPr>
        <w:t xml:space="preserve">, </w:t>
      </w:r>
      <w:hyperlink w:anchor="passage-v-4-9">
        <w:r>
          <w:rPr>
            <w:color w:val="000000"/>
          </w:rPr>
          <w:t xml:space="preserve">V.4.9</w:t>
        </w:r>
      </w:hyperlink>
      <w:r>
        <w:rPr>
          <w:b w:val="0"/>
          <w:i w:val="0"/>
        </w:rPr>
        <w:t xml:space="preserve">, </w:t>
      </w:r>
      <w:hyperlink w:anchor="passage-v-6-1">
        <w:r>
          <w:rPr>
            <w:color w:val="000000"/>
          </w:rPr>
          <w:t xml:space="preserve">V.6.1</w:t>
        </w:r>
      </w:hyperlink>
      <w:r>
        <w:rPr>
          <w:b w:val="0"/>
          <w:i w:val="0"/>
        </w:rPr>
        <w:t xml:space="preserve">, </w:t>
      </w:r>
      <w:hyperlink w:anchor="passage-v-15-1">
        <w:r>
          <w:rPr>
            <w:color w:val="000000"/>
          </w:rPr>
          <w:t xml:space="preserve">V.15.1</w:t>
        </w:r>
      </w:hyperlink>
      <w:r>
        <w:rPr>
          <w:b w:val="0"/>
          <w:i w:val="0"/>
        </w:rPr>
        <w:t xml:space="preserve">. See </w:t>
      </w:r>
      <w:hyperlink w:anchor="indivisibility-and-contact">
        <w:r>
          <w:rPr>
            <w:color w:val="000000"/>
          </w:rPr>
          <w:t xml:space="preserve">Indivisibility and contact</w:t>
        </w:r>
      </w:hyperlink>
      <w:r>
        <w:rPr>
          <w:b w:val="0"/>
          <w:i w:val="0"/>
        </w:rPr>
        <w:t>.</w:t>
      </w:r>
    </w:p>
    <w:p>
      <w:pPr>
        <w:keepNext/>
        <w:widowControl/>
      </w:pPr>
      <w:bookmarkStart w:id="1133" w:name="latin-record-0892"/>
      <w:bookmarkEnd w:id="1133"/>
      <w:r>
        <w:rPr>
          <w:b/>
          <w:i w:val="0"/>
        </w:rPr>
        <w:t>pars / totum</w:t>
      </w:r>
      <w:r>
        <w:rPr>
          <w:b/>
          <w:i w:val="0"/>
        </w:rPr>
        <w:t>.</w:t>
      </w:r>
      <w:r>
        <w:rPr>
          <w:b w:val="0"/>
          <w:i w:val="0"/>
        </w:rPr>
        <w:t xml:space="preserve"> Printed forms: </w:t>
      </w:r>
      <w:r>
        <w:rPr>
          <w:b w:val="0"/>
          <w:i/>
        </w:rPr>
        <w:t>dimidia</w:t>
      </w:r>
      <w:r>
        <w:rPr>
          <w:b w:val="0"/>
          <w:i w:val="0"/>
        </w:rPr>
        <w:t xml:space="preserve">; </w:t>
      </w:r>
      <w:r>
        <w:rPr>
          <w:b w:val="0"/>
          <w:i/>
        </w:rPr>
        <w:t>dimidium</w:t>
      </w:r>
      <w:r>
        <w:rPr>
          <w:b w:val="0"/>
          <w:i w:val="0"/>
        </w:rPr>
        <w:t xml:space="preserve">; </w:t>
      </w:r>
      <w:r>
        <w:rPr>
          <w:b w:val="0"/>
          <w:i/>
        </w:rPr>
        <w:t>Pars</w:t>
      </w:r>
      <w:r>
        <w:rPr>
          <w:b w:val="0"/>
          <w:i w:val="0"/>
        </w:rPr>
        <w:t xml:space="preserve">; </w:t>
      </w:r>
      <w:r>
        <w:rPr>
          <w:b w:val="0"/>
          <w:i/>
        </w:rPr>
        <w:t>pars</w:t>
      </w:r>
      <w:r>
        <w:rPr>
          <w:b w:val="0"/>
          <w:i w:val="0"/>
        </w:rPr>
        <w:t xml:space="preserve">; </w:t>
      </w:r>
      <w:r>
        <w:rPr>
          <w:b w:val="0"/>
          <w:i/>
        </w:rPr>
        <w:t>partem</w:t>
      </w:r>
      <w:r>
        <w:rPr>
          <w:b w:val="0"/>
          <w:i w:val="0"/>
        </w:rPr>
        <w:t xml:space="preserve">; </w:t>
      </w:r>
      <w:r>
        <w:rPr>
          <w:b w:val="0"/>
          <w:i/>
        </w:rPr>
        <w:t>partes</w:t>
      </w:r>
      <w:r>
        <w:rPr>
          <w:b w:val="0"/>
          <w:i w:val="0"/>
        </w:rPr>
        <w:t xml:space="preserve">; </w:t>
      </w:r>
      <w:r>
        <w:rPr>
          <w:b w:val="0"/>
          <w:i/>
        </w:rPr>
        <w:t>partibus</w:t>
      </w:r>
      <w:r>
        <w:rPr>
          <w:b w:val="0"/>
          <w:i w:val="0"/>
        </w:rPr>
        <w:t xml:space="preserve">; </w:t>
      </w:r>
      <w:r>
        <w:rPr>
          <w:b w:val="0"/>
          <w:i/>
        </w:rPr>
        <w:t>particula</w:t>
      </w:r>
      <w:r>
        <w:rPr>
          <w:b w:val="0"/>
          <w:i w:val="0"/>
        </w:rPr>
        <w:t xml:space="preserve">; </w:t>
      </w:r>
      <w:r>
        <w:rPr>
          <w:b w:val="0"/>
          <w:i/>
        </w:rPr>
        <w:t>particulas</w:t>
      </w:r>
      <w:r>
        <w:rPr>
          <w:b w:val="0"/>
          <w:i w:val="0"/>
        </w:rPr>
        <w:t xml:space="preserve">; </w:t>
      </w:r>
      <w:r>
        <w:rPr>
          <w:b w:val="0"/>
          <w:i/>
        </w:rPr>
        <w:t>partium</w:t>
      </w:r>
      <w:r>
        <w:rPr>
          <w:b w:val="0"/>
          <w:i w:val="0"/>
        </w:rPr>
        <w:t xml:space="preserve">; </w:t>
      </w:r>
      <w:r>
        <w:rPr>
          <w:b w:val="0"/>
          <w:i/>
        </w:rPr>
        <w:t>tota</w:t>
      </w:r>
      <w:r>
        <w:rPr>
          <w:b w:val="0"/>
          <w:i w:val="0"/>
        </w:rPr>
        <w:t xml:space="preserve">; </w:t>
      </w:r>
      <w:r>
        <w:rPr>
          <w:b w:val="0"/>
          <w:i/>
        </w:rPr>
        <w:t>totius</w:t>
      </w:r>
      <w:r>
        <w:rPr>
          <w:b w:val="0"/>
          <w:i w:val="0"/>
        </w:rPr>
        <w:t xml:space="preserve">; </w:t>
      </w:r>
      <w:r>
        <w:rPr>
          <w:b w:val="0"/>
          <w:i/>
        </w:rPr>
        <w:t>toto</w:t>
      </w:r>
      <w:r>
        <w:rPr>
          <w:b w:val="0"/>
          <w:i w:val="0"/>
        </w:rPr>
        <w:t xml:space="preserve">; </w:t>
      </w:r>
      <w:r>
        <w:rPr>
          <w:b w:val="0"/>
          <w:i/>
        </w:rPr>
        <w:t>totum</w:t>
      </w:r>
      <w:r>
        <w:rPr>
          <w:b w:val="0"/>
          <w:i w:val="0"/>
        </w:rPr>
        <w:t>.</w:t>
      </w:r>
    </w:p>
    <w:p>
      <w:pPr>
        <w:widowControl/>
      </w:pPr>
      <w:r>
        <w:rPr>
          <w:b w:val="0"/>
          <w:i w:val="0"/>
        </w:rPr>
        <w:t xml:space="preserve">Part and whole, with relations that cannot be reduced to mere numerical repetition. The intellect distinguishes whole from parts, compares limbs and knows each with its whole self; hypothetical spatial parts fail to explain this unity. References: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w:t>
      </w:r>
      <w:hyperlink w:anchor="passage-viii-4-7">
        <w:r>
          <w:rPr>
            <w:color w:val="000000"/>
          </w:rPr>
          <w:t xml:space="preserve">VIII.4.7</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w:t>
      </w:r>
      <w:hyperlink w:anchor="passage-viii-16-1">
        <w:r>
          <w:rPr>
            <w:color w:val="000000"/>
          </w:rPr>
          <w:t xml:space="preserve">VIII.16.1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1134" w:name="latin-record-0893"/>
      <w:bookmarkEnd w:id="1134"/>
      <w:r>
        <w:rPr>
          <w:b/>
          <w:i w:val="0"/>
        </w:rPr>
        <w:t>pars / totum (further forms)</w:t>
      </w:r>
      <w:r>
        <w:rPr>
          <w:b/>
          <w:i w:val="0"/>
        </w:rPr>
        <w:t>.</w:t>
      </w:r>
      <w:r>
        <w:rPr>
          <w:b w:val="0"/>
          <w:i w:val="0"/>
        </w:rPr>
        <w:t xml:space="preserve"> Printed forms: </w:t>
      </w:r>
      <w:r>
        <w:rPr>
          <w:b w:val="0"/>
          <w:i/>
        </w:rPr>
        <w:t>parte</w:t>
      </w:r>
      <w:r>
        <w:rPr>
          <w:b w:val="0"/>
          <w:i w:val="0"/>
        </w:rPr>
        <w:t xml:space="preserve">; </w:t>
      </w:r>
      <w:r>
        <w:rPr>
          <w:b w:val="0"/>
          <w:i/>
        </w:rPr>
        <w:t>partimur</w:t>
      </w:r>
      <w:r>
        <w:rPr>
          <w:b w:val="0"/>
          <w:i w:val="0"/>
        </w:rPr>
        <w:t xml:space="preserve">; </w:t>
      </w:r>
      <w:r>
        <w:rPr>
          <w:b w:val="0"/>
          <w:i/>
        </w:rPr>
        <w:t>partis</w:t>
      </w:r>
      <w:r>
        <w:rPr>
          <w:b w:val="0"/>
          <w:i w:val="0"/>
        </w:rPr>
        <w:t xml:space="preserve">; </w:t>
      </w:r>
      <w:r>
        <w:rPr>
          <w:b w:val="0"/>
          <w:i/>
        </w:rPr>
        <w:t>partium</w:t>
      </w:r>
      <w:r>
        <w:rPr>
          <w:b w:val="0"/>
          <w:i w:val="0"/>
        </w:rPr>
        <w:t xml:space="preserve">; </w:t>
      </w:r>
      <w:r>
        <w:rPr>
          <w:b w:val="0"/>
          <w:i/>
        </w:rPr>
        <w:t>totam</w:t>
      </w:r>
      <w:r>
        <w:rPr>
          <w:b w:val="0"/>
          <w:i w:val="0"/>
        </w:rPr>
        <w:t xml:space="preserve">; </w:t>
      </w:r>
      <w:r>
        <w:rPr>
          <w:b w:val="0"/>
          <w:i/>
        </w:rPr>
        <w:t>toti</w:t>
      </w:r>
      <w:r>
        <w:rPr>
          <w:b w:val="0"/>
          <w:i w:val="0"/>
        </w:rPr>
        <w:t>.</w:t>
      </w:r>
    </w:p>
    <w:p>
      <w:pPr>
        <w:widowControl/>
      </w:pPr>
      <w:r>
        <w:rPr>
          <w:b w:val="0"/>
          <w:i w:val="0"/>
        </w:rPr>
        <w:t xml:space="preserve">Part, a partitioning action and whole, with the grammatical distinctions kept visible. Physical parts, logical constituents and the whole knower play different roles; an intact species in each alleged part defeats the spatial hypothesis. References: </w:t>
      </w:r>
      <w:hyperlink w:anchor="passage-viii-1-3">
        <w:r>
          <w:rPr>
            <w:color w:val="000000"/>
          </w:rPr>
          <w:t xml:space="preserve">VIII.1.3</w:t>
        </w:r>
      </w:hyperlink>
      <w:r>
        <w:rPr>
          <w:b w:val="0"/>
          <w:i w:val="0"/>
        </w:rPr>
        <w:t xml:space="preserve">, </w:t>
      </w:r>
      <w:hyperlink w:anchor="passage-viii-2-7">
        <w:r>
          <w:rPr>
            <w:color w:val="000000"/>
          </w:rPr>
          <w:t xml:space="preserve">VIII.2.7</w:t>
        </w:r>
      </w:hyperlink>
      <w:r>
        <w:rPr>
          <w:b w:val="0"/>
          <w:i w:val="0"/>
        </w:rPr>
        <w:t xml:space="preserve">, </w:t>
      </w:r>
      <w:hyperlink w:anchor="passage-viii-3-5">
        <w:r>
          <w:rPr>
            <w:color w:val="000000"/>
          </w:rPr>
          <w:t xml:space="preserve">VIII.3.5</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6">
        <w:r>
          <w:rPr>
            <w:color w:val="000000"/>
          </w:rPr>
          <w:t xml:space="preserve">VIII.4.6</w:t>
        </w:r>
      </w:hyperlink>
      <w:r>
        <w:rPr>
          <w:b w:val="0"/>
          <w:i w:val="0"/>
        </w:rPr>
        <w:t xml:space="preserve">, </w:t>
      </w:r>
      <w:hyperlink w:anchor="passage-viii-4-7">
        <w:r>
          <w:rPr>
            <w:color w:val="000000"/>
          </w:rPr>
          <w:t xml:space="preserve">VIII.4.7</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4-10">
        <w:r>
          <w:rPr>
            <w:color w:val="000000"/>
          </w:rPr>
          <w:t xml:space="preserve">VIII.4.10</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135" w:name="latin-record-0894"/>
      <w:bookmarkEnd w:id="1135"/>
      <w:r>
        <w:rPr>
          <w:b/>
          <w:i w:val="0"/>
        </w:rPr>
        <w:t>pars et totum</w:t>
      </w:r>
      <w:r>
        <w:rPr>
          <w:b/>
          <w:i w:val="0"/>
        </w:rPr>
        <w:t>.</w:t>
      </w:r>
      <w:r>
        <w:rPr>
          <w:b w:val="0"/>
          <w:i w:val="0"/>
        </w:rPr>
        <w:t xml:space="preserve"> Printed forms: </w:t>
      </w:r>
      <w:r>
        <w:rPr>
          <w:b w:val="0"/>
          <w:i/>
        </w:rPr>
        <w:t>ab omnibus partibus partes omnes</w:t>
      </w:r>
      <w:r>
        <w:rPr>
          <w:b w:val="0"/>
          <w:i w:val="0"/>
        </w:rPr>
        <w:t xml:space="preserve">; </w:t>
      </w:r>
      <w:r>
        <w:rPr>
          <w:b w:val="0"/>
          <w:i/>
        </w:rPr>
        <w:t>partem corporis alteram</w:t>
      </w:r>
      <w:r>
        <w:rPr>
          <w:b w:val="0"/>
          <w:i w:val="0"/>
        </w:rPr>
        <w:t xml:space="preserve">; </w:t>
      </w:r>
      <w:r>
        <w:rPr>
          <w:b w:val="0"/>
          <w:i/>
        </w:rPr>
        <w:t>totum a toto</w:t>
      </w:r>
      <w:r>
        <w:rPr>
          <w:b w:val="0"/>
          <w:i w:val="0"/>
        </w:rPr>
        <w:t>.</w:t>
      </w:r>
    </w:p>
    <w:p>
      <w:pPr>
        <w:widowControl/>
      </w:pPr>
      <w:r>
        <w:rPr>
          <w:b w:val="0"/>
          <w:i w:val="0"/>
        </w:rPr>
        <w:t xml:space="preserve">Part and whole in the four possibilities for bodily self-motion. Part-by-part, part-to-whole, whole-to-part and whole-to-whole relations are tested distinctly before returning to self-moving parts. References: </w:t>
      </w:r>
      <w:hyperlink w:anchor="passage-vi-12-4">
        <w:r>
          <w:rPr>
            <w:color w:val="000000"/>
          </w:rPr>
          <w:t xml:space="preserve">VI.12.4</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136" w:name="latin-record-0895"/>
      <w:bookmarkEnd w:id="1136"/>
      <w:r>
        <w:rPr>
          <w:b/>
          <w:i w:val="0"/>
        </w:rPr>
        <w:t>pars quaelibet semetipsam agitans</w:t>
      </w:r>
      <w:r>
        <w:rPr>
          <w:b/>
          <w:i w:val="0"/>
        </w:rPr>
        <w:t>.</w:t>
      </w:r>
      <w:r>
        <w:rPr>
          <w:b w:val="0"/>
          <w:i w:val="0"/>
        </w:rPr>
        <w:t xml:space="preserve"> Printed forms: </w:t>
      </w:r>
      <w:r>
        <w:rPr>
          <w:b w:val="0"/>
          <w:i/>
        </w:rPr>
        <w:t>pars quaelibet eius agitat semetipsam</w:t>
      </w:r>
      <w:r>
        <w:rPr>
          <w:b w:val="0"/>
          <w:i w:val="0"/>
        </w:rPr>
        <w:t>.</w:t>
      </w:r>
    </w:p>
    <w:p>
      <w:pPr>
        <w:widowControl/>
      </w:pPr>
      <w:r>
        <w:rPr>
          <w:b w:val="0"/>
          <w:i w:val="0"/>
        </w:rPr>
        <w:t xml:space="preserve">Every part of the supposed self-moving whole moving itself. The fourth part–whole alternative makes the composite’s self-motion depend on each part, preparing the renewed regress through divisibility. References: </w:t>
      </w:r>
      <w:hyperlink w:anchor="passage-vi-12-5">
        <w:r>
          <w:rPr>
            <w:color w:val="000000"/>
          </w:rPr>
          <w:t xml:space="preserve">VI.12.5</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137" w:name="latin-record-0896"/>
      <w:bookmarkEnd w:id="1137"/>
      <w:r>
        <w:rPr>
          <w:b/>
          <w:i w:val="0"/>
        </w:rPr>
        <w:t>pars; membrum</w:t>
      </w:r>
      <w:r>
        <w:rPr>
          <w:b/>
          <w:i w:val="0"/>
        </w:rPr>
        <w:t>.</w:t>
      </w:r>
      <w:r>
        <w:rPr>
          <w:b w:val="0"/>
          <w:i w:val="0"/>
        </w:rPr>
        <w:t xml:space="preserve"> Printed forms: </w:t>
      </w:r>
      <w:r>
        <w:rPr>
          <w:b w:val="0"/>
          <w:i/>
        </w:rPr>
        <w:t>membra</w:t>
      </w:r>
      <w:r>
        <w:rPr>
          <w:b w:val="0"/>
          <w:i w:val="0"/>
        </w:rPr>
        <w:t xml:space="preserve">; </w:t>
      </w:r>
      <w:r>
        <w:rPr>
          <w:b w:val="0"/>
          <w:i/>
        </w:rPr>
        <w:t>membris</w:t>
      </w:r>
      <w:r>
        <w:rPr>
          <w:b w:val="0"/>
          <w:i w:val="0"/>
        </w:rPr>
        <w:t xml:space="preserve">; </w:t>
      </w:r>
      <w:r>
        <w:rPr>
          <w:b w:val="0"/>
          <w:i/>
        </w:rPr>
        <w:t>membro</w:t>
      </w:r>
      <w:r>
        <w:rPr>
          <w:b w:val="0"/>
          <w:i w:val="0"/>
        </w:rPr>
        <w:t xml:space="preserve">; </w:t>
      </w:r>
      <w:r>
        <w:rPr>
          <w:b w:val="0"/>
          <w:i/>
        </w:rPr>
        <w:t>membrorum</w:t>
      </w:r>
      <w:r>
        <w:rPr>
          <w:b w:val="0"/>
          <w:i w:val="0"/>
        </w:rPr>
        <w:t xml:space="preserve">; </w:t>
      </w:r>
      <w:r>
        <w:rPr>
          <w:b w:val="0"/>
          <w:i/>
        </w:rPr>
        <w:t>membrum</w:t>
      </w:r>
      <w:r>
        <w:rPr>
          <w:b w:val="0"/>
          <w:i w:val="0"/>
        </w:rPr>
        <w:t xml:space="preserve">; </w:t>
      </w:r>
      <w:r>
        <w:rPr>
          <w:b w:val="0"/>
          <w:i/>
        </w:rPr>
        <w:t>pars</w:t>
      </w:r>
      <w:r>
        <w:rPr>
          <w:b w:val="0"/>
          <w:i w:val="0"/>
        </w:rPr>
        <w:t xml:space="preserve">; </w:t>
      </w:r>
      <w:r>
        <w:rPr>
          <w:b w:val="0"/>
          <w:i/>
        </w:rPr>
        <w:t>parte</w:t>
      </w:r>
      <w:r>
        <w:rPr>
          <w:b w:val="0"/>
          <w:i w:val="0"/>
        </w:rPr>
        <w:t xml:space="preserve">; </w:t>
      </w:r>
      <w:r>
        <w:rPr>
          <w:b w:val="0"/>
          <w:i/>
        </w:rPr>
        <w:t>partem</w:t>
      </w:r>
      <w:r>
        <w:rPr>
          <w:b w:val="0"/>
          <w:i w:val="0"/>
        </w:rPr>
        <w:t xml:space="preserve">; </w:t>
      </w:r>
      <w:r>
        <w:rPr>
          <w:b w:val="0"/>
          <w:i/>
        </w:rPr>
        <w:t>partes</w:t>
      </w:r>
      <w:r>
        <w:rPr>
          <w:b w:val="0"/>
          <w:i w:val="0"/>
        </w:rPr>
        <w:t xml:space="preserve">; </w:t>
      </w:r>
      <w:r>
        <w:rPr>
          <w:b w:val="0"/>
          <w:i/>
        </w:rPr>
        <w:t>parti</w:t>
      </w:r>
      <w:r>
        <w:rPr>
          <w:b w:val="0"/>
          <w:i w:val="0"/>
        </w:rPr>
        <w:t xml:space="preserve">; </w:t>
      </w:r>
      <w:r>
        <w:rPr>
          <w:b w:val="0"/>
          <w:i/>
        </w:rPr>
        <w:t>partibus</w:t>
      </w:r>
      <w:r>
        <w:rPr>
          <w:b w:val="0"/>
          <w:i w:val="0"/>
        </w:rPr>
        <w:t xml:space="preserve">; </w:t>
      </w:r>
      <w:r>
        <w:rPr>
          <w:b w:val="0"/>
          <w:i/>
        </w:rPr>
        <w:t>partium</w:t>
      </w:r>
      <w:r>
        <w:rPr>
          <w:b w:val="0"/>
          <w:i w:val="0"/>
        </w:rPr>
        <w:t>.</w:t>
      </w:r>
    </w:p>
    <w:p>
      <w:pPr>
        <w:widowControl/>
      </w:pPr>
      <w:r>
        <w:rPr>
          <w:b w:val="0"/>
          <w:i w:val="0"/>
        </w:rPr>
        <w:t xml:space="preserve">Part and organic member; parts of an argument are also called members in the fourfold division. Bodily composition, whole presence of soul and division of a logical alternative are different uses; a self-moving source cannot simply be assumed from a constituent part. References: </w:t>
      </w:r>
      <w:hyperlink w:anchor="passage-vi-1-4">
        <w:r>
          <w:rPr>
            <w:color w:val="000000"/>
          </w:rPr>
          <w:t xml:space="preserve">VI.1.4</w:t>
        </w:r>
      </w:hyperlink>
      <w:r>
        <w:rPr>
          <w:b w:val="0"/>
          <w:i w:val="0"/>
        </w:rPr>
        <w:t xml:space="preserve">, </w:t>
      </w:r>
      <w:hyperlink w:anchor="passage-vi-1-5">
        <w:r>
          <w:rPr>
            <w:color w:val="000000"/>
          </w:rPr>
          <w:t xml:space="preserve">VI.1.5</w:t>
        </w:r>
      </w:hyperlink>
      <w:r>
        <w:rPr>
          <w:b w:val="0"/>
          <w:i w:val="0"/>
        </w:rPr>
        <w:t xml:space="preserve">, </w:t>
      </w:r>
      <w:hyperlink w:anchor="passage-vi-2-2">
        <w:r>
          <w:rPr>
            <w:color w:val="000000"/>
          </w:rPr>
          <w:t xml:space="preserve">VI.2.2</w:t>
        </w:r>
      </w:hyperlink>
      <w:r>
        <w:rPr>
          <w:b w:val="0"/>
          <w:i w:val="0"/>
        </w:rPr>
        <w:t xml:space="preserve">, </w:t>
      </w:r>
      <w:hyperlink w:anchor="passage-vi-9-3">
        <w:r>
          <w:rPr>
            <w:color w:val="000000"/>
          </w:rPr>
          <w:t xml:space="preserve">VI.9.3</w:t>
        </w:r>
      </w:hyperlink>
      <w:r>
        <w:rPr>
          <w:b w:val="0"/>
          <w:i w:val="0"/>
        </w:rPr>
        <w:t xml:space="preserve">, </w:t>
      </w:r>
      <w:hyperlink w:anchor="passage-vi-12-4">
        <w:r>
          <w:rPr>
            <w:color w:val="000000"/>
          </w:rPr>
          <w:t xml:space="preserve">VI.12.4</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138" w:name="latin-record-0897"/>
      <w:bookmarkEnd w:id="1138"/>
      <w:r>
        <w:rPr>
          <w:b/>
          <w:i w:val="0"/>
        </w:rPr>
        <w:t>partes novae; veteres</w:t>
      </w:r>
      <w:r>
        <w:rPr>
          <w:b/>
          <w:i w:val="0"/>
        </w:rPr>
        <w:t>.</w:t>
      </w:r>
      <w:r>
        <w:rPr>
          <w:b w:val="0"/>
          <w:i w:val="0"/>
        </w:rPr>
        <w:t xml:space="preserve"> Printed forms: </w:t>
      </w:r>
      <w:r>
        <w:rPr>
          <w:b w:val="0"/>
          <w:i/>
        </w:rPr>
        <w:t>novae in nobis partes</w:t>
      </w:r>
      <w:r>
        <w:rPr>
          <w:b w:val="0"/>
          <w:i w:val="0"/>
        </w:rPr>
        <w:t xml:space="preserve">; </w:t>
      </w:r>
      <w:r>
        <w:rPr>
          <w:b w:val="0"/>
          <w:i/>
        </w:rPr>
        <w:t>veteres corrumpuntur</w:t>
      </w:r>
      <w:r>
        <w:rPr>
          <w:b w:val="0"/>
          <w:i w:val="0"/>
        </w:rPr>
        <w:t>.</w:t>
      </w:r>
    </w:p>
    <w:p>
      <w:pPr>
        <w:widowControl/>
      </w:pPr>
      <w:r>
        <w:rPr>
          <w:b w:val="0"/>
          <w:i w:val="0"/>
        </w:rPr>
        <w:t xml:space="preserve">New bodily parts generated and old parts corrupted. This supplies Ficino’s stated account of growth and diminution, rather than a separate proof from nutrition alone. References: </w:t>
      </w:r>
      <w:hyperlink w:anchor="passage-vi-12-15">
        <w:r>
          <w:rPr>
            <w:color w:val="000000"/>
          </w:rPr>
          <w:t xml:space="preserve">VI.12.15</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1139" w:name="latin-record-0898"/>
      <w:bookmarkEnd w:id="1139"/>
      <w:r>
        <w:rPr>
          <w:b/>
          <w:i w:val="0"/>
        </w:rPr>
        <w:t>participatio</w:t>
      </w:r>
      <w:r>
        <w:rPr>
          <w:b/>
          <w:i w:val="0"/>
        </w:rPr>
        <w:t>.</w:t>
      </w:r>
      <w:r>
        <w:rPr>
          <w:b w:val="0"/>
          <w:i w:val="0"/>
        </w:rPr>
        <w:t xml:space="preserve"> Printed forms: </w:t>
      </w:r>
      <w:r>
        <w:rPr>
          <w:b w:val="0"/>
          <w:i/>
        </w:rPr>
        <w:t>participatione</w:t>
      </w:r>
      <w:r>
        <w:rPr>
          <w:b w:val="0"/>
          <w:i w:val="0"/>
        </w:rPr>
        <w:t xml:space="preserve">; </w:t>
      </w:r>
      <w:r>
        <w:rPr>
          <w:b w:val="0"/>
          <w:i/>
        </w:rPr>
        <w:t>participes</w:t>
      </w:r>
      <w:r>
        <w:rPr>
          <w:b w:val="0"/>
          <w:i w:val="0"/>
        </w:rPr>
        <w:t>.</w:t>
      </w:r>
    </w:p>
    <w:p>
      <w:pPr>
        <w:widowControl/>
      </w:pPr>
      <w:r>
        <w:rPr>
          <w:b w:val="0"/>
          <w:i w:val="0"/>
        </w:rPr>
        <w:t xml:space="preserve">Participation in a common perfection or principle without numerical identity with it. Humans derive humanity through participation or likeness, and mind judges things participating in equality by reference to equality itself. References: </w:t>
      </w:r>
      <w:hyperlink w:anchor="passage-viii-1-2">
        <w:r>
          <w:rPr>
            <w:color w:val="000000"/>
          </w:rPr>
          <w:t xml:space="preserve">VIII.1.2</w:t>
        </w:r>
      </w:hyperlink>
      <w:r>
        <w:rPr>
          <w:b w:val="0"/>
          <w:i w:val="0"/>
        </w:rPr>
        <w:t xml:space="preserve">, </w:t>
      </w:r>
      <w:hyperlink w:anchor="passage-viii-6-1">
        <w:r>
          <w:rPr>
            <w:color w:val="000000"/>
          </w:rPr>
          <w:t xml:space="preserve">VIII.6.1</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140" w:name="latin-record-0899"/>
      <w:bookmarkEnd w:id="1140"/>
      <w:r>
        <w:rPr>
          <w:b/>
          <w:i w:val="0"/>
        </w:rPr>
        <w:t>participatio / particeps</w:t>
      </w:r>
      <w:r>
        <w:rPr>
          <w:b/>
          <w:i w:val="0"/>
        </w:rPr>
        <w:t>.</w:t>
      </w:r>
      <w:r>
        <w:rPr>
          <w:b w:val="0"/>
          <w:i w:val="0"/>
        </w:rPr>
        <w:t xml:space="preserve"> Printed forms: </w:t>
      </w:r>
      <w:r>
        <w:rPr>
          <w:b w:val="0"/>
          <w:i/>
        </w:rPr>
        <w:t>particeps</w:t>
      </w:r>
      <w:r>
        <w:rPr>
          <w:b w:val="0"/>
          <w:i w:val="0"/>
        </w:rPr>
        <w:t xml:space="preserve">; </w:t>
      </w:r>
      <w:r>
        <w:rPr>
          <w:b w:val="0"/>
          <w:i/>
        </w:rPr>
        <w:t>participatione</w:t>
      </w:r>
      <w:r>
        <w:rPr>
          <w:b w:val="0"/>
          <w:i w:val="0"/>
        </w:rPr>
        <w:t xml:space="preserve">; </w:t>
      </w:r>
      <w:r>
        <w:rPr>
          <w:b w:val="0"/>
          <w:i/>
        </w:rPr>
        <w:t>participationem</w:t>
      </w:r>
      <w:r>
        <w:rPr>
          <w:b w:val="0"/>
          <w:i w:val="0"/>
        </w:rPr>
        <w:t>.</w:t>
      </w:r>
    </w:p>
    <w:p>
      <w:pPr>
        <w:widowControl/>
      </w:pPr>
      <w:r>
        <w:rPr>
          <w:b w:val="0"/>
          <w:i w:val="0"/>
        </w:rPr>
        <w:t xml:space="preserve">Participation, a derived or limited possession of a nature. A participant cannot generate the absolute source on which it depends, since this would reverse causal priority and make it cause itself. References: </w:t>
      </w:r>
      <w:hyperlink w:anchor="passage-v-13-4">
        <w:r>
          <w:rPr>
            <w:color w:val="000000"/>
          </w:rPr>
          <w:t xml:space="preserve">V.13.4</w:t>
        </w:r>
      </w:hyperlink>
      <w:r>
        <w:rPr>
          <w:b w:val="0"/>
          <w:i w:val="0"/>
        </w:rPr>
        <w:t xml:space="preserve">, </w:t>
      </w:r>
      <w:hyperlink w:anchor="passage-v-13-5">
        <w:r>
          <w:rPr>
            <w:color w:val="000000"/>
          </w:rPr>
          <w:t xml:space="preserve">V.13.5</w:t>
        </w:r>
      </w:hyperlink>
      <w:r>
        <w:rPr>
          <w:b w:val="0"/>
          <w:i w:val="0"/>
        </w:rPr>
        <w:t xml:space="preserve">, </w:t>
      </w:r>
      <w:hyperlink w:anchor="passage-v-13-7">
        <w:r>
          <w:rPr>
            <w:color w:val="000000"/>
          </w:rPr>
          <w:t xml:space="preserve">V.13.7</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1141" w:name="latin-record-0900"/>
      <w:bookmarkEnd w:id="1141"/>
      <w:r>
        <w:rPr>
          <w:b/>
          <w:i w:val="0"/>
        </w:rPr>
        <w:t>participatio; praesentia</w:t>
      </w:r>
      <w:r>
        <w:rPr>
          <w:b/>
          <w:i w:val="0"/>
        </w:rPr>
        <w:t>.</w:t>
      </w:r>
      <w:r>
        <w:rPr>
          <w:b w:val="0"/>
          <w:i w:val="0"/>
        </w:rPr>
        <w:t xml:space="preserve"> Printed forms: </w:t>
      </w:r>
      <w:r>
        <w:rPr>
          <w:b w:val="0"/>
          <w:i/>
        </w:rPr>
        <w:t>participatione atque praesentia</w:t>
      </w:r>
      <w:r>
        <w:rPr>
          <w:b w:val="0"/>
          <w:i w:val="0"/>
        </w:rPr>
        <w:t>.</w:t>
      </w:r>
    </w:p>
    <w:p>
      <w:pPr>
        <w:widowControl/>
      </w:pPr>
      <w:r>
        <w:rPr>
          <w:b w:val="0"/>
          <w:i w:val="0"/>
        </w:rPr>
        <w:t xml:space="preserve">Participation and presence of a primary source. These explain a body’s derivative apparent self-motion rather than making it the primary inward mover. References: </w:t>
      </w:r>
      <w:hyperlink w:anchor="passage-vi-12-2">
        <w:r>
          <w:rPr>
            <w:color w:val="000000"/>
          </w:rPr>
          <w:t xml:space="preserve">VI.12.2</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142" w:name="latin-record-0901"/>
      <w:bookmarkEnd w:id="1142"/>
      <w:r>
        <w:rPr>
          <w:b/>
          <w:i w:val="0"/>
        </w:rPr>
        <w:t>particula vivere</w:t>
      </w:r>
      <w:r>
        <w:rPr>
          <w:b/>
          <w:i w:val="0"/>
        </w:rPr>
        <w:t>.</w:t>
      </w:r>
      <w:r>
        <w:rPr>
          <w:b w:val="0"/>
          <w:i w:val="0"/>
        </w:rPr>
        <w:t xml:space="preserve"> Printed forms: </w:t>
      </w:r>
      <w:r>
        <w:rPr>
          <w:b w:val="0"/>
          <w:i/>
        </w:rPr>
        <w:t>partes eius vivant</w:t>
      </w:r>
      <w:r>
        <w:rPr>
          <w:b w:val="0"/>
          <w:i w:val="0"/>
        </w:rPr>
        <w:t xml:space="preserve">; </w:t>
      </w:r>
      <w:r>
        <w:rPr>
          <w:b w:val="0"/>
          <w:i/>
        </w:rPr>
        <w:t>tota anima in singulis</w:t>
      </w:r>
      <w:r>
        <w:rPr>
          <w:b w:val="0"/>
          <w:i w:val="0"/>
        </w:rPr>
        <w:t>.</w:t>
      </w:r>
    </w:p>
    <w:p>
      <w:pPr>
        <w:widowControl/>
      </w:pPr>
      <w:r>
        <w:rPr>
          <w:b w:val="0"/>
          <w:i w:val="0"/>
        </w:rPr>
        <w:t xml:space="preserve">The proposed life of each part and whole soul’s presence in each. If division leaves the complete vital nature, quantity is not necessary to its activity. References: </w:t>
      </w:r>
      <w:hyperlink w:anchor="passage-vi-6-4">
        <w:r>
          <w:rPr>
            <w:color w:val="000000"/>
          </w:rPr>
          <w:t xml:space="preserve">VI.6.4</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1143" w:name="latin-record-0902"/>
      <w:bookmarkEnd w:id="1143"/>
      <w:r>
        <w:rPr>
          <w:b/>
          <w:i w:val="0"/>
        </w:rPr>
        <w:t>partiri; secare</w:t>
      </w:r>
      <w:r>
        <w:rPr>
          <w:b/>
          <w:i w:val="0"/>
        </w:rPr>
        <w:t>.</w:t>
      </w:r>
      <w:r>
        <w:rPr>
          <w:b w:val="0"/>
          <w:i w:val="0"/>
        </w:rPr>
        <w:t xml:space="preserve"> Printed forms: </w:t>
      </w:r>
      <w:r>
        <w:rPr>
          <w:b w:val="0"/>
          <w:i/>
        </w:rPr>
        <w:t>partiemur</w:t>
      </w:r>
      <w:r>
        <w:rPr>
          <w:b w:val="0"/>
          <w:i w:val="0"/>
        </w:rPr>
        <w:t xml:space="preserve">; </w:t>
      </w:r>
      <w:r>
        <w:rPr>
          <w:b w:val="0"/>
          <w:i/>
        </w:rPr>
        <w:t>secuimus</w:t>
      </w:r>
      <w:r>
        <w:rPr>
          <w:b w:val="0"/>
          <w:i w:val="0"/>
        </w:rPr>
        <w:t>.</w:t>
      </w:r>
    </w:p>
    <w:p>
      <w:pPr>
        <w:widowControl/>
      </w:pPr>
      <w:r>
        <w:rPr>
          <w:b w:val="0"/>
          <w:i w:val="0"/>
        </w:rPr>
        <w:t xml:space="preserve">To divide into parts and cut conceptually. Repeating the analysis of a supposedly self-moving part resumes the same regress through ever smaller divisible parts. References: </w:t>
      </w:r>
      <w:hyperlink w:anchor="passage-vi-12-6">
        <w:r>
          <w:rPr>
            <w:color w:val="000000"/>
          </w:rPr>
          <w:t xml:space="preserve">VI.12.6</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144" w:name="latin-record-0903"/>
      <w:bookmarkEnd w:id="1144"/>
      <w:r>
        <w:rPr>
          <w:b/>
          <w:i w:val="0"/>
        </w:rPr>
        <w:t>parvipendere; horrere</w:t>
      </w:r>
      <w:r>
        <w:rPr>
          <w:b/>
          <w:i w:val="0"/>
        </w:rPr>
        <w:t>.</w:t>
      </w:r>
      <w:r>
        <w:rPr>
          <w:b w:val="0"/>
          <w:i w:val="0"/>
        </w:rPr>
        <w:t xml:space="preserve"> Printed forms: </w:t>
      </w:r>
      <w:r>
        <w:rPr>
          <w:b w:val="0"/>
          <w:i/>
        </w:rPr>
        <w:t>horres</w:t>
      </w:r>
      <w:r>
        <w:rPr>
          <w:b w:val="0"/>
          <w:i w:val="0"/>
        </w:rPr>
        <w:t xml:space="preserve">; </w:t>
      </w:r>
      <w:r>
        <w:rPr>
          <w:b w:val="0"/>
          <w:i/>
        </w:rPr>
        <w:t>parvipendis</w:t>
      </w:r>
      <w:r>
        <w:rPr>
          <w:b w:val="0"/>
          <w:i w:val="0"/>
        </w:rPr>
        <w:t>.</w:t>
      </w:r>
    </w:p>
    <w:p>
      <w:pPr>
        <w:widowControl/>
      </w:pPr>
      <w:r>
        <w:rPr>
          <w:b w:val="0"/>
          <w:i w:val="0"/>
        </w:rPr>
        <w:t xml:space="preserve">To value lightly and recoil in aversion. Disdain for temporal things and ugliness supplies signs in the fourfold exhortation toward greatness, goodness, beauty and eternity. References: </w:t>
      </w:r>
      <w:hyperlink w:anchor="passage-vi-2-3">
        <w:r>
          <w:rPr>
            <w:color w:val="000000"/>
          </w:rPr>
          <w:t xml:space="preserve">VI.2.3</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1145" w:name="latin-record-0904"/>
      <w:bookmarkEnd w:id="1145"/>
      <w:r>
        <w:rPr>
          <w:b/>
          <w:i w:val="0"/>
        </w:rPr>
        <w:t>passio</w:t>
      </w:r>
      <w:r>
        <w:rPr>
          <w:b/>
          <w:i w:val="0"/>
        </w:rPr>
        <w:t>.</w:t>
      </w:r>
      <w:r>
        <w:rPr>
          <w:b w:val="0"/>
          <w:i w:val="0"/>
        </w:rPr>
        <w:t xml:space="preserve"> Printed forms: </w:t>
      </w:r>
      <w:r>
        <w:rPr>
          <w:b w:val="0"/>
          <w:i/>
        </w:rPr>
        <w:t>passionem</w:t>
      </w:r>
      <w:r>
        <w:rPr>
          <w:b w:val="0"/>
          <w:i w:val="0"/>
        </w:rPr>
        <w:t xml:space="preserve">; </w:t>
      </w:r>
      <w:r>
        <w:rPr>
          <w:b w:val="0"/>
          <w:i/>
        </w:rPr>
        <w:t>passioni</w:t>
      </w:r>
      <w:r>
        <w:rPr>
          <w:b w:val="0"/>
          <w:i w:val="0"/>
        </w:rPr>
        <w:t xml:space="preserve">; </w:t>
      </w:r>
      <w:r>
        <w:rPr>
          <w:b w:val="0"/>
          <w:i/>
        </w:rPr>
        <w:t>passionis</w:t>
      </w:r>
      <w:r>
        <w:rPr>
          <w:b w:val="0"/>
          <w:i w:val="0"/>
        </w:rPr>
        <w:t xml:space="preserve">; </w:t>
      </w:r>
      <w:r>
        <w:rPr>
          <w:b w:val="0"/>
          <w:i/>
        </w:rPr>
        <w:t>passionum</w:t>
      </w:r>
      <w:r>
        <w:rPr>
          <w:b w:val="0"/>
          <w:i w:val="0"/>
        </w:rPr>
        <w:t>.</w:t>
      </w:r>
    </w:p>
    <w:p>
      <w:pPr>
        <w:widowControl/>
      </w:pPr>
      <w:r>
        <w:rPr>
          <w:b w:val="0"/>
          <w:i w:val="0"/>
        </w:rPr>
        <w:t xml:space="preserve">An undergoing or being affected, especially destructive material alteration in these proofs. Ficino permits bodily affection in operative capacity but excludes it from the soul’s essence; not every reception is such a passion. References: </w:t>
      </w:r>
      <w:hyperlink w:anchor="passage-v-3-1">
        <w:r>
          <w:rPr>
            <w:color w:val="000000"/>
          </w:rPr>
          <w:t xml:space="preserve">V.3.1</w:t>
        </w:r>
      </w:hyperlink>
      <w:r>
        <w:rPr>
          <w:b w:val="0"/>
          <w:i w:val="0"/>
        </w:rPr>
        <w:t xml:space="preserve">, </w:t>
      </w:r>
      <w:hyperlink w:anchor="passage-v-5-9">
        <w:r>
          <w:rPr>
            <w:color w:val="000000"/>
          </w:rPr>
          <w:t xml:space="preserve">V.5.9</w:t>
        </w:r>
      </w:hyperlink>
      <w:r>
        <w:rPr>
          <w:b w:val="0"/>
          <w:i w:val="0"/>
        </w:rPr>
        <w:t xml:space="preserve">, </w:t>
      </w:r>
      <w:hyperlink w:anchor="passage-v-8-3">
        <w:r>
          <w:rPr>
            <w:color w:val="000000"/>
          </w:rPr>
          <w:t xml:space="preserve">V.8.3</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1146" w:name="latin-record-0905"/>
      <w:bookmarkEnd w:id="1146"/>
      <w:r>
        <w:rPr>
          <w:b/>
          <w:i w:val="0"/>
        </w:rPr>
        <w:t>passio / affectio</w:t>
      </w:r>
      <w:r>
        <w:rPr>
          <w:b/>
          <w:i w:val="0"/>
        </w:rPr>
        <w:t>.</w:t>
      </w:r>
      <w:r>
        <w:rPr>
          <w:b w:val="0"/>
          <w:i w:val="0"/>
        </w:rPr>
        <w:t xml:space="preserve"> Printed forms: </w:t>
      </w:r>
      <w:r>
        <w:rPr>
          <w:b w:val="0"/>
          <w:i/>
        </w:rPr>
        <w:t>affectiones</w:t>
      </w:r>
      <w:r>
        <w:rPr>
          <w:b w:val="0"/>
          <w:i w:val="0"/>
        </w:rPr>
        <w:t xml:space="preserve">; </w:t>
      </w:r>
      <w:r>
        <w:rPr>
          <w:b w:val="0"/>
          <w:i/>
        </w:rPr>
        <w:t>afficiunt</w:t>
      </w:r>
      <w:r>
        <w:rPr>
          <w:b w:val="0"/>
          <w:i w:val="0"/>
        </w:rPr>
        <w:t xml:space="preserve">; </w:t>
      </w:r>
      <w:r>
        <w:rPr>
          <w:b w:val="0"/>
          <w:i/>
        </w:rPr>
        <w:t>passio</w:t>
      </w:r>
      <w:r>
        <w:rPr>
          <w:b w:val="0"/>
          <w:i w:val="0"/>
        </w:rPr>
        <w:t xml:space="preserve">; </w:t>
      </w:r>
      <w:r>
        <w:rPr>
          <w:b w:val="0"/>
          <w:i/>
        </w:rPr>
        <w:t>passionem</w:t>
      </w:r>
      <w:r>
        <w:rPr>
          <w:b w:val="0"/>
          <w:i w:val="0"/>
        </w:rPr>
        <w:t xml:space="preserve">; </w:t>
      </w:r>
      <w:r>
        <w:rPr>
          <w:b w:val="0"/>
          <w:i/>
        </w:rPr>
        <w:t>passiones</w:t>
      </w:r>
      <w:r>
        <w:rPr>
          <w:b w:val="0"/>
          <w:i w:val="0"/>
        </w:rPr>
        <w:t xml:space="preserve">; </w:t>
      </w:r>
      <w:r>
        <w:rPr>
          <w:b w:val="0"/>
          <w:i/>
        </w:rPr>
        <w:t>passionibus</w:t>
      </w:r>
      <w:r>
        <w:rPr>
          <w:b w:val="0"/>
          <w:i w:val="0"/>
        </w:rPr>
        <w:t xml:space="preserve">; </w:t>
      </w:r>
      <w:r>
        <w:rPr>
          <w:b w:val="0"/>
          <w:i/>
        </w:rPr>
        <w:t>patitur</w:t>
      </w:r>
      <w:r>
        <w:rPr>
          <w:b w:val="0"/>
          <w:i w:val="0"/>
        </w:rPr>
        <w:t>.</w:t>
      </w:r>
    </w:p>
    <w:p>
      <w:pPr>
        <w:widowControl/>
      </w:pPr>
      <w:r>
        <w:rPr>
          <w:b w:val="0"/>
          <w:i w:val="0"/>
        </w:rPr>
        <w:t xml:space="preserve">A condition undergone or an affection, especially bodily modification. Ficino distinguishes being bodily affected from judging that affection, and both from the soul’s sympathetic distress. References: </w:t>
      </w:r>
      <w:hyperlink w:anchor="passage-vii-6-1">
        <w:r>
          <w:rPr>
            <w:color w:val="000000"/>
          </w:rPr>
          <w:t xml:space="preserve">VII.6.1</w:t>
        </w:r>
      </w:hyperlink>
      <w:r>
        <w:rPr>
          <w:b w:val="0"/>
          <w:i w:val="0"/>
        </w:rPr>
        <w:t xml:space="preserve">, </w:t>
      </w:r>
      <w:hyperlink w:anchor="passage-vii-6-2">
        <w:r>
          <w:rPr>
            <w:color w:val="000000"/>
          </w:rPr>
          <w:t xml:space="preserve">VII.6.2</w:t>
        </w:r>
      </w:hyperlink>
      <w:r>
        <w:rPr>
          <w:b w:val="0"/>
          <w:i w:val="0"/>
        </w:rPr>
        <w:t xml:space="preserve">, </w:t>
      </w:r>
      <w:hyperlink w:anchor="passage-vii-6-3">
        <w:r>
          <w:rPr>
            <w:color w:val="000000"/>
          </w:rPr>
          <w:t xml:space="preserve">VII.6.3</w:t>
        </w:r>
      </w:hyperlink>
      <w:r>
        <w:rPr>
          <w:b w:val="0"/>
          <w:i w:val="0"/>
        </w:rPr>
        <w:t xml:space="preserve">, </w:t>
      </w:r>
      <w:hyperlink w:anchor="passage-vii-13-1">
        <w:r>
          <w:rPr>
            <w:color w:val="000000"/>
          </w:rPr>
          <w:t xml:space="preserve">VII.13.1</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1147" w:name="latin-record-0906"/>
      <w:bookmarkEnd w:id="1147"/>
      <w:r>
        <w:rPr>
          <w:b/>
          <w:i w:val="0"/>
        </w:rPr>
        <w:t>passivus / activus</w:t>
      </w:r>
      <w:r>
        <w:rPr>
          <w:b/>
          <w:i w:val="0"/>
        </w:rPr>
        <w:t>.</w:t>
      </w:r>
      <w:r>
        <w:rPr>
          <w:b w:val="0"/>
          <w:i w:val="0"/>
        </w:rPr>
        <w:t xml:space="preserve"> Printed forms: </w:t>
      </w:r>
      <w:r>
        <w:rPr>
          <w:b w:val="0"/>
          <w:i/>
        </w:rPr>
        <w:t>activa</w:t>
      </w:r>
      <w:r>
        <w:rPr>
          <w:b w:val="0"/>
          <w:i w:val="0"/>
        </w:rPr>
        <w:t xml:space="preserve">; </w:t>
      </w:r>
      <w:r>
        <w:rPr>
          <w:b w:val="0"/>
          <w:i/>
        </w:rPr>
        <w:t>activi</w:t>
      </w:r>
      <w:r>
        <w:rPr>
          <w:b w:val="0"/>
          <w:i w:val="0"/>
        </w:rPr>
        <w:t xml:space="preserve">; </w:t>
      </w:r>
      <w:r>
        <w:rPr>
          <w:b w:val="0"/>
          <w:i/>
        </w:rPr>
        <w:t>passiva</w:t>
      </w:r>
      <w:r>
        <w:rPr>
          <w:b w:val="0"/>
          <w:i w:val="0"/>
        </w:rPr>
        <w:t xml:space="preserve">; </w:t>
      </w:r>
      <w:r>
        <w:rPr>
          <w:b w:val="0"/>
          <w:i/>
        </w:rPr>
        <w:t>passivum</w:t>
      </w:r>
      <w:r>
        <w:rPr>
          <w:b w:val="0"/>
          <w:i w:val="0"/>
        </w:rPr>
        <w:t>.</w:t>
      </w:r>
    </w:p>
    <w:p>
      <w:pPr>
        <w:widowControl/>
      </w:pPr>
      <w:r>
        <w:rPr>
          <w:b w:val="0"/>
          <w:i w:val="0"/>
        </w:rPr>
        <w:t xml:space="preserve">Passive and active, marking capacities to undergo or to originate action. Matter and quantity occupy the passive extreme, God and angel the active; quality and soul differ in their intermediate participation. References: </w:t>
      </w:r>
      <w:hyperlink w:anchor="passage-v-3-1">
        <w:r>
          <w:rPr>
            <w:color w:val="000000"/>
          </w:rPr>
          <w:t xml:space="preserve">V.3.1</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1148" w:name="latin-record-0907"/>
      <w:bookmarkEnd w:id="1148"/>
      <w:r>
        <w:rPr>
          <w:b/>
          <w:i w:val="0"/>
        </w:rPr>
        <w:t>patera</w:t>
      </w:r>
      <w:r>
        <w:rPr>
          <w:b/>
          <w:i w:val="0"/>
        </w:rPr>
        <w:t>.</w:t>
      </w:r>
      <w:r>
        <w:rPr>
          <w:b w:val="0"/>
          <w:i w:val="0"/>
        </w:rPr>
        <w:t xml:space="preserve"> Printed forms: </w:t>
      </w:r>
      <w:r>
        <w:rPr>
          <w:b w:val="0"/>
          <w:i/>
        </w:rPr>
        <w:t>pateram</w:t>
      </w:r>
      <w:r>
        <w:rPr>
          <w:b w:val="0"/>
          <w:i w:val="0"/>
        </w:rPr>
        <w:t>.</w:t>
      </w:r>
    </w:p>
    <w:p>
      <w:pPr>
        <w:widowControl/>
      </w:pPr>
      <w:r>
        <w:rPr>
          <w:b w:val="0"/>
          <w:i w:val="0"/>
        </w:rPr>
        <w:t xml:space="preserve">A bowl, presented as Plato’s mixing-bowl of souls. The image names the seat or order of souls, without making them quantitatively mixed bodily ingredients. References: </w:t>
      </w:r>
      <w:hyperlink w:anchor="passage-v-5-9">
        <w:r>
          <w:rPr>
            <w:color w:val="000000"/>
          </w:rPr>
          <w:t xml:space="preserve">V.5.9</w:t>
        </w:r>
      </w:hyperlink>
      <w:r>
        <w:rPr>
          <w:b w:val="0"/>
          <w:i w:val="0"/>
        </w:rPr>
        <w:t xml:space="preserve">. See </w:t>
      </w:r>
      <w:hyperlink w:anchor="inclination-and-independence">
        <w:r>
          <w:rPr>
            <w:color w:val="000000"/>
          </w:rPr>
          <w:t xml:space="preserve">Inclination and independence</w:t>
        </w:r>
      </w:hyperlink>
      <w:r>
        <w:rPr>
          <w:b w:val="0"/>
          <w:i w:val="0"/>
        </w:rPr>
        <w:t>.</w:t>
      </w:r>
    </w:p>
    <w:p>
      <w:pPr>
        <w:keepNext/>
        <w:widowControl/>
      </w:pPr>
      <w:bookmarkStart w:id="1149" w:name="latin-record-0908"/>
      <w:bookmarkEnd w:id="1149"/>
      <w:r>
        <w:rPr>
          <w:b/>
          <w:i w:val="0"/>
        </w:rPr>
        <w:t>paulatim / subito</w:t>
      </w:r>
      <w:r>
        <w:rPr>
          <w:b/>
          <w:i w:val="0"/>
        </w:rPr>
        <w:t>.</w:t>
      </w:r>
      <w:r>
        <w:rPr>
          <w:b w:val="0"/>
          <w:i w:val="0"/>
        </w:rPr>
        <w:t xml:space="preserve"> Printed forms: </w:t>
      </w:r>
      <w:r>
        <w:rPr>
          <w:b w:val="0"/>
          <w:i/>
        </w:rPr>
        <w:t>paulatim</w:t>
      </w:r>
      <w:r>
        <w:rPr>
          <w:b w:val="0"/>
          <w:i w:val="0"/>
        </w:rPr>
        <w:t xml:space="preserve">; </w:t>
      </w:r>
      <w:r>
        <w:rPr>
          <w:b w:val="0"/>
          <w:i/>
        </w:rPr>
        <w:t>subito</w:t>
      </w:r>
      <w:r>
        <w:rPr>
          <w:b w:val="0"/>
          <w:i w:val="0"/>
        </w:rPr>
        <w:t>.</w:t>
      </w:r>
    </w:p>
    <w:p>
      <w:pPr>
        <w:widowControl/>
      </w:pPr>
      <w:r>
        <w:rPr>
          <w:b w:val="0"/>
          <w:i w:val="0"/>
        </w:rPr>
        <w:t xml:space="preserve">Gradually and at once. The temporal opposition supports an indivisible sensing power in Ficino’s argument, not an experimentally established account of neural timing. References: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1150" w:name="latin-record-0909"/>
      <w:bookmarkEnd w:id="1150"/>
      <w:r>
        <w:rPr>
          <w:b/>
          <w:i w:val="0"/>
        </w:rPr>
        <w:t>Paulus apostolus</w:t>
      </w:r>
      <w:r>
        <w:rPr>
          <w:b/>
          <w:i w:val="0"/>
        </w:rPr>
        <w:t>.</w:t>
      </w:r>
      <w:r>
        <w:rPr>
          <w:b w:val="0"/>
          <w:i w:val="0"/>
        </w:rPr>
        <w:t xml:space="preserve"> Printed forms: </w:t>
      </w:r>
      <w:r>
        <w:rPr>
          <w:b w:val="0"/>
          <w:i/>
        </w:rPr>
        <w:t>apostolus</w:t>
      </w:r>
      <w:r>
        <w:rPr>
          <w:b w:val="0"/>
          <w:i w:val="0"/>
        </w:rPr>
        <w:t xml:space="preserve">; </w:t>
      </w:r>
      <w:r>
        <w:rPr>
          <w:b w:val="0"/>
          <w:i/>
        </w:rPr>
        <w:t>Paulus</w:t>
      </w:r>
      <w:r>
        <w:rPr>
          <w:b w:val="0"/>
          <w:i w:val="0"/>
        </w:rPr>
        <w:t>.</w:t>
      </w:r>
    </w:p>
    <w:p>
      <w:pPr>
        <w:widowControl/>
      </w:pPr>
      <w:r>
        <w:rPr>
          <w:b w:val="0"/>
          <w:i w:val="0"/>
        </w:rPr>
        <w:t xml:space="preserve">Paul the apostle, named for the language of daily renewal. The reference supports Ficino’s interpretation of inward perfection; this contribution does not supply an independently collated biblical quotation. References: </w:t>
      </w:r>
      <w:hyperlink w:anchor="passage-viii-15-2">
        <w:r>
          <w:rPr>
            <w:color w:val="000000"/>
          </w:rPr>
          <w:t xml:space="preserve">VIII.15.2</w:t>
        </w:r>
      </w:hyperlink>
      <w:r>
        <w:rPr>
          <w:b w:val="0"/>
          <w:i w:val="0"/>
        </w:rPr>
        <w:t xml:space="preserve">. See </w:t>
      </w:r>
      <w:hyperlink w:anchor="viii-intellectual-generation">
        <w:r>
          <w:rPr>
            <w:color w:val="000000"/>
          </w:rPr>
          <w:t xml:space="preserve">Intellectual generation and daily renewal</w:t>
        </w:r>
      </w:hyperlink>
      <w:r>
        <w:rPr>
          <w:b w:val="0"/>
          <w:i w:val="0"/>
        </w:rPr>
        <w:t>.</w:t>
      </w:r>
    </w:p>
    <w:p>
      <w:pPr>
        <w:keepNext/>
        <w:widowControl/>
      </w:pPr>
      <w:bookmarkStart w:id="1151" w:name="latin-record-0910"/>
      <w:bookmarkEnd w:id="1151"/>
      <w:r>
        <w:rPr>
          <w:b/>
          <w:i w:val="0"/>
        </w:rPr>
        <w:t>pedetentim / paulatim / subito</w:t>
      </w:r>
      <w:r>
        <w:rPr>
          <w:b/>
          <w:i w:val="0"/>
        </w:rPr>
        <w:t>.</w:t>
      </w:r>
      <w:r>
        <w:rPr>
          <w:b w:val="0"/>
          <w:i w:val="0"/>
        </w:rPr>
        <w:t xml:space="preserve"> Printed forms: </w:t>
      </w:r>
      <w:r>
        <w:rPr>
          <w:b w:val="0"/>
          <w:i/>
        </w:rPr>
        <w:t>gradatim</w:t>
      </w:r>
      <w:r>
        <w:rPr>
          <w:b w:val="0"/>
          <w:i w:val="0"/>
        </w:rPr>
        <w:t xml:space="preserve">; </w:t>
      </w:r>
      <w:r>
        <w:rPr>
          <w:b w:val="0"/>
          <w:i/>
        </w:rPr>
        <w:t>momento</w:t>
      </w:r>
      <w:r>
        <w:rPr>
          <w:b w:val="0"/>
          <w:i w:val="0"/>
        </w:rPr>
        <w:t xml:space="preserve">; </w:t>
      </w:r>
      <w:r>
        <w:rPr>
          <w:b w:val="0"/>
          <w:i/>
        </w:rPr>
        <w:t>paulatim</w:t>
      </w:r>
      <w:r>
        <w:rPr>
          <w:b w:val="0"/>
          <w:i w:val="0"/>
        </w:rPr>
        <w:t xml:space="preserve">; </w:t>
      </w:r>
      <w:r>
        <w:rPr>
          <w:b w:val="0"/>
          <w:i/>
        </w:rPr>
        <w:t>pedetentim</w:t>
      </w:r>
      <w:r>
        <w:rPr>
          <w:b w:val="0"/>
          <w:i w:val="0"/>
        </w:rPr>
        <w:t xml:space="preserve">; </w:t>
      </w:r>
      <w:r>
        <w:rPr>
          <w:b w:val="0"/>
          <w:i/>
        </w:rPr>
        <w:t>sensim</w:t>
      </w:r>
      <w:r>
        <w:rPr>
          <w:b w:val="0"/>
          <w:i w:val="0"/>
        </w:rPr>
        <w:t xml:space="preserve">; </w:t>
      </w:r>
      <w:r>
        <w:rPr>
          <w:b w:val="0"/>
          <w:i/>
        </w:rPr>
        <w:t>Subito</w:t>
      </w:r>
      <w:r>
        <w:rPr>
          <w:b w:val="0"/>
          <w:i w:val="0"/>
        </w:rPr>
        <w:t xml:space="preserve">; </w:t>
      </w:r>
      <w:r>
        <w:rPr>
          <w:b w:val="0"/>
          <w:i/>
        </w:rPr>
        <w:t>subito</w:t>
      </w:r>
      <w:r>
        <w:rPr>
          <w:b w:val="0"/>
          <w:i w:val="0"/>
        </w:rPr>
        <w:t>.</w:t>
      </w:r>
    </w:p>
    <w:p>
      <w:pPr>
        <w:widowControl/>
      </w:pPr>
      <w:r>
        <w:rPr>
          <w:b w:val="0"/>
          <w:i w:val="0"/>
        </w:rPr>
        <w:t xml:space="preserve">Stepwise or gradual progress contrasted with sudden or instantaneous completion. The verbs qualify different stages of inquiry and habituation; gradual preparation is not denied by the claim that full insight is indivisible. References: </w:t>
      </w:r>
      <w:hyperlink w:anchor="passage-viii-3-2">
        <w:r>
          <w:rPr>
            <w:color w:val="000000"/>
          </w:rPr>
          <w:t xml:space="preserve">VIII.3.2</w:t>
        </w:r>
      </w:hyperlink>
      <w:r>
        <w:rPr>
          <w:b w:val="0"/>
          <w:i w:val="0"/>
        </w:rPr>
        <w:t xml:space="preserve">, </w:t>
      </w:r>
      <w:hyperlink w:anchor="passage-viii-3-3">
        <w:r>
          <w:rPr>
            <w:color w:val="000000"/>
          </w:rPr>
          <w:t xml:space="preserve">VIII.3.3</w:t>
        </w:r>
      </w:hyperlink>
      <w:r>
        <w:rPr>
          <w:b w:val="0"/>
          <w:i w:val="0"/>
        </w:rPr>
        <w:t xml:space="preserve">, </w:t>
      </w:r>
      <w:hyperlink w:anchor="passage-viii-3-4">
        <w:r>
          <w:rPr>
            <w:color w:val="000000"/>
          </w:rPr>
          <w:t xml:space="preserve">VIII.3.4</w:t>
        </w:r>
      </w:hyperlink>
      <w:r>
        <w:rPr>
          <w:b w:val="0"/>
          <w:i w:val="0"/>
        </w:rPr>
        <w:t xml:space="preserve">, </w:t>
      </w:r>
      <w:hyperlink w:anchor="passage-viii-3-5">
        <w:r>
          <w:rPr>
            <w:color w:val="000000"/>
          </w:rPr>
          <w:t xml:space="preserve">VIII.3.5</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1152" w:name="latin-record-0911"/>
      <w:bookmarkEnd w:id="1152"/>
      <w:r>
        <w:rPr>
          <w:b/>
          <w:i w:val="0"/>
        </w:rPr>
        <w:t>pedisequa</w:t>
      </w:r>
      <w:r>
        <w:rPr>
          <w:b/>
          <w:i w:val="0"/>
        </w:rPr>
        <w:t>.</w:t>
      </w:r>
      <w:r>
        <w:rPr>
          <w:b w:val="0"/>
          <w:i w:val="0"/>
        </w:rPr>
        <w:t xml:space="preserve"> Printed forms: </w:t>
      </w:r>
      <w:r>
        <w:rPr>
          <w:b w:val="0"/>
          <w:i/>
        </w:rPr>
        <w:t>pedisequam</w:t>
      </w:r>
      <w:r>
        <w:rPr>
          <w:b w:val="0"/>
          <w:i w:val="0"/>
        </w:rPr>
        <w:t>.</w:t>
      </w:r>
    </w:p>
    <w:p>
      <w:pPr>
        <w:widowControl/>
      </w:pPr>
      <w:r>
        <w:rPr>
          <w:b w:val="0"/>
          <w:i w:val="0"/>
        </w:rPr>
        <w:t xml:space="preserve">A female attendant following another, figuratively life’s inseparable accompaniment of soul. The image allows the argument even under the alternative formulation that soul has life properly rather than simply being life. References: </w:t>
      </w:r>
      <w:hyperlink w:anchor="passage-v-14-5">
        <w:r>
          <w:rPr>
            <w:color w:val="000000"/>
          </w:rPr>
          <w:t xml:space="preserve">V.14.5</w:t>
        </w:r>
      </w:hyperlink>
      <w:r>
        <w:rPr>
          <w:b w:val="0"/>
          <w:i w:val="0"/>
        </w:rPr>
        <w:t xml:space="preserve">, </w:t>
      </w:r>
      <w:hyperlink w:anchor="passage-v-14-6">
        <w:r>
          <w:rPr>
            <w:color w:val="000000"/>
          </w:rPr>
          <w:t xml:space="preserve">V.14.6</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1153" w:name="latin-record-0912"/>
      <w:bookmarkEnd w:id="1153"/>
      <w:r>
        <w:rPr>
          <w:b/>
          <w:i w:val="0"/>
        </w:rPr>
        <w:t>pendere / oriri / sustinere / nasci</w:t>
      </w:r>
      <w:r>
        <w:rPr>
          <w:b/>
          <w:i w:val="0"/>
        </w:rPr>
        <w:t>.</w:t>
      </w:r>
      <w:r>
        <w:rPr>
          <w:b w:val="0"/>
          <w:i w:val="0"/>
        </w:rPr>
        <w:t xml:space="preserve"> Printed forms: </w:t>
      </w:r>
      <w:r>
        <w:rPr>
          <w:b w:val="0"/>
          <w:i/>
        </w:rPr>
        <w:t>nascitur</w:t>
      </w:r>
      <w:r>
        <w:rPr>
          <w:b w:val="0"/>
          <w:i w:val="0"/>
        </w:rPr>
        <w:t xml:space="preserve">; </w:t>
      </w:r>
      <w:r>
        <w:rPr>
          <w:b w:val="0"/>
          <w:i/>
        </w:rPr>
        <w:t>orietur</w:t>
      </w:r>
      <w:r>
        <w:rPr>
          <w:b w:val="0"/>
          <w:i w:val="0"/>
        </w:rPr>
        <w:t xml:space="preserve">; </w:t>
      </w:r>
      <w:r>
        <w:rPr>
          <w:b w:val="0"/>
          <w:i/>
        </w:rPr>
        <w:t>pendebit</w:t>
      </w:r>
      <w:r>
        <w:rPr>
          <w:b w:val="0"/>
          <w:i w:val="0"/>
        </w:rPr>
        <w:t xml:space="preserve">; </w:t>
      </w:r>
      <w:r>
        <w:rPr>
          <w:b w:val="0"/>
          <w:i/>
        </w:rPr>
        <w:t>sustinebunt</w:t>
      </w:r>
      <w:r>
        <w:rPr>
          <w:b w:val="0"/>
          <w:i w:val="0"/>
        </w:rPr>
        <w:t>.</w:t>
      </w:r>
    </w:p>
    <w:p>
      <w:pPr>
        <w:widowControl/>
      </w:pPr>
      <w:r>
        <w:rPr>
          <w:b w:val="0"/>
          <w:i w:val="0"/>
        </w:rPr>
        <w:t xml:space="preserve">To depend, arise, sustain, and be born or come into being, respectively. If soul were humoral harmony, the humors would generate and sustain it rather than receiving governance from it.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1154" w:name="latin-record-0913"/>
      <w:bookmarkEnd w:id="1154"/>
      <w:r>
        <w:rPr>
          <w:b/>
          <w:i w:val="0"/>
        </w:rPr>
        <w:t>penetrare; implere</w:t>
      </w:r>
      <w:r>
        <w:rPr>
          <w:b/>
          <w:i w:val="0"/>
        </w:rPr>
        <w:t>.</w:t>
      </w:r>
      <w:r>
        <w:rPr>
          <w:b w:val="0"/>
          <w:i w:val="0"/>
        </w:rPr>
        <w:t xml:space="preserve"> Printed forms: </w:t>
      </w:r>
      <w:r>
        <w:rPr>
          <w:b w:val="0"/>
          <w:i/>
        </w:rPr>
        <w:t>implere</w:t>
      </w:r>
      <w:r>
        <w:rPr>
          <w:b w:val="0"/>
          <w:i w:val="0"/>
        </w:rPr>
        <w:t xml:space="preserve">; </w:t>
      </w:r>
      <w:r>
        <w:rPr>
          <w:b w:val="0"/>
          <w:i/>
        </w:rPr>
        <w:t>penetrare</w:t>
      </w:r>
      <w:r>
        <w:rPr>
          <w:b w:val="0"/>
          <w:i w:val="0"/>
        </w:rPr>
        <w:t>.</w:t>
      </w:r>
    </w:p>
    <w:p>
      <w:pPr>
        <w:widowControl/>
      </w:pPr>
      <w:r>
        <w:rPr>
          <w:b w:val="0"/>
          <w:i w:val="0"/>
        </w:rPr>
        <w:t xml:space="preserve">To penetrate and fill. These are required animating functions used to test the suitability of a hypothetical soul-body. References: </w:t>
      </w:r>
      <w:hyperlink w:anchor="passage-vi-6-1">
        <w:r>
          <w:rPr>
            <w:color w:val="000000"/>
          </w:rPr>
          <w:t xml:space="preserve">VI.6.1</w:t>
        </w:r>
      </w:hyperlink>
      <w:r>
        <w:rPr>
          <w:b w:val="0"/>
          <w:i w:val="0"/>
        </w:rPr>
        <w:t xml:space="preserve">. See </w:t>
      </w:r>
      <w:hyperlink w:anchor="dense-subtle-and-fifth-body">
        <w:r>
          <w:rPr>
            <w:color w:val="000000"/>
          </w:rPr>
          <w:t xml:space="preserve">Dense, subtle and fifth body</w:t>
        </w:r>
      </w:hyperlink>
      <w:r>
        <w:rPr>
          <w:b w:val="0"/>
          <w:i w:val="0"/>
        </w:rPr>
        <w:t>.</w:t>
      </w:r>
    </w:p>
    <w:p>
      <w:pPr>
        <w:keepNext/>
        <w:widowControl/>
      </w:pPr>
      <w:bookmarkStart w:id="1155" w:name="latin-record-0914"/>
      <w:bookmarkEnd w:id="1155"/>
      <w:r>
        <w:rPr>
          <w:b/>
          <w:i w:val="0"/>
        </w:rPr>
        <w:t>per aliud</w:t>
      </w:r>
      <w:r>
        <w:rPr>
          <w:b/>
          <w:i w:val="0"/>
        </w:rPr>
        <w:t>.</w:t>
      </w:r>
      <w:r>
        <w:rPr>
          <w:b w:val="0"/>
          <w:i w:val="0"/>
        </w:rPr>
        <w:t xml:space="preserve"> Printed forms: </w:t>
      </w:r>
      <w:r>
        <w:rPr>
          <w:b w:val="0"/>
          <w:i/>
        </w:rPr>
        <w:t>per aliud</w:t>
      </w:r>
      <w:r>
        <w:rPr>
          <w:b w:val="0"/>
          <w:i w:val="0"/>
        </w:rPr>
        <w:t>.</w:t>
      </w:r>
    </w:p>
    <w:p>
      <w:pPr>
        <w:widowControl/>
      </w:pPr>
      <w:r>
        <w:rPr>
          <w:b w:val="0"/>
          <w:i w:val="0"/>
        </w:rPr>
        <w:t xml:space="preserve">Through another, denoting dependence on a cause, constituent or intermediary. Natural body has all four causal dependencies; a bodily form is related upward through a higher form. References: </w:t>
      </w:r>
      <w:hyperlink w:anchor="passage-v-5-1">
        <w:r>
          <w:rPr>
            <w:color w:val="000000"/>
          </w:rPr>
          <w:t xml:space="preserve">V.5.1</w:t>
        </w:r>
      </w:hyperlink>
      <w:r>
        <w:rPr>
          <w:b w:val="0"/>
          <w:i w:val="0"/>
        </w:rPr>
        <w:t xml:space="preserve">, </w:t>
      </w:r>
      <w:hyperlink w:anchor="passage-v-9-1">
        <w:r>
          <w:rPr>
            <w:color w:val="000000"/>
          </w:rPr>
          <w:t xml:space="preserve">V.9.1</w:t>
        </w:r>
      </w:hyperlink>
      <w:r>
        <w:rPr>
          <w:b w:val="0"/>
          <w:i w:val="0"/>
        </w:rPr>
        <w:t xml:space="preserve">, </w:t>
      </w:r>
      <w:hyperlink w:anchor="passage-v-10-1">
        <w:r>
          <w:rPr>
            <w:color w:val="000000"/>
          </w:rPr>
          <w:t xml:space="preserve">V.10.1</w:t>
        </w:r>
      </w:hyperlink>
      <w:r>
        <w:rPr>
          <w:b w:val="0"/>
          <w:i w:val="0"/>
        </w:rPr>
        <w:t xml:space="preserve">, </w:t>
      </w:r>
      <w:hyperlink w:anchor="passage-v-10-2">
        <w:r>
          <w:rPr>
            <w:color w:val="000000"/>
          </w:rPr>
          <w:t xml:space="preserve">V.10.2</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156" w:name="latin-record-0915"/>
      <w:bookmarkEnd w:id="1156"/>
      <w:r>
        <w:rPr>
          <w:b/>
          <w:i w:val="0"/>
        </w:rPr>
        <w:t>per essentiam; per quantitatem</w:t>
      </w:r>
      <w:r>
        <w:rPr>
          <w:b/>
          <w:i w:val="0"/>
        </w:rPr>
        <w:t>.</w:t>
      </w:r>
      <w:r>
        <w:rPr>
          <w:b w:val="0"/>
          <w:i w:val="0"/>
        </w:rPr>
        <w:t xml:space="preserve"> Printed forms: </w:t>
      </w:r>
      <w:r>
        <w:rPr>
          <w:b w:val="0"/>
          <w:i/>
        </w:rPr>
        <w:t>per essentiam</w:t>
      </w:r>
      <w:r>
        <w:rPr>
          <w:b w:val="0"/>
          <w:i w:val="0"/>
        </w:rPr>
        <w:t xml:space="preserve">; </w:t>
      </w:r>
      <w:r>
        <w:rPr>
          <w:b w:val="0"/>
          <w:i/>
        </w:rPr>
        <w:t>per quantitatem</w:t>
      </w:r>
      <w:r>
        <w:rPr>
          <w:b w:val="0"/>
          <w:i w:val="0"/>
        </w:rPr>
        <w:t>.</w:t>
      </w:r>
    </w:p>
    <w:p>
      <w:pPr>
        <w:widowControl/>
      </w:pPr>
      <w:r>
        <w:rPr>
          <w:b w:val="0"/>
          <w:i w:val="0"/>
        </w:rPr>
        <w:t xml:space="preserve">Presence by essence rather than filling place through extension. Soul gives being where present, so its relation to body is not the placement of another body within a container. References: </w:t>
      </w:r>
      <w:hyperlink w:anchor="passage-vi-6-4">
        <w:r>
          <w:rPr>
            <w:color w:val="000000"/>
          </w:rPr>
          <w:t xml:space="preserve">VI.6.4</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1157" w:name="latin-record-0916"/>
      <w:bookmarkEnd w:id="1157"/>
      <w:r>
        <w:rPr>
          <w:b/>
          <w:i w:val="0"/>
        </w:rPr>
        <w:t>per naturam ac vim propriam</w:t>
      </w:r>
      <w:r>
        <w:rPr>
          <w:b/>
          <w:i w:val="0"/>
        </w:rPr>
        <w:t>.</w:t>
      </w:r>
      <w:r>
        <w:rPr>
          <w:b w:val="0"/>
          <w:i w:val="0"/>
        </w:rPr>
        <w:t xml:space="preserve"> Printed forms: </w:t>
      </w:r>
      <w:r>
        <w:rPr>
          <w:b w:val="0"/>
          <w:i/>
        </w:rPr>
        <w:t>per naturam ac vim propriam</w:t>
      </w:r>
      <w:r>
        <w:rPr>
          <w:b w:val="0"/>
          <w:i w:val="0"/>
        </w:rPr>
        <w:t>.</w:t>
      </w:r>
    </w:p>
    <w:p>
      <w:pPr>
        <w:widowControl/>
      </w:pPr>
      <w:r>
        <w:rPr>
          <w:b w:val="0"/>
          <w:i w:val="0"/>
        </w:rPr>
        <w:t xml:space="preserve">Through one’s own nature and power. The phrase explicitly glosses per se in the account of soul’s discursive self-motion. References: </w:t>
      </w:r>
      <w:hyperlink w:anchor="passage-vi-12-18">
        <w:r>
          <w:rPr>
            <w:color w:val="000000"/>
          </w:rPr>
          <w:t xml:space="preserve">VI.12.18</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1158" w:name="latin-record-0917"/>
      <w:bookmarkEnd w:id="1158"/>
      <w:r>
        <w:rPr>
          <w:b/>
          <w:i w:val="0"/>
        </w:rPr>
        <w:t>per omnia</w:t>
      </w:r>
      <w:r>
        <w:rPr>
          <w:b/>
          <w:i w:val="0"/>
        </w:rPr>
        <w:t>.</w:t>
      </w:r>
      <w:r>
        <w:rPr>
          <w:b w:val="0"/>
          <w:i w:val="0"/>
        </w:rPr>
        <w:t xml:space="preserve"> Printed forms: </w:t>
      </w:r>
      <w:r>
        <w:rPr>
          <w:b w:val="0"/>
          <w:i/>
        </w:rPr>
        <w:t>per omnia</w:t>
      </w:r>
      <w:r>
        <w:rPr>
          <w:b w:val="0"/>
          <w:i w:val="0"/>
        </w:rPr>
        <w:t>.</w:t>
      </w:r>
    </w:p>
    <w:p>
      <w:pPr>
        <w:widowControl/>
      </w:pPr>
      <w:r>
        <w:rPr>
          <w:b w:val="0"/>
          <w:i w:val="0"/>
        </w:rPr>
        <w:t xml:space="preserve">Through all things, marking an unrestricted range across kinds of objects. The repeated phrase contrasts intellect with sight restricted to colours and hearing restricted to sounds. Its scope includes present, past and future things, unrealized possibilities and imagined impossibilities; representation does not establish external actuality or possibility. References: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159" w:name="latin-record-0918"/>
      <w:bookmarkEnd w:id="1159"/>
      <w:r>
        <w:rPr>
          <w:b/>
          <w:i w:val="0"/>
        </w:rPr>
        <w:t>per se</w:t>
      </w:r>
      <w:r>
        <w:rPr>
          <w:b/>
          <w:i w:val="0"/>
        </w:rPr>
        <w:t>.</w:t>
      </w:r>
      <w:r>
        <w:rPr>
          <w:b w:val="0"/>
          <w:i w:val="0"/>
        </w:rPr>
        <w:t xml:space="preserve"> Printed forms: </w:t>
      </w:r>
      <w:r>
        <w:rPr>
          <w:b w:val="0"/>
          <w:i/>
        </w:rPr>
        <w:t>per se</w:t>
      </w:r>
      <w:r>
        <w:rPr>
          <w:b w:val="0"/>
          <w:i w:val="0"/>
        </w:rPr>
        <w:t xml:space="preserve">; </w:t>
      </w:r>
      <w:r>
        <w:rPr>
          <w:b w:val="0"/>
          <w:i/>
        </w:rPr>
        <w:t>per se ipsam</w:t>
      </w:r>
      <w:r>
        <w:rPr>
          <w:b w:val="0"/>
          <w:i w:val="0"/>
        </w:rPr>
        <w:t xml:space="preserve">; </w:t>
      </w:r>
      <w:r>
        <w:rPr>
          <w:b w:val="0"/>
          <w:i/>
        </w:rPr>
        <w:t>per seipsam</w:t>
      </w:r>
      <w:r>
        <w:rPr>
          <w:b w:val="0"/>
          <w:i w:val="0"/>
        </w:rPr>
        <w:t xml:space="preserve">; </w:t>
      </w:r>
      <w:r>
        <w:rPr>
          <w:b w:val="0"/>
          <w:i/>
        </w:rPr>
        <w:t>per semet ipsam</w:t>
      </w:r>
      <w:r>
        <w:rPr>
          <w:b w:val="0"/>
          <w:i w:val="0"/>
        </w:rPr>
        <w:t>.</w:t>
      </w:r>
    </w:p>
    <w:p>
      <w:pPr>
        <w:widowControl/>
      </w:pPr>
      <w:r>
        <w:rPr>
          <w:b w:val="0"/>
          <w:i w:val="0"/>
        </w:rPr>
        <w:t xml:space="preserve">Through itself or in its own right, with the relevant independence specified by context. God alone excludes all causal dependence; the created soul excludes bodily support while remaining dependent on its efficient source. References: </w:t>
      </w:r>
      <w:hyperlink w:anchor="passage-v-5-1">
        <w:r>
          <w:rPr>
            <w:color w:val="000000"/>
          </w:rPr>
          <w:t xml:space="preserve">V.5.1</w:t>
        </w:r>
      </w:hyperlink>
      <w:r>
        <w:rPr>
          <w:b w:val="0"/>
          <w:i w:val="0"/>
        </w:rPr>
        <w:t xml:space="preserve">, </w:t>
      </w:r>
      <w:hyperlink w:anchor="passage-v-5-8">
        <w:r>
          <w:rPr>
            <w:color w:val="000000"/>
          </w:rPr>
          <w:t xml:space="preserve">V.5.8</w:t>
        </w:r>
      </w:hyperlink>
      <w:r>
        <w:rPr>
          <w:b w:val="0"/>
          <w:i w:val="0"/>
        </w:rPr>
        <w:t xml:space="preserve">, </w:t>
      </w:r>
      <w:hyperlink w:anchor="passage-v-9-4">
        <w:r>
          <w:rPr>
            <w:color w:val="000000"/>
          </w:rPr>
          <w:t xml:space="preserve">V.9.4</w:t>
        </w:r>
      </w:hyperlink>
      <w:r>
        <w:rPr>
          <w:b w:val="0"/>
          <w:i w:val="0"/>
        </w:rPr>
        <w:t xml:space="preserve">, </w:t>
      </w:r>
      <w:hyperlink w:anchor="passage-v-10-3">
        <w:r>
          <w:rPr>
            <w:color w:val="000000"/>
          </w:rPr>
          <w:t xml:space="preserve">V.10.3</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160" w:name="latin-record-0919"/>
      <w:bookmarkEnd w:id="1160"/>
      <w:r>
        <w:rPr>
          <w:b/>
          <w:i w:val="0"/>
        </w:rPr>
        <w:t>per se convenire</w:t>
      </w:r>
      <w:r>
        <w:rPr>
          <w:b/>
          <w:i w:val="0"/>
        </w:rPr>
        <w:t>.</w:t>
      </w:r>
      <w:r>
        <w:rPr>
          <w:b w:val="0"/>
          <w:i w:val="0"/>
        </w:rPr>
        <w:t xml:space="preserve"> Printed forms: </w:t>
      </w:r>
      <w:r>
        <w:rPr>
          <w:b w:val="0"/>
          <w:i/>
        </w:rPr>
        <w:t>per se congruit</w:t>
      </w:r>
      <w:r>
        <w:rPr>
          <w:b w:val="0"/>
          <w:i w:val="0"/>
        </w:rPr>
        <w:t xml:space="preserve">; </w:t>
      </w:r>
      <w:r>
        <w:rPr>
          <w:b w:val="0"/>
          <w:i/>
        </w:rPr>
        <w:t>per se conveniat</w:t>
      </w:r>
      <w:r>
        <w:rPr>
          <w:b w:val="0"/>
          <w:i w:val="0"/>
        </w:rPr>
        <w:t xml:space="preserve">; </w:t>
      </w:r>
      <w:r>
        <w:rPr>
          <w:b w:val="0"/>
          <w:i/>
        </w:rPr>
        <w:t>per se convenit</w:t>
      </w:r>
      <w:r>
        <w:rPr>
          <w:b w:val="0"/>
          <w:i w:val="0"/>
        </w:rPr>
        <w:t>.</w:t>
      </w:r>
    </w:p>
    <w:p>
      <w:pPr>
        <w:widowControl/>
      </w:pPr>
      <w:r>
        <w:rPr>
          <w:b w:val="0"/>
          <w:i w:val="0"/>
        </w:rPr>
        <w:t xml:space="preserve">To belong in its own right or according to a thing’s nature. Ficino applies the formula both to intrinsic predicates and to being, then must distinguish materially conditional from self-subsisting forms. References: </w:t>
      </w:r>
      <w:hyperlink w:anchor="passage-v-9-1">
        <w:r>
          <w:rPr>
            <w:color w:val="000000"/>
          </w:rPr>
          <w:t xml:space="preserve">V.9.1</w:t>
        </w:r>
      </w:hyperlink>
      <w:r>
        <w:rPr>
          <w:b w:val="0"/>
          <w:i w:val="0"/>
        </w:rPr>
        <w:t xml:space="preserve">, </w:t>
      </w:r>
      <w:hyperlink w:anchor="passage-v-9-2">
        <w:r>
          <w:rPr>
            <w:color w:val="000000"/>
          </w:rPr>
          <w:t xml:space="preserve">V.9.2</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161" w:name="latin-record-0920"/>
      <w:bookmarkEnd w:id="1161"/>
      <w:r>
        <w:rPr>
          <w:b/>
          <w:i w:val="0"/>
        </w:rPr>
        <w:t>per se et primo</w:t>
      </w:r>
      <w:r>
        <w:rPr>
          <w:b/>
          <w:i w:val="0"/>
        </w:rPr>
        <w:t>.</w:t>
      </w:r>
      <w:r>
        <w:rPr>
          <w:b w:val="0"/>
          <w:i w:val="0"/>
        </w:rPr>
        <w:t xml:space="preserve"> Printed forms: </w:t>
      </w:r>
      <w:r>
        <w:rPr>
          <w:b w:val="0"/>
          <w:i/>
        </w:rPr>
        <w:t>per se ipsum mobile</w:t>
      </w:r>
      <w:r>
        <w:rPr>
          <w:b w:val="0"/>
          <w:i w:val="0"/>
        </w:rPr>
        <w:t xml:space="preserve">; </w:t>
      </w:r>
      <w:r>
        <w:rPr>
          <w:b w:val="0"/>
          <w:i/>
        </w:rPr>
        <w:t>primo</w:t>
      </w:r>
      <w:r>
        <w:rPr>
          <w:b w:val="0"/>
          <w:i w:val="0"/>
        </w:rPr>
        <w:t xml:space="preserve">; </w:t>
      </w:r>
      <w:r>
        <w:rPr>
          <w:b w:val="0"/>
          <w:i/>
        </w:rPr>
        <w:t>secundum se totum</w:t>
      </w:r>
      <w:r>
        <w:rPr>
          <w:b w:val="0"/>
          <w:i w:val="0"/>
        </w:rPr>
        <w:t>.</w:t>
      </w:r>
    </w:p>
    <w:p>
      <w:pPr>
        <w:widowControl/>
      </w:pPr>
      <w:r>
        <w:rPr>
          <w:b w:val="0"/>
          <w:i w:val="0"/>
        </w:rPr>
        <w:t xml:space="preserve">Primarily self-moving throughout one’s nature. The source and recipient must be the same whole reality, not a collection borrowing movement from a special part. References: </w:t>
      </w:r>
      <w:hyperlink w:anchor="passage-vi-12-1">
        <w:r>
          <w:rPr>
            <w:color w:val="000000"/>
          </w:rPr>
          <w:t xml:space="preserve">VI.12.1</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162" w:name="latin-record-0921"/>
      <w:bookmarkEnd w:id="1162"/>
      <w:r>
        <w:rPr>
          <w:b/>
          <w:i w:val="0"/>
        </w:rPr>
        <w:t>per se exsistere / operari</w:t>
      </w:r>
      <w:r>
        <w:rPr>
          <w:b/>
          <w:i w:val="0"/>
        </w:rPr>
        <w:t>.</w:t>
      </w:r>
      <w:r>
        <w:rPr>
          <w:b w:val="0"/>
          <w:i w:val="0"/>
        </w:rPr>
        <w:t xml:space="preserve"> Printed forms: </w:t>
      </w:r>
      <w:r>
        <w:rPr>
          <w:b w:val="0"/>
          <w:i/>
        </w:rPr>
        <w:t>exsistit</w:t>
      </w:r>
      <w:r>
        <w:rPr>
          <w:b w:val="0"/>
          <w:i w:val="0"/>
        </w:rPr>
        <w:t xml:space="preserve">; </w:t>
      </w:r>
      <w:r>
        <w:rPr>
          <w:b w:val="0"/>
          <w:i/>
        </w:rPr>
        <w:t>extiterit</w:t>
      </w:r>
      <w:r>
        <w:rPr>
          <w:b w:val="0"/>
          <w:i w:val="0"/>
        </w:rPr>
        <w:t xml:space="preserve">; </w:t>
      </w:r>
      <w:r>
        <w:rPr>
          <w:b w:val="0"/>
          <w:i/>
        </w:rPr>
        <w:t>operabitur</w:t>
      </w:r>
      <w:r>
        <w:rPr>
          <w:b w:val="0"/>
          <w:i w:val="0"/>
        </w:rPr>
        <w:t xml:space="preserve">; </w:t>
      </w:r>
      <w:r>
        <w:rPr>
          <w:b w:val="0"/>
          <w:i/>
        </w:rPr>
        <w:t>per se aliquid operabitur</w:t>
      </w:r>
      <w:r>
        <w:rPr>
          <w:b w:val="0"/>
          <w:i w:val="0"/>
        </w:rPr>
        <w:t xml:space="preserve">; </w:t>
      </w:r>
      <w:r>
        <w:rPr>
          <w:b w:val="0"/>
          <w:i/>
        </w:rPr>
        <w:t>per se exsistit</w:t>
      </w:r>
      <w:r>
        <w:rPr>
          <w:b w:val="0"/>
          <w:i w:val="0"/>
        </w:rPr>
        <w:t xml:space="preserve">; </w:t>
      </w:r>
      <w:r>
        <w:rPr>
          <w:b w:val="0"/>
          <w:i/>
        </w:rPr>
        <w:t>per se ipsum</w:t>
      </w:r>
      <w:r>
        <w:rPr>
          <w:b w:val="0"/>
          <w:i w:val="0"/>
        </w:rPr>
        <w:t>.</w:t>
      </w:r>
    </w:p>
    <w:p>
      <w:pPr>
        <w:widowControl/>
      </w:pPr>
      <w:r>
        <w:rPr>
          <w:b w:val="0"/>
          <w:i w:val="0"/>
        </w:rPr>
        <w:t xml:space="preserve">To exist or act through oneself. The closing inference links independent activity with independent existence, a relation lost if soul is merely an effect of strings or humors.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1163" w:name="latin-record-0922"/>
      <w:bookmarkEnd w:id="1163"/>
      <w:r>
        <w:rPr>
          <w:b/>
          <w:i w:val="0"/>
        </w:rPr>
        <w:t>per se; quodammodo; proprie</w:t>
      </w:r>
      <w:r>
        <w:rPr>
          <w:b/>
          <w:i w:val="0"/>
        </w:rPr>
        <w:t>.</w:t>
      </w:r>
      <w:r>
        <w:rPr>
          <w:b w:val="0"/>
          <w:i w:val="0"/>
        </w:rPr>
        <w:t xml:space="preserve"> Printed forms: </w:t>
      </w:r>
      <w:r>
        <w:rPr>
          <w:b w:val="0"/>
          <w:i/>
        </w:rPr>
        <w:t>ceu</w:t>
      </w:r>
      <w:r>
        <w:rPr>
          <w:b w:val="0"/>
          <w:i w:val="0"/>
        </w:rPr>
        <w:t xml:space="preserve">; </w:t>
      </w:r>
      <w:r>
        <w:rPr>
          <w:b w:val="0"/>
          <w:i/>
        </w:rPr>
        <w:t>per se</w:t>
      </w:r>
      <w:r>
        <w:rPr>
          <w:b w:val="0"/>
          <w:i w:val="0"/>
        </w:rPr>
        <w:t xml:space="preserve">; </w:t>
      </w:r>
      <w:r>
        <w:rPr>
          <w:b w:val="0"/>
          <w:i/>
        </w:rPr>
        <w:t>proprie</w:t>
      </w:r>
      <w:r>
        <w:rPr>
          <w:b w:val="0"/>
          <w:i w:val="0"/>
        </w:rPr>
        <w:t xml:space="preserve">; </w:t>
      </w:r>
      <w:r>
        <w:rPr>
          <w:b w:val="0"/>
          <w:i/>
        </w:rPr>
        <w:t>quasi</w:t>
      </w:r>
      <w:r>
        <w:rPr>
          <w:b w:val="0"/>
          <w:i w:val="0"/>
        </w:rPr>
        <w:t xml:space="preserve">; </w:t>
      </w:r>
      <w:r>
        <w:rPr>
          <w:b w:val="0"/>
          <w:i/>
        </w:rPr>
        <w:t>quodammodo</w:t>
      </w:r>
      <w:r>
        <w:rPr>
          <w:b w:val="0"/>
          <w:i w:val="0"/>
        </w:rPr>
        <w:t xml:space="preserve">; </w:t>
      </w:r>
      <w:r>
        <w:rPr>
          <w:b w:val="0"/>
          <w:i/>
        </w:rPr>
        <w:t>revera</w:t>
      </w:r>
      <w:r>
        <w:rPr>
          <w:b w:val="0"/>
          <w:i w:val="0"/>
        </w:rPr>
        <w:t xml:space="preserve">; </w:t>
      </w:r>
      <w:r>
        <w:rPr>
          <w:b w:val="0"/>
          <w:i/>
        </w:rPr>
        <w:t>tamquam</w:t>
      </w:r>
      <w:r>
        <w:rPr>
          <w:b w:val="0"/>
          <w:i w:val="0"/>
        </w:rPr>
        <w:t>.</w:t>
      </w:r>
    </w:p>
    <w:p>
      <w:pPr>
        <w:widowControl/>
      </w:pPr>
      <w:r>
        <w:rPr>
          <w:b w:val="0"/>
          <w:i w:val="0"/>
        </w:rPr>
        <w:t xml:space="preserve">Through oneself, in a qualified manner, properly, in truth and as if: markers of mode and qualification. Ficino distinguishes primary self-motion from bodily apparent self-motion and analogies from literal identity; these small modifiers carry the limit of the claim. References: </w:t>
      </w:r>
      <w:hyperlink w:anchor="passage-vi-1-5">
        <w:r>
          <w:rPr>
            <w:color w:val="000000"/>
          </w:rPr>
          <w:t xml:space="preserve">VI.1.5</w:t>
        </w:r>
      </w:hyperlink>
      <w:r>
        <w:rPr>
          <w:b w:val="0"/>
          <w:i w:val="0"/>
        </w:rPr>
        <w:t xml:space="preserve">, </w:t>
      </w:r>
      <w:hyperlink w:anchor="passage-vi-2-9">
        <w:r>
          <w:rPr>
            <w:color w:val="000000"/>
          </w:rPr>
          <w:t xml:space="preserve">VI.2.9</w:t>
        </w:r>
      </w:hyperlink>
      <w:r>
        <w:rPr>
          <w:b w:val="0"/>
          <w:i w:val="0"/>
        </w:rPr>
        <w:t xml:space="preserve">, </w:t>
      </w:r>
      <w:hyperlink w:anchor="passage-vi-5-4">
        <w:r>
          <w:rPr>
            <w:color w:val="000000"/>
          </w:rPr>
          <w:t xml:space="preserve">VI.5.4</w:t>
        </w:r>
      </w:hyperlink>
      <w:r>
        <w:rPr>
          <w:b w:val="0"/>
          <w:i w:val="0"/>
        </w:rPr>
        <w:t xml:space="preserve">, </w:t>
      </w:r>
      <w:hyperlink w:anchor="passage-vi-12-8">
        <w:r>
          <w:rPr>
            <w:color w:val="000000"/>
          </w:rPr>
          <w:t xml:space="preserve">VI.12.8</w:t>
        </w:r>
      </w:hyperlink>
      <w:r>
        <w:rPr>
          <w:b w:val="0"/>
          <w:i w:val="0"/>
        </w:rPr>
        <w:t xml:space="preserve">, </w:t>
      </w:r>
      <w:hyperlink w:anchor="passage-vi-12-20">
        <w:r>
          <w:rPr>
            <w:color w:val="000000"/>
          </w:rPr>
          <w:t xml:space="preserve">VI.12.20</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164" w:name="latin-record-0923"/>
      <w:bookmarkEnd w:id="1164"/>
      <w:r>
        <w:rPr>
          <w:b/>
          <w:i w:val="0"/>
        </w:rPr>
        <w:t>per sui naturam</w:t>
      </w:r>
      <w:r>
        <w:rPr>
          <w:b/>
          <w:i w:val="0"/>
        </w:rPr>
        <w:t>.</w:t>
      </w:r>
      <w:r>
        <w:rPr>
          <w:b w:val="0"/>
          <w:i w:val="0"/>
        </w:rPr>
        <w:t xml:space="preserve"> Printed forms: </w:t>
      </w:r>
      <w:r>
        <w:rPr>
          <w:b w:val="0"/>
          <w:i/>
        </w:rPr>
        <w:t>per naturam suam</w:t>
      </w:r>
      <w:r>
        <w:rPr>
          <w:b w:val="0"/>
          <w:i w:val="0"/>
        </w:rPr>
        <w:t xml:space="preserve">; </w:t>
      </w:r>
      <w:r>
        <w:rPr>
          <w:b w:val="0"/>
          <w:i/>
        </w:rPr>
        <w:t>per sui naturam</w:t>
      </w:r>
      <w:r>
        <w:rPr>
          <w:b w:val="0"/>
          <w:i w:val="0"/>
        </w:rPr>
        <w:t xml:space="preserve">; </w:t>
      </w:r>
      <w:r>
        <w:rPr>
          <w:b w:val="0"/>
          <w:i/>
        </w:rPr>
        <w:t>secundum naturam suam</w:t>
      </w:r>
      <w:r>
        <w:rPr>
          <w:b w:val="0"/>
          <w:i w:val="0"/>
        </w:rPr>
        <w:t>.</w:t>
      </w:r>
    </w:p>
    <w:p>
      <w:pPr>
        <w:widowControl/>
      </w:pPr>
      <w:r>
        <w:rPr>
          <w:b w:val="0"/>
          <w:i w:val="0"/>
        </w:rPr>
        <w:t xml:space="preserve">According to or through its own nature, Ficino’s explicit explanation of per se. A form’s own nature includes the mode assigned by its maker, whether material inherence or self-subsistence. References: </w:t>
      </w:r>
      <w:hyperlink w:anchor="passage-v-9-2">
        <w:r>
          <w:rPr>
            <w:color w:val="000000"/>
          </w:rPr>
          <w:t xml:space="preserve">V.9.2</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165" w:name="latin-record-0924"/>
      <w:bookmarkEnd w:id="1165"/>
      <w:r>
        <w:rPr>
          <w:b/>
          <w:i w:val="0"/>
        </w:rPr>
        <w:t>perceptio / animadversio / phantasia</w:t>
      </w:r>
      <w:r>
        <w:rPr>
          <w:b/>
          <w:i w:val="0"/>
        </w:rPr>
        <w:t>.</w:t>
      </w:r>
      <w:r>
        <w:rPr>
          <w:b w:val="0"/>
          <w:i w:val="0"/>
        </w:rPr>
        <w:t xml:space="preserve"> Printed forms: </w:t>
      </w:r>
      <w:r>
        <w:rPr>
          <w:b w:val="0"/>
          <w:i/>
        </w:rPr>
        <w:t>animadversionem</w:t>
      </w:r>
      <w:r>
        <w:rPr>
          <w:b w:val="0"/>
          <w:i w:val="0"/>
        </w:rPr>
        <w:t xml:space="preserve">; </w:t>
      </w:r>
      <w:r>
        <w:rPr>
          <w:b w:val="0"/>
          <w:i/>
        </w:rPr>
        <w:t>animadvertit</w:t>
      </w:r>
      <w:r>
        <w:rPr>
          <w:b w:val="0"/>
          <w:i w:val="0"/>
        </w:rPr>
        <w:t xml:space="preserve">; </w:t>
      </w:r>
      <w:r>
        <w:rPr>
          <w:b w:val="0"/>
          <w:i/>
        </w:rPr>
        <w:t>perceptionem</w:t>
      </w:r>
      <w:r>
        <w:rPr>
          <w:b w:val="0"/>
          <w:i w:val="0"/>
        </w:rPr>
        <w:t xml:space="preserve">; </w:t>
      </w:r>
      <w:r>
        <w:rPr>
          <w:b w:val="0"/>
          <w:i/>
        </w:rPr>
        <w:t>percipit</w:t>
      </w:r>
      <w:r>
        <w:rPr>
          <w:b w:val="0"/>
          <w:i w:val="0"/>
        </w:rPr>
        <w:t xml:space="preserve">; </w:t>
      </w:r>
      <w:r>
        <w:rPr>
          <w:b w:val="0"/>
          <w:i/>
        </w:rPr>
        <w:t>phantasiam</w:t>
      </w:r>
      <w:r>
        <w:rPr>
          <w:b w:val="0"/>
          <w:i w:val="0"/>
        </w:rPr>
        <w:t>.</w:t>
      </w:r>
    </w:p>
    <w:p>
      <w:pPr>
        <w:widowControl/>
      </w:pPr>
      <w:r>
        <w:rPr>
          <w:b w:val="0"/>
          <w:i w:val="0"/>
        </w:rPr>
        <w:t xml:space="preserve">Perception, attentive awareness and imagination. The passage first calls perception sensation, then calls attending to and judging that perception imagination. References: </w:t>
      </w:r>
      <w:hyperlink w:anchor="passage-vii-6-1">
        <w:r>
          <w:rPr>
            <w:color w:val="000000"/>
          </w:rPr>
          <w:t xml:space="preserve">VII.6.1</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166" w:name="latin-record-0925"/>
      <w:bookmarkEnd w:id="1166"/>
      <w:r>
        <w:rPr>
          <w:b/>
          <w:i w:val="0"/>
        </w:rPr>
        <w:t>percipere (undergoing affection)</w:t>
      </w:r>
      <w:r>
        <w:rPr>
          <w:b/>
          <w:i w:val="0"/>
        </w:rPr>
        <w:t>.</w:t>
      </w:r>
      <w:r>
        <w:rPr>
          <w:b w:val="0"/>
          <w:i w:val="0"/>
        </w:rPr>
        <w:t xml:space="preserve"> Printed forms: </w:t>
      </w:r>
      <w:r>
        <w:rPr>
          <w:b w:val="0"/>
          <w:i/>
        </w:rPr>
        <w:t>percipit</w:t>
      </w:r>
      <w:r>
        <w:rPr>
          <w:b w:val="0"/>
          <w:i w:val="0"/>
        </w:rPr>
        <w:t>.</w:t>
      </w:r>
    </w:p>
    <w:p>
      <w:pPr>
        <w:widowControl/>
      </w:pPr>
      <w:r>
        <w:rPr>
          <w:b w:val="0"/>
          <w:i w:val="0"/>
        </w:rPr>
        <w:t xml:space="preserve">To receive or undergo an affection in this construction, rather than necessarily to apprehend an object cognitively. The soul receives a certain bodily passion in its operative capacity while its essence remains exempt. The sense is controlled by corporalem aliquam percipit passionem and differs from the cognitive use of percipere elsewhere. References: </w:t>
      </w:r>
      <w:hyperlink w:anchor="passage-v-3-1">
        <w:r>
          <w:rPr>
            <w:color w:val="000000"/>
          </w:rPr>
          <w:t xml:space="preserve">V.3.1</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1167" w:name="latin-record-0926"/>
      <w:bookmarkEnd w:id="1167"/>
      <w:r>
        <w:rPr>
          <w:b/>
          <w:i w:val="0"/>
        </w:rPr>
        <w:t>perdere / laedere</w:t>
      </w:r>
      <w:r>
        <w:rPr>
          <w:b/>
          <w:i w:val="0"/>
        </w:rPr>
        <w:t>.</w:t>
      </w:r>
      <w:r>
        <w:rPr>
          <w:b w:val="0"/>
          <w:i w:val="0"/>
        </w:rPr>
        <w:t xml:space="preserve"> Printed forms: </w:t>
      </w:r>
      <w:r>
        <w:rPr>
          <w:b w:val="0"/>
          <w:i/>
        </w:rPr>
        <w:t>laederetur</w:t>
      </w:r>
      <w:r>
        <w:rPr>
          <w:b w:val="0"/>
          <w:i w:val="0"/>
        </w:rPr>
        <w:t xml:space="preserve">; </w:t>
      </w:r>
      <w:r>
        <w:rPr>
          <w:b w:val="0"/>
          <w:i/>
        </w:rPr>
        <w:t>perdit</w:t>
      </w:r>
      <w:r>
        <w:rPr>
          <w:b w:val="0"/>
          <w:i w:val="0"/>
        </w:rPr>
        <w:t>.</w:t>
      </w:r>
    </w:p>
    <w:p>
      <w:pPr>
        <w:widowControl/>
      </w:pPr>
      <w:r>
        <w:rPr>
          <w:b w:val="0"/>
          <w:i w:val="0"/>
        </w:rPr>
        <w:t xml:space="preserve">To destroy or impair. If the soul were cut as the flesh is cut, its power and operation would be impaired when they should be accurately perceiving the cut. References: </w:t>
      </w:r>
      <w:hyperlink w:anchor="passage-vii-6-2">
        <w:r>
          <w:rPr>
            <w:color w:val="000000"/>
          </w:rPr>
          <w:t xml:space="preserve">VII.6.2</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1168" w:name="latin-record-0927"/>
      <w:bookmarkEnd w:id="1168"/>
      <w:r>
        <w:rPr>
          <w:b/>
          <w:i w:val="0"/>
        </w:rPr>
        <w:t>perfectus; imperfectus; perficere</w:t>
      </w:r>
      <w:r>
        <w:rPr>
          <w:b/>
          <w:i w:val="0"/>
        </w:rPr>
        <w:t>.</w:t>
      </w:r>
      <w:r>
        <w:rPr>
          <w:b w:val="0"/>
          <w:i w:val="0"/>
        </w:rPr>
        <w:t xml:space="preserve"> Printed forms: </w:t>
      </w:r>
      <w:r>
        <w:rPr>
          <w:b w:val="0"/>
          <w:i/>
        </w:rPr>
        <w:t>imperfecta</w:t>
      </w:r>
      <w:r>
        <w:rPr>
          <w:b w:val="0"/>
          <w:i w:val="0"/>
        </w:rPr>
        <w:t xml:space="preserve">; </w:t>
      </w:r>
      <w:r>
        <w:rPr>
          <w:b w:val="0"/>
          <w:i/>
        </w:rPr>
        <w:t>imperfectae</w:t>
      </w:r>
      <w:r>
        <w:rPr>
          <w:b w:val="0"/>
          <w:i w:val="0"/>
        </w:rPr>
        <w:t xml:space="preserve">; </w:t>
      </w:r>
      <w:r>
        <w:rPr>
          <w:b w:val="0"/>
          <w:i/>
        </w:rPr>
        <w:t>imperfectum</w:t>
      </w:r>
      <w:r>
        <w:rPr>
          <w:b w:val="0"/>
          <w:i w:val="0"/>
        </w:rPr>
        <w:t xml:space="preserve">; </w:t>
      </w:r>
      <w:r>
        <w:rPr>
          <w:b w:val="0"/>
          <w:i/>
        </w:rPr>
        <w:t>perfecta</w:t>
      </w:r>
      <w:r>
        <w:rPr>
          <w:b w:val="0"/>
          <w:i w:val="0"/>
        </w:rPr>
        <w:t xml:space="preserve">; </w:t>
      </w:r>
      <w:r>
        <w:rPr>
          <w:b w:val="0"/>
          <w:i/>
        </w:rPr>
        <w:t>perfecte</w:t>
      </w:r>
      <w:r>
        <w:rPr>
          <w:b w:val="0"/>
          <w:i w:val="0"/>
        </w:rPr>
        <w:t xml:space="preserve">; </w:t>
      </w:r>
      <w:r>
        <w:rPr>
          <w:b w:val="0"/>
          <w:i/>
        </w:rPr>
        <w:t>perfectissima</w:t>
      </w:r>
      <w:r>
        <w:rPr>
          <w:b w:val="0"/>
          <w:i w:val="0"/>
        </w:rPr>
        <w:t xml:space="preserve">; </w:t>
      </w:r>
      <w:r>
        <w:rPr>
          <w:b w:val="0"/>
          <w:i/>
        </w:rPr>
        <w:t>perfectum</w:t>
      </w:r>
      <w:r>
        <w:rPr>
          <w:b w:val="0"/>
          <w:i w:val="0"/>
        </w:rPr>
        <w:t xml:space="preserve">; </w:t>
      </w:r>
      <w:r>
        <w:rPr>
          <w:b w:val="0"/>
          <w:i/>
        </w:rPr>
        <w:t>perficere</w:t>
      </w:r>
      <w:r>
        <w:rPr>
          <w:b w:val="0"/>
          <w:i w:val="0"/>
        </w:rPr>
        <w:t xml:space="preserve">; </w:t>
      </w:r>
      <w:r>
        <w:rPr>
          <w:b w:val="0"/>
          <w:i/>
        </w:rPr>
        <w:t>perficit</w:t>
      </w:r>
      <w:r>
        <w:rPr>
          <w:b w:val="0"/>
          <w:i w:val="0"/>
        </w:rPr>
        <w:t xml:space="preserve">; </w:t>
      </w:r>
      <w:r>
        <w:rPr>
          <w:b w:val="0"/>
          <w:i/>
        </w:rPr>
        <w:t>perficitur</w:t>
      </w:r>
      <w:r>
        <w:rPr>
          <w:b w:val="0"/>
          <w:i w:val="0"/>
        </w:rPr>
        <w:t>.</w:t>
      </w:r>
    </w:p>
    <w:p>
      <w:pPr>
        <w:widowControl/>
      </w:pPr>
      <w:r>
        <w:rPr>
          <w:b w:val="0"/>
          <w:i w:val="0"/>
        </w:rPr>
        <w:t xml:space="preserve">Complete or perfected, incomplete, and bringing to completion. A complete agent is required to form an image, while form perfects matter and reason corrects sense; this is usually operative or metaphysical completion, not moral perfection. References: </w:t>
      </w:r>
      <w:hyperlink w:anchor="passage-vi-2-7">
        <w:r>
          <w:rPr>
            <w:color w:val="000000"/>
          </w:rPr>
          <w:t xml:space="preserve">VI.2.7</w:t>
        </w:r>
      </w:hyperlink>
      <w:r>
        <w:rPr>
          <w:b w:val="0"/>
          <w:i w:val="0"/>
        </w:rPr>
        <w:t xml:space="preserve">, </w:t>
      </w:r>
      <w:hyperlink w:anchor="passage-vi-2-10">
        <w:r>
          <w:rPr>
            <w:color w:val="000000"/>
          </w:rPr>
          <w:t xml:space="preserve">VI.2.10</w:t>
        </w:r>
      </w:hyperlink>
      <w:r>
        <w:rPr>
          <w:b w:val="0"/>
          <w:i w:val="0"/>
        </w:rPr>
        <w:t xml:space="preserve">, </w:t>
      </w:r>
      <w:hyperlink w:anchor="passage-vi-2-12">
        <w:r>
          <w:rPr>
            <w:color w:val="000000"/>
          </w:rPr>
          <w:t xml:space="preserve">VI.2.12</w:t>
        </w:r>
      </w:hyperlink>
      <w:r>
        <w:rPr>
          <w:b w:val="0"/>
          <w:i w:val="0"/>
        </w:rPr>
        <w:t xml:space="preserve">, </w:t>
      </w:r>
      <w:hyperlink w:anchor="passage-vi-2-20">
        <w:r>
          <w:rPr>
            <w:color w:val="000000"/>
          </w:rPr>
          <w:t xml:space="preserve">VI.2.20</w:t>
        </w:r>
      </w:hyperlink>
      <w:r>
        <w:rPr>
          <w:b w:val="0"/>
          <w:i w:val="0"/>
        </w:rPr>
        <w:t xml:space="preserve">, </w:t>
      </w:r>
      <w:hyperlink w:anchor="passage-vi-7-2">
        <w:r>
          <w:rPr>
            <w:color w:val="000000"/>
          </w:rPr>
          <w:t xml:space="preserve">VI.7.2</w:t>
        </w:r>
      </w:hyperlink>
      <w:r>
        <w:rPr>
          <w:b w:val="0"/>
          <w:i w:val="0"/>
        </w:rPr>
        <w:t xml:space="preserve">, </w:t>
      </w:r>
      <w:hyperlink w:anchor="passage-vi-12-1">
        <w:r>
          <w:rPr>
            <w:color w:val="000000"/>
          </w:rPr>
          <w:t xml:space="preserve">VI.12.1</w:t>
        </w:r>
      </w:hyperlink>
      <w:r>
        <w:rPr>
          <w:b w:val="0"/>
          <w:i w:val="0"/>
        </w:rPr>
        <w:t xml:space="preserve">, </w:t>
      </w:r>
      <w:hyperlink w:anchor="passage-vi-12-11">
        <w:r>
          <w:rPr>
            <w:color w:val="000000"/>
          </w:rPr>
          <w:t xml:space="preserve">VI.12.11</w:t>
        </w:r>
      </w:hyperlink>
      <w:r>
        <w:rPr>
          <w:b w:val="0"/>
          <w:i w:val="0"/>
        </w:rPr>
        <w:t xml:space="preserve">, </w:t>
      </w:r>
      <w:hyperlink w:anchor="passage-vi-13-11">
        <w:r>
          <w:rPr>
            <w:color w:val="000000"/>
          </w:rPr>
          <w:t xml:space="preserve">VI.13.11</w:t>
        </w:r>
      </w:hyperlink>
      <w:r>
        <w:rPr>
          <w:b w:val="0"/>
          <w:i w:val="0"/>
        </w:rPr>
        <w:t xml:space="preserve">. See </w:t>
      </w:r>
      <w:hyperlink w:anchor="images-migration-and-perfect-agent">
        <w:r>
          <w:rPr>
            <w:color w:val="000000"/>
          </w:rPr>
          <w:t xml:space="preserve">Images, migration and the perfect agent</w:t>
        </w:r>
      </w:hyperlink>
      <w:r>
        <w:rPr>
          <w:b w:val="0"/>
          <w:i w:val="0"/>
        </w:rPr>
        <w:t>.</w:t>
      </w:r>
    </w:p>
    <w:p>
      <w:pPr>
        <w:keepNext/>
        <w:widowControl/>
      </w:pPr>
      <w:bookmarkStart w:id="1169" w:name="latin-record-0928"/>
      <w:bookmarkEnd w:id="1169"/>
      <w:r>
        <w:rPr>
          <w:b/>
          <w:i w:val="0"/>
        </w:rPr>
        <w:t>permanere / manere / remanere</w:t>
      </w:r>
      <w:r>
        <w:rPr>
          <w:b/>
          <w:i w:val="0"/>
        </w:rPr>
        <w:t>.</w:t>
      </w:r>
      <w:r>
        <w:rPr>
          <w:b w:val="0"/>
          <w:i w:val="0"/>
        </w:rPr>
        <w:t xml:space="preserve"> Printed forms: </w:t>
      </w:r>
      <w:r>
        <w:rPr>
          <w:b w:val="0"/>
          <w:i/>
        </w:rPr>
        <w:t>manent</w:t>
      </w:r>
      <w:r>
        <w:rPr>
          <w:b w:val="0"/>
          <w:i w:val="0"/>
        </w:rPr>
        <w:t xml:space="preserve">; </w:t>
      </w:r>
      <w:r>
        <w:rPr>
          <w:b w:val="0"/>
          <w:i/>
        </w:rPr>
        <w:t>manet</w:t>
      </w:r>
      <w:r>
        <w:rPr>
          <w:b w:val="0"/>
          <w:i w:val="0"/>
        </w:rPr>
        <w:t xml:space="preserve">; </w:t>
      </w:r>
      <w:r>
        <w:rPr>
          <w:b w:val="0"/>
          <w:i/>
        </w:rPr>
        <w:t>permanens</w:t>
      </w:r>
      <w:r>
        <w:rPr>
          <w:b w:val="0"/>
          <w:i w:val="0"/>
        </w:rPr>
        <w:t xml:space="preserve">; </w:t>
      </w:r>
      <w:r>
        <w:rPr>
          <w:b w:val="0"/>
          <w:i/>
        </w:rPr>
        <w:t>permanere</w:t>
      </w:r>
      <w:r>
        <w:rPr>
          <w:b w:val="0"/>
          <w:i w:val="0"/>
        </w:rPr>
        <w:t xml:space="preserve">; </w:t>
      </w:r>
      <w:r>
        <w:rPr>
          <w:b w:val="0"/>
          <w:i/>
        </w:rPr>
        <w:t>remanente</w:t>
      </w:r>
      <w:r>
        <w:rPr>
          <w:b w:val="0"/>
          <w:i w:val="0"/>
        </w:rPr>
        <w:t xml:space="preserve">; </w:t>
      </w:r>
      <w:r>
        <w:rPr>
          <w:b w:val="0"/>
          <w:i/>
        </w:rPr>
        <w:t>remanet</w:t>
      </w:r>
      <w:r>
        <w:rPr>
          <w:b w:val="0"/>
          <w:i w:val="0"/>
        </w:rPr>
        <w:t>.</w:t>
      </w:r>
    </w:p>
    <w:p>
      <w:pPr>
        <w:widowControl/>
      </w:pPr>
      <w:r>
        <w:rPr>
          <w:b w:val="0"/>
          <w:i w:val="0"/>
        </w:rPr>
        <w:t xml:space="preserve">Remaining or persisting through an alteration of circumstance or possession. Art can remain while tools change, soul while virtue is absent, and forms together within mind without displacement. References: </w:t>
      </w:r>
      <w:hyperlink w:anchor="passage-viii-1-2">
        <w:r>
          <w:rPr>
            <w:color w:val="000000"/>
          </w:rPr>
          <w:t xml:space="preserve">VIII.1.2</w:t>
        </w:r>
      </w:hyperlink>
      <w:r>
        <w:rPr>
          <w:b w:val="0"/>
          <w:i w:val="0"/>
        </w:rPr>
        <w:t xml:space="preserve">, </w:t>
      </w:r>
      <w:hyperlink w:anchor="passage-viii-2-3">
        <w:r>
          <w:rPr>
            <w:color w:val="000000"/>
          </w:rPr>
          <w:t xml:space="preserve">VIII.2.3</w:t>
        </w:r>
      </w:hyperlink>
      <w:r>
        <w:rPr>
          <w:b w:val="0"/>
          <w:i w:val="0"/>
        </w:rPr>
        <w:t xml:space="preserve">, </w:t>
      </w:r>
      <w:hyperlink w:anchor="passage-viii-2-6">
        <w:r>
          <w:rPr>
            <w:color w:val="000000"/>
          </w:rPr>
          <w:t xml:space="preserve">VIII.2.6</w:t>
        </w:r>
      </w:hyperlink>
      <w:r>
        <w:rPr>
          <w:b w:val="0"/>
          <w:i w:val="0"/>
        </w:rPr>
        <w:t xml:space="preserve">, </w:t>
      </w:r>
      <w:hyperlink w:anchor="passage-viii-3-1">
        <w:r>
          <w:rPr>
            <w:color w:val="000000"/>
          </w:rPr>
          <w:t xml:space="preserve">VIII.3.1</w:t>
        </w:r>
      </w:hyperlink>
      <w:r>
        <w:rPr>
          <w:b w:val="0"/>
          <w:i w:val="0"/>
        </w:rPr>
        <w:t xml:space="preserve">, </w:t>
      </w:r>
      <w:hyperlink w:anchor="passage-viii-3-6">
        <w:r>
          <w:rPr>
            <w:color w:val="000000"/>
          </w:rPr>
          <w:t xml:space="preserve">VIII.3.6</w:t>
        </w:r>
      </w:hyperlink>
      <w:r>
        <w:rPr>
          <w:b w:val="0"/>
          <w:i w:val="0"/>
        </w:rPr>
        <w:t xml:space="preserve">, </w:t>
      </w:r>
      <w:hyperlink w:anchor="passage-viii-7-1">
        <w:r>
          <w:rPr>
            <w:color w:val="000000"/>
          </w:rPr>
          <w:t xml:space="preserve">VIII.7.1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1170" w:name="latin-record-0929"/>
      <w:bookmarkEnd w:id="1170"/>
      <w:r>
        <w:rPr>
          <w:b/>
          <w:i w:val="0"/>
        </w:rPr>
        <w:t>permanere / perseverare</w:t>
      </w:r>
      <w:r>
        <w:rPr>
          <w:b/>
          <w:i w:val="0"/>
        </w:rPr>
        <w:t>.</w:t>
      </w:r>
      <w:r>
        <w:rPr>
          <w:b w:val="0"/>
          <w:i w:val="0"/>
        </w:rPr>
        <w:t xml:space="preserve"> Printed forms: </w:t>
      </w:r>
      <w:r>
        <w:rPr>
          <w:b w:val="0"/>
          <w:i/>
        </w:rPr>
        <w:t>permanere</w:t>
      </w:r>
      <w:r>
        <w:rPr>
          <w:b w:val="0"/>
          <w:i w:val="0"/>
        </w:rPr>
        <w:t xml:space="preserve">; </w:t>
      </w:r>
      <w:r>
        <w:rPr>
          <w:b w:val="0"/>
          <w:i/>
        </w:rPr>
        <w:t>permanet</w:t>
      </w:r>
      <w:r>
        <w:rPr>
          <w:b w:val="0"/>
          <w:i w:val="0"/>
        </w:rPr>
        <w:t xml:space="preserve">; </w:t>
      </w:r>
      <w:r>
        <w:rPr>
          <w:b w:val="0"/>
          <w:i/>
        </w:rPr>
        <w:t>perseveret</w:t>
      </w:r>
      <w:r>
        <w:rPr>
          <w:b w:val="0"/>
          <w:i w:val="0"/>
        </w:rPr>
        <w:t>.</w:t>
      </w:r>
    </w:p>
    <w:p>
      <w:pPr>
        <w:widowControl/>
      </w:pPr>
      <w:r>
        <w:rPr>
          <w:b w:val="0"/>
          <w:i w:val="0"/>
        </w:rPr>
        <w:t xml:space="preserve">To remain or persist as what one is. The contrast concerns persistence of soul amid discord, not a claim that bodily disorder has no harmful consequences.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1171" w:name="latin-record-0930"/>
      <w:bookmarkEnd w:id="1171"/>
      <w:r>
        <w:rPr>
          <w:b/>
          <w:i w:val="0"/>
        </w:rPr>
        <w:t>permanere / restare / superesse</w:t>
      </w:r>
      <w:r>
        <w:rPr>
          <w:b/>
          <w:i w:val="0"/>
        </w:rPr>
        <w:t>.</w:t>
      </w:r>
      <w:r>
        <w:rPr>
          <w:b w:val="0"/>
          <w:i w:val="0"/>
        </w:rPr>
        <w:t xml:space="preserve"> Printed forms: </w:t>
      </w:r>
      <w:r>
        <w:rPr>
          <w:b w:val="0"/>
          <w:i/>
        </w:rPr>
        <w:t>permanent</w:t>
      </w:r>
      <w:r>
        <w:rPr>
          <w:b w:val="0"/>
          <w:i w:val="0"/>
        </w:rPr>
        <w:t xml:space="preserve">; </w:t>
      </w:r>
      <w:r>
        <w:rPr>
          <w:b w:val="0"/>
          <w:i/>
        </w:rPr>
        <w:t>permanet</w:t>
      </w:r>
      <w:r>
        <w:rPr>
          <w:b w:val="0"/>
          <w:i w:val="0"/>
        </w:rPr>
        <w:t xml:space="preserve">; </w:t>
      </w:r>
      <w:r>
        <w:rPr>
          <w:b w:val="0"/>
          <w:i/>
        </w:rPr>
        <w:t>restat</w:t>
      </w:r>
      <w:r>
        <w:rPr>
          <w:b w:val="0"/>
          <w:i w:val="0"/>
        </w:rPr>
        <w:t xml:space="preserve">; </w:t>
      </w:r>
      <w:r>
        <w:rPr>
          <w:b w:val="0"/>
          <w:i/>
        </w:rPr>
        <w:t>superest</w:t>
      </w:r>
      <w:r>
        <w:rPr>
          <w:b w:val="0"/>
          <w:i w:val="0"/>
        </w:rPr>
        <w:t xml:space="preserve">; </w:t>
      </w:r>
      <w:r>
        <w:rPr>
          <w:b w:val="0"/>
          <w:i/>
        </w:rPr>
        <w:t>supersit</w:t>
      </w:r>
      <w:r>
        <w:rPr>
          <w:b w:val="0"/>
          <w:i w:val="0"/>
        </w:rPr>
        <w:t>.</w:t>
      </w:r>
    </w:p>
    <w:p>
      <w:pPr>
        <w:widowControl/>
      </w:pPr>
      <w:r>
        <w:rPr>
          <w:b w:val="0"/>
          <w:i w:val="0"/>
        </w:rPr>
        <w:t xml:space="preserve">To remain or survive, after a change or through dependence on a conserving source. Matter remains after a form is lost; a hypothetically surviving soul-essence would still have being and life. References: </w:t>
      </w:r>
      <w:hyperlink w:anchor="passage-v-4-3">
        <w:r>
          <w:rPr>
            <w:color w:val="000000"/>
          </w:rPr>
          <w:t xml:space="preserve">V.4.3</w:t>
        </w:r>
      </w:hyperlink>
      <w:r>
        <w:rPr>
          <w:b w:val="0"/>
          <w:i w:val="0"/>
        </w:rPr>
        <w:t xml:space="preserve">, </w:t>
      </w:r>
      <w:hyperlink w:anchor="passage-v-4-9">
        <w:r>
          <w:rPr>
            <w:color w:val="000000"/>
          </w:rPr>
          <w:t xml:space="preserve">V.4.9</w:t>
        </w:r>
      </w:hyperlink>
      <w:r>
        <w:rPr>
          <w:b w:val="0"/>
          <w:i w:val="0"/>
        </w:rPr>
        <w:t xml:space="preserve">, </w:t>
      </w:r>
      <w:hyperlink w:anchor="passage-v-10-1">
        <w:r>
          <w:rPr>
            <w:color w:val="000000"/>
          </w:rPr>
          <w:t xml:space="preserve">V.10.1</w:t>
        </w:r>
      </w:hyperlink>
      <w:r>
        <w:rPr>
          <w:b w:val="0"/>
          <w:i w:val="0"/>
        </w:rPr>
        <w:t xml:space="preserve">, </w:t>
      </w:r>
      <w:hyperlink w:anchor="passage-v-10-3">
        <w:r>
          <w:rPr>
            <w:color w:val="000000"/>
          </w:rPr>
          <w:t xml:space="preserve">V.10.3</w:t>
        </w:r>
      </w:hyperlink>
      <w:r>
        <w:rPr>
          <w:b w:val="0"/>
          <w:i w:val="0"/>
        </w:rPr>
        <w:t xml:space="preserve">, </w:t>
      </w:r>
      <w:hyperlink w:anchor="passage-v-11-3">
        <w:r>
          <w:rPr>
            <w:color w:val="000000"/>
          </w:rPr>
          <w:t xml:space="preserve">V.11.3</w:t>
        </w:r>
      </w:hyperlink>
      <w:r>
        <w:rPr>
          <w:b w:val="0"/>
          <w:i w:val="0"/>
        </w:rPr>
        <w:t xml:space="preserve">. See </w:t>
      </w:r>
      <w:hyperlink w:anchor="generation-corruption-and-annihilation">
        <w:r>
          <w:rPr>
            <w:color w:val="000000"/>
          </w:rPr>
          <w:t xml:space="preserve">Generation, corruption and annihilation</w:t>
        </w:r>
      </w:hyperlink>
      <w:r>
        <w:rPr>
          <w:b w:val="0"/>
          <w:i w:val="0"/>
        </w:rPr>
        <w:t>.</w:t>
      </w:r>
    </w:p>
    <w:p>
      <w:pPr>
        <w:keepNext/>
        <w:widowControl/>
      </w:pPr>
      <w:bookmarkStart w:id="1172" w:name="latin-record-0931"/>
      <w:bookmarkEnd w:id="1172"/>
      <w:r>
        <w:rPr>
          <w:b/>
          <w:i w:val="0"/>
        </w:rPr>
        <w:t>permanere; stabilire; stabilis</w:t>
      </w:r>
      <w:r>
        <w:rPr>
          <w:b/>
          <w:i w:val="0"/>
        </w:rPr>
        <w:t>.</w:t>
      </w:r>
      <w:r>
        <w:rPr>
          <w:b w:val="0"/>
          <w:i w:val="0"/>
        </w:rPr>
        <w:t xml:space="preserve"> Printed forms: </w:t>
      </w:r>
      <w:r>
        <w:rPr>
          <w:b w:val="0"/>
          <w:i/>
        </w:rPr>
        <w:t>consistent</w:t>
      </w:r>
      <w:r>
        <w:rPr>
          <w:b w:val="0"/>
          <w:i w:val="0"/>
        </w:rPr>
        <w:t xml:space="preserve">; </w:t>
      </w:r>
      <w:r>
        <w:rPr>
          <w:b w:val="0"/>
          <w:i/>
        </w:rPr>
        <w:t>consistere</w:t>
      </w:r>
      <w:r>
        <w:rPr>
          <w:b w:val="0"/>
          <w:i w:val="0"/>
        </w:rPr>
        <w:t xml:space="preserve">; </w:t>
      </w:r>
      <w:r>
        <w:rPr>
          <w:b w:val="0"/>
          <w:i/>
        </w:rPr>
        <w:t>stabili</w:t>
      </w:r>
      <w:r>
        <w:rPr>
          <w:b w:val="0"/>
          <w:i w:val="0"/>
        </w:rPr>
        <w:t xml:space="preserve">; </w:t>
      </w:r>
      <w:r>
        <w:rPr>
          <w:b w:val="0"/>
          <w:i/>
        </w:rPr>
        <w:t>stabiliat</w:t>
      </w:r>
      <w:r>
        <w:rPr>
          <w:b w:val="0"/>
          <w:i w:val="0"/>
        </w:rPr>
        <w:t xml:space="preserve">; </w:t>
      </w:r>
      <w:r>
        <w:rPr>
          <w:b w:val="0"/>
          <w:i/>
        </w:rPr>
        <w:t>stabilis</w:t>
      </w:r>
      <w:r>
        <w:rPr>
          <w:b w:val="0"/>
          <w:i w:val="0"/>
        </w:rPr>
        <w:t xml:space="preserve">; </w:t>
      </w:r>
      <w:r>
        <w:rPr>
          <w:b w:val="0"/>
          <w:i/>
        </w:rPr>
        <w:t>stabilissimo</w:t>
      </w:r>
      <w:r>
        <w:rPr>
          <w:b w:val="0"/>
          <w:i w:val="0"/>
        </w:rPr>
        <w:t xml:space="preserve">; </w:t>
      </w:r>
      <w:r>
        <w:rPr>
          <w:b w:val="0"/>
          <w:i/>
        </w:rPr>
        <w:t>stabilitate</w:t>
      </w:r>
      <w:r>
        <w:rPr>
          <w:b w:val="0"/>
          <w:i w:val="0"/>
        </w:rPr>
        <w:t xml:space="preserve">; </w:t>
      </w:r>
      <w:r>
        <w:rPr>
          <w:b w:val="0"/>
          <w:i/>
        </w:rPr>
        <w:t>stabunt</w:t>
      </w:r>
      <w:r>
        <w:rPr>
          <w:b w:val="0"/>
          <w:i w:val="0"/>
        </w:rPr>
        <w:t xml:space="preserve">; </w:t>
      </w:r>
      <w:r>
        <w:rPr>
          <w:b w:val="0"/>
          <w:i/>
        </w:rPr>
        <w:t>stante</w:t>
      </w:r>
      <w:r>
        <w:rPr>
          <w:b w:val="0"/>
          <w:i w:val="0"/>
        </w:rPr>
        <w:t xml:space="preserve">; </w:t>
      </w:r>
      <w:r>
        <w:rPr>
          <w:b w:val="0"/>
          <w:i/>
        </w:rPr>
        <w:t>stare</w:t>
      </w:r>
      <w:r>
        <w:rPr>
          <w:b w:val="0"/>
          <w:i w:val="0"/>
        </w:rPr>
        <w:t>.</w:t>
      </w:r>
    </w:p>
    <w:p>
      <w:pPr>
        <w:widowControl/>
      </w:pPr>
      <w:r>
        <w:rPr>
          <w:b w:val="0"/>
          <w:i w:val="0"/>
        </w:rPr>
        <w:t xml:space="preserve">Stable, establishing stability and remaining firm. The inward craftsman and ruler must endure while bodily material changes; stability of substance does not deny successive activity. References: </w:t>
      </w:r>
      <w:hyperlink w:anchor="passage-vi-2-25">
        <w:r>
          <w:rPr>
            <w:color w:val="000000"/>
          </w:rPr>
          <w:t xml:space="preserve">VI.2.25</w:t>
        </w:r>
      </w:hyperlink>
      <w:r>
        <w:rPr>
          <w:b w:val="0"/>
          <w:i w:val="0"/>
        </w:rPr>
        <w:t xml:space="preserve">, </w:t>
      </w:r>
      <w:hyperlink w:anchor="passage-vi-9-4">
        <w:r>
          <w:rPr>
            <w:color w:val="000000"/>
          </w:rPr>
          <w:t xml:space="preserve">VI.9.4</w:t>
        </w:r>
      </w:hyperlink>
      <w:r>
        <w:rPr>
          <w:b w:val="0"/>
          <w:i w:val="0"/>
        </w:rPr>
        <w:t xml:space="preserve">, </w:t>
      </w:r>
      <w:hyperlink w:anchor="passage-vi-13-6">
        <w:r>
          <w:rPr>
            <w:color w:val="000000"/>
          </w:rPr>
          <w:t xml:space="preserve">VI.13.6</w:t>
        </w:r>
      </w:hyperlink>
      <w:r>
        <w:rPr>
          <w:b w:val="0"/>
          <w:i w:val="0"/>
        </w:rPr>
        <w:t xml:space="preserve">, </w:t>
      </w:r>
      <w:hyperlink w:anchor="passage-vi-13-7">
        <w:r>
          <w:rPr>
            <w:color w:val="000000"/>
          </w:rPr>
          <w:t xml:space="preserve">VI.13.7</w:t>
        </w:r>
      </w:hyperlink>
      <w:r>
        <w:rPr>
          <w:b w:val="0"/>
          <w:i w:val="0"/>
        </w:rPr>
        <w:t xml:space="preserve">, </w:t>
      </w:r>
      <w:hyperlink w:anchor="passage-vi-13-8">
        <w:r>
          <w:rPr>
            <w:color w:val="000000"/>
          </w:rPr>
          <w:t xml:space="preserve">VI.13.8</w:t>
        </w:r>
      </w:hyperlink>
      <w:r>
        <w:rPr>
          <w:b w:val="0"/>
          <w:i w:val="0"/>
        </w:rPr>
        <w:t xml:space="preserve">, </w:t>
      </w:r>
      <w:hyperlink w:anchor="passage-vi-13-9">
        <w:r>
          <w:rPr>
            <w:color w:val="000000"/>
          </w:rPr>
          <w:t xml:space="preserve">VI.13.9</w:t>
        </w:r>
      </w:hyperlink>
      <w:r>
        <w:rPr>
          <w:b w:val="0"/>
          <w:i w:val="0"/>
        </w:rPr>
        <w:t xml:space="preserve">, </w:t>
      </w:r>
      <w:hyperlink w:anchor="passage-vi-13-10">
        <w:r>
          <w:rPr>
            <w:color w:val="000000"/>
          </w:rPr>
          <w:t xml:space="preserve">VI.13.10</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1173" w:name="latin-record-0932"/>
      <w:bookmarkEnd w:id="1173"/>
      <w:r>
        <w:rPr>
          <w:b/>
          <w:i w:val="0"/>
        </w:rPr>
        <w:t>pernicies / diligere opus</w:t>
      </w:r>
      <w:r>
        <w:rPr>
          <w:b/>
          <w:i w:val="0"/>
        </w:rPr>
        <w:t>.</w:t>
      </w:r>
      <w:r>
        <w:rPr>
          <w:b w:val="0"/>
          <w:i w:val="0"/>
        </w:rPr>
        <w:t xml:space="preserve"> Printed forms: </w:t>
      </w:r>
      <w:r>
        <w:rPr>
          <w:b w:val="0"/>
          <w:i/>
        </w:rPr>
        <w:t>diligunt</w:t>
      </w:r>
      <w:r>
        <w:rPr>
          <w:b w:val="0"/>
          <w:i w:val="0"/>
        </w:rPr>
        <w:t xml:space="preserve">; </w:t>
      </w:r>
      <w:r>
        <w:rPr>
          <w:b w:val="0"/>
          <w:i/>
        </w:rPr>
        <w:t>perniciem</w:t>
      </w:r>
      <w:r>
        <w:rPr>
          <w:b w:val="0"/>
          <w:i w:val="0"/>
        </w:rPr>
        <w:t>.</w:t>
      </w:r>
    </w:p>
    <w:p>
      <w:pPr>
        <w:widowControl/>
      </w:pPr>
      <w:r>
        <w:rPr>
          <w:b w:val="0"/>
          <w:i w:val="0"/>
        </w:rPr>
        <w:t xml:space="preserve">Destruction or ruin, and loving one’s own work. The soul grieves at damage to body and spirit because they are its work; impassibility does not mean emotional indifference. References: </w:t>
      </w:r>
      <w:hyperlink w:anchor="passage-vii-6-1">
        <w:r>
          <w:rPr>
            <w:color w:val="000000"/>
          </w:rPr>
          <w:t xml:space="preserve">VII.6.1</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1174" w:name="latin-record-0933"/>
      <w:bookmarkEnd w:id="1174"/>
      <w:r>
        <w:rPr>
          <w:b/>
          <w:i w:val="0"/>
        </w:rPr>
        <w:t>perpetuus</w:t>
      </w:r>
      <w:r>
        <w:rPr>
          <w:b/>
          <w:i w:val="0"/>
        </w:rPr>
        <w:t>.</w:t>
      </w:r>
      <w:r>
        <w:rPr>
          <w:b w:val="0"/>
          <w:i w:val="0"/>
        </w:rPr>
        <w:t xml:space="preserve"> Printed forms: </w:t>
      </w:r>
      <w:r>
        <w:rPr>
          <w:b w:val="0"/>
          <w:i/>
        </w:rPr>
        <w:t>perpetua</w:t>
      </w:r>
      <w:r>
        <w:rPr>
          <w:b w:val="0"/>
          <w:i w:val="0"/>
        </w:rPr>
        <w:t xml:space="preserve">; </w:t>
      </w:r>
      <w:r>
        <w:rPr>
          <w:b w:val="0"/>
          <w:i/>
        </w:rPr>
        <w:t>perpetuam</w:t>
      </w:r>
      <w:r>
        <w:rPr>
          <w:b w:val="0"/>
          <w:i w:val="0"/>
        </w:rPr>
        <w:t xml:space="preserve">; </w:t>
      </w:r>
      <w:r>
        <w:rPr>
          <w:b w:val="0"/>
          <w:i/>
        </w:rPr>
        <w:t>perpetuis</w:t>
      </w:r>
      <w:r>
        <w:rPr>
          <w:b w:val="0"/>
          <w:i w:val="0"/>
        </w:rPr>
        <w:t xml:space="preserve">; </w:t>
      </w:r>
      <w:r>
        <w:rPr>
          <w:b w:val="0"/>
          <w:i/>
        </w:rPr>
        <w:t>perpetuo</w:t>
      </w:r>
      <w:r>
        <w:rPr>
          <w:b w:val="0"/>
          <w:i w:val="0"/>
        </w:rPr>
        <w:t xml:space="preserve">; </w:t>
      </w:r>
      <w:r>
        <w:rPr>
          <w:b w:val="0"/>
          <w:i/>
        </w:rPr>
        <w:t>perpetuum</w:t>
      </w:r>
      <w:r>
        <w:rPr>
          <w:b w:val="0"/>
          <w:i w:val="0"/>
        </w:rPr>
        <w:t xml:space="preserve">; </w:t>
      </w:r>
      <w:r>
        <w:rPr>
          <w:b w:val="0"/>
          <w:i/>
        </w:rPr>
        <w:t>perpetuus</w:t>
      </w:r>
      <w:r>
        <w:rPr>
          <w:b w:val="0"/>
          <w:i w:val="0"/>
        </w:rPr>
        <w:t>.</w:t>
      </w:r>
    </w:p>
    <w:p>
      <w:pPr>
        <w:widowControl/>
      </w:pPr>
      <w:r>
        <w:rPr>
          <w:b w:val="0"/>
          <w:i w:val="0"/>
        </w:rPr>
        <w:t xml:space="preserve">Perpetual or continuous, with the relevant object specifying whether the claim concerns duration or repeated activity. V.12 distinguishes continual activity toward everlasting objects from perpetual fulfilled activity within them. References: </w:t>
      </w:r>
      <w:hyperlink w:anchor="passage-v-1-1">
        <w:r>
          <w:rPr>
            <w:color w:val="000000"/>
          </w:rPr>
          <w:t xml:space="preserve">V.1.1</w:t>
        </w:r>
      </w:hyperlink>
      <w:r>
        <w:rPr>
          <w:b w:val="0"/>
          <w:i w:val="0"/>
        </w:rPr>
        <w:t xml:space="preserve">, </w:t>
      </w:r>
      <w:hyperlink w:anchor="passage-v-4-1">
        <w:r>
          <w:rPr>
            <w:color w:val="000000"/>
          </w:rPr>
          <w:t xml:space="preserve">V.4.1</w:t>
        </w:r>
      </w:hyperlink>
      <w:r>
        <w:rPr>
          <w:b w:val="0"/>
          <w:i w:val="0"/>
        </w:rPr>
        <w:t xml:space="preserve">, </w:t>
      </w:r>
      <w:hyperlink w:anchor="passage-v-12-14">
        <w:r>
          <w:rPr>
            <w:color w:val="000000"/>
          </w:rPr>
          <w:t xml:space="preserve">V.12.14</w:t>
        </w:r>
      </w:hyperlink>
      <w:r>
        <w:rPr>
          <w:b w:val="0"/>
          <w:i w:val="0"/>
        </w:rPr>
        <w:t xml:space="preserve">, </w:t>
      </w:r>
      <w:hyperlink w:anchor="passage-v-15-4">
        <w:r>
          <w:rPr>
            <w:color w:val="000000"/>
          </w:rPr>
          <w:t xml:space="preserve">V.15.4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1175" w:name="latin-record-0934"/>
      <w:bookmarkEnd w:id="1175"/>
      <w:r>
        <w:rPr>
          <w:b/>
          <w:i w:val="0"/>
        </w:rPr>
        <w:t>perpetuus / sempiternus</w:t>
      </w:r>
      <w:r>
        <w:rPr>
          <w:b/>
          <w:i w:val="0"/>
        </w:rPr>
        <w:t>.</w:t>
      </w:r>
      <w:r>
        <w:rPr>
          <w:b w:val="0"/>
          <w:i w:val="0"/>
        </w:rPr>
        <w:t xml:space="preserve"> Printed forms: </w:t>
      </w:r>
      <w:r>
        <w:rPr>
          <w:b w:val="0"/>
          <w:i/>
        </w:rPr>
        <w:t>perpetua</w:t>
      </w:r>
      <w:r>
        <w:rPr>
          <w:b w:val="0"/>
          <w:i w:val="0"/>
        </w:rPr>
        <w:t xml:space="preserve">; </w:t>
      </w:r>
      <w:r>
        <w:rPr>
          <w:b w:val="0"/>
          <w:i/>
        </w:rPr>
        <w:t>perpetuam</w:t>
      </w:r>
      <w:r>
        <w:rPr>
          <w:b w:val="0"/>
          <w:i w:val="0"/>
        </w:rPr>
        <w:t xml:space="preserve">; </w:t>
      </w:r>
      <w:r>
        <w:rPr>
          <w:b w:val="0"/>
          <w:i/>
        </w:rPr>
        <w:t>perpetuo</w:t>
      </w:r>
      <w:r>
        <w:rPr>
          <w:b w:val="0"/>
          <w:i w:val="0"/>
        </w:rPr>
        <w:t xml:space="preserve">; </w:t>
      </w:r>
      <w:r>
        <w:rPr>
          <w:b w:val="0"/>
          <w:i/>
        </w:rPr>
        <w:t>sempiternae</w:t>
      </w:r>
      <w:r>
        <w:rPr>
          <w:b w:val="0"/>
          <w:i w:val="0"/>
        </w:rPr>
        <w:t xml:space="preserve">; </w:t>
      </w:r>
      <w:r>
        <w:rPr>
          <w:b w:val="0"/>
          <w:i/>
        </w:rPr>
        <w:t>sempiternus</w:t>
      </w:r>
      <w:r>
        <w:rPr>
          <w:b w:val="0"/>
          <w:i w:val="0"/>
        </w:rPr>
        <w:t>.</w:t>
      </w:r>
    </w:p>
    <w:p>
      <w:pPr>
        <w:widowControl/>
      </w:pPr>
      <w:r>
        <w:rPr>
          <w:b w:val="0"/>
          <w:i w:val="0"/>
        </w:rPr>
        <w:t xml:space="preserve">Perpetual or everlasting, without thereby settling whether existence began. The future-only alternative of VIII.9.1 and the granted power of life at VIII.16.4 limit what can be inferred about pre-existence. References: </w:t>
      </w:r>
      <w:hyperlink w:anchor="passage-viii-1-3">
        <w:r>
          <w:rPr>
            <w:color w:val="000000"/>
          </w:rPr>
          <w:t xml:space="preserve">VIII.1.3</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10-2">
        <w:r>
          <w:rPr>
            <w:color w:val="000000"/>
          </w:rPr>
          <w:t xml:space="preserve">VIII.10.2</w:t>
        </w:r>
      </w:hyperlink>
      <w:r>
        <w:rPr>
          <w:b w:val="0"/>
          <w:i w:val="0"/>
        </w:rPr>
        <w:t xml:space="preserve">, </w:t>
      </w:r>
      <w:hyperlink w:anchor="passage-viii-11-1">
        <w:r>
          <w:rPr>
            <w:color w:val="000000"/>
          </w:rPr>
          <w:t xml:space="preserve">VIII.11.1</w:t>
        </w:r>
      </w:hyperlink>
      <w:r>
        <w:rPr>
          <w:b w:val="0"/>
          <w:i w:val="0"/>
        </w:rPr>
        <w:t xml:space="preserve">, </w:t>
      </w:r>
      <w:hyperlink w:anchor="passage-viii-14-1">
        <w:r>
          <w:rPr>
            <w:color w:val="000000"/>
          </w:rPr>
          <w:t xml:space="preserve">VIII.14.1</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1176" w:name="latin-record-0935"/>
      <w:bookmarkEnd w:id="1176"/>
      <w:r>
        <w:rPr>
          <w:b/>
          <w:i w:val="0"/>
        </w:rPr>
        <w:t>persona</w:t>
      </w:r>
      <w:r>
        <w:rPr>
          <w:b/>
          <w:i w:val="0"/>
        </w:rPr>
        <w:t>.</w:t>
      </w:r>
      <w:r>
        <w:rPr>
          <w:b w:val="0"/>
          <w:i w:val="0"/>
        </w:rPr>
        <w:t xml:space="preserve"> Printed forms: </w:t>
      </w:r>
      <w:r>
        <w:rPr>
          <w:b w:val="0"/>
          <w:i/>
        </w:rPr>
        <w:t>personae</w:t>
      </w:r>
      <w:r>
        <w:rPr>
          <w:b w:val="0"/>
          <w:i w:val="0"/>
        </w:rPr>
        <w:t xml:space="preserve">; </w:t>
      </w:r>
      <w:r>
        <w:rPr>
          <w:b w:val="0"/>
          <w:i/>
        </w:rPr>
        <w:t>personarum</w:t>
      </w:r>
      <w:r>
        <w:rPr>
          <w:b w:val="0"/>
          <w:i w:val="0"/>
        </w:rPr>
        <w:t xml:space="preserve">; </w:t>
      </w:r>
      <w:r>
        <w:rPr>
          <w:b w:val="0"/>
          <w:i/>
        </w:rPr>
        <w:t>personis</w:t>
      </w:r>
      <w:r>
        <w:rPr>
          <w:b w:val="0"/>
          <w:i w:val="0"/>
        </w:rPr>
        <w:t>.</w:t>
      </w:r>
    </w:p>
    <w:p>
      <w:pPr>
        <w:widowControl/>
      </w:pPr>
      <w:r>
        <w:rPr>
          <w:b w:val="0"/>
          <w:i w:val="0"/>
        </w:rPr>
        <w:t xml:space="preserve">An individual person as the bearer of a common nature under distinguishing conditions. The opening argument distinguishes humanity shared across persons from any one person’s private properties or productive action.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177" w:name="latin-record-0936"/>
      <w:bookmarkEnd w:id="1177"/>
      <w:r>
        <w:rPr>
          <w:b/>
          <w:i w:val="0"/>
        </w:rPr>
        <w:t>persona / verba</w:t>
      </w:r>
      <w:r>
        <w:rPr>
          <w:b/>
          <w:i w:val="0"/>
        </w:rPr>
        <w:t>.</w:t>
      </w:r>
      <w:r>
        <w:rPr>
          <w:b w:val="0"/>
          <w:i w:val="0"/>
        </w:rPr>
        <w:t xml:space="preserve"> Printed forms: </w:t>
      </w:r>
      <w:r>
        <w:rPr>
          <w:b w:val="0"/>
          <w:i/>
        </w:rPr>
        <w:t>persona</w:t>
      </w:r>
      <w:r>
        <w:rPr>
          <w:b w:val="0"/>
          <w:i w:val="0"/>
        </w:rPr>
        <w:t xml:space="preserve">; </w:t>
      </w:r>
      <w:r>
        <w:rPr>
          <w:b w:val="0"/>
          <w:i/>
        </w:rPr>
        <w:t>verba</w:t>
      </w:r>
      <w:r>
        <w:rPr>
          <w:b w:val="0"/>
          <w:i w:val="0"/>
        </w:rPr>
        <w:t>.</w:t>
      </w:r>
    </w:p>
    <w:p>
      <w:pPr>
        <w:widowControl/>
      </w:pPr>
      <w:r>
        <w:rPr>
          <w:b w:val="0"/>
          <w:i w:val="0"/>
        </w:rPr>
        <w:t xml:space="preserve">The interlocutor and words within the dream scene. They are distinguished from rational truth, which survives the falsity of the surrounding sensory narrative. References: </w:t>
      </w:r>
      <w:hyperlink w:anchor="passage-v-15-24">
        <w:r>
          <w:rPr>
            <w:color w:val="000000"/>
          </w:rPr>
          <w:t xml:space="preserve">V.15.24</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1178" w:name="latin-record-0937"/>
      <w:bookmarkEnd w:id="1178"/>
      <w:r>
        <w:rPr>
          <w:b/>
          <w:i w:val="0"/>
        </w:rPr>
        <w:t>perspicere; prospicere; pervidere</w:t>
      </w:r>
      <w:r>
        <w:rPr>
          <w:b/>
          <w:i w:val="0"/>
        </w:rPr>
        <w:t>.</w:t>
      </w:r>
      <w:r>
        <w:rPr>
          <w:b w:val="0"/>
          <w:i w:val="0"/>
        </w:rPr>
        <w:t xml:space="preserve"> Printed forms: </w:t>
      </w:r>
      <w:r>
        <w:rPr>
          <w:b w:val="0"/>
          <w:i/>
        </w:rPr>
        <w:t>perspicere</w:t>
      </w:r>
      <w:r>
        <w:rPr>
          <w:b w:val="0"/>
          <w:i w:val="0"/>
        </w:rPr>
        <w:t xml:space="preserve">; </w:t>
      </w:r>
      <w:r>
        <w:rPr>
          <w:b w:val="0"/>
          <w:i/>
        </w:rPr>
        <w:t>perspiciet</w:t>
      </w:r>
      <w:r>
        <w:rPr>
          <w:b w:val="0"/>
          <w:i w:val="0"/>
        </w:rPr>
        <w:t xml:space="preserve">; </w:t>
      </w:r>
      <w:r>
        <w:rPr>
          <w:b w:val="0"/>
          <w:i/>
        </w:rPr>
        <w:t>pervidere</w:t>
      </w:r>
      <w:r>
        <w:rPr>
          <w:b w:val="0"/>
          <w:i w:val="0"/>
        </w:rPr>
        <w:t xml:space="preserve">; </w:t>
      </w:r>
      <w:r>
        <w:rPr>
          <w:b w:val="0"/>
          <w:i/>
        </w:rPr>
        <w:t>prospicit</w:t>
      </w:r>
      <w:r>
        <w:rPr>
          <w:b w:val="0"/>
          <w:i w:val="0"/>
        </w:rPr>
        <w:t xml:space="preserve">; </w:t>
      </w:r>
      <w:r>
        <w:rPr>
          <w:b w:val="0"/>
          <w:i/>
        </w:rPr>
        <w:t>prospicitur</w:t>
      </w:r>
      <w:r>
        <w:rPr>
          <w:b w:val="0"/>
          <w:i w:val="0"/>
        </w:rPr>
        <w:t>.</w:t>
      </w:r>
    </w:p>
    <w:p>
      <w:pPr>
        <w:widowControl/>
      </w:pPr>
      <w:r>
        <w:rPr>
          <w:b w:val="0"/>
          <w:i w:val="0"/>
        </w:rPr>
        <w:t xml:space="preserve">To discern, look forth or see through an obscuring condition. The edition retains distinct printed verbs, including corrected pervidere in the Avicennian argument and prospicitur in the unseen-light passage. References: </w:t>
      </w:r>
      <w:hyperlink w:anchor="passage-vi-2-4">
        <w:r>
          <w:rPr>
            <w:color w:val="000000"/>
          </w:rPr>
          <w:t xml:space="preserve">VI.2.4</w:t>
        </w:r>
      </w:hyperlink>
      <w:r>
        <w:rPr>
          <w:b w:val="0"/>
          <w:i w:val="0"/>
        </w:rPr>
        <w:t xml:space="preserve">, </w:t>
      </w:r>
      <w:hyperlink w:anchor="passage-vi-2-6">
        <w:r>
          <w:rPr>
            <w:color w:val="000000"/>
          </w:rPr>
          <w:t xml:space="preserve">VI.2.6</w:t>
        </w:r>
      </w:hyperlink>
      <w:r>
        <w:rPr>
          <w:b w:val="0"/>
          <w:i w:val="0"/>
        </w:rPr>
        <w:t xml:space="preserve">,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2-23">
        <w:r>
          <w:rPr>
            <w:color w:val="000000"/>
          </w:rPr>
          <w:t xml:space="preserve">VI.2.23</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1179" w:name="latin-record-0938"/>
      <w:bookmarkEnd w:id="1179"/>
      <w:r>
        <w:rPr>
          <w:b/>
          <w:i w:val="0"/>
        </w:rPr>
        <w:t>persuasio</w:t>
      </w:r>
      <w:r>
        <w:rPr>
          <w:b/>
          <w:i w:val="0"/>
        </w:rPr>
        <w:t>.</w:t>
      </w:r>
      <w:r>
        <w:rPr>
          <w:b w:val="0"/>
          <w:i w:val="0"/>
        </w:rPr>
        <w:t xml:space="preserve"> Printed forms: </w:t>
      </w:r>
      <w:r>
        <w:rPr>
          <w:b w:val="0"/>
          <w:i/>
        </w:rPr>
        <w:t>persuasiones</w:t>
      </w:r>
      <w:r>
        <w:rPr>
          <w:b w:val="0"/>
          <w:i w:val="0"/>
        </w:rPr>
        <w:t>.</w:t>
      </w:r>
    </w:p>
    <w:p>
      <w:pPr>
        <w:widowControl/>
      </w:pPr>
      <w:r>
        <w:rPr>
          <w:b w:val="0"/>
          <w:i w:val="0"/>
        </w:rPr>
        <w:t xml:space="preserve">A brief persuasive argument, here reported from unnamed others. The group of tests ranges over living parts, perceptibility, boundaries, timing, presence and containment. References: </w:t>
      </w:r>
      <w:hyperlink w:anchor="passage-vi-6-4">
        <w:r>
          <w:rPr>
            <w:color w:val="000000"/>
          </w:rPr>
          <w:t xml:space="preserve">VI.6.4</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1180" w:name="latin-record-0939"/>
      <w:bookmarkEnd w:id="1180"/>
      <w:r>
        <w:rPr>
          <w:b/>
          <w:i w:val="0"/>
        </w:rPr>
        <w:t>perturbatio / impedire / augere</w:t>
      </w:r>
      <w:r>
        <w:rPr>
          <w:b/>
          <w:i w:val="0"/>
        </w:rPr>
        <w:t>.</w:t>
      </w:r>
      <w:r>
        <w:rPr>
          <w:b w:val="0"/>
          <w:i w:val="0"/>
        </w:rPr>
        <w:t xml:space="preserve"> Printed forms: </w:t>
      </w:r>
      <w:r>
        <w:rPr>
          <w:b w:val="0"/>
          <w:i/>
        </w:rPr>
        <w:t>augent</w:t>
      </w:r>
      <w:r>
        <w:rPr>
          <w:b w:val="0"/>
          <w:i w:val="0"/>
        </w:rPr>
        <w:t xml:space="preserve">; </w:t>
      </w:r>
      <w:r>
        <w:rPr>
          <w:b w:val="0"/>
          <w:i/>
        </w:rPr>
        <w:t>impediunt</w:t>
      </w:r>
      <w:r>
        <w:rPr>
          <w:b w:val="0"/>
          <w:i w:val="0"/>
        </w:rPr>
        <w:t xml:space="preserve">; </w:t>
      </w:r>
      <w:r>
        <w:rPr>
          <w:b w:val="0"/>
          <w:i/>
        </w:rPr>
        <w:t>perturbationes</w:t>
      </w:r>
      <w:r>
        <w:rPr>
          <w:b w:val="0"/>
          <w:i w:val="0"/>
        </w:rPr>
        <w:t>.</w:t>
      </w:r>
    </w:p>
    <w:p>
      <w:pPr>
        <w:widowControl/>
      </w:pPr>
      <w:r>
        <w:rPr>
          <w:b w:val="0"/>
          <w:i w:val="0"/>
        </w:rPr>
        <w:t xml:space="preserve">Disturbances, hindering and increasing an activity. Sensory disturbances affect nutrition, illustrating the unity of the soul’s different offices.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1181" w:name="latin-record-0940"/>
      <w:bookmarkEnd w:id="1181"/>
      <w:r>
        <w:rPr>
          <w:b/>
          <w:i w:val="0"/>
        </w:rPr>
        <w:t>perturbatio / negotium</w:t>
      </w:r>
      <w:r>
        <w:rPr>
          <w:b/>
          <w:i w:val="0"/>
        </w:rPr>
        <w:t>.</w:t>
      </w:r>
      <w:r>
        <w:rPr>
          <w:b w:val="0"/>
          <w:i w:val="0"/>
        </w:rPr>
        <w:t xml:space="preserve"> Printed forms: </w:t>
      </w:r>
      <w:r>
        <w:rPr>
          <w:b w:val="0"/>
          <w:i/>
        </w:rPr>
        <w:t>negotiorum</w:t>
      </w:r>
      <w:r>
        <w:rPr>
          <w:b w:val="0"/>
          <w:i w:val="0"/>
        </w:rPr>
        <w:t xml:space="preserve">; </w:t>
      </w:r>
      <w:r>
        <w:rPr>
          <w:b w:val="0"/>
          <w:i/>
        </w:rPr>
        <w:t>perturbationum</w:t>
      </w:r>
      <w:r>
        <w:rPr>
          <w:b w:val="0"/>
          <w:i w:val="0"/>
        </w:rPr>
        <w:t>.</w:t>
      </w:r>
    </w:p>
    <w:p>
      <w:pPr>
        <w:widowControl/>
      </w:pPr>
      <w:r>
        <w:rPr>
          <w:b w:val="0"/>
          <w:i w:val="0"/>
        </w:rPr>
        <w:t xml:space="preserve">Agitations and practical affairs that disturb contemplative attention. Their absence helps mental activity, and Ficino moves from this natural perfection to a claim about the stability of mind’s substance. References: </w:t>
      </w:r>
      <w:hyperlink w:anchor="passage-viii-11-1">
        <w:r>
          <w:rPr>
            <w:color w:val="000000"/>
          </w:rPr>
          <w:t xml:space="preserve">VIII.11.1</w:t>
        </w:r>
      </w:hyperlink>
      <w:r>
        <w:rPr>
          <w:b w:val="0"/>
          <w:i w:val="0"/>
        </w:rPr>
        <w:t xml:space="preserve">. See </w:t>
      </w:r>
      <w:hyperlink w:anchor="viii-repose-contemplation">
        <w:r>
          <w:rPr>
            <w:color w:val="000000"/>
          </w:rPr>
          <w:t xml:space="preserve">Repose, motion, and contemplation</w:t>
        </w:r>
      </w:hyperlink>
      <w:r>
        <w:rPr>
          <w:b w:val="0"/>
          <w:i w:val="0"/>
        </w:rPr>
        <w:t>.</w:t>
      </w:r>
    </w:p>
    <w:p>
      <w:pPr>
        <w:keepNext/>
        <w:widowControl/>
      </w:pPr>
      <w:bookmarkStart w:id="1182" w:name="latin-record-0941"/>
      <w:bookmarkEnd w:id="1182"/>
      <w:r>
        <w:rPr>
          <w:b/>
          <w:i w:val="0"/>
        </w:rPr>
        <w:t>pervenire / transire / concurrere</w:t>
      </w:r>
      <w:r>
        <w:rPr>
          <w:b/>
          <w:i w:val="0"/>
        </w:rPr>
        <w:t>.</w:t>
      </w:r>
      <w:r>
        <w:rPr>
          <w:b w:val="0"/>
          <w:i w:val="0"/>
        </w:rPr>
        <w:t xml:space="preserve"> Printed forms: </w:t>
      </w:r>
      <w:r>
        <w:rPr>
          <w:b w:val="0"/>
          <w:i/>
        </w:rPr>
        <w:t>concurrere</w:t>
      </w:r>
      <w:r>
        <w:rPr>
          <w:b w:val="0"/>
          <w:i w:val="0"/>
        </w:rPr>
        <w:t xml:space="preserve">; </w:t>
      </w:r>
      <w:r>
        <w:rPr>
          <w:b w:val="0"/>
          <w:i/>
        </w:rPr>
        <w:t>pervenit</w:t>
      </w:r>
      <w:r>
        <w:rPr>
          <w:b w:val="0"/>
          <w:i w:val="0"/>
        </w:rPr>
        <w:t xml:space="preserve">; </w:t>
      </w:r>
      <w:r>
        <w:rPr>
          <w:b w:val="0"/>
          <w:i/>
        </w:rPr>
        <w:t>transit</w:t>
      </w:r>
      <w:r>
        <w:rPr>
          <w:b w:val="0"/>
          <w:i w:val="0"/>
        </w:rPr>
        <w:t>.</w:t>
      </w:r>
    </w:p>
    <w:p>
      <w:pPr>
        <w:widowControl/>
      </w:pPr>
      <w:r>
        <w:rPr>
          <w:b w:val="0"/>
          <w:i w:val="0"/>
        </w:rPr>
        <w:t xml:space="preserve">To arrive, cross over and converge. The dilemma contrasts one content reaching one endpoint with both contents converging on both endpoints. References: </w:t>
      </w:r>
      <w:hyperlink w:anchor="passage-vii-2-2">
        <w:r>
          <w:rPr>
            <w:color w:val="000000"/>
          </w:rPr>
          <w:t xml:space="preserve">VII.2.2</w:t>
        </w:r>
      </w:hyperlink>
      <w:r>
        <w:rPr>
          <w:b w:val="0"/>
          <w:i w:val="0"/>
        </w:rPr>
        <w:t xml:space="preserve">. See </w:t>
      </w:r>
      <w:hyperlink w:anchor="vii-point-line">
        <w:r>
          <w:rPr>
            <w:color w:val="000000"/>
          </w:rPr>
          <w:t xml:space="preserve">Point, line and the comparing power</w:t>
        </w:r>
      </w:hyperlink>
      <w:r>
        <w:rPr>
          <w:b w:val="0"/>
          <w:i w:val="0"/>
        </w:rPr>
        <w:t>.</w:t>
      </w:r>
    </w:p>
    <w:p>
      <w:pPr>
        <w:keepNext/>
        <w:widowControl/>
      </w:pPr>
      <w:bookmarkStart w:id="1183" w:name="latin-record-0942"/>
      <w:bookmarkEnd w:id="1183"/>
      <w:r>
        <w:rPr>
          <w:b/>
          <w:i w:val="0"/>
        </w:rPr>
        <w:t>pervidere</w:t>
      </w:r>
      <w:r>
        <w:rPr>
          <w:b/>
          <w:i w:val="0"/>
        </w:rPr>
        <w:t>.</w:t>
      </w:r>
      <w:r>
        <w:rPr>
          <w:b w:val="0"/>
          <w:i w:val="0"/>
        </w:rPr>
        <w:t xml:space="preserve"> Printed forms: </w:t>
      </w:r>
      <w:r>
        <w:rPr>
          <w:b w:val="0"/>
          <w:i/>
        </w:rPr>
        <w:t>pervidere</w:t>
      </w:r>
      <w:r>
        <w:rPr>
          <w:b w:val="0"/>
          <w:i w:val="0"/>
        </w:rPr>
        <w:t>.</w:t>
      </w:r>
    </w:p>
    <w:p>
      <w:pPr>
        <w:widowControl/>
      </w:pPr>
      <w:r>
        <w:rPr>
          <w:b w:val="0"/>
          <w:i w:val="0"/>
        </w:rPr>
        <w:t xml:space="preserve">To discern fully or see through an obscuring condition. The printed correction concerns the ordinary soul’s inability to see itself apart from bodily contamination. References: </w:t>
      </w:r>
      <w:hyperlink w:anchor="passage-vi-2-13">
        <w:r>
          <w:rPr>
            <w:color w:val="000000"/>
          </w:rPr>
          <w:t xml:space="preserve">VI.2.13</w:t>
        </w:r>
      </w:hyperlink>
      <w:r>
        <w:rPr>
          <w:b w:val="0"/>
          <w:i w:val="0"/>
        </w:rPr>
        <w:t xml:space="preserve">. See </w:t>
      </w:r>
      <w:hyperlink w:anchor="avicenna-imagined-adult">
        <w:r>
          <w:rPr>
            <w:color w:val="000000"/>
          </w:rPr>
          <w:t xml:space="preserve">Avicenna’s imagined adult</w:t>
        </w:r>
      </w:hyperlink>
      <w:r>
        <w:rPr>
          <w:b w:val="0"/>
          <w:i w:val="0"/>
        </w:rPr>
        <w:t>.</w:t>
      </w:r>
    </w:p>
    <w:p>
      <w:pPr>
        <w:keepNext/>
        <w:widowControl/>
      </w:pPr>
      <w:bookmarkStart w:id="1184" w:name="latin-record-0943"/>
      <w:bookmarkEnd w:id="1184"/>
      <w:r>
        <w:rPr>
          <w:b/>
          <w:i w:val="0"/>
        </w:rPr>
        <w:t>pes / manus / os</w:t>
      </w:r>
      <w:r>
        <w:rPr>
          <w:b/>
          <w:i w:val="0"/>
        </w:rPr>
        <w:t>.</w:t>
      </w:r>
      <w:r>
        <w:rPr>
          <w:b w:val="0"/>
          <w:i w:val="0"/>
        </w:rPr>
        <w:t xml:space="preserve"> Printed forms: </w:t>
      </w:r>
      <w:r>
        <w:rPr>
          <w:b w:val="0"/>
          <w:i/>
        </w:rPr>
        <w:t>manus</w:t>
      </w:r>
      <w:r>
        <w:rPr>
          <w:b w:val="0"/>
          <w:i w:val="0"/>
        </w:rPr>
        <w:t xml:space="preserve">; </w:t>
      </w:r>
      <w:r>
        <w:rPr>
          <w:b w:val="0"/>
          <w:i/>
        </w:rPr>
        <w:t>os</w:t>
      </w:r>
      <w:r>
        <w:rPr>
          <w:b w:val="0"/>
          <w:i w:val="0"/>
        </w:rPr>
        <w:t xml:space="preserve">; </w:t>
      </w:r>
      <w:r>
        <w:rPr>
          <w:b w:val="0"/>
          <w:i/>
        </w:rPr>
        <w:t>pede</w:t>
      </w:r>
      <w:r>
        <w:rPr>
          <w:b w:val="0"/>
          <w:i w:val="0"/>
        </w:rPr>
        <w:t xml:space="preserve">; </w:t>
      </w:r>
      <w:r>
        <w:rPr>
          <w:b w:val="0"/>
          <w:i/>
        </w:rPr>
        <w:t>pedis</w:t>
      </w:r>
      <w:r>
        <w:rPr>
          <w:b w:val="0"/>
          <w:i w:val="0"/>
        </w:rPr>
        <w:t xml:space="preserve">; </w:t>
      </w:r>
      <w:r>
        <w:rPr>
          <w:b w:val="0"/>
          <w:i/>
        </w:rPr>
        <w:t>pes</w:t>
      </w:r>
      <w:r>
        <w:rPr>
          <w:b w:val="0"/>
          <w:i w:val="0"/>
        </w:rPr>
        <w:t>.</w:t>
      </w:r>
    </w:p>
    <w:p>
      <w:pPr>
        <w:widowControl/>
      </w:pPr>
      <w:r>
        <w:rPr>
          <w:b w:val="0"/>
          <w:i w:val="0"/>
        </w:rPr>
        <w:t xml:space="preserve">Foot, hand and mouth in the coordinated response to injury. The eye turns, the hand approaches and the mouth cries out; the soul’s unified command links these distinct organs. References: </w:t>
      </w:r>
      <w:hyperlink w:anchor="passage-vii-5-1">
        <w:r>
          <w:rPr>
            <w:color w:val="000000"/>
          </w:rPr>
          <w:t xml:space="preserve">VII.5.1</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185" w:name="latin-record-0944"/>
      <w:bookmarkEnd w:id="1185"/>
      <w:r>
        <w:rPr>
          <w:b/>
          <w:i w:val="0"/>
        </w:rPr>
        <w:t>Petrus Leo Spoletinus</w:t>
      </w:r>
      <w:r>
        <w:rPr>
          <w:b/>
          <w:i w:val="0"/>
        </w:rPr>
        <w:t>.</w:t>
      </w:r>
      <w:r>
        <w:rPr>
          <w:b w:val="0"/>
          <w:i w:val="0"/>
        </w:rPr>
        <w:t xml:space="preserve"> Printed forms: </w:t>
      </w:r>
      <w:r>
        <w:rPr>
          <w:b w:val="0"/>
          <w:i/>
        </w:rPr>
        <w:t>Petri Leonis Spoletini</w:t>
      </w:r>
      <w:r>
        <w:rPr>
          <w:b w:val="0"/>
          <w:i w:val="0"/>
        </w:rPr>
        <w:t>.</w:t>
      </w:r>
    </w:p>
    <w:p>
      <w:pPr>
        <w:widowControl/>
      </w:pPr>
      <w:r>
        <w:rPr>
          <w:b w:val="0"/>
          <w:i w:val="0"/>
        </w:rPr>
        <w:t xml:space="preserve">Pier Leone of Spoleto, praised as joining Platonic with Peripatetic teaching. His reported judgement reinforces the cross-school framing, not a claim that all doctrines of both schools are identical. References: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186" w:name="latin-record-0945"/>
      <w:bookmarkEnd w:id="1186"/>
      <w:r>
        <w:rPr>
          <w:b/>
          <w:i w:val="0"/>
        </w:rPr>
        <w:t>phantasia</w:t>
      </w:r>
      <w:r>
        <w:rPr>
          <w:b/>
          <w:i w:val="0"/>
        </w:rPr>
        <w:t>.</w:t>
      </w:r>
      <w:r>
        <w:rPr>
          <w:b w:val="0"/>
          <w:i w:val="0"/>
        </w:rPr>
        <w:t xml:space="preserve"> Printed forms: </w:t>
      </w:r>
      <w:r>
        <w:rPr>
          <w:b w:val="0"/>
          <w:i/>
        </w:rPr>
        <w:t>phantasia</w:t>
      </w:r>
      <w:r>
        <w:rPr>
          <w:b w:val="0"/>
          <w:i w:val="0"/>
        </w:rPr>
        <w:t xml:space="preserve">; </w:t>
      </w:r>
      <w:r>
        <w:rPr>
          <w:b w:val="0"/>
          <w:i/>
        </w:rPr>
        <w:t>Phantasia</w:t>
      </w:r>
      <w:r>
        <w:rPr>
          <w:b w:val="0"/>
          <w:i w:val="0"/>
        </w:rPr>
        <w:t xml:space="preserve">; </w:t>
      </w:r>
      <w:r>
        <w:rPr>
          <w:b w:val="0"/>
          <w:i/>
        </w:rPr>
        <w:t>phantasiae</w:t>
      </w:r>
      <w:r>
        <w:rPr>
          <w:b w:val="0"/>
          <w:i w:val="0"/>
        </w:rPr>
        <w:t xml:space="preserve">; </w:t>
      </w:r>
      <w:r>
        <w:rPr>
          <w:b w:val="0"/>
          <w:i/>
        </w:rPr>
        <w:t>phantasiam</w:t>
      </w:r>
      <w:r>
        <w:rPr>
          <w:b w:val="0"/>
          <w:i w:val="0"/>
        </w:rPr>
        <w:t>.</w:t>
      </w:r>
    </w:p>
    <w:p>
      <w:pPr>
        <w:widowControl/>
      </w:pPr>
      <w:r>
        <w:rPr>
          <w:b w:val="0"/>
          <w:i w:val="0"/>
        </w:rPr>
        <w:t xml:space="preserve">Imagination, identified here with internal sense. Its material consists of bodily figures and qualities received through sense, explaining why it cannot alone define incorporeal soul. References: </w:t>
      </w:r>
      <w:hyperlink w:anchor="passage-vi-2-2">
        <w:r>
          <w:rPr>
            <w:color w:val="000000"/>
          </w:rPr>
          <w:t xml:space="preserve">VI.2.2</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widowControl/>
      </w:pPr>
      <w:r>
        <w:rPr>
          <w:b w:val="0"/>
          <w:i w:val="0"/>
        </w:rPr>
        <w:t xml:space="preserve">Imagination as an attending and judging sensory power. It judges bodily events and shares distress; its sorrow or joy can affect the same soul’s nourishment. References: </w:t>
      </w:r>
      <w:hyperlink w:anchor="passage-vii-6-1">
        <w:r>
          <w:rPr>
            <w:color w:val="000000"/>
          </w:rPr>
          <w:t xml:space="preserve">VII.6.1</w:t>
        </w:r>
      </w:hyperlink>
      <w:r>
        <w:rPr>
          <w:b w:val="0"/>
          <w:i w:val="0"/>
        </w:rPr>
        <w:t xml:space="preserve">, </w:t>
      </w:r>
      <w:hyperlink w:anchor="passage-vii-6-2">
        <w:r>
          <w:rPr>
            <w:color w:val="000000"/>
          </w:rPr>
          <w:t xml:space="preserve">VII.6.2</w:t>
        </w:r>
      </w:hyperlink>
      <w:r>
        <w:rPr>
          <w:b w:val="0"/>
          <w:i w:val="0"/>
        </w:rPr>
        <w:t xml:space="preserve">, </w:t>
      </w:r>
      <w:hyperlink w:anchor="passage-vii-9-2">
        <w:r>
          <w:rPr>
            <w:color w:val="000000"/>
          </w:rPr>
          <w:t xml:space="preserve">VII.9.2</w:t>
        </w:r>
      </w:hyperlink>
      <w:r>
        <w:rPr>
          <w:b w:val="0"/>
          <w:i w:val="0"/>
        </w:rPr>
        <w:t xml:space="preserve">. See </w:t>
      </w:r>
      <w:hyperlink w:anchor="vii-sensation-attention">
        <w:r>
          <w:rPr>
            <w:color w:val="000000"/>
          </w:rPr>
          <w:t xml:space="preserve">Sensation as attentive activity</w:t>
        </w:r>
      </w:hyperlink>
      <w:r>
        <w:rPr>
          <w:b w:val="0"/>
          <w:i w:val="0"/>
        </w:rPr>
        <w:t>.</w:t>
      </w:r>
    </w:p>
    <w:p>
      <w:pPr>
        <w:widowControl/>
      </w:pPr>
      <w:r>
        <w:rPr>
          <w:b w:val="0"/>
          <w:i w:val="0"/>
        </w:rPr>
        <w:t xml:space="preserve">Particularizing recognition and judgment operating upon an imagined presentation. It recognizes Plato as this good or beautiful friend but remains bound to his singular circumstances and does not recognize its intentions as incorporeal.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1187" w:name="latin-record-0946"/>
      <w:bookmarkEnd w:id="1187"/>
      <w:r>
        <w:rPr>
          <w:b/>
          <w:i w:val="0"/>
        </w:rPr>
        <w:t>philosophari</w:t>
      </w:r>
      <w:r>
        <w:rPr>
          <w:b/>
          <w:i w:val="0"/>
        </w:rPr>
        <w:t>.</w:t>
      </w:r>
      <w:r>
        <w:rPr>
          <w:b w:val="0"/>
          <w:i w:val="0"/>
        </w:rPr>
        <w:t xml:space="preserve"> Printed forms: </w:t>
      </w:r>
      <w:r>
        <w:rPr>
          <w:b w:val="0"/>
          <w:i/>
        </w:rPr>
        <w:t>philosophamur</w:t>
      </w:r>
      <w:r>
        <w:rPr>
          <w:b w:val="0"/>
          <w:i w:val="0"/>
        </w:rPr>
        <w:t>.</w:t>
      </w:r>
    </w:p>
    <w:p>
      <w:pPr>
        <w:widowControl/>
      </w:pPr>
      <w:r>
        <w:rPr>
          <w:b w:val="0"/>
          <w:i w:val="0"/>
        </w:rPr>
        <w:t xml:space="preserve">To philosophize, engage in reflective intellectual inquiry. The mind’s eager and fruitful commerce with stable principles while leaving mutable bodily concerns behind supplies an experiential argument. References: </w:t>
      </w:r>
      <w:hyperlink w:anchor="passage-v-15-18">
        <w:r>
          <w:rPr>
            <w:color w:val="000000"/>
          </w:rPr>
          <w:t xml:space="preserve">V.15.18</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1188" w:name="latin-record-0947"/>
      <w:bookmarkEnd w:id="1188"/>
      <w:r>
        <w:rPr>
          <w:b/>
          <w:i w:val="0"/>
        </w:rPr>
        <w:t>phrenesis; somnus; ebrietas</w:t>
      </w:r>
      <w:r>
        <w:rPr>
          <w:b/>
          <w:i w:val="0"/>
        </w:rPr>
        <w:t>.</w:t>
      </w:r>
      <w:r>
        <w:rPr>
          <w:b w:val="0"/>
          <w:i w:val="0"/>
        </w:rPr>
        <w:t xml:space="preserve"> Printed forms: </w:t>
      </w:r>
      <w:r>
        <w:rPr>
          <w:b w:val="0"/>
          <w:i/>
        </w:rPr>
        <w:t>ebrietatem</w:t>
      </w:r>
      <w:r>
        <w:rPr>
          <w:b w:val="0"/>
          <w:i w:val="0"/>
        </w:rPr>
        <w:t xml:space="preserve">; </w:t>
      </w:r>
      <w:r>
        <w:rPr>
          <w:b w:val="0"/>
          <w:i/>
        </w:rPr>
        <w:t>phrenesim</w:t>
      </w:r>
      <w:r>
        <w:rPr>
          <w:b w:val="0"/>
          <w:i w:val="0"/>
        </w:rPr>
        <w:t xml:space="preserve">; </w:t>
      </w:r>
      <w:r>
        <w:rPr>
          <w:b w:val="0"/>
          <w:i/>
        </w:rPr>
        <w:t>somnum</w:t>
      </w:r>
      <w:r>
        <w:rPr>
          <w:b w:val="0"/>
          <w:i w:val="0"/>
        </w:rPr>
        <w:t>.</w:t>
      </w:r>
    </w:p>
    <w:p>
      <w:pPr>
        <w:widowControl/>
      </w:pPr>
      <w:r>
        <w:rPr>
          <w:b w:val="0"/>
          <w:i w:val="0"/>
        </w:rPr>
        <w:t xml:space="preserve">Frenzy, sleep and intoxication as comparisons for deceptive imagery. They illustrate the soul’s disorientation on descent in Ficino’s historical account, not clinical advice. References: </w:t>
      </w:r>
      <w:hyperlink w:anchor="passage-vi-2-17">
        <w:r>
          <w:rPr>
            <w:color w:val="000000"/>
          </w:rPr>
          <w:t xml:space="preserve">VI.2.17</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189" w:name="latin-record-0948"/>
      <w:bookmarkEnd w:id="1189"/>
      <w:r>
        <w:rPr>
          <w:b/>
          <w:i w:val="0"/>
        </w:rPr>
        <w:t>physicus Aristoteles; plurimum</w:t>
      </w:r>
      <w:r>
        <w:rPr>
          <w:b/>
          <w:i w:val="0"/>
        </w:rPr>
        <w:t>.</w:t>
      </w:r>
      <w:r>
        <w:rPr>
          <w:b w:val="0"/>
          <w:i w:val="0"/>
        </w:rPr>
        <w:t xml:space="preserve"> Printed forms: </w:t>
      </w:r>
      <w:r>
        <w:rPr>
          <w:b w:val="0"/>
          <w:i/>
        </w:rPr>
        <w:t>physicus Aristoteles</w:t>
      </w:r>
      <w:r>
        <w:rPr>
          <w:b w:val="0"/>
          <w:i w:val="0"/>
        </w:rPr>
        <w:t xml:space="preserve">; </w:t>
      </w:r>
      <w:r>
        <w:rPr>
          <w:b w:val="0"/>
          <w:i/>
        </w:rPr>
        <w:t>plurimum</w:t>
      </w:r>
      <w:r>
        <w:rPr>
          <w:b w:val="0"/>
          <w:i w:val="0"/>
        </w:rPr>
        <w:t>.</w:t>
      </w:r>
    </w:p>
    <w:p>
      <w:pPr>
        <w:widowControl/>
      </w:pPr>
      <w:r>
        <w:rPr>
          <w:b w:val="0"/>
          <w:i w:val="0"/>
        </w:rPr>
        <w:t xml:space="preserve">Aristotle as natural philosopher; for the most part or to a great extent. The qualifier restricts the statement that Aristotle follows the ancient theologians’ footsteps. References: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1190" w:name="latin-record-0949"/>
      <w:bookmarkEnd w:id="1190"/>
      <w:r>
        <w:rPr>
          <w:b/>
          <w:i w:val="0"/>
        </w:rPr>
        <w:t>pictor / pictura</w:t>
      </w:r>
      <w:r>
        <w:rPr>
          <w:b/>
          <w:i w:val="0"/>
        </w:rPr>
        <w:t>.</w:t>
      </w:r>
      <w:r>
        <w:rPr>
          <w:b w:val="0"/>
          <w:i w:val="0"/>
        </w:rPr>
        <w:t xml:space="preserve"> Printed forms: </w:t>
      </w:r>
      <w:r>
        <w:rPr>
          <w:b w:val="0"/>
          <w:i/>
        </w:rPr>
        <w:t>picti</w:t>
      </w:r>
      <w:r>
        <w:rPr>
          <w:b w:val="0"/>
          <w:i w:val="0"/>
        </w:rPr>
        <w:t xml:space="preserve">; </w:t>
      </w:r>
      <w:r>
        <w:rPr>
          <w:b w:val="0"/>
          <w:i/>
        </w:rPr>
        <w:t>pictor</w:t>
      </w:r>
      <w:r>
        <w:rPr>
          <w:b w:val="0"/>
          <w:i w:val="0"/>
        </w:rPr>
        <w:t xml:space="preserve">; </w:t>
      </w:r>
      <w:r>
        <w:rPr>
          <w:b w:val="0"/>
          <w:i/>
        </w:rPr>
        <w:t>pictore</w:t>
      </w:r>
      <w:r>
        <w:rPr>
          <w:b w:val="0"/>
          <w:i w:val="0"/>
        </w:rPr>
        <w:t xml:space="preserve">; </w:t>
      </w:r>
      <w:r>
        <w:rPr>
          <w:b w:val="0"/>
          <w:i/>
        </w:rPr>
        <w:t>picturam</w:t>
      </w:r>
      <w:r>
        <w:rPr>
          <w:b w:val="0"/>
          <w:i w:val="0"/>
        </w:rPr>
        <w:t>.</w:t>
      </w:r>
    </w:p>
    <w:p>
      <w:pPr>
        <w:widowControl/>
      </w:pPr>
      <w:r>
        <w:rPr>
          <w:b w:val="0"/>
          <w:i w:val="0"/>
        </w:rPr>
        <w:t xml:space="preserve">Painter, painting and painted, the exemplification of unequal products from one agent. A human figure and horse can differ because the painter uses different exemplars; immediate divine source does not equalize angel and soul. References: </w:t>
      </w:r>
      <w:hyperlink w:anchor="passage-v-13-16">
        <w:r>
          <w:rPr>
            <w:color w:val="000000"/>
          </w:rPr>
          <w:t xml:space="preserve">V.13.16</w:t>
        </w:r>
      </w:hyperlink>
      <w:r>
        <w:rPr>
          <w:b w:val="0"/>
          <w:i w:val="0"/>
        </w:rPr>
        <w:t xml:space="preserve">. See </w:t>
      </w:r>
      <w:hyperlink w:anchor="ariston-sculptor-and-painter">
        <w:r>
          <w:rPr>
            <w:color w:val="000000"/>
          </w:rPr>
          <w:t xml:space="preserve">Ariston, sculptor and painter</w:t>
        </w:r>
      </w:hyperlink>
      <w:r>
        <w:rPr>
          <w:b w:val="0"/>
          <w:i w:val="0"/>
        </w:rPr>
        <w:t>.</w:t>
      </w:r>
    </w:p>
    <w:p>
      <w:pPr>
        <w:keepNext/>
        <w:widowControl/>
      </w:pPr>
      <w:bookmarkStart w:id="1191" w:name="latin-record-0950"/>
      <w:bookmarkEnd w:id="1191"/>
      <w:r>
        <w:rPr>
          <w:b/>
          <w:i w:val="0"/>
        </w:rPr>
        <w:t>pingere in se / aere / pariete</w:t>
      </w:r>
      <w:r>
        <w:rPr>
          <w:b/>
          <w:i w:val="0"/>
        </w:rPr>
        <w:t>.</w:t>
      </w:r>
      <w:r>
        <w:rPr>
          <w:b w:val="0"/>
          <w:i w:val="0"/>
        </w:rPr>
        <w:t xml:space="preserve"> Printed forms: </w:t>
      </w:r>
      <w:r>
        <w:rPr>
          <w:b w:val="0"/>
          <w:i/>
        </w:rPr>
        <w:t>aere</w:t>
      </w:r>
      <w:r>
        <w:rPr>
          <w:b w:val="0"/>
          <w:i w:val="0"/>
        </w:rPr>
        <w:t xml:space="preserve">; </w:t>
      </w:r>
      <w:r>
        <w:rPr>
          <w:b w:val="0"/>
          <w:i/>
        </w:rPr>
        <w:t>linguam</w:t>
      </w:r>
      <w:r>
        <w:rPr>
          <w:b w:val="0"/>
          <w:i w:val="0"/>
        </w:rPr>
        <w:t xml:space="preserve">; </w:t>
      </w:r>
      <w:r>
        <w:rPr>
          <w:b w:val="0"/>
          <w:i/>
        </w:rPr>
        <w:t>manum</w:t>
      </w:r>
      <w:r>
        <w:rPr>
          <w:b w:val="0"/>
          <w:i w:val="0"/>
        </w:rPr>
        <w:t xml:space="preserve">; </w:t>
      </w:r>
      <w:r>
        <w:rPr>
          <w:b w:val="0"/>
          <w:i/>
        </w:rPr>
        <w:t>pariete</w:t>
      </w:r>
      <w:r>
        <w:rPr>
          <w:b w:val="0"/>
          <w:i w:val="0"/>
        </w:rPr>
        <w:t xml:space="preserve">; </w:t>
      </w:r>
      <w:r>
        <w:rPr>
          <w:b w:val="0"/>
          <w:i/>
        </w:rPr>
        <w:t>pingit</w:t>
      </w:r>
      <w:r>
        <w:rPr>
          <w:b w:val="0"/>
          <w:i w:val="0"/>
        </w:rPr>
        <w:t>.</w:t>
      </w:r>
    </w:p>
    <w:p>
      <w:pPr>
        <w:widowControl/>
      </w:pPr>
      <w:r>
        <w:rPr>
          <w:b w:val="0"/>
          <w:i w:val="0"/>
        </w:rPr>
        <w:t xml:space="preserve">Painting inwardly, speaking in air and making an image on a wall. Ficino grants inward representations a reality as products, comparable to outward signs; this does not make their depicted objects actual. References: </w:t>
      </w:r>
      <w:hyperlink w:anchor="passage-viii-16-2">
        <w:r>
          <w:rPr>
            <w:color w:val="000000"/>
          </w:rPr>
          <w:t xml:space="preserve">VIII.16.2</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1192" w:name="latin-record-0951"/>
      <w:bookmarkEnd w:id="1192"/>
      <w:r>
        <w:rPr>
          <w:b/>
          <w:i w:val="0"/>
        </w:rPr>
        <w:t>pinguis / tenuis / grandis / pusillus</w:t>
      </w:r>
      <w:r>
        <w:rPr>
          <w:b/>
          <w:i w:val="0"/>
        </w:rPr>
        <w:t>.</w:t>
      </w:r>
      <w:r>
        <w:rPr>
          <w:b w:val="0"/>
          <w:i w:val="0"/>
        </w:rPr>
        <w:t xml:space="preserve"> Printed forms: </w:t>
      </w:r>
      <w:r>
        <w:rPr>
          <w:b w:val="0"/>
          <w:i/>
        </w:rPr>
        <w:t>grandi</w:t>
      </w:r>
      <w:r>
        <w:rPr>
          <w:b w:val="0"/>
          <w:i w:val="0"/>
        </w:rPr>
        <w:t xml:space="preserve">; </w:t>
      </w:r>
      <w:r>
        <w:rPr>
          <w:b w:val="0"/>
          <w:i/>
        </w:rPr>
        <w:t>grandiorem</w:t>
      </w:r>
      <w:r>
        <w:rPr>
          <w:b w:val="0"/>
          <w:i w:val="0"/>
        </w:rPr>
        <w:t xml:space="preserve">; </w:t>
      </w:r>
      <w:r>
        <w:rPr>
          <w:b w:val="0"/>
          <w:i/>
        </w:rPr>
        <w:t>parvo</w:t>
      </w:r>
      <w:r>
        <w:rPr>
          <w:b w:val="0"/>
          <w:i w:val="0"/>
        </w:rPr>
        <w:t xml:space="preserve">; </w:t>
      </w:r>
      <w:r>
        <w:rPr>
          <w:b w:val="0"/>
          <w:i/>
        </w:rPr>
        <w:t>pingui</w:t>
      </w:r>
      <w:r>
        <w:rPr>
          <w:b w:val="0"/>
          <w:i w:val="0"/>
        </w:rPr>
        <w:t xml:space="preserve">; </w:t>
      </w:r>
      <w:r>
        <w:rPr>
          <w:b w:val="0"/>
          <w:i/>
        </w:rPr>
        <w:t>pusillus</w:t>
      </w:r>
      <w:r>
        <w:rPr>
          <w:b w:val="0"/>
          <w:i w:val="0"/>
        </w:rPr>
        <w:t xml:space="preserve">; </w:t>
      </w:r>
      <w:r>
        <w:rPr>
          <w:b w:val="0"/>
          <w:i/>
        </w:rPr>
        <w:t>tenui</w:t>
      </w:r>
      <w:r>
        <w:rPr>
          <w:b w:val="0"/>
          <w:i w:val="0"/>
        </w:rPr>
        <w:t>.</w:t>
      </w:r>
    </w:p>
    <w:p>
      <w:pPr>
        <w:widowControl/>
      </w:pPr>
      <w:r>
        <w:rPr>
          <w:b w:val="0"/>
          <w:i w:val="0"/>
        </w:rPr>
        <w:t xml:space="preserve">Stout, slender, large or small bodily conditions. The examples break the supposed proportional relation between bodily size and mental greatness or effective courage.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1193" w:name="latin-record-0952"/>
      <w:bookmarkEnd w:id="1193"/>
      <w:r>
        <w:rPr>
          <w:b/>
          <w:i w:val="0"/>
        </w:rPr>
        <w:t>Plato / Socrates</w:t>
      </w:r>
      <w:r>
        <w:rPr>
          <w:b/>
          <w:i w:val="0"/>
        </w:rPr>
        <w:t>.</w:t>
      </w:r>
      <w:r>
        <w:rPr>
          <w:b w:val="0"/>
          <w:i w:val="0"/>
        </w:rPr>
        <w:t xml:space="preserve"> Printed forms: </w:t>
      </w:r>
      <w:r>
        <w:rPr>
          <w:b w:val="0"/>
          <w:i/>
        </w:rPr>
        <w:t>Plato</w:t>
      </w:r>
      <w:r>
        <w:rPr>
          <w:b w:val="0"/>
          <w:i w:val="0"/>
        </w:rPr>
        <w:t xml:space="preserve">; </w:t>
      </w:r>
      <w:r>
        <w:rPr>
          <w:b w:val="0"/>
          <w:i/>
        </w:rPr>
        <w:t>Platonem</w:t>
      </w:r>
      <w:r>
        <w:rPr>
          <w:b w:val="0"/>
          <w:i w:val="0"/>
        </w:rPr>
        <w:t xml:space="preserve">; </w:t>
      </w:r>
      <w:r>
        <w:rPr>
          <w:b w:val="0"/>
          <w:i/>
        </w:rPr>
        <w:t>Platonis</w:t>
      </w:r>
      <w:r>
        <w:rPr>
          <w:b w:val="0"/>
          <w:i w:val="0"/>
        </w:rPr>
        <w:t xml:space="preserve">; </w:t>
      </w:r>
      <w:r>
        <w:rPr>
          <w:b w:val="0"/>
          <w:i/>
        </w:rPr>
        <w:t>Socrates</w:t>
      </w:r>
      <w:r>
        <w:rPr>
          <w:b w:val="0"/>
          <w:i w:val="0"/>
        </w:rPr>
        <w:t xml:space="preserve">; </w:t>
      </w:r>
      <w:r>
        <w:rPr>
          <w:b w:val="0"/>
          <w:i/>
        </w:rPr>
        <w:t>Socratici</w:t>
      </w:r>
      <w:r>
        <w:rPr>
          <w:b w:val="0"/>
          <w:i w:val="0"/>
        </w:rPr>
        <w:t xml:space="preserve">; </w:t>
      </w:r>
      <w:r>
        <w:rPr>
          <w:b w:val="0"/>
          <w:i/>
        </w:rPr>
        <w:t>Socratico</w:t>
      </w:r>
      <w:r>
        <w:rPr>
          <w:b w:val="0"/>
          <w:i w:val="0"/>
        </w:rPr>
        <w:t xml:space="preserve">; </w:t>
      </w:r>
      <w:r>
        <w:rPr>
          <w:b w:val="0"/>
          <w:i/>
        </w:rPr>
        <w:t>Socratis</w:t>
      </w:r>
      <w:r>
        <w:rPr>
          <w:b w:val="0"/>
          <w:i w:val="0"/>
        </w:rPr>
        <w:t>.</w:t>
      </w:r>
    </w:p>
    <w:p>
      <w:pPr>
        <w:widowControl/>
      </w:pPr>
      <w:r>
        <w:rPr>
          <w:b w:val="0"/>
          <w:i w:val="0"/>
        </w:rPr>
        <w:t xml:space="preserve">Named individual humans whose existence requires particular temporal and local conditions. Their individuality contrasts with common humanity; Plato later serves as Ariston’s determinate offspring. References: </w:t>
      </w:r>
      <w:hyperlink w:anchor="passage-v-7-1">
        <w:r>
          <w:rPr>
            <w:color w:val="000000"/>
          </w:rPr>
          <w:t xml:space="preserve">V.7.1</w:t>
        </w:r>
      </w:hyperlink>
      <w:r>
        <w:rPr>
          <w:b w:val="0"/>
          <w:i w:val="0"/>
        </w:rPr>
        <w:t xml:space="preserve">, </w:t>
      </w:r>
      <w:hyperlink w:anchor="passage-v-8-1">
        <w:r>
          <w:rPr>
            <w:color w:val="000000"/>
          </w:rPr>
          <w:t xml:space="preserve">V.8.1</w:t>
        </w:r>
      </w:hyperlink>
      <w:r>
        <w:rPr>
          <w:b w:val="0"/>
          <w:i w:val="0"/>
        </w:rPr>
        <w:t xml:space="preserve">, </w:t>
      </w:r>
      <w:hyperlink w:anchor="passage-v-13-5">
        <w:r>
          <w:rPr>
            <w:color w:val="000000"/>
          </w:rPr>
          <w:t xml:space="preserve">V.13.5</w:t>
        </w:r>
      </w:hyperlink>
      <w:r>
        <w:rPr>
          <w:b w:val="0"/>
          <w:i w:val="0"/>
        </w:rPr>
        <w:t xml:space="preserve">. See </w:t>
      </w:r>
      <w:hyperlink w:anchor="comets-and-defining-accounts">
        <w:r>
          <w:rPr>
            <w:color w:val="000000"/>
          </w:rPr>
          <w:t xml:space="preserve">Comets and defining accounts</w:t>
        </w:r>
      </w:hyperlink>
      <w:r>
        <w:rPr>
          <w:b w:val="0"/>
          <w:i w:val="0"/>
        </w:rPr>
        <w:t>.</w:t>
      </w:r>
    </w:p>
    <w:p>
      <w:pPr>
        <w:widowControl/>
      </w:pPr>
      <w:r>
        <w:rPr>
          <w:b w:val="0"/>
          <w:i w:val="0"/>
        </w:rPr>
        <w:t xml:space="preserve">Named persons serving as perceived object and perceiver in the optical thought experiment. Socrates judges Plato through an image; the dimensions of that image are compared with Socrates’ organs and body.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194" w:name="latin-record-0953"/>
      <w:bookmarkEnd w:id="1194"/>
      <w:r>
        <w:rPr>
          <w:b/>
          <w:i w:val="0"/>
        </w:rPr>
        <w:t>Platonici; Peripatetici</w:t>
      </w:r>
      <w:r>
        <w:rPr>
          <w:b/>
          <w:i w:val="0"/>
        </w:rPr>
        <w:t>.</w:t>
      </w:r>
      <w:r>
        <w:rPr>
          <w:b w:val="0"/>
          <w:i w:val="0"/>
        </w:rPr>
        <w:t xml:space="preserve"> Printed forms: </w:t>
      </w:r>
      <w:r>
        <w:rPr>
          <w:b w:val="0"/>
          <w:i/>
        </w:rPr>
        <w:t>Peripatetici</w:t>
      </w:r>
      <w:r>
        <w:rPr>
          <w:b w:val="0"/>
          <w:i w:val="0"/>
        </w:rPr>
        <w:t xml:space="preserve">; </w:t>
      </w:r>
      <w:r>
        <w:rPr>
          <w:b w:val="0"/>
          <w:i/>
        </w:rPr>
        <w:t>Peripateticis</w:t>
      </w:r>
      <w:r>
        <w:rPr>
          <w:b w:val="0"/>
          <w:i w:val="0"/>
        </w:rPr>
        <w:t xml:space="preserve">; </w:t>
      </w:r>
      <w:r>
        <w:rPr>
          <w:b w:val="0"/>
          <w:i/>
        </w:rPr>
        <w:t>Platonici</w:t>
      </w:r>
      <w:r>
        <w:rPr>
          <w:b w:val="0"/>
          <w:i w:val="0"/>
        </w:rPr>
        <w:t xml:space="preserve">; </w:t>
      </w:r>
      <w:r>
        <w:rPr>
          <w:b w:val="0"/>
          <w:i/>
        </w:rPr>
        <w:t>Platonicus</w:t>
      </w:r>
      <w:r>
        <w:rPr>
          <w:b w:val="0"/>
          <w:i w:val="0"/>
        </w:rPr>
        <w:t>.</w:t>
      </w:r>
    </w:p>
    <w:p>
      <w:pPr>
        <w:widowControl/>
      </w:pPr>
      <w:r>
        <w:rPr>
          <w:b w:val="0"/>
          <w:i w:val="0"/>
        </w:rPr>
        <w:t xml:space="preserve">Platonists and Peripatetics as the schools named or represented by Ficino. The text attributes particular vocabulary and replies to a school, while its opening social frame also stresses agreement across schools; a local attribution is not a universal historical claim. References: </w:t>
      </w:r>
      <w:hyperlink w:anchor="passage-vi-1-6">
        <w:r>
          <w:rPr>
            <w:color w:val="000000"/>
          </w:rPr>
          <w:t xml:space="preserve">VI.1.6</w:t>
        </w:r>
      </w:hyperlink>
      <w:r>
        <w:rPr>
          <w:b w:val="0"/>
          <w:i w:val="0"/>
        </w:rPr>
        <w:t xml:space="preserve">, </w:t>
      </w:r>
      <w:hyperlink w:anchor="passage-vi-2-1">
        <w:r>
          <w:rPr>
            <w:color w:val="000000"/>
          </w:rPr>
          <w:t xml:space="preserve">VI.2.1</w:t>
        </w:r>
      </w:hyperlink>
      <w:r>
        <w:rPr>
          <w:b w:val="0"/>
          <w:i w:val="0"/>
        </w:rPr>
        <w:t xml:space="preserve">, </w:t>
      </w:r>
      <w:hyperlink w:anchor="passage-vi-8-6">
        <w:r>
          <w:rPr>
            <w:color w:val="000000"/>
          </w:rPr>
          <w:t xml:space="preserve">VI.8.6</w:t>
        </w:r>
      </w:hyperlink>
      <w:r>
        <w:rPr>
          <w:b w:val="0"/>
          <w:i w:val="0"/>
        </w:rPr>
        <w:t xml:space="preserve">, </w:t>
      </w:r>
      <w:hyperlink w:anchor="passage-vi-12-13">
        <w:r>
          <w:rPr>
            <w:color w:val="000000"/>
          </w:rPr>
          <w:t xml:space="preserve">VI.12.13</w:t>
        </w:r>
      </w:hyperlink>
      <w:r>
        <w:rPr>
          <w:b w:val="0"/>
          <w:i w:val="0"/>
        </w:rPr>
        <w:t xml:space="preserve">, </w:t>
      </w:r>
      <w:hyperlink w:anchor="passage-vi-12-17">
        <w:r>
          <w:rPr>
            <w:color w:val="000000"/>
          </w:rPr>
          <w:t xml:space="preserve">VI.12.17</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195" w:name="latin-record-0954"/>
      <w:bookmarkEnd w:id="1195"/>
      <w:r>
        <w:rPr>
          <w:b/>
          <w:i w:val="0"/>
        </w:rPr>
        <w:t>plebeus; minutus</w:t>
      </w:r>
      <w:r>
        <w:rPr>
          <w:b/>
          <w:i w:val="0"/>
        </w:rPr>
        <w:t>.</w:t>
      </w:r>
      <w:r>
        <w:rPr>
          <w:b w:val="0"/>
          <w:i w:val="0"/>
        </w:rPr>
        <w:t xml:space="preserve"> Printed forms: </w:t>
      </w:r>
      <w:r>
        <w:rPr>
          <w:b w:val="0"/>
          <w:i/>
        </w:rPr>
        <w:t>minuti philosophi</w:t>
      </w:r>
      <w:r>
        <w:rPr>
          <w:b w:val="0"/>
          <w:i w:val="0"/>
        </w:rPr>
        <w:t xml:space="preserve">; </w:t>
      </w:r>
      <w:r>
        <w:rPr>
          <w:b w:val="0"/>
          <w:i/>
        </w:rPr>
        <w:t>plebeos philosophos</w:t>
      </w:r>
      <w:r>
        <w:rPr>
          <w:b w:val="0"/>
          <w:i w:val="0"/>
        </w:rPr>
        <w:t>.</w:t>
      </w:r>
    </w:p>
    <w:p>
      <w:pPr>
        <w:widowControl/>
      </w:pPr>
      <w:r>
        <w:rPr>
          <w:b w:val="0"/>
          <w:i w:val="0"/>
        </w:rPr>
        <w:t xml:space="preserve">Polemical descriptions of common or narrow philosophers. The labels criticize an intellectual dependence on sense; they are Ficino’s rhetoric, not neutral classifications of social worth. References: </w:t>
      </w:r>
      <w:hyperlink w:anchor="passage-vi-2-1">
        <w:r>
          <w:rPr>
            <w:color w:val="000000"/>
          </w:rPr>
          <w:t xml:space="preserve">VI.2.1</w:t>
        </w:r>
      </w:hyperlink>
      <w:r>
        <w:rPr>
          <w:b w:val="0"/>
          <w:i w:val="0"/>
        </w:rPr>
        <w:t xml:space="preserve">, </w:t>
      </w:r>
      <w:hyperlink w:anchor="passage-vi-2-10">
        <w:r>
          <w:rPr>
            <w:color w:val="000000"/>
          </w:rPr>
          <w:t xml:space="preserve">VI.2.10</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1196" w:name="latin-record-0955"/>
      <w:bookmarkEnd w:id="1196"/>
      <w:r>
        <w:rPr>
          <w:b/>
          <w:i w:val="0"/>
        </w:rPr>
        <w:t>Plotinus / Augustinus</w:t>
      </w:r>
      <w:r>
        <w:rPr>
          <w:b/>
          <w:i w:val="0"/>
        </w:rPr>
        <w:t>.</w:t>
      </w:r>
      <w:r>
        <w:rPr>
          <w:b w:val="0"/>
          <w:i w:val="0"/>
        </w:rPr>
        <w:t xml:space="preserve"> Printed forms: </w:t>
      </w:r>
      <w:r>
        <w:rPr>
          <w:b w:val="0"/>
          <w:i/>
        </w:rPr>
        <w:t>Augustinus</w:t>
      </w:r>
      <w:r>
        <w:rPr>
          <w:b w:val="0"/>
          <w:i w:val="0"/>
        </w:rPr>
        <w:t xml:space="preserve">; </w:t>
      </w:r>
      <w:r>
        <w:rPr>
          <w:b w:val="0"/>
          <w:i/>
        </w:rPr>
        <w:t>Plotinusque</w:t>
      </w:r>
      <w:r>
        <w:rPr>
          <w:b w:val="0"/>
          <w:i w:val="0"/>
        </w:rPr>
        <w:t>.</w:t>
      </w:r>
    </w:p>
    <w:p>
      <w:pPr>
        <w:widowControl/>
      </w:pPr>
      <w:r>
        <w:rPr>
          <w:b w:val="0"/>
          <w:i w:val="0"/>
        </w:rPr>
        <w:t xml:space="preserve">Authorities invoked for the active, nonpassive account of sensation. The source attributes confirmation to both; the lexicon does not claim an independent verification of the quotation’s historical wording.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197" w:name="latin-record-0956"/>
      <w:bookmarkEnd w:id="1197"/>
      <w:r>
        <w:rPr>
          <w:b/>
          <w:i w:val="0"/>
        </w:rPr>
        <w:t>Plotinus / Proclus</w:t>
      </w:r>
      <w:r>
        <w:rPr>
          <w:b/>
          <w:i w:val="0"/>
        </w:rPr>
        <w:t>.</w:t>
      </w:r>
      <w:r>
        <w:rPr>
          <w:b w:val="0"/>
          <w:i w:val="0"/>
        </w:rPr>
        <w:t xml:space="preserve"> Printed forms: </w:t>
      </w:r>
      <w:r>
        <w:rPr>
          <w:b w:val="0"/>
          <w:i/>
        </w:rPr>
        <w:t>Plotini</w:t>
      </w:r>
      <w:r>
        <w:rPr>
          <w:b w:val="0"/>
          <w:i w:val="0"/>
        </w:rPr>
        <w:t xml:space="preserve">; </w:t>
      </w:r>
      <w:r>
        <w:rPr>
          <w:b w:val="0"/>
          <w:i/>
        </w:rPr>
        <w:t>Plotinus</w:t>
      </w:r>
      <w:r>
        <w:rPr>
          <w:b w:val="0"/>
          <w:i w:val="0"/>
        </w:rPr>
        <w:t xml:space="preserve">; </w:t>
      </w:r>
      <w:r>
        <w:rPr>
          <w:b w:val="0"/>
          <w:i/>
        </w:rPr>
        <w:t>Proculus</w:t>
      </w:r>
      <w:r>
        <w:rPr>
          <w:b w:val="0"/>
          <w:i w:val="0"/>
        </w:rPr>
        <w:t xml:space="preserve">; </w:t>
      </w:r>
      <w:r>
        <w:rPr>
          <w:b w:val="0"/>
          <w:i/>
        </w:rPr>
        <w:t>Proculusque</w:t>
      </w:r>
      <w:r>
        <w:rPr>
          <w:b w:val="0"/>
          <w:i w:val="0"/>
        </w:rPr>
        <w:t>.</w:t>
      </w:r>
    </w:p>
    <w:p>
      <w:pPr>
        <w:widowControl/>
      </w:pPr>
      <w:r>
        <w:rPr>
          <w:b w:val="0"/>
          <w:i w:val="0"/>
        </w:rPr>
        <w:t xml:space="preserve">Named Platonist authorities whose claims receive different local qualifications. Analysis of being is tentatively attributed to them; the later Proclean self-generation claim is expressly left at a distance. References: </w:t>
      </w:r>
      <w:hyperlink w:anchor="passage-viii-4-12">
        <w:r>
          <w:rPr>
            <w:color w:val="000000"/>
          </w:rPr>
          <w:t xml:space="preserve">VIII.4.12</w:t>
        </w:r>
      </w:hyperlink>
      <w:r>
        <w:rPr>
          <w:b w:val="0"/>
          <w:i w:val="0"/>
        </w:rPr>
        <w:t xml:space="preserve">, </w:t>
      </w:r>
      <w:hyperlink w:anchor="passage-viii-5-2">
        <w:r>
          <w:rPr>
            <w:color w:val="000000"/>
          </w:rPr>
          <w:t xml:space="preserve">VIII.5.2</w:t>
        </w:r>
      </w:hyperlink>
      <w:r>
        <w:rPr>
          <w:b w:val="0"/>
          <w:i w:val="0"/>
        </w:rPr>
        <w:t xml:space="preserve">, </w:t>
      </w:r>
      <w:hyperlink w:anchor="passage-viii-15-2">
        <w:r>
          <w:rPr>
            <w:color w:val="000000"/>
          </w:rPr>
          <w:t xml:space="preserve">VIII.15.2</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1198" w:name="latin-record-0957"/>
      <w:bookmarkEnd w:id="1198"/>
      <w:r>
        <w:rPr>
          <w:b/>
          <w:i w:val="0"/>
        </w:rPr>
        <w:t>Plotinus / Proculus</w:t>
      </w:r>
      <w:r>
        <w:rPr>
          <w:b/>
          <w:i w:val="0"/>
        </w:rPr>
        <w:t>.</w:t>
      </w:r>
      <w:r>
        <w:rPr>
          <w:b w:val="0"/>
          <w:i w:val="0"/>
        </w:rPr>
        <w:t xml:space="preserve"> Printed forms: </w:t>
      </w:r>
      <w:r>
        <w:rPr>
          <w:b w:val="0"/>
          <w:i/>
        </w:rPr>
        <w:t>Plotinus</w:t>
      </w:r>
      <w:r>
        <w:rPr>
          <w:b w:val="0"/>
          <w:i w:val="0"/>
        </w:rPr>
        <w:t xml:space="preserve">; </w:t>
      </w:r>
      <w:r>
        <w:rPr>
          <w:b w:val="0"/>
          <w:i/>
        </w:rPr>
        <w:t>Proculus</w:t>
      </w:r>
      <w:r>
        <w:rPr>
          <w:b w:val="0"/>
          <w:i w:val="0"/>
        </w:rPr>
        <w:t>.</w:t>
      </w:r>
    </w:p>
    <w:p>
      <w:pPr>
        <w:widowControl/>
      </w:pPr>
      <w:r>
        <w:rPr>
          <w:b w:val="0"/>
          <w:i w:val="0"/>
        </w:rPr>
        <w:t xml:space="preserve">Plotinus and Proclus as Ficino’s reported Platonist interlocutors. He attributes angelic production to them here, while later naming differences over irrational soul; the particular thesis determines the alignment. References: </w:t>
      </w:r>
      <w:hyperlink w:anchor="passage-v-13-1">
        <w:r>
          <w:rPr>
            <w:color w:val="000000"/>
          </w:rPr>
          <w:t xml:space="preserve">V.13.1</w:t>
        </w:r>
      </w:hyperlink>
      <w:r>
        <w:rPr>
          <w:b w:val="0"/>
          <w:i w:val="0"/>
        </w:rPr>
        <w:t xml:space="preserve">, </w:t>
      </w:r>
      <w:hyperlink w:anchor="passage-v-14-8">
        <w:r>
          <w:rPr>
            <w:color w:val="000000"/>
          </w:rPr>
          <w:t xml:space="preserve">V.14.8</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1199" w:name="latin-record-0958"/>
      <w:bookmarkEnd w:id="1199"/>
      <w:r>
        <w:rPr>
          <w:b/>
          <w:i w:val="0"/>
        </w:rPr>
        <w:t>Plotinus; Porphyrius</w:t>
      </w:r>
      <w:r>
        <w:rPr>
          <w:b/>
          <w:i w:val="0"/>
        </w:rPr>
        <w:t>.</w:t>
      </w:r>
      <w:r>
        <w:rPr>
          <w:b w:val="0"/>
          <w:i w:val="0"/>
        </w:rPr>
        <w:t xml:space="preserve"> Printed forms: </w:t>
      </w:r>
      <w:r>
        <w:rPr>
          <w:b w:val="0"/>
          <w:i/>
        </w:rPr>
        <w:t>Plotinus Porphyriusque</w:t>
      </w:r>
      <w:r>
        <w:rPr>
          <w:b w:val="0"/>
          <w:i w:val="0"/>
        </w:rPr>
        <w:t>.</w:t>
      </w:r>
    </w:p>
    <w:p>
      <w:pPr>
        <w:widowControl/>
      </w:pPr>
      <w:r>
        <w:rPr>
          <w:b w:val="0"/>
          <w:i w:val="0"/>
        </w:rPr>
        <w:t xml:space="preserve">The authorities named for vegetative soul’s freedom from quantity. Ficino attributes their conclusion to the same soul filling the smallest and largest; no independent textual collation is claimed.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1200" w:name="latin-record-0959"/>
      <w:bookmarkEnd w:id="1200"/>
      <w:r>
        <w:rPr>
          <w:b/>
          <w:i w:val="0"/>
        </w:rPr>
        <w:t>ponere / concedere / admittere</w:t>
      </w:r>
      <w:r>
        <w:rPr>
          <w:b/>
          <w:i w:val="0"/>
        </w:rPr>
        <w:t>.</w:t>
      </w:r>
      <w:r>
        <w:rPr>
          <w:b w:val="0"/>
          <w:i w:val="0"/>
        </w:rPr>
        <w:t xml:space="preserve"> Printed forms: </w:t>
      </w:r>
      <w:r>
        <w:rPr>
          <w:b w:val="0"/>
          <w:i/>
        </w:rPr>
        <w:t>admittendum</w:t>
      </w:r>
      <w:r>
        <w:rPr>
          <w:b w:val="0"/>
          <w:i w:val="0"/>
        </w:rPr>
        <w:t xml:space="preserve">; </w:t>
      </w:r>
      <w:r>
        <w:rPr>
          <w:b w:val="0"/>
          <w:i/>
        </w:rPr>
        <w:t>Concedent</w:t>
      </w:r>
      <w:r>
        <w:rPr>
          <w:b w:val="0"/>
          <w:i w:val="0"/>
        </w:rPr>
        <w:t xml:space="preserve">; </w:t>
      </w:r>
      <w:r>
        <w:rPr>
          <w:b w:val="0"/>
          <w:i/>
        </w:rPr>
        <w:t>conceditur</w:t>
      </w:r>
      <w:r>
        <w:rPr>
          <w:b w:val="0"/>
          <w:i w:val="0"/>
        </w:rPr>
        <w:t xml:space="preserve">; </w:t>
      </w:r>
      <w:r>
        <w:rPr>
          <w:b w:val="0"/>
          <w:i/>
        </w:rPr>
        <w:t>ponatur</w:t>
      </w:r>
      <w:r>
        <w:rPr>
          <w:b w:val="0"/>
          <w:i w:val="0"/>
        </w:rPr>
        <w:t xml:space="preserve">; </w:t>
      </w:r>
      <w:r>
        <w:rPr>
          <w:b w:val="0"/>
          <w:i/>
        </w:rPr>
        <w:t>ponere</w:t>
      </w:r>
      <w:r>
        <w:rPr>
          <w:b w:val="0"/>
          <w:i w:val="0"/>
        </w:rPr>
        <w:t>.</w:t>
      </w:r>
    </w:p>
    <w:p>
      <w:pPr>
        <w:widowControl/>
      </w:pPr>
      <w:r>
        <w:rPr>
          <w:b w:val="0"/>
          <w:i w:val="0"/>
        </w:rPr>
        <w:t xml:space="preserve">Positing, granting and admitting a premise for examination. The point-and-extension and genus-and-difference arguments repeatedly grant an opponent’s proposal temporarily to expose its consequences, not to endorse it. References: </w:t>
      </w:r>
      <w:hyperlink w:anchor="passage-viii-3-1">
        <w:r>
          <w:rPr>
            <w:color w:val="000000"/>
          </w:rPr>
          <w:t xml:space="preserve">VIII.3.1</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6-1">
        <w:r>
          <w:rPr>
            <w:color w:val="000000"/>
          </w:rPr>
          <w:t xml:space="preserve">VIII.6.1</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201" w:name="latin-record-0960"/>
      <w:bookmarkEnd w:id="1201"/>
      <w:r>
        <w:rPr>
          <w:b/>
          <w:i w:val="0"/>
        </w:rPr>
        <w:t>Porphyrius</w:t>
      </w:r>
      <w:r>
        <w:rPr>
          <w:b/>
          <w:i w:val="0"/>
        </w:rPr>
        <w:t>.</w:t>
      </w:r>
      <w:r>
        <w:rPr>
          <w:b w:val="0"/>
          <w:i w:val="0"/>
        </w:rPr>
        <w:t xml:space="preserve"> Printed forms: </w:t>
      </w:r>
      <w:r>
        <w:rPr>
          <w:b w:val="0"/>
          <w:i/>
        </w:rPr>
        <w:t>Porphyrius</w:t>
      </w:r>
      <w:r>
        <w:rPr>
          <w:b w:val="0"/>
          <w:i w:val="0"/>
        </w:rPr>
        <w:t>.</w:t>
      </w:r>
    </w:p>
    <w:p>
      <w:pPr>
        <w:widowControl/>
      </w:pPr>
      <w:r>
        <w:rPr>
          <w:b w:val="0"/>
          <w:i w:val="0"/>
        </w:rPr>
        <w:t xml:space="preserve">Porphyry, named with Proclus and others as denying irrational soul’s immortality. The contrast concerns lower soul, not denial of the rational immortality Ficino is presently defending. References: </w:t>
      </w:r>
      <w:hyperlink w:anchor="passage-v-14-8">
        <w:r>
          <w:rPr>
            <w:color w:val="000000"/>
          </w:rPr>
          <w:t xml:space="preserve">V.14.8</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1202" w:name="latin-record-0961"/>
      <w:bookmarkEnd w:id="1202"/>
      <w:r>
        <w:rPr>
          <w:b/>
          <w:i w:val="0"/>
        </w:rPr>
        <w:t>portiuncula</w:t>
      </w:r>
      <w:r>
        <w:rPr>
          <w:b/>
          <w:i w:val="0"/>
        </w:rPr>
        <w:t>.</w:t>
      </w:r>
      <w:r>
        <w:rPr>
          <w:b w:val="0"/>
          <w:i w:val="0"/>
        </w:rPr>
        <w:t xml:space="preserve"> Printed forms: </w:t>
      </w:r>
      <w:r>
        <w:rPr>
          <w:b w:val="0"/>
          <w:i/>
        </w:rPr>
        <w:t>portiunculam</w:t>
      </w:r>
      <w:r>
        <w:rPr>
          <w:b w:val="0"/>
          <w:i w:val="0"/>
        </w:rPr>
        <w:t xml:space="preserve">; </w:t>
      </w:r>
      <w:r>
        <w:rPr>
          <w:b w:val="0"/>
          <w:i/>
        </w:rPr>
        <w:t>portiunculam istam</w:t>
      </w:r>
      <w:r>
        <w:rPr>
          <w:b w:val="0"/>
          <w:i w:val="0"/>
        </w:rPr>
        <w:t>.</w:t>
      </w:r>
    </w:p>
    <w:p>
      <w:pPr>
        <w:widowControl/>
      </w:pPr>
      <w:r>
        <w:rPr>
          <w:b w:val="0"/>
          <w:i w:val="0"/>
        </w:rPr>
        <w:t xml:space="preserve">A little portion, here of water removed from the sea. The diminutive isolates a concrete test case: did this portion become nothing, or did something of it remain? References: </w:t>
      </w:r>
      <w:hyperlink w:anchor="passage-v-4-1">
        <w:r>
          <w:rPr>
            <w:color w:val="000000"/>
          </w:rPr>
          <w:t xml:space="preserve">V.4.1</w:t>
        </w:r>
      </w:hyperlink>
      <w:r>
        <w:rPr>
          <w:b w:val="0"/>
          <w:i w:val="0"/>
        </w:rPr>
        <w:t xml:space="preserve">, </w:t>
      </w:r>
      <w:hyperlink w:anchor="passage-v-4-2">
        <w:r>
          <w:rPr>
            <w:color w:val="000000"/>
          </w:rPr>
          <w:t xml:space="preserve">V.4.2</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203" w:name="latin-record-0962"/>
      <w:bookmarkEnd w:id="1203"/>
      <w:r>
        <w:rPr>
          <w:b/>
          <w:i w:val="0"/>
        </w:rPr>
        <w:t>portiuncula; plurimi</w:t>
      </w:r>
      <w:r>
        <w:rPr>
          <w:b/>
          <w:i w:val="0"/>
        </w:rPr>
        <w:t>.</w:t>
      </w:r>
      <w:r>
        <w:rPr>
          <w:b w:val="0"/>
          <w:i w:val="0"/>
        </w:rPr>
        <w:t xml:space="preserve"> Printed forms: </w:t>
      </w:r>
      <w:r>
        <w:rPr>
          <w:b w:val="0"/>
          <w:i/>
        </w:rPr>
        <w:t>in plurimis</w:t>
      </w:r>
      <w:r>
        <w:rPr>
          <w:b w:val="0"/>
          <w:i w:val="0"/>
        </w:rPr>
        <w:t xml:space="preserve">; </w:t>
      </w:r>
      <w:r>
        <w:rPr>
          <w:b w:val="0"/>
          <w:i/>
        </w:rPr>
        <w:t>portiuncula</w:t>
      </w:r>
      <w:r>
        <w:rPr>
          <w:b w:val="0"/>
          <w:i w:val="0"/>
        </w:rPr>
        <w:t>.</w:t>
      </w:r>
    </w:p>
    <w:p>
      <w:pPr>
        <w:widowControl/>
      </w:pPr>
      <w:r>
        <w:rPr>
          <w:b w:val="0"/>
          <w:i w:val="0"/>
        </w:rPr>
        <w:t xml:space="preserve">A small bodily portion; in most parts. Life is asserted in every tiny portion, but movement and sensation only in most, a qualification easily lost in summary. References: </w:t>
      </w:r>
      <w:hyperlink w:anchor="passage-vi-9-3">
        <w:r>
          <w:rPr>
            <w:color w:val="000000"/>
          </w:rPr>
          <w:t xml:space="preserve">VI.9.3</w:t>
        </w:r>
      </w:hyperlink>
      <w:r>
        <w:rPr>
          <w:b w:val="0"/>
          <w:i w:val="0"/>
        </w:rPr>
        <w:t xml:space="preserve">. See </w:t>
      </w:r>
      <w:hyperlink w:anchor="members-house-and-sinew">
        <w:r>
          <w:rPr>
            <w:color w:val="000000"/>
          </w:rPr>
          <w:t xml:space="preserve">Members, house and sinew</w:t>
        </w:r>
      </w:hyperlink>
      <w:r>
        <w:rPr>
          <w:b w:val="0"/>
          <w:i w:val="0"/>
        </w:rPr>
        <w:t>.</w:t>
      </w:r>
    </w:p>
    <w:p>
      <w:pPr>
        <w:keepNext/>
        <w:widowControl/>
      </w:pPr>
      <w:bookmarkStart w:id="1204" w:name="latin-record-0963"/>
      <w:bookmarkEnd w:id="1204"/>
      <w:r>
        <w:rPr>
          <w:b/>
          <w:i w:val="0"/>
        </w:rPr>
        <w:t>posse / fingere / excogitare</w:t>
      </w:r>
      <w:r>
        <w:rPr>
          <w:b/>
          <w:i w:val="0"/>
        </w:rPr>
        <w:t>.</w:t>
      </w:r>
      <w:r>
        <w:rPr>
          <w:b w:val="0"/>
          <w:i w:val="0"/>
        </w:rPr>
        <w:t xml:space="preserve"> Printed forms: </w:t>
      </w:r>
      <w:r>
        <w:rPr>
          <w:b w:val="0"/>
          <w:i/>
        </w:rPr>
        <w:t>excogitat</w:t>
      </w:r>
      <w:r>
        <w:rPr>
          <w:b w:val="0"/>
          <w:i w:val="0"/>
        </w:rPr>
        <w:t xml:space="preserve">; </w:t>
      </w:r>
      <w:r>
        <w:rPr>
          <w:b w:val="0"/>
          <w:i/>
        </w:rPr>
        <w:t>fingit</w:t>
      </w:r>
      <w:r>
        <w:rPr>
          <w:b w:val="0"/>
          <w:i w:val="0"/>
        </w:rPr>
        <w:t xml:space="preserve">; </w:t>
      </w:r>
      <w:r>
        <w:rPr>
          <w:b w:val="0"/>
          <w:i/>
        </w:rPr>
        <w:t>numquam</w:t>
      </w:r>
      <w:r>
        <w:rPr>
          <w:b w:val="0"/>
          <w:i w:val="0"/>
        </w:rPr>
        <w:t xml:space="preserve">; </w:t>
      </w:r>
      <w:r>
        <w:rPr>
          <w:b w:val="0"/>
          <w:i/>
        </w:rPr>
        <w:t>possent</w:t>
      </w:r>
      <w:r>
        <w:rPr>
          <w:b w:val="0"/>
          <w:i w:val="0"/>
        </w:rPr>
        <w:t xml:space="preserve">; </w:t>
      </w:r>
      <w:r>
        <w:rPr>
          <w:b w:val="0"/>
          <w:i/>
        </w:rPr>
        <w:t>possunt</w:t>
      </w:r>
      <w:r>
        <w:rPr>
          <w:b w:val="0"/>
          <w:i w:val="0"/>
        </w:rPr>
        <w:t>.</w:t>
      </w:r>
    </w:p>
    <w:p>
      <w:pPr>
        <w:widowControl/>
      </w:pPr>
      <w:r>
        <w:rPr>
          <w:b w:val="0"/>
          <w:i w:val="0"/>
        </w:rPr>
        <w:t xml:space="preserve">Posse means to be able or possible; fingere means to fashion a representation, and excogitare to devise in thought. Numquam, never, qualifies the possibility of what is conceived. Conceiving an object demonstrates cognitive range, but does not verify its external possibility or actuality. References: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205" w:name="latin-record-0964"/>
      <w:bookmarkEnd w:id="1205"/>
      <w:r>
        <w:rPr>
          <w:b/>
          <w:i w:val="0"/>
        </w:rPr>
        <w:t>posse; valere; oportere</w:t>
      </w:r>
      <w:r>
        <w:rPr>
          <w:b/>
          <w:i w:val="0"/>
        </w:rPr>
        <w:t>.</w:t>
      </w:r>
      <w:r>
        <w:rPr>
          <w:b w:val="0"/>
          <w:i w:val="0"/>
        </w:rPr>
        <w:t xml:space="preserve"> Printed forms: </w:t>
      </w:r>
      <w:r>
        <w:rPr>
          <w:b w:val="0"/>
          <w:i/>
        </w:rPr>
        <w:t>debet</w:t>
      </w:r>
      <w:r>
        <w:rPr>
          <w:b w:val="0"/>
          <w:i w:val="0"/>
        </w:rPr>
        <w:t xml:space="preserve">; </w:t>
      </w:r>
      <w:r>
        <w:rPr>
          <w:b w:val="0"/>
          <w:i/>
        </w:rPr>
        <w:t>nequeant</w:t>
      </w:r>
      <w:r>
        <w:rPr>
          <w:b w:val="0"/>
          <w:i w:val="0"/>
        </w:rPr>
        <w:t xml:space="preserve">; </w:t>
      </w:r>
      <w:r>
        <w:rPr>
          <w:b w:val="0"/>
          <w:i/>
        </w:rPr>
        <w:t>nequeat</w:t>
      </w:r>
      <w:r>
        <w:rPr>
          <w:b w:val="0"/>
          <w:i w:val="0"/>
        </w:rPr>
        <w:t xml:space="preserve">; </w:t>
      </w:r>
      <w:r>
        <w:rPr>
          <w:b w:val="0"/>
          <w:i/>
        </w:rPr>
        <w:t>nequeunt</w:t>
      </w:r>
      <w:r>
        <w:rPr>
          <w:b w:val="0"/>
          <w:i w:val="0"/>
        </w:rPr>
        <w:t xml:space="preserve">; </w:t>
      </w:r>
      <w:r>
        <w:rPr>
          <w:b w:val="0"/>
          <w:i/>
        </w:rPr>
        <w:t>nequit</w:t>
      </w:r>
      <w:r>
        <w:rPr>
          <w:b w:val="0"/>
          <w:i w:val="0"/>
        </w:rPr>
        <w:t xml:space="preserve">; </w:t>
      </w:r>
      <w:r>
        <w:rPr>
          <w:b w:val="0"/>
          <w:i/>
        </w:rPr>
        <w:t>oporteat</w:t>
      </w:r>
      <w:r>
        <w:rPr>
          <w:b w:val="0"/>
          <w:i w:val="0"/>
        </w:rPr>
        <w:t xml:space="preserve">; </w:t>
      </w:r>
      <w:r>
        <w:rPr>
          <w:b w:val="0"/>
          <w:i/>
        </w:rPr>
        <w:t>oportebit</w:t>
      </w:r>
      <w:r>
        <w:rPr>
          <w:b w:val="0"/>
          <w:i w:val="0"/>
        </w:rPr>
        <w:t xml:space="preserve">; </w:t>
      </w:r>
      <w:r>
        <w:rPr>
          <w:b w:val="0"/>
          <w:i/>
        </w:rPr>
        <w:t>oporteret</w:t>
      </w:r>
      <w:r>
        <w:rPr>
          <w:b w:val="0"/>
          <w:i w:val="0"/>
        </w:rPr>
        <w:t xml:space="preserve">; </w:t>
      </w:r>
      <w:r>
        <w:rPr>
          <w:b w:val="0"/>
          <w:i/>
        </w:rPr>
        <w:t>oportet</w:t>
      </w:r>
      <w:r>
        <w:rPr>
          <w:b w:val="0"/>
          <w:i w:val="0"/>
        </w:rPr>
        <w:t xml:space="preserve">; </w:t>
      </w:r>
      <w:r>
        <w:rPr>
          <w:b w:val="0"/>
          <w:i/>
        </w:rPr>
        <w:t>posse</w:t>
      </w:r>
      <w:r>
        <w:rPr>
          <w:b w:val="0"/>
          <w:i w:val="0"/>
        </w:rPr>
        <w:t xml:space="preserve">; </w:t>
      </w:r>
      <w:r>
        <w:rPr>
          <w:b w:val="0"/>
          <w:i/>
        </w:rPr>
        <w:t>posset</w:t>
      </w:r>
      <w:r>
        <w:rPr>
          <w:b w:val="0"/>
          <w:i w:val="0"/>
        </w:rPr>
        <w:t xml:space="preserve">; </w:t>
      </w:r>
      <w:r>
        <w:rPr>
          <w:b w:val="0"/>
          <w:i/>
        </w:rPr>
        <w:t>possint</w:t>
      </w:r>
      <w:r>
        <w:rPr>
          <w:b w:val="0"/>
          <w:i w:val="0"/>
        </w:rPr>
        <w:t xml:space="preserve">; </w:t>
      </w:r>
      <w:r>
        <w:rPr>
          <w:b w:val="0"/>
          <w:i/>
        </w:rPr>
        <w:t>possit</w:t>
      </w:r>
      <w:r>
        <w:rPr>
          <w:b w:val="0"/>
          <w:i w:val="0"/>
        </w:rPr>
        <w:t xml:space="preserve">; </w:t>
      </w:r>
      <w:r>
        <w:rPr>
          <w:b w:val="0"/>
          <w:i/>
        </w:rPr>
        <w:t>possunt</w:t>
      </w:r>
      <w:r>
        <w:rPr>
          <w:b w:val="0"/>
          <w:i w:val="0"/>
        </w:rPr>
        <w:t xml:space="preserve">; </w:t>
      </w:r>
      <w:r>
        <w:rPr>
          <w:b w:val="0"/>
          <w:i/>
        </w:rPr>
        <w:t>poterit</w:t>
      </w:r>
      <w:r>
        <w:rPr>
          <w:b w:val="0"/>
          <w:i w:val="0"/>
        </w:rPr>
        <w:t xml:space="preserve">; </w:t>
      </w:r>
      <w:r>
        <w:rPr>
          <w:b w:val="0"/>
          <w:i/>
        </w:rPr>
        <w:t>potest</w:t>
      </w:r>
      <w:r>
        <w:rPr>
          <w:b w:val="0"/>
          <w:i w:val="0"/>
        </w:rPr>
        <w:t xml:space="preserve">; </w:t>
      </w:r>
      <w:r>
        <w:rPr>
          <w:b w:val="0"/>
          <w:i/>
        </w:rPr>
        <w:t>valeat</w:t>
      </w:r>
      <w:r>
        <w:rPr>
          <w:b w:val="0"/>
          <w:i w:val="0"/>
        </w:rPr>
        <w:t xml:space="preserve">; </w:t>
      </w:r>
      <w:r>
        <w:rPr>
          <w:b w:val="0"/>
          <w:i/>
        </w:rPr>
        <w:t>valent</w:t>
      </w:r>
      <w:r>
        <w:rPr>
          <w:b w:val="0"/>
          <w:i w:val="0"/>
        </w:rPr>
        <w:t xml:space="preserve">; </w:t>
      </w:r>
      <w:r>
        <w:rPr>
          <w:b w:val="0"/>
          <w:i/>
        </w:rPr>
        <w:t>valet</w:t>
      </w:r>
      <w:r>
        <w:rPr>
          <w:b w:val="0"/>
          <w:i w:val="0"/>
        </w:rPr>
        <w:t>.</w:t>
      </w:r>
    </w:p>
    <w:p>
      <w:pPr>
        <w:widowControl/>
      </w:pPr>
      <w:r>
        <w:rPr>
          <w:b w:val="0"/>
          <w:i w:val="0"/>
        </w:rPr>
        <w:t xml:space="preserve">Can or is able, cannot, and must or ought in a necessary inference. These modal verbs distinguish an allowed hypothetical possibility from what an argument requires or excludes; </w:t>
      </w:r>
      <w:r>
        <w:t>“</w:t>
      </w:r>
      <w:r>
        <w:rPr>
          <w:b w:val="0"/>
          <w:i w:val="0"/>
        </w:rPr>
        <w:t>must</w:t>
      </w:r>
      <w:r>
        <w:t>”</w:t>
      </w:r>
      <w:r>
        <w:rPr>
          <w:b w:val="0"/>
          <w:i w:val="0"/>
        </w:rPr>
        <w:t xml:space="preserve"> often expresses logical dependence rather than a moral command. References: </w:t>
      </w:r>
      <w:hyperlink w:anchor="passage-vi-1-1">
        <w:r>
          <w:rPr>
            <w:color w:val="000000"/>
          </w:rPr>
          <w:t xml:space="preserve">VI.1.1</w:t>
        </w:r>
      </w:hyperlink>
      <w:r>
        <w:rPr>
          <w:b w:val="0"/>
          <w:i w:val="0"/>
        </w:rPr>
        <w:t xml:space="preserve">, </w:t>
      </w:r>
      <w:hyperlink w:anchor="passage-vi-2-9">
        <w:r>
          <w:rPr>
            <w:color w:val="000000"/>
          </w:rPr>
          <w:t xml:space="preserve">VI.2.9</w:t>
        </w:r>
      </w:hyperlink>
      <w:r>
        <w:rPr>
          <w:b w:val="0"/>
          <w:i w:val="0"/>
        </w:rPr>
        <w:t xml:space="preserve">, </w:t>
      </w:r>
      <w:hyperlink w:anchor="passage-vi-2-10">
        <w:r>
          <w:rPr>
            <w:color w:val="000000"/>
          </w:rPr>
          <w:t xml:space="preserve">VI.2.10</w:t>
        </w:r>
      </w:hyperlink>
      <w:r>
        <w:rPr>
          <w:b w:val="0"/>
          <w:i w:val="0"/>
        </w:rPr>
        <w:t xml:space="preserve">,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2-14">
        <w:r>
          <w:rPr>
            <w:color w:val="000000"/>
          </w:rPr>
          <w:t xml:space="preserve">VI.2.14</w:t>
        </w:r>
      </w:hyperlink>
      <w:r>
        <w:rPr>
          <w:b w:val="0"/>
          <w:i w:val="0"/>
        </w:rPr>
        <w:t xml:space="preserve">, </w:t>
      </w:r>
      <w:hyperlink w:anchor="passage-vi-11-1">
        <w:r>
          <w:rPr>
            <w:color w:val="000000"/>
          </w:rPr>
          <w:t xml:space="preserve">VI.11.1</w:t>
        </w:r>
      </w:hyperlink>
      <w:r>
        <w:rPr>
          <w:b w:val="0"/>
          <w:i w:val="0"/>
        </w:rPr>
        <w:t xml:space="preserve">, </w:t>
      </w:r>
      <w:hyperlink w:anchor="passage-vi-12-1">
        <w:r>
          <w:rPr>
            <w:color w:val="000000"/>
          </w:rPr>
          <w:t xml:space="preserve">VI.12.1</w:t>
        </w:r>
      </w:hyperlink>
      <w:r>
        <w:rPr>
          <w:b w:val="0"/>
          <w:i w:val="0"/>
        </w:rPr>
        <w:t xml:space="preserve">, </w:t>
      </w:r>
      <w:hyperlink w:anchor="passage-vi-12-2">
        <w:r>
          <w:rPr>
            <w:color w:val="000000"/>
          </w:rPr>
          <w:t xml:space="preserve">VI.12.2</w:t>
        </w:r>
      </w:hyperlink>
      <w:r>
        <w:rPr>
          <w:b w:val="0"/>
          <w:i w:val="0"/>
        </w:rPr>
        <w:t xml:space="preserve">, </w:t>
      </w:r>
      <w:hyperlink w:anchor="passage-vi-12-3">
        <w:r>
          <w:rPr>
            <w:color w:val="000000"/>
          </w:rPr>
          <w:t xml:space="preserve">VI.12.3</w:t>
        </w:r>
      </w:hyperlink>
      <w:r>
        <w:rPr>
          <w:b w:val="0"/>
          <w:i w:val="0"/>
        </w:rPr>
        <w:t xml:space="preserve">, </w:t>
      </w:r>
      <w:hyperlink w:anchor="passage-vi-12-7">
        <w:r>
          <w:rPr>
            <w:color w:val="000000"/>
          </w:rPr>
          <w:t xml:space="preserve">VI.12.7</w:t>
        </w:r>
      </w:hyperlink>
      <w:r>
        <w:rPr>
          <w:b w:val="0"/>
          <w:i w:val="0"/>
        </w:rPr>
        <w:t xml:space="preserve">, </w:t>
      </w:r>
      <w:hyperlink w:anchor="passage-vi-12-11">
        <w:r>
          <w:rPr>
            <w:color w:val="000000"/>
          </w:rPr>
          <w:t xml:space="preserve">VI.12.11</w:t>
        </w:r>
      </w:hyperlink>
      <w:r>
        <w:rPr>
          <w:b w:val="0"/>
          <w:i w:val="0"/>
        </w:rPr>
        <w:t xml:space="preserve">, </w:t>
      </w:r>
      <w:hyperlink w:anchor="passage-vi-12-14">
        <w:r>
          <w:rPr>
            <w:color w:val="000000"/>
          </w:rPr>
          <w:t xml:space="preserve">VI.12.14</w:t>
        </w:r>
      </w:hyperlink>
      <w:r>
        <w:rPr>
          <w:b w:val="0"/>
          <w:i w:val="0"/>
        </w:rPr>
        <w:t xml:space="preserve">, </w:t>
      </w:r>
      <w:hyperlink w:anchor="passage-vi-12-18">
        <w:r>
          <w:rPr>
            <w:color w:val="000000"/>
          </w:rPr>
          <w:t xml:space="preserve">VI.12.18</w:t>
        </w:r>
      </w:hyperlink>
      <w:r>
        <w:rPr>
          <w:b w:val="0"/>
          <w:i w:val="0"/>
        </w:rPr>
        <w:t xml:space="preserve">, </w:t>
      </w:r>
      <w:hyperlink w:anchor="passage-vi-13-3">
        <w:r>
          <w:rPr>
            <w:color w:val="000000"/>
          </w:rPr>
          <w:t xml:space="preserve">VI.13.3</w:t>
        </w:r>
      </w:hyperlink>
      <w:r>
        <w:rPr>
          <w:b w:val="0"/>
          <w:i w:val="0"/>
        </w:rPr>
        <w:t xml:space="preserve">. See </w:t>
      </w:r>
      <w:hyperlink w:anchor="primary-self-motion-and-parts">
        <w:r>
          <w:rPr>
            <w:color w:val="000000"/>
          </w:rPr>
          <w:t xml:space="preserve">Primary self-motion and the regress of parts</w:t>
        </w:r>
      </w:hyperlink>
      <w:r>
        <w:rPr>
          <w:b w:val="0"/>
          <w:i w:val="0"/>
        </w:rPr>
        <w:t>.</w:t>
      </w:r>
    </w:p>
    <w:p>
      <w:pPr>
        <w:keepNext/>
        <w:widowControl/>
      </w:pPr>
      <w:bookmarkStart w:id="1206" w:name="latin-record-0965"/>
      <w:bookmarkEnd w:id="1206"/>
      <w:r>
        <w:rPr>
          <w:b/>
          <w:i w:val="0"/>
        </w:rPr>
        <w:t>possibile</w:t>
      </w:r>
      <w:r>
        <w:rPr>
          <w:b/>
          <w:i w:val="0"/>
        </w:rPr>
        <w:t>.</w:t>
      </w:r>
      <w:r>
        <w:rPr>
          <w:b w:val="0"/>
          <w:i w:val="0"/>
        </w:rPr>
        <w:t xml:space="preserve"> Printed forms: </w:t>
      </w:r>
      <w:r>
        <w:rPr>
          <w:b w:val="0"/>
          <w:i/>
        </w:rPr>
        <w:t>possibile</w:t>
      </w:r>
      <w:r>
        <w:rPr>
          <w:b w:val="0"/>
          <w:i w:val="0"/>
        </w:rPr>
        <w:t xml:space="preserve">; </w:t>
      </w:r>
      <w:r>
        <w:rPr>
          <w:b w:val="0"/>
          <w:i/>
        </w:rPr>
        <w:t>Possibile</w:t>
      </w:r>
      <w:r>
        <w:rPr>
          <w:b w:val="0"/>
          <w:i w:val="0"/>
        </w:rPr>
        <w:t xml:space="preserve">; </w:t>
      </w:r>
      <w:r>
        <w:rPr>
          <w:b w:val="0"/>
          <w:i/>
        </w:rPr>
        <w:t>potuisset</w:t>
      </w:r>
      <w:r>
        <w:rPr>
          <w:b w:val="0"/>
          <w:i w:val="0"/>
        </w:rPr>
        <w:t>.</w:t>
      </w:r>
    </w:p>
    <w:p>
      <w:pPr>
        <w:widowControl/>
      </w:pPr>
      <w:r>
        <w:rPr>
          <w:b w:val="0"/>
          <w:i w:val="0"/>
        </w:rPr>
        <w:t xml:space="preserve">Possible or capable of occurring; V.12 defines the modal possibility at issue as open to being and nonbeing. The inference concerns a work viewed from matter before determination, not every use of can throughout the book. References: </w:t>
      </w:r>
      <w:hyperlink w:anchor="passage-v-12-3">
        <w:r>
          <w:rPr>
            <w:color w:val="000000"/>
          </w:rPr>
          <w:t xml:space="preserve">V.12.3</w:t>
        </w:r>
      </w:hyperlink>
      <w:r>
        <w:rPr>
          <w:b w:val="0"/>
          <w:i w:val="0"/>
        </w:rPr>
        <w:t xml:space="preserve">, </w:t>
      </w:r>
      <w:hyperlink w:anchor="passage-v-12-4">
        <w:r>
          <w:rPr>
            <w:color w:val="000000"/>
          </w:rPr>
          <w:t xml:space="preserve">V.12.4</w:t>
        </w:r>
      </w:hyperlink>
      <w:r>
        <w:rPr>
          <w:b w:val="0"/>
          <w:i w:val="0"/>
        </w:rPr>
        <w:t xml:space="preserve">, </w:t>
      </w:r>
      <w:hyperlink w:anchor="passage-v-12-5">
        <w:r>
          <w:rPr>
            <w:color w:val="000000"/>
          </w:rPr>
          <w:t xml:space="preserve">V.12.5</w:t>
        </w:r>
      </w:hyperlink>
      <w:r>
        <w:rPr>
          <w:b w:val="0"/>
          <w:i w:val="0"/>
        </w:rPr>
        <w:t xml:space="preserve">, </w:t>
      </w:r>
      <w:hyperlink w:anchor="passage-v-12-9">
        <w:r>
          <w:rPr>
            <w:color w:val="000000"/>
          </w:rPr>
          <w:t xml:space="preserve">V.12.9</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1207" w:name="latin-record-0966"/>
      <w:bookmarkEnd w:id="1207"/>
      <w:r>
        <w:rPr>
          <w:b/>
          <w:i w:val="0"/>
        </w:rPr>
        <w:t>possibile / utile / impotentia</w:t>
      </w:r>
      <w:r>
        <w:rPr>
          <w:b/>
          <w:i w:val="0"/>
        </w:rPr>
        <w:t>.</w:t>
      </w:r>
      <w:r>
        <w:rPr>
          <w:b w:val="0"/>
          <w:i w:val="0"/>
        </w:rPr>
        <w:t xml:space="preserve"> Printed forms: </w:t>
      </w:r>
      <w:r>
        <w:rPr>
          <w:b w:val="0"/>
          <w:i/>
        </w:rPr>
        <w:t>impossibile</w:t>
      </w:r>
      <w:r>
        <w:rPr>
          <w:b w:val="0"/>
          <w:i w:val="0"/>
        </w:rPr>
        <w:t xml:space="preserve">; </w:t>
      </w:r>
      <w:r>
        <w:rPr>
          <w:b w:val="0"/>
          <w:i/>
        </w:rPr>
        <w:t>impotentia</w:t>
      </w:r>
      <w:r>
        <w:rPr>
          <w:b w:val="0"/>
          <w:i w:val="0"/>
        </w:rPr>
        <w:t xml:space="preserve">; </w:t>
      </w:r>
      <w:r>
        <w:rPr>
          <w:b w:val="0"/>
          <w:i/>
        </w:rPr>
        <w:t>inutile</w:t>
      </w:r>
      <w:r>
        <w:rPr>
          <w:b w:val="0"/>
          <w:i w:val="0"/>
        </w:rPr>
        <w:t xml:space="preserve">; </w:t>
      </w:r>
      <w:r>
        <w:rPr>
          <w:b w:val="0"/>
          <w:i/>
        </w:rPr>
        <w:t>possibile</w:t>
      </w:r>
      <w:r>
        <w:rPr>
          <w:b w:val="0"/>
          <w:i w:val="0"/>
        </w:rPr>
        <w:t xml:space="preserve">; </w:t>
      </w:r>
      <w:r>
        <w:rPr>
          <w:b w:val="0"/>
          <w:i/>
        </w:rPr>
        <w:t>possibilia</w:t>
      </w:r>
      <w:r>
        <w:rPr>
          <w:b w:val="0"/>
          <w:i w:val="0"/>
        </w:rPr>
        <w:t xml:space="preserve">; </w:t>
      </w:r>
      <w:r>
        <w:rPr>
          <w:b w:val="0"/>
          <w:i/>
        </w:rPr>
        <w:t>possibilis</w:t>
      </w:r>
      <w:r>
        <w:rPr>
          <w:b w:val="0"/>
          <w:i w:val="0"/>
        </w:rPr>
        <w:t>.</w:t>
      </w:r>
    </w:p>
    <w:p>
      <w:pPr>
        <w:widowControl/>
      </w:pPr>
      <w:r>
        <w:rPr>
          <w:b w:val="0"/>
          <w:i w:val="0"/>
        </w:rPr>
        <w:t xml:space="preserve">Possible and useful, with impotence as the contrary of effective power. The Olympiodoran confirmation argues that a genuinely good natural end must be attainable; it is not a guarantee that every individual wish will occur. References: </w:t>
      </w:r>
      <w:hyperlink w:anchor="passage-viii-2-8">
        <w:r>
          <w:rPr>
            <w:color w:val="000000"/>
          </w:rPr>
          <w:t xml:space="preserve">VIII.2.8</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1208" w:name="latin-record-0967"/>
      <w:bookmarkEnd w:id="1208"/>
      <w:r>
        <w:rPr>
          <w:b/>
          <w:i w:val="0"/>
        </w:rPr>
        <w:t>possidere / consulere / imperare</w:t>
      </w:r>
      <w:r>
        <w:rPr>
          <w:b/>
          <w:i w:val="0"/>
        </w:rPr>
        <w:t>.</w:t>
      </w:r>
      <w:r>
        <w:rPr>
          <w:b w:val="0"/>
          <w:i w:val="0"/>
        </w:rPr>
        <w:t xml:space="preserve"> Printed forms: </w:t>
      </w:r>
      <w:r>
        <w:rPr>
          <w:b w:val="0"/>
          <w:i/>
        </w:rPr>
        <w:t>consulat</w:t>
      </w:r>
      <w:r>
        <w:rPr>
          <w:b w:val="0"/>
          <w:i w:val="0"/>
        </w:rPr>
        <w:t xml:space="preserve">; </w:t>
      </w:r>
      <w:r>
        <w:rPr>
          <w:b w:val="0"/>
          <w:i/>
        </w:rPr>
        <w:t>consulere</w:t>
      </w:r>
      <w:r>
        <w:rPr>
          <w:b w:val="0"/>
          <w:i w:val="0"/>
        </w:rPr>
        <w:t xml:space="preserve">; </w:t>
      </w:r>
      <w:r>
        <w:rPr>
          <w:b w:val="0"/>
          <w:i/>
        </w:rPr>
        <w:t>consulit</w:t>
      </w:r>
      <w:r>
        <w:rPr>
          <w:b w:val="0"/>
          <w:i w:val="0"/>
        </w:rPr>
        <w:t xml:space="preserve">; </w:t>
      </w:r>
      <w:r>
        <w:rPr>
          <w:b w:val="0"/>
          <w:i/>
        </w:rPr>
        <w:t>imperare</w:t>
      </w:r>
      <w:r>
        <w:rPr>
          <w:b w:val="0"/>
          <w:i w:val="0"/>
        </w:rPr>
        <w:t xml:space="preserve">; </w:t>
      </w:r>
      <w:r>
        <w:rPr>
          <w:b w:val="0"/>
          <w:i/>
        </w:rPr>
        <w:t>possideat</w:t>
      </w:r>
      <w:r>
        <w:rPr>
          <w:b w:val="0"/>
          <w:i w:val="0"/>
        </w:rPr>
        <w:t>.</w:t>
      </w:r>
    </w:p>
    <w:p>
      <w:pPr>
        <w:widowControl/>
      </w:pPr>
      <w:r>
        <w:rPr>
          <w:b w:val="0"/>
          <w:i w:val="0"/>
        </w:rPr>
        <w:t xml:space="preserve">To possess, care for or rule, different relations one agent may seek toward another. Desire for bodily possession or care requires soul’s agency; a ruler’s interest in another mind does not support turning it into mere body. References: </w:t>
      </w:r>
      <w:hyperlink w:anchor="passage-v-15-20">
        <w:r>
          <w:rPr>
            <w:color w:val="000000"/>
          </w:rPr>
          <w:t xml:space="preserve">V.15.20</w:t>
        </w:r>
      </w:hyperlink>
      <w:r>
        <w:rPr>
          <w:b w:val="0"/>
          <w:i w:val="0"/>
        </w:rPr>
        <w:t xml:space="preserve">, </w:t>
      </w:r>
      <w:hyperlink w:anchor="passage-v-15-22">
        <w:r>
          <w:rPr>
            <w:color w:val="000000"/>
          </w:rPr>
          <w:t xml:space="preserve">V.15.22</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1209" w:name="latin-record-0968"/>
      <w:bookmarkEnd w:id="1209"/>
      <w:r>
        <w:rPr>
          <w:b/>
          <w:i w:val="0"/>
        </w:rPr>
        <w:t>potentia</w:t>
      </w:r>
      <w:r>
        <w:rPr>
          <w:b/>
          <w:i w:val="0"/>
        </w:rPr>
        <w:t>.</w:t>
      </w:r>
      <w:r>
        <w:rPr>
          <w:b w:val="0"/>
          <w:i w:val="0"/>
        </w:rPr>
        <w:t xml:space="preserve"> Printed forms: </w:t>
      </w:r>
      <w:r>
        <w:rPr>
          <w:b w:val="0"/>
          <w:i/>
        </w:rPr>
        <w:t>potentia</w:t>
      </w:r>
      <w:r>
        <w:rPr>
          <w:b w:val="0"/>
          <w:i w:val="0"/>
        </w:rPr>
        <w:t xml:space="preserve">; </w:t>
      </w:r>
      <w:r>
        <w:rPr>
          <w:b w:val="0"/>
          <w:i/>
        </w:rPr>
        <w:t>potentiam</w:t>
      </w:r>
      <w:r>
        <w:rPr>
          <w:b w:val="0"/>
          <w:i w:val="0"/>
        </w:rPr>
        <w:t>.</w:t>
      </w:r>
    </w:p>
    <w:p>
      <w:pPr>
        <w:widowControl/>
      </w:pPr>
      <w:r>
        <w:rPr>
          <w:b w:val="0"/>
          <w:i w:val="0"/>
        </w:rPr>
        <w:t xml:space="preserve">Power or potentiality, with the act/potency contrast determining the latter sense. Materia’s potentiality for a form differs from the soul’s named vegetative power; translation must not force one English equivalent into both constructions. References: </w:t>
      </w:r>
      <w:hyperlink w:anchor="passage-vi-1-5">
        <w:r>
          <w:rPr>
            <w:color w:val="000000"/>
          </w:rPr>
          <w:t xml:space="preserve">VI.1.5</w:t>
        </w:r>
      </w:hyperlink>
      <w:r>
        <w:rPr>
          <w:b w:val="0"/>
          <w:i w:val="0"/>
        </w:rPr>
        <w:t xml:space="preserve">, </w:t>
      </w:r>
      <w:hyperlink w:anchor="passage-vi-2-1">
        <w:r>
          <w:rPr>
            <w:color w:val="000000"/>
          </w:rPr>
          <w:t xml:space="preserve">VI.2.1</w:t>
        </w:r>
      </w:hyperlink>
      <w:r>
        <w:rPr>
          <w:b w:val="0"/>
          <w:i w:val="0"/>
        </w:rPr>
        <w:t xml:space="preserve">, </w:t>
      </w:r>
      <w:hyperlink w:anchor="passage-vi-7-1">
        <w:r>
          <w:rPr>
            <w:color w:val="000000"/>
          </w:rPr>
          <w:t xml:space="preserve">VI.7.1</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widowControl/>
      </w:pPr>
      <w:r>
        <w:rPr>
          <w:b w:val="0"/>
          <w:i w:val="0"/>
        </w:rPr>
        <w:t xml:space="preserve">Capacity or potency; the context distinguishes active power from receptive possibility. Potential bodily points cannot be privileged as a cognitive subject; matter’s infinite potency is receptivity subject to God. References: </w:t>
      </w:r>
      <w:hyperlink w:anchor="passage-viii-2-8">
        <w:r>
          <w:rPr>
            <w:color w:val="000000"/>
          </w:rPr>
          <w:t xml:space="preserve">VIII.2.8</w:t>
        </w:r>
      </w:hyperlink>
      <w:r>
        <w:rPr>
          <w:b w:val="0"/>
          <w:i w:val="0"/>
        </w:rPr>
        <w:t xml:space="preserve">, </w:t>
      </w:r>
      <w:hyperlink w:anchor="passage-viii-4-2">
        <w:r>
          <w:rPr>
            <w:color w:val="000000"/>
          </w:rPr>
          <w:t xml:space="preserve">VIII.4.2</w:t>
        </w:r>
      </w:hyperlink>
      <w:r>
        <w:rPr>
          <w:b w:val="0"/>
          <w:i w:val="0"/>
        </w:rPr>
        <w:t xml:space="preserve">, </w:t>
      </w:r>
      <w:hyperlink w:anchor="passage-viii-10-2">
        <w:r>
          <w:rPr>
            <w:color w:val="000000"/>
          </w:rPr>
          <w:t xml:space="preserve">VIII.10.2</w:t>
        </w:r>
      </w:hyperlink>
      <w:r>
        <w:rPr>
          <w:b w:val="0"/>
          <w:i w:val="0"/>
        </w:rPr>
        <w:t xml:space="preserve">,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1210" w:name="latin-record-0969"/>
      <w:bookmarkEnd w:id="1210"/>
      <w:r>
        <w:rPr>
          <w:b/>
          <w:i w:val="0"/>
        </w:rPr>
        <w:t>potentia ad non esse</w:t>
      </w:r>
      <w:r>
        <w:rPr>
          <w:b/>
          <w:i w:val="0"/>
        </w:rPr>
        <w:t>.</w:t>
      </w:r>
      <w:r>
        <w:rPr>
          <w:b w:val="0"/>
          <w:i w:val="0"/>
        </w:rPr>
        <w:t xml:space="preserve"> Printed forms: </w:t>
      </w:r>
      <w:r>
        <w:rPr>
          <w:b w:val="0"/>
          <w:i/>
        </w:rPr>
        <w:t>potentia ad esse pariter atque non esse</w:t>
      </w:r>
      <w:r>
        <w:rPr>
          <w:b w:val="0"/>
          <w:i w:val="0"/>
        </w:rPr>
        <w:t xml:space="preserve">; </w:t>
      </w:r>
      <w:r>
        <w:rPr>
          <w:b w:val="0"/>
          <w:i/>
        </w:rPr>
        <w:t>potentia ad non esse</w:t>
      </w:r>
      <w:r>
        <w:rPr>
          <w:b w:val="0"/>
          <w:i w:val="0"/>
        </w:rPr>
        <w:t xml:space="preserve">; </w:t>
      </w:r>
      <w:r>
        <w:rPr>
          <w:b w:val="0"/>
          <w:i/>
        </w:rPr>
        <w:t>potentiam ad non esse</w:t>
      </w:r>
      <w:r>
        <w:rPr>
          <w:b w:val="0"/>
          <w:i w:val="0"/>
        </w:rPr>
        <w:t>.</w:t>
      </w:r>
    </w:p>
    <w:p>
      <w:pPr>
        <w:widowControl/>
      </w:pPr>
      <w:r>
        <w:rPr>
          <w:b w:val="0"/>
          <w:i w:val="0"/>
        </w:rPr>
        <w:t xml:space="preserve">Capacity not to be, or material openness to both being and nonbeing as a given thing. The retained potency of prime matter explains a lion’s corruptibility; the soul lacks that kind of material ground. References: </w:t>
      </w:r>
      <w:hyperlink w:anchor="passage-v-12-1">
        <w:r>
          <w:rPr>
            <w:color w:val="000000"/>
          </w:rPr>
          <w:t xml:space="preserve">V.12.1</w:t>
        </w:r>
      </w:hyperlink>
      <w:r>
        <w:rPr>
          <w:b w:val="0"/>
          <w:i w:val="0"/>
        </w:rPr>
        <w:t xml:space="preserve">, </w:t>
      </w:r>
      <w:hyperlink w:anchor="passage-v-12-2">
        <w:r>
          <w:rPr>
            <w:color w:val="000000"/>
          </w:rPr>
          <w:t xml:space="preserve">V.12.2</w:t>
        </w:r>
      </w:hyperlink>
      <w:r>
        <w:rPr>
          <w:b w:val="0"/>
          <w:i w:val="0"/>
        </w:rPr>
        <w:t xml:space="preserve">, </w:t>
      </w:r>
      <w:hyperlink w:anchor="passage-v-12-5">
        <w:r>
          <w:rPr>
            <w:color w:val="000000"/>
          </w:rPr>
          <w:t xml:space="preserve">V.12.5</w:t>
        </w:r>
      </w:hyperlink>
      <w:r>
        <w:rPr>
          <w:b w:val="0"/>
          <w:i w:val="0"/>
        </w:rPr>
        <w:t xml:space="preserve">, </w:t>
      </w:r>
      <w:hyperlink w:anchor="passage-v-12-6">
        <w:r>
          <w:rPr>
            <w:color w:val="000000"/>
          </w:rPr>
          <w:t xml:space="preserve">V.12.6</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1211" w:name="latin-record-0970"/>
      <w:bookmarkEnd w:id="1211"/>
      <w:r>
        <w:rPr>
          <w:b/>
          <w:i w:val="0"/>
        </w:rPr>
        <w:t>potentia susceptiva</w:t>
      </w:r>
      <w:r>
        <w:rPr>
          <w:b/>
          <w:i w:val="0"/>
        </w:rPr>
        <w:t>.</w:t>
      </w:r>
      <w:r>
        <w:rPr>
          <w:b w:val="0"/>
          <w:i w:val="0"/>
        </w:rPr>
        <w:t xml:space="preserve"> Printed forms: </w:t>
      </w:r>
      <w:r>
        <w:rPr>
          <w:b w:val="0"/>
          <w:i/>
        </w:rPr>
        <w:t>potentia</w:t>
      </w:r>
      <w:r>
        <w:rPr>
          <w:b w:val="0"/>
          <w:i w:val="0"/>
        </w:rPr>
        <w:t xml:space="preserve">; </w:t>
      </w:r>
      <w:r>
        <w:rPr>
          <w:b w:val="0"/>
          <w:i/>
        </w:rPr>
        <w:t>potentia aliqua susceptiva</w:t>
      </w:r>
      <w:r>
        <w:rPr>
          <w:b w:val="0"/>
          <w:i w:val="0"/>
        </w:rPr>
        <w:t xml:space="preserve">; </w:t>
      </w:r>
      <w:r>
        <w:rPr>
          <w:b w:val="0"/>
          <w:i/>
        </w:rPr>
        <w:t>potentiae</w:t>
      </w:r>
      <w:r>
        <w:rPr>
          <w:b w:val="0"/>
          <w:i w:val="0"/>
        </w:rPr>
        <w:t xml:space="preserve">; </w:t>
      </w:r>
      <w:r>
        <w:rPr>
          <w:b w:val="0"/>
          <w:i/>
        </w:rPr>
        <w:t>potentiam</w:t>
      </w:r>
      <w:r>
        <w:rPr>
          <w:b w:val="0"/>
          <w:i w:val="0"/>
        </w:rPr>
        <w:t>.</w:t>
      </w:r>
    </w:p>
    <w:p>
      <w:pPr>
        <w:widowControl/>
      </w:pPr>
      <w:r>
        <w:rPr>
          <w:b w:val="0"/>
          <w:i w:val="0"/>
        </w:rPr>
        <w:t xml:space="preserve">A receptive capacity underlying an act. Essence is analogically receptive of being without being bodily matter open to a contrary form. References: </w:t>
      </w:r>
      <w:hyperlink w:anchor="passage-v-5-9">
        <w:r>
          <w:rPr>
            <w:color w:val="000000"/>
          </w:rPr>
          <w:t xml:space="preserve">V.5.9</w:t>
        </w:r>
      </w:hyperlink>
      <w:r>
        <w:rPr>
          <w:b w:val="0"/>
          <w:i w:val="0"/>
        </w:rPr>
        <w:t xml:space="preserve">, </w:t>
      </w:r>
      <w:hyperlink w:anchor="passage-v-11-1">
        <w:r>
          <w:rPr>
            <w:color w:val="000000"/>
          </w:rPr>
          <w:t xml:space="preserve">V.11.1</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1212" w:name="latin-record-0971"/>
      <w:bookmarkEnd w:id="1212"/>
      <w:r>
        <w:rPr>
          <w:b/>
          <w:i w:val="0"/>
        </w:rPr>
        <w:t>potentia; actus</w:t>
      </w:r>
      <w:r>
        <w:rPr>
          <w:b/>
          <w:i w:val="0"/>
        </w:rPr>
        <w:t>.</w:t>
      </w:r>
      <w:r>
        <w:rPr>
          <w:b w:val="0"/>
          <w:i w:val="0"/>
        </w:rPr>
        <w:t xml:space="preserve"> Printed forms: </w:t>
      </w:r>
      <w:r>
        <w:rPr>
          <w:b w:val="0"/>
          <w:i/>
        </w:rPr>
        <w:t>actu</w:t>
      </w:r>
      <w:r>
        <w:rPr>
          <w:b w:val="0"/>
          <w:i w:val="0"/>
        </w:rPr>
        <w:t xml:space="preserve">; </w:t>
      </w:r>
      <w:r>
        <w:rPr>
          <w:b w:val="0"/>
          <w:i/>
        </w:rPr>
        <w:t>potentia</w:t>
      </w:r>
      <w:r>
        <w:rPr>
          <w:b w:val="0"/>
          <w:i w:val="0"/>
        </w:rPr>
        <w:t>.</w:t>
      </w:r>
    </w:p>
    <w:p>
      <w:pPr>
        <w:widowControl/>
      </w:pPr>
      <w:r>
        <w:rPr>
          <w:b w:val="0"/>
          <w:i w:val="0"/>
        </w:rPr>
        <w:t xml:space="preserve">Potentiality and actuality. Soul makes the potentially living body actually living; this formal role is not merely adding another bodily component. References: </w:t>
      </w:r>
      <w:hyperlink w:anchor="passage-vi-7-1">
        <w:r>
          <w:rPr>
            <w:color w:val="000000"/>
          </w:rPr>
          <w:t xml:space="preserve">VI.7.1</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213" w:name="latin-record-0972"/>
      <w:bookmarkEnd w:id="1213"/>
      <w:r>
        <w:rPr>
          <w:b/>
          <w:i w:val="0"/>
        </w:rPr>
        <w:t>potentior / melior</w:t>
      </w:r>
      <w:r>
        <w:rPr>
          <w:b/>
          <w:i w:val="0"/>
        </w:rPr>
        <w:t>.</w:t>
      </w:r>
      <w:r>
        <w:rPr>
          <w:b w:val="0"/>
          <w:i w:val="0"/>
        </w:rPr>
        <w:t xml:space="preserve"> Printed forms: </w:t>
      </w:r>
      <w:r>
        <w:rPr>
          <w:b w:val="0"/>
          <w:i/>
        </w:rPr>
        <w:t>melior</w:t>
      </w:r>
      <w:r>
        <w:rPr>
          <w:b w:val="0"/>
          <w:i w:val="0"/>
        </w:rPr>
        <w:t xml:space="preserve">; </w:t>
      </w:r>
      <w:r>
        <w:rPr>
          <w:b w:val="0"/>
          <w:i/>
        </w:rPr>
        <w:t>meliora</w:t>
      </w:r>
      <w:r>
        <w:rPr>
          <w:b w:val="0"/>
          <w:i w:val="0"/>
        </w:rPr>
        <w:t xml:space="preserve">; </w:t>
      </w:r>
      <w:r>
        <w:rPr>
          <w:b w:val="0"/>
          <w:i/>
        </w:rPr>
        <w:t>melius</w:t>
      </w:r>
      <w:r>
        <w:rPr>
          <w:b w:val="0"/>
          <w:i w:val="0"/>
        </w:rPr>
        <w:t xml:space="preserve">; </w:t>
      </w:r>
      <w:r>
        <w:rPr>
          <w:b w:val="0"/>
          <w:i/>
        </w:rPr>
        <w:t>Potentior</w:t>
      </w:r>
      <w:r>
        <w:rPr>
          <w:b w:val="0"/>
          <w:i w:val="0"/>
        </w:rPr>
        <w:t xml:space="preserve">; </w:t>
      </w:r>
      <w:r>
        <w:rPr>
          <w:b w:val="0"/>
          <w:i/>
        </w:rPr>
        <w:t>potentior</w:t>
      </w:r>
      <w:r>
        <w:rPr>
          <w:b w:val="0"/>
          <w:i w:val="0"/>
        </w:rPr>
        <w:t xml:space="preserve">; </w:t>
      </w:r>
      <w:r>
        <w:rPr>
          <w:b w:val="0"/>
          <w:i/>
        </w:rPr>
        <w:t>potentiora</w:t>
      </w:r>
      <w:r>
        <w:rPr>
          <w:b w:val="0"/>
          <w:i w:val="0"/>
        </w:rPr>
        <w:t xml:space="preserve">; </w:t>
      </w:r>
      <w:r>
        <w:rPr>
          <w:b w:val="0"/>
          <w:i/>
        </w:rPr>
        <w:t>potentiorem</w:t>
      </w:r>
      <w:r>
        <w:rPr>
          <w:b w:val="0"/>
          <w:i w:val="0"/>
        </w:rPr>
        <w:t>.</w:t>
      </w:r>
    </w:p>
    <w:p>
      <w:pPr>
        <w:widowControl/>
      </w:pPr>
      <w:r>
        <w:rPr>
          <w:b w:val="0"/>
          <w:i w:val="0"/>
        </w:rPr>
        <w:t xml:space="preserve">More powerful and better in the hierarchy of forms. The final argument links strength to formal excellence, not to greater local magnitude or swelling bulk. References: </w:t>
      </w:r>
      <w:hyperlink w:anchor="passage-v-13-5">
        <w:r>
          <w:rPr>
            <w:color w:val="000000"/>
          </w:rPr>
          <w:t xml:space="preserve">V.13.5</w:t>
        </w:r>
      </w:hyperlink>
      <w:r>
        <w:rPr>
          <w:b w:val="0"/>
          <w:i w:val="0"/>
        </w:rPr>
        <w:t xml:space="preserve">, </w:t>
      </w:r>
      <w:hyperlink w:anchor="passage-v-15-8">
        <w:r>
          <w:rPr>
            <w:color w:val="000000"/>
          </w:rPr>
          <w:t xml:space="preserve">V.15.8</w:t>
        </w:r>
      </w:hyperlink>
      <w:r>
        <w:rPr>
          <w:b w:val="0"/>
          <w:i w:val="0"/>
        </w:rPr>
        <w:t xml:space="preserve">, </w:t>
      </w:r>
      <w:hyperlink w:anchor="passage-v-15-21">
        <w:r>
          <w:rPr>
            <w:color w:val="000000"/>
          </w:rPr>
          <w:t xml:space="preserve">V.15.21</w:t>
        </w:r>
      </w:hyperlink>
      <w:r>
        <w:rPr>
          <w:b w:val="0"/>
          <w:i w:val="0"/>
        </w:rPr>
        <w:t xml:space="preserve">, </w:t>
      </w:r>
      <w:hyperlink w:anchor="passage-v-15-25">
        <w:r>
          <w:rPr>
            <w:color w:val="000000"/>
          </w:rPr>
          <w:t xml:space="preserve">V.15.25</w:t>
        </w:r>
      </w:hyperlink>
      <w:r>
        <w:rPr>
          <w:b w:val="0"/>
          <w:i w:val="0"/>
        </w:rPr>
        <w:t xml:space="preserve">,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214" w:name="latin-record-0973"/>
      <w:bookmarkEnd w:id="1214"/>
      <w:r>
        <w:rPr>
          <w:b/>
          <w:i w:val="0"/>
        </w:rPr>
        <w:t>potestas</w:t>
      </w:r>
      <w:r>
        <w:rPr>
          <w:b/>
          <w:i w:val="0"/>
        </w:rPr>
        <w:t>.</w:t>
      </w:r>
      <w:r>
        <w:rPr>
          <w:b w:val="0"/>
          <w:i w:val="0"/>
        </w:rPr>
        <w:t xml:space="preserve"> Printed forms: </w:t>
      </w:r>
      <w:r>
        <w:rPr>
          <w:b w:val="0"/>
          <w:i/>
        </w:rPr>
        <w:t>potestas</w:t>
      </w:r>
      <w:r>
        <w:rPr>
          <w:b w:val="0"/>
          <w:i w:val="0"/>
        </w:rPr>
        <w:t xml:space="preserve">; </w:t>
      </w:r>
      <w:r>
        <w:rPr>
          <w:b w:val="0"/>
          <w:i/>
        </w:rPr>
        <w:t>potestate</w:t>
      </w:r>
      <w:r>
        <w:rPr>
          <w:b w:val="0"/>
          <w:i w:val="0"/>
        </w:rPr>
        <w:t xml:space="preserve">; </w:t>
      </w:r>
      <w:r>
        <w:rPr>
          <w:b w:val="0"/>
          <w:i/>
        </w:rPr>
        <w:t>potestatem</w:t>
      </w:r>
      <w:r>
        <w:rPr>
          <w:b w:val="0"/>
          <w:i w:val="0"/>
        </w:rPr>
        <w:t xml:space="preserve">; </w:t>
      </w:r>
      <w:r>
        <w:rPr>
          <w:b w:val="0"/>
          <w:i/>
        </w:rPr>
        <w:t>potestati</w:t>
      </w:r>
      <w:r>
        <w:rPr>
          <w:b w:val="0"/>
          <w:i w:val="0"/>
        </w:rPr>
        <w:t>.</w:t>
      </w:r>
    </w:p>
    <w:p>
      <w:pPr>
        <w:widowControl/>
      </w:pPr>
      <w:r>
        <w:rPr>
          <w:b w:val="0"/>
          <w:i w:val="0"/>
        </w:rPr>
        <w:t xml:space="preserve">Power or control over an action or another being. The coercion analysis asks what a stronger mind can actually control and through what dependence. References: </w:t>
      </w:r>
      <w:hyperlink w:anchor="passage-v-15-21">
        <w:r>
          <w:rPr>
            <w:color w:val="000000"/>
          </w:rPr>
          <w:t xml:space="preserve">V.15.21</w:t>
        </w:r>
      </w:hyperlink>
      <w:r>
        <w:rPr>
          <w:b w:val="0"/>
          <w:i w:val="0"/>
        </w:rPr>
        <w:t xml:space="preserve">, </w:t>
      </w:r>
      <w:hyperlink w:anchor="passage-v-15-22">
        <w:r>
          <w:rPr>
            <w:color w:val="000000"/>
          </w:rPr>
          <w:t xml:space="preserve">V.15.22</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1215" w:name="latin-record-0974"/>
      <w:bookmarkEnd w:id="1215"/>
      <w:r>
        <w:rPr>
          <w:b/>
          <w:i w:val="0"/>
        </w:rPr>
        <w:t>potissimum; partim</w:t>
      </w:r>
      <w:r>
        <w:rPr>
          <w:b/>
          <w:i w:val="0"/>
        </w:rPr>
        <w:t>.</w:t>
      </w:r>
      <w:r>
        <w:rPr>
          <w:b w:val="0"/>
          <w:i w:val="0"/>
        </w:rPr>
        <w:t xml:space="preserve"> Printed forms: </w:t>
      </w:r>
      <w:r>
        <w:rPr>
          <w:b w:val="0"/>
          <w:i/>
        </w:rPr>
        <w:t>partim</w:t>
      </w:r>
      <w:r>
        <w:rPr>
          <w:b w:val="0"/>
          <w:i w:val="0"/>
        </w:rPr>
        <w:t xml:space="preserve">; </w:t>
      </w:r>
      <w:r>
        <w:rPr>
          <w:b w:val="0"/>
          <w:i/>
        </w:rPr>
        <w:t>potissimum</w:t>
      </w:r>
      <w:r>
        <w:rPr>
          <w:b w:val="0"/>
          <w:i w:val="0"/>
        </w:rPr>
        <w:t>.</w:t>
      </w:r>
    </w:p>
    <w:p>
      <w:pPr>
        <w:widowControl/>
      </w:pPr>
      <w:r>
        <w:rPr>
          <w:b w:val="0"/>
          <w:i w:val="0"/>
        </w:rPr>
        <w:t xml:space="preserve">Principally and in part, specifying the scope of a proof. Natural power principally rules out body and only partly a divided form; later stages have further work to do. References: </w:t>
      </w:r>
      <w:hyperlink w:anchor="passage-vi-3-1">
        <w:r>
          <w:rPr>
            <w:color w:val="000000"/>
          </w:rPr>
          <w:t xml:space="preserve">VI.3.1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216" w:name="latin-record-0975"/>
      <w:bookmarkEnd w:id="1216"/>
      <w:r>
        <w:rPr>
          <w:b/>
          <w:i w:val="0"/>
        </w:rPr>
        <w:t>praeceptor; sophista</w:t>
      </w:r>
      <w:r>
        <w:rPr>
          <w:b/>
          <w:i w:val="0"/>
        </w:rPr>
        <w:t>.</w:t>
      </w:r>
      <w:r>
        <w:rPr>
          <w:b w:val="0"/>
          <w:i w:val="0"/>
        </w:rPr>
        <w:t xml:space="preserve"> Printed forms: </w:t>
      </w:r>
      <w:r>
        <w:rPr>
          <w:b w:val="0"/>
          <w:i/>
        </w:rPr>
        <w:t>magistram</w:t>
      </w:r>
      <w:r>
        <w:rPr>
          <w:b w:val="0"/>
          <w:i w:val="0"/>
        </w:rPr>
        <w:t xml:space="preserve">; </w:t>
      </w:r>
      <w:r>
        <w:rPr>
          <w:b w:val="0"/>
          <w:i/>
        </w:rPr>
        <w:t>praeceptoribus</w:t>
      </w:r>
      <w:r>
        <w:rPr>
          <w:b w:val="0"/>
          <w:i w:val="0"/>
        </w:rPr>
        <w:t xml:space="preserve">; </w:t>
      </w:r>
      <w:r>
        <w:rPr>
          <w:b w:val="0"/>
          <w:i/>
        </w:rPr>
        <w:t>sophistis</w:t>
      </w:r>
      <w:r>
        <w:rPr>
          <w:b w:val="0"/>
          <w:i w:val="0"/>
        </w:rPr>
        <w:t>.</w:t>
      </w:r>
    </w:p>
    <w:p>
      <w:pPr>
        <w:widowControl/>
      </w:pPr>
      <w:r>
        <w:rPr>
          <w:b w:val="0"/>
          <w:i w:val="0"/>
        </w:rPr>
        <w:t xml:space="preserve">Teacher, sophist and mistress or instructor. Natural power and two senses are inadequate teachers of soul’s essence; mind becomes the alternative instructor. References: </w:t>
      </w:r>
      <w:hyperlink w:anchor="passage-vi-2-2">
        <w:r>
          <w:rPr>
            <w:color w:val="000000"/>
          </w:rPr>
          <w:t xml:space="preserve">VI.2.2</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1217" w:name="latin-record-0976"/>
      <w:bookmarkEnd w:id="1217"/>
      <w:r>
        <w:rPr>
          <w:b/>
          <w:i w:val="0"/>
        </w:rPr>
        <w:t>praeparatio / pedisequa</w:t>
      </w:r>
      <w:r>
        <w:rPr>
          <w:b/>
          <w:i w:val="0"/>
        </w:rPr>
        <w:t>.</w:t>
      </w:r>
      <w:r>
        <w:rPr>
          <w:b w:val="0"/>
          <w:i w:val="0"/>
        </w:rPr>
        <w:t xml:space="preserve"> Printed forms: </w:t>
      </w:r>
      <w:r>
        <w:rPr>
          <w:b w:val="0"/>
          <w:i/>
        </w:rPr>
        <w:t>pedisequae</w:t>
      </w:r>
      <w:r>
        <w:rPr>
          <w:b w:val="0"/>
          <w:i w:val="0"/>
        </w:rPr>
        <w:t xml:space="preserve">; </w:t>
      </w:r>
      <w:r>
        <w:rPr>
          <w:b w:val="0"/>
          <w:i/>
        </w:rPr>
        <w:t>Praeparationes</w:t>
      </w:r>
      <w:r>
        <w:rPr>
          <w:b w:val="0"/>
          <w:i w:val="0"/>
        </w:rPr>
        <w:t>.</w:t>
      </w:r>
    </w:p>
    <w:p>
      <w:pPr>
        <w:widowControl/>
      </w:pPr>
      <w:r>
        <w:rPr>
          <w:b w:val="0"/>
          <w:i w:val="0"/>
        </w:rPr>
        <w:t xml:space="preserve">Preparations and attendants, describing discourse’s relation to realized knowledge. Many words and thoughts can lead to or accompany a simple act without becoming bodily parts of that act. References: </w:t>
      </w:r>
      <w:hyperlink w:anchor="passage-viii-4-11">
        <w:r>
          <w:rPr>
            <w:color w:val="000000"/>
          </w:rPr>
          <w:t xml:space="preserve">VIII.4.11</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1218" w:name="latin-record-0977"/>
      <w:bookmarkEnd w:id="1218"/>
      <w:r>
        <w:rPr>
          <w:b/>
          <w:i w:val="0"/>
        </w:rPr>
        <w:t>praescribere / ordinare / vagari</w:t>
      </w:r>
      <w:r>
        <w:rPr>
          <w:b/>
          <w:i w:val="0"/>
        </w:rPr>
        <w:t>.</w:t>
      </w:r>
      <w:r>
        <w:rPr>
          <w:b w:val="0"/>
          <w:i w:val="0"/>
        </w:rPr>
        <w:t xml:space="preserve"> Printed forms: </w:t>
      </w:r>
      <w:r>
        <w:rPr>
          <w:b w:val="0"/>
          <w:i/>
        </w:rPr>
        <w:t>ordinare</w:t>
      </w:r>
      <w:r>
        <w:rPr>
          <w:b w:val="0"/>
          <w:i w:val="0"/>
        </w:rPr>
        <w:t xml:space="preserve">; </w:t>
      </w:r>
      <w:r>
        <w:rPr>
          <w:b w:val="0"/>
          <w:i/>
        </w:rPr>
        <w:t>praescribi</w:t>
      </w:r>
      <w:r>
        <w:rPr>
          <w:b w:val="0"/>
          <w:i w:val="0"/>
        </w:rPr>
        <w:t xml:space="preserve">; </w:t>
      </w:r>
      <w:r>
        <w:rPr>
          <w:b w:val="0"/>
          <w:i/>
        </w:rPr>
        <w:t>rationaliter</w:t>
      </w:r>
      <w:r>
        <w:rPr>
          <w:b w:val="0"/>
          <w:i w:val="0"/>
        </w:rPr>
        <w:t xml:space="preserve">; </w:t>
      </w:r>
      <w:r>
        <w:rPr>
          <w:b w:val="0"/>
          <w:i/>
        </w:rPr>
        <w:t>vagantur</w:t>
      </w:r>
      <w:r>
        <w:rPr>
          <w:b w:val="0"/>
          <w:i w:val="0"/>
        </w:rPr>
        <w:t>.</w:t>
      </w:r>
    </w:p>
    <w:p>
      <w:pPr>
        <w:widowControl/>
      </w:pPr>
      <w:r>
        <w:rPr>
          <w:b w:val="0"/>
          <w:i w:val="0"/>
        </w:rPr>
        <w:t xml:space="preserve">To prescribe, order and move without a determinate direction or limit. Qualities lacking an organism’s definite plan require an agent to direct them to its proper shape and growth.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1219" w:name="latin-record-0978"/>
      <w:bookmarkEnd w:id="1219"/>
      <w:r>
        <w:rPr>
          <w:b/>
          <w:i w:val="0"/>
        </w:rPr>
        <w:t>praesens / absens</w:t>
      </w:r>
      <w:r>
        <w:rPr>
          <w:b/>
          <w:i w:val="0"/>
        </w:rPr>
        <w:t>.</w:t>
      </w:r>
      <w:r>
        <w:rPr>
          <w:b w:val="0"/>
          <w:i w:val="0"/>
        </w:rPr>
        <w:t xml:space="preserve"> Printed forms: </w:t>
      </w:r>
      <w:r>
        <w:rPr>
          <w:b w:val="0"/>
          <w:i/>
        </w:rPr>
        <w:t>absentia</w:t>
      </w:r>
      <w:r>
        <w:rPr>
          <w:b w:val="0"/>
          <w:i w:val="0"/>
        </w:rPr>
        <w:t xml:space="preserve">; </w:t>
      </w:r>
      <w:r>
        <w:rPr>
          <w:b w:val="0"/>
          <w:i/>
        </w:rPr>
        <w:t>praesentia</w:t>
      </w:r>
      <w:r>
        <w:rPr>
          <w:b w:val="0"/>
          <w:i w:val="0"/>
        </w:rPr>
        <w:t>.</w:t>
      </w:r>
    </w:p>
    <w:p>
      <w:pPr>
        <w:widowControl/>
      </w:pPr>
      <w:r>
        <w:rPr>
          <w:b w:val="0"/>
          <w:i w:val="0"/>
        </w:rPr>
        <w:t xml:space="preserve">Present and absent relative to the perceiver. The ability to think an absent object tests the difference between retained content and a transient surface appearance.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220" w:name="latin-record-0979"/>
      <w:bookmarkEnd w:id="1220"/>
      <w:r>
        <w:rPr>
          <w:b/>
          <w:i w:val="0"/>
        </w:rPr>
        <w:t>praesentia</w:t>
      </w:r>
      <w:r>
        <w:rPr>
          <w:b/>
          <w:i w:val="0"/>
        </w:rPr>
        <w:t>.</w:t>
      </w:r>
      <w:r>
        <w:rPr>
          <w:b w:val="0"/>
          <w:i w:val="0"/>
        </w:rPr>
        <w:t xml:space="preserve"> Printed forms: </w:t>
      </w:r>
      <w:r>
        <w:rPr>
          <w:b w:val="0"/>
          <w:i/>
        </w:rPr>
        <w:t>praesens</w:t>
      </w:r>
      <w:r>
        <w:rPr>
          <w:b w:val="0"/>
          <w:i w:val="0"/>
        </w:rPr>
        <w:t xml:space="preserve">; </w:t>
      </w:r>
      <w:r>
        <w:rPr>
          <w:b w:val="0"/>
          <w:i/>
        </w:rPr>
        <w:t>praesentia</w:t>
      </w:r>
      <w:r>
        <w:rPr>
          <w:b w:val="0"/>
          <w:i w:val="0"/>
        </w:rPr>
        <w:t xml:space="preserve">; </w:t>
      </w:r>
      <w:r>
        <w:rPr>
          <w:b w:val="0"/>
          <w:i/>
        </w:rPr>
        <w:t>praesentiam</w:t>
      </w:r>
      <w:r>
        <w:rPr>
          <w:b w:val="0"/>
          <w:i w:val="0"/>
        </w:rPr>
        <w:t>.</w:t>
      </w:r>
    </w:p>
    <w:p>
      <w:pPr>
        <w:widowControl/>
      </w:pPr>
      <w:r>
        <w:rPr>
          <w:b w:val="0"/>
          <w:i w:val="0"/>
        </w:rPr>
        <w:t xml:space="preserve">Presence, especially essence’s actual occurrence in the world or truth’s abiding presence. The comet’s being is actual presence; the dream passage contrasts sensory succession with everlasting rational presence. References: </w:t>
      </w:r>
      <w:hyperlink w:anchor="passage-v-7-1">
        <w:r>
          <w:rPr>
            <w:color w:val="000000"/>
          </w:rPr>
          <w:t xml:space="preserve">V.7.1</w:t>
        </w:r>
      </w:hyperlink>
      <w:r>
        <w:rPr>
          <w:b w:val="0"/>
          <w:i w:val="0"/>
        </w:rPr>
        <w:t xml:space="preserve">, </w:t>
      </w:r>
      <w:hyperlink w:anchor="passage-v-14-1">
        <w:r>
          <w:rPr>
            <w:color w:val="000000"/>
          </w:rPr>
          <w:t xml:space="preserve">V.14.1</w:t>
        </w:r>
      </w:hyperlink>
      <w:r>
        <w:rPr>
          <w:b w:val="0"/>
          <w:i w:val="0"/>
        </w:rPr>
        <w:t xml:space="preserve">, </w:t>
      </w:r>
      <w:hyperlink w:anchor="passage-v-15-24">
        <w:r>
          <w:rPr>
            <w:color w:val="000000"/>
          </w:rPr>
          <w:t xml:space="preserve">V.15.24</w:t>
        </w:r>
      </w:hyperlink>
      <w:r>
        <w:rPr>
          <w:b w:val="0"/>
          <w:i w:val="0"/>
        </w:rPr>
        <w:t xml:space="preserve">. See </w:t>
      </w:r>
      <w:hyperlink w:anchor="time-memory-and-expectation">
        <w:r>
          <w:rPr>
            <w:color w:val="000000"/>
          </w:rPr>
          <w:t xml:space="preserve">Time, memory and expectation</w:t>
        </w:r>
      </w:hyperlink>
      <w:r>
        <w:rPr>
          <w:b w:val="0"/>
          <w:i w:val="0"/>
        </w:rPr>
        <w:t>.</w:t>
      </w:r>
    </w:p>
    <w:p>
      <w:pPr>
        <w:keepNext/>
        <w:widowControl/>
      </w:pPr>
      <w:bookmarkStart w:id="1221" w:name="latin-record-0980"/>
      <w:bookmarkEnd w:id="1221"/>
      <w:r>
        <w:rPr>
          <w:b/>
          <w:i w:val="0"/>
        </w:rPr>
        <w:t>praesentia / absentia</w:t>
      </w:r>
      <w:r>
        <w:rPr>
          <w:b/>
          <w:i w:val="0"/>
        </w:rPr>
        <w:t>.</w:t>
      </w:r>
      <w:r>
        <w:rPr>
          <w:b w:val="0"/>
          <w:i w:val="0"/>
        </w:rPr>
        <w:t xml:space="preserve"> Printed forms: </w:t>
      </w:r>
      <w:r>
        <w:rPr>
          <w:b w:val="0"/>
          <w:i/>
        </w:rPr>
        <w:t>absens</w:t>
      </w:r>
      <w:r>
        <w:rPr>
          <w:b w:val="0"/>
          <w:i w:val="0"/>
        </w:rPr>
        <w:t xml:space="preserve">; </w:t>
      </w:r>
      <w:r>
        <w:rPr>
          <w:b w:val="0"/>
          <w:i/>
        </w:rPr>
        <w:t>absente</w:t>
      </w:r>
      <w:r>
        <w:rPr>
          <w:b w:val="0"/>
          <w:i w:val="0"/>
        </w:rPr>
        <w:t xml:space="preserve">; </w:t>
      </w:r>
      <w:r>
        <w:rPr>
          <w:b w:val="0"/>
          <w:i/>
        </w:rPr>
        <w:t>adsit</w:t>
      </w:r>
      <w:r>
        <w:rPr>
          <w:b w:val="0"/>
          <w:i w:val="0"/>
        </w:rPr>
        <w:t xml:space="preserve">; </w:t>
      </w:r>
      <w:r>
        <w:rPr>
          <w:b w:val="0"/>
          <w:i/>
        </w:rPr>
        <w:t>praesens</w:t>
      </w:r>
      <w:r>
        <w:rPr>
          <w:b w:val="0"/>
          <w:i w:val="0"/>
        </w:rPr>
        <w:t xml:space="preserve">; </w:t>
      </w:r>
      <w:r>
        <w:rPr>
          <w:b w:val="0"/>
          <w:i/>
        </w:rPr>
        <w:t>praesente</w:t>
      </w:r>
      <w:r>
        <w:rPr>
          <w:b w:val="0"/>
          <w:i w:val="0"/>
        </w:rPr>
        <w:t xml:space="preserve">; </w:t>
      </w:r>
      <w:r>
        <w:rPr>
          <w:b w:val="0"/>
          <w:i/>
        </w:rPr>
        <w:t>praesentia</w:t>
      </w:r>
      <w:r>
        <w:rPr>
          <w:b w:val="0"/>
          <w:i w:val="0"/>
        </w:rPr>
        <w:t>.</w:t>
      </w:r>
    </w:p>
    <w:p>
      <w:pPr>
        <w:widowControl/>
      </w:pPr>
      <w:r>
        <w:rPr>
          <w:b w:val="0"/>
          <w:i w:val="0"/>
        </w:rPr>
        <w:t xml:space="preserve">Being present or absent to a bodily event or member. Whole presence is used to explain awareness without abandonment of other living members; it must not be reduced to spatial filling. References: </w:t>
      </w:r>
      <w:hyperlink w:anchor="passage-vii-5-1">
        <w:r>
          <w:rPr>
            <w:color w:val="000000"/>
          </w:rPr>
          <w:t xml:space="preserve">VII.5.1</w:t>
        </w:r>
      </w:hyperlink>
      <w:r>
        <w:rPr>
          <w:b w:val="0"/>
          <w:i w:val="0"/>
        </w:rPr>
        <w:t xml:space="preserve">, </w:t>
      </w:r>
      <w:hyperlink w:anchor="passage-vii-5-2">
        <w:r>
          <w:rPr>
            <w:color w:val="000000"/>
          </w:rPr>
          <w:t xml:space="preserve">VII.5.2</w:t>
        </w:r>
      </w:hyperlink>
      <w:r>
        <w:rPr>
          <w:b w:val="0"/>
          <w:i w:val="0"/>
        </w:rPr>
        <w:t xml:space="preserve">, </w:t>
      </w:r>
      <w:hyperlink w:anchor="passage-vii-6-1">
        <w:r>
          <w:rPr>
            <w:color w:val="000000"/>
          </w:rPr>
          <w:t xml:space="preserve">VII.6.1</w:t>
        </w:r>
      </w:hyperlink>
      <w:r>
        <w:rPr>
          <w:b w:val="0"/>
          <w:i w:val="0"/>
        </w:rPr>
        <w:t xml:space="preserve">. See </w:t>
      </w:r>
      <w:hyperlink w:anchor="vii-whole-soul-vital-intensity">
        <w:r>
          <w:rPr>
            <w:color w:val="000000"/>
          </w:rPr>
          <w:t xml:space="preserve">Whole presence and vital intensity</w:t>
        </w:r>
      </w:hyperlink>
      <w:r>
        <w:rPr>
          <w:b w:val="0"/>
          <w:i w:val="0"/>
        </w:rPr>
        <w:t>.</w:t>
      </w:r>
    </w:p>
    <w:p>
      <w:pPr>
        <w:widowControl/>
      </w:pPr>
      <w:r>
        <w:rPr>
          <w:b w:val="0"/>
          <w:i w:val="0"/>
        </w:rPr>
        <w:t xml:space="preserve">Presence or absence of the original bodily object to the faculty’s activity. Sight needs Plato present, whereas imagination can retain and combine his features when he is absent. References: </w:t>
      </w:r>
      <w:hyperlink w:anchor="passage-viii-1-1">
        <w:r>
          <w:rPr>
            <w:color w:val="000000"/>
          </w:rPr>
          <w:t xml:space="preserve">VIII.1.1</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1222" w:name="latin-record-0981"/>
      <w:bookmarkEnd w:id="1222"/>
      <w:r>
        <w:rPr>
          <w:b/>
          <w:i w:val="0"/>
        </w:rPr>
        <w:t>praesentire / praesentia</w:t>
      </w:r>
      <w:r>
        <w:rPr>
          <w:b/>
          <w:i w:val="0"/>
        </w:rPr>
        <w:t>.</w:t>
      </w:r>
      <w:r>
        <w:rPr>
          <w:b w:val="0"/>
          <w:i w:val="0"/>
        </w:rPr>
        <w:t xml:space="preserve"> Printed forms: </w:t>
      </w:r>
      <w:r>
        <w:rPr>
          <w:b w:val="0"/>
          <w:i/>
        </w:rPr>
        <w:t>praesentiat</w:t>
      </w:r>
      <w:r>
        <w:rPr>
          <w:b w:val="0"/>
          <w:i w:val="0"/>
        </w:rPr>
        <w:t>.</w:t>
      </w:r>
    </w:p>
    <w:p>
      <w:pPr>
        <w:widowControl/>
      </w:pPr>
      <w:r>
        <w:rPr>
          <w:b w:val="0"/>
          <w:i w:val="0"/>
        </w:rPr>
        <w:t xml:space="preserve">To apprehend something immediately as present. The whole judging soul perceives the event without an intermediary, then directs assistance to the injured part.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223" w:name="latin-record-0982"/>
      <w:bookmarkEnd w:id="1223"/>
      <w:r>
        <w:rPr>
          <w:b/>
          <w:i w:val="0"/>
        </w:rPr>
        <w:t>praestans; excellens; nobilis</w:t>
      </w:r>
      <w:r>
        <w:rPr>
          <w:b/>
          <w:i w:val="0"/>
        </w:rPr>
        <w:t>.</w:t>
      </w:r>
      <w:r>
        <w:rPr>
          <w:b w:val="0"/>
          <w:i w:val="0"/>
        </w:rPr>
        <w:t xml:space="preserve"> Printed forms: </w:t>
      </w:r>
      <w:r>
        <w:rPr>
          <w:b w:val="0"/>
          <w:i/>
        </w:rPr>
        <w:t>excellentiore</w:t>
      </w:r>
      <w:r>
        <w:rPr>
          <w:b w:val="0"/>
          <w:i w:val="0"/>
        </w:rPr>
        <w:t xml:space="preserve">; </w:t>
      </w:r>
      <w:r>
        <w:rPr>
          <w:b w:val="0"/>
          <w:i/>
        </w:rPr>
        <w:t>excellentius</w:t>
      </w:r>
      <w:r>
        <w:rPr>
          <w:b w:val="0"/>
          <w:i w:val="0"/>
        </w:rPr>
        <w:t xml:space="preserve">; </w:t>
      </w:r>
      <w:r>
        <w:rPr>
          <w:b w:val="0"/>
          <w:i/>
        </w:rPr>
        <w:t>nobilius</w:t>
      </w:r>
      <w:r>
        <w:rPr>
          <w:b w:val="0"/>
          <w:i w:val="0"/>
        </w:rPr>
        <w:t xml:space="preserve">; </w:t>
      </w:r>
      <w:r>
        <w:rPr>
          <w:b w:val="0"/>
          <w:i/>
        </w:rPr>
        <w:t>praestantior</w:t>
      </w:r>
      <w:r>
        <w:rPr>
          <w:b w:val="0"/>
          <w:i w:val="0"/>
        </w:rPr>
        <w:t xml:space="preserve">; </w:t>
      </w:r>
      <w:r>
        <w:rPr>
          <w:b w:val="0"/>
          <w:i/>
        </w:rPr>
        <w:t>praestantiores</w:t>
      </w:r>
      <w:r>
        <w:rPr>
          <w:b w:val="0"/>
          <w:i w:val="0"/>
        </w:rPr>
        <w:t xml:space="preserve">; </w:t>
      </w:r>
      <w:r>
        <w:rPr>
          <w:b w:val="0"/>
          <w:i/>
        </w:rPr>
        <w:t>praestantissima</w:t>
      </w:r>
      <w:r>
        <w:rPr>
          <w:b w:val="0"/>
          <w:i w:val="0"/>
        </w:rPr>
        <w:t xml:space="preserve">; </w:t>
      </w:r>
      <w:r>
        <w:rPr>
          <w:b w:val="0"/>
          <w:i/>
        </w:rPr>
        <w:t>praestantius</w:t>
      </w:r>
      <w:r>
        <w:rPr>
          <w:b w:val="0"/>
          <w:i w:val="0"/>
        </w:rPr>
        <w:t>.</w:t>
      </w:r>
    </w:p>
    <w:p>
      <w:pPr>
        <w:widowControl/>
      </w:pPr>
      <w:r>
        <w:rPr>
          <w:b w:val="0"/>
          <w:i w:val="0"/>
        </w:rPr>
        <w:t xml:space="preserve">Superior, more excellent or nobler in the relevant hierarchy. These comparative judgements support priority of correcting reason, ruling soul and indivisibility; they do not simply mean larger physical size. References: </w:t>
      </w:r>
      <w:hyperlink w:anchor="passage-vi-2-9">
        <w:r>
          <w:rPr>
            <w:color w:val="000000"/>
          </w:rPr>
          <w:t xml:space="preserve">VI.2.9</w:t>
        </w:r>
      </w:hyperlink>
      <w:r>
        <w:rPr>
          <w:b w:val="0"/>
          <w:i w:val="0"/>
        </w:rPr>
        <w:t xml:space="preserve">, </w:t>
      </w:r>
      <w:hyperlink w:anchor="passage-vi-2-22">
        <w:r>
          <w:rPr>
            <w:color w:val="000000"/>
          </w:rPr>
          <w:t xml:space="preserve">VI.2.22</w:t>
        </w:r>
      </w:hyperlink>
      <w:r>
        <w:rPr>
          <w:b w:val="0"/>
          <w:i w:val="0"/>
        </w:rPr>
        <w:t xml:space="preserve">, </w:t>
      </w:r>
      <w:hyperlink w:anchor="passage-vi-6-4">
        <w:r>
          <w:rPr>
            <w:color w:val="000000"/>
          </w:rPr>
          <w:t xml:space="preserve">VI.6.4</w:t>
        </w:r>
      </w:hyperlink>
      <w:r>
        <w:rPr>
          <w:b w:val="0"/>
          <w:i w:val="0"/>
        </w:rPr>
        <w:t xml:space="preserve">, </w:t>
      </w:r>
      <w:hyperlink w:anchor="passage-vi-6-5">
        <w:r>
          <w:rPr>
            <w:color w:val="000000"/>
          </w:rPr>
          <w:t xml:space="preserve">VI.6.5</w:t>
        </w:r>
      </w:hyperlink>
      <w:r>
        <w:rPr>
          <w:b w:val="0"/>
          <w:i w:val="0"/>
        </w:rPr>
        <w:t xml:space="preserve">, </w:t>
      </w:r>
      <w:hyperlink w:anchor="passage-vi-7-3">
        <w:r>
          <w:rPr>
            <w:color w:val="000000"/>
          </w:rPr>
          <w:t xml:space="preserve">VI.7.3</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1224" w:name="latin-record-0983"/>
      <w:bookmarkEnd w:id="1224"/>
      <w:r>
        <w:rPr>
          <w:b/>
          <w:i w:val="0"/>
        </w:rPr>
        <w:t>praestantior / sublimior</w:t>
      </w:r>
      <w:r>
        <w:rPr>
          <w:b/>
          <w:i w:val="0"/>
        </w:rPr>
        <w:t>.</w:t>
      </w:r>
      <w:r>
        <w:rPr>
          <w:b w:val="0"/>
          <w:i w:val="0"/>
        </w:rPr>
        <w:t xml:space="preserve"> Printed forms: </w:t>
      </w:r>
      <w:r>
        <w:rPr>
          <w:b w:val="0"/>
          <w:i/>
        </w:rPr>
        <w:t>praestantius</w:t>
      </w:r>
      <w:r>
        <w:rPr>
          <w:b w:val="0"/>
          <w:i w:val="0"/>
        </w:rPr>
        <w:t xml:space="preserve">; </w:t>
      </w:r>
      <w:r>
        <w:rPr>
          <w:b w:val="0"/>
          <w:i/>
        </w:rPr>
        <w:t>sublimius</w:t>
      </w:r>
      <w:r>
        <w:rPr>
          <w:b w:val="0"/>
          <w:i w:val="0"/>
        </w:rPr>
        <w:t>.</w:t>
      </w:r>
    </w:p>
    <w:p>
      <w:pPr>
        <w:widowControl/>
      </w:pPr>
      <w:r>
        <w:rPr>
          <w:b w:val="0"/>
          <w:i w:val="0"/>
        </w:rPr>
        <w:t xml:space="preserve">More excellent and higher in rank. The causal argument connects excellence with freedom from matter; it is a metaphysical premise, not a measurement of physical energy. References: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1225" w:name="latin-record-0984"/>
      <w:bookmarkEnd w:id="1225"/>
      <w:r>
        <w:rPr>
          <w:b/>
          <w:i w:val="0"/>
        </w:rPr>
        <w:t>praestare vitam / vitalis</w:t>
      </w:r>
      <w:r>
        <w:rPr>
          <w:b/>
          <w:i w:val="0"/>
        </w:rPr>
        <w:t>.</w:t>
      </w:r>
      <w:r>
        <w:rPr>
          <w:b w:val="0"/>
          <w:i w:val="0"/>
        </w:rPr>
        <w:t xml:space="preserve"> Printed forms: </w:t>
      </w:r>
      <w:r>
        <w:rPr>
          <w:b w:val="0"/>
          <w:i/>
        </w:rPr>
        <w:t>praestat</w:t>
      </w:r>
      <w:r>
        <w:rPr>
          <w:b w:val="0"/>
          <w:i w:val="0"/>
        </w:rPr>
        <w:t xml:space="preserve">; </w:t>
      </w:r>
      <w:r>
        <w:rPr>
          <w:b w:val="0"/>
          <w:i/>
        </w:rPr>
        <w:t>vitalem</w:t>
      </w:r>
      <w:r>
        <w:rPr>
          <w:b w:val="0"/>
          <w:i w:val="0"/>
        </w:rPr>
        <w:t xml:space="preserve">; </w:t>
      </w:r>
      <w:r>
        <w:rPr>
          <w:b w:val="0"/>
          <w:i/>
        </w:rPr>
        <w:t>vitam</w:t>
      </w:r>
      <w:r>
        <w:rPr>
          <w:b w:val="0"/>
          <w:i w:val="0"/>
        </w:rPr>
        <w:t>.</w:t>
      </w:r>
    </w:p>
    <w:p>
      <w:pPr>
        <w:widowControl/>
      </w:pPr>
      <w:r>
        <w:rPr>
          <w:b w:val="0"/>
          <w:i w:val="0"/>
        </w:rPr>
        <w:t xml:space="preserve">To bestow life and make living. Soul gives spirit life and motion before governing the larger body through that medium.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1226" w:name="latin-record-0985"/>
      <w:bookmarkEnd w:id="1226"/>
      <w:r>
        <w:rPr>
          <w:b/>
          <w:i w:val="0"/>
        </w:rPr>
        <w:t>praeteritum / futurum / praesens</w:t>
      </w:r>
      <w:r>
        <w:rPr>
          <w:b/>
          <w:i w:val="0"/>
        </w:rPr>
        <w:t>.</w:t>
      </w:r>
      <w:r>
        <w:rPr>
          <w:b w:val="0"/>
          <w:i w:val="0"/>
        </w:rPr>
        <w:t xml:space="preserve"> Printed forms: </w:t>
      </w:r>
      <w:r>
        <w:rPr>
          <w:b w:val="0"/>
          <w:i/>
        </w:rPr>
        <w:t>futurum</w:t>
      </w:r>
      <w:r>
        <w:rPr>
          <w:b w:val="0"/>
          <w:i w:val="0"/>
        </w:rPr>
        <w:t xml:space="preserve">; </w:t>
      </w:r>
      <w:r>
        <w:rPr>
          <w:b w:val="0"/>
          <w:i/>
        </w:rPr>
        <w:t>praesenti</w:t>
      </w:r>
      <w:r>
        <w:rPr>
          <w:b w:val="0"/>
          <w:i w:val="0"/>
        </w:rPr>
        <w:t xml:space="preserve">; </w:t>
      </w:r>
      <w:r>
        <w:rPr>
          <w:b w:val="0"/>
          <w:i/>
        </w:rPr>
        <w:t>praeteritum</w:t>
      </w:r>
      <w:r>
        <w:rPr>
          <w:b w:val="0"/>
          <w:i w:val="0"/>
        </w:rPr>
        <w:t xml:space="preserve">; </w:t>
      </w:r>
      <w:r>
        <w:rPr>
          <w:b w:val="0"/>
          <w:i/>
        </w:rPr>
        <w:t>temporis</w:t>
      </w:r>
      <w:r>
        <w:rPr>
          <w:b w:val="0"/>
          <w:i w:val="0"/>
        </w:rPr>
        <w:t>.</w:t>
      </w:r>
    </w:p>
    <w:p>
      <w:pPr>
        <w:widowControl/>
      </w:pPr>
      <w:r>
        <w:rPr>
          <w:b w:val="0"/>
          <w:i w:val="0"/>
        </w:rPr>
        <w:t xml:space="preserve">Past, future and present as related objects of a single intellectual regard. Mind gathers flowing temporal parts in thought; this does not make past events physically simultaneous with present ones. References: </w:t>
      </w:r>
      <w:hyperlink w:anchor="passage-viii-14-1">
        <w:r>
          <w:rPr>
            <w:color w:val="000000"/>
          </w:rPr>
          <w:t xml:space="preserve">VIII.14.1</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1227" w:name="latin-record-0986"/>
      <w:bookmarkEnd w:id="1227"/>
      <w:r>
        <w:rPr>
          <w:b/>
          <w:i w:val="0"/>
        </w:rPr>
        <w:t>primo moveri</w:t>
      </w:r>
      <w:r>
        <w:rPr>
          <w:b/>
          <w:i w:val="0"/>
        </w:rPr>
        <w:t>.</w:t>
      </w:r>
      <w:r>
        <w:rPr>
          <w:b w:val="0"/>
          <w:i w:val="0"/>
        </w:rPr>
        <w:t xml:space="preserve"> Printed forms: </w:t>
      </w:r>
      <w:r>
        <w:rPr>
          <w:b w:val="0"/>
          <w:i/>
        </w:rPr>
        <w:t>primo</w:t>
      </w:r>
      <w:r>
        <w:rPr>
          <w:b w:val="0"/>
          <w:i w:val="0"/>
        </w:rPr>
        <w:t xml:space="preserve">; </w:t>
      </w:r>
      <w:r>
        <w:rPr>
          <w:b w:val="0"/>
          <w:i/>
        </w:rPr>
        <w:t>primo moventur</w:t>
      </w:r>
      <w:r>
        <w:rPr>
          <w:b w:val="0"/>
          <w:i w:val="0"/>
        </w:rPr>
        <w:t xml:space="preserve">; </w:t>
      </w:r>
      <w:r>
        <w:rPr>
          <w:b w:val="0"/>
          <w:i/>
        </w:rPr>
        <w:t>primo movetur</w:t>
      </w:r>
      <w:r>
        <w:rPr>
          <w:b w:val="0"/>
          <w:i w:val="0"/>
        </w:rPr>
        <w:t>.</w:t>
      </w:r>
    </w:p>
    <w:p>
      <w:pPr>
        <w:widowControl/>
      </w:pPr>
      <w:r>
        <w:rPr>
          <w:b w:val="0"/>
          <w:i w:val="0"/>
        </w:rPr>
        <w:t xml:space="preserve">Moving primarily, with causal or hierarchical priority rather than simply earlier on a clock. Primary self-motion supports freedom from an outside mover and, in V.5, independence from matter. References: </w:t>
      </w:r>
      <w:hyperlink w:anchor="passage-v-1-1">
        <w:r>
          <w:rPr>
            <w:color w:val="000000"/>
          </w:rPr>
          <w:t xml:space="preserve">V.1.1</w:t>
        </w:r>
      </w:hyperlink>
      <w:r>
        <w:rPr>
          <w:b w:val="0"/>
          <w:i w:val="0"/>
        </w:rPr>
        <w:t xml:space="preserve">, </w:t>
      </w:r>
      <w:hyperlink w:anchor="passage-v-5-8">
        <w:r>
          <w:rPr>
            <w:color w:val="000000"/>
          </w:rPr>
          <w:t xml:space="preserve">V.5.8</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228" w:name="latin-record-0987"/>
      <w:bookmarkEnd w:id="1228"/>
      <w:r>
        <w:rPr>
          <w:b/>
          <w:i w:val="0"/>
        </w:rPr>
        <w:t>primum / deinde / prius / secundo</w:t>
      </w:r>
      <w:r>
        <w:rPr>
          <w:b/>
          <w:i w:val="0"/>
        </w:rPr>
        <w:t>.</w:t>
      </w:r>
      <w:r>
        <w:rPr>
          <w:b w:val="0"/>
          <w:i w:val="0"/>
        </w:rPr>
        <w:t xml:space="preserve"> Printed forms: </w:t>
      </w:r>
      <w:r>
        <w:rPr>
          <w:b w:val="0"/>
          <w:i/>
        </w:rPr>
        <w:t>deinde</w:t>
      </w:r>
      <w:r>
        <w:rPr>
          <w:b w:val="0"/>
          <w:i w:val="0"/>
        </w:rPr>
        <w:t xml:space="preserve">; </w:t>
      </w:r>
      <w:r>
        <w:rPr>
          <w:b w:val="0"/>
          <w:i/>
        </w:rPr>
        <w:t>postquam</w:t>
      </w:r>
      <w:r>
        <w:rPr>
          <w:b w:val="0"/>
          <w:i w:val="0"/>
        </w:rPr>
        <w:t xml:space="preserve">; </w:t>
      </w:r>
      <w:r>
        <w:rPr>
          <w:b w:val="0"/>
          <w:i/>
        </w:rPr>
        <w:t>Primum</w:t>
      </w:r>
      <w:r>
        <w:rPr>
          <w:b w:val="0"/>
          <w:i w:val="0"/>
        </w:rPr>
        <w:t xml:space="preserve">; </w:t>
      </w:r>
      <w:r>
        <w:rPr>
          <w:b w:val="0"/>
          <w:i/>
        </w:rPr>
        <w:t>primum</w:t>
      </w:r>
      <w:r>
        <w:rPr>
          <w:b w:val="0"/>
          <w:i w:val="0"/>
        </w:rPr>
        <w:t xml:space="preserve">; </w:t>
      </w:r>
      <w:r>
        <w:rPr>
          <w:b w:val="0"/>
          <w:i/>
        </w:rPr>
        <w:t>Prius</w:t>
      </w:r>
      <w:r>
        <w:rPr>
          <w:b w:val="0"/>
          <w:i w:val="0"/>
        </w:rPr>
        <w:t xml:space="preserve">; </w:t>
      </w:r>
      <w:r>
        <w:rPr>
          <w:b w:val="0"/>
          <w:i/>
        </w:rPr>
        <w:t>prius</w:t>
      </w:r>
      <w:r>
        <w:rPr>
          <w:b w:val="0"/>
          <w:i w:val="0"/>
        </w:rPr>
        <w:t xml:space="preserve">; </w:t>
      </w:r>
      <w:r>
        <w:rPr>
          <w:b w:val="0"/>
          <w:i/>
        </w:rPr>
        <w:t>secundo</w:t>
      </w:r>
      <w:r>
        <w:rPr>
          <w:b w:val="0"/>
          <w:i w:val="0"/>
        </w:rPr>
        <w:t>.</w:t>
      </w:r>
    </w:p>
    <w:p>
      <w:pPr>
        <w:widowControl/>
      </w:pPr>
      <w:r>
        <w:rPr>
          <w:b w:val="0"/>
          <w:i w:val="0"/>
        </w:rPr>
        <w:t xml:space="preserve">First, next and prior, marking explanatory or cognitive order that may differ from chronology. Universal knowledge precedes reflective particular knowledge; life precedes intelligence in the final proof. A sequence of reasons is not automatically a temporal production story. References: </w:t>
      </w:r>
      <w:hyperlink w:anchor="passage-viii-1-5">
        <w:r>
          <w:rPr>
            <w:color w:val="000000"/>
          </w:rPr>
          <w:t xml:space="preserve">VIII.1.5</w:t>
        </w:r>
      </w:hyperlink>
      <w:r>
        <w:rPr>
          <w:b w:val="0"/>
          <w:i w:val="0"/>
        </w:rPr>
        <w:t xml:space="preserve">, </w:t>
      </w:r>
      <w:hyperlink w:anchor="passage-viii-10-1">
        <w:r>
          <w:rPr>
            <w:color w:val="000000"/>
          </w:rPr>
          <w:t xml:space="preserve">VIII.10.1</w:t>
        </w:r>
      </w:hyperlink>
      <w:r>
        <w:rPr>
          <w:b w:val="0"/>
          <w:i w:val="0"/>
        </w:rPr>
        <w:t xml:space="preserve">, </w:t>
      </w:r>
      <w:hyperlink w:anchor="passage-viii-16-4">
        <w:r>
          <w:rPr>
            <w:color w:val="000000"/>
          </w:rPr>
          <w:t xml:space="preserve">VIII.16.4</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1229" w:name="latin-record-0988"/>
      <w:bookmarkEnd w:id="1229"/>
      <w:r>
        <w:rPr>
          <w:b/>
          <w:i w:val="0"/>
        </w:rPr>
        <w:t>primum lumen</w:t>
      </w:r>
      <w:r>
        <w:rPr>
          <w:b/>
          <w:i w:val="0"/>
        </w:rPr>
        <w:t>.</w:t>
      </w:r>
      <w:r>
        <w:rPr>
          <w:b w:val="0"/>
          <w:i w:val="0"/>
        </w:rPr>
        <w:t xml:space="preserve"> Printed forms: </w:t>
      </w:r>
      <w:r>
        <w:rPr>
          <w:b w:val="0"/>
          <w:i/>
        </w:rPr>
        <w:t>illuminatum</w:t>
      </w:r>
      <w:r>
        <w:rPr>
          <w:b w:val="0"/>
          <w:i w:val="0"/>
        </w:rPr>
        <w:t xml:space="preserve">; </w:t>
      </w:r>
      <w:r>
        <w:rPr>
          <w:b w:val="0"/>
          <w:i/>
        </w:rPr>
        <w:t>obscurum</w:t>
      </w:r>
      <w:r>
        <w:rPr>
          <w:b w:val="0"/>
          <w:i w:val="0"/>
        </w:rPr>
        <w:t xml:space="preserve">; </w:t>
      </w:r>
      <w:r>
        <w:rPr>
          <w:b w:val="0"/>
          <w:i/>
        </w:rPr>
        <w:t>primum lumen</w:t>
      </w:r>
      <w:r>
        <w:rPr>
          <w:b w:val="0"/>
          <w:i w:val="0"/>
        </w:rPr>
        <w:t>.</w:t>
      </w:r>
    </w:p>
    <w:p>
      <w:pPr>
        <w:widowControl/>
      </w:pPr>
      <w:r>
        <w:rPr>
          <w:b w:val="0"/>
          <w:i w:val="0"/>
        </w:rPr>
        <w:t xml:space="preserve">First light, illuminated and dark. The analogy distinguishes source from derivative illumination, just as soul is distinguished from what receives animation. References: </w:t>
      </w:r>
      <w:hyperlink w:anchor="passage-vi-5-3">
        <w:r>
          <w:rPr>
            <w:color w:val="000000"/>
          </w:rPr>
          <w:t xml:space="preserve">VI.5.3</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230" w:name="latin-record-0989"/>
      <w:bookmarkEnd w:id="1230"/>
      <w:r>
        <w:rPr>
          <w:b/>
          <w:i w:val="0"/>
        </w:rPr>
        <w:t>primum principium</w:t>
      </w:r>
      <w:r>
        <w:rPr>
          <w:b/>
          <w:i w:val="0"/>
        </w:rPr>
        <w:t>.</w:t>
      </w:r>
      <w:r>
        <w:rPr>
          <w:b w:val="0"/>
          <w:i w:val="0"/>
        </w:rPr>
        <w:t xml:space="preserve"> Printed forms: </w:t>
      </w:r>
      <w:r>
        <w:rPr>
          <w:b w:val="0"/>
          <w:i/>
        </w:rPr>
        <w:t>primum principium</w:t>
      </w:r>
      <w:r>
        <w:rPr>
          <w:b w:val="0"/>
          <w:i w:val="0"/>
        </w:rPr>
        <w:t>.</w:t>
      </w:r>
    </w:p>
    <w:p>
      <w:pPr>
        <w:widowControl/>
      </w:pPr>
      <w:r>
        <w:rPr>
          <w:b w:val="0"/>
          <w:i w:val="0"/>
        </w:rPr>
        <w:t xml:space="preserve">First principle, source or ground. In the argument of V.10 this names the same divine source called the first cause; it does not introduce an additional entity. References: </w:t>
      </w:r>
      <w:hyperlink w:anchor="passage-v-10-1">
        <w:r>
          <w:rPr>
            <w:color w:val="000000"/>
          </w:rPr>
          <w:t xml:space="preserve">V.10.1</w:t>
        </w:r>
      </w:hyperlink>
      <w:r>
        <w:rPr>
          <w:b w:val="0"/>
          <w:i w:val="0"/>
        </w:rPr>
        <w:t xml:space="preserve">, </w:t>
      </w:r>
      <w:hyperlink w:anchor="passage-v-10-2">
        <w:r>
          <w:rPr>
            <w:color w:val="000000"/>
          </w:rPr>
          <w:t xml:space="preserve">V.10.2</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1231" w:name="latin-record-0990"/>
      <w:bookmarkEnd w:id="1231"/>
      <w:r>
        <w:rPr>
          <w:b/>
          <w:i w:val="0"/>
        </w:rPr>
        <w:t>primus / prior</w:t>
      </w:r>
      <w:r>
        <w:rPr>
          <w:b/>
          <w:i w:val="0"/>
        </w:rPr>
        <w:t>.</w:t>
      </w:r>
      <w:r>
        <w:rPr>
          <w:b w:val="0"/>
          <w:i w:val="0"/>
        </w:rPr>
        <w:t xml:space="preserve"> Printed forms: </w:t>
      </w:r>
      <w:r>
        <w:rPr>
          <w:b w:val="0"/>
          <w:i/>
        </w:rPr>
        <w:t>prima</w:t>
      </w:r>
      <w:r>
        <w:rPr>
          <w:b w:val="0"/>
          <w:i w:val="0"/>
        </w:rPr>
        <w:t xml:space="preserve">; </w:t>
      </w:r>
      <w:r>
        <w:rPr>
          <w:b w:val="0"/>
          <w:i/>
        </w:rPr>
        <w:t>primam</w:t>
      </w:r>
      <w:r>
        <w:rPr>
          <w:b w:val="0"/>
          <w:i w:val="0"/>
        </w:rPr>
        <w:t xml:space="preserve">; </w:t>
      </w:r>
      <w:r>
        <w:rPr>
          <w:b w:val="0"/>
          <w:i/>
        </w:rPr>
        <w:t>primum</w:t>
      </w:r>
      <w:r>
        <w:rPr>
          <w:b w:val="0"/>
          <w:i w:val="0"/>
        </w:rPr>
        <w:t xml:space="preserve">; </w:t>
      </w:r>
      <w:r>
        <w:rPr>
          <w:b w:val="0"/>
          <w:i/>
        </w:rPr>
        <w:t>primus</w:t>
      </w:r>
      <w:r>
        <w:rPr>
          <w:b w:val="0"/>
          <w:i w:val="0"/>
        </w:rPr>
        <w:t xml:space="preserve">; </w:t>
      </w:r>
      <w:r>
        <w:rPr>
          <w:b w:val="0"/>
          <w:i/>
        </w:rPr>
        <w:t>prius</w:t>
      </w:r>
      <w:r>
        <w:rPr>
          <w:b w:val="0"/>
          <w:i w:val="0"/>
        </w:rPr>
        <w:t>.</w:t>
      </w:r>
    </w:p>
    <w:p>
      <w:pPr>
        <w:widowControl/>
      </w:pPr>
      <w:r>
        <w:rPr>
          <w:b w:val="0"/>
          <w:i w:val="0"/>
        </w:rPr>
        <w:t xml:space="preserve">First or prior, which may mean causal or natural priority rather than earlier clock-time. The first actuality, first matter and first gift belong to different relations; the reader must retain the noun and argumentative scope. References: </w:t>
      </w:r>
      <w:hyperlink w:anchor="passage-v-1-1">
        <w:r>
          <w:rPr>
            <w:color w:val="000000"/>
          </w:rPr>
          <w:t xml:space="preserve">V.1.1</w:t>
        </w:r>
      </w:hyperlink>
      <w:r>
        <w:rPr>
          <w:b w:val="0"/>
          <w:i w:val="0"/>
        </w:rPr>
        <w:t xml:space="preserve">, </w:t>
      </w:r>
      <w:hyperlink w:anchor="passage-v-4-1">
        <w:r>
          <w:rPr>
            <w:color w:val="000000"/>
          </w:rPr>
          <w:t xml:space="preserve">V.4.1</w:t>
        </w:r>
      </w:hyperlink>
      <w:r>
        <w:rPr>
          <w:b w:val="0"/>
          <w:i w:val="0"/>
        </w:rPr>
        <w:t xml:space="preserve">, </w:t>
      </w:r>
      <w:hyperlink w:anchor="passage-v-12-13">
        <w:r>
          <w:rPr>
            <w:color w:val="000000"/>
          </w:rPr>
          <w:t xml:space="preserve">V.12.13</w:t>
        </w:r>
      </w:hyperlink>
      <w:r>
        <w:rPr>
          <w:b w:val="0"/>
          <w:i w:val="0"/>
        </w:rPr>
        <w:t xml:space="preserve">, </w:t>
      </w:r>
      <w:hyperlink w:anchor="passage-v-13-4">
        <w:r>
          <w:rPr>
            <w:color w:val="000000"/>
          </w:rPr>
          <w:t xml:space="preserve">V.13.4</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1232" w:name="latin-record-0991"/>
      <w:bookmarkEnd w:id="1232"/>
      <w:r>
        <w:rPr>
          <w:b/>
          <w:i w:val="0"/>
        </w:rPr>
        <w:t>principale propositum</w:t>
      </w:r>
      <w:r>
        <w:rPr>
          <w:b/>
          <w:i w:val="0"/>
        </w:rPr>
        <w:t>.</w:t>
      </w:r>
      <w:r>
        <w:rPr>
          <w:b w:val="0"/>
          <w:i w:val="0"/>
        </w:rPr>
        <w:t xml:space="preserve"> Printed forms: </w:t>
      </w:r>
      <w:r>
        <w:rPr>
          <w:b w:val="0"/>
          <w:i/>
        </w:rPr>
        <w:t>principali</w:t>
      </w:r>
      <w:r>
        <w:rPr>
          <w:b w:val="0"/>
          <w:i w:val="0"/>
        </w:rPr>
        <w:t xml:space="preserve">; </w:t>
      </w:r>
      <w:r>
        <w:rPr>
          <w:b w:val="0"/>
          <w:i/>
        </w:rPr>
        <w:t>proposito</w:t>
      </w:r>
      <w:r>
        <w:rPr>
          <w:b w:val="0"/>
          <w:i w:val="0"/>
        </w:rPr>
        <w:t xml:space="preserve">; </w:t>
      </w:r>
      <w:r>
        <w:rPr>
          <w:b w:val="0"/>
          <w:i/>
        </w:rPr>
        <w:t>ut ita loquar</w:t>
      </w:r>
      <w:r>
        <w:rPr>
          <w:b w:val="0"/>
          <w:i w:val="0"/>
        </w:rPr>
        <w:t>.</w:t>
      </w:r>
    </w:p>
    <w:p>
      <w:pPr>
        <w:widowControl/>
      </w:pPr>
      <w:r>
        <w:rPr>
          <w:b w:val="0"/>
          <w:i w:val="0"/>
        </w:rPr>
        <w:t xml:space="preserve">A guiding or primary intention, qualified by </w:t>
      </w:r>
      <w:r>
        <w:t>‘</w:t>
      </w:r>
      <w:r>
        <w:rPr>
          <w:b w:val="0"/>
          <w:i w:val="0"/>
        </w:rPr>
        <w:t>so to speak.</w:t>
      </w:r>
      <w:r>
        <w:t>’</w:t>
      </w:r>
      <w:r>
        <w:rPr>
          <w:b w:val="0"/>
          <w:i w:val="0"/>
        </w:rPr>
        <w:t xml:space="preserve"> The immediate divine work ought to resemble its agent; this phrase is not a technical substitute for First Cause. References: </w:t>
      </w:r>
      <w:hyperlink w:anchor="passage-v-5-2">
        <w:r>
          <w:rPr>
            <w:color w:val="000000"/>
          </w:rPr>
          <w:t xml:space="preserve">V.5.2</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1233" w:name="latin-record-0992"/>
      <w:bookmarkEnd w:id="1233"/>
      <w:r>
        <w:rPr>
          <w:b/>
          <w:i w:val="0"/>
        </w:rPr>
        <w:t>principalis / agens principale</w:t>
      </w:r>
      <w:r>
        <w:rPr>
          <w:b/>
          <w:i w:val="0"/>
        </w:rPr>
        <w:t>.</w:t>
      </w:r>
      <w:r>
        <w:rPr>
          <w:b w:val="0"/>
          <w:i w:val="0"/>
        </w:rPr>
        <w:t xml:space="preserve"> Printed forms: </w:t>
      </w:r>
      <w:r>
        <w:rPr>
          <w:b w:val="0"/>
          <w:i/>
        </w:rPr>
        <w:t>causa principali</w:t>
      </w:r>
      <w:r>
        <w:rPr>
          <w:b w:val="0"/>
          <w:i w:val="0"/>
        </w:rPr>
        <w:t xml:space="preserve">; </w:t>
      </w:r>
      <w:r>
        <w:rPr>
          <w:b w:val="0"/>
          <w:i/>
        </w:rPr>
        <w:t>principali agente</w:t>
      </w:r>
      <w:r>
        <w:rPr>
          <w:b w:val="0"/>
          <w:i w:val="0"/>
        </w:rPr>
        <w:t xml:space="preserve">; </w:t>
      </w:r>
      <w:r>
        <w:rPr>
          <w:b w:val="0"/>
          <w:i/>
        </w:rPr>
        <w:t>principalis agentis</w:t>
      </w:r>
      <w:r>
        <w:rPr>
          <w:b w:val="0"/>
          <w:i w:val="0"/>
        </w:rPr>
        <w:t>.</w:t>
      </w:r>
    </w:p>
    <w:p>
      <w:pPr>
        <w:widowControl/>
      </w:pPr>
      <w:r>
        <w:rPr>
          <w:b w:val="0"/>
          <w:i w:val="0"/>
        </w:rPr>
        <w:t xml:space="preserve">Principal or chief; a principal agent directs an operation in contrast to its instrument. Soul rather than heat determines the figure and limit of growth. The creative-instrument proposal in V.13 is rejected because an instrument acts upon a subject through motion and time. A principal agent in one operation need not be the first cause of all being. References: </w:t>
      </w:r>
      <w:hyperlink w:anchor="passage-v-13-14">
        <w:r>
          <w:rPr>
            <w:color w:val="000000"/>
          </w:rPr>
          <w:t xml:space="preserve">V.13.14</w:t>
        </w:r>
      </w:hyperlink>
      <w:r>
        <w:rPr>
          <w:b w:val="0"/>
          <w:i w:val="0"/>
        </w:rPr>
        <w:t xml:space="preserve">, </w:t>
      </w:r>
      <w:hyperlink w:anchor="passage-vii-8-1">
        <w:r>
          <w:rPr>
            <w:color w:val="000000"/>
          </w:rPr>
          <w:t xml:space="preserve">VII.8.1</w:t>
        </w:r>
      </w:hyperlink>
      <w:r>
        <w:rPr>
          <w:b w:val="0"/>
          <w:i w:val="0"/>
        </w:rPr>
        <w:t xml:space="preserve">. See </w:t>
      </w:r>
      <w:hyperlink w:anchor="first-cause">
        <w:r>
          <w:rPr>
            <w:color w:val="000000"/>
          </w:rPr>
          <w:t xml:space="preserve">First Cause, principal causes and causal dependence</w:t>
        </w:r>
      </w:hyperlink>
      <w:r>
        <w:rPr>
          <w:b w:val="0"/>
          <w:i w:val="0"/>
        </w:rPr>
        <w:t>.</w:t>
      </w:r>
    </w:p>
    <w:p>
      <w:pPr>
        <w:keepNext/>
        <w:widowControl/>
      </w:pPr>
      <w:bookmarkStart w:id="1234" w:name="latin-record-0993"/>
      <w:bookmarkEnd w:id="1234"/>
      <w:r>
        <w:rPr>
          <w:b/>
          <w:i w:val="0"/>
        </w:rPr>
        <w:t>principalis agens</w:t>
      </w:r>
      <w:r>
        <w:rPr>
          <w:b/>
          <w:i w:val="0"/>
        </w:rPr>
        <w:t>.</w:t>
      </w:r>
      <w:r>
        <w:rPr>
          <w:b w:val="0"/>
          <w:i w:val="0"/>
        </w:rPr>
        <w:t xml:space="preserve"> Printed forms: </w:t>
      </w:r>
      <w:r>
        <w:rPr>
          <w:b w:val="0"/>
          <w:i/>
        </w:rPr>
        <w:t>principalis agentis</w:t>
      </w:r>
      <w:r>
        <w:rPr>
          <w:b w:val="0"/>
          <w:i w:val="0"/>
        </w:rPr>
        <w:t>.</w:t>
      </w:r>
    </w:p>
    <w:p>
      <w:pPr>
        <w:widowControl/>
      </w:pPr>
      <w:r>
        <w:rPr>
          <w:b w:val="0"/>
          <w:i w:val="0"/>
        </w:rPr>
        <w:t xml:space="preserve">The principal agent in a proposed instrumental operation. This relative causal term in the angel-as-instrument objection must not automatically be equated with the absolute title First Cause. References: </w:t>
      </w:r>
      <w:hyperlink w:anchor="passage-v-13-14">
        <w:r>
          <w:rPr>
            <w:color w:val="000000"/>
          </w:rPr>
          <w:t xml:space="preserve">V.13.14</w:t>
        </w:r>
      </w:hyperlink>
      <w:r>
        <w:rPr>
          <w:b w:val="0"/>
          <w:i w:val="0"/>
        </w:rPr>
        <w:t xml:space="preserve">. See </w:t>
      </w:r>
      <w:hyperlink w:anchor="instrument-and-creative-mediation">
        <w:r>
          <w:rPr>
            <w:color w:val="000000"/>
          </w:rPr>
          <w:t xml:space="preserve">Instrument and creative mediation</w:t>
        </w:r>
      </w:hyperlink>
      <w:r>
        <w:rPr>
          <w:b w:val="0"/>
          <w:i w:val="0"/>
        </w:rPr>
        <w:t>.</w:t>
      </w:r>
    </w:p>
    <w:p>
      <w:pPr>
        <w:keepNext/>
        <w:widowControl/>
      </w:pPr>
      <w:bookmarkStart w:id="1235" w:name="latin-record-0994"/>
      <w:bookmarkEnd w:id="1235"/>
      <w:r>
        <w:rPr>
          <w:b/>
          <w:i w:val="0"/>
        </w:rPr>
        <w:t>principium / finis</w:t>
      </w:r>
      <w:r>
        <w:rPr>
          <w:b/>
          <w:i w:val="0"/>
        </w:rPr>
        <w:t>.</w:t>
      </w:r>
      <w:r>
        <w:rPr>
          <w:b w:val="0"/>
          <w:i w:val="0"/>
        </w:rPr>
        <w:t xml:space="preserve"> Printed forms: </w:t>
      </w:r>
      <w:r>
        <w:rPr>
          <w:b w:val="0"/>
          <w:i/>
        </w:rPr>
        <w:t>fine</w:t>
      </w:r>
      <w:r>
        <w:rPr>
          <w:b w:val="0"/>
          <w:i w:val="0"/>
        </w:rPr>
        <w:t xml:space="preserve">; </w:t>
      </w:r>
      <w:r>
        <w:rPr>
          <w:b w:val="0"/>
          <w:i/>
        </w:rPr>
        <w:t>finem</w:t>
      </w:r>
      <w:r>
        <w:rPr>
          <w:b w:val="0"/>
          <w:i w:val="0"/>
        </w:rPr>
        <w:t xml:space="preserve">; </w:t>
      </w:r>
      <w:r>
        <w:rPr>
          <w:b w:val="0"/>
          <w:i/>
        </w:rPr>
        <w:t>finis</w:t>
      </w:r>
      <w:r>
        <w:rPr>
          <w:b w:val="0"/>
          <w:i w:val="0"/>
        </w:rPr>
        <w:t xml:space="preserve">; </w:t>
      </w:r>
      <w:r>
        <w:rPr>
          <w:b w:val="0"/>
          <w:i/>
        </w:rPr>
        <w:t>principia</w:t>
      </w:r>
      <w:r>
        <w:rPr>
          <w:b w:val="0"/>
          <w:i w:val="0"/>
        </w:rPr>
        <w:t xml:space="preserve">; </w:t>
      </w:r>
      <w:r>
        <w:rPr>
          <w:b w:val="0"/>
          <w:i/>
        </w:rPr>
        <w:t>principiis</w:t>
      </w:r>
      <w:r>
        <w:rPr>
          <w:b w:val="0"/>
          <w:i w:val="0"/>
        </w:rPr>
        <w:t xml:space="preserve">; </w:t>
      </w:r>
      <w:r>
        <w:rPr>
          <w:b w:val="0"/>
          <w:i/>
        </w:rPr>
        <w:t>Principio</w:t>
      </w:r>
      <w:r>
        <w:rPr>
          <w:b w:val="0"/>
          <w:i w:val="0"/>
        </w:rPr>
        <w:t xml:space="preserve">; </w:t>
      </w:r>
      <w:r>
        <w:rPr>
          <w:b w:val="0"/>
          <w:i/>
        </w:rPr>
        <w:t>principio</w:t>
      </w:r>
      <w:r>
        <w:rPr>
          <w:b w:val="0"/>
          <w:i w:val="0"/>
        </w:rPr>
        <w:t xml:space="preserve">; </w:t>
      </w:r>
      <w:r>
        <w:rPr>
          <w:b w:val="0"/>
          <w:i/>
        </w:rPr>
        <w:t>principium</w:t>
      </w:r>
      <w:r>
        <w:rPr>
          <w:b w:val="0"/>
          <w:i w:val="0"/>
        </w:rPr>
        <w:t>.</w:t>
      </w:r>
    </w:p>
    <w:p>
      <w:pPr>
        <w:widowControl/>
      </w:pPr>
      <w:r>
        <w:rPr>
          <w:b w:val="0"/>
          <w:i w:val="0"/>
        </w:rPr>
        <w:t xml:space="preserve">Beginning or principle and end, with temporal scope in the soul’s duration alternative. Ficino allows either no beginning and no end or a beginning without an end; the proof does not require preexistence. References: </w:t>
      </w:r>
      <w:hyperlink w:anchor="passage-v-13-17">
        <w:r>
          <w:rPr>
            <w:color w:val="000000"/>
          </w:rPr>
          <w:t xml:space="preserve">V.13.17</w:t>
        </w:r>
      </w:hyperlink>
      <w:r>
        <w:rPr>
          <w:b w:val="0"/>
          <w:i w:val="0"/>
        </w:rPr>
        <w:t xml:space="preserve">. See </w:t>
      </w:r>
      <w:hyperlink w:anchor="creation-and-generation">
        <w:r>
          <w:rPr>
            <w:color w:val="000000"/>
          </w:rPr>
          <w:t xml:space="preserve">Creation and generation</w:t>
        </w:r>
      </w:hyperlink>
      <w:r>
        <w:rPr>
          <w:b w:val="0"/>
          <w:i w:val="0"/>
        </w:rPr>
        <w:t>.</w:t>
      </w:r>
    </w:p>
    <w:p>
      <w:pPr>
        <w:widowControl/>
      </w:pPr>
      <w:r>
        <w:rPr>
          <w:b w:val="0"/>
          <w:i w:val="0"/>
        </w:rPr>
        <w:t xml:space="preserve">Source or principle, and end or goal; priority and return connect them without making them spatial pieces. Mind is its operation’s source and end; divine infinity recalls dependent minds from an infinite principle toward an infinite end. References: </w:t>
      </w:r>
      <w:hyperlink w:anchor="passage-viii-2-7">
        <w:r>
          <w:rPr>
            <w:color w:val="000000"/>
          </w:rPr>
          <w:t xml:space="preserve">VIII.2.7</w:t>
        </w:r>
      </w:hyperlink>
      <w:r>
        <w:rPr>
          <w:b w:val="0"/>
          <w:i w:val="0"/>
        </w:rPr>
        <w:t xml:space="preserve">, </w:t>
      </w:r>
      <w:hyperlink w:anchor="passage-viii-4-12">
        <w:r>
          <w:rPr>
            <w:color w:val="000000"/>
          </w:rPr>
          <w:t xml:space="preserve">VIII.4.12</w:t>
        </w:r>
      </w:hyperlink>
      <w:r>
        <w:rPr>
          <w:b w:val="0"/>
          <w:i w:val="0"/>
        </w:rPr>
        <w:t xml:space="preserve">, </w:t>
      </w:r>
      <w:hyperlink w:anchor="passage-viii-14-1">
        <w:r>
          <w:rPr>
            <w:color w:val="000000"/>
          </w:rPr>
          <w:t xml:space="preserve">VIII.14.1</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w:t>
      </w:r>
      <w:hyperlink w:anchor="passage-viii-16-4">
        <w:r>
          <w:rPr>
            <w:color w:val="000000"/>
          </w:rPr>
          <w:t xml:space="preserve">VIII.16.4</w:t>
        </w:r>
      </w:hyperlink>
      <w:r>
        <w:rPr>
          <w:b w:val="0"/>
          <w:i w:val="0"/>
        </w:rPr>
        <w:t xml:space="preserve">. See </w:t>
      </w:r>
      <w:hyperlink w:anchor="viii-self-cause">
        <w:r>
          <w:rPr>
            <w:color w:val="000000"/>
          </w:rPr>
          <w:t xml:space="preserve">Self-causation: formal cause and efficient cause</w:t>
        </w:r>
      </w:hyperlink>
      <w:r>
        <w:rPr>
          <w:b w:val="0"/>
          <w:i w:val="0"/>
        </w:rPr>
        <w:t>.</w:t>
      </w:r>
    </w:p>
    <w:p>
      <w:pPr>
        <w:keepNext/>
        <w:widowControl/>
      </w:pPr>
      <w:bookmarkStart w:id="1236" w:name="latin-record-0995"/>
      <w:bookmarkEnd w:id="1236"/>
      <w:r>
        <w:rPr>
          <w:b/>
          <w:i w:val="0"/>
        </w:rPr>
        <w:t>principium alimenti</w:t>
      </w:r>
      <w:r>
        <w:rPr>
          <w:b/>
          <w:i w:val="0"/>
        </w:rPr>
        <w:t>.</w:t>
      </w:r>
      <w:r>
        <w:rPr>
          <w:b w:val="0"/>
          <w:i w:val="0"/>
        </w:rPr>
        <w:t xml:space="preserve"> Printed forms: </w:t>
      </w:r>
      <w:r>
        <w:rPr>
          <w:b w:val="0"/>
          <w:i/>
        </w:rPr>
        <w:t>anima nutritiva</w:t>
      </w:r>
      <w:r>
        <w:rPr>
          <w:b w:val="0"/>
          <w:i w:val="0"/>
        </w:rPr>
        <w:t xml:space="preserve">; </w:t>
      </w:r>
      <w:r>
        <w:rPr>
          <w:b w:val="0"/>
          <w:i/>
        </w:rPr>
        <w:t>principium alimenti</w:t>
      </w:r>
      <w:r>
        <w:rPr>
          <w:b w:val="0"/>
          <w:i w:val="0"/>
        </w:rPr>
        <w:t>.</w:t>
      </w:r>
    </w:p>
    <w:p>
      <w:pPr>
        <w:widowControl/>
      </w:pPr>
      <w:r>
        <w:rPr>
          <w:b w:val="0"/>
          <w:i w:val="0"/>
        </w:rPr>
        <w:t xml:space="preserve">A source of nourishment; the nutritive soul. The power explaining living growth is distinguished from the matter common to growing and nongrowing bodies. References: </w:t>
      </w:r>
      <w:hyperlink w:anchor="passage-vi-4-1">
        <w:r>
          <w:rPr>
            <w:color w:val="000000"/>
          </w:rPr>
          <w:t xml:space="preserve">VI.4.1</w:t>
        </w:r>
      </w:hyperlink>
      <w:r>
        <w:rPr>
          <w:b w:val="0"/>
          <w:i w:val="0"/>
        </w:rPr>
        <w:t xml:space="preserve">, </w:t>
      </w:r>
      <w:hyperlink w:anchor="passage-vi-4-2">
        <w:r>
          <w:rPr>
            <w:color w:val="000000"/>
          </w:rPr>
          <w:t xml:space="preserve">VI.4.2</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1237" w:name="latin-record-0996"/>
      <w:bookmarkEnd w:id="1237"/>
      <w:r>
        <w:rPr>
          <w:b/>
          <w:i w:val="0"/>
        </w:rPr>
        <w:t>prior; posterior</w:t>
      </w:r>
      <w:r>
        <w:rPr>
          <w:b/>
          <w:i w:val="0"/>
        </w:rPr>
        <w:t>.</w:t>
      </w:r>
      <w:r>
        <w:rPr>
          <w:b w:val="0"/>
          <w:i w:val="0"/>
        </w:rPr>
        <w:t xml:space="preserve"> Printed forms: </w:t>
      </w:r>
      <w:r>
        <w:rPr>
          <w:b w:val="0"/>
          <w:i/>
        </w:rPr>
        <w:t>posterior</w:t>
      </w:r>
      <w:r>
        <w:rPr>
          <w:b w:val="0"/>
          <w:i w:val="0"/>
        </w:rPr>
        <w:t xml:space="preserve">; </w:t>
      </w:r>
      <w:r>
        <w:rPr>
          <w:b w:val="0"/>
          <w:i/>
        </w:rPr>
        <w:t>posterius</w:t>
      </w:r>
      <w:r>
        <w:rPr>
          <w:b w:val="0"/>
          <w:i w:val="0"/>
        </w:rPr>
        <w:t xml:space="preserve">; </w:t>
      </w:r>
      <w:r>
        <w:rPr>
          <w:b w:val="0"/>
          <w:i/>
        </w:rPr>
        <w:t>primo</w:t>
      </w:r>
      <w:r>
        <w:rPr>
          <w:b w:val="0"/>
          <w:i w:val="0"/>
        </w:rPr>
        <w:t xml:space="preserve">; </w:t>
      </w:r>
      <w:r>
        <w:rPr>
          <w:b w:val="0"/>
          <w:i/>
        </w:rPr>
        <w:t>primum</w:t>
      </w:r>
      <w:r>
        <w:rPr>
          <w:b w:val="0"/>
          <w:i w:val="0"/>
        </w:rPr>
        <w:t xml:space="preserve">; </w:t>
      </w:r>
      <w:r>
        <w:rPr>
          <w:b w:val="0"/>
          <w:i/>
        </w:rPr>
        <w:t>prior</w:t>
      </w:r>
      <w:r>
        <w:rPr>
          <w:b w:val="0"/>
          <w:i w:val="0"/>
        </w:rPr>
        <w:t xml:space="preserve">; </w:t>
      </w:r>
      <w:r>
        <w:rPr>
          <w:b w:val="0"/>
          <w:i/>
        </w:rPr>
        <w:t>priorem</w:t>
      </w:r>
      <w:r>
        <w:rPr>
          <w:b w:val="0"/>
          <w:i w:val="0"/>
        </w:rPr>
        <w:t xml:space="preserve">; </w:t>
      </w:r>
      <w:r>
        <w:rPr>
          <w:b w:val="0"/>
          <w:i/>
        </w:rPr>
        <w:t>prius</w:t>
      </w:r>
      <w:r>
        <w:rPr>
          <w:b w:val="0"/>
          <w:i w:val="0"/>
        </w:rPr>
        <w:t>.</w:t>
      </w:r>
    </w:p>
    <w:p>
      <w:pPr>
        <w:widowControl/>
      </w:pPr>
      <w:r>
        <w:rPr>
          <w:b w:val="0"/>
          <w:i w:val="0"/>
        </w:rPr>
        <w:t xml:space="preserve">Prior and posterior, first or primary, with causal and temporal senses distinguished locally. The geometric point’s qualified priority, the cause’s prior possession of act and the impossibility of finite self-generation are different uses of priority. References: </w:t>
      </w:r>
      <w:hyperlink w:anchor="passage-vi-2-10">
        <w:r>
          <w:rPr>
            <w:color w:val="000000"/>
          </w:rPr>
          <w:t xml:space="preserve">VI.2.10</w:t>
        </w:r>
      </w:hyperlink>
      <w:r>
        <w:rPr>
          <w:b w:val="0"/>
          <w:i w:val="0"/>
        </w:rPr>
        <w:t xml:space="preserve">, </w:t>
      </w:r>
      <w:hyperlink w:anchor="passage-vi-2-19">
        <w:r>
          <w:rPr>
            <w:color w:val="000000"/>
          </w:rPr>
          <w:t xml:space="preserve">VI.2.19</w:t>
        </w:r>
      </w:hyperlink>
      <w:r>
        <w:rPr>
          <w:b w:val="0"/>
          <w:i w:val="0"/>
        </w:rPr>
        <w:t xml:space="preserve">, </w:t>
      </w:r>
      <w:hyperlink w:anchor="passage-vi-5-3">
        <w:r>
          <w:rPr>
            <w:color w:val="000000"/>
          </w:rPr>
          <w:t xml:space="preserve">VI.5.3</w:t>
        </w:r>
      </w:hyperlink>
      <w:r>
        <w:rPr>
          <w:b w:val="0"/>
          <w:i w:val="0"/>
        </w:rPr>
        <w:t xml:space="preserve">, </w:t>
      </w:r>
      <w:hyperlink w:anchor="passage-vi-12-10">
        <w:r>
          <w:rPr>
            <w:color w:val="000000"/>
          </w:rPr>
          <w:t xml:space="preserve">VI.12.10</w:t>
        </w:r>
      </w:hyperlink>
      <w:r>
        <w:rPr>
          <w:b w:val="0"/>
          <w:i w:val="0"/>
        </w:rPr>
        <w:t xml:space="preserve">, </w:t>
      </w:r>
      <w:hyperlink w:anchor="passage-vi-12-14">
        <w:r>
          <w:rPr>
            <w:color w:val="000000"/>
          </w:rPr>
          <w:t xml:space="preserve">VI.12.14</w:t>
        </w:r>
      </w:hyperlink>
      <w:r>
        <w:rPr>
          <w:b w:val="0"/>
          <w:i w:val="0"/>
        </w:rPr>
        <w:t xml:space="preserve">, </w:t>
      </w:r>
      <w:hyperlink w:anchor="passage-vi-13-9">
        <w:r>
          <w:rPr>
            <w:color w:val="000000"/>
          </w:rPr>
          <w:t xml:space="preserve">VI.13.9</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1238" w:name="latin-record-0997"/>
      <w:bookmarkEnd w:id="1238"/>
      <w:r>
        <w:rPr>
          <w:b/>
          <w:i w:val="0"/>
        </w:rPr>
        <w:t>prisci theologi</w:t>
      </w:r>
      <w:r>
        <w:rPr>
          <w:b/>
          <w:i w:val="0"/>
        </w:rPr>
        <w:t>.</w:t>
      </w:r>
      <w:r>
        <w:rPr>
          <w:b w:val="0"/>
          <w:i w:val="0"/>
        </w:rPr>
        <w:t xml:space="preserve"> Printed forms: </w:t>
      </w:r>
      <w:r>
        <w:rPr>
          <w:b w:val="0"/>
          <w:i/>
        </w:rPr>
        <w:t>Aglaophemus</w:t>
      </w:r>
      <w:r>
        <w:rPr>
          <w:b w:val="0"/>
          <w:i w:val="0"/>
        </w:rPr>
        <w:t xml:space="preserve">; </w:t>
      </w:r>
      <w:r>
        <w:rPr>
          <w:b w:val="0"/>
          <w:i/>
        </w:rPr>
        <w:t>Mercurius</w:t>
      </w:r>
      <w:r>
        <w:rPr>
          <w:b w:val="0"/>
          <w:i w:val="0"/>
        </w:rPr>
        <w:t xml:space="preserve">; </w:t>
      </w:r>
      <w:r>
        <w:rPr>
          <w:b w:val="0"/>
          <w:i/>
        </w:rPr>
        <w:t>Orpheus</w:t>
      </w:r>
      <w:r>
        <w:rPr>
          <w:b w:val="0"/>
          <w:i w:val="0"/>
        </w:rPr>
        <w:t xml:space="preserve">; </w:t>
      </w:r>
      <w:r>
        <w:rPr>
          <w:b w:val="0"/>
          <w:i/>
        </w:rPr>
        <w:t>Plato</w:t>
      </w:r>
      <w:r>
        <w:rPr>
          <w:b w:val="0"/>
          <w:i w:val="0"/>
        </w:rPr>
        <w:t xml:space="preserve">; </w:t>
      </w:r>
      <w:r>
        <w:rPr>
          <w:b w:val="0"/>
          <w:i/>
        </w:rPr>
        <w:t>prisci theologi</w:t>
      </w:r>
      <w:r>
        <w:rPr>
          <w:b w:val="0"/>
          <w:i w:val="0"/>
        </w:rPr>
        <w:t xml:space="preserve">; </w:t>
      </w:r>
      <w:r>
        <w:rPr>
          <w:b w:val="0"/>
          <w:i/>
        </w:rPr>
        <w:t>Pythagoras</w:t>
      </w:r>
      <w:r>
        <w:rPr>
          <w:b w:val="0"/>
          <w:i w:val="0"/>
        </w:rPr>
        <w:t xml:space="preserve">; </w:t>
      </w:r>
      <w:r>
        <w:rPr>
          <w:b w:val="0"/>
          <w:i/>
        </w:rPr>
        <w:t>Zoroaster</w:t>
      </w:r>
      <w:r>
        <w:rPr>
          <w:b w:val="0"/>
          <w:i w:val="0"/>
        </w:rPr>
        <w:t>.</w:t>
      </w:r>
    </w:p>
    <w:p>
      <w:pPr>
        <w:widowControl/>
      </w:pPr>
      <w:r>
        <w:rPr>
          <w:b w:val="0"/>
          <w:i w:val="0"/>
        </w:rPr>
        <w:t xml:space="preserve">The ancient theologians Ficino names as teaching the fifth position. The list supplies an attributed tradition of incorporeal soul; Mercurius is translated Hermes. References: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1239" w:name="latin-record-0998"/>
      <w:bookmarkEnd w:id="1239"/>
      <w:r>
        <w:rPr>
          <w:b/>
          <w:i w:val="0"/>
        </w:rPr>
        <w:t>privatio / defectus / malum / noxius / salubris</w:t>
      </w:r>
      <w:r>
        <w:rPr>
          <w:b/>
          <w:i w:val="0"/>
        </w:rPr>
        <w:t>.</w:t>
      </w:r>
      <w:r>
        <w:rPr>
          <w:b w:val="0"/>
          <w:i w:val="0"/>
        </w:rPr>
        <w:t xml:space="preserve"> Printed forms: </w:t>
      </w:r>
      <w:r>
        <w:rPr>
          <w:b w:val="0"/>
          <w:i/>
        </w:rPr>
        <w:t>defectus</w:t>
      </w:r>
      <w:r>
        <w:rPr>
          <w:b w:val="0"/>
          <w:i w:val="0"/>
        </w:rPr>
        <w:t xml:space="preserve">; </w:t>
      </w:r>
      <w:r>
        <w:rPr>
          <w:b w:val="0"/>
          <w:i/>
        </w:rPr>
        <w:t>mala</w:t>
      </w:r>
      <w:r>
        <w:rPr>
          <w:b w:val="0"/>
          <w:i w:val="0"/>
        </w:rPr>
        <w:t xml:space="preserve">; </w:t>
      </w:r>
      <w:r>
        <w:rPr>
          <w:b w:val="0"/>
          <w:i/>
        </w:rPr>
        <w:t>malis</w:t>
      </w:r>
      <w:r>
        <w:rPr>
          <w:b w:val="0"/>
          <w:i w:val="0"/>
        </w:rPr>
        <w:t xml:space="preserve">; </w:t>
      </w:r>
      <w:r>
        <w:rPr>
          <w:b w:val="0"/>
          <w:i/>
        </w:rPr>
        <w:t>noxia</w:t>
      </w:r>
      <w:r>
        <w:rPr>
          <w:b w:val="0"/>
          <w:i w:val="0"/>
        </w:rPr>
        <w:t xml:space="preserve">; </w:t>
      </w:r>
      <w:r>
        <w:rPr>
          <w:b w:val="0"/>
          <w:i/>
        </w:rPr>
        <w:t>privationes</w:t>
      </w:r>
      <w:r>
        <w:rPr>
          <w:b w:val="0"/>
          <w:i w:val="0"/>
        </w:rPr>
        <w:t xml:space="preserve">; </w:t>
      </w:r>
      <w:r>
        <w:rPr>
          <w:b w:val="0"/>
          <w:i/>
        </w:rPr>
        <w:t>salubria</w:t>
      </w:r>
      <w:r>
        <w:rPr>
          <w:b w:val="0"/>
          <w:i w:val="0"/>
        </w:rPr>
        <w:t>.</w:t>
      </w:r>
    </w:p>
    <w:p>
      <w:pPr>
        <w:widowControl/>
      </w:pPr>
      <w:r>
        <w:rPr>
          <w:b w:val="0"/>
          <w:i w:val="0"/>
        </w:rPr>
        <w:t xml:space="preserve">Privatio is a lack, defectus a defect, and malum an evil. Noxius means harmful and salubris wholesome or beneficial; the printed neuter plurals noxia and salubria characterize what is known. Their becoming intellectual goods does not declare the original harms morally good; it contrasts knowing an evil with undergoing it. References: </w:t>
      </w:r>
      <w:hyperlink w:anchor="passage-viii-13-2">
        <w:r>
          <w:rPr>
            <w:color w:val="000000"/>
          </w:rPr>
          <w:t xml:space="preserve">VIII.13.2</w:t>
        </w:r>
      </w:hyperlink>
      <w:r>
        <w:rPr>
          <w:b w:val="0"/>
          <w:i w:val="0"/>
        </w:rPr>
        <w:t xml:space="preserve">. See </w:t>
      </w:r>
      <w:hyperlink w:anchor="viii-contraries-evil">
        <w:r>
          <w:rPr>
            <w:color w:val="000000"/>
          </w:rPr>
          <w:t xml:space="preserve">Contraries, privations, and knowledge of evil</w:t>
        </w:r>
      </w:hyperlink>
      <w:r>
        <w:rPr>
          <w:b w:val="0"/>
          <w:i w:val="0"/>
        </w:rPr>
        <w:t>.</w:t>
      </w:r>
    </w:p>
    <w:p>
      <w:pPr>
        <w:keepNext/>
        <w:widowControl/>
      </w:pPr>
      <w:bookmarkStart w:id="1240" w:name="latin-record-0999"/>
      <w:bookmarkEnd w:id="1240"/>
      <w:r>
        <w:rPr>
          <w:b/>
          <w:i w:val="0"/>
        </w:rPr>
        <w:t>pro viribus</w:t>
      </w:r>
      <w:r>
        <w:rPr>
          <w:b/>
          <w:i w:val="0"/>
        </w:rPr>
        <w:t>.</w:t>
      </w:r>
      <w:r>
        <w:rPr>
          <w:b w:val="0"/>
          <w:i w:val="0"/>
        </w:rPr>
        <w:t xml:space="preserve"> Printed forms: </w:t>
      </w:r>
      <w:r>
        <w:rPr>
          <w:b w:val="0"/>
          <w:i/>
        </w:rPr>
        <w:t>pro viribus</w:t>
      </w:r>
      <w:r>
        <w:rPr>
          <w:b w:val="0"/>
          <w:i w:val="0"/>
        </w:rPr>
        <w:t>.</w:t>
      </w:r>
    </w:p>
    <w:p>
      <w:pPr>
        <w:widowControl/>
      </w:pPr>
      <w:r>
        <w:rPr>
          <w:b w:val="0"/>
          <w:i w:val="0"/>
        </w:rPr>
        <w:t xml:space="preserve">As far as its powers permit. Natural self-preservation and production of likeness are bounded by an agent’s actual capacity, not asserted as unlimited achievements. References: </w:t>
      </w:r>
      <w:hyperlink w:anchor="passage-v-4-6">
        <w:r>
          <w:rPr>
            <w:color w:val="000000"/>
          </w:rPr>
          <w:t xml:space="preserve">V.4.6</w:t>
        </w:r>
      </w:hyperlink>
      <w:r>
        <w:rPr>
          <w:b w:val="0"/>
          <w:i w:val="0"/>
        </w:rPr>
        <w:t xml:space="preserve">, </w:t>
      </w:r>
      <w:hyperlink w:anchor="passage-v-8-3">
        <w:r>
          <w:rPr>
            <w:color w:val="000000"/>
          </w:rPr>
          <w:t xml:space="preserve">V.8.3</w:t>
        </w:r>
      </w:hyperlink>
      <w:r>
        <w:rPr>
          <w:b w:val="0"/>
          <w:i w:val="0"/>
        </w:rPr>
        <w:t xml:space="preserve">, </w:t>
      </w:r>
      <w:hyperlink w:anchor="passage-v-8-4">
        <w:r>
          <w:rPr>
            <w:color w:val="000000"/>
          </w:rPr>
          <w:t xml:space="preserve">V.8.4</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1241" w:name="latin-record-1000"/>
      <w:bookmarkEnd w:id="1241"/>
      <w:r>
        <w:rPr>
          <w:b/>
          <w:i w:val="0"/>
        </w:rPr>
        <w:t>probabile</w:t>
      </w:r>
      <w:r>
        <w:rPr>
          <w:b/>
          <w:i w:val="0"/>
        </w:rPr>
        <w:t>.</w:t>
      </w:r>
      <w:r>
        <w:rPr>
          <w:b w:val="0"/>
          <w:i w:val="0"/>
        </w:rPr>
        <w:t xml:space="preserve"> Printed forms: </w:t>
      </w:r>
      <w:r>
        <w:rPr>
          <w:b w:val="0"/>
          <w:i/>
        </w:rPr>
        <w:t>probabile</w:t>
      </w:r>
      <w:r>
        <w:rPr>
          <w:b w:val="0"/>
          <w:i w:val="0"/>
        </w:rPr>
        <w:t>.</w:t>
      </w:r>
    </w:p>
    <w:p>
      <w:pPr>
        <w:widowControl/>
      </w:pPr>
      <w:r>
        <w:rPr>
          <w:b w:val="0"/>
          <w:i w:val="0"/>
        </w:rPr>
        <w:t xml:space="preserve">Probable or reasonable, Ficino’s local assessment rather than a calculated statistical value. The phrase qualifies one inference from everlasting bodies to everlasting souls within the three-gifts argument. References: </w:t>
      </w:r>
      <w:hyperlink w:anchor="passage-v-15-4">
        <w:r>
          <w:rPr>
            <w:color w:val="000000"/>
          </w:rPr>
          <w:t xml:space="preserve">V.15.4</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1242" w:name="latin-record-1001"/>
      <w:bookmarkEnd w:id="1242"/>
      <w:r>
        <w:rPr>
          <w:b/>
          <w:i w:val="0"/>
        </w:rPr>
        <w:t>probabilis; affirmare</w:t>
      </w:r>
      <w:r>
        <w:rPr>
          <w:b/>
          <w:i w:val="0"/>
        </w:rPr>
        <w:t>.</w:t>
      </w:r>
      <w:r>
        <w:rPr>
          <w:b w:val="0"/>
          <w:i w:val="0"/>
        </w:rPr>
        <w:t xml:space="preserve"> Printed forms: </w:t>
      </w:r>
      <w:r>
        <w:rPr>
          <w:b w:val="0"/>
          <w:i/>
        </w:rPr>
        <w:t>affirmari</w:t>
      </w:r>
      <w:r>
        <w:rPr>
          <w:b w:val="0"/>
          <w:i w:val="0"/>
        </w:rPr>
        <w:t xml:space="preserve">; </w:t>
      </w:r>
      <w:r>
        <w:rPr>
          <w:b w:val="0"/>
          <w:i/>
        </w:rPr>
        <w:t>probabile</w:t>
      </w:r>
      <w:r>
        <w:rPr>
          <w:b w:val="0"/>
          <w:i w:val="0"/>
        </w:rPr>
        <w:t>.</w:t>
      </w:r>
    </w:p>
    <w:p>
      <w:pPr>
        <w:widowControl/>
      </w:pPr>
      <w:r>
        <w:rPr>
          <w:b w:val="0"/>
          <w:i w:val="0"/>
        </w:rPr>
        <w:t xml:space="preserve">Probable or plausible; to establish or assert positively. The human soul’s location in the third grade is initially only probable, not already demonstrated by the general immortality proof.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243" w:name="latin-record-1002"/>
      <w:bookmarkEnd w:id="1243"/>
      <w:r>
        <w:rPr>
          <w:b/>
          <w:i w:val="0"/>
        </w:rPr>
        <w:t>procella / tempestas</w:t>
      </w:r>
      <w:r>
        <w:rPr>
          <w:b/>
          <w:i w:val="0"/>
        </w:rPr>
        <w:t>.</w:t>
      </w:r>
      <w:r>
        <w:rPr>
          <w:b w:val="0"/>
          <w:i w:val="0"/>
        </w:rPr>
        <w:t xml:space="preserve"> Printed forms: </w:t>
      </w:r>
      <w:r>
        <w:rPr>
          <w:b w:val="0"/>
          <w:i/>
        </w:rPr>
        <w:t>procella</w:t>
      </w:r>
      <w:r>
        <w:rPr>
          <w:b w:val="0"/>
          <w:i w:val="0"/>
        </w:rPr>
        <w:t xml:space="preserve">; </w:t>
      </w:r>
      <w:r>
        <w:rPr>
          <w:b w:val="0"/>
          <w:i/>
        </w:rPr>
        <w:t>tempestate</w:t>
      </w:r>
      <w:r>
        <w:rPr>
          <w:b w:val="0"/>
          <w:i w:val="0"/>
        </w:rPr>
        <w:t>.</w:t>
      </w:r>
    </w:p>
    <w:p>
      <w:pPr>
        <w:widowControl/>
      </w:pPr>
      <w:r>
        <w:rPr>
          <w:b w:val="0"/>
          <w:i w:val="0"/>
        </w:rPr>
        <w:t xml:space="preserve">A storm, metaphor for conflicting bodily qualities. The soul stands above the elemental storm, while forms contracted to body are disturbed by it. References: </w:t>
      </w:r>
      <w:hyperlink w:anchor="passage-v-5-9">
        <w:r>
          <w:rPr>
            <w:color w:val="000000"/>
          </w:rPr>
          <w:t xml:space="preserve">V.5.9</w:t>
        </w:r>
      </w:hyperlink>
      <w:r>
        <w:rPr>
          <w:b w:val="0"/>
          <w:i w:val="0"/>
        </w:rPr>
        <w:t xml:space="preserve">, </w:t>
      </w:r>
      <w:hyperlink w:anchor="passage-v-7-2">
        <w:r>
          <w:rPr>
            <w:color w:val="000000"/>
          </w:rPr>
          <w:t xml:space="preserve">V.7.2</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1244" w:name="latin-record-1003"/>
      <w:bookmarkEnd w:id="1244"/>
      <w:r>
        <w:rPr>
          <w:b/>
          <w:i w:val="0"/>
        </w:rPr>
        <w:t>procerus / frons / humerus / glaucus / aquilinus</w:t>
      </w:r>
      <w:r>
        <w:rPr>
          <w:b/>
          <w:i w:val="0"/>
        </w:rPr>
        <w:t>.</w:t>
      </w:r>
      <w:r>
        <w:rPr>
          <w:b w:val="0"/>
          <w:i w:val="0"/>
        </w:rPr>
        <w:t xml:space="preserve"> Printed forms: </w:t>
      </w:r>
      <w:r>
        <w:rPr>
          <w:b w:val="0"/>
          <w:i/>
        </w:rPr>
        <w:t>aquilino</w:t>
      </w:r>
      <w:r>
        <w:rPr>
          <w:b w:val="0"/>
          <w:i w:val="0"/>
        </w:rPr>
        <w:t xml:space="preserve">; </w:t>
      </w:r>
      <w:r>
        <w:rPr>
          <w:b w:val="0"/>
          <w:i/>
        </w:rPr>
        <w:t>fronte</w:t>
      </w:r>
      <w:r>
        <w:rPr>
          <w:b w:val="0"/>
          <w:i w:val="0"/>
        </w:rPr>
        <w:t xml:space="preserve">; </w:t>
      </w:r>
      <w:r>
        <w:rPr>
          <w:b w:val="0"/>
          <w:i/>
        </w:rPr>
        <w:t>glaucis</w:t>
      </w:r>
      <w:r>
        <w:rPr>
          <w:b w:val="0"/>
          <w:i w:val="0"/>
        </w:rPr>
        <w:t xml:space="preserve">; </w:t>
      </w:r>
      <w:r>
        <w:rPr>
          <w:b w:val="0"/>
          <w:i/>
        </w:rPr>
        <w:t>humeris</w:t>
      </w:r>
      <w:r>
        <w:rPr>
          <w:b w:val="0"/>
          <w:i w:val="0"/>
        </w:rPr>
        <w:t xml:space="preserve">; </w:t>
      </w:r>
      <w:r>
        <w:rPr>
          <w:b w:val="0"/>
          <w:i/>
        </w:rPr>
        <w:t>ore</w:t>
      </w:r>
      <w:r>
        <w:rPr>
          <w:b w:val="0"/>
          <w:i w:val="0"/>
        </w:rPr>
        <w:t xml:space="preserve">; </w:t>
      </w:r>
      <w:r>
        <w:rPr>
          <w:b w:val="0"/>
          <w:i/>
        </w:rPr>
        <w:t>procero</w:t>
      </w:r>
      <w:r>
        <w:rPr>
          <w:b w:val="0"/>
          <w:i w:val="0"/>
        </w:rPr>
        <w:t xml:space="preserve">; </w:t>
      </w:r>
      <w:r>
        <w:rPr>
          <w:b w:val="0"/>
          <w:i/>
        </w:rPr>
        <w:t>supercilio</w:t>
      </w:r>
      <w:r>
        <w:rPr>
          <w:b w:val="0"/>
          <w:i w:val="0"/>
        </w:rPr>
        <w:t xml:space="preserve">; </w:t>
      </w:r>
      <w:r>
        <w:rPr>
          <w:b w:val="0"/>
          <w:i/>
        </w:rPr>
        <w:t>voce</w:t>
      </w:r>
      <w:r>
        <w:rPr>
          <w:b w:val="0"/>
          <w:i w:val="0"/>
        </w:rPr>
        <w:t>.</w:t>
      </w:r>
    </w:p>
    <w:p>
      <w:pPr>
        <w:widowControl/>
      </w:pPr>
      <w:r>
        <w:rPr>
          <w:b w:val="0"/>
          <w:i w:val="0"/>
        </w:rPr>
        <w:t xml:space="preserve">The concrete visual and auditory attributes gathered in Plato’s recognizable portrait. Tall body, broad forehead and shoulders, grey eyes, brow, aquiline nose, small mouth and pleasant voice illustrate the sensory ingredients of the composite image. References: </w:t>
      </w:r>
      <w:hyperlink w:anchor="passage-viii-1-1">
        <w:r>
          <w:rPr>
            <w:color w:val="000000"/>
          </w:rPr>
          <w:t xml:space="preserve">VIII.1.1</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1245" w:name="latin-record-1004"/>
      <w:bookmarkEnd w:id="1245"/>
      <w:r>
        <w:rPr>
          <w:b/>
          <w:i w:val="0"/>
        </w:rPr>
        <w:t>producere / gignere / generare</w:t>
      </w:r>
      <w:r>
        <w:rPr>
          <w:b/>
          <w:i w:val="0"/>
        </w:rPr>
        <w:t>.</w:t>
      </w:r>
      <w:r>
        <w:rPr>
          <w:b w:val="0"/>
          <w:i w:val="0"/>
        </w:rPr>
        <w:t xml:space="preserve"> Printed forms: </w:t>
      </w:r>
      <w:r>
        <w:rPr>
          <w:b w:val="0"/>
          <w:i/>
        </w:rPr>
        <w:t>generare</w:t>
      </w:r>
      <w:r>
        <w:rPr>
          <w:b w:val="0"/>
          <w:i w:val="0"/>
        </w:rPr>
        <w:t xml:space="preserve">; </w:t>
      </w:r>
      <w:r>
        <w:rPr>
          <w:b w:val="0"/>
          <w:i/>
        </w:rPr>
        <w:t>generat</w:t>
      </w:r>
      <w:r>
        <w:rPr>
          <w:b w:val="0"/>
          <w:i w:val="0"/>
        </w:rPr>
        <w:t xml:space="preserve">; </w:t>
      </w:r>
      <w:r>
        <w:rPr>
          <w:b w:val="0"/>
          <w:i/>
        </w:rPr>
        <w:t>genuit</w:t>
      </w:r>
      <w:r>
        <w:rPr>
          <w:b w:val="0"/>
          <w:i w:val="0"/>
        </w:rPr>
        <w:t xml:space="preserve">; </w:t>
      </w:r>
      <w:r>
        <w:rPr>
          <w:b w:val="0"/>
          <w:i/>
        </w:rPr>
        <w:t>gigneret</w:t>
      </w:r>
      <w:r>
        <w:rPr>
          <w:b w:val="0"/>
          <w:i w:val="0"/>
        </w:rPr>
        <w:t xml:space="preserve">; </w:t>
      </w:r>
      <w:r>
        <w:rPr>
          <w:b w:val="0"/>
          <w:i/>
        </w:rPr>
        <w:t>gignit</w:t>
      </w:r>
      <w:r>
        <w:rPr>
          <w:b w:val="0"/>
          <w:i w:val="0"/>
        </w:rPr>
        <w:t xml:space="preserve">; </w:t>
      </w:r>
      <w:r>
        <w:rPr>
          <w:b w:val="0"/>
          <w:i/>
        </w:rPr>
        <w:t>producere</w:t>
      </w:r>
      <w:r>
        <w:rPr>
          <w:b w:val="0"/>
          <w:i w:val="0"/>
        </w:rPr>
        <w:t xml:space="preserve">; </w:t>
      </w:r>
      <w:r>
        <w:rPr>
          <w:b w:val="0"/>
          <w:i/>
        </w:rPr>
        <w:t>producit</w:t>
      </w:r>
      <w:r>
        <w:rPr>
          <w:b w:val="0"/>
          <w:i w:val="0"/>
        </w:rPr>
        <w:t xml:space="preserve">; </w:t>
      </w:r>
      <w:r>
        <w:rPr>
          <w:b w:val="0"/>
          <w:i/>
        </w:rPr>
        <w:t>productus</w:t>
      </w:r>
      <w:r>
        <w:rPr>
          <w:b w:val="0"/>
          <w:i w:val="0"/>
        </w:rPr>
        <w:t>.</w:t>
      </w:r>
    </w:p>
    <w:p>
      <w:pPr>
        <w:widowControl/>
      </w:pPr>
      <w:r>
        <w:rPr>
          <w:b w:val="0"/>
          <w:i w:val="0"/>
        </w:rPr>
        <w:t xml:space="preserve">To bring forth, beget or generate, whose mechanism depends on the subject and context. A natural agent uses prior material resources, while soul’s simple origin is argued to be creation; the verb alone does not collapse this distinction. References: </w:t>
      </w:r>
      <w:hyperlink w:anchor="passage-v-4-3">
        <w:r>
          <w:rPr>
            <w:color w:val="000000"/>
          </w:rPr>
          <w:t xml:space="preserve">V.4.3</w:t>
        </w:r>
      </w:hyperlink>
      <w:r>
        <w:rPr>
          <w:b w:val="0"/>
          <w:i w:val="0"/>
        </w:rPr>
        <w:t xml:space="preserve">, </w:t>
      </w:r>
      <w:hyperlink w:anchor="passage-v-4-8">
        <w:r>
          <w:rPr>
            <w:color w:val="000000"/>
          </w:rPr>
          <w:t xml:space="preserve">V.4.8</w:t>
        </w:r>
      </w:hyperlink>
      <w:r>
        <w:rPr>
          <w:b w:val="0"/>
          <w:i w:val="0"/>
        </w:rPr>
        <w:t xml:space="preserve">, </w:t>
      </w:r>
      <w:hyperlink w:anchor="passage-v-8-2">
        <w:r>
          <w:rPr>
            <w:color w:val="000000"/>
          </w:rPr>
          <w:t xml:space="preserve">V.8.2</w:t>
        </w:r>
      </w:hyperlink>
      <w:r>
        <w:rPr>
          <w:b w:val="0"/>
          <w:i w:val="0"/>
        </w:rPr>
        <w:t xml:space="preserve">, </w:t>
      </w:r>
      <w:hyperlink w:anchor="passage-v-13-1">
        <w:r>
          <w:rPr>
            <w:color w:val="000000"/>
          </w:rPr>
          <w:t xml:space="preserve">V.13.1</w:t>
        </w:r>
      </w:hyperlink>
      <w:r>
        <w:rPr>
          <w:b w:val="0"/>
          <w:i w:val="0"/>
        </w:rPr>
        <w:t xml:space="preserve">, </w:t>
      </w:r>
      <w:hyperlink w:anchor="passage-v-13-4">
        <w:r>
          <w:rPr>
            <w:color w:val="000000"/>
          </w:rPr>
          <w:t xml:space="preserve">V.13.4</w:t>
        </w:r>
      </w:hyperlink>
      <w:r>
        <w:rPr>
          <w:b w:val="0"/>
          <w:i w:val="0"/>
        </w:rPr>
        <w:t xml:space="preserve">, </w:t>
      </w:r>
      <w:hyperlink w:anchor="passage-v-13-5">
        <w:r>
          <w:rPr>
            <w:color w:val="000000"/>
          </w:rPr>
          <w:t xml:space="preserve">V.13.5</w:t>
        </w:r>
      </w:hyperlink>
      <w:r>
        <w:rPr>
          <w:b w:val="0"/>
          <w:i w:val="0"/>
        </w:rPr>
        <w:t xml:space="preserve">, </w:t>
      </w:r>
      <w:hyperlink w:anchor="passage-v-14-7">
        <w:r>
          <w:rPr>
            <w:color w:val="000000"/>
          </w:rPr>
          <w:t xml:space="preserve">V.14.7</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246" w:name="latin-record-1005"/>
      <w:bookmarkEnd w:id="1246"/>
      <w:r>
        <w:rPr>
          <w:b/>
          <w:i w:val="0"/>
        </w:rPr>
        <w:t>proficere / crescere / decrescere</w:t>
      </w:r>
      <w:r>
        <w:rPr>
          <w:b/>
          <w:i w:val="0"/>
        </w:rPr>
        <w:t>.</w:t>
      </w:r>
      <w:r>
        <w:rPr>
          <w:b w:val="0"/>
          <w:i w:val="0"/>
        </w:rPr>
        <w:t xml:space="preserve"> Printed forms: </w:t>
      </w:r>
      <w:r>
        <w:rPr>
          <w:b w:val="0"/>
          <w:i/>
        </w:rPr>
        <w:t>crescente</w:t>
      </w:r>
      <w:r>
        <w:rPr>
          <w:b w:val="0"/>
          <w:i w:val="0"/>
        </w:rPr>
        <w:t xml:space="preserve">; </w:t>
      </w:r>
      <w:r>
        <w:rPr>
          <w:b w:val="0"/>
          <w:i/>
        </w:rPr>
        <w:t>Crescente</w:t>
      </w:r>
      <w:r>
        <w:rPr>
          <w:b w:val="0"/>
          <w:i w:val="0"/>
        </w:rPr>
        <w:t xml:space="preserve">; </w:t>
      </w:r>
      <w:r>
        <w:rPr>
          <w:b w:val="0"/>
          <w:i/>
        </w:rPr>
        <w:t>crescimus</w:t>
      </w:r>
      <w:r>
        <w:rPr>
          <w:b w:val="0"/>
          <w:i w:val="0"/>
        </w:rPr>
        <w:t xml:space="preserve">; </w:t>
      </w:r>
      <w:r>
        <w:rPr>
          <w:b w:val="0"/>
          <w:i/>
        </w:rPr>
        <w:t>crescit</w:t>
      </w:r>
      <w:r>
        <w:rPr>
          <w:b w:val="0"/>
          <w:i w:val="0"/>
        </w:rPr>
        <w:t xml:space="preserve">; </w:t>
      </w:r>
      <w:r>
        <w:rPr>
          <w:b w:val="0"/>
          <w:i/>
        </w:rPr>
        <w:t>Decrescente</w:t>
      </w:r>
      <w:r>
        <w:rPr>
          <w:b w:val="0"/>
          <w:i w:val="0"/>
        </w:rPr>
        <w:t xml:space="preserve">; </w:t>
      </w:r>
      <w:r>
        <w:rPr>
          <w:b w:val="0"/>
          <w:i/>
        </w:rPr>
        <w:t>decrescimus</w:t>
      </w:r>
      <w:r>
        <w:rPr>
          <w:b w:val="0"/>
          <w:i w:val="0"/>
        </w:rPr>
        <w:t xml:space="preserve">; </w:t>
      </w:r>
      <w:r>
        <w:rPr>
          <w:b w:val="0"/>
          <w:i/>
        </w:rPr>
        <w:t>Proficit</w:t>
      </w:r>
      <w:r>
        <w:rPr>
          <w:b w:val="0"/>
          <w:i w:val="0"/>
        </w:rPr>
        <w:t xml:space="preserve">; </w:t>
      </w:r>
      <w:r>
        <w:rPr>
          <w:b w:val="0"/>
          <w:i/>
        </w:rPr>
        <w:t>proficit</w:t>
      </w:r>
      <w:r>
        <w:rPr>
          <w:b w:val="0"/>
          <w:i w:val="0"/>
        </w:rPr>
        <w:t>.</w:t>
      </w:r>
    </w:p>
    <w:p>
      <w:pPr>
        <w:widowControl/>
      </w:pPr>
      <w:r>
        <w:rPr>
          <w:b w:val="0"/>
          <w:i w:val="0"/>
        </w:rPr>
        <w:t xml:space="preserve">Advancing, growing and diminishing, whose quantitative or qualitative mode matters. Body may grow while mind stagnates, or body may decline while soul advances; intellectual reception can perfect without enlargement. References: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w:t>
      </w:r>
      <w:hyperlink w:anchor="passage-viii-11-1">
        <w:r>
          <w:rPr>
            <w:color w:val="000000"/>
          </w:rPr>
          <w:t xml:space="preserve">VIII.11.1</w:t>
        </w:r>
      </w:hyperlink>
      <w:r>
        <w:rPr>
          <w:b w:val="0"/>
          <w:i w:val="0"/>
        </w:rPr>
        <w:t xml:space="preserve">, </w:t>
      </w:r>
      <w:hyperlink w:anchor="passage-viii-13-2">
        <w:r>
          <w:rPr>
            <w:color w:val="000000"/>
          </w:rPr>
          <w:t xml:space="preserve">VIII.13.2</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1247" w:name="latin-record-1006"/>
      <w:bookmarkEnd w:id="1247"/>
      <w:r>
        <w:rPr>
          <w:b/>
          <w:i w:val="0"/>
        </w:rPr>
        <w:t>progredi / servire</w:t>
      </w:r>
      <w:r>
        <w:rPr>
          <w:b/>
          <w:i w:val="0"/>
        </w:rPr>
        <w:t>.</w:t>
      </w:r>
      <w:r>
        <w:rPr>
          <w:b w:val="0"/>
          <w:i w:val="0"/>
        </w:rPr>
        <w:t xml:space="preserve"> Printed forms: </w:t>
      </w:r>
      <w:r>
        <w:rPr>
          <w:b w:val="0"/>
          <w:i/>
        </w:rPr>
        <w:t>progrediendi</w:t>
      </w:r>
      <w:r>
        <w:rPr>
          <w:b w:val="0"/>
          <w:i w:val="0"/>
        </w:rPr>
        <w:t xml:space="preserve">; </w:t>
      </w:r>
      <w:r>
        <w:rPr>
          <w:b w:val="0"/>
          <w:i/>
        </w:rPr>
        <w:t>servitura</w:t>
      </w:r>
      <w:r>
        <w:rPr>
          <w:b w:val="0"/>
          <w:i w:val="0"/>
        </w:rPr>
        <w:t>.</w:t>
      </w:r>
    </w:p>
    <w:p>
      <w:pPr>
        <w:widowControl/>
      </w:pPr>
      <w:r>
        <w:rPr>
          <w:b w:val="0"/>
          <w:i w:val="0"/>
        </w:rPr>
        <w:t xml:space="preserve">To advance or move from place to place, and serve a power’s use. An animal requires organs of locomotion and sensation as well as nutrition; their formation cannot be assigned to a merely nutritive maker for a later soul.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1248" w:name="latin-record-1007"/>
      <w:bookmarkEnd w:id="1248"/>
      <w:r>
        <w:rPr>
          <w:b/>
          <w:i w:val="0"/>
        </w:rPr>
        <w:t>progressio in infinitum</w:t>
      </w:r>
      <w:r>
        <w:rPr>
          <w:b/>
          <w:i w:val="0"/>
        </w:rPr>
        <w:t>.</w:t>
      </w:r>
      <w:r>
        <w:rPr>
          <w:b w:val="0"/>
          <w:i w:val="0"/>
        </w:rPr>
        <w:t xml:space="preserve"> Printed forms: </w:t>
      </w:r>
      <w:r>
        <w:rPr>
          <w:b w:val="0"/>
          <w:i/>
        </w:rPr>
        <w:t>in infinitum</w:t>
      </w:r>
      <w:r>
        <w:rPr>
          <w:b w:val="0"/>
          <w:i w:val="0"/>
        </w:rPr>
        <w:t xml:space="preserve">; </w:t>
      </w:r>
      <w:r>
        <w:rPr>
          <w:b w:val="0"/>
          <w:i/>
        </w:rPr>
        <w:t>progressio</w:t>
      </w:r>
      <w:r>
        <w:rPr>
          <w:b w:val="0"/>
          <w:i w:val="0"/>
        </w:rPr>
        <w:t>.</w:t>
      </w:r>
    </w:p>
    <w:p>
      <w:pPr>
        <w:widowControl/>
      </w:pPr>
      <w:r>
        <w:rPr>
          <w:b w:val="0"/>
          <w:i w:val="0"/>
        </w:rPr>
        <w:t xml:space="preserve">An endless explanatory regress. Ficino refuses an infinite sequence of further forms or conditional acts of being without a first ground. References: </w:t>
      </w:r>
      <w:hyperlink w:anchor="passage-v-9-1">
        <w:r>
          <w:rPr>
            <w:color w:val="000000"/>
          </w:rPr>
          <w:t xml:space="preserve">V.9.1</w:t>
        </w:r>
      </w:hyperlink>
      <w:r>
        <w:rPr>
          <w:b w:val="0"/>
          <w:i w:val="0"/>
        </w:rPr>
        <w:t xml:space="preserve">, </w:t>
      </w:r>
      <w:hyperlink w:anchor="passage-v-9-3">
        <w:r>
          <w:rPr>
            <w:color w:val="000000"/>
          </w:rPr>
          <w:t xml:space="preserve">V.9.3</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1249" w:name="latin-record-1008"/>
      <w:bookmarkEnd w:id="1249"/>
      <w:r>
        <w:rPr>
          <w:b/>
          <w:i w:val="0"/>
        </w:rPr>
        <w:t>proles</w:t>
      </w:r>
      <w:r>
        <w:rPr>
          <w:b/>
          <w:i w:val="0"/>
        </w:rPr>
        <w:t>.</w:t>
      </w:r>
      <w:r>
        <w:rPr>
          <w:b w:val="0"/>
          <w:i w:val="0"/>
        </w:rPr>
        <w:t xml:space="preserve"> Printed forms: </w:t>
      </w:r>
      <w:r>
        <w:rPr>
          <w:b w:val="0"/>
          <w:i/>
        </w:rPr>
        <w:t>prolem</w:t>
      </w:r>
      <w:r>
        <w:rPr>
          <w:b w:val="0"/>
          <w:i w:val="0"/>
        </w:rPr>
        <w:t xml:space="preserve">; </w:t>
      </w:r>
      <w:r>
        <w:rPr>
          <w:b w:val="0"/>
          <w:i/>
        </w:rPr>
        <w:t>proles quaedam</w:t>
      </w:r>
      <w:r>
        <w:rPr>
          <w:b w:val="0"/>
          <w:i w:val="0"/>
        </w:rPr>
        <w:t>.</w:t>
      </w:r>
    </w:p>
    <w:p>
      <w:pPr>
        <w:widowControl/>
      </w:pPr>
      <w:r>
        <w:rPr>
          <w:b w:val="0"/>
          <w:i w:val="0"/>
        </w:rPr>
        <w:t xml:space="preserve">Offspring, literal and figurative. A natural impulse is called offspring of essence and being and is therefore supposed to accord with its source. References: </w:t>
      </w:r>
      <w:hyperlink w:anchor="passage-vi-12-14">
        <w:r>
          <w:rPr>
            <w:color w:val="000000"/>
          </w:rPr>
          <w:t xml:space="preserve">VI.12.14</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1250" w:name="latin-record-1009"/>
      <w:bookmarkEnd w:id="1250"/>
      <w:r>
        <w:rPr>
          <w:b/>
          <w:i w:val="0"/>
        </w:rPr>
        <w:t>proles / parturire</w:t>
      </w:r>
      <w:r>
        <w:rPr>
          <w:b/>
          <w:i w:val="0"/>
        </w:rPr>
        <w:t>.</w:t>
      </w:r>
      <w:r>
        <w:rPr>
          <w:b w:val="0"/>
          <w:i w:val="0"/>
        </w:rPr>
        <w:t xml:space="preserve"> Printed forms: </w:t>
      </w:r>
      <w:r>
        <w:rPr>
          <w:b w:val="0"/>
          <w:i/>
        </w:rPr>
        <w:t>parit</w:t>
      </w:r>
      <w:r>
        <w:rPr>
          <w:b w:val="0"/>
          <w:i w:val="0"/>
        </w:rPr>
        <w:t xml:space="preserve">; </w:t>
      </w:r>
      <w:r>
        <w:rPr>
          <w:b w:val="0"/>
          <w:i/>
        </w:rPr>
        <w:t>parturiet</w:t>
      </w:r>
      <w:r>
        <w:rPr>
          <w:b w:val="0"/>
          <w:i w:val="0"/>
        </w:rPr>
        <w:t xml:space="preserve">; </w:t>
      </w:r>
      <w:r>
        <w:rPr>
          <w:b w:val="0"/>
          <w:i/>
        </w:rPr>
        <w:t>procreabit</w:t>
      </w:r>
      <w:r>
        <w:rPr>
          <w:b w:val="0"/>
          <w:i w:val="0"/>
        </w:rPr>
        <w:t xml:space="preserve">; </w:t>
      </w:r>
      <w:r>
        <w:rPr>
          <w:b w:val="0"/>
          <w:i/>
        </w:rPr>
        <w:t>prolem</w:t>
      </w:r>
      <w:r>
        <w:rPr>
          <w:b w:val="0"/>
          <w:i w:val="0"/>
        </w:rPr>
        <w:t>.</w:t>
      </w:r>
    </w:p>
    <w:p>
      <w:pPr>
        <w:widowControl/>
      </w:pPr>
      <w:r>
        <w:rPr>
          <w:b w:val="0"/>
          <w:i w:val="0"/>
        </w:rPr>
        <w:t xml:space="preserve">Offspring, birth and begetting as causal-likeness images. Natural agents generate within their kind; intellectual conception likewise produces content suited to mind’s nonbodily nature. References: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1251" w:name="latin-record-1010"/>
      <w:bookmarkEnd w:id="1251"/>
      <w:r>
        <w:rPr>
          <w:b/>
          <w:i w:val="0"/>
        </w:rPr>
        <w:t>propagare / propagatio</w:t>
      </w:r>
      <w:r>
        <w:rPr>
          <w:b/>
          <w:i w:val="0"/>
        </w:rPr>
        <w:t>.</w:t>
      </w:r>
      <w:r>
        <w:rPr>
          <w:b w:val="0"/>
          <w:i w:val="0"/>
        </w:rPr>
        <w:t xml:space="preserve"> Printed forms: </w:t>
      </w:r>
      <w:r>
        <w:rPr>
          <w:b w:val="0"/>
          <w:i/>
        </w:rPr>
        <w:t>propagandae</w:t>
      </w:r>
      <w:r>
        <w:rPr>
          <w:b w:val="0"/>
          <w:i w:val="0"/>
        </w:rPr>
        <w:t xml:space="preserve">; </w:t>
      </w:r>
      <w:r>
        <w:rPr>
          <w:b w:val="0"/>
          <w:i/>
        </w:rPr>
        <w:t>propagatione</w:t>
      </w:r>
      <w:r>
        <w:rPr>
          <w:b w:val="0"/>
          <w:i w:val="0"/>
        </w:rPr>
        <w:t xml:space="preserve">; </w:t>
      </w:r>
      <w:r>
        <w:rPr>
          <w:b w:val="0"/>
          <w:i/>
        </w:rPr>
        <w:t>propagationem</w:t>
      </w:r>
      <w:r>
        <w:rPr>
          <w:b w:val="0"/>
          <w:i w:val="0"/>
        </w:rPr>
        <w:t xml:space="preserve">; </w:t>
      </w:r>
      <w:r>
        <w:rPr>
          <w:b w:val="0"/>
          <w:i/>
        </w:rPr>
        <w:t>propaget</w:t>
      </w:r>
      <w:r>
        <w:rPr>
          <w:b w:val="0"/>
          <w:i w:val="0"/>
        </w:rPr>
        <w:t>.</w:t>
      </w:r>
    </w:p>
    <w:p>
      <w:pPr>
        <w:widowControl/>
      </w:pPr>
      <w:r>
        <w:rPr>
          <w:b w:val="0"/>
          <w:i w:val="0"/>
        </w:rPr>
        <w:t xml:space="preserve">To propagate or communicate one’s nature through production. Natural agents produce likenesses rather than aim at sheer nothingness; an eternal spiritual form has no reproductive need to consume its recipient. References: </w:t>
      </w:r>
      <w:hyperlink w:anchor="passage-v-4-6">
        <w:r>
          <w:rPr>
            <w:color w:val="000000"/>
          </w:rPr>
          <w:t xml:space="preserve">V.4.6</w:t>
        </w:r>
      </w:hyperlink>
      <w:r>
        <w:rPr>
          <w:b w:val="0"/>
          <w:i w:val="0"/>
        </w:rPr>
        <w:t xml:space="preserve">, </w:t>
      </w:r>
      <w:hyperlink w:anchor="passage-v-6-1">
        <w:r>
          <w:rPr>
            <w:color w:val="000000"/>
          </w:rPr>
          <w:t xml:space="preserve">V.6.1</w:t>
        </w:r>
      </w:hyperlink>
      <w:r>
        <w:rPr>
          <w:b w:val="0"/>
          <w:i w:val="0"/>
        </w:rPr>
        <w:t xml:space="preserve">, </w:t>
      </w:r>
      <w:hyperlink w:anchor="passage-v-8-3">
        <w:r>
          <w:rPr>
            <w:color w:val="000000"/>
          </w:rPr>
          <w:t xml:space="preserve">V.8.3</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1252" w:name="latin-record-1011"/>
      <w:bookmarkEnd w:id="1252"/>
      <w:r>
        <w:rPr>
          <w:b/>
          <w:i w:val="0"/>
        </w:rPr>
        <w:t>propinquitas / naturae ordo</w:t>
      </w:r>
      <w:r>
        <w:rPr>
          <w:b/>
          <w:i w:val="0"/>
        </w:rPr>
        <w:t>.</w:t>
      </w:r>
      <w:r>
        <w:rPr>
          <w:b w:val="0"/>
          <w:i w:val="0"/>
        </w:rPr>
        <w:t xml:space="preserve"> Printed forms: </w:t>
      </w:r>
      <w:r>
        <w:rPr>
          <w:b w:val="0"/>
          <w:i/>
        </w:rPr>
        <w:t>naturae ordine</w:t>
      </w:r>
      <w:r>
        <w:rPr>
          <w:b w:val="0"/>
          <w:i w:val="0"/>
        </w:rPr>
        <w:t xml:space="preserve">; </w:t>
      </w:r>
      <w:r>
        <w:rPr>
          <w:b w:val="0"/>
          <w:i/>
        </w:rPr>
        <w:t>naturali ordine</w:t>
      </w:r>
      <w:r>
        <w:rPr>
          <w:b w:val="0"/>
          <w:i w:val="0"/>
        </w:rPr>
        <w:t xml:space="preserve">; </w:t>
      </w:r>
      <w:r>
        <w:rPr>
          <w:b w:val="0"/>
          <w:i/>
        </w:rPr>
        <w:t>propinquitas</w:t>
      </w:r>
      <w:r>
        <w:rPr>
          <w:b w:val="0"/>
          <w:i w:val="0"/>
        </w:rPr>
        <w:t>.</w:t>
      </w:r>
    </w:p>
    <w:p>
      <w:pPr>
        <w:widowControl/>
      </w:pPr>
      <w:r>
        <w:rPr>
          <w:b w:val="0"/>
          <w:i w:val="0"/>
        </w:rPr>
        <w:t xml:space="preserve">Nearness and the order of nature, marking causal rank rather than physical adjacency. Soul receives form more immediately than body and communicates it downward while remaining itself. References: </w:t>
      </w:r>
      <w:hyperlink w:anchor="passage-v-15-25">
        <w:r>
          <w:rPr>
            <w:color w:val="000000"/>
          </w:rPr>
          <w:t xml:space="preserve">V.15.25</w:t>
        </w:r>
      </w:hyperlink>
      <w:r>
        <w:rPr>
          <w:b w:val="0"/>
          <w:i w:val="0"/>
        </w:rPr>
        <w:t xml:space="preserve">,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253" w:name="latin-record-1012"/>
      <w:bookmarkEnd w:id="1253"/>
      <w:r>
        <w:rPr>
          <w:b/>
          <w:i w:val="0"/>
        </w:rPr>
        <w:t>proportio</w:t>
      </w:r>
      <w:r>
        <w:rPr>
          <w:b/>
          <w:i w:val="0"/>
        </w:rPr>
        <w:t>.</w:t>
      </w:r>
      <w:r>
        <w:rPr>
          <w:b w:val="0"/>
          <w:i w:val="0"/>
        </w:rPr>
        <w:t xml:space="preserve"> Printed forms: </w:t>
      </w:r>
      <w:r>
        <w:rPr>
          <w:b w:val="0"/>
          <w:i/>
        </w:rPr>
        <w:t>proportio</w:t>
      </w:r>
      <w:r>
        <w:rPr>
          <w:b w:val="0"/>
          <w:i w:val="0"/>
        </w:rPr>
        <w:t xml:space="preserve">; </w:t>
      </w:r>
      <w:r>
        <w:rPr>
          <w:b w:val="0"/>
          <w:i/>
        </w:rPr>
        <w:t>proportione</w:t>
      </w:r>
      <w:r>
        <w:rPr>
          <w:b w:val="0"/>
          <w:i w:val="0"/>
        </w:rPr>
        <w:t xml:space="preserve">; </w:t>
      </w:r>
      <w:r>
        <w:rPr>
          <w:b w:val="0"/>
          <w:i/>
        </w:rPr>
        <w:t>proportionem</w:t>
      </w:r>
      <w:r>
        <w:rPr>
          <w:b w:val="0"/>
          <w:i w:val="0"/>
        </w:rPr>
        <w:t>.</w:t>
      </w:r>
    </w:p>
    <w:p>
      <w:pPr>
        <w:widowControl/>
      </w:pPr>
      <w:r>
        <w:rPr>
          <w:b w:val="0"/>
          <w:i w:val="0"/>
        </w:rPr>
        <w:t xml:space="preserve">Proportion or commensurability. Nothing has no proportion to being, so Ficino argues that only power not proportioned to finite powers can create. References: </w:t>
      </w:r>
      <w:hyperlink w:anchor="passage-v-13-6">
        <w:r>
          <w:rPr>
            <w:color w:val="000000"/>
          </w:rPr>
          <w:t xml:space="preserve">V.13.6</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254" w:name="latin-record-1013"/>
      <w:bookmarkEnd w:id="1254"/>
      <w:r>
        <w:rPr>
          <w:b/>
          <w:i w:val="0"/>
        </w:rPr>
        <w:t>propositio / docere</w:t>
      </w:r>
      <w:r>
        <w:rPr>
          <w:b/>
          <w:i w:val="0"/>
        </w:rPr>
        <w:t>.</w:t>
      </w:r>
      <w:r>
        <w:rPr>
          <w:b w:val="0"/>
          <w:i w:val="0"/>
        </w:rPr>
        <w:t xml:space="preserve"> Printed forms: </w:t>
      </w:r>
      <w:r>
        <w:rPr>
          <w:b w:val="0"/>
          <w:i/>
        </w:rPr>
        <w:t>docet</w:t>
      </w:r>
      <w:r>
        <w:rPr>
          <w:b w:val="0"/>
          <w:i w:val="0"/>
        </w:rPr>
        <w:t xml:space="preserve">; </w:t>
      </w:r>
      <w:r>
        <w:rPr>
          <w:b w:val="0"/>
          <w:i/>
        </w:rPr>
        <w:t>propositione</w:t>
      </w:r>
      <w:r>
        <w:rPr>
          <w:b w:val="0"/>
          <w:i w:val="0"/>
        </w:rPr>
        <w:t xml:space="preserve">; </w:t>
      </w:r>
      <w:r>
        <w:rPr>
          <w:b w:val="0"/>
          <w:i/>
        </w:rPr>
        <w:t>propositionem</w:t>
      </w:r>
      <w:r>
        <w:rPr>
          <w:b w:val="0"/>
          <w:i w:val="0"/>
        </w:rPr>
        <w:t>.</w:t>
      </w:r>
    </w:p>
    <w:p>
      <w:pPr>
        <w:widowControl/>
      </w:pPr>
      <w:r>
        <w:rPr>
          <w:b w:val="0"/>
          <w:i w:val="0"/>
        </w:rPr>
        <w:t xml:space="preserve">Proposition and its power to make another proposition known. Ficino models scientific connectedness on teaching and inferential possession, retaining the active </w:t>
      </w:r>
      <w:r>
        <w:t>‘</w:t>
      </w:r>
      <w:r>
        <w:rPr>
          <w:b w:val="0"/>
          <w:i w:val="0"/>
        </w:rPr>
        <w:t>what he teaches</w:t>
      </w:r>
      <w:r>
        <w:t>’</w:t>
      </w:r>
      <w:r>
        <w:rPr>
          <w:b w:val="0"/>
          <w:i w:val="0"/>
        </w:rPr>
        <w:t xml:space="preserve"> in the source reading. References: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1255" w:name="latin-record-1014"/>
      <w:bookmarkEnd w:id="1255"/>
      <w:r>
        <w:rPr>
          <w:b/>
          <w:i w:val="0"/>
        </w:rPr>
        <w:t>propositum</w:t>
      </w:r>
      <w:r>
        <w:rPr>
          <w:b/>
          <w:i w:val="0"/>
        </w:rPr>
        <w:t>.</w:t>
      </w:r>
      <w:r>
        <w:rPr>
          <w:b w:val="0"/>
          <w:i w:val="0"/>
        </w:rPr>
        <w:t xml:space="preserve"> Printed forms: </w:t>
      </w:r>
      <w:r>
        <w:rPr>
          <w:b w:val="0"/>
          <w:i/>
        </w:rPr>
        <w:t>proposito</w:t>
      </w:r>
      <w:r>
        <w:rPr>
          <w:b w:val="0"/>
          <w:i w:val="0"/>
        </w:rPr>
        <w:t xml:space="preserve">; </w:t>
      </w:r>
      <w:r>
        <w:rPr>
          <w:b w:val="0"/>
          <w:i/>
        </w:rPr>
        <w:t>propositum</w:t>
      </w:r>
      <w:r>
        <w:rPr>
          <w:b w:val="0"/>
          <w:i w:val="0"/>
        </w:rPr>
        <w:t>.</w:t>
      </w:r>
    </w:p>
    <w:p>
      <w:pPr>
        <w:widowControl/>
      </w:pPr>
      <w:r>
        <w:rPr>
          <w:b w:val="0"/>
          <w:i w:val="0"/>
        </w:rPr>
        <w:t xml:space="preserve">A stable purpose or plan encompassing the whole work. It coexists in mind with present attention, past memory and future expectation while the external work unfolds successively. References: </w:t>
      </w:r>
      <w:hyperlink w:anchor="passage-v-5-2">
        <w:r>
          <w:rPr>
            <w:color w:val="000000"/>
          </w:rPr>
          <w:t xml:space="preserve">V.5.2</w:t>
        </w:r>
      </w:hyperlink>
      <w:r>
        <w:rPr>
          <w:b w:val="0"/>
          <w:i w:val="0"/>
        </w:rPr>
        <w:t xml:space="preserve">, </w:t>
      </w:r>
      <w:hyperlink w:anchor="passage-v-15-5">
        <w:r>
          <w:rPr>
            <w:color w:val="000000"/>
          </w:rPr>
          <w:t xml:space="preserve">V.15.5</w:t>
        </w:r>
      </w:hyperlink>
      <w:r>
        <w:rPr>
          <w:b w:val="0"/>
          <w:i w:val="0"/>
        </w:rPr>
        <w:t xml:space="preserve">. See </w:t>
      </w:r>
      <w:hyperlink w:anchor="time-memory-and-expectation">
        <w:r>
          <w:rPr>
            <w:color w:val="000000"/>
          </w:rPr>
          <w:t xml:space="preserve">Time, memory and expectation</w:t>
        </w:r>
      </w:hyperlink>
      <w:r>
        <w:rPr>
          <w:b w:val="0"/>
          <w:i w:val="0"/>
        </w:rPr>
        <w:t>.</w:t>
      </w:r>
    </w:p>
    <w:p>
      <w:pPr>
        <w:keepNext/>
        <w:widowControl/>
      </w:pPr>
      <w:bookmarkStart w:id="1256" w:name="latin-record-1015"/>
      <w:bookmarkEnd w:id="1256"/>
      <w:r>
        <w:rPr>
          <w:b/>
          <w:i w:val="0"/>
        </w:rPr>
        <w:t>proprium</w:t>
      </w:r>
      <w:r>
        <w:rPr>
          <w:b/>
          <w:i w:val="0"/>
        </w:rPr>
        <w:t>.</w:t>
      </w:r>
      <w:r>
        <w:rPr>
          <w:b w:val="0"/>
          <w:i w:val="0"/>
        </w:rPr>
        <w:t xml:space="preserve"> Printed forms: </w:t>
      </w:r>
      <w:r>
        <w:rPr>
          <w:b w:val="0"/>
          <w:i/>
        </w:rPr>
        <w:t>propria</w:t>
      </w:r>
      <w:r>
        <w:rPr>
          <w:b w:val="0"/>
          <w:i w:val="0"/>
        </w:rPr>
        <w:t xml:space="preserve">; </w:t>
      </w:r>
      <w:r>
        <w:rPr>
          <w:b w:val="0"/>
          <w:i/>
        </w:rPr>
        <w:t>proprium</w:t>
      </w:r>
      <w:r>
        <w:rPr>
          <w:b w:val="0"/>
          <w:i w:val="0"/>
        </w:rPr>
        <w:t>.</w:t>
      </w:r>
    </w:p>
    <w:p>
      <w:pPr>
        <w:widowControl/>
      </w:pPr>
      <w:r>
        <w:rPr>
          <w:b w:val="0"/>
          <w:i w:val="0"/>
        </w:rPr>
        <w:t xml:space="preserve">What belongs specifically to a faculty or kind. The proper object of one sense does not exhaust reality, and the rational power proper to humanity motivates the next argument. References: </w:t>
      </w:r>
      <w:hyperlink w:anchor="passage-vi-2-8">
        <w:r>
          <w:rPr>
            <w:color w:val="000000"/>
          </w:rPr>
          <w:t xml:space="preserve">VI.2.8</w:t>
        </w:r>
      </w:hyperlink>
      <w:r>
        <w:rPr>
          <w:b w:val="0"/>
          <w:i w:val="0"/>
        </w:rPr>
        <w:t xml:space="preserve">, </w:t>
      </w:r>
      <w:hyperlink w:anchor="passage-vi-2-9">
        <w:r>
          <w:rPr>
            <w:color w:val="000000"/>
          </w:rPr>
          <w:t xml:space="preserve">VI.2.9</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257" w:name="latin-record-1016"/>
      <w:bookmarkEnd w:id="1257"/>
      <w:r>
        <w:rPr>
          <w:b/>
          <w:i w:val="0"/>
        </w:rPr>
        <w:t>proprius</w:t>
      </w:r>
      <w:r>
        <w:rPr>
          <w:b/>
          <w:i w:val="0"/>
        </w:rPr>
        <w:t>.</w:t>
      </w:r>
      <w:r>
        <w:rPr>
          <w:b w:val="0"/>
          <w:i w:val="0"/>
        </w:rPr>
        <w:t xml:space="preserve"> Printed forms: </w:t>
      </w:r>
      <w:r>
        <w:rPr>
          <w:b w:val="0"/>
          <w:i/>
        </w:rPr>
        <w:t>propria</w:t>
      </w:r>
      <w:r>
        <w:rPr>
          <w:b w:val="0"/>
          <w:i w:val="0"/>
        </w:rPr>
        <w:t xml:space="preserve">; </w:t>
      </w:r>
      <w:r>
        <w:rPr>
          <w:b w:val="0"/>
          <w:i/>
        </w:rPr>
        <w:t>propriae</w:t>
      </w:r>
      <w:r>
        <w:rPr>
          <w:b w:val="0"/>
          <w:i w:val="0"/>
        </w:rPr>
        <w:t xml:space="preserve">; </w:t>
      </w:r>
      <w:r>
        <w:rPr>
          <w:b w:val="0"/>
          <w:i/>
        </w:rPr>
        <w:t>propriam</w:t>
      </w:r>
      <w:r>
        <w:rPr>
          <w:b w:val="0"/>
          <w:i w:val="0"/>
        </w:rPr>
        <w:t xml:space="preserve">; </w:t>
      </w:r>
      <w:r>
        <w:rPr>
          <w:b w:val="0"/>
          <w:i/>
        </w:rPr>
        <w:t>proprie</w:t>
      </w:r>
      <w:r>
        <w:rPr>
          <w:b w:val="0"/>
          <w:i w:val="0"/>
        </w:rPr>
        <w:t xml:space="preserve">; </w:t>
      </w:r>
      <w:r>
        <w:rPr>
          <w:b w:val="0"/>
          <w:i/>
        </w:rPr>
        <w:t>proprio</w:t>
      </w:r>
      <w:r>
        <w:rPr>
          <w:b w:val="0"/>
          <w:i w:val="0"/>
        </w:rPr>
        <w:t xml:space="preserve">; </w:t>
      </w:r>
      <w:r>
        <w:rPr>
          <w:b w:val="0"/>
          <w:i/>
        </w:rPr>
        <w:t>proprium</w:t>
      </w:r>
      <w:r>
        <w:rPr>
          <w:b w:val="0"/>
          <w:i w:val="0"/>
        </w:rPr>
        <w:t xml:space="preserve">; </w:t>
      </w:r>
      <w:r>
        <w:rPr>
          <w:b w:val="0"/>
          <w:i/>
        </w:rPr>
        <w:t>proprius</w:t>
      </w:r>
      <w:r>
        <w:rPr>
          <w:b w:val="0"/>
          <w:i w:val="0"/>
        </w:rPr>
        <w:t>.</w:t>
      </w:r>
    </w:p>
    <w:p>
      <w:pPr>
        <w:widowControl/>
      </w:pPr>
      <w:r>
        <w:rPr>
          <w:b w:val="0"/>
          <w:i w:val="0"/>
        </w:rPr>
        <w:t xml:space="preserve">Proper or characteristic, either exclusive to an individual or belonging to a thing’s nature. A bodily instance restricts humanity to this person’s embodiment, whereas mind’s proper activity can be universal; in technical definitions proprie marks a narrower usage.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w:t>
      </w:r>
      <w:hyperlink w:anchor="passage-viii-2-7">
        <w:r>
          <w:rPr>
            <w:color w:val="000000"/>
          </w:rPr>
          <w:t xml:space="preserve">VIII.2.7</w:t>
        </w:r>
      </w:hyperlink>
      <w:r>
        <w:rPr>
          <w:b w:val="0"/>
          <w:i w:val="0"/>
        </w:rPr>
        <w:t xml:space="preserve">, </w:t>
      </w:r>
      <w:hyperlink w:anchor="passage-viii-3-6">
        <w:r>
          <w:rPr>
            <w:color w:val="000000"/>
          </w:rPr>
          <w:t xml:space="preserve">VIII.3.6</w:t>
        </w:r>
      </w:hyperlink>
      <w:r>
        <w:rPr>
          <w:b w:val="0"/>
          <w:i w:val="0"/>
        </w:rPr>
        <w:t xml:space="preserve">, </w:t>
      </w:r>
      <w:hyperlink w:anchor="passage-viii-3-8">
        <w:r>
          <w:rPr>
            <w:color w:val="000000"/>
          </w:rPr>
          <w:t xml:space="preserve">VIII.3.8</w:t>
        </w:r>
      </w:hyperlink>
      <w:r>
        <w:rPr>
          <w:b w:val="0"/>
          <w:i w:val="0"/>
        </w:rPr>
        <w:t xml:space="preserve">, </w:t>
      </w:r>
      <w:hyperlink w:anchor="passage-viii-4-2">
        <w:r>
          <w:rPr>
            <w:color w:val="000000"/>
          </w:rPr>
          <w:t xml:space="preserve">VIII.4.2</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4-11">
        <w:r>
          <w:rPr>
            <w:color w:val="000000"/>
          </w:rPr>
          <w:t xml:space="preserve">VIII.4.11</w:t>
        </w:r>
      </w:hyperlink>
      <w:r>
        <w:rPr>
          <w:b w:val="0"/>
          <w:i w:val="0"/>
        </w:rPr>
        <w:t xml:space="preserve">, </w:t>
      </w:r>
      <w:hyperlink w:anchor="passage-viii-7-1">
        <w:r>
          <w:rPr>
            <w:color w:val="000000"/>
          </w:rPr>
          <w:t xml:space="preserve">VIII.7.1</w:t>
        </w:r>
      </w:hyperlink>
      <w:r>
        <w:rPr>
          <w:b w:val="0"/>
          <w:i w:val="0"/>
        </w:rPr>
        <w:t xml:space="preserve">, </w:t>
      </w:r>
      <w:hyperlink w:anchor="passage-viii-8-2">
        <w:r>
          <w:rPr>
            <w:color w:val="000000"/>
          </w:rPr>
          <w:t xml:space="preserve">VIII.8.2</w:t>
        </w:r>
      </w:hyperlink>
      <w:r>
        <w:rPr>
          <w:b w:val="0"/>
          <w:i w:val="0"/>
        </w:rPr>
        <w:t xml:space="preserve">, </w:t>
      </w:r>
      <w:hyperlink w:anchor="passage-viii-10-1">
        <w:r>
          <w:rPr>
            <w:color w:val="000000"/>
          </w:rPr>
          <w:t xml:space="preserve">VIII.10.1</w:t>
        </w:r>
      </w:hyperlink>
      <w:r>
        <w:rPr>
          <w:b w:val="0"/>
          <w:i w:val="0"/>
        </w:rPr>
        <w:t xml:space="preserve">, </w:t>
      </w:r>
      <w:hyperlink w:anchor="passage-viii-12-1">
        <w:r>
          <w:rPr>
            <w:color w:val="000000"/>
          </w:rPr>
          <w:t xml:space="preserve">VIII.12.1</w:t>
        </w:r>
      </w:hyperlink>
      <w:r>
        <w:rPr>
          <w:b w:val="0"/>
          <w:i w:val="0"/>
        </w:rPr>
        <w:t xml:space="preserve">, </w:t>
      </w:r>
      <w:hyperlink w:anchor="passage-viii-13-1">
        <w:r>
          <w:rPr>
            <w:color w:val="000000"/>
          </w:rPr>
          <w:t xml:space="preserve">VIII.13.1</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1258" w:name="latin-record-1017"/>
      <w:bookmarkEnd w:id="1258"/>
      <w:r>
        <w:rPr>
          <w:b/>
          <w:i w:val="0"/>
        </w:rPr>
        <w:t>proprius / communis</w:t>
      </w:r>
      <w:r>
        <w:rPr>
          <w:b/>
          <w:i w:val="0"/>
        </w:rPr>
        <w:t>.</w:t>
      </w:r>
      <w:r>
        <w:rPr>
          <w:b w:val="0"/>
          <w:i w:val="0"/>
        </w:rPr>
        <w:t xml:space="preserve"> Printed forms: </w:t>
      </w:r>
      <w:r>
        <w:rPr>
          <w:b w:val="0"/>
          <w:i/>
        </w:rPr>
        <w:t>commune</w:t>
      </w:r>
      <w:r>
        <w:rPr>
          <w:b w:val="0"/>
          <w:i w:val="0"/>
        </w:rPr>
        <w:t xml:space="preserve">; </w:t>
      </w:r>
      <w:r>
        <w:rPr>
          <w:b w:val="0"/>
          <w:i/>
        </w:rPr>
        <w:t>communi</w:t>
      </w:r>
      <w:r>
        <w:rPr>
          <w:b w:val="0"/>
          <w:i w:val="0"/>
        </w:rPr>
        <w:t xml:space="preserve">; </w:t>
      </w:r>
      <w:r>
        <w:rPr>
          <w:b w:val="0"/>
          <w:i/>
        </w:rPr>
        <w:t>communis</w:t>
      </w:r>
      <w:r>
        <w:rPr>
          <w:b w:val="0"/>
          <w:i w:val="0"/>
        </w:rPr>
        <w:t xml:space="preserve">; </w:t>
      </w:r>
      <w:r>
        <w:rPr>
          <w:b w:val="0"/>
          <w:i/>
        </w:rPr>
        <w:t>propria</w:t>
      </w:r>
      <w:r>
        <w:rPr>
          <w:b w:val="0"/>
          <w:i w:val="0"/>
        </w:rPr>
        <w:t xml:space="preserve">; </w:t>
      </w:r>
      <w:r>
        <w:rPr>
          <w:b w:val="0"/>
          <w:i/>
        </w:rPr>
        <w:t>propriae</w:t>
      </w:r>
      <w:r>
        <w:rPr>
          <w:b w:val="0"/>
          <w:i w:val="0"/>
        </w:rPr>
        <w:t xml:space="preserve">; </w:t>
      </w:r>
      <w:r>
        <w:rPr>
          <w:b w:val="0"/>
          <w:i/>
        </w:rPr>
        <w:t>propriam</w:t>
      </w:r>
      <w:r>
        <w:rPr>
          <w:b w:val="0"/>
          <w:i w:val="0"/>
        </w:rPr>
        <w:t xml:space="preserve">; </w:t>
      </w:r>
      <w:r>
        <w:rPr>
          <w:b w:val="0"/>
          <w:i/>
        </w:rPr>
        <w:t>proprium</w:t>
      </w:r>
      <w:r>
        <w:rPr>
          <w:b w:val="0"/>
          <w:i w:val="0"/>
        </w:rPr>
        <w:t>.</w:t>
      </w:r>
    </w:p>
    <w:p>
      <w:pPr>
        <w:widowControl/>
      </w:pPr>
      <w:r>
        <w:rPr>
          <w:b w:val="0"/>
          <w:i w:val="0"/>
        </w:rPr>
        <w:t xml:space="preserve">Proper to a specified nature and common across specified bearers. Fire’s proper being, the composite’s common being and being common to all are different scopes; the adjective alone must not settle the referent. References: </w:t>
      </w:r>
      <w:hyperlink w:anchor="passage-v-1-1">
        <w:r>
          <w:rPr>
            <w:color w:val="000000"/>
          </w:rPr>
          <w:t xml:space="preserve">V.1.1</w:t>
        </w:r>
      </w:hyperlink>
      <w:r>
        <w:rPr>
          <w:b w:val="0"/>
          <w:i w:val="0"/>
        </w:rPr>
        <w:t xml:space="preserve">, </w:t>
      </w:r>
      <w:hyperlink w:anchor="passage-v-4-6">
        <w:r>
          <w:rPr>
            <w:color w:val="000000"/>
          </w:rPr>
          <w:t xml:space="preserve">V.4.6</w:t>
        </w:r>
      </w:hyperlink>
      <w:r>
        <w:rPr>
          <w:b w:val="0"/>
          <w:i w:val="0"/>
        </w:rPr>
        <w:t xml:space="preserve">, </w:t>
      </w:r>
      <w:hyperlink w:anchor="passage-v-8-2">
        <w:r>
          <w:rPr>
            <w:color w:val="000000"/>
          </w:rPr>
          <w:t xml:space="preserve">V.8.2</w:t>
        </w:r>
      </w:hyperlink>
      <w:r>
        <w:rPr>
          <w:b w:val="0"/>
          <w:i w:val="0"/>
        </w:rPr>
        <w:t xml:space="preserve">, </w:t>
      </w:r>
      <w:hyperlink w:anchor="passage-v-11-8">
        <w:r>
          <w:rPr>
            <w:color w:val="000000"/>
          </w:rPr>
          <w:t xml:space="preserve">V.11.8</w:t>
        </w:r>
      </w:hyperlink>
      <w:r>
        <w:rPr>
          <w:b w:val="0"/>
          <w:i w:val="0"/>
        </w:rPr>
        <w:t xml:space="preserve">, </w:t>
      </w:r>
      <w:hyperlink w:anchor="passage-v-13-2">
        <w:r>
          <w:rPr>
            <w:color w:val="000000"/>
          </w:rPr>
          <w:t xml:space="preserve">V.13.2</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1259" w:name="latin-record-1018"/>
      <w:bookmarkEnd w:id="1259"/>
      <w:r>
        <w:rPr>
          <w:b/>
          <w:i w:val="0"/>
        </w:rPr>
        <w:t>proprius / intimus / alienior</w:t>
      </w:r>
      <w:r>
        <w:rPr>
          <w:b/>
          <w:i w:val="0"/>
        </w:rPr>
        <w:t>.</w:t>
      </w:r>
      <w:r>
        <w:rPr>
          <w:b w:val="0"/>
          <w:i w:val="0"/>
        </w:rPr>
        <w:t xml:space="preserve"> Printed forms: </w:t>
      </w:r>
      <w:r>
        <w:rPr>
          <w:b w:val="0"/>
          <w:i/>
        </w:rPr>
        <w:t>alienior</w:t>
      </w:r>
      <w:r>
        <w:rPr>
          <w:b w:val="0"/>
          <w:i w:val="0"/>
        </w:rPr>
        <w:t xml:space="preserve">; </w:t>
      </w:r>
      <w:r>
        <w:rPr>
          <w:b w:val="0"/>
          <w:i/>
        </w:rPr>
        <w:t>intima</w:t>
      </w:r>
      <w:r>
        <w:rPr>
          <w:b w:val="0"/>
          <w:i w:val="0"/>
        </w:rPr>
        <w:t xml:space="preserve">; </w:t>
      </w:r>
      <w:r>
        <w:rPr>
          <w:b w:val="0"/>
          <w:i/>
        </w:rPr>
        <w:t>Propria</w:t>
      </w:r>
      <w:r>
        <w:rPr>
          <w:b w:val="0"/>
          <w:i w:val="0"/>
        </w:rPr>
        <w:t xml:space="preserve">; </w:t>
      </w:r>
      <w:r>
        <w:rPr>
          <w:b w:val="0"/>
          <w:i/>
        </w:rPr>
        <w:t>propria intimaque</w:t>
      </w:r>
      <w:r>
        <w:rPr>
          <w:b w:val="0"/>
          <w:i w:val="0"/>
        </w:rPr>
        <w:t>.</w:t>
      </w:r>
    </w:p>
    <w:p>
      <w:pPr>
        <w:widowControl/>
      </w:pPr>
      <w:r>
        <w:rPr>
          <w:b w:val="0"/>
          <w:i w:val="0"/>
        </w:rPr>
        <w:t xml:space="preserve">Proper and inward, contrasted with more foreign. Ficino ranks psychic discord as closer to soul than humoral discord and argues from the former’s failure to destroy soul to the latter.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1260" w:name="latin-record-1019"/>
      <w:bookmarkEnd w:id="1260"/>
      <w:r>
        <w:rPr>
          <w:b/>
          <w:i w:val="0"/>
        </w:rPr>
        <w:t>proprius; communis</w:t>
      </w:r>
      <w:r>
        <w:rPr>
          <w:b/>
          <w:i w:val="0"/>
        </w:rPr>
        <w:t>.</w:t>
      </w:r>
      <w:r>
        <w:rPr>
          <w:b w:val="0"/>
          <w:i w:val="0"/>
        </w:rPr>
        <w:t xml:space="preserve"> Printed forms: </w:t>
      </w:r>
      <w:r>
        <w:rPr>
          <w:b w:val="0"/>
          <w:i/>
        </w:rPr>
        <w:t>communem</w:t>
      </w:r>
      <w:r>
        <w:rPr>
          <w:b w:val="0"/>
          <w:i w:val="0"/>
        </w:rPr>
        <w:t xml:space="preserve">; </w:t>
      </w:r>
      <w:r>
        <w:rPr>
          <w:b w:val="0"/>
          <w:i/>
        </w:rPr>
        <w:t>communi</w:t>
      </w:r>
      <w:r>
        <w:rPr>
          <w:b w:val="0"/>
          <w:i w:val="0"/>
        </w:rPr>
        <w:t xml:space="preserve">; </w:t>
      </w:r>
      <w:r>
        <w:rPr>
          <w:b w:val="0"/>
          <w:i/>
        </w:rPr>
        <w:t>communis</w:t>
      </w:r>
      <w:r>
        <w:rPr>
          <w:b w:val="0"/>
          <w:i w:val="0"/>
        </w:rPr>
        <w:t xml:space="preserve">; </w:t>
      </w:r>
      <w:r>
        <w:rPr>
          <w:b w:val="0"/>
          <w:i/>
        </w:rPr>
        <w:t>propria</w:t>
      </w:r>
      <w:r>
        <w:rPr>
          <w:b w:val="0"/>
          <w:i w:val="0"/>
        </w:rPr>
        <w:t xml:space="preserve">; </w:t>
      </w:r>
      <w:r>
        <w:rPr>
          <w:b w:val="0"/>
          <w:i/>
        </w:rPr>
        <w:t>propriae</w:t>
      </w:r>
      <w:r>
        <w:rPr>
          <w:b w:val="0"/>
          <w:i w:val="0"/>
        </w:rPr>
        <w:t xml:space="preserve">; </w:t>
      </w:r>
      <w:r>
        <w:rPr>
          <w:b w:val="0"/>
          <w:i/>
        </w:rPr>
        <w:t>propriam</w:t>
      </w:r>
      <w:r>
        <w:rPr>
          <w:b w:val="0"/>
          <w:i w:val="0"/>
        </w:rPr>
        <w:t xml:space="preserve">; </w:t>
      </w:r>
      <w:r>
        <w:rPr>
          <w:b w:val="0"/>
          <w:i/>
        </w:rPr>
        <w:t>propriis</w:t>
      </w:r>
      <w:r>
        <w:rPr>
          <w:b w:val="0"/>
          <w:i w:val="0"/>
        </w:rPr>
        <w:t xml:space="preserve">; </w:t>
      </w:r>
      <w:r>
        <w:rPr>
          <w:b w:val="0"/>
          <w:i/>
        </w:rPr>
        <w:t>proprium</w:t>
      </w:r>
      <w:r>
        <w:rPr>
          <w:b w:val="0"/>
          <w:i w:val="0"/>
        </w:rPr>
        <w:t xml:space="preserve">; </w:t>
      </w:r>
      <w:r>
        <w:rPr>
          <w:b w:val="0"/>
          <w:i/>
        </w:rPr>
        <w:t>proprius</w:t>
      </w:r>
      <w:r>
        <w:rPr>
          <w:b w:val="0"/>
          <w:i w:val="0"/>
        </w:rPr>
        <w:t>.</w:t>
      </w:r>
    </w:p>
    <w:p>
      <w:pPr>
        <w:widowControl/>
      </w:pPr>
      <w:r>
        <w:rPr>
          <w:b w:val="0"/>
          <w:i w:val="0"/>
        </w:rPr>
        <w:t xml:space="preserve">Proper or specific to a thing, contrasted with common or shared. The inquiry moves from common immortality to arguments proper to human soul, and from matter common to bodies to a proper life-giving cause. References: </w:t>
      </w:r>
      <w:hyperlink w:anchor="passage-vi-1-1">
        <w:r>
          <w:rPr>
            <w:color w:val="000000"/>
          </w:rPr>
          <w:t xml:space="preserve">VI.1.1</w:t>
        </w:r>
      </w:hyperlink>
      <w:r>
        <w:rPr>
          <w:b w:val="0"/>
          <w:i w:val="0"/>
        </w:rPr>
        <w:t xml:space="preserve">, </w:t>
      </w:r>
      <w:hyperlink w:anchor="passage-vi-2-9">
        <w:r>
          <w:rPr>
            <w:color w:val="000000"/>
          </w:rPr>
          <w:t xml:space="preserve">VI.2.9</w:t>
        </w:r>
      </w:hyperlink>
      <w:r>
        <w:rPr>
          <w:b w:val="0"/>
          <w:i w:val="0"/>
        </w:rPr>
        <w:t xml:space="preserve">, </w:t>
      </w:r>
      <w:hyperlink w:anchor="passage-vi-4-1">
        <w:r>
          <w:rPr>
            <w:color w:val="000000"/>
          </w:rPr>
          <w:t xml:space="preserve">VI.4.1</w:t>
        </w:r>
      </w:hyperlink>
      <w:r>
        <w:rPr>
          <w:b w:val="0"/>
          <w:i w:val="0"/>
        </w:rPr>
        <w:t xml:space="preserve">, </w:t>
      </w:r>
      <w:hyperlink w:anchor="passage-vi-4-4">
        <w:r>
          <w:rPr>
            <w:color w:val="000000"/>
          </w:rPr>
          <w:t xml:space="preserve">VI.4.4</w:t>
        </w:r>
      </w:hyperlink>
      <w:r>
        <w:rPr>
          <w:b w:val="0"/>
          <w:i w:val="0"/>
        </w:rPr>
        <w:t xml:space="preserve">, </w:t>
      </w:r>
      <w:hyperlink w:anchor="passage-vi-7-1">
        <w:r>
          <w:rPr>
            <w:color w:val="000000"/>
          </w:rPr>
          <w:t xml:space="preserve">VI.7.1</w:t>
        </w:r>
      </w:hyperlink>
      <w:r>
        <w:rPr>
          <w:b w:val="0"/>
          <w:i w:val="0"/>
        </w:rPr>
        <w:t xml:space="preserve">, </w:t>
      </w:r>
      <w:hyperlink w:anchor="passage-vi-12-18">
        <w:r>
          <w:rPr>
            <w:color w:val="000000"/>
          </w:rPr>
          <w:t xml:space="preserve">VI.12.18</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261" w:name="latin-record-1020"/>
      <w:bookmarkEnd w:id="1261"/>
      <w:r>
        <w:rPr>
          <w:b/>
          <w:i w:val="0"/>
        </w:rPr>
        <w:t>prospicere / effingere / fingere</w:t>
      </w:r>
      <w:r>
        <w:rPr>
          <w:b/>
          <w:i w:val="0"/>
        </w:rPr>
        <w:t>.</w:t>
      </w:r>
      <w:r>
        <w:rPr>
          <w:b w:val="0"/>
          <w:i w:val="0"/>
        </w:rPr>
        <w:t xml:space="preserve"> Printed forms: </w:t>
      </w:r>
      <w:r>
        <w:rPr>
          <w:b w:val="0"/>
          <w:i/>
        </w:rPr>
        <w:t>effingendam</w:t>
      </w:r>
      <w:r>
        <w:rPr>
          <w:b w:val="0"/>
          <w:i w:val="0"/>
        </w:rPr>
        <w:t xml:space="preserve">; </w:t>
      </w:r>
      <w:r>
        <w:rPr>
          <w:b w:val="0"/>
          <w:i/>
        </w:rPr>
        <w:t>effingeremus</w:t>
      </w:r>
      <w:r>
        <w:rPr>
          <w:b w:val="0"/>
          <w:i w:val="0"/>
        </w:rPr>
        <w:t xml:space="preserve">; </w:t>
      </w:r>
      <w:r>
        <w:rPr>
          <w:b w:val="0"/>
          <w:i/>
        </w:rPr>
        <w:t>fingimus</w:t>
      </w:r>
      <w:r>
        <w:rPr>
          <w:b w:val="0"/>
          <w:i w:val="0"/>
        </w:rPr>
        <w:t xml:space="preserve">; </w:t>
      </w:r>
      <w:r>
        <w:rPr>
          <w:b w:val="0"/>
          <w:i/>
        </w:rPr>
        <w:t>finximus</w:t>
      </w:r>
      <w:r>
        <w:rPr>
          <w:b w:val="0"/>
          <w:i w:val="0"/>
        </w:rPr>
        <w:t xml:space="preserve">; </w:t>
      </w:r>
      <w:r>
        <w:rPr>
          <w:b w:val="0"/>
          <w:i/>
        </w:rPr>
        <w:t>prospeximus</w:t>
      </w:r>
      <w:r>
        <w:rPr>
          <w:b w:val="0"/>
          <w:i w:val="0"/>
        </w:rPr>
        <w:t>.</w:t>
      </w:r>
    </w:p>
    <w:p>
      <w:pPr>
        <w:widowControl/>
      </w:pPr>
      <w:r>
        <w:rPr>
          <w:b w:val="0"/>
          <w:i w:val="0"/>
        </w:rPr>
        <w:t xml:space="preserve">Foreseeing a concept to be made and then fashioning it. The argument presupposes access to some incorporeal mode before it attempts to show that soul belongs there; it does not create an external soul from nothing. References: </w:t>
      </w:r>
      <w:hyperlink w:anchor="passage-viii-10-2">
        <w:r>
          <w:rPr>
            <w:color w:val="000000"/>
          </w:rPr>
          <w:t xml:space="preserve">VIII.10.2</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1262" w:name="latin-record-1021"/>
      <w:bookmarkEnd w:id="1262"/>
      <w:r>
        <w:rPr>
          <w:b/>
          <w:i w:val="0"/>
        </w:rPr>
        <w:t>prospicere / intueri / excogitare</w:t>
      </w:r>
      <w:r>
        <w:rPr>
          <w:b/>
          <w:i w:val="0"/>
        </w:rPr>
        <w:t>.</w:t>
      </w:r>
      <w:r>
        <w:rPr>
          <w:b w:val="0"/>
          <w:i w:val="0"/>
        </w:rPr>
        <w:t xml:space="preserve"> Printed forms: </w:t>
      </w:r>
      <w:r>
        <w:rPr>
          <w:b w:val="0"/>
          <w:i/>
        </w:rPr>
        <w:t>excogitare</w:t>
      </w:r>
      <w:r>
        <w:rPr>
          <w:b w:val="0"/>
          <w:i w:val="0"/>
        </w:rPr>
        <w:t xml:space="preserve">; </w:t>
      </w:r>
      <w:r>
        <w:rPr>
          <w:b w:val="0"/>
          <w:i/>
        </w:rPr>
        <w:t>excogitato</w:t>
      </w:r>
      <w:r>
        <w:rPr>
          <w:b w:val="0"/>
          <w:i w:val="0"/>
        </w:rPr>
        <w:t xml:space="preserve">; </w:t>
      </w:r>
      <w:r>
        <w:rPr>
          <w:b w:val="0"/>
          <w:i/>
        </w:rPr>
        <w:t>intueri</w:t>
      </w:r>
      <w:r>
        <w:rPr>
          <w:b w:val="0"/>
          <w:i w:val="0"/>
        </w:rPr>
        <w:t xml:space="preserve">; </w:t>
      </w:r>
      <w:r>
        <w:rPr>
          <w:b w:val="0"/>
          <w:i/>
        </w:rPr>
        <w:t>prospexeris</w:t>
      </w:r>
      <w:r>
        <w:rPr>
          <w:b w:val="0"/>
          <w:i w:val="0"/>
        </w:rPr>
        <w:t>.</w:t>
      </w:r>
    </w:p>
    <w:p>
      <w:pPr>
        <w:widowControl/>
      </w:pPr>
      <w:r>
        <w:rPr>
          <w:b w:val="0"/>
          <w:i w:val="0"/>
        </w:rPr>
        <w:t xml:space="preserve">To look at, behold or conceive through thought. The passage moves from inspecting a visible reflection to conceiving bodies beyond any assigned magnitude. References: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263" w:name="latin-record-1022"/>
      <w:bookmarkEnd w:id="1263"/>
      <w:r>
        <w:rPr>
          <w:b/>
          <w:i w:val="0"/>
        </w:rPr>
        <w:t>provenire</w:t>
      </w:r>
      <w:r>
        <w:rPr>
          <w:b/>
          <w:i w:val="0"/>
        </w:rPr>
        <w:t>.</w:t>
      </w:r>
      <w:r>
        <w:rPr>
          <w:b w:val="0"/>
          <w:i w:val="0"/>
        </w:rPr>
        <w:t xml:space="preserve"> Printed forms: </w:t>
      </w:r>
      <w:r>
        <w:rPr>
          <w:b w:val="0"/>
          <w:i/>
        </w:rPr>
        <w:t>proveniat</w:t>
      </w:r>
      <w:r>
        <w:rPr>
          <w:b w:val="0"/>
          <w:i w:val="0"/>
        </w:rPr>
        <w:t>.</w:t>
      </w:r>
    </w:p>
    <w:p>
      <w:pPr>
        <w:widowControl/>
      </w:pPr>
      <w:r>
        <w:rPr>
          <w:b w:val="0"/>
          <w:i w:val="0"/>
        </w:rPr>
        <w:t xml:space="preserve">To arise or result from composition. The proposed new whole-nature is an objection, not Ficino’s own explanation of soul’s origin. References: </w:t>
      </w:r>
      <w:hyperlink w:anchor="passage-vi-12-9">
        <w:r>
          <w:rPr>
            <w:color w:val="000000"/>
          </w:rPr>
          <w:t xml:space="preserve">VI.12.9</w:t>
        </w:r>
      </w:hyperlink>
      <w:r>
        <w:rPr>
          <w:b w:val="0"/>
          <w:i w:val="0"/>
        </w:rPr>
        <w:t xml:space="preserve">. See </w:t>
      </w:r>
      <w:hyperlink w:anchor="integrity-of-the-whole">
        <w:r>
          <w:rPr>
            <w:color w:val="000000"/>
          </w:rPr>
          <w:t xml:space="preserve">Integrity of the whole</w:t>
        </w:r>
      </w:hyperlink>
      <w:r>
        <w:rPr>
          <w:b w:val="0"/>
          <w:i w:val="0"/>
        </w:rPr>
        <w:t>.</w:t>
      </w:r>
    </w:p>
    <w:p>
      <w:pPr>
        <w:keepNext/>
        <w:widowControl/>
      </w:pPr>
      <w:bookmarkStart w:id="1264" w:name="latin-record-1023"/>
      <w:bookmarkEnd w:id="1264"/>
      <w:r>
        <w:rPr>
          <w:b/>
          <w:i w:val="0"/>
        </w:rPr>
        <w:t>proxime</w:t>
      </w:r>
      <w:r>
        <w:rPr>
          <w:b/>
          <w:i w:val="0"/>
        </w:rPr>
        <w:t>.</w:t>
      </w:r>
      <w:r>
        <w:rPr>
          <w:b w:val="0"/>
          <w:i w:val="0"/>
        </w:rPr>
        <w:t xml:space="preserve"> Printed forms: </w:t>
      </w:r>
      <w:r>
        <w:rPr>
          <w:b w:val="0"/>
          <w:i/>
        </w:rPr>
        <w:t>proxima</w:t>
      </w:r>
      <w:r>
        <w:rPr>
          <w:b w:val="0"/>
          <w:i w:val="0"/>
        </w:rPr>
        <w:t xml:space="preserve">; </w:t>
      </w:r>
      <w:r>
        <w:rPr>
          <w:b w:val="0"/>
          <w:i/>
        </w:rPr>
        <w:t>proximae</w:t>
      </w:r>
      <w:r>
        <w:rPr>
          <w:b w:val="0"/>
          <w:i w:val="0"/>
        </w:rPr>
        <w:t xml:space="preserve">; </w:t>
      </w:r>
      <w:r>
        <w:rPr>
          <w:b w:val="0"/>
          <w:i/>
        </w:rPr>
        <w:t>proxime</w:t>
      </w:r>
      <w:r>
        <w:rPr>
          <w:b w:val="0"/>
          <w:i w:val="0"/>
        </w:rPr>
        <w:t>.</w:t>
      </w:r>
    </w:p>
    <w:p>
      <w:pPr>
        <w:widowControl/>
      </w:pPr>
      <w:r>
        <w:rPr>
          <w:b w:val="0"/>
          <w:i w:val="0"/>
        </w:rPr>
        <w:t xml:space="preserve">Immediately or most nearly in causal order, not necessarily in space. The nearest effect resembles its source most; direct creation of soul is contrasted with life mediated through soul. References: </w:t>
      </w:r>
      <w:hyperlink w:anchor="passage-v-5-2">
        <w:r>
          <w:rPr>
            <w:color w:val="000000"/>
          </w:rPr>
          <w:t xml:space="preserve">V.5.2</w:t>
        </w:r>
      </w:hyperlink>
      <w:r>
        <w:rPr>
          <w:b w:val="0"/>
          <w:i w:val="0"/>
        </w:rPr>
        <w:t xml:space="preserve">, </w:t>
      </w:r>
      <w:hyperlink w:anchor="passage-v-13-16">
        <w:r>
          <w:rPr>
            <w:color w:val="000000"/>
          </w:rPr>
          <w:t xml:space="preserve">V.13.16</w:t>
        </w:r>
      </w:hyperlink>
      <w:r>
        <w:rPr>
          <w:b w:val="0"/>
          <w:i w:val="0"/>
        </w:rPr>
        <w:t xml:space="preserve">, </w:t>
      </w:r>
      <w:hyperlink w:anchor="passage-v-13-17">
        <w:r>
          <w:rPr>
            <w:color w:val="000000"/>
          </w:rPr>
          <w:t xml:space="preserve">V.13.17</w:t>
        </w:r>
      </w:hyperlink>
      <w:r>
        <w:rPr>
          <w:b w:val="0"/>
          <w:i w:val="0"/>
        </w:rPr>
        <w:t xml:space="preserve">, </w:t>
      </w:r>
      <w:hyperlink w:anchor="passage-v-13-18">
        <w:r>
          <w:rPr>
            <w:color w:val="000000"/>
          </w:rPr>
          <w:t xml:space="preserve">V.13.18</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265" w:name="latin-record-1024"/>
      <w:bookmarkEnd w:id="1265"/>
      <w:r>
        <w:rPr>
          <w:b/>
          <w:i w:val="0"/>
        </w:rPr>
        <w:t>pulchritudo / bonitas</w:t>
      </w:r>
      <w:r>
        <w:rPr>
          <w:b/>
          <w:i w:val="0"/>
        </w:rPr>
        <w:t>.</w:t>
      </w:r>
      <w:r>
        <w:rPr>
          <w:b w:val="0"/>
          <w:i w:val="0"/>
        </w:rPr>
        <w:t xml:space="preserve"> Printed forms: </w:t>
      </w:r>
      <w:r>
        <w:rPr>
          <w:b w:val="0"/>
          <w:i/>
        </w:rPr>
        <w:t>bonitas</w:t>
      </w:r>
      <w:r>
        <w:rPr>
          <w:b w:val="0"/>
          <w:i w:val="0"/>
        </w:rPr>
        <w:t xml:space="preserve">; </w:t>
      </w:r>
      <w:r>
        <w:rPr>
          <w:b w:val="0"/>
          <w:i/>
        </w:rPr>
        <w:t>bonitatem</w:t>
      </w:r>
      <w:r>
        <w:rPr>
          <w:b w:val="0"/>
          <w:i w:val="0"/>
        </w:rPr>
        <w:t xml:space="preserve">; </w:t>
      </w:r>
      <w:r>
        <w:rPr>
          <w:b w:val="0"/>
          <w:i/>
        </w:rPr>
        <w:t>bonitatis</w:t>
      </w:r>
      <w:r>
        <w:rPr>
          <w:b w:val="0"/>
          <w:i w:val="0"/>
        </w:rPr>
        <w:t xml:space="preserve">; </w:t>
      </w:r>
      <w:r>
        <w:rPr>
          <w:b w:val="0"/>
          <w:i/>
        </w:rPr>
        <w:t>pulchritudinem</w:t>
      </w:r>
      <w:r>
        <w:rPr>
          <w:b w:val="0"/>
          <w:i w:val="0"/>
        </w:rPr>
        <w:t xml:space="preserve">; </w:t>
      </w:r>
      <w:r>
        <w:rPr>
          <w:b w:val="0"/>
          <w:i/>
        </w:rPr>
        <w:t>pulchritudinis</w:t>
      </w:r>
      <w:r>
        <w:rPr>
          <w:b w:val="0"/>
          <w:i w:val="0"/>
        </w:rPr>
        <w:t xml:space="preserve">; </w:t>
      </w:r>
      <w:r>
        <w:rPr>
          <w:b w:val="0"/>
          <w:i/>
        </w:rPr>
        <w:t>Pulchritudo</w:t>
      </w:r>
      <w:r>
        <w:rPr>
          <w:b w:val="0"/>
          <w:i w:val="0"/>
        </w:rPr>
        <w:t xml:space="preserve">; </w:t>
      </w:r>
      <w:r>
        <w:rPr>
          <w:b w:val="0"/>
          <w:i/>
        </w:rPr>
        <w:t>pulchritudo</w:t>
      </w:r>
      <w:r>
        <w:rPr>
          <w:b w:val="0"/>
          <w:i w:val="0"/>
        </w:rPr>
        <w:t>.</w:t>
      </w:r>
    </w:p>
    <w:p>
      <w:pPr>
        <w:widowControl/>
      </w:pPr>
      <w:r>
        <w:rPr>
          <w:b w:val="0"/>
          <w:i w:val="0"/>
        </w:rPr>
        <w:t xml:space="preserve">Beauty and goodness as recognized perfections, then as common intelligible natures. Phantasy judges this beautiful or good Plato; intellect reaches the common account beyond this person’s circumstances.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266" w:name="latin-record-1025"/>
      <w:bookmarkEnd w:id="1266"/>
      <w:r>
        <w:rPr>
          <w:b/>
          <w:i w:val="0"/>
        </w:rPr>
        <w:t>pullulare; delitescere</w:t>
      </w:r>
      <w:r>
        <w:rPr>
          <w:b/>
          <w:i w:val="0"/>
        </w:rPr>
        <w:t>.</w:t>
      </w:r>
      <w:r>
        <w:rPr>
          <w:b w:val="0"/>
          <w:i w:val="0"/>
        </w:rPr>
        <w:t xml:space="preserve"> Printed forms: </w:t>
      </w:r>
      <w:r>
        <w:rPr>
          <w:b w:val="0"/>
          <w:i/>
        </w:rPr>
        <w:t>delitescit</w:t>
      </w:r>
      <w:r>
        <w:rPr>
          <w:b w:val="0"/>
          <w:i w:val="0"/>
        </w:rPr>
        <w:t xml:space="preserve">; </w:t>
      </w:r>
      <w:r>
        <w:rPr>
          <w:b w:val="0"/>
          <w:i/>
        </w:rPr>
        <w:t>pullulat</w:t>
      </w:r>
      <w:r>
        <w:rPr>
          <w:b w:val="0"/>
          <w:i w:val="0"/>
        </w:rPr>
        <w:t>.</w:t>
      </w:r>
    </w:p>
    <w:p>
      <w:pPr>
        <w:widowControl/>
      </w:pPr>
      <w:r>
        <w:rPr>
          <w:b w:val="0"/>
          <w:i w:val="0"/>
        </w:rPr>
        <w:t xml:space="preserve">To spring forth and lie hidden. The whole animal’s emergence is taken to show that complete seminal power was present in the small source.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1267" w:name="latin-record-1026"/>
      <w:bookmarkEnd w:id="1267"/>
      <w:r>
        <w:rPr>
          <w:b/>
          <w:i w:val="0"/>
        </w:rPr>
        <w:t>punctum</w:t>
      </w:r>
      <w:r>
        <w:rPr>
          <w:b/>
          <w:i w:val="0"/>
        </w:rPr>
        <w:t>.</w:t>
      </w:r>
      <w:r>
        <w:rPr>
          <w:b w:val="0"/>
          <w:i w:val="0"/>
        </w:rPr>
        <w:t xml:space="preserve"> Printed forms: </w:t>
      </w:r>
      <w:r>
        <w:rPr>
          <w:b w:val="0"/>
          <w:i/>
        </w:rPr>
        <w:t>puncta</w:t>
      </w:r>
      <w:r>
        <w:rPr>
          <w:b w:val="0"/>
          <w:i w:val="0"/>
        </w:rPr>
        <w:t xml:space="preserve">; </w:t>
      </w:r>
      <w:r>
        <w:rPr>
          <w:b w:val="0"/>
          <w:i/>
        </w:rPr>
        <w:t>Puncta</w:t>
      </w:r>
      <w:r>
        <w:rPr>
          <w:b w:val="0"/>
          <w:i w:val="0"/>
        </w:rPr>
        <w:t xml:space="preserve">; </w:t>
      </w:r>
      <w:r>
        <w:rPr>
          <w:b w:val="0"/>
          <w:i/>
        </w:rPr>
        <w:t>punctis</w:t>
      </w:r>
      <w:r>
        <w:rPr>
          <w:b w:val="0"/>
          <w:i w:val="0"/>
        </w:rPr>
        <w:t xml:space="preserve">; </w:t>
      </w:r>
      <w:r>
        <w:rPr>
          <w:b w:val="0"/>
          <w:i/>
        </w:rPr>
        <w:t>puncto</w:t>
      </w:r>
      <w:r>
        <w:rPr>
          <w:b w:val="0"/>
          <w:i w:val="0"/>
        </w:rPr>
        <w:t xml:space="preserve">; </w:t>
      </w:r>
      <w:r>
        <w:rPr>
          <w:b w:val="0"/>
          <w:i/>
        </w:rPr>
        <w:t>punctorum</w:t>
      </w:r>
      <w:r>
        <w:rPr>
          <w:b w:val="0"/>
          <w:i w:val="0"/>
        </w:rPr>
        <w:t xml:space="preserve">; </w:t>
      </w:r>
      <w:r>
        <w:rPr>
          <w:b w:val="0"/>
          <w:i/>
        </w:rPr>
        <w:t>punctum</w:t>
      </w:r>
      <w:r>
        <w:rPr>
          <w:b w:val="0"/>
          <w:i w:val="0"/>
        </w:rPr>
        <w:t xml:space="preserve">; </w:t>
      </w:r>
      <w:r>
        <w:rPr>
          <w:b w:val="0"/>
          <w:i/>
        </w:rPr>
        <w:t>Punctum</w:t>
      </w:r>
      <w:r>
        <w:rPr>
          <w:b w:val="0"/>
          <w:i w:val="0"/>
        </w:rPr>
        <w:t>.</w:t>
      </w:r>
    </w:p>
    <w:p>
      <w:pPr>
        <w:widowControl/>
      </w:pPr>
      <w:r>
        <w:rPr>
          <w:b w:val="0"/>
          <w:i w:val="0"/>
        </w:rPr>
        <w:t xml:space="preserve">A point, the indivisible boundary invoked in the contact argument. If only a point touches the indivisible, the divisible body as such is not the contacting term. References: </w:t>
      </w:r>
      <w:hyperlink w:anchor="passage-v-6-1">
        <w:r>
          <w:rPr>
            <w:color w:val="000000"/>
          </w:rPr>
          <w:t xml:space="preserve">V.6.1</w:t>
        </w:r>
      </w:hyperlink>
      <w:r>
        <w:rPr>
          <w:b w:val="0"/>
          <w:i w:val="0"/>
        </w:rPr>
        <w:t xml:space="preserve">. See </w:t>
      </w:r>
      <w:hyperlink w:anchor="indivisibility-and-contact">
        <w:r>
          <w:rPr>
            <w:color w:val="000000"/>
          </w:rPr>
          <w:t xml:space="preserve">Indivisibility and contact</w:t>
        </w:r>
      </w:hyperlink>
      <w:r>
        <w:rPr>
          <w:b w:val="0"/>
          <w:i w:val="0"/>
        </w:rPr>
        <w:t>.</w:t>
      </w:r>
    </w:p>
    <w:p>
      <w:pPr>
        <w:widowControl/>
      </w:pPr>
      <w:r>
        <w:rPr>
          <w:b w:val="0"/>
          <w:i w:val="0"/>
        </w:rPr>
        <w:t xml:space="preserve">A nonextended limit of magnitude; it is not an independently actual microscopic body. The three-point dilemma shows why juxtaposed points cannot supply extension or an independent bodily seat for intelligence. References: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5-1">
        <w:r>
          <w:rPr>
            <w:color w:val="000000"/>
          </w:rPr>
          <w:t xml:space="preserve">VIII.5.1</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1268" w:name="latin-record-1027"/>
      <w:bookmarkEnd w:id="1268"/>
      <w:r>
        <w:rPr>
          <w:b/>
          <w:i w:val="0"/>
        </w:rPr>
        <w:t>punctum / linea</w:t>
      </w:r>
      <w:r>
        <w:rPr>
          <w:b/>
          <w:i w:val="0"/>
        </w:rPr>
        <w:t>.</w:t>
      </w:r>
      <w:r>
        <w:rPr>
          <w:b w:val="0"/>
          <w:i w:val="0"/>
        </w:rPr>
        <w:t xml:space="preserve"> Printed forms: </w:t>
      </w:r>
      <w:r>
        <w:rPr>
          <w:b w:val="0"/>
          <w:i/>
        </w:rPr>
        <w:t>linea</w:t>
      </w:r>
      <w:r>
        <w:rPr>
          <w:b w:val="0"/>
          <w:i w:val="0"/>
        </w:rPr>
        <w:t xml:space="preserve">; </w:t>
      </w:r>
      <w:r>
        <w:rPr>
          <w:b w:val="0"/>
          <w:i/>
        </w:rPr>
        <w:t>lineae</w:t>
      </w:r>
      <w:r>
        <w:rPr>
          <w:b w:val="0"/>
          <w:i w:val="0"/>
        </w:rPr>
        <w:t xml:space="preserve">; </w:t>
      </w:r>
      <w:r>
        <w:rPr>
          <w:b w:val="0"/>
          <w:i/>
        </w:rPr>
        <w:t>lineam</w:t>
      </w:r>
      <w:r>
        <w:rPr>
          <w:b w:val="0"/>
          <w:i w:val="0"/>
        </w:rPr>
        <w:t xml:space="preserve">; </w:t>
      </w:r>
      <w:r>
        <w:rPr>
          <w:b w:val="0"/>
          <w:i/>
        </w:rPr>
        <w:t>punctum</w:t>
      </w:r>
      <w:r>
        <w:rPr>
          <w:b w:val="0"/>
          <w:i w:val="0"/>
        </w:rPr>
        <w:t>.</w:t>
      </w:r>
    </w:p>
    <w:p>
      <w:pPr>
        <w:widowControl/>
      </w:pPr>
      <w:r>
        <w:rPr>
          <w:b w:val="0"/>
          <w:i w:val="0"/>
        </w:rPr>
        <w:t xml:space="preserve">An indivisible point and an extended line used as rival models. The a–b model asks whether separate or shared access at endpoints can explain one comparison. A point is not thereby identified with soul. References: </w:t>
      </w:r>
      <w:hyperlink w:anchor="passage-vii-2-2">
        <w:r>
          <w:rPr>
            <w:color w:val="000000"/>
          </w:rPr>
          <w:t xml:space="preserve">VII.2.2</w:t>
        </w:r>
      </w:hyperlink>
      <w:r>
        <w:rPr>
          <w:b w:val="0"/>
          <w:i w:val="0"/>
        </w:rPr>
        <w:t xml:space="preserve">. See </w:t>
      </w:r>
      <w:hyperlink w:anchor="vii-point-line">
        <w:r>
          <w:rPr>
            <w:color w:val="000000"/>
          </w:rPr>
          <w:t xml:space="preserve">Point, line and the comparing power</w:t>
        </w:r>
      </w:hyperlink>
      <w:r>
        <w:rPr>
          <w:b w:val="0"/>
          <w:i w:val="0"/>
        </w:rPr>
        <w:t>.</w:t>
      </w:r>
    </w:p>
    <w:p>
      <w:pPr>
        <w:keepNext/>
        <w:widowControl/>
      </w:pPr>
      <w:bookmarkStart w:id="1269" w:name="latin-record-1028"/>
      <w:bookmarkEnd w:id="1269"/>
      <w:r>
        <w:rPr>
          <w:b/>
          <w:i w:val="0"/>
        </w:rPr>
        <w:t>punctum lucidum</w:t>
      </w:r>
      <w:r>
        <w:rPr>
          <w:b/>
          <w:i w:val="0"/>
        </w:rPr>
        <w:t>.</w:t>
      </w:r>
      <w:r>
        <w:rPr>
          <w:b w:val="0"/>
          <w:i w:val="0"/>
        </w:rPr>
        <w:t xml:space="preserve"> Printed forms: </w:t>
      </w:r>
      <w:r>
        <w:rPr>
          <w:b w:val="0"/>
          <w:i/>
        </w:rPr>
        <w:t>punctum aliquod lucidum</w:t>
      </w:r>
      <w:r>
        <w:rPr>
          <w:b w:val="0"/>
          <w:i w:val="0"/>
        </w:rPr>
        <w:t>.</w:t>
      </w:r>
    </w:p>
    <w:p>
      <w:pPr>
        <w:widowControl/>
      </w:pPr>
      <w:r>
        <w:rPr>
          <w:b w:val="0"/>
          <w:i w:val="0"/>
        </w:rPr>
        <w:t xml:space="preserve">A luminous point within a privileged qualitative and bodily seat. The third position makes it govern other members from heart or brain, preserving local dependence despite its apparent purity. References: </w:t>
      </w:r>
      <w:hyperlink w:anchor="passage-vi-1-4">
        <w:r>
          <w:rPr>
            <w:color w:val="000000"/>
          </w:rPr>
          <w:t xml:space="preserve">VI.1.4</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270" w:name="latin-record-1029"/>
      <w:bookmarkEnd w:id="1270"/>
      <w:r>
        <w:rPr>
          <w:b/>
          <w:i w:val="0"/>
        </w:rPr>
        <w:t>pura potentia</w:t>
      </w:r>
      <w:r>
        <w:rPr>
          <w:b/>
          <w:i w:val="0"/>
        </w:rPr>
        <w:t>.</w:t>
      </w:r>
      <w:r>
        <w:rPr>
          <w:b w:val="0"/>
          <w:i w:val="0"/>
        </w:rPr>
        <w:t xml:space="preserve"> Printed forms: </w:t>
      </w:r>
      <w:r>
        <w:rPr>
          <w:b w:val="0"/>
          <w:i/>
        </w:rPr>
        <w:t>prima informisque potentia</w:t>
      </w:r>
      <w:r>
        <w:rPr>
          <w:b w:val="0"/>
          <w:i w:val="0"/>
        </w:rPr>
        <w:t xml:space="preserve">; </w:t>
      </w:r>
      <w:r>
        <w:rPr>
          <w:b w:val="0"/>
          <w:i/>
        </w:rPr>
        <w:t>pura potentia</w:t>
      </w:r>
      <w:r>
        <w:rPr>
          <w:b w:val="0"/>
          <w:i w:val="0"/>
        </w:rPr>
        <w:t>.</w:t>
      </w:r>
    </w:p>
    <w:p>
      <w:pPr>
        <w:widowControl/>
      </w:pPr>
      <w:r>
        <w:rPr>
          <w:b w:val="0"/>
          <w:i w:val="0"/>
        </w:rPr>
        <w:t xml:space="preserve">Pure receptive potency without a form proper to itself. Prime matter stands opposite God as pure act and receives forms without possessing their opposed qualities by its own nature. References: </w:t>
      </w:r>
      <w:hyperlink w:anchor="passage-v-4-1">
        <w:r>
          <w:rPr>
            <w:color w:val="000000"/>
          </w:rPr>
          <w:t xml:space="preserve">V.4.1</w:t>
        </w:r>
      </w:hyperlink>
      <w:r>
        <w:rPr>
          <w:b w:val="0"/>
          <w:i w:val="0"/>
        </w:rPr>
        <w:t xml:space="preserve">, </w:t>
      </w:r>
      <w:hyperlink w:anchor="passage-v-4-9">
        <w:r>
          <w:rPr>
            <w:color w:val="000000"/>
          </w:rPr>
          <w:t xml:space="preserve">V.4.9</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1271" w:name="latin-record-1030"/>
      <w:bookmarkEnd w:id="1271"/>
      <w:r>
        <w:rPr>
          <w:b/>
          <w:i w:val="0"/>
        </w:rPr>
        <w:t>purificare; purus</w:t>
      </w:r>
      <w:r>
        <w:rPr>
          <w:b/>
          <w:i w:val="0"/>
        </w:rPr>
        <w:t>.</w:t>
      </w:r>
      <w:r>
        <w:rPr>
          <w:b w:val="0"/>
          <w:i w:val="0"/>
        </w:rPr>
        <w:t xml:space="preserve"> Printed forms: </w:t>
      </w:r>
      <w:r>
        <w:rPr>
          <w:b w:val="0"/>
          <w:i/>
        </w:rPr>
        <w:t>pura</w:t>
      </w:r>
      <w:r>
        <w:rPr>
          <w:b w:val="0"/>
          <w:i w:val="0"/>
        </w:rPr>
        <w:t xml:space="preserve">; </w:t>
      </w:r>
      <w:r>
        <w:rPr>
          <w:b w:val="0"/>
          <w:i/>
        </w:rPr>
        <w:t>puram</w:t>
      </w:r>
      <w:r>
        <w:rPr>
          <w:b w:val="0"/>
          <w:i w:val="0"/>
        </w:rPr>
        <w:t xml:space="preserve">; </w:t>
      </w:r>
      <w:r>
        <w:rPr>
          <w:b w:val="0"/>
          <w:i/>
        </w:rPr>
        <w:t>Purificentur</w:t>
      </w:r>
      <w:r>
        <w:rPr>
          <w:b w:val="0"/>
          <w:i w:val="0"/>
        </w:rPr>
        <w:t>.</w:t>
      </w:r>
    </w:p>
    <w:p>
      <w:pPr>
        <w:widowControl/>
      </w:pPr>
      <w:r>
        <w:rPr>
          <w:b w:val="0"/>
          <w:i w:val="0"/>
        </w:rPr>
        <w:t xml:space="preserve">To purify and to be free from bodily or vicious admixture in the relevant act. The discipline is offered as a change in conditions of cognition, not as a physical procedure for removing the body. References: </w:t>
      </w:r>
      <w:hyperlink w:anchor="passage-vi-2-3">
        <w:r>
          <w:rPr>
            <w:color w:val="000000"/>
          </w:rPr>
          <w:t xml:space="preserve">VI.2.3</w:t>
        </w:r>
      </w:hyperlink>
      <w:r>
        <w:rPr>
          <w:b w:val="0"/>
          <w:i w:val="0"/>
        </w:rPr>
        <w:t xml:space="preserve">, </w:t>
      </w:r>
      <w:hyperlink w:anchor="passage-vi-2-10">
        <w:r>
          <w:rPr>
            <w:color w:val="000000"/>
          </w:rPr>
          <w:t xml:space="preserve">VI.2.10</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1272" w:name="latin-record-1031"/>
      <w:bookmarkEnd w:id="1272"/>
      <w:r>
        <w:rPr>
          <w:b/>
          <w:i w:val="0"/>
        </w:rPr>
        <w:t>purus / crassus / terrenus</w:t>
      </w:r>
      <w:r>
        <w:rPr>
          <w:b/>
          <w:i w:val="0"/>
        </w:rPr>
        <w:t>.</w:t>
      </w:r>
      <w:r>
        <w:rPr>
          <w:b w:val="0"/>
          <w:i w:val="0"/>
        </w:rPr>
        <w:t xml:space="preserve"> Printed forms: </w:t>
      </w:r>
      <w:r>
        <w:rPr>
          <w:b w:val="0"/>
          <w:i/>
        </w:rPr>
        <w:t>crasso</w:t>
      </w:r>
      <w:r>
        <w:rPr>
          <w:b w:val="0"/>
          <w:i w:val="0"/>
        </w:rPr>
        <w:t xml:space="preserve">; </w:t>
      </w:r>
      <w:r>
        <w:rPr>
          <w:b w:val="0"/>
          <w:i/>
        </w:rPr>
        <w:t>purissima</w:t>
      </w:r>
      <w:r>
        <w:rPr>
          <w:b w:val="0"/>
          <w:i w:val="0"/>
        </w:rPr>
        <w:t xml:space="preserve">; </w:t>
      </w:r>
      <w:r>
        <w:rPr>
          <w:b w:val="0"/>
          <w:i/>
        </w:rPr>
        <w:t>terreno</w:t>
      </w:r>
      <w:r>
        <w:rPr>
          <w:b w:val="0"/>
          <w:i w:val="0"/>
        </w:rPr>
        <w:t>.</w:t>
      </w:r>
    </w:p>
    <w:p>
      <w:pPr>
        <w:widowControl/>
      </w:pPr>
      <w:r>
        <w:rPr>
          <w:b w:val="0"/>
          <w:i w:val="0"/>
        </w:rPr>
        <w:t xml:space="preserve">Pure, gross and earthly as terms marking distance between soul and body. Their opposition motivates a mediating spirit rather than a direct equivalence of soul and bodily material.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1273" w:name="latin-record-1032"/>
      <w:bookmarkEnd w:id="1273"/>
      <w:r>
        <w:rPr>
          <w:b/>
          <w:i w:val="0"/>
        </w:rPr>
        <w:t>purus / unus / stabilis (intellectual consideration)</w:t>
      </w:r>
      <w:r>
        <w:rPr>
          <w:b/>
          <w:i w:val="0"/>
        </w:rPr>
        <w:t>.</w:t>
      </w:r>
      <w:r>
        <w:rPr>
          <w:b w:val="0"/>
          <w:i w:val="0"/>
        </w:rPr>
        <w:t xml:space="preserve"> Printed forms: </w:t>
      </w:r>
      <w:r>
        <w:rPr>
          <w:b w:val="0"/>
          <w:i/>
        </w:rPr>
        <w:t>pura</w:t>
      </w:r>
      <w:r>
        <w:rPr>
          <w:b w:val="0"/>
          <w:i w:val="0"/>
        </w:rPr>
        <w:t xml:space="preserve">; </w:t>
      </w:r>
      <w:r>
        <w:rPr>
          <w:b w:val="0"/>
          <w:i/>
        </w:rPr>
        <w:t>stabilia</w:t>
      </w:r>
      <w:r>
        <w:rPr>
          <w:b w:val="0"/>
          <w:i w:val="0"/>
        </w:rPr>
        <w:t xml:space="preserve">; </w:t>
      </w:r>
      <w:r>
        <w:rPr>
          <w:b w:val="0"/>
          <w:i/>
        </w:rPr>
        <w:t>unum</w:t>
      </w:r>
      <w:r>
        <w:rPr>
          <w:b w:val="0"/>
          <w:i w:val="0"/>
        </w:rPr>
        <w:t>.</w:t>
      </w:r>
    </w:p>
    <w:p>
      <w:pPr>
        <w:widowControl/>
      </w:pPr>
      <w:r>
        <w:rPr>
          <w:b w:val="0"/>
          <w:i w:val="0"/>
        </w:rPr>
        <w:t xml:space="preserve">Pure, one and stable as ways in which intellect considers objects otherwise impure, many or moving. Mind distinguishes mixed qualities under their proper accounts, understands many humans under one species, and gathers past and future with the present. These contrasts concern intellectual apprehension; they do not make material things physically pure, numerically one or motionless. References: </w:t>
      </w:r>
      <w:hyperlink w:anchor="passage-viii-14-1">
        <w:r>
          <w:rPr>
            <w:color w:val="000000"/>
          </w:rPr>
          <w:t xml:space="preserve">VIII.14.1</w:t>
        </w:r>
      </w:hyperlink>
      <w:r>
        <w:rPr>
          <w:b w:val="0"/>
          <w:i w:val="0"/>
        </w:rPr>
        <w:t xml:space="preserve">. See </w:t>
      </w:r>
      <w:hyperlink w:anchor="viii-mind-transforms">
        <w:r>
          <w:rPr>
            <w:color w:val="000000"/>
          </w:rPr>
          <w:t xml:space="preserve">Mind’s transformation of material conditions</w:t>
        </w:r>
      </w:hyperlink>
      <w:r>
        <w:rPr>
          <w:b w:val="0"/>
          <w:i w:val="0"/>
        </w:rPr>
        <w:t>.</w:t>
      </w:r>
    </w:p>
    <w:p>
      <w:pPr>
        <w:keepNext/>
        <w:widowControl/>
      </w:pPr>
      <w:bookmarkStart w:id="1274" w:name="latin-record-1033"/>
      <w:bookmarkEnd w:id="1274"/>
      <w:r>
        <w:rPr>
          <w:b/>
          <w:i w:val="0"/>
        </w:rPr>
        <w:t>pusillanimis; hebes; obliviosus</w:t>
      </w:r>
      <w:r>
        <w:rPr>
          <w:b/>
          <w:i w:val="0"/>
        </w:rPr>
        <w:t>.</w:t>
      </w:r>
      <w:r>
        <w:rPr>
          <w:b w:val="0"/>
          <w:i w:val="0"/>
        </w:rPr>
        <w:t xml:space="preserve"> Printed forms: </w:t>
      </w:r>
      <w:r>
        <w:rPr>
          <w:b w:val="0"/>
          <w:i/>
        </w:rPr>
        <w:t>hebes</w:t>
      </w:r>
      <w:r>
        <w:rPr>
          <w:b w:val="0"/>
          <w:i w:val="0"/>
        </w:rPr>
        <w:t xml:space="preserve">; </w:t>
      </w:r>
      <w:r>
        <w:rPr>
          <w:b w:val="0"/>
          <w:i/>
        </w:rPr>
        <w:t>obliviosa</w:t>
      </w:r>
      <w:r>
        <w:rPr>
          <w:b w:val="0"/>
          <w:i w:val="0"/>
        </w:rPr>
        <w:t xml:space="preserve">; </w:t>
      </w:r>
      <w:r>
        <w:rPr>
          <w:b w:val="0"/>
          <w:i/>
        </w:rPr>
        <w:t>pusillanimis</w:t>
      </w:r>
      <w:r>
        <w:rPr>
          <w:b w:val="0"/>
          <w:i w:val="0"/>
        </w:rPr>
        <w:t>.</w:t>
      </w:r>
    </w:p>
    <w:p>
      <w:pPr>
        <w:widowControl/>
      </w:pPr>
      <w:r>
        <w:rPr>
          <w:b w:val="0"/>
          <w:i w:val="0"/>
        </w:rPr>
        <w:t xml:space="preserve">Small-souled, dull and forgetful. Literal smallness of soul is made to yield absurd mental consequences under the bodily-quantity hypothesis. References: </w:t>
      </w:r>
      <w:hyperlink w:anchor="passage-vi-13-2">
        <w:r>
          <w:rPr>
            <w:color w:val="000000"/>
          </w:rPr>
          <w:t xml:space="preserve">VI.13.2</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1275" w:name="latin-record-1034"/>
      <w:bookmarkEnd w:id="1275"/>
      <w:r>
        <w:rPr>
          <w:b/>
          <w:i w:val="0"/>
        </w:rPr>
        <w:t>putare; existimare; arbitrari</w:t>
      </w:r>
      <w:r>
        <w:rPr>
          <w:b/>
          <w:i w:val="0"/>
        </w:rPr>
        <w:t>.</w:t>
      </w:r>
      <w:r>
        <w:rPr>
          <w:b w:val="0"/>
          <w:i w:val="0"/>
        </w:rPr>
        <w:t xml:space="preserve"> Printed forms: </w:t>
      </w:r>
      <w:r>
        <w:rPr>
          <w:b w:val="0"/>
          <w:i/>
        </w:rPr>
        <w:t>arbitrantes</w:t>
      </w:r>
      <w:r>
        <w:rPr>
          <w:b w:val="0"/>
          <w:i w:val="0"/>
        </w:rPr>
        <w:t xml:space="preserve">; </w:t>
      </w:r>
      <w:r>
        <w:rPr>
          <w:b w:val="0"/>
          <w:i/>
        </w:rPr>
        <w:t>arbitretur</w:t>
      </w:r>
      <w:r>
        <w:rPr>
          <w:b w:val="0"/>
          <w:i w:val="0"/>
        </w:rPr>
        <w:t xml:space="preserve">; </w:t>
      </w:r>
      <w:r>
        <w:rPr>
          <w:b w:val="0"/>
          <w:i/>
        </w:rPr>
        <w:t>existimabit</w:t>
      </w:r>
      <w:r>
        <w:rPr>
          <w:b w:val="0"/>
          <w:i w:val="0"/>
        </w:rPr>
        <w:t xml:space="preserve">; </w:t>
      </w:r>
      <w:r>
        <w:rPr>
          <w:b w:val="0"/>
          <w:i/>
        </w:rPr>
        <w:t>existimabunt</w:t>
      </w:r>
      <w:r>
        <w:rPr>
          <w:b w:val="0"/>
          <w:i w:val="0"/>
        </w:rPr>
        <w:t xml:space="preserve">; </w:t>
      </w:r>
      <w:r>
        <w:rPr>
          <w:b w:val="0"/>
          <w:i/>
        </w:rPr>
        <w:t>existimant</w:t>
      </w:r>
      <w:r>
        <w:rPr>
          <w:b w:val="0"/>
          <w:i w:val="0"/>
        </w:rPr>
        <w:t xml:space="preserve">; </w:t>
      </w:r>
      <w:r>
        <w:rPr>
          <w:b w:val="0"/>
          <w:i/>
        </w:rPr>
        <w:t>existimet</w:t>
      </w:r>
      <w:r>
        <w:rPr>
          <w:b w:val="0"/>
          <w:i w:val="0"/>
        </w:rPr>
        <w:t xml:space="preserve">; </w:t>
      </w:r>
      <w:r>
        <w:rPr>
          <w:b w:val="0"/>
          <w:i/>
        </w:rPr>
        <w:t>existimo</w:t>
      </w:r>
      <w:r>
        <w:rPr>
          <w:b w:val="0"/>
          <w:i w:val="0"/>
        </w:rPr>
        <w:t xml:space="preserve">; </w:t>
      </w:r>
      <w:r>
        <w:rPr>
          <w:b w:val="0"/>
          <w:i/>
        </w:rPr>
        <w:t>putamus</w:t>
      </w:r>
      <w:r>
        <w:rPr>
          <w:b w:val="0"/>
          <w:i w:val="0"/>
        </w:rPr>
        <w:t xml:space="preserve">; </w:t>
      </w:r>
      <w:r>
        <w:rPr>
          <w:b w:val="0"/>
          <w:i/>
        </w:rPr>
        <w:t>putanda</w:t>
      </w:r>
      <w:r>
        <w:rPr>
          <w:b w:val="0"/>
          <w:i w:val="0"/>
        </w:rPr>
        <w:t xml:space="preserve">; </w:t>
      </w:r>
      <w:r>
        <w:rPr>
          <w:b w:val="0"/>
          <w:i/>
        </w:rPr>
        <w:t>putant</w:t>
      </w:r>
      <w:r>
        <w:rPr>
          <w:b w:val="0"/>
          <w:i w:val="0"/>
        </w:rPr>
        <w:t xml:space="preserve">; </w:t>
      </w:r>
      <w:r>
        <w:rPr>
          <w:b w:val="0"/>
          <w:i/>
        </w:rPr>
        <w:t>putaret</w:t>
      </w:r>
      <w:r>
        <w:rPr>
          <w:b w:val="0"/>
          <w:i w:val="0"/>
        </w:rPr>
        <w:t xml:space="preserve">; </w:t>
      </w:r>
      <w:r>
        <w:rPr>
          <w:b w:val="0"/>
          <w:i/>
        </w:rPr>
        <w:t>putas</w:t>
      </w:r>
      <w:r>
        <w:rPr>
          <w:b w:val="0"/>
          <w:i w:val="0"/>
        </w:rPr>
        <w:t>.</w:t>
      </w:r>
    </w:p>
    <w:p>
      <w:pPr>
        <w:widowControl/>
      </w:pPr>
      <w:r>
        <w:rPr>
          <w:b w:val="0"/>
          <w:i w:val="0"/>
        </w:rPr>
        <w:t xml:space="preserve">To think, judge or suppose, with degrees of commitment determined by context. Ficino’s judgements, ancient attributions and the mistaken beliefs of shadow-viewers use these verbs differently; none automatically means an established demonstration. References: </w:t>
      </w:r>
      <w:hyperlink w:anchor="passage-vi-1-2">
        <w:r>
          <w:rPr>
            <w:color w:val="000000"/>
          </w:rPr>
          <w:t xml:space="preserve">VI.1.2</w:t>
        </w:r>
      </w:hyperlink>
      <w:r>
        <w:rPr>
          <w:b w:val="0"/>
          <w:i w:val="0"/>
        </w:rPr>
        <w:t xml:space="preserve">, </w:t>
      </w:r>
      <w:hyperlink w:anchor="passage-vi-2-1">
        <w:r>
          <w:rPr>
            <w:color w:val="000000"/>
          </w:rPr>
          <w:t xml:space="preserve">VI.2.1</w:t>
        </w:r>
      </w:hyperlink>
      <w:r>
        <w:rPr>
          <w:b w:val="0"/>
          <w:i w:val="0"/>
        </w:rPr>
        <w:t xml:space="preserve">, </w:t>
      </w:r>
      <w:hyperlink w:anchor="passage-vi-2-3">
        <w:r>
          <w:rPr>
            <w:color w:val="000000"/>
          </w:rPr>
          <w:t xml:space="preserve">VI.2.3</w:t>
        </w:r>
      </w:hyperlink>
      <w:r>
        <w:rPr>
          <w:b w:val="0"/>
          <w:i w:val="0"/>
        </w:rPr>
        <w:t xml:space="preserve">, </w:t>
      </w:r>
      <w:hyperlink w:anchor="passage-vi-2-4">
        <w:r>
          <w:rPr>
            <w:color w:val="000000"/>
          </w:rPr>
          <w:t xml:space="preserve">VI.2.4</w:t>
        </w:r>
      </w:hyperlink>
      <w:r>
        <w:rPr>
          <w:b w:val="0"/>
          <w:i w:val="0"/>
        </w:rPr>
        <w:t xml:space="preserve">, </w:t>
      </w:r>
      <w:hyperlink w:anchor="passage-vi-2-9">
        <w:r>
          <w:rPr>
            <w:color w:val="000000"/>
          </w:rPr>
          <w:t xml:space="preserve">VI.2.9</w:t>
        </w:r>
      </w:hyperlink>
      <w:r>
        <w:rPr>
          <w:b w:val="0"/>
          <w:i w:val="0"/>
        </w:rPr>
        <w:t xml:space="preserve">, </w:t>
      </w:r>
      <w:hyperlink w:anchor="passage-vi-2-13">
        <w:r>
          <w:rPr>
            <w:color w:val="000000"/>
          </w:rPr>
          <w:t xml:space="preserve">VI.2.13</w:t>
        </w:r>
      </w:hyperlink>
      <w:r>
        <w:rPr>
          <w:b w:val="0"/>
          <w:i w:val="0"/>
        </w:rPr>
        <w:t xml:space="preserve">, </w:t>
      </w:r>
      <w:hyperlink w:anchor="passage-vi-2-14">
        <w:r>
          <w:rPr>
            <w:color w:val="000000"/>
          </w:rPr>
          <w:t xml:space="preserve">VI.2.14</w:t>
        </w:r>
      </w:hyperlink>
      <w:r>
        <w:rPr>
          <w:b w:val="0"/>
          <w:i w:val="0"/>
        </w:rPr>
        <w:t xml:space="preserve">, </w:t>
      </w:r>
      <w:hyperlink w:anchor="passage-vi-2-15">
        <w:r>
          <w:rPr>
            <w:color w:val="000000"/>
          </w:rPr>
          <w:t xml:space="preserve">VI.2.15</w:t>
        </w:r>
      </w:hyperlink>
      <w:r>
        <w:rPr>
          <w:b w:val="0"/>
          <w:i w:val="0"/>
        </w:rPr>
        <w:t xml:space="preserve">, </w:t>
      </w:r>
      <w:hyperlink w:anchor="passage-vi-8-6">
        <w:r>
          <w:rPr>
            <w:color w:val="000000"/>
          </w:rPr>
          <w:t xml:space="preserve">VI.8.6</w:t>
        </w:r>
      </w:hyperlink>
      <w:r>
        <w:rPr>
          <w:b w:val="0"/>
          <w:i w:val="0"/>
        </w:rPr>
        <w:t xml:space="preserve">, </w:t>
      </w:r>
      <w:hyperlink w:anchor="passage-vi-11-1">
        <w:r>
          <w:rPr>
            <w:color w:val="000000"/>
          </w:rPr>
          <w:t xml:space="preserve">VI.11.1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276" w:name="latin-record-1035"/>
      <w:bookmarkEnd w:id="1276"/>
      <w:r>
        <w:rPr>
          <w:b/>
          <w:i w:val="0"/>
        </w:rPr>
        <w:t>puteus; fundus</w:t>
      </w:r>
      <w:r>
        <w:rPr>
          <w:b/>
          <w:i w:val="0"/>
        </w:rPr>
        <w:t>.</w:t>
      </w:r>
      <w:r>
        <w:rPr>
          <w:b w:val="0"/>
          <w:i w:val="0"/>
        </w:rPr>
        <w:t xml:space="preserve"> Printed forms: </w:t>
      </w:r>
      <w:r>
        <w:rPr>
          <w:b w:val="0"/>
          <w:i/>
        </w:rPr>
        <w:t>fundo putei</w:t>
      </w:r>
      <w:r>
        <w:rPr>
          <w:b w:val="0"/>
          <w:i w:val="0"/>
        </w:rPr>
        <w:t xml:space="preserve">; </w:t>
      </w:r>
      <w:r>
        <w:rPr>
          <w:b w:val="0"/>
          <w:i/>
        </w:rPr>
        <w:t>puteum</w:t>
      </w:r>
      <w:r>
        <w:rPr>
          <w:b w:val="0"/>
          <w:i w:val="0"/>
        </w:rPr>
        <w:t>.</w:t>
      </w:r>
    </w:p>
    <w:p>
      <w:pPr>
        <w:widowControl/>
      </w:pPr>
      <w:r>
        <w:rPr>
          <w:b w:val="0"/>
          <w:i w:val="0"/>
        </w:rPr>
        <w:t xml:space="preserve">A well and its bottom. The boy standing above mistakes his shadow below for his own position; the direction of dependence drives the analogy. References: </w:t>
      </w:r>
      <w:hyperlink w:anchor="passage-vi-2-4">
        <w:r>
          <w:rPr>
            <w:color w:val="000000"/>
          </w:rPr>
          <w:t xml:space="preserve">VI.2.4</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1277" w:name="latin-record-1036"/>
      <w:bookmarkEnd w:id="1277"/>
      <w:r>
        <w:rPr>
          <w:b/>
          <w:i w:val="0"/>
        </w:rPr>
        <w:t>Pythagoras</w:t>
      </w:r>
      <w:r>
        <w:rPr>
          <w:b/>
          <w:i w:val="0"/>
        </w:rPr>
        <w:t>.</w:t>
      </w:r>
      <w:r>
        <w:rPr>
          <w:b w:val="0"/>
          <w:i w:val="0"/>
        </w:rPr>
        <w:t xml:space="preserve"> Printed forms: </w:t>
      </w:r>
      <w:r>
        <w:rPr>
          <w:b w:val="0"/>
          <w:i/>
        </w:rPr>
        <w:t>Pythagorae</w:t>
      </w:r>
      <w:r>
        <w:rPr>
          <w:b w:val="0"/>
          <w:i w:val="0"/>
        </w:rPr>
        <w:t>.</w:t>
      </w:r>
    </w:p>
    <w:p>
      <w:pPr>
        <w:widowControl/>
      </w:pPr>
      <w:r>
        <w:rPr>
          <w:b w:val="0"/>
          <w:i w:val="0"/>
        </w:rPr>
        <w:t xml:space="preserve">Pythagoras as Ficino’s named authority for an argument from the sphere’s lack of beginning and end. Ficino says he passes over the argument while briefly reporting it; the attribution is not an independently checked quotation. References: </w:t>
      </w:r>
      <w:hyperlink w:anchor="passage-v-1-4">
        <w:r>
          <w:rPr>
            <w:color w:val="000000"/>
          </w:rPr>
          <w:t xml:space="preserve">V.1.4</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1278" w:name="latin-record-1037"/>
      <w:bookmarkEnd w:id="1278"/>
      <w:r>
        <w:rPr>
          <w:b/>
          <w:i w:val="0"/>
        </w:rPr>
        <w:t>qua ratione</w:t>
      </w:r>
      <w:r>
        <w:rPr>
          <w:b/>
          <w:i w:val="0"/>
        </w:rPr>
        <w:t>.</w:t>
      </w:r>
      <w:r>
        <w:rPr>
          <w:b w:val="0"/>
          <w:i w:val="0"/>
        </w:rPr>
        <w:t xml:space="preserve"> Printed forms: </w:t>
      </w:r>
      <w:r>
        <w:rPr>
          <w:b w:val="0"/>
          <w:i/>
        </w:rPr>
        <w:t>alia quadam ratione</w:t>
      </w:r>
      <w:r>
        <w:rPr>
          <w:b w:val="0"/>
          <w:i w:val="0"/>
        </w:rPr>
        <w:t xml:space="preserve">; </w:t>
      </w:r>
      <w:r>
        <w:rPr>
          <w:b w:val="0"/>
          <w:i/>
        </w:rPr>
        <w:t>qua corpus est</w:t>
      </w:r>
      <w:r>
        <w:rPr>
          <w:b w:val="0"/>
          <w:i w:val="0"/>
        </w:rPr>
        <w:t>.</w:t>
      </w:r>
    </w:p>
    <w:p>
      <w:pPr>
        <w:widowControl/>
      </w:pPr>
      <w:r>
        <w:rPr>
          <w:b w:val="0"/>
          <w:i w:val="0"/>
        </w:rPr>
        <w:t xml:space="preserve">In virtue of being body or in virtue of a different explanatory account. The repeated test distinguishes what belongs to corporeality as such from the source of animal life. References: </w:t>
      </w:r>
      <w:hyperlink w:anchor="passage-vi-5-4">
        <w:r>
          <w:rPr>
            <w:color w:val="000000"/>
          </w:rPr>
          <w:t xml:space="preserve">VI.5.4</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279" w:name="latin-record-1038"/>
      <w:bookmarkEnd w:id="1279"/>
      <w:r>
        <w:rPr>
          <w:b/>
          <w:i w:val="0"/>
        </w:rPr>
        <w:t>qua ratione / quatenus</w:t>
      </w:r>
      <w:r>
        <w:rPr>
          <w:b/>
          <w:i w:val="0"/>
        </w:rPr>
        <w:t>.</w:t>
      </w:r>
      <w:r>
        <w:rPr>
          <w:b w:val="0"/>
          <w:i w:val="0"/>
        </w:rPr>
        <w:t xml:space="preserve"> Printed forms: </w:t>
      </w:r>
      <w:r>
        <w:rPr>
          <w:b w:val="0"/>
          <w:i/>
        </w:rPr>
        <w:t>qua ratione</w:t>
      </w:r>
      <w:r>
        <w:rPr>
          <w:b w:val="0"/>
          <w:i w:val="0"/>
        </w:rPr>
        <w:t xml:space="preserve">; </w:t>
      </w:r>
      <w:r>
        <w:rPr>
          <w:b w:val="0"/>
          <w:i/>
        </w:rPr>
        <w:t>quatenus</w:t>
      </w:r>
      <w:r>
        <w:rPr>
          <w:b w:val="0"/>
          <w:i w:val="0"/>
        </w:rPr>
        <w:t>.</w:t>
      </w:r>
    </w:p>
    <w:p>
      <w:pPr>
        <w:widowControl/>
      </w:pPr>
      <w:r>
        <w:rPr>
          <w:b w:val="0"/>
          <w:i w:val="0"/>
        </w:rPr>
        <w:t xml:space="preserve">Insofar as, or under the particular account specified. Mind as mind, humanity as humanity and a form as universal are aspectual claims; their qualifiers prevent conclusions from being generalized to every respect. References: </w:t>
      </w:r>
      <w:hyperlink w:anchor="passage-viii-2-8">
        <w:r>
          <w:rPr>
            <w:color w:val="000000"/>
          </w:rPr>
          <w:t xml:space="preserve">VIII.2.8</w:t>
        </w:r>
      </w:hyperlink>
      <w:r>
        <w:rPr>
          <w:b w:val="0"/>
          <w:i w:val="0"/>
        </w:rPr>
        <w:t xml:space="preserve">, </w:t>
      </w:r>
      <w:hyperlink w:anchor="passage-viii-4-10">
        <w:r>
          <w:rPr>
            <w:color w:val="000000"/>
          </w:rPr>
          <w:t xml:space="preserve">VIII.4.10</w:t>
        </w:r>
      </w:hyperlink>
      <w:r>
        <w:rPr>
          <w:b w:val="0"/>
          <w:i w:val="0"/>
        </w:rPr>
        <w:t xml:space="preserve">, </w:t>
      </w:r>
      <w:hyperlink w:anchor="passage-viii-16-1">
        <w:r>
          <w:rPr>
            <w:color w:val="000000"/>
          </w:rPr>
          <w:t xml:space="preserve">VIII.16.1</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1280" w:name="latin-record-1039"/>
      <w:bookmarkEnd w:id="1280"/>
      <w:r>
        <w:rPr>
          <w:b/>
          <w:i w:val="0"/>
        </w:rPr>
        <w:t>quadrangularis / circularis</w:t>
      </w:r>
      <w:r>
        <w:rPr>
          <w:b/>
          <w:i w:val="0"/>
        </w:rPr>
        <w:t>.</w:t>
      </w:r>
      <w:r>
        <w:rPr>
          <w:b w:val="0"/>
          <w:i w:val="0"/>
        </w:rPr>
        <w:t xml:space="preserve"> Printed forms: </w:t>
      </w:r>
      <w:r>
        <w:rPr>
          <w:b w:val="0"/>
          <w:i/>
        </w:rPr>
        <w:t>circularis</w:t>
      </w:r>
      <w:r>
        <w:rPr>
          <w:b w:val="0"/>
          <w:i w:val="0"/>
        </w:rPr>
        <w:t xml:space="preserve">; </w:t>
      </w:r>
      <w:r>
        <w:rPr>
          <w:b w:val="0"/>
          <w:i/>
        </w:rPr>
        <w:t>linea</w:t>
      </w:r>
      <w:r>
        <w:rPr>
          <w:b w:val="0"/>
          <w:i w:val="0"/>
        </w:rPr>
        <w:t xml:space="preserve">; </w:t>
      </w:r>
      <w:r>
        <w:rPr>
          <w:b w:val="0"/>
          <w:i/>
        </w:rPr>
        <w:t>quadrangularis</w:t>
      </w:r>
      <w:r>
        <w:rPr>
          <w:b w:val="0"/>
          <w:i w:val="0"/>
        </w:rPr>
        <w:t>.</w:t>
      </w:r>
    </w:p>
    <w:p>
      <w:pPr>
        <w:widowControl/>
      </w:pPr>
      <w:r>
        <w:rPr>
          <w:b w:val="0"/>
          <w:i w:val="0"/>
        </w:rPr>
        <w:t xml:space="preserve">Four-angled and circular, applied to a hypothetical line whose order changes. The comparison concerns increased evenness without greater length, illustrating nonquantitative perfection. References: </w:t>
      </w:r>
      <w:hyperlink w:anchor="passage-viii-2-4">
        <w:r>
          <w:rPr>
            <w:color w:val="000000"/>
          </w:rPr>
          <w:t xml:space="preserve">VIII.2.4</w:t>
        </w:r>
      </w:hyperlink>
      <w:r>
        <w:rPr>
          <w:b w:val="0"/>
          <w:i w:val="0"/>
        </w:rPr>
        <w:t xml:space="preserve">. See </w:t>
      </w:r>
      <w:hyperlink w:anchor="viii-virtue-equality">
        <w:r>
          <w:rPr>
            <w:color w:val="000000"/>
          </w:rPr>
          <w:t xml:space="preserve">Spiritual equality, the line, and the tuned lyre</w:t>
        </w:r>
      </w:hyperlink>
      <w:r>
        <w:rPr>
          <w:b w:val="0"/>
          <w:i w:val="0"/>
        </w:rPr>
        <w:t>.</w:t>
      </w:r>
    </w:p>
    <w:p>
      <w:pPr>
        <w:keepNext/>
        <w:widowControl/>
      </w:pPr>
      <w:bookmarkStart w:id="1281" w:name="latin-record-1040"/>
      <w:bookmarkEnd w:id="1281"/>
      <w:r>
        <w:rPr>
          <w:b/>
          <w:i w:val="0"/>
        </w:rPr>
        <w:t>quaerere / interrogare / percontari</w:t>
      </w:r>
      <w:r>
        <w:rPr>
          <w:b/>
          <w:i w:val="0"/>
        </w:rPr>
        <w:t>.</w:t>
      </w:r>
      <w:r>
        <w:rPr>
          <w:b w:val="0"/>
          <w:i w:val="0"/>
        </w:rPr>
        <w:t xml:space="preserve"> Printed forms: </w:t>
      </w:r>
      <w:r>
        <w:rPr>
          <w:b w:val="0"/>
          <w:i/>
        </w:rPr>
        <w:t>interrogabimus</w:t>
      </w:r>
      <w:r>
        <w:rPr>
          <w:b w:val="0"/>
          <w:i w:val="0"/>
        </w:rPr>
        <w:t xml:space="preserve">; </w:t>
      </w:r>
      <w:r>
        <w:rPr>
          <w:b w:val="0"/>
          <w:i/>
        </w:rPr>
        <w:t>interrogat</w:t>
      </w:r>
      <w:r>
        <w:rPr>
          <w:b w:val="0"/>
          <w:i w:val="0"/>
        </w:rPr>
        <w:t xml:space="preserve">; </w:t>
      </w:r>
      <w:r>
        <w:rPr>
          <w:b w:val="0"/>
          <w:i/>
        </w:rPr>
        <w:t>percontamur</w:t>
      </w:r>
      <w:r>
        <w:rPr>
          <w:b w:val="0"/>
          <w:i w:val="0"/>
        </w:rPr>
        <w:t xml:space="preserve">; </w:t>
      </w:r>
      <w:r>
        <w:rPr>
          <w:b w:val="0"/>
          <w:i/>
        </w:rPr>
        <w:t>quaeremus</w:t>
      </w:r>
      <w:r>
        <w:rPr>
          <w:b w:val="0"/>
          <w:i w:val="0"/>
        </w:rPr>
        <w:t xml:space="preserve">; </w:t>
      </w:r>
      <w:r>
        <w:rPr>
          <w:b w:val="0"/>
          <w:i/>
        </w:rPr>
        <w:t>quaerit</w:t>
      </w:r>
      <w:r>
        <w:rPr>
          <w:b w:val="0"/>
          <w:i w:val="0"/>
        </w:rPr>
        <w:t xml:space="preserve">; </w:t>
      </w:r>
      <w:r>
        <w:rPr>
          <w:b w:val="0"/>
          <w:i/>
        </w:rPr>
        <w:t>sciscitabimur</w:t>
      </w:r>
      <w:r>
        <w:rPr>
          <w:b w:val="0"/>
          <w:i w:val="0"/>
        </w:rPr>
        <w:t>.</w:t>
      </w:r>
    </w:p>
    <w:p>
      <w:pPr>
        <w:widowControl/>
      </w:pPr>
      <w:r>
        <w:rPr>
          <w:b w:val="0"/>
          <w:i w:val="0"/>
        </w:rPr>
        <w:t xml:space="preserve">Asking, interrogating and pressing a question through alternatives. The repeated questions organize dialectical tests of a bodily intellect and distinguish successive hypotheses rather than merely adding rhetorical ornament. References: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4-2">
        <w:r>
          <w:rPr>
            <w:color w:val="000000"/>
          </w:rPr>
          <w:t xml:space="preserve">VIII.4.2</w:t>
        </w:r>
      </w:hyperlink>
      <w:r>
        <w:rPr>
          <w:b w:val="0"/>
          <w:i w:val="0"/>
        </w:rPr>
        <w:t xml:space="preserve">, </w:t>
      </w:r>
      <w:hyperlink w:anchor="passage-viii-4-5">
        <w:r>
          <w:rPr>
            <w:color w:val="000000"/>
          </w:rPr>
          <w:t xml:space="preserve">VIII.4.5</w:t>
        </w:r>
      </w:hyperlink>
      <w:r>
        <w:rPr>
          <w:b w:val="0"/>
          <w:i w:val="0"/>
        </w:rPr>
        <w:t xml:space="preserve">, </w:t>
      </w:r>
      <w:hyperlink w:anchor="passage-viii-4-7">
        <w:r>
          <w:rPr>
            <w:color w:val="000000"/>
          </w:rPr>
          <w:t xml:space="preserve">VIII.4.7</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282" w:name="latin-record-1041"/>
      <w:bookmarkEnd w:id="1282"/>
      <w:r>
        <w:rPr>
          <w:b/>
          <w:i w:val="0"/>
        </w:rPr>
        <w:t>quaerere; interrogare; percontari</w:t>
      </w:r>
      <w:r>
        <w:rPr>
          <w:b/>
          <w:i w:val="0"/>
        </w:rPr>
        <w:t>.</w:t>
      </w:r>
      <w:r>
        <w:rPr>
          <w:b w:val="0"/>
          <w:i w:val="0"/>
        </w:rPr>
        <w:t xml:space="preserve"> Printed forms: </w:t>
      </w:r>
      <w:r>
        <w:rPr>
          <w:b w:val="0"/>
          <w:i/>
        </w:rPr>
        <w:t>interrogate</w:t>
      </w:r>
      <w:r>
        <w:rPr>
          <w:b w:val="0"/>
          <w:i w:val="0"/>
        </w:rPr>
        <w:t xml:space="preserve">; </w:t>
      </w:r>
      <w:r>
        <w:rPr>
          <w:b w:val="0"/>
          <w:i/>
        </w:rPr>
        <w:t>interroges</w:t>
      </w:r>
      <w:r>
        <w:rPr>
          <w:b w:val="0"/>
          <w:i w:val="0"/>
        </w:rPr>
        <w:t xml:space="preserve">; </w:t>
      </w:r>
      <w:r>
        <w:rPr>
          <w:b w:val="0"/>
          <w:i/>
        </w:rPr>
        <w:t>interrogo</w:t>
      </w:r>
      <w:r>
        <w:rPr>
          <w:b w:val="0"/>
          <w:i w:val="0"/>
        </w:rPr>
        <w:t xml:space="preserve">; </w:t>
      </w:r>
      <w:r>
        <w:rPr>
          <w:b w:val="0"/>
          <w:i/>
        </w:rPr>
        <w:t>percontabor</w:t>
      </w:r>
      <w:r>
        <w:rPr>
          <w:b w:val="0"/>
          <w:i w:val="0"/>
        </w:rPr>
        <w:t xml:space="preserve">; </w:t>
      </w:r>
      <w:r>
        <w:rPr>
          <w:b w:val="0"/>
          <w:i/>
        </w:rPr>
        <w:t>percontandum</w:t>
      </w:r>
      <w:r>
        <w:rPr>
          <w:b w:val="0"/>
          <w:i w:val="0"/>
        </w:rPr>
        <w:t xml:space="preserve">; </w:t>
      </w:r>
      <w:r>
        <w:rPr>
          <w:b w:val="0"/>
          <w:i/>
        </w:rPr>
        <w:t>percontatus</w:t>
      </w:r>
      <w:r>
        <w:rPr>
          <w:b w:val="0"/>
          <w:i w:val="0"/>
        </w:rPr>
        <w:t xml:space="preserve">; </w:t>
      </w:r>
      <w:r>
        <w:rPr>
          <w:b w:val="0"/>
          <w:i/>
        </w:rPr>
        <w:t>quaeram</w:t>
      </w:r>
      <w:r>
        <w:rPr>
          <w:b w:val="0"/>
          <w:i w:val="0"/>
        </w:rPr>
        <w:t xml:space="preserve">; </w:t>
      </w:r>
      <w:r>
        <w:rPr>
          <w:b w:val="0"/>
          <w:i/>
        </w:rPr>
        <w:t>quaeras</w:t>
      </w:r>
      <w:r>
        <w:rPr>
          <w:b w:val="0"/>
          <w:i w:val="0"/>
        </w:rPr>
        <w:t xml:space="preserve">; </w:t>
      </w:r>
      <w:r>
        <w:rPr>
          <w:b w:val="0"/>
          <w:i/>
        </w:rPr>
        <w:t>quaere</w:t>
      </w:r>
      <w:r>
        <w:rPr>
          <w:b w:val="0"/>
          <w:i w:val="0"/>
        </w:rPr>
        <w:t xml:space="preserve">; </w:t>
      </w:r>
      <w:r>
        <w:rPr>
          <w:b w:val="0"/>
          <w:i/>
        </w:rPr>
        <w:t>Quaeremus</w:t>
      </w:r>
      <w:r>
        <w:rPr>
          <w:b w:val="0"/>
          <w:i w:val="0"/>
        </w:rPr>
        <w:t xml:space="preserve">; </w:t>
      </w:r>
      <w:r>
        <w:rPr>
          <w:b w:val="0"/>
          <w:i/>
        </w:rPr>
        <w:t>quaeritur</w:t>
      </w:r>
      <w:r>
        <w:rPr>
          <w:b w:val="0"/>
          <w:i w:val="0"/>
        </w:rPr>
        <w:t xml:space="preserve">; </w:t>
      </w:r>
      <w:r>
        <w:rPr>
          <w:b w:val="0"/>
          <w:i/>
        </w:rPr>
        <w:t>rogaretur</w:t>
      </w:r>
      <w:r>
        <w:rPr>
          <w:b w:val="0"/>
          <w:i w:val="0"/>
        </w:rPr>
        <w:t xml:space="preserve">; </w:t>
      </w:r>
      <w:r>
        <w:rPr>
          <w:b w:val="0"/>
          <w:i/>
        </w:rPr>
        <w:t>rogaveris</w:t>
      </w:r>
      <w:r>
        <w:rPr>
          <w:b w:val="0"/>
          <w:i w:val="0"/>
        </w:rPr>
        <w:t xml:space="preserve">; </w:t>
      </w:r>
      <w:r>
        <w:rPr>
          <w:b w:val="0"/>
          <w:i/>
        </w:rPr>
        <w:t>sciscitabimur</w:t>
      </w:r>
      <w:r>
        <w:rPr>
          <w:b w:val="0"/>
          <w:i w:val="0"/>
        </w:rPr>
        <w:t xml:space="preserve">; </w:t>
      </w:r>
      <w:r>
        <w:rPr>
          <w:b w:val="0"/>
          <w:i/>
        </w:rPr>
        <w:t>sciscitamur</w:t>
      </w:r>
      <w:r>
        <w:rPr>
          <w:b w:val="0"/>
          <w:i w:val="0"/>
        </w:rPr>
        <w:t>.</w:t>
      </w:r>
    </w:p>
    <w:p>
      <w:pPr>
        <w:widowControl/>
      </w:pPr>
      <w:r>
        <w:rPr>
          <w:b w:val="0"/>
          <w:i w:val="0"/>
        </w:rPr>
        <w:t xml:space="preserve">To seek or question, with interrogation of faculties and opponents as distinct uses. The soul searches for itself, questions sense and mind, and tests a philosophical account through alternatives; inquiry is not itself endorsement of an answer. References: </w:t>
      </w:r>
      <w:hyperlink w:anchor="passage-vi-2-2">
        <w:r>
          <w:rPr>
            <w:color w:val="000000"/>
          </w:rPr>
          <w:t xml:space="preserve">VI.2.2</w:t>
        </w:r>
      </w:hyperlink>
      <w:r>
        <w:rPr>
          <w:b w:val="0"/>
          <w:i w:val="0"/>
        </w:rPr>
        <w:t xml:space="preserve">, </w:t>
      </w:r>
      <w:hyperlink w:anchor="passage-vi-2-3">
        <w:r>
          <w:rPr>
            <w:color w:val="000000"/>
          </w:rPr>
          <w:t xml:space="preserve">VI.2.3</w:t>
        </w:r>
      </w:hyperlink>
      <w:r>
        <w:rPr>
          <w:b w:val="0"/>
          <w:i w:val="0"/>
        </w:rPr>
        <w:t xml:space="preserve">, </w:t>
      </w:r>
      <w:hyperlink w:anchor="passage-vi-4-4">
        <w:r>
          <w:rPr>
            <w:color w:val="000000"/>
          </w:rPr>
          <w:t xml:space="preserve">VI.4.4</w:t>
        </w:r>
      </w:hyperlink>
      <w:r>
        <w:rPr>
          <w:b w:val="0"/>
          <w:i w:val="0"/>
        </w:rPr>
        <w:t xml:space="preserve">, </w:t>
      </w:r>
      <w:hyperlink w:anchor="passage-vi-5-2">
        <w:r>
          <w:rPr>
            <w:color w:val="000000"/>
          </w:rPr>
          <w:t xml:space="preserve">VI.5.2</w:t>
        </w:r>
      </w:hyperlink>
      <w:r>
        <w:rPr>
          <w:b w:val="0"/>
          <w:i w:val="0"/>
        </w:rPr>
        <w:t xml:space="preserve">, </w:t>
      </w:r>
      <w:hyperlink w:anchor="passage-vi-5-4">
        <w:r>
          <w:rPr>
            <w:color w:val="000000"/>
          </w:rPr>
          <w:t xml:space="preserve">VI.5.4</w:t>
        </w:r>
      </w:hyperlink>
      <w:r>
        <w:rPr>
          <w:b w:val="0"/>
          <w:i w:val="0"/>
        </w:rPr>
        <w:t xml:space="preserve">, </w:t>
      </w:r>
      <w:hyperlink w:anchor="passage-vi-6-3">
        <w:r>
          <w:rPr>
            <w:color w:val="000000"/>
          </w:rPr>
          <w:t xml:space="preserve">VI.6.3</w:t>
        </w:r>
      </w:hyperlink>
      <w:r>
        <w:rPr>
          <w:b w:val="0"/>
          <w:i w:val="0"/>
        </w:rPr>
        <w:t xml:space="preserve">, </w:t>
      </w:r>
      <w:hyperlink w:anchor="passage-vi-6-4">
        <w:r>
          <w:rPr>
            <w:color w:val="000000"/>
          </w:rPr>
          <w:t xml:space="preserve">VI.6.4</w:t>
        </w:r>
      </w:hyperlink>
      <w:r>
        <w:rPr>
          <w:b w:val="0"/>
          <w:i w:val="0"/>
        </w:rPr>
        <w:t xml:space="preserve">, </w:t>
      </w:r>
      <w:hyperlink w:anchor="passage-vi-11-1">
        <w:r>
          <w:rPr>
            <w:color w:val="000000"/>
          </w:rPr>
          <w:t xml:space="preserve">VI.11.1</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1283" w:name="latin-record-1042"/>
      <w:bookmarkEnd w:id="1283"/>
      <w:r>
        <w:rPr>
          <w:b/>
          <w:i w:val="0"/>
        </w:rPr>
        <w:t>qualitas</w:t>
      </w:r>
      <w:r>
        <w:rPr>
          <w:b/>
          <w:i w:val="0"/>
        </w:rPr>
        <w:t>.</w:t>
      </w:r>
      <w:r>
        <w:rPr>
          <w:b w:val="0"/>
          <w:i w:val="0"/>
        </w:rPr>
        <w:t xml:space="preserve"> Printed forms: </w:t>
      </w:r>
      <w:r>
        <w:rPr>
          <w:b w:val="0"/>
          <w:i/>
        </w:rPr>
        <w:t>qualitas</w:t>
      </w:r>
      <w:r>
        <w:rPr>
          <w:b w:val="0"/>
          <w:i w:val="0"/>
        </w:rPr>
        <w:t xml:space="preserve">; </w:t>
      </w:r>
      <w:r>
        <w:rPr>
          <w:b w:val="0"/>
          <w:i/>
        </w:rPr>
        <w:t>Qualitas</w:t>
      </w:r>
      <w:r>
        <w:rPr>
          <w:b w:val="0"/>
          <w:i w:val="0"/>
        </w:rPr>
        <w:t xml:space="preserve">; </w:t>
      </w:r>
      <w:r>
        <w:rPr>
          <w:b w:val="0"/>
          <w:i/>
        </w:rPr>
        <w:t>qualitate</w:t>
      </w:r>
      <w:r>
        <w:rPr>
          <w:b w:val="0"/>
          <w:i w:val="0"/>
        </w:rPr>
        <w:t xml:space="preserve">; </w:t>
      </w:r>
      <w:r>
        <w:rPr>
          <w:b w:val="0"/>
          <w:i/>
        </w:rPr>
        <w:t>qualitatem</w:t>
      </w:r>
      <w:r>
        <w:rPr>
          <w:b w:val="0"/>
          <w:i w:val="0"/>
        </w:rPr>
        <w:t xml:space="preserve">; </w:t>
      </w:r>
      <w:r>
        <w:rPr>
          <w:b w:val="0"/>
          <w:i/>
        </w:rPr>
        <w:t>qualitates</w:t>
      </w:r>
      <w:r>
        <w:rPr>
          <w:b w:val="0"/>
          <w:i w:val="0"/>
        </w:rPr>
        <w:t xml:space="preserve">; </w:t>
      </w:r>
      <w:r>
        <w:rPr>
          <w:b w:val="0"/>
          <w:i/>
        </w:rPr>
        <w:t>Qualitates</w:t>
      </w:r>
      <w:r>
        <w:rPr>
          <w:b w:val="0"/>
          <w:i w:val="0"/>
        </w:rPr>
        <w:t xml:space="preserve">; </w:t>
      </w:r>
      <w:r>
        <w:rPr>
          <w:b w:val="0"/>
          <w:i/>
        </w:rPr>
        <w:t>qualitati</w:t>
      </w:r>
      <w:r>
        <w:rPr>
          <w:b w:val="0"/>
          <w:i w:val="0"/>
        </w:rPr>
        <w:t xml:space="preserve">; </w:t>
      </w:r>
      <w:r>
        <w:rPr>
          <w:b w:val="0"/>
          <w:i/>
        </w:rPr>
        <w:t>qualitatibus</w:t>
      </w:r>
      <w:r>
        <w:rPr>
          <w:b w:val="0"/>
          <w:i w:val="0"/>
        </w:rPr>
        <w:t xml:space="preserve">; </w:t>
      </w:r>
      <w:r>
        <w:rPr>
          <w:b w:val="0"/>
          <w:i/>
        </w:rPr>
        <w:t>qualitatis</w:t>
      </w:r>
      <w:r>
        <w:rPr>
          <w:b w:val="0"/>
          <w:i w:val="0"/>
        </w:rPr>
        <w:t xml:space="preserve">; </w:t>
      </w:r>
      <w:r>
        <w:rPr>
          <w:b w:val="0"/>
          <w:i/>
        </w:rPr>
        <w:t>qualitatum</w:t>
      </w:r>
      <w:r>
        <w:rPr>
          <w:b w:val="0"/>
          <w:i w:val="0"/>
        </w:rPr>
        <w:t>.</w:t>
      </w:r>
    </w:p>
    <w:p>
      <w:pPr>
        <w:widowControl/>
      </w:pPr>
      <w:r>
        <w:rPr>
          <w:b w:val="0"/>
          <w:i w:val="0"/>
        </w:rPr>
        <w:t xml:space="preserve">Quality, a form or power inhering in a subject and, when bodily, extended and altered with it. Quality has three causes in V.5’s analysis and serves as an instrument of natural action; it is not automatically a moral quality. References: </w:t>
      </w:r>
      <w:hyperlink w:anchor="passage-v-3-1">
        <w:r>
          <w:rPr>
            <w:color w:val="000000"/>
          </w:rPr>
          <w:t xml:space="preserve">V.3.1</w:t>
        </w:r>
      </w:hyperlink>
      <w:r>
        <w:rPr>
          <w:b w:val="0"/>
          <w:i w:val="0"/>
        </w:rPr>
        <w:t xml:space="preserve">, </w:t>
      </w:r>
      <w:hyperlink w:anchor="passage-v-4-10">
        <w:r>
          <w:rPr>
            <w:color w:val="000000"/>
          </w:rPr>
          <w:t xml:space="preserve">V.4.10</w:t>
        </w:r>
      </w:hyperlink>
      <w:r>
        <w:rPr>
          <w:b w:val="0"/>
          <w:i w:val="0"/>
        </w:rPr>
        <w:t xml:space="preserve">, </w:t>
      </w:r>
      <w:hyperlink w:anchor="passage-v-5-3">
        <w:r>
          <w:rPr>
            <w:color w:val="000000"/>
          </w:rPr>
          <w:t xml:space="preserve">V.5.3</w:t>
        </w:r>
      </w:hyperlink>
      <w:r>
        <w:rPr>
          <w:b w:val="0"/>
          <w:i w:val="0"/>
        </w:rPr>
        <w:t xml:space="preserve">, </w:t>
      </w:r>
      <w:hyperlink w:anchor="passage-v-5-4">
        <w:r>
          <w:rPr>
            <w:color w:val="000000"/>
          </w:rPr>
          <w:t xml:space="preserve">V.5.4</w:t>
        </w:r>
      </w:hyperlink>
      <w:r>
        <w:rPr>
          <w:b w:val="0"/>
          <w:i w:val="0"/>
        </w:rPr>
        <w:t xml:space="preserve">, </w:t>
      </w:r>
      <w:hyperlink w:anchor="passage-v-5-9">
        <w:r>
          <w:rPr>
            <w:color w:val="000000"/>
          </w:rPr>
          <w:t xml:space="preserve">V.5.9</w:t>
        </w:r>
      </w:hyperlink>
      <w:r>
        <w:rPr>
          <w:b w:val="0"/>
          <w:i w:val="0"/>
        </w:rPr>
        <w:t xml:space="preserve">, </w:t>
      </w:r>
      <w:hyperlink w:anchor="passage-v-14-9">
        <w:r>
          <w:rPr>
            <w:color w:val="000000"/>
          </w:rPr>
          <w:t xml:space="preserve">V.14.9</w:t>
        </w:r>
      </w:hyperlink>
      <w:r>
        <w:rPr>
          <w:b w:val="0"/>
          <w:i w:val="0"/>
        </w:rPr>
        <w:t xml:space="preserve">. See </w:t>
      </w:r>
      <w:hyperlink w:anchor="four-causes-and-graded-dependence">
        <w:r>
          <w:rPr>
            <w:color w:val="000000"/>
          </w:rPr>
          <w:t xml:space="preserve">Four causes and graded dependence</w:t>
        </w:r>
      </w:hyperlink>
      <w:r>
        <w:rPr>
          <w:b w:val="0"/>
          <w:i w:val="0"/>
        </w:rPr>
        <w:t>.</w:t>
      </w:r>
    </w:p>
    <w:p>
      <w:pPr>
        <w:widowControl/>
      </w:pPr>
      <w:r>
        <w:rPr>
          <w:b w:val="0"/>
          <w:i w:val="0"/>
        </w:rPr>
        <w:t xml:space="preserve">A determination qualifying an underlying body. The second theory replaces bodily bulk by a quality spread through it; the third localizes a point belonging to that quality. References: </w:t>
      </w:r>
      <w:hyperlink w:anchor="passage-vi-1-3">
        <w:r>
          <w:rPr>
            <w:color w:val="000000"/>
          </w:rPr>
          <w:t xml:space="preserve">VI.1.3</w:t>
        </w:r>
      </w:hyperlink>
      <w:r>
        <w:rPr>
          <w:b w:val="0"/>
          <w:i w:val="0"/>
        </w:rPr>
        <w:t xml:space="preserve">, </w:t>
      </w:r>
      <w:hyperlink w:anchor="passage-vi-1-4">
        <w:r>
          <w:rPr>
            <w:color w:val="000000"/>
          </w:rPr>
          <w:t xml:space="preserve">VI.1.4</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widowControl/>
      </w:pPr>
      <w:r>
        <w:rPr>
          <w:b w:val="0"/>
          <w:i w:val="0"/>
        </w:rPr>
        <w:t xml:space="preserve">A characterizing quality whose mode of inherence matters for the subject possessing it. A divisible body’s quality is spatially distributed; indivisible virtue is therefore used to establish a nonbodily subject. References: </w:t>
      </w:r>
      <w:hyperlink w:anchor="passage-viii-3-1">
        <w:r>
          <w:rPr>
            <w:color w:val="000000"/>
          </w:rPr>
          <w:t xml:space="preserve">VIII.3.1</w:t>
        </w:r>
      </w:hyperlink>
      <w:r>
        <w:rPr>
          <w:b w:val="0"/>
          <w:i w:val="0"/>
        </w:rPr>
        <w:t xml:space="preserve">, </w:t>
      </w:r>
      <w:hyperlink w:anchor="passage-viii-3-8">
        <w:r>
          <w:rPr>
            <w:color w:val="000000"/>
          </w:rPr>
          <w:t xml:space="preserve">VIII.3.8</w:t>
        </w:r>
      </w:hyperlink>
      <w:r>
        <w:rPr>
          <w:b w:val="0"/>
          <w:i w:val="0"/>
        </w:rPr>
        <w:t xml:space="preserve">, </w:t>
      </w:r>
      <w:hyperlink w:anchor="passage-viii-10-2">
        <w:r>
          <w:rPr>
            <w:color w:val="000000"/>
          </w:rPr>
          <w:t xml:space="preserve">VIII.10.2</w:t>
        </w:r>
      </w:hyperlink>
      <w:r>
        <w:rPr>
          <w:b w:val="0"/>
          <w:i w:val="0"/>
        </w:rPr>
        <w:t xml:space="preserve">, </w:t>
      </w:r>
      <w:hyperlink w:anchor="passage-viii-14-1">
        <w:r>
          <w:rPr>
            <w:color w:val="000000"/>
          </w:rPr>
          <w:t xml:space="preserve">VIII.14.1</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284" w:name="latin-record-1043"/>
      <w:bookmarkEnd w:id="1284"/>
      <w:r>
        <w:rPr>
          <w:b/>
          <w:i w:val="0"/>
        </w:rPr>
        <w:t>qualitas / affectio corporis</w:t>
      </w:r>
      <w:r>
        <w:rPr>
          <w:b/>
          <w:i w:val="0"/>
        </w:rPr>
        <w:t>.</w:t>
      </w:r>
      <w:r>
        <w:rPr>
          <w:b w:val="0"/>
          <w:i w:val="0"/>
        </w:rPr>
        <w:t xml:space="preserve"> Printed forms: </w:t>
      </w:r>
      <w:r>
        <w:rPr>
          <w:b w:val="0"/>
          <w:i/>
        </w:rPr>
        <w:t>affectionem corporis</w:t>
      </w:r>
      <w:r>
        <w:rPr>
          <w:b w:val="0"/>
          <w:i w:val="0"/>
        </w:rPr>
        <w:t xml:space="preserve">; </w:t>
      </w:r>
      <w:r>
        <w:rPr>
          <w:b w:val="0"/>
          <w:i/>
        </w:rPr>
        <w:t>qualitas</w:t>
      </w:r>
      <w:r>
        <w:rPr>
          <w:b w:val="0"/>
          <w:i w:val="0"/>
        </w:rPr>
        <w:t xml:space="preserve">; </w:t>
      </w:r>
      <w:r>
        <w:rPr>
          <w:b w:val="0"/>
          <w:i/>
        </w:rPr>
        <w:t>qualitatem</w:t>
      </w:r>
      <w:r>
        <w:rPr>
          <w:b w:val="0"/>
          <w:i w:val="0"/>
        </w:rPr>
        <w:t xml:space="preserve">; </w:t>
      </w:r>
      <w:r>
        <w:rPr>
          <w:b w:val="0"/>
          <w:i/>
        </w:rPr>
        <w:t>qualitati</w:t>
      </w:r>
      <w:r>
        <w:rPr>
          <w:b w:val="0"/>
          <w:i w:val="0"/>
        </w:rPr>
        <w:t>.</w:t>
      </w:r>
    </w:p>
    <w:p>
      <w:pPr>
        <w:widowControl/>
      </w:pPr>
      <w:r>
        <w:rPr>
          <w:b w:val="0"/>
          <w:i w:val="0"/>
        </w:rPr>
        <w:t xml:space="preserve">A bodily quality or condition, in the Platonist terminology adopted here. Chapter 7 announces arguments specifically against soul as a diffused bodily form, beyond the earlier rejection of body itself. References: </w:t>
      </w:r>
      <w:hyperlink w:anchor="passage-vii-7-1">
        <w:r>
          <w:rPr>
            <w:color w:val="000000"/>
          </w:rPr>
          <w:t xml:space="preserve">VII.7.1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285" w:name="latin-record-1044"/>
      <w:bookmarkEnd w:id="1285"/>
      <w:r>
        <w:rPr>
          <w:b/>
          <w:i w:val="0"/>
        </w:rPr>
        <w:t>quantitas</w:t>
      </w:r>
      <w:r>
        <w:rPr>
          <w:b/>
          <w:i w:val="0"/>
        </w:rPr>
        <w:t>.</w:t>
      </w:r>
      <w:r>
        <w:rPr>
          <w:b w:val="0"/>
          <w:i w:val="0"/>
        </w:rPr>
        <w:t xml:space="preserve"> Printed forms: </w:t>
      </w:r>
      <w:r>
        <w:rPr>
          <w:b w:val="0"/>
          <w:i/>
        </w:rPr>
        <w:t>quantitas</w:t>
      </w:r>
      <w:r>
        <w:rPr>
          <w:b w:val="0"/>
          <w:i w:val="0"/>
        </w:rPr>
        <w:t xml:space="preserve">; </w:t>
      </w:r>
      <w:r>
        <w:rPr>
          <w:b w:val="0"/>
          <w:i/>
        </w:rPr>
        <w:t>quantitate</w:t>
      </w:r>
      <w:r>
        <w:rPr>
          <w:b w:val="0"/>
          <w:i w:val="0"/>
        </w:rPr>
        <w:t xml:space="preserve">; </w:t>
      </w:r>
      <w:r>
        <w:rPr>
          <w:b w:val="0"/>
          <w:i/>
        </w:rPr>
        <w:t>quantitatem</w:t>
      </w:r>
      <w:r>
        <w:rPr>
          <w:b w:val="0"/>
          <w:i w:val="0"/>
        </w:rPr>
        <w:t xml:space="preserve">; </w:t>
      </w:r>
      <w:r>
        <w:rPr>
          <w:b w:val="0"/>
          <w:i/>
        </w:rPr>
        <w:t>quantitati</w:t>
      </w:r>
      <w:r>
        <w:rPr>
          <w:b w:val="0"/>
          <w:i w:val="0"/>
        </w:rPr>
        <w:t xml:space="preserve">; </w:t>
      </w:r>
      <w:r>
        <w:rPr>
          <w:b w:val="0"/>
          <w:i/>
        </w:rPr>
        <w:t>quantitatis</w:t>
      </w:r>
      <w:r>
        <w:rPr>
          <w:b w:val="0"/>
          <w:i w:val="0"/>
        </w:rPr>
        <w:t>.</w:t>
      </w:r>
    </w:p>
    <w:p>
      <w:pPr>
        <w:widowControl/>
      </w:pPr>
      <w:r>
        <w:rPr>
          <w:b w:val="0"/>
          <w:i w:val="0"/>
        </w:rPr>
        <w:t xml:space="preserve">Quantity, the bodily extension through which parts and division arise. Matter precedes quantity in the order of dependence, and soul lacks the quantitative parts whose dissolution could destroy a body. References: </w:t>
      </w:r>
      <w:hyperlink w:anchor="passage-v-3-1">
        <w:r>
          <w:rPr>
            <w:color w:val="000000"/>
          </w:rPr>
          <w:t xml:space="preserve">V.3.1</w:t>
        </w:r>
      </w:hyperlink>
      <w:r>
        <w:rPr>
          <w:b w:val="0"/>
          <w:i w:val="0"/>
        </w:rPr>
        <w:t xml:space="preserve">, </w:t>
      </w:r>
      <w:hyperlink w:anchor="passage-v-4-5">
        <w:r>
          <w:rPr>
            <w:color w:val="000000"/>
          </w:rPr>
          <w:t xml:space="preserve">V.4.5</w:t>
        </w:r>
      </w:hyperlink>
      <w:r>
        <w:rPr>
          <w:b w:val="0"/>
          <w:i w:val="0"/>
        </w:rPr>
        <w:t xml:space="preserve">, </w:t>
      </w:r>
      <w:hyperlink w:anchor="passage-v-4-6">
        <w:r>
          <w:rPr>
            <w:color w:val="000000"/>
          </w:rPr>
          <w:t xml:space="preserve">V.4.6</w:t>
        </w:r>
      </w:hyperlink>
      <w:r>
        <w:rPr>
          <w:b w:val="0"/>
          <w:i w:val="0"/>
        </w:rPr>
        <w:t xml:space="preserve">, </w:t>
      </w:r>
      <w:hyperlink w:anchor="passage-v-5-9">
        <w:r>
          <w:rPr>
            <w:color w:val="000000"/>
          </w:rPr>
          <w:t xml:space="preserve">V.5.9</w:t>
        </w:r>
      </w:hyperlink>
      <w:r>
        <w:rPr>
          <w:b w:val="0"/>
          <w:i w:val="0"/>
        </w:rPr>
        <w:t xml:space="preserve">. See </w:t>
      </w:r>
      <w:hyperlink w:anchor="prime-matter-and-enduring-support">
        <w:r>
          <w:rPr>
            <w:color w:val="000000"/>
          </w:rPr>
          <w:t xml:space="preserve">Prime matter and enduring support</w:t>
        </w:r>
      </w:hyperlink>
      <w:r>
        <w:rPr>
          <w:b w:val="0"/>
          <w:i w:val="0"/>
        </w:rPr>
        <w:t>.</w:t>
      </w:r>
    </w:p>
    <w:p>
      <w:pPr>
        <w:widowControl/>
      </w:pPr>
      <w:r>
        <w:rPr>
          <w:b w:val="0"/>
          <w:i w:val="0"/>
        </w:rPr>
        <w:t xml:space="preserve">Quantity or measured extent, different from an intelligible account and from intensity of perfection. The soul does not become larger through virtue; the account of quantity itself is whole in different amounts and is not another extended quantity. References: </w:t>
      </w:r>
      <w:hyperlink w:anchor="passage-viii-2-4">
        <w:r>
          <w:rPr>
            <w:color w:val="000000"/>
          </w:rPr>
          <w:t xml:space="preserve">VIII.2.4</w:t>
        </w:r>
      </w:hyperlink>
      <w:r>
        <w:rPr>
          <w:b w:val="0"/>
          <w:i w:val="0"/>
        </w:rPr>
        <w:t xml:space="preserve">, </w:t>
      </w:r>
      <w:hyperlink w:anchor="passage-viii-2-7">
        <w:r>
          <w:rPr>
            <w:color w:val="000000"/>
          </w:rPr>
          <w:t xml:space="preserve">VIII.2.7</w:t>
        </w:r>
      </w:hyperlink>
      <w:r>
        <w:rPr>
          <w:b w:val="0"/>
          <w:i w:val="0"/>
        </w:rPr>
        <w:t xml:space="preserve">, </w:t>
      </w:r>
      <w:hyperlink w:anchor="passage-viii-3-7">
        <w:r>
          <w:rPr>
            <w:color w:val="000000"/>
          </w:rPr>
          <w:t xml:space="preserve">VIII.3.7</w:t>
        </w:r>
      </w:hyperlink>
      <w:r>
        <w:rPr>
          <w:b w:val="0"/>
          <w:i w:val="0"/>
        </w:rPr>
        <w:t xml:space="preserve">, </w:t>
      </w:r>
      <w:hyperlink w:anchor="passage-viii-4-6">
        <w:r>
          <w:rPr>
            <w:color w:val="000000"/>
          </w:rPr>
          <w:t xml:space="preserve">VIII.4.6</w:t>
        </w:r>
      </w:hyperlink>
      <w:r>
        <w:rPr>
          <w:b w:val="0"/>
          <w:i w:val="0"/>
        </w:rPr>
        <w:t xml:space="preserve">, </w:t>
      </w:r>
      <w:hyperlink w:anchor="passage-viii-4-12">
        <w:r>
          <w:rPr>
            <w:color w:val="000000"/>
          </w:rPr>
          <w:t xml:space="preserve">VIII.4.12</w:t>
        </w:r>
      </w:hyperlink>
      <w:r>
        <w:rPr>
          <w:b w:val="0"/>
          <w:i w:val="0"/>
        </w:rPr>
        <w:t xml:space="preserve">, </w:t>
      </w:r>
      <w:hyperlink w:anchor="passage-viii-6-1">
        <w:r>
          <w:rPr>
            <w:color w:val="000000"/>
          </w:rPr>
          <w:t xml:space="preserve">VIII.6.1</w:t>
        </w:r>
      </w:hyperlink>
      <w:r>
        <w:rPr>
          <w:b w:val="0"/>
          <w:i w:val="0"/>
        </w:rPr>
        <w:t xml:space="preserve">, </w:t>
      </w:r>
      <w:hyperlink w:anchor="passage-viii-9-1">
        <w:r>
          <w:rPr>
            <w:color w:val="000000"/>
          </w:rPr>
          <w:t xml:space="preserve">VIII.9.1</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286" w:name="latin-record-1045"/>
      <w:bookmarkEnd w:id="1286"/>
      <w:r>
        <w:rPr>
          <w:b/>
          <w:i w:val="0"/>
        </w:rPr>
        <w:t>quantitas / dimensio</w:t>
      </w:r>
      <w:r>
        <w:rPr>
          <w:b/>
          <w:i w:val="0"/>
        </w:rPr>
        <w:t>.</w:t>
      </w:r>
      <w:r>
        <w:rPr>
          <w:b w:val="0"/>
          <w:i w:val="0"/>
        </w:rPr>
        <w:t xml:space="preserve"> Printed forms: </w:t>
      </w:r>
      <w:r>
        <w:rPr>
          <w:b w:val="0"/>
          <w:i/>
        </w:rPr>
        <w:t>dimensionibus</w:t>
      </w:r>
      <w:r>
        <w:rPr>
          <w:b w:val="0"/>
          <w:i w:val="0"/>
        </w:rPr>
        <w:t xml:space="preserve">; </w:t>
      </w:r>
      <w:r>
        <w:rPr>
          <w:b w:val="0"/>
          <w:i/>
        </w:rPr>
        <w:t>quantitas</w:t>
      </w:r>
      <w:r>
        <w:rPr>
          <w:b w:val="0"/>
          <w:i w:val="0"/>
        </w:rPr>
        <w:t xml:space="preserve">; </w:t>
      </w:r>
      <w:r>
        <w:rPr>
          <w:b w:val="0"/>
          <w:i/>
        </w:rPr>
        <w:t>quantitate</w:t>
      </w:r>
      <w:r>
        <w:rPr>
          <w:b w:val="0"/>
          <w:i w:val="0"/>
        </w:rPr>
        <w:t xml:space="preserve">; </w:t>
      </w:r>
      <w:r>
        <w:rPr>
          <w:b w:val="0"/>
          <w:i/>
        </w:rPr>
        <w:t>quantitatis</w:t>
      </w:r>
      <w:r>
        <w:rPr>
          <w:b w:val="0"/>
          <w:i w:val="0"/>
        </w:rPr>
        <w:t>.</w:t>
      </w:r>
    </w:p>
    <w:p>
      <w:pPr>
        <w:widowControl/>
      </w:pPr>
      <w:r>
        <w:rPr>
          <w:b w:val="0"/>
          <w:i w:val="0"/>
        </w:rPr>
        <w:t xml:space="preserve">Bodily quantity and the dimensions composing extended size. The book repeatedly asks whether quantitative extension is necessary to acuity or one comprehension; inward power is not equated with a smaller bodily piece.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1287" w:name="latin-record-1046"/>
      <w:bookmarkEnd w:id="1287"/>
      <w:r>
        <w:rPr>
          <w:b/>
          <w:i w:val="0"/>
        </w:rPr>
        <w:t>quantitas; qualitas</w:t>
      </w:r>
      <w:r>
        <w:rPr>
          <w:b/>
          <w:i w:val="0"/>
        </w:rPr>
        <w:t>.</w:t>
      </w:r>
      <w:r>
        <w:rPr>
          <w:b w:val="0"/>
          <w:i w:val="0"/>
        </w:rPr>
        <w:t xml:space="preserve"> Printed forms: </w:t>
      </w:r>
      <w:r>
        <w:rPr>
          <w:b w:val="0"/>
          <w:i/>
        </w:rPr>
        <w:t>qualitas</w:t>
      </w:r>
      <w:r>
        <w:rPr>
          <w:b w:val="0"/>
          <w:i w:val="0"/>
        </w:rPr>
        <w:t xml:space="preserve">; </w:t>
      </w:r>
      <w:r>
        <w:rPr>
          <w:b w:val="0"/>
          <w:i/>
        </w:rPr>
        <w:t>qualitatem</w:t>
      </w:r>
      <w:r>
        <w:rPr>
          <w:b w:val="0"/>
          <w:i w:val="0"/>
        </w:rPr>
        <w:t xml:space="preserve">; </w:t>
      </w:r>
      <w:r>
        <w:rPr>
          <w:b w:val="0"/>
          <w:i/>
        </w:rPr>
        <w:t>qualitates</w:t>
      </w:r>
      <w:r>
        <w:rPr>
          <w:b w:val="0"/>
          <w:i w:val="0"/>
        </w:rPr>
        <w:t xml:space="preserve">; </w:t>
      </w:r>
      <w:r>
        <w:rPr>
          <w:b w:val="0"/>
          <w:i/>
        </w:rPr>
        <w:t>qualitatibus</w:t>
      </w:r>
      <w:r>
        <w:rPr>
          <w:b w:val="0"/>
          <w:i w:val="0"/>
        </w:rPr>
        <w:t xml:space="preserve">; </w:t>
      </w:r>
      <w:r>
        <w:rPr>
          <w:b w:val="0"/>
          <w:i/>
        </w:rPr>
        <w:t>qualitatis</w:t>
      </w:r>
      <w:r>
        <w:rPr>
          <w:b w:val="0"/>
          <w:i w:val="0"/>
        </w:rPr>
        <w:t xml:space="preserve">; </w:t>
      </w:r>
      <w:r>
        <w:rPr>
          <w:b w:val="0"/>
          <w:i/>
        </w:rPr>
        <w:t>quantitate</w:t>
      </w:r>
      <w:r>
        <w:rPr>
          <w:b w:val="0"/>
          <w:i w:val="0"/>
        </w:rPr>
        <w:t xml:space="preserve">; </w:t>
      </w:r>
      <w:r>
        <w:rPr>
          <w:b w:val="0"/>
          <w:i/>
        </w:rPr>
        <w:t>quantitatem</w:t>
      </w:r>
      <w:r>
        <w:rPr>
          <w:b w:val="0"/>
          <w:i w:val="0"/>
        </w:rPr>
        <w:t xml:space="preserve">; </w:t>
      </w:r>
      <w:r>
        <w:rPr>
          <w:b w:val="0"/>
          <w:i/>
        </w:rPr>
        <w:t>quantitatis</w:t>
      </w:r>
      <w:r>
        <w:rPr>
          <w:b w:val="0"/>
          <w:i w:val="0"/>
        </w:rPr>
        <w:t>.</w:t>
      </w:r>
    </w:p>
    <w:p>
      <w:pPr>
        <w:widowControl/>
      </w:pPr>
      <w:r>
        <w:rPr>
          <w:b w:val="0"/>
          <w:i w:val="0"/>
        </w:rPr>
        <w:t xml:space="preserve">Quantity as measurable extent and quality as determination. Body’s extension differs from the qualities it bears; rejecting one soul-body model does not automatically refute quality or temperament models. References: </w:t>
      </w:r>
      <w:hyperlink w:anchor="passage-vi-1-3">
        <w:r>
          <w:rPr>
            <w:color w:val="000000"/>
          </w:rPr>
          <w:t xml:space="preserve">VI.1.3</w:t>
        </w:r>
      </w:hyperlink>
      <w:r>
        <w:rPr>
          <w:b w:val="0"/>
          <w:i w:val="0"/>
        </w:rPr>
        <w:t xml:space="preserve">, </w:t>
      </w:r>
      <w:hyperlink w:anchor="passage-vi-1-4">
        <w:r>
          <w:rPr>
            <w:color w:val="000000"/>
          </w:rPr>
          <w:t xml:space="preserve">VI.1.4</w:t>
        </w:r>
      </w:hyperlink>
      <w:r>
        <w:rPr>
          <w:b w:val="0"/>
          <w:i w:val="0"/>
        </w:rPr>
        <w:t xml:space="preserve">, </w:t>
      </w:r>
      <w:hyperlink w:anchor="passage-vi-2-2">
        <w:r>
          <w:rPr>
            <w:color w:val="000000"/>
          </w:rPr>
          <w:t xml:space="preserve">VI.2.2</w:t>
        </w:r>
      </w:hyperlink>
      <w:r>
        <w:rPr>
          <w:b w:val="0"/>
          <w:i w:val="0"/>
        </w:rPr>
        <w:t xml:space="preserve">, </w:t>
      </w:r>
      <w:hyperlink w:anchor="passage-vi-4-4">
        <w:r>
          <w:rPr>
            <w:color w:val="000000"/>
          </w:rPr>
          <w:t xml:space="preserve">VI.4.4</w:t>
        </w:r>
      </w:hyperlink>
      <w:r>
        <w:rPr>
          <w:b w:val="0"/>
          <w:i w:val="0"/>
        </w:rPr>
        <w:t xml:space="preserve">, </w:t>
      </w:r>
      <w:hyperlink w:anchor="passage-vi-6-4">
        <w:r>
          <w:rPr>
            <w:color w:val="000000"/>
          </w:rPr>
          <w:t xml:space="preserve">VI.6.4</w:t>
        </w:r>
      </w:hyperlink>
      <w:r>
        <w:rPr>
          <w:b w:val="0"/>
          <w:i w:val="0"/>
        </w:rPr>
        <w:t xml:space="preserve">, </w:t>
      </w:r>
      <w:hyperlink w:anchor="passage-vi-8-3">
        <w:r>
          <w:rPr>
            <w:color w:val="000000"/>
          </w:rPr>
          <w:t xml:space="preserve">VI.8.3</w:t>
        </w:r>
      </w:hyperlink>
      <w:r>
        <w:rPr>
          <w:b w:val="0"/>
          <w:i w:val="0"/>
        </w:rPr>
        <w:t xml:space="preserve">, </w:t>
      </w:r>
      <w:hyperlink w:anchor="passage-vi-8-5">
        <w:r>
          <w:rPr>
            <w:color w:val="000000"/>
          </w:rPr>
          <w:t xml:space="preserve">VI.8.5</w:t>
        </w:r>
      </w:hyperlink>
      <w:r>
        <w:rPr>
          <w:b w:val="0"/>
          <w:i w:val="0"/>
        </w:rPr>
        <w:t xml:space="preserve">, </w:t>
      </w:r>
      <w:hyperlink w:anchor="passage-vi-13-8">
        <w:r>
          <w:rPr>
            <w:color w:val="000000"/>
          </w:rPr>
          <w:t xml:space="preserve">VI.13.8</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288" w:name="latin-record-1047"/>
      <w:bookmarkEnd w:id="1288"/>
      <w:r>
        <w:rPr>
          <w:b/>
          <w:i w:val="0"/>
        </w:rPr>
        <w:t>quantitate protendi</w:t>
      </w:r>
      <w:r>
        <w:rPr>
          <w:b/>
          <w:i w:val="0"/>
        </w:rPr>
        <w:t>.</w:t>
      </w:r>
      <w:r>
        <w:rPr>
          <w:b w:val="0"/>
          <w:i w:val="0"/>
        </w:rPr>
        <w:t xml:space="preserve"> Printed forms: </w:t>
      </w:r>
      <w:r>
        <w:rPr>
          <w:b w:val="0"/>
          <w:i/>
        </w:rPr>
        <w:t>indivisibilis</w:t>
      </w:r>
      <w:r>
        <w:rPr>
          <w:b w:val="0"/>
          <w:i w:val="0"/>
        </w:rPr>
        <w:t xml:space="preserve">; </w:t>
      </w:r>
      <w:r>
        <w:rPr>
          <w:b w:val="0"/>
          <w:i/>
        </w:rPr>
        <w:t>quantitate protenditur</w:t>
      </w:r>
      <w:r>
        <w:rPr>
          <w:b w:val="0"/>
          <w:i w:val="0"/>
        </w:rPr>
        <w:t>.</w:t>
      </w:r>
    </w:p>
    <w:p>
      <w:pPr>
        <w:widowControl/>
      </w:pPr>
      <w:r>
        <w:rPr>
          <w:b w:val="0"/>
          <w:i w:val="0"/>
        </w:rPr>
        <w:t xml:space="preserve">Being extended quantitatively, contrasted with indivisibility. The whole’s integrity either inherits bodily difficulties or concedes the incorporeal reality sought. References: </w:t>
      </w:r>
      <w:hyperlink w:anchor="passage-vi-12-9">
        <w:r>
          <w:rPr>
            <w:color w:val="000000"/>
          </w:rPr>
          <w:t xml:space="preserve">VI.12.9</w:t>
        </w:r>
      </w:hyperlink>
      <w:r>
        <w:rPr>
          <w:b w:val="0"/>
          <w:i w:val="0"/>
        </w:rPr>
        <w:t xml:space="preserve">. See </w:t>
      </w:r>
      <w:hyperlink w:anchor="integrity-of-the-whole">
        <w:r>
          <w:rPr>
            <w:color w:val="000000"/>
          </w:rPr>
          <w:t xml:space="preserve">Integrity of the whole</w:t>
        </w:r>
      </w:hyperlink>
      <w:r>
        <w:rPr>
          <w:b w:val="0"/>
          <w:i w:val="0"/>
        </w:rPr>
        <w:t>.</w:t>
      </w:r>
    </w:p>
    <w:p>
      <w:pPr>
        <w:keepNext/>
        <w:widowControl/>
      </w:pPr>
      <w:bookmarkStart w:id="1289" w:name="latin-record-1048"/>
      <w:bookmarkEnd w:id="1289"/>
      <w:r>
        <w:rPr>
          <w:b/>
          <w:i w:val="0"/>
        </w:rPr>
        <w:t>quantum; quatenus; respectus</w:t>
      </w:r>
      <w:r>
        <w:rPr>
          <w:b/>
          <w:i w:val="0"/>
        </w:rPr>
        <w:t>.</w:t>
      </w:r>
      <w:r>
        <w:rPr>
          <w:b w:val="0"/>
          <w:i w:val="0"/>
        </w:rPr>
        <w:t xml:space="preserve"> Printed forms: </w:t>
      </w:r>
      <w:r>
        <w:rPr>
          <w:b w:val="0"/>
          <w:i/>
        </w:rPr>
        <w:t>prout</w:t>
      </w:r>
      <w:r>
        <w:rPr>
          <w:b w:val="0"/>
          <w:i w:val="0"/>
        </w:rPr>
        <w:t xml:space="preserve">; </w:t>
      </w:r>
      <w:r>
        <w:rPr>
          <w:b w:val="0"/>
          <w:i/>
        </w:rPr>
        <w:t>quanto</w:t>
      </w:r>
      <w:r>
        <w:rPr>
          <w:b w:val="0"/>
          <w:i w:val="0"/>
        </w:rPr>
        <w:t xml:space="preserve">; </w:t>
      </w:r>
      <w:r>
        <w:rPr>
          <w:b w:val="0"/>
          <w:i/>
        </w:rPr>
        <w:t>quantum</w:t>
      </w:r>
      <w:r>
        <w:rPr>
          <w:b w:val="0"/>
          <w:i w:val="0"/>
        </w:rPr>
        <w:t xml:space="preserve">; </w:t>
      </w:r>
      <w:r>
        <w:rPr>
          <w:b w:val="0"/>
          <w:i/>
        </w:rPr>
        <w:t>Quantum</w:t>
      </w:r>
      <w:r>
        <w:rPr>
          <w:b w:val="0"/>
          <w:i w:val="0"/>
        </w:rPr>
        <w:t xml:space="preserve">; </w:t>
      </w:r>
      <w:r>
        <w:rPr>
          <w:b w:val="0"/>
          <w:i/>
        </w:rPr>
        <w:t>tanto</w:t>
      </w:r>
      <w:r>
        <w:rPr>
          <w:b w:val="0"/>
          <w:i w:val="0"/>
        </w:rPr>
        <w:t xml:space="preserve">; </w:t>
      </w:r>
      <w:r>
        <w:rPr>
          <w:b w:val="0"/>
          <w:i/>
        </w:rPr>
        <w:t>tantum</w:t>
      </w:r>
      <w:r>
        <w:rPr>
          <w:b w:val="0"/>
          <w:i w:val="0"/>
        </w:rPr>
        <w:t>.</w:t>
      </w:r>
    </w:p>
    <w:p>
      <w:pPr>
        <w:widowControl/>
      </w:pPr>
      <w:r>
        <w:rPr>
          <w:b w:val="0"/>
          <w:i w:val="0"/>
        </w:rPr>
        <w:t xml:space="preserve">Insofar as, as much as, and according as: measures of degree or qualifying respect. The spirit/body analogies and soul’s different functions require the specified respect; a comparison of power is not necessarily a comparison of spatial size. References: </w:t>
      </w:r>
      <w:hyperlink w:anchor="passage-vi-1-1">
        <w:r>
          <w:rPr>
            <w:color w:val="000000"/>
          </w:rPr>
          <w:t xml:space="preserve">VI.1.1</w:t>
        </w:r>
      </w:hyperlink>
      <w:r>
        <w:rPr>
          <w:b w:val="0"/>
          <w:i w:val="0"/>
        </w:rPr>
        <w:t xml:space="preserve">, </w:t>
      </w:r>
      <w:hyperlink w:anchor="passage-vi-2-8">
        <w:r>
          <w:rPr>
            <w:color w:val="000000"/>
          </w:rPr>
          <w:t xml:space="preserve">VI.2.8</w:t>
        </w:r>
      </w:hyperlink>
      <w:r>
        <w:rPr>
          <w:b w:val="0"/>
          <w:i w:val="0"/>
        </w:rPr>
        <w:t xml:space="preserve">, </w:t>
      </w:r>
      <w:hyperlink w:anchor="passage-vi-2-20">
        <w:r>
          <w:rPr>
            <w:color w:val="000000"/>
          </w:rPr>
          <w:t xml:space="preserve">VI.2.20</w:t>
        </w:r>
      </w:hyperlink>
      <w:r>
        <w:rPr>
          <w:b w:val="0"/>
          <w:i w:val="0"/>
        </w:rPr>
        <w:t xml:space="preserve">, </w:t>
      </w:r>
      <w:hyperlink w:anchor="passage-vi-12-17">
        <w:r>
          <w:rPr>
            <w:color w:val="000000"/>
          </w:rPr>
          <w:t xml:space="preserve">VI.12.17</w:t>
        </w:r>
      </w:hyperlink>
      <w:r>
        <w:rPr>
          <w:b w:val="0"/>
          <w:i w:val="0"/>
        </w:rPr>
        <w:t xml:space="preserve">, </w:t>
      </w:r>
      <w:hyperlink w:anchor="passage-vi-12-19">
        <w:r>
          <w:rPr>
            <w:color w:val="000000"/>
          </w:rPr>
          <w:t xml:space="preserve">VI.12.19</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1290" w:name="latin-record-1049"/>
      <w:bookmarkEnd w:id="1290"/>
      <w:r>
        <w:rPr>
          <w:b/>
          <w:i w:val="0"/>
        </w:rPr>
        <w:t>quatenus / eatenus</w:t>
      </w:r>
      <w:r>
        <w:rPr>
          <w:b/>
          <w:i w:val="0"/>
        </w:rPr>
        <w:t>.</w:t>
      </w:r>
      <w:r>
        <w:rPr>
          <w:b w:val="0"/>
          <w:i w:val="0"/>
        </w:rPr>
        <w:t xml:space="preserve"> Printed forms: </w:t>
      </w:r>
      <w:r>
        <w:rPr>
          <w:b w:val="0"/>
          <w:i/>
        </w:rPr>
        <w:t>eatenus</w:t>
      </w:r>
      <w:r>
        <w:rPr>
          <w:b w:val="0"/>
          <w:i w:val="0"/>
        </w:rPr>
        <w:t xml:space="preserve">; </w:t>
      </w:r>
      <w:r>
        <w:rPr>
          <w:b w:val="0"/>
          <w:i/>
        </w:rPr>
        <w:t>quatenus</w:t>
      </w:r>
      <w:r>
        <w:rPr>
          <w:b w:val="0"/>
          <w:i w:val="0"/>
        </w:rPr>
        <w:t>.</w:t>
      </w:r>
    </w:p>
    <w:p>
      <w:pPr>
        <w:widowControl/>
      </w:pPr>
      <w:r>
        <w:rPr>
          <w:b w:val="0"/>
          <w:i w:val="0"/>
        </w:rPr>
        <w:t xml:space="preserve">Insofar as and to that extent, correlating a condition with what follows. A thing remains in being insofar as it relates to the source; soul’s self-adherence is used to explain its continuous act. References: </w:t>
      </w:r>
      <w:hyperlink w:anchor="passage-v-9-2">
        <w:r>
          <w:rPr>
            <w:color w:val="000000"/>
          </w:rPr>
          <w:t xml:space="preserve">V.9.2</w:t>
        </w:r>
      </w:hyperlink>
      <w:r>
        <w:rPr>
          <w:b w:val="0"/>
          <w:i w:val="0"/>
        </w:rPr>
        <w:t xml:space="preserve">, </w:t>
      </w:r>
      <w:hyperlink w:anchor="passage-v-10-1">
        <w:r>
          <w:rPr>
            <w:color w:val="000000"/>
          </w:rPr>
          <w:t xml:space="preserve">V.10.1</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291" w:name="latin-record-1050"/>
      <w:bookmarkEnd w:id="1291"/>
      <w:r>
        <w:rPr>
          <w:b/>
          <w:i w:val="0"/>
        </w:rPr>
        <w:t>quatuor elementa</w:t>
      </w:r>
      <w:r>
        <w:rPr>
          <w:b/>
          <w:i w:val="0"/>
        </w:rPr>
        <w:t>.</w:t>
      </w:r>
      <w:r>
        <w:rPr>
          <w:b w:val="0"/>
          <w:i w:val="0"/>
        </w:rPr>
        <w:t xml:space="preserve"> Printed forms: </w:t>
      </w:r>
      <w:r>
        <w:rPr>
          <w:b w:val="0"/>
          <w:i/>
        </w:rPr>
        <w:t>essentia, esse, virtute et actione</w:t>
      </w:r>
      <w:r>
        <w:rPr>
          <w:b w:val="0"/>
          <w:i w:val="0"/>
        </w:rPr>
        <w:t xml:space="preserve">; </w:t>
      </w:r>
      <w:r>
        <w:rPr>
          <w:b w:val="0"/>
          <w:i/>
        </w:rPr>
        <w:t>quatuor elementa</w:t>
      </w:r>
      <w:r>
        <w:rPr>
          <w:b w:val="0"/>
          <w:i w:val="0"/>
        </w:rPr>
        <w:t>.</w:t>
      </w:r>
    </w:p>
    <w:p>
      <w:pPr>
        <w:widowControl/>
      </w:pPr>
      <w:r>
        <w:rPr>
          <w:b w:val="0"/>
          <w:i w:val="0"/>
        </w:rPr>
        <w:t xml:space="preserve">The qualified fourfold constituents of a creature: essence, being, power and action. The Pythagorean label is analogical and includes spirits; it does not assert literal elemental matter in soul. References: </w:t>
      </w:r>
      <w:hyperlink w:anchor="passage-v-13-7">
        <w:r>
          <w:rPr>
            <w:color w:val="000000"/>
          </w:rPr>
          <w:t xml:space="preserve">V.13.7</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1292" w:name="latin-record-1051"/>
      <w:bookmarkEnd w:id="1292"/>
      <w:r>
        <w:rPr>
          <w:b/>
          <w:i w:val="0"/>
        </w:rPr>
        <w:t>quies / valitudo / consensio</w:t>
      </w:r>
      <w:r>
        <w:rPr>
          <w:b/>
          <w:i w:val="0"/>
        </w:rPr>
        <w:t>.</w:t>
      </w:r>
      <w:r>
        <w:rPr>
          <w:b w:val="0"/>
          <w:i w:val="0"/>
        </w:rPr>
        <w:t xml:space="preserve"> Printed forms: </w:t>
      </w:r>
      <w:r>
        <w:rPr>
          <w:b w:val="0"/>
          <w:i/>
        </w:rPr>
        <w:t>consensione</w:t>
      </w:r>
      <w:r>
        <w:rPr>
          <w:b w:val="0"/>
          <w:i w:val="0"/>
        </w:rPr>
        <w:t xml:space="preserve">; </w:t>
      </w:r>
      <w:r>
        <w:rPr>
          <w:b w:val="0"/>
          <w:i/>
        </w:rPr>
        <w:t>quiete</w:t>
      </w:r>
      <w:r>
        <w:rPr>
          <w:b w:val="0"/>
          <w:i w:val="0"/>
        </w:rPr>
        <w:t xml:space="preserve">; </w:t>
      </w:r>
      <w:r>
        <w:rPr>
          <w:b w:val="0"/>
          <w:i/>
        </w:rPr>
        <w:t>valitudinis</w:t>
      </w:r>
      <w:r>
        <w:rPr>
          <w:b w:val="0"/>
          <w:i w:val="0"/>
        </w:rPr>
        <w:t>.</w:t>
      </w:r>
    </w:p>
    <w:p>
      <w:pPr>
        <w:widowControl/>
      </w:pPr>
      <w:r>
        <w:rPr>
          <w:b w:val="0"/>
          <w:i w:val="0"/>
        </w:rPr>
        <w:t xml:space="preserve">Quiet activity, health and coordinated agreement. The soul already animates cohering organs in quiet health before a stimulus increases its attention.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293" w:name="latin-record-1052"/>
      <w:bookmarkEnd w:id="1293"/>
      <w:r>
        <w:rPr>
          <w:b/>
          <w:i w:val="0"/>
        </w:rPr>
        <w:t>quiescere</w:t>
      </w:r>
      <w:r>
        <w:rPr>
          <w:b/>
          <w:i w:val="0"/>
        </w:rPr>
        <w:t>.</w:t>
      </w:r>
      <w:r>
        <w:rPr>
          <w:b w:val="0"/>
          <w:i w:val="0"/>
        </w:rPr>
        <w:t xml:space="preserve"> Printed forms: </w:t>
      </w:r>
      <w:r>
        <w:rPr>
          <w:b w:val="0"/>
          <w:i/>
        </w:rPr>
        <w:t>quiescendo</w:t>
      </w:r>
      <w:r>
        <w:rPr>
          <w:b w:val="0"/>
          <w:i w:val="0"/>
        </w:rPr>
        <w:t xml:space="preserve">; </w:t>
      </w:r>
      <w:r>
        <w:rPr>
          <w:b w:val="0"/>
          <w:i/>
        </w:rPr>
        <w:t>quiescere</w:t>
      </w:r>
      <w:r>
        <w:rPr>
          <w:b w:val="0"/>
          <w:i w:val="0"/>
        </w:rPr>
        <w:t xml:space="preserve">; </w:t>
      </w:r>
      <w:r>
        <w:rPr>
          <w:b w:val="0"/>
          <w:i/>
        </w:rPr>
        <w:t>quiescit</w:t>
      </w:r>
      <w:r>
        <w:rPr>
          <w:b w:val="0"/>
          <w:i w:val="0"/>
        </w:rPr>
        <w:t>.</w:t>
      </w:r>
    </w:p>
    <w:p>
      <w:pPr>
        <w:widowControl/>
      </w:pPr>
      <w:r>
        <w:rPr>
          <w:b w:val="0"/>
          <w:i w:val="0"/>
        </w:rPr>
        <w:t xml:space="preserve">To rest or remain settled. Rest in Ideas is the proposed fulfillment of natural ascent; matter by contrast never rests permanently under one determinate form. References: </w:t>
      </w:r>
      <w:hyperlink w:anchor="passage-v-12-2">
        <w:r>
          <w:rPr>
            <w:color w:val="000000"/>
          </w:rPr>
          <w:t xml:space="preserve">V.12.2</w:t>
        </w:r>
      </w:hyperlink>
      <w:r>
        <w:rPr>
          <w:b w:val="0"/>
          <w:i w:val="0"/>
        </w:rPr>
        <w:t xml:space="preserve">, </w:t>
      </w:r>
      <w:hyperlink w:anchor="passage-v-12-13">
        <w:r>
          <w:rPr>
            <w:color w:val="000000"/>
          </w:rPr>
          <w:t xml:space="preserve">V.12.13</w:t>
        </w:r>
      </w:hyperlink>
      <w:r>
        <w:rPr>
          <w:b w:val="0"/>
          <w:i w:val="0"/>
        </w:rPr>
        <w:t xml:space="preserve">, </w:t>
      </w:r>
      <w:hyperlink w:anchor="passage-v-12-14">
        <w:r>
          <w:rPr>
            <w:color w:val="000000"/>
          </w:rPr>
          <w:t xml:space="preserve">V.12.14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1294" w:name="latin-record-1053"/>
      <w:bookmarkEnd w:id="1294"/>
      <w:r>
        <w:rPr>
          <w:b/>
          <w:i w:val="0"/>
        </w:rPr>
        <w:t>quinque capita</w:t>
      </w:r>
      <w:r>
        <w:rPr>
          <w:b/>
          <w:i w:val="0"/>
        </w:rPr>
        <w:t>.</w:t>
      </w:r>
      <w:r>
        <w:rPr>
          <w:b w:val="0"/>
          <w:i w:val="0"/>
        </w:rPr>
        <w:t xml:space="preserve"> Printed forms: </w:t>
      </w:r>
      <w:r>
        <w:rPr>
          <w:b w:val="0"/>
          <w:i/>
        </w:rPr>
        <w:t>quinque capita</w:t>
      </w:r>
      <w:r>
        <w:rPr>
          <w:b w:val="0"/>
          <w:i w:val="0"/>
        </w:rPr>
        <w:t>.</w:t>
      </w:r>
    </w:p>
    <w:p>
      <w:pPr>
        <w:widowControl/>
      </w:pPr>
      <w:r>
        <w:rPr>
          <w:b w:val="0"/>
          <w:i w:val="0"/>
        </w:rPr>
        <w:t xml:space="preserve">Five principal headings under which different theories are reduced. The reduction aims at exhaustive alternatives; it does not identify each heading with one uniform historical school.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295" w:name="latin-record-1054"/>
      <w:bookmarkEnd w:id="1295"/>
      <w:r>
        <w:rPr>
          <w:b/>
          <w:i w:val="0"/>
        </w:rPr>
        <w:t>quintum corpusculum</w:t>
      </w:r>
      <w:r>
        <w:rPr>
          <w:b/>
          <w:i w:val="0"/>
        </w:rPr>
        <w:t>.</w:t>
      </w:r>
      <w:r>
        <w:rPr>
          <w:b w:val="0"/>
          <w:i w:val="0"/>
        </w:rPr>
        <w:t xml:space="preserve"> Printed forms: </w:t>
      </w:r>
      <w:r>
        <w:rPr>
          <w:b w:val="0"/>
          <w:i/>
        </w:rPr>
        <w:t>quintum aliquod tenuissimumque corpusculum</w:t>
      </w:r>
      <w:r>
        <w:rPr>
          <w:b w:val="0"/>
          <w:i w:val="0"/>
        </w:rPr>
        <w:t>.</w:t>
      </w:r>
    </w:p>
    <w:p>
      <w:pPr>
        <w:widowControl/>
      </w:pPr>
      <w:r>
        <w:rPr>
          <w:b w:val="0"/>
          <w:i w:val="0"/>
        </w:rPr>
        <w:t xml:space="preserve">A fifth exceptionally subtle body beyond the four elements. The proposed escape repeats the problem of whether matter or a superadded power explains animation. References: </w:t>
      </w:r>
      <w:hyperlink w:anchor="passage-vi-6-3">
        <w:r>
          <w:rPr>
            <w:color w:val="000000"/>
          </w:rPr>
          <w:t xml:space="preserve">VI.6.3</w:t>
        </w:r>
      </w:hyperlink>
      <w:r>
        <w:rPr>
          <w:b w:val="0"/>
          <w:i w:val="0"/>
        </w:rPr>
        <w:t xml:space="preserve">. See </w:t>
      </w:r>
      <w:hyperlink w:anchor="dense-subtle-and-fifth-body">
        <w:r>
          <w:rPr>
            <w:color w:val="000000"/>
          </w:rPr>
          <w:t xml:space="preserve">Dense, subtle and fifth body</w:t>
        </w:r>
      </w:hyperlink>
      <w:r>
        <w:rPr>
          <w:b w:val="0"/>
          <w:i w:val="0"/>
        </w:rPr>
        <w:t>.</w:t>
      </w:r>
    </w:p>
    <w:p>
      <w:pPr>
        <w:keepNext/>
        <w:widowControl/>
      </w:pPr>
      <w:bookmarkStart w:id="1296" w:name="latin-record-1055"/>
      <w:bookmarkEnd w:id="1296"/>
      <w:r>
        <w:rPr>
          <w:b/>
          <w:i w:val="0"/>
        </w:rPr>
        <w:t>quodammodo</w:t>
      </w:r>
      <w:r>
        <w:rPr>
          <w:b/>
          <w:i w:val="0"/>
        </w:rPr>
        <w:t>.</w:t>
      </w:r>
      <w:r>
        <w:rPr>
          <w:b w:val="0"/>
          <w:i w:val="0"/>
        </w:rPr>
        <w:t xml:space="preserve"> Printed forms: </w:t>
      </w:r>
      <w:r>
        <w:rPr>
          <w:b w:val="0"/>
          <w:i/>
        </w:rPr>
        <w:t>quodammodo</w:t>
      </w:r>
      <w:r>
        <w:rPr>
          <w:b w:val="0"/>
          <w:i w:val="0"/>
        </w:rPr>
        <w:t>.</w:t>
      </w:r>
    </w:p>
    <w:p>
      <w:pPr>
        <w:widowControl/>
      </w:pPr>
      <w:r>
        <w:rPr>
          <w:b w:val="0"/>
          <w:i w:val="0"/>
        </w:rPr>
        <w:t xml:space="preserve">In a certain respect or manner, explicitly qualifying a proposition. It limits claims about matter’s priority, soul’s inclination and the mode in which contraries or analogies are predicated. References: </w:t>
      </w:r>
      <w:hyperlink w:anchor="passage-v-5-5">
        <w:r>
          <w:rPr>
            <w:color w:val="000000"/>
          </w:rPr>
          <w:t xml:space="preserve">V.5.5</w:t>
        </w:r>
      </w:hyperlink>
      <w:r>
        <w:rPr>
          <w:b w:val="0"/>
          <w:i w:val="0"/>
        </w:rPr>
        <w:t xml:space="preserve">, </w:t>
      </w:r>
      <w:hyperlink w:anchor="passage-v-12-2">
        <w:r>
          <w:rPr>
            <w:color w:val="000000"/>
          </w:rPr>
          <w:t xml:space="preserve">V.12.2</w:t>
        </w:r>
      </w:hyperlink>
      <w:r>
        <w:rPr>
          <w:b w:val="0"/>
          <w:i w:val="0"/>
        </w:rPr>
        <w:t xml:space="preserve">, </w:t>
      </w:r>
      <w:hyperlink w:anchor="passage-v-12-3">
        <w:r>
          <w:rPr>
            <w:color w:val="000000"/>
          </w:rPr>
          <w:t xml:space="preserve">V.12.3</w:t>
        </w:r>
      </w:hyperlink>
      <w:r>
        <w:rPr>
          <w:b w:val="0"/>
          <w:i w:val="0"/>
        </w:rPr>
        <w:t xml:space="preserve">, </w:t>
      </w:r>
      <w:hyperlink w:anchor="passage-v-14-3">
        <w:r>
          <w:rPr>
            <w:color w:val="000000"/>
          </w:rPr>
          <w:t xml:space="preserve">V.14.3</w:t>
        </w:r>
      </w:hyperlink>
      <w:r>
        <w:rPr>
          <w:b w:val="0"/>
          <w:i w:val="0"/>
        </w:rPr>
        <w:t xml:space="preserve">. See </w:t>
      </w:r>
      <w:hyperlink w:anchor="potency-possibility-and-the-lion">
        <w:r>
          <w:rPr>
            <w:color w:val="000000"/>
          </w:rPr>
          <w:t xml:space="preserve">Potency, possibility and the lion</w:t>
        </w:r>
      </w:hyperlink>
      <w:r>
        <w:rPr>
          <w:b w:val="0"/>
          <w:i w:val="0"/>
        </w:rPr>
        <w:t>.</w:t>
      </w:r>
    </w:p>
    <w:p>
      <w:pPr>
        <w:widowControl/>
      </w:pPr>
      <w:r>
        <w:rPr>
          <w:b w:val="0"/>
          <w:i w:val="0"/>
        </w:rPr>
        <w:t xml:space="preserve">In a certain manner or respect, limiting an identification. Soul is called subtle heaven only under the comparison, not asserted to be literally an extended celestial body. References: </w:t>
      </w:r>
      <w:hyperlink w:anchor="passage-vi-2-24">
        <w:r>
          <w:rPr>
            <w:color w:val="000000"/>
          </w:rPr>
          <w:t xml:space="preserve">VI.2.24</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1297" w:name="latin-record-1056"/>
      <w:bookmarkEnd w:id="1297"/>
      <w:r>
        <w:rPr>
          <w:b/>
          <w:i w:val="0"/>
        </w:rPr>
        <w:t>quodammodo / quasi / ut ita loquar</w:t>
      </w:r>
      <w:r>
        <w:rPr>
          <w:b/>
          <w:i w:val="0"/>
        </w:rPr>
        <w:t>.</w:t>
      </w:r>
      <w:r>
        <w:rPr>
          <w:b w:val="0"/>
          <w:i w:val="0"/>
        </w:rPr>
        <w:t xml:space="preserve"> Printed forms: </w:t>
      </w:r>
      <w:r>
        <w:rPr>
          <w:b w:val="0"/>
          <w:i/>
        </w:rPr>
        <w:t>quasi</w:t>
      </w:r>
      <w:r>
        <w:rPr>
          <w:b w:val="0"/>
          <w:i w:val="0"/>
        </w:rPr>
        <w:t xml:space="preserve">; </w:t>
      </w:r>
      <w:r>
        <w:rPr>
          <w:b w:val="0"/>
          <w:i/>
        </w:rPr>
        <w:t>quodammodo</w:t>
      </w:r>
      <w:r>
        <w:rPr>
          <w:b w:val="0"/>
          <w:i w:val="0"/>
        </w:rPr>
        <w:t xml:space="preserve">; </w:t>
      </w:r>
      <w:r>
        <w:rPr>
          <w:b w:val="0"/>
          <w:i/>
        </w:rPr>
        <w:t>ut ita dixerim</w:t>
      </w:r>
      <w:r>
        <w:rPr>
          <w:b w:val="0"/>
          <w:i w:val="0"/>
        </w:rPr>
        <w:t xml:space="preserve">; </w:t>
      </w:r>
      <w:r>
        <w:rPr>
          <w:b w:val="0"/>
          <w:i/>
        </w:rPr>
        <w:t>ut ita loquar</w:t>
      </w:r>
      <w:r>
        <w:rPr>
          <w:b w:val="0"/>
          <w:i w:val="0"/>
        </w:rPr>
        <w:t>.</w:t>
      </w:r>
    </w:p>
    <w:p>
      <w:pPr>
        <w:widowControl/>
      </w:pPr>
      <w:r>
        <w:rPr>
          <w:b w:val="0"/>
          <w:i w:val="0"/>
        </w:rPr>
        <w:t xml:space="preserve">In a certain manner, as if, and if one may speak so: qualifications of an image or claim. They moderate phantasy’s incorporeality, mind’s infinitude and several spatial metaphors, rather than licensing their removal in summary.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5-1">
        <w:r>
          <w:rPr>
            <w:color w:val="000000"/>
          </w:rPr>
          <w:t xml:space="preserve">VIII.5.1</w:t>
        </w:r>
      </w:hyperlink>
      <w:r>
        <w:rPr>
          <w:b w:val="0"/>
          <w:i w:val="0"/>
        </w:rPr>
        <w:t xml:space="preserve">, </w:t>
      </w:r>
      <w:hyperlink w:anchor="passage-viii-7-1">
        <w:r>
          <w:rPr>
            <w:color w:val="000000"/>
          </w:rPr>
          <w:t xml:space="preserve">VIII.7.1</w:t>
        </w:r>
      </w:hyperlink>
      <w:r>
        <w:rPr>
          <w:b w:val="0"/>
          <w:i w:val="0"/>
        </w:rPr>
        <w:t xml:space="preserve">, </w:t>
      </w:r>
      <w:hyperlink w:anchor="passage-viii-14-1">
        <w:r>
          <w:rPr>
            <w:color w:val="000000"/>
          </w:rPr>
          <w:t xml:space="preserve">VIII.14.1</w:t>
        </w:r>
      </w:hyperlink>
      <w:r>
        <w:rPr>
          <w:b w:val="0"/>
          <w:i w:val="0"/>
        </w:rPr>
        <w:t xml:space="preserve">, </w:t>
      </w:r>
      <w:hyperlink w:anchor="passage-viii-16-3">
        <w:r>
          <w:rPr>
            <w:color w:val="000000"/>
          </w:rPr>
          <w:t xml:space="preserve">VIII.16.3</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298" w:name="latin-record-1057"/>
      <w:bookmarkEnd w:id="1298"/>
      <w:r>
        <w:rPr>
          <w:b/>
          <w:i w:val="0"/>
        </w:rPr>
        <w:t>quodammodo; quasi</w:t>
      </w:r>
      <w:r>
        <w:rPr>
          <w:b/>
          <w:i w:val="0"/>
        </w:rPr>
        <w:t>.</w:t>
      </w:r>
      <w:r>
        <w:rPr>
          <w:b w:val="0"/>
          <w:i w:val="0"/>
        </w:rPr>
        <w:t xml:space="preserve"> Printed forms: </w:t>
      </w:r>
      <w:r>
        <w:rPr>
          <w:b w:val="0"/>
          <w:i/>
        </w:rPr>
        <w:t>quasi corrumpit</w:t>
      </w:r>
      <w:r>
        <w:rPr>
          <w:b w:val="0"/>
          <w:i w:val="0"/>
        </w:rPr>
        <w:t xml:space="preserve">; </w:t>
      </w:r>
      <w:r>
        <w:rPr>
          <w:b w:val="0"/>
          <w:i/>
        </w:rPr>
        <w:t>quodammodo</w:t>
      </w:r>
      <w:r>
        <w:rPr>
          <w:b w:val="0"/>
          <w:i w:val="0"/>
        </w:rPr>
        <w:t xml:space="preserve">; </w:t>
      </w:r>
      <w:r>
        <w:rPr>
          <w:b w:val="0"/>
          <w:i/>
        </w:rPr>
        <w:t>ut ita dixerim</w:t>
      </w:r>
      <w:r>
        <w:rPr>
          <w:b w:val="0"/>
          <w:i w:val="0"/>
        </w:rPr>
        <w:t>.</w:t>
      </w:r>
    </w:p>
    <w:p>
      <w:pPr>
        <w:widowControl/>
      </w:pPr>
      <w:r>
        <w:rPr>
          <w:b w:val="0"/>
          <w:i w:val="0"/>
        </w:rPr>
        <w:t xml:space="preserve">In a manner, so to speak, as though corrupting. These stacked qualifications constrain the psychic analogues of generation and corruption rather than asserting literal self-creation or destruction. References: </w:t>
      </w:r>
      <w:hyperlink w:anchor="passage-vi-12-20">
        <w:r>
          <w:rPr>
            <w:color w:val="000000"/>
          </w:rPr>
          <w:t xml:space="preserve">VI.12.20</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1299" w:name="latin-record-1058"/>
      <w:bookmarkEnd w:id="1299"/>
      <w:r>
        <w:rPr>
          <w:b/>
          <w:i w:val="0"/>
        </w:rPr>
        <w:t>radius</w:t>
      </w:r>
      <w:r>
        <w:rPr>
          <w:b/>
          <w:i w:val="0"/>
        </w:rPr>
        <w:t>.</w:t>
      </w:r>
      <w:r>
        <w:rPr>
          <w:b w:val="0"/>
          <w:i w:val="0"/>
        </w:rPr>
        <w:t xml:space="preserve"> Printed forms: </w:t>
      </w:r>
      <w:r>
        <w:rPr>
          <w:b w:val="0"/>
          <w:i/>
        </w:rPr>
        <w:t>radiis</w:t>
      </w:r>
      <w:r>
        <w:rPr>
          <w:b w:val="0"/>
          <w:i w:val="0"/>
        </w:rPr>
        <w:t>.</w:t>
      </w:r>
    </w:p>
    <w:p>
      <w:pPr>
        <w:widowControl/>
      </w:pPr>
      <w:r>
        <w:rPr>
          <w:b w:val="0"/>
          <w:i w:val="0"/>
        </w:rPr>
        <w:t xml:space="preserve">A ray, the sun’s means of acting upon the sea in the historical account. The rays introduce the vapor/air example used to test whether natural change can annihilate its substrate. References: </w:t>
      </w:r>
      <w:hyperlink w:anchor="passage-v-4-1">
        <w:r>
          <w:rPr>
            <w:color w:val="000000"/>
          </w:rPr>
          <w:t xml:space="preserve">V.4.1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300" w:name="latin-record-1059"/>
      <w:bookmarkEnd w:id="1300"/>
      <w:r>
        <w:rPr>
          <w:b/>
          <w:i w:val="0"/>
        </w:rPr>
        <w:t>radix essendi</w:t>
      </w:r>
      <w:r>
        <w:rPr>
          <w:b/>
          <w:i w:val="0"/>
        </w:rPr>
        <w:t>.</w:t>
      </w:r>
      <w:r>
        <w:rPr>
          <w:b w:val="0"/>
          <w:i w:val="0"/>
        </w:rPr>
        <w:t xml:space="preserve"> Printed forms: </w:t>
      </w:r>
      <w:r>
        <w:rPr>
          <w:b w:val="0"/>
          <w:i/>
        </w:rPr>
        <w:t>essendi radicem</w:t>
      </w:r>
      <w:r>
        <w:rPr>
          <w:b w:val="0"/>
          <w:i w:val="0"/>
        </w:rPr>
        <w:t xml:space="preserve">; </w:t>
      </w:r>
      <w:r>
        <w:rPr>
          <w:b w:val="0"/>
          <w:i/>
        </w:rPr>
        <w:t>radicem essendi</w:t>
      </w:r>
      <w:r>
        <w:rPr>
          <w:b w:val="0"/>
          <w:i w:val="0"/>
        </w:rPr>
        <w:t>.</w:t>
      </w:r>
    </w:p>
    <w:p>
      <w:pPr>
        <w:widowControl/>
      </w:pPr>
      <w:r>
        <w:rPr>
          <w:b w:val="0"/>
          <w:i w:val="0"/>
        </w:rPr>
        <w:t xml:space="preserve">A root or first ground of being. The repeated conditional </w:t>
      </w:r>
      <w:r>
        <w:t>‘</w:t>
      </w:r>
      <w:r>
        <w:rPr>
          <w:b w:val="0"/>
          <w:i w:val="0"/>
        </w:rPr>
        <w:t>while it is</w:t>
      </w:r>
      <w:r>
        <w:t>’</w:t>
      </w:r>
      <w:r>
        <w:rPr>
          <w:b w:val="0"/>
          <w:i w:val="0"/>
        </w:rPr>
        <w:t xml:space="preserve"> cannot, Ficino argues, replace an actual explanatory ground with endless qualification. References: </w:t>
      </w:r>
      <w:hyperlink w:anchor="passage-v-9-3">
        <w:r>
          <w:rPr>
            <w:color w:val="000000"/>
          </w:rPr>
          <w:t xml:space="preserve">V.9.3</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1301" w:name="latin-record-1060"/>
      <w:bookmarkEnd w:id="1301"/>
      <w:r>
        <w:rPr>
          <w:b/>
          <w:i w:val="0"/>
        </w:rPr>
        <w:t>radix; germen; ramus</w:t>
      </w:r>
      <w:r>
        <w:rPr>
          <w:b/>
          <w:i w:val="0"/>
        </w:rPr>
        <w:t>.</w:t>
      </w:r>
      <w:r>
        <w:rPr>
          <w:b w:val="0"/>
          <w:i w:val="0"/>
        </w:rPr>
        <w:t xml:space="preserve"> Printed forms: </w:t>
      </w:r>
      <w:r>
        <w:rPr>
          <w:b w:val="0"/>
          <w:i/>
        </w:rPr>
        <w:t>germine</w:t>
      </w:r>
      <w:r>
        <w:rPr>
          <w:b w:val="0"/>
          <w:i w:val="0"/>
        </w:rPr>
        <w:t xml:space="preserve">; </w:t>
      </w:r>
      <w:r>
        <w:rPr>
          <w:b w:val="0"/>
          <w:i/>
        </w:rPr>
        <w:t>radice</w:t>
      </w:r>
      <w:r>
        <w:rPr>
          <w:b w:val="0"/>
          <w:i w:val="0"/>
        </w:rPr>
        <w:t xml:space="preserve">; </w:t>
      </w:r>
      <w:r>
        <w:rPr>
          <w:b w:val="0"/>
          <w:i/>
        </w:rPr>
        <w:t>ramis</w:t>
      </w:r>
      <w:r>
        <w:rPr>
          <w:b w:val="0"/>
          <w:i w:val="0"/>
        </w:rPr>
        <w:t xml:space="preserve">; </w:t>
      </w:r>
      <w:r>
        <w:rPr>
          <w:b w:val="0"/>
          <w:i/>
        </w:rPr>
        <w:t>ramos</w:t>
      </w:r>
      <w:r>
        <w:rPr>
          <w:b w:val="0"/>
          <w:i w:val="0"/>
        </w:rPr>
        <w:t>.</w:t>
      </w:r>
    </w:p>
    <w:p>
      <w:pPr>
        <w:widowControl/>
      </w:pPr>
      <w:r>
        <w:rPr>
          <w:b w:val="0"/>
          <w:i w:val="0"/>
        </w:rPr>
        <w:t xml:space="preserve">Root, shoot and branches. The growing and pruned tree contrasts the small receiving site with the wide reach of vegetative soul’s effects.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1302" w:name="latin-record-1061"/>
      <w:bookmarkEnd w:id="1302"/>
      <w:r>
        <w:rPr>
          <w:b/>
          <w:i w:val="0"/>
        </w:rPr>
        <w:t>raptus caelorum</w:t>
      </w:r>
      <w:r>
        <w:rPr>
          <w:b/>
          <w:i w:val="0"/>
        </w:rPr>
        <w:t>.</w:t>
      </w:r>
      <w:r>
        <w:rPr>
          <w:b w:val="0"/>
          <w:i w:val="0"/>
        </w:rPr>
        <w:t xml:space="preserve"> Printed forms: </w:t>
      </w:r>
      <w:r>
        <w:rPr>
          <w:b w:val="0"/>
          <w:i/>
        </w:rPr>
        <w:t>raptu caelorum</w:t>
      </w:r>
      <w:r>
        <w:rPr>
          <w:b w:val="0"/>
          <w:i w:val="0"/>
        </w:rPr>
        <w:t>.</w:t>
      </w:r>
    </w:p>
    <w:p>
      <w:pPr>
        <w:widowControl/>
      </w:pPr>
      <w:r>
        <w:rPr>
          <w:b w:val="0"/>
          <w:i w:val="0"/>
        </w:rPr>
        <w:t xml:space="preserve">The sweep or rapid carrying motion of the heavens. Ficino’s historical cosmology explains intensified variation in elemental bodies by celestial motion. References: </w:t>
      </w:r>
      <w:hyperlink w:anchor="passage-vi-8-2">
        <w:r>
          <w:rPr>
            <w:color w:val="000000"/>
          </w:rPr>
          <w:t xml:space="preserve">VI.8.2</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1303" w:name="latin-record-1062"/>
      <w:bookmarkEnd w:id="1303"/>
      <w:r>
        <w:rPr>
          <w:b/>
          <w:i w:val="0"/>
        </w:rPr>
        <w:t>rarefacere; condensare</w:t>
      </w:r>
      <w:r>
        <w:rPr>
          <w:b/>
          <w:i w:val="0"/>
        </w:rPr>
        <w:t>.</w:t>
      </w:r>
      <w:r>
        <w:rPr>
          <w:b w:val="0"/>
          <w:i w:val="0"/>
        </w:rPr>
        <w:t xml:space="preserve"> Printed forms: </w:t>
      </w:r>
      <w:r>
        <w:rPr>
          <w:b w:val="0"/>
          <w:i/>
        </w:rPr>
        <w:t>rarefacit, condensat</w:t>
      </w:r>
      <w:r>
        <w:rPr>
          <w:b w:val="0"/>
          <w:i w:val="0"/>
        </w:rPr>
        <w:t>.</w:t>
      </w:r>
    </w:p>
    <w:p>
      <w:pPr>
        <w:widowControl/>
      </w:pPr>
      <w:r>
        <w:rPr>
          <w:b w:val="0"/>
          <w:i w:val="0"/>
        </w:rPr>
        <w:t xml:space="preserve">To rarefy and condense. Soul’s contrary operations are later distinguished from its analogical mental rarefaction and condensation.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1304" w:name="latin-record-1063"/>
      <w:bookmarkEnd w:id="1304"/>
      <w:r>
        <w:rPr>
          <w:b/>
          <w:i w:val="0"/>
        </w:rPr>
        <w:t>rarefactio</w:t>
      </w:r>
      <w:r>
        <w:rPr>
          <w:b/>
          <w:i w:val="0"/>
        </w:rPr>
        <w:t>.</w:t>
      </w:r>
      <w:r>
        <w:rPr>
          <w:b w:val="0"/>
          <w:i w:val="0"/>
        </w:rPr>
        <w:t xml:space="preserve"> Printed forms: </w:t>
      </w:r>
      <w:r>
        <w:rPr>
          <w:b w:val="0"/>
          <w:i/>
        </w:rPr>
        <w:t>rarefactione</w:t>
      </w:r>
      <w:r>
        <w:rPr>
          <w:b w:val="0"/>
          <w:i w:val="0"/>
        </w:rPr>
        <w:t>.</w:t>
      </w:r>
    </w:p>
    <w:p>
      <w:pPr>
        <w:widowControl/>
      </w:pPr>
      <w:r>
        <w:rPr>
          <w:b w:val="0"/>
          <w:i w:val="0"/>
        </w:rPr>
        <w:t xml:space="preserve">Rarefaction, a thinning associated with ascent through the elements. Matter acquires the fire form without becoming a different underlying subject. References: </w:t>
      </w:r>
      <w:hyperlink w:anchor="passage-v-4-4">
        <w:r>
          <w:rPr>
            <w:color w:val="000000"/>
          </w:rPr>
          <w:t xml:space="preserve">V.4.4</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305" w:name="latin-record-1064"/>
      <w:bookmarkEnd w:id="1305"/>
      <w:r>
        <w:rPr>
          <w:b/>
          <w:i w:val="0"/>
        </w:rPr>
        <w:t>ratio</w:t>
      </w:r>
      <w:r>
        <w:rPr>
          <w:b/>
          <w:i w:val="0"/>
        </w:rPr>
        <w:t>.</w:t>
      </w:r>
      <w:r>
        <w:rPr>
          <w:b w:val="0"/>
          <w:i w:val="0"/>
        </w:rPr>
        <w:t xml:space="preserve"> Printed forms: </w:t>
      </w:r>
      <w:r>
        <w:rPr>
          <w:b w:val="0"/>
          <w:i/>
        </w:rPr>
        <w:t>ratio</w:t>
      </w:r>
      <w:r>
        <w:rPr>
          <w:b w:val="0"/>
          <w:i w:val="0"/>
        </w:rPr>
        <w:t xml:space="preserve">; </w:t>
      </w:r>
      <w:r>
        <w:rPr>
          <w:b w:val="0"/>
          <w:i/>
        </w:rPr>
        <w:t>ratione</w:t>
      </w:r>
      <w:r>
        <w:rPr>
          <w:b w:val="0"/>
          <w:i w:val="0"/>
        </w:rPr>
        <w:t xml:space="preserve">; </w:t>
      </w:r>
      <w:r>
        <w:rPr>
          <w:b w:val="0"/>
          <w:i/>
        </w:rPr>
        <w:t>rationem</w:t>
      </w:r>
      <w:r>
        <w:rPr>
          <w:b w:val="0"/>
          <w:i w:val="0"/>
        </w:rPr>
        <w:t xml:space="preserve">; </w:t>
      </w:r>
      <w:r>
        <w:rPr>
          <w:b w:val="0"/>
          <w:i/>
        </w:rPr>
        <w:t>rationes</w:t>
      </w:r>
      <w:r>
        <w:rPr>
          <w:b w:val="0"/>
          <w:i w:val="0"/>
        </w:rPr>
        <w:t xml:space="preserve">; </w:t>
      </w:r>
      <w:r>
        <w:rPr>
          <w:b w:val="0"/>
          <w:i/>
        </w:rPr>
        <w:t>rationibus</w:t>
      </w:r>
      <w:r>
        <w:rPr>
          <w:b w:val="0"/>
          <w:i w:val="0"/>
        </w:rPr>
        <w:t xml:space="preserve">; </w:t>
      </w:r>
      <w:r>
        <w:rPr>
          <w:b w:val="0"/>
          <w:i/>
        </w:rPr>
        <w:t>rationis</w:t>
      </w:r>
      <w:r>
        <w:rPr>
          <w:b w:val="0"/>
          <w:i w:val="0"/>
        </w:rPr>
        <w:t>.</w:t>
      </w:r>
    </w:p>
    <w:p>
      <w:pPr>
        <w:widowControl/>
      </w:pPr>
      <w:r>
        <w:rPr>
          <w:b w:val="0"/>
          <w:i w:val="0"/>
        </w:rPr>
        <w:t xml:space="preserve">Reason, an explanatory account or aspect, an argument, and in appropriate settings a formative pattern. Correcting reason in VI.2 differs from qua ratione in the causal tests and the inward craftsman’s rationes; these senses cannot all be replaced by rational thought. References: </w:t>
      </w:r>
      <w:hyperlink w:anchor="passage-vi-1-1">
        <w:r>
          <w:rPr>
            <w:color w:val="000000"/>
          </w:rPr>
          <w:t xml:space="preserve">VI.1.1</w:t>
        </w:r>
      </w:hyperlink>
      <w:r>
        <w:rPr>
          <w:b w:val="0"/>
          <w:i w:val="0"/>
        </w:rPr>
        <w:t xml:space="preserve">, </w:t>
      </w:r>
      <w:hyperlink w:anchor="passage-vi-2-7">
        <w:r>
          <w:rPr>
            <w:color w:val="000000"/>
          </w:rPr>
          <w:t xml:space="preserve">VI.2.7</w:t>
        </w:r>
      </w:hyperlink>
      <w:r>
        <w:rPr>
          <w:b w:val="0"/>
          <w:i w:val="0"/>
        </w:rPr>
        <w:t xml:space="preserve">, </w:t>
      </w:r>
      <w:hyperlink w:anchor="passage-vi-2-8">
        <w:r>
          <w:rPr>
            <w:color w:val="000000"/>
          </w:rPr>
          <w:t xml:space="preserve">VI.2.8</w:t>
        </w:r>
      </w:hyperlink>
      <w:r>
        <w:rPr>
          <w:b w:val="0"/>
          <w:i w:val="0"/>
        </w:rPr>
        <w:t xml:space="preserve">, </w:t>
      </w:r>
      <w:hyperlink w:anchor="passage-vi-5-4">
        <w:r>
          <w:rPr>
            <w:color w:val="000000"/>
          </w:rPr>
          <w:t xml:space="preserve">VI.5.4</w:t>
        </w:r>
      </w:hyperlink>
      <w:r>
        <w:rPr>
          <w:b w:val="0"/>
          <w:i w:val="0"/>
        </w:rPr>
        <w:t xml:space="preserve">, </w:t>
      </w:r>
      <w:hyperlink w:anchor="passage-vi-5-5">
        <w:r>
          <w:rPr>
            <w:color w:val="000000"/>
          </w:rPr>
          <w:t xml:space="preserve">VI.5.5</w:t>
        </w:r>
      </w:hyperlink>
      <w:r>
        <w:rPr>
          <w:b w:val="0"/>
          <w:i w:val="0"/>
        </w:rPr>
        <w:t xml:space="preserve">, </w:t>
      </w:r>
      <w:hyperlink w:anchor="passage-vi-13-9">
        <w:r>
          <w:rPr>
            <w:color w:val="000000"/>
          </w:rPr>
          <w:t xml:space="preserve">VI.13.9</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306" w:name="latin-record-1065"/>
      <w:bookmarkEnd w:id="1306"/>
      <w:r>
        <w:rPr>
          <w:b/>
          <w:i w:val="0"/>
        </w:rPr>
        <w:t>ratio (account or principle)</w:t>
      </w:r>
      <w:r>
        <w:rPr>
          <w:b/>
          <w:i w:val="0"/>
        </w:rPr>
        <w:t>.</w:t>
      </w:r>
      <w:r>
        <w:rPr>
          <w:b w:val="0"/>
          <w:i w:val="0"/>
        </w:rPr>
        <w:t xml:space="preserve"> Printed forms: </w:t>
      </w:r>
      <w:r>
        <w:rPr>
          <w:b w:val="0"/>
          <w:i/>
        </w:rPr>
        <w:t>Ratio</w:t>
      </w:r>
      <w:r>
        <w:rPr>
          <w:b w:val="0"/>
          <w:i w:val="0"/>
        </w:rPr>
        <w:t xml:space="preserve">; </w:t>
      </w:r>
      <w:r>
        <w:rPr>
          <w:b w:val="0"/>
          <w:i/>
        </w:rPr>
        <w:t>ratio</w:t>
      </w:r>
      <w:r>
        <w:rPr>
          <w:b w:val="0"/>
          <w:i w:val="0"/>
        </w:rPr>
        <w:t xml:space="preserve">; </w:t>
      </w:r>
      <w:r>
        <w:rPr>
          <w:b w:val="0"/>
          <w:i/>
        </w:rPr>
        <w:t>rationem</w:t>
      </w:r>
      <w:r>
        <w:rPr>
          <w:b w:val="0"/>
          <w:i w:val="0"/>
        </w:rPr>
        <w:t xml:space="preserve">; </w:t>
      </w:r>
      <w:r>
        <w:rPr>
          <w:b w:val="0"/>
          <w:i/>
        </w:rPr>
        <w:t>rationes</w:t>
      </w:r>
      <w:r>
        <w:rPr>
          <w:b w:val="0"/>
          <w:i w:val="0"/>
        </w:rPr>
        <w:t xml:space="preserve">; </w:t>
      </w:r>
      <w:r>
        <w:rPr>
          <w:b w:val="0"/>
          <w:i/>
        </w:rPr>
        <w:t>Rationes</w:t>
      </w:r>
      <w:r>
        <w:rPr>
          <w:b w:val="0"/>
          <w:i w:val="0"/>
        </w:rPr>
        <w:t xml:space="preserve">; </w:t>
      </w:r>
      <w:r>
        <w:rPr>
          <w:b w:val="0"/>
          <w:i/>
        </w:rPr>
        <w:t>rationibus</w:t>
      </w:r>
      <w:r>
        <w:rPr>
          <w:b w:val="0"/>
          <w:i w:val="0"/>
        </w:rPr>
        <w:t>.</w:t>
      </w:r>
    </w:p>
    <w:p>
      <w:pPr>
        <w:widowControl/>
      </w:pPr>
      <w:r>
        <w:rPr>
          <w:b w:val="0"/>
          <w:i w:val="0"/>
        </w:rPr>
        <w:t xml:space="preserve">An intelligible account, defining principle or explanatory structure of a thing. The common account of humanity and the complete account of a circle are not extended like particular humans or circles.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2-7">
        <w:r>
          <w:rPr>
            <w:color w:val="000000"/>
          </w:rPr>
          <w:t xml:space="preserve">VIII.2.7</w:t>
        </w:r>
      </w:hyperlink>
      <w:r>
        <w:rPr>
          <w:b w:val="0"/>
          <w:i w:val="0"/>
        </w:rPr>
        <w:t xml:space="preserve">, </w:t>
      </w:r>
      <w:hyperlink w:anchor="passage-viii-16-3">
        <w:r>
          <w:rPr>
            <w:color w:val="000000"/>
          </w:rPr>
          <w:t xml:space="preserve">VIII.16.3</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307" w:name="latin-record-1066"/>
      <w:bookmarkEnd w:id="1307"/>
      <w:r>
        <w:rPr>
          <w:b/>
          <w:i w:val="0"/>
        </w:rPr>
        <w:t>ratio (additional inflections)</w:t>
      </w:r>
      <w:r>
        <w:rPr>
          <w:b/>
          <w:i w:val="0"/>
        </w:rPr>
        <w:t>.</w:t>
      </w:r>
      <w:r>
        <w:rPr>
          <w:b w:val="0"/>
          <w:i w:val="0"/>
        </w:rPr>
        <w:t xml:space="preserve"> Printed forms: </w:t>
      </w:r>
      <w:r>
        <w:rPr>
          <w:b w:val="0"/>
          <w:i/>
        </w:rPr>
        <w:t>ratione</w:t>
      </w:r>
      <w:r>
        <w:rPr>
          <w:b w:val="0"/>
          <w:i w:val="0"/>
        </w:rPr>
        <w:t xml:space="preserve">; </w:t>
      </w:r>
      <w:r>
        <w:rPr>
          <w:b w:val="0"/>
          <w:i/>
        </w:rPr>
        <w:t>rationibus</w:t>
      </w:r>
      <w:r>
        <w:rPr>
          <w:b w:val="0"/>
          <w:i w:val="0"/>
        </w:rPr>
        <w:t xml:space="preserve">; </w:t>
      </w:r>
      <w:r>
        <w:rPr>
          <w:b w:val="0"/>
          <w:i/>
        </w:rPr>
        <w:t>rationis</w:t>
      </w:r>
      <w:r>
        <w:rPr>
          <w:b w:val="0"/>
          <w:i w:val="0"/>
        </w:rPr>
        <w:t>.</w:t>
      </w:r>
    </w:p>
    <w:p>
      <w:pPr>
        <w:widowControl/>
      </w:pPr>
      <w:r>
        <w:rPr>
          <w:b w:val="0"/>
          <w:i w:val="0"/>
        </w:rPr>
        <w:t xml:space="preserve">Reason, account or intelligible principle according to its governing construction. A reasoned proof, a universal object’s account and the phrase </w:t>
      </w:r>
      <w:r>
        <w:t>‘</w:t>
      </w:r>
      <w:r>
        <w:rPr>
          <w:b w:val="0"/>
          <w:i w:val="0"/>
        </w:rPr>
        <w:t>insofar as</w:t>
      </w:r>
      <w:r>
        <w:t>’</w:t>
      </w:r>
      <w:r>
        <w:rPr>
          <w:b w:val="0"/>
          <w:i w:val="0"/>
        </w:rPr>
        <w:t xml:space="preserve"> are not interchangeable senses; the local syntax decides. References: </w:t>
      </w:r>
      <w:hyperlink w:anchor="passage-viii-2-1">
        <w:r>
          <w:rPr>
            <w:color w:val="000000"/>
          </w:rPr>
          <w:t xml:space="preserve">VIII.2.1</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8">
        <w:r>
          <w:rPr>
            <w:color w:val="000000"/>
          </w:rPr>
          <w:t xml:space="preserve">VIII.3.8</w:t>
        </w:r>
      </w:hyperlink>
      <w:r>
        <w:rPr>
          <w:b w:val="0"/>
          <w:i w:val="0"/>
        </w:rPr>
        <w:t xml:space="preserve">, </w:t>
      </w:r>
      <w:hyperlink w:anchor="passage-viii-4-2">
        <w:r>
          <w:rPr>
            <w:color w:val="000000"/>
          </w:rPr>
          <w:t xml:space="preserve">VIII.4.2</w:t>
        </w:r>
      </w:hyperlink>
      <w:r>
        <w:rPr>
          <w:b w:val="0"/>
          <w:i w:val="0"/>
        </w:rPr>
        <w:t xml:space="preserve">, </w:t>
      </w:r>
      <w:hyperlink w:anchor="passage-viii-4-4">
        <w:r>
          <w:rPr>
            <w:color w:val="000000"/>
          </w:rPr>
          <w:t xml:space="preserve">VIII.4.4</w:t>
        </w:r>
      </w:hyperlink>
      <w:r>
        <w:rPr>
          <w:b w:val="0"/>
          <w:i w:val="0"/>
        </w:rPr>
        <w:t xml:space="preserve">, </w:t>
      </w:r>
      <w:hyperlink w:anchor="passage-viii-4-10">
        <w:r>
          <w:rPr>
            <w:color w:val="000000"/>
          </w:rPr>
          <w:t xml:space="preserve">VIII.4.10</w:t>
        </w:r>
      </w:hyperlink>
      <w:r>
        <w:rPr>
          <w:b w:val="0"/>
          <w:i w:val="0"/>
        </w:rPr>
        <w:t xml:space="preserve">, </w:t>
      </w:r>
      <w:hyperlink w:anchor="passage-viii-4-13">
        <w:r>
          <w:rPr>
            <w:color w:val="000000"/>
          </w:rPr>
          <w:t xml:space="preserve">VIII.4.13</w:t>
        </w:r>
      </w:hyperlink>
      <w:r>
        <w:rPr>
          <w:b w:val="0"/>
          <w:i w:val="0"/>
        </w:rPr>
        <w:t xml:space="preserve">, </w:t>
      </w:r>
      <w:hyperlink w:anchor="passage-viii-15-1">
        <w:r>
          <w:rPr>
            <w:color w:val="000000"/>
          </w:rPr>
          <w:t xml:space="preserve">VIII.15.1</w:t>
        </w:r>
      </w:hyperlink>
      <w:r>
        <w:rPr>
          <w:b w:val="0"/>
          <w:i w:val="0"/>
        </w:rPr>
        <w:t xml:space="preserve">, </w:t>
      </w:r>
      <w:hyperlink w:anchor="passage-viii-16-3">
        <w:r>
          <w:rPr>
            <w:color w:val="000000"/>
          </w:rPr>
          <w:t xml:space="preserve">VIII.16.3</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308" w:name="latin-record-1067"/>
      <w:bookmarkEnd w:id="1308"/>
      <w:r>
        <w:rPr>
          <w:b/>
          <w:i w:val="0"/>
        </w:rPr>
        <w:t>ratio (reasoning power)</w:t>
      </w:r>
      <w:r>
        <w:rPr>
          <w:b/>
          <w:i w:val="0"/>
        </w:rPr>
        <w:t>.</w:t>
      </w:r>
      <w:r>
        <w:rPr>
          <w:b w:val="0"/>
          <w:i w:val="0"/>
        </w:rPr>
        <w:t xml:space="preserve"> Printed forms: </w:t>
      </w:r>
      <w:r>
        <w:rPr>
          <w:b w:val="0"/>
          <w:i/>
        </w:rPr>
        <w:t>ratio</w:t>
      </w:r>
      <w:r>
        <w:rPr>
          <w:b w:val="0"/>
          <w:i w:val="0"/>
        </w:rPr>
        <w:t xml:space="preserve">; </w:t>
      </w:r>
      <w:r>
        <w:rPr>
          <w:b w:val="0"/>
          <w:i/>
        </w:rPr>
        <w:t>Ratio</w:t>
      </w:r>
      <w:r>
        <w:rPr>
          <w:b w:val="0"/>
          <w:i w:val="0"/>
        </w:rPr>
        <w:t>.</w:t>
      </w:r>
    </w:p>
    <w:p>
      <w:pPr>
        <w:widowControl/>
      </w:pPr>
      <w:r>
        <w:rPr>
          <w:b w:val="0"/>
          <w:i w:val="0"/>
        </w:rPr>
        <w:t xml:space="preserve">Reason as the judging or directing intellectual power, rather than an object’s account. Reason directs courageous action, determines the content of moral choice and judges truths beyond the competence of a particular sense. References: </w:t>
      </w:r>
      <w:hyperlink w:anchor="passage-viii-2-3">
        <w:r>
          <w:rPr>
            <w:color w:val="000000"/>
          </w:rPr>
          <w:t xml:space="preserve">VIII.2.3</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5">
        <w:r>
          <w:rPr>
            <w:color w:val="000000"/>
          </w:rPr>
          <w:t xml:space="preserve">VIII.3.5</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1309" w:name="latin-record-1068"/>
      <w:bookmarkEnd w:id="1309"/>
      <w:r>
        <w:rPr>
          <w:b/>
          <w:i w:val="0"/>
        </w:rPr>
        <w:t>ratio / definitio</w:t>
      </w:r>
      <w:r>
        <w:rPr>
          <w:b/>
          <w:i w:val="0"/>
        </w:rPr>
        <w:t>.</w:t>
      </w:r>
      <w:r>
        <w:rPr>
          <w:b w:val="0"/>
          <w:i w:val="0"/>
        </w:rPr>
        <w:t xml:space="preserve"> Printed forms: </w:t>
      </w:r>
      <w:r>
        <w:rPr>
          <w:b w:val="0"/>
          <w:i/>
        </w:rPr>
        <w:t>definitio</w:t>
      </w:r>
      <w:r>
        <w:rPr>
          <w:b w:val="0"/>
          <w:i w:val="0"/>
        </w:rPr>
        <w:t xml:space="preserve">; </w:t>
      </w:r>
      <w:r>
        <w:rPr>
          <w:b w:val="0"/>
          <w:i/>
        </w:rPr>
        <w:t>definitione</w:t>
      </w:r>
      <w:r>
        <w:rPr>
          <w:b w:val="0"/>
          <w:i w:val="0"/>
        </w:rPr>
        <w:t xml:space="preserve">; </w:t>
      </w:r>
      <w:r>
        <w:rPr>
          <w:b w:val="0"/>
          <w:i/>
        </w:rPr>
        <w:t>definitionem</w:t>
      </w:r>
      <w:r>
        <w:rPr>
          <w:b w:val="0"/>
          <w:i w:val="0"/>
        </w:rPr>
        <w:t xml:space="preserve">; </w:t>
      </w:r>
      <w:r>
        <w:rPr>
          <w:b w:val="0"/>
          <w:i/>
        </w:rPr>
        <w:t>ratio</w:t>
      </w:r>
      <w:r>
        <w:rPr>
          <w:b w:val="0"/>
          <w:i w:val="0"/>
        </w:rPr>
        <w:t xml:space="preserve">; </w:t>
      </w:r>
      <w:r>
        <w:rPr>
          <w:b w:val="0"/>
          <w:i/>
        </w:rPr>
        <w:t>ratione</w:t>
      </w:r>
      <w:r>
        <w:rPr>
          <w:b w:val="0"/>
          <w:i w:val="0"/>
        </w:rPr>
        <w:t xml:space="preserve">; </w:t>
      </w:r>
      <w:r>
        <w:rPr>
          <w:b w:val="0"/>
          <w:i/>
        </w:rPr>
        <w:t>rationem</w:t>
      </w:r>
      <w:r>
        <w:rPr>
          <w:b w:val="0"/>
          <w:i w:val="0"/>
        </w:rPr>
        <w:t xml:space="preserve">; </w:t>
      </w:r>
      <w:r>
        <w:rPr>
          <w:b w:val="0"/>
          <w:i/>
        </w:rPr>
        <w:t>rationes</w:t>
      </w:r>
      <w:r>
        <w:rPr>
          <w:b w:val="0"/>
          <w:i w:val="0"/>
        </w:rPr>
        <w:t xml:space="preserve">; </w:t>
      </w:r>
      <w:r>
        <w:rPr>
          <w:b w:val="0"/>
          <w:i/>
        </w:rPr>
        <w:t>rationibus</w:t>
      </w:r>
      <w:r>
        <w:rPr>
          <w:b w:val="0"/>
          <w:i w:val="0"/>
        </w:rPr>
        <w:t xml:space="preserve">; </w:t>
      </w:r>
      <w:r>
        <w:rPr>
          <w:b w:val="0"/>
          <w:i/>
        </w:rPr>
        <w:t>rationis</w:t>
      </w:r>
      <w:r>
        <w:rPr>
          <w:b w:val="0"/>
          <w:i w:val="0"/>
        </w:rPr>
        <w:t xml:space="preserve">; </w:t>
      </w:r>
      <w:r>
        <w:rPr>
          <w:b w:val="0"/>
          <w:i/>
        </w:rPr>
        <w:t>rationum</w:t>
      </w:r>
      <w:r>
        <w:rPr>
          <w:b w:val="0"/>
          <w:i w:val="0"/>
        </w:rPr>
        <w:t>.</w:t>
      </w:r>
    </w:p>
    <w:p>
      <w:pPr>
        <w:widowControl/>
      </w:pPr>
      <w:r>
        <w:rPr>
          <w:b w:val="0"/>
          <w:i w:val="0"/>
        </w:rPr>
        <w:t xml:space="preserve">Ratio can name an argument or reason, a defining account, or an intelligible principle; definitio specifically supplies the defining account. These senses are not interchangeable. V.7.1 uses ratio with definitio for the comet’s defining account. The additional exact attestations in the earlier proofs use reason or argument, while later rationes can name stable intelligible principles. The context, not the shared spelling, controls the sense. References: </w:t>
      </w:r>
      <w:hyperlink w:anchor="passage-v-1-1">
        <w:r>
          <w:rPr>
            <w:color w:val="000000"/>
          </w:rPr>
          <w:t xml:space="preserve">V.1.1</w:t>
        </w:r>
      </w:hyperlink>
      <w:r>
        <w:rPr>
          <w:b w:val="0"/>
          <w:i w:val="0"/>
        </w:rPr>
        <w:t xml:space="preserve">, </w:t>
      </w:r>
      <w:hyperlink w:anchor="passage-v-5-5">
        <w:r>
          <w:rPr>
            <w:color w:val="000000"/>
          </w:rPr>
          <w:t xml:space="preserve">V.5.5</w:t>
        </w:r>
      </w:hyperlink>
      <w:r>
        <w:rPr>
          <w:b w:val="0"/>
          <w:i w:val="0"/>
        </w:rPr>
        <w:t xml:space="preserve">, </w:t>
      </w:r>
      <w:hyperlink w:anchor="passage-v-7-1">
        <w:r>
          <w:rPr>
            <w:color w:val="000000"/>
          </w:rPr>
          <w:t xml:space="preserve">V.7.1</w:t>
        </w:r>
      </w:hyperlink>
      <w:r>
        <w:rPr>
          <w:b w:val="0"/>
          <w:i w:val="0"/>
        </w:rPr>
        <w:t xml:space="preserve">, </w:t>
      </w:r>
      <w:hyperlink w:anchor="passage-v-13-18">
        <w:r>
          <w:rPr>
            <w:color w:val="000000"/>
          </w:rPr>
          <w:t xml:space="preserve">V.13.18</w:t>
        </w:r>
      </w:hyperlink>
      <w:r>
        <w:rPr>
          <w:b w:val="0"/>
          <w:i w:val="0"/>
        </w:rPr>
        <w:t xml:space="preserve">, </w:t>
      </w:r>
      <w:hyperlink w:anchor="passage-v-15-15">
        <w:r>
          <w:rPr>
            <w:color w:val="000000"/>
          </w:rPr>
          <w:t xml:space="preserve">V.15.15</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1310" w:name="latin-record-1069"/>
      <w:bookmarkEnd w:id="1310"/>
      <w:r>
        <w:rPr>
          <w:b/>
          <w:i w:val="0"/>
        </w:rPr>
        <w:t>ratio / transcendere</w:t>
      </w:r>
      <w:r>
        <w:rPr>
          <w:b/>
          <w:i w:val="0"/>
        </w:rPr>
        <w:t>.</w:t>
      </w:r>
      <w:r>
        <w:rPr>
          <w:b w:val="0"/>
          <w:i w:val="0"/>
        </w:rPr>
        <w:t xml:space="preserve"> Printed forms: </w:t>
      </w:r>
      <w:r>
        <w:rPr>
          <w:b w:val="0"/>
          <w:i/>
        </w:rPr>
        <w:t>rationem</w:t>
      </w:r>
      <w:r>
        <w:rPr>
          <w:b w:val="0"/>
          <w:i w:val="0"/>
        </w:rPr>
        <w:t xml:space="preserve">; </w:t>
      </w:r>
      <w:r>
        <w:rPr>
          <w:b w:val="0"/>
          <w:i/>
        </w:rPr>
        <w:t>transcendit</w:t>
      </w:r>
      <w:r>
        <w:rPr>
          <w:b w:val="0"/>
          <w:i w:val="0"/>
        </w:rPr>
        <w:t>.</w:t>
      </w:r>
    </w:p>
    <w:p>
      <w:pPr>
        <w:widowControl/>
      </w:pPr>
      <w:r>
        <w:rPr>
          <w:b w:val="0"/>
          <w:i w:val="0"/>
        </w:rPr>
        <w:t xml:space="preserve">Reason as the power going beyond bodily quantity. The chapter reserves its fuller treatment for later and distinguishes it from the senses whose objects remain bodily.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1311" w:name="latin-record-1070"/>
      <w:bookmarkEnd w:id="1311"/>
      <w:r>
        <w:rPr>
          <w:b/>
          <w:i w:val="0"/>
        </w:rPr>
        <w:t>ratio animae</w:t>
      </w:r>
      <w:r>
        <w:rPr>
          <w:b/>
          <w:i w:val="0"/>
        </w:rPr>
        <w:t>.</w:t>
      </w:r>
      <w:r>
        <w:rPr>
          <w:b w:val="0"/>
          <w:i w:val="0"/>
        </w:rPr>
        <w:t xml:space="preserve"> Printed forms: </w:t>
      </w:r>
      <w:r>
        <w:rPr>
          <w:b w:val="0"/>
          <w:i/>
        </w:rPr>
        <w:t>rationem animae</w:t>
      </w:r>
      <w:r>
        <w:rPr>
          <w:b w:val="0"/>
          <w:i w:val="0"/>
        </w:rPr>
        <w:t>.</w:t>
      </w:r>
    </w:p>
    <w:p>
      <w:pPr>
        <w:widowControl/>
      </w:pPr>
      <w:r>
        <w:rPr>
          <w:b w:val="0"/>
          <w:i w:val="0"/>
        </w:rPr>
        <w:t xml:space="preserve">The defining account of soul. It differs from concord’s bare account once the theory needs a special further determination to distinguish living harmony.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1312" w:name="latin-record-1071"/>
      <w:bookmarkEnd w:id="1312"/>
      <w:r>
        <w:rPr>
          <w:b/>
          <w:i w:val="0"/>
        </w:rPr>
        <w:t>ratio as argument</w:t>
      </w:r>
      <w:r>
        <w:rPr>
          <w:b/>
          <w:i w:val="0"/>
        </w:rPr>
        <w:t>.</w:t>
      </w:r>
      <w:r>
        <w:rPr>
          <w:b w:val="0"/>
          <w:i w:val="0"/>
        </w:rPr>
        <w:t xml:space="preserve"> Printed forms: </w:t>
      </w:r>
      <w:r>
        <w:rPr>
          <w:b w:val="0"/>
          <w:i/>
        </w:rPr>
        <w:t>argumentatione</w:t>
      </w:r>
      <w:r>
        <w:rPr>
          <w:b w:val="0"/>
          <w:i w:val="0"/>
        </w:rPr>
        <w:t xml:space="preserve">; </w:t>
      </w:r>
      <w:r>
        <w:rPr>
          <w:b w:val="0"/>
          <w:i/>
        </w:rPr>
        <w:t>argumentationibus</w:t>
      </w:r>
      <w:r>
        <w:rPr>
          <w:b w:val="0"/>
          <w:i w:val="0"/>
        </w:rPr>
        <w:t xml:space="preserve">; </w:t>
      </w:r>
      <w:r>
        <w:rPr>
          <w:b w:val="0"/>
          <w:i/>
        </w:rPr>
        <w:t>disputationis</w:t>
      </w:r>
      <w:r>
        <w:rPr>
          <w:b w:val="0"/>
          <w:i w:val="0"/>
        </w:rPr>
        <w:t xml:space="preserve">; </w:t>
      </w:r>
      <w:r>
        <w:rPr>
          <w:b w:val="0"/>
          <w:i/>
        </w:rPr>
        <w:t>rationibus</w:t>
      </w:r>
      <w:r>
        <w:rPr>
          <w:b w:val="0"/>
          <w:i w:val="0"/>
        </w:rPr>
        <w:t>.</w:t>
      </w:r>
    </w:p>
    <w:p>
      <w:pPr>
        <w:widowControl/>
      </w:pPr>
      <w:r>
        <w:rPr>
          <w:b w:val="0"/>
          <w:i w:val="0"/>
        </w:rPr>
        <w:t xml:space="preserve">A reasoned argument or proof, distinct from a proportion or rational faculty. The book marks its transition from earlier arguments to proofs proper against a bodily form, and then tests the consequences of suppositions. References: </w:t>
      </w:r>
      <w:hyperlink w:anchor="passage-vii-1-1">
        <w:r>
          <w:rPr>
            <w:color w:val="000000"/>
          </w:rPr>
          <w:t xml:space="preserve">VII.1.1</w:t>
        </w:r>
      </w:hyperlink>
      <w:r>
        <w:rPr>
          <w:b w:val="0"/>
          <w:i w:val="0"/>
        </w:rPr>
        <w:t xml:space="preserve">, </w:t>
      </w:r>
      <w:hyperlink w:anchor="passage-vii-7-1">
        <w:r>
          <w:rPr>
            <w:color w:val="000000"/>
          </w:rPr>
          <w:t xml:space="preserve">VII.7.1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313" w:name="latin-record-1072"/>
      <w:bookmarkEnd w:id="1313"/>
      <w:r>
        <w:rPr>
          <w:b/>
          <w:i w:val="0"/>
        </w:rPr>
        <w:t>ratio compositionis / proportio</w:t>
      </w:r>
      <w:r>
        <w:rPr>
          <w:b/>
          <w:i w:val="0"/>
        </w:rPr>
        <w:t>.</w:t>
      </w:r>
      <w:r>
        <w:rPr>
          <w:b w:val="0"/>
          <w:i w:val="0"/>
        </w:rPr>
        <w:t xml:space="preserve"> Printed forms: </w:t>
      </w:r>
      <w:r>
        <w:rPr>
          <w:b w:val="0"/>
          <w:i/>
        </w:rPr>
        <w:t>compositionis rationes</w:t>
      </w:r>
      <w:r>
        <w:rPr>
          <w:b w:val="0"/>
          <w:i w:val="0"/>
        </w:rPr>
        <w:t xml:space="preserve">; </w:t>
      </w:r>
      <w:r>
        <w:rPr>
          <w:b w:val="0"/>
          <w:i/>
        </w:rPr>
        <w:t>proportione</w:t>
      </w:r>
      <w:r>
        <w:rPr>
          <w:b w:val="0"/>
          <w:i w:val="0"/>
        </w:rPr>
        <w:t xml:space="preserve">; </w:t>
      </w:r>
      <w:r>
        <w:rPr>
          <w:b w:val="0"/>
          <w:i/>
        </w:rPr>
        <w:t>proportionem</w:t>
      </w:r>
      <w:r>
        <w:rPr>
          <w:b w:val="0"/>
          <w:i w:val="0"/>
        </w:rPr>
        <w:t xml:space="preserve">; </w:t>
      </w:r>
      <w:r>
        <w:rPr>
          <w:b w:val="0"/>
          <w:i/>
        </w:rPr>
        <w:t>proportiones</w:t>
      </w:r>
      <w:r>
        <w:rPr>
          <w:b w:val="0"/>
          <w:i w:val="0"/>
        </w:rPr>
        <w:t xml:space="preserve">; </w:t>
      </w:r>
      <w:r>
        <w:rPr>
          <w:b w:val="0"/>
          <w:i/>
        </w:rPr>
        <w:t>ratio</w:t>
      </w:r>
      <w:r>
        <w:rPr>
          <w:b w:val="0"/>
          <w:i w:val="0"/>
        </w:rPr>
        <w:t xml:space="preserve">; </w:t>
      </w:r>
      <w:r>
        <w:rPr>
          <w:b w:val="0"/>
          <w:i/>
        </w:rPr>
        <w:t>rationem</w:t>
      </w:r>
      <w:r>
        <w:rPr>
          <w:b w:val="0"/>
          <w:i w:val="0"/>
        </w:rPr>
        <w:t>.</w:t>
      </w:r>
    </w:p>
    <w:p>
      <w:pPr>
        <w:widowControl/>
      </w:pPr>
      <w:r>
        <w:rPr>
          <w:b w:val="0"/>
          <w:i w:val="0"/>
        </w:rPr>
        <w:t xml:space="preserve">A determinate ratio or proportion among bodily constituents. Different tissues have different proportions; identifying each proportion with a soul would divide one living being into many souls.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keepNext/>
        <w:widowControl/>
      </w:pPr>
      <w:bookmarkStart w:id="1314" w:name="latin-record-1073"/>
      <w:bookmarkEnd w:id="1314"/>
      <w:r>
        <w:rPr>
          <w:b/>
          <w:i w:val="0"/>
        </w:rPr>
        <w:t>ratio secum vivens</w:t>
      </w:r>
      <w:r>
        <w:rPr>
          <w:b/>
          <w:i w:val="0"/>
        </w:rPr>
        <w:t>.</w:t>
      </w:r>
      <w:r>
        <w:rPr>
          <w:b w:val="0"/>
          <w:i w:val="0"/>
        </w:rPr>
        <w:t xml:space="preserve"> Printed forms: </w:t>
      </w:r>
      <w:r>
        <w:rPr>
          <w:b w:val="0"/>
          <w:i/>
        </w:rPr>
        <w:t>ratio secum ipsa vivens</w:t>
      </w:r>
      <w:r>
        <w:rPr>
          <w:b w:val="0"/>
          <w:i w:val="0"/>
        </w:rPr>
        <w:t>.</w:t>
      </w:r>
    </w:p>
    <w:p>
      <w:pPr>
        <w:widowControl/>
      </w:pPr>
      <w:r>
        <w:rPr>
          <w:b w:val="0"/>
          <w:i w:val="0"/>
        </w:rPr>
        <w:t xml:space="preserve">Reason living with itself in inward intellectual activity. This describes pure soul seeking truth, distinguished from angelic intellect already enjoying infused light. References: </w:t>
      </w:r>
      <w:hyperlink w:anchor="passage-vi-2-10">
        <w:r>
          <w:rPr>
            <w:color w:val="000000"/>
          </w:rPr>
          <w:t xml:space="preserve">VI.2.10</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keepNext/>
        <w:widowControl/>
      </w:pPr>
      <w:bookmarkStart w:id="1315" w:name="latin-record-1074"/>
      <w:bookmarkEnd w:id="1315"/>
      <w:r>
        <w:rPr>
          <w:b/>
          <w:i w:val="0"/>
        </w:rPr>
        <w:t>rationalis</w:t>
      </w:r>
      <w:r>
        <w:rPr>
          <w:b/>
          <w:i w:val="0"/>
        </w:rPr>
        <w:t>.</w:t>
      </w:r>
      <w:r>
        <w:rPr>
          <w:b w:val="0"/>
          <w:i w:val="0"/>
        </w:rPr>
        <w:t xml:space="preserve"> Printed forms: </w:t>
      </w:r>
      <w:r>
        <w:rPr>
          <w:b w:val="0"/>
          <w:i/>
        </w:rPr>
        <w:t>rationalemque</w:t>
      </w:r>
      <w:r>
        <w:rPr>
          <w:b w:val="0"/>
          <w:i w:val="0"/>
        </w:rPr>
        <w:t xml:space="preserve">; </w:t>
      </w:r>
      <w:r>
        <w:rPr>
          <w:b w:val="0"/>
          <w:i/>
        </w:rPr>
        <w:t>rationali</w:t>
      </w:r>
      <w:r>
        <w:rPr>
          <w:b w:val="0"/>
          <w:i w:val="0"/>
        </w:rPr>
        <w:t xml:space="preserve">; </w:t>
      </w:r>
      <w:r>
        <w:rPr>
          <w:b w:val="0"/>
          <w:i/>
        </w:rPr>
        <w:t>rationalique</w:t>
      </w:r>
      <w:r>
        <w:rPr>
          <w:b w:val="0"/>
          <w:i w:val="0"/>
        </w:rPr>
        <w:t xml:space="preserve">; </w:t>
      </w:r>
      <w:r>
        <w:rPr>
          <w:b w:val="0"/>
          <w:i/>
        </w:rPr>
        <w:t>rationalis</w:t>
      </w:r>
      <w:r>
        <w:rPr>
          <w:b w:val="0"/>
          <w:i w:val="0"/>
        </w:rPr>
        <w:t>.</w:t>
      </w:r>
    </w:p>
    <w:p>
      <w:pPr>
        <w:widowControl/>
      </w:pPr>
      <w:r>
        <w:rPr>
          <w:b w:val="0"/>
          <w:i w:val="0"/>
        </w:rPr>
        <w:t xml:space="preserve">Rational, belonging to reason or governed by its direction. It differentiates the human species, qualifies steady moral appetite and describes self-returning life; those uses share rational form without becoming the same argument. References: </w:t>
      </w:r>
      <w:hyperlink w:anchor="passage-viii-3-1">
        <w:r>
          <w:rPr>
            <w:color w:val="000000"/>
          </w:rPr>
          <w:t xml:space="preserve">VIII.3.1</w:t>
        </w:r>
      </w:hyperlink>
      <w:r>
        <w:rPr>
          <w:b w:val="0"/>
          <w:i w:val="0"/>
        </w:rPr>
        <w:t xml:space="preserve">, </w:t>
      </w:r>
      <w:hyperlink w:anchor="passage-viii-3-3">
        <w:r>
          <w:rPr>
            <w:color w:val="000000"/>
          </w:rPr>
          <w:t xml:space="preserve">VIII.3.3</w:t>
        </w:r>
      </w:hyperlink>
      <w:r>
        <w:rPr>
          <w:b w:val="0"/>
          <w:i w:val="0"/>
        </w:rPr>
        <w:t xml:space="preserve">, </w:t>
      </w:r>
      <w:hyperlink w:anchor="passage-viii-4-4">
        <w:r>
          <w:rPr>
            <w:color w:val="000000"/>
          </w:rPr>
          <w:t xml:space="preserve">VIII.4.4</w:t>
        </w:r>
      </w:hyperlink>
      <w:r>
        <w:rPr>
          <w:b w:val="0"/>
          <w:i w:val="0"/>
        </w:rPr>
        <w:t xml:space="preserve">, </w:t>
      </w:r>
      <w:hyperlink w:anchor="passage-viii-4-10">
        <w:r>
          <w:rPr>
            <w:color w:val="000000"/>
          </w:rPr>
          <w:t xml:space="preserve">VIII.4.10</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1316" w:name="latin-record-1075"/>
      <w:bookmarkEnd w:id="1316"/>
      <w:r>
        <w:rPr>
          <w:b/>
          <w:i w:val="0"/>
        </w:rPr>
        <w:t>rationalitas / animalitas</w:t>
      </w:r>
      <w:r>
        <w:rPr>
          <w:b/>
          <w:i w:val="0"/>
        </w:rPr>
        <w:t>.</w:t>
      </w:r>
      <w:r>
        <w:rPr>
          <w:b w:val="0"/>
          <w:i w:val="0"/>
        </w:rPr>
        <w:t xml:space="preserve"> Printed forms: </w:t>
      </w:r>
      <w:r>
        <w:rPr>
          <w:b w:val="0"/>
          <w:i/>
        </w:rPr>
        <w:t>animalitas</w:t>
      </w:r>
      <w:r>
        <w:rPr>
          <w:b w:val="0"/>
          <w:i w:val="0"/>
        </w:rPr>
        <w:t xml:space="preserve">; </w:t>
      </w:r>
      <w:r>
        <w:rPr>
          <w:b w:val="0"/>
          <w:i/>
        </w:rPr>
        <w:t>rationalitas</w:t>
      </w:r>
      <w:r>
        <w:rPr>
          <w:b w:val="0"/>
          <w:i w:val="0"/>
        </w:rPr>
        <w:t xml:space="preserve">; </w:t>
      </w:r>
      <w:r>
        <w:rPr>
          <w:b w:val="0"/>
          <w:i/>
        </w:rPr>
        <w:t>Rationalitas</w:t>
      </w:r>
      <w:r>
        <w:rPr>
          <w:b w:val="0"/>
          <w:i w:val="0"/>
        </w:rPr>
        <w:t>.</w:t>
      </w:r>
    </w:p>
    <w:p>
      <w:pPr>
        <w:widowControl/>
      </w:pPr>
      <w:r>
        <w:rPr>
          <w:b w:val="0"/>
          <w:i w:val="0"/>
        </w:rPr>
        <w:t xml:space="preserve">Rationality and animality, conceptually distinct but united in the human form. Rationality is described as animality actualized in reason, not a second spatial thing attached to a nonrational bodily piece. References: </w:t>
      </w:r>
      <w:hyperlink w:anchor="passage-viii-4-10">
        <w:r>
          <w:rPr>
            <w:color w:val="000000"/>
          </w:rPr>
          <w:t xml:space="preserve">VIII.4.10</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1317" w:name="latin-record-1076"/>
      <w:bookmarkEnd w:id="1317"/>
      <w:r>
        <w:rPr>
          <w:b/>
          <w:i w:val="0"/>
        </w:rPr>
        <w:t>rationes et semina</w:t>
      </w:r>
      <w:r>
        <w:rPr>
          <w:b/>
          <w:i w:val="0"/>
        </w:rPr>
        <w:t>.</w:t>
      </w:r>
      <w:r>
        <w:rPr>
          <w:b w:val="0"/>
          <w:i w:val="0"/>
        </w:rPr>
        <w:t xml:space="preserve"> Printed forms: </w:t>
      </w:r>
      <w:r>
        <w:rPr>
          <w:b w:val="0"/>
          <w:i/>
        </w:rPr>
        <w:t>rationes et semina</w:t>
      </w:r>
      <w:r>
        <w:rPr>
          <w:b w:val="0"/>
          <w:i w:val="0"/>
        </w:rPr>
        <w:t>.</w:t>
      </w:r>
    </w:p>
    <w:p>
      <w:pPr>
        <w:widowControl/>
      </w:pPr>
      <w:r>
        <w:rPr>
          <w:b w:val="0"/>
          <w:i w:val="0"/>
        </w:rPr>
        <w:t xml:space="preserve">Formative patterns and seeds for arranging members. These reside in the stable maker and explain recurrent shaping of fresh humours and flesh. References: </w:t>
      </w:r>
      <w:hyperlink w:anchor="passage-vi-13-9">
        <w:r>
          <w:rPr>
            <w:color w:val="000000"/>
          </w:rPr>
          <w:t xml:space="preserve">VI.13.9</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1318" w:name="latin-record-1077"/>
      <w:bookmarkEnd w:id="1318"/>
      <w:r>
        <w:rPr>
          <w:b/>
          <w:i w:val="0"/>
        </w:rPr>
        <w:t>rationis oculus</w:t>
      </w:r>
      <w:r>
        <w:rPr>
          <w:b/>
          <w:i w:val="0"/>
        </w:rPr>
        <w:t>.</w:t>
      </w:r>
      <w:r>
        <w:rPr>
          <w:b w:val="0"/>
          <w:i w:val="0"/>
        </w:rPr>
        <w:t xml:space="preserve"> Printed forms: </w:t>
      </w:r>
      <w:r>
        <w:rPr>
          <w:b w:val="0"/>
          <w:i/>
        </w:rPr>
        <w:t>rationis oculo</w:t>
      </w:r>
      <w:r>
        <w:rPr>
          <w:b w:val="0"/>
          <w:i w:val="0"/>
        </w:rPr>
        <w:t>.</w:t>
      </w:r>
    </w:p>
    <w:p>
      <w:pPr>
        <w:widowControl/>
      </w:pPr>
      <w:r>
        <w:rPr>
          <w:b w:val="0"/>
          <w:i w:val="0"/>
        </w:rPr>
        <w:t xml:space="preserve">The eye of reason, a metaphor for rational apprehension of intelligible reality. Ficino contrasts what reason beholds with what the senses perceive and argues against treating reason’s objects as nonexistent. This metaphorical eye differs from the actual owl’s eye used later in the unit to compare difficulty of seeing with difficulty of understanding.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1319" w:name="latin-record-1078"/>
      <w:bookmarkEnd w:id="1319"/>
      <w:r>
        <w:rPr>
          <w:b/>
          <w:i w:val="0"/>
        </w:rPr>
        <w:t>recipere; accipere</w:t>
      </w:r>
      <w:r>
        <w:rPr>
          <w:b/>
          <w:i w:val="0"/>
        </w:rPr>
        <w:t>.</w:t>
      </w:r>
      <w:r>
        <w:rPr>
          <w:b w:val="0"/>
          <w:i w:val="0"/>
        </w:rPr>
        <w:t xml:space="preserve"> Printed forms: </w:t>
      </w:r>
      <w:r>
        <w:rPr>
          <w:b w:val="0"/>
          <w:i/>
        </w:rPr>
        <w:t>acceperat</w:t>
      </w:r>
      <w:r>
        <w:rPr>
          <w:b w:val="0"/>
          <w:i w:val="0"/>
        </w:rPr>
        <w:t xml:space="preserve">; </w:t>
      </w:r>
      <w:r>
        <w:rPr>
          <w:b w:val="0"/>
          <w:i/>
        </w:rPr>
        <w:t>accepistis</w:t>
      </w:r>
      <w:r>
        <w:rPr>
          <w:b w:val="0"/>
          <w:i w:val="0"/>
        </w:rPr>
        <w:t xml:space="preserve">; </w:t>
      </w:r>
      <w:r>
        <w:rPr>
          <w:b w:val="0"/>
          <w:i/>
        </w:rPr>
        <w:t>accepit</w:t>
      </w:r>
      <w:r>
        <w:rPr>
          <w:b w:val="0"/>
          <w:i w:val="0"/>
        </w:rPr>
        <w:t xml:space="preserve">; </w:t>
      </w:r>
      <w:r>
        <w:rPr>
          <w:b w:val="0"/>
          <w:i/>
        </w:rPr>
        <w:t>accipimus</w:t>
      </w:r>
      <w:r>
        <w:rPr>
          <w:b w:val="0"/>
          <w:i w:val="0"/>
        </w:rPr>
        <w:t xml:space="preserve">; </w:t>
      </w:r>
      <w:r>
        <w:rPr>
          <w:b w:val="0"/>
          <w:i/>
        </w:rPr>
        <w:t>accipit</w:t>
      </w:r>
      <w:r>
        <w:rPr>
          <w:b w:val="0"/>
          <w:i w:val="0"/>
        </w:rPr>
        <w:t xml:space="preserve">; </w:t>
      </w:r>
      <w:r>
        <w:rPr>
          <w:b w:val="0"/>
          <w:i/>
        </w:rPr>
        <w:t>recipit</w:t>
      </w:r>
      <w:r>
        <w:rPr>
          <w:b w:val="0"/>
          <w:i w:val="0"/>
        </w:rPr>
        <w:t>.</w:t>
      </w:r>
    </w:p>
    <w:p>
      <w:pPr>
        <w:widowControl/>
      </w:pPr>
      <w:r>
        <w:rPr>
          <w:b w:val="0"/>
          <w:i w:val="0"/>
        </w:rPr>
        <w:t xml:space="preserve">To receive or take in. Reception of bodily images, reception of contrary mental states and reception of being are different relations; their shared verb does not make every reception material passion. References: </w:t>
      </w:r>
      <w:hyperlink w:anchor="passage-vi-2-3">
        <w:r>
          <w:rPr>
            <w:color w:val="000000"/>
          </w:rPr>
          <w:t xml:space="preserve">VI.2.3</w:t>
        </w:r>
      </w:hyperlink>
      <w:r>
        <w:rPr>
          <w:b w:val="0"/>
          <w:i w:val="0"/>
        </w:rPr>
        <w:t xml:space="preserve">,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7-3">
        <w:r>
          <w:rPr>
            <w:color w:val="000000"/>
          </w:rPr>
          <w:t xml:space="preserve">VI.7.3</w:t>
        </w:r>
      </w:hyperlink>
      <w:r>
        <w:rPr>
          <w:b w:val="0"/>
          <w:i w:val="0"/>
        </w:rPr>
        <w:t xml:space="preserve">, </w:t>
      </w:r>
      <w:hyperlink w:anchor="passage-vi-12-6">
        <w:r>
          <w:rPr>
            <w:color w:val="000000"/>
          </w:rPr>
          <w:t xml:space="preserve">VI.12.6</w:t>
        </w:r>
      </w:hyperlink>
      <w:r>
        <w:rPr>
          <w:b w:val="0"/>
          <w:i w:val="0"/>
        </w:rPr>
        <w:t xml:space="preserve">, </w:t>
      </w:r>
      <w:hyperlink w:anchor="passage-vi-13-6">
        <w:r>
          <w:rPr>
            <w:color w:val="000000"/>
          </w:rPr>
          <w:t xml:space="preserve">VI.13.6</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320" w:name="latin-record-1079"/>
      <w:bookmarkEnd w:id="1320"/>
      <w:r>
        <w:rPr>
          <w:b/>
          <w:i w:val="0"/>
        </w:rPr>
        <w:t>recolligere</w:t>
      </w:r>
      <w:r>
        <w:rPr>
          <w:b/>
          <w:i w:val="0"/>
        </w:rPr>
        <w:t>.</w:t>
      </w:r>
      <w:r>
        <w:rPr>
          <w:b w:val="0"/>
          <w:i w:val="0"/>
        </w:rPr>
        <w:t xml:space="preserve"> Printed forms: </w:t>
      </w:r>
      <w:r>
        <w:rPr>
          <w:b w:val="0"/>
          <w:i/>
        </w:rPr>
        <w:t>recolligit</w:t>
      </w:r>
      <w:r>
        <w:rPr>
          <w:b w:val="0"/>
          <w:i w:val="0"/>
        </w:rPr>
        <w:t>.</w:t>
      </w:r>
    </w:p>
    <w:p>
      <w:pPr>
        <w:widowControl/>
      </w:pPr>
      <w:r>
        <w:rPr>
          <w:b w:val="0"/>
          <w:i w:val="0"/>
        </w:rPr>
        <w:t xml:space="preserve">To gather back together into oneself. Circular motion conserves rather than dissipates its powers by gathering what belongs to it into its own circuit. References: </w:t>
      </w:r>
      <w:hyperlink w:anchor="passage-v-1-4">
        <w:r>
          <w:rPr>
            <w:color w:val="000000"/>
          </w:rPr>
          <w:t xml:space="preserve">V.1.4</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1321" w:name="latin-record-1080"/>
      <w:bookmarkEnd w:id="1321"/>
      <w:r>
        <w:rPr>
          <w:b/>
          <w:i w:val="0"/>
        </w:rPr>
        <w:t>rectrix; motrix; pedisequa</w:t>
      </w:r>
      <w:r>
        <w:rPr>
          <w:b/>
          <w:i w:val="0"/>
        </w:rPr>
        <w:t>.</w:t>
      </w:r>
      <w:r>
        <w:rPr>
          <w:b w:val="0"/>
          <w:i w:val="0"/>
        </w:rPr>
        <w:t xml:space="preserve"> Printed forms: </w:t>
      </w:r>
      <w:r>
        <w:rPr>
          <w:b w:val="0"/>
          <w:i/>
        </w:rPr>
        <w:t>motrixque</w:t>
      </w:r>
      <w:r>
        <w:rPr>
          <w:b w:val="0"/>
          <w:i w:val="0"/>
        </w:rPr>
        <w:t xml:space="preserve">; </w:t>
      </w:r>
      <w:r>
        <w:rPr>
          <w:b w:val="0"/>
          <w:i/>
        </w:rPr>
        <w:t>pedisequa corporis</w:t>
      </w:r>
      <w:r>
        <w:rPr>
          <w:b w:val="0"/>
          <w:i w:val="0"/>
        </w:rPr>
        <w:t xml:space="preserve">; </w:t>
      </w:r>
      <w:r>
        <w:rPr>
          <w:b w:val="0"/>
          <w:i/>
        </w:rPr>
        <w:t>rectrix</w:t>
      </w:r>
      <w:r>
        <w:rPr>
          <w:b w:val="0"/>
          <w:i w:val="0"/>
        </w:rPr>
        <w:t>.</w:t>
      </w:r>
    </w:p>
    <w:p>
      <w:pPr>
        <w:widowControl/>
      </w:pPr>
      <w:r>
        <w:rPr>
          <w:b w:val="0"/>
          <w:i w:val="0"/>
        </w:rPr>
        <w:t xml:space="preserve">Ruler, mover and the body’s handmaid. The soul governs and is not a dependent attendant deriving its being from the body it moves. References: </w:t>
      </w:r>
      <w:hyperlink w:anchor="passage-vi-7-3">
        <w:r>
          <w:rPr>
            <w:color w:val="000000"/>
          </w:rPr>
          <w:t xml:space="preserve">VI.7.3</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322" w:name="latin-record-1081"/>
      <w:bookmarkEnd w:id="1322"/>
      <w:r>
        <w:rPr>
          <w:b/>
          <w:i w:val="0"/>
        </w:rPr>
        <w:t>rectum; obliquum; circulus</w:t>
      </w:r>
      <w:r>
        <w:rPr>
          <w:b/>
          <w:i w:val="0"/>
        </w:rPr>
        <w:t>.</w:t>
      </w:r>
      <w:r>
        <w:rPr>
          <w:b w:val="0"/>
          <w:i w:val="0"/>
        </w:rPr>
        <w:t xml:space="preserve"> Printed forms: </w:t>
      </w:r>
      <w:r>
        <w:rPr>
          <w:b w:val="0"/>
          <w:i/>
        </w:rPr>
        <w:t>In circulum</w:t>
      </w:r>
      <w:r>
        <w:rPr>
          <w:b w:val="0"/>
          <w:i w:val="0"/>
        </w:rPr>
        <w:t xml:space="preserve">; </w:t>
      </w:r>
      <w:r>
        <w:rPr>
          <w:b w:val="0"/>
          <w:i/>
        </w:rPr>
        <w:t>In obliquum</w:t>
      </w:r>
      <w:r>
        <w:rPr>
          <w:b w:val="0"/>
          <w:i w:val="0"/>
        </w:rPr>
        <w:t xml:space="preserve">; </w:t>
      </w:r>
      <w:r>
        <w:rPr>
          <w:b w:val="0"/>
          <w:i/>
        </w:rPr>
        <w:t>in rectum</w:t>
      </w:r>
      <w:r>
        <w:rPr>
          <w:b w:val="0"/>
          <w:i w:val="0"/>
        </w:rPr>
        <w:t>.</w:t>
      </w:r>
    </w:p>
    <w:p>
      <w:pPr>
        <w:widowControl/>
      </w:pPr>
      <w:r>
        <w:rPr>
          <w:b w:val="0"/>
          <w:i w:val="0"/>
        </w:rPr>
        <w:t xml:space="preserve">Straight, oblique and circular psychic directions. They map respectively outward/bodily attention, self or angel, and God as beginning and end in the second scheme.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323" w:name="latin-record-1082"/>
      <w:bookmarkEnd w:id="1323"/>
      <w:r>
        <w:rPr>
          <w:b/>
          <w:i w:val="0"/>
        </w:rPr>
        <w:t>rectus / reflexus</w:t>
      </w:r>
      <w:r>
        <w:rPr>
          <w:b/>
          <w:i w:val="0"/>
        </w:rPr>
        <w:t>.</w:t>
      </w:r>
      <w:r>
        <w:rPr>
          <w:b w:val="0"/>
          <w:i w:val="0"/>
        </w:rPr>
        <w:t xml:space="preserve"> Printed forms: </w:t>
      </w:r>
      <w:r>
        <w:rPr>
          <w:b w:val="0"/>
          <w:i/>
        </w:rPr>
        <w:t>rectam lineam</w:t>
      </w:r>
      <w:r>
        <w:rPr>
          <w:b w:val="0"/>
          <w:i w:val="0"/>
        </w:rPr>
        <w:t xml:space="preserve">; </w:t>
      </w:r>
      <w:r>
        <w:rPr>
          <w:b w:val="0"/>
          <w:i/>
        </w:rPr>
        <w:t>reflexam</w:t>
      </w:r>
      <w:r>
        <w:rPr>
          <w:b w:val="0"/>
          <w:i w:val="0"/>
        </w:rPr>
        <w:t>.</w:t>
      </w:r>
    </w:p>
    <w:p>
      <w:pPr>
        <w:widowControl/>
      </w:pPr>
      <w:r>
        <w:rPr>
          <w:b w:val="0"/>
          <w:i w:val="0"/>
        </w:rPr>
        <w:t xml:space="preserve">Direct and reflected, two proposed routes of bodily contact or disturbance. Ficino excludes both direct reception of a contrary and indirect capture by qualities raging in body. References: </w:t>
      </w:r>
      <w:hyperlink w:anchor="passage-v-6-1">
        <w:r>
          <w:rPr>
            <w:color w:val="000000"/>
          </w:rPr>
          <w:t xml:space="preserve">V.6.1</w:t>
        </w:r>
      </w:hyperlink>
      <w:r>
        <w:rPr>
          <w:b w:val="0"/>
          <w:i w:val="0"/>
        </w:rPr>
        <w:t xml:space="preserve">. See </w:t>
      </w:r>
      <w:hyperlink w:anchor="indivisibility-and-contact">
        <w:r>
          <w:rPr>
            <w:color w:val="000000"/>
          </w:rPr>
          <w:t xml:space="preserve">Indivisibility and contact</w:t>
        </w:r>
      </w:hyperlink>
      <w:r>
        <w:rPr>
          <w:b w:val="0"/>
          <w:i w:val="0"/>
        </w:rPr>
        <w:t>.</w:t>
      </w:r>
    </w:p>
    <w:p>
      <w:pPr>
        <w:keepNext/>
        <w:widowControl/>
      </w:pPr>
      <w:bookmarkStart w:id="1324" w:name="latin-record-1083"/>
      <w:bookmarkEnd w:id="1324"/>
      <w:r>
        <w:rPr>
          <w:b/>
          <w:i w:val="0"/>
        </w:rPr>
        <w:t>reddere</w:t>
      </w:r>
      <w:r>
        <w:rPr>
          <w:b/>
          <w:i w:val="0"/>
        </w:rPr>
        <w:t>.</w:t>
      </w:r>
      <w:r>
        <w:rPr>
          <w:b w:val="0"/>
          <w:i w:val="0"/>
        </w:rPr>
        <w:t xml:space="preserve"> Printed forms: </w:t>
      </w:r>
      <w:r>
        <w:rPr>
          <w:b w:val="0"/>
          <w:i/>
        </w:rPr>
        <w:t>redderetur</w:t>
      </w:r>
      <w:r>
        <w:rPr>
          <w:b w:val="0"/>
          <w:i w:val="0"/>
        </w:rPr>
        <w:t xml:space="preserve">; </w:t>
      </w:r>
      <w:r>
        <w:rPr>
          <w:b w:val="0"/>
          <w:i/>
        </w:rPr>
        <w:t>reddit</w:t>
      </w:r>
      <w:r>
        <w:rPr>
          <w:b w:val="0"/>
          <w:i w:val="0"/>
        </w:rPr>
        <w:t>.</w:t>
      </w:r>
    </w:p>
    <w:p>
      <w:pPr>
        <w:widowControl/>
      </w:pPr>
      <w:r>
        <w:rPr>
          <w:b w:val="0"/>
          <w:i w:val="0"/>
        </w:rPr>
        <w:t xml:space="preserve">Making or rendering something a certain way, with the result specified by its complement. Bodily form makes a recipient materially like its source, while mind makes represented content simple or turns knowledge of evils into an intellectual good. References: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6-2">
        <w:r>
          <w:rPr>
            <w:color w:val="000000"/>
          </w:rPr>
          <w:t xml:space="preserve">VIII.16.2</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1325" w:name="latin-record-1084"/>
      <w:bookmarkEnd w:id="1325"/>
      <w:r>
        <w:rPr>
          <w:b/>
          <w:i w:val="0"/>
        </w:rPr>
        <w:t>redintegrare / confirmare / roborare</w:t>
      </w:r>
      <w:r>
        <w:rPr>
          <w:b/>
          <w:i w:val="0"/>
        </w:rPr>
        <w:t>.</w:t>
      </w:r>
      <w:r>
        <w:rPr>
          <w:b w:val="0"/>
          <w:i w:val="0"/>
        </w:rPr>
        <w:t xml:space="preserve"> Printed forms: </w:t>
      </w:r>
      <w:r>
        <w:rPr>
          <w:b w:val="0"/>
          <w:i/>
        </w:rPr>
        <w:t>confirmatur</w:t>
      </w:r>
      <w:r>
        <w:rPr>
          <w:b w:val="0"/>
          <w:i w:val="0"/>
        </w:rPr>
        <w:t xml:space="preserve">; </w:t>
      </w:r>
      <w:r>
        <w:rPr>
          <w:b w:val="0"/>
          <w:i/>
        </w:rPr>
        <w:t>redintegratur</w:t>
      </w:r>
      <w:r>
        <w:rPr>
          <w:b w:val="0"/>
          <w:i w:val="0"/>
        </w:rPr>
        <w:t xml:space="preserve">; </w:t>
      </w:r>
      <w:r>
        <w:rPr>
          <w:b w:val="0"/>
          <w:i/>
        </w:rPr>
        <w:t>roboratur</w:t>
      </w:r>
      <w:r>
        <w:rPr>
          <w:b w:val="0"/>
          <w:i w:val="0"/>
        </w:rPr>
        <w:t>.</w:t>
      </w:r>
    </w:p>
    <w:p>
      <w:pPr>
        <w:widowControl/>
      </w:pPr>
      <w:r>
        <w:rPr>
          <w:b w:val="0"/>
          <w:i w:val="0"/>
        </w:rPr>
        <w:t xml:space="preserve">To restore wholeness, confirm and strengthen. The sequence makes return to an exemplar a perfection of the derivative act, not absorption into an undifferentiated source. References: </w:t>
      </w:r>
      <w:hyperlink w:anchor="passage-v-11-6">
        <w:r>
          <w:rPr>
            <w:color w:val="000000"/>
          </w:rPr>
          <w:t xml:space="preserve">V.11.6</w:t>
        </w:r>
      </w:hyperlink>
      <w:r>
        <w:rPr>
          <w:b w:val="0"/>
          <w:i w:val="0"/>
        </w:rPr>
        <w:t xml:space="preserve">. See </w:t>
      </w:r>
      <w:hyperlink w:anchor="seal-wax-and-restoration">
        <w:r>
          <w:rPr>
            <w:color w:val="000000"/>
          </w:rPr>
          <w:t xml:space="preserve">Seal, wax and restoration</w:t>
        </w:r>
      </w:hyperlink>
      <w:r>
        <w:rPr>
          <w:b w:val="0"/>
          <w:i w:val="0"/>
        </w:rPr>
        <w:t>.</w:t>
      </w:r>
    </w:p>
    <w:p>
      <w:pPr>
        <w:keepNext/>
        <w:widowControl/>
      </w:pPr>
      <w:bookmarkStart w:id="1326" w:name="latin-record-1085"/>
      <w:bookmarkEnd w:id="1326"/>
      <w:r>
        <w:rPr>
          <w:b/>
          <w:i w:val="0"/>
        </w:rPr>
        <w:t>refellere / confutare / redarguere</w:t>
      </w:r>
      <w:r>
        <w:rPr>
          <w:b/>
          <w:i w:val="0"/>
        </w:rPr>
        <w:t>.</w:t>
      </w:r>
      <w:r>
        <w:rPr>
          <w:b w:val="0"/>
          <w:i w:val="0"/>
        </w:rPr>
        <w:t xml:space="preserve"> Printed forms: </w:t>
      </w:r>
      <w:r>
        <w:rPr>
          <w:b w:val="0"/>
          <w:i/>
        </w:rPr>
        <w:t>confutatum</w:t>
      </w:r>
      <w:r>
        <w:rPr>
          <w:b w:val="0"/>
          <w:i w:val="0"/>
        </w:rPr>
        <w:t xml:space="preserve">; </w:t>
      </w:r>
      <w:r>
        <w:rPr>
          <w:b w:val="0"/>
          <w:i/>
        </w:rPr>
        <w:t>confutatur</w:t>
      </w:r>
      <w:r>
        <w:rPr>
          <w:b w:val="0"/>
          <w:i w:val="0"/>
        </w:rPr>
        <w:t xml:space="preserve">; </w:t>
      </w:r>
      <w:r>
        <w:rPr>
          <w:b w:val="0"/>
          <w:i/>
        </w:rPr>
        <w:t>confutaverimus</w:t>
      </w:r>
      <w:r>
        <w:rPr>
          <w:b w:val="0"/>
          <w:i w:val="0"/>
        </w:rPr>
        <w:t xml:space="preserve">; </w:t>
      </w:r>
      <w:r>
        <w:rPr>
          <w:b w:val="0"/>
          <w:i/>
        </w:rPr>
        <w:t>redarguemus</w:t>
      </w:r>
      <w:r>
        <w:rPr>
          <w:b w:val="0"/>
          <w:i w:val="0"/>
        </w:rPr>
        <w:t xml:space="preserve">; </w:t>
      </w:r>
      <w:r>
        <w:rPr>
          <w:b w:val="0"/>
          <w:i/>
        </w:rPr>
        <w:t>redarguitur</w:t>
      </w:r>
      <w:r>
        <w:rPr>
          <w:b w:val="0"/>
          <w:i w:val="0"/>
        </w:rPr>
        <w:t xml:space="preserve">; </w:t>
      </w:r>
      <w:r>
        <w:rPr>
          <w:b w:val="0"/>
          <w:i/>
        </w:rPr>
        <w:t>refellimus</w:t>
      </w:r>
      <w:r>
        <w:rPr>
          <w:b w:val="0"/>
          <w:i w:val="0"/>
        </w:rPr>
        <w:t>.</w:t>
      </w:r>
    </w:p>
    <w:p>
      <w:pPr>
        <w:widowControl/>
      </w:pPr>
      <w:r>
        <w:rPr>
          <w:b w:val="0"/>
          <w:i w:val="0"/>
        </w:rPr>
        <w:t xml:space="preserve">Refuting or exposing an error by its consequences. Each verb appears in renewed attacks on the bodily location, numerical composition or divided knower hypotheses. References: </w:t>
      </w:r>
      <w:hyperlink w:anchor="passage-viii-4-2">
        <w:r>
          <w:rPr>
            <w:color w:val="000000"/>
          </w:rPr>
          <w:t xml:space="preserve">VIII.4.2</w:t>
        </w:r>
      </w:hyperlink>
      <w:r>
        <w:rPr>
          <w:b w:val="0"/>
          <w:i w:val="0"/>
        </w:rPr>
        <w:t xml:space="preserve">, </w:t>
      </w:r>
      <w:hyperlink w:anchor="passage-viii-4-8">
        <w:r>
          <w:rPr>
            <w:color w:val="000000"/>
          </w:rPr>
          <w:t xml:space="preserve">VIII.4.8</w:t>
        </w:r>
      </w:hyperlink>
      <w:r>
        <w:rPr>
          <w:b w:val="0"/>
          <w:i w:val="0"/>
        </w:rPr>
        <w:t xml:space="preserve">, </w:t>
      </w:r>
      <w:hyperlink w:anchor="passage-viii-4-12">
        <w:r>
          <w:rPr>
            <w:color w:val="000000"/>
          </w:rPr>
          <w:t xml:space="preserve">VIII.4.12</w:t>
        </w:r>
      </w:hyperlink>
      <w:r>
        <w:rPr>
          <w:b w:val="0"/>
          <w:i w:val="0"/>
        </w:rPr>
        <w:t xml:space="preserve">, </w:t>
      </w:r>
      <w:hyperlink w:anchor="passage-viii-6-1">
        <w:r>
          <w:rPr>
            <w:color w:val="000000"/>
          </w:rPr>
          <w:t xml:space="preserve">VIII.6.1</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327" w:name="latin-record-1086"/>
      <w:bookmarkEnd w:id="1327"/>
      <w:r>
        <w:rPr>
          <w:b/>
          <w:i w:val="0"/>
        </w:rPr>
        <w:t>referre / enuntiare</w:t>
      </w:r>
      <w:r>
        <w:rPr>
          <w:b/>
          <w:i w:val="0"/>
        </w:rPr>
        <w:t>.</w:t>
      </w:r>
      <w:r>
        <w:rPr>
          <w:b w:val="0"/>
          <w:i w:val="0"/>
        </w:rPr>
        <w:t xml:space="preserve"> Printed forms: </w:t>
      </w:r>
      <w:r>
        <w:rPr>
          <w:b w:val="0"/>
          <w:i/>
        </w:rPr>
        <w:t>enuntiat</w:t>
      </w:r>
      <w:r>
        <w:rPr>
          <w:b w:val="0"/>
          <w:i w:val="0"/>
        </w:rPr>
        <w:t xml:space="preserve">; </w:t>
      </w:r>
      <w:r>
        <w:rPr>
          <w:b w:val="0"/>
          <w:i/>
        </w:rPr>
        <w:t>referunt</w:t>
      </w:r>
      <w:r>
        <w:rPr>
          <w:b w:val="0"/>
          <w:i w:val="0"/>
        </w:rPr>
        <w:t>.</w:t>
      </w:r>
    </w:p>
    <w:p>
      <w:pPr>
        <w:widowControl/>
      </w:pPr>
      <w:r>
        <w:rPr>
          <w:b w:val="0"/>
          <w:i w:val="0"/>
        </w:rPr>
        <w:t xml:space="preserve">To convey or report an event to another judging station. These verbs belong to the objection of sensory reporting through successive soul-parts, whose adequacy the next unit denies. References: </w:t>
      </w:r>
      <w:hyperlink w:anchor="passage-vii-5-2">
        <w:r>
          <w:rPr>
            <w:color w:val="000000"/>
          </w:rPr>
          <w:t xml:space="preserve">VII.5.2</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328" w:name="latin-record-1087"/>
      <w:bookmarkEnd w:id="1328"/>
      <w:r>
        <w:rPr>
          <w:b/>
          <w:i w:val="0"/>
        </w:rPr>
        <w:t>referre; quiescere</w:t>
      </w:r>
      <w:r>
        <w:rPr>
          <w:b/>
          <w:i w:val="0"/>
        </w:rPr>
        <w:t>.</w:t>
      </w:r>
      <w:r>
        <w:rPr>
          <w:b w:val="0"/>
          <w:i w:val="0"/>
        </w:rPr>
        <w:t xml:space="preserve"> Printed forms: </w:t>
      </w:r>
      <w:r>
        <w:rPr>
          <w:b w:val="0"/>
          <w:i/>
        </w:rPr>
        <w:t>quiescam</w:t>
      </w:r>
      <w:r>
        <w:rPr>
          <w:b w:val="0"/>
          <w:i w:val="0"/>
        </w:rPr>
        <w:t xml:space="preserve">; </w:t>
      </w:r>
      <w:r>
        <w:rPr>
          <w:b w:val="0"/>
          <w:i/>
        </w:rPr>
        <w:t>referam</w:t>
      </w:r>
      <w:r>
        <w:rPr>
          <w:b w:val="0"/>
          <w:i w:val="0"/>
        </w:rPr>
        <w:t>.</w:t>
      </w:r>
    </w:p>
    <w:p>
      <w:pPr>
        <w:widowControl/>
      </w:pPr>
      <w:r>
        <w:rPr>
          <w:b w:val="0"/>
          <w:i w:val="0"/>
        </w:rPr>
        <w:t xml:space="preserve">To refer to a further cause and come to rest at a conclusion. The regress must terminate in a principle animating through itself rather than another animated body. References: </w:t>
      </w:r>
      <w:hyperlink w:anchor="passage-vi-5-3">
        <w:r>
          <w:rPr>
            <w:color w:val="000000"/>
          </w:rPr>
          <w:t xml:space="preserve">VI.5.3</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329" w:name="latin-record-1088"/>
      <w:bookmarkEnd w:id="1329"/>
      <w:r>
        <w:rPr>
          <w:b/>
          <w:i w:val="0"/>
        </w:rPr>
        <w:t>reficere</w:t>
      </w:r>
      <w:r>
        <w:rPr>
          <w:b/>
          <w:i w:val="0"/>
        </w:rPr>
        <w:t>.</w:t>
      </w:r>
      <w:r>
        <w:rPr>
          <w:b w:val="0"/>
          <w:i w:val="0"/>
        </w:rPr>
        <w:t xml:space="preserve"> Printed forms: </w:t>
      </w:r>
      <w:r>
        <w:rPr>
          <w:b w:val="0"/>
          <w:i/>
        </w:rPr>
        <w:t>refici</w:t>
      </w:r>
      <w:r>
        <w:rPr>
          <w:b w:val="0"/>
          <w:i w:val="0"/>
        </w:rPr>
        <w:t xml:space="preserve">; </w:t>
      </w:r>
      <w:r>
        <w:rPr>
          <w:b w:val="0"/>
          <w:i/>
        </w:rPr>
        <w:t>reficit</w:t>
      </w:r>
      <w:r>
        <w:rPr>
          <w:b w:val="0"/>
          <w:i w:val="0"/>
        </w:rPr>
        <w:t>.</w:t>
      </w:r>
    </w:p>
    <w:p>
      <w:pPr>
        <w:widowControl/>
      </w:pPr>
      <w:r>
        <w:rPr>
          <w:b w:val="0"/>
          <w:i w:val="0"/>
        </w:rPr>
        <w:t xml:space="preserve">To restore or refresh after exertion. Sleep’s natural restorative role explains the soul’s yielding to the bodily change in this account. References: </w:t>
      </w:r>
      <w:hyperlink w:anchor="passage-v-15-23">
        <w:r>
          <w:rPr>
            <w:color w:val="000000"/>
          </w:rPr>
          <w:t xml:space="preserve">V.15.23</w:t>
        </w:r>
      </w:hyperlink>
      <w:r>
        <w:rPr>
          <w:b w:val="0"/>
          <w:i w:val="0"/>
        </w:rPr>
        <w:t xml:space="preserve">. See </w:t>
      </w:r>
      <w:hyperlink w:anchor="sleep-and-dreams">
        <w:r>
          <w:rPr>
            <w:color w:val="000000"/>
          </w:rPr>
          <w:t xml:space="preserve">Sleep and dreams</w:t>
        </w:r>
      </w:hyperlink>
      <w:r>
        <w:rPr>
          <w:b w:val="0"/>
          <w:i w:val="0"/>
        </w:rPr>
        <w:t>.</w:t>
      </w:r>
    </w:p>
    <w:p>
      <w:pPr>
        <w:widowControl/>
      </w:pPr>
      <w:r>
        <w:rPr>
          <w:b w:val="0"/>
          <w:i w:val="0"/>
        </w:rPr>
        <w:t xml:space="preserve">To fashion afresh. A new shape resembling the former one is made in new flesh, rather than the old shape migrating numerically. References: </w:t>
      </w:r>
      <w:hyperlink w:anchor="passage-vi-13-9">
        <w:r>
          <w:rPr>
            <w:color w:val="000000"/>
          </w:rPr>
          <w:t xml:space="preserve">VI.13.9</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1330" w:name="latin-record-1089"/>
      <w:bookmarkEnd w:id="1330"/>
      <w:r>
        <w:rPr>
          <w:b/>
          <w:i w:val="0"/>
        </w:rPr>
        <w:t>reflecti</w:t>
      </w:r>
      <w:r>
        <w:rPr>
          <w:b/>
          <w:i w:val="0"/>
        </w:rPr>
        <w:t>.</w:t>
      </w:r>
      <w:r>
        <w:rPr>
          <w:b w:val="0"/>
          <w:i w:val="0"/>
        </w:rPr>
        <w:t xml:space="preserve"> Printed forms: </w:t>
      </w:r>
      <w:r>
        <w:rPr>
          <w:b w:val="0"/>
          <w:i/>
        </w:rPr>
        <w:t>in se angelumve reflectitur</w:t>
      </w:r>
      <w:r>
        <w:rPr>
          <w:b w:val="0"/>
          <w:i w:val="0"/>
        </w:rPr>
        <w:t xml:space="preserve">; </w:t>
      </w:r>
      <w:r>
        <w:rPr>
          <w:b w:val="0"/>
          <w:i/>
        </w:rPr>
        <w:t>in se ipsam considerandam reflectitur</w:t>
      </w:r>
      <w:r>
        <w:rPr>
          <w:b w:val="0"/>
          <w:i w:val="0"/>
        </w:rPr>
        <w:t>.</w:t>
      </w:r>
    </w:p>
    <w:p>
      <w:pPr>
        <w:widowControl/>
      </w:pPr>
      <w:r>
        <w:rPr>
          <w:b w:val="0"/>
          <w:i w:val="0"/>
        </w:rPr>
        <w:t xml:space="preserve">To turn back in consideration of oneself or an angel. The object and argumentative setting distinguish this psychic turning from mechanical bending.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331" w:name="latin-record-1090"/>
      <w:bookmarkEnd w:id="1331"/>
      <w:r>
        <w:rPr>
          <w:b/>
          <w:i w:val="0"/>
        </w:rPr>
        <w:t>reflecti / ferri</w:t>
      </w:r>
      <w:r>
        <w:rPr>
          <w:b/>
          <w:i w:val="0"/>
        </w:rPr>
        <w:t>.</w:t>
      </w:r>
      <w:r>
        <w:rPr>
          <w:b w:val="0"/>
          <w:i w:val="0"/>
        </w:rPr>
        <w:t xml:space="preserve"> Printed forms: </w:t>
      </w:r>
      <w:r>
        <w:rPr>
          <w:b w:val="0"/>
          <w:i/>
        </w:rPr>
        <w:t>feruntur</w:t>
      </w:r>
      <w:r>
        <w:rPr>
          <w:b w:val="0"/>
          <w:i w:val="0"/>
        </w:rPr>
        <w:t xml:space="preserve">; </w:t>
      </w:r>
      <w:r>
        <w:rPr>
          <w:b w:val="0"/>
          <w:i/>
        </w:rPr>
        <w:t>reflectiturque</w:t>
      </w:r>
      <w:r>
        <w:rPr>
          <w:b w:val="0"/>
          <w:i w:val="0"/>
        </w:rPr>
        <w:t>.</w:t>
      </w:r>
    </w:p>
    <w:p>
      <w:pPr>
        <w:widowControl/>
      </w:pPr>
      <w:r>
        <w:rPr>
          <w:b w:val="0"/>
          <w:i w:val="0"/>
        </w:rPr>
        <w:t xml:space="preserve">To turn back and to be borne toward a destination. The chain from source, through movement, back to good depicts the directional relation of natural desire and action. References: </w:t>
      </w:r>
      <w:hyperlink w:anchor="passage-v-4-7">
        <w:r>
          <w:rPr>
            <w:color w:val="000000"/>
          </w:rPr>
          <w:t xml:space="preserve">V.4.7</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332" w:name="latin-record-1091"/>
      <w:bookmarkEnd w:id="1332"/>
      <w:r>
        <w:rPr>
          <w:b/>
          <w:i w:val="0"/>
        </w:rPr>
        <w:t>reflexio / reflectere</w:t>
      </w:r>
      <w:r>
        <w:rPr>
          <w:b/>
          <w:i w:val="0"/>
        </w:rPr>
        <w:t>.</w:t>
      </w:r>
      <w:r>
        <w:rPr>
          <w:b w:val="0"/>
          <w:i w:val="0"/>
        </w:rPr>
        <w:t xml:space="preserve"> Printed forms: </w:t>
      </w:r>
      <w:r>
        <w:rPr>
          <w:b w:val="0"/>
          <w:i/>
        </w:rPr>
        <w:t>reflectens</w:t>
      </w:r>
      <w:r>
        <w:rPr>
          <w:b w:val="0"/>
          <w:i w:val="0"/>
        </w:rPr>
        <w:t xml:space="preserve">; </w:t>
      </w:r>
      <w:r>
        <w:rPr>
          <w:b w:val="0"/>
          <w:i/>
        </w:rPr>
        <w:t>reflectit</w:t>
      </w:r>
      <w:r>
        <w:rPr>
          <w:b w:val="0"/>
          <w:i w:val="0"/>
        </w:rPr>
        <w:t xml:space="preserve">; </w:t>
      </w:r>
      <w:r>
        <w:rPr>
          <w:b w:val="0"/>
          <w:i/>
        </w:rPr>
        <w:t>reflexio</w:t>
      </w:r>
      <w:r>
        <w:rPr>
          <w:b w:val="0"/>
          <w:i w:val="0"/>
        </w:rPr>
        <w:t xml:space="preserve">; </w:t>
      </w:r>
      <w:r>
        <w:rPr>
          <w:b w:val="0"/>
          <w:i/>
        </w:rPr>
        <w:t>reflexo</w:t>
      </w:r>
      <w:r>
        <w:rPr>
          <w:b w:val="0"/>
          <w:i w:val="0"/>
        </w:rPr>
        <w:t xml:space="preserve">; </w:t>
      </w:r>
      <w:r>
        <w:rPr>
          <w:b w:val="0"/>
          <w:i/>
        </w:rPr>
        <w:t>reflexum</w:t>
      </w:r>
      <w:r>
        <w:rPr>
          <w:b w:val="0"/>
          <w:i w:val="0"/>
        </w:rPr>
        <w:t>.</w:t>
      </w:r>
    </w:p>
    <w:p>
      <w:pPr>
        <w:widowControl/>
      </w:pPr>
      <w:r>
        <w:rPr>
          <w:b w:val="0"/>
          <w:i w:val="0"/>
        </w:rPr>
        <w:t xml:space="preserve">Turning an activity back toward its source or a prior object. The return to a particular image differs from mind’s later inward knowing of its own act; both are nonspatial intellectual returns. References: </w:t>
      </w:r>
      <w:hyperlink w:anchor="passage-viii-1-5">
        <w:r>
          <w:rPr>
            <w:color w:val="000000"/>
          </w:rPr>
          <w:t xml:space="preserve">VIII.1.5</w:t>
        </w:r>
      </w:hyperlink>
      <w:r>
        <w:rPr>
          <w:b w:val="0"/>
          <w:i w:val="0"/>
        </w:rPr>
        <w:t xml:space="preserve">, </w:t>
      </w:r>
      <w:hyperlink w:anchor="passage-viii-4-13">
        <w:r>
          <w:rPr>
            <w:color w:val="000000"/>
          </w:rPr>
          <w:t xml:space="preserve">VIII.4.13</w:t>
        </w:r>
      </w:hyperlink>
      <w:r>
        <w:rPr>
          <w:b w:val="0"/>
          <w:i w:val="0"/>
        </w:rPr>
        <w:t xml:space="preserve">, </w:t>
      </w:r>
      <w:hyperlink w:anchor="passage-viii-9-1">
        <w:r>
          <w:rPr>
            <w:color w:val="000000"/>
          </w:rPr>
          <w:t xml:space="preserve">VIII.9.1</w:t>
        </w:r>
      </w:hyperlink>
      <w:r>
        <w:rPr>
          <w:b w:val="0"/>
          <w:i w:val="0"/>
        </w:rPr>
        <w:t xml:space="preserve">, </w:t>
      </w:r>
      <w:hyperlink w:anchor="passage-viii-15-1">
        <w:r>
          <w:rPr>
            <w:color w:val="000000"/>
          </w:rPr>
          <w:t xml:space="preserve">VIII.15.1</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1333" w:name="latin-record-1092"/>
      <w:bookmarkEnd w:id="1333"/>
      <w:r>
        <w:rPr>
          <w:b/>
          <w:i w:val="0"/>
        </w:rPr>
        <w:t>regere / curare</w:t>
      </w:r>
      <w:r>
        <w:rPr>
          <w:b/>
          <w:i w:val="0"/>
        </w:rPr>
        <w:t>.</w:t>
      </w:r>
      <w:r>
        <w:rPr>
          <w:b w:val="0"/>
          <w:i w:val="0"/>
        </w:rPr>
        <w:t xml:space="preserve"> Printed forms: </w:t>
      </w:r>
      <w:r>
        <w:rPr>
          <w:b w:val="0"/>
          <w:i/>
        </w:rPr>
        <w:t>curando</w:t>
      </w:r>
      <w:r>
        <w:rPr>
          <w:b w:val="0"/>
          <w:i w:val="0"/>
        </w:rPr>
        <w:t xml:space="preserve">; </w:t>
      </w:r>
      <w:r>
        <w:rPr>
          <w:b w:val="0"/>
          <w:i/>
        </w:rPr>
        <w:t>regendo</w:t>
      </w:r>
      <w:r>
        <w:rPr>
          <w:b w:val="0"/>
          <w:i w:val="0"/>
        </w:rPr>
        <w:t xml:space="preserve">; </w:t>
      </w:r>
      <w:r>
        <w:rPr>
          <w:b w:val="0"/>
          <w:i/>
        </w:rPr>
        <w:t>regit</w:t>
      </w:r>
      <w:r>
        <w:rPr>
          <w:b w:val="0"/>
          <w:i w:val="0"/>
        </w:rPr>
        <w:t>.</w:t>
      </w:r>
    </w:p>
    <w:p>
      <w:pPr>
        <w:widowControl/>
      </w:pPr>
      <w:r>
        <w:rPr>
          <w:b w:val="0"/>
          <w:i w:val="0"/>
        </w:rPr>
        <w:t xml:space="preserve">Governing and caring for the body. These tasks absorb attention when the body is unwell, explaining impaired inquiry without making bodily food the mind’s proper nourishment. References: </w:t>
      </w:r>
      <w:hyperlink w:anchor="passage-viii-2-5">
        <w:r>
          <w:rPr>
            <w:color w:val="000000"/>
          </w:rPr>
          <w:t xml:space="preserve">VIII.2.5</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334" w:name="latin-record-1093"/>
      <w:bookmarkEnd w:id="1334"/>
      <w:r>
        <w:rPr>
          <w:b/>
          <w:i w:val="0"/>
        </w:rPr>
        <w:t>regere / movere</w:t>
      </w:r>
      <w:r>
        <w:rPr>
          <w:b/>
          <w:i w:val="0"/>
        </w:rPr>
        <w:t>.</w:t>
      </w:r>
      <w:r>
        <w:rPr>
          <w:b w:val="0"/>
          <w:i w:val="0"/>
        </w:rPr>
        <w:t xml:space="preserve"> Printed forms: </w:t>
      </w:r>
      <w:r>
        <w:rPr>
          <w:b w:val="0"/>
          <w:i/>
        </w:rPr>
        <w:t>movetque</w:t>
      </w:r>
      <w:r>
        <w:rPr>
          <w:b w:val="0"/>
          <w:i w:val="0"/>
        </w:rPr>
        <w:t xml:space="preserve">; </w:t>
      </w:r>
      <w:r>
        <w:rPr>
          <w:b w:val="0"/>
          <w:i/>
        </w:rPr>
        <w:t>regit</w:t>
      </w:r>
      <w:r>
        <w:rPr>
          <w:b w:val="0"/>
          <w:i w:val="0"/>
        </w:rPr>
        <w:t>.</w:t>
      </w:r>
    </w:p>
    <w:p>
      <w:pPr>
        <w:widowControl/>
      </w:pPr>
      <w:r>
        <w:rPr>
          <w:b w:val="0"/>
          <w:i w:val="0"/>
        </w:rPr>
        <w:t xml:space="preserve">To govern and move. These active relations oppose the later theory that soul is an outcome governed wholly by humors.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1335" w:name="latin-record-1094"/>
      <w:bookmarkEnd w:id="1335"/>
      <w:r>
        <w:rPr>
          <w:b/>
          <w:i w:val="0"/>
        </w:rPr>
        <w:t>regere; ducere; gubernare</w:t>
      </w:r>
      <w:r>
        <w:rPr>
          <w:b/>
          <w:i w:val="0"/>
        </w:rPr>
        <w:t>.</w:t>
      </w:r>
      <w:r>
        <w:rPr>
          <w:b w:val="0"/>
          <w:i w:val="0"/>
        </w:rPr>
        <w:t xml:space="preserve"> Printed forms: </w:t>
      </w:r>
      <w:r>
        <w:rPr>
          <w:b w:val="0"/>
          <w:i/>
        </w:rPr>
        <w:t>ducentes</w:t>
      </w:r>
      <w:r>
        <w:rPr>
          <w:b w:val="0"/>
          <w:i w:val="0"/>
        </w:rPr>
        <w:t xml:space="preserve">; </w:t>
      </w:r>
      <w:r>
        <w:rPr>
          <w:b w:val="0"/>
          <w:i/>
        </w:rPr>
        <w:t>ducit</w:t>
      </w:r>
      <w:r>
        <w:rPr>
          <w:b w:val="0"/>
          <w:i w:val="0"/>
        </w:rPr>
        <w:t xml:space="preserve">; </w:t>
      </w:r>
      <w:r>
        <w:rPr>
          <w:b w:val="0"/>
          <w:i/>
        </w:rPr>
        <w:t>ducitur</w:t>
      </w:r>
      <w:r>
        <w:rPr>
          <w:b w:val="0"/>
          <w:i w:val="0"/>
        </w:rPr>
        <w:t xml:space="preserve">; </w:t>
      </w:r>
      <w:r>
        <w:rPr>
          <w:b w:val="0"/>
          <w:i/>
        </w:rPr>
        <w:t>gubernans</w:t>
      </w:r>
      <w:r>
        <w:rPr>
          <w:b w:val="0"/>
          <w:i w:val="0"/>
        </w:rPr>
        <w:t xml:space="preserve">; </w:t>
      </w:r>
      <w:r>
        <w:rPr>
          <w:b w:val="0"/>
          <w:i/>
        </w:rPr>
        <w:t>regendum</w:t>
      </w:r>
      <w:r>
        <w:rPr>
          <w:b w:val="0"/>
          <w:i w:val="0"/>
        </w:rPr>
        <w:t xml:space="preserve">; </w:t>
      </w:r>
      <w:r>
        <w:rPr>
          <w:b w:val="0"/>
          <w:i/>
        </w:rPr>
        <w:t>regeretur</w:t>
      </w:r>
      <w:r>
        <w:rPr>
          <w:b w:val="0"/>
          <w:i w:val="0"/>
        </w:rPr>
        <w:t xml:space="preserve">; </w:t>
      </w:r>
      <w:r>
        <w:rPr>
          <w:b w:val="0"/>
          <w:i/>
        </w:rPr>
        <w:t>regitur</w:t>
      </w:r>
      <w:r>
        <w:rPr>
          <w:b w:val="0"/>
          <w:i w:val="0"/>
        </w:rPr>
        <w:t>.</w:t>
      </w:r>
    </w:p>
    <w:p>
      <w:pPr>
        <w:widowControl/>
      </w:pPr>
      <w:r>
        <w:rPr>
          <w:b w:val="0"/>
          <w:i w:val="0"/>
        </w:rPr>
        <w:t xml:space="preserve">To govern, lead or guide. The soul directs body and intellectual activity leads to higher principles; a ruling organ in a reported theory is not the same as soul’s unlocated whole presence. References: </w:t>
      </w:r>
      <w:hyperlink w:anchor="passage-vi-1-4">
        <w:r>
          <w:rPr>
            <w:color w:val="000000"/>
          </w:rPr>
          <w:t xml:space="preserve">VI.1.4</w:t>
        </w:r>
      </w:hyperlink>
      <w:r>
        <w:rPr>
          <w:b w:val="0"/>
          <w:i w:val="0"/>
        </w:rPr>
        <w:t xml:space="preserve">, </w:t>
      </w:r>
      <w:hyperlink w:anchor="passage-vi-2-17">
        <w:r>
          <w:rPr>
            <w:color w:val="000000"/>
          </w:rPr>
          <w:t xml:space="preserve">VI.2.17</w:t>
        </w:r>
      </w:hyperlink>
      <w:r>
        <w:rPr>
          <w:b w:val="0"/>
          <w:i w:val="0"/>
        </w:rPr>
        <w:t xml:space="preserve">, </w:t>
      </w:r>
      <w:hyperlink w:anchor="passage-vi-2-19">
        <w:r>
          <w:rPr>
            <w:color w:val="000000"/>
          </w:rPr>
          <w:t xml:space="preserve">VI.2.19</w:t>
        </w:r>
      </w:hyperlink>
      <w:r>
        <w:rPr>
          <w:b w:val="0"/>
          <w:i w:val="0"/>
        </w:rPr>
        <w:t xml:space="preserve">, </w:t>
      </w:r>
      <w:hyperlink w:anchor="passage-vi-6-4">
        <w:r>
          <w:rPr>
            <w:color w:val="000000"/>
          </w:rPr>
          <w:t xml:space="preserve">VI.6.4</w:t>
        </w:r>
      </w:hyperlink>
      <w:r>
        <w:rPr>
          <w:b w:val="0"/>
          <w:i w:val="0"/>
        </w:rPr>
        <w:t xml:space="preserve">, </w:t>
      </w:r>
      <w:hyperlink w:anchor="passage-vi-9-4">
        <w:r>
          <w:rPr>
            <w:color w:val="000000"/>
          </w:rPr>
          <w:t xml:space="preserve">VI.9.4</w:t>
        </w:r>
      </w:hyperlink>
      <w:r>
        <w:rPr>
          <w:b w:val="0"/>
          <w:i w:val="0"/>
        </w:rPr>
        <w:t xml:space="preserve">, </w:t>
      </w:r>
      <w:hyperlink w:anchor="passage-vi-12-17">
        <w:r>
          <w:rPr>
            <w:color w:val="000000"/>
          </w:rPr>
          <w:t xml:space="preserve">VI.12.17</w:t>
        </w:r>
      </w:hyperlink>
      <w:r>
        <w:rPr>
          <w:b w:val="0"/>
          <w:i w:val="0"/>
        </w:rPr>
        <w:t xml:space="preserve">, </w:t>
      </w:r>
      <w:hyperlink w:anchor="passage-vi-12-18">
        <w:r>
          <w:rPr>
            <w:color w:val="000000"/>
          </w:rPr>
          <w:t xml:space="preserve">VI.12.18</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336" w:name="latin-record-1095"/>
      <w:bookmarkEnd w:id="1336"/>
      <w:r>
        <w:rPr>
          <w:b/>
          <w:i w:val="0"/>
        </w:rPr>
        <w:t>Regnanum; Cavalcantes</w:t>
      </w:r>
      <w:r>
        <w:rPr>
          <w:b/>
          <w:i w:val="0"/>
        </w:rPr>
        <w:t>.</w:t>
      </w:r>
      <w:r>
        <w:rPr>
          <w:b w:val="0"/>
          <w:i w:val="0"/>
        </w:rPr>
        <w:t xml:space="preserve"> Printed forms: </w:t>
      </w:r>
      <w:r>
        <w:rPr>
          <w:b w:val="0"/>
          <w:i/>
        </w:rPr>
        <w:t>Ioannem Cavalcantem</w:t>
      </w:r>
      <w:r>
        <w:rPr>
          <w:b w:val="0"/>
          <w:i w:val="0"/>
        </w:rPr>
        <w:t xml:space="preserve">; </w:t>
      </w:r>
      <w:r>
        <w:rPr>
          <w:b w:val="0"/>
          <w:i/>
        </w:rPr>
        <w:t>Ioannes</w:t>
      </w:r>
      <w:r>
        <w:rPr>
          <w:b w:val="0"/>
          <w:i w:val="0"/>
        </w:rPr>
        <w:t xml:space="preserve">; </w:t>
      </w:r>
      <w:r>
        <w:rPr>
          <w:b w:val="0"/>
          <w:i/>
        </w:rPr>
        <w:t>Regnano</w:t>
      </w:r>
      <w:r>
        <w:rPr>
          <w:b w:val="0"/>
          <w:i w:val="0"/>
        </w:rPr>
        <w:t>.</w:t>
      </w:r>
    </w:p>
    <w:p>
      <w:pPr>
        <w:widowControl/>
      </w:pPr>
      <w:r>
        <w:rPr>
          <w:b w:val="0"/>
          <w:i w:val="0"/>
        </w:rPr>
        <w:t xml:space="preserve">Regnano and Giovanni Cavalcanti, the place and host of the framing conversation. Ficino presents Cavalcanti as his uniquely dear friend and gives him the request that structures Book VI.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337" w:name="latin-record-1096"/>
      <w:bookmarkEnd w:id="1337"/>
      <w:r>
        <w:rPr>
          <w:b/>
          <w:i w:val="0"/>
        </w:rPr>
        <w:t>regula / lex</w:t>
      </w:r>
      <w:r>
        <w:rPr>
          <w:b/>
          <w:i w:val="0"/>
        </w:rPr>
        <w:t>.</w:t>
      </w:r>
      <w:r>
        <w:rPr>
          <w:b w:val="0"/>
          <w:i w:val="0"/>
        </w:rPr>
        <w:t xml:space="preserve"> Printed forms: </w:t>
      </w:r>
      <w:r>
        <w:rPr>
          <w:b w:val="0"/>
          <w:i/>
        </w:rPr>
        <w:t>conderet</w:t>
      </w:r>
      <w:r>
        <w:rPr>
          <w:b w:val="0"/>
          <w:i w:val="0"/>
        </w:rPr>
        <w:t xml:space="preserve">; </w:t>
      </w:r>
      <w:r>
        <w:rPr>
          <w:b w:val="0"/>
          <w:i/>
        </w:rPr>
        <w:t>legem</w:t>
      </w:r>
      <w:r>
        <w:rPr>
          <w:b w:val="0"/>
          <w:i w:val="0"/>
        </w:rPr>
        <w:t xml:space="preserve">; </w:t>
      </w:r>
      <w:r>
        <w:rPr>
          <w:b w:val="0"/>
          <w:i/>
        </w:rPr>
        <w:t>regulam</w:t>
      </w:r>
      <w:r>
        <w:rPr>
          <w:b w:val="0"/>
          <w:i w:val="0"/>
        </w:rPr>
        <w:t xml:space="preserve">; </w:t>
      </w:r>
      <w:r>
        <w:rPr>
          <w:b w:val="0"/>
          <w:i/>
        </w:rPr>
        <w:t>statueret</w:t>
      </w:r>
      <w:r>
        <w:rPr>
          <w:b w:val="0"/>
          <w:i w:val="0"/>
        </w:rPr>
        <w:t>.</w:t>
      </w:r>
    </w:p>
    <w:p>
      <w:pPr>
        <w:widowControl/>
      </w:pPr>
      <w:r>
        <w:rPr>
          <w:b w:val="0"/>
          <w:i w:val="0"/>
        </w:rPr>
        <w:t xml:space="preserve">Rule and law, principles established to govern many cases. Their cross-instance scope is the practical evidence that mind does more than picture this single Socrates or Plato. References: </w:t>
      </w:r>
      <w:hyperlink w:anchor="passage-viii-8-1">
        <w:r>
          <w:rPr>
            <w:color w:val="000000"/>
          </w:rPr>
          <w:t xml:space="preserve">VIII.8.1</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1338" w:name="latin-record-1097"/>
      <w:bookmarkEnd w:id="1338"/>
      <w:r>
        <w:rPr>
          <w:b/>
          <w:i w:val="0"/>
        </w:rPr>
        <w:t>relabi / redundare</w:t>
      </w:r>
      <w:r>
        <w:rPr>
          <w:b/>
          <w:i w:val="0"/>
        </w:rPr>
        <w:t>.</w:t>
      </w:r>
      <w:r>
        <w:rPr>
          <w:b w:val="0"/>
          <w:i w:val="0"/>
        </w:rPr>
        <w:t xml:space="preserve"> Printed forms: </w:t>
      </w:r>
      <w:r>
        <w:rPr>
          <w:b w:val="0"/>
          <w:i/>
        </w:rPr>
        <w:t>influit</w:t>
      </w:r>
      <w:r>
        <w:rPr>
          <w:b w:val="0"/>
          <w:i w:val="0"/>
        </w:rPr>
        <w:t xml:space="preserve">; </w:t>
      </w:r>
      <w:r>
        <w:rPr>
          <w:b w:val="0"/>
          <w:i/>
        </w:rPr>
        <w:t>profluere</w:t>
      </w:r>
      <w:r>
        <w:rPr>
          <w:b w:val="0"/>
          <w:i w:val="0"/>
        </w:rPr>
        <w:t xml:space="preserve">; </w:t>
      </w:r>
      <w:r>
        <w:rPr>
          <w:b w:val="0"/>
          <w:i/>
        </w:rPr>
        <w:t>redundat</w:t>
      </w:r>
      <w:r>
        <w:rPr>
          <w:b w:val="0"/>
          <w:i w:val="0"/>
        </w:rPr>
        <w:t xml:space="preserve">; </w:t>
      </w:r>
      <w:r>
        <w:rPr>
          <w:b w:val="0"/>
          <w:i/>
        </w:rPr>
        <w:t>relabitur</w:t>
      </w:r>
      <w:r>
        <w:rPr>
          <w:b w:val="0"/>
          <w:i w:val="0"/>
        </w:rPr>
        <w:t>.</w:t>
      </w:r>
    </w:p>
    <w:p>
      <w:pPr>
        <w:widowControl/>
      </w:pPr>
      <w:r>
        <w:rPr>
          <w:b w:val="0"/>
          <w:i w:val="0"/>
        </w:rPr>
        <w:t xml:space="preserve">Flowing back, overflowing back, flowing forth and flowing into another. Rational life’s return is contrasted with wholly outward expenditure; the contrast does not prohibit all external action. References: </w:t>
      </w:r>
      <w:hyperlink w:anchor="passage-viii-15-3">
        <w:r>
          <w:rPr>
            <w:color w:val="000000"/>
          </w:rPr>
          <w:t xml:space="preserve">VIII.15.3</w:t>
        </w:r>
      </w:hyperlink>
      <w:r>
        <w:rPr>
          <w:b w:val="0"/>
          <w:i w:val="0"/>
        </w:rPr>
        <w:t xml:space="preserve">. See </w:t>
      </w:r>
      <w:hyperlink w:anchor="viii-outflow-return">
        <w:r>
          <w:rPr>
            <w:color w:val="000000"/>
          </w:rPr>
          <w:t xml:space="preserve">Outward flow and rational life’s return</w:t>
        </w:r>
      </w:hyperlink>
      <w:r>
        <w:rPr>
          <w:b w:val="0"/>
          <w:i w:val="0"/>
        </w:rPr>
        <w:t>.</w:t>
      </w:r>
    </w:p>
    <w:p>
      <w:pPr>
        <w:keepNext/>
        <w:widowControl/>
      </w:pPr>
      <w:bookmarkStart w:id="1339" w:name="latin-record-1098"/>
      <w:bookmarkEnd w:id="1339"/>
      <w:r>
        <w:rPr>
          <w:b/>
          <w:i w:val="0"/>
        </w:rPr>
        <w:t>relatio</w:t>
      </w:r>
      <w:r>
        <w:rPr>
          <w:b/>
          <w:i w:val="0"/>
        </w:rPr>
        <w:t>.</w:t>
      </w:r>
      <w:r>
        <w:rPr>
          <w:b w:val="0"/>
          <w:i w:val="0"/>
        </w:rPr>
        <w:t xml:space="preserve"> Printed forms: </w:t>
      </w:r>
      <w:r>
        <w:rPr>
          <w:b w:val="0"/>
          <w:i/>
        </w:rPr>
        <w:t>relatio</w:t>
      </w:r>
      <w:r>
        <w:rPr>
          <w:b w:val="0"/>
          <w:i w:val="0"/>
        </w:rPr>
        <w:t xml:space="preserve">; </w:t>
      </w:r>
      <w:r>
        <w:rPr>
          <w:b w:val="0"/>
          <w:i/>
        </w:rPr>
        <w:t>relationis</w:t>
      </w:r>
      <w:r>
        <w:rPr>
          <w:b w:val="0"/>
          <w:i w:val="0"/>
        </w:rPr>
        <w:t>.</w:t>
      </w:r>
    </w:p>
    <w:p>
      <w:pPr>
        <w:widowControl/>
      </w:pPr>
      <w:r>
        <w:rPr>
          <w:b w:val="0"/>
          <w:i w:val="0"/>
        </w:rPr>
        <w:t xml:space="preserve">Relation, especially the soul’s intrinsic orientation to its preserving cause. The adopted reading makes relation the cause of perfection; later witnesses’ ratio would change this local articulation. References: </w:t>
      </w:r>
      <w:hyperlink w:anchor="passage-v-10-3">
        <w:r>
          <w:rPr>
            <w:color w:val="000000"/>
          </w:rPr>
          <w:t xml:space="preserve">V.10.3</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340" w:name="latin-record-1099"/>
      <w:bookmarkEnd w:id="1340"/>
      <w:r>
        <w:rPr>
          <w:b/>
          <w:i w:val="0"/>
        </w:rPr>
        <w:t>relinquere / dimittere</w:t>
      </w:r>
      <w:r>
        <w:rPr>
          <w:b/>
          <w:i w:val="0"/>
        </w:rPr>
        <w:t>.</w:t>
      </w:r>
      <w:r>
        <w:rPr>
          <w:b w:val="0"/>
          <w:i w:val="0"/>
        </w:rPr>
        <w:t xml:space="preserve"> Printed forms: </w:t>
      </w:r>
      <w:r>
        <w:rPr>
          <w:b w:val="0"/>
          <w:i/>
        </w:rPr>
        <w:t>dimisso</w:t>
      </w:r>
      <w:r>
        <w:rPr>
          <w:b w:val="0"/>
          <w:i w:val="0"/>
        </w:rPr>
        <w:t xml:space="preserve">; </w:t>
      </w:r>
      <w:r>
        <w:rPr>
          <w:b w:val="0"/>
          <w:i/>
        </w:rPr>
        <w:t>relinquetur</w:t>
      </w:r>
      <w:r>
        <w:rPr>
          <w:b w:val="0"/>
          <w:i w:val="0"/>
        </w:rPr>
        <w:t xml:space="preserve">; </w:t>
      </w:r>
      <w:r>
        <w:rPr>
          <w:b w:val="0"/>
          <w:i/>
        </w:rPr>
        <w:t>relinquit</w:t>
      </w:r>
      <w:r>
        <w:rPr>
          <w:b w:val="0"/>
          <w:i w:val="0"/>
        </w:rPr>
        <w:t>.</w:t>
      </w:r>
    </w:p>
    <w:p>
      <w:pPr>
        <w:widowControl/>
      </w:pPr>
      <w:r>
        <w:rPr>
          <w:b w:val="0"/>
          <w:i w:val="0"/>
        </w:rPr>
        <w:t xml:space="preserve">Leaving behind, setting aside or leaving a remainder. Intellect sets aside this determinate man to know humanity; in a rejected bodily model, literal halves of genus would be left in different regions. References: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4-6">
        <w:r>
          <w:rPr>
            <w:color w:val="000000"/>
          </w:rPr>
          <w:t xml:space="preserve">VIII.4.6</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1341" w:name="latin-record-1100"/>
      <w:bookmarkEnd w:id="1341"/>
      <w:r>
        <w:rPr>
          <w:b/>
          <w:i w:val="0"/>
        </w:rPr>
        <w:t>reliquiae sensuum</w:t>
      </w:r>
      <w:r>
        <w:rPr>
          <w:b/>
          <w:i w:val="0"/>
        </w:rPr>
        <w:t>.</w:t>
      </w:r>
      <w:r>
        <w:rPr>
          <w:b w:val="0"/>
          <w:i w:val="0"/>
        </w:rPr>
        <w:t xml:space="preserve"> Printed forms: </w:t>
      </w:r>
      <w:r>
        <w:rPr>
          <w:b w:val="0"/>
          <w:i/>
        </w:rPr>
        <w:t>reliquias sensuum</w:t>
      </w:r>
      <w:r>
        <w:rPr>
          <w:b w:val="0"/>
          <w:i w:val="0"/>
        </w:rPr>
        <w:t>.</w:t>
      </w:r>
    </w:p>
    <w:p>
      <w:pPr>
        <w:widowControl/>
      </w:pPr>
      <w:r>
        <w:rPr>
          <w:b w:val="0"/>
          <w:i w:val="0"/>
        </w:rPr>
        <w:t xml:space="preserve">Remnants or vestiges left by sensory perception. Internal sense revolves these bodily images; their retained presence differs from pure intellectual apprehension.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342" w:name="latin-record-1101"/>
      <w:bookmarkEnd w:id="1342"/>
      <w:r>
        <w:rPr>
          <w:b/>
          <w:i w:val="0"/>
        </w:rPr>
        <w:t>reminisci; oblivisci</w:t>
      </w:r>
      <w:r>
        <w:rPr>
          <w:b/>
          <w:i w:val="0"/>
        </w:rPr>
        <w:t>.</w:t>
      </w:r>
      <w:r>
        <w:rPr>
          <w:b w:val="0"/>
          <w:i w:val="0"/>
        </w:rPr>
        <w:t xml:space="preserve"> Printed forms: </w:t>
      </w:r>
      <w:r>
        <w:rPr>
          <w:b w:val="0"/>
          <w:i/>
        </w:rPr>
        <w:t>obliviscitur</w:t>
      </w:r>
      <w:r>
        <w:rPr>
          <w:b w:val="0"/>
          <w:i w:val="0"/>
        </w:rPr>
        <w:t xml:space="preserve">; </w:t>
      </w:r>
      <w:r>
        <w:rPr>
          <w:b w:val="0"/>
          <w:i/>
        </w:rPr>
        <w:t>reminiscitur</w:t>
      </w:r>
      <w:r>
        <w:rPr>
          <w:b w:val="0"/>
          <w:i w:val="0"/>
        </w:rPr>
        <w:t>.</w:t>
      </w:r>
    </w:p>
    <w:p>
      <w:pPr>
        <w:widowControl/>
      </w:pPr>
      <w:r>
        <w:rPr>
          <w:b w:val="0"/>
          <w:i w:val="0"/>
        </w:rPr>
        <w:t xml:space="preserve">To recollect and forget. These supply exemplars of increase and decrease without enlarging or shrinking the soul’s substance physically.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343" w:name="latin-record-1102"/>
      <w:bookmarkEnd w:id="1343"/>
      <w:r>
        <w:rPr>
          <w:b/>
          <w:i w:val="0"/>
        </w:rPr>
        <w:t>remittere / perficere</w:t>
      </w:r>
      <w:r>
        <w:rPr>
          <w:b/>
          <w:i w:val="0"/>
        </w:rPr>
        <w:t>.</w:t>
      </w:r>
      <w:r>
        <w:rPr>
          <w:b w:val="0"/>
          <w:i w:val="0"/>
        </w:rPr>
        <w:t xml:space="preserve"> Printed forms: </w:t>
      </w:r>
      <w:r>
        <w:rPr>
          <w:b w:val="0"/>
          <w:i/>
        </w:rPr>
        <w:t>perfecta</w:t>
      </w:r>
      <w:r>
        <w:rPr>
          <w:b w:val="0"/>
          <w:i w:val="0"/>
        </w:rPr>
        <w:t xml:space="preserve">; </w:t>
      </w:r>
      <w:r>
        <w:rPr>
          <w:b w:val="0"/>
          <w:i/>
        </w:rPr>
        <w:t>perfectior</w:t>
      </w:r>
      <w:r>
        <w:rPr>
          <w:b w:val="0"/>
          <w:i w:val="0"/>
        </w:rPr>
        <w:t xml:space="preserve">; </w:t>
      </w:r>
      <w:r>
        <w:rPr>
          <w:b w:val="0"/>
          <w:i/>
        </w:rPr>
        <w:t>perfectissima</w:t>
      </w:r>
      <w:r>
        <w:rPr>
          <w:b w:val="0"/>
          <w:i w:val="0"/>
        </w:rPr>
        <w:t xml:space="preserve">; </w:t>
      </w:r>
      <w:r>
        <w:rPr>
          <w:b w:val="0"/>
          <w:i/>
        </w:rPr>
        <w:t>perficit</w:t>
      </w:r>
      <w:r>
        <w:rPr>
          <w:b w:val="0"/>
          <w:i w:val="0"/>
        </w:rPr>
        <w:t xml:space="preserve">; </w:t>
      </w:r>
      <w:r>
        <w:rPr>
          <w:b w:val="0"/>
          <w:i/>
        </w:rPr>
        <w:t>remittit</w:t>
      </w:r>
      <w:r>
        <w:rPr>
          <w:b w:val="0"/>
          <w:i w:val="0"/>
        </w:rPr>
        <w:t>.</w:t>
      </w:r>
    </w:p>
    <w:p>
      <w:pPr>
        <w:widowControl/>
      </w:pPr>
      <w:r>
        <w:rPr>
          <w:b w:val="0"/>
          <w:i w:val="0"/>
        </w:rPr>
        <w:t xml:space="preserve">Weakening or bringing to greater perfection. Unlike a bodily mixture, intellectual reception need not lessen the recipient; it can increase the excellence of the mind’s proper operation. References: </w:t>
      </w:r>
      <w:hyperlink w:anchor="passage-viii-7-1">
        <w:r>
          <w:rPr>
            <w:color w:val="000000"/>
          </w:rPr>
          <w:t xml:space="preserve">VIII.7.1</w:t>
        </w:r>
      </w:hyperlink>
      <w:r>
        <w:rPr>
          <w:b w:val="0"/>
          <w:i w:val="0"/>
        </w:rPr>
        <w:t xml:space="preserve">, </w:t>
      </w:r>
      <w:hyperlink w:anchor="passage-viii-13-2">
        <w:r>
          <w:rPr>
            <w:color w:val="000000"/>
          </w:rPr>
          <w:t xml:space="preserve">VIII.13.2</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1344" w:name="latin-record-1103"/>
      <w:bookmarkEnd w:id="1344"/>
      <w:r>
        <w:rPr>
          <w:b/>
          <w:i w:val="0"/>
        </w:rPr>
        <w:t>remus; litus; navis</w:t>
      </w:r>
      <w:r>
        <w:rPr>
          <w:b/>
          <w:i w:val="0"/>
        </w:rPr>
        <w:t>.</w:t>
      </w:r>
      <w:r>
        <w:rPr>
          <w:b w:val="0"/>
          <w:i w:val="0"/>
        </w:rPr>
        <w:t xml:space="preserve"> Printed forms: </w:t>
      </w:r>
      <w:r>
        <w:rPr>
          <w:b w:val="0"/>
          <w:i/>
        </w:rPr>
        <w:t>litus</w:t>
      </w:r>
      <w:r>
        <w:rPr>
          <w:b w:val="0"/>
          <w:i w:val="0"/>
        </w:rPr>
        <w:t xml:space="preserve">; </w:t>
      </w:r>
      <w:r>
        <w:rPr>
          <w:b w:val="0"/>
          <w:i/>
        </w:rPr>
        <w:t>navis</w:t>
      </w:r>
      <w:r>
        <w:rPr>
          <w:b w:val="0"/>
          <w:i w:val="0"/>
        </w:rPr>
        <w:t xml:space="preserve">; </w:t>
      </w:r>
      <w:r>
        <w:rPr>
          <w:b w:val="0"/>
          <w:i/>
        </w:rPr>
        <w:t>remum</w:t>
      </w:r>
      <w:r>
        <w:rPr>
          <w:b w:val="0"/>
          <w:i w:val="0"/>
        </w:rPr>
        <w:t>.</w:t>
      </w:r>
    </w:p>
    <w:p>
      <w:pPr>
        <w:widowControl/>
      </w:pPr>
      <w:r>
        <w:rPr>
          <w:b w:val="0"/>
          <w:i w:val="0"/>
        </w:rPr>
        <w:t xml:space="preserve">Oar, shore and ship, objects in two distinct visual examples. Water makes a straight oar appear crooked; a moving ship makes the shore appear to run. References: </w:t>
      </w:r>
      <w:hyperlink w:anchor="passage-vi-2-7">
        <w:r>
          <w:rPr>
            <w:color w:val="000000"/>
          </w:rPr>
          <w:t xml:space="preserve">VI.2.7</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345" w:name="latin-record-1104"/>
      <w:bookmarkEnd w:id="1345"/>
      <w:r>
        <w:rPr>
          <w:b/>
          <w:i w:val="0"/>
        </w:rPr>
        <w:t>renovare</w:t>
      </w:r>
      <w:r>
        <w:rPr>
          <w:b/>
          <w:i w:val="0"/>
        </w:rPr>
        <w:t>.</w:t>
      </w:r>
      <w:r>
        <w:rPr>
          <w:b w:val="0"/>
          <w:i w:val="0"/>
        </w:rPr>
        <w:t xml:space="preserve"> Printed forms: </w:t>
      </w:r>
      <w:r>
        <w:rPr>
          <w:b w:val="0"/>
          <w:i/>
        </w:rPr>
        <w:t>renovat</w:t>
      </w:r>
      <w:r>
        <w:rPr>
          <w:b w:val="0"/>
          <w:i w:val="0"/>
        </w:rPr>
        <w:t>.</w:t>
      </w:r>
    </w:p>
    <w:p>
      <w:pPr>
        <w:widowControl/>
      </w:pPr>
      <w:r>
        <w:rPr>
          <w:b w:val="0"/>
          <w:i w:val="0"/>
        </w:rPr>
        <w:t xml:space="preserve">To renew or restore fresh activity. The apparent failure of circular motion becomes renewal, supporting the image of a self-sustaining circuit. References: </w:t>
      </w:r>
      <w:hyperlink w:anchor="passage-v-1-4">
        <w:r>
          <w:rPr>
            <w:color w:val="000000"/>
          </w:rPr>
          <w:t xml:space="preserve">V.1.4</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1346" w:name="latin-record-1105"/>
      <w:bookmarkEnd w:id="1346"/>
      <w:r>
        <w:rPr>
          <w:b/>
          <w:i w:val="0"/>
        </w:rPr>
        <w:t>renovare / renovatio</w:t>
      </w:r>
      <w:r>
        <w:rPr>
          <w:b/>
          <w:i w:val="0"/>
        </w:rPr>
        <w:t>.</w:t>
      </w:r>
      <w:r>
        <w:rPr>
          <w:b w:val="0"/>
          <w:i w:val="0"/>
        </w:rPr>
        <w:t xml:space="preserve"> Printed forms: </w:t>
      </w:r>
      <w:r>
        <w:rPr>
          <w:b w:val="0"/>
          <w:i/>
        </w:rPr>
        <w:t>cotidianae</w:t>
      </w:r>
      <w:r>
        <w:rPr>
          <w:b w:val="0"/>
          <w:i w:val="0"/>
        </w:rPr>
        <w:t xml:space="preserve">; </w:t>
      </w:r>
      <w:r>
        <w:rPr>
          <w:b w:val="0"/>
          <w:i/>
        </w:rPr>
        <w:t>renovare</w:t>
      </w:r>
      <w:r>
        <w:rPr>
          <w:b w:val="0"/>
          <w:i w:val="0"/>
        </w:rPr>
        <w:t xml:space="preserve">; </w:t>
      </w:r>
      <w:r>
        <w:rPr>
          <w:b w:val="0"/>
          <w:i/>
        </w:rPr>
        <w:t>renovationis</w:t>
      </w:r>
      <w:r>
        <w:rPr>
          <w:b w:val="0"/>
          <w:i w:val="0"/>
        </w:rPr>
        <w:t>.</w:t>
      </w:r>
    </w:p>
    <w:p>
      <w:pPr>
        <w:widowControl/>
      </w:pPr>
      <w:r>
        <w:rPr>
          <w:b w:val="0"/>
          <w:i w:val="0"/>
        </w:rPr>
        <w:t xml:space="preserve">Renewal and daily renovation, the activity of intellectual self-perfection. Ficino invokes Paul’s language while explaining how understanding and willing keep mind related to its own formal perfecter. References: </w:t>
      </w:r>
      <w:hyperlink w:anchor="passage-viii-15-2">
        <w:r>
          <w:rPr>
            <w:color w:val="000000"/>
          </w:rPr>
          <w:t xml:space="preserve">VIII.15.2</w:t>
        </w:r>
      </w:hyperlink>
      <w:r>
        <w:rPr>
          <w:b w:val="0"/>
          <w:i w:val="0"/>
        </w:rPr>
        <w:t xml:space="preserve">. See </w:t>
      </w:r>
      <w:hyperlink w:anchor="viii-intellectual-generation">
        <w:r>
          <w:rPr>
            <w:color w:val="000000"/>
          </w:rPr>
          <w:t xml:space="preserve">Intellectual generation and daily renewal</w:t>
        </w:r>
      </w:hyperlink>
      <w:r>
        <w:rPr>
          <w:b w:val="0"/>
          <w:i w:val="0"/>
        </w:rPr>
        <w:t>.</w:t>
      </w:r>
    </w:p>
    <w:p>
      <w:pPr>
        <w:keepNext/>
        <w:widowControl/>
      </w:pPr>
      <w:bookmarkStart w:id="1347" w:name="latin-record-1106"/>
      <w:bookmarkEnd w:id="1347"/>
      <w:r>
        <w:rPr>
          <w:b/>
          <w:i w:val="0"/>
        </w:rPr>
        <w:t>renovare; labi</w:t>
      </w:r>
      <w:r>
        <w:rPr>
          <w:b/>
          <w:i w:val="0"/>
        </w:rPr>
        <w:t>.</w:t>
      </w:r>
      <w:r>
        <w:rPr>
          <w:b w:val="0"/>
          <w:i w:val="0"/>
        </w:rPr>
        <w:t xml:space="preserve"> Printed forms: </w:t>
      </w:r>
      <w:r>
        <w:rPr>
          <w:b w:val="0"/>
          <w:i/>
        </w:rPr>
        <w:t>labitur</w:t>
      </w:r>
      <w:r>
        <w:rPr>
          <w:b w:val="0"/>
          <w:i w:val="0"/>
        </w:rPr>
        <w:t xml:space="preserve">; </w:t>
      </w:r>
      <w:r>
        <w:rPr>
          <w:b w:val="0"/>
          <w:i/>
        </w:rPr>
        <w:t>renovatur</w:t>
      </w:r>
      <w:r>
        <w:rPr>
          <w:b w:val="0"/>
          <w:i w:val="0"/>
        </w:rPr>
        <w:t>.</w:t>
      </w:r>
    </w:p>
    <w:p>
      <w:pPr>
        <w:widowControl/>
      </w:pPr>
      <w:r>
        <w:rPr>
          <w:b w:val="0"/>
          <w:i w:val="0"/>
        </w:rPr>
        <w:t xml:space="preserve">To be renewed and slip away. Daily bodily renewal is the proposed model whose inadequacy for enduring personal cognition the chapter tests. References: </w:t>
      </w:r>
      <w:hyperlink w:anchor="passage-vi-13-7">
        <w:r>
          <w:rPr>
            <w:color w:val="000000"/>
          </w:rPr>
          <w:t xml:space="preserve">VI.13.7</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1348" w:name="latin-record-1107"/>
      <w:bookmarkEnd w:id="1348"/>
      <w:r>
        <w:rPr>
          <w:b/>
          <w:i w:val="0"/>
        </w:rPr>
        <w:t>reperire; invenire</w:t>
      </w:r>
      <w:r>
        <w:rPr>
          <w:b/>
          <w:i w:val="0"/>
        </w:rPr>
        <w:t>.</w:t>
      </w:r>
      <w:r>
        <w:rPr>
          <w:b w:val="0"/>
          <w:i w:val="0"/>
        </w:rPr>
        <w:t xml:space="preserve"> Printed forms: </w:t>
      </w:r>
      <w:r>
        <w:rPr>
          <w:b w:val="0"/>
          <w:i/>
        </w:rPr>
        <w:t>inveniemus</w:t>
      </w:r>
      <w:r>
        <w:rPr>
          <w:b w:val="0"/>
          <w:i w:val="0"/>
        </w:rPr>
        <w:t xml:space="preserve">; </w:t>
      </w:r>
      <w:r>
        <w:rPr>
          <w:b w:val="0"/>
          <w:i/>
        </w:rPr>
        <w:t>inveniet</w:t>
      </w:r>
      <w:r>
        <w:rPr>
          <w:b w:val="0"/>
          <w:i w:val="0"/>
        </w:rPr>
        <w:t xml:space="preserve">; </w:t>
      </w:r>
      <w:r>
        <w:rPr>
          <w:b w:val="0"/>
          <w:i/>
        </w:rPr>
        <w:t>invenimus</w:t>
      </w:r>
      <w:r>
        <w:rPr>
          <w:b w:val="0"/>
          <w:i w:val="0"/>
        </w:rPr>
        <w:t xml:space="preserve">; </w:t>
      </w:r>
      <w:r>
        <w:rPr>
          <w:b w:val="0"/>
          <w:i/>
        </w:rPr>
        <w:t>invenire</w:t>
      </w:r>
      <w:r>
        <w:rPr>
          <w:b w:val="0"/>
          <w:i w:val="0"/>
        </w:rPr>
        <w:t xml:space="preserve">; </w:t>
      </w:r>
      <w:r>
        <w:rPr>
          <w:b w:val="0"/>
          <w:i/>
        </w:rPr>
        <w:t>inveniri</w:t>
      </w:r>
      <w:r>
        <w:rPr>
          <w:b w:val="0"/>
          <w:i w:val="0"/>
        </w:rPr>
        <w:t xml:space="preserve">; </w:t>
      </w:r>
      <w:r>
        <w:rPr>
          <w:b w:val="0"/>
          <w:i/>
        </w:rPr>
        <w:t>invenistis</w:t>
      </w:r>
      <w:r>
        <w:rPr>
          <w:b w:val="0"/>
          <w:i w:val="0"/>
        </w:rPr>
        <w:t xml:space="preserve">; </w:t>
      </w:r>
      <w:r>
        <w:rPr>
          <w:b w:val="0"/>
          <w:i/>
        </w:rPr>
        <w:t>invenit</w:t>
      </w:r>
      <w:r>
        <w:rPr>
          <w:b w:val="0"/>
          <w:i w:val="0"/>
        </w:rPr>
        <w:t xml:space="preserve">; </w:t>
      </w:r>
      <w:r>
        <w:rPr>
          <w:b w:val="0"/>
          <w:i/>
        </w:rPr>
        <w:t>reperietis</w:t>
      </w:r>
      <w:r>
        <w:rPr>
          <w:b w:val="0"/>
          <w:i w:val="0"/>
        </w:rPr>
        <w:t xml:space="preserve">; </w:t>
      </w:r>
      <w:r>
        <w:rPr>
          <w:b w:val="0"/>
          <w:i/>
        </w:rPr>
        <w:t>reperitur</w:t>
      </w:r>
      <w:r>
        <w:rPr>
          <w:b w:val="0"/>
          <w:i w:val="0"/>
        </w:rPr>
        <w:t xml:space="preserve">; </w:t>
      </w:r>
      <w:r>
        <w:rPr>
          <w:b w:val="0"/>
          <w:i/>
        </w:rPr>
        <w:t>reperiuntur</w:t>
      </w:r>
      <w:r>
        <w:rPr>
          <w:b w:val="0"/>
          <w:i w:val="0"/>
        </w:rPr>
        <w:t>.</w:t>
      </w:r>
    </w:p>
    <w:p>
      <w:pPr>
        <w:widowControl/>
      </w:pPr>
      <w:r>
        <w:rPr>
          <w:b w:val="0"/>
          <w:i w:val="0"/>
        </w:rPr>
        <w:t xml:space="preserve">To find or discover in inquiry. The preliminary imaginative exercises announce a discovery pedagogically, while the formal self-motion proof seeks a sufficient first inward source. References: </w:t>
      </w:r>
      <w:hyperlink w:anchor="passage-vi-2-3">
        <w:r>
          <w:rPr>
            <w:color w:val="000000"/>
          </w:rPr>
          <w:t xml:space="preserve">VI.2.3</w:t>
        </w:r>
      </w:hyperlink>
      <w:r>
        <w:rPr>
          <w:b w:val="0"/>
          <w:i w:val="0"/>
        </w:rPr>
        <w:t xml:space="preserve">, </w:t>
      </w:r>
      <w:hyperlink w:anchor="passage-vi-2-8">
        <w:r>
          <w:rPr>
            <w:color w:val="000000"/>
          </w:rPr>
          <w:t xml:space="preserve">VI.2.8</w:t>
        </w:r>
      </w:hyperlink>
      <w:r>
        <w:rPr>
          <w:b w:val="0"/>
          <w:i w:val="0"/>
        </w:rPr>
        <w:t xml:space="preserve">, </w:t>
      </w:r>
      <w:hyperlink w:anchor="passage-vi-2-18">
        <w:r>
          <w:rPr>
            <w:color w:val="000000"/>
          </w:rPr>
          <w:t xml:space="preserve">VI.2.18</w:t>
        </w:r>
      </w:hyperlink>
      <w:r>
        <w:rPr>
          <w:b w:val="0"/>
          <w:i w:val="0"/>
        </w:rPr>
        <w:t xml:space="preserve">, </w:t>
      </w:r>
      <w:hyperlink w:anchor="passage-vi-2-20">
        <w:r>
          <w:rPr>
            <w:color w:val="000000"/>
          </w:rPr>
          <w:t xml:space="preserve">VI.2.20</w:t>
        </w:r>
      </w:hyperlink>
      <w:r>
        <w:rPr>
          <w:b w:val="0"/>
          <w:i w:val="0"/>
        </w:rPr>
        <w:t xml:space="preserve">, </w:t>
      </w:r>
      <w:hyperlink w:anchor="passage-vi-2-22">
        <w:r>
          <w:rPr>
            <w:color w:val="000000"/>
          </w:rPr>
          <w:t xml:space="preserve">VI.2.22</w:t>
        </w:r>
      </w:hyperlink>
      <w:r>
        <w:rPr>
          <w:b w:val="0"/>
          <w:i w:val="0"/>
        </w:rPr>
        <w:t xml:space="preserve">, </w:t>
      </w:r>
      <w:hyperlink w:anchor="passage-vi-12-7">
        <w:r>
          <w:rPr>
            <w:color w:val="000000"/>
          </w:rPr>
          <w:t xml:space="preserve">VI.12.7</w:t>
        </w:r>
      </w:hyperlink>
      <w:r>
        <w:rPr>
          <w:b w:val="0"/>
          <w:i w:val="0"/>
        </w:rPr>
        <w:t xml:space="preserve">, </w:t>
      </w:r>
      <w:hyperlink w:anchor="passage-vi-12-17">
        <w:r>
          <w:rPr>
            <w:color w:val="000000"/>
          </w:rPr>
          <w:t xml:space="preserve">VI.12.17</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1349" w:name="latin-record-1108"/>
      <w:bookmarkEnd w:id="1349"/>
      <w:r>
        <w:rPr>
          <w:b/>
          <w:i w:val="0"/>
        </w:rPr>
        <w:t>replicare</w:t>
      </w:r>
      <w:r>
        <w:rPr>
          <w:b/>
          <w:i w:val="0"/>
        </w:rPr>
        <w:t>.</w:t>
      </w:r>
      <w:r>
        <w:rPr>
          <w:b w:val="0"/>
          <w:i w:val="0"/>
        </w:rPr>
        <w:t xml:space="preserve"> Printed forms: </w:t>
      </w:r>
      <w:r>
        <w:rPr>
          <w:b w:val="0"/>
          <w:i/>
        </w:rPr>
        <w:t>replicatur</w:t>
      </w:r>
      <w:r>
        <w:rPr>
          <w:b w:val="0"/>
          <w:i w:val="0"/>
        </w:rPr>
        <w:t>.</w:t>
      </w:r>
    </w:p>
    <w:p>
      <w:pPr>
        <w:widowControl/>
      </w:pPr>
      <w:r>
        <w:rPr>
          <w:b w:val="0"/>
          <w:i w:val="0"/>
        </w:rPr>
        <w:t xml:space="preserve">Folding back or repeating an intellectual operation. Ficino allows either a succession of higher-order acts or one act repeatedly returning upon itself; no final level is assigned. References: </w:t>
      </w:r>
      <w:hyperlink w:anchor="passage-viii-15-1">
        <w:r>
          <w:rPr>
            <w:color w:val="000000"/>
          </w:rPr>
          <w:t xml:space="preserve">VIII.15.1</w:t>
        </w:r>
      </w:hyperlink>
      <w:r>
        <w:rPr>
          <w:b w:val="0"/>
          <w:i w:val="0"/>
        </w:rPr>
        <w:t xml:space="preserve">,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350" w:name="latin-record-1109"/>
      <w:bookmarkEnd w:id="1350"/>
      <w:r>
        <w:rPr>
          <w:b/>
          <w:i w:val="0"/>
        </w:rPr>
        <w:t>reptilia / secundum Platonicos</w:t>
      </w:r>
      <w:r>
        <w:rPr>
          <w:b/>
          <w:i w:val="0"/>
        </w:rPr>
        <w:t>.</w:t>
      </w:r>
      <w:r>
        <w:rPr>
          <w:b w:val="0"/>
          <w:i w:val="0"/>
        </w:rPr>
        <w:t xml:space="preserve"> Printed forms: </w:t>
      </w:r>
      <w:r>
        <w:rPr>
          <w:b w:val="0"/>
          <w:i/>
        </w:rPr>
        <w:t>reptilia</w:t>
      </w:r>
      <w:r>
        <w:rPr>
          <w:b w:val="0"/>
          <w:i w:val="0"/>
        </w:rPr>
        <w:t xml:space="preserve">; </w:t>
      </w:r>
      <w:r>
        <w:rPr>
          <w:b w:val="0"/>
          <w:i/>
        </w:rPr>
        <w:t>secundum Platonicos</w:t>
      </w:r>
      <w:r>
        <w:rPr>
          <w:b w:val="0"/>
          <w:i w:val="0"/>
        </w:rPr>
        <w:t>.</w:t>
      </w:r>
    </w:p>
    <w:p>
      <w:pPr>
        <w:widowControl/>
      </w:pPr>
      <w:r>
        <w:rPr>
          <w:b w:val="0"/>
          <w:i w:val="0"/>
        </w:rPr>
        <w:t xml:space="preserve">Creeping animals and the explicit attribution to the Platonists. The closing question qualifies the scope of the animal-soul explanation rather than declaring every soul both indivisible and imperishable.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1351" w:name="latin-record-1110"/>
      <w:bookmarkEnd w:id="1351"/>
      <w:r>
        <w:rPr>
          <w:b/>
          <w:i w:val="0"/>
        </w:rPr>
        <w:t>repugnare / reflectere</w:t>
      </w:r>
      <w:r>
        <w:rPr>
          <w:b/>
          <w:i w:val="0"/>
        </w:rPr>
        <w:t>.</w:t>
      </w:r>
      <w:r>
        <w:rPr>
          <w:b w:val="0"/>
          <w:i w:val="0"/>
        </w:rPr>
        <w:t xml:space="preserve"> Printed forms: </w:t>
      </w:r>
      <w:r>
        <w:rPr>
          <w:b w:val="0"/>
          <w:i/>
        </w:rPr>
        <w:t>reflectet</w:t>
      </w:r>
      <w:r>
        <w:rPr>
          <w:b w:val="0"/>
          <w:i w:val="0"/>
        </w:rPr>
        <w:t xml:space="preserve">; </w:t>
      </w:r>
      <w:r>
        <w:rPr>
          <w:b w:val="0"/>
          <w:i/>
        </w:rPr>
        <w:t>repugnabit</w:t>
      </w:r>
      <w:r>
        <w:rPr>
          <w:b w:val="0"/>
          <w:i w:val="0"/>
        </w:rPr>
        <w:t>.</w:t>
      </w:r>
    </w:p>
    <w:p>
      <w:pPr>
        <w:widowControl/>
      </w:pPr>
      <w:r>
        <w:rPr>
          <w:b w:val="0"/>
          <w:i w:val="0"/>
        </w:rPr>
        <w:t xml:space="preserve">To resist and to turn back upon oneself. Resistance to bodily affect and self-reflection are among the soul’s activities that the humoral-harmony hypothesis cannot explain.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1352" w:name="latin-record-1111"/>
      <w:bookmarkEnd w:id="1352"/>
      <w:r>
        <w:rPr>
          <w:b/>
          <w:i w:val="0"/>
        </w:rPr>
        <w:t>repugnare; reflecti; definire</w:t>
      </w:r>
      <w:r>
        <w:rPr>
          <w:b/>
          <w:i w:val="0"/>
        </w:rPr>
        <w:t>.</w:t>
      </w:r>
      <w:r>
        <w:rPr>
          <w:b w:val="0"/>
          <w:i w:val="0"/>
        </w:rPr>
        <w:t xml:space="preserve"> Printed forms: </w:t>
      </w:r>
      <w:r>
        <w:rPr>
          <w:b w:val="0"/>
          <w:i/>
        </w:rPr>
        <w:t>definiret</w:t>
      </w:r>
      <w:r>
        <w:rPr>
          <w:b w:val="0"/>
          <w:i w:val="0"/>
        </w:rPr>
        <w:t xml:space="preserve">; </w:t>
      </w:r>
      <w:r>
        <w:rPr>
          <w:b w:val="0"/>
          <w:i/>
        </w:rPr>
        <w:t>discernere</w:t>
      </w:r>
      <w:r>
        <w:rPr>
          <w:b w:val="0"/>
          <w:i w:val="0"/>
        </w:rPr>
        <w:t xml:space="preserve">; </w:t>
      </w:r>
      <w:r>
        <w:rPr>
          <w:b w:val="0"/>
          <w:i/>
        </w:rPr>
        <w:t>metiri</w:t>
      </w:r>
      <w:r>
        <w:rPr>
          <w:b w:val="0"/>
          <w:i w:val="0"/>
        </w:rPr>
        <w:t xml:space="preserve">; </w:t>
      </w:r>
      <w:r>
        <w:rPr>
          <w:b w:val="0"/>
          <w:i/>
        </w:rPr>
        <w:t>reflecteretur</w:t>
      </w:r>
      <w:r>
        <w:rPr>
          <w:b w:val="0"/>
          <w:i w:val="0"/>
        </w:rPr>
        <w:t xml:space="preserve">; </w:t>
      </w:r>
      <w:r>
        <w:rPr>
          <w:b w:val="0"/>
          <w:i/>
        </w:rPr>
        <w:t>repugnare</w:t>
      </w:r>
      <w:r>
        <w:rPr>
          <w:b w:val="0"/>
          <w:i w:val="0"/>
        </w:rPr>
        <w:t>.</w:t>
      </w:r>
    </w:p>
    <w:p>
      <w:pPr>
        <w:widowControl/>
      </w:pPr>
      <w:r>
        <w:rPr>
          <w:b w:val="0"/>
          <w:i w:val="0"/>
        </w:rPr>
        <w:t xml:space="preserve">To resist, reflect upon oneself, define, distinguish and measure. These briefly postponed arguments would show that soul exceeds a necessarily dependent accident; they are not fully developed here. References: </w:t>
      </w:r>
      <w:hyperlink w:anchor="passage-vi-7-4">
        <w:r>
          <w:rPr>
            <w:color w:val="000000"/>
          </w:rPr>
          <w:t xml:space="preserve">VI.7.4</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353" w:name="latin-record-1112"/>
      <w:bookmarkEnd w:id="1353"/>
      <w:r>
        <w:rPr>
          <w:b/>
          <w:i w:val="0"/>
        </w:rPr>
        <w:t>res</w:t>
      </w:r>
      <w:r>
        <w:rPr>
          <w:b/>
          <w:i w:val="0"/>
        </w:rPr>
        <w:t>.</w:t>
      </w:r>
      <w:r>
        <w:rPr>
          <w:b w:val="0"/>
          <w:i w:val="0"/>
        </w:rPr>
        <w:t xml:space="preserve"> Printed forms: </w:t>
      </w:r>
      <w:r>
        <w:rPr>
          <w:b w:val="0"/>
          <w:i/>
        </w:rPr>
        <w:t>re</w:t>
      </w:r>
      <w:r>
        <w:rPr>
          <w:b w:val="0"/>
          <w:i w:val="0"/>
        </w:rPr>
        <w:t xml:space="preserve">; </w:t>
      </w:r>
      <w:r>
        <w:rPr>
          <w:b w:val="0"/>
          <w:i/>
        </w:rPr>
        <w:t>rebus</w:t>
      </w:r>
      <w:r>
        <w:rPr>
          <w:b w:val="0"/>
          <w:i w:val="0"/>
        </w:rPr>
        <w:t xml:space="preserve">; </w:t>
      </w:r>
      <w:r>
        <w:rPr>
          <w:b w:val="0"/>
          <w:i/>
        </w:rPr>
        <w:t>rei</w:t>
      </w:r>
      <w:r>
        <w:rPr>
          <w:b w:val="0"/>
          <w:i w:val="0"/>
        </w:rPr>
        <w:t xml:space="preserve">; </w:t>
      </w:r>
      <w:r>
        <w:rPr>
          <w:b w:val="0"/>
          <w:i/>
        </w:rPr>
        <w:t>rem</w:t>
      </w:r>
      <w:r>
        <w:rPr>
          <w:b w:val="0"/>
          <w:i w:val="0"/>
        </w:rPr>
        <w:t xml:space="preserve">; </w:t>
      </w:r>
      <w:r>
        <w:rPr>
          <w:b w:val="0"/>
          <w:i/>
        </w:rPr>
        <w:t>rerum</w:t>
      </w:r>
      <w:r>
        <w:rPr>
          <w:b w:val="0"/>
          <w:i w:val="0"/>
        </w:rPr>
        <w:t xml:space="preserve">; </w:t>
      </w:r>
      <w:r>
        <w:rPr>
          <w:b w:val="0"/>
          <w:i/>
        </w:rPr>
        <w:t>Res</w:t>
      </w:r>
      <w:r>
        <w:rPr>
          <w:b w:val="0"/>
          <w:i w:val="0"/>
        </w:rPr>
        <w:t xml:space="preserve">; </w:t>
      </w:r>
      <w:r>
        <w:rPr>
          <w:b w:val="0"/>
          <w:i/>
        </w:rPr>
        <w:t>res</w:t>
      </w:r>
      <w:r>
        <w:rPr>
          <w:b w:val="0"/>
          <w:i w:val="0"/>
        </w:rPr>
        <w:t>.</w:t>
      </w:r>
    </w:p>
    <w:p>
      <w:pPr>
        <w:widowControl/>
      </w:pPr>
      <w:r>
        <w:rPr>
          <w:b w:val="0"/>
          <w:i w:val="0"/>
        </w:rPr>
        <w:t xml:space="preserve">A thing or reality, whose exact ontological level must be learned from context. The word can refer to a composite, its form, soul or a hypothetical subject; </w:t>
      </w:r>
      <w:r>
        <w:t>‘</w:t>
      </w:r>
      <w:r>
        <w:rPr>
          <w:b w:val="0"/>
          <w:i w:val="0"/>
        </w:rPr>
        <w:t>thing</w:t>
      </w:r>
      <w:r>
        <w:t>’</w:t>
      </w:r>
      <w:r>
        <w:rPr>
          <w:b w:val="0"/>
          <w:i w:val="0"/>
        </w:rPr>
        <w:t xml:space="preserve"> itself does not settle whether the referent is bodily. References: </w:t>
      </w:r>
      <w:hyperlink w:anchor="passage-v-8-3">
        <w:r>
          <w:rPr>
            <w:color w:val="000000"/>
          </w:rPr>
          <w:t xml:space="preserve">V.8.3</w:t>
        </w:r>
      </w:hyperlink>
      <w:r>
        <w:rPr>
          <w:b w:val="0"/>
          <w:i w:val="0"/>
        </w:rPr>
        <w:t xml:space="preserve">, </w:t>
      </w:r>
      <w:hyperlink w:anchor="passage-v-11-1">
        <w:r>
          <w:rPr>
            <w:color w:val="000000"/>
          </w:rPr>
          <w:t xml:space="preserve">V.11.1</w:t>
        </w:r>
      </w:hyperlink>
      <w:r>
        <w:rPr>
          <w:b w:val="0"/>
          <w:i w:val="0"/>
        </w:rPr>
        <w:t xml:space="preserve">, </w:t>
      </w:r>
      <w:hyperlink w:anchor="passage-v-12-1">
        <w:r>
          <w:rPr>
            <w:color w:val="000000"/>
          </w:rPr>
          <w:t xml:space="preserve">V.12.1</w:t>
        </w:r>
      </w:hyperlink>
      <w:r>
        <w:rPr>
          <w:b w:val="0"/>
          <w:i w:val="0"/>
        </w:rPr>
        <w:t xml:space="preserve">, </w:t>
      </w:r>
      <w:hyperlink w:anchor="passage-v-13-1">
        <w:r>
          <w:rPr>
            <w:color w:val="000000"/>
          </w:rPr>
          <w:t xml:space="preserve">V.13.1</w:t>
        </w:r>
      </w:hyperlink>
      <w:r>
        <w:rPr>
          <w:b w:val="0"/>
          <w:i w:val="0"/>
        </w:rPr>
        <w:t xml:space="preserve">. See </w:t>
      </w:r>
      <w:hyperlink w:anchor="essence-and-being">
        <w:r>
          <w:rPr>
            <w:color w:val="000000"/>
          </w:rPr>
          <w:t xml:space="preserve">Essence and being</w:t>
        </w:r>
      </w:hyperlink>
      <w:r>
        <w:rPr>
          <w:b w:val="0"/>
          <w:i w:val="0"/>
        </w:rPr>
        <w:t>.</w:t>
      </w:r>
    </w:p>
    <w:p>
      <w:pPr>
        <w:widowControl/>
      </w:pPr>
      <w:r>
        <w:rPr>
          <w:b w:val="0"/>
          <w:i w:val="0"/>
        </w:rPr>
        <w:t xml:space="preserve">A thing or object under consideration, bodily or incorporeal according to its predicates. The phrase </w:t>
      </w:r>
      <w:r>
        <w:t>‘</w:t>
      </w:r>
      <w:r>
        <w:rPr>
          <w:b w:val="0"/>
          <w:i w:val="0"/>
        </w:rPr>
        <w:t>things known</w:t>
      </w:r>
      <w:r>
        <w:t>’</w:t>
      </w:r>
      <w:r>
        <w:rPr>
          <w:b w:val="0"/>
          <w:i w:val="0"/>
        </w:rPr>
        <w:t xml:space="preserve"> does not by itself restrict knowledge to bodies, while a thing’s account is distinguished from the particular mode of its material occurrence. References: </w:t>
      </w:r>
      <w:hyperlink w:anchor="passage-viii-1-1">
        <w:r>
          <w:rPr>
            <w:color w:val="000000"/>
          </w:rPr>
          <w:t xml:space="preserve">VIII.1.1</w:t>
        </w:r>
      </w:hyperlink>
      <w:r>
        <w:rPr>
          <w:b w:val="0"/>
          <w:i w:val="0"/>
        </w:rPr>
        <w:t xml:space="preserve">, </w:t>
      </w:r>
      <w:hyperlink w:anchor="passage-viii-1-4">
        <w:r>
          <w:rPr>
            <w:color w:val="000000"/>
          </w:rPr>
          <w:t xml:space="preserve">VIII.1.4</w:t>
        </w:r>
      </w:hyperlink>
      <w:r>
        <w:rPr>
          <w:b w:val="0"/>
          <w:i w:val="0"/>
        </w:rPr>
        <w:t xml:space="preserve">, </w:t>
      </w:r>
      <w:hyperlink w:anchor="passage-viii-2-1">
        <w:r>
          <w:rPr>
            <w:color w:val="000000"/>
          </w:rPr>
          <w:t xml:space="preserve">VIII.2.1</w:t>
        </w:r>
      </w:hyperlink>
      <w:r>
        <w:rPr>
          <w:b w:val="0"/>
          <w:i w:val="0"/>
        </w:rPr>
        <w:t xml:space="preserve">, </w:t>
      </w:r>
      <w:hyperlink w:anchor="passage-viii-2-5">
        <w:r>
          <w:rPr>
            <w:color w:val="000000"/>
          </w:rPr>
          <w:t xml:space="preserve">VIII.2.5</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3-1">
        <w:r>
          <w:rPr>
            <w:color w:val="000000"/>
          </w:rPr>
          <w:t xml:space="preserve">VIII.3.1</w:t>
        </w:r>
      </w:hyperlink>
      <w:r>
        <w:rPr>
          <w:b w:val="0"/>
          <w:i w:val="0"/>
        </w:rPr>
        <w:t xml:space="preserve">, </w:t>
      </w:r>
      <w:hyperlink w:anchor="passage-viii-3-2">
        <w:r>
          <w:rPr>
            <w:color w:val="000000"/>
          </w:rPr>
          <w:t xml:space="preserve">VIII.3.2</w:t>
        </w:r>
      </w:hyperlink>
      <w:r>
        <w:rPr>
          <w:b w:val="0"/>
          <w:i w:val="0"/>
        </w:rPr>
        <w:t xml:space="preserve">, </w:t>
      </w:r>
      <w:hyperlink w:anchor="passage-viii-3-3">
        <w:r>
          <w:rPr>
            <w:color w:val="000000"/>
          </w:rPr>
          <w:t xml:space="preserve">VIII.3.3</w:t>
        </w:r>
      </w:hyperlink>
      <w:r>
        <w:rPr>
          <w:b w:val="0"/>
          <w:i w:val="0"/>
        </w:rPr>
        <w:t xml:space="preserve">, </w:t>
      </w:r>
      <w:hyperlink w:anchor="passage-viii-3-4">
        <w:r>
          <w:rPr>
            <w:color w:val="000000"/>
          </w:rPr>
          <w:t xml:space="preserve">VIII.3.4</w:t>
        </w:r>
      </w:hyperlink>
      <w:r>
        <w:rPr>
          <w:b w:val="0"/>
          <w:i w:val="0"/>
        </w:rPr>
        <w:t xml:space="preserve">, </w:t>
      </w:r>
      <w:hyperlink w:anchor="passage-viii-3-5">
        <w:r>
          <w:rPr>
            <w:color w:val="000000"/>
          </w:rPr>
          <w:t xml:space="preserve">VIII.3.5</w:t>
        </w:r>
      </w:hyperlink>
      <w:r>
        <w:rPr>
          <w:b w:val="0"/>
          <w:i w:val="0"/>
        </w:rPr>
        <w:t xml:space="preserve">, </w:t>
      </w:r>
      <w:hyperlink w:anchor="passage-viii-3-6">
        <w:r>
          <w:rPr>
            <w:color w:val="000000"/>
          </w:rPr>
          <w:t xml:space="preserve">VIII.3.6</w:t>
        </w:r>
      </w:hyperlink>
      <w:r>
        <w:rPr>
          <w:b w:val="0"/>
          <w:i w:val="0"/>
        </w:rPr>
        <w:t xml:space="preserve">, </w:t>
      </w:r>
      <w:hyperlink w:anchor="passage-viii-3-7">
        <w:r>
          <w:rPr>
            <w:color w:val="000000"/>
          </w:rPr>
          <w:t xml:space="preserve">VIII.3.7</w:t>
        </w:r>
      </w:hyperlink>
      <w:r>
        <w:rPr>
          <w:b w:val="0"/>
          <w:i w:val="0"/>
        </w:rPr>
        <w:t xml:space="preserve">,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4-5">
        <w:r>
          <w:rPr>
            <w:color w:val="000000"/>
          </w:rPr>
          <w:t xml:space="preserve">VIII.4.5</w:t>
        </w:r>
      </w:hyperlink>
      <w:r>
        <w:rPr>
          <w:b w:val="0"/>
          <w:i w:val="0"/>
        </w:rPr>
        <w:t xml:space="preserve">, </w:t>
      </w:r>
      <w:hyperlink w:anchor="passage-viii-4-9">
        <w:r>
          <w:rPr>
            <w:color w:val="000000"/>
          </w:rPr>
          <w:t xml:space="preserve">VIII.4.9</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w:t>
      </w:r>
      <w:hyperlink w:anchor="passage-viii-4-12">
        <w:r>
          <w:rPr>
            <w:color w:val="000000"/>
          </w:rPr>
          <w:t xml:space="preserve">VIII.4.12</w:t>
        </w:r>
      </w:hyperlink>
      <w:r>
        <w:rPr>
          <w:b w:val="0"/>
          <w:i w:val="0"/>
        </w:rPr>
        <w:t xml:space="preserve">, </w:t>
      </w:r>
      <w:hyperlink w:anchor="passage-viii-4-13">
        <w:r>
          <w:rPr>
            <w:color w:val="000000"/>
          </w:rPr>
          <w:t xml:space="preserve">VIII.4.13</w:t>
        </w:r>
      </w:hyperlink>
      <w:r>
        <w:rPr>
          <w:b w:val="0"/>
          <w:i w:val="0"/>
        </w:rPr>
        <w:t xml:space="preserve">, </w:t>
      </w:r>
      <w:hyperlink w:anchor="passage-viii-5-1">
        <w:r>
          <w:rPr>
            <w:color w:val="000000"/>
          </w:rPr>
          <w:t xml:space="preserve">VIII.5.1</w:t>
        </w:r>
      </w:hyperlink>
      <w:r>
        <w:rPr>
          <w:b w:val="0"/>
          <w:i w:val="0"/>
        </w:rPr>
        <w:t xml:space="preserve">, </w:t>
      </w:r>
      <w:hyperlink w:anchor="passage-viii-6-1">
        <w:r>
          <w:rPr>
            <w:color w:val="000000"/>
          </w:rPr>
          <w:t xml:space="preserve">VIII.6.1</w:t>
        </w:r>
      </w:hyperlink>
      <w:r>
        <w:rPr>
          <w:b w:val="0"/>
          <w:i w:val="0"/>
        </w:rPr>
        <w:t xml:space="preserve">, </w:t>
      </w:r>
      <w:hyperlink w:anchor="passage-viii-7-1">
        <w:r>
          <w:rPr>
            <w:color w:val="000000"/>
          </w:rPr>
          <w:t xml:space="preserve">VIII.7.1</w:t>
        </w:r>
      </w:hyperlink>
      <w:r>
        <w:rPr>
          <w:b w:val="0"/>
          <w:i w:val="0"/>
        </w:rPr>
        <w:t xml:space="preserve">, </w:t>
      </w:r>
      <w:hyperlink w:anchor="passage-viii-8-1">
        <w:r>
          <w:rPr>
            <w:color w:val="000000"/>
          </w:rPr>
          <w:t xml:space="preserve">VIII.8.1</w:t>
        </w:r>
      </w:hyperlink>
      <w:r>
        <w:rPr>
          <w:b w:val="0"/>
          <w:i w:val="0"/>
        </w:rPr>
        <w:t xml:space="preserve">, </w:t>
      </w:r>
      <w:hyperlink w:anchor="passage-viii-9-1">
        <w:r>
          <w:rPr>
            <w:color w:val="000000"/>
          </w:rPr>
          <w:t xml:space="preserve">VIII.9.1</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1354" w:name="latin-record-1113"/>
      <w:bookmarkEnd w:id="1354"/>
      <w:r>
        <w:rPr>
          <w:b/>
          <w:i w:val="0"/>
        </w:rPr>
        <w:t>resilire; accendere; consumere</w:t>
      </w:r>
      <w:r>
        <w:rPr>
          <w:b/>
          <w:i w:val="0"/>
        </w:rPr>
        <w:t>.</w:t>
      </w:r>
      <w:r>
        <w:rPr>
          <w:b w:val="0"/>
          <w:i w:val="0"/>
        </w:rPr>
        <w:t xml:space="preserve"> Printed forms: </w:t>
      </w:r>
      <w:r>
        <w:rPr>
          <w:b w:val="0"/>
          <w:i/>
        </w:rPr>
        <w:t>accendant</w:t>
      </w:r>
      <w:r>
        <w:rPr>
          <w:b w:val="0"/>
          <w:i w:val="0"/>
        </w:rPr>
        <w:t xml:space="preserve">; </w:t>
      </w:r>
      <w:r>
        <w:rPr>
          <w:b w:val="0"/>
          <w:i/>
        </w:rPr>
        <w:t>consumant</w:t>
      </w:r>
      <w:r>
        <w:rPr>
          <w:b w:val="0"/>
          <w:i w:val="0"/>
        </w:rPr>
        <w:t xml:space="preserve">; </w:t>
      </w:r>
      <w:r>
        <w:rPr>
          <w:b w:val="0"/>
          <w:i/>
        </w:rPr>
        <w:t>resilientes</w:t>
      </w:r>
      <w:r>
        <w:rPr>
          <w:b w:val="0"/>
          <w:i w:val="0"/>
        </w:rPr>
        <w:t>.</w:t>
      </w:r>
    </w:p>
    <w:p>
      <w:pPr>
        <w:widowControl/>
      </w:pPr>
      <w:r>
        <w:rPr>
          <w:b w:val="0"/>
          <w:i w:val="0"/>
        </w:rPr>
        <w:t xml:space="preserve">To rebound, ignite and consume. The sequence describes the concentrated rays’ supposed burning power and supplies an analogy for intensified unity.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1355" w:name="latin-record-1114"/>
      <w:bookmarkEnd w:id="1355"/>
      <w:r>
        <w:rPr>
          <w:b/>
          <w:i w:val="0"/>
        </w:rPr>
        <w:t>resolutio / divisio</w:t>
      </w:r>
      <w:r>
        <w:rPr>
          <w:b/>
          <w:i w:val="0"/>
        </w:rPr>
        <w:t>.</w:t>
      </w:r>
      <w:r>
        <w:rPr>
          <w:b w:val="0"/>
          <w:i w:val="0"/>
        </w:rPr>
        <w:t xml:space="preserve"> Printed forms: </w:t>
      </w:r>
      <w:r>
        <w:rPr>
          <w:b w:val="0"/>
          <w:i/>
        </w:rPr>
        <w:t>divisio</w:t>
      </w:r>
      <w:r>
        <w:rPr>
          <w:b w:val="0"/>
          <w:i w:val="0"/>
        </w:rPr>
        <w:t xml:space="preserve">; </w:t>
      </w:r>
      <w:r>
        <w:rPr>
          <w:b w:val="0"/>
          <w:i/>
        </w:rPr>
        <w:t>divisionem</w:t>
      </w:r>
      <w:r>
        <w:rPr>
          <w:b w:val="0"/>
          <w:i w:val="0"/>
        </w:rPr>
        <w:t xml:space="preserve">; </w:t>
      </w:r>
      <w:r>
        <w:rPr>
          <w:b w:val="0"/>
          <w:i/>
        </w:rPr>
        <w:t>resolutio</w:t>
      </w:r>
      <w:r>
        <w:rPr>
          <w:b w:val="0"/>
          <w:i w:val="0"/>
        </w:rPr>
        <w:t xml:space="preserve">; </w:t>
      </w:r>
      <w:r>
        <w:rPr>
          <w:b w:val="0"/>
          <w:i/>
        </w:rPr>
        <w:t>resolutionem</w:t>
      </w:r>
      <w:r>
        <w:rPr>
          <w:b w:val="0"/>
          <w:i w:val="0"/>
        </w:rPr>
        <w:t xml:space="preserve">; </w:t>
      </w:r>
      <w:r>
        <w:rPr>
          <w:b w:val="0"/>
          <w:i/>
        </w:rPr>
        <w:t>resolvendo</w:t>
      </w:r>
      <w:r>
        <w:rPr>
          <w:b w:val="0"/>
          <w:i w:val="0"/>
        </w:rPr>
        <w:t xml:space="preserve">; </w:t>
      </w:r>
      <w:r>
        <w:rPr>
          <w:b w:val="0"/>
          <w:i/>
        </w:rPr>
        <w:t>resolvimus</w:t>
      </w:r>
      <w:r>
        <w:rPr>
          <w:b w:val="0"/>
          <w:i w:val="0"/>
        </w:rPr>
        <w:t>.</w:t>
      </w:r>
    </w:p>
    <w:p>
      <w:pPr>
        <w:widowControl/>
      </w:pPr>
      <w:r>
        <w:rPr>
          <w:b w:val="0"/>
          <w:i w:val="0"/>
        </w:rPr>
        <w:t xml:space="preserve">Explanatory analysis and division, distinguished from mutilating a spatial object. The analysis of a composite seeks principles; its stopping point indicates simplicity, whereas unlimited bodily cutting ruins a definition. References: </w:t>
      </w:r>
      <w:hyperlink w:anchor="passage-viii-4-4">
        <w:r>
          <w:rPr>
            <w:color w:val="000000"/>
          </w:rPr>
          <w:t xml:space="preserve">VIII.4.4</w:t>
        </w:r>
      </w:hyperlink>
      <w:r>
        <w:rPr>
          <w:b w:val="0"/>
          <w:i w:val="0"/>
        </w:rPr>
        <w:t xml:space="preserve">, </w:t>
      </w:r>
      <w:hyperlink w:anchor="passage-viii-4-6">
        <w:r>
          <w:rPr>
            <w:color w:val="000000"/>
          </w:rPr>
          <w:t xml:space="preserve">VIII.4.6</w:t>
        </w:r>
      </w:hyperlink>
      <w:r>
        <w:rPr>
          <w:b w:val="0"/>
          <w:i w:val="0"/>
        </w:rPr>
        <w:t xml:space="preserve">, </w:t>
      </w:r>
      <w:hyperlink w:anchor="passage-viii-4-12">
        <w:r>
          <w:rPr>
            <w:color w:val="000000"/>
          </w:rPr>
          <w:t xml:space="preserve">VIII.4.12</w:t>
        </w:r>
      </w:hyperlink>
      <w:r>
        <w:rPr>
          <w:b w:val="0"/>
          <w:i w:val="0"/>
        </w:rPr>
        <w:t xml:space="preserve">, </w:t>
      </w:r>
      <w:hyperlink w:anchor="passage-viii-5-2">
        <w:r>
          <w:rPr>
            <w:color w:val="000000"/>
          </w:rPr>
          <w:t xml:space="preserve">VIII.5.2</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1356" w:name="latin-record-1115"/>
      <w:bookmarkEnd w:id="1356"/>
      <w:r>
        <w:rPr>
          <w:b/>
          <w:i w:val="0"/>
        </w:rPr>
        <w:t>resolvere; deducere</w:t>
      </w:r>
      <w:r>
        <w:rPr>
          <w:b/>
          <w:i w:val="0"/>
        </w:rPr>
        <w:t>.</w:t>
      </w:r>
      <w:r>
        <w:rPr>
          <w:b w:val="0"/>
          <w:i w:val="0"/>
        </w:rPr>
        <w:t xml:space="preserve"> Printed forms: </w:t>
      </w:r>
      <w:r>
        <w:rPr>
          <w:b w:val="0"/>
          <w:i/>
        </w:rPr>
        <w:t>a causa deducit effectum</w:t>
      </w:r>
      <w:r>
        <w:rPr>
          <w:b w:val="0"/>
          <w:i w:val="0"/>
        </w:rPr>
        <w:t xml:space="preserve">; </w:t>
      </w:r>
      <w:r>
        <w:rPr>
          <w:b w:val="0"/>
          <w:i/>
        </w:rPr>
        <w:t>effectum resolvit in causam</w:t>
      </w:r>
      <w:r>
        <w:rPr>
          <w:b w:val="0"/>
          <w:i w:val="0"/>
        </w:rPr>
        <w:t>.</w:t>
      </w:r>
    </w:p>
    <w:p>
      <w:pPr>
        <w:widowControl/>
      </w:pPr>
      <w:r>
        <w:rPr>
          <w:b w:val="0"/>
          <w:i w:val="0"/>
        </w:rPr>
        <w:t xml:space="preserve">To resolve an effect into its cause and derive an effect from a cause. These reciprocal reasonings form one kind of circular activity alongside reflection upon oneself.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357" w:name="latin-record-1116"/>
      <w:bookmarkEnd w:id="1357"/>
      <w:r>
        <w:rPr>
          <w:b/>
          <w:i w:val="0"/>
        </w:rPr>
        <w:t>resolvi</w:t>
      </w:r>
      <w:r>
        <w:rPr>
          <w:b/>
          <w:i w:val="0"/>
        </w:rPr>
        <w:t>.</w:t>
      </w:r>
      <w:r>
        <w:rPr>
          <w:b w:val="0"/>
          <w:i w:val="0"/>
        </w:rPr>
        <w:t xml:space="preserve"> Printed forms: </w:t>
      </w:r>
      <w:r>
        <w:rPr>
          <w:b w:val="0"/>
          <w:i/>
        </w:rPr>
        <w:t>resolvatur</w:t>
      </w:r>
      <w:r>
        <w:rPr>
          <w:b w:val="0"/>
          <w:i w:val="0"/>
        </w:rPr>
        <w:t xml:space="preserve">; </w:t>
      </w:r>
      <w:r>
        <w:rPr>
          <w:b w:val="0"/>
          <w:i/>
        </w:rPr>
        <w:t>resolvi</w:t>
      </w:r>
      <w:r>
        <w:rPr>
          <w:b w:val="0"/>
          <w:i w:val="0"/>
        </w:rPr>
        <w:t xml:space="preserve">; </w:t>
      </w:r>
      <w:r>
        <w:rPr>
          <w:b w:val="0"/>
          <w:i/>
        </w:rPr>
        <w:t>resolvitur</w:t>
      </w:r>
      <w:r>
        <w:rPr>
          <w:b w:val="0"/>
          <w:i w:val="0"/>
        </w:rPr>
        <w:t>.</w:t>
      </w:r>
    </w:p>
    <w:p>
      <w:pPr>
        <w:widowControl/>
      </w:pPr>
      <w:r>
        <w:rPr>
          <w:b w:val="0"/>
          <w:i w:val="0"/>
        </w:rPr>
        <w:t xml:space="preserve">To dissolve or resolve into a prior or underlying principle. Ficino tests whether soul could return to matter, a cause or its own essence; no permitted route makes it cease to live. References: </w:t>
      </w:r>
      <w:hyperlink w:anchor="passage-v-11-1">
        <w:r>
          <w:rPr>
            <w:color w:val="000000"/>
          </w:rPr>
          <w:t xml:space="preserve">V.11.1</w:t>
        </w:r>
      </w:hyperlink>
      <w:r>
        <w:rPr>
          <w:b w:val="0"/>
          <w:i w:val="0"/>
        </w:rPr>
        <w:t xml:space="preserve">, </w:t>
      </w:r>
      <w:hyperlink w:anchor="passage-v-11-4">
        <w:r>
          <w:rPr>
            <w:color w:val="000000"/>
          </w:rPr>
          <w:t xml:space="preserve">V.11.4</w:t>
        </w:r>
      </w:hyperlink>
      <w:r>
        <w:rPr>
          <w:b w:val="0"/>
          <w:i w:val="0"/>
        </w:rPr>
        <w:t xml:space="preserve">, </w:t>
      </w:r>
      <w:hyperlink w:anchor="passage-v-11-5">
        <w:r>
          <w:rPr>
            <w:color w:val="000000"/>
          </w:rPr>
          <w:t xml:space="preserve">V.11.5</w:t>
        </w:r>
      </w:hyperlink>
      <w:r>
        <w:rPr>
          <w:b w:val="0"/>
          <w:i w:val="0"/>
        </w:rPr>
        <w:t xml:space="preserve">, </w:t>
      </w:r>
      <w:hyperlink w:anchor="passage-v-11-6">
        <w:r>
          <w:rPr>
            <w:color w:val="000000"/>
          </w:rPr>
          <w:t xml:space="preserve">V.11.6</w:t>
        </w:r>
      </w:hyperlink>
      <w:r>
        <w:rPr>
          <w:b w:val="0"/>
          <w:i w:val="0"/>
        </w:rPr>
        <w:t xml:space="preserve">, </w:t>
      </w:r>
      <w:hyperlink w:anchor="passage-v-11-7">
        <w:r>
          <w:rPr>
            <w:color w:val="000000"/>
          </w:rPr>
          <w:t xml:space="preserve">V.11.7</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1358" w:name="latin-record-1117"/>
      <w:bookmarkEnd w:id="1358"/>
      <w:r>
        <w:rPr>
          <w:b/>
          <w:i w:val="0"/>
        </w:rPr>
        <w:t>respectus / referri</w:t>
      </w:r>
      <w:r>
        <w:rPr>
          <w:b/>
          <w:i w:val="0"/>
        </w:rPr>
        <w:t>.</w:t>
      </w:r>
      <w:r>
        <w:rPr>
          <w:b w:val="0"/>
          <w:i w:val="0"/>
        </w:rPr>
        <w:t xml:space="preserve"> Printed forms: </w:t>
      </w:r>
      <w:r>
        <w:rPr>
          <w:b w:val="0"/>
          <w:i/>
        </w:rPr>
        <w:t>referendo</w:t>
      </w:r>
      <w:r>
        <w:rPr>
          <w:b w:val="0"/>
          <w:i w:val="0"/>
        </w:rPr>
        <w:t xml:space="preserve">; </w:t>
      </w:r>
      <w:r>
        <w:rPr>
          <w:b w:val="0"/>
          <w:i/>
        </w:rPr>
        <w:t>Refertur</w:t>
      </w:r>
      <w:r>
        <w:rPr>
          <w:b w:val="0"/>
          <w:i w:val="0"/>
        </w:rPr>
        <w:t xml:space="preserve">; </w:t>
      </w:r>
      <w:r>
        <w:rPr>
          <w:b w:val="0"/>
          <w:i/>
        </w:rPr>
        <w:t>refertur</w:t>
      </w:r>
      <w:r>
        <w:rPr>
          <w:b w:val="0"/>
          <w:i w:val="0"/>
        </w:rPr>
        <w:t xml:space="preserve">; </w:t>
      </w:r>
      <w:r>
        <w:rPr>
          <w:b w:val="0"/>
          <w:i/>
        </w:rPr>
        <w:t>referuntur</w:t>
      </w:r>
      <w:r>
        <w:rPr>
          <w:b w:val="0"/>
          <w:i w:val="0"/>
        </w:rPr>
        <w:t xml:space="preserve">; </w:t>
      </w:r>
      <w:r>
        <w:rPr>
          <w:b w:val="0"/>
          <w:i/>
        </w:rPr>
        <w:t>Referuntur</w:t>
      </w:r>
      <w:r>
        <w:rPr>
          <w:b w:val="0"/>
          <w:i w:val="0"/>
        </w:rPr>
        <w:t xml:space="preserve">; </w:t>
      </w:r>
      <w:r>
        <w:rPr>
          <w:b w:val="0"/>
          <w:i/>
        </w:rPr>
        <w:t>relata</w:t>
      </w:r>
      <w:r>
        <w:rPr>
          <w:b w:val="0"/>
          <w:i w:val="0"/>
        </w:rPr>
        <w:t xml:space="preserve">; </w:t>
      </w:r>
      <w:r>
        <w:rPr>
          <w:b w:val="0"/>
          <w:i/>
        </w:rPr>
        <w:t>respectum</w:t>
      </w:r>
      <w:r>
        <w:rPr>
          <w:b w:val="0"/>
          <w:i w:val="0"/>
        </w:rPr>
        <w:t>.</w:t>
      </w:r>
    </w:p>
    <w:p>
      <w:pPr>
        <w:widowControl/>
      </w:pPr>
      <w:r>
        <w:rPr>
          <w:b w:val="0"/>
          <w:i w:val="0"/>
        </w:rPr>
        <w:t xml:space="preserve">Directed relation to a source, and being related through one’s nature or through an intermediary. Bodily forms relate through mobile production, while soul relates through stable essence to God. References: </w:t>
      </w:r>
      <w:hyperlink w:anchor="passage-v-10-1">
        <w:r>
          <w:rPr>
            <w:color w:val="000000"/>
          </w:rPr>
          <w:t xml:space="preserve">V.10.1</w:t>
        </w:r>
      </w:hyperlink>
      <w:r>
        <w:rPr>
          <w:b w:val="0"/>
          <w:i w:val="0"/>
        </w:rPr>
        <w:t xml:space="preserve">, </w:t>
      </w:r>
      <w:hyperlink w:anchor="passage-v-10-2">
        <w:r>
          <w:rPr>
            <w:color w:val="000000"/>
          </w:rPr>
          <w:t xml:space="preserve">V.10.2</w:t>
        </w:r>
      </w:hyperlink>
      <w:r>
        <w:rPr>
          <w:b w:val="0"/>
          <w:i w:val="0"/>
        </w:rPr>
        <w:t xml:space="preserve">, </w:t>
      </w:r>
      <w:hyperlink w:anchor="passage-v-10-3">
        <w:r>
          <w:rPr>
            <w:color w:val="000000"/>
          </w:rPr>
          <w:t xml:space="preserve">V.10.3</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359" w:name="latin-record-1118"/>
      <w:bookmarkEnd w:id="1359"/>
      <w:r>
        <w:rPr>
          <w:b/>
          <w:i w:val="0"/>
        </w:rPr>
        <w:t>respicere</w:t>
      </w:r>
      <w:r>
        <w:rPr>
          <w:b/>
          <w:i w:val="0"/>
        </w:rPr>
        <w:t>.</w:t>
      </w:r>
      <w:r>
        <w:rPr>
          <w:b w:val="0"/>
          <w:i w:val="0"/>
        </w:rPr>
        <w:t xml:space="preserve"> Printed forms: </w:t>
      </w:r>
      <w:r>
        <w:rPr>
          <w:b w:val="0"/>
          <w:i/>
        </w:rPr>
        <w:t>respiciant</w:t>
      </w:r>
      <w:r>
        <w:rPr>
          <w:b w:val="0"/>
          <w:i w:val="0"/>
        </w:rPr>
        <w:t xml:space="preserve">; </w:t>
      </w:r>
      <w:r>
        <w:rPr>
          <w:b w:val="0"/>
          <w:i/>
        </w:rPr>
        <w:t>respiciat</w:t>
      </w:r>
      <w:r>
        <w:rPr>
          <w:b w:val="0"/>
          <w:i w:val="0"/>
        </w:rPr>
        <w:t xml:space="preserve">; </w:t>
      </w:r>
      <w:r>
        <w:rPr>
          <w:b w:val="0"/>
          <w:i/>
        </w:rPr>
        <w:t>respiciunt</w:t>
      </w:r>
      <w:r>
        <w:rPr>
          <w:b w:val="0"/>
          <w:i w:val="0"/>
        </w:rPr>
        <w:t xml:space="preserve">; </w:t>
      </w:r>
      <w:r>
        <w:rPr>
          <w:b w:val="0"/>
          <w:i/>
        </w:rPr>
        <w:t>Respiciunt</w:t>
      </w:r>
      <w:r>
        <w:rPr>
          <w:b w:val="0"/>
          <w:i w:val="0"/>
        </w:rPr>
        <w:t>.</w:t>
      </w:r>
    </w:p>
    <w:p>
      <w:pPr>
        <w:widowControl/>
      </w:pPr>
      <w:r>
        <w:rPr>
          <w:b w:val="0"/>
          <w:i w:val="0"/>
        </w:rPr>
        <w:t xml:space="preserve">To look toward or have directed reference to. The visual verb describes formal likeness and a capacity’s orientation to its proper act, rather than literal bodily sight. References: </w:t>
      </w:r>
      <w:hyperlink w:anchor="passage-v-10-1">
        <w:r>
          <w:rPr>
            <w:color w:val="000000"/>
          </w:rPr>
          <w:t xml:space="preserve">V.10.1</w:t>
        </w:r>
      </w:hyperlink>
      <w:r>
        <w:rPr>
          <w:b w:val="0"/>
          <w:i w:val="0"/>
        </w:rPr>
        <w:t xml:space="preserve">, </w:t>
      </w:r>
      <w:hyperlink w:anchor="passage-v-13-12">
        <w:r>
          <w:rPr>
            <w:color w:val="000000"/>
          </w:rPr>
          <w:t xml:space="preserve">V.13.12</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360" w:name="latin-record-1119"/>
      <w:bookmarkEnd w:id="1360"/>
      <w:r>
        <w:rPr>
          <w:b/>
          <w:i w:val="0"/>
        </w:rPr>
        <w:t>respondere / fateor / negare</w:t>
      </w:r>
      <w:r>
        <w:rPr>
          <w:b/>
          <w:i w:val="0"/>
        </w:rPr>
        <w:t>.</w:t>
      </w:r>
      <w:r>
        <w:rPr>
          <w:b w:val="0"/>
          <w:i w:val="0"/>
        </w:rPr>
        <w:t xml:space="preserve"> Printed forms: </w:t>
      </w:r>
      <w:r>
        <w:rPr>
          <w:b w:val="0"/>
          <w:i/>
        </w:rPr>
        <w:t>confiteri</w:t>
      </w:r>
      <w:r>
        <w:rPr>
          <w:b w:val="0"/>
          <w:i w:val="0"/>
        </w:rPr>
        <w:t xml:space="preserve">; </w:t>
      </w:r>
      <w:r>
        <w:rPr>
          <w:b w:val="0"/>
          <w:i/>
        </w:rPr>
        <w:t>Fateantur</w:t>
      </w:r>
      <w:r>
        <w:rPr>
          <w:b w:val="0"/>
          <w:i w:val="0"/>
        </w:rPr>
        <w:t xml:space="preserve">; </w:t>
      </w:r>
      <w:r>
        <w:rPr>
          <w:b w:val="0"/>
          <w:i/>
        </w:rPr>
        <w:t>fatebuntur</w:t>
      </w:r>
      <w:r>
        <w:rPr>
          <w:b w:val="0"/>
          <w:i w:val="0"/>
        </w:rPr>
        <w:t xml:space="preserve">; </w:t>
      </w:r>
      <w:r>
        <w:rPr>
          <w:b w:val="0"/>
          <w:i/>
        </w:rPr>
        <w:t>Negandum</w:t>
      </w:r>
      <w:r>
        <w:rPr>
          <w:b w:val="0"/>
          <w:i w:val="0"/>
        </w:rPr>
        <w:t xml:space="preserve">; </w:t>
      </w:r>
      <w:r>
        <w:rPr>
          <w:b w:val="0"/>
          <w:i/>
        </w:rPr>
        <w:t>negans</w:t>
      </w:r>
      <w:r>
        <w:rPr>
          <w:b w:val="0"/>
          <w:i w:val="0"/>
        </w:rPr>
        <w:t xml:space="preserve">; </w:t>
      </w:r>
      <w:r>
        <w:rPr>
          <w:b w:val="0"/>
          <w:i/>
        </w:rPr>
        <w:t>respondeant</w:t>
      </w:r>
      <w:r>
        <w:rPr>
          <w:b w:val="0"/>
          <w:i w:val="0"/>
        </w:rPr>
        <w:t xml:space="preserve">; </w:t>
      </w:r>
      <w:r>
        <w:rPr>
          <w:b w:val="0"/>
          <w:i/>
        </w:rPr>
        <w:t>respondeatur</w:t>
      </w:r>
      <w:r>
        <w:rPr>
          <w:b w:val="0"/>
          <w:i w:val="0"/>
        </w:rPr>
        <w:t>.</w:t>
      </w:r>
    </w:p>
    <w:p>
      <w:pPr>
        <w:widowControl/>
      </w:pPr>
      <w:r>
        <w:rPr>
          <w:b w:val="0"/>
          <w:i w:val="0"/>
        </w:rPr>
        <w:t xml:space="preserve">Answering, admitting and denying in the argumentative exchange. The text forces alternatives from opponents and then uses a conceded union or unity to infer a nonbodily mode of mind. References: </w:t>
      </w:r>
      <w:hyperlink w:anchor="passage-viii-4-2">
        <w:r>
          <w:rPr>
            <w:color w:val="000000"/>
          </w:rPr>
          <w:t xml:space="preserve">VIII.4.2</w:t>
        </w:r>
      </w:hyperlink>
      <w:r>
        <w:rPr>
          <w:b w:val="0"/>
          <w:i w:val="0"/>
        </w:rPr>
        <w:t xml:space="preserve">, </w:t>
      </w:r>
      <w:hyperlink w:anchor="passage-viii-4-3">
        <w:r>
          <w:rPr>
            <w:color w:val="000000"/>
          </w:rPr>
          <w:t xml:space="preserve">VIII.4.3</w:t>
        </w:r>
      </w:hyperlink>
      <w:r>
        <w:rPr>
          <w:b w:val="0"/>
          <w:i w:val="0"/>
        </w:rPr>
        <w:t xml:space="preserve">, </w:t>
      </w:r>
      <w:hyperlink w:anchor="passage-viii-4-5">
        <w:r>
          <w:rPr>
            <w:color w:val="000000"/>
          </w:rPr>
          <w:t xml:space="preserve">VIII.4.5</w:t>
        </w:r>
      </w:hyperlink>
      <w:r>
        <w:rPr>
          <w:b w:val="0"/>
          <w:i w:val="0"/>
        </w:rPr>
        <w:t xml:space="preserve">, </w:t>
      </w:r>
      <w:hyperlink w:anchor="passage-viii-4-7">
        <w:r>
          <w:rPr>
            <w:color w:val="000000"/>
          </w:rPr>
          <w:t xml:space="preserve">VIII.4.7</w:t>
        </w:r>
      </w:hyperlink>
      <w:r>
        <w:rPr>
          <w:b w:val="0"/>
          <w:i w:val="0"/>
        </w:rPr>
        <w:t xml:space="preserve">, </w:t>
      </w:r>
      <w:hyperlink w:anchor="passage-viii-4-9">
        <w:r>
          <w:rPr>
            <w:color w:val="000000"/>
          </w:rPr>
          <w:t xml:space="preserve">VIII.4.9</w:t>
        </w:r>
      </w:hyperlink>
      <w:r>
        <w:rPr>
          <w:b w:val="0"/>
          <w:i w:val="0"/>
        </w:rPr>
        <w:t xml:space="preserve">, </w:t>
      </w:r>
      <w:hyperlink w:anchor="passage-viii-10-2">
        <w:r>
          <w:rPr>
            <w:color w:val="000000"/>
          </w:rPr>
          <w:t xml:space="preserve">VIII.10.2</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361" w:name="latin-record-1120"/>
      <w:bookmarkEnd w:id="1361"/>
      <w:r>
        <w:rPr>
          <w:b/>
          <w:i w:val="0"/>
        </w:rPr>
        <w:t>retinere / servare</w:t>
      </w:r>
      <w:r>
        <w:rPr>
          <w:b/>
          <w:i w:val="0"/>
        </w:rPr>
        <w:t>.</w:t>
      </w:r>
      <w:r>
        <w:rPr>
          <w:b w:val="0"/>
          <w:i w:val="0"/>
        </w:rPr>
        <w:t xml:space="preserve"> Printed forms: </w:t>
      </w:r>
      <w:r>
        <w:rPr>
          <w:b w:val="0"/>
          <w:i/>
        </w:rPr>
        <w:t>retinetur</w:t>
      </w:r>
      <w:r>
        <w:rPr>
          <w:b w:val="0"/>
          <w:i w:val="0"/>
        </w:rPr>
        <w:t xml:space="preserve">; </w:t>
      </w:r>
      <w:r>
        <w:rPr>
          <w:b w:val="0"/>
          <w:i/>
        </w:rPr>
        <w:t>servabimus</w:t>
      </w:r>
      <w:r>
        <w:rPr>
          <w:b w:val="0"/>
          <w:i w:val="0"/>
        </w:rPr>
        <w:t xml:space="preserve">; </w:t>
      </w:r>
      <w:r>
        <w:rPr>
          <w:b w:val="0"/>
          <w:i/>
        </w:rPr>
        <w:t>servatur</w:t>
      </w:r>
      <w:r>
        <w:rPr>
          <w:b w:val="0"/>
          <w:i w:val="0"/>
        </w:rPr>
        <w:t>.</w:t>
      </w:r>
    </w:p>
    <w:p>
      <w:pPr>
        <w:widowControl/>
      </w:pPr>
      <w:r>
        <w:rPr>
          <w:b w:val="0"/>
          <w:i w:val="0"/>
        </w:rPr>
        <w:t xml:space="preserve">To retain or preserve what would otherwise disappear. The former bodily constitution is not retained after soul departs; preservation of cognitive images and visible light is discussed in other causal contexts. References: </w:t>
      </w:r>
      <w:hyperlink w:anchor="passage-vii-1-3">
        <w:r>
          <w:rPr>
            <w:color w:val="000000"/>
          </w:rPr>
          <w:t xml:space="preserve">VII.1.3</w:t>
        </w:r>
      </w:hyperlink>
      <w:r>
        <w:rPr>
          <w:b w:val="0"/>
          <w:i w:val="0"/>
        </w:rPr>
        <w:t xml:space="preserve">, </w:t>
      </w:r>
      <w:hyperlink w:anchor="passage-vii-9-2">
        <w:r>
          <w:rPr>
            <w:color w:val="000000"/>
          </w:rPr>
          <w:t xml:space="preserve">VII.9.2</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362" w:name="latin-record-1121"/>
      <w:bookmarkEnd w:id="1362"/>
      <w:r>
        <w:rPr>
          <w:b/>
          <w:i w:val="0"/>
        </w:rPr>
        <w:t>revertere; respicere</w:t>
      </w:r>
      <w:r>
        <w:rPr>
          <w:b/>
          <w:i w:val="0"/>
        </w:rPr>
        <w:t>.</w:t>
      </w:r>
      <w:r>
        <w:rPr>
          <w:b w:val="0"/>
          <w:i w:val="0"/>
        </w:rPr>
        <w:t xml:space="preserve"> Printed forms: </w:t>
      </w:r>
      <w:r>
        <w:rPr>
          <w:b w:val="0"/>
          <w:i/>
        </w:rPr>
        <w:t>respice</w:t>
      </w:r>
      <w:r>
        <w:rPr>
          <w:b w:val="0"/>
          <w:i w:val="0"/>
        </w:rPr>
        <w:t xml:space="preserve">; </w:t>
      </w:r>
      <w:r>
        <w:rPr>
          <w:b w:val="0"/>
          <w:i/>
        </w:rPr>
        <w:t>revertere</w:t>
      </w:r>
      <w:r>
        <w:rPr>
          <w:b w:val="0"/>
          <w:i w:val="0"/>
        </w:rPr>
        <w:t>.</w:t>
      </w:r>
    </w:p>
    <w:p>
      <w:pPr>
        <w:widowControl/>
      </w:pPr>
      <w:r>
        <w:rPr>
          <w:b w:val="0"/>
          <w:i w:val="0"/>
        </w:rPr>
        <w:t xml:space="preserve">To return and look back or beyond. The exhortation moves attention from bodily shadow toward the soul itself, not toward a larger bodily interior. References: </w:t>
      </w:r>
      <w:hyperlink w:anchor="passage-vi-2-3">
        <w:r>
          <w:rPr>
            <w:color w:val="000000"/>
          </w:rPr>
          <w:t xml:space="preserve">VI.2.3</w:t>
        </w:r>
      </w:hyperlink>
      <w:r>
        <w:rPr>
          <w:b w:val="0"/>
          <w:i w:val="0"/>
        </w:rPr>
        <w:t xml:space="preserve">, </w:t>
      </w:r>
      <w:hyperlink w:anchor="passage-vi-2-6">
        <w:r>
          <w:rPr>
            <w:color w:val="000000"/>
          </w:rPr>
          <w:t xml:space="preserve">VI.2.6</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1363" w:name="latin-record-1122"/>
      <w:bookmarkEnd w:id="1363"/>
      <w:r>
        <w:rPr>
          <w:b/>
          <w:i w:val="0"/>
        </w:rPr>
        <w:t>reviviscere</w:t>
      </w:r>
      <w:r>
        <w:rPr>
          <w:b/>
          <w:i w:val="0"/>
        </w:rPr>
        <w:t>.</w:t>
      </w:r>
      <w:r>
        <w:rPr>
          <w:b w:val="0"/>
          <w:i w:val="0"/>
        </w:rPr>
        <w:t xml:space="preserve"> Printed forms: </w:t>
      </w:r>
      <w:r>
        <w:rPr>
          <w:b w:val="0"/>
          <w:i/>
        </w:rPr>
        <w:t>reviviscunt</w:t>
      </w:r>
      <w:r>
        <w:rPr>
          <w:b w:val="0"/>
          <w:i w:val="0"/>
        </w:rPr>
        <w:t>.</w:t>
      </w:r>
    </w:p>
    <w:p>
      <w:pPr>
        <w:widowControl/>
      </w:pPr>
      <w:r>
        <w:rPr>
          <w:b w:val="0"/>
          <w:i w:val="0"/>
        </w:rPr>
        <w:t xml:space="preserve">Reviving or coming to life again. Ficino associates the world’s revival through light with the account attributed to Orphics and Heraclitus; this is part of the soul-light comparison.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1364" w:name="latin-record-1123"/>
      <w:bookmarkEnd w:id="1364"/>
      <w:r>
        <w:rPr>
          <w:b/>
          <w:i w:val="0"/>
        </w:rPr>
        <w:t>revolutio / orbicularis</w:t>
      </w:r>
      <w:r>
        <w:rPr>
          <w:b/>
          <w:i w:val="0"/>
        </w:rPr>
        <w:t>.</w:t>
      </w:r>
      <w:r>
        <w:rPr>
          <w:b w:val="0"/>
          <w:i w:val="0"/>
        </w:rPr>
        <w:t xml:space="preserve"> Printed forms: </w:t>
      </w:r>
      <w:r>
        <w:rPr>
          <w:b w:val="0"/>
          <w:i/>
        </w:rPr>
        <w:t>circumeundo</w:t>
      </w:r>
      <w:r>
        <w:rPr>
          <w:b w:val="0"/>
          <w:i w:val="0"/>
        </w:rPr>
        <w:t xml:space="preserve">; </w:t>
      </w:r>
      <w:r>
        <w:rPr>
          <w:b w:val="0"/>
          <w:i/>
        </w:rPr>
        <w:t>circumvolutus</w:t>
      </w:r>
      <w:r>
        <w:rPr>
          <w:b w:val="0"/>
          <w:i w:val="0"/>
        </w:rPr>
        <w:t xml:space="preserve">; </w:t>
      </w:r>
      <w:r>
        <w:rPr>
          <w:b w:val="0"/>
          <w:i/>
        </w:rPr>
        <w:t>orbicularis</w:t>
      </w:r>
      <w:r>
        <w:rPr>
          <w:b w:val="0"/>
          <w:i w:val="0"/>
        </w:rPr>
        <w:t xml:space="preserve">; </w:t>
      </w:r>
      <w:r>
        <w:rPr>
          <w:b w:val="0"/>
          <w:i/>
        </w:rPr>
        <w:t>Revolutio</w:t>
      </w:r>
      <w:r>
        <w:rPr>
          <w:b w:val="0"/>
          <w:i w:val="0"/>
        </w:rPr>
        <w:t xml:space="preserve">; </w:t>
      </w:r>
      <w:r>
        <w:rPr>
          <w:b w:val="0"/>
          <w:i/>
        </w:rPr>
        <w:t>revolvitur</w:t>
      </w:r>
      <w:r>
        <w:rPr>
          <w:b w:val="0"/>
          <w:i w:val="0"/>
        </w:rPr>
        <w:t>.</w:t>
      </w:r>
    </w:p>
    <w:p>
      <w:pPr>
        <w:widowControl/>
      </w:pPr>
      <w:r>
        <w:rPr>
          <w:b w:val="0"/>
          <w:i w:val="0"/>
        </w:rPr>
        <w:t xml:space="preserve">Revolution, circular and circling, images of intellectual activity returning to itself. No external acquisition supplies a final resting point; the model concerns inward self-knowledge rather than the literal rotation of a brain or soul. References: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365" w:name="latin-record-1124"/>
      <w:bookmarkEnd w:id="1365"/>
      <w:r>
        <w:rPr>
          <w:b/>
          <w:i w:val="0"/>
        </w:rPr>
        <w:t>revolvere; recolligere</w:t>
      </w:r>
      <w:r>
        <w:rPr>
          <w:b/>
          <w:i w:val="0"/>
        </w:rPr>
        <w:t>.</w:t>
      </w:r>
      <w:r>
        <w:rPr>
          <w:b w:val="0"/>
          <w:i w:val="0"/>
        </w:rPr>
        <w:t xml:space="preserve"> Printed forms: </w:t>
      </w:r>
      <w:r>
        <w:rPr>
          <w:b w:val="0"/>
          <w:i/>
        </w:rPr>
        <w:t>recolligit</w:t>
      </w:r>
      <w:r>
        <w:rPr>
          <w:b w:val="0"/>
          <w:i w:val="0"/>
        </w:rPr>
        <w:t xml:space="preserve">; </w:t>
      </w:r>
      <w:r>
        <w:rPr>
          <w:b w:val="0"/>
          <w:i/>
        </w:rPr>
        <w:t>revolvit</w:t>
      </w:r>
      <w:r>
        <w:rPr>
          <w:b w:val="0"/>
          <w:i w:val="0"/>
        </w:rPr>
        <w:t>.</w:t>
      </w:r>
    </w:p>
    <w:p>
      <w:pPr>
        <w:widowControl/>
      </w:pPr>
      <w:r>
        <w:rPr>
          <w:b w:val="0"/>
          <w:i w:val="0"/>
        </w:rPr>
        <w:t xml:space="preserve">To turn over and gather again. These verbs describe the internal sense’s handling of bodily images, not necessarily the soul’s higher self-reflection.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366" w:name="latin-record-1125"/>
      <w:bookmarkEnd w:id="1366"/>
      <w:r>
        <w:rPr>
          <w:b/>
          <w:i w:val="0"/>
        </w:rPr>
        <w:t>rotunditas</w:t>
      </w:r>
      <w:r>
        <w:rPr>
          <w:b/>
          <w:i w:val="0"/>
        </w:rPr>
        <w:t>.</w:t>
      </w:r>
      <w:r>
        <w:rPr>
          <w:b w:val="0"/>
          <w:i w:val="0"/>
        </w:rPr>
        <w:t xml:space="preserve"> Printed forms: </w:t>
      </w:r>
      <w:r>
        <w:rPr>
          <w:b w:val="0"/>
          <w:i/>
        </w:rPr>
        <w:t>rotunditas</w:t>
      </w:r>
      <w:r>
        <w:rPr>
          <w:b w:val="0"/>
          <w:i w:val="0"/>
        </w:rPr>
        <w:t xml:space="preserve">; </w:t>
      </w:r>
      <w:r>
        <w:rPr>
          <w:b w:val="0"/>
          <w:i/>
        </w:rPr>
        <w:t>Rotunditas</w:t>
      </w:r>
      <w:r>
        <w:rPr>
          <w:b w:val="0"/>
          <w:i w:val="0"/>
        </w:rPr>
        <w:t xml:space="preserve">; </w:t>
      </w:r>
      <w:r>
        <w:rPr>
          <w:b w:val="0"/>
          <w:i/>
        </w:rPr>
        <w:t>rotunditate</w:t>
      </w:r>
      <w:r>
        <w:rPr>
          <w:b w:val="0"/>
          <w:i w:val="0"/>
        </w:rPr>
        <w:t xml:space="preserve">; </w:t>
      </w:r>
      <w:r>
        <w:rPr>
          <w:b w:val="0"/>
          <w:i/>
        </w:rPr>
        <w:t>rotunditatem</w:t>
      </w:r>
      <w:r>
        <w:rPr>
          <w:b w:val="0"/>
          <w:i w:val="0"/>
        </w:rPr>
        <w:t>.</w:t>
      </w:r>
    </w:p>
    <w:p>
      <w:pPr>
        <w:widowControl/>
      </w:pPr>
      <w:r>
        <w:rPr>
          <w:b w:val="0"/>
          <w:i w:val="0"/>
        </w:rPr>
        <w:t xml:space="preserve">Roundness, an intrinsic feature of a circle but an acquired feature of shaped wood. The example distinguishes a subject surviving a property loss from a form whose identity includes that property. References: </w:t>
      </w:r>
      <w:hyperlink w:anchor="passage-v-9-1">
        <w:r>
          <w:rPr>
            <w:color w:val="000000"/>
          </w:rPr>
          <w:t xml:space="preserve">V.9.1</w:t>
        </w:r>
      </w:hyperlink>
      <w:r>
        <w:rPr>
          <w:b w:val="0"/>
          <w:i w:val="0"/>
        </w:rPr>
        <w:t xml:space="preserve">. See </w:t>
      </w:r>
      <w:hyperlink w:anchor="necessary-predication-and-the-fire-objection">
        <w:r>
          <w:rPr>
            <w:color w:val="000000"/>
          </w:rPr>
          <w:t xml:space="preserve">Necessary predication and the fire objection</w:t>
        </w:r>
      </w:hyperlink>
      <w:r>
        <w:rPr>
          <w:b w:val="0"/>
          <w:i w:val="0"/>
        </w:rPr>
        <w:t>.</w:t>
      </w:r>
    </w:p>
    <w:p>
      <w:pPr>
        <w:keepNext/>
        <w:widowControl/>
      </w:pPr>
      <w:bookmarkStart w:id="1367" w:name="latin-record-1126"/>
      <w:bookmarkEnd w:id="1367"/>
      <w:r>
        <w:rPr>
          <w:b/>
          <w:i w:val="0"/>
        </w:rPr>
        <w:t>sagacitas / elicere / delitescere</w:t>
      </w:r>
      <w:r>
        <w:rPr>
          <w:b/>
          <w:i w:val="0"/>
        </w:rPr>
        <w:t>.</w:t>
      </w:r>
      <w:r>
        <w:rPr>
          <w:b w:val="0"/>
          <w:i w:val="0"/>
        </w:rPr>
        <w:t xml:space="preserve"> Printed forms: </w:t>
      </w:r>
      <w:r>
        <w:rPr>
          <w:b w:val="0"/>
          <w:i/>
        </w:rPr>
        <w:t>delitescit</w:t>
      </w:r>
      <w:r>
        <w:rPr>
          <w:b w:val="0"/>
          <w:i w:val="0"/>
        </w:rPr>
        <w:t xml:space="preserve">; </w:t>
      </w:r>
      <w:r>
        <w:rPr>
          <w:b w:val="0"/>
          <w:i/>
        </w:rPr>
        <w:t>eliciantur</w:t>
      </w:r>
      <w:r>
        <w:rPr>
          <w:b w:val="0"/>
          <w:i w:val="0"/>
        </w:rPr>
        <w:t xml:space="preserve">; </w:t>
      </w:r>
      <w:r>
        <w:rPr>
          <w:b w:val="0"/>
          <w:i/>
        </w:rPr>
        <w:t>sagacitatem</w:t>
      </w:r>
      <w:r>
        <w:rPr>
          <w:b w:val="0"/>
          <w:i w:val="0"/>
        </w:rPr>
        <w:t>.</w:t>
      </w:r>
    </w:p>
    <w:p>
      <w:pPr>
        <w:widowControl/>
      </w:pPr>
      <w:r>
        <w:rPr>
          <w:b w:val="0"/>
          <w:i w:val="0"/>
        </w:rPr>
        <w:t xml:space="preserve">Acute discernment, drawing out implicit content and lying concealed. An expert can unfold a connected science from a proposition; the vocabulary does not imply that a novice instantly possesses every theorem. References: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1368" w:name="latin-record-1127"/>
      <w:bookmarkEnd w:id="1368"/>
      <w:r>
        <w:rPr>
          <w:b/>
          <w:i w:val="0"/>
        </w:rPr>
        <w:t>saltem</w:t>
      </w:r>
      <w:r>
        <w:rPr>
          <w:b/>
          <w:i w:val="0"/>
        </w:rPr>
        <w:t>.</w:t>
      </w:r>
      <w:r>
        <w:rPr>
          <w:b w:val="0"/>
          <w:i w:val="0"/>
        </w:rPr>
        <w:t xml:space="preserve"> Printed forms: </w:t>
      </w:r>
      <w:r>
        <w:rPr>
          <w:b w:val="0"/>
          <w:i/>
        </w:rPr>
        <w:t>saltem</w:t>
      </w:r>
      <w:r>
        <w:rPr>
          <w:b w:val="0"/>
          <w:i w:val="0"/>
        </w:rPr>
        <w:t>.</w:t>
      </w:r>
    </w:p>
    <w:p>
      <w:pPr>
        <w:widowControl/>
      </w:pPr>
      <w:r>
        <w:rPr>
          <w:b w:val="0"/>
          <w:i w:val="0"/>
        </w:rPr>
        <w:t xml:space="preserve">At least, preserving a minimum that the argument claims. A soul with a beginning must at least have no end; this does not establish absence of a beginning. References: </w:t>
      </w:r>
      <w:hyperlink w:anchor="passage-v-13-17">
        <w:r>
          <w:rPr>
            <w:color w:val="000000"/>
          </w:rPr>
          <w:t xml:space="preserve">V.13.17</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369" w:name="latin-record-1128"/>
      <w:bookmarkEnd w:id="1369"/>
      <w:r>
        <w:rPr>
          <w:b/>
          <w:i w:val="0"/>
        </w:rPr>
        <w:t>saltem futura sit semper</w:t>
      </w:r>
      <w:r>
        <w:rPr>
          <w:b/>
          <w:i w:val="0"/>
        </w:rPr>
        <w:t>.</w:t>
      </w:r>
      <w:r>
        <w:rPr>
          <w:b w:val="0"/>
          <w:i w:val="0"/>
        </w:rPr>
        <w:t xml:space="preserve"> Printed forms: </w:t>
      </w:r>
      <w:r>
        <w:rPr>
          <w:b w:val="0"/>
          <w:i/>
        </w:rPr>
        <w:t>saltem futura sit semper</w:t>
      </w:r>
      <w:r>
        <w:rPr>
          <w:b w:val="0"/>
          <w:i w:val="0"/>
        </w:rPr>
        <w:t>.</w:t>
      </w:r>
    </w:p>
    <w:p>
      <w:pPr>
        <w:widowControl/>
      </w:pPr>
      <w:r>
        <w:rPr>
          <w:b w:val="0"/>
          <w:i w:val="0"/>
        </w:rPr>
        <w:t xml:space="preserve">At least it will always exist hereafter, preserving a weaker temporal conclusion. The alternative prevents an inference that the passage unconditionally proves every mind’s beginningless existence. References: </w:t>
      </w:r>
      <w:hyperlink w:anchor="passage-viii-9-1">
        <w:r>
          <w:rPr>
            <w:color w:val="000000"/>
          </w:rPr>
          <w:t xml:space="preserve">VIII.9.1</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1370" w:name="latin-record-1129"/>
      <w:bookmarkEnd w:id="1370"/>
      <w:r>
        <w:rPr>
          <w:b/>
          <w:i w:val="0"/>
        </w:rPr>
        <w:t>sanitas / robur / pulchritudo</w:t>
      </w:r>
      <w:r>
        <w:rPr>
          <w:b/>
          <w:i w:val="0"/>
        </w:rPr>
        <w:t>.</w:t>
      </w:r>
      <w:r>
        <w:rPr>
          <w:b w:val="0"/>
          <w:i w:val="0"/>
        </w:rPr>
        <w:t xml:space="preserve"> Printed forms: </w:t>
      </w:r>
      <w:r>
        <w:rPr>
          <w:b w:val="0"/>
          <w:i/>
        </w:rPr>
        <w:t>pulchritudinem</w:t>
      </w:r>
      <w:r>
        <w:rPr>
          <w:b w:val="0"/>
          <w:i w:val="0"/>
        </w:rPr>
        <w:t xml:space="preserve">; </w:t>
      </w:r>
      <w:r>
        <w:rPr>
          <w:b w:val="0"/>
          <w:i/>
        </w:rPr>
        <w:t>Pulchritudo</w:t>
      </w:r>
      <w:r>
        <w:rPr>
          <w:b w:val="0"/>
          <w:i w:val="0"/>
        </w:rPr>
        <w:t xml:space="preserve">; </w:t>
      </w:r>
      <w:r>
        <w:rPr>
          <w:b w:val="0"/>
          <w:i/>
        </w:rPr>
        <w:t>Robur</w:t>
      </w:r>
      <w:r>
        <w:rPr>
          <w:b w:val="0"/>
          <w:i w:val="0"/>
        </w:rPr>
        <w:t xml:space="preserve">; </w:t>
      </w:r>
      <w:r>
        <w:rPr>
          <w:b w:val="0"/>
          <w:i/>
        </w:rPr>
        <w:t>robur</w:t>
      </w:r>
      <w:r>
        <w:rPr>
          <w:b w:val="0"/>
          <w:i w:val="0"/>
        </w:rPr>
        <w:t xml:space="preserve">; </w:t>
      </w:r>
      <w:r>
        <w:rPr>
          <w:b w:val="0"/>
          <w:i/>
        </w:rPr>
        <w:t>Sanitas</w:t>
      </w:r>
      <w:r>
        <w:rPr>
          <w:b w:val="0"/>
          <w:i w:val="0"/>
        </w:rPr>
        <w:t xml:space="preserve">; </w:t>
      </w:r>
      <w:r>
        <w:rPr>
          <w:b w:val="0"/>
          <w:i/>
        </w:rPr>
        <w:t>sanitatem</w:t>
      </w:r>
      <w:r>
        <w:rPr>
          <w:b w:val="0"/>
          <w:i w:val="0"/>
        </w:rPr>
        <w:t>.</w:t>
      </w:r>
    </w:p>
    <w:p>
      <w:pPr>
        <w:widowControl/>
      </w:pPr>
      <w:r>
        <w:rPr>
          <w:b w:val="0"/>
          <w:i w:val="0"/>
        </w:rPr>
        <w:t xml:space="preserve">Health, strength and beauty as bodily perfections. Humoral concord explains health; bones and nerves strength; members and colors beauty in a qualified sense. These do not define soul.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keepNext/>
        <w:widowControl/>
      </w:pPr>
      <w:bookmarkStart w:id="1371" w:name="latin-record-1130"/>
      <w:bookmarkEnd w:id="1371"/>
      <w:r>
        <w:rPr>
          <w:b/>
          <w:i w:val="0"/>
        </w:rPr>
        <w:t>sapere</w:t>
      </w:r>
      <w:r>
        <w:rPr>
          <w:b/>
          <w:i w:val="0"/>
        </w:rPr>
        <w:t>.</w:t>
      </w:r>
      <w:r>
        <w:rPr>
          <w:b w:val="0"/>
          <w:i w:val="0"/>
        </w:rPr>
        <w:t xml:space="preserve"> Printed forms: </w:t>
      </w:r>
      <w:r>
        <w:rPr>
          <w:b w:val="0"/>
          <w:i/>
        </w:rPr>
        <w:t>sapiens</w:t>
      </w:r>
      <w:r>
        <w:rPr>
          <w:b w:val="0"/>
          <w:i w:val="0"/>
        </w:rPr>
        <w:t xml:space="preserve">; </w:t>
      </w:r>
      <w:r>
        <w:rPr>
          <w:b w:val="0"/>
          <w:i/>
        </w:rPr>
        <w:t>sapientior</w:t>
      </w:r>
      <w:r>
        <w:rPr>
          <w:b w:val="0"/>
          <w:i w:val="0"/>
        </w:rPr>
        <w:t xml:space="preserve">; </w:t>
      </w:r>
      <w:r>
        <w:rPr>
          <w:b w:val="0"/>
          <w:i/>
        </w:rPr>
        <w:t>sapit</w:t>
      </w:r>
      <w:r>
        <w:rPr>
          <w:b w:val="0"/>
          <w:i w:val="0"/>
        </w:rPr>
        <w:t>.</w:t>
      </w:r>
    </w:p>
    <w:p>
      <w:pPr>
        <w:widowControl/>
      </w:pPr>
      <w:r>
        <w:rPr>
          <w:b w:val="0"/>
          <w:i w:val="0"/>
        </w:rPr>
        <w:t xml:space="preserve">Knowing or discerning; the related wisdom vocabulary adds an attained intellectual excellence. Imagination knows only what sense receives or conceives, while the virtue argument denies that greater bulk makes a person wiser. References: </w:t>
      </w:r>
      <w:hyperlink w:anchor="passage-viii-1-1">
        <w:r>
          <w:rPr>
            <w:color w:val="000000"/>
          </w:rPr>
          <w:t xml:space="preserve">VIII.1.1</w:t>
        </w:r>
      </w:hyperlink>
      <w:r>
        <w:rPr>
          <w:b w:val="0"/>
          <w:i w:val="0"/>
        </w:rPr>
        <w:t xml:space="preserve">, </w:t>
      </w:r>
      <w:hyperlink w:anchor="passage-viii-3-1">
        <w:r>
          <w:rPr>
            <w:color w:val="000000"/>
          </w:rPr>
          <w:t xml:space="preserve">VIII.3.1</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1372" w:name="latin-record-1131"/>
      <w:bookmarkEnd w:id="1372"/>
      <w:r>
        <w:rPr>
          <w:b/>
          <w:i w:val="0"/>
        </w:rPr>
        <w:t>sapientia / scientia / prudentia / ars</w:t>
      </w:r>
      <w:r>
        <w:rPr>
          <w:b/>
          <w:i w:val="0"/>
        </w:rPr>
        <w:t>.</w:t>
      </w:r>
      <w:r>
        <w:rPr>
          <w:b w:val="0"/>
          <w:i w:val="0"/>
        </w:rPr>
        <w:t xml:space="preserve"> Printed forms: </w:t>
      </w:r>
      <w:r>
        <w:rPr>
          <w:b w:val="0"/>
          <w:i/>
        </w:rPr>
        <w:t>ars</w:t>
      </w:r>
      <w:r>
        <w:rPr>
          <w:b w:val="0"/>
          <w:i w:val="0"/>
        </w:rPr>
        <w:t xml:space="preserve">; </w:t>
      </w:r>
      <w:r>
        <w:rPr>
          <w:b w:val="0"/>
          <w:i/>
        </w:rPr>
        <w:t>prudentia</w:t>
      </w:r>
      <w:r>
        <w:rPr>
          <w:b w:val="0"/>
          <w:i w:val="0"/>
        </w:rPr>
        <w:t xml:space="preserve">; </w:t>
      </w:r>
      <w:r>
        <w:rPr>
          <w:b w:val="0"/>
          <w:i/>
        </w:rPr>
        <w:t>prudentiam</w:t>
      </w:r>
      <w:r>
        <w:rPr>
          <w:b w:val="0"/>
          <w:i w:val="0"/>
        </w:rPr>
        <w:t xml:space="preserve">; </w:t>
      </w:r>
      <w:r>
        <w:rPr>
          <w:b w:val="0"/>
          <w:i/>
        </w:rPr>
        <w:t>sapientia</w:t>
      </w:r>
      <w:r>
        <w:rPr>
          <w:b w:val="0"/>
          <w:i w:val="0"/>
        </w:rPr>
        <w:t xml:space="preserve">; </w:t>
      </w:r>
      <w:r>
        <w:rPr>
          <w:b w:val="0"/>
          <w:i/>
        </w:rPr>
        <w:t>scientia</w:t>
      </w:r>
      <w:r>
        <w:rPr>
          <w:b w:val="0"/>
          <w:i w:val="0"/>
        </w:rPr>
        <w:t>.</w:t>
      </w:r>
    </w:p>
    <w:p>
      <w:pPr>
        <w:widowControl/>
      </w:pPr>
      <w:r>
        <w:rPr>
          <w:b w:val="0"/>
          <w:i w:val="0"/>
        </w:rPr>
        <w:t xml:space="preserve">Wisdom, knowledge, practical discernment and skill as the intellectual virtues enumerated here. Their respective objects are divine things, natural things, civic matters and human works; preserve this local classification rather than imposing another scheme. References: </w:t>
      </w:r>
      <w:hyperlink w:anchor="passage-viii-3-1">
        <w:r>
          <w:rPr>
            <w:color w:val="000000"/>
          </w:rPr>
          <w:t xml:space="preserve">VIII.3.1</w:t>
        </w:r>
      </w:hyperlink>
      <w:r>
        <w:rPr>
          <w:b w:val="0"/>
          <w:i w:val="0"/>
        </w:rPr>
        <w:t xml:space="preserve">, </w:t>
      </w:r>
      <w:hyperlink w:anchor="passage-viii-3-7">
        <w:r>
          <w:rPr>
            <w:color w:val="000000"/>
          </w:rPr>
          <w:t xml:space="preserve">VIII.3.7</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373" w:name="latin-record-1132"/>
      <w:bookmarkEnd w:id="1373"/>
      <w:r>
        <w:rPr>
          <w:b/>
          <w:i w:val="0"/>
        </w:rPr>
        <w:t>sapientia; sapiens</w:t>
      </w:r>
      <w:r>
        <w:rPr>
          <w:b/>
          <w:i w:val="0"/>
        </w:rPr>
        <w:t>.</w:t>
      </w:r>
      <w:r>
        <w:rPr>
          <w:b w:val="0"/>
          <w:i w:val="0"/>
        </w:rPr>
        <w:t xml:space="preserve"> Printed forms: </w:t>
      </w:r>
      <w:r>
        <w:rPr>
          <w:b w:val="0"/>
          <w:i/>
        </w:rPr>
        <w:t>insipientem</w:t>
      </w:r>
      <w:r>
        <w:rPr>
          <w:b w:val="0"/>
          <w:i w:val="0"/>
        </w:rPr>
        <w:t xml:space="preserve">; </w:t>
      </w:r>
      <w:r>
        <w:rPr>
          <w:b w:val="0"/>
          <w:i/>
        </w:rPr>
        <w:t>sapientem</w:t>
      </w:r>
      <w:r>
        <w:rPr>
          <w:b w:val="0"/>
          <w:i w:val="0"/>
        </w:rPr>
        <w:t xml:space="preserve">; </w:t>
      </w:r>
      <w:r>
        <w:rPr>
          <w:b w:val="0"/>
          <w:i/>
        </w:rPr>
        <w:t>sapientia</w:t>
      </w:r>
      <w:r>
        <w:rPr>
          <w:b w:val="0"/>
          <w:i w:val="0"/>
        </w:rPr>
        <w:t>.</w:t>
      </w:r>
    </w:p>
    <w:p>
      <w:pPr>
        <w:widowControl/>
      </w:pPr>
      <w:r>
        <w:rPr>
          <w:b w:val="0"/>
          <w:i w:val="0"/>
        </w:rPr>
        <w:t xml:space="preserve">Wisdom, wise and unwise. The deliberately jarring predicates illustrate the difference between a principle and what is qualified through that principle. References: </w:t>
      </w:r>
      <w:hyperlink w:anchor="passage-vi-5-2">
        <w:r>
          <w:rPr>
            <w:color w:val="000000"/>
          </w:rPr>
          <w:t xml:space="preserve">VI.5.2</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374" w:name="latin-record-1133"/>
      <w:bookmarkEnd w:id="1374"/>
      <w:r>
        <w:rPr>
          <w:b/>
          <w:i w:val="0"/>
        </w:rPr>
        <w:t>sapor / odor / aqua</w:t>
      </w:r>
      <w:r>
        <w:rPr>
          <w:b/>
          <w:i w:val="0"/>
        </w:rPr>
        <w:t>.</w:t>
      </w:r>
      <w:r>
        <w:rPr>
          <w:b w:val="0"/>
          <w:i w:val="0"/>
        </w:rPr>
        <w:t xml:space="preserve"> Printed forms: </w:t>
      </w:r>
      <w:r>
        <w:rPr>
          <w:b w:val="0"/>
          <w:i/>
        </w:rPr>
        <w:t>aquam</w:t>
      </w:r>
      <w:r>
        <w:rPr>
          <w:b w:val="0"/>
          <w:i w:val="0"/>
        </w:rPr>
        <w:t xml:space="preserve">; </w:t>
      </w:r>
      <w:r>
        <w:rPr>
          <w:b w:val="0"/>
          <w:i/>
        </w:rPr>
        <w:t>odores</w:t>
      </w:r>
      <w:r>
        <w:rPr>
          <w:b w:val="0"/>
          <w:i w:val="0"/>
        </w:rPr>
        <w:t xml:space="preserve">; </w:t>
      </w:r>
      <w:r>
        <w:rPr>
          <w:b w:val="0"/>
          <w:i/>
        </w:rPr>
        <w:t>sapores</w:t>
      </w:r>
      <w:r>
        <w:rPr>
          <w:b w:val="0"/>
          <w:i w:val="0"/>
        </w:rPr>
        <w:t>.</w:t>
      </w:r>
    </w:p>
    <w:p>
      <w:pPr>
        <w:widowControl/>
      </w:pPr>
      <w:r>
        <w:rPr>
          <w:b w:val="0"/>
          <w:i w:val="0"/>
        </w:rPr>
        <w:t xml:space="preserve">Taste, odor and water as a receiving medium. Their mixture exemplifies penetrating physical qualities whose mingling does not itself provide discriminating judgement.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375" w:name="latin-record-1134"/>
      <w:bookmarkEnd w:id="1375"/>
      <w:r>
        <w:rPr>
          <w:b/>
          <w:i w:val="0"/>
        </w:rPr>
        <w:t>Saturnus / Iuppiter / sphaera</w:t>
      </w:r>
      <w:r>
        <w:rPr>
          <w:b/>
          <w:i w:val="0"/>
        </w:rPr>
        <w:t>.</w:t>
      </w:r>
      <w:r>
        <w:rPr>
          <w:b w:val="0"/>
          <w:i w:val="0"/>
        </w:rPr>
        <w:t xml:space="preserve"> Printed forms: </w:t>
      </w:r>
      <w:r>
        <w:rPr>
          <w:b w:val="0"/>
          <w:i/>
        </w:rPr>
        <w:t>Iovis</w:t>
      </w:r>
      <w:r>
        <w:rPr>
          <w:b w:val="0"/>
          <w:i w:val="0"/>
        </w:rPr>
        <w:t xml:space="preserve">; </w:t>
      </w:r>
      <w:r>
        <w:rPr>
          <w:b w:val="0"/>
          <w:i/>
        </w:rPr>
        <w:t>Saturni</w:t>
      </w:r>
      <w:r>
        <w:rPr>
          <w:b w:val="0"/>
          <w:i w:val="0"/>
        </w:rPr>
        <w:t xml:space="preserve">; </w:t>
      </w:r>
      <w:r>
        <w:rPr>
          <w:b w:val="0"/>
          <w:i/>
        </w:rPr>
        <w:t>sphaera</w:t>
      </w:r>
      <w:r>
        <w:rPr>
          <w:b w:val="0"/>
          <w:i w:val="0"/>
        </w:rPr>
        <w:t xml:space="preserve">; </w:t>
      </w:r>
      <w:r>
        <w:rPr>
          <w:b w:val="0"/>
          <w:i/>
        </w:rPr>
        <w:t>sphaeram</w:t>
      </w:r>
      <w:r>
        <w:rPr>
          <w:b w:val="0"/>
          <w:i w:val="0"/>
        </w:rPr>
        <w:t>.</w:t>
      </w:r>
    </w:p>
    <w:p>
      <w:pPr>
        <w:widowControl/>
      </w:pPr>
      <w:r>
        <w:rPr>
          <w:b w:val="0"/>
          <w:i w:val="0"/>
        </w:rPr>
        <w:t xml:space="preserve">Saturn, Jupiter and their spheres in the inherited cosmological containment model. Saturn’s sphere contains Jupiter’s, not reciprocally; this one-way bodily relation contrasts with minds mutually knowing each other. References: </w:t>
      </w:r>
      <w:hyperlink w:anchor="passage-viii-9-1">
        <w:r>
          <w:rPr>
            <w:color w:val="000000"/>
          </w:rPr>
          <w:t xml:space="preserve">VIII.9.1</w:t>
        </w:r>
      </w:hyperlink>
      <w:r>
        <w:rPr>
          <w:b w:val="0"/>
          <w:i w:val="0"/>
        </w:rPr>
        <w:t xml:space="preserve">. See </w:t>
      </w:r>
      <w:hyperlink w:anchor="viii-mutual-minds">
        <w:r>
          <w:rPr>
            <w:color w:val="000000"/>
          </w:rPr>
          <w:t xml:space="preserve">Mutual knowledge of minds and the celestial spheres</w:t>
        </w:r>
      </w:hyperlink>
      <w:r>
        <w:rPr>
          <w:b w:val="0"/>
          <w:i w:val="0"/>
        </w:rPr>
        <w:t>.</w:t>
      </w:r>
    </w:p>
    <w:p>
      <w:pPr>
        <w:keepNext/>
        <w:widowControl/>
      </w:pPr>
      <w:bookmarkStart w:id="1376" w:name="latin-record-1135"/>
      <w:bookmarkEnd w:id="1376"/>
      <w:r>
        <w:rPr>
          <w:b/>
          <w:i w:val="0"/>
        </w:rPr>
        <w:t>saxum; lignum</w:t>
      </w:r>
      <w:r>
        <w:rPr>
          <w:b/>
          <w:i w:val="0"/>
        </w:rPr>
        <w:t>.</w:t>
      </w:r>
      <w:r>
        <w:rPr>
          <w:b w:val="0"/>
          <w:i w:val="0"/>
        </w:rPr>
        <w:t xml:space="preserve"> Printed forms: </w:t>
      </w:r>
      <w:r>
        <w:rPr>
          <w:b w:val="0"/>
          <w:i/>
        </w:rPr>
        <w:t>ligna</w:t>
      </w:r>
      <w:r>
        <w:rPr>
          <w:b w:val="0"/>
          <w:i w:val="0"/>
        </w:rPr>
        <w:t xml:space="preserve">; </w:t>
      </w:r>
      <w:r>
        <w:rPr>
          <w:b w:val="0"/>
          <w:i/>
        </w:rPr>
        <w:t>lignis aridis</w:t>
      </w:r>
      <w:r>
        <w:rPr>
          <w:b w:val="0"/>
          <w:i w:val="0"/>
        </w:rPr>
        <w:t xml:space="preserve">; </w:t>
      </w:r>
      <w:r>
        <w:rPr>
          <w:b w:val="0"/>
          <w:i/>
        </w:rPr>
        <w:t>saxa</w:t>
      </w:r>
      <w:r>
        <w:rPr>
          <w:b w:val="0"/>
          <w:i w:val="0"/>
        </w:rPr>
        <w:t>.</w:t>
      </w:r>
    </w:p>
    <w:p>
      <w:pPr>
        <w:widowControl/>
      </w:pPr>
      <w:r>
        <w:rPr>
          <w:b w:val="0"/>
          <w:i w:val="0"/>
        </w:rPr>
        <w:t xml:space="preserve">Stone and wood, particularly dry or severed materials. They share bodily matter with organisms but lack the same nourishment and growth when detached. References: </w:t>
      </w:r>
      <w:hyperlink w:anchor="passage-vi-4-1">
        <w:r>
          <w:rPr>
            <w:color w:val="000000"/>
          </w:rPr>
          <w:t xml:space="preserve">VI.4.1</w:t>
        </w:r>
      </w:hyperlink>
      <w:r>
        <w:rPr>
          <w:b w:val="0"/>
          <w:i w:val="0"/>
        </w:rPr>
        <w:t xml:space="preserve">, </w:t>
      </w:r>
      <w:hyperlink w:anchor="passage-vi-4-3">
        <w:r>
          <w:rPr>
            <w:color w:val="000000"/>
          </w:rPr>
          <w:t xml:space="preserve">VI.4.3</w:t>
        </w:r>
      </w:hyperlink>
      <w:r>
        <w:rPr>
          <w:b w:val="0"/>
          <w:i w:val="0"/>
        </w:rPr>
        <w:t xml:space="preserve">, </w:t>
      </w:r>
      <w:hyperlink w:anchor="passage-vi-8-7">
        <w:r>
          <w:rPr>
            <w:color w:val="000000"/>
          </w:rPr>
          <w:t xml:space="preserve">VI.8.7</w:t>
        </w:r>
      </w:hyperlink>
      <w:r>
        <w:rPr>
          <w:b w:val="0"/>
          <w:i w:val="0"/>
        </w:rPr>
        <w:t xml:space="preserve">. See </w:t>
      </w:r>
      <w:hyperlink w:anchor="earth-wood-and-severed-stones">
        <w:r>
          <w:rPr>
            <w:color w:val="000000"/>
          </w:rPr>
          <w:t xml:space="preserve">Earth, wood and severed stones</w:t>
        </w:r>
      </w:hyperlink>
      <w:r>
        <w:rPr>
          <w:b w:val="0"/>
          <w:i w:val="0"/>
        </w:rPr>
        <w:t>.</w:t>
      </w:r>
    </w:p>
    <w:p>
      <w:pPr>
        <w:keepNext/>
        <w:widowControl/>
      </w:pPr>
      <w:bookmarkStart w:id="1377" w:name="latin-record-1136"/>
      <w:bookmarkEnd w:id="1377"/>
      <w:r>
        <w:rPr>
          <w:b/>
          <w:i w:val="0"/>
        </w:rPr>
        <w:t>scientia</w:t>
      </w:r>
      <w:r>
        <w:rPr>
          <w:b/>
          <w:i w:val="0"/>
        </w:rPr>
        <w:t>.</w:t>
      </w:r>
      <w:r>
        <w:rPr>
          <w:b w:val="0"/>
          <w:i w:val="0"/>
        </w:rPr>
        <w:t xml:space="preserve"> Printed forms: </w:t>
      </w:r>
      <w:r>
        <w:rPr>
          <w:b w:val="0"/>
          <w:i/>
        </w:rPr>
        <w:t>scientia</w:t>
      </w:r>
      <w:r>
        <w:rPr>
          <w:b w:val="0"/>
          <w:i w:val="0"/>
        </w:rPr>
        <w:t xml:space="preserve">; </w:t>
      </w:r>
      <w:r>
        <w:rPr>
          <w:b w:val="0"/>
          <w:i/>
        </w:rPr>
        <w:t>Scientia</w:t>
      </w:r>
      <w:r>
        <w:rPr>
          <w:b w:val="0"/>
          <w:i w:val="0"/>
        </w:rPr>
        <w:t xml:space="preserve">; </w:t>
      </w:r>
      <w:r>
        <w:rPr>
          <w:b w:val="0"/>
          <w:i/>
        </w:rPr>
        <w:t>scientiae</w:t>
      </w:r>
      <w:r>
        <w:rPr>
          <w:b w:val="0"/>
          <w:i w:val="0"/>
        </w:rPr>
        <w:t xml:space="preserve">; </w:t>
      </w:r>
      <w:r>
        <w:rPr>
          <w:b w:val="0"/>
          <w:i/>
        </w:rPr>
        <w:t>scientiam</w:t>
      </w:r>
      <w:r>
        <w:rPr>
          <w:b w:val="0"/>
          <w:i w:val="0"/>
        </w:rPr>
        <w:t xml:space="preserve">; </w:t>
      </w:r>
      <w:r>
        <w:rPr>
          <w:b w:val="0"/>
          <w:i/>
        </w:rPr>
        <w:t>scientiarum</w:t>
      </w:r>
      <w:r>
        <w:rPr>
          <w:b w:val="0"/>
          <w:i w:val="0"/>
        </w:rPr>
        <w:t xml:space="preserve">; </w:t>
      </w:r>
      <w:r>
        <w:rPr>
          <w:b w:val="0"/>
          <w:i/>
        </w:rPr>
        <w:t>scientias</w:t>
      </w:r>
      <w:r>
        <w:rPr>
          <w:b w:val="0"/>
          <w:i w:val="0"/>
        </w:rPr>
        <w:t>.</w:t>
      </w:r>
    </w:p>
    <w:p>
      <w:pPr>
        <w:widowControl/>
      </w:pPr>
      <w:r>
        <w:rPr>
          <w:b w:val="0"/>
          <w:i w:val="0"/>
        </w:rPr>
        <w:t xml:space="preserve">Settled knowledge; in the plural, distinct sciences or connected bodies of knowledge. It may mean a defining act, a discipline such as geometry, or an alleged part of knowledge whose object must be specified. References: </w:t>
      </w:r>
      <w:hyperlink w:anchor="passage-viii-3-6">
        <w:r>
          <w:rPr>
            <w:color w:val="000000"/>
          </w:rPr>
          <w:t xml:space="preserve">VIII.3.6</w:t>
        </w:r>
      </w:hyperlink>
      <w:r>
        <w:rPr>
          <w:b w:val="0"/>
          <w:i w:val="0"/>
        </w:rPr>
        <w:t xml:space="preserve">, </w:t>
      </w:r>
      <w:hyperlink w:anchor="passage-viii-4-1">
        <w:r>
          <w:rPr>
            <w:color w:val="000000"/>
          </w:rPr>
          <w:t xml:space="preserve">VIII.4.1</w:t>
        </w:r>
      </w:hyperlink>
      <w:r>
        <w:rPr>
          <w:b w:val="0"/>
          <w:i w:val="0"/>
        </w:rPr>
        <w:t xml:space="preserve">, </w:t>
      </w:r>
      <w:hyperlink w:anchor="passage-viii-4-8">
        <w:r>
          <w:rPr>
            <w:color w:val="000000"/>
          </w:rPr>
          <w:t xml:space="preserve">VIII.4.8</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w:t>
      </w:r>
      <w:hyperlink w:anchor="passage-viii-4-12">
        <w:r>
          <w:rPr>
            <w:color w:val="000000"/>
          </w:rPr>
          <w:t xml:space="preserve">VIII.4.12</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1378" w:name="latin-record-1137"/>
      <w:bookmarkEnd w:id="1378"/>
      <w:r>
        <w:rPr>
          <w:b/>
          <w:i w:val="0"/>
        </w:rPr>
        <w:t>scientia et ignorantia</w:t>
      </w:r>
      <w:r>
        <w:rPr>
          <w:b/>
          <w:i w:val="0"/>
        </w:rPr>
        <w:t>.</w:t>
      </w:r>
      <w:r>
        <w:rPr>
          <w:b w:val="0"/>
          <w:i w:val="0"/>
        </w:rPr>
        <w:t xml:space="preserve"> Printed forms: </w:t>
      </w:r>
      <w:r>
        <w:rPr>
          <w:b w:val="0"/>
          <w:i/>
        </w:rPr>
        <w:t>cognitu</w:t>
      </w:r>
      <w:r>
        <w:rPr>
          <w:b w:val="0"/>
          <w:i w:val="0"/>
        </w:rPr>
        <w:t xml:space="preserve">; </w:t>
      </w:r>
      <w:r>
        <w:rPr>
          <w:b w:val="0"/>
          <w:i/>
        </w:rPr>
        <w:t>ignarus</w:t>
      </w:r>
      <w:r>
        <w:rPr>
          <w:b w:val="0"/>
          <w:i w:val="0"/>
        </w:rPr>
        <w:t xml:space="preserve">; </w:t>
      </w:r>
      <w:r>
        <w:rPr>
          <w:b w:val="0"/>
          <w:i/>
        </w:rPr>
        <w:t>ignota</w:t>
      </w:r>
      <w:r>
        <w:rPr>
          <w:b w:val="0"/>
          <w:i w:val="0"/>
        </w:rPr>
        <w:t xml:space="preserve">; </w:t>
      </w:r>
      <w:r>
        <w:rPr>
          <w:b w:val="0"/>
          <w:i/>
        </w:rPr>
        <w:t>manifesta</w:t>
      </w:r>
      <w:r>
        <w:rPr>
          <w:b w:val="0"/>
          <w:i w:val="0"/>
        </w:rPr>
        <w:t>.</w:t>
      </w:r>
    </w:p>
    <w:p>
      <w:pPr>
        <w:widowControl/>
      </w:pPr>
      <w:r>
        <w:rPr>
          <w:b w:val="0"/>
          <w:i w:val="0"/>
        </w:rPr>
        <w:t xml:space="preserve">Knowing, ignorance and manifestness as contrasts of explanatory access. A specialized sense does not know another sense’s object; known bodily composition does not yet reveal the soul’s activities or powers. References: </w:t>
      </w:r>
      <w:hyperlink w:anchor="passage-vii-2-1">
        <w:r>
          <w:rPr>
            <w:color w:val="000000"/>
          </w:rPr>
          <w:t xml:space="preserve">VII.2.1</w:t>
        </w:r>
      </w:hyperlink>
      <w:r>
        <w:rPr>
          <w:b w:val="0"/>
          <w:i w:val="0"/>
        </w:rPr>
        <w:t xml:space="preserve">, </w:t>
      </w:r>
      <w:hyperlink w:anchor="passage-vii-12-1">
        <w:r>
          <w:rPr>
            <w:color w:val="000000"/>
          </w:rPr>
          <w:t xml:space="preserve">VII.12.1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379" w:name="latin-record-1138"/>
      <w:bookmarkEnd w:id="1379"/>
      <w:r>
        <w:rPr>
          <w:b/>
          <w:i w:val="0"/>
        </w:rPr>
        <w:t>scintilla; flamma</w:t>
      </w:r>
      <w:r>
        <w:rPr>
          <w:b/>
          <w:i w:val="0"/>
        </w:rPr>
        <w:t>.</w:t>
      </w:r>
      <w:r>
        <w:rPr>
          <w:b w:val="0"/>
          <w:i w:val="0"/>
        </w:rPr>
        <w:t xml:space="preserve"> Printed forms: </w:t>
      </w:r>
      <w:r>
        <w:rPr>
          <w:b w:val="0"/>
          <w:i/>
        </w:rPr>
        <w:t>flamma</w:t>
      </w:r>
      <w:r>
        <w:rPr>
          <w:b w:val="0"/>
          <w:i w:val="0"/>
        </w:rPr>
        <w:t xml:space="preserve">; </w:t>
      </w:r>
      <w:r>
        <w:rPr>
          <w:b w:val="0"/>
          <w:i/>
        </w:rPr>
        <w:t>scintilla</w:t>
      </w:r>
      <w:r>
        <w:rPr>
          <w:b w:val="0"/>
          <w:i w:val="0"/>
        </w:rPr>
        <w:t xml:space="preserve">; </w:t>
      </w:r>
      <w:r>
        <w:rPr>
          <w:b w:val="0"/>
          <w:i/>
        </w:rPr>
        <w:t>scintillam</w:t>
      </w:r>
      <w:r>
        <w:rPr>
          <w:b w:val="0"/>
          <w:i w:val="0"/>
        </w:rPr>
        <w:t>.</w:t>
      </w:r>
    </w:p>
    <w:p>
      <w:pPr>
        <w:widowControl/>
      </w:pPr>
      <w:r>
        <w:rPr>
          <w:b w:val="0"/>
          <w:i w:val="0"/>
        </w:rPr>
        <w:t xml:space="preserve">Spark and flame as concentrated source and extended manifestation. The spark stands for soul and the flame for ethereal body, with distinct relations to sensation. References: </w:t>
      </w:r>
      <w:hyperlink w:anchor="passage-vi-2-25">
        <w:r>
          <w:rPr>
            <w:color w:val="000000"/>
          </w:rPr>
          <w:t xml:space="preserve">VI.2.25</w:t>
        </w:r>
      </w:hyperlink>
      <w:r>
        <w:rPr>
          <w:b w:val="0"/>
          <w:i w:val="0"/>
        </w:rPr>
        <w:t xml:space="preserve">, </w:t>
      </w:r>
      <w:hyperlink w:anchor="passage-vi-2-26">
        <w:r>
          <w:rPr>
            <w:color w:val="000000"/>
          </w:rPr>
          <w:t xml:space="preserve">VI.2.26</w:t>
        </w:r>
      </w:hyperlink>
      <w:r>
        <w:rPr>
          <w:b w:val="0"/>
          <w:i w:val="0"/>
        </w:rPr>
        <w:t xml:space="preserve">. See </w:t>
      </w:r>
      <w:hyperlink w:anchor="spark-globe-and-luminous-vehicles">
        <w:r>
          <w:rPr>
            <w:color w:val="000000"/>
          </w:rPr>
          <w:t xml:space="preserve">Spark, globe and luminous vehicles</w:t>
        </w:r>
      </w:hyperlink>
      <w:r>
        <w:rPr>
          <w:b w:val="0"/>
          <w:i w:val="0"/>
        </w:rPr>
        <w:t>.</w:t>
      </w:r>
    </w:p>
    <w:p>
      <w:pPr>
        <w:keepNext/>
        <w:widowControl/>
      </w:pPr>
      <w:bookmarkStart w:id="1380" w:name="latin-record-1139"/>
      <w:bookmarkEnd w:id="1380"/>
      <w:r>
        <w:rPr>
          <w:b/>
          <w:i w:val="0"/>
        </w:rPr>
        <w:t>scitum / obiectum</w:t>
      </w:r>
      <w:r>
        <w:rPr>
          <w:b/>
          <w:i w:val="0"/>
        </w:rPr>
        <w:t>.</w:t>
      </w:r>
      <w:r>
        <w:rPr>
          <w:b w:val="0"/>
          <w:i w:val="0"/>
        </w:rPr>
        <w:t xml:space="preserve"> Printed forms: </w:t>
      </w:r>
      <w:r>
        <w:rPr>
          <w:b w:val="0"/>
          <w:i/>
        </w:rPr>
        <w:t>obiecta</w:t>
      </w:r>
      <w:r>
        <w:rPr>
          <w:b w:val="0"/>
          <w:i w:val="0"/>
        </w:rPr>
        <w:t xml:space="preserve">; </w:t>
      </w:r>
      <w:r>
        <w:rPr>
          <w:b w:val="0"/>
          <w:i/>
        </w:rPr>
        <w:t>obiecto</w:t>
      </w:r>
      <w:r>
        <w:rPr>
          <w:b w:val="0"/>
          <w:i w:val="0"/>
        </w:rPr>
        <w:t xml:space="preserve">; </w:t>
      </w:r>
      <w:r>
        <w:rPr>
          <w:b w:val="0"/>
          <w:i/>
        </w:rPr>
        <w:t>obiectum</w:t>
      </w:r>
      <w:r>
        <w:rPr>
          <w:b w:val="0"/>
          <w:i w:val="0"/>
        </w:rPr>
        <w:t xml:space="preserve">; </w:t>
      </w:r>
      <w:r>
        <w:rPr>
          <w:b w:val="0"/>
          <w:i/>
        </w:rPr>
        <w:t>sciti</w:t>
      </w:r>
      <w:r>
        <w:rPr>
          <w:b w:val="0"/>
          <w:i w:val="0"/>
        </w:rPr>
        <w:t xml:space="preserve">; </w:t>
      </w:r>
      <w:r>
        <w:rPr>
          <w:b w:val="0"/>
          <w:i/>
        </w:rPr>
        <w:t>scitum</w:t>
      </w:r>
      <w:r>
        <w:rPr>
          <w:b w:val="0"/>
          <w:i w:val="0"/>
        </w:rPr>
        <w:t>.</w:t>
      </w:r>
    </w:p>
    <w:p>
      <w:pPr>
        <w:widowControl/>
      </w:pPr>
      <w:r>
        <w:rPr>
          <w:b w:val="0"/>
          <w:i w:val="0"/>
        </w:rPr>
        <w:t xml:space="preserve">The object known, by reference to which a branch of knowledge is differentiated. If supposed component sciences have the same complete object, they duplicate the whole; if different, their relation to knowledge of the whole remains to be explained. References: </w:t>
      </w:r>
      <w:hyperlink w:anchor="passage-viii-4-8">
        <w:r>
          <w:rPr>
            <w:color w:val="000000"/>
          </w:rPr>
          <w:t xml:space="preserve">VIII.4.8</w:t>
        </w:r>
      </w:hyperlink>
      <w:r>
        <w:rPr>
          <w:b w:val="0"/>
          <w:i w:val="0"/>
        </w:rPr>
        <w:t xml:space="preserve">. See </w:t>
      </w:r>
      <w:hyperlink w:anchor="viii-intellectual-intelligible">
        <w:r>
          <w:rPr>
            <w:color w:val="000000"/>
          </w:rPr>
          <w:t xml:space="preserve">Intellectual forms and intelligible essences</w:t>
        </w:r>
      </w:hyperlink>
      <w:r>
        <w:rPr>
          <w:b w:val="0"/>
          <w:i w:val="0"/>
        </w:rPr>
        <w:t>.</w:t>
      </w:r>
    </w:p>
    <w:p>
      <w:pPr>
        <w:keepNext/>
        <w:widowControl/>
      </w:pPr>
      <w:bookmarkStart w:id="1381" w:name="latin-record-1140"/>
      <w:bookmarkEnd w:id="1381"/>
      <w:r>
        <w:rPr>
          <w:b/>
          <w:i w:val="0"/>
        </w:rPr>
        <w:t>sculptor / statua / lapis</w:t>
      </w:r>
      <w:r>
        <w:rPr>
          <w:b/>
          <w:i w:val="0"/>
        </w:rPr>
        <w:t>.</w:t>
      </w:r>
      <w:r>
        <w:rPr>
          <w:b w:val="0"/>
          <w:i w:val="0"/>
        </w:rPr>
        <w:t xml:space="preserve"> Printed forms: </w:t>
      </w:r>
      <w:r>
        <w:rPr>
          <w:b w:val="0"/>
          <w:i/>
        </w:rPr>
        <w:t>lapide</w:t>
      </w:r>
      <w:r>
        <w:rPr>
          <w:b w:val="0"/>
          <w:i w:val="0"/>
        </w:rPr>
        <w:t xml:space="preserve">; </w:t>
      </w:r>
      <w:r>
        <w:rPr>
          <w:b w:val="0"/>
          <w:i/>
        </w:rPr>
        <w:t>Sculptor</w:t>
      </w:r>
      <w:r>
        <w:rPr>
          <w:b w:val="0"/>
          <w:i w:val="0"/>
        </w:rPr>
        <w:t xml:space="preserve">; </w:t>
      </w:r>
      <w:r>
        <w:rPr>
          <w:b w:val="0"/>
          <w:i/>
        </w:rPr>
        <w:t>statuam</w:t>
      </w:r>
      <w:r>
        <w:rPr>
          <w:b w:val="0"/>
          <w:i w:val="0"/>
        </w:rPr>
        <w:t>.</w:t>
      </w:r>
    </w:p>
    <w:p>
      <w:pPr>
        <w:widowControl/>
      </w:pPr>
      <w:r>
        <w:rPr>
          <w:b w:val="0"/>
          <w:i w:val="0"/>
        </w:rPr>
        <w:t xml:space="preserve">A sculptor, statue and stone, illustrating actualization of a prepared material capacity. The stone is already suited to a statue in potency; craft therefore differs from creation with no substrate. References: </w:t>
      </w:r>
      <w:hyperlink w:anchor="passage-v-13-5">
        <w:r>
          <w:rPr>
            <w:color w:val="000000"/>
          </w:rPr>
          <w:t xml:space="preserve">V.13.5</w:t>
        </w:r>
      </w:hyperlink>
      <w:r>
        <w:rPr>
          <w:b w:val="0"/>
          <w:i w:val="0"/>
        </w:rPr>
        <w:t xml:space="preserve">. See </w:t>
      </w:r>
      <w:hyperlink w:anchor="ariston-sculptor-and-painter">
        <w:r>
          <w:rPr>
            <w:color w:val="000000"/>
          </w:rPr>
          <w:t xml:space="preserve">Ariston, sculptor and painter</w:t>
        </w:r>
      </w:hyperlink>
      <w:r>
        <w:rPr>
          <w:b w:val="0"/>
          <w:i w:val="0"/>
        </w:rPr>
        <w:t>.</w:t>
      </w:r>
    </w:p>
    <w:p>
      <w:pPr>
        <w:keepNext/>
        <w:widowControl/>
      </w:pPr>
      <w:bookmarkStart w:id="1382" w:name="latin-record-1141"/>
      <w:bookmarkEnd w:id="1382"/>
      <w:r>
        <w:rPr>
          <w:b/>
          <w:i w:val="0"/>
        </w:rPr>
        <w:t>se recipere</w:t>
      </w:r>
      <w:r>
        <w:rPr>
          <w:b/>
          <w:i w:val="0"/>
        </w:rPr>
        <w:t>.</w:t>
      </w:r>
      <w:r>
        <w:rPr>
          <w:b w:val="0"/>
          <w:i w:val="0"/>
        </w:rPr>
        <w:t xml:space="preserve"> Printed forms: </w:t>
      </w:r>
      <w:r>
        <w:rPr>
          <w:b w:val="0"/>
          <w:i/>
        </w:rPr>
        <w:t>in se recipere</w:t>
      </w:r>
      <w:r>
        <w:rPr>
          <w:b w:val="0"/>
          <w:i w:val="0"/>
        </w:rPr>
        <w:t xml:space="preserve">; </w:t>
      </w:r>
      <w:r>
        <w:rPr>
          <w:b w:val="0"/>
          <w:i/>
        </w:rPr>
        <w:t>in seipsam se recipit</w:t>
      </w:r>
      <w:r>
        <w:rPr>
          <w:b w:val="0"/>
          <w:i w:val="0"/>
        </w:rPr>
        <w:t>.</w:t>
      </w:r>
    </w:p>
    <w:p>
      <w:pPr>
        <w:widowControl/>
      </w:pPr>
      <w:r>
        <w:rPr>
          <w:b w:val="0"/>
          <w:i w:val="0"/>
        </w:rPr>
        <w:t xml:space="preserve">To return or withdraw into oneself. Circular return supports material independence; a later hypothetical return of essence into itself is tested as an alleged corruption. References: </w:t>
      </w:r>
      <w:hyperlink w:anchor="passage-v-5-8">
        <w:r>
          <w:rPr>
            <w:color w:val="000000"/>
          </w:rPr>
          <w:t xml:space="preserve">V.5.8</w:t>
        </w:r>
      </w:hyperlink>
      <w:r>
        <w:rPr>
          <w:b w:val="0"/>
          <w:i w:val="0"/>
        </w:rPr>
        <w:t xml:space="preserve">, </w:t>
      </w:r>
      <w:hyperlink w:anchor="passage-v-11-7">
        <w:r>
          <w:rPr>
            <w:color w:val="000000"/>
          </w:rPr>
          <w:t xml:space="preserve">V.11.7</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1383" w:name="latin-record-1142"/>
      <w:bookmarkEnd w:id="1383"/>
      <w:r>
        <w:rPr>
          <w:b/>
          <w:i w:val="0"/>
        </w:rPr>
        <w:t>se toto</w:t>
      </w:r>
      <w:r>
        <w:rPr>
          <w:b/>
          <w:i w:val="0"/>
        </w:rPr>
        <w:t>.</w:t>
      </w:r>
      <w:r>
        <w:rPr>
          <w:b w:val="0"/>
          <w:i w:val="0"/>
        </w:rPr>
        <w:t xml:space="preserve"> Printed forms: </w:t>
      </w:r>
      <w:r>
        <w:rPr>
          <w:b w:val="0"/>
          <w:i/>
        </w:rPr>
        <w:t>se tota</w:t>
      </w:r>
      <w:r>
        <w:rPr>
          <w:b w:val="0"/>
          <w:i w:val="0"/>
        </w:rPr>
        <w:t xml:space="preserve">; </w:t>
      </w:r>
      <w:r>
        <w:rPr>
          <w:b w:val="0"/>
          <w:i/>
        </w:rPr>
        <w:t>se toto</w:t>
      </w:r>
      <w:r>
        <w:rPr>
          <w:b w:val="0"/>
          <w:i w:val="0"/>
        </w:rPr>
        <w:t>.</w:t>
      </w:r>
    </w:p>
    <w:p>
      <w:pPr>
        <w:widowControl/>
      </w:pPr>
      <w:r>
        <w:rPr>
          <w:b w:val="0"/>
          <w:i w:val="0"/>
        </w:rPr>
        <w:t xml:space="preserve">With its whole self, describing the undivided knower’s reception. The same intellect knows the human body and each limb and can compare them; different isolated knowing parts could not perform that comparison. References: </w:t>
      </w:r>
      <w:hyperlink w:anchor="passage-viii-6-1">
        <w:r>
          <w:rPr>
            <w:color w:val="000000"/>
          </w:rPr>
          <w:t xml:space="preserve">VIII.6.1</w:t>
        </w:r>
      </w:hyperlink>
      <w:r>
        <w:rPr>
          <w:b w:val="0"/>
          <w:i w:val="0"/>
        </w:rPr>
        <w:t xml:space="preserve">. See </w:t>
      </w:r>
      <w:hyperlink w:anchor="viii-whole-mind">
        <w:r>
          <w:rPr>
            <w:color w:val="000000"/>
          </w:rPr>
          <w:t xml:space="preserve">The whole mind and the measure of equality</w:t>
        </w:r>
      </w:hyperlink>
      <w:r>
        <w:rPr>
          <w:b w:val="0"/>
          <w:i w:val="0"/>
        </w:rPr>
        <w:t>.</w:t>
      </w:r>
    </w:p>
    <w:p>
      <w:pPr>
        <w:keepNext/>
        <w:widowControl/>
      </w:pPr>
      <w:bookmarkStart w:id="1384" w:name="latin-record-1143"/>
      <w:bookmarkEnd w:id="1384"/>
      <w:r>
        <w:rPr>
          <w:b/>
          <w:i w:val="0"/>
        </w:rPr>
        <w:t>secernere</w:t>
      </w:r>
      <w:r>
        <w:rPr>
          <w:b/>
          <w:i w:val="0"/>
        </w:rPr>
        <w:t>.</w:t>
      </w:r>
      <w:r>
        <w:rPr>
          <w:b w:val="0"/>
          <w:i w:val="0"/>
        </w:rPr>
        <w:t xml:space="preserve"> Printed forms: </w:t>
      </w:r>
      <w:r>
        <w:rPr>
          <w:b w:val="0"/>
          <w:i/>
        </w:rPr>
        <w:t>Secernite</w:t>
      </w:r>
      <w:r>
        <w:rPr>
          <w:b w:val="0"/>
          <w:i w:val="0"/>
        </w:rPr>
        <w:t>.</w:t>
      </w:r>
    </w:p>
    <w:p>
      <w:pPr>
        <w:widowControl/>
      </w:pPr>
      <w:r>
        <w:rPr>
          <w:b w:val="0"/>
          <w:i w:val="0"/>
        </w:rPr>
        <w:t xml:space="preserve">To separate or distinguish away. The imperative advances a conceptual light exercise, not a physical operation for extracting an immortal soul. References: </w:t>
      </w:r>
      <w:hyperlink w:anchor="passage-vi-2-23">
        <w:r>
          <w:rPr>
            <w:color w:val="000000"/>
          </w:rPr>
          <w:t xml:space="preserve">VI.2.23</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1385" w:name="latin-record-1144"/>
      <w:bookmarkEnd w:id="1385"/>
      <w:r>
        <w:rPr>
          <w:b/>
          <w:i w:val="0"/>
        </w:rPr>
        <w:t>secernere / discernere</w:t>
      </w:r>
      <w:r>
        <w:rPr>
          <w:b/>
          <w:i w:val="0"/>
        </w:rPr>
        <w:t>.</w:t>
      </w:r>
      <w:r>
        <w:rPr>
          <w:b w:val="0"/>
          <w:i w:val="0"/>
        </w:rPr>
        <w:t xml:space="preserve"> Printed forms: </w:t>
      </w:r>
      <w:r>
        <w:rPr>
          <w:b w:val="0"/>
          <w:i/>
        </w:rPr>
        <w:t>discernere</w:t>
      </w:r>
      <w:r>
        <w:rPr>
          <w:b w:val="0"/>
          <w:i w:val="0"/>
        </w:rPr>
        <w:t xml:space="preserve">; </w:t>
      </w:r>
      <w:r>
        <w:rPr>
          <w:b w:val="0"/>
          <w:i/>
        </w:rPr>
        <w:t>Penetrat</w:t>
      </w:r>
      <w:r>
        <w:rPr>
          <w:b w:val="0"/>
          <w:i w:val="0"/>
        </w:rPr>
        <w:t xml:space="preserve">; </w:t>
      </w:r>
      <w:r>
        <w:rPr>
          <w:b w:val="0"/>
          <w:i/>
        </w:rPr>
        <w:t>secernere</w:t>
      </w:r>
      <w:r>
        <w:rPr>
          <w:b w:val="0"/>
          <w:i w:val="0"/>
        </w:rPr>
        <w:t>.</w:t>
      </w:r>
    </w:p>
    <w:p>
      <w:pPr>
        <w:widowControl/>
      </w:pPr>
      <w:r>
        <w:rPr>
          <w:b w:val="0"/>
          <w:i w:val="0"/>
        </w:rPr>
        <w:t xml:space="preserve">Separating, discriminating and penetrating into the substance of objects. Mind must distinguish bodily from incorporeal things to perform the comparison, supporting the claim that its mode is not merely bodily. References: </w:t>
      </w:r>
      <w:hyperlink w:anchor="passage-viii-7-1">
        <w:r>
          <w:rPr>
            <w:color w:val="000000"/>
          </w:rPr>
          <w:t xml:space="preserve">VIII.7.1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1386" w:name="latin-record-1145"/>
      <w:bookmarkEnd w:id="1386"/>
      <w:r>
        <w:rPr>
          <w:b/>
          <w:i w:val="0"/>
        </w:rPr>
        <w:t>secundum se</w:t>
      </w:r>
      <w:r>
        <w:rPr>
          <w:b/>
          <w:i w:val="0"/>
        </w:rPr>
        <w:t>.</w:t>
      </w:r>
      <w:r>
        <w:rPr>
          <w:b w:val="0"/>
          <w:i w:val="0"/>
        </w:rPr>
        <w:t xml:space="preserve"> Printed forms: </w:t>
      </w:r>
      <w:r>
        <w:rPr>
          <w:b w:val="0"/>
          <w:i/>
        </w:rPr>
        <w:t>Secundum se</w:t>
      </w:r>
      <w:r>
        <w:rPr>
          <w:b w:val="0"/>
          <w:i w:val="0"/>
        </w:rPr>
        <w:t xml:space="preserve">; </w:t>
      </w:r>
      <w:r>
        <w:rPr>
          <w:b w:val="0"/>
          <w:i/>
        </w:rPr>
        <w:t>secundum se</w:t>
      </w:r>
      <w:r>
        <w:rPr>
          <w:b w:val="0"/>
          <w:i w:val="0"/>
        </w:rPr>
        <w:t xml:space="preserve">; </w:t>
      </w:r>
      <w:r>
        <w:rPr>
          <w:b w:val="0"/>
          <w:i/>
        </w:rPr>
        <w:t>secundum se ipsam</w:t>
      </w:r>
      <w:r>
        <w:rPr>
          <w:b w:val="0"/>
          <w:i w:val="0"/>
        </w:rPr>
        <w:t>.</w:t>
      </w:r>
    </w:p>
    <w:p>
      <w:pPr>
        <w:widowControl/>
      </w:pPr>
      <w:r>
        <w:rPr>
          <w:b w:val="0"/>
          <w:i w:val="0"/>
        </w:rPr>
        <w:t xml:space="preserve">Considered in itself, abstracting from further conditions or support. Essence as such is called immortal, while derivative life is naturally mutable even when continuously maintained in a reported perpetual vehicle. References: </w:t>
      </w:r>
      <w:hyperlink w:anchor="passage-v-7-1">
        <w:r>
          <w:rPr>
            <w:color w:val="000000"/>
          </w:rPr>
          <w:t xml:space="preserve">V.7.1</w:t>
        </w:r>
      </w:hyperlink>
      <w:r>
        <w:rPr>
          <w:b w:val="0"/>
          <w:i w:val="0"/>
        </w:rPr>
        <w:t xml:space="preserve">, </w:t>
      </w:r>
      <w:hyperlink w:anchor="passage-v-13-18">
        <w:r>
          <w:rPr>
            <w:color w:val="000000"/>
          </w:rPr>
          <w:t xml:space="preserve">V.13.18</w:t>
        </w:r>
      </w:hyperlink>
      <w:r>
        <w:rPr>
          <w:b w:val="0"/>
          <w:i w:val="0"/>
        </w:rPr>
        <w:t xml:space="preserve">. See </w:t>
      </w:r>
      <w:hyperlink w:anchor="essence-and-being">
        <w:r>
          <w:rPr>
            <w:color w:val="000000"/>
          </w:rPr>
          <w:t xml:space="preserve">Essence and being</w:t>
        </w:r>
      </w:hyperlink>
      <w:r>
        <w:rPr>
          <w:b w:val="0"/>
          <w:i w:val="0"/>
        </w:rPr>
        <w:t>.</w:t>
      </w:r>
    </w:p>
    <w:p>
      <w:pPr>
        <w:keepNext/>
        <w:widowControl/>
      </w:pPr>
      <w:bookmarkStart w:id="1387" w:name="latin-record-1146"/>
      <w:bookmarkEnd w:id="1387"/>
      <w:r>
        <w:rPr>
          <w:b/>
          <w:i w:val="0"/>
        </w:rPr>
        <w:t>secundum totam essentiam</w:t>
      </w:r>
      <w:r>
        <w:rPr>
          <w:b/>
          <w:i w:val="0"/>
        </w:rPr>
        <w:t>.</w:t>
      </w:r>
      <w:r>
        <w:rPr>
          <w:b w:val="0"/>
          <w:i w:val="0"/>
        </w:rPr>
        <w:t xml:space="preserve"> Printed forms: </w:t>
      </w:r>
      <w:r>
        <w:rPr>
          <w:b w:val="0"/>
          <w:i/>
        </w:rPr>
        <w:t>secundum totam sui essentiam</w:t>
      </w:r>
      <w:r>
        <w:rPr>
          <w:b w:val="0"/>
          <w:i w:val="0"/>
        </w:rPr>
        <w:t xml:space="preserve">; </w:t>
      </w:r>
      <w:r>
        <w:rPr>
          <w:b w:val="0"/>
          <w:i/>
        </w:rPr>
        <w:t>totam perficere materiam</w:t>
      </w:r>
      <w:r>
        <w:rPr>
          <w:b w:val="0"/>
          <w:i w:val="0"/>
        </w:rPr>
        <w:t>.</w:t>
      </w:r>
    </w:p>
    <w:p>
      <w:pPr>
        <w:widowControl/>
      </w:pPr>
      <w:r>
        <w:rPr>
          <w:b w:val="0"/>
          <w:i w:val="0"/>
        </w:rPr>
        <w:t xml:space="preserve">Through the whole essence, perfecting the whole proper matter. A matter–form composite soul would fail to form through its material part, contradicting the role of proper form. References: </w:t>
      </w:r>
      <w:hyperlink w:anchor="passage-vi-7-2">
        <w:r>
          <w:rPr>
            <w:color w:val="000000"/>
          </w:rPr>
          <w:t xml:space="preserve">VI.7.2</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388" w:name="latin-record-1147"/>
      <w:bookmarkEnd w:id="1388"/>
      <w:r>
        <w:rPr>
          <w:b/>
          <w:i w:val="0"/>
        </w:rPr>
        <w:t>sedes</w:t>
      </w:r>
      <w:r>
        <w:rPr>
          <w:b/>
          <w:i w:val="0"/>
        </w:rPr>
        <w:t>.</w:t>
      </w:r>
      <w:r>
        <w:rPr>
          <w:b w:val="0"/>
          <w:i w:val="0"/>
        </w:rPr>
        <w:t xml:space="preserve"> Printed forms: </w:t>
      </w:r>
      <w:r>
        <w:rPr>
          <w:b w:val="0"/>
          <w:i/>
        </w:rPr>
        <w:t>sede</w:t>
      </w:r>
      <w:r>
        <w:rPr>
          <w:b w:val="0"/>
          <w:i w:val="0"/>
        </w:rPr>
        <w:t xml:space="preserve">; </w:t>
      </w:r>
      <w:r>
        <w:rPr>
          <w:b w:val="0"/>
          <w:i/>
        </w:rPr>
        <w:t>sedes</w:t>
      </w:r>
      <w:r>
        <w:rPr>
          <w:b w:val="0"/>
          <w:i w:val="0"/>
        </w:rPr>
        <w:t>.</w:t>
      </w:r>
    </w:p>
    <w:p>
      <w:pPr>
        <w:widowControl/>
      </w:pPr>
      <w:r>
        <w:rPr>
          <w:b w:val="0"/>
          <w:i w:val="0"/>
        </w:rPr>
        <w:t xml:space="preserve">Seat or supporting place, often metaphorical. Soul’s essence is called the seat of souls; matter’s lack of a deeper seat excludes collapse through removal of external support. References: </w:t>
      </w:r>
      <w:hyperlink w:anchor="passage-v-4-6">
        <w:r>
          <w:rPr>
            <w:color w:val="000000"/>
          </w:rPr>
          <w:t xml:space="preserve">V.4.6</w:t>
        </w:r>
      </w:hyperlink>
      <w:r>
        <w:rPr>
          <w:b w:val="0"/>
          <w:i w:val="0"/>
        </w:rPr>
        <w:t xml:space="preserve">, </w:t>
      </w:r>
      <w:hyperlink w:anchor="passage-v-5-9">
        <w:r>
          <w:rPr>
            <w:color w:val="000000"/>
          </w:rPr>
          <w:t xml:space="preserve">V.5.9</w:t>
        </w:r>
      </w:hyperlink>
      <w:r>
        <w:rPr>
          <w:b w:val="0"/>
          <w:i w:val="0"/>
        </w:rPr>
        <w:t xml:space="preserve">, </w:t>
      </w:r>
      <w:hyperlink w:anchor="passage-v-15-2">
        <w:r>
          <w:rPr>
            <w:color w:val="000000"/>
          </w:rPr>
          <w:t xml:space="preserve">V.15.2</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1389" w:name="latin-record-1148"/>
      <w:bookmarkEnd w:id="1389"/>
      <w:r>
        <w:rPr>
          <w:b/>
          <w:i w:val="0"/>
        </w:rPr>
        <w:t>sedes / fundamentum</w:t>
      </w:r>
      <w:r>
        <w:rPr>
          <w:b/>
          <w:i w:val="0"/>
        </w:rPr>
        <w:t>.</w:t>
      </w:r>
      <w:r>
        <w:rPr>
          <w:b w:val="0"/>
          <w:i w:val="0"/>
        </w:rPr>
        <w:t xml:space="preserve"> Printed forms: </w:t>
      </w:r>
      <w:r>
        <w:rPr>
          <w:b w:val="0"/>
          <w:i/>
        </w:rPr>
        <w:t>fundamentum</w:t>
      </w:r>
      <w:r>
        <w:rPr>
          <w:b w:val="0"/>
          <w:i w:val="0"/>
        </w:rPr>
        <w:t xml:space="preserve">; </w:t>
      </w:r>
      <w:r>
        <w:rPr>
          <w:b w:val="0"/>
          <w:i/>
        </w:rPr>
        <w:t>sedem</w:t>
      </w:r>
      <w:r>
        <w:rPr>
          <w:b w:val="0"/>
          <w:i w:val="0"/>
        </w:rPr>
        <w:t xml:space="preserve">; </w:t>
      </w:r>
      <w:r>
        <w:rPr>
          <w:b w:val="0"/>
          <w:i/>
        </w:rPr>
        <w:t>sedes</w:t>
      </w:r>
      <w:r>
        <w:rPr>
          <w:b w:val="0"/>
          <w:i w:val="0"/>
        </w:rPr>
        <w:t>.</w:t>
      </w:r>
    </w:p>
    <w:p>
      <w:pPr>
        <w:widowControl/>
      </w:pPr>
      <w:r>
        <w:rPr>
          <w:b w:val="0"/>
          <w:i w:val="0"/>
        </w:rPr>
        <w:t xml:space="preserve">Seat or sustaining basis, in the question of where an intellectual form could exist. The bodily point must be more than a dependent boundary if it is to serve as the independent subject proposed by the opponent. References: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1390" w:name="latin-record-1149"/>
      <w:bookmarkEnd w:id="1390"/>
      <w:r>
        <w:rPr>
          <w:b/>
          <w:i w:val="0"/>
        </w:rPr>
        <w:t>segregare / restituere</w:t>
      </w:r>
      <w:r>
        <w:rPr>
          <w:b/>
          <w:i w:val="0"/>
        </w:rPr>
        <w:t>.</w:t>
      </w:r>
      <w:r>
        <w:rPr>
          <w:b w:val="0"/>
          <w:i w:val="0"/>
        </w:rPr>
        <w:t xml:space="preserve"> Printed forms: </w:t>
      </w:r>
      <w:r>
        <w:rPr>
          <w:b w:val="0"/>
          <w:i/>
        </w:rPr>
        <w:t>restituere</w:t>
      </w:r>
      <w:r>
        <w:rPr>
          <w:b w:val="0"/>
          <w:i w:val="0"/>
        </w:rPr>
        <w:t xml:space="preserve">; </w:t>
      </w:r>
      <w:r>
        <w:rPr>
          <w:b w:val="0"/>
          <w:i/>
        </w:rPr>
        <w:t>restituit</w:t>
      </w:r>
      <w:r>
        <w:rPr>
          <w:b w:val="0"/>
          <w:i w:val="0"/>
        </w:rPr>
        <w:t xml:space="preserve">; </w:t>
      </w:r>
      <w:r>
        <w:rPr>
          <w:b w:val="0"/>
          <w:i/>
        </w:rPr>
        <w:t>Segrega</w:t>
      </w:r>
      <w:r>
        <w:rPr>
          <w:b w:val="0"/>
          <w:i w:val="0"/>
        </w:rPr>
        <w:t xml:space="preserve">; </w:t>
      </w:r>
      <w:r>
        <w:rPr>
          <w:b w:val="0"/>
          <w:i/>
        </w:rPr>
        <w:t>segregat</w:t>
      </w:r>
      <w:r>
        <w:rPr>
          <w:b w:val="0"/>
          <w:i w:val="0"/>
        </w:rPr>
        <w:t>.</w:t>
      </w:r>
    </w:p>
    <w:p>
      <w:pPr>
        <w:widowControl/>
      </w:pPr>
      <w:r>
        <w:rPr>
          <w:b w:val="0"/>
          <w:i w:val="0"/>
        </w:rPr>
        <w:t xml:space="preserve">Setting aside or restoring, used of the mind’s analytic power. Mind sets aside nonknowing parts in the argument and restores pure intelligible content from admixture in its objects. References: </w:t>
      </w:r>
      <w:hyperlink w:anchor="passage-viii-5-2">
        <w:r>
          <w:rPr>
            <w:color w:val="000000"/>
          </w:rPr>
          <w:t xml:space="preserve">VIII.5.2</w:t>
        </w:r>
      </w:hyperlink>
      <w:r>
        <w:rPr>
          <w:b w:val="0"/>
          <w:i w:val="0"/>
        </w:rPr>
        <w:t xml:space="preserve">. See </w:t>
      </w:r>
      <w:hyperlink w:anchor="viii-analysis-mangling">
        <w:r>
          <w:rPr>
            <w:color w:val="000000"/>
          </w:rPr>
          <w:t xml:space="preserve">Analysis, mangling, and fictive construction</w:t>
        </w:r>
      </w:hyperlink>
      <w:r>
        <w:rPr>
          <w:b w:val="0"/>
          <w:i w:val="0"/>
        </w:rPr>
        <w:t>.</w:t>
      </w:r>
    </w:p>
    <w:p>
      <w:pPr>
        <w:keepNext/>
        <w:widowControl/>
      </w:pPr>
      <w:bookmarkStart w:id="1391" w:name="latin-record-1150"/>
      <w:bookmarkEnd w:id="1391"/>
      <w:r>
        <w:rPr>
          <w:b/>
          <w:i w:val="0"/>
        </w:rPr>
        <w:t>semel</w:t>
      </w:r>
      <w:r>
        <w:rPr>
          <w:b/>
          <w:i w:val="0"/>
        </w:rPr>
        <w:t>.</w:t>
      </w:r>
      <w:r>
        <w:rPr>
          <w:b w:val="0"/>
          <w:i w:val="0"/>
        </w:rPr>
        <w:t xml:space="preserve"> Printed forms: </w:t>
      </w:r>
      <w:r>
        <w:rPr>
          <w:b w:val="0"/>
          <w:i/>
        </w:rPr>
        <w:t>semel</w:t>
      </w:r>
      <w:r>
        <w:rPr>
          <w:b w:val="0"/>
          <w:i w:val="0"/>
        </w:rPr>
        <w:t>.</w:t>
      </w:r>
    </w:p>
    <w:p>
      <w:pPr>
        <w:widowControl/>
      </w:pPr>
      <w:r>
        <w:rPr>
          <w:b w:val="0"/>
          <w:i w:val="0"/>
        </w:rPr>
        <w:t xml:space="preserve">Once, in the claim that God preserves what he has given. It marks the completed bestowal without implying that conservation later becomes causally independent. References: </w:t>
      </w:r>
      <w:hyperlink w:anchor="passage-v-4-2">
        <w:r>
          <w:rPr>
            <w:color w:val="000000"/>
          </w:rPr>
          <w:t xml:space="preserve">V.4.2</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392" w:name="latin-record-1151"/>
      <w:bookmarkEnd w:id="1392"/>
      <w:r>
        <w:rPr>
          <w:b/>
          <w:i w:val="0"/>
        </w:rPr>
        <w:t>semen</w:t>
      </w:r>
      <w:r>
        <w:rPr>
          <w:b/>
          <w:i w:val="0"/>
        </w:rPr>
        <w:t>.</w:t>
      </w:r>
      <w:r>
        <w:rPr>
          <w:b w:val="0"/>
          <w:i w:val="0"/>
        </w:rPr>
        <w:t xml:space="preserve"> Printed forms: </w:t>
      </w:r>
      <w:r>
        <w:rPr>
          <w:b w:val="0"/>
          <w:i/>
        </w:rPr>
        <w:t>semine</w:t>
      </w:r>
      <w:r>
        <w:rPr>
          <w:b w:val="0"/>
          <w:i w:val="0"/>
        </w:rPr>
        <w:t>.</w:t>
      </w:r>
    </w:p>
    <w:p>
      <w:pPr>
        <w:widowControl/>
      </w:pPr>
      <w:r>
        <w:rPr>
          <w:b w:val="0"/>
          <w:i w:val="0"/>
        </w:rPr>
        <w:t xml:space="preserve">Seed or generative resource, literal in biological examples and figurative in matter’s latent capacity. The restricted products of wheat, millet and human seed establish the limits of natural production. References: </w:t>
      </w:r>
      <w:hyperlink w:anchor="passage-v-4-3">
        <w:r>
          <w:rPr>
            <w:color w:val="000000"/>
          </w:rPr>
          <w:t xml:space="preserve">V.4.3</w:t>
        </w:r>
      </w:hyperlink>
      <w:r>
        <w:rPr>
          <w:b w:val="0"/>
          <w:i w:val="0"/>
        </w:rPr>
        <w:t xml:space="preserve">, </w:t>
      </w:r>
      <w:hyperlink w:anchor="passage-v-8-2">
        <w:r>
          <w:rPr>
            <w:color w:val="000000"/>
          </w:rPr>
          <w:t xml:space="preserve">V.8.2</w:t>
        </w:r>
      </w:hyperlink>
      <w:r>
        <w:rPr>
          <w:b w:val="0"/>
          <w:i w:val="0"/>
        </w:rPr>
        <w:t xml:space="preserve">, </w:t>
      </w:r>
      <w:hyperlink w:anchor="passage-v-13-5">
        <w:r>
          <w:rPr>
            <w:color w:val="000000"/>
          </w:rPr>
          <w:t xml:space="preserve">V.13.5</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393" w:name="latin-record-1152"/>
      <w:bookmarkEnd w:id="1393"/>
      <w:r>
        <w:rPr>
          <w:b/>
          <w:i w:val="0"/>
        </w:rPr>
        <w:t>semen; incohatio; proportio</w:t>
      </w:r>
      <w:r>
        <w:rPr>
          <w:b/>
          <w:i w:val="0"/>
        </w:rPr>
        <w:t>.</w:t>
      </w:r>
      <w:r>
        <w:rPr>
          <w:b w:val="0"/>
          <w:i w:val="0"/>
        </w:rPr>
        <w:t xml:space="preserve"> Printed forms: </w:t>
      </w:r>
      <w:r>
        <w:rPr>
          <w:b w:val="0"/>
          <w:i/>
        </w:rPr>
        <w:t>incohatione</w:t>
      </w:r>
      <w:r>
        <w:rPr>
          <w:b w:val="0"/>
          <w:i w:val="0"/>
        </w:rPr>
        <w:t xml:space="preserve">; </w:t>
      </w:r>
      <w:r>
        <w:rPr>
          <w:b w:val="0"/>
          <w:i/>
        </w:rPr>
        <w:t>proportione</w:t>
      </w:r>
      <w:r>
        <w:rPr>
          <w:b w:val="0"/>
          <w:i w:val="0"/>
        </w:rPr>
        <w:t xml:space="preserve">; </w:t>
      </w:r>
      <w:r>
        <w:rPr>
          <w:b w:val="0"/>
          <w:i/>
        </w:rPr>
        <w:t>semine</w:t>
      </w:r>
      <w:r>
        <w:rPr>
          <w:b w:val="0"/>
          <w:i w:val="0"/>
        </w:rPr>
        <w:t>.</w:t>
      </w:r>
    </w:p>
    <w:p>
      <w:pPr>
        <w:widowControl/>
      </w:pPr>
      <w:r>
        <w:rPr>
          <w:b w:val="0"/>
          <w:i w:val="0"/>
        </w:rPr>
        <w:t xml:space="preserve">Seed, beginning and proportion as alternative descriptions of latent material preparation. These are the resources from which the fourth account draws its supposed soul; they do not supply the fifth position’s causal independence.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394" w:name="latin-record-1153"/>
      <w:bookmarkEnd w:id="1394"/>
      <w:r>
        <w:rPr>
          <w:b/>
          <w:i w:val="0"/>
        </w:rPr>
        <w:t>semet ipsum deserere</w:t>
      </w:r>
      <w:r>
        <w:rPr>
          <w:b/>
          <w:i w:val="0"/>
        </w:rPr>
        <w:t>.</w:t>
      </w:r>
      <w:r>
        <w:rPr>
          <w:b w:val="0"/>
          <w:i w:val="0"/>
        </w:rPr>
        <w:t xml:space="preserve"> Printed forms: </w:t>
      </w:r>
      <w:r>
        <w:rPr>
          <w:b w:val="0"/>
          <w:i/>
        </w:rPr>
        <w:t>deserat semet ipsam</w:t>
      </w:r>
      <w:r>
        <w:rPr>
          <w:b w:val="0"/>
          <w:i w:val="0"/>
        </w:rPr>
        <w:t xml:space="preserve">; </w:t>
      </w:r>
      <w:r>
        <w:rPr>
          <w:b w:val="0"/>
          <w:i/>
        </w:rPr>
        <w:t>se ipsam non deserit</w:t>
      </w:r>
      <w:r>
        <w:rPr>
          <w:b w:val="0"/>
          <w:i w:val="0"/>
        </w:rPr>
        <w:t xml:space="preserve">; </w:t>
      </w:r>
      <w:r>
        <w:rPr>
          <w:b w:val="0"/>
          <w:i/>
        </w:rPr>
        <w:t>se ipsum</w:t>
      </w:r>
      <w:r>
        <w:rPr>
          <w:b w:val="0"/>
          <w:i w:val="0"/>
        </w:rPr>
        <w:t>.</w:t>
      </w:r>
    </w:p>
    <w:p>
      <w:pPr>
        <w:widowControl/>
      </w:pPr>
      <w:r>
        <w:rPr>
          <w:b w:val="0"/>
          <w:i w:val="0"/>
        </w:rPr>
        <w:t xml:space="preserve">To abandon oneself, an impossible separation of soul from the source of its own living activity in these arguments. The body’s abandonment by life is contrasted with life never abandoning itself. References: </w:t>
      </w:r>
      <w:hyperlink w:anchor="passage-v-1-1">
        <w:r>
          <w:rPr>
            <w:color w:val="000000"/>
          </w:rPr>
          <w:t xml:space="preserve">V.1.1</w:t>
        </w:r>
      </w:hyperlink>
      <w:r>
        <w:rPr>
          <w:b w:val="0"/>
          <w:i w:val="0"/>
        </w:rPr>
        <w:t xml:space="preserve">, </w:t>
      </w:r>
      <w:hyperlink w:anchor="passage-v-14-8">
        <w:r>
          <w:rPr>
            <w:color w:val="000000"/>
          </w:rPr>
          <w:t xml:space="preserve">V.14.8</w:t>
        </w:r>
      </w:hyperlink>
      <w:r>
        <w:rPr>
          <w:b w:val="0"/>
          <w:i w:val="0"/>
        </w:rPr>
        <w:t xml:space="preserve">, </w:t>
      </w:r>
      <w:hyperlink w:anchor="passage-v-15-8">
        <w:r>
          <w:rPr>
            <w:color w:val="000000"/>
          </w:rPr>
          <w:t xml:space="preserve">V.15.8</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1395" w:name="latin-record-1154"/>
      <w:bookmarkEnd w:id="1395"/>
      <w:r>
        <w:rPr>
          <w:b/>
          <w:i w:val="0"/>
        </w:rPr>
        <w:t>semper; numquam; saepe; quandoque</w:t>
      </w:r>
      <w:r>
        <w:rPr>
          <w:b/>
          <w:i w:val="0"/>
        </w:rPr>
        <w:t>.</w:t>
      </w:r>
      <w:r>
        <w:rPr>
          <w:b w:val="0"/>
          <w:i w:val="0"/>
        </w:rPr>
        <w:t xml:space="preserve"> Printed forms: </w:t>
      </w:r>
      <w:r>
        <w:rPr>
          <w:b w:val="0"/>
          <w:i/>
        </w:rPr>
        <w:t>aliquando</w:t>
      </w:r>
      <w:r>
        <w:rPr>
          <w:b w:val="0"/>
          <w:i w:val="0"/>
        </w:rPr>
        <w:t xml:space="preserve">; </w:t>
      </w:r>
      <w:r>
        <w:rPr>
          <w:b w:val="0"/>
          <w:i/>
        </w:rPr>
        <w:t>diu</w:t>
      </w:r>
      <w:r>
        <w:rPr>
          <w:b w:val="0"/>
          <w:i w:val="0"/>
        </w:rPr>
        <w:t xml:space="preserve">; </w:t>
      </w:r>
      <w:r>
        <w:rPr>
          <w:b w:val="0"/>
          <w:i/>
        </w:rPr>
        <w:t>diutissime</w:t>
      </w:r>
      <w:r>
        <w:rPr>
          <w:b w:val="0"/>
          <w:i w:val="0"/>
        </w:rPr>
        <w:t xml:space="preserve">; </w:t>
      </w:r>
      <w:r>
        <w:rPr>
          <w:b w:val="0"/>
          <w:i/>
        </w:rPr>
        <w:t>numquam</w:t>
      </w:r>
      <w:r>
        <w:rPr>
          <w:b w:val="0"/>
          <w:i w:val="0"/>
        </w:rPr>
        <w:t xml:space="preserve">; </w:t>
      </w:r>
      <w:r>
        <w:rPr>
          <w:b w:val="0"/>
          <w:i/>
        </w:rPr>
        <w:t>quandoque</w:t>
      </w:r>
      <w:r>
        <w:rPr>
          <w:b w:val="0"/>
          <w:i w:val="0"/>
        </w:rPr>
        <w:t xml:space="preserve">; </w:t>
      </w:r>
      <w:r>
        <w:rPr>
          <w:b w:val="0"/>
          <w:i/>
        </w:rPr>
        <w:t>saepe</w:t>
      </w:r>
      <w:r>
        <w:rPr>
          <w:b w:val="0"/>
          <w:i w:val="0"/>
        </w:rPr>
        <w:t xml:space="preserve">; </w:t>
      </w:r>
      <w:r>
        <w:rPr>
          <w:b w:val="0"/>
          <w:i/>
        </w:rPr>
        <w:t>saepenumero</w:t>
      </w:r>
      <w:r>
        <w:rPr>
          <w:b w:val="0"/>
          <w:i w:val="0"/>
        </w:rPr>
        <w:t xml:space="preserve">; </w:t>
      </w:r>
      <w:r>
        <w:rPr>
          <w:b w:val="0"/>
          <w:i/>
        </w:rPr>
        <w:t>semper</w:t>
      </w:r>
      <w:r>
        <w:rPr>
          <w:b w:val="0"/>
          <w:i w:val="0"/>
        </w:rPr>
        <w:t xml:space="preserve">; </w:t>
      </w:r>
      <w:r>
        <w:rPr>
          <w:b w:val="0"/>
          <w:i/>
        </w:rPr>
        <w:t>umquam</w:t>
      </w:r>
      <w:r>
        <w:rPr>
          <w:b w:val="0"/>
          <w:i w:val="0"/>
        </w:rPr>
        <w:t>.</w:t>
      </w:r>
    </w:p>
    <w:p>
      <w:pPr>
        <w:widowControl/>
      </w:pPr>
      <w:r>
        <w:rPr>
          <w:b w:val="0"/>
          <w:i w:val="0"/>
        </w:rPr>
        <w:t xml:space="preserve">Always, never, often, sometimes and for a long time: scope of a temporal claim. The essential life always present differs from thought sometimes exercised, while ordinary persistence over time is not identical with absolute immutability. References: </w:t>
      </w:r>
      <w:hyperlink w:anchor="passage-vi-2-1">
        <w:r>
          <w:rPr>
            <w:color w:val="000000"/>
          </w:rPr>
          <w:t xml:space="preserve">VI.2.1</w:t>
        </w:r>
      </w:hyperlink>
      <w:r>
        <w:rPr>
          <w:b w:val="0"/>
          <w:i w:val="0"/>
        </w:rPr>
        <w:t xml:space="preserve">, </w:t>
      </w:r>
      <w:hyperlink w:anchor="passage-vi-2-7">
        <w:r>
          <w:rPr>
            <w:color w:val="000000"/>
          </w:rPr>
          <w:t xml:space="preserve">VI.2.7</w:t>
        </w:r>
      </w:hyperlink>
      <w:r>
        <w:rPr>
          <w:b w:val="0"/>
          <w:i w:val="0"/>
        </w:rPr>
        <w:t xml:space="preserve">, </w:t>
      </w:r>
      <w:hyperlink w:anchor="passage-vi-2-10">
        <w:r>
          <w:rPr>
            <w:color w:val="000000"/>
          </w:rPr>
          <w:t xml:space="preserve">VI.2.10</w:t>
        </w:r>
      </w:hyperlink>
      <w:r>
        <w:rPr>
          <w:b w:val="0"/>
          <w:i w:val="0"/>
        </w:rPr>
        <w:t xml:space="preserve">, </w:t>
      </w:r>
      <w:hyperlink w:anchor="passage-vi-2-16">
        <w:r>
          <w:rPr>
            <w:color w:val="000000"/>
          </w:rPr>
          <w:t xml:space="preserve">VI.2.16</w:t>
        </w:r>
      </w:hyperlink>
      <w:r>
        <w:rPr>
          <w:b w:val="0"/>
          <w:i w:val="0"/>
        </w:rPr>
        <w:t xml:space="preserve">, </w:t>
      </w:r>
      <w:hyperlink w:anchor="passage-vi-12-12">
        <w:r>
          <w:rPr>
            <w:color w:val="000000"/>
          </w:rPr>
          <w:t xml:space="preserve">VI.12.12</w:t>
        </w:r>
      </w:hyperlink>
      <w:r>
        <w:rPr>
          <w:b w:val="0"/>
          <w:i w:val="0"/>
        </w:rPr>
        <w:t xml:space="preserve">, </w:t>
      </w:r>
      <w:hyperlink w:anchor="passage-vi-13-6">
        <w:r>
          <w:rPr>
            <w:color w:val="000000"/>
          </w:rPr>
          <w:t xml:space="preserve">VI.13.6</w:t>
        </w:r>
      </w:hyperlink>
      <w:r>
        <w:rPr>
          <w:b w:val="0"/>
          <w:i w:val="0"/>
        </w:rPr>
        <w:t xml:space="preserve">, </w:t>
      </w:r>
      <w:hyperlink w:anchor="passage-vi-13-9">
        <w:r>
          <w:rPr>
            <w:color w:val="000000"/>
          </w:rPr>
          <w:t xml:space="preserve">VI.13.9</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396" w:name="latin-record-1155"/>
      <w:bookmarkEnd w:id="1396"/>
      <w:r>
        <w:rPr>
          <w:b/>
          <w:i w:val="0"/>
        </w:rPr>
        <w:t>sempiternus</w:t>
      </w:r>
      <w:r>
        <w:rPr>
          <w:b/>
          <w:i w:val="0"/>
        </w:rPr>
        <w:t>.</w:t>
      </w:r>
      <w:r>
        <w:rPr>
          <w:b w:val="0"/>
          <w:i w:val="0"/>
        </w:rPr>
        <w:t xml:space="preserve"> Printed forms: </w:t>
      </w:r>
      <w:r>
        <w:rPr>
          <w:b w:val="0"/>
          <w:i/>
        </w:rPr>
        <w:t>sempiterna</w:t>
      </w:r>
      <w:r>
        <w:rPr>
          <w:b w:val="0"/>
          <w:i w:val="0"/>
        </w:rPr>
        <w:t xml:space="preserve">; </w:t>
      </w:r>
      <w:r>
        <w:rPr>
          <w:b w:val="0"/>
          <w:i/>
        </w:rPr>
        <w:t>sempiternae</w:t>
      </w:r>
      <w:r>
        <w:rPr>
          <w:b w:val="0"/>
          <w:i w:val="0"/>
        </w:rPr>
        <w:t xml:space="preserve">; </w:t>
      </w:r>
      <w:r>
        <w:rPr>
          <w:b w:val="0"/>
          <w:i/>
        </w:rPr>
        <w:t>sempiternam</w:t>
      </w:r>
      <w:r>
        <w:rPr>
          <w:b w:val="0"/>
          <w:i w:val="0"/>
        </w:rPr>
        <w:t xml:space="preserve">; </w:t>
      </w:r>
      <w:r>
        <w:rPr>
          <w:b w:val="0"/>
          <w:i/>
        </w:rPr>
        <w:t>sempiternas</w:t>
      </w:r>
      <w:r>
        <w:rPr>
          <w:b w:val="0"/>
          <w:i w:val="0"/>
        </w:rPr>
        <w:t xml:space="preserve">; </w:t>
      </w:r>
      <w:r>
        <w:rPr>
          <w:b w:val="0"/>
          <w:i/>
        </w:rPr>
        <w:t>sempiterno</w:t>
      </w:r>
      <w:r>
        <w:rPr>
          <w:b w:val="0"/>
          <w:i w:val="0"/>
        </w:rPr>
        <w:t>.</w:t>
      </w:r>
    </w:p>
    <w:p>
      <w:pPr>
        <w:widowControl/>
      </w:pPr>
      <w:r>
        <w:rPr>
          <w:b w:val="0"/>
          <w:i w:val="0"/>
        </w:rPr>
        <w:t xml:space="preserve">Everlasting, used of life or duration without end. Its application to a soul can allow a beginning, and its application to an ethereal vehicle is within reported Platonist doctrine. References: </w:t>
      </w:r>
      <w:hyperlink w:anchor="passage-v-12-15">
        <w:r>
          <w:rPr>
            <w:color w:val="000000"/>
          </w:rPr>
          <w:t xml:space="preserve">V.12.15</w:t>
        </w:r>
      </w:hyperlink>
      <w:r>
        <w:rPr>
          <w:b w:val="0"/>
          <w:i w:val="0"/>
        </w:rPr>
        <w:t xml:space="preserve">, </w:t>
      </w:r>
      <w:hyperlink w:anchor="passage-v-13-18">
        <w:r>
          <w:rPr>
            <w:color w:val="000000"/>
          </w:rPr>
          <w:t xml:space="preserve">V.13.18</w:t>
        </w:r>
      </w:hyperlink>
      <w:r>
        <w:rPr>
          <w:b w:val="0"/>
          <w:i w:val="0"/>
        </w:rPr>
        <w:t xml:space="preserve">, </w:t>
      </w:r>
      <w:hyperlink w:anchor="passage-v-14-9">
        <w:r>
          <w:rPr>
            <w:color w:val="000000"/>
          </w:rPr>
          <w:t xml:space="preserve">V.14.9</w:t>
        </w:r>
      </w:hyperlink>
      <w:r>
        <w:rPr>
          <w:b w:val="0"/>
          <w:i w:val="0"/>
        </w:rPr>
        <w:t xml:space="preserve">, </w:t>
      </w:r>
      <w:hyperlink w:anchor="passage-v-15-3">
        <w:r>
          <w:rPr>
            <w:color w:val="000000"/>
          </w:rPr>
          <w:t xml:space="preserve">V.15.3</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1397" w:name="latin-record-1156"/>
      <w:bookmarkEnd w:id="1397"/>
      <w:r>
        <w:rPr>
          <w:b/>
          <w:i w:val="0"/>
        </w:rPr>
        <w:t>sensus</w:t>
      </w:r>
      <w:r>
        <w:rPr>
          <w:b/>
          <w:i w:val="0"/>
        </w:rPr>
        <w:t>.</w:t>
      </w:r>
      <w:r>
        <w:rPr>
          <w:b w:val="0"/>
          <w:i w:val="0"/>
        </w:rPr>
        <w:t xml:space="preserve"> Printed forms: </w:t>
      </w:r>
      <w:r>
        <w:rPr>
          <w:b w:val="0"/>
          <w:i/>
        </w:rPr>
        <w:t>sensibus</w:t>
      </w:r>
      <w:r>
        <w:rPr>
          <w:b w:val="0"/>
          <w:i w:val="0"/>
        </w:rPr>
        <w:t xml:space="preserve">; </w:t>
      </w:r>
      <w:r>
        <w:rPr>
          <w:b w:val="0"/>
          <w:i/>
        </w:rPr>
        <w:t>sensum</w:t>
      </w:r>
      <w:r>
        <w:rPr>
          <w:b w:val="0"/>
          <w:i w:val="0"/>
        </w:rPr>
        <w:t xml:space="preserve">; </w:t>
      </w:r>
      <w:r>
        <w:rPr>
          <w:b w:val="0"/>
          <w:i/>
        </w:rPr>
        <w:t>Sensus</w:t>
      </w:r>
      <w:r>
        <w:rPr>
          <w:b w:val="0"/>
          <w:i w:val="0"/>
        </w:rPr>
        <w:t xml:space="preserve">; </w:t>
      </w:r>
      <w:r>
        <w:rPr>
          <w:b w:val="0"/>
          <w:i/>
        </w:rPr>
        <w:t>sensus</w:t>
      </w:r>
      <w:r>
        <w:rPr>
          <w:b w:val="0"/>
          <w:i w:val="0"/>
        </w:rPr>
        <w:t xml:space="preserve">; </w:t>
      </w:r>
      <w:r>
        <w:rPr>
          <w:b w:val="0"/>
          <w:i/>
        </w:rPr>
        <w:t>sensuum</w:t>
      </w:r>
      <w:r>
        <w:rPr>
          <w:b w:val="0"/>
          <w:i w:val="0"/>
        </w:rPr>
        <w:t>.</w:t>
      </w:r>
    </w:p>
    <w:p>
      <w:pPr>
        <w:widowControl/>
      </w:pPr>
      <w:r>
        <w:rPr>
          <w:b w:val="0"/>
          <w:i w:val="0"/>
        </w:rPr>
        <w:t xml:space="preserve">Bodily sensation or the sensory faculty, restricted to particular objects and conditions of reception. Sensation requires the presented body, while intellect can compare sensory classes and reach universal accounts; receiving an incorporeal likeness does not erase this difference. References: </w:t>
      </w:r>
      <w:hyperlink w:anchor="passage-viii-1-1">
        <w:r>
          <w:rPr>
            <w:color w:val="000000"/>
          </w:rPr>
          <w:t xml:space="preserve">VIII.1.1</w:t>
        </w:r>
      </w:hyperlink>
      <w:r>
        <w:rPr>
          <w:b w:val="0"/>
          <w:i w:val="0"/>
        </w:rPr>
        <w:t xml:space="preserve">, </w:t>
      </w:r>
      <w:hyperlink w:anchor="passage-viii-1-4">
        <w:r>
          <w:rPr>
            <w:color w:val="000000"/>
          </w:rPr>
          <w:t xml:space="preserve">VIII.1.4</w:t>
        </w:r>
      </w:hyperlink>
      <w:r>
        <w:rPr>
          <w:b w:val="0"/>
          <w:i w:val="0"/>
        </w:rPr>
        <w:t xml:space="preserve">, </w:t>
      </w:r>
      <w:hyperlink w:anchor="passage-viii-2-8">
        <w:r>
          <w:rPr>
            <w:color w:val="000000"/>
          </w:rPr>
          <w:t xml:space="preserve">VIII.2.8</w:t>
        </w:r>
      </w:hyperlink>
      <w:r>
        <w:rPr>
          <w:b w:val="0"/>
          <w:i w:val="0"/>
        </w:rPr>
        <w:t xml:space="preserve">, </w:t>
      </w:r>
      <w:hyperlink w:anchor="passage-viii-16-1">
        <w:r>
          <w:rPr>
            <w:color w:val="000000"/>
          </w:rPr>
          <w:t xml:space="preserve">VIII.16.1</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1398" w:name="latin-record-1157"/>
      <w:bookmarkEnd w:id="1398"/>
      <w:r>
        <w:rPr>
          <w:b/>
          <w:i w:val="0"/>
        </w:rPr>
        <w:t>sensus / sentire</w:t>
      </w:r>
      <w:r>
        <w:rPr>
          <w:b/>
          <w:i w:val="0"/>
        </w:rPr>
        <w:t>.</w:t>
      </w:r>
      <w:r>
        <w:rPr>
          <w:b w:val="0"/>
          <w:i w:val="0"/>
        </w:rPr>
        <w:t xml:space="preserve"> Printed forms: </w:t>
      </w:r>
      <w:r>
        <w:rPr>
          <w:b w:val="0"/>
          <w:i/>
        </w:rPr>
        <w:t>sensum</w:t>
      </w:r>
      <w:r>
        <w:rPr>
          <w:b w:val="0"/>
          <w:i w:val="0"/>
        </w:rPr>
        <w:t xml:space="preserve">; </w:t>
      </w:r>
      <w:r>
        <w:rPr>
          <w:b w:val="0"/>
          <w:i/>
        </w:rPr>
        <w:t>Sensus</w:t>
      </w:r>
      <w:r>
        <w:rPr>
          <w:b w:val="0"/>
          <w:i w:val="0"/>
        </w:rPr>
        <w:t xml:space="preserve">; </w:t>
      </w:r>
      <w:r>
        <w:rPr>
          <w:b w:val="0"/>
          <w:i/>
        </w:rPr>
        <w:t>sensus</w:t>
      </w:r>
      <w:r>
        <w:rPr>
          <w:b w:val="0"/>
          <w:i w:val="0"/>
        </w:rPr>
        <w:t xml:space="preserve">; </w:t>
      </w:r>
      <w:r>
        <w:rPr>
          <w:b w:val="0"/>
          <w:i/>
        </w:rPr>
        <w:t>sentiendi</w:t>
      </w:r>
      <w:r>
        <w:rPr>
          <w:b w:val="0"/>
          <w:i w:val="0"/>
        </w:rPr>
        <w:t xml:space="preserve">; </w:t>
      </w:r>
      <w:r>
        <w:rPr>
          <w:b w:val="0"/>
          <w:i/>
        </w:rPr>
        <w:t>sentient</w:t>
      </w:r>
      <w:r>
        <w:rPr>
          <w:b w:val="0"/>
          <w:i w:val="0"/>
        </w:rPr>
        <w:t xml:space="preserve">; </w:t>
      </w:r>
      <w:r>
        <w:rPr>
          <w:b w:val="0"/>
          <w:i/>
        </w:rPr>
        <w:t>sentire</w:t>
      </w:r>
      <w:r>
        <w:rPr>
          <w:b w:val="0"/>
          <w:i w:val="0"/>
        </w:rPr>
        <w:t xml:space="preserve">; </w:t>
      </w:r>
      <w:r>
        <w:rPr>
          <w:b w:val="0"/>
          <w:i/>
        </w:rPr>
        <w:t>sentiremus</w:t>
      </w:r>
      <w:r>
        <w:rPr>
          <w:b w:val="0"/>
          <w:i w:val="0"/>
        </w:rPr>
        <w:t xml:space="preserve">; </w:t>
      </w:r>
      <w:r>
        <w:rPr>
          <w:b w:val="0"/>
          <w:i/>
        </w:rPr>
        <w:t>sentit</w:t>
      </w:r>
      <w:r>
        <w:rPr>
          <w:b w:val="0"/>
          <w:i w:val="0"/>
        </w:rPr>
        <w:t xml:space="preserve">; </w:t>
      </w:r>
      <w:r>
        <w:rPr>
          <w:b w:val="0"/>
          <w:i/>
        </w:rPr>
        <w:t>sentitur</w:t>
      </w:r>
      <w:r>
        <w:rPr>
          <w:b w:val="0"/>
          <w:i w:val="0"/>
        </w:rPr>
        <w:t>.</w:t>
      </w:r>
    </w:p>
    <w:p>
      <w:pPr>
        <w:widowControl/>
      </w:pPr>
      <w:r>
        <w:rPr>
          <w:b w:val="0"/>
          <w:i w:val="0"/>
        </w:rPr>
        <w:t xml:space="preserve">Sensory power, its exercise, or sensing itself according to construction. Chapter 6 distinguishes an enduring capacity from attentive sensing and awareness of that activity; this is not one unchanging use of sensus. References: </w:t>
      </w:r>
      <w:hyperlink w:anchor="passage-vii-4-2">
        <w:r>
          <w:rPr>
            <w:color w:val="000000"/>
          </w:rPr>
          <w:t xml:space="preserve">VII.4.2</w:t>
        </w:r>
      </w:hyperlink>
      <w:r>
        <w:rPr>
          <w:b w:val="0"/>
          <w:i w:val="0"/>
        </w:rPr>
        <w:t xml:space="preserve">, </w:t>
      </w:r>
      <w:hyperlink w:anchor="passage-vii-6-2">
        <w:r>
          <w:rPr>
            <w:color w:val="000000"/>
          </w:rPr>
          <w:t xml:space="preserve">VII.6.2</w:t>
        </w:r>
      </w:hyperlink>
      <w:r>
        <w:rPr>
          <w:b w:val="0"/>
          <w:i w:val="0"/>
        </w:rPr>
        <w:t xml:space="preserve">,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399" w:name="latin-record-1158"/>
      <w:bookmarkEnd w:id="1399"/>
      <w:r>
        <w:rPr>
          <w:b/>
          <w:i w:val="0"/>
        </w:rPr>
        <w:t>sensus exterior; sensus interior</w:t>
      </w:r>
      <w:r>
        <w:rPr>
          <w:b/>
          <w:i w:val="0"/>
        </w:rPr>
        <w:t>.</w:t>
      </w:r>
      <w:r>
        <w:rPr>
          <w:b w:val="0"/>
          <w:i w:val="0"/>
        </w:rPr>
        <w:t xml:space="preserve"> Printed forms: </w:t>
      </w:r>
      <w:r>
        <w:rPr>
          <w:b w:val="0"/>
          <w:i/>
        </w:rPr>
        <w:t>interiorem sensum</w:t>
      </w:r>
      <w:r>
        <w:rPr>
          <w:b w:val="0"/>
          <w:i w:val="0"/>
        </w:rPr>
        <w:t xml:space="preserve">; </w:t>
      </w:r>
      <w:r>
        <w:rPr>
          <w:b w:val="0"/>
          <w:i/>
        </w:rPr>
        <w:t>sensum tum exteriorem</w:t>
      </w:r>
      <w:r>
        <w:rPr>
          <w:b w:val="0"/>
          <w:i w:val="0"/>
        </w:rPr>
        <w:t>.</w:t>
      </w:r>
    </w:p>
    <w:p>
      <w:pPr>
        <w:widowControl/>
      </w:pPr>
      <w:r>
        <w:rPr>
          <w:b w:val="0"/>
          <w:i w:val="0"/>
        </w:rPr>
        <w:t xml:space="preserve">Outward sensation and inward handling of sensory images. Both act through body, even when internal sense considers residues of absent objects.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400" w:name="latin-record-1159"/>
      <w:bookmarkEnd w:id="1400"/>
      <w:r>
        <w:rPr>
          <w:b/>
          <w:i w:val="0"/>
        </w:rPr>
        <w:t>sensus; sentire</w:t>
      </w:r>
      <w:r>
        <w:rPr>
          <w:b/>
          <w:i w:val="0"/>
        </w:rPr>
        <w:t>.</w:t>
      </w:r>
      <w:r>
        <w:rPr>
          <w:b w:val="0"/>
          <w:i w:val="0"/>
        </w:rPr>
        <w:t xml:space="preserve"> Printed forms: </w:t>
      </w:r>
      <w:r>
        <w:rPr>
          <w:b w:val="0"/>
          <w:i/>
        </w:rPr>
        <w:t>sensu</w:t>
      </w:r>
      <w:r>
        <w:rPr>
          <w:b w:val="0"/>
          <w:i w:val="0"/>
        </w:rPr>
        <w:t xml:space="preserve">; </w:t>
      </w:r>
      <w:r>
        <w:rPr>
          <w:b w:val="0"/>
          <w:i/>
        </w:rPr>
        <w:t>sensum</w:t>
      </w:r>
      <w:r>
        <w:rPr>
          <w:b w:val="0"/>
          <w:i w:val="0"/>
        </w:rPr>
        <w:t xml:space="preserve">; </w:t>
      </w:r>
      <w:r>
        <w:rPr>
          <w:b w:val="0"/>
          <w:i/>
        </w:rPr>
        <w:t>sensus</w:t>
      </w:r>
      <w:r>
        <w:rPr>
          <w:b w:val="0"/>
          <w:i w:val="0"/>
        </w:rPr>
        <w:t xml:space="preserve">; </w:t>
      </w:r>
      <w:r>
        <w:rPr>
          <w:b w:val="0"/>
          <w:i/>
        </w:rPr>
        <w:t>sensuum</w:t>
      </w:r>
      <w:r>
        <w:rPr>
          <w:b w:val="0"/>
          <w:i w:val="0"/>
        </w:rPr>
        <w:t xml:space="preserve">; </w:t>
      </w:r>
      <w:r>
        <w:rPr>
          <w:b w:val="0"/>
          <w:i/>
        </w:rPr>
        <w:t>sentiat</w:t>
      </w:r>
      <w:r>
        <w:rPr>
          <w:b w:val="0"/>
          <w:i w:val="0"/>
        </w:rPr>
        <w:t xml:space="preserve">; </w:t>
      </w:r>
      <w:r>
        <w:rPr>
          <w:b w:val="0"/>
          <w:i/>
        </w:rPr>
        <w:t>sentiendi</w:t>
      </w:r>
      <w:r>
        <w:rPr>
          <w:b w:val="0"/>
          <w:i w:val="0"/>
        </w:rPr>
        <w:t xml:space="preserve">; </w:t>
      </w:r>
      <w:r>
        <w:rPr>
          <w:b w:val="0"/>
          <w:i/>
        </w:rPr>
        <w:t>sentient</w:t>
      </w:r>
      <w:r>
        <w:rPr>
          <w:b w:val="0"/>
          <w:i w:val="0"/>
        </w:rPr>
        <w:t xml:space="preserve">; </w:t>
      </w:r>
      <w:r>
        <w:rPr>
          <w:b w:val="0"/>
          <w:i/>
        </w:rPr>
        <w:t>sentire</w:t>
      </w:r>
      <w:r>
        <w:rPr>
          <w:b w:val="0"/>
          <w:i w:val="0"/>
        </w:rPr>
        <w:t xml:space="preserve">; </w:t>
      </w:r>
      <w:r>
        <w:rPr>
          <w:b w:val="0"/>
          <w:i/>
        </w:rPr>
        <w:t>sentit</w:t>
      </w:r>
      <w:r>
        <w:rPr>
          <w:b w:val="0"/>
          <w:i w:val="0"/>
        </w:rPr>
        <w:t xml:space="preserve">; </w:t>
      </w:r>
      <w:r>
        <w:rPr>
          <w:b w:val="0"/>
          <w:i/>
        </w:rPr>
        <w:t>sentitur</w:t>
      </w:r>
      <w:r>
        <w:rPr>
          <w:b w:val="0"/>
          <w:i w:val="0"/>
        </w:rPr>
        <w:t xml:space="preserve">; </w:t>
      </w:r>
      <w:r>
        <w:rPr>
          <w:b w:val="0"/>
          <w:i/>
        </w:rPr>
        <w:t>sentiunt</w:t>
      </w:r>
      <w:r>
        <w:rPr>
          <w:b w:val="0"/>
          <w:i w:val="0"/>
        </w:rPr>
        <w:t>.</w:t>
      </w:r>
    </w:p>
    <w:p>
      <w:pPr>
        <w:widowControl/>
      </w:pPr>
      <w:r>
        <w:rPr>
          <w:b w:val="0"/>
          <w:i w:val="0"/>
        </w:rPr>
        <w:t xml:space="preserve">Sense, sensing and being sensed, with external and internal functions distinguished. Sensation can disclose bodily reality while failing to exhaust what exists; the light exercises distinguish an active sensing source from a sensible manifestation. References: </w:t>
      </w:r>
      <w:hyperlink w:anchor="passage-vi-2-1">
        <w:r>
          <w:rPr>
            <w:color w:val="000000"/>
          </w:rPr>
          <w:t xml:space="preserve">VI.2.1</w:t>
        </w:r>
      </w:hyperlink>
      <w:r>
        <w:rPr>
          <w:b w:val="0"/>
          <w:i w:val="0"/>
        </w:rPr>
        <w:t xml:space="preserve">, </w:t>
      </w:r>
      <w:hyperlink w:anchor="passage-vi-2-2">
        <w:r>
          <w:rPr>
            <w:color w:val="000000"/>
          </w:rPr>
          <w:t xml:space="preserve">VI.2.2</w:t>
        </w:r>
      </w:hyperlink>
      <w:r>
        <w:rPr>
          <w:b w:val="0"/>
          <w:i w:val="0"/>
        </w:rPr>
        <w:t xml:space="preserve">, </w:t>
      </w:r>
      <w:hyperlink w:anchor="passage-vi-2-8">
        <w:r>
          <w:rPr>
            <w:color w:val="000000"/>
          </w:rPr>
          <w:t xml:space="preserve">VI.2.8</w:t>
        </w:r>
      </w:hyperlink>
      <w:r>
        <w:rPr>
          <w:b w:val="0"/>
          <w:i w:val="0"/>
        </w:rPr>
        <w:t xml:space="preserve">, </w:t>
      </w:r>
      <w:hyperlink w:anchor="passage-vi-2-13">
        <w:r>
          <w:rPr>
            <w:color w:val="000000"/>
          </w:rPr>
          <w:t xml:space="preserve">VI.2.13</w:t>
        </w:r>
      </w:hyperlink>
      <w:r>
        <w:rPr>
          <w:b w:val="0"/>
          <w:i w:val="0"/>
        </w:rPr>
        <w:t xml:space="preserve">, </w:t>
      </w:r>
      <w:hyperlink w:anchor="passage-vi-2-26">
        <w:r>
          <w:rPr>
            <w:color w:val="000000"/>
          </w:rPr>
          <w:t xml:space="preserve">VI.2.26</w:t>
        </w:r>
      </w:hyperlink>
      <w:r>
        <w:rPr>
          <w:b w:val="0"/>
          <w:i w:val="0"/>
        </w:rPr>
        <w:t xml:space="preserve">, </w:t>
      </w:r>
      <w:hyperlink w:anchor="passage-vi-3-1">
        <w:r>
          <w:rPr>
            <w:color w:val="000000"/>
          </w:rPr>
          <w:t xml:space="preserve">VI.3.1</w:t>
        </w:r>
      </w:hyperlink>
      <w:r>
        <w:rPr>
          <w:b w:val="0"/>
          <w:i w:val="0"/>
        </w:rPr>
        <w:t xml:space="preserve">, </w:t>
      </w:r>
      <w:hyperlink w:anchor="passage-vi-13-1">
        <w:r>
          <w:rPr>
            <w:color w:val="000000"/>
          </w:rPr>
          <w:t xml:space="preserve">VI.13.1</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401" w:name="latin-record-1160"/>
      <w:bookmarkEnd w:id="1401"/>
      <w:r>
        <w:rPr>
          <w:b/>
          <w:i w:val="0"/>
        </w:rPr>
        <w:t>sentire / sensus</w:t>
      </w:r>
      <w:r>
        <w:rPr>
          <w:b/>
          <w:i w:val="0"/>
        </w:rPr>
        <w:t>.</w:t>
      </w:r>
      <w:r>
        <w:rPr>
          <w:b w:val="0"/>
          <w:i w:val="0"/>
        </w:rPr>
        <w:t xml:space="preserve"> Printed forms: </w:t>
      </w:r>
      <w:r>
        <w:rPr>
          <w:b w:val="0"/>
          <w:i/>
        </w:rPr>
        <w:t>Sensibilia</w:t>
      </w:r>
      <w:r>
        <w:rPr>
          <w:b w:val="0"/>
          <w:i w:val="0"/>
        </w:rPr>
        <w:t xml:space="preserve">; </w:t>
      </w:r>
      <w:r>
        <w:rPr>
          <w:b w:val="0"/>
          <w:i/>
        </w:rPr>
        <w:t>sensibilium</w:t>
      </w:r>
      <w:r>
        <w:rPr>
          <w:b w:val="0"/>
          <w:i w:val="0"/>
        </w:rPr>
        <w:t xml:space="preserve">; </w:t>
      </w:r>
      <w:r>
        <w:rPr>
          <w:b w:val="0"/>
          <w:i/>
        </w:rPr>
        <w:t>sensibus</w:t>
      </w:r>
      <w:r>
        <w:rPr>
          <w:b w:val="0"/>
          <w:i w:val="0"/>
        </w:rPr>
        <w:t xml:space="preserve">; </w:t>
      </w:r>
      <w:r>
        <w:rPr>
          <w:b w:val="0"/>
          <w:i/>
        </w:rPr>
        <w:t>sensum</w:t>
      </w:r>
      <w:r>
        <w:rPr>
          <w:b w:val="0"/>
          <w:i w:val="0"/>
        </w:rPr>
        <w:t xml:space="preserve">; </w:t>
      </w:r>
      <w:r>
        <w:rPr>
          <w:b w:val="0"/>
          <w:i/>
        </w:rPr>
        <w:t>sensus</w:t>
      </w:r>
      <w:r>
        <w:rPr>
          <w:b w:val="0"/>
          <w:i w:val="0"/>
        </w:rPr>
        <w:t xml:space="preserve">; </w:t>
      </w:r>
      <w:r>
        <w:rPr>
          <w:b w:val="0"/>
          <w:i/>
        </w:rPr>
        <w:t>sentiendi</w:t>
      </w:r>
      <w:r>
        <w:rPr>
          <w:b w:val="0"/>
          <w:i w:val="0"/>
        </w:rPr>
        <w:t xml:space="preserve">; </w:t>
      </w:r>
      <w:r>
        <w:rPr>
          <w:b w:val="0"/>
          <w:i/>
        </w:rPr>
        <w:t>sentit</w:t>
      </w:r>
      <w:r>
        <w:rPr>
          <w:b w:val="0"/>
          <w:i w:val="0"/>
        </w:rPr>
        <w:t>.</w:t>
      </w:r>
    </w:p>
    <w:p>
      <w:pPr>
        <w:widowControl/>
      </w:pPr>
      <w:r>
        <w:rPr>
          <w:b w:val="0"/>
          <w:i w:val="0"/>
        </w:rPr>
        <w:t xml:space="preserve">Sense and sensing, sensation exercised through bodily organs, contrasted with instrument-free intellection. Sleep closes bodily senses while images persist; irrational life is drawn by presented sensible objects. References: </w:t>
      </w:r>
      <w:hyperlink w:anchor="passage-v-6-1">
        <w:r>
          <w:rPr>
            <w:color w:val="000000"/>
          </w:rPr>
          <w:t xml:space="preserve">V.6.1</w:t>
        </w:r>
      </w:hyperlink>
      <w:r>
        <w:rPr>
          <w:b w:val="0"/>
          <w:i w:val="0"/>
        </w:rPr>
        <w:t xml:space="preserve">, </w:t>
      </w:r>
      <w:hyperlink w:anchor="passage-v-14-8">
        <w:r>
          <w:rPr>
            <w:color w:val="000000"/>
          </w:rPr>
          <w:t xml:space="preserve">V.14.8</w:t>
        </w:r>
      </w:hyperlink>
      <w:r>
        <w:rPr>
          <w:b w:val="0"/>
          <w:i w:val="0"/>
        </w:rPr>
        <w:t xml:space="preserve">, </w:t>
      </w:r>
      <w:hyperlink w:anchor="passage-v-15-23">
        <w:r>
          <w:rPr>
            <w:color w:val="000000"/>
          </w:rPr>
          <w:t xml:space="preserve">V.15.23</w:t>
        </w:r>
      </w:hyperlink>
      <w:r>
        <w:rPr>
          <w:b w:val="0"/>
          <w:i w:val="0"/>
        </w:rPr>
        <w:t xml:space="preserve">, </w:t>
      </w:r>
      <w:hyperlink w:anchor="passage-v-15-24">
        <w:r>
          <w:rPr>
            <w:color w:val="000000"/>
          </w:rPr>
          <w:t xml:space="preserve">V.15.24</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1402" w:name="latin-record-1161"/>
      <w:bookmarkEnd w:id="1402"/>
      <w:r>
        <w:rPr>
          <w:b/>
          <w:i w:val="0"/>
        </w:rPr>
        <w:t>sentire / sentiens / expers sensus</w:t>
      </w:r>
      <w:r>
        <w:rPr>
          <w:b/>
          <w:i w:val="0"/>
        </w:rPr>
        <w:t>.</w:t>
      </w:r>
      <w:r>
        <w:rPr>
          <w:b w:val="0"/>
          <w:i w:val="0"/>
        </w:rPr>
        <w:t xml:space="preserve"> Printed forms: </w:t>
      </w:r>
      <w:r>
        <w:rPr>
          <w:b w:val="0"/>
          <w:i/>
        </w:rPr>
        <w:t>sentiendi expertes</w:t>
      </w:r>
      <w:r>
        <w:rPr>
          <w:b w:val="0"/>
          <w:i w:val="0"/>
        </w:rPr>
        <w:t xml:space="preserve">; </w:t>
      </w:r>
      <w:r>
        <w:rPr>
          <w:b w:val="0"/>
          <w:i/>
        </w:rPr>
        <w:t>sentiens</w:t>
      </w:r>
      <w:r>
        <w:rPr>
          <w:b w:val="0"/>
          <w:i w:val="0"/>
        </w:rPr>
        <w:t xml:space="preserve">; </w:t>
      </w:r>
      <w:r>
        <w:rPr>
          <w:b w:val="0"/>
          <w:i/>
        </w:rPr>
        <w:t>sentient</w:t>
      </w:r>
      <w:r>
        <w:rPr>
          <w:b w:val="0"/>
          <w:i w:val="0"/>
        </w:rPr>
        <w:t xml:space="preserve">; </w:t>
      </w:r>
      <w:r>
        <w:rPr>
          <w:b w:val="0"/>
          <w:i/>
        </w:rPr>
        <w:t>sentiente</w:t>
      </w:r>
      <w:r>
        <w:rPr>
          <w:b w:val="0"/>
          <w:i w:val="0"/>
        </w:rPr>
        <w:t xml:space="preserve">; </w:t>
      </w:r>
      <w:r>
        <w:rPr>
          <w:b w:val="0"/>
          <w:i/>
        </w:rPr>
        <w:t>sentientem</w:t>
      </w:r>
      <w:r>
        <w:rPr>
          <w:b w:val="0"/>
          <w:i w:val="0"/>
        </w:rPr>
        <w:t>.</w:t>
      </w:r>
    </w:p>
    <w:p>
      <w:pPr>
        <w:widowControl/>
      </w:pPr>
      <w:r>
        <w:rPr>
          <w:b w:val="0"/>
          <w:i w:val="0"/>
        </w:rPr>
        <w:t xml:space="preserve">To sense; a sensing subject; absence of sensing capacity. The question is whether non-sensing parts could produce a sensing whole without a superior unifying sentient source. References: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1403" w:name="latin-record-1162"/>
      <w:bookmarkEnd w:id="1403"/>
      <w:r>
        <w:rPr>
          <w:b/>
          <w:i w:val="0"/>
        </w:rPr>
        <w:t>sentire; sentiri</w:t>
      </w:r>
      <w:r>
        <w:rPr>
          <w:b/>
          <w:i w:val="0"/>
        </w:rPr>
        <w:t>.</w:t>
      </w:r>
      <w:r>
        <w:rPr>
          <w:b w:val="0"/>
          <w:i w:val="0"/>
        </w:rPr>
        <w:t xml:space="preserve"> Printed forms: </w:t>
      </w:r>
      <w:r>
        <w:rPr>
          <w:b w:val="0"/>
          <w:i/>
        </w:rPr>
        <w:t>sentientem</w:t>
      </w:r>
      <w:r>
        <w:rPr>
          <w:b w:val="0"/>
          <w:i w:val="0"/>
        </w:rPr>
        <w:t xml:space="preserve">; </w:t>
      </w:r>
      <w:r>
        <w:rPr>
          <w:b w:val="0"/>
          <w:i/>
        </w:rPr>
        <w:t>Sentiet</w:t>
      </w:r>
      <w:r>
        <w:rPr>
          <w:b w:val="0"/>
          <w:i w:val="0"/>
        </w:rPr>
        <w:t xml:space="preserve">; </w:t>
      </w:r>
      <w:r>
        <w:rPr>
          <w:b w:val="0"/>
          <w:i/>
        </w:rPr>
        <w:t>sentietur</w:t>
      </w:r>
      <w:r>
        <w:rPr>
          <w:b w:val="0"/>
          <w:i w:val="0"/>
        </w:rPr>
        <w:t>.</w:t>
      </w:r>
    </w:p>
    <w:p>
      <w:pPr>
        <w:widowControl/>
      </w:pPr>
      <w:r>
        <w:rPr>
          <w:b w:val="0"/>
          <w:i w:val="0"/>
        </w:rPr>
        <w:t xml:space="preserve">To sense and to be sensed. A light construed as source of sensation need not itself be a sensible object; the distinction is central to the soul/flame comparison. References: </w:t>
      </w:r>
      <w:hyperlink w:anchor="passage-vi-2-23">
        <w:r>
          <w:rPr>
            <w:color w:val="000000"/>
          </w:rPr>
          <w:t xml:space="preserve">VI.2.23</w:t>
        </w:r>
      </w:hyperlink>
      <w:r>
        <w:rPr>
          <w:b w:val="0"/>
          <w:i w:val="0"/>
        </w:rPr>
        <w:t xml:space="preserve">, </w:t>
      </w:r>
      <w:hyperlink w:anchor="passage-vi-2-26">
        <w:r>
          <w:rPr>
            <w:color w:val="000000"/>
          </w:rPr>
          <w:t xml:space="preserve">VI.2.26</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1404" w:name="latin-record-1163"/>
      <w:bookmarkEnd w:id="1404"/>
      <w:r>
        <w:rPr>
          <w:b/>
          <w:i w:val="0"/>
        </w:rPr>
        <w:t>separabilis</w:t>
      </w:r>
      <w:r>
        <w:rPr>
          <w:b/>
          <w:i w:val="0"/>
        </w:rPr>
        <w:t>.</w:t>
      </w:r>
      <w:r>
        <w:rPr>
          <w:b w:val="0"/>
          <w:i w:val="0"/>
        </w:rPr>
        <w:t xml:space="preserve"> Printed forms: </w:t>
      </w:r>
      <w:r>
        <w:rPr>
          <w:b w:val="0"/>
          <w:i/>
        </w:rPr>
        <w:t>separabilis</w:t>
      </w:r>
      <w:r>
        <w:rPr>
          <w:b w:val="0"/>
          <w:i w:val="0"/>
        </w:rPr>
        <w:t>.</w:t>
      </w:r>
    </w:p>
    <w:p>
      <w:pPr>
        <w:widowControl/>
      </w:pPr>
      <w:r>
        <w:rPr>
          <w:b w:val="0"/>
          <w:i w:val="0"/>
        </w:rPr>
        <w:t xml:space="preserve">Separable, capable of independence from matter. The explicit potentia separabilis qualifies </w:t>
      </w:r>
      <w:r>
        <w:t>‘</w:t>
      </w:r>
      <w:r>
        <w:rPr>
          <w:b w:val="0"/>
          <w:i w:val="0"/>
        </w:rPr>
        <w:t>separated</w:t>
      </w:r>
      <w:r>
        <w:t>’</w:t>
      </w:r>
      <w:r>
        <w:rPr>
          <w:b w:val="0"/>
          <w:i w:val="0"/>
        </w:rPr>
        <w:t xml:space="preserve"> without denying embodied relation. References: </w:t>
      </w:r>
      <w:hyperlink w:anchor="passage-v-5-9">
        <w:r>
          <w:rPr>
            <w:color w:val="000000"/>
          </w:rPr>
          <w:t xml:space="preserve">V.5.9</w:t>
        </w:r>
      </w:hyperlink>
      <w:r>
        <w:rPr>
          <w:b w:val="0"/>
          <w:i w:val="0"/>
        </w:rPr>
        <w:t xml:space="preserve">. See </w:t>
      </w:r>
      <w:hyperlink w:anchor="inclination-and-independence">
        <w:r>
          <w:rPr>
            <w:color w:val="000000"/>
          </w:rPr>
          <w:t xml:space="preserve">Inclination and independence</w:t>
        </w:r>
      </w:hyperlink>
      <w:r>
        <w:rPr>
          <w:b w:val="0"/>
          <w:i w:val="0"/>
        </w:rPr>
        <w:t>.</w:t>
      </w:r>
    </w:p>
    <w:p>
      <w:pPr>
        <w:keepNext/>
        <w:widowControl/>
      </w:pPr>
      <w:bookmarkStart w:id="1405" w:name="latin-record-1164"/>
      <w:bookmarkEnd w:id="1405"/>
      <w:r>
        <w:rPr>
          <w:b/>
          <w:i w:val="0"/>
        </w:rPr>
        <w:t>separare / segregare</w:t>
      </w:r>
      <w:r>
        <w:rPr>
          <w:b/>
          <w:i w:val="0"/>
        </w:rPr>
        <w:t>.</w:t>
      </w:r>
      <w:r>
        <w:rPr>
          <w:b w:val="0"/>
          <w:i w:val="0"/>
        </w:rPr>
        <w:t xml:space="preserve"> Printed forms: </w:t>
      </w:r>
      <w:r>
        <w:rPr>
          <w:b w:val="0"/>
          <w:i/>
        </w:rPr>
        <w:t>segregari</w:t>
      </w:r>
      <w:r>
        <w:rPr>
          <w:b w:val="0"/>
          <w:i w:val="0"/>
        </w:rPr>
        <w:t xml:space="preserve">; </w:t>
      </w:r>
      <w:r>
        <w:rPr>
          <w:b w:val="0"/>
          <w:i/>
        </w:rPr>
        <w:t>segregat</w:t>
      </w:r>
      <w:r>
        <w:rPr>
          <w:b w:val="0"/>
          <w:i w:val="0"/>
        </w:rPr>
        <w:t xml:space="preserve">; </w:t>
      </w:r>
      <w:r>
        <w:rPr>
          <w:b w:val="0"/>
          <w:i/>
        </w:rPr>
        <w:t>separat</w:t>
      </w:r>
      <w:r>
        <w:rPr>
          <w:b w:val="0"/>
          <w:i w:val="0"/>
        </w:rPr>
        <w:t xml:space="preserve">; </w:t>
      </w:r>
      <w:r>
        <w:rPr>
          <w:b w:val="0"/>
          <w:i/>
        </w:rPr>
        <w:t>separata</w:t>
      </w:r>
      <w:r>
        <w:rPr>
          <w:b w:val="0"/>
          <w:i w:val="0"/>
        </w:rPr>
        <w:t xml:space="preserve">; </w:t>
      </w:r>
      <w:r>
        <w:rPr>
          <w:b w:val="0"/>
          <w:i/>
        </w:rPr>
        <w:t>Separatam</w:t>
      </w:r>
      <w:r>
        <w:rPr>
          <w:b w:val="0"/>
          <w:i w:val="0"/>
        </w:rPr>
        <w:t xml:space="preserve">; </w:t>
      </w:r>
      <w:r>
        <w:rPr>
          <w:b w:val="0"/>
          <w:i/>
        </w:rPr>
        <w:t>separationem</w:t>
      </w:r>
      <w:r>
        <w:rPr>
          <w:b w:val="0"/>
          <w:i w:val="0"/>
        </w:rPr>
        <w:t>.</w:t>
      </w:r>
    </w:p>
    <w:p>
      <w:pPr>
        <w:widowControl/>
      </w:pPr>
      <w:r>
        <w:rPr>
          <w:b w:val="0"/>
          <w:i w:val="0"/>
        </w:rPr>
        <w:t xml:space="preserve">Separating or setting apart, intellectually or with respect to mode of life. Mind separates forms from matter and desires a truth-directed life apart from the perishable body; these are metaphysical claims rather than practical instructions. References: </w:t>
      </w:r>
      <w:hyperlink w:anchor="passage-viii-2-8">
        <w:r>
          <w:rPr>
            <w:color w:val="000000"/>
          </w:rPr>
          <w:t xml:space="preserve">VIII.2.8</w:t>
        </w:r>
      </w:hyperlink>
      <w:r>
        <w:rPr>
          <w:b w:val="0"/>
          <w:i w:val="0"/>
        </w:rPr>
        <w:t xml:space="preserve">, </w:t>
      </w:r>
      <w:hyperlink w:anchor="passage-viii-5-2">
        <w:r>
          <w:rPr>
            <w:color w:val="000000"/>
          </w:rPr>
          <w:t xml:space="preserve">VIII.5.2</w:t>
        </w:r>
      </w:hyperlink>
      <w:r>
        <w:rPr>
          <w:b w:val="0"/>
          <w:i w:val="0"/>
        </w:rPr>
        <w:t xml:space="preserve">. See </w:t>
      </w:r>
      <w:hyperlink w:anchor="viii-natural-desire">
        <w:r>
          <w:rPr>
            <w:color w:val="000000"/>
          </w:rPr>
          <w:t xml:space="preserve">Natural desire, possible good, and Olympiodorus</w:t>
        </w:r>
      </w:hyperlink>
      <w:r>
        <w:rPr>
          <w:b w:val="0"/>
          <w:i w:val="0"/>
        </w:rPr>
        <w:t>.</w:t>
      </w:r>
    </w:p>
    <w:p>
      <w:pPr>
        <w:keepNext/>
        <w:widowControl/>
      </w:pPr>
      <w:bookmarkStart w:id="1406" w:name="latin-record-1165"/>
      <w:bookmarkEnd w:id="1406"/>
      <w:r>
        <w:rPr>
          <w:b/>
          <w:i w:val="0"/>
        </w:rPr>
        <w:t>separare / seiungere / disiungere</w:t>
      </w:r>
      <w:r>
        <w:rPr>
          <w:b/>
          <w:i w:val="0"/>
        </w:rPr>
        <w:t>.</w:t>
      </w:r>
      <w:r>
        <w:rPr>
          <w:b w:val="0"/>
          <w:i w:val="0"/>
        </w:rPr>
        <w:t xml:space="preserve"> Printed forms: </w:t>
      </w:r>
      <w:r>
        <w:rPr>
          <w:b w:val="0"/>
          <w:i/>
        </w:rPr>
        <w:t>disiungitur</w:t>
      </w:r>
      <w:r>
        <w:rPr>
          <w:b w:val="0"/>
          <w:i w:val="0"/>
        </w:rPr>
        <w:t xml:space="preserve">; </w:t>
      </w:r>
      <w:r>
        <w:rPr>
          <w:b w:val="0"/>
          <w:i/>
        </w:rPr>
        <w:t>disiunguntur</w:t>
      </w:r>
      <w:r>
        <w:rPr>
          <w:b w:val="0"/>
          <w:i w:val="0"/>
        </w:rPr>
        <w:t xml:space="preserve">; </w:t>
      </w:r>
      <w:r>
        <w:rPr>
          <w:b w:val="0"/>
          <w:i/>
        </w:rPr>
        <w:t>seiuncta</w:t>
      </w:r>
      <w:r>
        <w:rPr>
          <w:b w:val="0"/>
          <w:i w:val="0"/>
        </w:rPr>
        <w:t xml:space="preserve">; </w:t>
      </w:r>
      <w:r>
        <w:rPr>
          <w:b w:val="0"/>
          <w:i/>
        </w:rPr>
        <w:t>seiungitur</w:t>
      </w:r>
      <w:r>
        <w:rPr>
          <w:b w:val="0"/>
          <w:i w:val="0"/>
        </w:rPr>
        <w:t xml:space="preserve">; </w:t>
      </w:r>
      <w:r>
        <w:rPr>
          <w:b w:val="0"/>
          <w:i/>
        </w:rPr>
        <w:t>separari</w:t>
      </w:r>
      <w:r>
        <w:rPr>
          <w:b w:val="0"/>
          <w:i w:val="0"/>
        </w:rPr>
        <w:t xml:space="preserve">; </w:t>
      </w:r>
      <w:r>
        <w:rPr>
          <w:b w:val="0"/>
          <w:i/>
        </w:rPr>
        <w:t>separata</w:t>
      </w:r>
      <w:r>
        <w:rPr>
          <w:b w:val="0"/>
          <w:i w:val="0"/>
        </w:rPr>
        <w:t xml:space="preserve">; </w:t>
      </w:r>
      <w:r>
        <w:rPr>
          <w:b w:val="0"/>
          <w:i/>
        </w:rPr>
        <w:t>separatur</w:t>
      </w:r>
      <w:r>
        <w:rPr>
          <w:b w:val="0"/>
          <w:i w:val="0"/>
        </w:rPr>
        <w:t>.</w:t>
      </w:r>
    </w:p>
    <w:p>
      <w:pPr>
        <w:widowControl/>
      </w:pPr>
      <w:r>
        <w:rPr>
          <w:b w:val="0"/>
          <w:i w:val="0"/>
        </w:rPr>
        <w:t xml:space="preserve">To separate or sever, physically, causally or in subsistence according to context. A bodily composite can lose its form; the separate soul cannot be divided from its own essence as if it were an attached part. References: </w:t>
      </w:r>
      <w:hyperlink w:anchor="passage-v-4-3">
        <w:r>
          <w:rPr>
            <w:color w:val="000000"/>
          </w:rPr>
          <w:t xml:space="preserve">V.4.3</w:t>
        </w:r>
      </w:hyperlink>
      <w:r>
        <w:rPr>
          <w:b w:val="0"/>
          <w:i w:val="0"/>
        </w:rPr>
        <w:t xml:space="preserve">, </w:t>
      </w:r>
      <w:hyperlink w:anchor="passage-v-7-2">
        <w:r>
          <w:rPr>
            <w:color w:val="000000"/>
          </w:rPr>
          <w:t xml:space="preserve">V.7.2</w:t>
        </w:r>
      </w:hyperlink>
      <w:r>
        <w:rPr>
          <w:b w:val="0"/>
          <w:i w:val="0"/>
        </w:rPr>
        <w:t xml:space="preserve">, </w:t>
      </w:r>
      <w:hyperlink w:anchor="passage-v-8-2">
        <w:r>
          <w:rPr>
            <w:color w:val="000000"/>
          </w:rPr>
          <w:t xml:space="preserve">V.8.2</w:t>
        </w:r>
      </w:hyperlink>
      <w:r>
        <w:rPr>
          <w:b w:val="0"/>
          <w:i w:val="0"/>
        </w:rPr>
        <w:t xml:space="preserve">, </w:t>
      </w:r>
      <w:hyperlink w:anchor="passage-v-8-3">
        <w:r>
          <w:rPr>
            <w:color w:val="000000"/>
          </w:rPr>
          <w:t xml:space="preserve">V.8.3</w:t>
        </w:r>
      </w:hyperlink>
      <w:r>
        <w:rPr>
          <w:b w:val="0"/>
          <w:i w:val="0"/>
        </w:rPr>
        <w:t xml:space="preserve">, </w:t>
      </w:r>
      <w:hyperlink w:anchor="passage-v-8-4">
        <w:r>
          <w:rPr>
            <w:color w:val="000000"/>
          </w:rPr>
          <w:t xml:space="preserve">V.8.4</w:t>
        </w:r>
      </w:hyperlink>
      <w:r>
        <w:rPr>
          <w:b w:val="0"/>
          <w:i w:val="0"/>
        </w:rPr>
        <w:t xml:space="preserve">, </w:t>
      </w:r>
      <w:hyperlink w:anchor="passage-v-15-13">
        <w:r>
          <w:rPr>
            <w:color w:val="000000"/>
          </w:rPr>
          <w:t xml:space="preserve">V.15.13</w:t>
        </w:r>
      </w:hyperlink>
      <w:r>
        <w:rPr>
          <w:b w:val="0"/>
          <w:i w:val="0"/>
        </w:rPr>
        <w:t xml:space="preserve">, </w:t>
      </w:r>
      <w:hyperlink w:anchor="passage-v-15-15">
        <w:r>
          <w:rPr>
            <w:color w:val="000000"/>
          </w:rPr>
          <w:t xml:space="preserve">V.15.15</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1407" w:name="latin-record-1166"/>
      <w:bookmarkEnd w:id="1407"/>
      <w:r>
        <w:rPr>
          <w:b/>
          <w:i w:val="0"/>
        </w:rPr>
        <w:t>separare; sevocare</w:t>
      </w:r>
      <w:r>
        <w:rPr>
          <w:b/>
          <w:i w:val="0"/>
        </w:rPr>
        <w:t>.</w:t>
      </w:r>
      <w:r>
        <w:rPr>
          <w:b w:val="0"/>
          <w:i w:val="0"/>
        </w:rPr>
        <w:t xml:space="preserve"> Printed forms: </w:t>
      </w:r>
      <w:r>
        <w:rPr>
          <w:b w:val="0"/>
          <w:i/>
        </w:rPr>
        <w:t>pro viribus</w:t>
      </w:r>
      <w:r>
        <w:rPr>
          <w:b w:val="0"/>
          <w:i w:val="0"/>
        </w:rPr>
        <w:t xml:space="preserve">; </w:t>
      </w:r>
      <w:r>
        <w:rPr>
          <w:b w:val="0"/>
          <w:i/>
        </w:rPr>
        <w:t>separatam</w:t>
      </w:r>
      <w:r>
        <w:rPr>
          <w:b w:val="0"/>
          <w:i w:val="0"/>
        </w:rPr>
        <w:t xml:space="preserve">; </w:t>
      </w:r>
      <w:r>
        <w:rPr>
          <w:b w:val="0"/>
          <w:i/>
        </w:rPr>
        <w:t>Separati</w:t>
      </w:r>
      <w:r>
        <w:rPr>
          <w:b w:val="0"/>
          <w:i w:val="0"/>
        </w:rPr>
        <w:t xml:space="preserve">; </w:t>
      </w:r>
      <w:r>
        <w:rPr>
          <w:b w:val="0"/>
          <w:i/>
        </w:rPr>
        <w:t>sevocare</w:t>
      </w:r>
      <w:r>
        <w:rPr>
          <w:b w:val="0"/>
          <w:i w:val="0"/>
        </w:rPr>
        <w:t>.</w:t>
      </w:r>
    </w:p>
    <w:p>
      <w:pPr>
        <w:widowControl/>
      </w:pPr>
      <w:r>
        <w:rPr>
          <w:b w:val="0"/>
          <w:i w:val="0"/>
        </w:rPr>
        <w:t xml:space="preserve">To separate or withdraw, as far as one’s powers permit. The mind is withdrawn from motion, sense, affect and bodily imagination, explaining what </w:t>
      </w:r>
      <w:r>
        <w:t>“</w:t>
      </w:r>
      <w:r>
        <w:rPr>
          <w:b w:val="0"/>
          <w:i w:val="0"/>
        </w:rPr>
        <w:t>render oneself incorporeal</w:t>
      </w:r>
      <w:r>
        <w:t>”</w:t>
      </w:r>
      <w:r>
        <w:rPr>
          <w:b w:val="0"/>
          <w:i w:val="0"/>
        </w:rPr>
        <w:t xml:space="preserve"> means here. References: </w:t>
      </w:r>
      <w:hyperlink w:anchor="passage-vi-2-10">
        <w:r>
          <w:rPr>
            <w:color w:val="000000"/>
          </w:rPr>
          <w:t xml:space="preserve">VI.2.10</w:t>
        </w:r>
      </w:hyperlink>
      <w:r>
        <w:rPr>
          <w:b w:val="0"/>
          <w:i w:val="0"/>
        </w:rPr>
        <w:t xml:space="preserve">. See </w:t>
      </w:r>
      <w:hyperlink w:anchor="habit-purification-and-intellectual-experiment">
        <w:r>
          <w:rPr>
            <w:color w:val="000000"/>
          </w:rPr>
          <w:t xml:space="preserve">Habit, purification and intellectual experiment</w:t>
        </w:r>
      </w:hyperlink>
      <w:r>
        <w:rPr>
          <w:b w:val="0"/>
          <w:i w:val="0"/>
        </w:rPr>
        <w:t>.</w:t>
      </w:r>
    </w:p>
    <w:p>
      <w:pPr>
        <w:keepNext/>
        <w:widowControl/>
      </w:pPr>
      <w:bookmarkStart w:id="1408" w:name="latin-record-1167"/>
      <w:bookmarkEnd w:id="1408"/>
      <w:r>
        <w:rPr>
          <w:b/>
          <w:i w:val="0"/>
        </w:rPr>
        <w:t>sequi</w:t>
      </w:r>
      <w:r>
        <w:rPr>
          <w:b/>
          <w:i w:val="0"/>
        </w:rPr>
        <w:t>.</w:t>
      </w:r>
      <w:r>
        <w:rPr>
          <w:b w:val="0"/>
          <w:i w:val="0"/>
        </w:rPr>
        <w:t xml:space="preserve"> Printed forms: </w:t>
      </w:r>
      <w:r>
        <w:rPr>
          <w:b w:val="0"/>
          <w:i/>
        </w:rPr>
        <w:t>sequens</w:t>
      </w:r>
      <w:r>
        <w:rPr>
          <w:b w:val="0"/>
          <w:i w:val="0"/>
        </w:rPr>
        <w:t xml:space="preserve">; </w:t>
      </w:r>
      <w:r>
        <w:rPr>
          <w:b w:val="0"/>
          <w:i/>
        </w:rPr>
        <w:t>sequentibus</w:t>
      </w:r>
      <w:r>
        <w:rPr>
          <w:b w:val="0"/>
          <w:i w:val="0"/>
        </w:rPr>
        <w:t xml:space="preserve">; </w:t>
      </w:r>
      <w:r>
        <w:rPr>
          <w:b w:val="0"/>
          <w:i/>
        </w:rPr>
        <w:t>sequi</w:t>
      </w:r>
      <w:r>
        <w:rPr>
          <w:b w:val="0"/>
          <w:i w:val="0"/>
        </w:rPr>
        <w:t xml:space="preserve">; </w:t>
      </w:r>
      <w:r>
        <w:rPr>
          <w:b w:val="0"/>
          <w:i/>
        </w:rPr>
        <w:t>Sequitur</w:t>
      </w:r>
      <w:r>
        <w:rPr>
          <w:b w:val="0"/>
          <w:i w:val="0"/>
        </w:rPr>
        <w:t xml:space="preserve">; </w:t>
      </w:r>
      <w:r>
        <w:rPr>
          <w:b w:val="0"/>
          <w:i/>
        </w:rPr>
        <w:t>sequitur</w:t>
      </w:r>
      <w:r>
        <w:rPr>
          <w:b w:val="0"/>
          <w:i w:val="0"/>
        </w:rPr>
        <w:t>.</w:t>
      </w:r>
    </w:p>
    <w:p>
      <w:pPr>
        <w:widowControl/>
      </w:pPr>
      <w:r>
        <w:rPr>
          <w:b w:val="0"/>
          <w:i w:val="0"/>
        </w:rPr>
        <w:t xml:space="preserve">To follow in inference, causal order or temporal succession. The word can mark a conclusion or the dependence of being on a form’s nature; </w:t>
      </w:r>
      <w:r>
        <w:t>‘</w:t>
      </w:r>
      <w:r>
        <w:rPr>
          <w:b w:val="0"/>
          <w:i w:val="0"/>
        </w:rPr>
        <w:t>follows</w:t>
      </w:r>
      <w:r>
        <w:t>’</w:t>
      </w:r>
      <w:r>
        <w:rPr>
          <w:b w:val="0"/>
          <w:i w:val="0"/>
        </w:rPr>
        <w:t xml:space="preserve"> must not always be read as later in time. References: </w:t>
      </w:r>
      <w:hyperlink w:anchor="passage-v-4-7">
        <w:r>
          <w:rPr>
            <w:color w:val="000000"/>
          </w:rPr>
          <w:t xml:space="preserve">V.4.7</w:t>
        </w:r>
      </w:hyperlink>
      <w:r>
        <w:rPr>
          <w:b w:val="0"/>
          <w:i w:val="0"/>
        </w:rPr>
        <w:t xml:space="preserve">, </w:t>
      </w:r>
      <w:hyperlink w:anchor="passage-v-9-1">
        <w:r>
          <w:rPr>
            <w:color w:val="000000"/>
          </w:rPr>
          <w:t xml:space="preserve">V.9.1</w:t>
        </w:r>
      </w:hyperlink>
      <w:r>
        <w:rPr>
          <w:b w:val="0"/>
          <w:i w:val="0"/>
        </w:rPr>
        <w:t xml:space="preserve">, </w:t>
      </w:r>
      <w:hyperlink w:anchor="passage-v-9-2">
        <w:r>
          <w:rPr>
            <w:color w:val="000000"/>
          </w:rPr>
          <w:t xml:space="preserve">V.9.2</w:t>
        </w:r>
      </w:hyperlink>
      <w:r>
        <w:rPr>
          <w:b w:val="0"/>
          <w:i w:val="0"/>
        </w:rPr>
        <w:t xml:space="preserve">, </w:t>
      </w:r>
      <w:hyperlink w:anchor="passage-v-11-6">
        <w:r>
          <w:rPr>
            <w:color w:val="000000"/>
          </w:rPr>
          <w:t xml:space="preserve">V.11.6</w:t>
        </w:r>
      </w:hyperlink>
      <w:r>
        <w:rPr>
          <w:b w:val="0"/>
          <w:i w:val="0"/>
        </w:rPr>
        <w:t xml:space="preserve">, </w:t>
      </w:r>
      <w:hyperlink w:anchor="passage-v-13-4">
        <w:r>
          <w:rPr>
            <w:color w:val="000000"/>
          </w:rPr>
          <w:t xml:space="preserve">V.13.4</w:t>
        </w:r>
      </w:hyperlink>
      <w:r>
        <w:rPr>
          <w:b w:val="0"/>
          <w:i w:val="0"/>
        </w:rPr>
        <w:t xml:space="preserve">, </w:t>
      </w:r>
      <w:hyperlink w:anchor="passage-v-15-24">
        <w:r>
          <w:rPr>
            <w:color w:val="000000"/>
          </w:rPr>
          <w:t xml:space="preserve">V.15.24</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409" w:name="latin-record-1168"/>
      <w:bookmarkEnd w:id="1409"/>
      <w:r>
        <w:rPr>
          <w:b/>
          <w:i w:val="0"/>
        </w:rPr>
        <w:t>serenus / mobilis</w:t>
      </w:r>
      <w:r>
        <w:rPr>
          <w:b/>
          <w:i w:val="0"/>
        </w:rPr>
        <w:t>.</w:t>
      </w:r>
      <w:r>
        <w:rPr>
          <w:b w:val="0"/>
          <w:i w:val="0"/>
        </w:rPr>
        <w:t xml:space="preserve"> Printed forms: </w:t>
      </w:r>
      <w:r>
        <w:rPr>
          <w:b w:val="0"/>
          <w:i/>
        </w:rPr>
        <w:t>mobilissimum</w:t>
      </w:r>
      <w:r>
        <w:rPr>
          <w:b w:val="0"/>
          <w:i w:val="0"/>
        </w:rPr>
        <w:t xml:space="preserve">; </w:t>
      </w:r>
      <w:r>
        <w:rPr>
          <w:b w:val="0"/>
          <w:i/>
        </w:rPr>
        <w:t>serenissimum</w:t>
      </w:r>
      <w:r>
        <w:rPr>
          <w:b w:val="0"/>
          <w:i w:val="0"/>
        </w:rPr>
        <w:t>.</w:t>
      </w:r>
    </w:p>
    <w:p>
      <w:pPr>
        <w:widowControl/>
      </w:pPr>
      <w:r>
        <w:rPr>
          <w:b w:val="0"/>
          <w:i w:val="0"/>
        </w:rPr>
        <w:t xml:space="preserve">Very clear and very mobile. The qualities of the ear’s airy medium help explain its responsiveness to sound in this physiology.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410" w:name="latin-record-1169"/>
      <w:bookmarkEnd w:id="1410"/>
      <w:r>
        <w:rPr>
          <w:b/>
          <w:i w:val="0"/>
        </w:rPr>
        <w:t>servare; non esse</w:t>
      </w:r>
      <w:r>
        <w:rPr>
          <w:b/>
          <w:i w:val="0"/>
        </w:rPr>
        <w:t>.</w:t>
      </w:r>
      <w:r>
        <w:rPr>
          <w:b w:val="0"/>
          <w:i w:val="0"/>
        </w:rPr>
        <w:t xml:space="preserve"> Printed forms: </w:t>
      </w:r>
      <w:r>
        <w:rPr>
          <w:b w:val="0"/>
          <w:i/>
        </w:rPr>
        <w:t>ad non esse</w:t>
      </w:r>
      <w:r>
        <w:rPr>
          <w:b w:val="0"/>
          <w:i w:val="0"/>
        </w:rPr>
        <w:t xml:space="preserve">; </w:t>
      </w:r>
      <w:r>
        <w:rPr>
          <w:b w:val="0"/>
          <w:i/>
        </w:rPr>
        <w:t>se ipsam servandam</w:t>
      </w:r>
      <w:r>
        <w:rPr>
          <w:b w:val="0"/>
          <w:i w:val="0"/>
        </w:rPr>
        <w:t>.</w:t>
      </w:r>
    </w:p>
    <w:p>
      <w:pPr>
        <w:widowControl/>
      </w:pPr>
      <w:r>
        <w:rPr>
          <w:b w:val="0"/>
          <w:i w:val="0"/>
        </w:rPr>
        <w:t xml:space="preserve">Servare means to preserve; non esse means not to be or nonbeing. The opposition grounds the argument against bodily self-corruption and should not be mistaken for a medical denial of self-destructive processes. References: </w:t>
      </w:r>
      <w:hyperlink w:anchor="passage-vi-12-14">
        <w:r>
          <w:rPr>
            <w:color w:val="000000"/>
          </w:rPr>
          <w:t xml:space="preserve">VI.12.14</w:t>
        </w:r>
      </w:hyperlink>
      <w:r>
        <w:rPr>
          <w:b w:val="0"/>
          <w:i w:val="0"/>
        </w:rPr>
        <w:t xml:space="preserve">. See </w:t>
      </w:r>
      <w:hyperlink w:anchor="generation-corruption-and-self-preservation">
        <w:r>
          <w:rPr>
            <w:color w:val="000000"/>
          </w:rPr>
          <w:t xml:space="preserve">Generation, corruption and self-preservation</w:t>
        </w:r>
      </w:hyperlink>
      <w:r>
        <w:rPr>
          <w:b w:val="0"/>
          <w:i w:val="0"/>
        </w:rPr>
        <w:t>.</w:t>
      </w:r>
    </w:p>
    <w:p>
      <w:pPr>
        <w:keepNext/>
        <w:widowControl/>
      </w:pPr>
      <w:bookmarkStart w:id="1411" w:name="latin-record-1170"/>
      <w:bookmarkEnd w:id="1411"/>
      <w:r>
        <w:rPr>
          <w:b/>
          <w:i w:val="0"/>
        </w:rPr>
        <w:t>si; sin; nisi; licet</w:t>
      </w:r>
      <w:r>
        <w:rPr>
          <w:b/>
          <w:i w:val="0"/>
        </w:rPr>
        <w:t>.</w:t>
      </w:r>
      <w:r>
        <w:rPr>
          <w:b w:val="0"/>
          <w:i w:val="0"/>
        </w:rPr>
        <w:t xml:space="preserve"> Printed forms: </w:t>
      </w:r>
      <w:r>
        <w:rPr>
          <w:b w:val="0"/>
          <w:i/>
        </w:rPr>
        <w:t>licet</w:t>
      </w:r>
      <w:r>
        <w:rPr>
          <w:b w:val="0"/>
          <w:i w:val="0"/>
        </w:rPr>
        <w:t xml:space="preserve">; </w:t>
      </w:r>
      <w:r>
        <w:rPr>
          <w:b w:val="0"/>
          <w:i/>
        </w:rPr>
        <w:t>nisi</w:t>
      </w:r>
      <w:r>
        <w:rPr>
          <w:b w:val="0"/>
          <w:i w:val="0"/>
        </w:rPr>
        <w:t xml:space="preserve">; </w:t>
      </w:r>
      <w:r>
        <w:rPr>
          <w:b w:val="0"/>
          <w:i/>
        </w:rPr>
        <w:t>quamvis</w:t>
      </w:r>
      <w:r>
        <w:rPr>
          <w:b w:val="0"/>
          <w:i w:val="0"/>
        </w:rPr>
        <w:t xml:space="preserve">; </w:t>
      </w:r>
      <w:r>
        <w:rPr>
          <w:b w:val="0"/>
          <w:i/>
        </w:rPr>
        <w:t>Quamvis</w:t>
      </w:r>
      <w:r>
        <w:rPr>
          <w:b w:val="0"/>
          <w:i w:val="0"/>
        </w:rPr>
        <w:t xml:space="preserve">; </w:t>
      </w:r>
      <w:r>
        <w:rPr>
          <w:b w:val="0"/>
          <w:i/>
        </w:rPr>
        <w:t>si</w:t>
      </w:r>
      <w:r>
        <w:rPr>
          <w:b w:val="0"/>
          <w:i w:val="0"/>
        </w:rPr>
        <w:t xml:space="preserve">; </w:t>
      </w:r>
      <w:r>
        <w:rPr>
          <w:b w:val="0"/>
          <w:i/>
        </w:rPr>
        <w:t>Si</w:t>
      </w:r>
      <w:r>
        <w:rPr>
          <w:b w:val="0"/>
          <w:i w:val="0"/>
        </w:rPr>
        <w:t xml:space="preserve">; </w:t>
      </w:r>
      <w:r>
        <w:rPr>
          <w:b w:val="0"/>
          <w:i/>
        </w:rPr>
        <w:t>Sin</w:t>
      </w:r>
      <w:r>
        <w:rPr>
          <w:b w:val="0"/>
          <w:i w:val="0"/>
        </w:rPr>
        <w:t>.</w:t>
      </w:r>
    </w:p>
    <w:p>
      <w:pPr>
        <w:widowControl/>
      </w:pPr>
      <w:r>
        <w:rPr>
          <w:b w:val="0"/>
          <w:i w:val="0"/>
        </w:rPr>
        <w:t xml:space="preserve">If, but if, unless, and although: markers of conditional branches and concessions. The repeated soul-body propositions belong inside tests and reductios; granting a branch temporarily does not endorse its conclusion. References: </w:t>
      </w:r>
      <w:hyperlink w:anchor="passage-vi-1-5">
        <w:r>
          <w:rPr>
            <w:color w:val="000000"/>
          </w:rPr>
          <w:t xml:space="preserve">VI.1.5</w:t>
        </w:r>
      </w:hyperlink>
      <w:r>
        <w:rPr>
          <w:b w:val="0"/>
          <w:i w:val="0"/>
        </w:rPr>
        <w:t xml:space="preserve">, </w:t>
      </w:r>
      <w:hyperlink w:anchor="passage-vi-2-6">
        <w:r>
          <w:rPr>
            <w:color w:val="000000"/>
          </w:rPr>
          <w:t xml:space="preserve">VI.2.6</w:t>
        </w:r>
      </w:hyperlink>
      <w:r>
        <w:rPr>
          <w:b w:val="0"/>
          <w:i w:val="0"/>
        </w:rPr>
        <w:t xml:space="preserve">, </w:t>
      </w:r>
      <w:hyperlink w:anchor="passage-vi-4-4">
        <w:r>
          <w:rPr>
            <w:color w:val="000000"/>
          </w:rPr>
          <w:t xml:space="preserve">VI.4.4</w:t>
        </w:r>
      </w:hyperlink>
      <w:r>
        <w:rPr>
          <w:b w:val="0"/>
          <w:i w:val="0"/>
        </w:rPr>
        <w:t xml:space="preserve">, </w:t>
      </w:r>
      <w:hyperlink w:anchor="passage-vi-8-4">
        <w:r>
          <w:rPr>
            <w:color w:val="000000"/>
          </w:rPr>
          <w:t xml:space="preserve">VI.8.4</w:t>
        </w:r>
      </w:hyperlink>
      <w:r>
        <w:rPr>
          <w:b w:val="0"/>
          <w:i w:val="0"/>
        </w:rPr>
        <w:t xml:space="preserve">, </w:t>
      </w:r>
      <w:hyperlink w:anchor="passage-vi-9-1">
        <w:r>
          <w:rPr>
            <w:color w:val="000000"/>
          </w:rPr>
          <w:t xml:space="preserve">VI.9.1</w:t>
        </w:r>
      </w:hyperlink>
      <w:r>
        <w:rPr>
          <w:b w:val="0"/>
          <w:i w:val="0"/>
        </w:rPr>
        <w:t xml:space="preserve">, </w:t>
      </w:r>
      <w:hyperlink w:anchor="passage-vi-13-1">
        <w:r>
          <w:rPr>
            <w:color w:val="000000"/>
          </w:rPr>
          <w:t xml:space="preserve">VI.13.1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412" w:name="latin-record-1171"/>
      <w:bookmarkEnd w:id="1412"/>
      <w:r>
        <w:rPr>
          <w:b/>
          <w:i w:val="0"/>
        </w:rPr>
        <w:t>siccitas</w:t>
      </w:r>
      <w:r>
        <w:rPr>
          <w:b/>
          <w:i w:val="0"/>
        </w:rPr>
        <w:t>.</w:t>
      </w:r>
      <w:r>
        <w:rPr>
          <w:b w:val="0"/>
          <w:i w:val="0"/>
        </w:rPr>
        <w:t xml:space="preserve"> Printed forms: </w:t>
      </w:r>
      <w:r>
        <w:rPr>
          <w:b w:val="0"/>
          <w:i/>
        </w:rPr>
        <w:t>siccitas</w:t>
      </w:r>
      <w:r>
        <w:rPr>
          <w:b w:val="0"/>
          <w:i w:val="0"/>
        </w:rPr>
        <w:t xml:space="preserve">; </w:t>
      </w:r>
      <w:r>
        <w:rPr>
          <w:b w:val="0"/>
          <w:i/>
        </w:rPr>
        <w:t>siccitatem</w:t>
      </w:r>
      <w:r>
        <w:rPr>
          <w:b w:val="0"/>
          <w:i w:val="0"/>
        </w:rPr>
        <w:t>.</w:t>
      </w:r>
    </w:p>
    <w:p>
      <w:pPr>
        <w:widowControl/>
      </w:pPr>
      <w:r>
        <w:rPr>
          <w:b w:val="0"/>
          <w:i w:val="0"/>
        </w:rPr>
        <w:t xml:space="preserve">Dryness, opposed to moisture in the elemental example. Its acquisition during the passage from air to fire shows one quality replacing another without destroying matter. References: </w:t>
      </w:r>
      <w:hyperlink w:anchor="passage-v-4-1">
        <w:r>
          <w:rPr>
            <w:color w:val="000000"/>
          </w:rPr>
          <w:t xml:space="preserve">V.4.1</w:t>
        </w:r>
      </w:hyperlink>
      <w:r>
        <w:rPr>
          <w:b w:val="0"/>
          <w:i w:val="0"/>
        </w:rPr>
        <w:t xml:space="preserve">, </w:t>
      </w:r>
      <w:hyperlink w:anchor="passage-v-4-4">
        <w:r>
          <w:rPr>
            <w:color w:val="000000"/>
          </w:rPr>
          <w:t xml:space="preserve">V.4.4</w:t>
        </w:r>
      </w:hyperlink>
      <w:r>
        <w:rPr>
          <w:b w:val="0"/>
          <w:i w:val="0"/>
        </w:rPr>
        <w:t xml:space="preserve">, </w:t>
      </w:r>
      <w:hyperlink w:anchor="passage-v-14-3">
        <w:r>
          <w:rPr>
            <w:color w:val="000000"/>
          </w:rPr>
          <w:t xml:space="preserve">V.14.3</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413" w:name="latin-record-1172"/>
      <w:bookmarkEnd w:id="1413"/>
      <w:r>
        <w:rPr>
          <w:b/>
          <w:i w:val="0"/>
        </w:rPr>
        <w:t>sigillum</w:t>
      </w:r>
      <w:r>
        <w:rPr>
          <w:b/>
          <w:i w:val="0"/>
        </w:rPr>
        <w:t>.</w:t>
      </w:r>
      <w:r>
        <w:rPr>
          <w:b w:val="0"/>
          <w:i w:val="0"/>
        </w:rPr>
        <w:t xml:space="preserve"> Printed forms: </w:t>
      </w:r>
      <w:r>
        <w:rPr>
          <w:b w:val="0"/>
          <w:i/>
        </w:rPr>
        <w:t>sigillo</w:t>
      </w:r>
      <w:r>
        <w:rPr>
          <w:b w:val="0"/>
          <w:i w:val="0"/>
        </w:rPr>
        <w:t>.</w:t>
      </w:r>
    </w:p>
    <w:p>
      <w:pPr>
        <w:widowControl/>
      </w:pPr>
      <w:r>
        <w:rPr>
          <w:b w:val="0"/>
          <w:i w:val="0"/>
        </w:rPr>
        <w:t xml:space="preserve">A seal supplying an impressed model. Returning an impression toward complete conformity with its seal restores it, illustrating the soul’s confirmation by its Idea. References: </w:t>
      </w:r>
      <w:hyperlink w:anchor="passage-v-11-6">
        <w:r>
          <w:rPr>
            <w:color w:val="000000"/>
          </w:rPr>
          <w:t xml:space="preserve">V.11.6</w:t>
        </w:r>
      </w:hyperlink>
      <w:r>
        <w:rPr>
          <w:b w:val="0"/>
          <w:i w:val="0"/>
        </w:rPr>
        <w:t xml:space="preserve">. See </w:t>
      </w:r>
      <w:hyperlink w:anchor="seal-wax-and-restoration">
        <w:r>
          <w:rPr>
            <w:color w:val="000000"/>
          </w:rPr>
          <w:t xml:space="preserve">Seal, wax and restoration</w:t>
        </w:r>
      </w:hyperlink>
      <w:r>
        <w:rPr>
          <w:b w:val="0"/>
          <w:i w:val="0"/>
        </w:rPr>
        <w:t>.</w:t>
      </w:r>
    </w:p>
    <w:p>
      <w:pPr>
        <w:widowControl/>
      </w:pPr>
      <w:r>
        <w:rPr>
          <w:b w:val="0"/>
          <w:i w:val="0"/>
        </w:rPr>
        <w:t xml:space="preserve">A seal or stamping device. The seal’s image cannot be impressed in wax as a figure exceeding its receiver’s size.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414" w:name="latin-record-1173"/>
      <w:bookmarkEnd w:id="1414"/>
      <w:r>
        <w:rPr>
          <w:b/>
          <w:i w:val="0"/>
        </w:rPr>
        <w:t>significatio / vox</w:t>
      </w:r>
      <w:r>
        <w:rPr>
          <w:b/>
          <w:i w:val="0"/>
        </w:rPr>
        <w:t>.</w:t>
      </w:r>
      <w:r>
        <w:rPr>
          <w:b w:val="0"/>
          <w:i w:val="0"/>
        </w:rPr>
        <w:t xml:space="preserve"> Printed forms: </w:t>
      </w:r>
      <w:r>
        <w:rPr>
          <w:b w:val="0"/>
          <w:i/>
        </w:rPr>
        <w:t>significatio</w:t>
      </w:r>
      <w:r>
        <w:rPr>
          <w:b w:val="0"/>
          <w:i w:val="0"/>
        </w:rPr>
        <w:t xml:space="preserve">; </w:t>
      </w:r>
      <w:r>
        <w:rPr>
          <w:b w:val="0"/>
          <w:i/>
        </w:rPr>
        <w:t>significationem</w:t>
      </w:r>
      <w:r>
        <w:rPr>
          <w:b w:val="0"/>
          <w:i w:val="0"/>
        </w:rPr>
        <w:t xml:space="preserve">; </w:t>
      </w:r>
      <w:r>
        <w:rPr>
          <w:b w:val="0"/>
          <w:i/>
        </w:rPr>
        <w:t>Significationes</w:t>
      </w:r>
      <w:r>
        <w:rPr>
          <w:b w:val="0"/>
          <w:i w:val="0"/>
        </w:rPr>
        <w:t xml:space="preserve">; </w:t>
      </w:r>
      <w:r>
        <w:rPr>
          <w:b w:val="0"/>
          <w:i/>
        </w:rPr>
        <w:t>significationes</w:t>
      </w:r>
      <w:r>
        <w:rPr>
          <w:b w:val="0"/>
          <w:i w:val="0"/>
        </w:rPr>
        <w:t xml:space="preserve">; </w:t>
      </w:r>
      <w:r>
        <w:rPr>
          <w:b w:val="0"/>
          <w:i/>
        </w:rPr>
        <w:t>vocum</w:t>
      </w:r>
      <w:r>
        <w:rPr>
          <w:b w:val="0"/>
          <w:i w:val="0"/>
        </w:rPr>
        <w:t xml:space="preserve">; </w:t>
      </w:r>
      <w:r>
        <w:rPr>
          <w:b w:val="0"/>
          <w:i/>
        </w:rPr>
        <w:t>vox</w:t>
      </w:r>
      <w:r>
        <w:rPr>
          <w:b w:val="0"/>
          <w:i w:val="0"/>
        </w:rPr>
        <w:t>.</w:t>
      </w:r>
    </w:p>
    <w:p>
      <w:pPr>
        <w:widowControl/>
      </w:pPr>
      <w:r>
        <w:rPr>
          <w:b w:val="0"/>
          <w:i w:val="0"/>
        </w:rPr>
        <w:t xml:space="preserve">Meaning and voiced sound. Meanings are transmitted through souls; in the Lucifer analogy, divisible sound plays body while meaning plays soul. References: </w:t>
      </w:r>
      <w:hyperlink w:anchor="passage-vii-1-3">
        <w:r>
          <w:rPr>
            <w:color w:val="000000"/>
          </w:rPr>
          <w:t xml:space="preserve">VII.1.3</w:t>
        </w:r>
      </w:hyperlink>
      <w:r>
        <w:rPr>
          <w:b w:val="0"/>
          <w:i w:val="0"/>
        </w:rPr>
        <w:t xml:space="preserve">, </w:t>
      </w:r>
      <w:hyperlink w:anchor="passage-vii-5-4">
        <w:r>
          <w:rPr>
            <w:color w:val="000000"/>
          </w:rPr>
          <w:t xml:space="preserve">VII.5.4</w:t>
        </w:r>
      </w:hyperlink>
      <w:r>
        <w:rPr>
          <w:b w:val="0"/>
          <w:i w:val="0"/>
        </w:rPr>
        <w:t xml:space="preserve">. See </w:t>
      </w:r>
      <w:hyperlink w:anchor="vii-lucifer-meaning">
        <w:r>
          <w:rPr>
            <w:color w:val="000000"/>
          </w:rPr>
          <w:t xml:space="preserve">Lucifer and indivisible meaning</w:t>
        </w:r>
      </w:hyperlink>
      <w:r>
        <w:rPr>
          <w:b w:val="0"/>
          <w:i w:val="0"/>
        </w:rPr>
        <w:t>.</w:t>
      </w:r>
    </w:p>
    <w:p>
      <w:pPr>
        <w:keepNext/>
        <w:widowControl/>
      </w:pPr>
      <w:bookmarkStart w:id="1415" w:name="latin-record-1174"/>
      <w:bookmarkEnd w:id="1415"/>
      <w:r>
        <w:rPr>
          <w:b/>
          <w:i w:val="0"/>
        </w:rPr>
        <w:t>simia / asinus / ingenium</w:t>
      </w:r>
      <w:r>
        <w:rPr>
          <w:b/>
          <w:i w:val="0"/>
        </w:rPr>
        <w:t>.</w:t>
      </w:r>
      <w:r>
        <w:rPr>
          <w:b w:val="0"/>
          <w:i w:val="0"/>
        </w:rPr>
        <w:t xml:space="preserve"> Printed forms: </w:t>
      </w:r>
      <w:r>
        <w:rPr>
          <w:b w:val="0"/>
          <w:i/>
        </w:rPr>
        <w:t>asino</w:t>
      </w:r>
      <w:r>
        <w:rPr>
          <w:b w:val="0"/>
          <w:i w:val="0"/>
        </w:rPr>
        <w:t xml:space="preserve">; </w:t>
      </w:r>
      <w:r>
        <w:rPr>
          <w:b w:val="0"/>
          <w:i/>
        </w:rPr>
        <w:t>ingeniosior</w:t>
      </w:r>
      <w:r>
        <w:rPr>
          <w:b w:val="0"/>
          <w:i w:val="0"/>
        </w:rPr>
        <w:t xml:space="preserve">; </w:t>
      </w:r>
      <w:r>
        <w:rPr>
          <w:b w:val="0"/>
          <w:i/>
        </w:rPr>
        <w:t>simia</w:t>
      </w:r>
      <w:r>
        <w:rPr>
          <w:b w:val="0"/>
          <w:i w:val="0"/>
        </w:rPr>
        <w:t>.</w:t>
      </w:r>
    </w:p>
    <w:p>
      <w:pPr>
        <w:widowControl/>
      </w:pPr>
      <w:r>
        <w:rPr>
          <w:b w:val="0"/>
          <w:i w:val="0"/>
        </w:rPr>
        <w:t xml:space="preserve">Ape and ass contrasted in ingenuity. This is another counterexample to a necessary positive correlation between bodily bulk and cognitive aptitude.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1416" w:name="latin-record-1175"/>
      <w:bookmarkEnd w:id="1416"/>
      <w:r>
        <w:rPr>
          <w:b/>
          <w:i w:val="0"/>
        </w:rPr>
        <w:t>similis; idem</w:t>
      </w:r>
      <w:r>
        <w:rPr>
          <w:b/>
          <w:i w:val="0"/>
        </w:rPr>
        <w:t>.</w:t>
      </w:r>
      <w:r>
        <w:rPr>
          <w:b w:val="0"/>
          <w:i w:val="0"/>
        </w:rPr>
        <w:t xml:space="preserve"> Printed forms: </w:t>
      </w:r>
      <w:r>
        <w:rPr>
          <w:b w:val="0"/>
          <w:i/>
        </w:rPr>
        <w:t>eadem</w:t>
      </w:r>
      <w:r>
        <w:rPr>
          <w:b w:val="0"/>
          <w:i w:val="0"/>
        </w:rPr>
        <w:t xml:space="preserve">; </w:t>
      </w:r>
      <w:r>
        <w:rPr>
          <w:b w:val="0"/>
          <w:i/>
        </w:rPr>
        <w:t>earundem</w:t>
      </w:r>
      <w:r>
        <w:rPr>
          <w:b w:val="0"/>
          <w:i w:val="0"/>
        </w:rPr>
        <w:t xml:space="preserve">; </w:t>
      </w:r>
      <w:r>
        <w:rPr>
          <w:b w:val="0"/>
          <w:i/>
        </w:rPr>
        <w:t>eiusdem</w:t>
      </w:r>
      <w:r>
        <w:rPr>
          <w:b w:val="0"/>
          <w:i w:val="0"/>
        </w:rPr>
        <w:t xml:space="preserve">; </w:t>
      </w:r>
      <w:r>
        <w:rPr>
          <w:b w:val="0"/>
          <w:i/>
        </w:rPr>
        <w:t>idem</w:t>
      </w:r>
      <w:r>
        <w:rPr>
          <w:b w:val="0"/>
          <w:i w:val="0"/>
        </w:rPr>
        <w:t xml:space="preserve">; </w:t>
      </w:r>
      <w:r>
        <w:rPr>
          <w:b w:val="0"/>
          <w:i/>
        </w:rPr>
        <w:t>iisdem</w:t>
      </w:r>
      <w:r>
        <w:rPr>
          <w:b w:val="0"/>
          <w:i w:val="0"/>
        </w:rPr>
        <w:t xml:space="preserve">; </w:t>
      </w:r>
      <w:r>
        <w:rPr>
          <w:b w:val="0"/>
          <w:i/>
        </w:rPr>
        <w:t>simile</w:t>
      </w:r>
      <w:r>
        <w:rPr>
          <w:b w:val="0"/>
          <w:i w:val="0"/>
        </w:rPr>
        <w:t xml:space="preserve">; </w:t>
      </w:r>
      <w:r>
        <w:rPr>
          <w:b w:val="0"/>
          <w:i/>
        </w:rPr>
        <w:t>similem</w:t>
      </w:r>
      <w:r>
        <w:rPr>
          <w:b w:val="0"/>
          <w:i w:val="0"/>
        </w:rPr>
        <w:t xml:space="preserve">; </w:t>
      </w:r>
      <w:r>
        <w:rPr>
          <w:b w:val="0"/>
          <w:i/>
        </w:rPr>
        <w:t>similes</w:t>
      </w:r>
      <w:r>
        <w:rPr>
          <w:b w:val="0"/>
          <w:i w:val="0"/>
        </w:rPr>
        <w:t xml:space="preserve">; </w:t>
      </w:r>
      <w:r>
        <w:rPr>
          <w:b w:val="0"/>
          <w:i/>
        </w:rPr>
        <w:t>similia</w:t>
      </w:r>
      <w:r>
        <w:rPr>
          <w:b w:val="0"/>
          <w:i w:val="0"/>
        </w:rPr>
        <w:t xml:space="preserve">; </w:t>
      </w:r>
      <w:r>
        <w:rPr>
          <w:b w:val="0"/>
          <w:i/>
        </w:rPr>
        <w:t>similis</w:t>
      </w:r>
      <w:r>
        <w:rPr>
          <w:b w:val="0"/>
          <w:i w:val="0"/>
        </w:rPr>
        <w:t xml:space="preserve">; </w:t>
      </w:r>
      <w:r>
        <w:rPr>
          <w:b w:val="0"/>
          <w:i/>
        </w:rPr>
        <w:t>similiter</w:t>
      </w:r>
      <w:r>
        <w:rPr>
          <w:b w:val="0"/>
          <w:i w:val="0"/>
        </w:rPr>
        <w:t>.</w:t>
      </w:r>
    </w:p>
    <w:p>
      <w:pPr>
        <w:widowControl/>
      </w:pPr>
      <w:r>
        <w:rPr>
          <w:b w:val="0"/>
          <w:i w:val="0"/>
        </w:rPr>
        <w:t xml:space="preserve">Similar and the same, with the distinction between resemblance and numerical identity decisive locally. Reproduced bodily figures may resemble their predecessors without being numerically identical; the memory argument asks for an enduring receiver, not only a similar successor. References: </w:t>
      </w:r>
      <w:hyperlink w:anchor="passage-vi-2-2">
        <w:r>
          <w:rPr>
            <w:color w:val="000000"/>
          </w:rPr>
          <w:t xml:space="preserve">VI.2.2</w:t>
        </w:r>
      </w:hyperlink>
      <w:r>
        <w:rPr>
          <w:b w:val="0"/>
          <w:i w:val="0"/>
        </w:rPr>
        <w:t xml:space="preserve">, </w:t>
      </w:r>
      <w:hyperlink w:anchor="passage-vi-8-2">
        <w:r>
          <w:rPr>
            <w:color w:val="000000"/>
          </w:rPr>
          <w:t xml:space="preserve">VI.8.2</w:t>
        </w:r>
      </w:hyperlink>
      <w:r>
        <w:rPr>
          <w:b w:val="0"/>
          <w:i w:val="0"/>
        </w:rPr>
        <w:t xml:space="preserve">, </w:t>
      </w:r>
      <w:hyperlink w:anchor="passage-vi-9-1">
        <w:r>
          <w:rPr>
            <w:color w:val="000000"/>
          </w:rPr>
          <w:t xml:space="preserve">VI.9.1</w:t>
        </w:r>
      </w:hyperlink>
      <w:r>
        <w:rPr>
          <w:b w:val="0"/>
          <w:i w:val="0"/>
        </w:rPr>
        <w:t xml:space="preserve">, </w:t>
      </w:r>
      <w:hyperlink w:anchor="passage-vi-13-3">
        <w:r>
          <w:rPr>
            <w:color w:val="000000"/>
          </w:rPr>
          <w:t xml:space="preserve">VI.13.3</w:t>
        </w:r>
      </w:hyperlink>
      <w:r>
        <w:rPr>
          <w:b w:val="0"/>
          <w:i w:val="0"/>
        </w:rPr>
        <w:t xml:space="preserve">, </w:t>
      </w:r>
      <w:hyperlink w:anchor="passage-vi-13-6">
        <w:r>
          <w:rPr>
            <w:color w:val="000000"/>
          </w:rPr>
          <w:t xml:space="preserve">VI.13.6</w:t>
        </w:r>
      </w:hyperlink>
      <w:r>
        <w:rPr>
          <w:b w:val="0"/>
          <w:i w:val="0"/>
        </w:rPr>
        <w:t xml:space="preserve">, </w:t>
      </w:r>
      <w:hyperlink w:anchor="passage-vi-13-9">
        <w:r>
          <w:rPr>
            <w:color w:val="000000"/>
          </w:rPr>
          <w:t xml:space="preserve">VI.13.9</w:t>
        </w:r>
      </w:hyperlink>
      <w:r>
        <w:rPr>
          <w:b w:val="0"/>
          <w:i w:val="0"/>
        </w:rPr>
        <w:t xml:space="preserve">, </w:t>
      </w:r>
      <w:hyperlink w:anchor="passage-vi-13-10">
        <w:r>
          <w:rPr>
            <w:color w:val="000000"/>
          </w:rPr>
          <w:t xml:space="preserve">VI.13.10</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1417" w:name="latin-record-1176"/>
      <w:bookmarkEnd w:id="1417"/>
      <w:r>
        <w:rPr>
          <w:b/>
          <w:i w:val="0"/>
        </w:rPr>
        <w:t>similitudo</w:t>
      </w:r>
      <w:r>
        <w:rPr>
          <w:b/>
          <w:i w:val="0"/>
        </w:rPr>
        <w:t>.</w:t>
      </w:r>
      <w:r>
        <w:rPr>
          <w:b w:val="0"/>
          <w:i w:val="0"/>
        </w:rPr>
        <w:t xml:space="preserve"> Printed forms: </w:t>
      </w:r>
      <w:r>
        <w:rPr>
          <w:b w:val="0"/>
          <w:i/>
        </w:rPr>
        <w:t>dissimiles</w:t>
      </w:r>
      <w:r>
        <w:rPr>
          <w:b w:val="0"/>
          <w:i w:val="0"/>
        </w:rPr>
        <w:t xml:space="preserve">; </w:t>
      </w:r>
      <w:r>
        <w:rPr>
          <w:b w:val="0"/>
          <w:i/>
        </w:rPr>
        <w:t>dissimillimas</w:t>
      </w:r>
      <w:r>
        <w:rPr>
          <w:b w:val="0"/>
          <w:i w:val="0"/>
        </w:rPr>
        <w:t xml:space="preserve">; </w:t>
      </w:r>
      <w:r>
        <w:rPr>
          <w:b w:val="0"/>
          <w:i/>
        </w:rPr>
        <w:t>simile</w:t>
      </w:r>
      <w:r>
        <w:rPr>
          <w:b w:val="0"/>
          <w:i w:val="0"/>
        </w:rPr>
        <w:t xml:space="preserve">; </w:t>
      </w:r>
      <w:r>
        <w:rPr>
          <w:b w:val="0"/>
          <w:i/>
        </w:rPr>
        <w:t>similes</w:t>
      </w:r>
      <w:r>
        <w:rPr>
          <w:b w:val="0"/>
          <w:i w:val="0"/>
        </w:rPr>
        <w:t xml:space="preserve">; </w:t>
      </w:r>
      <w:r>
        <w:rPr>
          <w:b w:val="0"/>
          <w:i/>
        </w:rPr>
        <w:t>similis</w:t>
      </w:r>
      <w:r>
        <w:rPr>
          <w:b w:val="0"/>
          <w:i w:val="0"/>
        </w:rPr>
        <w:t xml:space="preserve">; </w:t>
      </w:r>
      <w:r>
        <w:rPr>
          <w:b w:val="0"/>
          <w:i/>
        </w:rPr>
        <w:t>similitudine</w:t>
      </w:r>
      <w:r>
        <w:rPr>
          <w:b w:val="0"/>
          <w:i w:val="0"/>
        </w:rPr>
        <w:t xml:space="preserve">; </w:t>
      </w:r>
      <w:r>
        <w:rPr>
          <w:b w:val="0"/>
          <w:i/>
        </w:rPr>
        <w:t>similitudinem</w:t>
      </w:r>
      <w:r>
        <w:rPr>
          <w:b w:val="0"/>
          <w:i w:val="0"/>
        </w:rPr>
        <w:t xml:space="preserve">; </w:t>
      </w:r>
      <w:r>
        <w:rPr>
          <w:b w:val="0"/>
          <w:i/>
        </w:rPr>
        <w:t>similitudinemque</w:t>
      </w:r>
      <w:r>
        <w:rPr>
          <w:b w:val="0"/>
          <w:i w:val="0"/>
        </w:rPr>
        <w:t xml:space="preserve">; </w:t>
      </w:r>
      <w:r>
        <w:rPr>
          <w:b w:val="0"/>
          <w:i/>
        </w:rPr>
        <w:t>simillima</w:t>
      </w:r>
      <w:r>
        <w:rPr>
          <w:b w:val="0"/>
          <w:i w:val="0"/>
        </w:rPr>
        <w:t xml:space="preserve">; </w:t>
      </w:r>
      <w:r>
        <w:rPr>
          <w:b w:val="0"/>
          <w:i/>
        </w:rPr>
        <w:t>simillimas</w:t>
      </w:r>
      <w:r>
        <w:rPr>
          <w:b w:val="0"/>
          <w:i w:val="0"/>
        </w:rPr>
        <w:t>.</w:t>
      </w:r>
    </w:p>
    <w:p>
      <w:pPr>
        <w:widowControl/>
      </w:pPr>
      <w:r>
        <w:rPr>
          <w:b w:val="0"/>
          <w:i w:val="0"/>
        </w:rPr>
        <w:t xml:space="preserve">Likeness, the resemblance by which an image or effect answers to a source. The bronze figure resembles its model, and the relation to God in V.10 is expressed through formal likeness. References: </w:t>
      </w:r>
      <w:hyperlink w:anchor="passage-v-8-1">
        <w:r>
          <w:rPr>
            <w:color w:val="000000"/>
          </w:rPr>
          <w:t xml:space="preserve">V.8.1</w:t>
        </w:r>
      </w:hyperlink>
      <w:r>
        <w:rPr>
          <w:b w:val="0"/>
          <w:i w:val="0"/>
        </w:rPr>
        <w:t xml:space="preserve">, </w:t>
      </w:r>
      <w:hyperlink w:anchor="passage-v-10-1">
        <w:r>
          <w:rPr>
            <w:color w:val="000000"/>
          </w:rPr>
          <w:t xml:space="preserve">V.10.1</w:t>
        </w:r>
      </w:hyperlink>
      <w:r>
        <w:rPr>
          <w:b w:val="0"/>
          <w:i w:val="0"/>
        </w:rPr>
        <w:t xml:space="preserve">. See </w:t>
      </w:r>
      <w:hyperlink w:anchor="image-shadow-and-ranked-truth">
        <w:r>
          <w:rPr>
            <w:color w:val="000000"/>
          </w:rPr>
          <w:t xml:space="preserve">Image, shadow and ranked truth</w:t>
        </w:r>
      </w:hyperlink>
      <w:r>
        <w:rPr>
          <w:b w:val="0"/>
          <w:i w:val="0"/>
        </w:rPr>
        <w:t>.</w:t>
      </w:r>
    </w:p>
    <w:p>
      <w:pPr>
        <w:widowControl/>
      </w:pPr>
      <w:r>
        <w:rPr>
          <w:b w:val="0"/>
          <w:i w:val="0"/>
        </w:rPr>
        <w:t xml:space="preserve">Likeness or resemblance, whose role can be representational, causal or comparative. Shared likeness supports comparison, but perfectly similar hypothetical parts create redundancy rather than an articulated account of a whole. References: </w:t>
      </w:r>
      <w:hyperlink w:anchor="passage-viii-1-2">
        <w:r>
          <w:rPr>
            <w:color w:val="000000"/>
          </w:rPr>
          <w:t xml:space="preserve">VIII.1.2</w:t>
        </w:r>
      </w:hyperlink>
      <w:r>
        <w:rPr>
          <w:b w:val="0"/>
          <w:i w:val="0"/>
        </w:rPr>
        <w:t xml:space="preserve">, </w:t>
      </w:r>
      <w:hyperlink w:anchor="passage-viii-2-3">
        <w:r>
          <w:rPr>
            <w:color w:val="000000"/>
          </w:rPr>
          <w:t xml:space="preserve">VIII.2.3</w:t>
        </w:r>
      </w:hyperlink>
      <w:r>
        <w:rPr>
          <w:b w:val="0"/>
          <w:i w:val="0"/>
        </w:rPr>
        <w:t xml:space="preserve">, </w:t>
      </w:r>
      <w:hyperlink w:anchor="passage-viii-2-5">
        <w:r>
          <w:rPr>
            <w:color w:val="000000"/>
          </w:rPr>
          <w:t xml:space="preserve">VIII.2.5</w:t>
        </w:r>
      </w:hyperlink>
      <w:r>
        <w:rPr>
          <w:b w:val="0"/>
          <w:i w:val="0"/>
        </w:rPr>
        <w:t xml:space="preserve">, </w:t>
      </w:r>
      <w:hyperlink w:anchor="passage-viii-4-3">
        <w:r>
          <w:rPr>
            <w:color w:val="000000"/>
          </w:rPr>
          <w:t xml:space="preserve">VIII.4.3</w:t>
        </w:r>
      </w:hyperlink>
      <w:r>
        <w:rPr>
          <w:b w:val="0"/>
          <w:i w:val="0"/>
        </w:rPr>
        <w:t xml:space="preserve">, </w:t>
      </w:r>
      <w:hyperlink w:anchor="passage-viii-4-4">
        <w:r>
          <w:rPr>
            <w:color w:val="000000"/>
          </w:rPr>
          <w:t xml:space="preserve">VIII.4.4</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w:t>
      </w:r>
      <w:hyperlink w:anchor="passage-viii-14-1">
        <w:r>
          <w:rPr>
            <w:color w:val="000000"/>
          </w:rPr>
          <w:t xml:space="preserve">VIII.14.1</w:t>
        </w:r>
      </w:hyperlink>
      <w:r>
        <w:rPr>
          <w:b w:val="0"/>
          <w:i w:val="0"/>
        </w:rPr>
        <w:t xml:space="preserve">, </w:t>
      </w:r>
      <w:hyperlink w:anchor="passage-viii-16-4">
        <w:r>
          <w:rPr>
            <w:color w:val="000000"/>
          </w:rPr>
          <w:t xml:space="preserve">VIII.16.4</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418" w:name="latin-record-1177"/>
      <w:bookmarkEnd w:id="1418"/>
      <w:r>
        <w:rPr>
          <w:b/>
          <w:i w:val="0"/>
        </w:rPr>
        <w:t>simplex</w:t>
      </w:r>
      <w:r>
        <w:rPr>
          <w:b/>
          <w:i w:val="0"/>
        </w:rPr>
        <w:t>.</w:t>
      </w:r>
      <w:r>
        <w:rPr>
          <w:b w:val="0"/>
          <w:i w:val="0"/>
        </w:rPr>
        <w:t xml:space="preserve"> Printed forms: </w:t>
      </w:r>
      <w:r>
        <w:rPr>
          <w:b w:val="0"/>
          <w:i/>
        </w:rPr>
        <w:t>Simplex</w:t>
      </w:r>
      <w:r>
        <w:rPr>
          <w:b w:val="0"/>
          <w:i w:val="0"/>
        </w:rPr>
        <w:t xml:space="preserve">; </w:t>
      </w:r>
      <w:r>
        <w:rPr>
          <w:b w:val="0"/>
          <w:i/>
        </w:rPr>
        <w:t>simplex</w:t>
      </w:r>
      <w:r>
        <w:rPr>
          <w:b w:val="0"/>
          <w:i w:val="0"/>
        </w:rPr>
        <w:t xml:space="preserve">; </w:t>
      </w:r>
      <w:r>
        <w:rPr>
          <w:b w:val="0"/>
          <w:i/>
        </w:rPr>
        <w:t>simplicium</w:t>
      </w:r>
      <w:r>
        <w:rPr>
          <w:b w:val="0"/>
          <w:i w:val="0"/>
        </w:rPr>
        <w:t>.</w:t>
      </w:r>
    </w:p>
    <w:p>
      <w:pPr>
        <w:widowControl/>
      </w:pPr>
      <w:r>
        <w:rPr>
          <w:b w:val="0"/>
          <w:i w:val="0"/>
        </w:rPr>
        <w:t xml:space="preserve">Simple, not composed from the sorts of parts relevant to the argument. Prime matter lacks form and quantitative assembly of its own; soul’s simplicity excludes material construction, while created essence still receives being. References: </w:t>
      </w:r>
      <w:hyperlink w:anchor="passage-v-4-9">
        <w:r>
          <w:rPr>
            <w:color w:val="000000"/>
          </w:rPr>
          <w:t xml:space="preserve">V.4.9</w:t>
        </w:r>
      </w:hyperlink>
      <w:r>
        <w:rPr>
          <w:b w:val="0"/>
          <w:i w:val="0"/>
        </w:rPr>
        <w:t xml:space="preserve">, </w:t>
      </w:r>
      <w:hyperlink w:anchor="passage-v-12-1">
        <w:r>
          <w:rPr>
            <w:color w:val="000000"/>
          </w:rPr>
          <w:t xml:space="preserve">V.12.1</w:t>
        </w:r>
      </w:hyperlink>
      <w:r>
        <w:rPr>
          <w:b w:val="0"/>
          <w:i w:val="0"/>
        </w:rPr>
        <w:t xml:space="preserve">, </w:t>
      </w:r>
      <w:hyperlink w:anchor="passage-v-12-5">
        <w:r>
          <w:rPr>
            <w:color w:val="000000"/>
          </w:rPr>
          <w:t xml:space="preserve">V.12.5</w:t>
        </w:r>
      </w:hyperlink>
      <w:r>
        <w:rPr>
          <w:b w:val="0"/>
          <w:i w:val="0"/>
        </w:rPr>
        <w:t xml:space="preserve">, </w:t>
      </w:r>
      <w:hyperlink w:anchor="passage-v-13-1">
        <w:r>
          <w:rPr>
            <w:color w:val="000000"/>
          </w:rPr>
          <w:t xml:space="preserve">V.13.1</w:t>
        </w:r>
      </w:hyperlink>
      <w:r>
        <w:rPr>
          <w:b w:val="0"/>
          <w:i w:val="0"/>
        </w:rPr>
        <w:t xml:space="preserve">, </w:t>
      </w:r>
      <w:hyperlink w:anchor="passage-v-15-10">
        <w:r>
          <w:rPr>
            <w:color w:val="000000"/>
          </w:rPr>
          <w:t xml:space="preserve">V.15.10</w:t>
        </w:r>
      </w:hyperlink>
      <w:r>
        <w:rPr>
          <w:b w:val="0"/>
          <w:i w:val="0"/>
        </w:rPr>
        <w:t xml:space="preserve">. See </w:t>
      </w:r>
      <w:hyperlink w:anchor="spiritual-matter-and-identity">
        <w:r>
          <w:rPr>
            <w:color w:val="000000"/>
          </w:rPr>
          <w:t xml:space="preserve">Spiritual matter and identity</w:t>
        </w:r>
      </w:hyperlink>
      <w:r>
        <w:rPr>
          <w:b w:val="0"/>
          <w:i w:val="0"/>
        </w:rPr>
        <w:t>.</w:t>
      </w:r>
    </w:p>
    <w:p>
      <w:pPr>
        <w:keepNext/>
        <w:widowControl/>
      </w:pPr>
      <w:bookmarkStart w:id="1419" w:name="latin-record-1178"/>
      <w:bookmarkEnd w:id="1419"/>
      <w:r>
        <w:rPr>
          <w:b/>
          <w:i w:val="0"/>
        </w:rPr>
        <w:t>simplex / simplicitas</w:t>
      </w:r>
      <w:r>
        <w:rPr>
          <w:b/>
          <w:i w:val="0"/>
        </w:rPr>
        <w:t>.</w:t>
      </w:r>
      <w:r>
        <w:rPr>
          <w:b w:val="0"/>
          <w:i w:val="0"/>
        </w:rPr>
        <w:t xml:space="preserve"> Printed forms: </w:t>
      </w:r>
      <w:r>
        <w:rPr>
          <w:b w:val="0"/>
          <w:i/>
        </w:rPr>
        <w:t>simplex</w:t>
      </w:r>
      <w:r>
        <w:rPr>
          <w:b w:val="0"/>
          <w:i w:val="0"/>
        </w:rPr>
        <w:t xml:space="preserve">; </w:t>
      </w:r>
      <w:r>
        <w:rPr>
          <w:b w:val="0"/>
          <w:i/>
        </w:rPr>
        <w:t>simplicem</w:t>
      </w:r>
      <w:r>
        <w:rPr>
          <w:b w:val="0"/>
          <w:i w:val="0"/>
        </w:rPr>
        <w:t xml:space="preserve">; </w:t>
      </w:r>
      <w:r>
        <w:rPr>
          <w:b w:val="0"/>
          <w:i/>
        </w:rPr>
        <w:t>simplices</w:t>
      </w:r>
      <w:r>
        <w:rPr>
          <w:b w:val="0"/>
          <w:i w:val="0"/>
        </w:rPr>
        <w:t xml:space="preserve">; </w:t>
      </w:r>
      <w:r>
        <w:rPr>
          <w:b w:val="0"/>
          <w:i/>
        </w:rPr>
        <w:t>simplici</w:t>
      </w:r>
      <w:r>
        <w:rPr>
          <w:b w:val="0"/>
          <w:i w:val="0"/>
        </w:rPr>
        <w:t xml:space="preserve">; </w:t>
      </w:r>
      <w:r>
        <w:rPr>
          <w:b w:val="0"/>
          <w:i/>
        </w:rPr>
        <w:t>simplicia</w:t>
      </w:r>
      <w:r>
        <w:rPr>
          <w:b w:val="0"/>
          <w:i w:val="0"/>
        </w:rPr>
        <w:t xml:space="preserve">; </w:t>
      </w:r>
      <w:r>
        <w:rPr>
          <w:b w:val="0"/>
          <w:i/>
        </w:rPr>
        <w:t>simplicis</w:t>
      </w:r>
      <w:r>
        <w:rPr>
          <w:b w:val="0"/>
          <w:i w:val="0"/>
        </w:rPr>
        <w:t xml:space="preserve">; </w:t>
      </w:r>
      <w:r>
        <w:rPr>
          <w:b w:val="0"/>
          <w:i/>
        </w:rPr>
        <w:t>simplicitas</w:t>
      </w:r>
      <w:r>
        <w:rPr>
          <w:b w:val="0"/>
          <w:i w:val="0"/>
        </w:rPr>
        <w:t xml:space="preserve">; </w:t>
      </w:r>
      <w:r>
        <w:rPr>
          <w:b w:val="0"/>
          <w:i/>
        </w:rPr>
        <w:t>simplicitate</w:t>
      </w:r>
      <w:r>
        <w:rPr>
          <w:b w:val="0"/>
          <w:i w:val="0"/>
        </w:rPr>
        <w:t xml:space="preserve">; </w:t>
      </w:r>
      <w:r>
        <w:rPr>
          <w:b w:val="0"/>
          <w:i/>
        </w:rPr>
        <w:t>simplicitatem</w:t>
      </w:r>
      <w:r>
        <w:rPr>
          <w:b w:val="0"/>
          <w:i w:val="0"/>
        </w:rPr>
        <w:t xml:space="preserve">; </w:t>
      </w:r>
      <w:r>
        <w:rPr>
          <w:b w:val="0"/>
          <w:i/>
        </w:rPr>
        <w:t>simplicitatis</w:t>
      </w:r>
      <w:r>
        <w:rPr>
          <w:b w:val="0"/>
          <w:i w:val="0"/>
        </w:rPr>
        <w:t xml:space="preserve">; </w:t>
      </w:r>
      <w:r>
        <w:rPr>
          <w:b w:val="0"/>
          <w:i/>
        </w:rPr>
        <w:t>simplicium</w:t>
      </w:r>
      <w:r>
        <w:rPr>
          <w:b w:val="0"/>
          <w:i w:val="0"/>
        </w:rPr>
        <w:t>.</w:t>
      </w:r>
    </w:p>
    <w:p>
      <w:pPr>
        <w:widowControl/>
      </w:pPr>
      <w:r>
        <w:rPr>
          <w:b w:val="0"/>
          <w:i w:val="0"/>
        </w:rPr>
        <w:t xml:space="preserve">Simplicity or absence of constitutive division, sometimes expressly under a particular aspect. Ten as ten and humanity as humanity are simple in their defining account; the conclusion must not deny bodily or numerical partition in another respect. References: </w:t>
      </w:r>
      <w:hyperlink w:anchor="passage-viii-4-9">
        <w:r>
          <w:rPr>
            <w:color w:val="000000"/>
          </w:rPr>
          <w:t xml:space="preserve">VIII.4.9</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w:t>
      </w:r>
      <w:hyperlink w:anchor="passage-viii-4-12">
        <w:r>
          <w:rPr>
            <w:color w:val="000000"/>
          </w:rPr>
          <w:t xml:space="preserve">VIII.4.12</w:t>
        </w:r>
      </w:hyperlink>
      <w:r>
        <w:rPr>
          <w:b w:val="0"/>
          <w:i w:val="0"/>
        </w:rPr>
        <w:t xml:space="preserve">, </w:t>
      </w:r>
      <w:hyperlink w:anchor="passage-viii-4-13">
        <w:r>
          <w:rPr>
            <w:color w:val="000000"/>
          </w:rPr>
          <w:t xml:space="preserve">VIII.4.13</w:t>
        </w:r>
      </w:hyperlink>
      <w:r>
        <w:rPr>
          <w:b w:val="0"/>
          <w:i w:val="0"/>
        </w:rPr>
        <w:t xml:space="preserve">, </w:t>
      </w:r>
      <w:hyperlink w:anchor="passage-viii-5-2">
        <w:r>
          <w:rPr>
            <w:color w:val="000000"/>
          </w:rPr>
          <w:t xml:space="preserve">VIII.5.2</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1420" w:name="latin-record-1179"/>
      <w:bookmarkEnd w:id="1420"/>
      <w:r>
        <w:rPr>
          <w:b/>
          <w:i w:val="0"/>
        </w:rPr>
        <w:t>simplex qualitas / forma astricta</w:t>
      </w:r>
      <w:r>
        <w:rPr>
          <w:b/>
          <w:i w:val="0"/>
        </w:rPr>
        <w:t>.</w:t>
      </w:r>
      <w:r>
        <w:rPr>
          <w:b w:val="0"/>
          <w:i w:val="0"/>
        </w:rPr>
        <w:t xml:space="preserve"> Printed forms: </w:t>
      </w:r>
      <w:r>
        <w:rPr>
          <w:b w:val="0"/>
          <w:i/>
        </w:rPr>
        <w:t>forma istis astricta</w:t>
      </w:r>
      <w:r>
        <w:rPr>
          <w:b w:val="0"/>
          <w:i w:val="0"/>
        </w:rPr>
        <w:t xml:space="preserve">; </w:t>
      </w:r>
      <w:r>
        <w:rPr>
          <w:b w:val="0"/>
          <w:i/>
        </w:rPr>
        <w:t>forma sequens complexionem</w:t>
      </w:r>
      <w:r>
        <w:rPr>
          <w:b w:val="0"/>
          <w:i w:val="0"/>
        </w:rPr>
        <w:t xml:space="preserve">; </w:t>
      </w:r>
      <w:r>
        <w:rPr>
          <w:b w:val="0"/>
          <w:i/>
        </w:rPr>
        <w:t>simplex qualitas</w:t>
      </w:r>
      <w:r>
        <w:rPr>
          <w:b w:val="0"/>
          <w:i w:val="0"/>
        </w:rPr>
        <w:t>.</w:t>
      </w:r>
    </w:p>
    <w:p>
      <w:pPr>
        <w:widowControl/>
      </w:pPr>
      <w:r>
        <w:rPr>
          <w:b w:val="0"/>
          <w:i w:val="0"/>
        </w:rPr>
        <w:t xml:space="preserve">A simple quality and a form bound to quality or constitution. The classification does not let a dependent form evade the limits of the qualities it follows. References: </w:t>
      </w:r>
      <w:hyperlink w:anchor="passage-vii-7-1">
        <w:r>
          <w:rPr>
            <w:color w:val="000000"/>
          </w:rPr>
          <w:t xml:space="preserve">VII.7.1</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421" w:name="latin-record-1180"/>
      <w:bookmarkEnd w:id="1421"/>
      <w:r>
        <w:rPr>
          <w:b/>
          <w:i w:val="0"/>
        </w:rPr>
        <w:t>simplicitas; constantia</w:t>
      </w:r>
      <w:r>
        <w:rPr>
          <w:b/>
          <w:i w:val="0"/>
        </w:rPr>
        <w:t>.</w:t>
      </w:r>
      <w:r>
        <w:rPr>
          <w:b w:val="0"/>
          <w:i w:val="0"/>
        </w:rPr>
        <w:t xml:space="preserve"> Printed forms: </w:t>
      </w:r>
      <w:r>
        <w:rPr>
          <w:b w:val="0"/>
          <w:i/>
        </w:rPr>
        <w:t>consistat</w:t>
      </w:r>
      <w:r>
        <w:rPr>
          <w:b w:val="0"/>
          <w:i w:val="0"/>
        </w:rPr>
        <w:t xml:space="preserve">; </w:t>
      </w:r>
      <w:r>
        <w:rPr>
          <w:b w:val="0"/>
          <w:i/>
        </w:rPr>
        <w:t>simplicitatis et constantiae</w:t>
      </w:r>
      <w:r>
        <w:rPr>
          <w:b w:val="0"/>
          <w:i w:val="0"/>
        </w:rPr>
        <w:t>.</w:t>
      </w:r>
    </w:p>
    <w:p>
      <w:pPr>
        <w:widowControl/>
      </w:pPr>
      <w:r>
        <w:rPr>
          <w:b w:val="0"/>
          <w:i w:val="0"/>
        </w:rPr>
        <w:t xml:space="preserve">Simplicity and stability in itself. A divided bodily form lacks these in the requisite way and therefore needs an undispersed containing principle. References: </w:t>
      </w:r>
      <w:hyperlink w:anchor="passage-vi-8-6">
        <w:r>
          <w:rPr>
            <w:color w:val="000000"/>
          </w:rPr>
          <w:t xml:space="preserve">VI.8.6</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1422" w:name="latin-record-1181"/>
      <w:bookmarkEnd w:id="1422"/>
      <w:r>
        <w:rPr>
          <w:b/>
          <w:i w:val="0"/>
        </w:rPr>
        <w:t>simpliciter</w:t>
      </w:r>
      <w:r>
        <w:rPr>
          <w:b/>
          <w:i w:val="0"/>
        </w:rPr>
        <w:t>.</w:t>
      </w:r>
      <w:r>
        <w:rPr>
          <w:b w:val="0"/>
          <w:i w:val="0"/>
        </w:rPr>
        <w:t xml:space="preserve"> Printed forms: </w:t>
      </w:r>
      <w:r>
        <w:rPr>
          <w:b w:val="0"/>
          <w:i/>
        </w:rPr>
        <w:t>simpliciter</w:t>
      </w:r>
      <w:r>
        <w:rPr>
          <w:b w:val="0"/>
          <w:i w:val="0"/>
        </w:rPr>
        <w:t>.</w:t>
      </w:r>
    </w:p>
    <w:p>
      <w:pPr>
        <w:widowControl/>
      </w:pPr>
      <w:r>
        <w:rPr>
          <w:b w:val="0"/>
          <w:i w:val="0"/>
        </w:rPr>
        <w:t xml:space="preserve">Simply or without the further determination this or that; it does not always describe absence of composite parts. In the creation argument esse simpliciter precedes determinate modes in explanatory order. The adverb must not be merged indiscriminately with simplex as material incomposition. References: </w:t>
      </w:r>
      <w:hyperlink w:anchor="passage-v-13-3">
        <w:r>
          <w:rPr>
            <w:color w:val="000000"/>
          </w:rPr>
          <w:t xml:space="preserve">V.13.3</w:t>
        </w:r>
      </w:hyperlink>
      <w:r>
        <w:rPr>
          <w:b w:val="0"/>
          <w:i w:val="0"/>
        </w:rPr>
        <w:t xml:space="preserve">, </w:t>
      </w:r>
      <w:hyperlink w:anchor="passage-v-13-5">
        <w:r>
          <w:rPr>
            <w:color w:val="000000"/>
          </w:rPr>
          <w:t xml:space="preserve">V.13.5</w:t>
        </w:r>
      </w:hyperlink>
      <w:r>
        <w:rPr>
          <w:b w:val="0"/>
          <w:i w:val="0"/>
        </w:rPr>
        <w:t xml:space="preserve">. See </w:t>
      </w:r>
      <w:hyperlink w:anchor="participation-common-and-proper">
        <w:r>
          <w:rPr>
            <w:color w:val="000000"/>
          </w:rPr>
          <w:t xml:space="preserve">Participation, common and proper</w:t>
        </w:r>
      </w:hyperlink>
      <w:r>
        <w:rPr>
          <w:b w:val="0"/>
          <w:i w:val="0"/>
        </w:rPr>
        <w:t>.</w:t>
      </w:r>
    </w:p>
    <w:p>
      <w:pPr>
        <w:keepNext/>
        <w:widowControl/>
      </w:pPr>
      <w:bookmarkStart w:id="1423" w:name="latin-record-1182"/>
      <w:bookmarkEnd w:id="1423"/>
      <w:r>
        <w:rPr>
          <w:b/>
          <w:i w:val="0"/>
        </w:rPr>
        <w:t>simul</w:t>
      </w:r>
      <w:r>
        <w:rPr>
          <w:b/>
          <w:i w:val="0"/>
        </w:rPr>
        <w:t>.</w:t>
      </w:r>
      <w:r>
        <w:rPr>
          <w:b w:val="0"/>
          <w:i w:val="0"/>
        </w:rPr>
        <w:t xml:space="preserve"> Printed forms: </w:t>
      </w:r>
      <w:r>
        <w:rPr>
          <w:b w:val="0"/>
          <w:i/>
        </w:rPr>
        <w:t>simul</w:t>
      </w:r>
      <w:r>
        <w:rPr>
          <w:b w:val="0"/>
          <w:i w:val="0"/>
        </w:rPr>
        <w:t>.</w:t>
      </w:r>
    </w:p>
    <w:p>
      <w:pPr>
        <w:widowControl/>
      </w:pPr>
      <w:r>
        <w:rPr>
          <w:b w:val="0"/>
          <w:i w:val="0"/>
        </w:rPr>
        <w:t xml:space="preserve">Together or at once. The mind’s unified purpose and temporal orientations contrast with the succession of the moved work; the word does not deny all successive mental operations. References: </w:t>
      </w:r>
      <w:hyperlink w:anchor="passage-v-15-5">
        <w:r>
          <w:rPr>
            <w:color w:val="000000"/>
          </w:rPr>
          <w:t xml:space="preserve">V.15.5</w:t>
        </w:r>
      </w:hyperlink>
      <w:r>
        <w:rPr>
          <w:b w:val="0"/>
          <w:i w:val="0"/>
        </w:rPr>
        <w:t xml:space="preserve">. See </w:t>
      </w:r>
      <w:hyperlink w:anchor="time-memory-and-expectation">
        <w:r>
          <w:rPr>
            <w:color w:val="000000"/>
          </w:rPr>
          <w:t xml:space="preserve">Time, memory and expectation</w:t>
        </w:r>
      </w:hyperlink>
      <w:r>
        <w:rPr>
          <w:b w:val="0"/>
          <w:i w:val="0"/>
        </w:rPr>
        <w:t>.</w:t>
      </w:r>
    </w:p>
    <w:p>
      <w:pPr>
        <w:keepNext/>
        <w:widowControl/>
      </w:pPr>
      <w:bookmarkStart w:id="1424" w:name="latin-record-1183"/>
      <w:bookmarkEnd w:id="1424"/>
      <w:r>
        <w:rPr>
          <w:b/>
          <w:i w:val="0"/>
        </w:rPr>
        <w:t>simul possidere et videre</w:t>
      </w:r>
      <w:r>
        <w:rPr>
          <w:b/>
          <w:i w:val="0"/>
        </w:rPr>
        <w:t>.</w:t>
      </w:r>
      <w:r>
        <w:rPr>
          <w:b w:val="0"/>
          <w:i w:val="0"/>
        </w:rPr>
        <w:t xml:space="preserve"> Printed forms: </w:t>
      </w:r>
      <w:r>
        <w:rPr>
          <w:b w:val="0"/>
          <w:i/>
        </w:rPr>
        <w:t>simul omnia possident atque vident</w:t>
      </w:r>
      <w:r>
        <w:rPr>
          <w:b w:val="0"/>
          <w:i w:val="0"/>
        </w:rPr>
        <w:t>.</w:t>
      </w:r>
    </w:p>
    <w:p>
      <w:pPr>
        <w:widowControl/>
      </w:pPr>
      <w:r>
        <w:rPr>
          <w:b w:val="0"/>
          <w:i w:val="0"/>
        </w:rPr>
        <w:t xml:space="preserve">Possessing and seeing everything together. This differentiates God and angels from temporally discursive soul without making them inactive. References: </w:t>
      </w:r>
      <w:hyperlink w:anchor="passage-vi-12-18">
        <w:r>
          <w:rPr>
            <w:color w:val="000000"/>
          </w:rPr>
          <w:t xml:space="preserve">VI.12.18</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1425" w:name="latin-record-1184"/>
      <w:bookmarkEnd w:id="1425"/>
      <w:r>
        <w:rPr>
          <w:b/>
          <w:i w:val="0"/>
        </w:rPr>
        <w:t>simul; vicissim; invicem</w:t>
      </w:r>
      <w:r>
        <w:rPr>
          <w:b/>
          <w:i w:val="0"/>
        </w:rPr>
        <w:t>.</w:t>
      </w:r>
      <w:r>
        <w:rPr>
          <w:b w:val="0"/>
          <w:i w:val="0"/>
        </w:rPr>
        <w:t xml:space="preserve"> Printed forms: </w:t>
      </w:r>
      <w:r>
        <w:rPr>
          <w:b w:val="0"/>
          <w:i/>
        </w:rPr>
        <w:t>invicem</w:t>
      </w:r>
      <w:r>
        <w:rPr>
          <w:b w:val="0"/>
          <w:i w:val="0"/>
        </w:rPr>
        <w:t xml:space="preserve">; </w:t>
      </w:r>
      <w:r>
        <w:rPr>
          <w:b w:val="0"/>
          <w:i/>
        </w:rPr>
        <w:t>simul</w:t>
      </w:r>
      <w:r>
        <w:rPr>
          <w:b w:val="0"/>
          <w:i w:val="0"/>
        </w:rPr>
        <w:t xml:space="preserve">; </w:t>
      </w:r>
      <w:r>
        <w:rPr>
          <w:b w:val="0"/>
          <w:i/>
        </w:rPr>
        <w:t>vicissim</w:t>
      </w:r>
      <w:r>
        <w:rPr>
          <w:b w:val="0"/>
          <w:i w:val="0"/>
        </w:rPr>
        <w:t>.</w:t>
      </w:r>
    </w:p>
    <w:p>
      <w:pPr>
        <w:widowControl/>
      </w:pPr>
      <w:r>
        <w:rPr>
          <w:b w:val="0"/>
          <w:i w:val="0"/>
        </w:rPr>
        <w:t xml:space="preserve">Together or simultaneously; in return; reciprocally. Simultaneous knowledge differs from sequential discourse, while reciprocal transformation or part-to-part action is not primary identical self-motion. References: </w:t>
      </w:r>
      <w:hyperlink w:anchor="passage-vi-7-2">
        <w:r>
          <w:rPr>
            <w:color w:val="000000"/>
          </w:rPr>
          <w:t xml:space="preserve">VI.7.2</w:t>
        </w:r>
      </w:hyperlink>
      <w:r>
        <w:rPr>
          <w:b w:val="0"/>
          <w:i w:val="0"/>
        </w:rPr>
        <w:t xml:space="preserve">, </w:t>
      </w:r>
      <w:hyperlink w:anchor="passage-vi-12-4">
        <w:r>
          <w:rPr>
            <w:color w:val="000000"/>
          </w:rPr>
          <w:t xml:space="preserve">VI.12.4</w:t>
        </w:r>
      </w:hyperlink>
      <w:r>
        <w:rPr>
          <w:b w:val="0"/>
          <w:i w:val="0"/>
        </w:rPr>
        <w:t xml:space="preserve">, </w:t>
      </w:r>
      <w:hyperlink w:anchor="passage-vi-12-18">
        <w:r>
          <w:rPr>
            <w:color w:val="000000"/>
          </w:rPr>
          <w:t xml:space="preserve">VI.12.18</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1426" w:name="latin-record-1185"/>
      <w:bookmarkEnd w:id="1426"/>
      <w:r>
        <w:rPr>
          <w:b/>
          <w:i w:val="0"/>
        </w:rPr>
        <w:t>simulachrum; resultare</w:t>
      </w:r>
      <w:r>
        <w:rPr>
          <w:b/>
          <w:i w:val="0"/>
        </w:rPr>
        <w:t>.</w:t>
      </w:r>
      <w:r>
        <w:rPr>
          <w:b w:val="0"/>
          <w:i w:val="0"/>
        </w:rPr>
        <w:t xml:space="preserve"> Printed forms: </w:t>
      </w:r>
      <w:r>
        <w:rPr>
          <w:b w:val="0"/>
          <w:i/>
        </w:rPr>
        <w:t>resultant</w:t>
      </w:r>
      <w:r>
        <w:rPr>
          <w:b w:val="0"/>
          <w:i w:val="0"/>
        </w:rPr>
        <w:t xml:space="preserve">; </w:t>
      </w:r>
      <w:r>
        <w:rPr>
          <w:b w:val="0"/>
          <w:i/>
        </w:rPr>
        <w:t>simulachra</w:t>
      </w:r>
      <w:r>
        <w:rPr>
          <w:b w:val="0"/>
          <w:i w:val="0"/>
        </w:rPr>
        <w:t>.</w:t>
      </w:r>
    </w:p>
    <w:p>
      <w:pPr>
        <w:widowControl/>
      </w:pPr>
      <w:r>
        <w:rPr>
          <w:b w:val="0"/>
          <w:i w:val="0"/>
        </w:rPr>
        <w:t xml:space="preserve">A representation carried by walkers; to project or rebound as a shadow. The prisoners confuse the shadow cast by a representation with the thing itself. References: </w:t>
      </w:r>
      <w:hyperlink w:anchor="passage-vi-2-14">
        <w:r>
          <w:rPr>
            <w:color w:val="000000"/>
          </w:rPr>
          <w:t xml:space="preserve">VI.2.14</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427" w:name="latin-record-1186"/>
      <w:bookmarkEnd w:id="1427"/>
      <w:r>
        <w:rPr>
          <w:b/>
          <w:i w:val="0"/>
        </w:rPr>
        <w:t>simulacrum</w:t>
      </w:r>
      <w:r>
        <w:rPr>
          <w:b/>
          <w:i w:val="0"/>
        </w:rPr>
        <w:t>.</w:t>
      </w:r>
      <w:r>
        <w:rPr>
          <w:b w:val="0"/>
          <w:i w:val="0"/>
        </w:rPr>
        <w:t xml:space="preserve"> Printed forms: </w:t>
      </w:r>
      <w:r>
        <w:rPr>
          <w:b w:val="0"/>
          <w:i/>
        </w:rPr>
        <w:t>simulacra</w:t>
      </w:r>
      <w:r>
        <w:rPr>
          <w:b w:val="0"/>
          <w:i w:val="0"/>
        </w:rPr>
        <w:t>.</w:t>
      </w:r>
    </w:p>
    <w:p>
      <w:pPr>
        <w:widowControl/>
      </w:pPr>
      <w:r>
        <w:rPr>
          <w:b w:val="0"/>
          <w:i w:val="0"/>
        </w:rPr>
        <w:t xml:space="preserve">An image or likeness, considered here as possibly touching a surface. Surface contact could explain a present appearance on the hypothesis, but not retained thought of an absent object. References: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428" w:name="latin-record-1187"/>
      <w:bookmarkEnd w:id="1428"/>
      <w:r>
        <w:rPr>
          <w:b/>
          <w:i w:val="0"/>
        </w:rPr>
        <w:t>simulacrum / imago / effigies</w:t>
      </w:r>
      <w:r>
        <w:rPr>
          <w:b/>
          <w:i w:val="0"/>
        </w:rPr>
        <w:t>.</w:t>
      </w:r>
      <w:r>
        <w:rPr>
          <w:b w:val="0"/>
          <w:i w:val="0"/>
        </w:rPr>
        <w:t xml:space="preserve"> Printed forms: </w:t>
      </w:r>
      <w:r>
        <w:rPr>
          <w:b w:val="0"/>
          <w:i/>
        </w:rPr>
        <w:t>effigiem</w:t>
      </w:r>
      <w:r>
        <w:rPr>
          <w:b w:val="0"/>
          <w:i w:val="0"/>
        </w:rPr>
        <w:t xml:space="preserve">; </w:t>
      </w:r>
      <w:r>
        <w:rPr>
          <w:b w:val="0"/>
          <w:i/>
        </w:rPr>
        <w:t>effigies</w:t>
      </w:r>
      <w:r>
        <w:rPr>
          <w:b w:val="0"/>
          <w:i w:val="0"/>
        </w:rPr>
        <w:t xml:space="preserve">; </w:t>
      </w:r>
      <w:r>
        <w:rPr>
          <w:b w:val="0"/>
          <w:i/>
        </w:rPr>
        <w:t>imagines</w:t>
      </w:r>
      <w:r>
        <w:rPr>
          <w:b w:val="0"/>
          <w:i w:val="0"/>
        </w:rPr>
        <w:t xml:space="preserve">; </w:t>
      </w:r>
      <w:r>
        <w:rPr>
          <w:b w:val="0"/>
          <w:i/>
        </w:rPr>
        <w:t>imago</w:t>
      </w:r>
      <w:r>
        <w:rPr>
          <w:b w:val="0"/>
          <w:i w:val="0"/>
        </w:rPr>
        <w:t xml:space="preserve">; </w:t>
      </w:r>
      <w:r>
        <w:rPr>
          <w:b w:val="0"/>
          <w:i/>
        </w:rPr>
        <w:t>simulacro</w:t>
      </w:r>
      <w:r>
        <w:rPr>
          <w:b w:val="0"/>
          <w:i w:val="0"/>
        </w:rPr>
        <w:t xml:space="preserve">; </w:t>
      </w:r>
      <w:r>
        <w:rPr>
          <w:b w:val="0"/>
          <w:i/>
        </w:rPr>
        <w:t>simulacrorum</w:t>
      </w:r>
      <w:r>
        <w:rPr>
          <w:b w:val="0"/>
          <w:i w:val="0"/>
        </w:rPr>
        <w:t xml:space="preserve">; </w:t>
      </w:r>
      <w:r>
        <w:rPr>
          <w:b w:val="0"/>
          <w:i/>
        </w:rPr>
        <w:t>simulacrum</w:t>
      </w:r>
      <w:r>
        <w:rPr>
          <w:b w:val="0"/>
          <w:i w:val="0"/>
        </w:rPr>
        <w:t>.</w:t>
      </w:r>
    </w:p>
    <w:p>
      <w:pPr>
        <w:widowControl/>
      </w:pPr>
      <w:r>
        <w:rPr>
          <w:b w:val="0"/>
          <w:i w:val="0"/>
        </w:rPr>
        <w:t xml:space="preserve">A likeness or presented image, distinguishable from the material object and from its intellectual account. Imagination gathers Plato’s portrait, while phantasy identifies whose image it is and intellect apprehends common nature. References: </w:t>
      </w:r>
      <w:hyperlink w:anchor="passage-viii-1-1">
        <w:r>
          <w:rPr>
            <w:color w:val="000000"/>
          </w:rPr>
          <w:t xml:space="preserve">VIII.1.1</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1429" w:name="latin-record-1188"/>
      <w:bookmarkEnd w:id="1429"/>
      <w:r>
        <w:rPr>
          <w:b/>
          <w:i w:val="0"/>
        </w:rPr>
        <w:t>sincere discernere</w:t>
      </w:r>
      <w:r>
        <w:rPr>
          <w:b/>
          <w:i w:val="0"/>
        </w:rPr>
        <w:t>.</w:t>
      </w:r>
      <w:r>
        <w:rPr>
          <w:b w:val="0"/>
          <w:i w:val="0"/>
        </w:rPr>
        <w:t xml:space="preserve"> Printed forms: </w:t>
      </w:r>
      <w:r>
        <w:rPr>
          <w:b w:val="0"/>
          <w:i/>
        </w:rPr>
        <w:t>discernet</w:t>
      </w:r>
      <w:r>
        <w:rPr>
          <w:b w:val="0"/>
          <w:i w:val="0"/>
        </w:rPr>
        <w:t xml:space="preserve">; </w:t>
      </w:r>
      <w:r>
        <w:rPr>
          <w:b w:val="0"/>
          <w:i/>
        </w:rPr>
        <w:t>discernimus</w:t>
      </w:r>
      <w:r>
        <w:rPr>
          <w:b w:val="0"/>
          <w:i w:val="0"/>
        </w:rPr>
        <w:t xml:space="preserve">; </w:t>
      </w:r>
      <w:r>
        <w:rPr>
          <w:b w:val="0"/>
          <w:i/>
        </w:rPr>
        <w:t>sincere</w:t>
      </w:r>
      <w:r>
        <w:rPr>
          <w:b w:val="0"/>
          <w:i w:val="0"/>
        </w:rPr>
        <w:t>.</w:t>
      </w:r>
    </w:p>
    <w:p>
      <w:pPr>
        <w:widowControl/>
      </w:pPr>
      <w:r>
        <w:rPr>
          <w:b w:val="0"/>
          <w:i w:val="0"/>
        </w:rPr>
        <w:t xml:space="preserve">To distinguish without distortion or admixture. The adverb describes undeceived cognition after ordered preparation, not merely honesty of intention. References: </w:t>
      </w:r>
      <w:hyperlink w:anchor="passage-vi-2-15">
        <w:r>
          <w:rPr>
            <w:color w:val="000000"/>
          </w:rPr>
          <w:t xml:space="preserve">VI.2.15</w:t>
        </w:r>
      </w:hyperlink>
      <w:r>
        <w:rPr>
          <w:b w:val="0"/>
          <w:i w:val="0"/>
        </w:rPr>
        <w:t xml:space="preserve">, </w:t>
      </w:r>
      <w:hyperlink w:anchor="passage-vi-2-17">
        <w:r>
          <w:rPr>
            <w:color w:val="000000"/>
          </w:rPr>
          <w:t xml:space="preserve">VI.2.17</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430" w:name="latin-record-1189"/>
      <w:bookmarkEnd w:id="1430"/>
      <w:r>
        <w:rPr>
          <w:b/>
          <w:i w:val="0"/>
        </w:rPr>
        <w:t>sine medio</w:t>
      </w:r>
      <w:r>
        <w:rPr>
          <w:b/>
          <w:i w:val="0"/>
        </w:rPr>
        <w:t>.</w:t>
      </w:r>
      <w:r>
        <w:rPr>
          <w:b w:val="0"/>
          <w:i w:val="0"/>
        </w:rPr>
        <w:t xml:space="preserve"> Printed forms: </w:t>
      </w:r>
      <w:r>
        <w:rPr>
          <w:b w:val="0"/>
          <w:i/>
        </w:rPr>
        <w:t>absque medio</w:t>
      </w:r>
      <w:r>
        <w:rPr>
          <w:b w:val="0"/>
          <w:i w:val="0"/>
        </w:rPr>
        <w:t xml:space="preserve">; </w:t>
      </w:r>
      <w:r>
        <w:rPr>
          <w:b w:val="0"/>
          <w:i/>
        </w:rPr>
        <w:t>nihil inter eam et Deum</w:t>
      </w:r>
      <w:r>
        <w:rPr>
          <w:b w:val="0"/>
          <w:i w:val="0"/>
        </w:rPr>
        <w:t xml:space="preserve">; </w:t>
      </w:r>
      <w:r>
        <w:rPr>
          <w:b w:val="0"/>
          <w:i/>
        </w:rPr>
        <w:t>sine medio</w:t>
      </w:r>
      <w:r>
        <w:rPr>
          <w:b w:val="0"/>
          <w:i w:val="0"/>
        </w:rPr>
        <w:t>.</w:t>
      </w:r>
    </w:p>
    <w:p>
      <w:pPr>
        <w:widowControl/>
      </w:pPr>
      <w:r>
        <w:rPr>
          <w:b w:val="0"/>
          <w:i w:val="0"/>
        </w:rPr>
        <w:t xml:space="preserve">Without an intermediary in the relevant causal relation. Soul’s creation and preservation are immediately divine; the claim does not preclude every other kind of superior influence. References: </w:t>
      </w:r>
      <w:hyperlink w:anchor="passage-v-12-13">
        <w:r>
          <w:rPr>
            <w:color w:val="000000"/>
          </w:rPr>
          <w:t xml:space="preserve">V.12.13</w:t>
        </w:r>
      </w:hyperlink>
      <w:r>
        <w:rPr>
          <w:b w:val="0"/>
          <w:i w:val="0"/>
        </w:rPr>
        <w:t xml:space="preserve">, </w:t>
      </w:r>
      <w:hyperlink w:anchor="passage-v-13-16">
        <w:r>
          <w:rPr>
            <w:color w:val="000000"/>
          </w:rPr>
          <w:t xml:space="preserve">V.13.16</w:t>
        </w:r>
      </w:hyperlink>
      <w:r>
        <w:rPr>
          <w:b w:val="0"/>
          <w:i w:val="0"/>
        </w:rPr>
        <w:t xml:space="preserve">, </w:t>
      </w:r>
      <w:hyperlink w:anchor="passage-v-13-17">
        <w:r>
          <w:rPr>
            <w:color w:val="000000"/>
          </w:rPr>
          <w:t xml:space="preserve">V.13.17</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431" w:name="latin-record-1190"/>
      <w:bookmarkEnd w:id="1431"/>
      <w:r>
        <w:rPr>
          <w:b/>
          <w:i w:val="0"/>
        </w:rPr>
        <w:t>singularis / particularis</w:t>
      </w:r>
      <w:r>
        <w:rPr>
          <w:b/>
          <w:i w:val="0"/>
        </w:rPr>
        <w:t>.</w:t>
      </w:r>
      <w:r>
        <w:rPr>
          <w:b w:val="0"/>
          <w:i w:val="0"/>
        </w:rPr>
        <w:t xml:space="preserve"> Printed forms: </w:t>
      </w:r>
      <w:r>
        <w:rPr>
          <w:b w:val="0"/>
          <w:i/>
        </w:rPr>
        <w:t>particulare</w:t>
      </w:r>
      <w:r>
        <w:rPr>
          <w:b w:val="0"/>
          <w:i w:val="0"/>
        </w:rPr>
        <w:t xml:space="preserve">; </w:t>
      </w:r>
      <w:r>
        <w:rPr>
          <w:b w:val="0"/>
          <w:i/>
        </w:rPr>
        <w:t>particularem</w:t>
      </w:r>
      <w:r>
        <w:rPr>
          <w:b w:val="0"/>
          <w:i w:val="0"/>
        </w:rPr>
        <w:t xml:space="preserve">; </w:t>
      </w:r>
      <w:r>
        <w:rPr>
          <w:b w:val="0"/>
          <w:i/>
        </w:rPr>
        <w:t>particulares</w:t>
      </w:r>
      <w:r>
        <w:rPr>
          <w:b w:val="0"/>
          <w:i w:val="0"/>
        </w:rPr>
        <w:t xml:space="preserve">; </w:t>
      </w:r>
      <w:r>
        <w:rPr>
          <w:b w:val="0"/>
          <w:i/>
        </w:rPr>
        <w:t>singulares</w:t>
      </w:r>
      <w:r>
        <w:rPr>
          <w:b w:val="0"/>
          <w:i w:val="0"/>
        </w:rPr>
        <w:t xml:space="preserve">; </w:t>
      </w:r>
      <w:r>
        <w:rPr>
          <w:b w:val="0"/>
          <w:i/>
        </w:rPr>
        <w:t>singularis</w:t>
      </w:r>
      <w:r>
        <w:rPr>
          <w:b w:val="0"/>
          <w:i w:val="0"/>
        </w:rPr>
        <w:t xml:space="preserve">; </w:t>
      </w:r>
      <w:r>
        <w:rPr>
          <w:b w:val="0"/>
          <w:i/>
        </w:rPr>
        <w:t>singulas</w:t>
      </w:r>
      <w:r>
        <w:rPr>
          <w:b w:val="0"/>
          <w:i w:val="0"/>
        </w:rPr>
        <w:t xml:space="preserve">; </w:t>
      </w:r>
      <w:r>
        <w:rPr>
          <w:b w:val="0"/>
          <w:i/>
        </w:rPr>
        <w:t>singulis</w:t>
      </w:r>
      <w:r>
        <w:rPr>
          <w:b w:val="0"/>
          <w:i w:val="0"/>
        </w:rPr>
        <w:t>.</w:t>
      </w:r>
    </w:p>
    <w:p>
      <w:pPr>
        <w:widowControl/>
      </w:pPr>
      <w:r>
        <w:rPr>
          <w:b w:val="0"/>
          <w:i w:val="0"/>
        </w:rPr>
        <w:t xml:space="preserve">Individualized or restricted to this instance; neither adjective means intrinsically unknowable. Intellect knows particulars through a reflexive return even though its first mode is universal; bodily recipients would particularize their forms. References: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8-1">
        <w:r>
          <w:rPr>
            <w:color w:val="000000"/>
          </w:rPr>
          <w:t xml:space="preserve">VIII.8.1</w:t>
        </w:r>
      </w:hyperlink>
      <w:r>
        <w:rPr>
          <w:b w:val="0"/>
          <w:i w:val="0"/>
        </w:rPr>
        <w:t xml:space="preserve">. See </w:t>
      </w:r>
      <w:hyperlink w:anchor="viii-immediate-reflexive">
        <w:r>
          <w:rPr>
            <w:color w:val="000000"/>
          </w:rPr>
          <w:t xml:space="preserve">Immediate intellection and the return to particulars</w:t>
        </w:r>
      </w:hyperlink>
      <w:r>
        <w:rPr>
          <w:b w:val="0"/>
          <w:i w:val="0"/>
        </w:rPr>
        <w:t>.</w:t>
      </w:r>
    </w:p>
    <w:p>
      <w:pPr>
        <w:keepNext/>
        <w:widowControl/>
      </w:pPr>
      <w:bookmarkStart w:id="1432" w:name="latin-record-1191"/>
      <w:bookmarkEnd w:id="1432"/>
      <w:r>
        <w:rPr>
          <w:b/>
          <w:i w:val="0"/>
        </w:rPr>
        <w:t>sinus / gremium</w:t>
      </w:r>
      <w:r>
        <w:rPr>
          <w:b/>
          <w:i w:val="0"/>
        </w:rPr>
        <w:t>.</w:t>
      </w:r>
      <w:r>
        <w:rPr>
          <w:b w:val="0"/>
          <w:i w:val="0"/>
        </w:rPr>
        <w:t xml:space="preserve"> Printed forms: </w:t>
      </w:r>
      <w:r>
        <w:rPr>
          <w:b w:val="0"/>
          <w:i/>
        </w:rPr>
        <w:t>gremio</w:t>
      </w:r>
      <w:r>
        <w:rPr>
          <w:b w:val="0"/>
          <w:i w:val="0"/>
        </w:rPr>
        <w:t xml:space="preserve">; </w:t>
      </w:r>
      <w:r>
        <w:rPr>
          <w:b w:val="0"/>
          <w:i/>
        </w:rPr>
        <w:t>sinu</w:t>
      </w:r>
      <w:r>
        <w:rPr>
          <w:b w:val="0"/>
          <w:i w:val="0"/>
        </w:rPr>
        <w:t xml:space="preserve">; </w:t>
      </w:r>
      <w:r>
        <w:rPr>
          <w:b w:val="0"/>
          <w:i/>
        </w:rPr>
        <w:t>sinum</w:t>
      </w:r>
      <w:r>
        <w:rPr>
          <w:b w:val="0"/>
          <w:i w:val="0"/>
        </w:rPr>
        <w:t>.</w:t>
      </w:r>
    </w:p>
    <w:p>
      <w:pPr>
        <w:widowControl/>
      </w:pPr>
      <w:r>
        <w:rPr>
          <w:b w:val="0"/>
          <w:i w:val="0"/>
        </w:rPr>
        <w:t xml:space="preserve">Bosom or womb, personifying matter’s receptive support. Matter opens to cold and displaces heat; a force entering its womb affects dependent forms but not the separate soul. References: </w:t>
      </w:r>
      <w:hyperlink w:anchor="passage-v-9-4">
        <w:r>
          <w:rPr>
            <w:color w:val="000000"/>
          </w:rPr>
          <w:t xml:space="preserve">V.9.4</w:t>
        </w:r>
      </w:hyperlink>
      <w:r>
        <w:rPr>
          <w:b w:val="0"/>
          <w:i w:val="0"/>
        </w:rPr>
        <w:t xml:space="preserve">, </w:t>
      </w:r>
      <w:hyperlink w:anchor="passage-v-14-7">
        <w:r>
          <w:rPr>
            <w:color w:val="000000"/>
          </w:rPr>
          <w:t xml:space="preserve">V.14.7</w:t>
        </w:r>
      </w:hyperlink>
      <w:r>
        <w:rPr>
          <w:b w:val="0"/>
          <w:i w:val="0"/>
        </w:rPr>
        <w:t xml:space="preserve">, </w:t>
      </w:r>
      <w:hyperlink w:anchor="passage-v-14-8">
        <w:r>
          <w:rPr>
            <w:color w:val="000000"/>
          </w:rPr>
          <w:t xml:space="preserve">V.14.8</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1433" w:name="latin-record-1192"/>
      <w:bookmarkEnd w:id="1433"/>
      <w:r>
        <w:rPr>
          <w:b/>
          <w:i w:val="0"/>
        </w:rPr>
        <w:t>sistere / subsistere</w:t>
      </w:r>
      <w:r>
        <w:rPr>
          <w:b/>
          <w:i w:val="0"/>
        </w:rPr>
        <w:t>.</w:t>
      </w:r>
      <w:r>
        <w:rPr>
          <w:b w:val="0"/>
          <w:i w:val="0"/>
        </w:rPr>
        <w:t xml:space="preserve"> Printed forms: </w:t>
      </w:r>
      <w:r>
        <w:rPr>
          <w:b w:val="0"/>
          <w:i/>
        </w:rPr>
        <w:t>sistat</w:t>
      </w:r>
      <w:r>
        <w:rPr>
          <w:b w:val="0"/>
          <w:i w:val="0"/>
        </w:rPr>
        <w:t xml:space="preserve">; </w:t>
      </w:r>
      <w:r>
        <w:rPr>
          <w:b w:val="0"/>
          <w:i/>
        </w:rPr>
        <w:t>sistit</w:t>
      </w:r>
      <w:r>
        <w:rPr>
          <w:b w:val="0"/>
          <w:i w:val="0"/>
        </w:rPr>
        <w:t xml:space="preserve">; </w:t>
      </w:r>
      <w:r>
        <w:rPr>
          <w:b w:val="0"/>
          <w:i/>
        </w:rPr>
        <w:t>subsistat</w:t>
      </w:r>
      <w:r>
        <w:rPr>
          <w:b w:val="0"/>
          <w:i w:val="0"/>
        </w:rPr>
        <w:t xml:space="preserve">; </w:t>
      </w:r>
      <w:r>
        <w:rPr>
          <w:b w:val="0"/>
          <w:i/>
        </w:rPr>
        <w:t>subsistens</w:t>
      </w:r>
      <w:r>
        <w:rPr>
          <w:b w:val="0"/>
          <w:i w:val="0"/>
        </w:rPr>
        <w:t xml:space="preserve">; </w:t>
      </w:r>
      <w:r>
        <w:rPr>
          <w:b w:val="0"/>
          <w:i/>
        </w:rPr>
        <w:t>subsistit</w:t>
      </w:r>
      <w:r>
        <w:rPr>
          <w:b w:val="0"/>
          <w:i w:val="0"/>
        </w:rPr>
        <w:t>.</w:t>
      </w:r>
    </w:p>
    <w:p>
      <w:pPr>
        <w:widowControl/>
      </w:pPr>
      <w:r>
        <w:rPr>
          <w:b w:val="0"/>
          <w:i w:val="0"/>
        </w:rPr>
        <w:t xml:space="preserve">To establish or cause to stand, and to subsist or stand in one’s nature. The same sustaining act is described from the divine side as establishing and from the soul’s side as subsisting. References: </w:t>
      </w:r>
      <w:hyperlink w:anchor="passage-v-12-1">
        <w:r>
          <w:rPr>
            <w:color w:val="000000"/>
          </w:rPr>
          <w:t xml:space="preserve">V.12.1</w:t>
        </w:r>
      </w:hyperlink>
      <w:r>
        <w:rPr>
          <w:b w:val="0"/>
          <w:i w:val="0"/>
        </w:rPr>
        <w:t xml:space="preserve">, </w:t>
      </w:r>
      <w:hyperlink w:anchor="passage-v-12-11">
        <w:r>
          <w:rPr>
            <w:color w:val="000000"/>
          </w:rPr>
          <w:t xml:space="preserve">V.12.11</w:t>
        </w:r>
      </w:hyperlink>
      <w:r>
        <w:rPr>
          <w:b w:val="0"/>
          <w:i w:val="0"/>
        </w:rPr>
        <w:t xml:space="preserve">, </w:t>
      </w:r>
      <w:hyperlink w:anchor="passage-v-12-12">
        <w:r>
          <w:rPr>
            <w:color w:val="000000"/>
          </w:rPr>
          <w:t xml:space="preserve">V.12.12</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434" w:name="latin-record-1193"/>
      <w:bookmarkEnd w:id="1434"/>
      <w:r>
        <w:rPr>
          <w:b/>
          <w:i w:val="0"/>
        </w:rPr>
        <w:t>sistere; movere; contrahere; extendere</w:t>
      </w:r>
      <w:r>
        <w:rPr>
          <w:b/>
          <w:i w:val="0"/>
        </w:rPr>
        <w:t>.</w:t>
      </w:r>
      <w:r>
        <w:rPr>
          <w:b w:val="0"/>
          <w:i w:val="0"/>
        </w:rPr>
        <w:t xml:space="preserve"> Printed forms: </w:t>
      </w:r>
      <w:r>
        <w:rPr>
          <w:b w:val="0"/>
          <w:i/>
        </w:rPr>
        <w:t>Sistit, movet, contrahit, extendit</w:t>
      </w:r>
      <w:r>
        <w:rPr>
          <w:b w:val="0"/>
          <w:i w:val="0"/>
        </w:rPr>
        <w:t>.</w:t>
      </w:r>
    </w:p>
    <w:p>
      <w:pPr>
        <w:widowControl/>
      </w:pPr>
      <w:r>
        <w:rPr>
          <w:b w:val="0"/>
          <w:i w:val="0"/>
        </w:rPr>
        <w:t xml:space="preserve">To stop, move, contract and extend. The first regulatory pairs exemplify soul’s command over opposed effects rather than possession of one fixed bodily quality.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1435" w:name="latin-record-1194"/>
      <w:bookmarkEnd w:id="1435"/>
      <w:r>
        <w:rPr>
          <w:b/>
          <w:i w:val="0"/>
        </w:rPr>
        <w:t>Socrates / Plato</w:t>
      </w:r>
      <w:r>
        <w:rPr>
          <w:b/>
          <w:i w:val="0"/>
        </w:rPr>
        <w:t>.</w:t>
      </w:r>
      <w:r>
        <w:rPr>
          <w:b w:val="0"/>
          <w:i w:val="0"/>
        </w:rPr>
        <w:t xml:space="preserve"> Printed forms: </w:t>
      </w:r>
      <w:r>
        <w:rPr>
          <w:b w:val="0"/>
          <w:i/>
        </w:rPr>
        <w:t>Plato</w:t>
      </w:r>
      <w:r>
        <w:rPr>
          <w:b w:val="0"/>
          <w:i w:val="0"/>
        </w:rPr>
        <w:t xml:space="preserve">; </w:t>
      </w:r>
      <w:r>
        <w:rPr>
          <w:b w:val="0"/>
          <w:i/>
        </w:rPr>
        <w:t>Platonem</w:t>
      </w:r>
      <w:r>
        <w:rPr>
          <w:b w:val="0"/>
          <w:i w:val="0"/>
        </w:rPr>
        <w:t xml:space="preserve">; </w:t>
      </w:r>
      <w:r>
        <w:rPr>
          <w:b w:val="0"/>
          <w:i/>
        </w:rPr>
        <w:t>Platonis</w:t>
      </w:r>
      <w:r>
        <w:rPr>
          <w:b w:val="0"/>
          <w:i w:val="0"/>
        </w:rPr>
        <w:t xml:space="preserve">; </w:t>
      </w:r>
      <w:r>
        <w:rPr>
          <w:b w:val="0"/>
          <w:i/>
        </w:rPr>
        <w:t>Socrates</w:t>
      </w:r>
      <w:r>
        <w:rPr>
          <w:b w:val="0"/>
          <w:i w:val="0"/>
        </w:rPr>
        <w:t xml:space="preserve">; </w:t>
      </w:r>
      <w:r>
        <w:rPr>
          <w:b w:val="0"/>
          <w:i/>
        </w:rPr>
        <w:t>Socratis</w:t>
      </w:r>
      <w:r>
        <w:rPr>
          <w:b w:val="0"/>
          <w:i w:val="0"/>
        </w:rPr>
        <w:t>.</w:t>
      </w:r>
    </w:p>
    <w:p>
      <w:pPr>
        <w:widowControl/>
      </w:pPr>
      <w:r>
        <w:rPr>
          <w:b w:val="0"/>
          <w:i w:val="0"/>
        </w:rPr>
        <w:t xml:space="preserve">The observer and observed person in the staged cognitive example. Their familiar relationship permits a shift from visible features to recognition of a friend and pupil, then to the humanity shared by others.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1436" w:name="latin-record-1195"/>
      <w:bookmarkEnd w:id="1436"/>
      <w:r>
        <w:rPr>
          <w:b/>
          <w:i w:val="0"/>
        </w:rPr>
        <w:t>sol</w:t>
      </w:r>
      <w:r>
        <w:rPr>
          <w:b/>
          <w:i w:val="0"/>
        </w:rPr>
        <w:t>.</w:t>
      </w:r>
      <w:r>
        <w:rPr>
          <w:b w:val="0"/>
          <w:i w:val="0"/>
        </w:rPr>
        <w:t xml:space="preserve"> Printed forms: </w:t>
      </w:r>
      <w:r>
        <w:rPr>
          <w:b w:val="0"/>
          <w:i/>
        </w:rPr>
        <w:t>Sol</w:t>
      </w:r>
      <w:r>
        <w:rPr>
          <w:b w:val="0"/>
          <w:i w:val="0"/>
        </w:rPr>
        <w:t xml:space="preserve">; </w:t>
      </w:r>
      <w:r>
        <w:rPr>
          <w:b w:val="0"/>
          <w:i/>
        </w:rPr>
        <w:t>sol</w:t>
      </w:r>
      <w:r>
        <w:rPr>
          <w:b w:val="0"/>
          <w:i w:val="0"/>
        </w:rPr>
        <w:t xml:space="preserve">; </w:t>
      </w:r>
      <w:r>
        <w:rPr>
          <w:b w:val="0"/>
          <w:i/>
        </w:rPr>
        <w:t>sole</w:t>
      </w:r>
      <w:r>
        <w:rPr>
          <w:b w:val="0"/>
          <w:i w:val="0"/>
        </w:rPr>
        <w:t xml:space="preserve">; </w:t>
      </w:r>
      <w:r>
        <w:rPr>
          <w:b w:val="0"/>
          <w:i/>
        </w:rPr>
        <w:t>solem</w:t>
      </w:r>
      <w:r>
        <w:rPr>
          <w:b w:val="0"/>
          <w:i w:val="0"/>
        </w:rPr>
        <w:t xml:space="preserve">; </w:t>
      </w:r>
      <w:r>
        <w:rPr>
          <w:b w:val="0"/>
          <w:i/>
        </w:rPr>
        <w:t>soli</w:t>
      </w:r>
      <w:r>
        <w:rPr>
          <w:b w:val="0"/>
          <w:i w:val="0"/>
        </w:rPr>
        <w:t xml:space="preserve">; </w:t>
      </w:r>
      <w:r>
        <w:rPr>
          <w:b w:val="0"/>
          <w:i/>
        </w:rPr>
        <w:t>solis</w:t>
      </w:r>
      <w:r>
        <w:rPr>
          <w:b w:val="0"/>
          <w:i w:val="0"/>
        </w:rPr>
        <w:t>.</w:t>
      </w:r>
    </w:p>
    <w:p>
      <w:pPr>
        <w:widowControl/>
      </w:pPr>
      <w:r>
        <w:rPr>
          <w:b w:val="0"/>
          <w:i w:val="0"/>
        </w:rPr>
        <w:t xml:space="preserve">The sun, a natural agent and source of light in these examples. Solar rays thin water, solar formation supplies the fire example, and inseparable light illustrates a proper attendant. References: </w:t>
      </w:r>
      <w:hyperlink w:anchor="passage-v-4-1">
        <w:r>
          <w:rPr>
            <w:color w:val="000000"/>
          </w:rPr>
          <w:t xml:space="preserve">V.4.1</w:t>
        </w:r>
      </w:hyperlink>
      <w:r>
        <w:rPr>
          <w:b w:val="0"/>
          <w:i w:val="0"/>
        </w:rPr>
        <w:t xml:space="preserve">, </w:t>
      </w:r>
      <w:hyperlink w:anchor="passage-v-8-2">
        <w:r>
          <w:rPr>
            <w:color w:val="000000"/>
          </w:rPr>
          <w:t xml:space="preserve">V.8.2</w:t>
        </w:r>
      </w:hyperlink>
      <w:r>
        <w:rPr>
          <w:b w:val="0"/>
          <w:i w:val="0"/>
        </w:rPr>
        <w:t xml:space="preserve">, </w:t>
      </w:r>
      <w:hyperlink w:anchor="passage-v-9-1">
        <w:r>
          <w:rPr>
            <w:color w:val="000000"/>
          </w:rPr>
          <w:t xml:space="preserve">V.9.1</w:t>
        </w:r>
      </w:hyperlink>
      <w:r>
        <w:rPr>
          <w:b w:val="0"/>
          <w:i w:val="0"/>
        </w:rPr>
        <w:t xml:space="preserve">, </w:t>
      </w:r>
      <w:hyperlink w:anchor="passage-v-14-6">
        <w:r>
          <w:rPr>
            <w:color w:val="000000"/>
          </w:rPr>
          <w:t xml:space="preserve">V.14.6</w:t>
        </w:r>
      </w:hyperlink>
      <w:r>
        <w:rPr>
          <w:b w:val="0"/>
          <w:i w:val="0"/>
        </w:rPr>
        <w:t xml:space="preserve">. See </w:t>
      </w:r>
      <w:hyperlink w:anchor="art-and-elemental-transformation">
        <w:r>
          <w:rPr>
            <w:color w:val="000000"/>
          </w:rPr>
          <w:t xml:space="preserve">Art and elemental transformation</w:t>
        </w:r>
      </w:hyperlink>
      <w:r>
        <w:rPr>
          <w:b w:val="0"/>
          <w:i w:val="0"/>
        </w:rPr>
        <w:t>.</w:t>
      </w:r>
    </w:p>
    <w:p>
      <w:pPr>
        <w:widowControl/>
      </w:pPr>
      <w:r>
        <w:rPr>
          <w:b w:val="0"/>
          <w:i w:val="0"/>
        </w:rPr>
        <w:t xml:space="preserve">The sun, a physical light-source or an intelligible analogue according to the passage. Solis in the ray and radiance examples belongs to sun, whereas auribus solis means ears alone; identical printed forms require syntactic disambiguation. References: </w:t>
      </w:r>
      <w:hyperlink w:anchor="passage-vi-2-7">
        <w:r>
          <w:rPr>
            <w:color w:val="000000"/>
          </w:rPr>
          <w:t xml:space="preserve">VI.2.7</w:t>
        </w:r>
      </w:hyperlink>
      <w:r>
        <w:rPr>
          <w:b w:val="0"/>
          <w:i w:val="0"/>
        </w:rPr>
        <w:t xml:space="preserve">, </w:t>
      </w:r>
      <w:hyperlink w:anchor="passage-vi-2-15">
        <w:r>
          <w:rPr>
            <w:color w:val="000000"/>
          </w:rPr>
          <w:t xml:space="preserve">VI.2.15</w:t>
        </w:r>
      </w:hyperlink>
      <w:r>
        <w:rPr>
          <w:b w:val="0"/>
          <w:i w:val="0"/>
        </w:rPr>
        <w:t xml:space="preserve">, </w:t>
      </w:r>
      <w:hyperlink w:anchor="passage-vi-2-16">
        <w:r>
          <w:rPr>
            <w:color w:val="000000"/>
          </w:rPr>
          <w:t xml:space="preserve">VI.2.16</w:t>
        </w:r>
      </w:hyperlink>
      <w:r>
        <w:rPr>
          <w:b w:val="0"/>
          <w:i w:val="0"/>
        </w:rPr>
        <w:t xml:space="preserve">, </w:t>
      </w:r>
      <w:hyperlink w:anchor="passage-vi-2-21">
        <w:r>
          <w:rPr>
            <w:color w:val="000000"/>
          </w:rPr>
          <w:t xml:space="preserve">VI.2.21</w:t>
        </w:r>
      </w:hyperlink>
      <w:r>
        <w:rPr>
          <w:b w:val="0"/>
          <w:i w:val="0"/>
        </w:rPr>
        <w:t xml:space="preserve">, </w:t>
      </w:r>
      <w:hyperlink w:anchor="passage-vi-2-23">
        <w:r>
          <w:rPr>
            <w:color w:val="000000"/>
          </w:rPr>
          <w:t xml:space="preserve">VI.2.23</w:t>
        </w:r>
      </w:hyperlink>
      <w:r>
        <w:rPr>
          <w:b w:val="0"/>
          <w:i w:val="0"/>
        </w:rPr>
        <w:t xml:space="preserve">. See </w:t>
      </w:r>
      <w:hyperlink w:anchor="light-spirit-and-unseen-source">
        <w:r>
          <w:rPr>
            <w:color w:val="000000"/>
          </w:rPr>
          <w:t xml:space="preserve">Light, spirit and the unseen source</w:t>
        </w:r>
      </w:hyperlink>
      <w:r>
        <w:rPr>
          <w:b w:val="0"/>
          <w:i w:val="0"/>
        </w:rPr>
        <w:t>.</w:t>
      </w:r>
    </w:p>
    <w:p>
      <w:pPr>
        <w:keepNext/>
        <w:widowControl/>
      </w:pPr>
      <w:bookmarkStart w:id="1437" w:name="latin-record-1196"/>
      <w:bookmarkEnd w:id="1437"/>
      <w:r>
        <w:rPr>
          <w:b/>
          <w:i w:val="0"/>
        </w:rPr>
        <w:t>sola (subject)</w:t>
      </w:r>
      <w:r>
        <w:rPr>
          <w:b/>
          <w:i w:val="0"/>
        </w:rPr>
        <w:t>.</w:t>
      </w:r>
      <w:r>
        <w:rPr>
          <w:b w:val="0"/>
          <w:i w:val="0"/>
        </w:rPr>
        <w:t xml:space="preserve"> Printed forms: </w:t>
      </w:r>
      <w:r>
        <w:rPr>
          <w:b w:val="0"/>
          <w:i/>
        </w:rPr>
        <w:t>sola</w:t>
      </w:r>
      <w:r>
        <w:rPr>
          <w:b w:val="0"/>
          <w:i w:val="0"/>
        </w:rPr>
        <w:t>.</w:t>
      </w:r>
    </w:p>
    <w:p>
      <w:pPr>
        <w:widowControl/>
      </w:pPr>
      <w:r>
        <w:rPr>
          <w:b w:val="0"/>
          <w:i w:val="0"/>
        </w:rPr>
        <w:t xml:space="preserve">Alone, feminine singular, qualifying mind as the subject that grasps incorporeals in the stated way. In et capit sola summa cum voluptate it does not restrict the objects to incorporeals alone; the chapter also gives mind knowledge of bodies. References: </w:t>
      </w:r>
      <w:hyperlink w:anchor="passage-viii-10-2">
        <w:r>
          <w:rPr>
            <w:color w:val="000000"/>
          </w:rPr>
          <w:t xml:space="preserve">VIII.10.2</w:t>
        </w:r>
      </w:hyperlink>
      <w:r>
        <w:rPr>
          <w:b w:val="0"/>
          <w:i w:val="0"/>
        </w:rPr>
        <w:t xml:space="preserve">. See </w:t>
      </w:r>
      <w:hyperlink w:anchor="viii-mental-hands">
        <w:r>
          <w:rPr>
            <w:color w:val="000000"/>
          </w:rPr>
          <w:t xml:space="preserve">Mental hands, conception, and creative understanding</w:t>
        </w:r>
      </w:hyperlink>
      <w:r>
        <w:rPr>
          <w:b w:val="0"/>
          <w:i w:val="0"/>
        </w:rPr>
        <w:t>.</w:t>
      </w:r>
    </w:p>
    <w:p>
      <w:pPr>
        <w:keepNext/>
        <w:widowControl/>
      </w:pPr>
      <w:bookmarkStart w:id="1438" w:name="latin-record-1197"/>
      <w:bookmarkEnd w:id="1438"/>
      <w:r>
        <w:rPr>
          <w:b/>
          <w:i w:val="0"/>
        </w:rPr>
        <w:t>soli et omni</w:t>
      </w:r>
      <w:r>
        <w:rPr>
          <w:b/>
          <w:i w:val="0"/>
        </w:rPr>
        <w:t>.</w:t>
      </w:r>
      <w:r>
        <w:rPr>
          <w:b w:val="0"/>
          <w:i w:val="0"/>
        </w:rPr>
        <w:t xml:space="preserve"> Printed forms: </w:t>
      </w:r>
      <w:r>
        <w:rPr>
          <w:b w:val="0"/>
          <w:i/>
        </w:rPr>
        <w:t>soli et omni animo</w:t>
      </w:r>
      <w:r>
        <w:rPr>
          <w:b w:val="0"/>
          <w:i w:val="0"/>
        </w:rPr>
        <w:t>.</w:t>
      </w:r>
    </w:p>
    <w:p>
      <w:pPr>
        <w:widowControl/>
      </w:pPr>
      <w:r>
        <w:rPr>
          <w:b w:val="0"/>
          <w:i w:val="0"/>
        </w:rPr>
        <w:t xml:space="preserve">Belonging only to soul and to every soul in the argument’s scope. The phrase qualifies the inner discord of opinions and affections, distinguishing it from alterations of lifeless bodies. References: </w:t>
      </w:r>
      <w:hyperlink w:anchor="passage-vii-15-1">
        <w:r>
          <w:rPr>
            <w:color w:val="000000"/>
          </w:rPr>
          <w:t xml:space="preserve">VII.15.1</w:t>
        </w:r>
      </w:hyperlink>
      <w:r>
        <w:rPr>
          <w:b w:val="0"/>
          <w:i w:val="0"/>
        </w:rPr>
        <w:t xml:space="preserve">. See </w:t>
      </w:r>
      <w:hyperlink w:anchor="vii-discord-soul">
        <w:r>
          <w:rPr>
            <w:color w:val="000000"/>
          </w:rPr>
          <w:t xml:space="preserve">Discord and the soul’s persistence</w:t>
        </w:r>
      </w:hyperlink>
      <w:r>
        <w:rPr>
          <w:b w:val="0"/>
          <w:i w:val="0"/>
        </w:rPr>
        <w:t>.</w:t>
      </w:r>
    </w:p>
    <w:p>
      <w:pPr>
        <w:keepNext/>
        <w:widowControl/>
      </w:pPr>
      <w:bookmarkStart w:id="1439" w:name="latin-record-1198"/>
      <w:bookmarkEnd w:id="1439"/>
      <w:r>
        <w:rPr>
          <w:b/>
          <w:i w:val="0"/>
        </w:rPr>
        <w:t>solidus / fluxus / labilis</w:t>
      </w:r>
      <w:r>
        <w:rPr>
          <w:b/>
          <w:i w:val="0"/>
        </w:rPr>
        <w:t>.</w:t>
      </w:r>
      <w:r>
        <w:rPr>
          <w:b w:val="0"/>
          <w:i w:val="0"/>
        </w:rPr>
        <w:t xml:space="preserve"> Printed forms: </w:t>
      </w:r>
      <w:r>
        <w:rPr>
          <w:b w:val="0"/>
          <w:i/>
        </w:rPr>
        <w:t>fluxum</w:t>
      </w:r>
      <w:r>
        <w:rPr>
          <w:b w:val="0"/>
          <w:i w:val="0"/>
        </w:rPr>
        <w:t xml:space="preserve">; </w:t>
      </w:r>
      <w:r>
        <w:rPr>
          <w:b w:val="0"/>
          <w:i/>
        </w:rPr>
        <w:t>labile</w:t>
      </w:r>
      <w:r>
        <w:rPr>
          <w:b w:val="0"/>
          <w:i w:val="0"/>
        </w:rPr>
        <w:t xml:space="preserve">; </w:t>
      </w:r>
      <w:r>
        <w:rPr>
          <w:b w:val="0"/>
          <w:i/>
        </w:rPr>
        <w:t>solidum</w:t>
      </w:r>
      <w:r>
        <w:rPr>
          <w:b w:val="0"/>
          <w:i w:val="0"/>
        </w:rPr>
        <w:t>.</w:t>
      </w:r>
    </w:p>
    <w:p>
      <w:pPr>
        <w:widowControl/>
      </w:pPr>
      <w:r>
        <w:rPr>
          <w:b w:val="0"/>
          <w:i w:val="0"/>
        </w:rPr>
        <w:t xml:space="preserve">Solid, fluid or unstable as possible physical constitutions of a corporeal soul. Rigidity obstructs new impressions; instability prevents retaining them. The opposed difficulties form one dilemma. References: </w:t>
      </w:r>
      <w:hyperlink w:anchor="passage-vii-1-2">
        <w:r>
          <w:rPr>
            <w:color w:val="000000"/>
          </w:rPr>
          <w:t xml:space="preserve">VII.1.2</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440" w:name="latin-record-1199"/>
      <w:bookmarkEnd w:id="1440"/>
      <w:r>
        <w:rPr>
          <w:b/>
          <w:i w:val="0"/>
        </w:rPr>
        <w:t>solus (restrictive)</w:t>
      </w:r>
      <w:r>
        <w:rPr>
          <w:b/>
          <w:i w:val="0"/>
        </w:rPr>
        <w:t>.</w:t>
      </w:r>
      <w:r>
        <w:rPr>
          <w:b w:val="0"/>
          <w:i w:val="0"/>
        </w:rPr>
        <w:t xml:space="preserve"> Printed forms: </w:t>
      </w:r>
      <w:r>
        <w:rPr>
          <w:b w:val="0"/>
          <w:i/>
        </w:rPr>
        <w:t>Sola</w:t>
      </w:r>
      <w:r>
        <w:rPr>
          <w:b w:val="0"/>
          <w:i w:val="0"/>
        </w:rPr>
        <w:t xml:space="preserve">; </w:t>
      </w:r>
      <w:r>
        <w:rPr>
          <w:b w:val="0"/>
          <w:i/>
        </w:rPr>
        <w:t>sola</w:t>
      </w:r>
      <w:r>
        <w:rPr>
          <w:b w:val="0"/>
          <w:i w:val="0"/>
        </w:rPr>
        <w:t xml:space="preserve">; </w:t>
      </w:r>
      <w:r>
        <w:rPr>
          <w:b w:val="0"/>
          <w:i/>
        </w:rPr>
        <w:t>solis</w:t>
      </w:r>
      <w:r>
        <w:rPr>
          <w:b w:val="0"/>
          <w:i w:val="0"/>
        </w:rPr>
        <w:t xml:space="preserve">; </w:t>
      </w:r>
      <w:r>
        <w:rPr>
          <w:b w:val="0"/>
          <w:i/>
        </w:rPr>
        <w:t>solo</w:t>
      </w:r>
      <w:r>
        <w:rPr>
          <w:b w:val="0"/>
          <w:i w:val="0"/>
        </w:rPr>
        <w:t xml:space="preserve">; </w:t>
      </w:r>
      <w:r>
        <w:rPr>
          <w:b w:val="0"/>
          <w:i/>
        </w:rPr>
        <w:t>solum</w:t>
      </w:r>
      <w:r>
        <w:rPr>
          <w:b w:val="0"/>
          <w:i w:val="0"/>
        </w:rPr>
        <w:t>.</w:t>
      </w:r>
    </w:p>
    <w:p>
      <w:pPr>
        <w:widowControl/>
      </w:pPr>
      <w:r>
        <w:rPr>
          <w:b w:val="0"/>
          <w:i w:val="0"/>
        </w:rPr>
        <w:t xml:space="preserve">Only or alone, restricting a subject, instrument or class of objects as syntax determines. Point alone, extent alone and sight confined to colours illustrate distinct restrictions. Solis can also be the sun’s genitive elsewhere, and VIII.10.2 sola qualifies mind. References: </w:t>
      </w:r>
      <w:hyperlink w:anchor="passage-viii-5-1">
        <w:r>
          <w:rPr>
            <w:color w:val="000000"/>
          </w:rPr>
          <w:t xml:space="preserve">VIII.5.1</w:t>
        </w:r>
      </w:hyperlink>
      <w:r>
        <w:rPr>
          <w:b w:val="0"/>
          <w:i w:val="0"/>
        </w:rPr>
        <w:t xml:space="preserve">, </w:t>
      </w:r>
      <w:hyperlink w:anchor="passage-viii-10-2">
        <w:r>
          <w:rPr>
            <w:color w:val="000000"/>
          </w:rPr>
          <w:t xml:space="preserve">VIII.10.2</w:t>
        </w:r>
      </w:hyperlink>
      <w:r>
        <w:rPr>
          <w:b w:val="0"/>
          <w:i w:val="0"/>
        </w:rPr>
        <w:t xml:space="preserve">, </w:t>
      </w:r>
      <w:hyperlink w:anchor="passage-viii-16-1">
        <w:r>
          <w:rPr>
            <w:color w:val="000000"/>
          </w:rPr>
          <w:t xml:space="preserve">VIII.16.1</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441" w:name="latin-record-1200"/>
      <w:bookmarkEnd w:id="1441"/>
      <w:r>
        <w:rPr>
          <w:b/>
          <w:i w:val="0"/>
        </w:rPr>
        <w:t>solus; omnis; nullus</w:t>
      </w:r>
      <w:r>
        <w:rPr>
          <w:b/>
          <w:i w:val="0"/>
        </w:rPr>
        <w:t>.</w:t>
      </w:r>
      <w:r>
        <w:rPr>
          <w:b w:val="0"/>
          <w:i w:val="0"/>
        </w:rPr>
        <w:t xml:space="preserve"> Printed forms: </w:t>
      </w:r>
      <w:r>
        <w:rPr>
          <w:b w:val="0"/>
          <w:i/>
        </w:rPr>
        <w:t>nulla</w:t>
      </w:r>
      <w:r>
        <w:rPr>
          <w:b w:val="0"/>
          <w:i w:val="0"/>
        </w:rPr>
        <w:t xml:space="preserve">; </w:t>
      </w:r>
      <w:r>
        <w:rPr>
          <w:b w:val="0"/>
          <w:i/>
        </w:rPr>
        <w:t>nullam</w:t>
      </w:r>
      <w:r>
        <w:rPr>
          <w:b w:val="0"/>
          <w:i w:val="0"/>
        </w:rPr>
        <w:t xml:space="preserve">; </w:t>
      </w:r>
      <w:r>
        <w:rPr>
          <w:b w:val="0"/>
          <w:i/>
        </w:rPr>
        <w:t>nulli</w:t>
      </w:r>
      <w:r>
        <w:rPr>
          <w:b w:val="0"/>
          <w:i w:val="0"/>
        </w:rPr>
        <w:t xml:space="preserve">; </w:t>
      </w:r>
      <w:r>
        <w:rPr>
          <w:b w:val="0"/>
          <w:i/>
        </w:rPr>
        <w:t>nullo</w:t>
      </w:r>
      <w:r>
        <w:rPr>
          <w:b w:val="0"/>
          <w:i w:val="0"/>
        </w:rPr>
        <w:t xml:space="preserve">; </w:t>
      </w:r>
      <w:r>
        <w:rPr>
          <w:b w:val="0"/>
          <w:i/>
        </w:rPr>
        <w:t>nullum</w:t>
      </w:r>
      <w:r>
        <w:rPr>
          <w:b w:val="0"/>
          <w:i w:val="0"/>
        </w:rPr>
        <w:t xml:space="preserve">; </w:t>
      </w:r>
      <w:r>
        <w:rPr>
          <w:b w:val="0"/>
          <w:i/>
        </w:rPr>
        <w:t>nullus</w:t>
      </w:r>
      <w:r>
        <w:rPr>
          <w:b w:val="0"/>
          <w:i w:val="0"/>
        </w:rPr>
        <w:t xml:space="preserve">; </w:t>
      </w:r>
      <w:r>
        <w:rPr>
          <w:b w:val="0"/>
          <w:i/>
        </w:rPr>
        <w:t>omne</w:t>
      </w:r>
      <w:r>
        <w:rPr>
          <w:b w:val="0"/>
          <w:i w:val="0"/>
        </w:rPr>
        <w:t xml:space="preserve">; </w:t>
      </w:r>
      <w:r>
        <w:rPr>
          <w:b w:val="0"/>
          <w:i/>
        </w:rPr>
        <w:t>omnem</w:t>
      </w:r>
      <w:r>
        <w:rPr>
          <w:b w:val="0"/>
          <w:i w:val="0"/>
        </w:rPr>
        <w:t xml:space="preserve">; </w:t>
      </w:r>
      <w:r>
        <w:rPr>
          <w:b w:val="0"/>
          <w:i/>
        </w:rPr>
        <w:t>omnes</w:t>
      </w:r>
      <w:r>
        <w:rPr>
          <w:b w:val="0"/>
          <w:i w:val="0"/>
        </w:rPr>
        <w:t xml:space="preserve">; </w:t>
      </w:r>
      <w:r>
        <w:rPr>
          <w:b w:val="0"/>
          <w:i/>
        </w:rPr>
        <w:t>omni</w:t>
      </w:r>
      <w:r>
        <w:rPr>
          <w:b w:val="0"/>
          <w:i w:val="0"/>
        </w:rPr>
        <w:t xml:space="preserve">; </w:t>
      </w:r>
      <w:r>
        <w:rPr>
          <w:b w:val="0"/>
          <w:i/>
        </w:rPr>
        <w:t>omnibus</w:t>
      </w:r>
      <w:r>
        <w:rPr>
          <w:b w:val="0"/>
          <w:i w:val="0"/>
        </w:rPr>
        <w:t xml:space="preserve">; </w:t>
      </w:r>
      <w:r>
        <w:rPr>
          <w:b w:val="0"/>
          <w:i/>
        </w:rPr>
        <w:t>omnis</w:t>
      </w:r>
      <w:r>
        <w:rPr>
          <w:b w:val="0"/>
          <w:i w:val="0"/>
        </w:rPr>
        <w:t xml:space="preserve">; </w:t>
      </w:r>
      <w:r>
        <w:rPr>
          <w:b w:val="0"/>
          <w:i/>
        </w:rPr>
        <w:t>omnium</w:t>
      </w:r>
      <w:r>
        <w:rPr>
          <w:b w:val="0"/>
          <w:i w:val="0"/>
        </w:rPr>
        <w:t xml:space="preserve">; </w:t>
      </w:r>
      <w:r>
        <w:rPr>
          <w:b w:val="0"/>
          <w:i/>
        </w:rPr>
        <w:t>sola</w:t>
      </w:r>
      <w:r>
        <w:rPr>
          <w:b w:val="0"/>
          <w:i w:val="0"/>
        </w:rPr>
        <w:t xml:space="preserve">; </w:t>
      </w:r>
      <w:r>
        <w:rPr>
          <w:b w:val="0"/>
          <w:i/>
        </w:rPr>
        <w:t>solam</w:t>
      </w:r>
      <w:r>
        <w:rPr>
          <w:b w:val="0"/>
          <w:i w:val="0"/>
        </w:rPr>
        <w:t xml:space="preserve">; </w:t>
      </w:r>
      <w:r>
        <w:rPr>
          <w:b w:val="0"/>
          <w:i/>
        </w:rPr>
        <w:t>solis</w:t>
      </w:r>
      <w:r>
        <w:rPr>
          <w:b w:val="0"/>
          <w:i w:val="0"/>
        </w:rPr>
        <w:t xml:space="preserve">; </w:t>
      </w:r>
      <w:r>
        <w:rPr>
          <w:b w:val="0"/>
          <w:i/>
        </w:rPr>
        <w:t>solius</w:t>
      </w:r>
      <w:r>
        <w:rPr>
          <w:b w:val="0"/>
          <w:i w:val="0"/>
        </w:rPr>
        <w:t xml:space="preserve">; </w:t>
      </w:r>
      <w:r>
        <w:rPr>
          <w:b w:val="0"/>
          <w:i/>
        </w:rPr>
        <w:t>solum</w:t>
      </w:r>
      <w:r>
        <w:rPr>
          <w:b w:val="0"/>
          <w:i w:val="0"/>
        </w:rPr>
        <w:t xml:space="preserve">; </w:t>
      </w:r>
      <w:r>
        <w:rPr>
          <w:b w:val="0"/>
          <w:i/>
        </w:rPr>
        <w:t>solus</w:t>
      </w:r>
      <w:r>
        <w:rPr>
          <w:b w:val="0"/>
          <w:i w:val="0"/>
        </w:rPr>
        <w:t>.</w:t>
      </w:r>
    </w:p>
    <w:p>
      <w:pPr>
        <w:widowControl/>
      </w:pPr>
      <w:r>
        <w:rPr>
          <w:b w:val="0"/>
          <w:i w:val="0"/>
        </w:rPr>
        <w:t xml:space="preserve">Only or alone, every/all, and none, with context determining their scope. Exhaustive conclusions are often restricted to a faculty, class or hypothesis; solis can also be the genitive of sol, the sun, and must not be mechanically assigned to solus. References: </w:t>
      </w:r>
      <w:hyperlink w:anchor="passage-vi-1-5">
        <w:r>
          <w:rPr>
            <w:color w:val="000000"/>
          </w:rPr>
          <w:t xml:space="preserve">VI.1.5</w:t>
        </w:r>
      </w:hyperlink>
      <w:r>
        <w:rPr>
          <w:b w:val="0"/>
          <w:i w:val="0"/>
        </w:rPr>
        <w:t xml:space="preserve">, </w:t>
      </w:r>
      <w:hyperlink w:anchor="passage-vi-1-6">
        <w:r>
          <w:rPr>
            <w:color w:val="000000"/>
          </w:rPr>
          <w:t xml:space="preserve">VI.1.6</w:t>
        </w:r>
      </w:hyperlink>
      <w:r>
        <w:rPr>
          <w:b w:val="0"/>
          <w:i w:val="0"/>
        </w:rPr>
        <w:t xml:space="preserve">, </w:t>
      </w:r>
      <w:hyperlink w:anchor="passage-vi-2-2">
        <w:r>
          <w:rPr>
            <w:color w:val="000000"/>
          </w:rPr>
          <w:t xml:space="preserve">VI.2.2</w:t>
        </w:r>
      </w:hyperlink>
      <w:r>
        <w:rPr>
          <w:b w:val="0"/>
          <w:i w:val="0"/>
        </w:rPr>
        <w:t xml:space="preserve">, </w:t>
      </w:r>
      <w:hyperlink w:anchor="passage-vi-2-3">
        <w:r>
          <w:rPr>
            <w:color w:val="000000"/>
          </w:rPr>
          <w:t xml:space="preserve">VI.2.3</w:t>
        </w:r>
      </w:hyperlink>
      <w:r>
        <w:rPr>
          <w:b w:val="0"/>
          <w:i w:val="0"/>
        </w:rPr>
        <w:t xml:space="preserve">, </w:t>
      </w:r>
      <w:hyperlink w:anchor="passage-vi-2-6">
        <w:r>
          <w:rPr>
            <w:color w:val="000000"/>
          </w:rPr>
          <w:t xml:space="preserve">VI.2.6</w:t>
        </w:r>
      </w:hyperlink>
      <w:r>
        <w:rPr>
          <w:b w:val="0"/>
          <w:i w:val="0"/>
        </w:rPr>
        <w:t xml:space="preserve">, </w:t>
      </w:r>
      <w:hyperlink w:anchor="passage-vi-2-8">
        <w:r>
          <w:rPr>
            <w:color w:val="000000"/>
          </w:rPr>
          <w:t xml:space="preserve">VI.2.8</w:t>
        </w:r>
      </w:hyperlink>
      <w:r>
        <w:rPr>
          <w:b w:val="0"/>
          <w:i w:val="0"/>
        </w:rPr>
        <w:t xml:space="preserve">, </w:t>
      </w:r>
      <w:hyperlink w:anchor="passage-vi-2-9">
        <w:r>
          <w:rPr>
            <w:color w:val="000000"/>
          </w:rPr>
          <w:t xml:space="preserve">VI.2.9</w:t>
        </w:r>
      </w:hyperlink>
      <w:r>
        <w:rPr>
          <w:b w:val="0"/>
          <w:i w:val="0"/>
        </w:rPr>
        <w:t xml:space="preserve">, </w:t>
      </w:r>
      <w:hyperlink w:anchor="passage-vi-4-5">
        <w:r>
          <w:rPr>
            <w:color w:val="000000"/>
          </w:rPr>
          <w:t xml:space="preserve">VI.4.5</w:t>
        </w:r>
      </w:hyperlink>
      <w:r>
        <w:rPr>
          <w:b w:val="0"/>
          <w:i w:val="0"/>
        </w:rPr>
        <w:t xml:space="preserve">, </w:t>
      </w:r>
      <w:hyperlink w:anchor="passage-vi-6-3">
        <w:r>
          <w:rPr>
            <w:color w:val="000000"/>
          </w:rPr>
          <w:t xml:space="preserve">VI.6.3</w:t>
        </w:r>
      </w:hyperlink>
      <w:r>
        <w:rPr>
          <w:b w:val="0"/>
          <w:i w:val="0"/>
        </w:rPr>
        <w:t xml:space="preserve">, </w:t>
      </w:r>
      <w:hyperlink w:anchor="passage-vi-9-3">
        <w:r>
          <w:rPr>
            <w:color w:val="000000"/>
          </w:rPr>
          <w:t xml:space="preserve">VI.9.3</w:t>
        </w:r>
      </w:hyperlink>
      <w:r>
        <w:rPr>
          <w:b w:val="0"/>
          <w:i w:val="0"/>
        </w:rPr>
        <w:t xml:space="preserve">, </w:t>
      </w:r>
      <w:hyperlink w:anchor="passage-vi-11-1">
        <w:r>
          <w:rPr>
            <w:color w:val="000000"/>
          </w:rPr>
          <w:t xml:space="preserve">VI.11.1</w:t>
        </w:r>
      </w:hyperlink>
      <w:r>
        <w:rPr>
          <w:b w:val="0"/>
          <w:i w:val="0"/>
        </w:rPr>
        <w:t xml:space="preserve">, </w:t>
      </w:r>
      <w:hyperlink w:anchor="passage-vi-12-7">
        <w:r>
          <w:rPr>
            <w:color w:val="000000"/>
          </w:rPr>
          <w:t xml:space="preserve">VI.12.7</w:t>
        </w:r>
      </w:hyperlink>
      <w:r>
        <w:rPr>
          <w:b w:val="0"/>
          <w:i w:val="0"/>
        </w:rPr>
        <w:t xml:space="preserve">, </w:t>
      </w:r>
      <w:hyperlink w:anchor="passage-vi-12-16">
        <w:r>
          <w:rPr>
            <w:color w:val="000000"/>
          </w:rPr>
          <w:t xml:space="preserve">VI.12.16</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442" w:name="latin-record-1201"/>
      <w:bookmarkEnd w:id="1442"/>
      <w:r>
        <w:rPr>
          <w:b/>
          <w:i w:val="0"/>
        </w:rPr>
        <w:t>solutus</w:t>
      </w:r>
      <w:r>
        <w:rPr>
          <w:b/>
          <w:i w:val="0"/>
        </w:rPr>
        <w:t>.</w:t>
      </w:r>
      <w:r>
        <w:rPr>
          <w:b w:val="0"/>
          <w:i w:val="0"/>
        </w:rPr>
        <w:t xml:space="preserve"> Printed forms: </w:t>
      </w:r>
      <w:r>
        <w:rPr>
          <w:b w:val="0"/>
          <w:i/>
        </w:rPr>
        <w:t>solutus</w:t>
      </w:r>
      <w:r>
        <w:rPr>
          <w:b w:val="0"/>
          <w:i w:val="0"/>
        </w:rPr>
        <w:t>.</w:t>
      </w:r>
    </w:p>
    <w:p>
      <w:pPr>
        <w:widowControl/>
      </w:pPr>
      <w:r>
        <w:rPr>
          <w:b w:val="0"/>
          <w:i w:val="0"/>
        </w:rPr>
        <w:t xml:space="preserve">Released or free from bodily subjection in the local argument. It does not mean destroyed or dissolved; the disembodied state is invoked in one branch of the coercion dilemma. References: </w:t>
      </w:r>
      <w:hyperlink w:anchor="passage-v-15-22">
        <w:r>
          <w:rPr>
            <w:color w:val="000000"/>
          </w:rPr>
          <w:t xml:space="preserve">V.15.22</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1443" w:name="latin-record-1202"/>
      <w:bookmarkEnd w:id="1443"/>
      <w:r>
        <w:rPr>
          <w:b/>
          <w:i w:val="0"/>
        </w:rPr>
        <w:t>solvere; retro versus</w:t>
      </w:r>
      <w:r>
        <w:rPr>
          <w:b/>
          <w:i w:val="0"/>
        </w:rPr>
        <w:t>.</w:t>
      </w:r>
      <w:r>
        <w:rPr>
          <w:b w:val="0"/>
          <w:i w:val="0"/>
        </w:rPr>
        <w:t xml:space="preserve"> Printed forms: </w:t>
      </w:r>
      <w:r>
        <w:rPr>
          <w:b w:val="0"/>
          <w:i/>
        </w:rPr>
        <w:t>retro versus</w:t>
      </w:r>
      <w:r>
        <w:rPr>
          <w:b w:val="0"/>
          <w:i w:val="0"/>
        </w:rPr>
        <w:t xml:space="preserve">; </w:t>
      </w:r>
      <w:r>
        <w:rPr>
          <w:b w:val="0"/>
          <w:i/>
        </w:rPr>
        <w:t>solvatur</w:t>
      </w:r>
      <w:r>
        <w:rPr>
          <w:b w:val="0"/>
          <w:i w:val="0"/>
        </w:rPr>
        <w:t>.</w:t>
      </w:r>
    </w:p>
    <w:p>
      <w:pPr>
        <w:widowControl/>
      </w:pPr>
      <w:r>
        <w:rPr>
          <w:b w:val="0"/>
          <w:i w:val="0"/>
        </w:rPr>
        <w:t xml:space="preserve">To release; turned backward. Release initially forces painful attention to the source of the earlier appearances rather than instantly producing clear vision. References: </w:t>
      </w:r>
      <w:hyperlink w:anchor="passage-vi-2-15">
        <w:r>
          <w:rPr>
            <w:color w:val="000000"/>
          </w:rPr>
          <w:t xml:space="preserve">VI.2.15</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444" w:name="latin-record-1203"/>
      <w:bookmarkEnd w:id="1444"/>
      <w:r>
        <w:rPr>
          <w:b/>
          <w:i w:val="0"/>
        </w:rPr>
        <w:t>somniare</w:t>
      </w:r>
      <w:r>
        <w:rPr>
          <w:b/>
          <w:i w:val="0"/>
        </w:rPr>
        <w:t>.</w:t>
      </w:r>
      <w:r>
        <w:rPr>
          <w:b w:val="0"/>
          <w:i w:val="0"/>
        </w:rPr>
        <w:t xml:space="preserve"> Printed forms: </w:t>
      </w:r>
      <w:r>
        <w:rPr>
          <w:b w:val="0"/>
          <w:i/>
        </w:rPr>
        <w:t>somniare</w:t>
      </w:r>
      <w:r>
        <w:rPr>
          <w:b w:val="0"/>
          <w:i w:val="0"/>
        </w:rPr>
        <w:t>.</w:t>
      </w:r>
    </w:p>
    <w:p>
      <w:pPr>
        <w:widowControl/>
      </w:pPr>
      <w:r>
        <w:rPr>
          <w:b w:val="0"/>
          <w:i w:val="0"/>
        </w:rPr>
        <w:t xml:space="preserve">To dream or imagine, used dismissively. Ficino’s polemical verb marks his rejection of the claim that soul is harmony generated by bodily constitution. References: </w:t>
      </w:r>
      <w:hyperlink w:anchor="passage-vii-10-1">
        <w:r>
          <w:rPr>
            <w:color w:val="000000"/>
          </w:rPr>
          <w:t xml:space="preserve">VII.10.1</w:t>
        </w:r>
      </w:hyperlink>
      <w:r>
        <w:rPr>
          <w:b w:val="0"/>
          <w:i w:val="0"/>
        </w:rPr>
        <w:t xml:space="preserve">. See </w:t>
      </w:r>
      <w:hyperlink w:anchor="vii-harmony-strings">
        <w:r>
          <w:rPr>
            <w:color w:val="000000"/>
          </w:rPr>
          <w:t xml:space="preserve">Harmony and the strings</w:t>
        </w:r>
      </w:hyperlink>
      <w:r>
        <w:rPr>
          <w:b w:val="0"/>
          <w:i w:val="0"/>
        </w:rPr>
        <w:t>.</w:t>
      </w:r>
    </w:p>
    <w:p>
      <w:pPr>
        <w:keepNext/>
        <w:widowControl/>
      </w:pPr>
      <w:bookmarkStart w:id="1445" w:name="latin-record-1204"/>
      <w:bookmarkEnd w:id="1445"/>
      <w:r>
        <w:rPr>
          <w:b/>
          <w:i w:val="0"/>
        </w:rPr>
        <w:t>somnus</w:t>
      </w:r>
      <w:r>
        <w:rPr>
          <w:b/>
          <w:i w:val="0"/>
        </w:rPr>
        <w:t>.</w:t>
      </w:r>
      <w:r>
        <w:rPr>
          <w:b w:val="0"/>
          <w:i w:val="0"/>
        </w:rPr>
        <w:t xml:space="preserve"> Printed forms: </w:t>
      </w:r>
      <w:r>
        <w:rPr>
          <w:b w:val="0"/>
          <w:i/>
        </w:rPr>
        <w:t>somno</w:t>
      </w:r>
      <w:r>
        <w:rPr>
          <w:b w:val="0"/>
          <w:i w:val="0"/>
        </w:rPr>
        <w:t xml:space="preserve">; </w:t>
      </w:r>
      <w:r>
        <w:rPr>
          <w:b w:val="0"/>
          <w:i/>
        </w:rPr>
        <w:t>somnum</w:t>
      </w:r>
      <w:r>
        <w:rPr>
          <w:b w:val="0"/>
          <w:i w:val="0"/>
        </w:rPr>
        <w:t xml:space="preserve">; </w:t>
      </w:r>
      <w:r>
        <w:rPr>
          <w:b w:val="0"/>
          <w:i/>
        </w:rPr>
        <w:t>somnus</w:t>
      </w:r>
      <w:r>
        <w:rPr>
          <w:b w:val="0"/>
          <w:i w:val="0"/>
        </w:rPr>
        <w:t>.</w:t>
      </w:r>
    </w:p>
    <w:p>
      <w:pPr>
        <w:widowControl/>
      </w:pPr>
      <w:r>
        <w:rPr>
          <w:b w:val="0"/>
          <w:i w:val="0"/>
        </w:rPr>
        <w:t xml:space="preserve">Sleep, a bodily change introduced as an apparent model of involuntary mental weakening. Ficino distinguishes inhibition of bodily sensation from loss of psychic power or conversion into body. References: </w:t>
      </w:r>
      <w:hyperlink w:anchor="passage-v-15-23">
        <w:r>
          <w:rPr>
            <w:color w:val="000000"/>
          </w:rPr>
          <w:t xml:space="preserve">V.15.23</w:t>
        </w:r>
      </w:hyperlink>
      <w:r>
        <w:rPr>
          <w:b w:val="0"/>
          <w:i w:val="0"/>
        </w:rPr>
        <w:t xml:space="preserve">, </w:t>
      </w:r>
      <w:hyperlink w:anchor="passage-v-15-24">
        <w:r>
          <w:rPr>
            <w:color w:val="000000"/>
          </w:rPr>
          <w:t xml:space="preserve">V.15.24</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1446" w:name="latin-record-1205"/>
      <w:bookmarkEnd w:id="1446"/>
      <w:r>
        <w:rPr>
          <w:b/>
          <w:i w:val="0"/>
        </w:rPr>
        <w:t>sonus / percussio / silentium</w:t>
      </w:r>
      <w:r>
        <w:rPr>
          <w:b/>
          <w:i w:val="0"/>
        </w:rPr>
        <w:t>.</w:t>
      </w:r>
      <w:r>
        <w:rPr>
          <w:b w:val="0"/>
          <w:i w:val="0"/>
        </w:rPr>
        <w:t xml:space="preserve"> Printed forms: </w:t>
      </w:r>
      <w:r>
        <w:rPr>
          <w:b w:val="0"/>
          <w:i/>
        </w:rPr>
        <w:t>percussionem</w:t>
      </w:r>
      <w:r>
        <w:rPr>
          <w:b w:val="0"/>
          <w:i w:val="0"/>
        </w:rPr>
        <w:t xml:space="preserve">; </w:t>
      </w:r>
      <w:r>
        <w:rPr>
          <w:b w:val="0"/>
          <w:i/>
        </w:rPr>
        <w:t>silentio</w:t>
      </w:r>
      <w:r>
        <w:rPr>
          <w:b w:val="0"/>
          <w:i w:val="0"/>
        </w:rPr>
        <w:t xml:space="preserve">; </w:t>
      </w:r>
      <w:r>
        <w:rPr>
          <w:b w:val="0"/>
          <w:i/>
        </w:rPr>
        <w:t>sono</w:t>
      </w:r>
      <w:r>
        <w:rPr>
          <w:b w:val="0"/>
          <w:i w:val="0"/>
        </w:rPr>
        <w:t>.</w:t>
      </w:r>
    </w:p>
    <w:p>
      <w:pPr>
        <w:widowControl/>
      </w:pPr>
      <w:r>
        <w:rPr>
          <w:b w:val="0"/>
          <w:i w:val="0"/>
        </w:rPr>
        <w:t xml:space="preserve">Sound, its impact, and silence. The organ is already animated in silence; impact produces more attentive animation, not the first existence of sensory capacity.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447" w:name="latin-record-1206"/>
      <w:bookmarkEnd w:id="1447"/>
      <w:r>
        <w:rPr>
          <w:b/>
          <w:i w:val="0"/>
        </w:rPr>
        <w:t>sopire / claudere</w:t>
      </w:r>
      <w:r>
        <w:rPr>
          <w:b/>
          <w:i w:val="0"/>
        </w:rPr>
        <w:t>.</w:t>
      </w:r>
      <w:r>
        <w:rPr>
          <w:b w:val="0"/>
          <w:i w:val="0"/>
        </w:rPr>
        <w:t xml:space="preserve"> Printed forms: </w:t>
      </w:r>
      <w:r>
        <w:rPr>
          <w:b w:val="0"/>
          <w:i/>
        </w:rPr>
        <w:t>claudit</w:t>
      </w:r>
      <w:r>
        <w:rPr>
          <w:b w:val="0"/>
          <w:i w:val="0"/>
        </w:rPr>
        <w:t xml:space="preserve">; </w:t>
      </w:r>
      <w:r>
        <w:rPr>
          <w:b w:val="0"/>
          <w:i/>
        </w:rPr>
        <w:t>sopit</w:t>
      </w:r>
      <w:r>
        <w:rPr>
          <w:b w:val="0"/>
          <w:i w:val="0"/>
        </w:rPr>
        <w:t>.</w:t>
      </w:r>
    </w:p>
    <w:p>
      <w:pPr>
        <w:widowControl/>
      </w:pPr>
      <w:r>
        <w:rPr>
          <w:b w:val="0"/>
          <w:i w:val="0"/>
        </w:rPr>
        <w:t xml:space="preserve">To lull and to close, descriptions of the bodily senses in sleep. The change is located in the body and its sense organs rather than an extinction of the soul’s power. References: </w:t>
      </w:r>
      <w:hyperlink w:anchor="passage-v-15-23">
        <w:r>
          <w:rPr>
            <w:color w:val="000000"/>
          </w:rPr>
          <w:t xml:space="preserve">V.15.23</w:t>
        </w:r>
      </w:hyperlink>
      <w:r>
        <w:rPr>
          <w:b w:val="0"/>
          <w:i w:val="0"/>
        </w:rPr>
        <w:t xml:space="preserve">. See </w:t>
      </w:r>
      <w:hyperlink w:anchor="sleep-and-dreams">
        <w:r>
          <w:rPr>
            <w:color w:val="000000"/>
          </w:rPr>
          <w:t xml:space="preserve">Sleep and dreams</w:t>
        </w:r>
      </w:hyperlink>
      <w:r>
        <w:rPr>
          <w:b w:val="0"/>
          <w:i w:val="0"/>
        </w:rPr>
        <w:t>.</w:t>
      </w:r>
    </w:p>
    <w:p>
      <w:pPr>
        <w:keepNext/>
        <w:widowControl/>
      </w:pPr>
      <w:bookmarkStart w:id="1448" w:name="latin-record-1207"/>
      <w:bookmarkEnd w:id="1448"/>
      <w:r>
        <w:rPr>
          <w:b/>
          <w:i w:val="0"/>
        </w:rPr>
        <w:t>sortiri</w:t>
      </w:r>
      <w:r>
        <w:rPr>
          <w:b/>
          <w:i w:val="0"/>
        </w:rPr>
        <w:t>.</w:t>
      </w:r>
      <w:r>
        <w:rPr>
          <w:b w:val="0"/>
          <w:i w:val="0"/>
        </w:rPr>
        <w:t xml:space="preserve"> Printed forms: </w:t>
      </w:r>
      <w:r>
        <w:rPr>
          <w:b w:val="0"/>
          <w:i/>
        </w:rPr>
        <w:t>sortiantur</w:t>
      </w:r>
      <w:r>
        <w:rPr>
          <w:b w:val="0"/>
          <w:i w:val="0"/>
        </w:rPr>
        <w:t xml:space="preserve">; </w:t>
      </w:r>
      <w:r>
        <w:rPr>
          <w:b w:val="0"/>
          <w:i/>
        </w:rPr>
        <w:t>Sortitur</w:t>
      </w:r>
      <w:r>
        <w:rPr>
          <w:b w:val="0"/>
          <w:i w:val="0"/>
        </w:rPr>
        <w:t xml:space="preserve">; </w:t>
      </w:r>
      <w:r>
        <w:rPr>
          <w:b w:val="0"/>
          <w:i/>
        </w:rPr>
        <w:t>sortitur</w:t>
      </w:r>
      <w:r>
        <w:rPr>
          <w:b w:val="0"/>
          <w:i w:val="0"/>
        </w:rPr>
        <w:t>.</w:t>
      </w:r>
    </w:p>
    <w:p>
      <w:pPr>
        <w:widowControl/>
      </w:pPr>
      <w:r>
        <w:rPr>
          <w:b w:val="0"/>
          <w:i w:val="0"/>
        </w:rPr>
        <w:t xml:space="preserve">To obtain an allotted mode or possession. Forms receive being in matter or in themselves, so the mode allotted by the maker controls the consequence. References: </w:t>
      </w:r>
      <w:hyperlink w:anchor="passage-v-7-2">
        <w:r>
          <w:rPr>
            <w:color w:val="000000"/>
          </w:rPr>
          <w:t xml:space="preserve">V.7.2</w:t>
        </w:r>
      </w:hyperlink>
      <w:r>
        <w:rPr>
          <w:b w:val="0"/>
          <w:i w:val="0"/>
        </w:rPr>
        <w:t xml:space="preserve">, </w:t>
      </w:r>
      <w:hyperlink w:anchor="passage-v-9-1">
        <w:r>
          <w:rPr>
            <w:color w:val="000000"/>
          </w:rPr>
          <w:t xml:space="preserve">V.9.1</w:t>
        </w:r>
      </w:hyperlink>
      <w:r>
        <w:rPr>
          <w:b w:val="0"/>
          <w:i w:val="0"/>
        </w:rPr>
        <w:t xml:space="preserve">, </w:t>
      </w:r>
      <w:hyperlink w:anchor="passage-v-9-4">
        <w:r>
          <w:rPr>
            <w:color w:val="000000"/>
          </w:rPr>
          <w:t xml:space="preserve">V.9.4</w:t>
        </w:r>
      </w:hyperlink>
      <w:r>
        <w:rPr>
          <w:b w:val="0"/>
          <w:i w:val="0"/>
        </w:rPr>
        <w:t xml:space="preserve">. See </w:t>
      </w:r>
      <w:hyperlink w:anchor="conditions-and-the-fashioners-law">
        <w:r>
          <w:rPr>
            <w:color w:val="000000"/>
          </w:rPr>
          <w:t xml:space="preserve">Conditions and the fashioner’s law</w:t>
        </w:r>
      </w:hyperlink>
      <w:r>
        <w:rPr>
          <w:b w:val="0"/>
          <w:i w:val="0"/>
        </w:rPr>
        <w:t>.</w:t>
      </w:r>
    </w:p>
    <w:p>
      <w:pPr>
        <w:keepNext/>
        <w:widowControl/>
      </w:pPr>
      <w:bookmarkStart w:id="1449" w:name="latin-record-1208"/>
      <w:bookmarkEnd w:id="1449"/>
      <w:r>
        <w:rPr>
          <w:b/>
          <w:i w:val="0"/>
        </w:rPr>
        <w:t>spargere</w:t>
      </w:r>
      <w:r>
        <w:rPr>
          <w:b/>
          <w:i w:val="0"/>
        </w:rPr>
        <w:t>.</w:t>
      </w:r>
      <w:r>
        <w:rPr>
          <w:b w:val="0"/>
          <w:i w:val="0"/>
        </w:rPr>
        <w:t xml:space="preserve"> Printed forms: </w:t>
      </w:r>
      <w:r>
        <w:rPr>
          <w:b w:val="0"/>
          <w:i/>
        </w:rPr>
        <w:t>sparsa</w:t>
      </w:r>
      <w:r>
        <w:rPr>
          <w:b w:val="0"/>
          <w:i w:val="0"/>
        </w:rPr>
        <w:t>.</w:t>
      </w:r>
    </w:p>
    <w:p>
      <w:pPr>
        <w:widowControl/>
      </w:pPr>
      <w:r>
        <w:rPr>
          <w:b w:val="0"/>
          <w:i w:val="0"/>
        </w:rPr>
        <w:t xml:space="preserve">To scatter or spread across parts. The quality of the second theory is distributed with the little body’s parts rather than wholly present without division. References: </w:t>
      </w:r>
      <w:hyperlink w:anchor="passage-vi-1-3">
        <w:r>
          <w:rPr>
            <w:color w:val="000000"/>
          </w:rPr>
          <w:t xml:space="preserve">VI.1.3</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450" w:name="latin-record-1209"/>
      <w:bookmarkEnd w:id="1450"/>
      <w:r>
        <w:rPr>
          <w:b/>
          <w:i w:val="0"/>
        </w:rPr>
        <w:t>species</w:t>
      </w:r>
      <w:r>
        <w:rPr>
          <w:b/>
          <w:i w:val="0"/>
        </w:rPr>
        <w:t>.</w:t>
      </w:r>
      <w:r>
        <w:rPr>
          <w:b w:val="0"/>
          <w:i w:val="0"/>
        </w:rPr>
        <w:t xml:space="preserve"> Printed forms: </w:t>
      </w:r>
      <w:r>
        <w:rPr>
          <w:b w:val="0"/>
          <w:i/>
        </w:rPr>
        <w:t>specie</w:t>
      </w:r>
      <w:r>
        <w:rPr>
          <w:b w:val="0"/>
          <w:i w:val="0"/>
        </w:rPr>
        <w:t xml:space="preserve">; </w:t>
      </w:r>
      <w:r>
        <w:rPr>
          <w:b w:val="0"/>
          <w:i/>
        </w:rPr>
        <w:t>speciebus</w:t>
      </w:r>
      <w:r>
        <w:rPr>
          <w:b w:val="0"/>
          <w:i w:val="0"/>
        </w:rPr>
        <w:t xml:space="preserve">; </w:t>
      </w:r>
      <w:r>
        <w:rPr>
          <w:b w:val="0"/>
          <w:i/>
        </w:rPr>
        <w:t>speciei</w:t>
      </w:r>
      <w:r>
        <w:rPr>
          <w:b w:val="0"/>
          <w:i w:val="0"/>
        </w:rPr>
        <w:t xml:space="preserve">; </w:t>
      </w:r>
      <w:r>
        <w:rPr>
          <w:b w:val="0"/>
          <w:i/>
        </w:rPr>
        <w:t>speciem</w:t>
      </w:r>
      <w:r>
        <w:rPr>
          <w:b w:val="0"/>
          <w:i w:val="0"/>
        </w:rPr>
        <w:t xml:space="preserve">; </w:t>
      </w:r>
      <w:r>
        <w:rPr>
          <w:b w:val="0"/>
          <w:i/>
        </w:rPr>
        <w:t>species</w:t>
      </w:r>
      <w:r>
        <w:rPr>
          <w:b w:val="0"/>
          <w:i w:val="0"/>
        </w:rPr>
        <w:t>.</w:t>
      </w:r>
    </w:p>
    <w:p>
      <w:pPr>
        <w:widowControl/>
      </w:pPr>
      <w:r>
        <w:rPr>
          <w:b w:val="0"/>
          <w:i w:val="0"/>
        </w:rPr>
        <w:t xml:space="preserve">Kind, determinate form or intelligible appearance, depending upon context. Form differentiates species; operation takes its species from its object; the meaning is not always the modern biological species. References: </w:t>
      </w:r>
      <w:hyperlink w:anchor="passage-v-4-1">
        <w:r>
          <w:rPr>
            <w:color w:val="000000"/>
          </w:rPr>
          <w:t xml:space="preserve">V.4.1</w:t>
        </w:r>
      </w:hyperlink>
      <w:r>
        <w:rPr>
          <w:b w:val="0"/>
          <w:i w:val="0"/>
        </w:rPr>
        <w:t xml:space="preserve">, </w:t>
      </w:r>
      <w:hyperlink w:anchor="passage-v-8-1">
        <w:r>
          <w:rPr>
            <w:color w:val="000000"/>
          </w:rPr>
          <w:t xml:space="preserve">V.8.1</w:t>
        </w:r>
      </w:hyperlink>
      <w:r>
        <w:rPr>
          <w:b w:val="0"/>
          <w:i w:val="0"/>
        </w:rPr>
        <w:t xml:space="preserve">, </w:t>
      </w:r>
      <w:hyperlink w:anchor="passage-v-11-8">
        <w:r>
          <w:rPr>
            <w:color w:val="000000"/>
          </w:rPr>
          <w:t xml:space="preserve">V.11.8</w:t>
        </w:r>
      </w:hyperlink>
      <w:r>
        <w:rPr>
          <w:b w:val="0"/>
          <w:i w:val="0"/>
        </w:rPr>
        <w:t xml:space="preserve">, </w:t>
      </w:r>
      <w:hyperlink w:anchor="passage-v-13-12">
        <w:r>
          <w:rPr>
            <w:color w:val="000000"/>
          </w:rPr>
          <w:t xml:space="preserve">V.13.12</w:t>
        </w:r>
      </w:hyperlink>
      <w:r>
        <w:rPr>
          <w:b w:val="0"/>
          <w:i w:val="0"/>
        </w:rPr>
        <w:t xml:space="preserve">. See </w:t>
      </w:r>
      <w:hyperlink w:anchor="form-and-formal-being">
        <w:r>
          <w:rPr>
            <w:color w:val="000000"/>
          </w:rPr>
          <w:t xml:space="preserve">Form and formal being</w:t>
        </w:r>
      </w:hyperlink>
      <w:r>
        <w:rPr>
          <w:b w:val="0"/>
          <w:i w:val="0"/>
        </w:rPr>
        <w:t>.</w:t>
      </w:r>
    </w:p>
    <w:p>
      <w:pPr>
        <w:widowControl/>
      </w:pPr>
      <w:r>
        <w:rPr>
          <w:b w:val="0"/>
          <w:i w:val="0"/>
        </w:rPr>
        <w:t xml:space="preserve">A determinate nature or an intelligible representing form, according to context. Human and numerical species remain one under their defining accounts; the species received by mind is not a spatial parcel. References: </w:t>
      </w:r>
      <w:hyperlink w:anchor="passage-viii-4-1">
        <w:r>
          <w:rPr>
            <w:color w:val="000000"/>
          </w:rPr>
          <w:t xml:space="preserve">VIII.4.1</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See </w:t>
      </w:r>
      <w:hyperlink w:anchor="viii-species-simplicity">
        <w:r>
          <w:rPr>
            <w:color w:val="000000"/>
          </w:rPr>
          <w:t xml:space="preserve">Simplicity of human and numerical species</w:t>
        </w:r>
      </w:hyperlink>
      <w:r>
        <w:rPr>
          <w:b w:val="0"/>
          <w:i w:val="0"/>
        </w:rPr>
        <w:t>.</w:t>
      </w:r>
    </w:p>
    <w:p>
      <w:pPr>
        <w:keepNext/>
        <w:widowControl/>
      </w:pPr>
      <w:bookmarkStart w:id="1451" w:name="latin-record-1210"/>
      <w:bookmarkEnd w:id="1451"/>
      <w:r>
        <w:rPr>
          <w:b/>
          <w:i w:val="0"/>
        </w:rPr>
        <w:t>species / genus / cognomen</w:t>
      </w:r>
      <w:r>
        <w:rPr>
          <w:b/>
          <w:i w:val="0"/>
        </w:rPr>
        <w:t>.</w:t>
      </w:r>
      <w:r>
        <w:rPr>
          <w:b w:val="0"/>
          <w:i w:val="0"/>
        </w:rPr>
        <w:t xml:space="preserve"> Printed forms: </w:t>
      </w:r>
      <w:r>
        <w:rPr>
          <w:b w:val="0"/>
          <w:i/>
        </w:rPr>
        <w:t>cognomen</w:t>
      </w:r>
      <w:r>
        <w:rPr>
          <w:b w:val="0"/>
          <w:i w:val="0"/>
        </w:rPr>
        <w:t xml:space="preserve">; </w:t>
      </w:r>
      <w:r>
        <w:rPr>
          <w:b w:val="0"/>
          <w:i/>
        </w:rPr>
        <w:t>generisque</w:t>
      </w:r>
      <w:r>
        <w:rPr>
          <w:b w:val="0"/>
          <w:i w:val="0"/>
        </w:rPr>
        <w:t xml:space="preserve">; </w:t>
      </w:r>
      <w:r>
        <w:rPr>
          <w:b w:val="0"/>
          <w:i/>
        </w:rPr>
        <w:t>specie</w:t>
      </w:r>
      <w:r>
        <w:rPr>
          <w:b w:val="0"/>
          <w:i w:val="0"/>
        </w:rPr>
        <w:t xml:space="preserve">; </w:t>
      </w:r>
      <w:r>
        <w:rPr>
          <w:b w:val="0"/>
          <w:i/>
        </w:rPr>
        <w:t>speciei</w:t>
      </w:r>
      <w:r>
        <w:rPr>
          <w:b w:val="0"/>
          <w:i w:val="0"/>
        </w:rPr>
        <w:t xml:space="preserve">; </w:t>
      </w:r>
      <w:r>
        <w:rPr>
          <w:b w:val="0"/>
          <w:i/>
        </w:rPr>
        <w:t>species</w:t>
      </w:r>
      <w:r>
        <w:rPr>
          <w:b w:val="0"/>
          <w:i w:val="0"/>
        </w:rPr>
        <w:t>.</w:t>
      </w:r>
    </w:p>
    <w:p>
      <w:pPr>
        <w:widowControl/>
      </w:pPr>
      <w:r>
        <w:rPr>
          <w:b w:val="0"/>
          <w:i w:val="0"/>
        </w:rPr>
        <w:t xml:space="preserve">Kind, genus and the corresponding name. Soul makes this living body a dog, horse or human; these taxonomic uses differ from sensory species.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1452" w:name="latin-record-1211"/>
      <w:bookmarkEnd w:id="1452"/>
      <w:r>
        <w:rPr>
          <w:b/>
          <w:i w:val="0"/>
        </w:rPr>
        <w:t>species absolutae</w:t>
      </w:r>
      <w:r>
        <w:rPr>
          <w:b/>
          <w:i w:val="0"/>
        </w:rPr>
        <w:t>.</w:t>
      </w:r>
      <w:r>
        <w:rPr>
          <w:b w:val="0"/>
          <w:i w:val="0"/>
        </w:rPr>
        <w:t xml:space="preserve"> Printed forms: </w:t>
      </w:r>
      <w:r>
        <w:rPr>
          <w:b w:val="0"/>
          <w:i/>
        </w:rPr>
        <w:t>species absolutas</w:t>
      </w:r>
      <w:r>
        <w:rPr>
          <w:b w:val="0"/>
          <w:i w:val="0"/>
        </w:rPr>
        <w:t>.</w:t>
      </w:r>
    </w:p>
    <w:p>
      <w:pPr>
        <w:widowControl/>
      </w:pPr>
      <w:r>
        <w:rPr>
          <w:b w:val="0"/>
          <w:i w:val="0"/>
        </w:rPr>
        <w:t xml:space="preserve">Separate or unrestricted forms produced within rational cognition. They provide the nearer route toward eternal Ideas; the phrase does not itself say every human concept is eternally infallible. References: </w:t>
      </w:r>
      <w:hyperlink w:anchor="passage-v-12-14">
        <w:r>
          <w:rPr>
            <w:color w:val="000000"/>
          </w:rPr>
          <w:t xml:space="preserve">V.12.14</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1453" w:name="latin-record-1212"/>
      <w:bookmarkEnd w:id="1453"/>
      <w:r>
        <w:rPr>
          <w:b/>
          <w:i w:val="0"/>
        </w:rPr>
        <w:t>species sensibilis</w:t>
      </w:r>
      <w:r>
        <w:rPr>
          <w:b/>
          <w:i w:val="0"/>
        </w:rPr>
        <w:t>.</w:t>
      </w:r>
      <w:r>
        <w:rPr>
          <w:b w:val="0"/>
          <w:i w:val="0"/>
        </w:rPr>
        <w:t xml:space="preserve"> Printed forms: </w:t>
      </w:r>
      <w:r>
        <w:rPr>
          <w:b w:val="0"/>
          <w:i/>
        </w:rPr>
        <w:t>speciem</w:t>
      </w:r>
      <w:r>
        <w:rPr>
          <w:b w:val="0"/>
          <w:i w:val="0"/>
        </w:rPr>
        <w:t xml:space="preserve">; </w:t>
      </w:r>
      <w:r>
        <w:rPr>
          <w:b w:val="0"/>
          <w:i/>
        </w:rPr>
        <w:t>species</w:t>
      </w:r>
      <w:r>
        <w:rPr>
          <w:b w:val="0"/>
          <w:i w:val="0"/>
        </w:rPr>
        <w:t>.</w:t>
      </w:r>
    </w:p>
    <w:p>
      <w:pPr>
        <w:widowControl/>
      </w:pPr>
      <w:r>
        <w:rPr>
          <w:b w:val="0"/>
          <w:i w:val="0"/>
        </w:rPr>
        <w:t xml:space="preserve">The perceptual form through which the color is seen. Ficino expressly distinguishes the species as cognitive means from color as the object seen. References: </w:t>
      </w:r>
      <w:hyperlink w:anchor="passage-vii-4-2">
        <w:r>
          <w:rPr>
            <w:color w:val="000000"/>
          </w:rPr>
          <w:t xml:space="preserve">VII.4.2</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1454" w:name="latin-record-1213"/>
      <w:bookmarkEnd w:id="1454"/>
      <w:r>
        <w:rPr>
          <w:b/>
          <w:i w:val="0"/>
        </w:rPr>
        <w:t>speciosus / deformis</w:t>
      </w:r>
      <w:r>
        <w:rPr>
          <w:b/>
          <w:i w:val="0"/>
        </w:rPr>
        <w:t>.</w:t>
      </w:r>
      <w:r>
        <w:rPr>
          <w:b w:val="0"/>
          <w:i w:val="0"/>
        </w:rPr>
        <w:t xml:space="preserve"> Printed forms: </w:t>
      </w:r>
      <w:r>
        <w:rPr>
          <w:b w:val="0"/>
          <w:i/>
        </w:rPr>
        <w:t>deformius</w:t>
      </w:r>
      <w:r>
        <w:rPr>
          <w:b w:val="0"/>
          <w:i w:val="0"/>
        </w:rPr>
        <w:t xml:space="preserve">; </w:t>
      </w:r>
      <w:r>
        <w:rPr>
          <w:b w:val="0"/>
          <w:i/>
        </w:rPr>
        <w:t>foedius</w:t>
      </w:r>
      <w:r>
        <w:rPr>
          <w:b w:val="0"/>
          <w:i w:val="0"/>
        </w:rPr>
        <w:t xml:space="preserve">; </w:t>
      </w:r>
      <w:r>
        <w:rPr>
          <w:b w:val="0"/>
          <w:i/>
        </w:rPr>
        <w:t>pulchrius</w:t>
      </w:r>
      <w:r>
        <w:rPr>
          <w:b w:val="0"/>
          <w:i w:val="0"/>
        </w:rPr>
        <w:t xml:space="preserve">; </w:t>
      </w:r>
      <w:r>
        <w:rPr>
          <w:b w:val="0"/>
          <w:i/>
        </w:rPr>
        <w:t>speciosius</w:t>
      </w:r>
      <w:r>
        <w:rPr>
          <w:b w:val="0"/>
          <w:i w:val="0"/>
        </w:rPr>
        <w:t>.</w:t>
      </w:r>
    </w:p>
    <w:p>
      <w:pPr>
        <w:widowControl/>
      </w:pPr>
      <w:r>
        <w:rPr>
          <w:b w:val="0"/>
          <w:i w:val="0"/>
        </w:rPr>
        <w:t xml:space="preserve">More well-formed or beautiful, and more ugly or deformed. The body’s organization can be diminished by loss of form rather than by removing material bulk. References: </w:t>
      </w:r>
      <w:hyperlink w:anchor="passage-v-15-6">
        <w:r>
          <w:rPr>
            <w:color w:val="000000"/>
          </w:rPr>
          <w:t xml:space="preserve">V.15.6</w:t>
        </w:r>
      </w:hyperlink>
      <w:r>
        <w:rPr>
          <w:b w:val="0"/>
          <w:i w:val="0"/>
        </w:rPr>
        <w:t xml:space="preserve">. See </w:t>
      </w:r>
      <w:hyperlink w:anchor="form-and-formal-being">
        <w:r>
          <w:rPr>
            <w:color w:val="000000"/>
          </w:rPr>
          <w:t xml:space="preserve">Form and formal being</w:t>
        </w:r>
      </w:hyperlink>
      <w:r>
        <w:rPr>
          <w:b w:val="0"/>
          <w:i w:val="0"/>
        </w:rPr>
        <w:t>.</w:t>
      </w:r>
    </w:p>
    <w:p>
      <w:pPr>
        <w:keepNext/>
        <w:widowControl/>
      </w:pPr>
      <w:bookmarkStart w:id="1455" w:name="latin-record-1214"/>
      <w:bookmarkEnd w:id="1455"/>
      <w:r>
        <w:rPr>
          <w:b/>
          <w:i w:val="0"/>
        </w:rPr>
        <w:t>speculativus / moralis</w:t>
      </w:r>
      <w:r>
        <w:rPr>
          <w:b/>
          <w:i w:val="0"/>
        </w:rPr>
        <w:t>.</w:t>
      </w:r>
      <w:r>
        <w:rPr>
          <w:b w:val="0"/>
          <w:i w:val="0"/>
        </w:rPr>
        <w:t xml:space="preserve"> Printed forms: </w:t>
      </w:r>
      <w:r>
        <w:rPr>
          <w:b w:val="0"/>
          <w:i/>
        </w:rPr>
        <w:t>morales</w:t>
      </w:r>
      <w:r>
        <w:rPr>
          <w:b w:val="0"/>
          <w:i w:val="0"/>
        </w:rPr>
        <w:t xml:space="preserve">; </w:t>
      </w:r>
      <w:r>
        <w:rPr>
          <w:b w:val="0"/>
          <w:i/>
        </w:rPr>
        <w:t>moralibus</w:t>
      </w:r>
      <w:r>
        <w:rPr>
          <w:b w:val="0"/>
          <w:i w:val="0"/>
        </w:rPr>
        <w:t xml:space="preserve">; </w:t>
      </w:r>
      <w:r>
        <w:rPr>
          <w:b w:val="0"/>
          <w:i/>
        </w:rPr>
        <w:t>Moralis</w:t>
      </w:r>
      <w:r>
        <w:rPr>
          <w:b w:val="0"/>
          <w:i w:val="0"/>
        </w:rPr>
        <w:t xml:space="preserve">; </w:t>
      </w:r>
      <w:r>
        <w:rPr>
          <w:b w:val="0"/>
          <w:i/>
        </w:rPr>
        <w:t>moralis</w:t>
      </w:r>
      <w:r>
        <w:rPr>
          <w:b w:val="0"/>
          <w:i w:val="0"/>
        </w:rPr>
        <w:t xml:space="preserve">; </w:t>
      </w:r>
      <w:r>
        <w:rPr>
          <w:b w:val="0"/>
          <w:i/>
        </w:rPr>
        <w:t>speculativa</w:t>
      </w:r>
      <w:r>
        <w:rPr>
          <w:b w:val="0"/>
          <w:i w:val="0"/>
        </w:rPr>
        <w:t xml:space="preserve">; </w:t>
      </w:r>
      <w:r>
        <w:rPr>
          <w:b w:val="0"/>
          <w:i/>
        </w:rPr>
        <w:t>speculativae</w:t>
      </w:r>
      <w:r>
        <w:rPr>
          <w:b w:val="0"/>
          <w:i w:val="0"/>
        </w:rPr>
        <w:t>.</w:t>
      </w:r>
    </w:p>
    <w:p>
      <w:pPr>
        <w:widowControl/>
      </w:pPr>
      <w:r>
        <w:rPr>
          <w:b w:val="0"/>
          <w:i w:val="0"/>
        </w:rPr>
        <w:t xml:space="preserve">Contemplative and moral, distinguishing virtues of intellect from virtues formed in appetite. The first arise and operate in contemplation; the second through custom and conduct, although the local contemplative list includes civic prudence and art. References: </w:t>
      </w:r>
      <w:hyperlink w:anchor="passage-viii-3-1">
        <w:r>
          <w:rPr>
            <w:color w:val="000000"/>
          </w:rPr>
          <w:t xml:space="preserve">VIII.3.1</w:t>
        </w:r>
      </w:hyperlink>
      <w:r>
        <w:rPr>
          <w:b w:val="0"/>
          <w:i w:val="0"/>
        </w:rPr>
        <w:t xml:space="preserve">, </w:t>
      </w:r>
      <w:hyperlink w:anchor="passage-viii-3-5">
        <w:r>
          <w:rPr>
            <w:color w:val="000000"/>
          </w:rPr>
          <w:t xml:space="preserve">VIII.3.5</w:t>
        </w:r>
      </w:hyperlink>
      <w:r>
        <w:rPr>
          <w:b w:val="0"/>
          <w:i w:val="0"/>
        </w:rPr>
        <w:t xml:space="preserve">, </w:t>
      </w:r>
      <w:hyperlink w:anchor="passage-viii-3-6">
        <w:r>
          <w:rPr>
            <w:color w:val="000000"/>
          </w:rPr>
          <w:t xml:space="preserve">VIII.3.6</w:t>
        </w:r>
      </w:hyperlink>
      <w:r>
        <w:rPr>
          <w:b w:val="0"/>
          <w:i w:val="0"/>
        </w:rPr>
        <w:t xml:space="preserve">, </w:t>
      </w:r>
      <w:hyperlink w:anchor="passage-viii-3-7">
        <w:r>
          <w:rPr>
            <w:color w:val="000000"/>
          </w:rPr>
          <w:t xml:space="preserve">VIII.3.7</w:t>
        </w:r>
      </w:hyperlink>
      <w:r>
        <w:rPr>
          <w:b w:val="0"/>
          <w:i w:val="0"/>
        </w:rPr>
        <w:t xml:space="preserve">, </w:t>
      </w:r>
      <w:hyperlink w:anchor="passage-viii-3-8">
        <w:r>
          <w:rPr>
            <w:color w:val="000000"/>
          </w:rPr>
          <w:t xml:space="preserve">VIII.3.8</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456" w:name="latin-record-1215"/>
      <w:bookmarkEnd w:id="1456"/>
      <w:r>
        <w:rPr>
          <w:b/>
          <w:i w:val="0"/>
        </w:rPr>
        <w:t>speculum / aqua</w:t>
      </w:r>
      <w:r>
        <w:rPr>
          <w:b/>
          <w:i w:val="0"/>
        </w:rPr>
        <w:t>.</w:t>
      </w:r>
      <w:r>
        <w:rPr>
          <w:b w:val="0"/>
          <w:i w:val="0"/>
        </w:rPr>
        <w:t xml:space="preserve"> Printed forms: </w:t>
      </w:r>
      <w:r>
        <w:rPr>
          <w:b w:val="0"/>
          <w:i/>
        </w:rPr>
        <w:t>aqua</w:t>
      </w:r>
      <w:r>
        <w:rPr>
          <w:b w:val="0"/>
          <w:i w:val="0"/>
        </w:rPr>
        <w:t xml:space="preserve">; </w:t>
      </w:r>
      <w:r>
        <w:rPr>
          <w:b w:val="0"/>
          <w:i/>
        </w:rPr>
        <w:t>speculis</w:t>
      </w:r>
      <w:r>
        <w:rPr>
          <w:b w:val="0"/>
          <w:i w:val="0"/>
        </w:rPr>
        <w:t xml:space="preserve">; </w:t>
      </w:r>
      <w:r>
        <w:rPr>
          <w:b w:val="0"/>
          <w:i/>
        </w:rPr>
        <w:t>speculo</w:t>
      </w:r>
      <w:r>
        <w:rPr>
          <w:b w:val="0"/>
          <w:i w:val="0"/>
        </w:rPr>
        <w:t xml:space="preserve">; </w:t>
      </w:r>
      <w:r>
        <w:rPr>
          <w:b w:val="0"/>
          <w:i/>
        </w:rPr>
        <w:t>speculum</w:t>
      </w:r>
      <w:r>
        <w:rPr>
          <w:b w:val="0"/>
          <w:i w:val="0"/>
        </w:rPr>
        <w:t>.</w:t>
      </w:r>
    </w:p>
    <w:p>
      <w:pPr>
        <w:widowControl/>
      </w:pPr>
      <w:r>
        <w:rPr>
          <w:b w:val="0"/>
          <w:i w:val="0"/>
        </w:rPr>
        <w:t xml:space="preserve">Mirror and water, reflective recipients used to illustrate nondestructive images or continuous dependence. The argument selects a relation of image and recipient; it does not attribute cognition to the mirror itself. References: </w:t>
      </w:r>
      <w:hyperlink w:anchor="passage-v-6-1">
        <w:r>
          <w:rPr>
            <w:color w:val="000000"/>
          </w:rPr>
          <w:t xml:space="preserve">V.6.1</w:t>
        </w:r>
      </w:hyperlink>
      <w:r>
        <w:rPr>
          <w:b w:val="0"/>
          <w:i w:val="0"/>
        </w:rPr>
        <w:t xml:space="preserve">, </w:t>
      </w:r>
      <w:hyperlink w:anchor="passage-v-8-3">
        <w:r>
          <w:rPr>
            <w:color w:val="000000"/>
          </w:rPr>
          <w:t xml:space="preserve">V.8.3</w:t>
        </w:r>
      </w:hyperlink>
      <w:r>
        <w:rPr>
          <w:b w:val="0"/>
          <w:i w:val="0"/>
        </w:rPr>
        <w:t xml:space="preserve">, </w:t>
      </w:r>
      <w:hyperlink w:anchor="passage-v-10-2">
        <w:r>
          <w:rPr>
            <w:color w:val="000000"/>
          </w:rPr>
          <w:t xml:space="preserve">V.10.2</w:t>
        </w:r>
      </w:hyperlink>
      <w:r>
        <w:rPr>
          <w:b w:val="0"/>
          <w:i w:val="0"/>
        </w:rPr>
        <w:t xml:space="preserve">, </w:t>
      </w:r>
      <w:hyperlink w:anchor="passage-v-12-12">
        <w:r>
          <w:rPr>
            <w:color w:val="000000"/>
          </w:rPr>
          <w:t xml:space="preserve">V.12.12</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1457" w:name="latin-record-1216"/>
      <w:bookmarkEnd w:id="1457"/>
      <w:r>
        <w:rPr>
          <w:b/>
          <w:i w:val="0"/>
        </w:rPr>
        <w:t>speculum / distantia</w:t>
      </w:r>
      <w:r>
        <w:rPr>
          <w:b/>
          <w:i w:val="0"/>
        </w:rPr>
        <w:t>.</w:t>
      </w:r>
      <w:r>
        <w:rPr>
          <w:b w:val="0"/>
          <w:i w:val="0"/>
        </w:rPr>
        <w:t xml:space="preserve"> Printed forms: </w:t>
      </w:r>
      <w:r>
        <w:rPr>
          <w:b w:val="0"/>
          <w:i/>
        </w:rPr>
        <w:t>distante</w:t>
      </w:r>
      <w:r>
        <w:rPr>
          <w:b w:val="0"/>
          <w:i w:val="0"/>
        </w:rPr>
        <w:t xml:space="preserve">; </w:t>
      </w:r>
      <w:r>
        <w:rPr>
          <w:b w:val="0"/>
          <w:i/>
        </w:rPr>
        <w:t>distantiam</w:t>
      </w:r>
      <w:r>
        <w:rPr>
          <w:b w:val="0"/>
          <w:i w:val="0"/>
        </w:rPr>
        <w:t xml:space="preserve">; </w:t>
      </w:r>
      <w:r>
        <w:rPr>
          <w:b w:val="0"/>
          <w:i/>
        </w:rPr>
        <w:t>speculi</w:t>
      </w:r>
      <w:r>
        <w:rPr>
          <w:b w:val="0"/>
          <w:i w:val="0"/>
        </w:rPr>
        <w:t xml:space="preserve">; </w:t>
      </w:r>
      <w:r>
        <w:rPr>
          <w:b w:val="0"/>
          <w:i/>
        </w:rPr>
        <w:t>speculo</w:t>
      </w:r>
      <w:r>
        <w:rPr>
          <w:b w:val="0"/>
          <w:i w:val="0"/>
        </w:rPr>
        <w:t xml:space="preserve">; </w:t>
      </w:r>
      <w:r>
        <w:rPr>
          <w:b w:val="0"/>
          <w:i/>
        </w:rPr>
        <w:t>speculum</w:t>
      </w:r>
      <w:r>
        <w:rPr>
          <w:b w:val="0"/>
          <w:i w:val="0"/>
        </w:rPr>
        <w:t>.</w:t>
      </w:r>
    </w:p>
    <w:p>
      <w:pPr>
        <w:widowControl/>
      </w:pPr>
      <w:r>
        <w:rPr>
          <w:b w:val="0"/>
          <w:i w:val="0"/>
        </w:rPr>
        <w:t xml:space="preserve">Mirror and distance as conditions distinguishing image from received material flame. The absence of heating is used to deny that the reflected flame is materially present in the mirror’s body.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1458" w:name="latin-record-1217"/>
      <w:bookmarkEnd w:id="1458"/>
      <w:r>
        <w:rPr>
          <w:b/>
          <w:i w:val="0"/>
        </w:rPr>
        <w:t>speculum / lana / accendere</w:t>
      </w:r>
      <w:r>
        <w:rPr>
          <w:b/>
          <w:i w:val="0"/>
        </w:rPr>
        <w:t>.</w:t>
      </w:r>
      <w:r>
        <w:rPr>
          <w:b w:val="0"/>
          <w:i w:val="0"/>
        </w:rPr>
        <w:t xml:space="preserve"> Printed forms: </w:t>
      </w:r>
      <w:r>
        <w:rPr>
          <w:b w:val="0"/>
          <w:i/>
        </w:rPr>
        <w:t>accendendum</w:t>
      </w:r>
      <w:r>
        <w:rPr>
          <w:b w:val="0"/>
          <w:i w:val="0"/>
        </w:rPr>
        <w:t xml:space="preserve">; </w:t>
      </w:r>
      <w:r>
        <w:rPr>
          <w:b w:val="0"/>
          <w:i/>
        </w:rPr>
        <w:t>accenditur</w:t>
      </w:r>
      <w:r>
        <w:rPr>
          <w:b w:val="0"/>
          <w:i w:val="0"/>
        </w:rPr>
        <w:t xml:space="preserve">; </w:t>
      </w:r>
      <w:r>
        <w:rPr>
          <w:b w:val="0"/>
          <w:i/>
        </w:rPr>
        <w:t>lana</w:t>
      </w:r>
      <w:r>
        <w:rPr>
          <w:b w:val="0"/>
          <w:i w:val="0"/>
        </w:rPr>
        <w:t xml:space="preserve">; </w:t>
      </w:r>
      <w:r>
        <w:rPr>
          <w:b w:val="0"/>
          <w:i/>
        </w:rPr>
        <w:t>speculo</w:t>
      </w:r>
      <w:r>
        <w:rPr>
          <w:b w:val="0"/>
          <w:i w:val="0"/>
        </w:rPr>
        <w:t>.</w:t>
      </w:r>
    </w:p>
    <w:p>
      <w:pPr>
        <w:widowControl/>
      </w:pPr>
      <w:r>
        <w:rPr>
          <w:b w:val="0"/>
          <w:i w:val="0"/>
        </w:rPr>
        <w:t xml:space="preserve">Mirror, wool and ignition, paired as two stages of one explanatory image. Light appears in a mirror turned toward the sun; prepared wool catches fire, modelling intellect’s clarity and appetite’s consequent ardour. References: </w:t>
      </w:r>
      <w:hyperlink w:anchor="passage-viii-3-3">
        <w:r>
          <w:rPr>
            <w:color w:val="000000"/>
          </w:rPr>
          <w:t xml:space="preserve">VIII.3.3</w:t>
        </w:r>
      </w:hyperlink>
      <w:r>
        <w:rPr>
          <w:b w:val="0"/>
          <w:i w:val="0"/>
        </w:rPr>
        <w:t xml:space="preserve">. See </w:t>
      </w:r>
      <w:hyperlink w:anchor="viii-sudden-insight">
        <w:r>
          <w:rPr>
            <w:color w:val="000000"/>
          </w:rPr>
          <w:t xml:space="preserve">Sudden insight, habituation, and the hare</w:t>
        </w:r>
      </w:hyperlink>
      <w:r>
        <w:rPr>
          <w:b w:val="0"/>
          <w:i w:val="0"/>
        </w:rPr>
        <w:t>.</w:t>
      </w:r>
    </w:p>
    <w:p>
      <w:pPr>
        <w:keepNext/>
        <w:widowControl/>
      </w:pPr>
      <w:bookmarkStart w:id="1459" w:name="latin-record-1218"/>
      <w:bookmarkEnd w:id="1459"/>
      <w:r>
        <w:rPr>
          <w:b/>
          <w:i w:val="0"/>
        </w:rPr>
        <w:t>speculum / specillum</w:t>
      </w:r>
      <w:r>
        <w:rPr>
          <w:b/>
          <w:i w:val="0"/>
        </w:rPr>
        <w:t>.</w:t>
      </w:r>
      <w:r>
        <w:rPr>
          <w:b w:val="0"/>
          <w:i w:val="0"/>
        </w:rPr>
        <w:t xml:space="preserve"> Printed forms: </w:t>
      </w:r>
      <w:r>
        <w:rPr>
          <w:b w:val="0"/>
          <w:i/>
        </w:rPr>
        <w:t>specillo</w:t>
      </w:r>
      <w:r>
        <w:rPr>
          <w:b w:val="0"/>
          <w:i w:val="0"/>
        </w:rPr>
        <w:t xml:space="preserve">; </w:t>
      </w:r>
      <w:r>
        <w:rPr>
          <w:b w:val="0"/>
          <w:i/>
        </w:rPr>
        <w:t>speculo</w:t>
      </w:r>
      <w:r>
        <w:rPr>
          <w:b w:val="0"/>
          <w:i w:val="0"/>
        </w:rPr>
        <w:t xml:space="preserve">; </w:t>
      </w:r>
      <w:r>
        <w:rPr>
          <w:b w:val="0"/>
          <w:i/>
        </w:rPr>
        <w:t>speculorum</w:t>
      </w:r>
      <w:r>
        <w:rPr>
          <w:b w:val="0"/>
          <w:i w:val="0"/>
        </w:rPr>
        <w:t>.</w:t>
      </w:r>
    </w:p>
    <w:p>
      <w:pPr>
        <w:widowControl/>
      </w:pPr>
      <w:r>
        <w:rPr>
          <w:b w:val="0"/>
          <w:i w:val="0"/>
        </w:rPr>
        <w:t xml:space="preserve">Mirror, including the diminutive little mirror. Differences of apparent scale in mirrors test the supposed dimensional limits of the soul’s living mirror. References: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460" w:name="latin-record-1219"/>
      <w:bookmarkEnd w:id="1460"/>
      <w:r>
        <w:rPr>
          <w:b/>
          <w:i w:val="0"/>
        </w:rPr>
        <w:t>speculum concavum aeneum</w:t>
      </w:r>
      <w:r>
        <w:rPr>
          <w:b/>
          <w:i w:val="0"/>
        </w:rPr>
        <w:t>.</w:t>
      </w:r>
      <w:r>
        <w:rPr>
          <w:b w:val="0"/>
          <w:i w:val="0"/>
        </w:rPr>
        <w:t xml:space="preserve"> Printed forms: </w:t>
      </w:r>
      <w:r>
        <w:rPr>
          <w:b w:val="0"/>
          <w:i/>
        </w:rPr>
        <w:t>concavi aeneique speculi</w:t>
      </w:r>
      <w:r>
        <w:rPr>
          <w:b w:val="0"/>
          <w:i w:val="0"/>
        </w:rPr>
        <w:t>.</w:t>
      </w:r>
    </w:p>
    <w:p>
      <w:pPr>
        <w:widowControl/>
      </w:pPr>
      <w:r>
        <w:rPr>
          <w:b w:val="0"/>
          <w:i w:val="0"/>
        </w:rPr>
        <w:t xml:space="preserve">A concave bronze mirror. The authorially corrected metal matters: the example concerns concentrated solar rays, not a fiery mirror.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1461" w:name="latin-record-1220"/>
      <w:bookmarkEnd w:id="1461"/>
      <w:r>
        <w:rPr>
          <w:b/>
          <w:i w:val="0"/>
        </w:rPr>
        <w:t>speculum sempiternum</w:t>
      </w:r>
      <w:r>
        <w:rPr>
          <w:b/>
          <w:i w:val="0"/>
        </w:rPr>
        <w:t>.</w:t>
      </w:r>
      <w:r>
        <w:rPr>
          <w:b w:val="0"/>
          <w:i w:val="0"/>
        </w:rPr>
        <w:t xml:space="preserve"> Printed forms: </w:t>
      </w:r>
      <w:r>
        <w:rPr>
          <w:b w:val="0"/>
          <w:i/>
        </w:rPr>
        <w:t>speculo sempiterno</w:t>
      </w:r>
      <w:r>
        <w:rPr>
          <w:b w:val="0"/>
          <w:i w:val="0"/>
        </w:rPr>
        <w:t>.</w:t>
      </w:r>
    </w:p>
    <w:p>
      <w:pPr>
        <w:widowControl/>
      </w:pPr>
      <w:r>
        <w:rPr>
          <w:b w:val="0"/>
          <w:i w:val="0"/>
        </w:rPr>
        <w:t xml:space="preserve">An everlasting mirror, the analogy for continuous life-impression upon the ethereal vehicle. The image distinguishes an enduring recipient’s animation from that of the perishable elemental body. References: </w:t>
      </w:r>
      <w:hyperlink w:anchor="passage-v-13-18">
        <w:r>
          <w:rPr>
            <w:color w:val="000000"/>
          </w:rPr>
          <w:t xml:space="preserve">V.13.18</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1462" w:name="latin-record-1221"/>
      <w:bookmarkEnd w:id="1462"/>
      <w:r>
        <w:rPr>
          <w:b/>
          <w:i w:val="0"/>
        </w:rPr>
        <w:t>spelunca; specus; caverna</w:t>
      </w:r>
      <w:r>
        <w:rPr>
          <w:b/>
          <w:i w:val="0"/>
        </w:rPr>
        <w:t>.</w:t>
      </w:r>
      <w:r>
        <w:rPr>
          <w:b w:val="0"/>
          <w:i w:val="0"/>
        </w:rPr>
        <w:t xml:space="preserve"> Printed forms: </w:t>
      </w:r>
      <w:r>
        <w:rPr>
          <w:b w:val="0"/>
          <w:i/>
        </w:rPr>
        <w:t>cavernam</w:t>
      </w:r>
      <w:r>
        <w:rPr>
          <w:b w:val="0"/>
          <w:i w:val="0"/>
        </w:rPr>
        <w:t xml:space="preserve">; </w:t>
      </w:r>
      <w:r>
        <w:rPr>
          <w:b w:val="0"/>
          <w:i/>
        </w:rPr>
        <w:t>specu</w:t>
      </w:r>
      <w:r>
        <w:rPr>
          <w:b w:val="0"/>
          <w:i w:val="0"/>
        </w:rPr>
        <w:t xml:space="preserve">; </w:t>
      </w:r>
      <w:r>
        <w:rPr>
          <w:b w:val="0"/>
          <w:i/>
        </w:rPr>
        <w:t>speluncam</w:t>
      </w:r>
      <w:r>
        <w:rPr>
          <w:b w:val="0"/>
          <w:i w:val="0"/>
        </w:rPr>
        <w:t>.</w:t>
      </w:r>
    </w:p>
    <w:p>
      <w:pPr>
        <w:widowControl/>
      </w:pPr>
      <w:r>
        <w:rPr>
          <w:b w:val="0"/>
          <w:i w:val="0"/>
        </w:rPr>
        <w:t xml:space="preserve">Cave or subterranean enclosure. The overlapping words name the restricted educational setting and later the comparison for descent into bodily darkness. References: </w:t>
      </w:r>
      <w:hyperlink w:anchor="passage-vi-2-14">
        <w:r>
          <w:rPr>
            <w:color w:val="000000"/>
          </w:rPr>
          <w:t xml:space="preserve">VI.2.14</w:t>
        </w:r>
      </w:hyperlink>
      <w:r>
        <w:rPr>
          <w:b w:val="0"/>
          <w:i w:val="0"/>
        </w:rPr>
        <w:t xml:space="preserve">, </w:t>
      </w:r>
      <w:hyperlink w:anchor="passage-vi-2-15">
        <w:r>
          <w:rPr>
            <w:color w:val="000000"/>
          </w:rPr>
          <w:t xml:space="preserve">VI.2.15</w:t>
        </w:r>
      </w:hyperlink>
      <w:r>
        <w:rPr>
          <w:b w:val="0"/>
          <w:i w:val="0"/>
        </w:rPr>
        <w:t xml:space="preserve">, </w:t>
      </w:r>
      <w:hyperlink w:anchor="passage-vi-2-17">
        <w:r>
          <w:rPr>
            <w:color w:val="000000"/>
          </w:rPr>
          <w:t xml:space="preserve">VI.2.17</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463" w:name="latin-record-1222"/>
      <w:bookmarkEnd w:id="1463"/>
      <w:r>
        <w:rPr>
          <w:b/>
          <w:i w:val="0"/>
        </w:rPr>
        <w:t>sphaera</w:t>
      </w:r>
      <w:r>
        <w:rPr>
          <w:b/>
          <w:i w:val="0"/>
        </w:rPr>
        <w:t>.</w:t>
      </w:r>
      <w:r>
        <w:rPr>
          <w:b w:val="0"/>
          <w:i w:val="0"/>
        </w:rPr>
        <w:t xml:space="preserve"> Printed forms: </w:t>
      </w:r>
      <w:r>
        <w:rPr>
          <w:b w:val="0"/>
          <w:i/>
        </w:rPr>
        <w:t>sphaera</w:t>
      </w:r>
      <w:r>
        <w:rPr>
          <w:b w:val="0"/>
          <w:i w:val="0"/>
        </w:rPr>
        <w:t xml:space="preserve">; </w:t>
      </w:r>
      <w:r>
        <w:rPr>
          <w:b w:val="0"/>
          <w:i/>
        </w:rPr>
        <w:t>sphaerae</w:t>
      </w:r>
      <w:r>
        <w:rPr>
          <w:b w:val="0"/>
          <w:i w:val="0"/>
        </w:rPr>
        <w:t xml:space="preserve">; </w:t>
      </w:r>
      <w:r>
        <w:rPr>
          <w:b w:val="0"/>
          <w:i/>
        </w:rPr>
        <w:t>sphaeram</w:t>
      </w:r>
      <w:r>
        <w:rPr>
          <w:b w:val="0"/>
          <w:i w:val="0"/>
        </w:rPr>
        <w:t xml:space="preserve">; </w:t>
      </w:r>
      <w:r>
        <w:rPr>
          <w:b w:val="0"/>
          <w:i/>
        </w:rPr>
        <w:t>sphaerarum</w:t>
      </w:r>
      <w:r>
        <w:rPr>
          <w:b w:val="0"/>
          <w:i w:val="0"/>
        </w:rPr>
        <w:t xml:space="preserve">; </w:t>
      </w:r>
      <w:r>
        <w:rPr>
          <w:b w:val="0"/>
          <w:i/>
        </w:rPr>
        <w:t>sphaeras</w:t>
      </w:r>
      <w:r>
        <w:rPr>
          <w:b w:val="0"/>
          <w:i w:val="0"/>
        </w:rPr>
        <w:t>.</w:t>
      </w:r>
    </w:p>
    <w:p>
      <w:pPr>
        <w:widowControl/>
      </w:pPr>
      <w:r>
        <w:rPr>
          <w:b w:val="0"/>
          <w:i w:val="0"/>
        </w:rPr>
        <w:t xml:space="preserve">A sphere, used literally for visible bodies and analogically for rational souls. Spiritual spheres are not spatially extended soul-bodies; their invisible circuits are said to have visible shadows. References: </w:t>
      </w:r>
      <w:hyperlink w:anchor="passage-v-1-4">
        <w:r>
          <w:rPr>
            <w:color w:val="000000"/>
          </w:rPr>
          <w:t xml:space="preserve">V.1.4</w:t>
        </w:r>
      </w:hyperlink>
      <w:r>
        <w:rPr>
          <w:b w:val="0"/>
          <w:i w:val="0"/>
        </w:rPr>
        <w:t xml:space="preserve">, </w:t>
      </w:r>
      <w:hyperlink w:anchor="passage-v-1-5">
        <w:r>
          <w:rPr>
            <w:color w:val="000000"/>
          </w:rPr>
          <w:t xml:space="preserve">V.1.5</w:t>
        </w:r>
      </w:hyperlink>
      <w:r>
        <w:rPr>
          <w:b w:val="0"/>
          <w:i w:val="0"/>
        </w:rPr>
        <w:t xml:space="preserve">. See </w:t>
      </w:r>
      <w:hyperlink w:anchor="circularity-and-spiritual-spheres">
        <w:r>
          <w:rPr>
            <w:color w:val="000000"/>
          </w:rPr>
          <w:t xml:space="preserve">Circularity and spiritual spheres</w:t>
        </w:r>
      </w:hyperlink>
      <w:r>
        <w:rPr>
          <w:b w:val="0"/>
          <w:i w:val="0"/>
        </w:rPr>
        <w:t>.</w:t>
      </w:r>
    </w:p>
    <w:p>
      <w:pPr>
        <w:keepNext/>
        <w:widowControl/>
      </w:pPr>
      <w:bookmarkStart w:id="1464" w:name="latin-record-1223"/>
      <w:bookmarkEnd w:id="1464"/>
      <w:r>
        <w:rPr>
          <w:b/>
          <w:i w:val="0"/>
        </w:rPr>
        <w:t>spiritalis</w:t>
      </w:r>
      <w:r>
        <w:rPr>
          <w:b/>
          <w:i w:val="0"/>
        </w:rPr>
        <w:t>.</w:t>
      </w:r>
      <w:r>
        <w:rPr>
          <w:b w:val="0"/>
          <w:i w:val="0"/>
        </w:rPr>
        <w:t xml:space="preserve"> Printed forms: </w:t>
      </w:r>
      <w:r>
        <w:rPr>
          <w:b w:val="0"/>
          <w:i/>
        </w:rPr>
        <w:t>spiritale</w:t>
      </w:r>
      <w:r>
        <w:rPr>
          <w:b w:val="0"/>
          <w:i w:val="0"/>
        </w:rPr>
        <w:t xml:space="preserve">; </w:t>
      </w:r>
      <w:r>
        <w:rPr>
          <w:b w:val="0"/>
          <w:i/>
        </w:rPr>
        <w:t>spiritalem</w:t>
      </w:r>
      <w:r>
        <w:rPr>
          <w:b w:val="0"/>
          <w:i w:val="0"/>
        </w:rPr>
        <w:t xml:space="preserve">; </w:t>
      </w:r>
      <w:r>
        <w:rPr>
          <w:b w:val="0"/>
          <w:i/>
        </w:rPr>
        <w:t>spiritales</w:t>
      </w:r>
      <w:r>
        <w:rPr>
          <w:b w:val="0"/>
          <w:i w:val="0"/>
        </w:rPr>
        <w:t xml:space="preserve">; </w:t>
      </w:r>
      <w:r>
        <w:rPr>
          <w:b w:val="0"/>
          <w:i/>
        </w:rPr>
        <w:t>spiritali</w:t>
      </w:r>
      <w:r>
        <w:rPr>
          <w:b w:val="0"/>
          <w:i w:val="0"/>
        </w:rPr>
        <w:t xml:space="preserve">; </w:t>
      </w:r>
      <w:r>
        <w:rPr>
          <w:b w:val="0"/>
          <w:i/>
        </w:rPr>
        <w:t>Spiritalia</w:t>
      </w:r>
      <w:r>
        <w:rPr>
          <w:b w:val="0"/>
          <w:i w:val="0"/>
        </w:rPr>
        <w:t xml:space="preserve">; </w:t>
      </w:r>
      <w:r>
        <w:rPr>
          <w:b w:val="0"/>
          <w:i/>
        </w:rPr>
        <w:t>Spiritalis</w:t>
      </w:r>
      <w:r>
        <w:rPr>
          <w:b w:val="0"/>
          <w:i w:val="0"/>
        </w:rPr>
        <w:t xml:space="preserve">; </w:t>
      </w:r>
      <w:r>
        <w:rPr>
          <w:b w:val="0"/>
          <w:i/>
        </w:rPr>
        <w:t>spiritalis</w:t>
      </w:r>
      <w:r>
        <w:rPr>
          <w:b w:val="0"/>
          <w:i w:val="0"/>
        </w:rPr>
        <w:t xml:space="preserve">; </w:t>
      </w:r>
      <w:r>
        <w:rPr>
          <w:b w:val="0"/>
          <w:i/>
        </w:rPr>
        <w:t>spiritalium</w:t>
      </w:r>
      <w:r>
        <w:rPr>
          <w:b w:val="0"/>
          <w:i w:val="0"/>
        </w:rPr>
        <w:t>.</w:t>
      </w:r>
    </w:p>
    <w:p>
      <w:pPr>
        <w:widowControl/>
      </w:pPr>
      <w:r>
        <w:rPr>
          <w:b w:val="0"/>
          <w:i w:val="0"/>
        </w:rPr>
        <w:t xml:space="preserve">Spiritual, marking a mode distinct from bodily extension and material receptivity. The word qualifies spheres, reception and the analogical matter of separate beings; these uses should not be flattened into one physical picture. References: </w:t>
      </w:r>
      <w:hyperlink w:anchor="passage-v-1-5">
        <w:r>
          <w:rPr>
            <w:color w:val="000000"/>
          </w:rPr>
          <w:t xml:space="preserve">V.1.5</w:t>
        </w:r>
      </w:hyperlink>
      <w:r>
        <w:rPr>
          <w:b w:val="0"/>
          <w:i w:val="0"/>
        </w:rPr>
        <w:t xml:space="preserve">, </w:t>
      </w:r>
      <w:hyperlink w:anchor="passage-v-8-3">
        <w:r>
          <w:rPr>
            <w:color w:val="000000"/>
          </w:rPr>
          <w:t xml:space="preserve">V.8.3</w:t>
        </w:r>
      </w:hyperlink>
      <w:r>
        <w:rPr>
          <w:b w:val="0"/>
          <w:i w:val="0"/>
        </w:rPr>
        <w:t xml:space="preserve">, </w:t>
      </w:r>
      <w:hyperlink w:anchor="passage-v-11-7">
        <w:r>
          <w:rPr>
            <w:color w:val="000000"/>
          </w:rPr>
          <w:t xml:space="preserve">V.11.7</w:t>
        </w:r>
      </w:hyperlink>
      <w:r>
        <w:rPr>
          <w:b w:val="0"/>
          <w:i w:val="0"/>
        </w:rPr>
        <w:t xml:space="preserve">, </w:t>
      </w:r>
      <w:hyperlink w:anchor="passage-v-11-8">
        <w:r>
          <w:rPr>
            <w:color w:val="000000"/>
          </w:rPr>
          <w:t xml:space="preserve">V.11.8</w:t>
        </w:r>
      </w:hyperlink>
      <w:r>
        <w:rPr>
          <w:b w:val="0"/>
          <w:i w:val="0"/>
        </w:rPr>
        <w:t xml:space="preserve">. See </w:t>
      </w:r>
      <w:hyperlink w:anchor="spiritual-matter-and-identity">
        <w:r>
          <w:rPr>
            <w:color w:val="000000"/>
          </w:rPr>
          <w:t xml:space="preserve">Spiritual matter and identity</w:t>
        </w:r>
      </w:hyperlink>
      <w:r>
        <w:rPr>
          <w:b w:val="0"/>
          <w:i w:val="0"/>
        </w:rPr>
        <w:t>.</w:t>
      </w:r>
    </w:p>
    <w:p>
      <w:pPr>
        <w:widowControl/>
      </w:pPr>
      <w:r>
        <w:rPr>
          <w:b w:val="0"/>
          <w:i w:val="0"/>
        </w:rPr>
        <w:t xml:space="preserve">Spiritual, marking an image or meaning distinguished from bodily matter and modification. The color-image and the wall’s matter are not received in the same way; bodily spirit remains a separate concept. References: </w:t>
      </w:r>
      <w:hyperlink w:anchor="passage-vii-1-3">
        <w:r>
          <w:rPr>
            <w:color w:val="000000"/>
          </w:rPr>
          <w:t xml:space="preserve">VII.1.3</w:t>
        </w:r>
      </w:hyperlink>
      <w:r>
        <w:rPr>
          <w:b w:val="0"/>
          <w:i w:val="0"/>
        </w:rPr>
        <w:t xml:space="preserve">, </w:t>
      </w:r>
      <w:hyperlink w:anchor="passage-vii-13-1">
        <w:r>
          <w:rPr>
            <w:color w:val="000000"/>
          </w:rPr>
          <w:t xml:space="preserve">VII.13.1</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1465" w:name="latin-record-1224"/>
      <w:bookmarkEnd w:id="1465"/>
      <w:r>
        <w:rPr>
          <w:b/>
          <w:i w:val="0"/>
        </w:rPr>
        <w:t>spiritalis (optical)</w:t>
      </w:r>
      <w:r>
        <w:rPr>
          <w:b/>
          <w:i w:val="0"/>
        </w:rPr>
        <w:t>.</w:t>
      </w:r>
      <w:r>
        <w:rPr>
          <w:b w:val="0"/>
          <w:i w:val="0"/>
        </w:rPr>
        <w:t xml:space="preserve"> Printed forms: </w:t>
      </w:r>
      <w:r>
        <w:rPr>
          <w:b w:val="0"/>
          <w:i/>
        </w:rPr>
        <w:t>spiritali</w:t>
      </w:r>
      <w:r>
        <w:rPr>
          <w:b w:val="0"/>
          <w:i w:val="0"/>
        </w:rPr>
        <w:t xml:space="preserve">; </w:t>
      </w:r>
      <w:r>
        <w:rPr>
          <w:b w:val="0"/>
          <w:i/>
        </w:rPr>
        <w:t>spiritalis</w:t>
      </w:r>
      <w:r>
        <w:rPr>
          <w:b w:val="0"/>
          <w:i w:val="0"/>
        </w:rPr>
        <w:t>.</w:t>
      </w:r>
    </w:p>
    <w:p>
      <w:pPr>
        <w:widowControl/>
      </w:pPr>
      <w:r>
        <w:rPr>
          <w:b w:val="0"/>
          <w:i w:val="0"/>
        </w:rPr>
        <w:t xml:space="preserve">Spiritual in Ficino’s account of light and the reflected image. The image is said to be borne in surrounding light rather than fixed in the material mirror; this is historical optics, not current physical explanation.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1466" w:name="latin-record-1225"/>
      <w:bookmarkEnd w:id="1466"/>
      <w:r>
        <w:rPr>
          <w:b/>
          <w:i w:val="0"/>
        </w:rPr>
        <w:t>spiritus</w:t>
      </w:r>
      <w:r>
        <w:rPr>
          <w:b/>
          <w:i w:val="0"/>
        </w:rPr>
        <w:t>.</w:t>
      </w:r>
      <w:r>
        <w:rPr>
          <w:b w:val="0"/>
          <w:i w:val="0"/>
        </w:rPr>
        <w:t xml:space="preserve"> Printed forms: </w:t>
      </w:r>
      <w:r>
        <w:rPr>
          <w:b w:val="0"/>
          <w:i/>
        </w:rPr>
        <w:t>spiritibus</w:t>
      </w:r>
      <w:r>
        <w:rPr>
          <w:b w:val="0"/>
          <w:i w:val="0"/>
        </w:rPr>
        <w:t>.</w:t>
      </w:r>
    </w:p>
    <w:p>
      <w:pPr>
        <w:widowControl/>
      </w:pPr>
      <w:r>
        <w:rPr>
          <w:b w:val="0"/>
          <w:i w:val="0"/>
        </w:rPr>
        <w:t xml:space="preserve">Spirit or incorporeal created being, distinct here from both body and the uncreated God. V.13.7 reports that the Pythagoreans posit four elements in spirits in a certain manner: essence, being, power and action. The qualification concerns these distinct created constituents, not four material elements or the fine physiological spirit mediating soul and body. References: </w:t>
      </w:r>
      <w:hyperlink w:anchor="passage-v-13-7">
        <w:r>
          <w:rPr>
            <w:color w:val="000000"/>
          </w:rPr>
          <w:t xml:space="preserve">V.13.7</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1467" w:name="latin-record-1226"/>
      <w:bookmarkEnd w:id="1467"/>
      <w:r>
        <w:rPr>
          <w:b/>
          <w:i w:val="0"/>
        </w:rPr>
        <w:t>spiritus (incorporeal)</w:t>
      </w:r>
      <w:r>
        <w:rPr>
          <w:b/>
          <w:i w:val="0"/>
        </w:rPr>
        <w:t>.</w:t>
      </w:r>
      <w:r>
        <w:rPr>
          <w:b w:val="0"/>
          <w:i w:val="0"/>
        </w:rPr>
        <w:t xml:space="preserve"> Printed forms: </w:t>
      </w:r>
      <w:r>
        <w:rPr>
          <w:b w:val="0"/>
          <w:i/>
        </w:rPr>
        <w:t>spiritibus</w:t>
      </w:r>
      <w:r>
        <w:rPr>
          <w:b w:val="0"/>
          <w:i w:val="0"/>
        </w:rPr>
        <w:t xml:space="preserve">; </w:t>
      </w:r>
      <w:r>
        <w:rPr>
          <w:b w:val="0"/>
          <w:i/>
        </w:rPr>
        <w:t>spiritum</w:t>
      </w:r>
      <w:r>
        <w:rPr>
          <w:b w:val="0"/>
          <w:i w:val="0"/>
        </w:rPr>
        <w:t>.</w:t>
      </w:r>
    </w:p>
    <w:p>
      <w:pPr>
        <w:widowControl/>
      </w:pPr>
      <w:r>
        <w:rPr>
          <w:b w:val="0"/>
          <w:i w:val="0"/>
        </w:rPr>
        <w:t xml:space="preserve">An incorporeal being or spiritual mode, as distinct from physiological vital spirit. Truth is located in spirits; the ascent from finite angels reaches an infinite spirit. The meaning follows its predicate and context. References: </w:t>
      </w:r>
      <w:hyperlink w:anchor="passage-viii-1-1">
        <w:r>
          <w:rPr>
            <w:color w:val="000000"/>
          </w:rPr>
          <w:t xml:space="preserve">VIII.1.1</w:t>
        </w:r>
      </w:hyperlink>
      <w:r>
        <w:rPr>
          <w:b w:val="0"/>
          <w:i w:val="0"/>
        </w:rPr>
        <w:t xml:space="preserve">, </w:t>
      </w:r>
      <w:hyperlink w:anchor="passage-viii-2-7">
        <w:r>
          <w:rPr>
            <w:color w:val="000000"/>
          </w:rPr>
          <w:t xml:space="preserve">VIII.2.7</w:t>
        </w:r>
      </w:hyperlink>
      <w:r>
        <w:rPr>
          <w:b w:val="0"/>
          <w:i w:val="0"/>
        </w:rPr>
        <w:t xml:space="preserve">,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1468" w:name="latin-record-1227"/>
      <w:bookmarkEnd w:id="1468"/>
      <w:r>
        <w:rPr>
          <w:b/>
          <w:i w:val="0"/>
        </w:rPr>
        <w:t>spiritus (vital mediator)</w:t>
      </w:r>
      <w:r>
        <w:rPr>
          <w:b/>
          <w:i w:val="0"/>
        </w:rPr>
        <w:t>.</w:t>
      </w:r>
      <w:r>
        <w:rPr>
          <w:b w:val="0"/>
          <w:i w:val="0"/>
        </w:rPr>
        <w:t xml:space="preserve"> Printed forms: </w:t>
      </w:r>
      <w:r>
        <w:rPr>
          <w:b w:val="0"/>
          <w:i/>
        </w:rPr>
        <w:t>spiritum</w:t>
      </w:r>
      <w:r>
        <w:rPr>
          <w:b w:val="0"/>
          <w:i w:val="0"/>
        </w:rPr>
        <w:t>.</w:t>
      </w:r>
    </w:p>
    <w:p>
      <w:pPr>
        <w:widowControl/>
      </w:pPr>
      <w:r>
        <w:rPr>
          <w:b w:val="0"/>
          <w:i w:val="0"/>
        </w:rPr>
        <w:t xml:space="preserve">The subtle bodily mediator associated with organic proportion and skilful formation. This physiological usage in the instrument argument differs from incorporeal spirits in the truth argument and from the ascent’s nonbodily endpoint. References: </w:t>
      </w:r>
      <w:hyperlink w:anchor="passage-viii-2-3">
        <w:r>
          <w:rPr>
            <w:color w:val="000000"/>
          </w:rPr>
          <w:t xml:space="preserve">VIII.2.3</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1469" w:name="latin-record-1228"/>
      <w:bookmarkEnd w:id="1469"/>
      <w:r>
        <w:rPr>
          <w:b/>
          <w:i w:val="0"/>
        </w:rPr>
        <w:t>spiritus / corpusculum</w:t>
      </w:r>
      <w:r>
        <w:rPr>
          <w:b/>
          <w:i w:val="0"/>
        </w:rPr>
        <w:t>.</w:t>
      </w:r>
      <w:r>
        <w:rPr>
          <w:b w:val="0"/>
          <w:i w:val="0"/>
        </w:rPr>
        <w:t xml:space="preserve"> Printed forms: </w:t>
      </w:r>
      <w:r>
        <w:rPr>
          <w:b w:val="0"/>
          <w:i/>
        </w:rPr>
        <w:t>corpusculum</w:t>
      </w:r>
      <w:r>
        <w:rPr>
          <w:b w:val="0"/>
          <w:i w:val="0"/>
        </w:rPr>
        <w:t xml:space="preserve">; </w:t>
      </w:r>
      <w:r>
        <w:rPr>
          <w:b w:val="0"/>
          <w:i/>
        </w:rPr>
        <w:t>spiritum</w:t>
      </w:r>
      <w:r>
        <w:rPr>
          <w:b w:val="0"/>
          <w:i w:val="0"/>
        </w:rPr>
        <w:t xml:space="preserve">; </w:t>
      </w:r>
      <w:r>
        <w:rPr>
          <w:b w:val="0"/>
          <w:i/>
        </w:rPr>
        <w:t>Spiritus</w:t>
      </w:r>
      <w:r>
        <w:rPr>
          <w:b w:val="0"/>
          <w:i w:val="0"/>
        </w:rPr>
        <w:t xml:space="preserve">; </w:t>
      </w:r>
      <w:r>
        <w:rPr>
          <w:b w:val="0"/>
          <w:i/>
        </w:rPr>
        <w:t>spiritus</w:t>
      </w:r>
      <w:r>
        <w:rPr>
          <w:b w:val="0"/>
          <w:i w:val="0"/>
        </w:rPr>
        <w:t>.</w:t>
      </w:r>
    </w:p>
    <w:p>
      <w:pPr>
        <w:widowControl/>
      </w:pPr>
      <w:r>
        <w:rPr>
          <w:b w:val="0"/>
          <w:i w:val="0"/>
        </w:rPr>
        <w:t xml:space="preserve">The extremely fine luminous bodily medium joining soul to the gross body. Chapter 6 explicitly calls it a little body generated from blood; it must not be identified with the incorporeal soul.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1470" w:name="latin-record-1229"/>
      <w:bookmarkEnd w:id="1470"/>
      <w:r>
        <w:rPr>
          <w:b/>
          <w:i w:val="0"/>
        </w:rPr>
        <w:t>spiritus leves; humores graves</w:t>
      </w:r>
      <w:r>
        <w:rPr>
          <w:b/>
          <w:i w:val="0"/>
        </w:rPr>
        <w:t>.</w:t>
      </w:r>
      <w:r>
        <w:rPr>
          <w:b w:val="0"/>
          <w:i w:val="0"/>
        </w:rPr>
        <w:t xml:space="preserve"> Printed forms: </w:t>
      </w:r>
      <w:r>
        <w:rPr>
          <w:b w:val="0"/>
          <w:i/>
        </w:rPr>
        <w:t>graves humores</w:t>
      </w:r>
      <w:r>
        <w:rPr>
          <w:b w:val="0"/>
          <w:i w:val="0"/>
        </w:rPr>
        <w:t xml:space="preserve">; </w:t>
      </w:r>
      <w:r>
        <w:rPr>
          <w:b w:val="0"/>
          <w:i/>
        </w:rPr>
        <w:t>leves spiritus</w:t>
      </w:r>
      <w:r>
        <w:rPr>
          <w:b w:val="0"/>
          <w:i w:val="0"/>
        </w:rPr>
        <w:t>.</w:t>
      </w:r>
    </w:p>
    <w:p>
      <w:pPr>
        <w:widowControl/>
      </w:pPr>
      <w:r>
        <w:rPr>
          <w:b w:val="0"/>
          <w:i w:val="0"/>
        </w:rPr>
        <w:t xml:space="preserve">Light physiological spirits and heavy humours. Their directed movement against supposed elemental tendencies supports the distinction between controller and bodily constituents. References: </w:t>
      </w:r>
      <w:hyperlink w:anchor="passage-vi-11-2">
        <w:r>
          <w:rPr>
            <w:color w:val="000000"/>
          </w:rPr>
          <w:t xml:space="preserve">VI.11.2</w:t>
        </w:r>
      </w:hyperlink>
      <w:r>
        <w:rPr>
          <w:b w:val="0"/>
          <w:i w:val="0"/>
        </w:rPr>
        <w:t xml:space="preserve">. See </w:t>
      </w:r>
      <w:hyperlink w:anchor="contrary-powers-and-directed-movement">
        <w:r>
          <w:rPr>
            <w:color w:val="000000"/>
          </w:rPr>
          <w:t xml:space="preserve">Contrary powers and directed movement</w:t>
        </w:r>
      </w:hyperlink>
      <w:r>
        <w:rPr>
          <w:b w:val="0"/>
          <w:i w:val="0"/>
        </w:rPr>
        <w:t>.</w:t>
      </w:r>
    </w:p>
    <w:p>
      <w:pPr>
        <w:keepNext/>
        <w:widowControl/>
      </w:pPr>
      <w:bookmarkStart w:id="1471" w:name="latin-record-1230"/>
      <w:bookmarkEnd w:id="1471"/>
      <w:r>
        <w:rPr>
          <w:b/>
          <w:i w:val="0"/>
        </w:rPr>
        <w:t>splendor / lumen / lux</w:t>
      </w:r>
      <w:r>
        <w:rPr>
          <w:b/>
          <w:i w:val="0"/>
        </w:rPr>
        <w:t>.</w:t>
      </w:r>
      <w:r>
        <w:rPr>
          <w:b w:val="0"/>
          <w:i w:val="0"/>
        </w:rPr>
        <w:t xml:space="preserve"> Printed forms: </w:t>
      </w:r>
      <w:r>
        <w:rPr>
          <w:b w:val="0"/>
          <w:i/>
        </w:rPr>
        <w:t>luci</w:t>
      </w:r>
      <w:r>
        <w:rPr>
          <w:b w:val="0"/>
          <w:i w:val="0"/>
        </w:rPr>
        <w:t xml:space="preserve">; </w:t>
      </w:r>
      <w:r>
        <w:rPr>
          <w:b w:val="0"/>
          <w:i/>
        </w:rPr>
        <w:t>lumen</w:t>
      </w:r>
      <w:r>
        <w:rPr>
          <w:b w:val="0"/>
          <w:i w:val="0"/>
        </w:rPr>
        <w:t xml:space="preserve">; </w:t>
      </w:r>
      <w:r>
        <w:rPr>
          <w:b w:val="0"/>
          <w:i/>
        </w:rPr>
        <w:t>lumine</w:t>
      </w:r>
      <w:r>
        <w:rPr>
          <w:b w:val="0"/>
          <w:i w:val="0"/>
        </w:rPr>
        <w:t xml:space="preserve">; </w:t>
      </w:r>
      <w:r>
        <w:rPr>
          <w:b w:val="0"/>
          <w:i/>
        </w:rPr>
        <w:t>luminis</w:t>
      </w:r>
      <w:r>
        <w:rPr>
          <w:b w:val="0"/>
          <w:i w:val="0"/>
        </w:rPr>
        <w:t xml:space="preserve">; </w:t>
      </w:r>
      <w:r>
        <w:rPr>
          <w:b w:val="0"/>
          <w:i/>
        </w:rPr>
        <w:t>splendores</w:t>
      </w:r>
      <w:r>
        <w:rPr>
          <w:b w:val="0"/>
          <w:i w:val="0"/>
        </w:rPr>
        <w:t>.</w:t>
      </w:r>
    </w:p>
    <w:p>
      <w:pPr>
        <w:widowControl/>
      </w:pPr>
      <w:r>
        <w:rPr>
          <w:b w:val="0"/>
          <w:i w:val="0"/>
        </w:rPr>
        <w:t xml:space="preserve">Splendor, light and its shining manifestation. Ficino derives visible light from heavenly souls’ invisible light and relates it to the light of our spirit. References: </w:t>
      </w:r>
      <w:hyperlink w:anchor="passage-vii-1-3">
        <w:r>
          <w:rPr>
            <w:color w:val="000000"/>
          </w:rPr>
          <w:t xml:space="preserve">VII.1.3</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1472" w:name="latin-record-1231"/>
      <w:bookmarkEnd w:id="1472"/>
      <w:r>
        <w:rPr>
          <w:b/>
          <w:i w:val="0"/>
        </w:rPr>
        <w:t>splendor / reflexio</w:t>
      </w:r>
      <w:r>
        <w:rPr>
          <w:b/>
          <w:i w:val="0"/>
        </w:rPr>
        <w:t>.</w:t>
      </w:r>
      <w:r>
        <w:rPr>
          <w:b w:val="0"/>
          <w:i w:val="0"/>
        </w:rPr>
        <w:t xml:space="preserve"> Printed forms: </w:t>
      </w:r>
      <w:r>
        <w:rPr>
          <w:b w:val="0"/>
          <w:i/>
        </w:rPr>
        <w:t>reflexio</w:t>
      </w:r>
      <w:r>
        <w:rPr>
          <w:b w:val="0"/>
          <w:i w:val="0"/>
        </w:rPr>
        <w:t xml:space="preserve">; </w:t>
      </w:r>
      <w:r>
        <w:rPr>
          <w:b w:val="0"/>
          <w:i/>
        </w:rPr>
        <w:t>splendor</w:t>
      </w:r>
      <w:r>
        <w:rPr>
          <w:b w:val="0"/>
          <w:i w:val="0"/>
        </w:rPr>
        <w:t>.</w:t>
      </w:r>
    </w:p>
    <w:p>
      <w:pPr>
        <w:widowControl/>
      </w:pPr>
      <w:r>
        <w:rPr>
          <w:b w:val="0"/>
          <w:i w:val="0"/>
        </w:rPr>
        <w:t xml:space="preserve">Radiance and reflection, effects or manifestations of life. Life is declared prior to its divine radiance, supporting the soul’s reception of immortal life before the splendor of images. References: </w:t>
      </w:r>
      <w:hyperlink w:anchor="passage-v-15-3">
        <w:r>
          <w:rPr>
            <w:color w:val="000000"/>
          </w:rPr>
          <w:t xml:space="preserve">V.15.3</w:t>
        </w:r>
      </w:hyperlink>
      <w:r>
        <w:rPr>
          <w:b w:val="0"/>
          <w:i w:val="0"/>
        </w:rPr>
        <w:t xml:space="preserve">, </w:t>
      </w:r>
      <w:hyperlink w:anchor="passage-v-15-4">
        <w:r>
          <w:rPr>
            <w:color w:val="000000"/>
          </w:rPr>
          <w:t xml:space="preserve">V.15.4</w:t>
        </w:r>
      </w:hyperlink>
      <w:r>
        <w:rPr>
          <w:b w:val="0"/>
          <w:i w:val="0"/>
        </w:rPr>
        <w:t xml:space="preserve">. See </w:t>
      </w:r>
      <w:hyperlink w:anchor="image-shadow-and-ranked-truth">
        <w:r>
          <w:rPr>
            <w:color w:val="000000"/>
          </w:rPr>
          <w:t xml:space="preserve">Image, shadow and ranked truth</w:t>
        </w:r>
      </w:hyperlink>
      <w:r>
        <w:rPr>
          <w:b w:val="0"/>
          <w:i w:val="0"/>
        </w:rPr>
        <w:t>.</w:t>
      </w:r>
    </w:p>
    <w:p>
      <w:pPr>
        <w:keepNext/>
        <w:widowControl/>
      </w:pPr>
      <w:bookmarkStart w:id="1473" w:name="latin-record-1232"/>
      <w:bookmarkEnd w:id="1473"/>
      <w:r>
        <w:rPr>
          <w:b/>
          <w:i w:val="0"/>
        </w:rPr>
        <w:t>spontaneus</w:t>
      </w:r>
      <w:r>
        <w:rPr>
          <w:b/>
          <w:i w:val="0"/>
        </w:rPr>
        <w:t>.</w:t>
      </w:r>
      <w:r>
        <w:rPr>
          <w:b w:val="0"/>
          <w:i w:val="0"/>
        </w:rPr>
        <w:t xml:space="preserve"> Printed forms: </w:t>
      </w:r>
      <w:r>
        <w:rPr>
          <w:b w:val="0"/>
          <w:i/>
        </w:rPr>
        <w:t>spontaneus</w:t>
      </w:r>
      <w:r>
        <w:rPr>
          <w:b w:val="0"/>
          <w:i w:val="0"/>
        </w:rPr>
        <w:t>.</w:t>
      </w:r>
    </w:p>
    <w:p>
      <w:pPr>
        <w:widowControl/>
      </w:pPr>
      <w:r>
        <w:rPr>
          <w:b w:val="0"/>
          <w:i w:val="0"/>
        </w:rPr>
        <w:t xml:space="preserve">Spontaneous or self-originated, describing the movement that accompanies a self-mover. The positive statement that such movement is a constant companion is the reading adopted against a later inserted negation. References: </w:t>
      </w:r>
      <w:hyperlink w:anchor="passage-v-1-1">
        <w:r>
          <w:rPr>
            <w:color w:val="000000"/>
          </w:rPr>
          <w:t xml:space="preserve">V.1.1</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474" w:name="latin-record-1233"/>
      <w:bookmarkEnd w:id="1474"/>
      <w:r>
        <w:rPr>
          <w:b/>
          <w:i w:val="0"/>
        </w:rPr>
        <w:t>spontaneus; gradi</w:t>
      </w:r>
      <w:r>
        <w:rPr>
          <w:b/>
          <w:i w:val="0"/>
        </w:rPr>
        <w:t>.</w:t>
      </w:r>
      <w:r>
        <w:rPr>
          <w:b w:val="0"/>
          <w:i w:val="0"/>
        </w:rPr>
        <w:t xml:space="preserve"> Printed forms: </w:t>
      </w:r>
      <w:r>
        <w:rPr>
          <w:b w:val="0"/>
          <w:i/>
        </w:rPr>
        <w:t>gradiantur</w:t>
      </w:r>
      <w:r>
        <w:rPr>
          <w:b w:val="0"/>
          <w:i w:val="0"/>
        </w:rPr>
        <w:t xml:space="preserve">; </w:t>
      </w:r>
      <w:r>
        <w:rPr>
          <w:b w:val="0"/>
          <w:i/>
        </w:rPr>
        <w:t>gradiendum</w:t>
      </w:r>
      <w:r>
        <w:rPr>
          <w:b w:val="0"/>
          <w:i w:val="0"/>
        </w:rPr>
        <w:t xml:space="preserve">; </w:t>
      </w:r>
      <w:r>
        <w:rPr>
          <w:b w:val="0"/>
          <w:i/>
        </w:rPr>
        <w:t>spontaneus motus</w:t>
      </w:r>
      <w:r>
        <w:rPr>
          <w:b w:val="0"/>
          <w:i w:val="0"/>
        </w:rPr>
        <w:t>.</w:t>
      </w:r>
    </w:p>
    <w:p>
      <w:pPr>
        <w:widowControl/>
      </w:pPr>
      <w:r>
        <w:rPr>
          <w:b w:val="0"/>
          <w:i w:val="0"/>
        </w:rPr>
        <w:t xml:space="preserve">Spontaneous movement and proceeding or walking. Living bodies derive the capacity to move according to judgement through soul; the final statement remains qualified by quasi. References: </w:t>
      </w:r>
      <w:hyperlink w:anchor="passage-vi-12-20">
        <w:r>
          <w:rPr>
            <w:color w:val="000000"/>
          </w:rPr>
          <w:t xml:space="preserve">VI.12.20</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475" w:name="latin-record-1234"/>
      <w:bookmarkEnd w:id="1475"/>
      <w:r>
        <w:rPr>
          <w:b/>
          <w:i w:val="0"/>
        </w:rPr>
        <w:t>sponte</w:t>
      </w:r>
      <w:r>
        <w:rPr>
          <w:b/>
          <w:i w:val="0"/>
        </w:rPr>
        <w:t>.</w:t>
      </w:r>
      <w:r>
        <w:rPr>
          <w:b w:val="0"/>
          <w:i w:val="0"/>
        </w:rPr>
        <w:t xml:space="preserve"> Printed forms: </w:t>
      </w:r>
      <w:r>
        <w:rPr>
          <w:b w:val="0"/>
          <w:i/>
        </w:rPr>
        <w:t>sponte</w:t>
      </w:r>
      <w:r>
        <w:rPr>
          <w:b w:val="0"/>
          <w:i w:val="0"/>
        </w:rPr>
        <w:t>.</w:t>
      </w:r>
    </w:p>
    <w:p>
      <w:pPr>
        <w:widowControl/>
      </w:pPr>
      <w:r>
        <w:rPr>
          <w:b w:val="0"/>
          <w:i w:val="0"/>
        </w:rPr>
        <w:t xml:space="preserve">Of one’s own accord. Ficino denies that soul voluntarily departs from its own form and separately excludes external compulsion. References: </w:t>
      </w:r>
      <w:hyperlink w:anchor="passage-v-8-3">
        <w:r>
          <w:rPr>
            <w:color w:val="000000"/>
          </w:rPr>
          <w:t xml:space="preserve">V.8.3</w:t>
        </w:r>
      </w:hyperlink>
      <w:r>
        <w:rPr>
          <w:b w:val="0"/>
          <w:i w:val="0"/>
        </w:rPr>
        <w:t xml:space="preserve">, </w:t>
      </w:r>
      <w:hyperlink w:anchor="passage-v-8-4">
        <w:r>
          <w:rPr>
            <w:color w:val="000000"/>
          </w:rPr>
          <w:t xml:space="preserve">V.8.4</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1476" w:name="latin-record-1235"/>
      <w:bookmarkEnd w:id="1476"/>
      <w:r>
        <w:rPr>
          <w:b/>
          <w:i w:val="0"/>
        </w:rPr>
        <w:t>statim / e vestigio / absque mora</w:t>
      </w:r>
      <w:r>
        <w:rPr>
          <w:b/>
          <w:i w:val="0"/>
        </w:rPr>
        <w:t>.</w:t>
      </w:r>
      <w:r>
        <w:rPr>
          <w:b w:val="0"/>
          <w:i w:val="0"/>
        </w:rPr>
        <w:t xml:space="preserve"> Printed forms: </w:t>
      </w:r>
      <w:r>
        <w:rPr>
          <w:b w:val="0"/>
          <w:i/>
        </w:rPr>
        <w:t>absque mora</w:t>
      </w:r>
      <w:r>
        <w:rPr>
          <w:b w:val="0"/>
          <w:i w:val="0"/>
        </w:rPr>
        <w:t xml:space="preserve">; </w:t>
      </w:r>
      <w:r>
        <w:rPr>
          <w:b w:val="0"/>
          <w:i/>
        </w:rPr>
        <w:t>e vestigio</w:t>
      </w:r>
      <w:r>
        <w:rPr>
          <w:b w:val="0"/>
          <w:i w:val="0"/>
        </w:rPr>
        <w:t xml:space="preserve">; </w:t>
      </w:r>
      <w:r>
        <w:rPr>
          <w:b w:val="0"/>
          <w:i/>
        </w:rPr>
        <w:t>statim</w:t>
      </w:r>
      <w:r>
        <w:rPr>
          <w:b w:val="0"/>
          <w:i w:val="0"/>
        </w:rPr>
        <w:t>.</w:t>
      </w:r>
    </w:p>
    <w:p>
      <w:pPr>
        <w:widowControl/>
      </w:pPr>
      <w:r>
        <w:rPr>
          <w:b w:val="0"/>
          <w:i w:val="0"/>
        </w:rPr>
        <w:t xml:space="preserve">Immediately or without delay. The rapid coordinated response to injury is central to Ficino’s contrast with successive isolated reports. References: </w:t>
      </w:r>
      <w:hyperlink w:anchor="passage-vii-5-1">
        <w:r>
          <w:rPr>
            <w:color w:val="000000"/>
          </w:rPr>
          <w:t xml:space="preserve">VII.5.1</w:t>
        </w:r>
      </w:hyperlink>
      <w:r>
        <w:rPr>
          <w:b w:val="0"/>
          <w:i w:val="0"/>
        </w:rPr>
        <w:t xml:space="preserve">,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477" w:name="latin-record-1236"/>
      <w:bookmarkEnd w:id="1477"/>
      <w:r>
        <w:rPr>
          <w:b/>
          <w:i w:val="0"/>
        </w:rPr>
        <w:t>statim; subito; paulatim</w:t>
      </w:r>
      <w:r>
        <w:rPr>
          <w:b/>
          <w:i w:val="0"/>
        </w:rPr>
        <w:t>.</w:t>
      </w:r>
      <w:r>
        <w:rPr>
          <w:b w:val="0"/>
          <w:i w:val="0"/>
        </w:rPr>
        <w:t xml:space="preserve"> Printed forms: </w:t>
      </w:r>
      <w:r>
        <w:rPr>
          <w:b w:val="0"/>
          <w:i/>
        </w:rPr>
        <w:t>paulatim</w:t>
      </w:r>
      <w:r>
        <w:rPr>
          <w:b w:val="0"/>
          <w:i w:val="0"/>
        </w:rPr>
        <w:t xml:space="preserve">; </w:t>
      </w:r>
      <w:r>
        <w:rPr>
          <w:b w:val="0"/>
          <w:i/>
        </w:rPr>
        <w:t>protinus</w:t>
      </w:r>
      <w:r>
        <w:rPr>
          <w:b w:val="0"/>
          <w:i w:val="0"/>
        </w:rPr>
        <w:t xml:space="preserve">; </w:t>
      </w:r>
      <w:r>
        <w:rPr>
          <w:b w:val="0"/>
          <w:i/>
        </w:rPr>
        <w:t>repente</w:t>
      </w:r>
      <w:r>
        <w:rPr>
          <w:b w:val="0"/>
          <w:i w:val="0"/>
        </w:rPr>
        <w:t xml:space="preserve">; </w:t>
      </w:r>
      <w:r>
        <w:rPr>
          <w:b w:val="0"/>
          <w:i/>
        </w:rPr>
        <w:t>statim</w:t>
      </w:r>
      <w:r>
        <w:rPr>
          <w:b w:val="0"/>
          <w:i w:val="0"/>
        </w:rPr>
        <w:t xml:space="preserve">; </w:t>
      </w:r>
      <w:r>
        <w:rPr>
          <w:b w:val="0"/>
          <w:i/>
        </w:rPr>
        <w:t>subito</w:t>
      </w:r>
      <w:r>
        <w:rPr>
          <w:b w:val="0"/>
          <w:i w:val="0"/>
        </w:rPr>
        <w:t xml:space="preserve">; </w:t>
      </w:r>
      <w:r>
        <w:rPr>
          <w:b w:val="0"/>
          <w:i/>
        </w:rPr>
        <w:t>tandem</w:t>
      </w:r>
      <w:r>
        <w:rPr>
          <w:b w:val="0"/>
          <w:i w:val="0"/>
        </w:rPr>
        <w:t xml:space="preserve">; </w:t>
      </w:r>
      <w:r>
        <w:rPr>
          <w:b w:val="0"/>
          <w:i/>
        </w:rPr>
        <w:t>vix</w:t>
      </w:r>
      <w:r>
        <w:rPr>
          <w:b w:val="0"/>
          <w:i w:val="0"/>
        </w:rPr>
        <w:t>.</w:t>
      </w:r>
    </w:p>
    <w:p>
      <w:pPr>
        <w:widowControl/>
      </w:pPr>
      <w:r>
        <w:rPr>
          <w:b w:val="0"/>
          <w:i w:val="0"/>
        </w:rPr>
        <w:t xml:space="preserve">Immediately, suddenly, gradually, at last and scarcely, distinguishing temporal manners. The educational ascent cannot be made suddenly; immediate awareness in the Avicennian experiment and gradual material flux have different roles. References: </w:t>
      </w:r>
      <w:hyperlink w:anchor="passage-vi-2-1">
        <w:r>
          <w:rPr>
            <w:color w:val="000000"/>
          </w:rPr>
          <w:t xml:space="preserve">VI.2.1</w:t>
        </w:r>
      </w:hyperlink>
      <w:r>
        <w:rPr>
          <w:b w:val="0"/>
          <w:i w:val="0"/>
        </w:rPr>
        <w:t xml:space="preserve">, </w:t>
      </w:r>
      <w:hyperlink w:anchor="passage-vi-2-12">
        <w:r>
          <w:rPr>
            <w:color w:val="000000"/>
          </w:rPr>
          <w:t xml:space="preserve">VI.2.12</w:t>
        </w:r>
      </w:hyperlink>
      <w:r>
        <w:rPr>
          <w:b w:val="0"/>
          <w:i w:val="0"/>
        </w:rPr>
        <w:t xml:space="preserve">, </w:t>
      </w:r>
      <w:hyperlink w:anchor="passage-vi-2-15">
        <w:r>
          <w:rPr>
            <w:color w:val="000000"/>
          </w:rPr>
          <w:t xml:space="preserve">VI.2.15</w:t>
        </w:r>
      </w:hyperlink>
      <w:r>
        <w:rPr>
          <w:b w:val="0"/>
          <w:i w:val="0"/>
        </w:rPr>
        <w:t xml:space="preserve">, </w:t>
      </w:r>
      <w:hyperlink w:anchor="passage-vi-13-11">
        <w:r>
          <w:rPr>
            <w:color w:val="000000"/>
          </w:rPr>
          <w:t xml:space="preserve">VI.13.11</w:t>
        </w:r>
      </w:hyperlink>
      <w:r>
        <w:rPr>
          <w:b w:val="0"/>
          <w:i w:val="0"/>
        </w:rPr>
        <w:t xml:space="preserve">. See </w:t>
      </w:r>
      <w:hyperlink w:anchor="plato-cave-and-gradual-education">
        <w:r>
          <w:rPr>
            <w:color w:val="000000"/>
          </w:rPr>
          <w:t xml:space="preserve">Plato’s cave and gradual education</w:t>
        </w:r>
      </w:hyperlink>
      <w:r>
        <w:rPr>
          <w:b w:val="0"/>
          <w:i w:val="0"/>
        </w:rPr>
        <w:t>.</w:t>
      </w:r>
    </w:p>
    <w:p>
      <w:pPr>
        <w:keepNext/>
        <w:widowControl/>
      </w:pPr>
      <w:bookmarkStart w:id="1478" w:name="latin-record-1237"/>
      <w:bookmarkEnd w:id="1478"/>
      <w:r>
        <w:rPr>
          <w:b/>
          <w:i w:val="0"/>
        </w:rPr>
        <w:t>status</w:t>
      </w:r>
      <w:r>
        <w:rPr>
          <w:b/>
          <w:i w:val="0"/>
        </w:rPr>
        <w:t>.</w:t>
      </w:r>
      <w:r>
        <w:rPr>
          <w:b w:val="0"/>
          <w:i w:val="0"/>
        </w:rPr>
        <w:t xml:space="preserve"> Printed forms: </w:t>
      </w:r>
      <w:r>
        <w:rPr>
          <w:b w:val="0"/>
          <w:i/>
        </w:rPr>
        <w:t>statu</w:t>
      </w:r>
      <w:r>
        <w:rPr>
          <w:b w:val="0"/>
          <w:i w:val="0"/>
        </w:rPr>
        <w:t xml:space="preserve">; </w:t>
      </w:r>
      <w:r>
        <w:rPr>
          <w:b w:val="0"/>
          <w:i/>
        </w:rPr>
        <w:t>statum</w:t>
      </w:r>
      <w:r>
        <w:rPr>
          <w:b w:val="0"/>
          <w:i w:val="0"/>
        </w:rPr>
        <w:t>.</w:t>
      </w:r>
    </w:p>
    <w:p>
      <w:pPr>
        <w:widowControl/>
      </w:pPr>
      <w:r>
        <w:rPr>
          <w:b w:val="0"/>
          <w:i w:val="0"/>
        </w:rPr>
        <w:t xml:space="preserve">Stability or abiding condition, as distinguished from changing operation. The second proof uses stability as a separate route to immortality; later arguments deny that body dislodges soul from its own state. References: </w:t>
      </w:r>
      <w:hyperlink w:anchor="passage-v-2-1">
        <w:r>
          <w:rPr>
            <w:color w:val="000000"/>
          </w:rPr>
          <w:t xml:space="preserve">V.2.1</w:t>
        </w:r>
      </w:hyperlink>
      <w:r>
        <w:rPr>
          <w:b w:val="0"/>
          <w:i w:val="0"/>
        </w:rPr>
        <w:t xml:space="preserve">, </w:t>
      </w:r>
      <w:hyperlink w:anchor="passage-v-14-8">
        <w:r>
          <w:rPr>
            <w:color w:val="000000"/>
          </w:rPr>
          <w:t xml:space="preserve">V.14.8</w:t>
        </w:r>
      </w:hyperlink>
      <w:r>
        <w:rPr>
          <w:b w:val="0"/>
          <w:i w:val="0"/>
        </w:rPr>
        <w:t xml:space="preserve">. See </w:t>
      </w:r>
      <w:hyperlink w:anchor="motion-and-substantial-stability">
        <w:r>
          <w:rPr>
            <w:color w:val="000000"/>
          </w:rPr>
          <w:t xml:space="preserve">Motion and substantial stability</w:t>
        </w:r>
      </w:hyperlink>
      <w:r>
        <w:rPr>
          <w:b w:val="0"/>
          <w:i w:val="0"/>
        </w:rPr>
        <w:t>.</w:t>
      </w:r>
    </w:p>
    <w:p>
      <w:pPr>
        <w:keepNext/>
        <w:widowControl/>
      </w:pPr>
      <w:bookmarkStart w:id="1479" w:name="latin-record-1238"/>
      <w:bookmarkEnd w:id="1479"/>
      <w:r>
        <w:rPr>
          <w:b/>
          <w:i w:val="0"/>
        </w:rPr>
        <w:t>Strato / Epicureus</w:t>
      </w:r>
      <w:r>
        <w:rPr>
          <w:b/>
          <w:i w:val="0"/>
        </w:rPr>
        <w:t>.</w:t>
      </w:r>
      <w:r>
        <w:rPr>
          <w:b w:val="0"/>
          <w:i w:val="0"/>
        </w:rPr>
        <w:t xml:space="preserve"> Printed forms: </w:t>
      </w:r>
      <w:r>
        <w:rPr>
          <w:b w:val="0"/>
          <w:i/>
        </w:rPr>
        <w:t>Epicuree</w:t>
      </w:r>
      <w:r>
        <w:rPr>
          <w:b w:val="0"/>
          <w:i w:val="0"/>
        </w:rPr>
        <w:t xml:space="preserve">; </w:t>
      </w:r>
      <w:r>
        <w:rPr>
          <w:b w:val="0"/>
          <w:i/>
        </w:rPr>
        <w:t>Epicureus</w:t>
      </w:r>
      <w:r>
        <w:rPr>
          <w:b w:val="0"/>
          <w:i w:val="0"/>
        </w:rPr>
        <w:t xml:space="preserve">; </w:t>
      </w:r>
      <w:r>
        <w:rPr>
          <w:b w:val="0"/>
          <w:i/>
        </w:rPr>
        <w:t>Strato</w:t>
      </w:r>
      <w:r>
        <w:rPr>
          <w:b w:val="0"/>
          <w:i w:val="0"/>
        </w:rPr>
        <w:t>.</w:t>
      </w:r>
    </w:p>
    <w:p>
      <w:pPr>
        <w:widowControl/>
      </w:pPr>
      <w:r>
        <w:rPr>
          <w:b w:val="0"/>
          <w:i w:val="0"/>
        </w:rPr>
        <w:t xml:space="preserve">Strato or an Epicurean interlocutor staged as objecting to the deathlessness inference. The objection says soul might disappear without receiving anything; Ficino clarifies the intended destructive-quality claim. References: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w:t>
      </w:r>
    </w:p>
    <w:p>
      <w:pPr>
        <w:keepNext/>
        <w:widowControl/>
      </w:pPr>
      <w:bookmarkStart w:id="1480" w:name="latin-record-1239"/>
      <w:bookmarkEnd w:id="1480"/>
      <w:r>
        <w:rPr>
          <w:b/>
          <w:i w:val="0"/>
        </w:rPr>
        <w:t>subiectum</w:t>
      </w:r>
      <w:r>
        <w:rPr>
          <w:b/>
          <w:i w:val="0"/>
        </w:rPr>
        <w:t>.</w:t>
      </w:r>
      <w:r>
        <w:rPr>
          <w:b w:val="0"/>
          <w:i w:val="0"/>
        </w:rPr>
        <w:t xml:space="preserve"> Printed forms: </w:t>
      </w:r>
      <w:r>
        <w:rPr>
          <w:b w:val="0"/>
          <w:i/>
        </w:rPr>
        <w:t>subiecta</w:t>
      </w:r>
      <w:r>
        <w:rPr>
          <w:b w:val="0"/>
          <w:i w:val="0"/>
        </w:rPr>
        <w:t xml:space="preserve">; </w:t>
      </w:r>
      <w:r>
        <w:rPr>
          <w:b w:val="0"/>
          <w:i/>
        </w:rPr>
        <w:t>subiectam</w:t>
      </w:r>
      <w:r>
        <w:rPr>
          <w:b w:val="0"/>
          <w:i w:val="0"/>
        </w:rPr>
        <w:t xml:space="preserve">; </w:t>
      </w:r>
      <w:r>
        <w:rPr>
          <w:b w:val="0"/>
          <w:i/>
        </w:rPr>
        <w:t>subiecti</w:t>
      </w:r>
      <w:r>
        <w:rPr>
          <w:b w:val="0"/>
          <w:i w:val="0"/>
        </w:rPr>
        <w:t xml:space="preserve">; </w:t>
      </w:r>
      <w:r>
        <w:rPr>
          <w:b w:val="0"/>
          <w:i/>
        </w:rPr>
        <w:t>subiecto</w:t>
      </w:r>
      <w:r>
        <w:rPr>
          <w:b w:val="0"/>
          <w:i w:val="0"/>
        </w:rPr>
        <w:t xml:space="preserve">; </w:t>
      </w:r>
      <w:r>
        <w:rPr>
          <w:b w:val="0"/>
          <w:i/>
        </w:rPr>
        <w:t>subiectum</w:t>
      </w:r>
      <w:r>
        <w:rPr>
          <w:b w:val="0"/>
          <w:i w:val="0"/>
        </w:rPr>
        <w:t xml:space="preserve">; </w:t>
      </w:r>
      <w:r>
        <w:rPr>
          <w:b w:val="0"/>
          <w:i/>
        </w:rPr>
        <w:t>Subiectum</w:t>
      </w:r>
      <w:r>
        <w:rPr>
          <w:b w:val="0"/>
          <w:i w:val="0"/>
        </w:rPr>
        <w:t>.</w:t>
      </w:r>
    </w:p>
    <w:p>
      <w:pPr>
        <w:widowControl/>
      </w:pPr>
      <w:r>
        <w:rPr>
          <w:b w:val="0"/>
          <w:i w:val="0"/>
        </w:rPr>
        <w:t xml:space="preserve">An underlying subject in which a form or actuality inheres, not a grammatical subject in these passages. Matter is subject to bodily forms; essence is subject to being; the argument must identify which dependence is intended. References: </w:t>
      </w:r>
      <w:hyperlink w:anchor="passage-v-4-1">
        <w:r>
          <w:rPr>
            <w:color w:val="000000"/>
          </w:rPr>
          <w:t xml:space="preserve">V.4.1</w:t>
        </w:r>
      </w:hyperlink>
      <w:r>
        <w:rPr>
          <w:b w:val="0"/>
          <w:i w:val="0"/>
        </w:rPr>
        <w:t xml:space="preserve">, </w:t>
      </w:r>
      <w:hyperlink w:anchor="passage-v-4-6">
        <w:r>
          <w:rPr>
            <w:color w:val="000000"/>
          </w:rPr>
          <w:t xml:space="preserve">V.4.6</w:t>
        </w:r>
      </w:hyperlink>
      <w:r>
        <w:rPr>
          <w:b w:val="0"/>
          <w:i w:val="0"/>
        </w:rPr>
        <w:t xml:space="preserve">, </w:t>
      </w:r>
      <w:hyperlink w:anchor="passage-v-12-2">
        <w:r>
          <w:rPr>
            <w:color w:val="000000"/>
          </w:rPr>
          <w:t xml:space="preserve">V.12.2</w:t>
        </w:r>
      </w:hyperlink>
      <w:r>
        <w:rPr>
          <w:b w:val="0"/>
          <w:i w:val="0"/>
        </w:rPr>
        <w:t xml:space="preserve">, </w:t>
      </w:r>
      <w:hyperlink w:anchor="passage-v-13-13">
        <w:r>
          <w:rPr>
            <w:color w:val="000000"/>
          </w:rPr>
          <w:t xml:space="preserve">V.13.13</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1481" w:name="latin-record-1240"/>
      <w:bookmarkEnd w:id="1481"/>
      <w:r>
        <w:rPr>
          <w:b/>
          <w:i w:val="0"/>
        </w:rPr>
        <w:t>subiectum / receptaculum</w:t>
      </w:r>
      <w:r>
        <w:rPr>
          <w:b/>
          <w:i w:val="0"/>
        </w:rPr>
        <w:t>.</w:t>
      </w:r>
      <w:r>
        <w:rPr>
          <w:b w:val="0"/>
          <w:i w:val="0"/>
        </w:rPr>
        <w:t xml:space="preserve"> Printed forms: </w:t>
      </w:r>
      <w:r>
        <w:rPr>
          <w:b w:val="0"/>
          <w:i/>
        </w:rPr>
        <w:t>receptaculum</w:t>
      </w:r>
      <w:r>
        <w:rPr>
          <w:b w:val="0"/>
          <w:i w:val="0"/>
        </w:rPr>
        <w:t xml:space="preserve">; </w:t>
      </w:r>
      <w:r>
        <w:rPr>
          <w:b w:val="0"/>
          <w:i/>
        </w:rPr>
        <w:t>subiecto</w:t>
      </w:r>
      <w:r>
        <w:rPr>
          <w:b w:val="0"/>
          <w:i w:val="0"/>
        </w:rPr>
        <w:t xml:space="preserve">; </w:t>
      </w:r>
      <w:r>
        <w:rPr>
          <w:b w:val="0"/>
          <w:i/>
        </w:rPr>
        <w:t>subiectum</w:t>
      </w:r>
      <w:r>
        <w:rPr>
          <w:b w:val="0"/>
          <w:i w:val="0"/>
        </w:rPr>
        <w:t>.</w:t>
      </w:r>
    </w:p>
    <w:p>
      <w:pPr>
        <w:widowControl/>
      </w:pPr>
      <w:r>
        <w:rPr>
          <w:b w:val="0"/>
          <w:i w:val="0"/>
        </w:rPr>
        <w:t xml:space="preserve">Subject of inherence or receptacle, not necessarily a spatial container. Soul bears indivisible virtues but is also their source; its role exceeds merely receiving a quality from elsewhere. References: </w:t>
      </w:r>
      <w:hyperlink w:anchor="passage-viii-3-8">
        <w:r>
          <w:rPr>
            <w:color w:val="000000"/>
          </w:rPr>
          <w:t xml:space="preserve">VIII.3.8</w:t>
        </w:r>
      </w:hyperlink>
      <w:r>
        <w:rPr>
          <w:b w:val="0"/>
          <w:i w:val="0"/>
        </w:rPr>
        <w:t xml:space="preserve">, </w:t>
      </w:r>
      <w:hyperlink w:anchor="passage-viii-4-1">
        <w:r>
          <w:rPr>
            <w:color w:val="000000"/>
          </w:rPr>
          <w:t xml:space="preserve">VIII.4.1</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482" w:name="latin-record-1241"/>
      <w:bookmarkEnd w:id="1482"/>
      <w:r>
        <w:rPr>
          <w:b/>
          <w:i w:val="0"/>
        </w:rPr>
        <w:t>subiectum; locus</w:t>
      </w:r>
      <w:r>
        <w:rPr>
          <w:b/>
          <w:i w:val="0"/>
        </w:rPr>
        <w:t>.</w:t>
      </w:r>
      <w:r>
        <w:rPr>
          <w:b w:val="0"/>
          <w:i w:val="0"/>
        </w:rPr>
        <w:t xml:space="preserve"> Printed forms: </w:t>
      </w:r>
      <w:r>
        <w:rPr>
          <w:b w:val="0"/>
          <w:i/>
        </w:rPr>
        <w:t>loco</w:t>
      </w:r>
      <w:r>
        <w:rPr>
          <w:b w:val="0"/>
          <w:i w:val="0"/>
        </w:rPr>
        <w:t xml:space="preserve">; </w:t>
      </w:r>
      <w:r>
        <w:rPr>
          <w:b w:val="0"/>
          <w:i/>
        </w:rPr>
        <w:t>subiecto</w:t>
      </w:r>
      <w:r>
        <w:rPr>
          <w:b w:val="0"/>
          <w:i w:val="0"/>
        </w:rPr>
        <w:t>.</w:t>
      </w:r>
    </w:p>
    <w:p>
      <w:pPr>
        <w:widowControl/>
      </w:pPr>
      <w:r>
        <w:rPr>
          <w:b w:val="0"/>
          <w:i w:val="0"/>
        </w:rPr>
        <w:t xml:space="preserve">A bearer of form or qualities; a spatial place. Natural form is in a formed subject, while a body is in a place; the difference blocks treating body as form. References: </w:t>
      </w:r>
      <w:hyperlink w:anchor="passage-vi-7-1">
        <w:r>
          <w:rPr>
            <w:color w:val="000000"/>
          </w:rPr>
          <w:t xml:space="preserve">VI.7.1</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483" w:name="latin-record-1242"/>
      <w:bookmarkEnd w:id="1483"/>
      <w:r>
        <w:rPr>
          <w:b/>
          <w:i w:val="0"/>
        </w:rPr>
        <w:t>sublimior</w:t>
      </w:r>
      <w:r>
        <w:rPr>
          <w:b/>
          <w:i w:val="0"/>
        </w:rPr>
        <w:t>.</w:t>
      </w:r>
      <w:r>
        <w:rPr>
          <w:b w:val="0"/>
          <w:i w:val="0"/>
        </w:rPr>
        <w:t xml:space="preserve"> Printed forms: </w:t>
      </w:r>
      <w:r>
        <w:rPr>
          <w:b w:val="0"/>
          <w:i/>
        </w:rPr>
        <w:t>sublimior</w:t>
      </w:r>
      <w:r>
        <w:rPr>
          <w:b w:val="0"/>
          <w:i w:val="0"/>
        </w:rPr>
        <w:t xml:space="preserve">; </w:t>
      </w:r>
      <w:r>
        <w:rPr>
          <w:b w:val="0"/>
          <w:i/>
        </w:rPr>
        <w:t>sublimiorem</w:t>
      </w:r>
      <w:r>
        <w:rPr>
          <w:b w:val="0"/>
          <w:i w:val="0"/>
        </w:rPr>
        <w:t>.</w:t>
      </w:r>
    </w:p>
    <w:p>
      <w:pPr>
        <w:widowControl/>
      </w:pPr>
      <w:r>
        <w:rPr>
          <w:b w:val="0"/>
          <w:i w:val="0"/>
        </w:rPr>
        <w:t xml:space="preserve">More elevated in explanatory or ontological rank, not merely higher in place. An operation cannot surpass its own producing substance in the way universal incorporeal cognition would surpass a merely bodily mind. References: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1484" w:name="latin-record-1243"/>
      <w:bookmarkEnd w:id="1484"/>
      <w:r>
        <w:rPr>
          <w:b/>
          <w:i w:val="0"/>
        </w:rPr>
        <w:t>subsistere / consistere</w:t>
      </w:r>
      <w:r>
        <w:rPr>
          <w:b/>
          <w:i w:val="0"/>
        </w:rPr>
        <w:t>.</w:t>
      </w:r>
      <w:r>
        <w:rPr>
          <w:b w:val="0"/>
          <w:i w:val="0"/>
        </w:rPr>
        <w:t xml:space="preserve"> Printed forms: </w:t>
      </w:r>
      <w:r>
        <w:rPr>
          <w:b w:val="0"/>
          <w:i/>
        </w:rPr>
        <w:t>consistat</w:t>
      </w:r>
      <w:r>
        <w:rPr>
          <w:b w:val="0"/>
          <w:i w:val="0"/>
        </w:rPr>
        <w:t xml:space="preserve">; </w:t>
      </w:r>
      <w:r>
        <w:rPr>
          <w:b w:val="0"/>
          <w:i/>
        </w:rPr>
        <w:t>consistunt</w:t>
      </w:r>
      <w:r>
        <w:rPr>
          <w:b w:val="0"/>
          <w:i w:val="0"/>
        </w:rPr>
        <w:t xml:space="preserve">; </w:t>
      </w:r>
      <w:r>
        <w:rPr>
          <w:b w:val="0"/>
          <w:i/>
        </w:rPr>
        <w:t>subsistentem</w:t>
      </w:r>
      <w:r>
        <w:rPr>
          <w:b w:val="0"/>
          <w:i w:val="0"/>
        </w:rPr>
        <w:t xml:space="preserve">; </w:t>
      </w:r>
      <w:r>
        <w:rPr>
          <w:b w:val="0"/>
          <w:i/>
        </w:rPr>
        <w:t>subsistere</w:t>
      </w:r>
      <w:r>
        <w:rPr>
          <w:b w:val="0"/>
          <w:i w:val="0"/>
        </w:rPr>
        <w:t xml:space="preserve">; </w:t>
      </w:r>
      <w:r>
        <w:rPr>
          <w:b w:val="0"/>
          <w:i/>
        </w:rPr>
        <w:t>subsistit</w:t>
      </w:r>
      <w:r>
        <w:rPr>
          <w:b w:val="0"/>
          <w:i w:val="0"/>
        </w:rPr>
        <w:t>.</w:t>
      </w:r>
    </w:p>
    <w:p>
      <w:pPr>
        <w:widowControl/>
      </w:pPr>
      <w:r>
        <w:rPr>
          <w:b w:val="0"/>
          <w:i w:val="0"/>
        </w:rPr>
        <w:t xml:space="preserve">Standing in being or persisting as a determinate subject. The common nature in material individuals requires a foundation, while the higher Idea is said to stand in itself. References: </w:t>
      </w:r>
      <w:hyperlink w:anchor="passage-viii-1-2">
        <w:r>
          <w:rPr>
            <w:color w:val="000000"/>
          </w:rPr>
          <w:t xml:space="preserve">VIII.1.2</w:t>
        </w:r>
      </w:hyperlink>
      <w:r>
        <w:rPr>
          <w:b w:val="0"/>
          <w:i w:val="0"/>
        </w:rPr>
        <w:t xml:space="preserve">, </w:t>
      </w:r>
      <w:hyperlink w:anchor="passage-viii-1-3">
        <w:r>
          <w:rPr>
            <w:color w:val="000000"/>
          </w:rPr>
          <w:t xml:space="preserve">VIII.1.3</w:t>
        </w:r>
      </w:hyperlink>
      <w:r>
        <w:rPr>
          <w:b w:val="0"/>
          <w:i w:val="0"/>
        </w:rPr>
        <w:t xml:space="preserve">, </w:t>
      </w:r>
      <w:hyperlink w:anchor="passage-viii-1-4">
        <w:r>
          <w:rPr>
            <w:color w:val="000000"/>
          </w:rPr>
          <w:t xml:space="preserve">VIII.1.4</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485" w:name="latin-record-1244"/>
      <w:bookmarkEnd w:id="1485"/>
      <w:r>
        <w:rPr>
          <w:b/>
          <w:i w:val="0"/>
        </w:rPr>
        <w:t>subsistere / subiectum</w:t>
      </w:r>
      <w:r>
        <w:rPr>
          <w:b/>
          <w:i w:val="0"/>
        </w:rPr>
        <w:t>.</w:t>
      </w:r>
      <w:r>
        <w:rPr>
          <w:b w:val="0"/>
          <w:i w:val="0"/>
        </w:rPr>
        <w:t xml:space="preserve"> Printed forms: </w:t>
      </w:r>
      <w:r>
        <w:rPr>
          <w:b w:val="0"/>
          <w:i/>
        </w:rPr>
        <w:t>subiectum</w:t>
      </w:r>
      <w:r>
        <w:rPr>
          <w:b w:val="0"/>
          <w:i w:val="0"/>
        </w:rPr>
        <w:t xml:space="preserve">; </w:t>
      </w:r>
      <w:r>
        <w:rPr>
          <w:b w:val="0"/>
          <w:i/>
        </w:rPr>
        <w:t>subsistit</w:t>
      </w:r>
      <w:r>
        <w:rPr>
          <w:b w:val="0"/>
          <w:i w:val="0"/>
        </w:rPr>
        <w:t>.</w:t>
      </w:r>
    </w:p>
    <w:p>
      <w:pPr>
        <w:widowControl/>
      </w:pPr>
      <w:r>
        <w:rPr>
          <w:b w:val="0"/>
          <w:i w:val="0"/>
        </w:rPr>
        <w:t xml:space="preserve">To subsist and the subject in which something inheres. The constitution depends on the body receiving its qualities; it does not subsist in itself. References: </w:t>
      </w:r>
      <w:hyperlink w:anchor="passage-vii-9-1">
        <w:r>
          <w:rPr>
            <w:color w:val="000000"/>
          </w:rPr>
          <w:t xml:space="preserve">VII.9.1</w:t>
        </w:r>
      </w:hyperlink>
      <w:r>
        <w:rPr>
          <w:b w:val="0"/>
          <w:i w:val="0"/>
        </w:rPr>
        <w:t xml:space="preserve">. See </w:t>
      </w:r>
      <w:hyperlink w:anchor="vii-substance-degrees">
        <w:r>
          <w:rPr>
            <w:color w:val="000000"/>
          </w:rPr>
          <w:t xml:space="preserve">Substance, qualities and degrees</w:t>
        </w:r>
      </w:hyperlink>
      <w:r>
        <w:rPr>
          <w:b w:val="0"/>
          <w:i w:val="0"/>
        </w:rPr>
        <w:t>.</w:t>
      </w:r>
    </w:p>
    <w:p>
      <w:pPr>
        <w:keepNext/>
        <w:widowControl/>
      </w:pPr>
      <w:bookmarkStart w:id="1486" w:name="latin-record-1245"/>
      <w:bookmarkEnd w:id="1486"/>
      <w:r>
        <w:rPr>
          <w:b/>
          <w:i w:val="0"/>
        </w:rPr>
        <w:t>substantia</w:t>
      </w:r>
      <w:r>
        <w:rPr>
          <w:b/>
          <w:i w:val="0"/>
        </w:rPr>
        <w:t>.</w:t>
      </w:r>
      <w:r>
        <w:rPr>
          <w:b w:val="0"/>
          <w:i w:val="0"/>
        </w:rPr>
        <w:t xml:space="preserve"> Printed forms: </w:t>
      </w:r>
      <w:r>
        <w:rPr>
          <w:b w:val="0"/>
          <w:i/>
        </w:rPr>
        <w:t>Substantia</w:t>
      </w:r>
      <w:r>
        <w:rPr>
          <w:b w:val="0"/>
          <w:i w:val="0"/>
        </w:rPr>
        <w:t xml:space="preserve">; </w:t>
      </w:r>
      <w:r>
        <w:rPr>
          <w:b w:val="0"/>
          <w:i/>
        </w:rPr>
        <w:t>substantia</w:t>
      </w:r>
      <w:r>
        <w:rPr>
          <w:b w:val="0"/>
          <w:i w:val="0"/>
        </w:rPr>
        <w:t xml:space="preserve">; </w:t>
      </w:r>
      <w:r>
        <w:rPr>
          <w:b w:val="0"/>
          <w:i/>
        </w:rPr>
        <w:t>substantiae</w:t>
      </w:r>
      <w:r>
        <w:rPr>
          <w:b w:val="0"/>
          <w:i w:val="0"/>
        </w:rPr>
        <w:t xml:space="preserve">; </w:t>
      </w:r>
      <w:r>
        <w:rPr>
          <w:b w:val="0"/>
          <w:i/>
        </w:rPr>
        <w:t>substantiam</w:t>
      </w:r>
      <w:r>
        <w:rPr>
          <w:b w:val="0"/>
          <w:i w:val="0"/>
        </w:rPr>
        <w:t xml:space="preserve">; </w:t>
      </w:r>
      <w:r>
        <w:rPr>
          <w:b w:val="0"/>
          <w:i/>
        </w:rPr>
        <w:t>Substantiam</w:t>
      </w:r>
      <w:r>
        <w:rPr>
          <w:b w:val="0"/>
          <w:i w:val="0"/>
        </w:rPr>
        <w:t xml:space="preserve">; </w:t>
      </w:r>
      <w:r>
        <w:rPr>
          <w:b w:val="0"/>
          <w:i/>
        </w:rPr>
        <w:t>substantiarum</w:t>
      </w:r>
      <w:r>
        <w:rPr>
          <w:b w:val="0"/>
          <w:i w:val="0"/>
        </w:rPr>
        <w:t xml:space="preserve">; </w:t>
      </w:r>
      <w:r>
        <w:rPr>
          <w:b w:val="0"/>
          <w:i/>
        </w:rPr>
        <w:t>substantias</w:t>
      </w:r>
      <w:r>
        <w:rPr>
          <w:b w:val="0"/>
          <w:i w:val="0"/>
        </w:rPr>
        <w:t xml:space="preserve">; </w:t>
      </w:r>
      <w:r>
        <w:rPr>
          <w:b w:val="0"/>
          <w:i/>
        </w:rPr>
        <w:t>substantiis</w:t>
      </w:r>
      <w:r>
        <w:rPr>
          <w:b w:val="0"/>
          <w:i w:val="0"/>
        </w:rPr>
        <w:t>.</w:t>
      </w:r>
    </w:p>
    <w:p>
      <w:pPr>
        <w:widowControl/>
      </w:pPr>
      <w:r>
        <w:rPr>
          <w:b w:val="0"/>
          <w:i w:val="0"/>
        </w:rPr>
        <w:t xml:space="preserve">Substance or subsisting nature, contrasted locally with its operations and accidents. Soul remains in substance while operating successively; in creatures operative power is distinct from substance. References: </w:t>
      </w:r>
      <w:hyperlink w:anchor="passage-v-1-5">
        <w:r>
          <w:rPr>
            <w:color w:val="000000"/>
          </w:rPr>
          <w:t xml:space="preserve">V.1.5</w:t>
        </w:r>
      </w:hyperlink>
      <w:r>
        <w:rPr>
          <w:b w:val="0"/>
          <w:i w:val="0"/>
        </w:rPr>
        <w:t xml:space="preserve">, </w:t>
      </w:r>
      <w:hyperlink w:anchor="passage-v-2-1">
        <w:r>
          <w:rPr>
            <w:color w:val="000000"/>
          </w:rPr>
          <w:t xml:space="preserve">V.2.1</w:t>
        </w:r>
      </w:hyperlink>
      <w:r>
        <w:rPr>
          <w:b w:val="0"/>
          <w:i w:val="0"/>
        </w:rPr>
        <w:t xml:space="preserve">, </w:t>
      </w:r>
      <w:hyperlink w:anchor="passage-v-12-2">
        <w:r>
          <w:rPr>
            <w:color w:val="000000"/>
          </w:rPr>
          <w:t xml:space="preserve">V.12.2</w:t>
        </w:r>
      </w:hyperlink>
      <w:r>
        <w:rPr>
          <w:b w:val="0"/>
          <w:i w:val="0"/>
        </w:rPr>
        <w:t xml:space="preserve">, </w:t>
      </w:r>
      <w:hyperlink w:anchor="passage-v-13-13">
        <w:r>
          <w:rPr>
            <w:color w:val="000000"/>
          </w:rPr>
          <w:t xml:space="preserve">V.13.13</w:t>
        </w:r>
      </w:hyperlink>
      <w:r>
        <w:rPr>
          <w:b w:val="0"/>
          <w:i w:val="0"/>
        </w:rPr>
        <w:t xml:space="preserve">, </w:t>
      </w:r>
      <w:hyperlink w:anchor="passage-v-15-6">
        <w:r>
          <w:rPr>
            <w:color w:val="000000"/>
          </w:rPr>
          <w:t xml:space="preserve">V.15.6</w:t>
        </w:r>
      </w:hyperlink>
      <w:r>
        <w:rPr>
          <w:b w:val="0"/>
          <w:i w:val="0"/>
        </w:rPr>
        <w:t xml:space="preserve">, </w:t>
      </w:r>
      <w:hyperlink w:anchor="passage-v-15-10">
        <w:r>
          <w:rPr>
            <w:color w:val="000000"/>
          </w:rPr>
          <w:t xml:space="preserve">V.15.10</w:t>
        </w:r>
      </w:hyperlink>
      <w:r>
        <w:rPr>
          <w:b w:val="0"/>
          <w:i w:val="0"/>
        </w:rPr>
        <w:t xml:space="preserve">. See </w:t>
      </w:r>
      <w:hyperlink w:anchor="motion-and-substantial-stability">
        <w:r>
          <w:rPr>
            <w:color w:val="000000"/>
          </w:rPr>
          <w:t xml:space="preserve">Motion and substantial stability</w:t>
        </w:r>
      </w:hyperlink>
      <w:r>
        <w:rPr>
          <w:b w:val="0"/>
          <w:i w:val="0"/>
        </w:rPr>
        <w:t>.</w:t>
      </w:r>
    </w:p>
    <w:p>
      <w:pPr>
        <w:widowControl/>
      </w:pPr>
      <w:r>
        <w:rPr>
          <w:b w:val="0"/>
          <w:i w:val="0"/>
        </w:rPr>
        <w:t xml:space="preserve">Substance or the underlying nature whose form and operation are being explained. Phantasy conjectures it without its account; definition seeks what it is; operation is not allowed to outrank its producing substance. References: </w:t>
      </w:r>
      <w:hyperlink w:anchor="passage-viii-1-1">
        <w:r>
          <w:rPr>
            <w:color w:val="000000"/>
          </w:rPr>
          <w:t xml:space="preserve">VIII.1.1</w:t>
        </w:r>
      </w:hyperlink>
      <w:r>
        <w:rPr>
          <w:b w:val="0"/>
          <w:i w:val="0"/>
        </w:rPr>
        <w:t xml:space="preserve">, </w:t>
      </w:r>
      <w:hyperlink w:anchor="passage-viii-4-4">
        <w:r>
          <w:rPr>
            <w:color w:val="000000"/>
          </w:rPr>
          <w:t xml:space="preserve">VIII.4.4</w:t>
        </w:r>
      </w:hyperlink>
      <w:r>
        <w:rPr>
          <w:b w:val="0"/>
          <w:i w:val="0"/>
        </w:rPr>
        <w:t xml:space="preserve">, </w:t>
      </w:r>
      <w:hyperlink w:anchor="passage-viii-10-1">
        <w:r>
          <w:rPr>
            <w:color w:val="000000"/>
          </w:rPr>
          <w:t xml:space="preserve">VIII.10.1</w:t>
        </w:r>
      </w:hyperlink>
      <w:r>
        <w:rPr>
          <w:b w:val="0"/>
          <w:i w:val="0"/>
        </w:rPr>
        <w:t xml:space="preserve">, </w:t>
      </w:r>
      <w:hyperlink w:anchor="passage-viii-10-2">
        <w:r>
          <w:rPr>
            <w:color w:val="000000"/>
          </w:rPr>
          <w:t xml:space="preserve">VIII.10.2</w:t>
        </w:r>
      </w:hyperlink>
      <w:r>
        <w:rPr>
          <w:b w:val="0"/>
          <w:i w:val="0"/>
        </w:rPr>
        <w:t xml:space="preserve">. See </w:t>
      </w:r>
      <w:hyperlink w:anchor="viii-operation-kind">
        <w:r>
          <w:rPr>
            <w:color w:val="000000"/>
          </w:rPr>
          <w:t xml:space="preserve">Kind, generation, and operation’s dependence on substance</w:t>
        </w:r>
      </w:hyperlink>
      <w:r>
        <w:rPr>
          <w:b w:val="0"/>
          <w:i w:val="0"/>
        </w:rPr>
        <w:t>.</w:t>
      </w:r>
    </w:p>
    <w:p>
      <w:pPr>
        <w:keepNext/>
        <w:widowControl/>
      </w:pPr>
      <w:bookmarkStart w:id="1487" w:name="latin-record-1246"/>
      <w:bookmarkEnd w:id="1487"/>
      <w:r>
        <w:rPr>
          <w:b/>
          <w:i w:val="0"/>
        </w:rPr>
        <w:t>substantia / virtus / operatio</w:t>
      </w:r>
      <w:r>
        <w:rPr>
          <w:b/>
          <w:i w:val="0"/>
        </w:rPr>
        <w:t>.</w:t>
      </w:r>
      <w:r>
        <w:rPr>
          <w:b w:val="0"/>
          <w:i w:val="0"/>
        </w:rPr>
        <w:t xml:space="preserve"> Printed forms: </w:t>
      </w:r>
      <w:r>
        <w:rPr>
          <w:b w:val="0"/>
          <w:i/>
        </w:rPr>
        <w:t>operationem</w:t>
      </w:r>
      <w:r>
        <w:rPr>
          <w:b w:val="0"/>
          <w:i w:val="0"/>
        </w:rPr>
        <w:t xml:space="preserve">; </w:t>
      </w:r>
      <w:r>
        <w:rPr>
          <w:b w:val="0"/>
          <w:i/>
        </w:rPr>
        <w:t>substantia</w:t>
      </w:r>
      <w:r>
        <w:rPr>
          <w:b w:val="0"/>
          <w:i w:val="0"/>
        </w:rPr>
        <w:t xml:space="preserve">; </w:t>
      </w:r>
      <w:r>
        <w:rPr>
          <w:b w:val="0"/>
          <w:i/>
        </w:rPr>
        <w:t>substantiae</w:t>
      </w:r>
      <w:r>
        <w:rPr>
          <w:b w:val="0"/>
          <w:i w:val="0"/>
        </w:rPr>
        <w:t xml:space="preserve">; </w:t>
      </w:r>
      <w:r>
        <w:rPr>
          <w:b w:val="0"/>
          <w:i/>
        </w:rPr>
        <w:t>substantiaeque</w:t>
      </w:r>
      <w:r>
        <w:rPr>
          <w:b w:val="0"/>
          <w:i w:val="0"/>
        </w:rPr>
        <w:t xml:space="preserve">; </w:t>
      </w:r>
      <w:r>
        <w:rPr>
          <w:b w:val="0"/>
          <w:i/>
        </w:rPr>
        <w:t>substantiam</w:t>
      </w:r>
      <w:r>
        <w:rPr>
          <w:b w:val="0"/>
          <w:i w:val="0"/>
        </w:rPr>
        <w:t xml:space="preserve">; </w:t>
      </w:r>
      <w:r>
        <w:rPr>
          <w:b w:val="0"/>
          <w:i/>
        </w:rPr>
        <w:t>virtus</w:t>
      </w:r>
      <w:r>
        <w:rPr>
          <w:b w:val="0"/>
          <w:i w:val="0"/>
        </w:rPr>
        <w:t xml:space="preserve">; </w:t>
      </w:r>
      <w:r>
        <w:rPr>
          <w:b w:val="0"/>
          <w:i/>
        </w:rPr>
        <w:t>virtutem</w:t>
      </w:r>
      <w:r>
        <w:rPr>
          <w:b w:val="0"/>
          <w:i w:val="0"/>
        </w:rPr>
        <w:t xml:space="preserve">; </w:t>
      </w:r>
      <w:r>
        <w:rPr>
          <w:b w:val="0"/>
          <w:i/>
        </w:rPr>
        <w:t>virtutis</w:t>
      </w:r>
      <w:r>
        <w:rPr>
          <w:b w:val="0"/>
          <w:i w:val="0"/>
        </w:rPr>
        <w:t>.</w:t>
      </w:r>
    </w:p>
    <w:p>
      <w:pPr>
        <w:widowControl/>
      </w:pPr>
      <w:r>
        <w:rPr>
          <w:b w:val="0"/>
          <w:i w:val="0"/>
        </w:rPr>
        <w:t xml:space="preserve">Substance, its power, and the exercise of that power. The dependence runs in order: destroying substance undermines power and then activity, which would obstruct sensing and judging injury. References: </w:t>
      </w:r>
      <w:hyperlink w:anchor="passage-vii-6-2">
        <w:r>
          <w:rPr>
            <w:color w:val="000000"/>
          </w:rPr>
          <w:t xml:space="preserve">VII.6.2</w:t>
        </w:r>
      </w:hyperlink>
      <w:r>
        <w:rPr>
          <w:b w:val="0"/>
          <w:i w:val="0"/>
        </w:rPr>
        <w:t xml:space="preserve">. See </w:t>
      </w:r>
      <w:hyperlink w:anchor="vii-injury-judge">
        <w:r>
          <w:rPr>
            <w:color w:val="000000"/>
          </w:rPr>
          <w:t xml:space="preserve">Injury and the uninjured judge</w:t>
        </w:r>
      </w:hyperlink>
      <w:r>
        <w:rPr>
          <w:b w:val="0"/>
          <w:i w:val="0"/>
        </w:rPr>
        <w:t>.</w:t>
      </w:r>
    </w:p>
    <w:p>
      <w:pPr>
        <w:keepNext/>
        <w:widowControl/>
      </w:pPr>
      <w:bookmarkStart w:id="1488" w:name="latin-record-1247"/>
      <w:bookmarkEnd w:id="1488"/>
      <w:r>
        <w:rPr>
          <w:b/>
          <w:i w:val="0"/>
        </w:rPr>
        <w:t>substantia; essentia</w:t>
      </w:r>
      <w:r>
        <w:rPr>
          <w:b/>
          <w:i w:val="0"/>
        </w:rPr>
        <w:t>.</w:t>
      </w:r>
      <w:r>
        <w:rPr>
          <w:b w:val="0"/>
          <w:i w:val="0"/>
        </w:rPr>
        <w:t xml:space="preserve"> Printed forms: </w:t>
      </w:r>
      <w:r>
        <w:rPr>
          <w:b w:val="0"/>
          <w:i/>
        </w:rPr>
        <w:t>essentia</w:t>
      </w:r>
      <w:r>
        <w:rPr>
          <w:b w:val="0"/>
          <w:i w:val="0"/>
        </w:rPr>
        <w:t xml:space="preserve">; </w:t>
      </w:r>
      <w:r>
        <w:rPr>
          <w:b w:val="0"/>
          <w:i/>
        </w:rPr>
        <w:t>essentiae</w:t>
      </w:r>
      <w:r>
        <w:rPr>
          <w:b w:val="0"/>
          <w:i w:val="0"/>
        </w:rPr>
        <w:t xml:space="preserve">; </w:t>
      </w:r>
      <w:r>
        <w:rPr>
          <w:b w:val="0"/>
          <w:i/>
        </w:rPr>
        <w:t>essentiam</w:t>
      </w:r>
      <w:r>
        <w:rPr>
          <w:b w:val="0"/>
          <w:i w:val="0"/>
        </w:rPr>
        <w:t xml:space="preserve">; </w:t>
      </w:r>
      <w:r>
        <w:rPr>
          <w:b w:val="0"/>
          <w:i/>
        </w:rPr>
        <w:t>substantia</w:t>
      </w:r>
      <w:r>
        <w:rPr>
          <w:b w:val="0"/>
          <w:i w:val="0"/>
        </w:rPr>
        <w:t xml:space="preserve">; </w:t>
      </w:r>
      <w:r>
        <w:rPr>
          <w:b w:val="0"/>
          <w:i/>
        </w:rPr>
        <w:t>substantiae</w:t>
      </w:r>
      <w:r>
        <w:rPr>
          <w:b w:val="0"/>
          <w:i w:val="0"/>
        </w:rPr>
        <w:t xml:space="preserve">; </w:t>
      </w:r>
      <w:r>
        <w:rPr>
          <w:b w:val="0"/>
          <w:i/>
        </w:rPr>
        <w:t>substantiam</w:t>
      </w:r>
      <w:r>
        <w:rPr>
          <w:b w:val="0"/>
          <w:i w:val="0"/>
        </w:rPr>
        <w:t>.</w:t>
      </w:r>
    </w:p>
    <w:p>
      <w:pPr>
        <w:widowControl/>
      </w:pPr>
      <w:r>
        <w:rPr>
          <w:b w:val="0"/>
          <w:i w:val="0"/>
        </w:rPr>
        <w:t xml:space="preserve">Substance and essence, used for the enduring reality and what it is. The text distinguishes substantial bearer from changing accidents and essence from the being and operations it communicates; the two nouns are related but not a uniform translation formula. References: </w:t>
      </w:r>
      <w:hyperlink w:anchor="passage-vi-2-9">
        <w:r>
          <w:rPr>
            <w:color w:val="000000"/>
          </w:rPr>
          <w:t xml:space="preserve">VI.2.9</w:t>
        </w:r>
      </w:hyperlink>
      <w:r>
        <w:rPr>
          <w:b w:val="0"/>
          <w:i w:val="0"/>
        </w:rPr>
        <w:t xml:space="preserve">, </w:t>
      </w:r>
      <w:hyperlink w:anchor="passage-vi-7-3">
        <w:r>
          <w:rPr>
            <w:color w:val="000000"/>
          </w:rPr>
          <w:t xml:space="preserve">VI.7.3</w:t>
        </w:r>
      </w:hyperlink>
      <w:r>
        <w:rPr>
          <w:b w:val="0"/>
          <w:i w:val="0"/>
        </w:rPr>
        <w:t xml:space="preserve">, </w:t>
      </w:r>
      <w:hyperlink w:anchor="passage-vi-9-2">
        <w:r>
          <w:rPr>
            <w:color w:val="000000"/>
          </w:rPr>
          <w:t xml:space="preserve">VI.9.2</w:t>
        </w:r>
      </w:hyperlink>
      <w:r>
        <w:rPr>
          <w:b w:val="0"/>
          <w:i w:val="0"/>
        </w:rPr>
        <w:t xml:space="preserve">, </w:t>
      </w:r>
      <w:hyperlink w:anchor="passage-vi-13-5">
        <w:r>
          <w:rPr>
            <w:color w:val="000000"/>
          </w:rPr>
          <w:t xml:space="preserve">VI.13.5</w:t>
        </w:r>
      </w:hyperlink>
      <w:r>
        <w:rPr>
          <w:b w:val="0"/>
          <w:i w:val="0"/>
        </w:rPr>
        <w:t xml:space="preserve">. See </w:t>
      </w:r>
      <w:hyperlink w:anchor="substantial-form-and-receiving-subject">
        <w:r>
          <w:rPr>
            <w:color w:val="000000"/>
          </w:rPr>
          <w:t xml:space="preserve">Substantial form and the receiving subject</w:t>
        </w:r>
      </w:hyperlink>
      <w:r>
        <w:rPr>
          <w:b w:val="0"/>
          <w:i w:val="0"/>
        </w:rPr>
        <w:t>.</w:t>
      </w:r>
    </w:p>
    <w:p>
      <w:pPr>
        <w:keepNext/>
        <w:widowControl/>
      </w:pPr>
      <w:bookmarkStart w:id="1489" w:name="latin-record-1248"/>
      <w:bookmarkEnd w:id="1489"/>
      <w:r>
        <w:rPr>
          <w:b/>
          <w:i w:val="0"/>
        </w:rPr>
        <w:t>substantialis unitas</w:t>
      </w:r>
      <w:r>
        <w:rPr>
          <w:b/>
          <w:i w:val="0"/>
        </w:rPr>
        <w:t>.</w:t>
      </w:r>
      <w:r>
        <w:rPr>
          <w:b w:val="0"/>
          <w:i w:val="0"/>
        </w:rPr>
        <w:t xml:space="preserve"> Printed forms: </w:t>
      </w:r>
      <w:r>
        <w:rPr>
          <w:b w:val="0"/>
          <w:i/>
        </w:rPr>
        <w:t>substantialis quaedam unitas</w:t>
      </w:r>
      <w:r>
        <w:rPr>
          <w:b w:val="0"/>
          <w:i w:val="0"/>
        </w:rPr>
        <w:t xml:space="preserve">; </w:t>
      </w:r>
      <w:r>
        <w:rPr>
          <w:b w:val="0"/>
          <w:i/>
        </w:rPr>
        <w:t>substantialis unitas</w:t>
      </w:r>
      <w:r>
        <w:rPr>
          <w:b w:val="0"/>
          <w:i w:val="0"/>
        </w:rPr>
        <w:t>.</w:t>
      </w:r>
    </w:p>
    <w:p>
      <w:pPr>
        <w:widowControl/>
      </w:pPr>
      <w:r>
        <w:rPr>
          <w:b w:val="0"/>
          <w:i w:val="0"/>
        </w:rPr>
        <w:t xml:space="preserve">Unity existing as a substantial principle, not as a merely positioned geometrical limit. The liberated point is renamed through a reality free of dimensions and position and capable of higher activity. References: </w:t>
      </w:r>
      <w:hyperlink w:anchor="passage-vi-2-20">
        <w:r>
          <w:rPr>
            <w:color w:val="000000"/>
          </w:rPr>
          <w:t xml:space="preserve">VI.2.20</w:t>
        </w:r>
      </w:hyperlink>
      <w:r>
        <w:rPr>
          <w:b w:val="0"/>
          <w:i w:val="0"/>
        </w:rPr>
        <w:t xml:space="preserve">, </w:t>
      </w:r>
      <w:hyperlink w:anchor="passage-vi-2-27">
        <w:r>
          <w:rPr>
            <w:color w:val="000000"/>
          </w:rPr>
          <w:t xml:space="preserve">VI.2.27</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1490" w:name="latin-record-1249"/>
      <w:bookmarkEnd w:id="1490"/>
      <w:r>
        <w:rPr>
          <w:b/>
          <w:i w:val="0"/>
        </w:rPr>
        <w:t>subterfugere; adsciscere</w:t>
      </w:r>
      <w:r>
        <w:rPr>
          <w:b/>
          <w:i w:val="0"/>
        </w:rPr>
        <w:t>.</w:t>
      </w:r>
      <w:r>
        <w:rPr>
          <w:b w:val="0"/>
          <w:i w:val="0"/>
        </w:rPr>
        <w:t xml:space="preserve"> Printed forms: </w:t>
      </w:r>
      <w:r>
        <w:rPr>
          <w:b w:val="0"/>
          <w:i/>
        </w:rPr>
        <w:t>adsciscere</w:t>
      </w:r>
      <w:r>
        <w:rPr>
          <w:b w:val="0"/>
          <w:i w:val="0"/>
        </w:rPr>
        <w:t xml:space="preserve">; </w:t>
      </w:r>
      <w:r>
        <w:rPr>
          <w:b w:val="0"/>
          <w:i/>
        </w:rPr>
        <w:t>subterfugiat</w:t>
      </w:r>
      <w:r>
        <w:rPr>
          <w:b w:val="0"/>
          <w:i w:val="0"/>
        </w:rPr>
        <w:t>.</w:t>
      </w:r>
    </w:p>
    <w:p>
      <w:pPr>
        <w:widowControl/>
      </w:pPr>
      <w:r>
        <w:rPr>
          <w:b w:val="0"/>
          <w:i w:val="0"/>
        </w:rPr>
        <w:t xml:space="preserve">To slip away and recruit or adopt replacements. A continually flowing soul-body would need new souls and lose the original subject it was meant to preserve. References: </w:t>
      </w:r>
      <w:hyperlink w:anchor="passage-vi-13-5">
        <w:r>
          <w:rPr>
            <w:color w:val="000000"/>
          </w:rPr>
          <w:t xml:space="preserve">VI.13.5</w:t>
        </w:r>
      </w:hyperlink>
      <w:r>
        <w:rPr>
          <w:b w:val="0"/>
          <w:i w:val="0"/>
        </w:rPr>
        <w:t xml:space="preserve">. See </w:t>
      </w:r>
      <w:hyperlink w:anchor="food-lending-and-borrowing-life">
        <w:r>
          <w:rPr>
            <w:color w:val="000000"/>
          </w:rPr>
          <w:t xml:space="preserve">Food, lending and borrowing life</w:t>
        </w:r>
      </w:hyperlink>
      <w:r>
        <w:rPr>
          <w:b w:val="0"/>
          <w:i w:val="0"/>
        </w:rPr>
        <w:t>.</w:t>
      </w:r>
    </w:p>
    <w:p>
      <w:pPr>
        <w:keepNext/>
        <w:widowControl/>
      </w:pPr>
      <w:bookmarkStart w:id="1491" w:name="latin-record-1250"/>
      <w:bookmarkEnd w:id="1491"/>
      <w:r>
        <w:rPr>
          <w:b/>
          <w:i w:val="0"/>
        </w:rPr>
        <w:t>subtrahere / auferre</w:t>
      </w:r>
      <w:r>
        <w:rPr>
          <w:b/>
          <w:i w:val="0"/>
        </w:rPr>
        <w:t>.</w:t>
      </w:r>
      <w:r>
        <w:rPr>
          <w:b w:val="0"/>
          <w:i w:val="0"/>
        </w:rPr>
        <w:t xml:space="preserve"> Printed forms: </w:t>
      </w:r>
      <w:r>
        <w:rPr>
          <w:b w:val="0"/>
          <w:i/>
        </w:rPr>
        <w:t>auferendo</w:t>
      </w:r>
      <w:r>
        <w:rPr>
          <w:b w:val="0"/>
          <w:i w:val="0"/>
        </w:rPr>
        <w:t xml:space="preserve">; </w:t>
      </w:r>
      <w:r>
        <w:rPr>
          <w:b w:val="0"/>
          <w:i/>
        </w:rPr>
        <w:t>subtrahendo</w:t>
      </w:r>
      <w:r>
        <w:rPr>
          <w:b w:val="0"/>
          <w:i w:val="0"/>
        </w:rPr>
        <w:t xml:space="preserve">; </w:t>
      </w:r>
      <w:r>
        <w:rPr>
          <w:b w:val="0"/>
          <w:i/>
        </w:rPr>
        <w:t>subtraheretur</w:t>
      </w:r>
      <w:r>
        <w:rPr>
          <w:b w:val="0"/>
          <w:i w:val="0"/>
        </w:rPr>
        <w:t xml:space="preserve">; </w:t>
      </w:r>
      <w:r>
        <w:rPr>
          <w:b w:val="0"/>
          <w:i/>
        </w:rPr>
        <w:t>subtrahit</w:t>
      </w:r>
      <w:r>
        <w:rPr>
          <w:b w:val="0"/>
          <w:i w:val="0"/>
        </w:rPr>
        <w:t>.</w:t>
      </w:r>
    </w:p>
    <w:p>
      <w:pPr>
        <w:widowControl/>
      </w:pPr>
      <w:r>
        <w:rPr>
          <w:b w:val="0"/>
          <w:i w:val="0"/>
        </w:rPr>
        <w:t xml:space="preserve">To withdraw or take away. The objector suggests destruction by withdrawing influx, while Ficino denies withdrawal of what belongs properly to soul’s nature. References: </w:t>
      </w:r>
      <w:hyperlink w:anchor="passage-v-4-2">
        <w:r>
          <w:rPr>
            <w:color w:val="000000"/>
          </w:rPr>
          <w:t xml:space="preserve">V.4.2</w:t>
        </w:r>
      </w:hyperlink>
      <w:r>
        <w:rPr>
          <w:b w:val="0"/>
          <w:i w:val="0"/>
        </w:rPr>
        <w:t xml:space="preserve">, </w:t>
      </w:r>
      <w:hyperlink w:anchor="passage-v-12-12">
        <w:r>
          <w:rPr>
            <w:color w:val="000000"/>
          </w:rPr>
          <w:t xml:space="preserve">V.12.12</w:t>
        </w:r>
      </w:hyperlink>
      <w:r>
        <w:rPr>
          <w:b w:val="0"/>
          <w:i w:val="0"/>
        </w:rPr>
        <w:t xml:space="preserve">, </w:t>
      </w:r>
      <w:hyperlink w:anchor="passage-v-12-13">
        <w:r>
          <w:rPr>
            <w:color w:val="000000"/>
          </w:rPr>
          <w:t xml:space="preserve">V.12.13</w:t>
        </w:r>
      </w:hyperlink>
      <w:r>
        <w:rPr>
          <w:b w:val="0"/>
          <w:i w:val="0"/>
        </w:rPr>
        <w:t xml:space="preserve">. See </w:t>
      </w:r>
      <w:hyperlink w:anchor="relation-and-continuing-dependence">
        <w:r>
          <w:rPr>
            <w:color w:val="000000"/>
          </w:rPr>
          <w:t xml:space="preserve">Relation and continuing dependence</w:t>
        </w:r>
      </w:hyperlink>
      <w:r>
        <w:rPr>
          <w:b w:val="0"/>
          <w:i w:val="0"/>
        </w:rPr>
        <w:t>.</w:t>
      </w:r>
    </w:p>
    <w:p>
      <w:pPr>
        <w:keepNext/>
        <w:widowControl/>
      </w:pPr>
      <w:bookmarkStart w:id="1492" w:name="latin-record-1251"/>
      <w:bookmarkEnd w:id="1492"/>
      <w:r>
        <w:rPr>
          <w:b/>
          <w:i w:val="0"/>
        </w:rPr>
        <w:t>subtrahere; deprimere</w:t>
      </w:r>
      <w:r>
        <w:rPr>
          <w:b/>
          <w:i w:val="0"/>
        </w:rPr>
        <w:t>.</w:t>
      </w:r>
      <w:r>
        <w:rPr>
          <w:b w:val="0"/>
          <w:i w:val="0"/>
        </w:rPr>
        <w:t xml:space="preserve"> Printed forms: </w:t>
      </w:r>
      <w:r>
        <w:rPr>
          <w:b w:val="0"/>
          <w:i/>
        </w:rPr>
        <w:t>deprimitur</w:t>
      </w:r>
      <w:r>
        <w:rPr>
          <w:b w:val="0"/>
          <w:i w:val="0"/>
        </w:rPr>
        <w:t xml:space="preserve">; </w:t>
      </w:r>
      <w:r>
        <w:rPr>
          <w:b w:val="0"/>
          <w:i/>
        </w:rPr>
        <w:t>Subtrahite</w:t>
      </w:r>
      <w:r>
        <w:rPr>
          <w:b w:val="0"/>
          <w:i w:val="0"/>
        </w:rPr>
        <w:t>.</w:t>
      </w:r>
    </w:p>
    <w:p>
      <w:pPr>
        <w:widowControl/>
      </w:pPr>
      <w:r>
        <w:rPr>
          <w:b w:val="0"/>
          <w:i w:val="0"/>
        </w:rPr>
        <w:t xml:space="preserve">To remove and to be weighed down. The remaining portion of heart is removed in thought so that the fiery form is no longer locally burdened.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1493" w:name="latin-record-1252"/>
      <w:bookmarkEnd w:id="1493"/>
      <w:r>
        <w:rPr>
          <w:b/>
          <w:i w:val="0"/>
        </w:rPr>
        <w:t>succedere; momenta</w:t>
      </w:r>
      <w:r>
        <w:rPr>
          <w:b/>
          <w:i w:val="0"/>
        </w:rPr>
        <w:t>.</w:t>
      </w:r>
      <w:r>
        <w:rPr>
          <w:b w:val="0"/>
          <w:i w:val="0"/>
        </w:rPr>
        <w:t xml:space="preserve"> Printed forms: </w:t>
      </w:r>
      <w:r>
        <w:rPr>
          <w:b w:val="0"/>
          <w:i/>
        </w:rPr>
        <w:t>momenta succedunt</w:t>
      </w:r>
      <w:r>
        <w:rPr>
          <w:b w:val="0"/>
          <w:i w:val="0"/>
        </w:rPr>
        <w:t xml:space="preserve">; </w:t>
      </w:r>
      <w:r>
        <w:rPr>
          <w:b w:val="0"/>
          <w:i/>
        </w:rPr>
        <w:t>variantur</w:t>
      </w:r>
      <w:r>
        <w:rPr>
          <w:b w:val="0"/>
          <w:i w:val="0"/>
        </w:rPr>
        <w:t>.</w:t>
      </w:r>
    </w:p>
    <w:p>
      <w:pPr>
        <w:widowControl/>
      </w:pPr>
      <w:r>
        <w:rPr>
          <w:b w:val="0"/>
          <w:i w:val="0"/>
        </w:rPr>
        <w:t xml:space="preserve">Successive moments and changing conditions. Temporal dispersion is distinguished from spatial distance; stable bodily unity cannot simply be assumed from either. References: </w:t>
      </w:r>
      <w:hyperlink w:anchor="passage-vi-8-1">
        <w:r>
          <w:rPr>
            <w:color w:val="000000"/>
          </w:rPr>
          <w:t xml:space="preserve">VI.8.1</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1494" w:name="latin-record-1253"/>
      <w:bookmarkEnd w:id="1494"/>
      <w:r>
        <w:rPr>
          <w:b/>
          <w:i w:val="0"/>
        </w:rPr>
        <w:t>successio / gradatim</w:t>
      </w:r>
      <w:r>
        <w:rPr>
          <w:b/>
          <w:i w:val="0"/>
        </w:rPr>
        <w:t>.</w:t>
      </w:r>
      <w:r>
        <w:rPr>
          <w:b w:val="0"/>
          <w:i w:val="0"/>
        </w:rPr>
        <w:t xml:space="preserve"> Printed forms: </w:t>
      </w:r>
      <w:r>
        <w:rPr>
          <w:b w:val="0"/>
          <w:i/>
        </w:rPr>
        <w:t>gradatim</w:t>
      </w:r>
      <w:r>
        <w:rPr>
          <w:b w:val="0"/>
          <w:i w:val="0"/>
        </w:rPr>
        <w:t xml:space="preserve">; </w:t>
      </w:r>
      <w:r>
        <w:rPr>
          <w:b w:val="0"/>
          <w:i/>
        </w:rPr>
        <w:t>successione</w:t>
      </w:r>
      <w:r>
        <w:rPr>
          <w:b w:val="0"/>
          <w:i w:val="0"/>
        </w:rPr>
        <w:t>.</w:t>
      </w:r>
    </w:p>
    <w:p>
      <w:pPr>
        <w:widowControl/>
      </w:pPr>
      <w:r>
        <w:rPr>
          <w:b w:val="0"/>
          <w:i w:val="0"/>
        </w:rPr>
        <w:t xml:space="preserve">Successive passage or a process occurring by stages. A report relayed through affected members would be a series of local states rather than immediate awareness of the original injury. References: </w:t>
      </w:r>
      <w:hyperlink w:anchor="passage-vii-5-2">
        <w:r>
          <w:rPr>
            <w:color w:val="000000"/>
          </w:rPr>
          <w:t xml:space="preserve">VII.5.2</w:t>
        </w:r>
      </w:hyperlink>
      <w:r>
        <w:rPr>
          <w:b w:val="0"/>
          <w:i w:val="0"/>
        </w:rPr>
        <w:t xml:space="preserve">,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495" w:name="latin-record-1254"/>
      <w:bookmarkEnd w:id="1495"/>
      <w:r>
        <w:rPr>
          <w:b/>
          <w:i w:val="0"/>
        </w:rPr>
        <w:t>succurrere / medela</w:t>
      </w:r>
      <w:r>
        <w:rPr>
          <w:b/>
          <w:i w:val="0"/>
        </w:rPr>
        <w:t>.</w:t>
      </w:r>
      <w:r>
        <w:rPr>
          <w:b w:val="0"/>
          <w:i w:val="0"/>
        </w:rPr>
        <w:t xml:space="preserve"> Printed forms: </w:t>
      </w:r>
      <w:r>
        <w:rPr>
          <w:b w:val="0"/>
          <w:i/>
        </w:rPr>
        <w:t>medelam</w:t>
      </w:r>
      <w:r>
        <w:rPr>
          <w:b w:val="0"/>
          <w:i w:val="0"/>
        </w:rPr>
        <w:t xml:space="preserve">; </w:t>
      </w:r>
      <w:r>
        <w:rPr>
          <w:b w:val="0"/>
          <w:i/>
        </w:rPr>
        <w:t>succurrendum</w:t>
      </w:r>
      <w:r>
        <w:rPr>
          <w:b w:val="0"/>
          <w:i w:val="0"/>
        </w:rPr>
        <w:t>.</w:t>
      </w:r>
    </w:p>
    <w:p>
      <w:pPr>
        <w:widowControl/>
      </w:pPr>
      <w:r>
        <w:rPr>
          <w:b w:val="0"/>
          <w:i w:val="0"/>
        </w:rPr>
        <w:t xml:space="preserve">To give assistance and the remedy or care offered. Correct sensation matters practically because it identifies where bodily members must be directed to help.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496" w:name="latin-record-1255"/>
      <w:bookmarkEnd w:id="1496"/>
      <w:r>
        <w:rPr>
          <w:b/>
          <w:i w:val="0"/>
        </w:rPr>
        <w:t>sufficere / supervacuus</w:t>
      </w:r>
      <w:r>
        <w:rPr>
          <w:b/>
          <w:i w:val="0"/>
        </w:rPr>
        <w:t>.</w:t>
      </w:r>
      <w:r>
        <w:rPr>
          <w:b w:val="0"/>
          <w:i w:val="0"/>
        </w:rPr>
        <w:t xml:space="preserve"> Printed forms: </w:t>
      </w:r>
      <w:r>
        <w:rPr>
          <w:b w:val="0"/>
          <w:i/>
        </w:rPr>
        <w:t>sufficiat</w:t>
      </w:r>
      <w:r>
        <w:rPr>
          <w:b w:val="0"/>
          <w:i w:val="0"/>
        </w:rPr>
        <w:t xml:space="preserve">; </w:t>
      </w:r>
      <w:r>
        <w:rPr>
          <w:b w:val="0"/>
          <w:i/>
        </w:rPr>
        <w:t>sufficit</w:t>
      </w:r>
      <w:r>
        <w:rPr>
          <w:b w:val="0"/>
          <w:i w:val="0"/>
        </w:rPr>
        <w:t xml:space="preserve">; </w:t>
      </w:r>
      <w:r>
        <w:rPr>
          <w:b w:val="0"/>
          <w:i/>
        </w:rPr>
        <w:t>supervacuis</w:t>
      </w:r>
      <w:r>
        <w:rPr>
          <w:b w:val="0"/>
          <w:i w:val="0"/>
        </w:rPr>
        <w:t>.</w:t>
      </w:r>
    </w:p>
    <w:p>
      <w:pPr>
        <w:widowControl/>
      </w:pPr>
      <w:r>
        <w:rPr>
          <w:b w:val="0"/>
          <w:i w:val="0"/>
        </w:rPr>
        <w:t xml:space="preserve">To suffice for a work; superfluous beyond what that work requires. Nature’s avoiding needless duplication supports the rejection of two equally comprehensive comparing powers. References: </w:t>
      </w:r>
      <w:hyperlink w:anchor="passage-vii-2-1">
        <w:r>
          <w:rPr>
            <w:color w:val="000000"/>
          </w:rPr>
          <w:t xml:space="preserve">VII.2.1</w:t>
        </w:r>
      </w:hyperlink>
      <w:r>
        <w:rPr>
          <w:b w:val="0"/>
          <w:i w:val="0"/>
        </w:rPr>
        <w:t xml:space="preserve">, </w:t>
      </w:r>
      <w:hyperlink w:anchor="passage-vii-2-2">
        <w:r>
          <w:rPr>
            <w:color w:val="000000"/>
          </w:rPr>
          <w:t xml:space="preserve">VII.2.2</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497" w:name="latin-record-1256"/>
      <w:bookmarkEnd w:id="1497"/>
      <w:r>
        <w:rPr>
          <w:b/>
          <w:i w:val="0"/>
        </w:rPr>
        <w:t>sufficientia / indigere</w:t>
      </w:r>
      <w:r>
        <w:rPr>
          <w:b/>
          <w:i w:val="0"/>
        </w:rPr>
        <w:t>.</w:t>
      </w:r>
      <w:r>
        <w:rPr>
          <w:b w:val="0"/>
          <w:i w:val="0"/>
        </w:rPr>
        <w:t xml:space="preserve"> Printed forms: </w:t>
      </w:r>
      <w:r>
        <w:rPr>
          <w:b w:val="0"/>
          <w:i/>
        </w:rPr>
        <w:t>egeat</w:t>
      </w:r>
      <w:r>
        <w:rPr>
          <w:b w:val="0"/>
          <w:i w:val="0"/>
        </w:rPr>
        <w:t xml:space="preserve">; </w:t>
      </w:r>
      <w:r>
        <w:rPr>
          <w:b w:val="0"/>
          <w:i/>
        </w:rPr>
        <w:t>indigeat</w:t>
      </w:r>
      <w:r>
        <w:rPr>
          <w:b w:val="0"/>
          <w:i w:val="0"/>
        </w:rPr>
        <w:t xml:space="preserve">; </w:t>
      </w:r>
      <w:r>
        <w:rPr>
          <w:b w:val="0"/>
          <w:i/>
        </w:rPr>
        <w:t>indigere</w:t>
      </w:r>
      <w:r>
        <w:rPr>
          <w:b w:val="0"/>
          <w:i w:val="0"/>
        </w:rPr>
        <w:t xml:space="preserve">; </w:t>
      </w:r>
      <w:r>
        <w:rPr>
          <w:b w:val="0"/>
          <w:i/>
        </w:rPr>
        <w:t>indiget</w:t>
      </w:r>
      <w:r>
        <w:rPr>
          <w:b w:val="0"/>
          <w:i w:val="0"/>
        </w:rPr>
        <w:t xml:space="preserve">; </w:t>
      </w:r>
      <w:r>
        <w:rPr>
          <w:b w:val="0"/>
          <w:i/>
        </w:rPr>
        <w:t>sufficientior</w:t>
      </w:r>
      <w:r>
        <w:rPr>
          <w:b w:val="0"/>
          <w:i w:val="0"/>
        </w:rPr>
        <w:t>.</w:t>
      </w:r>
    </w:p>
    <w:p>
      <w:pPr>
        <w:widowControl/>
      </w:pPr>
      <w:r>
        <w:rPr>
          <w:b w:val="0"/>
          <w:i w:val="0"/>
        </w:rPr>
        <w:t xml:space="preserve">Adequacy in one’s activity and needing something to perform it. The superior power is said to be more sufficient if it needs no quantitative bodily extent.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1498" w:name="latin-record-1257"/>
      <w:bookmarkEnd w:id="1498"/>
      <w:r>
        <w:rPr>
          <w:b/>
          <w:i w:val="0"/>
        </w:rPr>
        <w:t>sufficientia subsistendi</w:t>
      </w:r>
      <w:r>
        <w:rPr>
          <w:b/>
          <w:i w:val="0"/>
        </w:rPr>
        <w:t>.</w:t>
      </w:r>
      <w:r>
        <w:rPr>
          <w:b w:val="0"/>
          <w:i w:val="0"/>
        </w:rPr>
        <w:t xml:space="preserve"> Printed forms: </w:t>
      </w:r>
      <w:r>
        <w:rPr>
          <w:b w:val="0"/>
          <w:i/>
        </w:rPr>
        <w:t>sufficientiam subsistendi</w:t>
      </w:r>
      <w:r>
        <w:rPr>
          <w:b w:val="0"/>
          <w:i w:val="0"/>
        </w:rPr>
        <w:t>.</w:t>
      </w:r>
    </w:p>
    <w:p>
      <w:pPr>
        <w:widowControl/>
      </w:pPr>
      <w:r>
        <w:rPr>
          <w:b w:val="0"/>
          <w:i w:val="0"/>
        </w:rPr>
        <w:t xml:space="preserve">The sufficiency or capacity for standing in being, paired with being in the analysis of substance. The phrase names an intelligible explanatory constituent, not a measurable amount of matter. References: </w:t>
      </w:r>
      <w:hyperlink w:anchor="passage-viii-4-12">
        <w:r>
          <w:rPr>
            <w:color w:val="000000"/>
          </w:rPr>
          <w:t xml:space="preserve">VIII.4.12</w:t>
        </w:r>
      </w:hyperlink>
      <w:r>
        <w:rPr>
          <w:b w:val="0"/>
          <w:i w:val="0"/>
        </w:rPr>
        <w:t xml:space="preserve">. See </w:t>
      </w:r>
      <w:hyperlink w:anchor="viii-first-concepts">
        <w:r>
          <w:rPr>
            <w:color w:val="000000"/>
          </w:rPr>
          <w:t xml:space="preserve">First concepts, unity, and the end of analysis</w:t>
        </w:r>
      </w:hyperlink>
      <w:r>
        <w:rPr>
          <w:b w:val="0"/>
          <w:i w:val="0"/>
        </w:rPr>
        <w:t>.</w:t>
      </w:r>
    </w:p>
    <w:p>
      <w:pPr>
        <w:keepNext/>
        <w:widowControl/>
      </w:pPr>
      <w:bookmarkStart w:id="1499" w:name="latin-record-1258"/>
      <w:bookmarkEnd w:id="1499"/>
      <w:r>
        <w:rPr>
          <w:b/>
          <w:i w:val="0"/>
        </w:rPr>
        <w:t>suffundere</w:t>
      </w:r>
      <w:r>
        <w:rPr>
          <w:b/>
          <w:i w:val="0"/>
        </w:rPr>
        <w:t>.</w:t>
      </w:r>
      <w:r>
        <w:rPr>
          <w:b w:val="0"/>
          <w:i w:val="0"/>
        </w:rPr>
        <w:t xml:space="preserve"> Printed forms: </w:t>
      </w:r>
      <w:r>
        <w:rPr>
          <w:b w:val="0"/>
          <w:i/>
        </w:rPr>
        <w:t>suffusa</w:t>
      </w:r>
      <w:r>
        <w:rPr>
          <w:b w:val="0"/>
          <w:i w:val="0"/>
        </w:rPr>
        <w:t xml:space="preserve">; </w:t>
      </w:r>
      <w:r>
        <w:rPr>
          <w:b w:val="0"/>
          <w:i/>
        </w:rPr>
        <w:t>suffusum</w:t>
      </w:r>
      <w:r>
        <w:rPr>
          <w:b w:val="0"/>
          <w:i w:val="0"/>
        </w:rPr>
        <w:t>.</w:t>
      </w:r>
    </w:p>
    <w:p>
      <w:pPr>
        <w:widowControl/>
      </w:pPr>
      <w:r>
        <w:rPr>
          <w:b w:val="0"/>
          <w:i w:val="0"/>
        </w:rPr>
        <w:t xml:space="preserve">To pour or diffuse throughout. The first theory and later reductio imagine the subtle soul-body dispersed through the coarser organism and organs. References: </w:t>
      </w:r>
      <w:hyperlink w:anchor="passage-vi-1-2">
        <w:r>
          <w:rPr>
            <w:color w:val="000000"/>
          </w:rPr>
          <w:t xml:space="preserve">VI.1.2</w:t>
        </w:r>
      </w:hyperlink>
      <w:r>
        <w:rPr>
          <w:b w:val="0"/>
          <w:i w:val="0"/>
        </w:rPr>
        <w:t xml:space="preserve">, </w:t>
      </w:r>
      <w:hyperlink w:anchor="passage-vi-13-7">
        <w:r>
          <w:rPr>
            <w:color w:val="000000"/>
          </w:rPr>
          <w:t xml:space="preserve">VI.13.7</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1500" w:name="latin-record-1259"/>
      <w:bookmarkEnd w:id="1500"/>
      <w:r>
        <w:rPr>
          <w:b/>
          <w:i w:val="0"/>
        </w:rPr>
        <w:t>sumere</w:t>
      </w:r>
      <w:r>
        <w:rPr>
          <w:b/>
          <w:i w:val="0"/>
        </w:rPr>
        <w:t>.</w:t>
      </w:r>
      <w:r>
        <w:rPr>
          <w:b w:val="0"/>
          <w:i w:val="0"/>
        </w:rPr>
        <w:t xml:space="preserve"> Printed forms: </w:t>
      </w:r>
      <w:r>
        <w:rPr>
          <w:b w:val="0"/>
          <w:i/>
        </w:rPr>
        <w:t>sumeret</w:t>
      </w:r>
      <w:r>
        <w:rPr>
          <w:b w:val="0"/>
          <w:i w:val="0"/>
        </w:rPr>
        <w:t xml:space="preserve">; </w:t>
      </w:r>
      <w:r>
        <w:rPr>
          <w:b w:val="0"/>
          <w:i/>
        </w:rPr>
        <w:t>sumit</w:t>
      </w:r>
      <w:r>
        <w:rPr>
          <w:b w:val="0"/>
          <w:i w:val="0"/>
        </w:rPr>
        <w:t>.</w:t>
      </w:r>
    </w:p>
    <w:p>
      <w:pPr>
        <w:widowControl/>
      </w:pPr>
      <w:r>
        <w:rPr>
          <w:b w:val="0"/>
          <w:i w:val="0"/>
        </w:rPr>
        <w:t xml:space="preserve">To take or receive from a source. If body received as immediately as soul, Ficino argues, it would no longer have the lower mode defined as body. References: </w:t>
      </w:r>
      <w:hyperlink w:anchor="passage-v-15-26">
        <w:r>
          <w:rPr>
            <w:color w:val="000000"/>
          </w:rPr>
          <w:t xml:space="preserve">V.15.26</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501" w:name="latin-record-1260"/>
      <w:bookmarkEnd w:id="1501"/>
      <w:r>
        <w:rPr>
          <w:b/>
          <w:i w:val="0"/>
        </w:rPr>
        <w:t>super et praeter ordinem elementorum</w:t>
      </w:r>
      <w:r>
        <w:rPr>
          <w:b/>
          <w:i w:val="0"/>
        </w:rPr>
        <w:t>.</w:t>
      </w:r>
      <w:r>
        <w:rPr>
          <w:b w:val="0"/>
          <w:i w:val="0"/>
        </w:rPr>
        <w:t xml:space="preserve"> Printed forms: </w:t>
      </w:r>
      <w:r>
        <w:rPr>
          <w:b w:val="0"/>
          <w:i/>
        </w:rPr>
        <w:t>super et praeter ordinem elementorum</w:t>
      </w:r>
      <w:r>
        <w:rPr>
          <w:b w:val="0"/>
          <w:i w:val="0"/>
        </w:rPr>
        <w:t>.</w:t>
      </w:r>
    </w:p>
    <w:p>
      <w:pPr>
        <w:widowControl/>
      </w:pPr>
      <w:r>
        <w:rPr>
          <w:b w:val="0"/>
          <w:i w:val="0"/>
        </w:rPr>
        <w:t xml:space="preserve">Above and beyond the elemental order. Both relations characterize the nutritive activity whose distinct principal agency was explained through growth and digestion. References: </w:t>
      </w:r>
      <w:hyperlink w:anchor="passage-vii-13-1">
        <w:r>
          <w:rPr>
            <w:color w:val="000000"/>
          </w:rPr>
          <w:t xml:space="preserve">VII.13.1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1502" w:name="latin-record-1261"/>
      <w:bookmarkEnd w:id="1502"/>
      <w:r>
        <w:rPr>
          <w:b/>
          <w:i w:val="0"/>
        </w:rPr>
        <w:t>superare / excedere / excellere</w:t>
      </w:r>
      <w:r>
        <w:rPr>
          <w:b/>
          <w:i w:val="0"/>
        </w:rPr>
        <w:t>.</w:t>
      </w:r>
      <w:r>
        <w:rPr>
          <w:b w:val="0"/>
          <w:i w:val="0"/>
        </w:rPr>
        <w:t xml:space="preserve"> Printed forms: </w:t>
      </w:r>
      <w:r>
        <w:rPr>
          <w:b w:val="0"/>
          <w:i/>
        </w:rPr>
        <w:t>excedit</w:t>
      </w:r>
      <w:r>
        <w:rPr>
          <w:b w:val="0"/>
          <w:i w:val="0"/>
        </w:rPr>
        <w:t xml:space="preserve">; </w:t>
      </w:r>
      <w:r>
        <w:rPr>
          <w:b w:val="0"/>
          <w:i/>
        </w:rPr>
        <w:t>excellat</w:t>
      </w:r>
      <w:r>
        <w:rPr>
          <w:b w:val="0"/>
          <w:i w:val="0"/>
        </w:rPr>
        <w:t xml:space="preserve">; </w:t>
      </w:r>
      <w:r>
        <w:rPr>
          <w:b w:val="0"/>
          <w:i/>
        </w:rPr>
        <w:t>excellit</w:t>
      </w:r>
      <w:r>
        <w:rPr>
          <w:b w:val="0"/>
          <w:i w:val="0"/>
        </w:rPr>
        <w:t xml:space="preserve">; </w:t>
      </w:r>
      <w:r>
        <w:rPr>
          <w:b w:val="0"/>
          <w:i/>
        </w:rPr>
        <w:t>superat</w:t>
      </w:r>
      <w:r>
        <w:rPr>
          <w:b w:val="0"/>
          <w:i w:val="0"/>
        </w:rPr>
        <w:t xml:space="preserve">; </w:t>
      </w:r>
      <w:r>
        <w:rPr>
          <w:b w:val="0"/>
          <w:i/>
        </w:rPr>
        <w:t>supereminet</w:t>
      </w:r>
      <w:r>
        <w:rPr>
          <w:b w:val="0"/>
          <w:i w:val="0"/>
        </w:rPr>
        <w:t xml:space="preserve">; </w:t>
      </w:r>
      <w:r>
        <w:rPr>
          <w:b w:val="0"/>
          <w:i/>
        </w:rPr>
        <w:t>superet</w:t>
      </w:r>
      <w:r>
        <w:rPr>
          <w:b w:val="0"/>
          <w:i w:val="0"/>
        </w:rPr>
        <w:t>.</w:t>
      </w:r>
    </w:p>
    <w:p>
      <w:pPr>
        <w:widowControl/>
      </w:pPr>
      <w:r>
        <w:rPr>
          <w:b w:val="0"/>
          <w:i w:val="0"/>
        </w:rPr>
        <w:t xml:space="preserve">Surpassing in power, scope or excellence rather than necessarily in bodily size. A small person can overcome a large one, phantasy exceeds imagination, and intellectual power exceeds bodily restriction without becoming God. References: </w:t>
      </w:r>
      <w:hyperlink w:anchor="passage-viii-1-1">
        <w:r>
          <w:rPr>
            <w:color w:val="000000"/>
          </w:rPr>
          <w:t xml:space="preserve">VIII.1.1</w:t>
        </w:r>
      </w:hyperlink>
      <w:r>
        <w:rPr>
          <w:b w:val="0"/>
          <w:i w:val="0"/>
        </w:rPr>
        <w:t xml:space="preserve">, </w:t>
      </w:r>
      <w:hyperlink w:anchor="passage-viii-2-3">
        <w:r>
          <w:rPr>
            <w:color w:val="000000"/>
          </w:rPr>
          <w:t xml:space="preserve">VIII.2.3</w:t>
        </w:r>
      </w:hyperlink>
      <w:r>
        <w:rPr>
          <w:b w:val="0"/>
          <w:i w:val="0"/>
        </w:rPr>
        <w:t xml:space="preserve">, </w:t>
      </w:r>
      <w:hyperlink w:anchor="passage-viii-10-2">
        <w:r>
          <w:rPr>
            <w:color w:val="000000"/>
          </w:rPr>
          <w:t xml:space="preserve">VIII.10.2</w:t>
        </w:r>
      </w:hyperlink>
      <w:r>
        <w:rPr>
          <w:b w:val="0"/>
          <w:i w:val="0"/>
        </w:rPr>
        <w:t xml:space="preserve">, </w:t>
      </w:r>
      <w:hyperlink w:anchor="passage-viii-14-1">
        <w:r>
          <w:rPr>
            <w:color w:val="000000"/>
          </w:rPr>
          <w:t xml:space="preserve">VIII.14.1</w:t>
        </w:r>
      </w:hyperlink>
      <w:r>
        <w:rPr>
          <w:b w:val="0"/>
          <w:i w:val="0"/>
        </w:rPr>
        <w:t xml:space="preserve">, </w:t>
      </w:r>
      <w:hyperlink w:anchor="passage-viii-16-2">
        <w:r>
          <w:rPr>
            <w:color w:val="000000"/>
          </w:rPr>
          <w:t xml:space="preserve">VIII.16.2</w:t>
        </w:r>
      </w:hyperlink>
      <w:r>
        <w:rPr>
          <w:b w:val="0"/>
          <w:i w:val="0"/>
        </w:rPr>
        <w:t xml:space="preserve">, </w:t>
      </w:r>
      <w:hyperlink w:anchor="passage-viii-16-4">
        <w:r>
          <w:rPr>
            <w:color w:val="000000"/>
          </w:rPr>
          <w:t xml:space="preserve">VIII.16.4</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1503" w:name="latin-record-1262"/>
      <w:bookmarkEnd w:id="1503"/>
      <w:r>
        <w:rPr>
          <w:b/>
          <w:i w:val="0"/>
        </w:rPr>
        <w:t>superare / praestare</w:t>
      </w:r>
      <w:r>
        <w:rPr>
          <w:b/>
          <w:i w:val="0"/>
        </w:rPr>
        <w:t>.</w:t>
      </w:r>
      <w:r>
        <w:rPr>
          <w:b w:val="0"/>
          <w:i w:val="0"/>
        </w:rPr>
        <w:t xml:space="preserve"> Printed forms: </w:t>
      </w:r>
      <w:r>
        <w:rPr>
          <w:b w:val="0"/>
          <w:i/>
        </w:rPr>
        <w:t>praestantior</w:t>
      </w:r>
      <w:r>
        <w:rPr>
          <w:b w:val="0"/>
          <w:i w:val="0"/>
        </w:rPr>
        <w:t xml:space="preserve">; </w:t>
      </w:r>
      <w:r>
        <w:rPr>
          <w:b w:val="0"/>
          <w:i/>
        </w:rPr>
        <w:t>praestantiores</w:t>
      </w:r>
      <w:r>
        <w:rPr>
          <w:b w:val="0"/>
          <w:i w:val="0"/>
        </w:rPr>
        <w:t xml:space="preserve">; </w:t>
      </w:r>
      <w:r>
        <w:rPr>
          <w:b w:val="0"/>
          <w:i/>
        </w:rPr>
        <w:t>praestantissimae</w:t>
      </w:r>
      <w:r>
        <w:rPr>
          <w:b w:val="0"/>
          <w:i w:val="0"/>
        </w:rPr>
        <w:t xml:space="preserve">; </w:t>
      </w:r>
      <w:r>
        <w:rPr>
          <w:b w:val="0"/>
          <w:i/>
        </w:rPr>
        <w:t>praestantius</w:t>
      </w:r>
      <w:r>
        <w:rPr>
          <w:b w:val="0"/>
          <w:i w:val="0"/>
        </w:rPr>
        <w:t xml:space="preserve">; </w:t>
      </w:r>
      <w:r>
        <w:rPr>
          <w:b w:val="0"/>
          <w:i/>
        </w:rPr>
        <w:t>Superat</w:t>
      </w:r>
      <w:r>
        <w:rPr>
          <w:b w:val="0"/>
          <w:i w:val="0"/>
        </w:rPr>
        <w:t xml:space="preserve">; </w:t>
      </w:r>
      <w:r>
        <w:rPr>
          <w:b w:val="0"/>
          <w:i/>
        </w:rPr>
        <w:t>superat</w:t>
      </w:r>
      <w:r>
        <w:rPr>
          <w:b w:val="0"/>
          <w:i w:val="0"/>
        </w:rPr>
        <w:t xml:space="preserve">; </w:t>
      </w:r>
      <w:r>
        <w:rPr>
          <w:b w:val="0"/>
          <w:i/>
        </w:rPr>
        <w:t>superet</w:t>
      </w:r>
      <w:r>
        <w:rPr>
          <w:b w:val="0"/>
          <w:i w:val="0"/>
        </w:rPr>
        <w:t>.</w:t>
      </w:r>
    </w:p>
    <w:p>
      <w:pPr>
        <w:widowControl/>
      </w:pPr>
      <w:r>
        <w:rPr>
          <w:b w:val="0"/>
          <w:i w:val="0"/>
        </w:rPr>
        <w:t xml:space="preserve">To surpass in rank or explanatory excellence. Soul’s superiority to quality is material independence; superiority need not mean greater bodily bulk. References: </w:t>
      </w:r>
      <w:hyperlink w:anchor="passage-v-5-3">
        <w:r>
          <w:rPr>
            <w:color w:val="000000"/>
          </w:rPr>
          <w:t xml:space="preserve">V.5.3</w:t>
        </w:r>
      </w:hyperlink>
      <w:r>
        <w:rPr>
          <w:b w:val="0"/>
          <w:i w:val="0"/>
        </w:rPr>
        <w:t xml:space="preserve">, </w:t>
      </w:r>
      <w:hyperlink w:anchor="passage-v-5-4">
        <w:r>
          <w:rPr>
            <w:color w:val="000000"/>
          </w:rPr>
          <w:t xml:space="preserve">V.5.4</w:t>
        </w:r>
      </w:hyperlink>
      <w:r>
        <w:rPr>
          <w:b w:val="0"/>
          <w:i w:val="0"/>
        </w:rPr>
        <w:t xml:space="preserve">, </w:t>
      </w:r>
      <w:hyperlink w:anchor="passage-v-11-2">
        <w:r>
          <w:rPr>
            <w:color w:val="000000"/>
          </w:rPr>
          <w:t xml:space="preserve">V.11.2</w:t>
        </w:r>
      </w:hyperlink>
      <w:r>
        <w:rPr>
          <w:b w:val="0"/>
          <w:i w:val="0"/>
        </w:rPr>
        <w:t xml:space="preserve">, </w:t>
      </w:r>
      <w:hyperlink w:anchor="passage-v-15-3">
        <w:r>
          <w:rPr>
            <w:color w:val="000000"/>
          </w:rPr>
          <w:t xml:space="preserve">V.15.3</w:t>
        </w:r>
      </w:hyperlink>
      <w:r>
        <w:rPr>
          <w:b w:val="0"/>
          <w:i w:val="0"/>
        </w:rPr>
        <w:t xml:space="preserve">, </w:t>
      </w:r>
      <w:hyperlink w:anchor="passage-v-15-4">
        <w:r>
          <w:rPr>
            <w:color w:val="000000"/>
          </w:rPr>
          <w:t xml:space="preserve">V.15.4</w:t>
        </w:r>
      </w:hyperlink>
      <w:r>
        <w:rPr>
          <w:b w:val="0"/>
          <w:i w:val="0"/>
        </w:rPr>
        <w:t xml:space="preserve">, </w:t>
      </w:r>
      <w:hyperlink w:anchor="passage-v-15-27">
        <w:r>
          <w:rPr>
            <w:color w:val="000000"/>
          </w:rPr>
          <w:t xml:space="preserve">V.15.27</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1504" w:name="latin-record-1263"/>
      <w:bookmarkEnd w:id="1504"/>
      <w:r>
        <w:rPr>
          <w:b/>
          <w:i w:val="0"/>
        </w:rPr>
        <w:t>superficies / pictura</w:t>
      </w:r>
      <w:r>
        <w:rPr>
          <w:b/>
          <w:i w:val="0"/>
        </w:rPr>
        <w:t>.</w:t>
      </w:r>
      <w:r>
        <w:rPr>
          <w:b w:val="0"/>
          <w:i w:val="0"/>
        </w:rPr>
        <w:t xml:space="preserve"> Printed forms: </w:t>
      </w:r>
      <w:r>
        <w:rPr>
          <w:b w:val="0"/>
          <w:i/>
        </w:rPr>
        <w:t>exterioremque</w:t>
      </w:r>
      <w:r>
        <w:rPr>
          <w:b w:val="0"/>
          <w:i w:val="0"/>
        </w:rPr>
        <w:t xml:space="preserve">; </w:t>
      </w:r>
      <w:r>
        <w:rPr>
          <w:b w:val="0"/>
          <w:i/>
        </w:rPr>
        <w:t>picturam</w:t>
      </w:r>
      <w:r>
        <w:rPr>
          <w:b w:val="0"/>
          <w:i w:val="0"/>
        </w:rPr>
        <w:t xml:space="preserve">; </w:t>
      </w:r>
      <w:r>
        <w:rPr>
          <w:b w:val="0"/>
          <w:i/>
        </w:rPr>
        <w:t>superficiem</w:t>
      </w:r>
      <w:r>
        <w:rPr>
          <w:b w:val="0"/>
          <w:i w:val="0"/>
        </w:rPr>
        <w:t>.</w:t>
      </w:r>
    </w:p>
    <w:p>
      <w:pPr>
        <w:widowControl/>
      </w:pPr>
      <w:r>
        <w:rPr>
          <w:b w:val="0"/>
          <w:i w:val="0"/>
        </w:rPr>
        <w:t xml:space="preserve">The surface and external picture available to imagination. The vocabulary emphasizes the difference between assembling sensible appearance and knowing what the represented thing is. References: </w:t>
      </w:r>
      <w:hyperlink w:anchor="passage-viii-1-1">
        <w:r>
          <w:rPr>
            <w:color w:val="000000"/>
          </w:rPr>
          <w:t xml:space="preserve">VIII.1.1</w:t>
        </w:r>
      </w:hyperlink>
      <w:r>
        <w:rPr>
          <w:b w:val="0"/>
          <w:i w:val="0"/>
        </w:rPr>
        <w:t xml:space="preserve">. See </w:t>
      </w:r>
      <w:hyperlink w:anchor="viii-images-intentions">
        <w:r>
          <w:rPr>
            <w:color w:val="000000"/>
          </w:rPr>
          <w:t xml:space="preserve">Images, intentions, and conjecturing substance</w:t>
        </w:r>
      </w:hyperlink>
      <w:r>
        <w:rPr>
          <w:b w:val="0"/>
          <w:i w:val="0"/>
        </w:rPr>
        <w:t>.</w:t>
      </w:r>
    </w:p>
    <w:p>
      <w:pPr>
        <w:keepNext/>
        <w:widowControl/>
      </w:pPr>
      <w:bookmarkStart w:id="1505" w:name="latin-record-1264"/>
      <w:bookmarkEnd w:id="1505"/>
      <w:r>
        <w:rPr>
          <w:b/>
          <w:i w:val="0"/>
        </w:rPr>
        <w:t>superficies; linea; punctum</w:t>
      </w:r>
      <w:r>
        <w:rPr>
          <w:b/>
          <w:i w:val="0"/>
        </w:rPr>
        <w:t>.</w:t>
      </w:r>
      <w:r>
        <w:rPr>
          <w:b w:val="0"/>
          <w:i w:val="0"/>
        </w:rPr>
        <w:t xml:space="preserve"> Printed forms: </w:t>
      </w:r>
      <w:r>
        <w:rPr>
          <w:b w:val="0"/>
          <w:i/>
        </w:rPr>
        <w:t>lineam</w:t>
      </w:r>
      <w:r>
        <w:rPr>
          <w:b w:val="0"/>
          <w:i w:val="0"/>
        </w:rPr>
        <w:t xml:space="preserve">; </w:t>
      </w:r>
      <w:r>
        <w:rPr>
          <w:b w:val="0"/>
          <w:i/>
        </w:rPr>
        <w:t>punctum</w:t>
      </w:r>
      <w:r>
        <w:rPr>
          <w:b w:val="0"/>
          <w:i w:val="0"/>
        </w:rPr>
        <w:t xml:space="preserve">; </w:t>
      </w:r>
      <w:r>
        <w:rPr>
          <w:b w:val="0"/>
          <w:i/>
        </w:rPr>
        <w:t>superficiem</w:t>
      </w:r>
      <w:r>
        <w:rPr>
          <w:b w:val="0"/>
          <w:i w:val="0"/>
        </w:rPr>
        <w:t>.</w:t>
      </w:r>
    </w:p>
    <w:p>
      <w:pPr>
        <w:widowControl/>
      </w:pPr>
      <w:r>
        <w:rPr>
          <w:b w:val="0"/>
          <w:i w:val="0"/>
        </w:rPr>
        <w:t xml:space="preserve">Surface, line and point as successively less dimensional limits. The geometric ascent subtracts depth, breadth and length without yet removing a point’s determinate position. References: </w:t>
      </w:r>
      <w:hyperlink w:anchor="passage-vi-2-19">
        <w:r>
          <w:rPr>
            <w:color w:val="000000"/>
          </w:rPr>
          <w:t xml:space="preserve">VI.2.19</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1506" w:name="latin-record-1265"/>
      <w:bookmarkEnd w:id="1506"/>
      <w:r>
        <w:rPr>
          <w:b/>
          <w:i w:val="0"/>
        </w:rPr>
        <w:t>supervenire</w:t>
      </w:r>
      <w:r>
        <w:rPr>
          <w:b/>
          <w:i w:val="0"/>
        </w:rPr>
        <w:t>.</w:t>
      </w:r>
      <w:r>
        <w:rPr>
          <w:b w:val="0"/>
          <w:i w:val="0"/>
        </w:rPr>
        <w:t xml:space="preserve"> Printed forms: </w:t>
      </w:r>
      <w:r>
        <w:rPr>
          <w:b w:val="0"/>
          <w:i/>
        </w:rPr>
        <w:t>superveniunt</w:t>
      </w:r>
      <w:r>
        <w:rPr>
          <w:b w:val="0"/>
          <w:i w:val="0"/>
        </w:rPr>
        <w:t>.</w:t>
      </w:r>
    </w:p>
    <w:p>
      <w:pPr>
        <w:widowControl/>
      </w:pPr>
      <w:r>
        <w:rPr>
          <w:b w:val="0"/>
          <w:i w:val="0"/>
        </w:rPr>
        <w:t xml:space="preserve">Coming upon something already explanatory prior. Individualizing properties supervene upon the simpler shared nature to constitute distinct persons; the priority need not be temporal. References: </w:t>
      </w:r>
      <w:hyperlink w:anchor="passage-viii-1-3">
        <w:r>
          <w:rPr>
            <w:color w:val="000000"/>
          </w:rPr>
          <w:t xml:space="preserve">VIII.1.3</w:t>
        </w:r>
      </w:hyperlink>
      <w:r>
        <w:rPr>
          <w:b w:val="0"/>
          <w:i w:val="0"/>
        </w:rPr>
        <w:t xml:space="preserve">. See </w:t>
      </w:r>
      <w:hyperlink w:anchor="viii-universal-idea">
        <w:r>
          <w:rPr>
            <w:color w:val="000000"/>
          </w:rPr>
          <w:t xml:space="preserve">Common nature, participation, and the divine Idea</w:t>
        </w:r>
      </w:hyperlink>
      <w:r>
        <w:rPr>
          <w:b w:val="0"/>
          <w:i w:val="0"/>
        </w:rPr>
        <w:t>.</w:t>
      </w:r>
    </w:p>
    <w:p>
      <w:pPr>
        <w:keepNext/>
        <w:widowControl/>
      </w:pPr>
      <w:bookmarkStart w:id="1507" w:name="latin-record-1266"/>
      <w:bookmarkEnd w:id="1507"/>
      <w:r>
        <w:rPr>
          <w:b/>
          <w:i w:val="0"/>
        </w:rPr>
        <w:t>sursum; deorsum; extra; intra</w:t>
      </w:r>
      <w:r>
        <w:rPr>
          <w:b/>
          <w:i w:val="0"/>
        </w:rPr>
        <w:t>.</w:t>
      </w:r>
      <w:r>
        <w:rPr>
          <w:b w:val="0"/>
          <w:i w:val="0"/>
        </w:rPr>
        <w:t xml:space="preserve"> Printed forms: </w:t>
      </w:r>
      <w:r>
        <w:rPr>
          <w:b w:val="0"/>
          <w:i/>
        </w:rPr>
        <w:t>Deorsum</w:t>
      </w:r>
      <w:r>
        <w:rPr>
          <w:b w:val="0"/>
          <w:i w:val="0"/>
        </w:rPr>
        <w:t xml:space="preserve">; </w:t>
      </w:r>
      <w:r>
        <w:rPr>
          <w:b w:val="0"/>
          <w:i/>
        </w:rPr>
        <w:t>deorsum</w:t>
      </w:r>
      <w:r>
        <w:rPr>
          <w:b w:val="0"/>
          <w:i w:val="0"/>
        </w:rPr>
        <w:t xml:space="preserve">; </w:t>
      </w:r>
      <w:r>
        <w:rPr>
          <w:b w:val="0"/>
          <w:i/>
        </w:rPr>
        <w:t>extra</w:t>
      </w:r>
      <w:r>
        <w:rPr>
          <w:b w:val="0"/>
          <w:i w:val="0"/>
        </w:rPr>
        <w:t xml:space="preserve">; </w:t>
      </w:r>
      <w:r>
        <w:rPr>
          <w:b w:val="0"/>
          <w:i/>
        </w:rPr>
        <w:t>extrinsecus</w:t>
      </w:r>
      <w:r>
        <w:rPr>
          <w:b w:val="0"/>
          <w:i w:val="0"/>
        </w:rPr>
        <w:t xml:space="preserve">; </w:t>
      </w:r>
      <w:r>
        <w:rPr>
          <w:b w:val="0"/>
          <w:i/>
        </w:rPr>
        <w:t>interius</w:t>
      </w:r>
      <w:r>
        <w:rPr>
          <w:b w:val="0"/>
          <w:i w:val="0"/>
        </w:rPr>
        <w:t xml:space="preserve">; </w:t>
      </w:r>
      <w:r>
        <w:rPr>
          <w:b w:val="0"/>
          <w:i/>
        </w:rPr>
        <w:t>intrinsecus</w:t>
      </w:r>
      <w:r>
        <w:rPr>
          <w:b w:val="0"/>
          <w:i w:val="0"/>
        </w:rPr>
        <w:t xml:space="preserve">; </w:t>
      </w:r>
      <w:r>
        <w:rPr>
          <w:b w:val="0"/>
          <w:i/>
        </w:rPr>
        <w:t>superne</w:t>
      </w:r>
      <w:r>
        <w:rPr>
          <w:b w:val="0"/>
          <w:i w:val="0"/>
        </w:rPr>
        <w:t xml:space="preserve">; </w:t>
      </w:r>
      <w:r>
        <w:rPr>
          <w:b w:val="0"/>
          <w:i/>
        </w:rPr>
        <w:t>Sursum</w:t>
      </w:r>
      <w:r>
        <w:rPr>
          <w:b w:val="0"/>
          <w:i w:val="0"/>
        </w:rPr>
        <w:t xml:space="preserve">; </w:t>
      </w:r>
      <w:r>
        <w:rPr>
          <w:b w:val="0"/>
          <w:i/>
        </w:rPr>
        <w:t>sursum</w:t>
      </w:r>
      <w:r>
        <w:rPr>
          <w:b w:val="0"/>
          <w:i w:val="0"/>
        </w:rPr>
        <w:t>.</w:t>
      </w:r>
    </w:p>
    <w:p>
      <w:pPr>
        <w:widowControl/>
      </w:pPr>
      <w:r>
        <w:rPr>
          <w:b w:val="0"/>
          <w:i w:val="0"/>
        </w:rPr>
        <w:t xml:space="preserve">Upward, downward, beyond, inwardly and outwardly, as physical or analogical directions. The same directions can describe elemental movement, attention to universals or bodily things, and inward causal presence; they do not always locate soul spatially. References: </w:t>
      </w:r>
      <w:hyperlink w:anchor="passage-vi-2-1">
        <w:r>
          <w:rPr>
            <w:color w:val="000000"/>
          </w:rPr>
          <w:t xml:space="preserve">VI.2.1</w:t>
        </w:r>
      </w:hyperlink>
      <w:r>
        <w:rPr>
          <w:b w:val="0"/>
          <w:i w:val="0"/>
        </w:rPr>
        <w:t xml:space="preserve">, </w:t>
      </w:r>
      <w:hyperlink w:anchor="passage-vi-2-3">
        <w:r>
          <w:rPr>
            <w:color w:val="000000"/>
          </w:rPr>
          <w:t xml:space="preserve">VI.2.3</w:t>
        </w:r>
      </w:hyperlink>
      <w:r>
        <w:rPr>
          <w:b w:val="0"/>
          <w:i w:val="0"/>
        </w:rPr>
        <w:t xml:space="preserve">, </w:t>
      </w:r>
      <w:hyperlink w:anchor="passage-vi-2-14">
        <w:r>
          <w:rPr>
            <w:color w:val="000000"/>
          </w:rPr>
          <w:t xml:space="preserve">VI.2.14</w:t>
        </w:r>
      </w:hyperlink>
      <w:r>
        <w:rPr>
          <w:b w:val="0"/>
          <w:i w:val="0"/>
        </w:rPr>
        <w:t xml:space="preserve">, </w:t>
      </w:r>
      <w:hyperlink w:anchor="passage-vi-11-2">
        <w:r>
          <w:rPr>
            <w:color w:val="000000"/>
          </w:rPr>
          <w:t xml:space="preserve">VI.11.2</w:t>
        </w:r>
      </w:hyperlink>
      <w:r>
        <w:rPr>
          <w:b w:val="0"/>
          <w:i w:val="0"/>
        </w:rPr>
        <w:t xml:space="preserve">, </w:t>
      </w:r>
      <w:hyperlink w:anchor="passage-vi-12-12">
        <w:r>
          <w:rPr>
            <w:color w:val="000000"/>
          </w:rPr>
          <w:t xml:space="preserve">VI.12.12</w:t>
        </w:r>
      </w:hyperlink>
      <w:r>
        <w:rPr>
          <w:b w:val="0"/>
          <w:i w:val="0"/>
        </w:rPr>
        <w:t xml:space="preserve">, </w:t>
      </w:r>
      <w:hyperlink w:anchor="passage-vi-12-19">
        <w:r>
          <w:rPr>
            <w:color w:val="000000"/>
          </w:rPr>
          <w:t xml:space="preserve">VI.12.19</w:t>
        </w:r>
      </w:hyperlink>
      <w:r>
        <w:rPr>
          <w:b w:val="0"/>
          <w:i w:val="0"/>
        </w:rPr>
        <w:t xml:space="preserve">, </w:t>
      </w:r>
      <w:hyperlink w:anchor="passage-vi-13-9">
        <w:r>
          <w:rPr>
            <w:color w:val="000000"/>
          </w:rPr>
          <w:t xml:space="preserve">VI.13.9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508" w:name="latin-record-1267"/>
      <w:bookmarkEnd w:id="1508"/>
      <w:r>
        <w:rPr>
          <w:b/>
          <w:i w:val="0"/>
        </w:rPr>
        <w:t>susceptaculum</w:t>
      </w:r>
      <w:r>
        <w:rPr>
          <w:b/>
          <w:i w:val="0"/>
        </w:rPr>
        <w:t>.</w:t>
      </w:r>
      <w:r>
        <w:rPr>
          <w:b w:val="0"/>
          <w:i w:val="0"/>
        </w:rPr>
        <w:t xml:space="preserve"> Printed forms: </w:t>
      </w:r>
      <w:r>
        <w:rPr>
          <w:b w:val="0"/>
          <w:i/>
        </w:rPr>
        <w:t>susceptaculum</w:t>
      </w:r>
      <w:r>
        <w:rPr>
          <w:b w:val="0"/>
          <w:i w:val="0"/>
        </w:rPr>
        <w:t xml:space="preserve">; </w:t>
      </w:r>
      <w:r>
        <w:rPr>
          <w:b w:val="0"/>
          <w:i/>
        </w:rPr>
        <w:t>susceptaculum suum</w:t>
      </w:r>
      <w:r>
        <w:rPr>
          <w:b w:val="0"/>
          <w:i w:val="0"/>
        </w:rPr>
        <w:t>.</w:t>
      </w:r>
    </w:p>
    <w:p>
      <w:pPr>
        <w:widowControl/>
      </w:pPr>
      <w:r>
        <w:rPr>
          <w:b w:val="0"/>
          <w:i w:val="0"/>
        </w:rPr>
        <w:t xml:space="preserve">A receptacle or bearer capable of receiving. Universal matter receives forms; the spiritual-reception argument asks why an eternal object would destroy its recipient. References: </w:t>
      </w:r>
      <w:hyperlink w:anchor="passage-v-4-1">
        <w:r>
          <w:rPr>
            <w:color w:val="000000"/>
          </w:rPr>
          <w:t xml:space="preserve">V.4.1</w:t>
        </w:r>
      </w:hyperlink>
      <w:r>
        <w:rPr>
          <w:b w:val="0"/>
          <w:i w:val="0"/>
        </w:rPr>
        <w:t xml:space="preserve">, </w:t>
      </w:r>
      <w:hyperlink w:anchor="passage-v-8-3">
        <w:r>
          <w:rPr>
            <w:color w:val="000000"/>
          </w:rPr>
          <w:t xml:space="preserve">V.8.3</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1509" w:name="latin-record-1268"/>
      <w:bookmarkEnd w:id="1509"/>
      <w:r>
        <w:rPr>
          <w:b/>
          <w:i w:val="0"/>
        </w:rPr>
        <w:t>suscipere</w:t>
      </w:r>
      <w:r>
        <w:rPr>
          <w:b/>
          <w:i w:val="0"/>
        </w:rPr>
        <w:t>.</w:t>
      </w:r>
      <w:r>
        <w:rPr>
          <w:b w:val="0"/>
          <w:i w:val="0"/>
        </w:rPr>
        <w:t xml:space="preserve"> Printed forms: </w:t>
      </w:r>
      <w:r>
        <w:rPr>
          <w:b w:val="0"/>
          <w:i/>
        </w:rPr>
        <w:t>suscipiens</w:t>
      </w:r>
      <w:r>
        <w:rPr>
          <w:b w:val="0"/>
          <w:i w:val="0"/>
        </w:rPr>
        <w:t xml:space="preserve">; </w:t>
      </w:r>
      <w:r>
        <w:rPr>
          <w:b w:val="0"/>
          <w:i/>
        </w:rPr>
        <w:t>suscipiet</w:t>
      </w:r>
      <w:r>
        <w:rPr>
          <w:b w:val="0"/>
          <w:i w:val="0"/>
        </w:rPr>
        <w:t xml:space="preserve">; </w:t>
      </w:r>
      <w:r>
        <w:rPr>
          <w:b w:val="0"/>
          <w:i/>
        </w:rPr>
        <w:t>suscipit</w:t>
      </w:r>
      <w:r>
        <w:rPr>
          <w:b w:val="0"/>
          <w:i w:val="0"/>
        </w:rPr>
        <w:t>.</w:t>
      </w:r>
    </w:p>
    <w:p>
      <w:pPr>
        <w:widowControl/>
      </w:pPr>
      <w:r>
        <w:rPr>
          <w:b w:val="0"/>
          <w:i w:val="0"/>
        </w:rPr>
        <w:t xml:space="preserve">To receive something into a subject, with the mode of reception determined by that subject. Wax receives a figure spatially; the argument asks whether soul must receive an image in the same manner.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510" w:name="latin-record-1269"/>
      <w:bookmarkEnd w:id="1510"/>
      <w:r>
        <w:rPr>
          <w:b/>
          <w:i w:val="0"/>
        </w:rPr>
        <w:t>suscipere / capere / accipere</w:t>
      </w:r>
      <w:r>
        <w:rPr>
          <w:b/>
          <w:i w:val="0"/>
        </w:rPr>
        <w:t>.</w:t>
      </w:r>
      <w:r>
        <w:rPr>
          <w:b w:val="0"/>
          <w:i w:val="0"/>
        </w:rPr>
        <w:t xml:space="preserve"> Printed forms: </w:t>
      </w:r>
      <w:r>
        <w:rPr>
          <w:b w:val="0"/>
          <w:i/>
        </w:rPr>
        <w:t>accipere</w:t>
      </w:r>
      <w:r>
        <w:rPr>
          <w:b w:val="0"/>
          <w:i w:val="0"/>
        </w:rPr>
        <w:t xml:space="preserve">; </w:t>
      </w:r>
      <w:r>
        <w:rPr>
          <w:b w:val="0"/>
          <w:i/>
        </w:rPr>
        <w:t>accipiat</w:t>
      </w:r>
      <w:r>
        <w:rPr>
          <w:b w:val="0"/>
          <w:i w:val="0"/>
        </w:rPr>
        <w:t xml:space="preserve">; </w:t>
      </w:r>
      <w:r>
        <w:rPr>
          <w:b w:val="0"/>
          <w:i/>
        </w:rPr>
        <w:t>accipit</w:t>
      </w:r>
      <w:r>
        <w:rPr>
          <w:b w:val="0"/>
          <w:i w:val="0"/>
        </w:rPr>
        <w:t xml:space="preserve">; </w:t>
      </w:r>
      <w:r>
        <w:rPr>
          <w:b w:val="0"/>
          <w:i/>
        </w:rPr>
        <w:t>accipitur</w:t>
      </w:r>
      <w:r>
        <w:rPr>
          <w:b w:val="0"/>
          <w:i w:val="0"/>
        </w:rPr>
        <w:t xml:space="preserve">; </w:t>
      </w:r>
      <w:r>
        <w:rPr>
          <w:b w:val="0"/>
          <w:i/>
        </w:rPr>
        <w:t>capere</w:t>
      </w:r>
      <w:r>
        <w:rPr>
          <w:b w:val="0"/>
          <w:i w:val="0"/>
        </w:rPr>
        <w:t xml:space="preserve">; </w:t>
      </w:r>
      <w:r>
        <w:rPr>
          <w:b w:val="0"/>
          <w:i/>
        </w:rPr>
        <w:t>capit</w:t>
      </w:r>
      <w:r>
        <w:rPr>
          <w:b w:val="0"/>
          <w:i w:val="0"/>
        </w:rPr>
        <w:t xml:space="preserve">; </w:t>
      </w:r>
      <w:r>
        <w:rPr>
          <w:b w:val="0"/>
          <w:i/>
        </w:rPr>
        <w:t>capitur</w:t>
      </w:r>
      <w:r>
        <w:rPr>
          <w:b w:val="0"/>
          <w:i w:val="0"/>
        </w:rPr>
        <w:t xml:space="preserve">; </w:t>
      </w:r>
      <w:r>
        <w:rPr>
          <w:b w:val="0"/>
          <w:i/>
        </w:rPr>
        <w:t>capiuntur</w:t>
      </w:r>
      <w:r>
        <w:rPr>
          <w:b w:val="0"/>
          <w:i w:val="0"/>
        </w:rPr>
        <w:t xml:space="preserve">; </w:t>
      </w:r>
      <w:r>
        <w:rPr>
          <w:b w:val="0"/>
          <w:i/>
        </w:rPr>
        <w:t>susceptio</w:t>
      </w:r>
      <w:r>
        <w:rPr>
          <w:b w:val="0"/>
          <w:i w:val="0"/>
        </w:rPr>
        <w:t xml:space="preserve">; </w:t>
      </w:r>
      <w:r>
        <w:rPr>
          <w:b w:val="0"/>
          <w:i/>
        </w:rPr>
        <w:t>Susceptio</w:t>
      </w:r>
      <w:r>
        <w:rPr>
          <w:b w:val="0"/>
          <w:i w:val="0"/>
        </w:rPr>
        <w:t xml:space="preserve">; </w:t>
      </w:r>
      <w:r>
        <w:rPr>
          <w:b w:val="0"/>
          <w:i/>
        </w:rPr>
        <w:t>suscipi</w:t>
      </w:r>
      <w:r>
        <w:rPr>
          <w:b w:val="0"/>
          <w:i w:val="0"/>
        </w:rPr>
        <w:t xml:space="preserve">; </w:t>
      </w:r>
      <w:r>
        <w:rPr>
          <w:b w:val="0"/>
          <w:i/>
        </w:rPr>
        <w:t>suscipiat</w:t>
      </w:r>
      <w:r>
        <w:rPr>
          <w:b w:val="0"/>
          <w:i w:val="0"/>
        </w:rPr>
        <w:t xml:space="preserve">; </w:t>
      </w:r>
      <w:r>
        <w:rPr>
          <w:b w:val="0"/>
          <w:i/>
        </w:rPr>
        <w:t>suscipiendas</w:t>
      </w:r>
      <w:r>
        <w:rPr>
          <w:b w:val="0"/>
          <w:i w:val="0"/>
        </w:rPr>
        <w:t xml:space="preserve">; </w:t>
      </w:r>
      <w:r>
        <w:rPr>
          <w:b w:val="0"/>
          <w:i/>
        </w:rPr>
        <w:t>suscipit</w:t>
      </w:r>
      <w:r>
        <w:rPr>
          <w:b w:val="0"/>
          <w:i w:val="0"/>
        </w:rPr>
        <w:t>.</w:t>
      </w:r>
    </w:p>
    <w:p>
      <w:pPr>
        <w:widowControl/>
      </w:pPr>
      <w:r>
        <w:rPr>
          <w:b w:val="0"/>
          <w:i w:val="0"/>
        </w:rPr>
        <w:t xml:space="preserve">To receive, take or admit, with the receiver’s mode governing what follows. Matter admits contrary forms, while soul receives spiritually; receptive language by itself does not imply destructive material passivity. References: </w:t>
      </w:r>
      <w:hyperlink w:anchor="passage-v-4-1">
        <w:r>
          <w:rPr>
            <w:color w:val="000000"/>
          </w:rPr>
          <w:t xml:space="preserve">V.4.1</w:t>
        </w:r>
      </w:hyperlink>
      <w:r>
        <w:rPr>
          <w:b w:val="0"/>
          <w:i w:val="0"/>
        </w:rPr>
        <w:t xml:space="preserve">, </w:t>
      </w:r>
      <w:hyperlink w:anchor="passage-v-5-9">
        <w:r>
          <w:rPr>
            <w:color w:val="000000"/>
          </w:rPr>
          <w:t xml:space="preserve">V.5.9</w:t>
        </w:r>
      </w:hyperlink>
      <w:r>
        <w:rPr>
          <w:b w:val="0"/>
          <w:i w:val="0"/>
        </w:rPr>
        <w:t xml:space="preserve">, </w:t>
      </w:r>
      <w:hyperlink w:anchor="passage-v-6-1">
        <w:r>
          <w:rPr>
            <w:color w:val="000000"/>
          </w:rPr>
          <w:t xml:space="preserve">V.6.1</w:t>
        </w:r>
      </w:hyperlink>
      <w:r>
        <w:rPr>
          <w:b w:val="0"/>
          <w:i w:val="0"/>
        </w:rPr>
        <w:t xml:space="preserve">, </w:t>
      </w:r>
      <w:hyperlink w:anchor="passage-v-7-2">
        <w:r>
          <w:rPr>
            <w:color w:val="000000"/>
          </w:rPr>
          <w:t xml:space="preserve">V.7.2</w:t>
        </w:r>
      </w:hyperlink>
      <w:r>
        <w:rPr>
          <w:b w:val="0"/>
          <w:i w:val="0"/>
        </w:rPr>
        <w:t xml:space="preserve">, </w:t>
      </w:r>
      <w:hyperlink w:anchor="passage-v-8-3">
        <w:r>
          <w:rPr>
            <w:color w:val="000000"/>
          </w:rPr>
          <w:t xml:space="preserve">V.8.3</w:t>
        </w:r>
      </w:hyperlink>
      <w:r>
        <w:rPr>
          <w:b w:val="0"/>
          <w:i w:val="0"/>
        </w:rPr>
        <w:t xml:space="preserve">, </w:t>
      </w:r>
      <w:hyperlink w:anchor="passage-v-12-2">
        <w:r>
          <w:rPr>
            <w:color w:val="000000"/>
          </w:rPr>
          <w:t xml:space="preserve">V.12.2</w:t>
        </w:r>
      </w:hyperlink>
      <w:r>
        <w:rPr>
          <w:b w:val="0"/>
          <w:i w:val="0"/>
        </w:rPr>
        <w:t xml:space="preserve">, </w:t>
      </w:r>
      <w:hyperlink w:anchor="passage-v-12-13">
        <w:r>
          <w:rPr>
            <w:color w:val="000000"/>
          </w:rPr>
          <w:t xml:space="preserve">V.12.13</w:t>
        </w:r>
      </w:hyperlink>
      <w:r>
        <w:rPr>
          <w:b w:val="0"/>
          <w:i w:val="0"/>
        </w:rPr>
        <w:t xml:space="preserve">, </w:t>
      </w:r>
      <w:hyperlink w:anchor="passage-v-13-13">
        <w:r>
          <w:rPr>
            <w:color w:val="000000"/>
          </w:rPr>
          <w:t xml:space="preserve">V.13.13</w:t>
        </w:r>
      </w:hyperlink>
      <w:r>
        <w:rPr>
          <w:b w:val="0"/>
          <w:i w:val="0"/>
        </w:rPr>
        <w:t xml:space="preserve">. See </w:t>
      </w:r>
      <w:hyperlink w:anchor="reception-and-the-receiver">
        <w:r>
          <w:rPr>
            <w:color w:val="000000"/>
          </w:rPr>
          <w:t xml:space="preserve">Reception and the receiver</w:t>
        </w:r>
      </w:hyperlink>
      <w:r>
        <w:rPr>
          <w:b w:val="0"/>
          <w:i w:val="0"/>
        </w:rPr>
        <w:t>.</w:t>
      </w:r>
    </w:p>
    <w:p>
      <w:pPr>
        <w:keepNext/>
        <w:widowControl/>
      </w:pPr>
      <w:bookmarkStart w:id="1511" w:name="latin-record-1270"/>
      <w:bookmarkEnd w:id="1511"/>
      <w:r>
        <w:rPr>
          <w:b/>
          <w:i w:val="0"/>
        </w:rPr>
        <w:t>sustentaculum</w:t>
      </w:r>
      <w:r>
        <w:rPr>
          <w:b/>
          <w:i w:val="0"/>
        </w:rPr>
        <w:t>.</w:t>
      </w:r>
      <w:r>
        <w:rPr>
          <w:b w:val="0"/>
          <w:i w:val="0"/>
        </w:rPr>
        <w:t xml:space="preserve"> Printed forms: </w:t>
      </w:r>
      <w:r>
        <w:rPr>
          <w:b w:val="0"/>
          <w:i/>
        </w:rPr>
        <w:t>sustentaculo</w:t>
      </w:r>
      <w:r>
        <w:rPr>
          <w:b w:val="0"/>
          <w:i w:val="0"/>
        </w:rPr>
        <w:t xml:space="preserve">; </w:t>
      </w:r>
      <w:r>
        <w:rPr>
          <w:b w:val="0"/>
          <w:i/>
        </w:rPr>
        <w:t>sustentaculum</w:t>
      </w:r>
      <w:r>
        <w:rPr>
          <w:b w:val="0"/>
          <w:i w:val="0"/>
        </w:rPr>
        <w:t>.</w:t>
      </w:r>
    </w:p>
    <w:p>
      <w:pPr>
        <w:widowControl/>
      </w:pPr>
      <w:r>
        <w:rPr>
          <w:b w:val="0"/>
          <w:i w:val="0"/>
        </w:rPr>
        <w:t xml:space="preserve">Support or sustaining base. Matter is the first bodily support, while soul does not need a bodily prop whose withdrawal could cause its collapse. References: </w:t>
      </w:r>
      <w:hyperlink w:anchor="passage-v-4-6">
        <w:r>
          <w:rPr>
            <w:color w:val="000000"/>
          </w:rPr>
          <w:t xml:space="preserve">V.4.6</w:t>
        </w:r>
      </w:hyperlink>
      <w:r>
        <w:rPr>
          <w:b w:val="0"/>
          <w:i w:val="0"/>
        </w:rPr>
        <w:t xml:space="preserve">, </w:t>
      </w:r>
      <w:hyperlink w:anchor="passage-v-5-9">
        <w:r>
          <w:rPr>
            <w:color w:val="000000"/>
          </w:rPr>
          <w:t xml:space="preserve">V.5.9</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1512" w:name="latin-record-1271"/>
      <w:bookmarkEnd w:id="1512"/>
      <w:r>
        <w:rPr>
          <w:b/>
          <w:i w:val="0"/>
        </w:rPr>
        <w:t>sustentaculum / inquinatio</w:t>
      </w:r>
      <w:r>
        <w:rPr>
          <w:b/>
          <w:i w:val="0"/>
        </w:rPr>
        <w:t>.</w:t>
      </w:r>
      <w:r>
        <w:rPr>
          <w:b w:val="0"/>
          <w:i w:val="0"/>
        </w:rPr>
        <w:t xml:space="preserve"> Printed forms: </w:t>
      </w:r>
      <w:r>
        <w:rPr>
          <w:b w:val="0"/>
          <w:i/>
        </w:rPr>
        <w:t>debilitatem</w:t>
      </w:r>
      <w:r>
        <w:rPr>
          <w:b w:val="0"/>
          <w:i w:val="0"/>
        </w:rPr>
        <w:t xml:space="preserve">; </w:t>
      </w:r>
      <w:r>
        <w:rPr>
          <w:b w:val="0"/>
          <w:i/>
        </w:rPr>
        <w:t>indigentiam</w:t>
      </w:r>
      <w:r>
        <w:rPr>
          <w:b w:val="0"/>
          <w:i w:val="0"/>
        </w:rPr>
        <w:t xml:space="preserve">; </w:t>
      </w:r>
      <w:r>
        <w:rPr>
          <w:b w:val="0"/>
          <w:i/>
        </w:rPr>
        <w:t>inquinationemque</w:t>
      </w:r>
      <w:r>
        <w:rPr>
          <w:b w:val="0"/>
          <w:i w:val="0"/>
        </w:rPr>
        <w:t xml:space="preserve">; </w:t>
      </w:r>
      <w:r>
        <w:rPr>
          <w:b w:val="0"/>
          <w:i/>
        </w:rPr>
        <w:t>inquinatur</w:t>
      </w:r>
      <w:r>
        <w:rPr>
          <w:b w:val="0"/>
          <w:i w:val="0"/>
        </w:rPr>
        <w:t xml:space="preserve">; </w:t>
      </w:r>
      <w:r>
        <w:rPr>
          <w:b w:val="0"/>
          <w:i/>
        </w:rPr>
        <w:t>sustentaculo</w:t>
      </w:r>
      <w:r>
        <w:rPr>
          <w:b w:val="0"/>
          <w:i w:val="0"/>
        </w:rPr>
        <w:t>.</w:t>
      </w:r>
    </w:p>
    <w:p>
      <w:pPr>
        <w:widowControl/>
      </w:pPr>
      <w:r>
        <w:rPr>
          <w:b w:val="0"/>
          <w:i w:val="0"/>
        </w:rPr>
        <w:t xml:space="preserve">External support, contamination, weakness and need. These are the four vulnerabilities developed through the flow metaphor, against which self-returning rational life is contrasted. References: </w:t>
      </w:r>
      <w:hyperlink w:anchor="passage-viii-15-3">
        <w:r>
          <w:rPr>
            <w:color w:val="000000"/>
          </w:rPr>
          <w:t xml:space="preserve">VIII.15.3</w:t>
        </w:r>
      </w:hyperlink>
      <w:r>
        <w:rPr>
          <w:b w:val="0"/>
          <w:i w:val="0"/>
        </w:rPr>
        <w:t xml:space="preserve">. See </w:t>
      </w:r>
      <w:hyperlink w:anchor="viii-outflow-return">
        <w:r>
          <w:rPr>
            <w:color w:val="000000"/>
          </w:rPr>
          <w:t xml:space="preserve">Outward flow and rational life’s return</w:t>
        </w:r>
      </w:hyperlink>
      <w:r>
        <w:rPr>
          <w:b w:val="0"/>
          <w:i w:val="0"/>
        </w:rPr>
        <w:t>.</w:t>
      </w:r>
    </w:p>
    <w:p>
      <w:pPr>
        <w:keepNext/>
        <w:widowControl/>
      </w:pPr>
      <w:bookmarkStart w:id="1513" w:name="latin-record-1272"/>
      <w:bookmarkEnd w:id="1513"/>
      <w:r>
        <w:rPr>
          <w:b/>
          <w:i w:val="0"/>
        </w:rPr>
        <w:t>sustinere / vibrare</w:t>
      </w:r>
      <w:r>
        <w:rPr>
          <w:b/>
          <w:i w:val="0"/>
        </w:rPr>
        <w:t>.</w:t>
      </w:r>
      <w:r>
        <w:rPr>
          <w:b w:val="0"/>
          <w:i w:val="0"/>
        </w:rPr>
        <w:t xml:space="preserve"> Printed forms: </w:t>
      </w:r>
      <w:r>
        <w:rPr>
          <w:b w:val="0"/>
          <w:i/>
        </w:rPr>
        <w:t>sustinebit vibrabitque</w:t>
      </w:r>
      <w:r>
        <w:rPr>
          <w:b w:val="0"/>
          <w:i w:val="0"/>
        </w:rPr>
        <w:t>.</w:t>
      </w:r>
    </w:p>
    <w:p>
      <w:pPr>
        <w:widowControl/>
      </w:pPr>
      <w:r>
        <w:rPr>
          <w:b w:val="0"/>
          <w:i w:val="0"/>
        </w:rPr>
        <w:t xml:space="preserve">To support bodily members and set them moving. Both operations belong to the continuing subject, the robber’s soul, in the catalogue of rejected predictions.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1514" w:name="latin-record-1273"/>
      <w:bookmarkEnd w:id="1514"/>
      <w:r>
        <w:rPr>
          <w:b/>
          <w:i w:val="0"/>
        </w:rPr>
        <w:t>tactus</w:t>
      </w:r>
      <w:r>
        <w:rPr>
          <w:b/>
          <w:i w:val="0"/>
        </w:rPr>
        <w:t>.</w:t>
      </w:r>
      <w:r>
        <w:rPr>
          <w:b w:val="0"/>
          <w:i w:val="0"/>
        </w:rPr>
        <w:t xml:space="preserve"> Printed forms: </w:t>
      </w:r>
      <w:r>
        <w:rPr>
          <w:b w:val="0"/>
          <w:i/>
        </w:rPr>
        <w:t>tactu</w:t>
      </w:r>
      <w:r>
        <w:rPr>
          <w:b w:val="0"/>
          <w:i w:val="0"/>
        </w:rPr>
        <w:t xml:space="preserve">; </w:t>
      </w:r>
      <w:r>
        <w:rPr>
          <w:b w:val="0"/>
          <w:i/>
        </w:rPr>
        <w:t>tactus</w:t>
      </w:r>
      <w:r>
        <w:rPr>
          <w:b w:val="0"/>
          <w:i w:val="0"/>
        </w:rPr>
        <w:t>.</w:t>
      </w:r>
    </w:p>
    <w:p>
      <w:pPr>
        <w:widowControl/>
      </w:pPr>
      <w:r>
        <w:rPr>
          <w:b w:val="0"/>
          <w:i w:val="0"/>
        </w:rPr>
        <w:t xml:space="preserve">Touch as the soul’s sense universal throughout bodily members. Touch senses the surgical event while imagination judges and shares distress.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1515" w:name="latin-record-1274"/>
      <w:bookmarkEnd w:id="1515"/>
      <w:r>
        <w:rPr>
          <w:b/>
          <w:i w:val="0"/>
        </w:rPr>
        <w:t>talis; sic affectus</w:t>
      </w:r>
      <w:r>
        <w:rPr>
          <w:b/>
          <w:i w:val="0"/>
        </w:rPr>
        <w:t>.</w:t>
      </w:r>
      <w:r>
        <w:rPr>
          <w:b w:val="0"/>
          <w:i w:val="0"/>
        </w:rPr>
        <w:t xml:space="preserve"> Printed forms: </w:t>
      </w:r>
      <w:r>
        <w:rPr>
          <w:b w:val="0"/>
          <w:i/>
        </w:rPr>
        <w:t>sic affectum</w:t>
      </w:r>
      <w:r>
        <w:rPr>
          <w:b w:val="0"/>
          <w:i w:val="0"/>
        </w:rPr>
        <w:t xml:space="preserve">; </w:t>
      </w:r>
      <w:r>
        <w:rPr>
          <w:b w:val="0"/>
          <w:i/>
        </w:rPr>
        <w:t>tale quiddam</w:t>
      </w:r>
      <w:r>
        <w:rPr>
          <w:b w:val="0"/>
          <w:i w:val="0"/>
        </w:rPr>
        <w:t>.</w:t>
      </w:r>
    </w:p>
    <w:p>
      <w:pPr>
        <w:widowControl/>
      </w:pPr>
      <w:r>
        <w:rPr>
          <w:b w:val="0"/>
          <w:i w:val="0"/>
        </w:rPr>
        <w:t xml:space="preserve">A body of such a determinate kind and so disposed. This is the opponent’s qualification, which prompts Ficino to ask what additional determination makes the body special. References: </w:t>
      </w:r>
      <w:hyperlink w:anchor="passage-vi-4-3">
        <w:r>
          <w:rPr>
            <w:color w:val="000000"/>
          </w:rPr>
          <w:t xml:space="preserve">VI.4.3</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1516" w:name="latin-record-1275"/>
      <w:bookmarkEnd w:id="1516"/>
      <w:r>
        <w:rPr>
          <w:b/>
          <w:i w:val="0"/>
        </w:rPr>
        <w:t>tangere</w:t>
      </w:r>
      <w:r>
        <w:rPr>
          <w:b/>
          <w:i w:val="0"/>
        </w:rPr>
        <w:t>.</w:t>
      </w:r>
      <w:r>
        <w:rPr>
          <w:b w:val="0"/>
          <w:i w:val="0"/>
        </w:rPr>
        <w:t xml:space="preserve"> Printed forms: </w:t>
      </w:r>
      <w:r>
        <w:rPr>
          <w:b w:val="0"/>
          <w:i/>
        </w:rPr>
        <w:t>tangatur</w:t>
      </w:r>
      <w:r>
        <w:rPr>
          <w:b w:val="0"/>
          <w:i w:val="0"/>
        </w:rPr>
        <w:t xml:space="preserve">; </w:t>
      </w:r>
      <w:r>
        <w:rPr>
          <w:b w:val="0"/>
          <w:i/>
        </w:rPr>
        <w:t>tangi</w:t>
      </w:r>
      <w:r>
        <w:rPr>
          <w:b w:val="0"/>
          <w:i w:val="0"/>
        </w:rPr>
        <w:t xml:space="preserve">; </w:t>
      </w:r>
      <w:r>
        <w:rPr>
          <w:b w:val="0"/>
          <w:i/>
        </w:rPr>
        <w:t>tangit</w:t>
      </w:r>
      <w:r>
        <w:rPr>
          <w:b w:val="0"/>
          <w:i w:val="0"/>
        </w:rPr>
        <w:t xml:space="preserve">; </w:t>
      </w:r>
      <w:r>
        <w:rPr>
          <w:b w:val="0"/>
          <w:i/>
        </w:rPr>
        <w:t>tangitur</w:t>
      </w:r>
      <w:r>
        <w:rPr>
          <w:b w:val="0"/>
          <w:i w:val="0"/>
        </w:rPr>
        <w:t>.</w:t>
      </w:r>
    </w:p>
    <w:p>
      <w:pPr>
        <w:widowControl/>
      </w:pPr>
      <w:r>
        <w:rPr>
          <w:b w:val="0"/>
          <w:i w:val="0"/>
        </w:rPr>
        <w:t xml:space="preserve">To touch, the proposed physical route by which a bodily quality could affect soul. Ficino tests point-contact and divisible-part contact before distinguishing nondestructive reception of images. References: </w:t>
      </w:r>
      <w:hyperlink w:anchor="passage-v-6-1">
        <w:r>
          <w:rPr>
            <w:color w:val="000000"/>
          </w:rPr>
          <w:t xml:space="preserve">V.6.1</w:t>
        </w:r>
      </w:hyperlink>
      <w:r>
        <w:rPr>
          <w:b w:val="0"/>
          <w:i w:val="0"/>
        </w:rPr>
        <w:t xml:space="preserve">. See </w:t>
      </w:r>
      <w:hyperlink w:anchor="indivisibility-and-contact">
        <w:r>
          <w:rPr>
            <w:color w:val="000000"/>
          </w:rPr>
          <w:t xml:space="preserve">Indivisibility and contact</w:t>
        </w:r>
      </w:hyperlink>
      <w:r>
        <w:rPr>
          <w:b w:val="0"/>
          <w:i w:val="0"/>
        </w:rPr>
        <w:t>.</w:t>
      </w:r>
    </w:p>
    <w:p>
      <w:pPr>
        <w:widowControl/>
      </w:pPr>
      <w:r>
        <w:rPr>
          <w:b w:val="0"/>
          <w:i w:val="0"/>
        </w:rPr>
        <w:t xml:space="preserve">To touch or make contact. Contact at a line’s endpoints is hypothetical; a touch at a tiny bodily point supplies the whole-awareness example. References: </w:t>
      </w:r>
      <w:hyperlink w:anchor="passage-vii-2-2">
        <w:r>
          <w:rPr>
            <w:color w:val="000000"/>
          </w:rPr>
          <w:t xml:space="preserve">VII.2.2</w:t>
        </w:r>
      </w:hyperlink>
      <w:r>
        <w:rPr>
          <w:b w:val="0"/>
          <w:i w:val="0"/>
        </w:rPr>
        <w:t xml:space="preserve">, </w:t>
      </w:r>
      <w:hyperlink w:anchor="passage-vii-5-2">
        <w:r>
          <w:rPr>
            <w:color w:val="000000"/>
          </w:rPr>
          <w:t xml:space="preserve">VII.5.2</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1517" w:name="latin-record-1276"/>
      <w:bookmarkEnd w:id="1517"/>
      <w:r>
        <w:rPr>
          <w:b/>
          <w:i w:val="0"/>
        </w:rPr>
        <w:t>temperantia / libido</w:t>
      </w:r>
      <w:r>
        <w:rPr>
          <w:b/>
          <w:i w:val="0"/>
        </w:rPr>
        <w:t>.</w:t>
      </w:r>
      <w:r>
        <w:rPr>
          <w:b w:val="0"/>
          <w:i w:val="0"/>
        </w:rPr>
        <w:t xml:space="preserve"> Printed forms: </w:t>
      </w:r>
      <w:r>
        <w:rPr>
          <w:b w:val="0"/>
          <w:i/>
        </w:rPr>
        <w:t>cupiditates</w:t>
      </w:r>
      <w:r>
        <w:rPr>
          <w:b w:val="0"/>
          <w:i w:val="0"/>
        </w:rPr>
        <w:t xml:space="preserve">; </w:t>
      </w:r>
      <w:r>
        <w:rPr>
          <w:b w:val="0"/>
          <w:i/>
        </w:rPr>
        <w:t>libidine</w:t>
      </w:r>
      <w:r>
        <w:rPr>
          <w:b w:val="0"/>
          <w:i w:val="0"/>
        </w:rPr>
        <w:t xml:space="preserve">; </w:t>
      </w:r>
      <w:r>
        <w:rPr>
          <w:b w:val="0"/>
          <w:i/>
        </w:rPr>
        <w:t>libidini</w:t>
      </w:r>
      <w:r>
        <w:rPr>
          <w:b w:val="0"/>
          <w:i w:val="0"/>
        </w:rPr>
        <w:t xml:space="preserve">; </w:t>
      </w:r>
      <w:r>
        <w:rPr>
          <w:b w:val="0"/>
          <w:i/>
        </w:rPr>
        <w:t>libidinis</w:t>
      </w:r>
      <w:r>
        <w:rPr>
          <w:b w:val="0"/>
          <w:i w:val="0"/>
        </w:rPr>
        <w:t xml:space="preserve">; </w:t>
      </w:r>
      <w:r>
        <w:rPr>
          <w:b w:val="0"/>
          <w:i/>
        </w:rPr>
        <w:t>libidinis mollitiem</w:t>
      </w:r>
      <w:r>
        <w:rPr>
          <w:b w:val="0"/>
          <w:i w:val="0"/>
        </w:rPr>
        <w:t xml:space="preserve">; </w:t>
      </w:r>
      <w:r>
        <w:rPr>
          <w:b w:val="0"/>
          <w:i/>
        </w:rPr>
        <w:t>temperantia</w:t>
      </w:r>
      <w:r>
        <w:rPr>
          <w:b w:val="0"/>
          <w:i w:val="0"/>
        </w:rPr>
        <w:t>.</w:t>
      </w:r>
    </w:p>
    <w:p>
      <w:pPr>
        <w:widowControl/>
      </w:pPr>
      <w:r>
        <w:rPr>
          <w:b w:val="0"/>
          <w:i w:val="0"/>
        </w:rPr>
        <w:t xml:space="preserve">Temperance and the enfeebling softness of desire, libidinis mollitiem, which it counteracts. The virtue removes desire’s impediment to honourable action and depends upon courage against fear, as the unity-of-virtues argument shows. References: </w:t>
      </w:r>
      <w:hyperlink w:anchor="passage-viii-3-1">
        <w:r>
          <w:rPr>
            <w:color w:val="000000"/>
          </w:rPr>
          <w:t xml:space="preserve">VIII.3.1</w:t>
        </w:r>
      </w:hyperlink>
      <w:r>
        <w:rPr>
          <w:b w:val="0"/>
          <w:i w:val="0"/>
        </w:rPr>
        <w:t xml:space="preserve">, </w:t>
      </w:r>
      <w:hyperlink w:anchor="passage-viii-3-7">
        <w:r>
          <w:rPr>
            <w:color w:val="000000"/>
          </w:rPr>
          <w:t xml:space="preserve">VIII.3.7</w:t>
        </w:r>
      </w:hyperlink>
      <w:r>
        <w:rPr>
          <w:b w:val="0"/>
          <w:i w:val="0"/>
        </w:rPr>
        <w:t xml:space="preserve">. See </w:t>
      </w:r>
      <w:hyperlink w:anchor="viii-mutual-sciences">
        <w:r>
          <w:rPr>
            <w:color w:val="000000"/>
          </w:rPr>
          <w:t xml:space="preserve">Sciences, virtues, and mutual containment</w:t>
        </w:r>
      </w:hyperlink>
      <w:r>
        <w:rPr>
          <w:b w:val="0"/>
          <w:i w:val="0"/>
        </w:rPr>
        <w:t>.</w:t>
      </w:r>
    </w:p>
    <w:p>
      <w:pPr>
        <w:keepNext/>
        <w:widowControl/>
      </w:pPr>
      <w:bookmarkStart w:id="1518" w:name="latin-record-1277"/>
      <w:bookmarkEnd w:id="1518"/>
      <w:r>
        <w:rPr>
          <w:b/>
          <w:i w:val="0"/>
        </w:rPr>
        <w:t>temperare spiritus et humores</w:t>
      </w:r>
      <w:r>
        <w:rPr>
          <w:b/>
          <w:i w:val="0"/>
        </w:rPr>
        <w:t>.</w:t>
      </w:r>
      <w:r>
        <w:rPr>
          <w:b w:val="0"/>
          <w:i w:val="0"/>
        </w:rPr>
        <w:t xml:space="preserve"> Printed forms: </w:t>
      </w:r>
      <w:r>
        <w:rPr>
          <w:b w:val="0"/>
          <w:i/>
        </w:rPr>
        <w:t>spiritus, humores membraque temperat</w:t>
      </w:r>
      <w:r>
        <w:rPr>
          <w:b w:val="0"/>
          <w:i w:val="0"/>
        </w:rPr>
        <w:t>.</w:t>
      </w:r>
    </w:p>
    <w:p>
      <w:pPr>
        <w:widowControl/>
      </w:pPr>
      <w:r>
        <w:rPr>
          <w:b w:val="0"/>
          <w:i w:val="0"/>
        </w:rPr>
        <w:t xml:space="preserve">To regulate spirits, humours and members. Soul as substantial form performs the regulation through power and natural art; it is not identical with bodily temperament. References: </w:t>
      </w:r>
      <w:hyperlink w:anchor="passage-vi-9-4">
        <w:r>
          <w:rPr>
            <w:color w:val="000000"/>
          </w:rPr>
          <w:t xml:space="preserve">VI.9.4</w:t>
        </w:r>
      </w:hyperlink>
      <w:r>
        <w:rPr>
          <w:b w:val="0"/>
          <w:i w:val="0"/>
        </w:rPr>
        <w:t xml:space="preserve">. See </w:t>
      </w:r>
      <w:hyperlink w:anchor="rennet-magnet-and-clock">
        <w:r>
          <w:rPr>
            <w:color w:val="000000"/>
          </w:rPr>
          <w:t xml:space="preserve">Rennet, magnet and clock</w:t>
        </w:r>
      </w:hyperlink>
      <w:r>
        <w:rPr>
          <w:b w:val="0"/>
          <w:i w:val="0"/>
        </w:rPr>
        <w:t>.</w:t>
      </w:r>
    </w:p>
    <w:p>
      <w:pPr>
        <w:keepNext/>
        <w:widowControl/>
      </w:pPr>
      <w:bookmarkStart w:id="1519" w:name="latin-record-1278"/>
      <w:bookmarkEnd w:id="1519"/>
      <w:r>
        <w:rPr>
          <w:b/>
          <w:i w:val="0"/>
        </w:rPr>
        <w:t>temperatio</w:t>
      </w:r>
      <w:r>
        <w:rPr>
          <w:b/>
          <w:i w:val="0"/>
        </w:rPr>
        <w:t>.</w:t>
      </w:r>
      <w:r>
        <w:rPr>
          <w:b w:val="0"/>
          <w:i w:val="0"/>
        </w:rPr>
        <w:t xml:space="preserve"> Printed forms: </w:t>
      </w:r>
      <w:r>
        <w:rPr>
          <w:b w:val="0"/>
          <w:i/>
        </w:rPr>
        <w:t>temperatione</w:t>
      </w:r>
      <w:r>
        <w:rPr>
          <w:b w:val="0"/>
          <w:i w:val="0"/>
        </w:rPr>
        <w:t>.</w:t>
      </w:r>
    </w:p>
    <w:p>
      <w:pPr>
        <w:widowControl/>
      </w:pPr>
      <w:r>
        <w:rPr>
          <w:b w:val="0"/>
          <w:i w:val="0"/>
        </w:rPr>
        <w:t xml:space="preserve">An appropriate tempering of the bodily instrument. The soul prepares its instrument for attentive action; the instrument’s temperament is not thereby the soul’s essence. References: </w:t>
      </w:r>
      <w:hyperlink w:anchor="passage-vii-6-3">
        <w:r>
          <w:rPr>
            <w:color w:val="000000"/>
          </w:rPr>
          <w:t xml:space="preserve">VII.6.3</w:t>
        </w:r>
      </w:hyperlink>
      <w:r>
        <w:rPr>
          <w:b w:val="0"/>
          <w:i w:val="0"/>
        </w:rPr>
        <w:t xml:space="preserve">. See </w:t>
      </w:r>
      <w:hyperlink w:anchor="vii-bodily-constitution">
        <w:r>
          <w:rPr>
            <w:color w:val="000000"/>
          </w:rPr>
          <w:t xml:space="preserve">Bodily constitution and temperament</w:t>
        </w:r>
      </w:hyperlink>
      <w:r>
        <w:rPr>
          <w:b w:val="0"/>
          <w:i w:val="0"/>
        </w:rPr>
        <w:t>.</w:t>
      </w:r>
    </w:p>
    <w:p>
      <w:pPr>
        <w:keepNext/>
        <w:widowControl/>
      </w:pPr>
      <w:bookmarkStart w:id="1520" w:name="latin-record-1279"/>
      <w:bookmarkEnd w:id="1520"/>
      <w:r>
        <w:rPr>
          <w:b/>
          <w:i w:val="0"/>
        </w:rPr>
        <w:t>temperatio / complexio</w:t>
      </w:r>
      <w:r>
        <w:rPr>
          <w:b/>
          <w:i w:val="0"/>
        </w:rPr>
        <w:t>.</w:t>
      </w:r>
      <w:r>
        <w:rPr>
          <w:b w:val="0"/>
          <w:i w:val="0"/>
        </w:rPr>
        <w:t xml:space="preserve"> Printed forms: </w:t>
      </w:r>
      <w:r>
        <w:rPr>
          <w:b w:val="0"/>
          <w:i/>
        </w:rPr>
        <w:t>complexione</w:t>
      </w:r>
      <w:r>
        <w:rPr>
          <w:b w:val="0"/>
          <w:i w:val="0"/>
        </w:rPr>
        <w:t xml:space="preserve">; </w:t>
      </w:r>
      <w:r>
        <w:rPr>
          <w:b w:val="0"/>
          <w:i/>
        </w:rPr>
        <w:t>complexionem</w:t>
      </w:r>
      <w:r>
        <w:rPr>
          <w:b w:val="0"/>
          <w:i w:val="0"/>
        </w:rPr>
        <w:t xml:space="preserve">; </w:t>
      </w:r>
      <w:r>
        <w:rPr>
          <w:b w:val="0"/>
          <w:i/>
        </w:rPr>
        <w:t>temperatio</w:t>
      </w:r>
      <w:r>
        <w:rPr>
          <w:b w:val="0"/>
          <w:i w:val="0"/>
        </w:rPr>
        <w:t xml:space="preserve">; </w:t>
      </w:r>
      <w:r>
        <w:rPr>
          <w:b w:val="0"/>
          <w:i/>
        </w:rPr>
        <w:t>temperationem</w:t>
      </w:r>
      <w:r>
        <w:rPr>
          <w:b w:val="0"/>
          <w:i w:val="0"/>
        </w:rPr>
        <w:t xml:space="preserve">; </w:t>
      </w:r>
      <w:r>
        <w:rPr>
          <w:b w:val="0"/>
          <w:i/>
        </w:rPr>
        <w:t>temperationi</w:t>
      </w:r>
      <w:r>
        <w:rPr>
          <w:b w:val="0"/>
          <w:i w:val="0"/>
        </w:rPr>
        <w:t>.</w:t>
      </w:r>
    </w:p>
    <w:p>
      <w:pPr>
        <w:widowControl/>
      </w:pPr>
      <w:r>
        <w:rPr>
          <w:b w:val="0"/>
          <w:i w:val="0"/>
        </w:rPr>
        <w:t xml:space="preserve">Bodily temperament or constitution formed from mixture. Ficino denies that rational mind is identical with this bodily organization or wholly dependent upon it. References: </w:t>
      </w:r>
      <w:hyperlink w:anchor="passage-v-8-1">
        <w:r>
          <w:rPr>
            <w:color w:val="000000"/>
          </w:rPr>
          <w:t xml:space="preserve">V.8.1</w:t>
        </w:r>
      </w:hyperlink>
      <w:r>
        <w:rPr>
          <w:b w:val="0"/>
          <w:i w:val="0"/>
        </w:rPr>
        <w:t xml:space="preserve">, </w:t>
      </w:r>
      <w:hyperlink w:anchor="passage-v-15-8">
        <w:r>
          <w:rPr>
            <w:color w:val="000000"/>
          </w:rPr>
          <w:t xml:space="preserve">V.15.8</w:t>
        </w:r>
      </w:hyperlink>
      <w:r>
        <w:rPr>
          <w:b w:val="0"/>
          <w:i w:val="0"/>
        </w:rPr>
        <w:t xml:space="preserve">, </w:t>
      </w:r>
      <w:hyperlink w:anchor="passage-v-15-9">
        <w:r>
          <w:rPr>
            <w:color w:val="000000"/>
          </w:rPr>
          <w:t xml:space="preserve">V.15.9</w:t>
        </w:r>
      </w:hyperlink>
      <w:r>
        <w:rPr>
          <w:b w:val="0"/>
          <w:i w:val="0"/>
        </w:rPr>
        <w:t xml:space="preserve">, </w:t>
      </w:r>
      <w:hyperlink w:anchor="passage-v-15-10">
        <w:r>
          <w:rPr>
            <w:color w:val="000000"/>
          </w:rPr>
          <w:t xml:space="preserve">V.15.10</w:t>
        </w:r>
      </w:hyperlink>
      <w:r>
        <w:rPr>
          <w:b w:val="0"/>
          <w:i w:val="0"/>
        </w:rPr>
        <w:t xml:space="preserve">, </w:t>
      </w:r>
      <w:hyperlink w:anchor="passage-v-15-17">
        <w:r>
          <w:rPr>
            <w:color w:val="000000"/>
          </w:rPr>
          <w:t xml:space="preserve">V.15.17</w:t>
        </w:r>
      </w:hyperlink>
      <w:r>
        <w:rPr>
          <w:b w:val="0"/>
          <w:i w:val="0"/>
        </w:rPr>
        <w:t xml:space="preserve">, </w:t>
      </w:r>
      <w:hyperlink w:anchor="passage-v-15-18">
        <w:r>
          <w:rPr>
            <w:color w:val="000000"/>
          </w:rPr>
          <w:t xml:space="preserve">V.15.18</w:t>
        </w:r>
      </w:hyperlink>
      <w:r>
        <w:rPr>
          <w:b w:val="0"/>
          <w:i w:val="0"/>
        </w:rPr>
        <w:t xml:space="preserve">. See </w:t>
      </w:r>
      <w:hyperlink w:anchor="temperament-and-harmony">
        <w:r>
          <w:rPr>
            <w:color w:val="000000"/>
          </w:rPr>
          <w:t xml:space="preserve">Temperament and harmony</w:t>
        </w:r>
      </w:hyperlink>
      <w:r>
        <w:rPr>
          <w:b w:val="0"/>
          <w:i w:val="0"/>
        </w:rPr>
        <w:t>.</w:t>
      </w:r>
    </w:p>
    <w:p>
      <w:pPr>
        <w:keepNext/>
        <w:widowControl/>
      </w:pPr>
      <w:bookmarkStart w:id="1521" w:name="latin-record-1280"/>
      <w:bookmarkEnd w:id="1521"/>
      <w:r>
        <w:rPr>
          <w:b/>
          <w:i w:val="0"/>
        </w:rPr>
        <w:t>temperatio artis</w:t>
      </w:r>
      <w:r>
        <w:rPr>
          <w:b/>
          <w:i w:val="0"/>
        </w:rPr>
        <w:t>.</w:t>
      </w:r>
      <w:r>
        <w:rPr>
          <w:b w:val="0"/>
          <w:i w:val="0"/>
        </w:rPr>
        <w:t xml:space="preserve"> Printed forms: </w:t>
      </w:r>
      <w:r>
        <w:rPr>
          <w:b w:val="0"/>
          <w:i/>
        </w:rPr>
        <w:t>temperatio artis</w:t>
      </w:r>
      <w:r>
        <w:rPr>
          <w:b w:val="0"/>
          <w:i w:val="0"/>
        </w:rPr>
        <w:t>.</w:t>
      </w:r>
    </w:p>
    <w:p>
      <w:pPr>
        <w:widowControl/>
      </w:pPr>
      <w:r>
        <w:rPr>
          <w:b w:val="0"/>
          <w:i w:val="0"/>
        </w:rPr>
        <w:t xml:space="preserve">The ordering skill or proportioning of an art. A clock’s orderly work illustrates the relation of a coordinating source to its effects. References: </w:t>
      </w:r>
      <w:hyperlink w:anchor="passage-vi-9-4">
        <w:r>
          <w:rPr>
            <w:color w:val="000000"/>
          </w:rPr>
          <w:t xml:space="preserve">VI.9.4</w:t>
        </w:r>
      </w:hyperlink>
      <w:r>
        <w:rPr>
          <w:b w:val="0"/>
          <w:i w:val="0"/>
        </w:rPr>
        <w:t xml:space="preserve">. See </w:t>
      </w:r>
      <w:hyperlink w:anchor="rennet-magnet-and-clock">
        <w:r>
          <w:rPr>
            <w:color w:val="000000"/>
          </w:rPr>
          <w:t xml:space="preserve">Rennet, magnet and clock</w:t>
        </w:r>
      </w:hyperlink>
      <w:r>
        <w:rPr>
          <w:b w:val="0"/>
          <w:i w:val="0"/>
        </w:rPr>
        <w:t>.</w:t>
      </w:r>
    </w:p>
    <w:p>
      <w:pPr>
        <w:keepNext/>
        <w:widowControl/>
      </w:pPr>
      <w:bookmarkStart w:id="1522" w:name="latin-record-1281"/>
      <w:bookmarkEnd w:id="1522"/>
      <w:r>
        <w:rPr>
          <w:b/>
          <w:i w:val="0"/>
        </w:rPr>
        <w:t>temporis intervallum</w:t>
      </w:r>
      <w:r>
        <w:rPr>
          <w:b/>
          <w:i w:val="0"/>
        </w:rPr>
        <w:t>.</w:t>
      </w:r>
      <w:r>
        <w:rPr>
          <w:b w:val="0"/>
          <w:i w:val="0"/>
        </w:rPr>
        <w:t xml:space="preserve"> Printed forms: </w:t>
      </w:r>
      <w:r>
        <w:rPr>
          <w:b w:val="0"/>
          <w:i/>
        </w:rPr>
        <w:t>temporis intervallum</w:t>
      </w:r>
      <w:r>
        <w:rPr>
          <w:b w:val="0"/>
          <w:i w:val="0"/>
        </w:rPr>
        <w:t>.</w:t>
      </w:r>
    </w:p>
    <w:p>
      <w:pPr>
        <w:widowControl/>
      </w:pPr>
      <w:r>
        <w:rPr>
          <w:b w:val="0"/>
          <w:i w:val="0"/>
        </w:rPr>
        <w:t xml:space="preserve">An interval of time through which an instrumental operation proceeds. An instrument is moved by another, acts on a subject and conveys its principal agent’s form over time. Ficino invokes this structure to reject angelic instrumental creation, since creation requires neither a prior subject nor motion or time. References: </w:t>
      </w:r>
      <w:hyperlink w:anchor="passage-v-13-14">
        <w:r>
          <w:rPr>
            <w:color w:val="000000"/>
          </w:rPr>
          <w:t xml:space="preserve">V.13.14</w:t>
        </w:r>
      </w:hyperlink>
      <w:r>
        <w:rPr>
          <w:b w:val="0"/>
          <w:i w:val="0"/>
        </w:rPr>
        <w:t xml:space="preserve">. See </w:t>
      </w:r>
      <w:hyperlink w:anchor="instrument-and-creative-mediation">
        <w:r>
          <w:rPr>
            <w:color w:val="000000"/>
          </w:rPr>
          <w:t xml:space="preserve">Instrument and creative mediation</w:t>
        </w:r>
      </w:hyperlink>
      <w:r>
        <w:rPr>
          <w:b w:val="0"/>
          <w:i w:val="0"/>
        </w:rPr>
        <w:t>.</w:t>
      </w:r>
    </w:p>
    <w:p>
      <w:pPr>
        <w:keepNext/>
        <w:widowControl/>
      </w:pPr>
      <w:bookmarkStart w:id="1523" w:name="latin-record-1282"/>
      <w:bookmarkEnd w:id="1523"/>
      <w:r>
        <w:rPr>
          <w:b/>
          <w:i w:val="0"/>
        </w:rPr>
        <w:t>tenere / memoria</w:t>
      </w:r>
      <w:r>
        <w:rPr>
          <w:b/>
          <w:i w:val="0"/>
        </w:rPr>
        <w:t>.</w:t>
      </w:r>
      <w:r>
        <w:rPr>
          <w:b w:val="0"/>
          <w:i w:val="0"/>
        </w:rPr>
        <w:t xml:space="preserve"> Printed forms: </w:t>
      </w:r>
      <w:r>
        <w:rPr>
          <w:b w:val="0"/>
          <w:i/>
        </w:rPr>
        <w:t>memoria</w:t>
      </w:r>
      <w:r>
        <w:rPr>
          <w:b w:val="0"/>
          <w:i w:val="0"/>
        </w:rPr>
        <w:t xml:space="preserve">; </w:t>
      </w:r>
      <w:r>
        <w:rPr>
          <w:b w:val="0"/>
          <w:i/>
        </w:rPr>
        <w:t>memoriam</w:t>
      </w:r>
      <w:r>
        <w:rPr>
          <w:b w:val="0"/>
          <w:i w:val="0"/>
        </w:rPr>
        <w:t xml:space="preserve">; </w:t>
      </w:r>
      <w:r>
        <w:rPr>
          <w:b w:val="0"/>
          <w:i/>
        </w:rPr>
        <w:t>tenet</w:t>
      </w:r>
      <w:r>
        <w:rPr>
          <w:b w:val="0"/>
          <w:i w:val="0"/>
        </w:rPr>
        <w:t>.</w:t>
      </w:r>
    </w:p>
    <w:p>
      <w:pPr>
        <w:widowControl/>
      </w:pPr>
      <w:r>
        <w:rPr>
          <w:b w:val="0"/>
          <w:i w:val="0"/>
        </w:rPr>
        <w:t xml:space="preserve">To retain; memory as preserved, usable content. Fluid instability threatens retention, while a mere surface image cannot account for thinking of something absent. References: </w:t>
      </w:r>
      <w:hyperlink w:anchor="passage-vii-1-2">
        <w:r>
          <w:rPr>
            <w:color w:val="000000"/>
          </w:rPr>
          <w:t xml:space="preserve">VII.1.2</w:t>
        </w:r>
      </w:hyperlink>
      <w:r>
        <w:rPr>
          <w:b w:val="0"/>
          <w:i w:val="0"/>
        </w:rPr>
        <w:t xml:space="preserve">, </w:t>
      </w:r>
      <w:hyperlink w:anchor="passage-vii-1-3">
        <w:r>
          <w:rPr>
            <w:color w:val="000000"/>
          </w:rPr>
          <w:t xml:space="preserve">VII.1.3</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524" w:name="latin-record-1283"/>
      <w:bookmarkEnd w:id="1524"/>
      <w:r>
        <w:rPr>
          <w:b/>
          <w:i w:val="0"/>
        </w:rPr>
        <w:t>tenuare / purgare</w:t>
      </w:r>
      <w:r>
        <w:rPr>
          <w:b/>
          <w:i w:val="0"/>
        </w:rPr>
        <w:t>.</w:t>
      </w:r>
      <w:r>
        <w:rPr>
          <w:b w:val="0"/>
          <w:i w:val="0"/>
        </w:rPr>
        <w:t xml:space="preserve"> Printed forms: </w:t>
      </w:r>
      <w:r>
        <w:rPr>
          <w:b w:val="0"/>
          <w:i/>
        </w:rPr>
        <w:t>purgentur</w:t>
      </w:r>
      <w:r>
        <w:rPr>
          <w:b w:val="0"/>
          <w:i w:val="0"/>
        </w:rPr>
        <w:t xml:space="preserve">; </w:t>
      </w:r>
      <w:r>
        <w:rPr>
          <w:b w:val="0"/>
          <w:i/>
        </w:rPr>
        <w:t>tenuentur</w:t>
      </w:r>
      <w:r>
        <w:rPr>
          <w:b w:val="0"/>
          <w:i w:val="0"/>
        </w:rPr>
        <w:t>.</w:t>
      </w:r>
    </w:p>
    <w:p>
      <w:pPr>
        <w:widowControl/>
      </w:pPr>
      <w:r>
        <w:rPr>
          <w:b w:val="0"/>
          <w:i w:val="0"/>
        </w:rPr>
        <w:t xml:space="preserve">Refining and purifying supposed bodily food to fit a subtle material soul. These operations occur inside the reductio: even refined nourishment would leave the false prediction that bulk and feeding improve intellect. References: </w:t>
      </w:r>
      <w:hyperlink w:anchor="passage-viii-2-1">
        <w:r>
          <w:rPr>
            <w:color w:val="000000"/>
          </w:rPr>
          <w:t xml:space="preserve">VIII.2.1</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525" w:name="latin-record-1284"/>
      <w:bookmarkEnd w:id="1525"/>
      <w:r>
        <w:rPr>
          <w:b/>
          <w:i w:val="0"/>
        </w:rPr>
        <w:t>tenuis / lucidus</w:t>
      </w:r>
      <w:r>
        <w:rPr>
          <w:b/>
          <w:i w:val="0"/>
        </w:rPr>
        <w:t>.</w:t>
      </w:r>
      <w:r>
        <w:rPr>
          <w:b w:val="0"/>
          <w:i w:val="0"/>
        </w:rPr>
        <w:t xml:space="preserve"> Printed forms: </w:t>
      </w:r>
      <w:r>
        <w:rPr>
          <w:b w:val="0"/>
          <w:i/>
        </w:rPr>
        <w:t>lucidissimumque</w:t>
      </w:r>
      <w:r>
        <w:rPr>
          <w:b w:val="0"/>
          <w:i w:val="0"/>
        </w:rPr>
        <w:t xml:space="preserve">; </w:t>
      </w:r>
      <w:r>
        <w:rPr>
          <w:b w:val="0"/>
          <w:i/>
        </w:rPr>
        <w:t>tenuissima</w:t>
      </w:r>
      <w:r>
        <w:rPr>
          <w:b w:val="0"/>
          <w:i w:val="0"/>
        </w:rPr>
        <w:t xml:space="preserve">; </w:t>
      </w:r>
      <w:r>
        <w:rPr>
          <w:b w:val="0"/>
          <w:i/>
        </w:rPr>
        <w:t>tenuissimum</w:t>
      </w:r>
      <w:r>
        <w:rPr>
          <w:b w:val="0"/>
          <w:i w:val="0"/>
        </w:rPr>
        <w:t>.</w:t>
      </w:r>
    </w:p>
    <w:p>
      <w:pPr>
        <w:widowControl/>
      </w:pPr>
      <w:r>
        <w:rPr>
          <w:b w:val="0"/>
          <w:i w:val="0"/>
        </w:rPr>
        <w:t xml:space="preserve">Extremely fine and luminous. The superlatives describe a subtle bodily spirit and its source in the finest blood; fineness does not make it incorporeal. References: </w:t>
      </w:r>
      <w:hyperlink w:anchor="passage-vii-6-1">
        <w:r>
          <w:rPr>
            <w:color w:val="000000"/>
          </w:rPr>
          <w:t xml:space="preserve">VII.6.1</w:t>
        </w:r>
      </w:hyperlink>
      <w:r>
        <w:rPr>
          <w:b w:val="0"/>
          <w:i w:val="0"/>
        </w:rPr>
        <w:t xml:space="preserve">. See </w:t>
      </w:r>
      <w:hyperlink w:anchor="vii-bodily-spirit">
        <w:r>
          <w:rPr>
            <w:color w:val="000000"/>
          </w:rPr>
          <w:t xml:space="preserve">Bodily spirit and mediation</w:t>
        </w:r>
      </w:hyperlink>
      <w:r>
        <w:rPr>
          <w:b w:val="0"/>
          <w:i w:val="0"/>
        </w:rPr>
        <w:t>.</w:t>
      </w:r>
    </w:p>
    <w:p>
      <w:pPr>
        <w:keepNext/>
        <w:widowControl/>
      </w:pPr>
      <w:bookmarkStart w:id="1526" w:name="latin-record-1285"/>
      <w:bookmarkEnd w:id="1526"/>
      <w:r>
        <w:rPr>
          <w:b/>
          <w:i w:val="0"/>
        </w:rPr>
        <w:t>tenuis; crassus</w:t>
      </w:r>
      <w:r>
        <w:rPr>
          <w:b/>
          <w:i w:val="0"/>
        </w:rPr>
        <w:t>.</w:t>
      </w:r>
      <w:r>
        <w:rPr>
          <w:b w:val="0"/>
          <w:i w:val="0"/>
        </w:rPr>
        <w:t xml:space="preserve"> Printed forms: </w:t>
      </w:r>
      <w:r>
        <w:rPr>
          <w:b w:val="0"/>
          <w:i/>
        </w:rPr>
        <w:t>crassiori</w:t>
      </w:r>
      <w:r>
        <w:rPr>
          <w:b w:val="0"/>
          <w:i w:val="0"/>
        </w:rPr>
        <w:t xml:space="preserve">; </w:t>
      </w:r>
      <w:r>
        <w:rPr>
          <w:b w:val="0"/>
          <w:i/>
        </w:rPr>
        <w:t>tenuissimum</w:t>
      </w:r>
      <w:r>
        <w:rPr>
          <w:b w:val="0"/>
          <w:i w:val="0"/>
        </w:rPr>
        <w:t>.</w:t>
      </w:r>
    </w:p>
    <w:p>
      <w:pPr>
        <w:widowControl/>
      </w:pPr>
      <w:r>
        <w:rPr>
          <w:b w:val="0"/>
          <w:i w:val="0"/>
        </w:rPr>
        <w:t xml:space="preserve">Physically fine or subtle; comparatively coarse. The initial contrast distinguishes two bodily textures and does not yet distinguish body from soul.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keepNext/>
        <w:widowControl/>
      </w:pPr>
      <w:bookmarkStart w:id="1527" w:name="latin-record-1286"/>
      <w:bookmarkEnd w:id="1527"/>
      <w:r>
        <w:rPr>
          <w:b/>
          <w:i w:val="0"/>
        </w:rPr>
        <w:t>termini proprii; alieni</w:t>
      </w:r>
      <w:r>
        <w:rPr>
          <w:b/>
          <w:i w:val="0"/>
        </w:rPr>
        <w:t>.</w:t>
      </w:r>
      <w:r>
        <w:rPr>
          <w:b w:val="0"/>
          <w:i w:val="0"/>
        </w:rPr>
        <w:t xml:space="preserve"> Printed forms: </w:t>
      </w:r>
      <w:r>
        <w:rPr>
          <w:b w:val="0"/>
          <w:i/>
        </w:rPr>
        <w:t>terminos alienos</w:t>
      </w:r>
      <w:r>
        <w:rPr>
          <w:b w:val="0"/>
          <w:i w:val="0"/>
        </w:rPr>
        <w:t xml:space="preserve">; </w:t>
      </w:r>
      <w:r>
        <w:rPr>
          <w:b w:val="0"/>
          <w:i/>
        </w:rPr>
        <w:t>terminos proprios</w:t>
      </w:r>
      <w:r>
        <w:rPr>
          <w:b w:val="0"/>
          <w:i w:val="0"/>
        </w:rPr>
        <w:t>.</w:t>
      </w:r>
    </w:p>
    <w:p>
      <w:pPr>
        <w:widowControl/>
      </w:pPr>
      <w:r>
        <w:rPr>
          <w:b w:val="0"/>
          <w:i w:val="0"/>
        </w:rPr>
        <w:t xml:space="preserve">The body’s own internal termini and externally directed termini. Ficino infers incapacity for the more remote movement from incapacity for internal self-change; the inferential step remains explicit. References: </w:t>
      </w:r>
      <w:hyperlink w:anchor="passage-vi-12-16">
        <w:r>
          <w:rPr>
            <w:color w:val="000000"/>
          </w:rPr>
          <w:t xml:space="preserve">VI.12.16</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1528" w:name="latin-record-1287"/>
      <w:bookmarkEnd w:id="1528"/>
      <w:r>
        <w:rPr>
          <w:b/>
          <w:i w:val="0"/>
        </w:rPr>
        <w:t>terminus</w:t>
      </w:r>
      <w:r>
        <w:rPr>
          <w:b/>
          <w:i w:val="0"/>
        </w:rPr>
        <w:t>.</w:t>
      </w:r>
      <w:r>
        <w:rPr>
          <w:b w:val="0"/>
          <w:i w:val="0"/>
        </w:rPr>
        <w:t xml:space="preserve"> Printed forms: </w:t>
      </w:r>
      <w:r>
        <w:rPr>
          <w:b w:val="0"/>
          <w:i/>
        </w:rPr>
        <w:t>terminis</w:t>
      </w:r>
      <w:r>
        <w:rPr>
          <w:b w:val="0"/>
          <w:i w:val="0"/>
        </w:rPr>
        <w:t xml:space="preserve">; </w:t>
      </w:r>
      <w:r>
        <w:rPr>
          <w:b w:val="0"/>
          <w:i/>
        </w:rPr>
        <w:t>termino</w:t>
      </w:r>
      <w:r>
        <w:rPr>
          <w:b w:val="0"/>
          <w:i w:val="0"/>
        </w:rPr>
        <w:t xml:space="preserve">; </w:t>
      </w:r>
      <w:r>
        <w:rPr>
          <w:b w:val="0"/>
          <w:i/>
        </w:rPr>
        <w:t>terminos</w:t>
      </w:r>
      <w:r>
        <w:rPr>
          <w:b w:val="0"/>
          <w:i w:val="0"/>
        </w:rPr>
        <w:t xml:space="preserve">; </w:t>
      </w:r>
      <w:r>
        <w:rPr>
          <w:b w:val="0"/>
          <w:i/>
        </w:rPr>
        <w:t>terminus</w:t>
      </w:r>
      <w:r>
        <w:rPr>
          <w:b w:val="0"/>
          <w:i w:val="0"/>
        </w:rPr>
        <w:t>.</w:t>
      </w:r>
    </w:p>
    <w:p>
      <w:pPr>
        <w:widowControl/>
      </w:pPr>
      <w:r>
        <w:rPr>
          <w:b w:val="0"/>
          <w:i w:val="0"/>
        </w:rPr>
        <w:t xml:space="preserve">An endpoint, boundary or originating term, according to the direction specified. God is denied as corruption’s endpoint and affirmed as production’s efficient source; temporal bounds separately limit embodied instances. References: </w:t>
      </w:r>
      <w:hyperlink w:anchor="passage-v-1-5">
        <w:r>
          <w:rPr>
            <w:color w:val="000000"/>
          </w:rPr>
          <w:t xml:space="preserve">V.1.5</w:t>
        </w:r>
      </w:hyperlink>
      <w:r>
        <w:rPr>
          <w:b w:val="0"/>
          <w:i w:val="0"/>
        </w:rPr>
        <w:t xml:space="preserve">, </w:t>
      </w:r>
      <w:hyperlink w:anchor="passage-v-7-1">
        <w:r>
          <w:rPr>
            <w:color w:val="000000"/>
          </w:rPr>
          <w:t xml:space="preserve">V.7.1</w:t>
        </w:r>
      </w:hyperlink>
      <w:r>
        <w:rPr>
          <w:b w:val="0"/>
          <w:i w:val="0"/>
        </w:rPr>
        <w:t xml:space="preserve">, </w:t>
      </w:r>
      <w:hyperlink w:anchor="passage-v-11-6">
        <w:r>
          <w:rPr>
            <w:color w:val="000000"/>
          </w:rPr>
          <w:t xml:space="preserve">V.11.6</w:t>
        </w:r>
      </w:hyperlink>
      <w:r>
        <w:rPr>
          <w:b w:val="0"/>
          <w:i w:val="0"/>
        </w:rPr>
        <w:t xml:space="preserve">. See </w:t>
      </w:r>
      <w:hyperlink w:anchor="seal-wax-and-restoration">
        <w:r>
          <w:rPr>
            <w:color w:val="000000"/>
          </w:rPr>
          <w:t xml:space="preserve">Seal, wax and restoration</w:t>
        </w:r>
      </w:hyperlink>
      <w:r>
        <w:rPr>
          <w:b w:val="0"/>
          <w:i w:val="0"/>
        </w:rPr>
        <w:t>.</w:t>
      </w:r>
    </w:p>
    <w:p>
      <w:pPr>
        <w:keepNext/>
        <w:widowControl/>
      </w:pPr>
      <w:bookmarkStart w:id="1529" w:name="latin-record-1288"/>
      <w:bookmarkEnd w:id="1529"/>
      <w:r>
        <w:rPr>
          <w:b/>
          <w:i w:val="0"/>
        </w:rPr>
        <w:t>terminus / gradus / proportio / figura</w:t>
      </w:r>
      <w:r>
        <w:rPr>
          <w:b/>
          <w:i w:val="0"/>
        </w:rPr>
        <w:t>.</w:t>
      </w:r>
      <w:r>
        <w:rPr>
          <w:b w:val="0"/>
          <w:i w:val="0"/>
        </w:rPr>
        <w:t xml:space="preserve"> Printed forms: </w:t>
      </w:r>
      <w:r>
        <w:rPr>
          <w:b w:val="0"/>
          <w:i/>
        </w:rPr>
        <w:t>figura</w:t>
      </w:r>
      <w:r>
        <w:rPr>
          <w:b w:val="0"/>
          <w:i w:val="0"/>
        </w:rPr>
        <w:t xml:space="preserve">; </w:t>
      </w:r>
      <w:r>
        <w:rPr>
          <w:b w:val="0"/>
          <w:i/>
        </w:rPr>
        <w:t>figuram</w:t>
      </w:r>
      <w:r>
        <w:rPr>
          <w:b w:val="0"/>
          <w:i w:val="0"/>
        </w:rPr>
        <w:t xml:space="preserve">; </w:t>
      </w:r>
      <w:r>
        <w:rPr>
          <w:b w:val="0"/>
          <w:i/>
        </w:rPr>
        <w:t>gradu</w:t>
      </w:r>
      <w:r>
        <w:rPr>
          <w:b w:val="0"/>
          <w:i w:val="0"/>
        </w:rPr>
        <w:t xml:space="preserve">; </w:t>
      </w:r>
      <w:r>
        <w:rPr>
          <w:b w:val="0"/>
          <w:i/>
        </w:rPr>
        <w:t>proportione</w:t>
      </w:r>
      <w:r>
        <w:rPr>
          <w:b w:val="0"/>
          <w:i w:val="0"/>
        </w:rPr>
        <w:t xml:space="preserve">; </w:t>
      </w:r>
      <w:r>
        <w:rPr>
          <w:b w:val="0"/>
          <w:i/>
        </w:rPr>
        <w:t>termino</w:t>
      </w:r>
      <w:r>
        <w:rPr>
          <w:b w:val="0"/>
          <w:i w:val="0"/>
        </w:rPr>
        <w:t xml:space="preserve">; </w:t>
      </w:r>
      <w:r>
        <w:rPr>
          <w:b w:val="0"/>
          <w:i/>
        </w:rPr>
        <w:t>terminum</w:t>
      </w:r>
      <w:r>
        <w:rPr>
          <w:b w:val="0"/>
          <w:i w:val="0"/>
        </w:rPr>
        <w:t>.</w:t>
      </w:r>
    </w:p>
    <w:p>
      <w:pPr>
        <w:widowControl/>
      </w:pPr>
      <w:r>
        <w:rPr>
          <w:b w:val="0"/>
          <w:i w:val="0"/>
        </w:rPr>
        <w:t xml:space="preserve">Limit, degree, proportion and shape as determinations imposed on natural activity. The soul orders otherwise wandering qualities toward the organized result; these terms do not all mean mere size. References: </w:t>
      </w:r>
      <w:hyperlink w:anchor="passage-vii-8-1">
        <w:r>
          <w:rPr>
            <w:color w:val="000000"/>
          </w:rPr>
          <w:t xml:space="preserve">VII.8.1</w:t>
        </w:r>
      </w:hyperlink>
      <w:r>
        <w:rPr>
          <w:b w:val="0"/>
          <w:i w:val="0"/>
        </w:rPr>
        <w:t xml:space="preserve">. See </w:t>
      </w:r>
      <w:hyperlink w:anchor="vii-nutrition-principal-agent">
        <w:r>
          <w:rPr>
            <w:color w:val="000000"/>
          </w:rPr>
          <w:t xml:space="preserve">Nutrition, growth and the principal agent</w:t>
        </w:r>
      </w:hyperlink>
      <w:r>
        <w:rPr>
          <w:b w:val="0"/>
          <w:i w:val="0"/>
        </w:rPr>
        <w:t>.</w:t>
      </w:r>
    </w:p>
    <w:p>
      <w:pPr>
        <w:keepNext/>
        <w:widowControl/>
      </w:pPr>
      <w:bookmarkStart w:id="1530" w:name="latin-record-1289"/>
      <w:bookmarkEnd w:id="1530"/>
      <w:r>
        <w:rPr>
          <w:b/>
          <w:i w:val="0"/>
        </w:rPr>
        <w:t>terminus / terminare</w:t>
      </w:r>
      <w:r>
        <w:rPr>
          <w:b/>
          <w:i w:val="0"/>
        </w:rPr>
        <w:t>.</w:t>
      </w:r>
      <w:r>
        <w:rPr>
          <w:b w:val="0"/>
          <w:i w:val="0"/>
        </w:rPr>
        <w:t xml:space="preserve"> Printed forms: </w:t>
      </w:r>
      <w:r>
        <w:rPr>
          <w:b w:val="0"/>
          <w:i/>
        </w:rPr>
        <w:t>terminabitur</w:t>
      </w:r>
      <w:r>
        <w:rPr>
          <w:b w:val="0"/>
          <w:i w:val="0"/>
        </w:rPr>
        <w:t xml:space="preserve">; </w:t>
      </w:r>
      <w:r>
        <w:rPr>
          <w:b w:val="0"/>
          <w:i/>
        </w:rPr>
        <w:t>terminat</w:t>
      </w:r>
      <w:r>
        <w:rPr>
          <w:b w:val="0"/>
          <w:i w:val="0"/>
        </w:rPr>
        <w:t xml:space="preserve">; </w:t>
      </w:r>
      <w:r>
        <w:rPr>
          <w:b w:val="0"/>
          <w:i/>
        </w:rPr>
        <w:t>terminatur</w:t>
      </w:r>
      <w:r>
        <w:rPr>
          <w:b w:val="0"/>
          <w:i w:val="0"/>
        </w:rPr>
        <w:t xml:space="preserve">; </w:t>
      </w:r>
      <w:r>
        <w:rPr>
          <w:b w:val="0"/>
          <w:i/>
        </w:rPr>
        <w:t>termino</w:t>
      </w:r>
      <w:r>
        <w:rPr>
          <w:b w:val="0"/>
          <w:i w:val="0"/>
        </w:rPr>
        <w:t xml:space="preserve">; </w:t>
      </w:r>
      <w:r>
        <w:rPr>
          <w:b w:val="0"/>
          <w:i/>
        </w:rPr>
        <w:t>terminum</w:t>
      </w:r>
      <w:r>
        <w:rPr>
          <w:b w:val="0"/>
          <w:i w:val="0"/>
        </w:rPr>
        <w:t xml:space="preserve">; </w:t>
      </w:r>
      <w:r>
        <w:rPr>
          <w:b w:val="0"/>
          <w:i/>
        </w:rPr>
        <w:t>terminus</w:t>
      </w:r>
      <w:r>
        <w:rPr>
          <w:b w:val="0"/>
          <w:i w:val="0"/>
        </w:rPr>
        <w:t>.</w:t>
      </w:r>
    </w:p>
    <w:p>
      <w:pPr>
        <w:widowControl/>
      </w:pPr>
      <w:r>
        <w:rPr>
          <w:b w:val="0"/>
          <w:i w:val="0"/>
        </w:rPr>
        <w:t xml:space="preserve">Boundary or endpoint; its sense ranges from spatial limit to the limit of a sequence or act. A point bounds magnitude, definition has limits, and inward intellectual motion lacks an externally acquired stopping point. References: </w:t>
      </w:r>
      <w:hyperlink w:anchor="passage-viii-4-1">
        <w:r>
          <w:rPr>
            <w:color w:val="000000"/>
          </w:rPr>
          <w:t xml:space="preserve">VIII.4.1</w:t>
        </w:r>
      </w:hyperlink>
      <w:r>
        <w:rPr>
          <w:b w:val="0"/>
          <w:i w:val="0"/>
        </w:rPr>
        <w:t xml:space="preserve">, </w:t>
      </w:r>
      <w:hyperlink w:anchor="passage-viii-4-2">
        <w:r>
          <w:rPr>
            <w:color w:val="000000"/>
          </w:rPr>
          <w:t xml:space="preserve">VIII.4.2</w:t>
        </w:r>
      </w:hyperlink>
      <w:r>
        <w:rPr>
          <w:b w:val="0"/>
          <w:i w:val="0"/>
        </w:rPr>
        <w:t xml:space="preserve">, </w:t>
      </w:r>
      <w:hyperlink w:anchor="passage-viii-4-4">
        <w:r>
          <w:rPr>
            <w:color w:val="000000"/>
          </w:rPr>
          <w:t xml:space="preserve">VIII.4.4</w:t>
        </w:r>
      </w:hyperlink>
      <w:r>
        <w:rPr>
          <w:b w:val="0"/>
          <w:i w:val="0"/>
        </w:rPr>
        <w:t xml:space="preserve">, </w:t>
      </w:r>
      <w:hyperlink w:anchor="passage-viii-14-1">
        <w:r>
          <w:rPr>
            <w:color w:val="000000"/>
          </w:rPr>
          <w:t xml:space="preserve">VIII.14.1</w:t>
        </w:r>
      </w:hyperlink>
      <w:r>
        <w:rPr>
          <w:b w:val="0"/>
          <w:i w:val="0"/>
        </w:rPr>
        <w:t xml:space="preserve">, </w:t>
      </w:r>
      <w:hyperlink w:anchor="passage-viii-15-1">
        <w:r>
          <w:rPr>
            <w:color w:val="000000"/>
          </w:rPr>
          <w:t xml:space="preserve">VIII.15.1</w:t>
        </w:r>
      </w:hyperlink>
      <w:r>
        <w:rPr>
          <w:b w:val="0"/>
          <w:i w:val="0"/>
        </w:rPr>
        <w:t xml:space="preserve">, </w:t>
      </w:r>
      <w:hyperlink w:anchor="passage-viii-15-3">
        <w:r>
          <w:rPr>
            <w:color w:val="000000"/>
          </w:rPr>
          <w:t xml:space="preserve">VIII.15.3</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infinite-operations">
        <w:r>
          <w:rPr>
            <w:color w:val="000000"/>
          </w:rPr>
          <w:t xml:space="preserve">Infinite operations and the limits of sensory kinds</w:t>
        </w:r>
      </w:hyperlink>
      <w:r>
        <w:rPr>
          <w:b w:val="0"/>
          <w:i w:val="0"/>
        </w:rPr>
        <w:t>.</w:t>
      </w:r>
    </w:p>
    <w:p>
      <w:pPr>
        <w:keepNext/>
        <w:widowControl/>
      </w:pPr>
      <w:bookmarkStart w:id="1531" w:name="latin-record-1290"/>
      <w:bookmarkEnd w:id="1531"/>
      <w:r>
        <w:rPr>
          <w:b/>
          <w:i w:val="0"/>
        </w:rPr>
        <w:t>terminus praescriptus</w:t>
      </w:r>
      <w:r>
        <w:rPr>
          <w:b/>
          <w:i w:val="0"/>
        </w:rPr>
        <w:t>.</w:t>
      </w:r>
      <w:r>
        <w:rPr>
          <w:b w:val="0"/>
          <w:i w:val="0"/>
        </w:rPr>
        <w:t xml:space="preserve"> Printed forms: </w:t>
      </w:r>
      <w:r>
        <w:rPr>
          <w:b w:val="0"/>
          <w:i/>
        </w:rPr>
        <w:t>praescriptum magnitudinis terminum</w:t>
      </w:r>
      <w:r>
        <w:rPr>
          <w:b w:val="0"/>
          <w:i w:val="0"/>
        </w:rPr>
        <w:t>.</w:t>
      </w:r>
    </w:p>
    <w:p>
      <w:pPr>
        <w:widowControl/>
      </w:pPr>
      <w:r>
        <w:rPr>
          <w:b w:val="0"/>
          <w:i w:val="0"/>
        </w:rPr>
        <w:t xml:space="preserve">An assigned boundary of size. The argument denies a prescribed bodily magnitude for the soul’s range or substance; it does not assign the soul endless spatial extension. References: </w:t>
      </w:r>
      <w:hyperlink w:anchor="passage-vii-1-2">
        <w:r>
          <w:rPr>
            <w:color w:val="000000"/>
          </w:rPr>
          <w:t xml:space="preserve">VII.1.2</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532" w:name="latin-record-1291"/>
      <w:bookmarkEnd w:id="1532"/>
      <w:r>
        <w:rPr>
          <w:b/>
          <w:i w:val="0"/>
        </w:rPr>
        <w:t>terminus; rector</w:t>
      </w:r>
      <w:r>
        <w:rPr>
          <w:b/>
          <w:i w:val="0"/>
        </w:rPr>
        <w:t>.</w:t>
      </w:r>
      <w:r>
        <w:rPr>
          <w:b w:val="0"/>
          <w:i w:val="0"/>
        </w:rPr>
        <w:t xml:space="preserve"> Printed forms: </w:t>
      </w:r>
      <w:r>
        <w:rPr>
          <w:b w:val="0"/>
          <w:i/>
        </w:rPr>
        <w:t>ordinat sistitque mobilia</w:t>
      </w:r>
      <w:r>
        <w:rPr>
          <w:b w:val="0"/>
          <w:i w:val="0"/>
        </w:rPr>
        <w:t xml:space="preserve">; </w:t>
      </w:r>
      <w:r>
        <w:rPr>
          <w:b w:val="0"/>
          <w:i/>
        </w:rPr>
        <w:t>rectorem</w:t>
      </w:r>
      <w:r>
        <w:rPr>
          <w:b w:val="0"/>
          <w:i w:val="0"/>
        </w:rPr>
        <w:t xml:space="preserve">; </w:t>
      </w:r>
      <w:r>
        <w:rPr>
          <w:b w:val="0"/>
          <w:i/>
        </w:rPr>
        <w:t>terminum</w:t>
      </w:r>
      <w:r>
        <w:rPr>
          <w:b w:val="0"/>
          <w:i w:val="0"/>
        </w:rPr>
        <w:t>.</w:t>
      </w:r>
    </w:p>
    <w:p>
      <w:pPr>
        <w:widowControl/>
      </w:pPr>
      <w:r>
        <w:rPr>
          <w:b w:val="0"/>
          <w:i w:val="0"/>
        </w:rPr>
        <w:t xml:space="preserve">Limit and ruler that orders and arrests moving things. The source must determine not only motion but how far nourishment and growth should proceed. References: </w:t>
      </w:r>
      <w:hyperlink w:anchor="passage-vi-13-8">
        <w:r>
          <w:rPr>
            <w:color w:val="000000"/>
          </w:rPr>
          <w:t xml:space="preserve">VI.13.8</w:t>
        </w:r>
      </w:hyperlink>
      <w:r>
        <w:rPr>
          <w:b w:val="0"/>
          <w:i w:val="0"/>
        </w:rPr>
        <w:t xml:space="preserve">. See </w:t>
      </w:r>
      <w:hyperlink w:anchor="temperament-flux-and-stable-ruler">
        <w:r>
          <w:rPr>
            <w:color w:val="000000"/>
          </w:rPr>
          <w:t xml:space="preserve">Temperament, flux and the stable ruler</w:t>
        </w:r>
      </w:hyperlink>
      <w:r>
        <w:rPr>
          <w:b w:val="0"/>
          <w:i w:val="0"/>
        </w:rPr>
        <w:t>.</w:t>
      </w:r>
    </w:p>
    <w:p>
      <w:pPr>
        <w:keepNext/>
        <w:widowControl/>
      </w:pPr>
      <w:bookmarkStart w:id="1533" w:name="latin-record-1292"/>
      <w:bookmarkEnd w:id="1533"/>
      <w:r>
        <w:rPr>
          <w:b/>
          <w:i w:val="0"/>
        </w:rPr>
        <w:t>terminus; situs</w:t>
      </w:r>
      <w:r>
        <w:rPr>
          <w:b/>
          <w:i w:val="0"/>
        </w:rPr>
        <w:t>.</w:t>
      </w:r>
      <w:r>
        <w:rPr>
          <w:b w:val="0"/>
          <w:i w:val="0"/>
        </w:rPr>
        <w:t xml:space="preserve"> Printed forms: </w:t>
      </w:r>
      <w:r>
        <w:rPr>
          <w:b w:val="0"/>
          <w:i/>
        </w:rPr>
        <w:t>certum habet situm</w:t>
      </w:r>
      <w:r>
        <w:rPr>
          <w:b w:val="0"/>
          <w:i w:val="0"/>
        </w:rPr>
        <w:t xml:space="preserve">; </w:t>
      </w:r>
      <w:r>
        <w:rPr>
          <w:b w:val="0"/>
          <w:i/>
        </w:rPr>
        <w:t>lineae terminus</w:t>
      </w:r>
      <w:r>
        <w:rPr>
          <w:b w:val="0"/>
          <w:i w:val="0"/>
        </w:rPr>
        <w:t>.</w:t>
      </w:r>
    </w:p>
    <w:p>
      <w:pPr>
        <w:widowControl/>
      </w:pPr>
      <w:r>
        <w:rPr>
          <w:b w:val="0"/>
          <w:i w:val="0"/>
        </w:rPr>
        <w:t xml:space="preserve">A line’s limit and a determinate position. The point is still tied to bodily location even though it lacks dimensions, so geometrical indivisibility is insufficient. References: </w:t>
      </w:r>
      <w:hyperlink w:anchor="passage-vi-2-19">
        <w:r>
          <w:rPr>
            <w:color w:val="000000"/>
          </w:rPr>
          <w:t xml:space="preserve">VI.2.19</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1534" w:name="latin-record-1293"/>
      <w:bookmarkEnd w:id="1534"/>
      <w:r>
        <w:rPr>
          <w:b/>
          <w:i w:val="0"/>
        </w:rPr>
        <w:t>tertia essentia</w:t>
      </w:r>
      <w:r>
        <w:rPr>
          <w:b/>
          <w:i w:val="0"/>
        </w:rPr>
        <w:t>.</w:t>
      </w:r>
      <w:r>
        <w:rPr>
          <w:b w:val="0"/>
          <w:i w:val="0"/>
        </w:rPr>
        <w:t xml:space="preserve"> Printed forms: </w:t>
      </w:r>
      <w:r>
        <w:rPr>
          <w:b w:val="0"/>
          <w:i/>
        </w:rPr>
        <w:t>tertiae essentiae</w:t>
      </w:r>
      <w:r>
        <w:rPr>
          <w:b w:val="0"/>
          <w:i w:val="0"/>
        </w:rPr>
        <w:t xml:space="preserve">; </w:t>
      </w:r>
      <w:r>
        <w:rPr>
          <w:b w:val="0"/>
          <w:i/>
        </w:rPr>
        <w:t>tertiam illam essentiam</w:t>
      </w:r>
      <w:r>
        <w:rPr>
          <w:b w:val="0"/>
          <w:i w:val="0"/>
        </w:rPr>
        <w:t>.</w:t>
      </w:r>
    </w:p>
    <w:p>
      <w:pPr>
        <w:widowControl/>
      </w:pPr>
      <w:r>
        <w:rPr>
          <w:b w:val="0"/>
          <w:i w:val="0"/>
        </w:rPr>
        <w:t xml:space="preserve">The third grade of the fivefold hierarchy, understood as free from matter and everlasting. The task is to demonstrate that our human soul belongs here, rather than assume it from the immortality of rational souls generally. References: </w:t>
      </w:r>
      <w:hyperlink w:anchor="passage-vi-1-1">
        <w:r>
          <w:rPr>
            <w:color w:val="000000"/>
          </w:rPr>
          <w:t xml:space="preserve">VI.1.1</w:t>
        </w:r>
      </w:hyperlink>
      <w:r>
        <w:rPr>
          <w:b w:val="0"/>
          <w:i w:val="0"/>
        </w:rPr>
        <w:t xml:space="preserve">, </w:t>
      </w:r>
      <w:hyperlink w:anchor="passage-vi-1-6">
        <w:r>
          <w:rPr>
            <w:color w:val="000000"/>
          </w:rPr>
          <w:t xml:space="preserve">VI.1.6</w:t>
        </w:r>
      </w:hyperlink>
      <w:r>
        <w:rPr>
          <w:b w:val="0"/>
          <w:i w:val="0"/>
        </w:rPr>
        <w:t xml:space="preserve">. See </w:t>
      </w:r>
      <w:hyperlink w:anchor="divine-production-and-third-essence">
        <w:r>
          <w:rPr>
            <w:color w:val="000000"/>
          </w:rPr>
          <w:t xml:space="preserve">Divine production and the third essence</w:t>
        </w:r>
      </w:hyperlink>
      <w:r>
        <w:rPr>
          <w:b w:val="0"/>
          <w:i w:val="0"/>
        </w:rPr>
        <w:t>.</w:t>
      </w:r>
    </w:p>
    <w:p>
      <w:pPr>
        <w:keepNext/>
        <w:widowControl/>
      </w:pPr>
      <w:bookmarkStart w:id="1535" w:name="latin-record-1294"/>
      <w:bookmarkEnd w:id="1535"/>
      <w:r>
        <w:rPr>
          <w:b/>
          <w:i w:val="0"/>
        </w:rPr>
        <w:t>tertius</w:t>
      </w:r>
      <w:r>
        <w:rPr>
          <w:b/>
          <w:i w:val="0"/>
        </w:rPr>
        <w:t>.</w:t>
      </w:r>
      <w:r>
        <w:rPr>
          <w:b w:val="0"/>
          <w:i w:val="0"/>
        </w:rPr>
        <w:t xml:space="preserve"> Printed forms: </w:t>
      </w:r>
      <w:r>
        <w:rPr>
          <w:b w:val="0"/>
          <w:i/>
        </w:rPr>
        <w:t>tertia</w:t>
      </w:r>
      <w:r>
        <w:rPr>
          <w:b w:val="0"/>
          <w:i w:val="0"/>
        </w:rPr>
        <w:t xml:space="preserve">; </w:t>
      </w:r>
      <w:r>
        <w:rPr>
          <w:b w:val="0"/>
          <w:i/>
        </w:rPr>
        <w:t>tertiae</w:t>
      </w:r>
      <w:r>
        <w:rPr>
          <w:b w:val="0"/>
          <w:i w:val="0"/>
        </w:rPr>
        <w:t>.</w:t>
      </w:r>
    </w:p>
    <w:p>
      <w:pPr>
        <w:widowControl/>
      </w:pPr>
      <w:r>
        <w:rPr>
          <w:b w:val="0"/>
          <w:i w:val="0"/>
        </w:rPr>
        <w:t xml:space="preserve">Third, identifying soul’s intermediate essence in the established five-level hierarchy. The numeral is a rank, not a count of parts within a soul or an assertion that there are only three kinds of being. References: </w:t>
      </w:r>
      <w:hyperlink w:anchor="passage-v-1-2">
        <w:r>
          <w:rPr>
            <w:color w:val="000000"/>
          </w:rPr>
          <w:t xml:space="preserve">V.1.2</w:t>
        </w:r>
      </w:hyperlink>
      <w:r>
        <w:rPr>
          <w:b w:val="0"/>
          <w:i w:val="0"/>
        </w:rPr>
        <w:t xml:space="preserve">, </w:t>
      </w:r>
      <w:hyperlink w:anchor="passage-v-3-1">
        <w:r>
          <w:rPr>
            <w:color w:val="000000"/>
          </w:rPr>
          <w:t xml:space="preserve">V.3.1</w:t>
        </w:r>
      </w:hyperlink>
      <w:r>
        <w:rPr>
          <w:b w:val="0"/>
          <w:i w:val="0"/>
        </w:rPr>
        <w:t xml:space="preserve">, </w:t>
      </w:r>
      <w:hyperlink w:anchor="passage-v-5-4">
        <w:r>
          <w:rPr>
            <w:color w:val="000000"/>
          </w:rPr>
          <w:t xml:space="preserve">V.5.4</w:t>
        </w:r>
      </w:hyperlink>
      <w:r>
        <w:rPr>
          <w:b w:val="0"/>
          <w:i w:val="0"/>
        </w:rPr>
        <w:t xml:space="preserve">, </w:t>
      </w:r>
      <w:hyperlink w:anchor="passage-v-10-3">
        <w:r>
          <w:rPr>
            <w:color w:val="000000"/>
          </w:rPr>
          <w:t xml:space="preserve">V.10.3</w:t>
        </w:r>
      </w:hyperlink>
      <w:r>
        <w:rPr>
          <w:b w:val="0"/>
          <w:i w:val="0"/>
        </w:rPr>
        <w:t xml:space="preserve">. See </w:t>
      </w:r>
      <w:hyperlink w:anchor="rational-soul-and-irrational-life">
        <w:r>
          <w:rPr>
            <w:color w:val="000000"/>
          </w:rPr>
          <w:t xml:space="preserve">Rational soul and irrational life</w:t>
        </w:r>
      </w:hyperlink>
      <w:r>
        <w:rPr>
          <w:b w:val="0"/>
          <w:i w:val="0"/>
        </w:rPr>
        <w:t>.</w:t>
      </w:r>
    </w:p>
    <w:p>
      <w:pPr>
        <w:keepNext/>
        <w:widowControl/>
      </w:pPr>
      <w:bookmarkStart w:id="1536" w:name="latin-record-1295"/>
      <w:bookmarkEnd w:id="1536"/>
      <w:r>
        <w:rPr>
          <w:b/>
          <w:i w:val="0"/>
        </w:rPr>
        <w:t>tota adesse</w:t>
      </w:r>
      <w:r>
        <w:rPr>
          <w:b/>
          <w:i w:val="0"/>
        </w:rPr>
        <w:t>.</w:t>
      </w:r>
      <w:r>
        <w:rPr>
          <w:b w:val="0"/>
          <w:i w:val="0"/>
        </w:rPr>
        <w:t xml:space="preserve"> Printed forms: </w:t>
      </w:r>
      <w:r>
        <w:rPr>
          <w:b w:val="0"/>
          <w:i/>
        </w:rPr>
        <w:t>adest tota</w:t>
      </w:r>
      <w:r>
        <w:rPr>
          <w:b w:val="0"/>
          <w:i w:val="0"/>
        </w:rPr>
        <w:t xml:space="preserve">; </w:t>
      </w:r>
      <w:r>
        <w:rPr>
          <w:b w:val="0"/>
          <w:i/>
        </w:rPr>
        <w:t>Tota</w:t>
      </w:r>
      <w:r>
        <w:rPr>
          <w:b w:val="0"/>
          <w:i w:val="0"/>
        </w:rPr>
        <w:t xml:space="preserve">; </w:t>
      </w:r>
      <w:r>
        <w:rPr>
          <w:b w:val="0"/>
          <w:i/>
        </w:rPr>
        <w:t>tota</w:t>
      </w:r>
      <w:r>
        <w:rPr>
          <w:b w:val="0"/>
          <w:i w:val="0"/>
        </w:rPr>
        <w:t xml:space="preserve">; </w:t>
      </w:r>
      <w:r>
        <w:rPr>
          <w:b w:val="0"/>
          <w:i/>
        </w:rPr>
        <w:t>Tota igitur</w:t>
      </w:r>
      <w:r>
        <w:rPr>
          <w:b w:val="0"/>
          <w:i w:val="0"/>
        </w:rPr>
        <w:t xml:space="preserve">; </w:t>
      </w:r>
      <w:r>
        <w:rPr>
          <w:b w:val="0"/>
          <w:i/>
        </w:rPr>
        <w:t>tota sentit</w:t>
      </w:r>
      <w:r>
        <w:rPr>
          <w:b w:val="0"/>
          <w:i w:val="0"/>
        </w:rPr>
        <w:t xml:space="preserve">; </w:t>
      </w:r>
      <w:r>
        <w:rPr>
          <w:b w:val="0"/>
          <w:i/>
        </w:rPr>
        <w:t>totam</w:t>
      </w:r>
      <w:r>
        <w:rPr>
          <w:b w:val="0"/>
          <w:i w:val="0"/>
        </w:rPr>
        <w:t>.</w:t>
      </w:r>
    </w:p>
    <w:p>
      <w:pPr>
        <w:widowControl/>
      </w:pPr>
      <w:r>
        <w:rPr>
          <w:b w:val="0"/>
          <w:i w:val="0"/>
        </w:rPr>
        <w:t xml:space="preserve">Whole presence and whole awareness. The repeated tota denies that only one fraction of the soul senses the injury occurring in one bodily part. References: </w:t>
      </w:r>
      <w:hyperlink w:anchor="passage-vii-5-1">
        <w:r>
          <w:rPr>
            <w:color w:val="000000"/>
          </w:rPr>
          <w:t xml:space="preserve">VII.5.1</w:t>
        </w:r>
      </w:hyperlink>
      <w:r>
        <w:rPr>
          <w:b w:val="0"/>
          <w:i w:val="0"/>
        </w:rPr>
        <w:t xml:space="preserve">. See </w:t>
      </w:r>
      <w:hyperlink w:anchor="vii-whole-soul-vital-intensity">
        <w:r>
          <w:rPr>
            <w:color w:val="000000"/>
          </w:rPr>
          <w:t xml:space="preserve">Whole presence and vital intensity</w:t>
        </w:r>
      </w:hyperlink>
      <w:r>
        <w:rPr>
          <w:b w:val="0"/>
          <w:i w:val="0"/>
        </w:rPr>
        <w:t>.</w:t>
      </w:r>
    </w:p>
    <w:p>
      <w:pPr>
        <w:keepNext/>
        <w:widowControl/>
      </w:pPr>
      <w:bookmarkStart w:id="1537" w:name="latin-record-1296"/>
      <w:bookmarkEnd w:id="1537"/>
      <w:r>
        <w:rPr>
          <w:b/>
          <w:i w:val="0"/>
        </w:rPr>
        <w:t>totius integritas</w:t>
      </w:r>
      <w:r>
        <w:rPr>
          <w:b/>
          <w:i w:val="0"/>
        </w:rPr>
        <w:t>.</w:t>
      </w:r>
      <w:r>
        <w:rPr>
          <w:b w:val="0"/>
          <w:i w:val="0"/>
        </w:rPr>
        <w:t xml:space="preserve"> Printed forms: </w:t>
      </w:r>
      <w:r>
        <w:rPr>
          <w:b w:val="0"/>
          <w:i/>
        </w:rPr>
        <w:t>totius integritas</w:t>
      </w:r>
      <w:r>
        <w:rPr>
          <w:b w:val="0"/>
          <w:i w:val="0"/>
        </w:rPr>
        <w:t>.</w:t>
      </w:r>
    </w:p>
    <w:p>
      <w:pPr>
        <w:widowControl/>
      </w:pPr>
      <w:r>
        <w:rPr>
          <w:b w:val="0"/>
          <w:i w:val="0"/>
        </w:rPr>
        <w:t xml:space="preserve">The completeness or integrated nature arising from a whole. The opponent proposes an emergent nature beyond material constituents as a source of self-motion. References: </w:t>
      </w:r>
      <w:hyperlink w:anchor="passage-vi-12-9">
        <w:r>
          <w:rPr>
            <w:color w:val="000000"/>
          </w:rPr>
          <w:t xml:space="preserve">VI.12.9</w:t>
        </w:r>
      </w:hyperlink>
      <w:r>
        <w:rPr>
          <w:b w:val="0"/>
          <w:i w:val="0"/>
        </w:rPr>
        <w:t xml:space="preserve">. See </w:t>
      </w:r>
      <w:hyperlink w:anchor="integrity-of-the-whole">
        <w:r>
          <w:rPr>
            <w:color w:val="000000"/>
          </w:rPr>
          <w:t xml:space="preserve">Integrity of the whole</w:t>
        </w:r>
      </w:hyperlink>
      <w:r>
        <w:rPr>
          <w:b w:val="0"/>
          <w:i w:val="0"/>
        </w:rPr>
        <w:t>.</w:t>
      </w:r>
    </w:p>
    <w:p>
      <w:pPr>
        <w:keepNext/>
        <w:widowControl/>
      </w:pPr>
      <w:bookmarkStart w:id="1538" w:name="latin-record-1297"/>
      <w:bookmarkEnd w:id="1538"/>
      <w:r>
        <w:rPr>
          <w:b/>
          <w:i w:val="0"/>
        </w:rPr>
        <w:t>totus</w:t>
      </w:r>
      <w:r>
        <w:rPr>
          <w:b/>
          <w:i w:val="0"/>
        </w:rPr>
        <w:t>.</w:t>
      </w:r>
      <w:r>
        <w:rPr>
          <w:b w:val="0"/>
          <w:i w:val="0"/>
        </w:rPr>
        <w:t xml:space="preserve"> Printed forms: </w:t>
      </w:r>
      <w:r>
        <w:rPr>
          <w:b w:val="0"/>
          <w:i/>
        </w:rPr>
        <w:t>tota</w:t>
      </w:r>
      <w:r>
        <w:rPr>
          <w:b w:val="0"/>
          <w:i w:val="0"/>
        </w:rPr>
        <w:t xml:space="preserve">; </w:t>
      </w:r>
      <w:r>
        <w:rPr>
          <w:b w:val="0"/>
          <w:i/>
        </w:rPr>
        <w:t>totam</w:t>
      </w:r>
      <w:r>
        <w:rPr>
          <w:b w:val="0"/>
          <w:i w:val="0"/>
        </w:rPr>
        <w:t xml:space="preserve">; </w:t>
      </w:r>
      <w:r>
        <w:rPr>
          <w:b w:val="0"/>
          <w:i/>
        </w:rPr>
        <w:t>toti</w:t>
      </w:r>
      <w:r>
        <w:rPr>
          <w:b w:val="0"/>
          <w:i w:val="0"/>
        </w:rPr>
        <w:t xml:space="preserve">; </w:t>
      </w:r>
      <w:r>
        <w:rPr>
          <w:b w:val="0"/>
          <w:i/>
        </w:rPr>
        <w:t>totius</w:t>
      </w:r>
      <w:r>
        <w:rPr>
          <w:b w:val="0"/>
          <w:i w:val="0"/>
        </w:rPr>
        <w:t xml:space="preserve">; </w:t>
      </w:r>
      <w:r>
        <w:rPr>
          <w:b w:val="0"/>
          <w:i/>
        </w:rPr>
        <w:t>toto</w:t>
      </w:r>
      <w:r>
        <w:rPr>
          <w:b w:val="0"/>
          <w:i w:val="0"/>
        </w:rPr>
        <w:t xml:space="preserve">; </w:t>
      </w:r>
      <w:r>
        <w:rPr>
          <w:b w:val="0"/>
          <w:i/>
        </w:rPr>
        <w:t>totum</w:t>
      </w:r>
      <w:r>
        <w:rPr>
          <w:b w:val="0"/>
          <w:i w:val="0"/>
        </w:rPr>
        <w:t>.</w:t>
      </w:r>
    </w:p>
    <w:p>
      <w:pPr>
        <w:widowControl/>
      </w:pPr>
      <w:r>
        <w:rPr>
          <w:b w:val="0"/>
          <w:i w:val="0"/>
        </w:rPr>
        <w:t xml:space="preserve">Whole or entire, whose mode depends on the thing described. Soul whole in each member is not a body’s distributed entirety; the self-motion proofs require activity throughout the primary principle rather than only in one part. References: </w:t>
      </w:r>
      <w:hyperlink w:anchor="passage-vi-1-6">
        <w:r>
          <w:rPr>
            <w:color w:val="000000"/>
          </w:rPr>
          <w:t xml:space="preserve">VI.1.6</w:t>
        </w:r>
      </w:hyperlink>
      <w:r>
        <w:rPr>
          <w:b w:val="0"/>
          <w:i w:val="0"/>
        </w:rPr>
        <w:t xml:space="preserve">, </w:t>
      </w:r>
      <w:hyperlink w:anchor="passage-vi-3-1">
        <w:r>
          <w:rPr>
            <w:color w:val="000000"/>
          </w:rPr>
          <w:t xml:space="preserve">VI.3.1</w:t>
        </w:r>
      </w:hyperlink>
      <w:r>
        <w:rPr>
          <w:b w:val="0"/>
          <w:i w:val="0"/>
        </w:rPr>
        <w:t xml:space="preserve">, </w:t>
      </w:r>
      <w:hyperlink w:anchor="passage-vi-6-4">
        <w:r>
          <w:rPr>
            <w:color w:val="000000"/>
          </w:rPr>
          <w:t xml:space="preserve">VI.6.4</w:t>
        </w:r>
      </w:hyperlink>
      <w:r>
        <w:rPr>
          <w:b w:val="0"/>
          <w:i w:val="0"/>
        </w:rPr>
        <w:t xml:space="preserve">, </w:t>
      </w:r>
      <w:hyperlink w:anchor="passage-vi-8-4">
        <w:r>
          <w:rPr>
            <w:color w:val="000000"/>
          </w:rPr>
          <w:t xml:space="preserve">VI.8.4</w:t>
        </w:r>
      </w:hyperlink>
      <w:r>
        <w:rPr>
          <w:b w:val="0"/>
          <w:i w:val="0"/>
        </w:rPr>
        <w:t xml:space="preserve">, </w:t>
      </w:r>
      <w:hyperlink w:anchor="passage-vi-9-2">
        <w:r>
          <w:rPr>
            <w:color w:val="000000"/>
          </w:rPr>
          <w:t xml:space="preserve">VI.9.2</w:t>
        </w:r>
      </w:hyperlink>
      <w:r>
        <w:rPr>
          <w:b w:val="0"/>
          <w:i w:val="0"/>
        </w:rPr>
        <w:t xml:space="preserve">, </w:t>
      </w:r>
      <w:hyperlink w:anchor="passage-vi-12-1">
        <w:r>
          <w:rPr>
            <w:color w:val="000000"/>
          </w:rPr>
          <w:t xml:space="preserve">VI.12.1</w:t>
        </w:r>
      </w:hyperlink>
      <w:r>
        <w:rPr>
          <w:b w:val="0"/>
          <w:i w:val="0"/>
        </w:rPr>
        <w:t xml:space="preserve">. See </w:t>
      </w:r>
      <w:hyperlink w:anchor="essential-presence-and-containment">
        <w:r>
          <w:rPr>
            <w:color w:val="000000"/>
          </w:rPr>
          <w:t xml:space="preserve">Essential presence and containment</w:t>
        </w:r>
      </w:hyperlink>
      <w:r>
        <w:rPr>
          <w:b w:val="0"/>
          <w:i w:val="0"/>
        </w:rPr>
        <w:t>.</w:t>
      </w:r>
    </w:p>
    <w:p>
      <w:pPr>
        <w:keepNext/>
        <w:widowControl/>
      </w:pPr>
      <w:bookmarkStart w:id="1539" w:name="latin-record-1298"/>
      <w:bookmarkEnd w:id="1539"/>
      <w:r>
        <w:rPr>
          <w:b/>
          <w:i w:val="0"/>
        </w:rPr>
        <w:t>tradere</w:t>
      </w:r>
      <w:r>
        <w:rPr>
          <w:b/>
          <w:i w:val="0"/>
        </w:rPr>
        <w:t>.</w:t>
      </w:r>
      <w:r>
        <w:rPr>
          <w:b w:val="0"/>
          <w:i w:val="0"/>
        </w:rPr>
        <w:t xml:space="preserve"> Printed forms: </w:t>
      </w:r>
      <w:r>
        <w:rPr>
          <w:b w:val="0"/>
          <w:i/>
        </w:rPr>
        <w:t>tradendo</w:t>
      </w:r>
      <w:r>
        <w:rPr>
          <w:b w:val="0"/>
          <w:i w:val="0"/>
        </w:rPr>
        <w:t xml:space="preserve">; </w:t>
      </w:r>
      <w:r>
        <w:rPr>
          <w:b w:val="0"/>
          <w:i/>
        </w:rPr>
        <w:t>tradit</w:t>
      </w:r>
      <w:r>
        <w:rPr>
          <w:b w:val="0"/>
          <w:i w:val="0"/>
        </w:rPr>
        <w:t xml:space="preserve">; </w:t>
      </w:r>
      <w:r>
        <w:rPr>
          <w:b w:val="0"/>
          <w:i/>
        </w:rPr>
        <w:t>traditione</w:t>
      </w:r>
      <w:r>
        <w:rPr>
          <w:b w:val="0"/>
          <w:i w:val="0"/>
        </w:rPr>
        <w:t xml:space="preserve">; </w:t>
      </w:r>
      <w:r>
        <w:rPr>
          <w:b w:val="0"/>
          <w:i/>
        </w:rPr>
        <w:t>traditur</w:t>
      </w:r>
      <w:r>
        <w:rPr>
          <w:b w:val="0"/>
          <w:i w:val="0"/>
        </w:rPr>
        <w:t xml:space="preserve">; </w:t>
      </w:r>
      <w:r>
        <w:rPr>
          <w:b w:val="0"/>
          <w:i/>
        </w:rPr>
        <w:t>Tradunt</w:t>
      </w:r>
      <w:r>
        <w:rPr>
          <w:b w:val="0"/>
          <w:i w:val="0"/>
        </w:rPr>
        <w:t xml:space="preserve">; </w:t>
      </w:r>
      <w:r>
        <w:rPr>
          <w:b w:val="0"/>
          <w:i/>
        </w:rPr>
        <w:t>tradunt</w:t>
      </w:r>
      <w:r>
        <w:rPr>
          <w:b w:val="0"/>
          <w:i w:val="0"/>
        </w:rPr>
        <w:t>.</w:t>
      </w:r>
    </w:p>
    <w:p>
      <w:pPr>
        <w:widowControl/>
      </w:pPr>
      <w:r>
        <w:rPr>
          <w:b w:val="0"/>
          <w:i w:val="0"/>
        </w:rPr>
        <w:t xml:space="preserve">To transmit or hand on a form. The higher nature gives what it receives without losing it; the soul’s continued identity is required for the body’s reception. References: </w:t>
      </w:r>
      <w:hyperlink w:anchor="passage-v-15-26">
        <w:r>
          <w:rPr>
            <w:color w:val="000000"/>
          </w:rPr>
          <w:t xml:space="preserve">V.15.26</w:t>
        </w:r>
      </w:hyperlink>
      <w:r>
        <w:rPr>
          <w:b w:val="0"/>
          <w:i w:val="0"/>
        </w:rPr>
        <w:t xml:space="preserve">,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540" w:name="latin-record-1299"/>
      <w:bookmarkEnd w:id="1540"/>
      <w:r>
        <w:rPr>
          <w:b/>
          <w:i w:val="0"/>
        </w:rPr>
        <w:t>traducere</w:t>
      </w:r>
      <w:r>
        <w:rPr>
          <w:b/>
          <w:i w:val="0"/>
        </w:rPr>
        <w:t>.</w:t>
      </w:r>
      <w:r>
        <w:rPr>
          <w:b w:val="0"/>
          <w:i w:val="0"/>
        </w:rPr>
        <w:t xml:space="preserve"> Printed forms: </w:t>
      </w:r>
      <w:r>
        <w:rPr>
          <w:b w:val="0"/>
          <w:i/>
        </w:rPr>
        <w:t>traducat</w:t>
      </w:r>
      <w:r>
        <w:rPr>
          <w:b w:val="0"/>
          <w:i w:val="0"/>
        </w:rPr>
        <w:t>.</w:t>
      </w:r>
    </w:p>
    <w:p>
      <w:pPr>
        <w:widowControl/>
      </w:pPr>
      <w:r>
        <w:rPr>
          <w:b w:val="0"/>
          <w:i w:val="0"/>
        </w:rPr>
        <w:t xml:space="preserve">To convey or carry across into another subject. An instrument transfers the principal agent’s form over time, a structure Ficino denies to creation from nothing. References: </w:t>
      </w:r>
      <w:hyperlink w:anchor="passage-v-13-14">
        <w:r>
          <w:rPr>
            <w:color w:val="000000"/>
          </w:rPr>
          <w:t xml:space="preserve">V.13.14</w:t>
        </w:r>
      </w:hyperlink>
      <w:r>
        <w:rPr>
          <w:b w:val="0"/>
          <w:i w:val="0"/>
        </w:rPr>
        <w:t xml:space="preserve">. See </w:t>
      </w:r>
      <w:hyperlink w:anchor="instrument-and-creative-mediation">
        <w:r>
          <w:rPr>
            <w:color w:val="000000"/>
          </w:rPr>
          <w:t xml:space="preserve">Instrument and creative mediation</w:t>
        </w:r>
      </w:hyperlink>
      <w:r>
        <w:rPr>
          <w:b w:val="0"/>
          <w:i w:val="0"/>
        </w:rPr>
        <w:t>.</w:t>
      </w:r>
    </w:p>
    <w:p>
      <w:pPr>
        <w:keepNext/>
        <w:widowControl/>
      </w:pPr>
      <w:bookmarkStart w:id="1541" w:name="latin-record-1300"/>
      <w:bookmarkEnd w:id="1541"/>
      <w:r>
        <w:rPr>
          <w:b/>
          <w:i w:val="0"/>
        </w:rPr>
        <w:t>transcurrere</w:t>
      </w:r>
      <w:r>
        <w:rPr>
          <w:b/>
          <w:i w:val="0"/>
        </w:rPr>
        <w:t>.</w:t>
      </w:r>
      <w:r>
        <w:rPr>
          <w:b w:val="0"/>
          <w:i w:val="0"/>
        </w:rPr>
        <w:t xml:space="preserve"> Printed forms: </w:t>
      </w:r>
      <w:r>
        <w:rPr>
          <w:b w:val="0"/>
          <w:i/>
        </w:rPr>
        <w:t>transcurrendo</w:t>
      </w:r>
      <w:r>
        <w:rPr>
          <w:b w:val="0"/>
          <w:i w:val="0"/>
        </w:rPr>
        <w:t xml:space="preserve">; </w:t>
      </w:r>
      <w:r>
        <w:rPr>
          <w:b w:val="0"/>
          <w:i/>
        </w:rPr>
        <w:t>transcurrere</w:t>
      </w:r>
      <w:r>
        <w:rPr>
          <w:b w:val="0"/>
          <w:i w:val="0"/>
        </w:rPr>
        <w:t>.</w:t>
      </w:r>
    </w:p>
    <w:p>
      <w:pPr>
        <w:widowControl/>
      </w:pPr>
      <w:r>
        <w:rPr>
          <w:b w:val="0"/>
          <w:i w:val="0"/>
        </w:rPr>
        <w:t xml:space="preserve">To run or pass across a stretch, here to traverse a magnitude bodily. Traversal belongs to the hypothesis that mind is a body or a form extended through bodily magnitude. Ficino tests the successive contact of parts and the resulting repetition of cognition; he does not endorse bodily traversal as the actual mechanism of understanding. References: </w:t>
      </w:r>
      <w:hyperlink w:anchor="passage-viii-5-1">
        <w:r>
          <w:rPr>
            <w:color w:val="000000"/>
          </w:rPr>
          <w:t xml:space="preserve">VIII.5.1</w:t>
        </w:r>
      </w:hyperlink>
      <w:r>
        <w:rPr>
          <w:b w:val="0"/>
          <w:i w:val="0"/>
        </w:rPr>
        <w:t xml:space="preserve">. See </w:t>
      </w:r>
      <w:hyperlink w:anchor="viii-touch-traversal">
        <w:r>
          <w:rPr>
            <w:color w:val="000000"/>
          </w:rPr>
          <w:t xml:space="preserve">Touch, traversal, and the rejection of bodily contact</w:t>
        </w:r>
      </w:hyperlink>
      <w:r>
        <w:rPr>
          <w:b w:val="0"/>
          <w:i w:val="0"/>
        </w:rPr>
        <w:t>.</w:t>
      </w:r>
    </w:p>
    <w:p>
      <w:pPr>
        <w:keepNext/>
        <w:widowControl/>
      </w:pPr>
      <w:bookmarkStart w:id="1542" w:name="latin-record-1301"/>
      <w:bookmarkEnd w:id="1542"/>
      <w:r>
        <w:rPr>
          <w:b/>
          <w:i w:val="0"/>
        </w:rPr>
        <w:t>transferre</w:t>
      </w:r>
      <w:r>
        <w:rPr>
          <w:b/>
          <w:i w:val="0"/>
        </w:rPr>
        <w:t>.</w:t>
      </w:r>
      <w:r>
        <w:rPr>
          <w:b w:val="0"/>
          <w:i w:val="0"/>
        </w:rPr>
        <w:t xml:space="preserve"> Printed forms: </w:t>
      </w:r>
      <w:r>
        <w:rPr>
          <w:b w:val="0"/>
          <w:i/>
        </w:rPr>
        <w:t>transferetur</w:t>
      </w:r>
      <w:r>
        <w:rPr>
          <w:b w:val="0"/>
          <w:i w:val="0"/>
        </w:rPr>
        <w:t>.</w:t>
      </w:r>
    </w:p>
    <w:p>
      <w:pPr>
        <w:widowControl/>
      </w:pPr>
      <w:r>
        <w:rPr>
          <w:b w:val="0"/>
          <w:i w:val="0"/>
        </w:rPr>
        <w:t xml:space="preserve">To transfer from one place to another. The image’s imagined transfer from eye to brain is a concession within the material-reception hypothesis, not a final physiological explanation. References: </w:t>
      </w:r>
      <w:hyperlink w:anchor="passage-vii-1-1">
        <w:r>
          <w:rPr>
            <w:color w:val="000000"/>
          </w:rPr>
          <w:t xml:space="preserve">VII.1.1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543" w:name="latin-record-1302"/>
      <w:bookmarkEnd w:id="1543"/>
      <w:r>
        <w:rPr>
          <w:b/>
          <w:i w:val="0"/>
        </w:rPr>
        <w:t>transire / migrare / commutare</w:t>
      </w:r>
      <w:r>
        <w:rPr>
          <w:b/>
          <w:i w:val="0"/>
        </w:rPr>
        <w:t>.</w:t>
      </w:r>
      <w:r>
        <w:rPr>
          <w:b w:val="0"/>
          <w:i w:val="0"/>
        </w:rPr>
        <w:t xml:space="preserve"> Printed forms: </w:t>
      </w:r>
      <w:r>
        <w:rPr>
          <w:b w:val="0"/>
          <w:i/>
        </w:rPr>
        <w:t>commutent</w:t>
      </w:r>
      <w:r>
        <w:rPr>
          <w:b w:val="0"/>
          <w:i w:val="0"/>
        </w:rPr>
        <w:t xml:space="preserve">; </w:t>
      </w:r>
      <w:r>
        <w:rPr>
          <w:b w:val="0"/>
          <w:i/>
        </w:rPr>
        <w:t>migrat</w:t>
      </w:r>
      <w:r>
        <w:rPr>
          <w:b w:val="0"/>
          <w:i w:val="0"/>
        </w:rPr>
        <w:t xml:space="preserve">; </w:t>
      </w:r>
      <w:r>
        <w:rPr>
          <w:b w:val="0"/>
          <w:i/>
        </w:rPr>
        <w:t>pertransire</w:t>
      </w:r>
      <w:r>
        <w:rPr>
          <w:b w:val="0"/>
          <w:i w:val="0"/>
        </w:rPr>
        <w:t xml:space="preserve">; </w:t>
      </w:r>
      <w:r>
        <w:rPr>
          <w:b w:val="0"/>
          <w:i/>
        </w:rPr>
        <w:t>transeat</w:t>
      </w:r>
      <w:r>
        <w:rPr>
          <w:b w:val="0"/>
          <w:i w:val="0"/>
        </w:rPr>
        <w:t xml:space="preserve">; </w:t>
      </w:r>
      <w:r>
        <w:rPr>
          <w:b w:val="0"/>
          <w:i/>
        </w:rPr>
        <w:t>transit</w:t>
      </w:r>
      <w:r>
        <w:rPr>
          <w:b w:val="0"/>
          <w:i w:val="0"/>
        </w:rPr>
        <w:t>.</w:t>
      </w:r>
    </w:p>
    <w:p>
      <w:pPr>
        <w:widowControl/>
      </w:pPr>
      <w:r>
        <w:rPr>
          <w:b w:val="0"/>
          <w:i w:val="0"/>
        </w:rPr>
        <w:t xml:space="preserve">Passing into another nature, migrating or being transformed into one another. Ficino denies bodily-spiritual interconversion through common matter, because those orders lack such a shared material substrate. References: </w:t>
      </w:r>
      <w:hyperlink w:anchor="passage-viii-2-1">
        <w:r>
          <w:rPr>
            <w:color w:val="000000"/>
          </w:rPr>
          <w:t xml:space="preserve">VIII.2.1</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544" w:name="latin-record-1303"/>
      <w:bookmarkEnd w:id="1544"/>
      <w:r>
        <w:rPr>
          <w:b/>
          <w:i w:val="0"/>
        </w:rPr>
        <w:t>transitus</w:t>
      </w:r>
      <w:r>
        <w:rPr>
          <w:b/>
          <w:i w:val="0"/>
        </w:rPr>
        <w:t>.</w:t>
      </w:r>
      <w:r>
        <w:rPr>
          <w:b w:val="0"/>
          <w:i w:val="0"/>
        </w:rPr>
        <w:t xml:space="preserve"> Printed forms: </w:t>
      </w:r>
      <w:r>
        <w:rPr>
          <w:b w:val="0"/>
          <w:i/>
        </w:rPr>
        <w:t>transit</w:t>
      </w:r>
      <w:r>
        <w:rPr>
          <w:b w:val="0"/>
          <w:i w:val="0"/>
        </w:rPr>
        <w:t xml:space="preserve">; </w:t>
      </w:r>
      <w:r>
        <w:rPr>
          <w:b w:val="0"/>
          <w:i/>
        </w:rPr>
        <w:t>transitus</w:t>
      </w:r>
      <w:r>
        <w:rPr>
          <w:b w:val="0"/>
          <w:i w:val="0"/>
        </w:rPr>
        <w:t>.</w:t>
      </w:r>
    </w:p>
    <w:p>
      <w:pPr>
        <w:widowControl/>
      </w:pPr>
      <w:r>
        <w:rPr>
          <w:b w:val="0"/>
          <w:i w:val="0"/>
        </w:rPr>
        <w:t xml:space="preserve">Passage or transfer from one bearer to another. Ficino tests but rejects a material-style transfer of rational art from one life to another through teaching. References: </w:t>
      </w:r>
      <w:hyperlink w:anchor="passage-v-15-15">
        <w:r>
          <w:rPr>
            <w:color w:val="000000"/>
          </w:rPr>
          <w:t xml:space="preserve">V.15.15</w:t>
        </w:r>
      </w:hyperlink>
      <w:r>
        <w:rPr>
          <w:b w:val="0"/>
          <w:i w:val="0"/>
        </w:rPr>
        <w:t xml:space="preserve">. See </w:t>
      </w:r>
      <w:hyperlink w:anchor="teaching-without-loss">
        <w:r>
          <w:rPr>
            <w:color w:val="000000"/>
          </w:rPr>
          <w:t xml:space="preserve">Teaching without loss</w:t>
        </w:r>
      </w:hyperlink>
      <w:r>
        <w:rPr>
          <w:b w:val="0"/>
          <w:i w:val="0"/>
        </w:rPr>
        <w:t>.</w:t>
      </w:r>
    </w:p>
    <w:p>
      <w:pPr>
        <w:keepNext/>
        <w:widowControl/>
      </w:pPr>
      <w:bookmarkStart w:id="1545" w:name="latin-record-1304"/>
      <w:bookmarkEnd w:id="1545"/>
      <w:r>
        <w:rPr>
          <w:b/>
          <w:i w:val="0"/>
        </w:rPr>
        <w:t>transitus; circuitus</w:t>
      </w:r>
      <w:r>
        <w:rPr>
          <w:b/>
          <w:i w:val="0"/>
        </w:rPr>
        <w:t>.</w:t>
      </w:r>
      <w:r>
        <w:rPr>
          <w:b w:val="0"/>
          <w:i w:val="0"/>
        </w:rPr>
        <w:t xml:space="preserve"> Printed forms: </w:t>
      </w:r>
      <w:r>
        <w:rPr>
          <w:b w:val="0"/>
          <w:i/>
        </w:rPr>
        <w:t>circuitum atque transitum</w:t>
      </w:r>
      <w:r>
        <w:rPr>
          <w:b w:val="0"/>
          <w:i w:val="0"/>
        </w:rPr>
        <w:t xml:space="preserve">; </w:t>
      </w:r>
      <w:r>
        <w:rPr>
          <w:b w:val="0"/>
          <w:i/>
        </w:rPr>
        <w:t>transitum vel circuitum</w:t>
      </w:r>
      <w:r>
        <w:rPr>
          <w:b w:val="0"/>
          <w:i w:val="0"/>
        </w:rPr>
        <w:t>.</w:t>
      </w:r>
    </w:p>
    <w:p>
      <w:pPr>
        <w:widowControl/>
      </w:pPr>
      <w:r>
        <w:rPr>
          <w:b w:val="0"/>
          <w:i w:val="0"/>
        </w:rPr>
        <w:t xml:space="preserve">Passage from place to place and circular motion. The last bodily alternatives are external relative to prior internal alterations and generation. References: </w:t>
      </w:r>
      <w:hyperlink w:anchor="passage-vi-12-16">
        <w:r>
          <w:rPr>
            <w:color w:val="000000"/>
          </w:rPr>
          <w:t xml:space="preserve">VI.12.16</w:t>
        </w:r>
      </w:hyperlink>
      <w:r>
        <w:rPr>
          <w:b w:val="0"/>
          <w:i w:val="0"/>
        </w:rPr>
        <w:t xml:space="preserve">. See </w:t>
      </w:r>
      <w:hyperlink w:anchor="eight-motions-and-cold-water">
        <w:r>
          <w:rPr>
            <w:color w:val="000000"/>
          </w:rPr>
          <w:t xml:space="preserve">Eight motions and the cold-water objection</w:t>
        </w:r>
      </w:hyperlink>
      <w:r>
        <w:rPr>
          <w:b w:val="0"/>
          <w:i w:val="0"/>
        </w:rPr>
        <w:t>.</w:t>
      </w:r>
    </w:p>
    <w:p>
      <w:pPr>
        <w:keepNext/>
        <w:widowControl/>
      </w:pPr>
      <w:bookmarkStart w:id="1546" w:name="latin-record-1305"/>
      <w:bookmarkEnd w:id="1546"/>
      <w:r>
        <w:rPr>
          <w:b/>
          <w:i w:val="0"/>
        </w:rPr>
        <w:t>transmittere / conservare</w:t>
      </w:r>
      <w:r>
        <w:rPr>
          <w:b/>
          <w:i w:val="0"/>
        </w:rPr>
        <w:t>.</w:t>
      </w:r>
      <w:r>
        <w:rPr>
          <w:b w:val="0"/>
          <w:i w:val="0"/>
        </w:rPr>
        <w:t xml:space="preserve"> Printed forms: </w:t>
      </w:r>
      <w:r>
        <w:rPr>
          <w:b w:val="0"/>
          <w:i/>
        </w:rPr>
        <w:t>conservantur</w:t>
      </w:r>
      <w:r>
        <w:rPr>
          <w:b w:val="0"/>
          <w:i w:val="0"/>
        </w:rPr>
        <w:t xml:space="preserve">; </w:t>
      </w:r>
      <w:r>
        <w:rPr>
          <w:b w:val="0"/>
          <w:i/>
        </w:rPr>
        <w:t>transmittuntur</w:t>
      </w:r>
      <w:r>
        <w:rPr>
          <w:b w:val="0"/>
          <w:i w:val="0"/>
        </w:rPr>
        <w:t>.</w:t>
      </w:r>
    </w:p>
    <w:p>
      <w:pPr>
        <w:widowControl/>
      </w:pPr>
      <w:r>
        <w:rPr>
          <w:b w:val="0"/>
          <w:i w:val="0"/>
        </w:rPr>
        <w:t xml:space="preserve">To send across and preserve. Meanings are said to pass from soul to soul and persist by the power of souls, rather than as bodily inscriptions alone. References: </w:t>
      </w:r>
      <w:hyperlink w:anchor="passage-vii-1-3">
        <w:r>
          <w:rPr>
            <w:color w:val="000000"/>
          </w:rPr>
          <w:t xml:space="preserve">VII.1.3</w:t>
        </w:r>
      </w:hyperlink>
      <w:r>
        <w:rPr>
          <w:b w:val="0"/>
          <w:i w:val="0"/>
        </w:rPr>
        <w:t xml:space="preserve">. See </w:t>
      </w:r>
      <w:hyperlink w:anchor="vii-spiritual-images-light">
        <w:r>
          <w:rPr>
            <w:color w:val="000000"/>
          </w:rPr>
          <w:t xml:space="preserve">Spiritual images and light</w:t>
        </w:r>
      </w:hyperlink>
      <w:r>
        <w:rPr>
          <w:b w:val="0"/>
          <w:i w:val="0"/>
        </w:rPr>
        <w:t>.</w:t>
      </w:r>
    </w:p>
    <w:p>
      <w:pPr>
        <w:keepNext/>
        <w:widowControl/>
      </w:pPr>
      <w:bookmarkStart w:id="1547" w:name="latin-record-1306"/>
      <w:bookmarkEnd w:id="1547"/>
      <w:r>
        <w:rPr>
          <w:b/>
          <w:i w:val="0"/>
        </w:rPr>
        <w:t>tria puncta / medium / extrema</w:t>
      </w:r>
      <w:r>
        <w:rPr>
          <w:b/>
          <w:i w:val="0"/>
        </w:rPr>
        <w:t>.</w:t>
      </w:r>
      <w:r>
        <w:rPr>
          <w:b w:val="0"/>
          <w:i w:val="0"/>
        </w:rPr>
        <w:t xml:space="preserve"> Printed forms: </w:t>
      </w:r>
      <w:r>
        <w:rPr>
          <w:b w:val="0"/>
          <w:i/>
        </w:rPr>
        <w:t>extrema</w:t>
      </w:r>
      <w:r>
        <w:rPr>
          <w:b w:val="0"/>
          <w:i w:val="0"/>
        </w:rPr>
        <w:t xml:space="preserve">; </w:t>
      </w:r>
      <w:r>
        <w:rPr>
          <w:b w:val="0"/>
          <w:i/>
        </w:rPr>
        <w:t>extremorum</w:t>
      </w:r>
      <w:r>
        <w:rPr>
          <w:b w:val="0"/>
          <w:i w:val="0"/>
        </w:rPr>
        <w:t xml:space="preserve">; </w:t>
      </w:r>
      <w:r>
        <w:rPr>
          <w:b w:val="0"/>
          <w:i/>
        </w:rPr>
        <w:t>intervallum</w:t>
      </w:r>
      <w:r>
        <w:rPr>
          <w:b w:val="0"/>
          <w:i w:val="0"/>
        </w:rPr>
        <w:t xml:space="preserve">; </w:t>
      </w:r>
      <w:r>
        <w:rPr>
          <w:b w:val="0"/>
          <w:i/>
        </w:rPr>
        <w:t>medium</w:t>
      </w:r>
      <w:r>
        <w:rPr>
          <w:b w:val="0"/>
          <w:i w:val="0"/>
        </w:rPr>
        <w:t xml:space="preserve">; </w:t>
      </w:r>
      <w:r>
        <w:rPr>
          <w:b w:val="0"/>
          <w:i/>
        </w:rPr>
        <w:t>tria</w:t>
      </w:r>
      <w:r>
        <w:rPr>
          <w:b w:val="0"/>
          <w:i w:val="0"/>
        </w:rPr>
        <w:t>.</w:t>
      </w:r>
    </w:p>
    <w:p>
      <w:pPr>
        <w:widowControl/>
      </w:pPr>
      <w:r>
        <w:rPr>
          <w:b w:val="0"/>
          <w:i w:val="0"/>
        </w:rPr>
        <w:t xml:space="preserve">Three points, their middle member and outer members, used to test the production of length. If the middle separates the others it has parts; if it does not, their conjunction yields no interval. The hypothetical does not make points atoms. References: </w:t>
      </w:r>
      <w:hyperlink w:anchor="passage-viii-4-2">
        <w:r>
          <w:rPr>
            <w:color w:val="000000"/>
          </w:rPr>
          <w:t xml:space="preserve">VIII.4.2</w:t>
        </w:r>
      </w:hyperlink>
      <w:r>
        <w:rPr>
          <w:b w:val="0"/>
          <w:i w:val="0"/>
        </w:rPr>
        <w:t xml:space="preserve">. See </w:t>
      </w:r>
      <w:hyperlink w:anchor="viii-bodily-points">
        <w:r>
          <w:rPr>
            <w:color w:val="000000"/>
          </w:rPr>
          <w:t xml:space="preserve">Bodily points and the seat of understanding</w:t>
        </w:r>
      </w:hyperlink>
      <w:r>
        <w:rPr>
          <w:b w:val="0"/>
          <w:i w:val="0"/>
        </w:rPr>
        <w:t>.</w:t>
      </w:r>
    </w:p>
    <w:p>
      <w:pPr>
        <w:keepNext/>
        <w:widowControl/>
      </w:pPr>
      <w:bookmarkStart w:id="1548" w:name="latin-record-1307"/>
      <w:bookmarkEnd w:id="1548"/>
      <w:r>
        <w:rPr>
          <w:b/>
          <w:i w:val="0"/>
        </w:rPr>
        <w:t>tricubitus</w:t>
      </w:r>
      <w:r>
        <w:rPr>
          <w:b/>
          <w:i w:val="0"/>
        </w:rPr>
        <w:t>.</w:t>
      </w:r>
      <w:r>
        <w:rPr>
          <w:b w:val="0"/>
          <w:i w:val="0"/>
        </w:rPr>
        <w:t xml:space="preserve"> Printed forms: </w:t>
      </w:r>
      <w:r>
        <w:rPr>
          <w:b w:val="0"/>
          <w:i/>
        </w:rPr>
        <w:t>tricubita</w:t>
      </w:r>
      <w:r>
        <w:rPr>
          <w:b w:val="0"/>
          <w:i w:val="0"/>
        </w:rPr>
        <w:t xml:space="preserve">; </w:t>
      </w:r>
      <w:r>
        <w:rPr>
          <w:b w:val="0"/>
          <w:i/>
        </w:rPr>
        <w:t>tricubito</w:t>
      </w:r>
      <w:r>
        <w:rPr>
          <w:b w:val="0"/>
          <w:i w:val="0"/>
        </w:rPr>
        <w:t>.</w:t>
      </w:r>
    </w:p>
    <w:p>
      <w:pPr>
        <w:widowControl/>
      </w:pPr>
      <w:r>
        <w:rPr>
          <w:b w:val="0"/>
          <w:i w:val="0"/>
        </w:rPr>
        <w:t xml:space="preserve">Three cubits in measure. The fiery form initially matches the body’s extension before the imagined gathering into the heart’s centre. References: </w:t>
      </w:r>
      <w:hyperlink w:anchor="passage-vi-2-21">
        <w:r>
          <w:rPr>
            <w:color w:val="000000"/>
          </w:rPr>
          <w:t xml:space="preserve">VI.2.21</w:t>
        </w:r>
      </w:hyperlink>
      <w:r>
        <w:rPr>
          <w:b w:val="0"/>
          <w:i w:val="0"/>
        </w:rPr>
        <w:t xml:space="preserve">. See </w:t>
      </w:r>
      <w:hyperlink w:anchor="bronze-mirror-and-concentrated-fire">
        <w:r>
          <w:rPr>
            <w:color w:val="000000"/>
          </w:rPr>
          <w:t xml:space="preserve">Bronze mirror and concentrated fire</w:t>
        </w:r>
      </w:hyperlink>
      <w:r>
        <w:rPr>
          <w:b w:val="0"/>
          <w:i w:val="0"/>
        </w:rPr>
        <w:t>.</w:t>
      </w:r>
    </w:p>
    <w:p>
      <w:pPr>
        <w:keepNext/>
        <w:widowControl/>
      </w:pPr>
      <w:bookmarkStart w:id="1549" w:name="latin-record-1308"/>
      <w:bookmarkEnd w:id="1549"/>
      <w:r>
        <w:rPr>
          <w:b/>
          <w:i w:val="0"/>
        </w:rPr>
        <w:t>tristitia / laetitia / debilitare / roborare</w:t>
      </w:r>
      <w:r>
        <w:rPr>
          <w:b/>
          <w:i w:val="0"/>
        </w:rPr>
        <w:t>.</w:t>
      </w:r>
      <w:r>
        <w:rPr>
          <w:b w:val="0"/>
          <w:i w:val="0"/>
        </w:rPr>
        <w:t xml:space="preserve"> Printed forms: </w:t>
      </w:r>
      <w:r>
        <w:rPr>
          <w:b w:val="0"/>
          <w:i/>
        </w:rPr>
        <w:t>debilitat</w:t>
      </w:r>
      <w:r>
        <w:rPr>
          <w:b w:val="0"/>
          <w:i w:val="0"/>
        </w:rPr>
        <w:t xml:space="preserve">; </w:t>
      </w:r>
      <w:r>
        <w:rPr>
          <w:b w:val="0"/>
          <w:i/>
        </w:rPr>
        <w:t>laetitia</w:t>
      </w:r>
      <w:r>
        <w:rPr>
          <w:b w:val="0"/>
          <w:i w:val="0"/>
        </w:rPr>
        <w:t xml:space="preserve">; </w:t>
      </w:r>
      <w:r>
        <w:rPr>
          <w:b w:val="0"/>
          <w:i/>
        </w:rPr>
        <w:t>roborat</w:t>
      </w:r>
      <w:r>
        <w:rPr>
          <w:b w:val="0"/>
          <w:i w:val="0"/>
        </w:rPr>
        <w:t xml:space="preserve">; </w:t>
      </w:r>
      <w:r>
        <w:rPr>
          <w:b w:val="0"/>
          <w:i/>
        </w:rPr>
        <w:t>Tristitia</w:t>
      </w:r>
      <w:r>
        <w:rPr>
          <w:b w:val="0"/>
          <w:i w:val="0"/>
        </w:rPr>
        <w:t>.</w:t>
      </w:r>
    </w:p>
    <w:p>
      <w:pPr>
        <w:widowControl/>
      </w:pPr>
      <w:r>
        <w:rPr>
          <w:b w:val="0"/>
          <w:i w:val="0"/>
        </w:rPr>
        <w:t xml:space="preserve">Sorrow, joy, weakening and strengthening. Imagination’s sorrow and joy are said to affect nourishment; this is evidence in Ficino’s argument, not a universal medical rule. References: </w:t>
      </w:r>
      <w:hyperlink w:anchor="passage-vii-9-2">
        <w:r>
          <w:rPr>
            <w:color w:val="000000"/>
          </w:rPr>
          <w:t xml:space="preserve">VII.9.2</w:t>
        </w:r>
      </w:hyperlink>
      <w:r>
        <w:rPr>
          <w:b w:val="0"/>
          <w:i w:val="0"/>
        </w:rPr>
        <w:t xml:space="preserve">. See </w:t>
      </w:r>
      <w:hyperlink w:anchor="vii-soul-body-craftsman">
        <w:r>
          <w:rPr>
            <w:color w:val="000000"/>
          </w:rPr>
          <w:t xml:space="preserve">Soul as the body’s craftsman</w:t>
        </w:r>
      </w:hyperlink>
      <w:r>
        <w:rPr>
          <w:b w:val="0"/>
          <w:i w:val="0"/>
        </w:rPr>
        <w:t>.</w:t>
      </w:r>
    </w:p>
    <w:p>
      <w:pPr>
        <w:keepNext/>
        <w:widowControl/>
      </w:pPr>
      <w:bookmarkStart w:id="1550" w:name="latin-record-1309"/>
      <w:bookmarkEnd w:id="1550"/>
      <w:r>
        <w:rPr>
          <w:b/>
          <w:i w:val="0"/>
        </w:rPr>
        <w:t>triticum / pyrum</w:t>
      </w:r>
      <w:r>
        <w:rPr>
          <w:b/>
          <w:i w:val="0"/>
        </w:rPr>
        <w:t>.</w:t>
      </w:r>
      <w:r>
        <w:rPr>
          <w:b w:val="0"/>
          <w:i w:val="0"/>
        </w:rPr>
        <w:t xml:space="preserve"> Printed forms: </w:t>
      </w:r>
      <w:r>
        <w:rPr>
          <w:b w:val="0"/>
          <w:i/>
        </w:rPr>
        <w:t>pyra</w:t>
      </w:r>
      <w:r>
        <w:rPr>
          <w:b w:val="0"/>
          <w:i w:val="0"/>
        </w:rPr>
        <w:t xml:space="preserve">; </w:t>
      </w:r>
      <w:r>
        <w:rPr>
          <w:b w:val="0"/>
          <w:i/>
        </w:rPr>
        <w:t>tritico</w:t>
      </w:r>
      <w:r>
        <w:rPr>
          <w:b w:val="0"/>
          <w:i w:val="0"/>
        </w:rPr>
        <w:t>.</w:t>
      </w:r>
    </w:p>
    <w:p>
      <w:pPr>
        <w:widowControl/>
      </w:pPr>
      <w:r>
        <w:rPr>
          <w:b w:val="0"/>
          <w:i w:val="0"/>
        </w:rPr>
        <w:t xml:space="preserve">Wheat and pears, the first mismatched seed and product in the natural-generation example. The point is that a natural agent cannot produce any kind from any seed, supporting the stronger exclusion of creation from nothing. References: </w:t>
      </w:r>
      <w:hyperlink w:anchor="passage-v-4-3">
        <w:r>
          <w:rPr>
            <w:color w:val="000000"/>
          </w:rPr>
          <w:t xml:space="preserve">V.4.3</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551" w:name="latin-record-1310"/>
      <w:bookmarkEnd w:id="1551"/>
      <w:r>
        <w:rPr>
          <w:b/>
          <w:i w:val="0"/>
        </w:rPr>
        <w:t>tumor</w:t>
      </w:r>
      <w:r>
        <w:rPr>
          <w:b/>
          <w:i w:val="0"/>
        </w:rPr>
        <w:t>.</w:t>
      </w:r>
      <w:r>
        <w:rPr>
          <w:b w:val="0"/>
          <w:i w:val="0"/>
        </w:rPr>
        <w:t xml:space="preserve"> Printed forms: </w:t>
      </w:r>
      <w:r>
        <w:rPr>
          <w:b w:val="0"/>
          <w:i/>
        </w:rPr>
        <w:t>tumore</w:t>
      </w:r>
      <w:r>
        <w:rPr>
          <w:b w:val="0"/>
          <w:i w:val="0"/>
        </w:rPr>
        <w:t>.</w:t>
      </w:r>
    </w:p>
    <w:p>
      <w:pPr>
        <w:widowControl/>
      </w:pPr>
      <w:r>
        <w:rPr>
          <w:b w:val="0"/>
          <w:i w:val="0"/>
        </w:rPr>
        <w:t xml:space="preserve">Swelling or bulk, here denied as the measure of incorporeal power. Higher natures act more powerfully through form without occupying larger space. References: </w:t>
      </w:r>
      <w:hyperlink w:anchor="passage-v-15-27">
        <w:r>
          <w:rPr>
            <w:color w:val="000000"/>
          </w:rPr>
          <w:t xml:space="preserve">V.15.27</w:t>
        </w:r>
      </w:hyperlink>
      <w:r>
        <w:rPr>
          <w:b w:val="0"/>
          <w:i w:val="0"/>
        </w:rPr>
        <w:t xml:space="preserve">. See </w:t>
      </w:r>
      <w:hyperlink w:anchor="transmission-of-form-and-natural-order">
        <w:r>
          <w:rPr>
            <w:color w:val="000000"/>
          </w:rPr>
          <w:t xml:space="preserve">Transmission of form and natural order</w:t>
        </w:r>
      </w:hyperlink>
      <w:r>
        <w:rPr>
          <w:b w:val="0"/>
          <w:i w:val="0"/>
        </w:rPr>
        <w:t>.</w:t>
      </w:r>
    </w:p>
    <w:p>
      <w:pPr>
        <w:keepNext/>
        <w:widowControl/>
      </w:pPr>
      <w:bookmarkStart w:id="1552" w:name="latin-record-1311"/>
      <w:bookmarkEnd w:id="1552"/>
      <w:r>
        <w:rPr>
          <w:b/>
          <w:i w:val="0"/>
        </w:rPr>
        <w:t>turgere; concipere; edere</w:t>
      </w:r>
      <w:r>
        <w:rPr>
          <w:b/>
          <w:i w:val="0"/>
        </w:rPr>
        <w:t>.</w:t>
      </w:r>
      <w:r>
        <w:rPr>
          <w:b w:val="0"/>
          <w:i w:val="0"/>
        </w:rPr>
        <w:t xml:space="preserve"> Printed forms: </w:t>
      </w:r>
      <w:r>
        <w:rPr>
          <w:b w:val="0"/>
          <w:i/>
        </w:rPr>
        <w:t>concipiunt</w:t>
      </w:r>
      <w:r>
        <w:rPr>
          <w:b w:val="0"/>
          <w:i w:val="0"/>
        </w:rPr>
        <w:t xml:space="preserve">; </w:t>
      </w:r>
      <w:r>
        <w:rPr>
          <w:b w:val="0"/>
          <w:i/>
        </w:rPr>
        <w:t>partus edant</w:t>
      </w:r>
      <w:r>
        <w:rPr>
          <w:b w:val="0"/>
          <w:i w:val="0"/>
        </w:rPr>
        <w:t xml:space="preserve">; </w:t>
      </w:r>
      <w:r>
        <w:rPr>
          <w:b w:val="0"/>
          <w:i/>
        </w:rPr>
        <w:t>turgent</w:t>
      </w:r>
      <w:r>
        <w:rPr>
          <w:b w:val="0"/>
          <w:i w:val="0"/>
        </w:rPr>
        <w:t>.</w:t>
      </w:r>
    </w:p>
    <w:p>
      <w:pPr>
        <w:widowControl/>
      </w:pPr>
      <w:r>
        <w:rPr>
          <w:b w:val="0"/>
          <w:i w:val="0"/>
        </w:rPr>
        <w:t xml:space="preserve">To swell with seed, conceive and bring forth offspring. The birth sequence illustrates a cause’s prior internal unfolding before its outward effect, not creation of soul’s essence by itself. References: </w:t>
      </w:r>
      <w:hyperlink w:anchor="passage-vi-12-10">
        <w:r>
          <w:rPr>
            <w:color w:val="000000"/>
          </w:rPr>
          <w:t xml:space="preserve">VI.12.10</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553" w:name="latin-record-1312"/>
      <w:bookmarkEnd w:id="1553"/>
      <w:r>
        <w:rPr>
          <w:b/>
          <w:i w:val="0"/>
        </w:rPr>
        <w:t>turgescere / gravescere</w:t>
      </w:r>
      <w:r>
        <w:rPr>
          <w:b/>
          <w:i w:val="0"/>
        </w:rPr>
        <w:t>.</w:t>
      </w:r>
      <w:r>
        <w:rPr>
          <w:b w:val="0"/>
          <w:i w:val="0"/>
        </w:rPr>
        <w:t xml:space="preserve"> Printed forms: </w:t>
      </w:r>
      <w:r>
        <w:rPr>
          <w:b w:val="0"/>
          <w:i/>
        </w:rPr>
        <w:t>gravescit</w:t>
      </w:r>
      <w:r>
        <w:rPr>
          <w:b w:val="0"/>
          <w:i w:val="0"/>
        </w:rPr>
        <w:t xml:space="preserve">; </w:t>
      </w:r>
      <w:r>
        <w:rPr>
          <w:b w:val="0"/>
          <w:i/>
        </w:rPr>
        <w:t>turgescit</w:t>
      </w:r>
      <w:r>
        <w:rPr>
          <w:b w:val="0"/>
          <w:i w:val="0"/>
        </w:rPr>
        <w:t>.</w:t>
      </w:r>
    </w:p>
    <w:p>
      <w:pPr>
        <w:widowControl/>
      </w:pPr>
      <w:r>
        <w:rPr>
          <w:b w:val="0"/>
          <w:i w:val="0"/>
        </w:rPr>
        <w:t xml:space="preserve">To swell and to become heavy. These bodily verbs mark stages of the descending elemental sequence rather than moral increase or decline. References: </w:t>
      </w:r>
      <w:hyperlink w:anchor="passage-v-4-4">
        <w:r>
          <w:rPr>
            <w:color w:val="000000"/>
          </w:rPr>
          <w:t xml:space="preserve">V.4.4</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554" w:name="latin-record-1313"/>
      <w:bookmarkEnd w:id="1554"/>
      <w:r>
        <w:rPr>
          <w:b/>
          <w:i w:val="0"/>
        </w:rPr>
        <w:t>ubique totus</w:t>
      </w:r>
      <w:r>
        <w:rPr>
          <w:b/>
          <w:i w:val="0"/>
        </w:rPr>
        <w:t>.</w:t>
      </w:r>
      <w:r>
        <w:rPr>
          <w:b w:val="0"/>
          <w:i w:val="0"/>
        </w:rPr>
        <w:t xml:space="preserve"> Printed forms: </w:t>
      </w:r>
      <w:r>
        <w:rPr>
          <w:b w:val="0"/>
          <w:i/>
        </w:rPr>
        <w:t>totam per singula</w:t>
      </w:r>
      <w:r>
        <w:rPr>
          <w:b w:val="0"/>
          <w:i w:val="0"/>
        </w:rPr>
        <w:t xml:space="preserve">; </w:t>
      </w:r>
      <w:r>
        <w:rPr>
          <w:b w:val="0"/>
          <w:i/>
        </w:rPr>
        <w:t>ubique totam</w:t>
      </w:r>
      <w:r>
        <w:rPr>
          <w:b w:val="0"/>
          <w:i w:val="0"/>
        </w:rPr>
        <w:t>.</w:t>
      </w:r>
    </w:p>
    <w:p>
      <w:pPr>
        <w:widowControl/>
      </w:pPr>
      <w:r>
        <w:rPr>
          <w:b w:val="0"/>
          <w:i w:val="0"/>
        </w:rPr>
        <w:t xml:space="preserve">Whole throughout each part; whole everywhere. This is not quantitative scattering of fractions and is paired with the denial of confinement to one member. References: </w:t>
      </w:r>
      <w:hyperlink w:anchor="passage-vi-3-1">
        <w:r>
          <w:rPr>
            <w:color w:val="000000"/>
          </w:rPr>
          <w:t xml:space="preserve">VI.3.1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555" w:name="latin-record-1314"/>
      <w:bookmarkEnd w:id="1555"/>
      <w:r>
        <w:rPr>
          <w:b/>
          <w:i w:val="0"/>
        </w:rPr>
        <w:t>umbra</w:t>
      </w:r>
      <w:r>
        <w:rPr>
          <w:b/>
          <w:i w:val="0"/>
        </w:rPr>
        <w:t>.</w:t>
      </w:r>
      <w:r>
        <w:rPr>
          <w:b w:val="0"/>
          <w:i w:val="0"/>
        </w:rPr>
        <w:t xml:space="preserve"> Printed forms: </w:t>
      </w:r>
      <w:r>
        <w:rPr>
          <w:b w:val="0"/>
          <w:i/>
        </w:rPr>
        <w:t>umbrae</w:t>
      </w:r>
      <w:r>
        <w:rPr>
          <w:b w:val="0"/>
          <w:i w:val="0"/>
        </w:rPr>
        <w:t xml:space="preserve">; </w:t>
      </w:r>
      <w:r>
        <w:rPr>
          <w:b w:val="0"/>
          <w:i/>
        </w:rPr>
        <w:t>umbram</w:t>
      </w:r>
      <w:r>
        <w:rPr>
          <w:b w:val="0"/>
          <w:i w:val="0"/>
        </w:rPr>
        <w:t xml:space="preserve">; </w:t>
      </w:r>
      <w:r>
        <w:rPr>
          <w:b w:val="0"/>
          <w:i/>
        </w:rPr>
        <w:t>umbram tuam</w:t>
      </w:r>
      <w:r>
        <w:rPr>
          <w:b w:val="0"/>
          <w:i w:val="0"/>
        </w:rPr>
        <w:t>.</w:t>
      </w:r>
    </w:p>
    <w:p>
      <w:pPr>
        <w:widowControl/>
      </w:pPr>
      <w:r>
        <w:rPr>
          <w:b w:val="0"/>
          <w:i w:val="0"/>
        </w:rPr>
        <w:t xml:space="preserve">A shadow, a derivative image of a higher source. Visible circuits shadow spiritual ones; irrational life is pictured as an outflowing shadow, not as absolutely nonexistent. References: </w:t>
      </w:r>
      <w:hyperlink w:anchor="passage-v-1-5">
        <w:r>
          <w:rPr>
            <w:color w:val="000000"/>
          </w:rPr>
          <w:t xml:space="preserve">V.1.5</w:t>
        </w:r>
      </w:hyperlink>
      <w:r>
        <w:rPr>
          <w:b w:val="0"/>
          <w:i w:val="0"/>
        </w:rPr>
        <w:t xml:space="preserve">, </w:t>
      </w:r>
      <w:hyperlink w:anchor="passage-v-14-8">
        <w:r>
          <w:rPr>
            <w:color w:val="000000"/>
          </w:rPr>
          <w:t xml:space="preserve">V.14.8</w:t>
        </w:r>
      </w:hyperlink>
      <w:r>
        <w:rPr>
          <w:b w:val="0"/>
          <w:i w:val="0"/>
        </w:rPr>
        <w:t xml:space="preserve">, </w:t>
      </w:r>
      <w:hyperlink w:anchor="passage-v-15-3">
        <w:r>
          <w:rPr>
            <w:color w:val="000000"/>
          </w:rPr>
          <w:t xml:space="preserve">V.15.3</w:t>
        </w:r>
      </w:hyperlink>
      <w:r>
        <w:rPr>
          <w:b w:val="0"/>
          <w:i w:val="0"/>
        </w:rPr>
        <w:t xml:space="preserve">. See </w:t>
      </w:r>
      <w:hyperlink w:anchor="image-shadow-and-ranked-truth">
        <w:r>
          <w:rPr>
            <w:color w:val="000000"/>
          </w:rPr>
          <w:t xml:space="preserve">Image, shadow and ranked truth</w:t>
        </w:r>
      </w:hyperlink>
      <w:r>
        <w:rPr>
          <w:b w:val="0"/>
          <w:i w:val="0"/>
        </w:rPr>
        <w:t>.</w:t>
      </w:r>
    </w:p>
    <w:p>
      <w:pPr>
        <w:widowControl/>
      </w:pPr>
      <w:r>
        <w:rPr>
          <w:b w:val="0"/>
          <w:i w:val="0"/>
        </w:rPr>
        <w:t xml:space="preserve">A shadow dependent on what casts it. Body is called the soul’s shadow, and the well and bird examples expose mistaken identification with its location. References: </w:t>
      </w:r>
      <w:hyperlink w:anchor="passage-vi-2-3">
        <w:r>
          <w:rPr>
            <w:color w:val="000000"/>
          </w:rPr>
          <w:t xml:space="preserve">VI.2.3</w:t>
        </w:r>
      </w:hyperlink>
      <w:r>
        <w:rPr>
          <w:b w:val="0"/>
          <w:i w:val="0"/>
        </w:rPr>
        <w:t xml:space="preserve">, </w:t>
      </w:r>
      <w:hyperlink w:anchor="passage-vi-2-4">
        <w:r>
          <w:rPr>
            <w:color w:val="000000"/>
          </w:rPr>
          <w:t xml:space="preserve">VI.2.4</w:t>
        </w:r>
      </w:hyperlink>
      <w:r>
        <w:rPr>
          <w:b w:val="0"/>
          <w:i w:val="0"/>
        </w:rPr>
        <w:t xml:space="preserve">, </w:t>
      </w:r>
      <w:hyperlink w:anchor="passage-vi-2-5">
        <w:r>
          <w:rPr>
            <w:color w:val="000000"/>
          </w:rPr>
          <w:t xml:space="preserve">VI.2.5</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1556" w:name="latin-record-1315"/>
      <w:bookmarkEnd w:id="1556"/>
      <w:r>
        <w:rPr>
          <w:b/>
          <w:i w:val="0"/>
        </w:rPr>
        <w:t>unde / inde / illuc</w:t>
      </w:r>
      <w:r>
        <w:rPr>
          <w:b/>
          <w:i w:val="0"/>
        </w:rPr>
        <w:t>.</w:t>
      </w:r>
      <w:r>
        <w:rPr>
          <w:b w:val="0"/>
          <w:i w:val="0"/>
        </w:rPr>
        <w:t xml:space="preserve"> Printed forms: </w:t>
      </w:r>
      <w:r>
        <w:rPr>
          <w:b w:val="0"/>
          <w:i/>
        </w:rPr>
        <w:t>illuc</w:t>
      </w:r>
      <w:r>
        <w:rPr>
          <w:b w:val="0"/>
          <w:i w:val="0"/>
        </w:rPr>
        <w:t xml:space="preserve">; </w:t>
      </w:r>
      <w:r>
        <w:rPr>
          <w:b w:val="0"/>
          <w:i/>
        </w:rPr>
        <w:t>inde</w:t>
      </w:r>
      <w:r>
        <w:rPr>
          <w:b w:val="0"/>
          <w:i w:val="0"/>
        </w:rPr>
        <w:t xml:space="preserve">; </w:t>
      </w:r>
      <w:r>
        <w:rPr>
          <w:b w:val="0"/>
          <w:i/>
        </w:rPr>
        <w:t>Unde</w:t>
      </w:r>
      <w:r>
        <w:rPr>
          <w:b w:val="0"/>
          <w:i w:val="0"/>
        </w:rPr>
        <w:t>.</w:t>
      </w:r>
    </w:p>
    <w:p>
      <w:pPr>
        <w:widowControl/>
      </w:pPr>
      <w:r>
        <w:rPr>
          <w:b w:val="0"/>
          <w:i w:val="0"/>
        </w:rPr>
        <w:t xml:space="preserve">Unde means from where or from which source; inde means from there or from that source; illuc means toward there. In the coordinated sentence at V.4.7 the source from which things have being is also that from which they are moved and toward which they are borne. The adverbs articulate origin, impulse and return to the good; unde here should not be flattened into a mere inferential </w:t>
      </w:r>
      <w:r>
        <w:t>“</w:t>
      </w:r>
      <w:r>
        <w:rPr>
          <w:b w:val="0"/>
          <w:i w:val="0"/>
        </w:rPr>
        <w:t>therefore.</w:t>
      </w:r>
      <w:r>
        <w:t>”</w:t>
      </w:r>
      <w:r>
        <w:rPr>
          <w:b w:val="0"/>
          <w:i w:val="0"/>
        </w:rPr>
        <w:t xml:space="preserve"> References: </w:t>
      </w:r>
      <w:hyperlink w:anchor="passage-v-4-7">
        <w:r>
          <w:rPr>
            <w:color w:val="000000"/>
          </w:rPr>
          <w:t xml:space="preserve">V.4.7</w:t>
        </w:r>
      </w:hyperlink>
      <w:r>
        <w:rPr>
          <w:b w:val="0"/>
          <w:i w:val="0"/>
        </w:rPr>
        <w:t xml:space="preserve">. See </w:t>
      </w:r>
      <w:hyperlink w:anchor="natural-striving-source-and-return">
        <w:r>
          <w:rPr>
            <w:color w:val="000000"/>
          </w:rPr>
          <w:t xml:space="preserve">Natural striving, source and return</w:t>
        </w:r>
      </w:hyperlink>
      <w:r>
        <w:rPr>
          <w:b w:val="0"/>
          <w:i w:val="0"/>
        </w:rPr>
        <w:t>.</w:t>
      </w:r>
    </w:p>
    <w:p>
      <w:pPr>
        <w:keepNext/>
        <w:widowControl/>
      </w:pPr>
      <w:bookmarkStart w:id="1557" w:name="latin-record-1316"/>
      <w:bookmarkEnd w:id="1557"/>
      <w:r>
        <w:rPr>
          <w:b/>
          <w:i w:val="0"/>
        </w:rPr>
        <w:t>unio et augmentum</w:t>
      </w:r>
      <w:r>
        <w:rPr>
          <w:b/>
          <w:i w:val="0"/>
        </w:rPr>
        <w:t>.</w:t>
      </w:r>
      <w:r>
        <w:rPr>
          <w:b w:val="0"/>
          <w:i w:val="0"/>
        </w:rPr>
        <w:t xml:space="preserve"> Printed forms: </w:t>
      </w:r>
      <w:r>
        <w:rPr>
          <w:b w:val="0"/>
          <w:i/>
        </w:rPr>
        <w:t>non augmentum amplius</w:t>
      </w:r>
      <w:r>
        <w:rPr>
          <w:b w:val="0"/>
          <w:i w:val="0"/>
        </w:rPr>
        <w:t xml:space="preserve">; </w:t>
      </w:r>
      <w:r>
        <w:rPr>
          <w:b w:val="0"/>
          <w:i/>
        </w:rPr>
        <w:t>unionem et augmentum</w:t>
      </w:r>
      <w:r>
        <w:rPr>
          <w:b w:val="0"/>
          <w:i w:val="0"/>
        </w:rPr>
        <w:t>.</w:t>
      </w:r>
    </w:p>
    <w:p>
      <w:pPr>
        <w:widowControl/>
      </w:pPr>
      <w:r>
        <w:rPr>
          <w:b w:val="0"/>
          <w:i w:val="0"/>
        </w:rPr>
        <w:t xml:space="preserve">Cohesion and growth, with growth denied after severance. The distinction prevents reading the account as saying every detached stone lives like an animal. References: </w:t>
      </w:r>
      <w:hyperlink w:anchor="passage-vi-8-7">
        <w:r>
          <w:rPr>
            <w:color w:val="000000"/>
          </w:rPr>
          <w:t xml:space="preserve">VI.8.7</w:t>
        </w:r>
      </w:hyperlink>
      <w:r>
        <w:rPr>
          <w:b w:val="0"/>
          <w:i w:val="0"/>
        </w:rPr>
        <w:t xml:space="preserve">. See </w:t>
      </w:r>
      <w:hyperlink w:anchor="earth-wood-and-severed-stones">
        <w:r>
          <w:rPr>
            <w:color w:val="000000"/>
          </w:rPr>
          <w:t xml:space="preserve">Earth, wood and severed stones</w:t>
        </w:r>
      </w:hyperlink>
      <w:r>
        <w:rPr>
          <w:b w:val="0"/>
          <w:i w:val="0"/>
        </w:rPr>
        <w:t>.</w:t>
      </w:r>
    </w:p>
    <w:p>
      <w:pPr>
        <w:keepNext/>
        <w:widowControl/>
      </w:pPr>
      <w:bookmarkStart w:id="1558" w:name="latin-record-1317"/>
      <w:bookmarkEnd w:id="1558"/>
      <w:r>
        <w:rPr>
          <w:b/>
          <w:i w:val="0"/>
        </w:rPr>
        <w:t>unio plurium / vis insita</w:t>
      </w:r>
      <w:r>
        <w:rPr>
          <w:b/>
          <w:i w:val="0"/>
        </w:rPr>
        <w:t>.</w:t>
      </w:r>
      <w:r>
        <w:rPr>
          <w:b w:val="0"/>
          <w:i w:val="0"/>
        </w:rPr>
        <w:t xml:space="preserve"> Printed forms: </w:t>
      </w:r>
      <w:r>
        <w:rPr>
          <w:b w:val="0"/>
          <w:i/>
        </w:rPr>
        <w:t>insita</w:t>
      </w:r>
      <w:r>
        <w:rPr>
          <w:b w:val="0"/>
          <w:i w:val="0"/>
        </w:rPr>
        <w:t xml:space="preserve">; </w:t>
      </w:r>
      <w:r>
        <w:rPr>
          <w:b w:val="0"/>
          <w:i/>
        </w:rPr>
        <w:t>unio fit membrorum</w:t>
      </w:r>
      <w:r>
        <w:rPr>
          <w:b w:val="0"/>
          <w:i w:val="0"/>
        </w:rPr>
        <w:t xml:space="preserve">; </w:t>
      </w:r>
      <w:r>
        <w:rPr>
          <w:b w:val="0"/>
          <w:i/>
        </w:rPr>
        <w:t>unio plurium</w:t>
      </w:r>
      <w:r>
        <w:rPr>
          <w:b w:val="0"/>
          <w:i w:val="0"/>
        </w:rPr>
        <w:t xml:space="preserve">; </w:t>
      </w:r>
      <w:r>
        <w:rPr>
          <w:b w:val="0"/>
          <w:i/>
        </w:rPr>
        <w:t>uniuntur</w:t>
      </w:r>
      <w:r>
        <w:rPr>
          <w:b w:val="0"/>
          <w:i w:val="0"/>
        </w:rPr>
        <w:t xml:space="preserve">; </w:t>
      </w:r>
      <w:r>
        <w:rPr>
          <w:b w:val="0"/>
          <w:i/>
        </w:rPr>
        <w:t>vis insita</w:t>
      </w:r>
      <w:r>
        <w:rPr>
          <w:b w:val="0"/>
          <w:i w:val="0"/>
        </w:rPr>
        <w:t>.</w:t>
      </w:r>
    </w:p>
    <w:p>
      <w:pPr>
        <w:widowControl/>
      </w:pPr>
      <w:r>
        <w:rPr>
          <w:b w:val="0"/>
          <w:i w:val="0"/>
        </w:rPr>
        <w:t xml:space="preserve">Union of many and the inwardly implanted power producing that union. The one source unites the members; soul is identified with that source rather than the union resulting from it. References: </w:t>
      </w:r>
      <w:hyperlink w:anchor="passage-vii-12-1">
        <w:r>
          <w:rPr>
            <w:color w:val="000000"/>
          </w:rPr>
          <w:t xml:space="preserve">VII.12.1</w:t>
        </w:r>
      </w:hyperlink>
      <w:r>
        <w:rPr>
          <w:b w:val="0"/>
          <w:i w:val="0"/>
        </w:rPr>
        <w:t xml:space="preserve">. See </w:t>
      </w:r>
      <w:hyperlink w:anchor="vii-composition-unity">
        <w:r>
          <w:rPr>
            <w:color w:val="000000"/>
          </w:rPr>
          <w:t xml:space="preserve">Composition and inward unity</w:t>
        </w:r>
      </w:hyperlink>
      <w:r>
        <w:rPr>
          <w:b w:val="0"/>
          <w:i w:val="0"/>
        </w:rPr>
        <w:t>.</w:t>
      </w:r>
    </w:p>
    <w:p>
      <w:pPr>
        <w:keepNext/>
        <w:widowControl/>
      </w:pPr>
      <w:bookmarkStart w:id="1559" w:name="latin-record-1318"/>
      <w:bookmarkEnd w:id="1559"/>
      <w:r>
        <w:rPr>
          <w:b/>
          <w:i w:val="0"/>
        </w:rPr>
        <w:t>unire; sistere; continere</w:t>
      </w:r>
      <w:r>
        <w:rPr>
          <w:b/>
          <w:i w:val="0"/>
        </w:rPr>
        <w:t>.</w:t>
      </w:r>
      <w:r>
        <w:rPr>
          <w:b w:val="0"/>
          <w:i w:val="0"/>
        </w:rPr>
        <w:t xml:space="preserve"> Printed forms: </w:t>
      </w:r>
      <w:r>
        <w:rPr>
          <w:b w:val="0"/>
          <w:i/>
        </w:rPr>
        <w:t>continet</w:t>
      </w:r>
      <w:r>
        <w:rPr>
          <w:b w:val="0"/>
          <w:i w:val="0"/>
        </w:rPr>
        <w:t xml:space="preserve">; </w:t>
      </w:r>
      <w:r>
        <w:rPr>
          <w:b w:val="0"/>
          <w:i/>
        </w:rPr>
        <w:t>sistit</w:t>
      </w:r>
      <w:r>
        <w:rPr>
          <w:b w:val="0"/>
          <w:i w:val="0"/>
        </w:rPr>
        <w:t xml:space="preserve">; </w:t>
      </w:r>
      <w:r>
        <w:rPr>
          <w:b w:val="0"/>
          <w:i/>
        </w:rPr>
        <w:t>Sistit</w:t>
      </w:r>
      <w:r>
        <w:rPr>
          <w:b w:val="0"/>
          <w:i w:val="0"/>
        </w:rPr>
        <w:t xml:space="preserve">; </w:t>
      </w:r>
      <w:r>
        <w:rPr>
          <w:b w:val="0"/>
          <w:i/>
        </w:rPr>
        <w:t>unit</w:t>
      </w:r>
      <w:r>
        <w:rPr>
          <w:b w:val="0"/>
          <w:i w:val="0"/>
        </w:rPr>
        <w:t xml:space="preserve">; </w:t>
      </w:r>
      <w:r>
        <w:rPr>
          <w:b w:val="0"/>
          <w:i/>
        </w:rPr>
        <w:t>Unit</w:t>
      </w:r>
      <w:r>
        <w:rPr>
          <w:b w:val="0"/>
          <w:i w:val="0"/>
        </w:rPr>
        <w:t>.</w:t>
      </w:r>
    </w:p>
    <w:p>
      <w:pPr>
        <w:widowControl/>
      </w:pPr>
      <w:r>
        <w:rPr>
          <w:b w:val="0"/>
          <w:i w:val="0"/>
        </w:rPr>
        <w:t xml:space="preserve">To unite, stabilize and hold together. The three verbs respectively answer distance, flux and qualitative discord; their functions are not identical. References: </w:t>
      </w:r>
      <w:hyperlink w:anchor="passage-vi-8-4">
        <w:r>
          <w:rPr>
            <w:color w:val="000000"/>
          </w:rPr>
          <w:t xml:space="preserve">VI.8.4</w:t>
        </w:r>
      </w:hyperlink>
      <w:r>
        <w:rPr>
          <w:b w:val="0"/>
          <w:i w:val="0"/>
        </w:rPr>
        <w:t xml:space="preserve">, </w:t>
      </w:r>
      <w:hyperlink w:anchor="passage-vi-8-5">
        <w:r>
          <w:rPr>
            <w:color w:val="000000"/>
          </w:rPr>
          <w:t xml:space="preserve">VI.8.5</w:t>
        </w:r>
      </w:hyperlink>
      <w:r>
        <w:rPr>
          <w:b w:val="0"/>
          <w:i w:val="0"/>
        </w:rPr>
        <w:t xml:space="preserve">. See </w:t>
      </w:r>
      <w:hyperlink w:anchor="unity-dispersion-and-inward-bond">
        <w:r>
          <w:rPr>
            <w:color w:val="000000"/>
          </w:rPr>
          <w:t xml:space="preserve">Unity, dispersion and the inward bond</w:t>
        </w:r>
      </w:hyperlink>
      <w:r>
        <w:rPr>
          <w:b w:val="0"/>
          <w:i w:val="0"/>
        </w:rPr>
        <w:t>.</w:t>
      </w:r>
    </w:p>
    <w:p>
      <w:pPr>
        <w:keepNext/>
        <w:widowControl/>
      </w:pPr>
      <w:bookmarkStart w:id="1560" w:name="latin-record-1319"/>
      <w:bookmarkEnd w:id="1560"/>
      <w:r>
        <w:rPr>
          <w:b/>
          <w:i w:val="0"/>
        </w:rPr>
        <w:t>unitas / multitudo</w:t>
      </w:r>
      <w:r>
        <w:rPr>
          <w:b/>
          <w:i w:val="0"/>
        </w:rPr>
        <w:t>.</w:t>
      </w:r>
      <w:r>
        <w:rPr>
          <w:b w:val="0"/>
          <w:i w:val="0"/>
        </w:rPr>
        <w:t xml:space="preserve"> Printed forms: </w:t>
      </w:r>
      <w:r>
        <w:rPr>
          <w:b w:val="0"/>
          <w:i/>
        </w:rPr>
        <w:t>multitudinem</w:t>
      </w:r>
      <w:r>
        <w:rPr>
          <w:b w:val="0"/>
          <w:i w:val="0"/>
        </w:rPr>
        <w:t xml:space="preserve">; </w:t>
      </w:r>
      <w:r>
        <w:rPr>
          <w:b w:val="0"/>
          <w:i/>
        </w:rPr>
        <w:t>multitudo</w:t>
      </w:r>
      <w:r>
        <w:rPr>
          <w:b w:val="0"/>
          <w:i w:val="0"/>
        </w:rPr>
        <w:t xml:space="preserve">; </w:t>
      </w:r>
      <w:r>
        <w:rPr>
          <w:b w:val="0"/>
          <w:i/>
        </w:rPr>
        <w:t>unitas</w:t>
      </w:r>
      <w:r>
        <w:rPr>
          <w:b w:val="0"/>
          <w:i w:val="0"/>
        </w:rPr>
        <w:t xml:space="preserve">; </w:t>
      </w:r>
      <w:r>
        <w:rPr>
          <w:b w:val="0"/>
          <w:i/>
        </w:rPr>
        <w:t>unitatem</w:t>
      </w:r>
      <w:r>
        <w:rPr>
          <w:b w:val="0"/>
          <w:i w:val="0"/>
        </w:rPr>
        <w:t>.</w:t>
      </w:r>
    </w:p>
    <w:p>
      <w:pPr>
        <w:widowControl/>
      </w:pPr>
      <w:r>
        <w:rPr>
          <w:b w:val="0"/>
          <w:i w:val="0"/>
        </w:rPr>
        <w:t xml:space="preserve">Unity and multiplicity, whether within an account, among instances or in an explanatory hierarchy. Mind gathers many under one universal; simplicity of unity marks analysis’s limit, while divine unity is the terminus of a larger ascent. References: </w:t>
      </w:r>
      <w:hyperlink w:anchor="passage-viii-1-3">
        <w:r>
          <w:rPr>
            <w:color w:val="000000"/>
          </w:rPr>
          <w:t xml:space="preserve">VIII.1.3</w:t>
        </w:r>
      </w:hyperlink>
      <w:r>
        <w:rPr>
          <w:b w:val="0"/>
          <w:i w:val="0"/>
        </w:rPr>
        <w:t xml:space="preserve">, </w:t>
      </w:r>
      <w:hyperlink w:anchor="passage-viii-3-6">
        <w:r>
          <w:rPr>
            <w:color w:val="000000"/>
          </w:rPr>
          <w:t xml:space="preserve">VIII.3.6</w:t>
        </w:r>
      </w:hyperlink>
      <w:r>
        <w:rPr>
          <w:b w:val="0"/>
          <w:i w:val="0"/>
        </w:rPr>
        <w:t xml:space="preserve">, </w:t>
      </w:r>
      <w:hyperlink w:anchor="passage-viii-4-4">
        <w:r>
          <w:rPr>
            <w:color w:val="000000"/>
          </w:rPr>
          <w:t xml:space="preserve">VIII.4.4</w:t>
        </w:r>
      </w:hyperlink>
      <w:r>
        <w:rPr>
          <w:b w:val="0"/>
          <w:i w:val="0"/>
        </w:rPr>
        <w:t xml:space="preserve">, </w:t>
      </w:r>
      <w:hyperlink w:anchor="passage-viii-4-6">
        <w:r>
          <w:rPr>
            <w:color w:val="000000"/>
          </w:rPr>
          <w:t xml:space="preserve">VIII.4.6</w:t>
        </w:r>
      </w:hyperlink>
      <w:r>
        <w:rPr>
          <w:b w:val="0"/>
          <w:i w:val="0"/>
        </w:rPr>
        <w:t xml:space="preserve">, </w:t>
      </w:r>
      <w:hyperlink w:anchor="passage-viii-4-11">
        <w:r>
          <w:rPr>
            <w:color w:val="000000"/>
          </w:rPr>
          <w:t xml:space="preserve">VIII.4.11</w:t>
        </w:r>
      </w:hyperlink>
      <w:r>
        <w:rPr>
          <w:b w:val="0"/>
          <w:i w:val="0"/>
        </w:rPr>
        <w:t xml:space="preserve">, </w:t>
      </w:r>
      <w:hyperlink w:anchor="passage-viii-4-12">
        <w:r>
          <w:rPr>
            <w:color w:val="000000"/>
          </w:rPr>
          <w:t xml:space="preserve">VIII.4.12</w:t>
        </w:r>
      </w:hyperlink>
      <w:r>
        <w:rPr>
          <w:b w:val="0"/>
          <w:i w:val="0"/>
        </w:rPr>
        <w:t xml:space="preserve">, </w:t>
      </w:r>
      <w:hyperlink w:anchor="passage-viii-16-2">
        <w:r>
          <w:rPr>
            <w:color w:val="000000"/>
          </w:rPr>
          <w:t xml:space="preserve">VIII.16.2</w:t>
        </w:r>
      </w:hyperlink>
      <w:r>
        <w:rPr>
          <w:b w:val="0"/>
          <w:i w:val="0"/>
        </w:rPr>
        <w:t xml:space="preserve">. See </w:t>
      </w:r>
      <w:hyperlink w:anchor="viii-first-concepts">
        <w:r>
          <w:rPr>
            <w:color w:val="000000"/>
          </w:rPr>
          <w:t xml:space="preserve">First concepts, unity, and the end of analysis</w:t>
        </w:r>
      </w:hyperlink>
      <w:r>
        <w:rPr>
          <w:b w:val="0"/>
          <w:i w:val="0"/>
        </w:rPr>
        <w:t>.</w:t>
      </w:r>
    </w:p>
    <w:p>
      <w:pPr>
        <w:keepNext/>
        <w:widowControl/>
      </w:pPr>
      <w:bookmarkStart w:id="1561" w:name="latin-record-1320"/>
      <w:bookmarkEnd w:id="1561"/>
      <w:r>
        <w:rPr>
          <w:b/>
          <w:i w:val="0"/>
        </w:rPr>
        <w:t>unitas / unire</w:t>
      </w:r>
      <w:r>
        <w:rPr>
          <w:b/>
          <w:i w:val="0"/>
        </w:rPr>
        <w:t>.</w:t>
      </w:r>
      <w:r>
        <w:rPr>
          <w:b w:val="0"/>
          <w:i w:val="0"/>
        </w:rPr>
        <w:t xml:space="preserve"> Printed forms: </w:t>
      </w:r>
      <w:r>
        <w:rPr>
          <w:b w:val="0"/>
          <w:i/>
        </w:rPr>
        <w:t>unitas</w:t>
      </w:r>
      <w:r>
        <w:rPr>
          <w:b w:val="0"/>
          <w:i w:val="0"/>
        </w:rPr>
        <w:t xml:space="preserve">; </w:t>
      </w:r>
      <w:r>
        <w:rPr>
          <w:b w:val="0"/>
          <w:i/>
        </w:rPr>
        <w:t>unitatem</w:t>
      </w:r>
      <w:r>
        <w:rPr>
          <w:b w:val="0"/>
          <w:i w:val="0"/>
        </w:rPr>
        <w:t xml:space="preserve">; </w:t>
      </w:r>
      <w:r>
        <w:rPr>
          <w:b w:val="0"/>
          <w:i/>
        </w:rPr>
        <w:t>unitque</w:t>
      </w:r>
      <w:r>
        <w:rPr>
          <w:b w:val="0"/>
          <w:i w:val="0"/>
        </w:rPr>
        <w:t>.</w:t>
      </w:r>
    </w:p>
    <w:p>
      <w:pPr>
        <w:widowControl/>
      </w:pPr>
      <w:r>
        <w:rPr>
          <w:b w:val="0"/>
          <w:i w:val="0"/>
        </w:rPr>
        <w:t xml:space="preserve">Unity and uniting, the divine contribution named at the close of the matter proof. The triad assigns producing/unifying to God, stabilizing/ordering to angel, moving/forming to soul. References: </w:t>
      </w:r>
      <w:hyperlink w:anchor="passage-v-4-10">
        <w:r>
          <w:rPr>
            <w:color w:val="000000"/>
          </w:rPr>
          <w:t xml:space="preserve">V.4.10</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1562" w:name="latin-record-1321"/>
      <w:bookmarkEnd w:id="1562"/>
      <w:r>
        <w:rPr>
          <w:b/>
          <w:i w:val="0"/>
        </w:rPr>
        <w:t>unius naturae</w:t>
      </w:r>
      <w:r>
        <w:rPr>
          <w:b/>
          <w:i w:val="0"/>
        </w:rPr>
        <w:t>.</w:t>
      </w:r>
      <w:r>
        <w:rPr>
          <w:b w:val="0"/>
          <w:i w:val="0"/>
        </w:rPr>
        <w:t xml:space="preserve"> Printed forms: </w:t>
      </w:r>
      <w:r>
        <w:rPr>
          <w:b w:val="0"/>
          <w:i/>
        </w:rPr>
        <w:t>anima unius sit tota naturae</w:t>
      </w:r>
      <w:r>
        <w:rPr>
          <w:b w:val="0"/>
          <w:i w:val="0"/>
        </w:rPr>
        <w:t>.</w:t>
      </w:r>
    </w:p>
    <w:p>
      <w:pPr>
        <w:widowControl/>
      </w:pPr>
      <w:r>
        <w:rPr>
          <w:b w:val="0"/>
          <w:i w:val="0"/>
        </w:rPr>
        <w:t xml:space="preserve">The whole soul is of one nature. The hyperbaton is read as one unifying nature capable of binding diverse members, not many heterogeneous soul-pieces. References: </w:t>
      </w:r>
      <w:hyperlink w:anchor="passage-vi-13-1">
        <w:r>
          <w:rPr>
            <w:color w:val="000000"/>
          </w:rPr>
          <w:t xml:space="preserve">VI.13.1</w:t>
        </w:r>
      </w:hyperlink>
      <w:r>
        <w:rPr>
          <w:b w:val="0"/>
          <w:i w:val="0"/>
        </w:rPr>
        <w:t xml:space="preserve">. See </w:t>
      </w:r>
      <w:hyperlink w:anchor="growth-amputation-and-soul-size">
        <w:r>
          <w:rPr>
            <w:color w:val="000000"/>
          </w:rPr>
          <w:t xml:space="preserve">Growth, amputation and soul-size</w:t>
        </w:r>
      </w:hyperlink>
      <w:r>
        <w:rPr>
          <w:b w:val="0"/>
          <w:i w:val="0"/>
        </w:rPr>
        <w:t>.</w:t>
      </w:r>
    </w:p>
    <w:p>
      <w:pPr>
        <w:keepNext/>
        <w:widowControl/>
      </w:pPr>
      <w:bookmarkStart w:id="1563" w:name="latin-record-1322"/>
      <w:bookmarkEnd w:id="1563"/>
      <w:r>
        <w:rPr>
          <w:b/>
          <w:i w:val="0"/>
        </w:rPr>
        <w:t>universale; particulare</w:t>
      </w:r>
      <w:r>
        <w:rPr>
          <w:b/>
          <w:i w:val="0"/>
        </w:rPr>
        <w:t>.</w:t>
      </w:r>
      <w:r>
        <w:rPr>
          <w:b w:val="0"/>
          <w:i w:val="0"/>
        </w:rPr>
        <w:t xml:space="preserve"> Printed forms: </w:t>
      </w:r>
      <w:r>
        <w:rPr>
          <w:b w:val="0"/>
          <w:i/>
        </w:rPr>
        <w:t>particularia</w:t>
      </w:r>
      <w:r>
        <w:rPr>
          <w:b w:val="0"/>
          <w:i w:val="0"/>
        </w:rPr>
        <w:t xml:space="preserve">; </w:t>
      </w:r>
      <w:r>
        <w:rPr>
          <w:b w:val="0"/>
          <w:i/>
        </w:rPr>
        <w:t>universalia</w:t>
      </w:r>
      <w:r>
        <w:rPr>
          <w:b w:val="0"/>
          <w:i w:val="0"/>
        </w:rPr>
        <w:t>.</w:t>
      </w:r>
    </w:p>
    <w:p>
      <w:pPr>
        <w:widowControl/>
      </w:pPr>
      <w:r>
        <w:rPr>
          <w:b w:val="0"/>
          <w:i w:val="0"/>
        </w:rPr>
        <w:t xml:space="preserve">Universal and particular objects of consideration. Upward and downward name movement between these levels rather than physical altitude. References: </w:t>
      </w:r>
      <w:hyperlink w:anchor="passage-vi-12-19">
        <w:r>
          <w:rPr>
            <w:color w:val="000000"/>
          </w:rPr>
          <w:t xml:space="preserve">VI.12.19</w:t>
        </w:r>
      </w:hyperlink>
      <w:r>
        <w:rPr>
          <w:b w:val="0"/>
          <w:i w:val="0"/>
        </w:rPr>
        <w:t xml:space="preserve">. See </w:t>
      </w:r>
      <w:hyperlink w:anchor="exemplars-of-bodily-motion-in-soul">
        <w:r>
          <w:rPr>
            <w:color w:val="000000"/>
          </w:rPr>
          <w:t xml:space="preserve">Exemplars of bodily motion in soul</w:t>
        </w:r>
      </w:hyperlink>
      <w:r>
        <w:rPr>
          <w:b w:val="0"/>
          <w:i w:val="0"/>
        </w:rPr>
        <w:t>.</w:t>
      </w:r>
    </w:p>
    <w:p>
      <w:pPr>
        <w:keepNext/>
        <w:widowControl/>
      </w:pPr>
      <w:bookmarkStart w:id="1564" w:name="latin-record-1323"/>
      <w:bookmarkEnd w:id="1564"/>
      <w:r>
        <w:rPr>
          <w:b/>
          <w:i w:val="0"/>
        </w:rPr>
        <w:t>universalis</w:t>
      </w:r>
      <w:r>
        <w:rPr>
          <w:b/>
          <w:i w:val="0"/>
        </w:rPr>
        <w:t>.</w:t>
      </w:r>
      <w:r>
        <w:rPr>
          <w:b w:val="0"/>
          <w:i w:val="0"/>
        </w:rPr>
        <w:t xml:space="preserve"> Printed forms: </w:t>
      </w:r>
      <w:r>
        <w:rPr>
          <w:b w:val="0"/>
          <w:i/>
        </w:rPr>
        <w:t>universalem</w:t>
      </w:r>
      <w:r>
        <w:rPr>
          <w:b w:val="0"/>
          <w:i w:val="0"/>
        </w:rPr>
        <w:t xml:space="preserve">; </w:t>
      </w:r>
      <w:r>
        <w:rPr>
          <w:b w:val="0"/>
          <w:i/>
        </w:rPr>
        <w:t>universales</w:t>
      </w:r>
      <w:r>
        <w:rPr>
          <w:b w:val="0"/>
          <w:i w:val="0"/>
        </w:rPr>
        <w:t xml:space="preserve">; </w:t>
      </w:r>
      <w:r>
        <w:rPr>
          <w:b w:val="0"/>
          <w:i/>
        </w:rPr>
        <w:t>universali</w:t>
      </w:r>
      <w:r>
        <w:rPr>
          <w:b w:val="0"/>
          <w:i w:val="0"/>
        </w:rPr>
        <w:t xml:space="preserve">; </w:t>
      </w:r>
      <w:r>
        <w:rPr>
          <w:b w:val="0"/>
          <w:i/>
        </w:rPr>
        <w:t>universalibus</w:t>
      </w:r>
      <w:r>
        <w:rPr>
          <w:b w:val="0"/>
          <w:i w:val="0"/>
        </w:rPr>
        <w:t>.</w:t>
      </w:r>
    </w:p>
    <w:p>
      <w:pPr>
        <w:widowControl/>
      </w:pPr>
      <w:r>
        <w:rPr>
          <w:b w:val="0"/>
          <w:i w:val="0"/>
        </w:rPr>
        <w:t xml:space="preserve">Applicable across indefinitely many instances rather than confined to a singular material situation. Universal intellectual forms support laws and rules, and collect many individuals under one intelligible nature. References: </w:t>
      </w:r>
      <w:hyperlink w:anchor="passage-viii-1-4">
        <w:r>
          <w:rPr>
            <w:color w:val="000000"/>
          </w:rPr>
          <w:t xml:space="preserve">VIII.1.4</w:t>
        </w:r>
      </w:hyperlink>
      <w:r>
        <w:rPr>
          <w:b w:val="0"/>
          <w:i w:val="0"/>
        </w:rPr>
        <w:t xml:space="preserve">, </w:t>
      </w:r>
      <w:hyperlink w:anchor="passage-viii-2-7">
        <w:r>
          <w:rPr>
            <w:color w:val="000000"/>
          </w:rPr>
          <w:t xml:space="preserve">VIII.2.7</w:t>
        </w:r>
      </w:hyperlink>
      <w:r>
        <w:rPr>
          <w:b w:val="0"/>
          <w:i w:val="0"/>
        </w:rPr>
        <w:t xml:space="preserve">, </w:t>
      </w:r>
      <w:hyperlink w:anchor="passage-viii-8-1">
        <w:r>
          <w:rPr>
            <w:color w:val="000000"/>
          </w:rPr>
          <w:t xml:space="preserve">VIII.8.1</w:t>
        </w:r>
      </w:hyperlink>
      <w:r>
        <w:rPr>
          <w:b w:val="0"/>
          <w:i w:val="0"/>
        </w:rPr>
        <w:t xml:space="preserve">, </w:t>
      </w:r>
      <w:hyperlink w:anchor="passage-viii-16-2">
        <w:r>
          <w:rPr>
            <w:color w:val="000000"/>
          </w:rPr>
          <w:t xml:space="preserve">VIII.16.2</w:t>
        </w:r>
      </w:hyperlink>
      <w:r>
        <w:rPr>
          <w:b w:val="0"/>
          <w:i w:val="0"/>
        </w:rPr>
        <w:t xml:space="preserve">. See </w:t>
      </w:r>
      <w:hyperlink w:anchor="viii-universality-law">
        <w:r>
          <w:rPr>
            <w:color w:val="000000"/>
          </w:rPr>
          <w:t xml:space="preserve">Universality, law, and material restriction</w:t>
        </w:r>
      </w:hyperlink>
      <w:r>
        <w:rPr>
          <w:b w:val="0"/>
          <w:i w:val="0"/>
        </w:rPr>
        <w:t>.</w:t>
      </w:r>
    </w:p>
    <w:p>
      <w:pPr>
        <w:keepNext/>
        <w:widowControl/>
      </w:pPr>
      <w:bookmarkStart w:id="1565" w:name="latin-record-1324"/>
      <w:bookmarkEnd w:id="1565"/>
      <w:r>
        <w:rPr>
          <w:b/>
          <w:i w:val="0"/>
        </w:rPr>
        <w:t>universalis / totus</w:t>
      </w:r>
      <w:r>
        <w:rPr>
          <w:b/>
          <w:i w:val="0"/>
        </w:rPr>
        <w:t>.</w:t>
      </w:r>
      <w:r>
        <w:rPr>
          <w:b w:val="0"/>
          <w:i w:val="0"/>
        </w:rPr>
        <w:t xml:space="preserve"> Printed forms: </w:t>
      </w:r>
      <w:r>
        <w:rPr>
          <w:b w:val="0"/>
          <w:i/>
        </w:rPr>
        <w:t>totam</w:t>
      </w:r>
      <w:r>
        <w:rPr>
          <w:b w:val="0"/>
          <w:i w:val="0"/>
        </w:rPr>
        <w:t xml:space="preserve">; </w:t>
      </w:r>
      <w:r>
        <w:rPr>
          <w:b w:val="0"/>
          <w:i/>
        </w:rPr>
        <w:t>totum</w:t>
      </w:r>
      <w:r>
        <w:rPr>
          <w:b w:val="0"/>
          <w:i w:val="0"/>
        </w:rPr>
        <w:t xml:space="preserve">; </w:t>
      </w:r>
      <w:r>
        <w:rPr>
          <w:b w:val="0"/>
          <w:i/>
        </w:rPr>
        <w:t>universae</w:t>
      </w:r>
      <w:r>
        <w:rPr>
          <w:b w:val="0"/>
          <w:i w:val="0"/>
        </w:rPr>
        <w:t xml:space="preserve">; </w:t>
      </w:r>
      <w:r>
        <w:rPr>
          <w:b w:val="0"/>
          <w:i/>
        </w:rPr>
        <w:t>universali</w:t>
      </w:r>
      <w:r>
        <w:rPr>
          <w:b w:val="0"/>
          <w:i w:val="0"/>
        </w:rPr>
        <w:t xml:space="preserve">; </w:t>
      </w:r>
      <w:r>
        <w:rPr>
          <w:b w:val="0"/>
          <w:i/>
        </w:rPr>
        <w:t>universalis</w:t>
      </w:r>
      <w:r>
        <w:rPr>
          <w:b w:val="0"/>
          <w:i w:val="0"/>
        </w:rPr>
        <w:t>.</w:t>
      </w:r>
    </w:p>
    <w:p>
      <w:pPr>
        <w:widowControl/>
      </w:pPr>
      <w:r>
        <w:rPr>
          <w:b w:val="0"/>
          <w:i w:val="0"/>
        </w:rPr>
        <w:t xml:space="preserve">Universal or whole, with the whole order or entire individual specified by context. Universal matter and universal nature differ from the whole soul, whose entire essence is said to be life. References: </w:t>
      </w:r>
      <w:hyperlink w:anchor="passage-v-4-1">
        <w:r>
          <w:rPr>
            <w:color w:val="000000"/>
          </w:rPr>
          <w:t xml:space="preserve">V.4.1</w:t>
        </w:r>
      </w:hyperlink>
      <w:r>
        <w:rPr>
          <w:b w:val="0"/>
          <w:i w:val="0"/>
        </w:rPr>
        <w:t xml:space="preserve">, </w:t>
      </w:r>
      <w:hyperlink w:anchor="passage-v-4-10">
        <w:r>
          <w:rPr>
            <w:color w:val="000000"/>
          </w:rPr>
          <w:t xml:space="preserve">V.4.10</w:t>
        </w:r>
      </w:hyperlink>
      <w:r>
        <w:rPr>
          <w:b w:val="0"/>
          <w:i w:val="0"/>
        </w:rPr>
        <w:t xml:space="preserve">, </w:t>
      </w:r>
      <w:hyperlink w:anchor="passage-v-5-1">
        <w:r>
          <w:rPr>
            <w:color w:val="000000"/>
          </w:rPr>
          <w:t xml:space="preserve">V.5.1</w:t>
        </w:r>
      </w:hyperlink>
      <w:r>
        <w:rPr>
          <w:b w:val="0"/>
          <w:i w:val="0"/>
        </w:rPr>
        <w:t xml:space="preserve">, </w:t>
      </w:r>
      <w:hyperlink w:anchor="passage-v-14-1">
        <w:r>
          <w:rPr>
            <w:color w:val="000000"/>
          </w:rPr>
          <w:t xml:space="preserve">V.14.1</w:t>
        </w:r>
      </w:hyperlink>
      <w:r>
        <w:rPr>
          <w:b w:val="0"/>
          <w:i w:val="0"/>
        </w:rPr>
        <w:t xml:space="preserve">. See </w:t>
      </w:r>
      <w:hyperlink w:anchor="prime-matter-and-enduring-support">
        <w:r>
          <w:rPr>
            <w:color w:val="000000"/>
          </w:rPr>
          <w:t xml:space="preserve">Prime matter and enduring support</w:t>
        </w:r>
      </w:hyperlink>
      <w:r>
        <w:rPr>
          <w:b w:val="0"/>
          <w:i w:val="0"/>
        </w:rPr>
        <w:t>.</w:t>
      </w:r>
    </w:p>
    <w:p>
      <w:pPr>
        <w:keepNext/>
        <w:widowControl/>
      </w:pPr>
      <w:bookmarkStart w:id="1566" w:name="latin-record-1325"/>
      <w:bookmarkEnd w:id="1566"/>
      <w:r>
        <w:rPr>
          <w:b/>
          <w:i w:val="0"/>
        </w:rPr>
        <w:t>ut alias ostendemus / ut in sequentibus apparebit / ut in superioribus enarravimus</w:t>
      </w:r>
      <w:r>
        <w:rPr>
          <w:b/>
          <w:i w:val="0"/>
        </w:rPr>
        <w:t>.</w:t>
      </w:r>
      <w:r>
        <w:rPr>
          <w:b w:val="0"/>
          <w:i w:val="0"/>
        </w:rPr>
        <w:t xml:space="preserve"> Printed forms: </w:t>
      </w:r>
      <w:r>
        <w:rPr>
          <w:b w:val="0"/>
          <w:i/>
        </w:rPr>
        <w:t>ut alias ostendemus</w:t>
      </w:r>
      <w:r>
        <w:rPr>
          <w:b w:val="0"/>
          <w:i w:val="0"/>
        </w:rPr>
        <w:t xml:space="preserve">; </w:t>
      </w:r>
      <w:r>
        <w:rPr>
          <w:b w:val="0"/>
          <w:i/>
        </w:rPr>
        <w:t>ut in sequentibus apparebit</w:t>
      </w:r>
      <w:r>
        <w:rPr>
          <w:b w:val="0"/>
          <w:i w:val="0"/>
        </w:rPr>
        <w:t xml:space="preserve">; </w:t>
      </w:r>
      <w:r>
        <w:rPr>
          <w:b w:val="0"/>
          <w:i/>
        </w:rPr>
        <w:t>ut in superioribus enarravimus</w:t>
      </w:r>
      <w:r>
        <w:rPr>
          <w:b w:val="0"/>
          <w:i w:val="0"/>
        </w:rPr>
        <w:t>.</w:t>
      </w:r>
    </w:p>
    <w:p>
      <w:pPr>
        <w:widowControl/>
      </w:pPr>
      <w:r>
        <w:rPr>
          <w:b w:val="0"/>
          <w:i w:val="0"/>
        </w:rPr>
        <w:t xml:space="preserve">Explicit references backward or forward to further argumentative work. The indivisibility of meanings and understanding’s superior freedom receive promises, while the soul’s operations beyond humors appeal to earlier demonstrations. References: </w:t>
      </w:r>
      <w:hyperlink w:anchor="passage-vii-5-4">
        <w:r>
          <w:rPr>
            <w:color w:val="000000"/>
          </w:rPr>
          <w:t xml:space="preserve">VII.5.4</w:t>
        </w:r>
      </w:hyperlink>
      <w:r>
        <w:rPr>
          <w:b w:val="0"/>
          <w:i w:val="0"/>
        </w:rPr>
        <w:t xml:space="preserve">, </w:t>
      </w:r>
      <w:hyperlink w:anchor="passage-vii-10-1">
        <w:r>
          <w:rPr>
            <w:color w:val="000000"/>
          </w:rPr>
          <w:t xml:space="preserve">VII.10.1</w:t>
        </w:r>
      </w:hyperlink>
      <w:r>
        <w:rPr>
          <w:b w:val="0"/>
          <w:i w:val="0"/>
        </w:rPr>
        <w:t xml:space="preserve">, </w:t>
      </w:r>
      <w:hyperlink w:anchor="passage-vii-13-1">
        <w:r>
          <w:rPr>
            <w:color w:val="000000"/>
          </w:rPr>
          <w:t xml:space="preserve">VII.13.1</w:t>
        </w:r>
      </w:hyperlink>
      <w:r>
        <w:rPr>
          <w:b w:val="0"/>
          <w:i w:val="0"/>
        </w:rPr>
        <w:t xml:space="preserve">. See </w:t>
      </w:r>
      <w:hyperlink w:anchor="vii-freedom-matter">
        <w:r>
          <w:rPr>
            <w:color w:val="000000"/>
          </w:rPr>
          <w:t xml:space="preserve">Freedom from matter and causal priority</w:t>
        </w:r>
      </w:hyperlink>
      <w:r>
        <w:rPr>
          <w:b w:val="0"/>
          <w:i w:val="0"/>
        </w:rPr>
        <w:t>.</w:t>
      </w:r>
    </w:p>
    <w:p>
      <w:pPr>
        <w:keepNext/>
        <w:widowControl/>
      </w:pPr>
      <w:bookmarkStart w:id="1567" w:name="latin-record-1326"/>
      <w:bookmarkEnd w:id="1567"/>
      <w:r>
        <w:rPr>
          <w:b/>
          <w:i w:val="0"/>
        </w:rPr>
        <w:t>ut quidam putant / ut Platonici opinantur</w:t>
      </w:r>
      <w:r>
        <w:rPr>
          <w:b/>
          <w:i w:val="0"/>
        </w:rPr>
        <w:t>.</w:t>
      </w:r>
      <w:r>
        <w:rPr>
          <w:b w:val="0"/>
          <w:i w:val="0"/>
        </w:rPr>
        <w:t xml:space="preserve"> Printed forms: </w:t>
      </w:r>
      <w:r>
        <w:rPr>
          <w:b w:val="0"/>
          <w:i/>
        </w:rPr>
        <w:t>Platonici tamen</w:t>
      </w:r>
      <w:r>
        <w:rPr>
          <w:b w:val="0"/>
          <w:i w:val="0"/>
        </w:rPr>
        <w:t xml:space="preserve">; </w:t>
      </w:r>
      <w:r>
        <w:rPr>
          <w:b w:val="0"/>
          <w:i/>
        </w:rPr>
        <w:t>ut Platonici opinantur</w:t>
      </w:r>
      <w:r>
        <w:rPr>
          <w:b w:val="0"/>
          <w:i w:val="0"/>
        </w:rPr>
        <w:t xml:space="preserve">; </w:t>
      </w:r>
      <w:r>
        <w:rPr>
          <w:b w:val="0"/>
          <w:i/>
        </w:rPr>
        <w:t>ut quidam putant</w:t>
      </w:r>
      <w:r>
        <w:rPr>
          <w:b w:val="0"/>
          <w:i w:val="0"/>
        </w:rPr>
        <w:t>.</w:t>
      </w:r>
    </w:p>
    <w:p>
      <w:pPr>
        <w:widowControl/>
      </w:pPr>
      <w:r>
        <w:rPr>
          <w:b w:val="0"/>
          <w:i w:val="0"/>
        </w:rPr>
        <w:t xml:space="preserve">As some think, as Platonists think, and yet the Platonists: attribution and contrast markers. The opening substance claim is not universally endorsed, and latent-form self-reception is expressly attached to a Platonic explanation. References: </w:t>
      </w:r>
      <w:hyperlink w:anchor="passage-viii-1-1">
        <w:r>
          <w:rPr>
            <w:color w:val="000000"/>
          </w:rPr>
          <w:t xml:space="preserve">VIII.1.1</w:t>
        </w:r>
      </w:hyperlink>
      <w:r>
        <w:rPr>
          <w:b w:val="0"/>
          <w:i w:val="0"/>
        </w:rPr>
        <w:t xml:space="preserve">, </w:t>
      </w:r>
      <w:hyperlink w:anchor="passage-viii-13-1">
        <w:r>
          <w:rPr>
            <w:color w:val="000000"/>
          </w:rPr>
          <w:t xml:space="preserve">VIII.13.1</w:t>
        </w:r>
      </w:hyperlink>
      <w:r>
        <w:rPr>
          <w:b w:val="0"/>
          <w:i w:val="0"/>
        </w:rPr>
        <w:t xml:space="preserve">. See </w:t>
      </w:r>
      <w:hyperlink w:anchor="viii-innate-forms">
        <w:r>
          <w:rPr>
            <w:color w:val="000000"/>
          </w:rPr>
          <w:t xml:space="preserve">Innate forms and the stimulus of images</w:t>
        </w:r>
      </w:hyperlink>
      <w:r>
        <w:rPr>
          <w:b w:val="0"/>
          <w:i w:val="0"/>
        </w:rPr>
        <w:t>.</w:t>
      </w:r>
    </w:p>
    <w:p>
      <w:pPr>
        <w:keepNext/>
        <w:widowControl/>
      </w:pPr>
      <w:bookmarkStart w:id="1568" w:name="latin-record-1327"/>
      <w:bookmarkEnd w:id="1568"/>
      <w:r>
        <w:rPr>
          <w:b/>
          <w:i w:val="0"/>
        </w:rPr>
        <w:t>utrum; an; numquid; num</w:t>
      </w:r>
      <w:r>
        <w:rPr>
          <w:b/>
          <w:i w:val="0"/>
        </w:rPr>
        <w:t>.</w:t>
      </w:r>
      <w:r>
        <w:rPr>
          <w:b w:val="0"/>
          <w:i w:val="0"/>
        </w:rPr>
        <w:t xml:space="preserve"> Printed forms: </w:t>
      </w:r>
      <w:r>
        <w:rPr>
          <w:b w:val="0"/>
          <w:i/>
        </w:rPr>
        <w:t>an</w:t>
      </w:r>
      <w:r>
        <w:rPr>
          <w:b w:val="0"/>
          <w:i w:val="0"/>
        </w:rPr>
        <w:t xml:space="preserve">; </w:t>
      </w:r>
      <w:r>
        <w:rPr>
          <w:b w:val="0"/>
          <w:i/>
        </w:rPr>
        <w:t>An</w:t>
      </w:r>
      <w:r>
        <w:rPr>
          <w:b w:val="0"/>
          <w:i w:val="0"/>
        </w:rPr>
        <w:t xml:space="preserve">; </w:t>
      </w:r>
      <w:r>
        <w:rPr>
          <w:b w:val="0"/>
          <w:i/>
        </w:rPr>
        <w:t>Num</w:t>
      </w:r>
      <w:r>
        <w:rPr>
          <w:b w:val="0"/>
          <w:i w:val="0"/>
        </w:rPr>
        <w:t xml:space="preserve">; </w:t>
      </w:r>
      <w:r>
        <w:rPr>
          <w:b w:val="0"/>
          <w:i/>
        </w:rPr>
        <w:t>Numquid</w:t>
      </w:r>
      <w:r>
        <w:rPr>
          <w:b w:val="0"/>
          <w:i w:val="0"/>
        </w:rPr>
        <w:t xml:space="preserve">; </w:t>
      </w:r>
      <w:r>
        <w:rPr>
          <w:b w:val="0"/>
          <w:i/>
        </w:rPr>
        <w:t>numquid</w:t>
      </w:r>
      <w:r>
        <w:rPr>
          <w:b w:val="0"/>
          <w:i w:val="0"/>
        </w:rPr>
        <w:t xml:space="preserve">; </w:t>
      </w:r>
      <w:r>
        <w:rPr>
          <w:b w:val="0"/>
          <w:i/>
        </w:rPr>
        <w:t>utrum</w:t>
      </w:r>
      <w:r>
        <w:rPr>
          <w:b w:val="0"/>
          <w:i w:val="0"/>
        </w:rPr>
        <w:t>.</w:t>
      </w:r>
    </w:p>
    <w:p>
      <w:pPr>
        <w:widowControl/>
      </w:pPr>
      <w:r>
        <w:rPr>
          <w:b w:val="0"/>
          <w:i w:val="0"/>
        </w:rPr>
        <w:t xml:space="preserve">Question markers distinguishing alternatives and challenging a premise. The animate/inanimate, dense/subtle and motion arguments stage choices before rejecting them; rhetorical questions are part of their dialectic, not unqualified assertions. References: </w:t>
      </w:r>
      <w:hyperlink w:anchor="passage-vi-2-12">
        <w:r>
          <w:rPr>
            <w:color w:val="000000"/>
          </w:rPr>
          <w:t xml:space="preserve">VI.2.12</w:t>
        </w:r>
      </w:hyperlink>
      <w:r>
        <w:rPr>
          <w:b w:val="0"/>
          <w:i w:val="0"/>
        </w:rPr>
        <w:t xml:space="preserve">, </w:t>
      </w:r>
      <w:hyperlink w:anchor="passage-vi-4-4">
        <w:r>
          <w:rPr>
            <w:color w:val="000000"/>
          </w:rPr>
          <w:t xml:space="preserve">VI.4.4</w:t>
        </w:r>
      </w:hyperlink>
      <w:r>
        <w:rPr>
          <w:b w:val="0"/>
          <w:i w:val="0"/>
        </w:rPr>
        <w:t xml:space="preserve">, </w:t>
      </w:r>
      <w:hyperlink w:anchor="passage-vi-5-1">
        <w:r>
          <w:rPr>
            <w:color w:val="000000"/>
          </w:rPr>
          <w:t xml:space="preserve">VI.5.1</w:t>
        </w:r>
      </w:hyperlink>
      <w:r>
        <w:rPr>
          <w:b w:val="0"/>
          <w:i w:val="0"/>
        </w:rPr>
        <w:t xml:space="preserve">, </w:t>
      </w:r>
      <w:hyperlink w:anchor="passage-vi-6-1">
        <w:r>
          <w:rPr>
            <w:color w:val="000000"/>
          </w:rPr>
          <w:t xml:space="preserve">VI.6.1</w:t>
        </w:r>
      </w:hyperlink>
      <w:r>
        <w:rPr>
          <w:b w:val="0"/>
          <w:i w:val="0"/>
        </w:rPr>
        <w:t xml:space="preserve">, </w:t>
      </w:r>
      <w:hyperlink w:anchor="passage-vi-6-4">
        <w:r>
          <w:rPr>
            <w:color w:val="000000"/>
          </w:rPr>
          <w:t xml:space="preserve">VI.6.4</w:t>
        </w:r>
      </w:hyperlink>
      <w:r>
        <w:rPr>
          <w:b w:val="0"/>
          <w:i w:val="0"/>
        </w:rPr>
        <w:t xml:space="preserve">, </w:t>
      </w:r>
      <w:hyperlink w:anchor="passage-vi-12-4">
        <w:r>
          <w:rPr>
            <w:color w:val="000000"/>
          </w:rPr>
          <w:t xml:space="preserve">VI.12.4</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569" w:name="latin-record-1328"/>
      <w:bookmarkEnd w:id="1569"/>
      <w:r>
        <w:rPr>
          <w:b/>
          <w:i w:val="0"/>
        </w:rPr>
        <w:t>vacare</w:t>
      </w:r>
      <w:r>
        <w:rPr>
          <w:b/>
          <w:i w:val="0"/>
        </w:rPr>
        <w:t>.</w:t>
      </w:r>
      <w:r>
        <w:rPr>
          <w:b w:val="0"/>
          <w:i w:val="0"/>
        </w:rPr>
        <w:t xml:space="preserve"> Printed forms: </w:t>
      </w:r>
      <w:r>
        <w:rPr>
          <w:b w:val="0"/>
          <w:i/>
        </w:rPr>
        <w:t>Vacat altera</w:t>
      </w:r>
      <w:r>
        <w:rPr>
          <w:b w:val="0"/>
          <w:i w:val="0"/>
        </w:rPr>
        <w:t>.</w:t>
      </w:r>
    </w:p>
    <w:p>
      <w:pPr>
        <w:widowControl/>
      </w:pPr>
      <w:r>
        <w:rPr>
          <w:b w:val="0"/>
          <w:i w:val="0"/>
        </w:rPr>
        <w:t xml:space="preserve">The other power is idle or redundant. One endpoint’s comprehensive perception would do as much as both, so a second contributes no additional comparative work. References: </w:t>
      </w:r>
      <w:hyperlink w:anchor="passage-vii-2-2">
        <w:r>
          <w:rPr>
            <w:color w:val="000000"/>
          </w:rPr>
          <w:t xml:space="preserve">VII.2.2</w:t>
        </w:r>
      </w:hyperlink>
      <w:r>
        <w:rPr>
          <w:b w:val="0"/>
          <w:i w:val="0"/>
        </w:rPr>
        <w:t xml:space="preserve">. See </w:t>
      </w:r>
      <w:hyperlink w:anchor="vii-point-line">
        <w:r>
          <w:rPr>
            <w:color w:val="000000"/>
          </w:rPr>
          <w:t xml:space="preserve">Point, line and the comparing power</w:t>
        </w:r>
      </w:hyperlink>
      <w:r>
        <w:rPr>
          <w:b w:val="0"/>
          <w:i w:val="0"/>
        </w:rPr>
        <w:t>.</w:t>
      </w:r>
    </w:p>
    <w:p>
      <w:pPr>
        <w:keepNext/>
        <w:widowControl/>
      </w:pPr>
      <w:bookmarkStart w:id="1570" w:name="latin-record-1329"/>
      <w:bookmarkEnd w:id="1570"/>
      <w:r>
        <w:rPr>
          <w:b/>
          <w:i w:val="0"/>
        </w:rPr>
        <w:t>valere</w:t>
      </w:r>
      <w:r>
        <w:rPr>
          <w:b/>
          <w:i w:val="0"/>
        </w:rPr>
        <w:t>.</w:t>
      </w:r>
      <w:r>
        <w:rPr>
          <w:b w:val="0"/>
          <w:i w:val="0"/>
        </w:rPr>
        <w:t xml:space="preserve"> Printed forms: </w:t>
      </w:r>
      <w:r>
        <w:rPr>
          <w:b w:val="0"/>
          <w:i/>
        </w:rPr>
        <w:t>valere</w:t>
      </w:r>
      <w:r>
        <w:rPr>
          <w:b w:val="0"/>
          <w:i w:val="0"/>
        </w:rPr>
        <w:t xml:space="preserve">; </w:t>
      </w:r>
      <w:r>
        <w:rPr>
          <w:b w:val="0"/>
          <w:i/>
        </w:rPr>
        <w:t>valet</w:t>
      </w:r>
      <w:r>
        <w:rPr>
          <w:b w:val="0"/>
          <w:i w:val="0"/>
        </w:rPr>
        <w:t>.</w:t>
      </w:r>
    </w:p>
    <w:p>
      <w:pPr>
        <w:widowControl/>
      </w:pPr>
      <w:r>
        <w:rPr>
          <w:b w:val="0"/>
          <w:i w:val="0"/>
        </w:rPr>
        <w:t xml:space="preserve">To have efficacy or count in producing a result. Bodily size is denied decisive explanatory force for cognitive gifts; harmony lacks power to act on its strings. References: </w:t>
      </w:r>
      <w:hyperlink w:anchor="passage-vii-3-1">
        <w:r>
          <w:rPr>
            <w:color w:val="000000"/>
          </w:rPr>
          <w:t xml:space="preserve">VII.3.1</w:t>
        </w:r>
      </w:hyperlink>
      <w:r>
        <w:rPr>
          <w:b w:val="0"/>
          <w:i w:val="0"/>
        </w:rPr>
        <w:t xml:space="preserve">, </w:t>
      </w:r>
      <w:hyperlink w:anchor="passage-vii-10-1">
        <w:r>
          <w:rPr>
            <w:color w:val="000000"/>
          </w:rPr>
          <w:t xml:space="preserve">VII.10.1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1571" w:name="latin-record-1330"/>
      <w:bookmarkEnd w:id="1571"/>
      <w:r>
        <w:rPr>
          <w:b/>
          <w:i w:val="0"/>
        </w:rPr>
        <w:t>vapor / fumus</w:t>
      </w:r>
      <w:r>
        <w:rPr>
          <w:b/>
          <w:i w:val="0"/>
        </w:rPr>
        <w:t>.</w:t>
      </w:r>
      <w:r>
        <w:rPr>
          <w:b w:val="0"/>
          <w:i w:val="0"/>
        </w:rPr>
        <w:t xml:space="preserve"> Printed forms: </w:t>
      </w:r>
      <w:r>
        <w:rPr>
          <w:b w:val="0"/>
          <w:i/>
        </w:rPr>
        <w:t>fumos</w:t>
      </w:r>
      <w:r>
        <w:rPr>
          <w:b w:val="0"/>
          <w:i w:val="0"/>
        </w:rPr>
        <w:t xml:space="preserve">; </w:t>
      </w:r>
      <w:r>
        <w:rPr>
          <w:b w:val="0"/>
          <w:i/>
        </w:rPr>
        <w:t>vapor</w:t>
      </w:r>
      <w:r>
        <w:rPr>
          <w:b w:val="0"/>
          <w:i w:val="0"/>
        </w:rPr>
        <w:t>.</w:t>
      </w:r>
    </w:p>
    <w:p>
      <w:pPr>
        <w:widowControl/>
      </w:pPr>
      <w:r>
        <w:rPr>
          <w:b w:val="0"/>
          <w:i w:val="0"/>
        </w:rPr>
        <w:t xml:space="preserve">Vapor or fumes, products or constituents within Ficino’s historical natural philosophy. Solar thinning produces vapors; a dry upper-air vapor belongs to the comet’s defining account. References: </w:t>
      </w:r>
      <w:hyperlink w:anchor="passage-v-4-1">
        <w:r>
          <w:rPr>
            <w:color w:val="000000"/>
          </w:rPr>
          <w:t xml:space="preserve">V.4.1</w:t>
        </w:r>
      </w:hyperlink>
      <w:r>
        <w:rPr>
          <w:b w:val="0"/>
          <w:i w:val="0"/>
        </w:rPr>
        <w:t xml:space="preserve">, </w:t>
      </w:r>
      <w:hyperlink w:anchor="passage-v-7-1">
        <w:r>
          <w:rPr>
            <w:color w:val="000000"/>
          </w:rPr>
          <w:t xml:space="preserve">V.7.1</w:t>
        </w:r>
      </w:hyperlink>
      <w:r>
        <w:rPr>
          <w:b w:val="0"/>
          <w:i w:val="0"/>
        </w:rPr>
        <w:t xml:space="preserve">. See </w:t>
      </w:r>
      <w:hyperlink w:anchor="comets-and-defining-accounts">
        <w:r>
          <w:rPr>
            <w:color w:val="000000"/>
          </w:rPr>
          <w:t xml:space="preserve">Comets and defining accounts</w:t>
        </w:r>
      </w:hyperlink>
      <w:r>
        <w:rPr>
          <w:b w:val="0"/>
          <w:i w:val="0"/>
        </w:rPr>
        <w:t>.</w:t>
      </w:r>
    </w:p>
    <w:p>
      <w:pPr>
        <w:keepNext/>
        <w:widowControl/>
      </w:pPr>
      <w:bookmarkStart w:id="1572" w:name="latin-record-1331"/>
      <w:bookmarkEnd w:id="1572"/>
      <w:r>
        <w:rPr>
          <w:b/>
          <w:i w:val="0"/>
        </w:rPr>
        <w:t>vas</w:t>
      </w:r>
      <w:r>
        <w:rPr>
          <w:b/>
          <w:i w:val="0"/>
        </w:rPr>
        <w:t>.</w:t>
      </w:r>
      <w:r>
        <w:rPr>
          <w:b w:val="0"/>
          <w:i w:val="0"/>
        </w:rPr>
        <w:t xml:space="preserve"> Printed forms: </w:t>
      </w:r>
      <w:r>
        <w:rPr>
          <w:b w:val="0"/>
          <w:i/>
        </w:rPr>
        <w:t>vasis</w:t>
      </w:r>
      <w:r>
        <w:rPr>
          <w:b w:val="0"/>
          <w:i w:val="0"/>
        </w:rPr>
        <w:t>.</w:t>
      </w:r>
    </w:p>
    <w:p>
      <w:pPr>
        <w:widowControl/>
      </w:pPr>
      <w:r>
        <w:rPr>
          <w:b w:val="0"/>
          <w:i w:val="0"/>
        </w:rPr>
        <w:t xml:space="preserve">A vessel or pot, the artifact whose form may be lost while clay remains. Its breakage distinguishes destruction of a formed object from annihilation of its material. References: </w:t>
      </w:r>
      <w:hyperlink w:anchor="passage-v-4-1">
        <w:r>
          <w:rPr>
            <w:color w:val="000000"/>
          </w:rPr>
          <w:t xml:space="preserve">V.4.1</w:t>
        </w:r>
      </w:hyperlink>
      <w:r>
        <w:rPr>
          <w:b w:val="0"/>
          <w:i w:val="0"/>
        </w:rPr>
        <w:t xml:space="preserve">. See </w:t>
      </w:r>
      <w:hyperlink w:anchor="art-and-elemental-transformation">
        <w:r>
          <w:rPr>
            <w:color w:val="000000"/>
          </w:rPr>
          <w:t xml:space="preserve">Art and elemental transformation</w:t>
        </w:r>
      </w:hyperlink>
      <w:r>
        <w:rPr>
          <w:b w:val="0"/>
          <w:i w:val="0"/>
        </w:rPr>
        <w:t>.</w:t>
      </w:r>
    </w:p>
    <w:p>
      <w:pPr>
        <w:keepNext/>
        <w:widowControl/>
      </w:pPr>
      <w:bookmarkStart w:id="1573" w:name="latin-record-1332"/>
      <w:bookmarkEnd w:id="1573"/>
      <w:r>
        <w:rPr>
          <w:b/>
          <w:i w:val="0"/>
        </w:rPr>
        <w:t>vaticinari</w:t>
      </w:r>
      <w:r>
        <w:rPr>
          <w:b/>
          <w:i w:val="0"/>
        </w:rPr>
        <w:t>.</w:t>
      </w:r>
      <w:r>
        <w:rPr>
          <w:b w:val="0"/>
          <w:i w:val="0"/>
        </w:rPr>
        <w:t xml:space="preserve"> Printed forms: </w:t>
      </w:r>
      <w:r>
        <w:rPr>
          <w:b w:val="0"/>
          <w:i/>
        </w:rPr>
        <w:t>vaticinatur</w:t>
      </w:r>
      <w:r>
        <w:rPr>
          <w:b w:val="0"/>
          <w:i w:val="0"/>
        </w:rPr>
        <w:t>.</w:t>
      </w:r>
    </w:p>
    <w:p>
      <w:pPr>
        <w:widowControl/>
      </w:pPr>
      <w:r>
        <w:rPr>
          <w:b w:val="0"/>
          <w:i w:val="0"/>
        </w:rPr>
        <w:t xml:space="preserve">To prophesy or announce a reality beyond the senses’ jurisdiction. Ficino gives reason’s judgement that incorporeal things exist a deliberately heightened, affirmative voice. References: </w:t>
      </w:r>
      <w:hyperlink w:anchor="passage-vi-2-8">
        <w:r>
          <w:rPr>
            <w:color w:val="000000"/>
          </w:rPr>
          <w:t xml:space="preserve">VI.2.8</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574" w:name="latin-record-1333"/>
      <w:bookmarkEnd w:id="1574"/>
      <w:r>
        <w:rPr>
          <w:b/>
          <w:i w:val="0"/>
        </w:rPr>
        <w:t>vegetare</w:t>
      </w:r>
      <w:r>
        <w:rPr>
          <w:b/>
          <w:i w:val="0"/>
        </w:rPr>
        <w:t>.</w:t>
      </w:r>
      <w:r>
        <w:rPr>
          <w:b w:val="0"/>
          <w:i w:val="0"/>
        </w:rPr>
        <w:t xml:space="preserve"> Printed forms: </w:t>
      </w:r>
      <w:r>
        <w:rPr>
          <w:b w:val="0"/>
          <w:i/>
        </w:rPr>
        <w:t>vegetabat</w:t>
      </w:r>
      <w:r>
        <w:rPr>
          <w:b w:val="0"/>
          <w:i w:val="0"/>
        </w:rPr>
        <w:t xml:space="preserve">; </w:t>
      </w:r>
      <w:r>
        <w:rPr>
          <w:b w:val="0"/>
          <w:i/>
        </w:rPr>
        <w:t>vegetat</w:t>
      </w:r>
      <w:r>
        <w:rPr>
          <w:b w:val="0"/>
          <w:i w:val="0"/>
        </w:rPr>
        <w:t>.</w:t>
      </w:r>
    </w:p>
    <w:p>
      <w:pPr>
        <w:widowControl/>
      </w:pPr>
      <w:r>
        <w:rPr>
          <w:b w:val="0"/>
          <w:i w:val="0"/>
        </w:rPr>
        <w:t xml:space="preserve">To animate or sustain a bodily organ’s living activity. The same soul animates the ear before and during sound, doing so more attentively when sound strikes. References: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575" w:name="latin-record-1334"/>
      <w:bookmarkEnd w:id="1575"/>
      <w:r>
        <w:rPr>
          <w:b/>
          <w:i w:val="0"/>
        </w:rPr>
        <w:t>vegetatrix; natura</w:t>
      </w:r>
      <w:r>
        <w:rPr>
          <w:b/>
          <w:i w:val="0"/>
        </w:rPr>
        <w:t>.</w:t>
      </w:r>
      <w:r>
        <w:rPr>
          <w:b w:val="0"/>
          <w:i w:val="0"/>
        </w:rPr>
        <w:t xml:space="preserve"> Printed forms: </w:t>
      </w:r>
      <w:r>
        <w:rPr>
          <w:b w:val="0"/>
          <w:i/>
        </w:rPr>
        <w:t>naturam</w:t>
      </w:r>
      <w:r>
        <w:rPr>
          <w:b w:val="0"/>
          <w:i w:val="0"/>
        </w:rPr>
        <w:t xml:space="preserve">; </w:t>
      </w:r>
      <w:r>
        <w:rPr>
          <w:b w:val="0"/>
          <w:i/>
        </w:rPr>
        <w:t>vegetatricem</w:t>
      </w:r>
      <w:r>
        <w:rPr>
          <w:b w:val="0"/>
          <w:i w:val="0"/>
        </w:rPr>
        <w:t xml:space="preserve">; </w:t>
      </w:r>
      <w:r>
        <w:rPr>
          <w:b w:val="0"/>
          <w:i/>
        </w:rPr>
        <w:t>vegetatrix</w:t>
      </w:r>
      <w:r>
        <w:rPr>
          <w:b w:val="0"/>
          <w:i w:val="0"/>
        </w:rPr>
        <w:t>.</w:t>
      </w:r>
    </w:p>
    <w:p>
      <w:pPr>
        <w:widowControl/>
      </w:pPr>
      <w:r>
        <w:rPr>
          <w:b w:val="0"/>
          <w:i w:val="0"/>
        </w:rPr>
        <w:t xml:space="preserve">The life-giving power of generation, nourishment and growth. Peripatetic and Platonic names differ; the function is distinguished from sensation and intellectual inquiry. References: </w:t>
      </w:r>
      <w:hyperlink w:anchor="passage-vi-2-1">
        <w:r>
          <w:rPr>
            <w:color w:val="000000"/>
          </w:rPr>
          <w:t xml:space="preserve">VI.2.1</w:t>
        </w:r>
      </w:hyperlink>
      <w:r>
        <w:rPr>
          <w:b w:val="0"/>
          <w:i w:val="0"/>
        </w:rPr>
        <w:t xml:space="preserve">, </w:t>
      </w:r>
      <w:hyperlink w:anchor="passage-vi-10-1">
        <w:r>
          <w:rPr>
            <w:color w:val="000000"/>
          </w:rPr>
          <w:t xml:space="preserve">VI.10.1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576" w:name="latin-record-1335"/>
      <w:bookmarkEnd w:id="1576"/>
      <w:r>
        <w:rPr>
          <w:b/>
          <w:i w:val="0"/>
        </w:rPr>
        <w:t>vehiculum aethereum</w:t>
      </w:r>
      <w:r>
        <w:rPr>
          <w:b/>
          <w:i w:val="0"/>
        </w:rPr>
        <w:t>.</w:t>
      </w:r>
      <w:r>
        <w:rPr>
          <w:b w:val="0"/>
          <w:i w:val="0"/>
        </w:rPr>
        <w:t xml:space="preserve"> Printed forms: </w:t>
      </w:r>
      <w:r>
        <w:rPr>
          <w:b w:val="0"/>
          <w:i/>
        </w:rPr>
        <w:t>aethereo</w:t>
      </w:r>
      <w:r>
        <w:rPr>
          <w:b w:val="0"/>
          <w:i w:val="0"/>
        </w:rPr>
        <w:t xml:space="preserve">; </w:t>
      </w:r>
      <w:r>
        <w:rPr>
          <w:b w:val="0"/>
          <w:i/>
        </w:rPr>
        <w:t>aethereum corpus</w:t>
      </w:r>
      <w:r>
        <w:rPr>
          <w:b w:val="0"/>
          <w:i w:val="0"/>
        </w:rPr>
        <w:t xml:space="preserve">; </w:t>
      </w:r>
      <w:r>
        <w:rPr>
          <w:b w:val="0"/>
          <w:i/>
        </w:rPr>
        <w:t>vehiculo</w:t>
      </w:r>
      <w:r>
        <w:rPr>
          <w:b w:val="0"/>
          <w:i w:val="0"/>
        </w:rPr>
        <w:t>.</w:t>
      </w:r>
    </w:p>
    <w:p>
      <w:pPr>
        <w:widowControl/>
      </w:pPr>
      <w:r>
        <w:rPr>
          <w:b w:val="0"/>
          <w:i w:val="0"/>
        </w:rPr>
        <w:t xml:space="preserve">An ethereal vehicle or body, reported as the rational soul’s enduring immediate bodily associate. Its animation is distinguished from intermittent life in a composite elemental body; the report is qualified as Platonic opinion. References: </w:t>
      </w:r>
      <w:hyperlink w:anchor="passage-v-13-18">
        <w:r>
          <w:rPr>
            <w:color w:val="000000"/>
          </w:rPr>
          <w:t xml:space="preserve">V.13.18</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1577" w:name="latin-record-1336"/>
      <w:bookmarkEnd w:id="1577"/>
      <w:r>
        <w:rPr>
          <w:b/>
          <w:i w:val="0"/>
        </w:rPr>
        <w:t>vel; sive; seu; aut</w:t>
      </w:r>
      <w:r>
        <w:rPr>
          <w:b/>
          <w:i w:val="0"/>
        </w:rPr>
        <w:t>.</w:t>
      </w:r>
      <w:r>
        <w:rPr>
          <w:b w:val="0"/>
          <w:i w:val="0"/>
        </w:rPr>
        <w:t xml:space="preserve"> Printed forms: </w:t>
      </w:r>
      <w:r>
        <w:rPr>
          <w:b w:val="0"/>
          <w:i/>
        </w:rPr>
        <w:t>aut</w:t>
      </w:r>
      <w:r>
        <w:rPr>
          <w:b w:val="0"/>
          <w:i w:val="0"/>
        </w:rPr>
        <w:t xml:space="preserve">; </w:t>
      </w:r>
      <w:r>
        <w:rPr>
          <w:b w:val="0"/>
          <w:i/>
        </w:rPr>
        <w:t>Aut</w:t>
      </w:r>
      <w:r>
        <w:rPr>
          <w:b w:val="0"/>
          <w:i w:val="0"/>
        </w:rPr>
        <w:t xml:space="preserve">; </w:t>
      </w:r>
      <w:r>
        <w:rPr>
          <w:b w:val="0"/>
          <w:i/>
        </w:rPr>
        <w:t>nec</w:t>
      </w:r>
      <w:r>
        <w:rPr>
          <w:b w:val="0"/>
          <w:i w:val="0"/>
        </w:rPr>
        <w:t xml:space="preserve">; </w:t>
      </w:r>
      <w:r>
        <w:rPr>
          <w:b w:val="0"/>
          <w:i/>
        </w:rPr>
        <w:t>neque</w:t>
      </w:r>
      <w:r>
        <w:rPr>
          <w:b w:val="0"/>
          <w:i w:val="0"/>
        </w:rPr>
        <w:t xml:space="preserve">; </w:t>
      </w:r>
      <w:r>
        <w:rPr>
          <w:b w:val="0"/>
          <w:i/>
        </w:rPr>
        <w:t>Neque</w:t>
      </w:r>
      <w:r>
        <w:rPr>
          <w:b w:val="0"/>
          <w:i w:val="0"/>
        </w:rPr>
        <w:t xml:space="preserve">; </w:t>
      </w:r>
      <w:r>
        <w:rPr>
          <w:b w:val="0"/>
          <w:i/>
        </w:rPr>
        <w:t>seu</w:t>
      </w:r>
      <w:r>
        <w:rPr>
          <w:b w:val="0"/>
          <w:i w:val="0"/>
        </w:rPr>
        <w:t xml:space="preserve">; </w:t>
      </w:r>
      <w:r>
        <w:rPr>
          <w:b w:val="0"/>
          <w:i/>
        </w:rPr>
        <w:t>sive</w:t>
      </w:r>
      <w:r>
        <w:rPr>
          <w:b w:val="0"/>
          <w:i w:val="0"/>
        </w:rPr>
        <w:t xml:space="preserve">; </w:t>
      </w:r>
      <w:r>
        <w:rPr>
          <w:b w:val="0"/>
          <w:i/>
        </w:rPr>
        <w:t>vel</w:t>
      </w:r>
      <w:r>
        <w:rPr>
          <w:b w:val="0"/>
          <w:i w:val="0"/>
        </w:rPr>
        <w:t>.</w:t>
      </w:r>
    </w:p>
    <w:p>
      <w:pPr>
        <w:widowControl/>
      </w:pPr>
      <w:r>
        <w:rPr>
          <w:b w:val="0"/>
          <w:i w:val="0"/>
        </w:rPr>
        <w:t xml:space="preserve">Alternative conjunctions and negative coordination. The five positions and subsequent dilemmas depend on whether a list supplies rival possibilities, paired descriptions, or negated options. References: </w:t>
      </w:r>
      <w:hyperlink w:anchor="passage-vi-1-2">
        <w:r>
          <w:rPr>
            <w:color w:val="000000"/>
          </w:rPr>
          <w:t xml:space="preserve">VI.1.2</w:t>
        </w:r>
      </w:hyperlink>
      <w:r>
        <w:rPr>
          <w:b w:val="0"/>
          <w:i w:val="0"/>
        </w:rPr>
        <w:t xml:space="preserve">, </w:t>
      </w:r>
      <w:hyperlink w:anchor="passage-vi-1-5">
        <w:r>
          <w:rPr>
            <w:color w:val="000000"/>
          </w:rPr>
          <w:t xml:space="preserve">VI.1.5</w:t>
        </w:r>
      </w:hyperlink>
      <w:r>
        <w:rPr>
          <w:b w:val="0"/>
          <w:i w:val="0"/>
        </w:rPr>
        <w:t xml:space="preserve">, </w:t>
      </w:r>
      <w:hyperlink w:anchor="passage-vi-1-6">
        <w:r>
          <w:rPr>
            <w:color w:val="000000"/>
          </w:rPr>
          <w:t xml:space="preserve">VI.1.6</w:t>
        </w:r>
      </w:hyperlink>
      <w:r>
        <w:rPr>
          <w:b w:val="0"/>
          <w:i w:val="0"/>
        </w:rPr>
        <w:t xml:space="preserve">, </w:t>
      </w:r>
      <w:hyperlink w:anchor="passage-vi-2-1">
        <w:r>
          <w:rPr>
            <w:color w:val="000000"/>
          </w:rPr>
          <w:t xml:space="preserve">VI.2.1</w:t>
        </w:r>
      </w:hyperlink>
      <w:r>
        <w:rPr>
          <w:b w:val="0"/>
          <w:i w:val="0"/>
        </w:rPr>
        <w:t xml:space="preserve">, </w:t>
      </w:r>
      <w:hyperlink w:anchor="passage-vi-2-22">
        <w:r>
          <w:rPr>
            <w:color w:val="000000"/>
          </w:rPr>
          <w:t xml:space="preserve">VI.2.22</w:t>
        </w:r>
      </w:hyperlink>
      <w:r>
        <w:rPr>
          <w:b w:val="0"/>
          <w:i w:val="0"/>
        </w:rPr>
        <w:t xml:space="preserve">, </w:t>
      </w:r>
      <w:hyperlink w:anchor="passage-vi-5-1">
        <w:r>
          <w:rPr>
            <w:color w:val="000000"/>
          </w:rPr>
          <w:t xml:space="preserve">VI.5.1</w:t>
        </w:r>
      </w:hyperlink>
      <w:r>
        <w:rPr>
          <w:b w:val="0"/>
          <w:i w:val="0"/>
        </w:rPr>
        <w:t xml:space="preserve">. See </w:t>
      </w:r>
      <w:hyperlink w:anchor="cavalcanti-and-five-positions">
        <w:r>
          <w:rPr>
            <w:color w:val="000000"/>
          </w:rPr>
          <w:t xml:space="preserve">Cavalcanti and the five positions</w:t>
        </w:r>
      </w:hyperlink>
      <w:r>
        <w:rPr>
          <w:b w:val="0"/>
          <w:i w:val="0"/>
        </w:rPr>
        <w:t>.</w:t>
      </w:r>
    </w:p>
    <w:p>
      <w:pPr>
        <w:keepNext/>
        <w:widowControl/>
      </w:pPr>
      <w:bookmarkStart w:id="1578" w:name="latin-record-1337"/>
      <w:bookmarkEnd w:id="1578"/>
      <w:r>
        <w:rPr>
          <w:b/>
          <w:i w:val="0"/>
        </w:rPr>
        <w:t>velle / voluntas</w:t>
      </w:r>
      <w:r>
        <w:rPr>
          <w:b/>
          <w:i w:val="0"/>
        </w:rPr>
        <w:t>.</w:t>
      </w:r>
      <w:r>
        <w:rPr>
          <w:b w:val="0"/>
          <w:i w:val="0"/>
        </w:rPr>
        <w:t xml:space="preserve"> Printed forms: </w:t>
      </w:r>
      <w:r>
        <w:rPr>
          <w:b w:val="0"/>
          <w:i/>
        </w:rPr>
        <w:t>velit</w:t>
      </w:r>
      <w:r>
        <w:rPr>
          <w:b w:val="0"/>
          <w:i w:val="0"/>
        </w:rPr>
        <w:t xml:space="preserve">; </w:t>
      </w:r>
      <w:r>
        <w:rPr>
          <w:b w:val="0"/>
          <w:i/>
        </w:rPr>
        <w:t>velle</w:t>
      </w:r>
      <w:r>
        <w:rPr>
          <w:b w:val="0"/>
          <w:i w:val="0"/>
        </w:rPr>
        <w:t xml:space="preserve">; </w:t>
      </w:r>
      <w:r>
        <w:rPr>
          <w:b w:val="0"/>
          <w:i/>
        </w:rPr>
        <w:t>vellet</w:t>
      </w:r>
      <w:r>
        <w:rPr>
          <w:b w:val="0"/>
          <w:i w:val="0"/>
        </w:rPr>
        <w:t xml:space="preserve">; </w:t>
      </w:r>
      <w:r>
        <w:rPr>
          <w:b w:val="0"/>
          <w:i/>
        </w:rPr>
        <w:t>volet</w:t>
      </w:r>
      <w:r>
        <w:rPr>
          <w:b w:val="0"/>
          <w:i w:val="0"/>
        </w:rPr>
        <w:t xml:space="preserve">; </w:t>
      </w:r>
      <w:r>
        <w:rPr>
          <w:b w:val="0"/>
          <w:i/>
        </w:rPr>
        <w:t>voluntate</w:t>
      </w:r>
      <w:r>
        <w:rPr>
          <w:b w:val="0"/>
          <w:i w:val="0"/>
        </w:rPr>
        <w:t>.</w:t>
      </w:r>
    </w:p>
    <w:p>
      <w:pPr>
        <w:widowControl/>
      </w:pPr>
      <w:r>
        <w:rPr>
          <w:b w:val="0"/>
          <w:i w:val="0"/>
        </w:rPr>
        <w:t xml:space="preserve">To will and willing, one proposed cause of conversion into body. The argument distinguishes the necessary cause of a hypothetical conversion from a sufficient condition for its possibility. References: </w:t>
      </w:r>
      <w:hyperlink w:anchor="passage-v-14-2">
        <w:r>
          <w:rPr>
            <w:color w:val="000000"/>
          </w:rPr>
          <w:t xml:space="preserve">V.14.2</w:t>
        </w:r>
      </w:hyperlink>
      <w:r>
        <w:rPr>
          <w:b w:val="0"/>
          <w:i w:val="0"/>
        </w:rPr>
        <w:t xml:space="preserve">, </w:t>
      </w:r>
      <w:hyperlink w:anchor="passage-v-15-20">
        <w:r>
          <w:rPr>
            <w:color w:val="000000"/>
          </w:rPr>
          <w:t xml:space="preserve">V.15.20</w:t>
        </w:r>
      </w:hyperlink>
      <w:r>
        <w:rPr>
          <w:b w:val="0"/>
          <w:i w:val="0"/>
        </w:rPr>
        <w:t xml:space="preserve">, </w:t>
      </w:r>
      <w:hyperlink w:anchor="passage-v-15-21">
        <w:r>
          <w:rPr>
            <w:color w:val="000000"/>
          </w:rPr>
          <w:t xml:space="preserve">V.15.21</w:t>
        </w:r>
      </w:hyperlink>
      <w:r>
        <w:rPr>
          <w:b w:val="0"/>
          <w:i w:val="0"/>
        </w:rPr>
        <w:t xml:space="preserve">, </w:t>
      </w:r>
      <w:hyperlink w:anchor="passage-v-15-22">
        <w:r>
          <w:rPr>
            <w:color w:val="000000"/>
          </w:rPr>
          <w:t xml:space="preserve">V.15.22</w:t>
        </w:r>
      </w:hyperlink>
      <w:r>
        <w:rPr>
          <w:b w:val="0"/>
          <w:i w:val="0"/>
        </w:rPr>
        <w:t xml:space="preserve">, </w:t>
      </w:r>
      <w:hyperlink w:anchor="passage-v-15-23">
        <w:r>
          <w:rPr>
            <w:color w:val="000000"/>
          </w:rPr>
          <w:t xml:space="preserve">V.15.23</w:t>
        </w:r>
      </w:hyperlink>
      <w:r>
        <w:rPr>
          <w:b w:val="0"/>
          <w:i w:val="0"/>
        </w:rPr>
        <w:t xml:space="preserve">. See </w:t>
      </w:r>
      <w:hyperlink w:anchor="conversion-desire-and-compulsion">
        <w:r>
          <w:rPr>
            <w:color w:val="000000"/>
          </w:rPr>
          <w:t xml:space="preserve">Conversion, desire and compulsion</w:t>
        </w:r>
      </w:hyperlink>
      <w:r>
        <w:rPr>
          <w:b w:val="0"/>
          <w:i w:val="0"/>
        </w:rPr>
        <w:t>.</w:t>
      </w:r>
    </w:p>
    <w:p>
      <w:pPr>
        <w:keepNext/>
        <w:widowControl/>
      </w:pPr>
      <w:bookmarkStart w:id="1579" w:name="latin-record-1338"/>
      <w:bookmarkEnd w:id="1579"/>
      <w:r>
        <w:rPr>
          <w:b/>
          <w:i w:val="0"/>
        </w:rPr>
        <w:t>verberare</w:t>
      </w:r>
      <w:r>
        <w:rPr>
          <w:b/>
          <w:i w:val="0"/>
        </w:rPr>
        <w:t>.</w:t>
      </w:r>
      <w:r>
        <w:rPr>
          <w:b w:val="0"/>
          <w:i w:val="0"/>
        </w:rPr>
        <w:t xml:space="preserve"> Printed forms: </w:t>
      </w:r>
      <w:r>
        <w:rPr>
          <w:b w:val="0"/>
          <w:i/>
        </w:rPr>
        <w:t>verberantis</w:t>
      </w:r>
      <w:r>
        <w:rPr>
          <w:b w:val="0"/>
          <w:i w:val="0"/>
        </w:rPr>
        <w:t xml:space="preserve">; </w:t>
      </w:r>
      <w:r>
        <w:rPr>
          <w:b w:val="0"/>
          <w:i/>
        </w:rPr>
        <w:t>verberatur</w:t>
      </w:r>
      <w:r>
        <w:rPr>
          <w:b w:val="0"/>
          <w:i w:val="0"/>
        </w:rPr>
        <w:t>.</w:t>
      </w:r>
    </w:p>
    <w:p>
      <w:pPr>
        <w:widowControl/>
      </w:pPr>
      <w:r>
        <w:rPr>
          <w:b w:val="0"/>
          <w:i w:val="0"/>
        </w:rPr>
        <w:t xml:space="preserve">To strike or beat upon. Light strikes bodies and sound strikes the ear’s airy spirit; neither bodily impact is identified with the soul’s own passive deformation. References: </w:t>
      </w:r>
      <w:hyperlink w:anchor="passage-vii-1-3">
        <w:r>
          <w:rPr>
            <w:color w:val="000000"/>
          </w:rPr>
          <w:t xml:space="preserve">VII.1.3</w:t>
        </w:r>
      </w:hyperlink>
      <w:r>
        <w:rPr>
          <w:b w:val="0"/>
          <w:i w:val="0"/>
        </w:rPr>
        <w:t xml:space="preserve">, </w:t>
      </w:r>
      <w:hyperlink w:anchor="passage-vii-6-3">
        <w:r>
          <w:rPr>
            <w:color w:val="000000"/>
          </w:rPr>
          <w:t xml:space="preserve">VII.6.3</w:t>
        </w:r>
      </w:hyperlink>
      <w:r>
        <w:rPr>
          <w:b w:val="0"/>
          <w:i w:val="0"/>
        </w:rPr>
        <w:t xml:space="preserve">. See </w:t>
      </w:r>
      <w:hyperlink w:anchor="vii-sensation-attention">
        <w:r>
          <w:rPr>
            <w:color w:val="000000"/>
          </w:rPr>
          <w:t xml:space="preserve">Sensation as attentive activity</w:t>
        </w:r>
      </w:hyperlink>
      <w:r>
        <w:rPr>
          <w:b w:val="0"/>
          <w:i w:val="0"/>
        </w:rPr>
        <w:t>.</w:t>
      </w:r>
    </w:p>
    <w:p>
      <w:pPr>
        <w:keepNext/>
        <w:widowControl/>
      </w:pPr>
      <w:bookmarkStart w:id="1580" w:name="latin-record-1339"/>
      <w:bookmarkEnd w:id="1580"/>
      <w:r>
        <w:rPr>
          <w:b/>
          <w:i w:val="0"/>
        </w:rPr>
        <w:t>veritas / verum</w:t>
      </w:r>
      <w:r>
        <w:rPr>
          <w:b/>
          <w:i w:val="0"/>
        </w:rPr>
        <w:t>.</w:t>
      </w:r>
      <w:r>
        <w:rPr>
          <w:b w:val="0"/>
          <w:i w:val="0"/>
        </w:rPr>
        <w:t xml:space="preserve"> Printed forms: </w:t>
      </w:r>
      <w:r>
        <w:rPr>
          <w:b w:val="0"/>
          <w:i/>
        </w:rPr>
        <w:t>vera</w:t>
      </w:r>
      <w:r>
        <w:rPr>
          <w:b w:val="0"/>
          <w:i w:val="0"/>
        </w:rPr>
        <w:t xml:space="preserve">; </w:t>
      </w:r>
      <w:r>
        <w:rPr>
          <w:b w:val="0"/>
          <w:i/>
        </w:rPr>
        <w:t>veram</w:t>
      </w:r>
      <w:r>
        <w:rPr>
          <w:b w:val="0"/>
          <w:i w:val="0"/>
        </w:rPr>
        <w:t xml:space="preserve">; </w:t>
      </w:r>
      <w:r>
        <w:rPr>
          <w:b w:val="0"/>
          <w:i/>
        </w:rPr>
        <w:t>verior</w:t>
      </w:r>
      <w:r>
        <w:rPr>
          <w:b w:val="0"/>
          <w:i w:val="0"/>
        </w:rPr>
        <w:t xml:space="preserve">; </w:t>
      </w:r>
      <w:r>
        <w:rPr>
          <w:b w:val="0"/>
          <w:i/>
        </w:rPr>
        <w:t>veriora</w:t>
      </w:r>
      <w:r>
        <w:rPr>
          <w:b w:val="0"/>
          <w:i w:val="0"/>
        </w:rPr>
        <w:t xml:space="preserve">; </w:t>
      </w:r>
      <w:r>
        <w:rPr>
          <w:b w:val="0"/>
          <w:i/>
        </w:rPr>
        <w:t>Veritas</w:t>
      </w:r>
      <w:r>
        <w:rPr>
          <w:b w:val="0"/>
          <w:i w:val="0"/>
        </w:rPr>
        <w:t xml:space="preserve">; </w:t>
      </w:r>
      <w:r>
        <w:rPr>
          <w:b w:val="0"/>
          <w:i/>
        </w:rPr>
        <w:t>veritas</w:t>
      </w:r>
      <w:r>
        <w:rPr>
          <w:b w:val="0"/>
          <w:i w:val="0"/>
        </w:rPr>
        <w:t xml:space="preserve">; </w:t>
      </w:r>
      <w:r>
        <w:rPr>
          <w:b w:val="0"/>
          <w:i/>
        </w:rPr>
        <w:t>veritate</w:t>
      </w:r>
      <w:r>
        <w:rPr>
          <w:b w:val="0"/>
          <w:i w:val="0"/>
        </w:rPr>
        <w:t xml:space="preserve">; </w:t>
      </w:r>
      <w:r>
        <w:rPr>
          <w:b w:val="0"/>
          <w:i/>
        </w:rPr>
        <w:t>veritatem</w:t>
      </w:r>
      <w:r>
        <w:rPr>
          <w:b w:val="0"/>
          <w:i w:val="0"/>
        </w:rPr>
        <w:t xml:space="preserve">; </w:t>
      </w:r>
      <w:r>
        <w:rPr>
          <w:b w:val="0"/>
          <w:i/>
        </w:rPr>
        <w:t>veritatis</w:t>
      </w:r>
      <w:r>
        <w:rPr>
          <w:b w:val="0"/>
          <w:i w:val="0"/>
        </w:rPr>
        <w:t xml:space="preserve">; </w:t>
      </w:r>
      <w:r>
        <w:rPr>
          <w:b w:val="0"/>
          <w:i/>
        </w:rPr>
        <w:t>verius</w:t>
      </w:r>
      <w:r>
        <w:rPr>
          <w:b w:val="0"/>
          <w:i w:val="0"/>
        </w:rPr>
        <w:t xml:space="preserve">; </w:t>
      </w:r>
      <w:r>
        <w:rPr>
          <w:b w:val="0"/>
          <w:i/>
        </w:rPr>
        <w:t>verum</w:t>
      </w:r>
      <w:r>
        <w:rPr>
          <w:b w:val="0"/>
          <w:i w:val="0"/>
        </w:rPr>
        <w:t>.</w:t>
      </w:r>
    </w:p>
    <w:p>
      <w:pPr>
        <w:widowControl/>
      </w:pPr>
      <w:r>
        <w:rPr>
          <w:b w:val="0"/>
          <w:i w:val="0"/>
        </w:rPr>
        <w:t xml:space="preserve">Truth or genuine intelligible integrity, not only a sentence’s correctness. It is the soul’s food and the stable object of knowledge; genuine figures and unchanging accounts contrast with materially restricted instances. References: </w:t>
      </w:r>
      <w:hyperlink w:anchor="passage-viii-2-5">
        <w:r>
          <w:rPr>
            <w:color w:val="000000"/>
          </w:rPr>
          <w:t xml:space="preserve">VIII.2.5</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4-5">
        <w:r>
          <w:rPr>
            <w:color w:val="000000"/>
          </w:rPr>
          <w:t xml:space="preserve">VIII.4.5</w:t>
        </w:r>
      </w:hyperlink>
      <w:r>
        <w:rPr>
          <w:b w:val="0"/>
          <w:i w:val="0"/>
        </w:rPr>
        <w:t xml:space="preserve">, </w:t>
      </w:r>
      <w:hyperlink w:anchor="passage-viii-4-11">
        <w:r>
          <w:rPr>
            <w:color w:val="000000"/>
          </w:rPr>
          <w:t xml:space="preserve">VIII.4.11</w:t>
        </w:r>
      </w:hyperlink>
      <w:r>
        <w:rPr>
          <w:b w:val="0"/>
          <w:i w:val="0"/>
        </w:rPr>
        <w:t xml:space="preserve">, </w:t>
      </w:r>
      <w:hyperlink w:anchor="passage-viii-13-1">
        <w:r>
          <w:rPr>
            <w:color w:val="000000"/>
          </w:rPr>
          <w:t xml:space="preserve">VIII.13.1</w:t>
        </w:r>
      </w:hyperlink>
      <w:r>
        <w:rPr>
          <w:b w:val="0"/>
          <w:i w:val="0"/>
        </w:rPr>
        <w:t xml:space="preserve">, </w:t>
      </w:r>
      <w:hyperlink w:anchor="passage-viii-16-4">
        <w:r>
          <w:rPr>
            <w:color w:val="000000"/>
          </w:rPr>
          <w:t xml:space="preserve">VIII.16.4</w:t>
        </w:r>
      </w:hyperlink>
      <w:r>
        <w:rPr>
          <w:b w:val="0"/>
          <w:i w:val="0"/>
        </w:rPr>
        <w:t xml:space="preserve">. See </w:t>
      </w:r>
      <w:hyperlink w:anchor="viii-truth-mathematics">
        <w:r>
          <w:rPr>
            <w:color w:val="000000"/>
          </w:rPr>
          <w:t xml:space="preserve">Truth, mathematical figures, and immutable principles</w:t>
        </w:r>
      </w:hyperlink>
      <w:r>
        <w:rPr>
          <w:b w:val="0"/>
          <w:i w:val="0"/>
        </w:rPr>
        <w:t>.</w:t>
      </w:r>
    </w:p>
    <w:p>
      <w:pPr>
        <w:keepNext/>
        <w:widowControl/>
      </w:pPr>
      <w:bookmarkStart w:id="1581" w:name="latin-record-1340"/>
      <w:bookmarkEnd w:id="1581"/>
      <w:r>
        <w:rPr>
          <w:b/>
          <w:i w:val="0"/>
        </w:rPr>
        <w:t>veritas; gaudium</w:t>
      </w:r>
      <w:r>
        <w:rPr>
          <w:b/>
          <w:i w:val="0"/>
        </w:rPr>
        <w:t>.</w:t>
      </w:r>
      <w:r>
        <w:rPr>
          <w:b w:val="0"/>
          <w:i w:val="0"/>
        </w:rPr>
        <w:t xml:space="preserve"> Printed forms: </w:t>
      </w:r>
      <w:r>
        <w:rPr>
          <w:b w:val="0"/>
          <w:i/>
        </w:rPr>
        <w:t>gaudentem</w:t>
      </w:r>
      <w:r>
        <w:rPr>
          <w:b w:val="0"/>
          <w:i w:val="0"/>
        </w:rPr>
        <w:t xml:space="preserve">; </w:t>
      </w:r>
      <w:r>
        <w:rPr>
          <w:b w:val="0"/>
          <w:i/>
        </w:rPr>
        <w:t>gaudium</w:t>
      </w:r>
      <w:r>
        <w:rPr>
          <w:b w:val="0"/>
          <w:i w:val="0"/>
        </w:rPr>
        <w:t xml:space="preserve">; </w:t>
      </w:r>
      <w:r>
        <w:rPr>
          <w:b w:val="0"/>
          <w:i/>
        </w:rPr>
        <w:t>veritate</w:t>
      </w:r>
      <w:r>
        <w:rPr>
          <w:b w:val="0"/>
          <w:i w:val="0"/>
        </w:rPr>
        <w:t xml:space="preserve">; </w:t>
      </w:r>
      <w:r>
        <w:rPr>
          <w:b w:val="0"/>
          <w:i/>
        </w:rPr>
        <w:t>veritatem</w:t>
      </w:r>
      <w:r>
        <w:rPr>
          <w:b w:val="0"/>
          <w:i w:val="0"/>
        </w:rPr>
        <w:t>.</w:t>
      </w:r>
    </w:p>
    <w:p>
      <w:pPr>
        <w:widowControl/>
      </w:pPr>
      <w:r>
        <w:rPr>
          <w:b w:val="0"/>
          <w:i w:val="0"/>
        </w:rPr>
        <w:t xml:space="preserve">Truth and joy, reciprocally linked with light. The ascent culminates in self-shining truth, light rejoicing in truth and joy shining through it. References: </w:t>
      </w:r>
      <w:hyperlink w:anchor="passage-vi-2-10">
        <w:r>
          <w:rPr>
            <w:color w:val="000000"/>
          </w:rPr>
          <w:t xml:space="preserve">VI.2.10</w:t>
        </w:r>
      </w:hyperlink>
      <w:r>
        <w:rPr>
          <w:b w:val="0"/>
          <w:i w:val="0"/>
        </w:rPr>
        <w:t xml:space="preserve">, </w:t>
      </w:r>
      <w:hyperlink w:anchor="passage-vi-2-11">
        <w:r>
          <w:rPr>
            <w:color w:val="000000"/>
          </w:rPr>
          <w:t xml:space="preserve">VI.2.11</w:t>
        </w:r>
      </w:hyperlink>
      <w:r>
        <w:rPr>
          <w:b w:val="0"/>
          <w:i w:val="0"/>
        </w:rPr>
        <w:t xml:space="preserve">. See </w:t>
      </w:r>
      <w:hyperlink w:anchor="separate-forms-and-intellectual-life">
        <w:r>
          <w:rPr>
            <w:color w:val="000000"/>
          </w:rPr>
          <w:t xml:space="preserve">Separate forms and intellectual life</w:t>
        </w:r>
      </w:hyperlink>
      <w:r>
        <w:rPr>
          <w:b w:val="0"/>
          <w:i w:val="0"/>
        </w:rPr>
        <w:t>.</w:t>
      </w:r>
    </w:p>
    <w:p>
      <w:pPr>
        <w:keepNext/>
        <w:widowControl/>
      </w:pPr>
      <w:bookmarkStart w:id="1582" w:name="latin-record-1341"/>
      <w:bookmarkEnd w:id="1582"/>
      <w:r>
        <w:rPr>
          <w:b/>
          <w:i w:val="0"/>
        </w:rPr>
        <w:t>versari / volutari / vagari</w:t>
      </w:r>
      <w:r>
        <w:rPr>
          <w:b/>
          <w:i w:val="0"/>
        </w:rPr>
        <w:t>.</w:t>
      </w:r>
      <w:r>
        <w:rPr>
          <w:b w:val="0"/>
          <w:i w:val="0"/>
        </w:rPr>
        <w:t xml:space="preserve"> Printed forms: </w:t>
      </w:r>
      <w:r>
        <w:rPr>
          <w:b w:val="0"/>
          <w:i/>
        </w:rPr>
        <w:t>vagatur</w:t>
      </w:r>
      <w:r>
        <w:rPr>
          <w:b w:val="0"/>
          <w:i w:val="0"/>
        </w:rPr>
        <w:t xml:space="preserve">; </w:t>
      </w:r>
      <w:r>
        <w:rPr>
          <w:b w:val="0"/>
          <w:i/>
        </w:rPr>
        <w:t>versatur</w:t>
      </w:r>
      <w:r>
        <w:rPr>
          <w:b w:val="0"/>
          <w:i w:val="0"/>
        </w:rPr>
        <w:t xml:space="preserve">; </w:t>
      </w:r>
      <w:r>
        <w:rPr>
          <w:b w:val="0"/>
          <w:i/>
        </w:rPr>
        <w:t>volutat</w:t>
      </w:r>
      <w:r>
        <w:rPr>
          <w:b w:val="0"/>
          <w:i w:val="0"/>
        </w:rPr>
        <w:t>.</w:t>
      </w:r>
    </w:p>
    <w:p>
      <w:pPr>
        <w:widowControl/>
      </w:pPr>
      <w:r>
        <w:rPr>
          <w:b w:val="0"/>
          <w:i w:val="0"/>
        </w:rPr>
        <w:t xml:space="preserve">Being occupied with, turning over and ranging among objects. Ficino allocates different object-domains to sense, imagination, phantasy and intellect; the movement is often figurative rather than spatial.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4">
        <w:r>
          <w:rPr>
            <w:color w:val="000000"/>
          </w:rPr>
          <w:t xml:space="preserve">VIII.1.4</w:t>
        </w:r>
      </w:hyperlink>
      <w:r>
        <w:rPr>
          <w:b w:val="0"/>
          <w:i w:val="0"/>
        </w:rPr>
        <w:t xml:space="preserve">, </w:t>
      </w:r>
      <w:hyperlink w:anchor="passage-viii-7-1">
        <w:r>
          <w:rPr>
            <w:color w:val="000000"/>
          </w:rPr>
          <w:t xml:space="preserve">VIII.7.1</w:t>
        </w:r>
      </w:hyperlink>
      <w:r>
        <w:rPr>
          <w:b w:val="0"/>
          <w:i w:val="0"/>
        </w:rPr>
        <w:t xml:space="preserve">. See </w:t>
      </w:r>
      <w:hyperlink w:anchor="viii-four-stages">
        <w:r>
          <w:rPr>
            <w:color w:val="000000"/>
          </w:rPr>
          <w:t xml:space="preserve">Four stages of cognition</w:t>
        </w:r>
      </w:hyperlink>
      <w:r>
        <w:rPr>
          <w:b w:val="0"/>
          <w:i w:val="0"/>
        </w:rPr>
        <w:t>.</w:t>
      </w:r>
    </w:p>
    <w:p>
      <w:pPr>
        <w:keepNext/>
        <w:widowControl/>
      </w:pPr>
      <w:bookmarkStart w:id="1583" w:name="latin-record-1342"/>
      <w:bookmarkEnd w:id="1583"/>
      <w:r>
        <w:rPr>
          <w:b/>
          <w:i w:val="0"/>
        </w:rPr>
        <w:t>verum / bonum</w:t>
      </w:r>
      <w:r>
        <w:rPr>
          <w:b/>
          <w:i w:val="0"/>
        </w:rPr>
        <w:t>.</w:t>
      </w:r>
      <w:r>
        <w:rPr>
          <w:b w:val="0"/>
          <w:i w:val="0"/>
        </w:rPr>
        <w:t xml:space="preserve"> Printed forms: </w:t>
      </w:r>
      <w:r>
        <w:rPr>
          <w:b w:val="0"/>
          <w:i/>
        </w:rPr>
        <w:t>bonum</w:t>
      </w:r>
      <w:r>
        <w:rPr>
          <w:b w:val="0"/>
          <w:i w:val="0"/>
        </w:rPr>
        <w:t xml:space="preserve">; </w:t>
      </w:r>
      <w:r>
        <w:rPr>
          <w:b w:val="0"/>
          <w:i/>
        </w:rPr>
        <w:t>verum</w:t>
      </w:r>
      <w:r>
        <w:rPr>
          <w:b w:val="0"/>
          <w:i w:val="0"/>
        </w:rPr>
        <w:t xml:space="preserve">; </w:t>
      </w:r>
      <w:r>
        <w:rPr>
          <w:b w:val="0"/>
          <w:i/>
        </w:rPr>
        <w:t>Verum</w:t>
      </w:r>
      <w:r>
        <w:rPr>
          <w:b w:val="0"/>
          <w:i w:val="0"/>
        </w:rPr>
        <w:t>.</w:t>
      </w:r>
    </w:p>
    <w:p>
      <w:pPr>
        <w:widowControl/>
      </w:pPr>
      <w:r>
        <w:rPr>
          <w:b w:val="0"/>
          <w:i w:val="0"/>
        </w:rPr>
        <w:t xml:space="preserve">The true and the good as the objects of understanding and enjoyment. Their scope is at least as wide as being, supporting the distinction between inward operation and the agent’s limited mode of existence. References: </w:t>
      </w:r>
      <w:hyperlink w:anchor="passage-v-13-11">
        <w:r>
          <w:rPr>
            <w:color w:val="000000"/>
          </w:rPr>
          <w:t xml:space="preserve">V.13.11</w:t>
        </w:r>
      </w:hyperlink>
      <w:r>
        <w:rPr>
          <w:b w:val="0"/>
          <w:i w:val="0"/>
        </w:rPr>
        <w:t xml:space="preserve">. See </w:t>
      </w:r>
      <w:hyperlink w:anchor="intelligible-principles-and-reasoning">
        <w:r>
          <w:rPr>
            <w:color w:val="000000"/>
          </w:rPr>
          <w:t xml:space="preserve">Intelligible principles and reasoning</w:t>
        </w:r>
      </w:hyperlink>
      <w:r>
        <w:rPr>
          <w:b w:val="0"/>
          <w:i w:val="0"/>
        </w:rPr>
        <w:t>.</w:t>
      </w:r>
    </w:p>
    <w:p>
      <w:pPr>
        <w:keepNext/>
        <w:widowControl/>
      </w:pPr>
      <w:bookmarkStart w:id="1584" w:name="latin-record-1343"/>
      <w:bookmarkEnd w:id="1584"/>
      <w:r>
        <w:rPr>
          <w:b/>
          <w:i w:val="0"/>
        </w:rPr>
        <w:t>verus / falsus</w:t>
      </w:r>
      <w:r>
        <w:rPr>
          <w:b/>
          <w:i w:val="0"/>
        </w:rPr>
        <w:t>.</w:t>
      </w:r>
      <w:r>
        <w:rPr>
          <w:b w:val="0"/>
          <w:i w:val="0"/>
        </w:rPr>
        <w:t xml:space="preserve"> Printed forms: </w:t>
      </w:r>
      <w:r>
        <w:rPr>
          <w:b w:val="0"/>
          <w:i/>
        </w:rPr>
        <w:t>falsas</w:t>
      </w:r>
      <w:r>
        <w:rPr>
          <w:b w:val="0"/>
          <w:i w:val="0"/>
        </w:rPr>
        <w:t xml:space="preserve">; </w:t>
      </w:r>
      <w:r>
        <w:rPr>
          <w:b w:val="0"/>
          <w:i/>
        </w:rPr>
        <w:t>vera</w:t>
      </w:r>
      <w:r>
        <w:rPr>
          <w:b w:val="0"/>
          <w:i w:val="0"/>
        </w:rPr>
        <w:t xml:space="preserve">; </w:t>
      </w:r>
      <w:r>
        <w:rPr>
          <w:b w:val="0"/>
          <w:i/>
        </w:rPr>
        <w:t>veras</w:t>
      </w:r>
      <w:r>
        <w:rPr>
          <w:b w:val="0"/>
          <w:i w:val="0"/>
        </w:rPr>
        <w:t xml:space="preserve">; </w:t>
      </w:r>
      <w:r>
        <w:rPr>
          <w:b w:val="0"/>
          <w:i/>
        </w:rPr>
        <w:t>verum</w:t>
      </w:r>
      <w:r>
        <w:rPr>
          <w:b w:val="0"/>
          <w:i w:val="0"/>
        </w:rPr>
        <w:t xml:space="preserve">; </w:t>
      </w:r>
      <w:r>
        <w:rPr>
          <w:b w:val="0"/>
          <w:i/>
        </w:rPr>
        <w:t>verus</w:t>
      </w:r>
      <w:r>
        <w:rPr>
          <w:b w:val="0"/>
          <w:i w:val="0"/>
        </w:rPr>
        <w:t>.</w:t>
      </w:r>
    </w:p>
    <w:p>
      <w:pPr>
        <w:widowControl/>
      </w:pPr>
      <w:r>
        <w:rPr>
          <w:b w:val="0"/>
          <w:i w:val="0"/>
        </w:rPr>
        <w:t xml:space="preserve">True or genuine and derivative or false relative to a specified rank. The ladder allows angel to image goodness while being true intellect, and irrational soul to image soul while being true nature. References: </w:t>
      </w:r>
      <w:hyperlink w:anchor="passage-v-14-8">
        <w:r>
          <w:rPr>
            <w:color w:val="000000"/>
          </w:rPr>
          <w:t xml:space="preserve">V.14.8</w:t>
        </w:r>
      </w:hyperlink>
      <w:r>
        <w:rPr>
          <w:b w:val="0"/>
          <w:i w:val="0"/>
        </w:rPr>
        <w:t xml:space="preserve">, </w:t>
      </w:r>
      <w:hyperlink w:anchor="passage-v-14-9">
        <w:r>
          <w:rPr>
            <w:color w:val="000000"/>
          </w:rPr>
          <w:t xml:space="preserve">V.14.9</w:t>
        </w:r>
      </w:hyperlink>
      <w:r>
        <w:rPr>
          <w:b w:val="0"/>
          <w:i w:val="0"/>
        </w:rPr>
        <w:t xml:space="preserve">. See </w:t>
      </w:r>
      <w:hyperlink w:anchor="image-shadow-and-ranked-truth">
        <w:r>
          <w:rPr>
            <w:color w:val="000000"/>
          </w:rPr>
          <w:t xml:space="preserve">Image, shadow and ranked truth</w:t>
        </w:r>
      </w:hyperlink>
      <w:r>
        <w:rPr>
          <w:b w:val="0"/>
          <w:i w:val="0"/>
        </w:rPr>
        <w:t>.</w:t>
      </w:r>
    </w:p>
    <w:p>
      <w:pPr>
        <w:keepNext/>
        <w:widowControl/>
      </w:pPr>
      <w:bookmarkStart w:id="1585" w:name="latin-record-1344"/>
      <w:bookmarkEnd w:id="1585"/>
      <w:r>
        <w:rPr>
          <w:b/>
          <w:i w:val="0"/>
        </w:rPr>
        <w:t>vesci / pasci</w:t>
      </w:r>
      <w:r>
        <w:rPr>
          <w:b/>
          <w:i w:val="0"/>
        </w:rPr>
        <w:t>.</w:t>
      </w:r>
      <w:r>
        <w:rPr>
          <w:b w:val="0"/>
          <w:i w:val="0"/>
        </w:rPr>
        <w:t xml:space="preserve"> Printed forms: </w:t>
      </w:r>
      <w:r>
        <w:rPr>
          <w:b w:val="0"/>
          <w:i/>
        </w:rPr>
        <w:t>pascitur</w:t>
      </w:r>
      <w:r>
        <w:rPr>
          <w:b w:val="0"/>
          <w:i w:val="0"/>
        </w:rPr>
        <w:t xml:space="preserve">; </w:t>
      </w:r>
      <w:r>
        <w:rPr>
          <w:b w:val="0"/>
          <w:i/>
        </w:rPr>
        <w:t>pascuntur</w:t>
      </w:r>
      <w:r>
        <w:rPr>
          <w:b w:val="0"/>
          <w:i w:val="0"/>
        </w:rPr>
        <w:t xml:space="preserve">; </w:t>
      </w:r>
      <w:r>
        <w:rPr>
          <w:b w:val="0"/>
          <w:i/>
        </w:rPr>
        <w:t>vesceretur</w:t>
      </w:r>
      <w:r>
        <w:rPr>
          <w:b w:val="0"/>
          <w:i w:val="0"/>
        </w:rPr>
        <w:t xml:space="preserve">; </w:t>
      </w:r>
      <w:r>
        <w:rPr>
          <w:b w:val="0"/>
          <w:i/>
        </w:rPr>
        <w:t>vescitur</w:t>
      </w:r>
      <w:r>
        <w:rPr>
          <w:b w:val="0"/>
          <w:i w:val="0"/>
        </w:rPr>
        <w:t>.</w:t>
      </w:r>
    </w:p>
    <w:p>
      <w:pPr>
        <w:widowControl/>
      </w:pPr>
      <w:r>
        <w:rPr>
          <w:b w:val="0"/>
          <w:i w:val="0"/>
        </w:rPr>
        <w:t xml:space="preserve">Feeding upon or being nourished, extended from bodies to intellectual truth. The food analogy distinguishes the nature of the nourished subject and the nourishment appropriate to it, while acknowledging practical bodily conditions. References: </w:t>
      </w:r>
      <w:hyperlink w:anchor="passage-viii-2-1">
        <w:r>
          <w:rPr>
            <w:color w:val="000000"/>
          </w:rPr>
          <w:t xml:space="preserve">VIII.2.1</w:t>
        </w:r>
      </w:hyperlink>
      <w:r>
        <w:rPr>
          <w:b w:val="0"/>
          <w:i w:val="0"/>
        </w:rPr>
        <w:t xml:space="preserve">, </w:t>
      </w:r>
      <w:hyperlink w:anchor="passage-viii-2-2">
        <w:r>
          <w:rPr>
            <w:color w:val="000000"/>
          </w:rPr>
          <w:t xml:space="preserve">VIII.2.2</w:t>
        </w:r>
      </w:hyperlink>
      <w:r>
        <w:rPr>
          <w:b w:val="0"/>
          <w:i w:val="0"/>
        </w:rPr>
        <w:t xml:space="preserve">, </w:t>
      </w:r>
      <w:hyperlink w:anchor="passage-viii-2-5">
        <w:r>
          <w:rPr>
            <w:color w:val="000000"/>
          </w:rPr>
          <w:t xml:space="preserve">VIII.2.5</w:t>
        </w:r>
      </w:hyperlink>
      <w:r>
        <w:rPr>
          <w:b w:val="0"/>
          <w:i w:val="0"/>
        </w:rPr>
        <w:t xml:space="preserve">, </w:t>
      </w:r>
      <w:hyperlink w:anchor="passage-viii-2-6">
        <w:r>
          <w:rPr>
            <w:color w:val="000000"/>
          </w:rPr>
          <w:t xml:space="preserve">VIII.2.6</w:t>
        </w:r>
      </w:hyperlink>
      <w:r>
        <w:rPr>
          <w:b w:val="0"/>
          <w:i w:val="0"/>
        </w:rPr>
        <w:t xml:space="preserve">, </w:t>
      </w:r>
      <w:hyperlink w:anchor="passage-viii-2-8">
        <w:r>
          <w:rPr>
            <w:color w:val="000000"/>
          </w:rPr>
          <w:t xml:space="preserve">VIII.2.8</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586" w:name="latin-record-1345"/>
      <w:bookmarkEnd w:id="1586"/>
      <w:r>
        <w:rPr>
          <w:b/>
          <w:i w:val="0"/>
        </w:rPr>
        <w:t>vestis; involvere</w:t>
      </w:r>
      <w:r>
        <w:rPr>
          <w:b/>
          <w:i w:val="0"/>
        </w:rPr>
        <w:t>.</w:t>
      </w:r>
      <w:r>
        <w:rPr>
          <w:b w:val="0"/>
          <w:i w:val="0"/>
        </w:rPr>
        <w:t xml:space="preserve"> Printed forms: </w:t>
      </w:r>
      <w:r>
        <w:rPr>
          <w:b w:val="0"/>
          <w:i/>
        </w:rPr>
        <w:t>corporali veste</w:t>
      </w:r>
      <w:r>
        <w:rPr>
          <w:b w:val="0"/>
          <w:i w:val="0"/>
        </w:rPr>
        <w:t xml:space="preserve">; </w:t>
      </w:r>
      <w:r>
        <w:rPr>
          <w:b w:val="0"/>
          <w:i/>
        </w:rPr>
        <w:t>involutam</w:t>
      </w:r>
      <w:r>
        <w:rPr>
          <w:b w:val="0"/>
          <w:i w:val="0"/>
        </w:rPr>
        <w:t>.</w:t>
      </w:r>
    </w:p>
    <w:p>
      <w:pPr>
        <w:widowControl/>
      </w:pPr>
      <w:r>
        <w:rPr>
          <w:b w:val="0"/>
          <w:i w:val="0"/>
        </w:rPr>
        <w:t xml:space="preserve">A bodily garment; being wrapped or enveloped. Mind sees the soul under bodily accretions and may mistake that appearance for its nature. References: </w:t>
      </w:r>
      <w:hyperlink w:anchor="passage-vi-2-2">
        <w:r>
          <w:rPr>
            <w:color w:val="000000"/>
          </w:rPr>
          <w:t xml:space="preserve">VI.2.2</w:t>
        </w:r>
      </w:hyperlink>
      <w:r>
        <w:rPr>
          <w:b w:val="0"/>
          <w:i w:val="0"/>
        </w:rPr>
        <w:t xml:space="preserve">. See </w:t>
      </w:r>
      <w:hyperlink w:anchor="garment-mud-and-misleading-shadows">
        <w:r>
          <w:rPr>
            <w:color w:val="000000"/>
          </w:rPr>
          <w:t xml:space="preserve">Garment, mud and misleading shadows</w:t>
        </w:r>
      </w:hyperlink>
      <w:r>
        <w:rPr>
          <w:b w:val="0"/>
          <w:i w:val="0"/>
        </w:rPr>
        <w:t>.</w:t>
      </w:r>
    </w:p>
    <w:p>
      <w:pPr>
        <w:keepNext/>
        <w:widowControl/>
      </w:pPr>
      <w:bookmarkStart w:id="1587" w:name="latin-record-1346"/>
      <w:bookmarkEnd w:id="1587"/>
      <w:r>
        <w:rPr>
          <w:b/>
          <w:i w:val="0"/>
        </w:rPr>
        <w:t>vicissim</w:t>
      </w:r>
      <w:r>
        <w:rPr>
          <w:b/>
          <w:i w:val="0"/>
        </w:rPr>
        <w:t>.</w:t>
      </w:r>
      <w:r>
        <w:rPr>
          <w:b w:val="0"/>
          <w:i w:val="0"/>
        </w:rPr>
        <w:t xml:space="preserve"> Printed forms: </w:t>
      </w:r>
      <w:r>
        <w:rPr>
          <w:b w:val="0"/>
          <w:i/>
        </w:rPr>
        <w:t>vicissim</w:t>
      </w:r>
      <w:r>
        <w:rPr>
          <w:b w:val="0"/>
          <w:i w:val="0"/>
        </w:rPr>
        <w:t>.</w:t>
      </w:r>
    </w:p>
    <w:p>
      <w:pPr>
        <w:widowControl/>
      </w:pPr>
      <w:r>
        <w:rPr>
          <w:b w:val="0"/>
          <w:i w:val="0"/>
        </w:rPr>
        <w:t xml:space="preserve">In turn or by alternating succession. Matter receives and loses opposing forms by turns; circular renewal and spiritual persistence must not be confused with such material exchange. References: </w:t>
      </w:r>
      <w:hyperlink w:anchor="passage-v-4-1">
        <w:r>
          <w:rPr>
            <w:color w:val="000000"/>
          </w:rPr>
          <w:t xml:space="preserve">V.4.1</w:t>
        </w:r>
      </w:hyperlink>
      <w:r>
        <w:rPr>
          <w:b w:val="0"/>
          <w:i w:val="0"/>
        </w:rPr>
        <w:t xml:space="preserve">, </w:t>
      </w:r>
      <w:hyperlink w:anchor="passage-v-4-4">
        <w:r>
          <w:rPr>
            <w:color w:val="000000"/>
          </w:rPr>
          <w:t xml:space="preserve">V.4.4</w:t>
        </w:r>
      </w:hyperlink>
      <w:r>
        <w:rPr>
          <w:b w:val="0"/>
          <w:i w:val="0"/>
        </w:rPr>
        <w:t xml:space="preserve">, </w:t>
      </w:r>
      <w:hyperlink w:anchor="passage-v-12-7">
        <w:r>
          <w:rPr>
            <w:color w:val="000000"/>
          </w:rPr>
          <w:t xml:space="preserve">V.12.7</w:t>
        </w:r>
      </w:hyperlink>
      <w:r>
        <w:rPr>
          <w:b w:val="0"/>
          <w:i w:val="0"/>
        </w:rPr>
        <w:t xml:space="preserve">. See </w:t>
      </w:r>
      <w:hyperlink w:anchor="potency-possibility-and-the-lion">
        <w:r>
          <w:rPr>
            <w:color w:val="000000"/>
          </w:rPr>
          <w:t xml:space="preserve">Potency, possibility and the lion</w:t>
        </w:r>
      </w:hyperlink>
      <w:r>
        <w:rPr>
          <w:b w:val="0"/>
          <w:i w:val="0"/>
        </w:rPr>
        <w:t>.</w:t>
      </w:r>
    </w:p>
    <w:p>
      <w:pPr>
        <w:keepNext/>
        <w:widowControl/>
      </w:pPr>
      <w:bookmarkStart w:id="1588" w:name="latin-record-1347"/>
      <w:bookmarkEnd w:id="1588"/>
      <w:r>
        <w:rPr>
          <w:b/>
          <w:i w:val="0"/>
        </w:rPr>
        <w:t>vicissitudo generationis</w:t>
      </w:r>
      <w:r>
        <w:rPr>
          <w:b/>
          <w:i w:val="0"/>
        </w:rPr>
        <w:t>.</w:t>
      </w:r>
      <w:r>
        <w:rPr>
          <w:b w:val="0"/>
          <w:i w:val="0"/>
        </w:rPr>
        <w:t xml:space="preserve"> Printed forms: </w:t>
      </w:r>
      <w:r>
        <w:rPr>
          <w:b w:val="0"/>
          <w:i/>
        </w:rPr>
        <w:t>generationis vicissitudinem</w:t>
      </w:r>
      <w:r>
        <w:rPr>
          <w:b w:val="0"/>
          <w:i w:val="0"/>
        </w:rPr>
        <w:t xml:space="preserve">; </w:t>
      </w:r>
      <w:r>
        <w:rPr>
          <w:b w:val="0"/>
          <w:i/>
        </w:rPr>
        <w:t>successione perpetua</w:t>
      </w:r>
      <w:r>
        <w:rPr>
          <w:b w:val="0"/>
          <w:i w:val="0"/>
        </w:rPr>
        <w:t>.</w:t>
      </w:r>
    </w:p>
    <w:p>
      <w:pPr>
        <w:widowControl/>
      </w:pPr>
      <w:r>
        <w:rPr>
          <w:b w:val="0"/>
          <w:i w:val="0"/>
        </w:rPr>
        <w:t xml:space="preserve">Successive change or alternation in generation. The possibility of unending generation concerns a series of new individuals, distinct from the personal permanence claimed for mind. References: </w:t>
      </w:r>
      <w:hyperlink w:anchor="passage-viii-16-2">
        <w:r>
          <w:rPr>
            <w:color w:val="000000"/>
          </w:rPr>
          <w:t xml:space="preserve">VIII.16.2</w:t>
        </w:r>
      </w:hyperlink>
      <w:r>
        <w:rPr>
          <w:b w:val="0"/>
          <w:i w:val="0"/>
        </w:rPr>
        <w:t xml:space="preserve">. See </w:t>
      </w:r>
      <w:hyperlink w:anchor="viii-finite-angels">
        <w:r>
          <w:rPr>
            <w:color w:val="000000"/>
          </w:rPr>
          <w:t xml:space="preserve">Finite angels, infinite act, and infinite potency</w:t>
        </w:r>
      </w:hyperlink>
      <w:r>
        <w:rPr>
          <w:b w:val="0"/>
          <w:i w:val="0"/>
        </w:rPr>
        <w:t>.</w:t>
      </w:r>
    </w:p>
    <w:p>
      <w:pPr>
        <w:keepNext/>
        <w:widowControl/>
      </w:pPr>
      <w:bookmarkStart w:id="1589" w:name="latin-record-1348"/>
      <w:bookmarkEnd w:id="1589"/>
      <w:r>
        <w:rPr>
          <w:b/>
          <w:i w:val="0"/>
        </w:rPr>
        <w:t>vicissitudo seminum</w:t>
      </w:r>
      <w:r>
        <w:rPr>
          <w:b/>
          <w:i w:val="0"/>
        </w:rPr>
        <w:t>.</w:t>
      </w:r>
      <w:r>
        <w:rPr>
          <w:b w:val="0"/>
          <w:i w:val="0"/>
        </w:rPr>
        <w:t xml:space="preserve"> Printed forms: </w:t>
      </w:r>
      <w:r>
        <w:rPr>
          <w:b w:val="0"/>
          <w:i/>
        </w:rPr>
        <w:t>temporalis vicissitudo seminum</w:t>
      </w:r>
      <w:r>
        <w:rPr>
          <w:b w:val="0"/>
          <w:i w:val="0"/>
        </w:rPr>
        <w:t>.</w:t>
      </w:r>
    </w:p>
    <w:p>
      <w:pPr>
        <w:widowControl/>
      </w:pPr>
      <w:r>
        <w:rPr>
          <w:b w:val="0"/>
          <w:i w:val="0"/>
        </w:rPr>
        <w:t xml:space="preserve">Temporal succession of productive seeds or principles. This belongs to the soul’s bodily governing activity, distinguished from successive cognition and affection. References: </w:t>
      </w:r>
      <w:hyperlink w:anchor="passage-vi-12-17">
        <w:r>
          <w:rPr>
            <w:color w:val="000000"/>
          </w:rPr>
          <w:t xml:space="preserve">VI.12.17</w:t>
        </w:r>
      </w:hyperlink>
      <w:r>
        <w:rPr>
          <w:b w:val="0"/>
          <w:i w:val="0"/>
        </w:rPr>
        <w:t xml:space="preserve">. See </w:t>
      </w:r>
      <w:hyperlink w:anchor="temporal-discourse-and-psychic-ascent">
        <w:r>
          <w:rPr>
            <w:color w:val="000000"/>
          </w:rPr>
          <w:t xml:space="preserve">Temporal discourse and psychic ascent</w:t>
        </w:r>
      </w:hyperlink>
      <w:r>
        <w:rPr>
          <w:b w:val="0"/>
          <w:i w:val="0"/>
        </w:rPr>
        <w:t>.</w:t>
      </w:r>
    </w:p>
    <w:p>
      <w:pPr>
        <w:keepNext/>
        <w:widowControl/>
      </w:pPr>
      <w:bookmarkStart w:id="1590" w:name="latin-record-1349"/>
      <w:bookmarkEnd w:id="1590"/>
      <w:r>
        <w:rPr>
          <w:b/>
          <w:i w:val="0"/>
        </w:rPr>
        <w:t>vicissitudo; vices</w:t>
      </w:r>
      <w:r>
        <w:rPr>
          <w:b/>
          <w:i w:val="0"/>
        </w:rPr>
        <w:t>.</w:t>
      </w:r>
      <w:r>
        <w:rPr>
          <w:b w:val="0"/>
          <w:i w:val="0"/>
        </w:rPr>
        <w:t xml:space="preserve"> Printed forms: </w:t>
      </w:r>
      <w:r>
        <w:rPr>
          <w:b w:val="0"/>
          <w:i/>
        </w:rPr>
        <w:t>affectionum variat vices</w:t>
      </w:r>
      <w:r>
        <w:rPr>
          <w:b w:val="0"/>
          <w:i w:val="0"/>
        </w:rPr>
        <w:t xml:space="preserve">; </w:t>
      </w:r>
      <w:r>
        <w:rPr>
          <w:b w:val="0"/>
          <w:i/>
        </w:rPr>
        <w:t>naturalem essentiae illius vicissitudinem</w:t>
      </w:r>
      <w:r>
        <w:rPr>
          <w:b w:val="0"/>
          <w:i w:val="0"/>
        </w:rPr>
        <w:t>.</w:t>
      </w:r>
    </w:p>
    <w:p>
      <w:pPr>
        <w:widowControl/>
      </w:pPr>
      <w:r>
        <w:rPr>
          <w:b w:val="0"/>
          <w:i w:val="0"/>
        </w:rPr>
        <w:t xml:space="preserve">Natural alternation of essence in successive affections. Self-motion names soul’s inward unfolding, without a separate agent pushing a recipient part. References: </w:t>
      </w:r>
      <w:hyperlink w:anchor="passage-vi-12-10">
        <w:r>
          <w:rPr>
            <w:color w:val="000000"/>
          </w:rPr>
          <w:t xml:space="preserve">VI.12.10</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591" w:name="latin-record-1350"/>
      <w:bookmarkEnd w:id="1591"/>
      <w:r>
        <w:rPr>
          <w:b/>
          <w:i w:val="0"/>
        </w:rPr>
        <w:t>videre; audire; olfacere; gustare; tangere</w:t>
      </w:r>
      <w:r>
        <w:rPr>
          <w:b/>
          <w:i w:val="0"/>
        </w:rPr>
        <w:t>.</w:t>
      </w:r>
      <w:r>
        <w:rPr>
          <w:b w:val="0"/>
          <w:i w:val="0"/>
        </w:rPr>
        <w:t xml:space="preserve"> Printed forms: </w:t>
      </w:r>
      <w:r>
        <w:rPr>
          <w:b w:val="0"/>
          <w:i/>
        </w:rPr>
        <w:t>audit</w:t>
      </w:r>
      <w:r>
        <w:rPr>
          <w:b w:val="0"/>
          <w:i w:val="0"/>
        </w:rPr>
        <w:t xml:space="preserve">; </w:t>
      </w:r>
      <w:r>
        <w:rPr>
          <w:b w:val="0"/>
          <w:i/>
        </w:rPr>
        <w:t>gustat</w:t>
      </w:r>
      <w:r>
        <w:rPr>
          <w:b w:val="0"/>
          <w:i w:val="0"/>
        </w:rPr>
        <w:t xml:space="preserve">; </w:t>
      </w:r>
      <w:r>
        <w:rPr>
          <w:b w:val="0"/>
          <w:i/>
        </w:rPr>
        <w:t>olfacit</w:t>
      </w:r>
      <w:r>
        <w:rPr>
          <w:b w:val="0"/>
          <w:i w:val="0"/>
        </w:rPr>
        <w:t xml:space="preserve">; </w:t>
      </w:r>
      <w:r>
        <w:rPr>
          <w:b w:val="0"/>
          <w:i/>
        </w:rPr>
        <w:t>tangit</w:t>
      </w:r>
      <w:r>
        <w:rPr>
          <w:b w:val="0"/>
          <w:i w:val="0"/>
        </w:rPr>
        <w:t xml:space="preserve">; </w:t>
      </w:r>
      <w:r>
        <w:rPr>
          <w:b w:val="0"/>
          <w:i/>
        </w:rPr>
        <w:t>videt</w:t>
      </w:r>
      <w:r>
        <w:rPr>
          <w:b w:val="0"/>
          <w:i w:val="0"/>
        </w:rPr>
        <w:t>.</w:t>
      </w:r>
    </w:p>
    <w:p>
      <w:pPr>
        <w:widowControl/>
      </w:pPr>
      <w:r>
        <w:rPr>
          <w:b w:val="0"/>
          <w:i w:val="0"/>
        </w:rPr>
        <w:t xml:space="preserve">To see, hear, smell, taste and touch. The complete five-sense list specifies the outward mode rather than treating all perception as vision. References: </w:t>
      </w:r>
      <w:hyperlink w:anchor="passage-vi-2-1">
        <w:r>
          <w:rPr>
            <w:color w:val="000000"/>
          </w:rPr>
          <w:t xml:space="preserve">VI.2.1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592" w:name="latin-record-1351"/>
      <w:bookmarkEnd w:id="1592"/>
      <w:r>
        <w:rPr>
          <w:b/>
          <w:i w:val="0"/>
        </w:rPr>
        <w:t>videre; cernere; intueri</w:t>
      </w:r>
      <w:r>
        <w:rPr>
          <w:b/>
          <w:i w:val="0"/>
        </w:rPr>
        <w:t>.</w:t>
      </w:r>
      <w:r>
        <w:rPr>
          <w:b w:val="0"/>
          <w:i w:val="0"/>
        </w:rPr>
        <w:t xml:space="preserve"> Printed forms: </w:t>
      </w:r>
      <w:r>
        <w:rPr>
          <w:b w:val="0"/>
          <w:i/>
        </w:rPr>
        <w:t>cernebat</w:t>
      </w:r>
      <w:r>
        <w:rPr>
          <w:b w:val="0"/>
          <w:i w:val="0"/>
        </w:rPr>
        <w:t xml:space="preserve">; </w:t>
      </w:r>
      <w:r>
        <w:rPr>
          <w:b w:val="0"/>
          <w:i/>
        </w:rPr>
        <w:t>cernit</w:t>
      </w:r>
      <w:r>
        <w:rPr>
          <w:b w:val="0"/>
          <w:i w:val="0"/>
        </w:rPr>
        <w:t xml:space="preserve">; </w:t>
      </w:r>
      <w:r>
        <w:rPr>
          <w:b w:val="0"/>
          <w:i/>
        </w:rPr>
        <w:t>cernitis</w:t>
      </w:r>
      <w:r>
        <w:rPr>
          <w:b w:val="0"/>
          <w:i w:val="0"/>
        </w:rPr>
        <w:t xml:space="preserve">; </w:t>
      </w:r>
      <w:r>
        <w:rPr>
          <w:b w:val="0"/>
          <w:i/>
        </w:rPr>
        <w:t>cernuntur</w:t>
      </w:r>
      <w:r>
        <w:rPr>
          <w:b w:val="0"/>
          <w:i w:val="0"/>
        </w:rPr>
        <w:t xml:space="preserve">; </w:t>
      </w:r>
      <w:r>
        <w:rPr>
          <w:b w:val="0"/>
          <w:i/>
        </w:rPr>
        <w:t>intueatur</w:t>
      </w:r>
      <w:r>
        <w:rPr>
          <w:b w:val="0"/>
          <w:i w:val="0"/>
        </w:rPr>
        <w:t xml:space="preserve">; </w:t>
      </w:r>
      <w:r>
        <w:rPr>
          <w:b w:val="0"/>
          <w:i/>
        </w:rPr>
        <w:t>intuemur</w:t>
      </w:r>
      <w:r>
        <w:rPr>
          <w:b w:val="0"/>
          <w:i w:val="0"/>
        </w:rPr>
        <w:t xml:space="preserve">; </w:t>
      </w:r>
      <w:r>
        <w:rPr>
          <w:b w:val="0"/>
          <w:i/>
        </w:rPr>
        <w:t>intuentur</w:t>
      </w:r>
      <w:r>
        <w:rPr>
          <w:b w:val="0"/>
          <w:i w:val="0"/>
        </w:rPr>
        <w:t xml:space="preserve">; </w:t>
      </w:r>
      <w:r>
        <w:rPr>
          <w:b w:val="0"/>
          <w:i/>
        </w:rPr>
        <w:t>intueri</w:t>
      </w:r>
      <w:r>
        <w:rPr>
          <w:b w:val="0"/>
          <w:i w:val="0"/>
        </w:rPr>
        <w:t xml:space="preserve">; </w:t>
      </w:r>
      <w:r>
        <w:rPr>
          <w:b w:val="0"/>
          <w:i/>
        </w:rPr>
        <w:t>videamus</w:t>
      </w:r>
      <w:r>
        <w:rPr>
          <w:b w:val="0"/>
          <w:i w:val="0"/>
        </w:rPr>
        <w:t xml:space="preserve">; </w:t>
      </w:r>
      <w:r>
        <w:rPr>
          <w:b w:val="0"/>
          <w:i/>
        </w:rPr>
        <w:t>videat</w:t>
      </w:r>
      <w:r>
        <w:rPr>
          <w:b w:val="0"/>
          <w:i w:val="0"/>
        </w:rPr>
        <w:t xml:space="preserve">; </w:t>
      </w:r>
      <w:r>
        <w:rPr>
          <w:b w:val="0"/>
          <w:i/>
        </w:rPr>
        <w:t>videatur</w:t>
      </w:r>
      <w:r>
        <w:rPr>
          <w:b w:val="0"/>
          <w:i w:val="0"/>
        </w:rPr>
        <w:t xml:space="preserve">; </w:t>
      </w:r>
      <w:r>
        <w:rPr>
          <w:b w:val="0"/>
          <w:i/>
        </w:rPr>
        <w:t>videbitur</w:t>
      </w:r>
      <w:r>
        <w:rPr>
          <w:b w:val="0"/>
          <w:i w:val="0"/>
        </w:rPr>
        <w:t xml:space="preserve">; </w:t>
      </w:r>
      <w:r>
        <w:rPr>
          <w:b w:val="0"/>
          <w:i/>
        </w:rPr>
        <w:t>videmus</w:t>
      </w:r>
      <w:r>
        <w:rPr>
          <w:b w:val="0"/>
          <w:i w:val="0"/>
        </w:rPr>
        <w:t xml:space="preserve">; </w:t>
      </w:r>
      <w:r>
        <w:rPr>
          <w:b w:val="0"/>
          <w:i/>
        </w:rPr>
        <w:t>vident</w:t>
      </w:r>
      <w:r>
        <w:rPr>
          <w:b w:val="0"/>
          <w:i w:val="0"/>
        </w:rPr>
        <w:t xml:space="preserve">; </w:t>
      </w:r>
      <w:r>
        <w:rPr>
          <w:b w:val="0"/>
          <w:i/>
        </w:rPr>
        <w:t>videramus</w:t>
      </w:r>
      <w:r>
        <w:rPr>
          <w:b w:val="0"/>
          <w:i w:val="0"/>
        </w:rPr>
        <w:t xml:space="preserve">; </w:t>
      </w:r>
      <w:r>
        <w:rPr>
          <w:b w:val="0"/>
          <w:i/>
        </w:rPr>
        <w:t>videre</w:t>
      </w:r>
      <w:r>
        <w:rPr>
          <w:b w:val="0"/>
          <w:i w:val="0"/>
        </w:rPr>
        <w:t xml:space="preserve">; </w:t>
      </w:r>
      <w:r>
        <w:rPr>
          <w:b w:val="0"/>
          <w:i/>
        </w:rPr>
        <w:t>videretur</w:t>
      </w:r>
      <w:r>
        <w:rPr>
          <w:b w:val="0"/>
          <w:i w:val="0"/>
        </w:rPr>
        <w:t xml:space="preserve">; </w:t>
      </w:r>
      <w:r>
        <w:rPr>
          <w:b w:val="0"/>
          <w:i/>
        </w:rPr>
        <w:t>videt</w:t>
      </w:r>
      <w:r>
        <w:rPr>
          <w:b w:val="0"/>
          <w:i w:val="0"/>
        </w:rPr>
        <w:t xml:space="preserve">; </w:t>
      </w:r>
      <w:r>
        <w:rPr>
          <w:b w:val="0"/>
          <w:i/>
        </w:rPr>
        <w:t>videtur</w:t>
      </w:r>
      <w:r>
        <w:rPr>
          <w:b w:val="0"/>
          <w:i w:val="0"/>
        </w:rPr>
        <w:t>.</w:t>
      </w:r>
    </w:p>
    <w:p>
      <w:pPr>
        <w:widowControl/>
      </w:pPr>
      <w:r>
        <w:rPr>
          <w:b w:val="0"/>
          <w:i w:val="0"/>
        </w:rPr>
        <w:t xml:space="preserve">To see, discern or contemplate; passive videri can also mean to seem. Bodily seeing and intellectual vision coexist as different modes; </w:t>
      </w:r>
      <w:r>
        <w:t>“</w:t>
      </w:r>
      <w:r>
        <w:rPr>
          <w:b w:val="0"/>
          <w:i w:val="0"/>
        </w:rPr>
        <w:t>seems</w:t>
      </w:r>
      <w:r>
        <w:t>”</w:t>
      </w:r>
      <w:r>
        <w:rPr>
          <w:b w:val="0"/>
          <w:i w:val="0"/>
        </w:rPr>
        <w:t xml:space="preserve"> may qualify attribution or appearance rather than certify a doctrine. References: </w:t>
      </w:r>
      <w:hyperlink w:anchor="passage-vi-2-2">
        <w:r>
          <w:rPr>
            <w:color w:val="000000"/>
          </w:rPr>
          <w:t xml:space="preserve">VI.2.2</w:t>
        </w:r>
      </w:hyperlink>
      <w:r>
        <w:rPr>
          <w:b w:val="0"/>
          <w:i w:val="0"/>
        </w:rPr>
        <w:t xml:space="preserve">, </w:t>
      </w:r>
      <w:hyperlink w:anchor="passage-vi-2-9">
        <w:r>
          <w:rPr>
            <w:color w:val="000000"/>
          </w:rPr>
          <w:t xml:space="preserve">VI.2.9</w:t>
        </w:r>
      </w:hyperlink>
      <w:r>
        <w:rPr>
          <w:b w:val="0"/>
          <w:i w:val="0"/>
        </w:rPr>
        <w:t xml:space="preserve">, </w:t>
      </w:r>
      <w:hyperlink w:anchor="passage-vi-2-15">
        <w:r>
          <w:rPr>
            <w:color w:val="000000"/>
          </w:rPr>
          <w:t xml:space="preserve">VI.2.15</w:t>
        </w:r>
      </w:hyperlink>
      <w:r>
        <w:rPr>
          <w:b w:val="0"/>
          <w:i w:val="0"/>
        </w:rPr>
        <w:t xml:space="preserve">, </w:t>
      </w:r>
      <w:hyperlink w:anchor="passage-vi-2-16">
        <w:r>
          <w:rPr>
            <w:color w:val="000000"/>
          </w:rPr>
          <w:t xml:space="preserve">VI.2.16</w:t>
        </w:r>
      </w:hyperlink>
      <w:r>
        <w:rPr>
          <w:b w:val="0"/>
          <w:i w:val="0"/>
        </w:rPr>
        <w:t xml:space="preserve">, </w:t>
      </w:r>
      <w:hyperlink w:anchor="passage-vi-2-22">
        <w:r>
          <w:rPr>
            <w:color w:val="000000"/>
          </w:rPr>
          <w:t xml:space="preserve">VI.2.22</w:t>
        </w:r>
      </w:hyperlink>
      <w:r>
        <w:rPr>
          <w:b w:val="0"/>
          <w:i w:val="0"/>
        </w:rPr>
        <w:t xml:space="preserve">, </w:t>
      </w:r>
      <w:hyperlink w:anchor="passage-vi-2-23">
        <w:r>
          <w:rPr>
            <w:color w:val="000000"/>
          </w:rPr>
          <w:t xml:space="preserve">VI.2.23</w:t>
        </w:r>
      </w:hyperlink>
      <w:r>
        <w:rPr>
          <w:b w:val="0"/>
          <w:i w:val="0"/>
        </w:rPr>
        <w:t xml:space="preserve">, </w:t>
      </w:r>
      <w:hyperlink w:anchor="passage-vi-2-24">
        <w:r>
          <w:rPr>
            <w:color w:val="000000"/>
          </w:rPr>
          <w:t xml:space="preserve">VI.2.24</w:t>
        </w:r>
      </w:hyperlink>
      <w:r>
        <w:rPr>
          <w:b w:val="0"/>
          <w:i w:val="0"/>
        </w:rPr>
        <w:t xml:space="preserve">, </w:t>
      </w:r>
      <w:hyperlink w:anchor="passage-vi-2-26">
        <w:r>
          <w:rPr>
            <w:color w:val="000000"/>
          </w:rPr>
          <w:t xml:space="preserve">VI.2.26</w:t>
        </w:r>
      </w:hyperlink>
      <w:r>
        <w:rPr>
          <w:b w:val="0"/>
          <w:i w:val="0"/>
        </w:rPr>
        <w:t xml:space="preserve">, </w:t>
      </w:r>
      <w:hyperlink w:anchor="passage-vi-4-6">
        <w:r>
          <w:rPr>
            <w:color w:val="000000"/>
          </w:rPr>
          <w:t xml:space="preserve">VI.4.6</w:t>
        </w:r>
      </w:hyperlink>
      <w:r>
        <w:rPr>
          <w:b w:val="0"/>
          <w:i w:val="0"/>
        </w:rPr>
        <w:t xml:space="preserve">, </w:t>
      </w:r>
      <w:hyperlink w:anchor="passage-vi-6-2">
        <w:r>
          <w:rPr>
            <w:color w:val="000000"/>
          </w:rPr>
          <w:t xml:space="preserve">VI.6.2</w:t>
        </w:r>
      </w:hyperlink>
      <w:r>
        <w:rPr>
          <w:b w:val="0"/>
          <w:i w:val="0"/>
        </w:rPr>
        <w:t xml:space="preserve">, </w:t>
      </w:r>
      <w:hyperlink w:anchor="passage-vi-12-18">
        <w:r>
          <w:rPr>
            <w:color w:val="000000"/>
          </w:rPr>
          <w:t xml:space="preserve">VI.12.18</w:t>
        </w:r>
      </w:hyperlink>
      <w:r>
        <w:rPr>
          <w:b w:val="0"/>
          <w:i w:val="0"/>
        </w:rPr>
        <w:t xml:space="preserve">, </w:t>
      </w:r>
      <w:hyperlink w:anchor="passage-vi-13-6">
        <w:r>
          <w:rPr>
            <w:color w:val="000000"/>
          </w:rPr>
          <w:t xml:space="preserve">VI.13.6</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keepNext/>
        <w:widowControl/>
      </w:pPr>
      <w:bookmarkStart w:id="1593" w:name="latin-record-1352"/>
      <w:bookmarkEnd w:id="1593"/>
      <w:r>
        <w:rPr>
          <w:b/>
          <w:i w:val="0"/>
        </w:rPr>
        <w:t>videri / apparere / patere / constare</w:t>
      </w:r>
      <w:r>
        <w:rPr>
          <w:b/>
          <w:i w:val="0"/>
        </w:rPr>
        <w:t>.</w:t>
      </w:r>
      <w:r>
        <w:rPr>
          <w:b w:val="0"/>
          <w:i w:val="0"/>
        </w:rPr>
        <w:t xml:space="preserve"> Printed forms: </w:t>
      </w:r>
      <w:r>
        <w:rPr>
          <w:b w:val="0"/>
          <w:i/>
        </w:rPr>
        <w:t>Apparet</w:t>
      </w:r>
      <w:r>
        <w:rPr>
          <w:b w:val="0"/>
          <w:i w:val="0"/>
        </w:rPr>
        <w:t xml:space="preserve">; </w:t>
      </w:r>
      <w:r>
        <w:rPr>
          <w:b w:val="0"/>
          <w:i/>
        </w:rPr>
        <w:t>apparet</w:t>
      </w:r>
      <w:r>
        <w:rPr>
          <w:b w:val="0"/>
          <w:i w:val="0"/>
        </w:rPr>
        <w:t xml:space="preserve">; </w:t>
      </w:r>
      <w:r>
        <w:rPr>
          <w:b w:val="0"/>
          <w:i/>
        </w:rPr>
        <w:t>Constat</w:t>
      </w:r>
      <w:r>
        <w:rPr>
          <w:b w:val="0"/>
          <w:i w:val="0"/>
        </w:rPr>
        <w:t xml:space="preserve">; </w:t>
      </w:r>
      <w:r>
        <w:rPr>
          <w:b w:val="0"/>
          <w:i/>
        </w:rPr>
        <w:t>constat</w:t>
      </w:r>
      <w:r>
        <w:rPr>
          <w:b w:val="0"/>
          <w:i w:val="0"/>
        </w:rPr>
        <w:t xml:space="preserve">; </w:t>
      </w:r>
      <w:r>
        <w:rPr>
          <w:b w:val="0"/>
          <w:i/>
        </w:rPr>
        <w:t>patet</w:t>
      </w:r>
      <w:r>
        <w:rPr>
          <w:b w:val="0"/>
          <w:i w:val="0"/>
        </w:rPr>
        <w:t xml:space="preserve">; </w:t>
      </w:r>
      <w:r>
        <w:rPr>
          <w:b w:val="0"/>
          <w:i/>
        </w:rPr>
        <w:t>videantur</w:t>
      </w:r>
      <w:r>
        <w:rPr>
          <w:b w:val="0"/>
          <w:i w:val="0"/>
        </w:rPr>
        <w:t xml:space="preserve">; </w:t>
      </w:r>
      <w:r>
        <w:rPr>
          <w:b w:val="0"/>
          <w:i/>
        </w:rPr>
        <w:t>videatur</w:t>
      </w:r>
      <w:r>
        <w:rPr>
          <w:b w:val="0"/>
          <w:i w:val="0"/>
        </w:rPr>
        <w:t xml:space="preserve">; </w:t>
      </w:r>
      <w:r>
        <w:rPr>
          <w:b w:val="0"/>
          <w:i/>
        </w:rPr>
        <w:t>videtur</w:t>
      </w:r>
      <w:r>
        <w:rPr>
          <w:b w:val="0"/>
          <w:i w:val="0"/>
        </w:rPr>
        <w:t>.</w:t>
      </w:r>
    </w:p>
    <w:p>
      <w:pPr>
        <w:widowControl/>
      </w:pPr>
      <w:r>
        <w:rPr>
          <w:b w:val="0"/>
          <w:i w:val="0"/>
        </w:rPr>
        <w:t xml:space="preserve">Seeming, appearing, being evident and being established, distinct strengths of presentation. Ficino moves among illustrative appearances, explicit demonstrations and provisional formulations; a sentence’s marker should not be silently upgraded to certainty. References: </w:t>
      </w:r>
      <w:hyperlink w:anchor="passage-viii-1-1">
        <w:r>
          <w:rPr>
            <w:color w:val="000000"/>
          </w:rPr>
          <w:t xml:space="preserve">VIII.1.1</w:t>
        </w:r>
      </w:hyperlink>
      <w:r>
        <w:rPr>
          <w:b w:val="0"/>
          <w:i w:val="0"/>
        </w:rPr>
        <w:t xml:space="preserve">, </w:t>
      </w:r>
      <w:hyperlink w:anchor="passage-viii-1-2">
        <w:r>
          <w:rPr>
            <w:color w:val="000000"/>
          </w:rPr>
          <w:t xml:space="preserve">VIII.1.2</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w:t>
      </w:r>
      <w:hyperlink w:anchor="passage-viii-2-5">
        <w:r>
          <w:rPr>
            <w:color w:val="000000"/>
          </w:rPr>
          <w:t xml:space="preserve">VIII.2.5</w:t>
        </w:r>
      </w:hyperlink>
      <w:r>
        <w:rPr>
          <w:b w:val="0"/>
          <w:i w:val="0"/>
        </w:rPr>
        <w:t xml:space="preserve">, </w:t>
      </w:r>
      <w:hyperlink w:anchor="passage-viii-2-7">
        <w:r>
          <w:rPr>
            <w:color w:val="000000"/>
          </w:rPr>
          <w:t xml:space="preserve">VIII.2.7</w:t>
        </w:r>
      </w:hyperlink>
      <w:r>
        <w:rPr>
          <w:b w:val="0"/>
          <w:i w:val="0"/>
        </w:rPr>
        <w:t xml:space="preserve">, </w:t>
      </w:r>
      <w:hyperlink w:anchor="passage-viii-2-8">
        <w:r>
          <w:rPr>
            <w:color w:val="000000"/>
          </w:rPr>
          <w:t xml:space="preserve">VIII.2.8</w:t>
        </w:r>
      </w:hyperlink>
      <w:r>
        <w:rPr>
          <w:b w:val="0"/>
          <w:i w:val="0"/>
        </w:rPr>
        <w:t xml:space="preserve">, </w:t>
      </w:r>
      <w:hyperlink w:anchor="passage-viii-4-2">
        <w:r>
          <w:rPr>
            <w:color w:val="000000"/>
          </w:rPr>
          <w:t xml:space="preserve">VIII.4.2</w:t>
        </w:r>
      </w:hyperlink>
      <w:r>
        <w:rPr>
          <w:b w:val="0"/>
          <w:i w:val="0"/>
        </w:rPr>
        <w:t xml:space="preserve">, </w:t>
      </w:r>
      <w:hyperlink w:anchor="passage-viii-4-4">
        <w:r>
          <w:rPr>
            <w:color w:val="000000"/>
          </w:rPr>
          <w:t xml:space="preserve">VIII.4.4</w:t>
        </w:r>
      </w:hyperlink>
      <w:r>
        <w:rPr>
          <w:b w:val="0"/>
          <w:i w:val="0"/>
        </w:rPr>
        <w:t xml:space="preserve">, </w:t>
      </w:r>
      <w:hyperlink w:anchor="passage-viii-4-8">
        <w:r>
          <w:rPr>
            <w:color w:val="000000"/>
          </w:rPr>
          <w:t xml:space="preserve">VIII.4.8</w:t>
        </w:r>
      </w:hyperlink>
      <w:r>
        <w:rPr>
          <w:b w:val="0"/>
          <w:i w:val="0"/>
        </w:rPr>
        <w:t xml:space="preserve">, </w:t>
      </w:r>
      <w:hyperlink w:anchor="passage-viii-4-9">
        <w:r>
          <w:rPr>
            <w:color w:val="000000"/>
          </w:rPr>
          <w:t xml:space="preserve">VIII.4.9</w:t>
        </w:r>
      </w:hyperlink>
      <w:r>
        <w:rPr>
          <w:b w:val="0"/>
          <w:i w:val="0"/>
        </w:rPr>
        <w:t xml:space="preserve">, </w:t>
      </w:r>
      <w:hyperlink w:anchor="passage-viii-4-10">
        <w:r>
          <w:rPr>
            <w:color w:val="000000"/>
          </w:rPr>
          <w:t xml:space="preserve">VIII.4.10</w:t>
        </w:r>
      </w:hyperlink>
      <w:r>
        <w:rPr>
          <w:b w:val="0"/>
          <w:i w:val="0"/>
        </w:rPr>
        <w:t xml:space="preserve">, </w:t>
      </w:r>
      <w:hyperlink w:anchor="passage-viii-4-11">
        <w:r>
          <w:rPr>
            <w:color w:val="000000"/>
          </w:rPr>
          <w:t xml:space="preserve">VIII.4.11</w:t>
        </w:r>
      </w:hyperlink>
      <w:r>
        <w:rPr>
          <w:b w:val="0"/>
          <w:i w:val="0"/>
        </w:rPr>
        <w:t xml:space="preserve">, </w:t>
      </w:r>
      <w:hyperlink w:anchor="passage-viii-4-13">
        <w:r>
          <w:rPr>
            <w:color w:val="000000"/>
          </w:rPr>
          <w:t xml:space="preserve">VIII.4.13</w:t>
        </w:r>
      </w:hyperlink>
      <w:r>
        <w:rPr>
          <w:b w:val="0"/>
          <w:i w:val="0"/>
        </w:rPr>
        <w:t xml:space="preserve">, </w:t>
      </w:r>
      <w:hyperlink w:anchor="passage-viii-5-1">
        <w:r>
          <w:rPr>
            <w:color w:val="000000"/>
          </w:rPr>
          <w:t xml:space="preserve">VIII.5.1</w:t>
        </w:r>
      </w:hyperlink>
      <w:r>
        <w:rPr>
          <w:b w:val="0"/>
          <w:i w:val="0"/>
        </w:rPr>
        <w:t xml:space="preserve">, </w:t>
      </w:r>
      <w:hyperlink w:anchor="passage-viii-5-2">
        <w:r>
          <w:rPr>
            <w:color w:val="000000"/>
          </w:rPr>
          <w:t xml:space="preserve">VIII.5.2</w:t>
        </w:r>
      </w:hyperlink>
      <w:r>
        <w:rPr>
          <w:b w:val="0"/>
          <w:i w:val="0"/>
        </w:rPr>
        <w:t xml:space="preserve">, </w:t>
      </w:r>
      <w:hyperlink w:anchor="passage-viii-7-1">
        <w:r>
          <w:rPr>
            <w:color w:val="000000"/>
          </w:rPr>
          <w:t xml:space="preserve">VIII.7.1</w:t>
        </w:r>
      </w:hyperlink>
      <w:r>
        <w:rPr>
          <w:b w:val="0"/>
          <w:i w:val="0"/>
        </w:rPr>
        <w:t xml:space="preserve">, </w:t>
      </w:r>
      <w:hyperlink w:anchor="passage-viii-11-1">
        <w:r>
          <w:rPr>
            <w:color w:val="000000"/>
          </w:rPr>
          <w:t xml:space="preserve">VIII.11.1</w:t>
        </w:r>
      </w:hyperlink>
      <w:r>
        <w:rPr>
          <w:b w:val="0"/>
          <w:i w:val="0"/>
        </w:rPr>
        <w:t xml:space="preserve">, </w:t>
      </w:r>
      <w:hyperlink w:anchor="passage-viii-13-1">
        <w:r>
          <w:rPr>
            <w:color w:val="000000"/>
          </w:rPr>
          <w:t xml:space="preserve">VIII.13.1</w:t>
        </w:r>
      </w:hyperlink>
      <w:r>
        <w:rPr>
          <w:b w:val="0"/>
          <w:i w:val="0"/>
        </w:rPr>
        <w:t xml:space="preserve">, </w:t>
      </w:r>
      <w:hyperlink w:anchor="passage-viii-13-2">
        <w:r>
          <w:rPr>
            <w:color w:val="000000"/>
          </w:rPr>
          <w:t xml:space="preserve">VIII.13.2</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1594" w:name="latin-record-1353"/>
      <w:bookmarkEnd w:id="1594"/>
      <w:r>
        <w:rPr>
          <w:b/>
          <w:i w:val="0"/>
        </w:rPr>
        <w:t>videri velle</w:t>
      </w:r>
      <w:r>
        <w:rPr>
          <w:b/>
          <w:i w:val="0"/>
        </w:rPr>
        <w:t>.</w:t>
      </w:r>
      <w:r>
        <w:rPr>
          <w:b w:val="0"/>
          <w:i w:val="0"/>
        </w:rPr>
        <w:t xml:space="preserve"> Printed forms: </w:t>
      </w:r>
      <w:r>
        <w:rPr>
          <w:b w:val="0"/>
          <w:i/>
        </w:rPr>
        <w:t>voluisse videntur</w:t>
      </w:r>
      <w:r>
        <w:rPr>
          <w:b w:val="0"/>
          <w:i w:val="0"/>
        </w:rPr>
        <w:t>.</w:t>
      </w:r>
    </w:p>
    <w:p>
      <w:pPr>
        <w:widowControl/>
      </w:pPr>
      <w:r>
        <w:rPr>
          <w:b w:val="0"/>
          <w:i w:val="0"/>
        </w:rPr>
        <w:t xml:space="preserve">To appear to have intended a position. Ficino qualifies the attribution to the named Stoic figures; it is not an unreserved claim of a direct quotation. References: </w:t>
      </w:r>
      <w:hyperlink w:anchor="passage-vi-1-3">
        <w:r>
          <w:rPr>
            <w:color w:val="000000"/>
          </w:rPr>
          <w:t xml:space="preserve">VI.1.3</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595" w:name="latin-record-1354"/>
      <w:bookmarkEnd w:id="1595"/>
      <w:r>
        <w:rPr>
          <w:b/>
          <w:i w:val="0"/>
        </w:rPr>
        <w:t>vinculum</w:t>
      </w:r>
      <w:r>
        <w:rPr>
          <w:b/>
          <w:i w:val="0"/>
        </w:rPr>
        <w:t>.</w:t>
      </w:r>
      <w:r>
        <w:rPr>
          <w:b w:val="0"/>
          <w:i w:val="0"/>
        </w:rPr>
        <w:t xml:space="preserve"> Printed forms: </w:t>
      </w:r>
      <w:r>
        <w:rPr>
          <w:b w:val="0"/>
          <w:i/>
        </w:rPr>
        <w:t>vinculi</w:t>
      </w:r>
      <w:r>
        <w:rPr>
          <w:b w:val="0"/>
          <w:i w:val="0"/>
        </w:rPr>
        <w:t xml:space="preserve">; </w:t>
      </w:r>
      <w:r>
        <w:rPr>
          <w:b w:val="0"/>
          <w:i/>
        </w:rPr>
        <w:t>vinculum</w:t>
      </w:r>
      <w:r>
        <w:rPr>
          <w:b w:val="0"/>
          <w:i w:val="0"/>
        </w:rPr>
        <w:t>.</w:t>
      </w:r>
    </w:p>
    <w:p>
      <w:pPr>
        <w:widowControl/>
      </w:pPr>
      <w:r>
        <w:rPr>
          <w:b w:val="0"/>
          <w:i w:val="0"/>
        </w:rPr>
        <w:t xml:space="preserve">A bond joining terms or connecting the world. V.9 denies a removable bond between soul’s essence and being; V.15 uses the bond image positively for soul’s universal mediation. References: </w:t>
      </w:r>
      <w:hyperlink w:anchor="passage-v-9-4">
        <w:r>
          <w:rPr>
            <w:color w:val="000000"/>
          </w:rPr>
          <w:t xml:space="preserve">V.9.4</w:t>
        </w:r>
      </w:hyperlink>
      <w:r>
        <w:rPr>
          <w:b w:val="0"/>
          <w:i w:val="0"/>
        </w:rPr>
        <w:t xml:space="preserve">, </w:t>
      </w:r>
      <w:hyperlink w:anchor="passage-v-15-4">
        <w:r>
          <w:rPr>
            <w:color w:val="000000"/>
          </w:rPr>
          <w:t xml:space="preserve">V.15.4</w:t>
        </w:r>
      </w:hyperlink>
      <w:r>
        <w:rPr>
          <w:b w:val="0"/>
          <w:i w:val="0"/>
        </w:rPr>
        <w:t xml:space="preserve">. See </w:t>
      </w:r>
      <w:hyperlink w:anchor="soul-as-universal-bond">
        <w:r>
          <w:rPr>
            <w:color w:val="000000"/>
          </w:rPr>
          <w:t xml:space="preserve">Soul as universal bond</w:t>
        </w:r>
      </w:hyperlink>
      <w:r>
        <w:rPr>
          <w:b w:val="0"/>
          <w:i w:val="0"/>
        </w:rPr>
        <w:t>.</w:t>
      </w:r>
    </w:p>
    <w:p>
      <w:pPr>
        <w:keepNext/>
        <w:widowControl/>
      </w:pPr>
      <w:bookmarkStart w:id="1596" w:name="latin-record-1355"/>
      <w:bookmarkEnd w:id="1596"/>
      <w:r>
        <w:rPr>
          <w:b/>
          <w:i w:val="0"/>
        </w:rPr>
        <w:t>vinum / dulcedo / sapor</w:t>
      </w:r>
      <w:r>
        <w:rPr>
          <w:b/>
          <w:i w:val="0"/>
        </w:rPr>
        <w:t>.</w:t>
      </w:r>
      <w:r>
        <w:rPr>
          <w:b w:val="0"/>
          <w:i w:val="0"/>
        </w:rPr>
        <w:t xml:space="preserve"> Printed forms: </w:t>
      </w:r>
      <w:r>
        <w:rPr>
          <w:b w:val="0"/>
          <w:i/>
        </w:rPr>
        <w:t>dulcedo</w:t>
      </w:r>
      <w:r>
        <w:rPr>
          <w:b w:val="0"/>
          <w:i w:val="0"/>
        </w:rPr>
        <w:t xml:space="preserve">; </w:t>
      </w:r>
      <w:r>
        <w:rPr>
          <w:b w:val="0"/>
          <w:i/>
        </w:rPr>
        <w:t>dulcis</w:t>
      </w:r>
      <w:r>
        <w:rPr>
          <w:b w:val="0"/>
          <w:i w:val="0"/>
        </w:rPr>
        <w:t xml:space="preserve">; </w:t>
      </w:r>
      <w:r>
        <w:rPr>
          <w:b w:val="0"/>
          <w:i/>
        </w:rPr>
        <w:t>sapor</w:t>
      </w:r>
      <w:r>
        <w:rPr>
          <w:b w:val="0"/>
          <w:i w:val="0"/>
        </w:rPr>
        <w:t xml:space="preserve">; </w:t>
      </w:r>
      <w:r>
        <w:rPr>
          <w:b w:val="0"/>
          <w:i/>
        </w:rPr>
        <w:t>vino</w:t>
      </w:r>
      <w:r>
        <w:rPr>
          <w:b w:val="0"/>
          <w:i w:val="0"/>
        </w:rPr>
        <w:t>.</w:t>
      </w:r>
    </w:p>
    <w:p>
      <w:pPr>
        <w:widowControl/>
      </w:pPr>
      <w:r>
        <w:rPr>
          <w:b w:val="0"/>
          <w:i w:val="0"/>
        </w:rPr>
        <w:t xml:space="preserve">Wine, sweetness and flavour in the example of dilution. Water mixed with wine can share sweetness while making the flavour weaker; cognitive reception instead improves intellectuality. References: </w:t>
      </w:r>
      <w:hyperlink w:anchor="passage-viii-7-1">
        <w:r>
          <w:rPr>
            <w:color w:val="000000"/>
          </w:rPr>
          <w:t xml:space="preserve">VIII.7.1</w:t>
        </w:r>
      </w:hyperlink>
      <w:r>
        <w:rPr>
          <w:b w:val="0"/>
          <w:i w:val="0"/>
        </w:rPr>
        <w:t xml:space="preserve">. See </w:t>
      </w:r>
      <w:hyperlink w:anchor="viii-reception-identity">
        <w:r>
          <w:rPr>
            <w:color w:val="000000"/>
          </w:rPr>
          <w:t xml:space="preserve">Receiving forms without losing one’s own</w:t>
        </w:r>
      </w:hyperlink>
      <w:r>
        <w:rPr>
          <w:b w:val="0"/>
          <w:i w:val="0"/>
        </w:rPr>
        <w:t>.</w:t>
      </w:r>
    </w:p>
    <w:p>
      <w:pPr>
        <w:keepNext/>
        <w:widowControl/>
      </w:pPr>
      <w:bookmarkStart w:id="1597" w:name="latin-record-1356"/>
      <w:bookmarkEnd w:id="1597"/>
      <w:r>
        <w:rPr>
          <w:b/>
          <w:i w:val="0"/>
        </w:rPr>
        <w:t>violentia</w:t>
      </w:r>
      <w:r>
        <w:rPr>
          <w:b/>
          <w:i w:val="0"/>
        </w:rPr>
        <w:t>.</w:t>
      </w:r>
      <w:r>
        <w:rPr>
          <w:b w:val="0"/>
          <w:i w:val="0"/>
        </w:rPr>
        <w:t xml:space="preserve"> Printed forms: </w:t>
      </w:r>
      <w:r>
        <w:rPr>
          <w:b w:val="0"/>
          <w:i/>
        </w:rPr>
        <w:t>violentia</w:t>
      </w:r>
      <w:r>
        <w:rPr>
          <w:b w:val="0"/>
          <w:i w:val="0"/>
        </w:rPr>
        <w:t xml:space="preserve">; </w:t>
      </w:r>
      <w:r>
        <w:rPr>
          <w:b w:val="0"/>
          <w:i/>
        </w:rPr>
        <w:t>violentiam</w:t>
      </w:r>
      <w:r>
        <w:rPr>
          <w:b w:val="0"/>
          <w:i w:val="0"/>
        </w:rPr>
        <w:t>.</w:t>
      </w:r>
    </w:p>
    <w:p>
      <w:pPr>
        <w:widowControl/>
      </w:pPr>
      <w:r>
        <w:rPr>
          <w:b w:val="0"/>
          <w:i w:val="0"/>
        </w:rPr>
        <w:t xml:space="preserve">Violence or externally imposed force. The matter proof tests whether any agent can destroy the underlying foundation; the soul proof excludes a bodily force separating essence from itself. References: </w:t>
      </w:r>
      <w:hyperlink w:anchor="passage-v-4-2">
        <w:r>
          <w:rPr>
            <w:color w:val="000000"/>
          </w:rPr>
          <w:t xml:space="preserve">V.4.2</w:t>
        </w:r>
      </w:hyperlink>
      <w:r>
        <w:rPr>
          <w:b w:val="0"/>
          <w:i w:val="0"/>
        </w:rPr>
        <w:t xml:space="preserve">, </w:t>
      </w:r>
      <w:hyperlink w:anchor="passage-v-4-6">
        <w:r>
          <w:rPr>
            <w:color w:val="000000"/>
          </w:rPr>
          <w:t xml:space="preserve">V.4.6</w:t>
        </w:r>
      </w:hyperlink>
      <w:r>
        <w:rPr>
          <w:b w:val="0"/>
          <w:i w:val="0"/>
        </w:rPr>
        <w:t xml:space="preserve">, </w:t>
      </w:r>
      <w:hyperlink w:anchor="passage-v-4-8">
        <w:r>
          <w:rPr>
            <w:color w:val="000000"/>
          </w:rPr>
          <w:t xml:space="preserve">V.4.8</w:t>
        </w:r>
      </w:hyperlink>
      <w:r>
        <w:rPr>
          <w:b w:val="0"/>
          <w:i w:val="0"/>
        </w:rPr>
        <w:t xml:space="preserve">, </w:t>
      </w:r>
      <w:hyperlink w:anchor="passage-v-8-3">
        <w:r>
          <w:rPr>
            <w:color w:val="000000"/>
          </w:rPr>
          <w:t xml:space="preserve">V.8.3</w:t>
        </w:r>
      </w:hyperlink>
      <w:r>
        <w:rPr>
          <w:b w:val="0"/>
          <w:i w:val="0"/>
        </w:rPr>
        <w:t xml:space="preserve">. See </w:t>
      </w:r>
      <w:hyperlink w:anchor="passivity-and-bodily-affection">
        <w:r>
          <w:rPr>
            <w:color w:val="000000"/>
          </w:rPr>
          <w:t xml:space="preserve">Passivity and bodily affection</w:t>
        </w:r>
      </w:hyperlink>
      <w:r>
        <w:rPr>
          <w:b w:val="0"/>
          <w:i w:val="0"/>
        </w:rPr>
        <w:t>.</w:t>
      </w:r>
    </w:p>
    <w:p>
      <w:pPr>
        <w:keepNext/>
        <w:widowControl/>
      </w:pPr>
      <w:bookmarkStart w:id="1598" w:name="latin-record-1357"/>
      <w:bookmarkEnd w:id="1598"/>
      <w:r>
        <w:rPr>
          <w:b/>
          <w:i w:val="0"/>
        </w:rPr>
        <w:t>vires / affectus / actus / habitus</w:t>
      </w:r>
      <w:r>
        <w:rPr>
          <w:b/>
          <w:i w:val="0"/>
        </w:rPr>
        <w:t>.</w:t>
      </w:r>
      <w:r>
        <w:rPr>
          <w:b w:val="0"/>
          <w:i w:val="0"/>
        </w:rPr>
        <w:t xml:space="preserve"> Printed forms: </w:t>
      </w:r>
      <w:r>
        <w:rPr>
          <w:b w:val="0"/>
          <w:i/>
        </w:rPr>
        <w:t>actus</w:t>
      </w:r>
      <w:r>
        <w:rPr>
          <w:b w:val="0"/>
          <w:i w:val="0"/>
        </w:rPr>
        <w:t xml:space="preserve">; </w:t>
      </w:r>
      <w:r>
        <w:rPr>
          <w:b w:val="0"/>
          <w:i/>
        </w:rPr>
        <w:t>affectus</w:t>
      </w:r>
      <w:r>
        <w:rPr>
          <w:b w:val="0"/>
          <w:i w:val="0"/>
        </w:rPr>
        <w:t xml:space="preserve">; </w:t>
      </w:r>
      <w:r>
        <w:rPr>
          <w:b w:val="0"/>
          <w:i/>
        </w:rPr>
        <w:t>habitus</w:t>
      </w:r>
      <w:r>
        <w:rPr>
          <w:b w:val="0"/>
          <w:i w:val="0"/>
        </w:rPr>
        <w:t xml:space="preserve">; </w:t>
      </w:r>
      <w:r>
        <w:rPr>
          <w:b w:val="0"/>
          <w:i/>
        </w:rPr>
        <w:t>vires</w:t>
      </w:r>
      <w:r>
        <w:rPr>
          <w:b w:val="0"/>
          <w:i w:val="0"/>
        </w:rPr>
        <w:t xml:space="preserve">; </w:t>
      </w:r>
      <w:r>
        <w:rPr>
          <w:b w:val="0"/>
          <w:i/>
        </w:rPr>
        <w:t>viribus</w:t>
      </w:r>
      <w:r>
        <w:rPr>
          <w:b w:val="0"/>
          <w:i w:val="0"/>
        </w:rPr>
        <w:t>.</w:t>
      </w:r>
    </w:p>
    <w:p>
      <w:pPr>
        <w:widowControl/>
      </w:pPr>
      <w:r>
        <w:rPr>
          <w:b w:val="0"/>
          <w:i w:val="0"/>
        </w:rPr>
        <w:t xml:space="preserve">Powers, affections, acts and settled states of soul. Knowing bodily proportions still leaves these psychic features unexplained; they must not be flattened into one physiological variable.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keepNext/>
        <w:widowControl/>
      </w:pPr>
      <w:bookmarkStart w:id="1599" w:name="latin-record-1358"/>
      <w:bookmarkEnd w:id="1599"/>
      <w:r>
        <w:rPr>
          <w:b/>
          <w:i w:val="0"/>
        </w:rPr>
        <w:t>virtus</w:t>
      </w:r>
      <w:r>
        <w:rPr>
          <w:b/>
          <w:i w:val="0"/>
        </w:rPr>
        <w:t>.</w:t>
      </w:r>
      <w:r>
        <w:rPr>
          <w:b w:val="0"/>
          <w:i w:val="0"/>
        </w:rPr>
        <w:t xml:space="preserve"> Printed forms: </w:t>
      </w:r>
      <w:r>
        <w:rPr>
          <w:b w:val="0"/>
          <w:i/>
        </w:rPr>
        <w:t>vi</w:t>
      </w:r>
      <w:r>
        <w:rPr>
          <w:b w:val="0"/>
          <w:i w:val="0"/>
        </w:rPr>
        <w:t xml:space="preserve">; </w:t>
      </w:r>
      <w:r>
        <w:rPr>
          <w:b w:val="0"/>
          <w:i/>
        </w:rPr>
        <w:t>vim</w:t>
      </w:r>
      <w:r>
        <w:rPr>
          <w:b w:val="0"/>
          <w:i w:val="0"/>
        </w:rPr>
        <w:t xml:space="preserve">; </w:t>
      </w:r>
      <w:r>
        <w:rPr>
          <w:b w:val="0"/>
          <w:i/>
        </w:rPr>
        <w:t>vires</w:t>
      </w:r>
      <w:r>
        <w:rPr>
          <w:b w:val="0"/>
          <w:i w:val="0"/>
        </w:rPr>
        <w:t xml:space="preserve">; </w:t>
      </w:r>
      <w:r>
        <w:rPr>
          <w:b w:val="0"/>
          <w:i/>
        </w:rPr>
        <w:t>viribus</w:t>
      </w:r>
      <w:r>
        <w:rPr>
          <w:b w:val="0"/>
          <w:i w:val="0"/>
        </w:rPr>
        <w:t xml:space="preserve">; </w:t>
      </w:r>
      <w:r>
        <w:rPr>
          <w:b w:val="0"/>
          <w:i/>
        </w:rPr>
        <w:t>virtus</w:t>
      </w:r>
      <w:r>
        <w:rPr>
          <w:b w:val="0"/>
          <w:i w:val="0"/>
        </w:rPr>
        <w:t xml:space="preserve">; </w:t>
      </w:r>
      <w:r>
        <w:rPr>
          <w:b w:val="0"/>
          <w:i/>
        </w:rPr>
        <w:t>virtute</w:t>
      </w:r>
      <w:r>
        <w:rPr>
          <w:b w:val="0"/>
          <w:i w:val="0"/>
        </w:rPr>
        <w:t xml:space="preserve">; </w:t>
      </w:r>
      <w:r>
        <w:rPr>
          <w:b w:val="0"/>
          <w:i/>
        </w:rPr>
        <w:t>virtutem</w:t>
      </w:r>
      <w:r>
        <w:rPr>
          <w:b w:val="0"/>
          <w:i w:val="0"/>
        </w:rPr>
        <w:t xml:space="preserve">; </w:t>
      </w:r>
      <w:r>
        <w:rPr>
          <w:b w:val="0"/>
          <w:i/>
        </w:rPr>
        <w:t>virtutes</w:t>
      </w:r>
      <w:r>
        <w:rPr>
          <w:b w:val="0"/>
          <w:i w:val="0"/>
        </w:rPr>
        <w:t xml:space="preserve">; </w:t>
      </w:r>
      <w:r>
        <w:rPr>
          <w:b w:val="0"/>
          <w:i/>
        </w:rPr>
        <w:t>virtuti</w:t>
      </w:r>
      <w:r>
        <w:rPr>
          <w:b w:val="0"/>
          <w:i w:val="0"/>
        </w:rPr>
        <w:t xml:space="preserve">; </w:t>
      </w:r>
      <w:r>
        <w:rPr>
          <w:b w:val="0"/>
          <w:i/>
        </w:rPr>
        <w:t>virtutibus</w:t>
      </w:r>
      <w:r>
        <w:rPr>
          <w:b w:val="0"/>
          <w:i w:val="0"/>
        </w:rPr>
        <w:t xml:space="preserve">; </w:t>
      </w:r>
      <w:r>
        <w:rPr>
          <w:b w:val="0"/>
          <w:i/>
        </w:rPr>
        <w:t>virtutis</w:t>
      </w:r>
      <w:r>
        <w:rPr>
          <w:b w:val="0"/>
          <w:i w:val="0"/>
        </w:rPr>
        <w:t xml:space="preserve">; </w:t>
      </w:r>
      <w:r>
        <w:rPr>
          <w:b w:val="0"/>
          <w:i/>
        </w:rPr>
        <w:t>Virtutum</w:t>
      </w:r>
      <w:r>
        <w:rPr>
          <w:b w:val="0"/>
          <w:i w:val="0"/>
        </w:rPr>
        <w:t xml:space="preserve">; </w:t>
      </w:r>
      <w:r>
        <w:rPr>
          <w:b w:val="0"/>
          <w:i/>
        </w:rPr>
        <w:t>virtutum</w:t>
      </w:r>
      <w:r>
        <w:rPr>
          <w:b w:val="0"/>
          <w:i w:val="0"/>
        </w:rPr>
        <w:t xml:space="preserve">; </w:t>
      </w:r>
      <w:r>
        <w:rPr>
          <w:b w:val="0"/>
          <w:i/>
        </w:rPr>
        <w:t>vis</w:t>
      </w:r>
      <w:r>
        <w:rPr>
          <w:b w:val="0"/>
          <w:i w:val="0"/>
        </w:rPr>
        <w:t>.</w:t>
      </w:r>
    </w:p>
    <w:p>
      <w:pPr>
        <w:widowControl/>
      </w:pPr>
      <w:r>
        <w:rPr>
          <w:b w:val="0"/>
          <w:i w:val="0"/>
        </w:rPr>
        <w:t xml:space="preserve">Effective power, the capacity whose act is operation. Creaturely power inheres in essence and is limited by that subject, unlike divine infinite creative power. References: </w:t>
      </w:r>
      <w:hyperlink w:anchor="passage-v-1-4">
        <w:r>
          <w:rPr>
            <w:color w:val="000000"/>
          </w:rPr>
          <w:t xml:space="preserve">V.1.4</w:t>
        </w:r>
      </w:hyperlink>
      <w:r>
        <w:rPr>
          <w:b w:val="0"/>
          <w:i w:val="0"/>
        </w:rPr>
        <w:t xml:space="preserve">, </w:t>
      </w:r>
      <w:hyperlink w:anchor="passage-v-4-1">
        <w:r>
          <w:rPr>
            <w:color w:val="000000"/>
          </w:rPr>
          <w:t xml:space="preserve">V.4.1</w:t>
        </w:r>
      </w:hyperlink>
      <w:r>
        <w:rPr>
          <w:b w:val="0"/>
          <w:i w:val="0"/>
        </w:rPr>
        <w:t xml:space="preserve">, </w:t>
      </w:r>
      <w:hyperlink w:anchor="passage-v-4-2">
        <w:r>
          <w:rPr>
            <w:color w:val="000000"/>
          </w:rPr>
          <w:t xml:space="preserve">V.4.2</w:t>
        </w:r>
      </w:hyperlink>
      <w:r>
        <w:rPr>
          <w:b w:val="0"/>
          <w:i w:val="0"/>
        </w:rPr>
        <w:t xml:space="preserve">, </w:t>
      </w:r>
      <w:hyperlink w:anchor="passage-v-4-6">
        <w:r>
          <w:rPr>
            <w:color w:val="000000"/>
          </w:rPr>
          <w:t xml:space="preserve">V.4.6</w:t>
        </w:r>
      </w:hyperlink>
      <w:r>
        <w:rPr>
          <w:b w:val="0"/>
          <w:i w:val="0"/>
        </w:rPr>
        <w:t xml:space="preserve">, </w:t>
      </w:r>
      <w:hyperlink w:anchor="passage-v-4-10">
        <w:r>
          <w:rPr>
            <w:color w:val="000000"/>
          </w:rPr>
          <w:t xml:space="preserve">V.4.10</w:t>
        </w:r>
      </w:hyperlink>
      <w:r>
        <w:rPr>
          <w:b w:val="0"/>
          <w:i w:val="0"/>
        </w:rPr>
        <w:t xml:space="preserve">, </w:t>
      </w:r>
      <w:hyperlink w:anchor="passage-v-13-7">
        <w:r>
          <w:rPr>
            <w:color w:val="000000"/>
          </w:rPr>
          <w:t xml:space="preserve">V.13.7</w:t>
        </w:r>
      </w:hyperlink>
      <w:r>
        <w:rPr>
          <w:b w:val="0"/>
          <w:i w:val="0"/>
        </w:rPr>
        <w:t xml:space="preserve">, </w:t>
      </w:r>
      <w:hyperlink w:anchor="passage-v-13-9">
        <w:r>
          <w:rPr>
            <w:color w:val="000000"/>
          </w:rPr>
          <w:t xml:space="preserve">V.13.9</w:t>
        </w:r>
      </w:hyperlink>
      <w:r>
        <w:rPr>
          <w:b w:val="0"/>
          <w:i w:val="0"/>
        </w:rPr>
        <w:t xml:space="preserve">, </w:t>
      </w:r>
      <w:hyperlink w:anchor="passage-v-13-12">
        <w:r>
          <w:rPr>
            <w:color w:val="000000"/>
          </w:rPr>
          <w:t xml:space="preserve">V.13.12</w:t>
        </w:r>
      </w:hyperlink>
      <w:r>
        <w:rPr>
          <w:b w:val="0"/>
          <w:i w:val="0"/>
        </w:rPr>
        <w:t xml:space="preserve">, </w:t>
      </w:r>
      <w:hyperlink w:anchor="passage-v-13-13">
        <w:r>
          <w:rPr>
            <w:color w:val="000000"/>
          </w:rPr>
          <w:t xml:space="preserve">V.13.13</w:t>
        </w:r>
      </w:hyperlink>
      <w:r>
        <w:rPr>
          <w:b w:val="0"/>
          <w:i w:val="0"/>
        </w:rPr>
        <w:t xml:space="preserve">. See </w:t>
      </w:r>
      <w:hyperlink w:anchor="creature-power-and-operation">
        <w:r>
          <w:rPr>
            <w:color w:val="000000"/>
          </w:rPr>
          <w:t xml:space="preserve">Creature, power and operation</w:t>
        </w:r>
      </w:hyperlink>
      <w:r>
        <w:rPr>
          <w:b w:val="0"/>
          <w:i w:val="0"/>
        </w:rPr>
        <w:t>.</w:t>
      </w:r>
    </w:p>
    <w:p>
      <w:pPr>
        <w:widowControl/>
      </w:pPr>
      <w:r>
        <w:rPr>
          <w:b w:val="0"/>
          <w:i w:val="0"/>
        </w:rPr>
        <w:t xml:space="preserve">Excellence or effective power; the chapter on virtue specifies intellectual and moral perfection. Virtue is an indivisible quality of soul, while the closing book uses the same noun for enlarged powers of knowing, willing and living. References: </w:t>
      </w:r>
      <w:hyperlink w:anchor="passage-viii-3-1">
        <w:r>
          <w:rPr>
            <w:color w:val="000000"/>
          </w:rPr>
          <w:t xml:space="preserve">VIII.3.1</w:t>
        </w:r>
      </w:hyperlink>
      <w:r>
        <w:rPr>
          <w:b w:val="0"/>
          <w:i w:val="0"/>
        </w:rPr>
        <w:t xml:space="preserve">, </w:t>
      </w:r>
      <w:hyperlink w:anchor="passage-viii-3-6">
        <w:r>
          <w:rPr>
            <w:color w:val="000000"/>
          </w:rPr>
          <w:t xml:space="preserve">VIII.3.6</w:t>
        </w:r>
      </w:hyperlink>
      <w:r>
        <w:rPr>
          <w:b w:val="0"/>
          <w:i w:val="0"/>
        </w:rPr>
        <w:t xml:space="preserve">, </w:t>
      </w:r>
      <w:hyperlink w:anchor="passage-viii-3-8">
        <w:r>
          <w:rPr>
            <w:color w:val="000000"/>
          </w:rPr>
          <w:t xml:space="preserve">VIII.3.8</w:t>
        </w:r>
      </w:hyperlink>
      <w:r>
        <w:rPr>
          <w:b w:val="0"/>
          <w:i w:val="0"/>
        </w:rPr>
        <w:t xml:space="preserve">, </w:t>
      </w:r>
      <w:hyperlink w:anchor="passage-viii-16-4">
        <w:r>
          <w:rPr>
            <w:color w:val="000000"/>
          </w:rPr>
          <w:t xml:space="preserve">VIII.16.4</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600" w:name="latin-record-1359"/>
      <w:bookmarkEnd w:id="1600"/>
      <w:r>
        <w:rPr>
          <w:b/>
          <w:i w:val="0"/>
        </w:rPr>
        <w:t>virtus; vis</w:t>
      </w:r>
      <w:r>
        <w:rPr>
          <w:b/>
          <w:i w:val="0"/>
        </w:rPr>
        <w:t>.</w:t>
      </w:r>
      <w:r>
        <w:rPr>
          <w:b w:val="0"/>
          <w:i w:val="0"/>
        </w:rPr>
        <w:t xml:space="preserve"> Printed forms: </w:t>
      </w:r>
      <w:r>
        <w:rPr>
          <w:b w:val="0"/>
          <w:i/>
        </w:rPr>
        <w:t>vi</w:t>
      </w:r>
      <w:r>
        <w:rPr>
          <w:b w:val="0"/>
          <w:i w:val="0"/>
        </w:rPr>
        <w:t xml:space="preserve">; </w:t>
      </w:r>
      <w:r>
        <w:rPr>
          <w:b w:val="0"/>
          <w:i/>
        </w:rPr>
        <w:t>vim</w:t>
      </w:r>
      <w:r>
        <w:rPr>
          <w:b w:val="0"/>
          <w:i w:val="0"/>
        </w:rPr>
        <w:t xml:space="preserve">; </w:t>
      </w:r>
      <w:r>
        <w:rPr>
          <w:b w:val="0"/>
          <w:i/>
        </w:rPr>
        <w:t>vires</w:t>
      </w:r>
      <w:r>
        <w:rPr>
          <w:b w:val="0"/>
          <w:i w:val="0"/>
        </w:rPr>
        <w:t xml:space="preserve">; </w:t>
      </w:r>
      <w:r>
        <w:rPr>
          <w:b w:val="0"/>
          <w:i/>
        </w:rPr>
        <w:t>viribus</w:t>
      </w:r>
      <w:r>
        <w:rPr>
          <w:b w:val="0"/>
          <w:i w:val="0"/>
        </w:rPr>
        <w:t xml:space="preserve">; </w:t>
      </w:r>
      <w:r>
        <w:rPr>
          <w:b w:val="0"/>
          <w:i/>
        </w:rPr>
        <w:t>virtus</w:t>
      </w:r>
      <w:r>
        <w:rPr>
          <w:b w:val="0"/>
          <w:i w:val="0"/>
        </w:rPr>
        <w:t xml:space="preserve">; </w:t>
      </w:r>
      <w:r>
        <w:rPr>
          <w:b w:val="0"/>
          <w:i/>
        </w:rPr>
        <w:t>virtute</w:t>
      </w:r>
      <w:r>
        <w:rPr>
          <w:b w:val="0"/>
          <w:i w:val="0"/>
        </w:rPr>
        <w:t xml:space="preserve">; </w:t>
      </w:r>
      <w:r>
        <w:rPr>
          <w:b w:val="0"/>
          <w:i/>
        </w:rPr>
        <w:t>virtutem</w:t>
      </w:r>
      <w:r>
        <w:rPr>
          <w:b w:val="0"/>
          <w:i w:val="0"/>
        </w:rPr>
        <w:t xml:space="preserve">; </w:t>
      </w:r>
      <w:r>
        <w:rPr>
          <w:b w:val="0"/>
          <w:i/>
        </w:rPr>
        <w:t>vis</w:t>
      </w:r>
      <w:r>
        <w:rPr>
          <w:b w:val="0"/>
          <w:i w:val="0"/>
        </w:rPr>
        <w:t>.</w:t>
      </w:r>
    </w:p>
    <w:p>
      <w:pPr>
        <w:widowControl/>
      </w:pPr>
      <w:r>
        <w:rPr>
          <w:b w:val="0"/>
          <w:i w:val="0"/>
        </w:rPr>
        <w:t xml:space="preserve">Effective power or capacity, distinct from moral virtue and sometimes from potency not yet actual. The agent’s power, natural formative activity and seminal instrument are specific uses; possession of power does not itself identify the soul with a bodily quality. References: </w:t>
      </w:r>
      <w:hyperlink w:anchor="passage-vi-1-5">
        <w:r>
          <w:rPr>
            <w:color w:val="000000"/>
          </w:rPr>
          <w:t xml:space="preserve">VI.1.5</w:t>
        </w:r>
      </w:hyperlink>
      <w:r>
        <w:rPr>
          <w:b w:val="0"/>
          <w:i w:val="0"/>
        </w:rPr>
        <w:t xml:space="preserve">, </w:t>
      </w:r>
      <w:hyperlink w:anchor="passage-vi-1-6">
        <w:r>
          <w:rPr>
            <w:color w:val="000000"/>
          </w:rPr>
          <w:t xml:space="preserve">VI.1.6</w:t>
        </w:r>
      </w:hyperlink>
      <w:r>
        <w:rPr>
          <w:b w:val="0"/>
          <w:i w:val="0"/>
        </w:rPr>
        <w:t xml:space="preserve">, </w:t>
      </w:r>
      <w:hyperlink w:anchor="passage-vi-2-8">
        <w:r>
          <w:rPr>
            <w:color w:val="000000"/>
          </w:rPr>
          <w:t xml:space="preserve">VI.2.8</w:t>
        </w:r>
      </w:hyperlink>
      <w:r>
        <w:rPr>
          <w:b w:val="0"/>
          <w:i w:val="0"/>
        </w:rPr>
        <w:t xml:space="preserve">, </w:t>
      </w:r>
      <w:hyperlink w:anchor="passage-vi-2-10">
        <w:r>
          <w:rPr>
            <w:color w:val="000000"/>
          </w:rPr>
          <w:t xml:space="preserve">VI.2.10</w:t>
        </w:r>
      </w:hyperlink>
      <w:r>
        <w:rPr>
          <w:b w:val="0"/>
          <w:i w:val="0"/>
        </w:rPr>
        <w:t xml:space="preserve">, </w:t>
      </w:r>
      <w:hyperlink w:anchor="passage-vi-3-1">
        <w:r>
          <w:rPr>
            <w:color w:val="000000"/>
          </w:rPr>
          <w:t xml:space="preserve">VI.3.1</w:t>
        </w:r>
      </w:hyperlink>
      <w:r>
        <w:rPr>
          <w:b w:val="0"/>
          <w:i w:val="0"/>
        </w:rPr>
        <w:t xml:space="preserve">, </w:t>
      </w:r>
      <w:hyperlink w:anchor="passage-vi-6-3">
        <w:r>
          <w:rPr>
            <w:color w:val="000000"/>
          </w:rPr>
          <w:t xml:space="preserve">VI.6.3</w:t>
        </w:r>
      </w:hyperlink>
      <w:r>
        <w:rPr>
          <w:b w:val="0"/>
          <w:i w:val="0"/>
        </w:rPr>
        <w:t xml:space="preserve">, </w:t>
      </w:r>
      <w:hyperlink w:anchor="passage-vi-10-1">
        <w:r>
          <w:rPr>
            <w:color w:val="000000"/>
          </w:rPr>
          <w:t xml:space="preserve">VI.10.1</w:t>
        </w:r>
      </w:hyperlink>
      <w:r>
        <w:rPr>
          <w:b w:val="0"/>
          <w:i w:val="0"/>
        </w:rPr>
        <w:t xml:space="preserve">, </w:t>
      </w:r>
      <w:hyperlink w:anchor="passage-vi-11-1">
        <w:r>
          <w:rPr>
            <w:color w:val="000000"/>
          </w:rPr>
          <w:t xml:space="preserve">VI.11.1</w:t>
        </w:r>
      </w:hyperlink>
      <w:r>
        <w:rPr>
          <w:b w:val="0"/>
          <w:i w:val="0"/>
        </w:rPr>
        <w:t xml:space="preserve">. See </w:t>
      </w:r>
      <w:hyperlink w:anchor="three-offices-and-proof-order">
        <w:r>
          <w:rPr>
            <w:color w:val="000000"/>
          </w:rPr>
          <w:t xml:space="preserve">Three offices and the order of proof</w:t>
        </w:r>
      </w:hyperlink>
      <w:r>
        <w:rPr>
          <w:b w:val="0"/>
          <w:i w:val="0"/>
        </w:rPr>
        <w:t>.</w:t>
      </w:r>
    </w:p>
    <w:p>
      <w:pPr>
        <w:keepNext/>
        <w:widowControl/>
      </w:pPr>
      <w:bookmarkStart w:id="1601" w:name="latin-record-1360"/>
      <w:bookmarkEnd w:id="1601"/>
      <w:r>
        <w:rPr>
          <w:b/>
          <w:i w:val="0"/>
        </w:rPr>
        <w:t>virtute; quantitate</w:t>
      </w:r>
      <w:r>
        <w:rPr>
          <w:b/>
          <w:i w:val="0"/>
        </w:rPr>
        <w:t>.</w:t>
      </w:r>
      <w:r>
        <w:rPr>
          <w:b w:val="0"/>
          <w:i w:val="0"/>
        </w:rPr>
        <w:t xml:space="preserve"> Printed forms: </w:t>
      </w:r>
      <w:r>
        <w:rPr>
          <w:b w:val="0"/>
          <w:i/>
        </w:rPr>
        <w:t>quantitate</w:t>
      </w:r>
      <w:r>
        <w:rPr>
          <w:b w:val="0"/>
          <w:i w:val="0"/>
        </w:rPr>
        <w:t xml:space="preserve">; </w:t>
      </w:r>
      <w:r>
        <w:rPr>
          <w:b w:val="0"/>
          <w:i/>
        </w:rPr>
        <w:t>virtute magnum</w:t>
      </w:r>
      <w:r>
        <w:rPr>
          <w:b w:val="0"/>
          <w:i w:val="0"/>
        </w:rPr>
        <w:t>.</w:t>
      </w:r>
    </w:p>
    <w:p>
      <w:pPr>
        <w:widowControl/>
      </w:pPr>
      <w:r>
        <w:rPr>
          <w:b w:val="0"/>
          <w:i w:val="0"/>
        </w:rPr>
        <w:t xml:space="preserve">Greatness in power contrasted with measurable size. Soul’s efficacy need not imply extension; the closing question answers the fear that a nonbody would be nothing. References: </w:t>
      </w:r>
      <w:hyperlink w:anchor="passage-vi-2-20">
        <w:r>
          <w:rPr>
            <w:color w:val="000000"/>
          </w:rPr>
          <w:t xml:space="preserve">VI.2.20</w:t>
        </w:r>
      </w:hyperlink>
      <w:r>
        <w:rPr>
          <w:b w:val="0"/>
          <w:i w:val="0"/>
        </w:rPr>
        <w:t xml:space="preserve">. See </w:t>
      </w:r>
      <w:hyperlink w:anchor="point-dimension-and-substantial-unity">
        <w:r>
          <w:rPr>
            <w:color w:val="000000"/>
          </w:rPr>
          <w:t xml:space="preserve">Point, dimension and substantial unity</w:t>
        </w:r>
      </w:hyperlink>
      <w:r>
        <w:rPr>
          <w:b w:val="0"/>
          <w:i w:val="0"/>
        </w:rPr>
        <w:t>.</w:t>
      </w:r>
    </w:p>
    <w:p>
      <w:pPr>
        <w:keepNext/>
        <w:widowControl/>
      </w:pPr>
      <w:bookmarkStart w:id="1602" w:name="latin-record-1361"/>
      <w:bookmarkEnd w:id="1602"/>
      <w:r>
        <w:rPr>
          <w:b/>
          <w:i w:val="0"/>
        </w:rPr>
        <w:t>vis</w:t>
      </w:r>
      <w:r>
        <w:rPr>
          <w:b/>
          <w:i w:val="0"/>
        </w:rPr>
        <w:t>.</w:t>
      </w:r>
      <w:r>
        <w:rPr>
          <w:b w:val="0"/>
          <w:i w:val="0"/>
        </w:rPr>
        <w:t xml:space="preserve"> Printed forms: </w:t>
      </w:r>
      <w:r>
        <w:rPr>
          <w:b w:val="0"/>
          <w:i/>
        </w:rPr>
        <w:t>vi</w:t>
      </w:r>
      <w:r>
        <w:rPr>
          <w:b w:val="0"/>
          <w:i w:val="0"/>
        </w:rPr>
        <w:t xml:space="preserve">; </w:t>
      </w:r>
      <w:r>
        <w:rPr>
          <w:b w:val="0"/>
          <w:i/>
        </w:rPr>
        <w:t>vim</w:t>
      </w:r>
      <w:r>
        <w:rPr>
          <w:b w:val="0"/>
          <w:i w:val="0"/>
        </w:rPr>
        <w:t xml:space="preserve">; </w:t>
      </w:r>
      <w:r>
        <w:rPr>
          <w:b w:val="0"/>
          <w:i/>
        </w:rPr>
        <w:t>Vim</w:t>
      </w:r>
      <w:r>
        <w:rPr>
          <w:b w:val="0"/>
          <w:i w:val="0"/>
        </w:rPr>
        <w:t xml:space="preserve">; </w:t>
      </w:r>
      <w:r>
        <w:rPr>
          <w:b w:val="0"/>
          <w:i/>
        </w:rPr>
        <w:t>vires</w:t>
      </w:r>
      <w:r>
        <w:rPr>
          <w:b w:val="0"/>
          <w:i w:val="0"/>
        </w:rPr>
        <w:t xml:space="preserve">; </w:t>
      </w:r>
      <w:r>
        <w:rPr>
          <w:b w:val="0"/>
          <w:i/>
        </w:rPr>
        <w:t>viribus</w:t>
      </w:r>
      <w:r>
        <w:rPr>
          <w:b w:val="0"/>
          <w:i w:val="0"/>
        </w:rPr>
        <w:t xml:space="preserve">; </w:t>
      </w:r>
      <w:r>
        <w:rPr>
          <w:b w:val="0"/>
          <w:i/>
        </w:rPr>
        <w:t>Vis</w:t>
      </w:r>
      <w:r>
        <w:rPr>
          <w:b w:val="0"/>
          <w:i w:val="0"/>
        </w:rPr>
        <w:t xml:space="preserve">; </w:t>
      </w:r>
      <w:r>
        <w:rPr>
          <w:b w:val="0"/>
          <w:i/>
        </w:rPr>
        <w:t>vis</w:t>
      </w:r>
      <w:r>
        <w:rPr>
          <w:b w:val="0"/>
          <w:i w:val="0"/>
        </w:rPr>
        <w:t>.</w:t>
      </w:r>
    </w:p>
    <w:p>
      <w:pPr>
        <w:widowControl/>
      </w:pPr>
      <w:r>
        <w:rPr>
          <w:b w:val="0"/>
          <w:i w:val="0"/>
        </w:rPr>
        <w:t xml:space="preserve">Effective power or force, including bodily strength and intellectual capacity. Bodily strength, the unity of a knowing power and divinely enlarged intellectual reach are different applications; magnitude alone does not measure them. References: </w:t>
      </w:r>
      <w:hyperlink w:anchor="passage-viii-1-4">
        <w:r>
          <w:rPr>
            <w:color w:val="000000"/>
          </w:rPr>
          <w:t xml:space="preserve">VIII.1.4</w:t>
        </w:r>
      </w:hyperlink>
      <w:r>
        <w:rPr>
          <w:b w:val="0"/>
          <w:i w:val="0"/>
        </w:rPr>
        <w:t xml:space="preserve">, </w:t>
      </w:r>
      <w:hyperlink w:anchor="passage-viii-1-5">
        <w:r>
          <w:rPr>
            <w:color w:val="000000"/>
          </w:rPr>
          <w:t xml:space="preserve">VIII.1.5</w:t>
        </w:r>
      </w:hyperlink>
      <w:r>
        <w:rPr>
          <w:b w:val="0"/>
          <w:i w:val="0"/>
        </w:rPr>
        <w:t xml:space="preserve">, </w:t>
      </w:r>
      <w:hyperlink w:anchor="passage-viii-2-1">
        <w:r>
          <w:rPr>
            <w:color w:val="000000"/>
          </w:rPr>
          <w:t xml:space="preserve">VIII.2.1</w:t>
        </w:r>
      </w:hyperlink>
      <w:r>
        <w:rPr>
          <w:b w:val="0"/>
          <w:i w:val="0"/>
        </w:rPr>
        <w:t xml:space="preserve">, </w:t>
      </w:r>
      <w:hyperlink w:anchor="passage-viii-2-3">
        <w:r>
          <w:rPr>
            <w:color w:val="000000"/>
          </w:rPr>
          <w:t xml:space="preserve">VIII.2.3</w:t>
        </w:r>
      </w:hyperlink>
      <w:r>
        <w:rPr>
          <w:b w:val="0"/>
          <w:i w:val="0"/>
        </w:rPr>
        <w:t xml:space="preserve">, </w:t>
      </w:r>
      <w:hyperlink w:anchor="passage-viii-3-5">
        <w:r>
          <w:rPr>
            <w:color w:val="000000"/>
          </w:rPr>
          <w:t xml:space="preserve">VIII.3.5</w:t>
        </w:r>
      </w:hyperlink>
      <w:r>
        <w:rPr>
          <w:b w:val="0"/>
          <w:i w:val="0"/>
        </w:rPr>
        <w:t xml:space="preserve">, </w:t>
      </w:r>
      <w:hyperlink w:anchor="passage-viii-3-8">
        <w:r>
          <w:rPr>
            <w:color w:val="000000"/>
          </w:rPr>
          <w:t xml:space="preserve">VIII.3.8</w:t>
        </w:r>
      </w:hyperlink>
      <w:r>
        <w:rPr>
          <w:b w:val="0"/>
          <w:i w:val="0"/>
        </w:rPr>
        <w:t xml:space="preserve">, </w:t>
      </w:r>
      <w:hyperlink w:anchor="passage-viii-5-2">
        <w:r>
          <w:rPr>
            <w:color w:val="000000"/>
          </w:rPr>
          <w:t xml:space="preserve">VIII.5.2</w:t>
        </w:r>
      </w:hyperlink>
      <w:r>
        <w:rPr>
          <w:b w:val="0"/>
          <w:i w:val="0"/>
        </w:rPr>
        <w:t xml:space="preserve">, </w:t>
      </w:r>
      <w:hyperlink w:anchor="passage-viii-8-1">
        <w:r>
          <w:rPr>
            <w:color w:val="000000"/>
          </w:rPr>
          <w:t xml:space="preserve">VIII.8.1</w:t>
        </w:r>
      </w:hyperlink>
      <w:r>
        <w:rPr>
          <w:b w:val="0"/>
          <w:i w:val="0"/>
        </w:rPr>
        <w:t xml:space="preserve">, </w:t>
      </w:r>
      <w:hyperlink w:anchor="passage-viii-10-1">
        <w:r>
          <w:rPr>
            <w:color w:val="000000"/>
          </w:rPr>
          <w:t xml:space="preserve">VIII.10.1</w:t>
        </w:r>
      </w:hyperlink>
      <w:r>
        <w:rPr>
          <w:b w:val="0"/>
          <w:i w:val="0"/>
        </w:rPr>
        <w:t xml:space="preserve">, </w:t>
      </w:r>
      <w:hyperlink w:anchor="passage-viii-13-1">
        <w:r>
          <w:rPr>
            <w:color w:val="000000"/>
          </w:rPr>
          <w:t xml:space="preserve">VIII.13.1</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6-1">
        <w:r>
          <w:rPr>
            <w:color w:val="000000"/>
          </w:rPr>
          <w:t xml:space="preserve">VIII.16.1</w:t>
        </w:r>
      </w:hyperlink>
      <w:r>
        <w:rPr>
          <w:b w:val="0"/>
          <w:i w:val="0"/>
        </w:rPr>
        <w:t xml:space="preserve">, </w:t>
      </w:r>
      <w:hyperlink w:anchor="passage-viii-16-2">
        <w:r>
          <w:rPr>
            <w:color w:val="000000"/>
          </w:rPr>
          <w:t xml:space="preserve">VIII.16.2</w:t>
        </w:r>
      </w:hyperlink>
      <w:r>
        <w:rPr>
          <w:b w:val="0"/>
          <w:i w:val="0"/>
        </w:rPr>
        <w:t xml:space="preserve">, </w:t>
      </w:r>
      <w:hyperlink w:anchor="passage-viii-16-3">
        <w:r>
          <w:rPr>
            <w:color w:val="000000"/>
          </w:rPr>
          <w:t xml:space="preserve">VIII.16.3</w:t>
        </w:r>
      </w:hyperlink>
      <w:r>
        <w:rPr>
          <w:b w:val="0"/>
          <w:i w:val="0"/>
        </w:rPr>
        <w:t xml:space="preserve">, </w:t>
      </w:r>
      <w:hyperlink w:anchor="passage-viii-16-4">
        <w:r>
          <w:rPr>
            <w:color w:val="000000"/>
          </w:rPr>
          <w:t xml:space="preserve">VIII.16.4</w:t>
        </w:r>
      </w:hyperlink>
      <w:r>
        <w:rPr>
          <w:b w:val="0"/>
          <w:i w:val="0"/>
        </w:rPr>
        <w:t xml:space="preserve">. See </w:t>
      </w:r>
      <w:hyperlink w:anchor="viii-body-instrument">
        <w:r>
          <w:rPr>
            <w:color w:val="000000"/>
          </w:rPr>
          <w:t xml:space="preserve">Body, instruments, and vital spirit</w:t>
        </w:r>
      </w:hyperlink>
      <w:r>
        <w:rPr>
          <w:b w:val="0"/>
          <w:i w:val="0"/>
        </w:rPr>
        <w:t>.</w:t>
      </w:r>
    </w:p>
    <w:p>
      <w:pPr>
        <w:keepNext/>
        <w:widowControl/>
      </w:pPr>
      <w:bookmarkStart w:id="1603" w:name="latin-record-1362"/>
      <w:bookmarkEnd w:id="1603"/>
      <w:r>
        <w:rPr>
          <w:b/>
          <w:i w:val="0"/>
        </w:rPr>
        <w:t>vis / potentia / virtus</w:t>
      </w:r>
      <w:r>
        <w:rPr>
          <w:b/>
          <w:i w:val="0"/>
        </w:rPr>
        <w:t>.</w:t>
      </w:r>
      <w:r>
        <w:rPr>
          <w:b w:val="0"/>
          <w:i w:val="0"/>
        </w:rPr>
        <w:t xml:space="preserve"> Printed forms: </w:t>
      </w:r>
      <w:r>
        <w:rPr>
          <w:b w:val="0"/>
          <w:i/>
        </w:rPr>
        <w:t>potentiam</w:t>
      </w:r>
      <w:r>
        <w:rPr>
          <w:b w:val="0"/>
          <w:i w:val="0"/>
        </w:rPr>
        <w:t xml:space="preserve">; </w:t>
      </w:r>
      <w:r>
        <w:rPr>
          <w:b w:val="0"/>
          <w:i/>
        </w:rPr>
        <w:t>vires</w:t>
      </w:r>
      <w:r>
        <w:rPr>
          <w:b w:val="0"/>
          <w:i w:val="0"/>
        </w:rPr>
        <w:t xml:space="preserve">; </w:t>
      </w:r>
      <w:r>
        <w:rPr>
          <w:b w:val="0"/>
          <w:i/>
        </w:rPr>
        <w:t>virtus</w:t>
      </w:r>
      <w:r>
        <w:rPr>
          <w:b w:val="0"/>
          <w:i w:val="0"/>
        </w:rPr>
        <w:t xml:space="preserve">; </w:t>
      </w:r>
      <w:r>
        <w:rPr>
          <w:b w:val="0"/>
          <w:i/>
        </w:rPr>
        <w:t>vis</w:t>
      </w:r>
      <w:r>
        <w:rPr>
          <w:b w:val="0"/>
          <w:i w:val="0"/>
        </w:rPr>
        <w:t>.</w:t>
      </w:r>
    </w:p>
    <w:p>
      <w:pPr>
        <w:widowControl/>
      </w:pPr>
      <w:r>
        <w:rPr>
          <w:b w:val="0"/>
          <w:i w:val="0"/>
        </w:rPr>
        <w:t xml:space="preserve">Effective capacity or power, with different nouns used in overlapping ways. Soul’s power of sensing is the announced route of proof, while the eye’s small size does not measure the strength of inward sense. References: </w:t>
      </w:r>
      <w:hyperlink w:anchor="passage-vii-1-1">
        <w:r>
          <w:rPr>
            <w:color w:val="000000"/>
          </w:rPr>
          <w:t xml:space="preserve">VII.1.1</w:t>
        </w:r>
      </w:hyperlink>
      <w:r>
        <w:rPr>
          <w:b w:val="0"/>
          <w:i w:val="0"/>
        </w:rPr>
        <w:t xml:space="preserve">, </w:t>
      </w:r>
      <w:hyperlink w:anchor="passage-vii-2-1">
        <w:r>
          <w:rPr>
            <w:color w:val="000000"/>
          </w:rPr>
          <w:t xml:space="preserve">VII.2.1</w:t>
        </w:r>
      </w:hyperlink>
      <w:r>
        <w:rPr>
          <w:b w:val="0"/>
          <w:i w:val="0"/>
        </w:rPr>
        <w:t xml:space="preserve">, </w:t>
      </w:r>
      <w:hyperlink w:anchor="passage-vii-3-1">
        <w:r>
          <w:rPr>
            <w:color w:val="000000"/>
          </w:rPr>
          <w:t xml:space="preserve">VII.3.1</w:t>
        </w:r>
      </w:hyperlink>
      <w:r>
        <w:rPr>
          <w:b w:val="0"/>
          <w:i w:val="0"/>
        </w:rPr>
        <w:t xml:space="preserve">, </w:t>
      </w:r>
      <w:hyperlink w:anchor="passage-vii-6-2">
        <w:r>
          <w:rPr>
            <w:color w:val="000000"/>
          </w:rPr>
          <w:t xml:space="preserve">VII.6.2</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604" w:name="latin-record-1363"/>
      <w:bookmarkEnd w:id="1604"/>
      <w:r>
        <w:rPr>
          <w:b/>
          <w:i w:val="0"/>
        </w:rPr>
        <w:t>vis agilis</w:t>
      </w:r>
      <w:r>
        <w:rPr>
          <w:b/>
          <w:i w:val="0"/>
        </w:rPr>
        <w:t>.</w:t>
      </w:r>
      <w:r>
        <w:rPr>
          <w:b w:val="0"/>
          <w:i w:val="0"/>
        </w:rPr>
        <w:t xml:space="preserve"> Printed forms: </w:t>
      </w:r>
      <w:r>
        <w:rPr>
          <w:b w:val="0"/>
          <w:i/>
        </w:rPr>
        <w:t>vis quaedam corporis agilis ad movendum</w:t>
      </w:r>
      <w:r>
        <w:rPr>
          <w:b w:val="0"/>
          <w:i w:val="0"/>
        </w:rPr>
        <w:t>.</w:t>
      </w:r>
    </w:p>
    <w:p>
      <w:pPr>
        <w:widowControl/>
      </w:pPr>
      <w:r>
        <w:rPr>
          <w:b w:val="0"/>
          <w:i w:val="0"/>
        </w:rPr>
        <w:t xml:space="preserve">An active bodily power for producing motion. This is the other formulation paired with harmony, still dependent on bodily nature.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605" w:name="latin-record-1364"/>
      <w:bookmarkEnd w:id="1605"/>
      <w:r>
        <w:rPr>
          <w:b/>
          <w:i w:val="0"/>
        </w:rPr>
        <w:t>vis in si vis</w:t>
      </w:r>
      <w:r>
        <w:rPr>
          <w:b/>
          <w:i w:val="0"/>
        </w:rPr>
        <w:t>.</w:t>
      </w:r>
      <w:r>
        <w:rPr>
          <w:b w:val="0"/>
          <w:i w:val="0"/>
        </w:rPr>
        <w:t xml:space="preserve"> Printed forms: </w:t>
      </w:r>
      <w:r>
        <w:rPr>
          <w:b w:val="0"/>
          <w:i/>
        </w:rPr>
        <w:t>si vis</w:t>
      </w:r>
      <w:r>
        <w:rPr>
          <w:b w:val="0"/>
          <w:i w:val="0"/>
        </w:rPr>
        <w:t>.</w:t>
      </w:r>
    </w:p>
    <w:p>
      <w:pPr>
        <w:widowControl/>
      </w:pPr>
      <w:r>
        <w:rPr>
          <w:b w:val="0"/>
          <w:i w:val="0"/>
        </w:rPr>
        <w:t xml:space="preserve">If you wish, the second-person form of willing in a hypothetical invitation. Ficino grants genus and difference as alleged parts for the sake of the argument. This vis is not the noun for power. References: </w:t>
      </w:r>
      <w:hyperlink w:anchor="passage-viii-4-4">
        <w:r>
          <w:rPr>
            <w:color w:val="000000"/>
          </w:rPr>
          <w:t xml:space="preserve">VIII.4.4</w:t>
        </w:r>
      </w:hyperlink>
      <w:r>
        <w:rPr>
          <w:b w:val="0"/>
          <w:i w:val="0"/>
        </w:rPr>
        <w:t xml:space="preserve">. See </w:t>
      </w:r>
      <w:hyperlink w:anchor="viii-definition-parts">
        <w:r>
          <w:rPr>
            <w:color w:val="000000"/>
          </w:rPr>
          <w:t xml:space="preserve">Definition, genus, difference, and mindless parts</w:t>
        </w:r>
      </w:hyperlink>
      <w:r>
        <w:rPr>
          <w:b w:val="0"/>
          <w:i w:val="0"/>
        </w:rPr>
        <w:t>.</w:t>
      </w:r>
    </w:p>
    <w:p>
      <w:pPr>
        <w:keepNext/>
        <w:widowControl/>
      </w:pPr>
      <w:bookmarkStart w:id="1606" w:name="latin-record-1365"/>
      <w:bookmarkEnd w:id="1606"/>
      <w:r>
        <w:rPr>
          <w:b/>
          <w:i w:val="0"/>
        </w:rPr>
        <w:t>vis iudiciaria</w:t>
      </w:r>
      <w:r>
        <w:rPr>
          <w:b/>
          <w:i w:val="0"/>
        </w:rPr>
        <w:t>.</w:t>
      </w:r>
      <w:r>
        <w:rPr>
          <w:b w:val="0"/>
          <w:i w:val="0"/>
        </w:rPr>
        <w:t xml:space="preserve"> Printed forms: </w:t>
      </w:r>
      <w:r>
        <w:rPr>
          <w:b w:val="0"/>
          <w:i/>
        </w:rPr>
        <w:t>vim illam iudiciariam</w:t>
      </w:r>
      <w:r>
        <w:rPr>
          <w:b w:val="0"/>
          <w:i w:val="0"/>
        </w:rPr>
        <w:t xml:space="preserve">; </w:t>
      </w:r>
      <w:r>
        <w:rPr>
          <w:b w:val="0"/>
          <w:i/>
        </w:rPr>
        <w:t>vis illa iudiciaria</w:t>
      </w:r>
      <w:r>
        <w:rPr>
          <w:b w:val="0"/>
          <w:i w:val="0"/>
        </w:rPr>
        <w:t>.</w:t>
      </w:r>
    </w:p>
    <w:p>
      <w:pPr>
        <w:widowControl/>
      </w:pPr>
      <w:r>
        <w:rPr>
          <w:b w:val="0"/>
          <w:i w:val="0"/>
        </w:rPr>
        <w:t xml:space="preserve">The judging power able to locate an affection and direct action. A divided cerebral judge would know only its own state; the positive account makes the whole judging power present to each member. References: </w:t>
      </w:r>
      <w:hyperlink w:anchor="passage-vii-5-3">
        <w:r>
          <w:rPr>
            <w:color w:val="000000"/>
          </w:rPr>
          <w:t xml:space="preserve">VII.5.3</w:t>
        </w:r>
      </w:hyperlink>
      <w:r>
        <w:rPr>
          <w:b w:val="0"/>
          <w:i w:val="0"/>
        </w:rPr>
        <w:t xml:space="preserve">. See </w:t>
      </w:r>
      <w:hyperlink w:anchor="vii-pain-location">
        <w:r>
          <w:rPr>
            <w:color w:val="000000"/>
          </w:rPr>
          <w:t xml:space="preserve">Pain, location and reporting</w:t>
        </w:r>
      </w:hyperlink>
      <w:r>
        <w:rPr>
          <w:b w:val="0"/>
          <w:i w:val="0"/>
        </w:rPr>
        <w:t>.</w:t>
      </w:r>
    </w:p>
    <w:p>
      <w:pPr>
        <w:keepNext/>
        <w:widowControl/>
      </w:pPr>
      <w:bookmarkStart w:id="1607" w:name="latin-record-1366"/>
      <w:bookmarkEnd w:id="1607"/>
      <w:r>
        <w:rPr>
          <w:b/>
          <w:i w:val="0"/>
        </w:rPr>
        <w:t>vis naturalis</w:t>
      </w:r>
      <w:r>
        <w:rPr>
          <w:b/>
          <w:i w:val="0"/>
        </w:rPr>
        <w:t>.</w:t>
      </w:r>
      <w:r>
        <w:rPr>
          <w:b w:val="0"/>
          <w:i w:val="0"/>
        </w:rPr>
        <w:t xml:space="preserve"> Printed forms: </w:t>
      </w:r>
      <w:r>
        <w:rPr>
          <w:b w:val="0"/>
          <w:i/>
        </w:rPr>
        <w:t>vi naturali</w:t>
      </w:r>
      <w:r>
        <w:rPr>
          <w:b w:val="0"/>
          <w:i w:val="0"/>
        </w:rPr>
        <w:t xml:space="preserve">; </w:t>
      </w:r>
      <w:r>
        <w:rPr>
          <w:b w:val="0"/>
          <w:i/>
        </w:rPr>
        <w:t>vis ea efficiens</w:t>
      </w:r>
      <w:r>
        <w:rPr>
          <w:b w:val="0"/>
          <w:i w:val="0"/>
        </w:rPr>
        <w:t xml:space="preserve">; </w:t>
      </w:r>
      <w:r>
        <w:rPr>
          <w:b w:val="0"/>
          <w:i/>
        </w:rPr>
        <w:t>vis ipsa naturalis</w:t>
      </w:r>
      <w:r>
        <w:rPr>
          <w:b w:val="0"/>
          <w:i w:val="0"/>
        </w:rPr>
        <w:t>.</w:t>
      </w:r>
    </w:p>
    <w:p>
      <w:pPr>
        <w:widowControl/>
      </w:pPr>
      <w:r>
        <w:rPr>
          <w:b w:val="0"/>
          <w:i w:val="0"/>
        </w:rPr>
        <w:t xml:space="preserve">Natural effective power, the agent by which matter is moved or formed. V.4.10 orders productive power, rational soul and instrumental qualities; power here is not sheer bodily size. References: </w:t>
      </w:r>
      <w:hyperlink w:anchor="passage-v-4-1">
        <w:r>
          <w:rPr>
            <w:color w:val="000000"/>
          </w:rPr>
          <w:t xml:space="preserve">V.4.1</w:t>
        </w:r>
      </w:hyperlink>
      <w:r>
        <w:rPr>
          <w:b w:val="0"/>
          <w:i w:val="0"/>
        </w:rPr>
        <w:t xml:space="preserve">, </w:t>
      </w:r>
      <w:hyperlink w:anchor="passage-v-4-10">
        <w:r>
          <w:rPr>
            <w:color w:val="000000"/>
          </w:rPr>
          <w:t xml:space="preserve">V.4.10</w:t>
        </w:r>
      </w:hyperlink>
      <w:r>
        <w:rPr>
          <w:b w:val="0"/>
          <w:i w:val="0"/>
        </w:rPr>
        <w:t xml:space="preserve">. See </w:t>
      </w:r>
      <w:hyperlink w:anchor="four-causes-and-graded-dependence">
        <w:r>
          <w:rPr>
            <w:color w:val="000000"/>
          </w:rPr>
          <w:t xml:space="preserve">Four causes and graded dependence</w:t>
        </w:r>
      </w:hyperlink>
      <w:r>
        <w:rPr>
          <w:b w:val="0"/>
          <w:i w:val="0"/>
        </w:rPr>
        <w:t>.</w:t>
      </w:r>
    </w:p>
    <w:p>
      <w:pPr>
        <w:keepNext/>
        <w:widowControl/>
      </w:pPr>
      <w:bookmarkStart w:id="1608" w:name="latin-record-1367"/>
      <w:bookmarkEnd w:id="1608"/>
      <w:r>
        <w:rPr>
          <w:b/>
          <w:i w:val="0"/>
        </w:rPr>
        <w:t>vis seminaria</w:t>
      </w:r>
      <w:r>
        <w:rPr>
          <w:b/>
          <w:i w:val="0"/>
        </w:rPr>
        <w:t>.</w:t>
      </w:r>
      <w:r>
        <w:rPr>
          <w:b w:val="0"/>
          <w:i w:val="0"/>
        </w:rPr>
        <w:t xml:space="preserve"> Printed forms: </w:t>
      </w:r>
      <w:r>
        <w:rPr>
          <w:b w:val="0"/>
          <w:i/>
        </w:rPr>
        <w:t>seminaria virtus</w:t>
      </w:r>
      <w:r>
        <w:rPr>
          <w:b w:val="0"/>
          <w:i w:val="0"/>
        </w:rPr>
        <w:t xml:space="preserve">; </w:t>
      </w:r>
      <w:r>
        <w:rPr>
          <w:b w:val="0"/>
          <w:i/>
        </w:rPr>
        <w:t>Vis seminaria</w:t>
      </w:r>
      <w:r>
        <w:rPr>
          <w:b w:val="0"/>
          <w:i w:val="0"/>
        </w:rPr>
        <w:t>.</w:t>
      </w:r>
    </w:p>
    <w:p>
      <w:pPr>
        <w:widowControl/>
      </w:pPr>
      <w:r>
        <w:rPr>
          <w:b w:val="0"/>
          <w:i w:val="0"/>
        </w:rPr>
        <w:t xml:space="preserve">The complete formative power within seed. Its supposed presence in each productive portion is used to argue for a power undivided by bodily quantity. References: </w:t>
      </w:r>
      <w:hyperlink w:anchor="passage-vi-10-1">
        <w:r>
          <w:rPr>
            <w:color w:val="000000"/>
          </w:rPr>
          <w:t xml:space="preserve">VI.10.1</w:t>
        </w:r>
      </w:hyperlink>
      <w:r>
        <w:rPr>
          <w:b w:val="0"/>
          <w:i w:val="0"/>
        </w:rPr>
        <w:t xml:space="preserve">. See </w:t>
      </w:r>
      <w:hyperlink w:anchor="seminal-power-fish-eggs-and-tree">
        <w:r>
          <w:rPr>
            <w:color w:val="000000"/>
          </w:rPr>
          <w:t xml:space="preserve">Seminal power, fish eggs and the tree</w:t>
        </w:r>
      </w:hyperlink>
      <w:r>
        <w:rPr>
          <w:b w:val="0"/>
          <w:i w:val="0"/>
        </w:rPr>
        <w:t>.</w:t>
      </w:r>
    </w:p>
    <w:p>
      <w:pPr>
        <w:keepNext/>
        <w:widowControl/>
      </w:pPr>
      <w:bookmarkStart w:id="1609" w:name="latin-record-1368"/>
      <w:bookmarkEnd w:id="1609"/>
      <w:r>
        <w:rPr>
          <w:b/>
          <w:i w:val="0"/>
        </w:rPr>
        <w:t>viscera</w:t>
      </w:r>
      <w:r>
        <w:rPr>
          <w:b/>
          <w:i w:val="0"/>
        </w:rPr>
        <w:t>.</w:t>
      </w:r>
      <w:r>
        <w:rPr>
          <w:b w:val="0"/>
          <w:i w:val="0"/>
        </w:rPr>
        <w:t xml:space="preserve"> Printed forms: </w:t>
      </w:r>
      <w:r>
        <w:rPr>
          <w:b w:val="0"/>
          <w:i/>
        </w:rPr>
        <w:t>visceribus</w:t>
      </w:r>
      <w:r>
        <w:rPr>
          <w:b w:val="0"/>
          <w:i w:val="0"/>
        </w:rPr>
        <w:t>.</w:t>
      </w:r>
    </w:p>
    <w:p>
      <w:pPr>
        <w:widowControl/>
      </w:pPr>
      <w:r>
        <w:rPr>
          <w:b w:val="0"/>
          <w:i w:val="0"/>
        </w:rPr>
        <w:t xml:space="preserve">Entrails or internal organs, literal or metaphorical according to context. Soul is not torn from matter’s entrails; hidden bodily nutrition instead uses organs literally in the vivification argument. References: </w:t>
      </w:r>
      <w:hyperlink w:anchor="passage-v-13-1">
        <w:r>
          <w:rPr>
            <w:color w:val="000000"/>
          </w:rPr>
          <w:t xml:space="preserve">V.13.1</w:t>
        </w:r>
      </w:hyperlink>
      <w:r>
        <w:rPr>
          <w:b w:val="0"/>
          <w:i w:val="0"/>
        </w:rPr>
        <w:t xml:space="preserve">, </w:t>
      </w:r>
      <w:hyperlink w:anchor="passage-v-14-2">
        <w:r>
          <w:rPr>
            <w:color w:val="000000"/>
          </w:rPr>
          <w:t xml:space="preserve">V.14.2</w:t>
        </w:r>
      </w:hyperlink>
      <w:r>
        <w:rPr>
          <w:b w:val="0"/>
          <w:i w:val="0"/>
        </w:rPr>
        <w:t xml:space="preserve">. See </w:t>
      </w:r>
      <w:hyperlink w:anchor="creation-and-generation">
        <w:r>
          <w:rPr>
            <w:color w:val="000000"/>
          </w:rPr>
          <w:t xml:space="preserve">Creation and generation</w:t>
        </w:r>
      </w:hyperlink>
      <w:r>
        <w:rPr>
          <w:b w:val="0"/>
          <w:i w:val="0"/>
        </w:rPr>
        <w:t>.</w:t>
      </w:r>
    </w:p>
    <w:p>
      <w:pPr>
        <w:keepNext/>
        <w:widowControl/>
      </w:pPr>
      <w:bookmarkStart w:id="1610" w:name="latin-record-1369"/>
      <w:bookmarkEnd w:id="1610"/>
      <w:r>
        <w:rPr>
          <w:b/>
          <w:i w:val="0"/>
        </w:rPr>
        <w:t>viscera; gremium</w:t>
      </w:r>
      <w:r>
        <w:rPr>
          <w:b/>
          <w:i w:val="0"/>
        </w:rPr>
        <w:t>.</w:t>
      </w:r>
      <w:r>
        <w:rPr>
          <w:b w:val="0"/>
          <w:i w:val="0"/>
        </w:rPr>
        <w:t xml:space="preserve"> Printed forms: </w:t>
      </w:r>
      <w:r>
        <w:rPr>
          <w:b w:val="0"/>
          <w:i/>
        </w:rPr>
        <w:t>naturali gremio</w:t>
      </w:r>
      <w:r>
        <w:rPr>
          <w:b w:val="0"/>
          <w:i w:val="0"/>
        </w:rPr>
        <w:t xml:space="preserve">; </w:t>
      </w:r>
      <w:r>
        <w:rPr>
          <w:b w:val="0"/>
          <w:i/>
        </w:rPr>
        <w:t>visceribus</w:t>
      </w:r>
      <w:r>
        <w:rPr>
          <w:b w:val="0"/>
          <w:i w:val="0"/>
        </w:rPr>
        <w:t>.</w:t>
      </w:r>
    </w:p>
    <w:p>
      <w:pPr>
        <w:widowControl/>
      </w:pPr>
      <w:r>
        <w:rPr>
          <w:b w:val="0"/>
          <w:i w:val="0"/>
        </w:rPr>
        <w:t xml:space="preserve">Entrails and natural womb or lap, used as images of matter’s generative interior. The language depicts dependence on the material source, not anatomical organs of a literal substance called matter.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611" w:name="latin-record-1370"/>
      <w:bookmarkEnd w:id="1611"/>
      <w:r>
        <w:rPr>
          <w:b/>
          <w:i w:val="0"/>
        </w:rPr>
        <w:t>visibilis / invisibilis</w:t>
      </w:r>
      <w:r>
        <w:rPr>
          <w:b/>
          <w:i w:val="0"/>
        </w:rPr>
        <w:t>.</w:t>
      </w:r>
      <w:r>
        <w:rPr>
          <w:b w:val="0"/>
          <w:i w:val="0"/>
        </w:rPr>
        <w:t xml:space="preserve"> Printed forms: </w:t>
      </w:r>
      <w:r>
        <w:rPr>
          <w:b w:val="0"/>
          <w:i/>
        </w:rPr>
        <w:t>conspicua</w:t>
      </w:r>
      <w:r>
        <w:rPr>
          <w:b w:val="0"/>
          <w:i w:val="0"/>
        </w:rPr>
        <w:t xml:space="preserve">; </w:t>
      </w:r>
      <w:r>
        <w:rPr>
          <w:b w:val="0"/>
          <w:i/>
        </w:rPr>
        <w:t>invisibilis</w:t>
      </w:r>
      <w:r>
        <w:rPr>
          <w:b w:val="0"/>
          <w:i w:val="0"/>
        </w:rPr>
        <w:t xml:space="preserve">; </w:t>
      </w:r>
      <w:r>
        <w:rPr>
          <w:b w:val="0"/>
          <w:i/>
        </w:rPr>
        <w:t>visibilis</w:t>
      </w:r>
      <w:r>
        <w:rPr>
          <w:b w:val="0"/>
          <w:i w:val="0"/>
        </w:rPr>
        <w:t>.</w:t>
      </w:r>
    </w:p>
    <w:p>
      <w:pPr>
        <w:widowControl/>
      </w:pPr>
      <w:r>
        <w:rPr>
          <w:b w:val="0"/>
          <w:i w:val="0"/>
        </w:rPr>
        <w:t xml:space="preserve">Visible, invisible and manifest, marking the light’s inward source and outward disclosure. The reading visibilis after effusa longius is the supplied edition’s explicit emendation against unanimous invisibilis, not a silently settled witness reading. References: </w:t>
      </w:r>
      <w:hyperlink w:anchor="passage-viii-13-1">
        <w:r>
          <w:rPr>
            <w:color w:val="000000"/>
          </w:rPr>
          <w:t xml:space="preserve">VIII.13.1</w:t>
        </w:r>
      </w:hyperlink>
      <w:r>
        <w:rPr>
          <w:b w:val="0"/>
          <w:i w:val="0"/>
        </w:rPr>
        <w:t xml:space="preserve">. See </w:t>
      </w:r>
      <w:hyperlink w:anchor="viii-mirror-light">
        <w:r>
          <w:rPr>
            <w:color w:val="000000"/>
          </w:rPr>
          <w:t xml:space="preserve">Mirror, light, and the soul of the sun</w:t>
        </w:r>
      </w:hyperlink>
      <w:r>
        <w:rPr>
          <w:b w:val="0"/>
          <w:i w:val="0"/>
        </w:rPr>
        <w:t>.</w:t>
      </w:r>
    </w:p>
    <w:p>
      <w:pPr>
        <w:keepNext/>
        <w:widowControl/>
      </w:pPr>
      <w:bookmarkStart w:id="1612" w:name="latin-record-1371"/>
      <w:bookmarkEnd w:id="1612"/>
      <w:r>
        <w:rPr>
          <w:b/>
          <w:i w:val="0"/>
        </w:rPr>
        <w:t>visio</w:t>
      </w:r>
      <w:r>
        <w:rPr>
          <w:b/>
          <w:i w:val="0"/>
        </w:rPr>
        <w:t>.</w:t>
      </w:r>
      <w:r>
        <w:rPr>
          <w:b w:val="0"/>
          <w:i w:val="0"/>
        </w:rPr>
        <w:t xml:space="preserve"> Printed forms: </w:t>
      </w:r>
      <w:r>
        <w:rPr>
          <w:b w:val="0"/>
          <w:i/>
        </w:rPr>
        <w:t>visionem</w:t>
      </w:r>
      <w:r>
        <w:rPr>
          <w:b w:val="0"/>
          <w:i w:val="0"/>
        </w:rPr>
        <w:t xml:space="preserve">; </w:t>
      </w:r>
      <w:r>
        <w:rPr>
          <w:b w:val="0"/>
          <w:i/>
        </w:rPr>
        <w:t>visiones</w:t>
      </w:r>
      <w:r>
        <w:rPr>
          <w:b w:val="0"/>
          <w:i w:val="0"/>
        </w:rPr>
        <w:t>.</w:t>
      </w:r>
    </w:p>
    <w:p>
      <w:pPr>
        <w:widowControl/>
      </w:pPr>
      <w:r>
        <w:rPr>
          <w:b w:val="0"/>
          <w:i w:val="0"/>
        </w:rPr>
        <w:t xml:space="preserve">An act of seeing or complete vision. The proposed shared whole vision is tested as an attempted escape from fragmented sensing. References: </w:t>
      </w:r>
      <w:hyperlink w:anchor="passage-vii-4-2">
        <w:r>
          <w:rPr>
            <w:color w:val="000000"/>
          </w:rPr>
          <w:t xml:space="preserve">VII.4.2</w:t>
        </w:r>
      </w:hyperlink>
      <w:r>
        <w:rPr>
          <w:b w:val="0"/>
          <w:i w:val="0"/>
        </w:rPr>
        <w:t xml:space="preserve">. See </w:t>
      </w:r>
      <w:hyperlink w:anchor="vii-one-comprehension">
        <w:r>
          <w:rPr>
            <w:color w:val="000000"/>
          </w:rPr>
          <w:t xml:space="preserve">One comprehension and indivisible sensation</w:t>
        </w:r>
      </w:hyperlink>
      <w:r>
        <w:rPr>
          <w:b w:val="0"/>
          <w:i w:val="0"/>
        </w:rPr>
        <w:t>.</w:t>
      </w:r>
    </w:p>
    <w:p>
      <w:pPr>
        <w:keepNext/>
        <w:widowControl/>
      </w:pPr>
      <w:bookmarkStart w:id="1613" w:name="latin-record-1372"/>
      <w:bookmarkEnd w:id="1613"/>
      <w:r>
        <w:rPr>
          <w:b/>
          <w:i w:val="0"/>
        </w:rPr>
        <w:t>visus / auditus / olfactus</w:t>
      </w:r>
      <w:r>
        <w:rPr>
          <w:b/>
          <w:i w:val="0"/>
        </w:rPr>
        <w:t>.</w:t>
      </w:r>
      <w:r>
        <w:rPr>
          <w:b w:val="0"/>
          <w:i w:val="0"/>
        </w:rPr>
        <w:t xml:space="preserve"> Printed forms: </w:t>
      </w:r>
      <w:r>
        <w:rPr>
          <w:b w:val="0"/>
          <w:i/>
        </w:rPr>
        <w:t>auditus</w:t>
      </w:r>
      <w:r>
        <w:rPr>
          <w:b w:val="0"/>
          <w:i w:val="0"/>
        </w:rPr>
        <w:t xml:space="preserve">; </w:t>
      </w:r>
      <w:r>
        <w:rPr>
          <w:b w:val="0"/>
          <w:i/>
        </w:rPr>
        <w:t>olfactus</w:t>
      </w:r>
      <w:r>
        <w:rPr>
          <w:b w:val="0"/>
          <w:i w:val="0"/>
        </w:rPr>
        <w:t xml:space="preserve">; </w:t>
      </w:r>
      <w:r>
        <w:rPr>
          <w:b w:val="0"/>
          <w:i/>
        </w:rPr>
        <w:t>Visus</w:t>
      </w:r>
      <w:r>
        <w:rPr>
          <w:b w:val="0"/>
          <w:i w:val="0"/>
        </w:rPr>
        <w:t>.</w:t>
      </w:r>
    </w:p>
    <w:p>
      <w:pPr>
        <w:widowControl/>
      </w:pPr>
      <w:r>
        <w:rPr>
          <w:b w:val="0"/>
          <w:i w:val="0"/>
        </w:rPr>
        <w:t xml:space="preserve">Sight, hearing and smell, differentiated external senses. Each receives its proper kind of object; none alone compares color, voice and odor as different. References: </w:t>
      </w:r>
      <w:hyperlink w:anchor="passage-vii-2-1">
        <w:r>
          <w:rPr>
            <w:color w:val="000000"/>
          </w:rPr>
          <w:t xml:space="preserve">VII.2.1</w:t>
        </w:r>
      </w:hyperlink>
      <w:r>
        <w:rPr>
          <w:b w:val="0"/>
          <w:i w:val="0"/>
        </w:rPr>
        <w:t xml:space="preserve">. See </w:t>
      </w:r>
      <w:hyperlink w:anchor="vii-common-sense-comparison">
        <w:r>
          <w:rPr>
            <w:color w:val="000000"/>
          </w:rPr>
          <w:t xml:space="preserve">Comparison and common sense</w:t>
        </w:r>
      </w:hyperlink>
      <w:r>
        <w:rPr>
          <w:b w:val="0"/>
          <w:i w:val="0"/>
        </w:rPr>
        <w:t>.</w:t>
      </w:r>
    </w:p>
    <w:p>
      <w:pPr>
        <w:keepNext/>
        <w:widowControl/>
      </w:pPr>
      <w:bookmarkStart w:id="1614" w:name="latin-record-1373"/>
      <w:bookmarkEnd w:id="1614"/>
      <w:r>
        <w:rPr>
          <w:b/>
          <w:i w:val="0"/>
        </w:rPr>
        <w:t>vita</w:t>
      </w:r>
      <w:r>
        <w:rPr>
          <w:b/>
          <w:i w:val="0"/>
        </w:rPr>
        <w:t>.</w:t>
      </w:r>
      <w:r>
        <w:rPr>
          <w:b w:val="0"/>
          <w:i w:val="0"/>
        </w:rPr>
        <w:t xml:space="preserve"> Printed forms: </w:t>
      </w:r>
      <w:r>
        <w:rPr>
          <w:b w:val="0"/>
          <w:i/>
        </w:rPr>
        <w:t>vita</w:t>
      </w:r>
      <w:r>
        <w:rPr>
          <w:b w:val="0"/>
          <w:i w:val="0"/>
        </w:rPr>
        <w:t xml:space="preserve">; </w:t>
      </w:r>
      <w:r>
        <w:rPr>
          <w:b w:val="0"/>
          <w:i/>
        </w:rPr>
        <w:t>vitae</w:t>
      </w:r>
      <w:r>
        <w:rPr>
          <w:b w:val="0"/>
          <w:i w:val="0"/>
        </w:rPr>
        <w:t xml:space="preserve">; </w:t>
      </w:r>
      <w:r>
        <w:rPr>
          <w:b w:val="0"/>
          <w:i/>
        </w:rPr>
        <w:t>vitam</w:t>
      </w:r>
      <w:r>
        <w:rPr>
          <w:b w:val="0"/>
          <w:i w:val="0"/>
        </w:rPr>
        <w:t>.</w:t>
      </w:r>
    </w:p>
    <w:p>
      <w:pPr>
        <w:widowControl/>
      </w:pPr>
      <w:r>
        <w:rPr>
          <w:b w:val="0"/>
          <w:i w:val="0"/>
        </w:rPr>
        <w:t xml:space="preserve">Life, identified with the soul’s essence in the argument rather than merely an acquired property. The soul gives life while a body receives it; the distinction between life and its recipient drives the immortality proof. References: </w:t>
      </w:r>
      <w:hyperlink w:anchor="passage-v-14-1">
        <w:r>
          <w:rPr>
            <w:color w:val="000000"/>
          </w:rPr>
          <w:t xml:space="preserve">V.14.1</w:t>
        </w:r>
      </w:hyperlink>
      <w:r>
        <w:rPr>
          <w:b w:val="0"/>
          <w:i w:val="0"/>
        </w:rPr>
        <w:t xml:space="preserve">, </w:t>
      </w:r>
      <w:hyperlink w:anchor="passage-v-14-2">
        <w:r>
          <w:rPr>
            <w:color w:val="000000"/>
          </w:rPr>
          <w:t xml:space="preserve">V.14.2</w:t>
        </w:r>
      </w:hyperlink>
      <w:r>
        <w:rPr>
          <w:b w:val="0"/>
          <w:i w:val="0"/>
        </w:rPr>
        <w:t xml:space="preserve">, </w:t>
      </w:r>
      <w:hyperlink w:anchor="passage-v-15-7">
        <w:r>
          <w:rPr>
            <w:color w:val="000000"/>
          </w:rPr>
          <w:t xml:space="preserve">V.15.7</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1615" w:name="latin-record-1374"/>
      <w:bookmarkEnd w:id="1615"/>
      <w:r>
        <w:rPr>
          <w:b/>
          <w:i w:val="0"/>
        </w:rPr>
        <w:t>vita / vivere</w:t>
      </w:r>
      <w:r>
        <w:rPr>
          <w:b/>
          <w:i w:val="0"/>
        </w:rPr>
        <w:t>.</w:t>
      </w:r>
      <w:r>
        <w:rPr>
          <w:b w:val="0"/>
          <w:i w:val="0"/>
        </w:rPr>
        <w:t xml:space="preserve"> Printed forms: </w:t>
      </w:r>
      <w:r>
        <w:rPr>
          <w:b w:val="0"/>
          <w:i/>
        </w:rPr>
        <w:t>Vita</w:t>
      </w:r>
      <w:r>
        <w:rPr>
          <w:b w:val="0"/>
          <w:i w:val="0"/>
        </w:rPr>
        <w:t xml:space="preserve">; </w:t>
      </w:r>
      <w:r>
        <w:rPr>
          <w:b w:val="0"/>
          <w:i/>
        </w:rPr>
        <w:t>vita</w:t>
      </w:r>
      <w:r>
        <w:rPr>
          <w:b w:val="0"/>
          <w:i w:val="0"/>
        </w:rPr>
        <w:t xml:space="preserve">; </w:t>
      </w:r>
      <w:r>
        <w:rPr>
          <w:b w:val="0"/>
          <w:i/>
        </w:rPr>
        <w:t>vitae</w:t>
      </w:r>
      <w:r>
        <w:rPr>
          <w:b w:val="0"/>
          <w:i w:val="0"/>
        </w:rPr>
        <w:t xml:space="preserve">; </w:t>
      </w:r>
      <w:r>
        <w:rPr>
          <w:b w:val="0"/>
          <w:i/>
        </w:rPr>
        <w:t>vitam</w:t>
      </w:r>
      <w:r>
        <w:rPr>
          <w:b w:val="0"/>
          <w:i w:val="0"/>
        </w:rPr>
        <w:t xml:space="preserve">; </w:t>
      </w:r>
      <w:r>
        <w:rPr>
          <w:b w:val="0"/>
          <w:i/>
        </w:rPr>
        <w:t>vivendi</w:t>
      </w:r>
      <w:r>
        <w:rPr>
          <w:b w:val="0"/>
          <w:i w:val="0"/>
        </w:rPr>
        <w:t xml:space="preserve">; </w:t>
      </w:r>
      <w:r>
        <w:rPr>
          <w:b w:val="0"/>
          <w:i/>
        </w:rPr>
        <w:t>vivendo</w:t>
      </w:r>
      <w:r>
        <w:rPr>
          <w:b w:val="0"/>
          <w:i w:val="0"/>
        </w:rPr>
        <w:t xml:space="preserve">; </w:t>
      </w:r>
      <w:r>
        <w:rPr>
          <w:b w:val="0"/>
          <w:i/>
        </w:rPr>
        <w:t>viventia</w:t>
      </w:r>
      <w:r>
        <w:rPr>
          <w:b w:val="0"/>
          <w:i w:val="0"/>
        </w:rPr>
        <w:t xml:space="preserve">; </w:t>
      </w:r>
      <w:r>
        <w:rPr>
          <w:b w:val="0"/>
          <w:i/>
        </w:rPr>
        <w:t>vivere</w:t>
      </w:r>
      <w:r>
        <w:rPr>
          <w:b w:val="0"/>
          <w:i w:val="0"/>
        </w:rPr>
        <w:t xml:space="preserve">; </w:t>
      </w:r>
      <w:r>
        <w:rPr>
          <w:b w:val="0"/>
          <w:i/>
        </w:rPr>
        <w:t>vivet</w:t>
      </w:r>
      <w:r>
        <w:rPr>
          <w:b w:val="0"/>
          <w:i w:val="0"/>
        </w:rPr>
        <w:t xml:space="preserve">; </w:t>
      </w:r>
      <w:r>
        <w:rPr>
          <w:b w:val="0"/>
          <w:i/>
        </w:rPr>
        <w:t>vivificare</w:t>
      </w:r>
      <w:r>
        <w:rPr>
          <w:b w:val="0"/>
          <w:i w:val="0"/>
        </w:rPr>
        <w:t xml:space="preserve">; </w:t>
      </w:r>
      <w:r>
        <w:rPr>
          <w:b w:val="0"/>
          <w:i/>
        </w:rPr>
        <w:t>Vivit</w:t>
      </w:r>
      <w:r>
        <w:rPr>
          <w:b w:val="0"/>
          <w:i w:val="0"/>
        </w:rPr>
        <w:t xml:space="preserve">; </w:t>
      </w:r>
      <w:r>
        <w:rPr>
          <w:b w:val="0"/>
          <w:i/>
        </w:rPr>
        <w:t>vivit</w:t>
      </w:r>
      <w:r>
        <w:rPr>
          <w:b w:val="0"/>
          <w:i w:val="0"/>
        </w:rPr>
        <w:t>.</w:t>
      </w:r>
    </w:p>
    <w:p>
      <w:pPr>
        <w:widowControl/>
      </w:pPr>
      <w:r>
        <w:rPr>
          <w:b w:val="0"/>
          <w:i w:val="0"/>
        </w:rPr>
        <w:t xml:space="preserve">Life or living activity; inward operation is called life’s act, prior to reflective intelligence. The proof moves from intellectual self-operation to life and being, then to a received limitless power of continued living. References: </w:t>
      </w:r>
      <w:hyperlink w:anchor="passage-viii-2-8">
        <w:r>
          <w:rPr>
            <w:color w:val="000000"/>
          </w:rPr>
          <w:t xml:space="preserve">VIII.2.8</w:t>
        </w:r>
      </w:hyperlink>
      <w:r>
        <w:rPr>
          <w:b w:val="0"/>
          <w:i w:val="0"/>
        </w:rPr>
        <w:t xml:space="preserve">, </w:t>
      </w:r>
      <w:hyperlink w:anchor="passage-viii-4-13">
        <w:r>
          <w:rPr>
            <w:color w:val="000000"/>
          </w:rPr>
          <w:t xml:space="preserve">VIII.4.13</w:t>
        </w:r>
      </w:hyperlink>
      <w:r>
        <w:rPr>
          <w:b w:val="0"/>
          <w:i w:val="0"/>
        </w:rPr>
        <w:t xml:space="preserve">, </w:t>
      </w:r>
      <w:hyperlink w:anchor="passage-viii-14-1">
        <w:r>
          <w:rPr>
            <w:color w:val="000000"/>
          </w:rPr>
          <w:t xml:space="preserve">VIII.14.1</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w:t>
      </w:r>
      <w:hyperlink w:anchor="passage-viii-16-4">
        <w:r>
          <w:rPr>
            <w:color w:val="000000"/>
          </w:rPr>
          <w:t xml:space="preserve">VIII.16.4</w:t>
        </w:r>
      </w:hyperlink>
      <w:r>
        <w:rPr>
          <w:b w:val="0"/>
          <w:i w:val="0"/>
        </w:rPr>
        <w:t xml:space="preserve">. See </w:t>
      </w:r>
      <w:hyperlink w:anchor="viii-individual-perpetuity">
        <w:r>
          <w:rPr>
            <w:color w:val="000000"/>
          </w:rPr>
          <w:t xml:space="preserve">Individual immortality and the scope of the conclusion</w:t>
        </w:r>
      </w:hyperlink>
      <w:r>
        <w:rPr>
          <w:b w:val="0"/>
          <w:i w:val="0"/>
        </w:rPr>
        <w:t>.</w:t>
      </w:r>
    </w:p>
    <w:p>
      <w:pPr>
        <w:keepNext/>
        <w:widowControl/>
      </w:pPr>
      <w:bookmarkStart w:id="1616" w:name="latin-record-1375"/>
      <w:bookmarkEnd w:id="1616"/>
      <w:r>
        <w:rPr>
          <w:b/>
          <w:i w:val="0"/>
        </w:rPr>
        <w:t>vita mundi / novae animae</w:t>
      </w:r>
      <w:r>
        <w:rPr>
          <w:b/>
          <w:i w:val="0"/>
        </w:rPr>
        <w:t>.</w:t>
      </w:r>
      <w:r>
        <w:rPr>
          <w:b w:val="0"/>
          <w:i w:val="0"/>
        </w:rPr>
        <w:t xml:space="preserve"> Printed forms: </w:t>
      </w:r>
      <w:r>
        <w:rPr>
          <w:b w:val="0"/>
          <w:i/>
        </w:rPr>
        <w:t>novae animae</w:t>
      </w:r>
      <w:r>
        <w:rPr>
          <w:b w:val="0"/>
          <w:i w:val="0"/>
        </w:rPr>
        <w:t xml:space="preserve">; </w:t>
      </w:r>
      <w:r>
        <w:rPr>
          <w:b w:val="0"/>
          <w:i/>
        </w:rPr>
        <w:t>vita mundi</w:t>
      </w:r>
      <w:r>
        <w:rPr>
          <w:b w:val="0"/>
          <w:i w:val="0"/>
        </w:rPr>
        <w:t>.</w:t>
      </w:r>
    </w:p>
    <w:p>
      <w:pPr>
        <w:widowControl/>
      </w:pPr>
      <w:r>
        <w:rPr>
          <w:b w:val="0"/>
          <w:i w:val="0"/>
        </w:rPr>
        <w:t xml:space="preserve">New souls arising from the life of the world. Ficino’s Platonist answer replaces the vanished animal soul with new souls in suitable severed pieces. References: </w:t>
      </w:r>
      <w:hyperlink w:anchor="passage-vii-5-4">
        <w:r>
          <w:rPr>
            <w:color w:val="000000"/>
          </w:rPr>
          <w:t xml:space="preserve">VII.5.4</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1617" w:name="latin-record-1376"/>
      <w:bookmarkEnd w:id="1617"/>
      <w:r>
        <w:rPr>
          <w:b/>
          <w:i w:val="0"/>
        </w:rPr>
        <w:t>vita se generans</w:t>
      </w:r>
      <w:r>
        <w:rPr>
          <w:b/>
          <w:i w:val="0"/>
        </w:rPr>
        <w:t>.</w:t>
      </w:r>
      <w:r>
        <w:rPr>
          <w:b w:val="0"/>
          <w:i w:val="0"/>
        </w:rPr>
        <w:t xml:space="preserve"> Printed forms: </w:t>
      </w:r>
      <w:r>
        <w:rPr>
          <w:b w:val="0"/>
          <w:i/>
        </w:rPr>
        <w:t>anima est vita se generans et producens</w:t>
      </w:r>
      <w:r>
        <w:rPr>
          <w:b w:val="0"/>
          <w:i w:val="0"/>
        </w:rPr>
        <w:t>.</w:t>
      </w:r>
    </w:p>
    <w:p>
      <w:pPr>
        <w:widowControl/>
      </w:pPr>
      <w:r>
        <w:rPr>
          <w:b w:val="0"/>
          <w:i w:val="0"/>
        </w:rPr>
        <w:t xml:space="preserve">Soul as life generating and producing itself, in the reported Platonist formulation. Read with inward vital progression, not as a finite thing creating its own previously absent being. References: </w:t>
      </w:r>
      <w:hyperlink w:anchor="passage-vi-12-12">
        <w:r>
          <w:rPr>
            <w:color w:val="000000"/>
          </w:rPr>
          <w:t xml:space="preserve">VI.12.12</w:t>
        </w:r>
      </w:hyperlink>
      <w:r>
        <w:rPr>
          <w:b w:val="0"/>
          <w:i w:val="0"/>
        </w:rPr>
        <w:t xml:space="preserve">. See </w:t>
      </w:r>
      <w:hyperlink w:anchor="vital-motion-action-and-passion">
        <w:r>
          <w:rPr>
            <w:color w:val="000000"/>
          </w:rPr>
          <w:t xml:space="preserve">Vital motion, action and passion</w:t>
        </w:r>
      </w:hyperlink>
      <w:r>
        <w:rPr>
          <w:b w:val="0"/>
          <w:i w:val="0"/>
        </w:rPr>
        <w:t>.</w:t>
      </w:r>
    </w:p>
    <w:p>
      <w:pPr>
        <w:keepNext/>
        <w:widowControl/>
      </w:pPr>
      <w:bookmarkStart w:id="1618" w:name="latin-record-1377"/>
      <w:bookmarkEnd w:id="1618"/>
      <w:r>
        <w:rPr>
          <w:b/>
          <w:i w:val="0"/>
        </w:rPr>
        <w:t>vita; vivere</w:t>
      </w:r>
      <w:r>
        <w:rPr>
          <w:b/>
          <w:i w:val="0"/>
        </w:rPr>
        <w:t>.</w:t>
      </w:r>
      <w:r>
        <w:rPr>
          <w:b w:val="0"/>
          <w:i w:val="0"/>
        </w:rPr>
        <w:t xml:space="preserve"> Printed forms: </w:t>
      </w:r>
      <w:r>
        <w:rPr>
          <w:b w:val="0"/>
          <w:i/>
        </w:rPr>
        <w:t>vita</w:t>
      </w:r>
      <w:r>
        <w:rPr>
          <w:b w:val="0"/>
          <w:i w:val="0"/>
        </w:rPr>
        <w:t xml:space="preserve">; </w:t>
      </w:r>
      <w:r>
        <w:rPr>
          <w:b w:val="0"/>
          <w:i/>
        </w:rPr>
        <w:t>vitae</w:t>
      </w:r>
      <w:r>
        <w:rPr>
          <w:b w:val="0"/>
          <w:i w:val="0"/>
        </w:rPr>
        <w:t xml:space="preserve">; </w:t>
      </w:r>
      <w:r>
        <w:rPr>
          <w:b w:val="0"/>
          <w:i/>
        </w:rPr>
        <w:t>vitam</w:t>
      </w:r>
      <w:r>
        <w:rPr>
          <w:b w:val="0"/>
          <w:i w:val="0"/>
        </w:rPr>
        <w:t xml:space="preserve">; </w:t>
      </w:r>
      <w:r>
        <w:rPr>
          <w:b w:val="0"/>
          <w:i/>
        </w:rPr>
        <w:t>vivant</w:t>
      </w:r>
      <w:r>
        <w:rPr>
          <w:b w:val="0"/>
          <w:i w:val="0"/>
        </w:rPr>
        <w:t xml:space="preserve">; </w:t>
      </w:r>
      <w:r>
        <w:rPr>
          <w:b w:val="0"/>
          <w:i/>
        </w:rPr>
        <w:t>vivens</w:t>
      </w:r>
      <w:r>
        <w:rPr>
          <w:b w:val="0"/>
          <w:i w:val="0"/>
        </w:rPr>
        <w:t xml:space="preserve">; </w:t>
      </w:r>
      <w:r>
        <w:rPr>
          <w:b w:val="0"/>
          <w:i/>
        </w:rPr>
        <w:t>viventia</w:t>
      </w:r>
      <w:r>
        <w:rPr>
          <w:b w:val="0"/>
          <w:i w:val="0"/>
        </w:rPr>
        <w:t xml:space="preserve">; </w:t>
      </w:r>
      <w:r>
        <w:rPr>
          <w:b w:val="0"/>
          <w:i/>
        </w:rPr>
        <w:t>vivere</w:t>
      </w:r>
      <w:r>
        <w:rPr>
          <w:b w:val="0"/>
          <w:i w:val="0"/>
        </w:rPr>
        <w:t xml:space="preserve">; </w:t>
      </w:r>
      <w:r>
        <w:rPr>
          <w:b w:val="0"/>
          <w:i/>
        </w:rPr>
        <w:t>viveret</w:t>
      </w:r>
      <w:r>
        <w:rPr>
          <w:b w:val="0"/>
          <w:i w:val="0"/>
        </w:rPr>
        <w:t xml:space="preserve">; </w:t>
      </w:r>
      <w:r>
        <w:rPr>
          <w:b w:val="0"/>
          <w:i/>
        </w:rPr>
        <w:t>vivit</w:t>
      </w:r>
      <w:r>
        <w:rPr>
          <w:b w:val="0"/>
          <w:i w:val="0"/>
        </w:rPr>
        <w:t xml:space="preserve">; </w:t>
      </w:r>
      <w:r>
        <w:rPr>
          <w:b w:val="0"/>
          <w:i/>
        </w:rPr>
        <w:t>vivunt</w:t>
      </w:r>
      <w:r>
        <w:rPr>
          <w:b w:val="0"/>
          <w:i w:val="0"/>
        </w:rPr>
        <w:t>.</w:t>
      </w:r>
    </w:p>
    <w:p>
      <w:pPr>
        <w:widowControl/>
      </w:pPr>
      <w:r>
        <w:rPr>
          <w:b w:val="0"/>
          <w:i w:val="0"/>
        </w:rPr>
        <w:t xml:space="preserve">Life and living, distinguished from receiving life through another. Soul is a source of bodily life and possesses intrinsic vital activity, while the tests of an allegedly living soul-body expose its dependence on a further principle. References: </w:t>
      </w:r>
      <w:hyperlink w:anchor="passage-vi-5-1">
        <w:r>
          <w:rPr>
            <w:color w:val="000000"/>
          </w:rPr>
          <w:t xml:space="preserve">VI.5.1</w:t>
        </w:r>
      </w:hyperlink>
      <w:r>
        <w:rPr>
          <w:b w:val="0"/>
          <w:i w:val="0"/>
        </w:rPr>
        <w:t xml:space="preserve">, </w:t>
      </w:r>
      <w:hyperlink w:anchor="passage-vi-6-2">
        <w:r>
          <w:rPr>
            <w:color w:val="000000"/>
          </w:rPr>
          <w:t xml:space="preserve">VI.6.2</w:t>
        </w:r>
      </w:hyperlink>
      <w:r>
        <w:rPr>
          <w:b w:val="0"/>
          <w:i w:val="0"/>
        </w:rPr>
        <w:t xml:space="preserve">, </w:t>
      </w:r>
      <w:hyperlink w:anchor="passage-vi-6-4">
        <w:r>
          <w:rPr>
            <w:color w:val="000000"/>
          </w:rPr>
          <w:t xml:space="preserve">VI.6.4</w:t>
        </w:r>
      </w:hyperlink>
      <w:r>
        <w:rPr>
          <w:b w:val="0"/>
          <w:i w:val="0"/>
        </w:rPr>
        <w:t xml:space="preserve">, </w:t>
      </w:r>
      <w:hyperlink w:anchor="passage-vi-11-1">
        <w:r>
          <w:rPr>
            <w:color w:val="000000"/>
          </w:rPr>
          <w:t xml:space="preserve">VI.11.1</w:t>
        </w:r>
      </w:hyperlink>
      <w:r>
        <w:rPr>
          <w:b w:val="0"/>
          <w:i w:val="0"/>
        </w:rPr>
        <w:t xml:space="preserve">, </w:t>
      </w:r>
      <w:hyperlink w:anchor="passage-vi-12-12">
        <w:r>
          <w:rPr>
            <w:color w:val="000000"/>
          </w:rPr>
          <w:t xml:space="preserve">VI.12.12</w:t>
        </w:r>
      </w:hyperlink>
      <w:r>
        <w:rPr>
          <w:b w:val="0"/>
          <w:i w:val="0"/>
        </w:rPr>
        <w:t xml:space="preserve">. See </w:t>
      </w:r>
      <w:hyperlink w:anchor="animation-first-light-and-regress">
        <w:r>
          <w:rPr>
            <w:color w:val="000000"/>
          </w:rPr>
          <w:t xml:space="preserve">Animation, first light and regress</w:t>
        </w:r>
      </w:hyperlink>
      <w:r>
        <w:rPr>
          <w:b w:val="0"/>
          <w:i w:val="0"/>
        </w:rPr>
        <w:t>.</w:t>
      </w:r>
    </w:p>
    <w:p>
      <w:pPr>
        <w:keepNext/>
        <w:widowControl/>
      </w:pPr>
      <w:bookmarkStart w:id="1619" w:name="latin-record-1378"/>
      <w:bookmarkEnd w:id="1619"/>
      <w:r>
        <w:rPr>
          <w:b/>
          <w:i w:val="0"/>
        </w:rPr>
        <w:t>vivax / audens / robustus</w:t>
      </w:r>
      <w:r>
        <w:rPr>
          <w:b/>
          <w:i w:val="0"/>
        </w:rPr>
        <w:t>.</w:t>
      </w:r>
      <w:r>
        <w:rPr>
          <w:b w:val="0"/>
          <w:i w:val="0"/>
        </w:rPr>
        <w:t xml:space="preserve"> Printed forms: </w:t>
      </w:r>
      <w:r>
        <w:rPr>
          <w:b w:val="0"/>
          <w:i/>
        </w:rPr>
        <w:t>audentior</w:t>
      </w:r>
      <w:r>
        <w:rPr>
          <w:b w:val="0"/>
          <w:i w:val="0"/>
        </w:rPr>
        <w:t xml:space="preserve">; </w:t>
      </w:r>
      <w:r>
        <w:rPr>
          <w:b w:val="0"/>
          <w:i/>
        </w:rPr>
        <w:t>robustior</w:t>
      </w:r>
      <w:r>
        <w:rPr>
          <w:b w:val="0"/>
          <w:i w:val="0"/>
        </w:rPr>
        <w:t xml:space="preserve">; </w:t>
      </w:r>
      <w:r>
        <w:rPr>
          <w:b w:val="0"/>
          <w:i/>
        </w:rPr>
        <w:t>Vivacior</w:t>
      </w:r>
      <w:r>
        <w:rPr>
          <w:b w:val="0"/>
          <w:i w:val="0"/>
        </w:rPr>
        <w:t>.</w:t>
      </w:r>
    </w:p>
    <w:p>
      <w:pPr>
        <w:widowControl/>
      </w:pPr>
      <w:r>
        <w:rPr>
          <w:b w:val="0"/>
          <w:i w:val="0"/>
        </w:rPr>
        <w:t xml:space="preserve">Livelier, bolder and more robust. These are predicted advantages of the just person only within the rejected reductio, not promises made by Ficino to virtuous readers. References: </w:t>
      </w:r>
      <w:hyperlink w:anchor="passage-vii-14-1">
        <w:r>
          <w:rPr>
            <w:color w:val="000000"/>
          </w:rPr>
          <w:t xml:space="preserve">VII.14.1</w:t>
        </w:r>
      </w:hyperlink>
      <w:r>
        <w:rPr>
          <w:b w:val="0"/>
          <w:i w:val="0"/>
        </w:rPr>
        <w:t xml:space="preserve">. See </w:t>
      </w:r>
      <w:hyperlink w:anchor="vii-moral-concord">
        <w:r>
          <w:rPr>
            <w:color w:val="000000"/>
          </w:rPr>
          <w:t xml:space="preserve">Moral concord and the robber</w:t>
        </w:r>
      </w:hyperlink>
      <w:r>
        <w:rPr>
          <w:b w:val="0"/>
          <w:i w:val="0"/>
        </w:rPr>
        <w:t>.</w:t>
      </w:r>
    </w:p>
    <w:p>
      <w:pPr>
        <w:keepNext/>
        <w:widowControl/>
      </w:pPr>
      <w:bookmarkStart w:id="1620" w:name="latin-record-1379"/>
      <w:bookmarkEnd w:id="1620"/>
      <w:r>
        <w:rPr>
          <w:b/>
          <w:i w:val="0"/>
        </w:rPr>
        <w:t>vivere</w:t>
      </w:r>
      <w:r>
        <w:rPr>
          <w:b/>
          <w:i w:val="0"/>
        </w:rPr>
        <w:t>.</w:t>
      </w:r>
      <w:r>
        <w:rPr>
          <w:b w:val="0"/>
          <w:i w:val="0"/>
        </w:rPr>
        <w:t xml:space="preserve"> Printed forms: </w:t>
      </w:r>
      <w:r>
        <w:rPr>
          <w:b w:val="0"/>
          <w:i/>
        </w:rPr>
        <w:t>vivant</w:t>
      </w:r>
      <w:r>
        <w:rPr>
          <w:b w:val="0"/>
          <w:i w:val="0"/>
        </w:rPr>
        <w:t xml:space="preserve">; </w:t>
      </w:r>
      <w:r>
        <w:rPr>
          <w:b w:val="0"/>
          <w:i/>
        </w:rPr>
        <w:t>vivat</w:t>
      </w:r>
      <w:r>
        <w:rPr>
          <w:b w:val="0"/>
          <w:i w:val="0"/>
        </w:rPr>
        <w:t xml:space="preserve">; </w:t>
      </w:r>
      <w:r>
        <w:rPr>
          <w:b w:val="0"/>
          <w:i/>
        </w:rPr>
        <w:t>vivendi</w:t>
      </w:r>
      <w:r>
        <w:rPr>
          <w:b w:val="0"/>
          <w:i w:val="0"/>
        </w:rPr>
        <w:t xml:space="preserve">; </w:t>
      </w:r>
      <w:r>
        <w:rPr>
          <w:b w:val="0"/>
          <w:i/>
        </w:rPr>
        <w:t>vivens</w:t>
      </w:r>
      <w:r>
        <w:rPr>
          <w:b w:val="0"/>
          <w:i w:val="0"/>
        </w:rPr>
        <w:t xml:space="preserve">; </w:t>
      </w:r>
      <w:r>
        <w:rPr>
          <w:b w:val="0"/>
          <w:i/>
        </w:rPr>
        <w:t>vivent</w:t>
      </w:r>
      <w:r>
        <w:rPr>
          <w:b w:val="0"/>
          <w:i w:val="0"/>
        </w:rPr>
        <w:t xml:space="preserve">; </w:t>
      </w:r>
      <w:r>
        <w:rPr>
          <w:b w:val="0"/>
          <w:i/>
        </w:rPr>
        <w:t>vivente</w:t>
      </w:r>
      <w:r>
        <w:rPr>
          <w:b w:val="0"/>
          <w:i w:val="0"/>
        </w:rPr>
        <w:t xml:space="preserve">; </w:t>
      </w:r>
      <w:r>
        <w:rPr>
          <w:b w:val="0"/>
          <w:i/>
        </w:rPr>
        <w:t>viventem</w:t>
      </w:r>
      <w:r>
        <w:rPr>
          <w:b w:val="0"/>
          <w:i w:val="0"/>
        </w:rPr>
        <w:t xml:space="preserve">; </w:t>
      </w:r>
      <w:r>
        <w:rPr>
          <w:b w:val="0"/>
          <w:i/>
        </w:rPr>
        <w:t>viventium</w:t>
      </w:r>
      <w:r>
        <w:rPr>
          <w:b w:val="0"/>
          <w:i w:val="0"/>
        </w:rPr>
        <w:t xml:space="preserve">; </w:t>
      </w:r>
      <w:r>
        <w:rPr>
          <w:b w:val="0"/>
          <w:i/>
        </w:rPr>
        <w:t>vivere</w:t>
      </w:r>
      <w:r>
        <w:rPr>
          <w:b w:val="0"/>
          <w:i w:val="0"/>
        </w:rPr>
        <w:t xml:space="preserve">; </w:t>
      </w:r>
      <w:r>
        <w:rPr>
          <w:b w:val="0"/>
          <w:i/>
        </w:rPr>
        <w:t>vivit</w:t>
      </w:r>
      <w:r>
        <w:rPr>
          <w:b w:val="0"/>
          <w:i w:val="0"/>
        </w:rPr>
        <w:t xml:space="preserve">; </w:t>
      </w:r>
      <w:r>
        <w:rPr>
          <w:b w:val="0"/>
          <w:i/>
        </w:rPr>
        <w:t>Vivunt</w:t>
      </w:r>
      <w:r>
        <w:rPr>
          <w:b w:val="0"/>
          <w:i w:val="0"/>
        </w:rPr>
        <w:t xml:space="preserve">; </w:t>
      </w:r>
      <w:r>
        <w:rPr>
          <w:b w:val="0"/>
          <w:i/>
        </w:rPr>
        <w:t>vivunt</w:t>
      </w:r>
      <w:r>
        <w:rPr>
          <w:b w:val="0"/>
          <w:i w:val="0"/>
        </w:rPr>
        <w:t xml:space="preserve">; </w:t>
      </w:r>
      <w:r>
        <w:rPr>
          <w:b w:val="0"/>
          <w:i/>
        </w:rPr>
        <w:t>vixerat</w:t>
      </w:r>
      <w:r>
        <w:rPr>
          <w:b w:val="0"/>
          <w:i w:val="0"/>
        </w:rPr>
        <w:t xml:space="preserve">; </w:t>
      </w:r>
      <w:r>
        <w:rPr>
          <w:b w:val="0"/>
          <w:i/>
        </w:rPr>
        <w:t>vixit</w:t>
      </w:r>
      <w:r>
        <w:rPr>
          <w:b w:val="0"/>
          <w:i w:val="0"/>
        </w:rPr>
        <w:t>.</w:t>
      </w:r>
    </w:p>
    <w:p>
      <w:pPr>
        <w:widowControl/>
      </w:pPr>
      <w:r>
        <w:rPr>
          <w:b w:val="0"/>
          <w:i w:val="0"/>
        </w:rPr>
        <w:t xml:space="preserve">To live, the actuality corresponding to soul’s essence as life. For soul, being is living; loss of life would therefore not leave the same soul as a lifeless thing. References: </w:t>
      </w:r>
      <w:hyperlink w:anchor="passage-v-11-3">
        <w:r>
          <w:rPr>
            <w:color w:val="000000"/>
          </w:rPr>
          <w:t xml:space="preserve">V.11.3</w:t>
        </w:r>
      </w:hyperlink>
      <w:r>
        <w:rPr>
          <w:b w:val="0"/>
          <w:i w:val="0"/>
        </w:rPr>
        <w:t xml:space="preserve">, </w:t>
      </w:r>
      <w:hyperlink w:anchor="passage-v-11-8">
        <w:r>
          <w:rPr>
            <w:color w:val="000000"/>
          </w:rPr>
          <w:t xml:space="preserve">V.11.8</w:t>
        </w:r>
      </w:hyperlink>
      <w:r>
        <w:rPr>
          <w:b w:val="0"/>
          <w:i w:val="0"/>
        </w:rPr>
        <w:t xml:space="preserve">, </w:t>
      </w:r>
      <w:hyperlink w:anchor="passage-v-12-12">
        <w:r>
          <w:rPr>
            <w:color w:val="000000"/>
          </w:rPr>
          <w:t xml:space="preserve">V.12.12</w:t>
        </w:r>
      </w:hyperlink>
      <w:r>
        <w:rPr>
          <w:b w:val="0"/>
          <w:i w:val="0"/>
        </w:rPr>
        <w:t xml:space="preserve">, </w:t>
      </w:r>
      <w:hyperlink w:anchor="passage-v-12-14">
        <w:r>
          <w:rPr>
            <w:color w:val="000000"/>
          </w:rPr>
          <w:t xml:space="preserve">V.12.14</w:t>
        </w:r>
      </w:hyperlink>
      <w:r>
        <w:rPr>
          <w:b w:val="0"/>
          <w:i w:val="0"/>
        </w:rPr>
        <w:t xml:space="preserve">, </w:t>
      </w:r>
      <w:hyperlink w:anchor="passage-v-13-18">
        <w:r>
          <w:rPr>
            <w:color w:val="000000"/>
          </w:rPr>
          <w:t xml:space="preserve">V.13.18</w:t>
        </w:r>
      </w:hyperlink>
      <w:r>
        <w:rPr>
          <w:b w:val="0"/>
          <w:i w:val="0"/>
        </w:rPr>
        <w:t xml:space="preserve">, </w:t>
      </w:r>
      <w:hyperlink w:anchor="passage-v-14-3">
        <w:r>
          <w:rPr>
            <w:color w:val="000000"/>
          </w:rPr>
          <w:t xml:space="preserve">V.14.3</w:t>
        </w:r>
      </w:hyperlink>
      <w:r>
        <w:rPr>
          <w:b w:val="0"/>
          <w:i w:val="0"/>
        </w:rPr>
        <w:t xml:space="preserve">, </w:t>
      </w:r>
      <w:hyperlink w:anchor="passage-v-14-7">
        <w:r>
          <w:rPr>
            <w:color w:val="000000"/>
          </w:rPr>
          <w:t xml:space="preserve">V.14.7</w:t>
        </w:r>
      </w:hyperlink>
      <w:r>
        <w:rPr>
          <w:b w:val="0"/>
          <w:i w:val="0"/>
        </w:rPr>
        <w:t xml:space="preserve">, </w:t>
      </w:r>
      <w:hyperlink w:anchor="passage-v-14-8">
        <w:r>
          <w:rPr>
            <w:color w:val="000000"/>
          </w:rPr>
          <w:t xml:space="preserve">V.14.8</w:t>
        </w:r>
      </w:hyperlink>
      <w:r>
        <w:rPr>
          <w:b w:val="0"/>
          <w:i w:val="0"/>
        </w:rPr>
        <w:t xml:space="preserve">. See </w:t>
      </w:r>
      <w:hyperlink w:anchor="life-and-vivification">
        <w:r>
          <w:rPr>
            <w:color w:val="000000"/>
          </w:rPr>
          <w:t xml:space="preserve">Life and vivification</w:t>
        </w:r>
      </w:hyperlink>
      <w:r>
        <w:rPr>
          <w:b w:val="0"/>
          <w:i w:val="0"/>
        </w:rPr>
        <w:t>.</w:t>
      </w:r>
    </w:p>
    <w:p>
      <w:pPr>
        <w:widowControl/>
      </w:pPr>
      <w:r>
        <w:rPr>
          <w:b w:val="0"/>
          <w:i w:val="0"/>
        </w:rPr>
        <w:t xml:space="preserve">To live, with the source of life under dispute. Living fragments motivate a Platonist replacement account; all composites would live if mere harmony were soul, a rejected consequence. References: </w:t>
      </w:r>
      <w:hyperlink w:anchor="passage-vii-5-2">
        <w:r>
          <w:rPr>
            <w:color w:val="000000"/>
          </w:rPr>
          <w:t xml:space="preserve">VII.5.2</w:t>
        </w:r>
      </w:hyperlink>
      <w:r>
        <w:rPr>
          <w:b w:val="0"/>
          <w:i w:val="0"/>
        </w:rPr>
        <w:t xml:space="preserve">, </w:t>
      </w:r>
      <w:hyperlink w:anchor="passage-vii-5-4">
        <w:r>
          <w:rPr>
            <w:color w:val="000000"/>
          </w:rPr>
          <w:t xml:space="preserve">VII.5.4</w:t>
        </w:r>
      </w:hyperlink>
      <w:r>
        <w:rPr>
          <w:b w:val="0"/>
          <w:i w:val="0"/>
        </w:rPr>
        <w:t xml:space="preserve">, </w:t>
      </w:r>
      <w:hyperlink w:anchor="passage-vii-11-1">
        <w:r>
          <w:rPr>
            <w:color w:val="000000"/>
          </w:rPr>
          <w:t xml:space="preserve">VII.11.1</w:t>
        </w:r>
      </w:hyperlink>
      <w:r>
        <w:rPr>
          <w:b w:val="0"/>
          <w:i w:val="0"/>
        </w:rPr>
        <w:t xml:space="preserve">. See </w:t>
      </w:r>
      <w:hyperlink w:anchor="vii-severed-animals">
        <w:r>
          <w:rPr>
            <w:color w:val="000000"/>
          </w:rPr>
          <w:t xml:space="preserve">Severed animals and replacement souls</w:t>
        </w:r>
      </w:hyperlink>
      <w:r>
        <w:rPr>
          <w:b w:val="0"/>
          <w:i w:val="0"/>
        </w:rPr>
        <w:t>.</w:t>
      </w:r>
    </w:p>
    <w:p>
      <w:pPr>
        <w:keepNext/>
        <w:widowControl/>
      </w:pPr>
      <w:bookmarkStart w:id="1621" w:name="latin-record-1380"/>
      <w:bookmarkEnd w:id="1621"/>
      <w:r>
        <w:rPr>
          <w:b/>
          <w:i w:val="0"/>
        </w:rPr>
        <w:t>vivificare</w:t>
      </w:r>
      <w:r>
        <w:rPr>
          <w:b/>
          <w:i w:val="0"/>
        </w:rPr>
        <w:t>.</w:t>
      </w:r>
      <w:r>
        <w:rPr>
          <w:b w:val="0"/>
          <w:i w:val="0"/>
        </w:rPr>
        <w:t xml:space="preserve"> Printed forms: </w:t>
      </w:r>
      <w:r>
        <w:rPr>
          <w:b w:val="0"/>
          <w:i/>
        </w:rPr>
        <w:t>vivifica</w:t>
      </w:r>
      <w:r>
        <w:rPr>
          <w:b w:val="0"/>
          <w:i w:val="0"/>
        </w:rPr>
        <w:t xml:space="preserve">; </w:t>
      </w:r>
      <w:r>
        <w:rPr>
          <w:b w:val="0"/>
          <w:i/>
        </w:rPr>
        <w:t>vivificam</w:t>
      </w:r>
      <w:r>
        <w:rPr>
          <w:b w:val="0"/>
          <w:i w:val="0"/>
        </w:rPr>
        <w:t xml:space="preserve">; </w:t>
      </w:r>
      <w:r>
        <w:rPr>
          <w:b w:val="0"/>
          <w:i/>
        </w:rPr>
        <w:t>vivificat</w:t>
      </w:r>
      <w:r>
        <w:rPr>
          <w:b w:val="0"/>
          <w:i w:val="0"/>
        </w:rPr>
        <w:t xml:space="preserve">; </w:t>
      </w:r>
      <w:r>
        <w:rPr>
          <w:b w:val="0"/>
          <w:i/>
        </w:rPr>
        <w:t>vivificatum</w:t>
      </w:r>
      <w:r>
        <w:rPr>
          <w:b w:val="0"/>
          <w:i w:val="0"/>
        </w:rPr>
        <w:t xml:space="preserve">; </w:t>
      </w:r>
      <w:r>
        <w:rPr>
          <w:b w:val="0"/>
          <w:i/>
        </w:rPr>
        <w:t>vivificet</w:t>
      </w:r>
      <w:r>
        <w:rPr>
          <w:b w:val="0"/>
          <w:i w:val="0"/>
        </w:rPr>
        <w:t xml:space="preserve">; </w:t>
      </w:r>
      <w:r>
        <w:rPr>
          <w:b w:val="0"/>
          <w:i/>
        </w:rPr>
        <w:t>vivificum</w:t>
      </w:r>
      <w:r>
        <w:rPr>
          <w:b w:val="0"/>
          <w:i w:val="0"/>
        </w:rPr>
        <w:t>.</w:t>
      </w:r>
    </w:p>
    <w:p>
      <w:pPr>
        <w:widowControl/>
      </w:pPr>
      <w:r>
        <w:rPr>
          <w:b w:val="0"/>
          <w:i w:val="0"/>
        </w:rPr>
        <w:t xml:space="preserve">To give life; life-giving or made alive according to the form. The life-giving source is distinguished from the body made alive; the visible body’s participation does not make its matter a part of soul. References: </w:t>
      </w:r>
      <w:hyperlink w:anchor="passage-vi-2-21">
        <w:r>
          <w:rPr>
            <w:color w:val="000000"/>
          </w:rPr>
          <w:t xml:space="preserve">VI.2.21</w:t>
        </w:r>
      </w:hyperlink>
      <w:r>
        <w:rPr>
          <w:b w:val="0"/>
          <w:i w:val="0"/>
        </w:rPr>
        <w:t xml:space="preserve">, </w:t>
      </w:r>
      <w:hyperlink w:anchor="passage-vi-2-27">
        <w:r>
          <w:rPr>
            <w:color w:val="000000"/>
          </w:rPr>
          <w:t xml:space="preserve">VI.2.27</w:t>
        </w:r>
      </w:hyperlink>
      <w:r>
        <w:rPr>
          <w:b w:val="0"/>
          <w:i w:val="0"/>
        </w:rPr>
        <w:t xml:space="preserve">, </w:t>
      </w:r>
      <w:hyperlink w:anchor="passage-vi-4-5">
        <w:r>
          <w:rPr>
            <w:color w:val="000000"/>
          </w:rPr>
          <w:t xml:space="preserve">VI.4.5</w:t>
        </w:r>
      </w:hyperlink>
      <w:r>
        <w:rPr>
          <w:b w:val="0"/>
          <w:i w:val="0"/>
        </w:rPr>
        <w:t xml:space="preserve">, </w:t>
      </w:r>
      <w:hyperlink w:anchor="passage-vi-4-6">
        <w:r>
          <w:rPr>
            <w:color w:val="000000"/>
          </w:rPr>
          <w:t xml:space="preserve">VI.4.6</w:t>
        </w:r>
      </w:hyperlink>
      <w:r>
        <w:rPr>
          <w:b w:val="0"/>
          <w:i w:val="0"/>
        </w:rPr>
        <w:t xml:space="preserve">, </w:t>
      </w:r>
      <w:hyperlink w:anchor="passage-vi-5-3">
        <w:r>
          <w:rPr>
            <w:color w:val="000000"/>
          </w:rPr>
          <w:t xml:space="preserve">VI.5.3</w:t>
        </w:r>
      </w:hyperlink>
      <w:r>
        <w:rPr>
          <w:b w:val="0"/>
          <w:i w:val="0"/>
        </w:rPr>
        <w:t xml:space="preserve">, </w:t>
      </w:r>
      <w:hyperlink w:anchor="passage-vi-13-7">
        <w:r>
          <w:rPr>
            <w:color w:val="000000"/>
          </w:rPr>
          <w:t xml:space="preserve">VI.13.7</w:t>
        </w:r>
      </w:hyperlink>
      <w:r>
        <w:rPr>
          <w:b w:val="0"/>
          <w:i w:val="0"/>
        </w:rPr>
        <w:t xml:space="preserve">. See </w:t>
      </w:r>
      <w:hyperlink w:anchor="nourishment-and-life-giving-form">
        <w:r>
          <w:rPr>
            <w:color w:val="000000"/>
          </w:rPr>
          <w:t xml:space="preserve">Nourishment and the life-giving form</w:t>
        </w:r>
      </w:hyperlink>
      <w:r>
        <w:rPr>
          <w:b w:val="0"/>
          <w:i w:val="0"/>
        </w:rPr>
        <w:t>.</w:t>
      </w:r>
    </w:p>
    <w:p>
      <w:pPr>
        <w:keepNext/>
        <w:widowControl/>
      </w:pPr>
      <w:bookmarkStart w:id="1622" w:name="latin-record-1381"/>
      <w:bookmarkEnd w:id="1622"/>
      <w:r>
        <w:rPr>
          <w:b/>
          <w:i w:val="0"/>
        </w:rPr>
        <w:t>vivificare / vivificatio</w:t>
      </w:r>
      <w:r>
        <w:rPr>
          <w:b/>
          <w:i w:val="0"/>
        </w:rPr>
        <w:t>.</w:t>
      </w:r>
      <w:r>
        <w:rPr>
          <w:b w:val="0"/>
          <w:i w:val="0"/>
        </w:rPr>
        <w:t xml:space="preserve"> Printed forms: </w:t>
      </w:r>
      <w:r>
        <w:rPr>
          <w:b w:val="0"/>
          <w:i/>
        </w:rPr>
        <w:t>vivificando</w:t>
      </w:r>
      <w:r>
        <w:rPr>
          <w:b w:val="0"/>
          <w:i w:val="0"/>
        </w:rPr>
        <w:t xml:space="preserve">; </w:t>
      </w:r>
      <w:r>
        <w:rPr>
          <w:b w:val="0"/>
          <w:i/>
        </w:rPr>
        <w:t>Vivificare</w:t>
      </w:r>
      <w:r>
        <w:rPr>
          <w:b w:val="0"/>
          <w:i w:val="0"/>
        </w:rPr>
        <w:t xml:space="preserve">; </w:t>
      </w:r>
      <w:r>
        <w:rPr>
          <w:b w:val="0"/>
          <w:i/>
        </w:rPr>
        <w:t>vivificare</w:t>
      </w:r>
      <w:r>
        <w:rPr>
          <w:b w:val="0"/>
          <w:i w:val="0"/>
        </w:rPr>
        <w:t xml:space="preserve">; </w:t>
      </w:r>
      <w:r>
        <w:rPr>
          <w:b w:val="0"/>
          <w:i/>
        </w:rPr>
        <w:t>vivificat</w:t>
      </w:r>
      <w:r>
        <w:rPr>
          <w:b w:val="0"/>
          <w:i w:val="0"/>
        </w:rPr>
        <w:t xml:space="preserve">; </w:t>
      </w:r>
      <w:r>
        <w:rPr>
          <w:b w:val="0"/>
          <w:i/>
        </w:rPr>
        <w:t>vivificatio</w:t>
      </w:r>
      <w:r>
        <w:rPr>
          <w:b w:val="0"/>
          <w:i w:val="0"/>
        </w:rPr>
        <w:t xml:space="preserve">; </w:t>
      </w:r>
      <w:r>
        <w:rPr>
          <w:b w:val="0"/>
          <w:i/>
        </w:rPr>
        <w:t>vivificationemque</w:t>
      </w:r>
      <w:r>
        <w:rPr>
          <w:b w:val="0"/>
          <w:i w:val="0"/>
        </w:rPr>
        <w:t xml:space="preserve">; </w:t>
      </w:r>
      <w:r>
        <w:rPr>
          <w:b w:val="0"/>
          <w:i/>
        </w:rPr>
        <w:t>vivificet</w:t>
      </w:r>
      <w:r>
        <w:rPr>
          <w:b w:val="0"/>
          <w:i w:val="0"/>
        </w:rPr>
        <w:t>.</w:t>
      </w:r>
    </w:p>
    <w:p>
      <w:pPr>
        <w:widowControl/>
      </w:pPr>
      <w:r>
        <w:rPr>
          <w:b w:val="0"/>
          <w:i w:val="0"/>
        </w:rPr>
        <w:t xml:space="preserve">To give life and the giving of life, soul’s proper activity toward body. Its constancy and independence from conscious bodily knowledge support Ficino’s identification of soul with natural life. References: </w:t>
      </w:r>
      <w:hyperlink w:anchor="passage-v-14-1">
        <w:r>
          <w:rPr>
            <w:color w:val="000000"/>
          </w:rPr>
          <w:t xml:space="preserve">V.14.1</w:t>
        </w:r>
      </w:hyperlink>
      <w:r>
        <w:rPr>
          <w:b w:val="0"/>
          <w:i w:val="0"/>
        </w:rPr>
        <w:t xml:space="preserve">, </w:t>
      </w:r>
      <w:hyperlink w:anchor="passage-v-14-2">
        <w:r>
          <w:rPr>
            <w:color w:val="000000"/>
          </w:rPr>
          <w:t xml:space="preserve">V.14.2</w:t>
        </w:r>
      </w:hyperlink>
      <w:r>
        <w:rPr>
          <w:b w:val="0"/>
          <w:i w:val="0"/>
        </w:rPr>
        <w:t xml:space="preserve">, </w:t>
      </w:r>
      <w:hyperlink w:anchor="passage-v-14-8">
        <w:r>
          <w:rPr>
            <w:color w:val="000000"/>
          </w:rPr>
          <w:t xml:space="preserve">V.14.8</w:t>
        </w:r>
      </w:hyperlink>
      <w:r>
        <w:rPr>
          <w:b w:val="0"/>
          <w:i w:val="0"/>
        </w:rPr>
        <w:t xml:space="preserve">. See </w:t>
      </w:r>
      <w:hyperlink w:anchor="life-and-vivification">
        <w:r>
          <w:rPr>
            <w:color w:val="000000"/>
          </w:rPr>
          <w:t xml:space="preserve">Life and vivification</w:t>
        </w:r>
      </w:hyperlink>
      <w:r>
        <w:rPr>
          <w:b w:val="0"/>
          <w:i w:val="0"/>
        </w:rPr>
        <w:t>.</w:t>
      </w:r>
    </w:p>
    <w:p>
      <w:pPr>
        <w:keepNext/>
        <w:widowControl/>
      </w:pPr>
      <w:bookmarkStart w:id="1623" w:name="latin-record-1382"/>
      <w:bookmarkEnd w:id="1623"/>
      <w:r>
        <w:rPr>
          <w:b/>
          <w:i w:val="0"/>
        </w:rPr>
        <w:t>vivificus spiritus / vitalis harmonia</w:t>
      </w:r>
      <w:r>
        <w:rPr>
          <w:b/>
          <w:i w:val="0"/>
        </w:rPr>
        <w:t>.</w:t>
      </w:r>
      <w:r>
        <w:rPr>
          <w:b w:val="0"/>
          <w:i w:val="0"/>
        </w:rPr>
        <w:t xml:space="preserve"> Printed forms: </w:t>
      </w:r>
      <w:r>
        <w:rPr>
          <w:b w:val="0"/>
          <w:i/>
        </w:rPr>
        <w:t>vitalis harmonia</w:t>
      </w:r>
      <w:r>
        <w:rPr>
          <w:b w:val="0"/>
          <w:i w:val="0"/>
        </w:rPr>
        <w:t xml:space="preserve">; </w:t>
      </w:r>
      <w:r>
        <w:rPr>
          <w:b w:val="0"/>
          <w:i/>
        </w:rPr>
        <w:t>vivifico spiritu</w:t>
      </w:r>
      <w:r>
        <w:rPr>
          <w:b w:val="0"/>
          <w:i w:val="0"/>
        </w:rPr>
        <w:t>.</w:t>
      </w:r>
    </w:p>
    <w:p>
      <w:pPr>
        <w:widowControl/>
      </w:pPr>
      <w:r>
        <w:rPr>
          <w:b w:val="0"/>
          <w:i w:val="0"/>
        </w:rPr>
        <w:t xml:space="preserve">A life-giving spirit and the vital harmony generated by it. The text retains harmony as a real product while denying its identity with the producing life-giving principle. References: </w:t>
      </w:r>
      <w:hyperlink w:anchor="passage-vii-11-1">
        <w:r>
          <w:rPr>
            <w:color w:val="000000"/>
          </w:rPr>
          <w:t xml:space="preserve">VII.11.1</w:t>
        </w:r>
      </w:hyperlink>
      <w:r>
        <w:rPr>
          <w:b w:val="0"/>
          <w:i w:val="0"/>
        </w:rPr>
        <w:t xml:space="preserve">. See </w:t>
      </w:r>
      <w:hyperlink w:anchor="vii-vital-harmony">
        <w:r>
          <w:rPr>
            <w:color w:val="000000"/>
          </w:rPr>
          <w:t xml:space="preserve">Vital harmony and its producer</w:t>
        </w:r>
      </w:hyperlink>
      <w:r>
        <w:rPr>
          <w:b w:val="0"/>
          <w:i w:val="0"/>
        </w:rPr>
        <w:t>.</w:t>
      </w:r>
    </w:p>
    <w:p>
      <w:pPr>
        <w:keepNext/>
        <w:widowControl/>
      </w:pPr>
      <w:bookmarkStart w:id="1624" w:name="latin-record-1383"/>
      <w:bookmarkEnd w:id="1624"/>
      <w:r>
        <w:rPr>
          <w:b/>
          <w:i w:val="0"/>
        </w:rPr>
        <w:t>voluntas / velle</w:t>
      </w:r>
      <w:r>
        <w:rPr>
          <w:b/>
          <w:i w:val="0"/>
        </w:rPr>
        <w:t>.</w:t>
      </w:r>
      <w:r>
        <w:rPr>
          <w:b w:val="0"/>
          <w:i w:val="0"/>
        </w:rPr>
        <w:t xml:space="preserve"> Printed forms: </w:t>
      </w:r>
      <w:r>
        <w:rPr>
          <w:b w:val="0"/>
          <w:i/>
        </w:rPr>
        <w:t>nolemus</w:t>
      </w:r>
      <w:r>
        <w:rPr>
          <w:b w:val="0"/>
          <w:i w:val="0"/>
        </w:rPr>
        <w:t xml:space="preserve">; </w:t>
      </w:r>
      <w:r>
        <w:rPr>
          <w:b w:val="0"/>
          <w:i/>
        </w:rPr>
        <w:t>nolumus</w:t>
      </w:r>
      <w:r>
        <w:rPr>
          <w:b w:val="0"/>
          <w:i w:val="0"/>
        </w:rPr>
        <w:t xml:space="preserve">; </w:t>
      </w:r>
      <w:r>
        <w:rPr>
          <w:b w:val="0"/>
          <w:i/>
        </w:rPr>
        <w:t>nolunt</w:t>
      </w:r>
      <w:r>
        <w:rPr>
          <w:b w:val="0"/>
          <w:i w:val="0"/>
        </w:rPr>
        <w:t xml:space="preserve">; </w:t>
      </w:r>
      <w:r>
        <w:rPr>
          <w:b w:val="0"/>
          <w:i/>
        </w:rPr>
        <w:t>velit</w:t>
      </w:r>
      <w:r>
        <w:rPr>
          <w:b w:val="0"/>
          <w:i w:val="0"/>
        </w:rPr>
        <w:t xml:space="preserve">; </w:t>
      </w:r>
      <w:r>
        <w:rPr>
          <w:b w:val="0"/>
          <w:i/>
        </w:rPr>
        <w:t>velle</w:t>
      </w:r>
      <w:r>
        <w:rPr>
          <w:b w:val="0"/>
          <w:i w:val="0"/>
        </w:rPr>
        <w:t xml:space="preserve">; </w:t>
      </w:r>
      <w:r>
        <w:rPr>
          <w:b w:val="0"/>
          <w:i/>
        </w:rPr>
        <w:t>volemus</w:t>
      </w:r>
      <w:r>
        <w:rPr>
          <w:b w:val="0"/>
          <w:i w:val="0"/>
        </w:rPr>
        <w:t xml:space="preserve">; </w:t>
      </w:r>
      <w:r>
        <w:rPr>
          <w:b w:val="0"/>
          <w:i/>
        </w:rPr>
        <w:t>volumus</w:t>
      </w:r>
      <w:r>
        <w:rPr>
          <w:b w:val="0"/>
          <w:i w:val="0"/>
        </w:rPr>
        <w:t xml:space="preserve">; </w:t>
      </w:r>
      <w:r>
        <w:rPr>
          <w:b w:val="0"/>
          <w:i/>
        </w:rPr>
        <w:t>volunt</w:t>
      </w:r>
      <w:r>
        <w:rPr>
          <w:b w:val="0"/>
          <w:i w:val="0"/>
        </w:rPr>
        <w:t xml:space="preserve">; </w:t>
      </w:r>
      <w:r>
        <w:rPr>
          <w:b w:val="0"/>
          <w:i/>
        </w:rPr>
        <w:t>voluntas</w:t>
      </w:r>
      <w:r>
        <w:rPr>
          <w:b w:val="0"/>
          <w:i w:val="0"/>
        </w:rPr>
        <w:t xml:space="preserve">; </w:t>
      </w:r>
      <w:r>
        <w:rPr>
          <w:b w:val="0"/>
          <w:i/>
        </w:rPr>
        <w:t>voluntatem</w:t>
      </w:r>
      <w:r>
        <w:rPr>
          <w:b w:val="0"/>
          <w:i w:val="0"/>
        </w:rPr>
        <w:t xml:space="preserve">; </w:t>
      </w:r>
      <w:r>
        <w:rPr>
          <w:b w:val="0"/>
          <w:i/>
        </w:rPr>
        <w:t>voluntatis</w:t>
      </w:r>
      <w:r>
        <w:rPr>
          <w:b w:val="0"/>
          <w:i w:val="0"/>
        </w:rPr>
        <w:t xml:space="preserve">; </w:t>
      </w:r>
      <w:r>
        <w:rPr>
          <w:b w:val="0"/>
          <w:i/>
        </w:rPr>
        <w:t>vult</w:t>
      </w:r>
      <w:r>
        <w:rPr>
          <w:b w:val="0"/>
          <w:i w:val="0"/>
        </w:rPr>
        <w:t>.</w:t>
      </w:r>
    </w:p>
    <w:p>
      <w:pPr>
        <w:widowControl/>
      </w:pPr>
      <w:r>
        <w:rPr>
          <w:b w:val="0"/>
          <w:i w:val="0"/>
        </w:rPr>
        <w:t xml:space="preserve">Rational appetite and willing; the same will can take its own act as an object. Steadfast moral choice follows reason, and recursive willing accompanies recursive knowing without becoming an infinite simultaneous collection of acts. References: </w:t>
      </w:r>
      <w:hyperlink w:anchor="passage-viii-3-5">
        <w:r>
          <w:rPr>
            <w:color w:val="000000"/>
          </w:rPr>
          <w:t xml:space="preserve">VIII.3.5</w:t>
        </w:r>
      </w:hyperlink>
      <w:r>
        <w:rPr>
          <w:b w:val="0"/>
          <w:i w:val="0"/>
        </w:rPr>
        <w:t xml:space="preserve">, </w:t>
      </w:r>
      <w:hyperlink w:anchor="passage-viii-4-5">
        <w:r>
          <w:rPr>
            <w:color w:val="000000"/>
          </w:rPr>
          <w:t xml:space="preserve">VIII.4.5</w:t>
        </w:r>
      </w:hyperlink>
      <w:r>
        <w:rPr>
          <w:b w:val="0"/>
          <w:i w:val="0"/>
        </w:rPr>
        <w:t xml:space="preserve">, </w:t>
      </w:r>
      <w:hyperlink w:anchor="passage-viii-4-8">
        <w:r>
          <w:rPr>
            <w:color w:val="000000"/>
          </w:rPr>
          <w:t xml:space="preserve">VIII.4.8</w:t>
        </w:r>
      </w:hyperlink>
      <w:r>
        <w:rPr>
          <w:b w:val="0"/>
          <w:i w:val="0"/>
        </w:rPr>
        <w:t xml:space="preserve">, </w:t>
      </w:r>
      <w:hyperlink w:anchor="passage-viii-15-1">
        <w:r>
          <w:rPr>
            <w:color w:val="000000"/>
          </w:rPr>
          <w:t xml:space="preserve">VIII.15.1</w:t>
        </w:r>
      </w:hyperlink>
      <w:r>
        <w:rPr>
          <w:b w:val="0"/>
          <w:i w:val="0"/>
        </w:rPr>
        <w:t xml:space="preserve">, </w:t>
      </w:r>
      <w:hyperlink w:anchor="passage-viii-16-1">
        <w:r>
          <w:rPr>
            <w:color w:val="000000"/>
          </w:rPr>
          <w:t xml:space="preserve">VIII.16.1</w:t>
        </w:r>
      </w:hyperlink>
      <w:r>
        <w:rPr>
          <w:b w:val="0"/>
          <w:i w:val="0"/>
        </w:rPr>
        <w:t xml:space="preserve">. See </w:t>
      </w:r>
      <w:hyperlink w:anchor="viii-reflexive-will">
        <w:r>
          <w:rPr>
            <w:color w:val="000000"/>
          </w:rPr>
          <w:t xml:space="preserve">Reflexive understanding and willing</w:t>
        </w:r>
      </w:hyperlink>
      <w:r>
        <w:rPr>
          <w:b w:val="0"/>
          <w:i w:val="0"/>
        </w:rPr>
        <w:t>.</w:t>
      </w:r>
    </w:p>
    <w:p>
      <w:pPr>
        <w:keepNext/>
        <w:widowControl/>
      </w:pPr>
      <w:bookmarkStart w:id="1625" w:name="latin-record-1384"/>
      <w:bookmarkEnd w:id="1625"/>
      <w:r>
        <w:rPr>
          <w:b/>
          <w:i w:val="0"/>
        </w:rPr>
        <w:t>voluntas constans</w:t>
      </w:r>
      <w:r>
        <w:rPr>
          <w:b/>
          <w:i w:val="0"/>
        </w:rPr>
        <w:t>.</w:t>
      </w:r>
      <w:r>
        <w:rPr>
          <w:b w:val="0"/>
          <w:i w:val="0"/>
        </w:rPr>
        <w:t xml:space="preserve"> Printed forms: </w:t>
      </w:r>
      <w:r>
        <w:rPr>
          <w:b w:val="0"/>
          <w:i/>
        </w:rPr>
        <w:t>constans</w:t>
      </w:r>
      <w:r>
        <w:rPr>
          <w:b w:val="0"/>
          <w:i w:val="0"/>
        </w:rPr>
        <w:t xml:space="preserve">; </w:t>
      </w:r>
      <w:r>
        <w:rPr>
          <w:b w:val="0"/>
          <w:i/>
        </w:rPr>
        <w:t>dictaverit</w:t>
      </w:r>
      <w:r>
        <w:rPr>
          <w:b w:val="0"/>
          <w:i w:val="0"/>
        </w:rPr>
        <w:t xml:space="preserve">; </w:t>
      </w:r>
      <w:r>
        <w:rPr>
          <w:b w:val="0"/>
          <w:i/>
        </w:rPr>
        <w:t>eligendi</w:t>
      </w:r>
      <w:r>
        <w:rPr>
          <w:b w:val="0"/>
          <w:i w:val="0"/>
        </w:rPr>
        <w:t xml:space="preserve">; </w:t>
      </w:r>
      <w:r>
        <w:rPr>
          <w:b w:val="0"/>
          <w:i/>
        </w:rPr>
        <w:t>voluntas</w:t>
      </w:r>
      <w:r>
        <w:rPr>
          <w:b w:val="0"/>
          <w:i w:val="0"/>
        </w:rPr>
        <w:t>.</w:t>
      </w:r>
    </w:p>
    <w:p>
      <w:pPr>
        <w:widowControl/>
      </w:pPr>
      <w:r>
        <w:rPr>
          <w:b w:val="0"/>
          <w:i w:val="0"/>
        </w:rPr>
        <w:t xml:space="preserve">Steadfast will to choose what reason dictates. This definition supplies the ethical counterpart to the indivisible intellectual act; divided assent would fail to be the completed virtue described. References: </w:t>
      </w:r>
      <w:hyperlink w:anchor="passage-viii-3-5">
        <w:r>
          <w:rPr>
            <w:color w:val="000000"/>
          </w:rPr>
          <w:t xml:space="preserve">VIII.3.5</w:t>
        </w:r>
      </w:hyperlink>
      <w:r>
        <w:rPr>
          <w:b w:val="0"/>
          <w:i w:val="0"/>
        </w:rPr>
        <w:t xml:space="preserve">. See </w:t>
      </w:r>
      <w:hyperlink w:anchor="viii-virtue-quality">
        <w:r>
          <w:rPr>
            <w:color w:val="000000"/>
          </w:rPr>
          <w:t xml:space="preserve">Virtue as an indivisible quality</w:t>
        </w:r>
      </w:hyperlink>
      <w:r>
        <w:rPr>
          <w:b w:val="0"/>
          <w:i w:val="0"/>
        </w:rPr>
        <w:t>.</w:t>
      </w:r>
    </w:p>
    <w:p>
      <w:pPr>
        <w:keepNext/>
        <w:widowControl/>
      </w:pPr>
      <w:bookmarkStart w:id="1626" w:name="latin-record-1385"/>
      <w:bookmarkEnd w:id="1626"/>
      <w:r>
        <w:rPr>
          <w:b/>
          <w:i w:val="0"/>
        </w:rPr>
        <w:t>voluntas; mos; opinio; scientia</w:t>
      </w:r>
      <w:r>
        <w:rPr>
          <w:b/>
          <w:i w:val="0"/>
        </w:rPr>
        <w:t>.</w:t>
      </w:r>
      <w:r>
        <w:rPr>
          <w:b w:val="0"/>
          <w:i w:val="0"/>
        </w:rPr>
        <w:t xml:space="preserve"> Printed forms: </w:t>
      </w:r>
      <w:r>
        <w:rPr>
          <w:b w:val="0"/>
          <w:i/>
        </w:rPr>
        <w:t>Idem mos</w:t>
      </w:r>
      <w:r>
        <w:rPr>
          <w:b w:val="0"/>
          <w:i w:val="0"/>
        </w:rPr>
        <w:t xml:space="preserve">; </w:t>
      </w:r>
      <w:r>
        <w:rPr>
          <w:b w:val="0"/>
          <w:i/>
        </w:rPr>
        <w:t>opinio eadem et scientia</w:t>
      </w:r>
      <w:r>
        <w:rPr>
          <w:b w:val="0"/>
          <w:i w:val="0"/>
        </w:rPr>
        <w:t xml:space="preserve">; </w:t>
      </w:r>
      <w:r>
        <w:rPr>
          <w:b w:val="0"/>
          <w:i/>
        </w:rPr>
        <w:t>voluntas eadem</w:t>
      </w:r>
      <w:r>
        <w:rPr>
          <w:b w:val="0"/>
          <w:i w:val="0"/>
        </w:rPr>
        <w:t>.</w:t>
      </w:r>
    </w:p>
    <w:p>
      <w:pPr>
        <w:widowControl/>
      </w:pPr>
      <w:r>
        <w:rPr>
          <w:b w:val="0"/>
          <w:i w:val="0"/>
        </w:rPr>
        <w:t xml:space="preserve">Same will, character, opinion and knowledge. The coordinated list supplies several kinds of continuity that a changing-substance account must explain. References: </w:t>
      </w:r>
      <w:hyperlink w:anchor="passage-vi-13-6">
        <w:r>
          <w:rPr>
            <w:color w:val="000000"/>
          </w:rPr>
          <w:t xml:space="preserve">VI.13.6</w:t>
        </w:r>
      </w:hyperlink>
      <w:r>
        <w:rPr>
          <w:b w:val="0"/>
          <w:i w:val="0"/>
        </w:rPr>
        <w:t xml:space="preserve">. See </w:t>
      </w:r>
      <w:hyperlink w:anchor="persistence-memory-and-recognition">
        <w:r>
          <w:rPr>
            <w:color w:val="000000"/>
          </w:rPr>
          <w:t xml:space="preserve">Persistence, memory and recognition</w:t>
        </w:r>
      </w:hyperlink>
      <w:r>
        <w:rPr>
          <w:b w:val="0"/>
          <w:i w:val="0"/>
        </w:rPr>
        <w:t>.</w:t>
      </w:r>
    </w:p>
    <w:p>
      <w:pPr>
        <w:keepNext/>
        <w:widowControl/>
      </w:pPr>
      <w:bookmarkStart w:id="1627" w:name="latin-record-1386"/>
      <w:bookmarkEnd w:id="1627"/>
      <w:r>
        <w:rPr>
          <w:b/>
          <w:i w:val="0"/>
        </w:rPr>
        <w:t>voluptas</w:t>
      </w:r>
      <w:r>
        <w:rPr>
          <w:b/>
          <w:i w:val="0"/>
        </w:rPr>
        <w:t>.</w:t>
      </w:r>
      <w:r>
        <w:rPr>
          <w:b w:val="0"/>
          <w:i w:val="0"/>
        </w:rPr>
        <w:t xml:space="preserve"> Printed forms: </w:t>
      </w:r>
      <w:r>
        <w:rPr>
          <w:b w:val="0"/>
          <w:i/>
        </w:rPr>
        <w:t>voluptas</w:t>
      </w:r>
      <w:r>
        <w:rPr>
          <w:b w:val="0"/>
          <w:i w:val="0"/>
        </w:rPr>
        <w:t>.</w:t>
      </w:r>
    </w:p>
    <w:p>
      <w:pPr>
        <w:widowControl/>
      </w:pPr>
      <w:r>
        <w:rPr>
          <w:b w:val="0"/>
          <w:i w:val="0"/>
        </w:rPr>
        <w:t xml:space="preserve">Pleasure or enjoyment, paired with understanding in V.13.11. The printed change from voluntas in the preceding unit is retained; pleasure’s object is the good itself. References: </w:t>
      </w:r>
      <w:hyperlink w:anchor="passage-v-13-11">
        <w:r>
          <w:rPr>
            <w:color w:val="000000"/>
          </w:rPr>
          <w:t xml:space="preserve">V.13.11</w:t>
        </w:r>
      </w:hyperlink>
      <w:r>
        <w:rPr>
          <w:b w:val="0"/>
          <w:i w:val="0"/>
        </w:rPr>
        <w:t xml:space="preserve">. See </w:t>
      </w:r>
      <w:hyperlink w:anchor="creature-power-and-operation">
        <w:r>
          <w:rPr>
            <w:color w:val="000000"/>
          </w:rPr>
          <w:t xml:space="preserve">Creature, power and operation</w:t>
        </w:r>
      </w:hyperlink>
      <w:r>
        <w:rPr>
          <w:b w:val="0"/>
          <w:i w:val="0"/>
        </w:rPr>
        <w:t>.</w:t>
      </w:r>
    </w:p>
    <w:p>
      <w:pPr>
        <w:keepNext/>
        <w:widowControl/>
      </w:pPr>
      <w:bookmarkStart w:id="1628" w:name="latin-record-1387"/>
      <w:bookmarkEnd w:id="1628"/>
      <w:r>
        <w:rPr>
          <w:b/>
          <w:i w:val="0"/>
        </w:rPr>
        <w:t>voluptas / fastidium / dolor</w:t>
      </w:r>
      <w:r>
        <w:rPr>
          <w:b/>
          <w:i w:val="0"/>
        </w:rPr>
        <w:t>.</w:t>
      </w:r>
      <w:r>
        <w:rPr>
          <w:b w:val="0"/>
          <w:i w:val="0"/>
        </w:rPr>
        <w:t xml:space="preserve"> Printed forms: </w:t>
      </w:r>
      <w:r>
        <w:rPr>
          <w:b w:val="0"/>
          <w:i/>
        </w:rPr>
        <w:t>dolorem</w:t>
      </w:r>
      <w:r>
        <w:rPr>
          <w:b w:val="0"/>
          <w:i w:val="0"/>
        </w:rPr>
        <w:t xml:space="preserve">; </w:t>
      </w:r>
      <w:r>
        <w:rPr>
          <w:b w:val="0"/>
          <w:i/>
        </w:rPr>
        <w:t>fastidium</w:t>
      </w:r>
      <w:r>
        <w:rPr>
          <w:b w:val="0"/>
          <w:i w:val="0"/>
        </w:rPr>
        <w:t xml:space="preserve">; </w:t>
      </w:r>
      <w:r>
        <w:rPr>
          <w:b w:val="0"/>
          <w:i/>
        </w:rPr>
        <w:t>molestiam</w:t>
      </w:r>
      <w:r>
        <w:rPr>
          <w:b w:val="0"/>
          <w:i w:val="0"/>
        </w:rPr>
        <w:t xml:space="preserve">; </w:t>
      </w:r>
      <w:r>
        <w:rPr>
          <w:b w:val="0"/>
          <w:i/>
        </w:rPr>
        <w:t>voluptate</w:t>
      </w:r>
      <w:r>
        <w:rPr>
          <w:b w:val="0"/>
          <w:i w:val="0"/>
        </w:rPr>
        <w:t>.</w:t>
      </w:r>
    </w:p>
    <w:p>
      <w:pPr>
        <w:widowControl/>
      </w:pPr>
      <w:r>
        <w:rPr>
          <w:b w:val="0"/>
          <w:i w:val="0"/>
        </w:rPr>
        <w:t xml:space="preserve">Pleasure, disgust, pain and distress as contrasting conditions of reception. The soul’s alleged pure delight in truth supports the claim that its proper intellectual nourishment does not generate bodily satiety or contrary corruption. References: </w:t>
      </w:r>
      <w:hyperlink w:anchor="passage-viii-2-8">
        <w:r>
          <w:rPr>
            <w:color w:val="000000"/>
          </w:rPr>
          <w:t xml:space="preserve">VIII.2.8</w:t>
        </w:r>
      </w:hyperlink>
      <w:r>
        <w:rPr>
          <w:b w:val="0"/>
          <w:i w:val="0"/>
        </w:rPr>
        <w:t xml:space="preserve">. See </w:t>
      </w:r>
      <w:hyperlink w:anchor="viii-food-truth">
        <w:r>
          <w:rPr>
            <w:color w:val="000000"/>
          </w:rPr>
          <w:t xml:space="preserve">Food, truth, and the hungry mind</w:t>
        </w:r>
      </w:hyperlink>
      <w:r>
        <w:rPr>
          <w:b w:val="0"/>
          <w:i w:val="0"/>
        </w:rPr>
        <w:t>.</w:t>
      </w:r>
    </w:p>
    <w:p>
      <w:pPr>
        <w:keepNext/>
        <w:widowControl/>
      </w:pPr>
      <w:bookmarkStart w:id="1629" w:name="latin-record-1388"/>
      <w:bookmarkEnd w:id="1629"/>
      <w:r>
        <w:rPr>
          <w:b/>
          <w:i w:val="0"/>
        </w:rPr>
        <w:t>vox; odor; sapor</w:t>
      </w:r>
      <w:r>
        <w:rPr>
          <w:b/>
          <w:i w:val="0"/>
        </w:rPr>
        <w:t>.</w:t>
      </w:r>
      <w:r>
        <w:rPr>
          <w:b w:val="0"/>
          <w:i w:val="0"/>
        </w:rPr>
        <w:t xml:space="preserve"> Printed forms: </w:t>
      </w:r>
      <w:r>
        <w:rPr>
          <w:b w:val="0"/>
          <w:i/>
        </w:rPr>
        <w:t>amara</w:t>
      </w:r>
      <w:r>
        <w:rPr>
          <w:b w:val="0"/>
          <w:i w:val="0"/>
        </w:rPr>
        <w:t xml:space="preserve">; </w:t>
      </w:r>
      <w:r>
        <w:rPr>
          <w:b w:val="0"/>
          <w:i/>
        </w:rPr>
        <w:t>dulcia</w:t>
      </w:r>
      <w:r>
        <w:rPr>
          <w:b w:val="0"/>
          <w:i w:val="0"/>
        </w:rPr>
        <w:t xml:space="preserve">; </w:t>
      </w:r>
      <w:r>
        <w:rPr>
          <w:b w:val="0"/>
          <w:i/>
        </w:rPr>
        <w:t>odores</w:t>
      </w:r>
      <w:r>
        <w:rPr>
          <w:b w:val="0"/>
          <w:i w:val="0"/>
        </w:rPr>
        <w:t xml:space="preserve">; </w:t>
      </w:r>
      <w:r>
        <w:rPr>
          <w:b w:val="0"/>
          <w:i/>
        </w:rPr>
        <w:t>saporem</w:t>
      </w:r>
      <w:r>
        <w:rPr>
          <w:b w:val="0"/>
          <w:i w:val="0"/>
        </w:rPr>
        <w:t xml:space="preserve">; </w:t>
      </w:r>
      <w:r>
        <w:rPr>
          <w:b w:val="0"/>
          <w:i/>
        </w:rPr>
        <w:t>vocem</w:t>
      </w:r>
      <w:r>
        <w:rPr>
          <w:b w:val="0"/>
          <w:i w:val="0"/>
        </w:rPr>
        <w:t>.</w:t>
      </w:r>
    </w:p>
    <w:p>
      <w:pPr>
        <w:widowControl/>
      </w:pPr>
      <w:r>
        <w:rPr>
          <w:b w:val="0"/>
          <w:i w:val="0"/>
        </w:rPr>
        <w:t xml:space="preserve">Voice, odour and flavour, together with sweet and bitter predicates. The examples diversify sensory error beyond sight and show each sense’s restricted field. References: </w:t>
      </w:r>
      <w:hyperlink w:anchor="passage-vi-2-2">
        <w:r>
          <w:rPr>
            <w:color w:val="000000"/>
          </w:rPr>
          <w:t xml:space="preserve">VI.2.2</w:t>
        </w:r>
      </w:hyperlink>
      <w:r>
        <w:rPr>
          <w:b w:val="0"/>
          <w:i w:val="0"/>
        </w:rPr>
        <w:t xml:space="preserve">, </w:t>
      </w:r>
      <w:hyperlink w:anchor="passage-vi-2-7">
        <w:r>
          <w:rPr>
            <w:color w:val="000000"/>
          </w:rPr>
          <w:t xml:space="preserve">VI.2.7</w:t>
        </w:r>
      </w:hyperlink>
      <w:r>
        <w:rPr>
          <w:b w:val="0"/>
          <w:i w:val="0"/>
        </w:rPr>
        <w:t xml:space="preserve">, </w:t>
      </w:r>
      <w:hyperlink w:anchor="passage-vi-2-8">
        <w:r>
          <w:rPr>
            <w:color w:val="000000"/>
          </w:rPr>
          <w:t xml:space="preserve">VI.2.8</w:t>
        </w:r>
      </w:hyperlink>
      <w:r>
        <w:rPr>
          <w:b w:val="0"/>
          <w:i w:val="0"/>
        </w:rPr>
        <w:t xml:space="preserve">. See </w:t>
      </w:r>
      <w:hyperlink w:anchor="sensory-error-and-corrective-reason">
        <w:r>
          <w:rPr>
            <w:color w:val="000000"/>
          </w:rPr>
          <w:t xml:space="preserve">Sensory error and corrective reason</w:t>
        </w:r>
      </w:hyperlink>
      <w:r>
        <w:rPr>
          <w:b w:val="0"/>
          <w:i w:val="0"/>
        </w:rPr>
        <w:t>.</w:t>
      </w:r>
    </w:p>
    <w:p>
      <w:pPr>
        <w:keepNext/>
        <w:widowControl/>
      </w:pPr>
      <w:bookmarkStart w:id="1630" w:name="latin-record-1389"/>
      <w:bookmarkEnd w:id="1630"/>
      <w:r>
        <w:rPr>
          <w:b/>
          <w:i w:val="0"/>
        </w:rPr>
        <w:t>vulpes / sus / astutia</w:t>
      </w:r>
      <w:r>
        <w:rPr>
          <w:b/>
          <w:i w:val="0"/>
        </w:rPr>
        <w:t>.</w:t>
      </w:r>
      <w:r>
        <w:rPr>
          <w:b w:val="0"/>
          <w:i w:val="0"/>
        </w:rPr>
        <w:t xml:space="preserve"> Printed forms: </w:t>
      </w:r>
      <w:r>
        <w:rPr>
          <w:b w:val="0"/>
          <w:i/>
        </w:rPr>
        <w:t>astutior</w:t>
      </w:r>
      <w:r>
        <w:rPr>
          <w:b w:val="0"/>
          <w:i w:val="0"/>
        </w:rPr>
        <w:t xml:space="preserve">; </w:t>
      </w:r>
      <w:r>
        <w:rPr>
          <w:b w:val="0"/>
          <w:i/>
        </w:rPr>
        <w:t>sue</w:t>
      </w:r>
      <w:r>
        <w:rPr>
          <w:b w:val="0"/>
          <w:i w:val="0"/>
        </w:rPr>
        <w:t xml:space="preserve">; </w:t>
      </w:r>
      <w:r>
        <w:rPr>
          <w:b w:val="0"/>
          <w:i/>
        </w:rPr>
        <w:t>vulpes</w:t>
      </w:r>
      <w:r>
        <w:rPr>
          <w:b w:val="0"/>
          <w:i w:val="0"/>
        </w:rPr>
        <w:t>.</w:t>
      </w:r>
    </w:p>
    <w:p>
      <w:pPr>
        <w:widowControl/>
      </w:pPr>
      <w:r>
        <w:rPr>
          <w:b w:val="0"/>
          <w:i w:val="0"/>
        </w:rPr>
        <w:t xml:space="preserve">Fox and pig contrasted in cunning. The comparison is Ficino’s illustrative animal lore, not a measured contemporary intelligence ranking. References: </w:t>
      </w:r>
      <w:hyperlink w:anchor="passage-vii-3-1">
        <w:r>
          <w:rPr>
            <w:color w:val="000000"/>
          </w:rPr>
          <w:t xml:space="preserve">VII.3.1</w:t>
        </w:r>
      </w:hyperlink>
      <w:r>
        <w:rPr>
          <w:b w:val="0"/>
          <w:i w:val="0"/>
        </w:rPr>
        <w:t xml:space="preserve">. See </w:t>
      </w:r>
      <w:hyperlink w:anchor="vii-animal-acuity-size">
        <w:r>
          <w:rPr>
            <w:color w:val="000000"/>
          </w:rPr>
          <w:t xml:space="preserve">Animal acuity and bodily size</w:t>
        </w:r>
      </w:hyperlink>
      <w:r>
        <w:rPr>
          <w:b w:val="0"/>
          <w:i w:val="0"/>
        </w:rPr>
        <w:t>.</w:t>
      </w:r>
    </w:p>
    <w:p>
      <w:pPr>
        <w:keepNext/>
        <w:widowControl/>
      </w:pPr>
      <w:bookmarkStart w:id="1631" w:name="latin-record-1390"/>
      <w:bookmarkEnd w:id="1631"/>
      <w:r>
        <w:rPr>
          <w:b/>
          <w:i w:val="0"/>
        </w:rPr>
        <w:t>vultus / pupilla</w:t>
      </w:r>
      <w:r>
        <w:rPr>
          <w:b/>
          <w:i w:val="0"/>
        </w:rPr>
        <w:t>.</w:t>
      </w:r>
      <w:r>
        <w:rPr>
          <w:b w:val="0"/>
          <w:i w:val="0"/>
        </w:rPr>
        <w:t xml:space="preserve"> Printed forms: </w:t>
      </w:r>
      <w:r>
        <w:rPr>
          <w:b w:val="0"/>
          <w:i/>
        </w:rPr>
        <w:t>pupilla</w:t>
      </w:r>
      <w:r>
        <w:rPr>
          <w:b w:val="0"/>
          <w:i w:val="0"/>
        </w:rPr>
        <w:t xml:space="preserve">; </w:t>
      </w:r>
      <w:r>
        <w:rPr>
          <w:b w:val="0"/>
          <w:i/>
        </w:rPr>
        <w:t>pupillam</w:t>
      </w:r>
      <w:r>
        <w:rPr>
          <w:b w:val="0"/>
          <w:i w:val="0"/>
        </w:rPr>
        <w:t xml:space="preserve">; </w:t>
      </w:r>
      <w:r>
        <w:rPr>
          <w:b w:val="0"/>
          <w:i/>
        </w:rPr>
        <w:t>pupillis</w:t>
      </w:r>
      <w:r>
        <w:rPr>
          <w:b w:val="0"/>
          <w:i w:val="0"/>
        </w:rPr>
        <w:t xml:space="preserve">; </w:t>
      </w:r>
      <w:r>
        <w:rPr>
          <w:b w:val="0"/>
          <w:i/>
        </w:rPr>
        <w:t>vultum</w:t>
      </w:r>
      <w:r>
        <w:rPr>
          <w:b w:val="0"/>
          <w:i w:val="0"/>
        </w:rPr>
        <w:t>.</w:t>
      </w:r>
    </w:p>
    <w:p>
      <w:pPr>
        <w:widowControl/>
      </w:pPr>
      <w:r>
        <w:rPr>
          <w:b w:val="0"/>
          <w:i w:val="0"/>
        </w:rPr>
        <w:t xml:space="preserve">Face and pupil of the eye. A face reflected in a pupil and a mirror supplies the scale example; the tiny pupil also motivates gathered, impartible reception. References: </w:t>
      </w:r>
      <w:hyperlink w:anchor="passage-vii-1-2">
        <w:r>
          <w:rPr>
            <w:color w:val="000000"/>
          </w:rPr>
          <w:t xml:space="preserve">VII.1.2</w:t>
        </w:r>
      </w:hyperlink>
      <w:r>
        <w:rPr>
          <w:b w:val="0"/>
          <w:i w:val="0"/>
        </w:rPr>
        <w:t xml:space="preserve">, </w:t>
      </w:r>
      <w:hyperlink w:anchor="passage-vii-3-1">
        <w:r>
          <w:rPr>
            <w:color w:val="000000"/>
          </w:rPr>
          <w:t xml:space="preserve">VII.3.1</w:t>
        </w:r>
      </w:hyperlink>
      <w:r>
        <w:rPr>
          <w:b w:val="0"/>
          <w:i w:val="0"/>
        </w:rPr>
        <w:t xml:space="preserve">. See </w:t>
      </w:r>
      <w:hyperlink w:anchor="vii-reception-wax-mirrors">
        <w:r>
          <w:rPr>
            <w:color w:val="000000"/>
          </w:rPr>
          <w:t xml:space="preserve">Receiving images: wax, seals and mirrors</w:t>
        </w:r>
      </w:hyperlink>
      <w:r>
        <w:rPr>
          <w:b w:val="0"/>
          <w:i w:val="0"/>
        </w:rPr>
        <w:t>.</w:t>
      </w:r>
    </w:p>
    <w:p>
      <w:pPr>
        <w:keepNext/>
        <w:widowControl/>
      </w:pPr>
      <w:bookmarkStart w:id="1632" w:name="latin-record-1391"/>
      <w:bookmarkEnd w:id="1632"/>
      <w:r>
        <w:rPr>
          <w:b/>
          <w:i w:val="0"/>
        </w:rPr>
        <w:t>vultus; flumen; unda</w:t>
      </w:r>
      <w:r>
        <w:rPr>
          <w:b/>
          <w:i w:val="0"/>
        </w:rPr>
        <w:t>.</w:t>
      </w:r>
      <w:r>
        <w:rPr>
          <w:b w:val="0"/>
          <w:i w:val="0"/>
        </w:rPr>
        <w:t xml:space="preserve"> Printed forms: </w:t>
      </w:r>
      <w:r>
        <w:rPr>
          <w:b w:val="0"/>
          <w:i/>
        </w:rPr>
        <w:t>flumen</w:t>
      </w:r>
      <w:r>
        <w:rPr>
          <w:b w:val="0"/>
          <w:i w:val="0"/>
        </w:rPr>
        <w:t xml:space="preserve">; </w:t>
      </w:r>
      <w:r>
        <w:rPr>
          <w:b w:val="0"/>
          <w:i/>
        </w:rPr>
        <w:t>undas</w:t>
      </w:r>
      <w:r>
        <w:rPr>
          <w:b w:val="0"/>
          <w:i w:val="0"/>
        </w:rPr>
        <w:t xml:space="preserve">; </w:t>
      </w:r>
      <w:r>
        <w:rPr>
          <w:b w:val="0"/>
          <w:i/>
        </w:rPr>
        <w:t>vultus</w:t>
      </w:r>
      <w:r>
        <w:rPr>
          <w:b w:val="0"/>
          <w:i w:val="0"/>
        </w:rPr>
        <w:t>.</w:t>
      </w:r>
    </w:p>
    <w:p>
      <w:pPr>
        <w:widowControl/>
      </w:pPr>
      <w:r>
        <w:rPr>
          <w:b w:val="0"/>
          <w:i w:val="0"/>
        </w:rPr>
        <w:t xml:space="preserve">Face, river and waves. The enduring face paints ever-new reflections in changing waters, distinguishing stable source from apparent persistence in a stream. References: </w:t>
      </w:r>
      <w:hyperlink w:anchor="passage-vi-13-10">
        <w:r>
          <w:rPr>
            <w:color w:val="000000"/>
          </w:rPr>
          <w:t xml:space="preserve">VI.13.10</w:t>
        </w:r>
      </w:hyperlink>
      <w:r>
        <w:rPr>
          <w:b w:val="0"/>
          <w:i w:val="0"/>
        </w:rPr>
        <w:t xml:space="preserve">. See </w:t>
      </w:r>
      <w:hyperlink w:anchor="stable-craftsman-and-river-reflection">
        <w:r>
          <w:rPr>
            <w:color w:val="000000"/>
          </w:rPr>
          <w:t xml:space="preserve">Stable craftsman and the river reflection</w:t>
        </w:r>
      </w:hyperlink>
      <w:r>
        <w:rPr>
          <w:b w:val="0"/>
          <w:i w:val="0"/>
        </w:rPr>
        <w:t>.</w:t>
      </w:r>
    </w:p>
    <w:p>
      <w:pPr>
        <w:keepNext/>
        <w:widowControl/>
      </w:pPr>
      <w:bookmarkStart w:id="1633" w:name="latin-record-1392"/>
      <w:bookmarkEnd w:id="1633"/>
      <w:r>
        <w:rPr>
          <w:b/>
          <w:i w:val="0"/>
        </w:rPr>
        <w:t>Xenocrates / Speusippus / Numenius</w:t>
      </w:r>
      <w:r>
        <w:rPr>
          <w:b/>
          <w:i w:val="0"/>
        </w:rPr>
        <w:t>.</w:t>
      </w:r>
      <w:r>
        <w:rPr>
          <w:b w:val="0"/>
          <w:i w:val="0"/>
        </w:rPr>
        <w:t xml:space="preserve"> Printed forms: </w:t>
      </w:r>
      <w:r>
        <w:rPr>
          <w:b w:val="0"/>
          <w:i/>
        </w:rPr>
        <w:t>Numenius</w:t>
      </w:r>
      <w:r>
        <w:rPr>
          <w:b w:val="0"/>
          <w:i w:val="0"/>
        </w:rPr>
        <w:t xml:space="preserve">; </w:t>
      </w:r>
      <w:r>
        <w:rPr>
          <w:b w:val="0"/>
          <w:i/>
        </w:rPr>
        <w:t>Speusippus</w:t>
      </w:r>
      <w:r>
        <w:rPr>
          <w:b w:val="0"/>
          <w:i w:val="0"/>
        </w:rPr>
        <w:t xml:space="preserve">; </w:t>
      </w:r>
      <w:r>
        <w:rPr>
          <w:b w:val="0"/>
          <w:i/>
        </w:rPr>
        <w:t>Xenocrates</w:t>
      </w:r>
      <w:r>
        <w:rPr>
          <w:b w:val="0"/>
          <w:i w:val="0"/>
        </w:rPr>
        <w:t>.</w:t>
      </w:r>
    </w:p>
    <w:p>
      <w:pPr>
        <w:widowControl/>
      </w:pPr>
      <w:r>
        <w:rPr>
          <w:b w:val="0"/>
          <w:i w:val="0"/>
        </w:rPr>
        <w:t xml:space="preserve">Thinkers named with Plotinus as affirming irrational soul’s immortality in Ficino’s report. Their placement concerns this specific question; it does not establish unanimity on the soul’s origin or every Platonist doctrine. References: </w:t>
      </w:r>
      <w:hyperlink w:anchor="passage-v-14-8">
        <w:r>
          <w:rPr>
            <w:color w:val="000000"/>
          </w:rPr>
          <w:t xml:space="preserve">V.14.8</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keepNext/>
        <w:widowControl/>
      </w:pPr>
      <w:bookmarkStart w:id="1634" w:name="latin-record-1393"/>
      <w:bookmarkEnd w:id="1634"/>
      <w:r>
        <w:rPr>
          <w:b/>
          <w:i w:val="0"/>
        </w:rPr>
        <w:t>Xenophanes; Asclepiades; Aristoxenus; Critolaus</w:t>
      </w:r>
      <w:r>
        <w:rPr>
          <w:b/>
          <w:i w:val="0"/>
        </w:rPr>
        <w:t>.</w:t>
      </w:r>
      <w:r>
        <w:rPr>
          <w:b w:val="0"/>
          <w:i w:val="0"/>
        </w:rPr>
        <w:t xml:space="preserve"> Printed forms: </w:t>
      </w:r>
      <w:r>
        <w:rPr>
          <w:b w:val="0"/>
          <w:i/>
        </w:rPr>
        <w:t>Aristoxenus</w:t>
      </w:r>
      <w:r>
        <w:rPr>
          <w:b w:val="0"/>
          <w:i w:val="0"/>
        </w:rPr>
        <w:t xml:space="preserve">; </w:t>
      </w:r>
      <w:r>
        <w:rPr>
          <w:b w:val="0"/>
          <w:i/>
        </w:rPr>
        <w:t>Asclepiades</w:t>
      </w:r>
      <w:r>
        <w:rPr>
          <w:b w:val="0"/>
          <w:i w:val="0"/>
        </w:rPr>
        <w:t xml:space="preserve">; </w:t>
      </w:r>
      <w:r>
        <w:rPr>
          <w:b w:val="0"/>
          <w:i/>
        </w:rPr>
        <w:t>Critolausque</w:t>
      </w:r>
      <w:r>
        <w:rPr>
          <w:b w:val="0"/>
          <w:i w:val="0"/>
        </w:rPr>
        <w:t xml:space="preserve">; </w:t>
      </w:r>
      <w:r>
        <w:rPr>
          <w:b w:val="0"/>
          <w:i/>
        </w:rPr>
        <w:t>Xenophanes Colophonius</w:t>
      </w:r>
      <w:r>
        <w:rPr>
          <w:b w:val="0"/>
          <w:i w:val="0"/>
        </w:rPr>
        <w:t>.</w:t>
      </w:r>
    </w:p>
    <w:p>
      <w:pPr>
        <w:widowControl/>
      </w:pPr>
      <w:r>
        <w:rPr>
          <w:b w:val="0"/>
          <w:i w:val="0"/>
        </w:rPr>
        <w:t xml:space="preserve">The thinkers reported under the matter-dependent power or harmony account. The correction Critolausque supplies the conjunction; Xenophanes is explicitly of Colophon and differs from VI.1.2’s printed Xenophantes.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635" w:name="latin-record-1394"/>
      <w:bookmarkEnd w:id="1635"/>
      <w:r>
        <w:rPr>
          <w:b/>
          <w:i w:val="0"/>
        </w:rPr>
        <w:t>Xenophon / Alcibiades / Phaedrus</w:t>
      </w:r>
      <w:r>
        <w:rPr>
          <w:b/>
          <w:i w:val="0"/>
        </w:rPr>
        <w:t>.</w:t>
      </w:r>
      <w:r>
        <w:rPr>
          <w:b w:val="0"/>
          <w:i w:val="0"/>
        </w:rPr>
        <w:t xml:space="preserve"> Printed forms: </w:t>
      </w:r>
      <w:r>
        <w:rPr>
          <w:b w:val="0"/>
          <w:i/>
        </w:rPr>
        <w:t>Alcibiadis</w:t>
      </w:r>
      <w:r>
        <w:rPr>
          <w:b w:val="0"/>
          <w:i w:val="0"/>
        </w:rPr>
        <w:t xml:space="preserve">; </w:t>
      </w:r>
      <w:r>
        <w:rPr>
          <w:b w:val="0"/>
          <w:i/>
        </w:rPr>
        <w:t>Phaedri</w:t>
      </w:r>
      <w:r>
        <w:rPr>
          <w:b w:val="0"/>
          <w:i w:val="0"/>
        </w:rPr>
        <w:t xml:space="preserve">; </w:t>
      </w:r>
      <w:r>
        <w:rPr>
          <w:b w:val="0"/>
          <w:i/>
        </w:rPr>
        <w:t>Xenophontis</w:t>
      </w:r>
      <w:r>
        <w:rPr>
          <w:b w:val="0"/>
          <w:i w:val="0"/>
        </w:rPr>
        <w:t>.</w:t>
      </w:r>
    </w:p>
    <w:p>
      <w:pPr>
        <w:widowControl/>
      </w:pPr>
      <w:r>
        <w:rPr>
          <w:b w:val="0"/>
          <w:i w:val="0"/>
        </w:rPr>
        <w:t xml:space="preserve">Additional named persons whose images test memory and discrimination. Their reception would erase Plato’s image or confuse all the images if soul behaved simply like impressed wax. References: </w:t>
      </w:r>
      <w:hyperlink w:anchor="passage-vii-1-1">
        <w:r>
          <w:rPr>
            <w:color w:val="000000"/>
          </w:rPr>
          <w:t xml:space="preserve">VII.1.1</w:t>
        </w:r>
      </w:hyperlink>
      <w:r>
        <w:rPr>
          <w:b w:val="0"/>
          <w:i w:val="0"/>
        </w:rPr>
        <w:t xml:space="preserve">. See </w:t>
      </w:r>
      <w:hyperlink w:anchor="vii-memory-solid-fluid">
        <w:r>
          <w:rPr>
            <w:color w:val="000000"/>
          </w:rPr>
          <w:t xml:space="preserve">Memory, rigidity and fluidity</w:t>
        </w:r>
      </w:hyperlink>
      <w:r>
        <w:rPr>
          <w:b w:val="0"/>
          <w:i w:val="0"/>
        </w:rPr>
        <w:t>.</w:t>
      </w:r>
    </w:p>
    <w:p>
      <w:pPr>
        <w:keepNext/>
        <w:widowControl/>
      </w:pPr>
      <w:bookmarkStart w:id="1636" w:name="latin-record-1395"/>
      <w:bookmarkEnd w:id="1636"/>
      <w:r>
        <w:rPr>
          <w:b/>
          <w:i w:val="0"/>
        </w:rPr>
        <w:t>Zeno; Cleantes; Antipater; Posidonius</w:t>
      </w:r>
      <w:r>
        <w:rPr>
          <w:b/>
          <w:i w:val="0"/>
        </w:rPr>
        <w:t>.</w:t>
      </w:r>
      <w:r>
        <w:rPr>
          <w:b w:val="0"/>
          <w:i w:val="0"/>
        </w:rPr>
        <w:t xml:space="preserve"> Printed forms: </w:t>
      </w:r>
      <w:r>
        <w:rPr>
          <w:b w:val="0"/>
          <w:i/>
        </w:rPr>
        <w:t>Antipater</w:t>
      </w:r>
      <w:r>
        <w:rPr>
          <w:b w:val="0"/>
          <w:i w:val="0"/>
        </w:rPr>
        <w:t xml:space="preserve">; </w:t>
      </w:r>
      <w:r>
        <w:rPr>
          <w:b w:val="0"/>
          <w:i/>
        </w:rPr>
        <w:t>Cleantes</w:t>
      </w:r>
      <w:r>
        <w:rPr>
          <w:b w:val="0"/>
          <w:i w:val="0"/>
        </w:rPr>
        <w:t xml:space="preserve">; </w:t>
      </w:r>
      <w:r>
        <w:rPr>
          <w:b w:val="0"/>
          <w:i/>
        </w:rPr>
        <w:t>Posidonius</w:t>
      </w:r>
      <w:r>
        <w:rPr>
          <w:b w:val="0"/>
          <w:i w:val="0"/>
        </w:rPr>
        <w:t xml:space="preserve">; </w:t>
      </w:r>
      <w:r>
        <w:rPr>
          <w:b w:val="0"/>
          <w:i/>
        </w:rPr>
        <w:t>Zeno Cittieus</w:t>
      </w:r>
      <w:r>
        <w:rPr>
          <w:b w:val="0"/>
          <w:i w:val="0"/>
        </w:rPr>
        <w:t>.</w:t>
      </w:r>
    </w:p>
    <w:p>
      <w:pPr>
        <w:widowControl/>
      </w:pPr>
      <w:r>
        <w:rPr>
          <w:b w:val="0"/>
          <w:i w:val="0"/>
        </w:rPr>
        <w:t xml:space="preserve">The thinkers associated with a distributed warm quality. The reading text retains Cittieus and Cleantes as printed orthographic forms rather than creating different philosophical persons. References: </w:t>
      </w:r>
      <w:hyperlink w:anchor="passage-vi-1-3">
        <w:r>
          <w:rPr>
            <w:color w:val="000000"/>
          </w:rPr>
          <w:t xml:space="preserve">VI.1.3</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keepNext/>
        <w:widowControl/>
      </w:pPr>
      <w:bookmarkStart w:id="1637" w:name="latin-record-1396"/>
      <w:bookmarkEnd w:id="1637"/>
      <w:r>
        <w:rPr>
          <w:b/>
          <w:i w:val="0"/>
        </w:rPr>
        <w:t>Zoroaster</w:t>
      </w:r>
      <w:r>
        <w:rPr>
          <w:b/>
          <w:i w:val="0"/>
        </w:rPr>
        <w:t>.</w:t>
      </w:r>
      <w:r>
        <w:rPr>
          <w:b w:val="0"/>
          <w:i w:val="0"/>
        </w:rPr>
        <w:t xml:space="preserve"> Printed forms: </w:t>
      </w:r>
      <w:r>
        <w:rPr>
          <w:b w:val="0"/>
          <w:i/>
        </w:rPr>
        <w:t>Zoroastris</w:t>
      </w:r>
      <w:r>
        <w:rPr>
          <w:b w:val="0"/>
          <w:i w:val="0"/>
        </w:rPr>
        <w:t>.</w:t>
      </w:r>
    </w:p>
    <w:p>
      <w:pPr>
        <w:widowControl/>
      </w:pPr>
      <w:r>
        <w:rPr>
          <w:b w:val="0"/>
          <w:i w:val="0"/>
        </w:rPr>
        <w:t xml:space="preserve">The authority to whom Ficino attributes the Greek statement about remaining immortal and ruling life. The quoted attribution is recorded without claiming independent authentication of a historical saying. References: </w:t>
      </w:r>
      <w:hyperlink w:anchor="passage-v-14-6">
        <w:r>
          <w:rPr>
            <w:color w:val="000000"/>
          </w:rPr>
          <w:t xml:space="preserve">V.14.6</w:t>
        </w:r>
      </w:hyperlink>
      <w:r>
        <w:rPr>
          <w:b w:val="0"/>
          <w:i w:val="0"/>
        </w:rPr>
        <w:t xml:space="preserve">. See </w:t>
      </w:r>
      <w:hyperlink w:anchor="zoroaster-and-the-mistress-of-life">
        <w:r>
          <w:rPr>
            <w:color w:val="000000"/>
          </w:rPr>
          <w:t xml:space="preserve">Zoroaster and the mistress of life</w:t>
        </w:r>
      </w:hyperlink>
      <w:r>
        <w:rPr>
          <w:b w:val="0"/>
          <w:i w:val="0"/>
        </w:rPr>
        <w:t>.</w:t>
      </w:r>
    </w:p>
    <w:p>
      <w:pPr>
        <w:pStyle w:val="Heading1"/>
      </w:pPr>
      <w:bookmarkStart w:id="1638" w:name="greek-expressions"/>
      <w:r>
        <w:rPr>
          <w:b w:val="0"/>
          <w:i w:val="0"/>
        </w:rPr>
        <w:t>Greek expressions in the Latin text</w:t>
      </w:r>
      <w:bookmarkEnd w:id="1638"/>
    </w:p>
    <w:p>
      <w:pPr>
        <w:widowControl/>
      </w:pPr>
      <w:r>
        <w:rPr>
          <w:b w:val="0"/>
          <w:i w:val="0"/>
        </w:rPr>
        <w:t>The following records explain Greek expressions actually printed in the supplied Latin. They follow Ficino’s accompanying Latin gloss and the edition’s notes. They do not claim a new verification of the attributed ancient sources.</w:t>
      </w:r>
    </w:p>
    <w:p>
      <w:pPr>
        <w:pStyle w:val="Heading2"/>
      </w:pPr>
      <w:bookmarkStart w:id="1639" w:name="greek-record-01"/>
      <w:r>
        <w:rPr>
          <w:b w:val="0"/>
          <w:i w:val="0"/>
        </w:rPr>
        <w:t>Immortal and mistress of life</w:t>
      </w:r>
      <w:bookmarkEnd w:id="1639"/>
    </w:p>
    <w:p>
      <w:pPr>
        <w:keepNext/>
        <w:widowControl/>
      </w:pPr>
      <w:r>
        <w:rPr>
          <w:b w:val="0"/>
          <w:i/>
        </w:rPr>
        <w:t>ἀθάνατός τε μένει καὶ ζωῆς δεσπότις ἐστί</w:t>
      </w:r>
    </w:p>
    <w:p>
      <w:pPr>
        <w:widowControl/>
      </w:pPr>
      <w:r>
        <w:rPr>
          <w:b w:val="0"/>
          <w:i w:val="0"/>
        </w:rPr>
        <w:t xml:space="preserve">Ficino’s Latin gloss is </w:t>
      </w:r>
      <w:r>
        <w:rPr>
          <w:b w:val="0"/>
          <w:i/>
        </w:rPr>
        <w:t>immortalis manet ac vitae domina est</w:t>
      </w:r>
      <w:r>
        <w:rPr>
          <w:b w:val="0"/>
          <w:i w:val="0"/>
        </w:rPr>
        <w:t xml:space="preserve">. The supplied English renders it </w:t>
      </w:r>
      <w:r>
        <w:t>“</w:t>
      </w:r>
      <w:r>
        <w:rPr>
          <w:b w:val="0"/>
          <w:i w:val="0"/>
        </w:rPr>
        <w:t>It remains immortal and is mistress of life.</w:t>
      </w:r>
      <w:r>
        <w:t>”</w:t>
      </w:r>
    </w:p>
    <w:p>
      <w:pPr>
        <w:widowControl/>
      </w:pPr>
      <w:r>
        <w:rPr>
          <w:b w:val="0"/>
          <w:i w:val="0"/>
        </w:rPr>
        <w:t>Ficino attributes this line to Zoroaster and takes it to summarize soul’s essential possession of life. The feminine δεσπότις agrees with domina; life follows soul as light the sun and hair the comet. The next unit still raises the Epicurean disappearance objection, so this authority does not replace the argument.</w:t>
      </w:r>
    </w:p>
    <w:p>
      <w:pPr>
        <w:widowControl/>
      </w:pPr>
      <w:r>
        <w:rPr>
          <w:b w:val="0"/>
          <w:i/>
        </w:rPr>
        <w:t>ἀθάνατός</w:t>
      </w:r>
      <w:r>
        <w:rPr>
          <w:b w:val="0"/>
          <w:i w:val="0"/>
        </w:rPr>
        <w:t xml:space="preserve">: Immortal or deathless; the final acute in this printed context reflects the following enclitic. </w:t>
      </w:r>
      <w:r>
        <w:rPr>
          <w:b w:val="0"/>
          <w:i/>
        </w:rPr>
        <w:t>τε</w:t>
      </w:r>
      <w:r>
        <w:rPr>
          <w:b w:val="0"/>
          <w:i w:val="0"/>
        </w:rPr>
        <w:t xml:space="preserve">: Connective particle linking the first predicate with the following καί. </w:t>
      </w:r>
      <w:r>
        <w:rPr>
          <w:b w:val="0"/>
          <w:i/>
        </w:rPr>
        <w:t>μένει</w:t>
      </w:r>
      <w:r>
        <w:rPr>
          <w:b w:val="0"/>
          <w:i w:val="0"/>
        </w:rPr>
        <w:t xml:space="preserve">: Remains or abides, stressing continued rather than momentary possession. </w:t>
      </w:r>
      <w:r>
        <w:rPr>
          <w:b w:val="0"/>
          <w:i/>
        </w:rPr>
        <w:t>καὶ</w:t>
      </w:r>
      <w:r>
        <w:rPr>
          <w:b w:val="0"/>
          <w:i w:val="0"/>
        </w:rPr>
        <w:t xml:space="preserve">: And, joining immortality with mistresshood of life. </w:t>
      </w:r>
      <w:r>
        <w:rPr>
          <w:b w:val="0"/>
          <w:i/>
        </w:rPr>
        <w:t>ζωῆς</w:t>
      </w:r>
      <w:r>
        <w:rPr>
          <w:b w:val="0"/>
          <w:i w:val="0"/>
        </w:rPr>
        <w:t xml:space="preserve">: Of life, the genitive dependent on mistress. </w:t>
      </w:r>
      <w:r>
        <w:rPr>
          <w:b w:val="0"/>
          <w:i/>
        </w:rPr>
        <w:t>δεσπότις</w:t>
      </w:r>
      <w:r>
        <w:rPr>
          <w:b w:val="0"/>
          <w:i w:val="0"/>
        </w:rPr>
        <w:t xml:space="preserve">: Mistress, a feminine noun for the ruling source of life. </w:t>
      </w:r>
      <w:r>
        <w:rPr>
          <w:b w:val="0"/>
          <w:i/>
        </w:rPr>
        <w:t>ἐστί</w:t>
      </w:r>
      <w:r>
        <w:rPr>
          <w:b w:val="0"/>
          <w:i w:val="0"/>
        </w:rPr>
        <w:t>: Is, linking the subject to mistress of life.</w:t>
      </w:r>
    </w:p>
    <w:p>
      <w:pPr>
        <w:widowControl/>
      </w:pPr>
      <w:r>
        <w:rPr>
          <w:b w:val="0"/>
          <w:i w:val="0"/>
        </w:rPr>
        <w:t>The apparatus at PDF 399 states that M1482 and G1559 read feminine δεσπότις. The supplied normalized quotation is reported; no independent ancient-source authentication is claimed.</w:t>
      </w:r>
    </w:p>
    <w:p>
      <w:pPr>
        <w:widowControl/>
      </w:pPr>
      <w:r>
        <w:rPr>
          <w:b/>
          <w:i w:val="0"/>
        </w:rPr>
        <w:t>Place.</w:t>
      </w:r>
      <w:r>
        <w:rPr>
          <w:b w:val="0"/>
          <w:i w:val="0"/>
        </w:rPr>
        <w:t xml:space="preserve"> </w:t>
      </w:r>
      <w:hyperlink w:anchor="passage-v-14-6">
        <w:r>
          <w:rPr>
            <w:color w:val="000000"/>
          </w:rPr>
          <w:t xml:space="preserve">V.14.6</w:t>
        </w:r>
      </w:hyperlink>
      <w:r>
        <w:rPr>
          <w:b w:val="0"/>
          <w:i w:val="0"/>
        </w:rPr>
        <w:t xml:space="preserve">, source PDF pp. 96–97. See </w:t>
      </w:r>
      <w:hyperlink w:anchor="zoroaster-and-the-mistress-of-life">
        <w:r>
          <w:rPr>
            <w:color w:val="000000"/>
          </w:rPr>
          <w:t xml:space="preserve">Zoroaster and the mistress of life</w:t>
        </w:r>
      </w:hyperlink>
      <w:r>
        <w:rPr>
          <w:b w:val="0"/>
          <w:i w:val="0"/>
        </w:rPr>
        <w:t>.</w:t>
      </w:r>
    </w:p>
    <w:p>
      <w:pPr>
        <w:pStyle w:val="Heading2"/>
      </w:pPr>
      <w:bookmarkStart w:id="1640" w:name="greek-record-02"/>
      <w:r>
        <w:rPr>
          <w:b w:val="0"/>
          <w:i w:val="0"/>
        </w:rPr>
        <w:t>Dry light and the wisest soul</w:t>
      </w:r>
      <w:bookmarkEnd w:id="1640"/>
    </w:p>
    <w:p>
      <w:pPr>
        <w:keepNext/>
        <w:widowControl/>
      </w:pPr>
      <w:r>
        <w:rPr>
          <w:b w:val="0"/>
          <w:i/>
        </w:rPr>
        <w:t>αὐγὴ ξηρὴ ψυχὴ σοφωτάτη</w:t>
      </w:r>
    </w:p>
    <w:p>
      <w:pPr>
        <w:widowControl/>
      </w:pPr>
      <w:r>
        <w:rPr>
          <w:b w:val="0"/>
          <w:i w:val="0"/>
        </w:rPr>
        <w:t xml:space="preserve">Ficino’s Latin gloss is </w:t>
      </w:r>
      <w:r>
        <w:rPr>
          <w:b w:val="0"/>
          <w:i/>
        </w:rPr>
        <w:t>lux sicca, anima sapientissima</w:t>
      </w:r>
      <w:r>
        <w:rPr>
          <w:b w:val="0"/>
          <w:i w:val="0"/>
        </w:rPr>
        <w:t xml:space="preserve">. The supplied English renders it </w:t>
      </w:r>
      <w:r>
        <w:t>“</w:t>
      </w:r>
      <w:r>
        <w:rPr>
          <w:b w:val="0"/>
          <w:i w:val="0"/>
        </w:rPr>
        <w:t>A dry light is the wisest soul.</w:t>
      </w:r>
      <w:r>
        <w:t>”</w:t>
      </w:r>
    </w:p>
    <w:p>
      <w:pPr>
        <w:widowControl/>
      </w:pPr>
      <w:r>
        <w:rPr>
          <w:b w:val="0"/>
          <w:i w:val="0"/>
        </w:rPr>
        <w:t>The four Greek words mean radiance/light (αὐγή), dry (ξηρή), soul (ψυχή), and wisest (σοφωτάτη). Ficino’s own Latin gloss controls the local reading. The compressed nominal statement has no expressed verb. He places it after the spark–flame and enfolded–unfolded globe comparisons, reinforcing the conception of soul as invisible sensing and intelligent light. It is not a modern medical assertion about literal dryness, nor should another familiar wording of Heraclitus be silently substituted. The forms intelligibilem and intelligentem in the same unit distinguish being intelligible from actively understanding.</w:t>
      </w:r>
    </w:p>
    <w:p>
      <w:pPr>
        <w:widowControl/>
      </w:pPr>
      <w:r>
        <w:rPr>
          <w:b/>
          <w:i w:val="0"/>
        </w:rPr>
        <w:t>Place.</w:t>
      </w:r>
      <w:r>
        <w:rPr>
          <w:b w:val="0"/>
          <w:i w:val="0"/>
        </w:rPr>
        <w:t xml:space="preserve"> </w:t>
      </w:r>
      <w:hyperlink w:anchor="passage-vi-2-26">
        <w:r>
          <w:rPr>
            <w:color w:val="000000"/>
          </w:rPr>
          <w:t xml:space="preserve">VI.2.26</w:t>
        </w:r>
      </w:hyperlink>
      <w:r>
        <w:rPr>
          <w:b w:val="0"/>
          <w:i w:val="0"/>
        </w:rPr>
        <w:t xml:space="preserve">, source PDF pp. 164–165. See </w:t>
      </w:r>
      <w:hyperlink w:anchor="spark-globe-and-luminous-vehicles">
        <w:r>
          <w:rPr>
            <w:color w:val="000000"/>
          </w:rPr>
          <w:t xml:space="preserve">Spark, globe and luminous vehicles</w:t>
        </w:r>
      </w:hyperlink>
      <w:r>
        <w:rPr>
          <w:b w:val="0"/>
          <w:i w:val="0"/>
        </w:rPr>
        <w:t>.</w:t>
      </w:r>
    </w:p>
    <w:p>
      <w:pPr>
        <w:pStyle w:val="Heading1"/>
      </w:pPr>
      <w:bookmarkStart w:id="1641" w:name="original-form-lookup"/>
      <w:r>
        <w:rPr>
          <w:b w:val="0"/>
          <w:i w:val="0"/>
        </w:rPr>
        <w:t>Original form lookup</w:t>
      </w:r>
      <w:bookmarkEnd w:id="1641"/>
    </w:p>
    <w:p>
      <w:pPr>
        <w:widowControl/>
      </w:pPr>
      <w:r>
        <w:rPr>
          <w:b w:val="0"/>
          <w:i w:val="0"/>
        </w:rPr>
        <w:t>Printed forms and phrases lead to their defined Latin records. These routes are additional finding aids, not additional lexical explanations.</w:t>
      </w:r>
    </w:p>
    <w:p>
      <w:pPr>
        <w:widowControl/>
      </w:pPr>
      <w:r>
        <w:rPr>
          <w:b/>
          <w:i w:val="0"/>
        </w:rPr>
        <w:t>a.</w:t>
      </w:r>
      <w:r>
        <w:rPr>
          <w:b w:val="0"/>
          <w:i w:val="0"/>
        </w:rPr>
        <w:t xml:space="preserve"> </w:t>
      </w:r>
      <w:hyperlink w:anchor="latin-record-0001">
        <w:r>
          <w:rPr>
            <w:color w:val="000000"/>
          </w:rPr>
          <w:t xml:space="preserve">a / b: geometrical labels</w:t>
        </w:r>
      </w:hyperlink>
      <w:r>
        <w:rPr>
          <w:b w:val="0"/>
          <w:i w:val="0"/>
        </w:rPr>
        <w:t>.</w:t>
      </w:r>
    </w:p>
    <w:p>
      <w:pPr>
        <w:widowControl/>
      </w:pPr>
      <w:r>
        <w:rPr>
          <w:b/>
          <w:i w:val="0"/>
        </w:rPr>
        <w:t>a causa deducit effectum.</w:t>
      </w:r>
      <w:r>
        <w:rPr>
          <w:b w:val="0"/>
          <w:i w:val="0"/>
        </w:rPr>
        <w:t xml:space="preserve"> </w:t>
      </w:r>
      <w:hyperlink w:anchor="latin-record-1115">
        <w:r>
          <w:rPr>
            <w:color w:val="000000"/>
          </w:rPr>
          <w:t xml:space="preserve">resolvere; deducere</w:t>
        </w:r>
      </w:hyperlink>
      <w:r>
        <w:rPr>
          <w:b w:val="0"/>
          <w:i w:val="0"/>
        </w:rPr>
        <w:t>.</w:t>
      </w:r>
    </w:p>
    <w:p>
      <w:pPr>
        <w:widowControl/>
      </w:pPr>
      <w:r>
        <w:rPr>
          <w:b/>
          <w:i w:val="0"/>
        </w:rPr>
        <w:t>a materia libera.</w:t>
      </w:r>
      <w:r>
        <w:rPr>
          <w:b w:val="0"/>
          <w:i w:val="0"/>
        </w:rPr>
        <w:t xml:space="preserve"> </w:t>
      </w:r>
      <w:hyperlink w:anchor="latin-record-0713">
        <w:r>
          <w:rPr>
            <w:color w:val="000000"/>
          </w:rPr>
          <w:t xml:space="preserve">liber a materia</w:t>
        </w:r>
      </w:hyperlink>
      <w:r>
        <w:rPr>
          <w:b w:val="0"/>
          <w:i w:val="0"/>
        </w:rPr>
        <w:t>.</w:t>
      </w:r>
    </w:p>
    <w:p>
      <w:pPr>
        <w:widowControl/>
      </w:pPr>
      <w:r>
        <w:rPr>
          <w:b/>
          <w:i w:val="0"/>
        </w:rPr>
        <w:t>a materia liberior.</w:t>
      </w:r>
      <w:r>
        <w:rPr>
          <w:b w:val="0"/>
          <w:i w:val="0"/>
        </w:rPr>
        <w:t xml:space="preserve"> </w:t>
      </w:r>
      <w:hyperlink w:anchor="latin-record-0713">
        <w:r>
          <w:rPr>
            <w:color w:val="000000"/>
          </w:rPr>
          <w:t xml:space="preserve">liber a materia</w:t>
        </w:r>
      </w:hyperlink>
      <w:r>
        <w:rPr>
          <w:b w:val="0"/>
          <w:i w:val="0"/>
        </w:rPr>
        <w:t>.</w:t>
      </w:r>
    </w:p>
    <w:p>
      <w:pPr>
        <w:widowControl/>
      </w:pPr>
      <w:r>
        <w:rPr>
          <w:b/>
          <w:i w:val="0"/>
        </w:rPr>
        <w:t>a materia liberius.</w:t>
      </w:r>
      <w:r>
        <w:rPr>
          <w:b w:val="0"/>
          <w:i w:val="0"/>
        </w:rPr>
        <w:t xml:space="preserve"> </w:t>
      </w:r>
      <w:hyperlink w:anchor="latin-record-0713">
        <w:r>
          <w:rPr>
            <w:color w:val="000000"/>
          </w:rPr>
          <w:t xml:space="preserve">liber a materia</w:t>
        </w:r>
      </w:hyperlink>
      <w:r>
        <w:rPr>
          <w:b w:val="0"/>
          <w:i w:val="0"/>
        </w:rPr>
        <w:t>.</w:t>
      </w:r>
    </w:p>
    <w:p>
      <w:pPr>
        <w:widowControl/>
      </w:pPr>
      <w:r>
        <w:rPr>
          <w:b/>
          <w:i w:val="0"/>
        </w:rPr>
        <w:t>a potentia in actum.</w:t>
      </w:r>
      <w:r>
        <w:rPr>
          <w:b w:val="0"/>
          <w:i w:val="0"/>
        </w:rPr>
        <w:t xml:space="preserve"> </w:t>
      </w:r>
      <w:hyperlink w:anchor="latin-record-0451">
        <w:r>
          <w:rPr>
            <w:color w:val="000000"/>
          </w:rPr>
          <w:t xml:space="preserve">ex otio in actum</w:t>
        </w:r>
      </w:hyperlink>
      <w:r>
        <w:rPr>
          <w:b w:val="0"/>
          <w:i w:val="0"/>
        </w:rPr>
        <w:t>.</w:t>
      </w:r>
    </w:p>
    <w:p>
      <w:pPr>
        <w:widowControl/>
      </w:pPr>
      <w:r>
        <w:rPr>
          <w:b/>
          <w:i w:val="0"/>
        </w:rPr>
        <w:t>a prima sit causa.</w:t>
      </w:r>
      <w:r>
        <w:rPr>
          <w:b w:val="0"/>
          <w:i w:val="0"/>
        </w:rPr>
        <w:t xml:space="preserve"> </w:t>
      </w:r>
      <w:hyperlink w:anchor="latin-record-0202">
        <w:r>
          <w:rPr>
            <w:color w:val="000000"/>
          </w:rPr>
          <w:t xml:space="preserve">causa prima</w:t>
        </w:r>
      </w:hyperlink>
      <w:r>
        <w:rPr>
          <w:b w:val="0"/>
          <w:i w:val="0"/>
        </w:rPr>
        <w:t>.</w:t>
      </w:r>
    </w:p>
    <w:p>
      <w:pPr>
        <w:widowControl/>
      </w:pPr>
      <w:r>
        <w:rPr>
          <w:b/>
          <w:i w:val="0"/>
        </w:rPr>
        <w:t>a virtute operatio.</w:t>
      </w:r>
      <w:r>
        <w:rPr>
          <w:b w:val="0"/>
          <w:i w:val="0"/>
        </w:rPr>
        <w:t xml:space="preserve"> </w:t>
      </w:r>
      <w:hyperlink w:anchor="latin-record-0446">
        <w:r>
          <w:rPr>
            <w:color w:val="000000"/>
          </w:rPr>
          <w:t xml:space="preserve">essentia; esse; virtus; operatio</w:t>
        </w:r>
      </w:hyperlink>
      <w:r>
        <w:rPr>
          <w:b w:val="0"/>
          <w:i w:val="0"/>
        </w:rPr>
        <w:t>.</w:t>
      </w:r>
    </w:p>
    <w:p>
      <w:pPr>
        <w:widowControl/>
      </w:pPr>
      <w:r>
        <w:rPr>
          <w:b/>
          <w:i w:val="0"/>
        </w:rPr>
        <w:t>ab agente in patiens.</w:t>
      </w:r>
      <w:r>
        <w:rPr>
          <w:b w:val="0"/>
          <w:i w:val="0"/>
        </w:rPr>
        <w:t xml:space="preserve"> </w:t>
      </w:r>
      <w:hyperlink w:anchor="latin-record-0055">
        <w:r>
          <w:rPr>
            <w:color w:val="000000"/>
          </w:rPr>
          <w:t xml:space="preserve">agens; patiens</w:t>
        </w:r>
      </w:hyperlink>
      <w:r>
        <w:rPr>
          <w:b w:val="0"/>
          <w:i w:val="0"/>
        </w:rPr>
        <w:t>.</w:t>
      </w:r>
    </w:p>
    <w:p>
      <w:pPr>
        <w:widowControl/>
      </w:pPr>
      <w:r>
        <w:rPr>
          <w:b/>
          <w:i w:val="0"/>
        </w:rPr>
        <w:t>ab anima.</w:t>
      </w:r>
      <w:r>
        <w:rPr>
          <w:b w:val="0"/>
          <w:i w:val="0"/>
        </w:rPr>
        <w:t xml:space="preserve"> </w:t>
      </w:r>
      <w:hyperlink w:anchor="latin-record-0002">
        <w:r>
          <w:rPr>
            <w:color w:val="000000"/>
          </w:rPr>
          <w:t xml:space="preserve">ab anima</w:t>
        </w:r>
      </w:hyperlink>
      <w:r>
        <w:rPr>
          <w:b w:val="0"/>
          <w:i w:val="0"/>
        </w:rPr>
        <w:t>.</w:t>
      </w:r>
    </w:p>
    <w:p>
      <w:pPr>
        <w:widowControl/>
      </w:pPr>
      <w:r>
        <w:rPr>
          <w:b/>
          <w:i w:val="0"/>
        </w:rPr>
        <w:t>ab essentia fluit esse.</w:t>
      </w:r>
      <w:r>
        <w:rPr>
          <w:b w:val="0"/>
          <w:i w:val="0"/>
        </w:rPr>
        <w:t xml:space="preserve"> </w:t>
      </w:r>
      <w:hyperlink w:anchor="latin-record-0446">
        <w:r>
          <w:rPr>
            <w:color w:val="000000"/>
          </w:rPr>
          <w:t xml:space="preserve">essentia; esse; virtus; operatio</w:t>
        </w:r>
      </w:hyperlink>
      <w:r>
        <w:rPr>
          <w:b w:val="0"/>
          <w:i w:val="0"/>
        </w:rPr>
        <w:t>.</w:t>
      </w:r>
    </w:p>
    <w:p>
      <w:pPr>
        <w:widowControl/>
      </w:pPr>
      <w:r>
        <w:rPr>
          <w:b/>
          <w:i w:val="0"/>
        </w:rPr>
        <w:t>ab omnibus partibus partes omnes.</w:t>
      </w:r>
      <w:r>
        <w:rPr>
          <w:b w:val="0"/>
          <w:i w:val="0"/>
        </w:rPr>
        <w:t xml:space="preserve"> </w:t>
      </w:r>
      <w:hyperlink w:anchor="latin-record-0894">
        <w:r>
          <w:rPr>
            <w:color w:val="000000"/>
          </w:rPr>
          <w:t xml:space="preserve">pars et totum</w:t>
        </w:r>
      </w:hyperlink>
      <w:r>
        <w:rPr>
          <w:b w:val="0"/>
          <w:i w:val="0"/>
        </w:rPr>
        <w:t>.</w:t>
      </w:r>
    </w:p>
    <w:p>
      <w:pPr>
        <w:widowControl/>
      </w:pPr>
      <w:r>
        <w:rPr>
          <w:b/>
          <w:i w:val="0"/>
        </w:rPr>
        <w:t>aberrare.</w:t>
      </w:r>
      <w:r>
        <w:rPr>
          <w:b w:val="0"/>
          <w:i w:val="0"/>
        </w:rPr>
        <w:t xml:space="preserve"> </w:t>
      </w:r>
      <w:hyperlink w:anchor="latin-record-0673">
        <w:r>
          <w:rPr>
            <w:color w:val="000000"/>
          </w:rPr>
          <w:t xml:space="preserve">intermittere; aberrare</w:t>
        </w:r>
      </w:hyperlink>
      <w:r>
        <w:rPr>
          <w:b w:val="0"/>
          <w:i w:val="0"/>
        </w:rPr>
        <w:t>.</w:t>
      </w:r>
    </w:p>
    <w:p>
      <w:pPr>
        <w:widowControl/>
      </w:pPr>
      <w:r>
        <w:rPr>
          <w:b/>
          <w:i w:val="0"/>
        </w:rPr>
        <w:t>abesse.</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abest.</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abeunte.</w:t>
      </w:r>
      <w:r>
        <w:rPr>
          <w:b w:val="0"/>
          <w:i w:val="0"/>
        </w:rPr>
        <w:t xml:space="preserve"> </w:t>
      </w:r>
      <w:hyperlink w:anchor="latin-record-0003">
        <w:r>
          <w:rPr>
            <w:color w:val="000000"/>
          </w:rPr>
          <w:t xml:space="preserve">abire / discedere</w:t>
        </w:r>
      </w:hyperlink>
      <w:r>
        <w:rPr>
          <w:b w:val="0"/>
          <w:i w:val="0"/>
        </w:rPr>
        <w:t xml:space="preserve">; </w:t>
      </w:r>
      <w:hyperlink w:anchor="latin-record-0298">
        <w:r>
          <w:rPr>
            <w:color w:val="000000"/>
          </w:rPr>
          <w:t xml:space="preserve">connectere / labi / abire</w:t>
        </w:r>
      </w:hyperlink>
      <w:r>
        <w:rPr>
          <w:b w:val="0"/>
          <w:i w:val="0"/>
        </w:rPr>
        <w:t>.</w:t>
      </w:r>
    </w:p>
    <w:p>
      <w:pPr>
        <w:widowControl/>
      </w:pPr>
      <w:r>
        <w:rPr>
          <w:b/>
          <w:i w:val="0"/>
        </w:rPr>
        <w:t>abit.</w:t>
      </w:r>
      <w:r>
        <w:rPr>
          <w:b w:val="0"/>
          <w:i w:val="0"/>
        </w:rPr>
        <w:t xml:space="preserve"> </w:t>
      </w:r>
      <w:hyperlink w:anchor="latin-record-0003">
        <w:r>
          <w:rPr>
            <w:color w:val="000000"/>
          </w:rPr>
          <w:t xml:space="preserve">abire / discedere</w:t>
        </w:r>
      </w:hyperlink>
      <w:r>
        <w:rPr>
          <w:b w:val="0"/>
          <w:i w:val="0"/>
        </w:rPr>
        <w:t xml:space="preserve">; </w:t>
      </w:r>
      <w:hyperlink w:anchor="latin-record-0671">
        <w:r>
          <w:rPr>
            <w:color w:val="000000"/>
          </w:rPr>
          <w:t xml:space="preserve">interire / perire / abire</w:t>
        </w:r>
      </w:hyperlink>
      <w:r>
        <w:rPr>
          <w:b w:val="0"/>
          <w:i w:val="0"/>
        </w:rPr>
        <w:t>.</w:t>
      </w:r>
    </w:p>
    <w:p>
      <w:pPr>
        <w:widowControl/>
      </w:pPr>
      <w:r>
        <w:rPr>
          <w:b/>
          <w:i w:val="0"/>
        </w:rPr>
        <w:t>Abit.</w:t>
      </w:r>
      <w:r>
        <w:rPr>
          <w:b w:val="0"/>
          <w:i w:val="0"/>
        </w:rPr>
        <w:t xml:space="preserve"> </w:t>
      </w:r>
      <w:hyperlink w:anchor="latin-record-0003">
        <w:r>
          <w:rPr>
            <w:color w:val="000000"/>
          </w:rPr>
          <w:t xml:space="preserve">abire / discedere</w:t>
        </w:r>
      </w:hyperlink>
      <w:r>
        <w:rPr>
          <w:b w:val="0"/>
          <w:i w:val="0"/>
        </w:rPr>
        <w:t>.</w:t>
      </w:r>
    </w:p>
    <w:p>
      <w:pPr>
        <w:widowControl/>
      </w:pPr>
      <w:r>
        <w:rPr>
          <w:b/>
          <w:i w:val="0"/>
        </w:rPr>
        <w:t>Ablue.</w:t>
      </w:r>
      <w:r>
        <w:rPr>
          <w:b w:val="0"/>
          <w:i w:val="0"/>
        </w:rPr>
        <w:t xml:space="preserve"> </w:t>
      </w:r>
      <w:hyperlink w:anchor="latin-record-0004">
        <w:r>
          <w:rPr>
            <w:color w:val="000000"/>
          </w:rPr>
          <w:t xml:space="preserve">abluere; abstergere; caro</w:t>
        </w:r>
      </w:hyperlink>
      <w:r>
        <w:rPr>
          <w:b w:val="0"/>
          <w:i w:val="0"/>
        </w:rPr>
        <w:t>.</w:t>
      </w:r>
    </w:p>
    <w:p>
      <w:pPr>
        <w:widowControl/>
      </w:pPr>
      <w:r>
        <w:rPr>
          <w:b/>
          <w:i w:val="0"/>
        </w:rPr>
        <w:t>absens.</w:t>
      </w:r>
      <w:r>
        <w:rPr>
          <w:b w:val="0"/>
          <w:i w:val="0"/>
        </w:rPr>
        <w:t xml:space="preserve"> </w:t>
      </w:r>
      <w:hyperlink w:anchor="latin-record-0980">
        <w:r>
          <w:rPr>
            <w:color w:val="000000"/>
          </w:rPr>
          <w:t xml:space="preserve">praesentia / absentia</w:t>
        </w:r>
      </w:hyperlink>
      <w:r>
        <w:rPr>
          <w:b w:val="0"/>
          <w:i w:val="0"/>
        </w:rPr>
        <w:t>.</w:t>
      </w:r>
    </w:p>
    <w:p>
      <w:pPr>
        <w:widowControl/>
      </w:pPr>
      <w:r>
        <w:rPr>
          <w:b/>
          <w:i w:val="0"/>
        </w:rPr>
        <w:t>absente.</w:t>
      </w:r>
      <w:r>
        <w:rPr>
          <w:b w:val="0"/>
          <w:i w:val="0"/>
        </w:rPr>
        <w:t xml:space="preserve"> </w:t>
      </w:r>
      <w:hyperlink w:anchor="latin-record-0980">
        <w:r>
          <w:rPr>
            <w:color w:val="000000"/>
          </w:rPr>
          <w:t xml:space="preserve">praesentia / absentia</w:t>
        </w:r>
      </w:hyperlink>
      <w:r>
        <w:rPr>
          <w:b w:val="0"/>
          <w:i w:val="0"/>
        </w:rPr>
        <w:t>.</w:t>
      </w:r>
    </w:p>
    <w:p>
      <w:pPr>
        <w:widowControl/>
      </w:pPr>
      <w:r>
        <w:rPr>
          <w:b/>
          <w:i w:val="0"/>
        </w:rPr>
        <w:t>absentia.</w:t>
      </w:r>
      <w:r>
        <w:rPr>
          <w:b w:val="0"/>
          <w:i w:val="0"/>
        </w:rPr>
        <w:t xml:space="preserve"> </w:t>
      </w:r>
      <w:hyperlink w:anchor="latin-record-0978">
        <w:r>
          <w:rPr>
            <w:color w:val="000000"/>
          </w:rPr>
          <w:t xml:space="preserve">praesens / absens</w:t>
        </w:r>
      </w:hyperlink>
      <w:r>
        <w:rPr>
          <w:b w:val="0"/>
          <w:i w:val="0"/>
        </w:rPr>
        <w:t>.</w:t>
      </w:r>
    </w:p>
    <w:p>
      <w:pPr>
        <w:widowControl/>
      </w:pPr>
      <w:r>
        <w:rPr>
          <w:b/>
          <w:i w:val="0"/>
        </w:rPr>
        <w:t>absit.</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absoluta.</w:t>
      </w:r>
      <w:r>
        <w:rPr>
          <w:b w:val="0"/>
          <w:i w:val="0"/>
        </w:rPr>
        <w:t xml:space="preserve"> </w:t>
      </w:r>
      <w:hyperlink w:anchor="latin-record-0005">
        <w:r>
          <w:rPr>
            <w:color w:val="000000"/>
          </w:rPr>
          <w:t xml:space="preserve">absolute</w:t>
        </w:r>
      </w:hyperlink>
      <w:r>
        <w:rPr>
          <w:b w:val="0"/>
          <w:i w:val="0"/>
        </w:rPr>
        <w:t xml:space="preserve">; </w:t>
      </w:r>
      <w:hyperlink w:anchor="latin-record-0006">
        <w:r>
          <w:rPr>
            <w:color w:val="000000"/>
          </w:rPr>
          <w:t xml:space="preserve">absolutus</w:t>
        </w:r>
      </w:hyperlink>
      <w:r>
        <w:rPr>
          <w:b w:val="0"/>
          <w:i w:val="0"/>
        </w:rPr>
        <w:t>.</w:t>
      </w:r>
    </w:p>
    <w:p>
      <w:pPr>
        <w:widowControl/>
      </w:pPr>
      <w:r>
        <w:rPr>
          <w:b/>
          <w:i w:val="0"/>
        </w:rPr>
        <w:t>absolutam.</w:t>
      </w:r>
      <w:r>
        <w:rPr>
          <w:b w:val="0"/>
          <w:i w:val="0"/>
        </w:rPr>
        <w:t xml:space="preserve"> </w:t>
      </w:r>
      <w:hyperlink w:anchor="latin-record-0005">
        <w:r>
          <w:rPr>
            <w:color w:val="000000"/>
          </w:rPr>
          <w:t xml:space="preserve">absolute</w:t>
        </w:r>
      </w:hyperlink>
      <w:r>
        <w:rPr>
          <w:b w:val="0"/>
          <w:i w:val="0"/>
        </w:rPr>
        <w:t xml:space="preserve">; </w:t>
      </w:r>
      <w:hyperlink w:anchor="latin-record-0006">
        <w:r>
          <w:rPr>
            <w:color w:val="000000"/>
          </w:rPr>
          <w:t xml:space="preserve">absolutus</w:t>
        </w:r>
      </w:hyperlink>
      <w:r>
        <w:rPr>
          <w:b w:val="0"/>
          <w:i w:val="0"/>
        </w:rPr>
        <w:t>.</w:t>
      </w:r>
    </w:p>
    <w:p>
      <w:pPr>
        <w:widowControl/>
      </w:pPr>
      <w:r>
        <w:rPr>
          <w:b/>
          <w:i w:val="0"/>
        </w:rPr>
        <w:t>absolutaque.</w:t>
      </w:r>
      <w:r>
        <w:rPr>
          <w:b w:val="0"/>
          <w:i w:val="0"/>
        </w:rPr>
        <w:t xml:space="preserve"> </w:t>
      </w:r>
      <w:hyperlink w:anchor="latin-record-0006">
        <w:r>
          <w:rPr>
            <w:color w:val="000000"/>
          </w:rPr>
          <w:t xml:space="preserve">absolutus</w:t>
        </w:r>
      </w:hyperlink>
      <w:r>
        <w:rPr>
          <w:b w:val="0"/>
          <w:i w:val="0"/>
        </w:rPr>
        <w:t>.</w:t>
      </w:r>
    </w:p>
    <w:p>
      <w:pPr>
        <w:widowControl/>
      </w:pPr>
      <w:r>
        <w:rPr>
          <w:b/>
          <w:i w:val="0"/>
        </w:rPr>
        <w:t>absolutas.</w:t>
      </w:r>
      <w:r>
        <w:rPr>
          <w:b w:val="0"/>
          <w:i w:val="0"/>
        </w:rPr>
        <w:t xml:space="preserve"> </w:t>
      </w:r>
      <w:hyperlink w:anchor="latin-record-0005">
        <w:r>
          <w:rPr>
            <w:color w:val="000000"/>
          </w:rPr>
          <w:t xml:space="preserve">absolute</w:t>
        </w:r>
      </w:hyperlink>
      <w:r>
        <w:rPr>
          <w:b w:val="0"/>
          <w:i w:val="0"/>
        </w:rPr>
        <w:t>.</w:t>
      </w:r>
    </w:p>
    <w:p>
      <w:pPr>
        <w:widowControl/>
      </w:pPr>
      <w:r>
        <w:rPr>
          <w:b/>
          <w:i w:val="0"/>
        </w:rPr>
        <w:t>absolute.</w:t>
      </w:r>
      <w:r>
        <w:rPr>
          <w:b w:val="0"/>
          <w:i w:val="0"/>
        </w:rPr>
        <w:t xml:space="preserve"> </w:t>
      </w:r>
      <w:hyperlink w:anchor="latin-record-0005">
        <w:r>
          <w:rPr>
            <w:color w:val="000000"/>
          </w:rPr>
          <w:t xml:space="preserve">absolute</w:t>
        </w:r>
      </w:hyperlink>
      <w:r>
        <w:rPr>
          <w:b w:val="0"/>
          <w:i w:val="0"/>
        </w:rPr>
        <w:t>.</w:t>
      </w:r>
    </w:p>
    <w:p>
      <w:pPr>
        <w:widowControl/>
      </w:pPr>
      <w:r>
        <w:rPr>
          <w:b/>
          <w:i w:val="0"/>
        </w:rPr>
        <w:t>absolutis.</w:t>
      </w:r>
      <w:r>
        <w:rPr>
          <w:b w:val="0"/>
          <w:i w:val="0"/>
        </w:rPr>
        <w:t xml:space="preserve"> </w:t>
      </w:r>
      <w:hyperlink w:anchor="latin-record-0005">
        <w:r>
          <w:rPr>
            <w:color w:val="000000"/>
          </w:rPr>
          <w:t xml:space="preserve">absolute</w:t>
        </w:r>
      </w:hyperlink>
      <w:r>
        <w:rPr>
          <w:b w:val="0"/>
          <w:i w:val="0"/>
        </w:rPr>
        <w:t>.</w:t>
      </w:r>
    </w:p>
    <w:p>
      <w:pPr>
        <w:widowControl/>
      </w:pPr>
      <w:r>
        <w:rPr>
          <w:b/>
          <w:i w:val="0"/>
        </w:rPr>
        <w:t>absolutum.</w:t>
      </w:r>
      <w:r>
        <w:rPr>
          <w:b w:val="0"/>
          <w:i w:val="0"/>
        </w:rPr>
        <w:t xml:space="preserve"> </w:t>
      </w:r>
      <w:hyperlink w:anchor="latin-record-0005">
        <w:r>
          <w:rPr>
            <w:color w:val="000000"/>
          </w:rPr>
          <w:t xml:space="preserve">absolute</w:t>
        </w:r>
      </w:hyperlink>
      <w:r>
        <w:rPr>
          <w:b w:val="0"/>
          <w:i w:val="0"/>
        </w:rPr>
        <w:t>.</w:t>
      </w:r>
    </w:p>
    <w:p>
      <w:pPr>
        <w:widowControl/>
      </w:pPr>
      <w:r>
        <w:rPr>
          <w:b/>
          <w:i w:val="0"/>
        </w:rPr>
        <w:t>absolutus.</w:t>
      </w:r>
      <w:r>
        <w:rPr>
          <w:b w:val="0"/>
          <w:i w:val="0"/>
        </w:rPr>
        <w:t xml:space="preserve"> </w:t>
      </w:r>
      <w:hyperlink w:anchor="latin-record-0005">
        <w:r>
          <w:rPr>
            <w:color w:val="000000"/>
          </w:rPr>
          <w:t xml:space="preserve">absolute</w:t>
        </w:r>
      </w:hyperlink>
      <w:r>
        <w:rPr>
          <w:b w:val="0"/>
          <w:i w:val="0"/>
        </w:rPr>
        <w:t xml:space="preserve">; </w:t>
      </w:r>
      <w:hyperlink w:anchor="latin-record-0006">
        <w:r>
          <w:rPr>
            <w:color w:val="000000"/>
          </w:rPr>
          <w:t xml:space="preserve">absolutus</w:t>
        </w:r>
      </w:hyperlink>
      <w:r>
        <w:rPr>
          <w:b w:val="0"/>
          <w:i w:val="0"/>
        </w:rPr>
        <w:t>.</w:t>
      </w:r>
    </w:p>
    <w:p>
      <w:pPr>
        <w:widowControl/>
      </w:pPr>
      <w:r>
        <w:rPr>
          <w:b/>
          <w:i w:val="0"/>
        </w:rPr>
        <w:t>absque medio.</w:t>
      </w:r>
      <w:r>
        <w:rPr>
          <w:b w:val="0"/>
          <w:i w:val="0"/>
        </w:rPr>
        <w:t xml:space="preserve"> </w:t>
      </w:r>
      <w:hyperlink w:anchor="latin-record-0678">
        <w:r>
          <w:rPr>
            <w:color w:val="000000"/>
          </w:rPr>
          <w:t xml:space="preserve">intimus; absque medio</w:t>
        </w:r>
      </w:hyperlink>
      <w:r>
        <w:rPr>
          <w:b w:val="0"/>
          <w:i w:val="0"/>
        </w:rPr>
        <w:t xml:space="preserve">; </w:t>
      </w:r>
      <w:hyperlink w:anchor="latin-record-1189">
        <w:r>
          <w:rPr>
            <w:color w:val="000000"/>
          </w:rPr>
          <w:t xml:space="preserve">sine medio</w:t>
        </w:r>
      </w:hyperlink>
      <w:r>
        <w:rPr>
          <w:b w:val="0"/>
          <w:i w:val="0"/>
        </w:rPr>
        <w:t>.</w:t>
      </w:r>
    </w:p>
    <w:p>
      <w:pPr>
        <w:widowControl/>
      </w:pPr>
      <w:r>
        <w:rPr>
          <w:b/>
          <w:i w:val="0"/>
        </w:rPr>
        <w:t>absque mora.</w:t>
      </w:r>
      <w:r>
        <w:rPr>
          <w:b w:val="0"/>
          <w:i w:val="0"/>
        </w:rPr>
        <w:t xml:space="preserve"> </w:t>
      </w:r>
      <w:hyperlink w:anchor="latin-record-1235">
        <w:r>
          <w:rPr>
            <w:color w:val="000000"/>
          </w:rPr>
          <w:t xml:space="preserve">statim / e vestigio / absque mora</w:t>
        </w:r>
      </w:hyperlink>
      <w:r>
        <w:rPr>
          <w:b w:val="0"/>
          <w:i w:val="0"/>
        </w:rPr>
        <w:t>.</w:t>
      </w:r>
    </w:p>
    <w:p>
      <w:pPr>
        <w:widowControl/>
      </w:pPr>
      <w:r>
        <w:rPr>
          <w:b/>
          <w:i w:val="0"/>
        </w:rPr>
        <w:t>absque rerum ipsarum materia.</w:t>
      </w:r>
      <w:r>
        <w:rPr>
          <w:b w:val="0"/>
          <w:i w:val="0"/>
        </w:rPr>
        <w:t xml:space="preserve"> </w:t>
      </w:r>
      <w:hyperlink w:anchor="latin-record-0007">
        <w:r>
          <w:rPr>
            <w:color w:val="000000"/>
          </w:rPr>
          <w:t xml:space="preserve">absque materia / paries</w:t>
        </w:r>
      </w:hyperlink>
      <w:r>
        <w:rPr>
          <w:b w:val="0"/>
          <w:i w:val="0"/>
        </w:rPr>
        <w:t>.</w:t>
      </w:r>
    </w:p>
    <w:p>
      <w:pPr>
        <w:widowControl/>
      </w:pPr>
      <w:r>
        <w:rPr>
          <w:b/>
          <w:i w:val="0"/>
        </w:rPr>
        <w:t>absterge.</w:t>
      </w:r>
      <w:r>
        <w:rPr>
          <w:b w:val="0"/>
          <w:i w:val="0"/>
        </w:rPr>
        <w:t xml:space="preserve"> </w:t>
      </w:r>
      <w:hyperlink w:anchor="latin-record-0004">
        <w:r>
          <w:rPr>
            <w:color w:val="000000"/>
          </w:rPr>
          <w:t xml:space="preserve">abluere; abstergere; caro</w:t>
        </w:r>
      </w:hyperlink>
      <w:r>
        <w:rPr>
          <w:b w:val="0"/>
          <w:i w:val="0"/>
        </w:rPr>
        <w:t>.</w:t>
      </w:r>
    </w:p>
    <w:p>
      <w:pPr>
        <w:widowControl/>
      </w:pPr>
      <w:r>
        <w:rPr>
          <w:b/>
          <w:i w:val="0"/>
        </w:rPr>
        <w:t>abstractione.</w:t>
      </w:r>
      <w:r>
        <w:rPr>
          <w:b w:val="0"/>
          <w:i w:val="0"/>
        </w:rPr>
        <w:t xml:space="preserve"> </w:t>
      </w:r>
      <w:hyperlink w:anchor="latin-record-0008">
        <w:r>
          <w:rPr>
            <w:color w:val="000000"/>
          </w:rPr>
          <w:t xml:space="preserve">abstractio / abstrahere</w:t>
        </w:r>
      </w:hyperlink>
      <w:r>
        <w:rPr>
          <w:b w:val="0"/>
          <w:i w:val="0"/>
        </w:rPr>
        <w:t>.</w:t>
      </w:r>
    </w:p>
    <w:p>
      <w:pPr>
        <w:widowControl/>
      </w:pPr>
      <w:r>
        <w:rPr>
          <w:b/>
          <w:i w:val="0"/>
        </w:rPr>
        <w:t>abstrahit.</w:t>
      </w:r>
      <w:r>
        <w:rPr>
          <w:b w:val="0"/>
          <w:i w:val="0"/>
        </w:rPr>
        <w:t xml:space="preserve"> </w:t>
      </w:r>
      <w:hyperlink w:anchor="latin-record-0008">
        <w:r>
          <w:rPr>
            <w:color w:val="000000"/>
          </w:rPr>
          <w:t xml:space="preserve">abstractio / abstrahere</w:t>
        </w:r>
      </w:hyperlink>
      <w:r>
        <w:rPr>
          <w:b w:val="0"/>
          <w:i w:val="0"/>
        </w:rPr>
        <w:t>.</w:t>
      </w:r>
    </w:p>
    <w:p>
      <w:pPr>
        <w:widowControl/>
      </w:pPr>
      <w:r>
        <w:rPr>
          <w:b/>
          <w:i w:val="0"/>
        </w:rPr>
        <w:t>absurdissimum.</w:t>
      </w:r>
      <w:r>
        <w:rPr>
          <w:b w:val="0"/>
          <w:i w:val="0"/>
        </w:rPr>
        <w:t xml:space="preserve"> </w:t>
      </w:r>
      <w:hyperlink w:anchor="latin-record-0009">
        <w:r>
          <w:rPr>
            <w:color w:val="000000"/>
          </w:rPr>
          <w:t xml:space="preserve">absurdus / repugnare</w:t>
        </w:r>
      </w:hyperlink>
      <w:r>
        <w:rPr>
          <w:b w:val="0"/>
          <w:i w:val="0"/>
        </w:rPr>
        <w:t>.</w:t>
      </w:r>
    </w:p>
    <w:p>
      <w:pPr>
        <w:widowControl/>
      </w:pPr>
      <w:r>
        <w:rPr>
          <w:b/>
          <w:i w:val="0"/>
        </w:rPr>
        <w:t>absurdius.</w:t>
      </w:r>
      <w:r>
        <w:rPr>
          <w:b w:val="0"/>
          <w:i w:val="0"/>
        </w:rPr>
        <w:t xml:space="preserve"> </w:t>
      </w:r>
      <w:hyperlink w:anchor="latin-record-0009">
        <w:r>
          <w:rPr>
            <w:color w:val="000000"/>
          </w:rPr>
          <w:t xml:space="preserve">absurdus / repugnare</w:t>
        </w:r>
      </w:hyperlink>
      <w:r>
        <w:rPr>
          <w:b w:val="0"/>
          <w:i w:val="0"/>
        </w:rPr>
        <w:t>.</w:t>
      </w:r>
    </w:p>
    <w:p>
      <w:pPr>
        <w:widowControl/>
      </w:pPr>
      <w:r>
        <w:rPr>
          <w:b/>
          <w:i w:val="0"/>
        </w:rPr>
        <w:t>absurdum.</w:t>
      </w:r>
      <w:r>
        <w:rPr>
          <w:b w:val="0"/>
          <w:i w:val="0"/>
        </w:rPr>
        <w:t xml:space="preserve"> </w:t>
      </w:r>
      <w:hyperlink w:anchor="latin-record-0009">
        <w:r>
          <w:rPr>
            <w:color w:val="000000"/>
          </w:rPr>
          <w:t xml:space="preserve">absurdus / repugnare</w:t>
        </w:r>
      </w:hyperlink>
      <w:r>
        <w:rPr>
          <w:b w:val="0"/>
          <w:i w:val="0"/>
        </w:rPr>
        <w:t>.</w:t>
      </w:r>
    </w:p>
    <w:p>
      <w:pPr>
        <w:widowControl/>
      </w:pPr>
      <w:r>
        <w:rPr>
          <w:b/>
          <w:i w:val="0"/>
        </w:rPr>
        <w:t>accedente.</w:t>
      </w:r>
      <w:r>
        <w:rPr>
          <w:b w:val="0"/>
          <w:i w:val="0"/>
        </w:rPr>
        <w:t xml:space="preserve"> </w:t>
      </w:r>
      <w:hyperlink w:anchor="latin-record-0010">
        <w:r>
          <w:rPr>
            <w:color w:val="000000"/>
          </w:rPr>
          <w:t xml:space="preserve">accedere; discedere</w:t>
        </w:r>
      </w:hyperlink>
      <w:r>
        <w:rPr>
          <w:b w:val="0"/>
          <w:i w:val="0"/>
        </w:rPr>
        <w:t>.</w:t>
      </w:r>
    </w:p>
    <w:p>
      <w:pPr>
        <w:widowControl/>
      </w:pPr>
      <w:r>
        <w:rPr>
          <w:b/>
          <w:i w:val="0"/>
        </w:rPr>
        <w:t>accendant.</w:t>
      </w:r>
      <w:r>
        <w:rPr>
          <w:b w:val="0"/>
          <w:i w:val="0"/>
        </w:rPr>
        <w:t xml:space="preserve"> </w:t>
      </w:r>
      <w:hyperlink w:anchor="latin-record-1113">
        <w:r>
          <w:rPr>
            <w:color w:val="000000"/>
          </w:rPr>
          <w:t xml:space="preserve">resilire; accendere; consumere</w:t>
        </w:r>
      </w:hyperlink>
      <w:r>
        <w:rPr>
          <w:b w:val="0"/>
          <w:i w:val="0"/>
        </w:rPr>
        <w:t>.</w:t>
      </w:r>
    </w:p>
    <w:p>
      <w:pPr>
        <w:widowControl/>
      </w:pPr>
      <w:r>
        <w:rPr>
          <w:b/>
          <w:i w:val="0"/>
        </w:rPr>
        <w:t>accendendum.</w:t>
      </w:r>
      <w:r>
        <w:rPr>
          <w:b w:val="0"/>
          <w:i w:val="0"/>
        </w:rPr>
        <w:t xml:space="preserve"> </w:t>
      </w:r>
      <w:hyperlink w:anchor="latin-record-1217">
        <w:r>
          <w:rPr>
            <w:color w:val="000000"/>
          </w:rPr>
          <w:t xml:space="preserve">speculum / lana / accendere</w:t>
        </w:r>
      </w:hyperlink>
      <w:r>
        <w:rPr>
          <w:b w:val="0"/>
          <w:i w:val="0"/>
        </w:rPr>
        <w:t>.</w:t>
      </w:r>
    </w:p>
    <w:p>
      <w:pPr>
        <w:widowControl/>
      </w:pPr>
      <w:r>
        <w:rPr>
          <w:b/>
          <w:i w:val="0"/>
        </w:rPr>
        <w:t>accendere.</w:t>
      </w:r>
      <w:r>
        <w:rPr>
          <w:b w:val="0"/>
          <w:i w:val="0"/>
        </w:rPr>
        <w:t xml:space="preserve"> </w:t>
      </w:r>
      <w:hyperlink w:anchor="latin-record-0011">
        <w:r>
          <w:rPr>
            <w:color w:val="000000"/>
          </w:rPr>
          <w:t xml:space="preserve">accendere / effulgere</w:t>
        </w:r>
      </w:hyperlink>
      <w:r>
        <w:rPr>
          <w:b w:val="0"/>
          <w:i w:val="0"/>
        </w:rPr>
        <w:t>.</w:t>
      </w:r>
    </w:p>
    <w:p>
      <w:pPr>
        <w:widowControl/>
      </w:pPr>
      <w:r>
        <w:rPr>
          <w:b/>
          <w:i w:val="0"/>
        </w:rPr>
        <w:t>accenditur.</w:t>
      </w:r>
      <w:r>
        <w:rPr>
          <w:b w:val="0"/>
          <w:i w:val="0"/>
        </w:rPr>
        <w:t xml:space="preserve"> </w:t>
      </w:r>
      <w:hyperlink w:anchor="latin-record-1217">
        <w:r>
          <w:rPr>
            <w:color w:val="000000"/>
          </w:rPr>
          <w:t xml:space="preserve">speculum / lana / accendere</w:t>
        </w:r>
      </w:hyperlink>
      <w:r>
        <w:rPr>
          <w:b w:val="0"/>
          <w:i w:val="0"/>
        </w:rPr>
        <w:t>.</w:t>
      </w:r>
    </w:p>
    <w:p>
      <w:pPr>
        <w:widowControl/>
      </w:pPr>
      <w:r>
        <w:rPr>
          <w:b/>
          <w:i w:val="0"/>
        </w:rPr>
        <w:t>accensus.</w:t>
      </w:r>
      <w:r>
        <w:rPr>
          <w:b w:val="0"/>
          <w:i w:val="0"/>
        </w:rPr>
        <w:t xml:space="preserve"> </w:t>
      </w:r>
      <w:hyperlink w:anchor="latin-record-0011">
        <w:r>
          <w:rPr>
            <w:color w:val="000000"/>
          </w:rPr>
          <w:t xml:space="preserve">accendere / effulgere</w:t>
        </w:r>
      </w:hyperlink>
      <w:r>
        <w:rPr>
          <w:b w:val="0"/>
          <w:i w:val="0"/>
        </w:rPr>
        <w:t>.</w:t>
      </w:r>
    </w:p>
    <w:p>
      <w:pPr>
        <w:widowControl/>
      </w:pPr>
      <w:r>
        <w:rPr>
          <w:b/>
          <w:i w:val="0"/>
        </w:rPr>
        <w:t>acceperat.</w:t>
      </w:r>
      <w:r>
        <w:rPr>
          <w:b w:val="0"/>
          <w:i w:val="0"/>
        </w:rPr>
        <w:t xml:space="preserve"> </w:t>
      </w:r>
      <w:hyperlink w:anchor="latin-record-1078">
        <w:r>
          <w:rPr>
            <w:color w:val="000000"/>
          </w:rPr>
          <w:t xml:space="preserve">recipere; accipere</w:t>
        </w:r>
      </w:hyperlink>
      <w:r>
        <w:rPr>
          <w:b w:val="0"/>
          <w:i w:val="0"/>
        </w:rPr>
        <w:t>.</w:t>
      </w:r>
    </w:p>
    <w:p>
      <w:pPr>
        <w:widowControl/>
      </w:pPr>
      <w:r>
        <w:rPr>
          <w:b/>
          <w:i w:val="0"/>
        </w:rPr>
        <w:t>accepistis.</w:t>
      </w:r>
      <w:r>
        <w:rPr>
          <w:b w:val="0"/>
          <w:i w:val="0"/>
        </w:rPr>
        <w:t xml:space="preserve"> </w:t>
      </w:r>
      <w:hyperlink w:anchor="latin-record-1078">
        <w:r>
          <w:rPr>
            <w:color w:val="000000"/>
          </w:rPr>
          <w:t xml:space="preserve">recipere; accipere</w:t>
        </w:r>
      </w:hyperlink>
      <w:r>
        <w:rPr>
          <w:b w:val="0"/>
          <w:i w:val="0"/>
        </w:rPr>
        <w:t>.</w:t>
      </w:r>
    </w:p>
    <w:p>
      <w:pPr>
        <w:widowControl/>
      </w:pPr>
      <w:r>
        <w:rPr>
          <w:b/>
          <w:i w:val="0"/>
        </w:rPr>
        <w:t>accepit.</w:t>
      </w:r>
      <w:r>
        <w:rPr>
          <w:b w:val="0"/>
          <w:i w:val="0"/>
        </w:rPr>
        <w:t xml:space="preserve"> </w:t>
      </w:r>
      <w:hyperlink w:anchor="latin-record-1078">
        <w:r>
          <w:rPr>
            <w:color w:val="000000"/>
          </w:rPr>
          <w:t xml:space="preserve">recipere; accipere</w:t>
        </w:r>
      </w:hyperlink>
      <w:r>
        <w:rPr>
          <w:b w:val="0"/>
          <w:i w:val="0"/>
        </w:rPr>
        <w:t>.</w:t>
      </w:r>
    </w:p>
    <w:p>
      <w:pPr>
        <w:widowControl/>
      </w:pPr>
      <w:r>
        <w:rPr>
          <w:b/>
          <w:i w:val="0"/>
        </w:rPr>
        <w:t>accepta.</w:t>
      </w:r>
      <w:r>
        <w:rPr>
          <w:b w:val="0"/>
          <w:i w:val="0"/>
        </w:rPr>
        <w:t xml:space="preserve"> </w:t>
      </w:r>
      <w:hyperlink w:anchor="latin-record-0015">
        <w:r>
          <w:rPr>
            <w:color w:val="000000"/>
          </w:rPr>
          <w:t xml:space="preserve">accipere</w:t>
        </w:r>
      </w:hyperlink>
      <w:r>
        <w:rPr>
          <w:b w:val="0"/>
          <w:i w:val="0"/>
        </w:rPr>
        <w:t xml:space="preserve">; </w:t>
      </w:r>
      <w:hyperlink w:anchor="latin-record-0017">
        <w:r>
          <w:rPr>
            <w:color w:val="000000"/>
          </w:rPr>
          <w:t xml:space="preserve">accipere / suscipere</w:t>
        </w:r>
      </w:hyperlink>
      <w:r>
        <w:rPr>
          <w:b w:val="0"/>
          <w:i w:val="0"/>
        </w:rPr>
        <w:t>.</w:t>
      </w:r>
    </w:p>
    <w:p>
      <w:pPr>
        <w:widowControl/>
      </w:pPr>
      <w:r>
        <w:rPr>
          <w:b/>
          <w:i w:val="0"/>
        </w:rPr>
        <w:t>acceptas.</w:t>
      </w:r>
      <w:r>
        <w:rPr>
          <w:b w:val="0"/>
          <w:i w:val="0"/>
        </w:rPr>
        <w:t xml:space="preserve"> </w:t>
      </w:r>
      <w:hyperlink w:anchor="latin-record-0017">
        <w:r>
          <w:rPr>
            <w:color w:val="000000"/>
          </w:rPr>
          <w:t xml:space="preserve">accipere / suscipere</w:t>
        </w:r>
      </w:hyperlink>
      <w:r>
        <w:rPr>
          <w:b w:val="0"/>
          <w:i w:val="0"/>
        </w:rPr>
        <w:t>.</w:t>
      </w:r>
    </w:p>
    <w:p>
      <w:pPr>
        <w:widowControl/>
      </w:pPr>
      <w:r>
        <w:rPr>
          <w:b/>
          <w:i w:val="0"/>
        </w:rPr>
        <w:t>acceptis.</w:t>
      </w:r>
      <w:r>
        <w:rPr>
          <w:b w:val="0"/>
          <w:i w:val="0"/>
        </w:rPr>
        <w:t xml:space="preserve"> </w:t>
      </w:r>
      <w:hyperlink w:anchor="latin-record-0017">
        <w:r>
          <w:rPr>
            <w:color w:val="000000"/>
          </w:rPr>
          <w:t xml:space="preserve">accipere / suscipere</w:t>
        </w:r>
      </w:hyperlink>
      <w:r>
        <w:rPr>
          <w:b w:val="0"/>
          <w:i w:val="0"/>
        </w:rPr>
        <w:t>.</w:t>
      </w:r>
    </w:p>
    <w:p>
      <w:pPr>
        <w:widowControl/>
      </w:pPr>
      <w:r>
        <w:rPr>
          <w:b/>
          <w:i w:val="0"/>
        </w:rPr>
        <w:t>accessum.</w:t>
      </w:r>
      <w:r>
        <w:rPr>
          <w:b w:val="0"/>
          <w:i w:val="0"/>
        </w:rPr>
        <w:t xml:space="preserve"> </w:t>
      </w:r>
      <w:hyperlink w:anchor="latin-record-0010">
        <w:r>
          <w:rPr>
            <w:color w:val="000000"/>
          </w:rPr>
          <w:t xml:space="preserve">accedere; discedere</w:t>
        </w:r>
      </w:hyperlink>
      <w:r>
        <w:rPr>
          <w:b w:val="0"/>
          <w:i w:val="0"/>
        </w:rPr>
        <w:t>.</w:t>
      </w:r>
    </w:p>
    <w:p>
      <w:pPr>
        <w:widowControl/>
      </w:pPr>
      <w:r>
        <w:rPr>
          <w:b/>
          <w:i w:val="0"/>
        </w:rPr>
        <w:t>accidat.</w:t>
      </w:r>
      <w:r>
        <w:rPr>
          <w:b w:val="0"/>
          <w:i w:val="0"/>
        </w:rPr>
        <w:t xml:space="preserve"> </w:t>
      </w:r>
      <w:hyperlink w:anchor="latin-record-0014">
        <w:r>
          <w:rPr>
            <w:color w:val="000000"/>
          </w:rPr>
          <w:t xml:space="preserve">accidere</w:t>
        </w:r>
      </w:hyperlink>
      <w:r>
        <w:rPr>
          <w:b w:val="0"/>
          <w:i w:val="0"/>
        </w:rPr>
        <w:t>.</w:t>
      </w:r>
    </w:p>
    <w:p>
      <w:pPr>
        <w:widowControl/>
      </w:pPr>
      <w:r>
        <w:rPr>
          <w:b/>
          <w:i w:val="0"/>
        </w:rPr>
        <w:t>accidens.</w:t>
      </w:r>
      <w:r>
        <w:rPr>
          <w:b w:val="0"/>
          <w:i w:val="0"/>
        </w:rPr>
        <w:t xml:space="preserve"> </w:t>
      </w:r>
      <w:hyperlink w:anchor="latin-record-0012">
        <w:r>
          <w:rPr>
            <w:color w:val="000000"/>
          </w:rPr>
          <w:t xml:space="preserve">accidens</w:t>
        </w:r>
      </w:hyperlink>
      <w:r>
        <w:rPr>
          <w:b w:val="0"/>
          <w:i w:val="0"/>
        </w:rPr>
        <w:t xml:space="preserve">; </w:t>
      </w:r>
      <w:hyperlink w:anchor="latin-record-0013">
        <w:r>
          <w:rPr>
            <w:color w:val="000000"/>
          </w:rPr>
          <w:t xml:space="preserve">accidens adveniens</w:t>
        </w:r>
      </w:hyperlink>
      <w:r>
        <w:rPr>
          <w:b w:val="0"/>
          <w:i w:val="0"/>
        </w:rPr>
        <w:t xml:space="preserve">; </w:t>
      </w:r>
      <w:hyperlink w:anchor="latin-record-0507">
        <w:r>
          <w:rPr>
            <w:color w:val="000000"/>
          </w:rPr>
          <w:t xml:space="preserve">forma substantialis; accidentalis</w:t>
        </w:r>
      </w:hyperlink>
      <w:r>
        <w:rPr>
          <w:b w:val="0"/>
          <w:i w:val="0"/>
        </w:rPr>
        <w:t>.</w:t>
      </w:r>
    </w:p>
    <w:p>
      <w:pPr>
        <w:widowControl/>
      </w:pPr>
      <w:r>
        <w:rPr>
          <w:b/>
          <w:i w:val="0"/>
        </w:rPr>
        <w:t>accidens quoddam compositum.</w:t>
      </w:r>
      <w:r>
        <w:rPr>
          <w:b w:val="0"/>
          <w:i w:val="0"/>
        </w:rPr>
        <w:t xml:space="preserve"> </w:t>
      </w:r>
      <w:hyperlink w:anchor="latin-record-0012">
        <w:r>
          <w:rPr>
            <w:color w:val="000000"/>
          </w:rPr>
          <w:t xml:space="preserve">accidens</w:t>
        </w:r>
      </w:hyperlink>
      <w:r>
        <w:rPr>
          <w:b w:val="0"/>
          <w:i w:val="0"/>
        </w:rPr>
        <w:t>.</w:t>
      </w:r>
    </w:p>
    <w:p>
      <w:pPr>
        <w:widowControl/>
      </w:pPr>
      <w:r>
        <w:rPr>
          <w:b/>
          <w:i w:val="0"/>
        </w:rPr>
        <w:t>accidentalem.</w:t>
      </w:r>
      <w:r>
        <w:rPr>
          <w:b w:val="0"/>
          <w:i w:val="0"/>
        </w:rPr>
        <w:t xml:space="preserve"> </w:t>
      </w:r>
      <w:hyperlink w:anchor="latin-record-0505">
        <w:r>
          <w:rPr>
            <w:color w:val="000000"/>
          </w:rPr>
          <w:t xml:space="preserve">forma accidentalis / substantialis</w:t>
        </w:r>
      </w:hyperlink>
      <w:r>
        <w:rPr>
          <w:b w:val="0"/>
          <w:i w:val="0"/>
        </w:rPr>
        <w:t>.</w:t>
      </w:r>
    </w:p>
    <w:p>
      <w:pPr>
        <w:widowControl/>
      </w:pPr>
      <w:r>
        <w:rPr>
          <w:b/>
          <w:i w:val="0"/>
        </w:rPr>
        <w:t>accidentalibus.</w:t>
      </w:r>
      <w:r>
        <w:rPr>
          <w:b w:val="0"/>
          <w:i w:val="0"/>
        </w:rPr>
        <w:t xml:space="preserve"> </w:t>
      </w:r>
      <w:hyperlink w:anchor="latin-record-0505">
        <w:r>
          <w:rPr>
            <w:color w:val="000000"/>
          </w:rPr>
          <w:t xml:space="preserve">forma accidentalis / substantialis</w:t>
        </w:r>
      </w:hyperlink>
      <w:r>
        <w:rPr>
          <w:b w:val="0"/>
          <w:i w:val="0"/>
        </w:rPr>
        <w:t>.</w:t>
      </w:r>
    </w:p>
    <w:p>
      <w:pPr>
        <w:widowControl/>
      </w:pPr>
      <w:r>
        <w:rPr>
          <w:b/>
          <w:i w:val="0"/>
        </w:rPr>
        <w:t>accidentibus.</w:t>
      </w:r>
      <w:r>
        <w:rPr>
          <w:b w:val="0"/>
          <w:i w:val="0"/>
        </w:rPr>
        <w:t xml:space="preserve"> </w:t>
      </w:r>
      <w:hyperlink w:anchor="latin-record-0012">
        <w:r>
          <w:rPr>
            <w:color w:val="000000"/>
          </w:rPr>
          <w:t xml:space="preserve">accidens</w:t>
        </w:r>
      </w:hyperlink>
      <w:r>
        <w:rPr>
          <w:b w:val="0"/>
          <w:i w:val="0"/>
        </w:rPr>
        <w:t>.</w:t>
      </w:r>
    </w:p>
    <w:p>
      <w:pPr>
        <w:widowControl/>
      </w:pPr>
      <w:r>
        <w:rPr>
          <w:b/>
          <w:i w:val="0"/>
        </w:rPr>
        <w:t>accidentis.</w:t>
      </w:r>
      <w:r>
        <w:rPr>
          <w:b w:val="0"/>
          <w:i w:val="0"/>
        </w:rPr>
        <w:t xml:space="preserve"> </w:t>
      </w:r>
      <w:hyperlink w:anchor="latin-record-0012">
        <w:r>
          <w:rPr>
            <w:color w:val="000000"/>
          </w:rPr>
          <w:t xml:space="preserve">accidens</w:t>
        </w:r>
      </w:hyperlink>
      <w:r>
        <w:rPr>
          <w:b w:val="0"/>
          <w:i w:val="0"/>
        </w:rPr>
        <w:t>.</w:t>
      </w:r>
    </w:p>
    <w:p>
      <w:pPr>
        <w:widowControl/>
      </w:pPr>
      <w:r>
        <w:rPr>
          <w:b/>
          <w:i w:val="0"/>
        </w:rPr>
        <w:t>accidere.</w:t>
      </w:r>
      <w:r>
        <w:rPr>
          <w:b w:val="0"/>
          <w:i w:val="0"/>
        </w:rPr>
        <w:t xml:space="preserve"> </w:t>
      </w:r>
      <w:hyperlink w:anchor="latin-record-0014">
        <w:r>
          <w:rPr>
            <w:color w:val="000000"/>
          </w:rPr>
          <w:t xml:space="preserve">accidere</w:t>
        </w:r>
      </w:hyperlink>
      <w:r>
        <w:rPr>
          <w:b w:val="0"/>
          <w:i w:val="0"/>
        </w:rPr>
        <w:t>.</w:t>
      </w:r>
    </w:p>
    <w:p>
      <w:pPr>
        <w:widowControl/>
      </w:pPr>
      <w:r>
        <w:rPr>
          <w:b/>
          <w:i w:val="0"/>
        </w:rPr>
        <w:t>accidit.</w:t>
      </w:r>
      <w:r>
        <w:rPr>
          <w:b w:val="0"/>
          <w:i w:val="0"/>
        </w:rPr>
        <w:t xml:space="preserve"> </w:t>
      </w:r>
      <w:hyperlink w:anchor="latin-record-0014">
        <w:r>
          <w:rPr>
            <w:color w:val="000000"/>
          </w:rPr>
          <w:t xml:space="preserve">accidere</w:t>
        </w:r>
      </w:hyperlink>
      <w:r>
        <w:rPr>
          <w:b w:val="0"/>
          <w:i w:val="0"/>
        </w:rPr>
        <w:t>.</w:t>
      </w:r>
    </w:p>
    <w:p>
      <w:pPr>
        <w:widowControl/>
      </w:pPr>
      <w:r>
        <w:rPr>
          <w:b/>
          <w:i w:val="0"/>
        </w:rPr>
        <w:t>accipere.</w:t>
      </w:r>
      <w:r>
        <w:rPr>
          <w:b w:val="0"/>
          <w:i w:val="0"/>
        </w:rPr>
        <w:t xml:space="preserve"> </w:t>
      </w:r>
      <w:hyperlink w:anchor="latin-record-0015">
        <w:r>
          <w:rPr>
            <w:color w:val="000000"/>
          </w:rPr>
          <w:t xml:space="preserve">accipere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accipiat.</w:t>
      </w:r>
      <w:r>
        <w:rPr>
          <w:b w:val="0"/>
          <w:i w:val="0"/>
        </w:rPr>
        <w:t xml:space="preserve"> </w:t>
      </w:r>
      <w:hyperlink w:anchor="latin-record-0016">
        <w:r>
          <w:rPr>
            <w:color w:val="000000"/>
          </w:rPr>
          <w:t xml:space="preserve">accipere / concipere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accipiendo.</w:t>
      </w:r>
      <w:r>
        <w:rPr>
          <w:b w:val="0"/>
          <w:i w:val="0"/>
        </w:rPr>
        <w:t xml:space="preserve"> </w:t>
      </w:r>
      <w:hyperlink w:anchor="latin-record-0017">
        <w:r>
          <w:rPr>
            <w:color w:val="000000"/>
          </w:rPr>
          <w:t xml:space="preserve">accipere / suscipere</w:t>
        </w:r>
      </w:hyperlink>
      <w:r>
        <w:rPr>
          <w:b w:val="0"/>
          <w:i w:val="0"/>
        </w:rPr>
        <w:t>.</w:t>
      </w:r>
    </w:p>
    <w:p>
      <w:pPr>
        <w:widowControl/>
      </w:pPr>
      <w:r>
        <w:rPr>
          <w:b/>
          <w:i w:val="0"/>
        </w:rPr>
        <w:t>accipiet.</w:t>
      </w:r>
      <w:r>
        <w:rPr>
          <w:b w:val="0"/>
          <w:i w:val="0"/>
        </w:rPr>
        <w:t xml:space="preserve"> </w:t>
      </w:r>
      <w:hyperlink w:anchor="latin-record-0016">
        <w:r>
          <w:rPr>
            <w:color w:val="000000"/>
          </w:rPr>
          <w:t xml:space="preserve">accipere / concipere</w:t>
        </w:r>
      </w:hyperlink>
      <w:r>
        <w:rPr>
          <w:b w:val="0"/>
          <w:i w:val="0"/>
        </w:rPr>
        <w:t>.</w:t>
      </w:r>
    </w:p>
    <w:p>
      <w:pPr>
        <w:widowControl/>
      </w:pPr>
      <w:r>
        <w:rPr>
          <w:b/>
          <w:i w:val="0"/>
        </w:rPr>
        <w:t>accipimus.</w:t>
      </w:r>
      <w:r>
        <w:rPr>
          <w:b w:val="0"/>
          <w:i w:val="0"/>
        </w:rPr>
        <w:t xml:space="preserve"> </w:t>
      </w:r>
      <w:hyperlink w:anchor="latin-record-1078">
        <w:r>
          <w:rPr>
            <w:color w:val="000000"/>
          </w:rPr>
          <w:t xml:space="preserve">recipere; accipere</w:t>
        </w:r>
      </w:hyperlink>
      <w:r>
        <w:rPr>
          <w:b w:val="0"/>
          <w:i w:val="0"/>
        </w:rPr>
        <w:t>.</w:t>
      </w:r>
    </w:p>
    <w:p>
      <w:pPr>
        <w:widowControl/>
      </w:pPr>
      <w:r>
        <w:rPr>
          <w:b/>
          <w:i w:val="0"/>
        </w:rPr>
        <w:t>accipit.</w:t>
      </w:r>
      <w:r>
        <w:rPr>
          <w:b w:val="0"/>
          <w:i w:val="0"/>
        </w:rPr>
        <w:t xml:space="preserve"> </w:t>
      </w:r>
      <w:hyperlink w:anchor="latin-record-0015">
        <w:r>
          <w:rPr>
            <w:color w:val="000000"/>
          </w:rPr>
          <w:t xml:space="preserve">accipere</w:t>
        </w:r>
      </w:hyperlink>
      <w:r>
        <w:rPr>
          <w:b w:val="0"/>
          <w:i w:val="0"/>
        </w:rPr>
        <w:t xml:space="preserve">; </w:t>
      </w:r>
      <w:hyperlink w:anchor="latin-record-0017">
        <w:r>
          <w:rPr>
            <w:color w:val="000000"/>
          </w:rPr>
          <w:t xml:space="preserve">accipere / suscipere</w:t>
        </w:r>
      </w:hyperlink>
      <w:r>
        <w:rPr>
          <w:b w:val="0"/>
          <w:i w:val="0"/>
        </w:rPr>
        <w:t xml:space="preserve">; </w:t>
      </w:r>
      <w:hyperlink w:anchor="latin-record-1078">
        <w:r>
          <w:rPr>
            <w:color w:val="000000"/>
          </w:rPr>
          <w:t xml:space="preserve">recipere; accipere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Accipit.</w:t>
      </w:r>
      <w:r>
        <w:rPr>
          <w:b w:val="0"/>
          <w:i w:val="0"/>
        </w:rPr>
        <w:t xml:space="preserve"> </w:t>
      </w:r>
      <w:hyperlink w:anchor="latin-record-0017">
        <w:r>
          <w:rPr>
            <w:color w:val="000000"/>
          </w:rPr>
          <w:t xml:space="preserve">accipere / suscipere</w:t>
        </w:r>
      </w:hyperlink>
      <w:r>
        <w:rPr>
          <w:b w:val="0"/>
          <w:i w:val="0"/>
        </w:rPr>
        <w:t>.</w:t>
      </w:r>
    </w:p>
    <w:p>
      <w:pPr>
        <w:widowControl/>
      </w:pPr>
      <w:r>
        <w:rPr>
          <w:b/>
          <w:i w:val="0"/>
        </w:rPr>
        <w:t>accipitur.</w:t>
      </w:r>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acies.</w:t>
      </w:r>
      <w:r>
        <w:rPr>
          <w:b w:val="0"/>
          <w:i w:val="0"/>
        </w:rPr>
        <w:t xml:space="preserve"> </w:t>
      </w:r>
      <w:hyperlink w:anchor="latin-record-0018">
        <w:r>
          <w:rPr>
            <w:color w:val="000000"/>
          </w:rPr>
          <w:t xml:space="preserve">acies / acute videre</w:t>
        </w:r>
      </w:hyperlink>
      <w:r>
        <w:rPr>
          <w:b w:val="0"/>
          <w:i w:val="0"/>
        </w:rPr>
        <w:t xml:space="preserve">; </w:t>
      </w:r>
      <w:hyperlink w:anchor="latin-record-0019">
        <w:r>
          <w:rPr>
            <w:color w:val="000000"/>
          </w:rPr>
          <w:t xml:space="preserve">acies mentis / caligo</w:t>
        </w:r>
      </w:hyperlink>
      <w:r>
        <w:rPr>
          <w:b w:val="0"/>
          <w:i w:val="0"/>
        </w:rPr>
        <w:t>.</w:t>
      </w:r>
    </w:p>
    <w:p>
      <w:pPr>
        <w:widowControl/>
      </w:pPr>
      <w:r>
        <w:rPr>
          <w:b/>
          <w:i w:val="0"/>
        </w:rPr>
        <w:t>acrius.</w:t>
      </w:r>
      <w:r>
        <w:rPr>
          <w:b w:val="0"/>
          <w:i w:val="0"/>
        </w:rPr>
        <w:t xml:space="preserve"> </w:t>
      </w:r>
      <w:hyperlink w:anchor="latin-record-0018">
        <w:r>
          <w:rPr>
            <w:color w:val="000000"/>
          </w:rPr>
          <w:t xml:space="preserve">acies / acute videre</w:t>
        </w:r>
      </w:hyperlink>
      <w:r>
        <w:rPr>
          <w:b w:val="0"/>
          <w:i w:val="0"/>
        </w:rPr>
        <w:t>.</w:t>
      </w:r>
    </w:p>
    <w:p>
      <w:pPr>
        <w:widowControl/>
      </w:pPr>
      <w:r>
        <w:rPr>
          <w:b/>
          <w:i w:val="0"/>
        </w:rPr>
        <w:t>Actio.</w:t>
      </w:r>
      <w:r>
        <w:rPr>
          <w:b w:val="0"/>
          <w:i w:val="0"/>
        </w:rPr>
        <w:t xml:space="preserve"> </w:t>
      </w:r>
      <w:hyperlink w:anchor="latin-record-0020">
        <w:r>
          <w:rPr>
            <w:color w:val="000000"/>
          </w:rPr>
          <w:t xml:space="preserve">actio / operatio / opus</w:t>
        </w:r>
      </w:hyperlink>
      <w:r>
        <w:rPr>
          <w:b w:val="0"/>
          <w:i w:val="0"/>
        </w:rPr>
        <w:t>.</w:t>
      </w:r>
    </w:p>
    <w:p>
      <w:pPr>
        <w:widowControl/>
      </w:pPr>
      <w:r>
        <w:rPr>
          <w:b/>
          <w:i w:val="0"/>
        </w:rPr>
        <w:t>actio.</w:t>
      </w:r>
      <w:r>
        <w:rPr>
          <w:b w:val="0"/>
          <w:i w:val="0"/>
        </w:rPr>
        <w:t xml:space="preserve"> </w:t>
      </w:r>
      <w:hyperlink w:anchor="latin-record-0020">
        <w:r>
          <w:rPr>
            <w:color w:val="000000"/>
          </w:rPr>
          <w:t xml:space="preserve">actio / operatio / opus</w:t>
        </w:r>
      </w:hyperlink>
      <w:r>
        <w:rPr>
          <w:b w:val="0"/>
          <w:i w:val="0"/>
        </w:rPr>
        <w:t xml:space="preserve">; </w:t>
      </w:r>
      <w:hyperlink w:anchor="latin-record-0860">
        <w:r>
          <w:rPr>
            <w:color w:val="000000"/>
          </w:rPr>
          <w:t xml:space="preserve">operatio / actio</w:t>
        </w:r>
      </w:hyperlink>
      <w:r>
        <w:rPr>
          <w:b w:val="0"/>
          <w:i w:val="0"/>
        </w:rPr>
        <w:t>.</w:t>
      </w:r>
    </w:p>
    <w:p>
      <w:pPr>
        <w:widowControl/>
      </w:pPr>
      <w:r>
        <w:rPr>
          <w:b/>
          <w:i w:val="0"/>
        </w:rPr>
        <w:t>actione.</w:t>
      </w:r>
      <w:r>
        <w:rPr>
          <w:b w:val="0"/>
          <w:i w:val="0"/>
        </w:rPr>
        <w:t xml:space="preserve"> </w:t>
      </w:r>
      <w:hyperlink w:anchor="latin-record-0020">
        <w:r>
          <w:rPr>
            <w:color w:val="000000"/>
          </w:rPr>
          <w:t xml:space="preserve">actio / operatio / opus</w:t>
        </w:r>
      </w:hyperlink>
      <w:r>
        <w:rPr>
          <w:b w:val="0"/>
          <w:i w:val="0"/>
        </w:rPr>
        <w:t xml:space="preserve">; </w:t>
      </w:r>
      <w:hyperlink w:anchor="latin-record-0022">
        <w:r>
          <w:rPr>
            <w:color w:val="000000"/>
          </w:rPr>
          <w:t xml:space="preserve">actio; passio</w:t>
        </w:r>
      </w:hyperlink>
      <w:r>
        <w:rPr>
          <w:b w:val="0"/>
          <w:i w:val="0"/>
        </w:rPr>
        <w:t>.</w:t>
      </w:r>
    </w:p>
    <w:p>
      <w:pPr>
        <w:widowControl/>
      </w:pPr>
      <w:r>
        <w:rPr>
          <w:b/>
          <w:i w:val="0"/>
        </w:rPr>
        <w:t>actionem.</w:t>
      </w:r>
      <w:r>
        <w:rPr>
          <w:b w:val="0"/>
          <w:i w:val="0"/>
        </w:rPr>
        <w:t xml:space="preserve"> </w:t>
      </w:r>
      <w:hyperlink w:anchor="latin-record-0022">
        <w:r>
          <w:rPr>
            <w:color w:val="000000"/>
          </w:rPr>
          <w:t xml:space="preserve">actio; passio</w:t>
        </w:r>
      </w:hyperlink>
      <w:r>
        <w:rPr>
          <w:b w:val="0"/>
          <w:i w:val="0"/>
        </w:rPr>
        <w:t xml:space="preserve">; </w:t>
      </w:r>
      <w:hyperlink w:anchor="latin-record-0860">
        <w:r>
          <w:rPr>
            <w:color w:val="000000"/>
          </w:rPr>
          <w:t xml:space="preserve">operatio / actio</w:t>
        </w:r>
      </w:hyperlink>
      <w:r>
        <w:rPr>
          <w:b w:val="0"/>
          <w:i w:val="0"/>
        </w:rPr>
        <w:t>.</w:t>
      </w:r>
    </w:p>
    <w:p>
      <w:pPr>
        <w:widowControl/>
      </w:pPr>
      <w:r>
        <w:rPr>
          <w:b/>
          <w:i w:val="0"/>
        </w:rPr>
        <w:t>actiones.</w:t>
      </w:r>
      <w:r>
        <w:rPr>
          <w:b w:val="0"/>
          <w:i w:val="0"/>
        </w:rPr>
        <w:t xml:space="preserve"> </w:t>
      </w:r>
      <w:hyperlink w:anchor="latin-record-0059">
        <w:r>
          <w:rPr>
            <w:color w:val="000000"/>
          </w:rPr>
          <w:t xml:space="preserve">agere / pati</w:t>
        </w:r>
      </w:hyperlink>
      <w:r>
        <w:rPr>
          <w:b w:val="0"/>
          <w:i w:val="0"/>
        </w:rPr>
        <w:t>.</w:t>
      </w:r>
    </w:p>
    <w:p>
      <w:pPr>
        <w:widowControl/>
      </w:pPr>
      <w:r>
        <w:rPr>
          <w:b/>
          <w:i w:val="0"/>
        </w:rPr>
        <w:t>actionibus.</w:t>
      </w:r>
      <w:r>
        <w:rPr>
          <w:b w:val="0"/>
          <w:i w:val="0"/>
        </w:rPr>
        <w:t xml:space="preserve"> </w:t>
      </w:r>
      <w:hyperlink w:anchor="latin-record-0020">
        <w:r>
          <w:rPr>
            <w:color w:val="000000"/>
          </w:rPr>
          <w:t xml:space="preserve">actio / operatio / opus</w:t>
        </w:r>
      </w:hyperlink>
      <w:r>
        <w:rPr>
          <w:b w:val="0"/>
          <w:i w:val="0"/>
        </w:rPr>
        <w:t>.</w:t>
      </w:r>
    </w:p>
    <w:p>
      <w:pPr>
        <w:widowControl/>
      </w:pPr>
      <w:r>
        <w:rPr>
          <w:b/>
          <w:i w:val="0"/>
        </w:rPr>
        <w:t>actionis.</w:t>
      </w:r>
      <w:r>
        <w:rPr>
          <w:b w:val="0"/>
          <w:i w:val="0"/>
        </w:rPr>
        <w:t xml:space="preserve"> </w:t>
      </w:r>
      <w:hyperlink w:anchor="latin-record-0860">
        <w:r>
          <w:rPr>
            <w:color w:val="000000"/>
          </w:rPr>
          <w:t xml:space="preserve">operatio / actio</w:t>
        </w:r>
      </w:hyperlink>
      <w:r>
        <w:rPr>
          <w:b w:val="0"/>
          <w:i w:val="0"/>
        </w:rPr>
        <w:t>.</w:t>
      </w:r>
    </w:p>
    <w:p>
      <w:pPr>
        <w:widowControl/>
      </w:pPr>
      <w:r>
        <w:rPr>
          <w:b/>
          <w:i w:val="0"/>
        </w:rPr>
        <w:t>activa.</w:t>
      </w:r>
      <w:r>
        <w:rPr>
          <w:b w:val="0"/>
          <w:i w:val="0"/>
        </w:rPr>
        <w:t xml:space="preserve"> </w:t>
      </w:r>
      <w:hyperlink w:anchor="latin-record-0906">
        <w:r>
          <w:rPr>
            <w:color w:val="000000"/>
          </w:rPr>
          <w:t xml:space="preserve">passivus / activus</w:t>
        </w:r>
      </w:hyperlink>
      <w:r>
        <w:rPr>
          <w:b w:val="0"/>
          <w:i w:val="0"/>
        </w:rPr>
        <w:t>.</w:t>
      </w:r>
    </w:p>
    <w:p>
      <w:pPr>
        <w:widowControl/>
      </w:pPr>
      <w:r>
        <w:rPr>
          <w:b/>
          <w:i w:val="0"/>
        </w:rPr>
        <w:t>activi.</w:t>
      </w:r>
      <w:r>
        <w:rPr>
          <w:b w:val="0"/>
          <w:i w:val="0"/>
        </w:rPr>
        <w:t xml:space="preserve"> </w:t>
      </w:r>
      <w:hyperlink w:anchor="latin-record-0906">
        <w:r>
          <w:rPr>
            <w:color w:val="000000"/>
          </w:rPr>
          <w:t xml:space="preserve">passivus / activus</w:t>
        </w:r>
      </w:hyperlink>
      <w:r>
        <w:rPr>
          <w:b w:val="0"/>
          <w:i w:val="0"/>
        </w:rPr>
        <w:t>.</w:t>
      </w:r>
    </w:p>
    <w:p>
      <w:pPr>
        <w:widowControl/>
      </w:pPr>
      <w:r>
        <w:rPr>
          <w:b/>
          <w:i w:val="0"/>
        </w:rPr>
        <w:t>actu.</w:t>
      </w:r>
      <w:r>
        <w:rPr>
          <w:b w:val="0"/>
          <w:i w:val="0"/>
        </w:rPr>
        <w:t xml:space="preserve"> </w:t>
      </w:r>
      <w:hyperlink w:anchor="latin-record-0023">
        <w:r>
          <w:rPr>
            <w:color w:val="000000"/>
          </w:rPr>
          <w:t xml:space="preserve">actus</w:t>
        </w:r>
      </w:hyperlink>
      <w:r>
        <w:rPr>
          <w:b w:val="0"/>
          <w:i w:val="0"/>
        </w:rPr>
        <w:t xml:space="preserve">; </w:t>
      </w:r>
      <w:hyperlink w:anchor="latin-record-0024">
        <w:r>
          <w:rPr>
            <w:color w:val="000000"/>
          </w:rPr>
          <w:t xml:space="preserve">actus / actu</w:t>
        </w:r>
      </w:hyperlink>
      <w:r>
        <w:rPr>
          <w:b w:val="0"/>
          <w:i w:val="0"/>
        </w:rPr>
        <w:t xml:space="preserve">; </w:t>
      </w:r>
      <w:hyperlink w:anchor="latin-record-0863">
        <w:r>
          <w:rPr>
            <w:color w:val="000000"/>
          </w:rPr>
          <w:t xml:space="preserve">operatio; actus</w:t>
        </w:r>
      </w:hyperlink>
      <w:r>
        <w:rPr>
          <w:b w:val="0"/>
          <w:i w:val="0"/>
        </w:rPr>
        <w:t xml:space="preserve">; </w:t>
      </w:r>
      <w:hyperlink w:anchor="latin-record-0971">
        <w:r>
          <w:rPr>
            <w:color w:val="000000"/>
          </w:rPr>
          <w:t xml:space="preserve">potentia; actus</w:t>
        </w:r>
      </w:hyperlink>
      <w:r>
        <w:rPr>
          <w:b w:val="0"/>
          <w:i w:val="0"/>
        </w:rPr>
        <w:t>.</w:t>
      </w:r>
    </w:p>
    <w:p>
      <w:pPr>
        <w:widowControl/>
      </w:pPr>
      <w:r>
        <w:rPr>
          <w:b/>
          <w:i w:val="0"/>
        </w:rPr>
        <w:t>actui.</w:t>
      </w:r>
      <w:r>
        <w:rPr>
          <w:b w:val="0"/>
          <w:i w:val="0"/>
        </w:rPr>
        <w:t xml:space="preserve"> </w:t>
      </w:r>
      <w:hyperlink w:anchor="latin-record-0023">
        <w:r>
          <w:rPr>
            <w:color w:val="000000"/>
          </w:rPr>
          <w:t xml:space="preserve">actus</w:t>
        </w:r>
      </w:hyperlink>
      <w:r>
        <w:rPr>
          <w:b w:val="0"/>
          <w:i w:val="0"/>
        </w:rPr>
        <w:t>.</w:t>
      </w:r>
    </w:p>
    <w:p>
      <w:pPr>
        <w:widowControl/>
      </w:pPr>
      <w:r>
        <w:rPr>
          <w:b/>
          <w:i w:val="0"/>
        </w:rPr>
        <w:t>actum.</w:t>
      </w:r>
      <w:r>
        <w:rPr>
          <w:b w:val="0"/>
          <w:i w:val="0"/>
        </w:rPr>
        <w:t xml:space="preserve"> </w:t>
      </w:r>
      <w:hyperlink w:anchor="latin-record-0023">
        <w:r>
          <w:rPr>
            <w:color w:val="000000"/>
          </w:rPr>
          <w:t xml:space="preserve">actus</w:t>
        </w:r>
      </w:hyperlink>
      <w:r>
        <w:rPr>
          <w:b w:val="0"/>
          <w:i w:val="0"/>
        </w:rPr>
        <w:t xml:space="preserve">; </w:t>
      </w:r>
      <w:hyperlink w:anchor="latin-record-0024">
        <w:r>
          <w:rPr>
            <w:color w:val="000000"/>
          </w:rPr>
          <w:t xml:space="preserve">actus / actu</w:t>
        </w:r>
      </w:hyperlink>
      <w:r>
        <w:rPr>
          <w:b w:val="0"/>
          <w:i w:val="0"/>
        </w:rPr>
        <w:t xml:space="preserve">; </w:t>
      </w:r>
      <w:hyperlink w:anchor="latin-record-0863">
        <w:r>
          <w:rPr>
            <w:color w:val="000000"/>
          </w:rPr>
          <w:t xml:space="preserve">operatio; actus</w:t>
        </w:r>
      </w:hyperlink>
      <w:r>
        <w:rPr>
          <w:b w:val="0"/>
          <w:i w:val="0"/>
        </w:rPr>
        <w:t>.</w:t>
      </w:r>
    </w:p>
    <w:p>
      <w:pPr>
        <w:widowControl/>
      </w:pPr>
      <w:r>
        <w:rPr>
          <w:b/>
          <w:i w:val="0"/>
        </w:rPr>
        <w:t>actum rectum.</w:t>
      </w:r>
      <w:r>
        <w:rPr>
          <w:b w:val="0"/>
          <w:i w:val="0"/>
        </w:rPr>
        <w:t xml:space="preserve"> </w:t>
      </w:r>
      <w:hyperlink w:anchor="latin-record-0027">
        <w:r>
          <w:rPr>
            <w:color w:val="000000"/>
          </w:rPr>
          <w:t xml:space="preserve">actus rectus / reflexus</w:t>
        </w:r>
      </w:hyperlink>
      <w:r>
        <w:rPr>
          <w:b w:val="0"/>
          <w:i w:val="0"/>
        </w:rPr>
        <w:t>.</w:t>
      </w:r>
    </w:p>
    <w:p>
      <w:pPr>
        <w:widowControl/>
      </w:pPr>
      <w:r>
        <w:rPr>
          <w:b/>
          <w:i w:val="0"/>
        </w:rPr>
        <w:t>actum reflexum.</w:t>
      </w:r>
      <w:r>
        <w:rPr>
          <w:b w:val="0"/>
          <w:i w:val="0"/>
        </w:rPr>
        <w:t xml:space="preserve"> </w:t>
      </w:r>
      <w:hyperlink w:anchor="latin-record-0027">
        <w:r>
          <w:rPr>
            <w:color w:val="000000"/>
          </w:rPr>
          <w:t xml:space="preserve">actus rectus / reflexus</w:t>
        </w:r>
      </w:hyperlink>
      <w:r>
        <w:rPr>
          <w:b w:val="0"/>
          <w:i w:val="0"/>
        </w:rPr>
        <w:t>.</w:t>
      </w:r>
    </w:p>
    <w:p>
      <w:pPr>
        <w:widowControl/>
      </w:pPr>
      <w:r>
        <w:rPr>
          <w:b/>
          <w:i w:val="0"/>
        </w:rPr>
        <w:t>actus.</w:t>
      </w:r>
      <w:r>
        <w:rPr>
          <w:b w:val="0"/>
          <w:i w:val="0"/>
        </w:rPr>
        <w:t xml:space="preserve"> </w:t>
      </w:r>
      <w:hyperlink w:anchor="latin-record-0023">
        <w:r>
          <w:rPr>
            <w:color w:val="000000"/>
          </w:rPr>
          <w:t xml:space="preserve">actus</w:t>
        </w:r>
      </w:hyperlink>
      <w:r>
        <w:rPr>
          <w:b w:val="0"/>
          <w:i w:val="0"/>
        </w:rPr>
        <w:t xml:space="preserve">; </w:t>
      </w:r>
      <w:hyperlink w:anchor="latin-record-0024">
        <w:r>
          <w:rPr>
            <w:color w:val="000000"/>
          </w:rPr>
          <w:t xml:space="preserve">actus / actu</w:t>
        </w:r>
      </w:hyperlink>
      <w:r>
        <w:rPr>
          <w:b w:val="0"/>
          <w:i w:val="0"/>
        </w:rPr>
        <w:t xml:space="preserve">; </w:t>
      </w:r>
      <w:hyperlink w:anchor="latin-record-0863">
        <w:r>
          <w:rPr>
            <w:color w:val="000000"/>
          </w:rPr>
          <w:t xml:space="preserve">operatio; actus</w:t>
        </w:r>
      </w:hyperlink>
      <w:r>
        <w:rPr>
          <w:b w:val="0"/>
          <w:i w:val="0"/>
        </w:rPr>
        <w:t xml:space="preserve">; </w:t>
      </w:r>
      <w:hyperlink w:anchor="latin-record-1357">
        <w:r>
          <w:rPr>
            <w:color w:val="000000"/>
          </w:rPr>
          <w:t xml:space="preserve">vires / affectus / actus / habitus</w:t>
        </w:r>
      </w:hyperlink>
      <w:r>
        <w:rPr>
          <w:b w:val="0"/>
          <w:i w:val="0"/>
        </w:rPr>
        <w:t>.</w:t>
      </w:r>
    </w:p>
    <w:p>
      <w:pPr>
        <w:widowControl/>
      </w:pPr>
      <w:r>
        <w:rPr>
          <w:b/>
          <w:i w:val="0"/>
        </w:rPr>
        <w:t>actus simplices.</w:t>
      </w:r>
      <w:r>
        <w:rPr>
          <w:b w:val="0"/>
          <w:i w:val="0"/>
        </w:rPr>
        <w:t xml:space="preserve"> </w:t>
      </w:r>
      <w:hyperlink w:anchor="latin-record-0029">
        <w:r>
          <w:rPr>
            <w:color w:val="000000"/>
          </w:rPr>
          <w:t xml:space="preserve">actus simplex</w:t>
        </w:r>
      </w:hyperlink>
      <w:r>
        <w:rPr>
          <w:b w:val="0"/>
          <w:i w:val="0"/>
        </w:rPr>
        <w:t>.</w:t>
      </w:r>
    </w:p>
    <w:p>
      <w:pPr>
        <w:widowControl/>
      </w:pPr>
      <w:r>
        <w:rPr>
          <w:b/>
          <w:i w:val="0"/>
        </w:rPr>
        <w:t>acuit, obtundit, aperit, claudit.</w:t>
      </w:r>
      <w:r>
        <w:rPr>
          <w:b w:val="0"/>
          <w:i w:val="0"/>
        </w:rPr>
        <w:t xml:space="preserve"> </w:t>
      </w:r>
      <w:hyperlink w:anchor="latin-record-0030">
        <w:r>
          <w:rPr>
            <w:color w:val="000000"/>
          </w:rPr>
          <w:t xml:space="preserve">acuere; obtundere; aperire; claudere</w:t>
        </w:r>
      </w:hyperlink>
      <w:r>
        <w:rPr>
          <w:b w:val="0"/>
          <w:i w:val="0"/>
        </w:rPr>
        <w:t>.</w:t>
      </w:r>
    </w:p>
    <w:p>
      <w:pPr>
        <w:widowControl/>
      </w:pPr>
      <w:r>
        <w:rPr>
          <w:b/>
          <w:i w:val="0"/>
        </w:rPr>
        <w:t>acumen.</w:t>
      </w:r>
      <w:r>
        <w:rPr>
          <w:b w:val="0"/>
          <w:i w:val="0"/>
        </w:rPr>
        <w:t xml:space="preserve"> </w:t>
      </w:r>
      <w:hyperlink w:anchor="latin-record-0410">
        <w:r>
          <w:rPr>
            <w:color w:val="000000"/>
          </w:rPr>
          <w:t xml:space="preserve">docilitas / acumen</w:t>
        </w:r>
      </w:hyperlink>
      <w:r>
        <w:rPr>
          <w:b w:val="0"/>
          <w:i w:val="0"/>
        </w:rPr>
        <w:t>.</w:t>
      </w:r>
    </w:p>
    <w:p>
      <w:pPr>
        <w:widowControl/>
      </w:pPr>
      <w:r>
        <w:rPr>
          <w:b/>
          <w:i w:val="0"/>
        </w:rPr>
        <w:t>acutior.</w:t>
      </w:r>
      <w:r>
        <w:rPr>
          <w:b w:val="0"/>
          <w:i w:val="0"/>
        </w:rPr>
        <w:t xml:space="preserve"> </w:t>
      </w:r>
      <w:hyperlink w:anchor="latin-record-0018">
        <w:r>
          <w:rPr>
            <w:color w:val="000000"/>
          </w:rPr>
          <w:t xml:space="preserve">acies / acute videre</w:t>
        </w:r>
      </w:hyperlink>
      <w:r>
        <w:rPr>
          <w:b w:val="0"/>
          <w:i w:val="0"/>
        </w:rPr>
        <w:t>.</w:t>
      </w:r>
    </w:p>
    <w:p>
      <w:pPr>
        <w:widowControl/>
      </w:pPr>
      <w:r>
        <w:rPr>
          <w:b/>
          <w:i w:val="0"/>
        </w:rPr>
        <w:t>acutius.</w:t>
      </w:r>
      <w:r>
        <w:rPr>
          <w:b w:val="0"/>
          <w:i w:val="0"/>
        </w:rPr>
        <w:t xml:space="preserve"> </w:t>
      </w:r>
      <w:hyperlink w:anchor="latin-record-0018">
        <w:r>
          <w:rPr>
            <w:color w:val="000000"/>
          </w:rPr>
          <w:t xml:space="preserve">acies / acute videre</w:t>
        </w:r>
      </w:hyperlink>
      <w:r>
        <w:rPr>
          <w:b w:val="0"/>
          <w:i w:val="0"/>
        </w:rPr>
        <w:t>.</w:t>
      </w:r>
    </w:p>
    <w:p>
      <w:pPr>
        <w:widowControl/>
      </w:pPr>
      <w:r>
        <w:rPr>
          <w:b/>
          <w:i w:val="0"/>
        </w:rPr>
        <w:t>Ad dexteram.</w:t>
      </w:r>
      <w:r>
        <w:rPr>
          <w:b w:val="0"/>
          <w:i w:val="0"/>
        </w:rPr>
        <w:t xml:space="preserve"> </w:t>
      </w:r>
      <w:hyperlink w:anchor="latin-record-0377">
        <w:r>
          <w:rPr>
            <w:color w:val="000000"/>
          </w:rPr>
          <w:t xml:space="preserve">dextera; sinistra; ante; retro</w:t>
        </w:r>
      </w:hyperlink>
      <w:r>
        <w:rPr>
          <w:b w:val="0"/>
          <w:i w:val="0"/>
        </w:rPr>
        <w:t>.</w:t>
      </w:r>
    </w:p>
    <w:p>
      <w:pPr>
        <w:widowControl/>
      </w:pPr>
      <w:r>
        <w:rPr>
          <w:b/>
          <w:i w:val="0"/>
        </w:rPr>
        <w:t>ad incorporalia.</w:t>
      </w:r>
      <w:r>
        <w:rPr>
          <w:b w:val="0"/>
          <w:i w:val="0"/>
        </w:rPr>
        <w:t xml:space="preserve"> </w:t>
      </w:r>
      <w:hyperlink w:anchor="latin-record-0031">
        <w:r>
          <w:rPr>
            <w:color w:val="000000"/>
          </w:rPr>
          <w:t xml:space="preserve">ad incorporalia</w:t>
        </w:r>
      </w:hyperlink>
      <w:r>
        <w:rPr>
          <w:b w:val="0"/>
          <w:i w:val="0"/>
        </w:rPr>
        <w:t>.</w:t>
      </w:r>
    </w:p>
    <w:p>
      <w:pPr>
        <w:widowControl/>
      </w:pPr>
      <w:r>
        <w:rPr>
          <w:b/>
          <w:i w:val="0"/>
        </w:rPr>
        <w:t>ad non esse.</w:t>
      </w:r>
      <w:r>
        <w:rPr>
          <w:b w:val="0"/>
          <w:i w:val="0"/>
        </w:rPr>
        <w:t xml:space="preserve"> </w:t>
      </w:r>
      <w:hyperlink w:anchor="latin-record-1169">
        <w:r>
          <w:rPr>
            <w:color w:val="000000"/>
          </w:rPr>
          <w:t xml:space="preserve">servare; non esse</w:t>
        </w:r>
      </w:hyperlink>
      <w:r>
        <w:rPr>
          <w:b w:val="0"/>
          <w:i w:val="0"/>
        </w:rPr>
        <w:t>.</w:t>
      </w:r>
    </w:p>
    <w:p>
      <w:pPr>
        <w:widowControl/>
      </w:pPr>
      <w:r>
        <w:rPr>
          <w:b/>
          <w:i w:val="0"/>
        </w:rPr>
        <w:t>adaequationem.</w:t>
      </w:r>
      <w:r>
        <w:rPr>
          <w:b w:val="0"/>
          <w:i w:val="0"/>
        </w:rPr>
        <w:t xml:space="preserve"> </w:t>
      </w:r>
      <w:hyperlink w:anchor="latin-record-0033">
        <w:r>
          <w:rPr>
            <w:color w:val="000000"/>
          </w:rPr>
          <w:t xml:space="preserve">adaequatio</w:t>
        </w:r>
      </w:hyperlink>
      <w:r>
        <w:rPr>
          <w:b w:val="0"/>
          <w:i w:val="0"/>
        </w:rPr>
        <w:t>.</w:t>
      </w:r>
    </w:p>
    <w:p>
      <w:pPr>
        <w:widowControl/>
      </w:pPr>
      <w:r>
        <w:rPr>
          <w:b/>
          <w:i w:val="0"/>
        </w:rPr>
        <w:t>adaequatur.</w:t>
      </w:r>
      <w:r>
        <w:rPr>
          <w:b w:val="0"/>
          <w:i w:val="0"/>
        </w:rPr>
        <w:t xml:space="preserve"> </w:t>
      </w:r>
      <w:hyperlink w:anchor="latin-record-0032">
        <w:r>
          <w:rPr>
            <w:color w:val="000000"/>
          </w:rPr>
          <w:t xml:space="preserve">adaequare</w:t>
        </w:r>
      </w:hyperlink>
      <w:r>
        <w:rPr>
          <w:b w:val="0"/>
          <w:i w:val="0"/>
        </w:rPr>
        <w:t xml:space="preserve">; </w:t>
      </w:r>
      <w:hyperlink w:anchor="latin-record-0254">
        <w:r>
          <w:rPr>
            <w:color w:val="000000"/>
          </w:rPr>
          <w:t xml:space="preserve">comparare / referre</w:t>
        </w:r>
      </w:hyperlink>
      <w:r>
        <w:rPr>
          <w:b w:val="0"/>
          <w:i w:val="0"/>
        </w:rPr>
        <w:t>.</w:t>
      </w:r>
    </w:p>
    <w:p>
      <w:pPr>
        <w:widowControl/>
      </w:pPr>
      <w:r>
        <w:rPr>
          <w:b/>
          <w:i w:val="0"/>
        </w:rPr>
        <w:t>addi.</w:t>
      </w:r>
      <w:r>
        <w:rPr>
          <w:b w:val="0"/>
          <w:i w:val="0"/>
        </w:rPr>
        <w:t xml:space="preserve"> </w:t>
      </w:r>
      <w:hyperlink w:anchor="latin-record-0744">
        <w:r>
          <w:rPr>
            <w:color w:val="000000"/>
          </w:rPr>
          <w:t xml:space="preserve">magis minusve</w:t>
        </w:r>
      </w:hyperlink>
      <w:r>
        <w:rPr>
          <w:b w:val="0"/>
          <w:i w:val="0"/>
        </w:rPr>
        <w:t>.</w:t>
      </w:r>
    </w:p>
    <w:p>
      <w:pPr>
        <w:widowControl/>
      </w:pPr>
      <w:r>
        <w:rPr>
          <w:b/>
          <w:i w:val="0"/>
        </w:rPr>
        <w:t>addicta.</w:t>
      </w:r>
      <w:r>
        <w:rPr>
          <w:b w:val="0"/>
          <w:i w:val="0"/>
        </w:rPr>
        <w:t xml:space="preserve"> </w:t>
      </w:r>
      <w:hyperlink w:anchor="latin-record-0074">
        <w:r>
          <w:rPr>
            <w:color w:val="000000"/>
          </w:rPr>
          <w:t xml:space="preserve">alligare / addicere</w:t>
        </w:r>
      </w:hyperlink>
      <w:r>
        <w:rPr>
          <w:b w:val="0"/>
          <w:i w:val="0"/>
        </w:rPr>
        <w:t>.</w:t>
      </w:r>
    </w:p>
    <w:p>
      <w:pPr>
        <w:widowControl/>
      </w:pPr>
      <w:r>
        <w:rPr>
          <w:b/>
          <w:i w:val="0"/>
        </w:rPr>
        <w:t>addixerit.</w:t>
      </w:r>
      <w:r>
        <w:rPr>
          <w:b w:val="0"/>
          <w:i w:val="0"/>
        </w:rPr>
        <w:t xml:space="preserve"> </w:t>
      </w:r>
      <w:hyperlink w:anchor="latin-record-0420">
        <w:r>
          <w:rPr>
            <w:color w:val="000000"/>
          </w:rPr>
          <w:t xml:space="preserve">educere; eruere; addicere</w:t>
        </w:r>
      </w:hyperlink>
      <w:r>
        <w:rPr>
          <w:b w:val="0"/>
          <w:i w:val="0"/>
        </w:rPr>
        <w:t>.</w:t>
      </w:r>
    </w:p>
    <w:p>
      <w:pPr>
        <w:widowControl/>
      </w:pPr>
      <w:r>
        <w:rPr>
          <w:b/>
          <w:i w:val="0"/>
        </w:rPr>
        <w:t>ademptione.</w:t>
      </w:r>
      <w:r>
        <w:rPr>
          <w:b w:val="0"/>
          <w:i w:val="0"/>
        </w:rPr>
        <w:t xml:space="preserve"> </w:t>
      </w:r>
      <w:hyperlink w:anchor="latin-record-0034">
        <w:r>
          <w:rPr>
            <w:color w:val="000000"/>
          </w:rPr>
          <w:t xml:space="preserve">adimere</w:t>
        </w:r>
      </w:hyperlink>
      <w:r>
        <w:rPr>
          <w:b w:val="0"/>
          <w:i w:val="0"/>
        </w:rPr>
        <w:t>.</w:t>
      </w:r>
    </w:p>
    <w:p>
      <w:pPr>
        <w:widowControl/>
      </w:pPr>
      <w:r>
        <w:rPr>
          <w:b/>
          <w:i w:val="0"/>
        </w:rPr>
        <w:t>adest tota.</w:t>
      </w:r>
      <w:r>
        <w:rPr>
          <w:b w:val="0"/>
          <w:i w:val="0"/>
        </w:rPr>
        <w:t xml:space="preserve"> </w:t>
      </w:r>
      <w:hyperlink w:anchor="latin-record-1295">
        <w:r>
          <w:rPr>
            <w:color w:val="000000"/>
          </w:rPr>
          <w:t xml:space="preserve">tota adesse</w:t>
        </w:r>
      </w:hyperlink>
      <w:r>
        <w:rPr>
          <w:b w:val="0"/>
          <w:i w:val="0"/>
        </w:rPr>
        <w:t>.</w:t>
      </w:r>
    </w:p>
    <w:p>
      <w:pPr>
        <w:widowControl/>
      </w:pPr>
      <w:r>
        <w:rPr>
          <w:b/>
          <w:i w:val="0"/>
        </w:rPr>
        <w:t>adhibeat.</w:t>
      </w:r>
      <w:r>
        <w:rPr>
          <w:b w:val="0"/>
          <w:i w:val="0"/>
        </w:rPr>
        <w:t xml:space="preserve"> </w:t>
      </w:r>
      <w:hyperlink w:anchor="latin-record-0604">
        <w:r>
          <w:rPr>
            <w:color w:val="000000"/>
          </w:rPr>
          <w:t xml:space="preserve">imperium / adhibere</w:t>
        </w:r>
      </w:hyperlink>
      <w:r>
        <w:rPr>
          <w:b w:val="0"/>
          <w:i w:val="0"/>
        </w:rPr>
        <w:t>.</w:t>
      </w:r>
    </w:p>
    <w:p>
      <w:pPr>
        <w:widowControl/>
      </w:pPr>
      <w:r>
        <w:rPr>
          <w:b/>
          <w:i w:val="0"/>
        </w:rPr>
        <w:t>adimentem.</w:t>
      </w:r>
      <w:r>
        <w:rPr>
          <w:b w:val="0"/>
          <w:i w:val="0"/>
        </w:rPr>
        <w:t xml:space="preserve"> </w:t>
      </w:r>
      <w:hyperlink w:anchor="latin-record-0034">
        <w:r>
          <w:rPr>
            <w:color w:val="000000"/>
          </w:rPr>
          <w:t xml:space="preserve">adimere</w:t>
        </w:r>
      </w:hyperlink>
      <w:r>
        <w:rPr>
          <w:b w:val="0"/>
          <w:i w:val="0"/>
        </w:rPr>
        <w:t>.</w:t>
      </w:r>
    </w:p>
    <w:p>
      <w:pPr>
        <w:widowControl/>
      </w:pPr>
      <w:r>
        <w:rPr>
          <w:b/>
          <w:i w:val="0"/>
        </w:rPr>
        <w:t>adimit.</w:t>
      </w:r>
      <w:r>
        <w:rPr>
          <w:b w:val="0"/>
          <w:i w:val="0"/>
        </w:rPr>
        <w:t xml:space="preserve"> </w:t>
      </w:r>
      <w:hyperlink w:anchor="latin-record-0034">
        <w:r>
          <w:rPr>
            <w:color w:val="000000"/>
          </w:rPr>
          <w:t xml:space="preserve">adimere</w:t>
        </w:r>
      </w:hyperlink>
      <w:r>
        <w:rPr>
          <w:b w:val="0"/>
          <w:i w:val="0"/>
        </w:rPr>
        <w:t>.</w:t>
      </w:r>
    </w:p>
    <w:p>
      <w:pPr>
        <w:widowControl/>
      </w:pPr>
      <w:r>
        <w:rPr>
          <w:b/>
          <w:i w:val="0"/>
        </w:rPr>
        <w:t>aditis.</w:t>
      </w:r>
      <w:r>
        <w:rPr>
          <w:b w:val="0"/>
          <w:i w:val="0"/>
        </w:rPr>
        <w:t xml:space="preserve"> </w:t>
      </w:r>
      <w:hyperlink w:anchor="latin-record-0454">
        <w:r>
          <w:rPr>
            <w:color w:val="000000"/>
          </w:rPr>
          <w:t xml:space="preserve">excitare / promere / adita</w:t>
        </w:r>
      </w:hyperlink>
      <w:r>
        <w:rPr>
          <w:b w:val="0"/>
          <w:i w:val="0"/>
        </w:rPr>
        <w:t>.</w:t>
      </w:r>
    </w:p>
    <w:p>
      <w:pPr>
        <w:widowControl/>
      </w:pPr>
      <w:r>
        <w:rPr>
          <w:b/>
          <w:i w:val="0"/>
        </w:rPr>
        <w:t>adiungat.</w:t>
      </w:r>
      <w:r>
        <w:rPr>
          <w:b w:val="0"/>
          <w:i w:val="0"/>
        </w:rPr>
        <w:t xml:space="preserve"> </w:t>
      </w:r>
      <w:hyperlink w:anchor="latin-record-0035">
        <w:r>
          <w:rPr>
            <w:color w:val="000000"/>
          </w:rPr>
          <w:t xml:space="preserve">adiungere / repellere</w:t>
        </w:r>
      </w:hyperlink>
      <w:r>
        <w:rPr>
          <w:b w:val="0"/>
          <w:i w:val="0"/>
        </w:rPr>
        <w:t>.</w:t>
      </w:r>
    </w:p>
    <w:p>
      <w:pPr>
        <w:widowControl/>
      </w:pPr>
      <w:r>
        <w:rPr>
          <w:b/>
          <w:i w:val="0"/>
        </w:rPr>
        <w:t>admittendum.</w:t>
      </w:r>
      <w:r>
        <w:rPr>
          <w:b w:val="0"/>
          <w:i w:val="0"/>
        </w:rPr>
        <w:t xml:space="preserve"> </w:t>
      </w:r>
      <w:hyperlink w:anchor="latin-record-0959">
        <w:r>
          <w:rPr>
            <w:color w:val="000000"/>
          </w:rPr>
          <w:t xml:space="preserve">ponere / concedere / admittere</w:t>
        </w:r>
      </w:hyperlink>
      <w:r>
        <w:rPr>
          <w:b w:val="0"/>
          <w:i w:val="0"/>
        </w:rPr>
        <w:t>.</w:t>
      </w:r>
    </w:p>
    <w:p>
      <w:pPr>
        <w:widowControl/>
      </w:pPr>
      <w:r>
        <w:rPr>
          <w:b/>
          <w:i w:val="0"/>
        </w:rPr>
        <w:t>admovet.</w:t>
      </w:r>
      <w:r>
        <w:rPr>
          <w:b w:val="0"/>
          <w:i w:val="0"/>
        </w:rPr>
        <w:t xml:space="preserve"> </w:t>
      </w:r>
      <w:hyperlink w:anchor="latin-record-0305">
        <w:r>
          <w:rPr>
            <w:color w:val="000000"/>
          </w:rPr>
          <w:t xml:space="preserve">conservator / servator</w:t>
        </w:r>
      </w:hyperlink>
      <w:r>
        <w:rPr>
          <w:b w:val="0"/>
          <w:i w:val="0"/>
        </w:rPr>
        <w:t>.</w:t>
      </w:r>
    </w:p>
    <w:p>
      <w:pPr>
        <w:widowControl/>
      </w:pPr>
      <w:r>
        <w:rPr>
          <w:b/>
          <w:i w:val="0"/>
        </w:rPr>
        <w:t>admovetur.</w:t>
      </w:r>
      <w:r>
        <w:rPr>
          <w:b w:val="0"/>
          <w:i w:val="0"/>
        </w:rPr>
        <w:t xml:space="preserve"> </w:t>
      </w:r>
      <w:hyperlink w:anchor="latin-record-0037">
        <w:r>
          <w:rPr>
            <w:color w:val="000000"/>
          </w:rPr>
          <w:t xml:space="preserve">advertere / admovere / clamare</w:t>
        </w:r>
      </w:hyperlink>
      <w:r>
        <w:rPr>
          <w:b w:val="0"/>
          <w:i w:val="0"/>
        </w:rPr>
        <w:t>.</w:t>
      </w:r>
    </w:p>
    <w:p>
      <w:pPr>
        <w:widowControl/>
      </w:pPr>
      <w:r>
        <w:rPr>
          <w:b/>
          <w:i w:val="0"/>
        </w:rPr>
        <w:t>adolescat.</w:t>
      </w:r>
      <w:r>
        <w:rPr>
          <w:b w:val="0"/>
          <w:i w:val="0"/>
        </w:rPr>
        <w:t xml:space="preserve"> </w:t>
      </w:r>
      <w:hyperlink w:anchor="latin-record-0349">
        <w:r>
          <w:rPr>
            <w:color w:val="000000"/>
          </w:rPr>
          <w:t xml:space="preserve">crescere; decrescere; adolescere</w:t>
        </w:r>
      </w:hyperlink>
      <w:r>
        <w:rPr>
          <w:b w:val="0"/>
          <w:i w:val="0"/>
        </w:rPr>
        <w:t>.</w:t>
      </w:r>
    </w:p>
    <w:p>
      <w:pPr>
        <w:widowControl/>
      </w:pPr>
      <w:r>
        <w:rPr>
          <w:b/>
          <w:i w:val="0"/>
        </w:rPr>
        <w:t>adolescet.</w:t>
      </w:r>
      <w:r>
        <w:rPr>
          <w:b w:val="0"/>
          <w:i w:val="0"/>
        </w:rPr>
        <w:t xml:space="preserve"> </w:t>
      </w:r>
      <w:hyperlink w:anchor="latin-record-0349">
        <w:r>
          <w:rPr>
            <w:color w:val="000000"/>
          </w:rPr>
          <w:t xml:space="preserve">crescere; decrescere; adolescere</w:t>
        </w:r>
      </w:hyperlink>
      <w:r>
        <w:rPr>
          <w:b w:val="0"/>
          <w:i w:val="0"/>
        </w:rPr>
        <w:t>.</w:t>
      </w:r>
    </w:p>
    <w:p>
      <w:pPr>
        <w:widowControl/>
      </w:pPr>
      <w:r>
        <w:rPr>
          <w:b/>
          <w:i w:val="0"/>
        </w:rPr>
        <w:t>adolescit.</w:t>
      </w:r>
      <w:r>
        <w:rPr>
          <w:b w:val="0"/>
          <w:i w:val="0"/>
        </w:rPr>
        <w:t xml:space="preserve"> </w:t>
      </w:r>
      <w:hyperlink w:anchor="latin-record-0465">
        <w:r>
          <w:rPr>
            <w:color w:val="000000"/>
          </w:rPr>
          <w:t xml:space="preserve">exsultare / illuminare / adolescere</w:t>
        </w:r>
      </w:hyperlink>
      <w:r>
        <w:rPr>
          <w:b w:val="0"/>
          <w:i w:val="0"/>
        </w:rPr>
        <w:t>.</w:t>
      </w:r>
    </w:p>
    <w:p>
      <w:pPr>
        <w:widowControl/>
      </w:pPr>
      <w:r>
        <w:rPr>
          <w:b/>
          <w:i w:val="0"/>
        </w:rPr>
        <w:t>adsciscere.</w:t>
      </w:r>
      <w:r>
        <w:rPr>
          <w:b w:val="0"/>
          <w:i w:val="0"/>
        </w:rPr>
        <w:t xml:space="preserve"> </w:t>
      </w:r>
      <w:hyperlink w:anchor="latin-record-1249">
        <w:r>
          <w:rPr>
            <w:color w:val="000000"/>
          </w:rPr>
          <w:t xml:space="preserve">subterfugere; adsciscere</w:t>
        </w:r>
      </w:hyperlink>
      <w:r>
        <w:rPr>
          <w:b w:val="0"/>
          <w:i w:val="0"/>
        </w:rPr>
        <w:t>.</w:t>
      </w:r>
    </w:p>
    <w:p>
      <w:pPr>
        <w:widowControl/>
      </w:pPr>
      <w:r>
        <w:rPr>
          <w:b/>
          <w:i w:val="0"/>
        </w:rPr>
        <w:t>adsit.</w:t>
      </w:r>
      <w:r>
        <w:rPr>
          <w:b w:val="0"/>
          <w:i w:val="0"/>
        </w:rPr>
        <w:t xml:space="preserve"> </w:t>
      </w:r>
      <w:hyperlink w:anchor="latin-record-0980">
        <w:r>
          <w:rPr>
            <w:color w:val="000000"/>
          </w:rPr>
          <w:t xml:space="preserve">praesentia / absentia</w:t>
        </w:r>
      </w:hyperlink>
      <w:r>
        <w:rPr>
          <w:b w:val="0"/>
          <w:i w:val="0"/>
        </w:rPr>
        <w:t>.</w:t>
      </w:r>
    </w:p>
    <w:p>
      <w:pPr>
        <w:widowControl/>
      </w:pPr>
      <w:r>
        <w:rPr>
          <w:b/>
          <w:i w:val="0"/>
        </w:rPr>
        <w:t>adulto.</w:t>
      </w:r>
      <w:r>
        <w:rPr>
          <w:b w:val="0"/>
          <w:i w:val="0"/>
        </w:rPr>
        <w:t xml:space="preserve"> </w:t>
      </w:r>
      <w:hyperlink w:anchor="latin-record-0479">
        <w:r>
          <w:rPr>
            <w:color w:val="000000"/>
          </w:rPr>
          <w:t xml:space="preserve">fetus; adultus</w:t>
        </w:r>
      </w:hyperlink>
      <w:r>
        <w:rPr>
          <w:b w:val="0"/>
          <w:i w:val="0"/>
        </w:rPr>
        <w:t>.</w:t>
      </w:r>
    </w:p>
    <w:p>
      <w:pPr>
        <w:widowControl/>
      </w:pPr>
      <w:r>
        <w:rPr>
          <w:b/>
          <w:i w:val="0"/>
        </w:rPr>
        <w:t>adveniat.</w:t>
      </w:r>
      <w:r>
        <w:rPr>
          <w:b w:val="0"/>
          <w:i w:val="0"/>
        </w:rPr>
        <w:t xml:space="preserve"> </w:t>
      </w:r>
      <w:hyperlink w:anchor="latin-record-0013">
        <w:r>
          <w:rPr>
            <w:color w:val="000000"/>
          </w:rPr>
          <w:t xml:space="preserve">accidens adveniens</w:t>
        </w:r>
      </w:hyperlink>
      <w:r>
        <w:rPr>
          <w:b w:val="0"/>
          <w:i w:val="0"/>
        </w:rPr>
        <w:t>.</w:t>
      </w:r>
    </w:p>
    <w:p>
      <w:pPr>
        <w:widowControl/>
      </w:pPr>
      <w:r>
        <w:rPr>
          <w:b/>
          <w:i w:val="0"/>
        </w:rPr>
        <w:t>advenit.</w:t>
      </w:r>
      <w:r>
        <w:rPr>
          <w:b w:val="0"/>
          <w:i w:val="0"/>
        </w:rPr>
        <w:t xml:space="preserve"> </w:t>
      </w:r>
      <w:hyperlink w:anchor="latin-record-0013">
        <w:r>
          <w:rPr>
            <w:color w:val="000000"/>
          </w:rPr>
          <w:t xml:space="preserve">accidens adveniens</w:t>
        </w:r>
      </w:hyperlink>
      <w:r>
        <w:rPr>
          <w:b w:val="0"/>
          <w:i w:val="0"/>
        </w:rPr>
        <w:t>.</w:t>
      </w:r>
    </w:p>
    <w:p>
      <w:pPr>
        <w:widowControl/>
      </w:pPr>
      <w:r>
        <w:rPr>
          <w:b/>
          <w:i w:val="0"/>
        </w:rPr>
        <w:t>adventitiam.</w:t>
      </w:r>
      <w:r>
        <w:rPr>
          <w:b w:val="0"/>
          <w:i w:val="0"/>
        </w:rPr>
        <w:t xml:space="preserve"> </w:t>
      </w:r>
      <w:hyperlink w:anchor="latin-record-0036">
        <w:r>
          <w:rPr>
            <w:color w:val="000000"/>
          </w:rPr>
          <w:t xml:space="preserve">adventitius</w:t>
        </w:r>
      </w:hyperlink>
      <w:r>
        <w:rPr>
          <w:b w:val="0"/>
          <w:i w:val="0"/>
        </w:rPr>
        <w:t>.</w:t>
      </w:r>
    </w:p>
    <w:p>
      <w:pPr>
        <w:widowControl/>
      </w:pPr>
      <w:r>
        <w:rPr>
          <w:b/>
          <w:i w:val="0"/>
        </w:rPr>
        <w:t>advertitur.</w:t>
      </w:r>
      <w:r>
        <w:rPr>
          <w:b w:val="0"/>
          <w:i w:val="0"/>
        </w:rPr>
        <w:t xml:space="preserve"> </w:t>
      </w:r>
      <w:hyperlink w:anchor="latin-record-0037">
        <w:r>
          <w:rPr>
            <w:color w:val="000000"/>
          </w:rPr>
          <w:t xml:space="preserve">advertere / admovere / clamare</w:t>
        </w:r>
      </w:hyperlink>
      <w:r>
        <w:rPr>
          <w:b w:val="0"/>
          <w:i w:val="0"/>
        </w:rPr>
        <w:t>.</w:t>
      </w:r>
    </w:p>
    <w:p>
      <w:pPr>
        <w:widowControl/>
      </w:pPr>
      <w:r>
        <w:rPr>
          <w:b/>
          <w:i w:val="0"/>
        </w:rPr>
        <w:t>aedificia.</w:t>
      </w:r>
      <w:r>
        <w:rPr>
          <w:b w:val="0"/>
          <w:i w:val="0"/>
        </w:rPr>
        <w:t xml:space="preserve"> </w:t>
      </w:r>
      <w:hyperlink w:anchor="latin-record-0472">
        <w:r>
          <w:rPr>
            <w:color w:val="000000"/>
          </w:rPr>
          <w:t xml:space="preserve">fabricare; aedificium</w:t>
        </w:r>
      </w:hyperlink>
      <w:r>
        <w:rPr>
          <w:b w:val="0"/>
          <w:i w:val="0"/>
        </w:rPr>
        <w:t>.</w:t>
      </w:r>
    </w:p>
    <w:p>
      <w:pPr>
        <w:widowControl/>
      </w:pPr>
      <w:r>
        <w:rPr>
          <w:b/>
          <w:i w:val="0"/>
        </w:rPr>
        <w:t>aegrotare.</w:t>
      </w:r>
      <w:r>
        <w:rPr>
          <w:b w:val="0"/>
          <w:i w:val="0"/>
        </w:rPr>
        <w:t xml:space="preserve"> </w:t>
      </w:r>
      <w:hyperlink w:anchor="latin-record-0172">
        <w:r>
          <w:rPr>
            <w:color w:val="000000"/>
          </w:rPr>
          <w:t xml:space="preserve">caecutire; titubare; aegrotare</w:t>
        </w:r>
      </w:hyperlink>
      <w:r>
        <w:rPr>
          <w:b w:val="0"/>
          <w:i w:val="0"/>
        </w:rPr>
        <w:t>.</w:t>
      </w:r>
    </w:p>
    <w:p>
      <w:pPr>
        <w:widowControl/>
      </w:pPr>
      <w:r>
        <w:rPr>
          <w:b/>
          <w:i w:val="0"/>
        </w:rPr>
        <w:t>aegrotat.</w:t>
      </w:r>
      <w:r>
        <w:rPr>
          <w:b w:val="0"/>
          <w:i w:val="0"/>
        </w:rPr>
        <w:t xml:space="preserve"> </w:t>
      </w:r>
      <w:hyperlink w:anchor="latin-record-0770">
        <w:r>
          <w:rPr>
            <w:color w:val="000000"/>
          </w:rPr>
          <w:t xml:space="preserve">mediocriter / gravari / languescere / aegrotare</w:t>
        </w:r>
      </w:hyperlink>
      <w:r>
        <w:rPr>
          <w:b w:val="0"/>
          <w:i w:val="0"/>
        </w:rPr>
        <w:t>.</w:t>
      </w:r>
    </w:p>
    <w:p>
      <w:pPr>
        <w:widowControl/>
      </w:pPr>
      <w:r>
        <w:rPr>
          <w:b/>
          <w:i w:val="0"/>
        </w:rPr>
        <w:t>Aegyptios.</w:t>
      </w:r>
      <w:r>
        <w:rPr>
          <w:b w:val="0"/>
          <w:i w:val="0"/>
        </w:rPr>
        <w:t xml:space="preserve"> </w:t>
      </w:r>
      <w:hyperlink w:anchor="latin-record-0038">
        <w:r>
          <w:rPr>
            <w:color w:val="000000"/>
          </w:rPr>
          <w:t xml:space="preserve">Aegyptii / Pythagorei</w:t>
        </w:r>
      </w:hyperlink>
      <w:r>
        <w:rPr>
          <w:b w:val="0"/>
          <w:i w:val="0"/>
        </w:rPr>
        <w:t>.</w:t>
      </w:r>
    </w:p>
    <w:p>
      <w:pPr>
        <w:widowControl/>
      </w:pPr>
      <w:r>
        <w:rPr>
          <w:b/>
          <w:i w:val="0"/>
        </w:rPr>
        <w:t>Aeneus.</w:t>
      </w:r>
      <w:r>
        <w:rPr>
          <w:b w:val="0"/>
          <w:i w:val="0"/>
        </w:rPr>
        <w:t xml:space="preserve"> </w:t>
      </w:r>
      <w:hyperlink w:anchor="latin-record-0046">
        <w:r>
          <w:rPr>
            <w:color w:val="000000"/>
          </w:rPr>
          <w:t xml:space="preserve">aes / aeneus</w:t>
        </w:r>
      </w:hyperlink>
      <w:r>
        <w:rPr>
          <w:b w:val="0"/>
          <w:i w:val="0"/>
        </w:rPr>
        <w:t>.</w:t>
      </w:r>
    </w:p>
    <w:p>
      <w:pPr>
        <w:widowControl/>
      </w:pPr>
      <w:r>
        <w:rPr>
          <w:b/>
          <w:i w:val="0"/>
        </w:rPr>
        <w:t>aequabitur.</w:t>
      </w:r>
      <w:r>
        <w:rPr>
          <w:b w:val="0"/>
          <w:i w:val="0"/>
        </w:rPr>
        <w:t xml:space="preserve"> </w:t>
      </w:r>
      <w:hyperlink w:anchor="latin-record-0044">
        <w:r>
          <w:rPr>
            <w:color w:val="000000"/>
          </w:rPr>
          <w:t xml:space="preserve">aequari / aequare</w:t>
        </w:r>
      </w:hyperlink>
      <w:r>
        <w:rPr>
          <w:b w:val="0"/>
          <w:i w:val="0"/>
        </w:rPr>
        <w:t>.</w:t>
      </w:r>
    </w:p>
    <w:p>
      <w:pPr>
        <w:widowControl/>
      </w:pPr>
      <w:r>
        <w:rPr>
          <w:b/>
          <w:i w:val="0"/>
        </w:rPr>
        <w:t>aequalem.</w:t>
      </w:r>
      <w:r>
        <w:rPr>
          <w:b w:val="0"/>
          <w:i w:val="0"/>
        </w:rPr>
        <w:t xml:space="preserve"> </w:t>
      </w:r>
      <w:hyperlink w:anchor="latin-record-0039">
        <w:r>
          <w:rPr>
            <w:color w:val="000000"/>
          </w:rPr>
          <w:t xml:space="preserve">aequalis pars / totum</w:t>
        </w:r>
      </w:hyperlink>
      <w:r>
        <w:rPr>
          <w:b w:val="0"/>
          <w:i w:val="0"/>
        </w:rPr>
        <w:t>.</w:t>
      </w:r>
    </w:p>
    <w:p>
      <w:pPr>
        <w:widowControl/>
      </w:pPr>
      <w:r>
        <w:rPr>
          <w:b/>
          <w:i w:val="0"/>
        </w:rPr>
        <w:t>aequalior.</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aequalis.</w:t>
      </w:r>
      <w:r>
        <w:rPr>
          <w:b w:val="0"/>
          <w:i w:val="0"/>
        </w:rPr>
        <w:t xml:space="preserve"> </w:t>
      </w:r>
      <w:hyperlink w:anchor="latin-record-0039">
        <w:r>
          <w:rPr>
            <w:color w:val="000000"/>
          </w:rPr>
          <w:t xml:space="preserve">aequalis pars / totum</w:t>
        </w:r>
      </w:hyperlink>
      <w:r>
        <w:rPr>
          <w:b w:val="0"/>
          <w:i w:val="0"/>
        </w:rPr>
        <w:t>.</w:t>
      </w:r>
    </w:p>
    <w:p>
      <w:pPr>
        <w:widowControl/>
      </w:pPr>
      <w:r>
        <w:rPr>
          <w:b/>
          <w:i w:val="0"/>
        </w:rPr>
        <w:t>aequalitas.</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aequalitate.</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aequalitatem.</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aequalitatem summam.</w:t>
      </w:r>
      <w:r>
        <w:rPr>
          <w:b w:val="0"/>
          <w:i w:val="0"/>
        </w:rPr>
        <w:t xml:space="preserve"> </w:t>
      </w:r>
      <w:hyperlink w:anchor="latin-record-0041">
        <w:r>
          <w:rPr>
            <w:color w:val="000000"/>
          </w:rPr>
          <w:t xml:space="preserve">aequalitas summa</w:t>
        </w:r>
      </w:hyperlink>
      <w:r>
        <w:rPr>
          <w:b w:val="0"/>
          <w:i w:val="0"/>
        </w:rPr>
        <w:t>.</w:t>
      </w:r>
    </w:p>
    <w:p>
      <w:pPr>
        <w:widowControl/>
      </w:pPr>
      <w:r>
        <w:rPr>
          <w:b/>
          <w:i w:val="0"/>
        </w:rPr>
        <w:t>aequalitati.</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aequalitatis.</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aequalitatis ipsius.</w:t>
      </w:r>
      <w:r>
        <w:rPr>
          <w:b w:val="0"/>
          <w:i w:val="0"/>
        </w:rPr>
        <w:t xml:space="preserve"> </w:t>
      </w:r>
      <w:hyperlink w:anchor="latin-record-0041">
        <w:r>
          <w:rPr>
            <w:color w:val="000000"/>
          </w:rPr>
          <w:t xml:space="preserve">aequalitas summa</w:t>
        </w:r>
      </w:hyperlink>
      <w:r>
        <w:rPr>
          <w:b w:val="0"/>
          <w:i w:val="0"/>
        </w:rPr>
        <w:t>.</w:t>
      </w:r>
    </w:p>
    <w:p>
      <w:pPr>
        <w:widowControl/>
      </w:pPr>
      <w:r>
        <w:rPr>
          <w:b/>
          <w:i w:val="0"/>
        </w:rPr>
        <w:t>aequans.</w:t>
      </w:r>
      <w:r>
        <w:rPr>
          <w:b w:val="0"/>
          <w:i w:val="0"/>
        </w:rPr>
        <w:t xml:space="preserve"> </w:t>
      </w:r>
      <w:hyperlink w:anchor="latin-record-0042">
        <w:r>
          <w:rPr>
            <w:color w:val="000000"/>
          </w:rPr>
          <w:t xml:space="preserve">aequaliter; aeque; aequare</w:t>
        </w:r>
      </w:hyperlink>
      <w:r>
        <w:rPr>
          <w:b w:val="0"/>
          <w:i w:val="0"/>
        </w:rPr>
        <w:t>.</w:t>
      </w:r>
    </w:p>
    <w:p>
      <w:pPr>
        <w:widowControl/>
      </w:pPr>
      <w:r>
        <w:rPr>
          <w:b/>
          <w:i w:val="0"/>
        </w:rPr>
        <w:t>aequantur.</w:t>
      </w:r>
      <w:r>
        <w:rPr>
          <w:b w:val="0"/>
          <w:i w:val="0"/>
        </w:rPr>
        <w:t xml:space="preserve"> </w:t>
      </w:r>
      <w:hyperlink w:anchor="latin-record-0044">
        <w:r>
          <w:rPr>
            <w:color w:val="000000"/>
          </w:rPr>
          <w:t xml:space="preserve">aequari / aequare</w:t>
        </w:r>
      </w:hyperlink>
      <w:r>
        <w:rPr>
          <w:b w:val="0"/>
          <w:i w:val="0"/>
        </w:rPr>
        <w:t>.</w:t>
      </w:r>
    </w:p>
    <w:p>
      <w:pPr>
        <w:widowControl/>
      </w:pPr>
      <w:r>
        <w:rPr>
          <w:b/>
          <w:i w:val="0"/>
        </w:rPr>
        <w:t>aequare.</w:t>
      </w:r>
      <w:r>
        <w:rPr>
          <w:b w:val="0"/>
          <w:i w:val="0"/>
        </w:rPr>
        <w:t xml:space="preserve"> </w:t>
      </w:r>
      <w:hyperlink w:anchor="latin-record-0044">
        <w:r>
          <w:rPr>
            <w:color w:val="000000"/>
          </w:rPr>
          <w:t xml:space="preserve">aequari / aequare</w:t>
        </w:r>
      </w:hyperlink>
      <w:r>
        <w:rPr>
          <w:b w:val="0"/>
          <w:i w:val="0"/>
        </w:rPr>
        <w:t>.</w:t>
      </w:r>
    </w:p>
    <w:p>
      <w:pPr>
        <w:widowControl/>
      </w:pPr>
      <w:r>
        <w:rPr>
          <w:b/>
          <w:i w:val="0"/>
        </w:rPr>
        <w:t>aequari.</w:t>
      </w:r>
      <w:r>
        <w:rPr>
          <w:b w:val="0"/>
          <w:i w:val="0"/>
        </w:rPr>
        <w:t xml:space="preserve"> </w:t>
      </w:r>
      <w:hyperlink w:anchor="latin-record-0042">
        <w:r>
          <w:rPr>
            <w:color w:val="000000"/>
          </w:rPr>
          <w:t xml:space="preserve">aequaliter; aeque; aequare</w:t>
        </w:r>
      </w:hyperlink>
      <w:r>
        <w:rPr>
          <w:b w:val="0"/>
          <w:i w:val="0"/>
        </w:rPr>
        <w:t xml:space="preserve">; </w:t>
      </w:r>
      <w:hyperlink w:anchor="latin-record-0044">
        <w:r>
          <w:rPr>
            <w:color w:val="000000"/>
          </w:rPr>
          <w:t xml:space="preserve">aequari / aequare</w:t>
        </w:r>
      </w:hyperlink>
      <w:r>
        <w:rPr>
          <w:b w:val="0"/>
          <w:i w:val="0"/>
        </w:rPr>
        <w:t>.</w:t>
      </w:r>
    </w:p>
    <w:p>
      <w:pPr>
        <w:widowControl/>
      </w:pPr>
      <w:r>
        <w:rPr>
          <w:b/>
          <w:i w:val="0"/>
        </w:rPr>
        <w:t>aequat.</w:t>
      </w:r>
      <w:r>
        <w:rPr>
          <w:b w:val="0"/>
          <w:i w:val="0"/>
        </w:rPr>
        <w:t xml:space="preserve"> </w:t>
      </w:r>
      <w:hyperlink w:anchor="latin-record-0044">
        <w:r>
          <w:rPr>
            <w:color w:val="000000"/>
          </w:rPr>
          <w:t xml:space="preserve">aequari / aequare</w:t>
        </w:r>
      </w:hyperlink>
      <w:r>
        <w:rPr>
          <w:b w:val="0"/>
          <w:i w:val="0"/>
        </w:rPr>
        <w:t>.</w:t>
      </w:r>
    </w:p>
    <w:p>
      <w:pPr>
        <w:widowControl/>
      </w:pPr>
      <w:r>
        <w:rPr>
          <w:b/>
          <w:i w:val="0"/>
        </w:rPr>
        <w:t>aequationem.</w:t>
      </w:r>
      <w:r>
        <w:rPr>
          <w:b w:val="0"/>
          <w:i w:val="0"/>
        </w:rPr>
        <w:t xml:space="preserve"> </w:t>
      </w:r>
      <w:hyperlink w:anchor="latin-record-0045">
        <w:r>
          <w:rPr>
            <w:color w:val="000000"/>
          </w:rPr>
          <w:t xml:space="preserve">aequatio</w:t>
        </w:r>
      </w:hyperlink>
      <w:r>
        <w:rPr>
          <w:b w:val="0"/>
          <w:i w:val="0"/>
        </w:rPr>
        <w:t>.</w:t>
      </w:r>
    </w:p>
    <w:p>
      <w:pPr>
        <w:widowControl/>
      </w:pPr>
      <w:r>
        <w:rPr>
          <w:b/>
          <w:i w:val="0"/>
        </w:rPr>
        <w:t>aequatur.</w:t>
      </w:r>
      <w:r>
        <w:rPr>
          <w:b w:val="0"/>
          <w:i w:val="0"/>
        </w:rPr>
        <w:t xml:space="preserve"> </w:t>
      </w:r>
      <w:hyperlink w:anchor="latin-record-0044">
        <w:r>
          <w:rPr>
            <w:color w:val="000000"/>
          </w:rPr>
          <w:t xml:space="preserve">aequari / aequare</w:t>
        </w:r>
      </w:hyperlink>
      <w:r>
        <w:rPr>
          <w:b w:val="0"/>
          <w:i w:val="0"/>
        </w:rPr>
        <w:t xml:space="preserve">; </w:t>
      </w:r>
      <w:hyperlink w:anchor="latin-record-0780">
        <w:r>
          <w:rPr>
            <w:color w:val="000000"/>
          </w:rPr>
          <w:t xml:space="preserve">mensura / metiri / proportio / aequare</w:t>
        </w:r>
      </w:hyperlink>
      <w:r>
        <w:rPr>
          <w:b w:val="0"/>
          <w:i w:val="0"/>
        </w:rPr>
        <w:t>.</w:t>
      </w:r>
    </w:p>
    <w:p>
      <w:pPr>
        <w:widowControl/>
      </w:pPr>
      <w:r>
        <w:rPr>
          <w:b/>
          <w:i w:val="0"/>
        </w:rPr>
        <w:t>aeque.</w:t>
      </w:r>
      <w:r>
        <w:rPr>
          <w:b w:val="0"/>
          <w:i w:val="0"/>
        </w:rPr>
        <w:t xml:space="preserve"> </w:t>
      </w:r>
      <w:hyperlink w:anchor="latin-record-0042">
        <w:r>
          <w:rPr>
            <w:color w:val="000000"/>
          </w:rPr>
          <w:t xml:space="preserve">aequaliter; aeque; aequare</w:t>
        </w:r>
      </w:hyperlink>
      <w:r>
        <w:rPr>
          <w:b w:val="0"/>
          <w:i w:val="0"/>
        </w:rPr>
        <w:t>.</w:t>
      </w:r>
    </w:p>
    <w:p>
      <w:pPr>
        <w:widowControl/>
      </w:pPr>
      <w:r>
        <w:rPr>
          <w:b/>
          <w:i w:val="0"/>
        </w:rPr>
        <w:t>aer.</w:t>
      </w:r>
      <w:r>
        <w:rPr>
          <w:b w:val="0"/>
          <w:i w:val="0"/>
        </w:rPr>
        <w:t xml:space="preserve"> </w:t>
      </w:r>
      <w:hyperlink w:anchor="latin-record-0586">
        <w:r>
          <w:rPr>
            <w:color w:val="000000"/>
          </w:rPr>
          <w:t xml:space="preserve">ignis; aer; aqua</w:t>
        </w:r>
      </w:hyperlink>
      <w:r>
        <w:rPr>
          <w:b w:val="0"/>
          <w:i w:val="0"/>
        </w:rPr>
        <w:t>.</w:t>
      </w:r>
    </w:p>
    <w:p>
      <w:pPr>
        <w:widowControl/>
      </w:pPr>
      <w:r>
        <w:rPr>
          <w:b/>
          <w:i w:val="0"/>
        </w:rPr>
        <w:t>aere.</w:t>
      </w:r>
      <w:r>
        <w:rPr>
          <w:b w:val="0"/>
          <w:i w:val="0"/>
        </w:rPr>
        <w:t xml:space="preserve"> </w:t>
      </w:r>
      <w:hyperlink w:anchor="latin-record-0115">
        <w:r>
          <w:rPr>
            <w:color w:val="000000"/>
          </w:rPr>
          <w:t xml:space="preserve">aqua / aer / terra</w:t>
        </w:r>
      </w:hyperlink>
      <w:r>
        <w:rPr>
          <w:b w:val="0"/>
          <w:i w:val="0"/>
        </w:rPr>
        <w:t xml:space="preserve">; </w:t>
      </w:r>
      <w:hyperlink w:anchor="latin-record-0586">
        <w:r>
          <w:rPr>
            <w:color w:val="000000"/>
          </w:rPr>
          <w:t xml:space="preserve">ignis; aer; aqua</w:t>
        </w:r>
      </w:hyperlink>
      <w:r>
        <w:rPr>
          <w:b w:val="0"/>
          <w:i w:val="0"/>
        </w:rPr>
        <w:t xml:space="preserve">; </w:t>
      </w:r>
      <w:hyperlink w:anchor="latin-record-0950">
        <w:r>
          <w:rPr>
            <w:color w:val="000000"/>
          </w:rPr>
          <w:t xml:space="preserve">pingere in se / aere / pariete</w:t>
        </w:r>
      </w:hyperlink>
      <w:r>
        <w:rPr>
          <w:b w:val="0"/>
          <w:i w:val="0"/>
        </w:rPr>
        <w:t>.</w:t>
      </w:r>
    </w:p>
    <w:p>
      <w:pPr>
        <w:widowControl/>
      </w:pPr>
      <w:r>
        <w:rPr>
          <w:b/>
          <w:i w:val="0"/>
        </w:rPr>
        <w:t>aerea.</w:t>
      </w:r>
      <w:r>
        <w:rPr>
          <w:b w:val="0"/>
          <w:i w:val="0"/>
        </w:rPr>
        <w:t xml:space="preserve"> </w:t>
      </w:r>
      <w:hyperlink w:anchor="latin-record-0117">
        <w:r>
          <w:rPr>
            <w:color w:val="000000"/>
          </w:rPr>
          <w:t xml:space="preserve">aquaticus / terrestris / aereus</w:t>
        </w:r>
      </w:hyperlink>
      <w:r>
        <w:rPr>
          <w:b w:val="0"/>
          <w:i w:val="0"/>
        </w:rPr>
        <w:t>.</w:t>
      </w:r>
    </w:p>
    <w:p>
      <w:pPr>
        <w:widowControl/>
      </w:pPr>
      <w:r>
        <w:rPr>
          <w:b/>
          <w:i w:val="0"/>
        </w:rPr>
        <w:t>aereis.</w:t>
      </w:r>
      <w:r>
        <w:rPr>
          <w:b w:val="0"/>
          <w:i w:val="0"/>
        </w:rPr>
        <w:t xml:space="preserve"> </w:t>
      </w:r>
      <w:hyperlink w:anchor="latin-record-0117">
        <w:r>
          <w:rPr>
            <w:color w:val="000000"/>
          </w:rPr>
          <w:t xml:space="preserve">aquaticus / terrestris / aereus</w:t>
        </w:r>
      </w:hyperlink>
      <w:r>
        <w:rPr>
          <w:b w:val="0"/>
          <w:i w:val="0"/>
        </w:rPr>
        <w:t>.</w:t>
      </w:r>
    </w:p>
    <w:p>
      <w:pPr>
        <w:widowControl/>
      </w:pPr>
      <w:r>
        <w:rPr>
          <w:b/>
          <w:i w:val="0"/>
        </w:rPr>
        <w:t>aerem.</w:t>
      </w:r>
      <w:r>
        <w:rPr>
          <w:b w:val="0"/>
          <w:i w:val="0"/>
        </w:rPr>
        <w:t xml:space="preserve"> </w:t>
      </w:r>
      <w:hyperlink w:anchor="latin-record-0115">
        <w:r>
          <w:rPr>
            <w:color w:val="000000"/>
          </w:rPr>
          <w:t xml:space="preserve">aqua / aer / terra</w:t>
        </w:r>
      </w:hyperlink>
      <w:r>
        <w:rPr>
          <w:b w:val="0"/>
          <w:i w:val="0"/>
        </w:rPr>
        <w:t xml:space="preserve">; </w:t>
      </w:r>
      <w:hyperlink w:anchor="latin-record-0586">
        <w:r>
          <w:rPr>
            <w:color w:val="000000"/>
          </w:rPr>
          <w:t xml:space="preserve">ignis; aer; aqua</w:t>
        </w:r>
      </w:hyperlink>
      <w:r>
        <w:rPr>
          <w:b w:val="0"/>
          <w:i w:val="0"/>
        </w:rPr>
        <w:t>.</w:t>
      </w:r>
    </w:p>
    <w:p>
      <w:pPr>
        <w:widowControl/>
      </w:pPr>
      <w:r>
        <w:rPr>
          <w:b/>
          <w:i w:val="0"/>
        </w:rPr>
        <w:t>aereum.</w:t>
      </w:r>
      <w:r>
        <w:rPr>
          <w:b w:val="0"/>
          <w:i w:val="0"/>
        </w:rPr>
        <w:t xml:space="preserve"> </w:t>
      </w:r>
      <w:hyperlink w:anchor="latin-record-0582">
        <w:r>
          <w:rPr>
            <w:color w:val="000000"/>
          </w:rPr>
          <w:t xml:space="preserve">igneus; aereus; aqueus; terreus</w:t>
        </w:r>
      </w:hyperlink>
      <w:r>
        <w:rPr>
          <w:b w:val="0"/>
          <w:i w:val="0"/>
        </w:rPr>
        <w:t xml:space="preserve">; </w:t>
      </w:r>
      <w:hyperlink w:anchor="latin-record-0734">
        <w:r>
          <w:rPr>
            <w:color w:val="000000"/>
          </w:rPr>
          <w:t xml:space="preserve">luminosus / aereus / caliginosus</w:t>
        </w:r>
      </w:hyperlink>
      <w:r>
        <w:rPr>
          <w:b w:val="0"/>
          <w:i w:val="0"/>
        </w:rPr>
        <w:t>.</w:t>
      </w:r>
    </w:p>
    <w:p>
      <w:pPr>
        <w:widowControl/>
      </w:pPr>
      <w:r>
        <w:rPr>
          <w:b/>
          <w:i w:val="0"/>
        </w:rPr>
        <w:t>aereus.</w:t>
      </w:r>
      <w:r>
        <w:rPr>
          <w:b w:val="0"/>
          <w:i w:val="0"/>
        </w:rPr>
        <w:t xml:space="preserve"> </w:t>
      </w:r>
      <w:hyperlink w:anchor="latin-record-0734">
        <w:r>
          <w:rPr>
            <w:color w:val="000000"/>
          </w:rPr>
          <w:t xml:space="preserve">luminosus / aereus / caliginosus</w:t>
        </w:r>
      </w:hyperlink>
      <w:r>
        <w:rPr>
          <w:b w:val="0"/>
          <w:i w:val="0"/>
        </w:rPr>
        <w:t>.</w:t>
      </w:r>
    </w:p>
    <w:p>
      <w:pPr>
        <w:widowControl/>
      </w:pPr>
      <w:r>
        <w:rPr>
          <w:b/>
          <w:i w:val="0"/>
        </w:rPr>
        <w:t>aeris.</w:t>
      </w:r>
      <w:r>
        <w:rPr>
          <w:b w:val="0"/>
          <w:i w:val="0"/>
        </w:rPr>
        <w:t xml:space="preserve"> </w:t>
      </w:r>
      <w:hyperlink w:anchor="latin-record-0046">
        <w:r>
          <w:rPr>
            <w:color w:val="000000"/>
          </w:rPr>
          <w:t xml:space="preserve">aes / aeneus</w:t>
        </w:r>
      </w:hyperlink>
      <w:r>
        <w:rPr>
          <w:b w:val="0"/>
          <w:i w:val="0"/>
        </w:rPr>
        <w:t xml:space="preserve">; </w:t>
      </w:r>
      <w:hyperlink w:anchor="latin-record-0115">
        <w:r>
          <w:rPr>
            <w:color w:val="000000"/>
          </w:rPr>
          <w:t xml:space="preserve">aqua / aer / terra</w:t>
        </w:r>
      </w:hyperlink>
      <w:r>
        <w:rPr>
          <w:b w:val="0"/>
          <w:i w:val="0"/>
        </w:rPr>
        <w:t xml:space="preserve">; </w:t>
      </w:r>
      <w:hyperlink w:anchor="latin-record-0586">
        <w:r>
          <w:rPr>
            <w:color w:val="000000"/>
          </w:rPr>
          <w:t xml:space="preserve">ignis; aer; aqua</w:t>
        </w:r>
      </w:hyperlink>
      <w:r>
        <w:rPr>
          <w:b w:val="0"/>
          <w:i w:val="0"/>
        </w:rPr>
        <w:t>.</w:t>
      </w:r>
    </w:p>
    <w:p>
      <w:pPr>
        <w:widowControl/>
      </w:pPr>
      <w:r>
        <w:rPr>
          <w:b/>
          <w:i w:val="0"/>
        </w:rPr>
        <w:t>aes.</w:t>
      </w:r>
      <w:r>
        <w:rPr>
          <w:b w:val="0"/>
          <w:i w:val="0"/>
        </w:rPr>
        <w:t xml:space="preserve"> </w:t>
      </w:r>
      <w:hyperlink w:anchor="latin-record-0046">
        <w:r>
          <w:rPr>
            <w:color w:val="000000"/>
          </w:rPr>
          <w:t xml:space="preserve">aes / aeneus</w:t>
        </w:r>
      </w:hyperlink>
      <w:r>
        <w:rPr>
          <w:b w:val="0"/>
          <w:i w:val="0"/>
        </w:rPr>
        <w:t>.</w:t>
      </w:r>
    </w:p>
    <w:p>
      <w:pPr>
        <w:widowControl/>
      </w:pPr>
      <w:r>
        <w:rPr>
          <w:b/>
          <w:i w:val="0"/>
        </w:rPr>
        <w:t>aestus.</w:t>
      </w:r>
      <w:r>
        <w:rPr>
          <w:b w:val="0"/>
          <w:i w:val="0"/>
        </w:rPr>
        <w:t xml:space="preserve"> </w:t>
      </w:r>
      <w:hyperlink w:anchor="latin-record-0651">
        <w:r>
          <w:rPr>
            <w:color w:val="000000"/>
          </w:rPr>
          <w:t xml:space="preserve">inspirare / flagrare / aestus</w:t>
        </w:r>
      </w:hyperlink>
      <w:r>
        <w:rPr>
          <w:b w:val="0"/>
          <w:i w:val="0"/>
        </w:rPr>
        <w:t>.</w:t>
      </w:r>
    </w:p>
    <w:p>
      <w:pPr>
        <w:widowControl/>
      </w:pPr>
      <w:r>
        <w:rPr>
          <w:b/>
          <w:i w:val="0"/>
        </w:rPr>
        <w:t>aetate adulta.</w:t>
      </w:r>
      <w:r>
        <w:rPr>
          <w:b w:val="0"/>
          <w:i w:val="0"/>
        </w:rPr>
        <w:t xml:space="preserve"> </w:t>
      </w:r>
      <w:hyperlink w:anchor="latin-record-0047">
        <w:r>
          <w:rPr>
            <w:color w:val="000000"/>
          </w:rPr>
          <w:t xml:space="preserve">aetas perfecta</w:t>
        </w:r>
      </w:hyperlink>
      <w:r>
        <w:rPr>
          <w:b w:val="0"/>
          <w:i w:val="0"/>
        </w:rPr>
        <w:t>.</w:t>
      </w:r>
    </w:p>
    <w:p>
      <w:pPr>
        <w:widowControl/>
      </w:pPr>
      <w:r>
        <w:rPr>
          <w:b/>
          <w:i w:val="0"/>
        </w:rPr>
        <w:t>aetate perfecta.</w:t>
      </w:r>
      <w:r>
        <w:rPr>
          <w:b w:val="0"/>
          <w:i w:val="0"/>
        </w:rPr>
        <w:t xml:space="preserve"> </w:t>
      </w:r>
      <w:hyperlink w:anchor="latin-record-0047">
        <w:r>
          <w:rPr>
            <w:color w:val="000000"/>
          </w:rPr>
          <w:t xml:space="preserve">aetas perfecta</w:t>
        </w:r>
      </w:hyperlink>
      <w:r>
        <w:rPr>
          <w:b w:val="0"/>
          <w:i w:val="0"/>
        </w:rPr>
        <w:t>.</w:t>
      </w:r>
    </w:p>
    <w:p>
      <w:pPr>
        <w:widowControl/>
      </w:pPr>
      <w:r>
        <w:rPr>
          <w:b/>
          <w:i w:val="0"/>
        </w:rPr>
        <w:t>aeternitas.</w:t>
      </w:r>
      <w:r>
        <w:rPr>
          <w:b w:val="0"/>
          <w:i w:val="0"/>
        </w:rPr>
        <w:t xml:space="preserve"> </w:t>
      </w:r>
      <w:hyperlink w:anchor="latin-record-0048">
        <w:r>
          <w:rPr>
            <w:color w:val="000000"/>
          </w:rPr>
          <w:t xml:space="preserve">aeternus / aeternitas</w:t>
        </w:r>
      </w:hyperlink>
      <w:r>
        <w:rPr>
          <w:b w:val="0"/>
          <w:i w:val="0"/>
        </w:rPr>
        <w:t>.</w:t>
      </w:r>
    </w:p>
    <w:p>
      <w:pPr>
        <w:widowControl/>
      </w:pPr>
      <w:r>
        <w:rPr>
          <w:b/>
          <w:i w:val="0"/>
        </w:rPr>
        <w:t>aeternus.</w:t>
      </w:r>
      <w:r>
        <w:rPr>
          <w:b w:val="0"/>
          <w:i w:val="0"/>
        </w:rPr>
        <w:t xml:space="preserve"> </w:t>
      </w:r>
      <w:hyperlink w:anchor="latin-record-0048">
        <w:r>
          <w:rPr>
            <w:color w:val="000000"/>
          </w:rPr>
          <w:t xml:space="preserve">aeternus / aeternitas</w:t>
        </w:r>
      </w:hyperlink>
      <w:r>
        <w:rPr>
          <w:b w:val="0"/>
          <w:i w:val="0"/>
        </w:rPr>
        <w:t>.</w:t>
      </w:r>
    </w:p>
    <w:p>
      <w:pPr>
        <w:widowControl/>
      </w:pPr>
      <w:r>
        <w:rPr>
          <w:b/>
          <w:i w:val="0"/>
        </w:rPr>
        <w:t>aethereo.</w:t>
      </w:r>
      <w:r>
        <w:rPr>
          <w:b w:val="0"/>
          <w:i w:val="0"/>
        </w:rPr>
        <w:t xml:space="preserve"> </w:t>
      </w:r>
      <w:hyperlink w:anchor="latin-record-1335">
        <w:r>
          <w:rPr>
            <w:color w:val="000000"/>
          </w:rPr>
          <w:t xml:space="preserve">vehiculum aethereum</w:t>
        </w:r>
      </w:hyperlink>
      <w:r>
        <w:rPr>
          <w:b w:val="0"/>
          <w:i w:val="0"/>
        </w:rPr>
        <w:t>.</w:t>
      </w:r>
    </w:p>
    <w:p>
      <w:pPr>
        <w:widowControl/>
      </w:pPr>
      <w:r>
        <w:rPr>
          <w:b/>
          <w:i w:val="0"/>
        </w:rPr>
        <w:t>aethereum corpus.</w:t>
      </w:r>
      <w:r>
        <w:rPr>
          <w:b w:val="0"/>
          <w:i w:val="0"/>
        </w:rPr>
        <w:t xml:space="preserve"> </w:t>
      </w:r>
      <w:hyperlink w:anchor="latin-record-1335">
        <w:r>
          <w:rPr>
            <w:color w:val="000000"/>
          </w:rPr>
          <w:t xml:space="preserve">vehiculum aethereum</w:t>
        </w:r>
      </w:hyperlink>
      <w:r>
        <w:rPr>
          <w:b w:val="0"/>
          <w:i w:val="0"/>
        </w:rPr>
        <w:t>.</w:t>
      </w:r>
    </w:p>
    <w:p>
      <w:pPr>
        <w:widowControl/>
      </w:pPr>
      <w:r>
        <w:rPr>
          <w:b/>
          <w:i w:val="0"/>
        </w:rPr>
        <w:t>affectaret.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affectat.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affectibus.</w:t>
      </w:r>
      <w:r>
        <w:rPr>
          <w:b w:val="0"/>
          <w:i w:val="0"/>
        </w:rPr>
        <w:t xml:space="preserve"> </w:t>
      </w:r>
      <w:hyperlink w:anchor="latin-record-0864">
        <w:r>
          <w:rPr>
            <w:color w:val="000000"/>
          </w:rPr>
          <w:t xml:space="preserve">opinio / affectus / distrahere</w:t>
        </w:r>
      </w:hyperlink>
      <w:r>
        <w:rPr>
          <w:b w:val="0"/>
          <w:i w:val="0"/>
        </w:rPr>
        <w:t>.</w:t>
      </w:r>
    </w:p>
    <w:p>
      <w:pPr>
        <w:widowControl/>
      </w:pPr>
      <w:r>
        <w:rPr>
          <w:b/>
          <w:i w:val="0"/>
        </w:rPr>
        <w:t>affectio.</w:t>
      </w:r>
      <w:r>
        <w:rPr>
          <w:b w:val="0"/>
          <w:i w:val="0"/>
        </w:rPr>
        <w:t xml:space="preserve"> </w:t>
      </w:r>
      <w:hyperlink w:anchor="latin-record-0783">
        <w:r>
          <w:rPr>
            <w:color w:val="000000"/>
          </w:rPr>
          <w:t xml:space="preserve">mersus / affectio / punctum affectionis</w:t>
        </w:r>
      </w:hyperlink>
      <w:r>
        <w:rPr>
          <w:b w:val="0"/>
          <w:i w:val="0"/>
        </w:rPr>
        <w:t>.</w:t>
      </w:r>
    </w:p>
    <w:p>
      <w:pPr>
        <w:widowControl/>
      </w:pPr>
      <w:r>
        <w:rPr>
          <w:b/>
          <w:i w:val="0"/>
        </w:rPr>
        <w:t>affectionem.</w:t>
      </w:r>
      <w:r>
        <w:rPr>
          <w:b w:val="0"/>
          <w:i w:val="0"/>
        </w:rPr>
        <w:t xml:space="preserve"> </w:t>
      </w:r>
      <w:hyperlink w:anchor="latin-record-0794">
        <w:r>
          <w:rPr>
            <w:color w:val="000000"/>
          </w:rPr>
          <w:t xml:space="preserve">moles; affectio</w:t>
        </w:r>
      </w:hyperlink>
      <w:r>
        <w:rPr>
          <w:b w:val="0"/>
          <w:i w:val="0"/>
        </w:rPr>
        <w:t>.</w:t>
      </w:r>
    </w:p>
    <w:p>
      <w:pPr>
        <w:widowControl/>
      </w:pPr>
      <w:r>
        <w:rPr>
          <w:b/>
          <w:i w:val="0"/>
        </w:rPr>
        <w:t>affectionem corporis.</w:t>
      </w:r>
      <w:r>
        <w:rPr>
          <w:b w:val="0"/>
          <w:i w:val="0"/>
        </w:rPr>
        <w:t xml:space="preserve"> </w:t>
      </w:r>
      <w:hyperlink w:anchor="latin-record-1043">
        <w:r>
          <w:rPr>
            <w:color w:val="000000"/>
          </w:rPr>
          <w:t xml:space="preserve">qualitas / affectio corporis</w:t>
        </w:r>
      </w:hyperlink>
      <w:r>
        <w:rPr>
          <w:b w:val="0"/>
          <w:i w:val="0"/>
        </w:rPr>
        <w:t>.</w:t>
      </w:r>
    </w:p>
    <w:p>
      <w:pPr>
        <w:widowControl/>
      </w:pPr>
      <w:r>
        <w:rPr>
          <w:b/>
          <w:i w:val="0"/>
        </w:rPr>
        <w:t>affectiones.</w:t>
      </w:r>
      <w:r>
        <w:rPr>
          <w:b w:val="0"/>
          <w:i w:val="0"/>
        </w:rPr>
        <w:t xml:space="preserve"> </w:t>
      </w:r>
      <w:hyperlink w:anchor="latin-record-0905">
        <w:r>
          <w:rPr>
            <w:color w:val="000000"/>
          </w:rPr>
          <w:t xml:space="preserve">passio / affectio</w:t>
        </w:r>
      </w:hyperlink>
      <w:r>
        <w:rPr>
          <w:b w:val="0"/>
          <w:i w:val="0"/>
        </w:rPr>
        <w:t>.</w:t>
      </w:r>
    </w:p>
    <w:p>
      <w:pPr>
        <w:widowControl/>
      </w:pPr>
      <w:r>
        <w:rPr>
          <w:b/>
          <w:i w:val="0"/>
        </w:rPr>
        <w:t>affectionum variat vices.</w:t>
      </w:r>
      <w:r>
        <w:rPr>
          <w:b w:val="0"/>
          <w:i w:val="0"/>
        </w:rPr>
        <w:t xml:space="preserve"> </w:t>
      </w:r>
      <w:hyperlink w:anchor="latin-record-1349">
        <w:r>
          <w:rPr>
            <w:color w:val="000000"/>
          </w:rPr>
          <w:t xml:space="preserve">vicissitudo; vices</w:t>
        </w:r>
      </w:hyperlink>
      <w:r>
        <w:rPr>
          <w:b w:val="0"/>
          <w:i w:val="0"/>
        </w:rPr>
        <w:t>.</w:t>
      </w:r>
    </w:p>
    <w:p>
      <w:pPr>
        <w:widowControl/>
      </w:pPr>
      <w:r>
        <w:rPr>
          <w:b/>
          <w:i w:val="0"/>
        </w:rPr>
        <w:t>affectu.</w:t>
      </w:r>
      <w:r>
        <w:rPr>
          <w:b w:val="0"/>
          <w:i w:val="0"/>
        </w:rPr>
        <w:t xml:space="preserve"> </w:t>
      </w:r>
      <w:hyperlink w:anchor="latin-record-0049">
        <w:r>
          <w:rPr>
            <w:color w:val="000000"/>
          </w:rPr>
          <w:t xml:space="preserve">affectus; imaginatio</w:t>
        </w:r>
      </w:hyperlink>
      <w:r>
        <w:rPr>
          <w:b w:val="0"/>
          <w:i w:val="0"/>
        </w:rPr>
        <w:t xml:space="preserve">; </w:t>
      </w:r>
      <w:hyperlink w:anchor="latin-record-0629">
        <w:r>
          <w:rPr>
            <w:color w:val="000000"/>
          </w:rPr>
          <w:t xml:space="preserve">industria / usus / affectus</w:t>
        </w:r>
      </w:hyperlink>
      <w:r>
        <w:rPr>
          <w:b w:val="0"/>
          <w:i w:val="0"/>
        </w:rPr>
        <w:t>.</w:t>
      </w:r>
    </w:p>
    <w:p>
      <w:pPr>
        <w:widowControl/>
      </w:pPr>
      <w:r>
        <w:rPr>
          <w:b/>
          <w:i w:val="0"/>
        </w:rPr>
        <w:t>affectus.</w:t>
      </w:r>
      <w:r>
        <w:rPr>
          <w:b w:val="0"/>
          <w:i w:val="0"/>
        </w:rPr>
        <w:t xml:space="preserve"> </w:t>
      </w:r>
      <w:hyperlink w:anchor="latin-record-1357">
        <w:r>
          <w:rPr>
            <w:color w:val="000000"/>
          </w:rPr>
          <w:t xml:space="preserve">vires / affectus / actus / habitus</w:t>
        </w:r>
      </w:hyperlink>
      <w:r>
        <w:rPr>
          <w:b w:val="0"/>
          <w:i w:val="0"/>
        </w:rPr>
        <w:t>.</w:t>
      </w:r>
    </w:p>
    <w:p>
      <w:pPr>
        <w:widowControl/>
      </w:pPr>
      <w:r>
        <w:rPr>
          <w:b/>
          <w:i w:val="0"/>
        </w:rPr>
        <w:t>afficiunt.</w:t>
      </w:r>
      <w:r>
        <w:rPr>
          <w:b w:val="0"/>
          <w:i w:val="0"/>
        </w:rPr>
        <w:t xml:space="preserve"> </w:t>
      </w:r>
      <w:hyperlink w:anchor="latin-record-0905">
        <w:r>
          <w:rPr>
            <w:color w:val="000000"/>
          </w:rPr>
          <w:t xml:space="preserve">passio / affectio</w:t>
        </w:r>
      </w:hyperlink>
      <w:r>
        <w:rPr>
          <w:b w:val="0"/>
          <w:i w:val="0"/>
        </w:rPr>
        <w:t>.</w:t>
      </w:r>
    </w:p>
    <w:p>
      <w:pPr>
        <w:widowControl/>
      </w:pPr>
      <w:r>
        <w:rPr>
          <w:b/>
          <w:i w:val="0"/>
        </w:rPr>
        <w:t>affigitur.</w:t>
      </w:r>
      <w:r>
        <w:rPr>
          <w:b w:val="0"/>
          <w:i w:val="0"/>
        </w:rPr>
        <w:t xml:space="preserve"> </w:t>
      </w:r>
      <w:hyperlink w:anchor="latin-record-0050">
        <w:r>
          <w:rPr>
            <w:color w:val="000000"/>
          </w:rPr>
          <w:t xml:space="preserve">affigere / coniungere</w:t>
        </w:r>
      </w:hyperlink>
      <w:r>
        <w:rPr>
          <w:b w:val="0"/>
          <w:i w:val="0"/>
        </w:rPr>
        <w:t>.</w:t>
      </w:r>
    </w:p>
    <w:p>
      <w:pPr>
        <w:widowControl/>
      </w:pPr>
      <w:r>
        <w:rPr>
          <w:b/>
          <w:i w:val="0"/>
        </w:rPr>
        <w:t>affiguntur terrae.</w:t>
      </w:r>
      <w:r>
        <w:rPr>
          <w:b w:val="0"/>
          <w:i w:val="0"/>
        </w:rPr>
        <w:t xml:space="preserve"> </w:t>
      </w:r>
      <w:hyperlink w:anchor="latin-record-0051">
        <w:r>
          <w:rPr>
            <w:color w:val="000000"/>
          </w:rPr>
          <w:t xml:space="preserve">affigere; avellere</w:t>
        </w:r>
      </w:hyperlink>
      <w:r>
        <w:rPr>
          <w:b w:val="0"/>
          <w:i w:val="0"/>
        </w:rPr>
        <w:t>.</w:t>
      </w:r>
    </w:p>
    <w:p>
      <w:pPr>
        <w:widowControl/>
      </w:pPr>
      <w:r>
        <w:rPr>
          <w:b/>
          <w:i w:val="0"/>
        </w:rPr>
        <w:t>affirmabit.</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affirmabit esse se ipsam.</w:t>
      </w:r>
      <w:r>
        <w:rPr>
          <w:b w:val="0"/>
          <w:i w:val="0"/>
        </w:rPr>
        <w:t xml:space="preserve"> </w:t>
      </w:r>
      <w:hyperlink w:anchor="latin-record-0053">
        <w:r>
          <w:rPr>
            <w:color w:val="000000"/>
          </w:rPr>
          <w:t xml:space="preserve">affirmare esse</w:t>
        </w:r>
      </w:hyperlink>
      <w:r>
        <w:rPr>
          <w:b w:val="0"/>
          <w:i w:val="0"/>
        </w:rPr>
        <w:t>.</w:t>
      </w:r>
    </w:p>
    <w:p>
      <w:pPr>
        <w:widowControl/>
      </w:pPr>
      <w:r>
        <w:rPr>
          <w:b/>
          <w:i w:val="0"/>
        </w:rPr>
        <w:t>affirmare.</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affirmari.</w:t>
      </w:r>
      <w:r>
        <w:rPr>
          <w:b w:val="0"/>
          <w:i w:val="0"/>
        </w:rPr>
        <w:t xml:space="preserve"> </w:t>
      </w:r>
      <w:hyperlink w:anchor="latin-record-0054">
        <w:r>
          <w:rPr>
            <w:color w:val="000000"/>
          </w:rPr>
          <w:t xml:space="preserve">affirmare; asserere; asseverare</w:t>
        </w:r>
      </w:hyperlink>
      <w:r>
        <w:rPr>
          <w:b w:val="0"/>
          <w:i w:val="0"/>
        </w:rPr>
        <w:t xml:space="preserve">; </w:t>
      </w:r>
      <w:hyperlink w:anchor="latin-record-1001">
        <w:r>
          <w:rPr>
            <w:color w:val="000000"/>
          </w:rPr>
          <w:t xml:space="preserve">probabilis; affirmare</w:t>
        </w:r>
      </w:hyperlink>
      <w:r>
        <w:rPr>
          <w:b w:val="0"/>
          <w:i w:val="0"/>
        </w:rPr>
        <w:t>.</w:t>
      </w:r>
    </w:p>
    <w:p>
      <w:pPr>
        <w:widowControl/>
      </w:pPr>
      <w:r>
        <w:rPr>
          <w:b/>
          <w:i w:val="0"/>
        </w:rPr>
        <w:t>affirmat.</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affirmatur.</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affirmetur.</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affixum.</w:t>
      </w:r>
      <w:r>
        <w:rPr>
          <w:b w:val="0"/>
          <w:i w:val="0"/>
        </w:rPr>
        <w:t xml:space="preserve"> </w:t>
      </w:r>
      <w:hyperlink w:anchor="latin-record-0052">
        <w:r>
          <w:rPr>
            <w:color w:val="000000"/>
          </w:rPr>
          <w:t xml:space="preserve">affigere; situs</w:t>
        </w:r>
      </w:hyperlink>
      <w:r>
        <w:rPr>
          <w:b w:val="0"/>
          <w:i w:val="0"/>
        </w:rPr>
        <w:t>.</w:t>
      </w:r>
    </w:p>
    <w:p>
      <w:pPr>
        <w:widowControl/>
      </w:pPr>
      <w:r>
        <w:rPr>
          <w:b/>
          <w:i w:val="0"/>
        </w:rPr>
        <w:t>agant.</w:t>
      </w:r>
      <w:r>
        <w:rPr>
          <w:b w:val="0"/>
          <w:i w:val="0"/>
        </w:rPr>
        <w:t xml:space="preserve"> </w:t>
      </w:r>
      <w:hyperlink w:anchor="latin-record-0061">
        <w:r>
          <w:rPr>
            <w:color w:val="000000"/>
          </w:rPr>
          <w:t xml:space="preserve">agere; operari</w:t>
        </w:r>
      </w:hyperlink>
      <w:r>
        <w:rPr>
          <w:b w:val="0"/>
          <w:i w:val="0"/>
        </w:rPr>
        <w:t>.</w:t>
      </w:r>
    </w:p>
    <w:p>
      <w:pPr>
        <w:widowControl/>
      </w:pPr>
      <w:r>
        <w:rPr>
          <w:b/>
          <w:i w:val="0"/>
        </w:rPr>
        <w:t>agat.</w:t>
      </w:r>
      <w:r>
        <w:rPr>
          <w:b w:val="0"/>
          <w:i w:val="0"/>
        </w:rPr>
        <w:t xml:space="preserve"> </w:t>
      </w:r>
      <w:hyperlink w:anchor="latin-record-0061">
        <w:r>
          <w:rPr>
            <w:color w:val="000000"/>
          </w:rPr>
          <w:t xml:space="preserve">agere; operari</w:t>
        </w:r>
      </w:hyperlink>
      <w:r>
        <w:rPr>
          <w:b w:val="0"/>
          <w:i w:val="0"/>
        </w:rPr>
        <w:t>.</w:t>
      </w:r>
    </w:p>
    <w:p>
      <w:pPr>
        <w:widowControl/>
      </w:pPr>
      <w:r>
        <w:rPr>
          <w:b/>
          <w:i w:val="0"/>
        </w:rPr>
        <w:t>agat et patiatur.</w:t>
      </w:r>
      <w:r>
        <w:rPr>
          <w:b w:val="0"/>
          <w:i w:val="0"/>
        </w:rPr>
        <w:t xml:space="preserve"> </w:t>
      </w:r>
      <w:hyperlink w:anchor="latin-record-0055">
        <w:r>
          <w:rPr>
            <w:color w:val="000000"/>
          </w:rPr>
          <w:t xml:space="preserve">agens; patiens</w:t>
        </w:r>
      </w:hyperlink>
      <w:r>
        <w:rPr>
          <w:b w:val="0"/>
          <w:i w:val="0"/>
        </w:rPr>
        <w:t>.</w:t>
      </w:r>
    </w:p>
    <w:p>
      <w:pPr>
        <w:widowControl/>
      </w:pPr>
      <w:r>
        <w:rPr>
          <w:b/>
          <w:i w:val="0"/>
        </w:rPr>
        <w:t>agendas.</w:t>
      </w:r>
      <w:r>
        <w:rPr>
          <w:b w:val="0"/>
          <w:i w:val="0"/>
        </w:rPr>
        <w:t xml:space="preserve"> </w:t>
      </w:r>
      <w:hyperlink w:anchor="latin-record-0059">
        <w:r>
          <w:rPr>
            <w:color w:val="000000"/>
          </w:rPr>
          <w:t xml:space="preserve">agere / pati</w:t>
        </w:r>
      </w:hyperlink>
      <w:r>
        <w:rPr>
          <w:b w:val="0"/>
          <w:i w:val="0"/>
        </w:rPr>
        <w:t>.</w:t>
      </w:r>
    </w:p>
    <w:p>
      <w:pPr>
        <w:widowControl/>
      </w:pPr>
      <w:r>
        <w:rPr>
          <w:b/>
          <w:i w:val="0"/>
        </w:rPr>
        <w:t>agendi.</w:t>
      </w:r>
      <w:r>
        <w:rPr>
          <w:b w:val="0"/>
          <w:i w:val="0"/>
        </w:rPr>
        <w:t xml:space="preserve"> </w:t>
      </w:r>
      <w:hyperlink w:anchor="latin-record-0057">
        <w:r>
          <w:rPr>
            <w:color w:val="000000"/>
          </w:rPr>
          <w:t xml:space="preserve">agere / efficere</w:t>
        </w:r>
      </w:hyperlink>
      <w:r>
        <w:rPr>
          <w:b w:val="0"/>
          <w:i w:val="0"/>
        </w:rPr>
        <w:t xml:space="preserve">; </w:t>
      </w:r>
      <w:hyperlink w:anchor="latin-record-0058">
        <w:r>
          <w:rPr>
            <w:color w:val="000000"/>
          </w:rPr>
          <w:t xml:space="preserve">agere / operari</w:t>
        </w:r>
      </w:hyperlink>
      <w:r>
        <w:rPr>
          <w:b w:val="0"/>
          <w:i w:val="0"/>
        </w:rPr>
        <w:t>.</w:t>
      </w:r>
    </w:p>
    <w:p>
      <w:pPr>
        <w:widowControl/>
      </w:pPr>
      <w:r>
        <w:rPr>
          <w:b/>
          <w:i w:val="0"/>
        </w:rPr>
        <w:t>agens.</w:t>
      </w:r>
      <w:r>
        <w:rPr>
          <w:b w:val="0"/>
          <w:i w:val="0"/>
        </w:rPr>
        <w:t xml:space="preserve"> </w:t>
      </w:r>
      <w:hyperlink w:anchor="latin-record-0057">
        <w:r>
          <w:rPr>
            <w:color w:val="000000"/>
          </w:rPr>
          <w:t xml:space="preserve">agere / efficere</w:t>
        </w:r>
      </w:hyperlink>
      <w:r>
        <w:rPr>
          <w:b w:val="0"/>
          <w:i w:val="0"/>
        </w:rPr>
        <w:t>.</w:t>
      </w:r>
    </w:p>
    <w:p>
      <w:pPr>
        <w:widowControl/>
      </w:pPr>
      <w:r>
        <w:rPr>
          <w:b/>
          <w:i w:val="0"/>
        </w:rPr>
        <w:t>agente.</w:t>
      </w:r>
      <w:r>
        <w:rPr>
          <w:b w:val="0"/>
          <w:i w:val="0"/>
        </w:rPr>
        <w:t xml:space="preserve"> </w:t>
      </w:r>
      <w:hyperlink w:anchor="latin-record-0057">
        <w:r>
          <w:rPr>
            <w:color w:val="000000"/>
          </w:rPr>
          <w:t xml:space="preserve">agere / efficere</w:t>
        </w:r>
      </w:hyperlink>
      <w:r>
        <w:rPr>
          <w:b w:val="0"/>
          <w:i w:val="0"/>
        </w:rPr>
        <w:t xml:space="preserve">; </w:t>
      </w:r>
      <w:hyperlink w:anchor="latin-record-0061">
        <w:r>
          <w:rPr>
            <w:color w:val="000000"/>
          </w:rPr>
          <w:t xml:space="preserve">agere; operari</w:t>
        </w:r>
      </w:hyperlink>
      <w:r>
        <w:rPr>
          <w:b w:val="0"/>
          <w:i w:val="0"/>
        </w:rPr>
        <w:t>.</w:t>
      </w:r>
    </w:p>
    <w:p>
      <w:pPr>
        <w:widowControl/>
      </w:pPr>
      <w:r>
        <w:rPr>
          <w:b/>
          <w:i w:val="0"/>
        </w:rPr>
        <w:t>agentem.</w:t>
      </w:r>
      <w:r>
        <w:rPr>
          <w:b w:val="0"/>
          <w:i w:val="0"/>
        </w:rPr>
        <w:t xml:space="preserve"> </w:t>
      </w:r>
      <w:hyperlink w:anchor="latin-record-0061">
        <w:r>
          <w:rPr>
            <w:color w:val="000000"/>
          </w:rPr>
          <w:t xml:space="preserve">agere; operari</w:t>
        </w:r>
      </w:hyperlink>
      <w:r>
        <w:rPr>
          <w:b w:val="0"/>
          <w:i w:val="0"/>
        </w:rPr>
        <w:t>.</w:t>
      </w:r>
    </w:p>
    <w:p>
      <w:pPr>
        <w:widowControl/>
      </w:pPr>
      <w:r>
        <w:rPr>
          <w:b/>
          <w:i w:val="0"/>
        </w:rPr>
        <w:t>agenti.</w:t>
      </w:r>
      <w:r>
        <w:rPr>
          <w:b w:val="0"/>
          <w:i w:val="0"/>
        </w:rPr>
        <w:t xml:space="preserve"> </w:t>
      </w:r>
      <w:hyperlink w:anchor="latin-record-0061">
        <w:r>
          <w:rPr>
            <w:color w:val="000000"/>
          </w:rPr>
          <w:t xml:space="preserve">agere; operari</w:t>
        </w:r>
      </w:hyperlink>
      <w:r>
        <w:rPr>
          <w:b w:val="0"/>
          <w:i w:val="0"/>
        </w:rPr>
        <w:t>.</w:t>
      </w:r>
    </w:p>
    <w:p>
      <w:pPr>
        <w:widowControl/>
      </w:pPr>
      <w:r>
        <w:rPr>
          <w:b/>
          <w:i w:val="0"/>
        </w:rPr>
        <w:t>agentis.</w:t>
      </w:r>
      <w:r>
        <w:rPr>
          <w:b w:val="0"/>
          <w:i w:val="0"/>
        </w:rPr>
        <w:t xml:space="preserve"> </w:t>
      </w:r>
      <w:hyperlink w:anchor="latin-record-0057">
        <w:r>
          <w:rPr>
            <w:color w:val="000000"/>
          </w:rPr>
          <w:t xml:space="preserve">agere / efficere</w:t>
        </w:r>
      </w:hyperlink>
      <w:r>
        <w:rPr>
          <w:b w:val="0"/>
          <w:i w:val="0"/>
        </w:rPr>
        <w:t xml:space="preserve">; </w:t>
      </w:r>
      <w:hyperlink w:anchor="latin-record-0061">
        <w:r>
          <w:rPr>
            <w:color w:val="000000"/>
          </w:rPr>
          <w:t xml:space="preserve">agere; operari</w:t>
        </w:r>
      </w:hyperlink>
      <w:r>
        <w:rPr>
          <w:b w:val="0"/>
          <w:i w:val="0"/>
        </w:rPr>
        <w:t>.</w:t>
      </w:r>
    </w:p>
    <w:p>
      <w:pPr>
        <w:widowControl/>
      </w:pPr>
      <w:r>
        <w:rPr>
          <w:b/>
          <w:i w:val="0"/>
        </w:rPr>
        <w:t>agentis virtute solummodo.</w:t>
      </w:r>
      <w:r>
        <w:rPr>
          <w:b w:val="0"/>
          <w:i w:val="0"/>
        </w:rPr>
        <w:t xml:space="preserve"> </w:t>
      </w:r>
      <w:hyperlink w:anchor="latin-record-0056">
        <w:r>
          <w:rPr>
            <w:color w:val="000000"/>
          </w:rPr>
          <w:t xml:space="preserve">agentis virtus</w:t>
        </w:r>
      </w:hyperlink>
      <w:r>
        <w:rPr>
          <w:b w:val="0"/>
          <w:i w:val="0"/>
        </w:rPr>
        <w:t>.</w:t>
      </w:r>
    </w:p>
    <w:p>
      <w:pPr>
        <w:widowControl/>
      </w:pPr>
      <w:r>
        <w:rPr>
          <w:b/>
          <w:i w:val="0"/>
        </w:rPr>
        <w:t>agere.</w:t>
      </w:r>
      <w:r>
        <w:rPr>
          <w:b w:val="0"/>
          <w:i w:val="0"/>
        </w:rPr>
        <w:t xml:space="preserve"> </w:t>
      </w:r>
      <w:hyperlink w:anchor="latin-record-0059">
        <w:r>
          <w:rPr>
            <w:color w:val="000000"/>
          </w:rPr>
          <w:t xml:space="preserve">agere / pati</w:t>
        </w:r>
      </w:hyperlink>
      <w:r>
        <w:rPr>
          <w:b w:val="0"/>
          <w:i w:val="0"/>
        </w:rPr>
        <w:t xml:space="preserve">; </w:t>
      </w:r>
      <w:hyperlink w:anchor="latin-record-0061">
        <w:r>
          <w:rPr>
            <w:color w:val="000000"/>
          </w:rPr>
          <w:t xml:space="preserve">agere; operari</w:t>
        </w:r>
      </w:hyperlink>
      <w:r>
        <w:rPr>
          <w:b w:val="0"/>
          <w:i w:val="0"/>
        </w:rPr>
        <w:t>.</w:t>
      </w:r>
    </w:p>
    <w:p>
      <w:pPr>
        <w:widowControl/>
      </w:pPr>
      <w:r>
        <w:rPr>
          <w:b/>
          <w:i w:val="0"/>
        </w:rPr>
        <w:t>aggrediemur.</w:t>
      </w:r>
      <w:r>
        <w:rPr>
          <w:b w:val="0"/>
          <w:i w:val="0"/>
        </w:rPr>
        <w:t xml:space="preserve"> </w:t>
      </w:r>
      <w:hyperlink w:anchor="latin-record-0062">
        <w:r>
          <w:rPr>
            <w:color w:val="000000"/>
          </w:rPr>
          <w:t xml:space="preserve">aggredi / exponere / ostendere</w:t>
        </w:r>
      </w:hyperlink>
      <w:r>
        <w:rPr>
          <w:b w:val="0"/>
          <w:i w:val="0"/>
        </w:rPr>
        <w:t>.</w:t>
      </w:r>
    </w:p>
    <w:p>
      <w:pPr>
        <w:widowControl/>
      </w:pPr>
      <w:r>
        <w:rPr>
          <w:b/>
          <w:i w:val="0"/>
        </w:rPr>
        <w:t>aggredietur.</w:t>
      </w:r>
      <w:r>
        <w:rPr>
          <w:b w:val="0"/>
          <w:i w:val="0"/>
        </w:rPr>
        <w:t xml:space="preserve"> </w:t>
      </w:r>
      <w:hyperlink w:anchor="latin-record-0063">
        <w:r>
          <w:rPr>
            <w:color w:val="000000"/>
          </w:rPr>
          <w:t xml:space="preserve">aggredi / spirare</w:t>
        </w:r>
      </w:hyperlink>
      <w:r>
        <w:rPr>
          <w:b w:val="0"/>
          <w:i w:val="0"/>
        </w:rPr>
        <w:t>.</w:t>
      </w:r>
    </w:p>
    <w:p>
      <w:pPr>
        <w:widowControl/>
      </w:pPr>
      <w:r>
        <w:rPr>
          <w:b/>
          <w:i w:val="0"/>
        </w:rPr>
        <w:t>agile.</w:t>
      </w:r>
      <w:r>
        <w:rPr>
          <w:b w:val="0"/>
          <w:i w:val="0"/>
        </w:rPr>
        <w:t xml:space="preserve"> </w:t>
      </w:r>
      <w:hyperlink w:anchor="latin-record-0064">
        <w:r>
          <w:rPr>
            <w:color w:val="000000"/>
          </w:rPr>
          <w:t xml:space="preserve">agilis; agilitas; celeritas</w:t>
        </w:r>
      </w:hyperlink>
      <w:r>
        <w:rPr>
          <w:b w:val="0"/>
          <w:i w:val="0"/>
        </w:rPr>
        <w:t>.</w:t>
      </w:r>
    </w:p>
    <w:p>
      <w:pPr>
        <w:widowControl/>
      </w:pPr>
      <w:r>
        <w:rPr>
          <w:b/>
          <w:i w:val="0"/>
        </w:rPr>
        <w:t>agilia.</w:t>
      </w:r>
      <w:r>
        <w:rPr>
          <w:b w:val="0"/>
          <w:i w:val="0"/>
        </w:rPr>
        <w:t xml:space="preserve"> </w:t>
      </w:r>
      <w:hyperlink w:anchor="latin-record-0064">
        <w:r>
          <w:rPr>
            <w:color w:val="000000"/>
          </w:rPr>
          <w:t xml:space="preserve">agilis; agilitas; celeritas</w:t>
        </w:r>
      </w:hyperlink>
      <w:r>
        <w:rPr>
          <w:b w:val="0"/>
          <w:i w:val="0"/>
        </w:rPr>
        <w:t>.</w:t>
      </w:r>
    </w:p>
    <w:p>
      <w:pPr>
        <w:widowControl/>
      </w:pPr>
      <w:r>
        <w:rPr>
          <w:b/>
          <w:i w:val="0"/>
        </w:rPr>
        <w:t>agilis.</w:t>
      </w:r>
      <w:r>
        <w:rPr>
          <w:b w:val="0"/>
          <w:i w:val="0"/>
        </w:rPr>
        <w:t xml:space="preserve"> </w:t>
      </w:r>
      <w:hyperlink w:anchor="latin-record-0064">
        <w:r>
          <w:rPr>
            <w:color w:val="000000"/>
          </w:rPr>
          <w:t xml:space="preserve">agilis; agilitas; celeritas</w:t>
        </w:r>
      </w:hyperlink>
      <w:r>
        <w:rPr>
          <w:b w:val="0"/>
          <w:i w:val="0"/>
        </w:rPr>
        <w:t>.</w:t>
      </w:r>
    </w:p>
    <w:p>
      <w:pPr>
        <w:widowControl/>
      </w:pPr>
      <w:r>
        <w:rPr>
          <w:b/>
          <w:i w:val="0"/>
        </w:rPr>
        <w:t>agit.</w:t>
      </w:r>
      <w:r>
        <w:rPr>
          <w:b w:val="0"/>
          <w:i w:val="0"/>
        </w:rPr>
        <w:t xml:space="preserve"> </w:t>
      </w:r>
      <w:hyperlink w:anchor="latin-record-0057">
        <w:r>
          <w:rPr>
            <w:color w:val="000000"/>
          </w:rPr>
          <w:t xml:space="preserve">agere / efficere</w:t>
        </w:r>
      </w:hyperlink>
      <w:r>
        <w:rPr>
          <w:b w:val="0"/>
          <w:i w:val="0"/>
        </w:rPr>
        <w:t xml:space="preserve">; </w:t>
      </w:r>
      <w:hyperlink w:anchor="latin-record-0058">
        <w:r>
          <w:rPr>
            <w:color w:val="000000"/>
          </w:rPr>
          <w:t xml:space="preserve">agere / operari</w:t>
        </w:r>
      </w:hyperlink>
      <w:r>
        <w:rPr>
          <w:b w:val="0"/>
          <w:i w:val="0"/>
        </w:rPr>
        <w:t xml:space="preserve">; </w:t>
      </w:r>
      <w:hyperlink w:anchor="latin-record-0059">
        <w:r>
          <w:rPr>
            <w:color w:val="000000"/>
          </w:rPr>
          <w:t xml:space="preserve">agere / pati</w:t>
        </w:r>
      </w:hyperlink>
      <w:r>
        <w:rPr>
          <w:b w:val="0"/>
          <w:i w:val="0"/>
        </w:rPr>
        <w:t xml:space="preserve">; </w:t>
      </w:r>
      <w:hyperlink w:anchor="latin-record-0061">
        <w:r>
          <w:rPr>
            <w:color w:val="000000"/>
          </w:rPr>
          <w:t xml:space="preserve">agere; operari</w:t>
        </w:r>
      </w:hyperlink>
      <w:r>
        <w:rPr>
          <w:b w:val="0"/>
          <w:i w:val="0"/>
        </w:rPr>
        <w:t>.</w:t>
      </w:r>
    </w:p>
    <w:p>
      <w:pPr>
        <w:widowControl/>
      </w:pPr>
      <w:r>
        <w:rPr>
          <w:b/>
          <w:i w:val="0"/>
        </w:rPr>
        <w:t>Agit.</w:t>
      </w:r>
      <w:r>
        <w:rPr>
          <w:b w:val="0"/>
          <w:i w:val="0"/>
        </w:rPr>
        <w:t xml:space="preserve"> </w:t>
      </w:r>
      <w:hyperlink w:anchor="latin-record-0059">
        <w:r>
          <w:rPr>
            <w:color w:val="000000"/>
          </w:rPr>
          <w:t xml:space="preserve">agere / pati</w:t>
        </w:r>
      </w:hyperlink>
      <w:r>
        <w:rPr>
          <w:b w:val="0"/>
          <w:i w:val="0"/>
        </w:rPr>
        <w:t>.</w:t>
      </w:r>
    </w:p>
    <w:p>
      <w:pPr>
        <w:widowControl/>
      </w:pPr>
      <w:r>
        <w:rPr>
          <w:b/>
          <w:i w:val="0"/>
        </w:rPr>
        <w:t>agit in corpore.</w:t>
      </w:r>
      <w:r>
        <w:rPr>
          <w:b w:val="0"/>
          <w:i w:val="0"/>
        </w:rPr>
        <w:t xml:space="preserve"> </w:t>
      </w:r>
      <w:hyperlink w:anchor="latin-record-0060">
        <w:r>
          <w:rPr>
            <w:color w:val="000000"/>
          </w:rPr>
          <w:t xml:space="preserve">agere in corpore; per corpus; per se</w:t>
        </w:r>
      </w:hyperlink>
      <w:r>
        <w:rPr>
          <w:b w:val="0"/>
          <w:i w:val="0"/>
        </w:rPr>
        <w:t>.</w:t>
      </w:r>
    </w:p>
    <w:p>
      <w:pPr>
        <w:widowControl/>
      </w:pPr>
      <w:r>
        <w:rPr>
          <w:b/>
          <w:i w:val="0"/>
        </w:rPr>
        <w:t>agit per corpus.</w:t>
      </w:r>
      <w:r>
        <w:rPr>
          <w:b w:val="0"/>
          <w:i w:val="0"/>
        </w:rPr>
        <w:t xml:space="preserve"> </w:t>
      </w:r>
      <w:hyperlink w:anchor="latin-record-0060">
        <w:r>
          <w:rPr>
            <w:color w:val="000000"/>
          </w:rPr>
          <w:t xml:space="preserve">agere in corpore; per corpus; per se</w:t>
        </w:r>
      </w:hyperlink>
      <w:r>
        <w:rPr>
          <w:b w:val="0"/>
          <w:i w:val="0"/>
        </w:rPr>
        <w:t>.</w:t>
      </w:r>
    </w:p>
    <w:p>
      <w:pPr>
        <w:widowControl/>
      </w:pPr>
      <w:r>
        <w:rPr>
          <w:b/>
          <w:i w:val="0"/>
        </w:rPr>
        <w:t>agitur.</w:t>
      </w:r>
      <w:r>
        <w:rPr>
          <w:b w:val="0"/>
          <w:i w:val="0"/>
        </w:rPr>
        <w:t xml:space="preserve"> </w:t>
      </w:r>
      <w:hyperlink w:anchor="latin-record-0059">
        <w:r>
          <w:rPr>
            <w:color w:val="000000"/>
          </w:rPr>
          <w:t xml:space="preserve">agere / pati</w:t>
        </w:r>
      </w:hyperlink>
      <w:r>
        <w:rPr>
          <w:b w:val="0"/>
          <w:i w:val="0"/>
        </w:rPr>
        <w:t>.</w:t>
      </w:r>
    </w:p>
    <w:p>
      <w:pPr>
        <w:widowControl/>
      </w:pPr>
      <w:r>
        <w:rPr>
          <w:b/>
          <w:i w:val="0"/>
        </w:rPr>
        <w:t>Aglaophemus.</w:t>
      </w:r>
      <w:r>
        <w:rPr>
          <w:b w:val="0"/>
          <w:i w:val="0"/>
        </w:rPr>
        <w:t xml:space="preserve"> </w:t>
      </w:r>
      <w:hyperlink w:anchor="latin-record-0997">
        <w:r>
          <w:rPr>
            <w:color w:val="000000"/>
          </w:rPr>
          <w:t xml:space="preserve">prisci theologi</w:t>
        </w:r>
      </w:hyperlink>
      <w:r>
        <w:rPr>
          <w:b w:val="0"/>
          <w:i w:val="0"/>
        </w:rPr>
        <w:t>.</w:t>
      </w:r>
    </w:p>
    <w:p>
      <w:pPr>
        <w:widowControl/>
      </w:pPr>
      <w:r>
        <w:rPr>
          <w:b/>
          <w:i w:val="0"/>
        </w:rPr>
        <w:t>agno.</w:t>
      </w:r>
      <w:r>
        <w:rPr>
          <w:b w:val="0"/>
          <w:i w:val="0"/>
        </w:rPr>
        <w:t xml:space="preserve"> </w:t>
      </w:r>
      <w:hyperlink w:anchor="latin-record-0184">
        <w:r>
          <w:rPr>
            <w:color w:val="000000"/>
          </w:rPr>
          <w:t xml:space="preserve">canis / agnus / sagacitas</w:t>
        </w:r>
      </w:hyperlink>
      <w:r>
        <w:rPr>
          <w:b w:val="0"/>
          <w:i w:val="0"/>
        </w:rPr>
        <w:t>.</w:t>
      </w:r>
    </w:p>
    <w:p>
      <w:pPr>
        <w:widowControl/>
      </w:pPr>
      <w:r>
        <w:rPr>
          <w:b/>
          <w:i w:val="0"/>
        </w:rPr>
        <w:t>agnoscat.</w:t>
      </w:r>
      <w:r>
        <w:rPr>
          <w:b w:val="0"/>
          <w:i w:val="0"/>
        </w:rPr>
        <w:t xml:space="preserve"> </w:t>
      </w:r>
      <w:hyperlink w:anchor="latin-record-0065">
        <w:r>
          <w:rPr>
            <w:color w:val="000000"/>
          </w:rPr>
          <w:t xml:space="preserve">agnoscere / cognoscere</w:t>
        </w:r>
      </w:hyperlink>
      <w:r>
        <w:rPr>
          <w:b w:val="0"/>
          <w:i w:val="0"/>
        </w:rPr>
        <w:t>.</w:t>
      </w:r>
    </w:p>
    <w:p>
      <w:pPr>
        <w:widowControl/>
      </w:pPr>
      <w:r>
        <w:rPr>
          <w:b/>
          <w:i w:val="0"/>
        </w:rPr>
        <w:t>agnoscimus.</w:t>
      </w:r>
      <w:r>
        <w:rPr>
          <w:b w:val="0"/>
          <w:i w:val="0"/>
        </w:rPr>
        <w:t xml:space="preserve"> </w:t>
      </w:r>
      <w:hyperlink w:anchor="latin-record-0775">
        <w:r>
          <w:rPr>
            <w:color w:val="000000"/>
          </w:rPr>
          <w:t xml:space="preserve">memoria; agnoscere</w:t>
        </w:r>
      </w:hyperlink>
      <w:r>
        <w:rPr>
          <w:b w:val="0"/>
          <w:i w:val="0"/>
        </w:rPr>
        <w:t>.</w:t>
      </w:r>
    </w:p>
    <w:p>
      <w:pPr>
        <w:widowControl/>
      </w:pPr>
      <w:r>
        <w:rPr>
          <w:b/>
          <w:i w:val="0"/>
        </w:rPr>
        <w:t>agnoscit.</w:t>
      </w:r>
      <w:r>
        <w:rPr>
          <w:b w:val="0"/>
          <w:i w:val="0"/>
        </w:rPr>
        <w:t xml:space="preserve"> </w:t>
      </w:r>
      <w:hyperlink w:anchor="latin-record-0065">
        <w:r>
          <w:rPr>
            <w:color w:val="000000"/>
          </w:rPr>
          <w:t xml:space="preserve">agnoscere / cognoscere</w:t>
        </w:r>
      </w:hyperlink>
      <w:r>
        <w:rPr>
          <w:b w:val="0"/>
          <w:i w:val="0"/>
        </w:rPr>
        <w:t xml:space="preserve">; </w:t>
      </w:r>
      <w:hyperlink w:anchor="latin-record-0232">
        <w:r>
          <w:rPr>
            <w:color w:val="000000"/>
          </w:rPr>
          <w:t xml:space="preserve">cognoscere / agnoscere / noscere</w:t>
        </w:r>
      </w:hyperlink>
      <w:r>
        <w:rPr>
          <w:b w:val="0"/>
          <w:i w:val="0"/>
        </w:rPr>
        <w:t xml:space="preserve">; </w:t>
      </w:r>
      <w:hyperlink w:anchor="latin-record-0300">
        <w:r>
          <w:rPr>
            <w:color w:val="000000"/>
          </w:rPr>
          <w:t xml:space="preserve">conscius / animadversio</w:t>
        </w:r>
      </w:hyperlink>
      <w:r>
        <w:rPr>
          <w:b w:val="0"/>
          <w:i w:val="0"/>
        </w:rPr>
        <w:t>.</w:t>
      </w:r>
    </w:p>
    <w:p>
      <w:pPr>
        <w:widowControl/>
      </w:pPr>
      <w:r>
        <w:rPr>
          <w:b/>
          <w:i w:val="0"/>
        </w:rPr>
        <w:t>agunt.</w:t>
      </w:r>
      <w:r>
        <w:rPr>
          <w:b w:val="0"/>
          <w:i w:val="0"/>
        </w:rPr>
        <w:t xml:space="preserve"> </w:t>
      </w:r>
      <w:hyperlink w:anchor="latin-record-0061">
        <w:r>
          <w:rPr>
            <w:color w:val="000000"/>
          </w:rPr>
          <w:t xml:space="preserve">agere; operari</w:t>
        </w:r>
      </w:hyperlink>
      <w:r>
        <w:rPr>
          <w:b w:val="0"/>
          <w:i w:val="0"/>
        </w:rPr>
        <w:t>.</w:t>
      </w:r>
    </w:p>
    <w:p>
      <w:pPr>
        <w:widowControl/>
      </w:pPr>
      <w:r>
        <w:rPr>
          <w:b/>
          <w:i w:val="0"/>
        </w:rPr>
        <w:t>alat.</w:t>
      </w:r>
      <w:r>
        <w:rPr>
          <w:b w:val="0"/>
          <w:i w:val="0"/>
        </w:rPr>
        <w:t xml:space="preserve"> </w:t>
      </w:r>
      <w:hyperlink w:anchor="latin-record-0070">
        <w:r>
          <w:rPr>
            <w:color w:val="000000"/>
          </w:rPr>
          <w:t xml:space="preserve">alimentum / alere</w:t>
        </w:r>
      </w:hyperlink>
      <w:r>
        <w:rPr>
          <w:b w:val="0"/>
          <w:i w:val="0"/>
        </w:rPr>
        <w:t>.</w:t>
      </w:r>
    </w:p>
    <w:p>
      <w:pPr>
        <w:widowControl/>
      </w:pPr>
      <w:r>
        <w:rPr>
          <w:b/>
          <w:i w:val="0"/>
        </w:rPr>
        <w:t>albedinem.</w:t>
      </w:r>
      <w:r>
        <w:rPr>
          <w:b w:val="0"/>
          <w:i w:val="0"/>
        </w:rPr>
        <w:t xml:space="preserve"> </w:t>
      </w:r>
      <w:hyperlink w:anchor="latin-record-0839">
        <w:r>
          <w:rPr>
            <w:color w:val="000000"/>
          </w:rPr>
          <w:t xml:space="preserve">nix / albedo</w:t>
        </w:r>
      </w:hyperlink>
      <w:r>
        <w:rPr>
          <w:b w:val="0"/>
          <w:i w:val="0"/>
        </w:rPr>
        <w:t>.</w:t>
      </w:r>
    </w:p>
    <w:p>
      <w:pPr>
        <w:widowControl/>
      </w:pPr>
      <w:r>
        <w:rPr>
          <w:b/>
          <w:i w:val="0"/>
        </w:rPr>
        <w:t>albedini.</w:t>
      </w:r>
      <w:r>
        <w:rPr>
          <w:b w:val="0"/>
          <w:i w:val="0"/>
        </w:rPr>
        <w:t xml:space="preserve"> </w:t>
      </w:r>
      <w:hyperlink w:anchor="latin-record-0066">
        <w:r>
          <w:rPr>
            <w:color w:val="000000"/>
          </w:rPr>
          <w:t xml:space="preserve">albedo / inficere / foedare</w:t>
        </w:r>
      </w:hyperlink>
      <w:r>
        <w:rPr>
          <w:b w:val="0"/>
          <w:i w:val="0"/>
        </w:rPr>
        <w:t>.</w:t>
      </w:r>
    </w:p>
    <w:p>
      <w:pPr>
        <w:widowControl/>
      </w:pPr>
      <w:r>
        <w:rPr>
          <w:b/>
          <w:i w:val="0"/>
        </w:rPr>
        <w:t>albedinisque.</w:t>
      </w:r>
      <w:r>
        <w:rPr>
          <w:b w:val="0"/>
          <w:i w:val="0"/>
        </w:rPr>
        <w:t xml:space="preserve"> </w:t>
      </w:r>
      <w:hyperlink w:anchor="latin-record-0066">
        <w:r>
          <w:rPr>
            <w:color w:val="000000"/>
          </w:rPr>
          <w:t xml:space="preserve">albedo / inficere / foedare</w:t>
        </w:r>
      </w:hyperlink>
      <w:r>
        <w:rPr>
          <w:b w:val="0"/>
          <w:i w:val="0"/>
        </w:rPr>
        <w:t>.</w:t>
      </w:r>
    </w:p>
    <w:p>
      <w:pPr>
        <w:widowControl/>
      </w:pPr>
      <w:r>
        <w:rPr>
          <w:b/>
          <w:i w:val="0"/>
        </w:rPr>
        <w:t>albedo.</w:t>
      </w:r>
      <w:r>
        <w:rPr>
          <w:b w:val="0"/>
          <w:i w:val="0"/>
        </w:rPr>
        <w:t xml:space="preserve"> </w:t>
      </w:r>
      <w:hyperlink w:anchor="latin-record-0839">
        <w:r>
          <w:rPr>
            <w:color w:val="000000"/>
          </w:rPr>
          <w:t xml:space="preserve">nix / albedo</w:t>
        </w:r>
      </w:hyperlink>
      <w:r>
        <w:rPr>
          <w:b w:val="0"/>
          <w:i w:val="0"/>
        </w:rPr>
        <w:t>.</w:t>
      </w:r>
    </w:p>
    <w:p>
      <w:pPr>
        <w:widowControl/>
      </w:pPr>
      <w:r>
        <w:rPr>
          <w:b/>
          <w:i w:val="0"/>
        </w:rPr>
        <w:t>Alcibiadis.</w:t>
      </w:r>
      <w:r>
        <w:rPr>
          <w:b w:val="0"/>
          <w:i w:val="0"/>
        </w:rPr>
        <w:t xml:space="preserve"> </w:t>
      </w:r>
      <w:hyperlink w:anchor="latin-record-1394">
        <w:r>
          <w:rPr>
            <w:color w:val="000000"/>
          </w:rPr>
          <w:t xml:space="preserve">Xenophon / Alcibiades / Phaedrus</w:t>
        </w:r>
      </w:hyperlink>
      <w:r>
        <w:rPr>
          <w:b w:val="0"/>
          <w:i w:val="0"/>
        </w:rPr>
        <w:t>.</w:t>
      </w:r>
    </w:p>
    <w:p>
      <w:pPr>
        <w:widowControl/>
      </w:pPr>
      <w:r>
        <w:rPr>
          <w:b/>
          <w:i w:val="0"/>
        </w:rPr>
        <w:t>alendum.</w:t>
      </w:r>
      <w:r>
        <w:rPr>
          <w:b w:val="0"/>
          <w:i w:val="0"/>
        </w:rPr>
        <w:t xml:space="preserve"> </w:t>
      </w:r>
      <w:hyperlink w:anchor="latin-record-0067">
        <w:r>
          <w:rPr>
            <w:color w:val="000000"/>
          </w:rPr>
          <w:t xml:space="preserve">alere / nutrire</w:t>
        </w:r>
      </w:hyperlink>
      <w:r>
        <w:rPr>
          <w:b w:val="0"/>
          <w:i w:val="0"/>
        </w:rPr>
        <w:t>.</w:t>
      </w:r>
    </w:p>
    <w:p>
      <w:pPr>
        <w:widowControl/>
      </w:pPr>
      <w:r>
        <w:rPr>
          <w:b/>
          <w:i w:val="0"/>
        </w:rPr>
        <w:t>ali.</w:t>
      </w:r>
      <w:r>
        <w:rPr>
          <w:b w:val="0"/>
          <w:i w:val="0"/>
        </w:rPr>
        <w:t xml:space="preserve"> </w:t>
      </w:r>
      <w:hyperlink w:anchor="latin-record-0067">
        <w:r>
          <w:rPr>
            <w:color w:val="000000"/>
          </w:rPr>
          <w:t xml:space="preserve">alere / nutrire</w:t>
        </w:r>
      </w:hyperlink>
      <w:r>
        <w:rPr>
          <w:b w:val="0"/>
          <w:i w:val="0"/>
        </w:rPr>
        <w:t>.</w:t>
      </w:r>
    </w:p>
    <w:p>
      <w:pPr>
        <w:widowControl/>
      </w:pPr>
      <w:r>
        <w:rPr>
          <w:b/>
          <w:i w:val="0"/>
        </w:rPr>
        <w:t>alia quadam ratione.</w:t>
      </w:r>
      <w:r>
        <w:rPr>
          <w:b w:val="0"/>
          <w:i w:val="0"/>
        </w:rPr>
        <w:t xml:space="preserve"> </w:t>
      </w:r>
      <w:hyperlink w:anchor="latin-record-1037">
        <w:r>
          <w:rPr>
            <w:color w:val="000000"/>
          </w:rPr>
          <w:t xml:space="preserve">qua ratione</w:t>
        </w:r>
      </w:hyperlink>
      <w:r>
        <w:rPr>
          <w:b w:val="0"/>
          <w:i w:val="0"/>
        </w:rPr>
        <w:t>.</w:t>
      </w:r>
    </w:p>
    <w:p>
      <w:pPr>
        <w:widowControl/>
      </w:pPr>
      <w:r>
        <w:rPr>
          <w:b/>
          <w:i w:val="0"/>
        </w:rPr>
        <w:t>aliena.</w:t>
      </w:r>
      <w:r>
        <w:rPr>
          <w:b w:val="0"/>
          <w:i w:val="0"/>
        </w:rPr>
        <w:t xml:space="preserve"> </w:t>
      </w:r>
      <w:hyperlink w:anchor="latin-record-0069">
        <w:r>
          <w:rPr>
            <w:color w:val="000000"/>
          </w:rPr>
          <w:t xml:space="preserve">alienus / extraneus</w:t>
        </w:r>
      </w:hyperlink>
      <w:r>
        <w:rPr>
          <w:b w:val="0"/>
          <w:i w:val="0"/>
        </w:rPr>
        <w:t>.</w:t>
      </w:r>
    </w:p>
    <w:p>
      <w:pPr>
        <w:widowControl/>
      </w:pPr>
      <w:r>
        <w:rPr>
          <w:b/>
          <w:i w:val="0"/>
        </w:rPr>
        <w:t>alienato.</w:t>
      </w:r>
      <w:r>
        <w:rPr>
          <w:b w:val="0"/>
          <w:i w:val="0"/>
        </w:rPr>
        <w:t xml:space="preserve"> </w:t>
      </w:r>
      <w:hyperlink w:anchor="latin-record-0068">
        <w:r>
          <w:rPr>
            <w:color w:val="000000"/>
          </w:rPr>
          <w:t xml:space="preserve">alienare / purgare</w:t>
        </w:r>
      </w:hyperlink>
      <w:r>
        <w:rPr>
          <w:b w:val="0"/>
          <w:i w:val="0"/>
        </w:rPr>
        <w:t>.</w:t>
      </w:r>
    </w:p>
    <w:p>
      <w:pPr>
        <w:widowControl/>
      </w:pPr>
      <w:r>
        <w:rPr>
          <w:b/>
          <w:i w:val="0"/>
        </w:rPr>
        <w:t>alienior.</w:t>
      </w:r>
      <w:r>
        <w:rPr>
          <w:b w:val="0"/>
          <w:i w:val="0"/>
        </w:rPr>
        <w:t xml:space="preserve"> </w:t>
      </w:r>
      <w:hyperlink w:anchor="latin-record-1018">
        <w:r>
          <w:rPr>
            <w:color w:val="000000"/>
          </w:rPr>
          <w:t xml:space="preserve">proprius / intimus / alienior</w:t>
        </w:r>
      </w:hyperlink>
      <w:r>
        <w:rPr>
          <w:b w:val="0"/>
          <w:i w:val="0"/>
        </w:rPr>
        <w:t>.</w:t>
      </w:r>
    </w:p>
    <w:p>
      <w:pPr>
        <w:widowControl/>
      </w:pPr>
      <w:r>
        <w:rPr>
          <w:b/>
          <w:i w:val="0"/>
        </w:rPr>
        <w:t>alienis.</w:t>
      </w:r>
      <w:r>
        <w:rPr>
          <w:b w:val="0"/>
          <w:i w:val="0"/>
        </w:rPr>
        <w:t xml:space="preserve"> </w:t>
      </w:r>
      <w:hyperlink w:anchor="latin-record-0069">
        <w:r>
          <w:rPr>
            <w:color w:val="000000"/>
          </w:rPr>
          <w:t xml:space="preserve">alienus / extraneus</w:t>
        </w:r>
      </w:hyperlink>
      <w:r>
        <w:rPr>
          <w:b w:val="0"/>
          <w:i w:val="0"/>
        </w:rPr>
        <w:t>.</w:t>
      </w:r>
    </w:p>
    <w:p>
      <w:pPr>
        <w:widowControl/>
      </w:pPr>
      <w:r>
        <w:rPr>
          <w:b/>
          <w:i w:val="0"/>
        </w:rPr>
        <w:t>alimenta.</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alimentis.</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alimento.</w:t>
      </w:r>
      <w:r>
        <w:rPr>
          <w:b w:val="0"/>
          <w:i w:val="0"/>
        </w:rPr>
        <w:t xml:space="preserve"> </w:t>
      </w:r>
      <w:hyperlink w:anchor="latin-record-0070">
        <w:r>
          <w:rPr>
            <w:color w:val="000000"/>
          </w:rPr>
          <w:t xml:space="preserve">alimentum / alere</w:t>
        </w:r>
      </w:hyperlink>
      <w:r>
        <w:rPr>
          <w:b w:val="0"/>
          <w:i w:val="0"/>
        </w:rPr>
        <w:t>.</w:t>
      </w:r>
    </w:p>
    <w:p>
      <w:pPr>
        <w:widowControl/>
      </w:pPr>
      <w:r>
        <w:rPr>
          <w:b/>
          <w:i w:val="0"/>
        </w:rPr>
        <w:t>Alimentum.</w:t>
      </w:r>
      <w:r>
        <w:rPr>
          <w:b w:val="0"/>
          <w:i w:val="0"/>
        </w:rPr>
        <w:t xml:space="preserve"> </w:t>
      </w:r>
      <w:hyperlink w:anchor="latin-record-0071">
        <w:r>
          <w:rPr>
            <w:color w:val="000000"/>
          </w:rPr>
          <w:t xml:space="preserve">alimentum / alimonia / esca / cibus</w:t>
        </w:r>
      </w:hyperlink>
      <w:r>
        <w:rPr>
          <w:b w:val="0"/>
          <w:i w:val="0"/>
        </w:rPr>
        <w:t xml:space="preserve">; </w:t>
      </w:r>
      <w:hyperlink w:anchor="latin-record-0072">
        <w:r>
          <w:rPr>
            <w:color w:val="000000"/>
          </w:rPr>
          <w:t xml:space="preserve">alimentum; alimonia; nutrimentum</w:t>
        </w:r>
      </w:hyperlink>
      <w:r>
        <w:rPr>
          <w:b w:val="0"/>
          <w:i w:val="0"/>
        </w:rPr>
        <w:t>.</w:t>
      </w:r>
    </w:p>
    <w:p>
      <w:pPr>
        <w:widowControl/>
      </w:pPr>
      <w:r>
        <w:rPr>
          <w:b/>
          <w:i w:val="0"/>
        </w:rPr>
        <w:t>alimonia.</w:t>
      </w:r>
      <w:r>
        <w:rPr>
          <w:b w:val="0"/>
          <w:i w:val="0"/>
        </w:rPr>
        <w:t xml:space="preserve"> </w:t>
      </w:r>
      <w:hyperlink w:anchor="latin-record-0071">
        <w:r>
          <w:rPr>
            <w:color w:val="000000"/>
          </w:rPr>
          <w:t xml:space="preserve">alimentum / alimonia / esca / cibus</w:t>
        </w:r>
      </w:hyperlink>
      <w:r>
        <w:rPr>
          <w:b w:val="0"/>
          <w:i w:val="0"/>
        </w:rPr>
        <w:t xml:space="preserve">; </w:t>
      </w:r>
      <w:hyperlink w:anchor="latin-record-0072">
        <w:r>
          <w:rPr>
            <w:color w:val="000000"/>
          </w:rPr>
          <w:t xml:space="preserve">alimentum; alimonia; nutrimentum</w:t>
        </w:r>
      </w:hyperlink>
      <w:r>
        <w:rPr>
          <w:b w:val="0"/>
          <w:i w:val="0"/>
        </w:rPr>
        <w:t>.</w:t>
      </w:r>
    </w:p>
    <w:p>
      <w:pPr>
        <w:widowControl/>
      </w:pPr>
      <w:r>
        <w:rPr>
          <w:b/>
          <w:i w:val="0"/>
        </w:rPr>
        <w:t>alimoniam.</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aliquando.</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alitur.</w:t>
      </w:r>
      <w:r>
        <w:rPr>
          <w:b w:val="0"/>
          <w:i w:val="0"/>
        </w:rPr>
        <w:t xml:space="preserve"> </w:t>
      </w:r>
      <w:hyperlink w:anchor="latin-record-0067">
        <w:r>
          <w:rPr>
            <w:color w:val="000000"/>
          </w:rPr>
          <w:t xml:space="preserve">alere / nutrire</w:t>
        </w:r>
      </w:hyperlink>
      <w:r>
        <w:rPr>
          <w:b w:val="0"/>
          <w:i w:val="0"/>
        </w:rPr>
        <w:t>.</w:t>
      </w:r>
    </w:p>
    <w:p>
      <w:pPr>
        <w:widowControl/>
      </w:pPr>
      <w:r>
        <w:rPr>
          <w:b/>
          <w:i w:val="0"/>
        </w:rPr>
        <w:t>aliud potius aliud.</w:t>
      </w:r>
      <w:r>
        <w:rPr>
          <w:b w:val="0"/>
          <w:i w:val="0"/>
        </w:rPr>
        <w:t xml:space="preserve"> </w:t>
      </w:r>
      <w:hyperlink w:anchor="latin-record-0073">
        <w:r>
          <w:rPr>
            <w:color w:val="000000"/>
          </w:rPr>
          <w:t xml:space="preserve">aliud aliud</w:t>
        </w:r>
      </w:hyperlink>
      <w:r>
        <w:rPr>
          <w:b w:val="0"/>
          <w:i w:val="0"/>
        </w:rPr>
        <w:t>.</w:t>
      </w:r>
    </w:p>
    <w:p>
      <w:pPr>
        <w:widowControl/>
      </w:pPr>
      <w:r>
        <w:rPr>
          <w:b/>
          <w:i w:val="0"/>
        </w:rPr>
        <w:t>alligata.</w:t>
      </w:r>
      <w:r>
        <w:rPr>
          <w:b w:val="0"/>
          <w:i w:val="0"/>
        </w:rPr>
        <w:t xml:space="preserve"> </w:t>
      </w:r>
      <w:hyperlink w:anchor="latin-record-0074">
        <w:r>
          <w:rPr>
            <w:color w:val="000000"/>
          </w:rPr>
          <w:t xml:space="preserve">alligare / addicere</w:t>
        </w:r>
      </w:hyperlink>
      <w:r>
        <w:rPr>
          <w:b w:val="0"/>
          <w:i w:val="0"/>
        </w:rPr>
        <w:t>.</w:t>
      </w:r>
    </w:p>
    <w:p>
      <w:pPr>
        <w:widowControl/>
      </w:pPr>
      <w:r>
        <w:rPr>
          <w:b/>
          <w:i w:val="0"/>
        </w:rPr>
        <w:t>alligatos.</w:t>
      </w:r>
      <w:r>
        <w:rPr>
          <w:b w:val="0"/>
          <w:i w:val="0"/>
        </w:rPr>
        <w:t xml:space="preserve"> </w:t>
      </w:r>
      <w:hyperlink w:anchor="latin-record-0715">
        <w:r>
          <w:rPr>
            <w:color w:val="000000"/>
          </w:rPr>
          <w:t xml:space="preserve">ligare; vincire</w:t>
        </w:r>
      </w:hyperlink>
      <w:r>
        <w:rPr>
          <w:b w:val="0"/>
          <w:i w:val="0"/>
        </w:rPr>
        <w:t>.</w:t>
      </w:r>
    </w:p>
    <w:p>
      <w:pPr>
        <w:widowControl/>
      </w:pPr>
      <w:r>
        <w:rPr>
          <w:b/>
          <w:i w:val="0"/>
        </w:rPr>
        <w:t>alligatur.</w:t>
      </w:r>
      <w:r>
        <w:rPr>
          <w:b w:val="0"/>
          <w:i w:val="0"/>
        </w:rPr>
        <w:t xml:space="preserve"> </w:t>
      </w:r>
      <w:hyperlink w:anchor="latin-record-0074">
        <w:r>
          <w:rPr>
            <w:color w:val="000000"/>
          </w:rPr>
          <w:t xml:space="preserve">alligare / addicere</w:t>
        </w:r>
      </w:hyperlink>
      <w:r>
        <w:rPr>
          <w:b w:val="0"/>
          <w:i w:val="0"/>
        </w:rPr>
        <w:t xml:space="preserve">; </w:t>
      </w:r>
      <w:hyperlink w:anchor="latin-record-0141">
        <w:r>
          <w:rPr>
            <w:color w:val="000000"/>
          </w:rPr>
          <w:t xml:space="preserve">astringere / alligare</w:t>
        </w:r>
      </w:hyperlink>
      <w:r>
        <w:rPr>
          <w:b w:val="0"/>
          <w:i w:val="0"/>
        </w:rPr>
        <w:t>.</w:t>
      </w:r>
    </w:p>
    <w:p>
      <w:pPr>
        <w:widowControl/>
      </w:pPr>
      <w:r>
        <w:rPr>
          <w:b/>
          <w:i w:val="0"/>
        </w:rPr>
        <w:t>alteratio, generatio, corruptio.</w:t>
      </w:r>
      <w:r>
        <w:rPr>
          <w:b w:val="0"/>
          <w:i w:val="0"/>
        </w:rPr>
        <w:t xml:space="preserve"> </w:t>
      </w:r>
      <w:hyperlink w:anchor="latin-record-0075">
        <w:r>
          <w:rPr>
            <w:color w:val="000000"/>
          </w:rPr>
          <w:t xml:space="preserve">alteratio; generatio; corruptio</w:t>
        </w:r>
      </w:hyperlink>
      <w:r>
        <w:rPr>
          <w:b w:val="0"/>
          <w:i w:val="0"/>
        </w:rPr>
        <w:t>.</w:t>
      </w:r>
    </w:p>
    <w:p>
      <w:pPr>
        <w:widowControl/>
      </w:pPr>
      <w:r>
        <w:rPr>
          <w:b/>
          <w:i w:val="0"/>
        </w:rPr>
        <w:t>alterationem.</w:t>
      </w:r>
      <w:r>
        <w:rPr>
          <w:b w:val="0"/>
          <w:i w:val="0"/>
        </w:rPr>
        <w:t xml:space="preserve"> </w:t>
      </w:r>
      <w:hyperlink w:anchor="latin-record-0807">
        <w:r>
          <w:rPr>
            <w:color w:val="000000"/>
          </w:rPr>
          <w:t xml:space="preserve">motus / alteratio / quies</w:t>
        </w:r>
      </w:hyperlink>
      <w:r>
        <w:rPr>
          <w:b w:val="0"/>
          <w:i w:val="0"/>
        </w:rPr>
        <w:t>.</w:t>
      </w:r>
    </w:p>
    <w:p>
      <w:pPr>
        <w:widowControl/>
      </w:pPr>
      <w:r>
        <w:rPr>
          <w:b/>
          <w:i w:val="0"/>
        </w:rPr>
        <w:t>alteritate.</w:t>
      </w:r>
      <w:r>
        <w:rPr>
          <w:b w:val="0"/>
          <w:i w:val="0"/>
        </w:rPr>
        <w:t xml:space="preserve"> </w:t>
      </w:r>
      <w:hyperlink w:anchor="latin-record-0076">
        <w:r>
          <w:rPr>
            <w:color w:val="000000"/>
          </w:rPr>
          <w:t xml:space="preserve">alteritas</w:t>
        </w:r>
      </w:hyperlink>
      <w:r>
        <w:rPr>
          <w:b w:val="0"/>
          <w:i w:val="0"/>
        </w:rPr>
        <w:t>.</w:t>
      </w:r>
    </w:p>
    <w:p>
      <w:pPr>
        <w:widowControl/>
      </w:pPr>
      <w:r>
        <w:rPr>
          <w:b/>
          <w:i w:val="0"/>
        </w:rPr>
        <w:t>alvo.</w:t>
      </w:r>
      <w:r>
        <w:rPr>
          <w:b w:val="0"/>
          <w:i w:val="0"/>
        </w:rPr>
        <w:t xml:space="preserve"> </w:t>
      </w:r>
      <w:hyperlink w:anchor="latin-record-0077">
        <w:r>
          <w:rPr>
            <w:color w:val="000000"/>
          </w:rPr>
          <w:t xml:space="preserve">alvus / fetus</w:t>
        </w:r>
      </w:hyperlink>
      <w:r>
        <w:rPr>
          <w:b w:val="0"/>
          <w:i w:val="0"/>
        </w:rPr>
        <w:t>.</w:t>
      </w:r>
    </w:p>
    <w:p>
      <w:pPr>
        <w:widowControl/>
      </w:pPr>
      <w:r>
        <w:rPr>
          <w:b/>
          <w:i w:val="0"/>
        </w:rPr>
        <w:t>amara.</w:t>
      </w:r>
      <w:r>
        <w:rPr>
          <w:b w:val="0"/>
          <w:i w:val="0"/>
        </w:rPr>
        <w:t xml:space="preserve"> </w:t>
      </w:r>
      <w:hyperlink w:anchor="latin-record-1388">
        <w:r>
          <w:rPr>
            <w:color w:val="000000"/>
          </w:rPr>
          <w:t xml:space="preserve">vox; odor; sapor</w:t>
        </w:r>
      </w:hyperlink>
      <w:r>
        <w:rPr>
          <w:b w:val="0"/>
          <w:i w:val="0"/>
        </w:rPr>
        <w:t>.</w:t>
      </w:r>
    </w:p>
    <w:p>
      <w:pPr>
        <w:widowControl/>
      </w:pPr>
      <w:r>
        <w:rPr>
          <w:b/>
          <w:i w:val="0"/>
        </w:rPr>
        <w:t>amarum.</w:t>
      </w:r>
      <w:r>
        <w:rPr>
          <w:b w:val="0"/>
          <w:i w:val="0"/>
        </w:rPr>
        <w:t xml:space="preserve"> </w:t>
      </w:r>
      <w:hyperlink w:anchor="latin-record-0415">
        <w:r>
          <w:rPr>
            <w:color w:val="000000"/>
          </w:rPr>
          <w:t xml:space="preserve">dulce / amarum / utile / inutile</w:t>
        </w:r>
      </w:hyperlink>
      <w:r>
        <w:rPr>
          <w:b w:val="0"/>
          <w:i w:val="0"/>
        </w:rPr>
        <w:t>.</w:t>
      </w:r>
    </w:p>
    <w:p>
      <w:pPr>
        <w:widowControl/>
      </w:pPr>
      <w:r>
        <w:rPr>
          <w:b/>
          <w:i w:val="0"/>
        </w:rPr>
        <w:t>amentibus.</w:t>
      </w:r>
      <w:r>
        <w:rPr>
          <w:b w:val="0"/>
          <w:i w:val="0"/>
        </w:rPr>
        <w:t xml:space="preserve"> </w:t>
      </w:r>
      <w:hyperlink w:anchor="latin-record-0078">
        <w:r>
          <w:rPr>
            <w:color w:val="000000"/>
          </w:rPr>
          <w:t xml:space="preserve">amens / mens</w:t>
        </w:r>
      </w:hyperlink>
      <w:r>
        <w:rPr>
          <w:b w:val="0"/>
          <w:i w:val="0"/>
        </w:rPr>
        <w:t>.</w:t>
      </w:r>
    </w:p>
    <w:p>
      <w:pPr>
        <w:widowControl/>
      </w:pPr>
      <w:r>
        <w:rPr>
          <w:b/>
          <w:i w:val="0"/>
        </w:rPr>
        <w:t>amicitia.</w:t>
      </w:r>
      <w:r>
        <w:rPr>
          <w:b w:val="0"/>
          <w:i w:val="0"/>
        </w:rPr>
        <w:t xml:space="preserve"> </w:t>
      </w:r>
      <w:hyperlink w:anchor="latin-record-0079">
        <w:r>
          <w:rPr>
            <w:color w:val="000000"/>
          </w:rPr>
          <w:t xml:space="preserve">amicitia / disciplina</w:t>
        </w:r>
      </w:hyperlink>
      <w:r>
        <w:rPr>
          <w:b w:val="0"/>
          <w:i w:val="0"/>
        </w:rPr>
        <w:t>.</w:t>
      </w:r>
    </w:p>
    <w:p>
      <w:pPr>
        <w:widowControl/>
      </w:pPr>
      <w:r>
        <w:rPr>
          <w:b/>
          <w:i w:val="0"/>
        </w:rPr>
        <w:t>amicitiae.</w:t>
      </w:r>
      <w:r>
        <w:rPr>
          <w:b w:val="0"/>
          <w:i w:val="0"/>
        </w:rPr>
        <w:t xml:space="preserve"> </w:t>
      </w:r>
      <w:hyperlink w:anchor="latin-record-0079">
        <w:r>
          <w:rPr>
            <w:color w:val="000000"/>
          </w:rPr>
          <w:t xml:space="preserve">amicitia / disciplina</w:t>
        </w:r>
      </w:hyperlink>
      <w:r>
        <w:rPr>
          <w:b w:val="0"/>
          <w:i w:val="0"/>
        </w:rPr>
        <w:t>.</w:t>
      </w:r>
    </w:p>
    <w:p>
      <w:pPr>
        <w:widowControl/>
      </w:pPr>
      <w:r>
        <w:rPr>
          <w:b/>
          <w:i w:val="0"/>
        </w:rPr>
        <w:t>amissum.</w:t>
      </w:r>
      <w:r>
        <w:rPr>
          <w:b w:val="0"/>
          <w:i w:val="0"/>
        </w:rPr>
        <w:t xml:space="preserve"> </w:t>
      </w:r>
      <w:hyperlink w:anchor="latin-record-0080">
        <w:r>
          <w:rPr>
            <w:color w:val="000000"/>
          </w:rPr>
          <w:t xml:space="preserve">amittere</w:t>
        </w:r>
      </w:hyperlink>
      <w:r>
        <w:rPr>
          <w:b w:val="0"/>
          <w:i w:val="0"/>
        </w:rPr>
        <w:t>.</w:t>
      </w:r>
    </w:p>
    <w:p>
      <w:pPr>
        <w:widowControl/>
      </w:pPr>
      <w:r>
        <w:rPr>
          <w:b/>
          <w:i w:val="0"/>
        </w:rPr>
        <w:t>amittat.</w:t>
      </w:r>
      <w:r>
        <w:rPr>
          <w:b w:val="0"/>
          <w:i w:val="0"/>
        </w:rPr>
        <w:t xml:space="preserve"> </w:t>
      </w:r>
      <w:hyperlink w:anchor="latin-record-0080">
        <w:r>
          <w:rPr>
            <w:color w:val="000000"/>
          </w:rPr>
          <w:t xml:space="preserve">amittere</w:t>
        </w:r>
      </w:hyperlink>
      <w:r>
        <w:rPr>
          <w:b w:val="0"/>
          <w:i w:val="0"/>
        </w:rPr>
        <w:t>.</w:t>
      </w:r>
    </w:p>
    <w:p>
      <w:pPr>
        <w:widowControl/>
      </w:pPr>
      <w:r>
        <w:rPr>
          <w:b/>
          <w:i w:val="0"/>
        </w:rPr>
        <w:t>amittendo.</w:t>
      </w:r>
      <w:r>
        <w:rPr>
          <w:b w:val="0"/>
          <w:i w:val="0"/>
        </w:rPr>
        <w:t xml:space="preserve"> </w:t>
      </w:r>
      <w:hyperlink w:anchor="latin-record-0034">
        <w:r>
          <w:rPr>
            <w:color w:val="000000"/>
          </w:rPr>
          <w:t xml:space="preserve">adimere</w:t>
        </w:r>
      </w:hyperlink>
      <w:r>
        <w:rPr>
          <w:b w:val="0"/>
          <w:i w:val="0"/>
        </w:rPr>
        <w:t>.</w:t>
      </w:r>
    </w:p>
    <w:p>
      <w:pPr>
        <w:widowControl/>
      </w:pPr>
      <w:r>
        <w:rPr>
          <w:b/>
          <w:i w:val="0"/>
        </w:rPr>
        <w:t>amittere.</w:t>
      </w:r>
      <w:r>
        <w:rPr>
          <w:b w:val="0"/>
          <w:i w:val="0"/>
        </w:rPr>
        <w:t xml:space="preserve"> </w:t>
      </w:r>
      <w:hyperlink w:anchor="latin-record-0080">
        <w:r>
          <w:rPr>
            <w:color w:val="000000"/>
          </w:rPr>
          <w:t xml:space="preserve">amittere</w:t>
        </w:r>
      </w:hyperlink>
      <w:r>
        <w:rPr>
          <w:b w:val="0"/>
          <w:i w:val="0"/>
        </w:rPr>
        <w:t xml:space="preserve">; </w:t>
      </w:r>
      <w:hyperlink w:anchor="latin-record-0081">
        <w:r>
          <w:rPr>
            <w:color w:val="000000"/>
          </w:rPr>
          <w:t xml:space="preserve">amittere / deicere</w:t>
        </w:r>
      </w:hyperlink>
      <w:r>
        <w:rPr>
          <w:b w:val="0"/>
          <w:i w:val="0"/>
        </w:rPr>
        <w:t xml:space="preserve">; </w:t>
      </w:r>
      <w:hyperlink w:anchor="latin-record-0082">
        <w:r>
          <w:rPr>
            <w:color w:val="000000"/>
          </w:rPr>
          <w:t xml:space="preserve">amittere; quaerere; fugere</w:t>
        </w:r>
      </w:hyperlink>
      <w:r>
        <w:rPr>
          <w:b w:val="0"/>
          <w:i w:val="0"/>
        </w:rPr>
        <w:t>.</w:t>
      </w:r>
    </w:p>
    <w:p>
      <w:pPr>
        <w:widowControl/>
      </w:pPr>
      <w:r>
        <w:rPr>
          <w:b/>
          <w:i w:val="0"/>
        </w:rPr>
        <w:t>amittit.</w:t>
      </w:r>
      <w:r>
        <w:rPr>
          <w:b w:val="0"/>
          <w:i w:val="0"/>
        </w:rPr>
        <w:t xml:space="preserve"> </w:t>
      </w:r>
      <w:hyperlink w:anchor="latin-record-0080">
        <w:r>
          <w:rPr>
            <w:color w:val="000000"/>
          </w:rPr>
          <w:t xml:space="preserve">amittere</w:t>
        </w:r>
      </w:hyperlink>
      <w:r>
        <w:rPr>
          <w:b w:val="0"/>
          <w:i w:val="0"/>
        </w:rPr>
        <w:t xml:space="preserve">; </w:t>
      </w:r>
      <w:hyperlink w:anchor="latin-record-0081">
        <w:r>
          <w:rPr>
            <w:color w:val="000000"/>
          </w:rPr>
          <w:t xml:space="preserve">amittere / deicere</w:t>
        </w:r>
      </w:hyperlink>
      <w:r>
        <w:rPr>
          <w:b w:val="0"/>
          <w:i w:val="0"/>
        </w:rPr>
        <w:t>.</w:t>
      </w:r>
    </w:p>
    <w:p>
      <w:pPr>
        <w:widowControl/>
      </w:pPr>
      <w:r>
        <w:rPr>
          <w:b/>
          <w:i w:val="0"/>
        </w:rPr>
        <w:t>amplectitur.</w:t>
      </w:r>
      <w:r>
        <w:rPr>
          <w:b w:val="0"/>
          <w:i w:val="0"/>
        </w:rPr>
        <w:t xml:space="preserve"> </w:t>
      </w:r>
      <w:hyperlink w:anchor="latin-record-0083">
        <w:r>
          <w:rPr>
            <w:color w:val="000000"/>
          </w:rPr>
          <w:t xml:space="preserve">amplexus / complecti / capere</w:t>
        </w:r>
      </w:hyperlink>
      <w:r>
        <w:rPr>
          <w:b w:val="0"/>
          <w:i w:val="0"/>
        </w:rPr>
        <w:t>.</w:t>
      </w:r>
    </w:p>
    <w:p>
      <w:pPr>
        <w:widowControl/>
      </w:pPr>
      <w:r>
        <w:rPr>
          <w:b/>
          <w:i w:val="0"/>
        </w:rPr>
        <w:t>amplexibus.</w:t>
      </w:r>
      <w:r>
        <w:rPr>
          <w:b w:val="0"/>
          <w:i w:val="0"/>
        </w:rPr>
        <w:t xml:space="preserve"> </w:t>
      </w:r>
      <w:hyperlink w:anchor="latin-record-0083">
        <w:r>
          <w:rPr>
            <w:color w:val="000000"/>
          </w:rPr>
          <w:t xml:space="preserve">amplexus / complecti / capere</w:t>
        </w:r>
      </w:hyperlink>
      <w:r>
        <w:rPr>
          <w:b w:val="0"/>
          <w:i w:val="0"/>
        </w:rPr>
        <w:t>.</w:t>
      </w:r>
    </w:p>
    <w:p>
      <w:pPr>
        <w:widowControl/>
      </w:pPr>
      <w:r>
        <w:rPr>
          <w:b/>
          <w:i w:val="0"/>
        </w:rPr>
        <w:t>amplificata.</w:t>
      </w:r>
      <w:r>
        <w:rPr>
          <w:b w:val="0"/>
          <w:i w:val="0"/>
        </w:rPr>
        <w:t xml:space="preserve"> </w:t>
      </w:r>
      <w:hyperlink w:anchor="latin-record-0084">
        <w:r>
          <w:rPr>
            <w:color w:val="000000"/>
          </w:rPr>
          <w:t xml:space="preserve">amplificatio divina</w:t>
        </w:r>
      </w:hyperlink>
      <w:r>
        <w:rPr>
          <w:b w:val="0"/>
          <w:i w:val="0"/>
        </w:rPr>
        <w:t>.</w:t>
      </w:r>
    </w:p>
    <w:p>
      <w:pPr>
        <w:widowControl/>
      </w:pPr>
      <w:r>
        <w:rPr>
          <w:b/>
          <w:i w:val="0"/>
        </w:rPr>
        <w:t>amplificatione divina.</w:t>
      </w:r>
      <w:r>
        <w:rPr>
          <w:b w:val="0"/>
          <w:i w:val="0"/>
        </w:rPr>
        <w:t xml:space="preserve"> </w:t>
      </w:r>
      <w:hyperlink w:anchor="latin-record-0084">
        <w:r>
          <w:rPr>
            <w:color w:val="000000"/>
          </w:rPr>
          <w:t xml:space="preserve">amplificatio divina</w:t>
        </w:r>
      </w:hyperlink>
      <w:r>
        <w:rPr>
          <w:b w:val="0"/>
          <w:i w:val="0"/>
        </w:rPr>
        <w:t>.</w:t>
      </w:r>
    </w:p>
    <w:p>
      <w:pPr>
        <w:widowControl/>
      </w:pPr>
      <w:r>
        <w:rPr>
          <w:b/>
          <w:i w:val="0"/>
        </w:rPr>
        <w:t>amplitudinem.</w:t>
      </w:r>
      <w:r>
        <w:rPr>
          <w:b w:val="0"/>
          <w:i w:val="0"/>
        </w:rPr>
        <w:t xml:space="preserve"> </w:t>
      </w:r>
      <w:hyperlink w:anchor="latin-record-0085">
        <w:r>
          <w:rPr>
            <w:color w:val="000000"/>
          </w:rPr>
          <w:t xml:space="preserve">amplitudo; angustia</w:t>
        </w:r>
      </w:hyperlink>
      <w:r>
        <w:rPr>
          <w:b w:val="0"/>
          <w:i w:val="0"/>
        </w:rPr>
        <w:t>.</w:t>
      </w:r>
    </w:p>
    <w:p>
      <w:pPr>
        <w:widowControl/>
      </w:pPr>
      <w:r>
        <w:rPr>
          <w:b/>
          <w:i w:val="0"/>
        </w:rPr>
        <w:t>amplitudo.</w:t>
      </w:r>
      <w:r>
        <w:rPr>
          <w:b w:val="0"/>
          <w:i w:val="0"/>
        </w:rPr>
        <w:t xml:space="preserve"> </w:t>
      </w:r>
      <w:hyperlink w:anchor="latin-record-0408">
        <w:r>
          <w:rPr>
            <w:color w:val="000000"/>
          </w:rPr>
          <w:t xml:space="preserve">divitiarum cumulus / imperii amplitudo</w:t>
        </w:r>
      </w:hyperlink>
      <w:r>
        <w:rPr>
          <w:b w:val="0"/>
          <w:i w:val="0"/>
        </w:rPr>
        <w:t>.</w:t>
      </w:r>
    </w:p>
    <w:p>
      <w:pPr>
        <w:widowControl/>
      </w:pPr>
      <w:r>
        <w:rPr>
          <w:b/>
          <w:i w:val="0"/>
        </w:rPr>
        <w:t>amplius.</w:t>
      </w:r>
      <w:r>
        <w:rPr>
          <w:b w:val="0"/>
          <w:i w:val="0"/>
        </w:rPr>
        <w:t xml:space="preserve"> </w:t>
      </w:r>
      <w:hyperlink w:anchor="latin-record-0091">
        <w:r>
          <w:rPr>
            <w:color w:val="000000"/>
          </w:rPr>
          <w:t xml:space="preserve">angustus / amplus</w:t>
        </w:r>
      </w:hyperlink>
      <w:r>
        <w:rPr>
          <w:b w:val="0"/>
          <w:i w:val="0"/>
        </w:rPr>
        <w:t>.</w:t>
      </w:r>
    </w:p>
    <w:p>
      <w:pPr>
        <w:widowControl/>
      </w:pPr>
      <w:r>
        <w:rPr>
          <w:b/>
          <w:i w:val="0"/>
        </w:rPr>
        <w:t>an.</w:t>
      </w:r>
      <w:r>
        <w:rPr>
          <w:b w:val="0"/>
          <w:i w:val="0"/>
        </w:rPr>
        <w:t xml:space="preserve"> </w:t>
      </w:r>
      <w:hyperlink w:anchor="latin-record-1327">
        <w:r>
          <w:rPr>
            <w:color w:val="000000"/>
          </w:rPr>
          <w:t xml:space="preserve">utrum; an; numquid; num</w:t>
        </w:r>
      </w:hyperlink>
      <w:r>
        <w:rPr>
          <w:b w:val="0"/>
          <w:i w:val="0"/>
        </w:rPr>
        <w:t>.</w:t>
      </w:r>
    </w:p>
    <w:p>
      <w:pPr>
        <w:widowControl/>
      </w:pPr>
      <w:r>
        <w:rPr>
          <w:b/>
          <w:i w:val="0"/>
        </w:rPr>
        <w:t>An.</w:t>
      </w:r>
      <w:r>
        <w:rPr>
          <w:b w:val="0"/>
          <w:i w:val="0"/>
        </w:rPr>
        <w:t xml:space="preserve"> </w:t>
      </w:r>
      <w:hyperlink w:anchor="latin-record-1327">
        <w:r>
          <w:rPr>
            <w:color w:val="000000"/>
          </w:rPr>
          <w:t xml:space="preserve">utrum; an; numquid; num</w:t>
        </w:r>
      </w:hyperlink>
      <w:r>
        <w:rPr>
          <w:b w:val="0"/>
          <w:i w:val="0"/>
        </w:rPr>
        <w:t>.</w:t>
      </w:r>
    </w:p>
    <w:p>
      <w:pPr>
        <w:widowControl/>
      </w:pPr>
      <w:r>
        <w:rPr>
          <w:b/>
          <w:i w:val="0"/>
        </w:rPr>
        <w:t>Anaximenes.</w:t>
      </w:r>
      <w:r>
        <w:rPr>
          <w:b w:val="0"/>
          <w:i w:val="0"/>
        </w:rPr>
        <w:t xml:space="preserve"> </w:t>
      </w:r>
      <w:hyperlink w:anchor="latin-record-0086">
        <w:r>
          <w:rPr>
            <w:color w:val="000000"/>
          </w:rPr>
          <w:t xml:space="preserve">Anaximenes; Diogenes; Critias</w:t>
        </w:r>
      </w:hyperlink>
      <w:r>
        <w:rPr>
          <w:b w:val="0"/>
          <w:i w:val="0"/>
        </w:rPr>
        <w:t>.</w:t>
      </w:r>
    </w:p>
    <w:p>
      <w:pPr>
        <w:widowControl/>
      </w:pPr>
      <w:r>
        <w:rPr>
          <w:b/>
          <w:i w:val="0"/>
        </w:rPr>
        <w:t>angelis.</w:t>
      </w:r>
      <w:r>
        <w:rPr>
          <w:b w:val="0"/>
          <w:i w:val="0"/>
        </w:rPr>
        <w:t xml:space="preserve"> </w:t>
      </w:r>
      <w:hyperlink w:anchor="latin-record-0090">
        <w:r>
          <w:rPr>
            <w:color w:val="000000"/>
          </w:rPr>
          <w:t xml:space="preserve">angelus; Deus</w:t>
        </w:r>
      </w:hyperlink>
      <w:r>
        <w:rPr>
          <w:b w:val="0"/>
          <w:i w:val="0"/>
        </w:rPr>
        <w:t>.</w:t>
      </w:r>
    </w:p>
    <w:p>
      <w:pPr>
        <w:widowControl/>
      </w:pPr>
      <w:r>
        <w:rPr>
          <w:b/>
          <w:i w:val="0"/>
        </w:rPr>
        <w:t>angelo.</w:t>
      </w:r>
      <w:r>
        <w:rPr>
          <w:b w:val="0"/>
          <w:i w:val="0"/>
        </w:rPr>
        <w:t xml:space="preserve"> </w:t>
      </w:r>
      <w:hyperlink w:anchor="latin-record-0088">
        <w:r>
          <w:rPr>
            <w:color w:val="000000"/>
          </w:rPr>
          <w:t xml:space="preserve">angelus</w:t>
        </w:r>
      </w:hyperlink>
      <w:r>
        <w:rPr>
          <w:b w:val="0"/>
          <w:i w:val="0"/>
        </w:rPr>
        <w:t>.</w:t>
      </w:r>
    </w:p>
    <w:p>
      <w:pPr>
        <w:widowControl/>
      </w:pPr>
      <w:r>
        <w:rPr>
          <w:b/>
          <w:i w:val="0"/>
        </w:rPr>
        <w:t>angelos.</w:t>
      </w:r>
      <w:r>
        <w:rPr>
          <w:b w:val="0"/>
          <w:i w:val="0"/>
        </w:rPr>
        <w:t xml:space="preserve"> </w:t>
      </w:r>
      <w:hyperlink w:anchor="latin-record-0089">
        <w:r>
          <w:rPr>
            <w:color w:val="000000"/>
          </w:rPr>
          <w:t xml:space="preserve">angelus finitus</w:t>
        </w:r>
      </w:hyperlink>
      <w:r>
        <w:rPr>
          <w:b w:val="0"/>
          <w:i w:val="0"/>
        </w:rPr>
        <w:t>.</w:t>
      </w:r>
    </w:p>
    <w:p>
      <w:pPr>
        <w:widowControl/>
      </w:pPr>
      <w:r>
        <w:rPr>
          <w:b/>
          <w:i w:val="0"/>
        </w:rPr>
        <w:t>angelum.</w:t>
      </w:r>
      <w:r>
        <w:rPr>
          <w:b w:val="0"/>
          <w:i w:val="0"/>
        </w:rPr>
        <w:t xml:space="preserve"> </w:t>
      </w:r>
      <w:hyperlink w:anchor="latin-record-0088">
        <w:r>
          <w:rPr>
            <w:color w:val="000000"/>
          </w:rPr>
          <w:t xml:space="preserve">angelus</w:t>
        </w:r>
      </w:hyperlink>
      <w:r>
        <w:rPr>
          <w:b w:val="0"/>
          <w:i w:val="0"/>
        </w:rPr>
        <w:t xml:space="preserve">; </w:t>
      </w:r>
      <w:hyperlink w:anchor="latin-record-0089">
        <w:r>
          <w:rPr>
            <w:color w:val="000000"/>
          </w:rPr>
          <w:t xml:space="preserve">angelus finitus</w:t>
        </w:r>
      </w:hyperlink>
      <w:r>
        <w:rPr>
          <w:b w:val="0"/>
          <w:i w:val="0"/>
        </w:rPr>
        <w:t>.</w:t>
      </w:r>
    </w:p>
    <w:p>
      <w:pPr>
        <w:widowControl/>
      </w:pPr>
      <w:r>
        <w:rPr>
          <w:b/>
          <w:i w:val="0"/>
        </w:rPr>
        <w:t>angelumve.</w:t>
      </w:r>
      <w:r>
        <w:rPr>
          <w:b w:val="0"/>
          <w:i w:val="0"/>
        </w:rPr>
        <w:t xml:space="preserve"> </w:t>
      </w:r>
      <w:hyperlink w:anchor="latin-record-0090">
        <w:r>
          <w:rPr>
            <w:color w:val="000000"/>
          </w:rPr>
          <w:t xml:space="preserve">angelus; Deus</w:t>
        </w:r>
      </w:hyperlink>
      <w:r>
        <w:rPr>
          <w:b w:val="0"/>
          <w:i w:val="0"/>
        </w:rPr>
        <w:t>.</w:t>
      </w:r>
    </w:p>
    <w:p>
      <w:pPr>
        <w:widowControl/>
      </w:pPr>
      <w:r>
        <w:rPr>
          <w:b/>
          <w:i w:val="0"/>
        </w:rPr>
        <w:t>angelus.</w:t>
      </w:r>
      <w:r>
        <w:rPr>
          <w:b w:val="0"/>
          <w:i w:val="0"/>
        </w:rPr>
        <w:t xml:space="preserve"> </w:t>
      </w:r>
      <w:hyperlink w:anchor="latin-record-0088">
        <w:r>
          <w:rPr>
            <w:color w:val="000000"/>
          </w:rPr>
          <w:t xml:space="preserve">angelus</w:t>
        </w:r>
      </w:hyperlink>
      <w:r>
        <w:rPr>
          <w:b w:val="0"/>
          <w:i w:val="0"/>
        </w:rPr>
        <w:t xml:space="preserve">; </w:t>
      </w:r>
      <w:hyperlink w:anchor="latin-record-0090">
        <w:r>
          <w:rPr>
            <w:color w:val="000000"/>
          </w:rPr>
          <w:t xml:space="preserve">angelus; Deus</w:t>
        </w:r>
      </w:hyperlink>
      <w:r>
        <w:rPr>
          <w:b w:val="0"/>
          <w:i w:val="0"/>
        </w:rPr>
        <w:t>.</w:t>
      </w:r>
    </w:p>
    <w:p>
      <w:pPr>
        <w:widowControl/>
      </w:pPr>
      <w:r>
        <w:rPr>
          <w:b/>
          <w:i w:val="0"/>
        </w:rPr>
        <w:t>angustiam.</w:t>
      </w:r>
      <w:r>
        <w:rPr>
          <w:b w:val="0"/>
          <w:i w:val="0"/>
        </w:rPr>
        <w:t xml:space="preserve"> </w:t>
      </w:r>
      <w:hyperlink w:anchor="latin-record-0085">
        <w:r>
          <w:rPr>
            <w:color w:val="000000"/>
          </w:rPr>
          <w:t xml:space="preserve">amplitudo; angustia</w:t>
        </w:r>
      </w:hyperlink>
      <w:r>
        <w:rPr>
          <w:b w:val="0"/>
          <w:i w:val="0"/>
        </w:rPr>
        <w:t>.</w:t>
      </w:r>
    </w:p>
    <w:p>
      <w:pPr>
        <w:widowControl/>
      </w:pPr>
      <w:r>
        <w:rPr>
          <w:b/>
          <w:i w:val="0"/>
        </w:rPr>
        <w:t>angustiis.</w:t>
      </w:r>
      <w:r>
        <w:rPr>
          <w:b w:val="0"/>
          <w:i w:val="0"/>
        </w:rPr>
        <w:t xml:space="preserve"> </w:t>
      </w:r>
      <w:hyperlink w:anchor="latin-record-0085">
        <w:r>
          <w:rPr>
            <w:color w:val="000000"/>
          </w:rPr>
          <w:t xml:space="preserve">amplitudo; angustia</w:t>
        </w:r>
      </w:hyperlink>
      <w:r>
        <w:rPr>
          <w:b w:val="0"/>
          <w:i w:val="0"/>
        </w:rPr>
        <w:t>.</w:t>
      </w:r>
    </w:p>
    <w:p>
      <w:pPr>
        <w:widowControl/>
      </w:pPr>
      <w:r>
        <w:rPr>
          <w:b/>
          <w:i w:val="0"/>
        </w:rPr>
        <w:t>angustius.</w:t>
      </w:r>
      <w:r>
        <w:rPr>
          <w:b w:val="0"/>
          <w:i w:val="0"/>
        </w:rPr>
        <w:t xml:space="preserve"> </w:t>
      </w:r>
      <w:hyperlink w:anchor="latin-record-0091">
        <w:r>
          <w:rPr>
            <w:color w:val="000000"/>
          </w:rPr>
          <w:t xml:space="preserve">angustus / amplus</w:t>
        </w:r>
      </w:hyperlink>
      <w:r>
        <w:rPr>
          <w:b w:val="0"/>
          <w:i w:val="0"/>
        </w:rPr>
        <w:t>.</w:t>
      </w:r>
    </w:p>
    <w:p>
      <w:pPr>
        <w:widowControl/>
      </w:pPr>
      <w:r>
        <w:rPr>
          <w:b/>
          <w:i w:val="0"/>
        </w:rPr>
        <w:t>anima.</w:t>
      </w:r>
      <w:r>
        <w:rPr>
          <w:b w:val="0"/>
          <w:i w:val="0"/>
        </w:rPr>
        <w:t xml:space="preserve"> </w:t>
      </w:r>
      <w:hyperlink w:anchor="latin-record-0092">
        <w:r>
          <w:rPr>
            <w:color w:val="000000"/>
          </w:rPr>
          <w:t xml:space="preserve">anima</w:t>
        </w:r>
      </w:hyperlink>
      <w:r>
        <w:rPr>
          <w:b w:val="0"/>
          <w:i w:val="0"/>
        </w:rPr>
        <w:t xml:space="preserve">; </w:t>
      </w:r>
      <w:hyperlink w:anchor="latin-record-0093">
        <w:r>
          <w:rPr>
            <w:color w:val="000000"/>
          </w:rPr>
          <w:t xml:space="preserve">anima / animus</w:t>
        </w:r>
      </w:hyperlink>
      <w:r>
        <w:rPr>
          <w:b w:val="0"/>
          <w:i w:val="0"/>
        </w:rPr>
        <w:t xml:space="preserve">; </w:t>
      </w:r>
      <w:hyperlink w:anchor="latin-record-0095">
        <w:r>
          <w:rPr>
            <w:color w:val="000000"/>
          </w:rPr>
          <w:t xml:space="preserve">anima rationalis</w:t>
        </w:r>
      </w:hyperlink>
      <w:r>
        <w:rPr>
          <w:b w:val="0"/>
          <w:i w:val="0"/>
        </w:rPr>
        <w:t>.</w:t>
      </w:r>
    </w:p>
    <w:p>
      <w:pPr>
        <w:widowControl/>
      </w:pPr>
      <w:r>
        <w:rPr>
          <w:b/>
          <w:i w:val="0"/>
        </w:rPr>
        <w:t>anima atque corpore.</w:t>
      </w:r>
      <w:r>
        <w:rPr>
          <w:b w:val="0"/>
          <w:i w:val="0"/>
        </w:rPr>
        <w:t xml:space="preserve"> </w:t>
      </w:r>
      <w:hyperlink w:anchor="latin-record-0761">
        <w:r>
          <w:rPr>
            <w:color w:val="000000"/>
          </w:rPr>
          <w:t xml:space="preserve">materia et forma</w:t>
        </w:r>
      </w:hyperlink>
      <w:r>
        <w:rPr>
          <w:b w:val="0"/>
          <w:i w:val="0"/>
        </w:rPr>
        <w:t>.</w:t>
      </w:r>
    </w:p>
    <w:p>
      <w:pPr>
        <w:widowControl/>
      </w:pPr>
      <w:r>
        <w:rPr>
          <w:b/>
          <w:i w:val="0"/>
        </w:rPr>
        <w:t>anima est vita se generans et producens.</w:t>
      </w:r>
      <w:r>
        <w:rPr>
          <w:b w:val="0"/>
          <w:i w:val="0"/>
        </w:rPr>
        <w:t xml:space="preserve"> </w:t>
      </w:r>
      <w:hyperlink w:anchor="latin-record-1376">
        <w:r>
          <w:rPr>
            <w:color w:val="000000"/>
          </w:rPr>
          <w:t xml:space="preserve">vita se generans</w:t>
        </w:r>
      </w:hyperlink>
      <w:r>
        <w:rPr>
          <w:b w:val="0"/>
          <w:i w:val="0"/>
        </w:rPr>
        <w:t>.</w:t>
      </w:r>
    </w:p>
    <w:p>
      <w:pPr>
        <w:widowControl/>
      </w:pPr>
      <w:r>
        <w:rPr>
          <w:b/>
          <w:i w:val="0"/>
        </w:rPr>
        <w:t>anima magis.</w:t>
      </w:r>
      <w:r>
        <w:rPr>
          <w:b w:val="0"/>
          <w:i w:val="0"/>
        </w:rPr>
        <w:t xml:space="preserve"> </w:t>
      </w:r>
      <w:hyperlink w:anchor="latin-record-0742">
        <w:r>
          <w:rPr>
            <w:color w:val="000000"/>
          </w:rPr>
          <w:t xml:space="preserve">magis anima / magis vita</w:t>
        </w:r>
      </w:hyperlink>
      <w:r>
        <w:rPr>
          <w:b w:val="0"/>
          <w:i w:val="0"/>
        </w:rPr>
        <w:t>.</w:t>
      </w:r>
    </w:p>
    <w:p>
      <w:pPr>
        <w:widowControl/>
      </w:pPr>
      <w:r>
        <w:rPr>
          <w:b/>
          <w:i w:val="0"/>
        </w:rPr>
        <w:t>anima nutritiva.</w:t>
      </w:r>
      <w:r>
        <w:rPr>
          <w:b w:val="0"/>
          <w:i w:val="0"/>
        </w:rPr>
        <w:t xml:space="preserve"> </w:t>
      </w:r>
      <w:hyperlink w:anchor="latin-record-0094">
        <w:r>
          <w:rPr>
            <w:color w:val="000000"/>
          </w:rPr>
          <w:t xml:space="preserve">anima nutritiva / sensitiva</w:t>
        </w:r>
      </w:hyperlink>
      <w:r>
        <w:rPr>
          <w:b w:val="0"/>
          <w:i w:val="0"/>
        </w:rPr>
        <w:t xml:space="preserve">; </w:t>
      </w:r>
      <w:hyperlink w:anchor="latin-record-0995">
        <w:r>
          <w:rPr>
            <w:color w:val="000000"/>
          </w:rPr>
          <w:t xml:space="preserve">principium alimenti</w:t>
        </w:r>
      </w:hyperlink>
      <w:r>
        <w:rPr>
          <w:b w:val="0"/>
          <w:i w:val="0"/>
        </w:rPr>
        <w:t>.</w:t>
      </w:r>
    </w:p>
    <w:p>
      <w:pPr>
        <w:widowControl/>
      </w:pPr>
      <w:r>
        <w:rPr>
          <w:b/>
          <w:i w:val="0"/>
        </w:rPr>
        <w:t>anima rationalis.</w:t>
      </w:r>
      <w:r>
        <w:rPr>
          <w:b w:val="0"/>
          <w:i w:val="0"/>
        </w:rPr>
        <w:t xml:space="preserve"> </w:t>
      </w:r>
      <w:hyperlink w:anchor="latin-record-0095">
        <w:r>
          <w:rPr>
            <w:color w:val="000000"/>
          </w:rPr>
          <w:t xml:space="preserve">anima rationalis</w:t>
        </w:r>
      </w:hyperlink>
      <w:r>
        <w:rPr>
          <w:b w:val="0"/>
          <w:i w:val="0"/>
        </w:rPr>
        <w:t>.</w:t>
      </w:r>
    </w:p>
    <w:p>
      <w:pPr>
        <w:widowControl/>
      </w:pPr>
      <w:r>
        <w:rPr>
          <w:b/>
          <w:i w:val="0"/>
        </w:rPr>
        <w:t>anima sapientissima.</w:t>
      </w:r>
      <w:r>
        <w:rPr>
          <w:b w:val="0"/>
          <w:i w:val="0"/>
        </w:rPr>
        <w:t xml:space="preserve"> </w:t>
      </w:r>
      <w:hyperlink w:anchor="latin-record-0561">
        <w:r>
          <w:rPr>
            <w:color w:val="000000"/>
          </w:rPr>
          <w:t xml:space="preserve">Heraclitus; lux sicca</w:t>
        </w:r>
      </w:hyperlink>
      <w:r>
        <w:rPr>
          <w:b w:val="0"/>
          <w:i w:val="0"/>
        </w:rPr>
        <w:t>.</w:t>
      </w:r>
    </w:p>
    <w:p>
      <w:pPr>
        <w:widowControl/>
      </w:pPr>
      <w:r>
        <w:rPr>
          <w:b/>
          <w:i w:val="0"/>
        </w:rPr>
        <w:t>anima sensitiva.</w:t>
      </w:r>
      <w:r>
        <w:rPr>
          <w:b w:val="0"/>
          <w:i w:val="0"/>
        </w:rPr>
        <w:t xml:space="preserve"> </w:t>
      </w:r>
      <w:hyperlink w:anchor="latin-record-0094">
        <w:r>
          <w:rPr>
            <w:color w:val="000000"/>
          </w:rPr>
          <w:t xml:space="preserve">anima nutritiva / sensitiva</w:t>
        </w:r>
      </w:hyperlink>
      <w:r>
        <w:rPr>
          <w:b w:val="0"/>
          <w:i w:val="0"/>
        </w:rPr>
        <w:t>.</w:t>
      </w:r>
    </w:p>
    <w:p>
      <w:pPr>
        <w:widowControl/>
      </w:pPr>
      <w:r>
        <w:rPr>
          <w:b/>
          <w:i w:val="0"/>
        </w:rPr>
        <w:t>anima unius sit tota naturae.</w:t>
      </w:r>
      <w:r>
        <w:rPr>
          <w:b w:val="0"/>
          <w:i w:val="0"/>
        </w:rPr>
        <w:t xml:space="preserve"> </w:t>
      </w:r>
      <w:hyperlink w:anchor="latin-record-1321">
        <w:r>
          <w:rPr>
            <w:color w:val="000000"/>
          </w:rPr>
          <w:t xml:space="preserve">unius naturae</w:t>
        </w:r>
      </w:hyperlink>
      <w:r>
        <w:rPr>
          <w:b w:val="0"/>
          <w:i w:val="0"/>
        </w:rPr>
        <w:t>.</w:t>
      </w:r>
    </w:p>
    <w:p>
      <w:pPr>
        <w:widowControl/>
      </w:pPr>
      <w:r>
        <w:rPr>
          <w:b/>
          <w:i w:val="0"/>
        </w:rPr>
        <w:t>animadversione.</w:t>
      </w:r>
      <w:r>
        <w:rPr>
          <w:b w:val="0"/>
          <w:i w:val="0"/>
        </w:rPr>
        <w:t xml:space="preserve"> </w:t>
      </w:r>
      <w:hyperlink w:anchor="latin-record-0300">
        <w:r>
          <w:rPr>
            <w:color w:val="000000"/>
          </w:rPr>
          <w:t xml:space="preserve">conscius / animadversio</w:t>
        </w:r>
      </w:hyperlink>
      <w:r>
        <w:rPr>
          <w:b w:val="0"/>
          <w:i w:val="0"/>
        </w:rPr>
        <w:t>.</w:t>
      </w:r>
    </w:p>
    <w:p>
      <w:pPr>
        <w:widowControl/>
      </w:pPr>
      <w:r>
        <w:rPr>
          <w:b/>
          <w:i w:val="0"/>
        </w:rPr>
        <w:t>animadversionem.</w:t>
      </w:r>
      <w:r>
        <w:rPr>
          <w:b w:val="0"/>
          <w:i w:val="0"/>
        </w:rPr>
        <w:t xml:space="preserve"> </w:t>
      </w:r>
      <w:hyperlink w:anchor="latin-record-0924">
        <w:r>
          <w:rPr>
            <w:color w:val="000000"/>
          </w:rPr>
          <w:t xml:space="preserve">perceptio / animadversio / phantasia</w:t>
        </w:r>
      </w:hyperlink>
      <w:r>
        <w:rPr>
          <w:b w:val="0"/>
          <w:i w:val="0"/>
        </w:rPr>
        <w:t>.</w:t>
      </w:r>
    </w:p>
    <w:p>
      <w:pPr>
        <w:widowControl/>
      </w:pPr>
      <w:r>
        <w:rPr>
          <w:b/>
          <w:i w:val="0"/>
        </w:rPr>
        <w:t>animadvertat.</w:t>
      </w:r>
      <w:r>
        <w:rPr>
          <w:b w:val="0"/>
          <w:i w:val="0"/>
        </w:rPr>
        <w:t xml:space="preserve"> </w:t>
      </w:r>
      <w:hyperlink w:anchor="latin-record-0300">
        <w:r>
          <w:rPr>
            <w:color w:val="000000"/>
          </w:rPr>
          <w:t xml:space="preserve">conscius / animadversio</w:t>
        </w:r>
      </w:hyperlink>
      <w:r>
        <w:rPr>
          <w:b w:val="0"/>
          <w:i w:val="0"/>
        </w:rPr>
        <w:t>.</w:t>
      </w:r>
    </w:p>
    <w:p>
      <w:pPr>
        <w:widowControl/>
      </w:pPr>
      <w:r>
        <w:rPr>
          <w:b/>
          <w:i w:val="0"/>
        </w:rPr>
        <w:t>animadvertit.</w:t>
      </w:r>
      <w:r>
        <w:rPr>
          <w:b w:val="0"/>
          <w:i w:val="0"/>
        </w:rPr>
        <w:t xml:space="preserve"> </w:t>
      </w:r>
      <w:hyperlink w:anchor="latin-record-0300">
        <w:r>
          <w:rPr>
            <w:color w:val="000000"/>
          </w:rPr>
          <w:t xml:space="preserve">conscius / animadversio</w:t>
        </w:r>
      </w:hyperlink>
      <w:r>
        <w:rPr>
          <w:b w:val="0"/>
          <w:i w:val="0"/>
        </w:rPr>
        <w:t xml:space="preserve">; </w:t>
      </w:r>
      <w:hyperlink w:anchor="latin-record-0924">
        <w:r>
          <w:rPr>
            <w:color w:val="000000"/>
          </w:rPr>
          <w:t xml:space="preserve">perceptio / animadversio / phantasia</w:t>
        </w:r>
      </w:hyperlink>
      <w:r>
        <w:rPr>
          <w:b w:val="0"/>
          <w:i w:val="0"/>
        </w:rPr>
        <w:t>.</w:t>
      </w:r>
    </w:p>
    <w:p>
      <w:pPr>
        <w:widowControl/>
      </w:pPr>
      <w:r>
        <w:rPr>
          <w:b/>
          <w:i w:val="0"/>
        </w:rPr>
        <w:t>animae.</w:t>
      </w:r>
      <w:r>
        <w:rPr>
          <w:b w:val="0"/>
          <w:i w:val="0"/>
        </w:rPr>
        <w:t xml:space="preserve"> </w:t>
      </w:r>
      <w:hyperlink w:anchor="latin-record-0092">
        <w:r>
          <w:rPr>
            <w:color w:val="000000"/>
          </w:rPr>
          <w:t xml:space="preserve">anima</w:t>
        </w:r>
      </w:hyperlink>
      <w:r>
        <w:rPr>
          <w:b w:val="0"/>
          <w:i w:val="0"/>
        </w:rPr>
        <w:t xml:space="preserve">; </w:t>
      </w:r>
      <w:hyperlink w:anchor="latin-record-0093">
        <w:r>
          <w:rPr>
            <w:color w:val="000000"/>
          </w:rPr>
          <w:t xml:space="preserve">anima / animus</w:t>
        </w:r>
      </w:hyperlink>
      <w:r>
        <w:rPr>
          <w:b w:val="0"/>
          <w:i w:val="0"/>
        </w:rPr>
        <w:t xml:space="preserve">; </w:t>
      </w:r>
      <w:hyperlink w:anchor="latin-record-0095">
        <w:r>
          <w:rPr>
            <w:color w:val="000000"/>
          </w:rPr>
          <w:t xml:space="preserve">anima rationalis</w:t>
        </w:r>
      </w:hyperlink>
      <w:r>
        <w:rPr>
          <w:b w:val="0"/>
          <w:i w:val="0"/>
        </w:rPr>
        <w:t>.</w:t>
      </w:r>
    </w:p>
    <w:p>
      <w:pPr>
        <w:widowControl/>
      </w:pPr>
      <w:r>
        <w:rPr>
          <w:b/>
          <w:i w:val="0"/>
        </w:rPr>
        <w:t>animae universalis.</w:t>
      </w:r>
      <w:r>
        <w:rPr>
          <w:b w:val="0"/>
          <w:i w:val="0"/>
        </w:rPr>
        <w:t xml:space="preserve"> </w:t>
      </w:r>
      <w:hyperlink w:anchor="latin-record-0097">
        <w:r>
          <w:rPr>
            <w:color w:val="000000"/>
          </w:rPr>
          <w:t xml:space="preserve">anima universalis</w:t>
        </w:r>
      </w:hyperlink>
      <w:r>
        <w:rPr>
          <w:b w:val="0"/>
          <w:i w:val="0"/>
        </w:rPr>
        <w:t>.</w:t>
      </w:r>
    </w:p>
    <w:p>
      <w:pPr>
        <w:widowControl/>
      </w:pPr>
      <w:r>
        <w:rPr>
          <w:b/>
          <w:i w:val="0"/>
        </w:rPr>
        <w:t>animal.</w:t>
      </w:r>
      <w:r>
        <w:rPr>
          <w:b w:val="0"/>
          <w:i w:val="0"/>
        </w:rPr>
        <w:t xml:space="preserve"> </w:t>
      </w:r>
      <w:hyperlink w:anchor="latin-record-0098">
        <w:r>
          <w:rPr>
            <w:color w:val="000000"/>
          </w:rPr>
          <w:t xml:space="preserve">animal / animans</w:t>
        </w:r>
      </w:hyperlink>
      <w:r>
        <w:rPr>
          <w:b w:val="0"/>
          <w:i w:val="0"/>
        </w:rPr>
        <w:t xml:space="preserve">; </w:t>
      </w:r>
      <w:hyperlink w:anchor="latin-record-0099">
        <w:r>
          <w:rPr>
            <w:color w:val="000000"/>
          </w:rPr>
          <w:t xml:space="preserve">animal / rationale</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Animal.</w:t>
      </w:r>
      <w:r>
        <w:rPr>
          <w:b w:val="0"/>
          <w:i w:val="0"/>
        </w:rPr>
        <w:t xml:space="preserve"> </w:t>
      </w:r>
      <w:hyperlink w:anchor="latin-record-0099">
        <w:r>
          <w:rPr>
            <w:color w:val="000000"/>
          </w:rPr>
          <w:t xml:space="preserve">animal / rationale</w:t>
        </w:r>
      </w:hyperlink>
      <w:r>
        <w:rPr>
          <w:b w:val="0"/>
          <w:i w:val="0"/>
        </w:rPr>
        <w:t>.</w:t>
      </w:r>
    </w:p>
    <w:p>
      <w:pPr>
        <w:widowControl/>
      </w:pPr>
      <w:r>
        <w:rPr>
          <w:b/>
          <w:i w:val="0"/>
        </w:rPr>
        <w:t>animali.</w:t>
      </w:r>
      <w:r>
        <w:rPr>
          <w:b w:val="0"/>
          <w:i w:val="0"/>
        </w:rPr>
        <w:t xml:space="preserve"> </w:t>
      </w:r>
      <w:hyperlink w:anchor="latin-record-0098">
        <w:r>
          <w:rPr>
            <w:color w:val="000000"/>
          </w:rPr>
          <w:t xml:space="preserve">animal / animans</w:t>
        </w:r>
      </w:hyperlink>
      <w:r>
        <w:rPr>
          <w:b w:val="0"/>
          <w:i w:val="0"/>
        </w:rPr>
        <w:t xml:space="preserve">; </w:t>
      </w:r>
      <w:hyperlink w:anchor="latin-record-0099">
        <w:r>
          <w:rPr>
            <w:color w:val="000000"/>
          </w:rPr>
          <w:t xml:space="preserve">animal / rationale</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animalia.</w:t>
      </w:r>
      <w:r>
        <w:rPr>
          <w:b w:val="0"/>
          <w:i w:val="0"/>
        </w:rPr>
        <w:t xml:space="preserve"> </w:t>
      </w:r>
      <w:hyperlink w:anchor="latin-record-0098">
        <w:r>
          <w:rPr>
            <w:color w:val="000000"/>
          </w:rPr>
          <w:t xml:space="preserve">animal / animans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animalibus.</w:t>
      </w:r>
      <w:r>
        <w:rPr>
          <w:b w:val="0"/>
          <w:i w:val="0"/>
        </w:rPr>
        <w:t xml:space="preserve"> </w:t>
      </w:r>
      <w:hyperlink w:anchor="latin-record-0099">
        <w:r>
          <w:rPr>
            <w:color w:val="000000"/>
          </w:rPr>
          <w:t xml:space="preserve">animal / rationale</w:t>
        </w:r>
      </w:hyperlink>
      <w:r>
        <w:rPr>
          <w:b w:val="0"/>
          <w:i w:val="0"/>
        </w:rPr>
        <w:t>.</w:t>
      </w:r>
    </w:p>
    <w:p>
      <w:pPr>
        <w:widowControl/>
      </w:pPr>
      <w:r>
        <w:rPr>
          <w:b/>
          <w:i w:val="0"/>
        </w:rPr>
        <w:t>animalis.</w:t>
      </w:r>
      <w:r>
        <w:rPr>
          <w:b w:val="0"/>
          <w:i w:val="0"/>
        </w:rPr>
        <w:t xml:space="preserve"> </w:t>
      </w:r>
      <w:hyperlink w:anchor="latin-record-0098">
        <w:r>
          <w:rPr>
            <w:color w:val="000000"/>
          </w:rPr>
          <w:t xml:space="preserve">animal / animans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animalitas.</w:t>
      </w:r>
      <w:r>
        <w:rPr>
          <w:b w:val="0"/>
          <w:i w:val="0"/>
        </w:rPr>
        <w:t xml:space="preserve"> </w:t>
      </w:r>
      <w:hyperlink w:anchor="latin-record-1075">
        <w:r>
          <w:rPr>
            <w:color w:val="000000"/>
          </w:rPr>
          <w:t xml:space="preserve">rationalitas / animalitas</w:t>
        </w:r>
      </w:hyperlink>
      <w:r>
        <w:rPr>
          <w:b w:val="0"/>
          <w:i w:val="0"/>
        </w:rPr>
        <w:t>.</w:t>
      </w:r>
    </w:p>
    <w:p>
      <w:pPr>
        <w:widowControl/>
      </w:pPr>
      <w:r>
        <w:rPr>
          <w:b/>
          <w:i w:val="0"/>
        </w:rPr>
        <w:t>animalium.</w:t>
      </w:r>
      <w:r>
        <w:rPr>
          <w:b w:val="0"/>
          <w:i w:val="0"/>
        </w:rPr>
        <w:t xml:space="preserve"> </w:t>
      </w:r>
      <w:hyperlink w:anchor="latin-record-0566">
        <w:r>
          <w:rPr>
            <w:color w:val="000000"/>
          </w:rPr>
          <w:t xml:space="preserve">homo; animal; animans</w:t>
        </w:r>
      </w:hyperlink>
      <w:r>
        <w:rPr>
          <w:b w:val="0"/>
          <w:i w:val="0"/>
        </w:rPr>
        <w:t>.</w:t>
      </w:r>
    </w:p>
    <w:p>
      <w:pPr>
        <w:widowControl/>
      </w:pPr>
      <w:r>
        <w:rPr>
          <w:b/>
          <w:i w:val="0"/>
        </w:rPr>
        <w:t>animam.</w:t>
      </w:r>
      <w:r>
        <w:rPr>
          <w:b w:val="0"/>
          <w:i w:val="0"/>
        </w:rPr>
        <w:t xml:space="preserve"> </w:t>
      </w:r>
      <w:hyperlink w:anchor="latin-record-0092">
        <w:r>
          <w:rPr>
            <w:color w:val="000000"/>
          </w:rPr>
          <w:t xml:space="preserve">anima</w:t>
        </w:r>
      </w:hyperlink>
      <w:r>
        <w:rPr>
          <w:b w:val="0"/>
          <w:i w:val="0"/>
        </w:rPr>
        <w:t xml:space="preserve">; </w:t>
      </w:r>
      <w:hyperlink w:anchor="latin-record-0093">
        <w:r>
          <w:rPr>
            <w:color w:val="000000"/>
          </w:rPr>
          <w:t xml:space="preserve">anima / animus</w:t>
        </w:r>
      </w:hyperlink>
      <w:r>
        <w:rPr>
          <w:b w:val="0"/>
          <w:i w:val="0"/>
        </w:rPr>
        <w:t xml:space="preserve">; </w:t>
      </w:r>
      <w:hyperlink w:anchor="latin-record-0095">
        <w:r>
          <w:rPr>
            <w:color w:val="000000"/>
          </w:rPr>
          <w:t xml:space="preserve">anima rationalis</w:t>
        </w:r>
      </w:hyperlink>
      <w:r>
        <w:rPr>
          <w:b w:val="0"/>
          <w:i w:val="0"/>
        </w:rPr>
        <w:t>.</w:t>
      </w:r>
    </w:p>
    <w:p>
      <w:pPr>
        <w:widowControl/>
      </w:pPr>
      <w:r>
        <w:rPr>
          <w:b/>
          <w:i w:val="0"/>
        </w:rPr>
        <w:t>Animam.</w:t>
      </w:r>
      <w:r>
        <w:rPr>
          <w:b w:val="0"/>
          <w:i w:val="0"/>
        </w:rPr>
        <w:t xml:space="preserve"> </w:t>
      </w:r>
      <w:hyperlink w:anchor="latin-record-0093">
        <w:r>
          <w:rPr>
            <w:color w:val="000000"/>
          </w:rPr>
          <w:t xml:space="preserve">anima / animus</w:t>
        </w:r>
      </w:hyperlink>
      <w:r>
        <w:rPr>
          <w:b w:val="0"/>
          <w:i w:val="0"/>
        </w:rPr>
        <w:t>.</w:t>
      </w:r>
    </w:p>
    <w:p>
      <w:pPr>
        <w:widowControl/>
      </w:pPr>
      <w:r>
        <w:rPr>
          <w:b/>
          <w:i w:val="0"/>
        </w:rPr>
        <w:t>animantibus.</w:t>
      </w:r>
      <w:r>
        <w:rPr>
          <w:b w:val="0"/>
          <w:i w:val="0"/>
        </w:rPr>
        <w:t xml:space="preserve"> </w:t>
      </w:r>
      <w:hyperlink w:anchor="latin-record-0566">
        <w:r>
          <w:rPr>
            <w:color w:val="000000"/>
          </w:rPr>
          <w:t xml:space="preserve">homo; animal; animans</w:t>
        </w:r>
      </w:hyperlink>
      <w:r>
        <w:rPr>
          <w:b w:val="0"/>
          <w:i w:val="0"/>
        </w:rPr>
        <w:t>.</w:t>
      </w:r>
    </w:p>
    <w:p>
      <w:pPr>
        <w:widowControl/>
      </w:pPr>
      <w:r>
        <w:rPr>
          <w:b/>
          <w:i w:val="0"/>
        </w:rPr>
        <w:t>animantis.</w:t>
      </w:r>
      <w:r>
        <w:rPr>
          <w:b w:val="0"/>
          <w:i w:val="0"/>
        </w:rPr>
        <w:t xml:space="preserve"> </w:t>
      </w:r>
      <w:hyperlink w:anchor="latin-record-0098">
        <w:r>
          <w:rPr>
            <w:color w:val="000000"/>
          </w:rPr>
          <w:t xml:space="preserve">animal / animans</w:t>
        </w:r>
      </w:hyperlink>
      <w:r>
        <w:rPr>
          <w:b w:val="0"/>
          <w:i w:val="0"/>
        </w:rPr>
        <w:t>.</w:t>
      </w:r>
    </w:p>
    <w:p>
      <w:pPr>
        <w:widowControl/>
      </w:pPr>
      <w:r>
        <w:rPr>
          <w:b/>
          <w:i w:val="0"/>
        </w:rPr>
        <w:t>animarum.</w:t>
      </w:r>
      <w:r>
        <w:rPr>
          <w:b w:val="0"/>
          <w:i w:val="0"/>
        </w:rPr>
        <w:t xml:space="preserve"> </w:t>
      </w:r>
      <w:hyperlink w:anchor="latin-record-0092">
        <w:r>
          <w:rPr>
            <w:color w:val="000000"/>
          </w:rPr>
          <w:t xml:space="preserve">anima</w:t>
        </w:r>
      </w:hyperlink>
      <w:r>
        <w:rPr>
          <w:b w:val="0"/>
          <w:i w:val="0"/>
        </w:rPr>
        <w:t xml:space="preserve">; </w:t>
      </w:r>
      <w:hyperlink w:anchor="latin-record-0095">
        <w:r>
          <w:rPr>
            <w:color w:val="000000"/>
          </w:rPr>
          <w:t xml:space="preserve">anima rationalis</w:t>
        </w:r>
      </w:hyperlink>
      <w:r>
        <w:rPr>
          <w:b w:val="0"/>
          <w:i w:val="0"/>
        </w:rPr>
        <w:t>.</w:t>
      </w:r>
    </w:p>
    <w:p>
      <w:pPr>
        <w:widowControl/>
      </w:pPr>
      <w:r>
        <w:rPr>
          <w:b/>
          <w:i w:val="0"/>
        </w:rPr>
        <w:t>animas.</w:t>
      </w:r>
      <w:r>
        <w:rPr>
          <w:b w:val="0"/>
          <w:i w:val="0"/>
        </w:rPr>
        <w:t xml:space="preserve"> </w:t>
      </w:r>
      <w:hyperlink w:anchor="latin-record-0092">
        <w:r>
          <w:rPr>
            <w:color w:val="000000"/>
          </w:rPr>
          <w:t xml:space="preserve">anima</w:t>
        </w:r>
      </w:hyperlink>
      <w:r>
        <w:rPr>
          <w:b w:val="0"/>
          <w:i w:val="0"/>
        </w:rPr>
        <w:t xml:space="preserve">; </w:t>
      </w:r>
      <w:hyperlink w:anchor="latin-record-0095">
        <w:r>
          <w:rPr>
            <w:color w:val="000000"/>
          </w:rPr>
          <w:t xml:space="preserve">anima rationalis</w:t>
        </w:r>
      </w:hyperlink>
      <w:r>
        <w:rPr>
          <w:b w:val="0"/>
          <w:i w:val="0"/>
        </w:rPr>
        <w:t>.</w:t>
      </w:r>
    </w:p>
    <w:p>
      <w:pPr>
        <w:widowControl/>
      </w:pPr>
      <w:r>
        <w:rPr>
          <w:b/>
          <w:i w:val="0"/>
        </w:rPr>
        <w:t>animatum.</w:t>
      </w:r>
      <w:r>
        <w:rPr>
          <w:b w:val="0"/>
          <w:i w:val="0"/>
        </w:rPr>
        <w:t xml:space="preserve"> </w:t>
      </w:r>
      <w:hyperlink w:anchor="latin-record-0101">
        <w:r>
          <w:rPr>
            <w:color w:val="000000"/>
          </w:rPr>
          <w:t xml:space="preserve">animatum</w:t>
        </w:r>
      </w:hyperlink>
      <w:r>
        <w:rPr>
          <w:b w:val="0"/>
          <w:i w:val="0"/>
        </w:rPr>
        <w:t xml:space="preserve">; </w:t>
      </w:r>
      <w:hyperlink w:anchor="latin-record-0103">
        <w:r>
          <w:rPr>
            <w:color w:val="000000"/>
          </w:rPr>
          <w:t xml:space="preserve">animatus; inanimis</w:t>
        </w:r>
      </w:hyperlink>
      <w:r>
        <w:rPr>
          <w:b w:val="0"/>
          <w:i w:val="0"/>
        </w:rPr>
        <w:t>.</w:t>
      </w:r>
    </w:p>
    <w:p>
      <w:pPr>
        <w:widowControl/>
      </w:pPr>
      <w:r>
        <w:rPr>
          <w:b/>
          <w:i w:val="0"/>
        </w:rPr>
        <w:t>animatum quiddam.</w:t>
      </w:r>
      <w:r>
        <w:rPr>
          <w:b w:val="0"/>
          <w:i w:val="0"/>
        </w:rPr>
        <w:t xml:space="preserve"> </w:t>
      </w:r>
      <w:hyperlink w:anchor="latin-record-0101">
        <w:r>
          <w:rPr>
            <w:color w:val="000000"/>
          </w:rPr>
          <w:t xml:space="preserve">animatum</w:t>
        </w:r>
      </w:hyperlink>
      <w:r>
        <w:rPr>
          <w:b w:val="0"/>
          <w:i w:val="0"/>
        </w:rPr>
        <w:t xml:space="preserve">; </w:t>
      </w:r>
      <w:hyperlink w:anchor="latin-record-0102">
        <w:r>
          <w:rPr>
            <w:color w:val="000000"/>
          </w:rPr>
          <w:t xml:space="preserve">animatum quiddam</w:t>
        </w:r>
      </w:hyperlink>
      <w:r>
        <w:rPr>
          <w:b w:val="0"/>
          <w:i w:val="0"/>
        </w:rPr>
        <w:t>.</w:t>
      </w:r>
    </w:p>
    <w:p>
      <w:pPr>
        <w:widowControl/>
      </w:pPr>
      <w:r>
        <w:rPr>
          <w:b/>
          <w:i w:val="0"/>
        </w:rPr>
        <w:t>Animatumne.</w:t>
      </w:r>
      <w:r>
        <w:rPr>
          <w:b w:val="0"/>
          <w:i w:val="0"/>
        </w:rPr>
        <w:t xml:space="preserve"> </w:t>
      </w:r>
      <w:hyperlink w:anchor="latin-record-0103">
        <w:r>
          <w:rPr>
            <w:color w:val="000000"/>
          </w:rPr>
          <w:t xml:space="preserve">animatus; inanimis</w:t>
        </w:r>
      </w:hyperlink>
      <w:r>
        <w:rPr>
          <w:b w:val="0"/>
          <w:i w:val="0"/>
        </w:rPr>
        <w:t>.</w:t>
      </w:r>
    </w:p>
    <w:p>
      <w:pPr>
        <w:widowControl/>
      </w:pPr>
      <w:r>
        <w:rPr>
          <w:b/>
          <w:i w:val="0"/>
        </w:rPr>
        <w:t>animi.</w:t>
      </w:r>
      <w:r>
        <w:rPr>
          <w:b w:val="0"/>
          <w:i w:val="0"/>
        </w:rPr>
        <w:t xml:space="preserve"> </w:t>
      </w:r>
      <w:hyperlink w:anchor="latin-record-0093">
        <w:r>
          <w:rPr>
            <w:color w:val="000000"/>
          </w:rPr>
          <w:t xml:space="preserve">anima / animus</w:t>
        </w:r>
      </w:hyperlink>
      <w:r>
        <w:rPr>
          <w:b w:val="0"/>
          <w:i w:val="0"/>
        </w:rPr>
        <w:t xml:space="preserve">; </w:t>
      </w:r>
      <w:hyperlink w:anchor="latin-record-0105">
        <w:r>
          <w:rPr>
            <w:color w:val="000000"/>
          </w:rPr>
          <w:t xml:space="preserve">animus</w:t>
        </w:r>
      </w:hyperlink>
      <w:r>
        <w:rPr>
          <w:b w:val="0"/>
          <w:i w:val="0"/>
        </w:rPr>
        <w:t>.</w:t>
      </w:r>
    </w:p>
    <w:p>
      <w:pPr>
        <w:widowControl/>
      </w:pPr>
      <w:r>
        <w:rPr>
          <w:b/>
          <w:i w:val="0"/>
        </w:rPr>
        <w:t>animis.</w:t>
      </w:r>
      <w:r>
        <w:rPr>
          <w:b w:val="0"/>
          <w:i w:val="0"/>
        </w:rPr>
        <w:t xml:space="preserve"> </w:t>
      </w:r>
      <w:hyperlink w:anchor="latin-record-0105">
        <w:r>
          <w:rPr>
            <w:color w:val="000000"/>
          </w:rPr>
          <w:t xml:space="preserve">animus</w:t>
        </w:r>
      </w:hyperlink>
      <w:r>
        <w:rPr>
          <w:b w:val="0"/>
          <w:i w:val="0"/>
        </w:rPr>
        <w:t>.</w:t>
      </w:r>
    </w:p>
    <w:p>
      <w:pPr>
        <w:widowControl/>
      </w:pPr>
      <w:r>
        <w:rPr>
          <w:b/>
          <w:i w:val="0"/>
        </w:rPr>
        <w:t>animo.</w:t>
      </w:r>
      <w:r>
        <w:rPr>
          <w:b w:val="0"/>
          <w:i w:val="0"/>
        </w:rPr>
        <w:t xml:space="preserve"> </w:t>
      </w:r>
      <w:hyperlink w:anchor="latin-record-0105">
        <w:r>
          <w:rPr>
            <w:color w:val="000000"/>
          </w:rPr>
          <w:t xml:space="preserve">animus</w:t>
        </w:r>
      </w:hyperlink>
      <w:r>
        <w:rPr>
          <w:b w:val="0"/>
          <w:i w:val="0"/>
        </w:rPr>
        <w:t>.</w:t>
      </w:r>
    </w:p>
    <w:p>
      <w:pPr>
        <w:widowControl/>
      </w:pPr>
      <w:r>
        <w:rPr>
          <w:b/>
          <w:i w:val="0"/>
        </w:rPr>
        <w:t>Animo.</w:t>
      </w:r>
      <w:r>
        <w:rPr>
          <w:b w:val="0"/>
          <w:i w:val="0"/>
        </w:rPr>
        <w:t xml:space="preserve"> </w:t>
      </w:r>
      <w:hyperlink w:anchor="latin-record-0105">
        <w:r>
          <w:rPr>
            <w:color w:val="000000"/>
          </w:rPr>
          <w:t xml:space="preserve">animus</w:t>
        </w:r>
      </w:hyperlink>
      <w:r>
        <w:rPr>
          <w:b w:val="0"/>
          <w:i w:val="0"/>
        </w:rPr>
        <w:t>.</w:t>
      </w:r>
    </w:p>
    <w:p>
      <w:pPr>
        <w:widowControl/>
      </w:pPr>
      <w:r>
        <w:rPr>
          <w:b/>
          <w:i w:val="0"/>
        </w:rPr>
        <w:t>animos.</w:t>
      </w:r>
      <w:r>
        <w:rPr>
          <w:b w:val="0"/>
          <w:i w:val="0"/>
        </w:rPr>
        <w:t xml:space="preserve"> </w:t>
      </w:r>
      <w:hyperlink w:anchor="latin-record-0093">
        <w:r>
          <w:rPr>
            <w:color w:val="000000"/>
          </w:rPr>
          <w:t xml:space="preserve">anima / animus</w:t>
        </w:r>
      </w:hyperlink>
      <w:r>
        <w:rPr>
          <w:b w:val="0"/>
          <w:i w:val="0"/>
        </w:rPr>
        <w:t>.</w:t>
      </w:r>
    </w:p>
    <w:p>
      <w:pPr>
        <w:widowControl/>
      </w:pPr>
      <w:r>
        <w:rPr>
          <w:b/>
          <w:i w:val="0"/>
        </w:rPr>
        <w:t>animum.</w:t>
      </w:r>
      <w:r>
        <w:rPr>
          <w:b w:val="0"/>
          <w:i w:val="0"/>
        </w:rPr>
        <w:t xml:space="preserve"> </w:t>
      </w:r>
      <w:hyperlink w:anchor="latin-record-0105">
        <w:r>
          <w:rPr>
            <w:color w:val="000000"/>
          </w:rPr>
          <w:t xml:space="preserve">animus</w:t>
        </w:r>
      </w:hyperlink>
      <w:r>
        <w:rPr>
          <w:b w:val="0"/>
          <w:i w:val="0"/>
        </w:rPr>
        <w:t>.</w:t>
      </w:r>
    </w:p>
    <w:p>
      <w:pPr>
        <w:widowControl/>
      </w:pPr>
      <w:r>
        <w:rPr>
          <w:b/>
          <w:i w:val="0"/>
        </w:rPr>
        <w:t>Animus.</w:t>
      </w:r>
      <w:r>
        <w:rPr>
          <w:b w:val="0"/>
          <w:i w:val="0"/>
        </w:rPr>
        <w:t xml:space="preserve"> </w:t>
      </w:r>
      <w:hyperlink w:anchor="latin-record-0093">
        <w:r>
          <w:rPr>
            <w:color w:val="000000"/>
          </w:rPr>
          <w:t xml:space="preserve">anima / animus</w:t>
        </w:r>
      </w:hyperlink>
      <w:r>
        <w:rPr>
          <w:b w:val="0"/>
          <w:i w:val="0"/>
        </w:rPr>
        <w:t xml:space="preserve">; </w:t>
      </w:r>
      <w:hyperlink w:anchor="latin-record-0105">
        <w:r>
          <w:rPr>
            <w:color w:val="000000"/>
          </w:rPr>
          <w:t xml:space="preserve">animus</w:t>
        </w:r>
      </w:hyperlink>
      <w:r>
        <w:rPr>
          <w:b w:val="0"/>
          <w:i w:val="0"/>
        </w:rPr>
        <w:t>.</w:t>
      </w:r>
    </w:p>
    <w:p>
      <w:pPr>
        <w:widowControl/>
      </w:pPr>
      <w:r>
        <w:rPr>
          <w:b/>
          <w:i w:val="0"/>
        </w:rPr>
        <w:t>animus.</w:t>
      </w:r>
      <w:r>
        <w:rPr>
          <w:b w:val="0"/>
          <w:i w:val="0"/>
        </w:rPr>
        <w:t xml:space="preserve"> </w:t>
      </w:r>
      <w:hyperlink w:anchor="latin-record-0093">
        <w:r>
          <w:rPr>
            <w:color w:val="000000"/>
          </w:rPr>
          <w:t xml:space="preserve">anima / animus</w:t>
        </w:r>
      </w:hyperlink>
      <w:r>
        <w:rPr>
          <w:b w:val="0"/>
          <w:i w:val="0"/>
        </w:rPr>
        <w:t xml:space="preserve">; </w:t>
      </w:r>
      <w:hyperlink w:anchor="latin-record-0105">
        <w:r>
          <w:rPr>
            <w:color w:val="000000"/>
          </w:rPr>
          <w:t xml:space="preserve">animus</w:t>
        </w:r>
      </w:hyperlink>
      <w:r>
        <w:rPr>
          <w:b w:val="0"/>
          <w:i w:val="0"/>
        </w:rPr>
        <w:t>.</w:t>
      </w:r>
    </w:p>
    <w:p>
      <w:pPr>
        <w:widowControl/>
      </w:pPr>
      <w:r>
        <w:rPr>
          <w:b/>
          <w:i w:val="0"/>
        </w:rPr>
        <w:t>ante et retro.</w:t>
      </w:r>
      <w:r>
        <w:rPr>
          <w:b w:val="0"/>
          <w:i w:val="0"/>
        </w:rPr>
        <w:t xml:space="preserve"> </w:t>
      </w:r>
      <w:hyperlink w:anchor="latin-record-0377">
        <w:r>
          <w:rPr>
            <w:color w:val="000000"/>
          </w:rPr>
          <w:t xml:space="preserve">dextera; sinistra; ante; retro</w:t>
        </w:r>
      </w:hyperlink>
      <w:r>
        <w:rPr>
          <w:b w:val="0"/>
          <w:i w:val="0"/>
        </w:rPr>
        <w:t>.</w:t>
      </w:r>
    </w:p>
    <w:p>
      <w:pPr>
        <w:widowControl/>
      </w:pPr>
      <w:r>
        <w:rPr>
          <w:b/>
          <w:i w:val="0"/>
        </w:rPr>
        <w:t>Antipater.</w:t>
      </w:r>
      <w:r>
        <w:rPr>
          <w:b w:val="0"/>
          <w:i w:val="0"/>
        </w:rPr>
        <w:t xml:space="preserve"> </w:t>
      </w:r>
      <w:hyperlink w:anchor="latin-record-1395">
        <w:r>
          <w:rPr>
            <w:color w:val="000000"/>
          </w:rPr>
          <w:t xml:space="preserve">Zeno; Cleantes; Antipater; Posidonius</w:t>
        </w:r>
      </w:hyperlink>
      <w:r>
        <w:rPr>
          <w:b w:val="0"/>
          <w:i w:val="0"/>
        </w:rPr>
        <w:t>.</w:t>
      </w:r>
    </w:p>
    <w:p>
      <w:pPr>
        <w:widowControl/>
      </w:pPr>
      <w:r>
        <w:rPr>
          <w:b/>
          <w:i w:val="0"/>
        </w:rPr>
        <w:t>Antisthenes.</w:t>
      </w:r>
      <w:r>
        <w:rPr>
          <w:b w:val="0"/>
          <w:i w:val="0"/>
        </w:rPr>
        <w:t xml:space="preserve"> </w:t>
      </w:r>
      <w:hyperlink w:anchor="latin-record-0106">
        <w:r>
          <w:rPr>
            <w:color w:val="000000"/>
          </w:rPr>
          <w:t xml:space="preserve">Antisthenes / Xenophon</w:t>
        </w:r>
      </w:hyperlink>
      <w:r>
        <w:rPr>
          <w:b w:val="0"/>
          <w:i w:val="0"/>
        </w:rPr>
        <w:t>.</w:t>
      </w:r>
    </w:p>
    <w:p>
      <w:pPr>
        <w:widowControl/>
      </w:pPr>
      <w:r>
        <w:rPr>
          <w:b/>
          <w:i w:val="0"/>
        </w:rPr>
        <w:t>Antonio Chronico Veneto.</w:t>
      </w:r>
      <w:r>
        <w:rPr>
          <w:b w:val="0"/>
          <w:i w:val="0"/>
        </w:rPr>
        <w:t xml:space="preserve"> </w:t>
      </w:r>
      <w:hyperlink w:anchor="latin-record-0159">
        <w:r>
          <w:rPr>
            <w:color w:val="000000"/>
          </w:rPr>
          <w:t xml:space="preserve">Bembus; Chronico; Demetrius</w:t>
        </w:r>
      </w:hyperlink>
      <w:r>
        <w:rPr>
          <w:b w:val="0"/>
          <w:i w:val="0"/>
        </w:rPr>
        <w:t>.</w:t>
      </w:r>
    </w:p>
    <w:p>
      <w:pPr>
        <w:widowControl/>
      </w:pPr>
      <w:r>
        <w:rPr>
          <w:b/>
          <w:i w:val="0"/>
        </w:rPr>
        <w:t>apis.</w:t>
      </w:r>
      <w:r>
        <w:rPr>
          <w:b w:val="0"/>
          <w:i w:val="0"/>
        </w:rPr>
        <w:t xml:space="preserve"> </w:t>
      </w:r>
      <w:hyperlink w:anchor="latin-record-0107">
        <w:r>
          <w:rPr>
            <w:color w:val="000000"/>
          </w:rPr>
          <w:t xml:space="preserve">apis / ovis / sollertia</w:t>
        </w:r>
      </w:hyperlink>
      <w:r>
        <w:rPr>
          <w:b w:val="0"/>
          <w:i w:val="0"/>
        </w:rPr>
        <w:t>.</w:t>
      </w:r>
    </w:p>
    <w:p>
      <w:pPr>
        <w:widowControl/>
      </w:pPr>
      <w:r>
        <w:rPr>
          <w:b/>
          <w:i w:val="0"/>
        </w:rPr>
        <w:t>apostolus.</w:t>
      </w:r>
      <w:r>
        <w:rPr>
          <w:b w:val="0"/>
          <w:i w:val="0"/>
        </w:rPr>
        <w:t xml:space="preserve"> </w:t>
      </w:r>
      <w:hyperlink w:anchor="latin-record-0909">
        <w:r>
          <w:rPr>
            <w:color w:val="000000"/>
          </w:rPr>
          <w:t xml:space="preserve">Paulus apostolus</w:t>
        </w:r>
      </w:hyperlink>
      <w:r>
        <w:rPr>
          <w:b w:val="0"/>
          <w:i w:val="0"/>
        </w:rPr>
        <w:t>.</w:t>
      </w:r>
    </w:p>
    <w:p>
      <w:pPr>
        <w:widowControl/>
      </w:pPr>
      <w:r>
        <w:rPr>
          <w:b/>
          <w:i w:val="0"/>
        </w:rPr>
        <w:t>apparet.</w:t>
      </w:r>
      <w:r>
        <w:rPr>
          <w:b w:val="0"/>
          <w:i w:val="0"/>
        </w:rPr>
        <w:t xml:space="preserve"> </w:t>
      </w:r>
      <w:hyperlink w:anchor="latin-record-0108">
        <w:r>
          <w:rPr>
            <w:color w:val="000000"/>
          </w:rPr>
          <w:t xml:space="preserve">apparere / videri / placere</w:t>
        </w:r>
      </w:hyperlink>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Apparet.</w:t>
      </w:r>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appellabat.</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appellabimus.</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appellatur.</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appetant.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appetit.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appetitio.</w:t>
      </w:r>
      <w:r>
        <w:rPr>
          <w:b w:val="0"/>
          <w:i w:val="0"/>
        </w:rPr>
        <w:t xml:space="preserve"> </w:t>
      </w:r>
      <w:hyperlink w:anchor="latin-record-0110">
        <w:r>
          <w:rPr>
            <w:color w:val="000000"/>
          </w:rPr>
          <w:t xml:space="preserve">appetitus / appetitio</w:t>
        </w:r>
      </w:hyperlink>
      <w:r>
        <w:rPr>
          <w:b w:val="0"/>
          <w:i w:val="0"/>
        </w:rPr>
        <w:t xml:space="preserve">; </w:t>
      </w:r>
      <w:hyperlink w:anchor="latin-record-0111">
        <w:r>
          <w:rPr>
            <w:color w:val="000000"/>
          </w:rPr>
          <w:t xml:space="preserve">appetitus naturalis</w:t>
        </w:r>
      </w:hyperlink>
      <w:r>
        <w:rPr>
          <w:b w:val="0"/>
          <w:i w:val="0"/>
        </w:rPr>
        <w:t>.</w:t>
      </w:r>
    </w:p>
    <w:p>
      <w:pPr>
        <w:widowControl/>
      </w:pPr>
      <w:r>
        <w:rPr>
          <w:b/>
          <w:i w:val="0"/>
        </w:rPr>
        <w:t>appetitu.</w:t>
      </w:r>
      <w:r>
        <w:rPr>
          <w:b w:val="0"/>
          <w:i w:val="0"/>
        </w:rPr>
        <w:t xml:space="preserve"> </w:t>
      </w:r>
      <w:hyperlink w:anchor="latin-record-0110">
        <w:r>
          <w:rPr>
            <w:color w:val="000000"/>
          </w:rPr>
          <w:t xml:space="preserve">appetitus / appetitio</w:t>
        </w:r>
      </w:hyperlink>
      <w:r>
        <w:rPr>
          <w:b w:val="0"/>
          <w:i w:val="0"/>
        </w:rPr>
        <w:t xml:space="preserve">; </w:t>
      </w:r>
      <w:hyperlink w:anchor="latin-record-0111">
        <w:r>
          <w:rPr>
            <w:color w:val="000000"/>
          </w:rPr>
          <w:t xml:space="preserve">appetitus naturalis</w:t>
        </w:r>
      </w:hyperlink>
      <w:r>
        <w:rPr>
          <w:b w:val="0"/>
          <w:i w:val="0"/>
        </w:rPr>
        <w:t xml:space="preserve">; </w:t>
      </w:r>
      <w:hyperlink w:anchor="latin-record-0661">
        <w:r>
          <w:rPr>
            <w:color w:val="000000"/>
          </w:rPr>
          <w:t xml:space="preserve">intellectus / sensus / appetitus</w:t>
        </w:r>
      </w:hyperlink>
      <w:r>
        <w:rPr>
          <w:b w:val="0"/>
          <w:i w:val="0"/>
        </w:rPr>
        <w:t>.</w:t>
      </w:r>
    </w:p>
    <w:p>
      <w:pPr>
        <w:widowControl/>
      </w:pPr>
      <w:r>
        <w:rPr>
          <w:b/>
          <w:i w:val="0"/>
        </w:rPr>
        <w:t>appetitum.</w:t>
      </w:r>
      <w:r>
        <w:rPr>
          <w:b w:val="0"/>
          <w:i w:val="0"/>
        </w:rPr>
        <w:t xml:space="preserve"> </w:t>
      </w:r>
      <w:hyperlink w:anchor="latin-record-0112">
        <w:r>
          <w:rPr>
            <w:color w:val="000000"/>
          </w:rPr>
          <w:t xml:space="preserve">appetitus; proclivis</w:t>
        </w:r>
      </w:hyperlink>
      <w:r>
        <w:rPr>
          <w:b w:val="0"/>
          <w:i w:val="0"/>
        </w:rPr>
        <w:t>.</w:t>
      </w:r>
    </w:p>
    <w:p>
      <w:pPr>
        <w:widowControl/>
      </w:pPr>
      <w:r>
        <w:rPr>
          <w:b/>
          <w:i w:val="0"/>
        </w:rPr>
        <w:t>appetitum naturalem.</w:t>
      </w:r>
      <w:r>
        <w:rPr>
          <w:b w:val="0"/>
          <w:i w:val="0"/>
        </w:rPr>
        <w:t xml:space="preserve"> </w:t>
      </w:r>
      <w:hyperlink w:anchor="latin-record-0111">
        <w:r>
          <w:rPr>
            <w:color w:val="000000"/>
          </w:rPr>
          <w:t xml:space="preserve">appetitus naturalis</w:t>
        </w:r>
      </w:hyperlink>
      <w:r>
        <w:rPr>
          <w:b w:val="0"/>
          <w:i w:val="0"/>
        </w:rPr>
        <w:t>.</w:t>
      </w:r>
    </w:p>
    <w:p>
      <w:pPr>
        <w:widowControl/>
      </w:pPr>
      <w:r>
        <w:rPr>
          <w:b/>
          <w:i w:val="0"/>
        </w:rPr>
        <w:t>appetitus.</w:t>
      </w:r>
      <w:r>
        <w:rPr>
          <w:b w:val="0"/>
          <w:i w:val="0"/>
        </w:rPr>
        <w:t xml:space="preserve"> </w:t>
      </w:r>
      <w:hyperlink w:anchor="latin-record-0110">
        <w:r>
          <w:rPr>
            <w:color w:val="000000"/>
          </w:rPr>
          <w:t xml:space="preserve">appetitus / appetitio</w:t>
        </w:r>
      </w:hyperlink>
      <w:r>
        <w:rPr>
          <w:b w:val="0"/>
          <w:i w:val="0"/>
        </w:rPr>
        <w:t xml:space="preserve">; </w:t>
      </w:r>
      <w:hyperlink w:anchor="latin-record-0400">
        <w:r>
          <w:rPr>
            <w:color w:val="000000"/>
          </w:rPr>
          <w:t xml:space="preserve">dissentire / pugnare / appetitus</w:t>
        </w:r>
      </w:hyperlink>
      <w:r>
        <w:rPr>
          <w:b w:val="0"/>
          <w:i w:val="0"/>
        </w:rPr>
        <w:t>.</w:t>
      </w:r>
    </w:p>
    <w:p>
      <w:pPr>
        <w:widowControl/>
      </w:pPr>
      <w:r>
        <w:rPr>
          <w:b/>
          <w:i w:val="0"/>
        </w:rPr>
        <w:t>appetunt.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apprehendat.</w:t>
      </w:r>
      <w:r>
        <w:rPr>
          <w:b w:val="0"/>
          <w:i w:val="0"/>
        </w:rPr>
        <w:t xml:space="preserve"> </w:t>
      </w:r>
      <w:hyperlink w:anchor="latin-record-0113">
        <w:r>
          <w:rPr>
            <w:color w:val="000000"/>
          </w:rPr>
          <w:t xml:space="preserve">apprehendere</w:t>
        </w:r>
      </w:hyperlink>
      <w:r>
        <w:rPr>
          <w:b w:val="0"/>
          <w:i w:val="0"/>
        </w:rPr>
        <w:t xml:space="preserve">; </w:t>
      </w:r>
      <w:hyperlink w:anchor="latin-record-0538">
        <w:r>
          <w:rPr>
            <w:color w:val="000000"/>
          </w:rPr>
          <w:t xml:space="preserve">geminus / apprehendere</w:t>
        </w:r>
      </w:hyperlink>
      <w:r>
        <w:rPr>
          <w:b w:val="0"/>
          <w:i w:val="0"/>
        </w:rPr>
        <w:t>.</w:t>
      </w:r>
    </w:p>
    <w:p>
      <w:pPr>
        <w:widowControl/>
      </w:pPr>
      <w:r>
        <w:rPr>
          <w:b/>
          <w:i w:val="0"/>
        </w:rPr>
        <w:t>apprehendet.</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apprehendit.</w:t>
      </w:r>
      <w:r>
        <w:rPr>
          <w:b w:val="0"/>
          <w:i w:val="0"/>
        </w:rPr>
        <w:t xml:space="preserve"> </w:t>
      </w:r>
      <w:hyperlink w:anchor="latin-record-0113">
        <w:r>
          <w:rPr>
            <w:color w:val="000000"/>
          </w:rPr>
          <w:t xml:space="preserve">apprehendere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538">
        <w:r>
          <w:rPr>
            <w:color w:val="000000"/>
          </w:rPr>
          <w:t xml:space="preserve">geminus / apprehendere</w:t>
        </w:r>
      </w:hyperlink>
      <w:r>
        <w:rPr>
          <w:b w:val="0"/>
          <w:i w:val="0"/>
        </w:rPr>
        <w:t>.</w:t>
      </w:r>
    </w:p>
    <w:p>
      <w:pPr>
        <w:widowControl/>
      </w:pPr>
      <w:r>
        <w:rPr>
          <w:b/>
          <w:i w:val="0"/>
        </w:rPr>
        <w:t>approbaveris.</w:t>
      </w:r>
      <w:r>
        <w:rPr>
          <w:b w:val="0"/>
          <w:i w:val="0"/>
        </w:rPr>
        <w:t xml:space="preserve"> </w:t>
      </w:r>
      <w:hyperlink w:anchor="latin-record-0291">
        <w:r>
          <w:rPr>
            <w:color w:val="000000"/>
          </w:rPr>
          <w:t xml:space="preserve">confutare; reprobare; approbare</w:t>
        </w:r>
      </w:hyperlink>
      <w:r>
        <w:rPr>
          <w:b w:val="0"/>
          <w:i w:val="0"/>
        </w:rPr>
        <w:t>.</w:t>
      </w:r>
    </w:p>
    <w:p>
      <w:pPr>
        <w:widowControl/>
      </w:pPr>
      <w:r>
        <w:rPr>
          <w:b/>
          <w:i w:val="0"/>
        </w:rPr>
        <w:t>apta.</w:t>
      </w:r>
      <w:r>
        <w:rPr>
          <w:b w:val="0"/>
          <w:i w:val="0"/>
        </w:rPr>
        <w:t xml:space="preserve"> </w:t>
      </w:r>
      <w:hyperlink w:anchor="latin-record-0114">
        <w:r>
          <w:rPr>
            <w:color w:val="000000"/>
          </w:rPr>
          <w:t xml:space="preserve">aptus / ineptus</w:t>
        </w:r>
      </w:hyperlink>
      <w:r>
        <w:rPr>
          <w:b w:val="0"/>
          <w:i w:val="0"/>
        </w:rPr>
        <w:t>.</w:t>
      </w:r>
    </w:p>
    <w:p>
      <w:pPr>
        <w:widowControl/>
      </w:pPr>
      <w:r>
        <w:rPr>
          <w:b/>
          <w:i w:val="0"/>
        </w:rPr>
        <w:t>aptabis.</w:t>
      </w:r>
      <w:r>
        <w:rPr>
          <w:b w:val="0"/>
          <w:i w:val="0"/>
        </w:rPr>
        <w:t xml:space="preserve"> </w:t>
      </w:r>
      <w:hyperlink w:anchor="latin-record-0294">
        <w:r>
          <w:rPr>
            <w:color w:val="000000"/>
          </w:rPr>
          <w:t xml:space="preserve">congruere / quadrare / aptare</w:t>
        </w:r>
      </w:hyperlink>
      <w:r>
        <w:rPr>
          <w:b w:val="0"/>
          <w:i w:val="0"/>
        </w:rPr>
        <w:t>.</w:t>
      </w:r>
    </w:p>
    <w:p>
      <w:pPr>
        <w:widowControl/>
      </w:pPr>
      <w:r>
        <w:rPr>
          <w:b/>
          <w:i w:val="0"/>
        </w:rPr>
        <w:t>Aqua.</w:t>
      </w:r>
      <w:r>
        <w:rPr>
          <w:b w:val="0"/>
          <w:i w:val="0"/>
        </w:rPr>
        <w:t xml:space="preserve"> </w:t>
      </w:r>
      <w:hyperlink w:anchor="latin-record-0115">
        <w:r>
          <w:rPr>
            <w:color w:val="000000"/>
          </w:rPr>
          <w:t xml:space="preserve">aqua / aer / terra</w:t>
        </w:r>
      </w:hyperlink>
      <w:r>
        <w:rPr>
          <w:b w:val="0"/>
          <w:i w:val="0"/>
        </w:rPr>
        <w:t>.</w:t>
      </w:r>
    </w:p>
    <w:p>
      <w:pPr>
        <w:widowControl/>
      </w:pPr>
      <w:r>
        <w:rPr>
          <w:b/>
          <w:i w:val="0"/>
        </w:rPr>
        <w:t>aqua.</w:t>
      </w:r>
      <w:r>
        <w:rPr>
          <w:b w:val="0"/>
          <w:i w:val="0"/>
        </w:rPr>
        <w:t xml:space="preserve"> </w:t>
      </w:r>
      <w:hyperlink w:anchor="latin-record-0115">
        <w:r>
          <w:rPr>
            <w:color w:val="000000"/>
          </w:rPr>
          <w:t xml:space="preserve">aqua / aer / terra</w:t>
        </w:r>
      </w:hyperlink>
      <w:r>
        <w:rPr>
          <w:b w:val="0"/>
          <w:i w:val="0"/>
        </w:rPr>
        <w:t xml:space="preserve">; </w:t>
      </w:r>
      <w:hyperlink w:anchor="latin-record-0116">
        <w:r>
          <w:rPr>
            <w:color w:val="000000"/>
          </w:rPr>
          <w:t xml:space="preserve">aqua / ignis / calor / frigus</w:t>
        </w:r>
      </w:hyperlink>
      <w:r>
        <w:rPr>
          <w:b w:val="0"/>
          <w:i w:val="0"/>
        </w:rPr>
        <w:t xml:space="preserve">; </w:t>
      </w:r>
      <w:hyperlink w:anchor="latin-record-0586">
        <w:r>
          <w:rPr>
            <w:color w:val="000000"/>
          </w:rPr>
          <w:t xml:space="preserve">ignis; aer; aqua</w:t>
        </w:r>
      </w:hyperlink>
      <w:r>
        <w:rPr>
          <w:b w:val="0"/>
          <w:i w:val="0"/>
        </w:rPr>
        <w:t xml:space="preserve">; </w:t>
      </w:r>
      <w:hyperlink w:anchor="latin-record-1215">
        <w:r>
          <w:rPr>
            <w:color w:val="000000"/>
          </w:rPr>
          <w:t xml:space="preserve">speculum / aqua</w:t>
        </w:r>
      </w:hyperlink>
      <w:r>
        <w:rPr>
          <w:b w:val="0"/>
          <w:i w:val="0"/>
        </w:rPr>
        <w:t>.</w:t>
      </w:r>
    </w:p>
    <w:p>
      <w:pPr>
        <w:widowControl/>
      </w:pPr>
      <w:r>
        <w:rPr>
          <w:b/>
          <w:i w:val="0"/>
        </w:rPr>
        <w:t>aquae.</w:t>
      </w:r>
      <w:r>
        <w:rPr>
          <w:b w:val="0"/>
          <w:i w:val="0"/>
        </w:rPr>
        <w:t xml:space="preserve"> </w:t>
      </w:r>
      <w:hyperlink w:anchor="latin-record-0115">
        <w:r>
          <w:rPr>
            <w:color w:val="000000"/>
          </w:rPr>
          <w:t xml:space="preserve">aqua / aer / terra</w:t>
        </w:r>
      </w:hyperlink>
      <w:r>
        <w:rPr>
          <w:b w:val="0"/>
          <w:i w:val="0"/>
        </w:rPr>
        <w:t xml:space="preserve">; </w:t>
      </w:r>
      <w:hyperlink w:anchor="latin-record-0116">
        <w:r>
          <w:rPr>
            <w:color w:val="000000"/>
          </w:rPr>
          <w:t xml:space="preserve">aqua / ignis / calor / frigus</w:t>
        </w:r>
      </w:hyperlink>
      <w:r>
        <w:rPr>
          <w:b w:val="0"/>
          <w:i w:val="0"/>
        </w:rPr>
        <w:t>.</w:t>
      </w:r>
    </w:p>
    <w:p>
      <w:pPr>
        <w:widowControl/>
      </w:pPr>
      <w:r>
        <w:rPr>
          <w:b/>
          <w:i w:val="0"/>
        </w:rPr>
        <w:t>aquam.</w:t>
      </w:r>
      <w:r>
        <w:rPr>
          <w:b w:val="0"/>
          <w:i w:val="0"/>
        </w:rPr>
        <w:t xml:space="preserve"> </w:t>
      </w:r>
      <w:hyperlink w:anchor="latin-record-0115">
        <w:r>
          <w:rPr>
            <w:color w:val="000000"/>
          </w:rPr>
          <w:t xml:space="preserve">aqua / aer / terra</w:t>
        </w:r>
      </w:hyperlink>
      <w:r>
        <w:rPr>
          <w:b w:val="0"/>
          <w:i w:val="0"/>
        </w:rPr>
        <w:t xml:space="preserve">; </w:t>
      </w:r>
      <w:hyperlink w:anchor="latin-record-0116">
        <w:r>
          <w:rPr>
            <w:color w:val="000000"/>
          </w:rPr>
          <w:t xml:space="preserve">aqua / ignis / calor / frigus</w:t>
        </w:r>
      </w:hyperlink>
      <w:r>
        <w:rPr>
          <w:b w:val="0"/>
          <w:i w:val="0"/>
        </w:rPr>
        <w:t xml:space="preserve">; </w:t>
      </w:r>
      <w:hyperlink w:anchor="latin-record-0586">
        <w:r>
          <w:rPr>
            <w:color w:val="000000"/>
          </w:rPr>
          <w:t xml:space="preserve">ignis; aer; aqua</w:t>
        </w:r>
      </w:hyperlink>
      <w:r>
        <w:rPr>
          <w:b w:val="0"/>
          <w:i w:val="0"/>
        </w:rPr>
        <w:t xml:space="preserve">; </w:t>
      </w:r>
      <w:hyperlink w:anchor="latin-record-1133">
        <w:r>
          <w:rPr>
            <w:color w:val="000000"/>
          </w:rPr>
          <w:t xml:space="preserve">sapor / odor / aqua</w:t>
        </w:r>
      </w:hyperlink>
      <w:r>
        <w:rPr>
          <w:b w:val="0"/>
          <w:i w:val="0"/>
        </w:rPr>
        <w:t>.</w:t>
      </w:r>
    </w:p>
    <w:p>
      <w:pPr>
        <w:widowControl/>
      </w:pPr>
      <w:r>
        <w:rPr>
          <w:b/>
          <w:i w:val="0"/>
        </w:rPr>
        <w:t>aquatica.</w:t>
      </w:r>
      <w:r>
        <w:rPr>
          <w:b w:val="0"/>
          <w:i w:val="0"/>
        </w:rPr>
        <w:t xml:space="preserve"> </w:t>
      </w:r>
      <w:hyperlink w:anchor="latin-record-0117">
        <w:r>
          <w:rPr>
            <w:color w:val="000000"/>
          </w:rPr>
          <w:t xml:space="preserve">aquaticus / terrestris / aereus</w:t>
        </w:r>
      </w:hyperlink>
      <w:r>
        <w:rPr>
          <w:b w:val="0"/>
          <w:i w:val="0"/>
        </w:rPr>
        <w:t>.</w:t>
      </w:r>
    </w:p>
    <w:p>
      <w:pPr>
        <w:widowControl/>
      </w:pPr>
      <w:r>
        <w:rPr>
          <w:b/>
          <w:i w:val="0"/>
        </w:rPr>
        <w:t>aqueis.</w:t>
      </w:r>
      <w:r>
        <w:rPr>
          <w:b w:val="0"/>
          <w:i w:val="0"/>
        </w:rPr>
        <w:t xml:space="preserve"> </w:t>
      </w:r>
      <w:hyperlink w:anchor="latin-record-0117">
        <w:r>
          <w:rPr>
            <w:color w:val="000000"/>
          </w:rPr>
          <w:t xml:space="preserve">aquaticus / terrestris / aereus</w:t>
        </w:r>
      </w:hyperlink>
      <w:r>
        <w:rPr>
          <w:b w:val="0"/>
          <w:i w:val="0"/>
        </w:rPr>
        <w:t>.</w:t>
      </w:r>
    </w:p>
    <w:p>
      <w:pPr>
        <w:widowControl/>
      </w:pPr>
      <w:r>
        <w:rPr>
          <w:b/>
          <w:i w:val="0"/>
        </w:rPr>
        <w:t>aqueum.</w:t>
      </w:r>
      <w:r>
        <w:rPr>
          <w:b w:val="0"/>
          <w:i w:val="0"/>
        </w:rPr>
        <w:t xml:space="preserve"> </w:t>
      </w:r>
      <w:hyperlink w:anchor="latin-record-0582">
        <w:r>
          <w:rPr>
            <w:color w:val="000000"/>
          </w:rPr>
          <w:t xml:space="preserve">igneus; aereus; aqueus; terreus</w:t>
        </w:r>
      </w:hyperlink>
      <w:r>
        <w:rPr>
          <w:b w:val="0"/>
          <w:i w:val="0"/>
        </w:rPr>
        <w:t>.</w:t>
      </w:r>
    </w:p>
    <w:p>
      <w:pPr>
        <w:widowControl/>
      </w:pPr>
      <w:r>
        <w:rPr>
          <w:b/>
          <w:i w:val="0"/>
        </w:rPr>
        <w:t>aquilae.</w:t>
      </w:r>
      <w:r>
        <w:rPr>
          <w:b w:val="0"/>
          <w:i w:val="0"/>
        </w:rPr>
        <w:t xml:space="preserve"> </w:t>
      </w:r>
      <w:hyperlink w:anchor="latin-record-0119">
        <w:r>
          <w:rPr>
            <w:color w:val="000000"/>
          </w:rPr>
          <w:t xml:space="preserve">aquila / bos</w:t>
        </w:r>
      </w:hyperlink>
      <w:r>
        <w:rPr>
          <w:b w:val="0"/>
          <w:i w:val="0"/>
        </w:rPr>
        <w:t>.</w:t>
      </w:r>
    </w:p>
    <w:p>
      <w:pPr>
        <w:widowControl/>
      </w:pPr>
      <w:r>
        <w:rPr>
          <w:b/>
          <w:i w:val="0"/>
        </w:rPr>
        <w:t>aquilam.</w:t>
      </w:r>
      <w:r>
        <w:rPr>
          <w:b w:val="0"/>
          <w:i w:val="0"/>
        </w:rPr>
        <w:t xml:space="preserve"> </w:t>
      </w:r>
      <w:hyperlink w:anchor="latin-record-0118">
        <w:r>
          <w:rPr>
            <w:color w:val="000000"/>
          </w:rPr>
          <w:t xml:space="preserve">aquila</w:t>
        </w:r>
      </w:hyperlink>
      <w:r>
        <w:rPr>
          <w:b w:val="0"/>
          <w:i w:val="0"/>
        </w:rPr>
        <w:t>.</w:t>
      </w:r>
    </w:p>
    <w:p>
      <w:pPr>
        <w:widowControl/>
      </w:pPr>
      <w:r>
        <w:rPr>
          <w:b/>
          <w:i w:val="0"/>
        </w:rPr>
        <w:t>aquilino.</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arbitrantes.</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arbitrantur.</w:t>
      </w:r>
      <w:r>
        <w:rPr>
          <w:b w:val="0"/>
          <w:i w:val="0"/>
        </w:rPr>
        <w:t xml:space="preserve"> </w:t>
      </w:r>
      <w:hyperlink w:anchor="latin-record-0108">
        <w:r>
          <w:rPr>
            <w:color w:val="000000"/>
          </w:rPr>
          <w:t xml:space="preserve">apparere / videri / placere</w:t>
        </w:r>
      </w:hyperlink>
      <w:r>
        <w:rPr>
          <w:b w:val="0"/>
          <w:i w:val="0"/>
        </w:rPr>
        <w:t>.</w:t>
      </w:r>
    </w:p>
    <w:p>
      <w:pPr>
        <w:widowControl/>
      </w:pPr>
      <w:r>
        <w:rPr>
          <w:b/>
          <w:i w:val="0"/>
        </w:rPr>
        <w:t>arbitretur.</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Arbitror.</w:t>
      </w:r>
      <w:r>
        <w:rPr>
          <w:b w:val="0"/>
          <w:i w:val="0"/>
        </w:rPr>
        <w:t xml:space="preserve"> </w:t>
      </w:r>
      <w:hyperlink w:anchor="latin-record-0137">
        <w:r>
          <w:rPr>
            <w:color w:val="000000"/>
          </w:rPr>
          <w:t xml:space="preserve">assentiri; opinari; arbitrari</w:t>
        </w:r>
      </w:hyperlink>
      <w:r>
        <w:rPr>
          <w:b w:val="0"/>
          <w:i w:val="0"/>
        </w:rPr>
        <w:t>.</w:t>
      </w:r>
    </w:p>
    <w:p>
      <w:pPr>
        <w:widowControl/>
      </w:pPr>
      <w:r>
        <w:rPr>
          <w:b/>
          <w:i w:val="0"/>
        </w:rPr>
        <w:t>Archelaum.</w:t>
      </w:r>
      <w:r>
        <w:rPr>
          <w:b w:val="0"/>
          <w:i w:val="0"/>
        </w:rPr>
        <w:t xml:space="preserve"> </w:t>
      </w:r>
      <w:hyperlink w:anchor="latin-record-0213">
        <w:r>
          <w:rPr>
            <w:color w:val="000000"/>
          </w:rPr>
          <w:t xml:space="preserve">Chrysippus; Archelaus; Heraclides</w:t>
        </w:r>
      </w:hyperlink>
      <w:r>
        <w:rPr>
          <w:b w:val="0"/>
          <w:i w:val="0"/>
        </w:rPr>
        <w:t>.</w:t>
      </w:r>
    </w:p>
    <w:p>
      <w:pPr>
        <w:widowControl/>
      </w:pPr>
      <w:r>
        <w:rPr>
          <w:b/>
          <w:i w:val="0"/>
        </w:rPr>
        <w:t>ardentius.</w:t>
      </w:r>
      <w:r>
        <w:rPr>
          <w:b w:val="0"/>
          <w:i w:val="0"/>
        </w:rPr>
        <w:t xml:space="preserve"> </w:t>
      </w:r>
      <w:hyperlink w:anchor="latin-record-0120">
        <w:r>
          <w:rPr>
            <w:color w:val="000000"/>
          </w:rPr>
          <w:t xml:space="preserve">ardor / ardere / ardenter</w:t>
        </w:r>
      </w:hyperlink>
      <w:r>
        <w:rPr>
          <w:b w:val="0"/>
          <w:i w:val="0"/>
        </w:rPr>
        <w:t>.</w:t>
      </w:r>
    </w:p>
    <w:p>
      <w:pPr>
        <w:widowControl/>
      </w:pPr>
      <w:r>
        <w:rPr>
          <w:b/>
          <w:i w:val="0"/>
        </w:rPr>
        <w:t>ardet.</w:t>
      </w:r>
      <w:r>
        <w:rPr>
          <w:b w:val="0"/>
          <w:i w:val="0"/>
        </w:rPr>
        <w:t xml:space="preserve"> </w:t>
      </w:r>
      <w:hyperlink w:anchor="latin-record-0120">
        <w:r>
          <w:rPr>
            <w:color w:val="000000"/>
          </w:rPr>
          <w:t xml:space="preserve">ardor / ardere / ardenter</w:t>
        </w:r>
      </w:hyperlink>
      <w:r>
        <w:rPr>
          <w:b w:val="0"/>
          <w:i w:val="0"/>
        </w:rPr>
        <w:t>.</w:t>
      </w:r>
    </w:p>
    <w:p>
      <w:pPr>
        <w:widowControl/>
      </w:pPr>
      <w:r>
        <w:rPr>
          <w:b/>
          <w:i w:val="0"/>
        </w:rPr>
        <w:t>ardor.</w:t>
      </w:r>
      <w:r>
        <w:rPr>
          <w:b w:val="0"/>
          <w:i w:val="0"/>
        </w:rPr>
        <w:t xml:space="preserve"> </w:t>
      </w:r>
      <w:hyperlink w:anchor="latin-record-0120">
        <w:r>
          <w:rPr>
            <w:color w:val="000000"/>
          </w:rPr>
          <w:t xml:space="preserve">ardor / ardere / ardenter</w:t>
        </w:r>
      </w:hyperlink>
      <w:r>
        <w:rPr>
          <w:b w:val="0"/>
          <w:i w:val="0"/>
        </w:rPr>
        <w:t>.</w:t>
      </w:r>
    </w:p>
    <w:p>
      <w:pPr>
        <w:widowControl/>
      </w:pPr>
      <w:r>
        <w:rPr>
          <w:b/>
          <w:i w:val="0"/>
        </w:rPr>
        <w:t>ardorem.</w:t>
      </w:r>
      <w:r>
        <w:rPr>
          <w:b w:val="0"/>
          <w:i w:val="0"/>
        </w:rPr>
        <w:t xml:space="preserve"> </w:t>
      </w:r>
      <w:hyperlink w:anchor="latin-record-0218">
        <w:r>
          <w:rPr>
            <w:color w:val="000000"/>
          </w:rPr>
          <w:t xml:space="preserve">claritas / fervor</w:t>
        </w:r>
      </w:hyperlink>
      <w:r>
        <w:rPr>
          <w:b w:val="0"/>
          <w:i w:val="0"/>
        </w:rPr>
        <w:t>.</w:t>
      </w:r>
    </w:p>
    <w:p>
      <w:pPr>
        <w:widowControl/>
      </w:pPr>
      <w:r>
        <w:rPr>
          <w:b/>
          <w:i w:val="0"/>
        </w:rPr>
        <w:t>argumentatio.</w:t>
      </w:r>
      <w:r>
        <w:rPr>
          <w:b w:val="0"/>
          <w:i w:val="0"/>
        </w:rPr>
        <w:t xml:space="preserve"> </w:t>
      </w:r>
      <w:hyperlink w:anchor="latin-record-0121">
        <w:r>
          <w:rPr>
            <w:color w:val="000000"/>
          </w:rPr>
          <w:t xml:space="preserve">argumentatio / demonstratio</w:t>
        </w:r>
      </w:hyperlink>
      <w:r>
        <w:rPr>
          <w:b w:val="0"/>
          <w:i w:val="0"/>
        </w:rPr>
        <w:t>.</w:t>
      </w:r>
    </w:p>
    <w:p>
      <w:pPr>
        <w:widowControl/>
      </w:pPr>
      <w:r>
        <w:rPr>
          <w:b/>
          <w:i w:val="0"/>
        </w:rPr>
        <w:t>argumentatione.</w:t>
      </w:r>
      <w:r>
        <w:rPr>
          <w:b w:val="0"/>
          <w:i w:val="0"/>
        </w:rPr>
        <w:t xml:space="preserve"> </w:t>
      </w:r>
      <w:hyperlink w:anchor="latin-record-0121">
        <w:r>
          <w:rPr>
            <w:color w:val="000000"/>
          </w:rPr>
          <w:t xml:space="preserve">argumentatio / demonstratio</w:t>
        </w:r>
      </w:hyperlink>
      <w:r>
        <w:rPr>
          <w:b w:val="0"/>
          <w:i w:val="0"/>
        </w:rPr>
        <w:t xml:space="preserve">; </w:t>
      </w:r>
      <w:hyperlink w:anchor="latin-record-1071">
        <w:r>
          <w:rPr>
            <w:color w:val="000000"/>
          </w:rPr>
          <w:t xml:space="preserve">ratio as argument</w:t>
        </w:r>
      </w:hyperlink>
      <w:r>
        <w:rPr>
          <w:b w:val="0"/>
          <w:i w:val="0"/>
        </w:rPr>
        <w:t>.</w:t>
      </w:r>
    </w:p>
    <w:p>
      <w:pPr>
        <w:widowControl/>
      </w:pPr>
      <w:r>
        <w:rPr>
          <w:b/>
          <w:i w:val="0"/>
        </w:rPr>
        <w:t>argumentationem.</w:t>
      </w:r>
      <w:r>
        <w:rPr>
          <w:b w:val="0"/>
          <w:i w:val="0"/>
        </w:rPr>
        <w:t xml:space="preserve"> </w:t>
      </w:r>
      <w:hyperlink w:anchor="latin-record-0121">
        <w:r>
          <w:rPr>
            <w:color w:val="000000"/>
          </w:rPr>
          <w:t xml:space="preserve">argumentatio / demonstratio</w:t>
        </w:r>
      </w:hyperlink>
      <w:r>
        <w:rPr>
          <w:b w:val="0"/>
          <w:i w:val="0"/>
        </w:rPr>
        <w:t>.</w:t>
      </w:r>
    </w:p>
    <w:p>
      <w:pPr>
        <w:widowControl/>
      </w:pPr>
      <w:r>
        <w:rPr>
          <w:b/>
          <w:i w:val="0"/>
        </w:rPr>
        <w:t>argumentationibus.</w:t>
      </w:r>
      <w:r>
        <w:rPr>
          <w:b w:val="0"/>
          <w:i w:val="0"/>
        </w:rPr>
        <w:t xml:space="preserve"> </w:t>
      </w:r>
      <w:hyperlink w:anchor="latin-record-1071">
        <w:r>
          <w:rPr>
            <w:color w:val="000000"/>
          </w:rPr>
          <w:t xml:space="preserve">ratio as argument</w:t>
        </w:r>
      </w:hyperlink>
      <w:r>
        <w:rPr>
          <w:b w:val="0"/>
          <w:i w:val="0"/>
        </w:rPr>
        <w:t>.</w:t>
      </w:r>
    </w:p>
    <w:p>
      <w:pPr>
        <w:widowControl/>
      </w:pPr>
      <w:r>
        <w:rPr>
          <w:b/>
          <w:i w:val="0"/>
        </w:rPr>
        <w:t>ariditatem.</w:t>
      </w:r>
      <w:r>
        <w:rPr>
          <w:b w:val="0"/>
          <w:i w:val="0"/>
        </w:rPr>
        <w:t xml:space="preserve"> </w:t>
      </w:r>
      <w:hyperlink w:anchor="latin-record-0795">
        <w:r>
          <w:rPr>
            <w:color w:val="000000"/>
          </w:rPr>
          <w:t xml:space="preserve">mollities / ariditas</w:t>
        </w:r>
      </w:hyperlink>
      <w:r>
        <w:rPr>
          <w:b w:val="0"/>
          <w:i w:val="0"/>
        </w:rPr>
        <w:t>.</w:t>
      </w:r>
    </w:p>
    <w:p>
      <w:pPr>
        <w:widowControl/>
      </w:pPr>
      <w:r>
        <w:rPr>
          <w:b/>
          <w:i w:val="0"/>
        </w:rPr>
        <w:t>Ariston.</w:t>
      </w:r>
      <w:r>
        <w:rPr>
          <w:b w:val="0"/>
          <w:i w:val="0"/>
        </w:rPr>
        <w:t xml:space="preserve"> </w:t>
      </w:r>
      <w:hyperlink w:anchor="latin-record-0122">
        <w:r>
          <w:rPr>
            <w:color w:val="000000"/>
          </w:rPr>
          <w:t xml:space="preserve">Ariston</w:t>
        </w:r>
      </w:hyperlink>
      <w:r>
        <w:rPr>
          <w:b w:val="0"/>
          <w:i w:val="0"/>
        </w:rPr>
        <w:t>.</w:t>
      </w:r>
    </w:p>
    <w:p>
      <w:pPr>
        <w:widowControl/>
      </w:pPr>
      <w:r>
        <w:rPr>
          <w:b/>
          <w:i w:val="0"/>
        </w:rPr>
        <w:t>Aristoteles.</w:t>
      </w:r>
      <w:r>
        <w:rPr>
          <w:b w:val="0"/>
          <w:i w:val="0"/>
        </w:rPr>
        <w:t xml:space="preserve"> </w:t>
      </w:r>
      <w:hyperlink w:anchor="latin-record-0123">
        <w:r>
          <w:rPr>
            <w:color w:val="000000"/>
          </w:rPr>
          <w:t xml:space="preserve">Aristoteles / Hippocrates</w:t>
        </w:r>
      </w:hyperlink>
      <w:r>
        <w:rPr>
          <w:b w:val="0"/>
          <w:i w:val="0"/>
        </w:rPr>
        <w:t>.</w:t>
      </w:r>
    </w:p>
    <w:p>
      <w:pPr>
        <w:widowControl/>
      </w:pPr>
      <w:r>
        <w:rPr>
          <w:b/>
          <w:i w:val="0"/>
        </w:rPr>
        <w:t>Aristotelis.</w:t>
      </w:r>
      <w:r>
        <w:rPr>
          <w:b w:val="0"/>
          <w:i w:val="0"/>
        </w:rPr>
        <w:t xml:space="preserve"> </w:t>
      </w:r>
      <w:hyperlink w:anchor="latin-record-0124">
        <w:r>
          <w:rPr>
            <w:color w:val="000000"/>
          </w:rPr>
          <w:t xml:space="preserve">Aristoteles / Platonici</w:t>
        </w:r>
      </w:hyperlink>
      <w:r>
        <w:rPr>
          <w:b w:val="0"/>
          <w:i w:val="0"/>
        </w:rPr>
        <w:t>.</w:t>
      </w:r>
    </w:p>
    <w:p>
      <w:pPr>
        <w:widowControl/>
      </w:pPr>
      <w:r>
        <w:rPr>
          <w:b/>
          <w:i w:val="0"/>
        </w:rPr>
        <w:t>Aristoxeno.</w:t>
      </w:r>
      <w:r>
        <w:rPr>
          <w:b w:val="0"/>
          <w:i w:val="0"/>
        </w:rPr>
        <w:t xml:space="preserve"> </w:t>
      </w:r>
      <w:hyperlink w:anchor="latin-record-0126">
        <w:r>
          <w:rPr>
            <w:color w:val="000000"/>
          </w:rPr>
          <w:t xml:space="preserve">Aristoxenus / musici</w:t>
        </w:r>
      </w:hyperlink>
      <w:r>
        <w:rPr>
          <w:b w:val="0"/>
          <w:i w:val="0"/>
        </w:rPr>
        <w:t>.</w:t>
      </w:r>
    </w:p>
    <w:p>
      <w:pPr>
        <w:widowControl/>
      </w:pPr>
      <w:r>
        <w:rPr>
          <w:b/>
          <w:i w:val="0"/>
        </w:rPr>
        <w:t>Aristoxenus.</w:t>
      </w:r>
      <w:r>
        <w:rPr>
          <w:b w:val="0"/>
          <w:i w:val="0"/>
        </w:rPr>
        <w:t xml:space="preserve"> </w:t>
      </w:r>
      <w:hyperlink w:anchor="latin-record-0125">
        <w:r>
          <w:rPr>
            <w:color w:val="000000"/>
          </w:rPr>
          <w:t xml:space="preserve">Aristoxenus / Dicaearchus</w:t>
        </w:r>
      </w:hyperlink>
      <w:r>
        <w:rPr>
          <w:b w:val="0"/>
          <w:i w:val="0"/>
        </w:rPr>
        <w:t xml:space="preserve">; </w:t>
      </w:r>
      <w:hyperlink w:anchor="latin-record-1393">
        <w:r>
          <w:rPr>
            <w:color w:val="000000"/>
          </w:rPr>
          <w:t xml:space="preserve">Xenophanes; Asclepiades; Aristoxenus; Critolaus</w:t>
        </w:r>
      </w:hyperlink>
      <w:r>
        <w:rPr>
          <w:b w:val="0"/>
          <w:i w:val="0"/>
        </w:rPr>
        <w:t>.</w:t>
      </w:r>
    </w:p>
    <w:p>
      <w:pPr>
        <w:widowControl/>
      </w:pPr>
      <w:r>
        <w:rPr>
          <w:b/>
          <w:i w:val="0"/>
        </w:rPr>
        <w:t>arma.</w:t>
      </w:r>
      <w:r>
        <w:rPr>
          <w:b w:val="0"/>
          <w:i w:val="0"/>
        </w:rPr>
        <w:t xml:space="preserve"> </w:t>
      </w:r>
      <w:hyperlink w:anchor="latin-record-0536">
        <w:r>
          <w:rPr>
            <w:color w:val="000000"/>
          </w:rPr>
          <w:t xml:space="preserve">furor / arma ministrare</w:t>
        </w:r>
      </w:hyperlink>
      <w:r>
        <w:rPr>
          <w:b w:val="0"/>
          <w:i w:val="0"/>
        </w:rPr>
        <w:t>.</w:t>
      </w:r>
    </w:p>
    <w:p>
      <w:pPr>
        <w:widowControl/>
      </w:pPr>
      <w:r>
        <w:rPr>
          <w:b/>
          <w:i w:val="0"/>
        </w:rPr>
        <w:t>ars.</w:t>
      </w:r>
      <w:r>
        <w:rPr>
          <w:b w:val="0"/>
          <w:i w:val="0"/>
        </w:rPr>
        <w:t xml:space="preserve"> </w:t>
      </w:r>
      <w:hyperlink w:anchor="latin-record-0127">
        <w:r>
          <w:rPr>
            <w:color w:val="000000"/>
          </w:rPr>
          <w:t xml:space="preserve">ars</w:t>
        </w:r>
      </w:hyperlink>
      <w:r>
        <w:rPr>
          <w:b w:val="0"/>
          <w:i w:val="0"/>
        </w:rPr>
        <w:t xml:space="preserve">; </w:t>
      </w:r>
      <w:hyperlink w:anchor="latin-record-1131">
        <w:r>
          <w:rPr>
            <w:color w:val="000000"/>
          </w:rPr>
          <w:t xml:space="preserve">sapientia / scientia / prudentia / ars</w:t>
        </w:r>
      </w:hyperlink>
      <w:r>
        <w:rPr>
          <w:b w:val="0"/>
          <w:i w:val="0"/>
        </w:rPr>
        <w:t>.</w:t>
      </w:r>
    </w:p>
    <w:p>
      <w:pPr>
        <w:widowControl/>
      </w:pPr>
      <w:r>
        <w:rPr>
          <w:b/>
          <w:i w:val="0"/>
        </w:rPr>
        <w:t>Ars.</w:t>
      </w:r>
      <w:r>
        <w:rPr>
          <w:b w:val="0"/>
          <w:i w:val="0"/>
        </w:rPr>
        <w:t xml:space="preserve"> </w:t>
      </w:r>
      <w:hyperlink w:anchor="latin-record-0127">
        <w:r>
          <w:rPr>
            <w:color w:val="000000"/>
          </w:rPr>
          <w:t xml:space="preserve">ars</w:t>
        </w:r>
      </w:hyperlink>
      <w:r>
        <w:rPr>
          <w:b w:val="0"/>
          <w:i w:val="0"/>
        </w:rPr>
        <w:t xml:space="preserve">; </w:t>
      </w:r>
      <w:hyperlink w:anchor="latin-record-0128">
        <w:r>
          <w:rPr>
            <w:color w:val="000000"/>
          </w:rPr>
          <w:t xml:space="preserve">ars / instrumentum</w:t>
        </w:r>
      </w:hyperlink>
      <w:r>
        <w:rPr>
          <w:b w:val="0"/>
          <w:i w:val="0"/>
        </w:rPr>
        <w:t>.</w:t>
      </w:r>
    </w:p>
    <w:p>
      <w:pPr>
        <w:widowControl/>
      </w:pPr>
      <w:r>
        <w:rPr>
          <w:b/>
          <w:i w:val="0"/>
        </w:rPr>
        <w:t>ars consistit ratiocinandi.</w:t>
      </w:r>
      <w:r>
        <w:rPr>
          <w:b w:val="0"/>
          <w:i w:val="0"/>
        </w:rPr>
        <w:t xml:space="preserve"> </w:t>
      </w:r>
      <w:hyperlink w:anchor="latin-record-0129">
        <w:r>
          <w:rPr>
            <w:color w:val="000000"/>
          </w:rPr>
          <w:t xml:space="preserve">ars ratiocinandi</w:t>
        </w:r>
      </w:hyperlink>
      <w:r>
        <w:rPr>
          <w:b w:val="0"/>
          <w:i w:val="0"/>
        </w:rPr>
        <w:t>.</w:t>
      </w:r>
    </w:p>
    <w:p>
      <w:pPr>
        <w:widowControl/>
      </w:pPr>
      <w:r>
        <w:rPr>
          <w:b/>
          <w:i w:val="0"/>
        </w:rPr>
        <w:t>ars rationalis.</w:t>
      </w:r>
      <w:r>
        <w:rPr>
          <w:b w:val="0"/>
          <w:i w:val="0"/>
        </w:rPr>
        <w:t xml:space="preserve"> </w:t>
      </w:r>
      <w:hyperlink w:anchor="latin-record-0129">
        <w:r>
          <w:rPr>
            <w:color w:val="000000"/>
          </w:rPr>
          <w:t xml:space="preserve">ars ratiocinandi</w:t>
        </w:r>
      </w:hyperlink>
      <w:r>
        <w:rPr>
          <w:b w:val="0"/>
          <w:i w:val="0"/>
        </w:rPr>
        <w:t>.</w:t>
      </w:r>
    </w:p>
    <w:p>
      <w:pPr>
        <w:widowControl/>
      </w:pPr>
      <w:r>
        <w:rPr>
          <w:b/>
          <w:i w:val="0"/>
        </w:rPr>
        <w:t>artibus.</w:t>
      </w:r>
      <w:r>
        <w:rPr>
          <w:b w:val="0"/>
          <w:i w:val="0"/>
        </w:rPr>
        <w:t xml:space="preserve"> </w:t>
      </w:r>
      <w:hyperlink w:anchor="latin-record-0127">
        <w:r>
          <w:rPr>
            <w:color w:val="000000"/>
          </w:rPr>
          <w:t xml:space="preserve">ars</w:t>
        </w:r>
      </w:hyperlink>
      <w:r>
        <w:rPr>
          <w:b w:val="0"/>
          <w:i w:val="0"/>
        </w:rPr>
        <w:t>.</w:t>
      </w:r>
    </w:p>
    <w:p>
      <w:pPr>
        <w:widowControl/>
      </w:pPr>
      <w:r>
        <w:rPr>
          <w:b/>
          <w:i w:val="0"/>
        </w:rPr>
        <w:t>articuli.</w:t>
      </w:r>
      <w:r>
        <w:rPr>
          <w:b w:val="0"/>
          <w:i w:val="0"/>
        </w:rPr>
        <w:t xml:space="preserve"> </w:t>
      </w:r>
      <w:hyperlink w:anchor="latin-record-0838">
        <w:r>
          <w:rPr>
            <w:color w:val="000000"/>
          </w:rPr>
          <w:t xml:space="preserve">nervus; articulus; tractus</w:t>
        </w:r>
      </w:hyperlink>
      <w:r>
        <w:rPr>
          <w:b w:val="0"/>
          <w:i w:val="0"/>
        </w:rPr>
        <w:t>.</w:t>
      </w:r>
    </w:p>
    <w:p>
      <w:pPr>
        <w:widowControl/>
      </w:pPr>
      <w:r>
        <w:rPr>
          <w:b/>
          <w:i w:val="0"/>
        </w:rPr>
        <w:t>artifex.</w:t>
      </w:r>
      <w:r>
        <w:rPr>
          <w:b w:val="0"/>
          <w:i w:val="0"/>
        </w:rPr>
        <w:t xml:space="preserve"> </w:t>
      </w:r>
      <w:hyperlink w:anchor="latin-record-0130">
        <w:r>
          <w:rPr>
            <w:color w:val="000000"/>
          </w:rPr>
          <w:t xml:space="preserve">artifex / pedissequa / officium</w:t>
        </w:r>
      </w:hyperlink>
      <w:r>
        <w:rPr>
          <w:b w:val="0"/>
          <w:i w:val="0"/>
        </w:rPr>
        <w:t>.</w:t>
      </w:r>
    </w:p>
    <w:p>
      <w:pPr>
        <w:widowControl/>
      </w:pPr>
      <w:r>
        <w:rPr>
          <w:b/>
          <w:i w:val="0"/>
        </w:rPr>
        <w:t>artifice stabilissimo.</w:t>
      </w:r>
      <w:r>
        <w:rPr>
          <w:b w:val="0"/>
          <w:i w:val="0"/>
        </w:rPr>
        <w:t xml:space="preserve"> </w:t>
      </w:r>
      <w:hyperlink w:anchor="latin-record-0131">
        <w:r>
          <w:rPr>
            <w:color w:val="000000"/>
          </w:rPr>
          <w:t xml:space="preserve">artifex stabilissimus</w:t>
        </w:r>
      </w:hyperlink>
      <w:r>
        <w:rPr>
          <w:b w:val="0"/>
          <w:i w:val="0"/>
        </w:rPr>
        <w:t>.</w:t>
      </w:r>
    </w:p>
    <w:p>
      <w:pPr>
        <w:widowControl/>
      </w:pPr>
      <w:r>
        <w:rPr>
          <w:b/>
          <w:i w:val="0"/>
        </w:rPr>
        <w:t>artificiorum.</w:t>
      </w:r>
      <w:r>
        <w:rPr>
          <w:b w:val="0"/>
          <w:i w:val="0"/>
        </w:rPr>
        <w:t xml:space="preserve"> </w:t>
      </w:r>
      <w:hyperlink w:anchor="latin-record-0458">
        <w:r>
          <w:rPr>
            <w:color w:val="000000"/>
          </w:rPr>
          <w:t xml:space="preserve">exemplar / fabricare</w:t>
        </w:r>
      </w:hyperlink>
      <w:r>
        <w:rPr>
          <w:b w:val="0"/>
          <w:i w:val="0"/>
        </w:rPr>
        <w:t>.</w:t>
      </w:r>
    </w:p>
    <w:p>
      <w:pPr>
        <w:widowControl/>
      </w:pPr>
      <w:r>
        <w:rPr>
          <w:b/>
          <w:i w:val="0"/>
        </w:rPr>
        <w:t>artificiosam.</w:t>
      </w:r>
      <w:r>
        <w:rPr>
          <w:b w:val="0"/>
          <w:i w:val="0"/>
        </w:rPr>
        <w:t xml:space="preserve"> </w:t>
      </w:r>
      <w:hyperlink w:anchor="latin-record-0128">
        <w:r>
          <w:rPr>
            <w:color w:val="000000"/>
          </w:rPr>
          <w:t xml:space="preserve">ars / instrumentum</w:t>
        </w:r>
      </w:hyperlink>
      <w:r>
        <w:rPr>
          <w:b w:val="0"/>
          <w:i w:val="0"/>
        </w:rPr>
        <w:t>.</w:t>
      </w:r>
    </w:p>
    <w:p>
      <w:pPr>
        <w:widowControl/>
      </w:pPr>
      <w:r>
        <w:rPr>
          <w:b/>
          <w:i w:val="0"/>
        </w:rPr>
        <w:t>artis.</w:t>
      </w:r>
      <w:r>
        <w:rPr>
          <w:b w:val="0"/>
          <w:i w:val="0"/>
        </w:rPr>
        <w:t xml:space="preserve"> </w:t>
      </w:r>
      <w:hyperlink w:anchor="latin-record-0128">
        <w:r>
          <w:rPr>
            <w:color w:val="000000"/>
          </w:rPr>
          <w:t xml:space="preserve">ars / instrumentum</w:t>
        </w:r>
      </w:hyperlink>
      <w:r>
        <w:rPr>
          <w:b w:val="0"/>
          <w:i w:val="0"/>
        </w:rPr>
        <w:t>.</w:t>
      </w:r>
    </w:p>
    <w:p>
      <w:pPr>
        <w:widowControl/>
      </w:pPr>
      <w:r>
        <w:rPr>
          <w:b/>
          <w:i w:val="0"/>
        </w:rPr>
        <w:t>ascendamus.</w:t>
      </w:r>
      <w:r>
        <w:rPr>
          <w:b w:val="0"/>
          <w:i w:val="0"/>
        </w:rPr>
        <w:t xml:space="preserve"> </w:t>
      </w:r>
      <w:hyperlink w:anchor="latin-record-0132">
        <w:r>
          <w:rPr>
            <w:color w:val="000000"/>
          </w:rPr>
          <w:t xml:space="preserve">ascendere / descendere</w:t>
        </w:r>
      </w:hyperlink>
      <w:r>
        <w:rPr>
          <w:b w:val="0"/>
          <w:i w:val="0"/>
        </w:rPr>
        <w:t>.</w:t>
      </w:r>
    </w:p>
    <w:p>
      <w:pPr>
        <w:widowControl/>
      </w:pPr>
      <w:r>
        <w:rPr>
          <w:b/>
          <w:i w:val="0"/>
        </w:rPr>
        <w:t>ascendere.</w:t>
      </w:r>
      <w:r>
        <w:rPr>
          <w:b w:val="0"/>
          <w:i w:val="0"/>
        </w:rPr>
        <w:t xml:space="preserve"> </w:t>
      </w:r>
      <w:hyperlink w:anchor="latin-record-0132">
        <w:r>
          <w:rPr>
            <w:color w:val="000000"/>
          </w:rPr>
          <w:t xml:space="preserve">ascendere / descendere</w:t>
        </w:r>
      </w:hyperlink>
      <w:r>
        <w:rPr>
          <w:b w:val="0"/>
          <w:i w:val="0"/>
        </w:rPr>
        <w:t>.</w:t>
      </w:r>
    </w:p>
    <w:p>
      <w:pPr>
        <w:widowControl/>
      </w:pPr>
      <w:r>
        <w:rPr>
          <w:b/>
          <w:i w:val="0"/>
        </w:rPr>
        <w:t>ascendimus.</w:t>
      </w:r>
      <w:r>
        <w:rPr>
          <w:b w:val="0"/>
          <w:i w:val="0"/>
        </w:rPr>
        <w:t xml:space="preserve"> </w:t>
      </w:r>
      <w:hyperlink w:anchor="latin-record-0132">
        <w:r>
          <w:rPr>
            <w:color w:val="000000"/>
          </w:rPr>
          <w:t xml:space="preserve">ascendere / descendere</w:t>
        </w:r>
      </w:hyperlink>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ascendit.</w:t>
      </w:r>
      <w:r>
        <w:rPr>
          <w:b w:val="0"/>
          <w:i w:val="0"/>
        </w:rPr>
        <w:t xml:space="preserve"> </w:t>
      </w:r>
      <w:hyperlink w:anchor="latin-record-0132">
        <w:r>
          <w:rPr>
            <w:color w:val="000000"/>
          </w:rPr>
          <w:t xml:space="preserve">ascendere / descendere</w:t>
        </w:r>
      </w:hyperlink>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Ascendit.</w:t>
      </w:r>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Asclepiades.</w:t>
      </w:r>
      <w:r>
        <w:rPr>
          <w:b w:val="0"/>
          <w:i w:val="0"/>
        </w:rPr>
        <w:t xml:space="preserve"> </w:t>
      </w:r>
      <w:hyperlink w:anchor="latin-record-1393">
        <w:r>
          <w:rPr>
            <w:color w:val="000000"/>
          </w:rPr>
          <w:t xml:space="preserve">Xenophanes; Asclepiades; Aristoxenus; Critolaus</w:t>
        </w:r>
      </w:hyperlink>
      <w:r>
        <w:rPr>
          <w:b w:val="0"/>
          <w:i w:val="0"/>
        </w:rPr>
        <w:t>.</w:t>
      </w:r>
    </w:p>
    <w:p>
      <w:pPr>
        <w:widowControl/>
      </w:pPr>
      <w:r>
        <w:rPr>
          <w:b/>
          <w:i w:val="0"/>
        </w:rPr>
        <w:t>asino.</w:t>
      </w:r>
      <w:r>
        <w:rPr>
          <w:b w:val="0"/>
          <w:i w:val="0"/>
        </w:rPr>
        <w:t xml:space="preserve"> </w:t>
      </w:r>
      <w:hyperlink w:anchor="latin-record-1174">
        <w:r>
          <w:rPr>
            <w:color w:val="000000"/>
          </w:rPr>
          <w:t xml:space="preserve">simia / asinus / ingenium</w:t>
        </w:r>
      </w:hyperlink>
      <w:r>
        <w:rPr>
          <w:b w:val="0"/>
          <w:i w:val="0"/>
        </w:rPr>
        <w:t>.</w:t>
      </w:r>
    </w:p>
    <w:p>
      <w:pPr>
        <w:widowControl/>
      </w:pPr>
      <w:r>
        <w:rPr>
          <w:b/>
          <w:i w:val="0"/>
        </w:rPr>
        <w:t>aspectu.</w:t>
      </w:r>
      <w:r>
        <w:rPr>
          <w:b w:val="0"/>
          <w:i w:val="0"/>
        </w:rPr>
        <w:t xml:space="preserve"> </w:t>
      </w:r>
      <w:hyperlink w:anchor="latin-record-0135">
        <w:r>
          <w:rPr>
            <w:color w:val="000000"/>
          </w:rPr>
          <w:t xml:space="preserve">aspectus / respectus</w:t>
        </w:r>
      </w:hyperlink>
      <w:r>
        <w:rPr>
          <w:b w:val="0"/>
          <w:i w:val="0"/>
        </w:rPr>
        <w:t>.</w:t>
      </w:r>
    </w:p>
    <w:p>
      <w:pPr>
        <w:widowControl/>
      </w:pPr>
      <w:r>
        <w:rPr>
          <w:b/>
          <w:i w:val="0"/>
        </w:rPr>
        <w:t>aspectum.</w:t>
      </w:r>
      <w:r>
        <w:rPr>
          <w:b w:val="0"/>
          <w:i w:val="0"/>
        </w:rPr>
        <w:t xml:space="preserve"> </w:t>
      </w:r>
      <w:hyperlink w:anchor="latin-record-0135">
        <w:r>
          <w:rPr>
            <w:color w:val="000000"/>
          </w:rPr>
          <w:t xml:space="preserve">aspectus / respectus</w:t>
        </w:r>
      </w:hyperlink>
      <w:r>
        <w:rPr>
          <w:b w:val="0"/>
          <w:i w:val="0"/>
        </w:rPr>
        <w:t>.</w:t>
      </w:r>
    </w:p>
    <w:p>
      <w:pPr>
        <w:widowControl/>
      </w:pPr>
      <w:r>
        <w:rPr>
          <w:b/>
          <w:i w:val="0"/>
        </w:rPr>
        <w:t>aspiciant.</w:t>
      </w:r>
      <w:r>
        <w:rPr>
          <w:b w:val="0"/>
          <w:i w:val="0"/>
        </w:rPr>
        <w:t xml:space="preserve"> </w:t>
      </w:r>
      <w:hyperlink w:anchor="latin-record-0136">
        <w:r>
          <w:rPr>
            <w:color w:val="000000"/>
          </w:rPr>
          <w:t xml:space="preserve">aspicere; despicere</w:t>
        </w:r>
      </w:hyperlink>
      <w:r>
        <w:rPr>
          <w:b w:val="0"/>
          <w:i w:val="0"/>
        </w:rPr>
        <w:t>.</w:t>
      </w:r>
    </w:p>
    <w:p>
      <w:pPr>
        <w:widowControl/>
      </w:pPr>
      <w:r>
        <w:rPr>
          <w:b/>
          <w:i w:val="0"/>
        </w:rPr>
        <w:t>aspicitur.</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Assentior.</w:t>
      </w:r>
      <w:r>
        <w:rPr>
          <w:b w:val="0"/>
          <w:i w:val="0"/>
        </w:rPr>
        <w:t xml:space="preserve"> </w:t>
      </w:r>
      <w:hyperlink w:anchor="latin-record-0137">
        <w:r>
          <w:rPr>
            <w:color w:val="000000"/>
          </w:rPr>
          <w:t xml:space="preserve">assentiri; opinari; arbitrari</w:t>
        </w:r>
      </w:hyperlink>
      <w:r>
        <w:rPr>
          <w:b w:val="0"/>
          <w:i w:val="0"/>
        </w:rPr>
        <w:t>.</w:t>
      </w:r>
    </w:p>
    <w:p>
      <w:pPr>
        <w:widowControl/>
      </w:pPr>
      <w:r>
        <w:rPr>
          <w:b/>
          <w:i w:val="0"/>
        </w:rPr>
        <w:t>asseras.</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asseres.</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asseri.</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asserit.</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asseritur.</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asseverabimus.</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asseverabit.</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asseveraret.</w:t>
      </w:r>
      <w:r>
        <w:rPr>
          <w:b w:val="0"/>
          <w:i w:val="0"/>
        </w:rPr>
        <w:t xml:space="preserve"> </w:t>
      </w:r>
      <w:hyperlink w:anchor="latin-record-0054">
        <w:r>
          <w:rPr>
            <w:color w:val="000000"/>
          </w:rPr>
          <w:t xml:space="preserve">affirmare; asserere; asseverare</w:t>
        </w:r>
      </w:hyperlink>
      <w:r>
        <w:rPr>
          <w:b w:val="0"/>
          <w:i w:val="0"/>
        </w:rPr>
        <w:t>.</w:t>
      </w:r>
    </w:p>
    <w:p>
      <w:pPr>
        <w:widowControl/>
      </w:pPr>
      <w:r>
        <w:rPr>
          <w:b/>
          <w:i w:val="0"/>
        </w:rPr>
        <w:t>assidue.</w:t>
      </w:r>
      <w:r>
        <w:rPr>
          <w:b w:val="0"/>
          <w:i w:val="0"/>
        </w:rPr>
        <w:t xml:space="preserve"> </w:t>
      </w:r>
      <w:hyperlink w:anchor="latin-record-0138">
        <w:r>
          <w:rPr>
            <w:color w:val="000000"/>
          </w:rPr>
          <w:t xml:space="preserve">assidue / naturaliter / interius</w:t>
        </w:r>
      </w:hyperlink>
      <w:r>
        <w:rPr>
          <w:b w:val="0"/>
          <w:i w:val="0"/>
        </w:rPr>
        <w:t>.</w:t>
      </w:r>
    </w:p>
    <w:p>
      <w:pPr>
        <w:widowControl/>
      </w:pPr>
      <w:r>
        <w:rPr>
          <w:b/>
          <w:i w:val="0"/>
        </w:rPr>
        <w:t>assignata.</w:t>
      </w:r>
      <w:r>
        <w:rPr>
          <w:b w:val="0"/>
          <w:i w:val="0"/>
        </w:rPr>
        <w:t xml:space="preserve"> </w:t>
      </w:r>
      <w:hyperlink w:anchor="latin-record-0139">
        <w:r>
          <w:rPr>
            <w:color w:val="000000"/>
          </w:rPr>
          <w:t xml:space="preserve">assignare (assigned nature)</w:t>
        </w:r>
      </w:hyperlink>
      <w:r>
        <w:rPr>
          <w:b w:val="0"/>
          <w:i w:val="0"/>
        </w:rPr>
        <w:t>.</w:t>
      </w:r>
    </w:p>
    <w:p>
      <w:pPr>
        <w:widowControl/>
      </w:pPr>
      <w:r>
        <w:rPr>
          <w:b/>
          <w:i w:val="0"/>
        </w:rPr>
        <w:t>assignatum.</w:t>
      </w:r>
      <w:r>
        <w:rPr>
          <w:b w:val="0"/>
          <w:i w:val="0"/>
        </w:rPr>
        <w:t xml:space="preserve"> </w:t>
      </w:r>
      <w:hyperlink w:anchor="latin-record-0140">
        <w:r>
          <w:rPr>
            <w:color w:val="000000"/>
          </w:rPr>
          <w:t xml:space="preserve">assignare; residere; gubernare</w:t>
        </w:r>
      </w:hyperlink>
      <w:r>
        <w:rPr>
          <w:b w:val="0"/>
          <w:i w:val="0"/>
        </w:rPr>
        <w:t>.</w:t>
      </w:r>
    </w:p>
    <w:p>
      <w:pPr>
        <w:widowControl/>
      </w:pPr>
      <w:r>
        <w:rPr>
          <w:b/>
          <w:i w:val="0"/>
        </w:rPr>
        <w:t>assignavit.</w:t>
      </w:r>
      <w:r>
        <w:rPr>
          <w:b w:val="0"/>
          <w:i w:val="0"/>
        </w:rPr>
        <w:t xml:space="preserve"> </w:t>
      </w:r>
      <w:hyperlink w:anchor="latin-record-0139">
        <w:r>
          <w:rPr>
            <w:color w:val="000000"/>
          </w:rPr>
          <w:t xml:space="preserve">assignare (assigned nature)</w:t>
        </w:r>
      </w:hyperlink>
      <w:r>
        <w:rPr>
          <w:b w:val="0"/>
          <w:i w:val="0"/>
        </w:rPr>
        <w:t>.</w:t>
      </w:r>
    </w:p>
    <w:p>
      <w:pPr>
        <w:widowControl/>
      </w:pPr>
      <w:r>
        <w:rPr>
          <w:b/>
          <w:i w:val="0"/>
        </w:rPr>
        <w:t>astricta.</w:t>
      </w:r>
      <w:r>
        <w:rPr>
          <w:b w:val="0"/>
          <w:i w:val="0"/>
        </w:rPr>
        <w:t xml:space="preserve"> </w:t>
      </w:r>
      <w:hyperlink w:anchor="latin-record-0141">
        <w:r>
          <w:rPr>
            <w:color w:val="000000"/>
          </w:rPr>
          <w:t xml:space="preserve">astringere / alligare</w:t>
        </w:r>
      </w:hyperlink>
      <w:r>
        <w:rPr>
          <w:b w:val="0"/>
          <w:i w:val="0"/>
        </w:rPr>
        <w:t xml:space="preserve">; </w:t>
      </w:r>
      <w:hyperlink w:anchor="latin-record-0412">
        <w:r>
          <w:rPr>
            <w:color w:val="000000"/>
          </w:rPr>
          <w:t xml:space="preserve">dominari / vigere / astringere</w:t>
        </w:r>
      </w:hyperlink>
      <w:r>
        <w:rPr>
          <w:b w:val="0"/>
          <w:i w:val="0"/>
        </w:rPr>
        <w:t>.</w:t>
      </w:r>
    </w:p>
    <w:p>
      <w:pPr>
        <w:widowControl/>
      </w:pPr>
      <w:r>
        <w:rPr>
          <w:b/>
          <w:i w:val="0"/>
        </w:rPr>
        <w:t>astrictum.</w:t>
      </w:r>
      <w:r>
        <w:rPr>
          <w:b w:val="0"/>
          <w:i w:val="0"/>
        </w:rPr>
        <w:t xml:space="preserve"> </w:t>
      </w:r>
      <w:hyperlink w:anchor="latin-record-0141">
        <w:r>
          <w:rPr>
            <w:color w:val="000000"/>
          </w:rPr>
          <w:t xml:space="preserve">astringere / alligare</w:t>
        </w:r>
      </w:hyperlink>
      <w:r>
        <w:rPr>
          <w:b w:val="0"/>
          <w:i w:val="0"/>
        </w:rPr>
        <w:t>.</w:t>
      </w:r>
    </w:p>
    <w:p>
      <w:pPr>
        <w:widowControl/>
      </w:pPr>
      <w:r>
        <w:rPr>
          <w:b/>
          <w:i w:val="0"/>
        </w:rPr>
        <w:t>astringuntur.</w:t>
      </w:r>
      <w:r>
        <w:rPr>
          <w:b w:val="0"/>
          <w:i w:val="0"/>
        </w:rPr>
        <w:t xml:space="preserve"> </w:t>
      </w:r>
      <w:hyperlink w:anchor="latin-record-0141">
        <w:r>
          <w:rPr>
            <w:color w:val="000000"/>
          </w:rPr>
          <w:t xml:space="preserve">astringere / alligare</w:t>
        </w:r>
      </w:hyperlink>
      <w:r>
        <w:rPr>
          <w:b w:val="0"/>
          <w:i w:val="0"/>
        </w:rPr>
        <w:t>.</w:t>
      </w:r>
    </w:p>
    <w:p>
      <w:pPr>
        <w:widowControl/>
      </w:pPr>
      <w:r>
        <w:rPr>
          <w:b/>
          <w:i w:val="0"/>
        </w:rPr>
        <w:t>astutior.</w:t>
      </w:r>
      <w:r>
        <w:rPr>
          <w:b w:val="0"/>
          <w:i w:val="0"/>
        </w:rPr>
        <w:t xml:space="preserve"> </w:t>
      </w:r>
      <w:hyperlink w:anchor="latin-record-1389">
        <w:r>
          <w:rPr>
            <w:color w:val="000000"/>
          </w:rPr>
          <w:t xml:space="preserve">vulpes / sus / astutia</w:t>
        </w:r>
      </w:hyperlink>
      <w:r>
        <w:rPr>
          <w:b w:val="0"/>
          <w:i w:val="0"/>
        </w:rPr>
        <w:t>.</w:t>
      </w:r>
    </w:p>
    <w:p>
      <w:pPr>
        <w:widowControl/>
      </w:pPr>
      <w:r>
        <w:rPr>
          <w:b/>
          <w:i w:val="0"/>
        </w:rPr>
        <w:t>Atqui.</w:t>
      </w:r>
      <w:r>
        <w:rPr>
          <w:b w:val="0"/>
          <w:i w:val="0"/>
        </w:rPr>
        <w:t xml:space="preserve"> </w:t>
      </w:r>
      <w:hyperlink w:anchor="latin-record-0595">
        <w:r>
          <w:rPr>
            <w:color w:val="000000"/>
          </w:rPr>
          <w:t xml:space="preserve">immo / tamen / non tamen</w:t>
        </w:r>
      </w:hyperlink>
      <w:r>
        <w:rPr>
          <w:b w:val="0"/>
          <w:i w:val="0"/>
        </w:rPr>
        <w:t>.</w:t>
      </w:r>
    </w:p>
    <w:p>
      <w:pPr>
        <w:widowControl/>
      </w:pPr>
      <w:r>
        <w:rPr>
          <w:b/>
          <w:i w:val="0"/>
        </w:rPr>
        <w:t>attentione.</w:t>
      </w:r>
      <w:r>
        <w:rPr>
          <w:b w:val="0"/>
          <w:i w:val="0"/>
        </w:rPr>
        <w:t xml:space="preserve"> </w:t>
      </w:r>
      <w:hyperlink w:anchor="latin-record-0142">
        <w:r>
          <w:rPr>
            <w:color w:val="000000"/>
          </w:rPr>
          <w:t xml:space="preserve">attentio / attentior</w:t>
        </w:r>
      </w:hyperlink>
      <w:r>
        <w:rPr>
          <w:b w:val="0"/>
          <w:i w:val="0"/>
        </w:rPr>
        <w:t>.</w:t>
      </w:r>
    </w:p>
    <w:p>
      <w:pPr>
        <w:widowControl/>
      </w:pPr>
      <w:r>
        <w:rPr>
          <w:b/>
          <w:i w:val="0"/>
        </w:rPr>
        <w:t>Attentior.</w:t>
      </w:r>
      <w:r>
        <w:rPr>
          <w:b w:val="0"/>
          <w:i w:val="0"/>
        </w:rPr>
        <w:t xml:space="preserve"> </w:t>
      </w:r>
      <w:hyperlink w:anchor="latin-record-0142">
        <w:r>
          <w:rPr>
            <w:color w:val="000000"/>
          </w:rPr>
          <w:t xml:space="preserve">attentio / attentior</w:t>
        </w:r>
      </w:hyperlink>
      <w:r>
        <w:rPr>
          <w:b w:val="0"/>
          <w:i w:val="0"/>
        </w:rPr>
        <w:t>.</w:t>
      </w:r>
    </w:p>
    <w:p>
      <w:pPr>
        <w:widowControl/>
      </w:pPr>
      <w:r>
        <w:rPr>
          <w:b/>
          <w:i w:val="0"/>
        </w:rPr>
        <w:t>attentiore.</w:t>
      </w:r>
      <w:r>
        <w:rPr>
          <w:b w:val="0"/>
          <w:i w:val="0"/>
        </w:rPr>
        <w:t xml:space="preserve"> </w:t>
      </w:r>
      <w:hyperlink w:anchor="latin-record-0142">
        <w:r>
          <w:rPr>
            <w:color w:val="000000"/>
          </w:rPr>
          <w:t xml:space="preserve">attentio / attentior</w:t>
        </w:r>
      </w:hyperlink>
      <w:r>
        <w:rPr>
          <w:b w:val="0"/>
          <w:i w:val="0"/>
        </w:rPr>
        <w:t>.</w:t>
      </w:r>
    </w:p>
    <w:p>
      <w:pPr>
        <w:widowControl/>
      </w:pPr>
      <w:r>
        <w:rPr>
          <w:b/>
          <w:i w:val="0"/>
        </w:rPr>
        <w:t>attentiores.</w:t>
      </w:r>
      <w:r>
        <w:rPr>
          <w:b w:val="0"/>
          <w:i w:val="0"/>
        </w:rPr>
        <w:t xml:space="preserve"> </w:t>
      </w:r>
      <w:hyperlink w:anchor="latin-record-0142">
        <w:r>
          <w:rPr>
            <w:color w:val="000000"/>
          </w:rPr>
          <w:t xml:space="preserve">attentio / attentior</w:t>
        </w:r>
      </w:hyperlink>
      <w:r>
        <w:rPr>
          <w:b w:val="0"/>
          <w:i w:val="0"/>
        </w:rPr>
        <w:t>.</w:t>
      </w:r>
    </w:p>
    <w:p>
      <w:pPr>
        <w:widowControl/>
      </w:pPr>
      <w:r>
        <w:rPr>
          <w:b/>
          <w:i w:val="0"/>
        </w:rPr>
        <w:t>attentioris.</w:t>
      </w:r>
      <w:r>
        <w:rPr>
          <w:b w:val="0"/>
          <w:i w:val="0"/>
        </w:rPr>
        <w:t xml:space="preserve"> </w:t>
      </w:r>
      <w:hyperlink w:anchor="latin-record-0142">
        <w:r>
          <w:rPr>
            <w:color w:val="000000"/>
          </w:rPr>
          <w:t xml:space="preserve">attentio / attentior</w:t>
        </w:r>
      </w:hyperlink>
      <w:r>
        <w:rPr>
          <w:b w:val="0"/>
          <w:i w:val="0"/>
        </w:rPr>
        <w:t>.</w:t>
      </w:r>
    </w:p>
    <w:p>
      <w:pPr>
        <w:widowControl/>
      </w:pPr>
      <w:r>
        <w:rPr>
          <w:b/>
          <w:i w:val="0"/>
        </w:rPr>
        <w:t>attentius.</w:t>
      </w:r>
      <w:r>
        <w:rPr>
          <w:b w:val="0"/>
          <w:i w:val="0"/>
        </w:rPr>
        <w:t xml:space="preserve"> </w:t>
      </w:r>
      <w:hyperlink w:anchor="latin-record-0142">
        <w:r>
          <w:rPr>
            <w:color w:val="000000"/>
          </w:rPr>
          <w:t xml:space="preserve">attentio / attentior</w:t>
        </w:r>
      </w:hyperlink>
      <w:r>
        <w:rPr>
          <w:b w:val="0"/>
          <w:i w:val="0"/>
        </w:rPr>
        <w:t>.</w:t>
      </w:r>
    </w:p>
    <w:p>
      <w:pPr>
        <w:widowControl/>
      </w:pPr>
      <w:r>
        <w:rPr>
          <w:b/>
          <w:i w:val="0"/>
        </w:rPr>
        <w:t>attigerunt.</w:t>
      </w:r>
      <w:r>
        <w:rPr>
          <w:b w:val="0"/>
          <w:i w:val="0"/>
        </w:rPr>
        <w:t xml:space="preserve"> </w:t>
      </w:r>
      <w:hyperlink w:anchor="latin-record-0146">
        <w:r>
          <w:rPr>
            <w:color w:val="000000"/>
          </w:rPr>
          <w:t xml:space="preserve">attingere; percipere</w:t>
        </w:r>
      </w:hyperlink>
      <w:r>
        <w:rPr>
          <w:b w:val="0"/>
          <w:i w:val="0"/>
        </w:rPr>
        <w:t>.</w:t>
      </w:r>
    </w:p>
    <w:p>
      <w:pPr>
        <w:widowControl/>
      </w:pPr>
      <w:r>
        <w:rPr>
          <w:b/>
          <w:i w:val="0"/>
        </w:rPr>
        <w:t>attingat.</w:t>
      </w:r>
      <w:r>
        <w:rPr>
          <w:b w:val="0"/>
          <w:i w:val="0"/>
        </w:rPr>
        <w:t xml:space="preserve"> </w:t>
      </w:r>
      <w:hyperlink w:anchor="latin-record-0143">
        <w:r>
          <w:rPr>
            <w:color w:val="000000"/>
          </w:rPr>
          <w:t xml:space="preserve">attingere</w:t>
        </w:r>
      </w:hyperlink>
      <w:r>
        <w:rPr>
          <w:b w:val="0"/>
          <w:i w:val="0"/>
        </w:rPr>
        <w:t>.</w:t>
      </w:r>
    </w:p>
    <w:p>
      <w:pPr>
        <w:widowControl/>
      </w:pPr>
      <w:r>
        <w:rPr>
          <w:b/>
          <w:i w:val="0"/>
        </w:rPr>
        <w:t>attingenda.</w:t>
      </w:r>
      <w:r>
        <w:rPr>
          <w:b w:val="0"/>
          <w:i w:val="0"/>
        </w:rPr>
        <w:t xml:space="preserve"> </w:t>
      </w:r>
      <w:hyperlink w:anchor="latin-record-0146">
        <w:r>
          <w:rPr>
            <w:color w:val="000000"/>
          </w:rPr>
          <w:t xml:space="preserve">attingere; percipere</w:t>
        </w:r>
      </w:hyperlink>
      <w:r>
        <w:rPr>
          <w:b w:val="0"/>
          <w:i w:val="0"/>
        </w:rPr>
        <w:t>.</w:t>
      </w:r>
    </w:p>
    <w:p>
      <w:pPr>
        <w:widowControl/>
      </w:pPr>
      <w:r>
        <w:rPr>
          <w:b/>
          <w:i w:val="0"/>
        </w:rPr>
        <w:t>attingent.</w:t>
      </w:r>
      <w:r>
        <w:rPr>
          <w:b w:val="0"/>
          <w:i w:val="0"/>
        </w:rPr>
        <w:t xml:space="preserve"> </w:t>
      </w:r>
      <w:hyperlink w:anchor="latin-record-0144">
        <w:r>
          <w:rPr>
            <w:color w:val="000000"/>
          </w:rPr>
          <w:t xml:space="preserve">attingere / penetrare</w:t>
        </w:r>
      </w:hyperlink>
      <w:r>
        <w:rPr>
          <w:b w:val="0"/>
          <w:i w:val="0"/>
        </w:rPr>
        <w:t>.</w:t>
      </w:r>
    </w:p>
    <w:p>
      <w:pPr>
        <w:widowControl/>
      </w:pPr>
      <w:r>
        <w:rPr>
          <w:b/>
          <w:i w:val="0"/>
        </w:rPr>
        <w:t>attingere.</w:t>
      </w:r>
      <w:r>
        <w:rPr>
          <w:b w:val="0"/>
          <w:i w:val="0"/>
        </w:rPr>
        <w:t xml:space="preserve"> </w:t>
      </w:r>
      <w:hyperlink w:anchor="latin-record-0143">
        <w:r>
          <w:rPr>
            <w:color w:val="000000"/>
          </w:rPr>
          <w:t xml:space="preserve">attingere</w:t>
        </w:r>
      </w:hyperlink>
      <w:r>
        <w:rPr>
          <w:b w:val="0"/>
          <w:i w:val="0"/>
        </w:rPr>
        <w:t>.</w:t>
      </w:r>
    </w:p>
    <w:p>
      <w:pPr>
        <w:widowControl/>
      </w:pPr>
      <w:r>
        <w:rPr>
          <w:b/>
          <w:i w:val="0"/>
        </w:rPr>
        <w:t>attinget.</w:t>
      </w:r>
      <w:r>
        <w:rPr>
          <w:b w:val="0"/>
          <w:i w:val="0"/>
        </w:rPr>
        <w:t xml:space="preserve"> </w:t>
      </w:r>
      <w:hyperlink w:anchor="latin-record-0143">
        <w:r>
          <w:rPr>
            <w:color w:val="000000"/>
          </w:rPr>
          <w:t xml:space="preserve">attingere</w:t>
        </w:r>
      </w:hyperlink>
      <w:r>
        <w:rPr>
          <w:b w:val="0"/>
          <w:i w:val="0"/>
        </w:rPr>
        <w:t>.</w:t>
      </w:r>
    </w:p>
    <w:p>
      <w:pPr>
        <w:widowControl/>
      </w:pPr>
      <w:r>
        <w:rPr>
          <w:b/>
          <w:i w:val="0"/>
        </w:rPr>
        <w:t>attingit.</w:t>
      </w:r>
      <w:r>
        <w:rPr>
          <w:b w:val="0"/>
          <w:i w:val="0"/>
        </w:rPr>
        <w:t xml:space="preserve"> </w:t>
      </w:r>
      <w:hyperlink w:anchor="latin-record-0143">
        <w:r>
          <w:rPr>
            <w:color w:val="000000"/>
          </w:rPr>
          <w:t xml:space="preserve">attingere</w:t>
        </w:r>
      </w:hyperlink>
      <w:r>
        <w:rPr>
          <w:b w:val="0"/>
          <w:i w:val="0"/>
        </w:rPr>
        <w:t xml:space="preserve">; </w:t>
      </w:r>
      <w:hyperlink w:anchor="latin-record-0145">
        <w:r>
          <w:rPr>
            <w:color w:val="000000"/>
          </w:rPr>
          <w:t xml:space="preserve">attingere / persentire</w:t>
        </w:r>
      </w:hyperlink>
      <w:r>
        <w:rPr>
          <w:b w:val="0"/>
          <w:i w:val="0"/>
        </w:rPr>
        <w:t xml:space="preserve">; </w:t>
      </w:r>
      <w:hyperlink w:anchor="latin-record-0146">
        <w:r>
          <w:rPr>
            <w:color w:val="000000"/>
          </w:rPr>
          <w:t xml:space="preserve">attingere; percipere</w:t>
        </w:r>
      </w:hyperlink>
      <w:r>
        <w:rPr>
          <w:b w:val="0"/>
          <w:i w:val="0"/>
        </w:rPr>
        <w:t>.</w:t>
      </w:r>
    </w:p>
    <w:p>
      <w:pPr>
        <w:widowControl/>
      </w:pPr>
      <w:r>
        <w:rPr>
          <w:b/>
          <w:i w:val="0"/>
        </w:rPr>
        <w:t>attolli.</w:t>
      </w:r>
      <w:r>
        <w:rPr>
          <w:b w:val="0"/>
          <w:i w:val="0"/>
        </w:rPr>
        <w:t xml:space="preserve"> </w:t>
      </w:r>
      <w:hyperlink w:anchor="latin-record-0360">
        <w:r>
          <w:rPr>
            <w:color w:val="000000"/>
          </w:rPr>
          <w:t xml:space="preserve">declinare; attollere</w:t>
        </w:r>
      </w:hyperlink>
      <w:r>
        <w:rPr>
          <w:b w:val="0"/>
          <w:i w:val="0"/>
        </w:rPr>
        <w:t>.</w:t>
      </w:r>
    </w:p>
    <w:p>
      <w:pPr>
        <w:widowControl/>
      </w:pPr>
      <w:r>
        <w:rPr>
          <w:b/>
          <w:i w:val="0"/>
        </w:rPr>
        <w:t>auctor.</w:t>
      </w:r>
      <w:r>
        <w:rPr>
          <w:b w:val="0"/>
          <w:i w:val="0"/>
        </w:rPr>
        <w:t xml:space="preserve"> </w:t>
      </w:r>
      <w:hyperlink w:anchor="latin-record-0147">
        <w:r>
          <w:rPr>
            <w:color w:val="000000"/>
          </w:rPr>
          <w:t xml:space="preserve">auctor / conditor / opifex</w:t>
        </w:r>
      </w:hyperlink>
      <w:r>
        <w:rPr>
          <w:b w:val="0"/>
          <w:i w:val="0"/>
        </w:rPr>
        <w:t>.</w:t>
      </w:r>
    </w:p>
    <w:p>
      <w:pPr>
        <w:widowControl/>
      </w:pPr>
      <w:r>
        <w:rPr>
          <w:b/>
          <w:i w:val="0"/>
        </w:rPr>
        <w:t>auctore.</w:t>
      </w:r>
      <w:r>
        <w:rPr>
          <w:b w:val="0"/>
          <w:i w:val="0"/>
        </w:rPr>
        <w:t xml:space="preserve"> </w:t>
      </w:r>
      <w:hyperlink w:anchor="latin-record-0147">
        <w:r>
          <w:rPr>
            <w:color w:val="000000"/>
          </w:rPr>
          <w:t xml:space="preserve">auctor / conditor / opifex</w:t>
        </w:r>
      </w:hyperlink>
      <w:r>
        <w:rPr>
          <w:b w:val="0"/>
          <w:i w:val="0"/>
        </w:rPr>
        <w:t>.</w:t>
      </w:r>
    </w:p>
    <w:p>
      <w:pPr>
        <w:widowControl/>
      </w:pPr>
      <w:r>
        <w:rPr>
          <w:b/>
          <w:i w:val="0"/>
        </w:rPr>
        <w:t>audentior.</w:t>
      </w:r>
      <w:r>
        <w:rPr>
          <w:b w:val="0"/>
          <w:i w:val="0"/>
        </w:rPr>
        <w:t xml:space="preserve"> </w:t>
      </w:r>
      <w:hyperlink w:anchor="latin-record-0708">
        <w:r>
          <w:rPr>
            <w:color w:val="000000"/>
          </w:rPr>
          <w:t xml:space="preserve">leo / audacia</w:t>
        </w:r>
      </w:hyperlink>
      <w:r>
        <w:rPr>
          <w:b w:val="0"/>
          <w:i w:val="0"/>
        </w:rPr>
        <w:t xml:space="preserve">; </w:t>
      </w:r>
      <w:hyperlink w:anchor="latin-record-1378">
        <w:r>
          <w:rPr>
            <w:color w:val="000000"/>
          </w:rPr>
          <w:t xml:space="preserve">vivax / audens / robustus</w:t>
        </w:r>
      </w:hyperlink>
      <w:r>
        <w:rPr>
          <w:b w:val="0"/>
          <w:i w:val="0"/>
        </w:rPr>
        <w:t>.</w:t>
      </w:r>
    </w:p>
    <w:p>
      <w:pPr>
        <w:widowControl/>
      </w:pPr>
      <w:r>
        <w:rPr>
          <w:b/>
          <w:i w:val="0"/>
        </w:rPr>
        <w:t>audit.</w:t>
      </w:r>
      <w:r>
        <w:rPr>
          <w:b w:val="0"/>
          <w:i w:val="0"/>
        </w:rPr>
        <w:t xml:space="preserve"> </w:t>
      </w:r>
      <w:hyperlink w:anchor="latin-record-1350">
        <w:r>
          <w:rPr>
            <w:color w:val="000000"/>
          </w:rPr>
          <w:t xml:space="preserve">videre; audire; olfacere; gustare; tangere</w:t>
        </w:r>
      </w:hyperlink>
      <w:r>
        <w:rPr>
          <w:b w:val="0"/>
          <w:i w:val="0"/>
        </w:rPr>
        <w:t>.</w:t>
      </w:r>
    </w:p>
    <w:p>
      <w:pPr>
        <w:widowControl/>
      </w:pPr>
      <w:r>
        <w:rPr>
          <w:b/>
          <w:i w:val="0"/>
        </w:rPr>
        <w:t>auditus.</w:t>
      </w:r>
      <w:r>
        <w:rPr>
          <w:b w:val="0"/>
          <w:i w:val="0"/>
        </w:rPr>
        <w:t xml:space="preserve"> </w:t>
      </w:r>
      <w:hyperlink w:anchor="latin-record-1372">
        <w:r>
          <w:rPr>
            <w:color w:val="000000"/>
          </w:rPr>
          <w:t xml:space="preserve">visus / auditus / olfactus</w:t>
        </w:r>
      </w:hyperlink>
      <w:r>
        <w:rPr>
          <w:b w:val="0"/>
          <w:i w:val="0"/>
        </w:rPr>
        <w:t>.</w:t>
      </w:r>
    </w:p>
    <w:p>
      <w:pPr>
        <w:widowControl/>
      </w:pPr>
      <w:r>
        <w:rPr>
          <w:b/>
          <w:i w:val="0"/>
        </w:rPr>
        <w:t>auferendo.</w:t>
      </w:r>
      <w:r>
        <w:rPr>
          <w:b w:val="0"/>
          <w:i w:val="0"/>
        </w:rPr>
        <w:t xml:space="preserve"> </w:t>
      </w:r>
      <w:hyperlink w:anchor="latin-record-1250">
        <w:r>
          <w:rPr>
            <w:color w:val="000000"/>
          </w:rPr>
          <w:t xml:space="preserve">subtrahere / auferre</w:t>
        </w:r>
      </w:hyperlink>
      <w:r>
        <w:rPr>
          <w:b w:val="0"/>
          <w:i w:val="0"/>
        </w:rPr>
        <w:t>.</w:t>
      </w:r>
    </w:p>
    <w:p>
      <w:pPr>
        <w:widowControl/>
      </w:pPr>
      <w:r>
        <w:rPr>
          <w:b/>
          <w:i w:val="0"/>
        </w:rPr>
        <w:t>augent.</w:t>
      </w:r>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939">
        <w:r>
          <w:rPr>
            <w:color w:val="000000"/>
          </w:rPr>
          <w:t xml:space="preserve">perturbatio / impedire / augere</w:t>
        </w:r>
      </w:hyperlink>
      <w:r>
        <w:rPr>
          <w:b w:val="0"/>
          <w:i w:val="0"/>
        </w:rPr>
        <w:t>.</w:t>
      </w:r>
    </w:p>
    <w:p>
      <w:pPr>
        <w:widowControl/>
      </w:pPr>
      <w:r>
        <w:rPr>
          <w:b/>
          <w:i w:val="0"/>
        </w:rPr>
        <w:t>auget.</w:t>
      </w:r>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539">
        <w:r>
          <w:rPr>
            <w:color w:val="000000"/>
          </w:rPr>
          <w:t xml:space="preserve">generare; nutrire; augere</w:t>
        </w:r>
      </w:hyperlink>
      <w:r>
        <w:rPr>
          <w:b w:val="0"/>
          <w:i w:val="0"/>
        </w:rPr>
        <w:t>.</w:t>
      </w:r>
    </w:p>
    <w:p>
      <w:pPr>
        <w:widowControl/>
      </w:pPr>
      <w:r>
        <w:rPr>
          <w:b/>
          <w:i w:val="0"/>
        </w:rPr>
        <w:t>augetur.</w:t>
      </w:r>
      <w:r>
        <w:rPr>
          <w:b w:val="0"/>
          <w:i w:val="0"/>
        </w:rPr>
        <w:t xml:space="preserve"> </w:t>
      </w:r>
      <w:hyperlink w:anchor="latin-record-0149">
        <w:r>
          <w:rPr>
            <w:color w:val="000000"/>
          </w:rPr>
          <w:t xml:space="preserve">augere / augmentum / incrementum / decrementum</w:t>
        </w:r>
      </w:hyperlink>
      <w:r>
        <w:rPr>
          <w:b w:val="0"/>
          <w:i w:val="0"/>
        </w:rPr>
        <w:t>.</w:t>
      </w:r>
    </w:p>
    <w:p>
      <w:pPr>
        <w:widowControl/>
      </w:pPr>
      <w:r>
        <w:rPr>
          <w:b/>
          <w:i w:val="0"/>
        </w:rPr>
        <w:t>augmenti.</w:t>
      </w:r>
      <w:r>
        <w:rPr>
          <w:b w:val="0"/>
          <w:i w:val="0"/>
        </w:rPr>
        <w:t xml:space="preserve"> </w:t>
      </w:r>
      <w:hyperlink w:anchor="latin-record-0150">
        <w:r>
          <w:rPr>
            <w:color w:val="000000"/>
          </w:rPr>
          <w:t xml:space="preserve">augmentum</w:t>
        </w:r>
      </w:hyperlink>
      <w:r>
        <w:rPr>
          <w:b w:val="0"/>
          <w:i w:val="0"/>
        </w:rPr>
        <w:t xml:space="preserve">; </w:t>
      </w:r>
      <w:hyperlink w:anchor="latin-record-0750">
        <w:r>
          <w:rPr>
            <w:color w:val="000000"/>
          </w:rPr>
          <w:t xml:space="preserve">magnitudo; crescere; decrescere</w:t>
        </w:r>
      </w:hyperlink>
      <w:r>
        <w:rPr>
          <w:b w:val="0"/>
          <w:i w:val="0"/>
        </w:rPr>
        <w:t>.</w:t>
      </w:r>
    </w:p>
    <w:p>
      <w:pPr>
        <w:widowControl/>
      </w:pPr>
      <w:r>
        <w:rPr>
          <w:b/>
          <w:i w:val="0"/>
        </w:rPr>
        <w:t>augmentum.</w:t>
      </w:r>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150">
        <w:r>
          <w:rPr>
            <w:color w:val="000000"/>
          </w:rPr>
          <w:t xml:space="preserve">augmentum</w:t>
        </w:r>
      </w:hyperlink>
      <w:r>
        <w:rPr>
          <w:b w:val="0"/>
          <w:i w:val="0"/>
        </w:rPr>
        <w:t>.</w:t>
      </w:r>
    </w:p>
    <w:p>
      <w:pPr>
        <w:widowControl/>
      </w:pPr>
      <w:r>
        <w:rPr>
          <w:b/>
          <w:i w:val="0"/>
        </w:rPr>
        <w:t>Augmentum.</w:t>
      </w:r>
      <w:r>
        <w:rPr>
          <w:b w:val="0"/>
          <w:i w:val="0"/>
        </w:rPr>
        <w:t xml:space="preserve"> </w:t>
      </w:r>
      <w:hyperlink w:anchor="latin-record-0150">
        <w:r>
          <w:rPr>
            <w:color w:val="000000"/>
          </w:rPr>
          <w:t xml:space="preserve">augmentum</w:t>
        </w:r>
      </w:hyperlink>
      <w:r>
        <w:rPr>
          <w:b w:val="0"/>
          <w:i w:val="0"/>
        </w:rPr>
        <w:t>.</w:t>
      </w:r>
    </w:p>
    <w:p>
      <w:pPr>
        <w:widowControl/>
      </w:pPr>
      <w:r>
        <w:rPr>
          <w:b/>
          <w:i w:val="0"/>
        </w:rPr>
        <w:t>augmentum, decrementum.</w:t>
      </w:r>
      <w:r>
        <w:rPr>
          <w:b w:val="0"/>
          <w:i w:val="0"/>
        </w:rPr>
        <w:t xml:space="preserve"> </w:t>
      </w:r>
      <w:hyperlink w:anchor="latin-record-0151">
        <w:r>
          <w:rPr>
            <w:color w:val="000000"/>
          </w:rPr>
          <w:t xml:space="preserve">augmentum; decrementum</w:t>
        </w:r>
      </w:hyperlink>
      <w:r>
        <w:rPr>
          <w:b w:val="0"/>
          <w:i w:val="0"/>
        </w:rPr>
        <w:t>.</w:t>
      </w:r>
    </w:p>
    <w:p>
      <w:pPr>
        <w:widowControl/>
      </w:pPr>
      <w:r>
        <w:rPr>
          <w:b/>
          <w:i w:val="0"/>
        </w:rPr>
        <w:t>auguratur.</w:t>
      </w:r>
      <w:r>
        <w:rPr>
          <w:b w:val="0"/>
          <w:i w:val="0"/>
        </w:rPr>
        <w:t xml:space="preserve"> </w:t>
      </w:r>
      <w:hyperlink w:anchor="latin-record-0152">
        <w:r>
          <w:rPr>
            <w:color w:val="000000"/>
          </w:rPr>
          <w:t xml:space="preserve">augurari / suspicari / somniare</w:t>
        </w:r>
      </w:hyperlink>
      <w:r>
        <w:rPr>
          <w:b w:val="0"/>
          <w:i w:val="0"/>
        </w:rPr>
        <w:t>.</w:t>
      </w:r>
    </w:p>
    <w:p>
      <w:pPr>
        <w:widowControl/>
      </w:pPr>
      <w:r>
        <w:rPr>
          <w:b/>
          <w:i w:val="0"/>
        </w:rPr>
        <w:t>Augustinus.</w:t>
      </w:r>
      <w:r>
        <w:rPr>
          <w:b w:val="0"/>
          <w:i w:val="0"/>
        </w:rPr>
        <w:t xml:space="preserve"> </w:t>
      </w:r>
      <w:hyperlink w:anchor="latin-record-0153">
        <w:r>
          <w:rPr>
            <w:color w:val="000000"/>
          </w:rPr>
          <w:t xml:space="preserve">Augustinus / Aurelius</w:t>
        </w:r>
      </w:hyperlink>
      <w:r>
        <w:rPr>
          <w:b w:val="0"/>
          <w:i w:val="0"/>
        </w:rPr>
        <w:t xml:space="preserve">; </w:t>
      </w:r>
      <w:hyperlink w:anchor="latin-record-0955">
        <w:r>
          <w:rPr>
            <w:color w:val="000000"/>
          </w:rPr>
          <w:t xml:space="preserve">Plotinus / Augustinus</w:t>
        </w:r>
      </w:hyperlink>
      <w:r>
        <w:rPr>
          <w:b w:val="0"/>
          <w:i w:val="0"/>
        </w:rPr>
        <w:t>.</w:t>
      </w:r>
    </w:p>
    <w:p>
      <w:pPr>
        <w:widowControl/>
      </w:pPr>
      <w:r>
        <w:rPr>
          <w:b/>
          <w:i w:val="0"/>
        </w:rPr>
        <w:t>Aurelium Augustinum.</w:t>
      </w:r>
      <w:r>
        <w:rPr>
          <w:b w:val="0"/>
          <w:i w:val="0"/>
        </w:rPr>
        <w:t xml:space="preserve"> </w:t>
      </w:r>
      <w:hyperlink w:anchor="latin-record-0387">
        <w:r>
          <w:rPr>
            <w:color w:val="000000"/>
          </w:rPr>
          <w:t xml:space="preserve">Dionysius / Origenes / Augustinus</w:t>
        </w:r>
      </w:hyperlink>
      <w:r>
        <w:rPr>
          <w:b w:val="0"/>
          <w:i w:val="0"/>
        </w:rPr>
        <w:t>.</w:t>
      </w:r>
    </w:p>
    <w:p>
      <w:pPr>
        <w:widowControl/>
      </w:pPr>
      <w:r>
        <w:rPr>
          <w:b/>
          <w:i w:val="0"/>
        </w:rPr>
        <w:t>Aurelius.</w:t>
      </w:r>
      <w:r>
        <w:rPr>
          <w:b w:val="0"/>
          <w:i w:val="0"/>
        </w:rPr>
        <w:t xml:space="preserve"> </w:t>
      </w:r>
      <w:hyperlink w:anchor="latin-record-0153">
        <w:r>
          <w:rPr>
            <w:color w:val="000000"/>
          </w:rPr>
          <w:t xml:space="preserve">Augustinus / Aurelius</w:t>
        </w:r>
      </w:hyperlink>
      <w:r>
        <w:rPr>
          <w:b w:val="0"/>
          <w:i w:val="0"/>
        </w:rPr>
        <w:t>.</w:t>
      </w:r>
    </w:p>
    <w:p>
      <w:pPr>
        <w:widowControl/>
      </w:pPr>
      <w:r>
        <w:rPr>
          <w:b/>
          <w:i w:val="0"/>
        </w:rPr>
        <w:t>auribus.</w:t>
      </w:r>
      <w:r>
        <w:rPr>
          <w:b w:val="0"/>
          <w:i w:val="0"/>
        </w:rPr>
        <w:t xml:space="preserve"> </w:t>
      </w:r>
      <w:hyperlink w:anchor="latin-record-0154">
        <w:r>
          <w:rPr>
            <w:color w:val="000000"/>
          </w:rPr>
          <w:t xml:space="preserve">auris / nares / os</w:t>
        </w:r>
      </w:hyperlink>
      <w:r>
        <w:rPr>
          <w:b w:val="0"/>
          <w:i w:val="0"/>
        </w:rPr>
        <w:t>.</w:t>
      </w:r>
    </w:p>
    <w:p>
      <w:pPr>
        <w:widowControl/>
      </w:pPr>
      <w:r>
        <w:rPr>
          <w:b/>
          <w:i w:val="0"/>
        </w:rPr>
        <w:t>auris.</w:t>
      </w:r>
      <w:r>
        <w:rPr>
          <w:b w:val="0"/>
          <w:i w:val="0"/>
        </w:rPr>
        <w:t xml:space="preserve"> </w:t>
      </w:r>
      <w:hyperlink w:anchor="latin-record-0154">
        <w:r>
          <w:rPr>
            <w:color w:val="000000"/>
          </w:rPr>
          <w:t xml:space="preserve">auris / nares / os</w:t>
        </w:r>
      </w:hyperlink>
      <w:r>
        <w:rPr>
          <w:b w:val="0"/>
          <w:i w:val="0"/>
        </w:rPr>
        <w:t>.</w:t>
      </w:r>
    </w:p>
    <w:p>
      <w:pPr>
        <w:widowControl/>
      </w:pPr>
      <w:r>
        <w:rPr>
          <w:b/>
          <w:i w:val="0"/>
        </w:rPr>
        <w:t>aurium.</w:t>
      </w:r>
      <w:r>
        <w:rPr>
          <w:b w:val="0"/>
          <w:i w:val="0"/>
        </w:rPr>
        <w:t xml:space="preserve"> </w:t>
      </w:r>
      <w:hyperlink w:anchor="latin-record-0154">
        <w:r>
          <w:rPr>
            <w:color w:val="000000"/>
          </w:rPr>
          <w:t xml:space="preserve">auris / nares / os</w:t>
        </w:r>
      </w:hyperlink>
      <w:r>
        <w:rPr>
          <w:b w:val="0"/>
          <w:i w:val="0"/>
        </w:rPr>
        <w:t>.</w:t>
      </w:r>
    </w:p>
    <w:p>
      <w:pPr>
        <w:widowControl/>
      </w:pPr>
      <w:r>
        <w:rPr>
          <w:b/>
          <w:i w:val="0"/>
        </w:rPr>
        <w:t>aut.</w:t>
      </w:r>
      <w:r>
        <w:rPr>
          <w:b w:val="0"/>
          <w:i w:val="0"/>
        </w:rPr>
        <w:t xml:space="preserve"> </w:t>
      </w:r>
      <w:hyperlink w:anchor="latin-record-1336">
        <w:r>
          <w:rPr>
            <w:color w:val="000000"/>
          </w:rPr>
          <w:t xml:space="preserve">vel; sive; seu; aut</w:t>
        </w:r>
      </w:hyperlink>
      <w:r>
        <w:rPr>
          <w:b w:val="0"/>
          <w:i w:val="0"/>
        </w:rPr>
        <w:t>.</w:t>
      </w:r>
    </w:p>
    <w:p>
      <w:pPr>
        <w:widowControl/>
      </w:pPr>
      <w:r>
        <w:rPr>
          <w:b/>
          <w:i w:val="0"/>
        </w:rPr>
        <w:t>Aut.</w:t>
      </w:r>
      <w:r>
        <w:rPr>
          <w:b w:val="0"/>
          <w:i w:val="0"/>
        </w:rPr>
        <w:t xml:space="preserve"> </w:t>
      </w:r>
      <w:hyperlink w:anchor="latin-record-1336">
        <w:r>
          <w:rPr>
            <w:color w:val="000000"/>
          </w:rPr>
          <w:t xml:space="preserve">vel; sive; seu; aut</w:t>
        </w:r>
      </w:hyperlink>
      <w:r>
        <w:rPr>
          <w:b w:val="0"/>
          <w:i w:val="0"/>
        </w:rPr>
        <w:t>.</w:t>
      </w:r>
    </w:p>
    <w:p>
      <w:pPr>
        <w:widowControl/>
      </w:pPr>
      <w:r>
        <w:rPr>
          <w:b/>
          <w:i w:val="0"/>
        </w:rPr>
        <w:t>avertere.</w:t>
      </w:r>
      <w:r>
        <w:rPr>
          <w:b w:val="0"/>
          <w:i w:val="0"/>
        </w:rPr>
        <w:t xml:space="preserve"> </w:t>
      </w:r>
      <w:hyperlink w:anchor="latin-record-0155">
        <w:r>
          <w:rPr>
            <w:color w:val="000000"/>
          </w:rPr>
          <w:t xml:space="preserve">avertere / subducere</w:t>
        </w:r>
      </w:hyperlink>
      <w:r>
        <w:rPr>
          <w:b w:val="0"/>
          <w:i w:val="0"/>
        </w:rPr>
        <w:t>.</w:t>
      </w:r>
    </w:p>
    <w:p>
      <w:pPr>
        <w:widowControl/>
      </w:pPr>
      <w:r>
        <w:rPr>
          <w:b/>
          <w:i w:val="0"/>
        </w:rPr>
        <w:t>averterit.</w:t>
      </w:r>
      <w:r>
        <w:rPr>
          <w:b w:val="0"/>
          <w:i w:val="0"/>
        </w:rPr>
        <w:t xml:space="preserve"> </w:t>
      </w:r>
      <w:hyperlink w:anchor="latin-record-0155">
        <w:r>
          <w:rPr>
            <w:color w:val="000000"/>
          </w:rPr>
          <w:t xml:space="preserve">avertere / subducere</w:t>
        </w:r>
      </w:hyperlink>
      <w:r>
        <w:rPr>
          <w:b w:val="0"/>
          <w:i w:val="0"/>
        </w:rPr>
        <w:t>.</w:t>
      </w:r>
    </w:p>
    <w:p>
      <w:pPr>
        <w:widowControl/>
      </w:pPr>
      <w:r>
        <w:rPr>
          <w:b/>
          <w:i w:val="0"/>
        </w:rPr>
        <w:t>Avicenna.</w:t>
      </w:r>
      <w:r>
        <w:rPr>
          <w:b w:val="0"/>
          <w:i w:val="0"/>
        </w:rPr>
        <w:t xml:space="preserve"> </w:t>
      </w:r>
      <w:hyperlink w:anchor="latin-record-0156">
        <w:r>
          <w:rPr>
            <w:color w:val="000000"/>
          </w:rPr>
          <w:t xml:space="preserve">Avicenna; educatio ficta</w:t>
        </w:r>
      </w:hyperlink>
      <w:r>
        <w:rPr>
          <w:b w:val="0"/>
          <w:i w:val="0"/>
        </w:rPr>
        <w:t>.</w:t>
      </w:r>
    </w:p>
    <w:p>
      <w:pPr>
        <w:widowControl/>
      </w:pPr>
      <w:r>
        <w:rPr>
          <w:b/>
          <w:i w:val="0"/>
        </w:rPr>
        <w:t>Avicenna narravisse.</w:t>
      </w:r>
      <w:r>
        <w:rPr>
          <w:b w:val="0"/>
          <w:i w:val="0"/>
        </w:rPr>
        <w:t xml:space="preserve"> </w:t>
      </w:r>
      <w:hyperlink w:anchor="latin-record-0156">
        <w:r>
          <w:rPr>
            <w:color w:val="000000"/>
          </w:rPr>
          <w:t xml:space="preserve">Avicenna; educatio ficta</w:t>
        </w:r>
      </w:hyperlink>
      <w:r>
        <w:rPr>
          <w:b w:val="0"/>
          <w:i w:val="0"/>
        </w:rPr>
        <w:t>.</w:t>
      </w:r>
    </w:p>
    <w:p>
      <w:pPr>
        <w:widowControl/>
      </w:pPr>
      <w:r>
        <w:rPr>
          <w:b/>
          <w:i w:val="0"/>
        </w:rPr>
        <w:t>avida.</w:t>
      </w:r>
      <w:r>
        <w:rPr>
          <w:b w:val="0"/>
          <w:i w:val="0"/>
        </w:rPr>
        <w:t xml:space="preserve"> </w:t>
      </w:r>
      <w:hyperlink w:anchor="latin-record-0157">
        <w:r>
          <w:rPr>
            <w:color w:val="000000"/>
          </w:rPr>
          <w:t xml:space="preserve">aviditas / cupiditas</w:t>
        </w:r>
      </w:hyperlink>
      <w:r>
        <w:rPr>
          <w:b w:val="0"/>
          <w:i w:val="0"/>
        </w:rPr>
        <w:t>.</w:t>
      </w:r>
    </w:p>
    <w:p>
      <w:pPr>
        <w:widowControl/>
      </w:pPr>
      <w:r>
        <w:rPr>
          <w:b/>
          <w:i w:val="0"/>
        </w:rPr>
        <w:t>aviditas.</w:t>
      </w:r>
      <w:r>
        <w:rPr>
          <w:b w:val="0"/>
          <w:i w:val="0"/>
        </w:rPr>
        <w:t xml:space="preserve"> </w:t>
      </w:r>
      <w:hyperlink w:anchor="latin-record-0157">
        <w:r>
          <w:rPr>
            <w:color w:val="000000"/>
          </w:rPr>
          <w:t xml:space="preserve">aviditas / cupiditas</w:t>
        </w:r>
      </w:hyperlink>
      <w:r>
        <w:rPr>
          <w:b w:val="0"/>
          <w:i w:val="0"/>
        </w:rPr>
        <w:t>.</w:t>
      </w:r>
    </w:p>
    <w:p>
      <w:pPr>
        <w:widowControl/>
      </w:pPr>
      <w:r>
        <w:rPr>
          <w:b/>
          <w:i w:val="0"/>
        </w:rPr>
        <w:t>avis.</w:t>
      </w:r>
      <w:r>
        <w:rPr>
          <w:b w:val="0"/>
          <w:i w:val="0"/>
        </w:rPr>
        <w:t xml:space="preserve"> </w:t>
      </w:r>
      <w:hyperlink w:anchor="latin-record-0158">
        <w:r>
          <w:rPr>
            <w:color w:val="000000"/>
          </w:rPr>
          <w:t xml:space="preserve">avis; volare</w:t>
        </w:r>
      </w:hyperlink>
      <w:r>
        <w:rPr>
          <w:b w:val="0"/>
          <w:i w:val="0"/>
        </w:rPr>
        <w:t>.</w:t>
      </w:r>
    </w:p>
    <w:p>
      <w:pPr>
        <w:widowControl/>
      </w:pPr>
      <w:r>
        <w:rPr>
          <w:b/>
          <w:i w:val="0"/>
        </w:rPr>
        <w:t>avulsa.</w:t>
      </w:r>
      <w:r>
        <w:rPr>
          <w:b w:val="0"/>
          <w:i w:val="0"/>
        </w:rPr>
        <w:t xml:space="preserve"> </w:t>
      </w:r>
      <w:hyperlink w:anchor="latin-record-0051">
        <w:r>
          <w:rPr>
            <w:color w:val="000000"/>
          </w:rPr>
          <w:t xml:space="preserve">affigere; avellere</w:t>
        </w:r>
      </w:hyperlink>
      <w:r>
        <w:rPr>
          <w:b w:val="0"/>
          <w:i w:val="0"/>
        </w:rPr>
        <w:t>.</w:t>
      </w:r>
    </w:p>
    <w:p>
      <w:pPr>
        <w:widowControl/>
      </w:pPr>
      <w:r>
        <w:rPr>
          <w:b/>
          <w:i w:val="0"/>
        </w:rPr>
        <w:t>b.</w:t>
      </w:r>
      <w:r>
        <w:rPr>
          <w:b w:val="0"/>
          <w:i w:val="0"/>
        </w:rPr>
        <w:t xml:space="preserve"> </w:t>
      </w:r>
      <w:hyperlink w:anchor="latin-record-0001">
        <w:r>
          <w:rPr>
            <w:color w:val="000000"/>
          </w:rPr>
          <w:t xml:space="preserve">a / b: geometrical labels</w:t>
        </w:r>
      </w:hyperlink>
      <w:r>
        <w:rPr>
          <w:b w:val="0"/>
          <w:i w:val="0"/>
        </w:rPr>
        <w:t>.</w:t>
      </w:r>
    </w:p>
    <w:p>
      <w:pPr>
        <w:widowControl/>
      </w:pPr>
      <w:r>
        <w:rPr>
          <w:b/>
          <w:i w:val="0"/>
        </w:rPr>
        <w:t>Bartholomaeus Fontius.</w:t>
      </w:r>
      <w:r>
        <w:rPr>
          <w:b w:val="0"/>
          <w:i w:val="0"/>
        </w:rPr>
        <w:t xml:space="preserve"> </w:t>
      </w:r>
      <w:hyperlink w:anchor="latin-record-0821">
        <w:r>
          <w:rPr>
            <w:color w:val="000000"/>
          </w:rPr>
          <w:t xml:space="preserve">Naldius; Fontius; Bonisegnius</w:t>
        </w:r>
      </w:hyperlink>
      <w:r>
        <w:rPr>
          <w:b w:val="0"/>
          <w:i w:val="0"/>
        </w:rPr>
        <w:t>.</w:t>
      </w:r>
    </w:p>
    <w:p>
      <w:pPr>
        <w:widowControl/>
      </w:pPr>
      <w:r>
        <w:rPr>
          <w:b/>
          <w:i w:val="0"/>
        </w:rPr>
        <w:t>bene esse.</w:t>
      </w:r>
      <w:r>
        <w:rPr>
          <w:b w:val="0"/>
          <w:i w:val="0"/>
        </w:rPr>
        <w:t xml:space="preserve"> </w:t>
      </w:r>
      <w:hyperlink w:anchor="latin-record-0160">
        <w:r>
          <w:rPr>
            <w:color w:val="000000"/>
          </w:rPr>
          <w:t xml:space="preserve">bene esse / simpliciter esse</w:t>
        </w:r>
      </w:hyperlink>
      <w:r>
        <w:rPr>
          <w:b w:val="0"/>
          <w:i w:val="0"/>
        </w:rPr>
        <w:t>.</w:t>
      </w:r>
    </w:p>
    <w:p>
      <w:pPr>
        <w:widowControl/>
      </w:pPr>
      <w:r>
        <w:rPr>
          <w:b/>
          <w:i w:val="0"/>
        </w:rPr>
        <w:t>benefica.</w:t>
      </w:r>
      <w:r>
        <w:rPr>
          <w:b w:val="0"/>
          <w:i w:val="0"/>
        </w:rPr>
        <w:t xml:space="preserve"> </w:t>
      </w:r>
      <w:hyperlink w:anchor="latin-record-0161">
        <w:r>
          <w:rPr>
            <w:color w:val="000000"/>
          </w:rPr>
          <w:t xml:space="preserve">beneficus</w:t>
        </w:r>
      </w:hyperlink>
      <w:r>
        <w:rPr>
          <w:b w:val="0"/>
          <w:i w:val="0"/>
        </w:rPr>
        <w:t>.</w:t>
      </w:r>
    </w:p>
    <w:p>
      <w:pPr>
        <w:widowControl/>
      </w:pPr>
      <w:r>
        <w:rPr>
          <w:b/>
          <w:i w:val="0"/>
        </w:rPr>
        <w:t>beneficus.</w:t>
      </w:r>
      <w:r>
        <w:rPr>
          <w:b w:val="0"/>
          <w:i w:val="0"/>
        </w:rPr>
        <w:t xml:space="preserve"> </w:t>
      </w:r>
      <w:hyperlink w:anchor="latin-record-0161">
        <w:r>
          <w:rPr>
            <w:color w:val="000000"/>
          </w:rPr>
          <w:t xml:space="preserve">beneficus</w:t>
        </w:r>
      </w:hyperlink>
      <w:r>
        <w:rPr>
          <w:b w:val="0"/>
          <w:i w:val="0"/>
        </w:rPr>
        <w:t>.</w:t>
      </w:r>
    </w:p>
    <w:p>
      <w:pPr>
        <w:widowControl/>
      </w:pPr>
      <w:r>
        <w:rPr>
          <w:b/>
          <w:i w:val="0"/>
        </w:rPr>
        <w:t>Bernardum Bembum.</w:t>
      </w:r>
      <w:r>
        <w:rPr>
          <w:b w:val="0"/>
          <w:i w:val="0"/>
        </w:rPr>
        <w:t xml:space="preserve"> </w:t>
      </w:r>
      <w:hyperlink w:anchor="latin-record-0159">
        <w:r>
          <w:rPr>
            <w:color w:val="000000"/>
          </w:rPr>
          <w:t xml:space="preserve">Bembus; Chronico; Demetrius</w:t>
        </w:r>
      </w:hyperlink>
      <w:r>
        <w:rPr>
          <w:b w:val="0"/>
          <w:i w:val="0"/>
        </w:rPr>
        <w:t>.</w:t>
      </w:r>
    </w:p>
    <w:p>
      <w:pPr>
        <w:widowControl/>
      </w:pPr>
      <w:r>
        <w:rPr>
          <w:b/>
          <w:i w:val="0"/>
        </w:rPr>
        <w:t>Bernardus Nuthius.</w:t>
      </w:r>
      <w:r>
        <w:rPr>
          <w:b w:val="0"/>
          <w:i w:val="0"/>
        </w:rPr>
        <w:t xml:space="preserve"> </w:t>
      </w:r>
      <w:hyperlink w:anchor="latin-record-0700">
        <w:r>
          <w:rPr>
            <w:color w:val="000000"/>
          </w:rPr>
          <w:t xml:space="preserve">Landinus; Nuthius; Vespuccius</w:t>
        </w:r>
      </w:hyperlink>
      <w:r>
        <w:rPr>
          <w:b w:val="0"/>
          <w:i w:val="0"/>
        </w:rPr>
        <w:t>.</w:t>
      </w:r>
    </w:p>
    <w:p>
      <w:pPr>
        <w:widowControl/>
      </w:pPr>
      <w:r>
        <w:rPr>
          <w:b/>
          <w:i w:val="0"/>
        </w:rPr>
        <w:t>bibit.</w:t>
      </w:r>
      <w:r>
        <w:rPr>
          <w:b w:val="0"/>
          <w:i w:val="0"/>
        </w:rPr>
        <w:t xml:space="preserve"> </w:t>
      </w:r>
      <w:hyperlink w:anchor="latin-record-0162">
        <w:r>
          <w:rPr>
            <w:color w:val="000000"/>
          </w:rPr>
          <w:t xml:space="preserve">bibere</w:t>
        </w:r>
      </w:hyperlink>
      <w:r>
        <w:rPr>
          <w:b w:val="0"/>
          <w:i w:val="0"/>
        </w:rPr>
        <w:t>.</w:t>
      </w:r>
    </w:p>
    <w:p>
      <w:pPr>
        <w:widowControl/>
      </w:pPr>
      <w:r>
        <w:rPr>
          <w:b/>
          <w:i w:val="0"/>
        </w:rPr>
        <w:t>bicubitum.</w:t>
      </w:r>
      <w:r>
        <w:rPr>
          <w:b w:val="0"/>
          <w:i w:val="0"/>
        </w:rPr>
        <w:t xml:space="preserve"> </w:t>
      </w:r>
      <w:hyperlink w:anchor="latin-record-0163">
        <w:r>
          <w:rPr>
            <w:color w:val="000000"/>
          </w:rPr>
          <w:t xml:space="preserve">bicubitus</w:t>
        </w:r>
      </w:hyperlink>
      <w:r>
        <w:rPr>
          <w:b w:val="0"/>
          <w:i w:val="0"/>
        </w:rPr>
        <w:t>.</w:t>
      </w:r>
    </w:p>
    <w:p>
      <w:pPr>
        <w:widowControl/>
      </w:pPr>
      <w:r>
        <w:rPr>
          <w:b/>
          <w:i w:val="0"/>
        </w:rPr>
        <w:t>Boethus.</w:t>
      </w:r>
      <w:r>
        <w:rPr>
          <w:b w:val="0"/>
          <w:i w:val="0"/>
        </w:rPr>
        <w:t xml:space="preserve"> </w:t>
      </w:r>
      <w:hyperlink w:anchor="latin-record-0164">
        <w:r>
          <w:rPr>
            <w:color w:val="000000"/>
          </w:rPr>
          <w:t xml:space="preserve">Boethus; Epicurus; Xenophantes</w:t>
        </w:r>
      </w:hyperlink>
      <w:r>
        <w:rPr>
          <w:b w:val="0"/>
          <w:i w:val="0"/>
        </w:rPr>
        <w:t>.</w:t>
      </w:r>
    </w:p>
    <w:p>
      <w:pPr>
        <w:widowControl/>
      </w:pPr>
      <w:r>
        <w:rPr>
          <w:b/>
          <w:i w:val="0"/>
        </w:rPr>
        <w:t>bona.</w:t>
      </w:r>
      <w:r>
        <w:rPr>
          <w:b w:val="0"/>
          <w:i w:val="0"/>
        </w:rPr>
        <w:t xml:space="preserve"> </w:t>
      </w:r>
      <w:hyperlink w:anchor="latin-record-0167">
        <w:r>
          <w:rPr>
            <w:color w:val="000000"/>
          </w:rPr>
          <w:t xml:space="preserve">bonum / malum</w:t>
        </w:r>
      </w:hyperlink>
      <w:r>
        <w:rPr>
          <w:b w:val="0"/>
          <w:i w:val="0"/>
        </w:rPr>
        <w:t>.</w:t>
      </w:r>
    </w:p>
    <w:p>
      <w:pPr>
        <w:widowControl/>
      </w:pPr>
      <w:r>
        <w:rPr>
          <w:b/>
          <w:i w:val="0"/>
        </w:rPr>
        <w:t>bonam.</w:t>
      </w:r>
      <w:r>
        <w:rPr>
          <w:b w:val="0"/>
          <w:i w:val="0"/>
        </w:rPr>
        <w:t xml:space="preserve"> </w:t>
      </w:r>
      <w:hyperlink w:anchor="latin-record-0167">
        <w:r>
          <w:rPr>
            <w:color w:val="000000"/>
          </w:rPr>
          <w:t xml:space="preserve">bonum / malum</w:t>
        </w:r>
      </w:hyperlink>
      <w:r>
        <w:rPr>
          <w:b w:val="0"/>
          <w:i w:val="0"/>
        </w:rPr>
        <w:t>.</w:t>
      </w:r>
    </w:p>
    <w:p>
      <w:pPr>
        <w:widowControl/>
      </w:pPr>
      <w:r>
        <w:rPr>
          <w:b/>
          <w:i w:val="0"/>
        </w:rPr>
        <w:t>boni.</w:t>
      </w:r>
      <w:r>
        <w:rPr>
          <w:b w:val="0"/>
          <w:i w:val="0"/>
        </w:rPr>
        <w:t xml:space="preserve"> </w:t>
      </w:r>
      <w:hyperlink w:anchor="latin-record-0167">
        <w:r>
          <w:rPr>
            <w:color w:val="000000"/>
          </w:rPr>
          <w:t xml:space="preserve">bonum / malum</w:t>
        </w:r>
      </w:hyperlink>
      <w:r>
        <w:rPr>
          <w:b w:val="0"/>
          <w:i w:val="0"/>
        </w:rPr>
        <w:t>.</w:t>
      </w:r>
    </w:p>
    <w:p>
      <w:pPr>
        <w:widowControl/>
      </w:pPr>
      <w:r>
        <w:rPr>
          <w:b/>
          <w:i w:val="0"/>
        </w:rPr>
        <w:t>bonis.</w:t>
      </w:r>
      <w:r>
        <w:rPr>
          <w:b w:val="0"/>
          <w:i w:val="0"/>
        </w:rPr>
        <w:t xml:space="preserve"> </w:t>
      </w:r>
      <w:hyperlink w:anchor="latin-record-0167">
        <w:r>
          <w:rPr>
            <w:color w:val="000000"/>
          </w:rPr>
          <w:t xml:space="preserve">bonum / malum</w:t>
        </w:r>
      </w:hyperlink>
      <w:r>
        <w:rPr>
          <w:b w:val="0"/>
          <w:i w:val="0"/>
        </w:rPr>
        <w:t>.</w:t>
      </w:r>
    </w:p>
    <w:p>
      <w:pPr>
        <w:widowControl/>
      </w:pPr>
      <w:r>
        <w:rPr>
          <w:b/>
          <w:i w:val="0"/>
        </w:rPr>
        <w:t>bonitas.</w:t>
      </w:r>
      <w:r>
        <w:rPr>
          <w:b w:val="0"/>
          <w:i w:val="0"/>
        </w:rPr>
        <w:t xml:space="preserve"> </w:t>
      </w:r>
      <w:hyperlink w:anchor="latin-record-1024">
        <w:r>
          <w:rPr>
            <w:color w:val="000000"/>
          </w:rPr>
          <w:t xml:space="preserve">pulchritudo / bonitas</w:t>
        </w:r>
      </w:hyperlink>
      <w:r>
        <w:rPr>
          <w:b w:val="0"/>
          <w:i w:val="0"/>
        </w:rPr>
        <w:t>.</w:t>
      </w:r>
    </w:p>
    <w:p>
      <w:pPr>
        <w:widowControl/>
      </w:pPr>
      <w:r>
        <w:rPr>
          <w:b/>
          <w:i w:val="0"/>
        </w:rPr>
        <w:t>bonitas naturae.</w:t>
      </w:r>
      <w:r>
        <w:rPr>
          <w:b w:val="0"/>
          <w:i w:val="0"/>
        </w:rPr>
        <w:t xml:space="preserve"> </w:t>
      </w:r>
      <w:hyperlink w:anchor="latin-record-0165">
        <w:r>
          <w:rPr>
            <w:color w:val="000000"/>
          </w:rPr>
          <w:t xml:space="preserve">bonitas naturae</w:t>
        </w:r>
      </w:hyperlink>
      <w:r>
        <w:rPr>
          <w:b w:val="0"/>
          <w:i w:val="0"/>
        </w:rPr>
        <w:t>.</w:t>
      </w:r>
    </w:p>
    <w:p>
      <w:pPr>
        <w:widowControl/>
      </w:pPr>
      <w:r>
        <w:rPr>
          <w:b/>
          <w:i w:val="0"/>
        </w:rPr>
        <w:t>bonitate.</w:t>
      </w:r>
      <w:r>
        <w:rPr>
          <w:b w:val="0"/>
          <w:i w:val="0"/>
        </w:rPr>
        <w:t xml:space="preserve"> </w:t>
      </w:r>
      <w:hyperlink w:anchor="latin-record-0166">
        <w:r>
          <w:rPr>
            <w:color w:val="000000"/>
          </w:rPr>
          <w:t xml:space="preserve">bonum / bonitas</w:t>
        </w:r>
      </w:hyperlink>
      <w:r>
        <w:rPr>
          <w:b w:val="0"/>
          <w:i w:val="0"/>
        </w:rPr>
        <w:t>.</w:t>
      </w:r>
    </w:p>
    <w:p>
      <w:pPr>
        <w:widowControl/>
      </w:pPr>
      <w:r>
        <w:rPr>
          <w:b/>
          <w:i w:val="0"/>
        </w:rPr>
        <w:t>bonitatem.</w:t>
      </w:r>
      <w:r>
        <w:rPr>
          <w:b w:val="0"/>
          <w:i w:val="0"/>
        </w:rPr>
        <w:t xml:space="preserve"> </w:t>
      </w:r>
      <w:hyperlink w:anchor="latin-record-1024">
        <w:r>
          <w:rPr>
            <w:color w:val="000000"/>
          </w:rPr>
          <w:t xml:space="preserve">pulchritudo / bonitas</w:t>
        </w:r>
      </w:hyperlink>
      <w:r>
        <w:rPr>
          <w:b w:val="0"/>
          <w:i w:val="0"/>
        </w:rPr>
        <w:t>.</w:t>
      </w:r>
    </w:p>
    <w:p>
      <w:pPr>
        <w:widowControl/>
      </w:pPr>
      <w:r>
        <w:rPr>
          <w:b/>
          <w:i w:val="0"/>
        </w:rPr>
        <w:t>bonitatis.</w:t>
      </w:r>
      <w:r>
        <w:rPr>
          <w:b w:val="0"/>
          <w:i w:val="0"/>
        </w:rPr>
        <w:t xml:space="preserve"> </w:t>
      </w:r>
      <w:hyperlink w:anchor="latin-record-0166">
        <w:r>
          <w:rPr>
            <w:color w:val="000000"/>
          </w:rPr>
          <w:t xml:space="preserve">bonum / bonitas</w:t>
        </w:r>
      </w:hyperlink>
      <w:r>
        <w:rPr>
          <w:b w:val="0"/>
          <w:i w:val="0"/>
        </w:rPr>
        <w:t xml:space="preserve">; </w:t>
      </w:r>
      <w:hyperlink w:anchor="latin-record-1024">
        <w:r>
          <w:rPr>
            <w:color w:val="000000"/>
          </w:rPr>
          <w:t xml:space="preserve">pulchritudo / bonitas</w:t>
        </w:r>
      </w:hyperlink>
      <w:r>
        <w:rPr>
          <w:b w:val="0"/>
          <w:i w:val="0"/>
        </w:rPr>
        <w:t>.</w:t>
      </w:r>
    </w:p>
    <w:p>
      <w:pPr>
        <w:widowControl/>
      </w:pPr>
      <w:r>
        <w:rPr>
          <w:b/>
          <w:i w:val="0"/>
        </w:rPr>
        <w:t>bono.</w:t>
      </w:r>
      <w:r>
        <w:rPr>
          <w:b w:val="0"/>
          <w:i w:val="0"/>
        </w:rPr>
        <w:t xml:space="preserve"> </w:t>
      </w:r>
      <w:hyperlink w:anchor="latin-record-0166">
        <w:r>
          <w:rPr>
            <w:color w:val="000000"/>
          </w:rPr>
          <w:t xml:space="preserve">bonum / bonitas</w:t>
        </w:r>
      </w:hyperlink>
      <w:r>
        <w:rPr>
          <w:b w:val="0"/>
          <w:i w:val="0"/>
        </w:rPr>
        <w:t>.</w:t>
      </w:r>
    </w:p>
    <w:p>
      <w:pPr>
        <w:widowControl/>
      </w:pPr>
      <w:r>
        <w:rPr>
          <w:b/>
          <w:i w:val="0"/>
        </w:rPr>
        <w:t>bonum.</w:t>
      </w:r>
      <w:r>
        <w:rPr>
          <w:b w:val="0"/>
          <w:i w:val="0"/>
        </w:rPr>
        <w:t xml:space="preserve"> </w:t>
      </w:r>
      <w:hyperlink w:anchor="latin-record-0166">
        <w:r>
          <w:rPr>
            <w:color w:val="000000"/>
          </w:rPr>
          <w:t xml:space="preserve">bonum / bonitas</w:t>
        </w:r>
      </w:hyperlink>
      <w:r>
        <w:rPr>
          <w:b w:val="0"/>
          <w:i w:val="0"/>
        </w:rPr>
        <w:t xml:space="preserve">; </w:t>
      </w:r>
      <w:hyperlink w:anchor="latin-record-0167">
        <w:r>
          <w:rPr>
            <w:color w:val="000000"/>
          </w:rPr>
          <w:t xml:space="preserve">bonum / malum</w:t>
        </w:r>
      </w:hyperlink>
      <w:r>
        <w:rPr>
          <w:b w:val="0"/>
          <w:i w:val="0"/>
        </w:rPr>
        <w:t xml:space="preserve">; </w:t>
      </w:r>
      <w:hyperlink w:anchor="latin-record-1342">
        <w:r>
          <w:rPr>
            <w:color w:val="000000"/>
          </w:rPr>
          <w:t xml:space="preserve">verum / bonum</w:t>
        </w:r>
      </w:hyperlink>
      <w:r>
        <w:rPr>
          <w:b w:val="0"/>
          <w:i w:val="0"/>
        </w:rPr>
        <w:t>.</w:t>
      </w:r>
    </w:p>
    <w:p>
      <w:pPr>
        <w:widowControl/>
      </w:pPr>
      <w:r>
        <w:rPr>
          <w:b/>
          <w:i w:val="0"/>
        </w:rPr>
        <w:t>bove.</w:t>
      </w:r>
      <w:r>
        <w:rPr>
          <w:b w:val="0"/>
          <w:i w:val="0"/>
        </w:rPr>
        <w:t xml:space="preserve"> </w:t>
      </w:r>
      <w:hyperlink w:anchor="latin-record-0119">
        <w:r>
          <w:rPr>
            <w:color w:val="000000"/>
          </w:rPr>
          <w:t xml:space="preserve">aquila / bos</w:t>
        </w:r>
      </w:hyperlink>
      <w:r>
        <w:rPr>
          <w:b w:val="0"/>
          <w:i w:val="0"/>
        </w:rPr>
        <w:t>.</w:t>
      </w:r>
    </w:p>
    <w:p>
      <w:pPr>
        <w:widowControl/>
      </w:pPr>
      <w:r>
        <w:rPr>
          <w:b/>
          <w:i w:val="0"/>
        </w:rPr>
        <w:t>bovis.</w:t>
      </w:r>
      <w:r>
        <w:rPr>
          <w:b w:val="0"/>
          <w:i w:val="0"/>
        </w:rPr>
        <w:t xml:space="preserve"> </w:t>
      </w:r>
      <w:hyperlink w:anchor="latin-record-0119">
        <w:r>
          <w:rPr>
            <w:color w:val="000000"/>
          </w:rPr>
          <w:t xml:space="preserve">aquila / bos</w:t>
        </w:r>
      </w:hyperlink>
      <w:r>
        <w:rPr>
          <w:b w:val="0"/>
          <w:i w:val="0"/>
        </w:rPr>
        <w:t>.</w:t>
      </w:r>
    </w:p>
    <w:p>
      <w:pPr>
        <w:widowControl/>
      </w:pPr>
      <w:r>
        <w:rPr>
          <w:b/>
          <w:i w:val="0"/>
        </w:rPr>
        <w:t>brachia et crura.</w:t>
      </w:r>
      <w:r>
        <w:rPr>
          <w:b w:val="0"/>
          <w:i w:val="0"/>
        </w:rPr>
        <w:t xml:space="preserve"> </w:t>
      </w:r>
      <w:hyperlink w:anchor="latin-record-0168">
        <w:r>
          <w:rPr>
            <w:color w:val="000000"/>
          </w:rPr>
          <w:t xml:space="preserve">bracchium; crus</w:t>
        </w:r>
      </w:hyperlink>
      <w:r>
        <w:rPr>
          <w:b w:val="0"/>
          <w:i w:val="0"/>
        </w:rPr>
        <w:t>.</w:t>
      </w:r>
    </w:p>
    <w:p>
      <w:pPr>
        <w:widowControl/>
      </w:pPr>
      <w:r>
        <w:rPr>
          <w:b/>
          <w:i w:val="0"/>
        </w:rPr>
        <w:t>brachiis.</w:t>
      </w:r>
      <w:r>
        <w:rPr>
          <w:b w:val="0"/>
          <w:i w:val="0"/>
        </w:rPr>
        <w:t xml:space="preserve"> </w:t>
      </w:r>
      <w:hyperlink w:anchor="latin-record-0169">
        <w:r>
          <w:rPr>
            <w:color w:val="000000"/>
          </w:rPr>
          <w:t xml:space="preserve">brachium / opus extra</w:t>
        </w:r>
      </w:hyperlink>
      <w:r>
        <w:rPr>
          <w:b w:val="0"/>
          <w:i w:val="0"/>
        </w:rPr>
        <w:t>.</w:t>
      </w:r>
    </w:p>
    <w:p>
      <w:pPr>
        <w:widowControl/>
      </w:pPr>
      <w:r>
        <w:rPr>
          <w:b/>
          <w:i w:val="0"/>
        </w:rPr>
        <w:t>brachiis et cruribus amputatis.</w:t>
      </w:r>
      <w:r>
        <w:rPr>
          <w:b w:val="0"/>
          <w:i w:val="0"/>
        </w:rPr>
        <w:t xml:space="preserve"> </w:t>
      </w:r>
      <w:hyperlink w:anchor="latin-record-0168">
        <w:r>
          <w:rPr>
            <w:color w:val="000000"/>
          </w:rPr>
          <w:t xml:space="preserve">bracchium; crus</w:t>
        </w:r>
      </w:hyperlink>
      <w:r>
        <w:rPr>
          <w:b w:val="0"/>
          <w:i w:val="0"/>
        </w:rPr>
        <w:t>.</w:t>
      </w:r>
    </w:p>
    <w:p>
      <w:pPr>
        <w:widowControl/>
      </w:pPr>
      <w:r>
        <w:rPr>
          <w:b/>
          <w:i w:val="0"/>
        </w:rPr>
        <w:t>caduca.</w:t>
      </w:r>
      <w:r>
        <w:rPr>
          <w:b w:val="0"/>
          <w:i w:val="0"/>
        </w:rPr>
        <w:t xml:space="preserve"> </w:t>
      </w:r>
      <w:hyperlink w:anchor="latin-record-0170">
        <w:r>
          <w:rPr>
            <w:color w:val="000000"/>
          </w:rPr>
          <w:t xml:space="preserve">caducus</w:t>
        </w:r>
      </w:hyperlink>
      <w:r>
        <w:rPr>
          <w:b w:val="0"/>
          <w:i w:val="0"/>
        </w:rPr>
        <w:t>.</w:t>
      </w:r>
    </w:p>
    <w:p>
      <w:pPr>
        <w:widowControl/>
      </w:pPr>
      <w:r>
        <w:rPr>
          <w:b/>
          <w:i w:val="0"/>
        </w:rPr>
        <w:t>caduco.</w:t>
      </w:r>
      <w:r>
        <w:rPr>
          <w:b w:val="0"/>
          <w:i w:val="0"/>
        </w:rPr>
        <w:t xml:space="preserve"> </w:t>
      </w:r>
      <w:hyperlink w:anchor="latin-record-0170">
        <w:r>
          <w:rPr>
            <w:color w:val="000000"/>
          </w:rPr>
          <w:t xml:space="preserve">caducus</w:t>
        </w:r>
      </w:hyperlink>
      <w:r>
        <w:rPr>
          <w:b w:val="0"/>
          <w:i w:val="0"/>
        </w:rPr>
        <w:t>.</w:t>
      </w:r>
    </w:p>
    <w:p>
      <w:pPr>
        <w:widowControl/>
      </w:pPr>
      <w:r>
        <w:rPr>
          <w:b/>
          <w:i w:val="0"/>
        </w:rPr>
        <w:t>caecus.</w:t>
      </w:r>
      <w:r>
        <w:rPr>
          <w:b w:val="0"/>
          <w:i w:val="0"/>
        </w:rPr>
        <w:t xml:space="preserve"> </w:t>
      </w:r>
      <w:hyperlink w:anchor="latin-record-0171">
        <w:r>
          <w:rPr>
            <w:color w:val="000000"/>
          </w:rPr>
          <w:t xml:space="preserve">caecus; noctua</w:t>
        </w:r>
      </w:hyperlink>
      <w:r>
        <w:rPr>
          <w:b w:val="0"/>
          <w:i w:val="0"/>
        </w:rPr>
        <w:t>.</w:t>
      </w:r>
    </w:p>
    <w:p>
      <w:pPr>
        <w:widowControl/>
      </w:pPr>
      <w:r>
        <w:rPr>
          <w:b/>
          <w:i w:val="0"/>
        </w:rPr>
        <w:t>caecutire.</w:t>
      </w:r>
      <w:r>
        <w:rPr>
          <w:b w:val="0"/>
          <w:i w:val="0"/>
        </w:rPr>
        <w:t xml:space="preserve"> </w:t>
      </w:r>
      <w:hyperlink w:anchor="latin-record-0172">
        <w:r>
          <w:rPr>
            <w:color w:val="000000"/>
          </w:rPr>
          <w:t xml:space="preserve">caecutire; titubare; aegrotare</w:t>
        </w:r>
      </w:hyperlink>
      <w:r>
        <w:rPr>
          <w:b w:val="0"/>
          <w:i w:val="0"/>
        </w:rPr>
        <w:t>.</w:t>
      </w:r>
    </w:p>
    <w:p>
      <w:pPr>
        <w:widowControl/>
      </w:pPr>
      <w:r>
        <w:rPr>
          <w:b/>
          <w:i w:val="0"/>
        </w:rPr>
        <w:t>caeli.</w:t>
      </w:r>
      <w:r>
        <w:rPr>
          <w:b w:val="0"/>
          <w:i w:val="0"/>
        </w:rPr>
        <w:t xml:space="preserve"> </w:t>
      </w:r>
      <w:hyperlink w:anchor="latin-record-0173">
        <w:r>
          <w:rPr>
            <w:color w:val="000000"/>
          </w:rPr>
          <w:t xml:space="preserve">caelum; terra; mundus</w:t>
        </w:r>
      </w:hyperlink>
      <w:r>
        <w:rPr>
          <w:b w:val="0"/>
          <w:i w:val="0"/>
        </w:rPr>
        <w:t>.</w:t>
      </w:r>
    </w:p>
    <w:p>
      <w:pPr>
        <w:widowControl/>
      </w:pPr>
      <w:r>
        <w:rPr>
          <w:b/>
          <w:i w:val="0"/>
        </w:rPr>
        <w:t>caelis.</w:t>
      </w:r>
      <w:r>
        <w:rPr>
          <w:b w:val="0"/>
          <w:i w:val="0"/>
        </w:rPr>
        <w:t xml:space="preserve"> </w:t>
      </w:r>
      <w:hyperlink w:anchor="latin-record-0173">
        <w:r>
          <w:rPr>
            <w:color w:val="000000"/>
          </w:rPr>
          <w:t xml:space="preserve">caelum; terra; mundus</w:t>
        </w:r>
      </w:hyperlink>
      <w:r>
        <w:rPr>
          <w:b w:val="0"/>
          <w:i w:val="0"/>
        </w:rPr>
        <w:t>.</w:t>
      </w:r>
    </w:p>
    <w:p>
      <w:pPr>
        <w:widowControl/>
      </w:pPr>
      <w:r>
        <w:rPr>
          <w:b/>
          <w:i w:val="0"/>
        </w:rPr>
        <w:t>caelo.</w:t>
      </w:r>
      <w:r>
        <w:rPr>
          <w:b w:val="0"/>
          <w:i w:val="0"/>
        </w:rPr>
        <w:t xml:space="preserve"> </w:t>
      </w:r>
      <w:hyperlink w:anchor="latin-record-0173">
        <w:r>
          <w:rPr>
            <w:color w:val="000000"/>
          </w:rPr>
          <w:t xml:space="preserve">caelum; terra; mundus</w:t>
        </w:r>
      </w:hyperlink>
      <w:r>
        <w:rPr>
          <w:b w:val="0"/>
          <w:i w:val="0"/>
        </w:rPr>
        <w:t>.</w:t>
      </w:r>
    </w:p>
    <w:p>
      <w:pPr>
        <w:widowControl/>
      </w:pPr>
      <w:r>
        <w:rPr>
          <w:b/>
          <w:i w:val="0"/>
        </w:rPr>
        <w:t>caelum.</w:t>
      </w:r>
      <w:r>
        <w:rPr>
          <w:b w:val="0"/>
          <w:i w:val="0"/>
        </w:rPr>
        <w:t xml:space="preserve"> </w:t>
      </w:r>
      <w:hyperlink w:anchor="latin-record-0173">
        <w:r>
          <w:rPr>
            <w:color w:val="000000"/>
          </w:rPr>
          <w:t xml:space="preserve">caelum; terra; mundus</w:t>
        </w:r>
      </w:hyperlink>
      <w:r>
        <w:rPr>
          <w:b w:val="0"/>
          <w:i w:val="0"/>
        </w:rPr>
        <w:t>.</w:t>
      </w:r>
    </w:p>
    <w:p>
      <w:pPr>
        <w:widowControl/>
      </w:pPr>
      <w:r>
        <w:rPr>
          <w:b/>
          <w:i w:val="0"/>
        </w:rPr>
        <w:t>calefacere.</w:t>
      </w:r>
      <w:r>
        <w:rPr>
          <w:b w:val="0"/>
          <w:i w:val="0"/>
        </w:rPr>
        <w:t xml:space="preserve"> </w:t>
      </w:r>
      <w:hyperlink w:anchor="latin-record-0174">
        <w:r>
          <w:rPr>
            <w:color w:val="000000"/>
          </w:rPr>
          <w:t xml:space="preserve">calefacere; calefieri</w:t>
        </w:r>
      </w:hyperlink>
      <w:r>
        <w:rPr>
          <w:b w:val="0"/>
          <w:i w:val="0"/>
        </w:rPr>
        <w:t>.</w:t>
      </w:r>
    </w:p>
    <w:p>
      <w:pPr>
        <w:widowControl/>
      </w:pPr>
      <w:r>
        <w:rPr>
          <w:b/>
          <w:i w:val="0"/>
        </w:rPr>
        <w:t>calefacit.</w:t>
      </w:r>
      <w:r>
        <w:rPr>
          <w:b w:val="0"/>
          <w:i w:val="0"/>
        </w:rPr>
        <w:t xml:space="preserve"> </w:t>
      </w:r>
      <w:hyperlink w:anchor="latin-record-0174">
        <w:r>
          <w:rPr>
            <w:color w:val="000000"/>
          </w:rPr>
          <w:t xml:space="preserve">calefacere; calefieri</w:t>
        </w:r>
      </w:hyperlink>
      <w:r>
        <w:rPr>
          <w:b w:val="0"/>
          <w:i w:val="0"/>
        </w:rPr>
        <w:t>.</w:t>
      </w:r>
    </w:p>
    <w:p>
      <w:pPr>
        <w:widowControl/>
      </w:pPr>
      <w:r>
        <w:rPr>
          <w:b/>
          <w:i w:val="0"/>
        </w:rPr>
        <w:t>calefactio.</w:t>
      </w:r>
      <w:r>
        <w:rPr>
          <w:b w:val="0"/>
          <w:i w:val="0"/>
        </w:rPr>
        <w:t xml:space="preserve"> </w:t>
      </w:r>
      <w:hyperlink w:anchor="latin-record-0175">
        <w:r>
          <w:rPr>
            <w:color w:val="000000"/>
          </w:rPr>
          <w:t xml:space="preserve">calefactio</w:t>
        </w:r>
      </w:hyperlink>
      <w:r>
        <w:rPr>
          <w:b w:val="0"/>
          <w:i w:val="0"/>
        </w:rPr>
        <w:t>.</w:t>
      </w:r>
    </w:p>
    <w:p>
      <w:pPr>
        <w:widowControl/>
      </w:pPr>
      <w:r>
        <w:rPr>
          <w:b/>
          <w:i w:val="0"/>
        </w:rPr>
        <w:t>calefit.</w:t>
      </w:r>
      <w:r>
        <w:rPr>
          <w:b w:val="0"/>
          <w:i w:val="0"/>
        </w:rPr>
        <w:t xml:space="preserve"> </w:t>
      </w:r>
      <w:hyperlink w:anchor="latin-record-0174">
        <w:r>
          <w:rPr>
            <w:color w:val="000000"/>
          </w:rPr>
          <w:t xml:space="preserve">calefacere; calefieri</w:t>
        </w:r>
      </w:hyperlink>
      <w:r>
        <w:rPr>
          <w:b w:val="0"/>
          <w:i w:val="0"/>
        </w:rPr>
        <w:t>.</w:t>
      </w:r>
    </w:p>
    <w:p>
      <w:pPr>
        <w:widowControl/>
      </w:pPr>
      <w:r>
        <w:rPr>
          <w:b/>
          <w:i w:val="0"/>
        </w:rPr>
        <w:t>calens.</w:t>
      </w:r>
      <w:r>
        <w:rPr>
          <w:b w:val="0"/>
          <w:i w:val="0"/>
        </w:rPr>
        <w:t xml:space="preserve"> </w:t>
      </w:r>
      <w:hyperlink w:anchor="latin-record-0177">
        <w:r>
          <w:rPr>
            <w:color w:val="000000"/>
          </w:rPr>
          <w:t xml:space="preserve">calere; lucere; collustrare</w:t>
        </w:r>
      </w:hyperlink>
      <w:r>
        <w:rPr>
          <w:b w:val="0"/>
          <w:i w:val="0"/>
        </w:rPr>
        <w:t xml:space="preserve">; </w:t>
      </w:r>
      <w:hyperlink w:anchor="latin-record-0183">
        <w:r>
          <w:rPr>
            <w:color w:val="000000"/>
          </w:rPr>
          <w:t xml:space="preserve">calor; calere</w:t>
        </w:r>
      </w:hyperlink>
      <w:r>
        <w:rPr>
          <w:b w:val="0"/>
          <w:i w:val="0"/>
        </w:rPr>
        <w:t>.</w:t>
      </w:r>
    </w:p>
    <w:p>
      <w:pPr>
        <w:widowControl/>
      </w:pPr>
      <w:r>
        <w:rPr>
          <w:b/>
          <w:i w:val="0"/>
        </w:rPr>
        <w:t>calere.</w:t>
      </w:r>
      <w:r>
        <w:rPr>
          <w:b w:val="0"/>
          <w:i w:val="0"/>
        </w:rPr>
        <w:t xml:space="preserve"> </w:t>
      </w:r>
      <w:hyperlink w:anchor="latin-record-0176">
        <w:r>
          <w:rPr>
            <w:color w:val="000000"/>
          </w:rPr>
          <w:t xml:space="preserve">calere</w:t>
        </w:r>
      </w:hyperlink>
      <w:r>
        <w:rPr>
          <w:b w:val="0"/>
          <w:i w:val="0"/>
        </w:rPr>
        <w:t>.</w:t>
      </w:r>
    </w:p>
    <w:p>
      <w:pPr>
        <w:widowControl/>
      </w:pPr>
      <w:r>
        <w:rPr>
          <w:b/>
          <w:i w:val="0"/>
        </w:rPr>
        <w:t>Calere.</w:t>
      </w:r>
      <w:r>
        <w:rPr>
          <w:b w:val="0"/>
          <w:i w:val="0"/>
        </w:rPr>
        <w:t xml:space="preserve"> </w:t>
      </w:r>
      <w:hyperlink w:anchor="latin-record-0176">
        <w:r>
          <w:rPr>
            <w:color w:val="000000"/>
          </w:rPr>
          <w:t xml:space="preserve">calere</w:t>
        </w:r>
      </w:hyperlink>
      <w:r>
        <w:rPr>
          <w:b w:val="0"/>
          <w:i w:val="0"/>
        </w:rPr>
        <w:t>.</w:t>
      </w:r>
    </w:p>
    <w:p>
      <w:pPr>
        <w:widowControl/>
      </w:pPr>
      <w:r>
        <w:rPr>
          <w:b/>
          <w:i w:val="0"/>
        </w:rPr>
        <w:t>calerent.</w:t>
      </w:r>
      <w:r>
        <w:rPr>
          <w:b w:val="0"/>
          <w:i w:val="0"/>
        </w:rPr>
        <w:t xml:space="preserve"> </w:t>
      </w:r>
      <w:hyperlink w:anchor="latin-record-0176">
        <w:r>
          <w:rPr>
            <w:color w:val="000000"/>
          </w:rPr>
          <w:t xml:space="preserve">calere</w:t>
        </w:r>
      </w:hyperlink>
      <w:r>
        <w:rPr>
          <w:b w:val="0"/>
          <w:i w:val="0"/>
        </w:rPr>
        <w:t>.</w:t>
      </w:r>
    </w:p>
    <w:p>
      <w:pPr>
        <w:widowControl/>
      </w:pPr>
      <w:r>
        <w:rPr>
          <w:b/>
          <w:i w:val="0"/>
        </w:rPr>
        <w:t>calet.</w:t>
      </w:r>
      <w:r>
        <w:rPr>
          <w:b w:val="0"/>
          <w:i w:val="0"/>
        </w:rPr>
        <w:t xml:space="preserve"> </w:t>
      </w:r>
      <w:hyperlink w:anchor="latin-record-0176">
        <w:r>
          <w:rPr>
            <w:color w:val="000000"/>
          </w:rPr>
          <w:t xml:space="preserve">calere</w:t>
        </w:r>
      </w:hyperlink>
      <w:r>
        <w:rPr>
          <w:b w:val="0"/>
          <w:i w:val="0"/>
        </w:rPr>
        <w:t xml:space="preserve">; </w:t>
      </w:r>
      <w:hyperlink w:anchor="latin-record-0183">
        <w:r>
          <w:rPr>
            <w:color w:val="000000"/>
          </w:rPr>
          <w:t xml:space="preserve">calor; calere</w:t>
        </w:r>
      </w:hyperlink>
      <w:r>
        <w:rPr>
          <w:b w:val="0"/>
          <w:i w:val="0"/>
        </w:rPr>
        <w:t>.</w:t>
      </w:r>
    </w:p>
    <w:p>
      <w:pPr>
        <w:widowControl/>
      </w:pPr>
      <w:r>
        <w:rPr>
          <w:b/>
          <w:i w:val="0"/>
        </w:rPr>
        <w:t>Caliditas.</w:t>
      </w:r>
      <w:r>
        <w:rPr>
          <w:b w:val="0"/>
          <w:i w:val="0"/>
        </w:rPr>
        <w:t xml:space="preserve"> </w:t>
      </w:r>
      <w:hyperlink w:anchor="latin-record-0181">
        <w:r>
          <w:rPr>
            <w:color w:val="000000"/>
          </w:rPr>
          <w:t xml:space="preserve">calor / caliditas</w:t>
        </w:r>
      </w:hyperlink>
      <w:r>
        <w:rPr>
          <w:b w:val="0"/>
          <w:i w:val="0"/>
        </w:rPr>
        <w:t>.</w:t>
      </w:r>
    </w:p>
    <w:p>
      <w:pPr>
        <w:widowControl/>
      </w:pPr>
      <w:r>
        <w:rPr>
          <w:b/>
          <w:i w:val="0"/>
        </w:rPr>
        <w:t>caliditate.</w:t>
      </w:r>
      <w:r>
        <w:rPr>
          <w:b w:val="0"/>
          <w:i w:val="0"/>
        </w:rPr>
        <w:t xml:space="preserve"> </w:t>
      </w:r>
      <w:hyperlink w:anchor="latin-record-0181">
        <w:r>
          <w:rPr>
            <w:color w:val="000000"/>
          </w:rPr>
          <w:t xml:space="preserve">calor / caliditas</w:t>
        </w:r>
      </w:hyperlink>
      <w:r>
        <w:rPr>
          <w:b w:val="0"/>
          <w:i w:val="0"/>
        </w:rPr>
        <w:t>.</w:t>
      </w:r>
    </w:p>
    <w:p>
      <w:pPr>
        <w:widowControl/>
      </w:pPr>
      <w:r>
        <w:rPr>
          <w:b/>
          <w:i w:val="0"/>
        </w:rPr>
        <w:t>caliditatem.</w:t>
      </w:r>
      <w:r>
        <w:rPr>
          <w:b w:val="0"/>
          <w:i w:val="0"/>
        </w:rPr>
        <w:t xml:space="preserve"> </w:t>
      </w:r>
      <w:hyperlink w:anchor="latin-record-0116">
        <w:r>
          <w:rPr>
            <w:color w:val="000000"/>
          </w:rPr>
          <w:t xml:space="preserve">aqua / ignis / calor / frigus</w:t>
        </w:r>
      </w:hyperlink>
      <w:r>
        <w:rPr>
          <w:b w:val="0"/>
          <w:i w:val="0"/>
        </w:rPr>
        <w:t xml:space="preserve">; </w:t>
      </w:r>
      <w:hyperlink w:anchor="latin-record-0178">
        <w:r>
          <w:rPr>
            <w:color w:val="000000"/>
          </w:rPr>
          <w:t xml:space="preserve">caliditas / siccitas / frigus</w:t>
        </w:r>
      </w:hyperlink>
      <w:r>
        <w:rPr>
          <w:b w:val="0"/>
          <w:i w:val="0"/>
        </w:rPr>
        <w:t xml:space="preserve">; </w:t>
      </w:r>
      <w:hyperlink w:anchor="latin-record-0181">
        <w:r>
          <w:rPr>
            <w:color w:val="000000"/>
          </w:rPr>
          <w:t xml:space="preserve">calor / caliditas</w:t>
        </w:r>
      </w:hyperlink>
      <w:r>
        <w:rPr>
          <w:b w:val="0"/>
          <w:i w:val="0"/>
        </w:rPr>
        <w:t>.</w:t>
      </w:r>
    </w:p>
    <w:p>
      <w:pPr>
        <w:widowControl/>
      </w:pPr>
      <w:r>
        <w:rPr>
          <w:b/>
          <w:i w:val="0"/>
        </w:rPr>
        <w:t>caliditati.</w:t>
      </w:r>
      <w:r>
        <w:rPr>
          <w:b w:val="0"/>
          <w:i w:val="0"/>
        </w:rPr>
        <w:t xml:space="preserve"> </w:t>
      </w:r>
      <w:hyperlink w:anchor="latin-record-0181">
        <w:r>
          <w:rPr>
            <w:color w:val="000000"/>
          </w:rPr>
          <w:t xml:space="preserve">calor / caliditas</w:t>
        </w:r>
      </w:hyperlink>
      <w:r>
        <w:rPr>
          <w:b w:val="0"/>
          <w:i w:val="0"/>
        </w:rPr>
        <w:t>.</w:t>
      </w:r>
    </w:p>
    <w:p>
      <w:pPr>
        <w:widowControl/>
      </w:pPr>
      <w:r>
        <w:rPr>
          <w:b/>
          <w:i w:val="0"/>
        </w:rPr>
        <w:t>calidum.</w:t>
      </w:r>
      <w:r>
        <w:rPr>
          <w:b w:val="0"/>
          <w:i w:val="0"/>
        </w:rPr>
        <w:t xml:space="preserve"> </w:t>
      </w:r>
      <w:hyperlink w:anchor="latin-record-0116">
        <w:r>
          <w:rPr>
            <w:color w:val="000000"/>
          </w:rPr>
          <w:t xml:space="preserve">aqua / ignis / calor / frigus</w:t>
        </w:r>
      </w:hyperlink>
      <w:r>
        <w:rPr>
          <w:b w:val="0"/>
          <w:i w:val="0"/>
        </w:rPr>
        <w:t>.</w:t>
      </w:r>
    </w:p>
    <w:p>
      <w:pPr>
        <w:widowControl/>
      </w:pPr>
      <w:r>
        <w:rPr>
          <w:b/>
          <w:i w:val="0"/>
        </w:rPr>
        <w:t>calidum vel frigidum.</w:t>
      </w:r>
      <w:r>
        <w:rPr>
          <w:b w:val="0"/>
          <w:i w:val="0"/>
        </w:rPr>
        <w:t xml:space="preserve"> </w:t>
      </w:r>
      <w:hyperlink w:anchor="latin-record-0179">
        <w:r>
          <w:rPr>
            <w:color w:val="000000"/>
          </w:rPr>
          <w:t xml:space="preserve">calidus; frigidus; siccus; humidus</w:t>
        </w:r>
      </w:hyperlink>
      <w:r>
        <w:rPr>
          <w:b w:val="0"/>
          <w:i w:val="0"/>
        </w:rPr>
        <w:t>.</w:t>
      </w:r>
    </w:p>
    <w:p>
      <w:pPr>
        <w:widowControl/>
      </w:pPr>
      <w:r>
        <w:rPr>
          <w:b/>
          <w:i w:val="0"/>
        </w:rPr>
        <w:t>caligabit.</w:t>
      </w:r>
      <w:r>
        <w:rPr>
          <w:b w:val="0"/>
          <w:i w:val="0"/>
        </w:rPr>
        <w:t xml:space="preserve"> </w:t>
      </w:r>
      <w:hyperlink w:anchor="latin-record-0180">
        <w:r>
          <w:rPr>
            <w:color w:val="000000"/>
          </w:rPr>
          <w:t xml:space="preserve">caligare; dolere</w:t>
        </w:r>
      </w:hyperlink>
      <w:r>
        <w:rPr>
          <w:b w:val="0"/>
          <w:i w:val="0"/>
        </w:rPr>
        <w:t>.</w:t>
      </w:r>
    </w:p>
    <w:p>
      <w:pPr>
        <w:widowControl/>
      </w:pPr>
      <w:r>
        <w:rPr>
          <w:b/>
          <w:i w:val="0"/>
        </w:rPr>
        <w:t>caligamus.</w:t>
      </w:r>
      <w:r>
        <w:rPr>
          <w:b w:val="0"/>
          <w:i w:val="0"/>
        </w:rPr>
        <w:t xml:space="preserve"> </w:t>
      </w:r>
      <w:hyperlink w:anchor="latin-record-0180">
        <w:r>
          <w:rPr>
            <w:color w:val="000000"/>
          </w:rPr>
          <w:t xml:space="preserve">caligare; dolere</w:t>
        </w:r>
      </w:hyperlink>
      <w:r>
        <w:rPr>
          <w:b w:val="0"/>
          <w:i w:val="0"/>
        </w:rPr>
        <w:t>.</w:t>
      </w:r>
    </w:p>
    <w:p>
      <w:pPr>
        <w:widowControl/>
      </w:pPr>
      <w:r>
        <w:rPr>
          <w:b/>
          <w:i w:val="0"/>
        </w:rPr>
        <w:t>caligine.</w:t>
      </w:r>
      <w:r>
        <w:rPr>
          <w:b w:val="0"/>
          <w:i w:val="0"/>
        </w:rPr>
        <w:t xml:space="preserve"> </w:t>
      </w:r>
      <w:hyperlink w:anchor="latin-record-0019">
        <w:r>
          <w:rPr>
            <w:color w:val="000000"/>
          </w:rPr>
          <w:t xml:space="preserve">acies mentis / caligo</w:t>
        </w:r>
      </w:hyperlink>
      <w:r>
        <w:rPr>
          <w:b w:val="0"/>
          <w:i w:val="0"/>
        </w:rPr>
        <w:t>.</w:t>
      </w:r>
    </w:p>
    <w:p>
      <w:pPr>
        <w:widowControl/>
      </w:pPr>
      <w:r>
        <w:rPr>
          <w:b/>
          <w:i w:val="0"/>
        </w:rPr>
        <w:t>caliginosum.</w:t>
      </w:r>
      <w:r>
        <w:rPr>
          <w:b w:val="0"/>
          <w:i w:val="0"/>
        </w:rPr>
        <w:t xml:space="preserve"> </w:t>
      </w:r>
      <w:hyperlink w:anchor="latin-record-0734">
        <w:r>
          <w:rPr>
            <w:color w:val="000000"/>
          </w:rPr>
          <w:t xml:space="preserve">luminosus / aereus / caliginosus</w:t>
        </w:r>
      </w:hyperlink>
      <w:r>
        <w:rPr>
          <w:b w:val="0"/>
          <w:i w:val="0"/>
        </w:rPr>
        <w:t>.</w:t>
      </w:r>
    </w:p>
    <w:p>
      <w:pPr>
        <w:widowControl/>
      </w:pPr>
      <w:r>
        <w:rPr>
          <w:b/>
          <w:i w:val="0"/>
        </w:rPr>
        <w:t>calor.</w:t>
      </w:r>
      <w:r>
        <w:rPr>
          <w:b w:val="0"/>
          <w:i w:val="0"/>
        </w:rPr>
        <w:t xml:space="preserve"> </w:t>
      </w:r>
      <w:hyperlink w:anchor="latin-record-0181">
        <w:r>
          <w:rPr>
            <w:color w:val="000000"/>
          </w:rPr>
          <w:t xml:space="preserve">calor / caliditas</w:t>
        </w:r>
      </w:hyperlink>
      <w:r>
        <w:rPr>
          <w:b w:val="0"/>
          <w:i w:val="0"/>
        </w:rPr>
        <w:t xml:space="preserve">; </w:t>
      </w:r>
      <w:hyperlink w:anchor="latin-record-0182">
        <w:r>
          <w:rPr>
            <w:color w:val="000000"/>
          </w:rPr>
          <w:t xml:space="preserve">calor / penetrare / dissolvere</w:t>
        </w:r>
      </w:hyperlink>
      <w:r>
        <w:rPr>
          <w:b w:val="0"/>
          <w:i w:val="0"/>
        </w:rPr>
        <w:t xml:space="preserve">; </w:t>
      </w:r>
      <w:hyperlink w:anchor="latin-record-0183">
        <w:r>
          <w:rPr>
            <w:color w:val="000000"/>
          </w:rPr>
          <w:t xml:space="preserve">calor; calere</w:t>
        </w:r>
      </w:hyperlink>
      <w:r>
        <w:rPr>
          <w:b w:val="0"/>
          <w:i w:val="0"/>
        </w:rPr>
        <w:t>.</w:t>
      </w:r>
    </w:p>
    <w:p>
      <w:pPr>
        <w:widowControl/>
      </w:pPr>
      <w:r>
        <w:rPr>
          <w:b/>
          <w:i w:val="0"/>
        </w:rPr>
        <w:t>calore.</w:t>
      </w:r>
      <w:r>
        <w:rPr>
          <w:b w:val="0"/>
          <w:i w:val="0"/>
        </w:rPr>
        <w:t xml:space="preserve"> </w:t>
      </w:r>
      <w:hyperlink w:anchor="latin-record-0333">
        <w:r>
          <w:rPr>
            <w:color w:val="000000"/>
          </w:rPr>
          <w:t xml:space="preserve">cor / sanguis / calor</w:t>
        </w:r>
      </w:hyperlink>
      <w:r>
        <w:rPr>
          <w:b w:val="0"/>
          <w:i w:val="0"/>
        </w:rPr>
        <w:t>.</w:t>
      </w:r>
    </w:p>
    <w:p>
      <w:pPr>
        <w:widowControl/>
      </w:pPr>
      <w:r>
        <w:rPr>
          <w:b/>
          <w:i w:val="0"/>
        </w:rPr>
        <w:t>calorem.</w:t>
      </w:r>
      <w:r>
        <w:rPr>
          <w:b w:val="0"/>
          <w:i w:val="0"/>
        </w:rPr>
        <w:t xml:space="preserve"> </w:t>
      </w:r>
      <w:hyperlink w:anchor="latin-record-0116">
        <w:r>
          <w:rPr>
            <w:color w:val="000000"/>
          </w:rPr>
          <w:t xml:space="preserve">aqua / ignis / calor / frigus</w:t>
        </w:r>
      </w:hyperlink>
      <w:r>
        <w:rPr>
          <w:b w:val="0"/>
          <w:i w:val="0"/>
        </w:rPr>
        <w:t xml:space="preserve">; </w:t>
      </w:r>
      <w:hyperlink w:anchor="latin-record-0181">
        <w:r>
          <w:rPr>
            <w:color w:val="000000"/>
          </w:rPr>
          <w:t xml:space="preserve">calor / caliditas</w:t>
        </w:r>
      </w:hyperlink>
      <w:r>
        <w:rPr>
          <w:b w:val="0"/>
          <w:i w:val="0"/>
        </w:rPr>
        <w:t xml:space="preserve">; </w:t>
      </w:r>
      <w:hyperlink w:anchor="latin-record-0182">
        <w:r>
          <w:rPr>
            <w:color w:val="000000"/>
          </w:rPr>
          <w:t xml:space="preserve">calor / penetrare / dissolvere</w:t>
        </w:r>
      </w:hyperlink>
      <w:r>
        <w:rPr>
          <w:b w:val="0"/>
          <w:i w:val="0"/>
        </w:rPr>
        <w:t xml:space="preserve">; </w:t>
      </w:r>
      <w:hyperlink w:anchor="latin-record-0183">
        <w:r>
          <w:rPr>
            <w:color w:val="000000"/>
          </w:rPr>
          <w:t xml:space="preserve">calor; calere</w:t>
        </w:r>
      </w:hyperlink>
      <w:r>
        <w:rPr>
          <w:b w:val="0"/>
          <w:i w:val="0"/>
        </w:rPr>
        <w:t>.</w:t>
      </w:r>
    </w:p>
    <w:p>
      <w:pPr>
        <w:widowControl/>
      </w:pPr>
      <w:r>
        <w:rPr>
          <w:b/>
          <w:i w:val="0"/>
        </w:rPr>
        <w:t>caloris.</w:t>
      </w:r>
      <w:r>
        <w:rPr>
          <w:b w:val="0"/>
          <w:i w:val="0"/>
        </w:rPr>
        <w:t xml:space="preserve"> </w:t>
      </w:r>
      <w:hyperlink w:anchor="latin-record-0181">
        <w:r>
          <w:rPr>
            <w:color w:val="000000"/>
          </w:rPr>
          <w:t xml:space="preserve">calor / caliditas</w:t>
        </w:r>
      </w:hyperlink>
      <w:r>
        <w:rPr>
          <w:b w:val="0"/>
          <w:i w:val="0"/>
        </w:rPr>
        <w:t xml:space="preserve">; </w:t>
      </w:r>
      <w:hyperlink w:anchor="latin-record-0182">
        <w:r>
          <w:rPr>
            <w:color w:val="000000"/>
          </w:rPr>
          <w:t xml:space="preserve">calor / penetrare / dissolvere</w:t>
        </w:r>
      </w:hyperlink>
      <w:r>
        <w:rPr>
          <w:b w:val="0"/>
          <w:i w:val="0"/>
        </w:rPr>
        <w:t xml:space="preserve">; </w:t>
      </w:r>
      <w:hyperlink w:anchor="latin-record-0183">
        <w:r>
          <w:rPr>
            <w:color w:val="000000"/>
          </w:rPr>
          <w:t xml:space="preserve">calor; calere</w:t>
        </w:r>
      </w:hyperlink>
      <w:r>
        <w:rPr>
          <w:b w:val="0"/>
          <w:i w:val="0"/>
        </w:rPr>
        <w:t>.</w:t>
      </w:r>
    </w:p>
    <w:p>
      <w:pPr>
        <w:widowControl/>
      </w:pPr>
      <w:r>
        <w:rPr>
          <w:b/>
          <w:i w:val="0"/>
        </w:rPr>
        <w:t>Caloris.</w:t>
      </w:r>
      <w:r>
        <w:rPr>
          <w:b w:val="0"/>
          <w:i w:val="0"/>
        </w:rPr>
        <w:t xml:space="preserve"> </w:t>
      </w:r>
      <w:hyperlink w:anchor="latin-record-0182">
        <w:r>
          <w:rPr>
            <w:color w:val="000000"/>
          </w:rPr>
          <w:t xml:space="preserve">calor / penetrare / dissolvere</w:t>
        </w:r>
      </w:hyperlink>
      <w:r>
        <w:rPr>
          <w:b w:val="0"/>
          <w:i w:val="0"/>
        </w:rPr>
        <w:t>.</w:t>
      </w:r>
    </w:p>
    <w:p>
      <w:pPr>
        <w:widowControl/>
      </w:pPr>
      <w:r>
        <w:rPr>
          <w:b/>
          <w:i w:val="0"/>
        </w:rPr>
        <w:t>canis.</w:t>
      </w:r>
      <w:r>
        <w:rPr>
          <w:b w:val="0"/>
          <w:i w:val="0"/>
        </w:rPr>
        <w:t xml:space="preserve"> </w:t>
      </w:r>
      <w:hyperlink w:anchor="latin-record-0184">
        <w:r>
          <w:rPr>
            <w:color w:val="000000"/>
          </w:rPr>
          <w:t xml:space="preserve">canis / agnus / sagacitas</w:t>
        </w:r>
      </w:hyperlink>
      <w:r>
        <w:rPr>
          <w:b w:val="0"/>
          <w:i w:val="0"/>
        </w:rPr>
        <w:t xml:space="preserve">; </w:t>
      </w:r>
      <w:hyperlink w:anchor="latin-record-0185">
        <w:r>
          <w:rPr>
            <w:color w:val="000000"/>
          </w:rPr>
          <w:t xml:space="preserve">canis / equus / homo</w:t>
        </w:r>
      </w:hyperlink>
      <w:r>
        <w:rPr>
          <w:b w:val="0"/>
          <w:i w:val="0"/>
        </w:rPr>
        <w:t xml:space="preserve">; </w:t>
      </w:r>
      <w:hyperlink w:anchor="latin-record-0186">
        <w:r>
          <w:rPr>
            <w:color w:val="000000"/>
          </w:rPr>
          <w:t xml:space="preserve">canis / formica / equus / elephas / sol</w:t>
        </w:r>
      </w:hyperlink>
      <w:r>
        <w:rPr>
          <w:b w:val="0"/>
          <w:i w:val="0"/>
        </w:rPr>
        <w:t>.</w:t>
      </w:r>
    </w:p>
    <w:p>
      <w:pPr>
        <w:widowControl/>
      </w:pPr>
      <w:r>
        <w:rPr>
          <w:b/>
          <w:i w:val="0"/>
        </w:rPr>
        <w:t>capacitate.</w:t>
      </w:r>
      <w:r>
        <w:rPr>
          <w:b w:val="0"/>
          <w:i w:val="0"/>
        </w:rPr>
        <w:t xml:space="preserve"> </w:t>
      </w:r>
      <w:hyperlink w:anchor="latin-record-0188">
        <w:r>
          <w:rPr>
            <w:color w:val="000000"/>
          </w:rPr>
          <w:t xml:space="preserve">capacitas; fomentum</w:t>
        </w:r>
      </w:hyperlink>
      <w:r>
        <w:rPr>
          <w:b w:val="0"/>
          <w:i w:val="0"/>
        </w:rPr>
        <w:t>.</w:t>
      </w:r>
    </w:p>
    <w:p>
      <w:pPr>
        <w:widowControl/>
      </w:pPr>
      <w:r>
        <w:rPr>
          <w:b/>
          <w:i w:val="0"/>
        </w:rPr>
        <w:t>capacitatem.</w:t>
      </w:r>
      <w:r>
        <w:rPr>
          <w:b w:val="0"/>
          <w:i w:val="0"/>
        </w:rPr>
        <w:t xml:space="preserve"> </w:t>
      </w:r>
      <w:hyperlink w:anchor="latin-record-0187">
        <w:r>
          <w:rPr>
            <w:color w:val="000000"/>
          </w:rPr>
          <w:t xml:space="preserve">capacitas / implere</w:t>
        </w:r>
      </w:hyperlink>
      <w:r>
        <w:rPr>
          <w:b w:val="0"/>
          <w:i w:val="0"/>
        </w:rPr>
        <w:t xml:space="preserve">; </w:t>
      </w:r>
      <w:hyperlink w:anchor="latin-record-0477">
        <w:r>
          <w:rPr>
            <w:color w:val="000000"/>
          </w:rPr>
          <w:t xml:space="preserve">facultas; capacitas</w:t>
        </w:r>
      </w:hyperlink>
      <w:r>
        <w:rPr>
          <w:b w:val="0"/>
          <w:i w:val="0"/>
        </w:rPr>
        <w:t>.</w:t>
      </w:r>
    </w:p>
    <w:p>
      <w:pPr>
        <w:widowControl/>
      </w:pPr>
      <w:r>
        <w:rPr>
          <w:b/>
          <w:i w:val="0"/>
        </w:rPr>
        <w:t>capere.</w:t>
      </w:r>
      <w:r>
        <w:rPr>
          <w:b w:val="0"/>
          <w:i w:val="0"/>
        </w:rPr>
        <w:t xml:space="preserve"> </w:t>
      </w:r>
      <w:hyperlink w:anchor="latin-record-0189">
        <w:r>
          <w:rPr>
            <w:color w:val="000000"/>
          </w:rPr>
          <w:t xml:space="preserve">capere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caperet.</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capiat.</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capiendo.</w:t>
      </w:r>
      <w:r>
        <w:rPr>
          <w:b w:val="0"/>
          <w:i w:val="0"/>
        </w:rPr>
        <w:t xml:space="preserve"> </w:t>
      </w:r>
      <w:hyperlink w:anchor="latin-record-0083">
        <w:r>
          <w:rPr>
            <w:color w:val="000000"/>
          </w:rPr>
          <w:t xml:space="preserve">amplexus / complecti / capere</w:t>
        </w:r>
      </w:hyperlink>
      <w:r>
        <w:rPr>
          <w:b w:val="0"/>
          <w:i w:val="0"/>
        </w:rPr>
        <w:t>.</w:t>
      </w:r>
    </w:p>
    <w:p>
      <w:pPr>
        <w:widowControl/>
      </w:pPr>
      <w:r>
        <w:rPr>
          <w:b/>
          <w:i w:val="0"/>
        </w:rPr>
        <w:t>capit.</w:t>
      </w:r>
      <w:r>
        <w:rPr>
          <w:b w:val="0"/>
          <w:i w:val="0"/>
        </w:rPr>
        <w:t xml:space="preserve"> </w:t>
      </w:r>
      <w:hyperlink w:anchor="latin-record-0189">
        <w:r>
          <w:rPr>
            <w:color w:val="000000"/>
          </w:rPr>
          <w:t xml:space="preserve">capere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capitur.</w:t>
      </w:r>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capiunt.</w:t>
      </w:r>
      <w:r>
        <w:rPr>
          <w:b w:val="0"/>
          <w:i w:val="0"/>
        </w:rPr>
        <w:t xml:space="preserve"> </w:t>
      </w:r>
      <w:hyperlink w:anchor="latin-record-0083">
        <w:r>
          <w:rPr>
            <w:color w:val="000000"/>
          </w:rPr>
          <w:t xml:space="preserve">amplexus / complecti / capere</w:t>
        </w:r>
      </w:hyperlink>
      <w:r>
        <w:rPr>
          <w:b w:val="0"/>
          <w:i w:val="0"/>
        </w:rPr>
        <w:t xml:space="preserve">; </w:t>
      </w:r>
      <w:hyperlink w:anchor="latin-record-0190">
        <w:r>
          <w:rPr>
            <w:color w:val="000000"/>
          </w:rPr>
          <w:t xml:space="preserve">capere / comprehendere</w:t>
        </w:r>
      </w:hyperlink>
      <w:r>
        <w:rPr>
          <w:b w:val="0"/>
          <w:i w:val="0"/>
        </w:rPr>
        <w:t>.</w:t>
      </w:r>
    </w:p>
    <w:p>
      <w:pPr>
        <w:widowControl/>
      </w:pPr>
      <w:r>
        <w:rPr>
          <w:b/>
          <w:i w:val="0"/>
        </w:rPr>
        <w:t>capiuntur.</w:t>
      </w:r>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captu.</w:t>
      </w:r>
      <w:r>
        <w:rPr>
          <w:b w:val="0"/>
          <w:i w:val="0"/>
        </w:rPr>
        <w:t xml:space="preserve"> </w:t>
      </w:r>
      <w:hyperlink w:anchor="latin-record-0191">
        <w:r>
          <w:rPr>
            <w:color w:val="000000"/>
          </w:rPr>
          <w:t xml:space="preserve">captus</w:t>
        </w:r>
      </w:hyperlink>
      <w:r>
        <w:rPr>
          <w:b w:val="0"/>
          <w:i w:val="0"/>
        </w:rPr>
        <w:t>.</w:t>
      </w:r>
    </w:p>
    <w:p>
      <w:pPr>
        <w:widowControl/>
      </w:pPr>
      <w:r>
        <w:rPr>
          <w:b/>
          <w:i w:val="0"/>
        </w:rPr>
        <w:t>caput.</w:t>
      </w:r>
      <w:r>
        <w:rPr>
          <w:b w:val="0"/>
          <w:i w:val="0"/>
        </w:rPr>
        <w:t xml:space="preserve"> </w:t>
      </w:r>
      <w:hyperlink w:anchor="latin-record-0192">
        <w:r>
          <w:rPr>
            <w:color w:val="000000"/>
          </w:rPr>
          <w:t xml:space="preserve">caput / finis / terminus lineae</w:t>
        </w:r>
      </w:hyperlink>
      <w:r>
        <w:rPr>
          <w:b w:val="0"/>
          <w:i w:val="0"/>
        </w:rPr>
        <w:t xml:space="preserve">; </w:t>
      </w:r>
      <w:hyperlink w:anchor="latin-record-0193">
        <w:r>
          <w:rPr>
            <w:color w:val="000000"/>
          </w:rPr>
          <w:t xml:space="preserve">caput / membrum</w:t>
        </w:r>
      </w:hyperlink>
      <w:r>
        <w:rPr>
          <w:b w:val="0"/>
          <w:i w:val="0"/>
        </w:rPr>
        <w:t xml:space="preserve">; </w:t>
      </w:r>
      <w:hyperlink w:anchor="latin-record-0194">
        <w:r>
          <w:rPr>
            <w:color w:val="000000"/>
          </w:rPr>
          <w:t xml:space="preserve">caput / pectus / femur</w:t>
        </w:r>
      </w:hyperlink>
      <w:r>
        <w:rPr>
          <w:b w:val="0"/>
          <w:i w:val="0"/>
        </w:rPr>
        <w:t>.</w:t>
      </w:r>
    </w:p>
    <w:p>
      <w:pPr>
        <w:widowControl/>
      </w:pPr>
      <w:r>
        <w:rPr>
          <w:b/>
          <w:i w:val="0"/>
        </w:rPr>
        <w:t>carcere caeco.</w:t>
      </w:r>
      <w:r>
        <w:rPr>
          <w:b w:val="0"/>
          <w:i w:val="0"/>
        </w:rPr>
        <w:t xml:space="preserve"> </w:t>
      </w:r>
      <w:hyperlink w:anchor="latin-record-0799">
        <w:r>
          <w:rPr>
            <w:color w:val="000000"/>
          </w:rPr>
          <w:t xml:space="preserve">moribundus; carcer</w:t>
        </w:r>
      </w:hyperlink>
      <w:r>
        <w:rPr>
          <w:b w:val="0"/>
          <w:i w:val="0"/>
        </w:rPr>
        <w:t>.</w:t>
      </w:r>
    </w:p>
    <w:p>
      <w:pPr>
        <w:widowControl/>
      </w:pPr>
      <w:r>
        <w:rPr>
          <w:b/>
          <w:i w:val="0"/>
        </w:rPr>
        <w:t>cardine.</w:t>
      </w:r>
      <w:r>
        <w:rPr>
          <w:b w:val="0"/>
          <w:i w:val="0"/>
        </w:rPr>
        <w:t xml:space="preserve"> </w:t>
      </w:r>
      <w:hyperlink w:anchor="latin-record-0217">
        <w:r>
          <w:rPr>
            <w:color w:val="000000"/>
          </w:rPr>
          <w:t xml:space="preserve">circumferentia; cardo</w:t>
        </w:r>
      </w:hyperlink>
      <w:r>
        <w:rPr>
          <w:b w:val="0"/>
          <w:i w:val="0"/>
        </w:rPr>
        <w:t>.</w:t>
      </w:r>
    </w:p>
    <w:p>
      <w:pPr>
        <w:widowControl/>
      </w:pPr>
      <w:r>
        <w:rPr>
          <w:b/>
          <w:i w:val="0"/>
        </w:rPr>
        <w:t>careat.</w:t>
      </w:r>
      <w:r>
        <w:rPr>
          <w:b w:val="0"/>
          <w:i w:val="0"/>
        </w:rPr>
        <w:t xml:space="preserve"> </w:t>
      </w:r>
      <w:hyperlink w:anchor="latin-record-0196">
        <w:r>
          <w:rPr>
            <w:color w:val="000000"/>
          </w:rPr>
          <w:t xml:space="preserve">carere / privari</w:t>
        </w:r>
      </w:hyperlink>
      <w:r>
        <w:rPr>
          <w:b w:val="0"/>
          <w:i w:val="0"/>
        </w:rPr>
        <w:t>.</w:t>
      </w:r>
    </w:p>
    <w:p>
      <w:pPr>
        <w:widowControl/>
      </w:pPr>
      <w:r>
        <w:rPr>
          <w:b/>
          <w:i w:val="0"/>
        </w:rPr>
        <w:t>carent.</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carere.</w:t>
      </w:r>
      <w:r>
        <w:rPr>
          <w:b w:val="0"/>
          <w:i w:val="0"/>
        </w:rPr>
        <w:t xml:space="preserve"> </w:t>
      </w:r>
      <w:hyperlink w:anchor="latin-record-0195">
        <w:r>
          <w:rPr>
            <w:color w:val="000000"/>
          </w:rPr>
          <w:t xml:space="preserve">carere / deficere / abesse</w:t>
        </w:r>
      </w:hyperlink>
      <w:r>
        <w:rPr>
          <w:b w:val="0"/>
          <w:i w:val="0"/>
        </w:rPr>
        <w:t xml:space="preserve">; </w:t>
      </w:r>
      <w:hyperlink w:anchor="latin-record-0196">
        <w:r>
          <w:rPr>
            <w:color w:val="000000"/>
          </w:rPr>
          <w:t xml:space="preserve">carere / privari</w:t>
        </w:r>
      </w:hyperlink>
      <w:r>
        <w:rPr>
          <w:b w:val="0"/>
          <w:i w:val="0"/>
        </w:rPr>
        <w:t>.</w:t>
      </w:r>
    </w:p>
    <w:p>
      <w:pPr>
        <w:widowControl/>
      </w:pPr>
      <w:r>
        <w:rPr>
          <w:b/>
          <w:i w:val="0"/>
        </w:rPr>
        <w:t>Caret.</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caret.</w:t>
      </w:r>
      <w:r>
        <w:rPr>
          <w:b w:val="0"/>
          <w:i w:val="0"/>
        </w:rPr>
        <w:t xml:space="preserve"> </w:t>
      </w:r>
      <w:hyperlink w:anchor="latin-record-0195">
        <w:r>
          <w:rPr>
            <w:color w:val="000000"/>
          </w:rPr>
          <w:t xml:space="preserve">carere / deficere / abesse</w:t>
        </w:r>
      </w:hyperlink>
      <w:r>
        <w:rPr>
          <w:b w:val="0"/>
          <w:i w:val="0"/>
        </w:rPr>
        <w:t xml:space="preserve">; </w:t>
      </w:r>
      <w:hyperlink w:anchor="latin-record-0196">
        <w:r>
          <w:rPr>
            <w:color w:val="000000"/>
          </w:rPr>
          <w:t xml:space="preserve">carere / privari</w:t>
        </w:r>
      </w:hyperlink>
      <w:r>
        <w:rPr>
          <w:b w:val="0"/>
          <w:i w:val="0"/>
        </w:rPr>
        <w:t>.</w:t>
      </w:r>
    </w:p>
    <w:p>
      <w:pPr>
        <w:widowControl/>
      </w:pPr>
      <w:r>
        <w:rPr>
          <w:b/>
          <w:i w:val="0"/>
        </w:rPr>
        <w:t>carne.</w:t>
      </w:r>
      <w:r>
        <w:rPr>
          <w:b w:val="0"/>
          <w:i w:val="0"/>
        </w:rPr>
        <w:t xml:space="preserve"> </w:t>
      </w:r>
      <w:hyperlink w:anchor="latin-record-0769">
        <w:r>
          <w:rPr>
            <w:color w:val="000000"/>
          </w:rPr>
          <w:t xml:space="preserve">medicus / cutis / caro</w:t>
        </w:r>
      </w:hyperlink>
      <w:r>
        <w:rPr>
          <w:b w:val="0"/>
          <w:i w:val="0"/>
        </w:rPr>
        <w:t>.</w:t>
      </w:r>
    </w:p>
    <w:p>
      <w:pPr>
        <w:widowControl/>
      </w:pPr>
      <w:r>
        <w:rPr>
          <w:b/>
          <w:i w:val="0"/>
        </w:rPr>
        <w:t>carnes.</w:t>
      </w:r>
      <w:r>
        <w:rPr>
          <w:b w:val="0"/>
          <w:i w:val="0"/>
        </w:rPr>
        <w:t xml:space="preserve"> </w:t>
      </w:r>
      <w:hyperlink w:anchor="latin-record-0004">
        <w:r>
          <w:rPr>
            <w:color w:val="000000"/>
          </w:rPr>
          <w:t xml:space="preserve">abluere; abstergere; caro</w:t>
        </w:r>
      </w:hyperlink>
      <w:r>
        <w:rPr>
          <w:b w:val="0"/>
          <w:i w:val="0"/>
        </w:rPr>
        <w:t xml:space="preserve">; </w:t>
      </w:r>
      <w:hyperlink w:anchor="latin-record-0886">
        <w:r>
          <w:rPr>
            <w:color w:val="000000"/>
          </w:rPr>
          <w:t xml:space="preserve">ossa / caro / nervi</w:t>
        </w:r>
      </w:hyperlink>
      <w:r>
        <w:rPr>
          <w:b w:val="0"/>
          <w:i w:val="0"/>
        </w:rPr>
        <w:t>.</w:t>
      </w:r>
    </w:p>
    <w:p>
      <w:pPr>
        <w:widowControl/>
      </w:pPr>
      <w:r>
        <w:rPr>
          <w:b/>
          <w:i w:val="0"/>
        </w:rPr>
        <w:t>Carneum.</w:t>
      </w:r>
      <w:r>
        <w:rPr>
          <w:b w:val="0"/>
          <w:i w:val="0"/>
        </w:rPr>
        <w:t xml:space="preserve"> </w:t>
      </w:r>
      <w:hyperlink w:anchor="latin-record-0004">
        <w:r>
          <w:rPr>
            <w:color w:val="000000"/>
          </w:rPr>
          <w:t xml:space="preserve">abluere; abstergere; caro</w:t>
        </w:r>
      </w:hyperlink>
      <w:r>
        <w:rPr>
          <w:b w:val="0"/>
          <w:i w:val="0"/>
        </w:rPr>
        <w:t>.</w:t>
      </w:r>
    </w:p>
    <w:p>
      <w:pPr>
        <w:widowControl/>
      </w:pPr>
      <w:r>
        <w:rPr>
          <w:b/>
          <w:i w:val="0"/>
        </w:rPr>
        <w:t>carnis.</w:t>
      </w:r>
      <w:r>
        <w:rPr>
          <w:b w:val="0"/>
          <w:i w:val="0"/>
        </w:rPr>
        <w:t xml:space="preserve"> </w:t>
      </w:r>
      <w:hyperlink w:anchor="latin-record-0214">
        <w:r>
          <w:rPr>
            <w:color w:val="000000"/>
          </w:rPr>
          <w:t xml:space="preserve">cibus / nutrimentum / viva caro</w:t>
        </w:r>
      </w:hyperlink>
      <w:r>
        <w:rPr>
          <w:b w:val="0"/>
          <w:i w:val="0"/>
        </w:rPr>
        <w:t xml:space="preserve">; </w:t>
      </w:r>
      <w:hyperlink w:anchor="latin-record-0889">
        <w:r>
          <w:rPr>
            <w:color w:val="000000"/>
          </w:rPr>
          <w:t xml:space="preserve">panis / caro</w:t>
        </w:r>
      </w:hyperlink>
      <w:r>
        <w:rPr>
          <w:b w:val="0"/>
          <w:i w:val="0"/>
        </w:rPr>
        <w:t>.</w:t>
      </w:r>
    </w:p>
    <w:p>
      <w:pPr>
        <w:widowControl/>
      </w:pPr>
      <w:r>
        <w:rPr>
          <w:b/>
          <w:i w:val="0"/>
        </w:rPr>
        <w:t>caro.</w:t>
      </w:r>
      <w:r>
        <w:rPr>
          <w:b w:val="0"/>
          <w:i w:val="0"/>
        </w:rPr>
        <w:t xml:space="preserve"> </w:t>
      </w:r>
      <w:hyperlink w:anchor="latin-record-0769">
        <w:r>
          <w:rPr>
            <w:color w:val="000000"/>
          </w:rPr>
          <w:t xml:space="preserve">medicus / cutis / caro</w:t>
        </w:r>
      </w:hyperlink>
      <w:r>
        <w:rPr>
          <w:b w:val="0"/>
          <w:i w:val="0"/>
        </w:rPr>
        <w:t xml:space="preserve">; </w:t>
      </w:r>
      <w:hyperlink w:anchor="latin-record-0885">
        <w:r>
          <w:rPr>
            <w:color w:val="000000"/>
          </w:rPr>
          <w:t xml:space="preserve">os / nervus / caro</w:t>
        </w:r>
      </w:hyperlink>
      <w:r>
        <w:rPr>
          <w:b w:val="0"/>
          <w:i w:val="0"/>
        </w:rPr>
        <w:t xml:space="preserve">; </w:t>
      </w:r>
      <w:hyperlink w:anchor="latin-record-0887">
        <w:r>
          <w:rPr>
            <w:color w:val="000000"/>
          </w:rPr>
          <w:t xml:space="preserve">ossa; nervi; caro</w:t>
        </w:r>
      </w:hyperlink>
      <w:r>
        <w:rPr>
          <w:b w:val="0"/>
          <w:i w:val="0"/>
        </w:rPr>
        <w:t xml:space="preserve">; </w:t>
      </w:r>
      <w:hyperlink w:anchor="latin-record-0889">
        <w:r>
          <w:rPr>
            <w:color w:val="000000"/>
          </w:rPr>
          <w:t xml:space="preserve">panis / caro</w:t>
        </w:r>
      </w:hyperlink>
      <w:r>
        <w:rPr>
          <w:b w:val="0"/>
          <w:i w:val="0"/>
        </w:rPr>
        <w:t>.</w:t>
      </w:r>
    </w:p>
    <w:p>
      <w:pPr>
        <w:widowControl/>
      </w:pPr>
      <w:r>
        <w:rPr>
          <w:b/>
          <w:i w:val="0"/>
        </w:rPr>
        <w:t>Casu.</w:t>
      </w:r>
      <w:r>
        <w:rPr>
          <w:b w:val="0"/>
          <w:i w:val="0"/>
        </w:rPr>
        <w:t xml:space="preserve"> </w:t>
      </w:r>
      <w:hyperlink w:anchor="latin-record-0197">
        <w:r>
          <w:rPr>
            <w:color w:val="000000"/>
          </w:rPr>
          <w:t xml:space="preserve">casus / casu</w:t>
        </w:r>
      </w:hyperlink>
      <w:r>
        <w:rPr>
          <w:b w:val="0"/>
          <w:i w:val="0"/>
        </w:rPr>
        <w:t>.</w:t>
      </w:r>
    </w:p>
    <w:p>
      <w:pPr>
        <w:widowControl/>
      </w:pPr>
      <w:r>
        <w:rPr>
          <w:b/>
          <w:i w:val="0"/>
        </w:rPr>
        <w:t>casu.</w:t>
      </w:r>
      <w:r>
        <w:rPr>
          <w:b w:val="0"/>
          <w:i w:val="0"/>
        </w:rPr>
        <w:t xml:space="preserve"> </w:t>
      </w:r>
      <w:hyperlink w:anchor="latin-record-0197">
        <w:r>
          <w:rPr>
            <w:color w:val="000000"/>
          </w:rPr>
          <w:t xml:space="preserve">casus / casu</w:t>
        </w:r>
      </w:hyperlink>
      <w:r>
        <w:rPr>
          <w:b w:val="0"/>
          <w:i w:val="0"/>
        </w:rPr>
        <w:t>.</w:t>
      </w:r>
    </w:p>
    <w:p>
      <w:pPr>
        <w:widowControl/>
      </w:pPr>
      <w:r>
        <w:rPr>
          <w:b/>
          <w:i w:val="0"/>
        </w:rPr>
        <w:t>casus.</w:t>
      </w:r>
      <w:r>
        <w:rPr>
          <w:b w:val="0"/>
          <w:i w:val="0"/>
        </w:rPr>
        <w:t xml:space="preserve"> </w:t>
      </w:r>
      <w:hyperlink w:anchor="latin-record-0197">
        <w:r>
          <w:rPr>
            <w:color w:val="000000"/>
          </w:rPr>
          <w:t xml:space="preserve">casus / casu</w:t>
        </w:r>
      </w:hyperlink>
      <w:r>
        <w:rPr>
          <w:b w:val="0"/>
          <w:i w:val="0"/>
        </w:rPr>
        <w:t>.</w:t>
      </w:r>
    </w:p>
    <w:p>
      <w:pPr>
        <w:widowControl/>
      </w:pPr>
      <w:r>
        <w:rPr>
          <w:b/>
          <w:i w:val="0"/>
        </w:rPr>
        <w:t>causa.</w:t>
      </w:r>
      <w:r>
        <w:rPr>
          <w:b w:val="0"/>
          <w:i w:val="0"/>
        </w:rPr>
        <w:t xml:space="preserve"> </w:t>
      </w:r>
      <w:hyperlink w:anchor="latin-record-0198">
        <w:r>
          <w:rPr>
            <w:color w:val="000000"/>
          </w:rPr>
          <w:t xml:space="preserve">causa</w:t>
        </w:r>
      </w:hyperlink>
      <w:r>
        <w:rPr>
          <w:b w:val="0"/>
          <w:i w:val="0"/>
        </w:rPr>
        <w:t xml:space="preserve">; </w:t>
      </w:r>
      <w:hyperlink w:anchor="latin-record-0200">
        <w:r>
          <w:rPr>
            <w:color w:val="000000"/>
          </w:rPr>
          <w:t xml:space="preserve">causa efficiens</w:t>
        </w:r>
      </w:hyperlink>
      <w:r>
        <w:rPr>
          <w:b w:val="0"/>
          <w:i w:val="0"/>
        </w:rPr>
        <w:t xml:space="preserve">; </w:t>
      </w:r>
      <w:hyperlink w:anchor="latin-record-0201">
        <w:r>
          <w:rPr>
            <w:color w:val="000000"/>
          </w:rPr>
          <w:t xml:space="preserve">causa non efficiens sed formalis</w:t>
        </w:r>
      </w:hyperlink>
      <w:r>
        <w:rPr>
          <w:b w:val="0"/>
          <w:i w:val="0"/>
        </w:rPr>
        <w:t xml:space="preserve">; </w:t>
      </w:r>
      <w:hyperlink w:anchor="latin-record-0423">
        <w:r>
          <w:rPr>
            <w:color w:val="000000"/>
          </w:rPr>
          <w:t xml:space="preserve">efficere / causa / effectus</w:t>
        </w:r>
      </w:hyperlink>
      <w:r>
        <w:rPr>
          <w:b w:val="0"/>
          <w:i w:val="0"/>
        </w:rPr>
        <w:t xml:space="preserve">; </w:t>
      </w:r>
      <w:hyperlink w:anchor="latin-record-0882">
        <w:r>
          <w:rPr>
            <w:color w:val="000000"/>
          </w:rPr>
          <w:t xml:space="preserve">origo; principium; causa</w:t>
        </w:r>
      </w:hyperlink>
      <w:r>
        <w:rPr>
          <w:b w:val="0"/>
          <w:i w:val="0"/>
        </w:rPr>
        <w:t>.</w:t>
      </w:r>
    </w:p>
    <w:p>
      <w:pPr>
        <w:widowControl/>
      </w:pPr>
      <w:r>
        <w:rPr>
          <w:b/>
          <w:i w:val="0"/>
        </w:rPr>
        <w:t>Causa.</w:t>
      </w:r>
      <w:r>
        <w:rPr>
          <w:b w:val="0"/>
          <w:i w:val="0"/>
        </w:rPr>
        <w:t xml:space="preserve"> </w:t>
      </w:r>
      <w:hyperlink w:anchor="latin-record-0198">
        <w:r>
          <w:rPr>
            <w:color w:val="000000"/>
          </w:rPr>
          <w:t xml:space="preserve">causa</w:t>
        </w:r>
      </w:hyperlink>
      <w:r>
        <w:rPr>
          <w:b w:val="0"/>
          <w:i w:val="0"/>
        </w:rPr>
        <w:t xml:space="preserve">; </w:t>
      </w:r>
      <w:hyperlink w:anchor="latin-record-0201">
        <w:r>
          <w:rPr>
            <w:color w:val="000000"/>
          </w:rPr>
          <w:t xml:space="preserve">causa non efficiens sed formalis</w:t>
        </w:r>
      </w:hyperlink>
      <w:r>
        <w:rPr>
          <w:b w:val="0"/>
          <w:i w:val="0"/>
        </w:rPr>
        <w:t>.</w:t>
      </w:r>
    </w:p>
    <w:p>
      <w:pPr>
        <w:widowControl/>
      </w:pPr>
      <w:r>
        <w:rPr>
          <w:b/>
          <w:i w:val="0"/>
        </w:rPr>
        <w:t>causa principali.</w:t>
      </w:r>
      <w:r>
        <w:rPr>
          <w:b w:val="0"/>
          <w:i w:val="0"/>
        </w:rPr>
        <w:t xml:space="preserve"> </w:t>
      </w:r>
      <w:hyperlink w:anchor="latin-record-0203">
        <w:r>
          <w:rPr>
            <w:color w:val="000000"/>
          </w:rPr>
          <w:t xml:space="preserve">causa principalis</w:t>
        </w:r>
      </w:hyperlink>
      <w:r>
        <w:rPr>
          <w:b w:val="0"/>
          <w:i w:val="0"/>
        </w:rPr>
        <w:t xml:space="preserve">; </w:t>
      </w:r>
      <w:hyperlink w:anchor="latin-record-0992">
        <w:r>
          <w:rPr>
            <w:color w:val="000000"/>
          </w:rPr>
          <w:t xml:space="preserve">principalis / agens principale</w:t>
        </w:r>
      </w:hyperlink>
      <w:r>
        <w:rPr>
          <w:b w:val="0"/>
          <w:i w:val="0"/>
        </w:rPr>
        <w:t>.</w:t>
      </w:r>
    </w:p>
    <w:p>
      <w:pPr>
        <w:widowControl/>
      </w:pPr>
      <w:r>
        <w:rPr>
          <w:b/>
          <w:i w:val="0"/>
        </w:rPr>
        <w:t>causae.</w:t>
      </w:r>
      <w:r>
        <w:rPr>
          <w:b w:val="0"/>
          <w:i w:val="0"/>
        </w:rPr>
        <w:t xml:space="preserve"> </w:t>
      </w:r>
      <w:hyperlink w:anchor="latin-record-0200">
        <w:r>
          <w:rPr>
            <w:color w:val="000000"/>
          </w:rPr>
          <w:t xml:space="preserve">causa efficiens</w:t>
        </w:r>
      </w:hyperlink>
      <w:r>
        <w:rPr>
          <w:b w:val="0"/>
          <w:i w:val="0"/>
        </w:rPr>
        <w:t>.</w:t>
      </w:r>
    </w:p>
    <w:p>
      <w:pPr>
        <w:widowControl/>
      </w:pPr>
      <w:r>
        <w:rPr>
          <w:b/>
          <w:i w:val="0"/>
        </w:rPr>
        <w:t>causam.</w:t>
      </w:r>
      <w:r>
        <w:rPr>
          <w:b w:val="0"/>
          <w:i w:val="0"/>
        </w:rPr>
        <w:t xml:space="preserve"> </w:t>
      </w:r>
      <w:hyperlink w:anchor="latin-record-0200">
        <w:r>
          <w:rPr>
            <w:color w:val="000000"/>
          </w:rPr>
          <w:t xml:space="preserve">causa efficiens</w:t>
        </w:r>
      </w:hyperlink>
      <w:r>
        <w:rPr>
          <w:b w:val="0"/>
          <w:i w:val="0"/>
        </w:rPr>
        <w:t xml:space="preserve">; </w:t>
      </w:r>
      <w:hyperlink w:anchor="latin-record-0882">
        <w:r>
          <w:rPr>
            <w:color w:val="000000"/>
          </w:rPr>
          <w:t xml:space="preserve">origo; principium; causa</w:t>
        </w:r>
      </w:hyperlink>
      <w:r>
        <w:rPr>
          <w:b w:val="0"/>
          <w:i w:val="0"/>
        </w:rPr>
        <w:t>.</w:t>
      </w:r>
    </w:p>
    <w:p>
      <w:pPr>
        <w:widowControl/>
      </w:pPr>
      <w:r>
        <w:rPr>
          <w:b/>
          <w:i w:val="0"/>
        </w:rPr>
        <w:t>causam primam.</w:t>
      </w:r>
      <w:r>
        <w:rPr>
          <w:b w:val="0"/>
          <w:i w:val="0"/>
        </w:rPr>
        <w:t xml:space="preserve"> </w:t>
      </w:r>
      <w:hyperlink w:anchor="latin-record-0202">
        <w:r>
          <w:rPr>
            <w:color w:val="000000"/>
          </w:rPr>
          <w:t xml:space="preserve">causa prima</w:t>
        </w:r>
      </w:hyperlink>
      <w:r>
        <w:rPr>
          <w:b w:val="0"/>
          <w:i w:val="0"/>
        </w:rPr>
        <w:t>.</w:t>
      </w:r>
    </w:p>
    <w:p>
      <w:pPr>
        <w:widowControl/>
      </w:pPr>
      <w:r>
        <w:rPr>
          <w:b/>
          <w:i w:val="0"/>
        </w:rPr>
        <w:t>causarum.</w:t>
      </w:r>
      <w:r>
        <w:rPr>
          <w:b w:val="0"/>
          <w:i w:val="0"/>
        </w:rPr>
        <w:t xml:space="preserve"> </w:t>
      </w:r>
      <w:hyperlink w:anchor="latin-record-0198">
        <w:r>
          <w:rPr>
            <w:color w:val="000000"/>
          </w:rPr>
          <w:t xml:space="preserve">causa</w:t>
        </w:r>
      </w:hyperlink>
      <w:r>
        <w:rPr>
          <w:b w:val="0"/>
          <w:i w:val="0"/>
        </w:rPr>
        <w:t xml:space="preserve">; </w:t>
      </w:r>
      <w:hyperlink w:anchor="latin-record-0200">
        <w:r>
          <w:rPr>
            <w:color w:val="000000"/>
          </w:rPr>
          <w:t xml:space="preserve">causa efficiens</w:t>
        </w:r>
      </w:hyperlink>
      <w:r>
        <w:rPr>
          <w:b w:val="0"/>
          <w:i w:val="0"/>
        </w:rPr>
        <w:t>.</w:t>
      </w:r>
    </w:p>
    <w:p>
      <w:pPr>
        <w:widowControl/>
      </w:pPr>
      <w:r>
        <w:rPr>
          <w:b/>
          <w:i w:val="0"/>
        </w:rPr>
        <w:t>causas.</w:t>
      </w:r>
      <w:r>
        <w:rPr>
          <w:b w:val="0"/>
          <w:i w:val="0"/>
        </w:rPr>
        <w:t xml:space="preserve"> </w:t>
      </w:r>
      <w:hyperlink w:anchor="latin-record-0200">
        <w:r>
          <w:rPr>
            <w:color w:val="000000"/>
          </w:rPr>
          <w:t xml:space="preserve">causa efficiens</w:t>
        </w:r>
      </w:hyperlink>
      <w:r>
        <w:rPr>
          <w:b w:val="0"/>
          <w:i w:val="0"/>
        </w:rPr>
        <w:t xml:space="preserve">; </w:t>
      </w:r>
      <w:hyperlink w:anchor="latin-record-0882">
        <w:r>
          <w:rPr>
            <w:color w:val="000000"/>
          </w:rPr>
          <w:t xml:space="preserve">origo; principium; causa</w:t>
        </w:r>
      </w:hyperlink>
      <w:r>
        <w:rPr>
          <w:b w:val="0"/>
          <w:i w:val="0"/>
        </w:rPr>
        <w:t>.</w:t>
      </w:r>
    </w:p>
    <w:p>
      <w:pPr>
        <w:widowControl/>
      </w:pPr>
      <w:r>
        <w:rPr>
          <w:b/>
          <w:i w:val="0"/>
        </w:rPr>
        <w:t>causas medias.</w:t>
      </w:r>
      <w:r>
        <w:rPr>
          <w:b w:val="0"/>
          <w:i w:val="0"/>
        </w:rPr>
        <w:t xml:space="preserve"> </w:t>
      </w:r>
      <w:hyperlink w:anchor="latin-record-0134">
        <w:r>
          <w:rPr>
            <w:color w:val="000000"/>
          </w:rPr>
          <w:t xml:space="preserve">ascensio; descensio</w:t>
        </w:r>
      </w:hyperlink>
      <w:r>
        <w:rPr>
          <w:b w:val="0"/>
          <w:i w:val="0"/>
        </w:rPr>
        <w:t>.</w:t>
      </w:r>
    </w:p>
    <w:p>
      <w:pPr>
        <w:widowControl/>
      </w:pPr>
      <w:r>
        <w:rPr>
          <w:b/>
          <w:i w:val="0"/>
        </w:rPr>
        <w:t>causis.</w:t>
      </w:r>
      <w:r>
        <w:rPr>
          <w:b w:val="0"/>
          <w:i w:val="0"/>
        </w:rPr>
        <w:t xml:space="preserve"> </w:t>
      </w:r>
      <w:hyperlink w:anchor="latin-record-0198">
        <w:r>
          <w:rPr>
            <w:color w:val="000000"/>
          </w:rPr>
          <w:t xml:space="preserve">causa</w:t>
        </w:r>
      </w:hyperlink>
      <w:r>
        <w:rPr>
          <w:b w:val="0"/>
          <w:i w:val="0"/>
        </w:rPr>
        <w:t xml:space="preserve">; </w:t>
      </w:r>
      <w:hyperlink w:anchor="latin-record-0200">
        <w:r>
          <w:rPr>
            <w:color w:val="000000"/>
          </w:rPr>
          <w:t xml:space="preserve">causa efficiens</w:t>
        </w:r>
      </w:hyperlink>
      <w:r>
        <w:rPr>
          <w:b w:val="0"/>
          <w:i w:val="0"/>
        </w:rPr>
        <w:t xml:space="preserve">; </w:t>
      </w:r>
      <w:hyperlink w:anchor="latin-record-0305">
        <w:r>
          <w:rPr>
            <w:color w:val="000000"/>
          </w:rPr>
          <w:t xml:space="preserve">conservator / servator</w:t>
        </w:r>
      </w:hyperlink>
      <w:r>
        <w:rPr>
          <w:b w:val="0"/>
          <w:i w:val="0"/>
        </w:rPr>
        <w:t>.</w:t>
      </w:r>
    </w:p>
    <w:p>
      <w:pPr>
        <w:widowControl/>
      </w:pPr>
      <w:r>
        <w:rPr>
          <w:b/>
          <w:i w:val="0"/>
        </w:rPr>
        <w:t>cavernam.</w:t>
      </w:r>
      <w:r>
        <w:rPr>
          <w:b w:val="0"/>
          <w:i w:val="0"/>
        </w:rPr>
        <w:t xml:space="preserve"> </w:t>
      </w:r>
      <w:hyperlink w:anchor="latin-record-1221">
        <w:r>
          <w:rPr>
            <w:color w:val="000000"/>
          </w:rPr>
          <w:t xml:space="preserve">spelunca; specus; caverna</w:t>
        </w:r>
      </w:hyperlink>
      <w:r>
        <w:rPr>
          <w:b w:val="0"/>
          <w:i w:val="0"/>
        </w:rPr>
        <w:t>.</w:t>
      </w:r>
    </w:p>
    <w:p>
      <w:pPr>
        <w:widowControl/>
      </w:pPr>
      <w:r>
        <w:rPr>
          <w:b/>
          <w:i w:val="0"/>
        </w:rPr>
        <w:t>cavillatio.</w:t>
      </w:r>
      <w:r>
        <w:rPr>
          <w:b w:val="0"/>
          <w:i w:val="0"/>
        </w:rPr>
        <w:t xml:space="preserve"> </w:t>
      </w:r>
      <w:hyperlink w:anchor="latin-record-0205">
        <w:r>
          <w:rPr>
            <w:color w:val="000000"/>
          </w:rPr>
          <w:t xml:space="preserve">cavillatio</w:t>
        </w:r>
      </w:hyperlink>
      <w:r>
        <w:rPr>
          <w:b w:val="0"/>
          <w:i w:val="0"/>
        </w:rPr>
        <w:t>.</w:t>
      </w:r>
    </w:p>
    <w:p>
      <w:pPr>
        <w:widowControl/>
      </w:pPr>
      <w:r>
        <w:rPr>
          <w:b/>
          <w:i w:val="0"/>
        </w:rPr>
        <w:t>celeritas.</w:t>
      </w:r>
      <w:r>
        <w:rPr>
          <w:b w:val="0"/>
          <w:i w:val="0"/>
        </w:rPr>
        <w:t xml:space="preserve"> </w:t>
      </w:r>
      <w:hyperlink w:anchor="latin-record-0064">
        <w:r>
          <w:rPr>
            <w:color w:val="000000"/>
          </w:rPr>
          <w:t xml:space="preserve">agilis; agilitas; celeritas</w:t>
        </w:r>
      </w:hyperlink>
      <w:r>
        <w:rPr>
          <w:b w:val="0"/>
          <w:i w:val="0"/>
        </w:rPr>
        <w:t>.</w:t>
      </w:r>
    </w:p>
    <w:p>
      <w:pPr>
        <w:widowControl/>
      </w:pPr>
      <w:r>
        <w:rPr>
          <w:b/>
          <w:i w:val="0"/>
        </w:rPr>
        <w:t>celeriter.</w:t>
      </w:r>
      <w:r>
        <w:rPr>
          <w:b w:val="0"/>
          <w:i w:val="0"/>
        </w:rPr>
        <w:t xml:space="preserve"> </w:t>
      </w:r>
      <w:hyperlink w:anchor="latin-record-0064">
        <w:r>
          <w:rPr>
            <w:color w:val="000000"/>
          </w:rPr>
          <w:t xml:space="preserve">agilis; agilitas; celeritas</w:t>
        </w:r>
      </w:hyperlink>
      <w:r>
        <w:rPr>
          <w:b w:val="0"/>
          <w:i w:val="0"/>
        </w:rPr>
        <w:t>.</w:t>
      </w:r>
    </w:p>
    <w:p>
      <w:pPr>
        <w:widowControl/>
      </w:pPr>
      <w:r>
        <w:rPr>
          <w:b/>
          <w:i w:val="0"/>
        </w:rPr>
        <w:t>centro.</w:t>
      </w:r>
      <w:r>
        <w:rPr>
          <w:b w:val="0"/>
          <w:i w:val="0"/>
        </w:rPr>
        <w:t xml:space="preserve"> </w:t>
      </w:r>
      <w:hyperlink w:anchor="latin-record-0206">
        <w:r>
          <w:rPr>
            <w:color w:val="000000"/>
          </w:rPr>
          <w:t xml:space="preserve">centrum (concentration)</w:t>
        </w:r>
      </w:hyperlink>
      <w:r>
        <w:rPr>
          <w:b w:val="0"/>
          <w:i w:val="0"/>
        </w:rPr>
        <w:t>.</w:t>
      </w:r>
    </w:p>
    <w:p>
      <w:pPr>
        <w:widowControl/>
      </w:pPr>
      <w:r>
        <w:rPr>
          <w:b/>
          <w:i w:val="0"/>
        </w:rPr>
        <w:t>centrum.</w:t>
      </w:r>
      <w:r>
        <w:rPr>
          <w:b w:val="0"/>
          <w:i w:val="0"/>
        </w:rPr>
        <w:t xml:space="preserve"> </w:t>
      </w:r>
      <w:hyperlink w:anchor="latin-record-0206">
        <w:r>
          <w:rPr>
            <w:color w:val="000000"/>
          </w:rPr>
          <w:t xml:space="preserve">centrum (concentration)</w:t>
        </w:r>
      </w:hyperlink>
      <w:r>
        <w:rPr>
          <w:b w:val="0"/>
          <w:i w:val="0"/>
        </w:rPr>
        <w:t xml:space="preserve">; </w:t>
      </w:r>
      <w:hyperlink w:anchor="latin-record-0207">
        <w:r>
          <w:rPr>
            <w:color w:val="000000"/>
          </w:rPr>
          <w:t xml:space="preserve">centrum / vis interior</w:t>
        </w:r>
      </w:hyperlink>
      <w:r>
        <w:rPr>
          <w:b w:val="0"/>
          <w:i w:val="0"/>
        </w:rPr>
        <w:t>.</w:t>
      </w:r>
    </w:p>
    <w:p>
      <w:pPr>
        <w:widowControl/>
      </w:pPr>
      <w:r>
        <w:rPr>
          <w:b/>
          <w:i w:val="0"/>
        </w:rPr>
        <w:t>cepit.</w:t>
      </w:r>
      <w:r>
        <w:rPr>
          <w:b w:val="0"/>
          <w:i w:val="0"/>
        </w:rPr>
        <w:t xml:space="preserve"> </w:t>
      </w:r>
      <w:hyperlink w:anchor="latin-record-0189">
        <w:r>
          <w:rPr>
            <w:color w:val="000000"/>
          </w:rPr>
          <w:t xml:space="preserve">capere</w:t>
        </w:r>
      </w:hyperlink>
      <w:r>
        <w:rPr>
          <w:b w:val="0"/>
          <w:i w:val="0"/>
        </w:rPr>
        <w:t>.</w:t>
      </w:r>
    </w:p>
    <w:p>
      <w:pPr>
        <w:widowControl/>
      </w:pPr>
      <w:r>
        <w:rPr>
          <w:b/>
          <w:i w:val="0"/>
        </w:rPr>
        <w:t>cera.</w:t>
      </w:r>
      <w:r>
        <w:rPr>
          <w:b w:val="0"/>
          <w:i w:val="0"/>
        </w:rPr>
        <w:t xml:space="preserve"> </w:t>
      </w:r>
      <w:hyperlink w:anchor="latin-record-0208">
        <w:r>
          <w:rPr>
            <w:color w:val="000000"/>
          </w:rPr>
          <w:t xml:space="preserve">cera</w:t>
        </w:r>
      </w:hyperlink>
      <w:r>
        <w:rPr>
          <w:b w:val="0"/>
          <w:i w:val="0"/>
        </w:rPr>
        <w:t>.</w:t>
      </w:r>
    </w:p>
    <w:p>
      <w:pPr>
        <w:widowControl/>
      </w:pPr>
      <w:r>
        <w:rPr>
          <w:b/>
          <w:i w:val="0"/>
        </w:rPr>
        <w:t>cerae.</w:t>
      </w:r>
      <w:r>
        <w:rPr>
          <w:b w:val="0"/>
          <w:i w:val="0"/>
        </w:rPr>
        <w:t xml:space="preserve"> </w:t>
      </w:r>
      <w:hyperlink w:anchor="latin-record-0208">
        <w:r>
          <w:rPr>
            <w:color w:val="000000"/>
          </w:rPr>
          <w:t xml:space="preserve">cera</w:t>
        </w:r>
      </w:hyperlink>
      <w:r>
        <w:rPr>
          <w:b w:val="0"/>
          <w:i w:val="0"/>
        </w:rPr>
        <w:t>.</w:t>
      </w:r>
    </w:p>
    <w:p>
      <w:pPr>
        <w:widowControl/>
      </w:pPr>
      <w:r>
        <w:rPr>
          <w:b/>
          <w:i w:val="0"/>
        </w:rPr>
        <w:t>cerebro.</w:t>
      </w:r>
      <w:r>
        <w:rPr>
          <w:b w:val="0"/>
          <w:i w:val="0"/>
        </w:rPr>
        <w:t xml:space="preserve"> </w:t>
      </w:r>
      <w:hyperlink w:anchor="latin-record-0334">
        <w:r>
          <w:rPr>
            <w:color w:val="000000"/>
          </w:rPr>
          <w:t xml:space="preserve">cor; cerebrum</w:t>
        </w:r>
      </w:hyperlink>
      <w:r>
        <w:rPr>
          <w:b w:val="0"/>
          <w:i w:val="0"/>
        </w:rPr>
        <w:t>.</w:t>
      </w:r>
    </w:p>
    <w:p>
      <w:pPr>
        <w:widowControl/>
      </w:pPr>
      <w:r>
        <w:rPr>
          <w:b/>
          <w:i w:val="0"/>
        </w:rPr>
        <w:t>cerebrum.</w:t>
      </w:r>
      <w:r>
        <w:rPr>
          <w:b w:val="0"/>
          <w:i w:val="0"/>
        </w:rPr>
        <w:t xml:space="preserve"> </w:t>
      </w:r>
      <w:hyperlink w:anchor="latin-record-0854">
        <w:r>
          <w:rPr>
            <w:color w:val="000000"/>
          </w:rPr>
          <w:t xml:space="preserve">oculus / cerebrum</w:t>
        </w:r>
      </w:hyperlink>
      <w:r>
        <w:rPr>
          <w:b w:val="0"/>
          <w:i w:val="0"/>
        </w:rPr>
        <w:t>.</w:t>
      </w:r>
    </w:p>
    <w:p>
      <w:pPr>
        <w:widowControl/>
      </w:pPr>
      <w:r>
        <w:rPr>
          <w:b/>
          <w:i w:val="0"/>
        </w:rPr>
        <w:t>cernebat.</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cernit.</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cernitis.</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cernuntur.</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Certa.</w:t>
      </w:r>
      <w:r>
        <w:rPr>
          <w:b w:val="0"/>
          <w:i w:val="0"/>
        </w:rPr>
        <w:t xml:space="preserve"> </w:t>
      </w:r>
      <w:hyperlink w:anchor="latin-record-0209">
        <w:r>
          <w:rPr>
            <w:color w:val="000000"/>
          </w:rPr>
          <w:t xml:space="preserve">certa / certus</w:t>
        </w:r>
      </w:hyperlink>
      <w:r>
        <w:rPr>
          <w:b w:val="0"/>
          <w:i w:val="0"/>
        </w:rPr>
        <w:t>.</w:t>
      </w:r>
    </w:p>
    <w:p>
      <w:pPr>
        <w:widowControl/>
      </w:pPr>
      <w:r>
        <w:rPr>
          <w:b/>
          <w:i w:val="0"/>
        </w:rPr>
        <w:t>certa.</w:t>
      </w:r>
      <w:r>
        <w:rPr>
          <w:b w:val="0"/>
          <w:i w:val="0"/>
        </w:rPr>
        <w:t xml:space="preserve"> </w:t>
      </w:r>
      <w:hyperlink w:anchor="latin-record-0209">
        <w:r>
          <w:rPr>
            <w:color w:val="000000"/>
          </w:rPr>
          <w:t xml:space="preserve">certa / certus</w:t>
        </w:r>
      </w:hyperlink>
      <w:r>
        <w:rPr>
          <w:b w:val="0"/>
          <w:i w:val="0"/>
        </w:rPr>
        <w:t xml:space="preserve">; </w:t>
      </w:r>
      <w:hyperlink w:anchor="latin-record-0210">
        <w:r>
          <w:rPr>
            <w:color w:val="000000"/>
          </w:rPr>
          <w:t xml:space="preserve">certus / talis</w:t>
        </w:r>
      </w:hyperlink>
      <w:r>
        <w:rPr>
          <w:b w:val="0"/>
          <w:i w:val="0"/>
        </w:rPr>
        <w:t>.</w:t>
      </w:r>
    </w:p>
    <w:p>
      <w:pPr>
        <w:widowControl/>
      </w:pPr>
      <w:r>
        <w:rPr>
          <w:b/>
          <w:i w:val="0"/>
        </w:rPr>
        <w:t>certa et determinata natura.</w:t>
      </w:r>
      <w:r>
        <w:rPr>
          <w:b w:val="0"/>
          <w:i w:val="0"/>
        </w:rPr>
        <w:t xml:space="preserve"> </w:t>
      </w:r>
      <w:hyperlink w:anchor="latin-record-0374">
        <w:r>
          <w:rPr>
            <w:color w:val="000000"/>
          </w:rPr>
          <w:t xml:space="preserve">determinata operatio</w:t>
        </w:r>
      </w:hyperlink>
      <w:r>
        <w:rPr>
          <w:b w:val="0"/>
          <w:i w:val="0"/>
        </w:rPr>
        <w:t>.</w:t>
      </w:r>
    </w:p>
    <w:p>
      <w:pPr>
        <w:widowControl/>
      </w:pPr>
      <w:r>
        <w:rPr>
          <w:b/>
          <w:i w:val="0"/>
        </w:rPr>
        <w:t>certam.</w:t>
      </w:r>
      <w:r>
        <w:rPr>
          <w:b w:val="0"/>
          <w:i w:val="0"/>
        </w:rPr>
        <w:t xml:space="preserve"> </w:t>
      </w:r>
      <w:hyperlink w:anchor="latin-record-0209">
        <w:r>
          <w:rPr>
            <w:color w:val="000000"/>
          </w:rPr>
          <w:t xml:space="preserve">certa / certus</w:t>
        </w:r>
      </w:hyperlink>
      <w:r>
        <w:rPr>
          <w:b w:val="0"/>
          <w:i w:val="0"/>
        </w:rPr>
        <w:t xml:space="preserve">; </w:t>
      </w:r>
      <w:hyperlink w:anchor="latin-record-0210">
        <w:r>
          <w:rPr>
            <w:color w:val="000000"/>
          </w:rPr>
          <w:t xml:space="preserve">certus / talis</w:t>
        </w:r>
      </w:hyperlink>
      <w:r>
        <w:rPr>
          <w:b w:val="0"/>
          <w:i w:val="0"/>
        </w:rPr>
        <w:t>.</w:t>
      </w:r>
    </w:p>
    <w:p>
      <w:pPr>
        <w:widowControl/>
      </w:pPr>
      <w:r>
        <w:rPr>
          <w:b/>
          <w:i w:val="0"/>
        </w:rPr>
        <w:t>certo.</w:t>
      </w:r>
      <w:r>
        <w:rPr>
          <w:b w:val="0"/>
          <w:i w:val="0"/>
        </w:rPr>
        <w:t xml:space="preserve"> </w:t>
      </w:r>
      <w:hyperlink w:anchor="latin-record-0209">
        <w:r>
          <w:rPr>
            <w:color w:val="000000"/>
          </w:rPr>
          <w:t xml:space="preserve">certa / certus</w:t>
        </w:r>
      </w:hyperlink>
      <w:r>
        <w:rPr>
          <w:b w:val="0"/>
          <w:i w:val="0"/>
        </w:rPr>
        <w:t xml:space="preserve">; </w:t>
      </w:r>
      <w:hyperlink w:anchor="latin-record-0210">
        <w:r>
          <w:rPr>
            <w:color w:val="000000"/>
          </w:rPr>
          <w:t xml:space="preserve">certus / talis</w:t>
        </w:r>
      </w:hyperlink>
      <w:r>
        <w:rPr>
          <w:b w:val="0"/>
          <w:i w:val="0"/>
        </w:rPr>
        <w:t>.</w:t>
      </w:r>
    </w:p>
    <w:p>
      <w:pPr>
        <w:widowControl/>
      </w:pPr>
      <w:r>
        <w:rPr>
          <w:b/>
          <w:i w:val="0"/>
        </w:rPr>
        <w:t>certum.</w:t>
      </w:r>
      <w:r>
        <w:rPr>
          <w:b w:val="0"/>
          <w:i w:val="0"/>
        </w:rPr>
        <w:t xml:space="preserve"> </w:t>
      </w:r>
      <w:hyperlink w:anchor="latin-record-0209">
        <w:r>
          <w:rPr>
            <w:color w:val="000000"/>
          </w:rPr>
          <w:t xml:space="preserve">certa / certus</w:t>
        </w:r>
      </w:hyperlink>
      <w:r>
        <w:rPr>
          <w:b w:val="0"/>
          <w:i w:val="0"/>
        </w:rPr>
        <w:t xml:space="preserve">; </w:t>
      </w:r>
      <w:hyperlink w:anchor="latin-record-0210">
        <w:r>
          <w:rPr>
            <w:color w:val="000000"/>
          </w:rPr>
          <w:t xml:space="preserve">certus / talis</w:t>
        </w:r>
      </w:hyperlink>
      <w:r>
        <w:rPr>
          <w:b w:val="0"/>
          <w:i w:val="0"/>
        </w:rPr>
        <w:t>.</w:t>
      </w:r>
    </w:p>
    <w:p>
      <w:pPr>
        <w:widowControl/>
      </w:pPr>
      <w:r>
        <w:rPr>
          <w:b/>
          <w:i w:val="0"/>
        </w:rPr>
        <w:t>certum habet situm.</w:t>
      </w:r>
      <w:r>
        <w:rPr>
          <w:b w:val="0"/>
          <w:i w:val="0"/>
        </w:rPr>
        <w:t xml:space="preserve"> </w:t>
      </w:r>
      <w:hyperlink w:anchor="latin-record-1292">
        <w:r>
          <w:rPr>
            <w:color w:val="000000"/>
          </w:rPr>
          <w:t xml:space="preserve">terminus; situs</w:t>
        </w:r>
      </w:hyperlink>
      <w:r>
        <w:rPr>
          <w:b w:val="0"/>
          <w:i w:val="0"/>
        </w:rPr>
        <w:t>.</w:t>
      </w:r>
    </w:p>
    <w:p>
      <w:pPr>
        <w:widowControl/>
      </w:pPr>
      <w:r>
        <w:rPr>
          <w:b/>
          <w:i w:val="0"/>
        </w:rPr>
        <w:t>cervicem.</w:t>
      </w:r>
      <w:r>
        <w:rPr>
          <w:b w:val="0"/>
          <w:i w:val="0"/>
        </w:rPr>
        <w:t xml:space="preserve"> </w:t>
      </w:r>
      <w:hyperlink w:anchor="latin-record-0211">
        <w:r>
          <w:rPr>
            <w:color w:val="000000"/>
          </w:rPr>
          <w:t xml:space="preserve">cervix; columna</w:t>
        </w:r>
      </w:hyperlink>
      <w:r>
        <w:rPr>
          <w:b w:val="0"/>
          <w:i w:val="0"/>
        </w:rPr>
        <w:t>.</w:t>
      </w:r>
    </w:p>
    <w:p>
      <w:pPr>
        <w:widowControl/>
      </w:pPr>
      <w:r>
        <w:rPr>
          <w:b/>
          <w:i w:val="0"/>
        </w:rPr>
        <w:t>cessat.</w:t>
      </w:r>
      <w:r>
        <w:rPr>
          <w:b w:val="0"/>
          <w:i w:val="0"/>
        </w:rPr>
        <w:t xml:space="preserve"> </w:t>
      </w:r>
      <w:hyperlink w:anchor="latin-record-0372">
        <w:r>
          <w:rPr>
            <w:color w:val="000000"/>
          </w:rPr>
          <w:t xml:space="preserve">desinere / cessare</w:t>
        </w:r>
      </w:hyperlink>
      <w:r>
        <w:rPr>
          <w:b w:val="0"/>
          <w:i w:val="0"/>
        </w:rPr>
        <w:t>.</w:t>
      </w:r>
    </w:p>
    <w:p>
      <w:pPr>
        <w:widowControl/>
      </w:pPr>
      <w:r>
        <w:rPr>
          <w:b/>
          <w:i w:val="0"/>
        </w:rPr>
        <w:t>cesset.</w:t>
      </w:r>
      <w:r>
        <w:rPr>
          <w:b w:val="0"/>
          <w:i w:val="0"/>
        </w:rPr>
        <w:t xml:space="preserve"> </w:t>
      </w:r>
      <w:hyperlink w:anchor="latin-record-0372">
        <w:r>
          <w:rPr>
            <w:color w:val="000000"/>
          </w:rPr>
          <w:t xml:space="preserve">desinere / cessare</w:t>
        </w:r>
      </w:hyperlink>
      <w:r>
        <w:rPr>
          <w:b w:val="0"/>
          <w:i w:val="0"/>
        </w:rPr>
        <w:t>.</w:t>
      </w:r>
    </w:p>
    <w:p>
      <w:pPr>
        <w:widowControl/>
      </w:pPr>
      <w:r>
        <w:rPr>
          <w:b/>
          <w:i w:val="0"/>
        </w:rPr>
        <w:t>ceu.</w:t>
      </w:r>
      <w:r>
        <w:rPr>
          <w:b w:val="0"/>
          <w:i w:val="0"/>
        </w:rPr>
        <w:t xml:space="preserve"> </w:t>
      </w:r>
      <w:hyperlink w:anchor="latin-record-0922">
        <w:r>
          <w:rPr>
            <w:color w:val="000000"/>
          </w:rPr>
          <w:t xml:space="preserve">per se; quodammodo; proprie</w:t>
        </w:r>
      </w:hyperlink>
      <w:r>
        <w:rPr>
          <w:b w:val="0"/>
          <w:i w:val="0"/>
        </w:rPr>
        <w:t>.</w:t>
      </w:r>
    </w:p>
    <w:p>
      <w:pPr>
        <w:widowControl/>
      </w:pPr>
      <w:r>
        <w:rPr>
          <w:b/>
          <w:i w:val="0"/>
        </w:rPr>
        <w:t>chaos.</w:t>
      </w:r>
      <w:r>
        <w:rPr>
          <w:b w:val="0"/>
          <w:i w:val="0"/>
        </w:rPr>
        <w:t xml:space="preserve"> </w:t>
      </w:r>
      <w:hyperlink w:anchor="latin-record-0212">
        <w:r>
          <w:rPr>
            <w:color w:val="000000"/>
          </w:rPr>
          <w:t xml:space="preserve">chaos</w:t>
        </w:r>
      </w:hyperlink>
      <w:r>
        <w:rPr>
          <w:b w:val="0"/>
          <w:i w:val="0"/>
        </w:rPr>
        <w:t>.</w:t>
      </w:r>
    </w:p>
    <w:p>
      <w:pPr>
        <w:widowControl/>
      </w:pPr>
      <w:r>
        <w:rPr>
          <w:b/>
          <w:i w:val="0"/>
        </w:rPr>
        <w:t>chordas.</w:t>
      </w:r>
      <w:r>
        <w:rPr>
          <w:b w:val="0"/>
          <w:i w:val="0"/>
        </w:rPr>
        <w:t xml:space="preserve"> </w:t>
      </w:r>
      <w:hyperlink w:anchor="latin-record-0480">
        <w:r>
          <w:rPr>
            <w:color w:val="000000"/>
          </w:rPr>
          <w:t xml:space="preserve">fides / chorda</w:t>
        </w:r>
      </w:hyperlink>
      <w:r>
        <w:rPr>
          <w:b w:val="0"/>
          <w:i w:val="0"/>
        </w:rPr>
        <w:t>.</w:t>
      </w:r>
    </w:p>
    <w:p>
      <w:pPr>
        <w:widowControl/>
      </w:pPr>
      <w:r>
        <w:rPr>
          <w:b/>
          <w:i w:val="0"/>
        </w:rPr>
        <w:t>chordis.</w:t>
      </w:r>
      <w:r>
        <w:rPr>
          <w:b w:val="0"/>
          <w:i w:val="0"/>
        </w:rPr>
        <w:t xml:space="preserve"> </w:t>
      </w:r>
      <w:hyperlink w:anchor="latin-record-0480">
        <w:r>
          <w:rPr>
            <w:color w:val="000000"/>
          </w:rPr>
          <w:t xml:space="preserve">fides / chorda</w:t>
        </w:r>
      </w:hyperlink>
      <w:r>
        <w:rPr>
          <w:b w:val="0"/>
          <w:i w:val="0"/>
        </w:rPr>
        <w:t>.</w:t>
      </w:r>
    </w:p>
    <w:p>
      <w:pPr>
        <w:widowControl/>
      </w:pPr>
      <w:r>
        <w:rPr>
          <w:b/>
          <w:i w:val="0"/>
        </w:rPr>
        <w:t>Christophorus Landinus.</w:t>
      </w:r>
      <w:r>
        <w:rPr>
          <w:b w:val="0"/>
          <w:i w:val="0"/>
        </w:rPr>
        <w:t xml:space="preserve"> </w:t>
      </w:r>
      <w:hyperlink w:anchor="latin-record-0700">
        <w:r>
          <w:rPr>
            <w:color w:val="000000"/>
          </w:rPr>
          <w:t xml:space="preserve">Landinus; Nuthius; Vespuccius</w:t>
        </w:r>
      </w:hyperlink>
      <w:r>
        <w:rPr>
          <w:b w:val="0"/>
          <w:i w:val="0"/>
        </w:rPr>
        <w:t>.</w:t>
      </w:r>
    </w:p>
    <w:p>
      <w:pPr>
        <w:widowControl/>
      </w:pPr>
      <w:r>
        <w:rPr>
          <w:b/>
          <w:i w:val="0"/>
        </w:rPr>
        <w:t>Chrysippum.</w:t>
      </w:r>
      <w:r>
        <w:rPr>
          <w:b w:val="0"/>
          <w:i w:val="0"/>
        </w:rPr>
        <w:t xml:space="preserve"> </w:t>
      </w:r>
      <w:hyperlink w:anchor="latin-record-0213">
        <w:r>
          <w:rPr>
            <w:color w:val="000000"/>
          </w:rPr>
          <w:t xml:space="preserve">Chrysippus; Archelaus; Heraclides</w:t>
        </w:r>
      </w:hyperlink>
      <w:r>
        <w:rPr>
          <w:b w:val="0"/>
          <w:i w:val="0"/>
        </w:rPr>
        <w:t>.</w:t>
      </w:r>
    </w:p>
    <w:p>
      <w:pPr>
        <w:widowControl/>
      </w:pPr>
      <w:r>
        <w:rPr>
          <w:b/>
          <w:i w:val="0"/>
        </w:rPr>
        <w:t>cibis.</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cibo.</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cibos.</w:t>
      </w:r>
      <w:r>
        <w:rPr>
          <w:b w:val="0"/>
          <w:i w:val="0"/>
        </w:rPr>
        <w:t xml:space="preserve"> </w:t>
      </w:r>
      <w:hyperlink w:anchor="latin-record-0214">
        <w:r>
          <w:rPr>
            <w:color w:val="000000"/>
          </w:rPr>
          <w:t xml:space="preserve">cibus / nutrimentum / viva caro</w:t>
        </w:r>
      </w:hyperlink>
      <w:r>
        <w:rPr>
          <w:b w:val="0"/>
          <w:i w:val="0"/>
        </w:rPr>
        <w:t>.</w:t>
      </w:r>
    </w:p>
    <w:p>
      <w:pPr>
        <w:widowControl/>
      </w:pPr>
      <w:r>
        <w:rPr>
          <w:b/>
          <w:i w:val="0"/>
        </w:rPr>
        <w:t>cibus.</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circuitum.</w:t>
      </w:r>
      <w:r>
        <w:rPr>
          <w:b w:val="0"/>
          <w:i w:val="0"/>
        </w:rPr>
        <w:t xml:space="preserve"> </w:t>
      </w:r>
      <w:hyperlink w:anchor="latin-record-0215">
        <w:r>
          <w:rPr>
            <w:color w:val="000000"/>
          </w:rPr>
          <w:t xml:space="preserve">circuitus</w:t>
        </w:r>
      </w:hyperlink>
      <w:r>
        <w:rPr>
          <w:b w:val="0"/>
          <w:i w:val="0"/>
        </w:rPr>
        <w:t>.</w:t>
      </w:r>
    </w:p>
    <w:p>
      <w:pPr>
        <w:widowControl/>
      </w:pPr>
      <w:r>
        <w:rPr>
          <w:b/>
          <w:i w:val="0"/>
        </w:rPr>
        <w:t>circuitum atque transitum.</w:t>
      </w:r>
      <w:r>
        <w:rPr>
          <w:b w:val="0"/>
          <w:i w:val="0"/>
        </w:rPr>
        <w:t xml:space="preserve"> </w:t>
      </w:r>
      <w:hyperlink w:anchor="latin-record-1304">
        <w:r>
          <w:rPr>
            <w:color w:val="000000"/>
          </w:rPr>
          <w:t xml:space="preserve">transitus; circuitus</w:t>
        </w:r>
      </w:hyperlink>
      <w:r>
        <w:rPr>
          <w:b w:val="0"/>
          <w:i w:val="0"/>
        </w:rPr>
        <w:t>.</w:t>
      </w:r>
    </w:p>
    <w:p>
      <w:pPr>
        <w:widowControl/>
      </w:pPr>
      <w:r>
        <w:rPr>
          <w:b/>
          <w:i w:val="0"/>
        </w:rPr>
        <w:t>circuitus.</w:t>
      </w:r>
      <w:r>
        <w:rPr>
          <w:b w:val="0"/>
          <w:i w:val="0"/>
        </w:rPr>
        <w:t xml:space="preserve"> </w:t>
      </w:r>
      <w:hyperlink w:anchor="latin-record-0215">
        <w:r>
          <w:rPr>
            <w:color w:val="000000"/>
          </w:rPr>
          <w:t xml:space="preserve">circuitus</w:t>
        </w:r>
      </w:hyperlink>
      <w:r>
        <w:rPr>
          <w:b w:val="0"/>
          <w:i w:val="0"/>
        </w:rPr>
        <w:t>.</w:t>
      </w:r>
    </w:p>
    <w:p>
      <w:pPr>
        <w:widowControl/>
      </w:pPr>
      <w:r>
        <w:rPr>
          <w:b/>
          <w:i w:val="0"/>
        </w:rPr>
        <w:t>Circuitus.</w:t>
      </w:r>
      <w:r>
        <w:rPr>
          <w:b w:val="0"/>
          <w:i w:val="0"/>
        </w:rPr>
        <w:t xml:space="preserve"> </w:t>
      </w:r>
      <w:hyperlink w:anchor="latin-record-0215">
        <w:r>
          <w:rPr>
            <w:color w:val="000000"/>
          </w:rPr>
          <w:t xml:space="preserve">circuitus</w:t>
        </w:r>
      </w:hyperlink>
      <w:r>
        <w:rPr>
          <w:b w:val="0"/>
          <w:i w:val="0"/>
        </w:rPr>
        <w:t>.</w:t>
      </w:r>
    </w:p>
    <w:p>
      <w:pPr>
        <w:widowControl/>
      </w:pPr>
      <w:r>
        <w:rPr>
          <w:b/>
          <w:i w:val="0"/>
        </w:rPr>
        <w:t>circuituum.</w:t>
      </w:r>
      <w:r>
        <w:rPr>
          <w:b w:val="0"/>
          <w:i w:val="0"/>
        </w:rPr>
        <w:t xml:space="preserve"> </w:t>
      </w:r>
      <w:hyperlink w:anchor="latin-record-0215">
        <w:r>
          <w:rPr>
            <w:color w:val="000000"/>
          </w:rPr>
          <w:t xml:space="preserve">circuitus</w:t>
        </w:r>
      </w:hyperlink>
      <w:r>
        <w:rPr>
          <w:b w:val="0"/>
          <w:i w:val="0"/>
        </w:rPr>
        <w:t>.</w:t>
      </w:r>
    </w:p>
    <w:p>
      <w:pPr>
        <w:widowControl/>
      </w:pPr>
      <w:r>
        <w:rPr>
          <w:b/>
          <w:i w:val="0"/>
        </w:rPr>
        <w:t>circularis.</w:t>
      </w:r>
      <w:r>
        <w:rPr>
          <w:b w:val="0"/>
          <w:i w:val="0"/>
        </w:rPr>
        <w:t xml:space="preserve"> </w:t>
      </w:r>
      <w:hyperlink w:anchor="latin-record-1039">
        <w:r>
          <w:rPr>
            <w:color w:val="000000"/>
          </w:rPr>
          <w:t xml:space="preserve">quadrangularis / circularis</w:t>
        </w:r>
      </w:hyperlink>
      <w:r>
        <w:rPr>
          <w:b w:val="0"/>
          <w:i w:val="0"/>
        </w:rPr>
        <w:t>.</w:t>
      </w:r>
    </w:p>
    <w:p>
      <w:pPr>
        <w:widowControl/>
      </w:pPr>
      <w:r>
        <w:rPr>
          <w:b/>
          <w:i w:val="0"/>
        </w:rPr>
        <w:t>circuli.</w:t>
      </w:r>
      <w:r>
        <w:rPr>
          <w:b w:val="0"/>
          <w:i w:val="0"/>
        </w:rPr>
        <w:t xml:space="preserve"> </w:t>
      </w:r>
      <w:hyperlink w:anchor="latin-record-0767">
        <w:r>
          <w:rPr>
            <w:color w:val="000000"/>
          </w:rPr>
          <w:t xml:space="preserve">mathematici / circulus / planum</w:t>
        </w:r>
      </w:hyperlink>
      <w:r>
        <w:rPr>
          <w:b w:val="0"/>
          <w:i w:val="0"/>
        </w:rPr>
        <w:t>.</w:t>
      </w:r>
    </w:p>
    <w:p>
      <w:pPr>
        <w:widowControl/>
      </w:pPr>
      <w:r>
        <w:rPr>
          <w:b/>
          <w:i w:val="0"/>
        </w:rPr>
        <w:t>circulo.</w:t>
      </w:r>
      <w:r>
        <w:rPr>
          <w:b w:val="0"/>
          <w:i w:val="0"/>
        </w:rPr>
        <w:t xml:space="preserve"> </w:t>
      </w:r>
      <w:hyperlink w:anchor="latin-record-0216">
        <w:r>
          <w:rPr>
            <w:color w:val="000000"/>
          </w:rPr>
          <w:t xml:space="preserve">circulus</w:t>
        </w:r>
      </w:hyperlink>
      <w:r>
        <w:rPr>
          <w:b w:val="0"/>
          <w:i w:val="0"/>
        </w:rPr>
        <w:t>.</w:t>
      </w:r>
    </w:p>
    <w:p>
      <w:pPr>
        <w:widowControl/>
      </w:pPr>
      <w:r>
        <w:rPr>
          <w:b/>
          <w:i w:val="0"/>
        </w:rPr>
        <w:t>circulum.</w:t>
      </w:r>
      <w:r>
        <w:rPr>
          <w:b w:val="0"/>
          <w:i w:val="0"/>
        </w:rPr>
        <w:t xml:space="preserve"> </w:t>
      </w:r>
      <w:hyperlink w:anchor="latin-record-0216">
        <w:r>
          <w:rPr>
            <w:color w:val="000000"/>
          </w:rPr>
          <w:t xml:space="preserve">circulus</w:t>
        </w:r>
      </w:hyperlink>
      <w:r>
        <w:rPr>
          <w:b w:val="0"/>
          <w:i w:val="0"/>
        </w:rPr>
        <w:t>.</w:t>
      </w:r>
    </w:p>
    <w:p>
      <w:pPr>
        <w:widowControl/>
      </w:pPr>
      <w:r>
        <w:rPr>
          <w:b/>
          <w:i w:val="0"/>
        </w:rPr>
        <w:t>circulus.</w:t>
      </w:r>
      <w:r>
        <w:rPr>
          <w:b w:val="0"/>
          <w:i w:val="0"/>
        </w:rPr>
        <w:t xml:space="preserve"> </w:t>
      </w:r>
      <w:hyperlink w:anchor="latin-record-0216">
        <w:r>
          <w:rPr>
            <w:color w:val="000000"/>
          </w:rPr>
          <w:t xml:space="preserve">circulus</w:t>
        </w:r>
      </w:hyperlink>
      <w:r>
        <w:rPr>
          <w:b w:val="0"/>
          <w:i w:val="0"/>
        </w:rPr>
        <w:t xml:space="preserve">; </w:t>
      </w:r>
      <w:hyperlink w:anchor="latin-record-0767">
        <w:r>
          <w:rPr>
            <w:color w:val="000000"/>
          </w:rPr>
          <w:t xml:space="preserve">mathematici / circulus / planum</w:t>
        </w:r>
      </w:hyperlink>
      <w:r>
        <w:rPr>
          <w:b w:val="0"/>
          <w:i w:val="0"/>
        </w:rPr>
        <w:t>.</w:t>
      </w:r>
    </w:p>
    <w:p>
      <w:pPr>
        <w:widowControl/>
      </w:pPr>
      <w:r>
        <w:rPr>
          <w:b/>
          <w:i w:val="0"/>
        </w:rPr>
        <w:t>circumeundo.</w:t>
      </w:r>
      <w:r>
        <w:rPr>
          <w:b w:val="0"/>
          <w:i w:val="0"/>
        </w:rPr>
        <w:t xml:space="preserve"> </w:t>
      </w:r>
      <w:hyperlink w:anchor="latin-record-1123">
        <w:r>
          <w:rPr>
            <w:color w:val="000000"/>
          </w:rPr>
          <w:t xml:space="preserve">revolutio / orbicularis</w:t>
        </w:r>
      </w:hyperlink>
      <w:r>
        <w:rPr>
          <w:b w:val="0"/>
          <w:i w:val="0"/>
        </w:rPr>
        <w:t>.</w:t>
      </w:r>
    </w:p>
    <w:p>
      <w:pPr>
        <w:widowControl/>
      </w:pPr>
      <w:r>
        <w:rPr>
          <w:b/>
          <w:i w:val="0"/>
        </w:rPr>
        <w:t>circumferentia.</w:t>
      </w:r>
      <w:r>
        <w:rPr>
          <w:b w:val="0"/>
          <w:i w:val="0"/>
        </w:rPr>
        <w:t xml:space="preserve"> </w:t>
      </w:r>
      <w:hyperlink w:anchor="latin-record-0217">
        <w:r>
          <w:rPr>
            <w:color w:val="000000"/>
          </w:rPr>
          <w:t xml:space="preserve">circumferentia; cardo</w:t>
        </w:r>
      </w:hyperlink>
      <w:r>
        <w:rPr>
          <w:b w:val="0"/>
          <w:i w:val="0"/>
        </w:rPr>
        <w:t>.</w:t>
      </w:r>
    </w:p>
    <w:p>
      <w:pPr>
        <w:widowControl/>
      </w:pPr>
      <w:r>
        <w:rPr>
          <w:b/>
          <w:i w:val="0"/>
        </w:rPr>
        <w:t>circumscribitur.</w:t>
      </w:r>
      <w:r>
        <w:rPr>
          <w:b w:val="0"/>
          <w:i w:val="0"/>
        </w:rPr>
        <w:t xml:space="preserve"> </w:t>
      </w:r>
      <w:hyperlink w:anchor="latin-record-0642">
        <w:r>
          <w:rPr>
            <w:color w:val="000000"/>
          </w:rPr>
          <w:t xml:space="preserve">innotescere; circumscribere</w:t>
        </w:r>
      </w:hyperlink>
      <w:r>
        <w:rPr>
          <w:b w:val="0"/>
          <w:i w:val="0"/>
        </w:rPr>
        <w:t>.</w:t>
      </w:r>
    </w:p>
    <w:p>
      <w:pPr>
        <w:widowControl/>
      </w:pPr>
      <w:r>
        <w:rPr>
          <w:b/>
          <w:i w:val="0"/>
        </w:rPr>
        <w:t>circumvolutus.</w:t>
      </w:r>
      <w:r>
        <w:rPr>
          <w:b w:val="0"/>
          <w:i w:val="0"/>
        </w:rPr>
        <w:t xml:space="preserve"> </w:t>
      </w:r>
      <w:hyperlink w:anchor="latin-record-1123">
        <w:r>
          <w:rPr>
            <w:color w:val="000000"/>
          </w:rPr>
          <w:t xml:space="preserve">revolutio / orbicularis</w:t>
        </w:r>
      </w:hyperlink>
      <w:r>
        <w:rPr>
          <w:b w:val="0"/>
          <w:i w:val="0"/>
        </w:rPr>
        <w:t>.</w:t>
      </w:r>
    </w:p>
    <w:p>
      <w:pPr>
        <w:widowControl/>
      </w:pPr>
      <w:r>
        <w:rPr>
          <w:b/>
          <w:i w:val="0"/>
        </w:rPr>
        <w:t>clamat.</w:t>
      </w:r>
      <w:r>
        <w:rPr>
          <w:b w:val="0"/>
          <w:i w:val="0"/>
        </w:rPr>
        <w:t xml:space="preserve"> </w:t>
      </w:r>
      <w:hyperlink w:anchor="latin-record-0037">
        <w:r>
          <w:rPr>
            <w:color w:val="000000"/>
          </w:rPr>
          <w:t xml:space="preserve">advertere / admovere / clamare</w:t>
        </w:r>
      </w:hyperlink>
      <w:r>
        <w:rPr>
          <w:b w:val="0"/>
          <w:i w:val="0"/>
        </w:rPr>
        <w:t>.</w:t>
      </w:r>
    </w:p>
    <w:p>
      <w:pPr>
        <w:widowControl/>
      </w:pPr>
      <w:r>
        <w:rPr>
          <w:b/>
          <w:i w:val="0"/>
        </w:rPr>
        <w:t>claritas.</w:t>
      </w:r>
      <w:r>
        <w:rPr>
          <w:b w:val="0"/>
          <w:i w:val="0"/>
        </w:rPr>
        <w:t xml:space="preserve"> </w:t>
      </w:r>
      <w:hyperlink w:anchor="latin-record-0218">
        <w:r>
          <w:rPr>
            <w:color w:val="000000"/>
          </w:rPr>
          <w:t xml:space="preserve">claritas / fervor</w:t>
        </w:r>
      </w:hyperlink>
      <w:r>
        <w:rPr>
          <w:b w:val="0"/>
          <w:i w:val="0"/>
        </w:rPr>
        <w:t>.</w:t>
      </w:r>
    </w:p>
    <w:p>
      <w:pPr>
        <w:widowControl/>
      </w:pPr>
      <w:r>
        <w:rPr>
          <w:b/>
          <w:i w:val="0"/>
        </w:rPr>
        <w:t>Claritas.</w:t>
      </w:r>
      <w:r>
        <w:rPr>
          <w:b w:val="0"/>
          <w:i w:val="0"/>
        </w:rPr>
        <w:t xml:space="preserve"> </w:t>
      </w:r>
      <w:hyperlink w:anchor="latin-record-0218">
        <w:r>
          <w:rPr>
            <w:color w:val="000000"/>
          </w:rPr>
          <w:t xml:space="preserve">claritas / fervor</w:t>
        </w:r>
      </w:hyperlink>
      <w:r>
        <w:rPr>
          <w:b w:val="0"/>
          <w:i w:val="0"/>
        </w:rPr>
        <w:t>.</w:t>
      </w:r>
    </w:p>
    <w:p>
      <w:pPr>
        <w:widowControl/>
      </w:pPr>
      <w:r>
        <w:rPr>
          <w:b/>
          <w:i w:val="0"/>
        </w:rPr>
        <w:t>claritate.</w:t>
      </w:r>
      <w:r>
        <w:rPr>
          <w:b w:val="0"/>
          <w:i w:val="0"/>
        </w:rPr>
        <w:t xml:space="preserve"> </w:t>
      </w:r>
      <w:hyperlink w:anchor="latin-record-0218">
        <w:r>
          <w:rPr>
            <w:color w:val="000000"/>
          </w:rPr>
          <w:t xml:space="preserve">claritas / fervor</w:t>
        </w:r>
      </w:hyperlink>
      <w:r>
        <w:rPr>
          <w:b w:val="0"/>
          <w:i w:val="0"/>
        </w:rPr>
        <w:t>.</w:t>
      </w:r>
    </w:p>
    <w:p>
      <w:pPr>
        <w:widowControl/>
      </w:pPr>
      <w:r>
        <w:rPr>
          <w:b/>
          <w:i w:val="0"/>
        </w:rPr>
        <w:t>claudi.</w:t>
      </w:r>
      <w:r>
        <w:rPr>
          <w:b w:val="0"/>
          <w:i w:val="0"/>
        </w:rPr>
        <w:t xml:space="preserve"> </w:t>
      </w:r>
      <w:hyperlink w:anchor="latin-record-0602">
        <w:r>
          <w:rPr>
            <w:color w:val="000000"/>
          </w:rPr>
          <w:t xml:space="preserve">impedire / cohibere / claudere</w:t>
        </w:r>
      </w:hyperlink>
      <w:r>
        <w:rPr>
          <w:b w:val="0"/>
          <w:i w:val="0"/>
        </w:rPr>
        <w:t>.</w:t>
      </w:r>
    </w:p>
    <w:p>
      <w:pPr>
        <w:widowControl/>
      </w:pPr>
      <w:r>
        <w:rPr>
          <w:b/>
          <w:i w:val="0"/>
        </w:rPr>
        <w:t>claudit.</w:t>
      </w:r>
      <w:r>
        <w:rPr>
          <w:b w:val="0"/>
          <w:i w:val="0"/>
        </w:rPr>
        <w:t xml:space="preserve"> </w:t>
      </w:r>
      <w:hyperlink w:anchor="latin-record-1206">
        <w:r>
          <w:rPr>
            <w:color w:val="000000"/>
          </w:rPr>
          <w:t xml:space="preserve">sopire / claudere</w:t>
        </w:r>
      </w:hyperlink>
      <w:r>
        <w:rPr>
          <w:b w:val="0"/>
          <w:i w:val="0"/>
        </w:rPr>
        <w:t>.</w:t>
      </w:r>
    </w:p>
    <w:p>
      <w:pPr>
        <w:widowControl/>
      </w:pPr>
      <w:r>
        <w:rPr>
          <w:b/>
          <w:i w:val="0"/>
        </w:rPr>
        <w:t>clauditur.</w:t>
      </w:r>
      <w:r>
        <w:rPr>
          <w:b w:val="0"/>
          <w:i w:val="0"/>
        </w:rPr>
        <w:t xml:space="preserve"> </w:t>
      </w:r>
      <w:hyperlink w:anchor="latin-record-0602">
        <w:r>
          <w:rPr>
            <w:color w:val="000000"/>
          </w:rPr>
          <w:t xml:space="preserve">impedire / cohibere / claudere</w:t>
        </w:r>
      </w:hyperlink>
      <w:r>
        <w:rPr>
          <w:b w:val="0"/>
          <w:i w:val="0"/>
        </w:rPr>
        <w:t>.</w:t>
      </w:r>
    </w:p>
    <w:p>
      <w:pPr>
        <w:widowControl/>
      </w:pPr>
      <w:r>
        <w:rPr>
          <w:b/>
          <w:i w:val="0"/>
        </w:rPr>
        <w:t>Cleantes.</w:t>
      </w:r>
      <w:r>
        <w:rPr>
          <w:b w:val="0"/>
          <w:i w:val="0"/>
        </w:rPr>
        <w:t xml:space="preserve"> </w:t>
      </w:r>
      <w:hyperlink w:anchor="latin-record-1395">
        <w:r>
          <w:rPr>
            <w:color w:val="000000"/>
          </w:rPr>
          <w:t xml:space="preserve">Zeno; Cleantes; Antipater; Posidonius</w:t>
        </w:r>
      </w:hyperlink>
      <w:r>
        <w:rPr>
          <w:b w:val="0"/>
          <w:i w:val="0"/>
        </w:rPr>
        <w:t>.</w:t>
      </w:r>
    </w:p>
    <w:p>
      <w:pPr>
        <w:widowControl/>
      </w:pPr>
      <w:r>
        <w:rPr>
          <w:b/>
          <w:i w:val="0"/>
        </w:rPr>
        <w:t>coactis in unum.</w:t>
      </w:r>
      <w:r>
        <w:rPr>
          <w:b w:val="0"/>
          <w:i w:val="0"/>
        </w:rPr>
        <w:t xml:space="preserve"> </w:t>
      </w:r>
      <w:hyperlink w:anchor="latin-record-0224">
        <w:r>
          <w:rPr>
            <w:color w:val="000000"/>
          </w:rPr>
          <w:t xml:space="preserve">cogere in unum</w:t>
        </w:r>
      </w:hyperlink>
      <w:r>
        <w:rPr>
          <w:b w:val="0"/>
          <w:i w:val="0"/>
        </w:rPr>
        <w:t>.</w:t>
      </w:r>
    </w:p>
    <w:p>
      <w:pPr>
        <w:widowControl/>
      </w:pPr>
      <w:r>
        <w:rPr>
          <w:b/>
          <w:i w:val="0"/>
        </w:rPr>
        <w:t>coactus.</w:t>
      </w:r>
      <w:r>
        <w:rPr>
          <w:b w:val="0"/>
          <w:i w:val="0"/>
        </w:rPr>
        <w:t xml:space="preserve"> </w:t>
      </w:r>
      <w:hyperlink w:anchor="latin-record-0223">
        <w:r>
          <w:rPr>
            <w:color w:val="000000"/>
          </w:rPr>
          <w:t xml:space="preserve">cogere</w:t>
        </w:r>
      </w:hyperlink>
      <w:r>
        <w:rPr>
          <w:b w:val="0"/>
          <w:i w:val="0"/>
        </w:rPr>
        <w:t>.</w:t>
      </w:r>
    </w:p>
    <w:p>
      <w:pPr>
        <w:widowControl/>
      </w:pPr>
      <w:r>
        <w:rPr>
          <w:b/>
          <w:i w:val="0"/>
        </w:rPr>
        <w:t>coagulatur.</w:t>
      </w:r>
      <w:r>
        <w:rPr>
          <w:b w:val="0"/>
          <w:i w:val="0"/>
        </w:rPr>
        <w:t xml:space="preserve"> </w:t>
      </w:r>
      <w:hyperlink w:anchor="latin-record-0220">
        <w:r>
          <w:rPr>
            <w:color w:val="000000"/>
          </w:rPr>
          <w:t xml:space="preserve">coagulum; lac; coagulare</w:t>
        </w:r>
      </w:hyperlink>
      <w:r>
        <w:rPr>
          <w:b w:val="0"/>
          <w:i w:val="0"/>
        </w:rPr>
        <w:t>.</w:t>
      </w:r>
    </w:p>
    <w:p>
      <w:pPr>
        <w:widowControl/>
      </w:pPr>
      <w:r>
        <w:rPr>
          <w:b/>
          <w:i w:val="0"/>
        </w:rPr>
        <w:t>coaguli.</w:t>
      </w:r>
      <w:r>
        <w:rPr>
          <w:b w:val="0"/>
          <w:i w:val="0"/>
        </w:rPr>
        <w:t xml:space="preserve"> </w:t>
      </w:r>
      <w:hyperlink w:anchor="latin-record-0220">
        <w:r>
          <w:rPr>
            <w:color w:val="000000"/>
          </w:rPr>
          <w:t xml:space="preserve">coagulum; lac; coagulare</w:t>
        </w:r>
      </w:hyperlink>
      <w:r>
        <w:rPr>
          <w:b w:val="0"/>
          <w:i w:val="0"/>
        </w:rPr>
        <w:t>.</w:t>
      </w:r>
    </w:p>
    <w:p>
      <w:pPr>
        <w:widowControl/>
      </w:pPr>
      <w:r>
        <w:rPr>
          <w:b/>
          <w:i w:val="0"/>
        </w:rPr>
        <w:t>coagulo.</w:t>
      </w:r>
      <w:r>
        <w:rPr>
          <w:b w:val="0"/>
          <w:i w:val="0"/>
        </w:rPr>
        <w:t xml:space="preserve"> </w:t>
      </w:r>
      <w:hyperlink w:anchor="latin-record-0219">
        <w:r>
          <w:rPr>
            <w:color w:val="000000"/>
          </w:rPr>
          <w:t xml:space="preserve">coagulum / conglutinare</w:t>
        </w:r>
      </w:hyperlink>
      <w:r>
        <w:rPr>
          <w:b w:val="0"/>
          <w:i w:val="0"/>
        </w:rPr>
        <w:t>.</w:t>
      </w:r>
    </w:p>
    <w:p>
      <w:pPr>
        <w:widowControl/>
      </w:pPr>
      <w:r>
        <w:rPr>
          <w:b/>
          <w:i w:val="0"/>
        </w:rPr>
        <w:t>coalescent.</w:t>
      </w:r>
      <w:r>
        <w:rPr>
          <w:b w:val="0"/>
          <w:i w:val="0"/>
        </w:rPr>
        <w:t xml:space="preserve"> </w:t>
      </w:r>
      <w:hyperlink w:anchor="latin-record-0312">
        <w:r>
          <w:rPr>
            <w:color w:val="000000"/>
          </w:rPr>
          <w:t xml:space="preserve">conspiratio / concinere / coalescere</w:t>
        </w:r>
      </w:hyperlink>
      <w:r>
        <w:rPr>
          <w:b w:val="0"/>
          <w:i w:val="0"/>
        </w:rPr>
        <w:t>.</w:t>
      </w:r>
    </w:p>
    <w:p>
      <w:pPr>
        <w:widowControl/>
      </w:pPr>
      <w:r>
        <w:rPr>
          <w:b/>
          <w:i w:val="0"/>
        </w:rPr>
        <w:t>coalescere.</w:t>
      </w:r>
      <w:r>
        <w:rPr>
          <w:b w:val="0"/>
          <w:i w:val="0"/>
        </w:rPr>
        <w:t xml:space="preserve"> </w:t>
      </w:r>
      <w:hyperlink w:anchor="latin-record-0221">
        <w:r>
          <w:rPr>
            <w:color w:val="000000"/>
          </w:rPr>
          <w:t xml:space="preserve">coalescere</w:t>
        </w:r>
      </w:hyperlink>
      <w:r>
        <w:rPr>
          <w:b w:val="0"/>
          <w:i w:val="0"/>
        </w:rPr>
        <w:t>.</w:t>
      </w:r>
    </w:p>
    <w:p>
      <w:pPr>
        <w:widowControl/>
      </w:pPr>
      <w:r>
        <w:rPr>
          <w:b/>
          <w:i w:val="0"/>
        </w:rPr>
        <w:t>coalesceret.</w:t>
      </w:r>
      <w:r>
        <w:rPr>
          <w:b w:val="0"/>
          <w:i w:val="0"/>
        </w:rPr>
        <w:t xml:space="preserve"> </w:t>
      </w:r>
      <w:hyperlink w:anchor="latin-record-0221">
        <w:r>
          <w:rPr>
            <w:color w:val="000000"/>
          </w:rPr>
          <w:t xml:space="preserve">coalescere</w:t>
        </w:r>
      </w:hyperlink>
      <w:r>
        <w:rPr>
          <w:b w:val="0"/>
          <w:i w:val="0"/>
        </w:rPr>
        <w:t>.</w:t>
      </w:r>
    </w:p>
    <w:p>
      <w:pPr>
        <w:widowControl/>
      </w:pPr>
      <w:r>
        <w:rPr>
          <w:b/>
          <w:i w:val="0"/>
        </w:rPr>
        <w:t>coalescunt.</w:t>
      </w:r>
      <w:r>
        <w:rPr>
          <w:b w:val="0"/>
          <w:i w:val="0"/>
        </w:rPr>
        <w:t xml:space="preserve"> </w:t>
      </w:r>
      <w:hyperlink w:anchor="latin-record-0222">
        <w:r>
          <w:rPr>
            <w:color w:val="000000"/>
          </w:rPr>
          <w:t xml:space="preserve">coalescere; virere</w:t>
        </w:r>
      </w:hyperlink>
      <w:r>
        <w:rPr>
          <w:b w:val="0"/>
          <w:i w:val="0"/>
        </w:rPr>
        <w:t>.</w:t>
      </w:r>
    </w:p>
    <w:p>
      <w:pPr>
        <w:widowControl/>
      </w:pPr>
      <w:r>
        <w:rPr>
          <w:b/>
          <w:i w:val="0"/>
        </w:rPr>
        <w:t>coarctatur.</w:t>
      </w:r>
      <w:r>
        <w:rPr>
          <w:b w:val="0"/>
          <w:i w:val="0"/>
        </w:rPr>
        <w:t xml:space="preserve"> </w:t>
      </w:r>
      <w:hyperlink w:anchor="latin-record-0322">
        <w:r>
          <w:rPr>
            <w:color w:val="000000"/>
          </w:rPr>
          <w:t xml:space="preserve">contrahere / coarctare</w:t>
        </w:r>
      </w:hyperlink>
      <w:r>
        <w:rPr>
          <w:b w:val="0"/>
          <w:i w:val="0"/>
        </w:rPr>
        <w:t>.</w:t>
      </w:r>
    </w:p>
    <w:p>
      <w:pPr>
        <w:widowControl/>
      </w:pPr>
      <w:r>
        <w:rPr>
          <w:b/>
          <w:i w:val="0"/>
        </w:rPr>
        <w:t>cogantur.</w:t>
      </w:r>
      <w:r>
        <w:rPr>
          <w:b w:val="0"/>
          <w:i w:val="0"/>
        </w:rPr>
        <w:t xml:space="preserve"> </w:t>
      </w:r>
      <w:hyperlink w:anchor="latin-record-0225">
        <w:r>
          <w:rPr>
            <w:color w:val="000000"/>
          </w:rPr>
          <w:t xml:space="preserve">cogere; compellere</w:t>
        </w:r>
      </w:hyperlink>
      <w:r>
        <w:rPr>
          <w:b w:val="0"/>
          <w:i w:val="0"/>
        </w:rPr>
        <w:t>.</w:t>
      </w:r>
    </w:p>
    <w:p>
      <w:pPr>
        <w:widowControl/>
      </w:pPr>
      <w:r>
        <w:rPr>
          <w:b/>
          <w:i w:val="0"/>
        </w:rPr>
        <w:t>cogatur.</w:t>
      </w:r>
      <w:r>
        <w:rPr>
          <w:b w:val="0"/>
          <w:i w:val="0"/>
        </w:rPr>
        <w:t xml:space="preserve"> </w:t>
      </w:r>
      <w:hyperlink w:anchor="latin-record-0223">
        <w:r>
          <w:rPr>
            <w:color w:val="000000"/>
          </w:rPr>
          <w:t xml:space="preserve">cogere</w:t>
        </w:r>
      </w:hyperlink>
      <w:r>
        <w:rPr>
          <w:b w:val="0"/>
          <w:i w:val="0"/>
        </w:rPr>
        <w:t xml:space="preserve">; </w:t>
      </w:r>
      <w:hyperlink w:anchor="latin-record-0225">
        <w:r>
          <w:rPr>
            <w:color w:val="000000"/>
          </w:rPr>
          <w:t xml:space="preserve">cogere; compellere</w:t>
        </w:r>
      </w:hyperlink>
      <w:r>
        <w:rPr>
          <w:b w:val="0"/>
          <w:i w:val="0"/>
        </w:rPr>
        <w:t>.</w:t>
      </w:r>
    </w:p>
    <w:p>
      <w:pPr>
        <w:widowControl/>
      </w:pPr>
      <w:r>
        <w:rPr>
          <w:b/>
          <w:i w:val="0"/>
        </w:rPr>
        <w:t>cogens.</w:t>
      </w:r>
      <w:r>
        <w:rPr>
          <w:b w:val="0"/>
          <w:i w:val="0"/>
        </w:rPr>
        <w:t xml:space="preserve"> </w:t>
      </w:r>
      <w:hyperlink w:anchor="latin-record-0223">
        <w:r>
          <w:rPr>
            <w:color w:val="000000"/>
          </w:rPr>
          <w:t xml:space="preserve">cogere</w:t>
        </w:r>
      </w:hyperlink>
      <w:r>
        <w:rPr>
          <w:b w:val="0"/>
          <w:i w:val="0"/>
        </w:rPr>
        <w:t>.</w:t>
      </w:r>
    </w:p>
    <w:p>
      <w:pPr>
        <w:widowControl/>
      </w:pPr>
      <w:r>
        <w:rPr>
          <w:b/>
          <w:i w:val="0"/>
        </w:rPr>
        <w:t>cogente.</w:t>
      </w:r>
      <w:r>
        <w:rPr>
          <w:b w:val="0"/>
          <w:i w:val="0"/>
        </w:rPr>
        <w:t xml:space="preserve"> </w:t>
      </w:r>
      <w:hyperlink w:anchor="latin-record-0223">
        <w:r>
          <w:rPr>
            <w:color w:val="000000"/>
          </w:rPr>
          <w:t xml:space="preserve">cogere</w:t>
        </w:r>
      </w:hyperlink>
      <w:r>
        <w:rPr>
          <w:b w:val="0"/>
          <w:i w:val="0"/>
        </w:rPr>
        <w:t>.</w:t>
      </w:r>
    </w:p>
    <w:p>
      <w:pPr>
        <w:widowControl/>
      </w:pPr>
      <w:r>
        <w:rPr>
          <w:b/>
          <w:i w:val="0"/>
        </w:rPr>
        <w:t>cogeris.</w:t>
      </w:r>
      <w:r>
        <w:rPr>
          <w:b w:val="0"/>
          <w:i w:val="0"/>
        </w:rPr>
        <w:t xml:space="preserve"> </w:t>
      </w:r>
      <w:hyperlink w:anchor="latin-record-0225">
        <w:r>
          <w:rPr>
            <w:color w:val="000000"/>
          </w:rPr>
          <w:t xml:space="preserve">cogere; compellere</w:t>
        </w:r>
      </w:hyperlink>
      <w:r>
        <w:rPr>
          <w:b w:val="0"/>
          <w:i w:val="0"/>
        </w:rPr>
        <w:t>.</w:t>
      </w:r>
    </w:p>
    <w:p>
      <w:pPr>
        <w:widowControl/>
      </w:pPr>
      <w:r>
        <w:rPr>
          <w:b/>
          <w:i w:val="0"/>
        </w:rPr>
        <w:t>cogi.</w:t>
      </w:r>
      <w:r>
        <w:rPr>
          <w:b w:val="0"/>
          <w:i w:val="0"/>
        </w:rPr>
        <w:t xml:space="preserve"> </w:t>
      </w:r>
      <w:hyperlink w:anchor="latin-record-0223">
        <w:r>
          <w:rPr>
            <w:color w:val="000000"/>
          </w:rPr>
          <w:t xml:space="preserve">cogere</w:t>
        </w:r>
      </w:hyperlink>
      <w:r>
        <w:rPr>
          <w:b w:val="0"/>
          <w:i w:val="0"/>
        </w:rPr>
        <w:t>.</w:t>
      </w:r>
    </w:p>
    <w:p>
      <w:pPr>
        <w:widowControl/>
      </w:pPr>
      <w:r>
        <w:rPr>
          <w:b/>
          <w:i w:val="0"/>
        </w:rPr>
        <w:t>Cogit.</w:t>
      </w:r>
      <w:r>
        <w:rPr>
          <w:b w:val="0"/>
          <w:i w:val="0"/>
        </w:rPr>
        <w:t xml:space="preserve"> </w:t>
      </w:r>
      <w:hyperlink w:anchor="latin-record-0223">
        <w:r>
          <w:rPr>
            <w:color w:val="000000"/>
          </w:rPr>
          <w:t xml:space="preserve">cogere</w:t>
        </w:r>
      </w:hyperlink>
      <w:r>
        <w:rPr>
          <w:b w:val="0"/>
          <w:i w:val="0"/>
        </w:rPr>
        <w:t>.</w:t>
      </w:r>
    </w:p>
    <w:p>
      <w:pPr>
        <w:widowControl/>
      </w:pPr>
      <w:r>
        <w:rPr>
          <w:b/>
          <w:i w:val="0"/>
        </w:rPr>
        <w:t>cogit.</w:t>
      </w:r>
      <w:r>
        <w:rPr>
          <w:b w:val="0"/>
          <w:i w:val="0"/>
        </w:rPr>
        <w:t xml:space="preserve"> </w:t>
      </w:r>
      <w:hyperlink w:anchor="latin-record-0223">
        <w:r>
          <w:rPr>
            <w:color w:val="000000"/>
          </w:rPr>
          <w:t xml:space="preserve">cogere</w:t>
        </w:r>
      </w:hyperlink>
      <w:r>
        <w:rPr>
          <w:b w:val="0"/>
          <w:i w:val="0"/>
        </w:rPr>
        <w:t xml:space="preserve">; </w:t>
      </w:r>
      <w:hyperlink w:anchor="latin-record-0225">
        <w:r>
          <w:rPr>
            <w:color w:val="000000"/>
          </w:rPr>
          <w:t xml:space="preserve">cogere; compellere</w:t>
        </w:r>
      </w:hyperlink>
      <w:r>
        <w:rPr>
          <w:b w:val="0"/>
          <w:i w:val="0"/>
        </w:rPr>
        <w:t>.</w:t>
      </w:r>
    </w:p>
    <w:p>
      <w:pPr>
        <w:widowControl/>
      </w:pPr>
      <w:r>
        <w:rPr>
          <w:b/>
          <w:i w:val="0"/>
        </w:rPr>
        <w:t>cogitabit.</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cogitare.</w:t>
      </w:r>
      <w:r>
        <w:rPr>
          <w:b w:val="0"/>
          <w:i w:val="0"/>
        </w:rPr>
        <w:t xml:space="preserve"> </w:t>
      </w:r>
      <w:hyperlink w:anchor="latin-record-0226">
        <w:r>
          <w:rPr>
            <w:color w:val="000000"/>
          </w:rPr>
          <w:t xml:space="preserve">cogitare</w:t>
        </w:r>
      </w:hyperlink>
      <w:r>
        <w:rPr>
          <w:b w:val="0"/>
          <w:i w:val="0"/>
        </w:rPr>
        <w:t xml:space="preserve">; </w:t>
      </w:r>
      <w:hyperlink w:anchor="latin-record-0227">
        <w:r>
          <w:rPr>
            <w:color w:val="000000"/>
          </w:rPr>
          <w:t xml:space="preserve">cogitare; considerare</w:t>
        </w:r>
      </w:hyperlink>
      <w:r>
        <w:rPr>
          <w:b w:val="0"/>
          <w:i w:val="0"/>
        </w:rPr>
        <w:t>.</w:t>
      </w:r>
    </w:p>
    <w:p>
      <w:pPr>
        <w:widowControl/>
      </w:pPr>
      <w:r>
        <w:rPr>
          <w:b/>
          <w:i w:val="0"/>
        </w:rPr>
        <w:t>cogitaret.</w:t>
      </w:r>
      <w:r>
        <w:rPr>
          <w:b w:val="0"/>
          <w:i w:val="0"/>
        </w:rPr>
        <w:t xml:space="preserve"> </w:t>
      </w:r>
      <w:hyperlink w:anchor="latin-record-0226">
        <w:r>
          <w:rPr>
            <w:color w:val="000000"/>
          </w:rPr>
          <w:t xml:space="preserve">cogitare</w:t>
        </w:r>
      </w:hyperlink>
      <w:r>
        <w:rPr>
          <w:b w:val="0"/>
          <w:i w:val="0"/>
        </w:rPr>
        <w:t>.</w:t>
      </w:r>
    </w:p>
    <w:p>
      <w:pPr>
        <w:widowControl/>
      </w:pPr>
      <w:r>
        <w:rPr>
          <w:b/>
          <w:i w:val="0"/>
        </w:rPr>
        <w:t>cogitat.</w:t>
      </w:r>
      <w:r>
        <w:rPr>
          <w:b w:val="0"/>
          <w:i w:val="0"/>
        </w:rPr>
        <w:t xml:space="preserve"> </w:t>
      </w:r>
      <w:hyperlink w:anchor="latin-record-0226">
        <w:r>
          <w:rPr>
            <w:color w:val="000000"/>
          </w:rPr>
          <w:t xml:space="preserve">cogitare</w:t>
        </w:r>
      </w:hyperlink>
      <w:r>
        <w:rPr>
          <w:b w:val="0"/>
          <w:i w:val="0"/>
        </w:rPr>
        <w:t>.</w:t>
      </w:r>
    </w:p>
    <w:p>
      <w:pPr>
        <w:widowControl/>
      </w:pPr>
      <w:r>
        <w:rPr>
          <w:b/>
          <w:i w:val="0"/>
        </w:rPr>
        <w:t>Cogitate.</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cogitatio.</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cogitatione.</w:t>
      </w:r>
      <w:r>
        <w:rPr>
          <w:b w:val="0"/>
          <w:i w:val="0"/>
        </w:rPr>
        <w:t xml:space="preserve"> </w:t>
      </w:r>
      <w:hyperlink w:anchor="latin-record-0227">
        <w:r>
          <w:rPr>
            <w:color w:val="000000"/>
          </w:rPr>
          <w:t xml:space="preserve">cogitare; considerare</w:t>
        </w:r>
      </w:hyperlink>
      <w:r>
        <w:rPr>
          <w:b w:val="0"/>
          <w:i w:val="0"/>
        </w:rPr>
        <w:t xml:space="preserve">; </w:t>
      </w:r>
      <w:hyperlink w:anchor="latin-record-0228">
        <w:r>
          <w:rPr>
            <w:color w:val="000000"/>
          </w:rPr>
          <w:t xml:space="preserve">cogitatione separari</w:t>
        </w:r>
      </w:hyperlink>
      <w:r>
        <w:rPr>
          <w:b w:val="0"/>
          <w:i w:val="0"/>
        </w:rPr>
        <w:t>.</w:t>
      </w:r>
    </w:p>
    <w:p>
      <w:pPr>
        <w:widowControl/>
      </w:pPr>
      <w:r>
        <w:rPr>
          <w:b/>
          <w:i w:val="0"/>
        </w:rPr>
        <w:t>cogitatione saltem.</w:t>
      </w:r>
      <w:r>
        <w:rPr>
          <w:b w:val="0"/>
          <w:i w:val="0"/>
        </w:rPr>
        <w:t xml:space="preserve"> </w:t>
      </w:r>
      <w:hyperlink w:anchor="latin-record-0228">
        <w:r>
          <w:rPr>
            <w:color w:val="000000"/>
          </w:rPr>
          <w:t xml:space="preserve">cogitatione separari</w:t>
        </w:r>
      </w:hyperlink>
      <w:r>
        <w:rPr>
          <w:b w:val="0"/>
          <w:i w:val="0"/>
        </w:rPr>
        <w:t>.</w:t>
      </w:r>
    </w:p>
    <w:p>
      <w:pPr>
        <w:widowControl/>
      </w:pPr>
      <w:r>
        <w:rPr>
          <w:b/>
          <w:i w:val="0"/>
        </w:rPr>
        <w:t>cogitationum.</w:t>
      </w:r>
      <w:r>
        <w:rPr>
          <w:b w:val="0"/>
          <w:i w:val="0"/>
        </w:rPr>
        <w:t xml:space="preserve"> </w:t>
      </w:r>
      <w:hyperlink w:anchor="latin-record-0226">
        <w:r>
          <w:rPr>
            <w:color w:val="000000"/>
          </w:rPr>
          <w:t xml:space="preserve">cogitare</w:t>
        </w:r>
      </w:hyperlink>
      <w:r>
        <w:rPr>
          <w:b w:val="0"/>
          <w:i w:val="0"/>
        </w:rPr>
        <w:t>.</w:t>
      </w:r>
    </w:p>
    <w:p>
      <w:pPr>
        <w:widowControl/>
      </w:pPr>
      <w:r>
        <w:rPr>
          <w:b/>
          <w:i w:val="0"/>
        </w:rPr>
        <w:t>cogitet.</w:t>
      </w:r>
      <w:r>
        <w:rPr>
          <w:b w:val="0"/>
          <w:i w:val="0"/>
        </w:rPr>
        <w:t xml:space="preserve"> </w:t>
      </w:r>
      <w:hyperlink w:anchor="latin-record-0226">
        <w:r>
          <w:rPr>
            <w:color w:val="000000"/>
          </w:rPr>
          <w:t xml:space="preserve">cogitare</w:t>
        </w:r>
      </w:hyperlink>
      <w:r>
        <w:rPr>
          <w:b w:val="0"/>
          <w:i w:val="0"/>
        </w:rPr>
        <w:t>.</w:t>
      </w:r>
    </w:p>
    <w:p>
      <w:pPr>
        <w:widowControl/>
      </w:pPr>
      <w:r>
        <w:rPr>
          <w:b/>
          <w:i w:val="0"/>
        </w:rPr>
        <w:t>cogitur.</w:t>
      </w:r>
      <w:r>
        <w:rPr>
          <w:b w:val="0"/>
          <w:i w:val="0"/>
        </w:rPr>
        <w:t xml:space="preserve"> </w:t>
      </w:r>
      <w:hyperlink w:anchor="latin-record-0223">
        <w:r>
          <w:rPr>
            <w:color w:val="000000"/>
          </w:rPr>
          <w:t xml:space="preserve">cogere</w:t>
        </w:r>
      </w:hyperlink>
      <w:r>
        <w:rPr>
          <w:b w:val="0"/>
          <w:i w:val="0"/>
        </w:rPr>
        <w:t xml:space="preserve">; </w:t>
      </w:r>
      <w:hyperlink w:anchor="latin-record-0225">
        <w:r>
          <w:rPr>
            <w:color w:val="000000"/>
          </w:rPr>
          <w:t xml:space="preserve">cogere; compellere</w:t>
        </w:r>
      </w:hyperlink>
      <w:r>
        <w:rPr>
          <w:b w:val="0"/>
          <w:i w:val="0"/>
        </w:rPr>
        <w:t>.</w:t>
      </w:r>
    </w:p>
    <w:p>
      <w:pPr>
        <w:widowControl/>
      </w:pPr>
      <w:r>
        <w:rPr>
          <w:b/>
          <w:i w:val="0"/>
        </w:rPr>
        <w:t>cognatissimo.</w:t>
      </w:r>
      <w:r>
        <w:rPr>
          <w:b w:val="0"/>
          <w:i w:val="0"/>
        </w:rPr>
        <w:t xml:space="preserve"> </w:t>
      </w:r>
      <w:hyperlink w:anchor="latin-record-0332">
        <w:r>
          <w:rPr>
            <w:color w:val="000000"/>
          </w:rPr>
          <w:t xml:space="preserve">copulare / insinuare / cognatus</w:t>
        </w:r>
      </w:hyperlink>
      <w:r>
        <w:rPr>
          <w:b w:val="0"/>
          <w:i w:val="0"/>
        </w:rPr>
        <w:t>.</w:t>
      </w:r>
    </w:p>
    <w:p>
      <w:pPr>
        <w:widowControl/>
      </w:pPr>
      <w:r>
        <w:rPr>
          <w:b/>
          <w:i w:val="0"/>
        </w:rPr>
        <w:t>cognitio.</w:t>
      </w:r>
      <w:r>
        <w:rPr>
          <w:b w:val="0"/>
          <w:i w:val="0"/>
        </w:rPr>
        <w:t xml:space="preserve"> </w:t>
      </w:r>
      <w:hyperlink w:anchor="latin-record-0229">
        <w:r>
          <w:rPr>
            <w:color w:val="000000"/>
          </w:rPr>
          <w:t xml:space="preserve">cognitio</w:t>
        </w:r>
      </w:hyperlink>
      <w:r>
        <w:rPr>
          <w:b w:val="0"/>
          <w:i w:val="0"/>
        </w:rPr>
        <w:t xml:space="preserve">; </w:t>
      </w:r>
      <w:hyperlink w:anchor="latin-record-0230">
        <w:r>
          <w:rPr>
            <w:color w:val="000000"/>
          </w:rPr>
          <w:t xml:space="preserve">cognitio / voluntas</w:t>
        </w:r>
      </w:hyperlink>
      <w:r>
        <w:rPr>
          <w:b w:val="0"/>
          <w:i w:val="0"/>
        </w:rPr>
        <w:t>.</w:t>
      </w:r>
    </w:p>
    <w:p>
      <w:pPr>
        <w:widowControl/>
      </w:pPr>
      <w:r>
        <w:rPr>
          <w:b/>
          <w:i w:val="0"/>
        </w:rPr>
        <w:t>cognitione.</w:t>
      </w:r>
      <w:r>
        <w:rPr>
          <w:b w:val="0"/>
          <w:i w:val="0"/>
        </w:rPr>
        <w:t xml:space="preserve"> </w:t>
      </w:r>
      <w:hyperlink w:anchor="latin-record-0229">
        <w:r>
          <w:rPr>
            <w:color w:val="000000"/>
          </w:rPr>
          <w:t xml:space="preserve">cognitio</w:t>
        </w:r>
      </w:hyperlink>
      <w:r>
        <w:rPr>
          <w:b w:val="0"/>
          <w:i w:val="0"/>
        </w:rPr>
        <w:t>.</w:t>
      </w:r>
    </w:p>
    <w:p>
      <w:pPr>
        <w:widowControl/>
      </w:pPr>
      <w:r>
        <w:rPr>
          <w:b/>
          <w:i w:val="0"/>
        </w:rPr>
        <w:t>cognitione affectioneque.</w:t>
      </w:r>
      <w:r>
        <w:rPr>
          <w:b w:val="0"/>
          <w:i w:val="0"/>
        </w:rPr>
        <w:t xml:space="preserve"> </w:t>
      </w:r>
      <w:hyperlink w:anchor="latin-record-0394">
        <w:r>
          <w:rPr>
            <w:color w:val="000000"/>
          </w:rPr>
          <w:t xml:space="preserve">discursus temporalis</w:t>
        </w:r>
      </w:hyperlink>
      <w:r>
        <w:rPr>
          <w:b w:val="0"/>
          <w:i w:val="0"/>
        </w:rPr>
        <w:t>.</w:t>
      </w:r>
    </w:p>
    <w:p>
      <w:pPr>
        <w:widowControl/>
      </w:pPr>
      <w:r>
        <w:rPr>
          <w:b/>
          <w:i w:val="0"/>
        </w:rPr>
        <w:t>cognitionem.</w:t>
      </w:r>
      <w:r>
        <w:rPr>
          <w:b w:val="0"/>
          <w:i w:val="0"/>
        </w:rPr>
        <w:t xml:space="preserve"> </w:t>
      </w:r>
      <w:hyperlink w:anchor="latin-record-0229">
        <w:r>
          <w:rPr>
            <w:color w:val="000000"/>
          </w:rPr>
          <w:t xml:space="preserve">cognitio</w:t>
        </w:r>
      </w:hyperlink>
      <w:r>
        <w:rPr>
          <w:b w:val="0"/>
          <w:i w:val="0"/>
        </w:rPr>
        <w:t>.</w:t>
      </w:r>
    </w:p>
    <w:p>
      <w:pPr>
        <w:widowControl/>
      </w:pPr>
      <w:r>
        <w:rPr>
          <w:b/>
          <w:i w:val="0"/>
        </w:rPr>
        <w:t>cognitu.</w:t>
      </w:r>
      <w:r>
        <w:rPr>
          <w:b w:val="0"/>
          <w:i w:val="0"/>
        </w:rPr>
        <w:t xml:space="preserve"> </w:t>
      </w:r>
      <w:hyperlink w:anchor="latin-record-1137">
        <w:r>
          <w:rPr>
            <w:color w:val="000000"/>
          </w:rPr>
          <w:t xml:space="preserve">scientia et ignorantia</w:t>
        </w:r>
      </w:hyperlink>
      <w:r>
        <w:rPr>
          <w:b w:val="0"/>
          <w:i w:val="0"/>
        </w:rPr>
        <w:t>.</w:t>
      </w:r>
    </w:p>
    <w:p>
      <w:pPr>
        <w:widowControl/>
      </w:pPr>
      <w:r>
        <w:rPr>
          <w:b/>
          <w:i w:val="0"/>
        </w:rPr>
        <w:t>cognomen.</w:t>
      </w:r>
      <w:r>
        <w:rPr>
          <w:b w:val="0"/>
          <w:i w:val="0"/>
        </w:rPr>
        <w:t xml:space="preserve"> </w:t>
      </w:r>
      <w:hyperlink w:anchor="latin-record-1210">
        <w:r>
          <w:rPr>
            <w:color w:val="000000"/>
          </w:rPr>
          <w:t xml:space="preserve">species / genus / cognomen</w:t>
        </w:r>
      </w:hyperlink>
      <w:r>
        <w:rPr>
          <w:b w:val="0"/>
          <w:i w:val="0"/>
        </w:rPr>
        <w:t>.</w:t>
      </w:r>
    </w:p>
    <w:p>
      <w:pPr>
        <w:widowControl/>
      </w:pPr>
      <w:r>
        <w:rPr>
          <w:b/>
          <w:i w:val="0"/>
        </w:rPr>
        <w:t>cognoscat.</w:t>
      </w:r>
      <w:r>
        <w:rPr>
          <w:b w:val="0"/>
          <w:i w:val="0"/>
        </w:rPr>
        <w:t xml:space="preserve"> </w:t>
      </w:r>
      <w:hyperlink w:anchor="latin-record-0231">
        <w:r>
          <w:rPr>
            <w:color w:val="000000"/>
          </w:rPr>
          <w:t xml:space="preserve">cognoscere (additional forms)</w:t>
        </w:r>
      </w:hyperlink>
      <w:r>
        <w:rPr>
          <w:b w:val="0"/>
          <w:i w:val="0"/>
        </w:rPr>
        <w:t>.</w:t>
      </w:r>
    </w:p>
    <w:p>
      <w:pPr>
        <w:widowControl/>
      </w:pPr>
      <w:r>
        <w:rPr>
          <w:b/>
          <w:i w:val="0"/>
        </w:rPr>
        <w:t>cognoscendi.</w:t>
      </w:r>
      <w:r>
        <w:rPr>
          <w:b w:val="0"/>
          <w:i w:val="0"/>
        </w:rPr>
        <w:t xml:space="preserve"> </w:t>
      </w:r>
      <w:hyperlink w:anchor="latin-record-0231">
        <w:r>
          <w:rPr>
            <w:color w:val="000000"/>
          </w:rPr>
          <w:t xml:space="preserve">cognoscere (additional forms)</w:t>
        </w:r>
      </w:hyperlink>
      <w:r>
        <w:rPr>
          <w:b w:val="0"/>
          <w:i w:val="0"/>
        </w:rPr>
        <w:t>.</w:t>
      </w:r>
    </w:p>
    <w:p>
      <w:pPr>
        <w:widowControl/>
      </w:pPr>
      <w:r>
        <w:rPr>
          <w:b/>
          <w:i w:val="0"/>
        </w:rPr>
        <w:t>cognoscendo.</w:t>
      </w:r>
      <w:r>
        <w:rPr>
          <w:b w:val="0"/>
          <w:i w:val="0"/>
        </w:rPr>
        <w:t xml:space="preserve"> </w:t>
      </w:r>
      <w:hyperlink w:anchor="latin-record-0231">
        <w:r>
          <w:rPr>
            <w:color w:val="000000"/>
          </w:rPr>
          <w:t xml:space="preserve">cognoscere (additional forms)</w:t>
        </w:r>
      </w:hyperlink>
      <w:r>
        <w:rPr>
          <w:b w:val="0"/>
          <w:i w:val="0"/>
        </w:rPr>
        <w:t>.</w:t>
      </w:r>
    </w:p>
    <w:p>
      <w:pPr>
        <w:widowControl/>
      </w:pPr>
      <w:r>
        <w:rPr>
          <w:b/>
          <w:i w:val="0"/>
        </w:rPr>
        <w:t>cognoscendum.</w:t>
      </w:r>
      <w:r>
        <w:rPr>
          <w:b w:val="0"/>
          <w:i w:val="0"/>
        </w:rPr>
        <w:t xml:space="preserve"> </w:t>
      </w:r>
      <w:hyperlink w:anchor="latin-record-0231">
        <w:r>
          <w:rPr>
            <w:color w:val="000000"/>
          </w:rPr>
          <w:t xml:space="preserve">cognoscere (additional forms)</w:t>
        </w:r>
      </w:hyperlink>
      <w:r>
        <w:rPr>
          <w:b w:val="0"/>
          <w:i w:val="0"/>
        </w:rPr>
        <w:t>.</w:t>
      </w:r>
    </w:p>
    <w:p>
      <w:pPr>
        <w:widowControl/>
      </w:pPr>
      <w:r>
        <w:rPr>
          <w:b/>
          <w:i w:val="0"/>
        </w:rPr>
        <w:t>cognoscere.</w:t>
      </w:r>
      <w:r>
        <w:rPr>
          <w:b w:val="0"/>
          <w:i w:val="0"/>
        </w:rPr>
        <w:t xml:space="preserve"> </w:t>
      </w:r>
      <w:hyperlink w:anchor="latin-record-0065">
        <w:r>
          <w:rPr>
            <w:color w:val="000000"/>
          </w:rPr>
          <w:t xml:space="preserve">agnoscere / cognoscere</w:t>
        </w:r>
      </w:hyperlink>
      <w:r>
        <w:rPr>
          <w:b w:val="0"/>
          <w:i w:val="0"/>
        </w:rPr>
        <w:t>.</w:t>
      </w:r>
    </w:p>
    <w:p>
      <w:pPr>
        <w:widowControl/>
      </w:pPr>
      <w:r>
        <w:rPr>
          <w:b/>
          <w:i w:val="0"/>
        </w:rPr>
        <w:t>cognosceret.</w:t>
      </w:r>
      <w:r>
        <w:rPr>
          <w:b w:val="0"/>
          <w:i w:val="0"/>
        </w:rPr>
        <w:t xml:space="preserve"> </w:t>
      </w:r>
      <w:hyperlink w:anchor="latin-record-0231">
        <w:r>
          <w:rPr>
            <w:color w:val="000000"/>
          </w:rPr>
          <w:t xml:space="preserve">cognoscere (additional forms)</w:t>
        </w:r>
      </w:hyperlink>
      <w:r>
        <w:rPr>
          <w:b w:val="0"/>
          <w:i w:val="0"/>
        </w:rPr>
        <w:t xml:space="preserve">; </w:t>
      </w:r>
      <w:hyperlink w:anchor="latin-record-0232">
        <w:r>
          <w:rPr>
            <w:color w:val="000000"/>
          </w:rPr>
          <w:t xml:space="preserve">cognoscere / agnoscere / noscere</w:t>
        </w:r>
      </w:hyperlink>
      <w:r>
        <w:rPr>
          <w:b w:val="0"/>
          <w:i w:val="0"/>
        </w:rPr>
        <w:t>.</w:t>
      </w:r>
    </w:p>
    <w:p>
      <w:pPr>
        <w:widowControl/>
      </w:pPr>
      <w:r>
        <w:rPr>
          <w:b/>
          <w:i w:val="0"/>
        </w:rPr>
        <w:t>cognoscet.</w:t>
      </w:r>
      <w:r>
        <w:rPr>
          <w:b w:val="0"/>
          <w:i w:val="0"/>
        </w:rPr>
        <w:t xml:space="preserve"> </w:t>
      </w:r>
      <w:hyperlink w:anchor="latin-record-0065">
        <w:r>
          <w:rPr>
            <w:color w:val="000000"/>
          </w:rPr>
          <w:t xml:space="preserve">agnoscere / cognoscere</w:t>
        </w:r>
      </w:hyperlink>
      <w:r>
        <w:rPr>
          <w:b w:val="0"/>
          <w:i w:val="0"/>
        </w:rPr>
        <w:t>.</w:t>
      </w:r>
    </w:p>
    <w:p>
      <w:pPr>
        <w:widowControl/>
      </w:pPr>
      <w:r>
        <w:rPr>
          <w:b/>
          <w:i w:val="0"/>
        </w:rPr>
        <w:t>cognosci.</w:t>
      </w:r>
      <w:r>
        <w:rPr>
          <w:b w:val="0"/>
          <w:i w:val="0"/>
        </w:rPr>
        <w:t xml:space="preserve"> </w:t>
      </w:r>
      <w:hyperlink w:anchor="latin-record-0065">
        <w:r>
          <w:rPr>
            <w:color w:val="000000"/>
          </w:rPr>
          <w:t xml:space="preserve">agnoscere / cognoscere</w:t>
        </w:r>
      </w:hyperlink>
      <w:r>
        <w:rPr>
          <w:b w:val="0"/>
          <w:i w:val="0"/>
        </w:rPr>
        <w:t>.</w:t>
      </w:r>
    </w:p>
    <w:p>
      <w:pPr>
        <w:widowControl/>
      </w:pPr>
      <w:r>
        <w:rPr>
          <w:b/>
          <w:i w:val="0"/>
        </w:rPr>
        <w:t>Cognoscimus.</w:t>
      </w:r>
      <w:r>
        <w:rPr>
          <w:b w:val="0"/>
          <w:i w:val="0"/>
        </w:rPr>
        <w:t xml:space="preserve"> </w:t>
      </w:r>
      <w:hyperlink w:anchor="latin-record-0231">
        <w:r>
          <w:rPr>
            <w:color w:val="000000"/>
          </w:rPr>
          <w:t xml:space="preserve">cognoscere (additional forms)</w:t>
        </w:r>
      </w:hyperlink>
      <w:r>
        <w:rPr>
          <w:b w:val="0"/>
          <w:i w:val="0"/>
        </w:rPr>
        <w:t>.</w:t>
      </w:r>
    </w:p>
    <w:p>
      <w:pPr>
        <w:widowControl/>
      </w:pPr>
      <w:r>
        <w:rPr>
          <w:b/>
          <w:i w:val="0"/>
        </w:rPr>
        <w:t>cognoscimus.</w:t>
      </w:r>
      <w:r>
        <w:rPr>
          <w:b w:val="0"/>
          <w:i w:val="0"/>
        </w:rPr>
        <w:t xml:space="preserve"> </w:t>
      </w:r>
      <w:hyperlink w:anchor="latin-record-0231">
        <w:r>
          <w:rPr>
            <w:color w:val="000000"/>
          </w:rPr>
          <w:t xml:space="preserve">cognoscere (additional forms)</w:t>
        </w:r>
      </w:hyperlink>
      <w:r>
        <w:rPr>
          <w:b w:val="0"/>
          <w:i w:val="0"/>
        </w:rPr>
        <w:t>.</w:t>
      </w:r>
    </w:p>
    <w:p>
      <w:pPr>
        <w:widowControl/>
      </w:pPr>
      <w:r>
        <w:rPr>
          <w:b/>
          <w:i w:val="0"/>
        </w:rPr>
        <w:t>cognoscit.</w:t>
      </w:r>
      <w:r>
        <w:rPr>
          <w:b w:val="0"/>
          <w:i w:val="0"/>
        </w:rPr>
        <w:t xml:space="preserve"> </w:t>
      </w:r>
      <w:hyperlink w:anchor="latin-record-0065">
        <w:r>
          <w:rPr>
            <w:color w:val="000000"/>
          </w:rPr>
          <w:t xml:space="preserve">agnoscere / cognoscere</w:t>
        </w:r>
      </w:hyperlink>
      <w:r>
        <w:rPr>
          <w:b w:val="0"/>
          <w:i w:val="0"/>
        </w:rPr>
        <w:t xml:space="preserve">; </w:t>
      </w:r>
      <w:hyperlink w:anchor="latin-record-0232">
        <w:r>
          <w:rPr>
            <w:color w:val="000000"/>
          </w:rPr>
          <w:t xml:space="preserve">cognoscere / agnoscere / noscere</w:t>
        </w:r>
      </w:hyperlink>
      <w:r>
        <w:rPr>
          <w:b w:val="0"/>
          <w:i w:val="0"/>
        </w:rPr>
        <w:t>.</w:t>
      </w:r>
    </w:p>
    <w:p>
      <w:pPr>
        <w:widowControl/>
      </w:pPr>
      <w:r>
        <w:rPr>
          <w:b/>
          <w:i w:val="0"/>
        </w:rPr>
        <w:t>cohibent.</w:t>
      </w:r>
      <w:r>
        <w:rPr>
          <w:b w:val="0"/>
          <w:i w:val="0"/>
        </w:rPr>
        <w:t xml:space="preserve"> </w:t>
      </w:r>
      <w:hyperlink w:anchor="latin-record-0602">
        <w:r>
          <w:rPr>
            <w:color w:val="000000"/>
          </w:rPr>
          <w:t xml:space="preserve">impedire / cohibere / claudere</w:t>
        </w:r>
      </w:hyperlink>
      <w:r>
        <w:rPr>
          <w:b w:val="0"/>
          <w:i w:val="0"/>
        </w:rPr>
        <w:t>.</w:t>
      </w:r>
    </w:p>
    <w:p>
      <w:pPr>
        <w:widowControl/>
      </w:pPr>
      <w:r>
        <w:rPr>
          <w:b/>
          <w:i w:val="0"/>
        </w:rPr>
        <w:t>collecti.</w:t>
      </w:r>
      <w:r>
        <w:rPr>
          <w:b w:val="0"/>
          <w:i w:val="0"/>
        </w:rPr>
        <w:t xml:space="preserve"> </w:t>
      </w:r>
      <w:hyperlink w:anchor="latin-record-0236">
        <w:r>
          <w:rPr>
            <w:color w:val="000000"/>
          </w:rPr>
          <w:t xml:space="preserve">colligere; unio</w:t>
        </w:r>
      </w:hyperlink>
      <w:r>
        <w:rPr>
          <w:b w:val="0"/>
          <w:i w:val="0"/>
        </w:rPr>
        <w:t>.</w:t>
      </w:r>
    </w:p>
    <w:p>
      <w:pPr>
        <w:widowControl/>
      </w:pPr>
      <w:r>
        <w:rPr>
          <w:b/>
          <w:i w:val="0"/>
        </w:rPr>
        <w:t>collegerat.</w:t>
      </w:r>
      <w:r>
        <w:rPr>
          <w:b w:val="0"/>
          <w:i w:val="0"/>
        </w:rPr>
        <w:t xml:space="preserve"> </w:t>
      </w:r>
      <w:hyperlink w:anchor="latin-record-0233">
        <w:r>
          <w:rPr>
            <w:color w:val="000000"/>
          </w:rPr>
          <w:t xml:space="preserve">colligere</w:t>
        </w:r>
      </w:hyperlink>
      <w:r>
        <w:rPr>
          <w:b w:val="0"/>
          <w:i w:val="0"/>
        </w:rPr>
        <w:t>.</w:t>
      </w:r>
    </w:p>
    <w:p>
      <w:pPr>
        <w:widowControl/>
      </w:pPr>
      <w:r>
        <w:rPr>
          <w:b/>
          <w:i w:val="0"/>
        </w:rPr>
        <w:t>collegit.</w:t>
      </w:r>
      <w:r>
        <w:rPr>
          <w:b w:val="0"/>
          <w:i w:val="0"/>
        </w:rPr>
        <w:t xml:space="preserve"> </w:t>
      </w:r>
      <w:hyperlink w:anchor="latin-record-0233">
        <w:r>
          <w:rPr>
            <w:color w:val="000000"/>
          </w:rPr>
          <w:t xml:space="preserve">colligere</w:t>
        </w:r>
      </w:hyperlink>
      <w:r>
        <w:rPr>
          <w:b w:val="0"/>
          <w:i w:val="0"/>
        </w:rPr>
        <w:t>.</w:t>
      </w:r>
    </w:p>
    <w:p>
      <w:pPr>
        <w:widowControl/>
      </w:pPr>
      <w:r>
        <w:rPr>
          <w:b/>
          <w:i w:val="0"/>
        </w:rPr>
        <w:t>colligi.</w:t>
      </w:r>
      <w:r>
        <w:rPr>
          <w:b w:val="0"/>
          <w:i w:val="0"/>
        </w:rPr>
        <w:t xml:space="preserve"> </w:t>
      </w:r>
      <w:hyperlink w:anchor="latin-record-0235">
        <w:r>
          <w:rPr>
            <w:color w:val="000000"/>
          </w:rPr>
          <w:t xml:space="preserve">colligere / impartibilis</w:t>
        </w:r>
      </w:hyperlink>
      <w:r>
        <w:rPr>
          <w:b w:val="0"/>
          <w:i w:val="0"/>
        </w:rPr>
        <w:t>.</w:t>
      </w:r>
    </w:p>
    <w:p>
      <w:pPr>
        <w:widowControl/>
      </w:pPr>
      <w:r>
        <w:rPr>
          <w:b/>
          <w:i w:val="0"/>
        </w:rPr>
        <w:t>colligit.</w:t>
      </w:r>
      <w:r>
        <w:rPr>
          <w:b w:val="0"/>
          <w:i w:val="0"/>
        </w:rPr>
        <w:t xml:space="preserve"> </w:t>
      </w:r>
      <w:hyperlink w:anchor="latin-record-0233">
        <w:r>
          <w:rPr>
            <w:color w:val="000000"/>
          </w:rPr>
          <w:t xml:space="preserve">colligere</w:t>
        </w:r>
      </w:hyperlink>
      <w:r>
        <w:rPr>
          <w:b w:val="0"/>
          <w:i w:val="0"/>
        </w:rPr>
        <w:t xml:space="preserve">; </w:t>
      </w:r>
      <w:hyperlink w:anchor="latin-record-0234">
        <w:r>
          <w:rPr>
            <w:color w:val="000000"/>
          </w:rPr>
          <w:t xml:space="preserve">colligere / conciliare</w:t>
        </w:r>
      </w:hyperlink>
      <w:r>
        <w:rPr>
          <w:b w:val="0"/>
          <w:i w:val="0"/>
        </w:rPr>
        <w:t>.</w:t>
      </w:r>
    </w:p>
    <w:p>
      <w:pPr>
        <w:widowControl/>
      </w:pPr>
      <w:r>
        <w:rPr>
          <w:b/>
          <w:i w:val="0"/>
        </w:rPr>
        <w:t>colligite.</w:t>
      </w:r>
      <w:r>
        <w:rPr>
          <w:b w:val="0"/>
          <w:i w:val="0"/>
        </w:rPr>
        <w:t xml:space="preserve"> </w:t>
      </w:r>
      <w:hyperlink w:anchor="latin-record-0236">
        <w:r>
          <w:rPr>
            <w:color w:val="000000"/>
          </w:rPr>
          <w:t xml:space="preserve">colligere; unio</w:t>
        </w:r>
      </w:hyperlink>
      <w:r>
        <w:rPr>
          <w:b w:val="0"/>
          <w:i w:val="0"/>
        </w:rPr>
        <w:t>.</w:t>
      </w:r>
    </w:p>
    <w:p>
      <w:pPr>
        <w:widowControl/>
      </w:pPr>
      <w:r>
        <w:rPr>
          <w:b/>
          <w:i w:val="0"/>
        </w:rPr>
        <w:t>colliso.</w:t>
      </w:r>
      <w:r>
        <w:rPr>
          <w:b w:val="0"/>
          <w:i w:val="0"/>
        </w:rPr>
        <w:t xml:space="preserve"> </w:t>
      </w:r>
      <w:hyperlink w:anchor="latin-record-0703">
        <w:r>
          <w:rPr>
            <w:color w:val="000000"/>
          </w:rPr>
          <w:t xml:space="preserve">lapis / scintilla / collidere</w:t>
        </w:r>
      </w:hyperlink>
      <w:r>
        <w:rPr>
          <w:b w:val="0"/>
          <w:i w:val="0"/>
        </w:rPr>
        <w:t>.</w:t>
      </w:r>
    </w:p>
    <w:p>
      <w:pPr>
        <w:widowControl/>
      </w:pPr>
      <w:r>
        <w:rPr>
          <w:b/>
          <w:i w:val="0"/>
        </w:rPr>
        <w:t>collo.</w:t>
      </w:r>
      <w:r>
        <w:rPr>
          <w:b w:val="0"/>
          <w:i w:val="0"/>
        </w:rPr>
        <w:t xml:space="preserve"> </w:t>
      </w:r>
      <w:hyperlink w:anchor="latin-record-0352">
        <w:r>
          <w:rPr>
            <w:color w:val="000000"/>
          </w:rPr>
          <w:t xml:space="preserve">crus / femur / pectus / collum</w:t>
        </w:r>
      </w:hyperlink>
      <w:r>
        <w:rPr>
          <w:b w:val="0"/>
          <w:i w:val="0"/>
        </w:rPr>
        <w:t>.</w:t>
      </w:r>
    </w:p>
    <w:p>
      <w:pPr>
        <w:widowControl/>
      </w:pPr>
      <w:r>
        <w:rPr>
          <w:b/>
          <w:i w:val="0"/>
        </w:rPr>
        <w:t>collocabimus.</w:t>
      </w:r>
      <w:r>
        <w:rPr>
          <w:b w:val="0"/>
          <w:i w:val="0"/>
        </w:rPr>
        <w:t xml:space="preserve"> </w:t>
      </w:r>
      <w:hyperlink w:anchor="latin-record-0237">
        <w:r>
          <w:rPr>
            <w:color w:val="000000"/>
          </w:rPr>
          <w:t xml:space="preserve">collocare</w:t>
        </w:r>
      </w:hyperlink>
      <w:r>
        <w:rPr>
          <w:b w:val="0"/>
          <w:i w:val="0"/>
        </w:rPr>
        <w:t>.</w:t>
      </w:r>
    </w:p>
    <w:p>
      <w:pPr>
        <w:widowControl/>
      </w:pPr>
      <w:r>
        <w:rPr>
          <w:b/>
          <w:i w:val="0"/>
        </w:rPr>
        <w:t>collustret.</w:t>
      </w:r>
      <w:r>
        <w:rPr>
          <w:b w:val="0"/>
          <w:i w:val="0"/>
        </w:rPr>
        <w:t xml:space="preserve"> </w:t>
      </w:r>
      <w:hyperlink w:anchor="latin-record-0177">
        <w:r>
          <w:rPr>
            <w:color w:val="000000"/>
          </w:rPr>
          <w:t xml:space="preserve">calere; lucere; collustrare</w:t>
        </w:r>
      </w:hyperlink>
      <w:r>
        <w:rPr>
          <w:b w:val="0"/>
          <w:i w:val="0"/>
        </w:rPr>
        <w:t>.</w:t>
      </w:r>
    </w:p>
    <w:p>
      <w:pPr>
        <w:widowControl/>
      </w:pPr>
      <w:r>
        <w:rPr>
          <w:b/>
          <w:i w:val="0"/>
        </w:rPr>
        <w:t>colore.</w:t>
      </w:r>
      <w:r>
        <w:rPr>
          <w:b w:val="0"/>
          <w:i w:val="0"/>
        </w:rPr>
        <w:t xml:space="preserve"> </w:t>
      </w:r>
      <w:hyperlink w:anchor="latin-record-0238">
        <w:r>
          <w:rPr>
            <w:color w:val="000000"/>
          </w:rPr>
          <w:t xml:space="preserve">color / figura</w:t>
        </w:r>
      </w:hyperlink>
      <w:r>
        <w:rPr>
          <w:b w:val="0"/>
          <w:i w:val="0"/>
        </w:rPr>
        <w:t>.</w:t>
      </w:r>
    </w:p>
    <w:p>
      <w:pPr>
        <w:widowControl/>
      </w:pPr>
      <w:r>
        <w:rPr>
          <w:b/>
          <w:i w:val="0"/>
        </w:rPr>
        <w:t>colorem.</w:t>
      </w:r>
      <w:r>
        <w:rPr>
          <w:b w:val="0"/>
          <w:i w:val="0"/>
        </w:rPr>
        <w:t xml:space="preserve"> </w:t>
      </w:r>
      <w:hyperlink w:anchor="latin-record-0239">
        <w:r>
          <w:rPr>
            <w:color w:val="000000"/>
          </w:rPr>
          <w:t xml:space="preserve">color / vox / odor</w:t>
        </w:r>
      </w:hyperlink>
      <w:r>
        <w:rPr>
          <w:b w:val="0"/>
          <w:i w:val="0"/>
        </w:rPr>
        <w:t>.</w:t>
      </w:r>
    </w:p>
    <w:p>
      <w:pPr>
        <w:widowControl/>
      </w:pPr>
      <w:r>
        <w:rPr>
          <w:b/>
          <w:i w:val="0"/>
        </w:rPr>
        <w:t>colores.</w:t>
      </w:r>
      <w:r>
        <w:rPr>
          <w:b w:val="0"/>
          <w:i w:val="0"/>
        </w:rPr>
        <w:t xml:space="preserve"> </w:t>
      </w:r>
      <w:hyperlink w:anchor="latin-record-0239">
        <w:r>
          <w:rPr>
            <w:color w:val="000000"/>
          </w:rPr>
          <w:t xml:space="preserve">color / vox / odor</w:t>
        </w:r>
      </w:hyperlink>
      <w:r>
        <w:rPr>
          <w:b w:val="0"/>
          <w:i w:val="0"/>
        </w:rPr>
        <w:t>.</w:t>
      </w:r>
    </w:p>
    <w:p>
      <w:pPr>
        <w:widowControl/>
      </w:pPr>
      <w:r>
        <w:rPr>
          <w:b/>
          <w:i w:val="0"/>
        </w:rPr>
        <w:t>colorum.</w:t>
      </w:r>
      <w:r>
        <w:rPr>
          <w:b w:val="0"/>
          <w:i w:val="0"/>
        </w:rPr>
        <w:t xml:space="preserve"> </w:t>
      </w:r>
      <w:hyperlink w:anchor="latin-record-0239">
        <w:r>
          <w:rPr>
            <w:color w:val="000000"/>
          </w:rPr>
          <w:t xml:space="preserve">color / vox / odor</w:t>
        </w:r>
      </w:hyperlink>
      <w:r>
        <w:rPr>
          <w:b w:val="0"/>
          <w:i w:val="0"/>
        </w:rPr>
        <w:t>.</w:t>
      </w:r>
    </w:p>
    <w:p>
      <w:pPr>
        <w:widowControl/>
      </w:pPr>
      <w:r>
        <w:rPr>
          <w:b/>
          <w:i w:val="0"/>
        </w:rPr>
        <w:t>columnis.</w:t>
      </w:r>
      <w:r>
        <w:rPr>
          <w:b w:val="0"/>
          <w:i w:val="0"/>
        </w:rPr>
        <w:t xml:space="preserve"> </w:t>
      </w:r>
      <w:hyperlink w:anchor="latin-record-0211">
        <w:r>
          <w:rPr>
            <w:color w:val="000000"/>
          </w:rPr>
          <w:t xml:space="preserve">cervix; columna</w:t>
        </w:r>
      </w:hyperlink>
      <w:r>
        <w:rPr>
          <w:b w:val="0"/>
          <w:i w:val="0"/>
        </w:rPr>
        <w:t>.</w:t>
      </w:r>
    </w:p>
    <w:p>
      <w:pPr>
        <w:widowControl/>
      </w:pPr>
      <w:r>
        <w:rPr>
          <w:b/>
          <w:i w:val="0"/>
        </w:rPr>
        <w:t>comam.</w:t>
      </w:r>
      <w:r>
        <w:rPr>
          <w:b w:val="0"/>
          <w:i w:val="0"/>
        </w:rPr>
        <w:t xml:space="preserve"> </w:t>
      </w:r>
      <w:hyperlink w:anchor="latin-record-0240">
        <w:r>
          <w:rPr>
            <w:color w:val="000000"/>
          </w:rPr>
          <w:t xml:space="preserve">coma</w:t>
        </w:r>
      </w:hyperlink>
      <w:r>
        <w:rPr>
          <w:b w:val="0"/>
          <w:i w:val="0"/>
        </w:rPr>
        <w:t>.</w:t>
      </w:r>
    </w:p>
    <w:p>
      <w:pPr>
        <w:widowControl/>
      </w:pPr>
      <w:r>
        <w:rPr>
          <w:b/>
          <w:i w:val="0"/>
        </w:rPr>
        <w:t>comitem.</w:t>
      </w:r>
      <w:r>
        <w:rPr>
          <w:b w:val="0"/>
          <w:i w:val="0"/>
        </w:rPr>
        <w:t xml:space="preserve"> </w:t>
      </w:r>
      <w:hyperlink w:anchor="latin-record-0241">
        <w:r>
          <w:rPr>
            <w:color w:val="000000"/>
          </w:rPr>
          <w:t xml:space="preserve">comes; pedisequa</w:t>
        </w:r>
      </w:hyperlink>
      <w:r>
        <w:rPr>
          <w:b w:val="0"/>
          <w:i w:val="0"/>
        </w:rPr>
        <w:t>.</w:t>
      </w:r>
    </w:p>
    <w:p>
      <w:pPr>
        <w:widowControl/>
      </w:pPr>
      <w:r>
        <w:rPr>
          <w:b/>
          <w:i w:val="0"/>
        </w:rPr>
        <w:t>commixtione.</w:t>
      </w:r>
      <w:r>
        <w:rPr>
          <w:b w:val="0"/>
          <w:i w:val="0"/>
        </w:rPr>
        <w:t xml:space="preserve"> </w:t>
      </w:r>
      <w:hyperlink w:anchor="latin-record-0242">
        <w:r>
          <w:rPr>
            <w:color w:val="000000"/>
          </w:rPr>
          <w:t xml:space="preserve">commixtio</w:t>
        </w:r>
      </w:hyperlink>
      <w:r>
        <w:rPr>
          <w:b w:val="0"/>
          <w:i w:val="0"/>
        </w:rPr>
        <w:t>.</w:t>
      </w:r>
    </w:p>
    <w:p>
      <w:pPr>
        <w:widowControl/>
      </w:pPr>
      <w:r>
        <w:rPr>
          <w:b/>
          <w:i w:val="0"/>
        </w:rPr>
        <w:t>commodum.</w:t>
      </w:r>
      <w:r>
        <w:rPr>
          <w:b w:val="0"/>
          <w:i w:val="0"/>
        </w:rPr>
        <w:t xml:space="preserve"> </w:t>
      </w:r>
      <w:hyperlink w:anchor="latin-record-0243">
        <w:r>
          <w:rPr>
            <w:color w:val="000000"/>
          </w:rPr>
          <w:t xml:space="preserve">commodum / utilitas</w:t>
        </w:r>
      </w:hyperlink>
      <w:r>
        <w:rPr>
          <w:b w:val="0"/>
          <w:i w:val="0"/>
        </w:rPr>
        <w:t>.</w:t>
      </w:r>
    </w:p>
    <w:p>
      <w:pPr>
        <w:widowControl/>
      </w:pPr>
      <w:r>
        <w:rPr>
          <w:b/>
          <w:i w:val="0"/>
        </w:rPr>
        <w:t>commune.</w:t>
      </w:r>
      <w:r>
        <w:rPr>
          <w:b w:val="0"/>
          <w:i w:val="0"/>
        </w:rPr>
        <w:t xml:space="preserve"> </w:t>
      </w:r>
      <w:hyperlink w:anchor="latin-record-0245">
        <w:r>
          <w:rPr>
            <w:color w:val="000000"/>
          </w:rPr>
          <w:t xml:space="preserve">communis (additional forms)</w:t>
        </w:r>
      </w:hyperlink>
      <w:r>
        <w:rPr>
          <w:b w:val="0"/>
          <w:i w:val="0"/>
        </w:rPr>
        <w:t xml:space="preserve">; </w:t>
      </w:r>
      <w:hyperlink w:anchor="latin-record-1017">
        <w:r>
          <w:rPr>
            <w:color w:val="000000"/>
          </w:rPr>
          <w:t xml:space="preserve">proprius / communis</w:t>
        </w:r>
      </w:hyperlink>
      <w:r>
        <w:rPr>
          <w:b w:val="0"/>
          <w:i w:val="0"/>
        </w:rPr>
        <w:t>.</w:t>
      </w:r>
    </w:p>
    <w:p>
      <w:pPr>
        <w:widowControl/>
      </w:pPr>
      <w:r>
        <w:rPr>
          <w:b/>
          <w:i w:val="0"/>
        </w:rPr>
        <w:t>commune esse.</w:t>
      </w:r>
      <w:r>
        <w:rPr>
          <w:b w:val="0"/>
          <w:i w:val="0"/>
        </w:rPr>
        <w:t xml:space="preserve"> </w:t>
      </w:r>
      <w:hyperlink w:anchor="latin-record-0442">
        <w:r>
          <w:rPr>
            <w:color w:val="000000"/>
          </w:rPr>
          <w:t xml:space="preserve">esse proprium / commune esse</w:t>
        </w:r>
      </w:hyperlink>
      <w:r>
        <w:rPr>
          <w:b w:val="0"/>
          <w:i w:val="0"/>
        </w:rPr>
        <w:t>.</w:t>
      </w:r>
    </w:p>
    <w:p>
      <w:pPr>
        <w:widowControl/>
      </w:pPr>
      <w:r>
        <w:rPr>
          <w:b/>
          <w:i w:val="0"/>
        </w:rPr>
        <w:t>communem.</w:t>
      </w:r>
      <w:r>
        <w:rPr>
          <w:b w:val="0"/>
          <w:i w:val="0"/>
        </w:rPr>
        <w:t xml:space="preserve"> </w:t>
      </w:r>
      <w:hyperlink w:anchor="latin-record-0825">
        <w:r>
          <w:rPr>
            <w:color w:val="000000"/>
          </w:rPr>
          <w:t xml:space="preserve">natura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communem omnium causam.</w:t>
      </w:r>
      <w:r>
        <w:rPr>
          <w:b w:val="0"/>
          <w:i w:val="0"/>
        </w:rPr>
        <w:t xml:space="preserve"> </w:t>
      </w:r>
      <w:hyperlink w:anchor="latin-record-0199">
        <w:r>
          <w:rPr>
            <w:color w:val="000000"/>
          </w:rPr>
          <w:t xml:space="preserve">causa communis</w:t>
        </w:r>
      </w:hyperlink>
      <w:r>
        <w:rPr>
          <w:b w:val="0"/>
          <w:i w:val="0"/>
        </w:rPr>
        <w:t>.</w:t>
      </w:r>
    </w:p>
    <w:p>
      <w:pPr>
        <w:widowControl/>
      </w:pPr>
      <w:r>
        <w:rPr>
          <w:b/>
          <w:i w:val="0"/>
        </w:rPr>
        <w:t>communem partibus.</w:t>
      </w:r>
      <w:r>
        <w:rPr>
          <w:b w:val="0"/>
          <w:i w:val="0"/>
        </w:rPr>
        <w:t xml:space="preserve"> </w:t>
      </w:r>
      <w:hyperlink w:anchor="latin-record-0267">
        <w:r>
          <w:rPr>
            <w:color w:val="000000"/>
          </w:rPr>
          <w:t xml:space="preserve">compositum / forma communis</w:t>
        </w:r>
      </w:hyperlink>
      <w:r>
        <w:rPr>
          <w:b w:val="0"/>
          <w:i w:val="0"/>
        </w:rPr>
        <w:t>.</w:t>
      </w:r>
    </w:p>
    <w:p>
      <w:pPr>
        <w:widowControl/>
      </w:pPr>
      <w:r>
        <w:rPr>
          <w:b/>
          <w:i w:val="0"/>
        </w:rPr>
        <w:t>communes.</w:t>
      </w:r>
      <w:r>
        <w:rPr>
          <w:b w:val="0"/>
          <w:i w:val="0"/>
        </w:rPr>
        <w:t xml:space="preserve"> </w:t>
      </w:r>
      <w:hyperlink w:anchor="latin-record-0825">
        <w:r>
          <w:rPr>
            <w:color w:val="000000"/>
          </w:rPr>
          <w:t xml:space="preserve">natura communis</w:t>
        </w:r>
      </w:hyperlink>
      <w:r>
        <w:rPr>
          <w:b w:val="0"/>
          <w:i w:val="0"/>
        </w:rPr>
        <w:t>.</w:t>
      </w:r>
    </w:p>
    <w:p>
      <w:pPr>
        <w:widowControl/>
      </w:pPr>
      <w:r>
        <w:rPr>
          <w:b/>
          <w:i w:val="0"/>
        </w:rPr>
        <w:t>communi.</w:t>
      </w:r>
      <w:r>
        <w:rPr>
          <w:b w:val="0"/>
          <w:i w:val="0"/>
        </w:rPr>
        <w:t xml:space="preserve"> </w:t>
      </w:r>
      <w:hyperlink w:anchor="latin-record-0245">
        <w:r>
          <w:rPr>
            <w:color w:val="000000"/>
          </w:rPr>
          <w:t xml:space="preserve">communis (additional forms)</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communi sensu.</w:t>
      </w:r>
      <w:r>
        <w:rPr>
          <w:b w:val="0"/>
          <w:i w:val="0"/>
        </w:rPr>
        <w:t xml:space="preserve"> </w:t>
      </w:r>
      <w:hyperlink w:anchor="latin-record-0246">
        <w:r>
          <w:rPr>
            <w:color w:val="000000"/>
          </w:rPr>
          <w:t xml:space="preserve">communis sensus</w:t>
        </w:r>
      </w:hyperlink>
      <w:r>
        <w:rPr>
          <w:b w:val="0"/>
          <w:i w:val="0"/>
        </w:rPr>
        <w:t>.</w:t>
      </w:r>
    </w:p>
    <w:p>
      <w:pPr>
        <w:widowControl/>
      </w:pPr>
      <w:r>
        <w:rPr>
          <w:b/>
          <w:i w:val="0"/>
        </w:rPr>
        <w:t>communia.</w:t>
      </w:r>
      <w:r>
        <w:rPr>
          <w:b w:val="0"/>
          <w:i w:val="0"/>
        </w:rPr>
        <w:t xml:space="preserve"> </w:t>
      </w:r>
      <w:hyperlink w:anchor="latin-record-0825">
        <w:r>
          <w:rPr>
            <w:color w:val="000000"/>
          </w:rPr>
          <w:t xml:space="preserve">natura communis</w:t>
        </w:r>
      </w:hyperlink>
      <w:r>
        <w:rPr>
          <w:b w:val="0"/>
          <w:i w:val="0"/>
        </w:rPr>
        <w:t>.</w:t>
      </w:r>
    </w:p>
    <w:p>
      <w:pPr>
        <w:widowControl/>
      </w:pPr>
      <w:r>
        <w:rPr>
          <w:b/>
          <w:i w:val="0"/>
        </w:rPr>
        <w:t>communicat.</w:t>
      </w:r>
      <w:r>
        <w:rPr>
          <w:b w:val="0"/>
          <w:i w:val="0"/>
        </w:rPr>
        <w:t xml:space="preserve"> </w:t>
      </w:r>
      <w:hyperlink w:anchor="latin-record-0244">
        <w:r>
          <w:rPr>
            <w:color w:val="000000"/>
          </w:rPr>
          <w:t xml:space="preserve">communicare / infundere</w:t>
        </w:r>
      </w:hyperlink>
      <w:r>
        <w:rPr>
          <w:b w:val="0"/>
          <w:i w:val="0"/>
        </w:rPr>
        <w:t>.</w:t>
      </w:r>
    </w:p>
    <w:p>
      <w:pPr>
        <w:widowControl/>
      </w:pPr>
      <w:r>
        <w:rPr>
          <w:b/>
          <w:i w:val="0"/>
        </w:rPr>
        <w:t>communis.</w:t>
      </w:r>
      <w:r>
        <w:rPr>
          <w:b w:val="0"/>
          <w:i w:val="0"/>
        </w:rPr>
        <w:t xml:space="preserve"> </w:t>
      </w:r>
      <w:hyperlink w:anchor="latin-record-0825">
        <w:r>
          <w:rPr>
            <w:color w:val="000000"/>
          </w:rPr>
          <w:t xml:space="preserve">natura communis</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communis causa.</w:t>
      </w:r>
      <w:r>
        <w:rPr>
          <w:b w:val="0"/>
          <w:i w:val="0"/>
        </w:rPr>
        <w:t xml:space="preserve"> </w:t>
      </w:r>
      <w:hyperlink w:anchor="latin-record-0199">
        <w:r>
          <w:rPr>
            <w:color w:val="000000"/>
          </w:rPr>
          <w:t xml:space="preserve">causa communis</w:t>
        </w:r>
      </w:hyperlink>
      <w:r>
        <w:rPr>
          <w:b w:val="0"/>
          <w:i w:val="0"/>
        </w:rPr>
        <w:t>.</w:t>
      </w:r>
    </w:p>
    <w:p>
      <w:pPr>
        <w:widowControl/>
      </w:pPr>
      <w:r>
        <w:rPr>
          <w:b/>
          <w:i w:val="0"/>
        </w:rPr>
        <w:t>commutabit.</w:t>
      </w:r>
      <w:r>
        <w:rPr>
          <w:b w:val="0"/>
          <w:i w:val="0"/>
        </w:rPr>
        <w:t xml:space="preserve"> </w:t>
      </w:r>
      <w:hyperlink w:anchor="latin-record-0248">
        <w:r>
          <w:rPr>
            <w:color w:val="000000"/>
          </w:rPr>
          <w:t xml:space="preserve">commutare / transmutare</w:t>
        </w:r>
      </w:hyperlink>
      <w:r>
        <w:rPr>
          <w:b w:val="0"/>
          <w:i w:val="0"/>
        </w:rPr>
        <w:t>.</w:t>
      </w:r>
    </w:p>
    <w:p>
      <w:pPr>
        <w:widowControl/>
      </w:pPr>
      <w:r>
        <w:rPr>
          <w:b/>
          <w:i w:val="0"/>
        </w:rPr>
        <w:t>commutaretur.</w:t>
      </w:r>
      <w:r>
        <w:rPr>
          <w:b w:val="0"/>
          <w:i w:val="0"/>
        </w:rPr>
        <w:t xml:space="preserve"> </w:t>
      </w:r>
      <w:hyperlink w:anchor="latin-record-0250">
        <w:r>
          <w:rPr>
            <w:color w:val="000000"/>
          </w:rPr>
          <w:t xml:space="preserve">commutatio; transmutatio</w:t>
        </w:r>
      </w:hyperlink>
      <w:r>
        <w:rPr>
          <w:b w:val="0"/>
          <w:i w:val="0"/>
        </w:rPr>
        <w:t>.</w:t>
      </w:r>
    </w:p>
    <w:p>
      <w:pPr>
        <w:widowControl/>
      </w:pPr>
      <w:r>
        <w:rPr>
          <w:b/>
          <w:i w:val="0"/>
        </w:rPr>
        <w:t>commutata.</w:t>
      </w:r>
      <w:r>
        <w:rPr>
          <w:b w:val="0"/>
          <w:i w:val="0"/>
        </w:rPr>
        <w:t xml:space="preserve"> </w:t>
      </w:r>
      <w:hyperlink w:anchor="latin-record-0248">
        <w:r>
          <w:rPr>
            <w:color w:val="000000"/>
          </w:rPr>
          <w:t xml:space="preserve">commutare / transmutare</w:t>
        </w:r>
      </w:hyperlink>
      <w:r>
        <w:rPr>
          <w:b w:val="0"/>
          <w:i w:val="0"/>
        </w:rPr>
        <w:t>.</w:t>
      </w:r>
    </w:p>
    <w:p>
      <w:pPr>
        <w:widowControl/>
      </w:pPr>
      <w:r>
        <w:rPr>
          <w:b/>
          <w:i w:val="0"/>
        </w:rPr>
        <w:t>commutatio.</w:t>
      </w:r>
      <w:r>
        <w:rPr>
          <w:b w:val="0"/>
          <w:i w:val="0"/>
        </w:rPr>
        <w:t xml:space="preserve"> </w:t>
      </w:r>
      <w:hyperlink w:anchor="latin-record-0249">
        <w:r>
          <w:rPr>
            <w:color w:val="000000"/>
          </w:rPr>
          <w:t xml:space="preserve">commutatio</w:t>
        </w:r>
      </w:hyperlink>
      <w:r>
        <w:rPr>
          <w:b w:val="0"/>
          <w:i w:val="0"/>
        </w:rPr>
        <w:t xml:space="preserve">; </w:t>
      </w:r>
      <w:hyperlink w:anchor="latin-record-0250">
        <w:r>
          <w:rPr>
            <w:color w:val="000000"/>
          </w:rPr>
          <w:t xml:space="preserve">commutatio; transmutatio</w:t>
        </w:r>
      </w:hyperlink>
      <w:r>
        <w:rPr>
          <w:b w:val="0"/>
          <w:i w:val="0"/>
        </w:rPr>
        <w:t>.</w:t>
      </w:r>
    </w:p>
    <w:p>
      <w:pPr>
        <w:widowControl/>
      </w:pPr>
      <w:r>
        <w:rPr>
          <w:b/>
          <w:i w:val="0"/>
        </w:rPr>
        <w:t>commutationem.</w:t>
      </w:r>
      <w:r>
        <w:rPr>
          <w:b w:val="0"/>
          <w:i w:val="0"/>
        </w:rPr>
        <w:t xml:space="preserve"> </w:t>
      </w:r>
      <w:hyperlink w:anchor="latin-record-0249">
        <w:r>
          <w:rPr>
            <w:color w:val="000000"/>
          </w:rPr>
          <w:t xml:space="preserve">commutatio</w:t>
        </w:r>
      </w:hyperlink>
      <w:r>
        <w:rPr>
          <w:b w:val="0"/>
          <w:i w:val="0"/>
        </w:rPr>
        <w:t>.</w:t>
      </w:r>
    </w:p>
    <w:p>
      <w:pPr>
        <w:widowControl/>
      </w:pPr>
      <w:r>
        <w:rPr>
          <w:b/>
          <w:i w:val="0"/>
        </w:rPr>
        <w:t>commutationi.</w:t>
      </w:r>
      <w:r>
        <w:rPr>
          <w:b w:val="0"/>
          <w:i w:val="0"/>
        </w:rPr>
        <w:t xml:space="preserve"> </w:t>
      </w:r>
      <w:hyperlink w:anchor="latin-record-0249">
        <w:r>
          <w:rPr>
            <w:color w:val="000000"/>
          </w:rPr>
          <w:t xml:space="preserve">commutatio</w:t>
        </w:r>
      </w:hyperlink>
      <w:r>
        <w:rPr>
          <w:b w:val="0"/>
          <w:i w:val="0"/>
        </w:rPr>
        <w:t>.</w:t>
      </w:r>
    </w:p>
    <w:p>
      <w:pPr>
        <w:widowControl/>
      </w:pPr>
      <w:r>
        <w:rPr>
          <w:b/>
          <w:i w:val="0"/>
        </w:rPr>
        <w:t>commutent.</w:t>
      </w:r>
      <w:r>
        <w:rPr>
          <w:b w:val="0"/>
          <w:i w:val="0"/>
        </w:rPr>
        <w:t xml:space="preserve"> </w:t>
      </w:r>
      <w:hyperlink w:anchor="latin-record-1302">
        <w:r>
          <w:rPr>
            <w:color w:val="000000"/>
          </w:rPr>
          <w:t xml:space="preserve">transire / migrare / commutare</w:t>
        </w:r>
      </w:hyperlink>
      <w:r>
        <w:rPr>
          <w:b w:val="0"/>
          <w:i w:val="0"/>
        </w:rPr>
        <w:t>.</w:t>
      </w:r>
    </w:p>
    <w:p>
      <w:pPr>
        <w:widowControl/>
      </w:pPr>
      <w:r>
        <w:rPr>
          <w:b/>
          <w:i w:val="0"/>
        </w:rPr>
        <w:t>commutet.</w:t>
      </w:r>
      <w:r>
        <w:rPr>
          <w:b w:val="0"/>
          <w:i w:val="0"/>
        </w:rPr>
        <w:t xml:space="preserve"> </w:t>
      </w:r>
      <w:hyperlink w:anchor="latin-record-0247">
        <w:r>
          <w:rPr>
            <w:color w:val="000000"/>
          </w:rPr>
          <w:t xml:space="preserve">commutare</w:t>
        </w:r>
      </w:hyperlink>
      <w:r>
        <w:rPr>
          <w:b w:val="0"/>
          <w:i w:val="0"/>
        </w:rPr>
        <w:t>.</w:t>
      </w:r>
    </w:p>
    <w:p>
      <w:pPr>
        <w:widowControl/>
      </w:pPr>
      <w:r>
        <w:rPr>
          <w:b/>
          <w:i w:val="0"/>
        </w:rPr>
        <w:t>compagem.</w:t>
      </w:r>
      <w:r>
        <w:rPr>
          <w:b w:val="0"/>
          <w:i w:val="0"/>
        </w:rPr>
        <w:t xml:space="preserve"> </w:t>
      </w:r>
      <w:hyperlink w:anchor="latin-record-0251">
        <w:r>
          <w:rPr>
            <w:color w:val="000000"/>
          </w:rPr>
          <w:t xml:space="preserve">compages; devincire</w:t>
        </w:r>
      </w:hyperlink>
      <w:r>
        <w:rPr>
          <w:b w:val="0"/>
          <w:i w:val="0"/>
        </w:rPr>
        <w:t>.</w:t>
      </w:r>
    </w:p>
    <w:p>
      <w:pPr>
        <w:widowControl/>
      </w:pPr>
      <w:r>
        <w:rPr>
          <w:b/>
          <w:i w:val="0"/>
        </w:rPr>
        <w:t>compago.</w:t>
      </w:r>
      <w:r>
        <w:rPr>
          <w:b w:val="0"/>
          <w:i w:val="0"/>
        </w:rPr>
        <w:t xml:space="preserve"> </w:t>
      </w:r>
      <w:hyperlink w:anchor="latin-record-0252">
        <w:r>
          <w:rPr>
            <w:color w:val="000000"/>
          </w:rPr>
          <w:t xml:space="preserve">compago / resolvere</w:t>
        </w:r>
      </w:hyperlink>
      <w:r>
        <w:rPr>
          <w:b w:val="0"/>
          <w:i w:val="0"/>
        </w:rPr>
        <w:t>.</w:t>
      </w:r>
    </w:p>
    <w:p>
      <w:pPr>
        <w:widowControl/>
      </w:pPr>
      <w:r>
        <w:rPr>
          <w:b/>
          <w:i w:val="0"/>
        </w:rPr>
        <w:t>comparabit.</w:t>
      </w:r>
      <w:r>
        <w:rPr>
          <w:b w:val="0"/>
          <w:i w:val="0"/>
        </w:rPr>
        <w:t xml:space="preserve"> </w:t>
      </w:r>
      <w:hyperlink w:anchor="latin-record-0253">
        <w:r>
          <w:rPr>
            <w:color w:val="000000"/>
          </w:rPr>
          <w:t xml:space="preserve">comparare</w:t>
        </w:r>
      </w:hyperlink>
      <w:r>
        <w:rPr>
          <w:b w:val="0"/>
          <w:i w:val="0"/>
        </w:rPr>
        <w:t>.</w:t>
      </w:r>
    </w:p>
    <w:p>
      <w:pPr>
        <w:widowControl/>
      </w:pPr>
      <w:r>
        <w:rPr>
          <w:b/>
          <w:i w:val="0"/>
        </w:rPr>
        <w:t>comparare.</w:t>
      </w:r>
      <w:r>
        <w:rPr>
          <w:b w:val="0"/>
          <w:i w:val="0"/>
        </w:rPr>
        <w:t xml:space="preserve"> </w:t>
      </w:r>
      <w:hyperlink w:anchor="latin-record-0253">
        <w:r>
          <w:rPr>
            <w:color w:val="000000"/>
          </w:rPr>
          <w:t xml:space="preserve">comparare</w:t>
        </w:r>
      </w:hyperlink>
      <w:r>
        <w:rPr>
          <w:b w:val="0"/>
          <w:i w:val="0"/>
        </w:rPr>
        <w:t>.</w:t>
      </w:r>
    </w:p>
    <w:p>
      <w:pPr>
        <w:widowControl/>
      </w:pPr>
      <w:r>
        <w:rPr>
          <w:b/>
          <w:i w:val="0"/>
        </w:rPr>
        <w:t>comparat.</w:t>
      </w:r>
      <w:r>
        <w:rPr>
          <w:b w:val="0"/>
          <w:i w:val="0"/>
        </w:rPr>
        <w:t xml:space="preserve"> </w:t>
      </w:r>
      <w:hyperlink w:anchor="latin-record-0253">
        <w:r>
          <w:rPr>
            <w:color w:val="000000"/>
          </w:rPr>
          <w:t xml:space="preserve">comparare</w:t>
        </w:r>
      </w:hyperlink>
      <w:r>
        <w:rPr>
          <w:b w:val="0"/>
          <w:i w:val="0"/>
        </w:rPr>
        <w:t xml:space="preserve">; </w:t>
      </w:r>
      <w:hyperlink w:anchor="latin-record-0254">
        <w:r>
          <w:rPr>
            <w:color w:val="000000"/>
          </w:rPr>
          <w:t xml:space="preserve">comparare / referre</w:t>
        </w:r>
      </w:hyperlink>
      <w:r>
        <w:rPr>
          <w:b w:val="0"/>
          <w:i w:val="0"/>
        </w:rPr>
        <w:t>.</w:t>
      </w:r>
    </w:p>
    <w:p>
      <w:pPr>
        <w:widowControl/>
      </w:pPr>
      <w:r>
        <w:rPr>
          <w:b/>
          <w:i w:val="0"/>
        </w:rPr>
        <w:t>comparatio.</w:t>
      </w:r>
      <w:r>
        <w:rPr>
          <w:b w:val="0"/>
          <w:i w:val="0"/>
        </w:rPr>
        <w:t xml:space="preserve"> </w:t>
      </w:r>
      <w:hyperlink w:anchor="latin-record-0255">
        <w:r>
          <w:rPr>
            <w:color w:val="000000"/>
          </w:rPr>
          <w:t xml:space="preserve">comparatio</w:t>
        </w:r>
      </w:hyperlink>
      <w:r>
        <w:rPr>
          <w:b w:val="0"/>
          <w:i w:val="0"/>
        </w:rPr>
        <w:t>.</w:t>
      </w:r>
    </w:p>
    <w:p>
      <w:pPr>
        <w:widowControl/>
      </w:pPr>
      <w:r>
        <w:rPr>
          <w:b/>
          <w:i w:val="0"/>
        </w:rPr>
        <w:t>comparationes.</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comparationis.</w:t>
      </w:r>
      <w:r>
        <w:rPr>
          <w:b w:val="0"/>
          <w:i w:val="0"/>
        </w:rPr>
        <w:t xml:space="preserve"> </w:t>
      </w:r>
      <w:hyperlink w:anchor="latin-record-0253">
        <w:r>
          <w:rPr>
            <w:color w:val="000000"/>
          </w:rPr>
          <w:t xml:space="preserve">comparare</w:t>
        </w:r>
      </w:hyperlink>
      <w:r>
        <w:rPr>
          <w:b w:val="0"/>
          <w:i w:val="0"/>
        </w:rPr>
        <w:t>.</w:t>
      </w:r>
    </w:p>
    <w:p>
      <w:pPr>
        <w:widowControl/>
      </w:pPr>
      <w:r>
        <w:rPr>
          <w:b/>
          <w:i w:val="0"/>
        </w:rPr>
        <w:t>comparatura.</w:t>
      </w:r>
      <w:r>
        <w:rPr>
          <w:b w:val="0"/>
          <w:i w:val="0"/>
        </w:rPr>
        <w:t xml:space="preserve"> </w:t>
      </w:r>
      <w:hyperlink w:anchor="latin-record-0253">
        <w:r>
          <w:rPr>
            <w:color w:val="000000"/>
          </w:rPr>
          <w:t xml:space="preserve">comparare</w:t>
        </w:r>
      </w:hyperlink>
      <w:r>
        <w:rPr>
          <w:b w:val="0"/>
          <w:i w:val="0"/>
        </w:rPr>
        <w:t>.</w:t>
      </w:r>
    </w:p>
    <w:p>
      <w:pPr>
        <w:widowControl/>
      </w:pPr>
      <w:r>
        <w:rPr>
          <w:b/>
          <w:i w:val="0"/>
        </w:rPr>
        <w:t>comparet.</w:t>
      </w:r>
      <w:r>
        <w:rPr>
          <w:b w:val="0"/>
          <w:i w:val="0"/>
        </w:rPr>
        <w:t xml:space="preserve"> </w:t>
      </w:r>
      <w:hyperlink w:anchor="latin-record-0253">
        <w:r>
          <w:rPr>
            <w:color w:val="000000"/>
          </w:rPr>
          <w:t xml:space="preserve">comparare</w:t>
        </w:r>
      </w:hyperlink>
      <w:r>
        <w:rPr>
          <w:b w:val="0"/>
          <w:i w:val="0"/>
        </w:rPr>
        <w:t>.</w:t>
      </w:r>
    </w:p>
    <w:p>
      <w:pPr>
        <w:widowControl/>
      </w:pPr>
      <w:r>
        <w:rPr>
          <w:b/>
          <w:i w:val="0"/>
        </w:rPr>
        <w:t>compassio.</w:t>
      </w:r>
      <w:r>
        <w:rPr>
          <w:b w:val="0"/>
          <w:i w:val="0"/>
        </w:rPr>
        <w:t xml:space="preserve"> </w:t>
      </w:r>
      <w:hyperlink w:anchor="latin-record-0285">
        <w:r>
          <w:rPr>
            <w:color w:val="000000"/>
          </w:rPr>
          <w:t xml:space="preserve">condolere / compassio / condolentia</w:t>
        </w:r>
      </w:hyperlink>
      <w:r>
        <w:rPr>
          <w:b w:val="0"/>
          <w:i w:val="0"/>
        </w:rPr>
        <w:t>.</w:t>
      </w:r>
    </w:p>
    <w:p>
      <w:pPr>
        <w:widowControl/>
      </w:pPr>
      <w:r>
        <w:rPr>
          <w:b/>
          <w:i w:val="0"/>
        </w:rPr>
        <w:t>compatiantur.</w:t>
      </w:r>
      <w:r>
        <w:rPr>
          <w:b w:val="0"/>
          <w:i w:val="0"/>
        </w:rPr>
        <w:t xml:space="preserve"> </w:t>
      </w:r>
      <w:hyperlink w:anchor="latin-record-0256">
        <w:r>
          <w:rPr>
            <w:color w:val="000000"/>
          </w:rPr>
          <w:t xml:space="preserve">compati / consonare / concurrere</w:t>
        </w:r>
      </w:hyperlink>
      <w:r>
        <w:rPr>
          <w:b w:val="0"/>
          <w:i w:val="0"/>
        </w:rPr>
        <w:t>.</w:t>
      </w:r>
    </w:p>
    <w:p>
      <w:pPr>
        <w:widowControl/>
      </w:pPr>
      <w:r>
        <w:rPr>
          <w:b/>
          <w:i w:val="0"/>
        </w:rPr>
        <w:t>compatiatur.</w:t>
      </w:r>
      <w:r>
        <w:rPr>
          <w:b w:val="0"/>
          <w:i w:val="0"/>
        </w:rPr>
        <w:t xml:space="preserve"> </w:t>
      </w:r>
      <w:hyperlink w:anchor="latin-record-0256">
        <w:r>
          <w:rPr>
            <w:color w:val="000000"/>
          </w:rPr>
          <w:t xml:space="preserve">compati / consonare / concurrere</w:t>
        </w:r>
      </w:hyperlink>
      <w:r>
        <w:rPr>
          <w:b w:val="0"/>
          <w:i w:val="0"/>
        </w:rPr>
        <w:t>.</w:t>
      </w:r>
    </w:p>
    <w:p>
      <w:pPr>
        <w:widowControl/>
      </w:pPr>
      <w:r>
        <w:rPr>
          <w:b/>
          <w:i w:val="0"/>
        </w:rPr>
        <w:t>compelleris.</w:t>
      </w:r>
      <w:r>
        <w:rPr>
          <w:b w:val="0"/>
          <w:i w:val="0"/>
        </w:rPr>
        <w:t xml:space="preserve"> </w:t>
      </w:r>
      <w:hyperlink w:anchor="latin-record-0225">
        <w:r>
          <w:rPr>
            <w:color w:val="000000"/>
          </w:rPr>
          <w:t xml:space="preserve">cogere; compellere</w:t>
        </w:r>
      </w:hyperlink>
      <w:r>
        <w:rPr>
          <w:b w:val="0"/>
          <w:i w:val="0"/>
        </w:rPr>
        <w:t>.</w:t>
      </w:r>
    </w:p>
    <w:p>
      <w:pPr>
        <w:widowControl/>
      </w:pPr>
      <w:r>
        <w:rPr>
          <w:b/>
          <w:i w:val="0"/>
        </w:rPr>
        <w:t>compellimur.</w:t>
      </w:r>
      <w:r>
        <w:rPr>
          <w:b w:val="0"/>
          <w:i w:val="0"/>
        </w:rPr>
        <w:t xml:space="preserve"> </w:t>
      </w:r>
      <w:hyperlink w:anchor="latin-record-0225">
        <w:r>
          <w:rPr>
            <w:color w:val="000000"/>
          </w:rPr>
          <w:t xml:space="preserve">cogere; compellere</w:t>
        </w:r>
      </w:hyperlink>
      <w:r>
        <w:rPr>
          <w:b w:val="0"/>
          <w:i w:val="0"/>
        </w:rPr>
        <w:t>.</w:t>
      </w:r>
    </w:p>
    <w:p>
      <w:pPr>
        <w:widowControl/>
      </w:pPr>
      <w:r>
        <w:rPr>
          <w:b/>
          <w:i w:val="0"/>
        </w:rPr>
        <w:t>compellit.</w:t>
      </w:r>
      <w:r>
        <w:rPr>
          <w:b w:val="0"/>
          <w:i w:val="0"/>
        </w:rPr>
        <w:t xml:space="preserve"> </w:t>
      </w:r>
      <w:hyperlink w:anchor="latin-record-0225">
        <w:r>
          <w:rPr>
            <w:color w:val="000000"/>
          </w:rPr>
          <w:t xml:space="preserve">cogere; compellere</w:t>
        </w:r>
      </w:hyperlink>
      <w:r>
        <w:rPr>
          <w:b w:val="0"/>
          <w:i w:val="0"/>
        </w:rPr>
        <w:t>.</w:t>
      </w:r>
    </w:p>
    <w:p>
      <w:pPr>
        <w:widowControl/>
      </w:pPr>
      <w:r>
        <w:rPr>
          <w:b/>
          <w:i w:val="0"/>
        </w:rPr>
        <w:t>compellitur.</w:t>
      </w:r>
      <w:r>
        <w:rPr>
          <w:b w:val="0"/>
          <w:i w:val="0"/>
        </w:rPr>
        <w:t xml:space="preserve"> </w:t>
      </w:r>
      <w:hyperlink w:anchor="latin-record-0225">
        <w:r>
          <w:rPr>
            <w:color w:val="000000"/>
          </w:rPr>
          <w:t xml:space="preserve">cogere; compellere</w:t>
        </w:r>
      </w:hyperlink>
      <w:r>
        <w:rPr>
          <w:b w:val="0"/>
          <w:i w:val="0"/>
        </w:rPr>
        <w:t>.</w:t>
      </w:r>
    </w:p>
    <w:p>
      <w:pPr>
        <w:widowControl/>
      </w:pPr>
      <w:r>
        <w:rPr>
          <w:b/>
          <w:i w:val="0"/>
        </w:rPr>
        <w:t>complectuntur.</w:t>
      </w:r>
      <w:r>
        <w:rPr>
          <w:b w:val="0"/>
          <w:i w:val="0"/>
        </w:rPr>
        <w:t xml:space="preserve"> </w:t>
      </w:r>
      <w:hyperlink w:anchor="latin-record-0083">
        <w:r>
          <w:rPr>
            <w:color w:val="000000"/>
          </w:rPr>
          <w:t xml:space="preserve">amplexus / complecti / capere</w:t>
        </w:r>
      </w:hyperlink>
      <w:r>
        <w:rPr>
          <w:b w:val="0"/>
          <w:i w:val="0"/>
        </w:rPr>
        <w:t>.</w:t>
      </w:r>
    </w:p>
    <w:p>
      <w:pPr>
        <w:widowControl/>
      </w:pPr>
      <w:r>
        <w:rPr>
          <w:b/>
          <w:i w:val="0"/>
        </w:rPr>
        <w:t>complexio.</w:t>
      </w:r>
      <w:r>
        <w:rPr>
          <w:b w:val="0"/>
          <w:i w:val="0"/>
        </w:rPr>
        <w:t xml:space="preserve"> </w:t>
      </w:r>
      <w:hyperlink w:anchor="latin-record-0257">
        <w:r>
          <w:rPr>
            <w:color w:val="000000"/>
          </w:rPr>
          <w:t xml:space="preserve">complexio</w:t>
        </w:r>
      </w:hyperlink>
      <w:r>
        <w:rPr>
          <w:b w:val="0"/>
          <w:i w:val="0"/>
        </w:rPr>
        <w:t>.</w:t>
      </w:r>
    </w:p>
    <w:p>
      <w:pPr>
        <w:widowControl/>
      </w:pPr>
      <w:r>
        <w:rPr>
          <w:b/>
          <w:i w:val="0"/>
        </w:rPr>
        <w:t>complexio aliqua humorum atque membrorum.</w:t>
      </w:r>
      <w:r>
        <w:rPr>
          <w:b w:val="0"/>
          <w:i w:val="0"/>
        </w:rPr>
        <w:t xml:space="preserve"> </w:t>
      </w:r>
      <w:hyperlink w:anchor="latin-record-0259">
        <w:r>
          <w:rPr>
            <w:color w:val="000000"/>
          </w:rPr>
          <w:t xml:space="preserve">complexio humorum</w:t>
        </w:r>
      </w:hyperlink>
      <w:r>
        <w:rPr>
          <w:b w:val="0"/>
          <w:i w:val="0"/>
        </w:rPr>
        <w:t>.</w:t>
      </w:r>
    </w:p>
    <w:p>
      <w:pPr>
        <w:widowControl/>
      </w:pPr>
      <w:r>
        <w:rPr>
          <w:b/>
          <w:i w:val="0"/>
        </w:rPr>
        <w:t>complexio calida.</w:t>
      </w:r>
      <w:r>
        <w:rPr>
          <w:b w:val="0"/>
          <w:i w:val="0"/>
        </w:rPr>
        <w:t xml:space="preserve"> </w:t>
      </w:r>
      <w:hyperlink w:anchor="latin-record-0258">
        <w:r>
          <w:rPr>
            <w:color w:val="000000"/>
          </w:rPr>
          <w:t xml:space="preserve">complexio calida</w:t>
        </w:r>
      </w:hyperlink>
      <w:r>
        <w:rPr>
          <w:b w:val="0"/>
          <w:i w:val="0"/>
        </w:rPr>
        <w:t>.</w:t>
      </w:r>
    </w:p>
    <w:p>
      <w:pPr>
        <w:widowControl/>
      </w:pPr>
      <w:r>
        <w:rPr>
          <w:b/>
          <w:i w:val="0"/>
        </w:rPr>
        <w:t>complexione.</w:t>
      </w:r>
      <w:r>
        <w:rPr>
          <w:b w:val="0"/>
          <w:i w:val="0"/>
        </w:rPr>
        <w:t xml:space="preserve"> </w:t>
      </w:r>
      <w:hyperlink w:anchor="latin-record-1279">
        <w:r>
          <w:rPr>
            <w:color w:val="000000"/>
          </w:rPr>
          <w:t xml:space="preserve">temperatio / complexio</w:t>
        </w:r>
      </w:hyperlink>
      <w:r>
        <w:rPr>
          <w:b w:val="0"/>
          <w:i w:val="0"/>
        </w:rPr>
        <w:t>.</w:t>
      </w:r>
    </w:p>
    <w:p>
      <w:pPr>
        <w:widowControl/>
      </w:pPr>
      <w:r>
        <w:rPr>
          <w:b/>
          <w:i w:val="0"/>
        </w:rPr>
        <w:t>complexionem.</w:t>
      </w:r>
      <w:r>
        <w:rPr>
          <w:b w:val="0"/>
          <w:i w:val="0"/>
        </w:rPr>
        <w:t xml:space="preserve"> </w:t>
      </w:r>
      <w:hyperlink w:anchor="latin-record-0257">
        <w:r>
          <w:rPr>
            <w:color w:val="000000"/>
          </w:rPr>
          <w:t xml:space="preserve">complexio</w:t>
        </w:r>
      </w:hyperlink>
      <w:r>
        <w:rPr>
          <w:b w:val="0"/>
          <w:i w:val="0"/>
        </w:rPr>
        <w:t xml:space="preserve">; </w:t>
      </w:r>
      <w:hyperlink w:anchor="latin-record-1279">
        <w:r>
          <w:rPr>
            <w:color w:val="000000"/>
          </w:rPr>
          <w:t xml:space="preserve">temperatio / complexio</w:t>
        </w:r>
      </w:hyperlink>
      <w:r>
        <w:rPr>
          <w:b w:val="0"/>
          <w:i w:val="0"/>
        </w:rPr>
        <w:t>.</w:t>
      </w:r>
    </w:p>
    <w:p>
      <w:pPr>
        <w:widowControl/>
      </w:pPr>
      <w:r>
        <w:rPr>
          <w:b/>
          <w:i w:val="0"/>
        </w:rPr>
        <w:t>complexionis.</w:t>
      </w:r>
      <w:r>
        <w:rPr>
          <w:b w:val="0"/>
          <w:i w:val="0"/>
        </w:rPr>
        <w:t xml:space="preserve"> </w:t>
      </w:r>
      <w:hyperlink w:anchor="latin-record-0257">
        <w:r>
          <w:rPr>
            <w:color w:val="000000"/>
          </w:rPr>
          <w:t xml:space="preserve">complexio</w:t>
        </w:r>
      </w:hyperlink>
      <w:r>
        <w:rPr>
          <w:b w:val="0"/>
          <w:i w:val="0"/>
        </w:rPr>
        <w:t>.</w:t>
      </w:r>
    </w:p>
    <w:p>
      <w:pPr>
        <w:widowControl/>
      </w:pPr>
      <w:r>
        <w:rPr>
          <w:b/>
          <w:i w:val="0"/>
        </w:rPr>
        <w:t>componant.</w:t>
      </w:r>
      <w:r>
        <w:rPr>
          <w:b w:val="0"/>
          <w:i w:val="0"/>
        </w:rPr>
        <w:t xml:space="preserve"> </w:t>
      </w:r>
      <w:hyperlink w:anchor="latin-record-0260">
        <w:r>
          <w:rPr>
            <w:color w:val="000000"/>
          </w:rPr>
          <w:t xml:space="preserve">componere</w:t>
        </w:r>
      </w:hyperlink>
      <w:r>
        <w:rPr>
          <w:b w:val="0"/>
          <w:i w:val="0"/>
        </w:rPr>
        <w:t>.</w:t>
      </w:r>
    </w:p>
    <w:p>
      <w:pPr>
        <w:widowControl/>
      </w:pPr>
      <w:r>
        <w:rPr>
          <w:b/>
          <w:i w:val="0"/>
        </w:rPr>
        <w:t>componatur.</w:t>
      </w:r>
      <w:r>
        <w:rPr>
          <w:b w:val="0"/>
          <w:i w:val="0"/>
        </w:rPr>
        <w:t xml:space="preserve"> </w:t>
      </w:r>
      <w:hyperlink w:anchor="latin-record-0260">
        <w:r>
          <w:rPr>
            <w:color w:val="000000"/>
          </w:rPr>
          <w:t xml:space="preserve">componere</w:t>
        </w:r>
      </w:hyperlink>
      <w:r>
        <w:rPr>
          <w:b w:val="0"/>
          <w:i w:val="0"/>
        </w:rPr>
        <w:t>.</w:t>
      </w:r>
    </w:p>
    <w:p>
      <w:pPr>
        <w:widowControl/>
      </w:pPr>
      <w:r>
        <w:rPr>
          <w:b/>
          <w:i w:val="0"/>
        </w:rPr>
        <w:t>componi.</w:t>
      </w:r>
      <w:r>
        <w:rPr>
          <w:b w:val="0"/>
          <w:i w:val="0"/>
        </w:rPr>
        <w:t xml:space="preserve"> </w:t>
      </w:r>
      <w:hyperlink w:anchor="latin-record-0262">
        <w:r>
          <w:rPr>
            <w:color w:val="000000"/>
          </w:rPr>
          <w:t xml:space="preserve">componere; constituere</w:t>
        </w:r>
      </w:hyperlink>
      <w:r>
        <w:rPr>
          <w:b w:val="0"/>
          <w:i w:val="0"/>
        </w:rPr>
        <w:t>.</w:t>
      </w:r>
    </w:p>
    <w:p>
      <w:pPr>
        <w:widowControl/>
      </w:pPr>
      <w:r>
        <w:rPr>
          <w:b/>
          <w:i w:val="0"/>
        </w:rPr>
        <w:t>componitur.</w:t>
      </w:r>
      <w:r>
        <w:rPr>
          <w:b w:val="0"/>
          <w:i w:val="0"/>
        </w:rPr>
        <w:t xml:space="preserve"> </w:t>
      </w:r>
      <w:hyperlink w:anchor="latin-record-0261">
        <w:r>
          <w:rPr>
            <w:color w:val="000000"/>
          </w:rPr>
          <w:t xml:space="preserve">componere / compositum</w:t>
        </w:r>
      </w:hyperlink>
      <w:r>
        <w:rPr>
          <w:b w:val="0"/>
          <w:i w:val="0"/>
        </w:rPr>
        <w:t xml:space="preserve">; </w:t>
      </w:r>
      <w:hyperlink w:anchor="latin-record-0262">
        <w:r>
          <w:rPr>
            <w:color w:val="000000"/>
          </w:rPr>
          <w:t xml:space="preserve">componere; constituere</w:t>
        </w:r>
      </w:hyperlink>
      <w:r>
        <w:rPr>
          <w:b w:val="0"/>
          <w:i w:val="0"/>
        </w:rPr>
        <w:t>.</w:t>
      </w:r>
    </w:p>
    <w:p>
      <w:pPr>
        <w:widowControl/>
      </w:pPr>
      <w:r>
        <w:rPr>
          <w:b/>
          <w:i w:val="0"/>
        </w:rPr>
        <w:t>componuntur.</w:t>
      </w:r>
      <w:r>
        <w:rPr>
          <w:b w:val="0"/>
          <w:i w:val="0"/>
        </w:rPr>
        <w:t xml:space="preserve"> </w:t>
      </w:r>
      <w:hyperlink w:anchor="latin-record-0261">
        <w:r>
          <w:rPr>
            <w:color w:val="000000"/>
          </w:rPr>
          <w:t xml:space="preserve">componere / compositum</w:t>
        </w:r>
      </w:hyperlink>
      <w:r>
        <w:rPr>
          <w:b w:val="0"/>
          <w:i w:val="0"/>
        </w:rPr>
        <w:t>.</w:t>
      </w:r>
    </w:p>
    <w:p>
      <w:pPr>
        <w:widowControl/>
      </w:pPr>
      <w:r>
        <w:rPr>
          <w:b/>
          <w:i w:val="0"/>
        </w:rPr>
        <w:t>compos.</w:t>
      </w:r>
      <w:r>
        <w:rPr>
          <w:b w:val="0"/>
          <w:i w:val="0"/>
        </w:rPr>
        <w:t xml:space="preserve"> </w:t>
      </w:r>
      <w:hyperlink w:anchor="latin-record-0263">
        <w:r>
          <w:rPr>
            <w:color w:val="000000"/>
          </w:rPr>
          <w:t xml:space="preserve">compos; ferme</w:t>
        </w:r>
      </w:hyperlink>
      <w:r>
        <w:rPr>
          <w:b w:val="0"/>
          <w:i w:val="0"/>
        </w:rPr>
        <w:t>.</w:t>
      </w:r>
    </w:p>
    <w:p>
      <w:pPr>
        <w:widowControl/>
      </w:pPr>
      <w:r>
        <w:rPr>
          <w:b/>
          <w:i w:val="0"/>
        </w:rPr>
        <w:t>composita.</w:t>
      </w:r>
      <w:r>
        <w:rPr>
          <w:b w:val="0"/>
          <w:i w:val="0"/>
        </w:rPr>
        <w:t xml:space="preserve"> </w:t>
      </w:r>
      <w:hyperlink w:anchor="latin-record-0260">
        <w:r>
          <w:rPr>
            <w:color w:val="000000"/>
          </w:rPr>
          <w:t xml:space="preserve">componere</w:t>
        </w:r>
      </w:hyperlink>
      <w:r>
        <w:rPr>
          <w:b w:val="0"/>
          <w:i w:val="0"/>
        </w:rPr>
        <w:t xml:space="preserve">; </w:t>
      </w:r>
      <w:hyperlink w:anchor="latin-record-0261">
        <w:r>
          <w:rPr>
            <w:color w:val="000000"/>
          </w:rPr>
          <w:t xml:space="preserve">componere / compositum</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266">
        <w:r>
          <w:rPr>
            <w:color w:val="000000"/>
          </w:rPr>
          <w:t xml:space="preserve">compositum</w:t>
        </w:r>
      </w:hyperlink>
      <w:r>
        <w:rPr>
          <w:b w:val="0"/>
          <w:i w:val="0"/>
        </w:rPr>
        <w:t>.</w:t>
      </w:r>
    </w:p>
    <w:p>
      <w:pPr>
        <w:widowControl/>
      </w:pPr>
      <w:r>
        <w:rPr>
          <w:b/>
          <w:i w:val="0"/>
        </w:rPr>
        <w:t>compositam.</w:t>
      </w:r>
      <w:r>
        <w:rPr>
          <w:b w:val="0"/>
          <w:i w:val="0"/>
        </w:rPr>
        <w:t xml:space="preserve"> </w:t>
      </w:r>
      <w:hyperlink w:anchor="latin-record-0261">
        <w:r>
          <w:rPr>
            <w:color w:val="000000"/>
          </w:rPr>
          <w:t xml:space="preserve">componere / compositum</w:t>
        </w:r>
      </w:hyperlink>
      <w:r>
        <w:rPr>
          <w:b w:val="0"/>
          <w:i w:val="0"/>
        </w:rPr>
        <w:t>.</w:t>
      </w:r>
    </w:p>
    <w:p>
      <w:pPr>
        <w:widowControl/>
      </w:pPr>
      <w:r>
        <w:rPr>
          <w:b/>
          <w:i w:val="0"/>
        </w:rPr>
        <w:t>compositi.</w:t>
      </w:r>
      <w:r>
        <w:rPr>
          <w:b w:val="0"/>
          <w:i w:val="0"/>
        </w:rPr>
        <w:t xml:space="preserve"> </w:t>
      </w:r>
      <w:hyperlink w:anchor="latin-record-0261">
        <w:r>
          <w:rPr>
            <w:color w:val="000000"/>
          </w:rPr>
          <w:t xml:space="preserve">componere / compositum</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266">
        <w:r>
          <w:rPr>
            <w:color w:val="000000"/>
          </w:rPr>
          <w:t xml:space="preserve">compositum</w:t>
        </w:r>
      </w:hyperlink>
      <w:r>
        <w:rPr>
          <w:b w:val="0"/>
          <w:i w:val="0"/>
        </w:rPr>
        <w:t xml:space="preserve">; </w:t>
      </w:r>
      <w:hyperlink w:anchor="latin-record-0267">
        <w:r>
          <w:rPr>
            <w:color w:val="000000"/>
          </w:rPr>
          <w:t xml:space="preserve">compositum / forma communis</w:t>
        </w:r>
      </w:hyperlink>
      <w:r>
        <w:rPr>
          <w:b w:val="0"/>
          <w:i w:val="0"/>
        </w:rPr>
        <w:t>.</w:t>
      </w:r>
    </w:p>
    <w:p>
      <w:pPr>
        <w:widowControl/>
      </w:pPr>
      <w:r>
        <w:rPr>
          <w:b/>
          <w:i w:val="0"/>
        </w:rPr>
        <w:t>Compositio.</w:t>
      </w:r>
      <w:r>
        <w:rPr>
          <w:b w:val="0"/>
          <w:i w:val="0"/>
        </w:rPr>
        <w:t xml:space="preserve"> </w:t>
      </w:r>
      <w:hyperlink w:anchor="latin-record-0264">
        <w:r>
          <w:rPr>
            <w:color w:val="000000"/>
          </w:rPr>
          <w:t xml:space="preserve">compositio</w:t>
        </w:r>
      </w:hyperlink>
      <w:r>
        <w:rPr>
          <w:b w:val="0"/>
          <w:i w:val="0"/>
        </w:rPr>
        <w:t>.</w:t>
      </w:r>
    </w:p>
    <w:p>
      <w:pPr>
        <w:widowControl/>
      </w:pPr>
      <w:r>
        <w:rPr>
          <w:b/>
          <w:i w:val="0"/>
        </w:rPr>
        <w:t>compositio.</w:t>
      </w:r>
      <w:r>
        <w:rPr>
          <w:b w:val="0"/>
          <w:i w:val="0"/>
        </w:rPr>
        <w:t xml:space="preserve"> </w:t>
      </w:r>
      <w:hyperlink w:anchor="latin-record-0264">
        <w:r>
          <w:rPr>
            <w:color w:val="000000"/>
          </w:rPr>
          <w:t xml:space="preserve">compositio</w:t>
        </w:r>
      </w:hyperlink>
      <w:r>
        <w:rPr>
          <w:b w:val="0"/>
          <w:i w:val="0"/>
        </w:rPr>
        <w:t>.</w:t>
      </w:r>
    </w:p>
    <w:p>
      <w:pPr>
        <w:widowControl/>
      </w:pPr>
      <w:r>
        <w:rPr>
          <w:b/>
          <w:i w:val="0"/>
        </w:rPr>
        <w:t>compositionem.</w:t>
      </w:r>
      <w:r>
        <w:rPr>
          <w:b w:val="0"/>
          <w:i w:val="0"/>
        </w:rPr>
        <w:t xml:space="preserve"> </w:t>
      </w:r>
      <w:hyperlink w:anchor="latin-record-0264">
        <w:r>
          <w:rPr>
            <w:color w:val="000000"/>
          </w:rPr>
          <w:t xml:space="preserve">compositio</w:t>
        </w:r>
      </w:hyperlink>
      <w:r>
        <w:rPr>
          <w:b w:val="0"/>
          <w:i w:val="0"/>
        </w:rPr>
        <w:t xml:space="preserve">; </w:t>
      </w:r>
      <w:hyperlink w:anchor="latin-record-0265">
        <w:r>
          <w:rPr>
            <w:color w:val="000000"/>
          </w:rPr>
          <w:t xml:space="preserve">compositio / mixtum</w:t>
        </w:r>
      </w:hyperlink>
      <w:r>
        <w:rPr>
          <w:b w:val="0"/>
          <w:i w:val="0"/>
        </w:rPr>
        <w:t>.</w:t>
      </w:r>
    </w:p>
    <w:p>
      <w:pPr>
        <w:widowControl/>
      </w:pPr>
      <w:r>
        <w:rPr>
          <w:b/>
          <w:i w:val="0"/>
        </w:rPr>
        <w:t>compositionis rationes.</w:t>
      </w:r>
      <w:r>
        <w:rPr>
          <w:b w:val="0"/>
          <w:i w:val="0"/>
        </w:rPr>
        <w:t xml:space="preserve"> </w:t>
      </w:r>
      <w:hyperlink w:anchor="latin-record-1072">
        <w:r>
          <w:rPr>
            <w:color w:val="000000"/>
          </w:rPr>
          <w:t xml:space="preserve">ratio compositionis / proportio</w:t>
        </w:r>
      </w:hyperlink>
      <w:r>
        <w:rPr>
          <w:b w:val="0"/>
          <w:i w:val="0"/>
        </w:rPr>
        <w:t>.</w:t>
      </w:r>
    </w:p>
    <w:p>
      <w:pPr>
        <w:widowControl/>
      </w:pPr>
      <w:r>
        <w:rPr>
          <w:b/>
          <w:i w:val="0"/>
        </w:rPr>
        <w:t>compositis.</w:t>
      </w:r>
      <w:r>
        <w:rPr>
          <w:b w:val="0"/>
          <w:i w:val="0"/>
        </w:rPr>
        <w:t xml:space="preserve"> </w:t>
      </w:r>
      <w:hyperlink w:anchor="latin-record-0261">
        <w:r>
          <w:rPr>
            <w:color w:val="000000"/>
          </w:rPr>
          <w:t xml:space="preserve">componere / compositum</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266">
        <w:r>
          <w:rPr>
            <w:color w:val="000000"/>
          </w:rPr>
          <w:t xml:space="preserve">compositum</w:t>
        </w:r>
      </w:hyperlink>
      <w:r>
        <w:rPr>
          <w:b w:val="0"/>
          <w:i w:val="0"/>
        </w:rPr>
        <w:t>.</w:t>
      </w:r>
    </w:p>
    <w:p>
      <w:pPr>
        <w:widowControl/>
      </w:pPr>
      <w:r>
        <w:rPr>
          <w:b/>
          <w:i w:val="0"/>
        </w:rPr>
        <w:t>compositum.</w:t>
      </w:r>
      <w:r>
        <w:rPr>
          <w:b w:val="0"/>
          <w:i w:val="0"/>
        </w:rPr>
        <w:t xml:space="preserve"> </w:t>
      </w:r>
      <w:hyperlink w:anchor="latin-record-0261">
        <w:r>
          <w:rPr>
            <w:color w:val="000000"/>
          </w:rPr>
          <w:t xml:space="preserve">componere / compositum</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266">
        <w:r>
          <w:rPr>
            <w:color w:val="000000"/>
          </w:rPr>
          <w:t xml:space="preserve">compositum</w:t>
        </w:r>
      </w:hyperlink>
      <w:r>
        <w:rPr>
          <w:b w:val="0"/>
          <w:i w:val="0"/>
        </w:rPr>
        <w:t>.</w:t>
      </w:r>
    </w:p>
    <w:p>
      <w:pPr>
        <w:widowControl/>
      </w:pPr>
      <w:r>
        <w:rPr>
          <w:b/>
          <w:i w:val="0"/>
        </w:rPr>
        <w:t>comprehendat.</w:t>
      </w:r>
      <w:r>
        <w:rPr>
          <w:b w:val="0"/>
          <w:i w:val="0"/>
        </w:rPr>
        <w:t xml:space="preserve"> </w:t>
      </w:r>
      <w:hyperlink w:anchor="latin-record-0190">
        <w:r>
          <w:rPr>
            <w:color w:val="000000"/>
          </w:rPr>
          <w:t xml:space="preserve">capere / comprehendere</w:t>
        </w:r>
      </w:hyperlink>
      <w:r>
        <w:rPr>
          <w:b w:val="0"/>
          <w:i w:val="0"/>
        </w:rPr>
        <w:t xml:space="preserve">; </w:t>
      </w:r>
      <w:hyperlink w:anchor="latin-record-0275">
        <w:r>
          <w:rPr>
            <w:color w:val="000000"/>
          </w:rPr>
          <w:t xml:space="preserve">concipere / comprehendere</w:t>
        </w:r>
      </w:hyperlink>
      <w:r>
        <w:rPr>
          <w:b w:val="0"/>
          <w:i w:val="0"/>
        </w:rPr>
        <w:t>.</w:t>
      </w:r>
    </w:p>
    <w:p>
      <w:pPr>
        <w:widowControl/>
      </w:pPr>
      <w:r>
        <w:rPr>
          <w:b/>
          <w:i w:val="0"/>
        </w:rPr>
        <w:t>comprehendens.</w:t>
      </w:r>
      <w:r>
        <w:rPr>
          <w:b w:val="0"/>
          <w:i w:val="0"/>
        </w:rPr>
        <w:t xml:space="preserve"> </w:t>
      </w:r>
      <w:hyperlink w:anchor="latin-record-0268">
        <w:r>
          <w:rPr>
            <w:color w:val="000000"/>
          </w:rPr>
          <w:t xml:space="preserve">comprehendere</w:t>
        </w:r>
      </w:hyperlink>
      <w:r>
        <w:rPr>
          <w:b w:val="0"/>
          <w:i w:val="0"/>
        </w:rPr>
        <w:t xml:space="preserve">; </w:t>
      </w:r>
      <w:hyperlink w:anchor="latin-record-0275">
        <w:r>
          <w:rPr>
            <w:color w:val="000000"/>
          </w:rPr>
          <w:t xml:space="preserve">concipere / comprehendere</w:t>
        </w:r>
      </w:hyperlink>
      <w:r>
        <w:rPr>
          <w:b w:val="0"/>
          <w:i w:val="0"/>
        </w:rPr>
        <w:t>.</w:t>
      </w:r>
    </w:p>
    <w:p>
      <w:pPr>
        <w:widowControl/>
      </w:pPr>
      <w:r>
        <w:rPr>
          <w:b/>
          <w:i w:val="0"/>
        </w:rPr>
        <w:t>comprehendente.</w:t>
      </w:r>
      <w:r>
        <w:rPr>
          <w:b w:val="0"/>
          <w:i w:val="0"/>
        </w:rPr>
        <w:t xml:space="preserve"> </w:t>
      </w:r>
      <w:hyperlink w:anchor="latin-record-0275">
        <w:r>
          <w:rPr>
            <w:color w:val="000000"/>
          </w:rPr>
          <w:t xml:space="preserve">concipere / comprehendere</w:t>
        </w:r>
      </w:hyperlink>
      <w:r>
        <w:rPr>
          <w:b w:val="0"/>
          <w:i w:val="0"/>
        </w:rPr>
        <w:t>.</w:t>
      </w:r>
    </w:p>
    <w:p>
      <w:pPr>
        <w:widowControl/>
      </w:pPr>
      <w:r>
        <w:rPr>
          <w:b/>
          <w:i w:val="0"/>
        </w:rPr>
        <w:t>comprehenderet.</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comprehendimus.</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comprehendit.</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comprehenditur.</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comprehenduntur.</w:t>
      </w:r>
      <w:r>
        <w:rPr>
          <w:b w:val="0"/>
          <w:i w:val="0"/>
        </w:rPr>
        <w:t xml:space="preserve"> </w:t>
      </w:r>
      <w:hyperlink w:anchor="latin-record-0190">
        <w:r>
          <w:rPr>
            <w:color w:val="000000"/>
          </w:rPr>
          <w:t xml:space="preserve">capere / comprehendere</w:t>
        </w:r>
      </w:hyperlink>
      <w:r>
        <w:rPr>
          <w:b w:val="0"/>
          <w:i w:val="0"/>
        </w:rPr>
        <w:t>.</w:t>
      </w:r>
    </w:p>
    <w:p>
      <w:pPr>
        <w:widowControl/>
      </w:pPr>
      <w:r>
        <w:rPr>
          <w:b/>
          <w:i w:val="0"/>
        </w:rPr>
        <w:t>comprehensa.</w:t>
      </w:r>
      <w:r>
        <w:rPr>
          <w:b w:val="0"/>
          <w:i w:val="0"/>
        </w:rPr>
        <w:t xml:space="preserve"> </w:t>
      </w:r>
      <w:hyperlink w:anchor="latin-record-0268">
        <w:r>
          <w:rPr>
            <w:color w:val="000000"/>
          </w:rPr>
          <w:t xml:space="preserve">comprehendere</w:t>
        </w:r>
      </w:hyperlink>
      <w:r>
        <w:rPr>
          <w:b w:val="0"/>
          <w:i w:val="0"/>
        </w:rPr>
        <w:t>.</w:t>
      </w:r>
    </w:p>
    <w:p>
      <w:pPr>
        <w:widowControl/>
      </w:pPr>
      <w:r>
        <w:rPr>
          <w:b/>
          <w:i w:val="0"/>
        </w:rPr>
        <w:t>comprehensionem.</w:t>
      </w:r>
      <w:r>
        <w:rPr>
          <w:b w:val="0"/>
          <w:i w:val="0"/>
        </w:rPr>
        <w:t xml:space="preserve"> </w:t>
      </w:r>
      <w:hyperlink w:anchor="latin-record-0275">
        <w:r>
          <w:rPr>
            <w:color w:val="000000"/>
          </w:rPr>
          <w:t xml:space="preserve">concipere / comprehendere</w:t>
        </w:r>
      </w:hyperlink>
      <w:r>
        <w:rPr>
          <w:b w:val="0"/>
          <w:i w:val="0"/>
        </w:rPr>
        <w:t>.</w:t>
      </w:r>
    </w:p>
    <w:p>
      <w:pPr>
        <w:widowControl/>
      </w:pPr>
      <w:r>
        <w:rPr>
          <w:b/>
          <w:i w:val="0"/>
        </w:rPr>
        <w:t>compressa.</w:t>
      </w:r>
      <w:r>
        <w:rPr>
          <w:b w:val="0"/>
          <w:i w:val="0"/>
        </w:rPr>
        <w:t xml:space="preserve"> </w:t>
      </w:r>
      <w:hyperlink w:anchor="latin-record-0269">
        <w:r>
          <w:rPr>
            <w:color w:val="000000"/>
          </w:rPr>
          <w:t xml:space="preserve">comprimere; profundere</w:t>
        </w:r>
      </w:hyperlink>
      <w:r>
        <w:rPr>
          <w:b w:val="0"/>
          <w:i w:val="0"/>
        </w:rPr>
        <w:t>.</w:t>
      </w:r>
    </w:p>
    <w:p>
      <w:pPr>
        <w:widowControl/>
      </w:pPr>
      <w:r>
        <w:rPr>
          <w:b/>
          <w:i w:val="0"/>
        </w:rPr>
        <w:t>compulsos.</w:t>
      </w:r>
      <w:r>
        <w:rPr>
          <w:b w:val="0"/>
          <w:i w:val="0"/>
        </w:rPr>
        <w:t xml:space="preserve"> </w:t>
      </w:r>
      <w:hyperlink w:anchor="latin-record-0225">
        <w:r>
          <w:rPr>
            <w:color w:val="000000"/>
          </w:rPr>
          <w:t xml:space="preserve">cogere; compellere</w:t>
        </w:r>
      </w:hyperlink>
      <w:r>
        <w:rPr>
          <w:b w:val="0"/>
          <w:i w:val="0"/>
        </w:rPr>
        <w:t>.</w:t>
      </w:r>
    </w:p>
    <w:p>
      <w:pPr>
        <w:widowControl/>
      </w:pPr>
      <w:r>
        <w:rPr>
          <w:b/>
          <w:i w:val="0"/>
        </w:rPr>
        <w:t>concavi aeneique speculi.</w:t>
      </w:r>
      <w:r>
        <w:rPr>
          <w:b w:val="0"/>
          <w:i w:val="0"/>
        </w:rPr>
        <w:t xml:space="preserve"> </w:t>
      </w:r>
      <w:hyperlink w:anchor="latin-record-1219">
        <w:r>
          <w:rPr>
            <w:color w:val="000000"/>
          </w:rPr>
          <w:t xml:space="preserve">speculum concavum aeneum</w:t>
        </w:r>
      </w:hyperlink>
      <w:r>
        <w:rPr>
          <w:b w:val="0"/>
          <w:i w:val="0"/>
        </w:rPr>
        <w:t>.</w:t>
      </w:r>
    </w:p>
    <w:p>
      <w:pPr>
        <w:widowControl/>
      </w:pPr>
      <w:r>
        <w:rPr>
          <w:b/>
          <w:i w:val="0"/>
        </w:rPr>
        <w:t>Concedent.</w:t>
      </w:r>
      <w:r>
        <w:rPr>
          <w:b w:val="0"/>
          <w:i w:val="0"/>
        </w:rPr>
        <w:t xml:space="preserve"> </w:t>
      </w:r>
      <w:hyperlink w:anchor="latin-record-0959">
        <w:r>
          <w:rPr>
            <w:color w:val="000000"/>
          </w:rPr>
          <w:t xml:space="preserve">ponere / concedere / admittere</w:t>
        </w:r>
      </w:hyperlink>
      <w:r>
        <w:rPr>
          <w:b w:val="0"/>
          <w:i w:val="0"/>
        </w:rPr>
        <w:t>.</w:t>
      </w:r>
    </w:p>
    <w:p>
      <w:pPr>
        <w:widowControl/>
      </w:pPr>
      <w:r>
        <w:rPr>
          <w:b/>
          <w:i w:val="0"/>
        </w:rPr>
        <w:t>conceditur.</w:t>
      </w:r>
      <w:r>
        <w:rPr>
          <w:b w:val="0"/>
          <w:i w:val="0"/>
        </w:rPr>
        <w:t xml:space="preserve"> </w:t>
      </w:r>
      <w:hyperlink w:anchor="latin-record-0959">
        <w:r>
          <w:rPr>
            <w:color w:val="000000"/>
          </w:rPr>
          <w:t xml:space="preserve">ponere / concedere / admittere</w:t>
        </w:r>
      </w:hyperlink>
      <w:r>
        <w:rPr>
          <w:b w:val="0"/>
          <w:i w:val="0"/>
        </w:rPr>
        <w:t>.</w:t>
      </w:r>
    </w:p>
    <w:p>
      <w:pPr>
        <w:widowControl/>
      </w:pPr>
      <w:r>
        <w:rPr>
          <w:b/>
          <w:i w:val="0"/>
        </w:rPr>
        <w:t>concentu.</w:t>
      </w:r>
      <w:r>
        <w:rPr>
          <w:b w:val="0"/>
          <w:i w:val="0"/>
        </w:rPr>
        <w:t xml:space="preserve"> </w:t>
      </w:r>
      <w:hyperlink w:anchor="latin-record-0271">
        <w:r>
          <w:rPr>
            <w:color w:val="000000"/>
          </w:rPr>
          <w:t xml:space="preserve">concentus / concinere</w:t>
        </w:r>
      </w:hyperlink>
      <w:r>
        <w:rPr>
          <w:b w:val="0"/>
          <w:i w:val="0"/>
        </w:rPr>
        <w:t>.</w:t>
      </w:r>
    </w:p>
    <w:p>
      <w:pPr>
        <w:widowControl/>
      </w:pPr>
      <w:r>
        <w:rPr>
          <w:b/>
          <w:i w:val="0"/>
        </w:rPr>
        <w:t>concepit.</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concepta.</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conceptas.</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conceptio.</w:t>
      </w:r>
      <w:r>
        <w:rPr>
          <w:b w:val="0"/>
          <w:i w:val="0"/>
        </w:rPr>
        <w:t xml:space="preserve"> </w:t>
      </w:r>
      <w:hyperlink w:anchor="latin-record-0272">
        <w:r>
          <w:rPr>
            <w:color w:val="000000"/>
          </w:rPr>
          <w:t xml:space="preserve">conceptus / conceptio</w:t>
        </w:r>
      </w:hyperlink>
      <w:r>
        <w:rPr>
          <w:b w:val="0"/>
          <w:i w:val="0"/>
        </w:rPr>
        <w:t>.</w:t>
      </w:r>
    </w:p>
    <w:p>
      <w:pPr>
        <w:widowControl/>
      </w:pPr>
      <w:r>
        <w:rPr>
          <w:b/>
          <w:i w:val="0"/>
        </w:rPr>
        <w:t>conceptionisque.</w:t>
      </w:r>
      <w:r>
        <w:rPr>
          <w:b w:val="0"/>
          <w:i w:val="0"/>
        </w:rPr>
        <w:t xml:space="preserve"> </w:t>
      </w:r>
      <w:hyperlink w:anchor="latin-record-0272">
        <w:r>
          <w:rPr>
            <w:color w:val="000000"/>
          </w:rPr>
          <w:t xml:space="preserve">conceptus / conceptio</w:t>
        </w:r>
      </w:hyperlink>
      <w:r>
        <w:rPr>
          <w:b w:val="0"/>
          <w:i w:val="0"/>
        </w:rPr>
        <w:t>.</w:t>
      </w:r>
    </w:p>
    <w:p>
      <w:pPr>
        <w:widowControl/>
      </w:pPr>
      <w:r>
        <w:rPr>
          <w:b/>
          <w:i w:val="0"/>
        </w:rPr>
        <w:t>conceptus.</w:t>
      </w:r>
      <w:r>
        <w:rPr>
          <w:b w:val="0"/>
          <w:i w:val="0"/>
        </w:rPr>
        <w:t xml:space="preserve"> </w:t>
      </w:r>
      <w:hyperlink w:anchor="latin-record-0272">
        <w:r>
          <w:rPr>
            <w:color w:val="000000"/>
          </w:rPr>
          <w:t xml:space="preserve">conceptus / conceptio</w:t>
        </w:r>
      </w:hyperlink>
      <w:r>
        <w:rPr>
          <w:b w:val="0"/>
          <w:i w:val="0"/>
        </w:rPr>
        <w:t>.</w:t>
      </w:r>
    </w:p>
    <w:p>
      <w:pPr>
        <w:widowControl/>
      </w:pPr>
      <w:r>
        <w:rPr>
          <w:b/>
          <w:i w:val="0"/>
        </w:rPr>
        <w:t>concessa.</w:t>
      </w:r>
      <w:r>
        <w:rPr>
          <w:b w:val="0"/>
          <w:i w:val="0"/>
        </w:rPr>
        <w:t xml:space="preserve"> </w:t>
      </w:r>
      <w:hyperlink w:anchor="latin-record-0270">
        <w:r>
          <w:rPr>
            <w:color w:val="000000"/>
          </w:rPr>
          <w:t xml:space="preserve">concedere / donare</w:t>
        </w:r>
      </w:hyperlink>
      <w:r>
        <w:rPr>
          <w:b w:val="0"/>
          <w:i w:val="0"/>
        </w:rPr>
        <w:t>.</w:t>
      </w:r>
    </w:p>
    <w:p>
      <w:pPr>
        <w:widowControl/>
      </w:pPr>
      <w:r>
        <w:rPr>
          <w:b/>
          <w:i w:val="0"/>
        </w:rPr>
        <w:t>concessa sibi.</w:t>
      </w:r>
      <w:r>
        <w:rPr>
          <w:b w:val="0"/>
          <w:i w:val="0"/>
        </w:rPr>
        <w:t xml:space="preserve"> </w:t>
      </w:r>
      <w:hyperlink w:anchor="latin-record-0270">
        <w:r>
          <w:rPr>
            <w:color w:val="000000"/>
          </w:rPr>
          <w:t xml:space="preserve">concedere / donare</w:t>
        </w:r>
      </w:hyperlink>
      <w:r>
        <w:rPr>
          <w:b w:val="0"/>
          <w:i w:val="0"/>
        </w:rPr>
        <w:t>.</w:t>
      </w:r>
    </w:p>
    <w:p>
      <w:pPr>
        <w:widowControl/>
      </w:pPr>
      <w:r>
        <w:rPr>
          <w:b/>
          <w:i w:val="0"/>
        </w:rPr>
        <w:t>conciliat.</w:t>
      </w:r>
      <w:r>
        <w:rPr>
          <w:b w:val="0"/>
          <w:i w:val="0"/>
        </w:rPr>
        <w:t xml:space="preserve"> </w:t>
      </w:r>
      <w:hyperlink w:anchor="latin-record-0234">
        <w:r>
          <w:rPr>
            <w:color w:val="000000"/>
          </w:rPr>
          <w:t xml:space="preserve">colligere / conciliare</w:t>
        </w:r>
      </w:hyperlink>
      <w:r>
        <w:rPr>
          <w:b w:val="0"/>
          <w:i w:val="0"/>
        </w:rPr>
        <w:t xml:space="preserve">; </w:t>
      </w:r>
      <w:hyperlink w:anchor="latin-record-0273">
        <w:r>
          <w:rPr>
            <w:color w:val="000000"/>
          </w:rPr>
          <w:t xml:space="preserve">conciliare / pax</w:t>
        </w:r>
      </w:hyperlink>
      <w:r>
        <w:rPr>
          <w:b w:val="0"/>
          <w:i w:val="0"/>
        </w:rPr>
        <w:t>.</w:t>
      </w:r>
    </w:p>
    <w:p>
      <w:pPr>
        <w:widowControl/>
      </w:pPr>
      <w:r>
        <w:rPr>
          <w:b/>
          <w:i w:val="0"/>
        </w:rPr>
        <w:t>conciliat invicem.</w:t>
      </w:r>
      <w:r>
        <w:rPr>
          <w:b w:val="0"/>
          <w:i w:val="0"/>
        </w:rPr>
        <w:t xml:space="preserve"> </w:t>
      </w:r>
      <w:hyperlink w:anchor="latin-record-0234">
        <w:r>
          <w:rPr>
            <w:color w:val="000000"/>
          </w:rPr>
          <w:t xml:space="preserve">colligere / conciliare</w:t>
        </w:r>
      </w:hyperlink>
      <w:r>
        <w:rPr>
          <w:b w:val="0"/>
          <w:i w:val="0"/>
        </w:rPr>
        <w:t>.</w:t>
      </w:r>
    </w:p>
    <w:p>
      <w:pPr>
        <w:widowControl/>
      </w:pPr>
      <w:r>
        <w:rPr>
          <w:b/>
          <w:i w:val="0"/>
        </w:rPr>
        <w:t>conciliet.</w:t>
      </w:r>
      <w:r>
        <w:rPr>
          <w:b w:val="0"/>
          <w:i w:val="0"/>
        </w:rPr>
        <w:t xml:space="preserve"> </w:t>
      </w:r>
      <w:hyperlink w:anchor="latin-record-0273">
        <w:r>
          <w:rPr>
            <w:color w:val="000000"/>
          </w:rPr>
          <w:t xml:space="preserve">conciliare / pax</w:t>
        </w:r>
      </w:hyperlink>
      <w:r>
        <w:rPr>
          <w:b w:val="0"/>
          <w:i w:val="0"/>
        </w:rPr>
        <w:t xml:space="preserve">; </w:t>
      </w:r>
      <w:hyperlink w:anchor="latin-record-0328">
        <w:r>
          <w:rPr>
            <w:color w:val="000000"/>
          </w:rPr>
          <w:t xml:space="preserve">convenire / conciliare</w:t>
        </w:r>
      </w:hyperlink>
      <w:r>
        <w:rPr>
          <w:b w:val="0"/>
          <w:i w:val="0"/>
        </w:rPr>
        <w:t>.</w:t>
      </w:r>
    </w:p>
    <w:p>
      <w:pPr>
        <w:widowControl/>
      </w:pPr>
      <w:r>
        <w:rPr>
          <w:b/>
          <w:i w:val="0"/>
        </w:rPr>
        <w:t>concinentibus.</w:t>
      </w:r>
      <w:r>
        <w:rPr>
          <w:b w:val="0"/>
          <w:i w:val="0"/>
        </w:rPr>
        <w:t xml:space="preserve"> </w:t>
      </w:r>
      <w:hyperlink w:anchor="latin-record-0271">
        <w:r>
          <w:rPr>
            <w:color w:val="000000"/>
          </w:rPr>
          <w:t xml:space="preserve">concentus / concinere</w:t>
        </w:r>
      </w:hyperlink>
      <w:r>
        <w:rPr>
          <w:b w:val="0"/>
          <w:i w:val="0"/>
        </w:rPr>
        <w:t>.</w:t>
      </w:r>
    </w:p>
    <w:p>
      <w:pPr>
        <w:widowControl/>
      </w:pPr>
      <w:r>
        <w:rPr>
          <w:b/>
          <w:i w:val="0"/>
        </w:rPr>
        <w:t>concinit.</w:t>
      </w:r>
      <w:r>
        <w:rPr>
          <w:b w:val="0"/>
          <w:i w:val="0"/>
        </w:rPr>
        <w:t xml:space="preserve"> </w:t>
      </w:r>
      <w:hyperlink w:anchor="latin-record-0271">
        <w:r>
          <w:rPr>
            <w:color w:val="000000"/>
          </w:rPr>
          <w:t xml:space="preserve">concentus / concinere</w:t>
        </w:r>
      </w:hyperlink>
      <w:r>
        <w:rPr>
          <w:b w:val="0"/>
          <w:i w:val="0"/>
        </w:rPr>
        <w:t>.</w:t>
      </w:r>
    </w:p>
    <w:p>
      <w:pPr>
        <w:widowControl/>
      </w:pPr>
      <w:r>
        <w:rPr>
          <w:b/>
          <w:i w:val="0"/>
        </w:rPr>
        <w:t>concinnitas.</w:t>
      </w:r>
      <w:r>
        <w:rPr>
          <w:b w:val="0"/>
          <w:i w:val="0"/>
        </w:rPr>
        <w:t xml:space="preserve"> </w:t>
      </w:r>
      <w:hyperlink w:anchor="latin-record-0274">
        <w:r>
          <w:rPr>
            <w:color w:val="000000"/>
          </w:rPr>
          <w:t xml:space="preserve">concinnitas / consonantia</w:t>
        </w:r>
      </w:hyperlink>
      <w:r>
        <w:rPr>
          <w:b w:val="0"/>
          <w:i w:val="0"/>
        </w:rPr>
        <w:t>.</w:t>
      </w:r>
    </w:p>
    <w:p>
      <w:pPr>
        <w:widowControl/>
      </w:pPr>
      <w:r>
        <w:rPr>
          <w:b/>
          <w:i w:val="0"/>
        </w:rPr>
        <w:t>concinnitate.</w:t>
      </w:r>
      <w:r>
        <w:rPr>
          <w:b w:val="0"/>
          <w:i w:val="0"/>
        </w:rPr>
        <w:t xml:space="preserve"> </w:t>
      </w:r>
      <w:hyperlink w:anchor="latin-record-0274">
        <w:r>
          <w:rPr>
            <w:color w:val="000000"/>
          </w:rPr>
          <w:t xml:space="preserve">concinnitas / consonantia</w:t>
        </w:r>
      </w:hyperlink>
      <w:r>
        <w:rPr>
          <w:b w:val="0"/>
          <w:i w:val="0"/>
        </w:rPr>
        <w:t>.</w:t>
      </w:r>
    </w:p>
    <w:p>
      <w:pPr>
        <w:widowControl/>
      </w:pPr>
      <w:r>
        <w:rPr>
          <w:b/>
          <w:i w:val="0"/>
        </w:rPr>
        <w:t>concinnitatem.</w:t>
      </w:r>
      <w:r>
        <w:rPr>
          <w:b w:val="0"/>
          <w:i w:val="0"/>
        </w:rPr>
        <w:t xml:space="preserve"> </w:t>
      </w:r>
      <w:hyperlink w:anchor="latin-record-0274">
        <w:r>
          <w:rPr>
            <w:color w:val="000000"/>
          </w:rPr>
          <w:t xml:space="preserve">concinnitas / consonantia</w:t>
        </w:r>
      </w:hyperlink>
      <w:r>
        <w:rPr>
          <w:b w:val="0"/>
          <w:i w:val="0"/>
        </w:rPr>
        <w:t>.</w:t>
      </w:r>
    </w:p>
    <w:p>
      <w:pPr>
        <w:widowControl/>
      </w:pPr>
      <w:r>
        <w:rPr>
          <w:b/>
          <w:i w:val="0"/>
        </w:rPr>
        <w:t>concinunt.</w:t>
      </w:r>
      <w:r>
        <w:rPr>
          <w:b w:val="0"/>
          <w:i w:val="0"/>
        </w:rPr>
        <w:t xml:space="preserve"> </w:t>
      </w:r>
      <w:hyperlink w:anchor="latin-record-0312">
        <w:r>
          <w:rPr>
            <w:color w:val="000000"/>
          </w:rPr>
          <w:t xml:space="preserve">conspiratio / concinere / coalescere</w:t>
        </w:r>
      </w:hyperlink>
      <w:r>
        <w:rPr>
          <w:b w:val="0"/>
          <w:i w:val="0"/>
        </w:rPr>
        <w:t>.</w:t>
      </w:r>
    </w:p>
    <w:p>
      <w:pPr>
        <w:widowControl/>
      </w:pPr>
      <w:r>
        <w:rPr>
          <w:b/>
          <w:i w:val="0"/>
        </w:rPr>
        <w:t>conciperet.</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concipiat.</w:t>
      </w:r>
      <w:r>
        <w:rPr>
          <w:b w:val="0"/>
          <w:i w:val="0"/>
        </w:rPr>
        <w:t xml:space="preserve"> </w:t>
      </w:r>
      <w:hyperlink w:anchor="latin-record-0016">
        <w:r>
          <w:rPr>
            <w:color w:val="000000"/>
          </w:rPr>
          <w:t xml:space="preserve">accipere / concipere</w:t>
        </w:r>
      </w:hyperlink>
      <w:r>
        <w:rPr>
          <w:b w:val="0"/>
          <w:i w:val="0"/>
        </w:rPr>
        <w:t>.</w:t>
      </w:r>
    </w:p>
    <w:p>
      <w:pPr>
        <w:widowControl/>
      </w:pPr>
      <w:r>
        <w:rPr>
          <w:b/>
          <w:i w:val="0"/>
        </w:rPr>
        <w:t>concipiatur.</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concipiet.</w:t>
      </w:r>
      <w:r>
        <w:rPr>
          <w:b w:val="0"/>
          <w:i w:val="0"/>
        </w:rPr>
        <w:t xml:space="preserve"> </w:t>
      </w:r>
      <w:hyperlink w:anchor="latin-record-0016">
        <w:r>
          <w:rPr>
            <w:color w:val="000000"/>
          </w:rPr>
          <w:t xml:space="preserve">accipere / concipere</w:t>
        </w:r>
      </w:hyperlink>
      <w:r>
        <w:rPr>
          <w:b w:val="0"/>
          <w:i w:val="0"/>
        </w:rPr>
        <w:t>.</w:t>
      </w:r>
    </w:p>
    <w:p>
      <w:pPr>
        <w:widowControl/>
      </w:pPr>
      <w:r>
        <w:rPr>
          <w:b/>
          <w:i w:val="0"/>
        </w:rPr>
        <w:t>concipit.</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concipitve.</w:t>
      </w:r>
      <w:r>
        <w:rPr>
          <w:b w:val="0"/>
          <w:i w:val="0"/>
        </w:rPr>
        <w:t xml:space="preserve"> </w:t>
      </w:r>
      <w:hyperlink w:anchor="latin-record-0275">
        <w:r>
          <w:rPr>
            <w:color w:val="000000"/>
          </w:rPr>
          <w:t xml:space="preserve">concipere / comprehendere</w:t>
        </w:r>
      </w:hyperlink>
      <w:r>
        <w:rPr>
          <w:b w:val="0"/>
          <w:i w:val="0"/>
        </w:rPr>
        <w:t>.</w:t>
      </w:r>
    </w:p>
    <w:p>
      <w:pPr>
        <w:widowControl/>
      </w:pPr>
      <w:r>
        <w:rPr>
          <w:b/>
          <w:i w:val="0"/>
        </w:rPr>
        <w:t>concipiunt.</w:t>
      </w:r>
      <w:r>
        <w:rPr>
          <w:b w:val="0"/>
          <w:i w:val="0"/>
        </w:rPr>
        <w:t xml:space="preserve"> </w:t>
      </w:r>
      <w:hyperlink w:anchor="latin-record-1311">
        <w:r>
          <w:rPr>
            <w:color w:val="000000"/>
          </w:rPr>
          <w:t xml:space="preserve">turgere; concipere; edere</w:t>
        </w:r>
      </w:hyperlink>
      <w:r>
        <w:rPr>
          <w:b w:val="0"/>
          <w:i w:val="0"/>
        </w:rPr>
        <w:t>.</w:t>
      </w:r>
    </w:p>
    <w:p>
      <w:pPr>
        <w:widowControl/>
      </w:pPr>
      <w:r>
        <w:rPr>
          <w:b/>
          <w:i w:val="0"/>
        </w:rPr>
        <w:t>concludamus.</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concludendum.</w:t>
      </w:r>
      <w:r>
        <w:rPr>
          <w:b w:val="0"/>
          <w:i w:val="0"/>
        </w:rPr>
        <w:t xml:space="preserve"> </w:t>
      </w:r>
      <w:hyperlink w:anchor="latin-record-0277">
        <w:r>
          <w:rPr>
            <w:color w:val="000000"/>
          </w:rPr>
          <w:t xml:space="preserve">concludere / inferre / sequi</w:t>
        </w:r>
      </w:hyperlink>
      <w:r>
        <w:rPr>
          <w:b w:val="0"/>
          <w:i w:val="0"/>
        </w:rPr>
        <w:t>.</w:t>
      </w:r>
    </w:p>
    <w:p>
      <w:pPr>
        <w:widowControl/>
      </w:pPr>
      <w:r>
        <w:rPr>
          <w:b/>
          <w:i w:val="0"/>
        </w:rPr>
        <w:t>concludendumque.</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concludimus.</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concludit.</w:t>
      </w:r>
      <w:r>
        <w:rPr>
          <w:b w:val="0"/>
          <w:i w:val="0"/>
        </w:rPr>
        <w:t xml:space="preserve"> </w:t>
      </w:r>
      <w:hyperlink w:anchor="latin-record-0277">
        <w:r>
          <w:rPr>
            <w:color w:val="000000"/>
          </w:rPr>
          <w:t xml:space="preserve">concludere / inferre / sequi</w:t>
        </w:r>
      </w:hyperlink>
      <w:r>
        <w:rPr>
          <w:b w:val="0"/>
          <w:i w:val="0"/>
        </w:rPr>
        <w:t>.</w:t>
      </w:r>
    </w:p>
    <w:p>
      <w:pPr>
        <w:widowControl/>
      </w:pPr>
      <w:r>
        <w:rPr>
          <w:b/>
          <w:i w:val="0"/>
        </w:rPr>
        <w:t>Concluditur.</w:t>
      </w:r>
      <w:r>
        <w:rPr>
          <w:b w:val="0"/>
          <w:i w:val="0"/>
        </w:rPr>
        <w:t xml:space="preserve"> </w:t>
      </w:r>
      <w:hyperlink w:anchor="latin-record-0278">
        <w:r>
          <w:rPr>
            <w:color w:val="000000"/>
          </w:rPr>
          <w:t xml:space="preserve">concludere / probare</w:t>
        </w:r>
      </w:hyperlink>
      <w:r>
        <w:rPr>
          <w:b w:val="0"/>
          <w:i w:val="0"/>
        </w:rPr>
        <w:t>.</w:t>
      </w:r>
    </w:p>
    <w:p>
      <w:pPr>
        <w:widowControl/>
      </w:pPr>
      <w:r>
        <w:rPr>
          <w:b/>
          <w:i w:val="0"/>
        </w:rPr>
        <w:t>concluditur.</w:t>
      </w:r>
      <w:r>
        <w:rPr>
          <w:b w:val="0"/>
          <w:i w:val="0"/>
        </w:rPr>
        <w:t xml:space="preserve"> </w:t>
      </w:r>
      <w:hyperlink w:anchor="latin-record-0278">
        <w:r>
          <w:rPr>
            <w:color w:val="000000"/>
          </w:rPr>
          <w:t xml:space="preserve">concludere / probare</w:t>
        </w:r>
      </w:hyperlink>
      <w:r>
        <w:rPr>
          <w:b w:val="0"/>
          <w:i w:val="0"/>
        </w:rPr>
        <w:t>.</w:t>
      </w:r>
    </w:p>
    <w:p>
      <w:pPr>
        <w:widowControl/>
      </w:pPr>
      <w:r>
        <w:rPr>
          <w:b/>
          <w:i w:val="0"/>
        </w:rPr>
        <w:t>concoquet.</w:t>
      </w:r>
      <w:r>
        <w:rPr>
          <w:b w:val="0"/>
          <w:i w:val="0"/>
        </w:rPr>
        <w:t xml:space="preserve"> </w:t>
      </w:r>
      <w:hyperlink w:anchor="latin-record-0281">
        <w:r>
          <w:rPr>
            <w:color w:val="000000"/>
          </w:rPr>
          <w:t xml:space="preserve">concoquere / generare prolem</w:t>
        </w:r>
      </w:hyperlink>
      <w:r>
        <w:rPr>
          <w:b w:val="0"/>
          <w:i w:val="0"/>
        </w:rPr>
        <w:t>.</w:t>
      </w:r>
    </w:p>
    <w:p>
      <w:pPr>
        <w:widowControl/>
      </w:pPr>
      <w:r>
        <w:rPr>
          <w:b/>
          <w:i w:val="0"/>
        </w:rPr>
        <w:t>concoquit.</w:t>
      </w:r>
      <w:r>
        <w:rPr>
          <w:b w:val="0"/>
          <w:i w:val="0"/>
        </w:rPr>
        <w:t xml:space="preserve"> </w:t>
      </w:r>
      <w:hyperlink w:anchor="latin-record-0280">
        <w:r>
          <w:rPr>
            <w:color w:val="000000"/>
          </w:rPr>
          <w:t xml:space="preserve">concoquere / digerere</w:t>
        </w:r>
      </w:hyperlink>
      <w:r>
        <w:rPr>
          <w:b w:val="0"/>
          <w:i w:val="0"/>
        </w:rPr>
        <w:t>.</w:t>
      </w:r>
    </w:p>
    <w:p>
      <w:pPr>
        <w:widowControl/>
      </w:pPr>
      <w:r>
        <w:rPr>
          <w:b/>
          <w:i w:val="0"/>
        </w:rPr>
        <w:t>concordiam.</w:t>
      </w:r>
      <w:r>
        <w:rPr>
          <w:b w:val="0"/>
          <w:i w:val="0"/>
        </w:rPr>
        <w:t xml:space="preserve"> </w:t>
      </w:r>
      <w:hyperlink w:anchor="latin-record-0309">
        <w:r>
          <w:rPr>
            <w:color w:val="000000"/>
          </w:rPr>
          <w:t xml:space="preserve">consonantia; dissonus</w:t>
        </w:r>
      </w:hyperlink>
      <w:r>
        <w:rPr>
          <w:b w:val="0"/>
          <w:i w:val="0"/>
        </w:rPr>
        <w:t>.</w:t>
      </w:r>
    </w:p>
    <w:p>
      <w:pPr>
        <w:widowControl/>
      </w:pPr>
      <w:r>
        <w:rPr>
          <w:b/>
          <w:i w:val="0"/>
        </w:rPr>
        <w:t>concurrant.</w:t>
      </w:r>
      <w:r>
        <w:rPr>
          <w:b w:val="0"/>
          <w:i w:val="0"/>
        </w:rPr>
        <w:t xml:space="preserve"> </w:t>
      </w:r>
      <w:hyperlink w:anchor="latin-record-0256">
        <w:r>
          <w:rPr>
            <w:color w:val="000000"/>
          </w:rPr>
          <w:t xml:space="preserve">compati / consonare / concurrere</w:t>
        </w:r>
      </w:hyperlink>
      <w:r>
        <w:rPr>
          <w:b w:val="0"/>
          <w:i w:val="0"/>
        </w:rPr>
        <w:t>.</w:t>
      </w:r>
    </w:p>
    <w:p>
      <w:pPr>
        <w:widowControl/>
      </w:pPr>
      <w:r>
        <w:rPr>
          <w:b/>
          <w:i w:val="0"/>
        </w:rPr>
        <w:t>concurrere.</w:t>
      </w:r>
      <w:r>
        <w:rPr>
          <w:b w:val="0"/>
          <w:i w:val="0"/>
        </w:rPr>
        <w:t xml:space="preserve"> </w:t>
      </w:r>
      <w:hyperlink w:anchor="latin-record-0941">
        <w:r>
          <w:rPr>
            <w:color w:val="000000"/>
          </w:rPr>
          <w:t xml:space="preserve">pervenire / transire / concurrere</w:t>
        </w:r>
      </w:hyperlink>
      <w:r>
        <w:rPr>
          <w:b w:val="0"/>
          <w:i w:val="0"/>
        </w:rPr>
        <w:t>.</w:t>
      </w:r>
    </w:p>
    <w:p>
      <w:pPr>
        <w:widowControl/>
      </w:pPr>
      <w:r>
        <w:rPr>
          <w:b/>
          <w:i w:val="0"/>
        </w:rPr>
        <w:t>concursionis.</w:t>
      </w:r>
      <w:r>
        <w:rPr>
          <w:b w:val="0"/>
          <w:i w:val="0"/>
        </w:rPr>
        <w:t xml:space="preserve"> </w:t>
      </w:r>
      <w:hyperlink w:anchor="latin-record-0288">
        <w:r>
          <w:rPr>
            <w:color w:val="000000"/>
          </w:rPr>
          <w:t xml:space="preserve">conflatus; concursus</w:t>
        </w:r>
      </w:hyperlink>
      <w:r>
        <w:rPr>
          <w:b w:val="0"/>
          <w:i w:val="0"/>
        </w:rPr>
        <w:t>.</w:t>
      </w:r>
    </w:p>
    <w:p>
      <w:pPr>
        <w:widowControl/>
      </w:pPr>
      <w:r>
        <w:rPr>
          <w:b/>
          <w:i w:val="0"/>
        </w:rPr>
        <w:t>concursu.</w:t>
      </w:r>
      <w:r>
        <w:rPr>
          <w:b w:val="0"/>
          <w:i w:val="0"/>
        </w:rPr>
        <w:t xml:space="preserve"> </w:t>
      </w:r>
      <w:hyperlink w:anchor="latin-record-0288">
        <w:r>
          <w:rPr>
            <w:color w:val="000000"/>
          </w:rPr>
          <w:t xml:space="preserve">conflatus; concursus</w:t>
        </w:r>
      </w:hyperlink>
      <w:r>
        <w:rPr>
          <w:b w:val="0"/>
          <w:i w:val="0"/>
        </w:rPr>
        <w:t xml:space="preserve">; </w:t>
      </w:r>
      <w:hyperlink w:anchor="latin-record-0319">
        <w:r>
          <w:rPr>
            <w:color w:val="000000"/>
          </w:rPr>
          <w:t xml:space="preserve">contingere / concursus</w:t>
        </w:r>
      </w:hyperlink>
      <w:r>
        <w:rPr>
          <w:b w:val="0"/>
          <w:i w:val="0"/>
        </w:rPr>
        <w:t>.</w:t>
      </w:r>
    </w:p>
    <w:p>
      <w:pPr>
        <w:widowControl/>
      </w:pPr>
      <w:r>
        <w:rPr>
          <w:b/>
          <w:i w:val="0"/>
        </w:rPr>
        <w:t>concursum.</w:t>
      </w:r>
      <w:r>
        <w:rPr>
          <w:b w:val="0"/>
          <w:i w:val="0"/>
        </w:rPr>
        <w:t xml:space="preserve"> </w:t>
      </w:r>
      <w:hyperlink w:anchor="latin-record-0319">
        <w:r>
          <w:rPr>
            <w:color w:val="000000"/>
          </w:rPr>
          <w:t xml:space="preserve">contingere / concursus</w:t>
        </w:r>
      </w:hyperlink>
      <w:r>
        <w:rPr>
          <w:b w:val="0"/>
          <w:i w:val="0"/>
        </w:rPr>
        <w:t>.</w:t>
      </w:r>
    </w:p>
    <w:p>
      <w:pPr>
        <w:widowControl/>
      </w:pPr>
      <w:r>
        <w:rPr>
          <w:b/>
          <w:i w:val="0"/>
        </w:rPr>
        <w:t>condensatio, rarefactio, progressio.</w:t>
      </w:r>
      <w:r>
        <w:rPr>
          <w:b w:val="0"/>
          <w:i w:val="0"/>
        </w:rPr>
        <w:t xml:space="preserve"> </w:t>
      </w:r>
      <w:hyperlink w:anchor="latin-record-0282">
        <w:r>
          <w:rPr>
            <w:color w:val="000000"/>
          </w:rPr>
          <w:t xml:space="preserve">condensatio; rarefactio; progressio</w:t>
        </w:r>
      </w:hyperlink>
      <w:r>
        <w:rPr>
          <w:b w:val="0"/>
          <w:i w:val="0"/>
        </w:rPr>
        <w:t>.</w:t>
      </w:r>
    </w:p>
    <w:p>
      <w:pPr>
        <w:widowControl/>
      </w:pPr>
      <w:r>
        <w:rPr>
          <w:b/>
          <w:i w:val="0"/>
        </w:rPr>
        <w:t>conderet.</w:t>
      </w:r>
      <w:r>
        <w:rPr>
          <w:b w:val="0"/>
          <w:i w:val="0"/>
        </w:rPr>
        <w:t xml:space="preserve"> </w:t>
      </w:r>
      <w:hyperlink w:anchor="latin-record-1096">
        <w:r>
          <w:rPr>
            <w:color w:val="000000"/>
          </w:rPr>
          <w:t xml:space="preserve">regula / lex</w:t>
        </w:r>
      </w:hyperlink>
      <w:r>
        <w:rPr>
          <w:b w:val="0"/>
          <w:i w:val="0"/>
        </w:rPr>
        <w:t>.</w:t>
      </w:r>
    </w:p>
    <w:p>
      <w:pPr>
        <w:widowControl/>
      </w:pPr>
      <w:r>
        <w:rPr>
          <w:b/>
          <w:i w:val="0"/>
        </w:rPr>
        <w:t>condicio.</w:t>
      </w:r>
      <w:r>
        <w:rPr>
          <w:b w:val="0"/>
          <w:i w:val="0"/>
        </w:rPr>
        <w:t xml:space="preserve"> </w:t>
      </w:r>
      <w:hyperlink w:anchor="latin-record-0283">
        <w:r>
          <w:rPr>
            <w:color w:val="000000"/>
          </w:rPr>
          <w:t xml:space="preserve">condicio</w:t>
        </w:r>
      </w:hyperlink>
      <w:r>
        <w:rPr>
          <w:b w:val="0"/>
          <w:i w:val="0"/>
        </w:rPr>
        <w:t>.</w:t>
      </w:r>
    </w:p>
    <w:p>
      <w:pPr>
        <w:widowControl/>
      </w:pPr>
      <w:r>
        <w:rPr>
          <w:b/>
          <w:i w:val="0"/>
        </w:rPr>
        <w:t>condiciones.</w:t>
      </w:r>
      <w:r>
        <w:rPr>
          <w:b w:val="0"/>
          <w:i w:val="0"/>
        </w:rPr>
        <w:t xml:space="preserve"> </w:t>
      </w:r>
      <w:hyperlink w:anchor="latin-record-0283">
        <w:r>
          <w:rPr>
            <w:color w:val="000000"/>
          </w:rPr>
          <w:t xml:space="preserve">condicio</w:t>
        </w:r>
      </w:hyperlink>
      <w:r>
        <w:rPr>
          <w:b w:val="0"/>
          <w:i w:val="0"/>
        </w:rPr>
        <w:t>.</w:t>
      </w:r>
    </w:p>
    <w:p>
      <w:pPr>
        <w:widowControl/>
      </w:pPr>
      <w:r>
        <w:rPr>
          <w:b/>
          <w:i w:val="0"/>
        </w:rPr>
        <w:t>condicionibus.</w:t>
      </w:r>
      <w:r>
        <w:rPr>
          <w:b w:val="0"/>
          <w:i w:val="0"/>
        </w:rPr>
        <w:t xml:space="preserve"> </w:t>
      </w:r>
      <w:hyperlink w:anchor="latin-record-0283">
        <w:r>
          <w:rPr>
            <w:color w:val="000000"/>
          </w:rPr>
          <w:t xml:space="preserve">condicio</w:t>
        </w:r>
      </w:hyperlink>
      <w:r>
        <w:rPr>
          <w:b w:val="0"/>
          <w:i w:val="0"/>
        </w:rPr>
        <w:t>.</w:t>
      </w:r>
    </w:p>
    <w:p>
      <w:pPr>
        <w:widowControl/>
      </w:pPr>
      <w:r>
        <w:rPr>
          <w:b/>
          <w:i w:val="0"/>
        </w:rPr>
        <w:t>conditionibus.</w:t>
      </w:r>
      <w:r>
        <w:rPr>
          <w:b w:val="0"/>
          <w:i w:val="0"/>
        </w:rPr>
        <w:t xml:space="preserve"> </w:t>
      </w:r>
      <w:hyperlink w:anchor="latin-record-0283">
        <w:r>
          <w:rPr>
            <w:color w:val="000000"/>
          </w:rPr>
          <w:t xml:space="preserve">condicio</w:t>
        </w:r>
      </w:hyperlink>
      <w:r>
        <w:rPr>
          <w:b w:val="0"/>
          <w:i w:val="0"/>
        </w:rPr>
        <w:t>.</w:t>
      </w:r>
    </w:p>
    <w:p>
      <w:pPr>
        <w:widowControl/>
      </w:pPr>
      <w:r>
        <w:rPr>
          <w:b/>
          <w:i w:val="0"/>
        </w:rPr>
        <w:t>conditor.</w:t>
      </w:r>
      <w:r>
        <w:rPr>
          <w:b w:val="0"/>
          <w:i w:val="0"/>
        </w:rPr>
        <w:t xml:space="preserve"> </w:t>
      </w:r>
      <w:hyperlink w:anchor="latin-record-0147">
        <w:r>
          <w:rPr>
            <w:color w:val="000000"/>
          </w:rPr>
          <w:t xml:space="preserve">auctor / conditor / opifex</w:t>
        </w:r>
      </w:hyperlink>
      <w:r>
        <w:rPr>
          <w:b w:val="0"/>
          <w:i w:val="0"/>
        </w:rPr>
        <w:t>.</w:t>
      </w:r>
    </w:p>
    <w:p>
      <w:pPr>
        <w:widowControl/>
      </w:pPr>
      <w:r>
        <w:rPr>
          <w:b/>
          <w:i w:val="0"/>
        </w:rPr>
        <w:t>condolentia.</w:t>
      </w:r>
      <w:r>
        <w:rPr>
          <w:b w:val="0"/>
          <w:i w:val="0"/>
        </w:rPr>
        <w:t xml:space="preserve"> </w:t>
      </w:r>
      <w:hyperlink w:anchor="latin-record-0285">
        <w:r>
          <w:rPr>
            <w:color w:val="000000"/>
          </w:rPr>
          <w:t xml:space="preserve">condolere / compassio / condolentia</w:t>
        </w:r>
      </w:hyperlink>
      <w:r>
        <w:rPr>
          <w:b w:val="0"/>
          <w:i w:val="0"/>
        </w:rPr>
        <w:t>.</w:t>
      </w:r>
    </w:p>
    <w:p>
      <w:pPr>
        <w:widowControl/>
      </w:pPr>
      <w:r>
        <w:rPr>
          <w:b/>
          <w:i w:val="0"/>
        </w:rPr>
        <w:t>condolet.</w:t>
      </w:r>
      <w:r>
        <w:rPr>
          <w:b w:val="0"/>
          <w:i w:val="0"/>
        </w:rPr>
        <w:t xml:space="preserve"> </w:t>
      </w:r>
      <w:hyperlink w:anchor="latin-record-0285">
        <w:r>
          <w:rPr>
            <w:color w:val="000000"/>
          </w:rPr>
          <w:t xml:space="preserve">condolere / compassio / condolentia</w:t>
        </w:r>
      </w:hyperlink>
      <w:r>
        <w:rPr>
          <w:b w:val="0"/>
          <w:i w:val="0"/>
        </w:rPr>
        <w:t>.</w:t>
      </w:r>
    </w:p>
    <w:p>
      <w:pPr>
        <w:widowControl/>
      </w:pPr>
      <w:r>
        <w:rPr>
          <w:b/>
          <w:i w:val="0"/>
        </w:rPr>
        <w:t>conducat.</w:t>
      </w:r>
      <w:r>
        <w:rPr>
          <w:b w:val="0"/>
          <w:i w:val="0"/>
        </w:rPr>
        <w:t xml:space="preserve"> </w:t>
      </w:r>
      <w:hyperlink w:anchor="latin-record-0286">
        <w:r>
          <w:rPr>
            <w:color w:val="000000"/>
          </w:rPr>
          <w:t xml:space="preserve">conducere / nocere</w:t>
        </w:r>
      </w:hyperlink>
      <w:r>
        <w:rPr>
          <w:b w:val="0"/>
          <w:i w:val="0"/>
        </w:rPr>
        <w:t>.</w:t>
      </w:r>
    </w:p>
    <w:p>
      <w:pPr>
        <w:widowControl/>
      </w:pPr>
      <w:r>
        <w:rPr>
          <w:b/>
          <w:i w:val="0"/>
        </w:rPr>
        <w:t>conducere.</w:t>
      </w:r>
      <w:r>
        <w:rPr>
          <w:b w:val="0"/>
          <w:i w:val="0"/>
        </w:rPr>
        <w:t xml:space="preserve"> </w:t>
      </w:r>
      <w:hyperlink w:anchor="latin-record-0243">
        <w:r>
          <w:rPr>
            <w:color w:val="000000"/>
          </w:rPr>
          <w:t xml:space="preserve">commodum / utilitas</w:t>
        </w:r>
      </w:hyperlink>
      <w:r>
        <w:rPr>
          <w:b w:val="0"/>
          <w:i w:val="0"/>
        </w:rPr>
        <w:t>.</w:t>
      </w:r>
    </w:p>
    <w:p>
      <w:pPr>
        <w:widowControl/>
      </w:pPr>
      <w:r>
        <w:rPr>
          <w:b/>
          <w:i w:val="0"/>
        </w:rPr>
        <w:t>conduceret.</w:t>
      </w:r>
      <w:r>
        <w:rPr>
          <w:b w:val="0"/>
          <w:i w:val="0"/>
        </w:rPr>
        <w:t xml:space="preserve"> </w:t>
      </w:r>
      <w:hyperlink w:anchor="latin-record-0286">
        <w:r>
          <w:rPr>
            <w:color w:val="000000"/>
          </w:rPr>
          <w:t xml:space="preserve">conducere / nocere</w:t>
        </w:r>
      </w:hyperlink>
      <w:r>
        <w:rPr>
          <w:b w:val="0"/>
          <w:i w:val="0"/>
        </w:rPr>
        <w:t>.</w:t>
      </w:r>
    </w:p>
    <w:p>
      <w:pPr>
        <w:widowControl/>
      </w:pPr>
      <w:r>
        <w:rPr>
          <w:b/>
          <w:i w:val="0"/>
        </w:rPr>
        <w:t>confirmatur.</w:t>
      </w:r>
      <w:r>
        <w:rPr>
          <w:b w:val="0"/>
          <w:i w:val="0"/>
        </w:rPr>
        <w:t xml:space="preserve"> </w:t>
      </w:r>
      <w:hyperlink w:anchor="latin-record-1084">
        <w:r>
          <w:rPr>
            <w:color w:val="000000"/>
          </w:rPr>
          <w:t xml:space="preserve">redintegrare / confirmare / roborare</w:t>
        </w:r>
      </w:hyperlink>
      <w:r>
        <w:rPr>
          <w:b w:val="0"/>
          <w:i w:val="0"/>
        </w:rPr>
        <w:t>.</w:t>
      </w:r>
    </w:p>
    <w:p>
      <w:pPr>
        <w:widowControl/>
      </w:pPr>
      <w:r>
        <w:rPr>
          <w:b/>
          <w:i w:val="0"/>
        </w:rPr>
        <w:t>confiteri.</w:t>
      </w:r>
      <w:r>
        <w:rPr>
          <w:b w:val="0"/>
          <w:i w:val="0"/>
        </w:rPr>
        <w:t xml:space="preserve"> </w:t>
      </w:r>
      <w:hyperlink w:anchor="latin-record-0836">
        <w:r>
          <w:rPr>
            <w:color w:val="000000"/>
          </w:rPr>
          <w:t xml:space="preserve">negare; fateri; confiteri</w:t>
        </w:r>
      </w:hyperlink>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conflata.</w:t>
      </w:r>
      <w:r>
        <w:rPr>
          <w:b w:val="0"/>
          <w:i w:val="0"/>
        </w:rPr>
        <w:t xml:space="preserve"> </w:t>
      </w:r>
      <w:hyperlink w:anchor="latin-record-0287">
        <w:r>
          <w:rPr>
            <w:color w:val="000000"/>
          </w:rPr>
          <w:t xml:space="preserve">conflare / peragere</w:t>
        </w:r>
      </w:hyperlink>
      <w:r>
        <w:rPr>
          <w:b w:val="0"/>
          <w:i w:val="0"/>
        </w:rPr>
        <w:t xml:space="preserve">; </w:t>
      </w:r>
      <w:hyperlink w:anchor="latin-record-0288">
        <w:r>
          <w:rPr>
            <w:color w:val="000000"/>
          </w:rPr>
          <w:t xml:space="preserve">conflatus; concursus</w:t>
        </w:r>
      </w:hyperlink>
      <w:r>
        <w:rPr>
          <w:b w:val="0"/>
          <w:i w:val="0"/>
        </w:rPr>
        <w:t>.</w:t>
      </w:r>
    </w:p>
    <w:p>
      <w:pPr>
        <w:widowControl/>
      </w:pPr>
      <w:r>
        <w:rPr>
          <w:b/>
          <w:i w:val="0"/>
        </w:rPr>
        <w:t>confluentibus.</w:t>
      </w:r>
      <w:r>
        <w:rPr>
          <w:b w:val="0"/>
          <w:i w:val="0"/>
        </w:rPr>
        <w:t xml:space="preserve"> </w:t>
      </w:r>
      <w:hyperlink w:anchor="latin-record-0495">
        <w:r>
          <w:rPr>
            <w:color w:val="000000"/>
          </w:rPr>
          <w:t xml:space="preserve">fluere</w:t>
        </w:r>
      </w:hyperlink>
      <w:r>
        <w:rPr>
          <w:b w:val="0"/>
          <w:i w:val="0"/>
        </w:rPr>
        <w:t>.</w:t>
      </w:r>
    </w:p>
    <w:p>
      <w:pPr>
        <w:widowControl/>
      </w:pPr>
      <w:r>
        <w:rPr>
          <w:b/>
          <w:i w:val="0"/>
        </w:rPr>
        <w:t>conformationemque.</w:t>
      </w:r>
      <w:r>
        <w:rPr>
          <w:b w:val="0"/>
          <w:i w:val="0"/>
        </w:rPr>
        <w:t xml:space="preserve"> </w:t>
      </w:r>
      <w:hyperlink w:anchor="latin-record-0289">
        <w:r>
          <w:rPr>
            <w:color w:val="000000"/>
          </w:rPr>
          <w:t xml:space="preserve">conformatio</w:t>
        </w:r>
      </w:hyperlink>
      <w:r>
        <w:rPr>
          <w:b w:val="0"/>
          <w:i w:val="0"/>
        </w:rPr>
        <w:t>.</w:t>
      </w:r>
    </w:p>
    <w:p>
      <w:pPr>
        <w:widowControl/>
      </w:pPr>
      <w:r>
        <w:rPr>
          <w:b/>
          <w:i w:val="0"/>
        </w:rPr>
        <w:t>confundat.</w:t>
      </w:r>
      <w:r>
        <w:rPr>
          <w:b w:val="0"/>
          <w:i w:val="0"/>
        </w:rPr>
        <w:t xml:space="preserve"> </w:t>
      </w:r>
      <w:hyperlink w:anchor="latin-record-0290">
        <w:r>
          <w:rPr>
            <w:color w:val="000000"/>
          </w:rPr>
          <w:t xml:space="preserve">confundere</w:t>
        </w:r>
      </w:hyperlink>
      <w:r>
        <w:rPr>
          <w:b w:val="0"/>
          <w:i w:val="0"/>
        </w:rPr>
        <w:t>.</w:t>
      </w:r>
    </w:p>
    <w:p>
      <w:pPr>
        <w:widowControl/>
      </w:pPr>
      <w:r>
        <w:rPr>
          <w:b/>
          <w:i w:val="0"/>
        </w:rPr>
        <w:t>confundentur.</w:t>
      </w:r>
      <w:r>
        <w:rPr>
          <w:b w:val="0"/>
          <w:i w:val="0"/>
        </w:rPr>
        <w:t xml:space="preserve"> </w:t>
      </w:r>
      <w:hyperlink w:anchor="latin-record-0290">
        <w:r>
          <w:rPr>
            <w:color w:val="000000"/>
          </w:rPr>
          <w:t xml:space="preserve">confundere</w:t>
        </w:r>
      </w:hyperlink>
      <w:r>
        <w:rPr>
          <w:b w:val="0"/>
          <w:i w:val="0"/>
        </w:rPr>
        <w:t>.</w:t>
      </w:r>
    </w:p>
    <w:p>
      <w:pPr>
        <w:widowControl/>
      </w:pPr>
      <w:r>
        <w:rPr>
          <w:b/>
          <w:i w:val="0"/>
        </w:rPr>
        <w:t>confusas.</w:t>
      </w:r>
      <w:r>
        <w:rPr>
          <w:b w:val="0"/>
          <w:i w:val="0"/>
        </w:rPr>
        <w:t xml:space="preserve"> </w:t>
      </w:r>
      <w:hyperlink w:anchor="latin-record-0290">
        <w:r>
          <w:rPr>
            <w:color w:val="000000"/>
          </w:rPr>
          <w:t xml:space="preserve">confundere</w:t>
        </w:r>
      </w:hyperlink>
      <w:r>
        <w:rPr>
          <w:b w:val="0"/>
          <w:i w:val="0"/>
        </w:rPr>
        <w:t>.</w:t>
      </w:r>
    </w:p>
    <w:p>
      <w:pPr>
        <w:widowControl/>
      </w:pPr>
      <w:r>
        <w:rPr>
          <w:b/>
          <w:i w:val="0"/>
        </w:rPr>
        <w:t>confutatis.</w:t>
      </w:r>
      <w:r>
        <w:rPr>
          <w:b w:val="0"/>
          <w:i w:val="0"/>
        </w:rPr>
        <w:t xml:space="preserve"> </w:t>
      </w:r>
      <w:hyperlink w:anchor="latin-record-0291">
        <w:r>
          <w:rPr>
            <w:color w:val="000000"/>
          </w:rPr>
          <w:t xml:space="preserve">confutare; reprobare; approbare</w:t>
        </w:r>
      </w:hyperlink>
      <w:r>
        <w:rPr>
          <w:b w:val="0"/>
          <w:i w:val="0"/>
        </w:rPr>
        <w:t>.</w:t>
      </w:r>
    </w:p>
    <w:p>
      <w:pPr>
        <w:widowControl/>
      </w:pPr>
      <w:r>
        <w:rPr>
          <w:b/>
          <w:i w:val="0"/>
        </w:rPr>
        <w:t>confutatum.</w:t>
      </w:r>
      <w:r>
        <w:rPr>
          <w:b w:val="0"/>
          <w:i w:val="0"/>
        </w:rPr>
        <w:t xml:space="preserve"> </w:t>
      </w:r>
      <w:hyperlink w:anchor="latin-record-1085">
        <w:r>
          <w:rPr>
            <w:color w:val="000000"/>
          </w:rPr>
          <w:t xml:space="preserve">refellere / confutare / redarguere</w:t>
        </w:r>
      </w:hyperlink>
      <w:r>
        <w:rPr>
          <w:b w:val="0"/>
          <w:i w:val="0"/>
        </w:rPr>
        <w:t>.</w:t>
      </w:r>
    </w:p>
    <w:p>
      <w:pPr>
        <w:widowControl/>
      </w:pPr>
      <w:r>
        <w:rPr>
          <w:b/>
          <w:i w:val="0"/>
        </w:rPr>
        <w:t>confutatur.</w:t>
      </w:r>
      <w:r>
        <w:rPr>
          <w:b w:val="0"/>
          <w:i w:val="0"/>
        </w:rPr>
        <w:t xml:space="preserve"> </w:t>
      </w:r>
      <w:hyperlink w:anchor="latin-record-1085">
        <w:r>
          <w:rPr>
            <w:color w:val="000000"/>
          </w:rPr>
          <w:t xml:space="preserve">refellere / confutare / redarguere</w:t>
        </w:r>
      </w:hyperlink>
      <w:r>
        <w:rPr>
          <w:b w:val="0"/>
          <w:i w:val="0"/>
        </w:rPr>
        <w:t>.</w:t>
      </w:r>
    </w:p>
    <w:p>
      <w:pPr>
        <w:widowControl/>
      </w:pPr>
      <w:r>
        <w:rPr>
          <w:b/>
          <w:i w:val="0"/>
        </w:rPr>
        <w:t>confutaverimus.</w:t>
      </w:r>
      <w:r>
        <w:rPr>
          <w:b w:val="0"/>
          <w:i w:val="0"/>
        </w:rPr>
        <w:t xml:space="preserve"> </w:t>
      </w:r>
      <w:hyperlink w:anchor="latin-record-1085">
        <w:r>
          <w:rPr>
            <w:color w:val="000000"/>
          </w:rPr>
          <w:t xml:space="preserve">refellere / confutare / redarguere</w:t>
        </w:r>
      </w:hyperlink>
      <w:r>
        <w:rPr>
          <w:b w:val="0"/>
          <w:i w:val="0"/>
        </w:rPr>
        <w:t>.</w:t>
      </w:r>
    </w:p>
    <w:p>
      <w:pPr>
        <w:widowControl/>
      </w:pPr>
      <w:r>
        <w:rPr>
          <w:b/>
          <w:i w:val="0"/>
        </w:rPr>
        <w:t>conglutinentur.</w:t>
      </w:r>
      <w:r>
        <w:rPr>
          <w:b w:val="0"/>
          <w:i w:val="0"/>
        </w:rPr>
        <w:t xml:space="preserve"> </w:t>
      </w:r>
      <w:hyperlink w:anchor="latin-record-0219">
        <w:r>
          <w:rPr>
            <w:color w:val="000000"/>
          </w:rPr>
          <w:t xml:space="preserve">coagulum / conglutinare</w:t>
        </w:r>
      </w:hyperlink>
      <w:r>
        <w:rPr>
          <w:b w:val="0"/>
          <w:i w:val="0"/>
        </w:rPr>
        <w:t xml:space="preserve">; </w:t>
      </w:r>
      <w:hyperlink w:anchor="latin-record-0302">
        <w:r>
          <w:rPr>
            <w:color w:val="000000"/>
          </w:rPr>
          <w:t xml:space="preserve">consensio; concordia; conglutinare</w:t>
        </w:r>
      </w:hyperlink>
      <w:r>
        <w:rPr>
          <w:b w:val="0"/>
          <w:i w:val="0"/>
        </w:rPr>
        <w:t>.</w:t>
      </w:r>
    </w:p>
    <w:p>
      <w:pPr>
        <w:widowControl/>
      </w:pPr>
      <w:r>
        <w:rPr>
          <w:b/>
          <w:i w:val="0"/>
        </w:rPr>
        <w:t>congregatione.</w:t>
      </w:r>
      <w:r>
        <w:rPr>
          <w:b w:val="0"/>
          <w:i w:val="0"/>
        </w:rPr>
        <w:t xml:space="preserve"> </w:t>
      </w:r>
      <w:hyperlink w:anchor="latin-record-0292">
        <w:r>
          <w:rPr>
            <w:color w:val="000000"/>
          </w:rPr>
          <w:t xml:space="preserve">congregatio / momentum</w:t>
        </w:r>
      </w:hyperlink>
      <w:r>
        <w:rPr>
          <w:b w:val="0"/>
          <w:i w:val="0"/>
        </w:rPr>
        <w:t>.</w:t>
      </w:r>
    </w:p>
    <w:p>
      <w:pPr>
        <w:widowControl/>
      </w:pPr>
      <w:r>
        <w:rPr>
          <w:b/>
          <w:i w:val="0"/>
        </w:rPr>
        <w:t>congregationem.</w:t>
      </w:r>
      <w:r>
        <w:rPr>
          <w:b w:val="0"/>
          <w:i w:val="0"/>
        </w:rPr>
        <w:t xml:space="preserve"> </w:t>
      </w:r>
      <w:hyperlink w:anchor="latin-record-0292">
        <w:r>
          <w:rPr>
            <w:color w:val="000000"/>
          </w:rPr>
          <w:t xml:space="preserve">congregatio / momentum</w:t>
        </w:r>
      </w:hyperlink>
      <w:r>
        <w:rPr>
          <w:b w:val="0"/>
          <w:i w:val="0"/>
        </w:rPr>
        <w:t>.</w:t>
      </w:r>
    </w:p>
    <w:p>
      <w:pPr>
        <w:widowControl/>
      </w:pPr>
      <w:r>
        <w:rPr>
          <w:b/>
          <w:i w:val="0"/>
        </w:rPr>
        <w:t>congregatum.</w:t>
      </w:r>
      <w:r>
        <w:rPr>
          <w:b w:val="0"/>
          <w:i w:val="0"/>
        </w:rPr>
        <w:t xml:space="preserve"> </w:t>
      </w:r>
      <w:hyperlink w:anchor="latin-record-0293">
        <w:r>
          <w:rPr>
            <w:color w:val="000000"/>
          </w:rPr>
          <w:t xml:space="preserve">congregatum; domus; paries</w:t>
        </w:r>
      </w:hyperlink>
      <w:r>
        <w:rPr>
          <w:b w:val="0"/>
          <w:i w:val="0"/>
        </w:rPr>
        <w:t>.</w:t>
      </w:r>
    </w:p>
    <w:p>
      <w:pPr>
        <w:widowControl/>
      </w:pPr>
      <w:r>
        <w:rPr>
          <w:b/>
          <w:i w:val="0"/>
        </w:rPr>
        <w:t>congregentur.</w:t>
      </w:r>
      <w:r>
        <w:rPr>
          <w:b w:val="0"/>
          <w:i w:val="0"/>
        </w:rPr>
        <w:t xml:space="preserve"> </w:t>
      </w:r>
      <w:hyperlink w:anchor="latin-record-0292">
        <w:r>
          <w:rPr>
            <w:color w:val="000000"/>
          </w:rPr>
          <w:t xml:space="preserve">congregatio / momentum</w:t>
        </w:r>
      </w:hyperlink>
      <w:r>
        <w:rPr>
          <w:b w:val="0"/>
          <w:i w:val="0"/>
        </w:rPr>
        <w:t>.</w:t>
      </w:r>
    </w:p>
    <w:p>
      <w:pPr>
        <w:widowControl/>
      </w:pPr>
      <w:r>
        <w:rPr>
          <w:b/>
          <w:i w:val="0"/>
        </w:rPr>
        <w:t>congrua.</w:t>
      </w:r>
      <w:r>
        <w:rPr>
          <w:b w:val="0"/>
          <w:i w:val="0"/>
        </w:rPr>
        <w:t xml:space="preserve"> </w:t>
      </w:r>
      <w:hyperlink w:anchor="latin-record-0295">
        <w:r>
          <w:rPr>
            <w:color w:val="000000"/>
          </w:rPr>
          <w:t xml:space="preserve">congruus / incongruus / obsistere</w:t>
        </w:r>
      </w:hyperlink>
      <w:r>
        <w:rPr>
          <w:b w:val="0"/>
          <w:i w:val="0"/>
        </w:rPr>
        <w:t>.</w:t>
      </w:r>
    </w:p>
    <w:p>
      <w:pPr>
        <w:widowControl/>
      </w:pPr>
      <w:r>
        <w:rPr>
          <w:b/>
          <w:i w:val="0"/>
        </w:rPr>
        <w:t>congruat.</w:t>
      </w:r>
      <w:r>
        <w:rPr>
          <w:b w:val="0"/>
          <w:i w:val="0"/>
        </w:rPr>
        <w:t xml:space="preserve"> </w:t>
      </w:r>
      <w:hyperlink w:anchor="latin-record-0328">
        <w:r>
          <w:rPr>
            <w:color w:val="000000"/>
          </w:rPr>
          <w:t xml:space="preserve">convenire / conciliare</w:t>
        </w:r>
      </w:hyperlink>
      <w:r>
        <w:rPr>
          <w:b w:val="0"/>
          <w:i w:val="0"/>
        </w:rPr>
        <w:t>.</w:t>
      </w:r>
    </w:p>
    <w:p>
      <w:pPr>
        <w:widowControl/>
      </w:pPr>
      <w:r>
        <w:rPr>
          <w:b/>
          <w:i w:val="0"/>
        </w:rPr>
        <w:t>congruet.</w:t>
      </w:r>
      <w:r>
        <w:rPr>
          <w:b w:val="0"/>
          <w:i w:val="0"/>
        </w:rPr>
        <w:t xml:space="preserve"> </w:t>
      </w:r>
      <w:hyperlink w:anchor="latin-record-0294">
        <w:r>
          <w:rPr>
            <w:color w:val="000000"/>
          </w:rPr>
          <w:t xml:space="preserve">congruere / quadrare / aptare</w:t>
        </w:r>
      </w:hyperlink>
      <w:r>
        <w:rPr>
          <w:b w:val="0"/>
          <w:i w:val="0"/>
        </w:rPr>
        <w:t>.</w:t>
      </w:r>
    </w:p>
    <w:p>
      <w:pPr>
        <w:widowControl/>
      </w:pPr>
      <w:r>
        <w:rPr>
          <w:b/>
          <w:i w:val="0"/>
        </w:rPr>
        <w:t>congruis educationis disciplinarumque gradibus.</w:t>
      </w:r>
      <w:r>
        <w:rPr>
          <w:b w:val="0"/>
          <w:i w:val="0"/>
        </w:rPr>
        <w:t xml:space="preserve"> </w:t>
      </w:r>
      <w:hyperlink w:anchor="latin-record-0547">
        <w:r>
          <w:rPr>
            <w:color w:val="000000"/>
          </w:rPr>
          <w:t xml:space="preserve">gradus; paulatim</w:t>
        </w:r>
      </w:hyperlink>
      <w:r>
        <w:rPr>
          <w:b w:val="0"/>
          <w:i w:val="0"/>
        </w:rPr>
        <w:t>.</w:t>
      </w:r>
    </w:p>
    <w:p>
      <w:pPr>
        <w:widowControl/>
      </w:pPr>
      <w:r>
        <w:rPr>
          <w:b/>
          <w:i w:val="0"/>
        </w:rPr>
        <w:t>coniectamur.</w:t>
      </w:r>
      <w:r>
        <w:rPr>
          <w:b w:val="0"/>
          <w:i w:val="0"/>
        </w:rPr>
        <w:t xml:space="preserve"> </w:t>
      </w:r>
      <w:hyperlink w:anchor="latin-record-0297">
        <w:r>
          <w:rPr>
            <w:color w:val="000000"/>
          </w:rPr>
          <w:t xml:space="preserve">coniicere; coniectari</w:t>
        </w:r>
      </w:hyperlink>
      <w:r>
        <w:rPr>
          <w:b w:val="0"/>
          <w:i w:val="0"/>
        </w:rPr>
        <w:t>.</w:t>
      </w:r>
    </w:p>
    <w:p>
      <w:pPr>
        <w:widowControl/>
      </w:pPr>
      <w:r>
        <w:rPr>
          <w:b/>
          <w:i w:val="0"/>
        </w:rPr>
        <w:t>coniecturam.</w:t>
      </w:r>
      <w:r>
        <w:rPr>
          <w:b w:val="0"/>
          <w:i w:val="0"/>
        </w:rPr>
        <w:t xml:space="preserve"> </w:t>
      </w:r>
      <w:hyperlink w:anchor="latin-record-0296">
        <w:r>
          <w:rPr>
            <w:color w:val="000000"/>
          </w:rPr>
          <w:t xml:space="preserve">coniectura</w:t>
        </w:r>
      </w:hyperlink>
      <w:r>
        <w:rPr>
          <w:b w:val="0"/>
          <w:i w:val="0"/>
        </w:rPr>
        <w:t>.</w:t>
      </w:r>
    </w:p>
    <w:p>
      <w:pPr>
        <w:widowControl/>
      </w:pPr>
      <w:r>
        <w:rPr>
          <w:b/>
          <w:i w:val="0"/>
        </w:rPr>
        <w:t>coniicimus.</w:t>
      </w:r>
      <w:r>
        <w:rPr>
          <w:b w:val="0"/>
          <w:i w:val="0"/>
        </w:rPr>
        <w:t xml:space="preserve"> </w:t>
      </w:r>
      <w:hyperlink w:anchor="latin-record-0297">
        <w:r>
          <w:rPr>
            <w:color w:val="000000"/>
          </w:rPr>
          <w:t xml:space="preserve">coniicere; coniectari</w:t>
        </w:r>
      </w:hyperlink>
      <w:r>
        <w:rPr>
          <w:b w:val="0"/>
          <w:i w:val="0"/>
        </w:rPr>
        <w:t>.</w:t>
      </w:r>
    </w:p>
    <w:p>
      <w:pPr>
        <w:widowControl/>
      </w:pPr>
      <w:r>
        <w:rPr>
          <w:b/>
          <w:i w:val="0"/>
        </w:rPr>
        <w:t>coniungi.</w:t>
      </w:r>
      <w:r>
        <w:rPr>
          <w:b w:val="0"/>
          <w:i w:val="0"/>
        </w:rPr>
        <w:t xml:space="preserve"> </w:t>
      </w:r>
      <w:hyperlink w:anchor="latin-record-0050">
        <w:r>
          <w:rPr>
            <w:color w:val="000000"/>
          </w:rPr>
          <w:t xml:space="preserve">affigere / coniungere</w:t>
        </w:r>
      </w:hyperlink>
      <w:r>
        <w:rPr>
          <w:b w:val="0"/>
          <w:i w:val="0"/>
        </w:rPr>
        <w:t>.</w:t>
      </w:r>
    </w:p>
    <w:p>
      <w:pPr>
        <w:widowControl/>
      </w:pPr>
      <w:r>
        <w:rPr>
          <w:b/>
          <w:i w:val="0"/>
        </w:rPr>
        <w:t>connectit.</w:t>
      </w:r>
      <w:r>
        <w:rPr>
          <w:b w:val="0"/>
          <w:i w:val="0"/>
        </w:rPr>
        <w:t xml:space="preserve"> </w:t>
      </w:r>
      <w:hyperlink w:anchor="latin-record-0298">
        <w:r>
          <w:rPr>
            <w:color w:val="000000"/>
          </w:rPr>
          <w:t xml:space="preserve">connectere / labi / abire</w:t>
        </w:r>
      </w:hyperlink>
      <w:r>
        <w:rPr>
          <w:b w:val="0"/>
          <w:i w:val="0"/>
        </w:rPr>
        <w:t>.</w:t>
      </w:r>
    </w:p>
    <w:p>
      <w:pPr>
        <w:widowControl/>
      </w:pPr>
      <w:r>
        <w:rPr>
          <w:b/>
          <w:i w:val="0"/>
        </w:rPr>
        <w:t>connexae.</w:t>
      </w:r>
      <w:r>
        <w:rPr>
          <w:b w:val="0"/>
          <w:i w:val="0"/>
        </w:rPr>
        <w:t xml:space="preserve"> </w:t>
      </w:r>
      <w:hyperlink w:anchor="latin-record-0299">
        <w:r>
          <w:rPr>
            <w:color w:val="000000"/>
          </w:rPr>
          <w:t xml:space="preserve">connexus</w:t>
        </w:r>
      </w:hyperlink>
      <w:r>
        <w:rPr>
          <w:b w:val="0"/>
          <w:i w:val="0"/>
        </w:rPr>
        <w:t>.</w:t>
      </w:r>
    </w:p>
    <w:p>
      <w:pPr>
        <w:widowControl/>
      </w:pPr>
      <w:r>
        <w:rPr>
          <w:b/>
          <w:i w:val="0"/>
        </w:rPr>
        <w:t>conscius.</w:t>
      </w:r>
      <w:r>
        <w:rPr>
          <w:b w:val="0"/>
          <w:i w:val="0"/>
        </w:rPr>
        <w:t xml:space="preserve"> </w:t>
      </w:r>
      <w:hyperlink w:anchor="latin-record-0300">
        <w:r>
          <w:rPr>
            <w:color w:val="000000"/>
          </w:rPr>
          <w:t xml:space="preserve">conscius / animadversio</w:t>
        </w:r>
      </w:hyperlink>
      <w:r>
        <w:rPr>
          <w:b w:val="0"/>
          <w:i w:val="0"/>
        </w:rPr>
        <w:t>.</w:t>
      </w:r>
    </w:p>
    <w:p>
      <w:pPr>
        <w:widowControl/>
      </w:pPr>
      <w:r>
        <w:rPr>
          <w:b/>
          <w:i w:val="0"/>
        </w:rPr>
        <w:t>consensio.</w:t>
      </w:r>
      <w:r>
        <w:rPr>
          <w:b w:val="0"/>
          <w:i w:val="0"/>
        </w:rPr>
        <w:t xml:space="preserve"> </w:t>
      </w:r>
      <w:hyperlink w:anchor="latin-record-0301">
        <w:r>
          <w:rPr>
            <w:color w:val="000000"/>
          </w:rPr>
          <w:t xml:space="preserve">consensio stabilis</w:t>
        </w:r>
      </w:hyperlink>
      <w:r>
        <w:rPr>
          <w:b w:val="0"/>
          <w:i w:val="0"/>
        </w:rPr>
        <w:t>.</w:t>
      </w:r>
    </w:p>
    <w:p>
      <w:pPr>
        <w:widowControl/>
      </w:pPr>
      <w:r>
        <w:rPr>
          <w:b/>
          <w:i w:val="0"/>
        </w:rPr>
        <w:t>consensio et concordia.</w:t>
      </w:r>
      <w:r>
        <w:rPr>
          <w:b w:val="0"/>
          <w:i w:val="0"/>
        </w:rPr>
        <w:t xml:space="preserve"> </w:t>
      </w:r>
      <w:hyperlink w:anchor="latin-record-0302">
        <w:r>
          <w:rPr>
            <w:color w:val="000000"/>
          </w:rPr>
          <w:t xml:space="preserve">consensio; concordia; conglutinare</w:t>
        </w:r>
      </w:hyperlink>
      <w:r>
        <w:rPr>
          <w:b w:val="0"/>
          <w:i w:val="0"/>
        </w:rPr>
        <w:t>.</w:t>
      </w:r>
    </w:p>
    <w:p>
      <w:pPr>
        <w:widowControl/>
      </w:pPr>
      <w:r>
        <w:rPr>
          <w:b/>
          <w:i w:val="0"/>
        </w:rPr>
        <w:t>consensione.</w:t>
      </w:r>
      <w:r>
        <w:rPr>
          <w:b w:val="0"/>
          <w:i w:val="0"/>
        </w:rPr>
        <w:t xml:space="preserve"> </w:t>
      </w:r>
      <w:hyperlink w:anchor="latin-record-1051">
        <w:r>
          <w:rPr>
            <w:color w:val="000000"/>
          </w:rPr>
          <w:t xml:space="preserve">quies / valitudo / consensio</w:t>
        </w:r>
      </w:hyperlink>
      <w:r>
        <w:rPr>
          <w:b w:val="0"/>
          <w:i w:val="0"/>
        </w:rPr>
        <w:t>.</w:t>
      </w:r>
    </w:p>
    <w:p>
      <w:pPr>
        <w:widowControl/>
      </w:pPr>
      <w:r>
        <w:rPr>
          <w:b/>
          <w:i w:val="0"/>
        </w:rPr>
        <w:t>consentit.</w:t>
      </w:r>
      <w:r>
        <w:rPr>
          <w:b w:val="0"/>
          <w:i w:val="0"/>
        </w:rPr>
        <w:t xml:space="preserve"> </w:t>
      </w:r>
      <w:hyperlink w:anchor="latin-record-0303">
        <w:r>
          <w:rPr>
            <w:color w:val="000000"/>
          </w:rPr>
          <w:t xml:space="preserve">consentire</w:t>
        </w:r>
      </w:hyperlink>
      <w:r>
        <w:rPr>
          <w:b w:val="0"/>
          <w:i w:val="0"/>
        </w:rPr>
        <w:t>.</w:t>
      </w:r>
    </w:p>
    <w:p>
      <w:pPr>
        <w:widowControl/>
      </w:pPr>
      <w:r>
        <w:rPr>
          <w:b/>
          <w:i w:val="0"/>
        </w:rPr>
        <w:t>conservantur.</w:t>
      </w:r>
      <w:r>
        <w:rPr>
          <w:b w:val="0"/>
          <w:i w:val="0"/>
        </w:rPr>
        <w:t xml:space="preserve"> </w:t>
      </w:r>
      <w:hyperlink w:anchor="latin-record-1305">
        <w:r>
          <w:rPr>
            <w:color w:val="000000"/>
          </w:rPr>
          <w:t xml:space="preserve">transmittere / conservare</w:t>
        </w:r>
      </w:hyperlink>
      <w:r>
        <w:rPr>
          <w:b w:val="0"/>
          <w:i w:val="0"/>
        </w:rPr>
        <w:t>.</w:t>
      </w:r>
    </w:p>
    <w:p>
      <w:pPr>
        <w:widowControl/>
      </w:pPr>
      <w:r>
        <w:rPr>
          <w:b/>
          <w:i w:val="0"/>
        </w:rPr>
        <w:t>conservatorem.</w:t>
      </w:r>
      <w:r>
        <w:rPr>
          <w:b w:val="0"/>
          <w:i w:val="0"/>
        </w:rPr>
        <w:t xml:space="preserve"> </w:t>
      </w:r>
      <w:hyperlink w:anchor="latin-record-0304">
        <w:r>
          <w:rPr>
            <w:color w:val="000000"/>
          </w:rPr>
          <w:t xml:space="preserve">conservare / servare</w:t>
        </w:r>
      </w:hyperlink>
      <w:r>
        <w:rPr>
          <w:b w:val="0"/>
          <w:i w:val="0"/>
        </w:rPr>
        <w:t>.</w:t>
      </w:r>
    </w:p>
    <w:p>
      <w:pPr>
        <w:widowControl/>
      </w:pPr>
      <w:r>
        <w:rPr>
          <w:b/>
          <w:i w:val="0"/>
        </w:rPr>
        <w:t>conservatoribus.</w:t>
      </w:r>
      <w:r>
        <w:rPr>
          <w:b w:val="0"/>
          <w:i w:val="0"/>
        </w:rPr>
        <w:t xml:space="preserve"> </w:t>
      </w:r>
      <w:hyperlink w:anchor="latin-record-0305">
        <w:r>
          <w:rPr>
            <w:color w:val="000000"/>
          </w:rPr>
          <w:t xml:space="preserve">conservator / servator</w:t>
        </w:r>
      </w:hyperlink>
      <w:r>
        <w:rPr>
          <w:b w:val="0"/>
          <w:i w:val="0"/>
        </w:rPr>
        <w:t>.</w:t>
      </w:r>
    </w:p>
    <w:p>
      <w:pPr>
        <w:widowControl/>
      </w:pPr>
      <w:r>
        <w:rPr>
          <w:b/>
          <w:i w:val="0"/>
        </w:rPr>
        <w:t>conservatrix.</w:t>
      </w:r>
      <w:r>
        <w:rPr>
          <w:b w:val="0"/>
          <w:i w:val="0"/>
        </w:rPr>
        <w:t xml:space="preserve"> </w:t>
      </w:r>
      <w:hyperlink w:anchor="latin-record-0304">
        <w:r>
          <w:rPr>
            <w:color w:val="000000"/>
          </w:rPr>
          <w:t xml:space="preserve">conservare / servare</w:t>
        </w:r>
      </w:hyperlink>
      <w:r>
        <w:rPr>
          <w:b w:val="0"/>
          <w:i w:val="0"/>
        </w:rPr>
        <w:t xml:space="preserve">; </w:t>
      </w:r>
      <w:hyperlink w:anchor="latin-record-0421">
        <w:r>
          <w:rPr>
            <w:color w:val="000000"/>
          </w:rPr>
          <w:t xml:space="preserve">effectrix / conservatrix / corruptrix</w:t>
        </w:r>
      </w:hyperlink>
      <w:r>
        <w:rPr>
          <w:b w:val="0"/>
          <w:i w:val="0"/>
        </w:rPr>
        <w:t>.</w:t>
      </w:r>
    </w:p>
    <w:p>
      <w:pPr>
        <w:widowControl/>
      </w:pPr>
      <w:r>
        <w:rPr>
          <w:b/>
          <w:i w:val="0"/>
        </w:rPr>
        <w:t>conservet.</w:t>
      </w:r>
      <w:r>
        <w:rPr>
          <w:b w:val="0"/>
          <w:i w:val="0"/>
        </w:rPr>
        <w:t xml:space="preserve"> </w:t>
      </w:r>
      <w:hyperlink w:anchor="latin-record-0304">
        <w:r>
          <w:rPr>
            <w:color w:val="000000"/>
          </w:rPr>
          <w:t xml:space="preserve">conservare / servare</w:t>
        </w:r>
      </w:hyperlink>
      <w:r>
        <w:rPr>
          <w:b w:val="0"/>
          <w:i w:val="0"/>
        </w:rPr>
        <w:t>.</w:t>
      </w:r>
    </w:p>
    <w:p>
      <w:pPr>
        <w:widowControl/>
      </w:pPr>
      <w:r>
        <w:rPr>
          <w:b/>
          <w:i w:val="0"/>
        </w:rPr>
        <w:t>considerando.</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considerare.</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considerarent.</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considerat.</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consideratione.</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considerationem.</w:t>
      </w:r>
      <w:r>
        <w:rPr>
          <w:b w:val="0"/>
          <w:i w:val="0"/>
        </w:rPr>
        <w:t xml:space="preserve"> </w:t>
      </w:r>
      <w:hyperlink w:anchor="latin-record-0227">
        <w:r>
          <w:rPr>
            <w:color w:val="000000"/>
          </w:rPr>
          <w:t xml:space="preserve">cogitare; considerare</w:t>
        </w:r>
      </w:hyperlink>
      <w:r>
        <w:rPr>
          <w:b w:val="0"/>
          <w:i w:val="0"/>
        </w:rPr>
        <w:t>.</w:t>
      </w:r>
    </w:p>
    <w:p>
      <w:pPr>
        <w:widowControl/>
      </w:pPr>
      <w:r>
        <w:rPr>
          <w:b/>
          <w:i w:val="0"/>
        </w:rPr>
        <w:t>consilio.</w:t>
      </w:r>
      <w:r>
        <w:rPr>
          <w:b w:val="0"/>
          <w:i w:val="0"/>
        </w:rPr>
        <w:t xml:space="preserve"> </w:t>
      </w:r>
      <w:hyperlink w:anchor="latin-record-0307">
        <w:r>
          <w:rPr>
            <w:color w:val="000000"/>
          </w:rPr>
          <w:t xml:space="preserve">consilium</w:t>
        </w:r>
      </w:hyperlink>
      <w:r>
        <w:rPr>
          <w:b w:val="0"/>
          <w:i w:val="0"/>
        </w:rPr>
        <w:t>.</w:t>
      </w:r>
    </w:p>
    <w:p>
      <w:pPr>
        <w:widowControl/>
      </w:pPr>
      <w:r>
        <w:rPr>
          <w:b/>
          <w:i w:val="0"/>
        </w:rPr>
        <w:t>consistat.</w:t>
      </w:r>
      <w:r>
        <w:rPr>
          <w:b w:val="0"/>
          <w:i w:val="0"/>
        </w:rPr>
        <w:t xml:space="preserve"> </w:t>
      </w:r>
      <w:hyperlink w:anchor="latin-record-1180">
        <w:r>
          <w:rPr>
            <w:color w:val="000000"/>
          </w:rPr>
          <w:t xml:space="preserve">simplicitas; constantia</w:t>
        </w:r>
      </w:hyperlink>
      <w:r>
        <w:rPr>
          <w:b w:val="0"/>
          <w:i w:val="0"/>
        </w:rPr>
        <w:t xml:space="preserve">; </w:t>
      </w:r>
      <w:hyperlink w:anchor="latin-record-1243">
        <w:r>
          <w:rPr>
            <w:color w:val="000000"/>
          </w:rPr>
          <w:t xml:space="preserve">subsistere / consistere</w:t>
        </w:r>
      </w:hyperlink>
      <w:r>
        <w:rPr>
          <w:b w:val="0"/>
          <w:i w:val="0"/>
        </w:rPr>
        <w:t>.</w:t>
      </w:r>
    </w:p>
    <w:p>
      <w:pPr>
        <w:widowControl/>
      </w:pPr>
      <w:r>
        <w:rPr>
          <w:b/>
          <w:i w:val="0"/>
        </w:rPr>
        <w:t>consistent.</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consistere.</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consistunt.</w:t>
      </w:r>
      <w:r>
        <w:rPr>
          <w:b w:val="0"/>
          <w:i w:val="0"/>
        </w:rPr>
        <w:t xml:space="preserve"> </w:t>
      </w:r>
      <w:hyperlink w:anchor="latin-record-1243">
        <w:r>
          <w:rPr>
            <w:color w:val="000000"/>
          </w:rPr>
          <w:t xml:space="preserve">subsistere / consistere</w:t>
        </w:r>
      </w:hyperlink>
      <w:r>
        <w:rPr>
          <w:b w:val="0"/>
          <w:i w:val="0"/>
        </w:rPr>
        <w:t>.</w:t>
      </w:r>
    </w:p>
    <w:p>
      <w:pPr>
        <w:widowControl/>
      </w:pPr>
      <w:r>
        <w:rPr>
          <w:b/>
          <w:i w:val="0"/>
        </w:rPr>
        <w:t>consonante.</w:t>
      </w:r>
      <w:r>
        <w:rPr>
          <w:b w:val="0"/>
          <w:i w:val="0"/>
        </w:rPr>
        <w:t xml:space="preserve"> </w:t>
      </w:r>
      <w:hyperlink w:anchor="latin-record-0310">
        <w:r>
          <w:rPr>
            <w:color w:val="000000"/>
          </w:rPr>
          <w:t xml:space="preserve">consonare / dissonare</w:t>
        </w:r>
      </w:hyperlink>
      <w:r>
        <w:rPr>
          <w:b w:val="0"/>
          <w:i w:val="0"/>
        </w:rPr>
        <w:t>.</w:t>
      </w:r>
    </w:p>
    <w:p>
      <w:pPr>
        <w:widowControl/>
      </w:pPr>
      <w:r>
        <w:rPr>
          <w:b/>
          <w:i w:val="0"/>
        </w:rPr>
        <w:t>consonantia.</w:t>
      </w:r>
      <w:r>
        <w:rPr>
          <w:b w:val="0"/>
          <w:i w:val="0"/>
        </w:rPr>
        <w:t xml:space="preserve"> </w:t>
      </w:r>
      <w:hyperlink w:anchor="latin-record-0040">
        <w:r>
          <w:rPr>
            <w:color w:val="000000"/>
          </w:rPr>
          <w:t xml:space="preserve">aequalitas / consonantia</w:t>
        </w:r>
      </w:hyperlink>
      <w:r>
        <w:rPr>
          <w:b w:val="0"/>
          <w:i w:val="0"/>
        </w:rPr>
        <w:t xml:space="preserve">; </w:t>
      </w:r>
      <w:hyperlink w:anchor="latin-record-0274">
        <w:r>
          <w:rPr>
            <w:color w:val="000000"/>
          </w:rPr>
          <w:t xml:space="preserve">concinnitas / consonantia</w:t>
        </w:r>
      </w:hyperlink>
      <w:r>
        <w:rPr>
          <w:b w:val="0"/>
          <w:i w:val="0"/>
        </w:rPr>
        <w:t xml:space="preserve">; </w:t>
      </w:r>
      <w:hyperlink w:anchor="latin-record-0308">
        <w:r>
          <w:rPr>
            <w:color w:val="000000"/>
          </w:rPr>
          <w:t xml:space="preserve">consonantia / harmonia</w:t>
        </w:r>
      </w:hyperlink>
      <w:r>
        <w:rPr>
          <w:b w:val="0"/>
          <w:i w:val="0"/>
        </w:rPr>
        <w:t>.</w:t>
      </w:r>
    </w:p>
    <w:p>
      <w:pPr>
        <w:widowControl/>
      </w:pPr>
      <w:r>
        <w:rPr>
          <w:b/>
          <w:i w:val="0"/>
        </w:rPr>
        <w:t>consonantiae.</w:t>
      </w:r>
      <w:r>
        <w:rPr>
          <w:b w:val="0"/>
          <w:i w:val="0"/>
        </w:rPr>
        <w:t xml:space="preserve"> </w:t>
      </w:r>
      <w:hyperlink w:anchor="latin-record-0274">
        <w:r>
          <w:rPr>
            <w:color w:val="000000"/>
          </w:rPr>
          <w:t xml:space="preserve">concinnitas / consonantia</w:t>
        </w:r>
      </w:hyperlink>
      <w:r>
        <w:rPr>
          <w:b w:val="0"/>
          <w:i w:val="0"/>
        </w:rPr>
        <w:t>.</w:t>
      </w:r>
    </w:p>
    <w:p>
      <w:pPr>
        <w:widowControl/>
      </w:pPr>
      <w:r>
        <w:rPr>
          <w:b/>
          <w:i w:val="0"/>
        </w:rPr>
        <w:t>consonantiam.</w:t>
      </w:r>
      <w:r>
        <w:rPr>
          <w:b w:val="0"/>
          <w:i w:val="0"/>
        </w:rPr>
        <w:t xml:space="preserve"> </w:t>
      </w:r>
      <w:hyperlink w:anchor="latin-record-0274">
        <w:r>
          <w:rPr>
            <w:color w:val="000000"/>
          </w:rPr>
          <w:t xml:space="preserve">concinnitas / consonantia</w:t>
        </w:r>
      </w:hyperlink>
      <w:r>
        <w:rPr>
          <w:b w:val="0"/>
          <w:i w:val="0"/>
        </w:rPr>
        <w:t xml:space="preserve">; </w:t>
      </w:r>
      <w:hyperlink w:anchor="latin-record-0309">
        <w:r>
          <w:rPr>
            <w:color w:val="000000"/>
          </w:rPr>
          <w:t xml:space="preserve">consonantia; dissonus</w:t>
        </w:r>
      </w:hyperlink>
      <w:r>
        <w:rPr>
          <w:b w:val="0"/>
          <w:i w:val="0"/>
        </w:rPr>
        <w:t>.</w:t>
      </w:r>
    </w:p>
    <w:p>
      <w:pPr>
        <w:widowControl/>
      </w:pPr>
      <w:r>
        <w:rPr>
          <w:b/>
          <w:i w:val="0"/>
        </w:rPr>
        <w:t>consonantior.</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consonat.</w:t>
      </w:r>
      <w:r>
        <w:rPr>
          <w:b w:val="0"/>
          <w:i w:val="0"/>
        </w:rPr>
        <w:t xml:space="preserve"> </w:t>
      </w:r>
      <w:hyperlink w:anchor="latin-record-0040">
        <w:r>
          <w:rPr>
            <w:color w:val="000000"/>
          </w:rPr>
          <w:t xml:space="preserve">aequalitas / consonantia</w:t>
        </w:r>
      </w:hyperlink>
      <w:r>
        <w:rPr>
          <w:b w:val="0"/>
          <w:i w:val="0"/>
        </w:rPr>
        <w:t>.</w:t>
      </w:r>
    </w:p>
    <w:p>
      <w:pPr>
        <w:widowControl/>
      </w:pPr>
      <w:r>
        <w:rPr>
          <w:b/>
          <w:i w:val="0"/>
        </w:rPr>
        <w:t>consonet.</w:t>
      </w:r>
      <w:r>
        <w:rPr>
          <w:b w:val="0"/>
          <w:i w:val="0"/>
        </w:rPr>
        <w:t xml:space="preserve"> </w:t>
      </w:r>
      <w:hyperlink w:anchor="latin-record-0256">
        <w:r>
          <w:rPr>
            <w:color w:val="000000"/>
          </w:rPr>
          <w:t xml:space="preserve">compati / consonare / concurrere</w:t>
        </w:r>
      </w:hyperlink>
      <w:r>
        <w:rPr>
          <w:b w:val="0"/>
          <w:i w:val="0"/>
        </w:rPr>
        <w:t xml:space="preserve">; </w:t>
      </w:r>
      <w:hyperlink w:anchor="latin-record-0310">
        <w:r>
          <w:rPr>
            <w:color w:val="000000"/>
          </w:rPr>
          <w:t xml:space="preserve">consonare / dissonare</w:t>
        </w:r>
      </w:hyperlink>
      <w:r>
        <w:rPr>
          <w:b w:val="0"/>
          <w:i w:val="0"/>
        </w:rPr>
        <w:t>.</w:t>
      </w:r>
    </w:p>
    <w:p>
      <w:pPr>
        <w:widowControl/>
      </w:pPr>
      <w:r>
        <w:rPr>
          <w:b/>
          <w:i w:val="0"/>
        </w:rPr>
        <w:t>conspiciat.</w:t>
      </w:r>
      <w:r>
        <w:rPr>
          <w:b w:val="0"/>
          <w:i w:val="0"/>
        </w:rPr>
        <w:t xml:space="preserve"> </w:t>
      </w:r>
      <w:hyperlink w:anchor="latin-record-0682">
        <w:r>
          <w:rPr>
            <w:color w:val="000000"/>
          </w:rPr>
          <w:t xml:space="preserve">intuitus / intueri / conspicere</w:t>
        </w:r>
      </w:hyperlink>
      <w:r>
        <w:rPr>
          <w:b w:val="0"/>
          <w:i w:val="0"/>
        </w:rPr>
        <w:t>.</w:t>
      </w:r>
    </w:p>
    <w:p>
      <w:pPr>
        <w:widowControl/>
      </w:pPr>
      <w:r>
        <w:rPr>
          <w:b/>
          <w:i w:val="0"/>
        </w:rPr>
        <w:t>conspicit.</w:t>
      </w:r>
      <w:r>
        <w:rPr>
          <w:b w:val="0"/>
          <w:i w:val="0"/>
        </w:rPr>
        <w:t xml:space="preserve"> </w:t>
      </w:r>
      <w:hyperlink w:anchor="latin-record-0682">
        <w:r>
          <w:rPr>
            <w:color w:val="000000"/>
          </w:rPr>
          <w:t xml:space="preserve">intuitus / intueri / conspicere</w:t>
        </w:r>
      </w:hyperlink>
      <w:r>
        <w:rPr>
          <w:b w:val="0"/>
          <w:i w:val="0"/>
        </w:rPr>
        <w:t>.</w:t>
      </w:r>
    </w:p>
    <w:p>
      <w:pPr>
        <w:widowControl/>
      </w:pPr>
      <w:r>
        <w:rPr>
          <w:b/>
          <w:i w:val="0"/>
        </w:rPr>
        <w:t>conspicitur.</w:t>
      </w:r>
      <w:r>
        <w:rPr>
          <w:b w:val="0"/>
          <w:i w:val="0"/>
        </w:rPr>
        <w:t xml:space="preserve"> </w:t>
      </w:r>
      <w:hyperlink w:anchor="latin-record-0682">
        <w:r>
          <w:rPr>
            <w:color w:val="000000"/>
          </w:rPr>
          <w:t xml:space="preserve">intuitus / intueri / conspicere</w:t>
        </w:r>
      </w:hyperlink>
      <w:r>
        <w:rPr>
          <w:b w:val="0"/>
          <w:i w:val="0"/>
        </w:rPr>
        <w:t>.</w:t>
      </w:r>
    </w:p>
    <w:p>
      <w:pPr>
        <w:widowControl/>
      </w:pPr>
      <w:r>
        <w:rPr>
          <w:b/>
          <w:i w:val="0"/>
        </w:rPr>
        <w:t>conspicua.</w:t>
      </w:r>
      <w:r>
        <w:rPr>
          <w:b w:val="0"/>
          <w:i w:val="0"/>
        </w:rPr>
        <w:t xml:space="preserve"> </w:t>
      </w:r>
      <w:hyperlink w:anchor="latin-record-1370">
        <w:r>
          <w:rPr>
            <w:color w:val="000000"/>
          </w:rPr>
          <w:t xml:space="preserve">visibilis / invisibilis</w:t>
        </w:r>
      </w:hyperlink>
      <w:r>
        <w:rPr>
          <w:b w:val="0"/>
          <w:i w:val="0"/>
        </w:rPr>
        <w:t>.</w:t>
      </w:r>
    </w:p>
    <w:p>
      <w:pPr>
        <w:widowControl/>
      </w:pPr>
      <w:r>
        <w:rPr>
          <w:b/>
          <w:i w:val="0"/>
        </w:rPr>
        <w:t>conspirantes.</w:t>
      </w:r>
      <w:r>
        <w:rPr>
          <w:b w:val="0"/>
          <w:i w:val="0"/>
        </w:rPr>
        <w:t xml:space="preserve"> </w:t>
      </w:r>
      <w:hyperlink w:anchor="latin-record-0311">
        <w:r>
          <w:rPr>
            <w:color w:val="000000"/>
          </w:rPr>
          <w:t xml:space="preserve">conspirare; damnare; redarguere</w:t>
        </w:r>
      </w:hyperlink>
      <w:r>
        <w:rPr>
          <w:b w:val="0"/>
          <w:i w:val="0"/>
        </w:rPr>
        <w:t>.</w:t>
      </w:r>
    </w:p>
    <w:p>
      <w:pPr>
        <w:widowControl/>
      </w:pPr>
      <w:r>
        <w:rPr>
          <w:b/>
          <w:i w:val="0"/>
        </w:rPr>
        <w:t>conspirantibus.</w:t>
      </w:r>
      <w:r>
        <w:rPr>
          <w:b w:val="0"/>
          <w:i w:val="0"/>
        </w:rPr>
        <w:t xml:space="preserve"> </w:t>
      </w:r>
      <w:hyperlink w:anchor="latin-record-0835">
        <w:r>
          <w:rPr>
            <w:color w:val="000000"/>
          </w:rPr>
          <w:t xml:space="preserve">nectere; conspirare</w:t>
        </w:r>
      </w:hyperlink>
      <w:r>
        <w:rPr>
          <w:b w:val="0"/>
          <w:i w:val="0"/>
        </w:rPr>
        <w:t>.</w:t>
      </w:r>
    </w:p>
    <w:p>
      <w:pPr>
        <w:widowControl/>
      </w:pPr>
      <w:r>
        <w:rPr>
          <w:b/>
          <w:i w:val="0"/>
        </w:rPr>
        <w:t>conspiratione.</w:t>
      </w:r>
      <w:r>
        <w:rPr>
          <w:b w:val="0"/>
          <w:i w:val="0"/>
        </w:rPr>
        <w:t xml:space="preserve"> </w:t>
      </w:r>
      <w:hyperlink w:anchor="latin-record-0312">
        <w:r>
          <w:rPr>
            <w:color w:val="000000"/>
          </w:rPr>
          <w:t xml:space="preserve">conspiratio / concinere / coalescere</w:t>
        </w:r>
      </w:hyperlink>
      <w:r>
        <w:rPr>
          <w:b w:val="0"/>
          <w:i w:val="0"/>
        </w:rPr>
        <w:t>.</w:t>
      </w:r>
    </w:p>
    <w:p>
      <w:pPr>
        <w:widowControl/>
      </w:pPr>
      <w:r>
        <w:rPr>
          <w:b/>
          <w:i w:val="0"/>
        </w:rPr>
        <w:t>constabit.</w:t>
      </w:r>
      <w:r>
        <w:rPr>
          <w:b w:val="0"/>
          <w:i w:val="0"/>
        </w:rPr>
        <w:t xml:space="preserve"> </w:t>
      </w:r>
      <w:hyperlink w:anchor="latin-record-0753">
        <w:r>
          <w:rPr>
            <w:color w:val="000000"/>
          </w:rPr>
          <w:t xml:space="preserve">manere; permanere; constare</w:t>
        </w:r>
      </w:hyperlink>
      <w:r>
        <w:rPr>
          <w:b w:val="0"/>
          <w:i w:val="0"/>
        </w:rPr>
        <w:t>.</w:t>
      </w:r>
    </w:p>
    <w:p>
      <w:pPr>
        <w:widowControl/>
      </w:pPr>
      <w:r>
        <w:rPr>
          <w:b/>
          <w:i w:val="0"/>
        </w:rPr>
        <w:t>constans.</w:t>
      </w:r>
      <w:r>
        <w:rPr>
          <w:b w:val="0"/>
          <w:i w:val="0"/>
        </w:rPr>
        <w:t xml:space="preserve"> </w:t>
      </w:r>
      <w:hyperlink w:anchor="latin-record-1384">
        <w:r>
          <w:rPr>
            <w:color w:val="000000"/>
          </w:rPr>
          <w:t xml:space="preserve">voluntas constans</w:t>
        </w:r>
      </w:hyperlink>
      <w:r>
        <w:rPr>
          <w:b w:val="0"/>
          <w:i w:val="0"/>
        </w:rPr>
        <w:t>.</w:t>
      </w:r>
    </w:p>
    <w:p>
      <w:pPr>
        <w:widowControl/>
      </w:pPr>
      <w:r>
        <w:rPr>
          <w:b/>
          <w:i w:val="0"/>
        </w:rPr>
        <w:t>constare.</w:t>
      </w:r>
      <w:r>
        <w:rPr>
          <w:b w:val="0"/>
          <w:i w:val="0"/>
        </w:rPr>
        <w:t xml:space="preserve"> </w:t>
      </w:r>
      <w:hyperlink w:anchor="latin-record-0753">
        <w:r>
          <w:rPr>
            <w:color w:val="000000"/>
          </w:rPr>
          <w:t xml:space="preserve">manere; permanere; constare</w:t>
        </w:r>
      </w:hyperlink>
      <w:r>
        <w:rPr>
          <w:b w:val="0"/>
          <w:i w:val="0"/>
        </w:rPr>
        <w:t>.</w:t>
      </w:r>
    </w:p>
    <w:p>
      <w:pPr>
        <w:widowControl/>
      </w:pPr>
      <w:r>
        <w:rPr>
          <w:b/>
          <w:i w:val="0"/>
        </w:rPr>
        <w:t>constat.</w:t>
      </w:r>
      <w:r>
        <w:rPr>
          <w:b w:val="0"/>
          <w:i w:val="0"/>
        </w:rPr>
        <w:t xml:space="preserve"> </w:t>
      </w:r>
      <w:hyperlink w:anchor="latin-record-0313">
        <w:r>
          <w:rPr>
            <w:color w:val="000000"/>
          </w:rPr>
          <w:t xml:space="preserve">constare / exstare</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Constat.</w:t>
      </w:r>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constet.</w:t>
      </w:r>
      <w:r>
        <w:rPr>
          <w:b w:val="0"/>
          <w:i w:val="0"/>
        </w:rPr>
        <w:t xml:space="preserve"> </w:t>
      </w:r>
      <w:hyperlink w:anchor="latin-record-0753">
        <w:r>
          <w:rPr>
            <w:color w:val="000000"/>
          </w:rPr>
          <w:t xml:space="preserve">manere; permanere; constare</w:t>
        </w:r>
      </w:hyperlink>
      <w:r>
        <w:rPr>
          <w:b w:val="0"/>
          <w:i w:val="0"/>
        </w:rPr>
        <w:t>.</w:t>
      </w:r>
    </w:p>
    <w:p>
      <w:pPr>
        <w:widowControl/>
      </w:pPr>
      <w:r>
        <w:rPr>
          <w:b/>
          <w:i w:val="0"/>
        </w:rPr>
        <w:t>constituent.</w:t>
      </w:r>
      <w:r>
        <w:rPr>
          <w:b w:val="0"/>
          <w:i w:val="0"/>
        </w:rPr>
        <w:t xml:space="preserve"> </w:t>
      </w:r>
      <w:hyperlink w:anchor="latin-record-0314">
        <w:r>
          <w:rPr>
            <w:color w:val="000000"/>
          </w:rPr>
          <w:t xml:space="preserve">construere / constituere</w:t>
        </w:r>
      </w:hyperlink>
      <w:r>
        <w:rPr>
          <w:b w:val="0"/>
          <w:i w:val="0"/>
        </w:rPr>
        <w:t>.</w:t>
      </w:r>
    </w:p>
    <w:p>
      <w:pPr>
        <w:widowControl/>
      </w:pPr>
      <w:r>
        <w:rPr>
          <w:b/>
          <w:i w:val="0"/>
        </w:rPr>
        <w:t>constituta.</w:t>
      </w:r>
      <w:r>
        <w:rPr>
          <w:b w:val="0"/>
          <w:i w:val="0"/>
        </w:rPr>
        <w:t xml:space="preserve"> </w:t>
      </w:r>
      <w:hyperlink w:anchor="latin-record-0314">
        <w:r>
          <w:rPr>
            <w:color w:val="000000"/>
          </w:rPr>
          <w:t xml:space="preserve">construere / constituere</w:t>
        </w:r>
      </w:hyperlink>
      <w:r>
        <w:rPr>
          <w:b w:val="0"/>
          <w:i w:val="0"/>
        </w:rPr>
        <w:t>.</w:t>
      </w:r>
    </w:p>
    <w:p>
      <w:pPr>
        <w:widowControl/>
      </w:pPr>
      <w:r>
        <w:rPr>
          <w:b/>
          <w:i w:val="0"/>
        </w:rPr>
        <w:t>constitutam.</w:t>
      </w:r>
      <w:r>
        <w:rPr>
          <w:b w:val="0"/>
          <w:i w:val="0"/>
        </w:rPr>
        <w:t xml:space="preserve"> </w:t>
      </w:r>
      <w:hyperlink w:anchor="latin-record-0314">
        <w:r>
          <w:rPr>
            <w:color w:val="000000"/>
          </w:rPr>
          <w:t xml:space="preserve">construere / constituere</w:t>
        </w:r>
      </w:hyperlink>
      <w:r>
        <w:rPr>
          <w:b w:val="0"/>
          <w:i w:val="0"/>
        </w:rPr>
        <w:t>.</w:t>
      </w:r>
    </w:p>
    <w:p>
      <w:pPr>
        <w:widowControl/>
      </w:pPr>
      <w:r>
        <w:rPr>
          <w:b/>
          <w:i w:val="0"/>
        </w:rPr>
        <w:t>constitutum.</w:t>
      </w:r>
      <w:r>
        <w:rPr>
          <w:b w:val="0"/>
          <w:i w:val="0"/>
        </w:rPr>
        <w:t xml:space="preserve"> </w:t>
      </w:r>
      <w:hyperlink w:anchor="latin-record-0262">
        <w:r>
          <w:rPr>
            <w:color w:val="000000"/>
          </w:rPr>
          <w:t xml:space="preserve">componere; constituere</w:t>
        </w:r>
      </w:hyperlink>
      <w:r>
        <w:rPr>
          <w:b w:val="0"/>
          <w:i w:val="0"/>
        </w:rPr>
        <w:t>.</w:t>
      </w:r>
    </w:p>
    <w:p>
      <w:pPr>
        <w:widowControl/>
      </w:pPr>
      <w:r>
        <w:rPr>
          <w:b/>
          <w:i w:val="0"/>
        </w:rPr>
        <w:t>constitutus.</w:t>
      </w:r>
      <w:r>
        <w:rPr>
          <w:b w:val="0"/>
          <w:i w:val="0"/>
        </w:rPr>
        <w:t xml:space="preserve"> </w:t>
      </w:r>
      <w:hyperlink w:anchor="latin-record-0262">
        <w:r>
          <w:rPr>
            <w:color w:val="000000"/>
          </w:rPr>
          <w:t xml:space="preserve">componere; constituere</w:t>
        </w:r>
      </w:hyperlink>
      <w:r>
        <w:rPr>
          <w:b w:val="0"/>
          <w:i w:val="0"/>
        </w:rPr>
        <w:t>.</w:t>
      </w:r>
    </w:p>
    <w:p>
      <w:pPr>
        <w:widowControl/>
      </w:pPr>
      <w:r>
        <w:rPr>
          <w:b/>
          <w:i w:val="0"/>
        </w:rPr>
        <w:t>construere.</w:t>
      </w:r>
      <w:r>
        <w:rPr>
          <w:b w:val="0"/>
          <w:i w:val="0"/>
        </w:rPr>
        <w:t xml:space="preserve"> </w:t>
      </w:r>
      <w:hyperlink w:anchor="latin-record-0314">
        <w:r>
          <w:rPr>
            <w:color w:val="000000"/>
          </w:rPr>
          <w:t xml:space="preserve">construere / constituere</w:t>
        </w:r>
      </w:hyperlink>
      <w:r>
        <w:rPr>
          <w:b w:val="0"/>
          <w:i w:val="0"/>
        </w:rPr>
        <w:t>.</w:t>
      </w:r>
    </w:p>
    <w:p>
      <w:pPr>
        <w:widowControl/>
      </w:pPr>
      <w:r>
        <w:rPr>
          <w:b/>
          <w:i w:val="0"/>
        </w:rPr>
        <w:t>consuetudine.</w:t>
      </w:r>
      <w:r>
        <w:rPr>
          <w:b w:val="0"/>
          <w:i w:val="0"/>
        </w:rPr>
        <w:t xml:space="preserve"> </w:t>
      </w:r>
      <w:hyperlink w:anchor="latin-record-0315">
        <w:r>
          <w:rPr>
            <w:color w:val="000000"/>
          </w:rPr>
          <w:t xml:space="preserve">consuetudo</w:t>
        </w:r>
      </w:hyperlink>
      <w:r>
        <w:rPr>
          <w:b w:val="0"/>
          <w:i w:val="0"/>
        </w:rPr>
        <w:t xml:space="preserve">; </w:t>
      </w:r>
      <w:hyperlink w:anchor="latin-record-0803">
        <w:r>
          <w:rPr>
            <w:color w:val="000000"/>
          </w:rPr>
          <w:t xml:space="preserve">mos / consuetudo</w:t>
        </w:r>
      </w:hyperlink>
      <w:r>
        <w:rPr>
          <w:b w:val="0"/>
          <w:i w:val="0"/>
        </w:rPr>
        <w:t>.</w:t>
      </w:r>
    </w:p>
    <w:p>
      <w:pPr>
        <w:widowControl/>
      </w:pPr>
      <w:r>
        <w:rPr>
          <w:b/>
          <w:i w:val="0"/>
        </w:rPr>
        <w:t>consuetudine in hanc sententiam compulsos.</w:t>
      </w:r>
      <w:r>
        <w:rPr>
          <w:b w:val="0"/>
          <w:i w:val="0"/>
        </w:rPr>
        <w:t xml:space="preserve"> </w:t>
      </w:r>
      <w:hyperlink w:anchor="latin-record-0315">
        <w:r>
          <w:rPr>
            <w:color w:val="000000"/>
          </w:rPr>
          <w:t xml:space="preserve">consuetudo</w:t>
        </w:r>
      </w:hyperlink>
      <w:r>
        <w:rPr>
          <w:b w:val="0"/>
          <w:i w:val="0"/>
        </w:rPr>
        <w:t>.</w:t>
      </w:r>
    </w:p>
    <w:p>
      <w:pPr>
        <w:widowControl/>
      </w:pPr>
      <w:r>
        <w:rPr>
          <w:b/>
          <w:i w:val="0"/>
        </w:rPr>
        <w:t>consuetudinem.</w:t>
      </w:r>
      <w:r>
        <w:rPr>
          <w:b w:val="0"/>
          <w:i w:val="0"/>
        </w:rPr>
        <w:t xml:space="preserve"> </w:t>
      </w:r>
      <w:hyperlink w:anchor="latin-record-0315">
        <w:r>
          <w:rPr>
            <w:color w:val="000000"/>
          </w:rPr>
          <w:t xml:space="preserve">consuetudo</w:t>
        </w:r>
      </w:hyperlink>
      <w:r>
        <w:rPr>
          <w:b w:val="0"/>
          <w:i w:val="0"/>
        </w:rPr>
        <w:t>.</w:t>
      </w:r>
    </w:p>
    <w:p>
      <w:pPr>
        <w:widowControl/>
      </w:pPr>
      <w:r>
        <w:rPr>
          <w:b/>
          <w:i w:val="0"/>
        </w:rPr>
        <w:t>consulat.</w:t>
      </w:r>
      <w:r>
        <w:rPr>
          <w:b w:val="0"/>
          <w:i w:val="0"/>
        </w:rPr>
        <w:t xml:space="preserve"> </w:t>
      </w:r>
      <w:hyperlink w:anchor="latin-record-0967">
        <w:r>
          <w:rPr>
            <w:color w:val="000000"/>
          </w:rPr>
          <w:t xml:space="preserve">possidere / consulere / imperare</w:t>
        </w:r>
      </w:hyperlink>
      <w:r>
        <w:rPr>
          <w:b w:val="0"/>
          <w:i w:val="0"/>
        </w:rPr>
        <w:t>.</w:t>
      </w:r>
    </w:p>
    <w:p>
      <w:pPr>
        <w:widowControl/>
      </w:pPr>
      <w:r>
        <w:rPr>
          <w:b/>
          <w:i w:val="0"/>
        </w:rPr>
        <w:t>consulere.</w:t>
      </w:r>
      <w:r>
        <w:rPr>
          <w:b w:val="0"/>
          <w:i w:val="0"/>
        </w:rPr>
        <w:t xml:space="preserve"> </w:t>
      </w:r>
      <w:hyperlink w:anchor="latin-record-0967">
        <w:r>
          <w:rPr>
            <w:color w:val="000000"/>
          </w:rPr>
          <w:t xml:space="preserve">possidere / consulere / imperare</w:t>
        </w:r>
      </w:hyperlink>
      <w:r>
        <w:rPr>
          <w:b w:val="0"/>
          <w:i w:val="0"/>
        </w:rPr>
        <w:t>.</w:t>
      </w:r>
    </w:p>
    <w:p>
      <w:pPr>
        <w:widowControl/>
      </w:pPr>
      <w:r>
        <w:rPr>
          <w:b/>
          <w:i w:val="0"/>
        </w:rPr>
        <w:t>consulit.</w:t>
      </w:r>
      <w:r>
        <w:rPr>
          <w:b w:val="0"/>
          <w:i w:val="0"/>
        </w:rPr>
        <w:t xml:space="preserve"> </w:t>
      </w:r>
      <w:hyperlink w:anchor="latin-record-0967">
        <w:r>
          <w:rPr>
            <w:color w:val="000000"/>
          </w:rPr>
          <w:t xml:space="preserve">possidere / consulere / imperare</w:t>
        </w:r>
      </w:hyperlink>
      <w:r>
        <w:rPr>
          <w:b w:val="0"/>
          <w:i w:val="0"/>
        </w:rPr>
        <w:t>.</w:t>
      </w:r>
    </w:p>
    <w:p>
      <w:pPr>
        <w:widowControl/>
      </w:pPr>
      <w:r>
        <w:rPr>
          <w:b/>
          <w:i w:val="0"/>
        </w:rPr>
        <w:t>consumant.</w:t>
      </w:r>
      <w:r>
        <w:rPr>
          <w:b w:val="0"/>
          <w:i w:val="0"/>
        </w:rPr>
        <w:t xml:space="preserve"> </w:t>
      </w:r>
      <w:hyperlink w:anchor="latin-record-1113">
        <w:r>
          <w:rPr>
            <w:color w:val="000000"/>
          </w:rPr>
          <w:t xml:space="preserve">resilire; accendere; consumere</w:t>
        </w:r>
      </w:hyperlink>
      <w:r>
        <w:rPr>
          <w:b w:val="0"/>
          <w:i w:val="0"/>
        </w:rPr>
        <w:t>.</w:t>
      </w:r>
    </w:p>
    <w:p>
      <w:pPr>
        <w:widowControl/>
      </w:pPr>
      <w:r>
        <w:rPr>
          <w:b/>
          <w:i w:val="0"/>
        </w:rPr>
        <w:t>consumiturque.</w:t>
      </w:r>
      <w:r>
        <w:rPr>
          <w:b w:val="0"/>
          <w:i w:val="0"/>
        </w:rPr>
        <w:t xml:space="preserve"> </w:t>
      </w:r>
      <w:hyperlink w:anchor="latin-record-0605">
        <w:r>
          <w:rPr>
            <w:color w:val="000000"/>
          </w:rPr>
          <w:t xml:space="preserve">implere / consummare</w:t>
        </w:r>
      </w:hyperlink>
      <w:r>
        <w:rPr>
          <w:b w:val="0"/>
          <w:i w:val="0"/>
        </w:rPr>
        <w:t>.</w:t>
      </w:r>
    </w:p>
    <w:p>
      <w:pPr>
        <w:widowControl/>
      </w:pPr>
      <w:r>
        <w:rPr>
          <w:b/>
          <w:i w:val="0"/>
        </w:rPr>
        <w:t>consummatur.</w:t>
      </w:r>
      <w:r>
        <w:rPr>
          <w:b w:val="0"/>
          <w:i w:val="0"/>
        </w:rPr>
        <w:t xml:space="preserve"> </w:t>
      </w:r>
      <w:hyperlink w:anchor="latin-record-0605">
        <w:r>
          <w:rPr>
            <w:color w:val="000000"/>
          </w:rPr>
          <w:t xml:space="preserve">implere / consummare</w:t>
        </w:r>
      </w:hyperlink>
      <w:r>
        <w:rPr>
          <w:b w:val="0"/>
          <w:i w:val="0"/>
        </w:rPr>
        <w:t>.</w:t>
      </w:r>
    </w:p>
    <w:p>
      <w:pPr>
        <w:widowControl/>
      </w:pPr>
      <w:r>
        <w:rPr>
          <w:b/>
          <w:i w:val="0"/>
        </w:rPr>
        <w:t>contemperans.</w:t>
      </w:r>
      <w:r>
        <w:rPr>
          <w:b w:val="0"/>
          <w:i w:val="0"/>
        </w:rPr>
        <w:t xml:space="preserve"> </w:t>
      </w:r>
      <w:hyperlink w:anchor="latin-record-0316">
        <w:r>
          <w:rPr>
            <w:color w:val="000000"/>
          </w:rPr>
          <w:t xml:space="preserve">contemperare / temperatrix</w:t>
        </w:r>
      </w:hyperlink>
      <w:r>
        <w:rPr>
          <w:b w:val="0"/>
          <w:i w:val="0"/>
        </w:rPr>
        <w:t>.</w:t>
      </w:r>
    </w:p>
    <w:p>
      <w:pPr>
        <w:widowControl/>
      </w:pPr>
      <w:r>
        <w:rPr>
          <w:b/>
          <w:i w:val="0"/>
        </w:rPr>
        <w:t>contemperatam.</w:t>
      </w:r>
      <w:r>
        <w:rPr>
          <w:b w:val="0"/>
          <w:i w:val="0"/>
        </w:rPr>
        <w:t xml:space="preserve"> </w:t>
      </w:r>
      <w:hyperlink w:anchor="latin-record-0316">
        <w:r>
          <w:rPr>
            <w:color w:val="000000"/>
          </w:rPr>
          <w:t xml:space="preserve">contemperare / temperatrix</w:t>
        </w:r>
      </w:hyperlink>
      <w:r>
        <w:rPr>
          <w:b w:val="0"/>
          <w:i w:val="0"/>
        </w:rPr>
        <w:t>.</w:t>
      </w:r>
    </w:p>
    <w:p>
      <w:pPr>
        <w:widowControl/>
      </w:pPr>
      <w:r>
        <w:rPr>
          <w:b/>
          <w:i w:val="0"/>
        </w:rPr>
        <w:t>contemplatur.</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contineantur.</w:t>
      </w:r>
      <w:r>
        <w:rPr>
          <w:b w:val="0"/>
          <w:i w:val="0"/>
        </w:rPr>
        <w:t xml:space="preserve"> </w:t>
      </w:r>
      <w:hyperlink w:anchor="latin-record-0317">
        <w:r>
          <w:rPr>
            <w:color w:val="000000"/>
          </w:rPr>
          <w:t xml:space="preserve">continere</w:t>
        </w:r>
      </w:hyperlink>
      <w:r>
        <w:rPr>
          <w:b w:val="0"/>
          <w:i w:val="0"/>
        </w:rPr>
        <w:t>.</w:t>
      </w:r>
    </w:p>
    <w:p>
      <w:pPr>
        <w:widowControl/>
      </w:pPr>
      <w:r>
        <w:rPr>
          <w:b/>
          <w:i w:val="0"/>
        </w:rPr>
        <w:t>contineat.</w:t>
      </w:r>
      <w:r>
        <w:rPr>
          <w:b w:val="0"/>
          <w:i w:val="0"/>
        </w:rPr>
        <w:t xml:space="preserve"> </w:t>
      </w:r>
      <w:hyperlink w:anchor="latin-record-0318">
        <w:r>
          <w:rPr>
            <w:color w:val="000000"/>
          </w:rPr>
          <w:t xml:space="preserve">continere; sistere; torquere</w:t>
        </w:r>
      </w:hyperlink>
      <w:r>
        <w:rPr>
          <w:b w:val="0"/>
          <w:i w:val="0"/>
        </w:rPr>
        <w:t xml:space="preserve">; </w:t>
      </w:r>
      <w:hyperlink w:anchor="latin-record-0607">
        <w:r>
          <w:rPr>
            <w:color w:val="000000"/>
          </w:rPr>
          <w:t xml:space="preserve">imponere; implere; continere</w:t>
        </w:r>
      </w:hyperlink>
      <w:r>
        <w:rPr>
          <w:b w:val="0"/>
          <w:i w:val="0"/>
        </w:rPr>
        <w:t>.</w:t>
      </w:r>
    </w:p>
    <w:p>
      <w:pPr>
        <w:widowControl/>
      </w:pPr>
      <w:r>
        <w:rPr>
          <w:b/>
          <w:i w:val="0"/>
        </w:rPr>
        <w:t>contineatur.</w:t>
      </w:r>
      <w:r>
        <w:rPr>
          <w:b w:val="0"/>
          <w:i w:val="0"/>
        </w:rPr>
        <w:t xml:space="preserve"> </w:t>
      </w:r>
      <w:hyperlink w:anchor="latin-record-0607">
        <w:r>
          <w:rPr>
            <w:color w:val="000000"/>
          </w:rPr>
          <w:t xml:space="preserve">imponere; implere; continere</w:t>
        </w:r>
      </w:hyperlink>
      <w:r>
        <w:rPr>
          <w:b w:val="0"/>
          <w:i w:val="0"/>
        </w:rPr>
        <w:t>.</w:t>
      </w:r>
    </w:p>
    <w:p>
      <w:pPr>
        <w:widowControl/>
      </w:pPr>
      <w:r>
        <w:rPr>
          <w:b/>
          <w:i w:val="0"/>
        </w:rPr>
        <w:t>continere.</w:t>
      </w:r>
      <w:r>
        <w:rPr>
          <w:b w:val="0"/>
          <w:i w:val="0"/>
        </w:rPr>
        <w:t xml:space="preserve"> </w:t>
      </w:r>
      <w:hyperlink w:anchor="latin-record-0317">
        <w:r>
          <w:rPr>
            <w:color w:val="000000"/>
          </w:rPr>
          <w:t xml:space="preserve">continere</w:t>
        </w:r>
      </w:hyperlink>
      <w:r>
        <w:rPr>
          <w:b w:val="0"/>
          <w:i w:val="0"/>
        </w:rPr>
        <w:t>.</w:t>
      </w:r>
    </w:p>
    <w:p>
      <w:pPr>
        <w:widowControl/>
      </w:pPr>
      <w:r>
        <w:rPr>
          <w:b/>
          <w:i w:val="0"/>
        </w:rPr>
        <w:t>contineri.</w:t>
      </w:r>
      <w:r>
        <w:rPr>
          <w:b w:val="0"/>
          <w:i w:val="0"/>
        </w:rPr>
        <w:t xml:space="preserve"> </w:t>
      </w:r>
      <w:hyperlink w:anchor="latin-record-0317">
        <w:r>
          <w:rPr>
            <w:color w:val="000000"/>
          </w:rPr>
          <w:t xml:space="preserve">continere</w:t>
        </w:r>
      </w:hyperlink>
      <w:r>
        <w:rPr>
          <w:b w:val="0"/>
          <w:i w:val="0"/>
        </w:rPr>
        <w:t>.</w:t>
      </w:r>
    </w:p>
    <w:p>
      <w:pPr>
        <w:widowControl/>
      </w:pPr>
      <w:r>
        <w:rPr>
          <w:b/>
          <w:i w:val="0"/>
        </w:rPr>
        <w:t>continet.</w:t>
      </w:r>
      <w:r>
        <w:rPr>
          <w:b w:val="0"/>
          <w:i w:val="0"/>
        </w:rPr>
        <w:t xml:space="preserve"> </w:t>
      </w:r>
      <w:hyperlink w:anchor="latin-record-0268">
        <w:r>
          <w:rPr>
            <w:color w:val="000000"/>
          </w:rPr>
          <w:t xml:space="preserve">comprehendere</w:t>
        </w:r>
      </w:hyperlink>
      <w:r>
        <w:rPr>
          <w:b w:val="0"/>
          <w:i w:val="0"/>
        </w:rPr>
        <w:t xml:space="preserve">; </w:t>
      </w:r>
      <w:hyperlink w:anchor="latin-record-0317">
        <w:r>
          <w:rPr>
            <w:color w:val="000000"/>
          </w:rPr>
          <w:t xml:space="preserve">continere</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1318">
        <w:r>
          <w:rPr>
            <w:color w:val="000000"/>
          </w:rPr>
          <w:t xml:space="preserve">unire; sistere; continere</w:t>
        </w:r>
      </w:hyperlink>
      <w:r>
        <w:rPr>
          <w:b w:val="0"/>
          <w:i w:val="0"/>
        </w:rPr>
        <w:t>.</w:t>
      </w:r>
    </w:p>
    <w:p>
      <w:pPr>
        <w:widowControl/>
      </w:pPr>
      <w:r>
        <w:rPr>
          <w:b/>
          <w:i w:val="0"/>
        </w:rPr>
        <w:t>continetur.</w:t>
      </w:r>
      <w:r>
        <w:rPr>
          <w:b w:val="0"/>
          <w:i w:val="0"/>
        </w:rPr>
        <w:t xml:space="preserve"> </w:t>
      </w:r>
      <w:hyperlink w:anchor="latin-record-0317">
        <w:r>
          <w:rPr>
            <w:color w:val="000000"/>
          </w:rPr>
          <w:t xml:space="preserve">continere</w:t>
        </w:r>
      </w:hyperlink>
      <w:r>
        <w:rPr>
          <w:b w:val="0"/>
          <w:i w:val="0"/>
        </w:rPr>
        <w:t>.</w:t>
      </w:r>
    </w:p>
    <w:p>
      <w:pPr>
        <w:widowControl/>
      </w:pPr>
      <w:r>
        <w:rPr>
          <w:b/>
          <w:i w:val="0"/>
        </w:rPr>
        <w:t>contingant.</w:t>
      </w:r>
      <w:r>
        <w:rPr>
          <w:b w:val="0"/>
          <w:i w:val="0"/>
        </w:rPr>
        <w:t xml:space="preserve"> </w:t>
      </w:r>
      <w:hyperlink w:anchor="latin-record-0319">
        <w:r>
          <w:rPr>
            <w:color w:val="000000"/>
          </w:rPr>
          <w:t xml:space="preserve">contingere / concursus</w:t>
        </w:r>
      </w:hyperlink>
      <w:r>
        <w:rPr>
          <w:b w:val="0"/>
          <w:i w:val="0"/>
        </w:rPr>
        <w:t>.</w:t>
      </w:r>
    </w:p>
    <w:p>
      <w:pPr>
        <w:widowControl/>
      </w:pPr>
      <w:r>
        <w:rPr>
          <w:b/>
          <w:i w:val="0"/>
        </w:rPr>
        <w:t>continuatio.</w:t>
      </w:r>
      <w:r>
        <w:rPr>
          <w:b w:val="0"/>
          <w:i w:val="0"/>
        </w:rPr>
        <w:t xml:space="preserve"> </w:t>
      </w:r>
      <w:hyperlink w:anchor="latin-record-0321">
        <w:r>
          <w:rPr>
            <w:color w:val="000000"/>
          </w:rPr>
          <w:t xml:space="preserve">continuatio; ordinatrix</w:t>
        </w:r>
      </w:hyperlink>
      <w:r>
        <w:rPr>
          <w:b w:val="0"/>
          <w:i w:val="0"/>
        </w:rPr>
        <w:t>.</w:t>
      </w:r>
    </w:p>
    <w:p>
      <w:pPr>
        <w:widowControl/>
      </w:pPr>
      <w:r>
        <w:rPr>
          <w:b/>
          <w:i w:val="0"/>
        </w:rPr>
        <w:t>continuationem molis.</w:t>
      </w:r>
      <w:r>
        <w:rPr>
          <w:b w:val="0"/>
          <w:i w:val="0"/>
        </w:rPr>
        <w:t xml:space="preserve"> </w:t>
      </w:r>
      <w:hyperlink w:anchor="latin-record-0320">
        <w:r>
          <w:rPr>
            <w:color w:val="000000"/>
          </w:rPr>
          <w:t xml:space="preserve">continuatio molis</w:t>
        </w:r>
      </w:hyperlink>
      <w:r>
        <w:rPr>
          <w:b w:val="0"/>
          <w:i w:val="0"/>
        </w:rPr>
        <w:t>.</w:t>
      </w:r>
    </w:p>
    <w:p>
      <w:pPr>
        <w:widowControl/>
      </w:pPr>
      <w:r>
        <w:rPr>
          <w:b/>
          <w:i w:val="0"/>
        </w:rPr>
        <w:t>continuum.</w:t>
      </w:r>
      <w:r>
        <w:rPr>
          <w:b w:val="0"/>
          <w:i w:val="0"/>
        </w:rPr>
        <w:t xml:space="preserve"> </w:t>
      </w:r>
      <w:hyperlink w:anchor="latin-record-0353">
        <w:r>
          <w:rPr>
            <w:color w:val="000000"/>
          </w:rPr>
          <w:t xml:space="preserve">cumulus / continuum</w:t>
        </w:r>
      </w:hyperlink>
      <w:r>
        <w:rPr>
          <w:b w:val="0"/>
          <w:i w:val="0"/>
        </w:rPr>
        <w:t>.</w:t>
      </w:r>
    </w:p>
    <w:p>
      <w:pPr>
        <w:widowControl/>
      </w:pPr>
      <w:r>
        <w:rPr>
          <w:b/>
          <w:i w:val="0"/>
        </w:rPr>
        <w:t>contractio.</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contrahatur.</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contrahitur.</w:t>
      </w:r>
      <w:r>
        <w:rPr>
          <w:b w:val="0"/>
          <w:i w:val="0"/>
        </w:rPr>
        <w:t xml:space="preserve"> </w:t>
      </w:r>
      <w:hyperlink w:anchor="latin-record-0322">
        <w:r>
          <w:rPr>
            <w:color w:val="000000"/>
          </w:rPr>
          <w:t xml:space="preserve">contrahere / coarctare</w:t>
        </w:r>
      </w:hyperlink>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contrahuntur.</w:t>
      </w:r>
      <w:r>
        <w:rPr>
          <w:b w:val="0"/>
          <w:i w:val="0"/>
        </w:rPr>
        <w:t xml:space="preserve"> </w:t>
      </w:r>
      <w:hyperlink w:anchor="latin-record-0838">
        <w:r>
          <w:rPr>
            <w:color w:val="000000"/>
          </w:rPr>
          <w:t xml:space="preserve">nervus; articulus; tractus</w:t>
        </w:r>
      </w:hyperlink>
      <w:r>
        <w:rPr>
          <w:b w:val="0"/>
          <w:i w:val="0"/>
        </w:rPr>
        <w:t>.</w:t>
      </w:r>
    </w:p>
    <w:p>
      <w:pPr>
        <w:widowControl/>
      </w:pPr>
      <w:r>
        <w:rPr>
          <w:b/>
          <w:i w:val="0"/>
        </w:rPr>
        <w:t>contraria.</w:t>
      </w:r>
      <w:r>
        <w:rPr>
          <w:b w:val="0"/>
          <w:i w:val="0"/>
        </w:rPr>
        <w:t xml:space="preserve"> </w:t>
      </w:r>
      <w:hyperlink w:anchor="latin-record-0324">
        <w:r>
          <w:rPr>
            <w:color w:val="000000"/>
          </w:rPr>
          <w:t xml:space="preserve">contraria elementa</w:t>
        </w:r>
      </w:hyperlink>
      <w:r>
        <w:rPr>
          <w:b w:val="0"/>
          <w:i w:val="0"/>
        </w:rPr>
        <w:t xml:space="preserve">; </w:t>
      </w:r>
      <w:hyperlink w:anchor="latin-record-0326">
        <w:r>
          <w:rPr>
            <w:color w:val="000000"/>
          </w:rPr>
          <w:t xml:space="preserve">contrarius; oppositus; repugnans</w:t>
        </w:r>
      </w:hyperlink>
      <w:r>
        <w:rPr>
          <w:b w:val="0"/>
          <w:i w:val="0"/>
        </w:rPr>
        <w:t xml:space="preserve">; </w:t>
      </w:r>
      <w:hyperlink w:anchor="latin-record-0869">
        <w:r>
          <w:rPr>
            <w:color w:val="000000"/>
          </w:rPr>
          <w:t xml:space="preserve">opposita / contraria</w:t>
        </w:r>
      </w:hyperlink>
      <w:r>
        <w:rPr>
          <w:b w:val="0"/>
          <w:i w:val="0"/>
        </w:rPr>
        <w:t>.</w:t>
      </w:r>
    </w:p>
    <w:p>
      <w:pPr>
        <w:widowControl/>
      </w:pPr>
      <w:r>
        <w:rPr>
          <w:b/>
          <w:i w:val="0"/>
        </w:rPr>
        <w:t>contrariam.</w:t>
      </w:r>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contrarietas.</w:t>
      </w:r>
      <w:r>
        <w:rPr>
          <w:b w:val="0"/>
          <w:i w:val="0"/>
        </w:rPr>
        <w:t xml:space="preserve"> </w:t>
      </w:r>
      <w:hyperlink w:anchor="latin-record-0466">
        <w:r>
          <w:rPr>
            <w:color w:val="000000"/>
          </w:rPr>
          <w:t xml:space="preserve">extensio; contrarietas</w:t>
        </w:r>
      </w:hyperlink>
      <w:r>
        <w:rPr>
          <w:b w:val="0"/>
          <w:i w:val="0"/>
        </w:rPr>
        <w:t xml:space="preserve">; </w:t>
      </w:r>
      <w:hyperlink w:anchor="latin-record-0545">
        <w:r>
          <w:rPr>
            <w:color w:val="000000"/>
          </w:rPr>
          <w:t xml:space="preserve">genus substantiae / genus qualitatis</w:t>
        </w:r>
      </w:hyperlink>
      <w:r>
        <w:rPr>
          <w:b w:val="0"/>
          <w:i w:val="0"/>
        </w:rPr>
        <w:t>.</w:t>
      </w:r>
    </w:p>
    <w:p>
      <w:pPr>
        <w:widowControl/>
      </w:pPr>
      <w:r>
        <w:rPr>
          <w:b/>
          <w:i w:val="0"/>
        </w:rPr>
        <w:t>contrariis.</w:t>
      </w:r>
      <w:r>
        <w:rPr>
          <w:b w:val="0"/>
          <w:i w:val="0"/>
        </w:rPr>
        <w:t xml:space="preserve"> </w:t>
      </w:r>
      <w:hyperlink w:anchor="latin-record-0325">
        <w:r>
          <w:rPr>
            <w:color w:val="000000"/>
          </w:rPr>
          <w:t xml:space="preserve">contrariae qualitates / medium</w:t>
        </w:r>
      </w:hyperlink>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contrariorum.</w:t>
      </w:r>
      <w:r>
        <w:rPr>
          <w:b w:val="0"/>
          <w:i w:val="0"/>
        </w:rPr>
        <w:t xml:space="preserve"> </w:t>
      </w:r>
      <w:hyperlink w:anchor="latin-record-0324">
        <w:r>
          <w:rPr>
            <w:color w:val="000000"/>
          </w:rPr>
          <w:t xml:space="preserve">contraria elementa</w:t>
        </w:r>
      </w:hyperlink>
      <w:r>
        <w:rPr>
          <w:b w:val="0"/>
          <w:i w:val="0"/>
        </w:rPr>
        <w:t>.</w:t>
      </w:r>
    </w:p>
    <w:p>
      <w:pPr>
        <w:widowControl/>
      </w:pPr>
      <w:r>
        <w:rPr>
          <w:b/>
          <w:i w:val="0"/>
        </w:rPr>
        <w:t>contrarios.</w:t>
      </w:r>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contrarium.</w:t>
      </w:r>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convenientiam.</w:t>
      </w:r>
      <w:r>
        <w:rPr>
          <w:b w:val="0"/>
          <w:i w:val="0"/>
        </w:rPr>
        <w:t xml:space="preserve"> </w:t>
      </w:r>
      <w:hyperlink w:anchor="latin-record-0327">
        <w:r>
          <w:rPr>
            <w:color w:val="000000"/>
          </w:rPr>
          <w:t xml:space="preserve">convenientia / inconvenientia</w:t>
        </w:r>
      </w:hyperlink>
      <w:r>
        <w:rPr>
          <w:b w:val="0"/>
          <w:i w:val="0"/>
        </w:rPr>
        <w:t>.</w:t>
      </w:r>
    </w:p>
    <w:p>
      <w:pPr>
        <w:widowControl/>
      </w:pPr>
      <w:r>
        <w:rPr>
          <w:b/>
          <w:i w:val="0"/>
        </w:rPr>
        <w:t>convenientibus gradibus.</w:t>
      </w:r>
      <w:r>
        <w:rPr>
          <w:b w:val="0"/>
          <w:i w:val="0"/>
        </w:rPr>
        <w:t xml:space="preserve"> </w:t>
      </w:r>
      <w:hyperlink w:anchor="latin-record-0547">
        <w:r>
          <w:rPr>
            <w:color w:val="000000"/>
          </w:rPr>
          <w:t xml:space="preserve">gradus; paulatim</w:t>
        </w:r>
      </w:hyperlink>
      <w:r>
        <w:rPr>
          <w:b w:val="0"/>
          <w:i w:val="0"/>
        </w:rPr>
        <w:t>.</w:t>
      </w:r>
    </w:p>
    <w:p>
      <w:pPr>
        <w:widowControl/>
      </w:pPr>
      <w:r>
        <w:rPr>
          <w:b/>
          <w:i w:val="0"/>
        </w:rPr>
        <w:t>convenire.</w:t>
      </w:r>
      <w:r>
        <w:rPr>
          <w:b w:val="0"/>
          <w:i w:val="0"/>
        </w:rPr>
        <w:t xml:space="preserve"> </w:t>
      </w:r>
      <w:hyperlink w:anchor="latin-record-0301">
        <w:r>
          <w:rPr>
            <w:color w:val="000000"/>
          </w:rPr>
          <w:t xml:space="preserve">consensio stabilis</w:t>
        </w:r>
      </w:hyperlink>
      <w:r>
        <w:rPr>
          <w:b w:val="0"/>
          <w:i w:val="0"/>
        </w:rPr>
        <w:t>.</w:t>
      </w:r>
    </w:p>
    <w:p>
      <w:pPr>
        <w:widowControl/>
      </w:pPr>
      <w:r>
        <w:rPr>
          <w:b/>
          <w:i w:val="0"/>
        </w:rPr>
        <w:t>conveniunt.</w:t>
      </w:r>
      <w:r>
        <w:rPr>
          <w:b w:val="0"/>
          <w:i w:val="0"/>
        </w:rPr>
        <w:t xml:space="preserve"> </w:t>
      </w:r>
      <w:hyperlink w:anchor="latin-record-0328">
        <w:r>
          <w:rPr>
            <w:color w:val="000000"/>
          </w:rPr>
          <w:t xml:space="preserve">convenire / conciliare</w:t>
        </w:r>
      </w:hyperlink>
      <w:r>
        <w:rPr>
          <w:b w:val="0"/>
          <w:i w:val="0"/>
        </w:rPr>
        <w:t>.</w:t>
      </w:r>
    </w:p>
    <w:p>
      <w:pPr>
        <w:widowControl/>
      </w:pPr>
      <w:r>
        <w:rPr>
          <w:b/>
          <w:i w:val="0"/>
        </w:rPr>
        <w:t>convertat.</w:t>
      </w:r>
      <w:r>
        <w:rPr>
          <w:b w:val="0"/>
          <w:i w:val="0"/>
        </w:rPr>
        <w:t xml:space="preserve"> </w:t>
      </w:r>
      <w:hyperlink w:anchor="latin-record-0329">
        <w:r>
          <w:rPr>
            <w:color w:val="000000"/>
          </w:rPr>
          <w:t xml:space="preserve">converti / convertere</w:t>
        </w:r>
      </w:hyperlink>
      <w:r>
        <w:rPr>
          <w:b w:val="0"/>
          <w:i w:val="0"/>
        </w:rPr>
        <w:t>.</w:t>
      </w:r>
    </w:p>
    <w:p>
      <w:pPr>
        <w:widowControl/>
      </w:pPr>
      <w:r>
        <w:rPr>
          <w:b/>
          <w:i w:val="0"/>
        </w:rPr>
        <w:t>convertatur.</w:t>
      </w:r>
      <w:r>
        <w:rPr>
          <w:b w:val="0"/>
          <w:i w:val="0"/>
        </w:rPr>
        <w:t xml:space="preserve"> </w:t>
      </w:r>
      <w:hyperlink w:anchor="latin-record-0329">
        <w:r>
          <w:rPr>
            <w:color w:val="000000"/>
          </w:rPr>
          <w:t xml:space="preserve">converti / convertere</w:t>
        </w:r>
      </w:hyperlink>
      <w:r>
        <w:rPr>
          <w:b w:val="0"/>
          <w:i w:val="0"/>
        </w:rPr>
        <w:t>.</w:t>
      </w:r>
    </w:p>
    <w:p>
      <w:pPr>
        <w:widowControl/>
      </w:pPr>
      <w:r>
        <w:rPr>
          <w:b/>
          <w:i w:val="0"/>
        </w:rPr>
        <w:t>convertit.</w:t>
      </w:r>
      <w:r>
        <w:rPr>
          <w:b w:val="0"/>
          <w:i w:val="0"/>
        </w:rPr>
        <w:t xml:space="preserve"> </w:t>
      </w:r>
      <w:hyperlink w:anchor="latin-record-0329">
        <w:r>
          <w:rPr>
            <w:color w:val="000000"/>
          </w:rPr>
          <w:t xml:space="preserve">converti / convertere</w:t>
        </w:r>
      </w:hyperlink>
      <w:r>
        <w:rPr>
          <w:b w:val="0"/>
          <w:i w:val="0"/>
        </w:rPr>
        <w:t>.</w:t>
      </w:r>
    </w:p>
    <w:p>
      <w:pPr>
        <w:widowControl/>
      </w:pPr>
      <w:r>
        <w:rPr>
          <w:b/>
          <w:i w:val="0"/>
        </w:rPr>
        <w:t>convivio.</w:t>
      </w:r>
      <w:r>
        <w:rPr>
          <w:b w:val="0"/>
          <w:i w:val="0"/>
        </w:rPr>
        <w:t xml:space="preserve"> </w:t>
      </w:r>
      <w:hyperlink w:anchor="latin-record-0330">
        <w:r>
          <w:rPr>
            <w:color w:val="000000"/>
          </w:rPr>
          <w:t xml:space="preserve">convivium; discumbere</w:t>
        </w:r>
      </w:hyperlink>
      <w:r>
        <w:rPr>
          <w:b w:val="0"/>
          <w:i w:val="0"/>
        </w:rPr>
        <w:t>.</w:t>
      </w:r>
    </w:p>
    <w:p>
      <w:pPr>
        <w:widowControl/>
      </w:pPr>
      <w:r>
        <w:rPr>
          <w:b/>
          <w:i w:val="0"/>
        </w:rPr>
        <w:t>convoluta.</w:t>
      </w:r>
      <w:r>
        <w:rPr>
          <w:b w:val="0"/>
          <w:i w:val="0"/>
        </w:rPr>
        <w:t xml:space="preserve"> </w:t>
      </w:r>
      <w:hyperlink w:anchor="latin-record-0449">
        <w:r>
          <w:rPr>
            <w:color w:val="000000"/>
          </w:rPr>
          <w:t xml:space="preserve">evolvere; convolvere</w:t>
        </w:r>
      </w:hyperlink>
      <w:r>
        <w:rPr>
          <w:b w:val="0"/>
          <w:i w:val="0"/>
        </w:rPr>
        <w:t>.</w:t>
      </w:r>
    </w:p>
    <w:p>
      <w:pPr>
        <w:widowControl/>
      </w:pPr>
      <w:r>
        <w:rPr>
          <w:b/>
          <w:i w:val="0"/>
        </w:rPr>
        <w:t>copula.</w:t>
      </w:r>
      <w:r>
        <w:rPr>
          <w:b w:val="0"/>
          <w:i w:val="0"/>
        </w:rPr>
        <w:t xml:space="preserve"> </w:t>
      </w:r>
      <w:hyperlink w:anchor="latin-record-0331">
        <w:r>
          <w:rPr>
            <w:color w:val="000000"/>
          </w:rPr>
          <w:t xml:space="preserve">copula; copulatrix</w:t>
        </w:r>
      </w:hyperlink>
      <w:r>
        <w:rPr>
          <w:b w:val="0"/>
          <w:i w:val="0"/>
        </w:rPr>
        <w:t>.</w:t>
      </w:r>
    </w:p>
    <w:p>
      <w:pPr>
        <w:widowControl/>
      </w:pPr>
      <w:r>
        <w:rPr>
          <w:b/>
          <w:i w:val="0"/>
        </w:rPr>
        <w:t>copulantem.</w:t>
      </w:r>
      <w:r>
        <w:rPr>
          <w:b w:val="0"/>
          <w:i w:val="0"/>
        </w:rPr>
        <w:t xml:space="preserve"> </w:t>
      </w:r>
      <w:hyperlink w:anchor="latin-record-0331">
        <w:r>
          <w:rPr>
            <w:color w:val="000000"/>
          </w:rPr>
          <w:t xml:space="preserve">copula; copulatrix</w:t>
        </w:r>
      </w:hyperlink>
      <w:r>
        <w:rPr>
          <w:b w:val="0"/>
          <w:i w:val="0"/>
        </w:rPr>
        <w:t>.</w:t>
      </w:r>
    </w:p>
    <w:p>
      <w:pPr>
        <w:widowControl/>
      </w:pPr>
      <w:r>
        <w:rPr>
          <w:b/>
          <w:i w:val="0"/>
        </w:rPr>
        <w:t>copulatum.</w:t>
      </w:r>
      <w:r>
        <w:rPr>
          <w:b w:val="0"/>
          <w:i w:val="0"/>
        </w:rPr>
        <w:t xml:space="preserve"> </w:t>
      </w:r>
      <w:hyperlink w:anchor="latin-record-0331">
        <w:r>
          <w:rPr>
            <w:color w:val="000000"/>
          </w:rPr>
          <w:t xml:space="preserve">copula; copulatrix</w:t>
        </w:r>
      </w:hyperlink>
      <w:r>
        <w:rPr>
          <w:b w:val="0"/>
          <w:i w:val="0"/>
        </w:rPr>
        <w:t>.</w:t>
      </w:r>
    </w:p>
    <w:p>
      <w:pPr>
        <w:widowControl/>
      </w:pPr>
      <w:r>
        <w:rPr>
          <w:b/>
          <w:i w:val="0"/>
        </w:rPr>
        <w:t>copulatur.</w:t>
      </w:r>
      <w:r>
        <w:rPr>
          <w:b w:val="0"/>
          <w:i w:val="0"/>
        </w:rPr>
        <w:t xml:space="preserve"> </w:t>
      </w:r>
      <w:hyperlink w:anchor="latin-record-0332">
        <w:r>
          <w:rPr>
            <w:color w:val="000000"/>
          </w:rPr>
          <w:t xml:space="preserve">copulare / insinuare / cognatus</w:t>
        </w:r>
      </w:hyperlink>
      <w:r>
        <w:rPr>
          <w:b w:val="0"/>
          <w:i w:val="0"/>
        </w:rPr>
        <w:t>.</w:t>
      </w:r>
    </w:p>
    <w:p>
      <w:pPr>
        <w:widowControl/>
      </w:pPr>
      <w:r>
        <w:rPr>
          <w:b/>
          <w:i w:val="0"/>
        </w:rPr>
        <w:t>corde.</w:t>
      </w:r>
      <w:r>
        <w:rPr>
          <w:b w:val="0"/>
          <w:i w:val="0"/>
        </w:rPr>
        <w:t xml:space="preserve"> </w:t>
      </w:r>
      <w:hyperlink w:anchor="latin-record-0334">
        <w:r>
          <w:rPr>
            <w:color w:val="000000"/>
          </w:rPr>
          <w:t xml:space="preserve">cor; cerebrum</w:t>
        </w:r>
      </w:hyperlink>
      <w:r>
        <w:rPr>
          <w:b w:val="0"/>
          <w:i w:val="0"/>
        </w:rPr>
        <w:t>.</w:t>
      </w:r>
    </w:p>
    <w:p>
      <w:pPr>
        <w:widowControl/>
      </w:pPr>
      <w:r>
        <w:rPr>
          <w:b/>
          <w:i w:val="0"/>
        </w:rPr>
        <w:t>cordis.</w:t>
      </w:r>
      <w:r>
        <w:rPr>
          <w:b w:val="0"/>
          <w:i w:val="0"/>
        </w:rPr>
        <w:t xml:space="preserve"> </w:t>
      </w:r>
      <w:hyperlink w:anchor="latin-record-0333">
        <w:r>
          <w:rPr>
            <w:color w:val="000000"/>
          </w:rPr>
          <w:t xml:space="preserve">cor / sanguis / calor</w:t>
        </w:r>
      </w:hyperlink>
      <w:r>
        <w:rPr>
          <w:b w:val="0"/>
          <w:i w:val="0"/>
        </w:rPr>
        <w:t>.</w:t>
      </w:r>
    </w:p>
    <w:p>
      <w:pPr>
        <w:widowControl/>
      </w:pPr>
      <w:r>
        <w:rPr>
          <w:b/>
          <w:i w:val="0"/>
        </w:rPr>
        <w:t>corpora.</w:t>
      </w:r>
      <w:r>
        <w:rPr>
          <w:b w:val="0"/>
          <w:i w:val="0"/>
        </w:rPr>
        <w:t xml:space="preserve"> </w:t>
      </w:r>
      <w:hyperlink w:anchor="latin-record-0337">
        <w:r>
          <w:rPr>
            <w:color w:val="000000"/>
          </w:rPr>
          <w:t xml:space="preserve">corpus</w:t>
        </w:r>
      </w:hyperlink>
      <w:r>
        <w:rPr>
          <w:b w:val="0"/>
          <w:i w:val="0"/>
        </w:rPr>
        <w:t>.</w:t>
      </w:r>
    </w:p>
    <w:p>
      <w:pPr>
        <w:widowControl/>
      </w:pPr>
      <w:r>
        <w:rPr>
          <w:b/>
          <w:i w:val="0"/>
        </w:rPr>
        <w:t>corporale.</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corporalem.</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corporales.</w:t>
      </w:r>
      <w:r>
        <w:rPr>
          <w:b w:val="0"/>
          <w:i w:val="0"/>
        </w:rPr>
        <w:t xml:space="preserve"> </w:t>
      </w:r>
      <w:hyperlink w:anchor="latin-record-0338">
        <w:r>
          <w:rPr>
            <w:color w:val="000000"/>
          </w:rPr>
          <w:t xml:space="preserve">corpus / corporalis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Corporales.</w:t>
      </w:r>
      <w:r>
        <w:rPr>
          <w:b w:val="0"/>
          <w:i w:val="0"/>
        </w:rPr>
        <w:t xml:space="preserve"> </w:t>
      </w:r>
      <w:hyperlink w:anchor="latin-record-0338">
        <w:r>
          <w:rPr>
            <w:color w:val="000000"/>
          </w:rPr>
          <w:t xml:space="preserve">corpus / corporalis</w:t>
        </w:r>
      </w:hyperlink>
      <w:r>
        <w:rPr>
          <w:b w:val="0"/>
          <w:i w:val="0"/>
        </w:rPr>
        <w:t>.</w:t>
      </w:r>
    </w:p>
    <w:p>
      <w:pPr>
        <w:widowControl/>
      </w:pPr>
      <w:r>
        <w:rPr>
          <w:b/>
          <w:i w:val="0"/>
        </w:rPr>
        <w:t>corporali.</w:t>
      </w:r>
      <w:r>
        <w:rPr>
          <w:b w:val="0"/>
          <w:i w:val="0"/>
        </w:rPr>
        <w:t xml:space="preserve"> </w:t>
      </w:r>
      <w:hyperlink w:anchor="latin-record-0335">
        <w:r>
          <w:rPr>
            <w:color w:val="000000"/>
          </w:rPr>
          <w:t xml:space="preserve">corporeus / corporalis</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corporali veste.</w:t>
      </w:r>
      <w:r>
        <w:rPr>
          <w:b w:val="0"/>
          <w:i w:val="0"/>
        </w:rPr>
        <w:t xml:space="preserve"> </w:t>
      </w:r>
      <w:hyperlink w:anchor="latin-record-1345">
        <w:r>
          <w:rPr>
            <w:color w:val="000000"/>
          </w:rPr>
          <w:t xml:space="preserve">vestis; involvere</w:t>
        </w:r>
      </w:hyperlink>
      <w:r>
        <w:rPr>
          <w:b w:val="0"/>
          <w:i w:val="0"/>
        </w:rPr>
        <w:t>.</w:t>
      </w:r>
    </w:p>
    <w:p>
      <w:pPr>
        <w:widowControl/>
      </w:pPr>
      <w:r>
        <w:rPr>
          <w:b/>
          <w:i w:val="0"/>
        </w:rPr>
        <w:t>corporalia.</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corporalibus.</w:t>
      </w:r>
      <w:r>
        <w:rPr>
          <w:b w:val="0"/>
          <w:i w:val="0"/>
        </w:rPr>
        <w:t xml:space="preserve"> </w:t>
      </w:r>
      <w:hyperlink w:anchor="latin-record-0335">
        <w:r>
          <w:rPr>
            <w:color w:val="000000"/>
          </w:rPr>
          <w:t xml:space="preserve">corporeus / corporalis</w:t>
        </w:r>
      </w:hyperlink>
      <w:r>
        <w:rPr>
          <w:b w:val="0"/>
          <w:i w:val="0"/>
        </w:rPr>
        <w:t>.</w:t>
      </w:r>
    </w:p>
    <w:p>
      <w:pPr>
        <w:widowControl/>
      </w:pPr>
      <w:r>
        <w:rPr>
          <w:b/>
          <w:i w:val="0"/>
        </w:rPr>
        <w:t>corporalis.</w:t>
      </w:r>
      <w:r>
        <w:rPr>
          <w:b w:val="0"/>
          <w:i w:val="0"/>
        </w:rPr>
        <w:t xml:space="preserve"> </w:t>
      </w:r>
      <w:hyperlink w:anchor="latin-record-0335">
        <w:r>
          <w:rPr>
            <w:color w:val="000000"/>
          </w:rPr>
          <w:t xml:space="preserve">corporeus / corporalis</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corporalium.</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corpore.</w:t>
      </w:r>
      <w:r>
        <w:rPr>
          <w:b w:val="0"/>
          <w:i w:val="0"/>
        </w:rPr>
        <w:t xml:space="preserve"> </w:t>
      </w:r>
      <w:hyperlink w:anchor="latin-record-0337">
        <w:r>
          <w:rPr>
            <w:color w:val="000000"/>
          </w:rPr>
          <w:t xml:space="preserve">corpus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corporea.</w:t>
      </w:r>
      <w:r>
        <w:rPr>
          <w:b w:val="0"/>
          <w:i w:val="0"/>
        </w:rPr>
        <w:t xml:space="preserve"> </w:t>
      </w:r>
      <w:hyperlink w:anchor="latin-record-0335">
        <w:r>
          <w:rPr>
            <w:color w:val="000000"/>
          </w:rPr>
          <w:t xml:space="preserve">corporeus / corporalis</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corpoream.</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corporeis.</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corporeo.</w:t>
      </w:r>
      <w:r>
        <w:rPr>
          <w:b w:val="0"/>
          <w:i w:val="0"/>
        </w:rPr>
        <w:t xml:space="preserve"> </w:t>
      </w:r>
      <w:hyperlink w:anchor="latin-record-0338">
        <w:r>
          <w:rPr>
            <w:color w:val="000000"/>
          </w:rPr>
          <w:t xml:space="preserve">corpus / corporalis</w:t>
        </w:r>
      </w:hyperlink>
      <w:r>
        <w:rPr>
          <w:b w:val="0"/>
          <w:i w:val="0"/>
        </w:rPr>
        <w:t>.</w:t>
      </w:r>
    </w:p>
    <w:p>
      <w:pPr>
        <w:widowControl/>
      </w:pPr>
      <w:r>
        <w:rPr>
          <w:b/>
          <w:i w:val="0"/>
        </w:rPr>
        <w:t>corporeum.</w:t>
      </w:r>
      <w:r>
        <w:rPr>
          <w:b w:val="0"/>
          <w:i w:val="0"/>
        </w:rPr>
        <w:t xml:space="preserve"> </w:t>
      </w:r>
      <w:hyperlink w:anchor="latin-record-0335">
        <w:r>
          <w:rPr>
            <w:color w:val="000000"/>
          </w:rPr>
          <w:t xml:space="preserve">corporeus / corporalis</w:t>
        </w:r>
      </w:hyperlink>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corpori.</w:t>
      </w:r>
      <w:r>
        <w:rPr>
          <w:b w:val="0"/>
          <w:i w:val="0"/>
        </w:rPr>
        <w:t xml:space="preserve"> </w:t>
      </w:r>
      <w:hyperlink w:anchor="latin-record-0337">
        <w:r>
          <w:rPr>
            <w:color w:val="000000"/>
          </w:rPr>
          <w:t xml:space="preserve">corpus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corporibus.</w:t>
      </w:r>
      <w:r>
        <w:rPr>
          <w:b w:val="0"/>
          <w:i w:val="0"/>
        </w:rPr>
        <w:t xml:space="preserve"> </w:t>
      </w:r>
      <w:hyperlink w:anchor="latin-record-0337">
        <w:r>
          <w:rPr>
            <w:color w:val="000000"/>
          </w:rPr>
          <w:t xml:space="preserve">corpus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corporibus geminis.</w:t>
      </w:r>
      <w:r>
        <w:rPr>
          <w:b w:val="0"/>
          <w:i w:val="0"/>
        </w:rPr>
        <w:t xml:space="preserve"> </w:t>
      </w:r>
      <w:hyperlink w:anchor="latin-record-0340">
        <w:r>
          <w:rPr>
            <w:color w:val="000000"/>
          </w:rPr>
          <w:t xml:space="preserve">corpus aethereum; corpus geminum</w:t>
        </w:r>
      </w:hyperlink>
      <w:r>
        <w:rPr>
          <w:b w:val="0"/>
          <w:i w:val="0"/>
        </w:rPr>
        <w:t>.</w:t>
      </w:r>
    </w:p>
    <w:p>
      <w:pPr>
        <w:widowControl/>
      </w:pPr>
      <w:r>
        <w:rPr>
          <w:b/>
          <w:i w:val="0"/>
        </w:rPr>
        <w:t>corporis.</w:t>
      </w:r>
      <w:r>
        <w:rPr>
          <w:b w:val="0"/>
          <w:i w:val="0"/>
        </w:rPr>
        <w:t xml:space="preserve"> </w:t>
      </w:r>
      <w:hyperlink w:anchor="latin-record-0337">
        <w:r>
          <w:rPr>
            <w:color w:val="000000"/>
          </w:rPr>
          <w:t xml:space="preserve">corpus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corporum.</w:t>
      </w:r>
      <w:r>
        <w:rPr>
          <w:b w:val="0"/>
          <w:i w:val="0"/>
        </w:rPr>
        <w:t xml:space="preserve"> </w:t>
      </w:r>
      <w:hyperlink w:anchor="latin-record-0337">
        <w:r>
          <w:rPr>
            <w:color w:val="000000"/>
          </w:rPr>
          <w:t xml:space="preserve">corpus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Corporum.</w:t>
      </w:r>
      <w:r>
        <w:rPr>
          <w:b w:val="0"/>
          <w:i w:val="0"/>
        </w:rPr>
        <w:t xml:space="preserve"> </w:t>
      </w:r>
      <w:hyperlink w:anchor="latin-record-0339">
        <w:r>
          <w:rPr>
            <w:color w:val="000000"/>
          </w:rPr>
          <w:t xml:space="preserve">corpus / corporalis (further forms)</w:t>
        </w:r>
      </w:hyperlink>
      <w:r>
        <w:rPr>
          <w:b w:val="0"/>
          <w:i w:val="0"/>
        </w:rPr>
        <w:t>.</w:t>
      </w:r>
    </w:p>
    <w:p>
      <w:pPr>
        <w:widowControl/>
      </w:pPr>
      <w:r>
        <w:rPr>
          <w:b/>
          <w:i w:val="0"/>
        </w:rPr>
        <w:t>corpus.</w:t>
      </w:r>
      <w:r>
        <w:rPr>
          <w:b w:val="0"/>
          <w:i w:val="0"/>
        </w:rPr>
        <w:t xml:space="preserve"> </w:t>
      </w:r>
      <w:hyperlink w:anchor="latin-record-0337">
        <w:r>
          <w:rPr>
            <w:color w:val="000000"/>
          </w:rPr>
          <w:t xml:space="preserve">corpus</w:t>
        </w:r>
      </w:hyperlink>
      <w:r>
        <w:rPr>
          <w:b w:val="0"/>
          <w:i w:val="0"/>
        </w:rPr>
        <w:t xml:space="preserve">; </w:t>
      </w:r>
      <w:hyperlink w:anchor="latin-record-0338">
        <w:r>
          <w:rPr>
            <w:color w:val="000000"/>
          </w:rPr>
          <w:t xml:space="preserve">corpus / corporalis</w:t>
        </w:r>
      </w:hyperlink>
      <w:r>
        <w:rPr>
          <w:b w:val="0"/>
          <w:i w:val="0"/>
        </w:rPr>
        <w:t>.</w:t>
      </w:r>
    </w:p>
    <w:p>
      <w:pPr>
        <w:widowControl/>
      </w:pPr>
      <w:r>
        <w:rPr>
          <w:b/>
          <w:i w:val="0"/>
        </w:rPr>
        <w:t>Corpus.</w:t>
      </w:r>
      <w:r>
        <w:rPr>
          <w:b w:val="0"/>
          <w:i w:val="0"/>
        </w:rPr>
        <w:t xml:space="preserve"> </w:t>
      </w:r>
      <w:hyperlink w:anchor="latin-record-0338">
        <w:r>
          <w:rPr>
            <w:color w:val="000000"/>
          </w:rPr>
          <w:t xml:space="preserve">corpus / corporalis</w:t>
        </w:r>
      </w:hyperlink>
      <w:r>
        <w:rPr>
          <w:b w:val="0"/>
          <w:i w:val="0"/>
        </w:rPr>
        <w:t>.</w:t>
      </w:r>
    </w:p>
    <w:p>
      <w:pPr>
        <w:widowControl/>
      </w:pPr>
      <w:r>
        <w:rPr>
          <w:b/>
          <w:i w:val="0"/>
        </w:rPr>
        <w:t>corpus aethereum.</w:t>
      </w:r>
      <w:r>
        <w:rPr>
          <w:b w:val="0"/>
          <w:i w:val="0"/>
        </w:rPr>
        <w:t xml:space="preserve"> </w:t>
      </w:r>
      <w:hyperlink w:anchor="latin-record-0340">
        <w:r>
          <w:rPr>
            <w:color w:val="000000"/>
          </w:rPr>
          <w:t xml:space="preserve">corpus aethereum; corpus geminum</w:t>
        </w:r>
      </w:hyperlink>
      <w:r>
        <w:rPr>
          <w:b w:val="0"/>
          <w:i w:val="0"/>
        </w:rPr>
        <w:t>.</w:t>
      </w:r>
    </w:p>
    <w:p>
      <w:pPr>
        <w:widowControl/>
      </w:pPr>
      <w:r>
        <w:rPr>
          <w:b/>
          <w:i w:val="0"/>
        </w:rPr>
        <w:t>corpus animale.</w:t>
      </w:r>
      <w:r>
        <w:rPr>
          <w:b w:val="0"/>
          <w:i w:val="0"/>
        </w:rPr>
        <w:t xml:space="preserve"> </w:t>
      </w:r>
      <w:hyperlink w:anchor="latin-record-0100">
        <w:r>
          <w:rPr>
            <w:color w:val="000000"/>
          </w:rPr>
          <w:t xml:space="preserve">animale; vivens; vivificatum</w:t>
        </w:r>
      </w:hyperlink>
      <w:r>
        <w:rPr>
          <w:b w:val="0"/>
          <w:i w:val="0"/>
        </w:rPr>
        <w:t>.</w:t>
      </w:r>
    </w:p>
    <w:p>
      <w:pPr>
        <w:widowControl/>
      </w:pPr>
      <w:r>
        <w:rPr>
          <w:b/>
          <w:i w:val="0"/>
        </w:rPr>
        <w:t>corpuscula.</w:t>
      </w:r>
      <w:r>
        <w:rPr>
          <w:b w:val="0"/>
          <w:i w:val="0"/>
        </w:rPr>
        <w:t xml:space="preserve"> </w:t>
      </w:r>
      <w:hyperlink w:anchor="latin-record-0720">
        <w:r>
          <w:rPr>
            <w:color w:val="000000"/>
          </w:rPr>
          <w:t xml:space="preserve">loculus; corpusculum</w:t>
        </w:r>
      </w:hyperlink>
      <w:r>
        <w:rPr>
          <w:b w:val="0"/>
          <w:i w:val="0"/>
        </w:rPr>
        <w:t>.</w:t>
      </w:r>
    </w:p>
    <w:p>
      <w:pPr>
        <w:widowControl/>
      </w:pPr>
      <w:r>
        <w:rPr>
          <w:b/>
          <w:i w:val="0"/>
        </w:rPr>
        <w:t>corpusculi.</w:t>
      </w:r>
      <w:r>
        <w:rPr>
          <w:b w:val="0"/>
          <w:i w:val="0"/>
        </w:rPr>
        <w:t xml:space="preserve"> </w:t>
      </w:r>
      <w:hyperlink w:anchor="latin-record-0341">
        <w:r>
          <w:rPr>
            <w:color w:val="000000"/>
          </w:rPr>
          <w:t xml:space="preserve">corpusculum</w:t>
        </w:r>
      </w:hyperlink>
      <w:r>
        <w:rPr>
          <w:b w:val="0"/>
          <w:i w:val="0"/>
        </w:rPr>
        <w:t>.</w:t>
      </w:r>
    </w:p>
    <w:p>
      <w:pPr>
        <w:widowControl/>
      </w:pPr>
      <w:r>
        <w:rPr>
          <w:b/>
          <w:i w:val="0"/>
        </w:rPr>
        <w:t>corpusculo.</w:t>
      </w:r>
      <w:r>
        <w:rPr>
          <w:b w:val="0"/>
          <w:i w:val="0"/>
        </w:rPr>
        <w:t xml:space="preserve"> </w:t>
      </w:r>
      <w:hyperlink w:anchor="latin-record-0341">
        <w:r>
          <w:rPr>
            <w:color w:val="000000"/>
          </w:rPr>
          <w:t xml:space="preserve">corpusculum</w:t>
        </w:r>
      </w:hyperlink>
      <w:r>
        <w:rPr>
          <w:b w:val="0"/>
          <w:i w:val="0"/>
        </w:rPr>
        <w:t>.</w:t>
      </w:r>
    </w:p>
    <w:p>
      <w:pPr>
        <w:widowControl/>
      </w:pPr>
      <w:r>
        <w:rPr>
          <w:b/>
          <w:i w:val="0"/>
        </w:rPr>
        <w:t>corpusculum.</w:t>
      </w:r>
      <w:r>
        <w:rPr>
          <w:b w:val="0"/>
          <w:i w:val="0"/>
        </w:rPr>
        <w:t xml:space="preserve"> </w:t>
      </w:r>
      <w:hyperlink w:anchor="latin-record-0341">
        <w:r>
          <w:rPr>
            <w:color w:val="000000"/>
          </w:rPr>
          <w:t xml:space="preserve">corpusculum</w:t>
        </w:r>
      </w:hyperlink>
      <w:r>
        <w:rPr>
          <w:b w:val="0"/>
          <w:i w:val="0"/>
        </w:rPr>
        <w:t xml:space="preserve">; </w:t>
      </w:r>
      <w:hyperlink w:anchor="latin-record-1228">
        <w:r>
          <w:rPr>
            <w:color w:val="000000"/>
          </w:rPr>
          <w:t xml:space="preserve">spiritus / corpusculum</w:t>
        </w:r>
      </w:hyperlink>
      <w:r>
        <w:rPr>
          <w:b w:val="0"/>
          <w:i w:val="0"/>
        </w:rPr>
        <w:t>.</w:t>
      </w:r>
    </w:p>
    <w:p>
      <w:pPr>
        <w:widowControl/>
      </w:pPr>
      <w:r>
        <w:rPr>
          <w:b/>
          <w:i w:val="0"/>
        </w:rPr>
        <w:t>corrumpetur.</w:t>
      </w:r>
      <w:r>
        <w:rPr>
          <w:b w:val="0"/>
          <w:i w:val="0"/>
        </w:rPr>
        <w:t xml:space="preserve"> </w:t>
      </w:r>
      <w:hyperlink w:anchor="latin-record-0342">
        <w:r>
          <w:rPr>
            <w:color w:val="000000"/>
          </w:rPr>
          <w:t xml:space="preserve">corrumpere / interire / perdere</w:t>
        </w:r>
      </w:hyperlink>
      <w:r>
        <w:rPr>
          <w:b w:val="0"/>
          <w:i w:val="0"/>
        </w:rPr>
        <w:t>.</w:t>
      </w:r>
    </w:p>
    <w:p>
      <w:pPr>
        <w:widowControl/>
      </w:pPr>
      <w:r>
        <w:rPr>
          <w:b/>
          <w:i w:val="0"/>
        </w:rPr>
        <w:t>corrumpi.</w:t>
      </w:r>
      <w:r>
        <w:rPr>
          <w:b w:val="0"/>
          <w:i w:val="0"/>
        </w:rPr>
        <w:t xml:space="preserve"> </w:t>
      </w:r>
      <w:hyperlink w:anchor="latin-record-0342">
        <w:r>
          <w:rPr>
            <w:color w:val="000000"/>
          </w:rPr>
          <w:t xml:space="preserve">corrumpere / interire / perdere</w:t>
        </w:r>
      </w:hyperlink>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corrumpit.</w:t>
      </w:r>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corrumpitur.</w:t>
      </w:r>
      <w:r>
        <w:rPr>
          <w:b w:val="0"/>
          <w:i w:val="0"/>
        </w:rPr>
        <w:t xml:space="preserve"> </w:t>
      </w:r>
      <w:hyperlink w:anchor="latin-record-0342">
        <w:r>
          <w:rPr>
            <w:color w:val="000000"/>
          </w:rPr>
          <w:t xml:space="preserve">corrumpere / interire / perdere</w:t>
        </w:r>
      </w:hyperlink>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corruptibile.</w:t>
      </w:r>
      <w:r>
        <w:rPr>
          <w:b w:val="0"/>
          <w:i w:val="0"/>
        </w:rPr>
        <w:t xml:space="preserve"> </w:t>
      </w:r>
      <w:hyperlink w:anchor="latin-record-0801">
        <w:r>
          <w:rPr>
            <w:color w:val="000000"/>
          </w:rPr>
          <w:t xml:space="preserve">mortalis / corruptibilis</w:t>
        </w:r>
      </w:hyperlink>
      <w:r>
        <w:rPr>
          <w:b w:val="0"/>
          <w:i w:val="0"/>
        </w:rPr>
        <w:t>.</w:t>
      </w:r>
    </w:p>
    <w:p>
      <w:pPr>
        <w:widowControl/>
      </w:pPr>
      <w:r>
        <w:rPr>
          <w:b/>
          <w:i w:val="0"/>
        </w:rPr>
        <w:t>corruptibilem.</w:t>
      </w:r>
      <w:r>
        <w:rPr>
          <w:b w:val="0"/>
          <w:i w:val="0"/>
        </w:rPr>
        <w:t xml:space="preserve"> </w:t>
      </w:r>
      <w:hyperlink w:anchor="latin-record-0801">
        <w:r>
          <w:rPr>
            <w:color w:val="000000"/>
          </w:rPr>
          <w:t xml:space="preserve">mortalis / corruptibilis</w:t>
        </w:r>
      </w:hyperlink>
      <w:r>
        <w:rPr>
          <w:b w:val="0"/>
          <w:i w:val="0"/>
        </w:rPr>
        <w:t>.</w:t>
      </w:r>
    </w:p>
    <w:p>
      <w:pPr>
        <w:widowControl/>
      </w:pPr>
      <w:r>
        <w:rPr>
          <w:b/>
          <w:i w:val="0"/>
        </w:rPr>
        <w:t>corruptibilia.</w:t>
      </w:r>
      <w:r>
        <w:rPr>
          <w:b w:val="0"/>
          <w:i w:val="0"/>
        </w:rPr>
        <w:t xml:space="preserve"> </w:t>
      </w:r>
      <w:hyperlink w:anchor="latin-record-0801">
        <w:r>
          <w:rPr>
            <w:color w:val="000000"/>
          </w:rPr>
          <w:t xml:space="preserve">mortalis / corruptibilis</w:t>
        </w:r>
      </w:hyperlink>
      <w:r>
        <w:rPr>
          <w:b w:val="0"/>
          <w:i w:val="0"/>
        </w:rPr>
        <w:t>.</w:t>
      </w:r>
    </w:p>
    <w:p>
      <w:pPr>
        <w:widowControl/>
      </w:pPr>
      <w:r>
        <w:rPr>
          <w:b/>
          <w:i w:val="0"/>
        </w:rPr>
        <w:t>corruptibilis.</w:t>
      </w:r>
      <w:r>
        <w:rPr>
          <w:b w:val="0"/>
          <w:i w:val="0"/>
        </w:rPr>
        <w:t xml:space="preserve"> </w:t>
      </w:r>
      <w:hyperlink w:anchor="latin-record-0801">
        <w:r>
          <w:rPr>
            <w:color w:val="000000"/>
          </w:rPr>
          <w:t xml:space="preserve">mortalis / corruptibilis</w:t>
        </w:r>
      </w:hyperlink>
      <w:r>
        <w:rPr>
          <w:b w:val="0"/>
          <w:i w:val="0"/>
        </w:rPr>
        <w:t>.</w:t>
      </w:r>
    </w:p>
    <w:p>
      <w:pPr>
        <w:widowControl/>
      </w:pPr>
      <w:r>
        <w:rPr>
          <w:b/>
          <w:i w:val="0"/>
        </w:rPr>
        <w:t>corruptio.</w:t>
      </w:r>
      <w:r>
        <w:rPr>
          <w:b w:val="0"/>
          <w:i w:val="0"/>
        </w:rPr>
        <w:t xml:space="preserve"> </w:t>
      </w:r>
      <w:hyperlink w:anchor="latin-record-0344">
        <w:r>
          <w:rPr>
            <w:color w:val="000000"/>
          </w:rPr>
          <w:t xml:space="preserve">corruptio</w:t>
        </w:r>
      </w:hyperlink>
      <w:r>
        <w:rPr>
          <w:b w:val="0"/>
          <w:i w:val="0"/>
        </w:rPr>
        <w:t>.</w:t>
      </w:r>
    </w:p>
    <w:p>
      <w:pPr>
        <w:widowControl/>
      </w:pPr>
      <w:r>
        <w:rPr>
          <w:b/>
          <w:i w:val="0"/>
        </w:rPr>
        <w:t>corruptione.</w:t>
      </w:r>
      <w:r>
        <w:rPr>
          <w:b w:val="0"/>
          <w:i w:val="0"/>
        </w:rPr>
        <w:t xml:space="preserve"> </w:t>
      </w:r>
      <w:hyperlink w:anchor="latin-record-0344">
        <w:r>
          <w:rPr>
            <w:color w:val="000000"/>
          </w:rPr>
          <w:t xml:space="preserve">corruptio</w:t>
        </w:r>
      </w:hyperlink>
      <w:r>
        <w:rPr>
          <w:b w:val="0"/>
          <w:i w:val="0"/>
        </w:rPr>
        <w:t>.</w:t>
      </w:r>
    </w:p>
    <w:p>
      <w:pPr>
        <w:widowControl/>
      </w:pPr>
      <w:r>
        <w:rPr>
          <w:b/>
          <w:i w:val="0"/>
        </w:rPr>
        <w:t>corruptionem.</w:t>
      </w:r>
      <w:r>
        <w:rPr>
          <w:b w:val="0"/>
          <w:i w:val="0"/>
        </w:rPr>
        <w:t xml:space="preserve"> </w:t>
      </w:r>
      <w:hyperlink w:anchor="latin-record-0344">
        <w:r>
          <w:rPr>
            <w:color w:val="000000"/>
          </w:rPr>
          <w:t xml:space="preserve">corruptio</w:t>
        </w:r>
      </w:hyperlink>
      <w:r>
        <w:rPr>
          <w:b w:val="0"/>
          <w:i w:val="0"/>
        </w:rPr>
        <w:t>.</w:t>
      </w:r>
    </w:p>
    <w:p>
      <w:pPr>
        <w:widowControl/>
      </w:pPr>
      <w:r>
        <w:rPr>
          <w:b/>
          <w:i w:val="0"/>
        </w:rPr>
        <w:t>corruptrix.</w:t>
      </w:r>
      <w:r>
        <w:rPr>
          <w:b w:val="0"/>
          <w:i w:val="0"/>
        </w:rPr>
        <w:t xml:space="preserve"> </w:t>
      </w:r>
      <w:hyperlink w:anchor="latin-record-0421">
        <w:r>
          <w:rPr>
            <w:color w:val="000000"/>
          </w:rPr>
          <w:t xml:space="preserve">effectrix / conservatrix / corruptrix</w:t>
        </w:r>
      </w:hyperlink>
      <w:r>
        <w:rPr>
          <w:b w:val="0"/>
          <w:i w:val="0"/>
        </w:rPr>
        <w:t>.</w:t>
      </w:r>
    </w:p>
    <w:p>
      <w:pPr>
        <w:widowControl/>
      </w:pPr>
      <w:r>
        <w:rPr>
          <w:b/>
          <w:i w:val="0"/>
        </w:rPr>
        <w:t>cotidianae.</w:t>
      </w:r>
      <w:r>
        <w:rPr>
          <w:b w:val="0"/>
          <w:i w:val="0"/>
        </w:rPr>
        <w:t xml:space="preserve"> </w:t>
      </w:r>
      <w:hyperlink w:anchor="latin-record-1105">
        <w:r>
          <w:rPr>
            <w:color w:val="000000"/>
          </w:rPr>
          <w:t xml:space="preserve">renovare / renovatio</w:t>
        </w:r>
      </w:hyperlink>
      <w:r>
        <w:rPr>
          <w:b w:val="0"/>
          <w:i w:val="0"/>
        </w:rPr>
        <w:t>.</w:t>
      </w:r>
    </w:p>
    <w:p>
      <w:pPr>
        <w:widowControl/>
      </w:pPr>
      <w:r>
        <w:rPr>
          <w:b/>
          <w:i w:val="0"/>
        </w:rPr>
        <w:t>cras.</w:t>
      </w:r>
      <w:r>
        <w:rPr>
          <w:b w:val="0"/>
          <w:i w:val="0"/>
        </w:rPr>
        <w:t xml:space="preserve"> </w:t>
      </w:r>
      <w:hyperlink w:anchor="latin-record-0564">
        <w:r>
          <w:rPr>
            <w:color w:val="000000"/>
          </w:rPr>
          <w:t xml:space="preserve">hodie / cras</w:t>
        </w:r>
      </w:hyperlink>
      <w:r>
        <w:rPr>
          <w:b w:val="0"/>
          <w:i w:val="0"/>
        </w:rPr>
        <w:t>.</w:t>
      </w:r>
    </w:p>
    <w:p>
      <w:pPr>
        <w:widowControl/>
      </w:pPr>
      <w:r>
        <w:rPr>
          <w:b/>
          <w:i w:val="0"/>
        </w:rPr>
        <w:t>crassa.</w:t>
      </w:r>
      <w:r>
        <w:rPr>
          <w:b w:val="0"/>
          <w:i w:val="0"/>
        </w:rPr>
        <w:t xml:space="preserve"> </w:t>
      </w:r>
      <w:hyperlink w:anchor="latin-record-0345">
        <w:r>
          <w:rPr>
            <w:color w:val="000000"/>
          </w:rPr>
          <w:t xml:space="preserve">crassus; subtilis; rarus</w:t>
        </w:r>
      </w:hyperlink>
      <w:r>
        <w:rPr>
          <w:b w:val="0"/>
          <w:i w:val="0"/>
        </w:rPr>
        <w:t>.</w:t>
      </w:r>
    </w:p>
    <w:p>
      <w:pPr>
        <w:widowControl/>
      </w:pPr>
      <w:r>
        <w:rPr>
          <w:b/>
          <w:i w:val="0"/>
        </w:rPr>
        <w:t>crassiori.</w:t>
      </w:r>
      <w:r>
        <w:rPr>
          <w:b w:val="0"/>
          <w:i w:val="0"/>
        </w:rPr>
        <w:t xml:space="preserve"> </w:t>
      </w:r>
      <w:hyperlink w:anchor="latin-record-1285">
        <w:r>
          <w:rPr>
            <w:color w:val="000000"/>
          </w:rPr>
          <w:t xml:space="preserve">tenuis; crassus</w:t>
        </w:r>
      </w:hyperlink>
      <w:r>
        <w:rPr>
          <w:b w:val="0"/>
          <w:i w:val="0"/>
        </w:rPr>
        <w:t>.</w:t>
      </w:r>
    </w:p>
    <w:p>
      <w:pPr>
        <w:widowControl/>
      </w:pPr>
      <w:r>
        <w:rPr>
          <w:b/>
          <w:i w:val="0"/>
        </w:rPr>
        <w:t>crasso.</w:t>
      </w:r>
      <w:r>
        <w:rPr>
          <w:b w:val="0"/>
          <w:i w:val="0"/>
        </w:rPr>
        <w:t xml:space="preserve"> </w:t>
      </w:r>
      <w:hyperlink w:anchor="latin-record-1031">
        <w:r>
          <w:rPr>
            <w:color w:val="000000"/>
          </w:rPr>
          <w:t xml:space="preserve">purus / crassus / terrenus</w:t>
        </w:r>
      </w:hyperlink>
      <w:r>
        <w:rPr>
          <w:b w:val="0"/>
          <w:i w:val="0"/>
        </w:rPr>
        <w:t>.</w:t>
      </w:r>
    </w:p>
    <w:p>
      <w:pPr>
        <w:widowControl/>
      </w:pPr>
      <w:r>
        <w:rPr>
          <w:b/>
          <w:i w:val="0"/>
        </w:rPr>
        <w:t>crassum.</w:t>
      </w:r>
      <w:r>
        <w:rPr>
          <w:b w:val="0"/>
          <w:i w:val="0"/>
        </w:rPr>
        <w:t xml:space="preserve"> </w:t>
      </w:r>
      <w:hyperlink w:anchor="latin-record-0345">
        <w:r>
          <w:rPr>
            <w:color w:val="000000"/>
          </w:rPr>
          <w:t xml:space="preserve">crassus; subtilis; rarus</w:t>
        </w:r>
      </w:hyperlink>
      <w:r>
        <w:rPr>
          <w:b w:val="0"/>
          <w:i w:val="0"/>
        </w:rPr>
        <w:t>.</w:t>
      </w:r>
    </w:p>
    <w:p>
      <w:pPr>
        <w:widowControl/>
      </w:pPr>
      <w:r>
        <w:rPr>
          <w:b/>
          <w:i w:val="0"/>
        </w:rPr>
        <w:t>creant.</w:t>
      </w:r>
      <w:r>
        <w:rPr>
          <w:b w:val="0"/>
          <w:i w:val="0"/>
        </w:rPr>
        <w:t xml:space="preserve"> </w:t>
      </w:r>
      <w:hyperlink w:anchor="latin-record-0346">
        <w:r>
          <w:rPr>
            <w:color w:val="000000"/>
          </w:rPr>
          <w:t xml:space="preserve">creare / creatio</w:t>
        </w:r>
      </w:hyperlink>
      <w:r>
        <w:rPr>
          <w:b w:val="0"/>
          <w:i w:val="0"/>
        </w:rPr>
        <w:t>.</w:t>
      </w:r>
    </w:p>
    <w:p>
      <w:pPr>
        <w:widowControl/>
      </w:pPr>
      <w:r>
        <w:rPr>
          <w:b/>
          <w:i w:val="0"/>
        </w:rPr>
        <w:t>creantur.</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creata.</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creatio.</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Creatio.</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creatione.</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creationem.</w:t>
      </w:r>
      <w:r>
        <w:rPr>
          <w:b w:val="0"/>
          <w:i w:val="0"/>
        </w:rPr>
        <w:t xml:space="preserve"> </w:t>
      </w:r>
      <w:hyperlink w:anchor="latin-record-0346">
        <w:r>
          <w:rPr>
            <w:color w:val="000000"/>
          </w:rPr>
          <w:t xml:space="preserve">creare / creatio</w:t>
        </w:r>
      </w:hyperlink>
      <w:r>
        <w:rPr>
          <w:b w:val="0"/>
          <w:i w:val="0"/>
        </w:rPr>
        <w:t xml:space="preserve">; </w:t>
      </w:r>
      <w:hyperlink w:anchor="latin-record-0347">
        <w:r>
          <w:rPr>
            <w:color w:val="000000"/>
          </w:rPr>
          <w:t xml:space="preserve">creatio / interitus</w:t>
        </w:r>
      </w:hyperlink>
      <w:r>
        <w:rPr>
          <w:b w:val="0"/>
          <w:i w:val="0"/>
        </w:rPr>
        <w:t>.</w:t>
      </w:r>
    </w:p>
    <w:p>
      <w:pPr>
        <w:widowControl/>
      </w:pPr>
      <w:r>
        <w:rPr>
          <w:b/>
          <w:i w:val="0"/>
        </w:rPr>
        <w:t>creationis.</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creatur.</w:t>
      </w:r>
      <w:r>
        <w:rPr>
          <w:b w:val="0"/>
          <w:i w:val="0"/>
        </w:rPr>
        <w:t xml:space="preserve"> </w:t>
      </w:r>
      <w:hyperlink w:anchor="latin-record-0346">
        <w:r>
          <w:rPr>
            <w:color w:val="000000"/>
          </w:rPr>
          <w:t xml:space="preserve">creare / creatio</w:t>
        </w:r>
      </w:hyperlink>
      <w:r>
        <w:rPr>
          <w:b w:val="0"/>
          <w:i w:val="0"/>
        </w:rPr>
        <w:t>.</w:t>
      </w:r>
    </w:p>
    <w:p>
      <w:pPr>
        <w:widowControl/>
      </w:pPr>
      <w:r>
        <w:rPr>
          <w:b/>
          <w:i w:val="0"/>
        </w:rPr>
        <w:t>creatura.</w:t>
      </w:r>
      <w:r>
        <w:rPr>
          <w:b w:val="0"/>
          <w:i w:val="0"/>
        </w:rPr>
        <w:t xml:space="preserve"> </w:t>
      </w:r>
      <w:hyperlink w:anchor="latin-record-0348">
        <w:r>
          <w:rPr>
            <w:color w:val="000000"/>
          </w:rPr>
          <w:t xml:space="preserve">creatura</w:t>
        </w:r>
      </w:hyperlink>
      <w:r>
        <w:rPr>
          <w:b w:val="0"/>
          <w:i w:val="0"/>
        </w:rPr>
        <w:t>.</w:t>
      </w:r>
    </w:p>
    <w:p>
      <w:pPr>
        <w:widowControl/>
      </w:pPr>
      <w:r>
        <w:rPr>
          <w:b/>
          <w:i w:val="0"/>
        </w:rPr>
        <w:t>creaturae.</w:t>
      </w:r>
      <w:r>
        <w:rPr>
          <w:b w:val="0"/>
          <w:i w:val="0"/>
        </w:rPr>
        <w:t xml:space="preserve"> </w:t>
      </w:r>
      <w:hyperlink w:anchor="latin-record-0348">
        <w:r>
          <w:rPr>
            <w:color w:val="000000"/>
          </w:rPr>
          <w:t xml:space="preserve">creatura</w:t>
        </w:r>
      </w:hyperlink>
      <w:r>
        <w:rPr>
          <w:b w:val="0"/>
          <w:i w:val="0"/>
        </w:rPr>
        <w:t>.</w:t>
      </w:r>
    </w:p>
    <w:p>
      <w:pPr>
        <w:widowControl/>
      </w:pPr>
      <w:r>
        <w:rPr>
          <w:b/>
          <w:i w:val="0"/>
        </w:rPr>
        <w:t>creaturam.</w:t>
      </w:r>
      <w:r>
        <w:rPr>
          <w:b w:val="0"/>
          <w:i w:val="0"/>
        </w:rPr>
        <w:t xml:space="preserve"> </w:t>
      </w:r>
      <w:hyperlink w:anchor="latin-record-0348">
        <w:r>
          <w:rPr>
            <w:color w:val="000000"/>
          </w:rPr>
          <w:t xml:space="preserve">creatura</w:t>
        </w:r>
      </w:hyperlink>
      <w:r>
        <w:rPr>
          <w:b w:val="0"/>
          <w:i w:val="0"/>
        </w:rPr>
        <w:t>.</w:t>
      </w:r>
    </w:p>
    <w:p>
      <w:pPr>
        <w:widowControl/>
      </w:pPr>
      <w:r>
        <w:rPr>
          <w:b/>
          <w:i w:val="0"/>
        </w:rPr>
        <w:t>creavit.</w:t>
      </w:r>
      <w:r>
        <w:rPr>
          <w:b w:val="0"/>
          <w:i w:val="0"/>
        </w:rPr>
        <w:t xml:space="preserve"> </w:t>
      </w:r>
      <w:hyperlink w:anchor="latin-record-0346">
        <w:r>
          <w:rPr>
            <w:color w:val="000000"/>
          </w:rPr>
          <w:t xml:space="preserve">creare / creatio</w:t>
        </w:r>
      </w:hyperlink>
      <w:r>
        <w:rPr>
          <w:b w:val="0"/>
          <w:i w:val="0"/>
        </w:rPr>
        <w:t>.</w:t>
      </w:r>
    </w:p>
    <w:p>
      <w:pPr>
        <w:widowControl/>
      </w:pPr>
      <w:r>
        <w:rPr>
          <w:b/>
          <w:i w:val="0"/>
        </w:rPr>
        <w:t>crescente.</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Crescente.</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crescet.</w:t>
      </w:r>
      <w:r>
        <w:rPr>
          <w:b w:val="0"/>
          <w:i w:val="0"/>
        </w:rPr>
        <w:t xml:space="preserve"> </w:t>
      </w:r>
      <w:hyperlink w:anchor="latin-record-0349">
        <w:r>
          <w:rPr>
            <w:color w:val="000000"/>
          </w:rPr>
          <w:t xml:space="preserve">crescere; decrescere; adolescere</w:t>
        </w:r>
      </w:hyperlink>
      <w:r>
        <w:rPr>
          <w:b w:val="0"/>
          <w:i w:val="0"/>
        </w:rPr>
        <w:t>.</w:t>
      </w:r>
    </w:p>
    <w:p>
      <w:pPr>
        <w:widowControl/>
      </w:pPr>
      <w:r>
        <w:rPr>
          <w:b/>
          <w:i w:val="0"/>
        </w:rPr>
        <w:t>crescimus.</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crescit.</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crescunt.</w:t>
      </w:r>
      <w:r>
        <w:rPr>
          <w:b w:val="0"/>
          <w:i w:val="0"/>
        </w:rPr>
        <w:t xml:space="preserve"> </w:t>
      </w:r>
      <w:hyperlink w:anchor="latin-record-0750">
        <w:r>
          <w:rPr>
            <w:color w:val="000000"/>
          </w:rPr>
          <w:t xml:space="preserve">magnitudo; crescere; decrescere</w:t>
        </w:r>
      </w:hyperlink>
      <w:r>
        <w:rPr>
          <w:b w:val="0"/>
          <w:i w:val="0"/>
        </w:rPr>
        <w:t>.</w:t>
      </w:r>
    </w:p>
    <w:p>
      <w:pPr>
        <w:widowControl/>
      </w:pPr>
      <w:r>
        <w:rPr>
          <w:b/>
          <w:i w:val="0"/>
        </w:rPr>
        <w:t>crinita.</w:t>
      </w:r>
      <w:r>
        <w:rPr>
          <w:b w:val="0"/>
          <w:i w:val="0"/>
        </w:rPr>
        <w:t xml:space="preserve"> </w:t>
      </w:r>
      <w:hyperlink w:anchor="latin-record-0350">
        <w:r>
          <w:rPr>
            <w:color w:val="000000"/>
          </w:rPr>
          <w:t xml:space="preserve">crinita</w:t>
        </w:r>
      </w:hyperlink>
      <w:r>
        <w:rPr>
          <w:b w:val="0"/>
          <w:i w:val="0"/>
        </w:rPr>
        <w:t>.</w:t>
      </w:r>
    </w:p>
    <w:p>
      <w:pPr>
        <w:widowControl/>
      </w:pPr>
      <w:r>
        <w:rPr>
          <w:b/>
          <w:i w:val="0"/>
        </w:rPr>
        <w:t>crinitae.</w:t>
      </w:r>
      <w:r>
        <w:rPr>
          <w:b w:val="0"/>
          <w:i w:val="0"/>
        </w:rPr>
        <w:t xml:space="preserve"> </w:t>
      </w:r>
      <w:hyperlink w:anchor="latin-record-0350">
        <w:r>
          <w:rPr>
            <w:color w:val="000000"/>
          </w:rPr>
          <w:t xml:space="preserve">crinita</w:t>
        </w:r>
      </w:hyperlink>
      <w:r>
        <w:rPr>
          <w:b w:val="0"/>
          <w:i w:val="0"/>
        </w:rPr>
        <w:t>.</w:t>
      </w:r>
    </w:p>
    <w:p>
      <w:pPr>
        <w:widowControl/>
      </w:pPr>
      <w:r>
        <w:rPr>
          <w:b/>
          <w:i w:val="0"/>
        </w:rPr>
        <w:t>crinitis.</w:t>
      </w:r>
      <w:r>
        <w:rPr>
          <w:b w:val="0"/>
          <w:i w:val="0"/>
        </w:rPr>
        <w:t xml:space="preserve"> </w:t>
      </w:r>
      <w:hyperlink w:anchor="latin-record-0350">
        <w:r>
          <w:rPr>
            <w:color w:val="000000"/>
          </w:rPr>
          <w:t xml:space="preserve">crinita</w:t>
        </w:r>
      </w:hyperlink>
      <w:r>
        <w:rPr>
          <w:b w:val="0"/>
          <w:i w:val="0"/>
        </w:rPr>
        <w:t>.</w:t>
      </w:r>
    </w:p>
    <w:p>
      <w:pPr>
        <w:widowControl/>
      </w:pPr>
      <w:r>
        <w:rPr>
          <w:b/>
          <w:i w:val="0"/>
        </w:rPr>
        <w:t>Critias.</w:t>
      </w:r>
      <w:r>
        <w:rPr>
          <w:b w:val="0"/>
          <w:i w:val="0"/>
        </w:rPr>
        <w:t xml:space="preserve"> </w:t>
      </w:r>
      <w:hyperlink w:anchor="latin-record-0086">
        <w:r>
          <w:rPr>
            <w:color w:val="000000"/>
          </w:rPr>
          <w:t xml:space="preserve">Anaximenes; Diogenes; Critias</w:t>
        </w:r>
      </w:hyperlink>
      <w:r>
        <w:rPr>
          <w:b w:val="0"/>
          <w:i w:val="0"/>
        </w:rPr>
        <w:t>.</w:t>
      </w:r>
    </w:p>
    <w:p>
      <w:pPr>
        <w:widowControl/>
      </w:pPr>
      <w:r>
        <w:rPr>
          <w:b/>
          <w:i w:val="0"/>
        </w:rPr>
        <w:t>Critolausque.</w:t>
      </w:r>
      <w:r>
        <w:rPr>
          <w:b w:val="0"/>
          <w:i w:val="0"/>
        </w:rPr>
        <w:t xml:space="preserve"> </w:t>
      </w:r>
      <w:hyperlink w:anchor="latin-record-1393">
        <w:r>
          <w:rPr>
            <w:color w:val="000000"/>
          </w:rPr>
          <w:t xml:space="preserve">Xenophanes; Asclepiades; Aristoxenus; Critolaus</w:t>
        </w:r>
      </w:hyperlink>
      <w:r>
        <w:rPr>
          <w:b w:val="0"/>
          <w:i w:val="0"/>
        </w:rPr>
        <w:t>.</w:t>
      </w:r>
    </w:p>
    <w:p>
      <w:pPr>
        <w:widowControl/>
      </w:pPr>
      <w:r>
        <w:rPr>
          <w:b/>
          <w:i w:val="0"/>
        </w:rPr>
        <w:t>cruciatum.</w:t>
      </w:r>
      <w:r>
        <w:rPr>
          <w:b w:val="0"/>
          <w:i w:val="0"/>
        </w:rPr>
        <w:t xml:space="preserve"> </w:t>
      </w:r>
      <w:hyperlink w:anchor="latin-record-0351">
        <w:r>
          <w:rPr>
            <w:color w:val="000000"/>
          </w:rPr>
          <w:t xml:space="preserve">cruciatus / molestia / persensio</w:t>
        </w:r>
      </w:hyperlink>
      <w:r>
        <w:rPr>
          <w:b w:val="0"/>
          <w:i w:val="0"/>
        </w:rPr>
        <w:t>.</w:t>
      </w:r>
    </w:p>
    <w:p>
      <w:pPr>
        <w:widowControl/>
      </w:pPr>
      <w:r>
        <w:rPr>
          <w:b/>
          <w:i w:val="0"/>
        </w:rPr>
        <w:t>cruciatus.</w:t>
      </w:r>
      <w:r>
        <w:rPr>
          <w:b w:val="0"/>
          <w:i w:val="0"/>
        </w:rPr>
        <w:t xml:space="preserve"> </w:t>
      </w:r>
      <w:hyperlink w:anchor="latin-record-0351">
        <w:r>
          <w:rPr>
            <w:color w:val="000000"/>
          </w:rPr>
          <w:t xml:space="preserve">cruciatus / molestia / persensio</w:t>
        </w:r>
      </w:hyperlink>
      <w:r>
        <w:rPr>
          <w:b w:val="0"/>
          <w:i w:val="0"/>
        </w:rPr>
        <w:t>.</w:t>
      </w:r>
    </w:p>
    <w:p>
      <w:pPr>
        <w:widowControl/>
      </w:pPr>
      <w:r>
        <w:rPr>
          <w:b/>
          <w:i w:val="0"/>
        </w:rPr>
        <w:t>crure.</w:t>
      </w:r>
      <w:r>
        <w:rPr>
          <w:b w:val="0"/>
          <w:i w:val="0"/>
        </w:rPr>
        <w:t xml:space="preserve"> </w:t>
      </w:r>
      <w:hyperlink w:anchor="latin-record-0352">
        <w:r>
          <w:rPr>
            <w:color w:val="000000"/>
          </w:rPr>
          <w:t xml:space="preserve">crus / femur / pectus / collum</w:t>
        </w:r>
      </w:hyperlink>
      <w:r>
        <w:rPr>
          <w:b w:val="0"/>
          <w:i w:val="0"/>
        </w:rPr>
        <w:t>.</w:t>
      </w:r>
    </w:p>
    <w:p>
      <w:pPr>
        <w:widowControl/>
      </w:pPr>
      <w:r>
        <w:rPr>
          <w:b/>
          <w:i w:val="0"/>
        </w:rPr>
        <w:t>cumulus.</w:t>
      </w:r>
      <w:r>
        <w:rPr>
          <w:b w:val="0"/>
          <w:i w:val="0"/>
        </w:rPr>
        <w:t xml:space="preserve"> </w:t>
      </w:r>
      <w:hyperlink w:anchor="latin-record-0353">
        <w:r>
          <w:rPr>
            <w:color w:val="000000"/>
          </w:rPr>
          <w:t xml:space="preserve">cumulus / continuum</w:t>
        </w:r>
      </w:hyperlink>
      <w:r>
        <w:rPr>
          <w:b w:val="0"/>
          <w:i w:val="0"/>
        </w:rPr>
        <w:t xml:space="preserve">; </w:t>
      </w:r>
      <w:hyperlink w:anchor="latin-record-0408">
        <w:r>
          <w:rPr>
            <w:color w:val="000000"/>
          </w:rPr>
          <w:t xml:space="preserve">divitiarum cumulus / imperii amplitudo</w:t>
        </w:r>
      </w:hyperlink>
      <w:r>
        <w:rPr>
          <w:b w:val="0"/>
          <w:i w:val="0"/>
        </w:rPr>
        <w:t>.</w:t>
      </w:r>
    </w:p>
    <w:p>
      <w:pPr>
        <w:widowControl/>
      </w:pPr>
      <w:r>
        <w:rPr>
          <w:b/>
          <w:i w:val="0"/>
        </w:rPr>
        <w:t>cupiat.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cupiditate.</w:t>
      </w:r>
      <w:r>
        <w:rPr>
          <w:b w:val="0"/>
          <w:i w:val="0"/>
        </w:rPr>
        <w:t xml:space="preserve"> </w:t>
      </w:r>
      <w:hyperlink w:anchor="latin-record-0157">
        <w:r>
          <w:rPr>
            <w:color w:val="000000"/>
          </w:rPr>
          <w:t xml:space="preserve">aviditas / cupiditas</w:t>
        </w:r>
      </w:hyperlink>
      <w:r>
        <w:rPr>
          <w:b w:val="0"/>
          <w:i w:val="0"/>
        </w:rPr>
        <w:t>.</w:t>
      </w:r>
    </w:p>
    <w:p>
      <w:pPr>
        <w:widowControl/>
      </w:pPr>
      <w:r>
        <w:rPr>
          <w:b/>
          <w:i w:val="0"/>
        </w:rPr>
        <w:t>cupiditatem.</w:t>
      </w:r>
      <w:r>
        <w:rPr>
          <w:b w:val="0"/>
          <w:i w:val="0"/>
        </w:rPr>
        <w:t xml:space="preserve"> </w:t>
      </w:r>
      <w:hyperlink w:anchor="latin-record-0354">
        <w:r>
          <w:rPr>
            <w:color w:val="000000"/>
          </w:rPr>
          <w:t xml:space="preserve">cupiditas</w:t>
        </w:r>
      </w:hyperlink>
      <w:r>
        <w:rPr>
          <w:b w:val="0"/>
          <w:i w:val="0"/>
        </w:rPr>
        <w:t>.</w:t>
      </w:r>
    </w:p>
    <w:p>
      <w:pPr>
        <w:widowControl/>
      </w:pPr>
      <w:r>
        <w:rPr>
          <w:b/>
          <w:i w:val="0"/>
        </w:rPr>
        <w:t>cupiditates.</w:t>
      </w:r>
      <w:r>
        <w:rPr>
          <w:b w:val="0"/>
          <w:i w:val="0"/>
        </w:rPr>
        <w:t xml:space="preserve"> </w:t>
      </w:r>
      <w:hyperlink w:anchor="latin-record-0354">
        <w:r>
          <w:rPr>
            <w:color w:val="000000"/>
          </w:rPr>
          <w:t xml:space="preserve">cupiditas</w:t>
        </w:r>
      </w:hyperlink>
      <w:r>
        <w:rPr>
          <w:b w:val="0"/>
          <w:i w:val="0"/>
        </w:rPr>
        <w:t xml:space="preserve">; </w:t>
      </w:r>
      <w:hyperlink w:anchor="latin-record-1276">
        <w:r>
          <w:rPr>
            <w:color w:val="000000"/>
          </w:rPr>
          <w:t xml:space="preserve">temperantia / libido</w:t>
        </w:r>
      </w:hyperlink>
      <w:r>
        <w:rPr>
          <w:b w:val="0"/>
          <w:i w:val="0"/>
        </w:rPr>
        <w:t>.</w:t>
      </w:r>
    </w:p>
    <w:p>
      <w:pPr>
        <w:widowControl/>
      </w:pPr>
      <w:r>
        <w:rPr>
          <w:b/>
          <w:i w:val="0"/>
        </w:rPr>
        <w:t>cupiditatibus.</w:t>
      </w:r>
      <w:r>
        <w:rPr>
          <w:b w:val="0"/>
          <w:i w:val="0"/>
        </w:rPr>
        <w:t xml:space="preserve"> </w:t>
      </w:r>
      <w:hyperlink w:anchor="latin-record-0354">
        <w:r>
          <w:rPr>
            <w:color w:val="000000"/>
          </w:rPr>
          <w:t xml:space="preserve">cupiditas</w:t>
        </w:r>
      </w:hyperlink>
      <w:r>
        <w:rPr>
          <w:b w:val="0"/>
          <w:i w:val="0"/>
        </w:rPr>
        <w:t>.</w:t>
      </w:r>
    </w:p>
    <w:p>
      <w:pPr>
        <w:widowControl/>
      </w:pPr>
      <w:r>
        <w:rPr>
          <w:b/>
          <w:i w:val="0"/>
        </w:rPr>
        <w:t>cupiditatis.</w:t>
      </w:r>
      <w:r>
        <w:rPr>
          <w:b w:val="0"/>
          <w:i w:val="0"/>
        </w:rPr>
        <w:t xml:space="preserve"> </w:t>
      </w:r>
      <w:hyperlink w:anchor="latin-record-0354">
        <w:r>
          <w:rPr>
            <w:color w:val="000000"/>
          </w:rPr>
          <w:t xml:space="preserve">cupiditas</w:t>
        </w:r>
      </w:hyperlink>
      <w:r>
        <w:rPr>
          <w:b w:val="0"/>
          <w:i w:val="0"/>
        </w:rPr>
        <w:t>.</w:t>
      </w:r>
    </w:p>
    <w:p>
      <w:pPr>
        <w:widowControl/>
      </w:pPr>
      <w:r>
        <w:rPr>
          <w:b/>
          <w:i w:val="0"/>
        </w:rPr>
        <w:t>cupit.</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cupitque.</w:t>
      </w:r>
      <w:r>
        <w:rPr>
          <w:b w:val="0"/>
          <w:i w:val="0"/>
        </w:rPr>
        <w:t xml:space="preserve"> </w:t>
      </w:r>
      <w:hyperlink w:anchor="latin-record-0109">
        <w:r>
          <w:rPr>
            <w:color w:val="000000"/>
          </w:rPr>
          <w:t xml:space="preserve">appetere / cupere / affectare</w:t>
        </w:r>
      </w:hyperlink>
      <w:r>
        <w:rPr>
          <w:b w:val="0"/>
          <w:i w:val="0"/>
        </w:rPr>
        <w:t>.</w:t>
      </w:r>
    </w:p>
    <w:p>
      <w:pPr>
        <w:widowControl/>
      </w:pPr>
      <w:r>
        <w:rPr>
          <w:b/>
          <w:i w:val="0"/>
        </w:rPr>
        <w:t>curando.</w:t>
      </w:r>
      <w:r>
        <w:rPr>
          <w:b w:val="0"/>
          <w:i w:val="0"/>
        </w:rPr>
        <w:t xml:space="preserve"> </w:t>
      </w:r>
      <w:hyperlink w:anchor="latin-record-1092">
        <w:r>
          <w:rPr>
            <w:color w:val="000000"/>
          </w:rPr>
          <w:t xml:space="preserve">regere / curare</w:t>
        </w:r>
      </w:hyperlink>
      <w:r>
        <w:rPr>
          <w:b w:val="0"/>
          <w:i w:val="0"/>
        </w:rPr>
        <w:t>.</w:t>
      </w:r>
    </w:p>
    <w:p>
      <w:pPr>
        <w:widowControl/>
      </w:pPr>
      <w:r>
        <w:rPr>
          <w:b/>
          <w:i w:val="0"/>
        </w:rPr>
        <w:t>cutem.</w:t>
      </w:r>
      <w:r>
        <w:rPr>
          <w:b w:val="0"/>
          <w:i w:val="0"/>
        </w:rPr>
        <w:t xml:space="preserve"> </w:t>
      </w:r>
      <w:hyperlink w:anchor="latin-record-0769">
        <w:r>
          <w:rPr>
            <w:color w:val="000000"/>
          </w:rPr>
          <w:t xml:space="preserve">medicus / cutis / caro</w:t>
        </w:r>
      </w:hyperlink>
      <w:r>
        <w:rPr>
          <w:b w:val="0"/>
          <w:i w:val="0"/>
        </w:rPr>
        <w:t>.</w:t>
      </w:r>
    </w:p>
    <w:p>
      <w:pPr>
        <w:widowControl/>
      </w:pPr>
      <w:r>
        <w:rPr>
          <w:b/>
          <w:i w:val="0"/>
        </w:rPr>
        <w:t>dabit.</w:t>
      </w:r>
      <w:r>
        <w:rPr>
          <w:b w:val="0"/>
          <w:i w:val="0"/>
        </w:rPr>
        <w:t xml:space="preserve"> </w:t>
      </w:r>
      <w:hyperlink w:anchor="latin-record-0356">
        <w:r>
          <w:rPr>
            <w:color w:val="000000"/>
          </w:rPr>
          <w:t xml:space="preserve">dare / tribuere / praestare</w:t>
        </w:r>
      </w:hyperlink>
      <w:r>
        <w:rPr>
          <w:b w:val="0"/>
          <w:i w:val="0"/>
        </w:rPr>
        <w:t>.</w:t>
      </w:r>
    </w:p>
    <w:p>
      <w:pPr>
        <w:widowControl/>
      </w:pPr>
      <w:r>
        <w:rPr>
          <w:b/>
          <w:i w:val="0"/>
        </w:rPr>
        <w:t>damnantur.</w:t>
      </w:r>
      <w:r>
        <w:rPr>
          <w:b w:val="0"/>
          <w:i w:val="0"/>
        </w:rPr>
        <w:t xml:space="preserve"> </w:t>
      </w:r>
      <w:hyperlink w:anchor="latin-record-0311">
        <w:r>
          <w:rPr>
            <w:color w:val="000000"/>
          </w:rPr>
          <w:t xml:space="preserve">conspirare; damnare; redarguere</w:t>
        </w:r>
      </w:hyperlink>
      <w:r>
        <w:rPr>
          <w:b w:val="0"/>
          <w:i w:val="0"/>
        </w:rPr>
        <w:t>.</w:t>
      </w:r>
    </w:p>
    <w:p>
      <w:pPr>
        <w:widowControl/>
      </w:pPr>
      <w:r>
        <w:rPr>
          <w:b/>
          <w:i w:val="0"/>
        </w:rPr>
        <w:t>dare.</w:t>
      </w:r>
      <w:r>
        <w:rPr>
          <w:b w:val="0"/>
          <w:i w:val="0"/>
        </w:rPr>
        <w:t xml:space="preserve"> </w:t>
      </w:r>
      <w:hyperlink w:anchor="latin-record-0355">
        <w:r>
          <w:rPr>
            <w:color w:val="000000"/>
          </w:rPr>
          <w:t xml:space="preserve">dare / tribuere</w:t>
        </w:r>
      </w:hyperlink>
      <w:r>
        <w:rPr>
          <w:b w:val="0"/>
          <w:i w:val="0"/>
        </w:rPr>
        <w:t>.</w:t>
      </w:r>
    </w:p>
    <w:p>
      <w:pPr>
        <w:widowControl/>
      </w:pPr>
      <w:r>
        <w:rPr>
          <w:b/>
          <w:i w:val="0"/>
        </w:rPr>
        <w:t>dat.</w:t>
      </w:r>
      <w:r>
        <w:rPr>
          <w:b w:val="0"/>
          <w:i w:val="0"/>
        </w:rPr>
        <w:t xml:space="preserve"> </w:t>
      </w:r>
      <w:hyperlink w:anchor="latin-record-0356">
        <w:r>
          <w:rPr>
            <w:color w:val="000000"/>
          </w:rPr>
          <w:t xml:space="preserve">dare / tribuere / praestare</w:t>
        </w:r>
      </w:hyperlink>
      <w:r>
        <w:rPr>
          <w:b w:val="0"/>
          <w:i w:val="0"/>
        </w:rPr>
        <w:t xml:space="preserve">; </w:t>
      </w:r>
      <w:hyperlink w:anchor="latin-record-0358">
        <w:r>
          <w:rPr>
            <w:color w:val="000000"/>
          </w:rPr>
          <w:t xml:space="preserve">dare; tribuere; praestare</w:t>
        </w:r>
      </w:hyperlink>
      <w:r>
        <w:rPr>
          <w:b w:val="0"/>
          <w:i w:val="0"/>
        </w:rPr>
        <w:t>.</w:t>
      </w:r>
    </w:p>
    <w:p>
      <w:pPr>
        <w:widowControl/>
      </w:pPr>
      <w:r>
        <w:rPr>
          <w:b/>
          <w:i w:val="0"/>
        </w:rPr>
        <w:t>datur.</w:t>
      </w:r>
      <w:r>
        <w:rPr>
          <w:b w:val="0"/>
          <w:i w:val="0"/>
        </w:rPr>
        <w:t xml:space="preserve"> </w:t>
      </w:r>
      <w:hyperlink w:anchor="latin-record-0356">
        <w:r>
          <w:rPr>
            <w:color w:val="000000"/>
          </w:rPr>
          <w:t xml:space="preserve">dare / tribuere / praestare</w:t>
        </w:r>
      </w:hyperlink>
      <w:r>
        <w:rPr>
          <w:b w:val="0"/>
          <w:i w:val="0"/>
        </w:rPr>
        <w:t>.</w:t>
      </w:r>
    </w:p>
    <w:p>
      <w:pPr>
        <w:widowControl/>
      </w:pPr>
      <w:r>
        <w:rPr>
          <w:b/>
          <w:i w:val="0"/>
        </w:rPr>
        <w:t>debent.</w:t>
      </w:r>
      <w:r>
        <w:rPr>
          <w:b w:val="0"/>
          <w:i w:val="0"/>
        </w:rPr>
        <w:t xml:space="preserve"> </w:t>
      </w:r>
      <w:hyperlink w:anchor="latin-record-0867">
        <w:r>
          <w:rPr>
            <w:color w:val="000000"/>
          </w:rPr>
          <w:t xml:space="preserve">oportere / necesse / debere</w:t>
        </w:r>
      </w:hyperlink>
      <w:r>
        <w:rPr>
          <w:b w:val="0"/>
          <w:i w:val="0"/>
        </w:rPr>
        <w:t>.</w:t>
      </w:r>
    </w:p>
    <w:p>
      <w:pPr>
        <w:widowControl/>
      </w:pPr>
      <w:r>
        <w:rPr>
          <w:b/>
          <w:i w:val="0"/>
        </w:rPr>
        <w:t>debet.</w:t>
      </w:r>
      <w:r>
        <w:rPr>
          <w:b w:val="0"/>
          <w:i w:val="0"/>
        </w:rPr>
        <w:t xml:space="preserve"> </w:t>
      </w:r>
      <w:hyperlink w:anchor="latin-record-0867">
        <w:r>
          <w:rPr>
            <w:color w:val="000000"/>
          </w:rPr>
          <w:t xml:space="preserve">oportere / necesse / debere</w:t>
        </w:r>
      </w:hyperlink>
      <w:r>
        <w:rPr>
          <w:b w:val="0"/>
          <w:i w:val="0"/>
        </w:rPr>
        <w:t xml:space="preserve">; </w:t>
      </w:r>
      <w:hyperlink w:anchor="latin-record-0964">
        <w:r>
          <w:rPr>
            <w:color w:val="000000"/>
          </w:rPr>
          <w:t xml:space="preserve">posse; valere; oportere</w:t>
        </w:r>
      </w:hyperlink>
      <w:r>
        <w:rPr>
          <w:b w:val="0"/>
          <w:i w:val="0"/>
        </w:rPr>
        <w:t>.</w:t>
      </w:r>
    </w:p>
    <w:p>
      <w:pPr>
        <w:widowControl/>
      </w:pPr>
      <w:r>
        <w:rPr>
          <w:b/>
          <w:i w:val="0"/>
        </w:rPr>
        <w:t>debilitat.</w:t>
      </w:r>
      <w:r>
        <w:rPr>
          <w:b w:val="0"/>
          <w:i w:val="0"/>
        </w:rPr>
        <w:t xml:space="preserve"> </w:t>
      </w:r>
      <w:hyperlink w:anchor="latin-record-1308">
        <w:r>
          <w:rPr>
            <w:color w:val="000000"/>
          </w:rPr>
          <w:t xml:space="preserve">tristitia / laetitia / debilitare / roborare</w:t>
        </w:r>
      </w:hyperlink>
      <w:r>
        <w:rPr>
          <w:b w:val="0"/>
          <w:i w:val="0"/>
        </w:rPr>
        <w:t>.</w:t>
      </w:r>
    </w:p>
    <w:p>
      <w:pPr>
        <w:widowControl/>
      </w:pPr>
      <w:r>
        <w:rPr>
          <w:b/>
          <w:i w:val="0"/>
        </w:rPr>
        <w:t>debilitatem.</w:t>
      </w:r>
      <w:r>
        <w:rPr>
          <w:b w:val="0"/>
          <w:i w:val="0"/>
        </w:rPr>
        <w:t xml:space="preserve"> </w:t>
      </w:r>
      <w:hyperlink w:anchor="latin-record-1271">
        <w:r>
          <w:rPr>
            <w:color w:val="000000"/>
          </w:rPr>
          <w:t xml:space="preserve">sustentaculum / inquinatio</w:t>
        </w:r>
      </w:hyperlink>
      <w:r>
        <w:rPr>
          <w:b w:val="0"/>
          <w:i w:val="0"/>
        </w:rPr>
        <w:t>.</w:t>
      </w:r>
    </w:p>
    <w:p>
      <w:pPr>
        <w:widowControl/>
      </w:pPr>
      <w:r>
        <w:rPr>
          <w:b/>
          <w:i w:val="0"/>
        </w:rPr>
        <w:t>decennium.</w:t>
      </w:r>
      <w:r>
        <w:rPr>
          <w:b w:val="0"/>
          <w:i w:val="0"/>
        </w:rPr>
        <w:t xml:space="preserve"> </w:t>
      </w:r>
      <w:hyperlink w:anchor="latin-record-0775">
        <w:r>
          <w:rPr>
            <w:color w:val="000000"/>
          </w:rPr>
          <w:t xml:space="preserve">memoria; agnoscere</w:t>
        </w:r>
      </w:hyperlink>
      <w:r>
        <w:rPr>
          <w:b w:val="0"/>
          <w:i w:val="0"/>
        </w:rPr>
        <w:t>.</w:t>
      </w:r>
    </w:p>
    <w:p>
      <w:pPr>
        <w:widowControl/>
      </w:pPr>
      <w:r>
        <w:rPr>
          <w:b/>
          <w:i w:val="0"/>
        </w:rPr>
        <w:t>declinare.</w:t>
      </w:r>
      <w:r>
        <w:rPr>
          <w:b w:val="0"/>
          <w:i w:val="0"/>
        </w:rPr>
        <w:t xml:space="preserve"> </w:t>
      </w:r>
      <w:hyperlink w:anchor="latin-record-0360">
        <w:r>
          <w:rPr>
            <w:color w:val="000000"/>
          </w:rPr>
          <w:t xml:space="preserve">declinare; attollere</w:t>
        </w:r>
      </w:hyperlink>
      <w:r>
        <w:rPr>
          <w:b w:val="0"/>
          <w:i w:val="0"/>
        </w:rPr>
        <w:t>.</w:t>
      </w:r>
    </w:p>
    <w:p>
      <w:pPr>
        <w:widowControl/>
      </w:pPr>
      <w:r>
        <w:rPr>
          <w:b/>
          <w:i w:val="0"/>
        </w:rPr>
        <w:t>decrementi.</w:t>
      </w:r>
      <w:r>
        <w:rPr>
          <w:b w:val="0"/>
          <w:i w:val="0"/>
        </w:rPr>
        <w:t xml:space="preserve"> </w:t>
      </w:r>
      <w:hyperlink w:anchor="latin-record-0750">
        <w:r>
          <w:rPr>
            <w:color w:val="000000"/>
          </w:rPr>
          <w:t xml:space="preserve">magnitudo; crescere; decrescere</w:t>
        </w:r>
      </w:hyperlink>
      <w:r>
        <w:rPr>
          <w:b w:val="0"/>
          <w:i w:val="0"/>
        </w:rPr>
        <w:t>.</w:t>
      </w:r>
    </w:p>
    <w:p>
      <w:pPr>
        <w:widowControl/>
      </w:pPr>
      <w:r>
        <w:rPr>
          <w:b/>
          <w:i w:val="0"/>
        </w:rPr>
        <w:t>decrementum.</w:t>
      </w:r>
      <w:r>
        <w:rPr>
          <w:b w:val="0"/>
          <w:i w:val="0"/>
        </w:rPr>
        <w:t xml:space="preserve"> </w:t>
      </w:r>
      <w:hyperlink w:anchor="latin-record-0149">
        <w:r>
          <w:rPr>
            <w:color w:val="000000"/>
          </w:rPr>
          <w:t xml:space="preserve">augere / augmentum / incrementum / decrementum</w:t>
        </w:r>
      </w:hyperlink>
      <w:r>
        <w:rPr>
          <w:b w:val="0"/>
          <w:i w:val="0"/>
        </w:rPr>
        <w:t>.</w:t>
      </w:r>
    </w:p>
    <w:p>
      <w:pPr>
        <w:widowControl/>
      </w:pPr>
      <w:r>
        <w:rPr>
          <w:b/>
          <w:i w:val="0"/>
        </w:rPr>
        <w:t>Decrescente.</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decrescet.</w:t>
      </w:r>
      <w:r>
        <w:rPr>
          <w:b w:val="0"/>
          <w:i w:val="0"/>
        </w:rPr>
        <w:t xml:space="preserve"> </w:t>
      </w:r>
      <w:hyperlink w:anchor="latin-record-0349">
        <w:r>
          <w:rPr>
            <w:color w:val="000000"/>
          </w:rPr>
          <w:t xml:space="preserve">crescere; decrescere; adolescere</w:t>
        </w:r>
      </w:hyperlink>
      <w:r>
        <w:rPr>
          <w:b w:val="0"/>
          <w:i w:val="0"/>
        </w:rPr>
        <w:t>.</w:t>
      </w:r>
    </w:p>
    <w:p>
      <w:pPr>
        <w:widowControl/>
      </w:pPr>
      <w:r>
        <w:rPr>
          <w:b/>
          <w:i w:val="0"/>
        </w:rPr>
        <w:t>decrescimus.</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decrescunt.</w:t>
      </w:r>
      <w:r>
        <w:rPr>
          <w:b w:val="0"/>
          <w:i w:val="0"/>
        </w:rPr>
        <w:t xml:space="preserve"> </w:t>
      </w:r>
      <w:hyperlink w:anchor="latin-record-0750">
        <w:r>
          <w:rPr>
            <w:color w:val="000000"/>
          </w:rPr>
          <w:t xml:space="preserve">magnitudo; crescere; decrescere</w:t>
        </w:r>
      </w:hyperlink>
      <w:r>
        <w:rPr>
          <w:b w:val="0"/>
          <w:i w:val="0"/>
        </w:rPr>
        <w:t>.</w:t>
      </w:r>
    </w:p>
    <w:p>
      <w:pPr>
        <w:widowControl/>
      </w:pPr>
      <w:r>
        <w:rPr>
          <w:b/>
          <w:i w:val="0"/>
        </w:rPr>
        <w:t>defectus.</w:t>
      </w:r>
      <w:r>
        <w:rPr>
          <w:b w:val="0"/>
          <w:i w:val="0"/>
        </w:rPr>
        <w:t xml:space="preserve"> </w:t>
      </w:r>
      <w:hyperlink w:anchor="latin-record-0998">
        <w:r>
          <w:rPr>
            <w:color w:val="000000"/>
          </w:rPr>
          <w:t xml:space="preserve">privatio / defectus / malum / noxius / salubris</w:t>
        </w:r>
      </w:hyperlink>
      <w:r>
        <w:rPr>
          <w:b w:val="0"/>
          <w:i w:val="0"/>
        </w:rPr>
        <w:t>.</w:t>
      </w:r>
    </w:p>
    <w:p>
      <w:pPr>
        <w:widowControl/>
      </w:pPr>
      <w:r>
        <w:rPr>
          <w:b/>
          <w:i w:val="0"/>
        </w:rPr>
        <w:t>defertur.</w:t>
      </w:r>
      <w:r>
        <w:rPr>
          <w:b w:val="0"/>
          <w:i w:val="0"/>
        </w:rPr>
        <w:t xml:space="preserve"> </w:t>
      </w:r>
      <w:hyperlink w:anchor="latin-record-0584">
        <w:r>
          <w:rPr>
            <w:color w:val="000000"/>
          </w:rPr>
          <w:t xml:space="preserve">ignis / lapis / descendere / deferre</w:t>
        </w:r>
      </w:hyperlink>
      <w:r>
        <w:rPr>
          <w:b w:val="0"/>
          <w:i w:val="0"/>
        </w:rPr>
        <w:t>.</w:t>
      </w:r>
    </w:p>
    <w:p>
      <w:pPr>
        <w:widowControl/>
      </w:pPr>
      <w:r>
        <w:rPr>
          <w:b/>
          <w:i w:val="0"/>
        </w:rPr>
        <w:t>deficerent.</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deficiet.</w:t>
      </w:r>
      <w:r>
        <w:rPr>
          <w:b w:val="0"/>
          <w:i w:val="0"/>
        </w:rPr>
        <w:t xml:space="preserve"> </w:t>
      </w:r>
      <w:hyperlink w:anchor="latin-record-0195">
        <w:r>
          <w:rPr>
            <w:color w:val="000000"/>
          </w:rPr>
          <w:t xml:space="preserve">carere / deficere / abesse</w:t>
        </w:r>
      </w:hyperlink>
      <w:r>
        <w:rPr>
          <w:b w:val="0"/>
          <w:i w:val="0"/>
        </w:rPr>
        <w:t>.</w:t>
      </w:r>
    </w:p>
    <w:p>
      <w:pPr>
        <w:widowControl/>
      </w:pPr>
      <w:r>
        <w:rPr>
          <w:b/>
          <w:i w:val="0"/>
        </w:rPr>
        <w:t>deficit.</w:t>
      </w:r>
      <w:r>
        <w:rPr>
          <w:b w:val="0"/>
          <w:i w:val="0"/>
        </w:rPr>
        <w:t xml:space="preserve"> </w:t>
      </w:r>
      <w:hyperlink w:anchor="latin-record-0195">
        <w:r>
          <w:rPr>
            <w:color w:val="000000"/>
          </w:rPr>
          <w:t xml:space="preserve">carere / deficere / abesse</w:t>
        </w:r>
      </w:hyperlink>
      <w:r>
        <w:rPr>
          <w:b w:val="0"/>
          <w:i w:val="0"/>
        </w:rPr>
        <w:t xml:space="preserve">; </w:t>
      </w:r>
      <w:hyperlink w:anchor="latin-record-0361">
        <w:r>
          <w:rPr>
            <w:color w:val="000000"/>
          </w:rPr>
          <w:t xml:space="preserve">deficere; perficere</w:t>
        </w:r>
      </w:hyperlink>
      <w:r>
        <w:rPr>
          <w:b w:val="0"/>
          <w:i w:val="0"/>
        </w:rPr>
        <w:t>.</w:t>
      </w:r>
    </w:p>
    <w:p>
      <w:pPr>
        <w:widowControl/>
      </w:pPr>
      <w:r>
        <w:rPr>
          <w:b/>
          <w:i w:val="0"/>
        </w:rPr>
        <w:t>definiret.</w:t>
      </w:r>
      <w:r>
        <w:rPr>
          <w:b w:val="0"/>
          <w:i w:val="0"/>
        </w:rPr>
        <w:t xml:space="preserve"> </w:t>
      </w:r>
      <w:hyperlink w:anchor="latin-record-1111">
        <w:r>
          <w:rPr>
            <w:color w:val="000000"/>
          </w:rPr>
          <w:t xml:space="preserve">repugnare; reflecti; definire</w:t>
        </w:r>
      </w:hyperlink>
      <w:r>
        <w:rPr>
          <w:b w:val="0"/>
          <w:i w:val="0"/>
        </w:rPr>
        <w:t>.</w:t>
      </w:r>
    </w:p>
    <w:p>
      <w:pPr>
        <w:widowControl/>
      </w:pPr>
      <w:r>
        <w:rPr>
          <w:b/>
          <w:i w:val="0"/>
        </w:rPr>
        <w:t>definitio.</w:t>
      </w:r>
      <w:r>
        <w:rPr>
          <w:b w:val="0"/>
          <w:i w:val="0"/>
        </w:rPr>
        <w:t xml:space="preserve"> </w:t>
      </w:r>
      <w:hyperlink w:anchor="latin-record-0362">
        <w:r>
          <w:rPr>
            <w:color w:val="000000"/>
          </w:rPr>
          <w:t xml:space="preserve">definitio</w:t>
        </w:r>
      </w:hyperlink>
      <w:r>
        <w:rPr>
          <w:b w:val="0"/>
          <w:i w:val="0"/>
        </w:rPr>
        <w:t xml:space="preserve">; </w:t>
      </w:r>
      <w:hyperlink w:anchor="latin-record-1068">
        <w:r>
          <w:rPr>
            <w:color w:val="000000"/>
          </w:rPr>
          <w:t xml:space="preserve">ratio / definitio</w:t>
        </w:r>
      </w:hyperlink>
      <w:r>
        <w:rPr>
          <w:b w:val="0"/>
          <w:i w:val="0"/>
        </w:rPr>
        <w:t>.</w:t>
      </w:r>
    </w:p>
    <w:p>
      <w:pPr>
        <w:widowControl/>
      </w:pPr>
      <w:r>
        <w:rPr>
          <w:b/>
          <w:i w:val="0"/>
        </w:rPr>
        <w:t>Definitio.</w:t>
      </w:r>
      <w:r>
        <w:rPr>
          <w:b w:val="0"/>
          <w:i w:val="0"/>
        </w:rPr>
        <w:t xml:space="preserve"> </w:t>
      </w:r>
      <w:hyperlink w:anchor="latin-record-0362">
        <w:r>
          <w:rPr>
            <w:color w:val="000000"/>
          </w:rPr>
          <w:t xml:space="preserve">definitio</w:t>
        </w:r>
      </w:hyperlink>
      <w:r>
        <w:rPr>
          <w:b w:val="0"/>
          <w:i w:val="0"/>
        </w:rPr>
        <w:t>.</w:t>
      </w:r>
    </w:p>
    <w:p>
      <w:pPr>
        <w:widowControl/>
      </w:pPr>
      <w:r>
        <w:rPr>
          <w:b/>
          <w:i w:val="0"/>
        </w:rPr>
        <w:t>definitione.</w:t>
      </w:r>
      <w:r>
        <w:rPr>
          <w:b w:val="0"/>
          <w:i w:val="0"/>
        </w:rPr>
        <w:t xml:space="preserve"> </w:t>
      </w:r>
      <w:hyperlink w:anchor="latin-record-0362">
        <w:r>
          <w:rPr>
            <w:color w:val="000000"/>
          </w:rPr>
          <w:t xml:space="preserve">definitio</w:t>
        </w:r>
      </w:hyperlink>
      <w:r>
        <w:rPr>
          <w:b w:val="0"/>
          <w:i w:val="0"/>
        </w:rPr>
        <w:t xml:space="preserve">; </w:t>
      </w:r>
      <w:hyperlink w:anchor="latin-record-1068">
        <w:r>
          <w:rPr>
            <w:color w:val="000000"/>
          </w:rPr>
          <w:t xml:space="preserve">ratio / definitio</w:t>
        </w:r>
      </w:hyperlink>
      <w:r>
        <w:rPr>
          <w:b w:val="0"/>
          <w:i w:val="0"/>
        </w:rPr>
        <w:t>.</w:t>
      </w:r>
    </w:p>
    <w:p>
      <w:pPr>
        <w:widowControl/>
      </w:pPr>
      <w:r>
        <w:rPr>
          <w:b/>
          <w:i w:val="0"/>
        </w:rPr>
        <w:t>definitionem.</w:t>
      </w:r>
      <w:r>
        <w:rPr>
          <w:b w:val="0"/>
          <w:i w:val="0"/>
        </w:rPr>
        <w:t xml:space="preserve"> </w:t>
      </w:r>
      <w:hyperlink w:anchor="latin-record-0362">
        <w:r>
          <w:rPr>
            <w:color w:val="000000"/>
          </w:rPr>
          <w:t xml:space="preserve">definitio</w:t>
        </w:r>
      </w:hyperlink>
      <w:r>
        <w:rPr>
          <w:b w:val="0"/>
          <w:i w:val="0"/>
        </w:rPr>
        <w:t xml:space="preserve">; </w:t>
      </w:r>
      <w:hyperlink w:anchor="latin-record-1068">
        <w:r>
          <w:rPr>
            <w:color w:val="000000"/>
          </w:rPr>
          <w:t xml:space="preserve">ratio / definitio</w:t>
        </w:r>
      </w:hyperlink>
      <w:r>
        <w:rPr>
          <w:b w:val="0"/>
          <w:i w:val="0"/>
        </w:rPr>
        <w:t>.</w:t>
      </w:r>
    </w:p>
    <w:p>
      <w:pPr>
        <w:widowControl/>
      </w:pPr>
      <w:r>
        <w:rPr>
          <w:b/>
          <w:i w:val="0"/>
        </w:rPr>
        <w:t>definitiones.</w:t>
      </w:r>
      <w:r>
        <w:rPr>
          <w:b w:val="0"/>
          <w:i w:val="0"/>
        </w:rPr>
        <w:t xml:space="preserve"> </w:t>
      </w:r>
      <w:hyperlink w:anchor="latin-record-0362">
        <w:r>
          <w:rPr>
            <w:color w:val="000000"/>
          </w:rPr>
          <w:t xml:space="preserve">definitio</w:t>
        </w:r>
      </w:hyperlink>
      <w:r>
        <w:rPr>
          <w:b w:val="0"/>
          <w:i w:val="0"/>
        </w:rPr>
        <w:t>.</w:t>
      </w:r>
    </w:p>
    <w:p>
      <w:pPr>
        <w:widowControl/>
      </w:pPr>
      <w:r>
        <w:rPr>
          <w:b/>
          <w:i w:val="0"/>
        </w:rPr>
        <w:t>defluat.</w:t>
      </w:r>
      <w:r>
        <w:rPr>
          <w:b w:val="0"/>
          <w:i w:val="0"/>
        </w:rPr>
        <w:t xml:space="preserve"> </w:t>
      </w:r>
      <w:hyperlink w:anchor="latin-record-0425">
        <w:r>
          <w:rPr>
            <w:color w:val="000000"/>
          </w:rPr>
          <w:t xml:space="preserve">effluere / diffluere / defluere</w:t>
        </w:r>
      </w:hyperlink>
      <w:r>
        <w:rPr>
          <w:b w:val="0"/>
          <w:i w:val="0"/>
        </w:rPr>
        <w:t>.</w:t>
      </w:r>
    </w:p>
    <w:p>
      <w:pPr>
        <w:widowControl/>
      </w:pPr>
      <w:r>
        <w:rPr>
          <w:b/>
          <w:i w:val="0"/>
        </w:rPr>
        <w:t>defluere.</w:t>
      </w:r>
      <w:r>
        <w:rPr>
          <w:b w:val="0"/>
          <w:i w:val="0"/>
        </w:rPr>
        <w:t xml:space="preserve"> </w:t>
      </w:r>
      <w:hyperlink w:anchor="latin-record-0425">
        <w:r>
          <w:rPr>
            <w:color w:val="000000"/>
          </w:rPr>
          <w:t xml:space="preserve">effluere / diffluere / defluere</w:t>
        </w:r>
      </w:hyperlink>
      <w:r>
        <w:rPr>
          <w:b w:val="0"/>
          <w:i w:val="0"/>
        </w:rPr>
        <w:t>.</w:t>
      </w:r>
    </w:p>
    <w:p>
      <w:pPr>
        <w:widowControl/>
      </w:pPr>
      <w:r>
        <w:rPr>
          <w:b/>
          <w:i w:val="0"/>
        </w:rPr>
        <w:t>deformius.</w:t>
      </w:r>
      <w:r>
        <w:rPr>
          <w:b w:val="0"/>
          <w:i w:val="0"/>
        </w:rPr>
        <w:t xml:space="preserve"> </w:t>
      </w:r>
      <w:hyperlink w:anchor="latin-record-1213">
        <w:r>
          <w:rPr>
            <w:color w:val="000000"/>
          </w:rPr>
          <w:t xml:space="preserve">speciosus / deformis</w:t>
        </w:r>
      </w:hyperlink>
      <w:r>
        <w:rPr>
          <w:b w:val="0"/>
          <w:i w:val="0"/>
        </w:rPr>
        <w:t>.</w:t>
      </w:r>
    </w:p>
    <w:p>
      <w:pPr>
        <w:widowControl/>
      </w:pPr>
      <w:r>
        <w:rPr>
          <w:b/>
          <w:i w:val="0"/>
        </w:rPr>
        <w:t>Dei.</w:t>
      </w:r>
      <w:r>
        <w:rPr>
          <w:b w:val="0"/>
          <w:i w:val="0"/>
        </w:rPr>
        <w:t xml:space="preserve"> </w:t>
      </w:r>
      <w:hyperlink w:anchor="latin-record-0375">
        <w:r>
          <w:rPr>
            <w:color w:val="000000"/>
          </w:rPr>
          <w:t xml:space="preserve">Deus</w:t>
        </w:r>
      </w:hyperlink>
      <w:r>
        <w:rPr>
          <w:b w:val="0"/>
          <w:i w:val="0"/>
        </w:rPr>
        <w:t xml:space="preserve">; </w:t>
      </w:r>
      <w:hyperlink w:anchor="latin-record-0376">
        <w:r>
          <w:rPr>
            <w:color w:val="000000"/>
          </w:rPr>
          <w:t xml:space="preserve">Deus / divinus</w:t>
        </w:r>
      </w:hyperlink>
      <w:r>
        <w:rPr>
          <w:b w:val="0"/>
          <w:i w:val="0"/>
        </w:rPr>
        <w:t>.</w:t>
      </w:r>
    </w:p>
    <w:p>
      <w:pPr>
        <w:widowControl/>
      </w:pPr>
      <w:r>
        <w:rPr>
          <w:b/>
          <w:i w:val="0"/>
        </w:rPr>
        <w:t>dei.</w:t>
      </w:r>
      <w:r>
        <w:rPr>
          <w:b w:val="0"/>
          <w:i w:val="0"/>
        </w:rPr>
        <w:t xml:space="preserve"> </w:t>
      </w:r>
      <w:hyperlink w:anchor="latin-record-0376">
        <w:r>
          <w:rPr>
            <w:color w:val="000000"/>
          </w:rPr>
          <w:t xml:space="preserve">Deus / divinus</w:t>
        </w:r>
      </w:hyperlink>
      <w:r>
        <w:rPr>
          <w:b w:val="0"/>
          <w:i w:val="0"/>
        </w:rPr>
        <w:t>.</w:t>
      </w:r>
    </w:p>
    <w:p>
      <w:pPr>
        <w:widowControl/>
      </w:pPr>
      <w:r>
        <w:rPr>
          <w:b/>
          <w:i w:val="0"/>
        </w:rPr>
        <w:t>deicitur.</w:t>
      </w:r>
      <w:r>
        <w:rPr>
          <w:b w:val="0"/>
          <w:i w:val="0"/>
        </w:rPr>
        <w:t xml:space="preserve"> </w:t>
      </w:r>
      <w:hyperlink w:anchor="latin-record-0081">
        <w:r>
          <w:rPr>
            <w:color w:val="000000"/>
          </w:rPr>
          <w:t xml:space="preserve">amittere / deicere</w:t>
        </w:r>
      </w:hyperlink>
      <w:r>
        <w:rPr>
          <w:b w:val="0"/>
          <w:i w:val="0"/>
        </w:rPr>
        <w:t>.</w:t>
      </w:r>
    </w:p>
    <w:p>
      <w:pPr>
        <w:widowControl/>
      </w:pPr>
      <w:r>
        <w:rPr>
          <w:b/>
          <w:i w:val="0"/>
        </w:rPr>
        <w:t>deinde.</w:t>
      </w:r>
      <w:r>
        <w:rPr>
          <w:b w:val="0"/>
          <w:i w:val="0"/>
        </w:rPr>
        <w:t xml:space="preserve"> </w:t>
      </w:r>
      <w:hyperlink w:anchor="latin-record-0987">
        <w:r>
          <w:rPr>
            <w:color w:val="000000"/>
          </w:rPr>
          <w:t xml:space="preserve">primum / deinde / prius / secundo</w:t>
        </w:r>
      </w:hyperlink>
      <w:r>
        <w:rPr>
          <w:b w:val="0"/>
          <w:i w:val="0"/>
        </w:rPr>
        <w:t>.</w:t>
      </w:r>
    </w:p>
    <w:p>
      <w:pPr>
        <w:widowControl/>
      </w:pPr>
      <w:r>
        <w:rPr>
          <w:b/>
          <w:i w:val="0"/>
        </w:rPr>
        <w:t>delapsas.</w:t>
      </w:r>
      <w:r>
        <w:rPr>
          <w:b w:val="0"/>
          <w:i w:val="0"/>
        </w:rPr>
        <w:t xml:space="preserve"> </w:t>
      </w:r>
      <w:hyperlink w:anchor="latin-record-0363">
        <w:r>
          <w:rPr>
            <w:color w:val="000000"/>
          </w:rPr>
          <w:t xml:space="preserve">delabi / prolabi</w:t>
        </w:r>
      </w:hyperlink>
      <w:r>
        <w:rPr>
          <w:b w:val="0"/>
          <w:i w:val="0"/>
        </w:rPr>
        <w:t>.</w:t>
      </w:r>
    </w:p>
    <w:p>
      <w:pPr>
        <w:widowControl/>
      </w:pPr>
      <w:r>
        <w:rPr>
          <w:b/>
          <w:i w:val="0"/>
        </w:rPr>
        <w:t>delitescit.</w:t>
      </w:r>
      <w:r>
        <w:rPr>
          <w:b w:val="0"/>
          <w:i w:val="0"/>
        </w:rPr>
        <w:t xml:space="preserve"> </w:t>
      </w:r>
      <w:hyperlink w:anchor="latin-record-0704">
        <w:r>
          <w:rPr>
            <w:color w:val="000000"/>
          </w:rPr>
          <w:t xml:space="preserve">latere / delitescere</w:t>
        </w:r>
      </w:hyperlink>
      <w:r>
        <w:rPr>
          <w:b w:val="0"/>
          <w:i w:val="0"/>
        </w:rPr>
        <w:t xml:space="preserve">; </w:t>
      </w:r>
      <w:hyperlink w:anchor="latin-record-1025">
        <w:r>
          <w:rPr>
            <w:color w:val="000000"/>
          </w:rPr>
          <w:t xml:space="preserve">pullulare; delitescere</w:t>
        </w:r>
      </w:hyperlink>
      <w:r>
        <w:rPr>
          <w:b w:val="0"/>
          <w:i w:val="0"/>
        </w:rPr>
        <w:t xml:space="preserve">; </w:t>
      </w:r>
      <w:hyperlink w:anchor="latin-record-1126">
        <w:r>
          <w:rPr>
            <w:color w:val="000000"/>
          </w:rPr>
          <w:t xml:space="preserve">sagacitas / elicere / delitescere</w:t>
        </w:r>
      </w:hyperlink>
      <w:r>
        <w:rPr>
          <w:b w:val="0"/>
          <w:i w:val="0"/>
        </w:rPr>
        <w:t>.</w:t>
      </w:r>
    </w:p>
    <w:p>
      <w:pPr>
        <w:widowControl/>
      </w:pPr>
      <w:r>
        <w:rPr>
          <w:b/>
          <w:i w:val="0"/>
        </w:rPr>
        <w:t>Demetrio Attico.</w:t>
      </w:r>
      <w:r>
        <w:rPr>
          <w:b w:val="0"/>
          <w:i w:val="0"/>
        </w:rPr>
        <w:t xml:space="preserve"> </w:t>
      </w:r>
      <w:hyperlink w:anchor="latin-record-0159">
        <w:r>
          <w:rPr>
            <w:color w:val="000000"/>
          </w:rPr>
          <w:t xml:space="preserve">Bembus; Chronico; Demetrius</w:t>
        </w:r>
      </w:hyperlink>
      <w:r>
        <w:rPr>
          <w:b w:val="0"/>
          <w:i w:val="0"/>
        </w:rPr>
        <w:t>.</w:t>
      </w:r>
    </w:p>
    <w:p>
      <w:pPr>
        <w:widowControl/>
      </w:pPr>
      <w:r>
        <w:rPr>
          <w:b/>
          <w:i w:val="0"/>
        </w:rPr>
        <w:t>demi.</w:t>
      </w:r>
      <w:r>
        <w:rPr>
          <w:b w:val="0"/>
          <w:i w:val="0"/>
        </w:rPr>
        <w:t xml:space="preserve"> </w:t>
      </w:r>
      <w:hyperlink w:anchor="latin-record-0744">
        <w:r>
          <w:rPr>
            <w:color w:val="000000"/>
          </w:rPr>
          <w:t xml:space="preserve">magis minusve</w:t>
        </w:r>
      </w:hyperlink>
      <w:r>
        <w:rPr>
          <w:b w:val="0"/>
          <w:i w:val="0"/>
        </w:rPr>
        <w:t>.</w:t>
      </w:r>
    </w:p>
    <w:p>
      <w:pPr>
        <w:widowControl/>
      </w:pPr>
      <w:r>
        <w:rPr>
          <w:b/>
          <w:i w:val="0"/>
        </w:rPr>
        <w:t>Democritus.</w:t>
      </w:r>
      <w:r>
        <w:rPr>
          <w:b w:val="0"/>
          <w:i w:val="0"/>
        </w:rPr>
        <w:t xml:space="preserve"> </w:t>
      </w:r>
      <w:hyperlink w:anchor="latin-record-0364">
        <w:r>
          <w:rPr>
            <w:color w:val="000000"/>
          </w:rPr>
          <w:t xml:space="preserve">Democritus; Leucippus; Hipparchus</w:t>
        </w:r>
      </w:hyperlink>
      <w:r>
        <w:rPr>
          <w:b w:val="0"/>
          <w:i w:val="0"/>
        </w:rPr>
        <w:t>.</w:t>
      </w:r>
    </w:p>
    <w:p>
      <w:pPr>
        <w:widowControl/>
      </w:pPr>
      <w:r>
        <w:rPr>
          <w:b/>
          <w:i w:val="0"/>
        </w:rPr>
        <w:t>demonstratio.</w:t>
      </w:r>
      <w:r>
        <w:rPr>
          <w:b w:val="0"/>
          <w:i w:val="0"/>
        </w:rPr>
        <w:t xml:space="preserve"> </w:t>
      </w:r>
      <w:hyperlink w:anchor="latin-record-0121">
        <w:r>
          <w:rPr>
            <w:color w:val="000000"/>
          </w:rPr>
          <w:t xml:space="preserve">argumentatio / demonstratio</w:t>
        </w:r>
      </w:hyperlink>
      <w:r>
        <w:rPr>
          <w:b w:val="0"/>
          <w:i w:val="0"/>
        </w:rPr>
        <w:t>.</w:t>
      </w:r>
    </w:p>
    <w:p>
      <w:pPr>
        <w:widowControl/>
      </w:pPr>
      <w:r>
        <w:rPr>
          <w:b/>
          <w:i w:val="0"/>
        </w:rPr>
        <w:t>denarios.</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denarium.</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denarius.</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Denarius.</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densatur.</w:t>
      </w:r>
      <w:r>
        <w:rPr>
          <w:b w:val="0"/>
          <w:i w:val="0"/>
        </w:rPr>
        <w:t xml:space="preserve"> </w:t>
      </w:r>
      <w:hyperlink w:anchor="latin-record-0366">
        <w:r>
          <w:rPr>
            <w:color w:val="000000"/>
          </w:rPr>
          <w:t xml:space="preserve">densitas / densare</w:t>
        </w:r>
      </w:hyperlink>
      <w:r>
        <w:rPr>
          <w:b w:val="0"/>
          <w:i w:val="0"/>
        </w:rPr>
        <w:t>.</w:t>
      </w:r>
    </w:p>
    <w:p>
      <w:pPr>
        <w:widowControl/>
      </w:pPr>
      <w:r>
        <w:rPr>
          <w:b/>
          <w:i w:val="0"/>
        </w:rPr>
        <w:t>densitate.</w:t>
      </w:r>
      <w:r>
        <w:rPr>
          <w:b w:val="0"/>
          <w:i w:val="0"/>
        </w:rPr>
        <w:t xml:space="preserve"> </w:t>
      </w:r>
      <w:hyperlink w:anchor="latin-record-0366">
        <w:r>
          <w:rPr>
            <w:color w:val="000000"/>
          </w:rPr>
          <w:t xml:space="preserve">densitas / densare</w:t>
        </w:r>
      </w:hyperlink>
      <w:r>
        <w:rPr>
          <w:b w:val="0"/>
          <w:i w:val="0"/>
        </w:rPr>
        <w:t>.</w:t>
      </w:r>
    </w:p>
    <w:p>
      <w:pPr>
        <w:widowControl/>
      </w:pPr>
      <w:r>
        <w:rPr>
          <w:b/>
          <w:i w:val="0"/>
        </w:rPr>
        <w:t>dent.</w:t>
      </w:r>
      <w:r>
        <w:rPr>
          <w:b w:val="0"/>
          <w:i w:val="0"/>
        </w:rPr>
        <w:t xml:space="preserve"> </w:t>
      </w:r>
      <w:hyperlink w:anchor="latin-record-0355">
        <w:r>
          <w:rPr>
            <w:color w:val="000000"/>
          </w:rPr>
          <w:t xml:space="preserve">dare / tribuere</w:t>
        </w:r>
      </w:hyperlink>
      <w:r>
        <w:rPr>
          <w:b w:val="0"/>
          <w:i w:val="0"/>
        </w:rPr>
        <w:t>.</w:t>
      </w:r>
    </w:p>
    <w:p>
      <w:pPr>
        <w:widowControl/>
      </w:pPr>
      <w:r>
        <w:rPr>
          <w:b/>
          <w:i w:val="0"/>
        </w:rPr>
        <w:t>Deo.</w:t>
      </w:r>
      <w:r>
        <w:rPr>
          <w:b w:val="0"/>
          <w:i w:val="0"/>
        </w:rPr>
        <w:t xml:space="preserve"> </w:t>
      </w:r>
      <w:hyperlink w:anchor="latin-record-0090">
        <w:r>
          <w:rPr>
            <w:color w:val="000000"/>
          </w:rPr>
          <w:t xml:space="preserve">angelus; Deus</w:t>
        </w:r>
      </w:hyperlink>
      <w:r>
        <w:rPr>
          <w:b w:val="0"/>
          <w:i w:val="0"/>
        </w:rPr>
        <w:t xml:space="preserve">; </w:t>
      </w:r>
      <w:hyperlink w:anchor="latin-record-0375">
        <w:r>
          <w:rPr>
            <w:color w:val="000000"/>
          </w:rPr>
          <w:t xml:space="preserve">Deus</w:t>
        </w:r>
      </w:hyperlink>
      <w:r>
        <w:rPr>
          <w:b w:val="0"/>
          <w:i w:val="0"/>
        </w:rPr>
        <w:t xml:space="preserve">; </w:t>
      </w:r>
      <w:hyperlink w:anchor="latin-record-0376">
        <w:r>
          <w:rPr>
            <w:color w:val="000000"/>
          </w:rPr>
          <w:t xml:space="preserve">Deus / divinus</w:t>
        </w:r>
      </w:hyperlink>
      <w:r>
        <w:rPr>
          <w:b w:val="0"/>
          <w:i w:val="0"/>
        </w:rPr>
        <w:t>.</w:t>
      </w:r>
    </w:p>
    <w:p>
      <w:pPr>
        <w:widowControl/>
      </w:pPr>
      <w:r>
        <w:rPr>
          <w:b/>
          <w:i w:val="0"/>
        </w:rPr>
        <w:t>deo.</w:t>
      </w:r>
      <w:r>
        <w:rPr>
          <w:b w:val="0"/>
          <w:i w:val="0"/>
        </w:rPr>
        <w:t xml:space="preserve"> </w:t>
      </w:r>
      <w:hyperlink w:anchor="latin-record-0376">
        <w:r>
          <w:rPr>
            <w:color w:val="000000"/>
          </w:rPr>
          <w:t xml:space="preserve">Deus / divinus</w:t>
        </w:r>
      </w:hyperlink>
      <w:r>
        <w:rPr>
          <w:b w:val="0"/>
          <w:i w:val="0"/>
        </w:rPr>
        <w:t>.</w:t>
      </w:r>
    </w:p>
    <w:p>
      <w:pPr>
        <w:widowControl/>
      </w:pPr>
      <w:r>
        <w:rPr>
          <w:b/>
          <w:i w:val="0"/>
        </w:rPr>
        <w:t>Deorsum.</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deorsum.</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depellitur.</w:t>
      </w:r>
      <w:r>
        <w:rPr>
          <w:b w:val="0"/>
          <w:i w:val="0"/>
        </w:rPr>
        <w:t xml:space="preserve"> </w:t>
      </w:r>
      <w:hyperlink w:anchor="latin-record-0461">
        <w:r>
          <w:rPr>
            <w:color w:val="000000"/>
          </w:rPr>
          <w:t xml:space="preserve">expellere / depellere</w:t>
        </w:r>
      </w:hyperlink>
      <w:r>
        <w:rPr>
          <w:b w:val="0"/>
          <w:i w:val="0"/>
        </w:rPr>
        <w:t>.</w:t>
      </w:r>
    </w:p>
    <w:p>
      <w:pPr>
        <w:widowControl/>
      </w:pPr>
      <w:r>
        <w:rPr>
          <w:b/>
          <w:i w:val="0"/>
        </w:rPr>
        <w:t>dependeat.</w:t>
      </w:r>
      <w:r>
        <w:rPr>
          <w:b w:val="0"/>
          <w:i w:val="0"/>
        </w:rPr>
        <w:t xml:space="preserve"> </w:t>
      </w:r>
      <w:hyperlink w:anchor="latin-record-0367">
        <w:r>
          <w:rPr>
            <w:color w:val="000000"/>
          </w:rPr>
          <w:t xml:space="preserve">dependere / pendere</w:t>
        </w:r>
      </w:hyperlink>
      <w:r>
        <w:rPr>
          <w:b w:val="0"/>
          <w:i w:val="0"/>
        </w:rPr>
        <w:t>.</w:t>
      </w:r>
    </w:p>
    <w:p>
      <w:pPr>
        <w:widowControl/>
      </w:pPr>
      <w:r>
        <w:rPr>
          <w:b/>
          <w:i w:val="0"/>
        </w:rPr>
        <w:t>dependent.</w:t>
      </w:r>
      <w:r>
        <w:rPr>
          <w:b w:val="0"/>
          <w:i w:val="0"/>
        </w:rPr>
        <w:t xml:space="preserve"> </w:t>
      </w:r>
      <w:hyperlink w:anchor="latin-record-0367">
        <w:r>
          <w:rPr>
            <w:color w:val="000000"/>
          </w:rPr>
          <w:t xml:space="preserve">dependere / pendere</w:t>
        </w:r>
      </w:hyperlink>
      <w:r>
        <w:rPr>
          <w:b w:val="0"/>
          <w:i w:val="0"/>
        </w:rPr>
        <w:t>.</w:t>
      </w:r>
    </w:p>
    <w:p>
      <w:pPr>
        <w:widowControl/>
      </w:pPr>
      <w:r>
        <w:rPr>
          <w:b/>
          <w:i w:val="0"/>
        </w:rPr>
        <w:t>dependet.</w:t>
      </w:r>
      <w:r>
        <w:rPr>
          <w:b w:val="0"/>
          <w:i w:val="0"/>
        </w:rPr>
        <w:t xml:space="preserve"> </w:t>
      </w:r>
      <w:hyperlink w:anchor="latin-record-0367">
        <w:r>
          <w:rPr>
            <w:color w:val="000000"/>
          </w:rPr>
          <w:t xml:space="preserve">dependere / pendere</w:t>
        </w:r>
      </w:hyperlink>
      <w:r>
        <w:rPr>
          <w:b w:val="0"/>
          <w:i w:val="0"/>
        </w:rPr>
        <w:t>.</w:t>
      </w:r>
    </w:p>
    <w:p>
      <w:pPr>
        <w:widowControl/>
      </w:pPr>
      <w:r>
        <w:rPr>
          <w:b/>
          <w:i w:val="0"/>
        </w:rPr>
        <w:t>depicta.</w:t>
      </w:r>
      <w:r>
        <w:rPr>
          <w:b w:val="0"/>
          <w:i w:val="0"/>
        </w:rPr>
        <w:t xml:space="preserve"> </w:t>
      </w:r>
      <w:hyperlink w:anchor="latin-record-0368">
        <w:r>
          <w:rPr>
            <w:color w:val="000000"/>
          </w:rPr>
          <w:t xml:space="preserve">depingere</w:t>
        </w:r>
      </w:hyperlink>
      <w:r>
        <w:rPr>
          <w:b w:val="0"/>
          <w:i w:val="0"/>
        </w:rPr>
        <w:t>.</w:t>
      </w:r>
    </w:p>
    <w:p>
      <w:pPr>
        <w:widowControl/>
      </w:pPr>
      <w:r>
        <w:rPr>
          <w:b/>
          <w:i w:val="0"/>
        </w:rPr>
        <w:t>depingit.</w:t>
      </w:r>
      <w:r>
        <w:rPr>
          <w:b w:val="0"/>
          <w:i w:val="0"/>
        </w:rPr>
        <w:t xml:space="preserve"> </w:t>
      </w:r>
      <w:hyperlink w:anchor="latin-record-0368">
        <w:r>
          <w:rPr>
            <w:color w:val="000000"/>
          </w:rPr>
          <w:t xml:space="preserve">depingere</w:t>
        </w:r>
      </w:hyperlink>
      <w:r>
        <w:rPr>
          <w:b w:val="0"/>
          <w:i w:val="0"/>
        </w:rPr>
        <w:t xml:space="preserve">; </w:t>
      </w:r>
      <w:hyperlink w:anchor="latin-record-0369">
        <w:r>
          <w:rPr>
            <w:color w:val="000000"/>
          </w:rPr>
          <w:t xml:space="preserve">depingere; effigies</w:t>
        </w:r>
      </w:hyperlink>
      <w:r>
        <w:rPr>
          <w:b w:val="0"/>
          <w:i w:val="0"/>
        </w:rPr>
        <w:t>.</w:t>
      </w:r>
    </w:p>
    <w:p>
      <w:pPr>
        <w:widowControl/>
      </w:pPr>
      <w:r>
        <w:rPr>
          <w:b/>
          <w:i w:val="0"/>
        </w:rPr>
        <w:t>deprimitur.</w:t>
      </w:r>
      <w:r>
        <w:rPr>
          <w:b w:val="0"/>
          <w:i w:val="0"/>
        </w:rPr>
        <w:t xml:space="preserve"> </w:t>
      </w:r>
      <w:hyperlink w:anchor="latin-record-1251">
        <w:r>
          <w:rPr>
            <w:color w:val="000000"/>
          </w:rPr>
          <w:t xml:space="preserve">subtrahere; deprimere</w:t>
        </w:r>
      </w:hyperlink>
      <w:r>
        <w:rPr>
          <w:b w:val="0"/>
          <w:i w:val="0"/>
        </w:rPr>
        <w:t>.</w:t>
      </w:r>
    </w:p>
    <w:p>
      <w:pPr>
        <w:widowControl/>
      </w:pPr>
      <w:r>
        <w:rPr>
          <w:b/>
          <w:i w:val="0"/>
        </w:rPr>
        <w:t>depulsus.</w:t>
      </w:r>
      <w:r>
        <w:rPr>
          <w:b w:val="0"/>
          <w:i w:val="0"/>
        </w:rPr>
        <w:t xml:space="preserve"> </w:t>
      </w:r>
      <w:hyperlink w:anchor="latin-record-0461">
        <w:r>
          <w:rPr>
            <w:color w:val="000000"/>
          </w:rPr>
          <w:t xml:space="preserve">expellere / depellere</w:t>
        </w:r>
      </w:hyperlink>
      <w:r>
        <w:rPr>
          <w:b w:val="0"/>
          <w:i w:val="0"/>
        </w:rPr>
        <w:t>.</w:t>
      </w:r>
    </w:p>
    <w:p>
      <w:pPr>
        <w:widowControl/>
      </w:pPr>
      <w:r>
        <w:rPr>
          <w:b/>
          <w:i w:val="0"/>
        </w:rPr>
        <w:t>descendit.</w:t>
      </w:r>
      <w:r>
        <w:rPr>
          <w:b w:val="0"/>
          <w:i w:val="0"/>
        </w:rPr>
        <w:t xml:space="preserve"> </w:t>
      </w:r>
      <w:hyperlink w:anchor="latin-record-0132">
        <w:r>
          <w:rPr>
            <w:color w:val="000000"/>
          </w:rPr>
          <w:t xml:space="preserve">ascendere / descendere</w:t>
        </w:r>
      </w:hyperlink>
      <w:r>
        <w:rPr>
          <w:b w:val="0"/>
          <w:i w:val="0"/>
        </w:rPr>
        <w:t xml:space="preserve">; </w:t>
      </w:r>
      <w:hyperlink w:anchor="latin-record-0584">
        <w:r>
          <w:rPr>
            <w:color w:val="000000"/>
          </w:rPr>
          <w:t xml:space="preserve">ignis / lapis / descendere / deferre</w:t>
        </w:r>
      </w:hyperlink>
      <w:r>
        <w:rPr>
          <w:b w:val="0"/>
          <w:i w:val="0"/>
        </w:rPr>
        <w:t>.</w:t>
      </w:r>
    </w:p>
    <w:p>
      <w:pPr>
        <w:widowControl/>
      </w:pPr>
      <w:r>
        <w:rPr>
          <w:b/>
          <w:i w:val="0"/>
        </w:rPr>
        <w:t>descensio.</w:t>
      </w:r>
      <w:r>
        <w:rPr>
          <w:b w:val="0"/>
          <w:i w:val="0"/>
        </w:rPr>
        <w:t xml:space="preserve"> </w:t>
      </w:r>
      <w:hyperlink w:anchor="latin-record-0134">
        <w:r>
          <w:rPr>
            <w:color w:val="000000"/>
          </w:rPr>
          <w:t xml:space="preserve">ascensio; descensio</w:t>
        </w:r>
      </w:hyperlink>
      <w:r>
        <w:rPr>
          <w:b w:val="0"/>
          <w:i w:val="0"/>
        </w:rPr>
        <w:t>.</w:t>
      </w:r>
    </w:p>
    <w:p>
      <w:pPr>
        <w:widowControl/>
      </w:pPr>
      <w:r>
        <w:rPr>
          <w:b/>
          <w:i w:val="0"/>
        </w:rPr>
        <w:t>deserat semet ipsam.</w:t>
      </w:r>
      <w:r>
        <w:rPr>
          <w:b w:val="0"/>
          <w:i w:val="0"/>
        </w:rPr>
        <w:t xml:space="preserve"> </w:t>
      </w:r>
      <w:hyperlink w:anchor="latin-record-1153">
        <w:r>
          <w:rPr>
            <w:color w:val="000000"/>
          </w:rPr>
          <w:t xml:space="preserve">semet ipsum deserere</w:t>
        </w:r>
      </w:hyperlink>
      <w:r>
        <w:rPr>
          <w:b w:val="0"/>
          <w:i w:val="0"/>
        </w:rPr>
        <w:t>.</w:t>
      </w:r>
    </w:p>
    <w:p>
      <w:pPr>
        <w:widowControl/>
      </w:pPr>
      <w:r>
        <w:rPr>
          <w:b/>
          <w:i w:val="0"/>
        </w:rPr>
        <w:t>deserit.</w:t>
      </w:r>
      <w:r>
        <w:rPr>
          <w:b w:val="0"/>
          <w:i w:val="0"/>
        </w:rPr>
        <w:t xml:space="preserve"> </w:t>
      </w:r>
      <w:hyperlink w:anchor="latin-record-0370">
        <w:r>
          <w:rPr>
            <w:color w:val="000000"/>
          </w:rPr>
          <w:t xml:space="preserve">deserere</w:t>
        </w:r>
      </w:hyperlink>
      <w:r>
        <w:rPr>
          <w:b w:val="0"/>
          <w:i w:val="0"/>
        </w:rPr>
        <w:t>.</w:t>
      </w:r>
    </w:p>
    <w:p>
      <w:pPr>
        <w:widowControl/>
      </w:pPr>
      <w:r>
        <w:rPr>
          <w:b/>
          <w:i w:val="0"/>
        </w:rPr>
        <w:t>designaret.</w:t>
      </w:r>
      <w:r>
        <w:rPr>
          <w:b w:val="0"/>
          <w:i w:val="0"/>
        </w:rPr>
        <w:t xml:space="preserve"> </w:t>
      </w:r>
      <w:hyperlink w:anchor="latin-record-0371">
        <w:r>
          <w:rPr>
            <w:color w:val="000000"/>
          </w:rPr>
          <w:t xml:space="preserve">designare / discernere</w:t>
        </w:r>
      </w:hyperlink>
      <w:r>
        <w:rPr>
          <w:b w:val="0"/>
          <w:i w:val="0"/>
        </w:rPr>
        <w:t>.</w:t>
      </w:r>
    </w:p>
    <w:p>
      <w:pPr>
        <w:widowControl/>
      </w:pPr>
      <w:r>
        <w:rPr>
          <w:b/>
          <w:i w:val="0"/>
        </w:rPr>
        <w:t>desinat.</w:t>
      </w:r>
      <w:r>
        <w:rPr>
          <w:b w:val="0"/>
          <w:i w:val="0"/>
        </w:rPr>
        <w:t xml:space="preserve"> </w:t>
      </w:r>
      <w:hyperlink w:anchor="latin-record-0372">
        <w:r>
          <w:rPr>
            <w:color w:val="000000"/>
          </w:rPr>
          <w:t xml:space="preserve">desinere / cessare</w:t>
        </w:r>
      </w:hyperlink>
      <w:r>
        <w:rPr>
          <w:b w:val="0"/>
          <w:i w:val="0"/>
        </w:rPr>
        <w:t>.</w:t>
      </w:r>
    </w:p>
    <w:p>
      <w:pPr>
        <w:widowControl/>
      </w:pPr>
      <w:r>
        <w:rPr>
          <w:b/>
          <w:i w:val="0"/>
        </w:rPr>
        <w:t>desineret.</w:t>
      </w:r>
      <w:r>
        <w:rPr>
          <w:b w:val="0"/>
          <w:i w:val="0"/>
        </w:rPr>
        <w:t xml:space="preserve"> </w:t>
      </w:r>
      <w:hyperlink w:anchor="latin-record-0372">
        <w:r>
          <w:rPr>
            <w:color w:val="000000"/>
          </w:rPr>
          <w:t xml:space="preserve">desinere / cessare</w:t>
        </w:r>
      </w:hyperlink>
      <w:r>
        <w:rPr>
          <w:b w:val="0"/>
          <w:i w:val="0"/>
        </w:rPr>
        <w:t>.</w:t>
      </w:r>
    </w:p>
    <w:p>
      <w:pPr>
        <w:widowControl/>
      </w:pPr>
      <w:r>
        <w:rPr>
          <w:b/>
          <w:i w:val="0"/>
        </w:rPr>
        <w:t>desinet.</w:t>
      </w:r>
      <w:r>
        <w:rPr>
          <w:b w:val="0"/>
          <w:i w:val="0"/>
        </w:rPr>
        <w:t xml:space="preserve"> </w:t>
      </w:r>
      <w:hyperlink w:anchor="latin-record-0372">
        <w:r>
          <w:rPr>
            <w:color w:val="000000"/>
          </w:rPr>
          <w:t xml:space="preserve">desinere / cessare</w:t>
        </w:r>
      </w:hyperlink>
      <w:r>
        <w:rPr>
          <w:b w:val="0"/>
          <w:i w:val="0"/>
        </w:rPr>
        <w:t>.</w:t>
      </w:r>
    </w:p>
    <w:p>
      <w:pPr>
        <w:widowControl/>
      </w:pPr>
      <w:r>
        <w:rPr>
          <w:b/>
          <w:i w:val="0"/>
        </w:rPr>
        <w:t>desinit.</w:t>
      </w:r>
      <w:r>
        <w:rPr>
          <w:b w:val="0"/>
          <w:i w:val="0"/>
        </w:rPr>
        <w:t xml:space="preserve"> </w:t>
      </w:r>
      <w:hyperlink w:anchor="latin-record-0372">
        <w:r>
          <w:rPr>
            <w:color w:val="000000"/>
          </w:rPr>
          <w:t xml:space="preserve">desinere / cessare</w:t>
        </w:r>
      </w:hyperlink>
      <w:r>
        <w:rPr>
          <w:b w:val="0"/>
          <w:i w:val="0"/>
        </w:rPr>
        <w:t>.</w:t>
      </w:r>
    </w:p>
    <w:p>
      <w:pPr>
        <w:widowControl/>
      </w:pPr>
      <w:r>
        <w:rPr>
          <w:b/>
          <w:i w:val="0"/>
        </w:rPr>
        <w:t>desinunt.</w:t>
      </w:r>
      <w:r>
        <w:rPr>
          <w:b w:val="0"/>
          <w:i w:val="0"/>
        </w:rPr>
        <w:t xml:space="preserve"> </w:t>
      </w:r>
      <w:hyperlink w:anchor="latin-record-0372">
        <w:r>
          <w:rPr>
            <w:color w:val="000000"/>
          </w:rPr>
          <w:t xml:space="preserve">desinere / cessare</w:t>
        </w:r>
      </w:hyperlink>
      <w:r>
        <w:rPr>
          <w:b w:val="0"/>
          <w:i w:val="0"/>
        </w:rPr>
        <w:t>.</w:t>
      </w:r>
    </w:p>
    <w:p>
      <w:pPr>
        <w:widowControl/>
      </w:pPr>
      <w:r>
        <w:rPr>
          <w:b/>
          <w:i w:val="0"/>
        </w:rPr>
        <w:t>despiciant.</w:t>
      </w:r>
      <w:r>
        <w:rPr>
          <w:b w:val="0"/>
          <w:i w:val="0"/>
        </w:rPr>
        <w:t xml:space="preserve"> </w:t>
      </w:r>
      <w:hyperlink w:anchor="latin-record-0136">
        <w:r>
          <w:rPr>
            <w:color w:val="000000"/>
          </w:rPr>
          <w:t xml:space="preserve">aspicere; despicere</w:t>
        </w:r>
      </w:hyperlink>
      <w:r>
        <w:rPr>
          <w:b w:val="0"/>
          <w:i w:val="0"/>
        </w:rPr>
        <w:t>.</w:t>
      </w:r>
    </w:p>
    <w:p>
      <w:pPr>
        <w:widowControl/>
      </w:pPr>
      <w:r>
        <w:rPr>
          <w:b/>
          <w:i w:val="0"/>
        </w:rPr>
        <w:t>determinat.</w:t>
      </w:r>
      <w:r>
        <w:rPr>
          <w:b w:val="0"/>
          <w:i w:val="0"/>
        </w:rPr>
        <w:t xml:space="preserve"> </w:t>
      </w:r>
      <w:hyperlink w:anchor="latin-record-0373">
        <w:r>
          <w:rPr>
            <w:color w:val="000000"/>
          </w:rPr>
          <w:t xml:space="preserve">determinare</w:t>
        </w:r>
      </w:hyperlink>
      <w:r>
        <w:rPr>
          <w:b w:val="0"/>
          <w:i w:val="0"/>
        </w:rPr>
        <w:t>.</w:t>
      </w:r>
    </w:p>
    <w:p>
      <w:pPr>
        <w:widowControl/>
      </w:pPr>
      <w:r>
        <w:rPr>
          <w:b/>
          <w:i w:val="0"/>
        </w:rPr>
        <w:t>determinata operatio.</w:t>
      </w:r>
      <w:r>
        <w:rPr>
          <w:b w:val="0"/>
          <w:i w:val="0"/>
        </w:rPr>
        <w:t xml:space="preserve"> </w:t>
      </w:r>
      <w:hyperlink w:anchor="latin-record-0374">
        <w:r>
          <w:rPr>
            <w:color w:val="000000"/>
          </w:rPr>
          <w:t xml:space="preserve">determinata operatio</w:t>
        </w:r>
      </w:hyperlink>
      <w:r>
        <w:rPr>
          <w:b w:val="0"/>
          <w:i w:val="0"/>
        </w:rPr>
        <w:t>.</w:t>
      </w:r>
    </w:p>
    <w:p>
      <w:pPr>
        <w:widowControl/>
      </w:pPr>
      <w:r>
        <w:rPr>
          <w:b/>
          <w:i w:val="0"/>
        </w:rPr>
        <w:t>determinato situ.</w:t>
      </w:r>
      <w:r>
        <w:rPr>
          <w:b w:val="0"/>
          <w:i w:val="0"/>
        </w:rPr>
        <w:t xml:space="preserve"> </w:t>
      </w:r>
      <w:hyperlink w:anchor="latin-record-0052">
        <w:r>
          <w:rPr>
            <w:color w:val="000000"/>
          </w:rPr>
          <w:t xml:space="preserve">affigere; situs</w:t>
        </w:r>
      </w:hyperlink>
      <w:r>
        <w:rPr>
          <w:b w:val="0"/>
          <w:i w:val="0"/>
        </w:rPr>
        <w:t>.</w:t>
      </w:r>
    </w:p>
    <w:p>
      <w:pPr>
        <w:widowControl/>
      </w:pPr>
      <w:r>
        <w:rPr>
          <w:b/>
          <w:i w:val="0"/>
        </w:rPr>
        <w:t>determinatur.</w:t>
      </w:r>
      <w:r>
        <w:rPr>
          <w:b w:val="0"/>
          <w:i w:val="0"/>
        </w:rPr>
        <w:t xml:space="preserve"> </w:t>
      </w:r>
      <w:hyperlink w:anchor="latin-record-0373">
        <w:r>
          <w:rPr>
            <w:color w:val="000000"/>
          </w:rPr>
          <w:t xml:space="preserve">determinare</w:t>
        </w:r>
      </w:hyperlink>
      <w:r>
        <w:rPr>
          <w:b w:val="0"/>
          <w:i w:val="0"/>
        </w:rPr>
        <w:t>.</w:t>
      </w:r>
    </w:p>
    <w:p>
      <w:pPr>
        <w:widowControl/>
      </w:pPr>
      <w:r>
        <w:rPr>
          <w:b/>
          <w:i w:val="0"/>
        </w:rPr>
        <w:t>determinet.</w:t>
      </w:r>
      <w:r>
        <w:rPr>
          <w:b w:val="0"/>
          <w:i w:val="0"/>
        </w:rPr>
        <w:t xml:space="preserve"> </w:t>
      </w:r>
      <w:hyperlink w:anchor="latin-record-0373">
        <w:r>
          <w:rPr>
            <w:color w:val="000000"/>
          </w:rPr>
          <w:t xml:space="preserve">determinare</w:t>
        </w:r>
      </w:hyperlink>
      <w:r>
        <w:rPr>
          <w:b w:val="0"/>
          <w:i w:val="0"/>
        </w:rPr>
        <w:t>.</w:t>
      </w:r>
    </w:p>
    <w:p>
      <w:pPr>
        <w:widowControl/>
      </w:pPr>
      <w:r>
        <w:rPr>
          <w:b/>
          <w:i w:val="0"/>
        </w:rPr>
        <w:t>detrudant.</w:t>
      </w:r>
      <w:r>
        <w:rPr>
          <w:b w:val="0"/>
          <w:i w:val="0"/>
        </w:rPr>
        <w:t xml:space="preserve"> </w:t>
      </w:r>
      <w:hyperlink w:anchor="latin-record-0549">
        <w:r>
          <w:rPr>
            <w:color w:val="000000"/>
          </w:rPr>
          <w:t xml:space="preserve">gremium / detrudere / pellere</w:t>
        </w:r>
      </w:hyperlink>
      <w:r>
        <w:rPr>
          <w:b w:val="0"/>
          <w:i w:val="0"/>
        </w:rPr>
        <w:t>.</w:t>
      </w:r>
    </w:p>
    <w:p>
      <w:pPr>
        <w:widowControl/>
      </w:pPr>
      <w:r>
        <w:rPr>
          <w:b/>
          <w:i w:val="0"/>
        </w:rPr>
        <w:t>detur.</w:t>
      </w:r>
      <w:r>
        <w:rPr>
          <w:b w:val="0"/>
          <w:i w:val="0"/>
        </w:rPr>
        <w:t xml:space="preserve"> </w:t>
      </w:r>
      <w:hyperlink w:anchor="latin-record-0355">
        <w:r>
          <w:rPr>
            <w:color w:val="000000"/>
          </w:rPr>
          <w:t xml:space="preserve">dare / tribuere</w:t>
        </w:r>
      </w:hyperlink>
      <w:r>
        <w:rPr>
          <w:b w:val="0"/>
          <w:i w:val="0"/>
        </w:rPr>
        <w:t>.</w:t>
      </w:r>
    </w:p>
    <w:p>
      <w:pPr>
        <w:widowControl/>
      </w:pPr>
      <w:r>
        <w:rPr>
          <w:b/>
          <w:i w:val="0"/>
        </w:rPr>
        <w:t>Deum.</w:t>
      </w:r>
      <w:r>
        <w:rPr>
          <w:b w:val="0"/>
          <w:i w:val="0"/>
        </w:rPr>
        <w:t xml:space="preserve"> </w:t>
      </w:r>
      <w:hyperlink w:anchor="latin-record-0090">
        <w:r>
          <w:rPr>
            <w:color w:val="000000"/>
          </w:rPr>
          <w:t xml:space="preserve">angelus; Deus</w:t>
        </w:r>
      </w:hyperlink>
      <w:r>
        <w:rPr>
          <w:b w:val="0"/>
          <w:i w:val="0"/>
        </w:rPr>
        <w:t xml:space="preserve">; </w:t>
      </w:r>
      <w:hyperlink w:anchor="latin-record-0375">
        <w:r>
          <w:rPr>
            <w:color w:val="000000"/>
          </w:rPr>
          <w:t xml:space="preserve">Deus</w:t>
        </w:r>
      </w:hyperlink>
      <w:r>
        <w:rPr>
          <w:b w:val="0"/>
          <w:i w:val="0"/>
        </w:rPr>
        <w:t>.</w:t>
      </w:r>
    </w:p>
    <w:p>
      <w:pPr>
        <w:widowControl/>
      </w:pPr>
      <w:r>
        <w:rPr>
          <w:b/>
          <w:i w:val="0"/>
        </w:rPr>
        <w:t>deum.</w:t>
      </w:r>
      <w:r>
        <w:rPr>
          <w:b w:val="0"/>
          <w:i w:val="0"/>
        </w:rPr>
        <w:t xml:space="preserve"> </w:t>
      </w:r>
      <w:hyperlink w:anchor="latin-record-0376">
        <w:r>
          <w:rPr>
            <w:color w:val="000000"/>
          </w:rPr>
          <w:t xml:space="preserve">Deus / divinus</w:t>
        </w:r>
      </w:hyperlink>
      <w:r>
        <w:rPr>
          <w:b w:val="0"/>
          <w:i w:val="0"/>
        </w:rPr>
        <w:t>.</w:t>
      </w:r>
    </w:p>
    <w:p>
      <w:pPr>
        <w:widowControl/>
      </w:pPr>
      <w:r>
        <w:rPr>
          <w:b/>
          <w:i w:val="0"/>
        </w:rPr>
        <w:t>Deus.</w:t>
      </w:r>
      <w:r>
        <w:rPr>
          <w:b w:val="0"/>
          <w:i w:val="0"/>
        </w:rPr>
        <w:t xml:space="preserve"> </w:t>
      </w:r>
      <w:hyperlink w:anchor="latin-record-0375">
        <w:r>
          <w:rPr>
            <w:color w:val="000000"/>
          </w:rPr>
          <w:t xml:space="preserve">Deus</w:t>
        </w:r>
      </w:hyperlink>
      <w:r>
        <w:rPr>
          <w:b w:val="0"/>
          <w:i w:val="0"/>
        </w:rPr>
        <w:t>.</w:t>
      </w:r>
    </w:p>
    <w:p>
      <w:pPr>
        <w:widowControl/>
      </w:pPr>
      <w:r>
        <w:rPr>
          <w:b/>
          <w:i w:val="0"/>
        </w:rPr>
        <w:t>deus.</w:t>
      </w:r>
      <w:r>
        <w:rPr>
          <w:b w:val="0"/>
          <w:i w:val="0"/>
        </w:rPr>
        <w:t xml:space="preserve"> </w:t>
      </w:r>
      <w:hyperlink w:anchor="latin-record-0376">
        <w:r>
          <w:rPr>
            <w:color w:val="000000"/>
          </w:rPr>
          <w:t xml:space="preserve">Deus / divinus</w:t>
        </w:r>
      </w:hyperlink>
      <w:r>
        <w:rPr>
          <w:b w:val="0"/>
          <w:i w:val="0"/>
        </w:rPr>
        <w:t>.</w:t>
      </w:r>
    </w:p>
    <w:p>
      <w:pPr>
        <w:widowControl/>
      </w:pPr>
      <w:r>
        <w:rPr>
          <w:b/>
          <w:i w:val="0"/>
        </w:rPr>
        <w:t>devincire.</w:t>
      </w:r>
      <w:r>
        <w:rPr>
          <w:b w:val="0"/>
          <w:i w:val="0"/>
        </w:rPr>
        <w:t xml:space="preserve"> </w:t>
      </w:r>
      <w:hyperlink w:anchor="latin-record-0251">
        <w:r>
          <w:rPr>
            <w:color w:val="000000"/>
          </w:rPr>
          <w:t xml:space="preserve">compages; devincire</w:t>
        </w:r>
      </w:hyperlink>
      <w:r>
        <w:rPr>
          <w:b w:val="0"/>
          <w:i w:val="0"/>
        </w:rPr>
        <w:t>.</w:t>
      </w:r>
    </w:p>
    <w:p>
      <w:pPr>
        <w:widowControl/>
      </w:pPr>
      <w:r>
        <w:rPr>
          <w:b/>
          <w:i w:val="0"/>
        </w:rPr>
        <w:t>dextera.</w:t>
      </w:r>
      <w:r>
        <w:rPr>
          <w:b w:val="0"/>
          <w:i w:val="0"/>
        </w:rPr>
        <w:t xml:space="preserve"> </w:t>
      </w:r>
      <w:hyperlink w:anchor="latin-record-0378">
        <w:r>
          <w:rPr>
            <w:color w:val="000000"/>
          </w:rPr>
          <w:t xml:space="preserve">dextra / sinistra</w:t>
        </w:r>
      </w:hyperlink>
      <w:r>
        <w:rPr>
          <w:b w:val="0"/>
          <w:i w:val="0"/>
        </w:rPr>
        <w:t>.</w:t>
      </w:r>
    </w:p>
    <w:p>
      <w:pPr>
        <w:widowControl/>
      </w:pPr>
      <w:r>
        <w:rPr>
          <w:b/>
          <w:i w:val="0"/>
        </w:rPr>
        <w:t>dextra.</w:t>
      </w:r>
      <w:r>
        <w:rPr>
          <w:b w:val="0"/>
          <w:i w:val="0"/>
        </w:rPr>
        <w:t xml:space="preserve"> </w:t>
      </w:r>
      <w:hyperlink w:anchor="latin-record-0378">
        <w:r>
          <w:rPr>
            <w:color w:val="000000"/>
          </w:rPr>
          <w:t xml:space="preserve">dextra / sinistra</w:t>
        </w:r>
      </w:hyperlink>
      <w:r>
        <w:rPr>
          <w:b w:val="0"/>
          <w:i w:val="0"/>
        </w:rPr>
        <w:t>.</w:t>
      </w:r>
    </w:p>
    <w:p>
      <w:pPr>
        <w:widowControl/>
      </w:pPr>
      <w:r>
        <w:rPr>
          <w:b/>
          <w:i w:val="0"/>
        </w:rPr>
        <w:t>dextrae.</w:t>
      </w:r>
      <w:r>
        <w:rPr>
          <w:b w:val="0"/>
          <w:i w:val="0"/>
        </w:rPr>
        <w:t xml:space="preserve"> </w:t>
      </w:r>
      <w:hyperlink w:anchor="latin-record-0378">
        <w:r>
          <w:rPr>
            <w:color w:val="000000"/>
          </w:rPr>
          <w:t xml:space="preserve">dextra / sinistra</w:t>
        </w:r>
      </w:hyperlink>
      <w:r>
        <w:rPr>
          <w:b w:val="0"/>
          <w:i w:val="0"/>
        </w:rPr>
        <w:t>.</w:t>
      </w:r>
    </w:p>
    <w:p>
      <w:pPr>
        <w:widowControl/>
      </w:pPr>
      <w:r>
        <w:rPr>
          <w:b/>
          <w:i w:val="0"/>
        </w:rPr>
        <w:t>Dicaearchus.</w:t>
      </w:r>
      <w:r>
        <w:rPr>
          <w:b w:val="0"/>
          <w:i w:val="0"/>
        </w:rPr>
        <w:t xml:space="preserve"> </w:t>
      </w:r>
      <w:hyperlink w:anchor="latin-record-0125">
        <w:r>
          <w:rPr>
            <w:color w:val="000000"/>
          </w:rPr>
          <w:t xml:space="preserve">Aristoxenus / Dicaearchus</w:t>
        </w:r>
      </w:hyperlink>
      <w:r>
        <w:rPr>
          <w:b w:val="0"/>
          <w:i w:val="0"/>
        </w:rPr>
        <w:t>.</w:t>
      </w:r>
    </w:p>
    <w:p>
      <w:pPr>
        <w:widowControl/>
      </w:pPr>
      <w:r>
        <w:rPr>
          <w:b/>
          <w:i w:val="0"/>
        </w:rPr>
        <w:t>dicam.</w:t>
      </w:r>
      <w:r>
        <w:rPr>
          <w:b w:val="0"/>
          <w:i w:val="0"/>
        </w:rPr>
        <w:t xml:space="preserve"> </w:t>
      </w:r>
      <w:hyperlink w:anchor="latin-record-0379">
        <w:r>
          <w:rPr>
            <w:color w:val="000000"/>
          </w:rPr>
          <w:t xml:space="preserve">dicere / loqui / vocare</w:t>
        </w:r>
      </w:hyperlink>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dicat.</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dicatur.</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dicendum.</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dicere.</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dices.</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dici.</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dicitur.</w:t>
      </w:r>
      <w:r>
        <w:rPr>
          <w:b w:val="0"/>
          <w:i w:val="0"/>
        </w:rPr>
        <w:t xml:space="preserve"> </w:t>
      </w:r>
      <w:hyperlink w:anchor="latin-record-0379">
        <w:r>
          <w:rPr>
            <w:color w:val="000000"/>
          </w:rPr>
          <w:t xml:space="preserve">dicere / loqui / vocare</w:t>
        </w:r>
      </w:hyperlink>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dictaverit.</w:t>
      </w:r>
      <w:r>
        <w:rPr>
          <w:b w:val="0"/>
          <w:i w:val="0"/>
        </w:rPr>
        <w:t xml:space="preserve"> </w:t>
      </w:r>
      <w:hyperlink w:anchor="latin-record-1384">
        <w:r>
          <w:rPr>
            <w:color w:val="000000"/>
          </w:rPr>
          <w:t xml:space="preserve">voluntas constans</w:t>
        </w:r>
      </w:hyperlink>
      <w:r>
        <w:rPr>
          <w:b w:val="0"/>
          <w:i w:val="0"/>
        </w:rPr>
        <w:t>.</w:t>
      </w:r>
    </w:p>
    <w:p>
      <w:pPr>
        <w:widowControl/>
      </w:pPr>
      <w:r>
        <w:rPr>
          <w:b/>
          <w:i w:val="0"/>
        </w:rPr>
        <w:t>dictiones.</w:t>
      </w:r>
      <w:r>
        <w:rPr>
          <w:b w:val="0"/>
          <w:i w:val="0"/>
        </w:rPr>
        <w:t xml:space="preserve"> </w:t>
      </w:r>
      <w:hyperlink w:anchor="latin-record-0381">
        <w:r>
          <w:rPr>
            <w:color w:val="000000"/>
          </w:rPr>
          <w:t xml:space="preserve">dictio / supervivere</w:t>
        </w:r>
      </w:hyperlink>
      <w:r>
        <w:rPr>
          <w:b w:val="0"/>
          <w:i w:val="0"/>
        </w:rPr>
        <w:t>.</w:t>
      </w:r>
    </w:p>
    <w:p>
      <w:pPr>
        <w:widowControl/>
      </w:pPr>
      <w:r>
        <w:rPr>
          <w:b/>
          <w:i w:val="0"/>
        </w:rPr>
        <w:t>dictu.</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differentia.</w:t>
      </w:r>
      <w:r>
        <w:rPr>
          <w:b w:val="0"/>
          <w:i w:val="0"/>
        </w:rPr>
        <w:t xml:space="preserve"> </w:t>
      </w:r>
      <w:hyperlink w:anchor="latin-record-0382">
        <w:r>
          <w:rPr>
            <w:color w:val="000000"/>
          </w:rPr>
          <w:t xml:space="preserve">differentia</w:t>
        </w:r>
      </w:hyperlink>
      <w:r>
        <w:rPr>
          <w:b w:val="0"/>
          <w:i w:val="0"/>
        </w:rPr>
        <w:t>.</w:t>
      </w:r>
    </w:p>
    <w:p>
      <w:pPr>
        <w:widowControl/>
      </w:pPr>
      <w:r>
        <w:rPr>
          <w:b/>
          <w:i w:val="0"/>
        </w:rPr>
        <w:t>differentiae.</w:t>
      </w:r>
      <w:r>
        <w:rPr>
          <w:b w:val="0"/>
          <w:i w:val="0"/>
        </w:rPr>
        <w:t xml:space="preserve"> </w:t>
      </w:r>
      <w:hyperlink w:anchor="latin-record-0382">
        <w:r>
          <w:rPr>
            <w:color w:val="000000"/>
          </w:rPr>
          <w:t xml:space="preserve">differentia</w:t>
        </w:r>
      </w:hyperlink>
      <w:r>
        <w:rPr>
          <w:b w:val="0"/>
          <w:i w:val="0"/>
        </w:rPr>
        <w:t>.</w:t>
      </w:r>
    </w:p>
    <w:p>
      <w:pPr>
        <w:widowControl/>
      </w:pPr>
      <w:r>
        <w:rPr>
          <w:b/>
          <w:i w:val="0"/>
        </w:rPr>
        <w:t>differentiam.</w:t>
      </w:r>
      <w:r>
        <w:rPr>
          <w:b w:val="0"/>
          <w:i w:val="0"/>
        </w:rPr>
        <w:t xml:space="preserve"> </w:t>
      </w:r>
      <w:hyperlink w:anchor="latin-record-0382">
        <w:r>
          <w:rPr>
            <w:color w:val="000000"/>
          </w:rPr>
          <w:t xml:space="preserve">differentia</w:t>
        </w:r>
      </w:hyperlink>
      <w:r>
        <w:rPr>
          <w:b w:val="0"/>
          <w:i w:val="0"/>
        </w:rPr>
        <w:t>.</w:t>
      </w:r>
    </w:p>
    <w:p>
      <w:pPr>
        <w:widowControl/>
      </w:pPr>
      <w:r>
        <w:rPr>
          <w:b/>
          <w:i w:val="0"/>
        </w:rPr>
        <w:t>differentias.</w:t>
      </w:r>
      <w:r>
        <w:rPr>
          <w:b w:val="0"/>
          <w:i w:val="0"/>
        </w:rPr>
        <w:t xml:space="preserve"> </w:t>
      </w:r>
      <w:hyperlink w:anchor="latin-record-0382">
        <w:r>
          <w:rPr>
            <w:color w:val="000000"/>
          </w:rPr>
          <w:t xml:space="preserve">differentia</w:t>
        </w:r>
      </w:hyperlink>
      <w:r>
        <w:rPr>
          <w:b w:val="0"/>
          <w:i w:val="0"/>
        </w:rPr>
        <w:t>.</w:t>
      </w:r>
    </w:p>
    <w:p>
      <w:pPr>
        <w:widowControl/>
      </w:pPr>
      <w:r>
        <w:rPr>
          <w:b/>
          <w:i w:val="0"/>
        </w:rPr>
        <w:t>difficile.</w:t>
      </w:r>
      <w:r>
        <w:rPr>
          <w:b w:val="0"/>
          <w:i w:val="0"/>
        </w:rPr>
        <w:t xml:space="preserve"> </w:t>
      </w:r>
      <w:hyperlink w:anchor="latin-record-0476">
        <w:r>
          <w:rPr>
            <w:color w:val="000000"/>
          </w:rPr>
          <w:t xml:space="preserve">facilis / difficilis</w:t>
        </w:r>
      </w:hyperlink>
      <w:r>
        <w:rPr>
          <w:b w:val="0"/>
          <w:i w:val="0"/>
        </w:rPr>
        <w:t>.</w:t>
      </w:r>
    </w:p>
    <w:p>
      <w:pPr>
        <w:widowControl/>
      </w:pPr>
      <w:r>
        <w:rPr>
          <w:b/>
          <w:i w:val="0"/>
        </w:rPr>
        <w:t>diffluendo.</w:t>
      </w:r>
      <w:r>
        <w:rPr>
          <w:b w:val="0"/>
          <w:i w:val="0"/>
        </w:rPr>
        <w:t xml:space="preserve"> </w:t>
      </w:r>
      <w:hyperlink w:anchor="latin-record-0425">
        <w:r>
          <w:rPr>
            <w:color w:val="000000"/>
          </w:rPr>
          <w:t xml:space="preserve">effluere / diffluere / defluere</w:t>
        </w:r>
      </w:hyperlink>
      <w:r>
        <w:rPr>
          <w:b w:val="0"/>
          <w:i w:val="0"/>
        </w:rPr>
        <w:t>.</w:t>
      </w:r>
    </w:p>
    <w:p>
      <w:pPr>
        <w:widowControl/>
      </w:pPr>
      <w:r>
        <w:rPr>
          <w:b/>
          <w:i w:val="0"/>
        </w:rPr>
        <w:t>diffluunt.</w:t>
      </w:r>
      <w:r>
        <w:rPr>
          <w:b w:val="0"/>
          <w:i w:val="0"/>
        </w:rPr>
        <w:t xml:space="preserve"> </w:t>
      </w:r>
      <w:hyperlink w:anchor="latin-record-0251">
        <w:r>
          <w:rPr>
            <w:color w:val="000000"/>
          </w:rPr>
          <w:t xml:space="preserve">compages; devincire</w:t>
        </w:r>
      </w:hyperlink>
      <w:r>
        <w:rPr>
          <w:b w:val="0"/>
          <w:i w:val="0"/>
        </w:rPr>
        <w:t>.</w:t>
      </w:r>
    </w:p>
    <w:p>
      <w:pPr>
        <w:widowControl/>
      </w:pPr>
      <w:r>
        <w:rPr>
          <w:b/>
          <w:i w:val="0"/>
        </w:rPr>
        <w:t>diffusa.</w:t>
      </w:r>
      <w:r>
        <w:rPr>
          <w:b w:val="0"/>
          <w:i w:val="0"/>
        </w:rPr>
        <w:t xml:space="preserve"> </w:t>
      </w:r>
      <w:hyperlink w:anchor="latin-record-0383">
        <w:r>
          <w:rPr>
            <w:color w:val="000000"/>
          </w:rPr>
          <w:t xml:space="preserve">diffundere / spargere / porrigere</w:t>
        </w:r>
      </w:hyperlink>
      <w:r>
        <w:rPr>
          <w:b w:val="0"/>
          <w:i w:val="0"/>
        </w:rPr>
        <w:t>.</w:t>
      </w:r>
    </w:p>
    <w:p>
      <w:pPr>
        <w:widowControl/>
      </w:pPr>
      <w:r>
        <w:rPr>
          <w:b/>
          <w:i w:val="0"/>
        </w:rPr>
        <w:t>diffusione.</w:t>
      </w:r>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diffusum.</w:t>
      </w:r>
      <w:r>
        <w:rPr>
          <w:b w:val="0"/>
          <w:i w:val="0"/>
        </w:rPr>
        <w:t xml:space="preserve"> </w:t>
      </w:r>
      <w:hyperlink w:anchor="latin-record-0533">
        <w:r>
          <w:rPr>
            <w:color w:val="000000"/>
          </w:rPr>
          <w:t xml:space="preserve">fundere / diffundere / permanare</w:t>
        </w:r>
      </w:hyperlink>
      <w:r>
        <w:rPr>
          <w:b w:val="0"/>
          <w:i w:val="0"/>
        </w:rPr>
        <w:t>.</w:t>
      </w:r>
    </w:p>
    <w:p>
      <w:pPr>
        <w:widowControl/>
      </w:pPr>
      <w:r>
        <w:rPr>
          <w:b/>
          <w:i w:val="0"/>
        </w:rPr>
        <w:t>digeritque.</w:t>
      </w:r>
      <w:r>
        <w:rPr>
          <w:b w:val="0"/>
          <w:i w:val="0"/>
        </w:rPr>
        <w:t xml:space="preserve"> </w:t>
      </w:r>
      <w:hyperlink w:anchor="latin-record-0280">
        <w:r>
          <w:rPr>
            <w:color w:val="000000"/>
          </w:rPr>
          <w:t xml:space="preserve">concoquere / digerere</w:t>
        </w:r>
      </w:hyperlink>
      <w:r>
        <w:rPr>
          <w:b w:val="0"/>
          <w:i w:val="0"/>
        </w:rPr>
        <w:t>.</w:t>
      </w:r>
    </w:p>
    <w:p>
      <w:pPr>
        <w:widowControl/>
      </w:pPr>
      <w:r>
        <w:rPr>
          <w:b/>
          <w:i w:val="0"/>
        </w:rPr>
        <w:t>dignitatem.</w:t>
      </w:r>
      <w:r>
        <w:rPr>
          <w:b w:val="0"/>
          <w:i w:val="0"/>
        </w:rPr>
        <w:t xml:space="preserve"> </w:t>
      </w:r>
      <w:hyperlink w:anchor="latin-record-0384">
        <w:r>
          <w:rPr>
            <w:color w:val="000000"/>
          </w:rPr>
          <w:t xml:space="preserve">dignitas</w:t>
        </w:r>
      </w:hyperlink>
      <w:r>
        <w:rPr>
          <w:b w:val="0"/>
          <w:i w:val="0"/>
        </w:rPr>
        <w:t>.</w:t>
      </w:r>
    </w:p>
    <w:p>
      <w:pPr>
        <w:widowControl/>
      </w:pPr>
      <w:r>
        <w:rPr>
          <w:b/>
          <w:i w:val="0"/>
        </w:rPr>
        <w:t>diiudicat.</w:t>
      </w:r>
      <w:r>
        <w:rPr>
          <w:b w:val="0"/>
          <w:i w:val="0"/>
        </w:rPr>
        <w:t xml:space="preserve"> </w:t>
      </w:r>
      <w:hyperlink w:anchor="latin-record-0385">
        <w:r>
          <w:rPr>
            <w:color w:val="000000"/>
          </w:rPr>
          <w:t xml:space="preserve">diiudicare</w:t>
        </w:r>
      </w:hyperlink>
      <w:r>
        <w:rPr>
          <w:b w:val="0"/>
          <w:i w:val="0"/>
        </w:rPr>
        <w:t>.</w:t>
      </w:r>
    </w:p>
    <w:p>
      <w:pPr>
        <w:widowControl/>
      </w:pPr>
      <w:r>
        <w:rPr>
          <w:b/>
          <w:i w:val="0"/>
        </w:rPr>
        <w:t>dilaniatio.</w:t>
      </w:r>
      <w:r>
        <w:rPr>
          <w:b w:val="0"/>
          <w:i w:val="0"/>
        </w:rPr>
        <w:t xml:space="preserve"> </w:t>
      </w:r>
      <w:hyperlink w:anchor="latin-record-0386">
        <w:r>
          <w:rPr>
            <w:color w:val="000000"/>
          </w:rPr>
          <w:t xml:space="preserve">dilaniatio / lacerare / discerpere</w:t>
        </w:r>
      </w:hyperlink>
      <w:r>
        <w:rPr>
          <w:b w:val="0"/>
          <w:i w:val="0"/>
        </w:rPr>
        <w:t>.</w:t>
      </w:r>
    </w:p>
    <w:p>
      <w:pPr>
        <w:widowControl/>
      </w:pPr>
      <w:r>
        <w:rPr>
          <w:b/>
          <w:i w:val="0"/>
        </w:rPr>
        <w:t>diligunt.</w:t>
      </w:r>
      <w:r>
        <w:rPr>
          <w:b w:val="0"/>
          <w:i w:val="0"/>
        </w:rPr>
        <w:t xml:space="preserve"> </w:t>
      </w:r>
      <w:hyperlink w:anchor="latin-record-0932">
        <w:r>
          <w:rPr>
            <w:color w:val="000000"/>
          </w:rPr>
          <w:t xml:space="preserve">pernicies / diligere opus</w:t>
        </w:r>
      </w:hyperlink>
      <w:r>
        <w:rPr>
          <w:b w:val="0"/>
          <w:i w:val="0"/>
        </w:rPr>
        <w:t>.</w:t>
      </w:r>
    </w:p>
    <w:p>
      <w:pPr>
        <w:widowControl/>
      </w:pPr>
      <w:r>
        <w:rPr>
          <w:b/>
          <w:i w:val="0"/>
        </w:rPr>
        <w:t>dimensionibus.</w:t>
      </w:r>
      <w:r>
        <w:rPr>
          <w:b w:val="0"/>
          <w:i w:val="0"/>
        </w:rPr>
        <w:t xml:space="preserve"> </w:t>
      </w:r>
      <w:hyperlink w:anchor="latin-record-1045">
        <w:r>
          <w:rPr>
            <w:color w:val="000000"/>
          </w:rPr>
          <w:t xml:space="preserve">quantitas / dimensio</w:t>
        </w:r>
      </w:hyperlink>
      <w:r>
        <w:rPr>
          <w:b w:val="0"/>
          <w:i w:val="0"/>
        </w:rPr>
        <w:t>.</w:t>
      </w:r>
    </w:p>
    <w:p>
      <w:pPr>
        <w:widowControl/>
      </w:pPr>
      <w:r>
        <w:rPr>
          <w:b/>
          <w:i w:val="0"/>
        </w:rPr>
        <w:t>dimidia.</w:t>
      </w:r>
      <w:r>
        <w:rPr>
          <w:b w:val="0"/>
          <w:i w:val="0"/>
        </w:rPr>
        <w:t xml:space="preserve"> </w:t>
      </w:r>
      <w:hyperlink w:anchor="latin-record-0892">
        <w:r>
          <w:rPr>
            <w:color w:val="000000"/>
          </w:rPr>
          <w:t xml:space="preserve">pars / totum</w:t>
        </w:r>
      </w:hyperlink>
      <w:r>
        <w:rPr>
          <w:b w:val="0"/>
          <w:i w:val="0"/>
        </w:rPr>
        <w:t>.</w:t>
      </w:r>
    </w:p>
    <w:p>
      <w:pPr>
        <w:widowControl/>
      </w:pPr>
      <w:r>
        <w:rPr>
          <w:b/>
          <w:i w:val="0"/>
        </w:rPr>
        <w:t>dimidium.</w:t>
      </w:r>
      <w:r>
        <w:rPr>
          <w:b w:val="0"/>
          <w:i w:val="0"/>
        </w:rPr>
        <w:t xml:space="preserve"> </w:t>
      </w:r>
      <w:hyperlink w:anchor="latin-record-0892">
        <w:r>
          <w:rPr>
            <w:color w:val="000000"/>
          </w:rPr>
          <w:t xml:space="preserve">pars / totum</w:t>
        </w:r>
      </w:hyperlink>
      <w:r>
        <w:rPr>
          <w:b w:val="0"/>
          <w:i w:val="0"/>
        </w:rPr>
        <w:t>.</w:t>
      </w:r>
    </w:p>
    <w:p>
      <w:pPr>
        <w:widowControl/>
      </w:pPr>
      <w:r>
        <w:rPr>
          <w:b/>
          <w:i w:val="0"/>
        </w:rPr>
        <w:t>dimisso.</w:t>
      </w:r>
      <w:r>
        <w:rPr>
          <w:b w:val="0"/>
          <w:i w:val="0"/>
        </w:rPr>
        <w:t xml:space="preserve"> </w:t>
      </w:r>
      <w:hyperlink w:anchor="latin-record-1099">
        <w:r>
          <w:rPr>
            <w:color w:val="000000"/>
          </w:rPr>
          <w:t xml:space="preserve">relinquere / dimittere</w:t>
        </w:r>
      </w:hyperlink>
      <w:r>
        <w:rPr>
          <w:b w:val="0"/>
          <w:i w:val="0"/>
        </w:rPr>
        <w:t>.</w:t>
      </w:r>
    </w:p>
    <w:p>
      <w:pPr>
        <w:widowControl/>
      </w:pPr>
      <w:r>
        <w:rPr>
          <w:b/>
          <w:i w:val="0"/>
        </w:rPr>
        <w:t>Diogenes Apolloniates.</w:t>
      </w:r>
      <w:r>
        <w:rPr>
          <w:b w:val="0"/>
          <w:i w:val="0"/>
        </w:rPr>
        <w:t xml:space="preserve"> </w:t>
      </w:r>
      <w:hyperlink w:anchor="latin-record-0086">
        <w:r>
          <w:rPr>
            <w:color w:val="000000"/>
          </w:rPr>
          <w:t xml:space="preserve">Anaximenes; Diogenes; Critias</w:t>
        </w:r>
      </w:hyperlink>
      <w:r>
        <w:rPr>
          <w:b w:val="0"/>
          <w:i w:val="0"/>
        </w:rPr>
        <w:t>.</w:t>
      </w:r>
    </w:p>
    <w:p>
      <w:pPr>
        <w:widowControl/>
      </w:pPr>
      <w:r>
        <w:rPr>
          <w:b/>
          <w:i w:val="0"/>
        </w:rPr>
        <w:t>Dionysium Areopagitam.</w:t>
      </w:r>
      <w:r>
        <w:rPr>
          <w:b w:val="0"/>
          <w:i w:val="0"/>
        </w:rPr>
        <w:t xml:space="preserve"> </w:t>
      </w:r>
      <w:hyperlink w:anchor="latin-record-0387">
        <w:r>
          <w:rPr>
            <w:color w:val="000000"/>
          </w:rPr>
          <w:t xml:space="preserve">Dionysius / Origenes / Augustinus</w:t>
        </w:r>
      </w:hyperlink>
      <w:r>
        <w:rPr>
          <w:b w:val="0"/>
          <w:i w:val="0"/>
        </w:rPr>
        <w:t>.</w:t>
      </w:r>
    </w:p>
    <w:p>
      <w:pPr>
        <w:widowControl/>
      </w:pPr>
      <w:r>
        <w:rPr>
          <w:b/>
          <w:i w:val="0"/>
        </w:rPr>
        <w:t>discedit.</w:t>
      </w:r>
      <w:r>
        <w:rPr>
          <w:b w:val="0"/>
          <w:i w:val="0"/>
        </w:rPr>
        <w:t xml:space="preserve"> </w:t>
      </w:r>
      <w:hyperlink w:anchor="latin-record-0003">
        <w:r>
          <w:rPr>
            <w:color w:val="000000"/>
          </w:rPr>
          <w:t xml:space="preserve">abire / discedere</w:t>
        </w:r>
      </w:hyperlink>
      <w:r>
        <w:rPr>
          <w:b w:val="0"/>
          <w:i w:val="0"/>
        </w:rPr>
        <w:t>.</w:t>
      </w:r>
    </w:p>
    <w:p>
      <w:pPr>
        <w:widowControl/>
      </w:pPr>
      <w:r>
        <w:rPr>
          <w:b/>
          <w:i w:val="0"/>
        </w:rPr>
        <w:t>discernantur.</w:t>
      </w:r>
      <w:r>
        <w:rPr>
          <w:b w:val="0"/>
          <w:i w:val="0"/>
        </w:rPr>
        <w:t xml:space="preserve"> </w:t>
      </w:r>
      <w:hyperlink w:anchor="latin-record-0388">
        <w:r>
          <w:rPr>
            <w:color w:val="000000"/>
          </w:rPr>
          <w:t xml:space="preserve">discernere</w:t>
        </w:r>
      </w:hyperlink>
      <w:r>
        <w:rPr>
          <w:b w:val="0"/>
          <w:i w:val="0"/>
        </w:rPr>
        <w:t>.</w:t>
      </w:r>
    </w:p>
    <w:p>
      <w:pPr>
        <w:widowControl/>
      </w:pPr>
      <w:r>
        <w:rPr>
          <w:b/>
          <w:i w:val="0"/>
        </w:rPr>
        <w:t>discernat.</w:t>
      </w:r>
      <w:r>
        <w:rPr>
          <w:b w:val="0"/>
          <w:i w:val="0"/>
        </w:rPr>
        <w:t xml:space="preserve"> </w:t>
      </w:r>
      <w:hyperlink w:anchor="latin-record-0388">
        <w:r>
          <w:rPr>
            <w:color w:val="000000"/>
          </w:rPr>
          <w:t xml:space="preserve">discernere</w:t>
        </w:r>
      </w:hyperlink>
      <w:r>
        <w:rPr>
          <w:b w:val="0"/>
          <w:i w:val="0"/>
        </w:rPr>
        <w:t>.</w:t>
      </w:r>
    </w:p>
    <w:p>
      <w:pPr>
        <w:widowControl/>
      </w:pPr>
      <w:r>
        <w:rPr>
          <w:b/>
          <w:i w:val="0"/>
        </w:rPr>
        <w:t>discernere.</w:t>
      </w:r>
      <w:r>
        <w:rPr>
          <w:b w:val="0"/>
          <w:i w:val="0"/>
        </w:rPr>
        <w:t xml:space="preserve"> </w:t>
      </w:r>
      <w:hyperlink w:anchor="latin-record-0371">
        <w:r>
          <w:rPr>
            <w:color w:val="000000"/>
          </w:rPr>
          <w:t xml:space="preserve">designare / discernere</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1111">
        <w:r>
          <w:rPr>
            <w:color w:val="000000"/>
          </w:rPr>
          <w:t xml:space="preserve">repugnare; reflecti; definire</w:t>
        </w:r>
      </w:hyperlink>
      <w:r>
        <w:rPr>
          <w:b w:val="0"/>
          <w:i w:val="0"/>
        </w:rPr>
        <w:t xml:space="preserve">; </w:t>
      </w:r>
      <w:hyperlink w:anchor="latin-record-1144">
        <w:r>
          <w:rPr>
            <w:color w:val="000000"/>
          </w:rPr>
          <w:t xml:space="preserve">secernere / discernere</w:t>
        </w:r>
      </w:hyperlink>
      <w:r>
        <w:rPr>
          <w:b w:val="0"/>
          <w:i w:val="0"/>
        </w:rPr>
        <w:t>.</w:t>
      </w:r>
    </w:p>
    <w:p>
      <w:pPr>
        <w:widowControl/>
      </w:pPr>
      <w:r>
        <w:rPr>
          <w:b/>
          <w:i w:val="0"/>
        </w:rPr>
        <w:t>discernet.</w:t>
      </w:r>
      <w:r>
        <w:rPr>
          <w:b w:val="0"/>
          <w:i w:val="0"/>
        </w:rPr>
        <w:t xml:space="preserve"> </w:t>
      </w:r>
      <w:hyperlink w:anchor="latin-record-0693">
        <w:r>
          <w:rPr>
            <w:color w:val="000000"/>
          </w:rPr>
          <w:t xml:space="preserve">iudicare; discernere</w:t>
        </w:r>
      </w:hyperlink>
      <w:r>
        <w:rPr>
          <w:b w:val="0"/>
          <w:i w:val="0"/>
        </w:rPr>
        <w:t xml:space="preserve">; </w:t>
      </w:r>
      <w:hyperlink w:anchor="latin-record-1188">
        <w:r>
          <w:rPr>
            <w:color w:val="000000"/>
          </w:rPr>
          <w:t xml:space="preserve">sincere discernere</w:t>
        </w:r>
      </w:hyperlink>
      <w:r>
        <w:rPr>
          <w:b w:val="0"/>
          <w:i w:val="0"/>
        </w:rPr>
        <w:t>.</w:t>
      </w:r>
    </w:p>
    <w:p>
      <w:pPr>
        <w:widowControl/>
      </w:pPr>
      <w:r>
        <w:rPr>
          <w:b/>
          <w:i w:val="0"/>
        </w:rPr>
        <w:t>discerni.</w:t>
      </w:r>
      <w:r>
        <w:rPr>
          <w:b w:val="0"/>
          <w:i w:val="0"/>
        </w:rPr>
        <w:t xml:space="preserve"> </w:t>
      </w:r>
      <w:hyperlink w:anchor="latin-record-0388">
        <w:r>
          <w:rPr>
            <w:color w:val="000000"/>
          </w:rPr>
          <w:t xml:space="preserve">discernere</w:t>
        </w:r>
      </w:hyperlink>
      <w:r>
        <w:rPr>
          <w:b w:val="0"/>
          <w:i w:val="0"/>
        </w:rPr>
        <w:t>.</w:t>
      </w:r>
    </w:p>
    <w:p>
      <w:pPr>
        <w:widowControl/>
      </w:pPr>
      <w:r>
        <w:rPr>
          <w:b/>
          <w:i w:val="0"/>
        </w:rPr>
        <w:t>discernimus.</w:t>
      </w:r>
      <w:r>
        <w:rPr>
          <w:b w:val="0"/>
          <w:i w:val="0"/>
        </w:rPr>
        <w:t xml:space="preserve"> </w:t>
      </w:r>
      <w:hyperlink w:anchor="latin-record-0388">
        <w:r>
          <w:rPr>
            <w:color w:val="000000"/>
          </w:rPr>
          <w:t xml:space="preserve">discernere</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1188">
        <w:r>
          <w:rPr>
            <w:color w:val="000000"/>
          </w:rPr>
          <w:t xml:space="preserve">sincere discernere</w:t>
        </w:r>
      </w:hyperlink>
      <w:r>
        <w:rPr>
          <w:b w:val="0"/>
          <w:i w:val="0"/>
        </w:rPr>
        <w:t>.</w:t>
      </w:r>
    </w:p>
    <w:p>
      <w:pPr>
        <w:widowControl/>
      </w:pPr>
      <w:r>
        <w:rPr>
          <w:b/>
          <w:i w:val="0"/>
        </w:rPr>
        <w:t>discernit.</w:t>
      </w:r>
      <w:r>
        <w:rPr>
          <w:b w:val="0"/>
          <w:i w:val="0"/>
        </w:rPr>
        <w:t xml:space="preserve"> </w:t>
      </w:r>
      <w:hyperlink w:anchor="latin-record-0371">
        <w:r>
          <w:rPr>
            <w:color w:val="000000"/>
          </w:rPr>
          <w:t xml:space="preserve">designare / discernere</w:t>
        </w:r>
      </w:hyperlink>
      <w:r>
        <w:rPr>
          <w:b w:val="0"/>
          <w:i w:val="0"/>
        </w:rPr>
        <w:t>.</w:t>
      </w:r>
    </w:p>
    <w:p>
      <w:pPr>
        <w:widowControl/>
      </w:pPr>
      <w:r>
        <w:rPr>
          <w:b/>
          <w:i w:val="0"/>
        </w:rPr>
        <w:t>discerptemus.</w:t>
      </w:r>
      <w:r>
        <w:rPr>
          <w:b w:val="0"/>
          <w:i w:val="0"/>
        </w:rPr>
        <w:t xml:space="preserve"> </w:t>
      </w:r>
      <w:hyperlink w:anchor="latin-record-0386">
        <w:r>
          <w:rPr>
            <w:color w:val="000000"/>
          </w:rPr>
          <w:t xml:space="preserve">dilaniatio / lacerare / discerpere</w:t>
        </w:r>
      </w:hyperlink>
      <w:r>
        <w:rPr>
          <w:b w:val="0"/>
          <w:i w:val="0"/>
        </w:rPr>
        <w:t>.</w:t>
      </w:r>
    </w:p>
    <w:p>
      <w:pPr>
        <w:widowControl/>
      </w:pPr>
      <w:r>
        <w:rPr>
          <w:b/>
          <w:i w:val="0"/>
        </w:rPr>
        <w:t>discessum.</w:t>
      </w:r>
      <w:r>
        <w:rPr>
          <w:b w:val="0"/>
          <w:i w:val="0"/>
        </w:rPr>
        <w:t xml:space="preserve"> </w:t>
      </w:r>
      <w:hyperlink w:anchor="latin-record-0010">
        <w:r>
          <w:rPr>
            <w:color w:val="000000"/>
          </w:rPr>
          <w:t xml:space="preserve">accedere; discedere</w:t>
        </w:r>
      </w:hyperlink>
      <w:r>
        <w:rPr>
          <w:b w:val="0"/>
          <w:i w:val="0"/>
        </w:rPr>
        <w:t>.</w:t>
      </w:r>
    </w:p>
    <w:p>
      <w:pPr>
        <w:widowControl/>
      </w:pPr>
      <w:r>
        <w:rPr>
          <w:b/>
          <w:i w:val="0"/>
        </w:rPr>
        <w:t>discindi.</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disciplina.</w:t>
      </w:r>
      <w:r>
        <w:rPr>
          <w:b w:val="0"/>
          <w:i w:val="0"/>
        </w:rPr>
        <w:t xml:space="preserve"> </w:t>
      </w:r>
      <w:hyperlink w:anchor="latin-record-0079">
        <w:r>
          <w:rPr>
            <w:color w:val="000000"/>
          </w:rPr>
          <w:t xml:space="preserve">amicitia / disciplina</w:t>
        </w:r>
      </w:hyperlink>
      <w:r>
        <w:rPr>
          <w:b w:val="0"/>
          <w:i w:val="0"/>
        </w:rPr>
        <w:t xml:space="preserve">; </w:t>
      </w:r>
      <w:hyperlink w:anchor="latin-record-0389">
        <w:r>
          <w:rPr>
            <w:color w:val="000000"/>
          </w:rPr>
          <w:t xml:space="preserve">disciplina / usus</w:t>
        </w:r>
      </w:hyperlink>
      <w:r>
        <w:rPr>
          <w:b w:val="0"/>
          <w:i w:val="0"/>
        </w:rPr>
        <w:t>.</w:t>
      </w:r>
    </w:p>
    <w:p>
      <w:pPr>
        <w:widowControl/>
      </w:pPr>
      <w:r>
        <w:rPr>
          <w:b/>
          <w:i w:val="0"/>
        </w:rPr>
        <w:t>discipuli.</w:t>
      </w:r>
      <w:r>
        <w:rPr>
          <w:b w:val="0"/>
          <w:i w:val="0"/>
        </w:rPr>
        <w:t xml:space="preserve"> </w:t>
      </w:r>
      <w:hyperlink w:anchor="latin-record-0079">
        <w:r>
          <w:rPr>
            <w:color w:val="000000"/>
          </w:rPr>
          <w:t xml:space="preserve">amicitia / disciplina</w:t>
        </w:r>
      </w:hyperlink>
      <w:r>
        <w:rPr>
          <w:b w:val="0"/>
          <w:i w:val="0"/>
        </w:rPr>
        <w:t>.</w:t>
      </w:r>
    </w:p>
    <w:p>
      <w:pPr>
        <w:widowControl/>
      </w:pPr>
      <w:r>
        <w:rPr>
          <w:b/>
          <w:i w:val="0"/>
        </w:rPr>
        <w:t>discipulum.</w:t>
      </w:r>
      <w:r>
        <w:rPr>
          <w:b w:val="0"/>
          <w:i w:val="0"/>
        </w:rPr>
        <w:t xml:space="preserve"> </w:t>
      </w:r>
      <w:hyperlink w:anchor="latin-record-0079">
        <w:r>
          <w:rPr>
            <w:color w:val="000000"/>
          </w:rPr>
          <w:t xml:space="preserve">amicitia / disciplina</w:t>
        </w:r>
      </w:hyperlink>
      <w:r>
        <w:rPr>
          <w:b w:val="0"/>
          <w:i w:val="0"/>
        </w:rPr>
        <w:t>.</w:t>
      </w:r>
    </w:p>
    <w:p>
      <w:pPr>
        <w:widowControl/>
      </w:pPr>
      <w:r>
        <w:rPr>
          <w:b/>
          <w:i w:val="0"/>
        </w:rPr>
        <w:t>discordia.</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discretionis.</w:t>
      </w:r>
      <w:r>
        <w:rPr>
          <w:b w:val="0"/>
          <w:i w:val="0"/>
        </w:rPr>
        <w:t xml:space="preserve"> </w:t>
      </w:r>
      <w:hyperlink w:anchor="latin-record-0390">
        <w:r>
          <w:rPr>
            <w:color w:val="000000"/>
          </w:rPr>
          <w:t xml:space="preserve">discretio</w:t>
        </w:r>
      </w:hyperlink>
      <w:r>
        <w:rPr>
          <w:b w:val="0"/>
          <w:i w:val="0"/>
        </w:rPr>
        <w:t>.</w:t>
      </w:r>
    </w:p>
    <w:p>
      <w:pPr>
        <w:widowControl/>
      </w:pPr>
      <w:r>
        <w:rPr>
          <w:b/>
          <w:i w:val="0"/>
        </w:rPr>
        <w:t>discumberemus.</w:t>
      </w:r>
      <w:r>
        <w:rPr>
          <w:b w:val="0"/>
          <w:i w:val="0"/>
        </w:rPr>
        <w:t xml:space="preserve"> </w:t>
      </w:r>
      <w:hyperlink w:anchor="latin-record-0330">
        <w:r>
          <w:rPr>
            <w:color w:val="000000"/>
          </w:rPr>
          <w:t xml:space="preserve">convivium; discumbere</w:t>
        </w:r>
      </w:hyperlink>
      <w:r>
        <w:rPr>
          <w:b w:val="0"/>
          <w:i w:val="0"/>
        </w:rPr>
        <w:t>.</w:t>
      </w:r>
    </w:p>
    <w:p>
      <w:pPr>
        <w:widowControl/>
      </w:pPr>
      <w:r>
        <w:rPr>
          <w:b/>
          <w:i w:val="0"/>
        </w:rPr>
        <w:t>discurrendi.</w:t>
      </w:r>
      <w:r>
        <w:rPr>
          <w:b w:val="0"/>
          <w:i w:val="0"/>
        </w:rPr>
        <w:t xml:space="preserve"> </w:t>
      </w:r>
      <w:hyperlink w:anchor="latin-record-0393">
        <w:r>
          <w:rPr>
            <w:color w:val="000000"/>
          </w:rPr>
          <w:t xml:space="preserve">discursus / discurrere</w:t>
        </w:r>
      </w:hyperlink>
      <w:r>
        <w:rPr>
          <w:b w:val="0"/>
          <w:i w:val="0"/>
        </w:rPr>
        <w:t>.</w:t>
      </w:r>
    </w:p>
    <w:p>
      <w:pPr>
        <w:widowControl/>
      </w:pPr>
      <w:r>
        <w:rPr>
          <w:b/>
          <w:i w:val="0"/>
        </w:rPr>
        <w:t>discurrendo.</w:t>
      </w:r>
      <w:r>
        <w:rPr>
          <w:b w:val="0"/>
          <w:i w:val="0"/>
        </w:rPr>
        <w:t xml:space="preserve"> </w:t>
      </w:r>
      <w:hyperlink w:anchor="latin-record-0393">
        <w:r>
          <w:rPr>
            <w:color w:val="000000"/>
          </w:rPr>
          <w:t xml:space="preserve">discursus / discurrere</w:t>
        </w:r>
      </w:hyperlink>
      <w:r>
        <w:rPr>
          <w:b w:val="0"/>
          <w:i w:val="0"/>
        </w:rPr>
        <w:t>.</w:t>
      </w:r>
    </w:p>
    <w:p>
      <w:pPr>
        <w:widowControl/>
      </w:pPr>
      <w:r>
        <w:rPr>
          <w:b/>
          <w:i w:val="0"/>
        </w:rPr>
        <w:t>discurrit.</w:t>
      </w:r>
      <w:r>
        <w:rPr>
          <w:b w:val="0"/>
          <w:i w:val="0"/>
        </w:rPr>
        <w:t xml:space="preserve"> </w:t>
      </w:r>
      <w:hyperlink w:anchor="latin-record-0391">
        <w:r>
          <w:rPr>
            <w:color w:val="000000"/>
          </w:rPr>
          <w:t xml:space="preserve">discurrere; distrahi</w:t>
        </w:r>
      </w:hyperlink>
      <w:r>
        <w:rPr>
          <w:b w:val="0"/>
          <w:i w:val="0"/>
        </w:rPr>
        <w:t xml:space="preserve">; </w:t>
      </w:r>
      <w:hyperlink w:anchor="latin-record-0393">
        <w:r>
          <w:rPr>
            <w:color w:val="000000"/>
          </w:rPr>
          <w:t xml:space="preserve">discursus / discurrere</w:t>
        </w:r>
      </w:hyperlink>
      <w:r>
        <w:rPr>
          <w:b w:val="0"/>
          <w:i w:val="0"/>
        </w:rPr>
        <w:t>.</w:t>
      </w:r>
    </w:p>
    <w:p>
      <w:pPr>
        <w:widowControl/>
      </w:pPr>
      <w:r>
        <w:rPr>
          <w:b/>
          <w:i w:val="0"/>
        </w:rPr>
        <w:t>discursione.</w:t>
      </w:r>
      <w:r>
        <w:rPr>
          <w:b w:val="0"/>
          <w:i w:val="0"/>
        </w:rPr>
        <w:t xml:space="preserve"> </w:t>
      </w:r>
      <w:hyperlink w:anchor="latin-record-0393">
        <w:r>
          <w:rPr>
            <w:color w:val="000000"/>
          </w:rPr>
          <w:t xml:space="preserve">discursus / discurrere</w:t>
        </w:r>
      </w:hyperlink>
      <w:r>
        <w:rPr>
          <w:b w:val="0"/>
          <w:i w:val="0"/>
        </w:rPr>
        <w:t>.</w:t>
      </w:r>
    </w:p>
    <w:p>
      <w:pPr>
        <w:widowControl/>
      </w:pPr>
      <w:r>
        <w:rPr>
          <w:b/>
          <w:i w:val="0"/>
        </w:rPr>
        <w:t>discursiones.</w:t>
      </w:r>
      <w:r>
        <w:rPr>
          <w:b w:val="0"/>
          <w:i w:val="0"/>
        </w:rPr>
        <w:t xml:space="preserve"> </w:t>
      </w:r>
      <w:hyperlink w:anchor="latin-record-0392">
        <w:r>
          <w:rPr>
            <w:color w:val="000000"/>
          </w:rPr>
          <w:t xml:space="preserve">discursio; revolutio</w:t>
        </w:r>
      </w:hyperlink>
      <w:r>
        <w:rPr>
          <w:b w:val="0"/>
          <w:i w:val="0"/>
        </w:rPr>
        <w:t>.</w:t>
      </w:r>
    </w:p>
    <w:p>
      <w:pPr>
        <w:widowControl/>
      </w:pPr>
      <w:r>
        <w:rPr>
          <w:b/>
          <w:i w:val="0"/>
        </w:rPr>
        <w:t>discursu.</w:t>
      </w:r>
      <w:r>
        <w:rPr>
          <w:b w:val="0"/>
          <w:i w:val="0"/>
        </w:rPr>
        <w:t xml:space="preserve"> </w:t>
      </w:r>
      <w:hyperlink w:anchor="latin-record-0393">
        <w:r>
          <w:rPr>
            <w:color w:val="000000"/>
          </w:rPr>
          <w:t xml:space="preserve">discursus / discurrere</w:t>
        </w:r>
      </w:hyperlink>
      <w:r>
        <w:rPr>
          <w:b w:val="0"/>
          <w:i w:val="0"/>
        </w:rPr>
        <w:t>.</w:t>
      </w:r>
    </w:p>
    <w:p>
      <w:pPr>
        <w:widowControl/>
      </w:pPr>
      <w:r>
        <w:rPr>
          <w:b/>
          <w:i w:val="0"/>
        </w:rPr>
        <w:t>discursus temporalis.</w:t>
      </w:r>
      <w:r>
        <w:rPr>
          <w:b w:val="0"/>
          <w:i w:val="0"/>
        </w:rPr>
        <w:t xml:space="preserve"> </w:t>
      </w:r>
      <w:hyperlink w:anchor="latin-record-0394">
        <w:r>
          <w:rPr>
            <w:color w:val="000000"/>
          </w:rPr>
          <w:t xml:space="preserve">discursus temporalis</w:t>
        </w:r>
      </w:hyperlink>
      <w:r>
        <w:rPr>
          <w:b w:val="0"/>
          <w:i w:val="0"/>
        </w:rPr>
        <w:t>.</w:t>
      </w:r>
    </w:p>
    <w:p>
      <w:pPr>
        <w:widowControl/>
      </w:pPr>
      <w:r>
        <w:rPr>
          <w:b/>
          <w:i w:val="0"/>
        </w:rPr>
        <w:t>discussione.</w:t>
      </w:r>
      <w:r>
        <w:rPr>
          <w:b w:val="0"/>
          <w:i w:val="0"/>
        </w:rPr>
        <w:t xml:space="preserve"> </w:t>
      </w:r>
      <w:hyperlink w:anchor="latin-record-0395">
        <w:r>
          <w:rPr>
            <w:color w:val="000000"/>
          </w:rPr>
          <w:t xml:space="preserve">discussio</w:t>
        </w:r>
      </w:hyperlink>
      <w:r>
        <w:rPr>
          <w:b w:val="0"/>
          <w:i w:val="0"/>
        </w:rPr>
        <w:t>.</w:t>
      </w:r>
    </w:p>
    <w:p>
      <w:pPr>
        <w:widowControl/>
      </w:pPr>
      <w:r>
        <w:rPr>
          <w:b/>
          <w:i w:val="0"/>
        </w:rPr>
        <w:t>disiunctum.</w:t>
      </w:r>
      <w:r>
        <w:rPr>
          <w:b w:val="0"/>
          <w:i w:val="0"/>
        </w:rPr>
        <w:t xml:space="preserve"> </w:t>
      </w:r>
      <w:hyperlink w:anchor="latin-record-0396">
        <w:r>
          <w:rPr>
            <w:color w:val="000000"/>
          </w:rPr>
          <w:t xml:space="preserve">disiungere / copulare incorporeis</w:t>
        </w:r>
      </w:hyperlink>
      <w:r>
        <w:rPr>
          <w:b w:val="0"/>
          <w:i w:val="0"/>
        </w:rPr>
        <w:t>.</w:t>
      </w:r>
    </w:p>
    <w:p>
      <w:pPr>
        <w:widowControl/>
      </w:pPr>
      <w:r>
        <w:rPr>
          <w:b/>
          <w:i w:val="0"/>
        </w:rPr>
        <w:t>disiungitur.</w:t>
      </w:r>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disiunguntur.</w:t>
      </w:r>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disperdemus.</w:t>
      </w:r>
      <w:r>
        <w:rPr>
          <w:b w:val="0"/>
          <w:i w:val="0"/>
        </w:rPr>
        <w:t xml:space="preserve"> </w:t>
      </w:r>
      <w:hyperlink w:anchor="latin-record-0386">
        <w:r>
          <w:rPr>
            <w:color w:val="000000"/>
          </w:rPr>
          <w:t xml:space="preserve">dilaniatio / lacerare / discerpere</w:t>
        </w:r>
      </w:hyperlink>
      <w:r>
        <w:rPr>
          <w:b w:val="0"/>
          <w:i w:val="0"/>
        </w:rPr>
        <w:t>.</w:t>
      </w:r>
    </w:p>
    <w:p>
      <w:pPr>
        <w:widowControl/>
      </w:pPr>
      <w:r>
        <w:rPr>
          <w:b/>
          <w:i w:val="0"/>
        </w:rPr>
        <w:t>dispersum.</w:t>
      </w:r>
      <w:r>
        <w:rPr>
          <w:b w:val="0"/>
          <w:i w:val="0"/>
        </w:rPr>
        <w:t xml:space="preserve"> </w:t>
      </w:r>
      <w:hyperlink w:anchor="latin-record-0397">
        <w:r>
          <w:rPr>
            <w:color w:val="000000"/>
          </w:rPr>
          <w:t xml:space="preserve">dispersus; distantia</w:t>
        </w:r>
      </w:hyperlink>
      <w:r>
        <w:rPr>
          <w:b w:val="0"/>
          <w:i w:val="0"/>
        </w:rPr>
        <w:t>.</w:t>
      </w:r>
    </w:p>
    <w:p>
      <w:pPr>
        <w:widowControl/>
      </w:pPr>
      <w:r>
        <w:rPr>
          <w:b/>
          <w:i w:val="0"/>
        </w:rPr>
        <w:t>dispositio.</w:t>
      </w:r>
      <w:r>
        <w:rPr>
          <w:b w:val="0"/>
          <w:i w:val="0"/>
        </w:rPr>
        <w:t xml:space="preserve"> </w:t>
      </w:r>
      <w:hyperlink w:anchor="latin-record-0485">
        <w:r>
          <w:rPr>
            <w:color w:val="000000"/>
          </w:rPr>
          <w:t xml:space="preserve">figura artificiosa / dispositio</w:t>
        </w:r>
      </w:hyperlink>
      <w:r>
        <w:rPr>
          <w:b w:val="0"/>
          <w:i w:val="0"/>
        </w:rPr>
        <w:t>.</w:t>
      </w:r>
    </w:p>
    <w:p>
      <w:pPr>
        <w:widowControl/>
      </w:pPr>
      <w:r>
        <w:rPr>
          <w:b/>
          <w:i w:val="0"/>
        </w:rPr>
        <w:t>disputando.</w:t>
      </w:r>
      <w:r>
        <w:rPr>
          <w:b w:val="0"/>
          <w:i w:val="0"/>
        </w:rPr>
        <w:t xml:space="preserve"> </w:t>
      </w:r>
      <w:hyperlink w:anchor="latin-record-0398">
        <w:r>
          <w:rPr>
            <w:color w:val="000000"/>
          </w:rPr>
          <w:t xml:space="preserve">disputare</w:t>
        </w:r>
      </w:hyperlink>
      <w:r>
        <w:rPr>
          <w:b w:val="0"/>
          <w:i w:val="0"/>
        </w:rPr>
        <w:t>.</w:t>
      </w:r>
    </w:p>
    <w:p>
      <w:pPr>
        <w:widowControl/>
      </w:pPr>
      <w:r>
        <w:rPr>
          <w:b/>
          <w:i w:val="0"/>
        </w:rPr>
        <w:t>disputare.</w:t>
      </w:r>
      <w:r>
        <w:rPr>
          <w:b w:val="0"/>
          <w:i w:val="0"/>
        </w:rPr>
        <w:t xml:space="preserve"> </w:t>
      </w:r>
      <w:hyperlink w:anchor="latin-record-0398">
        <w:r>
          <w:rPr>
            <w:color w:val="000000"/>
          </w:rPr>
          <w:t xml:space="preserve">disputare</w:t>
        </w:r>
      </w:hyperlink>
      <w:r>
        <w:rPr>
          <w:b w:val="0"/>
          <w:i w:val="0"/>
        </w:rPr>
        <w:t>.</w:t>
      </w:r>
    </w:p>
    <w:p>
      <w:pPr>
        <w:widowControl/>
      </w:pPr>
      <w:r>
        <w:rPr>
          <w:b/>
          <w:i w:val="0"/>
        </w:rPr>
        <w:t>disputari.</w:t>
      </w:r>
      <w:r>
        <w:rPr>
          <w:b w:val="0"/>
          <w:i w:val="0"/>
        </w:rPr>
        <w:t xml:space="preserve"> </w:t>
      </w:r>
      <w:hyperlink w:anchor="latin-record-0398">
        <w:r>
          <w:rPr>
            <w:color w:val="000000"/>
          </w:rPr>
          <w:t xml:space="preserve">disputare</w:t>
        </w:r>
      </w:hyperlink>
      <w:r>
        <w:rPr>
          <w:b w:val="0"/>
          <w:i w:val="0"/>
        </w:rPr>
        <w:t>.</w:t>
      </w:r>
    </w:p>
    <w:p>
      <w:pPr>
        <w:widowControl/>
      </w:pPr>
      <w:r>
        <w:rPr>
          <w:b/>
          <w:i w:val="0"/>
        </w:rPr>
        <w:t>disputatio.</w:t>
      </w:r>
      <w:r>
        <w:rPr>
          <w:b w:val="0"/>
          <w:i w:val="0"/>
        </w:rPr>
        <w:t xml:space="preserve"> </w:t>
      </w:r>
      <w:hyperlink w:anchor="latin-record-0398">
        <w:r>
          <w:rPr>
            <w:color w:val="000000"/>
          </w:rPr>
          <w:t xml:space="preserve">disputare</w:t>
        </w:r>
      </w:hyperlink>
      <w:r>
        <w:rPr>
          <w:b w:val="0"/>
          <w:i w:val="0"/>
        </w:rPr>
        <w:t>.</w:t>
      </w:r>
    </w:p>
    <w:p>
      <w:pPr>
        <w:widowControl/>
      </w:pPr>
      <w:r>
        <w:rPr>
          <w:b/>
          <w:i w:val="0"/>
        </w:rPr>
        <w:t>disputatione.</w:t>
      </w:r>
      <w:r>
        <w:rPr>
          <w:b w:val="0"/>
          <w:i w:val="0"/>
        </w:rPr>
        <w:t xml:space="preserve"> </w:t>
      </w:r>
      <w:hyperlink w:anchor="latin-record-0399">
        <w:r>
          <w:rPr>
            <w:color w:val="000000"/>
          </w:rPr>
          <w:t xml:space="preserve">disputatio; disputare</w:t>
        </w:r>
      </w:hyperlink>
      <w:r>
        <w:rPr>
          <w:b w:val="0"/>
          <w:i w:val="0"/>
        </w:rPr>
        <w:t>.</w:t>
      </w:r>
    </w:p>
    <w:p>
      <w:pPr>
        <w:widowControl/>
      </w:pPr>
      <w:r>
        <w:rPr>
          <w:b/>
          <w:i w:val="0"/>
        </w:rPr>
        <w:t>disputationis.</w:t>
      </w:r>
      <w:r>
        <w:rPr>
          <w:b w:val="0"/>
          <w:i w:val="0"/>
        </w:rPr>
        <w:t xml:space="preserve"> </w:t>
      </w:r>
      <w:hyperlink w:anchor="latin-record-1071">
        <w:r>
          <w:rPr>
            <w:color w:val="000000"/>
          </w:rPr>
          <w:t xml:space="preserve">ratio as argument</w:t>
        </w:r>
      </w:hyperlink>
      <w:r>
        <w:rPr>
          <w:b w:val="0"/>
          <w:i w:val="0"/>
        </w:rPr>
        <w:t>.</w:t>
      </w:r>
    </w:p>
    <w:p>
      <w:pPr>
        <w:widowControl/>
      </w:pPr>
      <w:r>
        <w:rPr>
          <w:b/>
          <w:i w:val="0"/>
        </w:rPr>
        <w:t>disputaveram.</w:t>
      </w:r>
      <w:r>
        <w:rPr>
          <w:b w:val="0"/>
          <w:i w:val="0"/>
        </w:rPr>
        <w:t xml:space="preserve"> </w:t>
      </w:r>
      <w:hyperlink w:anchor="latin-record-0399">
        <w:r>
          <w:rPr>
            <w:color w:val="000000"/>
          </w:rPr>
          <w:t xml:space="preserve">disputatio; disputare</w:t>
        </w:r>
      </w:hyperlink>
      <w:r>
        <w:rPr>
          <w:b w:val="0"/>
          <w:i w:val="0"/>
        </w:rPr>
        <w:t>.</w:t>
      </w:r>
    </w:p>
    <w:p>
      <w:pPr>
        <w:widowControl/>
      </w:pPr>
      <w:r>
        <w:rPr>
          <w:b/>
          <w:i w:val="0"/>
        </w:rPr>
        <w:t>Dissensio.</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dissensio.</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Dissentit.</w:t>
      </w:r>
      <w:r>
        <w:rPr>
          <w:b w:val="0"/>
          <w:i w:val="0"/>
        </w:rPr>
        <w:t xml:space="preserve"> </w:t>
      </w:r>
      <w:hyperlink w:anchor="latin-record-0400">
        <w:r>
          <w:rPr>
            <w:color w:val="000000"/>
          </w:rPr>
          <w:t xml:space="preserve">dissentire / pugnare / appetitus</w:t>
        </w:r>
      </w:hyperlink>
      <w:r>
        <w:rPr>
          <w:b w:val="0"/>
          <w:i w:val="0"/>
        </w:rPr>
        <w:t>.</w:t>
      </w:r>
    </w:p>
    <w:p>
      <w:pPr>
        <w:widowControl/>
      </w:pPr>
      <w:r>
        <w:rPr>
          <w:b/>
          <w:i w:val="0"/>
        </w:rPr>
        <w:t>disseras.</w:t>
      </w:r>
      <w:r>
        <w:rPr>
          <w:b w:val="0"/>
          <w:i w:val="0"/>
        </w:rPr>
        <w:t xml:space="preserve"> </w:t>
      </w:r>
      <w:hyperlink w:anchor="latin-record-0399">
        <w:r>
          <w:rPr>
            <w:color w:val="000000"/>
          </w:rPr>
          <w:t xml:space="preserve">disputatio; disputare</w:t>
        </w:r>
      </w:hyperlink>
      <w:r>
        <w:rPr>
          <w:b w:val="0"/>
          <w:i w:val="0"/>
        </w:rPr>
        <w:t>.</w:t>
      </w:r>
    </w:p>
    <w:p>
      <w:pPr>
        <w:widowControl/>
      </w:pPr>
      <w:r>
        <w:rPr>
          <w:b/>
          <w:i w:val="0"/>
        </w:rPr>
        <w:t>disseruisti.</w:t>
      </w:r>
      <w:r>
        <w:rPr>
          <w:b w:val="0"/>
          <w:i w:val="0"/>
        </w:rPr>
        <w:t xml:space="preserve"> </w:t>
      </w:r>
      <w:hyperlink w:anchor="latin-record-0399">
        <w:r>
          <w:rPr>
            <w:color w:val="000000"/>
          </w:rPr>
          <w:t xml:space="preserve">disputatio; disputare</w:t>
        </w:r>
      </w:hyperlink>
      <w:r>
        <w:rPr>
          <w:b w:val="0"/>
          <w:i w:val="0"/>
        </w:rPr>
        <w:t>.</w:t>
      </w:r>
    </w:p>
    <w:p>
      <w:pPr>
        <w:widowControl/>
      </w:pPr>
      <w:r>
        <w:rPr>
          <w:b/>
          <w:i w:val="0"/>
        </w:rPr>
        <w:t>dissimiles.</w:t>
      </w:r>
      <w:r>
        <w:rPr>
          <w:b w:val="0"/>
          <w:i w:val="0"/>
        </w:rPr>
        <w:t xml:space="preserve"> </w:t>
      </w:r>
      <w:hyperlink w:anchor="latin-record-1176">
        <w:r>
          <w:rPr>
            <w:color w:val="000000"/>
          </w:rPr>
          <w:t xml:space="preserve">similitudo</w:t>
        </w:r>
      </w:hyperlink>
      <w:r>
        <w:rPr>
          <w:b w:val="0"/>
          <w:i w:val="0"/>
        </w:rPr>
        <w:t>.</w:t>
      </w:r>
    </w:p>
    <w:p>
      <w:pPr>
        <w:widowControl/>
      </w:pPr>
      <w:r>
        <w:rPr>
          <w:b/>
          <w:i w:val="0"/>
        </w:rPr>
        <w:t>dissimillimas.</w:t>
      </w:r>
      <w:r>
        <w:rPr>
          <w:b w:val="0"/>
          <w:i w:val="0"/>
        </w:rPr>
        <w:t xml:space="preserve"> </w:t>
      </w:r>
      <w:hyperlink w:anchor="latin-record-1176">
        <w:r>
          <w:rPr>
            <w:color w:val="000000"/>
          </w:rPr>
          <w:t xml:space="preserve">similitudo</w:t>
        </w:r>
      </w:hyperlink>
      <w:r>
        <w:rPr>
          <w:b w:val="0"/>
          <w:i w:val="0"/>
        </w:rPr>
        <w:t>.</w:t>
      </w:r>
    </w:p>
    <w:p>
      <w:pPr>
        <w:widowControl/>
      </w:pPr>
      <w:r>
        <w:rPr>
          <w:b/>
          <w:i w:val="0"/>
        </w:rPr>
        <w:t>dissipabit.</w:t>
      </w:r>
      <w:r>
        <w:rPr>
          <w:b w:val="0"/>
          <w:i w:val="0"/>
        </w:rPr>
        <w:t xml:space="preserve"> </w:t>
      </w:r>
      <w:hyperlink w:anchor="latin-record-0830">
        <w:r>
          <w:rPr>
            <w:color w:val="000000"/>
          </w:rPr>
          <w:t xml:space="preserve">naturalis habitus / dissipare</w:t>
        </w:r>
      </w:hyperlink>
      <w:r>
        <w:rPr>
          <w:b w:val="0"/>
          <w:i w:val="0"/>
        </w:rPr>
        <w:t>.</w:t>
      </w:r>
    </w:p>
    <w:p>
      <w:pPr>
        <w:widowControl/>
      </w:pPr>
      <w:r>
        <w:rPr>
          <w:b/>
          <w:i w:val="0"/>
        </w:rPr>
        <w:t>dissiparetur.</w:t>
      </w:r>
      <w:r>
        <w:rPr>
          <w:b w:val="0"/>
          <w:i w:val="0"/>
        </w:rPr>
        <w:t xml:space="preserve"> </w:t>
      </w:r>
      <w:hyperlink w:anchor="latin-record-0830">
        <w:r>
          <w:rPr>
            <w:color w:val="000000"/>
          </w:rPr>
          <w:t xml:space="preserve">naturalis habitus / dissipare</w:t>
        </w:r>
      </w:hyperlink>
      <w:r>
        <w:rPr>
          <w:b w:val="0"/>
          <w:i w:val="0"/>
        </w:rPr>
        <w:t>.</w:t>
      </w:r>
    </w:p>
    <w:p>
      <w:pPr>
        <w:widowControl/>
      </w:pPr>
      <w:r>
        <w:rPr>
          <w:b/>
          <w:i w:val="0"/>
        </w:rPr>
        <w:t>dissociantis.</w:t>
      </w:r>
      <w:r>
        <w:rPr>
          <w:b w:val="0"/>
          <w:i w:val="0"/>
        </w:rPr>
        <w:t xml:space="preserve"> </w:t>
      </w:r>
      <w:hyperlink w:anchor="latin-record-0453">
        <w:r>
          <w:rPr>
            <w:color w:val="000000"/>
          </w:rPr>
          <w:t xml:space="preserve">excessus / extraneus / dissociare</w:t>
        </w:r>
      </w:hyperlink>
      <w:r>
        <w:rPr>
          <w:b w:val="0"/>
          <w:i w:val="0"/>
        </w:rPr>
        <w:t>.</w:t>
      </w:r>
    </w:p>
    <w:p>
      <w:pPr>
        <w:widowControl/>
      </w:pPr>
      <w:r>
        <w:rPr>
          <w:b/>
          <w:i w:val="0"/>
        </w:rPr>
        <w:t>dissolvere.</w:t>
      </w:r>
      <w:r>
        <w:rPr>
          <w:b w:val="0"/>
          <w:i w:val="0"/>
        </w:rPr>
        <w:t xml:space="preserve"> </w:t>
      </w:r>
      <w:hyperlink w:anchor="latin-record-0182">
        <w:r>
          <w:rPr>
            <w:color w:val="000000"/>
          </w:rPr>
          <w:t xml:space="preserve">calor / penetrare / dissolvere</w:t>
        </w:r>
      </w:hyperlink>
      <w:r>
        <w:rPr>
          <w:b w:val="0"/>
          <w:i w:val="0"/>
        </w:rPr>
        <w:t>.</w:t>
      </w:r>
    </w:p>
    <w:p>
      <w:pPr>
        <w:widowControl/>
      </w:pPr>
      <w:r>
        <w:rPr>
          <w:b/>
          <w:i w:val="0"/>
        </w:rPr>
        <w:t>dissolvit.</w:t>
      </w:r>
      <w:r>
        <w:rPr>
          <w:b w:val="0"/>
          <w:i w:val="0"/>
        </w:rPr>
        <w:t xml:space="preserve"> </w:t>
      </w:r>
      <w:hyperlink w:anchor="latin-record-0182">
        <w:r>
          <w:rPr>
            <w:color w:val="000000"/>
          </w:rPr>
          <w:t xml:space="preserve">calor / penetrare / dissolvere</w:t>
        </w:r>
      </w:hyperlink>
      <w:r>
        <w:rPr>
          <w:b w:val="0"/>
          <w:i w:val="0"/>
        </w:rPr>
        <w:t>.</w:t>
      </w:r>
    </w:p>
    <w:p>
      <w:pPr>
        <w:widowControl/>
      </w:pPr>
      <w:r>
        <w:rPr>
          <w:b/>
          <w:i w:val="0"/>
        </w:rPr>
        <w:t>dissolvitur.</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dissonante.</w:t>
      </w:r>
      <w:r>
        <w:rPr>
          <w:b w:val="0"/>
          <w:i w:val="0"/>
        </w:rPr>
        <w:t xml:space="preserve"> </w:t>
      </w:r>
      <w:hyperlink w:anchor="latin-record-0310">
        <w:r>
          <w:rPr>
            <w:color w:val="000000"/>
          </w:rPr>
          <w:t xml:space="preserve">consonare / dissonare</w:t>
        </w:r>
      </w:hyperlink>
      <w:r>
        <w:rPr>
          <w:b w:val="0"/>
          <w:i w:val="0"/>
        </w:rPr>
        <w:t>.</w:t>
      </w:r>
    </w:p>
    <w:p>
      <w:pPr>
        <w:widowControl/>
      </w:pPr>
      <w:r>
        <w:rPr>
          <w:b/>
          <w:i w:val="0"/>
        </w:rPr>
        <w:t>dissonantia.</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dissonantibus.</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dissonas.</w:t>
      </w:r>
      <w:r>
        <w:rPr>
          <w:b w:val="0"/>
          <w:i w:val="0"/>
        </w:rPr>
        <w:t xml:space="preserve"> </w:t>
      </w:r>
      <w:hyperlink w:anchor="latin-record-0309">
        <w:r>
          <w:rPr>
            <w:color w:val="000000"/>
          </w:rPr>
          <w:t xml:space="preserve">consonantia; dissonus</w:t>
        </w:r>
      </w:hyperlink>
      <w:r>
        <w:rPr>
          <w:b w:val="0"/>
          <w:i w:val="0"/>
        </w:rPr>
        <w:t>.</w:t>
      </w:r>
    </w:p>
    <w:p>
      <w:pPr>
        <w:widowControl/>
      </w:pPr>
      <w:r>
        <w:rPr>
          <w:b/>
          <w:i w:val="0"/>
        </w:rPr>
        <w:t>dissonat.</w:t>
      </w:r>
      <w:r>
        <w:rPr>
          <w:b w:val="0"/>
          <w:i w:val="0"/>
        </w:rPr>
        <w:t xml:space="preserve"> </w:t>
      </w:r>
      <w:hyperlink w:anchor="latin-record-0310">
        <w:r>
          <w:rPr>
            <w:color w:val="000000"/>
          </w:rPr>
          <w:t xml:space="preserve">consonare / dissonare</w:t>
        </w:r>
      </w:hyperlink>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dissonent.</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dissonet.</w:t>
      </w:r>
      <w:r>
        <w:rPr>
          <w:b w:val="0"/>
          <w:i w:val="0"/>
        </w:rPr>
        <w:t xml:space="preserve"> </w:t>
      </w:r>
      <w:hyperlink w:anchor="latin-record-0310">
        <w:r>
          <w:rPr>
            <w:color w:val="000000"/>
          </w:rPr>
          <w:t xml:space="preserve">consonare / dissonare</w:t>
        </w:r>
      </w:hyperlink>
      <w:r>
        <w:rPr>
          <w:b w:val="0"/>
          <w:i w:val="0"/>
        </w:rPr>
        <w:t>.</w:t>
      </w:r>
    </w:p>
    <w:p>
      <w:pPr>
        <w:widowControl/>
      </w:pPr>
      <w:r>
        <w:rPr>
          <w:b/>
          <w:i w:val="0"/>
        </w:rPr>
        <w:t>dissonum.</w:t>
      </w:r>
      <w:r>
        <w:rPr>
          <w:b w:val="0"/>
          <w:i w:val="0"/>
        </w:rPr>
        <w:t xml:space="preserve"> </w:t>
      </w:r>
      <w:hyperlink w:anchor="latin-record-0401">
        <w:r>
          <w:rPr>
            <w:color w:val="000000"/>
          </w:rPr>
          <w:t xml:space="preserve">dissonantia / discordia / dissensio</w:t>
        </w:r>
      </w:hyperlink>
      <w:r>
        <w:rPr>
          <w:b w:val="0"/>
          <w:i w:val="0"/>
        </w:rPr>
        <w:t>.</w:t>
      </w:r>
    </w:p>
    <w:p>
      <w:pPr>
        <w:widowControl/>
      </w:pPr>
      <w:r>
        <w:rPr>
          <w:b/>
          <w:i w:val="0"/>
        </w:rPr>
        <w:t>distante.</w:t>
      </w:r>
      <w:r>
        <w:rPr>
          <w:b w:val="0"/>
          <w:i w:val="0"/>
        </w:rPr>
        <w:t xml:space="preserve"> </w:t>
      </w:r>
      <w:hyperlink w:anchor="latin-record-1216">
        <w:r>
          <w:rPr>
            <w:color w:val="000000"/>
          </w:rPr>
          <w:t xml:space="preserve">speculum / distantia</w:t>
        </w:r>
      </w:hyperlink>
      <w:r>
        <w:rPr>
          <w:b w:val="0"/>
          <w:i w:val="0"/>
        </w:rPr>
        <w:t>.</w:t>
      </w:r>
    </w:p>
    <w:p>
      <w:pPr>
        <w:widowControl/>
      </w:pPr>
      <w:r>
        <w:rPr>
          <w:b/>
          <w:i w:val="0"/>
        </w:rPr>
        <w:t>Distantia.</w:t>
      </w:r>
      <w:r>
        <w:rPr>
          <w:b w:val="0"/>
          <w:i w:val="0"/>
        </w:rPr>
        <w:t xml:space="preserve"> </w:t>
      </w:r>
      <w:hyperlink w:anchor="latin-record-0675">
        <w:r>
          <w:rPr>
            <w:color w:val="000000"/>
          </w:rPr>
          <w:t xml:space="preserve">intervallum / distantia</w:t>
        </w:r>
      </w:hyperlink>
      <w:r>
        <w:rPr>
          <w:b w:val="0"/>
          <w:i w:val="0"/>
        </w:rPr>
        <w:t>.</w:t>
      </w:r>
    </w:p>
    <w:p>
      <w:pPr>
        <w:widowControl/>
      </w:pPr>
      <w:r>
        <w:rPr>
          <w:b/>
          <w:i w:val="0"/>
        </w:rPr>
        <w:t>distantia.</w:t>
      </w:r>
      <w:r>
        <w:rPr>
          <w:b w:val="0"/>
          <w:i w:val="0"/>
        </w:rPr>
        <w:t xml:space="preserve"> </w:t>
      </w:r>
      <w:hyperlink w:anchor="latin-record-0675">
        <w:r>
          <w:rPr>
            <w:color w:val="000000"/>
          </w:rPr>
          <w:t xml:space="preserve">intervallum / distantia</w:t>
        </w:r>
      </w:hyperlink>
      <w:r>
        <w:rPr>
          <w:b w:val="0"/>
          <w:i w:val="0"/>
        </w:rPr>
        <w:t>.</w:t>
      </w:r>
    </w:p>
    <w:p>
      <w:pPr>
        <w:widowControl/>
      </w:pPr>
      <w:r>
        <w:rPr>
          <w:b/>
          <w:i w:val="0"/>
        </w:rPr>
        <w:t>Distantiam.</w:t>
      </w:r>
      <w:r>
        <w:rPr>
          <w:b w:val="0"/>
          <w:i w:val="0"/>
        </w:rPr>
        <w:t xml:space="preserve"> </w:t>
      </w:r>
      <w:hyperlink w:anchor="latin-record-0675">
        <w:r>
          <w:rPr>
            <w:color w:val="000000"/>
          </w:rPr>
          <w:t xml:space="preserve">intervallum / distantia</w:t>
        </w:r>
      </w:hyperlink>
      <w:r>
        <w:rPr>
          <w:b w:val="0"/>
          <w:i w:val="0"/>
        </w:rPr>
        <w:t>.</w:t>
      </w:r>
    </w:p>
    <w:p>
      <w:pPr>
        <w:widowControl/>
      </w:pPr>
      <w:r>
        <w:rPr>
          <w:b/>
          <w:i w:val="0"/>
        </w:rPr>
        <w:t>distantiam.</w:t>
      </w:r>
      <w:r>
        <w:rPr>
          <w:b w:val="0"/>
          <w:i w:val="0"/>
        </w:rPr>
        <w:t xml:space="preserve"> </w:t>
      </w:r>
      <w:hyperlink w:anchor="latin-record-1216">
        <w:r>
          <w:rPr>
            <w:color w:val="000000"/>
          </w:rPr>
          <w:t xml:space="preserve">speculum / distantia</w:t>
        </w:r>
      </w:hyperlink>
      <w:r>
        <w:rPr>
          <w:b w:val="0"/>
          <w:i w:val="0"/>
        </w:rPr>
        <w:t>.</w:t>
      </w:r>
    </w:p>
    <w:p>
      <w:pPr>
        <w:widowControl/>
      </w:pPr>
      <w:r>
        <w:rPr>
          <w:b/>
          <w:i w:val="0"/>
        </w:rPr>
        <w:t>distantiam partium.</w:t>
      </w:r>
      <w:r>
        <w:rPr>
          <w:b w:val="0"/>
          <w:i w:val="0"/>
        </w:rPr>
        <w:t xml:space="preserve"> </w:t>
      </w:r>
      <w:hyperlink w:anchor="latin-record-0397">
        <w:r>
          <w:rPr>
            <w:color w:val="000000"/>
          </w:rPr>
          <w:t xml:space="preserve">dispersus; distantia</w:t>
        </w:r>
      </w:hyperlink>
      <w:r>
        <w:rPr>
          <w:b w:val="0"/>
          <w:i w:val="0"/>
        </w:rPr>
        <w:t>.</w:t>
      </w:r>
    </w:p>
    <w:p>
      <w:pPr>
        <w:widowControl/>
      </w:pPr>
      <w:r>
        <w:rPr>
          <w:b/>
          <w:i w:val="0"/>
        </w:rPr>
        <w:t>distentus.</w:t>
      </w:r>
      <w:r>
        <w:rPr>
          <w:b w:val="0"/>
          <w:i w:val="0"/>
        </w:rPr>
        <w:t xml:space="preserve"> </w:t>
      </w:r>
      <w:hyperlink w:anchor="latin-record-0793">
        <w:r>
          <w:rPr>
            <w:color w:val="000000"/>
          </w:rPr>
          <w:t xml:space="preserve">moles / distendere</w:t>
        </w:r>
      </w:hyperlink>
      <w:r>
        <w:rPr>
          <w:b w:val="0"/>
          <w:i w:val="0"/>
        </w:rPr>
        <w:t>.</w:t>
      </w:r>
    </w:p>
    <w:p>
      <w:pPr>
        <w:widowControl/>
      </w:pPr>
      <w:r>
        <w:rPr>
          <w:b/>
          <w:i w:val="0"/>
        </w:rPr>
        <w:t>distrahi.</w:t>
      </w:r>
      <w:r>
        <w:rPr>
          <w:b w:val="0"/>
          <w:i w:val="0"/>
        </w:rPr>
        <w:t xml:space="preserve"> </w:t>
      </w:r>
      <w:hyperlink w:anchor="latin-record-0864">
        <w:r>
          <w:rPr>
            <w:color w:val="000000"/>
          </w:rPr>
          <w:t xml:space="preserve">opinio / affectus / distrahere</w:t>
        </w:r>
      </w:hyperlink>
      <w:r>
        <w:rPr>
          <w:b w:val="0"/>
          <w:i w:val="0"/>
        </w:rPr>
        <w:t>.</w:t>
      </w:r>
    </w:p>
    <w:p>
      <w:pPr>
        <w:widowControl/>
      </w:pPr>
      <w:r>
        <w:rPr>
          <w:b/>
          <w:i w:val="0"/>
        </w:rPr>
        <w:t>distrahitur.</w:t>
      </w:r>
      <w:r>
        <w:rPr>
          <w:b w:val="0"/>
          <w:i w:val="0"/>
        </w:rPr>
        <w:t xml:space="preserve"> </w:t>
      </w:r>
      <w:hyperlink w:anchor="latin-record-0391">
        <w:r>
          <w:rPr>
            <w:color w:val="000000"/>
          </w:rPr>
          <w:t xml:space="preserve">discurrere; distrahi</w:t>
        </w:r>
      </w:hyperlink>
      <w:r>
        <w:rPr>
          <w:b w:val="0"/>
          <w:i w:val="0"/>
        </w:rPr>
        <w:t>.</w:t>
      </w:r>
    </w:p>
    <w:p>
      <w:pPr>
        <w:widowControl/>
      </w:pPr>
      <w:r>
        <w:rPr>
          <w:b/>
          <w:i w:val="0"/>
        </w:rPr>
        <w:t>distribues.</w:t>
      </w:r>
      <w:r>
        <w:rPr>
          <w:b w:val="0"/>
          <w:i w:val="0"/>
        </w:rPr>
        <w:t xml:space="preserve"> </w:t>
      </w:r>
      <w:hyperlink w:anchor="latin-record-0402">
        <w:r>
          <w:rPr>
            <w:color w:val="000000"/>
          </w:rPr>
          <w:t xml:space="preserve">distribuere / partiri / secare</w:t>
        </w:r>
      </w:hyperlink>
      <w:r>
        <w:rPr>
          <w:b w:val="0"/>
          <w:i w:val="0"/>
        </w:rPr>
        <w:t>.</w:t>
      </w:r>
    </w:p>
    <w:p>
      <w:pPr>
        <w:widowControl/>
      </w:pPr>
      <w:r>
        <w:rPr>
          <w:b/>
          <w:i w:val="0"/>
        </w:rPr>
        <w:t>distribuet.</w:t>
      </w:r>
      <w:r>
        <w:rPr>
          <w:b w:val="0"/>
          <w:i w:val="0"/>
        </w:rPr>
        <w:t xml:space="preserve"> </w:t>
      </w:r>
      <w:hyperlink w:anchor="latin-record-0696">
        <w:r>
          <w:rPr>
            <w:color w:val="000000"/>
          </w:rPr>
          <w:t xml:space="preserve">iustitia / suum cuique</w:t>
        </w:r>
      </w:hyperlink>
      <w:r>
        <w:rPr>
          <w:b w:val="0"/>
          <w:i w:val="0"/>
        </w:rPr>
        <w:t>.</w:t>
      </w:r>
    </w:p>
    <w:p>
      <w:pPr>
        <w:widowControl/>
      </w:pPr>
      <w:r>
        <w:rPr>
          <w:b/>
          <w:i w:val="0"/>
        </w:rPr>
        <w:t>diu.</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diutissime.</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dividas.</w:t>
      </w:r>
      <w:r>
        <w:rPr>
          <w:b w:val="0"/>
          <w:i w:val="0"/>
        </w:rPr>
        <w:t xml:space="preserve"> </w:t>
      </w:r>
      <w:hyperlink w:anchor="latin-record-0403">
        <w:r>
          <w:rPr>
            <w:color w:val="000000"/>
          </w:rPr>
          <w:t xml:space="preserve">dividere / secare / partiri</w:t>
        </w:r>
      </w:hyperlink>
      <w:r>
        <w:rPr>
          <w:b w:val="0"/>
          <w:i w:val="0"/>
        </w:rPr>
        <w:t>.</w:t>
      </w:r>
    </w:p>
    <w:p>
      <w:pPr>
        <w:widowControl/>
      </w:pPr>
      <w:r>
        <w:rPr>
          <w:b/>
          <w:i w:val="0"/>
        </w:rPr>
        <w:t>dividendo.</w:t>
      </w:r>
      <w:r>
        <w:rPr>
          <w:b w:val="0"/>
          <w:i w:val="0"/>
        </w:rPr>
        <w:t xml:space="preserve"> </w:t>
      </w:r>
      <w:hyperlink w:anchor="latin-record-0404">
        <w:r>
          <w:rPr>
            <w:color w:val="000000"/>
          </w:rPr>
          <w:t xml:space="preserve">dividere; divisio</w:t>
        </w:r>
      </w:hyperlink>
      <w:r>
        <w:rPr>
          <w:b w:val="0"/>
          <w:i w:val="0"/>
        </w:rPr>
        <w:t>.</w:t>
      </w:r>
    </w:p>
    <w:p>
      <w:pPr>
        <w:widowControl/>
      </w:pPr>
      <w:r>
        <w:rPr>
          <w:b/>
          <w:i w:val="0"/>
        </w:rPr>
        <w:t>dividi.</w:t>
      </w:r>
      <w:r>
        <w:rPr>
          <w:b w:val="0"/>
          <w:i w:val="0"/>
        </w:rPr>
        <w:t xml:space="preserve"> </w:t>
      </w:r>
      <w:hyperlink w:anchor="latin-record-0403">
        <w:r>
          <w:rPr>
            <w:color w:val="000000"/>
          </w:rPr>
          <w:t xml:space="preserve">dividere / secare / partiri</w:t>
        </w:r>
      </w:hyperlink>
      <w:r>
        <w:rPr>
          <w:b w:val="0"/>
          <w:i w:val="0"/>
        </w:rPr>
        <w:t xml:space="preserve">; </w:t>
      </w:r>
      <w:hyperlink w:anchor="latin-record-0404">
        <w:r>
          <w:rPr>
            <w:color w:val="000000"/>
          </w:rPr>
          <w:t xml:space="preserve">dividere; divisio</w:t>
        </w:r>
      </w:hyperlink>
      <w:r>
        <w:rPr>
          <w:b w:val="0"/>
          <w:i w:val="0"/>
        </w:rPr>
        <w:t>.</w:t>
      </w:r>
    </w:p>
    <w:p>
      <w:pPr>
        <w:widowControl/>
      </w:pPr>
      <w:r>
        <w:rPr>
          <w:b/>
          <w:i w:val="0"/>
        </w:rPr>
        <w:t>dividimus.</w:t>
      </w:r>
      <w:r>
        <w:rPr>
          <w:b w:val="0"/>
          <w:i w:val="0"/>
        </w:rPr>
        <w:t xml:space="preserve"> </w:t>
      </w:r>
      <w:hyperlink w:anchor="latin-record-0403">
        <w:r>
          <w:rPr>
            <w:color w:val="000000"/>
          </w:rPr>
          <w:t xml:space="preserve">dividere / secare / partiri</w:t>
        </w:r>
      </w:hyperlink>
      <w:r>
        <w:rPr>
          <w:b w:val="0"/>
          <w:i w:val="0"/>
        </w:rPr>
        <w:t>.</w:t>
      </w:r>
    </w:p>
    <w:p>
      <w:pPr>
        <w:widowControl/>
      </w:pPr>
      <w:r>
        <w:rPr>
          <w:b/>
          <w:i w:val="0"/>
        </w:rPr>
        <w:t>dividitur.</w:t>
      </w:r>
      <w:r>
        <w:rPr>
          <w:b w:val="0"/>
          <w:i w:val="0"/>
        </w:rPr>
        <w:t xml:space="preserve"> </w:t>
      </w:r>
      <w:hyperlink w:anchor="latin-record-0402">
        <w:r>
          <w:rPr>
            <w:color w:val="000000"/>
          </w:rPr>
          <w:t xml:space="preserve">distribuere / partiri / secare</w:t>
        </w:r>
      </w:hyperlink>
      <w:r>
        <w:rPr>
          <w:b w:val="0"/>
          <w:i w:val="0"/>
        </w:rPr>
        <w:t xml:space="preserve">; </w:t>
      </w:r>
      <w:hyperlink w:anchor="latin-record-0403">
        <w:r>
          <w:rPr>
            <w:color w:val="000000"/>
          </w:rPr>
          <w:t xml:space="preserve">dividere / secare / partiri</w:t>
        </w:r>
      </w:hyperlink>
      <w:r>
        <w:rPr>
          <w:b w:val="0"/>
          <w:i w:val="0"/>
        </w:rPr>
        <w:t xml:space="preserve">; </w:t>
      </w:r>
      <w:hyperlink w:anchor="latin-record-0404">
        <w:r>
          <w:rPr>
            <w:color w:val="000000"/>
          </w:rPr>
          <w:t xml:space="preserve">dividere; divisio</w:t>
        </w:r>
      </w:hyperlink>
      <w:r>
        <w:rPr>
          <w:b w:val="0"/>
          <w:i w:val="0"/>
        </w:rPr>
        <w:t>.</w:t>
      </w:r>
    </w:p>
    <w:p>
      <w:pPr>
        <w:widowControl/>
      </w:pPr>
      <w:r>
        <w:rPr>
          <w:b/>
          <w:i w:val="0"/>
        </w:rPr>
        <w:t>dividua.</w:t>
      </w:r>
      <w:r>
        <w:rPr>
          <w:b w:val="0"/>
          <w:i w:val="0"/>
        </w:rPr>
        <w:t xml:space="preserve"> </w:t>
      </w:r>
      <w:hyperlink w:anchor="latin-record-0405">
        <w:r>
          <w:rPr>
            <w:color w:val="000000"/>
          </w:rPr>
          <w:t xml:space="preserve">dividuum / divisibilis</w:t>
        </w:r>
      </w:hyperlink>
      <w:r>
        <w:rPr>
          <w:b w:val="0"/>
          <w:i w:val="0"/>
        </w:rPr>
        <w:t xml:space="preserve">; </w:t>
      </w:r>
      <w:hyperlink w:anchor="latin-record-0406">
        <w:r>
          <w:rPr>
            <w:color w:val="000000"/>
          </w:rPr>
          <w:t xml:space="preserve">divisibilis / dividuus</w:t>
        </w:r>
      </w:hyperlink>
      <w:r>
        <w:rPr>
          <w:b w:val="0"/>
          <w:i w:val="0"/>
        </w:rPr>
        <w:t>.</w:t>
      </w:r>
    </w:p>
    <w:p>
      <w:pPr>
        <w:widowControl/>
      </w:pPr>
      <w:r>
        <w:rPr>
          <w:b/>
          <w:i w:val="0"/>
        </w:rPr>
        <w:t>dividuis.</w:t>
      </w:r>
      <w:r>
        <w:rPr>
          <w:b w:val="0"/>
          <w:i w:val="0"/>
        </w:rPr>
        <w:t xml:space="preserve"> </w:t>
      </w:r>
      <w:hyperlink w:anchor="latin-record-0406">
        <w:r>
          <w:rPr>
            <w:color w:val="000000"/>
          </w:rPr>
          <w:t xml:space="preserve">divisibilis / dividuus</w:t>
        </w:r>
      </w:hyperlink>
      <w:r>
        <w:rPr>
          <w:b w:val="0"/>
          <w:i w:val="0"/>
        </w:rPr>
        <w:t>.</w:t>
      </w:r>
    </w:p>
    <w:p>
      <w:pPr>
        <w:widowControl/>
      </w:pPr>
      <w:r>
        <w:rPr>
          <w:b/>
          <w:i w:val="0"/>
        </w:rPr>
        <w:t>dividuntur.</w:t>
      </w:r>
      <w:r>
        <w:rPr>
          <w:b w:val="0"/>
          <w:i w:val="0"/>
        </w:rPr>
        <w:t xml:space="preserve"> </w:t>
      </w:r>
      <w:hyperlink w:anchor="latin-record-0404">
        <w:r>
          <w:rPr>
            <w:color w:val="000000"/>
          </w:rPr>
          <w:t xml:space="preserve">dividere; divisio</w:t>
        </w:r>
      </w:hyperlink>
      <w:r>
        <w:rPr>
          <w:b w:val="0"/>
          <w:i w:val="0"/>
        </w:rPr>
        <w:t>.</w:t>
      </w:r>
    </w:p>
    <w:p>
      <w:pPr>
        <w:widowControl/>
      </w:pPr>
      <w:r>
        <w:rPr>
          <w:b/>
          <w:i w:val="0"/>
        </w:rPr>
        <w:t>divina.</w:t>
      </w:r>
      <w:r>
        <w:rPr>
          <w:b w:val="0"/>
          <w:i w:val="0"/>
        </w:rPr>
        <w:t xml:space="preserve"> </w:t>
      </w:r>
      <w:hyperlink w:anchor="latin-record-0376">
        <w:r>
          <w:rPr>
            <w:color w:val="000000"/>
          </w:rPr>
          <w:t xml:space="preserve">Deus / divinus</w:t>
        </w:r>
      </w:hyperlink>
      <w:r>
        <w:rPr>
          <w:b w:val="0"/>
          <w:i w:val="0"/>
        </w:rPr>
        <w:t>.</w:t>
      </w:r>
    </w:p>
    <w:p>
      <w:pPr>
        <w:widowControl/>
      </w:pPr>
      <w:r>
        <w:rPr>
          <w:b/>
          <w:i w:val="0"/>
        </w:rPr>
        <w:t>divinam.</w:t>
      </w:r>
      <w:r>
        <w:rPr>
          <w:b w:val="0"/>
          <w:i w:val="0"/>
        </w:rPr>
        <w:t xml:space="preserve"> </w:t>
      </w:r>
      <w:hyperlink w:anchor="latin-record-0376">
        <w:r>
          <w:rPr>
            <w:color w:val="000000"/>
          </w:rPr>
          <w:t xml:space="preserve">Deus / divinus</w:t>
        </w:r>
      </w:hyperlink>
      <w:r>
        <w:rPr>
          <w:b w:val="0"/>
          <w:i w:val="0"/>
        </w:rPr>
        <w:t>.</w:t>
      </w:r>
    </w:p>
    <w:p>
      <w:pPr>
        <w:widowControl/>
      </w:pPr>
      <w:r>
        <w:rPr>
          <w:b/>
          <w:i w:val="0"/>
        </w:rPr>
        <w:t>divinior.</w:t>
      </w:r>
      <w:r>
        <w:rPr>
          <w:b w:val="0"/>
          <w:i w:val="0"/>
        </w:rPr>
        <w:t xml:space="preserve"> </w:t>
      </w:r>
      <w:hyperlink w:anchor="latin-record-0748">
        <w:r>
          <w:rPr>
            <w:color w:val="000000"/>
          </w:rPr>
          <w:t xml:space="preserve">magnificentior; divinior</w:t>
        </w:r>
      </w:hyperlink>
      <w:r>
        <w:rPr>
          <w:b w:val="0"/>
          <w:i w:val="0"/>
        </w:rPr>
        <w:t>.</w:t>
      </w:r>
    </w:p>
    <w:p>
      <w:pPr>
        <w:widowControl/>
      </w:pPr>
      <w:r>
        <w:rPr>
          <w:b/>
          <w:i w:val="0"/>
        </w:rPr>
        <w:t>divinis haeret.</w:t>
      </w:r>
      <w:r>
        <w:rPr>
          <w:b w:val="0"/>
          <w:i w:val="0"/>
        </w:rPr>
        <w:t xml:space="preserve"> </w:t>
      </w:r>
      <w:hyperlink w:anchor="latin-record-0555">
        <w:r>
          <w:rPr>
            <w:color w:val="000000"/>
          </w:rPr>
          <w:t xml:space="preserve">haerere</w:t>
        </w:r>
      </w:hyperlink>
      <w:r>
        <w:rPr>
          <w:b w:val="0"/>
          <w:i w:val="0"/>
        </w:rPr>
        <w:t>.</w:t>
      </w:r>
    </w:p>
    <w:p>
      <w:pPr>
        <w:widowControl/>
      </w:pPr>
      <w:r>
        <w:rPr>
          <w:b/>
          <w:i w:val="0"/>
        </w:rPr>
        <w:t>divino.</w:t>
      </w:r>
      <w:r>
        <w:rPr>
          <w:b w:val="0"/>
          <w:i w:val="0"/>
        </w:rPr>
        <w:t xml:space="preserve"> </w:t>
      </w:r>
      <w:hyperlink w:anchor="latin-record-0376">
        <w:r>
          <w:rPr>
            <w:color w:val="000000"/>
          </w:rPr>
          <w:t xml:space="preserve">Deus / divinus</w:t>
        </w:r>
      </w:hyperlink>
      <w:r>
        <w:rPr>
          <w:b w:val="0"/>
          <w:i w:val="0"/>
        </w:rPr>
        <w:t>.</w:t>
      </w:r>
    </w:p>
    <w:p>
      <w:pPr>
        <w:widowControl/>
      </w:pPr>
      <w:r>
        <w:rPr>
          <w:b/>
          <w:i w:val="0"/>
        </w:rPr>
        <w:t>divino numine invocato.</w:t>
      </w:r>
      <w:r>
        <w:rPr>
          <w:b w:val="0"/>
          <w:i w:val="0"/>
        </w:rPr>
        <w:t xml:space="preserve"> </w:t>
      </w:r>
      <w:hyperlink w:anchor="latin-record-0846">
        <w:r>
          <w:rPr>
            <w:color w:val="000000"/>
          </w:rPr>
          <w:t xml:space="preserve">numen invocare</w:t>
        </w:r>
      </w:hyperlink>
      <w:r>
        <w:rPr>
          <w:b w:val="0"/>
          <w:i w:val="0"/>
        </w:rPr>
        <w:t>.</w:t>
      </w:r>
    </w:p>
    <w:p>
      <w:pPr>
        <w:widowControl/>
      </w:pPr>
      <w:r>
        <w:rPr>
          <w:b/>
          <w:i w:val="0"/>
        </w:rPr>
        <w:t>divinorum.</w:t>
      </w:r>
      <w:r>
        <w:rPr>
          <w:b w:val="0"/>
          <w:i w:val="0"/>
        </w:rPr>
        <w:t xml:space="preserve"> </w:t>
      </w:r>
      <w:hyperlink w:anchor="latin-record-0376">
        <w:r>
          <w:rPr>
            <w:color w:val="000000"/>
          </w:rPr>
          <w:t xml:space="preserve">Deus / divinus</w:t>
        </w:r>
      </w:hyperlink>
      <w:r>
        <w:rPr>
          <w:b w:val="0"/>
          <w:i w:val="0"/>
        </w:rPr>
        <w:t>.</w:t>
      </w:r>
    </w:p>
    <w:p>
      <w:pPr>
        <w:widowControl/>
      </w:pPr>
      <w:r>
        <w:rPr>
          <w:b/>
          <w:i w:val="0"/>
        </w:rPr>
        <w:t>divisa.</w:t>
      </w:r>
      <w:r>
        <w:rPr>
          <w:b w:val="0"/>
          <w:i w:val="0"/>
        </w:rPr>
        <w:t xml:space="preserve"> </w:t>
      </w:r>
      <w:hyperlink w:anchor="latin-record-0404">
        <w:r>
          <w:rPr>
            <w:color w:val="000000"/>
          </w:rPr>
          <w:t xml:space="preserve">dividere; divisio</w:t>
        </w:r>
      </w:hyperlink>
      <w:r>
        <w:rPr>
          <w:b w:val="0"/>
          <w:i w:val="0"/>
        </w:rPr>
        <w:t xml:space="preserve">; </w:t>
      </w:r>
      <w:hyperlink w:anchor="latin-record-0626">
        <w:r>
          <w:rPr>
            <w:color w:val="000000"/>
          </w:rPr>
          <w:t xml:space="preserve">indivisibilis / individuus / partibilis</w:t>
        </w:r>
      </w:hyperlink>
      <w:r>
        <w:rPr>
          <w:b w:val="0"/>
          <w:i w:val="0"/>
        </w:rPr>
        <w:t>.</w:t>
      </w:r>
    </w:p>
    <w:p>
      <w:pPr>
        <w:widowControl/>
      </w:pPr>
      <w:r>
        <w:rPr>
          <w:b/>
          <w:i w:val="0"/>
        </w:rPr>
        <w:t>divisam.</w:t>
      </w:r>
      <w:r>
        <w:rPr>
          <w:b w:val="0"/>
          <w:i w:val="0"/>
        </w:rPr>
        <w:t xml:space="preserve"> </w:t>
      </w:r>
      <w:hyperlink w:anchor="latin-record-0404">
        <w:r>
          <w:rPr>
            <w:color w:val="000000"/>
          </w:rPr>
          <w:t xml:space="preserve">dividere; divisio</w:t>
        </w:r>
      </w:hyperlink>
      <w:r>
        <w:rPr>
          <w:b w:val="0"/>
          <w:i w:val="0"/>
        </w:rPr>
        <w:t>.</w:t>
      </w:r>
    </w:p>
    <w:p>
      <w:pPr>
        <w:widowControl/>
      </w:pPr>
      <w:r>
        <w:rPr>
          <w:b/>
          <w:i w:val="0"/>
        </w:rPr>
        <w:t>divisibile.</w:t>
      </w:r>
      <w:r>
        <w:rPr>
          <w:b w:val="0"/>
          <w:i w:val="0"/>
        </w:rPr>
        <w:t xml:space="preserve"> </w:t>
      </w:r>
      <w:hyperlink w:anchor="latin-record-0404">
        <w:r>
          <w:rPr>
            <w:color w:val="000000"/>
          </w:rPr>
          <w:t xml:space="preserve">dividere; divisio</w:t>
        </w:r>
      </w:hyperlink>
      <w:r>
        <w:rPr>
          <w:b w:val="0"/>
          <w:i w:val="0"/>
        </w:rPr>
        <w:t xml:space="preserve">; </w:t>
      </w:r>
      <w:hyperlink w:anchor="latin-record-0405">
        <w:r>
          <w:rPr>
            <w:color w:val="000000"/>
          </w:rPr>
          <w:t xml:space="preserve">dividuum / divisibilis</w:t>
        </w:r>
      </w:hyperlink>
      <w:r>
        <w:rPr>
          <w:b w:val="0"/>
          <w:i w:val="0"/>
        </w:rPr>
        <w:t xml:space="preserve">; </w:t>
      </w:r>
      <w:hyperlink w:anchor="latin-record-0406">
        <w:r>
          <w:rPr>
            <w:color w:val="000000"/>
          </w:rPr>
          <w:t xml:space="preserve">divisibilis / dividuus</w:t>
        </w:r>
      </w:hyperlink>
      <w:r>
        <w:rPr>
          <w:b w:val="0"/>
          <w:i w:val="0"/>
        </w:rPr>
        <w:t>.</w:t>
      </w:r>
    </w:p>
    <w:p>
      <w:pPr>
        <w:widowControl/>
      </w:pPr>
      <w:r>
        <w:rPr>
          <w:b/>
          <w:i w:val="0"/>
        </w:rPr>
        <w:t>divisibilem.</w:t>
      </w:r>
      <w:r>
        <w:rPr>
          <w:b w:val="0"/>
          <w:i w:val="0"/>
        </w:rPr>
        <w:t xml:space="preserve"> </w:t>
      </w:r>
      <w:hyperlink w:anchor="latin-record-0405">
        <w:r>
          <w:rPr>
            <w:color w:val="000000"/>
          </w:rPr>
          <w:t xml:space="preserve">dividuum / divisibilis</w:t>
        </w:r>
      </w:hyperlink>
      <w:r>
        <w:rPr>
          <w:b w:val="0"/>
          <w:i w:val="0"/>
        </w:rPr>
        <w:t xml:space="preserve">; </w:t>
      </w:r>
      <w:hyperlink w:anchor="latin-record-0406">
        <w:r>
          <w:rPr>
            <w:color w:val="000000"/>
          </w:rPr>
          <w:t xml:space="preserve">divisibilis / dividuus</w:t>
        </w:r>
      </w:hyperlink>
      <w:r>
        <w:rPr>
          <w:b w:val="0"/>
          <w:i w:val="0"/>
        </w:rPr>
        <w:t>.</w:t>
      </w:r>
    </w:p>
    <w:p>
      <w:pPr>
        <w:widowControl/>
      </w:pPr>
      <w:r>
        <w:rPr>
          <w:b/>
          <w:i w:val="0"/>
        </w:rPr>
        <w:t>divisibiles.</w:t>
      </w:r>
      <w:r>
        <w:rPr>
          <w:b w:val="0"/>
          <w:i w:val="0"/>
        </w:rPr>
        <w:t xml:space="preserve"> </w:t>
      </w:r>
      <w:hyperlink w:anchor="latin-record-0404">
        <w:r>
          <w:rPr>
            <w:color w:val="000000"/>
          </w:rPr>
          <w:t xml:space="preserve">dividere; divisio</w:t>
        </w:r>
      </w:hyperlink>
      <w:r>
        <w:rPr>
          <w:b w:val="0"/>
          <w:i w:val="0"/>
        </w:rPr>
        <w:t>.</w:t>
      </w:r>
    </w:p>
    <w:p>
      <w:pPr>
        <w:widowControl/>
      </w:pPr>
      <w:r>
        <w:rPr>
          <w:b/>
          <w:i w:val="0"/>
        </w:rPr>
        <w:t>divisibili.</w:t>
      </w:r>
      <w:r>
        <w:rPr>
          <w:b w:val="0"/>
          <w:i w:val="0"/>
        </w:rPr>
        <w:t xml:space="preserve"> </w:t>
      </w:r>
      <w:hyperlink w:anchor="latin-record-0406">
        <w:r>
          <w:rPr>
            <w:color w:val="000000"/>
          </w:rPr>
          <w:t xml:space="preserve">divisibilis / dividuus</w:t>
        </w:r>
      </w:hyperlink>
      <w:r>
        <w:rPr>
          <w:b w:val="0"/>
          <w:i w:val="0"/>
        </w:rPr>
        <w:t>.</w:t>
      </w:r>
    </w:p>
    <w:p>
      <w:pPr>
        <w:widowControl/>
      </w:pPr>
      <w:r>
        <w:rPr>
          <w:b/>
          <w:i w:val="0"/>
        </w:rPr>
        <w:t>divisibilis.</w:t>
      </w:r>
      <w:r>
        <w:rPr>
          <w:b w:val="0"/>
          <w:i w:val="0"/>
        </w:rPr>
        <w:t xml:space="preserve"> </w:t>
      </w:r>
      <w:hyperlink w:anchor="latin-record-0404">
        <w:r>
          <w:rPr>
            <w:color w:val="000000"/>
          </w:rPr>
          <w:t xml:space="preserve">dividere; divisio</w:t>
        </w:r>
      </w:hyperlink>
      <w:r>
        <w:rPr>
          <w:b w:val="0"/>
          <w:i w:val="0"/>
        </w:rPr>
        <w:t xml:space="preserve">; </w:t>
      </w:r>
      <w:hyperlink w:anchor="latin-record-0405">
        <w:r>
          <w:rPr>
            <w:color w:val="000000"/>
          </w:rPr>
          <w:t xml:space="preserve">dividuum / divisibilis</w:t>
        </w:r>
      </w:hyperlink>
      <w:r>
        <w:rPr>
          <w:b w:val="0"/>
          <w:i w:val="0"/>
        </w:rPr>
        <w:t xml:space="preserve">; </w:t>
      </w:r>
      <w:hyperlink w:anchor="latin-record-0406">
        <w:r>
          <w:rPr>
            <w:color w:val="000000"/>
          </w:rPr>
          <w:t xml:space="preserve">divisibilis / dividuus</w:t>
        </w:r>
      </w:hyperlink>
      <w:r>
        <w:rPr>
          <w:b w:val="0"/>
          <w:i w:val="0"/>
        </w:rPr>
        <w:t>.</w:t>
      </w:r>
    </w:p>
    <w:p>
      <w:pPr>
        <w:widowControl/>
      </w:pPr>
      <w:r>
        <w:rPr>
          <w:b/>
          <w:i w:val="0"/>
        </w:rPr>
        <w:t>divisio.</w:t>
      </w:r>
      <w:r>
        <w:rPr>
          <w:b w:val="0"/>
          <w:i w:val="0"/>
        </w:rPr>
        <w:t xml:space="preserve"> </w:t>
      </w:r>
      <w:hyperlink w:anchor="latin-record-1114">
        <w:r>
          <w:rPr>
            <w:color w:val="000000"/>
          </w:rPr>
          <w:t xml:space="preserve">resolutio / divisio</w:t>
        </w:r>
      </w:hyperlink>
      <w:r>
        <w:rPr>
          <w:b w:val="0"/>
          <w:i w:val="0"/>
        </w:rPr>
        <w:t>.</w:t>
      </w:r>
    </w:p>
    <w:p>
      <w:pPr>
        <w:widowControl/>
      </w:pPr>
      <w:r>
        <w:rPr>
          <w:b/>
          <w:i w:val="0"/>
        </w:rPr>
        <w:t>divisionem.</w:t>
      </w:r>
      <w:r>
        <w:rPr>
          <w:b w:val="0"/>
          <w:i w:val="0"/>
        </w:rPr>
        <w:t xml:space="preserve"> </w:t>
      </w:r>
      <w:hyperlink w:anchor="latin-record-0404">
        <w:r>
          <w:rPr>
            <w:color w:val="000000"/>
          </w:rPr>
          <w:t xml:space="preserve">dividere; divisio</w:t>
        </w:r>
      </w:hyperlink>
      <w:r>
        <w:rPr>
          <w:b w:val="0"/>
          <w:i w:val="0"/>
        </w:rPr>
        <w:t xml:space="preserve">; </w:t>
      </w:r>
      <w:hyperlink w:anchor="latin-record-1114">
        <w:r>
          <w:rPr>
            <w:color w:val="000000"/>
          </w:rPr>
          <w:t xml:space="preserve">resolutio / divisio</w:t>
        </w:r>
      </w:hyperlink>
      <w:r>
        <w:rPr>
          <w:b w:val="0"/>
          <w:i w:val="0"/>
        </w:rPr>
        <w:t>.</w:t>
      </w:r>
    </w:p>
    <w:p>
      <w:pPr>
        <w:widowControl/>
      </w:pPr>
      <w:r>
        <w:rPr>
          <w:b/>
          <w:i w:val="0"/>
        </w:rPr>
        <w:t>divisionis.</w:t>
      </w:r>
      <w:r>
        <w:rPr>
          <w:b w:val="0"/>
          <w:i w:val="0"/>
        </w:rPr>
        <w:t xml:space="preserve"> </w:t>
      </w:r>
      <w:hyperlink w:anchor="latin-record-0404">
        <w:r>
          <w:rPr>
            <w:color w:val="000000"/>
          </w:rPr>
          <w:t xml:space="preserve">dividere; divisio</w:t>
        </w:r>
      </w:hyperlink>
      <w:r>
        <w:rPr>
          <w:b w:val="0"/>
          <w:i w:val="0"/>
        </w:rPr>
        <w:t xml:space="preserve">; </w:t>
      </w:r>
      <w:hyperlink w:anchor="latin-record-0407">
        <w:r>
          <w:rPr>
            <w:color w:val="000000"/>
          </w:rPr>
          <w:t xml:space="preserve">divisio / membrum</w:t>
        </w:r>
      </w:hyperlink>
      <w:r>
        <w:rPr>
          <w:b w:val="0"/>
          <w:i w:val="0"/>
        </w:rPr>
        <w:t>.</w:t>
      </w:r>
    </w:p>
    <w:p>
      <w:pPr>
        <w:widowControl/>
      </w:pPr>
      <w:r>
        <w:rPr>
          <w:b/>
          <w:i w:val="0"/>
        </w:rPr>
        <w:t>divitiarum.</w:t>
      </w:r>
      <w:r>
        <w:rPr>
          <w:b w:val="0"/>
          <w:i w:val="0"/>
        </w:rPr>
        <w:t xml:space="preserve"> </w:t>
      </w:r>
      <w:hyperlink w:anchor="latin-record-0408">
        <w:r>
          <w:rPr>
            <w:color w:val="000000"/>
          </w:rPr>
          <w:t xml:space="preserve">divitiarum cumulus / imperii amplitudo</w:t>
        </w:r>
      </w:hyperlink>
      <w:r>
        <w:rPr>
          <w:b w:val="0"/>
          <w:i w:val="0"/>
        </w:rPr>
        <w:t>.</w:t>
      </w:r>
    </w:p>
    <w:p>
      <w:pPr>
        <w:widowControl/>
      </w:pPr>
      <w:r>
        <w:rPr>
          <w:b/>
          <w:i w:val="0"/>
        </w:rPr>
        <w:t>dixeris.</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dixerit.</w:t>
      </w:r>
      <w:r>
        <w:rPr>
          <w:b w:val="0"/>
          <w:i w:val="0"/>
        </w:rPr>
        <w:t xml:space="preserve"> </w:t>
      </w:r>
      <w:hyperlink w:anchor="latin-record-0379">
        <w:r>
          <w:rPr>
            <w:color w:val="000000"/>
          </w:rPr>
          <w:t xml:space="preserve">dicere / loqui / vocare</w:t>
        </w:r>
      </w:hyperlink>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Dixerit.</w:t>
      </w:r>
      <w:r>
        <w:rPr>
          <w:b w:val="0"/>
          <w:i w:val="0"/>
        </w:rPr>
        <w:t xml:space="preserve"> </w:t>
      </w:r>
      <w:hyperlink w:anchor="latin-record-0379">
        <w:r>
          <w:rPr>
            <w:color w:val="000000"/>
          </w:rPr>
          <w:t xml:space="preserve">dicere / loqui / vocare</w:t>
        </w:r>
      </w:hyperlink>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diximus.</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docendo.</w:t>
      </w:r>
      <w:r>
        <w:rPr>
          <w:b w:val="0"/>
          <w:i w:val="0"/>
        </w:rPr>
        <w:t xml:space="preserve"> </w:t>
      </w:r>
      <w:hyperlink w:anchor="latin-record-0409">
        <w:r>
          <w:rPr>
            <w:color w:val="000000"/>
          </w:rPr>
          <w:t xml:space="preserve">docere</w:t>
        </w:r>
      </w:hyperlink>
      <w:r>
        <w:rPr>
          <w:b w:val="0"/>
          <w:i w:val="0"/>
        </w:rPr>
        <w:t>.</w:t>
      </w:r>
    </w:p>
    <w:p>
      <w:pPr>
        <w:widowControl/>
      </w:pPr>
      <w:r>
        <w:rPr>
          <w:b/>
          <w:i w:val="0"/>
        </w:rPr>
        <w:t>docet.</w:t>
      </w:r>
      <w:r>
        <w:rPr>
          <w:b w:val="0"/>
          <w:i w:val="0"/>
        </w:rPr>
        <w:t xml:space="preserve"> </w:t>
      </w:r>
      <w:hyperlink w:anchor="latin-record-0409">
        <w:r>
          <w:rPr>
            <w:color w:val="000000"/>
          </w:rPr>
          <w:t xml:space="preserve">docere</w:t>
        </w:r>
      </w:hyperlink>
      <w:r>
        <w:rPr>
          <w:b w:val="0"/>
          <w:i w:val="0"/>
        </w:rPr>
        <w:t xml:space="preserve">; </w:t>
      </w:r>
      <w:hyperlink w:anchor="latin-record-1013">
        <w:r>
          <w:rPr>
            <w:color w:val="000000"/>
          </w:rPr>
          <w:t xml:space="preserve">propositio / docere</w:t>
        </w:r>
      </w:hyperlink>
      <w:r>
        <w:rPr>
          <w:b w:val="0"/>
          <w:i w:val="0"/>
        </w:rPr>
        <w:t>.</w:t>
      </w:r>
    </w:p>
    <w:p>
      <w:pPr>
        <w:widowControl/>
      </w:pPr>
      <w:r>
        <w:rPr>
          <w:b/>
          <w:i w:val="0"/>
        </w:rPr>
        <w:t>docilitas.</w:t>
      </w:r>
      <w:r>
        <w:rPr>
          <w:b w:val="0"/>
          <w:i w:val="0"/>
        </w:rPr>
        <w:t xml:space="preserve"> </w:t>
      </w:r>
      <w:hyperlink w:anchor="latin-record-0410">
        <w:r>
          <w:rPr>
            <w:color w:val="000000"/>
          </w:rPr>
          <w:t xml:space="preserve">docilitas / acumen</w:t>
        </w:r>
      </w:hyperlink>
      <w:r>
        <w:rPr>
          <w:b w:val="0"/>
          <w:i w:val="0"/>
        </w:rPr>
        <w:t>.</w:t>
      </w:r>
    </w:p>
    <w:p>
      <w:pPr>
        <w:widowControl/>
      </w:pPr>
      <w:r>
        <w:rPr>
          <w:b/>
          <w:i w:val="0"/>
        </w:rPr>
        <w:t>doctrinarum.</w:t>
      </w:r>
      <w:r>
        <w:rPr>
          <w:b w:val="0"/>
          <w:i w:val="0"/>
        </w:rPr>
        <w:t xml:space="preserve"> </w:t>
      </w:r>
      <w:hyperlink w:anchor="latin-record-0798">
        <w:r>
          <w:rPr>
            <w:color w:val="000000"/>
          </w:rPr>
          <w:t xml:space="preserve">mores; doctrina; tempus</w:t>
        </w:r>
      </w:hyperlink>
      <w:r>
        <w:rPr>
          <w:b w:val="0"/>
          <w:i w:val="0"/>
        </w:rPr>
        <w:t>.</w:t>
      </w:r>
    </w:p>
    <w:p>
      <w:pPr>
        <w:widowControl/>
      </w:pPr>
      <w:r>
        <w:rPr>
          <w:b/>
          <w:i w:val="0"/>
        </w:rPr>
        <w:t>doleat.</w:t>
      </w:r>
      <w:r>
        <w:rPr>
          <w:b w:val="0"/>
          <w:i w:val="0"/>
        </w:rPr>
        <w:t xml:space="preserve"> </w:t>
      </w:r>
      <w:hyperlink w:anchor="latin-record-0855">
        <w:r>
          <w:rPr>
            <w:color w:val="000000"/>
          </w:rPr>
          <w:t xml:space="preserve">offendere / dolere</w:t>
        </w:r>
      </w:hyperlink>
      <w:r>
        <w:rPr>
          <w:b w:val="0"/>
          <w:i w:val="0"/>
        </w:rPr>
        <w:t>.</w:t>
      </w:r>
    </w:p>
    <w:p>
      <w:pPr>
        <w:widowControl/>
      </w:pPr>
      <w:r>
        <w:rPr>
          <w:b/>
          <w:i w:val="0"/>
        </w:rPr>
        <w:t>dolebit.</w:t>
      </w:r>
      <w:r>
        <w:rPr>
          <w:b w:val="0"/>
          <w:i w:val="0"/>
        </w:rPr>
        <w:t xml:space="preserve"> </w:t>
      </w:r>
      <w:hyperlink w:anchor="latin-record-0180">
        <w:r>
          <w:rPr>
            <w:color w:val="000000"/>
          </w:rPr>
          <w:t xml:space="preserve">caligare; dolere</w:t>
        </w:r>
      </w:hyperlink>
      <w:r>
        <w:rPr>
          <w:b w:val="0"/>
          <w:i w:val="0"/>
        </w:rPr>
        <w:t>.</w:t>
      </w:r>
    </w:p>
    <w:p>
      <w:pPr>
        <w:widowControl/>
      </w:pPr>
      <w:r>
        <w:rPr>
          <w:b/>
          <w:i w:val="0"/>
        </w:rPr>
        <w:t>dolemus.</w:t>
      </w:r>
      <w:r>
        <w:rPr>
          <w:b w:val="0"/>
          <w:i w:val="0"/>
        </w:rPr>
        <w:t xml:space="preserve"> </w:t>
      </w:r>
      <w:hyperlink w:anchor="latin-record-0180">
        <w:r>
          <w:rPr>
            <w:color w:val="000000"/>
          </w:rPr>
          <w:t xml:space="preserve">caligare; dolere</w:t>
        </w:r>
      </w:hyperlink>
      <w:r>
        <w:rPr>
          <w:b w:val="0"/>
          <w:i w:val="0"/>
        </w:rPr>
        <w:t>.</w:t>
      </w:r>
    </w:p>
    <w:p>
      <w:pPr>
        <w:widowControl/>
      </w:pPr>
      <w:r>
        <w:rPr>
          <w:b/>
          <w:i w:val="0"/>
        </w:rPr>
        <w:t>dolor.</w:t>
      </w:r>
      <w:r>
        <w:rPr>
          <w:b w:val="0"/>
          <w:i w:val="0"/>
        </w:rPr>
        <w:t xml:space="preserve"> </w:t>
      </w:r>
      <w:hyperlink w:anchor="latin-record-0855">
        <w:r>
          <w:rPr>
            <w:color w:val="000000"/>
          </w:rPr>
          <w:t xml:space="preserve">offendere / dolere</w:t>
        </w:r>
      </w:hyperlink>
      <w:r>
        <w:rPr>
          <w:b w:val="0"/>
          <w:i w:val="0"/>
        </w:rPr>
        <w:t xml:space="preserve">; </w:t>
      </w:r>
      <w:hyperlink w:anchor="latin-record-0856">
        <w:r>
          <w:rPr>
            <w:color w:val="000000"/>
          </w:rPr>
          <w:t xml:space="preserve">offensio; dolor</w:t>
        </w:r>
      </w:hyperlink>
      <w:r>
        <w:rPr>
          <w:b w:val="0"/>
          <w:i w:val="0"/>
        </w:rPr>
        <w:t>.</w:t>
      </w:r>
    </w:p>
    <w:p>
      <w:pPr>
        <w:widowControl/>
      </w:pPr>
      <w:r>
        <w:rPr>
          <w:b/>
          <w:i w:val="0"/>
        </w:rPr>
        <w:t>dolorem.</w:t>
      </w:r>
      <w:r>
        <w:rPr>
          <w:b w:val="0"/>
          <w:i w:val="0"/>
        </w:rPr>
        <w:t xml:space="preserve"> </w:t>
      </w:r>
      <w:hyperlink w:anchor="latin-record-1387">
        <w:r>
          <w:rPr>
            <w:color w:val="000000"/>
          </w:rPr>
          <w:t xml:space="preserve">voluptas / fastidium / dolor</w:t>
        </w:r>
      </w:hyperlink>
      <w:r>
        <w:rPr>
          <w:b w:val="0"/>
          <w:i w:val="0"/>
        </w:rPr>
        <w:t>.</w:t>
      </w:r>
    </w:p>
    <w:p>
      <w:pPr>
        <w:widowControl/>
      </w:pPr>
      <w:r>
        <w:rPr>
          <w:b/>
          <w:i w:val="0"/>
        </w:rPr>
        <w:t>domina.</w:t>
      </w:r>
      <w:r>
        <w:rPr>
          <w:b w:val="0"/>
          <w:i w:val="0"/>
        </w:rPr>
        <w:t xml:space="preserve"> </w:t>
      </w:r>
      <w:hyperlink w:anchor="latin-record-0411">
        <w:r>
          <w:rPr>
            <w:color w:val="000000"/>
          </w:rPr>
          <w:t xml:space="preserve">domina / dominari</w:t>
        </w:r>
      </w:hyperlink>
      <w:r>
        <w:rPr>
          <w:b w:val="0"/>
          <w:i w:val="0"/>
        </w:rPr>
        <w:t>.</w:t>
      </w:r>
    </w:p>
    <w:p>
      <w:pPr>
        <w:widowControl/>
      </w:pPr>
      <w:r>
        <w:rPr>
          <w:b/>
          <w:i w:val="0"/>
        </w:rPr>
        <w:t>Domina.</w:t>
      </w:r>
      <w:r>
        <w:rPr>
          <w:b w:val="0"/>
          <w:i w:val="0"/>
        </w:rPr>
        <w:t xml:space="preserve"> </w:t>
      </w:r>
      <w:hyperlink w:anchor="latin-record-0411">
        <w:r>
          <w:rPr>
            <w:color w:val="000000"/>
          </w:rPr>
          <w:t xml:space="preserve">domina / dominari</w:t>
        </w:r>
      </w:hyperlink>
      <w:r>
        <w:rPr>
          <w:b w:val="0"/>
          <w:i w:val="0"/>
        </w:rPr>
        <w:t>.</w:t>
      </w:r>
    </w:p>
    <w:p>
      <w:pPr>
        <w:widowControl/>
      </w:pPr>
      <w:r>
        <w:rPr>
          <w:b/>
          <w:i w:val="0"/>
        </w:rPr>
        <w:t>dominatur.</w:t>
      </w:r>
      <w:r>
        <w:rPr>
          <w:b w:val="0"/>
          <w:i w:val="0"/>
        </w:rPr>
        <w:t xml:space="preserve"> </w:t>
      </w:r>
      <w:hyperlink w:anchor="latin-record-0411">
        <w:r>
          <w:rPr>
            <w:color w:val="000000"/>
          </w:rPr>
          <w:t xml:space="preserve">domina / dominari</w:t>
        </w:r>
      </w:hyperlink>
      <w:r>
        <w:rPr>
          <w:b w:val="0"/>
          <w:i w:val="0"/>
        </w:rPr>
        <w:t xml:space="preserve">; </w:t>
      </w:r>
      <w:hyperlink w:anchor="latin-record-0412">
        <w:r>
          <w:rPr>
            <w:color w:val="000000"/>
          </w:rPr>
          <w:t xml:space="preserve">dominari / vigere / astringere</w:t>
        </w:r>
      </w:hyperlink>
      <w:r>
        <w:rPr>
          <w:b w:val="0"/>
          <w:i w:val="0"/>
        </w:rPr>
        <w:t>.</w:t>
      </w:r>
    </w:p>
    <w:p>
      <w:pPr>
        <w:widowControl/>
      </w:pPr>
      <w:r>
        <w:rPr>
          <w:b/>
          <w:i w:val="0"/>
        </w:rPr>
        <w:t>domus.</w:t>
      </w:r>
      <w:r>
        <w:rPr>
          <w:b w:val="0"/>
          <w:i w:val="0"/>
        </w:rPr>
        <w:t xml:space="preserve"> </w:t>
      </w:r>
      <w:hyperlink w:anchor="latin-record-0293">
        <w:r>
          <w:rPr>
            <w:color w:val="000000"/>
          </w:rPr>
          <w:t xml:space="preserve">congregatum; domus; paries</w:t>
        </w:r>
      </w:hyperlink>
      <w:r>
        <w:rPr>
          <w:b w:val="0"/>
          <w:i w:val="0"/>
        </w:rPr>
        <w:t>.</w:t>
      </w:r>
    </w:p>
    <w:p>
      <w:pPr>
        <w:widowControl/>
      </w:pPr>
      <w:r>
        <w:rPr>
          <w:b/>
          <w:i w:val="0"/>
        </w:rPr>
        <w:t>donatus.</w:t>
      </w:r>
      <w:r>
        <w:rPr>
          <w:b w:val="0"/>
          <w:i w:val="0"/>
        </w:rPr>
        <w:t xml:space="preserve"> </w:t>
      </w:r>
      <w:hyperlink w:anchor="latin-record-0270">
        <w:r>
          <w:rPr>
            <w:color w:val="000000"/>
          </w:rPr>
          <w:t xml:space="preserve">concedere / donare</w:t>
        </w:r>
      </w:hyperlink>
      <w:r>
        <w:rPr>
          <w:b w:val="0"/>
          <w:i w:val="0"/>
        </w:rPr>
        <w:t>.</w:t>
      </w:r>
    </w:p>
    <w:p>
      <w:pPr>
        <w:widowControl/>
      </w:pPr>
      <w:r>
        <w:rPr>
          <w:b/>
          <w:i w:val="0"/>
        </w:rPr>
        <w:t>dormienti.</w:t>
      </w:r>
      <w:r>
        <w:rPr>
          <w:b w:val="0"/>
          <w:i w:val="0"/>
        </w:rPr>
        <w:t xml:space="preserve"> </w:t>
      </w:r>
      <w:hyperlink w:anchor="latin-record-0413">
        <w:r>
          <w:rPr>
            <w:color w:val="000000"/>
          </w:rPr>
          <w:t xml:space="preserve">dormire / vigilare / expergefieri</w:t>
        </w:r>
      </w:hyperlink>
      <w:r>
        <w:rPr>
          <w:b w:val="0"/>
          <w:i w:val="0"/>
        </w:rPr>
        <w:t>.</w:t>
      </w:r>
    </w:p>
    <w:p>
      <w:pPr>
        <w:widowControl/>
      </w:pPr>
      <w:r>
        <w:rPr>
          <w:b/>
          <w:i w:val="0"/>
        </w:rPr>
        <w:t>dotes.</w:t>
      </w:r>
      <w:r>
        <w:rPr>
          <w:b w:val="0"/>
          <w:i w:val="0"/>
        </w:rPr>
        <w:t xml:space="preserve"> </w:t>
      </w:r>
      <w:hyperlink w:anchor="latin-record-0414">
        <w:r>
          <w:rPr>
            <w:color w:val="000000"/>
          </w:rPr>
          <w:t xml:space="preserve">dos</w:t>
        </w:r>
      </w:hyperlink>
      <w:r>
        <w:rPr>
          <w:b w:val="0"/>
          <w:i w:val="0"/>
        </w:rPr>
        <w:t>.</w:t>
      </w:r>
    </w:p>
    <w:p>
      <w:pPr>
        <w:widowControl/>
      </w:pPr>
      <w:r>
        <w:rPr>
          <w:b/>
          <w:i w:val="0"/>
        </w:rPr>
        <w:t>dotes ex eo.</w:t>
      </w:r>
      <w:r>
        <w:rPr>
          <w:b w:val="0"/>
          <w:i w:val="0"/>
        </w:rPr>
        <w:t xml:space="preserve"> </w:t>
      </w:r>
      <w:hyperlink w:anchor="latin-record-0414">
        <w:r>
          <w:rPr>
            <w:color w:val="000000"/>
          </w:rPr>
          <w:t xml:space="preserve">dos</w:t>
        </w:r>
      </w:hyperlink>
      <w:r>
        <w:rPr>
          <w:b w:val="0"/>
          <w:i w:val="0"/>
        </w:rPr>
        <w:t>.</w:t>
      </w:r>
    </w:p>
    <w:p>
      <w:pPr>
        <w:widowControl/>
      </w:pPr>
      <w:r>
        <w:rPr>
          <w:b/>
          <w:i w:val="0"/>
        </w:rPr>
        <w:t>ducentes.</w:t>
      </w:r>
      <w:r>
        <w:rPr>
          <w:b w:val="0"/>
          <w:i w:val="0"/>
        </w:rPr>
        <w:t xml:space="preserve"> </w:t>
      </w:r>
      <w:hyperlink w:anchor="latin-record-1094">
        <w:r>
          <w:rPr>
            <w:color w:val="000000"/>
          </w:rPr>
          <w:t xml:space="preserve">regere; ducere; gubernare</w:t>
        </w:r>
      </w:hyperlink>
      <w:r>
        <w:rPr>
          <w:b w:val="0"/>
          <w:i w:val="0"/>
        </w:rPr>
        <w:t>.</w:t>
      </w:r>
    </w:p>
    <w:p>
      <w:pPr>
        <w:widowControl/>
      </w:pPr>
      <w:r>
        <w:rPr>
          <w:b/>
          <w:i w:val="0"/>
        </w:rPr>
        <w:t>ducit.</w:t>
      </w:r>
      <w:r>
        <w:rPr>
          <w:b w:val="0"/>
          <w:i w:val="0"/>
        </w:rPr>
        <w:t xml:space="preserve"> </w:t>
      </w:r>
      <w:hyperlink w:anchor="latin-record-1094">
        <w:r>
          <w:rPr>
            <w:color w:val="000000"/>
          </w:rPr>
          <w:t xml:space="preserve">regere; ducere; gubernare</w:t>
        </w:r>
      </w:hyperlink>
      <w:r>
        <w:rPr>
          <w:b w:val="0"/>
          <w:i w:val="0"/>
        </w:rPr>
        <w:t>.</w:t>
      </w:r>
    </w:p>
    <w:p>
      <w:pPr>
        <w:widowControl/>
      </w:pPr>
      <w:r>
        <w:rPr>
          <w:b/>
          <w:i w:val="0"/>
        </w:rPr>
        <w:t>ducitur.</w:t>
      </w:r>
      <w:r>
        <w:rPr>
          <w:b w:val="0"/>
          <w:i w:val="0"/>
        </w:rPr>
        <w:t xml:space="preserve"> </w:t>
      </w:r>
      <w:hyperlink w:anchor="latin-record-1094">
        <w:r>
          <w:rPr>
            <w:color w:val="000000"/>
          </w:rPr>
          <w:t xml:space="preserve">regere; ducere; gubernare</w:t>
        </w:r>
      </w:hyperlink>
      <w:r>
        <w:rPr>
          <w:b w:val="0"/>
          <w:i w:val="0"/>
        </w:rPr>
        <w:t>.</w:t>
      </w:r>
    </w:p>
    <w:p>
      <w:pPr>
        <w:widowControl/>
      </w:pPr>
      <w:r>
        <w:rPr>
          <w:b/>
          <w:i w:val="0"/>
        </w:rPr>
        <w:t>dulce.</w:t>
      </w:r>
      <w:r>
        <w:rPr>
          <w:b w:val="0"/>
          <w:i w:val="0"/>
        </w:rPr>
        <w:t xml:space="preserve"> </w:t>
      </w:r>
      <w:hyperlink w:anchor="latin-record-0415">
        <w:r>
          <w:rPr>
            <w:color w:val="000000"/>
          </w:rPr>
          <w:t xml:space="preserve">dulce / amarum / utile / inutile</w:t>
        </w:r>
      </w:hyperlink>
      <w:r>
        <w:rPr>
          <w:b w:val="0"/>
          <w:i w:val="0"/>
        </w:rPr>
        <w:t>.</w:t>
      </w:r>
    </w:p>
    <w:p>
      <w:pPr>
        <w:widowControl/>
      </w:pPr>
      <w:r>
        <w:rPr>
          <w:b/>
          <w:i w:val="0"/>
        </w:rPr>
        <w:t>dulcedo.</w:t>
      </w:r>
      <w:r>
        <w:rPr>
          <w:b w:val="0"/>
          <w:i w:val="0"/>
        </w:rPr>
        <w:t xml:space="preserve"> </w:t>
      </w:r>
      <w:hyperlink w:anchor="latin-record-1355">
        <w:r>
          <w:rPr>
            <w:color w:val="000000"/>
          </w:rPr>
          <w:t xml:space="preserve">vinum / dulcedo / sapor</w:t>
        </w:r>
      </w:hyperlink>
      <w:r>
        <w:rPr>
          <w:b w:val="0"/>
          <w:i w:val="0"/>
        </w:rPr>
        <w:t>.</w:t>
      </w:r>
    </w:p>
    <w:p>
      <w:pPr>
        <w:widowControl/>
      </w:pPr>
      <w:r>
        <w:rPr>
          <w:b/>
          <w:i w:val="0"/>
        </w:rPr>
        <w:t>dulcia.</w:t>
      </w:r>
      <w:r>
        <w:rPr>
          <w:b w:val="0"/>
          <w:i w:val="0"/>
        </w:rPr>
        <w:t xml:space="preserve"> </w:t>
      </w:r>
      <w:hyperlink w:anchor="latin-record-1388">
        <w:r>
          <w:rPr>
            <w:color w:val="000000"/>
          </w:rPr>
          <w:t xml:space="preserve">vox; odor; sapor</w:t>
        </w:r>
      </w:hyperlink>
      <w:r>
        <w:rPr>
          <w:b w:val="0"/>
          <w:i w:val="0"/>
        </w:rPr>
        <w:t>.</w:t>
      </w:r>
    </w:p>
    <w:p>
      <w:pPr>
        <w:widowControl/>
      </w:pPr>
      <w:r>
        <w:rPr>
          <w:b/>
          <w:i w:val="0"/>
        </w:rPr>
        <w:t>dulcis.</w:t>
      </w:r>
      <w:r>
        <w:rPr>
          <w:b w:val="0"/>
          <w:i w:val="0"/>
        </w:rPr>
        <w:t xml:space="preserve"> </w:t>
      </w:r>
      <w:hyperlink w:anchor="latin-record-1355">
        <w:r>
          <w:rPr>
            <w:color w:val="000000"/>
          </w:rPr>
          <w:t xml:space="preserve">vinum / dulcedo / sapor</w:t>
        </w:r>
      </w:hyperlink>
      <w:r>
        <w:rPr>
          <w:b w:val="0"/>
          <w:i w:val="0"/>
        </w:rPr>
        <w:t>.</w:t>
      </w:r>
    </w:p>
    <w:p>
      <w:pPr>
        <w:widowControl/>
      </w:pPr>
      <w:r>
        <w:rPr>
          <w:b/>
          <w:i w:val="0"/>
        </w:rPr>
        <w:t>dum est.</w:t>
      </w:r>
      <w:r>
        <w:rPr>
          <w:b w:val="0"/>
          <w:i w:val="0"/>
        </w:rPr>
        <w:t xml:space="preserve"> </w:t>
      </w:r>
      <w:hyperlink w:anchor="latin-record-0416">
        <w:r>
          <w:rPr>
            <w:color w:val="000000"/>
          </w:rPr>
          <w:t xml:space="preserve">dum est</w:t>
        </w:r>
      </w:hyperlink>
      <w:r>
        <w:rPr>
          <w:b w:val="0"/>
          <w:i w:val="0"/>
        </w:rPr>
        <w:t>.</w:t>
      </w:r>
    </w:p>
    <w:p>
      <w:pPr>
        <w:widowControl/>
      </w:pPr>
      <w:r>
        <w:rPr>
          <w:b/>
          <w:i w:val="0"/>
        </w:rPr>
        <w:t>Dum scilicet est.</w:t>
      </w:r>
      <w:r>
        <w:rPr>
          <w:b w:val="0"/>
          <w:i w:val="0"/>
        </w:rPr>
        <w:t xml:space="preserve"> </w:t>
      </w:r>
      <w:hyperlink w:anchor="latin-record-0416">
        <w:r>
          <w:rPr>
            <w:color w:val="000000"/>
          </w:rPr>
          <w:t xml:space="preserve">dum est</w:t>
        </w:r>
      </w:hyperlink>
      <w:r>
        <w:rPr>
          <w:b w:val="0"/>
          <w:i w:val="0"/>
        </w:rPr>
        <w:t>.</w:t>
      </w:r>
    </w:p>
    <w:p>
      <w:pPr>
        <w:widowControl/>
      </w:pPr>
      <w:r>
        <w:rPr>
          <w:b/>
          <w:i w:val="0"/>
        </w:rPr>
        <w:t>dum scilicet est.</w:t>
      </w:r>
      <w:r>
        <w:rPr>
          <w:b w:val="0"/>
          <w:i w:val="0"/>
        </w:rPr>
        <w:t xml:space="preserve"> </w:t>
      </w:r>
      <w:hyperlink w:anchor="latin-record-0416">
        <w:r>
          <w:rPr>
            <w:color w:val="000000"/>
          </w:rPr>
          <w:t xml:space="preserve">dum est</w:t>
        </w:r>
      </w:hyperlink>
      <w:r>
        <w:rPr>
          <w:b w:val="0"/>
          <w:i w:val="0"/>
        </w:rPr>
        <w:t>.</w:t>
      </w:r>
    </w:p>
    <w:p>
      <w:pPr>
        <w:widowControl/>
      </w:pPr>
      <w:r>
        <w:rPr>
          <w:b/>
          <w:i w:val="0"/>
        </w:rPr>
        <w:t>duo.</w:t>
      </w:r>
      <w:r>
        <w:rPr>
          <w:b w:val="0"/>
          <w:i w:val="0"/>
        </w:rPr>
        <w:t xml:space="preserve"> </w:t>
      </w:r>
      <w:hyperlink w:anchor="latin-record-0417">
        <w:r>
          <w:rPr>
            <w:color w:val="000000"/>
          </w:rPr>
          <w:t xml:space="preserve">duo / quattuor / sex / octo</w:t>
        </w:r>
      </w:hyperlink>
      <w:r>
        <w:rPr>
          <w:b w:val="0"/>
          <w:i w:val="0"/>
        </w:rPr>
        <w:t>.</w:t>
      </w:r>
    </w:p>
    <w:p>
      <w:pPr>
        <w:widowControl/>
      </w:pPr>
      <w:r>
        <w:rPr>
          <w:b/>
          <w:i w:val="0"/>
        </w:rPr>
        <w:t>duorum.</w:t>
      </w:r>
      <w:r>
        <w:rPr>
          <w:b w:val="0"/>
          <w:i w:val="0"/>
        </w:rPr>
        <w:t xml:space="preserve"> </w:t>
      </w:r>
      <w:hyperlink w:anchor="latin-record-0417">
        <w:r>
          <w:rPr>
            <w:color w:val="000000"/>
          </w:rPr>
          <w:t xml:space="preserve">duo / quattuor / sex / octo</w:t>
        </w:r>
      </w:hyperlink>
      <w:r>
        <w:rPr>
          <w:b w:val="0"/>
          <w:i w:val="0"/>
        </w:rPr>
        <w:t>.</w:t>
      </w:r>
    </w:p>
    <w:p>
      <w:pPr>
        <w:widowControl/>
      </w:pPr>
      <w:r>
        <w:rPr>
          <w:b/>
          <w:i w:val="0"/>
        </w:rPr>
        <w:t>e vestigio.</w:t>
      </w:r>
      <w:r>
        <w:rPr>
          <w:b w:val="0"/>
          <w:i w:val="0"/>
        </w:rPr>
        <w:t xml:space="preserve"> </w:t>
      </w:r>
      <w:hyperlink w:anchor="latin-record-0418">
        <w:r>
          <w:rPr>
            <w:color w:val="000000"/>
          </w:rPr>
          <w:t xml:space="preserve">e vestigio</w:t>
        </w:r>
      </w:hyperlink>
      <w:r>
        <w:rPr>
          <w:b w:val="0"/>
          <w:i w:val="0"/>
        </w:rPr>
        <w:t xml:space="preserve">; </w:t>
      </w:r>
      <w:hyperlink w:anchor="latin-record-1235">
        <w:r>
          <w:rPr>
            <w:color w:val="000000"/>
          </w:rPr>
          <w:t xml:space="preserve">statim / e vestigio / absque mora</w:t>
        </w:r>
      </w:hyperlink>
      <w:r>
        <w:rPr>
          <w:b w:val="0"/>
          <w:i w:val="0"/>
        </w:rPr>
        <w:t>.</w:t>
      </w:r>
    </w:p>
    <w:p>
      <w:pPr>
        <w:widowControl/>
      </w:pPr>
      <w:r>
        <w:rPr>
          <w:b/>
          <w:i w:val="0"/>
        </w:rPr>
        <w:t>eadem.</w:t>
      </w:r>
      <w:r>
        <w:rPr>
          <w:b w:val="0"/>
          <w:i w:val="0"/>
        </w:rPr>
        <w:t xml:space="preserve"> </w:t>
      </w:r>
      <w:hyperlink w:anchor="latin-record-1175">
        <w:r>
          <w:rPr>
            <w:color w:val="000000"/>
          </w:rPr>
          <w:t xml:space="preserve">similis; idem</w:t>
        </w:r>
      </w:hyperlink>
      <w:r>
        <w:rPr>
          <w:b w:val="0"/>
          <w:i w:val="0"/>
        </w:rPr>
        <w:t>.</w:t>
      </w:r>
    </w:p>
    <w:p>
      <w:pPr>
        <w:widowControl/>
      </w:pPr>
      <w:r>
        <w:rPr>
          <w:b/>
          <w:i w:val="0"/>
        </w:rPr>
        <w:t>eandem prorsus.</w:t>
      </w:r>
      <w:r>
        <w:rPr>
          <w:b w:val="0"/>
          <w:i w:val="0"/>
        </w:rPr>
        <w:t xml:space="preserve"> </w:t>
      </w:r>
      <w:hyperlink w:anchor="latin-record-0486">
        <w:r>
          <w:rPr>
            <w:color w:val="000000"/>
          </w:rPr>
          <w:t xml:space="preserve">figura eadem; similis</w:t>
        </w:r>
      </w:hyperlink>
      <w:r>
        <w:rPr>
          <w:b w:val="0"/>
          <w:i w:val="0"/>
        </w:rPr>
        <w:t>.</w:t>
      </w:r>
    </w:p>
    <w:p>
      <w:pPr>
        <w:widowControl/>
      </w:pPr>
      <w:r>
        <w:rPr>
          <w:b/>
          <w:i w:val="0"/>
        </w:rPr>
        <w:t>earundem.</w:t>
      </w:r>
      <w:r>
        <w:rPr>
          <w:b w:val="0"/>
          <w:i w:val="0"/>
        </w:rPr>
        <w:t xml:space="preserve"> </w:t>
      </w:r>
      <w:hyperlink w:anchor="latin-record-1175">
        <w:r>
          <w:rPr>
            <w:color w:val="000000"/>
          </w:rPr>
          <w:t xml:space="preserve">similis; idem</w:t>
        </w:r>
      </w:hyperlink>
      <w:r>
        <w:rPr>
          <w:b w:val="0"/>
          <w:i w:val="0"/>
        </w:rPr>
        <w:t>.</w:t>
      </w:r>
    </w:p>
    <w:p>
      <w:pPr>
        <w:widowControl/>
      </w:pPr>
      <w:r>
        <w:rPr>
          <w:b/>
          <w:i w:val="0"/>
        </w:rPr>
        <w:t>eatenus.</w:t>
      </w:r>
      <w:r>
        <w:rPr>
          <w:b w:val="0"/>
          <w:i w:val="0"/>
        </w:rPr>
        <w:t xml:space="preserve"> </w:t>
      </w:r>
      <w:hyperlink w:anchor="latin-record-1049">
        <w:r>
          <w:rPr>
            <w:color w:val="000000"/>
          </w:rPr>
          <w:t xml:space="preserve">quatenus / eatenus</w:t>
        </w:r>
      </w:hyperlink>
      <w:r>
        <w:rPr>
          <w:b w:val="0"/>
          <w:i w:val="0"/>
        </w:rPr>
        <w:t>.</w:t>
      </w:r>
    </w:p>
    <w:p>
      <w:pPr>
        <w:widowControl/>
      </w:pPr>
      <w:r>
        <w:rPr>
          <w:b/>
          <w:i w:val="0"/>
        </w:rPr>
        <w:t>ebrietatem.</w:t>
      </w:r>
      <w:r>
        <w:rPr>
          <w:b w:val="0"/>
          <w:i w:val="0"/>
        </w:rPr>
        <w:t xml:space="preserve"> </w:t>
      </w:r>
      <w:hyperlink w:anchor="latin-record-0947">
        <w:r>
          <w:rPr>
            <w:color w:val="000000"/>
          </w:rPr>
          <w:t xml:space="preserve">phrenesis; somnus; ebrietas</w:t>
        </w:r>
      </w:hyperlink>
      <w:r>
        <w:rPr>
          <w:b w:val="0"/>
          <w:i w:val="0"/>
        </w:rPr>
        <w:t>.</w:t>
      </w:r>
    </w:p>
    <w:p>
      <w:pPr>
        <w:widowControl/>
      </w:pPr>
      <w:r>
        <w:rPr>
          <w:b/>
          <w:i w:val="0"/>
        </w:rPr>
        <w:t>ebrius.</w:t>
      </w:r>
      <w:r>
        <w:rPr>
          <w:b w:val="0"/>
          <w:i w:val="0"/>
        </w:rPr>
        <w:t xml:space="preserve"> </w:t>
      </w:r>
      <w:hyperlink w:anchor="latin-record-0419">
        <w:r>
          <w:rPr>
            <w:color w:val="000000"/>
          </w:rPr>
          <w:t xml:space="preserve">ebrius / monstrum</w:t>
        </w:r>
      </w:hyperlink>
      <w:r>
        <w:rPr>
          <w:b w:val="0"/>
          <w:i w:val="0"/>
        </w:rPr>
        <w:t>.</w:t>
      </w:r>
    </w:p>
    <w:p>
      <w:pPr>
        <w:widowControl/>
      </w:pPr>
      <w:r>
        <w:rPr>
          <w:b/>
          <w:i w:val="0"/>
        </w:rPr>
        <w:t>educationem fictam.</w:t>
      </w:r>
      <w:r>
        <w:rPr>
          <w:b w:val="0"/>
          <w:i w:val="0"/>
        </w:rPr>
        <w:t xml:space="preserve"> </w:t>
      </w:r>
      <w:hyperlink w:anchor="latin-record-0156">
        <w:r>
          <w:rPr>
            <w:color w:val="000000"/>
          </w:rPr>
          <w:t xml:space="preserve">Avicenna; educatio ficta</w:t>
        </w:r>
      </w:hyperlink>
      <w:r>
        <w:rPr>
          <w:b w:val="0"/>
          <w:i w:val="0"/>
        </w:rPr>
        <w:t>.</w:t>
      </w:r>
    </w:p>
    <w:p>
      <w:pPr>
        <w:widowControl/>
      </w:pPr>
      <w:r>
        <w:rPr>
          <w:b/>
          <w:i w:val="0"/>
        </w:rPr>
        <w:t>eduxerit.</w:t>
      </w:r>
      <w:r>
        <w:rPr>
          <w:b w:val="0"/>
          <w:i w:val="0"/>
        </w:rPr>
        <w:t xml:space="preserve"> </w:t>
      </w:r>
      <w:hyperlink w:anchor="latin-record-0420">
        <w:r>
          <w:rPr>
            <w:color w:val="000000"/>
          </w:rPr>
          <w:t xml:space="preserve">educere; eruere; addicere</w:t>
        </w:r>
      </w:hyperlink>
      <w:r>
        <w:rPr>
          <w:b w:val="0"/>
          <w:i w:val="0"/>
        </w:rPr>
        <w:t>.</w:t>
      </w:r>
    </w:p>
    <w:p>
      <w:pPr>
        <w:widowControl/>
      </w:pPr>
      <w:r>
        <w:rPr>
          <w:b/>
          <w:i w:val="0"/>
        </w:rPr>
        <w:t>effectibus.</w:t>
      </w:r>
      <w:r>
        <w:rPr>
          <w:b w:val="0"/>
          <w:i w:val="0"/>
        </w:rPr>
        <w:t xml:space="preserve"> </w:t>
      </w:r>
      <w:hyperlink w:anchor="latin-record-0422">
        <w:r>
          <w:rPr>
            <w:color w:val="000000"/>
          </w:rPr>
          <w:t xml:space="preserve">effectus proprius</w:t>
        </w:r>
      </w:hyperlink>
      <w:r>
        <w:rPr>
          <w:b w:val="0"/>
          <w:i w:val="0"/>
        </w:rPr>
        <w:t xml:space="preserve">; </w:t>
      </w:r>
      <w:hyperlink w:anchor="latin-record-0878">
        <w:r>
          <w:rPr>
            <w:color w:val="000000"/>
          </w:rPr>
          <w:t xml:space="preserve">ordo naturae / effectus</w:t>
        </w:r>
      </w:hyperlink>
      <w:r>
        <w:rPr>
          <w:b w:val="0"/>
          <w:i w:val="0"/>
        </w:rPr>
        <w:t>.</w:t>
      </w:r>
    </w:p>
    <w:p>
      <w:pPr>
        <w:widowControl/>
      </w:pPr>
      <w:r>
        <w:rPr>
          <w:b/>
          <w:i w:val="0"/>
        </w:rPr>
        <w:t>effector.</w:t>
      </w:r>
      <w:r>
        <w:rPr>
          <w:b w:val="0"/>
          <w:i w:val="0"/>
        </w:rPr>
        <w:t xml:space="preserve"> </w:t>
      </w:r>
      <w:hyperlink w:anchor="latin-record-0200">
        <w:r>
          <w:rPr>
            <w:color w:val="000000"/>
          </w:rPr>
          <w:t xml:space="preserve">causa efficiens</w:t>
        </w:r>
      </w:hyperlink>
      <w:r>
        <w:rPr>
          <w:b w:val="0"/>
          <w:i w:val="0"/>
        </w:rPr>
        <w:t>.</w:t>
      </w:r>
    </w:p>
    <w:p>
      <w:pPr>
        <w:widowControl/>
      </w:pPr>
      <w:r>
        <w:rPr>
          <w:b/>
          <w:i w:val="0"/>
        </w:rPr>
        <w:t>effectrix.</w:t>
      </w:r>
      <w:r>
        <w:rPr>
          <w:b w:val="0"/>
          <w:i w:val="0"/>
        </w:rPr>
        <w:t xml:space="preserve"> </w:t>
      </w:r>
      <w:hyperlink w:anchor="latin-record-0421">
        <w:r>
          <w:rPr>
            <w:color w:val="000000"/>
          </w:rPr>
          <w:t xml:space="preserve">effectrix / conservatrix / corruptrix</w:t>
        </w:r>
      </w:hyperlink>
      <w:r>
        <w:rPr>
          <w:b w:val="0"/>
          <w:i w:val="0"/>
        </w:rPr>
        <w:t>.</w:t>
      </w:r>
    </w:p>
    <w:p>
      <w:pPr>
        <w:widowControl/>
      </w:pPr>
      <w:r>
        <w:rPr>
          <w:b/>
          <w:i w:val="0"/>
        </w:rPr>
        <w:t>effectu.</w:t>
      </w:r>
      <w:r>
        <w:rPr>
          <w:b w:val="0"/>
          <w:i w:val="0"/>
        </w:rPr>
        <w:t xml:space="preserve"> </w:t>
      </w:r>
      <w:hyperlink w:anchor="latin-record-0878">
        <w:r>
          <w:rPr>
            <w:color w:val="000000"/>
          </w:rPr>
          <w:t xml:space="preserve">ordo naturae / effectus</w:t>
        </w:r>
      </w:hyperlink>
      <w:r>
        <w:rPr>
          <w:b w:val="0"/>
          <w:i w:val="0"/>
        </w:rPr>
        <w:t>.</w:t>
      </w:r>
    </w:p>
    <w:p>
      <w:pPr>
        <w:widowControl/>
      </w:pPr>
      <w:r>
        <w:rPr>
          <w:b/>
          <w:i w:val="0"/>
        </w:rPr>
        <w:t>effectum resolvit in causam.</w:t>
      </w:r>
      <w:r>
        <w:rPr>
          <w:b w:val="0"/>
          <w:i w:val="0"/>
        </w:rPr>
        <w:t xml:space="preserve"> </w:t>
      </w:r>
      <w:hyperlink w:anchor="latin-record-1115">
        <w:r>
          <w:rPr>
            <w:color w:val="000000"/>
          </w:rPr>
          <w:t xml:space="preserve">resolvere; deducere</w:t>
        </w:r>
      </w:hyperlink>
      <w:r>
        <w:rPr>
          <w:b w:val="0"/>
          <w:i w:val="0"/>
        </w:rPr>
        <w:t>.</w:t>
      </w:r>
    </w:p>
    <w:p>
      <w:pPr>
        <w:widowControl/>
      </w:pPr>
      <w:r>
        <w:rPr>
          <w:b/>
          <w:i w:val="0"/>
        </w:rPr>
        <w:t>effectus.</w:t>
      </w:r>
      <w:r>
        <w:rPr>
          <w:b w:val="0"/>
          <w:i w:val="0"/>
        </w:rPr>
        <w:t xml:space="preserve"> </w:t>
      </w:r>
      <w:hyperlink w:anchor="latin-record-0423">
        <w:r>
          <w:rPr>
            <w:color w:val="000000"/>
          </w:rPr>
          <w:t xml:space="preserve">efficere / causa / effectus</w:t>
        </w:r>
      </w:hyperlink>
      <w:r>
        <w:rPr>
          <w:b w:val="0"/>
          <w:i w:val="0"/>
        </w:rPr>
        <w:t>.</w:t>
      </w:r>
    </w:p>
    <w:p>
      <w:pPr>
        <w:widowControl/>
      </w:pPr>
      <w:r>
        <w:rPr>
          <w:b/>
          <w:i w:val="0"/>
        </w:rPr>
        <w:t>effectus proprios.</w:t>
      </w:r>
      <w:r>
        <w:rPr>
          <w:b w:val="0"/>
          <w:i w:val="0"/>
        </w:rPr>
        <w:t xml:space="preserve"> </w:t>
      </w:r>
      <w:hyperlink w:anchor="latin-record-0422">
        <w:r>
          <w:rPr>
            <w:color w:val="000000"/>
          </w:rPr>
          <w:t xml:space="preserve">effectus proprius</w:t>
        </w:r>
      </w:hyperlink>
      <w:r>
        <w:rPr>
          <w:b w:val="0"/>
          <w:i w:val="0"/>
        </w:rPr>
        <w:t>.</w:t>
      </w:r>
    </w:p>
    <w:p>
      <w:pPr>
        <w:widowControl/>
      </w:pPr>
      <w:r>
        <w:rPr>
          <w:b/>
          <w:i w:val="0"/>
        </w:rPr>
        <w:t>efficiatur.</w:t>
      </w:r>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Efficiens.</w:t>
      </w:r>
      <w:r>
        <w:rPr>
          <w:b w:val="0"/>
          <w:i w:val="0"/>
        </w:rPr>
        <w:t xml:space="preserve"> </w:t>
      </w:r>
      <w:hyperlink w:anchor="latin-record-0200">
        <w:r>
          <w:rPr>
            <w:color w:val="000000"/>
          </w:rPr>
          <w:t xml:space="preserve">causa efficiens</w:t>
        </w:r>
      </w:hyperlink>
      <w:r>
        <w:rPr>
          <w:b w:val="0"/>
          <w:i w:val="0"/>
        </w:rPr>
        <w:t>.</w:t>
      </w:r>
    </w:p>
    <w:p>
      <w:pPr>
        <w:widowControl/>
      </w:pPr>
      <w:r>
        <w:rPr>
          <w:b/>
          <w:i w:val="0"/>
        </w:rPr>
        <w:t>efficiens.</w:t>
      </w:r>
      <w:r>
        <w:rPr>
          <w:b w:val="0"/>
          <w:i w:val="0"/>
        </w:rPr>
        <w:t xml:space="preserve"> </w:t>
      </w:r>
      <w:hyperlink w:anchor="latin-record-0200">
        <w:r>
          <w:rPr>
            <w:color w:val="000000"/>
          </w:rPr>
          <w:t xml:space="preserve">causa efficiens</w:t>
        </w:r>
      </w:hyperlink>
      <w:r>
        <w:rPr>
          <w:b w:val="0"/>
          <w:i w:val="0"/>
        </w:rPr>
        <w:t>.</w:t>
      </w:r>
    </w:p>
    <w:p>
      <w:pPr>
        <w:widowControl/>
      </w:pPr>
      <w:r>
        <w:rPr>
          <w:b/>
          <w:i w:val="0"/>
        </w:rPr>
        <w:t>efficiente.</w:t>
      </w:r>
      <w:r>
        <w:rPr>
          <w:b w:val="0"/>
          <w:i w:val="0"/>
        </w:rPr>
        <w:t xml:space="preserve"> </w:t>
      </w:r>
      <w:hyperlink w:anchor="latin-record-0200">
        <w:r>
          <w:rPr>
            <w:color w:val="000000"/>
          </w:rPr>
          <w:t xml:space="preserve">causa efficiens</w:t>
        </w:r>
      </w:hyperlink>
      <w:r>
        <w:rPr>
          <w:b w:val="0"/>
          <w:i w:val="0"/>
        </w:rPr>
        <w:t>.</w:t>
      </w:r>
    </w:p>
    <w:p>
      <w:pPr>
        <w:widowControl/>
      </w:pPr>
      <w:r>
        <w:rPr>
          <w:b/>
          <w:i w:val="0"/>
        </w:rPr>
        <w:t>efficientem.</w:t>
      </w:r>
      <w:r>
        <w:rPr>
          <w:b w:val="0"/>
          <w:i w:val="0"/>
        </w:rPr>
        <w:t xml:space="preserve"> </w:t>
      </w:r>
      <w:hyperlink w:anchor="latin-record-0200">
        <w:r>
          <w:rPr>
            <w:color w:val="000000"/>
          </w:rPr>
          <w:t xml:space="preserve">causa efficiens</w:t>
        </w:r>
      </w:hyperlink>
      <w:r>
        <w:rPr>
          <w:b w:val="0"/>
          <w:i w:val="0"/>
        </w:rPr>
        <w:t>.</w:t>
      </w:r>
    </w:p>
    <w:p>
      <w:pPr>
        <w:widowControl/>
      </w:pPr>
      <w:r>
        <w:rPr>
          <w:b/>
          <w:i w:val="0"/>
        </w:rPr>
        <w:t>efficit.</w:t>
      </w:r>
      <w:r>
        <w:rPr>
          <w:b w:val="0"/>
          <w:i w:val="0"/>
        </w:rPr>
        <w:t xml:space="preserve"> </w:t>
      </w:r>
      <w:hyperlink w:anchor="latin-record-0057">
        <w:r>
          <w:rPr>
            <w:color w:val="000000"/>
          </w:rPr>
          <w:t xml:space="preserve">agere / efficere</w:t>
        </w:r>
      </w:hyperlink>
      <w:r>
        <w:rPr>
          <w:b w:val="0"/>
          <w:i w:val="0"/>
        </w:rPr>
        <w:t xml:space="preserve">; </w:t>
      </w:r>
      <w:hyperlink w:anchor="latin-record-0423">
        <w:r>
          <w:rPr>
            <w:color w:val="000000"/>
          </w:rPr>
          <w:t xml:space="preserve">efficere / causa / effectus</w:t>
        </w:r>
      </w:hyperlink>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efficitur.</w:t>
      </w:r>
      <w:r>
        <w:rPr>
          <w:b w:val="0"/>
          <w:i w:val="0"/>
        </w:rPr>
        <w:t xml:space="preserve"> </w:t>
      </w:r>
      <w:hyperlink w:anchor="latin-record-0057">
        <w:r>
          <w:rPr>
            <w:color w:val="000000"/>
          </w:rPr>
          <w:t xml:space="preserve">agere / efficere</w:t>
        </w:r>
      </w:hyperlink>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efficiunt.</w:t>
      </w:r>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effigiem.</w:t>
      </w:r>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effigies.</w:t>
      </w:r>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effigies et figuras.</w:t>
      </w:r>
      <w:r>
        <w:rPr>
          <w:b w:val="0"/>
          <w:i w:val="0"/>
        </w:rPr>
        <w:t xml:space="preserve"> </w:t>
      </w:r>
      <w:hyperlink w:anchor="latin-record-0369">
        <w:r>
          <w:rPr>
            <w:color w:val="000000"/>
          </w:rPr>
          <w:t xml:space="preserve">depingere; effigies</w:t>
        </w:r>
      </w:hyperlink>
      <w:r>
        <w:rPr>
          <w:b w:val="0"/>
          <w:i w:val="0"/>
        </w:rPr>
        <w:t>.</w:t>
      </w:r>
    </w:p>
    <w:p>
      <w:pPr>
        <w:widowControl/>
      </w:pPr>
      <w:r>
        <w:rPr>
          <w:b/>
          <w:i w:val="0"/>
        </w:rPr>
        <w:t>effingendam.</w:t>
      </w:r>
      <w:r>
        <w:rPr>
          <w:b w:val="0"/>
          <w:i w:val="0"/>
        </w:rPr>
        <w:t xml:space="preserve"> </w:t>
      </w:r>
      <w:hyperlink w:anchor="latin-record-1020">
        <w:r>
          <w:rPr>
            <w:color w:val="000000"/>
          </w:rPr>
          <w:t xml:space="preserve">prospicere / effingere / fingere</w:t>
        </w:r>
      </w:hyperlink>
      <w:r>
        <w:rPr>
          <w:b w:val="0"/>
          <w:i w:val="0"/>
        </w:rPr>
        <w:t>.</w:t>
      </w:r>
    </w:p>
    <w:p>
      <w:pPr>
        <w:widowControl/>
      </w:pPr>
      <w:r>
        <w:rPr>
          <w:b/>
          <w:i w:val="0"/>
        </w:rPr>
        <w:t>effingere.</w:t>
      </w:r>
      <w:r>
        <w:rPr>
          <w:b w:val="0"/>
          <w:i w:val="0"/>
        </w:rPr>
        <w:t xml:space="preserve"> </w:t>
      </w:r>
      <w:hyperlink w:anchor="latin-record-0489">
        <w:r>
          <w:rPr>
            <w:color w:val="000000"/>
          </w:rPr>
          <w:t xml:space="preserve">fingere; machinari; effingere</w:t>
        </w:r>
      </w:hyperlink>
      <w:r>
        <w:rPr>
          <w:b w:val="0"/>
          <w:i w:val="0"/>
        </w:rPr>
        <w:t>.</w:t>
      </w:r>
    </w:p>
    <w:p>
      <w:pPr>
        <w:widowControl/>
      </w:pPr>
      <w:r>
        <w:rPr>
          <w:b/>
          <w:i w:val="0"/>
        </w:rPr>
        <w:t>effingeremus.</w:t>
      </w:r>
      <w:r>
        <w:rPr>
          <w:b w:val="0"/>
          <w:i w:val="0"/>
        </w:rPr>
        <w:t xml:space="preserve"> </w:t>
      </w:r>
      <w:hyperlink w:anchor="latin-record-1020">
        <w:r>
          <w:rPr>
            <w:color w:val="000000"/>
          </w:rPr>
          <w:t xml:space="preserve">prospicere / effingere / fingere</w:t>
        </w:r>
      </w:hyperlink>
      <w:r>
        <w:rPr>
          <w:b w:val="0"/>
          <w:i w:val="0"/>
        </w:rPr>
        <w:t>.</w:t>
      </w:r>
    </w:p>
    <w:p>
      <w:pPr>
        <w:widowControl/>
      </w:pPr>
      <w:r>
        <w:rPr>
          <w:b/>
          <w:i w:val="0"/>
        </w:rPr>
        <w:t>effluat.</w:t>
      </w:r>
      <w:r>
        <w:rPr>
          <w:b w:val="0"/>
          <w:i w:val="0"/>
        </w:rPr>
        <w:t xml:space="preserve"> </w:t>
      </w:r>
      <w:hyperlink w:anchor="latin-record-0495">
        <w:r>
          <w:rPr>
            <w:color w:val="000000"/>
          </w:rPr>
          <w:t xml:space="preserve">fluere</w:t>
        </w:r>
      </w:hyperlink>
      <w:r>
        <w:rPr>
          <w:b w:val="0"/>
          <w:i w:val="0"/>
        </w:rPr>
        <w:t>.</w:t>
      </w:r>
    </w:p>
    <w:p>
      <w:pPr>
        <w:widowControl/>
      </w:pPr>
      <w:r>
        <w:rPr>
          <w:b/>
          <w:i w:val="0"/>
        </w:rPr>
        <w:t>effluendo.</w:t>
      </w:r>
      <w:r>
        <w:rPr>
          <w:b w:val="0"/>
          <w:i w:val="0"/>
        </w:rPr>
        <w:t xml:space="preserve"> </w:t>
      </w:r>
      <w:hyperlink w:anchor="latin-record-0425">
        <w:r>
          <w:rPr>
            <w:color w:val="000000"/>
          </w:rPr>
          <w:t xml:space="preserve">effluere / diffluere / defluere</w:t>
        </w:r>
      </w:hyperlink>
      <w:r>
        <w:rPr>
          <w:b w:val="0"/>
          <w:i w:val="0"/>
        </w:rPr>
        <w:t>.</w:t>
      </w:r>
    </w:p>
    <w:p>
      <w:pPr>
        <w:widowControl/>
      </w:pPr>
      <w:r>
        <w:rPr>
          <w:b/>
          <w:i w:val="0"/>
        </w:rPr>
        <w:t>effluet.</w:t>
      </w:r>
      <w:r>
        <w:rPr>
          <w:b w:val="0"/>
          <w:i w:val="0"/>
        </w:rPr>
        <w:t xml:space="preserve"> </w:t>
      </w:r>
      <w:hyperlink w:anchor="latin-record-0495">
        <w:r>
          <w:rPr>
            <w:color w:val="000000"/>
          </w:rPr>
          <w:t xml:space="preserve">fluere</w:t>
        </w:r>
      </w:hyperlink>
      <w:r>
        <w:rPr>
          <w:b w:val="0"/>
          <w:i w:val="0"/>
        </w:rPr>
        <w:t>.</w:t>
      </w:r>
    </w:p>
    <w:p>
      <w:pPr>
        <w:widowControl/>
      </w:pPr>
      <w:r>
        <w:rPr>
          <w:b/>
          <w:i w:val="0"/>
        </w:rPr>
        <w:t>effluet refluetque.</w:t>
      </w:r>
      <w:r>
        <w:rPr>
          <w:b w:val="0"/>
          <w:i w:val="0"/>
        </w:rPr>
        <w:t xml:space="preserve"> </w:t>
      </w:r>
      <w:hyperlink w:anchor="latin-record-0426">
        <w:r>
          <w:rPr>
            <w:color w:val="000000"/>
          </w:rPr>
          <w:t xml:space="preserve">effluere; refluere</w:t>
        </w:r>
      </w:hyperlink>
      <w:r>
        <w:rPr>
          <w:b w:val="0"/>
          <w:i w:val="0"/>
        </w:rPr>
        <w:t>.</w:t>
      </w:r>
    </w:p>
    <w:p>
      <w:pPr>
        <w:widowControl/>
      </w:pPr>
      <w:r>
        <w:rPr>
          <w:b/>
          <w:i w:val="0"/>
        </w:rPr>
        <w:t>effluit.</w:t>
      </w:r>
      <w:r>
        <w:rPr>
          <w:b w:val="0"/>
          <w:i w:val="0"/>
        </w:rPr>
        <w:t xml:space="preserve"> </w:t>
      </w:r>
      <w:hyperlink w:anchor="latin-record-0425">
        <w:r>
          <w:rPr>
            <w:color w:val="000000"/>
          </w:rPr>
          <w:t xml:space="preserve">effluere / diffluere / defluere</w:t>
        </w:r>
      </w:hyperlink>
      <w:r>
        <w:rPr>
          <w:b w:val="0"/>
          <w:i w:val="0"/>
        </w:rPr>
        <w:t xml:space="preserve">; </w:t>
      </w:r>
      <w:hyperlink w:anchor="latin-record-0495">
        <w:r>
          <w:rPr>
            <w:color w:val="000000"/>
          </w:rPr>
          <w:t xml:space="preserve">fluere</w:t>
        </w:r>
      </w:hyperlink>
      <w:r>
        <w:rPr>
          <w:b w:val="0"/>
          <w:i w:val="0"/>
        </w:rPr>
        <w:t>.</w:t>
      </w:r>
    </w:p>
    <w:p>
      <w:pPr>
        <w:widowControl/>
      </w:pPr>
      <w:r>
        <w:rPr>
          <w:b/>
          <w:i w:val="0"/>
        </w:rPr>
        <w:t>effluit extra operantem.</w:t>
      </w:r>
      <w:r>
        <w:rPr>
          <w:b w:val="0"/>
          <w:i w:val="0"/>
        </w:rPr>
        <w:t xml:space="preserve"> </w:t>
      </w:r>
      <w:hyperlink w:anchor="latin-record-0862">
        <w:r>
          <w:rPr>
            <w:color w:val="000000"/>
          </w:rPr>
          <w:t xml:space="preserve">operatio quae effluit / quae manet</w:t>
        </w:r>
      </w:hyperlink>
      <w:r>
        <w:rPr>
          <w:b w:val="0"/>
          <w:i w:val="0"/>
        </w:rPr>
        <w:t>.</w:t>
      </w:r>
    </w:p>
    <w:p>
      <w:pPr>
        <w:widowControl/>
      </w:pPr>
      <w:r>
        <w:rPr>
          <w:b/>
          <w:i w:val="0"/>
        </w:rPr>
        <w:t>effulgeat.</w:t>
      </w:r>
      <w:r>
        <w:rPr>
          <w:b w:val="0"/>
          <w:i w:val="0"/>
        </w:rPr>
        <w:t xml:space="preserve"> </w:t>
      </w:r>
      <w:hyperlink w:anchor="latin-record-0011">
        <w:r>
          <w:rPr>
            <w:color w:val="000000"/>
          </w:rPr>
          <w:t xml:space="preserve">accendere / effulgere</w:t>
        </w:r>
      </w:hyperlink>
      <w:r>
        <w:rPr>
          <w:b w:val="0"/>
          <w:i w:val="0"/>
        </w:rPr>
        <w:t>.</w:t>
      </w:r>
    </w:p>
    <w:p>
      <w:pPr>
        <w:widowControl/>
      </w:pPr>
      <w:r>
        <w:rPr>
          <w:b/>
          <w:i w:val="0"/>
        </w:rPr>
        <w:t>effundit.</w:t>
      </w:r>
      <w:r>
        <w:rPr>
          <w:b w:val="0"/>
          <w:i w:val="0"/>
        </w:rPr>
        <w:t xml:space="preserve"> </w:t>
      </w:r>
      <w:hyperlink w:anchor="latin-record-0427">
        <w:r>
          <w:rPr>
            <w:color w:val="000000"/>
          </w:rPr>
          <w:t xml:space="preserve">effundere</w:t>
        </w:r>
      </w:hyperlink>
      <w:r>
        <w:rPr>
          <w:b w:val="0"/>
          <w:i w:val="0"/>
        </w:rPr>
        <w:t>.</w:t>
      </w:r>
    </w:p>
    <w:p>
      <w:pPr>
        <w:widowControl/>
      </w:pPr>
      <w:r>
        <w:rPr>
          <w:b/>
          <w:i w:val="0"/>
        </w:rPr>
        <w:t>effusio.</w:t>
      </w:r>
      <w:r>
        <w:rPr>
          <w:b w:val="0"/>
          <w:i w:val="0"/>
        </w:rPr>
        <w:t xml:space="preserve"> </w:t>
      </w:r>
      <w:hyperlink w:anchor="latin-record-0427">
        <w:r>
          <w:rPr>
            <w:color w:val="000000"/>
          </w:rPr>
          <w:t xml:space="preserve">effundere</w:t>
        </w:r>
      </w:hyperlink>
      <w:r>
        <w:rPr>
          <w:b w:val="0"/>
          <w:i w:val="0"/>
        </w:rPr>
        <w:t>.</w:t>
      </w:r>
    </w:p>
    <w:p>
      <w:pPr>
        <w:widowControl/>
      </w:pPr>
      <w:r>
        <w:rPr>
          <w:b/>
          <w:i w:val="0"/>
        </w:rPr>
        <w:t>egeat.</w:t>
      </w:r>
      <w:r>
        <w:rPr>
          <w:b w:val="0"/>
          <w:i w:val="0"/>
        </w:rPr>
        <w:t xml:space="preserve"> </w:t>
      </w:r>
      <w:hyperlink w:anchor="latin-record-0428">
        <w:r>
          <w:rPr>
            <w:color w:val="000000"/>
          </w:rPr>
          <w:t xml:space="preserve">egenus / egere / indigere</w:t>
        </w:r>
      </w:hyperlink>
      <w:r>
        <w:rPr>
          <w:b w:val="0"/>
          <w:i w:val="0"/>
        </w:rPr>
        <w:t xml:space="preserve">; </w:t>
      </w:r>
      <w:hyperlink w:anchor="latin-record-1256">
        <w:r>
          <w:rPr>
            <w:color w:val="000000"/>
          </w:rPr>
          <w:t xml:space="preserve">sufficientia / indigere</w:t>
        </w:r>
      </w:hyperlink>
      <w:r>
        <w:rPr>
          <w:b w:val="0"/>
          <w:i w:val="0"/>
        </w:rPr>
        <w:t>.</w:t>
      </w:r>
    </w:p>
    <w:p>
      <w:pPr>
        <w:widowControl/>
      </w:pPr>
      <w:r>
        <w:rPr>
          <w:b/>
          <w:i w:val="0"/>
        </w:rPr>
        <w:t>egena.</w:t>
      </w:r>
      <w:r>
        <w:rPr>
          <w:b w:val="0"/>
          <w:i w:val="0"/>
        </w:rPr>
        <w:t xml:space="preserve"> </w:t>
      </w:r>
      <w:hyperlink w:anchor="latin-record-0428">
        <w:r>
          <w:rPr>
            <w:color w:val="000000"/>
          </w:rPr>
          <w:t xml:space="preserve">egenus / egere / indigere</w:t>
        </w:r>
      </w:hyperlink>
      <w:r>
        <w:rPr>
          <w:b w:val="0"/>
          <w:i w:val="0"/>
        </w:rPr>
        <w:t>.</w:t>
      </w:r>
    </w:p>
    <w:p>
      <w:pPr>
        <w:widowControl/>
      </w:pPr>
      <w:r>
        <w:rPr>
          <w:b/>
          <w:i w:val="0"/>
        </w:rPr>
        <w:t>egeret.</w:t>
      </w:r>
      <w:r>
        <w:rPr>
          <w:b w:val="0"/>
          <w:i w:val="0"/>
        </w:rPr>
        <w:t xml:space="preserve"> </w:t>
      </w:r>
      <w:hyperlink w:anchor="latin-record-0428">
        <w:r>
          <w:rPr>
            <w:color w:val="000000"/>
          </w:rPr>
          <w:t xml:space="preserve">egenus / egere / indigere</w:t>
        </w:r>
      </w:hyperlink>
      <w:r>
        <w:rPr>
          <w:b w:val="0"/>
          <w:i w:val="0"/>
        </w:rPr>
        <w:t>.</w:t>
      </w:r>
    </w:p>
    <w:p>
      <w:pPr>
        <w:widowControl/>
      </w:pPr>
      <w:r>
        <w:rPr>
          <w:b/>
          <w:i w:val="0"/>
        </w:rPr>
        <w:t>eget.</w:t>
      </w:r>
      <w:r>
        <w:rPr>
          <w:b w:val="0"/>
          <w:i w:val="0"/>
        </w:rPr>
        <w:t xml:space="preserve"> </w:t>
      </w:r>
      <w:hyperlink w:anchor="latin-record-0428">
        <w:r>
          <w:rPr>
            <w:color w:val="000000"/>
          </w:rPr>
          <w:t xml:space="preserve">egenus / egere / indigere</w:t>
        </w:r>
      </w:hyperlink>
      <w:r>
        <w:rPr>
          <w:b w:val="0"/>
          <w:i w:val="0"/>
        </w:rPr>
        <w:t>.</w:t>
      </w:r>
    </w:p>
    <w:p>
      <w:pPr>
        <w:widowControl/>
      </w:pPr>
      <w:r>
        <w:rPr>
          <w:b/>
          <w:i w:val="0"/>
        </w:rPr>
        <w:t>eget patiturque.</w:t>
      </w:r>
      <w:r>
        <w:rPr>
          <w:b w:val="0"/>
          <w:i w:val="0"/>
        </w:rPr>
        <w:t xml:space="preserve"> </w:t>
      </w:r>
      <w:hyperlink w:anchor="latin-record-0429">
        <w:r>
          <w:rPr>
            <w:color w:val="000000"/>
          </w:rPr>
          <w:t xml:space="preserve">egere; pati</w:t>
        </w:r>
      </w:hyperlink>
      <w:r>
        <w:rPr>
          <w:b w:val="0"/>
          <w:i w:val="0"/>
        </w:rPr>
        <w:t>.</w:t>
      </w:r>
    </w:p>
    <w:p>
      <w:pPr>
        <w:widowControl/>
      </w:pPr>
      <w:r>
        <w:rPr>
          <w:b/>
          <w:i w:val="0"/>
        </w:rPr>
        <w:t>eiusdem.</w:t>
      </w:r>
      <w:r>
        <w:rPr>
          <w:b w:val="0"/>
          <w:i w:val="0"/>
        </w:rPr>
        <w:t xml:space="preserve"> </w:t>
      </w:r>
      <w:hyperlink w:anchor="latin-record-1175">
        <w:r>
          <w:rPr>
            <w:color w:val="000000"/>
          </w:rPr>
          <w:t xml:space="preserve">similis; idem</w:t>
        </w:r>
      </w:hyperlink>
      <w:r>
        <w:rPr>
          <w:b w:val="0"/>
          <w:i w:val="0"/>
        </w:rPr>
        <w:t>.</w:t>
      </w:r>
    </w:p>
    <w:p>
      <w:pPr>
        <w:widowControl/>
      </w:pPr>
      <w:r>
        <w:rPr>
          <w:b/>
          <w:i w:val="0"/>
        </w:rPr>
        <w:t>elementa.</w:t>
      </w:r>
      <w:r>
        <w:rPr>
          <w:b w:val="0"/>
          <w:i w:val="0"/>
        </w:rPr>
        <w:t xml:space="preserve"> </w:t>
      </w:r>
      <w:hyperlink w:anchor="latin-record-0430">
        <w:r>
          <w:rPr>
            <w:color w:val="000000"/>
          </w:rPr>
          <w:t xml:space="preserve">elementum</w:t>
        </w:r>
      </w:hyperlink>
      <w:r>
        <w:rPr>
          <w:b w:val="0"/>
          <w:i w:val="0"/>
        </w:rPr>
        <w:t>.</w:t>
      </w:r>
    </w:p>
    <w:p>
      <w:pPr>
        <w:widowControl/>
      </w:pPr>
      <w:r>
        <w:rPr>
          <w:b/>
          <w:i w:val="0"/>
        </w:rPr>
        <w:t>elementi.</w:t>
      </w:r>
      <w:r>
        <w:rPr>
          <w:b w:val="0"/>
          <w:i w:val="0"/>
        </w:rPr>
        <w:t xml:space="preserve"> </w:t>
      </w:r>
      <w:hyperlink w:anchor="latin-record-0431">
        <w:r>
          <w:rPr>
            <w:color w:val="000000"/>
          </w:rPr>
          <w:t xml:space="preserve">elementum / mixtum</w:t>
        </w:r>
      </w:hyperlink>
      <w:r>
        <w:rPr>
          <w:b w:val="0"/>
          <w:i w:val="0"/>
        </w:rPr>
        <w:t>.</w:t>
      </w:r>
    </w:p>
    <w:p>
      <w:pPr>
        <w:widowControl/>
      </w:pPr>
      <w:r>
        <w:rPr>
          <w:b/>
          <w:i w:val="0"/>
        </w:rPr>
        <w:t>elementis.</w:t>
      </w:r>
      <w:r>
        <w:rPr>
          <w:b w:val="0"/>
          <w:i w:val="0"/>
        </w:rPr>
        <w:t xml:space="preserve"> </w:t>
      </w:r>
      <w:hyperlink w:anchor="latin-record-0430">
        <w:r>
          <w:rPr>
            <w:color w:val="000000"/>
          </w:rPr>
          <w:t xml:space="preserve">elementum</w:t>
        </w:r>
      </w:hyperlink>
      <w:r>
        <w:rPr>
          <w:b w:val="0"/>
          <w:i w:val="0"/>
        </w:rPr>
        <w:t>.</w:t>
      </w:r>
    </w:p>
    <w:p>
      <w:pPr>
        <w:widowControl/>
      </w:pPr>
      <w:r>
        <w:rPr>
          <w:b/>
          <w:i w:val="0"/>
        </w:rPr>
        <w:t>elemento.</w:t>
      </w:r>
      <w:r>
        <w:rPr>
          <w:b w:val="0"/>
          <w:i w:val="0"/>
        </w:rPr>
        <w:t xml:space="preserve"> </w:t>
      </w:r>
      <w:hyperlink w:anchor="latin-record-0430">
        <w:r>
          <w:rPr>
            <w:color w:val="000000"/>
          </w:rPr>
          <w:t xml:space="preserve">elementum</w:t>
        </w:r>
      </w:hyperlink>
      <w:r>
        <w:rPr>
          <w:b w:val="0"/>
          <w:i w:val="0"/>
        </w:rPr>
        <w:t>.</w:t>
      </w:r>
    </w:p>
    <w:p>
      <w:pPr>
        <w:widowControl/>
      </w:pPr>
      <w:r>
        <w:rPr>
          <w:b/>
          <w:i w:val="0"/>
        </w:rPr>
        <w:t>elementorum.</w:t>
      </w:r>
      <w:r>
        <w:rPr>
          <w:b w:val="0"/>
          <w:i w:val="0"/>
        </w:rPr>
        <w:t xml:space="preserve"> </w:t>
      </w:r>
      <w:hyperlink w:anchor="latin-record-0324">
        <w:r>
          <w:rPr>
            <w:color w:val="000000"/>
          </w:rPr>
          <w:t xml:space="preserve">contraria elementa</w:t>
        </w:r>
      </w:hyperlink>
      <w:r>
        <w:rPr>
          <w:b w:val="0"/>
          <w:i w:val="0"/>
        </w:rPr>
        <w:t xml:space="preserve">; </w:t>
      </w:r>
      <w:hyperlink w:anchor="latin-record-0430">
        <w:r>
          <w:rPr>
            <w:color w:val="000000"/>
          </w:rPr>
          <w:t xml:space="preserve">elementum</w:t>
        </w:r>
      </w:hyperlink>
      <w:r>
        <w:rPr>
          <w:b w:val="0"/>
          <w:i w:val="0"/>
        </w:rPr>
        <w:t>.</w:t>
      </w:r>
    </w:p>
    <w:p>
      <w:pPr>
        <w:widowControl/>
      </w:pPr>
      <w:r>
        <w:rPr>
          <w:b/>
          <w:i w:val="0"/>
        </w:rPr>
        <w:t>elementum.</w:t>
      </w:r>
      <w:r>
        <w:rPr>
          <w:b w:val="0"/>
          <w:i w:val="0"/>
        </w:rPr>
        <w:t xml:space="preserve"> </w:t>
      </w:r>
      <w:hyperlink w:anchor="latin-record-0430">
        <w:r>
          <w:rPr>
            <w:color w:val="000000"/>
          </w:rPr>
          <w:t xml:space="preserve">elementum</w:t>
        </w:r>
      </w:hyperlink>
      <w:r>
        <w:rPr>
          <w:b w:val="0"/>
          <w:i w:val="0"/>
        </w:rPr>
        <w:t>.</w:t>
      </w:r>
    </w:p>
    <w:p>
      <w:pPr>
        <w:widowControl/>
      </w:pPr>
      <w:r>
        <w:rPr>
          <w:b/>
          <w:i w:val="0"/>
        </w:rPr>
        <w:t>elephantis.</w:t>
      </w:r>
      <w:r>
        <w:rPr>
          <w:b w:val="0"/>
          <w:i w:val="0"/>
        </w:rPr>
        <w:t xml:space="preserve"> </w:t>
      </w:r>
      <w:hyperlink w:anchor="latin-record-0186">
        <w:r>
          <w:rPr>
            <w:color w:val="000000"/>
          </w:rPr>
          <w:t xml:space="preserve">canis / formica / equus / elephas / sol</w:t>
        </w:r>
      </w:hyperlink>
      <w:r>
        <w:rPr>
          <w:b w:val="0"/>
          <w:i w:val="0"/>
        </w:rPr>
        <w:t>.</w:t>
      </w:r>
    </w:p>
    <w:p>
      <w:pPr>
        <w:widowControl/>
      </w:pPr>
      <w:r>
        <w:rPr>
          <w:b/>
          <w:i w:val="0"/>
        </w:rPr>
        <w:t>elephas.</w:t>
      </w:r>
      <w:r>
        <w:rPr>
          <w:b w:val="0"/>
          <w:i w:val="0"/>
        </w:rPr>
        <w:t xml:space="preserve"> </w:t>
      </w:r>
      <w:hyperlink w:anchor="latin-record-0432">
        <w:r>
          <w:rPr>
            <w:color w:val="000000"/>
          </w:rPr>
          <w:t xml:space="preserve">elephas / equus / prudentia</w:t>
        </w:r>
      </w:hyperlink>
      <w:r>
        <w:rPr>
          <w:b w:val="0"/>
          <w:i w:val="0"/>
        </w:rPr>
        <w:t>.</w:t>
      </w:r>
    </w:p>
    <w:p>
      <w:pPr>
        <w:widowControl/>
      </w:pPr>
      <w:r>
        <w:rPr>
          <w:b/>
          <w:i w:val="0"/>
        </w:rPr>
        <w:t>eliciantur.</w:t>
      </w:r>
      <w:r>
        <w:rPr>
          <w:b w:val="0"/>
          <w:i w:val="0"/>
        </w:rPr>
        <w:t xml:space="preserve"> </w:t>
      </w:r>
      <w:hyperlink w:anchor="latin-record-1126">
        <w:r>
          <w:rPr>
            <w:color w:val="000000"/>
          </w:rPr>
          <w:t xml:space="preserve">sagacitas / elicere / delitescere</w:t>
        </w:r>
      </w:hyperlink>
      <w:r>
        <w:rPr>
          <w:b w:val="0"/>
          <w:i w:val="0"/>
        </w:rPr>
        <w:t>.</w:t>
      </w:r>
    </w:p>
    <w:p>
      <w:pPr>
        <w:widowControl/>
      </w:pPr>
      <w:r>
        <w:rPr>
          <w:b/>
          <w:i w:val="0"/>
        </w:rPr>
        <w:t>eligendi.</w:t>
      </w:r>
      <w:r>
        <w:rPr>
          <w:b w:val="0"/>
          <w:i w:val="0"/>
        </w:rPr>
        <w:t xml:space="preserve"> </w:t>
      </w:r>
      <w:hyperlink w:anchor="latin-record-1384">
        <w:r>
          <w:rPr>
            <w:color w:val="000000"/>
          </w:rPr>
          <w:t xml:space="preserve">voluntas constans</w:t>
        </w:r>
      </w:hyperlink>
      <w:r>
        <w:rPr>
          <w:b w:val="0"/>
          <w:i w:val="0"/>
        </w:rPr>
        <w:t>.</w:t>
      </w:r>
    </w:p>
    <w:p>
      <w:pPr>
        <w:widowControl/>
      </w:pPr>
      <w:r>
        <w:rPr>
          <w:b/>
          <w:i w:val="0"/>
        </w:rPr>
        <w:t>emendat.</w:t>
      </w:r>
      <w:r>
        <w:rPr>
          <w:b w:val="0"/>
          <w:i w:val="0"/>
        </w:rPr>
        <w:t xml:space="preserve"> </w:t>
      </w:r>
      <w:hyperlink w:anchor="latin-record-0695">
        <w:r>
          <w:rPr>
            <w:color w:val="000000"/>
          </w:rPr>
          <w:t xml:space="preserve">iudicium; emendare</w:t>
        </w:r>
      </w:hyperlink>
      <w:r>
        <w:rPr>
          <w:b w:val="0"/>
          <w:i w:val="0"/>
        </w:rPr>
        <w:t>.</w:t>
      </w:r>
    </w:p>
    <w:p>
      <w:pPr>
        <w:widowControl/>
      </w:pPr>
      <w:r>
        <w:rPr>
          <w:b/>
          <w:i w:val="0"/>
        </w:rPr>
        <w:t>emendentur.</w:t>
      </w:r>
      <w:r>
        <w:rPr>
          <w:b w:val="0"/>
          <w:i w:val="0"/>
        </w:rPr>
        <w:t xml:space="preserve"> </w:t>
      </w:r>
      <w:hyperlink w:anchor="latin-record-0695">
        <w:r>
          <w:rPr>
            <w:color w:val="000000"/>
          </w:rPr>
          <w:t xml:space="preserve">iudicium; emendare</w:t>
        </w:r>
      </w:hyperlink>
      <w:r>
        <w:rPr>
          <w:b w:val="0"/>
          <w:i w:val="0"/>
        </w:rPr>
        <w:t>.</w:t>
      </w:r>
    </w:p>
    <w:p>
      <w:pPr>
        <w:widowControl/>
      </w:pPr>
      <w:r>
        <w:rPr>
          <w:b/>
          <w:i w:val="0"/>
        </w:rPr>
        <w:t>emergentium.</w:t>
      </w:r>
      <w:r>
        <w:rPr>
          <w:b w:val="0"/>
          <w:i w:val="0"/>
        </w:rPr>
        <w:t xml:space="preserve"> </w:t>
      </w:r>
      <w:hyperlink w:anchor="latin-record-0433">
        <w:r>
          <w:rPr>
            <w:color w:val="000000"/>
          </w:rPr>
          <w:t xml:space="preserve">emergere</w:t>
        </w:r>
      </w:hyperlink>
      <w:r>
        <w:rPr>
          <w:b w:val="0"/>
          <w:i w:val="0"/>
        </w:rPr>
        <w:t>.</w:t>
      </w:r>
    </w:p>
    <w:p>
      <w:pPr>
        <w:widowControl/>
      </w:pPr>
      <w:r>
        <w:rPr>
          <w:b/>
          <w:i w:val="0"/>
        </w:rPr>
        <w:t>emergeret.</w:t>
      </w:r>
      <w:r>
        <w:rPr>
          <w:b w:val="0"/>
          <w:i w:val="0"/>
        </w:rPr>
        <w:t xml:space="preserve"> </w:t>
      </w:r>
      <w:hyperlink w:anchor="latin-record-0594">
        <w:r>
          <w:rPr>
            <w:color w:val="000000"/>
          </w:rPr>
          <w:t xml:space="preserve">immergere / emergere</w:t>
        </w:r>
      </w:hyperlink>
      <w:r>
        <w:rPr>
          <w:b w:val="0"/>
          <w:i w:val="0"/>
        </w:rPr>
        <w:t>.</w:t>
      </w:r>
    </w:p>
    <w:p>
      <w:pPr>
        <w:widowControl/>
      </w:pPr>
      <w:r>
        <w:rPr>
          <w:b/>
          <w:i w:val="0"/>
        </w:rPr>
        <w:t>Emergite.</w:t>
      </w:r>
      <w:r>
        <w:rPr>
          <w:b w:val="0"/>
          <w:i w:val="0"/>
        </w:rPr>
        <w:t xml:space="preserve"> </w:t>
      </w:r>
      <w:hyperlink w:anchor="latin-record-0434">
        <w:r>
          <w:rPr>
            <w:color w:val="000000"/>
          </w:rPr>
          <w:t xml:space="preserve">emergere; immergere</w:t>
        </w:r>
      </w:hyperlink>
      <w:r>
        <w:rPr>
          <w:b w:val="0"/>
          <w:i w:val="0"/>
        </w:rPr>
        <w:t>.</w:t>
      </w:r>
    </w:p>
    <w:p>
      <w:pPr>
        <w:widowControl/>
      </w:pPr>
      <w:r>
        <w:rPr>
          <w:b/>
          <w:i w:val="0"/>
        </w:rPr>
        <w:t>emicet.</w:t>
      </w:r>
      <w:r>
        <w:rPr>
          <w:b w:val="0"/>
          <w:i w:val="0"/>
        </w:rPr>
        <w:t xml:space="preserve"> </w:t>
      </w:r>
      <w:hyperlink w:anchor="latin-record-0435">
        <w:r>
          <w:rPr>
            <w:color w:val="000000"/>
          </w:rPr>
          <w:t xml:space="preserve">emicare / exuberare / evadere</w:t>
        </w:r>
      </w:hyperlink>
      <w:r>
        <w:rPr>
          <w:b w:val="0"/>
          <w:i w:val="0"/>
        </w:rPr>
        <w:t>.</w:t>
      </w:r>
    </w:p>
    <w:p>
      <w:pPr>
        <w:widowControl/>
      </w:pPr>
      <w:r>
        <w:rPr>
          <w:b/>
          <w:i w:val="0"/>
        </w:rPr>
        <w:t>Empedocles.</w:t>
      </w:r>
      <w:r>
        <w:rPr>
          <w:b w:val="0"/>
          <w:i w:val="0"/>
        </w:rPr>
        <w:t xml:space="preserve"> </w:t>
      </w:r>
      <w:hyperlink w:anchor="latin-record-0436">
        <w:r>
          <w:rPr>
            <w:color w:val="000000"/>
          </w:rPr>
          <w:t xml:space="preserve">Empedocles / Timaeus Locrus</w:t>
        </w:r>
      </w:hyperlink>
      <w:r>
        <w:rPr>
          <w:b w:val="0"/>
          <w:i w:val="0"/>
        </w:rPr>
        <w:t>.</w:t>
      </w:r>
    </w:p>
    <w:p>
      <w:pPr>
        <w:widowControl/>
      </w:pPr>
      <w:r>
        <w:rPr>
          <w:b/>
          <w:i w:val="0"/>
        </w:rPr>
        <w:t>enervamus.</w:t>
      </w:r>
      <w:r>
        <w:rPr>
          <w:b w:val="0"/>
          <w:i w:val="0"/>
        </w:rPr>
        <w:t xml:space="preserve"> </w:t>
      </w:r>
      <w:hyperlink w:anchor="latin-record-0437">
        <w:r>
          <w:rPr>
            <w:color w:val="000000"/>
          </w:rPr>
          <w:t xml:space="preserve">enervare / nervosus</w:t>
        </w:r>
      </w:hyperlink>
      <w:r>
        <w:rPr>
          <w:b w:val="0"/>
          <w:i w:val="0"/>
        </w:rPr>
        <w:t>.</w:t>
      </w:r>
    </w:p>
    <w:p>
      <w:pPr>
        <w:widowControl/>
      </w:pPr>
      <w:r>
        <w:rPr>
          <w:b/>
          <w:i w:val="0"/>
        </w:rPr>
        <w:t>enervato.</w:t>
      </w:r>
      <w:r>
        <w:rPr>
          <w:b w:val="0"/>
          <w:i w:val="0"/>
        </w:rPr>
        <w:t xml:space="preserve"> </w:t>
      </w:r>
      <w:hyperlink w:anchor="latin-record-0437">
        <w:r>
          <w:rPr>
            <w:color w:val="000000"/>
          </w:rPr>
          <w:t xml:space="preserve">enervare / nervosus</w:t>
        </w:r>
      </w:hyperlink>
      <w:r>
        <w:rPr>
          <w:b w:val="0"/>
          <w:i w:val="0"/>
        </w:rPr>
        <w:t>.</w:t>
      </w:r>
    </w:p>
    <w:p>
      <w:pPr>
        <w:widowControl/>
      </w:pPr>
      <w:r>
        <w:rPr>
          <w:b/>
          <w:i w:val="0"/>
        </w:rPr>
        <w:t>enuntiat.</w:t>
      </w:r>
      <w:r>
        <w:rPr>
          <w:b w:val="0"/>
          <w:i w:val="0"/>
        </w:rPr>
        <w:t xml:space="preserve"> </w:t>
      </w:r>
      <w:hyperlink w:anchor="latin-record-1086">
        <w:r>
          <w:rPr>
            <w:color w:val="000000"/>
          </w:rPr>
          <w:t xml:space="preserve">referre / enuntiare</w:t>
        </w:r>
      </w:hyperlink>
      <w:r>
        <w:rPr>
          <w:b w:val="0"/>
          <w:i w:val="0"/>
        </w:rPr>
        <w:t>.</w:t>
      </w:r>
    </w:p>
    <w:p>
      <w:pPr>
        <w:widowControl/>
      </w:pPr>
      <w:r>
        <w:rPr>
          <w:b/>
          <w:i w:val="0"/>
        </w:rPr>
        <w:t>enutritur.</w:t>
      </w:r>
      <w:r>
        <w:rPr>
          <w:b w:val="0"/>
          <w:i w:val="0"/>
        </w:rPr>
        <w:t xml:space="preserve"> </w:t>
      </w:r>
      <w:hyperlink w:anchor="latin-record-0067">
        <w:r>
          <w:rPr>
            <w:color w:val="000000"/>
          </w:rPr>
          <w:t xml:space="preserve">alere / nutrire</w:t>
        </w:r>
      </w:hyperlink>
      <w:r>
        <w:rPr>
          <w:b w:val="0"/>
          <w:i w:val="0"/>
        </w:rPr>
        <w:t>.</w:t>
      </w:r>
    </w:p>
    <w:p>
      <w:pPr>
        <w:widowControl/>
      </w:pPr>
      <w:r>
        <w:rPr>
          <w:b/>
          <w:i w:val="0"/>
        </w:rPr>
        <w:t>Epicuree.</w:t>
      </w:r>
      <w:r>
        <w:rPr>
          <w:b w:val="0"/>
          <w:i w:val="0"/>
        </w:rPr>
        <w:t xml:space="preserve"> </w:t>
      </w:r>
      <w:hyperlink w:anchor="latin-record-1238">
        <w:r>
          <w:rPr>
            <w:color w:val="000000"/>
          </w:rPr>
          <w:t xml:space="preserve">Strato / Epicureus</w:t>
        </w:r>
      </w:hyperlink>
      <w:r>
        <w:rPr>
          <w:b w:val="0"/>
          <w:i w:val="0"/>
        </w:rPr>
        <w:t>.</w:t>
      </w:r>
    </w:p>
    <w:p>
      <w:pPr>
        <w:widowControl/>
      </w:pPr>
      <w:r>
        <w:rPr>
          <w:b/>
          <w:i w:val="0"/>
        </w:rPr>
        <w:t>Epicurei.</w:t>
      </w:r>
      <w:r>
        <w:rPr>
          <w:b w:val="0"/>
          <w:i w:val="0"/>
        </w:rPr>
        <w:t xml:space="preserve"> </w:t>
      </w:r>
      <w:hyperlink w:anchor="latin-record-0438">
        <w:r>
          <w:rPr>
            <w:color w:val="000000"/>
          </w:rPr>
          <w:t xml:space="preserve">Epicurei</w:t>
        </w:r>
      </w:hyperlink>
      <w:r>
        <w:rPr>
          <w:b w:val="0"/>
          <w:i w:val="0"/>
        </w:rPr>
        <w:t>.</w:t>
      </w:r>
    </w:p>
    <w:p>
      <w:pPr>
        <w:widowControl/>
      </w:pPr>
      <w:r>
        <w:rPr>
          <w:b/>
          <w:i w:val="0"/>
        </w:rPr>
        <w:t>Epicureis.</w:t>
      </w:r>
      <w:r>
        <w:rPr>
          <w:b w:val="0"/>
          <w:i w:val="0"/>
        </w:rPr>
        <w:t xml:space="preserve"> </w:t>
      </w:r>
      <w:hyperlink w:anchor="latin-record-0438">
        <w:r>
          <w:rPr>
            <w:color w:val="000000"/>
          </w:rPr>
          <w:t xml:space="preserve">Epicurei</w:t>
        </w:r>
      </w:hyperlink>
      <w:r>
        <w:rPr>
          <w:b w:val="0"/>
          <w:i w:val="0"/>
        </w:rPr>
        <w:t>.</w:t>
      </w:r>
    </w:p>
    <w:p>
      <w:pPr>
        <w:widowControl/>
      </w:pPr>
      <w:r>
        <w:rPr>
          <w:b/>
          <w:i w:val="0"/>
        </w:rPr>
        <w:t>Epicureos.</w:t>
      </w:r>
      <w:r>
        <w:rPr>
          <w:b w:val="0"/>
          <w:i w:val="0"/>
        </w:rPr>
        <w:t xml:space="preserve"> </w:t>
      </w:r>
      <w:hyperlink w:anchor="latin-record-0438">
        <w:r>
          <w:rPr>
            <w:color w:val="000000"/>
          </w:rPr>
          <w:t xml:space="preserve">Epicurei</w:t>
        </w:r>
      </w:hyperlink>
      <w:r>
        <w:rPr>
          <w:b w:val="0"/>
          <w:i w:val="0"/>
        </w:rPr>
        <w:t>.</w:t>
      </w:r>
    </w:p>
    <w:p>
      <w:pPr>
        <w:widowControl/>
      </w:pPr>
      <w:r>
        <w:rPr>
          <w:b/>
          <w:i w:val="0"/>
        </w:rPr>
        <w:t>Epicureus.</w:t>
      </w:r>
      <w:r>
        <w:rPr>
          <w:b w:val="0"/>
          <w:i w:val="0"/>
        </w:rPr>
        <w:t xml:space="preserve"> </w:t>
      </w:r>
      <w:hyperlink w:anchor="latin-record-0438">
        <w:r>
          <w:rPr>
            <w:color w:val="000000"/>
          </w:rPr>
          <w:t xml:space="preserve">Epicurei</w:t>
        </w:r>
      </w:hyperlink>
      <w:r>
        <w:rPr>
          <w:b w:val="0"/>
          <w:i w:val="0"/>
        </w:rPr>
        <w:t xml:space="preserve">; </w:t>
      </w:r>
      <w:hyperlink w:anchor="latin-record-1238">
        <w:r>
          <w:rPr>
            <w:color w:val="000000"/>
          </w:rPr>
          <w:t xml:space="preserve">Strato / Epicureus</w:t>
        </w:r>
      </w:hyperlink>
      <w:r>
        <w:rPr>
          <w:b w:val="0"/>
          <w:i w:val="0"/>
        </w:rPr>
        <w:t>.</w:t>
      </w:r>
    </w:p>
    <w:p>
      <w:pPr>
        <w:widowControl/>
      </w:pPr>
      <w:r>
        <w:rPr>
          <w:b/>
          <w:i w:val="0"/>
        </w:rPr>
        <w:t>Epicurus.</w:t>
      </w:r>
      <w:r>
        <w:rPr>
          <w:b w:val="0"/>
          <w:i w:val="0"/>
        </w:rPr>
        <w:t xml:space="preserve"> </w:t>
      </w:r>
      <w:hyperlink w:anchor="latin-record-0164">
        <w:r>
          <w:rPr>
            <w:color w:val="000000"/>
          </w:rPr>
          <w:t xml:space="preserve">Boethus; Epicurus; Xenophantes</w:t>
        </w:r>
      </w:hyperlink>
      <w:r>
        <w:rPr>
          <w:b w:val="0"/>
          <w:i w:val="0"/>
        </w:rPr>
        <w:t>.</w:t>
      </w:r>
    </w:p>
    <w:p>
      <w:pPr>
        <w:widowControl/>
      </w:pPr>
      <w:r>
        <w:rPr>
          <w:b/>
          <w:i w:val="0"/>
        </w:rPr>
        <w:t>equi.</w:t>
      </w:r>
      <w:r>
        <w:rPr>
          <w:b w:val="0"/>
          <w:i w:val="0"/>
        </w:rPr>
        <w:t xml:space="preserve"> </w:t>
      </w:r>
      <w:hyperlink w:anchor="latin-record-0186">
        <w:r>
          <w:rPr>
            <w:color w:val="000000"/>
          </w:rPr>
          <w:t xml:space="preserve">canis / formica / equus / elephas / sol</w:t>
        </w:r>
      </w:hyperlink>
      <w:r>
        <w:rPr>
          <w:b w:val="0"/>
          <w:i w:val="0"/>
        </w:rPr>
        <w:t xml:space="preserve">; </w:t>
      </w:r>
      <w:hyperlink w:anchor="latin-record-0439">
        <w:r>
          <w:rPr>
            <w:color w:val="000000"/>
          </w:rPr>
          <w:t xml:space="preserve">equus / homo</w:t>
        </w:r>
      </w:hyperlink>
      <w:r>
        <w:rPr>
          <w:b w:val="0"/>
          <w:i w:val="0"/>
        </w:rPr>
        <w:t>.</w:t>
      </w:r>
    </w:p>
    <w:p>
      <w:pPr>
        <w:widowControl/>
      </w:pPr>
      <w:r>
        <w:rPr>
          <w:b/>
          <w:i w:val="0"/>
        </w:rPr>
        <w:t>equo.</w:t>
      </w:r>
      <w:r>
        <w:rPr>
          <w:b w:val="0"/>
          <w:i w:val="0"/>
        </w:rPr>
        <w:t xml:space="preserve"> </w:t>
      </w:r>
      <w:hyperlink w:anchor="latin-record-0432">
        <w:r>
          <w:rPr>
            <w:color w:val="000000"/>
          </w:rPr>
          <w:t xml:space="preserve">elephas / equus / prudentia</w:t>
        </w:r>
      </w:hyperlink>
      <w:r>
        <w:rPr>
          <w:b w:val="0"/>
          <w:i w:val="0"/>
        </w:rPr>
        <w:t>.</w:t>
      </w:r>
    </w:p>
    <w:p>
      <w:pPr>
        <w:widowControl/>
      </w:pPr>
      <w:r>
        <w:rPr>
          <w:b/>
          <w:i w:val="0"/>
        </w:rPr>
        <w:t>equum.</w:t>
      </w:r>
      <w:r>
        <w:rPr>
          <w:b w:val="0"/>
          <w:i w:val="0"/>
        </w:rPr>
        <w:t xml:space="preserve"> </w:t>
      </w:r>
      <w:hyperlink w:anchor="latin-record-0439">
        <w:r>
          <w:rPr>
            <w:color w:val="000000"/>
          </w:rPr>
          <w:t xml:space="preserve">equus / homo</w:t>
        </w:r>
      </w:hyperlink>
      <w:r>
        <w:rPr>
          <w:b w:val="0"/>
          <w:i w:val="0"/>
        </w:rPr>
        <w:t>.</w:t>
      </w:r>
    </w:p>
    <w:p>
      <w:pPr>
        <w:widowControl/>
      </w:pPr>
      <w:r>
        <w:rPr>
          <w:b/>
          <w:i w:val="0"/>
        </w:rPr>
        <w:t>equus.</w:t>
      </w:r>
      <w:r>
        <w:rPr>
          <w:b w:val="0"/>
          <w:i w:val="0"/>
        </w:rPr>
        <w:t xml:space="preserve"> </w:t>
      </w:r>
      <w:hyperlink w:anchor="latin-record-0185">
        <w:r>
          <w:rPr>
            <w:color w:val="000000"/>
          </w:rPr>
          <w:t xml:space="preserve">canis / equus / homo</w:t>
        </w:r>
      </w:hyperlink>
      <w:r>
        <w:rPr>
          <w:b w:val="0"/>
          <w:i w:val="0"/>
        </w:rPr>
        <w:t xml:space="preserve">; </w:t>
      </w:r>
      <w:hyperlink w:anchor="latin-record-0439">
        <w:r>
          <w:rPr>
            <w:color w:val="000000"/>
          </w:rPr>
          <w:t xml:space="preserve">equus / homo</w:t>
        </w:r>
      </w:hyperlink>
      <w:r>
        <w:rPr>
          <w:b w:val="0"/>
          <w:i w:val="0"/>
        </w:rPr>
        <w:t>.</w:t>
      </w:r>
    </w:p>
    <w:p>
      <w:pPr>
        <w:widowControl/>
      </w:pPr>
      <w:r>
        <w:rPr>
          <w:b/>
          <w:i w:val="0"/>
        </w:rPr>
        <w:t>ergo.</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Ergo.</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erit.</w:t>
      </w:r>
      <w:r>
        <w:rPr>
          <w:b w:val="0"/>
          <w:i w:val="0"/>
        </w:rPr>
        <w:t xml:space="preserve"> </w:t>
      </w:r>
      <w:hyperlink w:anchor="latin-record-0444">
        <w:r>
          <w:rPr>
            <w:color w:val="000000"/>
          </w:rPr>
          <w:t xml:space="preserve">esse; habere; fieri</w:t>
        </w:r>
      </w:hyperlink>
      <w:r>
        <w:rPr>
          <w:b w:val="0"/>
          <w:i w:val="0"/>
        </w:rPr>
        <w:t>.</w:t>
      </w:r>
    </w:p>
    <w:p>
      <w:pPr>
        <w:widowControl/>
      </w:pPr>
      <w:r>
        <w:rPr>
          <w:b/>
          <w:i w:val="0"/>
        </w:rPr>
        <w:t>eruerit.</w:t>
      </w:r>
      <w:r>
        <w:rPr>
          <w:b w:val="0"/>
          <w:i w:val="0"/>
        </w:rPr>
        <w:t xml:space="preserve"> </w:t>
      </w:r>
      <w:hyperlink w:anchor="latin-record-0420">
        <w:r>
          <w:rPr>
            <w:color w:val="000000"/>
          </w:rPr>
          <w:t xml:space="preserve">educere; eruere; addicere</w:t>
        </w:r>
      </w:hyperlink>
      <w:r>
        <w:rPr>
          <w:b w:val="0"/>
          <w:i w:val="0"/>
        </w:rPr>
        <w:t>.</w:t>
      </w:r>
    </w:p>
    <w:p>
      <w:pPr>
        <w:widowControl/>
      </w:pPr>
      <w:r>
        <w:rPr>
          <w:b/>
          <w:i w:val="0"/>
        </w:rPr>
        <w:t>erunt.</w:t>
      </w:r>
      <w:r>
        <w:rPr>
          <w:b w:val="0"/>
          <w:i w:val="0"/>
        </w:rPr>
        <w:t xml:space="preserve"> </w:t>
      </w:r>
      <w:hyperlink w:anchor="latin-record-0444">
        <w:r>
          <w:rPr>
            <w:color w:val="000000"/>
          </w:rPr>
          <w:t xml:space="preserve">esse; habere; fieri</w:t>
        </w:r>
      </w:hyperlink>
      <w:r>
        <w:rPr>
          <w:b w:val="0"/>
          <w:i w:val="0"/>
        </w:rPr>
        <w:t>.</w:t>
      </w:r>
    </w:p>
    <w:p>
      <w:pPr>
        <w:widowControl/>
      </w:pPr>
      <w:r>
        <w:rPr>
          <w:b/>
          <w:i w:val="0"/>
        </w:rPr>
        <w:t>es.</w:t>
      </w:r>
      <w:r>
        <w:rPr>
          <w:b w:val="0"/>
          <w:i w:val="0"/>
        </w:rPr>
        <w:t xml:space="preserve"> </w:t>
      </w:r>
      <w:hyperlink w:anchor="latin-record-0444">
        <w:r>
          <w:rPr>
            <w:color w:val="000000"/>
          </w:rPr>
          <w:t xml:space="preserve">esse; habere; fieri</w:t>
        </w:r>
      </w:hyperlink>
      <w:r>
        <w:rPr>
          <w:b w:val="0"/>
          <w:i w:val="0"/>
        </w:rPr>
        <w:t>.</w:t>
      </w:r>
    </w:p>
    <w:p>
      <w:pPr>
        <w:widowControl/>
      </w:pPr>
      <w:r>
        <w:rPr>
          <w:b/>
          <w:i w:val="0"/>
        </w:rPr>
        <w:t>esca.</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Escam.</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escam.</w:t>
      </w:r>
      <w:r>
        <w:rPr>
          <w:b w:val="0"/>
          <w:i w:val="0"/>
        </w:rPr>
        <w:t xml:space="preserve"> </w:t>
      </w:r>
      <w:hyperlink w:anchor="latin-record-0071">
        <w:r>
          <w:rPr>
            <w:color w:val="000000"/>
          </w:rPr>
          <w:t xml:space="preserve">alimentum / alimonia / esca / cibus</w:t>
        </w:r>
      </w:hyperlink>
      <w:r>
        <w:rPr>
          <w:b w:val="0"/>
          <w:i w:val="0"/>
        </w:rPr>
        <w:t>.</w:t>
      </w:r>
    </w:p>
    <w:p>
      <w:pPr>
        <w:widowControl/>
      </w:pPr>
      <w:r>
        <w:rPr>
          <w:b/>
          <w:i w:val="0"/>
        </w:rPr>
        <w:t>esse.</w:t>
      </w:r>
      <w:r>
        <w:rPr>
          <w:b w:val="0"/>
          <w:i w:val="0"/>
        </w:rPr>
        <w:t xml:space="preserve"> </w:t>
      </w:r>
      <w:hyperlink w:anchor="latin-record-0347">
        <w:r>
          <w:rPr>
            <w:color w:val="000000"/>
          </w:rPr>
          <w:t xml:space="preserve">creatio / interitus</w:t>
        </w:r>
      </w:hyperlink>
      <w:r>
        <w:rPr>
          <w:b w:val="0"/>
          <w:i w:val="0"/>
        </w:rPr>
        <w:t xml:space="preserve">; </w:t>
      </w:r>
      <w:hyperlink w:anchor="latin-record-0440">
        <w:r>
          <w:rPr>
            <w:color w:val="000000"/>
          </w:rPr>
          <w:t xml:space="preserve">esse</w:t>
        </w:r>
      </w:hyperlink>
      <w:r>
        <w:rPr>
          <w:b w:val="0"/>
          <w:i w:val="0"/>
        </w:rPr>
        <w:t xml:space="preserve">; </w:t>
      </w:r>
      <w:hyperlink w:anchor="latin-record-0443">
        <w:r>
          <w:rPr>
            <w:color w:val="000000"/>
          </w:rPr>
          <w:t xml:space="preserve">esse; existere</w:t>
        </w:r>
      </w:hyperlink>
      <w:r>
        <w:rPr>
          <w:b w:val="0"/>
          <w:i w:val="0"/>
        </w:rPr>
        <w:t>.</w:t>
      </w:r>
    </w:p>
    <w:p>
      <w:pPr>
        <w:widowControl/>
      </w:pPr>
      <w:r>
        <w:rPr>
          <w:b/>
          <w:i w:val="0"/>
        </w:rPr>
        <w:t>Esse.</w:t>
      </w:r>
      <w:r>
        <w:rPr>
          <w:b w:val="0"/>
          <w:i w:val="0"/>
        </w:rPr>
        <w:t xml:space="preserve"> </w:t>
      </w:r>
      <w:hyperlink w:anchor="latin-record-0347">
        <w:r>
          <w:rPr>
            <w:color w:val="000000"/>
          </w:rPr>
          <w:t xml:space="preserve">creatio / interitus</w:t>
        </w:r>
      </w:hyperlink>
      <w:r>
        <w:rPr>
          <w:b w:val="0"/>
          <w:i w:val="0"/>
        </w:rPr>
        <w:t xml:space="preserve">; </w:t>
      </w:r>
      <w:hyperlink w:anchor="latin-record-0440">
        <w:r>
          <w:rPr>
            <w:color w:val="000000"/>
          </w:rPr>
          <w:t xml:space="preserve">esse</w:t>
        </w:r>
      </w:hyperlink>
      <w:r>
        <w:rPr>
          <w:b w:val="0"/>
          <w:i w:val="0"/>
        </w:rPr>
        <w:t>.</w:t>
      </w:r>
    </w:p>
    <w:p>
      <w:pPr>
        <w:widowControl/>
      </w:pPr>
      <w:r>
        <w:rPr>
          <w:b/>
          <w:i w:val="0"/>
        </w:rPr>
        <w:t>esse commune.</w:t>
      </w:r>
      <w:r>
        <w:rPr>
          <w:b w:val="0"/>
          <w:i w:val="0"/>
        </w:rPr>
        <w:t xml:space="preserve"> </w:t>
      </w:r>
      <w:hyperlink w:anchor="latin-record-0442">
        <w:r>
          <w:rPr>
            <w:color w:val="000000"/>
          </w:rPr>
          <w:t xml:space="preserve">esse proprium / commune esse</w:t>
        </w:r>
      </w:hyperlink>
      <w:r>
        <w:rPr>
          <w:b w:val="0"/>
          <w:i w:val="0"/>
        </w:rPr>
        <w:t>.</w:t>
      </w:r>
    </w:p>
    <w:p>
      <w:pPr>
        <w:widowControl/>
      </w:pPr>
      <w:r>
        <w:rPr>
          <w:b/>
          <w:i w:val="0"/>
        </w:rPr>
        <w:t>esse proprium.</w:t>
      </w:r>
      <w:r>
        <w:rPr>
          <w:b w:val="0"/>
          <w:i w:val="0"/>
        </w:rPr>
        <w:t xml:space="preserve"> </w:t>
      </w:r>
      <w:hyperlink w:anchor="latin-record-0441">
        <w:r>
          <w:rPr>
            <w:color w:val="000000"/>
          </w:rPr>
          <w:t xml:space="preserve">esse proprium</w:t>
        </w:r>
      </w:hyperlink>
      <w:r>
        <w:rPr>
          <w:b w:val="0"/>
          <w:i w:val="0"/>
        </w:rPr>
        <w:t xml:space="preserve">; </w:t>
      </w:r>
      <w:hyperlink w:anchor="latin-record-0442">
        <w:r>
          <w:rPr>
            <w:color w:val="000000"/>
          </w:rPr>
          <w:t xml:space="preserve">esse proprium / commune esse</w:t>
        </w:r>
      </w:hyperlink>
      <w:r>
        <w:rPr>
          <w:b w:val="0"/>
          <w:i w:val="0"/>
        </w:rPr>
        <w:t>.</w:t>
      </w:r>
    </w:p>
    <w:p>
      <w:pPr>
        <w:widowControl/>
      </w:pPr>
      <w:r>
        <w:rPr>
          <w:b/>
          <w:i w:val="0"/>
        </w:rPr>
        <w:t>esse se prorsus incorporalem.</w:t>
      </w:r>
      <w:r>
        <w:rPr>
          <w:b w:val="0"/>
          <w:i w:val="0"/>
        </w:rPr>
        <w:t xml:space="preserve"> </w:t>
      </w:r>
      <w:hyperlink w:anchor="latin-record-0053">
        <w:r>
          <w:rPr>
            <w:color w:val="000000"/>
          </w:rPr>
          <w:t xml:space="preserve">affirmare esse</w:t>
        </w:r>
      </w:hyperlink>
      <w:r>
        <w:rPr>
          <w:b w:val="0"/>
          <w:i w:val="0"/>
        </w:rPr>
        <w:t>.</w:t>
      </w:r>
    </w:p>
    <w:p>
      <w:pPr>
        <w:widowControl/>
      </w:pPr>
      <w:r>
        <w:rPr>
          <w:b/>
          <w:i w:val="0"/>
        </w:rPr>
        <w:t>esse totius compositi.</w:t>
      </w:r>
      <w:r>
        <w:rPr>
          <w:b w:val="0"/>
          <w:i w:val="0"/>
        </w:rPr>
        <w:t xml:space="preserve"> </w:t>
      </w:r>
      <w:hyperlink w:anchor="latin-record-0441">
        <w:r>
          <w:rPr>
            <w:color w:val="000000"/>
          </w:rPr>
          <w:t xml:space="preserve">esse proprium</w:t>
        </w:r>
      </w:hyperlink>
      <w:r>
        <w:rPr>
          <w:b w:val="0"/>
          <w:i w:val="0"/>
        </w:rPr>
        <w:t>.</w:t>
      </w:r>
    </w:p>
    <w:p>
      <w:pPr>
        <w:widowControl/>
      </w:pPr>
      <w:r>
        <w:rPr>
          <w:b/>
          <w:i w:val="0"/>
        </w:rPr>
        <w:t>essendi.</w:t>
      </w:r>
      <w:r>
        <w:rPr>
          <w:b w:val="0"/>
          <w:i w:val="0"/>
        </w:rPr>
        <w:t xml:space="preserve"> </w:t>
      </w:r>
      <w:hyperlink w:anchor="latin-record-0440">
        <w:r>
          <w:rPr>
            <w:color w:val="000000"/>
          </w:rPr>
          <w:t xml:space="preserve">esse</w:t>
        </w:r>
      </w:hyperlink>
      <w:r>
        <w:rPr>
          <w:b w:val="0"/>
          <w:i w:val="0"/>
        </w:rPr>
        <w:t>.</w:t>
      </w:r>
    </w:p>
    <w:p>
      <w:pPr>
        <w:widowControl/>
      </w:pPr>
      <w:r>
        <w:rPr>
          <w:b/>
          <w:i w:val="0"/>
        </w:rPr>
        <w:t>essendi modos.</w:t>
      </w:r>
      <w:r>
        <w:rPr>
          <w:b w:val="0"/>
          <w:i w:val="0"/>
        </w:rPr>
        <w:t xml:space="preserve"> </w:t>
      </w:r>
      <w:hyperlink w:anchor="latin-record-0791">
        <w:r>
          <w:rPr>
            <w:color w:val="000000"/>
          </w:rPr>
          <w:t xml:space="preserve">modus essendi</w:t>
        </w:r>
      </w:hyperlink>
      <w:r>
        <w:rPr>
          <w:b w:val="0"/>
          <w:i w:val="0"/>
        </w:rPr>
        <w:t>.</w:t>
      </w:r>
    </w:p>
    <w:p>
      <w:pPr>
        <w:widowControl/>
      </w:pPr>
      <w:r>
        <w:rPr>
          <w:b/>
          <w:i w:val="0"/>
        </w:rPr>
        <w:t>essendi modum.</w:t>
      </w:r>
      <w:r>
        <w:rPr>
          <w:b w:val="0"/>
          <w:i w:val="0"/>
        </w:rPr>
        <w:t xml:space="preserve"> </w:t>
      </w:r>
      <w:hyperlink w:anchor="latin-record-0791">
        <w:r>
          <w:rPr>
            <w:color w:val="000000"/>
          </w:rPr>
          <w:t xml:space="preserve">modus essendi</w:t>
        </w:r>
      </w:hyperlink>
      <w:r>
        <w:rPr>
          <w:b w:val="0"/>
          <w:i w:val="0"/>
        </w:rPr>
        <w:t>.</w:t>
      </w:r>
    </w:p>
    <w:p>
      <w:pPr>
        <w:widowControl/>
      </w:pPr>
      <w:r>
        <w:rPr>
          <w:b/>
          <w:i w:val="0"/>
        </w:rPr>
        <w:t>essendi naturam.</w:t>
      </w:r>
      <w:r>
        <w:rPr>
          <w:b w:val="0"/>
          <w:i w:val="0"/>
        </w:rPr>
        <w:t xml:space="preserve"> </w:t>
      </w:r>
      <w:hyperlink w:anchor="latin-record-0791">
        <w:r>
          <w:rPr>
            <w:color w:val="000000"/>
          </w:rPr>
          <w:t xml:space="preserve">modus essendi</w:t>
        </w:r>
      </w:hyperlink>
      <w:r>
        <w:rPr>
          <w:b w:val="0"/>
          <w:i w:val="0"/>
        </w:rPr>
        <w:t>.</w:t>
      </w:r>
    </w:p>
    <w:p>
      <w:pPr>
        <w:widowControl/>
      </w:pPr>
      <w:r>
        <w:rPr>
          <w:b/>
          <w:i w:val="0"/>
        </w:rPr>
        <w:t>essendi radicem.</w:t>
      </w:r>
      <w:r>
        <w:rPr>
          <w:b w:val="0"/>
          <w:i w:val="0"/>
        </w:rPr>
        <w:t xml:space="preserve"> </w:t>
      </w:r>
      <w:hyperlink w:anchor="latin-record-1059">
        <w:r>
          <w:rPr>
            <w:color w:val="000000"/>
          </w:rPr>
          <w:t xml:space="preserve">radix essendi</w:t>
        </w:r>
      </w:hyperlink>
      <w:r>
        <w:rPr>
          <w:b w:val="0"/>
          <w:i w:val="0"/>
        </w:rPr>
        <w:t>.</w:t>
      </w:r>
    </w:p>
    <w:p>
      <w:pPr>
        <w:widowControl/>
      </w:pPr>
      <w:r>
        <w:rPr>
          <w:b/>
          <w:i w:val="0"/>
        </w:rPr>
        <w:t>essent.</w:t>
      </w:r>
      <w:r>
        <w:rPr>
          <w:b w:val="0"/>
          <w:i w:val="0"/>
        </w:rPr>
        <w:t xml:space="preserve"> </w:t>
      </w:r>
      <w:hyperlink w:anchor="latin-record-0444">
        <w:r>
          <w:rPr>
            <w:color w:val="000000"/>
          </w:rPr>
          <w:t xml:space="preserve">esse; habere; fieri</w:t>
        </w:r>
      </w:hyperlink>
      <w:r>
        <w:rPr>
          <w:b w:val="0"/>
          <w:i w:val="0"/>
        </w:rPr>
        <w:t>.</w:t>
      </w:r>
    </w:p>
    <w:p>
      <w:pPr>
        <w:widowControl/>
      </w:pPr>
      <w:r>
        <w:rPr>
          <w:b/>
          <w:i w:val="0"/>
        </w:rPr>
        <w:t>essentia.</w:t>
      </w:r>
      <w:r>
        <w:rPr>
          <w:b w:val="0"/>
          <w:i w:val="0"/>
        </w:rPr>
        <w:t xml:space="preserve"> </w:t>
      </w:r>
      <w:hyperlink w:anchor="latin-record-0445">
        <w:r>
          <w:rPr>
            <w:color w:val="000000"/>
          </w:rPr>
          <w:t xml:space="preserve">essentia</w:t>
        </w:r>
      </w:hyperlink>
      <w:r>
        <w:rPr>
          <w:b w:val="0"/>
          <w:i w:val="0"/>
        </w:rPr>
        <w:t xml:space="preserve">; </w:t>
      </w:r>
      <w:hyperlink w:anchor="latin-record-0447">
        <w:r>
          <w:rPr>
            <w:color w:val="000000"/>
          </w:rPr>
          <w:t xml:space="preserve">essentia–vita–mens</w:t>
        </w:r>
      </w:hyperlink>
      <w:r>
        <w:rPr>
          <w:b w:val="0"/>
          <w:i w:val="0"/>
        </w:rPr>
        <w:t xml:space="preserve">; </w:t>
      </w:r>
      <w:hyperlink w:anchor="latin-record-1247">
        <w:r>
          <w:rPr>
            <w:color w:val="000000"/>
          </w:rPr>
          <w:t xml:space="preserve">substantia; essentia</w:t>
        </w:r>
      </w:hyperlink>
      <w:r>
        <w:rPr>
          <w:b w:val="0"/>
          <w:i w:val="0"/>
        </w:rPr>
        <w:t>.</w:t>
      </w:r>
    </w:p>
    <w:p>
      <w:pPr>
        <w:widowControl/>
      </w:pPr>
      <w:r>
        <w:rPr>
          <w:b/>
          <w:i w:val="0"/>
        </w:rPr>
        <w:t>Essentia.</w:t>
      </w:r>
      <w:r>
        <w:rPr>
          <w:b w:val="0"/>
          <w:i w:val="0"/>
        </w:rPr>
        <w:t xml:space="preserve"> </w:t>
      </w:r>
      <w:hyperlink w:anchor="latin-record-0445">
        <w:r>
          <w:rPr>
            <w:color w:val="000000"/>
          </w:rPr>
          <w:t xml:space="preserve">essentia</w:t>
        </w:r>
      </w:hyperlink>
      <w:r>
        <w:rPr>
          <w:b w:val="0"/>
          <w:i w:val="0"/>
        </w:rPr>
        <w:t>.</w:t>
      </w:r>
    </w:p>
    <w:p>
      <w:pPr>
        <w:widowControl/>
      </w:pPr>
      <w:r>
        <w:rPr>
          <w:b/>
          <w:i w:val="0"/>
        </w:rPr>
        <w:t>essentia, esse, virtute et actione.</w:t>
      </w:r>
      <w:r>
        <w:rPr>
          <w:b w:val="0"/>
          <w:i w:val="0"/>
        </w:rPr>
        <w:t xml:space="preserve"> </w:t>
      </w:r>
      <w:hyperlink w:anchor="latin-record-1050">
        <w:r>
          <w:rPr>
            <w:color w:val="000000"/>
          </w:rPr>
          <w:t xml:space="preserve">quatuor elementa</w:t>
        </w:r>
      </w:hyperlink>
      <w:r>
        <w:rPr>
          <w:b w:val="0"/>
          <w:i w:val="0"/>
        </w:rPr>
        <w:t>.</w:t>
      </w:r>
    </w:p>
    <w:p>
      <w:pPr>
        <w:widowControl/>
      </w:pPr>
      <w:r>
        <w:rPr>
          <w:b/>
          <w:i w:val="0"/>
        </w:rPr>
        <w:t>essentiae.</w:t>
      </w:r>
      <w:r>
        <w:rPr>
          <w:b w:val="0"/>
          <w:i w:val="0"/>
        </w:rPr>
        <w:t xml:space="preserve"> </w:t>
      </w:r>
      <w:hyperlink w:anchor="latin-record-0445">
        <w:r>
          <w:rPr>
            <w:color w:val="000000"/>
          </w:rPr>
          <w:t xml:space="preserve">essentia</w:t>
        </w:r>
      </w:hyperlink>
      <w:r>
        <w:rPr>
          <w:b w:val="0"/>
          <w:i w:val="0"/>
        </w:rPr>
        <w:t xml:space="preserve">; </w:t>
      </w:r>
      <w:hyperlink w:anchor="latin-record-1247">
        <w:r>
          <w:rPr>
            <w:color w:val="000000"/>
          </w:rPr>
          <w:t xml:space="preserve">substantia; essentia</w:t>
        </w:r>
      </w:hyperlink>
      <w:r>
        <w:rPr>
          <w:b w:val="0"/>
          <w:i w:val="0"/>
        </w:rPr>
        <w:t>.</w:t>
      </w:r>
    </w:p>
    <w:p>
      <w:pPr>
        <w:widowControl/>
      </w:pPr>
      <w:r>
        <w:rPr>
          <w:b/>
          <w:i w:val="0"/>
        </w:rPr>
        <w:t>Essentiam.</w:t>
      </w:r>
      <w:r>
        <w:rPr>
          <w:b w:val="0"/>
          <w:i w:val="0"/>
        </w:rPr>
        <w:t xml:space="preserve"> </w:t>
      </w:r>
      <w:hyperlink w:anchor="latin-record-0445">
        <w:r>
          <w:rPr>
            <w:color w:val="000000"/>
          </w:rPr>
          <w:t xml:space="preserve">essentia</w:t>
        </w:r>
      </w:hyperlink>
      <w:r>
        <w:rPr>
          <w:b w:val="0"/>
          <w:i w:val="0"/>
        </w:rPr>
        <w:t>.</w:t>
      </w:r>
    </w:p>
    <w:p>
      <w:pPr>
        <w:widowControl/>
      </w:pPr>
      <w:r>
        <w:rPr>
          <w:b/>
          <w:i w:val="0"/>
        </w:rPr>
        <w:t>essentiam.</w:t>
      </w:r>
      <w:r>
        <w:rPr>
          <w:b w:val="0"/>
          <w:i w:val="0"/>
        </w:rPr>
        <w:t xml:space="preserve"> </w:t>
      </w:r>
      <w:hyperlink w:anchor="latin-record-0445">
        <w:r>
          <w:rPr>
            <w:color w:val="000000"/>
          </w:rPr>
          <w:t xml:space="preserve">essentia</w:t>
        </w:r>
      </w:hyperlink>
      <w:r>
        <w:rPr>
          <w:b w:val="0"/>
          <w:i w:val="0"/>
        </w:rPr>
        <w:t xml:space="preserve">; </w:t>
      </w:r>
      <w:hyperlink w:anchor="latin-record-1247">
        <w:r>
          <w:rPr>
            <w:color w:val="000000"/>
          </w:rPr>
          <w:t xml:space="preserve">substantia; essentia</w:t>
        </w:r>
      </w:hyperlink>
      <w:r>
        <w:rPr>
          <w:b w:val="0"/>
          <w:i w:val="0"/>
        </w:rPr>
        <w:t>.</w:t>
      </w:r>
    </w:p>
    <w:p>
      <w:pPr>
        <w:widowControl/>
      </w:pPr>
      <w:r>
        <w:rPr>
          <w:b/>
          <w:i w:val="0"/>
        </w:rPr>
        <w:t>essentias.</w:t>
      </w:r>
      <w:r>
        <w:rPr>
          <w:b w:val="0"/>
          <w:i w:val="0"/>
        </w:rPr>
        <w:t xml:space="preserve"> </w:t>
      </w:r>
      <w:hyperlink w:anchor="latin-record-0445">
        <w:r>
          <w:rPr>
            <w:color w:val="000000"/>
          </w:rPr>
          <w:t xml:space="preserve">essentia</w:t>
        </w:r>
      </w:hyperlink>
      <w:r>
        <w:rPr>
          <w:b w:val="0"/>
          <w:i w:val="0"/>
        </w:rPr>
        <w:t>.</w:t>
      </w:r>
    </w:p>
    <w:p>
      <w:pPr>
        <w:widowControl/>
      </w:pPr>
      <w:r>
        <w:rPr>
          <w:b/>
          <w:i w:val="0"/>
        </w:rPr>
        <w:t>esset.</w:t>
      </w:r>
      <w:r>
        <w:rPr>
          <w:b w:val="0"/>
          <w:i w:val="0"/>
        </w:rPr>
        <w:t xml:space="preserve"> </w:t>
      </w:r>
      <w:hyperlink w:anchor="latin-record-0444">
        <w:r>
          <w:rPr>
            <w:color w:val="000000"/>
          </w:rPr>
          <w:t xml:space="preserve">esse; habere; fieri</w:t>
        </w:r>
      </w:hyperlink>
      <w:r>
        <w:rPr>
          <w:b w:val="0"/>
          <w:i w:val="0"/>
        </w:rPr>
        <w:t>.</w:t>
      </w:r>
    </w:p>
    <w:p>
      <w:pPr>
        <w:widowControl/>
      </w:pPr>
      <w:r>
        <w:rPr>
          <w:b/>
          <w:i w:val="0"/>
        </w:rPr>
        <w:t>est.</w:t>
      </w:r>
      <w:r>
        <w:rPr>
          <w:b w:val="0"/>
          <w:i w:val="0"/>
        </w:rPr>
        <w:t xml:space="preserve"> </w:t>
      </w:r>
      <w:hyperlink w:anchor="latin-record-0444">
        <w:r>
          <w:rPr>
            <w:color w:val="000000"/>
          </w:rPr>
          <w:t xml:space="preserve">esse; habere; fieri</w:t>
        </w:r>
      </w:hyperlink>
      <w:r>
        <w:rPr>
          <w:b w:val="0"/>
          <w:i w:val="0"/>
        </w:rPr>
        <w:t>.</w:t>
      </w:r>
    </w:p>
    <w:p>
      <w:pPr>
        <w:widowControl/>
      </w:pPr>
      <w:r>
        <w:rPr>
          <w:b/>
          <w:i w:val="0"/>
        </w:rPr>
        <w:t>Esto, si vis.</w:t>
      </w:r>
      <w:r>
        <w:rPr>
          <w:b w:val="0"/>
          <w:i w:val="0"/>
        </w:rPr>
        <w:t xml:space="preserve"> </w:t>
      </w:r>
      <w:hyperlink w:anchor="latin-record-0576">
        <w:r>
          <w:rPr>
            <w:color w:val="000000"/>
          </w:rPr>
          <w:t xml:space="preserve">hypothetical concession</w:t>
        </w:r>
      </w:hyperlink>
      <w:r>
        <w:rPr>
          <w:b w:val="0"/>
          <w:i w:val="0"/>
        </w:rPr>
        <w:t>.</w:t>
      </w:r>
    </w:p>
    <w:p>
      <w:pPr>
        <w:widowControl/>
      </w:pPr>
      <w:r>
        <w:rPr>
          <w:b/>
          <w:i w:val="0"/>
        </w:rPr>
        <w:t>esurienti.</w:t>
      </w:r>
      <w:r>
        <w:rPr>
          <w:b w:val="0"/>
          <w:i w:val="0"/>
        </w:rPr>
        <w:t xml:space="preserve"> </w:t>
      </w:r>
      <w:hyperlink w:anchor="latin-record-0448">
        <w:r>
          <w:rPr>
            <w:color w:val="000000"/>
          </w:rPr>
          <w:t xml:space="preserve">esurire / sitire</w:t>
        </w:r>
      </w:hyperlink>
      <w:r>
        <w:rPr>
          <w:b w:val="0"/>
          <w:i w:val="0"/>
        </w:rPr>
        <w:t>.</w:t>
      </w:r>
    </w:p>
    <w:p>
      <w:pPr>
        <w:widowControl/>
      </w:pPr>
      <w:r>
        <w:rPr>
          <w:b/>
          <w:i w:val="0"/>
        </w:rPr>
        <w:t>esurit.</w:t>
      </w:r>
      <w:r>
        <w:rPr>
          <w:b w:val="0"/>
          <w:i w:val="0"/>
        </w:rPr>
        <w:t xml:space="preserve"> </w:t>
      </w:r>
      <w:hyperlink w:anchor="latin-record-0448">
        <w:r>
          <w:rPr>
            <w:color w:val="000000"/>
          </w:rPr>
          <w:t xml:space="preserve">esurire / sitire</w:t>
        </w:r>
      </w:hyperlink>
      <w:r>
        <w:rPr>
          <w:b w:val="0"/>
          <w:i w:val="0"/>
        </w:rPr>
        <w:t>.</w:t>
      </w:r>
    </w:p>
    <w:p>
      <w:pPr>
        <w:widowControl/>
      </w:pPr>
      <w:r>
        <w:rPr>
          <w:b/>
          <w:i w:val="0"/>
        </w:rPr>
        <w:t>evaditque.</w:t>
      </w:r>
      <w:r>
        <w:rPr>
          <w:b w:val="0"/>
          <w:i w:val="0"/>
        </w:rPr>
        <w:t xml:space="preserve"> </w:t>
      </w:r>
      <w:hyperlink w:anchor="latin-record-0435">
        <w:r>
          <w:rPr>
            <w:color w:val="000000"/>
          </w:rPr>
          <w:t xml:space="preserve">emicare / exuberare / evadere</w:t>
        </w:r>
      </w:hyperlink>
      <w:r>
        <w:rPr>
          <w:b w:val="0"/>
          <w:i w:val="0"/>
        </w:rPr>
        <w:t>.</w:t>
      </w:r>
    </w:p>
    <w:p>
      <w:pPr>
        <w:widowControl/>
      </w:pPr>
      <w:r>
        <w:rPr>
          <w:b/>
          <w:i w:val="0"/>
        </w:rPr>
        <w:t>evanescens.</w:t>
      </w:r>
      <w:r>
        <w:rPr>
          <w:b w:val="0"/>
          <w:i w:val="0"/>
        </w:rPr>
        <w:t xml:space="preserve"> </w:t>
      </w:r>
      <w:hyperlink w:anchor="latin-record-0494">
        <w:r>
          <w:rPr>
            <w:color w:val="000000"/>
          </w:rPr>
          <w:t xml:space="preserve">flatus; evanescere</w:t>
        </w:r>
      </w:hyperlink>
      <w:r>
        <w:rPr>
          <w:b w:val="0"/>
          <w:i w:val="0"/>
        </w:rPr>
        <w:t>.</w:t>
      </w:r>
    </w:p>
    <w:p>
      <w:pPr>
        <w:widowControl/>
      </w:pPr>
      <w:r>
        <w:rPr>
          <w:b/>
          <w:i w:val="0"/>
        </w:rPr>
        <w:t>evolat.</w:t>
      </w:r>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evolutumque.</w:t>
      </w:r>
      <w:r>
        <w:rPr>
          <w:b w:val="0"/>
          <w:i w:val="0"/>
        </w:rPr>
        <w:t xml:space="preserve"> </w:t>
      </w:r>
      <w:hyperlink w:anchor="latin-record-0449">
        <w:r>
          <w:rPr>
            <w:color w:val="000000"/>
          </w:rPr>
          <w:t xml:space="preserve">evolvere; convolvere</w:t>
        </w:r>
      </w:hyperlink>
      <w:r>
        <w:rPr>
          <w:b w:val="0"/>
          <w:i w:val="0"/>
        </w:rPr>
        <w:t>.</w:t>
      </w:r>
    </w:p>
    <w:p>
      <w:pPr>
        <w:widowControl/>
      </w:pPr>
      <w:r>
        <w:rPr>
          <w:b/>
          <w:i w:val="0"/>
        </w:rPr>
        <w:t>Ex nihilo.</w:t>
      </w:r>
      <w:r>
        <w:rPr>
          <w:b w:val="0"/>
          <w:i w:val="0"/>
        </w:rPr>
        <w:t xml:space="preserve"> </w:t>
      </w:r>
      <w:hyperlink w:anchor="latin-record-0610">
        <w:r>
          <w:rPr>
            <w:color w:val="000000"/>
          </w:rPr>
          <w:t xml:space="preserve">in nihilum</w:t>
        </w:r>
      </w:hyperlink>
      <w:r>
        <w:rPr>
          <w:b w:val="0"/>
          <w:i w:val="0"/>
        </w:rPr>
        <w:t>.</w:t>
      </w:r>
    </w:p>
    <w:p>
      <w:pPr>
        <w:widowControl/>
      </w:pPr>
      <w:r>
        <w:rPr>
          <w:b/>
          <w:i w:val="0"/>
        </w:rPr>
        <w:t>ex nihilo.</w:t>
      </w:r>
      <w:r>
        <w:rPr>
          <w:b w:val="0"/>
          <w:i w:val="0"/>
        </w:rPr>
        <w:t xml:space="preserve"> </w:t>
      </w:r>
      <w:hyperlink w:anchor="latin-record-0610">
        <w:r>
          <w:rPr>
            <w:color w:val="000000"/>
          </w:rPr>
          <w:t xml:space="preserve">in nihilum</w:t>
        </w:r>
      </w:hyperlink>
      <w:r>
        <w:rPr>
          <w:b w:val="0"/>
          <w:i w:val="0"/>
        </w:rPr>
        <w:t>.</w:t>
      </w:r>
    </w:p>
    <w:p>
      <w:pPr>
        <w:widowControl/>
      </w:pPr>
      <w:r>
        <w:rPr>
          <w:b/>
          <w:i w:val="0"/>
        </w:rPr>
        <w:t>ex nihilo processit in lucem.</w:t>
      </w:r>
      <w:r>
        <w:rPr>
          <w:b w:val="0"/>
          <w:i w:val="0"/>
        </w:rPr>
        <w:t xml:space="preserve"> </w:t>
      </w:r>
      <w:hyperlink w:anchor="latin-record-0450">
        <w:r>
          <w:rPr>
            <w:color w:val="000000"/>
          </w:rPr>
          <w:t xml:space="preserve">ex nihilo in lucem</w:t>
        </w:r>
      </w:hyperlink>
      <w:r>
        <w:rPr>
          <w:b w:val="0"/>
          <w:i w:val="0"/>
        </w:rPr>
        <w:t>.</w:t>
      </w:r>
    </w:p>
    <w:p>
      <w:pPr>
        <w:widowControl/>
      </w:pPr>
      <w:r>
        <w:rPr>
          <w:b/>
          <w:i w:val="0"/>
        </w:rPr>
        <w:t>ex otio in actum.</w:t>
      </w:r>
      <w:r>
        <w:rPr>
          <w:b w:val="0"/>
          <w:i w:val="0"/>
        </w:rPr>
        <w:t xml:space="preserve"> </w:t>
      </w:r>
      <w:hyperlink w:anchor="latin-record-0451">
        <w:r>
          <w:rPr>
            <w:color w:val="000000"/>
          </w:rPr>
          <w:t xml:space="preserve">ex otio in actum</w:t>
        </w:r>
      </w:hyperlink>
      <w:r>
        <w:rPr>
          <w:b w:val="0"/>
          <w:i w:val="0"/>
        </w:rPr>
        <w:t>.</w:t>
      </w:r>
    </w:p>
    <w:p>
      <w:pPr>
        <w:widowControl/>
      </w:pPr>
      <w:r>
        <w:rPr>
          <w:b/>
          <w:i w:val="0"/>
        </w:rPr>
        <w:t>ex se.</w:t>
      </w:r>
      <w:r>
        <w:rPr>
          <w:b w:val="0"/>
          <w:i w:val="0"/>
        </w:rPr>
        <w:t xml:space="preserve"> </w:t>
      </w:r>
      <w:hyperlink w:anchor="latin-record-0452">
        <w:r>
          <w:rPr>
            <w:color w:val="000000"/>
          </w:rPr>
          <w:t xml:space="preserve">ex se / in se / per se</w:t>
        </w:r>
      </w:hyperlink>
      <w:r>
        <w:rPr>
          <w:b w:val="0"/>
          <w:i w:val="0"/>
        </w:rPr>
        <w:t>.</w:t>
      </w:r>
    </w:p>
    <w:p>
      <w:pPr>
        <w:widowControl/>
      </w:pPr>
      <w:r>
        <w:rPr>
          <w:b/>
          <w:i w:val="0"/>
        </w:rPr>
        <w:t>ex se ipsa possidet vitam.</w:t>
      </w:r>
      <w:r>
        <w:rPr>
          <w:b w:val="0"/>
          <w:i w:val="0"/>
        </w:rPr>
        <w:t xml:space="preserve"> </w:t>
      </w:r>
      <w:hyperlink w:anchor="latin-record-0036">
        <w:r>
          <w:rPr>
            <w:color w:val="000000"/>
          </w:rPr>
          <w:t xml:space="preserve">adventitius</w:t>
        </w:r>
      </w:hyperlink>
      <w:r>
        <w:rPr>
          <w:b w:val="0"/>
          <w:i w:val="0"/>
        </w:rPr>
        <w:t>.</w:t>
      </w:r>
    </w:p>
    <w:p>
      <w:pPr>
        <w:widowControl/>
      </w:pPr>
      <w:r>
        <w:rPr>
          <w:b/>
          <w:i w:val="0"/>
        </w:rPr>
        <w:t>excedit.</w:t>
      </w:r>
      <w:r>
        <w:rPr>
          <w:b w:val="0"/>
          <w:i w:val="0"/>
        </w:rPr>
        <w:t xml:space="preserve"> </w:t>
      </w:r>
      <w:hyperlink w:anchor="latin-record-1261">
        <w:r>
          <w:rPr>
            <w:color w:val="000000"/>
          </w:rPr>
          <w:t xml:space="preserve">superare / excedere / excellere</w:t>
        </w:r>
      </w:hyperlink>
      <w:r>
        <w:rPr>
          <w:b w:val="0"/>
          <w:i w:val="0"/>
        </w:rPr>
        <w:t>.</w:t>
      </w:r>
    </w:p>
    <w:p>
      <w:pPr>
        <w:widowControl/>
      </w:pPr>
      <w:r>
        <w:rPr>
          <w:b/>
          <w:i w:val="0"/>
        </w:rPr>
        <w:t>excellat.</w:t>
      </w:r>
      <w:r>
        <w:rPr>
          <w:b w:val="0"/>
          <w:i w:val="0"/>
        </w:rPr>
        <w:t xml:space="preserve"> </w:t>
      </w:r>
      <w:hyperlink w:anchor="latin-record-1261">
        <w:r>
          <w:rPr>
            <w:color w:val="000000"/>
          </w:rPr>
          <w:t xml:space="preserve">superare / excedere / excellere</w:t>
        </w:r>
      </w:hyperlink>
      <w:r>
        <w:rPr>
          <w:b w:val="0"/>
          <w:i w:val="0"/>
        </w:rPr>
        <w:t>.</w:t>
      </w:r>
    </w:p>
    <w:p>
      <w:pPr>
        <w:widowControl/>
      </w:pPr>
      <w:r>
        <w:rPr>
          <w:b/>
          <w:i w:val="0"/>
        </w:rPr>
        <w:t>excellentiore.</w:t>
      </w:r>
      <w:r>
        <w:rPr>
          <w:b w:val="0"/>
          <w:i w:val="0"/>
        </w:rPr>
        <w:t xml:space="preserve"> </w:t>
      </w:r>
      <w:hyperlink w:anchor="latin-record-0982">
        <w:r>
          <w:rPr>
            <w:color w:val="000000"/>
          </w:rPr>
          <w:t xml:space="preserve">praestans; excellens; nobilis</w:t>
        </w:r>
      </w:hyperlink>
      <w:r>
        <w:rPr>
          <w:b w:val="0"/>
          <w:i w:val="0"/>
        </w:rPr>
        <w:t>.</w:t>
      </w:r>
    </w:p>
    <w:p>
      <w:pPr>
        <w:widowControl/>
      </w:pPr>
      <w:r>
        <w:rPr>
          <w:b/>
          <w:i w:val="0"/>
        </w:rPr>
        <w:t>excellentius.</w:t>
      </w:r>
      <w:r>
        <w:rPr>
          <w:b w:val="0"/>
          <w:i w:val="0"/>
        </w:rPr>
        <w:t xml:space="preserve"> </w:t>
      </w:r>
      <w:hyperlink w:anchor="latin-record-0982">
        <w:r>
          <w:rPr>
            <w:color w:val="000000"/>
          </w:rPr>
          <w:t xml:space="preserve">praestans; excellens; nobilis</w:t>
        </w:r>
      </w:hyperlink>
      <w:r>
        <w:rPr>
          <w:b w:val="0"/>
          <w:i w:val="0"/>
        </w:rPr>
        <w:t>.</w:t>
      </w:r>
    </w:p>
    <w:p>
      <w:pPr>
        <w:widowControl/>
      </w:pPr>
      <w:r>
        <w:rPr>
          <w:b/>
          <w:i w:val="0"/>
        </w:rPr>
        <w:t>excellit.</w:t>
      </w:r>
      <w:r>
        <w:rPr>
          <w:b w:val="0"/>
          <w:i w:val="0"/>
        </w:rPr>
        <w:t xml:space="preserve"> </w:t>
      </w:r>
      <w:hyperlink w:anchor="latin-record-1261">
        <w:r>
          <w:rPr>
            <w:color w:val="000000"/>
          </w:rPr>
          <w:t xml:space="preserve">superare / excedere / excellere</w:t>
        </w:r>
      </w:hyperlink>
      <w:r>
        <w:rPr>
          <w:b w:val="0"/>
          <w:i w:val="0"/>
        </w:rPr>
        <w:t>.</w:t>
      </w:r>
    </w:p>
    <w:p>
      <w:pPr>
        <w:widowControl/>
      </w:pPr>
      <w:r>
        <w:rPr>
          <w:b/>
          <w:i w:val="0"/>
        </w:rPr>
        <w:t>excessum.</w:t>
      </w:r>
      <w:r>
        <w:rPr>
          <w:b w:val="0"/>
          <w:i w:val="0"/>
        </w:rPr>
        <w:t xml:space="preserve"> </w:t>
      </w:r>
      <w:hyperlink w:anchor="latin-record-0453">
        <w:r>
          <w:rPr>
            <w:color w:val="000000"/>
          </w:rPr>
          <w:t xml:space="preserve">excessus / extraneus / dissociare</w:t>
        </w:r>
      </w:hyperlink>
      <w:r>
        <w:rPr>
          <w:b w:val="0"/>
          <w:i w:val="0"/>
        </w:rPr>
        <w:t>.</w:t>
      </w:r>
    </w:p>
    <w:p>
      <w:pPr>
        <w:widowControl/>
      </w:pPr>
      <w:r>
        <w:rPr>
          <w:b/>
          <w:i w:val="0"/>
        </w:rPr>
        <w:t>excitata.</w:t>
      </w:r>
      <w:r>
        <w:rPr>
          <w:b w:val="0"/>
          <w:i w:val="0"/>
        </w:rPr>
        <w:t xml:space="preserve"> </w:t>
      </w:r>
      <w:hyperlink w:anchor="latin-record-0454">
        <w:r>
          <w:rPr>
            <w:color w:val="000000"/>
          </w:rPr>
          <w:t xml:space="preserve">excitare / promere / adita</w:t>
        </w:r>
      </w:hyperlink>
      <w:r>
        <w:rPr>
          <w:b w:val="0"/>
          <w:i w:val="0"/>
        </w:rPr>
        <w:t>.</w:t>
      </w:r>
    </w:p>
    <w:p>
      <w:pPr>
        <w:widowControl/>
      </w:pPr>
      <w:r>
        <w:rPr>
          <w:b/>
          <w:i w:val="0"/>
        </w:rPr>
        <w:t>excitatum.</w:t>
      </w:r>
      <w:r>
        <w:rPr>
          <w:b w:val="0"/>
          <w:i w:val="0"/>
        </w:rPr>
        <w:t xml:space="preserve"> </w:t>
      </w:r>
      <w:hyperlink w:anchor="latin-record-0455">
        <w:r>
          <w:rPr>
            <w:color w:val="000000"/>
          </w:rPr>
          <w:t xml:space="preserve">excitatum iudicium</w:t>
        </w:r>
      </w:hyperlink>
      <w:r>
        <w:rPr>
          <w:b w:val="0"/>
          <w:i w:val="0"/>
        </w:rPr>
        <w:t>.</w:t>
      </w:r>
    </w:p>
    <w:p>
      <w:pPr>
        <w:widowControl/>
      </w:pPr>
      <w:r>
        <w:rPr>
          <w:b/>
          <w:i w:val="0"/>
        </w:rPr>
        <w:t>excogitare.</w:t>
      </w:r>
      <w:r>
        <w:rPr>
          <w:b w:val="0"/>
          <w:i w:val="0"/>
        </w:rPr>
        <w:t xml:space="preserve"> </w:t>
      </w:r>
      <w:hyperlink w:anchor="latin-record-1021">
        <w:r>
          <w:rPr>
            <w:color w:val="000000"/>
          </w:rPr>
          <w:t xml:space="preserve">prospicere / intueri / excogitare</w:t>
        </w:r>
      </w:hyperlink>
      <w:r>
        <w:rPr>
          <w:b w:val="0"/>
          <w:i w:val="0"/>
        </w:rPr>
        <w:t>.</w:t>
      </w:r>
    </w:p>
    <w:p>
      <w:pPr>
        <w:widowControl/>
      </w:pPr>
      <w:r>
        <w:rPr>
          <w:b/>
          <w:i w:val="0"/>
        </w:rPr>
        <w:t>excogitaret.</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excogitat.</w:t>
      </w:r>
      <w:r>
        <w:rPr>
          <w:b w:val="0"/>
          <w:i w:val="0"/>
        </w:rPr>
        <w:t xml:space="preserve"> </w:t>
      </w:r>
      <w:hyperlink w:anchor="latin-record-0276">
        <w:r>
          <w:rPr>
            <w:color w:val="000000"/>
          </w:rPr>
          <w:t xml:space="preserve">concipere / excogitare</w:t>
        </w:r>
      </w:hyperlink>
      <w:r>
        <w:rPr>
          <w:b w:val="0"/>
          <w:i w:val="0"/>
        </w:rPr>
        <w:t xml:space="preserve">; </w:t>
      </w:r>
      <w:hyperlink w:anchor="latin-record-0963">
        <w:r>
          <w:rPr>
            <w:color w:val="000000"/>
          </w:rPr>
          <w:t xml:space="preserve">posse / fingere / excogitare</w:t>
        </w:r>
      </w:hyperlink>
      <w:r>
        <w:rPr>
          <w:b w:val="0"/>
          <w:i w:val="0"/>
        </w:rPr>
        <w:t>.</w:t>
      </w:r>
    </w:p>
    <w:p>
      <w:pPr>
        <w:widowControl/>
      </w:pPr>
      <w:r>
        <w:rPr>
          <w:b/>
          <w:i w:val="0"/>
        </w:rPr>
        <w:t>excogitata.</w:t>
      </w:r>
      <w:r>
        <w:rPr>
          <w:b w:val="0"/>
          <w:i w:val="0"/>
        </w:rPr>
        <w:t xml:space="preserve"> </w:t>
      </w:r>
      <w:hyperlink w:anchor="latin-record-0276">
        <w:r>
          <w:rPr>
            <w:color w:val="000000"/>
          </w:rPr>
          <w:t xml:space="preserve">concipere / excogitare</w:t>
        </w:r>
      </w:hyperlink>
      <w:r>
        <w:rPr>
          <w:b w:val="0"/>
          <w:i w:val="0"/>
        </w:rPr>
        <w:t>.</w:t>
      </w:r>
    </w:p>
    <w:p>
      <w:pPr>
        <w:widowControl/>
      </w:pPr>
      <w:r>
        <w:rPr>
          <w:b/>
          <w:i w:val="0"/>
        </w:rPr>
        <w:t>excogitato.</w:t>
      </w:r>
      <w:r>
        <w:rPr>
          <w:b w:val="0"/>
          <w:i w:val="0"/>
        </w:rPr>
        <w:t xml:space="preserve"> </w:t>
      </w:r>
      <w:hyperlink w:anchor="latin-record-1021">
        <w:r>
          <w:rPr>
            <w:color w:val="000000"/>
          </w:rPr>
          <w:t xml:space="preserve">prospicere / intueri / excogitare</w:t>
        </w:r>
      </w:hyperlink>
      <w:r>
        <w:rPr>
          <w:b w:val="0"/>
          <w:i w:val="0"/>
        </w:rPr>
        <w:t>.</w:t>
      </w:r>
    </w:p>
    <w:p>
      <w:pPr>
        <w:widowControl/>
      </w:pPr>
      <w:r>
        <w:rPr>
          <w:b/>
          <w:i w:val="0"/>
        </w:rPr>
        <w:t>excursio.</w:t>
      </w:r>
      <w:r>
        <w:rPr>
          <w:b w:val="0"/>
          <w:i w:val="0"/>
        </w:rPr>
        <w:t xml:space="preserve"> </w:t>
      </w:r>
      <w:hyperlink w:anchor="latin-record-0456">
        <w:r>
          <w:rPr>
            <w:color w:val="000000"/>
          </w:rPr>
          <w:t xml:space="preserve">excursio; praeludium</w:t>
        </w:r>
      </w:hyperlink>
      <w:r>
        <w:rPr>
          <w:b w:val="0"/>
          <w:i w:val="0"/>
        </w:rPr>
        <w:t>.</w:t>
      </w:r>
    </w:p>
    <w:p>
      <w:pPr>
        <w:widowControl/>
      </w:pPr>
      <w:r>
        <w:rPr>
          <w:b/>
          <w:i w:val="0"/>
        </w:rPr>
        <w:t>exemplar.</w:t>
      </w:r>
      <w:r>
        <w:rPr>
          <w:b w:val="0"/>
          <w:i w:val="0"/>
        </w:rPr>
        <w:t xml:space="preserve"> </w:t>
      </w:r>
      <w:hyperlink w:anchor="latin-record-0457">
        <w:r>
          <w:rPr>
            <w:color w:val="000000"/>
          </w:rPr>
          <w:t xml:space="preserve">exemplar</w:t>
        </w:r>
      </w:hyperlink>
      <w:r>
        <w:rPr>
          <w:b w:val="0"/>
          <w:i w:val="0"/>
        </w:rPr>
        <w:t xml:space="preserve">; </w:t>
      </w:r>
      <w:hyperlink w:anchor="latin-record-0458">
        <w:r>
          <w:rPr>
            <w:color w:val="000000"/>
          </w:rPr>
          <w:t xml:space="preserve">exemplar / fabricare</w:t>
        </w:r>
      </w:hyperlink>
      <w:r>
        <w:rPr>
          <w:b w:val="0"/>
          <w:i w:val="0"/>
        </w:rPr>
        <w:t>.</w:t>
      </w:r>
    </w:p>
    <w:p>
      <w:pPr>
        <w:widowControl/>
      </w:pPr>
      <w:r>
        <w:rPr>
          <w:b/>
          <w:i w:val="0"/>
        </w:rPr>
        <w:t>exemplares.</w:t>
      </w:r>
      <w:r>
        <w:rPr>
          <w:b w:val="0"/>
          <w:i w:val="0"/>
        </w:rPr>
        <w:t xml:space="preserve"> </w:t>
      </w:r>
      <w:hyperlink w:anchor="latin-record-0457">
        <w:r>
          <w:rPr>
            <w:color w:val="000000"/>
          </w:rPr>
          <w:t xml:space="preserve">exemplar</w:t>
        </w:r>
      </w:hyperlink>
      <w:r>
        <w:rPr>
          <w:b w:val="0"/>
          <w:i w:val="0"/>
        </w:rPr>
        <w:t>.</w:t>
      </w:r>
    </w:p>
    <w:p>
      <w:pPr>
        <w:widowControl/>
      </w:pPr>
      <w:r>
        <w:rPr>
          <w:b/>
          <w:i w:val="0"/>
        </w:rPr>
        <w:t>exemplaria.</w:t>
      </w:r>
      <w:r>
        <w:rPr>
          <w:b w:val="0"/>
          <w:i w:val="0"/>
        </w:rPr>
        <w:t xml:space="preserve"> </w:t>
      </w:r>
      <w:hyperlink w:anchor="latin-record-0457">
        <w:r>
          <w:rPr>
            <w:color w:val="000000"/>
          </w:rPr>
          <w:t xml:space="preserve">exemplar</w:t>
        </w:r>
      </w:hyperlink>
      <w:r>
        <w:rPr>
          <w:b w:val="0"/>
          <w:i w:val="0"/>
        </w:rPr>
        <w:t xml:space="preserve">; </w:t>
      </w:r>
      <w:hyperlink w:anchor="latin-record-0458">
        <w:r>
          <w:rPr>
            <w:color w:val="000000"/>
          </w:rPr>
          <w:t xml:space="preserve">exemplar / fabricare</w:t>
        </w:r>
      </w:hyperlink>
      <w:r>
        <w:rPr>
          <w:b w:val="0"/>
          <w:i w:val="0"/>
        </w:rPr>
        <w:t>.</w:t>
      </w:r>
    </w:p>
    <w:p>
      <w:pPr>
        <w:widowControl/>
      </w:pPr>
      <w:r>
        <w:rPr>
          <w:b/>
          <w:i w:val="0"/>
        </w:rPr>
        <w:t>eximit.</w:t>
      </w:r>
      <w:r>
        <w:rPr>
          <w:b w:val="0"/>
          <w:i w:val="0"/>
        </w:rPr>
        <w:t xml:space="preserve"> </w:t>
      </w:r>
      <w:hyperlink w:anchor="latin-record-0459">
        <w:r>
          <w:rPr>
            <w:color w:val="000000"/>
          </w:rPr>
          <w:t xml:space="preserve">eximere / liberare</w:t>
        </w:r>
      </w:hyperlink>
      <w:r>
        <w:rPr>
          <w:b w:val="0"/>
          <w:i w:val="0"/>
        </w:rPr>
        <w:t>.</w:t>
      </w:r>
    </w:p>
    <w:p>
      <w:pPr>
        <w:widowControl/>
      </w:pPr>
      <w:r>
        <w:rPr>
          <w:b/>
          <w:i w:val="0"/>
        </w:rPr>
        <w:t>existentiae.</w:t>
      </w:r>
      <w:r>
        <w:rPr>
          <w:b w:val="0"/>
          <w:i w:val="0"/>
        </w:rPr>
        <w:t xml:space="preserve"> </w:t>
      </w:r>
      <w:hyperlink w:anchor="latin-record-0460">
        <w:r>
          <w:rPr>
            <w:color w:val="000000"/>
          </w:rPr>
          <w:t xml:space="preserve">existentia</w:t>
        </w:r>
      </w:hyperlink>
      <w:r>
        <w:rPr>
          <w:b w:val="0"/>
          <w:i w:val="0"/>
        </w:rPr>
        <w:t>.</w:t>
      </w:r>
    </w:p>
    <w:p>
      <w:pPr>
        <w:widowControl/>
      </w:pPr>
      <w:r>
        <w:rPr>
          <w:b/>
          <w:i w:val="0"/>
        </w:rPr>
        <w:t>existentiam.</w:t>
      </w:r>
      <w:r>
        <w:rPr>
          <w:b w:val="0"/>
          <w:i w:val="0"/>
        </w:rPr>
        <w:t xml:space="preserve"> </w:t>
      </w:r>
      <w:hyperlink w:anchor="latin-record-0460">
        <w:r>
          <w:rPr>
            <w:color w:val="000000"/>
          </w:rPr>
          <w:t xml:space="preserve">existentia</w:t>
        </w:r>
      </w:hyperlink>
      <w:r>
        <w:rPr>
          <w:b w:val="0"/>
          <w:i w:val="0"/>
        </w:rPr>
        <w:t>.</w:t>
      </w:r>
    </w:p>
    <w:p>
      <w:pPr>
        <w:widowControl/>
      </w:pPr>
      <w:r>
        <w:rPr>
          <w:b/>
          <w:i w:val="0"/>
        </w:rPr>
        <w:t>existere.</w:t>
      </w:r>
      <w:r>
        <w:rPr>
          <w:b w:val="0"/>
          <w:i w:val="0"/>
        </w:rPr>
        <w:t xml:space="preserve"> </w:t>
      </w:r>
      <w:hyperlink w:anchor="latin-record-0443">
        <w:r>
          <w:rPr>
            <w:color w:val="000000"/>
          </w:rPr>
          <w:t xml:space="preserve">esse; existere</w:t>
        </w:r>
      </w:hyperlink>
      <w:r>
        <w:rPr>
          <w:b w:val="0"/>
          <w:i w:val="0"/>
        </w:rPr>
        <w:t>.</w:t>
      </w:r>
    </w:p>
    <w:p>
      <w:pPr>
        <w:widowControl/>
      </w:pPr>
      <w:r>
        <w:rPr>
          <w:b/>
          <w:i w:val="0"/>
        </w:rPr>
        <w:t>existimabit.</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existimabunt.</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existimant.</w:t>
      </w:r>
      <w:r>
        <w:rPr>
          <w:b w:val="0"/>
          <w:i w:val="0"/>
        </w:rPr>
        <w:t xml:space="preserve"> </w:t>
      </w:r>
      <w:hyperlink w:anchor="latin-record-0108">
        <w:r>
          <w:rPr>
            <w:color w:val="000000"/>
          </w:rPr>
          <w:t xml:space="preserve">apparere / videri / placere</w:t>
        </w:r>
      </w:hyperlink>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existimet.</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existimo.</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existit.</w:t>
      </w:r>
      <w:r>
        <w:rPr>
          <w:b w:val="0"/>
          <w:i w:val="0"/>
        </w:rPr>
        <w:t xml:space="preserve"> </w:t>
      </w:r>
      <w:hyperlink w:anchor="latin-record-0443">
        <w:r>
          <w:rPr>
            <w:color w:val="000000"/>
          </w:rPr>
          <w:t xml:space="preserve">esse; existere</w:t>
        </w:r>
      </w:hyperlink>
      <w:r>
        <w:rPr>
          <w:b w:val="0"/>
          <w:i w:val="0"/>
        </w:rPr>
        <w:t>.</w:t>
      </w:r>
    </w:p>
    <w:p>
      <w:pPr>
        <w:widowControl/>
      </w:pPr>
      <w:r>
        <w:rPr>
          <w:b/>
          <w:i w:val="0"/>
        </w:rPr>
        <w:t>expectationemque.</w:t>
      </w:r>
      <w:r>
        <w:rPr>
          <w:b w:val="0"/>
          <w:i w:val="0"/>
        </w:rPr>
        <w:t xml:space="preserve"> </w:t>
      </w:r>
      <w:hyperlink w:anchor="latin-record-0774">
        <w:r>
          <w:rPr>
            <w:color w:val="000000"/>
          </w:rPr>
          <w:t xml:space="preserve">memoria / expectatio</w:t>
        </w:r>
      </w:hyperlink>
      <w:r>
        <w:rPr>
          <w:b w:val="0"/>
          <w:i w:val="0"/>
        </w:rPr>
        <w:t>.</w:t>
      </w:r>
    </w:p>
    <w:p>
      <w:pPr>
        <w:widowControl/>
      </w:pPr>
      <w:r>
        <w:rPr>
          <w:b/>
          <w:i w:val="0"/>
        </w:rPr>
        <w:t>expellere.</w:t>
      </w:r>
      <w:r>
        <w:rPr>
          <w:b w:val="0"/>
          <w:i w:val="0"/>
        </w:rPr>
        <w:t xml:space="preserve"> </w:t>
      </w:r>
      <w:hyperlink w:anchor="latin-record-0461">
        <w:r>
          <w:rPr>
            <w:color w:val="000000"/>
          </w:rPr>
          <w:t xml:space="preserve">expellere / depellere</w:t>
        </w:r>
      </w:hyperlink>
      <w:r>
        <w:rPr>
          <w:b w:val="0"/>
          <w:i w:val="0"/>
        </w:rPr>
        <w:t>.</w:t>
      </w:r>
    </w:p>
    <w:p>
      <w:pPr>
        <w:widowControl/>
      </w:pPr>
      <w:r>
        <w:rPr>
          <w:b/>
          <w:i w:val="0"/>
        </w:rPr>
        <w:t>expergefacto.</w:t>
      </w:r>
      <w:r>
        <w:rPr>
          <w:b w:val="0"/>
          <w:i w:val="0"/>
        </w:rPr>
        <w:t xml:space="preserve"> </w:t>
      </w:r>
      <w:hyperlink w:anchor="latin-record-0413">
        <w:r>
          <w:rPr>
            <w:color w:val="000000"/>
          </w:rPr>
          <w:t xml:space="preserve">dormire / vigilare / expergefieri</w:t>
        </w:r>
      </w:hyperlink>
      <w:r>
        <w:rPr>
          <w:b w:val="0"/>
          <w:i w:val="0"/>
        </w:rPr>
        <w:t>.</w:t>
      </w:r>
    </w:p>
    <w:p>
      <w:pPr>
        <w:widowControl/>
      </w:pPr>
      <w:r>
        <w:rPr>
          <w:b/>
          <w:i w:val="0"/>
        </w:rPr>
        <w:t>expergiscatur.</w:t>
      </w:r>
      <w:r>
        <w:rPr>
          <w:b w:val="0"/>
          <w:i w:val="0"/>
        </w:rPr>
        <w:t xml:space="preserve"> </w:t>
      </w:r>
      <w:hyperlink w:anchor="latin-record-0462">
        <w:r>
          <w:rPr>
            <w:color w:val="000000"/>
          </w:rPr>
          <w:t xml:space="preserve">expergisci</w:t>
        </w:r>
      </w:hyperlink>
      <w:r>
        <w:rPr>
          <w:b w:val="0"/>
          <w:i w:val="0"/>
        </w:rPr>
        <w:t>.</w:t>
      </w:r>
    </w:p>
    <w:p>
      <w:pPr>
        <w:widowControl/>
      </w:pPr>
      <w:r>
        <w:rPr>
          <w:b/>
          <w:i w:val="0"/>
        </w:rPr>
        <w:t>Experiantur.</w:t>
      </w:r>
      <w:r>
        <w:rPr>
          <w:b w:val="0"/>
          <w:i w:val="0"/>
        </w:rPr>
        <w:t xml:space="preserve"> </w:t>
      </w:r>
      <w:hyperlink w:anchor="latin-record-0463">
        <w:r>
          <w:rPr>
            <w:color w:val="000000"/>
          </w:rPr>
          <w:t xml:space="preserve">experiri; experientia</w:t>
        </w:r>
      </w:hyperlink>
      <w:r>
        <w:rPr>
          <w:b w:val="0"/>
          <w:i w:val="0"/>
        </w:rPr>
        <w:t>.</w:t>
      </w:r>
    </w:p>
    <w:p>
      <w:pPr>
        <w:widowControl/>
      </w:pPr>
      <w:r>
        <w:rPr>
          <w:b/>
          <w:i w:val="0"/>
        </w:rPr>
        <w:t>experientia.</w:t>
      </w:r>
      <w:r>
        <w:rPr>
          <w:b w:val="0"/>
          <w:i w:val="0"/>
        </w:rPr>
        <w:t xml:space="preserve"> </w:t>
      </w:r>
      <w:hyperlink w:anchor="latin-record-0463">
        <w:r>
          <w:rPr>
            <w:color w:val="000000"/>
          </w:rPr>
          <w:t xml:space="preserve">experiri; experientia</w:t>
        </w:r>
      </w:hyperlink>
      <w:r>
        <w:rPr>
          <w:b w:val="0"/>
          <w:i w:val="0"/>
        </w:rPr>
        <w:t>.</w:t>
      </w:r>
    </w:p>
    <w:p>
      <w:pPr>
        <w:widowControl/>
      </w:pPr>
      <w:r>
        <w:rPr>
          <w:b/>
          <w:i w:val="0"/>
        </w:rPr>
        <w:t>expers.</w:t>
      </w:r>
      <w:r>
        <w:rPr>
          <w:b w:val="0"/>
          <w:i w:val="0"/>
        </w:rPr>
        <w:t xml:space="preserve"> </w:t>
      </w:r>
      <w:hyperlink w:anchor="latin-record-0464">
        <w:r>
          <w:rPr>
            <w:color w:val="000000"/>
          </w:rPr>
          <w:t xml:space="preserve">expers</w:t>
        </w:r>
      </w:hyperlink>
      <w:r>
        <w:rPr>
          <w:b w:val="0"/>
          <w:i w:val="0"/>
        </w:rPr>
        <w:t>.</w:t>
      </w:r>
    </w:p>
    <w:p>
      <w:pPr>
        <w:widowControl/>
      </w:pPr>
      <w:r>
        <w:rPr>
          <w:b/>
          <w:i w:val="0"/>
        </w:rPr>
        <w:t>expertem.</w:t>
      </w:r>
      <w:r>
        <w:rPr>
          <w:b w:val="0"/>
          <w:i w:val="0"/>
        </w:rPr>
        <w:t xml:space="preserve"> </w:t>
      </w:r>
      <w:hyperlink w:anchor="latin-record-0464">
        <w:r>
          <w:rPr>
            <w:color w:val="000000"/>
          </w:rPr>
          <w:t xml:space="preserve">expers</w:t>
        </w:r>
      </w:hyperlink>
      <w:r>
        <w:rPr>
          <w:b w:val="0"/>
          <w:i w:val="0"/>
        </w:rPr>
        <w:t>.</w:t>
      </w:r>
    </w:p>
    <w:p>
      <w:pPr>
        <w:widowControl/>
      </w:pPr>
      <w:r>
        <w:rPr>
          <w:b/>
          <w:i w:val="0"/>
        </w:rPr>
        <w:t>explicatas.</w:t>
      </w:r>
      <w:r>
        <w:rPr>
          <w:b w:val="0"/>
          <w:i w:val="0"/>
        </w:rPr>
        <w:t xml:space="preserve"> </w:t>
      </w:r>
      <w:hyperlink w:anchor="latin-record-0606">
        <w:r>
          <w:rPr>
            <w:color w:val="000000"/>
          </w:rPr>
          <w:t xml:space="preserve">implicare; explicare</w:t>
        </w:r>
      </w:hyperlink>
      <w:r>
        <w:rPr>
          <w:b w:val="0"/>
          <w:i w:val="0"/>
        </w:rPr>
        <w:t>.</w:t>
      </w:r>
    </w:p>
    <w:p>
      <w:pPr>
        <w:widowControl/>
      </w:pPr>
      <w:r>
        <w:rPr>
          <w:b/>
          <w:i w:val="0"/>
        </w:rPr>
        <w:t>explicatur.</w:t>
      </w:r>
      <w:r>
        <w:rPr>
          <w:b w:val="0"/>
          <w:i w:val="0"/>
        </w:rPr>
        <w:t xml:space="preserve"> </w:t>
      </w:r>
      <w:hyperlink w:anchor="latin-record-0606">
        <w:r>
          <w:rPr>
            <w:color w:val="000000"/>
          </w:rPr>
          <w:t xml:space="preserve">implicare; explicare</w:t>
        </w:r>
      </w:hyperlink>
      <w:r>
        <w:rPr>
          <w:b w:val="0"/>
          <w:i w:val="0"/>
        </w:rPr>
        <w:t>.</w:t>
      </w:r>
    </w:p>
    <w:p>
      <w:pPr>
        <w:widowControl/>
      </w:pPr>
      <w:r>
        <w:rPr>
          <w:b/>
          <w:i w:val="0"/>
        </w:rPr>
        <w:t>exposuerimus.</w:t>
      </w:r>
      <w:r>
        <w:rPr>
          <w:b w:val="0"/>
          <w:i w:val="0"/>
        </w:rPr>
        <w:t xml:space="preserve"> </w:t>
      </w:r>
      <w:hyperlink w:anchor="latin-record-0062">
        <w:r>
          <w:rPr>
            <w:color w:val="000000"/>
          </w:rPr>
          <w:t xml:space="preserve">aggredi / exponere / ostendere</w:t>
        </w:r>
      </w:hyperlink>
      <w:r>
        <w:rPr>
          <w:b w:val="0"/>
          <w:i w:val="0"/>
        </w:rPr>
        <w:t>.</w:t>
      </w:r>
    </w:p>
    <w:p>
      <w:pPr>
        <w:widowControl/>
      </w:pPr>
      <w:r>
        <w:rPr>
          <w:b/>
          <w:i w:val="0"/>
        </w:rPr>
        <w:t>expulsa.</w:t>
      </w:r>
      <w:r>
        <w:rPr>
          <w:b w:val="0"/>
          <w:i w:val="0"/>
        </w:rPr>
        <w:t xml:space="preserve"> </w:t>
      </w:r>
      <w:hyperlink w:anchor="latin-record-0461">
        <w:r>
          <w:rPr>
            <w:color w:val="000000"/>
          </w:rPr>
          <w:t xml:space="preserve">expellere / depellere</w:t>
        </w:r>
      </w:hyperlink>
      <w:r>
        <w:rPr>
          <w:b w:val="0"/>
          <w:i w:val="0"/>
        </w:rPr>
        <w:t>.</w:t>
      </w:r>
    </w:p>
    <w:p>
      <w:pPr>
        <w:widowControl/>
      </w:pPr>
      <w:r>
        <w:rPr>
          <w:b/>
          <w:i w:val="0"/>
        </w:rPr>
        <w:t>exsistit.</w:t>
      </w:r>
      <w:r>
        <w:rPr>
          <w:b w:val="0"/>
          <w:i w:val="0"/>
        </w:rPr>
        <w:t xml:space="preserve"> </w:t>
      </w:r>
      <w:hyperlink w:anchor="latin-record-0921">
        <w:r>
          <w:rPr>
            <w:color w:val="000000"/>
          </w:rPr>
          <w:t xml:space="preserve">per se exsistere / operari</w:t>
        </w:r>
      </w:hyperlink>
      <w:r>
        <w:rPr>
          <w:b w:val="0"/>
          <w:i w:val="0"/>
        </w:rPr>
        <w:t>.</w:t>
      </w:r>
    </w:p>
    <w:p>
      <w:pPr>
        <w:widowControl/>
      </w:pPr>
      <w:r>
        <w:rPr>
          <w:b/>
          <w:i w:val="0"/>
        </w:rPr>
        <w:t>exstat.</w:t>
      </w:r>
      <w:r>
        <w:rPr>
          <w:b w:val="0"/>
          <w:i w:val="0"/>
        </w:rPr>
        <w:t xml:space="preserve"> </w:t>
      </w:r>
      <w:hyperlink w:anchor="latin-record-0313">
        <w:r>
          <w:rPr>
            <w:color w:val="000000"/>
          </w:rPr>
          <w:t xml:space="preserve">constare / exstare</w:t>
        </w:r>
      </w:hyperlink>
      <w:r>
        <w:rPr>
          <w:b w:val="0"/>
          <w:i w:val="0"/>
        </w:rPr>
        <w:t>.</w:t>
      </w:r>
    </w:p>
    <w:p>
      <w:pPr>
        <w:widowControl/>
      </w:pPr>
      <w:r>
        <w:rPr>
          <w:b/>
          <w:i w:val="0"/>
        </w:rPr>
        <w:t>exsultat.</w:t>
      </w:r>
      <w:r>
        <w:rPr>
          <w:b w:val="0"/>
          <w:i w:val="0"/>
        </w:rPr>
        <w:t xml:space="preserve"> </w:t>
      </w:r>
      <w:hyperlink w:anchor="latin-record-0465">
        <w:r>
          <w:rPr>
            <w:color w:val="000000"/>
          </w:rPr>
          <w:t xml:space="preserve">exsultare / illuminare / adolescere</w:t>
        </w:r>
      </w:hyperlink>
      <w:r>
        <w:rPr>
          <w:b w:val="0"/>
          <w:i w:val="0"/>
        </w:rPr>
        <w:t>.</w:t>
      </w:r>
    </w:p>
    <w:p>
      <w:pPr>
        <w:widowControl/>
      </w:pPr>
      <w:r>
        <w:rPr>
          <w:b/>
          <w:i w:val="0"/>
        </w:rPr>
        <w:t>Extensio.</w:t>
      </w:r>
      <w:r>
        <w:rPr>
          <w:b w:val="0"/>
          <w:i w:val="0"/>
        </w:rPr>
        <w:t xml:space="preserve"> </w:t>
      </w:r>
      <w:hyperlink w:anchor="latin-record-0466">
        <w:r>
          <w:rPr>
            <w:color w:val="000000"/>
          </w:rPr>
          <w:t xml:space="preserve">extensio; contrarietas</w:t>
        </w:r>
      </w:hyperlink>
      <w:r>
        <w:rPr>
          <w:b w:val="0"/>
          <w:i w:val="0"/>
        </w:rPr>
        <w:t>.</w:t>
      </w:r>
    </w:p>
    <w:p>
      <w:pPr>
        <w:widowControl/>
      </w:pPr>
      <w:r>
        <w:rPr>
          <w:b/>
          <w:i w:val="0"/>
        </w:rPr>
        <w:t>extensio.</w:t>
      </w:r>
      <w:r>
        <w:rPr>
          <w:b w:val="0"/>
          <w:i w:val="0"/>
        </w:rPr>
        <w:t xml:space="preserve"> </w:t>
      </w:r>
      <w:hyperlink w:anchor="latin-record-0706">
        <w:r>
          <w:rPr>
            <w:color w:val="000000"/>
          </w:rPr>
          <w:t xml:space="preserve">latitudo / extensio</w:t>
        </w:r>
      </w:hyperlink>
      <w:r>
        <w:rPr>
          <w:b w:val="0"/>
          <w:i w:val="0"/>
        </w:rPr>
        <w:t>.</w:t>
      </w:r>
    </w:p>
    <w:p>
      <w:pPr>
        <w:widowControl/>
      </w:pPr>
      <w:r>
        <w:rPr>
          <w:b/>
          <w:i w:val="0"/>
        </w:rPr>
        <w:t>extenuat.</w:t>
      </w:r>
      <w:r>
        <w:rPr>
          <w:b w:val="0"/>
          <w:i w:val="0"/>
        </w:rPr>
        <w:t xml:space="preserve"> </w:t>
      </w:r>
      <w:hyperlink w:anchor="latin-record-0467">
        <w:r>
          <w:rPr>
            <w:color w:val="000000"/>
          </w:rPr>
          <w:t xml:space="preserve">extenuare</w:t>
        </w:r>
      </w:hyperlink>
      <w:r>
        <w:rPr>
          <w:b w:val="0"/>
          <w:i w:val="0"/>
        </w:rPr>
        <w:t>.</w:t>
      </w:r>
    </w:p>
    <w:p>
      <w:pPr>
        <w:widowControl/>
      </w:pPr>
      <w:r>
        <w:rPr>
          <w:b/>
          <w:i w:val="0"/>
        </w:rPr>
        <w:t>extenuata.</w:t>
      </w:r>
      <w:r>
        <w:rPr>
          <w:b w:val="0"/>
          <w:i w:val="0"/>
        </w:rPr>
        <w:t xml:space="preserve"> </w:t>
      </w:r>
      <w:hyperlink w:anchor="latin-record-0467">
        <w:r>
          <w:rPr>
            <w:color w:val="000000"/>
          </w:rPr>
          <w:t xml:space="preserve">extenuare</w:t>
        </w:r>
      </w:hyperlink>
      <w:r>
        <w:rPr>
          <w:b w:val="0"/>
          <w:i w:val="0"/>
        </w:rPr>
        <w:t>.</w:t>
      </w:r>
    </w:p>
    <w:p>
      <w:pPr>
        <w:widowControl/>
      </w:pPr>
      <w:r>
        <w:rPr>
          <w:b/>
          <w:i w:val="0"/>
        </w:rPr>
        <w:t>exterioremque.</w:t>
      </w:r>
      <w:r>
        <w:rPr>
          <w:b w:val="0"/>
          <w:i w:val="0"/>
        </w:rPr>
        <w:t xml:space="preserve"> </w:t>
      </w:r>
      <w:hyperlink w:anchor="latin-record-1263">
        <w:r>
          <w:rPr>
            <w:color w:val="000000"/>
          </w:rPr>
          <w:t xml:space="preserve">superficies / pictura</w:t>
        </w:r>
      </w:hyperlink>
      <w:r>
        <w:rPr>
          <w:b w:val="0"/>
          <w:i w:val="0"/>
        </w:rPr>
        <w:t>.</w:t>
      </w:r>
    </w:p>
    <w:p>
      <w:pPr>
        <w:widowControl/>
      </w:pPr>
      <w:r>
        <w:rPr>
          <w:b/>
          <w:i w:val="0"/>
        </w:rPr>
        <w:t>externo.</w:t>
      </w:r>
      <w:r>
        <w:rPr>
          <w:b w:val="0"/>
          <w:i w:val="0"/>
        </w:rPr>
        <w:t xml:space="preserve"> </w:t>
      </w:r>
      <w:hyperlink w:anchor="latin-record-0679">
        <w:r>
          <w:rPr>
            <w:color w:val="000000"/>
          </w:rPr>
          <w:t xml:space="preserve">intrinsecus; extrinsecus</w:t>
        </w:r>
      </w:hyperlink>
      <w:r>
        <w:rPr>
          <w:b w:val="0"/>
          <w:i w:val="0"/>
        </w:rPr>
        <w:t>.</w:t>
      </w:r>
    </w:p>
    <w:p>
      <w:pPr>
        <w:widowControl/>
      </w:pPr>
      <w:r>
        <w:rPr>
          <w:b/>
          <w:i w:val="0"/>
        </w:rPr>
        <w:t>extiterit.</w:t>
      </w:r>
      <w:r>
        <w:rPr>
          <w:b w:val="0"/>
          <w:i w:val="0"/>
        </w:rPr>
        <w:t xml:space="preserve"> </w:t>
      </w:r>
      <w:hyperlink w:anchor="latin-record-0921">
        <w:r>
          <w:rPr>
            <w:color w:val="000000"/>
          </w:rPr>
          <w:t xml:space="preserve">per se exsistere / operari</w:t>
        </w:r>
      </w:hyperlink>
      <w:r>
        <w:rPr>
          <w:b w:val="0"/>
          <w:i w:val="0"/>
        </w:rPr>
        <w:t>.</w:t>
      </w:r>
    </w:p>
    <w:p>
      <w:pPr>
        <w:widowControl/>
      </w:pPr>
      <w:r>
        <w:rPr>
          <w:b/>
          <w:i w:val="0"/>
        </w:rPr>
        <w:t>extra.</w:t>
      </w:r>
      <w:r>
        <w:rPr>
          <w:b w:val="0"/>
          <w:i w:val="0"/>
        </w:rPr>
        <w:t xml:space="preserve"> </w:t>
      </w:r>
      <w:hyperlink w:anchor="latin-record-0169">
        <w:r>
          <w:rPr>
            <w:color w:val="000000"/>
          </w:rPr>
          <w:t xml:space="preserve">brachium / opus extra</w:t>
        </w:r>
      </w:hyperlink>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extraneae.</w:t>
      </w:r>
      <w:r>
        <w:rPr>
          <w:b w:val="0"/>
          <w:i w:val="0"/>
        </w:rPr>
        <w:t xml:space="preserve"> </w:t>
      </w:r>
      <w:hyperlink w:anchor="latin-record-0453">
        <w:r>
          <w:rPr>
            <w:color w:val="000000"/>
          </w:rPr>
          <w:t xml:space="preserve">excessus / extraneus / dissociare</w:t>
        </w:r>
      </w:hyperlink>
      <w:r>
        <w:rPr>
          <w:b w:val="0"/>
          <w:i w:val="0"/>
        </w:rPr>
        <w:t>.</w:t>
      </w:r>
    </w:p>
    <w:p>
      <w:pPr>
        <w:widowControl/>
      </w:pPr>
      <w:r>
        <w:rPr>
          <w:b/>
          <w:i w:val="0"/>
        </w:rPr>
        <w:t>extraneis.</w:t>
      </w:r>
      <w:r>
        <w:rPr>
          <w:b w:val="0"/>
          <w:i w:val="0"/>
        </w:rPr>
        <w:t xml:space="preserve"> </w:t>
      </w:r>
      <w:hyperlink w:anchor="latin-record-0069">
        <w:r>
          <w:rPr>
            <w:color w:val="000000"/>
          </w:rPr>
          <w:t xml:space="preserve">alienus / extraneus</w:t>
        </w:r>
      </w:hyperlink>
      <w:r>
        <w:rPr>
          <w:b w:val="0"/>
          <w:i w:val="0"/>
        </w:rPr>
        <w:t>.</w:t>
      </w:r>
    </w:p>
    <w:p>
      <w:pPr>
        <w:widowControl/>
      </w:pPr>
      <w:r>
        <w:rPr>
          <w:b/>
          <w:i w:val="0"/>
        </w:rPr>
        <w:t>extrema.</w:t>
      </w:r>
      <w:r>
        <w:rPr>
          <w:b w:val="0"/>
          <w:i w:val="0"/>
        </w:rPr>
        <w:t xml:space="preserve"> </w:t>
      </w:r>
      <w:hyperlink w:anchor="latin-record-0717">
        <w:r>
          <w:rPr>
            <w:color w:val="000000"/>
          </w:rPr>
          <w:t xml:space="preserve">lignum / extremum punctum</w:t>
        </w:r>
      </w:hyperlink>
      <w:r>
        <w:rPr>
          <w:b w:val="0"/>
          <w:i w:val="0"/>
        </w:rPr>
        <w:t xml:space="preserve">; </w:t>
      </w:r>
      <w:hyperlink w:anchor="latin-record-1306">
        <w:r>
          <w:rPr>
            <w:color w:val="000000"/>
          </w:rPr>
          <w:t xml:space="preserve">tria puncta / medium / extrema</w:t>
        </w:r>
      </w:hyperlink>
      <w:r>
        <w:rPr>
          <w:b w:val="0"/>
          <w:i w:val="0"/>
        </w:rPr>
        <w:t>.</w:t>
      </w:r>
    </w:p>
    <w:p>
      <w:pPr>
        <w:widowControl/>
      </w:pPr>
      <w:r>
        <w:rPr>
          <w:b/>
          <w:i w:val="0"/>
        </w:rPr>
        <w:t>extremorum.</w:t>
      </w:r>
      <w:r>
        <w:rPr>
          <w:b w:val="0"/>
          <w:i w:val="0"/>
        </w:rPr>
        <w:t xml:space="preserve"> </w:t>
      </w:r>
      <w:hyperlink w:anchor="latin-record-1306">
        <w:r>
          <w:rPr>
            <w:color w:val="000000"/>
          </w:rPr>
          <w:t xml:space="preserve">tria puncta / medium / extrema</w:t>
        </w:r>
      </w:hyperlink>
      <w:r>
        <w:rPr>
          <w:b w:val="0"/>
          <w:i w:val="0"/>
        </w:rPr>
        <w:t>.</w:t>
      </w:r>
    </w:p>
    <w:p>
      <w:pPr>
        <w:widowControl/>
      </w:pPr>
      <w:r>
        <w:rPr>
          <w:b/>
          <w:i w:val="0"/>
        </w:rPr>
        <w:t>extrinsecone principio.</w:t>
      </w:r>
      <w:r>
        <w:rPr>
          <w:b w:val="0"/>
          <w:i w:val="0"/>
        </w:rPr>
        <w:t xml:space="preserve"> </w:t>
      </w:r>
      <w:hyperlink w:anchor="latin-record-0468">
        <w:r>
          <w:rPr>
            <w:color w:val="000000"/>
          </w:rPr>
          <w:t xml:space="preserve">extrinsecum principium</w:t>
        </w:r>
      </w:hyperlink>
      <w:r>
        <w:rPr>
          <w:b w:val="0"/>
          <w:i w:val="0"/>
        </w:rPr>
        <w:t>.</w:t>
      </w:r>
    </w:p>
    <w:p>
      <w:pPr>
        <w:widowControl/>
      </w:pPr>
      <w:r>
        <w:rPr>
          <w:b/>
          <w:i w:val="0"/>
        </w:rPr>
        <w:t>extrinsecum.</w:t>
      </w:r>
      <w:r>
        <w:rPr>
          <w:b w:val="0"/>
          <w:i w:val="0"/>
        </w:rPr>
        <w:t xml:space="preserve"> </w:t>
      </w:r>
      <w:hyperlink w:anchor="latin-record-0468">
        <w:r>
          <w:rPr>
            <w:color w:val="000000"/>
          </w:rPr>
          <w:t xml:space="preserve">extrinsecum principium</w:t>
        </w:r>
      </w:hyperlink>
      <w:r>
        <w:rPr>
          <w:b w:val="0"/>
          <w:i w:val="0"/>
        </w:rPr>
        <w:t>.</w:t>
      </w:r>
    </w:p>
    <w:p>
      <w:pPr>
        <w:widowControl/>
      </w:pPr>
      <w:r>
        <w:rPr>
          <w:b/>
          <w:i w:val="0"/>
        </w:rPr>
        <w:t>extrinsecus.</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exuberat.</w:t>
      </w:r>
      <w:r>
        <w:rPr>
          <w:b w:val="0"/>
          <w:i w:val="0"/>
        </w:rPr>
        <w:t xml:space="preserve"> </w:t>
      </w:r>
      <w:hyperlink w:anchor="latin-record-0435">
        <w:r>
          <w:rPr>
            <w:color w:val="000000"/>
          </w:rPr>
          <w:t xml:space="preserve">emicare / exuberare / evadere</w:t>
        </w:r>
      </w:hyperlink>
      <w:r>
        <w:rPr>
          <w:b w:val="0"/>
          <w:i w:val="0"/>
        </w:rPr>
        <w:t xml:space="preserve">; </w:t>
      </w:r>
      <w:hyperlink w:anchor="latin-record-0469">
        <w:r>
          <w:rPr>
            <w:color w:val="000000"/>
          </w:rPr>
          <w:t xml:space="preserve">exuberare</w:t>
        </w:r>
      </w:hyperlink>
      <w:r>
        <w:rPr>
          <w:b w:val="0"/>
          <w:i w:val="0"/>
        </w:rPr>
        <w:t>.</w:t>
      </w:r>
    </w:p>
    <w:p>
      <w:pPr>
        <w:widowControl/>
      </w:pPr>
      <w:r>
        <w:rPr>
          <w:b/>
          <w:i w:val="0"/>
        </w:rPr>
        <w:t>exuerit.</w:t>
      </w:r>
      <w:r>
        <w:rPr>
          <w:b w:val="0"/>
          <w:i w:val="0"/>
        </w:rPr>
        <w:t xml:space="preserve"> </w:t>
      </w:r>
      <w:hyperlink w:anchor="latin-record-0628">
        <w:r>
          <w:rPr>
            <w:color w:val="000000"/>
          </w:rPr>
          <w:t xml:space="preserve">induere / exuere</w:t>
        </w:r>
      </w:hyperlink>
      <w:r>
        <w:rPr>
          <w:b w:val="0"/>
          <w:i w:val="0"/>
        </w:rPr>
        <w:t>.</w:t>
      </w:r>
    </w:p>
    <w:p>
      <w:pPr>
        <w:widowControl/>
      </w:pPr>
      <w:r>
        <w:rPr>
          <w:b/>
          <w:i w:val="0"/>
        </w:rPr>
        <w:t>exuit.</w:t>
      </w:r>
      <w:r>
        <w:rPr>
          <w:b w:val="0"/>
          <w:i w:val="0"/>
        </w:rPr>
        <w:t xml:space="preserve"> </w:t>
      </w:r>
      <w:hyperlink w:anchor="latin-record-0628">
        <w:r>
          <w:rPr>
            <w:color w:val="000000"/>
          </w:rPr>
          <w:t xml:space="preserve">induere / exuere</w:t>
        </w:r>
      </w:hyperlink>
      <w:r>
        <w:rPr>
          <w:b w:val="0"/>
          <w:i w:val="0"/>
        </w:rPr>
        <w:t>.</w:t>
      </w:r>
    </w:p>
    <w:p>
      <w:pPr>
        <w:widowControl/>
      </w:pPr>
      <w:r>
        <w:rPr>
          <w:b/>
          <w:i w:val="0"/>
        </w:rPr>
        <w:t>fabricare.</w:t>
      </w:r>
      <w:r>
        <w:rPr>
          <w:b w:val="0"/>
          <w:i w:val="0"/>
        </w:rPr>
        <w:t xml:space="preserve"> </w:t>
      </w:r>
      <w:hyperlink w:anchor="latin-record-0458">
        <w:r>
          <w:rPr>
            <w:color w:val="000000"/>
          </w:rPr>
          <w:t xml:space="preserve">exemplar / fabricare</w:t>
        </w:r>
      </w:hyperlink>
      <w:r>
        <w:rPr>
          <w:b w:val="0"/>
          <w:i w:val="0"/>
        </w:rPr>
        <w:t>.</w:t>
      </w:r>
    </w:p>
    <w:p>
      <w:pPr>
        <w:widowControl/>
      </w:pPr>
      <w:r>
        <w:rPr>
          <w:b/>
          <w:i w:val="0"/>
        </w:rPr>
        <w:t>fabricat.</w:t>
      </w:r>
      <w:r>
        <w:rPr>
          <w:b w:val="0"/>
          <w:i w:val="0"/>
        </w:rPr>
        <w:t xml:space="preserve"> </w:t>
      </w:r>
      <w:hyperlink w:anchor="latin-record-0458">
        <w:r>
          <w:rPr>
            <w:color w:val="000000"/>
          </w:rPr>
          <w:t xml:space="preserve">exemplar / fabricare</w:t>
        </w:r>
      </w:hyperlink>
      <w:r>
        <w:rPr>
          <w:b w:val="0"/>
          <w:i w:val="0"/>
        </w:rPr>
        <w:t xml:space="preserve">; </w:t>
      </w:r>
      <w:hyperlink w:anchor="latin-record-0471">
        <w:r>
          <w:rPr>
            <w:color w:val="000000"/>
          </w:rPr>
          <w:t xml:space="preserve">fabricare / servare / reficere</w:t>
        </w:r>
      </w:hyperlink>
      <w:r>
        <w:rPr>
          <w:b w:val="0"/>
          <w:i w:val="0"/>
        </w:rPr>
        <w:t xml:space="preserve">; </w:t>
      </w:r>
      <w:hyperlink w:anchor="latin-record-0472">
        <w:r>
          <w:rPr>
            <w:color w:val="000000"/>
          </w:rPr>
          <w:t xml:space="preserve">fabricare; aedificium</w:t>
        </w:r>
      </w:hyperlink>
      <w:r>
        <w:rPr>
          <w:b w:val="0"/>
          <w:i w:val="0"/>
        </w:rPr>
        <w:t>.</w:t>
      </w:r>
    </w:p>
    <w:p>
      <w:pPr>
        <w:widowControl/>
      </w:pPr>
      <w:r>
        <w:rPr>
          <w:b/>
          <w:i w:val="0"/>
        </w:rPr>
        <w:t>fabricet.</w:t>
      </w:r>
      <w:r>
        <w:rPr>
          <w:b w:val="0"/>
          <w:i w:val="0"/>
        </w:rPr>
        <w:t xml:space="preserve"> </w:t>
      </w:r>
      <w:hyperlink w:anchor="latin-record-0471">
        <w:r>
          <w:rPr>
            <w:color w:val="000000"/>
          </w:rPr>
          <w:t xml:space="preserve">fabricare / servare / reficere</w:t>
        </w:r>
      </w:hyperlink>
      <w:r>
        <w:rPr>
          <w:b w:val="0"/>
          <w:i w:val="0"/>
        </w:rPr>
        <w:t>.</w:t>
      </w:r>
    </w:p>
    <w:p>
      <w:pPr>
        <w:widowControl/>
      </w:pPr>
      <w:r>
        <w:rPr>
          <w:b/>
          <w:i w:val="0"/>
        </w:rPr>
        <w:t>facere.</w:t>
      </w:r>
      <w:r>
        <w:rPr>
          <w:b w:val="0"/>
          <w:i w:val="0"/>
        </w:rPr>
        <w:t xml:space="preserve"> </w:t>
      </w:r>
      <w:hyperlink w:anchor="latin-record-0473">
        <w:r>
          <w:rPr>
            <w:color w:val="000000"/>
          </w:rPr>
          <w:t xml:space="preserve">facere / fieri</w:t>
        </w:r>
      </w:hyperlink>
      <w:r>
        <w:rPr>
          <w:b w:val="0"/>
          <w:i w:val="0"/>
        </w:rPr>
        <w:t>.</w:t>
      </w:r>
    </w:p>
    <w:p>
      <w:pPr>
        <w:widowControl/>
      </w:pPr>
      <w:r>
        <w:rPr>
          <w:b/>
          <w:i w:val="0"/>
        </w:rPr>
        <w:t>faciem.</w:t>
      </w:r>
      <w:r>
        <w:rPr>
          <w:b w:val="0"/>
          <w:i w:val="0"/>
        </w:rPr>
        <w:t xml:space="preserve"> </w:t>
      </w:r>
      <w:hyperlink w:anchor="latin-record-0475">
        <w:r>
          <w:rPr>
            <w:color w:val="000000"/>
          </w:rPr>
          <w:t xml:space="preserve">facies / profundum</w:t>
        </w:r>
      </w:hyperlink>
      <w:r>
        <w:rPr>
          <w:b w:val="0"/>
          <w:i w:val="0"/>
        </w:rPr>
        <w:t>.</w:t>
      </w:r>
    </w:p>
    <w:p>
      <w:pPr>
        <w:widowControl/>
      </w:pPr>
      <w:r>
        <w:rPr>
          <w:b/>
          <w:i w:val="0"/>
        </w:rPr>
        <w:t>Facile.</w:t>
      </w:r>
      <w:r>
        <w:rPr>
          <w:b w:val="0"/>
          <w:i w:val="0"/>
        </w:rPr>
        <w:t xml:space="preserve"> </w:t>
      </w:r>
      <w:hyperlink w:anchor="latin-record-0476">
        <w:r>
          <w:rPr>
            <w:color w:val="000000"/>
          </w:rPr>
          <w:t xml:space="preserve">facilis / difficilis</w:t>
        </w:r>
      </w:hyperlink>
      <w:r>
        <w:rPr>
          <w:b w:val="0"/>
          <w:i w:val="0"/>
        </w:rPr>
        <w:t>.</w:t>
      </w:r>
    </w:p>
    <w:p>
      <w:pPr>
        <w:widowControl/>
      </w:pPr>
      <w:r>
        <w:rPr>
          <w:b/>
          <w:i w:val="0"/>
        </w:rPr>
        <w:t>Facilius.</w:t>
      </w:r>
      <w:r>
        <w:rPr>
          <w:b w:val="0"/>
          <w:i w:val="0"/>
        </w:rPr>
        <w:t xml:space="preserve"> </w:t>
      </w:r>
      <w:hyperlink w:anchor="latin-record-0476">
        <w:r>
          <w:rPr>
            <w:color w:val="000000"/>
          </w:rPr>
          <w:t xml:space="preserve">facilis / difficilis</w:t>
        </w:r>
      </w:hyperlink>
      <w:r>
        <w:rPr>
          <w:b w:val="0"/>
          <w:i w:val="0"/>
        </w:rPr>
        <w:t>.</w:t>
      </w:r>
    </w:p>
    <w:p>
      <w:pPr>
        <w:widowControl/>
      </w:pPr>
      <w:r>
        <w:rPr>
          <w:b/>
          <w:i w:val="0"/>
        </w:rPr>
        <w:t>facillime.</w:t>
      </w:r>
      <w:r>
        <w:rPr>
          <w:b w:val="0"/>
          <w:i w:val="0"/>
        </w:rPr>
        <w:t xml:space="preserve"> </w:t>
      </w:r>
      <w:hyperlink w:anchor="latin-record-0064">
        <w:r>
          <w:rPr>
            <w:color w:val="000000"/>
          </w:rPr>
          <w:t xml:space="preserve">agilis; agilitas; celeritas</w:t>
        </w:r>
      </w:hyperlink>
      <w:r>
        <w:rPr>
          <w:b w:val="0"/>
          <w:i w:val="0"/>
        </w:rPr>
        <w:t>.</w:t>
      </w:r>
    </w:p>
    <w:p>
      <w:pPr>
        <w:widowControl/>
      </w:pPr>
      <w:r>
        <w:rPr>
          <w:b/>
          <w:i w:val="0"/>
        </w:rPr>
        <w:t>facit.</w:t>
      </w:r>
      <w:r>
        <w:rPr>
          <w:b w:val="0"/>
          <w:i w:val="0"/>
        </w:rPr>
        <w:t xml:space="preserve"> </w:t>
      </w:r>
      <w:hyperlink w:anchor="latin-record-0473">
        <w:r>
          <w:rPr>
            <w:color w:val="000000"/>
          </w:rPr>
          <w:t xml:space="preserve">facere / fieri</w:t>
        </w:r>
      </w:hyperlink>
      <w:r>
        <w:rPr>
          <w:b w:val="0"/>
          <w:i w:val="0"/>
        </w:rPr>
        <w:t xml:space="preserve">; </w:t>
      </w:r>
      <w:hyperlink w:anchor="latin-record-0481">
        <w:r>
          <w:rPr>
            <w:color w:val="000000"/>
          </w:rPr>
          <w:t xml:space="preserve">fieri / facere</w:t>
        </w:r>
      </w:hyperlink>
      <w:r>
        <w:rPr>
          <w:b w:val="0"/>
          <w:i w:val="0"/>
        </w:rPr>
        <w:t>.</w:t>
      </w:r>
    </w:p>
    <w:p>
      <w:pPr>
        <w:widowControl/>
      </w:pPr>
      <w:r>
        <w:rPr>
          <w:b/>
          <w:i w:val="0"/>
        </w:rPr>
        <w:t>facitque.</w:t>
      </w:r>
      <w:r>
        <w:rPr>
          <w:b w:val="0"/>
          <w:i w:val="0"/>
        </w:rPr>
        <w:t xml:space="preserve"> </w:t>
      </w:r>
      <w:hyperlink w:anchor="latin-record-0481">
        <w:r>
          <w:rPr>
            <w:color w:val="000000"/>
          </w:rPr>
          <w:t xml:space="preserve">fieri / facere</w:t>
        </w:r>
      </w:hyperlink>
      <w:r>
        <w:rPr>
          <w:b w:val="0"/>
          <w:i w:val="0"/>
        </w:rPr>
        <w:t>.</w:t>
      </w:r>
    </w:p>
    <w:p>
      <w:pPr>
        <w:widowControl/>
      </w:pPr>
      <w:r>
        <w:rPr>
          <w:b/>
          <w:i w:val="0"/>
        </w:rPr>
        <w:t>facta.</w:t>
      </w:r>
      <w:r>
        <w:rPr>
          <w:b w:val="0"/>
          <w:i w:val="0"/>
        </w:rPr>
        <w:t xml:space="preserve"> </w:t>
      </w:r>
      <w:hyperlink w:anchor="latin-record-0474">
        <w:r>
          <w:rPr>
            <w:color w:val="000000"/>
          </w:rPr>
          <w:t xml:space="preserve">facere / fieri (further forms)</w:t>
        </w:r>
      </w:hyperlink>
      <w:r>
        <w:rPr>
          <w:b w:val="0"/>
          <w:i w:val="0"/>
        </w:rPr>
        <w:t>.</w:t>
      </w:r>
    </w:p>
    <w:p>
      <w:pPr>
        <w:widowControl/>
      </w:pPr>
      <w:r>
        <w:rPr>
          <w:b/>
          <w:i w:val="0"/>
        </w:rPr>
        <w:t>factae.</w:t>
      </w:r>
      <w:r>
        <w:rPr>
          <w:b w:val="0"/>
          <w:i w:val="0"/>
        </w:rPr>
        <w:t xml:space="preserve"> </w:t>
      </w:r>
      <w:hyperlink w:anchor="latin-record-0473">
        <w:r>
          <w:rPr>
            <w:color w:val="000000"/>
          </w:rPr>
          <w:t xml:space="preserve">facere / fieri</w:t>
        </w:r>
      </w:hyperlink>
      <w:r>
        <w:rPr>
          <w:b w:val="0"/>
          <w:i w:val="0"/>
        </w:rPr>
        <w:t>.</w:t>
      </w:r>
    </w:p>
    <w:p>
      <w:pPr>
        <w:widowControl/>
      </w:pPr>
      <w:r>
        <w:rPr>
          <w:b/>
          <w:i w:val="0"/>
        </w:rPr>
        <w:t>Factae.</w:t>
      </w:r>
      <w:r>
        <w:rPr>
          <w:b w:val="0"/>
          <w:i w:val="0"/>
        </w:rPr>
        <w:t xml:space="preserve"> </w:t>
      </w:r>
      <w:hyperlink w:anchor="latin-record-0473">
        <w:r>
          <w:rPr>
            <w:color w:val="000000"/>
          </w:rPr>
          <w:t xml:space="preserve">facere / fieri</w:t>
        </w:r>
      </w:hyperlink>
      <w:r>
        <w:rPr>
          <w:b w:val="0"/>
          <w:i w:val="0"/>
        </w:rPr>
        <w:t>.</w:t>
      </w:r>
    </w:p>
    <w:p>
      <w:pPr>
        <w:widowControl/>
      </w:pPr>
      <w:r>
        <w:rPr>
          <w:b/>
          <w:i w:val="0"/>
        </w:rPr>
        <w:t>facti.</w:t>
      </w:r>
      <w:r>
        <w:rPr>
          <w:b w:val="0"/>
          <w:i w:val="0"/>
        </w:rPr>
        <w:t xml:space="preserve"> </w:t>
      </w:r>
      <w:hyperlink w:anchor="latin-record-0474">
        <w:r>
          <w:rPr>
            <w:color w:val="000000"/>
          </w:rPr>
          <w:t xml:space="preserve">facere / fieri (further forms)</w:t>
        </w:r>
      </w:hyperlink>
      <w:r>
        <w:rPr>
          <w:b w:val="0"/>
          <w:i w:val="0"/>
        </w:rPr>
        <w:t>.</w:t>
      </w:r>
    </w:p>
    <w:p>
      <w:pPr>
        <w:widowControl/>
      </w:pPr>
      <w:r>
        <w:rPr>
          <w:b/>
          <w:i w:val="0"/>
        </w:rPr>
        <w:t>factum.</w:t>
      </w:r>
      <w:r>
        <w:rPr>
          <w:b w:val="0"/>
          <w:i w:val="0"/>
        </w:rPr>
        <w:t xml:space="preserve"> </w:t>
      </w:r>
      <w:hyperlink w:anchor="latin-record-0481">
        <w:r>
          <w:rPr>
            <w:color w:val="000000"/>
          </w:rPr>
          <w:t xml:space="preserve">fieri / facere</w:t>
        </w:r>
      </w:hyperlink>
      <w:r>
        <w:rPr>
          <w:b w:val="0"/>
          <w:i w:val="0"/>
        </w:rPr>
        <w:t>.</w:t>
      </w:r>
    </w:p>
    <w:p>
      <w:pPr>
        <w:widowControl/>
      </w:pPr>
      <w:r>
        <w:rPr>
          <w:b/>
          <w:i w:val="0"/>
        </w:rPr>
        <w:t>facultatem.</w:t>
      </w:r>
      <w:r>
        <w:rPr>
          <w:b w:val="0"/>
          <w:i w:val="0"/>
        </w:rPr>
        <w:t xml:space="preserve"> </w:t>
      </w:r>
      <w:hyperlink w:anchor="latin-record-0477">
        <w:r>
          <w:rPr>
            <w:color w:val="000000"/>
          </w:rPr>
          <w:t xml:space="preserve">facultas; capacitas</w:t>
        </w:r>
      </w:hyperlink>
      <w:r>
        <w:rPr>
          <w:b w:val="0"/>
          <w:i w:val="0"/>
        </w:rPr>
        <w:t>.</w:t>
      </w:r>
    </w:p>
    <w:p>
      <w:pPr>
        <w:widowControl/>
      </w:pPr>
      <w:r>
        <w:rPr>
          <w:b/>
          <w:i w:val="0"/>
        </w:rPr>
        <w:t>falsas.</w:t>
      </w:r>
      <w:r>
        <w:rPr>
          <w:b w:val="0"/>
          <w:i w:val="0"/>
        </w:rPr>
        <w:t xml:space="preserve"> </w:t>
      </w:r>
      <w:hyperlink w:anchor="latin-record-1343">
        <w:r>
          <w:rPr>
            <w:color w:val="000000"/>
          </w:rPr>
          <w:t xml:space="preserve">verus / falsus</w:t>
        </w:r>
      </w:hyperlink>
      <w:r>
        <w:rPr>
          <w:b w:val="0"/>
          <w:i w:val="0"/>
        </w:rPr>
        <w:t>.</w:t>
      </w:r>
    </w:p>
    <w:p>
      <w:pPr>
        <w:widowControl/>
      </w:pPr>
      <w:r>
        <w:rPr>
          <w:b/>
          <w:i w:val="0"/>
        </w:rPr>
        <w:t>fastidium.</w:t>
      </w:r>
      <w:r>
        <w:rPr>
          <w:b w:val="0"/>
          <w:i w:val="0"/>
        </w:rPr>
        <w:t xml:space="preserve"> </w:t>
      </w:r>
      <w:hyperlink w:anchor="latin-record-1387">
        <w:r>
          <w:rPr>
            <w:color w:val="000000"/>
          </w:rPr>
          <w:t xml:space="preserve">voluptas / fastidium / dolor</w:t>
        </w:r>
      </w:hyperlink>
      <w:r>
        <w:rPr>
          <w:b w:val="0"/>
          <w:i w:val="0"/>
        </w:rPr>
        <w:t>.</w:t>
      </w:r>
    </w:p>
    <w:p>
      <w:pPr>
        <w:widowControl/>
      </w:pPr>
      <w:r>
        <w:rPr>
          <w:b/>
          <w:i w:val="0"/>
        </w:rPr>
        <w:t>Fateantur.</w:t>
      </w:r>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fateberis.</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fatebitur.</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fatebuntur.</w:t>
      </w:r>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fatendum.</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felicitas.</w:t>
      </w:r>
      <w:r>
        <w:rPr>
          <w:b w:val="0"/>
          <w:i w:val="0"/>
        </w:rPr>
        <w:t xml:space="preserve"> </w:t>
      </w:r>
      <w:hyperlink w:anchor="latin-record-0478">
        <w:r>
          <w:rPr>
            <w:color w:val="000000"/>
          </w:rPr>
          <w:t xml:space="preserve">felicitas</w:t>
        </w:r>
      </w:hyperlink>
      <w:r>
        <w:rPr>
          <w:b w:val="0"/>
          <w:i w:val="0"/>
        </w:rPr>
        <w:t>.</w:t>
      </w:r>
    </w:p>
    <w:p>
      <w:pPr>
        <w:widowControl/>
      </w:pPr>
      <w:r>
        <w:rPr>
          <w:b/>
          <w:i w:val="0"/>
        </w:rPr>
        <w:t>femore.</w:t>
      </w:r>
      <w:r>
        <w:rPr>
          <w:b w:val="0"/>
          <w:i w:val="0"/>
        </w:rPr>
        <w:t xml:space="preserve"> </w:t>
      </w:r>
      <w:hyperlink w:anchor="latin-record-0352">
        <w:r>
          <w:rPr>
            <w:color w:val="000000"/>
          </w:rPr>
          <w:t xml:space="preserve">crus / femur / pectus / collum</w:t>
        </w:r>
      </w:hyperlink>
      <w:r>
        <w:rPr>
          <w:b w:val="0"/>
          <w:i w:val="0"/>
        </w:rPr>
        <w:t>.</w:t>
      </w:r>
    </w:p>
    <w:p>
      <w:pPr>
        <w:widowControl/>
      </w:pPr>
      <w:r>
        <w:rPr>
          <w:b/>
          <w:i w:val="0"/>
        </w:rPr>
        <w:t>femur.</w:t>
      </w:r>
      <w:r>
        <w:rPr>
          <w:b w:val="0"/>
          <w:i w:val="0"/>
        </w:rPr>
        <w:t xml:space="preserve"> </w:t>
      </w:r>
      <w:hyperlink w:anchor="latin-record-0194">
        <w:r>
          <w:rPr>
            <w:color w:val="000000"/>
          </w:rPr>
          <w:t xml:space="preserve">caput / pectus / femur</w:t>
        </w:r>
      </w:hyperlink>
      <w:r>
        <w:rPr>
          <w:b w:val="0"/>
          <w:i w:val="0"/>
        </w:rPr>
        <w:t>.</w:t>
      </w:r>
    </w:p>
    <w:p>
      <w:pPr>
        <w:widowControl/>
      </w:pPr>
      <w:r>
        <w:rPr>
          <w:b/>
          <w:i w:val="0"/>
        </w:rPr>
        <w:t>fer.</w:t>
      </w:r>
      <w:r>
        <w:rPr>
          <w:b w:val="0"/>
          <w:i w:val="0"/>
        </w:rPr>
        <w:t xml:space="preserve"> </w:t>
      </w:r>
      <w:hyperlink w:anchor="latin-record-0728">
        <w:r>
          <w:rPr>
            <w:color w:val="000000"/>
          </w:rPr>
          <w:t xml:space="preserve">luci / fer / latio</w:t>
        </w:r>
      </w:hyperlink>
      <w:r>
        <w:rPr>
          <w:b w:val="0"/>
          <w:i w:val="0"/>
        </w:rPr>
        <w:t>.</w:t>
      </w:r>
    </w:p>
    <w:p>
      <w:pPr>
        <w:widowControl/>
      </w:pPr>
      <w:r>
        <w:rPr>
          <w:b/>
          <w:i w:val="0"/>
        </w:rPr>
        <w:t>ferro.</w:t>
      </w:r>
      <w:r>
        <w:rPr>
          <w:b w:val="0"/>
          <w:i w:val="0"/>
        </w:rPr>
        <w:t xml:space="preserve"> </w:t>
      </w:r>
      <w:hyperlink w:anchor="latin-record-0747">
        <w:r>
          <w:rPr>
            <w:color w:val="000000"/>
          </w:rPr>
          <w:t xml:space="preserve">magnes / ferrum / trahere / suspendere</w:t>
        </w:r>
      </w:hyperlink>
      <w:r>
        <w:rPr>
          <w:b w:val="0"/>
          <w:i w:val="0"/>
        </w:rPr>
        <w:t>.</w:t>
      </w:r>
    </w:p>
    <w:p>
      <w:pPr>
        <w:widowControl/>
      </w:pPr>
      <w:r>
        <w:rPr>
          <w:b/>
          <w:i w:val="0"/>
        </w:rPr>
        <w:t>feruntur.</w:t>
      </w:r>
      <w:r>
        <w:rPr>
          <w:b w:val="0"/>
          <w:i w:val="0"/>
        </w:rPr>
        <w:t xml:space="preserve"> </w:t>
      </w:r>
      <w:hyperlink w:anchor="latin-record-1090">
        <w:r>
          <w:rPr>
            <w:color w:val="000000"/>
          </w:rPr>
          <w:t xml:space="preserve">reflecti / ferri</w:t>
        </w:r>
      </w:hyperlink>
      <w:r>
        <w:rPr>
          <w:b w:val="0"/>
          <w:i w:val="0"/>
        </w:rPr>
        <w:t>.</w:t>
      </w:r>
    </w:p>
    <w:p>
      <w:pPr>
        <w:widowControl/>
      </w:pPr>
      <w:r>
        <w:rPr>
          <w:b/>
          <w:i w:val="0"/>
        </w:rPr>
        <w:t>fervet.</w:t>
      </w:r>
      <w:r>
        <w:rPr>
          <w:b w:val="0"/>
          <w:i w:val="0"/>
        </w:rPr>
        <w:t xml:space="preserve"> </w:t>
      </w:r>
      <w:hyperlink w:anchor="latin-record-0177">
        <w:r>
          <w:rPr>
            <w:color w:val="000000"/>
          </w:rPr>
          <w:t xml:space="preserve">calere; lucere; collustrare</w:t>
        </w:r>
      </w:hyperlink>
      <w:r>
        <w:rPr>
          <w:b w:val="0"/>
          <w:i w:val="0"/>
        </w:rPr>
        <w:t>.</w:t>
      </w:r>
    </w:p>
    <w:p>
      <w:pPr>
        <w:widowControl/>
      </w:pPr>
      <w:r>
        <w:rPr>
          <w:b/>
          <w:i w:val="0"/>
        </w:rPr>
        <w:t>fervor.</w:t>
      </w:r>
      <w:r>
        <w:rPr>
          <w:b w:val="0"/>
          <w:i w:val="0"/>
        </w:rPr>
        <w:t xml:space="preserve"> </w:t>
      </w:r>
      <w:hyperlink w:anchor="latin-record-0218">
        <w:r>
          <w:rPr>
            <w:color w:val="000000"/>
          </w:rPr>
          <w:t xml:space="preserve">claritas / fervor</w:t>
        </w:r>
      </w:hyperlink>
      <w:r>
        <w:rPr>
          <w:b w:val="0"/>
          <w:i w:val="0"/>
        </w:rPr>
        <w:t>.</w:t>
      </w:r>
    </w:p>
    <w:p>
      <w:pPr>
        <w:widowControl/>
      </w:pPr>
      <w:r>
        <w:rPr>
          <w:b/>
          <w:i w:val="0"/>
        </w:rPr>
        <w:t>fetu.</w:t>
      </w:r>
      <w:r>
        <w:rPr>
          <w:b w:val="0"/>
          <w:i w:val="0"/>
        </w:rPr>
        <w:t xml:space="preserve"> </w:t>
      </w:r>
      <w:hyperlink w:anchor="latin-record-0479">
        <w:r>
          <w:rPr>
            <w:color w:val="000000"/>
          </w:rPr>
          <w:t xml:space="preserve">fetus; adultus</w:t>
        </w:r>
      </w:hyperlink>
      <w:r>
        <w:rPr>
          <w:b w:val="0"/>
          <w:i w:val="0"/>
        </w:rPr>
        <w:t>.</w:t>
      </w:r>
    </w:p>
    <w:p>
      <w:pPr>
        <w:widowControl/>
      </w:pPr>
      <w:r>
        <w:rPr>
          <w:b/>
          <w:i w:val="0"/>
        </w:rPr>
        <w:t>fetus.</w:t>
      </w:r>
      <w:r>
        <w:rPr>
          <w:b w:val="0"/>
          <w:i w:val="0"/>
        </w:rPr>
        <w:t xml:space="preserve"> </w:t>
      </w:r>
      <w:hyperlink w:anchor="latin-record-0077">
        <w:r>
          <w:rPr>
            <w:color w:val="000000"/>
          </w:rPr>
          <w:t xml:space="preserve">alvus / fetus</w:t>
        </w:r>
      </w:hyperlink>
      <w:r>
        <w:rPr>
          <w:b w:val="0"/>
          <w:i w:val="0"/>
        </w:rPr>
        <w:t>.</w:t>
      </w:r>
    </w:p>
    <w:p>
      <w:pPr>
        <w:widowControl/>
      </w:pPr>
      <w:r>
        <w:rPr>
          <w:b/>
          <w:i w:val="0"/>
        </w:rPr>
        <w:t>fiat.</w:t>
      </w:r>
      <w:r>
        <w:rPr>
          <w:b w:val="0"/>
          <w:i w:val="0"/>
        </w:rPr>
        <w:t xml:space="preserve"> </w:t>
      </w:r>
      <w:hyperlink w:anchor="latin-record-0444">
        <w:r>
          <w:rPr>
            <w:color w:val="000000"/>
          </w:rPr>
          <w:t xml:space="preserve">esse; habere; fieri</w:t>
        </w:r>
      </w:hyperlink>
      <w:r>
        <w:rPr>
          <w:b w:val="0"/>
          <w:i w:val="0"/>
        </w:rPr>
        <w:t xml:space="preserve">; </w:t>
      </w:r>
      <w:hyperlink w:anchor="latin-record-0473">
        <w:r>
          <w:rPr>
            <w:color w:val="000000"/>
          </w:rPr>
          <w:t xml:space="preserve">facere / fieri</w:t>
        </w:r>
      </w:hyperlink>
      <w:r>
        <w:rPr>
          <w:b w:val="0"/>
          <w:i w:val="0"/>
        </w:rPr>
        <w:t xml:space="preserve">; </w:t>
      </w:r>
      <w:hyperlink w:anchor="latin-record-0474">
        <w:r>
          <w:rPr>
            <w:color w:val="000000"/>
          </w:rPr>
          <w:t xml:space="preserve">facere / fieri (further forms)</w:t>
        </w:r>
      </w:hyperlink>
      <w:r>
        <w:rPr>
          <w:b w:val="0"/>
          <w:i w:val="0"/>
        </w:rPr>
        <w:t>.</w:t>
      </w:r>
    </w:p>
    <w:p>
      <w:pPr>
        <w:widowControl/>
      </w:pPr>
      <w:r>
        <w:rPr>
          <w:b/>
          <w:i w:val="0"/>
        </w:rPr>
        <w:t>ficus.</w:t>
      </w:r>
      <w:r>
        <w:rPr>
          <w:b w:val="0"/>
          <w:i w:val="0"/>
        </w:rPr>
        <w:t xml:space="preserve"> </w:t>
      </w:r>
      <w:hyperlink w:anchor="latin-record-0786">
        <w:r>
          <w:rPr>
            <w:color w:val="000000"/>
          </w:rPr>
          <w:t xml:space="preserve">milium / ficus</w:t>
        </w:r>
      </w:hyperlink>
      <w:r>
        <w:rPr>
          <w:b w:val="0"/>
          <w:i w:val="0"/>
        </w:rPr>
        <w:t>.</w:t>
      </w:r>
    </w:p>
    <w:p>
      <w:pPr>
        <w:widowControl/>
      </w:pPr>
      <w:r>
        <w:rPr>
          <w:b/>
          <w:i w:val="0"/>
        </w:rPr>
        <w:t>fidibus.</w:t>
      </w:r>
      <w:r>
        <w:rPr>
          <w:b w:val="0"/>
          <w:i w:val="0"/>
        </w:rPr>
        <w:t xml:space="preserve"> </w:t>
      </w:r>
      <w:hyperlink w:anchor="latin-record-0480">
        <w:r>
          <w:rPr>
            <w:color w:val="000000"/>
          </w:rPr>
          <w:t xml:space="preserve">fides / chorda</w:t>
        </w:r>
      </w:hyperlink>
      <w:r>
        <w:rPr>
          <w:b w:val="0"/>
          <w:i w:val="0"/>
        </w:rPr>
        <w:t>.</w:t>
      </w:r>
    </w:p>
    <w:p>
      <w:pPr>
        <w:widowControl/>
      </w:pPr>
      <w:r>
        <w:rPr>
          <w:b/>
          <w:i w:val="0"/>
        </w:rPr>
        <w:t>fieret.</w:t>
      </w:r>
      <w:r>
        <w:rPr>
          <w:b w:val="0"/>
          <w:i w:val="0"/>
        </w:rPr>
        <w:t xml:space="preserve"> </w:t>
      </w:r>
      <w:hyperlink w:anchor="latin-record-0474">
        <w:r>
          <w:rPr>
            <w:color w:val="000000"/>
          </w:rPr>
          <w:t xml:space="preserve">facere / fieri (further forms)</w:t>
        </w:r>
      </w:hyperlink>
      <w:r>
        <w:rPr>
          <w:b w:val="0"/>
          <w:i w:val="0"/>
        </w:rPr>
        <w:t>.</w:t>
      </w:r>
    </w:p>
    <w:p>
      <w:pPr>
        <w:widowControl/>
      </w:pPr>
      <w:r>
        <w:rPr>
          <w:b/>
          <w:i w:val="0"/>
        </w:rPr>
        <w:t>fieri.</w:t>
      </w:r>
      <w:r>
        <w:rPr>
          <w:b w:val="0"/>
          <w:i w:val="0"/>
        </w:rPr>
        <w:t xml:space="preserve"> </w:t>
      </w:r>
      <w:hyperlink w:anchor="latin-record-0444">
        <w:r>
          <w:rPr>
            <w:color w:val="000000"/>
          </w:rPr>
          <w:t xml:space="preserve">esse; habere; fieri</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81">
        <w:r>
          <w:rPr>
            <w:color w:val="000000"/>
          </w:rPr>
          <w:t xml:space="preserve">fieri / facere</w:t>
        </w:r>
      </w:hyperlink>
      <w:r>
        <w:rPr>
          <w:b w:val="0"/>
          <w:i w:val="0"/>
        </w:rPr>
        <w:t>.</w:t>
      </w:r>
    </w:p>
    <w:p>
      <w:pPr>
        <w:widowControl/>
      </w:pPr>
      <w:r>
        <w:rPr>
          <w:b/>
          <w:i w:val="0"/>
        </w:rPr>
        <w:t>fiet.</w:t>
      </w:r>
      <w:r>
        <w:rPr>
          <w:b w:val="0"/>
          <w:i w:val="0"/>
        </w:rPr>
        <w:t xml:space="preserve"> </w:t>
      </w:r>
      <w:hyperlink w:anchor="latin-record-0444">
        <w:r>
          <w:rPr>
            <w:color w:val="000000"/>
          </w:rPr>
          <w:t xml:space="preserve">esse; habere; fieri</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81">
        <w:r>
          <w:rPr>
            <w:color w:val="000000"/>
          </w:rPr>
          <w:t xml:space="preserve">fieri / facere</w:t>
        </w:r>
      </w:hyperlink>
      <w:r>
        <w:rPr>
          <w:b w:val="0"/>
          <w:i w:val="0"/>
        </w:rPr>
        <w:t>.</w:t>
      </w:r>
    </w:p>
    <w:p>
      <w:pPr>
        <w:widowControl/>
      </w:pPr>
      <w:r>
        <w:rPr>
          <w:b/>
          <w:i w:val="0"/>
        </w:rPr>
        <w:t>Fiet.</w:t>
      </w:r>
      <w:r>
        <w:rPr>
          <w:b w:val="0"/>
          <w:i w:val="0"/>
        </w:rPr>
        <w:t xml:space="preserve"> </w:t>
      </w:r>
      <w:hyperlink w:anchor="latin-record-0474">
        <w:r>
          <w:rPr>
            <w:color w:val="000000"/>
          </w:rPr>
          <w:t xml:space="preserve">facere / fieri (further forms)</w:t>
        </w:r>
      </w:hyperlink>
      <w:r>
        <w:rPr>
          <w:b w:val="0"/>
          <w:i w:val="0"/>
        </w:rPr>
        <w:t>.</w:t>
      </w:r>
    </w:p>
    <w:p>
      <w:pPr>
        <w:widowControl/>
      </w:pPr>
      <w:r>
        <w:rPr>
          <w:b/>
          <w:i w:val="0"/>
        </w:rPr>
        <w:t>figmento.</w:t>
      </w:r>
      <w:r>
        <w:rPr>
          <w:b w:val="0"/>
          <w:i w:val="0"/>
        </w:rPr>
        <w:t xml:space="preserve"> </w:t>
      </w:r>
      <w:hyperlink w:anchor="latin-record-0482">
        <w:r>
          <w:rPr>
            <w:color w:val="000000"/>
          </w:rPr>
          <w:t xml:space="preserve">figmentum / machinatio</w:t>
        </w:r>
      </w:hyperlink>
      <w:r>
        <w:rPr>
          <w:b w:val="0"/>
          <w:i w:val="0"/>
        </w:rPr>
        <w:t>.</w:t>
      </w:r>
    </w:p>
    <w:p>
      <w:pPr>
        <w:widowControl/>
      </w:pPr>
      <w:r>
        <w:rPr>
          <w:b/>
          <w:i w:val="0"/>
        </w:rPr>
        <w:t>figmentum.</w:t>
      </w:r>
      <w:r>
        <w:rPr>
          <w:b w:val="0"/>
          <w:i w:val="0"/>
        </w:rPr>
        <w:t xml:space="preserve"> </w:t>
      </w:r>
      <w:hyperlink w:anchor="latin-record-0482">
        <w:r>
          <w:rPr>
            <w:color w:val="000000"/>
          </w:rPr>
          <w:t xml:space="preserve">figmentum / machinatio</w:t>
        </w:r>
      </w:hyperlink>
      <w:r>
        <w:rPr>
          <w:b w:val="0"/>
          <w:i w:val="0"/>
        </w:rPr>
        <w:t>.</w:t>
      </w:r>
    </w:p>
    <w:p>
      <w:pPr>
        <w:widowControl/>
      </w:pPr>
      <w:r>
        <w:rPr>
          <w:b/>
          <w:i w:val="0"/>
        </w:rPr>
        <w:t>figulo.</w:t>
      </w:r>
      <w:r>
        <w:rPr>
          <w:b w:val="0"/>
          <w:i w:val="0"/>
        </w:rPr>
        <w:t xml:space="preserve"> </w:t>
      </w:r>
      <w:hyperlink w:anchor="latin-record-0483">
        <w:r>
          <w:rPr>
            <w:color w:val="000000"/>
          </w:rPr>
          <w:t xml:space="preserve">figulus</w:t>
        </w:r>
      </w:hyperlink>
      <w:r>
        <w:rPr>
          <w:b w:val="0"/>
          <w:i w:val="0"/>
        </w:rPr>
        <w:t>.</w:t>
      </w:r>
    </w:p>
    <w:p>
      <w:pPr>
        <w:widowControl/>
      </w:pPr>
      <w:r>
        <w:rPr>
          <w:b/>
          <w:i w:val="0"/>
        </w:rPr>
        <w:t>figuntur.</w:t>
      </w:r>
      <w:r>
        <w:rPr>
          <w:b w:val="0"/>
          <w:i w:val="0"/>
        </w:rPr>
        <w:t xml:space="preserve"> </w:t>
      </w:r>
      <w:hyperlink w:anchor="latin-record-0488">
        <w:r>
          <w:rPr>
            <w:color w:val="000000"/>
          </w:rPr>
          <w:t xml:space="preserve">fingere / figere</w:t>
        </w:r>
      </w:hyperlink>
      <w:r>
        <w:rPr>
          <w:b w:val="0"/>
          <w:i w:val="0"/>
        </w:rPr>
        <w:t>.</w:t>
      </w:r>
    </w:p>
    <w:p>
      <w:pPr>
        <w:widowControl/>
      </w:pPr>
      <w:r>
        <w:rPr>
          <w:b/>
          <w:i w:val="0"/>
        </w:rPr>
        <w:t>figura.</w:t>
      </w:r>
      <w:r>
        <w:rPr>
          <w:b w:val="0"/>
          <w:i w:val="0"/>
        </w:rPr>
        <w:t xml:space="preserve"> </w:t>
      </w:r>
      <w:hyperlink w:anchor="latin-record-0238">
        <w:r>
          <w:rPr>
            <w:color w:val="000000"/>
          </w:rPr>
          <w:t xml:space="preserve">color / figura</w:t>
        </w:r>
      </w:hyperlink>
      <w:r>
        <w:rPr>
          <w:b w:val="0"/>
          <w:i w:val="0"/>
        </w:rPr>
        <w:t xml:space="preserve">; </w:t>
      </w:r>
      <w:hyperlink w:anchor="latin-record-0484">
        <w:r>
          <w:rPr>
            <w:color w:val="000000"/>
          </w:rPr>
          <w:t xml:space="preserve">figura / figurare</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1288">
        <w:r>
          <w:rPr>
            <w:color w:val="000000"/>
          </w:rPr>
          <w:t xml:space="preserve">terminus / gradus / proportio / figura</w:t>
        </w:r>
      </w:hyperlink>
      <w:r>
        <w:rPr>
          <w:b w:val="0"/>
          <w:i w:val="0"/>
        </w:rPr>
        <w:t>.</w:t>
      </w:r>
    </w:p>
    <w:p>
      <w:pPr>
        <w:widowControl/>
      </w:pPr>
      <w:r>
        <w:rPr>
          <w:b/>
          <w:i w:val="0"/>
        </w:rPr>
        <w:t>figura artificiosa.</w:t>
      </w:r>
      <w:r>
        <w:rPr>
          <w:b w:val="0"/>
          <w:i w:val="0"/>
        </w:rPr>
        <w:t xml:space="preserve"> </w:t>
      </w:r>
      <w:hyperlink w:anchor="latin-record-0485">
        <w:r>
          <w:rPr>
            <w:color w:val="000000"/>
          </w:rPr>
          <w:t xml:space="preserve">figura artificiosa / dispositio</w:t>
        </w:r>
      </w:hyperlink>
      <w:r>
        <w:rPr>
          <w:b w:val="0"/>
          <w:i w:val="0"/>
        </w:rPr>
        <w:t>.</w:t>
      </w:r>
    </w:p>
    <w:p>
      <w:pPr>
        <w:widowControl/>
      </w:pPr>
      <w:r>
        <w:rPr>
          <w:b/>
          <w:i w:val="0"/>
        </w:rPr>
        <w:t>figurae.</w:t>
      </w:r>
      <w:r>
        <w:rPr>
          <w:b w:val="0"/>
          <w:i w:val="0"/>
        </w:rPr>
        <w:t xml:space="preserve"> </w:t>
      </w:r>
      <w:hyperlink w:anchor="latin-record-0484">
        <w:r>
          <w:rPr>
            <w:color w:val="000000"/>
          </w:rPr>
          <w:t xml:space="preserve">figura / figurare</w:t>
        </w:r>
      </w:hyperlink>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figuram.</w:t>
      </w:r>
      <w:r>
        <w:rPr>
          <w:b w:val="0"/>
          <w:i w:val="0"/>
        </w:rPr>
        <w:t xml:space="preserve"> </w:t>
      </w:r>
      <w:hyperlink w:anchor="latin-record-0484">
        <w:r>
          <w:rPr>
            <w:color w:val="000000"/>
          </w:rPr>
          <w:t xml:space="preserve">figura / figurare</w:t>
        </w:r>
      </w:hyperlink>
      <w:r>
        <w:rPr>
          <w:b w:val="0"/>
          <w:i w:val="0"/>
        </w:rPr>
        <w:t xml:space="preserve">; </w:t>
      </w:r>
      <w:hyperlink w:anchor="latin-record-1288">
        <w:r>
          <w:rPr>
            <w:color w:val="000000"/>
          </w:rPr>
          <w:t xml:space="preserve">terminus / gradus / proportio / figura</w:t>
        </w:r>
      </w:hyperlink>
      <w:r>
        <w:rPr>
          <w:b w:val="0"/>
          <w:i w:val="0"/>
        </w:rPr>
        <w:t>.</w:t>
      </w:r>
    </w:p>
    <w:p>
      <w:pPr>
        <w:widowControl/>
      </w:pPr>
      <w:r>
        <w:rPr>
          <w:b/>
          <w:i w:val="0"/>
        </w:rPr>
        <w:t>figuram eandem.</w:t>
      </w:r>
      <w:r>
        <w:rPr>
          <w:b w:val="0"/>
          <w:i w:val="0"/>
        </w:rPr>
        <w:t xml:space="preserve"> </w:t>
      </w:r>
      <w:hyperlink w:anchor="latin-record-0486">
        <w:r>
          <w:rPr>
            <w:color w:val="000000"/>
          </w:rPr>
          <w:t xml:space="preserve">figura eadem; similis</w:t>
        </w:r>
      </w:hyperlink>
      <w:r>
        <w:rPr>
          <w:b w:val="0"/>
          <w:i w:val="0"/>
        </w:rPr>
        <w:t>.</w:t>
      </w:r>
    </w:p>
    <w:p>
      <w:pPr>
        <w:widowControl/>
      </w:pPr>
      <w:r>
        <w:rPr>
          <w:b/>
          <w:i w:val="0"/>
        </w:rPr>
        <w:t>Figurare.</w:t>
      </w:r>
      <w:r>
        <w:rPr>
          <w:b w:val="0"/>
          <w:i w:val="0"/>
        </w:rPr>
        <w:t xml:space="preserve"> </w:t>
      </w:r>
      <w:hyperlink w:anchor="latin-record-0487">
        <w:r>
          <w:rPr>
            <w:color w:val="000000"/>
          </w:rPr>
          <w:t xml:space="preserve">figurare; perfectus agens</w:t>
        </w:r>
      </w:hyperlink>
      <w:r>
        <w:rPr>
          <w:b w:val="0"/>
          <w:i w:val="0"/>
        </w:rPr>
        <w:t>.</w:t>
      </w:r>
    </w:p>
    <w:p>
      <w:pPr>
        <w:widowControl/>
      </w:pPr>
      <w:r>
        <w:rPr>
          <w:b/>
          <w:i w:val="0"/>
        </w:rPr>
        <w:t>Figurarum.</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figurarum.</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figuras.</w:t>
      </w:r>
      <w:r>
        <w:rPr>
          <w:b w:val="0"/>
          <w:i w:val="0"/>
        </w:rPr>
        <w:t xml:space="preserve"> </w:t>
      </w:r>
      <w:hyperlink w:anchor="latin-record-0484">
        <w:r>
          <w:rPr>
            <w:color w:val="000000"/>
          </w:rPr>
          <w:t xml:space="preserve">figura / figurare</w:t>
        </w:r>
      </w:hyperlink>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figuratur.</w:t>
      </w:r>
      <w:r>
        <w:rPr>
          <w:b w:val="0"/>
          <w:i w:val="0"/>
        </w:rPr>
        <w:t xml:space="preserve"> </w:t>
      </w:r>
      <w:hyperlink w:anchor="latin-record-0484">
        <w:r>
          <w:rPr>
            <w:color w:val="000000"/>
          </w:rPr>
          <w:t xml:space="preserve">figura / figurare</w:t>
        </w:r>
      </w:hyperlink>
      <w:r>
        <w:rPr>
          <w:b w:val="0"/>
          <w:i w:val="0"/>
        </w:rPr>
        <w:t>.</w:t>
      </w:r>
    </w:p>
    <w:p>
      <w:pPr>
        <w:widowControl/>
      </w:pPr>
      <w:r>
        <w:rPr>
          <w:b/>
          <w:i w:val="0"/>
        </w:rPr>
        <w:t>figuris.</w:t>
      </w:r>
      <w:r>
        <w:rPr>
          <w:b w:val="0"/>
          <w:i w:val="0"/>
        </w:rPr>
        <w:t xml:space="preserve"> </w:t>
      </w:r>
      <w:hyperlink w:anchor="latin-record-0238">
        <w:r>
          <w:rPr>
            <w:color w:val="000000"/>
          </w:rPr>
          <w:t xml:space="preserve">color / figura</w:t>
        </w:r>
      </w:hyperlink>
      <w:r>
        <w:rPr>
          <w:b w:val="0"/>
          <w:i w:val="0"/>
        </w:rPr>
        <w:t>.</w:t>
      </w:r>
    </w:p>
    <w:p>
      <w:pPr>
        <w:widowControl/>
      </w:pPr>
      <w:r>
        <w:rPr>
          <w:b/>
          <w:i w:val="0"/>
        </w:rPr>
        <w:t>finalem.</w:t>
      </w:r>
      <w:r>
        <w:rPr>
          <w:b w:val="0"/>
          <w:i w:val="0"/>
        </w:rPr>
        <w:t xml:space="preserve"> </w:t>
      </w:r>
      <w:hyperlink w:anchor="latin-record-0491">
        <w:r>
          <w:rPr>
            <w:color w:val="000000"/>
          </w:rPr>
          <w:t xml:space="preserve">finis / causa finalis</w:t>
        </w:r>
      </w:hyperlink>
      <w:r>
        <w:rPr>
          <w:b w:val="0"/>
          <w:i w:val="0"/>
        </w:rPr>
        <w:t>.</w:t>
      </w:r>
    </w:p>
    <w:p>
      <w:pPr>
        <w:widowControl/>
      </w:pPr>
      <w:r>
        <w:rPr>
          <w:b/>
          <w:i w:val="0"/>
        </w:rPr>
        <w:t>fine.</w:t>
      </w:r>
      <w:r>
        <w:rPr>
          <w:b w:val="0"/>
          <w:i w:val="0"/>
        </w:rPr>
        <w:t xml:space="preserve"> </w:t>
      </w:r>
      <w:hyperlink w:anchor="latin-record-0490">
        <w:r>
          <w:rPr>
            <w:color w:val="000000"/>
          </w:rPr>
          <w:t xml:space="preserve">finis (end and absence of end)</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994">
        <w:r>
          <w:rPr>
            <w:color w:val="000000"/>
          </w:rPr>
          <w:t xml:space="preserve">principium / finis</w:t>
        </w:r>
      </w:hyperlink>
      <w:r>
        <w:rPr>
          <w:b w:val="0"/>
          <w:i w:val="0"/>
        </w:rPr>
        <w:t>.</w:t>
      </w:r>
    </w:p>
    <w:p>
      <w:pPr>
        <w:widowControl/>
      </w:pPr>
      <w:r>
        <w:rPr>
          <w:b/>
          <w:i w:val="0"/>
        </w:rPr>
        <w:t>finem.</w:t>
      </w:r>
      <w:r>
        <w:rPr>
          <w:b w:val="0"/>
          <w:i w:val="0"/>
        </w:rPr>
        <w:t xml:space="preserve"> </w:t>
      </w:r>
      <w:hyperlink w:anchor="latin-record-0192">
        <w:r>
          <w:rPr>
            <w:color w:val="000000"/>
          </w:rPr>
          <w:t xml:space="preserve">caput / finis / terminus lineae</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884">
        <w:r>
          <w:rPr>
            <w:color w:val="000000"/>
          </w:rPr>
          <w:t xml:space="preserve">ortus / finis virtutis</w:t>
        </w:r>
      </w:hyperlink>
      <w:r>
        <w:rPr>
          <w:b w:val="0"/>
          <w:i w:val="0"/>
        </w:rPr>
        <w:t xml:space="preserve">; </w:t>
      </w:r>
      <w:hyperlink w:anchor="latin-record-0994">
        <w:r>
          <w:rPr>
            <w:color w:val="000000"/>
          </w:rPr>
          <w:t xml:space="preserve">principium / finis</w:t>
        </w:r>
      </w:hyperlink>
      <w:r>
        <w:rPr>
          <w:b w:val="0"/>
          <w:i w:val="0"/>
        </w:rPr>
        <w:t>.</w:t>
      </w:r>
    </w:p>
    <w:p>
      <w:pPr>
        <w:widowControl/>
      </w:pPr>
      <w:r>
        <w:rPr>
          <w:b/>
          <w:i w:val="0"/>
        </w:rPr>
        <w:t>fines.</w:t>
      </w:r>
      <w:r>
        <w:rPr>
          <w:b w:val="0"/>
          <w:i w:val="0"/>
        </w:rPr>
        <w:t xml:space="preserve"> </w:t>
      </w:r>
      <w:hyperlink w:anchor="latin-record-0492">
        <w:r>
          <w:rPr>
            <w:color w:val="000000"/>
          </w:rPr>
          <w:t xml:space="preserve">finis; limes; terminus</w:t>
        </w:r>
      </w:hyperlink>
      <w:r>
        <w:rPr>
          <w:b w:val="0"/>
          <w:i w:val="0"/>
        </w:rPr>
        <w:t>.</w:t>
      </w:r>
    </w:p>
    <w:p>
      <w:pPr>
        <w:widowControl/>
      </w:pPr>
      <w:r>
        <w:rPr>
          <w:b/>
          <w:i w:val="0"/>
        </w:rPr>
        <w:t>fingere.</w:t>
      </w:r>
      <w:r>
        <w:rPr>
          <w:b w:val="0"/>
          <w:i w:val="0"/>
        </w:rPr>
        <w:t xml:space="preserve"> </w:t>
      </w:r>
      <w:hyperlink w:anchor="latin-record-0489">
        <w:r>
          <w:rPr>
            <w:color w:val="000000"/>
          </w:rPr>
          <w:t xml:space="preserve">fingere; machinari; effingere</w:t>
        </w:r>
      </w:hyperlink>
      <w:r>
        <w:rPr>
          <w:b w:val="0"/>
          <w:i w:val="0"/>
        </w:rPr>
        <w:t>.</w:t>
      </w:r>
    </w:p>
    <w:p>
      <w:pPr>
        <w:widowControl/>
      </w:pPr>
      <w:r>
        <w:rPr>
          <w:b/>
          <w:i w:val="0"/>
        </w:rPr>
        <w:t>fingi.</w:t>
      </w:r>
      <w:r>
        <w:rPr>
          <w:b w:val="0"/>
          <w:i w:val="0"/>
        </w:rPr>
        <w:t xml:space="preserve"> </w:t>
      </w:r>
      <w:hyperlink w:anchor="latin-record-0488">
        <w:r>
          <w:rPr>
            <w:color w:val="000000"/>
          </w:rPr>
          <w:t xml:space="preserve">fingere / figere</w:t>
        </w:r>
      </w:hyperlink>
      <w:r>
        <w:rPr>
          <w:b w:val="0"/>
          <w:i w:val="0"/>
        </w:rPr>
        <w:t>.</w:t>
      </w:r>
    </w:p>
    <w:p>
      <w:pPr>
        <w:widowControl/>
      </w:pPr>
      <w:r>
        <w:rPr>
          <w:b/>
          <w:i w:val="0"/>
        </w:rPr>
        <w:t>fingimus.</w:t>
      </w:r>
      <w:r>
        <w:rPr>
          <w:b w:val="0"/>
          <w:i w:val="0"/>
        </w:rPr>
        <w:t xml:space="preserve"> </w:t>
      </w:r>
      <w:hyperlink w:anchor="latin-record-1020">
        <w:r>
          <w:rPr>
            <w:color w:val="000000"/>
          </w:rPr>
          <w:t xml:space="preserve">prospicere / effingere / fingere</w:t>
        </w:r>
      </w:hyperlink>
      <w:r>
        <w:rPr>
          <w:b w:val="0"/>
          <w:i w:val="0"/>
        </w:rPr>
        <w:t>.</w:t>
      </w:r>
    </w:p>
    <w:p>
      <w:pPr>
        <w:widowControl/>
      </w:pPr>
      <w:r>
        <w:rPr>
          <w:b/>
          <w:i w:val="0"/>
        </w:rPr>
        <w:t>fingit.</w:t>
      </w:r>
      <w:r>
        <w:rPr>
          <w:b w:val="0"/>
          <w:i w:val="0"/>
        </w:rPr>
        <w:t xml:space="preserve"> </w:t>
      </w:r>
      <w:hyperlink w:anchor="latin-record-0963">
        <w:r>
          <w:rPr>
            <w:color w:val="000000"/>
          </w:rPr>
          <w:t xml:space="preserve">posse / fingere / excogitare</w:t>
        </w:r>
      </w:hyperlink>
      <w:r>
        <w:rPr>
          <w:b w:val="0"/>
          <w:i w:val="0"/>
        </w:rPr>
        <w:t>.</w:t>
      </w:r>
    </w:p>
    <w:p>
      <w:pPr>
        <w:widowControl/>
      </w:pPr>
      <w:r>
        <w:rPr>
          <w:b/>
          <w:i w:val="0"/>
        </w:rPr>
        <w:t>finibus.</w:t>
      </w:r>
      <w:r>
        <w:rPr>
          <w:b w:val="0"/>
          <w:i w:val="0"/>
        </w:rPr>
        <w:t xml:space="preserve"> </w:t>
      </w:r>
      <w:hyperlink w:anchor="latin-record-0490">
        <w:r>
          <w:rPr>
            <w:color w:val="000000"/>
          </w:rPr>
          <w:t xml:space="preserve">finis (end and absence of end)</w:t>
        </w:r>
      </w:hyperlink>
      <w:r>
        <w:rPr>
          <w:b w:val="0"/>
          <w:i w:val="0"/>
        </w:rPr>
        <w:t>.</w:t>
      </w:r>
    </w:p>
    <w:p>
      <w:pPr>
        <w:widowControl/>
      </w:pPr>
      <w:r>
        <w:rPr>
          <w:b/>
          <w:i w:val="0"/>
        </w:rPr>
        <w:t>finis.</w:t>
      </w:r>
      <w:r>
        <w:rPr>
          <w:b w:val="0"/>
          <w:i w:val="0"/>
        </w:rPr>
        <w:t xml:space="preserve"> </w:t>
      </w:r>
      <w:hyperlink w:anchor="latin-record-0490">
        <w:r>
          <w:rPr>
            <w:color w:val="000000"/>
          </w:rPr>
          <w:t xml:space="preserve">finis (end and absence of end)</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884">
        <w:r>
          <w:rPr>
            <w:color w:val="000000"/>
          </w:rPr>
          <w:t xml:space="preserve">ortus / finis virtutis</w:t>
        </w:r>
      </w:hyperlink>
      <w:r>
        <w:rPr>
          <w:b w:val="0"/>
          <w:i w:val="0"/>
        </w:rPr>
        <w:t xml:space="preserve">; </w:t>
      </w:r>
      <w:hyperlink w:anchor="latin-record-0994">
        <w:r>
          <w:rPr>
            <w:color w:val="000000"/>
          </w:rPr>
          <w:t xml:space="preserve">principium / finis</w:t>
        </w:r>
      </w:hyperlink>
      <w:r>
        <w:rPr>
          <w:b w:val="0"/>
          <w:i w:val="0"/>
        </w:rPr>
        <w:t>.</w:t>
      </w:r>
    </w:p>
    <w:p>
      <w:pPr>
        <w:widowControl/>
      </w:pPr>
      <w:r>
        <w:rPr>
          <w:b/>
          <w:i w:val="0"/>
        </w:rPr>
        <w:t>finito.</w:t>
      </w:r>
      <w:r>
        <w:rPr>
          <w:b w:val="0"/>
          <w:i w:val="0"/>
        </w:rPr>
        <w:t xml:space="preserve"> </w:t>
      </w:r>
      <w:hyperlink w:anchor="latin-record-0089">
        <w:r>
          <w:rPr>
            <w:color w:val="000000"/>
          </w:rPr>
          <w:t xml:space="preserve">angelus finitus</w:t>
        </w:r>
      </w:hyperlink>
      <w:r>
        <w:rPr>
          <w:b w:val="0"/>
          <w:i w:val="0"/>
        </w:rPr>
        <w:t>.</w:t>
      </w:r>
    </w:p>
    <w:p>
      <w:pPr>
        <w:widowControl/>
      </w:pPr>
      <w:r>
        <w:rPr>
          <w:b/>
          <w:i w:val="0"/>
        </w:rPr>
        <w:t>finitum.</w:t>
      </w:r>
      <w:r>
        <w:rPr>
          <w:b w:val="0"/>
          <w:i w:val="0"/>
        </w:rPr>
        <w:t xml:space="preserve"> </w:t>
      </w:r>
      <w:hyperlink w:anchor="latin-record-0089">
        <w:r>
          <w:rPr>
            <w:color w:val="000000"/>
          </w:rPr>
          <w:t xml:space="preserve">angelus finitus</w:t>
        </w:r>
      </w:hyperlink>
      <w:r>
        <w:rPr>
          <w:b w:val="0"/>
          <w:i w:val="0"/>
        </w:rPr>
        <w:t>.</w:t>
      </w:r>
    </w:p>
    <w:p>
      <w:pPr>
        <w:widowControl/>
      </w:pPr>
      <w:r>
        <w:rPr>
          <w:b/>
          <w:i w:val="0"/>
        </w:rPr>
        <w:t>finximus.</w:t>
      </w:r>
      <w:r>
        <w:rPr>
          <w:b w:val="0"/>
          <w:i w:val="0"/>
        </w:rPr>
        <w:t xml:space="preserve"> </w:t>
      </w:r>
      <w:hyperlink w:anchor="latin-record-1020">
        <w:r>
          <w:rPr>
            <w:color w:val="000000"/>
          </w:rPr>
          <w:t xml:space="preserve">prospicere / effingere / fingere</w:t>
        </w:r>
      </w:hyperlink>
      <w:r>
        <w:rPr>
          <w:b w:val="0"/>
          <w:i w:val="0"/>
        </w:rPr>
        <w:t>.</w:t>
      </w:r>
    </w:p>
    <w:p>
      <w:pPr>
        <w:widowControl/>
      </w:pPr>
      <w:r>
        <w:rPr>
          <w:b/>
          <w:i w:val="0"/>
        </w:rPr>
        <w:t>fit.</w:t>
      </w:r>
      <w:r>
        <w:rPr>
          <w:b w:val="0"/>
          <w:i w:val="0"/>
        </w:rPr>
        <w:t xml:space="preserve"> </w:t>
      </w:r>
      <w:hyperlink w:anchor="latin-record-0444">
        <w:r>
          <w:rPr>
            <w:color w:val="000000"/>
          </w:rPr>
          <w:t xml:space="preserve">esse; habere; fieri</w:t>
        </w:r>
      </w:hyperlink>
      <w:r>
        <w:rPr>
          <w:b w:val="0"/>
          <w:i w:val="0"/>
        </w:rPr>
        <w:t xml:space="preserve">; </w:t>
      </w:r>
      <w:hyperlink w:anchor="latin-record-0473">
        <w:r>
          <w:rPr>
            <w:color w:val="000000"/>
          </w:rPr>
          <w:t xml:space="preserve">facere / fieri</w:t>
        </w:r>
      </w:hyperlink>
      <w:r>
        <w:rPr>
          <w:b w:val="0"/>
          <w:i w:val="0"/>
        </w:rPr>
        <w:t>.</w:t>
      </w:r>
    </w:p>
    <w:p>
      <w:pPr>
        <w:widowControl/>
      </w:pPr>
      <w:r>
        <w:rPr>
          <w:b/>
          <w:i w:val="0"/>
        </w:rPr>
        <w:t>Fit.</w:t>
      </w:r>
      <w:r>
        <w:rPr>
          <w:b w:val="0"/>
          <w:i w:val="0"/>
        </w:rPr>
        <w:t xml:space="preserve"> </w:t>
      </w:r>
      <w:hyperlink w:anchor="latin-record-0473">
        <w:r>
          <w:rPr>
            <w:color w:val="000000"/>
          </w:rPr>
          <w:t xml:space="preserve">facere / fieri</w:t>
        </w:r>
      </w:hyperlink>
      <w:r>
        <w:rPr>
          <w:b w:val="0"/>
          <w:i w:val="0"/>
        </w:rPr>
        <w:t>.</w:t>
      </w:r>
    </w:p>
    <w:p>
      <w:pPr>
        <w:widowControl/>
      </w:pPr>
      <w:r>
        <w:rPr>
          <w:b/>
          <w:i w:val="0"/>
        </w:rPr>
        <w:t>fiunt.</w:t>
      </w:r>
      <w:r>
        <w:rPr>
          <w:b w:val="0"/>
          <w:i w:val="0"/>
        </w:rPr>
        <w:t xml:space="preserve"> </w:t>
      </w:r>
      <w:hyperlink w:anchor="latin-record-0444">
        <w:r>
          <w:rPr>
            <w:color w:val="000000"/>
          </w:rPr>
          <w:t xml:space="preserve">esse; habere; fieri</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81">
        <w:r>
          <w:rPr>
            <w:color w:val="000000"/>
          </w:rPr>
          <w:t xml:space="preserve">fieri / facere</w:t>
        </w:r>
      </w:hyperlink>
      <w:r>
        <w:rPr>
          <w:b w:val="0"/>
          <w:i w:val="0"/>
        </w:rPr>
        <w:t>.</w:t>
      </w:r>
    </w:p>
    <w:p>
      <w:pPr>
        <w:widowControl/>
      </w:pPr>
      <w:r>
        <w:rPr>
          <w:b/>
          <w:i w:val="0"/>
        </w:rPr>
        <w:t>Fiunt.</w:t>
      </w:r>
      <w:r>
        <w:rPr>
          <w:b w:val="0"/>
          <w:i w:val="0"/>
        </w:rPr>
        <w:t xml:space="preserve"> </w:t>
      </w:r>
      <w:hyperlink w:anchor="latin-record-0474">
        <w:r>
          <w:rPr>
            <w:color w:val="000000"/>
          </w:rPr>
          <w:t xml:space="preserve">facere / fieri (further forms)</w:t>
        </w:r>
      </w:hyperlink>
      <w:r>
        <w:rPr>
          <w:b w:val="0"/>
          <w:i w:val="0"/>
        </w:rPr>
        <w:t xml:space="preserve">; </w:t>
      </w:r>
      <w:hyperlink w:anchor="latin-record-0481">
        <w:r>
          <w:rPr>
            <w:color w:val="000000"/>
          </w:rPr>
          <w:t xml:space="preserve">fieri / facere</w:t>
        </w:r>
      </w:hyperlink>
      <w:r>
        <w:rPr>
          <w:b w:val="0"/>
          <w:i w:val="0"/>
        </w:rPr>
        <w:t>.</w:t>
      </w:r>
    </w:p>
    <w:p>
      <w:pPr>
        <w:widowControl/>
      </w:pPr>
      <w:r>
        <w:rPr>
          <w:b/>
          <w:i w:val="0"/>
        </w:rPr>
        <w:t>flagrantia.</w:t>
      </w:r>
      <w:r>
        <w:rPr>
          <w:b w:val="0"/>
          <w:i w:val="0"/>
        </w:rPr>
        <w:t xml:space="preserve"> </w:t>
      </w:r>
      <w:hyperlink w:anchor="latin-record-0651">
        <w:r>
          <w:rPr>
            <w:color w:val="000000"/>
          </w:rPr>
          <w:t xml:space="preserve">inspirare / flagrare / aestus</w:t>
        </w:r>
      </w:hyperlink>
      <w:r>
        <w:rPr>
          <w:b w:val="0"/>
          <w:i w:val="0"/>
        </w:rPr>
        <w:t>.</w:t>
      </w:r>
    </w:p>
    <w:p>
      <w:pPr>
        <w:widowControl/>
      </w:pPr>
      <w:r>
        <w:rPr>
          <w:b/>
          <w:i w:val="0"/>
        </w:rPr>
        <w:t>flagrat.</w:t>
      </w:r>
      <w:r>
        <w:rPr>
          <w:b w:val="0"/>
          <w:i w:val="0"/>
        </w:rPr>
        <w:t xml:space="preserve"> </w:t>
      </w:r>
      <w:hyperlink w:anchor="latin-record-0651">
        <w:r>
          <w:rPr>
            <w:color w:val="000000"/>
          </w:rPr>
          <w:t xml:space="preserve">inspirare / flagrare / aestus</w:t>
        </w:r>
      </w:hyperlink>
      <w:r>
        <w:rPr>
          <w:b w:val="0"/>
          <w:i w:val="0"/>
        </w:rPr>
        <w:t>.</w:t>
      </w:r>
    </w:p>
    <w:p>
      <w:pPr>
        <w:widowControl/>
      </w:pPr>
      <w:r>
        <w:rPr>
          <w:b/>
          <w:i w:val="0"/>
        </w:rPr>
        <w:t>Flamma.</w:t>
      </w:r>
      <w:r>
        <w:rPr>
          <w:b w:val="0"/>
          <w:i w:val="0"/>
        </w:rPr>
        <w:t xml:space="preserve"> </w:t>
      </w:r>
      <w:hyperlink w:anchor="latin-record-0718">
        <w:r>
          <w:rPr>
            <w:color w:val="000000"/>
          </w:rPr>
          <w:t xml:space="preserve">lignum / flamma / flammula</w:t>
        </w:r>
      </w:hyperlink>
      <w:r>
        <w:rPr>
          <w:b w:val="0"/>
          <w:i w:val="0"/>
        </w:rPr>
        <w:t>.</w:t>
      </w:r>
    </w:p>
    <w:p>
      <w:pPr>
        <w:widowControl/>
      </w:pPr>
      <w:r>
        <w:rPr>
          <w:b/>
          <w:i w:val="0"/>
        </w:rPr>
        <w:t>flamma.</w:t>
      </w:r>
      <w:r>
        <w:rPr>
          <w:b w:val="0"/>
          <w:i w:val="0"/>
        </w:rPr>
        <w:t xml:space="preserve"> </w:t>
      </w:r>
      <w:hyperlink w:anchor="latin-record-0718">
        <w:r>
          <w:rPr>
            <w:color w:val="000000"/>
          </w:rPr>
          <w:t xml:space="preserve">lignum / flamma / flammula</w:t>
        </w:r>
      </w:hyperlink>
      <w:r>
        <w:rPr>
          <w:b w:val="0"/>
          <w:i w:val="0"/>
        </w:rPr>
        <w:t xml:space="preserve">; </w:t>
      </w:r>
      <w:hyperlink w:anchor="latin-record-1138">
        <w:r>
          <w:rPr>
            <w:color w:val="000000"/>
          </w:rPr>
          <w:t xml:space="preserve">scintilla; flamma</w:t>
        </w:r>
      </w:hyperlink>
      <w:r>
        <w:rPr>
          <w:b w:val="0"/>
          <w:i w:val="0"/>
        </w:rPr>
        <w:t>.</w:t>
      </w:r>
    </w:p>
    <w:p>
      <w:pPr>
        <w:widowControl/>
      </w:pPr>
      <w:r>
        <w:rPr>
          <w:b/>
          <w:i w:val="0"/>
        </w:rPr>
        <w:t>flammam.</w:t>
      </w:r>
      <w:r>
        <w:rPr>
          <w:b w:val="0"/>
          <w:i w:val="0"/>
        </w:rPr>
        <w:t xml:space="preserve"> </w:t>
      </w:r>
      <w:hyperlink w:anchor="latin-record-0718">
        <w:r>
          <w:rPr>
            <w:color w:val="000000"/>
          </w:rPr>
          <w:t xml:space="preserve">lignum / flamma / flammula</w:t>
        </w:r>
      </w:hyperlink>
      <w:r>
        <w:rPr>
          <w:b w:val="0"/>
          <w:i w:val="0"/>
        </w:rPr>
        <w:t>.</w:t>
      </w:r>
    </w:p>
    <w:p>
      <w:pPr>
        <w:widowControl/>
      </w:pPr>
      <w:r>
        <w:rPr>
          <w:b/>
          <w:i w:val="0"/>
        </w:rPr>
        <w:t>flammula.</w:t>
      </w:r>
      <w:r>
        <w:rPr>
          <w:b w:val="0"/>
          <w:i w:val="0"/>
        </w:rPr>
        <w:t xml:space="preserve"> </w:t>
      </w:r>
      <w:hyperlink w:anchor="latin-record-0718">
        <w:r>
          <w:rPr>
            <w:color w:val="000000"/>
          </w:rPr>
          <w:t xml:space="preserve">lignum / flamma / flammula</w:t>
        </w:r>
      </w:hyperlink>
      <w:r>
        <w:rPr>
          <w:b w:val="0"/>
          <w:i w:val="0"/>
        </w:rPr>
        <w:t>.</w:t>
      </w:r>
    </w:p>
    <w:p>
      <w:pPr>
        <w:widowControl/>
      </w:pPr>
      <w:r>
        <w:rPr>
          <w:b/>
          <w:i w:val="0"/>
        </w:rPr>
        <w:t>flatus alicuius instar.</w:t>
      </w:r>
      <w:r>
        <w:rPr>
          <w:b w:val="0"/>
          <w:i w:val="0"/>
        </w:rPr>
        <w:t xml:space="preserve"> </w:t>
      </w:r>
      <w:hyperlink w:anchor="latin-record-0494">
        <w:r>
          <w:rPr>
            <w:color w:val="000000"/>
          </w:rPr>
          <w:t xml:space="preserve">flatus; evanescere</w:t>
        </w:r>
      </w:hyperlink>
      <w:r>
        <w:rPr>
          <w:b w:val="0"/>
          <w:i w:val="0"/>
        </w:rPr>
        <w:t>.</w:t>
      </w:r>
    </w:p>
    <w:p>
      <w:pPr>
        <w:widowControl/>
      </w:pPr>
      <w:r>
        <w:rPr>
          <w:b/>
          <w:i w:val="0"/>
        </w:rPr>
        <w:t>fluentes.</w:t>
      </w:r>
      <w:r>
        <w:rPr>
          <w:b w:val="0"/>
          <w:i w:val="0"/>
        </w:rPr>
        <w:t xml:space="preserve"> </w:t>
      </w:r>
      <w:hyperlink w:anchor="latin-record-0495">
        <w:r>
          <w:rPr>
            <w:color w:val="000000"/>
          </w:rPr>
          <w:t xml:space="preserve">fluere</w:t>
        </w:r>
      </w:hyperlink>
      <w:r>
        <w:rPr>
          <w:b w:val="0"/>
          <w:i w:val="0"/>
        </w:rPr>
        <w:t>.</w:t>
      </w:r>
    </w:p>
    <w:p>
      <w:pPr>
        <w:widowControl/>
      </w:pPr>
      <w:r>
        <w:rPr>
          <w:b/>
          <w:i w:val="0"/>
        </w:rPr>
        <w:t>fluit.</w:t>
      </w:r>
      <w:r>
        <w:rPr>
          <w:b w:val="0"/>
          <w:i w:val="0"/>
        </w:rPr>
        <w:t xml:space="preserve"> </w:t>
      </w:r>
      <w:hyperlink w:anchor="latin-record-0426">
        <w:r>
          <w:rPr>
            <w:color w:val="000000"/>
          </w:rPr>
          <w:t xml:space="preserve">effluere; refluere</w:t>
        </w:r>
      </w:hyperlink>
      <w:r>
        <w:rPr>
          <w:b w:val="0"/>
          <w:i w:val="0"/>
        </w:rPr>
        <w:t xml:space="preserve">; </w:t>
      </w:r>
      <w:hyperlink w:anchor="latin-record-0495">
        <w:r>
          <w:rPr>
            <w:color w:val="000000"/>
          </w:rPr>
          <w:t xml:space="preserve">fluere</w:t>
        </w:r>
      </w:hyperlink>
      <w:r>
        <w:rPr>
          <w:b w:val="0"/>
          <w:i w:val="0"/>
        </w:rPr>
        <w:t>.</w:t>
      </w:r>
    </w:p>
    <w:p>
      <w:pPr>
        <w:widowControl/>
      </w:pPr>
      <w:r>
        <w:rPr>
          <w:b/>
          <w:i w:val="0"/>
        </w:rPr>
        <w:t>flumen.</w:t>
      </w:r>
      <w:r>
        <w:rPr>
          <w:b w:val="0"/>
          <w:i w:val="0"/>
        </w:rPr>
        <w:t xml:space="preserve"> </w:t>
      </w:r>
      <w:hyperlink w:anchor="latin-record-1391">
        <w:r>
          <w:rPr>
            <w:color w:val="000000"/>
          </w:rPr>
          <w:t xml:space="preserve">vultus; flumen; unda</w:t>
        </w:r>
      </w:hyperlink>
      <w:r>
        <w:rPr>
          <w:b w:val="0"/>
          <w:i w:val="0"/>
        </w:rPr>
        <w:t>.</w:t>
      </w:r>
    </w:p>
    <w:p>
      <w:pPr>
        <w:widowControl/>
      </w:pPr>
      <w:r>
        <w:rPr>
          <w:b/>
          <w:i w:val="0"/>
        </w:rPr>
        <w:t>fluxum.</w:t>
      </w:r>
      <w:r>
        <w:rPr>
          <w:b w:val="0"/>
          <w:i w:val="0"/>
        </w:rPr>
        <w:t xml:space="preserve"> </w:t>
      </w:r>
      <w:hyperlink w:anchor="latin-record-1198">
        <w:r>
          <w:rPr>
            <w:color w:val="000000"/>
          </w:rPr>
          <w:t xml:space="preserve">solidus / fluxus / labilis</w:t>
        </w:r>
      </w:hyperlink>
      <w:r>
        <w:rPr>
          <w:b w:val="0"/>
          <w:i w:val="0"/>
        </w:rPr>
        <w:t>.</w:t>
      </w:r>
    </w:p>
    <w:p>
      <w:pPr>
        <w:widowControl/>
      </w:pPr>
      <w:r>
        <w:rPr>
          <w:b/>
          <w:i w:val="0"/>
        </w:rPr>
        <w:t>fluxum et labile.</w:t>
      </w:r>
      <w:r>
        <w:rPr>
          <w:b w:val="0"/>
          <w:i w:val="0"/>
        </w:rPr>
        <w:t xml:space="preserve"> </w:t>
      </w:r>
      <w:hyperlink w:anchor="latin-record-0496">
        <w:r>
          <w:rPr>
            <w:color w:val="000000"/>
          </w:rPr>
          <w:t xml:space="preserve">fluxus; labilis; solidare</w:t>
        </w:r>
      </w:hyperlink>
      <w:r>
        <w:rPr>
          <w:b w:val="0"/>
          <w:i w:val="0"/>
        </w:rPr>
        <w:t>.</w:t>
      </w:r>
    </w:p>
    <w:p>
      <w:pPr>
        <w:widowControl/>
      </w:pPr>
      <w:r>
        <w:rPr>
          <w:b/>
          <w:i w:val="0"/>
        </w:rPr>
        <w:t>fluxum, solidum, album, nigrum.</w:t>
      </w:r>
      <w:r>
        <w:rPr>
          <w:b w:val="0"/>
          <w:i w:val="0"/>
        </w:rPr>
        <w:t xml:space="preserve"> </w:t>
      </w:r>
      <w:hyperlink w:anchor="latin-record-0497">
        <w:r>
          <w:rPr>
            <w:color w:val="000000"/>
          </w:rPr>
          <w:t xml:space="preserve">fluxus; solidus; albus; niger</w:t>
        </w:r>
      </w:hyperlink>
      <w:r>
        <w:rPr>
          <w:b w:val="0"/>
          <w:i w:val="0"/>
        </w:rPr>
        <w:t>.</w:t>
      </w:r>
    </w:p>
    <w:p>
      <w:pPr>
        <w:widowControl/>
      </w:pPr>
      <w:r>
        <w:rPr>
          <w:b/>
          <w:i w:val="0"/>
        </w:rPr>
        <w:t>foedari.</w:t>
      </w:r>
      <w:r>
        <w:rPr>
          <w:b w:val="0"/>
          <w:i w:val="0"/>
        </w:rPr>
        <w:t xml:space="preserve"> </w:t>
      </w:r>
      <w:hyperlink w:anchor="latin-record-0066">
        <w:r>
          <w:rPr>
            <w:color w:val="000000"/>
          </w:rPr>
          <w:t xml:space="preserve">albedo / inficere / foedare</w:t>
        </w:r>
      </w:hyperlink>
      <w:r>
        <w:rPr>
          <w:b w:val="0"/>
          <w:i w:val="0"/>
        </w:rPr>
        <w:t>.</w:t>
      </w:r>
    </w:p>
    <w:p>
      <w:pPr>
        <w:widowControl/>
      </w:pPr>
      <w:r>
        <w:rPr>
          <w:b/>
          <w:i w:val="0"/>
        </w:rPr>
        <w:t>foedius.</w:t>
      </w:r>
      <w:r>
        <w:rPr>
          <w:b w:val="0"/>
          <w:i w:val="0"/>
        </w:rPr>
        <w:t xml:space="preserve"> </w:t>
      </w:r>
      <w:hyperlink w:anchor="latin-record-1213">
        <w:r>
          <w:rPr>
            <w:color w:val="000000"/>
          </w:rPr>
          <w:t xml:space="preserve">speciosus / deformis</w:t>
        </w:r>
      </w:hyperlink>
      <w:r>
        <w:rPr>
          <w:b w:val="0"/>
          <w:i w:val="0"/>
        </w:rPr>
        <w:t>.</w:t>
      </w:r>
    </w:p>
    <w:p>
      <w:pPr>
        <w:widowControl/>
      </w:pPr>
      <w:r>
        <w:rPr>
          <w:b/>
          <w:i w:val="0"/>
        </w:rPr>
        <w:t>fomento.</w:t>
      </w:r>
      <w:r>
        <w:rPr>
          <w:b w:val="0"/>
          <w:i w:val="0"/>
        </w:rPr>
        <w:t xml:space="preserve"> </w:t>
      </w:r>
      <w:hyperlink w:anchor="latin-record-0188">
        <w:r>
          <w:rPr>
            <w:color w:val="000000"/>
          </w:rPr>
          <w:t xml:space="preserve">capacitas; fomentum</w:t>
        </w:r>
      </w:hyperlink>
      <w:r>
        <w:rPr>
          <w:b w:val="0"/>
          <w:i w:val="0"/>
        </w:rPr>
        <w:t>.</w:t>
      </w:r>
    </w:p>
    <w:p>
      <w:pPr>
        <w:widowControl/>
      </w:pPr>
      <w:r>
        <w:rPr>
          <w:b/>
          <w:i w:val="0"/>
        </w:rPr>
        <w:t>fomite.</w:t>
      </w:r>
      <w:r>
        <w:rPr>
          <w:b w:val="0"/>
          <w:i w:val="0"/>
        </w:rPr>
        <w:t xml:space="preserve"> </w:t>
      </w:r>
      <w:hyperlink w:anchor="latin-record-0498">
        <w:r>
          <w:rPr>
            <w:color w:val="000000"/>
          </w:rPr>
          <w:t xml:space="preserve">fomes</w:t>
        </w:r>
      </w:hyperlink>
      <w:r>
        <w:rPr>
          <w:b w:val="0"/>
          <w:i w:val="0"/>
        </w:rPr>
        <w:t>.</w:t>
      </w:r>
    </w:p>
    <w:p>
      <w:pPr>
        <w:widowControl/>
      </w:pPr>
      <w:r>
        <w:rPr>
          <w:b/>
          <w:i w:val="0"/>
        </w:rPr>
        <w:t>fomitem.</w:t>
      </w:r>
      <w:r>
        <w:rPr>
          <w:b w:val="0"/>
          <w:i w:val="0"/>
        </w:rPr>
        <w:t xml:space="preserve"> </w:t>
      </w:r>
      <w:hyperlink w:anchor="latin-record-0498">
        <w:r>
          <w:rPr>
            <w:color w:val="000000"/>
          </w:rPr>
          <w:t xml:space="preserve">fomes</w:t>
        </w:r>
      </w:hyperlink>
      <w:r>
        <w:rPr>
          <w:b w:val="0"/>
          <w:i w:val="0"/>
        </w:rPr>
        <w:t>.</w:t>
      </w:r>
    </w:p>
    <w:p>
      <w:pPr>
        <w:widowControl/>
      </w:pPr>
      <w:r>
        <w:rPr>
          <w:b/>
          <w:i w:val="0"/>
        </w:rPr>
        <w:t>fons.</w:t>
      </w:r>
      <w:r>
        <w:rPr>
          <w:b w:val="0"/>
          <w:i w:val="0"/>
        </w:rPr>
        <w:t xml:space="preserve"> </w:t>
      </w:r>
      <w:hyperlink w:anchor="latin-record-0499">
        <w:r>
          <w:rPr>
            <w:color w:val="000000"/>
          </w:rPr>
          <w:t xml:space="preserve">fons / receptaculum naturale</w:t>
        </w:r>
      </w:hyperlink>
      <w:r>
        <w:rPr>
          <w:b w:val="0"/>
          <w:i w:val="0"/>
        </w:rPr>
        <w:t xml:space="preserve">; </w:t>
      </w:r>
      <w:hyperlink w:anchor="latin-record-0500">
        <w:r>
          <w:rPr>
            <w:color w:val="000000"/>
          </w:rPr>
          <w:t xml:space="preserve">fons / subiectum virtutis</w:t>
        </w:r>
      </w:hyperlink>
      <w:r>
        <w:rPr>
          <w:b w:val="0"/>
          <w:i w:val="0"/>
        </w:rPr>
        <w:t>.</w:t>
      </w:r>
    </w:p>
    <w:p>
      <w:pPr>
        <w:widowControl/>
      </w:pPr>
      <w:r>
        <w:rPr>
          <w:b/>
          <w:i w:val="0"/>
        </w:rPr>
        <w:t>Fons.</w:t>
      </w:r>
      <w:r>
        <w:rPr>
          <w:b w:val="0"/>
          <w:i w:val="0"/>
        </w:rPr>
        <w:t xml:space="preserve"> </w:t>
      </w:r>
      <w:hyperlink w:anchor="latin-record-0501">
        <w:r>
          <w:rPr>
            <w:color w:val="000000"/>
          </w:rPr>
          <w:t xml:space="preserve">fons essendi</w:t>
        </w:r>
      </w:hyperlink>
      <w:r>
        <w:rPr>
          <w:b w:val="0"/>
          <w:i w:val="0"/>
        </w:rPr>
        <w:t>.</w:t>
      </w:r>
    </w:p>
    <w:p>
      <w:pPr>
        <w:widowControl/>
      </w:pPr>
      <w:r>
        <w:rPr>
          <w:b/>
          <w:i w:val="0"/>
        </w:rPr>
        <w:t>fons et receptaculum motionis.</w:t>
      </w:r>
      <w:r>
        <w:rPr>
          <w:b w:val="0"/>
          <w:i w:val="0"/>
        </w:rPr>
        <w:t xml:space="preserve"> </w:t>
      </w:r>
      <w:hyperlink w:anchor="latin-record-0502">
        <w:r>
          <w:rPr>
            <w:color w:val="000000"/>
          </w:rPr>
          <w:t xml:space="preserve">fons; receptaculum</w:t>
        </w:r>
      </w:hyperlink>
      <w:r>
        <w:rPr>
          <w:b w:val="0"/>
          <w:i w:val="0"/>
        </w:rPr>
        <w:t>.</w:t>
      </w:r>
    </w:p>
    <w:p>
      <w:pPr>
        <w:widowControl/>
      </w:pPr>
      <w:r>
        <w:rPr>
          <w:b/>
          <w:i w:val="0"/>
        </w:rPr>
        <w:t>fontem essendi.</w:t>
      </w:r>
      <w:r>
        <w:rPr>
          <w:b w:val="0"/>
          <w:i w:val="0"/>
        </w:rPr>
        <w:t xml:space="preserve"> </w:t>
      </w:r>
      <w:hyperlink w:anchor="latin-record-0501">
        <w:r>
          <w:rPr>
            <w:color w:val="000000"/>
          </w:rPr>
          <w:t xml:space="preserve">fons essendi</w:t>
        </w:r>
      </w:hyperlink>
      <w:r>
        <w:rPr>
          <w:b w:val="0"/>
          <w:i w:val="0"/>
        </w:rPr>
        <w:t>.</w:t>
      </w:r>
    </w:p>
    <w:p>
      <w:pPr>
        <w:widowControl/>
      </w:pPr>
      <w:r>
        <w:rPr>
          <w:b/>
          <w:i w:val="0"/>
        </w:rPr>
        <w:t>fore.</w:t>
      </w:r>
      <w:r>
        <w:rPr>
          <w:b w:val="0"/>
          <w:i w:val="0"/>
        </w:rPr>
        <w:t xml:space="preserve"> </w:t>
      </w:r>
      <w:hyperlink w:anchor="latin-record-0444">
        <w:r>
          <w:rPr>
            <w:color w:val="000000"/>
          </w:rPr>
          <w:t xml:space="preserve">esse; habere; fieri</w:t>
        </w:r>
      </w:hyperlink>
      <w:r>
        <w:rPr>
          <w:b w:val="0"/>
          <w:i w:val="0"/>
        </w:rPr>
        <w:t>.</w:t>
      </w:r>
    </w:p>
    <w:p>
      <w:pPr>
        <w:widowControl/>
      </w:pPr>
      <w:r>
        <w:rPr>
          <w:b/>
          <w:i w:val="0"/>
        </w:rPr>
        <w:t>foret.</w:t>
      </w:r>
      <w:r>
        <w:rPr>
          <w:b w:val="0"/>
          <w:i w:val="0"/>
        </w:rPr>
        <w:t xml:space="preserve"> </w:t>
      </w:r>
      <w:hyperlink w:anchor="latin-record-0444">
        <w:r>
          <w:rPr>
            <w:color w:val="000000"/>
          </w:rPr>
          <w:t xml:space="preserve">esse; habere; fieri</w:t>
        </w:r>
      </w:hyperlink>
      <w:r>
        <w:rPr>
          <w:b w:val="0"/>
          <w:i w:val="0"/>
        </w:rPr>
        <w:t>.</w:t>
      </w:r>
    </w:p>
    <w:p>
      <w:pPr>
        <w:widowControl/>
      </w:pPr>
      <w:r>
        <w:rPr>
          <w:b/>
          <w:i w:val="0"/>
        </w:rPr>
        <w:t>Forma.</w:t>
      </w:r>
      <w:r>
        <w:rPr>
          <w:b w:val="0"/>
          <w:i w:val="0"/>
        </w:rPr>
        <w:t xml:space="preserve"> </w:t>
      </w:r>
      <w:hyperlink w:anchor="latin-record-0503">
        <w:r>
          <w:rPr>
            <w:color w:val="000000"/>
          </w:rPr>
          <w:t xml:space="preserve">forma</w:t>
        </w:r>
      </w:hyperlink>
      <w:r>
        <w:rPr>
          <w:b w:val="0"/>
          <w:i w:val="0"/>
        </w:rPr>
        <w:t>.</w:t>
      </w:r>
    </w:p>
    <w:p>
      <w:pPr>
        <w:widowControl/>
      </w:pPr>
      <w:r>
        <w:rPr>
          <w:b/>
          <w:i w:val="0"/>
        </w:rPr>
        <w:t>forma.</w:t>
      </w:r>
      <w:r>
        <w:rPr>
          <w:b w:val="0"/>
          <w:i w:val="0"/>
        </w:rPr>
        <w:t xml:space="preserve"> </w:t>
      </w:r>
      <w:hyperlink w:anchor="latin-record-0503">
        <w:r>
          <w:rPr>
            <w:color w:val="000000"/>
          </w:rPr>
          <w:t xml:space="preserve">forma</w:t>
        </w:r>
      </w:hyperlink>
      <w:r>
        <w:rPr>
          <w:b w:val="0"/>
          <w:i w:val="0"/>
        </w:rPr>
        <w:t>.</w:t>
      </w:r>
    </w:p>
    <w:p>
      <w:pPr>
        <w:widowControl/>
      </w:pPr>
      <w:r>
        <w:rPr>
          <w:b/>
          <w:i w:val="0"/>
        </w:rPr>
        <w:t>forma istis astricta.</w:t>
      </w:r>
      <w:r>
        <w:rPr>
          <w:b w:val="0"/>
          <w:i w:val="0"/>
        </w:rPr>
        <w:t xml:space="preserve"> </w:t>
      </w:r>
      <w:hyperlink w:anchor="latin-record-1179">
        <w:r>
          <w:rPr>
            <w:color w:val="000000"/>
          </w:rPr>
          <w:t xml:space="preserve">simplex qualitas / forma astricta</w:t>
        </w:r>
      </w:hyperlink>
      <w:r>
        <w:rPr>
          <w:b w:val="0"/>
          <w:i w:val="0"/>
        </w:rPr>
        <w:t>.</w:t>
      </w:r>
    </w:p>
    <w:p>
      <w:pPr>
        <w:widowControl/>
      </w:pPr>
      <w:r>
        <w:rPr>
          <w:b/>
          <w:i w:val="0"/>
        </w:rPr>
        <w:t>forma sequens complexionem.</w:t>
      </w:r>
      <w:r>
        <w:rPr>
          <w:b w:val="0"/>
          <w:i w:val="0"/>
        </w:rPr>
        <w:t xml:space="preserve"> </w:t>
      </w:r>
      <w:hyperlink w:anchor="latin-record-1179">
        <w:r>
          <w:rPr>
            <w:color w:val="000000"/>
          </w:rPr>
          <w:t xml:space="preserve">simplex qualitas / forma astricta</w:t>
        </w:r>
      </w:hyperlink>
      <w:r>
        <w:rPr>
          <w:b w:val="0"/>
          <w:i w:val="0"/>
        </w:rPr>
        <w:t>.</w:t>
      </w:r>
    </w:p>
    <w:p>
      <w:pPr>
        <w:widowControl/>
      </w:pPr>
      <w:r>
        <w:rPr>
          <w:b/>
          <w:i w:val="0"/>
        </w:rPr>
        <w:t>formabile.</w:t>
      </w:r>
      <w:r>
        <w:rPr>
          <w:b w:val="0"/>
          <w:i w:val="0"/>
        </w:rPr>
        <w:t xml:space="preserve"> </w:t>
      </w:r>
      <w:hyperlink w:anchor="latin-record-0509">
        <w:r>
          <w:rPr>
            <w:color w:val="000000"/>
          </w:rPr>
          <w:t xml:space="preserve">formabile / formator</w:t>
        </w:r>
      </w:hyperlink>
      <w:r>
        <w:rPr>
          <w:b w:val="0"/>
          <w:i w:val="0"/>
        </w:rPr>
        <w:t>.</w:t>
      </w:r>
    </w:p>
    <w:p>
      <w:pPr>
        <w:widowControl/>
      </w:pPr>
      <w:r>
        <w:rPr>
          <w:b/>
          <w:i w:val="0"/>
        </w:rPr>
        <w:t>formae.</w:t>
      </w:r>
      <w:r>
        <w:rPr>
          <w:b w:val="0"/>
          <w:i w:val="0"/>
        </w:rPr>
        <w:t xml:space="preserve"> </w:t>
      </w:r>
      <w:hyperlink w:anchor="latin-record-0503">
        <w:r>
          <w:rPr>
            <w:color w:val="000000"/>
          </w:rPr>
          <w:t xml:space="preserve">forma</w:t>
        </w:r>
      </w:hyperlink>
      <w:r>
        <w:rPr>
          <w:b w:val="0"/>
          <w:i w:val="0"/>
        </w:rPr>
        <w:t xml:space="preserve">; </w:t>
      </w:r>
      <w:hyperlink w:anchor="latin-record-0504">
        <w:r>
          <w:rPr>
            <w:color w:val="000000"/>
          </w:rPr>
          <w:t xml:space="preserve">forma / qualitas</w:t>
        </w:r>
      </w:hyperlink>
      <w:r>
        <w:rPr>
          <w:b w:val="0"/>
          <w:i w:val="0"/>
        </w:rPr>
        <w:t>.</w:t>
      </w:r>
    </w:p>
    <w:p>
      <w:pPr>
        <w:widowControl/>
      </w:pPr>
      <w:r>
        <w:rPr>
          <w:b/>
          <w:i w:val="0"/>
        </w:rPr>
        <w:t>Formae.</w:t>
      </w:r>
      <w:r>
        <w:rPr>
          <w:b w:val="0"/>
          <w:i w:val="0"/>
        </w:rPr>
        <w:t xml:space="preserve"> </w:t>
      </w:r>
      <w:hyperlink w:anchor="latin-record-0503">
        <w:r>
          <w:rPr>
            <w:color w:val="000000"/>
          </w:rPr>
          <w:t xml:space="preserve">forma</w:t>
        </w:r>
      </w:hyperlink>
      <w:r>
        <w:rPr>
          <w:b w:val="0"/>
          <w:i w:val="0"/>
        </w:rPr>
        <w:t>.</w:t>
      </w:r>
    </w:p>
    <w:p>
      <w:pPr>
        <w:widowControl/>
      </w:pPr>
      <w:r>
        <w:rPr>
          <w:b/>
          <w:i w:val="0"/>
        </w:rPr>
        <w:t>formalis.</w:t>
      </w:r>
      <w:r>
        <w:rPr>
          <w:b w:val="0"/>
          <w:i w:val="0"/>
        </w:rPr>
        <w:t xml:space="preserve"> </w:t>
      </w:r>
      <w:hyperlink w:anchor="latin-record-0842">
        <w:r>
          <w:rPr>
            <w:color w:val="000000"/>
          </w:rPr>
          <w:t xml:space="preserve">non efficiens sed formalis</w:t>
        </w:r>
      </w:hyperlink>
      <w:r>
        <w:rPr>
          <w:b w:val="0"/>
          <w:i w:val="0"/>
        </w:rPr>
        <w:t>.</w:t>
      </w:r>
    </w:p>
    <w:p>
      <w:pPr>
        <w:widowControl/>
      </w:pPr>
      <w:r>
        <w:rPr>
          <w:b/>
          <w:i w:val="0"/>
        </w:rPr>
        <w:t>formam.</w:t>
      </w:r>
      <w:r>
        <w:rPr>
          <w:b w:val="0"/>
          <w:i w:val="0"/>
        </w:rPr>
        <w:t xml:space="preserve"> </w:t>
      </w:r>
      <w:hyperlink w:anchor="latin-record-0503">
        <w:r>
          <w:rPr>
            <w:color w:val="000000"/>
          </w:rPr>
          <w:t xml:space="preserve">forma</w:t>
        </w:r>
      </w:hyperlink>
      <w:r>
        <w:rPr>
          <w:b w:val="0"/>
          <w:i w:val="0"/>
        </w:rPr>
        <w:t xml:space="preserve">; </w:t>
      </w:r>
      <w:hyperlink w:anchor="latin-record-0504">
        <w:r>
          <w:rPr>
            <w:color w:val="000000"/>
          </w:rPr>
          <w:t xml:space="preserve">forma / qualitas</w:t>
        </w:r>
      </w:hyperlink>
      <w:r>
        <w:rPr>
          <w:b w:val="0"/>
          <w:i w:val="0"/>
        </w:rPr>
        <w:t xml:space="preserve">; </w:t>
      </w:r>
      <w:hyperlink w:anchor="latin-record-0508">
        <w:r>
          <w:rPr>
            <w:color w:val="000000"/>
          </w:rPr>
          <w:t xml:space="preserve">forma vivifica</w:t>
        </w:r>
      </w:hyperlink>
      <w:r>
        <w:rPr>
          <w:b w:val="0"/>
          <w:i w:val="0"/>
        </w:rPr>
        <w:t xml:space="preserve">; </w:t>
      </w:r>
      <w:hyperlink w:anchor="latin-record-0806">
        <w:r>
          <w:rPr>
            <w:color w:val="000000"/>
          </w:rPr>
          <w:t xml:space="preserve">motor / rector / una forma</w:t>
        </w:r>
      </w:hyperlink>
      <w:r>
        <w:rPr>
          <w:b w:val="0"/>
          <w:i w:val="0"/>
        </w:rPr>
        <w:t>.</w:t>
      </w:r>
    </w:p>
    <w:p>
      <w:pPr>
        <w:widowControl/>
      </w:pPr>
      <w:r>
        <w:rPr>
          <w:b/>
          <w:i w:val="0"/>
        </w:rPr>
        <w:t>formam accidentalem.</w:t>
      </w:r>
      <w:r>
        <w:rPr>
          <w:b w:val="0"/>
          <w:i w:val="0"/>
        </w:rPr>
        <w:t xml:space="preserve"> </w:t>
      </w:r>
      <w:hyperlink w:anchor="latin-record-0505">
        <w:r>
          <w:rPr>
            <w:color w:val="000000"/>
          </w:rPr>
          <w:t xml:space="preserve">forma accidentalis / substantialis</w:t>
        </w:r>
      </w:hyperlink>
      <w:r>
        <w:rPr>
          <w:b w:val="0"/>
          <w:i w:val="0"/>
        </w:rPr>
        <w:t>.</w:t>
      </w:r>
    </w:p>
    <w:p>
      <w:pPr>
        <w:widowControl/>
      </w:pPr>
      <w:r>
        <w:rPr>
          <w:b/>
          <w:i w:val="0"/>
        </w:rPr>
        <w:t>formam quandam.</w:t>
      </w:r>
      <w:r>
        <w:rPr>
          <w:b w:val="0"/>
          <w:i w:val="0"/>
        </w:rPr>
        <w:t xml:space="preserve"> </w:t>
      </w:r>
      <w:hyperlink w:anchor="latin-record-0267">
        <w:r>
          <w:rPr>
            <w:color w:val="000000"/>
          </w:rPr>
          <w:t xml:space="preserve">compositum / forma communis</w:t>
        </w:r>
      </w:hyperlink>
      <w:r>
        <w:rPr>
          <w:b w:val="0"/>
          <w:i w:val="0"/>
        </w:rPr>
        <w:t>.</w:t>
      </w:r>
    </w:p>
    <w:p>
      <w:pPr>
        <w:widowControl/>
      </w:pPr>
      <w:r>
        <w:rPr>
          <w:b/>
          <w:i w:val="0"/>
        </w:rPr>
        <w:t>formantis.</w:t>
      </w:r>
      <w:r>
        <w:rPr>
          <w:b w:val="0"/>
          <w:i w:val="0"/>
        </w:rPr>
        <w:t xml:space="preserve"> </w:t>
      </w:r>
      <w:hyperlink w:anchor="latin-record-0509">
        <w:r>
          <w:rPr>
            <w:color w:val="000000"/>
          </w:rPr>
          <w:t xml:space="preserve">formabile / formator</w:t>
        </w:r>
      </w:hyperlink>
      <w:r>
        <w:rPr>
          <w:b w:val="0"/>
          <w:i w:val="0"/>
        </w:rPr>
        <w:t>.</w:t>
      </w:r>
    </w:p>
    <w:p>
      <w:pPr>
        <w:widowControl/>
      </w:pPr>
      <w:r>
        <w:rPr>
          <w:b/>
          <w:i w:val="0"/>
        </w:rPr>
        <w:t>formantis lege.</w:t>
      </w:r>
      <w:r>
        <w:rPr>
          <w:b w:val="0"/>
          <w:i w:val="0"/>
        </w:rPr>
        <w:t xml:space="preserve"> </w:t>
      </w:r>
      <w:hyperlink w:anchor="latin-record-0711">
        <w:r>
          <w:rPr>
            <w:color w:val="000000"/>
          </w:rPr>
          <w:t xml:space="preserve">lex formantis</w:t>
        </w:r>
      </w:hyperlink>
      <w:r>
        <w:rPr>
          <w:b w:val="0"/>
          <w:i w:val="0"/>
        </w:rPr>
        <w:t>.</w:t>
      </w:r>
    </w:p>
    <w:p>
      <w:pPr>
        <w:widowControl/>
      </w:pPr>
      <w:r>
        <w:rPr>
          <w:b/>
          <w:i w:val="0"/>
        </w:rPr>
        <w:t>Formare vero se ipsam anima nova nequit.</w:t>
      </w:r>
      <w:r>
        <w:rPr>
          <w:b w:val="0"/>
          <w:i w:val="0"/>
        </w:rPr>
        <w:t xml:space="preserve"> </w:t>
      </w:r>
      <w:hyperlink w:anchor="latin-record-0511">
        <w:r>
          <w:rPr>
            <w:color w:val="000000"/>
          </w:rPr>
          <w:t xml:space="preserve">formare se ipsam</w:t>
        </w:r>
      </w:hyperlink>
      <w:r>
        <w:rPr>
          <w:b w:val="0"/>
          <w:i w:val="0"/>
        </w:rPr>
        <w:t>.</w:t>
      </w:r>
    </w:p>
    <w:p>
      <w:pPr>
        <w:widowControl/>
      </w:pPr>
      <w:r>
        <w:rPr>
          <w:b/>
          <w:i w:val="0"/>
        </w:rPr>
        <w:t>formari non potest.</w:t>
      </w:r>
      <w:r>
        <w:rPr>
          <w:b w:val="0"/>
          <w:i w:val="0"/>
        </w:rPr>
        <w:t xml:space="preserve"> </w:t>
      </w:r>
      <w:hyperlink w:anchor="latin-record-0512">
        <w:r>
          <w:rPr>
            <w:color w:val="000000"/>
          </w:rPr>
          <w:t xml:space="preserve">formari</w:t>
        </w:r>
      </w:hyperlink>
      <w:r>
        <w:rPr>
          <w:b w:val="0"/>
          <w:i w:val="0"/>
        </w:rPr>
        <w:t>.</w:t>
      </w:r>
    </w:p>
    <w:p>
      <w:pPr>
        <w:widowControl/>
      </w:pPr>
      <w:r>
        <w:rPr>
          <w:b/>
          <w:i w:val="0"/>
        </w:rPr>
        <w:t>formarum.</w:t>
      </w:r>
      <w:r>
        <w:rPr>
          <w:b w:val="0"/>
          <w:i w:val="0"/>
        </w:rPr>
        <w:t xml:space="preserve"> </w:t>
      </w:r>
      <w:hyperlink w:anchor="latin-record-0503">
        <w:r>
          <w:rPr>
            <w:color w:val="000000"/>
          </w:rPr>
          <w:t xml:space="preserve">forma</w:t>
        </w:r>
      </w:hyperlink>
      <w:r>
        <w:rPr>
          <w:b w:val="0"/>
          <w:i w:val="0"/>
        </w:rPr>
        <w:t>.</w:t>
      </w:r>
    </w:p>
    <w:p>
      <w:pPr>
        <w:widowControl/>
      </w:pPr>
      <w:r>
        <w:rPr>
          <w:b/>
          <w:i w:val="0"/>
        </w:rPr>
        <w:t>formas.</w:t>
      </w:r>
      <w:r>
        <w:rPr>
          <w:b w:val="0"/>
          <w:i w:val="0"/>
        </w:rPr>
        <w:t xml:space="preserve"> </w:t>
      </w:r>
      <w:hyperlink w:anchor="latin-record-0503">
        <w:r>
          <w:rPr>
            <w:color w:val="000000"/>
          </w:rPr>
          <w:t xml:space="preserve">forma</w:t>
        </w:r>
      </w:hyperlink>
      <w:r>
        <w:rPr>
          <w:b w:val="0"/>
          <w:i w:val="0"/>
        </w:rPr>
        <w:t xml:space="preserve">; </w:t>
      </w:r>
      <w:hyperlink w:anchor="latin-record-0504">
        <w:r>
          <w:rPr>
            <w:color w:val="000000"/>
          </w:rPr>
          <w:t xml:space="preserve">forma / qualitas</w:t>
        </w:r>
      </w:hyperlink>
      <w:r>
        <w:rPr>
          <w:b w:val="0"/>
          <w:i w:val="0"/>
        </w:rPr>
        <w:t xml:space="preserve">; </w:t>
      </w:r>
      <w:hyperlink w:anchor="latin-record-0506">
        <w:r>
          <w:rPr>
            <w:color w:val="000000"/>
          </w:rPr>
          <w:t xml:space="preserve">forma segregata; subiectum</w:t>
        </w:r>
      </w:hyperlink>
      <w:r>
        <w:rPr>
          <w:b w:val="0"/>
          <w:i w:val="0"/>
        </w:rPr>
        <w:t>.</w:t>
      </w:r>
    </w:p>
    <w:p>
      <w:pPr>
        <w:widowControl/>
      </w:pPr>
      <w:r>
        <w:rPr>
          <w:b/>
          <w:i w:val="0"/>
        </w:rPr>
        <w:t>format.</w:t>
      </w:r>
      <w:r>
        <w:rPr>
          <w:b w:val="0"/>
          <w:i w:val="0"/>
        </w:rPr>
        <w:t xml:space="preserve"> </w:t>
      </w:r>
      <w:hyperlink w:anchor="latin-record-0510">
        <w:r>
          <w:rPr>
            <w:color w:val="000000"/>
          </w:rPr>
          <w:t xml:space="preserve">formare / perficere (intellectual self-formation)</w:t>
        </w:r>
      </w:hyperlink>
      <w:r>
        <w:rPr>
          <w:b w:val="0"/>
          <w:i w:val="0"/>
        </w:rPr>
        <w:t>.</w:t>
      </w:r>
    </w:p>
    <w:p>
      <w:pPr>
        <w:widowControl/>
      </w:pPr>
      <w:r>
        <w:rPr>
          <w:b/>
          <w:i w:val="0"/>
        </w:rPr>
        <w:t>formator.</w:t>
      </w:r>
      <w:r>
        <w:rPr>
          <w:b w:val="0"/>
          <w:i w:val="0"/>
        </w:rPr>
        <w:t xml:space="preserve"> </w:t>
      </w:r>
      <w:hyperlink w:anchor="latin-record-0509">
        <w:r>
          <w:rPr>
            <w:color w:val="000000"/>
          </w:rPr>
          <w:t xml:space="preserve">formabile / formator</w:t>
        </w:r>
      </w:hyperlink>
      <w:r>
        <w:rPr>
          <w:b w:val="0"/>
          <w:i w:val="0"/>
        </w:rPr>
        <w:t>.</w:t>
      </w:r>
    </w:p>
    <w:p>
      <w:pPr>
        <w:widowControl/>
      </w:pPr>
      <w:r>
        <w:rPr>
          <w:b/>
          <w:i w:val="0"/>
        </w:rPr>
        <w:t>formatore.</w:t>
      </w:r>
      <w:r>
        <w:rPr>
          <w:b w:val="0"/>
          <w:i w:val="0"/>
        </w:rPr>
        <w:t xml:space="preserve"> </w:t>
      </w:r>
      <w:hyperlink w:anchor="latin-record-0509">
        <w:r>
          <w:rPr>
            <w:color w:val="000000"/>
          </w:rPr>
          <w:t xml:space="preserve">formabile / formator</w:t>
        </w:r>
      </w:hyperlink>
      <w:r>
        <w:rPr>
          <w:b w:val="0"/>
          <w:i w:val="0"/>
        </w:rPr>
        <w:t>.</w:t>
      </w:r>
    </w:p>
    <w:p>
      <w:pPr>
        <w:widowControl/>
      </w:pPr>
      <w:r>
        <w:rPr>
          <w:b/>
          <w:i w:val="0"/>
        </w:rPr>
        <w:t>formatur a corpore.</w:t>
      </w:r>
      <w:r>
        <w:rPr>
          <w:b w:val="0"/>
          <w:i w:val="0"/>
        </w:rPr>
        <w:t xml:space="preserve"> </w:t>
      </w:r>
      <w:hyperlink w:anchor="latin-record-0513">
        <w:r>
          <w:rPr>
            <w:color w:val="000000"/>
          </w:rPr>
          <w:t xml:space="preserve">formari a corpore</w:t>
        </w:r>
      </w:hyperlink>
      <w:r>
        <w:rPr>
          <w:b w:val="0"/>
          <w:i w:val="0"/>
        </w:rPr>
        <w:t>.</w:t>
      </w:r>
    </w:p>
    <w:p>
      <w:pPr>
        <w:widowControl/>
      </w:pPr>
      <w:r>
        <w:rPr>
          <w:b/>
          <w:i w:val="0"/>
        </w:rPr>
        <w:t>formetur.</w:t>
      </w:r>
      <w:r>
        <w:rPr>
          <w:b w:val="0"/>
          <w:i w:val="0"/>
        </w:rPr>
        <w:t xml:space="preserve"> </w:t>
      </w:r>
      <w:hyperlink w:anchor="latin-record-0510">
        <w:r>
          <w:rPr>
            <w:color w:val="000000"/>
          </w:rPr>
          <w:t xml:space="preserve">formare / perficere (intellectual self-formation)</w:t>
        </w:r>
      </w:hyperlink>
      <w:r>
        <w:rPr>
          <w:b w:val="0"/>
          <w:i w:val="0"/>
        </w:rPr>
        <w:t>.</w:t>
      </w:r>
    </w:p>
    <w:p>
      <w:pPr>
        <w:widowControl/>
      </w:pPr>
      <w:r>
        <w:rPr>
          <w:b/>
          <w:i w:val="0"/>
        </w:rPr>
        <w:t>formicae.</w:t>
      </w:r>
      <w:r>
        <w:rPr>
          <w:b w:val="0"/>
          <w:i w:val="0"/>
        </w:rPr>
        <w:t xml:space="preserve"> </w:t>
      </w:r>
      <w:hyperlink w:anchor="latin-record-0186">
        <w:r>
          <w:rPr>
            <w:color w:val="000000"/>
          </w:rPr>
          <w:t xml:space="preserve">canis / formica / equus / elephas / sol</w:t>
        </w:r>
      </w:hyperlink>
      <w:r>
        <w:rPr>
          <w:b w:val="0"/>
          <w:i w:val="0"/>
        </w:rPr>
        <w:t>.</w:t>
      </w:r>
    </w:p>
    <w:p>
      <w:pPr>
        <w:widowControl/>
      </w:pPr>
      <w:r>
        <w:rPr>
          <w:b/>
          <w:i w:val="0"/>
        </w:rPr>
        <w:t>formidini.</w:t>
      </w:r>
      <w:r>
        <w:rPr>
          <w:b w:val="0"/>
          <w:i w:val="0"/>
        </w:rPr>
        <w:t xml:space="preserve"> </w:t>
      </w:r>
      <w:hyperlink w:anchor="latin-record-0516">
        <w:r>
          <w:rPr>
            <w:color w:val="000000"/>
          </w:rPr>
          <w:t xml:space="preserve">fortitudo / timor</w:t>
        </w:r>
      </w:hyperlink>
      <w:r>
        <w:rPr>
          <w:b w:val="0"/>
          <w:i w:val="0"/>
        </w:rPr>
        <w:t>.</w:t>
      </w:r>
    </w:p>
    <w:p>
      <w:pPr>
        <w:widowControl/>
      </w:pPr>
      <w:r>
        <w:rPr>
          <w:b/>
          <w:i w:val="0"/>
        </w:rPr>
        <w:t>formis.</w:t>
      </w:r>
      <w:r>
        <w:rPr>
          <w:b w:val="0"/>
          <w:i w:val="0"/>
        </w:rPr>
        <w:t xml:space="preserve"> </w:t>
      </w:r>
      <w:hyperlink w:anchor="latin-record-0503">
        <w:r>
          <w:rPr>
            <w:color w:val="000000"/>
          </w:rPr>
          <w:t xml:space="preserve">forma</w:t>
        </w:r>
      </w:hyperlink>
      <w:r>
        <w:rPr>
          <w:b w:val="0"/>
          <w:i w:val="0"/>
        </w:rPr>
        <w:t>.</w:t>
      </w:r>
    </w:p>
    <w:p>
      <w:pPr>
        <w:widowControl/>
      </w:pPr>
      <w:r>
        <w:rPr>
          <w:b/>
          <w:i w:val="0"/>
        </w:rPr>
        <w:t>formis accidentalibus.</w:t>
      </w:r>
      <w:r>
        <w:rPr>
          <w:b w:val="0"/>
          <w:i w:val="0"/>
        </w:rPr>
        <w:t xml:space="preserve"> </w:t>
      </w:r>
      <w:hyperlink w:anchor="latin-record-0505">
        <w:r>
          <w:rPr>
            <w:color w:val="000000"/>
          </w:rPr>
          <w:t xml:space="preserve">forma accidentalis / substantialis</w:t>
        </w:r>
      </w:hyperlink>
      <w:r>
        <w:rPr>
          <w:b w:val="0"/>
          <w:i w:val="0"/>
        </w:rPr>
        <w:t>.</w:t>
      </w:r>
    </w:p>
    <w:p>
      <w:pPr>
        <w:widowControl/>
      </w:pPr>
      <w:r>
        <w:rPr>
          <w:b/>
          <w:i w:val="0"/>
        </w:rPr>
        <w:t>Forsan.</w:t>
      </w:r>
      <w:r>
        <w:rPr>
          <w:b w:val="0"/>
          <w:i w:val="0"/>
        </w:rPr>
        <w:t xml:space="preserve"> </w:t>
      </w:r>
      <w:hyperlink w:anchor="latin-record-0514">
        <w:r>
          <w:rPr>
            <w:color w:val="000000"/>
          </w:rPr>
          <w:t xml:space="preserve">forsitan / forsan / fortasse</w:t>
        </w:r>
      </w:hyperlink>
      <w:r>
        <w:rPr>
          <w:b w:val="0"/>
          <w:i w:val="0"/>
        </w:rPr>
        <w:t>.</w:t>
      </w:r>
    </w:p>
    <w:p>
      <w:pPr>
        <w:widowControl/>
      </w:pPr>
      <w:r>
        <w:rPr>
          <w:b/>
          <w:i w:val="0"/>
        </w:rPr>
        <w:t>forsitan.</w:t>
      </w:r>
      <w:r>
        <w:rPr>
          <w:b w:val="0"/>
          <w:i w:val="0"/>
        </w:rPr>
        <w:t xml:space="preserve"> </w:t>
      </w:r>
      <w:hyperlink w:anchor="latin-record-0514">
        <w:r>
          <w:rPr>
            <w:color w:val="000000"/>
          </w:rPr>
          <w:t xml:space="preserve">forsitan / forsan / fortasse</w:t>
        </w:r>
      </w:hyperlink>
      <w:r>
        <w:rPr>
          <w:b w:val="0"/>
          <w:i w:val="0"/>
        </w:rPr>
        <w:t xml:space="preserve">; </w:t>
      </w:r>
      <w:hyperlink w:anchor="latin-record-0515">
        <w:r>
          <w:rPr>
            <w:color w:val="000000"/>
          </w:rPr>
          <w:t xml:space="preserve">forte / forsitan / si modo</w:t>
        </w:r>
      </w:hyperlink>
      <w:r>
        <w:rPr>
          <w:b w:val="0"/>
          <w:i w:val="0"/>
        </w:rPr>
        <w:t xml:space="preserve">; </w:t>
      </w:r>
      <w:hyperlink w:anchor="latin-record-0576">
        <w:r>
          <w:rPr>
            <w:color w:val="000000"/>
          </w:rPr>
          <w:t xml:space="preserve">hypothetical concession</w:t>
        </w:r>
      </w:hyperlink>
      <w:r>
        <w:rPr>
          <w:b w:val="0"/>
          <w:i w:val="0"/>
        </w:rPr>
        <w:t>.</w:t>
      </w:r>
    </w:p>
    <w:p>
      <w:pPr>
        <w:widowControl/>
      </w:pPr>
      <w:r>
        <w:rPr>
          <w:b/>
          <w:i w:val="0"/>
        </w:rPr>
        <w:t>fortasse.</w:t>
      </w:r>
      <w:r>
        <w:rPr>
          <w:b w:val="0"/>
          <w:i w:val="0"/>
        </w:rPr>
        <w:t xml:space="preserve"> </w:t>
      </w:r>
      <w:hyperlink w:anchor="latin-record-0514">
        <w:r>
          <w:rPr>
            <w:color w:val="000000"/>
          </w:rPr>
          <w:t xml:space="preserve">forsitan / forsan / fortasse</w:t>
        </w:r>
      </w:hyperlink>
      <w:r>
        <w:rPr>
          <w:b w:val="0"/>
          <w:i w:val="0"/>
        </w:rPr>
        <w:t>.</w:t>
      </w:r>
    </w:p>
    <w:p>
      <w:pPr>
        <w:widowControl/>
      </w:pPr>
      <w:r>
        <w:rPr>
          <w:b/>
          <w:i w:val="0"/>
        </w:rPr>
        <w:t>forte.</w:t>
      </w:r>
      <w:r>
        <w:rPr>
          <w:b w:val="0"/>
          <w:i w:val="0"/>
        </w:rPr>
        <w:t xml:space="preserve"> </w:t>
      </w:r>
      <w:hyperlink w:anchor="latin-record-0515">
        <w:r>
          <w:rPr>
            <w:color w:val="000000"/>
          </w:rPr>
          <w:t xml:space="preserve">forte / forsitan / si modo</w:t>
        </w:r>
      </w:hyperlink>
      <w:r>
        <w:rPr>
          <w:b w:val="0"/>
          <w:i w:val="0"/>
        </w:rPr>
        <w:t>.</w:t>
      </w:r>
    </w:p>
    <w:p>
      <w:pPr>
        <w:widowControl/>
      </w:pPr>
      <w:r>
        <w:rPr>
          <w:b/>
          <w:i w:val="0"/>
        </w:rPr>
        <w:t>fortis.</w:t>
      </w:r>
      <w:r>
        <w:rPr>
          <w:b w:val="0"/>
          <w:i w:val="0"/>
        </w:rPr>
        <w:t xml:space="preserve"> </w:t>
      </w:r>
      <w:hyperlink w:anchor="latin-record-0516">
        <w:r>
          <w:rPr>
            <w:color w:val="000000"/>
          </w:rPr>
          <w:t xml:space="preserve">fortitudo / timor</w:t>
        </w:r>
      </w:hyperlink>
      <w:r>
        <w:rPr>
          <w:b w:val="0"/>
          <w:i w:val="0"/>
        </w:rPr>
        <w:t>.</w:t>
      </w:r>
    </w:p>
    <w:p>
      <w:pPr>
        <w:widowControl/>
      </w:pPr>
      <w:r>
        <w:rPr>
          <w:b/>
          <w:i w:val="0"/>
        </w:rPr>
        <w:t>fortiter.</w:t>
      </w:r>
      <w:r>
        <w:rPr>
          <w:b w:val="0"/>
          <w:i w:val="0"/>
        </w:rPr>
        <w:t xml:space="preserve"> </w:t>
      </w:r>
      <w:hyperlink w:anchor="latin-record-0516">
        <w:r>
          <w:rPr>
            <w:color w:val="000000"/>
          </w:rPr>
          <w:t xml:space="preserve">fortitudo / timor</w:t>
        </w:r>
      </w:hyperlink>
      <w:r>
        <w:rPr>
          <w:b w:val="0"/>
          <w:i w:val="0"/>
        </w:rPr>
        <w:t>.</w:t>
      </w:r>
    </w:p>
    <w:p>
      <w:pPr>
        <w:widowControl/>
      </w:pPr>
      <w:r>
        <w:rPr>
          <w:b/>
          <w:i w:val="0"/>
        </w:rPr>
        <w:t>fortitudo.</w:t>
      </w:r>
      <w:r>
        <w:rPr>
          <w:b w:val="0"/>
          <w:i w:val="0"/>
        </w:rPr>
        <w:t xml:space="preserve"> </w:t>
      </w:r>
      <w:hyperlink w:anchor="latin-record-0516">
        <w:r>
          <w:rPr>
            <w:color w:val="000000"/>
          </w:rPr>
          <w:t xml:space="preserve">fortitudo / timor</w:t>
        </w:r>
      </w:hyperlink>
      <w:r>
        <w:rPr>
          <w:b w:val="0"/>
          <w:i w:val="0"/>
        </w:rPr>
        <w:t>.</w:t>
      </w:r>
    </w:p>
    <w:p>
      <w:pPr>
        <w:widowControl/>
      </w:pPr>
      <w:r>
        <w:rPr>
          <w:b/>
          <w:i w:val="0"/>
        </w:rPr>
        <w:t>foveretur.</w:t>
      </w:r>
      <w:r>
        <w:rPr>
          <w:b w:val="0"/>
          <w:i w:val="0"/>
        </w:rPr>
        <w:t xml:space="preserve"> </w:t>
      </w:r>
      <w:hyperlink w:anchor="latin-record-0517">
        <w:r>
          <w:rPr>
            <w:color w:val="000000"/>
          </w:rPr>
          <w:t xml:space="preserve">fovere</w:t>
        </w:r>
      </w:hyperlink>
      <w:r>
        <w:rPr>
          <w:b w:val="0"/>
          <w:i w:val="0"/>
        </w:rPr>
        <w:t>.</w:t>
      </w:r>
    </w:p>
    <w:p>
      <w:pPr>
        <w:widowControl/>
      </w:pPr>
      <w:r>
        <w:rPr>
          <w:b/>
          <w:i w:val="0"/>
        </w:rPr>
        <w:t>fractis.</w:t>
      </w:r>
      <w:r>
        <w:rPr>
          <w:b w:val="0"/>
          <w:i w:val="0"/>
        </w:rPr>
        <w:t xml:space="preserve"> </w:t>
      </w:r>
      <w:hyperlink w:anchor="latin-record-0521">
        <w:r>
          <w:rPr>
            <w:color w:val="000000"/>
          </w:rPr>
          <w:t xml:space="preserve">frangere / reparare</w:t>
        </w:r>
      </w:hyperlink>
      <w:r>
        <w:rPr>
          <w:b w:val="0"/>
          <w:i w:val="0"/>
        </w:rPr>
        <w:t>.</w:t>
      </w:r>
    </w:p>
    <w:p>
      <w:pPr>
        <w:widowControl/>
      </w:pPr>
      <w:r>
        <w:rPr>
          <w:b/>
          <w:i w:val="0"/>
        </w:rPr>
        <w:t>frangeret frangereturque.</w:t>
      </w:r>
      <w:r>
        <w:rPr>
          <w:b w:val="0"/>
          <w:i w:val="0"/>
        </w:rPr>
        <w:t xml:space="preserve"> </w:t>
      </w:r>
      <w:hyperlink w:anchor="latin-record-0518">
        <w:r>
          <w:rPr>
            <w:color w:val="000000"/>
          </w:rPr>
          <w:t xml:space="preserve">frangere</w:t>
        </w:r>
      </w:hyperlink>
      <w:r>
        <w:rPr>
          <w:b w:val="0"/>
          <w:i w:val="0"/>
        </w:rPr>
        <w:t>.</w:t>
      </w:r>
    </w:p>
    <w:p>
      <w:pPr>
        <w:widowControl/>
      </w:pPr>
      <w:r>
        <w:rPr>
          <w:b/>
          <w:i w:val="0"/>
        </w:rPr>
        <w:t>frangit.</w:t>
      </w:r>
      <w:r>
        <w:rPr>
          <w:b w:val="0"/>
          <w:i w:val="0"/>
        </w:rPr>
        <w:t xml:space="preserve"> </w:t>
      </w:r>
      <w:hyperlink w:anchor="latin-record-0522">
        <w:r>
          <w:rPr>
            <w:color w:val="000000"/>
          </w:rPr>
          <w:t xml:space="preserve">frangere; inficere</w:t>
        </w:r>
      </w:hyperlink>
      <w:r>
        <w:rPr>
          <w:b w:val="0"/>
          <w:i w:val="0"/>
        </w:rPr>
        <w:t>.</w:t>
      </w:r>
    </w:p>
    <w:p>
      <w:pPr>
        <w:widowControl/>
      </w:pPr>
      <w:r>
        <w:rPr>
          <w:b/>
          <w:i w:val="0"/>
        </w:rPr>
        <w:t>frangitur.</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fregeris.</w:t>
      </w:r>
      <w:r>
        <w:rPr>
          <w:b w:val="0"/>
          <w:i w:val="0"/>
        </w:rPr>
        <w:t xml:space="preserve"> </w:t>
      </w:r>
      <w:hyperlink w:anchor="latin-record-0520">
        <w:r>
          <w:rPr>
            <w:color w:val="000000"/>
          </w:rPr>
          <w:t xml:space="preserve">frangere / recreare</w:t>
        </w:r>
      </w:hyperlink>
      <w:r>
        <w:rPr>
          <w:b w:val="0"/>
          <w:i w:val="0"/>
        </w:rPr>
        <w:t>.</w:t>
      </w:r>
    </w:p>
    <w:p>
      <w:pPr>
        <w:widowControl/>
      </w:pPr>
      <w:r>
        <w:rPr>
          <w:b/>
          <w:i w:val="0"/>
        </w:rPr>
        <w:t>frigefieri.</w:t>
      </w:r>
      <w:r>
        <w:rPr>
          <w:b w:val="0"/>
          <w:i w:val="0"/>
        </w:rPr>
        <w:t xml:space="preserve"> </w:t>
      </w:r>
      <w:hyperlink w:anchor="latin-record-0523">
        <w:r>
          <w:rPr>
            <w:color w:val="000000"/>
          </w:rPr>
          <w:t xml:space="preserve">frigefieri; scaturire</w:t>
        </w:r>
      </w:hyperlink>
      <w:r>
        <w:rPr>
          <w:b w:val="0"/>
          <w:i w:val="0"/>
        </w:rPr>
        <w:t>.</w:t>
      </w:r>
    </w:p>
    <w:p>
      <w:pPr>
        <w:widowControl/>
      </w:pPr>
      <w:r>
        <w:rPr>
          <w:b/>
          <w:i w:val="0"/>
        </w:rPr>
        <w:t>frigiditas.</w:t>
      </w:r>
      <w:r>
        <w:rPr>
          <w:b w:val="0"/>
          <w:i w:val="0"/>
        </w:rPr>
        <w:t xml:space="preserve"> </w:t>
      </w:r>
      <w:hyperlink w:anchor="latin-record-0524">
        <w:r>
          <w:rPr>
            <w:color w:val="000000"/>
          </w:rPr>
          <w:t xml:space="preserve">frigiditas / frigus</w:t>
        </w:r>
      </w:hyperlink>
      <w:r>
        <w:rPr>
          <w:b w:val="0"/>
          <w:i w:val="0"/>
        </w:rPr>
        <w:t>.</w:t>
      </w:r>
    </w:p>
    <w:p>
      <w:pPr>
        <w:widowControl/>
      </w:pPr>
      <w:r>
        <w:rPr>
          <w:b/>
          <w:i w:val="0"/>
        </w:rPr>
        <w:t>frigiditatem.</w:t>
      </w:r>
      <w:r>
        <w:rPr>
          <w:b w:val="0"/>
          <w:i w:val="0"/>
        </w:rPr>
        <w:t xml:space="preserve"> </w:t>
      </w:r>
      <w:hyperlink w:anchor="latin-record-0116">
        <w:r>
          <w:rPr>
            <w:color w:val="000000"/>
          </w:rPr>
          <w:t xml:space="preserve">aqua / ignis / calor / frigus</w:t>
        </w:r>
      </w:hyperlink>
      <w:r>
        <w:rPr>
          <w:b w:val="0"/>
          <w:i w:val="0"/>
        </w:rPr>
        <w:t xml:space="preserve">; </w:t>
      </w:r>
      <w:hyperlink w:anchor="latin-record-0524">
        <w:r>
          <w:rPr>
            <w:color w:val="000000"/>
          </w:rPr>
          <w:t xml:space="preserve">frigiditas / frigus</w:t>
        </w:r>
      </w:hyperlink>
      <w:r>
        <w:rPr>
          <w:b w:val="0"/>
          <w:i w:val="0"/>
        </w:rPr>
        <w:t>.</w:t>
      </w:r>
    </w:p>
    <w:p>
      <w:pPr>
        <w:widowControl/>
      </w:pPr>
      <w:r>
        <w:rPr>
          <w:b/>
          <w:i w:val="0"/>
        </w:rPr>
        <w:t>frigiditatem quandam secundum virtutem.</w:t>
      </w:r>
      <w:r>
        <w:rPr>
          <w:b w:val="0"/>
          <w:i w:val="0"/>
        </w:rPr>
        <w:t xml:space="preserve"> </w:t>
      </w:r>
      <w:hyperlink w:anchor="latin-record-0525">
        <w:r>
          <w:rPr>
            <w:color w:val="000000"/>
          </w:rPr>
          <w:t xml:space="preserve">frigiditas secundum virtutem</w:t>
        </w:r>
      </w:hyperlink>
      <w:r>
        <w:rPr>
          <w:b w:val="0"/>
          <w:i w:val="0"/>
        </w:rPr>
        <w:t>.</w:t>
      </w:r>
    </w:p>
    <w:p>
      <w:pPr>
        <w:widowControl/>
      </w:pPr>
      <w:r>
        <w:rPr>
          <w:b/>
          <w:i w:val="0"/>
        </w:rPr>
        <w:t>frigiditatem secundum actum.</w:t>
      </w:r>
      <w:r>
        <w:rPr>
          <w:b w:val="0"/>
          <w:i w:val="0"/>
        </w:rPr>
        <w:t xml:space="preserve"> </w:t>
      </w:r>
      <w:hyperlink w:anchor="latin-record-0525">
        <w:r>
          <w:rPr>
            <w:color w:val="000000"/>
          </w:rPr>
          <w:t xml:space="preserve">frigiditas secundum virtutem</w:t>
        </w:r>
      </w:hyperlink>
      <w:r>
        <w:rPr>
          <w:b w:val="0"/>
          <w:i w:val="0"/>
        </w:rPr>
        <w:t>.</w:t>
      </w:r>
    </w:p>
    <w:p>
      <w:pPr>
        <w:widowControl/>
      </w:pPr>
      <w:r>
        <w:rPr>
          <w:b/>
          <w:i w:val="0"/>
        </w:rPr>
        <w:t>frigore.</w:t>
      </w:r>
      <w:r>
        <w:rPr>
          <w:b w:val="0"/>
          <w:i w:val="0"/>
        </w:rPr>
        <w:t xml:space="preserve"> </w:t>
      </w:r>
      <w:hyperlink w:anchor="latin-record-0524">
        <w:r>
          <w:rPr>
            <w:color w:val="000000"/>
          </w:rPr>
          <w:t xml:space="preserve">frigiditas / frigus</w:t>
        </w:r>
      </w:hyperlink>
      <w:r>
        <w:rPr>
          <w:b w:val="0"/>
          <w:i w:val="0"/>
        </w:rPr>
        <w:t>.</w:t>
      </w:r>
    </w:p>
    <w:p>
      <w:pPr>
        <w:widowControl/>
      </w:pPr>
      <w:r>
        <w:rPr>
          <w:b/>
          <w:i w:val="0"/>
        </w:rPr>
        <w:t>frigus.</w:t>
      </w:r>
      <w:r>
        <w:rPr>
          <w:b w:val="0"/>
          <w:i w:val="0"/>
        </w:rPr>
        <w:t xml:space="preserve"> </w:t>
      </w:r>
      <w:hyperlink w:anchor="latin-record-0116">
        <w:r>
          <w:rPr>
            <w:color w:val="000000"/>
          </w:rPr>
          <w:t xml:space="preserve">aqua / ignis / calor / frigus</w:t>
        </w:r>
      </w:hyperlink>
      <w:r>
        <w:rPr>
          <w:b w:val="0"/>
          <w:i w:val="0"/>
        </w:rPr>
        <w:t xml:space="preserve">; </w:t>
      </w:r>
      <w:hyperlink w:anchor="latin-record-0178">
        <w:r>
          <w:rPr>
            <w:color w:val="000000"/>
          </w:rPr>
          <w:t xml:space="preserve">caliditas / siccitas / frigus</w:t>
        </w:r>
      </w:hyperlink>
      <w:r>
        <w:rPr>
          <w:b w:val="0"/>
          <w:i w:val="0"/>
        </w:rPr>
        <w:t xml:space="preserve">; </w:t>
      </w:r>
      <w:hyperlink w:anchor="latin-record-0524">
        <w:r>
          <w:rPr>
            <w:color w:val="000000"/>
          </w:rPr>
          <w:t xml:space="preserve">frigiditas / frigus</w:t>
        </w:r>
      </w:hyperlink>
      <w:r>
        <w:rPr>
          <w:b w:val="0"/>
          <w:i w:val="0"/>
        </w:rPr>
        <w:t>.</w:t>
      </w:r>
    </w:p>
    <w:p>
      <w:pPr>
        <w:widowControl/>
      </w:pPr>
      <w:r>
        <w:rPr>
          <w:b/>
          <w:i w:val="0"/>
        </w:rPr>
        <w:t>fronte.</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fruitur.</w:t>
      </w:r>
      <w:r>
        <w:rPr>
          <w:b w:val="0"/>
          <w:i w:val="0"/>
        </w:rPr>
        <w:t xml:space="preserve"> </w:t>
      </w:r>
      <w:hyperlink w:anchor="latin-record-0526">
        <w:r>
          <w:rPr>
            <w:color w:val="000000"/>
          </w:rPr>
          <w:t xml:space="preserve">frui</w:t>
        </w:r>
      </w:hyperlink>
      <w:r>
        <w:rPr>
          <w:b w:val="0"/>
          <w:i w:val="0"/>
        </w:rPr>
        <w:t>.</w:t>
      </w:r>
    </w:p>
    <w:p>
      <w:pPr>
        <w:widowControl/>
      </w:pPr>
      <w:r>
        <w:rPr>
          <w:b/>
          <w:i w:val="0"/>
        </w:rPr>
        <w:t>frusta.</w:t>
      </w:r>
      <w:r>
        <w:rPr>
          <w:b w:val="0"/>
          <w:i w:val="0"/>
        </w:rPr>
        <w:t xml:space="preserve"> </w:t>
      </w:r>
      <w:hyperlink w:anchor="latin-record-0527">
        <w:r>
          <w:rPr>
            <w:color w:val="000000"/>
          </w:rPr>
          <w:t xml:space="preserve">frustum / secare</w:t>
        </w:r>
      </w:hyperlink>
      <w:r>
        <w:rPr>
          <w:b w:val="0"/>
          <w:i w:val="0"/>
        </w:rPr>
        <w:t xml:space="preserve">; </w:t>
      </w:r>
      <w:hyperlink w:anchor="latin-record-0528">
        <w:r>
          <w:rPr>
            <w:color w:val="000000"/>
          </w:rPr>
          <w:t xml:space="preserve">frustum; secare</w:t>
        </w:r>
      </w:hyperlink>
      <w:r>
        <w:rPr>
          <w:b w:val="0"/>
          <w:i w:val="0"/>
        </w:rPr>
        <w:t>.</w:t>
      </w:r>
    </w:p>
    <w:p>
      <w:pPr>
        <w:widowControl/>
      </w:pPr>
      <w:r>
        <w:rPr>
          <w:b/>
          <w:i w:val="0"/>
        </w:rPr>
        <w:t>frustis.</w:t>
      </w:r>
      <w:r>
        <w:rPr>
          <w:b w:val="0"/>
          <w:i w:val="0"/>
        </w:rPr>
        <w:t xml:space="preserve"> </w:t>
      </w:r>
      <w:hyperlink w:anchor="latin-record-0527">
        <w:r>
          <w:rPr>
            <w:color w:val="000000"/>
          </w:rPr>
          <w:t xml:space="preserve">frustum / secare</w:t>
        </w:r>
      </w:hyperlink>
      <w:r>
        <w:rPr>
          <w:b w:val="0"/>
          <w:i w:val="0"/>
        </w:rPr>
        <w:t>.</w:t>
      </w:r>
    </w:p>
    <w:p>
      <w:pPr>
        <w:widowControl/>
      </w:pPr>
      <w:r>
        <w:rPr>
          <w:b/>
          <w:i w:val="0"/>
        </w:rPr>
        <w:t>fugam.</w:t>
      </w:r>
      <w:r>
        <w:rPr>
          <w:b w:val="0"/>
          <w:i w:val="0"/>
        </w:rPr>
        <w:t xml:space="preserve"> </w:t>
      </w:r>
      <w:hyperlink w:anchor="latin-record-0082">
        <w:r>
          <w:rPr>
            <w:color w:val="000000"/>
          </w:rPr>
          <w:t xml:space="preserve">amittere; quaerere; fugere</w:t>
        </w:r>
      </w:hyperlink>
      <w:r>
        <w:rPr>
          <w:b w:val="0"/>
          <w:i w:val="0"/>
        </w:rPr>
        <w:t>.</w:t>
      </w:r>
    </w:p>
    <w:p>
      <w:pPr>
        <w:widowControl/>
      </w:pPr>
      <w:r>
        <w:rPr>
          <w:b/>
          <w:i w:val="0"/>
        </w:rPr>
        <w:t>fugant.</w:t>
      </w:r>
      <w:r>
        <w:rPr>
          <w:b w:val="0"/>
          <w:i w:val="0"/>
        </w:rPr>
        <w:t xml:space="preserve"> </w:t>
      </w:r>
      <w:hyperlink w:anchor="latin-record-0529">
        <w:r>
          <w:rPr>
            <w:color w:val="000000"/>
          </w:rPr>
          <w:t xml:space="preserve">fugare / fugere</w:t>
        </w:r>
      </w:hyperlink>
      <w:r>
        <w:rPr>
          <w:b w:val="0"/>
          <w:i w:val="0"/>
        </w:rPr>
        <w:t>.</w:t>
      </w:r>
    </w:p>
    <w:p>
      <w:pPr>
        <w:widowControl/>
      </w:pPr>
      <w:r>
        <w:rPr>
          <w:b/>
          <w:i w:val="0"/>
        </w:rPr>
        <w:t>fugat.</w:t>
      </w:r>
      <w:r>
        <w:rPr>
          <w:b w:val="0"/>
          <w:i w:val="0"/>
        </w:rPr>
        <w:t xml:space="preserve"> </w:t>
      </w:r>
      <w:hyperlink w:anchor="latin-record-0530">
        <w:r>
          <w:rPr>
            <w:color w:val="000000"/>
          </w:rPr>
          <w:t xml:space="preserve">fugere / fugare</w:t>
        </w:r>
      </w:hyperlink>
      <w:r>
        <w:rPr>
          <w:b w:val="0"/>
          <w:i w:val="0"/>
        </w:rPr>
        <w:t>.</w:t>
      </w:r>
    </w:p>
    <w:p>
      <w:pPr>
        <w:widowControl/>
      </w:pPr>
      <w:r>
        <w:rPr>
          <w:b/>
          <w:i w:val="0"/>
        </w:rPr>
        <w:t>fugatur.</w:t>
      </w:r>
      <w:r>
        <w:rPr>
          <w:b w:val="0"/>
          <w:i w:val="0"/>
        </w:rPr>
        <w:t xml:space="preserve"> </w:t>
      </w:r>
      <w:hyperlink w:anchor="latin-record-0529">
        <w:r>
          <w:rPr>
            <w:color w:val="000000"/>
          </w:rPr>
          <w:t xml:space="preserve">fugare / fugere</w:t>
        </w:r>
      </w:hyperlink>
      <w:r>
        <w:rPr>
          <w:b w:val="0"/>
          <w:i w:val="0"/>
        </w:rPr>
        <w:t>.</w:t>
      </w:r>
    </w:p>
    <w:p>
      <w:pPr>
        <w:widowControl/>
      </w:pPr>
      <w:r>
        <w:rPr>
          <w:b/>
          <w:i w:val="0"/>
        </w:rPr>
        <w:t>fugiat.</w:t>
      </w:r>
      <w:r>
        <w:rPr>
          <w:b w:val="0"/>
          <w:i w:val="0"/>
        </w:rPr>
        <w:t xml:space="preserve"> </w:t>
      </w:r>
      <w:hyperlink w:anchor="latin-record-0082">
        <w:r>
          <w:rPr>
            <w:color w:val="000000"/>
          </w:rPr>
          <w:t xml:space="preserve">amittere; quaerere; fugere</w:t>
        </w:r>
      </w:hyperlink>
      <w:r>
        <w:rPr>
          <w:b w:val="0"/>
          <w:i w:val="0"/>
        </w:rPr>
        <w:t>.</w:t>
      </w:r>
    </w:p>
    <w:p>
      <w:pPr>
        <w:widowControl/>
      </w:pPr>
      <w:r>
        <w:rPr>
          <w:b/>
          <w:i w:val="0"/>
        </w:rPr>
        <w:t>fugit.</w:t>
      </w:r>
      <w:r>
        <w:rPr>
          <w:b w:val="0"/>
          <w:i w:val="0"/>
        </w:rPr>
        <w:t xml:space="preserve"> </w:t>
      </w:r>
      <w:hyperlink w:anchor="latin-record-0530">
        <w:r>
          <w:rPr>
            <w:color w:val="000000"/>
          </w:rPr>
          <w:t xml:space="preserve">fugere / fugare</w:t>
        </w:r>
      </w:hyperlink>
      <w:r>
        <w:rPr>
          <w:b w:val="0"/>
          <w:i w:val="0"/>
        </w:rPr>
        <w:t>.</w:t>
      </w:r>
    </w:p>
    <w:p>
      <w:pPr>
        <w:widowControl/>
      </w:pPr>
      <w:r>
        <w:rPr>
          <w:b/>
          <w:i w:val="0"/>
        </w:rPr>
        <w:t>fugiunt.</w:t>
      </w:r>
      <w:r>
        <w:rPr>
          <w:b w:val="0"/>
          <w:i w:val="0"/>
        </w:rPr>
        <w:t xml:space="preserve"> </w:t>
      </w:r>
      <w:hyperlink w:anchor="latin-record-0529">
        <w:r>
          <w:rPr>
            <w:color w:val="000000"/>
          </w:rPr>
          <w:t xml:space="preserve">fugare / fugere</w:t>
        </w:r>
      </w:hyperlink>
      <w:r>
        <w:rPr>
          <w:b w:val="0"/>
          <w:i w:val="0"/>
        </w:rPr>
        <w:t>.</w:t>
      </w:r>
    </w:p>
    <w:p>
      <w:pPr>
        <w:widowControl/>
      </w:pPr>
      <w:r>
        <w:rPr>
          <w:b/>
          <w:i w:val="0"/>
        </w:rPr>
        <w:t>fuisse.</w:t>
      </w:r>
      <w:r>
        <w:rPr>
          <w:b w:val="0"/>
          <w:i w:val="0"/>
        </w:rPr>
        <w:t xml:space="preserve"> </w:t>
      </w:r>
      <w:hyperlink w:anchor="latin-record-0444">
        <w:r>
          <w:rPr>
            <w:color w:val="000000"/>
          </w:rPr>
          <w:t xml:space="preserve">esse; habere; fieri</w:t>
        </w:r>
      </w:hyperlink>
      <w:r>
        <w:rPr>
          <w:b w:val="0"/>
          <w:i w:val="0"/>
        </w:rPr>
        <w:t>.</w:t>
      </w:r>
    </w:p>
    <w:p>
      <w:pPr>
        <w:widowControl/>
      </w:pPr>
      <w:r>
        <w:rPr>
          <w:b/>
          <w:i w:val="0"/>
        </w:rPr>
        <w:t>fulget.</w:t>
      </w:r>
      <w:r>
        <w:rPr>
          <w:b w:val="0"/>
          <w:i w:val="0"/>
        </w:rPr>
        <w:t xml:space="preserve"> </w:t>
      </w:r>
      <w:hyperlink w:anchor="latin-record-0177">
        <w:r>
          <w:rPr>
            <w:color w:val="000000"/>
          </w:rPr>
          <w:t xml:space="preserve">calere; lucere; collustrare</w:t>
        </w:r>
      </w:hyperlink>
      <w:r>
        <w:rPr>
          <w:b w:val="0"/>
          <w:i w:val="0"/>
        </w:rPr>
        <w:t>.</w:t>
      </w:r>
    </w:p>
    <w:p>
      <w:pPr>
        <w:widowControl/>
      </w:pPr>
      <w:r>
        <w:rPr>
          <w:b/>
          <w:i w:val="0"/>
        </w:rPr>
        <w:t>fulgor.</w:t>
      </w:r>
      <w:r>
        <w:rPr>
          <w:b w:val="0"/>
          <w:i w:val="0"/>
        </w:rPr>
        <w:t xml:space="preserve"> </w:t>
      </w:r>
      <w:hyperlink w:anchor="latin-record-0531">
        <w:r>
          <w:rPr>
            <w:color w:val="000000"/>
          </w:rPr>
          <w:t xml:space="preserve">fulgor; splendor</w:t>
        </w:r>
      </w:hyperlink>
      <w:r>
        <w:rPr>
          <w:b w:val="0"/>
          <w:i w:val="0"/>
        </w:rPr>
        <w:t>.</w:t>
      </w:r>
    </w:p>
    <w:p>
      <w:pPr>
        <w:widowControl/>
      </w:pPr>
      <w:r>
        <w:rPr>
          <w:b/>
          <w:i w:val="0"/>
        </w:rPr>
        <w:t>fumos.</w:t>
      </w:r>
      <w:r>
        <w:rPr>
          <w:b w:val="0"/>
          <w:i w:val="0"/>
        </w:rPr>
        <w:t xml:space="preserve"> </w:t>
      </w:r>
      <w:hyperlink w:anchor="latin-record-1330">
        <w:r>
          <w:rPr>
            <w:color w:val="000000"/>
          </w:rPr>
          <w:t xml:space="preserve">vapor / fumus</w:t>
        </w:r>
      </w:hyperlink>
      <w:r>
        <w:rPr>
          <w:b w:val="0"/>
          <w:i w:val="0"/>
        </w:rPr>
        <w:t>.</w:t>
      </w:r>
    </w:p>
    <w:p>
      <w:pPr>
        <w:widowControl/>
      </w:pPr>
      <w:r>
        <w:rPr>
          <w:b/>
          <w:i w:val="0"/>
        </w:rPr>
        <w:t>fundamento.</w:t>
      </w:r>
      <w:r>
        <w:rPr>
          <w:b w:val="0"/>
          <w:i w:val="0"/>
        </w:rPr>
        <w:t xml:space="preserve"> </w:t>
      </w:r>
      <w:hyperlink w:anchor="latin-record-0532">
        <w:r>
          <w:rPr>
            <w:color w:val="000000"/>
          </w:rPr>
          <w:t xml:space="preserve">fundamentum</w:t>
        </w:r>
      </w:hyperlink>
      <w:r>
        <w:rPr>
          <w:b w:val="0"/>
          <w:i w:val="0"/>
        </w:rPr>
        <w:t>.</w:t>
      </w:r>
    </w:p>
    <w:p>
      <w:pPr>
        <w:widowControl/>
      </w:pPr>
      <w:r>
        <w:rPr>
          <w:b/>
          <w:i w:val="0"/>
        </w:rPr>
        <w:t>fundamentum.</w:t>
      </w:r>
      <w:r>
        <w:rPr>
          <w:b w:val="0"/>
          <w:i w:val="0"/>
        </w:rPr>
        <w:t xml:space="preserve"> </w:t>
      </w:r>
      <w:hyperlink w:anchor="latin-record-0532">
        <w:r>
          <w:rPr>
            <w:color w:val="000000"/>
          </w:rPr>
          <w:t xml:space="preserve">fundamentum</w:t>
        </w:r>
      </w:hyperlink>
      <w:r>
        <w:rPr>
          <w:b w:val="0"/>
          <w:i w:val="0"/>
        </w:rPr>
        <w:t xml:space="preserve">; </w:t>
      </w:r>
      <w:hyperlink w:anchor="latin-record-1148">
        <w:r>
          <w:rPr>
            <w:color w:val="000000"/>
          </w:rPr>
          <w:t xml:space="preserve">sedes / fundamentum</w:t>
        </w:r>
      </w:hyperlink>
      <w:r>
        <w:rPr>
          <w:b w:val="0"/>
          <w:i w:val="0"/>
        </w:rPr>
        <w:t>.</w:t>
      </w:r>
    </w:p>
    <w:p>
      <w:pPr>
        <w:widowControl/>
      </w:pPr>
      <w:r>
        <w:rPr>
          <w:b/>
          <w:i w:val="0"/>
        </w:rPr>
        <w:t>Fundatur.</w:t>
      </w:r>
      <w:r>
        <w:rPr>
          <w:b w:val="0"/>
          <w:i w:val="0"/>
        </w:rPr>
        <w:t xml:space="preserve"> </w:t>
      </w:r>
      <w:hyperlink w:anchor="latin-record-0534">
        <w:r>
          <w:rPr>
            <w:color w:val="000000"/>
          </w:rPr>
          <w:t xml:space="preserve">fundere; movere</w:t>
        </w:r>
      </w:hyperlink>
      <w:r>
        <w:rPr>
          <w:b w:val="0"/>
          <w:i w:val="0"/>
        </w:rPr>
        <w:t>.</w:t>
      </w:r>
    </w:p>
    <w:p>
      <w:pPr>
        <w:widowControl/>
      </w:pPr>
      <w:r>
        <w:rPr>
          <w:b/>
          <w:i w:val="0"/>
        </w:rPr>
        <w:t>fundit.</w:t>
      </w:r>
      <w:r>
        <w:rPr>
          <w:b w:val="0"/>
          <w:i w:val="0"/>
        </w:rPr>
        <w:t xml:space="preserve"> </w:t>
      </w:r>
      <w:hyperlink w:anchor="latin-record-0533">
        <w:r>
          <w:rPr>
            <w:color w:val="000000"/>
          </w:rPr>
          <w:t xml:space="preserve">fundere / diffundere / permanare</w:t>
        </w:r>
      </w:hyperlink>
      <w:r>
        <w:rPr>
          <w:b w:val="0"/>
          <w:i w:val="0"/>
        </w:rPr>
        <w:t>.</w:t>
      </w:r>
    </w:p>
    <w:p>
      <w:pPr>
        <w:widowControl/>
      </w:pPr>
      <w:r>
        <w:rPr>
          <w:b/>
          <w:i w:val="0"/>
        </w:rPr>
        <w:t>fundit et solidat.</w:t>
      </w:r>
      <w:r>
        <w:rPr>
          <w:b w:val="0"/>
          <w:i w:val="0"/>
        </w:rPr>
        <w:t xml:space="preserve"> </w:t>
      </w:r>
      <w:hyperlink w:anchor="latin-record-0535">
        <w:r>
          <w:rPr>
            <w:color w:val="000000"/>
          </w:rPr>
          <w:t xml:space="preserve">fundere; solidare</w:t>
        </w:r>
      </w:hyperlink>
      <w:r>
        <w:rPr>
          <w:b w:val="0"/>
          <w:i w:val="0"/>
        </w:rPr>
        <w:t>.</w:t>
      </w:r>
    </w:p>
    <w:p>
      <w:pPr>
        <w:widowControl/>
      </w:pPr>
      <w:r>
        <w:rPr>
          <w:b/>
          <w:i w:val="0"/>
        </w:rPr>
        <w:t>fundo putei.</w:t>
      </w:r>
      <w:r>
        <w:rPr>
          <w:b w:val="0"/>
          <w:i w:val="0"/>
        </w:rPr>
        <w:t xml:space="preserve"> </w:t>
      </w:r>
      <w:hyperlink w:anchor="latin-record-1035">
        <w:r>
          <w:rPr>
            <w:color w:val="000000"/>
          </w:rPr>
          <w:t xml:space="preserve">puteus; fundus</w:t>
        </w:r>
      </w:hyperlink>
      <w:r>
        <w:rPr>
          <w:b w:val="0"/>
          <w:i w:val="0"/>
        </w:rPr>
        <w:t>.</w:t>
      </w:r>
    </w:p>
    <w:p>
      <w:pPr>
        <w:widowControl/>
      </w:pPr>
      <w:r>
        <w:rPr>
          <w:b/>
          <w:i w:val="0"/>
        </w:rPr>
        <w:t>furor.</w:t>
      </w:r>
      <w:r>
        <w:rPr>
          <w:b w:val="0"/>
          <w:i w:val="0"/>
        </w:rPr>
        <w:t xml:space="preserve"> </w:t>
      </w:r>
      <w:hyperlink w:anchor="latin-record-0536">
        <w:r>
          <w:rPr>
            <w:color w:val="000000"/>
          </w:rPr>
          <w:t xml:space="preserve">furor / arma ministrare</w:t>
        </w:r>
      </w:hyperlink>
      <w:r>
        <w:rPr>
          <w:b w:val="0"/>
          <w:i w:val="0"/>
        </w:rPr>
        <w:t>.</w:t>
      </w:r>
    </w:p>
    <w:p>
      <w:pPr>
        <w:widowControl/>
      </w:pPr>
      <w:r>
        <w:rPr>
          <w:b/>
          <w:i w:val="0"/>
        </w:rPr>
        <w:t>fusa.</w:t>
      </w:r>
      <w:r>
        <w:rPr>
          <w:b w:val="0"/>
          <w:i w:val="0"/>
        </w:rPr>
        <w:t xml:space="preserve"> </w:t>
      </w:r>
      <w:hyperlink w:anchor="latin-record-0383">
        <w:r>
          <w:rPr>
            <w:color w:val="000000"/>
          </w:rPr>
          <w:t xml:space="preserve">diffundere / spargere / porrigere</w:t>
        </w:r>
      </w:hyperlink>
      <w:r>
        <w:rPr>
          <w:b w:val="0"/>
          <w:i w:val="0"/>
        </w:rPr>
        <w:t>.</w:t>
      </w:r>
    </w:p>
    <w:p>
      <w:pPr>
        <w:widowControl/>
      </w:pPr>
      <w:r>
        <w:rPr>
          <w:b/>
          <w:i w:val="0"/>
        </w:rPr>
        <w:t>futuri.</w:t>
      </w:r>
      <w:r>
        <w:rPr>
          <w:b w:val="0"/>
          <w:i w:val="0"/>
        </w:rPr>
        <w:t xml:space="preserve"> </w:t>
      </w:r>
      <w:hyperlink w:anchor="latin-record-0537">
        <w:r>
          <w:rPr>
            <w:color w:val="000000"/>
          </w:rPr>
          <w:t xml:space="preserve">futurum / praesens / praeteritum</w:t>
        </w:r>
      </w:hyperlink>
      <w:r>
        <w:rPr>
          <w:b w:val="0"/>
          <w:i w:val="0"/>
        </w:rPr>
        <w:t>.</w:t>
      </w:r>
    </w:p>
    <w:p>
      <w:pPr>
        <w:widowControl/>
      </w:pPr>
      <w:r>
        <w:rPr>
          <w:b/>
          <w:i w:val="0"/>
        </w:rPr>
        <w:t>futuro.</w:t>
      </w:r>
      <w:r>
        <w:rPr>
          <w:b w:val="0"/>
          <w:i w:val="0"/>
        </w:rPr>
        <w:t xml:space="preserve"> </w:t>
      </w:r>
      <w:hyperlink w:anchor="latin-record-0537">
        <w:r>
          <w:rPr>
            <w:color w:val="000000"/>
          </w:rPr>
          <w:t xml:space="preserve">futurum / praesens / praeteritum</w:t>
        </w:r>
      </w:hyperlink>
      <w:r>
        <w:rPr>
          <w:b w:val="0"/>
          <w:i w:val="0"/>
        </w:rPr>
        <w:t>.</w:t>
      </w:r>
    </w:p>
    <w:p>
      <w:pPr>
        <w:widowControl/>
      </w:pPr>
      <w:r>
        <w:rPr>
          <w:b/>
          <w:i w:val="0"/>
        </w:rPr>
        <w:t>futurum.</w:t>
      </w:r>
      <w:r>
        <w:rPr>
          <w:b w:val="0"/>
          <w:i w:val="0"/>
        </w:rPr>
        <w:t xml:space="preserve"> </w:t>
      </w:r>
      <w:hyperlink w:anchor="latin-record-0985">
        <w:r>
          <w:rPr>
            <w:color w:val="000000"/>
          </w:rPr>
          <w:t xml:space="preserve">praeteritum / futurum / praesens</w:t>
        </w:r>
      </w:hyperlink>
      <w:r>
        <w:rPr>
          <w:b w:val="0"/>
          <w:i w:val="0"/>
        </w:rPr>
        <w:t>.</w:t>
      </w:r>
    </w:p>
    <w:p>
      <w:pPr>
        <w:widowControl/>
      </w:pPr>
      <w:r>
        <w:rPr>
          <w:b/>
          <w:i w:val="0"/>
        </w:rPr>
        <w:t>gaudentem.</w:t>
      </w:r>
      <w:r>
        <w:rPr>
          <w:b w:val="0"/>
          <w:i w:val="0"/>
        </w:rPr>
        <w:t xml:space="preserve"> </w:t>
      </w:r>
      <w:hyperlink w:anchor="latin-record-1340">
        <w:r>
          <w:rPr>
            <w:color w:val="000000"/>
          </w:rPr>
          <w:t xml:space="preserve">veritas; gaudium</w:t>
        </w:r>
      </w:hyperlink>
      <w:r>
        <w:rPr>
          <w:b w:val="0"/>
          <w:i w:val="0"/>
        </w:rPr>
        <w:t>.</w:t>
      </w:r>
    </w:p>
    <w:p>
      <w:pPr>
        <w:widowControl/>
      </w:pPr>
      <w:r>
        <w:rPr>
          <w:b/>
          <w:i w:val="0"/>
        </w:rPr>
        <w:t>gaudet.</w:t>
      </w:r>
      <w:r>
        <w:rPr>
          <w:b w:val="0"/>
          <w:i w:val="0"/>
        </w:rPr>
        <w:t xml:space="preserve"> </w:t>
      </w:r>
      <w:hyperlink w:anchor="latin-record-0465">
        <w:r>
          <w:rPr>
            <w:color w:val="000000"/>
          </w:rPr>
          <w:t xml:space="preserve">exsultare / illuminare / adolescere</w:t>
        </w:r>
      </w:hyperlink>
      <w:r>
        <w:rPr>
          <w:b w:val="0"/>
          <w:i w:val="0"/>
        </w:rPr>
        <w:t>.</w:t>
      </w:r>
    </w:p>
    <w:p>
      <w:pPr>
        <w:widowControl/>
      </w:pPr>
      <w:r>
        <w:rPr>
          <w:b/>
          <w:i w:val="0"/>
        </w:rPr>
        <w:t>gaudium.</w:t>
      </w:r>
      <w:r>
        <w:rPr>
          <w:b w:val="0"/>
          <w:i w:val="0"/>
        </w:rPr>
        <w:t xml:space="preserve"> </w:t>
      </w:r>
      <w:hyperlink w:anchor="latin-record-1340">
        <w:r>
          <w:rPr>
            <w:color w:val="000000"/>
          </w:rPr>
          <w:t xml:space="preserve">veritas; gaudium</w:t>
        </w:r>
      </w:hyperlink>
      <w:r>
        <w:rPr>
          <w:b w:val="0"/>
          <w:i w:val="0"/>
        </w:rPr>
        <w:t>.</w:t>
      </w:r>
    </w:p>
    <w:p>
      <w:pPr>
        <w:widowControl/>
      </w:pPr>
      <w:r>
        <w:rPr>
          <w:b/>
          <w:i w:val="0"/>
        </w:rPr>
        <w:t>geminae.</w:t>
      </w:r>
      <w:r>
        <w:rPr>
          <w:b w:val="0"/>
          <w:i w:val="0"/>
        </w:rPr>
        <w:t xml:space="preserve"> </w:t>
      </w:r>
      <w:hyperlink w:anchor="latin-record-0538">
        <w:r>
          <w:rPr>
            <w:color w:val="000000"/>
          </w:rPr>
          <w:t xml:space="preserve">geminus / apprehendere</w:t>
        </w:r>
      </w:hyperlink>
      <w:r>
        <w:rPr>
          <w:b w:val="0"/>
          <w:i w:val="0"/>
        </w:rPr>
        <w:t>.</w:t>
      </w:r>
    </w:p>
    <w:p>
      <w:pPr>
        <w:widowControl/>
      </w:pPr>
      <w:r>
        <w:rPr>
          <w:b/>
          <w:i w:val="0"/>
        </w:rPr>
        <w:t>geminas.</w:t>
      </w:r>
      <w:r>
        <w:rPr>
          <w:b w:val="0"/>
          <w:i w:val="0"/>
        </w:rPr>
        <w:t xml:space="preserve"> </w:t>
      </w:r>
      <w:hyperlink w:anchor="latin-record-0538">
        <w:r>
          <w:rPr>
            <w:color w:val="000000"/>
          </w:rPr>
          <w:t xml:space="preserve">geminus / apprehendere</w:t>
        </w:r>
      </w:hyperlink>
      <w:r>
        <w:rPr>
          <w:b w:val="0"/>
          <w:i w:val="0"/>
        </w:rPr>
        <w:t>.</w:t>
      </w:r>
    </w:p>
    <w:p>
      <w:pPr>
        <w:widowControl/>
      </w:pPr>
      <w:r>
        <w:rPr>
          <w:b/>
          <w:i w:val="0"/>
        </w:rPr>
        <w:t>geminis.</w:t>
      </w:r>
      <w:r>
        <w:rPr>
          <w:b w:val="0"/>
          <w:i w:val="0"/>
        </w:rPr>
        <w:t xml:space="preserve"> </w:t>
      </w:r>
      <w:hyperlink w:anchor="latin-record-0538">
        <w:r>
          <w:rPr>
            <w:color w:val="000000"/>
          </w:rPr>
          <w:t xml:space="preserve">geminus / apprehendere</w:t>
        </w:r>
      </w:hyperlink>
      <w:r>
        <w:rPr>
          <w:b w:val="0"/>
          <w:i w:val="0"/>
        </w:rPr>
        <w:t>.</w:t>
      </w:r>
    </w:p>
    <w:p>
      <w:pPr>
        <w:widowControl/>
      </w:pPr>
      <w:r>
        <w:rPr>
          <w:b/>
          <w:i w:val="0"/>
        </w:rPr>
        <w:t>genera.</w:t>
      </w:r>
      <w:r>
        <w:rPr>
          <w:b w:val="0"/>
          <w:i w:val="0"/>
        </w:rPr>
        <w:t xml:space="preserve"> </w:t>
      </w:r>
      <w:hyperlink w:anchor="latin-record-0544">
        <w:r>
          <w:rPr>
            <w:color w:val="000000"/>
          </w:rPr>
          <w:t xml:space="preserve">genus</w:t>
        </w:r>
      </w:hyperlink>
      <w:r>
        <w:rPr>
          <w:b w:val="0"/>
          <w:i w:val="0"/>
        </w:rPr>
        <w:t>.</w:t>
      </w:r>
    </w:p>
    <w:p>
      <w:pPr>
        <w:widowControl/>
      </w:pPr>
      <w:r>
        <w:rPr>
          <w:b/>
          <w:i w:val="0"/>
        </w:rPr>
        <w:t>generabit prolem.</w:t>
      </w:r>
      <w:r>
        <w:rPr>
          <w:b w:val="0"/>
          <w:i w:val="0"/>
        </w:rPr>
        <w:t xml:space="preserve"> </w:t>
      </w:r>
      <w:hyperlink w:anchor="latin-record-0281">
        <w:r>
          <w:rPr>
            <w:color w:val="000000"/>
          </w:rPr>
          <w:t xml:space="preserve">concoquere / generare prolem</w:t>
        </w:r>
      </w:hyperlink>
      <w:r>
        <w:rPr>
          <w:b w:val="0"/>
          <w:i w:val="0"/>
        </w:rPr>
        <w:t>.</w:t>
      </w:r>
    </w:p>
    <w:p>
      <w:pPr>
        <w:widowControl/>
      </w:pPr>
      <w:r>
        <w:rPr>
          <w:b/>
          <w:i w:val="0"/>
        </w:rPr>
        <w:t>generant.</w:t>
      </w:r>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generare.</w:t>
      </w:r>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generat.</w:t>
      </w:r>
      <w:r>
        <w:rPr>
          <w:b w:val="0"/>
          <w:i w:val="0"/>
        </w:rPr>
        <w:t xml:space="preserve"> </w:t>
      </w:r>
      <w:hyperlink w:anchor="latin-record-0424">
        <w:r>
          <w:rPr>
            <w:color w:val="000000"/>
          </w:rPr>
          <w:t xml:space="preserve">efficere / producere / generare</w:t>
        </w:r>
      </w:hyperlink>
      <w:r>
        <w:rPr>
          <w:b w:val="0"/>
          <w:i w:val="0"/>
        </w:rPr>
        <w:t xml:space="preserve">; </w:t>
      </w:r>
      <w:hyperlink w:anchor="latin-record-0539">
        <w:r>
          <w:rPr>
            <w:color w:val="000000"/>
          </w:rPr>
          <w:t xml:space="preserve">generare; nutrire; augere</w:t>
        </w:r>
      </w:hyperlink>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generatio.</w:t>
      </w:r>
      <w:r>
        <w:rPr>
          <w:b w:val="0"/>
          <w:i w:val="0"/>
        </w:rPr>
        <w:t xml:space="preserve"> </w:t>
      </w:r>
      <w:hyperlink w:anchor="latin-record-0540">
        <w:r>
          <w:rPr>
            <w:color w:val="000000"/>
          </w:rPr>
          <w:t xml:space="preserve">generatio</w:t>
        </w:r>
      </w:hyperlink>
      <w:r>
        <w:rPr>
          <w:b w:val="0"/>
          <w:i w:val="0"/>
        </w:rPr>
        <w:t>.</w:t>
      </w:r>
    </w:p>
    <w:p>
      <w:pPr>
        <w:widowControl/>
      </w:pPr>
      <w:r>
        <w:rPr>
          <w:b/>
          <w:i w:val="0"/>
        </w:rPr>
        <w:t>Generatio.</w:t>
      </w:r>
      <w:r>
        <w:rPr>
          <w:b w:val="0"/>
          <w:i w:val="0"/>
        </w:rPr>
        <w:t xml:space="preserve"> </w:t>
      </w:r>
      <w:hyperlink w:anchor="latin-record-0540">
        <w:r>
          <w:rPr>
            <w:color w:val="000000"/>
          </w:rPr>
          <w:t xml:space="preserve">generatio</w:t>
        </w:r>
      </w:hyperlink>
      <w:r>
        <w:rPr>
          <w:b w:val="0"/>
          <w:i w:val="0"/>
        </w:rPr>
        <w:t>.</w:t>
      </w:r>
    </w:p>
    <w:p>
      <w:pPr>
        <w:widowControl/>
      </w:pPr>
      <w:r>
        <w:rPr>
          <w:b/>
          <w:i w:val="0"/>
        </w:rPr>
        <w:t>generatione.</w:t>
      </w:r>
      <w:r>
        <w:rPr>
          <w:b w:val="0"/>
          <w:i w:val="0"/>
        </w:rPr>
        <w:t xml:space="preserve"> </w:t>
      </w:r>
      <w:hyperlink w:anchor="latin-record-0540">
        <w:r>
          <w:rPr>
            <w:color w:val="000000"/>
          </w:rPr>
          <w:t xml:space="preserve">generatio</w:t>
        </w:r>
      </w:hyperlink>
      <w:r>
        <w:rPr>
          <w:b w:val="0"/>
          <w:i w:val="0"/>
        </w:rPr>
        <w:t>.</w:t>
      </w:r>
    </w:p>
    <w:p>
      <w:pPr>
        <w:widowControl/>
      </w:pPr>
      <w:r>
        <w:rPr>
          <w:b/>
          <w:i w:val="0"/>
        </w:rPr>
        <w:t>generationis.</w:t>
      </w:r>
      <w:r>
        <w:rPr>
          <w:b w:val="0"/>
          <w:i w:val="0"/>
        </w:rPr>
        <w:t xml:space="preserve"> </w:t>
      </w:r>
      <w:hyperlink w:anchor="latin-record-0541">
        <w:r>
          <w:rPr>
            <w:color w:val="000000"/>
          </w:rPr>
          <w:t xml:space="preserve">generatio / genitrix / successio</w:t>
        </w:r>
      </w:hyperlink>
      <w:r>
        <w:rPr>
          <w:b w:val="0"/>
          <w:i w:val="0"/>
        </w:rPr>
        <w:t>.</w:t>
      </w:r>
    </w:p>
    <w:p>
      <w:pPr>
        <w:widowControl/>
      </w:pPr>
      <w:r>
        <w:rPr>
          <w:b/>
          <w:i w:val="0"/>
        </w:rPr>
        <w:t>generationis vicissitudinem.</w:t>
      </w:r>
      <w:r>
        <w:rPr>
          <w:b w:val="0"/>
          <w:i w:val="0"/>
        </w:rPr>
        <w:t xml:space="preserve"> </w:t>
      </w:r>
      <w:hyperlink w:anchor="latin-record-1347">
        <w:r>
          <w:rPr>
            <w:color w:val="000000"/>
          </w:rPr>
          <w:t xml:space="preserve">vicissitudo generationis</w:t>
        </w:r>
      </w:hyperlink>
      <w:r>
        <w:rPr>
          <w:b w:val="0"/>
          <w:i w:val="0"/>
        </w:rPr>
        <w:t>.</w:t>
      </w:r>
    </w:p>
    <w:p>
      <w:pPr>
        <w:widowControl/>
      </w:pPr>
      <w:r>
        <w:rPr>
          <w:b/>
          <w:i w:val="0"/>
        </w:rPr>
        <w:t>genere.</w:t>
      </w:r>
      <w:r>
        <w:rPr>
          <w:b w:val="0"/>
          <w:i w:val="0"/>
        </w:rPr>
        <w:t xml:space="preserve"> </w:t>
      </w:r>
      <w:hyperlink w:anchor="latin-record-0544">
        <w:r>
          <w:rPr>
            <w:color w:val="000000"/>
          </w:rPr>
          <w:t xml:space="preserve">genus</w:t>
        </w:r>
      </w:hyperlink>
      <w:r>
        <w:rPr>
          <w:b w:val="0"/>
          <w:i w:val="0"/>
        </w:rPr>
        <w:t>.</w:t>
      </w:r>
    </w:p>
    <w:p>
      <w:pPr>
        <w:widowControl/>
      </w:pPr>
      <w:r>
        <w:rPr>
          <w:b/>
          <w:i w:val="0"/>
        </w:rPr>
        <w:t>genere qualitatis.</w:t>
      </w:r>
      <w:r>
        <w:rPr>
          <w:b w:val="0"/>
          <w:i w:val="0"/>
        </w:rPr>
        <w:t xml:space="preserve"> </w:t>
      </w:r>
      <w:hyperlink w:anchor="latin-record-0545">
        <w:r>
          <w:rPr>
            <w:color w:val="000000"/>
          </w:rPr>
          <w:t xml:space="preserve">genus substantiae / genus qualitatis</w:t>
        </w:r>
      </w:hyperlink>
      <w:r>
        <w:rPr>
          <w:b w:val="0"/>
          <w:i w:val="0"/>
        </w:rPr>
        <w:t>.</w:t>
      </w:r>
    </w:p>
    <w:p>
      <w:pPr>
        <w:widowControl/>
      </w:pPr>
      <w:r>
        <w:rPr>
          <w:b/>
          <w:i w:val="0"/>
        </w:rPr>
        <w:t>generis.</w:t>
      </w:r>
      <w:r>
        <w:rPr>
          <w:b w:val="0"/>
          <w:i w:val="0"/>
        </w:rPr>
        <w:t xml:space="preserve"> </w:t>
      </w:r>
      <w:hyperlink w:anchor="latin-record-0544">
        <w:r>
          <w:rPr>
            <w:color w:val="000000"/>
          </w:rPr>
          <w:t xml:space="preserve">genus</w:t>
        </w:r>
      </w:hyperlink>
      <w:r>
        <w:rPr>
          <w:b w:val="0"/>
          <w:i w:val="0"/>
        </w:rPr>
        <w:t>.</w:t>
      </w:r>
    </w:p>
    <w:p>
      <w:pPr>
        <w:widowControl/>
      </w:pPr>
      <w:r>
        <w:rPr>
          <w:b/>
          <w:i w:val="0"/>
        </w:rPr>
        <w:t>generisque.</w:t>
      </w:r>
      <w:r>
        <w:rPr>
          <w:b w:val="0"/>
          <w:i w:val="0"/>
        </w:rPr>
        <w:t xml:space="preserve"> </w:t>
      </w:r>
      <w:hyperlink w:anchor="latin-record-1210">
        <w:r>
          <w:rPr>
            <w:color w:val="000000"/>
          </w:rPr>
          <w:t xml:space="preserve">species / genus / cognomen</w:t>
        </w:r>
      </w:hyperlink>
      <w:r>
        <w:rPr>
          <w:b w:val="0"/>
          <w:i w:val="0"/>
        </w:rPr>
        <w:t>.</w:t>
      </w:r>
    </w:p>
    <w:p>
      <w:pPr>
        <w:widowControl/>
      </w:pPr>
      <w:r>
        <w:rPr>
          <w:b/>
          <w:i w:val="0"/>
        </w:rPr>
        <w:t>genito.</w:t>
      </w:r>
      <w:r>
        <w:rPr>
          <w:b w:val="0"/>
          <w:i w:val="0"/>
        </w:rPr>
        <w:t xml:space="preserve"> </w:t>
      </w:r>
      <w:hyperlink w:anchor="latin-record-0542">
        <w:r>
          <w:rPr>
            <w:color w:val="000000"/>
          </w:rPr>
          <w:t xml:space="preserve">genitor; genitum</w:t>
        </w:r>
      </w:hyperlink>
      <w:r>
        <w:rPr>
          <w:b w:val="0"/>
          <w:i w:val="0"/>
        </w:rPr>
        <w:t>.</w:t>
      </w:r>
    </w:p>
    <w:p>
      <w:pPr>
        <w:widowControl/>
      </w:pPr>
      <w:r>
        <w:rPr>
          <w:b/>
          <w:i w:val="0"/>
        </w:rPr>
        <w:t>genitor.</w:t>
      </w:r>
      <w:r>
        <w:rPr>
          <w:b w:val="0"/>
          <w:i w:val="0"/>
        </w:rPr>
        <w:t xml:space="preserve"> </w:t>
      </w:r>
      <w:hyperlink w:anchor="latin-record-0542">
        <w:r>
          <w:rPr>
            <w:color w:val="000000"/>
          </w:rPr>
          <w:t xml:space="preserve">genitor; genitum</w:t>
        </w:r>
      </w:hyperlink>
      <w:r>
        <w:rPr>
          <w:b w:val="0"/>
          <w:i w:val="0"/>
        </w:rPr>
        <w:t>.</w:t>
      </w:r>
    </w:p>
    <w:p>
      <w:pPr>
        <w:widowControl/>
      </w:pPr>
      <w:r>
        <w:rPr>
          <w:b/>
          <w:i w:val="0"/>
        </w:rPr>
        <w:t>genitrice.</w:t>
      </w:r>
      <w:r>
        <w:rPr>
          <w:b w:val="0"/>
          <w:i w:val="0"/>
        </w:rPr>
        <w:t xml:space="preserve"> </w:t>
      </w:r>
      <w:hyperlink w:anchor="latin-record-0541">
        <w:r>
          <w:rPr>
            <w:color w:val="000000"/>
          </w:rPr>
          <w:t xml:space="preserve">generatio / genitrix / successio</w:t>
        </w:r>
      </w:hyperlink>
      <w:r>
        <w:rPr>
          <w:b w:val="0"/>
          <w:i w:val="0"/>
        </w:rPr>
        <w:t>.</w:t>
      </w:r>
    </w:p>
    <w:p>
      <w:pPr>
        <w:widowControl/>
      </w:pPr>
      <w:r>
        <w:rPr>
          <w:b/>
          <w:i w:val="0"/>
        </w:rPr>
        <w:t>genitum.</w:t>
      </w:r>
      <w:r>
        <w:rPr>
          <w:b w:val="0"/>
          <w:i w:val="0"/>
        </w:rPr>
        <w:t xml:space="preserve"> </w:t>
      </w:r>
      <w:hyperlink w:anchor="latin-record-0542">
        <w:r>
          <w:rPr>
            <w:color w:val="000000"/>
          </w:rPr>
          <w:t xml:space="preserve">genitor; genitum</w:t>
        </w:r>
      </w:hyperlink>
      <w:r>
        <w:rPr>
          <w:b w:val="0"/>
          <w:i w:val="0"/>
        </w:rPr>
        <w:t>.</w:t>
      </w:r>
    </w:p>
    <w:p>
      <w:pPr>
        <w:widowControl/>
      </w:pPr>
      <w:r>
        <w:rPr>
          <w:b/>
          <w:i w:val="0"/>
        </w:rPr>
        <w:t>genitus.</w:t>
      </w:r>
      <w:r>
        <w:rPr>
          <w:b w:val="0"/>
          <w:i w:val="0"/>
        </w:rPr>
        <w:t xml:space="preserve"> </w:t>
      </w:r>
      <w:hyperlink w:anchor="latin-record-0542">
        <w:r>
          <w:rPr>
            <w:color w:val="000000"/>
          </w:rPr>
          <w:t xml:space="preserve">genitor; genitum</w:t>
        </w:r>
      </w:hyperlink>
      <w:r>
        <w:rPr>
          <w:b w:val="0"/>
          <w:i w:val="0"/>
        </w:rPr>
        <w:t>.</w:t>
      </w:r>
    </w:p>
    <w:p>
      <w:pPr>
        <w:widowControl/>
      </w:pPr>
      <w:r>
        <w:rPr>
          <w:b/>
          <w:i w:val="0"/>
        </w:rPr>
        <w:t>genu.</w:t>
      </w:r>
      <w:r>
        <w:rPr>
          <w:b w:val="0"/>
          <w:i w:val="0"/>
        </w:rPr>
        <w:t xml:space="preserve"> </w:t>
      </w:r>
      <w:hyperlink w:anchor="latin-record-0543">
        <w:r>
          <w:rPr>
            <w:color w:val="000000"/>
          </w:rPr>
          <w:t xml:space="preserve">genu / lapillus</w:t>
        </w:r>
      </w:hyperlink>
      <w:r>
        <w:rPr>
          <w:b w:val="0"/>
          <w:i w:val="0"/>
        </w:rPr>
        <w:t>.</w:t>
      </w:r>
    </w:p>
    <w:p>
      <w:pPr>
        <w:widowControl/>
      </w:pPr>
      <w:r>
        <w:rPr>
          <w:b/>
          <w:i w:val="0"/>
        </w:rPr>
        <w:t>genuit.</w:t>
      </w:r>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genus.</w:t>
      </w:r>
      <w:r>
        <w:rPr>
          <w:b w:val="0"/>
          <w:i w:val="0"/>
        </w:rPr>
        <w:t xml:space="preserve"> </w:t>
      </w:r>
      <w:hyperlink w:anchor="latin-record-0544">
        <w:r>
          <w:rPr>
            <w:color w:val="000000"/>
          </w:rPr>
          <w:t xml:space="preserve">genus</w:t>
        </w:r>
      </w:hyperlink>
      <w:r>
        <w:rPr>
          <w:b w:val="0"/>
          <w:i w:val="0"/>
        </w:rPr>
        <w:t>.</w:t>
      </w:r>
    </w:p>
    <w:p>
      <w:pPr>
        <w:widowControl/>
      </w:pPr>
      <w:r>
        <w:rPr>
          <w:b/>
          <w:i w:val="0"/>
        </w:rPr>
        <w:t>Georgius Antonius Vespuccius.</w:t>
      </w:r>
      <w:r>
        <w:rPr>
          <w:b w:val="0"/>
          <w:i w:val="0"/>
        </w:rPr>
        <w:t xml:space="preserve"> </w:t>
      </w:r>
      <w:hyperlink w:anchor="latin-record-0700">
        <w:r>
          <w:rPr>
            <w:color w:val="000000"/>
          </w:rPr>
          <w:t xml:space="preserve">Landinus; Nuthius; Vespuccius</w:t>
        </w:r>
      </w:hyperlink>
      <w:r>
        <w:rPr>
          <w:b w:val="0"/>
          <w:i w:val="0"/>
        </w:rPr>
        <w:t>.</w:t>
      </w:r>
    </w:p>
    <w:p>
      <w:pPr>
        <w:widowControl/>
      </w:pPr>
      <w:r>
        <w:rPr>
          <w:b/>
          <w:i w:val="0"/>
        </w:rPr>
        <w:t>germine.</w:t>
      </w:r>
      <w:r>
        <w:rPr>
          <w:b w:val="0"/>
          <w:i w:val="0"/>
        </w:rPr>
        <w:t xml:space="preserve"> </w:t>
      </w:r>
      <w:hyperlink w:anchor="latin-record-1060">
        <w:r>
          <w:rPr>
            <w:color w:val="000000"/>
          </w:rPr>
          <w:t xml:space="preserve">radix; germen; ramus</w:t>
        </w:r>
      </w:hyperlink>
      <w:r>
        <w:rPr>
          <w:b w:val="0"/>
          <w:i w:val="0"/>
        </w:rPr>
        <w:t>.</w:t>
      </w:r>
    </w:p>
    <w:p>
      <w:pPr>
        <w:widowControl/>
      </w:pPr>
      <w:r>
        <w:rPr>
          <w:b/>
          <w:i w:val="0"/>
        </w:rPr>
        <w:t>gigneret.</w:t>
      </w:r>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gignit.</w:t>
      </w:r>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glaucis.</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glebis.</w:t>
      </w:r>
      <w:r>
        <w:rPr>
          <w:b w:val="0"/>
          <w:i w:val="0"/>
        </w:rPr>
        <w:t xml:space="preserve"> </w:t>
      </w:r>
      <w:hyperlink w:anchor="latin-record-0736">
        <w:r>
          <w:rPr>
            <w:color w:val="000000"/>
          </w:rPr>
          <w:t xml:space="preserve">lutum; testa; gleba</w:t>
        </w:r>
      </w:hyperlink>
      <w:r>
        <w:rPr>
          <w:b w:val="0"/>
          <w:i w:val="0"/>
        </w:rPr>
        <w:t>.</w:t>
      </w:r>
    </w:p>
    <w:p>
      <w:pPr>
        <w:widowControl/>
      </w:pPr>
      <w:r>
        <w:rPr>
          <w:b/>
          <w:i w:val="0"/>
        </w:rPr>
        <w:t>Gorgiaque.</w:t>
      </w:r>
      <w:r>
        <w:rPr>
          <w:b w:val="0"/>
          <w:i w:val="0"/>
        </w:rPr>
        <w:t xml:space="preserve"> </w:t>
      </w:r>
      <w:hyperlink w:anchor="latin-record-0858">
        <w:r>
          <w:rPr>
            <w:color w:val="000000"/>
          </w:rPr>
          <w:t xml:space="preserve">Olympiodorus / Phaedo / Gorgias</w:t>
        </w:r>
      </w:hyperlink>
      <w:r>
        <w:rPr>
          <w:b w:val="0"/>
          <w:i w:val="0"/>
        </w:rPr>
        <w:t>.</w:t>
      </w:r>
    </w:p>
    <w:p>
      <w:pPr>
        <w:widowControl/>
      </w:pPr>
      <w:r>
        <w:rPr>
          <w:b/>
          <w:i w:val="0"/>
        </w:rPr>
        <w:t>gradatim.</w:t>
      </w:r>
      <w:r>
        <w:rPr>
          <w:b w:val="0"/>
          <w:i w:val="0"/>
        </w:rPr>
        <w:t xml:space="preserve"> </w:t>
      </w:r>
      <w:hyperlink w:anchor="latin-record-0132">
        <w:r>
          <w:rPr>
            <w:color w:val="000000"/>
          </w:rPr>
          <w:t xml:space="preserve">ascendere / descendere</w:t>
        </w:r>
      </w:hyperlink>
      <w:r>
        <w:rPr>
          <w:b w:val="0"/>
          <w:i w:val="0"/>
        </w:rPr>
        <w:t xml:space="preserve">; </w:t>
      </w:r>
      <w:hyperlink w:anchor="latin-record-0546">
        <w:r>
          <w:rPr>
            <w:color w:val="000000"/>
          </w:rPr>
          <w:t xml:space="preserve">gradus</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253">
        <w:r>
          <w:rPr>
            <w:color w:val="000000"/>
          </w:rPr>
          <w:t xml:space="preserve">successio / gradatim</w:t>
        </w:r>
      </w:hyperlink>
      <w:r>
        <w:rPr>
          <w:b w:val="0"/>
          <w:i w:val="0"/>
        </w:rPr>
        <w:t>.</w:t>
      </w:r>
    </w:p>
    <w:p>
      <w:pPr>
        <w:widowControl/>
      </w:pPr>
      <w:r>
        <w:rPr>
          <w:b/>
          <w:i w:val="0"/>
        </w:rPr>
        <w:t>gradiantur.</w:t>
      </w:r>
      <w:r>
        <w:rPr>
          <w:b w:val="0"/>
          <w:i w:val="0"/>
        </w:rPr>
        <w:t xml:space="preserve"> </w:t>
      </w:r>
      <w:hyperlink w:anchor="latin-record-1233">
        <w:r>
          <w:rPr>
            <w:color w:val="000000"/>
          </w:rPr>
          <w:t xml:space="preserve">spontaneus; gradi</w:t>
        </w:r>
      </w:hyperlink>
      <w:r>
        <w:rPr>
          <w:b w:val="0"/>
          <w:i w:val="0"/>
        </w:rPr>
        <w:t>.</w:t>
      </w:r>
    </w:p>
    <w:p>
      <w:pPr>
        <w:widowControl/>
      </w:pPr>
      <w:r>
        <w:rPr>
          <w:b/>
          <w:i w:val="0"/>
        </w:rPr>
        <w:t>gradibus.</w:t>
      </w:r>
      <w:r>
        <w:rPr>
          <w:b w:val="0"/>
          <w:i w:val="0"/>
        </w:rPr>
        <w:t xml:space="preserve"> </w:t>
      </w:r>
      <w:hyperlink w:anchor="latin-record-0132">
        <w:r>
          <w:rPr>
            <w:color w:val="000000"/>
          </w:rPr>
          <w:t xml:space="preserve">ascendere / descendere</w:t>
        </w:r>
      </w:hyperlink>
      <w:r>
        <w:rPr>
          <w:b w:val="0"/>
          <w:i w:val="0"/>
        </w:rPr>
        <w:t xml:space="preserve">; </w:t>
      </w:r>
      <w:hyperlink w:anchor="latin-record-0546">
        <w:r>
          <w:rPr>
            <w:color w:val="000000"/>
          </w:rPr>
          <w:t xml:space="preserve">gradus</w:t>
        </w:r>
      </w:hyperlink>
      <w:r>
        <w:rPr>
          <w:b w:val="0"/>
          <w:i w:val="0"/>
        </w:rPr>
        <w:t>.</w:t>
      </w:r>
    </w:p>
    <w:p>
      <w:pPr>
        <w:widowControl/>
      </w:pPr>
      <w:r>
        <w:rPr>
          <w:b/>
          <w:i w:val="0"/>
        </w:rPr>
        <w:t>gradiendum.</w:t>
      </w:r>
      <w:r>
        <w:rPr>
          <w:b w:val="0"/>
          <w:i w:val="0"/>
        </w:rPr>
        <w:t xml:space="preserve"> </w:t>
      </w:r>
      <w:hyperlink w:anchor="latin-record-1233">
        <w:r>
          <w:rPr>
            <w:color w:val="000000"/>
          </w:rPr>
          <w:t xml:space="preserve">spontaneus; gradi</w:t>
        </w:r>
      </w:hyperlink>
      <w:r>
        <w:rPr>
          <w:b w:val="0"/>
          <w:i w:val="0"/>
        </w:rPr>
        <w:t>.</w:t>
      </w:r>
    </w:p>
    <w:p>
      <w:pPr>
        <w:widowControl/>
      </w:pPr>
      <w:r>
        <w:rPr>
          <w:b/>
          <w:i w:val="0"/>
        </w:rPr>
        <w:t>gradu.</w:t>
      </w:r>
      <w:r>
        <w:rPr>
          <w:b w:val="0"/>
          <w:i w:val="0"/>
        </w:rPr>
        <w:t xml:space="preserve"> </w:t>
      </w:r>
      <w:hyperlink w:anchor="latin-record-0546">
        <w:r>
          <w:rPr>
            <w:color w:val="000000"/>
          </w:rPr>
          <w:t xml:space="preserve">gradus</w:t>
        </w:r>
      </w:hyperlink>
      <w:r>
        <w:rPr>
          <w:b w:val="0"/>
          <w:i w:val="0"/>
        </w:rPr>
        <w:t xml:space="preserve">; </w:t>
      </w:r>
      <w:hyperlink w:anchor="latin-record-1288">
        <w:r>
          <w:rPr>
            <w:color w:val="000000"/>
          </w:rPr>
          <w:t xml:space="preserve">terminus / gradus / proportio / figura</w:t>
        </w:r>
      </w:hyperlink>
      <w:r>
        <w:rPr>
          <w:b w:val="0"/>
          <w:i w:val="0"/>
        </w:rPr>
        <w:t>.</w:t>
      </w:r>
    </w:p>
    <w:p>
      <w:pPr>
        <w:widowControl/>
      </w:pPr>
      <w:r>
        <w:rPr>
          <w:b/>
          <w:i w:val="0"/>
        </w:rPr>
        <w:t>gradum.</w:t>
      </w:r>
      <w:r>
        <w:rPr>
          <w:b w:val="0"/>
          <w:i w:val="0"/>
        </w:rPr>
        <w:t xml:space="preserve"> </w:t>
      </w:r>
      <w:hyperlink w:anchor="latin-record-0546">
        <w:r>
          <w:rPr>
            <w:color w:val="000000"/>
          </w:rPr>
          <w:t xml:space="preserve">gradus</w:t>
        </w:r>
      </w:hyperlink>
      <w:r>
        <w:rPr>
          <w:b w:val="0"/>
          <w:i w:val="0"/>
        </w:rPr>
        <w:t>.</w:t>
      </w:r>
    </w:p>
    <w:p>
      <w:pPr>
        <w:widowControl/>
      </w:pPr>
      <w:r>
        <w:rPr>
          <w:b/>
          <w:i w:val="0"/>
        </w:rPr>
        <w:t>gradus.</w:t>
      </w:r>
      <w:r>
        <w:rPr>
          <w:b w:val="0"/>
          <w:i w:val="0"/>
        </w:rPr>
        <w:t xml:space="preserve"> </w:t>
      </w:r>
      <w:hyperlink w:anchor="latin-record-0546">
        <w:r>
          <w:rPr>
            <w:color w:val="000000"/>
          </w:rPr>
          <w:t xml:space="preserve">gradus</w:t>
        </w:r>
      </w:hyperlink>
      <w:r>
        <w:rPr>
          <w:b w:val="0"/>
          <w:i w:val="0"/>
        </w:rPr>
        <w:t>.</w:t>
      </w:r>
    </w:p>
    <w:p>
      <w:pPr>
        <w:widowControl/>
      </w:pPr>
      <w:r>
        <w:rPr>
          <w:b/>
          <w:i w:val="0"/>
        </w:rPr>
        <w:t>Graeci.</w:t>
      </w:r>
      <w:r>
        <w:rPr>
          <w:b w:val="0"/>
          <w:i w:val="0"/>
        </w:rPr>
        <w:t xml:space="preserve"> </w:t>
      </w:r>
      <w:hyperlink w:anchor="latin-record-0548">
        <w:r>
          <w:rPr>
            <w:color w:val="000000"/>
          </w:rPr>
          <w:t xml:space="preserve">Graeci Platonici / Arabes Platonici</w:t>
        </w:r>
      </w:hyperlink>
      <w:r>
        <w:rPr>
          <w:b w:val="0"/>
          <w:i w:val="0"/>
        </w:rPr>
        <w:t>.</w:t>
      </w:r>
    </w:p>
    <w:p>
      <w:pPr>
        <w:widowControl/>
      </w:pPr>
      <w:r>
        <w:rPr>
          <w:b/>
          <w:i w:val="0"/>
        </w:rPr>
        <w:t>grandi.</w:t>
      </w:r>
      <w:r>
        <w:rPr>
          <w:b w:val="0"/>
          <w:i w:val="0"/>
        </w:rPr>
        <w:t xml:space="preserve"> </w:t>
      </w:r>
      <w:hyperlink w:anchor="latin-record-0951">
        <w:r>
          <w:rPr>
            <w:color w:val="000000"/>
          </w:rPr>
          <w:t xml:space="preserve">pinguis / tenuis / grandis / pusillus</w:t>
        </w:r>
      </w:hyperlink>
      <w:r>
        <w:rPr>
          <w:b w:val="0"/>
          <w:i w:val="0"/>
        </w:rPr>
        <w:t>.</w:t>
      </w:r>
    </w:p>
    <w:p>
      <w:pPr>
        <w:widowControl/>
      </w:pPr>
      <w:r>
        <w:rPr>
          <w:b/>
          <w:i w:val="0"/>
        </w:rPr>
        <w:t>grandiorem.</w:t>
      </w:r>
      <w:r>
        <w:rPr>
          <w:b w:val="0"/>
          <w:i w:val="0"/>
        </w:rPr>
        <w:t xml:space="preserve"> </w:t>
      </w:r>
      <w:hyperlink w:anchor="latin-record-0951">
        <w:r>
          <w:rPr>
            <w:color w:val="000000"/>
          </w:rPr>
          <w:t xml:space="preserve">pinguis / tenuis / grandis / pusillus</w:t>
        </w:r>
      </w:hyperlink>
      <w:r>
        <w:rPr>
          <w:b w:val="0"/>
          <w:i w:val="0"/>
        </w:rPr>
        <w:t>.</w:t>
      </w:r>
    </w:p>
    <w:p>
      <w:pPr>
        <w:widowControl/>
      </w:pPr>
      <w:r>
        <w:rPr>
          <w:b/>
          <w:i w:val="0"/>
        </w:rPr>
        <w:t>granis.</w:t>
      </w:r>
      <w:r>
        <w:rPr>
          <w:b w:val="0"/>
          <w:i w:val="0"/>
        </w:rPr>
        <w:t xml:space="preserve"> </w:t>
      </w:r>
      <w:hyperlink w:anchor="latin-record-0550">
        <w:r>
          <w:rPr>
            <w:color w:val="000000"/>
          </w:rPr>
          <w:t xml:space="preserve">gutta / triticum / granum</w:t>
        </w:r>
      </w:hyperlink>
      <w:r>
        <w:rPr>
          <w:b w:val="0"/>
          <w:i w:val="0"/>
        </w:rPr>
        <w:t>.</w:t>
      </w:r>
    </w:p>
    <w:p>
      <w:pPr>
        <w:widowControl/>
      </w:pPr>
      <w:r>
        <w:rPr>
          <w:b/>
          <w:i w:val="0"/>
        </w:rPr>
        <w:t>gravatur.</w:t>
      </w:r>
      <w:r>
        <w:rPr>
          <w:b w:val="0"/>
          <w:i w:val="0"/>
        </w:rPr>
        <w:t xml:space="preserve"> </w:t>
      </w:r>
      <w:hyperlink w:anchor="latin-record-0770">
        <w:r>
          <w:rPr>
            <w:color w:val="000000"/>
          </w:rPr>
          <w:t xml:space="preserve">mediocriter / gravari / languescere / aegrotare</w:t>
        </w:r>
      </w:hyperlink>
      <w:r>
        <w:rPr>
          <w:b w:val="0"/>
          <w:i w:val="0"/>
        </w:rPr>
        <w:t>.</w:t>
      </w:r>
    </w:p>
    <w:p>
      <w:pPr>
        <w:widowControl/>
      </w:pPr>
      <w:r>
        <w:rPr>
          <w:b/>
          <w:i w:val="0"/>
        </w:rPr>
        <w:t>graves humores.</w:t>
      </w:r>
      <w:r>
        <w:rPr>
          <w:b w:val="0"/>
          <w:i w:val="0"/>
        </w:rPr>
        <w:t xml:space="preserve"> </w:t>
      </w:r>
      <w:hyperlink w:anchor="latin-record-1229">
        <w:r>
          <w:rPr>
            <w:color w:val="000000"/>
          </w:rPr>
          <w:t xml:space="preserve">spiritus leves; humores graves</w:t>
        </w:r>
      </w:hyperlink>
      <w:r>
        <w:rPr>
          <w:b w:val="0"/>
          <w:i w:val="0"/>
        </w:rPr>
        <w:t>.</w:t>
      </w:r>
    </w:p>
    <w:p>
      <w:pPr>
        <w:widowControl/>
      </w:pPr>
      <w:r>
        <w:rPr>
          <w:b/>
          <w:i w:val="0"/>
        </w:rPr>
        <w:t>gravescit.</w:t>
      </w:r>
      <w:r>
        <w:rPr>
          <w:b w:val="0"/>
          <w:i w:val="0"/>
        </w:rPr>
        <w:t xml:space="preserve"> </w:t>
      </w:r>
      <w:hyperlink w:anchor="latin-record-1312">
        <w:r>
          <w:rPr>
            <w:color w:val="000000"/>
          </w:rPr>
          <w:t xml:space="preserve">turgescere / gravescere</w:t>
        </w:r>
      </w:hyperlink>
      <w:r>
        <w:rPr>
          <w:b w:val="0"/>
          <w:i w:val="0"/>
        </w:rPr>
        <w:t>.</w:t>
      </w:r>
    </w:p>
    <w:p>
      <w:pPr>
        <w:widowControl/>
      </w:pPr>
      <w:r>
        <w:rPr>
          <w:b/>
          <w:i w:val="0"/>
        </w:rPr>
        <w:t>gremio.</w:t>
      </w:r>
      <w:r>
        <w:rPr>
          <w:b w:val="0"/>
          <w:i w:val="0"/>
        </w:rPr>
        <w:t xml:space="preserve"> </w:t>
      </w:r>
      <w:hyperlink w:anchor="latin-record-0549">
        <w:r>
          <w:rPr>
            <w:color w:val="000000"/>
          </w:rPr>
          <w:t xml:space="preserve">gremium / detrudere / pellere</w:t>
        </w:r>
      </w:hyperlink>
      <w:r>
        <w:rPr>
          <w:b w:val="0"/>
          <w:i w:val="0"/>
        </w:rPr>
        <w:t xml:space="preserve">; </w:t>
      </w:r>
      <w:hyperlink w:anchor="latin-record-1191">
        <w:r>
          <w:rPr>
            <w:color w:val="000000"/>
          </w:rPr>
          <w:t xml:space="preserve">sinus / gremium</w:t>
        </w:r>
      </w:hyperlink>
      <w:r>
        <w:rPr>
          <w:b w:val="0"/>
          <w:i w:val="0"/>
        </w:rPr>
        <w:t>.</w:t>
      </w:r>
    </w:p>
    <w:p>
      <w:pPr>
        <w:widowControl/>
      </w:pPr>
      <w:r>
        <w:rPr>
          <w:b/>
          <w:i w:val="0"/>
        </w:rPr>
        <w:t>gubernans.</w:t>
      </w:r>
      <w:r>
        <w:rPr>
          <w:b w:val="0"/>
          <w:i w:val="0"/>
        </w:rPr>
        <w:t xml:space="preserve"> </w:t>
      </w:r>
      <w:hyperlink w:anchor="latin-record-0140">
        <w:r>
          <w:rPr>
            <w:color w:val="000000"/>
          </w:rPr>
          <w:t xml:space="preserve">assignare; residere; gubernare</w:t>
        </w:r>
      </w:hyperlink>
      <w:r>
        <w:rPr>
          <w:b w:val="0"/>
          <w:i w:val="0"/>
        </w:rPr>
        <w:t xml:space="preserve">; </w:t>
      </w:r>
      <w:hyperlink w:anchor="latin-record-1094">
        <w:r>
          <w:rPr>
            <w:color w:val="000000"/>
          </w:rPr>
          <w:t xml:space="preserve">regere; ducere; gubernare</w:t>
        </w:r>
      </w:hyperlink>
      <w:r>
        <w:rPr>
          <w:b w:val="0"/>
          <w:i w:val="0"/>
        </w:rPr>
        <w:t>.</w:t>
      </w:r>
    </w:p>
    <w:p>
      <w:pPr>
        <w:widowControl/>
      </w:pPr>
      <w:r>
        <w:rPr>
          <w:b/>
          <w:i w:val="0"/>
        </w:rPr>
        <w:t>gustat.</w:t>
      </w:r>
      <w:r>
        <w:rPr>
          <w:b w:val="0"/>
          <w:i w:val="0"/>
        </w:rPr>
        <w:t xml:space="preserve"> </w:t>
      </w:r>
      <w:hyperlink w:anchor="latin-record-1350">
        <w:r>
          <w:rPr>
            <w:color w:val="000000"/>
          </w:rPr>
          <w:t xml:space="preserve">videre; audire; olfacere; gustare; tangere</w:t>
        </w:r>
      </w:hyperlink>
      <w:r>
        <w:rPr>
          <w:b w:val="0"/>
          <w:i w:val="0"/>
        </w:rPr>
        <w:t>.</w:t>
      </w:r>
    </w:p>
    <w:p>
      <w:pPr>
        <w:widowControl/>
      </w:pPr>
      <w:r>
        <w:rPr>
          <w:b/>
          <w:i w:val="0"/>
        </w:rPr>
        <w:t>guttis.</w:t>
      </w:r>
      <w:r>
        <w:rPr>
          <w:b w:val="0"/>
          <w:i w:val="0"/>
        </w:rPr>
        <w:t xml:space="preserve"> </w:t>
      </w:r>
      <w:hyperlink w:anchor="latin-record-0550">
        <w:r>
          <w:rPr>
            <w:color w:val="000000"/>
          </w:rPr>
          <w:t xml:space="preserve">gutta / triticum / granum</w:t>
        </w:r>
      </w:hyperlink>
      <w:r>
        <w:rPr>
          <w:b w:val="0"/>
          <w:i w:val="0"/>
        </w:rPr>
        <w:t>.</w:t>
      </w:r>
    </w:p>
    <w:p>
      <w:pPr>
        <w:widowControl/>
      </w:pPr>
      <w:r>
        <w:rPr>
          <w:b/>
          <w:i w:val="0"/>
        </w:rPr>
        <w:t>guttula seminis.</w:t>
      </w:r>
      <w:r>
        <w:rPr>
          <w:b w:val="0"/>
          <w:i w:val="0"/>
        </w:rPr>
        <w:t xml:space="preserve"> </w:t>
      </w:r>
      <w:hyperlink w:anchor="latin-record-0551">
        <w:r>
          <w:rPr>
            <w:color w:val="000000"/>
          </w:rPr>
          <w:t xml:space="preserve">guttula; ova piscium</w:t>
        </w:r>
      </w:hyperlink>
      <w:r>
        <w:rPr>
          <w:b w:val="0"/>
          <w:i w:val="0"/>
        </w:rPr>
        <w:t>.</w:t>
      </w:r>
    </w:p>
    <w:p>
      <w:pPr>
        <w:widowControl/>
      </w:pPr>
      <w:r>
        <w:rPr>
          <w:b/>
          <w:i w:val="0"/>
        </w:rPr>
        <w:t>habeant.</w:t>
      </w:r>
      <w:r>
        <w:rPr>
          <w:b w:val="0"/>
          <w:i w:val="0"/>
        </w:rPr>
        <w:t xml:space="preserve"> </w:t>
      </w:r>
      <w:hyperlink w:anchor="latin-record-0444">
        <w:r>
          <w:rPr>
            <w:color w:val="000000"/>
          </w:rPr>
          <w:t xml:space="preserve">esse; habere; fieri</w:t>
        </w:r>
      </w:hyperlink>
      <w:r>
        <w:rPr>
          <w:b w:val="0"/>
          <w:i w:val="0"/>
        </w:rPr>
        <w:t xml:space="preserve">; </w:t>
      </w:r>
      <w:hyperlink w:anchor="latin-record-0552">
        <w:r>
          <w:rPr>
            <w:color w:val="000000"/>
          </w:rPr>
          <w:t xml:space="preserve">habere</w:t>
        </w:r>
      </w:hyperlink>
      <w:r>
        <w:rPr>
          <w:b w:val="0"/>
          <w:i w:val="0"/>
        </w:rPr>
        <w:t xml:space="preserve">; </w:t>
      </w:r>
      <w:hyperlink w:anchor="latin-record-0553">
        <w:r>
          <w:rPr>
            <w:color w:val="000000"/>
          </w:rPr>
          <w:t xml:space="preserve">habere / possidere</w:t>
        </w:r>
      </w:hyperlink>
      <w:r>
        <w:rPr>
          <w:b w:val="0"/>
          <w:i w:val="0"/>
        </w:rPr>
        <w:t>.</w:t>
      </w:r>
    </w:p>
    <w:p>
      <w:pPr>
        <w:widowControl/>
      </w:pPr>
      <w:r>
        <w:rPr>
          <w:b/>
          <w:i w:val="0"/>
        </w:rPr>
        <w:t>habeat.</w:t>
      </w:r>
      <w:r>
        <w:rPr>
          <w:b w:val="0"/>
          <w:i w:val="0"/>
        </w:rPr>
        <w:t xml:space="preserve"> </w:t>
      </w:r>
      <w:hyperlink w:anchor="latin-record-0444">
        <w:r>
          <w:rPr>
            <w:color w:val="000000"/>
          </w:rPr>
          <w:t xml:space="preserve">esse; habere; fieri</w:t>
        </w:r>
      </w:hyperlink>
      <w:r>
        <w:rPr>
          <w:b w:val="0"/>
          <w:i w:val="0"/>
        </w:rPr>
        <w:t xml:space="preserve">; </w:t>
      </w:r>
      <w:hyperlink w:anchor="latin-record-0552">
        <w:r>
          <w:rPr>
            <w:color w:val="000000"/>
          </w:rPr>
          <w:t xml:space="preserve">habere</w:t>
        </w:r>
      </w:hyperlink>
      <w:r>
        <w:rPr>
          <w:b w:val="0"/>
          <w:i w:val="0"/>
        </w:rPr>
        <w:t xml:space="preserve">; </w:t>
      </w:r>
      <w:hyperlink w:anchor="latin-record-0553">
        <w:r>
          <w:rPr>
            <w:color w:val="000000"/>
          </w:rPr>
          <w:t xml:space="preserve">habere / possidere</w:t>
        </w:r>
      </w:hyperlink>
      <w:r>
        <w:rPr>
          <w:b w:val="0"/>
          <w:i w:val="0"/>
        </w:rPr>
        <w:t>.</w:t>
      </w:r>
    </w:p>
    <w:p>
      <w:pPr>
        <w:widowControl/>
      </w:pPr>
      <w:r>
        <w:rPr>
          <w:b/>
          <w:i w:val="0"/>
        </w:rPr>
        <w:t>habebit.</w:t>
      </w:r>
      <w:r>
        <w:rPr>
          <w:b w:val="0"/>
          <w:i w:val="0"/>
        </w:rPr>
        <w:t xml:space="preserve"> </w:t>
      </w:r>
      <w:hyperlink w:anchor="latin-record-0444">
        <w:r>
          <w:rPr>
            <w:color w:val="000000"/>
          </w:rPr>
          <w:t xml:space="preserve">esse; habere; fieri</w:t>
        </w:r>
      </w:hyperlink>
      <w:r>
        <w:rPr>
          <w:b w:val="0"/>
          <w:i w:val="0"/>
        </w:rPr>
        <w:t>.</w:t>
      </w:r>
    </w:p>
    <w:p>
      <w:pPr>
        <w:widowControl/>
      </w:pPr>
      <w:r>
        <w:rPr>
          <w:b/>
          <w:i w:val="0"/>
        </w:rPr>
        <w:t>habebitur.</w:t>
      </w:r>
      <w:r>
        <w:rPr>
          <w:b w:val="0"/>
          <w:i w:val="0"/>
        </w:rPr>
        <w:t xml:space="preserve"> </w:t>
      </w:r>
      <w:hyperlink w:anchor="latin-record-0553">
        <w:r>
          <w:rPr>
            <w:color w:val="000000"/>
          </w:rPr>
          <w:t xml:space="preserve">habere / possidere</w:t>
        </w:r>
      </w:hyperlink>
      <w:r>
        <w:rPr>
          <w:b w:val="0"/>
          <w:i w:val="0"/>
        </w:rPr>
        <w:t>.</w:t>
      </w:r>
    </w:p>
    <w:p>
      <w:pPr>
        <w:widowControl/>
      </w:pPr>
      <w:r>
        <w:rPr>
          <w:b/>
          <w:i w:val="0"/>
        </w:rPr>
        <w:t>habemus.</w:t>
      </w:r>
      <w:r>
        <w:rPr>
          <w:b w:val="0"/>
          <w:i w:val="0"/>
        </w:rPr>
        <w:t xml:space="preserve"> </w:t>
      </w:r>
      <w:hyperlink w:anchor="latin-record-0553">
        <w:r>
          <w:rPr>
            <w:color w:val="000000"/>
          </w:rPr>
          <w:t xml:space="preserve">habere / possidere</w:t>
        </w:r>
      </w:hyperlink>
      <w:r>
        <w:rPr>
          <w:b w:val="0"/>
          <w:i w:val="0"/>
        </w:rPr>
        <w:t>.</w:t>
      </w:r>
    </w:p>
    <w:p>
      <w:pPr>
        <w:widowControl/>
      </w:pPr>
      <w:r>
        <w:rPr>
          <w:b/>
          <w:i w:val="0"/>
        </w:rPr>
        <w:t>habent.</w:t>
      </w:r>
      <w:r>
        <w:rPr>
          <w:b w:val="0"/>
          <w:i w:val="0"/>
        </w:rPr>
        <w:t xml:space="preserve"> </w:t>
      </w:r>
      <w:hyperlink w:anchor="latin-record-0444">
        <w:r>
          <w:rPr>
            <w:color w:val="000000"/>
          </w:rPr>
          <w:t xml:space="preserve">esse; habere; fieri</w:t>
        </w:r>
      </w:hyperlink>
      <w:r>
        <w:rPr>
          <w:b w:val="0"/>
          <w:i w:val="0"/>
        </w:rPr>
        <w:t xml:space="preserve">; </w:t>
      </w:r>
      <w:hyperlink w:anchor="latin-record-0552">
        <w:r>
          <w:rPr>
            <w:color w:val="000000"/>
          </w:rPr>
          <w:t xml:space="preserve">habere</w:t>
        </w:r>
      </w:hyperlink>
      <w:r>
        <w:rPr>
          <w:b w:val="0"/>
          <w:i w:val="0"/>
        </w:rPr>
        <w:t>.</w:t>
      </w:r>
    </w:p>
    <w:p>
      <w:pPr>
        <w:widowControl/>
      </w:pPr>
      <w:r>
        <w:rPr>
          <w:b/>
          <w:i w:val="0"/>
        </w:rPr>
        <w:t>habentur.</w:t>
      </w:r>
      <w:r>
        <w:rPr>
          <w:b w:val="0"/>
          <w:i w:val="0"/>
        </w:rPr>
        <w:t xml:space="preserve"> </w:t>
      </w:r>
      <w:hyperlink w:anchor="latin-record-0553">
        <w:r>
          <w:rPr>
            <w:color w:val="000000"/>
          </w:rPr>
          <w:t xml:space="preserve">habere / possidere</w:t>
        </w:r>
      </w:hyperlink>
      <w:r>
        <w:rPr>
          <w:b w:val="0"/>
          <w:i w:val="0"/>
        </w:rPr>
        <w:t>.</w:t>
      </w:r>
    </w:p>
    <w:p>
      <w:pPr>
        <w:widowControl/>
      </w:pPr>
      <w:r>
        <w:rPr>
          <w:b/>
          <w:i w:val="0"/>
        </w:rPr>
        <w:t>habere.</w:t>
      </w:r>
      <w:r>
        <w:rPr>
          <w:b w:val="0"/>
          <w:i w:val="0"/>
        </w:rPr>
        <w:t xml:space="preserve"> </w:t>
      </w:r>
      <w:hyperlink w:anchor="latin-record-0444">
        <w:r>
          <w:rPr>
            <w:color w:val="000000"/>
          </w:rPr>
          <w:t xml:space="preserve">esse; habere; fieri</w:t>
        </w:r>
      </w:hyperlink>
      <w:r>
        <w:rPr>
          <w:b w:val="0"/>
          <w:i w:val="0"/>
        </w:rPr>
        <w:t xml:space="preserve">; </w:t>
      </w:r>
      <w:hyperlink w:anchor="latin-record-0552">
        <w:r>
          <w:rPr>
            <w:color w:val="000000"/>
          </w:rPr>
          <w:t xml:space="preserve">habere</w:t>
        </w:r>
      </w:hyperlink>
      <w:r>
        <w:rPr>
          <w:b w:val="0"/>
          <w:i w:val="0"/>
        </w:rPr>
        <w:t xml:space="preserve">; </w:t>
      </w:r>
      <w:hyperlink w:anchor="latin-record-0553">
        <w:r>
          <w:rPr>
            <w:color w:val="000000"/>
          </w:rPr>
          <w:t xml:space="preserve">habere / possidere</w:t>
        </w:r>
      </w:hyperlink>
      <w:r>
        <w:rPr>
          <w:b w:val="0"/>
          <w:i w:val="0"/>
        </w:rPr>
        <w:t>.</w:t>
      </w:r>
    </w:p>
    <w:p>
      <w:pPr>
        <w:widowControl/>
      </w:pPr>
      <w:r>
        <w:rPr>
          <w:b/>
          <w:i w:val="0"/>
        </w:rPr>
        <w:t>haberet.</w:t>
      </w:r>
      <w:r>
        <w:rPr>
          <w:b w:val="0"/>
          <w:i w:val="0"/>
        </w:rPr>
        <w:t xml:space="preserve"> </w:t>
      </w:r>
      <w:hyperlink w:anchor="latin-record-0444">
        <w:r>
          <w:rPr>
            <w:color w:val="000000"/>
          </w:rPr>
          <w:t xml:space="preserve">esse; habere; fieri</w:t>
        </w:r>
      </w:hyperlink>
      <w:r>
        <w:rPr>
          <w:b w:val="0"/>
          <w:i w:val="0"/>
        </w:rPr>
        <w:t xml:space="preserve">; </w:t>
      </w:r>
      <w:hyperlink w:anchor="latin-record-0552">
        <w:r>
          <w:rPr>
            <w:color w:val="000000"/>
          </w:rPr>
          <w:t xml:space="preserve">habere</w:t>
        </w:r>
      </w:hyperlink>
      <w:r>
        <w:rPr>
          <w:b w:val="0"/>
          <w:i w:val="0"/>
        </w:rPr>
        <w:t>.</w:t>
      </w:r>
    </w:p>
    <w:p>
      <w:pPr>
        <w:widowControl/>
      </w:pPr>
      <w:r>
        <w:rPr>
          <w:b/>
          <w:i w:val="0"/>
        </w:rPr>
        <w:t>habet.</w:t>
      </w:r>
      <w:r>
        <w:rPr>
          <w:b w:val="0"/>
          <w:i w:val="0"/>
        </w:rPr>
        <w:t xml:space="preserve"> </w:t>
      </w:r>
      <w:hyperlink w:anchor="latin-record-0444">
        <w:r>
          <w:rPr>
            <w:color w:val="000000"/>
          </w:rPr>
          <w:t xml:space="preserve">esse; habere; fieri</w:t>
        </w:r>
      </w:hyperlink>
      <w:r>
        <w:rPr>
          <w:b w:val="0"/>
          <w:i w:val="0"/>
        </w:rPr>
        <w:t xml:space="preserve">; </w:t>
      </w:r>
      <w:hyperlink w:anchor="latin-record-0552">
        <w:r>
          <w:rPr>
            <w:color w:val="000000"/>
          </w:rPr>
          <w:t xml:space="preserve">habere</w:t>
        </w:r>
      </w:hyperlink>
      <w:r>
        <w:rPr>
          <w:b w:val="0"/>
          <w:i w:val="0"/>
        </w:rPr>
        <w:t xml:space="preserve">; </w:t>
      </w:r>
      <w:hyperlink w:anchor="latin-record-0553">
        <w:r>
          <w:rPr>
            <w:color w:val="000000"/>
          </w:rPr>
          <w:t xml:space="preserve">habere / possidere</w:t>
        </w:r>
      </w:hyperlink>
      <w:r>
        <w:rPr>
          <w:b w:val="0"/>
          <w:i w:val="0"/>
        </w:rPr>
        <w:t>.</w:t>
      </w:r>
    </w:p>
    <w:p>
      <w:pPr>
        <w:widowControl/>
      </w:pPr>
      <w:r>
        <w:rPr>
          <w:b/>
          <w:i w:val="0"/>
        </w:rPr>
        <w:t>Habetis.</w:t>
      </w:r>
      <w:r>
        <w:rPr>
          <w:b w:val="0"/>
          <w:i w:val="0"/>
        </w:rPr>
        <w:t xml:space="preserve"> </w:t>
      </w:r>
      <w:hyperlink w:anchor="latin-record-0444">
        <w:r>
          <w:rPr>
            <w:color w:val="000000"/>
          </w:rPr>
          <w:t xml:space="preserve">esse; habere; fieri</w:t>
        </w:r>
      </w:hyperlink>
      <w:r>
        <w:rPr>
          <w:b w:val="0"/>
          <w:i w:val="0"/>
        </w:rPr>
        <w:t>.</w:t>
      </w:r>
    </w:p>
    <w:p>
      <w:pPr>
        <w:widowControl/>
      </w:pPr>
      <w:r>
        <w:rPr>
          <w:b/>
          <w:i w:val="0"/>
        </w:rPr>
        <w:t>habetur.</w:t>
      </w:r>
      <w:r>
        <w:rPr>
          <w:b w:val="0"/>
          <w:i w:val="0"/>
        </w:rPr>
        <w:t xml:space="preserve"> </w:t>
      </w:r>
      <w:hyperlink w:anchor="latin-record-0553">
        <w:r>
          <w:rPr>
            <w:color w:val="000000"/>
          </w:rPr>
          <w:t xml:space="preserve">habere / possidere</w:t>
        </w:r>
      </w:hyperlink>
      <w:r>
        <w:rPr>
          <w:b w:val="0"/>
          <w:i w:val="0"/>
        </w:rPr>
        <w:t>.</w:t>
      </w:r>
    </w:p>
    <w:p>
      <w:pPr>
        <w:widowControl/>
      </w:pPr>
      <w:r>
        <w:rPr>
          <w:b/>
          <w:i w:val="0"/>
        </w:rPr>
        <w:t>habitum.</w:t>
      </w:r>
      <w:r>
        <w:rPr>
          <w:b w:val="0"/>
          <w:i w:val="0"/>
        </w:rPr>
        <w:t xml:space="preserve"> </w:t>
      </w:r>
      <w:hyperlink w:anchor="latin-record-0554">
        <w:r>
          <w:rPr>
            <w:color w:val="000000"/>
          </w:rPr>
          <w:t xml:space="preserve">habitus</w:t>
        </w:r>
      </w:hyperlink>
      <w:r>
        <w:rPr>
          <w:b w:val="0"/>
          <w:i w:val="0"/>
        </w:rPr>
        <w:t xml:space="preserve">; </w:t>
      </w:r>
      <w:hyperlink w:anchor="latin-record-0830">
        <w:r>
          <w:rPr>
            <w:color w:val="000000"/>
          </w:rPr>
          <w:t xml:space="preserve">naturalis habitus / dissipare</w:t>
        </w:r>
      </w:hyperlink>
      <w:r>
        <w:rPr>
          <w:b w:val="0"/>
          <w:i w:val="0"/>
        </w:rPr>
        <w:t>.</w:t>
      </w:r>
    </w:p>
    <w:p>
      <w:pPr>
        <w:widowControl/>
      </w:pPr>
      <w:r>
        <w:rPr>
          <w:b/>
          <w:i w:val="0"/>
        </w:rPr>
        <w:t>habituram.</w:t>
      </w:r>
      <w:r>
        <w:rPr>
          <w:b w:val="0"/>
          <w:i w:val="0"/>
        </w:rPr>
        <w:t xml:space="preserve"> </w:t>
      </w:r>
      <w:hyperlink w:anchor="latin-record-0553">
        <w:r>
          <w:rPr>
            <w:color w:val="000000"/>
          </w:rPr>
          <w:t xml:space="preserve">habere / possidere</w:t>
        </w:r>
      </w:hyperlink>
      <w:r>
        <w:rPr>
          <w:b w:val="0"/>
          <w:i w:val="0"/>
        </w:rPr>
        <w:t>.</w:t>
      </w:r>
    </w:p>
    <w:p>
      <w:pPr>
        <w:widowControl/>
      </w:pPr>
      <w:r>
        <w:rPr>
          <w:b/>
          <w:i w:val="0"/>
        </w:rPr>
        <w:t>habitus.</w:t>
      </w:r>
      <w:r>
        <w:rPr>
          <w:b w:val="0"/>
          <w:i w:val="0"/>
        </w:rPr>
        <w:t xml:space="preserve"> </w:t>
      </w:r>
      <w:hyperlink w:anchor="latin-record-0554">
        <w:r>
          <w:rPr>
            <w:color w:val="000000"/>
          </w:rPr>
          <w:t xml:space="preserve">habitus</w:t>
        </w:r>
      </w:hyperlink>
      <w:r>
        <w:rPr>
          <w:b w:val="0"/>
          <w:i w:val="0"/>
        </w:rPr>
        <w:t xml:space="preserve">; </w:t>
      </w:r>
      <w:hyperlink w:anchor="latin-record-1357">
        <w:r>
          <w:rPr>
            <w:color w:val="000000"/>
          </w:rPr>
          <w:t xml:space="preserve">vires / affectus / actus / habitus</w:t>
        </w:r>
      </w:hyperlink>
      <w:r>
        <w:rPr>
          <w:b w:val="0"/>
          <w:i w:val="0"/>
        </w:rPr>
        <w:t>.</w:t>
      </w:r>
    </w:p>
    <w:p>
      <w:pPr>
        <w:widowControl/>
      </w:pPr>
      <w:r>
        <w:rPr>
          <w:b/>
          <w:i w:val="0"/>
        </w:rPr>
        <w:t>habuerit.</w:t>
      </w:r>
      <w:r>
        <w:rPr>
          <w:b w:val="0"/>
          <w:i w:val="0"/>
        </w:rPr>
        <w:t xml:space="preserve"> </w:t>
      </w:r>
      <w:hyperlink w:anchor="latin-record-0552">
        <w:r>
          <w:rPr>
            <w:color w:val="000000"/>
          </w:rPr>
          <w:t xml:space="preserve">habere</w:t>
        </w:r>
      </w:hyperlink>
      <w:r>
        <w:rPr>
          <w:b w:val="0"/>
          <w:i w:val="0"/>
        </w:rPr>
        <w:t>.</w:t>
      </w:r>
    </w:p>
    <w:p>
      <w:pPr>
        <w:widowControl/>
      </w:pPr>
      <w:r>
        <w:rPr>
          <w:b/>
          <w:i w:val="0"/>
        </w:rPr>
        <w:t>haec ipsi viderint.</w:t>
      </w:r>
      <w:r>
        <w:rPr>
          <w:b w:val="0"/>
          <w:i w:val="0"/>
        </w:rPr>
        <w:t xml:space="preserve"> </w:t>
      </w:r>
      <w:hyperlink w:anchor="latin-record-0688">
        <w:r>
          <w:rPr>
            <w:color w:val="000000"/>
          </w:rPr>
          <w:t xml:space="preserve">ipsi viderint</w:t>
        </w:r>
      </w:hyperlink>
      <w:r>
        <w:rPr>
          <w:b w:val="0"/>
          <w:i w:val="0"/>
        </w:rPr>
        <w:t>.</w:t>
      </w:r>
    </w:p>
    <w:p>
      <w:pPr>
        <w:widowControl/>
      </w:pPr>
      <w:r>
        <w:rPr>
          <w:b/>
          <w:i w:val="0"/>
        </w:rPr>
        <w:t>haerent.</w:t>
      </w:r>
      <w:r>
        <w:rPr>
          <w:b w:val="0"/>
          <w:i w:val="0"/>
        </w:rPr>
        <w:t xml:space="preserve"> </w:t>
      </w:r>
      <w:hyperlink w:anchor="latin-record-0556">
        <w:r>
          <w:rPr>
            <w:color w:val="000000"/>
          </w:rPr>
          <w:t xml:space="preserve">haerere / inhaerere</w:t>
        </w:r>
      </w:hyperlink>
      <w:r>
        <w:rPr>
          <w:b w:val="0"/>
          <w:i w:val="0"/>
        </w:rPr>
        <w:t>.</w:t>
      </w:r>
    </w:p>
    <w:p>
      <w:pPr>
        <w:widowControl/>
      </w:pPr>
      <w:r>
        <w:rPr>
          <w:b/>
          <w:i w:val="0"/>
        </w:rPr>
        <w:t>haerentem.</w:t>
      </w:r>
      <w:r>
        <w:rPr>
          <w:b w:val="0"/>
          <w:i w:val="0"/>
        </w:rPr>
        <w:t xml:space="preserve"> </w:t>
      </w:r>
      <w:hyperlink w:anchor="latin-record-0556">
        <w:r>
          <w:rPr>
            <w:color w:val="000000"/>
          </w:rPr>
          <w:t xml:space="preserve">haerere / inhaerere</w:t>
        </w:r>
      </w:hyperlink>
      <w:r>
        <w:rPr>
          <w:b w:val="0"/>
          <w:i w:val="0"/>
        </w:rPr>
        <w:t>.</w:t>
      </w:r>
    </w:p>
    <w:p>
      <w:pPr>
        <w:widowControl/>
      </w:pPr>
      <w:r>
        <w:rPr>
          <w:b/>
          <w:i w:val="0"/>
        </w:rPr>
        <w:t>haerere.</w:t>
      </w:r>
      <w:r>
        <w:rPr>
          <w:b w:val="0"/>
          <w:i w:val="0"/>
        </w:rPr>
        <w:t xml:space="preserve"> </w:t>
      </w:r>
      <w:hyperlink w:anchor="latin-record-0556">
        <w:r>
          <w:rPr>
            <w:color w:val="000000"/>
          </w:rPr>
          <w:t xml:space="preserve">haerere / inhaerere</w:t>
        </w:r>
      </w:hyperlink>
      <w:r>
        <w:rPr>
          <w:b w:val="0"/>
          <w:i w:val="0"/>
        </w:rPr>
        <w:t>.</w:t>
      </w:r>
    </w:p>
    <w:p>
      <w:pPr>
        <w:widowControl/>
      </w:pPr>
      <w:r>
        <w:rPr>
          <w:b/>
          <w:i w:val="0"/>
        </w:rPr>
        <w:t>haeret.</w:t>
      </w:r>
      <w:r>
        <w:rPr>
          <w:b w:val="0"/>
          <w:i w:val="0"/>
        </w:rPr>
        <w:t xml:space="preserve"> </w:t>
      </w:r>
      <w:hyperlink w:anchor="latin-record-0556">
        <w:r>
          <w:rPr>
            <w:color w:val="000000"/>
          </w:rPr>
          <w:t xml:space="preserve">haerere / inhaerere</w:t>
        </w:r>
      </w:hyperlink>
      <w:r>
        <w:rPr>
          <w:b w:val="0"/>
          <w:i w:val="0"/>
        </w:rPr>
        <w:t>.</w:t>
      </w:r>
    </w:p>
    <w:p>
      <w:pPr>
        <w:widowControl/>
      </w:pPr>
      <w:r>
        <w:rPr>
          <w:b/>
          <w:i w:val="0"/>
        </w:rPr>
        <w:t>harmonia.</w:t>
      </w:r>
      <w:r>
        <w:rPr>
          <w:b w:val="0"/>
          <w:i w:val="0"/>
        </w:rPr>
        <w:t xml:space="preserve"> </w:t>
      </w:r>
      <w:hyperlink w:anchor="latin-record-0308">
        <w:r>
          <w:rPr>
            <w:color w:val="000000"/>
          </w:rPr>
          <w:t xml:space="preserve">consonantia / harmonia</w:t>
        </w:r>
      </w:hyperlink>
      <w:r>
        <w:rPr>
          <w:b w:val="0"/>
          <w:i w:val="0"/>
        </w:rPr>
        <w:t xml:space="preserve">; </w:t>
      </w:r>
      <w:hyperlink w:anchor="latin-record-0557">
        <w:r>
          <w:rPr>
            <w:color w:val="000000"/>
          </w:rPr>
          <w:t xml:space="preserve">harmonia</w:t>
        </w:r>
      </w:hyperlink>
      <w:r>
        <w:rPr>
          <w:b w:val="0"/>
          <w:i w:val="0"/>
        </w:rPr>
        <w:t xml:space="preserve">; </w:t>
      </w:r>
      <w:hyperlink w:anchor="latin-record-0558">
        <w:r>
          <w:rPr>
            <w:color w:val="000000"/>
          </w:rPr>
          <w:t xml:space="preserve">harmonia / progenitus</w:t>
        </w:r>
      </w:hyperlink>
      <w:r>
        <w:rPr>
          <w:b w:val="0"/>
          <w:i w:val="0"/>
        </w:rPr>
        <w:t>.</w:t>
      </w:r>
    </w:p>
    <w:p>
      <w:pPr>
        <w:widowControl/>
      </w:pPr>
      <w:r>
        <w:rPr>
          <w:b/>
          <w:i w:val="0"/>
        </w:rPr>
        <w:t>harmoniae.</w:t>
      </w:r>
      <w:r>
        <w:rPr>
          <w:b w:val="0"/>
          <w:i w:val="0"/>
        </w:rPr>
        <w:t xml:space="preserve"> </w:t>
      </w:r>
      <w:hyperlink w:anchor="latin-record-0308">
        <w:r>
          <w:rPr>
            <w:color w:val="000000"/>
          </w:rPr>
          <w:t xml:space="preserve">consonantia / harmonia</w:t>
        </w:r>
      </w:hyperlink>
      <w:r>
        <w:rPr>
          <w:b w:val="0"/>
          <w:i w:val="0"/>
        </w:rPr>
        <w:t>.</w:t>
      </w:r>
    </w:p>
    <w:p>
      <w:pPr>
        <w:widowControl/>
      </w:pPr>
      <w:r>
        <w:rPr>
          <w:b/>
          <w:i w:val="0"/>
        </w:rPr>
        <w:t>harmoniam.</w:t>
      </w:r>
      <w:r>
        <w:rPr>
          <w:b w:val="0"/>
          <w:i w:val="0"/>
        </w:rPr>
        <w:t xml:space="preserve"> </w:t>
      </w:r>
      <w:hyperlink w:anchor="latin-record-0558">
        <w:r>
          <w:rPr>
            <w:color w:val="000000"/>
          </w:rPr>
          <w:t xml:space="preserve">harmonia / progenitus</w:t>
        </w:r>
      </w:hyperlink>
      <w:r>
        <w:rPr>
          <w:b w:val="0"/>
          <w:i w:val="0"/>
        </w:rPr>
        <w:t>.</w:t>
      </w:r>
    </w:p>
    <w:p>
      <w:pPr>
        <w:widowControl/>
      </w:pPr>
      <w:r>
        <w:rPr>
          <w:b/>
          <w:i w:val="0"/>
        </w:rPr>
        <w:t>hauriatur.</w:t>
      </w:r>
      <w:r>
        <w:rPr>
          <w:b w:val="0"/>
          <w:i w:val="0"/>
        </w:rPr>
        <w:t xml:space="preserve"> </w:t>
      </w:r>
      <w:hyperlink w:anchor="latin-record-0559">
        <w:r>
          <w:rPr>
            <w:color w:val="000000"/>
          </w:rPr>
          <w:t xml:space="preserve">haurire</w:t>
        </w:r>
      </w:hyperlink>
      <w:r>
        <w:rPr>
          <w:b w:val="0"/>
          <w:i w:val="0"/>
        </w:rPr>
        <w:t>.</w:t>
      </w:r>
    </w:p>
    <w:p>
      <w:pPr>
        <w:widowControl/>
      </w:pPr>
      <w:r>
        <w:rPr>
          <w:b/>
          <w:i w:val="0"/>
        </w:rPr>
        <w:t>haurientis.</w:t>
      </w:r>
      <w:r>
        <w:rPr>
          <w:b w:val="0"/>
          <w:i w:val="0"/>
        </w:rPr>
        <w:t xml:space="preserve"> </w:t>
      </w:r>
      <w:hyperlink w:anchor="latin-record-0559">
        <w:r>
          <w:rPr>
            <w:color w:val="000000"/>
          </w:rPr>
          <w:t xml:space="preserve">haurire</w:t>
        </w:r>
      </w:hyperlink>
      <w:r>
        <w:rPr>
          <w:b w:val="0"/>
          <w:i w:val="0"/>
        </w:rPr>
        <w:t>.</w:t>
      </w:r>
    </w:p>
    <w:p>
      <w:pPr>
        <w:widowControl/>
      </w:pPr>
      <w:r>
        <w:rPr>
          <w:b/>
          <w:i w:val="0"/>
        </w:rPr>
        <w:t>haurire.</w:t>
      </w:r>
      <w:r>
        <w:rPr>
          <w:b w:val="0"/>
          <w:i w:val="0"/>
        </w:rPr>
        <w:t xml:space="preserve"> </w:t>
      </w:r>
      <w:hyperlink w:anchor="latin-record-0559">
        <w:r>
          <w:rPr>
            <w:color w:val="000000"/>
          </w:rPr>
          <w:t xml:space="preserve">haurire</w:t>
        </w:r>
      </w:hyperlink>
      <w:r>
        <w:rPr>
          <w:b w:val="0"/>
          <w:i w:val="0"/>
        </w:rPr>
        <w:t>.</w:t>
      </w:r>
    </w:p>
    <w:p>
      <w:pPr>
        <w:widowControl/>
      </w:pPr>
      <w:r>
        <w:rPr>
          <w:b/>
          <w:i w:val="0"/>
        </w:rPr>
        <w:t>haurit.</w:t>
      </w:r>
      <w:r>
        <w:rPr>
          <w:b w:val="0"/>
          <w:i w:val="0"/>
        </w:rPr>
        <w:t xml:space="preserve"> </w:t>
      </w:r>
      <w:hyperlink w:anchor="latin-record-0559">
        <w:r>
          <w:rPr>
            <w:color w:val="000000"/>
          </w:rPr>
          <w:t xml:space="preserve">haurire</w:t>
        </w:r>
      </w:hyperlink>
      <w:r>
        <w:rPr>
          <w:b w:val="0"/>
          <w:i w:val="0"/>
        </w:rPr>
        <w:t>.</w:t>
      </w:r>
    </w:p>
    <w:p>
      <w:pPr>
        <w:widowControl/>
      </w:pPr>
      <w:r>
        <w:rPr>
          <w:b/>
          <w:i w:val="0"/>
        </w:rPr>
        <w:t>hauriuntur.</w:t>
      </w:r>
      <w:r>
        <w:rPr>
          <w:b w:val="0"/>
          <w:i w:val="0"/>
        </w:rPr>
        <w:t xml:space="preserve"> </w:t>
      </w:r>
      <w:hyperlink w:anchor="latin-record-0560">
        <w:r>
          <w:rPr>
            <w:color w:val="000000"/>
          </w:rPr>
          <w:t xml:space="preserve">haurire; perdere; servare</w:t>
        </w:r>
      </w:hyperlink>
      <w:r>
        <w:rPr>
          <w:b w:val="0"/>
          <w:i w:val="0"/>
        </w:rPr>
        <w:t>.</w:t>
      </w:r>
    </w:p>
    <w:p>
      <w:pPr>
        <w:widowControl/>
      </w:pPr>
      <w:r>
        <w:rPr>
          <w:b/>
          <w:i w:val="0"/>
        </w:rPr>
        <w:t>hausti.</w:t>
      </w:r>
      <w:r>
        <w:rPr>
          <w:b w:val="0"/>
          <w:i w:val="0"/>
        </w:rPr>
        <w:t xml:space="preserve"> </w:t>
      </w:r>
      <w:hyperlink w:anchor="latin-record-0559">
        <w:r>
          <w:rPr>
            <w:color w:val="000000"/>
          </w:rPr>
          <w:t xml:space="preserve">haurire</w:t>
        </w:r>
      </w:hyperlink>
      <w:r>
        <w:rPr>
          <w:b w:val="0"/>
          <w:i w:val="0"/>
        </w:rPr>
        <w:t>.</w:t>
      </w:r>
    </w:p>
    <w:p>
      <w:pPr>
        <w:widowControl/>
      </w:pPr>
      <w:r>
        <w:rPr>
          <w:b/>
          <w:i w:val="0"/>
        </w:rPr>
        <w:t>hebes.</w:t>
      </w:r>
      <w:r>
        <w:rPr>
          <w:b w:val="0"/>
          <w:i w:val="0"/>
        </w:rPr>
        <w:t xml:space="preserve"> </w:t>
      </w:r>
      <w:hyperlink w:anchor="latin-record-1033">
        <w:r>
          <w:rPr>
            <w:color w:val="000000"/>
          </w:rPr>
          <w:t xml:space="preserve">pusillanimis; hebes; obliviosus</w:t>
        </w:r>
      </w:hyperlink>
      <w:r>
        <w:rPr>
          <w:b w:val="0"/>
          <w:i w:val="0"/>
        </w:rPr>
        <w:t>.</w:t>
      </w:r>
    </w:p>
    <w:p>
      <w:pPr>
        <w:widowControl/>
      </w:pPr>
      <w:r>
        <w:rPr>
          <w:b/>
          <w:i w:val="0"/>
        </w:rPr>
        <w:t>Heraclidem Ponticum.</w:t>
      </w:r>
      <w:r>
        <w:rPr>
          <w:b w:val="0"/>
          <w:i w:val="0"/>
        </w:rPr>
        <w:t xml:space="preserve"> </w:t>
      </w:r>
      <w:hyperlink w:anchor="latin-record-0213">
        <w:r>
          <w:rPr>
            <w:color w:val="000000"/>
          </w:rPr>
          <w:t xml:space="preserve">Chrysippus; Archelaus; Heraclides</w:t>
        </w:r>
      </w:hyperlink>
      <w:r>
        <w:rPr>
          <w:b w:val="0"/>
          <w:i w:val="0"/>
        </w:rPr>
        <w:t>.</w:t>
      </w:r>
    </w:p>
    <w:p>
      <w:pPr>
        <w:widowControl/>
      </w:pPr>
      <w:r>
        <w:rPr>
          <w:b/>
          <w:i w:val="0"/>
        </w:rPr>
        <w:t>Heraclito.</w:t>
      </w:r>
      <w:r>
        <w:rPr>
          <w:b w:val="0"/>
          <w:i w:val="0"/>
        </w:rPr>
        <w:t xml:space="preserve"> </w:t>
      </w:r>
      <w:hyperlink w:anchor="latin-record-0883">
        <w:r>
          <w:rPr>
            <w:color w:val="000000"/>
          </w:rPr>
          <w:t xml:space="preserve">Orphici / Heraclitus</w:t>
        </w:r>
      </w:hyperlink>
      <w:r>
        <w:rPr>
          <w:b w:val="0"/>
          <w:i w:val="0"/>
        </w:rPr>
        <w:t>.</w:t>
      </w:r>
    </w:p>
    <w:p>
      <w:pPr>
        <w:widowControl/>
      </w:pPr>
      <w:r>
        <w:rPr>
          <w:b/>
          <w:i w:val="0"/>
        </w:rPr>
        <w:t>Heraclitus.</w:t>
      </w:r>
      <w:r>
        <w:rPr>
          <w:b w:val="0"/>
          <w:i w:val="0"/>
        </w:rPr>
        <w:t xml:space="preserve"> </w:t>
      </w:r>
      <w:hyperlink w:anchor="latin-record-0561">
        <w:r>
          <w:rPr>
            <w:color w:val="000000"/>
          </w:rPr>
          <w:t xml:space="preserve">Heraclitus; lux sicca</w:t>
        </w:r>
      </w:hyperlink>
      <w:r>
        <w:rPr>
          <w:b w:val="0"/>
          <w:i w:val="0"/>
        </w:rPr>
        <w:t>.</w:t>
      </w:r>
    </w:p>
    <w:p>
      <w:pPr>
        <w:widowControl/>
      </w:pPr>
      <w:r>
        <w:rPr>
          <w:b/>
          <w:i w:val="0"/>
        </w:rPr>
        <w:t>Hesiodus.</w:t>
      </w:r>
      <w:r>
        <w:rPr>
          <w:b w:val="0"/>
          <w:i w:val="0"/>
        </w:rPr>
        <w:t xml:space="preserve"> </w:t>
      </w:r>
      <w:hyperlink w:anchor="latin-record-0563">
        <w:r>
          <w:rPr>
            <w:color w:val="000000"/>
          </w:rPr>
          <w:t xml:space="preserve">Hippias; Hesiodus; Pronopides</w:t>
        </w:r>
      </w:hyperlink>
      <w:r>
        <w:rPr>
          <w:b w:val="0"/>
          <w:i w:val="0"/>
        </w:rPr>
        <w:t>.</w:t>
      </w:r>
    </w:p>
    <w:p>
      <w:pPr>
        <w:widowControl/>
      </w:pPr>
      <w:r>
        <w:rPr>
          <w:b/>
          <w:i w:val="0"/>
        </w:rPr>
        <w:t>hic.</w:t>
      </w:r>
      <w:r>
        <w:rPr>
          <w:b w:val="0"/>
          <w:i w:val="0"/>
        </w:rPr>
        <w:t xml:space="preserve"> </w:t>
      </w:r>
      <w:hyperlink w:anchor="latin-record-0562">
        <w:r>
          <w:rPr>
            <w:color w:val="000000"/>
          </w:rPr>
          <w:t xml:space="preserve">hic / ibi</w:t>
        </w:r>
      </w:hyperlink>
      <w:r>
        <w:rPr>
          <w:b w:val="0"/>
          <w:i w:val="0"/>
        </w:rPr>
        <w:t>.</w:t>
      </w:r>
    </w:p>
    <w:p>
      <w:pPr>
        <w:widowControl/>
      </w:pPr>
      <w:r>
        <w:rPr>
          <w:b/>
          <w:i w:val="0"/>
        </w:rPr>
        <w:t>Hipparchus.</w:t>
      </w:r>
      <w:r>
        <w:rPr>
          <w:b w:val="0"/>
          <w:i w:val="0"/>
        </w:rPr>
        <w:t xml:space="preserve"> </w:t>
      </w:r>
      <w:hyperlink w:anchor="latin-record-0364">
        <w:r>
          <w:rPr>
            <w:color w:val="000000"/>
          </w:rPr>
          <w:t xml:space="preserve">Democritus; Leucippus; Hipparchus</w:t>
        </w:r>
      </w:hyperlink>
      <w:r>
        <w:rPr>
          <w:b w:val="0"/>
          <w:i w:val="0"/>
        </w:rPr>
        <w:t>.</w:t>
      </w:r>
    </w:p>
    <w:p>
      <w:pPr>
        <w:widowControl/>
      </w:pPr>
      <w:r>
        <w:rPr>
          <w:b/>
          <w:i w:val="0"/>
        </w:rPr>
        <w:t>Hippias.</w:t>
      </w:r>
      <w:r>
        <w:rPr>
          <w:b w:val="0"/>
          <w:i w:val="0"/>
        </w:rPr>
        <w:t xml:space="preserve"> </w:t>
      </w:r>
      <w:hyperlink w:anchor="latin-record-0563">
        <w:r>
          <w:rPr>
            <w:color w:val="000000"/>
          </w:rPr>
          <w:t xml:space="preserve">Hippias; Hesiodus; Pronopides</w:t>
        </w:r>
      </w:hyperlink>
      <w:r>
        <w:rPr>
          <w:b w:val="0"/>
          <w:i w:val="0"/>
        </w:rPr>
        <w:t>.</w:t>
      </w:r>
    </w:p>
    <w:p>
      <w:pPr>
        <w:widowControl/>
      </w:pPr>
      <w:r>
        <w:rPr>
          <w:b/>
          <w:i w:val="0"/>
        </w:rPr>
        <w:t>Hippocrates.</w:t>
      </w:r>
      <w:r>
        <w:rPr>
          <w:b w:val="0"/>
          <w:i w:val="0"/>
        </w:rPr>
        <w:t xml:space="preserve"> </w:t>
      </w:r>
      <w:hyperlink w:anchor="latin-record-0123">
        <w:r>
          <w:rPr>
            <w:color w:val="000000"/>
          </w:rPr>
          <w:t xml:space="preserve">Aristoteles / Hippocrates</w:t>
        </w:r>
      </w:hyperlink>
      <w:r>
        <w:rPr>
          <w:b w:val="0"/>
          <w:i w:val="0"/>
        </w:rPr>
        <w:t>.</w:t>
      </w:r>
    </w:p>
    <w:p>
      <w:pPr>
        <w:widowControl/>
      </w:pPr>
      <w:r>
        <w:rPr>
          <w:b/>
          <w:i w:val="0"/>
        </w:rPr>
        <w:t>hodie.</w:t>
      </w:r>
      <w:r>
        <w:rPr>
          <w:b w:val="0"/>
          <w:i w:val="0"/>
        </w:rPr>
        <w:t xml:space="preserve"> </w:t>
      </w:r>
      <w:hyperlink w:anchor="latin-record-0564">
        <w:r>
          <w:rPr>
            <w:color w:val="000000"/>
          </w:rPr>
          <w:t xml:space="preserve">hodie / cras</w:t>
        </w:r>
      </w:hyperlink>
      <w:r>
        <w:rPr>
          <w:b w:val="0"/>
          <w:i w:val="0"/>
        </w:rPr>
        <w:t>.</w:t>
      </w:r>
    </w:p>
    <w:p>
      <w:pPr>
        <w:widowControl/>
      </w:pPr>
      <w:r>
        <w:rPr>
          <w:b/>
          <w:i w:val="0"/>
        </w:rPr>
        <w:t>homine.</w:t>
      </w:r>
      <w:r>
        <w:rPr>
          <w:b w:val="0"/>
          <w:i w:val="0"/>
        </w:rPr>
        <w:t xml:space="preserve"> </w:t>
      </w:r>
      <w:hyperlink w:anchor="latin-record-0565">
        <w:r>
          <w:rPr>
            <w:color w:val="000000"/>
          </w:rPr>
          <w:t xml:space="preserve">homo / humanus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hominem.</w:t>
      </w:r>
      <w:r>
        <w:rPr>
          <w:b w:val="0"/>
          <w:i w:val="0"/>
        </w:rPr>
        <w:t xml:space="preserve"> </w:t>
      </w:r>
      <w:hyperlink w:anchor="latin-record-0439">
        <w:r>
          <w:rPr>
            <w:color w:val="000000"/>
          </w:rPr>
          <w:t xml:space="preserve">equus / homo</w:t>
        </w:r>
      </w:hyperlink>
      <w:r>
        <w:rPr>
          <w:b w:val="0"/>
          <w:i w:val="0"/>
        </w:rPr>
        <w:t xml:space="preserve">; </w:t>
      </w:r>
      <w:hyperlink w:anchor="latin-record-0565">
        <w:r>
          <w:rPr>
            <w:color w:val="000000"/>
          </w:rPr>
          <w:t xml:space="preserve">homo / humanus</w:t>
        </w:r>
      </w:hyperlink>
      <w:r>
        <w:rPr>
          <w:b w:val="0"/>
          <w:i w:val="0"/>
        </w:rPr>
        <w:t>.</w:t>
      </w:r>
    </w:p>
    <w:p>
      <w:pPr>
        <w:widowControl/>
      </w:pPr>
      <w:r>
        <w:rPr>
          <w:b/>
          <w:i w:val="0"/>
        </w:rPr>
        <w:t>Hominem.</w:t>
      </w:r>
      <w:r>
        <w:rPr>
          <w:b w:val="0"/>
          <w:i w:val="0"/>
        </w:rPr>
        <w:t xml:space="preserve"> </w:t>
      </w:r>
      <w:hyperlink w:anchor="latin-record-0565">
        <w:r>
          <w:rPr>
            <w:color w:val="000000"/>
          </w:rPr>
          <w:t xml:space="preserve">homo / humanus</w:t>
        </w:r>
      </w:hyperlink>
      <w:r>
        <w:rPr>
          <w:b w:val="0"/>
          <w:i w:val="0"/>
        </w:rPr>
        <w:t>.</w:t>
      </w:r>
    </w:p>
    <w:p>
      <w:pPr>
        <w:widowControl/>
      </w:pPr>
      <w:r>
        <w:rPr>
          <w:b/>
          <w:i w:val="0"/>
        </w:rPr>
        <w:t>homines.</w:t>
      </w:r>
      <w:r>
        <w:rPr>
          <w:b w:val="0"/>
          <w:i w:val="0"/>
        </w:rPr>
        <w:t xml:space="preserve"> </w:t>
      </w:r>
      <w:hyperlink w:anchor="latin-record-0565">
        <w:r>
          <w:rPr>
            <w:color w:val="000000"/>
          </w:rPr>
          <w:t xml:space="preserve">homo / humanus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hominibus.</w:t>
      </w:r>
      <w:r>
        <w:rPr>
          <w:b w:val="0"/>
          <w:i w:val="0"/>
        </w:rPr>
        <w:t xml:space="preserve"> </w:t>
      </w:r>
      <w:hyperlink w:anchor="latin-record-0439">
        <w:r>
          <w:rPr>
            <w:color w:val="000000"/>
          </w:rPr>
          <w:t xml:space="preserve">equus / homo</w:t>
        </w:r>
      </w:hyperlink>
      <w:r>
        <w:rPr>
          <w:b w:val="0"/>
          <w:i w:val="0"/>
        </w:rPr>
        <w:t>.</w:t>
      </w:r>
    </w:p>
    <w:p>
      <w:pPr>
        <w:widowControl/>
      </w:pPr>
      <w:r>
        <w:rPr>
          <w:b/>
          <w:i w:val="0"/>
        </w:rPr>
        <w:t>hominis.</w:t>
      </w:r>
      <w:r>
        <w:rPr>
          <w:b w:val="0"/>
          <w:i w:val="0"/>
        </w:rPr>
        <w:t xml:space="preserve"> </w:t>
      </w:r>
      <w:hyperlink w:anchor="latin-record-0439">
        <w:r>
          <w:rPr>
            <w:color w:val="000000"/>
          </w:rPr>
          <w:t xml:space="preserve">equus / homo</w:t>
        </w:r>
      </w:hyperlink>
      <w:r>
        <w:rPr>
          <w:b w:val="0"/>
          <w:i w:val="0"/>
        </w:rPr>
        <w:t xml:space="preserve">; </w:t>
      </w:r>
      <w:hyperlink w:anchor="latin-record-0565">
        <w:r>
          <w:rPr>
            <w:color w:val="000000"/>
          </w:rPr>
          <w:t xml:space="preserve">homo / humanus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hominum.</w:t>
      </w:r>
      <w:r>
        <w:rPr>
          <w:b w:val="0"/>
          <w:i w:val="0"/>
        </w:rPr>
        <w:t xml:space="preserve"> </w:t>
      </w:r>
      <w:hyperlink w:anchor="latin-record-0565">
        <w:r>
          <w:rPr>
            <w:color w:val="000000"/>
          </w:rPr>
          <w:t xml:space="preserve">homo / humanus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homo.</w:t>
      </w:r>
      <w:r>
        <w:rPr>
          <w:b w:val="0"/>
          <w:i w:val="0"/>
        </w:rPr>
        <w:t xml:space="preserve"> </w:t>
      </w:r>
      <w:hyperlink w:anchor="latin-record-0185">
        <w:r>
          <w:rPr>
            <w:color w:val="000000"/>
          </w:rPr>
          <w:t xml:space="preserve">canis / equus / homo</w:t>
        </w:r>
      </w:hyperlink>
      <w:r>
        <w:rPr>
          <w:b w:val="0"/>
          <w:i w:val="0"/>
        </w:rPr>
        <w:t xml:space="preserve">; </w:t>
      </w:r>
      <w:hyperlink w:anchor="latin-record-0439">
        <w:r>
          <w:rPr>
            <w:color w:val="000000"/>
          </w:rPr>
          <w:t xml:space="preserve">equus / homo</w:t>
        </w:r>
      </w:hyperlink>
      <w:r>
        <w:rPr>
          <w:b w:val="0"/>
          <w:i w:val="0"/>
        </w:rPr>
        <w:t xml:space="preserve">; </w:t>
      </w:r>
      <w:hyperlink w:anchor="latin-record-0565">
        <w:r>
          <w:rPr>
            <w:color w:val="000000"/>
          </w:rPr>
          <w:t xml:space="preserve">homo / humanus</w:t>
        </w:r>
      </w:hyperlink>
      <w:r>
        <w:rPr>
          <w:b w:val="0"/>
          <w:i w:val="0"/>
        </w:rPr>
        <w:t xml:space="preserve">; </w:t>
      </w:r>
      <w:hyperlink w:anchor="latin-record-0566">
        <w:r>
          <w:rPr>
            <w:color w:val="000000"/>
          </w:rPr>
          <w:t xml:space="preserve">homo; animal; animans</w:t>
        </w:r>
      </w:hyperlink>
      <w:r>
        <w:rPr>
          <w:b w:val="0"/>
          <w:i w:val="0"/>
        </w:rPr>
        <w:t>.</w:t>
      </w:r>
    </w:p>
    <w:p>
      <w:pPr>
        <w:widowControl/>
      </w:pPr>
      <w:r>
        <w:rPr>
          <w:b/>
          <w:i w:val="0"/>
        </w:rPr>
        <w:t>horologio.</w:t>
      </w:r>
      <w:r>
        <w:rPr>
          <w:b w:val="0"/>
          <w:i w:val="0"/>
        </w:rPr>
        <w:t xml:space="preserve"> </w:t>
      </w:r>
      <w:hyperlink w:anchor="latin-record-0567">
        <w:r>
          <w:rPr>
            <w:color w:val="000000"/>
          </w:rPr>
          <w:t xml:space="preserve">horologium; sonare</w:t>
        </w:r>
      </w:hyperlink>
      <w:r>
        <w:rPr>
          <w:b w:val="0"/>
          <w:i w:val="0"/>
        </w:rPr>
        <w:t>.</w:t>
      </w:r>
    </w:p>
    <w:p>
      <w:pPr>
        <w:widowControl/>
      </w:pPr>
      <w:r>
        <w:rPr>
          <w:b/>
          <w:i w:val="0"/>
        </w:rPr>
        <w:t>horres.</w:t>
      </w:r>
      <w:r>
        <w:rPr>
          <w:b w:val="0"/>
          <w:i w:val="0"/>
        </w:rPr>
        <w:t xml:space="preserve"> </w:t>
      </w:r>
      <w:hyperlink w:anchor="latin-record-0903">
        <w:r>
          <w:rPr>
            <w:color w:val="000000"/>
          </w:rPr>
          <w:t xml:space="preserve">parvipendere; horrere</w:t>
        </w:r>
      </w:hyperlink>
      <w:r>
        <w:rPr>
          <w:b w:val="0"/>
          <w:i w:val="0"/>
        </w:rPr>
        <w:t>.</w:t>
      </w:r>
    </w:p>
    <w:p>
      <w:pPr>
        <w:widowControl/>
      </w:pPr>
      <w:r>
        <w:rPr>
          <w:b/>
          <w:i w:val="0"/>
        </w:rPr>
        <w:t>hostile.</w:t>
      </w:r>
      <w:r>
        <w:rPr>
          <w:b w:val="0"/>
          <w:i w:val="0"/>
        </w:rPr>
        <w:t xml:space="preserve"> </w:t>
      </w:r>
      <w:hyperlink w:anchor="latin-record-0568">
        <w:r>
          <w:rPr>
            <w:color w:val="000000"/>
          </w:rPr>
          <w:t xml:space="preserve">hostilis / noxius</w:t>
        </w:r>
      </w:hyperlink>
      <w:r>
        <w:rPr>
          <w:b w:val="0"/>
          <w:i w:val="0"/>
        </w:rPr>
        <w:t>.</w:t>
      </w:r>
    </w:p>
    <w:p>
      <w:pPr>
        <w:widowControl/>
      </w:pPr>
      <w:r>
        <w:rPr>
          <w:b/>
          <w:i w:val="0"/>
        </w:rPr>
        <w:t>humana.</w:t>
      </w:r>
      <w:r>
        <w:rPr>
          <w:b w:val="0"/>
          <w:i w:val="0"/>
        </w:rPr>
        <w:t xml:space="preserve"> </w:t>
      </w:r>
      <w:hyperlink w:anchor="latin-record-0565">
        <w:r>
          <w:rPr>
            <w:color w:val="000000"/>
          </w:rPr>
          <w:t xml:space="preserve">homo / humanus</w:t>
        </w:r>
      </w:hyperlink>
      <w:r>
        <w:rPr>
          <w:b w:val="0"/>
          <w:i w:val="0"/>
        </w:rPr>
        <w:t>.</w:t>
      </w:r>
    </w:p>
    <w:p>
      <w:pPr>
        <w:widowControl/>
      </w:pPr>
      <w:r>
        <w:rPr>
          <w:b/>
          <w:i w:val="0"/>
        </w:rPr>
        <w:t>Humana.</w:t>
      </w:r>
      <w:r>
        <w:rPr>
          <w:b w:val="0"/>
          <w:i w:val="0"/>
        </w:rPr>
        <w:t xml:space="preserve"> </w:t>
      </w:r>
      <w:hyperlink w:anchor="latin-record-0565">
        <w:r>
          <w:rPr>
            <w:color w:val="000000"/>
          </w:rPr>
          <w:t xml:space="preserve">homo / humanus</w:t>
        </w:r>
      </w:hyperlink>
      <w:r>
        <w:rPr>
          <w:b w:val="0"/>
          <w:i w:val="0"/>
        </w:rPr>
        <w:t>.</w:t>
      </w:r>
    </w:p>
    <w:p>
      <w:pPr>
        <w:widowControl/>
      </w:pPr>
      <w:r>
        <w:rPr>
          <w:b/>
          <w:i w:val="0"/>
        </w:rPr>
        <w:t>humanae.</w:t>
      </w:r>
      <w:r>
        <w:rPr>
          <w:b w:val="0"/>
          <w:i w:val="0"/>
        </w:rPr>
        <w:t xml:space="preserve"> </w:t>
      </w:r>
      <w:hyperlink w:anchor="latin-record-0565">
        <w:r>
          <w:rPr>
            <w:color w:val="000000"/>
          </w:rPr>
          <w:t xml:space="preserve">homo / humanus</w:t>
        </w:r>
      </w:hyperlink>
      <w:r>
        <w:rPr>
          <w:b w:val="0"/>
          <w:i w:val="0"/>
        </w:rPr>
        <w:t>.</w:t>
      </w:r>
    </w:p>
    <w:p>
      <w:pPr>
        <w:widowControl/>
      </w:pPr>
      <w:r>
        <w:rPr>
          <w:b/>
          <w:i w:val="0"/>
        </w:rPr>
        <w:t>humanam.</w:t>
      </w:r>
      <w:r>
        <w:rPr>
          <w:b w:val="0"/>
          <w:i w:val="0"/>
        </w:rPr>
        <w:t xml:space="preserve"> </w:t>
      </w:r>
      <w:hyperlink w:anchor="latin-record-0565">
        <w:r>
          <w:rPr>
            <w:color w:val="000000"/>
          </w:rPr>
          <w:t xml:space="preserve">homo / humanus</w:t>
        </w:r>
      </w:hyperlink>
      <w:r>
        <w:rPr>
          <w:b w:val="0"/>
          <w:i w:val="0"/>
        </w:rPr>
        <w:t>.</w:t>
      </w:r>
    </w:p>
    <w:p>
      <w:pPr>
        <w:widowControl/>
      </w:pPr>
      <w:r>
        <w:rPr>
          <w:b/>
          <w:i w:val="0"/>
        </w:rPr>
        <w:t>humanitas.</w:t>
      </w:r>
      <w:r>
        <w:rPr>
          <w:b w:val="0"/>
          <w:i w:val="0"/>
        </w:rPr>
        <w:t xml:space="preserve"> </w:t>
      </w:r>
      <w:hyperlink w:anchor="latin-record-0569">
        <w:r>
          <w:rPr>
            <w:color w:val="000000"/>
          </w:rPr>
          <w:t xml:space="preserve">humanitas</w:t>
        </w:r>
      </w:hyperlink>
      <w:r>
        <w:rPr>
          <w:b w:val="0"/>
          <w:i w:val="0"/>
        </w:rPr>
        <w:t>.</w:t>
      </w:r>
    </w:p>
    <w:p>
      <w:pPr>
        <w:widowControl/>
      </w:pPr>
      <w:r>
        <w:rPr>
          <w:b/>
          <w:i w:val="0"/>
        </w:rPr>
        <w:t>Humanitas.</w:t>
      </w:r>
      <w:r>
        <w:rPr>
          <w:b w:val="0"/>
          <w:i w:val="0"/>
        </w:rPr>
        <w:t xml:space="preserve"> </w:t>
      </w:r>
      <w:hyperlink w:anchor="latin-record-0569">
        <w:r>
          <w:rPr>
            <w:color w:val="000000"/>
          </w:rPr>
          <w:t xml:space="preserve">humanitas</w:t>
        </w:r>
      </w:hyperlink>
      <w:r>
        <w:rPr>
          <w:b w:val="0"/>
          <w:i w:val="0"/>
        </w:rPr>
        <w:t>.</w:t>
      </w:r>
    </w:p>
    <w:p>
      <w:pPr>
        <w:widowControl/>
      </w:pPr>
      <w:r>
        <w:rPr>
          <w:b/>
          <w:i w:val="0"/>
        </w:rPr>
        <w:t>humanitate.</w:t>
      </w:r>
      <w:r>
        <w:rPr>
          <w:b w:val="0"/>
          <w:i w:val="0"/>
        </w:rPr>
        <w:t xml:space="preserve"> </w:t>
      </w:r>
      <w:hyperlink w:anchor="latin-record-0569">
        <w:r>
          <w:rPr>
            <w:color w:val="000000"/>
          </w:rPr>
          <w:t xml:space="preserve">humanitas</w:t>
        </w:r>
      </w:hyperlink>
      <w:r>
        <w:rPr>
          <w:b w:val="0"/>
          <w:i w:val="0"/>
        </w:rPr>
        <w:t>.</w:t>
      </w:r>
    </w:p>
    <w:p>
      <w:pPr>
        <w:widowControl/>
      </w:pPr>
      <w:r>
        <w:rPr>
          <w:b/>
          <w:i w:val="0"/>
        </w:rPr>
        <w:t>humanitatem.</w:t>
      </w:r>
      <w:r>
        <w:rPr>
          <w:b w:val="0"/>
          <w:i w:val="0"/>
        </w:rPr>
        <w:t xml:space="preserve"> </w:t>
      </w:r>
      <w:hyperlink w:anchor="latin-record-0569">
        <w:r>
          <w:rPr>
            <w:color w:val="000000"/>
          </w:rPr>
          <w:t xml:space="preserve">humanitas</w:t>
        </w:r>
      </w:hyperlink>
      <w:r>
        <w:rPr>
          <w:b w:val="0"/>
          <w:i w:val="0"/>
        </w:rPr>
        <w:t>.</w:t>
      </w:r>
    </w:p>
    <w:p>
      <w:pPr>
        <w:widowControl/>
      </w:pPr>
      <w:r>
        <w:rPr>
          <w:b/>
          <w:i w:val="0"/>
        </w:rPr>
        <w:t>humanitatis.</w:t>
      </w:r>
      <w:r>
        <w:rPr>
          <w:b w:val="0"/>
          <w:i w:val="0"/>
        </w:rPr>
        <w:t xml:space="preserve"> </w:t>
      </w:r>
      <w:hyperlink w:anchor="latin-record-0569">
        <w:r>
          <w:rPr>
            <w:color w:val="000000"/>
          </w:rPr>
          <w:t xml:space="preserve">humanitas</w:t>
        </w:r>
      </w:hyperlink>
      <w:r>
        <w:rPr>
          <w:b w:val="0"/>
          <w:i w:val="0"/>
        </w:rPr>
        <w:t>.</w:t>
      </w:r>
    </w:p>
    <w:p>
      <w:pPr>
        <w:widowControl/>
      </w:pPr>
      <w:r>
        <w:rPr>
          <w:b/>
          <w:i w:val="0"/>
        </w:rPr>
        <w:t>humanus.</w:t>
      </w:r>
      <w:r>
        <w:rPr>
          <w:b w:val="0"/>
          <w:i w:val="0"/>
        </w:rPr>
        <w:t xml:space="preserve"> </w:t>
      </w:r>
      <w:hyperlink w:anchor="latin-record-0565">
        <w:r>
          <w:rPr>
            <w:color w:val="000000"/>
          </w:rPr>
          <w:t xml:space="preserve">homo / humanus</w:t>
        </w:r>
      </w:hyperlink>
      <w:r>
        <w:rPr>
          <w:b w:val="0"/>
          <w:i w:val="0"/>
        </w:rPr>
        <w:t>.</w:t>
      </w:r>
    </w:p>
    <w:p>
      <w:pPr>
        <w:widowControl/>
      </w:pPr>
      <w:r>
        <w:rPr>
          <w:b/>
          <w:i w:val="0"/>
        </w:rPr>
        <w:t>humeris.</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humiditas.</w:t>
      </w:r>
      <w:r>
        <w:rPr>
          <w:b w:val="0"/>
          <w:i w:val="0"/>
        </w:rPr>
        <w:t xml:space="preserve"> </w:t>
      </w:r>
      <w:hyperlink w:anchor="latin-record-0570">
        <w:r>
          <w:rPr>
            <w:color w:val="000000"/>
          </w:rPr>
          <w:t xml:space="preserve">humiditas / humor</w:t>
        </w:r>
      </w:hyperlink>
      <w:r>
        <w:rPr>
          <w:b w:val="0"/>
          <w:i w:val="0"/>
        </w:rPr>
        <w:t>.</w:t>
      </w:r>
    </w:p>
    <w:p>
      <w:pPr>
        <w:widowControl/>
      </w:pPr>
      <w:r>
        <w:rPr>
          <w:b/>
          <w:i w:val="0"/>
        </w:rPr>
        <w:t>Humiditas.</w:t>
      </w:r>
      <w:r>
        <w:rPr>
          <w:b w:val="0"/>
          <w:i w:val="0"/>
        </w:rPr>
        <w:t xml:space="preserve"> </w:t>
      </w:r>
      <w:hyperlink w:anchor="latin-record-0570">
        <w:r>
          <w:rPr>
            <w:color w:val="000000"/>
          </w:rPr>
          <w:t xml:space="preserve">humiditas / humor</w:t>
        </w:r>
      </w:hyperlink>
      <w:r>
        <w:rPr>
          <w:b w:val="0"/>
          <w:i w:val="0"/>
        </w:rPr>
        <w:t>.</w:t>
      </w:r>
    </w:p>
    <w:p>
      <w:pPr>
        <w:widowControl/>
      </w:pPr>
      <w:r>
        <w:rPr>
          <w:b/>
          <w:i w:val="0"/>
        </w:rPr>
        <w:t>humiditatem.</w:t>
      </w:r>
      <w:r>
        <w:rPr>
          <w:b w:val="0"/>
          <w:i w:val="0"/>
        </w:rPr>
        <w:t xml:space="preserve"> </w:t>
      </w:r>
      <w:hyperlink w:anchor="latin-record-0570">
        <w:r>
          <w:rPr>
            <w:color w:val="000000"/>
          </w:rPr>
          <w:t xml:space="preserve">humiditas / humor</w:t>
        </w:r>
      </w:hyperlink>
      <w:r>
        <w:rPr>
          <w:b w:val="0"/>
          <w:i w:val="0"/>
        </w:rPr>
        <w:t>.</w:t>
      </w:r>
    </w:p>
    <w:p>
      <w:pPr>
        <w:widowControl/>
      </w:pPr>
      <w:r>
        <w:rPr>
          <w:b/>
          <w:i w:val="0"/>
        </w:rPr>
        <w:t>humiditati.</w:t>
      </w:r>
      <w:r>
        <w:rPr>
          <w:b w:val="0"/>
          <w:i w:val="0"/>
        </w:rPr>
        <w:t xml:space="preserve"> </w:t>
      </w:r>
      <w:hyperlink w:anchor="latin-record-0570">
        <w:r>
          <w:rPr>
            <w:color w:val="000000"/>
          </w:rPr>
          <w:t xml:space="preserve">humiditas / humor</w:t>
        </w:r>
      </w:hyperlink>
      <w:r>
        <w:rPr>
          <w:b w:val="0"/>
          <w:i w:val="0"/>
        </w:rPr>
        <w:t>.</w:t>
      </w:r>
    </w:p>
    <w:p>
      <w:pPr>
        <w:widowControl/>
      </w:pPr>
      <w:r>
        <w:rPr>
          <w:b/>
          <w:i w:val="0"/>
        </w:rPr>
        <w:t>humidum.</w:t>
      </w:r>
      <w:r>
        <w:rPr>
          <w:b w:val="0"/>
          <w:i w:val="0"/>
        </w:rPr>
        <w:t xml:space="preserve"> </w:t>
      </w:r>
      <w:hyperlink w:anchor="latin-record-0571">
        <w:r>
          <w:rPr>
            <w:color w:val="000000"/>
          </w:rPr>
          <w:t xml:space="preserve">humidus / terreus / lutulentus</w:t>
        </w:r>
      </w:hyperlink>
      <w:r>
        <w:rPr>
          <w:b w:val="0"/>
          <w:i w:val="0"/>
        </w:rPr>
        <w:t>.</w:t>
      </w:r>
    </w:p>
    <w:p>
      <w:pPr>
        <w:widowControl/>
      </w:pPr>
      <w:r>
        <w:rPr>
          <w:b/>
          <w:i w:val="0"/>
        </w:rPr>
        <w:t>humor.</w:t>
      </w:r>
      <w:r>
        <w:rPr>
          <w:b w:val="0"/>
          <w:i w:val="0"/>
        </w:rPr>
        <w:t xml:space="preserve"> </w:t>
      </w:r>
      <w:hyperlink w:anchor="latin-record-0570">
        <w:r>
          <w:rPr>
            <w:color w:val="000000"/>
          </w:rPr>
          <w:t xml:space="preserve">humiditas / humor</w:t>
        </w:r>
      </w:hyperlink>
      <w:r>
        <w:rPr>
          <w:b w:val="0"/>
          <w:i w:val="0"/>
        </w:rPr>
        <w:t xml:space="preserve">; </w:t>
      </w:r>
      <w:hyperlink w:anchor="latin-record-0573">
        <w:r>
          <w:rPr>
            <w:color w:val="000000"/>
          </w:rPr>
          <w:t xml:space="preserve">humor; membrum; spiritus</w:t>
        </w:r>
      </w:hyperlink>
      <w:r>
        <w:rPr>
          <w:b w:val="0"/>
          <w:i w:val="0"/>
        </w:rPr>
        <w:t>.</w:t>
      </w:r>
    </w:p>
    <w:p>
      <w:pPr>
        <w:widowControl/>
      </w:pPr>
      <w:r>
        <w:rPr>
          <w:b/>
          <w:i w:val="0"/>
        </w:rPr>
        <w:t>humores.</w:t>
      </w:r>
      <w:r>
        <w:rPr>
          <w:b w:val="0"/>
          <w:i w:val="0"/>
        </w:rPr>
        <w:t xml:space="preserve"> </w:t>
      </w:r>
      <w:hyperlink w:anchor="latin-record-0572">
        <w:r>
          <w:rPr>
            <w:color w:val="000000"/>
          </w:rPr>
          <w:t xml:space="preserve">humor / mixtio / procreare</w:t>
        </w:r>
      </w:hyperlink>
      <w:r>
        <w:rPr>
          <w:b w:val="0"/>
          <w:i w:val="0"/>
        </w:rPr>
        <w:t xml:space="preserve">; </w:t>
      </w:r>
      <w:hyperlink w:anchor="latin-record-0573">
        <w:r>
          <w:rPr>
            <w:color w:val="000000"/>
          </w:rPr>
          <w:t xml:space="preserve">humor; membrum; spiritus</w:t>
        </w:r>
      </w:hyperlink>
      <w:r>
        <w:rPr>
          <w:b w:val="0"/>
          <w:i w:val="0"/>
        </w:rPr>
        <w:t>.</w:t>
      </w:r>
    </w:p>
    <w:p>
      <w:pPr>
        <w:widowControl/>
      </w:pPr>
      <w:r>
        <w:rPr>
          <w:b/>
          <w:i w:val="0"/>
        </w:rPr>
        <w:t>Humores.</w:t>
      </w:r>
      <w:r>
        <w:rPr>
          <w:b w:val="0"/>
          <w:i w:val="0"/>
        </w:rPr>
        <w:t xml:space="preserve"> </w:t>
      </w:r>
      <w:hyperlink w:anchor="latin-record-0572">
        <w:r>
          <w:rPr>
            <w:color w:val="000000"/>
          </w:rPr>
          <w:t xml:space="preserve">humor / mixtio / procreare</w:t>
        </w:r>
      </w:hyperlink>
      <w:r>
        <w:rPr>
          <w:b w:val="0"/>
          <w:i w:val="0"/>
        </w:rPr>
        <w:t>.</w:t>
      </w:r>
    </w:p>
    <w:p>
      <w:pPr>
        <w:widowControl/>
      </w:pPr>
      <w:r>
        <w:rPr>
          <w:b/>
          <w:i w:val="0"/>
        </w:rPr>
        <w:t>humoribus.</w:t>
      </w:r>
      <w:r>
        <w:rPr>
          <w:b w:val="0"/>
          <w:i w:val="0"/>
        </w:rPr>
        <w:t xml:space="preserve"> </w:t>
      </w:r>
      <w:hyperlink w:anchor="latin-record-0573">
        <w:r>
          <w:rPr>
            <w:color w:val="000000"/>
          </w:rPr>
          <w:t xml:space="preserve">humor; membrum; spiritus</w:t>
        </w:r>
      </w:hyperlink>
      <w:r>
        <w:rPr>
          <w:b w:val="0"/>
          <w:i w:val="0"/>
        </w:rPr>
        <w:t>.</w:t>
      </w:r>
    </w:p>
    <w:p>
      <w:pPr>
        <w:widowControl/>
      </w:pPr>
      <w:r>
        <w:rPr>
          <w:b/>
          <w:i w:val="0"/>
        </w:rPr>
        <w:t>humorum.</w:t>
      </w:r>
      <w:r>
        <w:rPr>
          <w:b w:val="0"/>
          <w:i w:val="0"/>
        </w:rPr>
        <w:t xml:space="preserve"> </w:t>
      </w:r>
      <w:hyperlink w:anchor="latin-record-0573">
        <w:r>
          <w:rPr>
            <w:color w:val="000000"/>
          </w:rPr>
          <w:t xml:space="preserve">humor; membrum; spiritus</w:t>
        </w:r>
      </w:hyperlink>
      <w:r>
        <w:rPr>
          <w:b w:val="0"/>
          <w:i w:val="0"/>
        </w:rPr>
        <w:t xml:space="preserve">; </w:t>
      </w:r>
      <w:hyperlink w:anchor="latin-record-0575">
        <w:r>
          <w:rPr>
            <w:color w:val="000000"/>
          </w:rPr>
          <w:t xml:space="preserve">humores</w:t>
        </w:r>
      </w:hyperlink>
      <w:r>
        <w:rPr>
          <w:b w:val="0"/>
          <w:i w:val="0"/>
        </w:rPr>
        <w:t>.</w:t>
      </w:r>
    </w:p>
    <w:p>
      <w:pPr>
        <w:widowControl/>
      </w:pPr>
      <w:r>
        <w:rPr>
          <w:b/>
          <w:i w:val="0"/>
        </w:rPr>
        <w:t>humorum conditionem.</w:t>
      </w:r>
      <w:r>
        <w:rPr>
          <w:b w:val="0"/>
          <w:i w:val="0"/>
        </w:rPr>
        <w:t xml:space="preserve"> </w:t>
      </w:r>
      <w:hyperlink w:anchor="latin-record-0284">
        <w:r>
          <w:rPr>
            <w:color w:val="000000"/>
          </w:rPr>
          <w:t xml:space="preserve">conditio humorum / imperium</w:t>
        </w:r>
      </w:hyperlink>
      <w:r>
        <w:rPr>
          <w:b w:val="0"/>
          <w:i w:val="0"/>
        </w:rPr>
        <w:t>.</w:t>
      </w:r>
    </w:p>
    <w:p>
      <w:pPr>
        <w:widowControl/>
      </w:pPr>
      <w:r>
        <w:rPr>
          <w:b/>
          <w:i w:val="0"/>
        </w:rPr>
        <w:t>ibi.</w:t>
      </w:r>
      <w:r>
        <w:rPr>
          <w:b w:val="0"/>
          <w:i w:val="0"/>
        </w:rPr>
        <w:t xml:space="preserve"> </w:t>
      </w:r>
      <w:hyperlink w:anchor="latin-record-0562">
        <w:r>
          <w:rPr>
            <w:color w:val="000000"/>
          </w:rPr>
          <w:t xml:space="preserve">hic / ibi</w:t>
        </w:r>
      </w:hyperlink>
      <w:r>
        <w:rPr>
          <w:b w:val="0"/>
          <w:i w:val="0"/>
        </w:rPr>
        <w:t>.</w:t>
      </w:r>
    </w:p>
    <w:p>
      <w:pPr>
        <w:widowControl/>
      </w:pPr>
      <w:r>
        <w:rPr>
          <w:b/>
          <w:i w:val="0"/>
        </w:rPr>
        <w:t>idea.</w:t>
      </w:r>
      <w:r>
        <w:rPr>
          <w:b w:val="0"/>
          <w:i w:val="0"/>
        </w:rPr>
        <w:t xml:space="preserve"> </w:t>
      </w:r>
      <w:hyperlink w:anchor="latin-record-0577">
        <w:r>
          <w:rPr>
            <w:color w:val="000000"/>
          </w:rPr>
          <w:t xml:space="preserve">idea</w:t>
        </w:r>
      </w:hyperlink>
      <w:r>
        <w:rPr>
          <w:b w:val="0"/>
          <w:i w:val="0"/>
        </w:rPr>
        <w:t>.</w:t>
      </w:r>
    </w:p>
    <w:p>
      <w:pPr>
        <w:widowControl/>
      </w:pPr>
      <w:r>
        <w:rPr>
          <w:b/>
          <w:i w:val="0"/>
        </w:rPr>
        <w:t>ideae.</w:t>
      </w:r>
      <w:r>
        <w:rPr>
          <w:b w:val="0"/>
          <w:i w:val="0"/>
        </w:rPr>
        <w:t xml:space="preserve"> </w:t>
      </w:r>
      <w:hyperlink w:anchor="latin-record-0577">
        <w:r>
          <w:rPr>
            <w:color w:val="000000"/>
          </w:rPr>
          <w:t xml:space="preserve">idea</w:t>
        </w:r>
      </w:hyperlink>
      <w:r>
        <w:rPr>
          <w:b w:val="0"/>
          <w:i w:val="0"/>
        </w:rPr>
        <w:t>.</w:t>
      </w:r>
    </w:p>
    <w:p>
      <w:pPr>
        <w:widowControl/>
      </w:pPr>
      <w:r>
        <w:rPr>
          <w:b/>
          <w:i w:val="0"/>
        </w:rPr>
        <w:t>ideam.</w:t>
      </w:r>
      <w:r>
        <w:rPr>
          <w:b w:val="0"/>
          <w:i w:val="0"/>
        </w:rPr>
        <w:t xml:space="preserve"> </w:t>
      </w:r>
      <w:hyperlink w:anchor="latin-record-0577">
        <w:r>
          <w:rPr>
            <w:color w:val="000000"/>
          </w:rPr>
          <w:t xml:space="preserve">idea</w:t>
        </w:r>
      </w:hyperlink>
      <w:r>
        <w:rPr>
          <w:b w:val="0"/>
          <w:i w:val="0"/>
        </w:rPr>
        <w:t>.</w:t>
      </w:r>
    </w:p>
    <w:p>
      <w:pPr>
        <w:widowControl/>
      </w:pPr>
      <w:r>
        <w:rPr>
          <w:b/>
          <w:i w:val="0"/>
        </w:rPr>
        <w:t>ideaque.</w:t>
      </w:r>
      <w:r>
        <w:rPr>
          <w:b w:val="0"/>
          <w:i w:val="0"/>
        </w:rPr>
        <w:t xml:space="preserve"> </w:t>
      </w:r>
      <w:hyperlink w:anchor="latin-record-0577">
        <w:r>
          <w:rPr>
            <w:color w:val="000000"/>
          </w:rPr>
          <w:t xml:space="preserve">idea</w:t>
        </w:r>
      </w:hyperlink>
      <w:r>
        <w:rPr>
          <w:b w:val="0"/>
          <w:i w:val="0"/>
        </w:rPr>
        <w:t>.</w:t>
      </w:r>
    </w:p>
    <w:p>
      <w:pPr>
        <w:widowControl/>
      </w:pPr>
      <w:r>
        <w:rPr>
          <w:b/>
          <w:i w:val="0"/>
        </w:rPr>
        <w:t>ideas.</w:t>
      </w:r>
      <w:r>
        <w:rPr>
          <w:b w:val="0"/>
          <w:i w:val="0"/>
        </w:rPr>
        <w:t xml:space="preserve"> </w:t>
      </w:r>
      <w:hyperlink w:anchor="latin-record-0577">
        <w:r>
          <w:rPr>
            <w:color w:val="000000"/>
          </w:rPr>
          <w:t xml:space="preserve">idea</w:t>
        </w:r>
      </w:hyperlink>
      <w:r>
        <w:rPr>
          <w:b w:val="0"/>
          <w:i w:val="0"/>
        </w:rPr>
        <w:t>.</w:t>
      </w:r>
    </w:p>
    <w:p>
      <w:pPr>
        <w:widowControl/>
      </w:pPr>
      <w:r>
        <w:rPr>
          <w:b/>
          <w:i w:val="0"/>
        </w:rPr>
        <w:t>ideis.</w:t>
      </w:r>
      <w:r>
        <w:rPr>
          <w:b w:val="0"/>
          <w:i w:val="0"/>
        </w:rPr>
        <w:t xml:space="preserve"> </w:t>
      </w:r>
      <w:hyperlink w:anchor="latin-record-0577">
        <w:r>
          <w:rPr>
            <w:color w:val="000000"/>
          </w:rPr>
          <w:t xml:space="preserve">idea</w:t>
        </w:r>
      </w:hyperlink>
      <w:r>
        <w:rPr>
          <w:b w:val="0"/>
          <w:i w:val="0"/>
        </w:rPr>
        <w:t>.</w:t>
      </w:r>
    </w:p>
    <w:p>
      <w:pPr>
        <w:widowControl/>
      </w:pPr>
      <w:r>
        <w:rPr>
          <w:b/>
          <w:i w:val="0"/>
        </w:rPr>
        <w:t>idem.</w:t>
      </w:r>
      <w:r>
        <w:rPr>
          <w:b w:val="0"/>
          <w:i w:val="0"/>
        </w:rPr>
        <w:t xml:space="preserve"> </w:t>
      </w:r>
      <w:hyperlink w:anchor="latin-record-1175">
        <w:r>
          <w:rPr>
            <w:color w:val="000000"/>
          </w:rPr>
          <w:t xml:space="preserve">similis; idem</w:t>
        </w:r>
      </w:hyperlink>
      <w:r>
        <w:rPr>
          <w:b w:val="0"/>
          <w:i w:val="0"/>
        </w:rPr>
        <w:t>.</w:t>
      </w:r>
    </w:p>
    <w:p>
      <w:pPr>
        <w:widowControl/>
      </w:pPr>
      <w:r>
        <w:rPr>
          <w:b/>
          <w:i w:val="0"/>
        </w:rPr>
        <w:t>Idem mos.</w:t>
      </w:r>
      <w:r>
        <w:rPr>
          <w:b w:val="0"/>
          <w:i w:val="0"/>
        </w:rPr>
        <w:t xml:space="preserve"> </w:t>
      </w:r>
      <w:hyperlink w:anchor="latin-record-1385">
        <w:r>
          <w:rPr>
            <w:color w:val="000000"/>
          </w:rPr>
          <w:t xml:space="preserve">voluntas; mos; opinio; scientia</w:t>
        </w:r>
      </w:hyperlink>
      <w:r>
        <w:rPr>
          <w:b w:val="0"/>
          <w:i w:val="0"/>
        </w:rPr>
        <w:t>.</w:t>
      </w:r>
    </w:p>
    <w:p>
      <w:pPr>
        <w:widowControl/>
      </w:pPr>
      <w:r>
        <w:rPr>
          <w:b/>
          <w:i w:val="0"/>
        </w:rPr>
        <w:t>idola.</w:t>
      </w:r>
      <w:r>
        <w:rPr>
          <w:b w:val="0"/>
          <w:i w:val="0"/>
        </w:rPr>
        <w:t xml:space="preserve"> </w:t>
      </w:r>
      <w:hyperlink w:anchor="latin-record-0578">
        <w:r>
          <w:rPr>
            <w:color w:val="000000"/>
          </w:rPr>
          <w:t xml:space="preserve">idolum / simulacrum</w:t>
        </w:r>
      </w:hyperlink>
      <w:r>
        <w:rPr>
          <w:b w:val="0"/>
          <w:i w:val="0"/>
        </w:rPr>
        <w:t>.</w:t>
      </w:r>
    </w:p>
    <w:p>
      <w:pPr>
        <w:widowControl/>
      </w:pPr>
      <w:r>
        <w:rPr>
          <w:b/>
          <w:i w:val="0"/>
        </w:rPr>
        <w:t>idoneis.</w:t>
      </w:r>
      <w:r>
        <w:rPr>
          <w:b w:val="0"/>
          <w:i w:val="0"/>
        </w:rPr>
        <w:t xml:space="preserve"> </w:t>
      </w:r>
      <w:hyperlink w:anchor="latin-record-0579">
        <w:r>
          <w:rPr>
            <w:color w:val="000000"/>
          </w:rPr>
          <w:t xml:space="preserve">idoneus / vilis / perfectior</w:t>
        </w:r>
      </w:hyperlink>
      <w:r>
        <w:rPr>
          <w:b w:val="0"/>
          <w:i w:val="0"/>
        </w:rPr>
        <w:t>.</w:t>
      </w:r>
    </w:p>
    <w:p>
      <w:pPr>
        <w:widowControl/>
      </w:pPr>
      <w:r>
        <w:rPr>
          <w:b/>
          <w:i w:val="0"/>
        </w:rPr>
        <w:t>Igitur.</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igitur.</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ignarus.</w:t>
      </w:r>
      <w:r>
        <w:rPr>
          <w:b w:val="0"/>
          <w:i w:val="0"/>
        </w:rPr>
        <w:t xml:space="preserve"> </w:t>
      </w:r>
      <w:hyperlink w:anchor="latin-record-1137">
        <w:r>
          <w:rPr>
            <w:color w:val="000000"/>
          </w:rPr>
          <w:t xml:space="preserve">scientia et ignorantia</w:t>
        </w:r>
      </w:hyperlink>
      <w:r>
        <w:rPr>
          <w:b w:val="0"/>
          <w:i w:val="0"/>
        </w:rPr>
        <w:t>.</w:t>
      </w:r>
    </w:p>
    <w:p>
      <w:pPr>
        <w:widowControl/>
      </w:pPr>
      <w:r>
        <w:rPr>
          <w:b/>
          <w:i w:val="0"/>
        </w:rPr>
        <w:t>ignavia.</w:t>
      </w:r>
      <w:r>
        <w:rPr>
          <w:b w:val="0"/>
          <w:i w:val="0"/>
        </w:rPr>
        <w:t xml:space="preserve"> </w:t>
      </w:r>
      <w:hyperlink w:anchor="latin-record-0581">
        <w:r>
          <w:rPr>
            <w:color w:val="000000"/>
          </w:rPr>
          <w:t xml:space="preserve">ignavia / torpere</w:t>
        </w:r>
      </w:hyperlink>
      <w:r>
        <w:rPr>
          <w:b w:val="0"/>
          <w:i w:val="0"/>
        </w:rPr>
        <w:t>.</w:t>
      </w:r>
    </w:p>
    <w:p>
      <w:pPr>
        <w:widowControl/>
      </w:pPr>
      <w:r>
        <w:rPr>
          <w:b/>
          <w:i w:val="0"/>
        </w:rPr>
        <w:t>igne.</w:t>
      </w:r>
      <w:r>
        <w:rPr>
          <w:b w:val="0"/>
          <w:i w:val="0"/>
        </w:rPr>
        <w:t xml:space="preserve"> </w:t>
      </w:r>
      <w:hyperlink w:anchor="latin-record-0586">
        <w:r>
          <w:rPr>
            <w:color w:val="000000"/>
          </w:rPr>
          <w:t xml:space="preserve">ignis; aer; aqua</w:t>
        </w:r>
      </w:hyperlink>
      <w:r>
        <w:rPr>
          <w:b w:val="0"/>
          <w:i w:val="0"/>
        </w:rPr>
        <w:t>.</w:t>
      </w:r>
    </w:p>
    <w:p>
      <w:pPr>
        <w:widowControl/>
      </w:pPr>
      <w:r>
        <w:rPr>
          <w:b/>
          <w:i w:val="0"/>
        </w:rPr>
        <w:t>ignem.</w:t>
      </w:r>
      <w:r>
        <w:rPr>
          <w:b w:val="0"/>
          <w:i w:val="0"/>
        </w:rPr>
        <w:t xml:space="preserve"> </w:t>
      </w:r>
      <w:hyperlink w:anchor="latin-record-0116">
        <w:r>
          <w:rPr>
            <w:color w:val="000000"/>
          </w:rPr>
          <w:t xml:space="preserve">aqua / ignis / calor / frigus</w:t>
        </w:r>
      </w:hyperlink>
      <w:r>
        <w:rPr>
          <w:b w:val="0"/>
          <w:i w:val="0"/>
        </w:rPr>
        <w:t xml:space="preserve">; </w:t>
      </w:r>
      <w:hyperlink w:anchor="latin-record-0583">
        <w:r>
          <w:rPr>
            <w:color w:val="000000"/>
          </w:rPr>
          <w:t xml:space="preserve">ignis</w:t>
        </w:r>
      </w:hyperlink>
      <w:r>
        <w:rPr>
          <w:b w:val="0"/>
          <w:i w:val="0"/>
        </w:rPr>
        <w:t xml:space="preserve">; </w:t>
      </w:r>
      <w:hyperlink w:anchor="latin-record-0586">
        <w:r>
          <w:rPr>
            <w:color w:val="000000"/>
          </w:rPr>
          <w:t xml:space="preserve">ignis; aer; aqua</w:t>
        </w:r>
      </w:hyperlink>
      <w:r>
        <w:rPr>
          <w:b w:val="0"/>
          <w:i w:val="0"/>
        </w:rPr>
        <w:t xml:space="preserve">; </w:t>
      </w:r>
      <w:hyperlink w:anchor="latin-record-0699">
        <w:r>
          <w:rPr>
            <w:color w:val="000000"/>
          </w:rPr>
          <w:t xml:space="preserve">lampas; ignis</w:t>
        </w:r>
      </w:hyperlink>
      <w:r>
        <w:rPr>
          <w:b w:val="0"/>
          <w:i w:val="0"/>
        </w:rPr>
        <w:t>.</w:t>
      </w:r>
    </w:p>
    <w:p>
      <w:pPr>
        <w:widowControl/>
      </w:pPr>
      <w:r>
        <w:rPr>
          <w:b/>
          <w:i w:val="0"/>
        </w:rPr>
        <w:t>igneum.</w:t>
      </w:r>
      <w:r>
        <w:rPr>
          <w:b w:val="0"/>
          <w:i w:val="0"/>
        </w:rPr>
        <w:t xml:space="preserve"> </w:t>
      </w:r>
      <w:hyperlink w:anchor="latin-record-0116">
        <w:r>
          <w:rPr>
            <w:color w:val="000000"/>
          </w:rPr>
          <w:t xml:space="preserve">aqua / ignis / calor / frigus</w:t>
        </w:r>
      </w:hyperlink>
      <w:r>
        <w:rPr>
          <w:b w:val="0"/>
          <w:i w:val="0"/>
        </w:rPr>
        <w:t xml:space="preserve">; </w:t>
      </w:r>
      <w:hyperlink w:anchor="latin-record-0582">
        <w:r>
          <w:rPr>
            <w:color w:val="000000"/>
          </w:rPr>
          <w:t xml:space="preserve">igneus; aereus; aqueus; terreus</w:t>
        </w:r>
      </w:hyperlink>
      <w:r>
        <w:rPr>
          <w:b w:val="0"/>
          <w:i w:val="0"/>
        </w:rPr>
        <w:t xml:space="preserve">; </w:t>
      </w:r>
      <w:hyperlink w:anchor="latin-record-0583">
        <w:r>
          <w:rPr>
            <w:color w:val="000000"/>
          </w:rPr>
          <w:t xml:space="preserve">ignis</w:t>
        </w:r>
      </w:hyperlink>
      <w:r>
        <w:rPr>
          <w:b w:val="0"/>
          <w:i w:val="0"/>
        </w:rPr>
        <w:t>.</w:t>
      </w:r>
    </w:p>
    <w:p>
      <w:pPr>
        <w:widowControl/>
      </w:pPr>
      <w:r>
        <w:rPr>
          <w:b/>
          <w:i w:val="0"/>
        </w:rPr>
        <w:t>igni.</w:t>
      </w:r>
      <w:r>
        <w:rPr>
          <w:b w:val="0"/>
          <w:i w:val="0"/>
        </w:rPr>
        <w:t xml:space="preserve"> </w:t>
      </w:r>
      <w:hyperlink w:anchor="latin-record-0583">
        <w:r>
          <w:rPr>
            <w:color w:val="000000"/>
          </w:rPr>
          <w:t xml:space="preserve">ignis</w:t>
        </w:r>
      </w:hyperlink>
      <w:r>
        <w:rPr>
          <w:b w:val="0"/>
          <w:i w:val="0"/>
        </w:rPr>
        <w:t>.</w:t>
      </w:r>
    </w:p>
    <w:p>
      <w:pPr>
        <w:widowControl/>
      </w:pPr>
      <w:r>
        <w:rPr>
          <w:b/>
          <w:i w:val="0"/>
        </w:rPr>
        <w:t>ignis.</w:t>
      </w:r>
      <w:r>
        <w:rPr>
          <w:b w:val="0"/>
          <w:i w:val="0"/>
        </w:rPr>
        <w:t xml:space="preserve"> </w:t>
      </w:r>
      <w:hyperlink w:anchor="latin-record-0116">
        <w:r>
          <w:rPr>
            <w:color w:val="000000"/>
          </w:rPr>
          <w:t xml:space="preserve">aqua / ignis / calor / frigus</w:t>
        </w:r>
      </w:hyperlink>
      <w:r>
        <w:rPr>
          <w:b w:val="0"/>
          <w:i w:val="0"/>
        </w:rPr>
        <w:t xml:space="preserve">; </w:t>
      </w:r>
      <w:hyperlink w:anchor="latin-record-0583">
        <w:r>
          <w:rPr>
            <w:color w:val="000000"/>
          </w:rPr>
          <w:t xml:space="preserve">ignis</w:t>
        </w:r>
      </w:hyperlink>
      <w:r>
        <w:rPr>
          <w:b w:val="0"/>
          <w:i w:val="0"/>
        </w:rPr>
        <w:t xml:space="preserve">; </w:t>
      </w:r>
      <w:hyperlink w:anchor="latin-record-0584">
        <w:r>
          <w:rPr>
            <w:color w:val="000000"/>
          </w:rPr>
          <w:t xml:space="preserve">ignis / lapis / descendere / deferre</w:t>
        </w:r>
      </w:hyperlink>
      <w:r>
        <w:rPr>
          <w:b w:val="0"/>
          <w:i w:val="0"/>
        </w:rPr>
        <w:t xml:space="preserve">; </w:t>
      </w:r>
      <w:hyperlink w:anchor="latin-record-0585">
        <w:r>
          <w:rPr>
            <w:color w:val="000000"/>
          </w:rPr>
          <w:t xml:space="preserve">ignis / terra / lapis</w:t>
        </w:r>
      </w:hyperlink>
      <w:r>
        <w:rPr>
          <w:b w:val="0"/>
          <w:i w:val="0"/>
        </w:rPr>
        <w:t xml:space="preserve">; </w:t>
      </w:r>
      <w:hyperlink w:anchor="latin-record-0586">
        <w:r>
          <w:rPr>
            <w:color w:val="000000"/>
          </w:rPr>
          <w:t xml:space="preserve">ignis; aer; aqua</w:t>
        </w:r>
      </w:hyperlink>
      <w:r>
        <w:rPr>
          <w:b w:val="0"/>
          <w:i w:val="0"/>
        </w:rPr>
        <w:t xml:space="preserve">; </w:t>
      </w:r>
      <w:hyperlink w:anchor="latin-record-0888">
        <w:r>
          <w:rPr>
            <w:color w:val="000000"/>
          </w:rPr>
          <w:t xml:space="preserve">ovis / ignis</w:t>
        </w:r>
      </w:hyperlink>
      <w:r>
        <w:rPr>
          <w:b w:val="0"/>
          <w:i w:val="0"/>
        </w:rPr>
        <w:t>.</w:t>
      </w:r>
    </w:p>
    <w:p>
      <w:pPr>
        <w:widowControl/>
      </w:pPr>
      <w:r>
        <w:rPr>
          <w:b/>
          <w:i w:val="0"/>
        </w:rPr>
        <w:t>Ignis.</w:t>
      </w:r>
      <w:r>
        <w:rPr>
          <w:b w:val="0"/>
          <w:i w:val="0"/>
        </w:rPr>
        <w:t xml:space="preserve"> </w:t>
      </w:r>
      <w:hyperlink w:anchor="latin-record-0583">
        <w:r>
          <w:rPr>
            <w:color w:val="000000"/>
          </w:rPr>
          <w:t xml:space="preserve">ignis</w:t>
        </w:r>
      </w:hyperlink>
      <w:r>
        <w:rPr>
          <w:b w:val="0"/>
          <w:i w:val="0"/>
        </w:rPr>
        <w:t>.</w:t>
      </w:r>
    </w:p>
    <w:p>
      <w:pPr>
        <w:widowControl/>
      </w:pPr>
      <w:r>
        <w:rPr>
          <w:b/>
          <w:i w:val="0"/>
        </w:rPr>
        <w:t>ignita.</w:t>
      </w:r>
      <w:r>
        <w:rPr>
          <w:b w:val="0"/>
          <w:i w:val="0"/>
        </w:rPr>
        <w:t xml:space="preserve"> </w:t>
      </w:r>
      <w:hyperlink w:anchor="latin-record-0587">
        <w:r>
          <w:rPr>
            <w:color w:val="000000"/>
          </w:rPr>
          <w:t xml:space="preserve">ignitus</w:t>
        </w:r>
      </w:hyperlink>
      <w:r>
        <w:rPr>
          <w:b w:val="0"/>
          <w:i w:val="0"/>
        </w:rPr>
        <w:t>.</w:t>
      </w:r>
    </w:p>
    <w:p>
      <w:pPr>
        <w:widowControl/>
      </w:pPr>
      <w:r>
        <w:rPr>
          <w:b/>
          <w:i w:val="0"/>
        </w:rPr>
        <w:t>ignorat enim se ipsam.</w:t>
      </w:r>
      <w:r>
        <w:rPr>
          <w:b w:val="0"/>
          <w:i w:val="0"/>
        </w:rPr>
        <w:t xml:space="preserve"> </w:t>
      </w:r>
      <w:hyperlink w:anchor="latin-record-0588">
        <w:r>
          <w:rPr>
            <w:color w:val="000000"/>
          </w:rPr>
          <w:t xml:space="preserve">ignorare se ipsam</w:t>
        </w:r>
      </w:hyperlink>
      <w:r>
        <w:rPr>
          <w:b w:val="0"/>
          <w:i w:val="0"/>
        </w:rPr>
        <w:t>.</w:t>
      </w:r>
    </w:p>
    <w:p>
      <w:pPr>
        <w:widowControl/>
      </w:pPr>
      <w:r>
        <w:rPr>
          <w:b/>
          <w:i w:val="0"/>
        </w:rPr>
        <w:t>ignota.</w:t>
      </w:r>
      <w:r>
        <w:rPr>
          <w:b w:val="0"/>
          <w:i w:val="0"/>
        </w:rPr>
        <w:t xml:space="preserve"> </w:t>
      </w:r>
      <w:hyperlink w:anchor="latin-record-1137">
        <w:r>
          <w:rPr>
            <w:color w:val="000000"/>
          </w:rPr>
          <w:t xml:space="preserve">scientia et ignorantia</w:t>
        </w:r>
      </w:hyperlink>
      <w:r>
        <w:rPr>
          <w:b w:val="0"/>
          <w:i w:val="0"/>
        </w:rPr>
        <w:t>.</w:t>
      </w:r>
    </w:p>
    <w:p>
      <w:pPr>
        <w:widowControl/>
      </w:pPr>
      <w:r>
        <w:rPr>
          <w:b/>
          <w:i w:val="0"/>
        </w:rPr>
        <w:t>iisdem.</w:t>
      </w:r>
      <w:r>
        <w:rPr>
          <w:b w:val="0"/>
          <w:i w:val="0"/>
        </w:rPr>
        <w:t xml:space="preserve"> </w:t>
      </w:r>
      <w:hyperlink w:anchor="latin-record-1175">
        <w:r>
          <w:rPr>
            <w:color w:val="000000"/>
          </w:rPr>
          <w:t xml:space="preserve">similis; idem</w:t>
        </w:r>
      </w:hyperlink>
      <w:r>
        <w:rPr>
          <w:b w:val="0"/>
          <w:i w:val="0"/>
        </w:rPr>
        <w:t>.</w:t>
      </w:r>
    </w:p>
    <w:p>
      <w:pPr>
        <w:widowControl/>
      </w:pPr>
      <w:r>
        <w:rPr>
          <w:b/>
          <w:i w:val="0"/>
        </w:rPr>
        <w:t>illecebras.</w:t>
      </w:r>
      <w:r>
        <w:rPr>
          <w:b w:val="0"/>
          <w:i w:val="0"/>
        </w:rPr>
        <w:t xml:space="preserve"> </w:t>
      </w:r>
      <w:hyperlink w:anchor="latin-record-0589">
        <w:r>
          <w:rPr>
            <w:color w:val="000000"/>
          </w:rPr>
          <w:t xml:space="preserve">illecebra</w:t>
        </w:r>
      </w:hyperlink>
      <w:r>
        <w:rPr>
          <w:b w:val="0"/>
          <w:i w:val="0"/>
        </w:rPr>
        <w:t>.</w:t>
      </w:r>
    </w:p>
    <w:p>
      <w:pPr>
        <w:widowControl/>
      </w:pPr>
      <w:r>
        <w:rPr>
          <w:b/>
          <w:i w:val="0"/>
        </w:rPr>
        <w:t>illorum imperium.</w:t>
      </w:r>
      <w:r>
        <w:rPr>
          <w:b w:val="0"/>
          <w:i w:val="0"/>
        </w:rPr>
        <w:t xml:space="preserve"> </w:t>
      </w:r>
      <w:hyperlink w:anchor="latin-record-0284">
        <w:r>
          <w:rPr>
            <w:color w:val="000000"/>
          </w:rPr>
          <w:t xml:space="preserve">conditio humorum / imperium</w:t>
        </w:r>
      </w:hyperlink>
      <w:r>
        <w:rPr>
          <w:b w:val="0"/>
          <w:i w:val="0"/>
        </w:rPr>
        <w:t>.</w:t>
      </w:r>
    </w:p>
    <w:p>
      <w:pPr>
        <w:widowControl/>
      </w:pPr>
      <w:r>
        <w:rPr>
          <w:b/>
          <w:i w:val="0"/>
        </w:rPr>
        <w:t>illuc.</w:t>
      </w:r>
      <w:r>
        <w:rPr>
          <w:b w:val="0"/>
          <w:i w:val="0"/>
        </w:rPr>
        <w:t xml:space="preserve"> </w:t>
      </w:r>
      <w:hyperlink w:anchor="latin-record-1315">
        <w:r>
          <w:rPr>
            <w:color w:val="000000"/>
          </w:rPr>
          <w:t xml:space="preserve">unde / inde / illuc</w:t>
        </w:r>
      </w:hyperlink>
      <w:r>
        <w:rPr>
          <w:b w:val="0"/>
          <w:i w:val="0"/>
        </w:rPr>
        <w:t>.</w:t>
      </w:r>
    </w:p>
    <w:p>
      <w:pPr>
        <w:widowControl/>
      </w:pPr>
      <w:r>
        <w:rPr>
          <w:b/>
          <w:i w:val="0"/>
        </w:rPr>
        <w:t>illuminatum.</w:t>
      </w:r>
      <w:r>
        <w:rPr>
          <w:b w:val="0"/>
          <w:i w:val="0"/>
        </w:rPr>
        <w:t xml:space="preserve"> </w:t>
      </w:r>
      <w:hyperlink w:anchor="latin-record-0988">
        <w:r>
          <w:rPr>
            <w:color w:val="000000"/>
          </w:rPr>
          <w:t xml:space="preserve">primum lumen</w:t>
        </w:r>
      </w:hyperlink>
      <w:r>
        <w:rPr>
          <w:b w:val="0"/>
          <w:i w:val="0"/>
        </w:rPr>
        <w:t>.</w:t>
      </w:r>
    </w:p>
    <w:p>
      <w:pPr>
        <w:widowControl/>
      </w:pPr>
      <w:r>
        <w:rPr>
          <w:b/>
          <w:i w:val="0"/>
        </w:rPr>
        <w:t>illuminatur.</w:t>
      </w:r>
      <w:r>
        <w:rPr>
          <w:b w:val="0"/>
          <w:i w:val="0"/>
        </w:rPr>
        <w:t xml:space="preserve"> </w:t>
      </w:r>
      <w:hyperlink w:anchor="latin-record-0465">
        <w:r>
          <w:rPr>
            <w:color w:val="000000"/>
          </w:rPr>
          <w:t xml:space="preserve">exsultare / illuminare / adolescere</w:t>
        </w:r>
      </w:hyperlink>
      <w:r>
        <w:rPr>
          <w:b w:val="0"/>
          <w:i w:val="0"/>
        </w:rPr>
        <w:t>.</w:t>
      </w:r>
    </w:p>
    <w:p>
      <w:pPr>
        <w:widowControl/>
      </w:pPr>
      <w:r>
        <w:rPr>
          <w:b/>
          <w:i w:val="0"/>
        </w:rPr>
        <w:t>imaginatio.</w:t>
      </w:r>
      <w:r>
        <w:rPr>
          <w:b w:val="0"/>
          <w:i w:val="0"/>
        </w:rPr>
        <w:t xml:space="preserve"> </w:t>
      </w:r>
      <w:hyperlink w:anchor="latin-record-0590">
        <w:r>
          <w:rPr>
            <w:color w:val="000000"/>
          </w:rPr>
          <w:t xml:space="preserve">imaginatio</w:t>
        </w:r>
      </w:hyperlink>
      <w:r>
        <w:rPr>
          <w:b w:val="0"/>
          <w:i w:val="0"/>
        </w:rPr>
        <w:t>.</w:t>
      </w:r>
    </w:p>
    <w:p>
      <w:pPr>
        <w:widowControl/>
      </w:pPr>
      <w:r>
        <w:rPr>
          <w:b/>
          <w:i w:val="0"/>
        </w:rPr>
        <w:t>Imaginatio.</w:t>
      </w:r>
      <w:r>
        <w:rPr>
          <w:b w:val="0"/>
          <w:i w:val="0"/>
        </w:rPr>
        <w:t xml:space="preserve"> </w:t>
      </w:r>
      <w:hyperlink w:anchor="latin-record-0590">
        <w:r>
          <w:rPr>
            <w:color w:val="000000"/>
          </w:rPr>
          <w:t xml:space="preserve">imaginatio</w:t>
        </w:r>
      </w:hyperlink>
      <w:r>
        <w:rPr>
          <w:b w:val="0"/>
          <w:i w:val="0"/>
        </w:rPr>
        <w:t>.</w:t>
      </w:r>
    </w:p>
    <w:p>
      <w:pPr>
        <w:widowControl/>
      </w:pPr>
      <w:r>
        <w:rPr>
          <w:b/>
          <w:i w:val="0"/>
        </w:rPr>
        <w:t>imaginatione corporali.</w:t>
      </w:r>
      <w:r>
        <w:rPr>
          <w:b w:val="0"/>
          <w:i w:val="0"/>
        </w:rPr>
        <w:t xml:space="preserve"> </w:t>
      </w:r>
      <w:hyperlink w:anchor="latin-record-0049">
        <w:r>
          <w:rPr>
            <w:color w:val="000000"/>
          </w:rPr>
          <w:t xml:space="preserve">affectus; imaginatio</w:t>
        </w:r>
      </w:hyperlink>
      <w:r>
        <w:rPr>
          <w:b w:val="0"/>
          <w:i w:val="0"/>
        </w:rPr>
        <w:t>.</w:t>
      </w:r>
    </w:p>
    <w:p>
      <w:pPr>
        <w:widowControl/>
      </w:pPr>
      <w:r>
        <w:rPr>
          <w:b/>
          <w:i w:val="0"/>
        </w:rPr>
        <w:t>imaginationem.</w:t>
      </w:r>
      <w:r>
        <w:rPr>
          <w:b w:val="0"/>
          <w:i w:val="0"/>
        </w:rPr>
        <w:t xml:space="preserve"> </w:t>
      </w:r>
      <w:hyperlink w:anchor="latin-record-0590">
        <w:r>
          <w:rPr>
            <w:color w:val="000000"/>
          </w:rPr>
          <w:t xml:space="preserve">imaginatio</w:t>
        </w:r>
      </w:hyperlink>
      <w:r>
        <w:rPr>
          <w:b w:val="0"/>
          <w:i w:val="0"/>
        </w:rPr>
        <w:t>.</w:t>
      </w:r>
    </w:p>
    <w:p>
      <w:pPr>
        <w:widowControl/>
      </w:pPr>
      <w:r>
        <w:rPr>
          <w:b/>
          <w:i w:val="0"/>
        </w:rPr>
        <w:t>imaginationi.</w:t>
      </w:r>
      <w:r>
        <w:rPr>
          <w:b w:val="0"/>
          <w:i w:val="0"/>
        </w:rPr>
        <w:t xml:space="preserve"> </w:t>
      </w:r>
      <w:hyperlink w:anchor="latin-record-0590">
        <w:r>
          <w:rPr>
            <w:color w:val="000000"/>
          </w:rPr>
          <w:t xml:space="preserve">imaginatio</w:t>
        </w:r>
      </w:hyperlink>
      <w:r>
        <w:rPr>
          <w:b w:val="0"/>
          <w:i w:val="0"/>
        </w:rPr>
        <w:t>.</w:t>
      </w:r>
    </w:p>
    <w:p>
      <w:pPr>
        <w:widowControl/>
      </w:pPr>
      <w:r>
        <w:rPr>
          <w:b/>
          <w:i w:val="0"/>
        </w:rPr>
        <w:t>imaginem.</w:t>
      </w:r>
      <w:r>
        <w:rPr>
          <w:b w:val="0"/>
          <w:i w:val="0"/>
        </w:rPr>
        <w:t xml:space="preserve"> </w:t>
      </w:r>
      <w:hyperlink w:anchor="latin-record-0592">
        <w:r>
          <w:rPr>
            <w:color w:val="000000"/>
          </w:rPr>
          <w:t xml:space="preserve">imago</w:t>
        </w:r>
      </w:hyperlink>
      <w:r>
        <w:rPr>
          <w:b w:val="0"/>
          <w:i w:val="0"/>
        </w:rPr>
        <w:t>.</w:t>
      </w:r>
    </w:p>
    <w:p>
      <w:pPr>
        <w:widowControl/>
      </w:pPr>
      <w:r>
        <w:rPr>
          <w:b/>
          <w:i w:val="0"/>
        </w:rPr>
        <w:t>imaginem aliam suae similem.</w:t>
      </w:r>
      <w:r>
        <w:rPr>
          <w:b w:val="0"/>
          <w:i w:val="0"/>
        </w:rPr>
        <w:t xml:space="preserve"> </w:t>
      </w:r>
      <w:hyperlink w:anchor="latin-record-0591">
        <w:r>
          <w:rPr>
            <w:color w:val="000000"/>
          </w:rPr>
          <w:t xml:space="preserve">imaginem aliam suae similem</w:t>
        </w:r>
      </w:hyperlink>
      <w:r>
        <w:rPr>
          <w:b w:val="0"/>
          <w:i w:val="0"/>
        </w:rPr>
        <w:t>.</w:t>
      </w:r>
    </w:p>
    <w:p>
      <w:pPr>
        <w:widowControl/>
      </w:pPr>
      <w:r>
        <w:rPr>
          <w:b/>
          <w:i w:val="0"/>
        </w:rPr>
        <w:t>imagines.</w:t>
      </w:r>
      <w:r>
        <w:rPr>
          <w:b w:val="0"/>
          <w:i w:val="0"/>
        </w:rPr>
        <w:t xml:space="preserve"> </w:t>
      </w:r>
      <w:hyperlink w:anchor="latin-record-0592">
        <w:r>
          <w:rPr>
            <w:color w:val="000000"/>
          </w:rPr>
          <w:t xml:space="preserve">imago</w:t>
        </w:r>
      </w:hyperlink>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imagines scientiasque tenere memoriter.</w:t>
      </w:r>
      <w:r>
        <w:rPr>
          <w:b w:val="0"/>
          <w:i w:val="0"/>
        </w:rPr>
        <w:t xml:space="preserve"> </w:t>
      </w:r>
      <w:hyperlink w:anchor="latin-record-0776">
        <w:r>
          <w:rPr>
            <w:color w:val="000000"/>
          </w:rPr>
          <w:t xml:space="preserve">memoriter tenere</w:t>
        </w:r>
      </w:hyperlink>
      <w:r>
        <w:rPr>
          <w:b w:val="0"/>
          <w:i w:val="0"/>
        </w:rPr>
        <w:t>.</w:t>
      </w:r>
    </w:p>
    <w:p>
      <w:pPr>
        <w:widowControl/>
      </w:pPr>
      <w:r>
        <w:rPr>
          <w:b/>
          <w:i w:val="0"/>
        </w:rPr>
        <w:t>imaginibus.</w:t>
      </w:r>
      <w:r>
        <w:rPr>
          <w:b w:val="0"/>
          <w:i w:val="0"/>
        </w:rPr>
        <w:t xml:space="preserve"> </w:t>
      </w:r>
      <w:hyperlink w:anchor="latin-record-0592">
        <w:r>
          <w:rPr>
            <w:color w:val="000000"/>
          </w:rPr>
          <w:t xml:space="preserve">imago</w:t>
        </w:r>
      </w:hyperlink>
      <w:r>
        <w:rPr>
          <w:b w:val="0"/>
          <w:i w:val="0"/>
        </w:rPr>
        <w:t>.</w:t>
      </w:r>
    </w:p>
    <w:p>
      <w:pPr>
        <w:widowControl/>
      </w:pPr>
      <w:r>
        <w:rPr>
          <w:b/>
          <w:i w:val="0"/>
        </w:rPr>
        <w:t>imaginum.</w:t>
      </w:r>
      <w:r>
        <w:rPr>
          <w:b w:val="0"/>
          <w:i w:val="0"/>
        </w:rPr>
        <w:t xml:space="preserve"> </w:t>
      </w:r>
      <w:hyperlink w:anchor="latin-record-0592">
        <w:r>
          <w:rPr>
            <w:color w:val="000000"/>
          </w:rPr>
          <w:t xml:space="preserve">imago</w:t>
        </w:r>
      </w:hyperlink>
      <w:r>
        <w:rPr>
          <w:b w:val="0"/>
          <w:i w:val="0"/>
        </w:rPr>
        <w:t>.</w:t>
      </w:r>
    </w:p>
    <w:p>
      <w:pPr>
        <w:widowControl/>
      </w:pPr>
      <w:r>
        <w:rPr>
          <w:b/>
          <w:i w:val="0"/>
        </w:rPr>
        <w:t>imago.</w:t>
      </w:r>
      <w:r>
        <w:rPr>
          <w:b w:val="0"/>
          <w:i w:val="0"/>
        </w:rPr>
        <w:t xml:space="preserve"> </w:t>
      </w:r>
      <w:hyperlink w:anchor="latin-record-0592">
        <w:r>
          <w:rPr>
            <w:color w:val="000000"/>
          </w:rPr>
          <w:t xml:space="preserve">imago</w:t>
        </w:r>
      </w:hyperlink>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immensa.</w:t>
      </w:r>
      <w:r>
        <w:rPr>
          <w:b w:val="0"/>
          <w:i w:val="0"/>
        </w:rPr>
        <w:t xml:space="preserve"> </w:t>
      </w:r>
      <w:hyperlink w:anchor="latin-record-0633">
        <w:r>
          <w:rPr>
            <w:color w:val="000000"/>
          </w:rPr>
          <w:t xml:space="preserve">infinitus / immensus</w:t>
        </w:r>
      </w:hyperlink>
      <w:r>
        <w:rPr>
          <w:b w:val="0"/>
          <w:i w:val="0"/>
        </w:rPr>
        <w:t>.</w:t>
      </w:r>
    </w:p>
    <w:p>
      <w:pPr>
        <w:widowControl/>
      </w:pPr>
      <w:r>
        <w:rPr>
          <w:b/>
          <w:i w:val="0"/>
        </w:rPr>
        <w:t>immensae.</w:t>
      </w:r>
      <w:r>
        <w:rPr>
          <w:b w:val="0"/>
          <w:i w:val="0"/>
        </w:rPr>
        <w:t xml:space="preserve"> </w:t>
      </w:r>
      <w:hyperlink w:anchor="latin-record-0593">
        <w:r>
          <w:rPr>
            <w:color w:val="000000"/>
          </w:rPr>
          <w:t xml:space="preserve">immensus / ingens</w:t>
        </w:r>
      </w:hyperlink>
      <w:r>
        <w:rPr>
          <w:b w:val="0"/>
          <w:i w:val="0"/>
        </w:rPr>
        <w:t>.</w:t>
      </w:r>
    </w:p>
    <w:p>
      <w:pPr>
        <w:widowControl/>
      </w:pPr>
      <w:r>
        <w:rPr>
          <w:b/>
          <w:i w:val="0"/>
        </w:rPr>
        <w:t>immensam.</w:t>
      </w:r>
      <w:r>
        <w:rPr>
          <w:b w:val="0"/>
          <w:i w:val="0"/>
        </w:rPr>
        <w:t xml:space="preserve"> </w:t>
      </w:r>
      <w:hyperlink w:anchor="latin-record-0633">
        <w:r>
          <w:rPr>
            <w:color w:val="000000"/>
          </w:rPr>
          <w:t xml:space="preserve">infinitus / immensus</w:t>
        </w:r>
      </w:hyperlink>
      <w:r>
        <w:rPr>
          <w:b w:val="0"/>
          <w:i w:val="0"/>
        </w:rPr>
        <w:t>.</w:t>
      </w:r>
    </w:p>
    <w:p>
      <w:pPr>
        <w:widowControl/>
      </w:pPr>
      <w:r>
        <w:rPr>
          <w:b/>
          <w:i w:val="0"/>
        </w:rPr>
        <w:t>immensum.</w:t>
      </w:r>
      <w:r>
        <w:rPr>
          <w:b w:val="0"/>
          <w:i w:val="0"/>
        </w:rPr>
        <w:t xml:space="preserve"> </w:t>
      </w:r>
      <w:hyperlink w:anchor="latin-record-0593">
        <w:r>
          <w:rPr>
            <w:color w:val="000000"/>
          </w:rPr>
          <w:t xml:space="preserve">immensus / ingens</w:t>
        </w:r>
      </w:hyperlink>
      <w:r>
        <w:rPr>
          <w:b w:val="0"/>
          <w:i w:val="0"/>
        </w:rPr>
        <w:t>.</w:t>
      </w:r>
    </w:p>
    <w:p>
      <w:pPr>
        <w:widowControl/>
      </w:pPr>
      <w:r>
        <w:rPr>
          <w:b/>
          <w:i w:val="0"/>
        </w:rPr>
        <w:t>immersa.</w:t>
      </w:r>
      <w:r>
        <w:rPr>
          <w:b w:val="0"/>
          <w:i w:val="0"/>
        </w:rPr>
        <w:t xml:space="preserve"> </w:t>
      </w:r>
      <w:hyperlink w:anchor="latin-record-0594">
        <w:r>
          <w:rPr>
            <w:color w:val="000000"/>
          </w:rPr>
          <w:t xml:space="preserve">immergere / emergere</w:t>
        </w:r>
      </w:hyperlink>
      <w:r>
        <w:rPr>
          <w:b w:val="0"/>
          <w:i w:val="0"/>
        </w:rPr>
        <w:t>.</w:t>
      </w:r>
    </w:p>
    <w:p>
      <w:pPr>
        <w:widowControl/>
      </w:pPr>
      <w:r>
        <w:rPr>
          <w:b/>
          <w:i w:val="0"/>
        </w:rPr>
        <w:t>immersae.</w:t>
      </w:r>
      <w:r>
        <w:rPr>
          <w:b w:val="0"/>
          <w:i w:val="0"/>
        </w:rPr>
        <w:t xml:space="preserve"> </w:t>
      </w:r>
      <w:hyperlink w:anchor="latin-record-0434">
        <w:r>
          <w:rPr>
            <w:color w:val="000000"/>
          </w:rPr>
          <w:t xml:space="preserve">emergere; immergere</w:t>
        </w:r>
      </w:hyperlink>
      <w:r>
        <w:rPr>
          <w:b w:val="0"/>
          <w:i w:val="0"/>
        </w:rPr>
        <w:t>.</w:t>
      </w:r>
    </w:p>
    <w:p>
      <w:pPr>
        <w:widowControl/>
      </w:pPr>
      <w:r>
        <w:rPr>
          <w:b/>
          <w:i w:val="0"/>
        </w:rPr>
        <w:t>immo.</w:t>
      </w:r>
      <w:r>
        <w:rPr>
          <w:b w:val="0"/>
          <w:i w:val="0"/>
        </w:rPr>
        <w:t xml:space="preserve"> </w:t>
      </w:r>
      <w:hyperlink w:anchor="latin-record-0595">
        <w:r>
          <w:rPr>
            <w:color w:val="000000"/>
          </w:rPr>
          <w:t xml:space="preserve">immo / tamen / non tamen</w:t>
        </w:r>
      </w:hyperlink>
      <w:r>
        <w:rPr>
          <w:b w:val="0"/>
          <w:i w:val="0"/>
        </w:rPr>
        <w:t xml:space="preserve">; </w:t>
      </w:r>
      <w:hyperlink w:anchor="latin-record-0596">
        <w:r>
          <w:rPr>
            <w:color w:val="000000"/>
          </w:rPr>
          <w:t xml:space="preserve">immo; tamen; nihilominus</w:t>
        </w:r>
      </w:hyperlink>
      <w:r>
        <w:rPr>
          <w:b w:val="0"/>
          <w:i w:val="0"/>
        </w:rPr>
        <w:t>.</w:t>
      </w:r>
    </w:p>
    <w:p>
      <w:pPr>
        <w:widowControl/>
      </w:pPr>
      <w:r>
        <w:rPr>
          <w:b/>
          <w:i w:val="0"/>
        </w:rPr>
        <w:t>Immo.</w:t>
      </w:r>
      <w:r>
        <w:rPr>
          <w:b w:val="0"/>
          <w:i w:val="0"/>
        </w:rPr>
        <w:t xml:space="preserve"> </w:t>
      </w:r>
      <w:hyperlink w:anchor="latin-record-0595">
        <w:r>
          <w:rPr>
            <w:color w:val="000000"/>
          </w:rPr>
          <w:t xml:space="preserve">immo / tamen / non tamen</w:t>
        </w:r>
      </w:hyperlink>
      <w:r>
        <w:rPr>
          <w:b w:val="0"/>
          <w:i w:val="0"/>
        </w:rPr>
        <w:t xml:space="preserve">; </w:t>
      </w:r>
      <w:hyperlink w:anchor="latin-record-0596">
        <w:r>
          <w:rPr>
            <w:color w:val="000000"/>
          </w:rPr>
          <w:t xml:space="preserve">immo; tamen; nihilominus</w:t>
        </w:r>
      </w:hyperlink>
      <w:r>
        <w:rPr>
          <w:b w:val="0"/>
          <w:i w:val="0"/>
        </w:rPr>
        <w:t>.</w:t>
      </w:r>
    </w:p>
    <w:p>
      <w:pPr>
        <w:widowControl/>
      </w:pPr>
      <w:r>
        <w:rPr>
          <w:b/>
          <w:i w:val="0"/>
        </w:rPr>
        <w:t>immobile.</w:t>
      </w:r>
      <w:r>
        <w:rPr>
          <w:b w:val="0"/>
          <w:i w:val="0"/>
        </w:rPr>
        <w:t xml:space="preserve"> </w:t>
      </w:r>
      <w:hyperlink w:anchor="latin-record-0597">
        <w:r>
          <w:rPr>
            <w:color w:val="000000"/>
          </w:rPr>
          <w:t xml:space="preserve">immobilis / stabilis</w:t>
        </w:r>
      </w:hyperlink>
      <w:r>
        <w:rPr>
          <w:b w:val="0"/>
          <w:i w:val="0"/>
        </w:rPr>
        <w:t>.</w:t>
      </w:r>
    </w:p>
    <w:p>
      <w:pPr>
        <w:widowControl/>
      </w:pPr>
      <w:r>
        <w:rPr>
          <w:b/>
          <w:i w:val="0"/>
        </w:rPr>
        <w:t>immobili.</w:t>
      </w:r>
      <w:r>
        <w:rPr>
          <w:b w:val="0"/>
          <w:i w:val="0"/>
        </w:rPr>
        <w:t xml:space="preserve"> </w:t>
      </w:r>
      <w:hyperlink w:anchor="latin-record-0811">
        <w:r>
          <w:rPr>
            <w:color w:val="000000"/>
          </w:rPr>
          <w:t xml:space="preserve">movere / immobilis</w:t>
        </w:r>
      </w:hyperlink>
      <w:r>
        <w:rPr>
          <w:b w:val="0"/>
          <w:i w:val="0"/>
        </w:rPr>
        <w:t>.</w:t>
      </w:r>
    </w:p>
    <w:p>
      <w:pPr>
        <w:widowControl/>
      </w:pPr>
      <w:r>
        <w:rPr>
          <w:b/>
          <w:i w:val="0"/>
        </w:rPr>
        <w:t>immobilis.</w:t>
      </w:r>
      <w:r>
        <w:rPr>
          <w:b w:val="0"/>
          <w:i w:val="0"/>
        </w:rPr>
        <w:t xml:space="preserve"> </w:t>
      </w:r>
      <w:hyperlink w:anchor="latin-record-0597">
        <w:r>
          <w:rPr>
            <w:color w:val="000000"/>
          </w:rPr>
          <w:t xml:space="preserve">immobilis / stabilis</w:t>
        </w:r>
      </w:hyperlink>
      <w:r>
        <w:rPr>
          <w:b w:val="0"/>
          <w:i w:val="0"/>
        </w:rPr>
        <w:t>.</w:t>
      </w:r>
    </w:p>
    <w:p>
      <w:pPr>
        <w:widowControl/>
      </w:pPr>
      <w:r>
        <w:rPr>
          <w:b/>
          <w:i w:val="0"/>
        </w:rPr>
        <w:t>immortalem.</w:t>
      </w:r>
      <w:r>
        <w:rPr>
          <w:b w:val="0"/>
          <w:i w:val="0"/>
        </w:rPr>
        <w:t xml:space="preserve"> </w:t>
      </w:r>
      <w:hyperlink w:anchor="latin-record-0598">
        <w:r>
          <w:rPr>
            <w:color w:val="000000"/>
          </w:rPr>
          <w:t xml:space="preserve">immortalis / immortalitas</w:t>
        </w:r>
      </w:hyperlink>
      <w:r>
        <w:rPr>
          <w:b w:val="0"/>
          <w:i w:val="0"/>
        </w:rPr>
        <w:t>.</w:t>
      </w:r>
    </w:p>
    <w:p>
      <w:pPr>
        <w:widowControl/>
      </w:pPr>
      <w:r>
        <w:rPr>
          <w:b/>
          <w:i w:val="0"/>
        </w:rPr>
        <w:t>immortales.</w:t>
      </w:r>
      <w:r>
        <w:rPr>
          <w:b w:val="0"/>
          <w:i w:val="0"/>
        </w:rPr>
        <w:t xml:space="preserve"> </w:t>
      </w:r>
      <w:hyperlink w:anchor="latin-record-0598">
        <w:r>
          <w:rPr>
            <w:color w:val="000000"/>
          </w:rPr>
          <w:t xml:space="preserve">immortalis / immortalitas</w:t>
        </w:r>
      </w:hyperlink>
      <w:r>
        <w:rPr>
          <w:b w:val="0"/>
          <w:i w:val="0"/>
        </w:rPr>
        <w:t>.</w:t>
      </w:r>
    </w:p>
    <w:p>
      <w:pPr>
        <w:widowControl/>
      </w:pPr>
      <w:r>
        <w:rPr>
          <w:b/>
          <w:i w:val="0"/>
        </w:rPr>
        <w:t>immortali.</w:t>
      </w:r>
      <w:r>
        <w:rPr>
          <w:b w:val="0"/>
          <w:i w:val="0"/>
        </w:rPr>
        <w:t xml:space="preserve"> </w:t>
      </w:r>
      <w:hyperlink w:anchor="latin-record-0598">
        <w:r>
          <w:rPr>
            <w:color w:val="000000"/>
          </w:rPr>
          <w:t xml:space="preserve">immortalis / immortalitas</w:t>
        </w:r>
      </w:hyperlink>
      <w:r>
        <w:rPr>
          <w:b w:val="0"/>
          <w:i w:val="0"/>
        </w:rPr>
        <w:t>.</w:t>
      </w:r>
    </w:p>
    <w:p>
      <w:pPr>
        <w:widowControl/>
      </w:pPr>
      <w:r>
        <w:rPr>
          <w:b/>
          <w:i w:val="0"/>
        </w:rPr>
        <w:t>immortalis.</w:t>
      </w:r>
      <w:r>
        <w:rPr>
          <w:b w:val="0"/>
          <w:i w:val="0"/>
        </w:rPr>
        <w:t xml:space="preserve"> </w:t>
      </w:r>
      <w:hyperlink w:anchor="latin-record-0598">
        <w:r>
          <w:rPr>
            <w:color w:val="000000"/>
          </w:rPr>
          <w:t xml:space="preserve">immortalis / immortalitas</w:t>
        </w:r>
      </w:hyperlink>
      <w:r>
        <w:rPr>
          <w:b w:val="0"/>
          <w:i w:val="0"/>
        </w:rPr>
        <w:t xml:space="preserve">; </w:t>
      </w:r>
      <w:hyperlink w:anchor="latin-record-0599">
        <w:r>
          <w:rPr>
            <w:color w:val="000000"/>
          </w:rPr>
          <w:t xml:space="preserve">immortalis; perpetuus; sempiternus</w:t>
        </w:r>
      </w:hyperlink>
      <w:r>
        <w:rPr>
          <w:b w:val="0"/>
          <w:i w:val="0"/>
        </w:rPr>
        <w:t>.</w:t>
      </w:r>
    </w:p>
    <w:p>
      <w:pPr>
        <w:widowControl/>
      </w:pPr>
      <w:r>
        <w:rPr>
          <w:b/>
          <w:i w:val="0"/>
        </w:rPr>
        <w:t>Immortalis.</w:t>
      </w:r>
      <w:r>
        <w:rPr>
          <w:b w:val="0"/>
          <w:i w:val="0"/>
        </w:rPr>
        <w:t xml:space="preserve"> </w:t>
      </w:r>
      <w:hyperlink w:anchor="latin-record-0598">
        <w:r>
          <w:rPr>
            <w:color w:val="000000"/>
          </w:rPr>
          <w:t xml:space="preserve">immortalis / immortalitas</w:t>
        </w:r>
      </w:hyperlink>
      <w:r>
        <w:rPr>
          <w:b w:val="0"/>
          <w:i w:val="0"/>
        </w:rPr>
        <w:t>.</w:t>
      </w:r>
    </w:p>
    <w:p>
      <w:pPr>
        <w:widowControl/>
      </w:pPr>
      <w:r>
        <w:rPr>
          <w:b/>
          <w:i w:val="0"/>
        </w:rPr>
        <w:t>immortalitas.</w:t>
      </w:r>
      <w:r>
        <w:rPr>
          <w:b w:val="0"/>
          <w:i w:val="0"/>
        </w:rPr>
        <w:t xml:space="preserve"> </w:t>
      </w:r>
      <w:hyperlink w:anchor="latin-record-0598">
        <w:r>
          <w:rPr>
            <w:color w:val="000000"/>
          </w:rPr>
          <w:t xml:space="preserve">immortalis / immortalitas</w:t>
        </w:r>
      </w:hyperlink>
      <w:r>
        <w:rPr>
          <w:b w:val="0"/>
          <w:i w:val="0"/>
        </w:rPr>
        <w:t>.</w:t>
      </w:r>
    </w:p>
    <w:p>
      <w:pPr>
        <w:widowControl/>
      </w:pPr>
      <w:r>
        <w:rPr>
          <w:b/>
          <w:i w:val="0"/>
        </w:rPr>
        <w:t>immortalitate.</w:t>
      </w:r>
      <w:r>
        <w:rPr>
          <w:b w:val="0"/>
          <w:i w:val="0"/>
        </w:rPr>
        <w:t xml:space="preserve"> </w:t>
      </w:r>
      <w:hyperlink w:anchor="latin-record-0599">
        <w:r>
          <w:rPr>
            <w:color w:val="000000"/>
          </w:rPr>
          <w:t xml:space="preserve">immortalis; perpetuus; sempiternus</w:t>
        </w:r>
      </w:hyperlink>
      <w:r>
        <w:rPr>
          <w:b w:val="0"/>
          <w:i w:val="0"/>
        </w:rPr>
        <w:t>.</w:t>
      </w:r>
    </w:p>
    <w:p>
      <w:pPr>
        <w:widowControl/>
      </w:pPr>
      <w:r>
        <w:rPr>
          <w:b/>
          <w:i w:val="0"/>
        </w:rPr>
        <w:t>immortalitatem.</w:t>
      </w:r>
      <w:r>
        <w:rPr>
          <w:b w:val="0"/>
          <w:i w:val="0"/>
        </w:rPr>
        <w:t xml:space="preserve"> </w:t>
      </w:r>
      <w:hyperlink w:anchor="latin-record-0598">
        <w:r>
          <w:rPr>
            <w:color w:val="000000"/>
          </w:rPr>
          <w:t xml:space="preserve">immortalis / immortalitas</w:t>
        </w:r>
      </w:hyperlink>
      <w:r>
        <w:rPr>
          <w:b w:val="0"/>
          <w:i w:val="0"/>
        </w:rPr>
        <w:t xml:space="preserve">; </w:t>
      </w:r>
      <w:hyperlink w:anchor="latin-record-0599">
        <w:r>
          <w:rPr>
            <w:color w:val="000000"/>
          </w:rPr>
          <w:t xml:space="preserve">immortalis; perpetuus; sempiternus</w:t>
        </w:r>
      </w:hyperlink>
      <w:r>
        <w:rPr>
          <w:b w:val="0"/>
          <w:i w:val="0"/>
        </w:rPr>
        <w:t>.</w:t>
      </w:r>
    </w:p>
    <w:p>
      <w:pPr>
        <w:widowControl/>
      </w:pPr>
      <w:r>
        <w:rPr>
          <w:b/>
          <w:i w:val="0"/>
        </w:rPr>
        <w:t>immortalitatis.</w:t>
      </w:r>
      <w:r>
        <w:rPr>
          <w:b w:val="0"/>
          <w:i w:val="0"/>
        </w:rPr>
        <w:t xml:space="preserve"> </w:t>
      </w:r>
      <w:hyperlink w:anchor="latin-record-0598">
        <w:r>
          <w:rPr>
            <w:color w:val="000000"/>
          </w:rPr>
          <w:t xml:space="preserve">immortalis / immortalitas</w:t>
        </w:r>
      </w:hyperlink>
      <w:r>
        <w:rPr>
          <w:b w:val="0"/>
          <w:i w:val="0"/>
        </w:rPr>
        <w:t>.</w:t>
      </w:r>
    </w:p>
    <w:p>
      <w:pPr>
        <w:widowControl/>
      </w:pPr>
      <w:r>
        <w:rPr>
          <w:b/>
          <w:i w:val="0"/>
        </w:rPr>
        <w:t>immutabiles.</w:t>
      </w:r>
      <w:r>
        <w:rPr>
          <w:b w:val="0"/>
          <w:i w:val="0"/>
        </w:rPr>
        <w:t xml:space="preserve"> </w:t>
      </w:r>
      <w:hyperlink w:anchor="latin-record-0617">
        <w:r>
          <w:rPr>
            <w:color w:val="000000"/>
          </w:rPr>
          <w:t xml:space="preserve">incommutabilis / immutabilis</w:t>
        </w:r>
      </w:hyperlink>
      <w:r>
        <w:rPr>
          <w:b w:val="0"/>
          <w:i w:val="0"/>
        </w:rPr>
        <w:t xml:space="preserve">; </w:t>
      </w:r>
      <w:hyperlink w:anchor="latin-record-0815">
        <w:r>
          <w:rPr>
            <w:color w:val="000000"/>
          </w:rPr>
          <w:t xml:space="preserve">mutabilis / immutabilis</w:t>
        </w:r>
      </w:hyperlink>
      <w:r>
        <w:rPr>
          <w:b w:val="0"/>
          <w:i w:val="0"/>
        </w:rPr>
        <w:t>.</w:t>
      </w:r>
    </w:p>
    <w:p>
      <w:pPr>
        <w:widowControl/>
      </w:pPr>
      <w:r>
        <w:rPr>
          <w:b/>
          <w:i w:val="0"/>
        </w:rPr>
        <w:t>immutabilibus.</w:t>
      </w:r>
      <w:r>
        <w:rPr>
          <w:b w:val="0"/>
          <w:i w:val="0"/>
        </w:rPr>
        <w:t xml:space="preserve"> </w:t>
      </w:r>
      <w:hyperlink w:anchor="latin-record-0617">
        <w:r>
          <w:rPr>
            <w:color w:val="000000"/>
          </w:rPr>
          <w:t xml:space="preserve">incommutabilis / immutabilis</w:t>
        </w:r>
      </w:hyperlink>
      <w:r>
        <w:rPr>
          <w:b w:val="0"/>
          <w:i w:val="0"/>
        </w:rPr>
        <w:t>.</w:t>
      </w:r>
    </w:p>
    <w:p>
      <w:pPr>
        <w:widowControl/>
      </w:pPr>
      <w:r>
        <w:rPr>
          <w:b/>
          <w:i w:val="0"/>
        </w:rPr>
        <w:t>immutabilis.</w:t>
      </w:r>
      <w:r>
        <w:rPr>
          <w:b w:val="0"/>
          <w:i w:val="0"/>
        </w:rPr>
        <w:t xml:space="preserve"> </w:t>
      </w:r>
      <w:hyperlink w:anchor="latin-record-0617">
        <w:r>
          <w:rPr>
            <w:color w:val="000000"/>
          </w:rPr>
          <w:t xml:space="preserve">incommutabilis / immutabilis</w:t>
        </w:r>
      </w:hyperlink>
      <w:r>
        <w:rPr>
          <w:b w:val="0"/>
          <w:i w:val="0"/>
        </w:rPr>
        <w:t>.</w:t>
      </w:r>
    </w:p>
    <w:p>
      <w:pPr>
        <w:widowControl/>
      </w:pPr>
      <w:r>
        <w:rPr>
          <w:b/>
          <w:i w:val="0"/>
        </w:rPr>
        <w:t>impartibile.</w:t>
      </w:r>
      <w:r>
        <w:rPr>
          <w:b w:val="0"/>
          <w:i w:val="0"/>
        </w:rPr>
        <w:t xml:space="preserve"> </w:t>
      </w:r>
      <w:hyperlink w:anchor="latin-record-0235">
        <w:r>
          <w:rPr>
            <w:color w:val="000000"/>
          </w:rPr>
          <w:t xml:space="preserve">colligere / impartibilis</w:t>
        </w:r>
      </w:hyperlink>
      <w:r>
        <w:rPr>
          <w:b w:val="0"/>
          <w:i w:val="0"/>
        </w:rPr>
        <w:t xml:space="preserve">; </w:t>
      </w:r>
      <w:hyperlink w:anchor="latin-record-0601">
        <w:r>
          <w:rPr>
            <w:color w:val="000000"/>
          </w:rPr>
          <w:t xml:space="preserve">impartibilis</w:t>
        </w:r>
      </w:hyperlink>
      <w:r>
        <w:rPr>
          <w:b w:val="0"/>
          <w:i w:val="0"/>
        </w:rPr>
        <w:t>.</w:t>
      </w:r>
    </w:p>
    <w:p>
      <w:pPr>
        <w:widowControl/>
      </w:pPr>
      <w:r>
        <w:rPr>
          <w:b/>
          <w:i w:val="0"/>
        </w:rPr>
        <w:t>impartibile aliquid.</w:t>
      </w:r>
      <w:r>
        <w:rPr>
          <w:b w:val="0"/>
          <w:i w:val="0"/>
        </w:rPr>
        <w:t xml:space="preserve"> </w:t>
      </w:r>
      <w:hyperlink w:anchor="latin-record-0600">
        <w:r>
          <w:rPr>
            <w:color w:val="000000"/>
          </w:rPr>
          <w:t xml:space="preserve">impartibile; internus agitator</w:t>
        </w:r>
      </w:hyperlink>
      <w:r>
        <w:rPr>
          <w:b w:val="0"/>
          <w:i w:val="0"/>
        </w:rPr>
        <w:t>.</w:t>
      </w:r>
    </w:p>
    <w:p>
      <w:pPr>
        <w:widowControl/>
      </w:pPr>
      <w:r>
        <w:rPr>
          <w:b/>
          <w:i w:val="0"/>
        </w:rPr>
        <w:t>impartibilem.</w:t>
      </w:r>
      <w:r>
        <w:rPr>
          <w:b w:val="0"/>
          <w:i w:val="0"/>
        </w:rPr>
        <w:t xml:space="preserve"> </w:t>
      </w:r>
      <w:hyperlink w:anchor="latin-record-0627">
        <w:r>
          <w:rPr>
            <w:color w:val="000000"/>
          </w:rPr>
          <w:t xml:space="preserve">indivisibilis; impartibilis</w:t>
        </w:r>
      </w:hyperlink>
      <w:r>
        <w:rPr>
          <w:b w:val="0"/>
          <w:i w:val="0"/>
        </w:rPr>
        <w:t>.</w:t>
      </w:r>
    </w:p>
    <w:p>
      <w:pPr>
        <w:widowControl/>
      </w:pPr>
      <w:r>
        <w:rPr>
          <w:b/>
          <w:i w:val="0"/>
        </w:rPr>
        <w:t>impartibili.</w:t>
      </w:r>
      <w:r>
        <w:rPr>
          <w:b w:val="0"/>
          <w:i w:val="0"/>
        </w:rPr>
        <w:t xml:space="preserve"> </w:t>
      </w:r>
      <w:hyperlink w:anchor="latin-record-0601">
        <w:r>
          <w:rPr>
            <w:color w:val="000000"/>
          </w:rPr>
          <w:t xml:space="preserve">impartibilis</w:t>
        </w:r>
      </w:hyperlink>
      <w:r>
        <w:rPr>
          <w:b w:val="0"/>
          <w:i w:val="0"/>
        </w:rPr>
        <w:t>.</w:t>
      </w:r>
    </w:p>
    <w:p>
      <w:pPr>
        <w:widowControl/>
      </w:pPr>
      <w:r>
        <w:rPr>
          <w:b/>
          <w:i w:val="0"/>
        </w:rPr>
        <w:t>impediat.</w:t>
      </w:r>
      <w:r>
        <w:rPr>
          <w:b w:val="0"/>
          <w:i w:val="0"/>
        </w:rPr>
        <w:t xml:space="preserve"> </w:t>
      </w:r>
      <w:hyperlink w:anchor="latin-record-0602">
        <w:r>
          <w:rPr>
            <w:color w:val="000000"/>
          </w:rPr>
          <w:t xml:space="preserve">impedire / cohibere / claudere</w:t>
        </w:r>
      </w:hyperlink>
      <w:r>
        <w:rPr>
          <w:b w:val="0"/>
          <w:i w:val="0"/>
        </w:rPr>
        <w:t>.</w:t>
      </w:r>
    </w:p>
    <w:p>
      <w:pPr>
        <w:widowControl/>
      </w:pPr>
      <w:r>
        <w:rPr>
          <w:b/>
          <w:i w:val="0"/>
        </w:rPr>
        <w:t>impedimentum.</w:t>
      </w:r>
      <w:r>
        <w:rPr>
          <w:b w:val="0"/>
          <w:i w:val="0"/>
        </w:rPr>
        <w:t xml:space="preserve"> </w:t>
      </w:r>
      <w:hyperlink w:anchor="latin-record-0602">
        <w:r>
          <w:rPr>
            <w:color w:val="000000"/>
          </w:rPr>
          <w:t xml:space="preserve">impedire / cohibere / claudere</w:t>
        </w:r>
      </w:hyperlink>
      <w:r>
        <w:rPr>
          <w:b w:val="0"/>
          <w:i w:val="0"/>
        </w:rPr>
        <w:t>.</w:t>
      </w:r>
    </w:p>
    <w:p>
      <w:pPr>
        <w:widowControl/>
      </w:pPr>
      <w:r>
        <w:rPr>
          <w:b/>
          <w:i w:val="0"/>
        </w:rPr>
        <w:t>impediunt.</w:t>
      </w:r>
      <w:r>
        <w:rPr>
          <w:b w:val="0"/>
          <w:i w:val="0"/>
        </w:rPr>
        <w:t xml:space="preserve"> </w:t>
      </w:r>
      <w:hyperlink w:anchor="latin-record-0939">
        <w:r>
          <w:rPr>
            <w:color w:val="000000"/>
          </w:rPr>
          <w:t xml:space="preserve">perturbatio / impedire / augere</w:t>
        </w:r>
      </w:hyperlink>
      <w:r>
        <w:rPr>
          <w:b w:val="0"/>
          <w:i w:val="0"/>
        </w:rPr>
        <w:t>.</w:t>
      </w:r>
    </w:p>
    <w:p>
      <w:pPr>
        <w:widowControl/>
      </w:pPr>
      <w:r>
        <w:rPr>
          <w:b/>
          <w:i w:val="0"/>
        </w:rPr>
        <w:t>imperare.</w:t>
      </w:r>
      <w:r>
        <w:rPr>
          <w:b w:val="0"/>
          <w:i w:val="0"/>
        </w:rPr>
        <w:t xml:space="preserve"> </w:t>
      </w:r>
      <w:hyperlink w:anchor="latin-record-0967">
        <w:r>
          <w:rPr>
            <w:color w:val="000000"/>
          </w:rPr>
          <w:t xml:space="preserve">possidere / consulere / imperare</w:t>
        </w:r>
      </w:hyperlink>
      <w:r>
        <w:rPr>
          <w:b w:val="0"/>
          <w:i w:val="0"/>
        </w:rPr>
        <w:t>.</w:t>
      </w:r>
    </w:p>
    <w:p>
      <w:pPr>
        <w:widowControl/>
      </w:pPr>
      <w:r>
        <w:rPr>
          <w:b/>
          <w:i w:val="0"/>
        </w:rPr>
        <w:t>imperdibile.</w:t>
      </w:r>
      <w:r>
        <w:rPr>
          <w:b w:val="0"/>
          <w:i w:val="0"/>
        </w:rPr>
        <w:t xml:space="preserve"> </w:t>
      </w:r>
      <w:hyperlink w:anchor="latin-record-0603">
        <w:r>
          <w:rPr>
            <w:color w:val="000000"/>
          </w:rPr>
          <w:t xml:space="preserve">imperdibilis</w:t>
        </w:r>
      </w:hyperlink>
      <w:r>
        <w:rPr>
          <w:b w:val="0"/>
          <w:i w:val="0"/>
        </w:rPr>
        <w:t>.</w:t>
      </w:r>
    </w:p>
    <w:p>
      <w:pPr>
        <w:widowControl/>
      </w:pPr>
      <w:r>
        <w:rPr>
          <w:b/>
          <w:i w:val="0"/>
        </w:rPr>
        <w:t>imperdibilis.</w:t>
      </w:r>
      <w:r>
        <w:rPr>
          <w:b w:val="0"/>
          <w:i w:val="0"/>
        </w:rPr>
        <w:t xml:space="preserve"> </w:t>
      </w:r>
      <w:hyperlink w:anchor="latin-record-0603">
        <w:r>
          <w:rPr>
            <w:color w:val="000000"/>
          </w:rPr>
          <w:t xml:space="preserve">imperdibilis</w:t>
        </w:r>
      </w:hyperlink>
      <w:r>
        <w:rPr>
          <w:b w:val="0"/>
          <w:i w:val="0"/>
        </w:rPr>
        <w:t>.</w:t>
      </w:r>
    </w:p>
    <w:p>
      <w:pPr>
        <w:widowControl/>
      </w:pPr>
      <w:r>
        <w:rPr>
          <w:b/>
          <w:i w:val="0"/>
        </w:rPr>
        <w:t>imperfecta.</w:t>
      </w:r>
      <w:r>
        <w:rPr>
          <w:b w:val="0"/>
          <w:i w:val="0"/>
        </w:rPr>
        <w:t xml:space="preserve"> </w:t>
      </w:r>
      <w:hyperlink w:anchor="latin-record-0361">
        <w:r>
          <w:rPr>
            <w:color w:val="000000"/>
          </w:rPr>
          <w:t xml:space="preserve">deficere; perficere</w:t>
        </w:r>
      </w:hyperlink>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imperfectae.</w:t>
      </w:r>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imperfectum.</w:t>
      </w:r>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imperii.</w:t>
      </w:r>
      <w:r>
        <w:rPr>
          <w:b w:val="0"/>
          <w:i w:val="0"/>
        </w:rPr>
        <w:t xml:space="preserve"> </w:t>
      </w:r>
      <w:hyperlink w:anchor="latin-record-0408">
        <w:r>
          <w:rPr>
            <w:color w:val="000000"/>
          </w:rPr>
          <w:t xml:space="preserve">divitiarum cumulus / imperii amplitudo</w:t>
        </w:r>
      </w:hyperlink>
      <w:r>
        <w:rPr>
          <w:b w:val="0"/>
          <w:i w:val="0"/>
        </w:rPr>
        <w:t>.</w:t>
      </w:r>
    </w:p>
    <w:p>
      <w:pPr>
        <w:widowControl/>
      </w:pPr>
      <w:r>
        <w:rPr>
          <w:b/>
          <w:i w:val="0"/>
        </w:rPr>
        <w:t>imperio.</w:t>
      </w:r>
      <w:r>
        <w:rPr>
          <w:b w:val="0"/>
          <w:i w:val="0"/>
        </w:rPr>
        <w:t xml:space="preserve"> </w:t>
      </w:r>
      <w:hyperlink w:anchor="latin-record-0604">
        <w:r>
          <w:rPr>
            <w:color w:val="000000"/>
          </w:rPr>
          <w:t xml:space="preserve">imperium / adhibere</w:t>
        </w:r>
      </w:hyperlink>
      <w:r>
        <w:rPr>
          <w:b w:val="0"/>
          <w:i w:val="0"/>
        </w:rPr>
        <w:t>.</w:t>
      </w:r>
    </w:p>
    <w:p>
      <w:pPr>
        <w:widowControl/>
      </w:pPr>
      <w:r>
        <w:rPr>
          <w:b/>
          <w:i w:val="0"/>
        </w:rPr>
        <w:t>imperium.</w:t>
      </w:r>
      <w:r>
        <w:rPr>
          <w:b w:val="0"/>
          <w:i w:val="0"/>
        </w:rPr>
        <w:t xml:space="preserve"> </w:t>
      </w:r>
      <w:hyperlink w:anchor="latin-record-0604">
        <w:r>
          <w:rPr>
            <w:color w:val="000000"/>
          </w:rPr>
          <w:t xml:space="preserve">imperium / adhibere</w:t>
        </w:r>
      </w:hyperlink>
      <w:r>
        <w:rPr>
          <w:b w:val="0"/>
          <w:i w:val="0"/>
        </w:rPr>
        <w:t>.</w:t>
      </w:r>
    </w:p>
    <w:p>
      <w:pPr>
        <w:widowControl/>
      </w:pPr>
      <w:r>
        <w:rPr>
          <w:b/>
          <w:i w:val="0"/>
        </w:rPr>
        <w:t>impleat.</w:t>
      </w:r>
      <w:r>
        <w:rPr>
          <w:b w:val="0"/>
          <w:i w:val="0"/>
        </w:rPr>
        <w:t xml:space="preserve"> </w:t>
      </w:r>
      <w:hyperlink w:anchor="latin-record-0187">
        <w:r>
          <w:rPr>
            <w:color w:val="000000"/>
          </w:rPr>
          <w:t xml:space="preserve">capacitas / implere</w:t>
        </w:r>
      </w:hyperlink>
      <w:r>
        <w:rPr>
          <w:b w:val="0"/>
          <w:i w:val="0"/>
        </w:rPr>
        <w:t>.</w:t>
      </w:r>
    </w:p>
    <w:p>
      <w:pPr>
        <w:widowControl/>
      </w:pPr>
      <w:r>
        <w:rPr>
          <w:b/>
          <w:i w:val="0"/>
        </w:rPr>
        <w:t>implere.</w:t>
      </w:r>
      <w:r>
        <w:rPr>
          <w:b w:val="0"/>
          <w:i w:val="0"/>
        </w:rPr>
        <w:t xml:space="preserve"> </w:t>
      </w:r>
      <w:hyperlink w:anchor="latin-record-0605">
        <w:r>
          <w:rPr>
            <w:color w:val="000000"/>
          </w:rPr>
          <w:t xml:space="preserve">implere / consummare</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913">
        <w:r>
          <w:rPr>
            <w:color w:val="000000"/>
          </w:rPr>
          <w:t xml:space="preserve">penetrare; implere</w:t>
        </w:r>
      </w:hyperlink>
      <w:r>
        <w:rPr>
          <w:b w:val="0"/>
          <w:i w:val="0"/>
        </w:rPr>
        <w:t>.</w:t>
      </w:r>
    </w:p>
    <w:p>
      <w:pPr>
        <w:widowControl/>
      </w:pPr>
      <w:r>
        <w:rPr>
          <w:b/>
          <w:i w:val="0"/>
        </w:rPr>
        <w:t>impleret.</w:t>
      </w:r>
      <w:r>
        <w:rPr>
          <w:b w:val="0"/>
          <w:i w:val="0"/>
        </w:rPr>
        <w:t xml:space="preserve"> </w:t>
      </w:r>
      <w:hyperlink w:anchor="latin-record-0607">
        <w:r>
          <w:rPr>
            <w:color w:val="000000"/>
          </w:rPr>
          <w:t xml:space="preserve">imponere; implere; continere</w:t>
        </w:r>
      </w:hyperlink>
      <w:r>
        <w:rPr>
          <w:b w:val="0"/>
          <w:i w:val="0"/>
        </w:rPr>
        <w:t>.</w:t>
      </w:r>
    </w:p>
    <w:p>
      <w:pPr>
        <w:widowControl/>
      </w:pPr>
      <w:r>
        <w:rPr>
          <w:b/>
          <w:i w:val="0"/>
        </w:rPr>
        <w:t>impleretur.</w:t>
      </w:r>
      <w:r>
        <w:rPr>
          <w:b w:val="0"/>
          <w:i w:val="0"/>
        </w:rPr>
        <w:t xml:space="preserve"> </w:t>
      </w:r>
      <w:hyperlink w:anchor="latin-record-0187">
        <w:r>
          <w:rPr>
            <w:color w:val="000000"/>
          </w:rPr>
          <w:t xml:space="preserve">capacitas / implere</w:t>
        </w:r>
      </w:hyperlink>
      <w:r>
        <w:rPr>
          <w:b w:val="0"/>
          <w:i w:val="0"/>
        </w:rPr>
        <w:t>.</w:t>
      </w:r>
    </w:p>
    <w:p>
      <w:pPr>
        <w:widowControl/>
      </w:pPr>
      <w:r>
        <w:rPr>
          <w:b/>
          <w:i w:val="0"/>
        </w:rPr>
        <w:t>implet.</w:t>
      </w:r>
      <w:r>
        <w:rPr>
          <w:b w:val="0"/>
          <w:i w:val="0"/>
        </w:rPr>
        <w:t xml:space="preserve"> </w:t>
      </w:r>
      <w:hyperlink w:anchor="latin-record-0605">
        <w:r>
          <w:rPr>
            <w:color w:val="000000"/>
          </w:rPr>
          <w:t xml:space="preserve">implere / consummare</w:t>
        </w:r>
      </w:hyperlink>
      <w:r>
        <w:rPr>
          <w:b w:val="0"/>
          <w:i w:val="0"/>
        </w:rPr>
        <w:t xml:space="preserve">; </w:t>
      </w:r>
      <w:hyperlink w:anchor="latin-record-0607">
        <w:r>
          <w:rPr>
            <w:color w:val="000000"/>
          </w:rPr>
          <w:t xml:space="preserve">imponere; implere; continere</w:t>
        </w:r>
      </w:hyperlink>
      <w:r>
        <w:rPr>
          <w:b w:val="0"/>
          <w:i w:val="0"/>
        </w:rPr>
        <w:t>.</w:t>
      </w:r>
    </w:p>
    <w:p>
      <w:pPr>
        <w:widowControl/>
      </w:pPr>
      <w:r>
        <w:rPr>
          <w:b/>
          <w:i w:val="0"/>
        </w:rPr>
        <w:t>impletur.</w:t>
      </w:r>
      <w:r>
        <w:rPr>
          <w:b w:val="0"/>
          <w:i w:val="0"/>
        </w:rPr>
        <w:t xml:space="preserve"> </w:t>
      </w:r>
      <w:hyperlink w:anchor="latin-record-0187">
        <w:r>
          <w:rPr>
            <w:color w:val="000000"/>
          </w:rPr>
          <w:t xml:space="preserve">capacitas / implere</w:t>
        </w:r>
      </w:hyperlink>
      <w:r>
        <w:rPr>
          <w:b w:val="0"/>
          <w:i w:val="0"/>
        </w:rPr>
        <w:t>.</w:t>
      </w:r>
    </w:p>
    <w:p>
      <w:pPr>
        <w:widowControl/>
      </w:pPr>
      <w:r>
        <w:rPr>
          <w:b/>
          <w:i w:val="0"/>
        </w:rPr>
        <w:t>implicatos.</w:t>
      </w:r>
      <w:r>
        <w:rPr>
          <w:b w:val="0"/>
          <w:i w:val="0"/>
        </w:rPr>
        <w:t xml:space="preserve"> </w:t>
      </w:r>
      <w:hyperlink w:anchor="latin-record-0606">
        <w:r>
          <w:rPr>
            <w:color w:val="000000"/>
          </w:rPr>
          <w:t xml:space="preserve">implicare; explicare</w:t>
        </w:r>
      </w:hyperlink>
      <w:r>
        <w:rPr>
          <w:b w:val="0"/>
          <w:i w:val="0"/>
        </w:rPr>
        <w:t>.</w:t>
      </w:r>
    </w:p>
    <w:p>
      <w:pPr>
        <w:widowControl/>
      </w:pPr>
      <w:r>
        <w:rPr>
          <w:b/>
          <w:i w:val="0"/>
        </w:rPr>
        <w:t>imponat.</w:t>
      </w:r>
      <w:r>
        <w:rPr>
          <w:b w:val="0"/>
          <w:i w:val="0"/>
        </w:rPr>
        <w:t xml:space="preserve"> </w:t>
      </w:r>
      <w:hyperlink w:anchor="latin-record-0607">
        <w:r>
          <w:rPr>
            <w:color w:val="000000"/>
          </w:rPr>
          <w:t xml:space="preserve">imponere; implere; continere</w:t>
        </w:r>
      </w:hyperlink>
      <w:r>
        <w:rPr>
          <w:b w:val="0"/>
          <w:i w:val="0"/>
        </w:rPr>
        <w:t>.</w:t>
      </w:r>
    </w:p>
    <w:p>
      <w:pPr>
        <w:widowControl/>
      </w:pPr>
      <w:r>
        <w:rPr>
          <w:b/>
          <w:i w:val="0"/>
        </w:rPr>
        <w:t>imponit.</w:t>
      </w:r>
      <w:r>
        <w:rPr>
          <w:b w:val="0"/>
          <w:i w:val="0"/>
        </w:rPr>
        <w:t xml:space="preserve"> </w:t>
      </w:r>
      <w:hyperlink w:anchor="latin-record-0607">
        <w:r>
          <w:rPr>
            <w:color w:val="000000"/>
          </w:rPr>
          <w:t xml:space="preserve">imponere; implere; continere</w:t>
        </w:r>
      </w:hyperlink>
      <w:r>
        <w:rPr>
          <w:b w:val="0"/>
          <w:i w:val="0"/>
        </w:rPr>
        <w:t>.</w:t>
      </w:r>
    </w:p>
    <w:p>
      <w:pPr>
        <w:widowControl/>
      </w:pPr>
      <w:r>
        <w:rPr>
          <w:b/>
          <w:i w:val="0"/>
        </w:rPr>
        <w:t>impossibile.</w:t>
      </w:r>
      <w:r>
        <w:rPr>
          <w:b w:val="0"/>
          <w:i w:val="0"/>
        </w:rPr>
        <w:t xml:space="preserve"> </w:t>
      </w:r>
      <w:hyperlink w:anchor="latin-record-0832">
        <w:r>
          <w:rPr>
            <w:color w:val="000000"/>
          </w:rPr>
          <w:t xml:space="preserve">necessarium / impossibile</w:t>
        </w:r>
      </w:hyperlink>
      <w:r>
        <w:rPr>
          <w:b w:val="0"/>
          <w:i w:val="0"/>
        </w:rPr>
        <w:t xml:space="preserve">; </w:t>
      </w:r>
      <w:hyperlink w:anchor="latin-record-0966">
        <w:r>
          <w:rPr>
            <w:color w:val="000000"/>
          </w:rPr>
          <w:t xml:space="preserve">possibile / utile / impotentia</w:t>
        </w:r>
      </w:hyperlink>
      <w:r>
        <w:rPr>
          <w:b w:val="0"/>
          <w:i w:val="0"/>
        </w:rPr>
        <w:t>.</w:t>
      </w:r>
    </w:p>
    <w:p>
      <w:pPr>
        <w:widowControl/>
      </w:pPr>
      <w:r>
        <w:rPr>
          <w:b/>
          <w:i w:val="0"/>
        </w:rPr>
        <w:t>impotentia.</w:t>
      </w:r>
      <w:r>
        <w:rPr>
          <w:b w:val="0"/>
          <w:i w:val="0"/>
        </w:rPr>
        <w:t xml:space="preserve"> </w:t>
      </w:r>
      <w:hyperlink w:anchor="latin-record-0966">
        <w:r>
          <w:rPr>
            <w:color w:val="000000"/>
          </w:rPr>
          <w:t xml:space="preserve">possibile / utile / impotentia</w:t>
        </w:r>
      </w:hyperlink>
      <w:r>
        <w:rPr>
          <w:b w:val="0"/>
          <w:i w:val="0"/>
        </w:rPr>
        <w:t>.</w:t>
      </w:r>
    </w:p>
    <w:p>
      <w:pPr>
        <w:widowControl/>
      </w:pPr>
      <w:r>
        <w:rPr>
          <w:b/>
          <w:i w:val="0"/>
        </w:rPr>
        <w:t>impressa.</w:t>
      </w:r>
      <w:r>
        <w:rPr>
          <w:b w:val="0"/>
          <w:i w:val="0"/>
        </w:rPr>
        <w:t xml:space="preserve"> </w:t>
      </w:r>
      <w:hyperlink w:anchor="latin-record-0608">
        <w:r>
          <w:rPr>
            <w:color w:val="000000"/>
          </w:rPr>
          <w:t xml:space="preserve">imprimere</w:t>
        </w:r>
      </w:hyperlink>
      <w:r>
        <w:rPr>
          <w:b w:val="0"/>
          <w:i w:val="0"/>
        </w:rPr>
        <w:t>.</w:t>
      </w:r>
    </w:p>
    <w:p>
      <w:pPr>
        <w:widowControl/>
      </w:pPr>
      <w:r>
        <w:rPr>
          <w:b/>
          <w:i w:val="0"/>
        </w:rPr>
        <w:t>impressam.</w:t>
      </w:r>
      <w:r>
        <w:rPr>
          <w:b w:val="0"/>
          <w:i w:val="0"/>
        </w:rPr>
        <w:t xml:space="preserve"> </w:t>
      </w:r>
      <w:hyperlink w:anchor="latin-record-0608">
        <w:r>
          <w:rPr>
            <w:color w:val="000000"/>
          </w:rPr>
          <w:t xml:space="preserve">imprimere</w:t>
        </w:r>
      </w:hyperlink>
      <w:r>
        <w:rPr>
          <w:b w:val="0"/>
          <w:i w:val="0"/>
        </w:rPr>
        <w:t>.</w:t>
      </w:r>
    </w:p>
    <w:p>
      <w:pPr>
        <w:widowControl/>
      </w:pPr>
      <w:r>
        <w:rPr>
          <w:b/>
          <w:i w:val="0"/>
        </w:rPr>
        <w:t>imprimentem.</w:t>
      </w:r>
      <w:r>
        <w:rPr>
          <w:b w:val="0"/>
          <w:i w:val="0"/>
        </w:rPr>
        <w:t xml:space="preserve"> </w:t>
      </w:r>
      <w:hyperlink w:anchor="latin-record-0608">
        <w:r>
          <w:rPr>
            <w:color w:val="000000"/>
          </w:rPr>
          <w:t xml:space="preserve">imprimere</w:t>
        </w:r>
      </w:hyperlink>
      <w:r>
        <w:rPr>
          <w:b w:val="0"/>
          <w:i w:val="0"/>
        </w:rPr>
        <w:t>.</w:t>
      </w:r>
    </w:p>
    <w:p>
      <w:pPr>
        <w:widowControl/>
      </w:pPr>
      <w:r>
        <w:rPr>
          <w:b/>
          <w:i w:val="0"/>
        </w:rPr>
        <w:t>imprimit.</w:t>
      </w:r>
      <w:r>
        <w:rPr>
          <w:b w:val="0"/>
          <w:i w:val="0"/>
        </w:rPr>
        <w:t xml:space="preserve"> </w:t>
      </w:r>
      <w:hyperlink w:anchor="latin-record-0608">
        <w:r>
          <w:rPr>
            <w:color w:val="000000"/>
          </w:rPr>
          <w:t xml:space="preserve">imprimere</w:t>
        </w:r>
      </w:hyperlink>
      <w:r>
        <w:rPr>
          <w:b w:val="0"/>
          <w:i w:val="0"/>
        </w:rPr>
        <w:t>.</w:t>
      </w:r>
    </w:p>
    <w:p>
      <w:pPr>
        <w:widowControl/>
      </w:pPr>
      <w:r>
        <w:rPr>
          <w:b/>
          <w:i w:val="0"/>
        </w:rPr>
        <w:t>in alio.</w:t>
      </w:r>
      <w:r>
        <w:rPr>
          <w:b w:val="0"/>
          <w:i w:val="0"/>
        </w:rPr>
        <w:t xml:space="preserve"> </w:t>
      </w:r>
      <w:hyperlink w:anchor="latin-record-0611">
        <w:r>
          <w:rPr>
            <w:color w:val="000000"/>
          </w:rPr>
          <w:t xml:space="preserve">in se / in alio / in multis</w:t>
        </w:r>
      </w:hyperlink>
      <w:r>
        <w:rPr>
          <w:b w:val="0"/>
          <w:i w:val="0"/>
        </w:rPr>
        <w:t>.</w:t>
      </w:r>
    </w:p>
    <w:p>
      <w:pPr>
        <w:widowControl/>
      </w:pPr>
      <w:r>
        <w:rPr>
          <w:b/>
          <w:i w:val="0"/>
        </w:rPr>
        <w:t>In circulum.</w:t>
      </w:r>
      <w:r>
        <w:rPr>
          <w:b w:val="0"/>
          <w:i w:val="0"/>
        </w:rPr>
        <w:t xml:space="preserve"> </w:t>
      </w:r>
      <w:hyperlink w:anchor="latin-record-1081">
        <w:r>
          <w:rPr>
            <w:color w:val="000000"/>
          </w:rPr>
          <w:t xml:space="preserve">rectum; obliquum; circulus</w:t>
        </w:r>
      </w:hyperlink>
      <w:r>
        <w:rPr>
          <w:b w:val="0"/>
          <w:i w:val="0"/>
        </w:rPr>
        <w:t>.</w:t>
      </w:r>
    </w:p>
    <w:p>
      <w:pPr>
        <w:widowControl/>
      </w:pPr>
      <w:r>
        <w:rPr>
          <w:b/>
          <w:i w:val="0"/>
        </w:rPr>
        <w:t>in deteriorem commutetur essentiam.</w:t>
      </w:r>
      <w:r>
        <w:rPr>
          <w:b w:val="0"/>
          <w:i w:val="0"/>
        </w:rPr>
        <w:t xml:space="preserve"> </w:t>
      </w:r>
      <w:hyperlink w:anchor="latin-record-0609">
        <w:r>
          <w:rPr>
            <w:color w:val="000000"/>
          </w:rPr>
          <w:t xml:space="preserve">in deteriorem essentiam</w:t>
        </w:r>
      </w:hyperlink>
      <w:r>
        <w:rPr>
          <w:b w:val="0"/>
          <w:i w:val="0"/>
        </w:rPr>
        <w:t>.</w:t>
      </w:r>
    </w:p>
    <w:p>
      <w:pPr>
        <w:widowControl/>
      </w:pPr>
      <w:r>
        <w:rPr>
          <w:b/>
          <w:i w:val="0"/>
        </w:rPr>
        <w:t>in eodem loco.</w:t>
      </w:r>
      <w:r>
        <w:rPr>
          <w:b w:val="0"/>
          <w:i w:val="0"/>
        </w:rPr>
        <w:t xml:space="preserve"> </w:t>
      </w:r>
      <w:hyperlink w:anchor="latin-record-0043">
        <w:r>
          <w:rPr>
            <w:color w:val="000000"/>
          </w:rPr>
          <w:t xml:space="preserve">aequare in loco</w:t>
        </w:r>
      </w:hyperlink>
      <w:r>
        <w:rPr>
          <w:b w:val="0"/>
          <w:i w:val="0"/>
        </w:rPr>
        <w:t>.</w:t>
      </w:r>
    </w:p>
    <w:p>
      <w:pPr>
        <w:widowControl/>
      </w:pPr>
      <w:r>
        <w:rPr>
          <w:b/>
          <w:i w:val="0"/>
        </w:rPr>
        <w:t>in infinitum.</w:t>
      </w:r>
      <w:r>
        <w:rPr>
          <w:b w:val="0"/>
          <w:i w:val="0"/>
        </w:rPr>
        <w:t xml:space="preserve"> </w:t>
      </w:r>
      <w:hyperlink w:anchor="latin-record-1007">
        <w:r>
          <w:rPr>
            <w:color w:val="000000"/>
          </w:rPr>
          <w:t xml:space="preserve">progressio in infinitum</w:t>
        </w:r>
      </w:hyperlink>
      <w:r>
        <w:rPr>
          <w:b w:val="0"/>
          <w:i w:val="0"/>
        </w:rPr>
        <w:t>.</w:t>
      </w:r>
    </w:p>
    <w:p>
      <w:pPr>
        <w:widowControl/>
      </w:pPr>
      <w:r>
        <w:rPr>
          <w:b/>
          <w:i w:val="0"/>
        </w:rPr>
        <w:t>in multis.</w:t>
      </w:r>
      <w:r>
        <w:rPr>
          <w:b w:val="0"/>
          <w:i w:val="0"/>
        </w:rPr>
        <w:t xml:space="preserve"> </w:t>
      </w:r>
      <w:hyperlink w:anchor="latin-record-0611">
        <w:r>
          <w:rPr>
            <w:color w:val="000000"/>
          </w:rPr>
          <w:t xml:space="preserve">in se / in alio / in multis</w:t>
        </w:r>
      </w:hyperlink>
      <w:r>
        <w:rPr>
          <w:b w:val="0"/>
          <w:i w:val="0"/>
        </w:rPr>
        <w:t>.</w:t>
      </w:r>
    </w:p>
    <w:p>
      <w:pPr>
        <w:widowControl/>
      </w:pPr>
      <w:r>
        <w:rPr>
          <w:b/>
          <w:i w:val="0"/>
        </w:rPr>
        <w:t>in natura finita.</w:t>
      </w:r>
      <w:r>
        <w:rPr>
          <w:b w:val="0"/>
          <w:i w:val="0"/>
        </w:rPr>
        <w:t xml:space="preserve"> </w:t>
      </w:r>
      <w:hyperlink w:anchor="latin-record-0493">
        <w:r>
          <w:rPr>
            <w:color w:val="000000"/>
          </w:rPr>
          <w:t xml:space="preserve">finita natura</w:t>
        </w:r>
      </w:hyperlink>
      <w:r>
        <w:rPr>
          <w:b w:val="0"/>
          <w:i w:val="0"/>
        </w:rPr>
        <w:t>.</w:t>
      </w:r>
    </w:p>
    <w:p>
      <w:pPr>
        <w:widowControl/>
      </w:pPr>
      <w:r>
        <w:rPr>
          <w:b/>
          <w:i w:val="0"/>
        </w:rPr>
        <w:t>in nihil.</w:t>
      </w:r>
      <w:r>
        <w:rPr>
          <w:b w:val="0"/>
          <w:i w:val="0"/>
        </w:rPr>
        <w:t xml:space="preserve"> </w:t>
      </w:r>
      <w:hyperlink w:anchor="latin-record-0610">
        <w:r>
          <w:rPr>
            <w:color w:val="000000"/>
          </w:rPr>
          <w:t xml:space="preserve">in nihilum</w:t>
        </w:r>
      </w:hyperlink>
      <w:r>
        <w:rPr>
          <w:b w:val="0"/>
          <w:i w:val="0"/>
        </w:rPr>
        <w:t>.</w:t>
      </w:r>
    </w:p>
    <w:p>
      <w:pPr>
        <w:widowControl/>
      </w:pPr>
      <w:r>
        <w:rPr>
          <w:b/>
          <w:i w:val="0"/>
        </w:rPr>
        <w:t>In nihilum.</w:t>
      </w:r>
      <w:r>
        <w:rPr>
          <w:b w:val="0"/>
          <w:i w:val="0"/>
        </w:rPr>
        <w:t xml:space="preserve"> </w:t>
      </w:r>
      <w:hyperlink w:anchor="latin-record-0610">
        <w:r>
          <w:rPr>
            <w:color w:val="000000"/>
          </w:rPr>
          <w:t xml:space="preserve">in nihilum</w:t>
        </w:r>
      </w:hyperlink>
      <w:r>
        <w:rPr>
          <w:b w:val="0"/>
          <w:i w:val="0"/>
        </w:rPr>
        <w:t>.</w:t>
      </w:r>
    </w:p>
    <w:p>
      <w:pPr>
        <w:widowControl/>
      </w:pPr>
      <w:r>
        <w:rPr>
          <w:b/>
          <w:i w:val="0"/>
        </w:rPr>
        <w:t>in nihilum.</w:t>
      </w:r>
      <w:r>
        <w:rPr>
          <w:b w:val="0"/>
          <w:i w:val="0"/>
        </w:rPr>
        <w:t xml:space="preserve"> </w:t>
      </w:r>
      <w:hyperlink w:anchor="latin-record-0610">
        <w:r>
          <w:rPr>
            <w:color w:val="000000"/>
          </w:rPr>
          <w:t xml:space="preserve">in nihilum</w:t>
        </w:r>
      </w:hyperlink>
      <w:r>
        <w:rPr>
          <w:b w:val="0"/>
          <w:i w:val="0"/>
        </w:rPr>
        <w:t>.</w:t>
      </w:r>
    </w:p>
    <w:p>
      <w:pPr>
        <w:widowControl/>
      </w:pPr>
      <w:r>
        <w:rPr>
          <w:b/>
          <w:i w:val="0"/>
        </w:rPr>
        <w:t>In obliquum.</w:t>
      </w:r>
      <w:r>
        <w:rPr>
          <w:b w:val="0"/>
          <w:i w:val="0"/>
        </w:rPr>
        <w:t xml:space="preserve"> </w:t>
      </w:r>
      <w:hyperlink w:anchor="latin-record-1081">
        <w:r>
          <w:rPr>
            <w:color w:val="000000"/>
          </w:rPr>
          <w:t xml:space="preserve">rectum; obliquum; circulus</w:t>
        </w:r>
      </w:hyperlink>
      <w:r>
        <w:rPr>
          <w:b w:val="0"/>
          <w:i w:val="0"/>
        </w:rPr>
        <w:t>.</w:t>
      </w:r>
    </w:p>
    <w:p>
      <w:pPr>
        <w:widowControl/>
      </w:pPr>
      <w:r>
        <w:rPr>
          <w:b/>
          <w:i w:val="0"/>
        </w:rPr>
        <w:t>in plurimis.</w:t>
      </w:r>
      <w:r>
        <w:rPr>
          <w:b w:val="0"/>
          <w:i w:val="0"/>
        </w:rPr>
        <w:t xml:space="preserve"> </w:t>
      </w:r>
      <w:hyperlink w:anchor="latin-record-0962">
        <w:r>
          <w:rPr>
            <w:color w:val="000000"/>
          </w:rPr>
          <w:t xml:space="preserve">portiuncula; plurimi</w:t>
        </w:r>
      </w:hyperlink>
      <w:r>
        <w:rPr>
          <w:b w:val="0"/>
          <w:i w:val="0"/>
        </w:rPr>
        <w:t>.</w:t>
      </w:r>
    </w:p>
    <w:p>
      <w:pPr>
        <w:widowControl/>
      </w:pPr>
      <w:r>
        <w:rPr>
          <w:b/>
          <w:i w:val="0"/>
        </w:rPr>
        <w:t>in rectum.</w:t>
      </w:r>
      <w:r>
        <w:rPr>
          <w:b w:val="0"/>
          <w:i w:val="0"/>
        </w:rPr>
        <w:t xml:space="preserve"> </w:t>
      </w:r>
      <w:hyperlink w:anchor="latin-record-1081">
        <w:r>
          <w:rPr>
            <w:color w:val="000000"/>
          </w:rPr>
          <w:t xml:space="preserve">rectum; obliquum; circulus</w:t>
        </w:r>
      </w:hyperlink>
      <w:r>
        <w:rPr>
          <w:b w:val="0"/>
          <w:i w:val="0"/>
        </w:rPr>
        <w:t>.</w:t>
      </w:r>
    </w:p>
    <w:p>
      <w:pPr>
        <w:widowControl/>
      </w:pPr>
      <w:r>
        <w:rPr>
          <w:b/>
          <w:i w:val="0"/>
        </w:rPr>
        <w:t>in se.</w:t>
      </w:r>
      <w:r>
        <w:rPr>
          <w:b w:val="0"/>
          <w:i w:val="0"/>
        </w:rPr>
        <w:t xml:space="preserve"> </w:t>
      </w:r>
      <w:hyperlink w:anchor="latin-record-0452">
        <w:r>
          <w:rPr>
            <w:color w:val="000000"/>
          </w:rPr>
          <w:t xml:space="preserve">ex se / in se / per se</w:t>
        </w:r>
      </w:hyperlink>
      <w:r>
        <w:rPr>
          <w:b w:val="0"/>
          <w:i w:val="0"/>
        </w:rPr>
        <w:t>.</w:t>
      </w:r>
    </w:p>
    <w:p>
      <w:pPr>
        <w:widowControl/>
      </w:pPr>
      <w:r>
        <w:rPr>
          <w:b/>
          <w:i w:val="0"/>
        </w:rPr>
        <w:t>in se angelumve reflectitur.</w:t>
      </w:r>
      <w:r>
        <w:rPr>
          <w:b w:val="0"/>
          <w:i w:val="0"/>
        </w:rPr>
        <w:t xml:space="preserve"> </w:t>
      </w:r>
      <w:hyperlink w:anchor="latin-record-1089">
        <w:r>
          <w:rPr>
            <w:color w:val="000000"/>
          </w:rPr>
          <w:t xml:space="preserve">reflecti</w:t>
        </w:r>
      </w:hyperlink>
      <w:r>
        <w:rPr>
          <w:b w:val="0"/>
          <w:i w:val="0"/>
        </w:rPr>
        <w:t>.</w:t>
      </w:r>
    </w:p>
    <w:p>
      <w:pPr>
        <w:widowControl/>
      </w:pPr>
      <w:r>
        <w:rPr>
          <w:b/>
          <w:i w:val="0"/>
        </w:rPr>
        <w:t>in se ipsam considerandam reflectitur.</w:t>
      </w:r>
      <w:r>
        <w:rPr>
          <w:b w:val="0"/>
          <w:i w:val="0"/>
        </w:rPr>
        <w:t xml:space="preserve"> </w:t>
      </w:r>
      <w:hyperlink w:anchor="latin-record-1089">
        <w:r>
          <w:rPr>
            <w:color w:val="000000"/>
          </w:rPr>
          <w:t xml:space="preserve">reflecti</w:t>
        </w:r>
      </w:hyperlink>
      <w:r>
        <w:rPr>
          <w:b w:val="0"/>
          <w:i w:val="0"/>
        </w:rPr>
        <w:t>.</w:t>
      </w:r>
    </w:p>
    <w:p>
      <w:pPr>
        <w:widowControl/>
      </w:pPr>
      <w:r>
        <w:rPr>
          <w:b/>
          <w:i w:val="0"/>
        </w:rPr>
        <w:t>in se ipso.</w:t>
      </w:r>
      <w:r>
        <w:rPr>
          <w:b w:val="0"/>
          <w:i w:val="0"/>
        </w:rPr>
        <w:t xml:space="preserve"> </w:t>
      </w:r>
      <w:hyperlink w:anchor="latin-record-0611">
        <w:r>
          <w:rPr>
            <w:color w:val="000000"/>
          </w:rPr>
          <w:t xml:space="preserve">in se / in alio / in multis</w:t>
        </w:r>
      </w:hyperlink>
      <w:r>
        <w:rPr>
          <w:b w:val="0"/>
          <w:i w:val="0"/>
        </w:rPr>
        <w:t>.</w:t>
      </w:r>
    </w:p>
    <w:p>
      <w:pPr>
        <w:widowControl/>
      </w:pPr>
      <w:r>
        <w:rPr>
          <w:b/>
          <w:i w:val="0"/>
        </w:rPr>
        <w:t>in se recipere.</w:t>
      </w:r>
      <w:r>
        <w:rPr>
          <w:b w:val="0"/>
          <w:i w:val="0"/>
        </w:rPr>
        <w:t xml:space="preserve"> </w:t>
      </w:r>
      <w:hyperlink w:anchor="latin-record-1141">
        <w:r>
          <w:rPr>
            <w:color w:val="000000"/>
          </w:rPr>
          <w:t xml:space="preserve">se recipere</w:t>
        </w:r>
      </w:hyperlink>
      <w:r>
        <w:rPr>
          <w:b w:val="0"/>
          <w:i w:val="0"/>
        </w:rPr>
        <w:t>.</w:t>
      </w:r>
    </w:p>
    <w:p>
      <w:pPr>
        <w:widowControl/>
      </w:pPr>
      <w:r>
        <w:rPr>
          <w:b/>
          <w:i w:val="0"/>
        </w:rPr>
        <w:t>in seipsam se recipit.</w:t>
      </w:r>
      <w:r>
        <w:rPr>
          <w:b w:val="0"/>
          <w:i w:val="0"/>
        </w:rPr>
        <w:t xml:space="preserve"> </w:t>
      </w:r>
      <w:hyperlink w:anchor="latin-record-1141">
        <w:r>
          <w:rPr>
            <w:color w:val="000000"/>
          </w:rPr>
          <w:t xml:space="preserve">se recipere</w:t>
        </w:r>
      </w:hyperlink>
      <w:r>
        <w:rPr>
          <w:b w:val="0"/>
          <w:i w:val="0"/>
        </w:rPr>
        <w:t>.</w:t>
      </w:r>
    </w:p>
    <w:p>
      <w:pPr>
        <w:widowControl/>
      </w:pPr>
      <w:r>
        <w:rPr>
          <w:b/>
          <w:i w:val="0"/>
        </w:rPr>
        <w:t>in subiectum novum de vetere subiecto transire.</w:t>
      </w:r>
      <w:r>
        <w:rPr>
          <w:b w:val="0"/>
          <w:i w:val="0"/>
        </w:rPr>
        <w:t xml:space="preserve"> </w:t>
      </w:r>
      <w:hyperlink w:anchor="latin-record-0650">
        <w:r>
          <w:rPr>
            <w:color w:val="000000"/>
          </w:rPr>
          <w:t xml:space="preserve">insinuare; transire</w:t>
        </w:r>
      </w:hyperlink>
      <w:r>
        <w:rPr>
          <w:b w:val="0"/>
          <w:i w:val="0"/>
        </w:rPr>
        <w:t>.</w:t>
      </w:r>
    </w:p>
    <w:p>
      <w:pPr>
        <w:widowControl/>
      </w:pPr>
      <w:r>
        <w:rPr>
          <w:b/>
          <w:i w:val="0"/>
        </w:rPr>
        <w:t>inanime.</w:t>
      </w:r>
      <w:r>
        <w:rPr>
          <w:b w:val="0"/>
          <w:i w:val="0"/>
        </w:rPr>
        <w:t xml:space="preserve"> </w:t>
      </w:r>
      <w:hyperlink w:anchor="latin-record-0103">
        <w:r>
          <w:rPr>
            <w:color w:val="000000"/>
          </w:rPr>
          <w:t xml:space="preserve">animatus; inanimis</w:t>
        </w:r>
      </w:hyperlink>
      <w:r>
        <w:rPr>
          <w:b w:val="0"/>
          <w:i w:val="0"/>
        </w:rPr>
        <w:t xml:space="preserve">; </w:t>
      </w:r>
      <w:hyperlink w:anchor="latin-record-0612">
        <w:r>
          <w:rPr>
            <w:color w:val="000000"/>
          </w:rPr>
          <w:t xml:space="preserve">inanimis / mortuus</w:t>
        </w:r>
      </w:hyperlink>
      <w:r>
        <w:rPr>
          <w:b w:val="0"/>
          <w:i w:val="0"/>
        </w:rPr>
        <w:t>.</w:t>
      </w:r>
    </w:p>
    <w:p>
      <w:pPr>
        <w:widowControl/>
      </w:pPr>
      <w:r>
        <w:rPr>
          <w:b/>
          <w:i w:val="0"/>
        </w:rPr>
        <w:t>inanimis.</w:t>
      </w:r>
      <w:r>
        <w:rPr>
          <w:b w:val="0"/>
          <w:i w:val="0"/>
        </w:rPr>
        <w:t xml:space="preserve"> </w:t>
      </w:r>
      <w:hyperlink w:anchor="latin-record-0103">
        <w:r>
          <w:rPr>
            <w:color w:val="000000"/>
          </w:rPr>
          <w:t xml:space="preserve">animatus; inanimis</w:t>
        </w:r>
      </w:hyperlink>
      <w:r>
        <w:rPr>
          <w:b w:val="0"/>
          <w:i w:val="0"/>
        </w:rPr>
        <w:t>.</w:t>
      </w:r>
    </w:p>
    <w:p>
      <w:pPr>
        <w:widowControl/>
      </w:pPr>
      <w:r>
        <w:rPr>
          <w:b/>
          <w:i w:val="0"/>
        </w:rPr>
        <w:t>inchoatione.</w:t>
      </w:r>
      <w:r>
        <w:rPr>
          <w:b w:val="0"/>
          <w:i w:val="0"/>
        </w:rPr>
        <w:t xml:space="preserve"> </w:t>
      </w:r>
      <w:hyperlink w:anchor="latin-record-0613">
        <w:r>
          <w:rPr>
            <w:color w:val="000000"/>
          </w:rPr>
          <w:t xml:space="preserve">inchoatio</w:t>
        </w:r>
      </w:hyperlink>
      <w:r>
        <w:rPr>
          <w:b w:val="0"/>
          <w:i w:val="0"/>
        </w:rPr>
        <w:t>.</w:t>
      </w:r>
    </w:p>
    <w:p>
      <w:pPr>
        <w:widowControl/>
      </w:pPr>
      <w:r>
        <w:rPr>
          <w:b/>
          <w:i w:val="0"/>
        </w:rPr>
        <w:t>incitante.</w:t>
      </w:r>
      <w:r>
        <w:rPr>
          <w:b w:val="0"/>
          <w:i w:val="0"/>
        </w:rPr>
        <w:t xml:space="preserve"> </w:t>
      </w:r>
      <w:hyperlink w:anchor="latin-record-0614">
        <w:r>
          <w:rPr>
            <w:color w:val="000000"/>
          </w:rPr>
          <w:t xml:space="preserve">incitare</w:t>
        </w:r>
      </w:hyperlink>
      <w:r>
        <w:rPr>
          <w:b w:val="0"/>
          <w:i w:val="0"/>
        </w:rPr>
        <w:t>.</w:t>
      </w:r>
    </w:p>
    <w:p>
      <w:pPr>
        <w:widowControl/>
      </w:pPr>
      <w:r>
        <w:rPr>
          <w:b/>
          <w:i w:val="0"/>
        </w:rPr>
        <w:t>inclinationem.</w:t>
      </w:r>
      <w:r>
        <w:rPr>
          <w:b w:val="0"/>
          <w:i w:val="0"/>
        </w:rPr>
        <w:t xml:space="preserve"> </w:t>
      </w:r>
      <w:hyperlink w:anchor="latin-record-0615">
        <w:r>
          <w:rPr>
            <w:color w:val="000000"/>
          </w:rPr>
          <w:t xml:space="preserve">inclinari</w:t>
        </w:r>
      </w:hyperlink>
      <w:r>
        <w:rPr>
          <w:b w:val="0"/>
          <w:i w:val="0"/>
        </w:rPr>
        <w:t>.</w:t>
      </w:r>
    </w:p>
    <w:p>
      <w:pPr>
        <w:widowControl/>
      </w:pPr>
      <w:r>
        <w:rPr>
          <w:b/>
          <w:i w:val="0"/>
        </w:rPr>
        <w:t>inclinatur.</w:t>
      </w:r>
      <w:r>
        <w:rPr>
          <w:b w:val="0"/>
          <w:i w:val="0"/>
        </w:rPr>
        <w:t xml:space="preserve"> </w:t>
      </w:r>
      <w:hyperlink w:anchor="latin-record-0615">
        <w:r>
          <w:rPr>
            <w:color w:val="000000"/>
          </w:rPr>
          <w:t xml:space="preserve">inclinari</w:t>
        </w:r>
      </w:hyperlink>
      <w:r>
        <w:rPr>
          <w:b w:val="0"/>
          <w:i w:val="0"/>
        </w:rPr>
        <w:t>.</w:t>
      </w:r>
    </w:p>
    <w:p>
      <w:pPr>
        <w:widowControl/>
      </w:pPr>
      <w:r>
        <w:rPr>
          <w:b/>
          <w:i w:val="0"/>
        </w:rPr>
        <w:t>inclinetur.</w:t>
      </w:r>
      <w:r>
        <w:rPr>
          <w:b w:val="0"/>
          <w:i w:val="0"/>
        </w:rPr>
        <w:t xml:space="preserve"> </w:t>
      </w:r>
      <w:hyperlink w:anchor="latin-record-0615">
        <w:r>
          <w:rPr>
            <w:color w:val="000000"/>
          </w:rPr>
          <w:t xml:space="preserve">inclinari</w:t>
        </w:r>
      </w:hyperlink>
      <w:r>
        <w:rPr>
          <w:b w:val="0"/>
          <w:i w:val="0"/>
        </w:rPr>
        <w:t>.</w:t>
      </w:r>
    </w:p>
    <w:p>
      <w:pPr>
        <w:widowControl/>
      </w:pPr>
      <w:r>
        <w:rPr>
          <w:b/>
          <w:i w:val="0"/>
        </w:rPr>
        <w:t>incohatione.</w:t>
      </w:r>
      <w:r>
        <w:rPr>
          <w:b w:val="0"/>
          <w:i w:val="0"/>
        </w:rPr>
        <w:t xml:space="preserve"> </w:t>
      </w:r>
      <w:hyperlink w:anchor="latin-record-1152">
        <w:r>
          <w:rPr>
            <w:color w:val="000000"/>
          </w:rPr>
          <w:t xml:space="preserve">semen; incohatio; proportio</w:t>
        </w:r>
      </w:hyperlink>
      <w:r>
        <w:rPr>
          <w:b w:val="0"/>
          <w:i w:val="0"/>
        </w:rPr>
        <w:t>.</w:t>
      </w:r>
    </w:p>
    <w:p>
      <w:pPr>
        <w:widowControl/>
      </w:pPr>
      <w:r>
        <w:rPr>
          <w:b/>
          <w:i w:val="0"/>
        </w:rPr>
        <w:t>incolumes.</w:t>
      </w:r>
      <w:r>
        <w:rPr>
          <w:b w:val="0"/>
          <w:i w:val="0"/>
        </w:rPr>
        <w:t xml:space="preserve"> </w:t>
      </w:r>
      <w:hyperlink w:anchor="latin-record-0616">
        <w:r>
          <w:rPr>
            <w:color w:val="000000"/>
          </w:rPr>
          <w:t xml:space="preserve">incolumis; servare</w:t>
        </w:r>
      </w:hyperlink>
      <w:r>
        <w:rPr>
          <w:b w:val="0"/>
          <w:i w:val="0"/>
        </w:rPr>
        <w:t>.</w:t>
      </w:r>
    </w:p>
    <w:p>
      <w:pPr>
        <w:widowControl/>
      </w:pPr>
      <w:r>
        <w:rPr>
          <w:b/>
          <w:i w:val="0"/>
        </w:rPr>
        <w:t>incommutabilia.</w:t>
      </w:r>
      <w:r>
        <w:rPr>
          <w:b w:val="0"/>
          <w:i w:val="0"/>
        </w:rPr>
        <w:t xml:space="preserve"> </w:t>
      </w:r>
      <w:hyperlink w:anchor="latin-record-0617">
        <w:r>
          <w:rPr>
            <w:color w:val="000000"/>
          </w:rPr>
          <w:t xml:space="preserve">incommutabilis / immutabilis</w:t>
        </w:r>
      </w:hyperlink>
      <w:r>
        <w:rPr>
          <w:b w:val="0"/>
          <w:i w:val="0"/>
        </w:rPr>
        <w:t>.</w:t>
      </w:r>
    </w:p>
    <w:p>
      <w:pPr>
        <w:widowControl/>
      </w:pPr>
      <w:r>
        <w:rPr>
          <w:b/>
          <w:i w:val="0"/>
        </w:rPr>
        <w:t>incommutabiliter.</w:t>
      </w:r>
      <w:r>
        <w:rPr>
          <w:b w:val="0"/>
          <w:i w:val="0"/>
        </w:rPr>
        <w:t xml:space="preserve"> </w:t>
      </w:r>
      <w:hyperlink w:anchor="latin-record-0617">
        <w:r>
          <w:rPr>
            <w:color w:val="000000"/>
          </w:rPr>
          <w:t xml:space="preserve">incommutabilis / immutabilis</w:t>
        </w:r>
      </w:hyperlink>
      <w:r>
        <w:rPr>
          <w:b w:val="0"/>
          <w:i w:val="0"/>
        </w:rPr>
        <w:t>.</w:t>
      </w:r>
    </w:p>
    <w:p>
      <w:pPr>
        <w:widowControl/>
      </w:pPr>
      <w:r>
        <w:rPr>
          <w:b/>
          <w:i w:val="0"/>
        </w:rPr>
        <w:t>incongruis.</w:t>
      </w:r>
      <w:r>
        <w:rPr>
          <w:b w:val="0"/>
          <w:i w:val="0"/>
        </w:rPr>
        <w:t xml:space="preserve"> </w:t>
      </w:r>
      <w:hyperlink w:anchor="latin-record-0295">
        <w:r>
          <w:rPr>
            <w:color w:val="000000"/>
          </w:rPr>
          <w:t xml:space="preserve">congruus / incongruus / obsistere</w:t>
        </w:r>
      </w:hyperlink>
      <w:r>
        <w:rPr>
          <w:b w:val="0"/>
          <w:i w:val="0"/>
        </w:rPr>
        <w:t>.</w:t>
      </w:r>
    </w:p>
    <w:p>
      <w:pPr>
        <w:widowControl/>
      </w:pPr>
      <w:r>
        <w:rPr>
          <w:b/>
          <w:i w:val="0"/>
        </w:rPr>
        <w:t>inconvenientiam.</w:t>
      </w:r>
      <w:r>
        <w:rPr>
          <w:b w:val="0"/>
          <w:i w:val="0"/>
        </w:rPr>
        <w:t xml:space="preserve"> </w:t>
      </w:r>
      <w:hyperlink w:anchor="latin-record-0327">
        <w:r>
          <w:rPr>
            <w:color w:val="000000"/>
          </w:rPr>
          <w:t xml:space="preserve">convenientia / inconvenientia</w:t>
        </w:r>
      </w:hyperlink>
      <w:r>
        <w:rPr>
          <w:b w:val="0"/>
          <w:i w:val="0"/>
        </w:rPr>
        <w:t>.</w:t>
      </w:r>
    </w:p>
    <w:p>
      <w:pPr>
        <w:widowControl/>
      </w:pPr>
      <w:r>
        <w:rPr>
          <w:b/>
          <w:i w:val="0"/>
        </w:rPr>
        <w:t>incorporale.</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incorporalem.</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incorporales.</w:t>
      </w:r>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incorporali.</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incorporalia.</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incorporalis.</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incorporalium.</w:t>
      </w:r>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incorporea.</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incorporealem.</w:t>
      </w:r>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incorpoream.</w:t>
      </w:r>
      <w:r>
        <w:rPr>
          <w:b w:val="0"/>
          <w:i w:val="0"/>
        </w:rPr>
        <w:t xml:space="preserve"> </w:t>
      </w:r>
      <w:hyperlink w:anchor="latin-record-0336">
        <w:r>
          <w:rPr>
            <w:color w:val="000000"/>
          </w:rPr>
          <w:t xml:space="preserve">corporeus; corporalis; incorporeus</w:t>
        </w:r>
      </w:hyperlink>
      <w:r>
        <w:rPr>
          <w:b w:val="0"/>
          <w:i w:val="0"/>
        </w:rPr>
        <w:t>.</w:t>
      </w:r>
    </w:p>
    <w:p>
      <w:pPr>
        <w:widowControl/>
      </w:pPr>
      <w:r>
        <w:rPr>
          <w:b/>
          <w:i w:val="0"/>
        </w:rPr>
        <w:t>incorporeas.</w:t>
      </w:r>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incorporeis.</w:t>
      </w:r>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incorporeis copulabit.</w:t>
      </w:r>
      <w:r>
        <w:rPr>
          <w:b w:val="0"/>
          <w:i w:val="0"/>
        </w:rPr>
        <w:t xml:space="preserve"> </w:t>
      </w:r>
      <w:hyperlink w:anchor="latin-record-0396">
        <w:r>
          <w:rPr>
            <w:color w:val="000000"/>
          </w:rPr>
          <w:t xml:space="preserve">disiungere / copulare incorporeis</w:t>
        </w:r>
      </w:hyperlink>
      <w:r>
        <w:rPr>
          <w:b w:val="0"/>
          <w:i w:val="0"/>
        </w:rPr>
        <w:t>.</w:t>
      </w:r>
    </w:p>
    <w:p>
      <w:pPr>
        <w:widowControl/>
      </w:pPr>
      <w:r>
        <w:rPr>
          <w:b/>
          <w:i w:val="0"/>
        </w:rPr>
        <w:t>incorporeo auctore.</w:t>
      </w:r>
      <w:r>
        <w:rPr>
          <w:b w:val="0"/>
          <w:i w:val="0"/>
        </w:rPr>
        <w:t xml:space="preserve"> </w:t>
      </w:r>
      <w:hyperlink w:anchor="latin-record-0148">
        <w:r>
          <w:rPr>
            <w:color w:val="000000"/>
          </w:rPr>
          <w:t xml:space="preserve">auctor; producere</w:t>
        </w:r>
      </w:hyperlink>
      <w:r>
        <w:rPr>
          <w:b w:val="0"/>
          <w:i w:val="0"/>
        </w:rPr>
        <w:t>.</w:t>
      </w:r>
    </w:p>
    <w:p>
      <w:pPr>
        <w:widowControl/>
      </w:pPr>
      <w:r>
        <w:rPr>
          <w:b/>
          <w:i w:val="0"/>
        </w:rPr>
        <w:t>incorporeum.</w:t>
      </w:r>
      <w:r>
        <w:rPr>
          <w:b w:val="0"/>
          <w:i w:val="0"/>
        </w:rPr>
        <w:t xml:space="preserve"> </w:t>
      </w:r>
      <w:hyperlink w:anchor="latin-record-0336">
        <w:r>
          <w:rPr>
            <w:color w:val="000000"/>
          </w:rPr>
          <w:t xml:space="preserve">corporeus; corporalis; incorporeus</w:t>
        </w:r>
      </w:hyperlink>
      <w:r>
        <w:rPr>
          <w:b w:val="0"/>
          <w:i w:val="0"/>
        </w:rPr>
        <w:t xml:space="preserve">; </w:t>
      </w:r>
      <w:hyperlink w:anchor="latin-record-0618">
        <w:r>
          <w:rPr>
            <w:color w:val="000000"/>
          </w:rPr>
          <w:t xml:space="preserve">incorporeus / incorporalis</w:t>
        </w:r>
      </w:hyperlink>
      <w:r>
        <w:rPr>
          <w:b w:val="0"/>
          <w:i w:val="0"/>
        </w:rPr>
        <w:t>.</w:t>
      </w:r>
    </w:p>
    <w:p>
      <w:pPr>
        <w:widowControl/>
      </w:pPr>
      <w:r>
        <w:rPr>
          <w:b/>
          <w:i w:val="0"/>
        </w:rPr>
        <w:t>incremento.</w:t>
      </w:r>
      <w:r>
        <w:rPr>
          <w:b w:val="0"/>
          <w:i w:val="0"/>
        </w:rPr>
        <w:t xml:space="preserve"> </w:t>
      </w:r>
      <w:hyperlink w:anchor="latin-record-0149">
        <w:r>
          <w:rPr>
            <w:color w:val="000000"/>
          </w:rPr>
          <w:t xml:space="preserve">augere / augmentum / incrementum / decrementum</w:t>
        </w:r>
      </w:hyperlink>
      <w:r>
        <w:rPr>
          <w:b w:val="0"/>
          <w:i w:val="0"/>
        </w:rPr>
        <w:t>.</w:t>
      </w:r>
    </w:p>
    <w:p>
      <w:pPr>
        <w:widowControl/>
      </w:pPr>
      <w:r>
        <w:rPr>
          <w:b/>
          <w:i w:val="0"/>
        </w:rPr>
        <w:t>incrementum.</w:t>
      </w:r>
      <w:r>
        <w:rPr>
          <w:b w:val="0"/>
          <w:i w:val="0"/>
        </w:rPr>
        <w:t xml:space="preserve"> </w:t>
      </w:r>
      <w:hyperlink w:anchor="latin-record-0149">
        <w:r>
          <w:rPr>
            <w:color w:val="000000"/>
          </w:rPr>
          <w:t xml:space="preserve">augere / augmentum / incrementum / decrementum</w:t>
        </w:r>
      </w:hyperlink>
      <w:r>
        <w:rPr>
          <w:b w:val="0"/>
          <w:i w:val="0"/>
        </w:rPr>
        <w:t>.</w:t>
      </w:r>
    </w:p>
    <w:p>
      <w:pPr>
        <w:widowControl/>
      </w:pPr>
      <w:r>
        <w:rPr>
          <w:b/>
          <w:i w:val="0"/>
        </w:rPr>
        <w:t>indaginem.</w:t>
      </w:r>
      <w:r>
        <w:rPr>
          <w:b w:val="0"/>
          <w:i w:val="0"/>
        </w:rPr>
        <w:t xml:space="preserve"> </w:t>
      </w:r>
      <w:hyperlink w:anchor="latin-record-0709">
        <w:r>
          <w:rPr>
            <w:color w:val="000000"/>
          </w:rPr>
          <w:t xml:space="preserve">lepus / vestigium / indago</w:t>
        </w:r>
      </w:hyperlink>
      <w:r>
        <w:rPr>
          <w:b w:val="0"/>
          <w:i w:val="0"/>
        </w:rPr>
        <w:t>.</w:t>
      </w:r>
    </w:p>
    <w:p>
      <w:pPr>
        <w:widowControl/>
      </w:pPr>
      <w:r>
        <w:rPr>
          <w:b/>
          <w:i w:val="0"/>
        </w:rPr>
        <w:t>inde.</w:t>
      </w:r>
      <w:r>
        <w:rPr>
          <w:b w:val="0"/>
          <w:i w:val="0"/>
        </w:rPr>
        <w:t xml:space="preserve"> </w:t>
      </w:r>
      <w:hyperlink w:anchor="latin-record-1315">
        <w:r>
          <w:rPr>
            <w:color w:val="000000"/>
          </w:rPr>
          <w:t xml:space="preserve">unde / inde / illuc</w:t>
        </w:r>
      </w:hyperlink>
      <w:r>
        <w:rPr>
          <w:b w:val="0"/>
          <w:i w:val="0"/>
        </w:rPr>
        <w:t>.</w:t>
      </w:r>
    </w:p>
    <w:p>
      <w:pPr>
        <w:widowControl/>
      </w:pPr>
      <w:r>
        <w:rPr>
          <w:b/>
          <w:i w:val="0"/>
        </w:rPr>
        <w:t>indiciis.</w:t>
      </w:r>
      <w:r>
        <w:rPr>
          <w:b w:val="0"/>
          <w:i w:val="0"/>
        </w:rPr>
        <w:t xml:space="preserve"> </w:t>
      </w:r>
      <w:hyperlink w:anchor="latin-record-0619">
        <w:r>
          <w:rPr>
            <w:color w:val="000000"/>
          </w:rPr>
          <w:t xml:space="preserve">indicium / rimari</w:t>
        </w:r>
      </w:hyperlink>
      <w:r>
        <w:rPr>
          <w:b w:val="0"/>
          <w:i w:val="0"/>
        </w:rPr>
        <w:t>.</w:t>
      </w:r>
    </w:p>
    <w:p>
      <w:pPr>
        <w:widowControl/>
      </w:pPr>
      <w:r>
        <w:rPr>
          <w:b/>
          <w:i w:val="0"/>
        </w:rPr>
        <w:t>indifferens.</w:t>
      </w:r>
      <w:r>
        <w:rPr>
          <w:b w:val="0"/>
          <w:i w:val="0"/>
        </w:rPr>
        <w:t xml:space="preserve"> </w:t>
      </w:r>
      <w:hyperlink w:anchor="latin-record-0620">
        <w:r>
          <w:rPr>
            <w:color w:val="000000"/>
          </w:rPr>
          <w:t xml:space="preserve">indifferens</w:t>
        </w:r>
      </w:hyperlink>
      <w:r>
        <w:rPr>
          <w:b w:val="0"/>
          <w:i w:val="0"/>
        </w:rPr>
        <w:t>.</w:t>
      </w:r>
    </w:p>
    <w:p>
      <w:pPr>
        <w:widowControl/>
      </w:pPr>
      <w:r>
        <w:rPr>
          <w:b/>
          <w:i w:val="0"/>
        </w:rPr>
        <w:t>indifferens ad utrumque.</w:t>
      </w:r>
      <w:r>
        <w:rPr>
          <w:b w:val="0"/>
          <w:i w:val="0"/>
        </w:rPr>
        <w:t xml:space="preserve"> </w:t>
      </w:r>
      <w:hyperlink w:anchor="latin-record-0620">
        <w:r>
          <w:rPr>
            <w:color w:val="000000"/>
          </w:rPr>
          <w:t xml:space="preserve">indifferens</w:t>
        </w:r>
      </w:hyperlink>
      <w:r>
        <w:rPr>
          <w:b w:val="0"/>
          <w:i w:val="0"/>
        </w:rPr>
        <w:t>.</w:t>
      </w:r>
    </w:p>
    <w:p>
      <w:pPr>
        <w:widowControl/>
      </w:pPr>
      <w:r>
        <w:rPr>
          <w:b/>
          <w:i w:val="0"/>
        </w:rPr>
        <w:t>indigeat.</w:t>
      </w:r>
      <w:r>
        <w:rPr>
          <w:b w:val="0"/>
          <w:i w:val="0"/>
        </w:rPr>
        <w:t xml:space="preserve"> </w:t>
      </w:r>
      <w:hyperlink w:anchor="latin-record-1256">
        <w:r>
          <w:rPr>
            <w:color w:val="000000"/>
          </w:rPr>
          <w:t xml:space="preserve">sufficientia / indigere</w:t>
        </w:r>
      </w:hyperlink>
      <w:r>
        <w:rPr>
          <w:b w:val="0"/>
          <w:i w:val="0"/>
        </w:rPr>
        <w:t>.</w:t>
      </w:r>
    </w:p>
    <w:p>
      <w:pPr>
        <w:widowControl/>
      </w:pPr>
      <w:r>
        <w:rPr>
          <w:b/>
          <w:i w:val="0"/>
        </w:rPr>
        <w:t>indigent.</w:t>
      </w:r>
      <w:r>
        <w:rPr>
          <w:b w:val="0"/>
          <w:i w:val="0"/>
        </w:rPr>
        <w:t xml:space="preserve"> </w:t>
      </w:r>
      <w:hyperlink w:anchor="latin-record-0428">
        <w:r>
          <w:rPr>
            <w:color w:val="000000"/>
          </w:rPr>
          <w:t xml:space="preserve">egenus / egere / indigere</w:t>
        </w:r>
      </w:hyperlink>
      <w:r>
        <w:rPr>
          <w:b w:val="0"/>
          <w:i w:val="0"/>
        </w:rPr>
        <w:t>.</w:t>
      </w:r>
    </w:p>
    <w:p>
      <w:pPr>
        <w:widowControl/>
      </w:pPr>
      <w:r>
        <w:rPr>
          <w:b/>
          <w:i w:val="0"/>
        </w:rPr>
        <w:t>indigentiam.</w:t>
      </w:r>
      <w:r>
        <w:rPr>
          <w:b w:val="0"/>
          <w:i w:val="0"/>
        </w:rPr>
        <w:t xml:space="preserve"> </w:t>
      </w:r>
      <w:hyperlink w:anchor="latin-record-1271">
        <w:r>
          <w:rPr>
            <w:color w:val="000000"/>
          </w:rPr>
          <w:t xml:space="preserve">sustentaculum / inquinatio</w:t>
        </w:r>
      </w:hyperlink>
      <w:r>
        <w:rPr>
          <w:b w:val="0"/>
          <w:i w:val="0"/>
        </w:rPr>
        <w:t>.</w:t>
      </w:r>
    </w:p>
    <w:p>
      <w:pPr>
        <w:widowControl/>
      </w:pPr>
      <w:r>
        <w:rPr>
          <w:b/>
          <w:i w:val="0"/>
        </w:rPr>
        <w:t>indigere.</w:t>
      </w:r>
      <w:r>
        <w:rPr>
          <w:b w:val="0"/>
          <w:i w:val="0"/>
        </w:rPr>
        <w:t xml:space="preserve"> </w:t>
      </w:r>
      <w:hyperlink w:anchor="latin-record-1256">
        <w:r>
          <w:rPr>
            <w:color w:val="000000"/>
          </w:rPr>
          <w:t xml:space="preserve">sufficientia / indigere</w:t>
        </w:r>
      </w:hyperlink>
      <w:r>
        <w:rPr>
          <w:b w:val="0"/>
          <w:i w:val="0"/>
        </w:rPr>
        <w:t>.</w:t>
      </w:r>
    </w:p>
    <w:p>
      <w:pPr>
        <w:widowControl/>
      </w:pPr>
      <w:r>
        <w:rPr>
          <w:b/>
          <w:i w:val="0"/>
        </w:rPr>
        <w:t>indiget.</w:t>
      </w:r>
      <w:r>
        <w:rPr>
          <w:b w:val="0"/>
          <w:i w:val="0"/>
        </w:rPr>
        <w:t xml:space="preserve"> </w:t>
      </w:r>
      <w:hyperlink w:anchor="latin-record-0428">
        <w:r>
          <w:rPr>
            <w:color w:val="000000"/>
          </w:rPr>
          <w:t xml:space="preserve">egenus / egere / indigere</w:t>
        </w:r>
      </w:hyperlink>
      <w:r>
        <w:rPr>
          <w:b w:val="0"/>
          <w:i w:val="0"/>
        </w:rPr>
        <w:t xml:space="preserve">; </w:t>
      </w:r>
      <w:hyperlink w:anchor="latin-record-0429">
        <w:r>
          <w:rPr>
            <w:color w:val="000000"/>
          </w:rPr>
          <w:t xml:space="preserve">egere; pati</w:t>
        </w:r>
      </w:hyperlink>
      <w:r>
        <w:rPr>
          <w:b w:val="0"/>
          <w:i w:val="0"/>
        </w:rPr>
        <w:t xml:space="preserve">; </w:t>
      </w:r>
      <w:hyperlink w:anchor="latin-record-1256">
        <w:r>
          <w:rPr>
            <w:color w:val="000000"/>
          </w:rPr>
          <w:t xml:space="preserve">sufficientia / indigere</w:t>
        </w:r>
      </w:hyperlink>
      <w:r>
        <w:rPr>
          <w:b w:val="0"/>
          <w:i w:val="0"/>
        </w:rPr>
        <w:t>.</w:t>
      </w:r>
    </w:p>
    <w:p>
      <w:pPr>
        <w:widowControl/>
      </w:pPr>
      <w:r>
        <w:rPr>
          <w:b/>
          <w:i w:val="0"/>
        </w:rPr>
        <w:t>indigus.</w:t>
      </w:r>
      <w:r>
        <w:rPr>
          <w:b w:val="0"/>
          <w:i w:val="0"/>
        </w:rPr>
        <w:t xml:space="preserve"> </w:t>
      </w:r>
      <w:hyperlink w:anchor="latin-record-0428">
        <w:r>
          <w:rPr>
            <w:color w:val="000000"/>
          </w:rPr>
          <w:t xml:space="preserve">egenus / egere / indigere</w:t>
        </w:r>
      </w:hyperlink>
      <w:r>
        <w:rPr>
          <w:b w:val="0"/>
          <w:i w:val="0"/>
        </w:rPr>
        <w:t>.</w:t>
      </w:r>
    </w:p>
    <w:p>
      <w:pPr>
        <w:widowControl/>
      </w:pPr>
      <w:r>
        <w:rPr>
          <w:b/>
          <w:i w:val="0"/>
        </w:rPr>
        <w:t>indissolubile.</w:t>
      </w:r>
      <w:r>
        <w:rPr>
          <w:b w:val="0"/>
          <w:i w:val="0"/>
        </w:rPr>
        <w:t xml:space="preserve"> </w:t>
      </w:r>
      <w:hyperlink w:anchor="latin-record-0621">
        <w:r>
          <w:rPr>
            <w:color w:val="000000"/>
          </w:rPr>
          <w:t xml:space="preserve">indissolubilis</w:t>
        </w:r>
      </w:hyperlink>
      <w:r>
        <w:rPr>
          <w:b w:val="0"/>
          <w:i w:val="0"/>
        </w:rPr>
        <w:t>.</w:t>
      </w:r>
    </w:p>
    <w:p>
      <w:pPr>
        <w:widowControl/>
      </w:pPr>
      <w:r>
        <w:rPr>
          <w:b/>
          <w:i w:val="0"/>
        </w:rPr>
        <w:t>indissolubilem.</w:t>
      </w:r>
      <w:r>
        <w:rPr>
          <w:b w:val="0"/>
          <w:i w:val="0"/>
        </w:rPr>
        <w:t xml:space="preserve"> </w:t>
      </w:r>
      <w:hyperlink w:anchor="latin-record-0621">
        <w:r>
          <w:rPr>
            <w:color w:val="000000"/>
          </w:rPr>
          <w:t xml:space="preserve">indissolubilis</w:t>
        </w:r>
      </w:hyperlink>
      <w:r>
        <w:rPr>
          <w:b w:val="0"/>
          <w:i w:val="0"/>
        </w:rPr>
        <w:t>.</w:t>
      </w:r>
    </w:p>
    <w:p>
      <w:pPr>
        <w:widowControl/>
      </w:pPr>
      <w:r>
        <w:rPr>
          <w:b/>
          <w:i w:val="0"/>
        </w:rPr>
        <w:t>indissolubilis.</w:t>
      </w:r>
      <w:r>
        <w:rPr>
          <w:b w:val="0"/>
          <w:i w:val="0"/>
        </w:rPr>
        <w:t xml:space="preserve"> </w:t>
      </w:r>
      <w:hyperlink w:anchor="latin-record-0621">
        <w:r>
          <w:rPr>
            <w:color w:val="000000"/>
          </w:rPr>
          <w:t xml:space="preserve">indissolubilis</w:t>
        </w:r>
      </w:hyperlink>
      <w:r>
        <w:rPr>
          <w:b w:val="0"/>
          <w:i w:val="0"/>
        </w:rPr>
        <w:t>.</w:t>
      </w:r>
    </w:p>
    <w:p>
      <w:pPr>
        <w:widowControl/>
      </w:pPr>
      <w:r>
        <w:rPr>
          <w:b/>
          <w:i w:val="0"/>
        </w:rPr>
        <w:t>individua.</w:t>
      </w:r>
      <w:r>
        <w:rPr>
          <w:b w:val="0"/>
          <w:i w:val="0"/>
        </w:rPr>
        <w:t xml:space="preserve"> </w:t>
      </w:r>
      <w:hyperlink w:anchor="latin-record-0622">
        <w:r>
          <w:rPr>
            <w:color w:val="000000"/>
          </w:rPr>
          <w:t xml:space="preserve">individua; magnitudo</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w:t>
      </w:r>
    </w:p>
    <w:p>
      <w:pPr>
        <w:widowControl/>
      </w:pPr>
      <w:r>
        <w:rPr>
          <w:b/>
          <w:i w:val="0"/>
        </w:rPr>
        <w:t>Individua.</w:t>
      </w:r>
      <w:r>
        <w:rPr>
          <w:b w:val="0"/>
          <w:i w:val="0"/>
        </w:rPr>
        <w:t xml:space="preserve"> </w:t>
      </w:r>
      <w:hyperlink w:anchor="latin-record-0624">
        <w:r>
          <w:rPr>
            <w:color w:val="000000"/>
          </w:rPr>
          <w:t xml:space="preserve">individuus / indivisibilis</w:t>
        </w:r>
      </w:hyperlink>
      <w:r>
        <w:rPr>
          <w:b w:val="0"/>
          <w:i w:val="0"/>
        </w:rPr>
        <w:t>.</w:t>
      </w:r>
    </w:p>
    <w:p>
      <w:pPr>
        <w:widowControl/>
      </w:pPr>
      <w:r>
        <w:rPr>
          <w:b/>
          <w:i w:val="0"/>
        </w:rPr>
        <w:t>individuam.</w:t>
      </w:r>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w:t>
      </w:r>
    </w:p>
    <w:p>
      <w:pPr>
        <w:widowControl/>
      </w:pPr>
      <w:r>
        <w:rPr>
          <w:b/>
          <w:i w:val="0"/>
        </w:rPr>
        <w:t>individuamque.</w:t>
      </w:r>
      <w:r>
        <w:rPr>
          <w:b w:val="0"/>
          <w:i w:val="0"/>
        </w:rPr>
        <w:t xml:space="preserve"> </w:t>
      </w:r>
      <w:hyperlink w:anchor="latin-record-0624">
        <w:r>
          <w:rPr>
            <w:color w:val="000000"/>
          </w:rPr>
          <w:t xml:space="preserve">individuus / indivisibilis</w:t>
        </w:r>
      </w:hyperlink>
      <w:r>
        <w:rPr>
          <w:b w:val="0"/>
          <w:i w:val="0"/>
        </w:rPr>
        <w:t>.</w:t>
      </w:r>
    </w:p>
    <w:p>
      <w:pPr>
        <w:widowControl/>
      </w:pPr>
      <w:r>
        <w:rPr>
          <w:b/>
          <w:i w:val="0"/>
        </w:rPr>
        <w:t>individuas.</w:t>
      </w:r>
      <w:r>
        <w:rPr>
          <w:b w:val="0"/>
          <w:i w:val="0"/>
        </w:rPr>
        <w:t xml:space="preserve"> </w:t>
      </w:r>
      <w:hyperlink w:anchor="latin-record-0624">
        <w:r>
          <w:rPr>
            <w:color w:val="000000"/>
          </w:rPr>
          <w:t xml:space="preserve">individuus / indivisibilis</w:t>
        </w:r>
      </w:hyperlink>
      <w:r>
        <w:rPr>
          <w:b w:val="0"/>
          <w:i w:val="0"/>
        </w:rPr>
        <w:t>.</w:t>
      </w:r>
    </w:p>
    <w:p>
      <w:pPr>
        <w:widowControl/>
      </w:pPr>
      <w:r>
        <w:rPr>
          <w:b/>
          <w:i w:val="0"/>
        </w:rPr>
        <w:t>individuis.</w:t>
      </w:r>
      <w:r>
        <w:rPr>
          <w:b w:val="0"/>
          <w:i w:val="0"/>
        </w:rPr>
        <w:t xml:space="preserve"> </w:t>
      </w:r>
      <w:hyperlink w:anchor="latin-record-0624">
        <w:r>
          <w:rPr>
            <w:color w:val="000000"/>
          </w:rPr>
          <w:t xml:space="preserve">individuus / indivisibilis</w:t>
        </w:r>
      </w:hyperlink>
      <w:r>
        <w:rPr>
          <w:b w:val="0"/>
          <w:i w:val="0"/>
        </w:rPr>
        <w:t>.</w:t>
      </w:r>
    </w:p>
    <w:p>
      <w:pPr>
        <w:widowControl/>
      </w:pPr>
      <w:r>
        <w:rPr>
          <w:b/>
          <w:i w:val="0"/>
        </w:rPr>
        <w:t>individuum.</w:t>
      </w:r>
      <w:r>
        <w:rPr>
          <w:b w:val="0"/>
          <w:i w:val="0"/>
        </w:rPr>
        <w:t xml:space="preserve"> </w:t>
      </w:r>
      <w:hyperlink w:anchor="latin-record-0623">
        <w:r>
          <w:rPr>
            <w:color w:val="000000"/>
          </w:rPr>
          <w:t xml:space="preserve">individuum</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 xml:space="preserve">; </w:t>
      </w:r>
      <w:hyperlink w:anchor="latin-record-0626">
        <w:r>
          <w:rPr>
            <w:color w:val="000000"/>
          </w:rPr>
          <w:t xml:space="preserve">indivisibilis / individuus / partibilis</w:t>
        </w:r>
      </w:hyperlink>
      <w:r>
        <w:rPr>
          <w:b w:val="0"/>
          <w:i w:val="0"/>
        </w:rPr>
        <w:t>.</w:t>
      </w:r>
    </w:p>
    <w:p>
      <w:pPr>
        <w:widowControl/>
      </w:pPr>
      <w:r>
        <w:rPr>
          <w:b/>
          <w:i w:val="0"/>
        </w:rPr>
        <w:t>individuumque.</w:t>
      </w:r>
      <w:r>
        <w:rPr>
          <w:b w:val="0"/>
          <w:i w:val="0"/>
        </w:rPr>
        <w:t xml:space="preserve"> </w:t>
      </w:r>
      <w:hyperlink w:anchor="latin-record-0624">
        <w:r>
          <w:rPr>
            <w:color w:val="000000"/>
          </w:rPr>
          <w:t xml:space="preserve">individuus / indivisibilis</w:t>
        </w:r>
      </w:hyperlink>
      <w:r>
        <w:rPr>
          <w:b w:val="0"/>
          <w:i w:val="0"/>
        </w:rPr>
        <w:t>.</w:t>
      </w:r>
    </w:p>
    <w:p>
      <w:pPr>
        <w:widowControl/>
      </w:pPr>
      <w:r>
        <w:rPr>
          <w:b/>
          <w:i w:val="0"/>
        </w:rPr>
        <w:t>individuus.</w:t>
      </w:r>
      <w:r>
        <w:rPr>
          <w:b w:val="0"/>
          <w:i w:val="0"/>
        </w:rPr>
        <w:t xml:space="preserve"> </w:t>
      </w:r>
      <w:hyperlink w:anchor="latin-record-0624">
        <w:r>
          <w:rPr>
            <w:color w:val="000000"/>
          </w:rPr>
          <w:t xml:space="preserve">individuus / indivisibilis</w:t>
        </w:r>
      </w:hyperlink>
      <w:r>
        <w:rPr>
          <w:b w:val="0"/>
          <w:i w:val="0"/>
        </w:rPr>
        <w:t>.</w:t>
      </w:r>
    </w:p>
    <w:p>
      <w:pPr>
        <w:widowControl/>
      </w:pPr>
      <w:r>
        <w:rPr>
          <w:b/>
          <w:i w:val="0"/>
        </w:rPr>
        <w:t>indivisibile.</w:t>
      </w:r>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w:t>
      </w:r>
    </w:p>
    <w:p>
      <w:pPr>
        <w:widowControl/>
      </w:pPr>
      <w:r>
        <w:rPr>
          <w:b/>
          <w:i w:val="0"/>
        </w:rPr>
        <w:t>indivisibilem.</w:t>
      </w:r>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 xml:space="preserve">; </w:t>
      </w:r>
      <w:hyperlink w:anchor="latin-record-0627">
        <w:r>
          <w:rPr>
            <w:color w:val="000000"/>
          </w:rPr>
          <w:t xml:space="preserve">indivisibilis; impartibilis</w:t>
        </w:r>
      </w:hyperlink>
      <w:r>
        <w:rPr>
          <w:b w:val="0"/>
          <w:i w:val="0"/>
        </w:rPr>
        <w:t>.</w:t>
      </w:r>
    </w:p>
    <w:p>
      <w:pPr>
        <w:widowControl/>
      </w:pPr>
      <w:r>
        <w:rPr>
          <w:b/>
          <w:i w:val="0"/>
        </w:rPr>
        <w:t>indivisibiles.</w:t>
      </w:r>
      <w:r>
        <w:rPr>
          <w:b w:val="0"/>
          <w:i w:val="0"/>
        </w:rPr>
        <w:t xml:space="preserve"> </w:t>
      </w:r>
      <w:hyperlink w:anchor="latin-record-0626">
        <w:r>
          <w:rPr>
            <w:color w:val="000000"/>
          </w:rPr>
          <w:t xml:space="preserve">indivisibilis / individuus / partibilis</w:t>
        </w:r>
      </w:hyperlink>
      <w:r>
        <w:rPr>
          <w:b w:val="0"/>
          <w:i w:val="0"/>
        </w:rPr>
        <w:t>.</w:t>
      </w:r>
    </w:p>
    <w:p>
      <w:pPr>
        <w:widowControl/>
      </w:pPr>
      <w:r>
        <w:rPr>
          <w:b/>
          <w:i w:val="0"/>
        </w:rPr>
        <w:t>indivisibili.</w:t>
      </w:r>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w:t>
      </w:r>
    </w:p>
    <w:p>
      <w:pPr>
        <w:widowControl/>
      </w:pPr>
      <w:r>
        <w:rPr>
          <w:b/>
          <w:i w:val="0"/>
        </w:rPr>
        <w:t>indivisibilis.</w:t>
      </w:r>
      <w:r>
        <w:rPr>
          <w:b w:val="0"/>
          <w:i w:val="0"/>
        </w:rPr>
        <w:t xml:space="preserve"> </w:t>
      </w:r>
      <w:hyperlink w:anchor="latin-record-0624">
        <w:r>
          <w:rPr>
            <w:color w:val="000000"/>
          </w:rPr>
          <w:t xml:space="preserve">individuus / indivisibilis</w:t>
        </w:r>
      </w:hyperlink>
      <w:r>
        <w:rPr>
          <w:b w:val="0"/>
          <w:i w:val="0"/>
        </w:rPr>
        <w:t xml:space="preserve">; </w:t>
      </w:r>
      <w:hyperlink w:anchor="latin-record-0625">
        <w:r>
          <w:rPr>
            <w:color w:val="000000"/>
          </w:rPr>
          <w:t xml:space="preserve">indivisibilis / individuum</w:t>
        </w:r>
      </w:hyperlink>
      <w:r>
        <w:rPr>
          <w:b w:val="0"/>
          <w:i w:val="0"/>
        </w:rPr>
        <w:t xml:space="preserve">; </w:t>
      </w:r>
      <w:hyperlink w:anchor="latin-record-0626">
        <w:r>
          <w:rPr>
            <w:color w:val="000000"/>
          </w:rPr>
          <w:t xml:space="preserve">indivisibilis / individuus / partibilis</w:t>
        </w:r>
      </w:hyperlink>
      <w:r>
        <w:rPr>
          <w:b w:val="0"/>
          <w:i w:val="0"/>
        </w:rPr>
        <w:t xml:space="preserve">; </w:t>
      </w:r>
      <w:hyperlink w:anchor="latin-record-1047">
        <w:r>
          <w:rPr>
            <w:color w:val="000000"/>
          </w:rPr>
          <w:t xml:space="preserve">quantitate protendi</w:t>
        </w:r>
      </w:hyperlink>
      <w:r>
        <w:rPr>
          <w:b w:val="0"/>
          <w:i w:val="0"/>
        </w:rPr>
        <w:t>.</w:t>
      </w:r>
    </w:p>
    <w:p>
      <w:pPr>
        <w:widowControl/>
      </w:pPr>
      <w:r>
        <w:rPr>
          <w:b/>
          <w:i w:val="0"/>
        </w:rPr>
        <w:t>indivisibilium.</w:t>
      </w:r>
      <w:r>
        <w:rPr>
          <w:b w:val="0"/>
          <w:i w:val="0"/>
        </w:rPr>
        <w:t xml:space="preserve"> </w:t>
      </w:r>
      <w:hyperlink w:anchor="latin-record-0625">
        <w:r>
          <w:rPr>
            <w:color w:val="000000"/>
          </w:rPr>
          <w:t xml:space="preserve">indivisibilis / individuum</w:t>
        </w:r>
      </w:hyperlink>
      <w:r>
        <w:rPr>
          <w:b w:val="0"/>
          <w:i w:val="0"/>
        </w:rPr>
        <w:t>.</w:t>
      </w:r>
    </w:p>
    <w:p>
      <w:pPr>
        <w:widowControl/>
      </w:pPr>
      <w:r>
        <w:rPr>
          <w:b/>
          <w:i w:val="0"/>
        </w:rPr>
        <w:t>induet.</w:t>
      </w:r>
      <w:r>
        <w:rPr>
          <w:b w:val="0"/>
          <w:i w:val="0"/>
        </w:rPr>
        <w:t xml:space="preserve"> </w:t>
      </w:r>
      <w:hyperlink w:anchor="latin-record-0628">
        <w:r>
          <w:rPr>
            <w:color w:val="000000"/>
          </w:rPr>
          <w:t xml:space="preserve">induere / exuere</w:t>
        </w:r>
      </w:hyperlink>
      <w:r>
        <w:rPr>
          <w:b w:val="0"/>
          <w:i w:val="0"/>
        </w:rPr>
        <w:t>.</w:t>
      </w:r>
    </w:p>
    <w:p>
      <w:pPr>
        <w:widowControl/>
      </w:pPr>
      <w:r>
        <w:rPr>
          <w:b/>
          <w:i w:val="0"/>
        </w:rPr>
        <w:t>indui.</w:t>
      </w:r>
      <w:r>
        <w:rPr>
          <w:b w:val="0"/>
          <w:i w:val="0"/>
        </w:rPr>
        <w:t xml:space="preserve"> </w:t>
      </w:r>
      <w:hyperlink w:anchor="latin-record-0628">
        <w:r>
          <w:rPr>
            <w:color w:val="000000"/>
          </w:rPr>
          <w:t xml:space="preserve">induere / exuere</w:t>
        </w:r>
      </w:hyperlink>
      <w:r>
        <w:rPr>
          <w:b w:val="0"/>
          <w:i w:val="0"/>
        </w:rPr>
        <w:t>.</w:t>
      </w:r>
    </w:p>
    <w:p>
      <w:pPr>
        <w:widowControl/>
      </w:pPr>
      <w:r>
        <w:rPr>
          <w:b/>
          <w:i w:val="0"/>
        </w:rPr>
        <w:t>induitur.</w:t>
      </w:r>
      <w:r>
        <w:rPr>
          <w:b w:val="0"/>
          <w:i w:val="0"/>
        </w:rPr>
        <w:t xml:space="preserve"> </w:t>
      </w:r>
      <w:hyperlink w:anchor="latin-record-0628">
        <w:r>
          <w:rPr>
            <w:color w:val="000000"/>
          </w:rPr>
          <w:t xml:space="preserve">induere / exuere</w:t>
        </w:r>
      </w:hyperlink>
      <w:r>
        <w:rPr>
          <w:b w:val="0"/>
          <w:i w:val="0"/>
        </w:rPr>
        <w:t>.</w:t>
      </w:r>
    </w:p>
    <w:p>
      <w:pPr>
        <w:widowControl/>
      </w:pPr>
      <w:r>
        <w:rPr>
          <w:b/>
          <w:i w:val="0"/>
        </w:rPr>
        <w:t>industria.</w:t>
      </w:r>
      <w:r>
        <w:rPr>
          <w:b w:val="0"/>
          <w:i w:val="0"/>
        </w:rPr>
        <w:t xml:space="preserve"> </w:t>
      </w:r>
      <w:hyperlink w:anchor="latin-record-0629">
        <w:r>
          <w:rPr>
            <w:color w:val="000000"/>
          </w:rPr>
          <w:t xml:space="preserve">industria / usus / affectus</w:t>
        </w:r>
      </w:hyperlink>
      <w:r>
        <w:rPr>
          <w:b w:val="0"/>
          <w:i w:val="0"/>
        </w:rPr>
        <w:t>.</w:t>
      </w:r>
    </w:p>
    <w:p>
      <w:pPr>
        <w:widowControl/>
      </w:pPr>
      <w:r>
        <w:rPr>
          <w:b/>
          <w:i w:val="0"/>
        </w:rPr>
        <w:t>inepta.</w:t>
      </w:r>
      <w:r>
        <w:rPr>
          <w:b w:val="0"/>
          <w:i w:val="0"/>
        </w:rPr>
        <w:t xml:space="preserve"> </w:t>
      </w:r>
      <w:hyperlink w:anchor="latin-record-0114">
        <w:r>
          <w:rPr>
            <w:color w:val="000000"/>
          </w:rPr>
          <w:t xml:space="preserve">aptus / ineptus</w:t>
        </w:r>
      </w:hyperlink>
      <w:r>
        <w:rPr>
          <w:b w:val="0"/>
          <w:i w:val="0"/>
        </w:rPr>
        <w:t>.</w:t>
      </w:r>
    </w:p>
    <w:p>
      <w:pPr>
        <w:widowControl/>
      </w:pPr>
      <w:r>
        <w:rPr>
          <w:b/>
          <w:i w:val="0"/>
        </w:rPr>
        <w:t>ineptior.</w:t>
      </w:r>
      <w:r>
        <w:rPr>
          <w:b w:val="0"/>
          <w:i w:val="0"/>
        </w:rPr>
        <w:t xml:space="preserve"> </w:t>
      </w:r>
      <w:hyperlink w:anchor="latin-record-0114">
        <w:r>
          <w:rPr>
            <w:color w:val="000000"/>
          </w:rPr>
          <w:t xml:space="preserve">aptus / ineptus</w:t>
        </w:r>
      </w:hyperlink>
      <w:r>
        <w:rPr>
          <w:b w:val="0"/>
          <w:i w:val="0"/>
        </w:rPr>
        <w:t>.</w:t>
      </w:r>
    </w:p>
    <w:p>
      <w:pPr>
        <w:widowControl/>
      </w:pPr>
      <w:r>
        <w:rPr>
          <w:b/>
          <w:i w:val="0"/>
        </w:rPr>
        <w:t>inerit.</w:t>
      </w:r>
      <w:r>
        <w:rPr>
          <w:b w:val="0"/>
          <w:i w:val="0"/>
        </w:rPr>
        <w:t xml:space="preserve"> </w:t>
      </w:r>
      <w:hyperlink w:anchor="latin-record-0630">
        <w:r>
          <w:rPr>
            <w:color w:val="000000"/>
          </w:rPr>
          <w:t xml:space="preserve">inesse</w:t>
        </w:r>
      </w:hyperlink>
      <w:r>
        <w:rPr>
          <w:b w:val="0"/>
          <w:i w:val="0"/>
        </w:rPr>
        <w:t>.</w:t>
      </w:r>
    </w:p>
    <w:p>
      <w:pPr>
        <w:widowControl/>
      </w:pPr>
      <w:r>
        <w:rPr>
          <w:b/>
          <w:i w:val="0"/>
        </w:rPr>
        <w:t>inesse.</w:t>
      </w:r>
      <w:r>
        <w:rPr>
          <w:b w:val="0"/>
          <w:i w:val="0"/>
        </w:rPr>
        <w:t xml:space="preserve"> </w:t>
      </w:r>
      <w:hyperlink w:anchor="latin-record-0630">
        <w:r>
          <w:rPr>
            <w:color w:val="000000"/>
          </w:rPr>
          <w:t xml:space="preserve">inesse</w:t>
        </w:r>
      </w:hyperlink>
      <w:r>
        <w:rPr>
          <w:b w:val="0"/>
          <w:i w:val="0"/>
        </w:rPr>
        <w:t>.</w:t>
      </w:r>
    </w:p>
    <w:p>
      <w:pPr>
        <w:widowControl/>
      </w:pPr>
      <w:r>
        <w:rPr>
          <w:b/>
          <w:i w:val="0"/>
        </w:rPr>
        <w:t>inesset.</w:t>
      </w:r>
      <w:r>
        <w:rPr>
          <w:b w:val="0"/>
          <w:i w:val="0"/>
        </w:rPr>
        <w:t xml:space="preserve"> </w:t>
      </w:r>
      <w:hyperlink w:anchor="latin-record-0630">
        <w:r>
          <w:rPr>
            <w:color w:val="000000"/>
          </w:rPr>
          <w:t xml:space="preserve">inesse</w:t>
        </w:r>
      </w:hyperlink>
      <w:r>
        <w:rPr>
          <w:b w:val="0"/>
          <w:i w:val="0"/>
        </w:rPr>
        <w:t>.</w:t>
      </w:r>
    </w:p>
    <w:p>
      <w:pPr>
        <w:widowControl/>
      </w:pPr>
      <w:r>
        <w:rPr>
          <w:b/>
          <w:i w:val="0"/>
        </w:rPr>
        <w:t>inest.</w:t>
      </w:r>
      <w:r>
        <w:rPr>
          <w:b w:val="0"/>
          <w:i w:val="0"/>
        </w:rPr>
        <w:t xml:space="preserve"> </w:t>
      </w:r>
      <w:hyperlink w:anchor="latin-record-0630">
        <w:r>
          <w:rPr>
            <w:color w:val="000000"/>
          </w:rPr>
          <w:t xml:space="preserve">inesse</w:t>
        </w:r>
      </w:hyperlink>
      <w:r>
        <w:rPr>
          <w:b w:val="0"/>
          <w:i w:val="0"/>
        </w:rPr>
        <w:t>.</w:t>
      </w:r>
    </w:p>
    <w:p>
      <w:pPr>
        <w:widowControl/>
      </w:pPr>
      <w:r>
        <w:rPr>
          <w:b/>
          <w:i w:val="0"/>
        </w:rPr>
        <w:t>infectionem.</w:t>
      </w:r>
      <w:r>
        <w:rPr>
          <w:b w:val="0"/>
          <w:i w:val="0"/>
        </w:rPr>
        <w:t xml:space="preserve"> </w:t>
      </w:r>
      <w:hyperlink w:anchor="latin-record-0631">
        <w:r>
          <w:rPr>
            <w:color w:val="000000"/>
          </w:rPr>
          <w:t xml:space="preserve">infectio / puritas</w:t>
        </w:r>
      </w:hyperlink>
      <w:r>
        <w:rPr>
          <w:b w:val="0"/>
          <w:i w:val="0"/>
        </w:rPr>
        <w:t>.</w:t>
      </w:r>
    </w:p>
    <w:p>
      <w:pPr>
        <w:widowControl/>
      </w:pPr>
      <w:r>
        <w:rPr>
          <w:b/>
          <w:i w:val="0"/>
        </w:rPr>
        <w:t>infectis.</w:t>
      </w:r>
      <w:r>
        <w:rPr>
          <w:b w:val="0"/>
          <w:i w:val="0"/>
        </w:rPr>
        <w:t xml:space="preserve"> </w:t>
      </w:r>
      <w:hyperlink w:anchor="latin-record-0631">
        <w:r>
          <w:rPr>
            <w:color w:val="000000"/>
          </w:rPr>
          <w:t xml:space="preserve">infectio / puritas</w:t>
        </w:r>
      </w:hyperlink>
      <w:r>
        <w:rPr>
          <w:b w:val="0"/>
          <w:i w:val="0"/>
        </w:rPr>
        <w:t>.</w:t>
      </w:r>
    </w:p>
    <w:p>
      <w:pPr>
        <w:widowControl/>
      </w:pPr>
      <w:r>
        <w:rPr>
          <w:b/>
          <w:i w:val="0"/>
        </w:rPr>
        <w:t>inferemus.</w:t>
      </w:r>
      <w:r>
        <w:rPr>
          <w:b w:val="0"/>
          <w:i w:val="0"/>
        </w:rPr>
        <w:t xml:space="preserve"> </w:t>
      </w:r>
      <w:hyperlink w:anchor="latin-record-0277">
        <w:r>
          <w:rPr>
            <w:color w:val="000000"/>
          </w:rPr>
          <w:t xml:space="preserve">concludere / inferre / sequi</w:t>
        </w:r>
      </w:hyperlink>
      <w:r>
        <w:rPr>
          <w:b w:val="0"/>
          <w:i w:val="0"/>
        </w:rPr>
        <w:t>.</w:t>
      </w:r>
    </w:p>
    <w:p>
      <w:pPr>
        <w:widowControl/>
      </w:pPr>
      <w:r>
        <w:rPr>
          <w:b/>
          <w:i w:val="0"/>
        </w:rPr>
        <w:t>infici.</w:t>
      </w:r>
      <w:r>
        <w:rPr>
          <w:b w:val="0"/>
          <w:i w:val="0"/>
        </w:rPr>
        <w:t xml:space="preserve"> </w:t>
      </w:r>
      <w:hyperlink w:anchor="latin-record-0066">
        <w:r>
          <w:rPr>
            <w:color w:val="000000"/>
          </w:rPr>
          <w:t xml:space="preserve">albedo / inficere / foedare</w:t>
        </w:r>
      </w:hyperlink>
      <w:r>
        <w:rPr>
          <w:b w:val="0"/>
          <w:i w:val="0"/>
        </w:rPr>
        <w:t>.</w:t>
      </w:r>
    </w:p>
    <w:p>
      <w:pPr>
        <w:widowControl/>
      </w:pPr>
      <w:r>
        <w:rPr>
          <w:b/>
          <w:i w:val="0"/>
        </w:rPr>
        <w:t>inficitur.</w:t>
      </w:r>
      <w:r>
        <w:rPr>
          <w:b w:val="0"/>
          <w:i w:val="0"/>
        </w:rPr>
        <w:t xml:space="preserve"> </w:t>
      </w:r>
      <w:hyperlink w:anchor="latin-record-0522">
        <w:r>
          <w:rPr>
            <w:color w:val="000000"/>
          </w:rPr>
          <w:t xml:space="preserve">frangere; inficere</w:t>
        </w:r>
      </w:hyperlink>
      <w:r>
        <w:rPr>
          <w:b w:val="0"/>
          <w:i w:val="0"/>
        </w:rPr>
        <w:t>.</w:t>
      </w:r>
    </w:p>
    <w:p>
      <w:pPr>
        <w:widowControl/>
      </w:pPr>
      <w:r>
        <w:rPr>
          <w:b/>
          <w:i w:val="0"/>
        </w:rPr>
        <w:t>infinita.</w:t>
      </w:r>
      <w:r>
        <w:rPr>
          <w:b w:val="0"/>
          <w:i w:val="0"/>
        </w:rPr>
        <w:t xml:space="preserve"> </w:t>
      </w:r>
      <w:hyperlink w:anchor="latin-record-0633">
        <w:r>
          <w:rPr>
            <w:color w:val="000000"/>
          </w:rPr>
          <w:t xml:space="preserve">infinitus / immensus</w:t>
        </w:r>
      </w:hyperlink>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infinita quaedam multitudo.</w:t>
      </w:r>
      <w:r>
        <w:rPr>
          <w:b w:val="0"/>
          <w:i w:val="0"/>
        </w:rPr>
        <w:t xml:space="preserve"> </w:t>
      </w:r>
      <w:hyperlink w:anchor="latin-record-0632">
        <w:r>
          <w:rPr>
            <w:color w:val="000000"/>
          </w:rPr>
          <w:t xml:space="preserve">infinitae partes actu</w:t>
        </w:r>
      </w:hyperlink>
      <w:r>
        <w:rPr>
          <w:b w:val="0"/>
          <w:i w:val="0"/>
        </w:rPr>
        <w:t>.</w:t>
      </w:r>
    </w:p>
    <w:p>
      <w:pPr>
        <w:widowControl/>
      </w:pPr>
      <w:r>
        <w:rPr>
          <w:b/>
          <w:i w:val="0"/>
        </w:rPr>
        <w:t>infinitae partes in actu.</w:t>
      </w:r>
      <w:r>
        <w:rPr>
          <w:b w:val="0"/>
          <w:i w:val="0"/>
        </w:rPr>
        <w:t xml:space="preserve"> </w:t>
      </w:r>
      <w:hyperlink w:anchor="latin-record-0632">
        <w:r>
          <w:rPr>
            <w:color w:val="000000"/>
          </w:rPr>
          <w:t xml:space="preserve">infinitae partes actu</w:t>
        </w:r>
      </w:hyperlink>
      <w:r>
        <w:rPr>
          <w:b w:val="0"/>
          <w:i w:val="0"/>
        </w:rPr>
        <w:t>.</w:t>
      </w:r>
    </w:p>
    <w:p>
      <w:pPr>
        <w:widowControl/>
      </w:pPr>
      <w:r>
        <w:rPr>
          <w:b/>
          <w:i w:val="0"/>
        </w:rPr>
        <w:t>infinitam.</w:t>
      </w:r>
      <w:r>
        <w:rPr>
          <w:b w:val="0"/>
          <w:i w:val="0"/>
        </w:rPr>
        <w:t xml:space="preserve"> </w:t>
      </w:r>
      <w:hyperlink w:anchor="latin-record-0633">
        <w:r>
          <w:rPr>
            <w:color w:val="000000"/>
          </w:rPr>
          <w:t xml:space="preserve">infinitus / immensus</w:t>
        </w:r>
      </w:hyperlink>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infinitas.</w:t>
      </w:r>
      <w:r>
        <w:rPr>
          <w:b w:val="0"/>
          <w:i w:val="0"/>
        </w:rPr>
        <w:t xml:space="preserve"> </w:t>
      </w:r>
      <w:hyperlink w:anchor="latin-record-0634">
        <w:r>
          <w:rPr>
            <w:color w:val="000000"/>
          </w:rPr>
          <w:t xml:space="preserve">infinitus / infinitas</w:t>
        </w:r>
      </w:hyperlink>
      <w:r>
        <w:rPr>
          <w:b w:val="0"/>
          <w:i w:val="0"/>
        </w:rPr>
        <w:t xml:space="preserve">; </w:t>
      </w:r>
      <w:hyperlink w:anchor="latin-record-0635">
        <w:r>
          <w:rPr>
            <w:color w:val="000000"/>
          </w:rPr>
          <w:t xml:space="preserve">infinitus / innumerabilis</w:t>
        </w:r>
      </w:hyperlink>
      <w:r>
        <w:rPr>
          <w:b w:val="0"/>
          <w:i w:val="0"/>
        </w:rPr>
        <w:t>.</w:t>
      </w:r>
    </w:p>
    <w:p>
      <w:pPr>
        <w:widowControl/>
      </w:pPr>
      <w:r>
        <w:rPr>
          <w:b/>
          <w:i w:val="0"/>
        </w:rPr>
        <w:t>infinitate.</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infinitatem.</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infinitati.</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infinite.</w:t>
      </w:r>
      <w:r>
        <w:rPr>
          <w:b w:val="0"/>
          <w:i w:val="0"/>
        </w:rPr>
        <w:t xml:space="preserve"> </w:t>
      </w:r>
      <w:hyperlink w:anchor="latin-record-0634">
        <w:r>
          <w:rPr>
            <w:color w:val="000000"/>
          </w:rPr>
          <w:t xml:space="preserve">infinitus / infinitas</w:t>
        </w:r>
      </w:hyperlink>
      <w:r>
        <w:rPr>
          <w:b w:val="0"/>
          <w:i w:val="0"/>
        </w:rPr>
        <w:t xml:space="preserve">; </w:t>
      </w:r>
      <w:hyperlink w:anchor="latin-record-0635">
        <w:r>
          <w:rPr>
            <w:color w:val="000000"/>
          </w:rPr>
          <w:t xml:space="preserve">infinitus / innumerabilis</w:t>
        </w:r>
      </w:hyperlink>
      <w:r>
        <w:rPr>
          <w:b w:val="0"/>
          <w:i w:val="0"/>
        </w:rPr>
        <w:t>.</w:t>
      </w:r>
    </w:p>
    <w:p>
      <w:pPr>
        <w:widowControl/>
      </w:pPr>
      <w:r>
        <w:rPr>
          <w:b/>
          <w:i w:val="0"/>
        </w:rPr>
        <w:t>infiniti.</w:t>
      </w:r>
      <w:r>
        <w:rPr>
          <w:b w:val="0"/>
          <w:i w:val="0"/>
        </w:rPr>
        <w:t xml:space="preserve"> </w:t>
      </w:r>
      <w:hyperlink w:anchor="latin-record-0635">
        <w:r>
          <w:rPr>
            <w:color w:val="000000"/>
          </w:rPr>
          <w:t xml:space="preserve">infinitus / innumerabilis</w:t>
        </w:r>
      </w:hyperlink>
      <w:r>
        <w:rPr>
          <w:b w:val="0"/>
          <w:i w:val="0"/>
        </w:rPr>
        <w:t>.</w:t>
      </w:r>
    </w:p>
    <w:p>
      <w:pPr>
        <w:widowControl/>
      </w:pPr>
      <w:r>
        <w:rPr>
          <w:b/>
          <w:i w:val="0"/>
        </w:rPr>
        <w:t>infinitis.</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infinito.</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infinitos.</w:t>
      </w:r>
      <w:r>
        <w:rPr>
          <w:b w:val="0"/>
          <w:i w:val="0"/>
        </w:rPr>
        <w:t xml:space="preserve"> </w:t>
      </w:r>
      <w:hyperlink w:anchor="latin-record-0634">
        <w:r>
          <w:rPr>
            <w:color w:val="000000"/>
          </w:rPr>
          <w:t xml:space="preserve">infinitus / infinitas</w:t>
        </w:r>
      </w:hyperlink>
      <w:r>
        <w:rPr>
          <w:b w:val="0"/>
          <w:i w:val="0"/>
        </w:rPr>
        <w:t xml:space="preserve">; </w:t>
      </w:r>
      <w:hyperlink w:anchor="latin-record-0635">
        <w:r>
          <w:rPr>
            <w:color w:val="000000"/>
          </w:rPr>
          <w:t xml:space="preserve">infinitus / innumerabilis</w:t>
        </w:r>
      </w:hyperlink>
      <w:r>
        <w:rPr>
          <w:b w:val="0"/>
          <w:i w:val="0"/>
        </w:rPr>
        <w:t>.</w:t>
      </w:r>
    </w:p>
    <w:p>
      <w:pPr>
        <w:widowControl/>
      </w:pPr>
      <w:r>
        <w:rPr>
          <w:b/>
          <w:i w:val="0"/>
        </w:rPr>
        <w:t>Infinitum.</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infinitum.</w:t>
      </w:r>
      <w:r>
        <w:rPr>
          <w:b w:val="0"/>
          <w:i w:val="0"/>
        </w:rPr>
        <w:t xml:space="preserve"> </w:t>
      </w:r>
      <w:hyperlink w:anchor="latin-record-0634">
        <w:r>
          <w:rPr>
            <w:color w:val="000000"/>
          </w:rPr>
          <w:t xml:space="preserve">infinitus / infinitas</w:t>
        </w:r>
      </w:hyperlink>
      <w:r>
        <w:rPr>
          <w:b w:val="0"/>
          <w:i w:val="0"/>
        </w:rPr>
        <w:t>.</w:t>
      </w:r>
    </w:p>
    <w:p>
      <w:pPr>
        <w:widowControl/>
      </w:pPr>
      <w:r>
        <w:rPr>
          <w:b/>
          <w:i w:val="0"/>
        </w:rPr>
        <w:t>infinitum actum.</w:t>
      </w:r>
      <w:r>
        <w:rPr>
          <w:b w:val="0"/>
          <w:i w:val="0"/>
        </w:rPr>
        <w:t xml:space="preserve"> </w:t>
      </w:r>
      <w:hyperlink w:anchor="latin-record-0025">
        <w:r>
          <w:rPr>
            <w:color w:val="000000"/>
          </w:rPr>
          <w:t xml:space="preserve">actus infinitus / potentia infinita</w:t>
        </w:r>
      </w:hyperlink>
      <w:r>
        <w:rPr>
          <w:b w:val="0"/>
          <w:i w:val="0"/>
        </w:rPr>
        <w:t>.</w:t>
      </w:r>
    </w:p>
    <w:p>
      <w:pPr>
        <w:widowControl/>
      </w:pPr>
      <w:r>
        <w:rPr>
          <w:b/>
          <w:i w:val="0"/>
        </w:rPr>
        <w:t>infinitus.</w:t>
      </w:r>
      <w:r>
        <w:rPr>
          <w:b w:val="0"/>
          <w:i w:val="0"/>
        </w:rPr>
        <w:t xml:space="preserve"> </w:t>
      </w:r>
      <w:hyperlink w:anchor="latin-record-0633">
        <w:r>
          <w:rPr>
            <w:color w:val="000000"/>
          </w:rPr>
          <w:t xml:space="preserve">infinitus / immensus</w:t>
        </w:r>
      </w:hyperlink>
      <w:r>
        <w:rPr>
          <w:b w:val="0"/>
          <w:i w:val="0"/>
        </w:rPr>
        <w:t xml:space="preserve">; </w:t>
      </w:r>
      <w:hyperlink w:anchor="latin-record-0634">
        <w:r>
          <w:rPr>
            <w:color w:val="000000"/>
          </w:rPr>
          <w:t xml:space="preserve">infinitus / infinitas</w:t>
        </w:r>
      </w:hyperlink>
      <w:r>
        <w:rPr>
          <w:b w:val="0"/>
          <w:i w:val="0"/>
        </w:rPr>
        <w:t>.</w:t>
      </w:r>
    </w:p>
    <w:p>
      <w:pPr>
        <w:widowControl/>
      </w:pPr>
      <w:r>
        <w:rPr>
          <w:b/>
          <w:i w:val="0"/>
        </w:rPr>
        <w:t>influat.</w:t>
      </w:r>
      <w:r>
        <w:rPr>
          <w:b w:val="0"/>
          <w:i w:val="0"/>
        </w:rPr>
        <w:t xml:space="preserve"> </w:t>
      </w:r>
      <w:hyperlink w:anchor="latin-record-0495">
        <w:r>
          <w:rPr>
            <w:color w:val="000000"/>
          </w:rPr>
          <w:t xml:space="preserve">fluere</w:t>
        </w:r>
      </w:hyperlink>
      <w:r>
        <w:rPr>
          <w:b w:val="0"/>
          <w:i w:val="0"/>
        </w:rPr>
        <w:t>.</w:t>
      </w:r>
    </w:p>
    <w:p>
      <w:pPr>
        <w:widowControl/>
      </w:pPr>
      <w:r>
        <w:rPr>
          <w:b/>
          <w:i w:val="0"/>
        </w:rPr>
        <w:t>influenti.</w:t>
      </w:r>
      <w:r>
        <w:rPr>
          <w:b w:val="0"/>
          <w:i w:val="0"/>
        </w:rPr>
        <w:t xml:space="preserve"> </w:t>
      </w:r>
      <w:hyperlink w:anchor="latin-record-0495">
        <w:r>
          <w:rPr>
            <w:color w:val="000000"/>
          </w:rPr>
          <w:t xml:space="preserve">fluere</w:t>
        </w:r>
      </w:hyperlink>
      <w:r>
        <w:rPr>
          <w:b w:val="0"/>
          <w:i w:val="0"/>
        </w:rPr>
        <w:t>.</w:t>
      </w:r>
    </w:p>
    <w:p>
      <w:pPr>
        <w:widowControl/>
      </w:pPr>
      <w:r>
        <w:rPr>
          <w:b/>
          <w:i w:val="0"/>
        </w:rPr>
        <w:t>influentibus.</w:t>
      </w:r>
      <w:r>
        <w:rPr>
          <w:b w:val="0"/>
          <w:i w:val="0"/>
        </w:rPr>
        <w:t xml:space="preserve"> </w:t>
      </w:r>
      <w:hyperlink w:anchor="latin-record-0495">
        <w:r>
          <w:rPr>
            <w:color w:val="000000"/>
          </w:rPr>
          <w:t xml:space="preserve">fluere</w:t>
        </w:r>
      </w:hyperlink>
      <w:r>
        <w:rPr>
          <w:b w:val="0"/>
          <w:i w:val="0"/>
        </w:rPr>
        <w:t>.</w:t>
      </w:r>
    </w:p>
    <w:p>
      <w:pPr>
        <w:widowControl/>
      </w:pPr>
      <w:r>
        <w:rPr>
          <w:b/>
          <w:i w:val="0"/>
        </w:rPr>
        <w:t>influit.</w:t>
      </w:r>
      <w:r>
        <w:rPr>
          <w:b w:val="0"/>
          <w:i w:val="0"/>
        </w:rPr>
        <w:t xml:space="preserve"> </w:t>
      </w:r>
      <w:hyperlink w:anchor="latin-record-0495">
        <w:r>
          <w:rPr>
            <w:color w:val="000000"/>
          </w:rPr>
          <w:t xml:space="preserve">fluere</w:t>
        </w:r>
      </w:hyperlink>
      <w:r>
        <w:rPr>
          <w:b w:val="0"/>
          <w:i w:val="0"/>
        </w:rPr>
        <w:t xml:space="preserve">; </w:t>
      </w:r>
      <w:hyperlink w:anchor="latin-record-1097">
        <w:r>
          <w:rPr>
            <w:color w:val="000000"/>
          </w:rPr>
          <w:t xml:space="preserve">relabi / redundare</w:t>
        </w:r>
      </w:hyperlink>
      <w:r>
        <w:rPr>
          <w:b w:val="0"/>
          <w:i w:val="0"/>
        </w:rPr>
        <w:t>.</w:t>
      </w:r>
    </w:p>
    <w:p>
      <w:pPr>
        <w:widowControl/>
      </w:pPr>
      <w:r>
        <w:rPr>
          <w:b/>
          <w:i w:val="0"/>
        </w:rPr>
        <w:t>influxu.</w:t>
      </w:r>
      <w:r>
        <w:rPr>
          <w:b w:val="0"/>
          <w:i w:val="0"/>
        </w:rPr>
        <w:t xml:space="preserve"> </w:t>
      </w:r>
      <w:hyperlink w:anchor="latin-record-0636">
        <w:r>
          <w:rPr>
            <w:color w:val="000000"/>
          </w:rPr>
          <w:t xml:space="preserve">influxus</w:t>
        </w:r>
      </w:hyperlink>
      <w:r>
        <w:rPr>
          <w:b w:val="0"/>
          <w:i w:val="0"/>
        </w:rPr>
        <w:t>.</w:t>
      </w:r>
    </w:p>
    <w:p>
      <w:pPr>
        <w:widowControl/>
      </w:pPr>
      <w:r>
        <w:rPr>
          <w:b/>
          <w:i w:val="0"/>
        </w:rPr>
        <w:t>influxum.</w:t>
      </w:r>
      <w:r>
        <w:rPr>
          <w:b w:val="0"/>
          <w:i w:val="0"/>
        </w:rPr>
        <w:t xml:space="preserve"> </w:t>
      </w:r>
      <w:hyperlink w:anchor="latin-record-0636">
        <w:r>
          <w:rPr>
            <w:color w:val="000000"/>
          </w:rPr>
          <w:t xml:space="preserve">influxus</w:t>
        </w:r>
      </w:hyperlink>
      <w:r>
        <w:rPr>
          <w:b w:val="0"/>
          <w:i w:val="0"/>
        </w:rPr>
        <w:t>.</w:t>
      </w:r>
    </w:p>
    <w:p>
      <w:pPr>
        <w:widowControl/>
      </w:pPr>
      <w:r>
        <w:rPr>
          <w:b/>
          <w:i w:val="0"/>
        </w:rPr>
        <w:t>influxus.</w:t>
      </w:r>
      <w:r>
        <w:rPr>
          <w:b w:val="0"/>
          <w:i w:val="0"/>
        </w:rPr>
        <w:t xml:space="preserve"> </w:t>
      </w:r>
      <w:hyperlink w:anchor="latin-record-0636">
        <w:r>
          <w:rPr>
            <w:color w:val="000000"/>
          </w:rPr>
          <w:t xml:space="preserve">influxus</w:t>
        </w:r>
      </w:hyperlink>
      <w:r>
        <w:rPr>
          <w:b w:val="0"/>
          <w:i w:val="0"/>
        </w:rPr>
        <w:t>.</w:t>
      </w:r>
    </w:p>
    <w:p>
      <w:pPr>
        <w:widowControl/>
      </w:pPr>
      <w:r>
        <w:rPr>
          <w:b/>
          <w:i w:val="0"/>
        </w:rPr>
        <w:t>informe.</w:t>
      </w:r>
      <w:r>
        <w:rPr>
          <w:b w:val="0"/>
          <w:i w:val="0"/>
        </w:rPr>
        <w:t xml:space="preserve"> </w:t>
      </w:r>
      <w:hyperlink w:anchor="latin-record-0637">
        <w:r>
          <w:rPr>
            <w:color w:val="000000"/>
          </w:rPr>
          <w:t xml:space="preserve">informis</w:t>
        </w:r>
      </w:hyperlink>
      <w:r>
        <w:rPr>
          <w:b w:val="0"/>
          <w:i w:val="0"/>
        </w:rPr>
        <w:t>.</w:t>
      </w:r>
    </w:p>
    <w:p>
      <w:pPr>
        <w:widowControl/>
      </w:pPr>
      <w:r>
        <w:rPr>
          <w:b/>
          <w:i w:val="0"/>
        </w:rPr>
        <w:t>informi.</w:t>
      </w:r>
      <w:r>
        <w:rPr>
          <w:b w:val="0"/>
          <w:i w:val="0"/>
        </w:rPr>
        <w:t xml:space="preserve"> </w:t>
      </w:r>
      <w:hyperlink w:anchor="latin-record-0637">
        <w:r>
          <w:rPr>
            <w:color w:val="000000"/>
          </w:rPr>
          <w:t xml:space="preserve">informis</w:t>
        </w:r>
      </w:hyperlink>
      <w:r>
        <w:rPr>
          <w:b w:val="0"/>
          <w:i w:val="0"/>
        </w:rPr>
        <w:t>.</w:t>
      </w:r>
    </w:p>
    <w:p>
      <w:pPr>
        <w:widowControl/>
      </w:pPr>
      <w:r>
        <w:rPr>
          <w:b/>
          <w:i w:val="0"/>
        </w:rPr>
        <w:t>informia subiecta.</w:t>
      </w:r>
      <w:r>
        <w:rPr>
          <w:b w:val="0"/>
          <w:i w:val="0"/>
        </w:rPr>
        <w:t xml:space="preserve"> </w:t>
      </w:r>
      <w:hyperlink w:anchor="latin-record-0506">
        <w:r>
          <w:rPr>
            <w:color w:val="000000"/>
          </w:rPr>
          <w:t xml:space="preserve">forma segregata; subiectum</w:t>
        </w:r>
      </w:hyperlink>
      <w:r>
        <w:rPr>
          <w:b w:val="0"/>
          <w:i w:val="0"/>
        </w:rPr>
        <w:t>.</w:t>
      </w:r>
    </w:p>
    <w:p>
      <w:pPr>
        <w:widowControl/>
      </w:pPr>
      <w:r>
        <w:rPr>
          <w:b/>
          <w:i w:val="0"/>
        </w:rPr>
        <w:t>informis.</w:t>
      </w:r>
      <w:r>
        <w:rPr>
          <w:b w:val="0"/>
          <w:i w:val="0"/>
        </w:rPr>
        <w:t xml:space="preserve"> </w:t>
      </w:r>
      <w:hyperlink w:anchor="latin-record-0637">
        <w:r>
          <w:rPr>
            <w:color w:val="000000"/>
          </w:rPr>
          <w:t xml:space="preserve">informis</w:t>
        </w:r>
      </w:hyperlink>
      <w:r>
        <w:rPr>
          <w:b w:val="0"/>
          <w:i w:val="0"/>
        </w:rPr>
        <w:t>.</w:t>
      </w:r>
    </w:p>
    <w:p>
      <w:pPr>
        <w:widowControl/>
      </w:pPr>
      <w:r>
        <w:rPr>
          <w:b/>
          <w:i w:val="0"/>
        </w:rPr>
        <w:t>informis materia.</w:t>
      </w:r>
      <w:r>
        <w:rPr>
          <w:b w:val="0"/>
          <w:i w:val="0"/>
        </w:rPr>
        <w:t xml:space="preserve"> </w:t>
      </w:r>
      <w:hyperlink w:anchor="latin-record-0638">
        <w:r>
          <w:rPr>
            <w:color w:val="000000"/>
          </w:rPr>
          <w:t xml:space="preserve">informis materia</w:t>
        </w:r>
      </w:hyperlink>
      <w:r>
        <w:rPr>
          <w:b w:val="0"/>
          <w:i w:val="0"/>
        </w:rPr>
        <w:t>.</w:t>
      </w:r>
    </w:p>
    <w:p>
      <w:pPr>
        <w:widowControl/>
      </w:pPr>
      <w:r>
        <w:rPr>
          <w:b/>
          <w:i w:val="0"/>
        </w:rPr>
        <w:t>infrigescibile.</w:t>
      </w:r>
      <w:r>
        <w:rPr>
          <w:b w:val="0"/>
          <w:i w:val="0"/>
        </w:rPr>
        <w:t xml:space="preserve"> </w:t>
      </w:r>
      <w:hyperlink w:anchor="latin-record-0639">
        <w:r>
          <w:rPr>
            <w:color w:val="000000"/>
          </w:rPr>
          <w:t xml:space="preserve">infrigescibilis</w:t>
        </w:r>
      </w:hyperlink>
      <w:r>
        <w:rPr>
          <w:b w:val="0"/>
          <w:i w:val="0"/>
        </w:rPr>
        <w:t>.</w:t>
      </w:r>
    </w:p>
    <w:p>
      <w:pPr>
        <w:widowControl/>
      </w:pPr>
      <w:r>
        <w:rPr>
          <w:b/>
          <w:i w:val="0"/>
        </w:rPr>
        <w:t>infrigescibilis.</w:t>
      </w:r>
      <w:r>
        <w:rPr>
          <w:b w:val="0"/>
          <w:i w:val="0"/>
        </w:rPr>
        <w:t xml:space="preserve"> </w:t>
      </w:r>
      <w:hyperlink w:anchor="latin-record-0639">
        <w:r>
          <w:rPr>
            <w:color w:val="000000"/>
          </w:rPr>
          <w:t xml:space="preserve">infrigescibilis</w:t>
        </w:r>
      </w:hyperlink>
      <w:r>
        <w:rPr>
          <w:b w:val="0"/>
          <w:i w:val="0"/>
        </w:rPr>
        <w:t>.</w:t>
      </w:r>
    </w:p>
    <w:p>
      <w:pPr>
        <w:widowControl/>
      </w:pPr>
      <w:r>
        <w:rPr>
          <w:b/>
          <w:i w:val="0"/>
        </w:rPr>
        <w:t>infundendo.</w:t>
      </w:r>
      <w:r>
        <w:rPr>
          <w:b w:val="0"/>
          <w:i w:val="0"/>
        </w:rPr>
        <w:t xml:space="preserve"> </w:t>
      </w:r>
      <w:hyperlink w:anchor="latin-record-0640">
        <w:r>
          <w:rPr>
            <w:color w:val="000000"/>
          </w:rPr>
          <w:t xml:space="preserve">infundere</w:t>
        </w:r>
      </w:hyperlink>
      <w:r>
        <w:rPr>
          <w:b w:val="0"/>
          <w:i w:val="0"/>
        </w:rPr>
        <w:t>.</w:t>
      </w:r>
    </w:p>
    <w:p>
      <w:pPr>
        <w:widowControl/>
      </w:pPr>
      <w:r>
        <w:rPr>
          <w:b/>
          <w:i w:val="0"/>
        </w:rPr>
        <w:t>infundendum.</w:t>
      </w:r>
      <w:r>
        <w:rPr>
          <w:b w:val="0"/>
          <w:i w:val="0"/>
        </w:rPr>
        <w:t xml:space="preserve"> </w:t>
      </w:r>
      <w:hyperlink w:anchor="latin-record-0640">
        <w:r>
          <w:rPr>
            <w:color w:val="000000"/>
          </w:rPr>
          <w:t xml:space="preserve">infundere</w:t>
        </w:r>
      </w:hyperlink>
      <w:r>
        <w:rPr>
          <w:b w:val="0"/>
          <w:i w:val="0"/>
        </w:rPr>
        <w:t>.</w:t>
      </w:r>
    </w:p>
    <w:p>
      <w:pPr>
        <w:widowControl/>
      </w:pPr>
      <w:r>
        <w:rPr>
          <w:b/>
          <w:i w:val="0"/>
        </w:rPr>
        <w:t>infundere.</w:t>
      </w:r>
      <w:r>
        <w:rPr>
          <w:b w:val="0"/>
          <w:i w:val="0"/>
        </w:rPr>
        <w:t xml:space="preserve"> </w:t>
      </w:r>
      <w:hyperlink w:anchor="latin-record-0640">
        <w:r>
          <w:rPr>
            <w:color w:val="000000"/>
          </w:rPr>
          <w:t xml:space="preserve">infundere</w:t>
        </w:r>
      </w:hyperlink>
      <w:r>
        <w:rPr>
          <w:b w:val="0"/>
          <w:i w:val="0"/>
        </w:rPr>
        <w:t>.</w:t>
      </w:r>
    </w:p>
    <w:p>
      <w:pPr>
        <w:widowControl/>
      </w:pPr>
      <w:r>
        <w:rPr>
          <w:b/>
          <w:i w:val="0"/>
        </w:rPr>
        <w:t>infundit.</w:t>
      </w:r>
      <w:r>
        <w:rPr>
          <w:b w:val="0"/>
          <w:i w:val="0"/>
        </w:rPr>
        <w:t xml:space="preserve"> </w:t>
      </w:r>
      <w:hyperlink w:anchor="latin-record-0244">
        <w:r>
          <w:rPr>
            <w:color w:val="000000"/>
          </w:rPr>
          <w:t xml:space="preserve">communicare / infundere</w:t>
        </w:r>
      </w:hyperlink>
      <w:r>
        <w:rPr>
          <w:b w:val="0"/>
          <w:i w:val="0"/>
        </w:rPr>
        <w:t xml:space="preserve">; </w:t>
      </w:r>
      <w:hyperlink w:anchor="latin-record-0640">
        <w:r>
          <w:rPr>
            <w:color w:val="000000"/>
          </w:rPr>
          <w:t xml:space="preserve">infundere</w:t>
        </w:r>
      </w:hyperlink>
      <w:r>
        <w:rPr>
          <w:b w:val="0"/>
          <w:i w:val="0"/>
        </w:rPr>
        <w:t>.</w:t>
      </w:r>
    </w:p>
    <w:p>
      <w:pPr>
        <w:widowControl/>
      </w:pPr>
      <w:r>
        <w:rPr>
          <w:b/>
          <w:i w:val="0"/>
        </w:rPr>
        <w:t>infundunt.</w:t>
      </w:r>
      <w:r>
        <w:rPr>
          <w:b w:val="0"/>
          <w:i w:val="0"/>
        </w:rPr>
        <w:t xml:space="preserve"> </w:t>
      </w:r>
      <w:hyperlink w:anchor="latin-record-0640">
        <w:r>
          <w:rPr>
            <w:color w:val="000000"/>
          </w:rPr>
          <w:t xml:space="preserve">infundere</w:t>
        </w:r>
      </w:hyperlink>
      <w:r>
        <w:rPr>
          <w:b w:val="0"/>
          <w:i w:val="0"/>
        </w:rPr>
        <w:t>.</w:t>
      </w:r>
    </w:p>
    <w:p>
      <w:pPr>
        <w:widowControl/>
      </w:pPr>
      <w:r>
        <w:rPr>
          <w:b/>
          <w:i w:val="0"/>
        </w:rPr>
        <w:t>ingenii.</w:t>
      </w:r>
      <w:r>
        <w:rPr>
          <w:b w:val="0"/>
          <w:i w:val="0"/>
        </w:rPr>
        <w:t xml:space="preserve"> </w:t>
      </w:r>
      <w:hyperlink w:anchor="latin-record-0641">
        <w:r>
          <w:rPr>
            <w:color w:val="000000"/>
          </w:rPr>
          <w:t xml:space="preserve">ingenium</w:t>
        </w:r>
      </w:hyperlink>
      <w:r>
        <w:rPr>
          <w:b w:val="0"/>
          <w:i w:val="0"/>
        </w:rPr>
        <w:t>.</w:t>
      </w:r>
    </w:p>
    <w:p>
      <w:pPr>
        <w:widowControl/>
      </w:pPr>
      <w:r>
        <w:rPr>
          <w:b/>
          <w:i w:val="0"/>
        </w:rPr>
        <w:t>ingenio.</w:t>
      </w:r>
      <w:r>
        <w:rPr>
          <w:b w:val="0"/>
          <w:i w:val="0"/>
        </w:rPr>
        <w:t xml:space="preserve"> </w:t>
      </w:r>
      <w:hyperlink w:anchor="latin-record-0641">
        <w:r>
          <w:rPr>
            <w:color w:val="000000"/>
          </w:rPr>
          <w:t xml:space="preserve">ingenium</w:t>
        </w:r>
      </w:hyperlink>
      <w:r>
        <w:rPr>
          <w:b w:val="0"/>
          <w:i w:val="0"/>
        </w:rPr>
        <w:t>.</w:t>
      </w:r>
    </w:p>
    <w:p>
      <w:pPr>
        <w:widowControl/>
      </w:pPr>
      <w:r>
        <w:rPr>
          <w:b/>
          <w:i w:val="0"/>
        </w:rPr>
        <w:t>ingeniosior.</w:t>
      </w:r>
      <w:r>
        <w:rPr>
          <w:b w:val="0"/>
          <w:i w:val="0"/>
        </w:rPr>
        <w:t xml:space="preserve"> </w:t>
      </w:r>
      <w:hyperlink w:anchor="latin-record-1174">
        <w:r>
          <w:rPr>
            <w:color w:val="000000"/>
          </w:rPr>
          <w:t xml:space="preserve">simia / asinus / ingenium</w:t>
        </w:r>
      </w:hyperlink>
      <w:r>
        <w:rPr>
          <w:b w:val="0"/>
          <w:i w:val="0"/>
        </w:rPr>
        <w:t>.</w:t>
      </w:r>
    </w:p>
    <w:p>
      <w:pPr>
        <w:widowControl/>
      </w:pPr>
      <w:r>
        <w:rPr>
          <w:b/>
          <w:i w:val="0"/>
        </w:rPr>
        <w:t>ingenium.</w:t>
      </w:r>
      <w:r>
        <w:rPr>
          <w:b w:val="0"/>
          <w:i w:val="0"/>
        </w:rPr>
        <w:t xml:space="preserve"> </w:t>
      </w:r>
      <w:hyperlink w:anchor="latin-record-0641">
        <w:r>
          <w:rPr>
            <w:color w:val="000000"/>
          </w:rPr>
          <w:t xml:space="preserve">ingenium</w:t>
        </w:r>
      </w:hyperlink>
      <w:r>
        <w:rPr>
          <w:b w:val="0"/>
          <w:i w:val="0"/>
        </w:rPr>
        <w:t>.</w:t>
      </w:r>
    </w:p>
    <w:p>
      <w:pPr>
        <w:widowControl/>
      </w:pPr>
      <w:r>
        <w:rPr>
          <w:b/>
          <w:i w:val="0"/>
        </w:rPr>
        <w:t>ingens.</w:t>
      </w:r>
      <w:r>
        <w:rPr>
          <w:b w:val="0"/>
          <w:i w:val="0"/>
        </w:rPr>
        <w:t xml:space="preserve"> </w:t>
      </w:r>
      <w:hyperlink w:anchor="latin-record-0593">
        <w:r>
          <w:rPr>
            <w:color w:val="000000"/>
          </w:rPr>
          <w:t xml:space="preserve">immensus / ingens</w:t>
        </w:r>
      </w:hyperlink>
      <w:r>
        <w:rPr>
          <w:b w:val="0"/>
          <w:i w:val="0"/>
        </w:rPr>
        <w:t>.</w:t>
      </w:r>
    </w:p>
    <w:p>
      <w:pPr>
        <w:widowControl/>
      </w:pPr>
      <w:r>
        <w:rPr>
          <w:b/>
          <w:i w:val="0"/>
        </w:rPr>
        <w:t>ingentem.</w:t>
      </w:r>
      <w:r>
        <w:rPr>
          <w:b w:val="0"/>
          <w:i w:val="0"/>
        </w:rPr>
        <w:t xml:space="preserve"> </w:t>
      </w:r>
      <w:hyperlink w:anchor="latin-record-0593">
        <w:r>
          <w:rPr>
            <w:color w:val="000000"/>
          </w:rPr>
          <w:t xml:space="preserve">immensus / ingens</w:t>
        </w:r>
      </w:hyperlink>
      <w:r>
        <w:rPr>
          <w:b w:val="0"/>
          <w:i w:val="0"/>
        </w:rPr>
        <w:t>.</w:t>
      </w:r>
    </w:p>
    <w:p>
      <w:pPr>
        <w:widowControl/>
      </w:pPr>
      <w:r>
        <w:rPr>
          <w:b/>
          <w:i w:val="0"/>
        </w:rPr>
        <w:t>inhaerentem.</w:t>
      </w:r>
      <w:r>
        <w:rPr>
          <w:b w:val="0"/>
          <w:i w:val="0"/>
        </w:rPr>
        <w:t xml:space="preserve"> </w:t>
      </w:r>
      <w:hyperlink w:anchor="latin-record-0556">
        <w:r>
          <w:rPr>
            <w:color w:val="000000"/>
          </w:rPr>
          <w:t xml:space="preserve">haerere / inhaerere</w:t>
        </w:r>
      </w:hyperlink>
      <w:r>
        <w:rPr>
          <w:b w:val="0"/>
          <w:i w:val="0"/>
        </w:rPr>
        <w:t>.</w:t>
      </w:r>
    </w:p>
    <w:p>
      <w:pPr>
        <w:widowControl/>
      </w:pPr>
      <w:r>
        <w:rPr>
          <w:b/>
          <w:i w:val="0"/>
        </w:rPr>
        <w:t>inhaerere.</w:t>
      </w:r>
      <w:r>
        <w:rPr>
          <w:b w:val="0"/>
          <w:i w:val="0"/>
        </w:rPr>
        <w:t xml:space="preserve"> </w:t>
      </w:r>
      <w:hyperlink w:anchor="latin-record-0556">
        <w:r>
          <w:rPr>
            <w:color w:val="000000"/>
          </w:rPr>
          <w:t xml:space="preserve">haerere / inhaerere</w:t>
        </w:r>
      </w:hyperlink>
      <w:r>
        <w:rPr>
          <w:b w:val="0"/>
          <w:i w:val="0"/>
        </w:rPr>
        <w:t>.</w:t>
      </w:r>
    </w:p>
    <w:p>
      <w:pPr>
        <w:widowControl/>
      </w:pPr>
      <w:r>
        <w:rPr>
          <w:b/>
          <w:i w:val="0"/>
        </w:rPr>
        <w:t>inhaeret.</w:t>
      </w:r>
      <w:r>
        <w:rPr>
          <w:b w:val="0"/>
          <w:i w:val="0"/>
        </w:rPr>
        <w:t xml:space="preserve"> </w:t>
      </w:r>
      <w:hyperlink w:anchor="latin-record-0556">
        <w:r>
          <w:rPr>
            <w:color w:val="000000"/>
          </w:rPr>
          <w:t xml:space="preserve">haerere / inhaerere</w:t>
        </w:r>
      </w:hyperlink>
      <w:r>
        <w:rPr>
          <w:b w:val="0"/>
          <w:i w:val="0"/>
        </w:rPr>
        <w:t>.</w:t>
      </w:r>
    </w:p>
    <w:p>
      <w:pPr>
        <w:widowControl/>
      </w:pPr>
      <w:r>
        <w:rPr>
          <w:b/>
          <w:i w:val="0"/>
        </w:rPr>
        <w:t>inimica.</w:t>
      </w:r>
      <w:r>
        <w:rPr>
          <w:b w:val="0"/>
          <w:i w:val="0"/>
        </w:rPr>
        <w:t xml:space="preserve"> </w:t>
      </w:r>
      <w:hyperlink w:anchor="latin-record-0273">
        <w:r>
          <w:rPr>
            <w:color w:val="000000"/>
          </w:rPr>
          <w:t xml:space="preserve">conciliare / pax</w:t>
        </w:r>
      </w:hyperlink>
      <w:r>
        <w:rPr>
          <w:b w:val="0"/>
          <w:i w:val="0"/>
        </w:rPr>
        <w:t>.</w:t>
      </w:r>
    </w:p>
    <w:p>
      <w:pPr>
        <w:widowControl/>
      </w:pPr>
      <w:r>
        <w:rPr>
          <w:b/>
          <w:i w:val="0"/>
        </w:rPr>
        <w:t>innotescere.</w:t>
      </w:r>
      <w:r>
        <w:rPr>
          <w:b w:val="0"/>
          <w:i w:val="0"/>
        </w:rPr>
        <w:t xml:space="preserve"> </w:t>
      </w:r>
      <w:hyperlink w:anchor="latin-record-0642">
        <w:r>
          <w:rPr>
            <w:color w:val="000000"/>
          </w:rPr>
          <w:t xml:space="preserve">innotescere; circumscribere</w:t>
        </w:r>
      </w:hyperlink>
      <w:r>
        <w:rPr>
          <w:b w:val="0"/>
          <w:i w:val="0"/>
        </w:rPr>
        <w:t>.</w:t>
      </w:r>
    </w:p>
    <w:p>
      <w:pPr>
        <w:widowControl/>
      </w:pPr>
      <w:r>
        <w:rPr>
          <w:b/>
          <w:i w:val="0"/>
        </w:rPr>
        <w:t>innumerabiles.</w:t>
      </w:r>
      <w:r>
        <w:rPr>
          <w:b w:val="0"/>
          <w:i w:val="0"/>
        </w:rPr>
        <w:t xml:space="preserve"> </w:t>
      </w:r>
      <w:hyperlink w:anchor="latin-record-0635">
        <w:r>
          <w:rPr>
            <w:color w:val="000000"/>
          </w:rPr>
          <w:t xml:space="preserve">infinitus / innumerabilis</w:t>
        </w:r>
      </w:hyperlink>
      <w:r>
        <w:rPr>
          <w:b w:val="0"/>
          <w:i w:val="0"/>
        </w:rPr>
        <w:t xml:space="preserve">; </w:t>
      </w:r>
      <w:hyperlink w:anchor="latin-record-0643">
        <w:r>
          <w:rPr>
            <w:color w:val="000000"/>
          </w:rPr>
          <w:t xml:space="preserve">innumerabilis</w:t>
        </w:r>
      </w:hyperlink>
      <w:r>
        <w:rPr>
          <w:b w:val="0"/>
          <w:i w:val="0"/>
        </w:rPr>
        <w:t>.</w:t>
      </w:r>
    </w:p>
    <w:p>
      <w:pPr>
        <w:widowControl/>
      </w:pPr>
      <w:r>
        <w:rPr>
          <w:b/>
          <w:i w:val="0"/>
        </w:rPr>
        <w:t>Innumerabiles.</w:t>
      </w:r>
      <w:r>
        <w:rPr>
          <w:b w:val="0"/>
          <w:i w:val="0"/>
        </w:rPr>
        <w:t xml:space="preserve"> </w:t>
      </w:r>
      <w:hyperlink w:anchor="latin-record-0643">
        <w:r>
          <w:rPr>
            <w:color w:val="000000"/>
          </w:rPr>
          <w:t xml:space="preserve">innumerabilis</w:t>
        </w:r>
      </w:hyperlink>
      <w:r>
        <w:rPr>
          <w:b w:val="0"/>
          <w:i w:val="0"/>
        </w:rPr>
        <w:t>.</w:t>
      </w:r>
    </w:p>
    <w:p>
      <w:pPr>
        <w:widowControl/>
      </w:pPr>
      <w:r>
        <w:rPr>
          <w:b/>
          <w:i w:val="0"/>
        </w:rPr>
        <w:t>innumerabilia.</w:t>
      </w:r>
      <w:r>
        <w:rPr>
          <w:b w:val="0"/>
          <w:i w:val="0"/>
        </w:rPr>
        <w:t xml:space="preserve"> </w:t>
      </w:r>
      <w:hyperlink w:anchor="latin-record-0643">
        <w:r>
          <w:rPr>
            <w:color w:val="000000"/>
          </w:rPr>
          <w:t xml:space="preserve">innumerabilis</w:t>
        </w:r>
      </w:hyperlink>
      <w:r>
        <w:rPr>
          <w:b w:val="0"/>
          <w:i w:val="0"/>
        </w:rPr>
        <w:t>.</w:t>
      </w:r>
    </w:p>
    <w:p>
      <w:pPr>
        <w:widowControl/>
      </w:pPr>
      <w:r>
        <w:rPr>
          <w:b/>
          <w:i w:val="0"/>
        </w:rPr>
        <w:t>innumerabilibus.</w:t>
      </w:r>
      <w:r>
        <w:rPr>
          <w:b w:val="0"/>
          <w:i w:val="0"/>
        </w:rPr>
        <w:t xml:space="preserve"> </w:t>
      </w:r>
      <w:hyperlink w:anchor="latin-record-0643">
        <w:r>
          <w:rPr>
            <w:color w:val="000000"/>
          </w:rPr>
          <w:t xml:space="preserve">innumerabilis</w:t>
        </w:r>
      </w:hyperlink>
      <w:r>
        <w:rPr>
          <w:b w:val="0"/>
          <w:i w:val="0"/>
        </w:rPr>
        <w:t>.</w:t>
      </w:r>
    </w:p>
    <w:p>
      <w:pPr>
        <w:widowControl/>
      </w:pPr>
      <w:r>
        <w:rPr>
          <w:b/>
          <w:i w:val="0"/>
        </w:rPr>
        <w:t>innumerabilis.</w:t>
      </w:r>
      <w:r>
        <w:rPr>
          <w:b w:val="0"/>
          <w:i w:val="0"/>
        </w:rPr>
        <w:t xml:space="preserve"> </w:t>
      </w:r>
      <w:hyperlink w:anchor="latin-record-0643">
        <w:r>
          <w:rPr>
            <w:color w:val="000000"/>
          </w:rPr>
          <w:t xml:space="preserve">innumerabilis</w:t>
        </w:r>
      </w:hyperlink>
      <w:r>
        <w:rPr>
          <w:b w:val="0"/>
          <w:i w:val="0"/>
        </w:rPr>
        <w:t>.</w:t>
      </w:r>
    </w:p>
    <w:p>
      <w:pPr>
        <w:widowControl/>
      </w:pPr>
      <w:r>
        <w:rPr>
          <w:b/>
          <w:i w:val="0"/>
        </w:rPr>
        <w:t>innumerabiliter.</w:t>
      </w:r>
      <w:r>
        <w:rPr>
          <w:b w:val="0"/>
          <w:i w:val="0"/>
        </w:rPr>
        <w:t xml:space="preserve"> </w:t>
      </w:r>
      <w:hyperlink w:anchor="latin-record-0643">
        <w:r>
          <w:rPr>
            <w:color w:val="000000"/>
          </w:rPr>
          <w:t xml:space="preserve">innumerabilis</w:t>
        </w:r>
      </w:hyperlink>
      <w:r>
        <w:rPr>
          <w:b w:val="0"/>
          <w:i w:val="0"/>
        </w:rPr>
        <w:t>.</w:t>
      </w:r>
    </w:p>
    <w:p>
      <w:pPr>
        <w:widowControl/>
      </w:pPr>
      <w:r>
        <w:rPr>
          <w:b/>
          <w:i w:val="0"/>
        </w:rPr>
        <w:t>innumeralis unitas animalis.</w:t>
      </w:r>
      <w:r>
        <w:rPr>
          <w:b w:val="0"/>
          <w:i w:val="0"/>
        </w:rPr>
        <w:t xml:space="preserve"> </w:t>
      </w:r>
      <w:hyperlink w:anchor="latin-record-0644">
        <w:r>
          <w:rPr>
            <w:color w:val="000000"/>
          </w:rPr>
          <w:t xml:space="preserve">innumeralis unitas</w:t>
        </w:r>
      </w:hyperlink>
      <w:r>
        <w:rPr>
          <w:b w:val="0"/>
          <w:i w:val="0"/>
        </w:rPr>
        <w:t>.</w:t>
      </w:r>
    </w:p>
    <w:p>
      <w:pPr>
        <w:widowControl/>
      </w:pPr>
      <w:r>
        <w:rPr>
          <w:b/>
          <w:i w:val="0"/>
        </w:rPr>
        <w:t>innumere.</w:t>
      </w:r>
      <w:r>
        <w:rPr>
          <w:b w:val="0"/>
          <w:i w:val="0"/>
        </w:rPr>
        <w:t xml:space="preserve"> </w:t>
      </w:r>
      <w:hyperlink w:anchor="latin-record-0643">
        <w:r>
          <w:rPr>
            <w:color w:val="000000"/>
          </w:rPr>
          <w:t xml:space="preserve">innumerabilis</w:t>
        </w:r>
      </w:hyperlink>
      <w:r>
        <w:rPr>
          <w:b w:val="0"/>
          <w:i w:val="0"/>
        </w:rPr>
        <w:t>.</w:t>
      </w:r>
    </w:p>
    <w:p>
      <w:pPr>
        <w:widowControl/>
      </w:pPr>
      <w:r>
        <w:rPr>
          <w:b/>
          <w:i w:val="0"/>
        </w:rPr>
        <w:t>inquam.</w:t>
      </w:r>
      <w:r>
        <w:rPr>
          <w:b w:val="0"/>
          <w:i w:val="0"/>
        </w:rPr>
        <w:t xml:space="preserve"> </w:t>
      </w:r>
      <w:hyperlink w:anchor="latin-record-0645">
        <w:r>
          <w:rPr>
            <w:color w:val="000000"/>
          </w:rPr>
          <w:t xml:space="preserve">inquam</w:t>
        </w:r>
      </w:hyperlink>
      <w:r>
        <w:rPr>
          <w:b w:val="0"/>
          <w:i w:val="0"/>
        </w:rPr>
        <w:t>.</w:t>
      </w:r>
    </w:p>
    <w:p>
      <w:pPr>
        <w:widowControl/>
      </w:pPr>
      <w:r>
        <w:rPr>
          <w:b/>
          <w:i w:val="0"/>
        </w:rPr>
        <w:t>inquinabitur.</w:t>
      </w:r>
      <w:r>
        <w:rPr>
          <w:b w:val="0"/>
          <w:i w:val="0"/>
        </w:rPr>
        <w:t xml:space="preserve"> </w:t>
      </w:r>
      <w:hyperlink w:anchor="latin-record-0646">
        <w:r>
          <w:rPr>
            <w:color w:val="000000"/>
          </w:rPr>
          <w:t xml:space="preserve">inquinare</w:t>
        </w:r>
      </w:hyperlink>
      <w:r>
        <w:rPr>
          <w:b w:val="0"/>
          <w:i w:val="0"/>
        </w:rPr>
        <w:t>.</w:t>
      </w:r>
    </w:p>
    <w:p>
      <w:pPr>
        <w:widowControl/>
      </w:pPr>
      <w:r>
        <w:rPr>
          <w:b/>
          <w:i w:val="0"/>
        </w:rPr>
        <w:t>inquinat.</w:t>
      </w:r>
      <w:r>
        <w:rPr>
          <w:b w:val="0"/>
          <w:i w:val="0"/>
        </w:rPr>
        <w:t xml:space="preserve"> </w:t>
      </w:r>
      <w:hyperlink w:anchor="latin-record-0646">
        <w:r>
          <w:rPr>
            <w:color w:val="000000"/>
          </w:rPr>
          <w:t xml:space="preserve">inquinare</w:t>
        </w:r>
      </w:hyperlink>
      <w:r>
        <w:rPr>
          <w:b w:val="0"/>
          <w:i w:val="0"/>
        </w:rPr>
        <w:t>.</w:t>
      </w:r>
    </w:p>
    <w:p>
      <w:pPr>
        <w:widowControl/>
      </w:pPr>
      <w:r>
        <w:rPr>
          <w:b/>
          <w:i w:val="0"/>
        </w:rPr>
        <w:t>inquinationemque.</w:t>
      </w:r>
      <w:r>
        <w:rPr>
          <w:b w:val="0"/>
          <w:i w:val="0"/>
        </w:rPr>
        <w:t xml:space="preserve"> </w:t>
      </w:r>
      <w:hyperlink w:anchor="latin-record-1271">
        <w:r>
          <w:rPr>
            <w:color w:val="000000"/>
          </w:rPr>
          <w:t xml:space="preserve">sustentaculum / inquinatio</w:t>
        </w:r>
      </w:hyperlink>
      <w:r>
        <w:rPr>
          <w:b w:val="0"/>
          <w:i w:val="0"/>
        </w:rPr>
        <w:t>.</w:t>
      </w:r>
    </w:p>
    <w:p>
      <w:pPr>
        <w:widowControl/>
      </w:pPr>
      <w:r>
        <w:rPr>
          <w:b/>
          <w:i w:val="0"/>
        </w:rPr>
        <w:t>inquinatur.</w:t>
      </w:r>
      <w:r>
        <w:rPr>
          <w:b w:val="0"/>
          <w:i w:val="0"/>
        </w:rPr>
        <w:t xml:space="preserve"> </w:t>
      </w:r>
      <w:hyperlink w:anchor="latin-record-1271">
        <w:r>
          <w:rPr>
            <w:color w:val="000000"/>
          </w:rPr>
          <w:t xml:space="preserve">sustentaculum / inquinatio</w:t>
        </w:r>
      </w:hyperlink>
      <w:r>
        <w:rPr>
          <w:b w:val="0"/>
          <w:i w:val="0"/>
        </w:rPr>
        <w:t>.</w:t>
      </w:r>
    </w:p>
    <w:p>
      <w:pPr>
        <w:widowControl/>
      </w:pPr>
      <w:r>
        <w:rPr>
          <w:b/>
          <w:i w:val="0"/>
        </w:rPr>
        <w:t>inquit.</w:t>
      </w:r>
      <w:r>
        <w:rPr>
          <w:b w:val="0"/>
          <w:i w:val="0"/>
        </w:rPr>
        <w:t xml:space="preserve"> </w:t>
      </w:r>
      <w:hyperlink w:anchor="latin-record-0645">
        <w:r>
          <w:rPr>
            <w:color w:val="000000"/>
          </w:rPr>
          <w:t xml:space="preserve">inquam</w:t>
        </w:r>
      </w:hyperlink>
      <w:r>
        <w:rPr>
          <w:b w:val="0"/>
          <w:i w:val="0"/>
        </w:rPr>
        <w:t>.</w:t>
      </w:r>
    </w:p>
    <w:p>
      <w:pPr>
        <w:widowControl/>
      </w:pPr>
      <w:r>
        <w:rPr>
          <w:b/>
          <w:i w:val="0"/>
        </w:rPr>
        <w:t>inscitiis.</w:t>
      </w:r>
      <w:r>
        <w:rPr>
          <w:b w:val="0"/>
          <w:i w:val="0"/>
        </w:rPr>
        <w:t xml:space="preserve"> </w:t>
      </w:r>
      <w:hyperlink w:anchor="latin-record-0647">
        <w:r>
          <w:rPr>
            <w:color w:val="000000"/>
          </w:rPr>
          <w:t xml:space="preserve">inscitia</w:t>
        </w:r>
      </w:hyperlink>
      <w:r>
        <w:rPr>
          <w:b w:val="0"/>
          <w:i w:val="0"/>
        </w:rPr>
        <w:t>.</w:t>
      </w:r>
    </w:p>
    <w:p>
      <w:pPr>
        <w:widowControl/>
      </w:pPr>
      <w:r>
        <w:rPr>
          <w:b/>
          <w:i w:val="0"/>
        </w:rPr>
        <w:t>inserit.</w:t>
      </w:r>
      <w:r>
        <w:rPr>
          <w:b w:val="0"/>
          <w:i w:val="0"/>
        </w:rPr>
        <w:t xml:space="preserve"> </w:t>
      </w:r>
      <w:hyperlink w:anchor="latin-record-0648">
        <w:r>
          <w:rPr>
            <w:color w:val="000000"/>
          </w:rPr>
          <w:t xml:space="preserve">inserere / servare / revocare</w:t>
        </w:r>
      </w:hyperlink>
      <w:r>
        <w:rPr>
          <w:b w:val="0"/>
          <w:i w:val="0"/>
        </w:rPr>
        <w:t>.</w:t>
      </w:r>
    </w:p>
    <w:p>
      <w:pPr>
        <w:widowControl/>
      </w:pPr>
      <w:r>
        <w:rPr>
          <w:b/>
          <w:i w:val="0"/>
        </w:rPr>
        <w:t>insinuans.</w:t>
      </w:r>
      <w:r>
        <w:rPr>
          <w:b w:val="0"/>
          <w:i w:val="0"/>
        </w:rPr>
        <w:t xml:space="preserve"> </w:t>
      </w:r>
      <w:hyperlink w:anchor="latin-record-0332">
        <w:r>
          <w:rPr>
            <w:color w:val="000000"/>
          </w:rPr>
          <w:t xml:space="preserve">copulare / insinuare / cognatus</w:t>
        </w:r>
      </w:hyperlink>
      <w:r>
        <w:rPr>
          <w:b w:val="0"/>
          <w:i w:val="0"/>
        </w:rPr>
        <w:t>.</w:t>
      </w:r>
    </w:p>
    <w:p>
      <w:pPr>
        <w:widowControl/>
      </w:pPr>
      <w:r>
        <w:rPr>
          <w:b/>
          <w:i w:val="0"/>
        </w:rPr>
        <w:t>insinuare.</w:t>
      </w:r>
      <w:r>
        <w:rPr>
          <w:b w:val="0"/>
          <w:i w:val="0"/>
        </w:rPr>
        <w:t xml:space="preserve"> </w:t>
      </w:r>
      <w:hyperlink w:anchor="latin-record-0650">
        <w:r>
          <w:rPr>
            <w:color w:val="000000"/>
          </w:rPr>
          <w:t xml:space="preserve">insinuare; transire</w:t>
        </w:r>
      </w:hyperlink>
      <w:r>
        <w:rPr>
          <w:b w:val="0"/>
          <w:i w:val="0"/>
        </w:rPr>
        <w:t>.</w:t>
      </w:r>
    </w:p>
    <w:p>
      <w:pPr>
        <w:widowControl/>
      </w:pPr>
      <w:r>
        <w:rPr>
          <w:b/>
          <w:i w:val="0"/>
        </w:rPr>
        <w:t>insipientem.</w:t>
      </w:r>
      <w:r>
        <w:rPr>
          <w:b w:val="0"/>
          <w:i w:val="0"/>
        </w:rPr>
        <w:t xml:space="preserve"> </w:t>
      </w:r>
      <w:hyperlink w:anchor="latin-record-1132">
        <w:r>
          <w:rPr>
            <w:color w:val="000000"/>
          </w:rPr>
          <w:t xml:space="preserve">sapientia; sapiens</w:t>
        </w:r>
      </w:hyperlink>
      <w:r>
        <w:rPr>
          <w:b w:val="0"/>
          <w:i w:val="0"/>
        </w:rPr>
        <w:t>.</w:t>
      </w:r>
    </w:p>
    <w:p>
      <w:pPr>
        <w:widowControl/>
      </w:pPr>
      <w:r>
        <w:rPr>
          <w:b/>
          <w:i w:val="0"/>
        </w:rPr>
        <w:t>insita.</w:t>
      </w:r>
      <w:r>
        <w:rPr>
          <w:b w:val="0"/>
          <w:i w:val="0"/>
        </w:rPr>
        <w:t xml:space="preserve"> </w:t>
      </w:r>
      <w:hyperlink w:anchor="latin-record-1317">
        <w:r>
          <w:rPr>
            <w:color w:val="000000"/>
          </w:rPr>
          <w:t xml:space="preserve">unio plurium / vis insita</w:t>
        </w:r>
      </w:hyperlink>
      <w:r>
        <w:rPr>
          <w:b w:val="0"/>
          <w:i w:val="0"/>
        </w:rPr>
        <w:t>.</w:t>
      </w:r>
    </w:p>
    <w:p>
      <w:pPr>
        <w:widowControl/>
      </w:pPr>
      <w:r>
        <w:rPr>
          <w:b/>
          <w:i w:val="0"/>
        </w:rPr>
        <w:t>inspiciet.</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inspicit.</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inspirando.</w:t>
      </w:r>
      <w:r>
        <w:rPr>
          <w:b w:val="0"/>
          <w:i w:val="0"/>
        </w:rPr>
        <w:t xml:space="preserve"> </w:t>
      </w:r>
      <w:hyperlink w:anchor="latin-record-0651">
        <w:r>
          <w:rPr>
            <w:color w:val="000000"/>
          </w:rPr>
          <w:t xml:space="preserve">inspirare / flagrare / aestus</w:t>
        </w:r>
      </w:hyperlink>
      <w:r>
        <w:rPr>
          <w:b w:val="0"/>
          <w:i w:val="0"/>
        </w:rPr>
        <w:t>.</w:t>
      </w:r>
    </w:p>
    <w:p>
      <w:pPr>
        <w:widowControl/>
      </w:pPr>
      <w:r>
        <w:rPr>
          <w:b/>
          <w:i w:val="0"/>
        </w:rPr>
        <w:t>instinctu.</w:t>
      </w:r>
      <w:r>
        <w:rPr>
          <w:b w:val="0"/>
          <w:i w:val="0"/>
        </w:rPr>
        <w:t xml:space="preserve"> </w:t>
      </w:r>
      <w:hyperlink w:anchor="latin-record-0652">
        <w:r>
          <w:rPr>
            <w:color w:val="000000"/>
          </w:rPr>
          <w:t xml:space="preserve">instinctus</w:t>
        </w:r>
      </w:hyperlink>
      <w:r>
        <w:rPr>
          <w:b w:val="0"/>
          <w:i w:val="0"/>
        </w:rPr>
        <w:t>.</w:t>
      </w:r>
    </w:p>
    <w:p>
      <w:pPr>
        <w:widowControl/>
      </w:pPr>
      <w:r>
        <w:rPr>
          <w:b/>
          <w:i w:val="0"/>
        </w:rPr>
        <w:t>instinctus.</w:t>
      </w:r>
      <w:r>
        <w:rPr>
          <w:b w:val="0"/>
          <w:i w:val="0"/>
        </w:rPr>
        <w:t xml:space="preserve"> </w:t>
      </w:r>
      <w:hyperlink w:anchor="latin-record-0653">
        <w:r>
          <w:rPr>
            <w:color w:val="000000"/>
          </w:rPr>
          <w:t xml:space="preserve">instinctus; nixus</w:t>
        </w:r>
      </w:hyperlink>
      <w:r>
        <w:rPr>
          <w:b w:val="0"/>
          <w:i w:val="0"/>
        </w:rPr>
        <w:t>.</w:t>
      </w:r>
    </w:p>
    <w:p>
      <w:pPr>
        <w:widowControl/>
      </w:pPr>
      <w:r>
        <w:rPr>
          <w:b/>
          <w:i w:val="0"/>
        </w:rPr>
        <w:t>instrumenta.</w:t>
      </w:r>
      <w:r>
        <w:rPr>
          <w:b w:val="0"/>
          <w:i w:val="0"/>
        </w:rPr>
        <w:t xml:space="preserve"> </w:t>
      </w:r>
      <w:hyperlink w:anchor="latin-record-0128">
        <w:r>
          <w:rPr>
            <w:color w:val="000000"/>
          </w:rPr>
          <w:t xml:space="preserve">ars / instrumentum</w:t>
        </w:r>
      </w:hyperlink>
      <w:r>
        <w:rPr>
          <w:b w:val="0"/>
          <w:i w:val="0"/>
        </w:rPr>
        <w:t xml:space="preserve">; </w:t>
      </w:r>
      <w:hyperlink w:anchor="latin-record-0654">
        <w:r>
          <w:rPr>
            <w:color w:val="000000"/>
          </w:rPr>
          <w:t xml:space="preserve">instrumentum</w:t>
        </w:r>
      </w:hyperlink>
      <w:r>
        <w:rPr>
          <w:b w:val="0"/>
          <w:i w:val="0"/>
        </w:rPr>
        <w:t>.</w:t>
      </w:r>
    </w:p>
    <w:p>
      <w:pPr>
        <w:widowControl/>
      </w:pPr>
      <w:r>
        <w:rPr>
          <w:b/>
          <w:i w:val="0"/>
        </w:rPr>
        <w:t>instrumentis.</w:t>
      </w:r>
      <w:r>
        <w:rPr>
          <w:b w:val="0"/>
          <w:i w:val="0"/>
        </w:rPr>
        <w:t xml:space="preserve"> </w:t>
      </w:r>
      <w:hyperlink w:anchor="latin-record-0654">
        <w:r>
          <w:rPr>
            <w:color w:val="000000"/>
          </w:rPr>
          <w:t xml:space="preserve">instrumentum</w:t>
        </w:r>
      </w:hyperlink>
      <w:r>
        <w:rPr>
          <w:b w:val="0"/>
          <w:i w:val="0"/>
        </w:rPr>
        <w:t>.</w:t>
      </w:r>
    </w:p>
    <w:p>
      <w:pPr>
        <w:widowControl/>
      </w:pPr>
      <w:r>
        <w:rPr>
          <w:b/>
          <w:i w:val="0"/>
        </w:rPr>
        <w:t>instrumentum.</w:t>
      </w:r>
      <w:r>
        <w:rPr>
          <w:b w:val="0"/>
          <w:i w:val="0"/>
        </w:rPr>
        <w:t xml:space="preserve"> </w:t>
      </w:r>
      <w:hyperlink w:anchor="latin-record-0654">
        <w:r>
          <w:rPr>
            <w:color w:val="000000"/>
          </w:rPr>
          <w:t xml:space="preserve">instrumentum</w:t>
        </w:r>
      </w:hyperlink>
      <w:r>
        <w:rPr>
          <w:b w:val="0"/>
          <w:i w:val="0"/>
        </w:rPr>
        <w:t>.</w:t>
      </w:r>
    </w:p>
    <w:p>
      <w:pPr>
        <w:widowControl/>
      </w:pPr>
      <w:r>
        <w:rPr>
          <w:b/>
          <w:i w:val="0"/>
        </w:rPr>
        <w:t>instrumentum generationi subserviens.</w:t>
      </w:r>
      <w:r>
        <w:rPr>
          <w:b w:val="0"/>
          <w:i w:val="0"/>
        </w:rPr>
        <w:t xml:space="preserve"> </w:t>
      </w:r>
      <w:hyperlink w:anchor="latin-record-0655">
        <w:r>
          <w:rPr>
            <w:color w:val="000000"/>
          </w:rPr>
          <w:t xml:space="preserve">instrumentum; subservire</w:t>
        </w:r>
      </w:hyperlink>
      <w:r>
        <w:rPr>
          <w:b w:val="0"/>
          <w:i w:val="0"/>
        </w:rPr>
        <w:t>.</w:t>
      </w:r>
    </w:p>
    <w:p>
      <w:pPr>
        <w:widowControl/>
      </w:pPr>
      <w:r>
        <w:rPr>
          <w:b/>
          <w:i w:val="0"/>
        </w:rPr>
        <w:t>insunt.</w:t>
      </w:r>
      <w:r>
        <w:rPr>
          <w:b w:val="0"/>
          <w:i w:val="0"/>
        </w:rPr>
        <w:t xml:space="preserve"> </w:t>
      </w:r>
      <w:hyperlink w:anchor="latin-record-0630">
        <w:r>
          <w:rPr>
            <w:color w:val="000000"/>
          </w:rPr>
          <w:t xml:space="preserve">inesse</w:t>
        </w:r>
      </w:hyperlink>
      <w:r>
        <w:rPr>
          <w:b w:val="0"/>
          <w:i w:val="0"/>
        </w:rPr>
        <w:t>.</w:t>
      </w:r>
    </w:p>
    <w:p>
      <w:pPr>
        <w:widowControl/>
      </w:pPr>
      <w:r>
        <w:rPr>
          <w:b/>
          <w:i w:val="0"/>
        </w:rPr>
        <w:t>integra.</w:t>
      </w:r>
      <w:r>
        <w:rPr>
          <w:b w:val="0"/>
          <w:i w:val="0"/>
        </w:rPr>
        <w:t xml:space="preserve"> </w:t>
      </w:r>
      <w:hyperlink w:anchor="latin-record-0656">
        <w:r>
          <w:rPr>
            <w:color w:val="000000"/>
          </w:rPr>
          <w:t xml:space="preserve">integra / perfecta</w:t>
        </w:r>
      </w:hyperlink>
      <w:r>
        <w:rPr>
          <w:b w:val="0"/>
          <w:i w:val="0"/>
        </w:rPr>
        <w:t>.</w:t>
      </w:r>
    </w:p>
    <w:p>
      <w:pPr>
        <w:widowControl/>
      </w:pPr>
      <w:r>
        <w:rPr>
          <w:b/>
          <w:i w:val="0"/>
        </w:rPr>
        <w:t>integritate.</w:t>
      </w:r>
      <w:r>
        <w:rPr>
          <w:b w:val="0"/>
          <w:i w:val="0"/>
        </w:rPr>
        <w:t xml:space="preserve"> </w:t>
      </w:r>
      <w:hyperlink w:anchor="latin-record-0657">
        <w:r>
          <w:rPr>
            <w:color w:val="000000"/>
          </w:rPr>
          <w:t xml:space="preserve">integritas / puritas / supervacuum</w:t>
        </w:r>
      </w:hyperlink>
      <w:r>
        <w:rPr>
          <w:b w:val="0"/>
          <w:i w:val="0"/>
        </w:rPr>
        <w:t>.</w:t>
      </w:r>
    </w:p>
    <w:p>
      <w:pPr>
        <w:widowControl/>
      </w:pPr>
      <w:r>
        <w:rPr>
          <w:b/>
          <w:i w:val="0"/>
        </w:rPr>
        <w:t>integritatem.</w:t>
      </w:r>
      <w:r>
        <w:rPr>
          <w:b w:val="0"/>
          <w:i w:val="0"/>
        </w:rPr>
        <w:t xml:space="preserve"> </w:t>
      </w:r>
      <w:hyperlink w:anchor="latin-record-0656">
        <w:r>
          <w:rPr>
            <w:color w:val="000000"/>
          </w:rPr>
          <w:t xml:space="preserve">integra / perfecta</w:t>
        </w:r>
      </w:hyperlink>
      <w:r>
        <w:rPr>
          <w:b w:val="0"/>
          <w:i w:val="0"/>
        </w:rPr>
        <w:t>.</w:t>
      </w:r>
    </w:p>
    <w:p>
      <w:pPr>
        <w:widowControl/>
      </w:pPr>
      <w:r>
        <w:rPr>
          <w:b/>
          <w:i w:val="0"/>
        </w:rPr>
        <w:t>intellectio.</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intellectis.</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intellectu.</w:t>
      </w:r>
      <w:r>
        <w:rPr>
          <w:b w:val="0"/>
          <w:i w:val="0"/>
        </w:rPr>
        <w:t xml:space="preserve"> </w:t>
      </w:r>
      <w:hyperlink w:anchor="latin-record-0660">
        <w:r>
          <w:rPr>
            <w:color w:val="000000"/>
          </w:rPr>
          <w:t xml:space="preserve">intellectus</w:t>
        </w:r>
      </w:hyperlink>
      <w:r>
        <w:rPr>
          <w:b w:val="0"/>
          <w:i w:val="0"/>
        </w:rPr>
        <w:t xml:space="preserve">; </w:t>
      </w:r>
      <w:hyperlink w:anchor="latin-record-0661">
        <w:r>
          <w:rPr>
            <w:color w:val="000000"/>
          </w:rPr>
          <w:t xml:space="preserve">intellectus / sensus / appetitus</w:t>
        </w:r>
      </w:hyperlink>
      <w:r>
        <w:rPr>
          <w:b w:val="0"/>
          <w:i w:val="0"/>
        </w:rPr>
        <w:t>.</w:t>
      </w:r>
    </w:p>
    <w:p>
      <w:pPr>
        <w:widowControl/>
      </w:pPr>
      <w:r>
        <w:rPr>
          <w:b/>
          <w:i w:val="0"/>
        </w:rPr>
        <w:t>intellectuale.</w:t>
      </w:r>
      <w:r>
        <w:rPr>
          <w:b w:val="0"/>
          <w:i w:val="0"/>
        </w:rPr>
        <w:t xml:space="preserve"> </w:t>
      </w:r>
      <w:hyperlink w:anchor="latin-record-0658">
        <w:r>
          <w:rPr>
            <w:color w:val="000000"/>
          </w:rPr>
          <w:t xml:space="preserve">intellectualis / intelligibilis</w:t>
        </w:r>
      </w:hyperlink>
      <w:r>
        <w:rPr>
          <w:b w:val="0"/>
          <w:i w:val="0"/>
        </w:rPr>
        <w:t>.</w:t>
      </w:r>
    </w:p>
    <w:p>
      <w:pPr>
        <w:widowControl/>
      </w:pPr>
      <w:r>
        <w:rPr>
          <w:b/>
          <w:i w:val="0"/>
        </w:rPr>
        <w:t>intellectualem.</w:t>
      </w:r>
      <w:r>
        <w:rPr>
          <w:b w:val="0"/>
          <w:i w:val="0"/>
        </w:rPr>
        <w:t xml:space="preserve"> </w:t>
      </w:r>
      <w:hyperlink w:anchor="latin-record-0658">
        <w:r>
          <w:rPr>
            <w:color w:val="000000"/>
          </w:rPr>
          <w:t xml:space="preserve">intellectualis / intelligibilis</w:t>
        </w:r>
      </w:hyperlink>
      <w:r>
        <w:rPr>
          <w:b w:val="0"/>
          <w:i w:val="0"/>
        </w:rPr>
        <w:t>.</w:t>
      </w:r>
    </w:p>
    <w:p>
      <w:pPr>
        <w:widowControl/>
      </w:pPr>
      <w:r>
        <w:rPr>
          <w:b/>
          <w:i w:val="0"/>
        </w:rPr>
        <w:t>intellectuali.</w:t>
      </w:r>
      <w:r>
        <w:rPr>
          <w:b w:val="0"/>
          <w:i w:val="0"/>
        </w:rPr>
        <w:t xml:space="preserve"> </w:t>
      </w:r>
      <w:hyperlink w:anchor="latin-record-0658">
        <w:r>
          <w:rPr>
            <w:color w:val="000000"/>
          </w:rPr>
          <w:t xml:space="preserve">intellectualis / intelligibilis</w:t>
        </w:r>
      </w:hyperlink>
      <w:r>
        <w:rPr>
          <w:b w:val="0"/>
          <w:i w:val="0"/>
        </w:rPr>
        <w:t>.</w:t>
      </w:r>
    </w:p>
    <w:p>
      <w:pPr>
        <w:widowControl/>
      </w:pPr>
      <w:r>
        <w:rPr>
          <w:b/>
          <w:i w:val="0"/>
        </w:rPr>
        <w:t>intellectualis.</w:t>
      </w:r>
      <w:r>
        <w:rPr>
          <w:b w:val="0"/>
          <w:i w:val="0"/>
        </w:rPr>
        <w:t xml:space="preserve"> </w:t>
      </w:r>
      <w:hyperlink w:anchor="latin-record-0658">
        <w:r>
          <w:rPr>
            <w:color w:val="000000"/>
          </w:rPr>
          <w:t xml:space="preserve">intellectualis / intelligibilis</w:t>
        </w:r>
      </w:hyperlink>
      <w:r>
        <w:rPr>
          <w:b w:val="0"/>
          <w:i w:val="0"/>
        </w:rPr>
        <w:t>.</w:t>
      </w:r>
    </w:p>
    <w:p>
      <w:pPr>
        <w:widowControl/>
      </w:pPr>
      <w:r>
        <w:rPr>
          <w:b/>
          <w:i w:val="0"/>
        </w:rPr>
        <w:t>intellectualitas.</w:t>
      </w:r>
      <w:r>
        <w:rPr>
          <w:b w:val="0"/>
          <w:i w:val="0"/>
        </w:rPr>
        <w:t xml:space="preserve"> </w:t>
      </w:r>
      <w:hyperlink w:anchor="latin-record-0659">
        <w:r>
          <w:rPr>
            <w:color w:val="000000"/>
          </w:rPr>
          <w:t xml:space="preserve">intellectualitas</w:t>
        </w:r>
      </w:hyperlink>
      <w:r>
        <w:rPr>
          <w:b w:val="0"/>
          <w:i w:val="0"/>
        </w:rPr>
        <w:t>.</w:t>
      </w:r>
    </w:p>
    <w:p>
      <w:pPr>
        <w:widowControl/>
      </w:pPr>
      <w:r>
        <w:rPr>
          <w:b/>
          <w:i w:val="0"/>
        </w:rPr>
        <w:t>intellectum.</w:t>
      </w:r>
      <w:r>
        <w:rPr>
          <w:b w:val="0"/>
          <w:i w:val="0"/>
        </w:rPr>
        <w:t xml:space="preserve"> </w:t>
      </w:r>
      <w:hyperlink w:anchor="latin-record-0660">
        <w:r>
          <w:rPr>
            <w:color w:val="000000"/>
          </w:rPr>
          <w:t xml:space="preserve">intellectus</w:t>
        </w:r>
      </w:hyperlink>
      <w:r>
        <w:rPr>
          <w:b w:val="0"/>
          <w:i w:val="0"/>
        </w:rPr>
        <w:t>.</w:t>
      </w:r>
    </w:p>
    <w:p>
      <w:pPr>
        <w:widowControl/>
      </w:pPr>
      <w:r>
        <w:rPr>
          <w:b/>
          <w:i w:val="0"/>
        </w:rPr>
        <w:t>Intellectus.</w:t>
      </w:r>
      <w:r>
        <w:rPr>
          <w:b w:val="0"/>
          <w:i w:val="0"/>
        </w:rPr>
        <w:t xml:space="preserve"> </w:t>
      </w:r>
      <w:hyperlink w:anchor="latin-record-0660">
        <w:r>
          <w:rPr>
            <w:color w:val="000000"/>
          </w:rPr>
          <w:t xml:space="preserve">intellectus</w:t>
        </w:r>
      </w:hyperlink>
      <w:r>
        <w:rPr>
          <w:b w:val="0"/>
          <w:i w:val="0"/>
        </w:rPr>
        <w:t>.</w:t>
      </w:r>
    </w:p>
    <w:p>
      <w:pPr>
        <w:widowControl/>
      </w:pPr>
      <w:r>
        <w:rPr>
          <w:b/>
          <w:i w:val="0"/>
        </w:rPr>
        <w:t>intellectus.</w:t>
      </w:r>
      <w:r>
        <w:rPr>
          <w:b w:val="0"/>
          <w:i w:val="0"/>
        </w:rPr>
        <w:t xml:space="preserve"> </w:t>
      </w:r>
      <w:hyperlink w:anchor="latin-record-0660">
        <w:r>
          <w:rPr>
            <w:color w:val="000000"/>
          </w:rPr>
          <w:t xml:space="preserve">intellectus</w:t>
        </w:r>
      </w:hyperlink>
      <w:r>
        <w:rPr>
          <w:b w:val="0"/>
          <w:i w:val="0"/>
        </w:rPr>
        <w:t xml:space="preserve">; </w:t>
      </w:r>
      <w:hyperlink w:anchor="latin-record-0661">
        <w:r>
          <w:rPr>
            <w:color w:val="000000"/>
          </w:rPr>
          <w:t xml:space="preserve">intellectus / sensus / appetitus</w:t>
        </w:r>
      </w:hyperlink>
      <w:r>
        <w:rPr>
          <w:b w:val="0"/>
          <w:i w:val="0"/>
        </w:rPr>
        <w:t>.</w:t>
      </w:r>
    </w:p>
    <w:p>
      <w:pPr>
        <w:widowControl/>
      </w:pPr>
      <w:r>
        <w:rPr>
          <w:b/>
          <w:i w:val="0"/>
        </w:rPr>
        <w:t>intellectus purus.</w:t>
      </w:r>
      <w:r>
        <w:rPr>
          <w:b w:val="0"/>
          <w:i w:val="0"/>
        </w:rPr>
        <w:t xml:space="preserve"> </w:t>
      </w:r>
      <w:hyperlink w:anchor="latin-record-0662">
        <w:r>
          <w:rPr>
            <w:color w:val="000000"/>
          </w:rPr>
          <w:t xml:space="preserve">intellectus purus</w:t>
        </w:r>
      </w:hyperlink>
      <w:r>
        <w:rPr>
          <w:b w:val="0"/>
          <w:i w:val="0"/>
        </w:rPr>
        <w:t>.</w:t>
      </w:r>
    </w:p>
    <w:p>
      <w:pPr>
        <w:widowControl/>
      </w:pPr>
      <w:r>
        <w:rPr>
          <w:b/>
          <w:i w:val="0"/>
        </w:rPr>
        <w:t>intellexisse.</w:t>
      </w:r>
      <w:r>
        <w:rPr>
          <w:b w:val="0"/>
          <w:i w:val="0"/>
        </w:rPr>
        <w:t xml:space="preserve"> </w:t>
      </w:r>
      <w:hyperlink w:anchor="latin-record-0665">
        <w:r>
          <w:rPr>
            <w:color w:val="000000"/>
          </w:rPr>
          <w:t xml:space="preserve">intelligere / intelligentia</w:t>
        </w:r>
      </w:hyperlink>
      <w:r>
        <w:rPr>
          <w:b w:val="0"/>
          <w:i w:val="0"/>
        </w:rPr>
        <w:t>.</w:t>
      </w:r>
    </w:p>
    <w:p>
      <w:pPr>
        <w:widowControl/>
      </w:pPr>
      <w:r>
        <w:rPr>
          <w:b/>
          <w:i w:val="0"/>
        </w:rPr>
        <w:t>intelligat.</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intelligendae.</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intelligendi.</w:t>
      </w:r>
      <w:r>
        <w:rPr>
          <w:b w:val="0"/>
          <w:i w:val="0"/>
        </w:rPr>
        <w:t xml:space="preserve"> </w:t>
      </w:r>
      <w:hyperlink w:anchor="latin-record-0661">
        <w:r>
          <w:rPr>
            <w:color w:val="000000"/>
          </w:rPr>
          <w:t xml:space="preserve">intellectus / sensus / appetitus</w:t>
        </w:r>
      </w:hyperlink>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intelligendo.</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intelligendum.</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intelligentem.</w:t>
      </w:r>
      <w:r>
        <w:rPr>
          <w:b w:val="0"/>
          <w:i w:val="0"/>
        </w:rPr>
        <w:t xml:space="preserve"> </w:t>
      </w:r>
      <w:hyperlink w:anchor="latin-record-0667">
        <w:r>
          <w:rPr>
            <w:color w:val="000000"/>
          </w:rPr>
          <w:t xml:space="preserve">intelligibilis; intelligens</w:t>
        </w:r>
      </w:hyperlink>
      <w:r>
        <w:rPr>
          <w:b w:val="0"/>
          <w:i w:val="0"/>
        </w:rPr>
        <w:t>.</w:t>
      </w:r>
    </w:p>
    <w:p>
      <w:pPr>
        <w:widowControl/>
      </w:pPr>
      <w:r>
        <w:rPr>
          <w:b/>
          <w:i w:val="0"/>
        </w:rPr>
        <w:t>intelligentia.</w:t>
      </w:r>
      <w:r>
        <w:rPr>
          <w:b w:val="0"/>
          <w:i w:val="0"/>
        </w:rPr>
        <w:t xml:space="preserve"> </w:t>
      </w:r>
      <w:hyperlink w:anchor="latin-record-0663">
        <w:r>
          <w:rPr>
            <w:color w:val="000000"/>
          </w:rPr>
          <w:t xml:space="preserve">intelligentia</w:t>
        </w:r>
      </w:hyperlink>
      <w:r>
        <w:rPr>
          <w:b w:val="0"/>
          <w:i w:val="0"/>
        </w:rPr>
        <w:t xml:space="preserve">; </w:t>
      </w:r>
      <w:hyperlink w:anchor="latin-record-0665">
        <w:r>
          <w:rPr>
            <w:color w:val="000000"/>
          </w:rPr>
          <w:t xml:space="preserve">intelligere / intelligentia</w:t>
        </w:r>
      </w:hyperlink>
      <w:r>
        <w:rPr>
          <w:b w:val="0"/>
          <w:i w:val="0"/>
        </w:rPr>
        <w:t>.</w:t>
      </w:r>
    </w:p>
    <w:p>
      <w:pPr>
        <w:widowControl/>
      </w:pPr>
      <w:r>
        <w:rPr>
          <w:b/>
          <w:i w:val="0"/>
        </w:rPr>
        <w:t>intelligentia pura.</w:t>
      </w:r>
      <w:r>
        <w:rPr>
          <w:b w:val="0"/>
          <w:i w:val="0"/>
        </w:rPr>
        <w:t xml:space="preserve"> </w:t>
      </w:r>
      <w:hyperlink w:anchor="latin-record-0663">
        <w:r>
          <w:rPr>
            <w:color w:val="000000"/>
          </w:rPr>
          <w:t xml:space="preserve">intelligentia</w:t>
        </w:r>
      </w:hyperlink>
      <w:r>
        <w:rPr>
          <w:b w:val="0"/>
          <w:i w:val="0"/>
        </w:rPr>
        <w:t>.</w:t>
      </w:r>
    </w:p>
    <w:p>
      <w:pPr>
        <w:widowControl/>
      </w:pPr>
      <w:r>
        <w:rPr>
          <w:b/>
          <w:i w:val="0"/>
        </w:rPr>
        <w:t>intelligentiae.</w:t>
      </w:r>
      <w:r>
        <w:rPr>
          <w:b w:val="0"/>
          <w:i w:val="0"/>
        </w:rPr>
        <w:t xml:space="preserve"> </w:t>
      </w:r>
      <w:hyperlink w:anchor="latin-record-0663">
        <w:r>
          <w:rPr>
            <w:color w:val="000000"/>
          </w:rPr>
          <w:t xml:space="preserve">intelligentia</w:t>
        </w:r>
      </w:hyperlink>
      <w:r>
        <w:rPr>
          <w:b w:val="0"/>
          <w:i w:val="0"/>
        </w:rPr>
        <w:t>.</w:t>
      </w:r>
    </w:p>
    <w:p>
      <w:pPr>
        <w:widowControl/>
      </w:pPr>
      <w:r>
        <w:rPr>
          <w:b/>
          <w:i w:val="0"/>
        </w:rPr>
        <w:t>intelligentiam.</w:t>
      </w:r>
      <w:r>
        <w:rPr>
          <w:b w:val="0"/>
          <w:i w:val="0"/>
        </w:rPr>
        <w:t xml:space="preserve"> </w:t>
      </w:r>
      <w:hyperlink w:anchor="latin-record-0663">
        <w:r>
          <w:rPr>
            <w:color w:val="000000"/>
          </w:rPr>
          <w:t xml:space="preserve">intelligentia</w:t>
        </w:r>
      </w:hyperlink>
      <w:r>
        <w:rPr>
          <w:b w:val="0"/>
          <w:i w:val="0"/>
        </w:rPr>
        <w:t xml:space="preserve">; </w:t>
      </w:r>
      <w:hyperlink w:anchor="latin-record-0665">
        <w:r>
          <w:rPr>
            <w:color w:val="000000"/>
          </w:rPr>
          <w:t xml:space="preserve">intelligere / intelligentia</w:t>
        </w:r>
      </w:hyperlink>
      <w:r>
        <w:rPr>
          <w:b w:val="0"/>
          <w:i w:val="0"/>
        </w:rPr>
        <w:t>.</w:t>
      </w:r>
    </w:p>
    <w:p>
      <w:pPr>
        <w:widowControl/>
      </w:pPr>
      <w:r>
        <w:rPr>
          <w:b/>
          <w:i w:val="0"/>
        </w:rPr>
        <w:t>intelligere.</w:t>
      </w:r>
      <w:r>
        <w:rPr>
          <w:b w:val="0"/>
          <w:i w:val="0"/>
        </w:rPr>
        <w:t xml:space="preserve"> </w:t>
      </w:r>
      <w:hyperlink w:anchor="latin-record-0661">
        <w:r>
          <w:rPr>
            <w:color w:val="000000"/>
          </w:rPr>
          <w:t xml:space="preserve">intellectus / sensus / appetitus</w:t>
        </w:r>
      </w:hyperlink>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intelliget.</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intelligibilem.</w:t>
      </w:r>
      <w:r>
        <w:rPr>
          <w:b w:val="0"/>
          <w:i w:val="0"/>
        </w:rPr>
        <w:t xml:space="preserve"> </w:t>
      </w:r>
      <w:hyperlink w:anchor="latin-record-0666">
        <w:r>
          <w:rPr>
            <w:color w:val="000000"/>
          </w:rPr>
          <w:t xml:space="preserve">intelligibilis (additional forms)</w:t>
        </w:r>
      </w:hyperlink>
      <w:r>
        <w:rPr>
          <w:b w:val="0"/>
          <w:i w:val="0"/>
        </w:rPr>
        <w:t xml:space="preserve">; </w:t>
      </w:r>
      <w:hyperlink w:anchor="latin-record-0667">
        <w:r>
          <w:rPr>
            <w:color w:val="000000"/>
          </w:rPr>
          <w:t xml:space="preserve">intelligibilis; intelligens</w:t>
        </w:r>
      </w:hyperlink>
      <w:r>
        <w:rPr>
          <w:b w:val="0"/>
          <w:i w:val="0"/>
        </w:rPr>
        <w:t>.</w:t>
      </w:r>
    </w:p>
    <w:p>
      <w:pPr>
        <w:widowControl/>
      </w:pPr>
      <w:r>
        <w:rPr>
          <w:b/>
          <w:i w:val="0"/>
        </w:rPr>
        <w:t>intelligibiles.</w:t>
      </w:r>
      <w:r>
        <w:rPr>
          <w:b w:val="0"/>
          <w:i w:val="0"/>
        </w:rPr>
        <w:t xml:space="preserve"> </w:t>
      </w:r>
      <w:hyperlink w:anchor="latin-record-0658">
        <w:r>
          <w:rPr>
            <w:color w:val="000000"/>
          </w:rPr>
          <w:t xml:space="preserve">intellectualis / intelligibilis</w:t>
        </w:r>
      </w:hyperlink>
      <w:r>
        <w:rPr>
          <w:b w:val="0"/>
          <w:i w:val="0"/>
        </w:rPr>
        <w:t>.</w:t>
      </w:r>
    </w:p>
    <w:p>
      <w:pPr>
        <w:widowControl/>
      </w:pPr>
      <w:r>
        <w:rPr>
          <w:b/>
          <w:i w:val="0"/>
        </w:rPr>
        <w:t>intelligibili.</w:t>
      </w:r>
      <w:r>
        <w:rPr>
          <w:b w:val="0"/>
          <w:i w:val="0"/>
        </w:rPr>
        <w:t xml:space="preserve"> </w:t>
      </w:r>
      <w:hyperlink w:anchor="latin-record-0658">
        <w:r>
          <w:rPr>
            <w:color w:val="000000"/>
          </w:rPr>
          <w:t xml:space="preserve">intellectualis / intelligibilis</w:t>
        </w:r>
      </w:hyperlink>
      <w:r>
        <w:rPr>
          <w:b w:val="0"/>
          <w:i w:val="0"/>
        </w:rPr>
        <w:t xml:space="preserve">; </w:t>
      </w:r>
      <w:hyperlink w:anchor="latin-record-0666">
        <w:r>
          <w:rPr>
            <w:color w:val="000000"/>
          </w:rPr>
          <w:t xml:space="preserve">intelligibilis (additional forms)</w:t>
        </w:r>
      </w:hyperlink>
      <w:r>
        <w:rPr>
          <w:b w:val="0"/>
          <w:i w:val="0"/>
        </w:rPr>
        <w:t>.</w:t>
      </w:r>
    </w:p>
    <w:p>
      <w:pPr>
        <w:widowControl/>
      </w:pPr>
      <w:r>
        <w:rPr>
          <w:b/>
          <w:i w:val="0"/>
        </w:rPr>
        <w:t>intelligibilia.</w:t>
      </w:r>
      <w:r>
        <w:rPr>
          <w:b w:val="0"/>
          <w:i w:val="0"/>
        </w:rPr>
        <w:t xml:space="preserve"> </w:t>
      </w:r>
      <w:hyperlink w:anchor="latin-record-0658">
        <w:r>
          <w:rPr>
            <w:color w:val="000000"/>
          </w:rPr>
          <w:t xml:space="preserve">intellectualis / intelligibilis</w:t>
        </w:r>
      </w:hyperlink>
      <w:r>
        <w:rPr>
          <w:b w:val="0"/>
          <w:i w:val="0"/>
        </w:rPr>
        <w:t>.</w:t>
      </w:r>
    </w:p>
    <w:p>
      <w:pPr>
        <w:widowControl/>
      </w:pPr>
      <w:r>
        <w:rPr>
          <w:b/>
          <w:i w:val="0"/>
        </w:rPr>
        <w:t>intelligibilis.</w:t>
      </w:r>
      <w:r>
        <w:rPr>
          <w:b w:val="0"/>
          <w:i w:val="0"/>
        </w:rPr>
        <w:t xml:space="preserve"> </w:t>
      </w:r>
      <w:hyperlink w:anchor="latin-record-0666">
        <w:r>
          <w:rPr>
            <w:color w:val="000000"/>
          </w:rPr>
          <w:t xml:space="preserve">intelligibilis (additional forms)</w:t>
        </w:r>
      </w:hyperlink>
      <w:r>
        <w:rPr>
          <w:b w:val="0"/>
          <w:i w:val="0"/>
        </w:rPr>
        <w:t>.</w:t>
      </w:r>
    </w:p>
    <w:p>
      <w:pPr>
        <w:widowControl/>
      </w:pPr>
      <w:r>
        <w:rPr>
          <w:b/>
          <w:i w:val="0"/>
        </w:rPr>
        <w:t>Intelligit.</w:t>
      </w:r>
      <w:r>
        <w:rPr>
          <w:b w:val="0"/>
          <w:i w:val="0"/>
        </w:rPr>
        <w:t xml:space="preserve"> </w:t>
      </w:r>
      <w:hyperlink w:anchor="latin-record-0664">
        <w:r>
          <w:rPr>
            <w:color w:val="000000"/>
          </w:rPr>
          <w:t xml:space="preserve">intelligere / intellectio</w:t>
        </w:r>
      </w:hyperlink>
      <w:r>
        <w:rPr>
          <w:b w:val="0"/>
          <w:i w:val="0"/>
        </w:rPr>
        <w:t>.</w:t>
      </w:r>
    </w:p>
    <w:p>
      <w:pPr>
        <w:widowControl/>
      </w:pPr>
      <w:r>
        <w:rPr>
          <w:b/>
          <w:i w:val="0"/>
        </w:rPr>
        <w:t>intelligit.</w:t>
      </w:r>
      <w:r>
        <w:rPr>
          <w:b w:val="0"/>
          <w:i w:val="0"/>
        </w:rPr>
        <w:t xml:space="preserve"> </w:t>
      </w:r>
      <w:hyperlink w:anchor="latin-record-0664">
        <w:r>
          <w:rPr>
            <w:color w:val="000000"/>
          </w:rPr>
          <w:t xml:space="preserve">intelligere / intellectio</w:t>
        </w:r>
      </w:hyperlink>
      <w:r>
        <w:rPr>
          <w:b w:val="0"/>
          <w:i w:val="0"/>
        </w:rPr>
        <w:t xml:space="preserve">; </w:t>
      </w:r>
      <w:hyperlink w:anchor="latin-record-0665">
        <w:r>
          <w:rPr>
            <w:color w:val="000000"/>
          </w:rPr>
          <w:t xml:space="preserve">intelligere / intelligentia</w:t>
        </w:r>
      </w:hyperlink>
      <w:r>
        <w:rPr>
          <w:b w:val="0"/>
          <w:i w:val="0"/>
        </w:rPr>
        <w:t>.</w:t>
      </w:r>
    </w:p>
    <w:p>
      <w:pPr>
        <w:widowControl/>
      </w:pPr>
      <w:r>
        <w:rPr>
          <w:b/>
          <w:i w:val="0"/>
        </w:rPr>
        <w:t>intelliguntur.</w:t>
      </w:r>
      <w:r>
        <w:rPr>
          <w:b w:val="0"/>
          <w:i w:val="0"/>
        </w:rPr>
        <w:t xml:space="preserve"> </w:t>
      </w:r>
      <w:hyperlink w:anchor="latin-record-0664">
        <w:r>
          <w:rPr>
            <w:color w:val="000000"/>
          </w:rPr>
          <w:t xml:space="preserve">intelligere / intellectio</w:t>
        </w:r>
      </w:hyperlink>
      <w:r>
        <w:rPr>
          <w:b w:val="0"/>
          <w:i w:val="0"/>
        </w:rPr>
        <w:t xml:space="preserve">; </w:t>
      </w:r>
      <w:hyperlink w:anchor="latin-record-0665">
        <w:r>
          <w:rPr>
            <w:color w:val="000000"/>
          </w:rPr>
          <w:t xml:space="preserve">intelligere / intelligentia</w:t>
        </w:r>
      </w:hyperlink>
      <w:r>
        <w:rPr>
          <w:b w:val="0"/>
          <w:i w:val="0"/>
        </w:rPr>
        <w:t>.</w:t>
      </w:r>
    </w:p>
    <w:p>
      <w:pPr>
        <w:widowControl/>
      </w:pPr>
      <w:r>
        <w:rPr>
          <w:b/>
          <w:i w:val="0"/>
        </w:rPr>
        <w:t>intenditur.</w:t>
      </w:r>
      <w:r>
        <w:rPr>
          <w:b w:val="0"/>
          <w:i w:val="0"/>
        </w:rPr>
        <w:t xml:space="preserve"> </w:t>
      </w:r>
      <w:hyperlink w:anchor="latin-record-0741">
        <w:r>
          <w:rPr>
            <w:color w:val="000000"/>
          </w:rPr>
          <w:t xml:space="preserve">magis ac minus / intensio / remissio</w:t>
        </w:r>
      </w:hyperlink>
      <w:r>
        <w:rPr>
          <w:b w:val="0"/>
          <w:i w:val="0"/>
        </w:rPr>
        <w:t>.</w:t>
      </w:r>
    </w:p>
    <w:p>
      <w:pPr>
        <w:widowControl/>
      </w:pPr>
      <w:r>
        <w:rPr>
          <w:b/>
          <w:i w:val="0"/>
        </w:rPr>
        <w:t>Intenditur.</w:t>
      </w:r>
      <w:r>
        <w:rPr>
          <w:b w:val="0"/>
          <w:i w:val="0"/>
        </w:rPr>
        <w:t xml:space="preserve"> </w:t>
      </w:r>
      <w:hyperlink w:anchor="latin-record-0741">
        <w:r>
          <w:rPr>
            <w:color w:val="000000"/>
          </w:rPr>
          <w:t xml:space="preserve">magis ac minus / intensio / remissio</w:t>
        </w:r>
      </w:hyperlink>
      <w:r>
        <w:rPr>
          <w:b w:val="0"/>
          <w:i w:val="0"/>
        </w:rPr>
        <w:t>.</w:t>
      </w:r>
    </w:p>
    <w:p>
      <w:pPr>
        <w:widowControl/>
      </w:pPr>
      <w:r>
        <w:rPr>
          <w:b/>
          <w:i w:val="0"/>
        </w:rPr>
        <w:t>intensione.</w:t>
      </w:r>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intensius.</w:t>
      </w:r>
      <w:r>
        <w:rPr>
          <w:b w:val="0"/>
          <w:i w:val="0"/>
        </w:rPr>
        <w:t xml:space="preserve"> </w:t>
      </w:r>
      <w:hyperlink w:anchor="latin-record-0668">
        <w:r>
          <w:rPr>
            <w:color w:val="000000"/>
          </w:rPr>
          <w:t xml:space="preserve">intensius / remissius</w:t>
        </w:r>
      </w:hyperlink>
      <w:r>
        <w:rPr>
          <w:b w:val="0"/>
          <w:i w:val="0"/>
        </w:rPr>
        <w:t>.</w:t>
      </w:r>
    </w:p>
    <w:p>
      <w:pPr>
        <w:widowControl/>
      </w:pPr>
      <w:r>
        <w:rPr>
          <w:b/>
          <w:i w:val="0"/>
        </w:rPr>
        <w:t>intentio.</w:t>
      </w:r>
      <w:r>
        <w:rPr>
          <w:b w:val="0"/>
          <w:i w:val="0"/>
        </w:rPr>
        <w:t xml:space="preserve"> </w:t>
      </w:r>
      <w:hyperlink w:anchor="latin-record-0669">
        <w:r>
          <w:rPr>
            <w:color w:val="000000"/>
          </w:rPr>
          <w:t xml:space="preserve">intentio</w:t>
        </w:r>
      </w:hyperlink>
      <w:r>
        <w:rPr>
          <w:b w:val="0"/>
          <w:i w:val="0"/>
        </w:rPr>
        <w:t>.</w:t>
      </w:r>
    </w:p>
    <w:p>
      <w:pPr>
        <w:widowControl/>
      </w:pPr>
      <w:r>
        <w:rPr>
          <w:b/>
          <w:i w:val="0"/>
        </w:rPr>
        <w:t>intentionem.</w:t>
      </w:r>
      <w:r>
        <w:rPr>
          <w:b w:val="0"/>
          <w:i w:val="0"/>
        </w:rPr>
        <w:t xml:space="preserve"> </w:t>
      </w:r>
      <w:hyperlink w:anchor="latin-record-0669">
        <w:r>
          <w:rPr>
            <w:color w:val="000000"/>
          </w:rPr>
          <w:t xml:space="preserve">intentio</w:t>
        </w:r>
      </w:hyperlink>
      <w:r>
        <w:rPr>
          <w:b w:val="0"/>
          <w:i w:val="0"/>
        </w:rPr>
        <w:t>.</w:t>
      </w:r>
    </w:p>
    <w:p>
      <w:pPr>
        <w:widowControl/>
      </w:pPr>
      <w:r>
        <w:rPr>
          <w:b/>
          <w:i w:val="0"/>
        </w:rPr>
        <w:t>intentionem mentis.</w:t>
      </w:r>
      <w:r>
        <w:rPr>
          <w:b w:val="0"/>
          <w:i w:val="0"/>
        </w:rPr>
        <w:t xml:space="preserve"> </w:t>
      </w:r>
      <w:hyperlink w:anchor="latin-record-0669">
        <w:r>
          <w:rPr>
            <w:color w:val="000000"/>
          </w:rPr>
          <w:t xml:space="preserve">intentio</w:t>
        </w:r>
      </w:hyperlink>
      <w:r>
        <w:rPr>
          <w:b w:val="0"/>
          <w:i w:val="0"/>
        </w:rPr>
        <w:t>.</w:t>
      </w:r>
    </w:p>
    <w:p>
      <w:pPr>
        <w:widowControl/>
      </w:pPr>
      <w:r>
        <w:rPr>
          <w:b/>
          <w:i w:val="0"/>
        </w:rPr>
        <w:t>intentiones.</w:t>
      </w:r>
      <w:r>
        <w:rPr>
          <w:b w:val="0"/>
          <w:i w:val="0"/>
        </w:rPr>
        <w:t xml:space="preserve"> </w:t>
      </w:r>
      <w:hyperlink w:anchor="latin-record-0669">
        <w:r>
          <w:rPr>
            <w:color w:val="000000"/>
          </w:rPr>
          <w:t xml:space="preserve">intentio</w:t>
        </w:r>
      </w:hyperlink>
      <w:r>
        <w:rPr>
          <w:b w:val="0"/>
          <w:i w:val="0"/>
        </w:rPr>
        <w:t>.</w:t>
      </w:r>
    </w:p>
    <w:p>
      <w:pPr>
        <w:widowControl/>
      </w:pPr>
      <w:r>
        <w:rPr>
          <w:b/>
          <w:i w:val="0"/>
        </w:rPr>
        <w:t>intentionum.</w:t>
      </w:r>
      <w:r>
        <w:rPr>
          <w:b w:val="0"/>
          <w:i w:val="0"/>
        </w:rPr>
        <w:t xml:space="preserve"> </w:t>
      </w:r>
      <w:hyperlink w:anchor="latin-record-0669">
        <w:r>
          <w:rPr>
            <w:color w:val="000000"/>
          </w:rPr>
          <w:t xml:space="preserve">intentio</w:t>
        </w:r>
      </w:hyperlink>
      <w:r>
        <w:rPr>
          <w:b w:val="0"/>
          <w:i w:val="0"/>
        </w:rPr>
        <w:t>.</w:t>
      </w:r>
    </w:p>
    <w:p>
      <w:pPr>
        <w:widowControl/>
      </w:pPr>
      <w:r>
        <w:rPr>
          <w:b/>
          <w:i w:val="0"/>
        </w:rPr>
        <w:t>intercidet.</w:t>
      </w:r>
      <w:r>
        <w:rPr>
          <w:b w:val="0"/>
          <w:i w:val="0"/>
        </w:rPr>
        <w:t xml:space="preserve"> </w:t>
      </w:r>
      <w:hyperlink w:anchor="latin-record-0670">
        <w:r>
          <w:rPr>
            <w:color w:val="000000"/>
          </w:rPr>
          <w:t xml:space="preserve">intercidere / interponere</w:t>
        </w:r>
      </w:hyperlink>
      <w:r>
        <w:rPr>
          <w:b w:val="0"/>
          <w:i w:val="0"/>
        </w:rPr>
        <w:t>.</w:t>
      </w:r>
    </w:p>
    <w:p>
      <w:pPr>
        <w:widowControl/>
      </w:pPr>
      <w:r>
        <w:rPr>
          <w:b/>
          <w:i w:val="0"/>
        </w:rPr>
        <w:t>intercidit.</w:t>
      </w:r>
      <w:r>
        <w:rPr>
          <w:b w:val="0"/>
          <w:i w:val="0"/>
        </w:rPr>
        <w:t xml:space="preserve"> </w:t>
      </w:r>
      <w:hyperlink w:anchor="latin-record-0670">
        <w:r>
          <w:rPr>
            <w:color w:val="000000"/>
          </w:rPr>
          <w:t xml:space="preserve">intercidere / interponere</w:t>
        </w:r>
      </w:hyperlink>
      <w:r>
        <w:rPr>
          <w:b w:val="0"/>
          <w:i w:val="0"/>
        </w:rPr>
        <w:t>.</w:t>
      </w:r>
    </w:p>
    <w:p>
      <w:pPr>
        <w:widowControl/>
      </w:pPr>
      <w:r>
        <w:rPr>
          <w:b/>
          <w:i w:val="0"/>
        </w:rPr>
        <w:t>interibit.</w:t>
      </w:r>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interimatur.</w:t>
      </w:r>
      <w:r>
        <w:rPr>
          <w:b w:val="0"/>
          <w:i w:val="0"/>
        </w:rPr>
        <w:t xml:space="preserve"> </w:t>
      </w:r>
      <w:hyperlink w:anchor="latin-record-0342">
        <w:r>
          <w:rPr>
            <w:color w:val="000000"/>
          </w:rPr>
          <w:t xml:space="preserve">corrumpere / interire / perdere</w:t>
        </w:r>
      </w:hyperlink>
      <w:r>
        <w:rPr>
          <w:b w:val="0"/>
          <w:i w:val="0"/>
        </w:rPr>
        <w:t>.</w:t>
      </w:r>
    </w:p>
    <w:p>
      <w:pPr>
        <w:widowControl/>
      </w:pPr>
      <w:r>
        <w:rPr>
          <w:b/>
          <w:i w:val="0"/>
        </w:rPr>
        <w:t>interimunt.</w:t>
      </w:r>
      <w:r>
        <w:rPr>
          <w:b w:val="0"/>
          <w:i w:val="0"/>
        </w:rPr>
        <w:t xml:space="preserve"> </w:t>
      </w:r>
      <w:hyperlink w:anchor="latin-record-0324">
        <w:r>
          <w:rPr>
            <w:color w:val="000000"/>
          </w:rPr>
          <w:t xml:space="preserve">contraria elementa</w:t>
        </w:r>
      </w:hyperlink>
      <w:r>
        <w:rPr>
          <w:b w:val="0"/>
          <w:i w:val="0"/>
        </w:rPr>
        <w:t>.</w:t>
      </w:r>
    </w:p>
    <w:p>
      <w:pPr>
        <w:widowControl/>
      </w:pPr>
      <w:r>
        <w:rPr>
          <w:b/>
          <w:i w:val="0"/>
        </w:rPr>
        <w:t>interior animae.</w:t>
      </w:r>
      <w:r>
        <w:rPr>
          <w:b w:val="0"/>
          <w:i w:val="0"/>
        </w:rPr>
        <w:t xml:space="preserve"> </w:t>
      </w:r>
      <w:hyperlink w:anchor="latin-record-0207">
        <w:r>
          <w:rPr>
            <w:color w:val="000000"/>
          </w:rPr>
          <w:t xml:space="preserve">centrum / vis interior</w:t>
        </w:r>
      </w:hyperlink>
      <w:r>
        <w:rPr>
          <w:b w:val="0"/>
          <w:i w:val="0"/>
        </w:rPr>
        <w:t>.</w:t>
      </w:r>
    </w:p>
    <w:p>
      <w:pPr>
        <w:widowControl/>
      </w:pPr>
      <w:r>
        <w:rPr>
          <w:b/>
          <w:i w:val="0"/>
        </w:rPr>
        <w:t>interiorem sensum.</w:t>
      </w:r>
      <w:r>
        <w:rPr>
          <w:b w:val="0"/>
          <w:i w:val="0"/>
        </w:rPr>
        <w:t xml:space="preserve"> </w:t>
      </w:r>
      <w:hyperlink w:anchor="latin-record-1158">
        <w:r>
          <w:rPr>
            <w:color w:val="000000"/>
          </w:rPr>
          <w:t xml:space="preserve">sensus exterior; sensus interior</w:t>
        </w:r>
      </w:hyperlink>
      <w:r>
        <w:rPr>
          <w:b w:val="0"/>
          <w:i w:val="0"/>
        </w:rPr>
        <w:t>.</w:t>
      </w:r>
    </w:p>
    <w:p>
      <w:pPr>
        <w:widowControl/>
      </w:pPr>
      <w:r>
        <w:rPr>
          <w:b/>
          <w:i w:val="0"/>
        </w:rPr>
        <w:t>interire.</w:t>
      </w:r>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interit.</w:t>
      </w:r>
      <w:r>
        <w:rPr>
          <w:b w:val="0"/>
          <w:i w:val="0"/>
        </w:rPr>
        <w:t xml:space="preserve"> </w:t>
      </w:r>
      <w:hyperlink w:anchor="latin-record-0343">
        <w:r>
          <w:rPr>
            <w:color w:val="000000"/>
          </w:rPr>
          <w:t xml:space="preserve">corrumpere / perdere / interire</w:t>
        </w:r>
      </w:hyperlink>
      <w:r>
        <w:rPr>
          <w:b w:val="0"/>
          <w:i w:val="0"/>
        </w:rPr>
        <w:t xml:space="preserve">; </w:t>
      </w:r>
      <w:hyperlink w:anchor="latin-record-0671">
        <w:r>
          <w:rPr>
            <w:color w:val="000000"/>
          </w:rPr>
          <w:t xml:space="preserve">interire / perire / abire</w:t>
        </w:r>
      </w:hyperlink>
      <w:r>
        <w:rPr>
          <w:b w:val="0"/>
          <w:i w:val="0"/>
        </w:rPr>
        <w:t>.</w:t>
      </w:r>
    </w:p>
    <w:p>
      <w:pPr>
        <w:widowControl/>
      </w:pPr>
      <w:r>
        <w:rPr>
          <w:b/>
          <w:i w:val="0"/>
        </w:rPr>
        <w:t>interitum.</w:t>
      </w:r>
      <w:r>
        <w:rPr>
          <w:b w:val="0"/>
          <w:i w:val="0"/>
        </w:rPr>
        <w:t xml:space="preserve"> </w:t>
      </w:r>
      <w:hyperlink w:anchor="latin-record-0347">
        <w:r>
          <w:rPr>
            <w:color w:val="000000"/>
          </w:rPr>
          <w:t xml:space="preserve">creatio / interitus</w:t>
        </w:r>
      </w:hyperlink>
      <w:r>
        <w:rPr>
          <w:b w:val="0"/>
          <w:i w:val="0"/>
        </w:rPr>
        <w:t>.</w:t>
      </w:r>
    </w:p>
    <w:p>
      <w:pPr>
        <w:widowControl/>
      </w:pPr>
      <w:r>
        <w:rPr>
          <w:b/>
          <w:i w:val="0"/>
        </w:rPr>
        <w:t>interius.</w:t>
      </w:r>
      <w:r>
        <w:rPr>
          <w:b w:val="0"/>
          <w:i w:val="0"/>
        </w:rPr>
        <w:t xml:space="preserve"> </w:t>
      </w:r>
      <w:hyperlink w:anchor="latin-record-0138">
        <w:r>
          <w:rPr>
            <w:color w:val="000000"/>
          </w:rPr>
          <w:t xml:space="preserve">assidue / naturaliter / interius</w:t>
        </w:r>
      </w:hyperlink>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interius fabricante.</w:t>
      </w:r>
      <w:r>
        <w:rPr>
          <w:b w:val="0"/>
          <w:i w:val="0"/>
        </w:rPr>
        <w:t xml:space="preserve"> </w:t>
      </w:r>
      <w:hyperlink w:anchor="latin-record-0131">
        <w:r>
          <w:rPr>
            <w:color w:val="000000"/>
          </w:rPr>
          <w:t xml:space="preserve">artifex stabilissimus</w:t>
        </w:r>
      </w:hyperlink>
      <w:r>
        <w:rPr>
          <w:b w:val="0"/>
          <w:i w:val="0"/>
        </w:rPr>
        <w:t>.</w:t>
      </w:r>
    </w:p>
    <w:p>
      <w:pPr>
        <w:widowControl/>
      </w:pPr>
      <w:r>
        <w:rPr>
          <w:b/>
          <w:i w:val="0"/>
        </w:rPr>
        <w:t>interminatam.</w:t>
      </w:r>
      <w:r>
        <w:rPr>
          <w:b w:val="0"/>
          <w:i w:val="0"/>
        </w:rPr>
        <w:t xml:space="preserve"> </w:t>
      </w:r>
      <w:hyperlink w:anchor="latin-record-0672">
        <w:r>
          <w:rPr>
            <w:color w:val="000000"/>
          </w:rPr>
          <w:t xml:space="preserve">interminatus</w:t>
        </w:r>
      </w:hyperlink>
      <w:r>
        <w:rPr>
          <w:b w:val="0"/>
          <w:i w:val="0"/>
        </w:rPr>
        <w:t>.</w:t>
      </w:r>
    </w:p>
    <w:p>
      <w:pPr>
        <w:widowControl/>
      </w:pPr>
      <w:r>
        <w:rPr>
          <w:b/>
          <w:i w:val="0"/>
        </w:rPr>
        <w:t>intermitti.</w:t>
      </w:r>
      <w:r>
        <w:rPr>
          <w:b w:val="0"/>
          <w:i w:val="0"/>
        </w:rPr>
        <w:t xml:space="preserve"> </w:t>
      </w:r>
      <w:hyperlink w:anchor="latin-record-0673">
        <w:r>
          <w:rPr>
            <w:color w:val="000000"/>
          </w:rPr>
          <w:t xml:space="preserve">intermittere; aberrare</w:t>
        </w:r>
      </w:hyperlink>
      <w:r>
        <w:rPr>
          <w:b w:val="0"/>
          <w:i w:val="0"/>
        </w:rPr>
        <w:t>.</w:t>
      </w:r>
    </w:p>
    <w:p>
      <w:pPr>
        <w:widowControl/>
      </w:pPr>
      <w:r>
        <w:rPr>
          <w:b/>
          <w:i w:val="0"/>
        </w:rPr>
        <w:t>internuntio.</w:t>
      </w:r>
      <w:r>
        <w:rPr>
          <w:b w:val="0"/>
          <w:i w:val="0"/>
        </w:rPr>
        <w:t xml:space="preserve"> </w:t>
      </w:r>
      <w:hyperlink w:anchor="latin-record-0674">
        <w:r>
          <w:rPr>
            <w:color w:val="000000"/>
          </w:rPr>
          <w:t xml:space="preserve">internuntius / mora</w:t>
        </w:r>
      </w:hyperlink>
      <w:r>
        <w:rPr>
          <w:b w:val="0"/>
          <w:i w:val="0"/>
        </w:rPr>
        <w:t>.</w:t>
      </w:r>
    </w:p>
    <w:p>
      <w:pPr>
        <w:widowControl/>
      </w:pPr>
      <w:r>
        <w:rPr>
          <w:b/>
          <w:i w:val="0"/>
        </w:rPr>
        <w:t>Internus autem corporis agitator.</w:t>
      </w:r>
      <w:r>
        <w:rPr>
          <w:b w:val="0"/>
          <w:i w:val="0"/>
        </w:rPr>
        <w:t xml:space="preserve"> </w:t>
      </w:r>
      <w:hyperlink w:anchor="latin-record-0600">
        <w:r>
          <w:rPr>
            <w:color w:val="000000"/>
          </w:rPr>
          <w:t xml:space="preserve">impartibile; internus agitator</w:t>
        </w:r>
      </w:hyperlink>
      <w:r>
        <w:rPr>
          <w:b w:val="0"/>
          <w:i w:val="0"/>
        </w:rPr>
        <w:t>.</w:t>
      </w:r>
    </w:p>
    <w:p>
      <w:pPr>
        <w:widowControl/>
      </w:pPr>
      <w:r>
        <w:rPr>
          <w:b/>
          <w:i w:val="0"/>
        </w:rPr>
        <w:t>Internus motus.</w:t>
      </w:r>
      <w:r>
        <w:rPr>
          <w:b w:val="0"/>
          <w:i w:val="0"/>
        </w:rPr>
        <w:t xml:space="preserve"> </w:t>
      </w:r>
      <w:hyperlink w:anchor="latin-record-0809">
        <w:r>
          <w:rPr>
            <w:color w:val="000000"/>
          </w:rPr>
          <w:t xml:space="preserve">motus internus / externus</w:t>
        </w:r>
      </w:hyperlink>
      <w:r>
        <w:rPr>
          <w:b w:val="0"/>
          <w:i w:val="0"/>
        </w:rPr>
        <w:t>.</w:t>
      </w:r>
    </w:p>
    <w:p>
      <w:pPr>
        <w:widowControl/>
      </w:pPr>
      <w:r>
        <w:rPr>
          <w:b/>
          <w:i w:val="0"/>
        </w:rPr>
        <w:t>interrogabimus.</w:t>
      </w:r>
      <w:r>
        <w:rPr>
          <w:b w:val="0"/>
          <w:i w:val="0"/>
        </w:rPr>
        <w:t xml:space="preserve"> </w:t>
      </w:r>
      <w:hyperlink w:anchor="latin-record-1040">
        <w:r>
          <w:rPr>
            <w:color w:val="000000"/>
          </w:rPr>
          <w:t xml:space="preserve">quaerere / interrogare / percontari</w:t>
        </w:r>
      </w:hyperlink>
      <w:r>
        <w:rPr>
          <w:b w:val="0"/>
          <w:i w:val="0"/>
        </w:rPr>
        <w:t>.</w:t>
      </w:r>
    </w:p>
    <w:p>
      <w:pPr>
        <w:widowControl/>
      </w:pPr>
      <w:r>
        <w:rPr>
          <w:b/>
          <w:i w:val="0"/>
        </w:rPr>
        <w:t>interrogat.</w:t>
      </w:r>
      <w:r>
        <w:rPr>
          <w:b w:val="0"/>
          <w:i w:val="0"/>
        </w:rPr>
        <w:t xml:space="preserve"> </w:t>
      </w:r>
      <w:hyperlink w:anchor="latin-record-1040">
        <w:r>
          <w:rPr>
            <w:color w:val="000000"/>
          </w:rPr>
          <w:t xml:space="preserve">quaerere / interrogare / percontari</w:t>
        </w:r>
      </w:hyperlink>
      <w:r>
        <w:rPr>
          <w:b w:val="0"/>
          <w:i w:val="0"/>
        </w:rPr>
        <w:t>.</w:t>
      </w:r>
    </w:p>
    <w:p>
      <w:pPr>
        <w:widowControl/>
      </w:pPr>
      <w:r>
        <w:rPr>
          <w:b/>
          <w:i w:val="0"/>
        </w:rPr>
        <w:t>interrogate.</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interroges.</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interrogo.</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intervalla.</w:t>
      </w:r>
      <w:r>
        <w:rPr>
          <w:b w:val="0"/>
          <w:i w:val="0"/>
        </w:rPr>
        <w:t xml:space="preserve"> </w:t>
      </w:r>
      <w:hyperlink w:anchor="latin-record-0873">
        <w:r>
          <w:rPr>
            <w:color w:val="000000"/>
          </w:rPr>
          <w:t xml:space="preserve">orbis in puncto</w:t>
        </w:r>
      </w:hyperlink>
      <w:r>
        <w:rPr>
          <w:b w:val="0"/>
          <w:i w:val="0"/>
        </w:rPr>
        <w:t>.</w:t>
      </w:r>
    </w:p>
    <w:p>
      <w:pPr>
        <w:widowControl/>
      </w:pPr>
      <w:r>
        <w:rPr>
          <w:b/>
          <w:i w:val="0"/>
        </w:rPr>
        <w:t>intervallum.</w:t>
      </w:r>
      <w:r>
        <w:rPr>
          <w:b w:val="0"/>
          <w:i w:val="0"/>
        </w:rPr>
        <w:t xml:space="preserve"> </w:t>
      </w:r>
      <w:hyperlink w:anchor="latin-record-0675">
        <w:r>
          <w:rPr>
            <w:color w:val="000000"/>
          </w:rPr>
          <w:t xml:space="preserve">intervallum / distantia</w:t>
        </w:r>
      </w:hyperlink>
      <w:r>
        <w:rPr>
          <w:b w:val="0"/>
          <w:i w:val="0"/>
        </w:rPr>
        <w:t xml:space="preserve">; </w:t>
      </w:r>
      <w:hyperlink w:anchor="latin-record-1306">
        <w:r>
          <w:rPr>
            <w:color w:val="000000"/>
          </w:rPr>
          <w:t xml:space="preserve">tria puncta / medium / extrema</w:t>
        </w:r>
      </w:hyperlink>
      <w:r>
        <w:rPr>
          <w:b w:val="0"/>
          <w:i w:val="0"/>
        </w:rPr>
        <w:t>.</w:t>
      </w:r>
    </w:p>
    <w:p>
      <w:pPr>
        <w:widowControl/>
      </w:pPr>
      <w:r>
        <w:rPr>
          <w:b/>
          <w:i w:val="0"/>
        </w:rPr>
        <w:t>intima.</w:t>
      </w:r>
      <w:r>
        <w:rPr>
          <w:b w:val="0"/>
          <w:i w:val="0"/>
        </w:rPr>
        <w:t xml:space="preserve"> </w:t>
      </w:r>
      <w:hyperlink w:anchor="latin-record-0678">
        <w:r>
          <w:rPr>
            <w:color w:val="000000"/>
          </w:rPr>
          <w:t xml:space="preserve">intimus; absque medio</w:t>
        </w:r>
      </w:hyperlink>
      <w:r>
        <w:rPr>
          <w:b w:val="0"/>
          <w:i w:val="0"/>
        </w:rPr>
        <w:t xml:space="preserve">; </w:t>
      </w:r>
      <w:hyperlink w:anchor="latin-record-1018">
        <w:r>
          <w:rPr>
            <w:color w:val="000000"/>
          </w:rPr>
          <w:t xml:space="preserve">proprius / intimus / alienior</w:t>
        </w:r>
      </w:hyperlink>
      <w:r>
        <w:rPr>
          <w:b w:val="0"/>
          <w:i w:val="0"/>
        </w:rPr>
        <w:t>.</w:t>
      </w:r>
    </w:p>
    <w:p>
      <w:pPr>
        <w:widowControl/>
      </w:pPr>
      <w:r>
        <w:rPr>
          <w:b/>
          <w:i w:val="0"/>
        </w:rPr>
        <w:t>Intimus autem ille faber corporis atque stabilis.</w:t>
      </w:r>
      <w:r>
        <w:rPr>
          <w:b w:val="0"/>
          <w:i w:val="0"/>
        </w:rPr>
        <w:t xml:space="preserve"> </w:t>
      </w:r>
      <w:hyperlink w:anchor="latin-record-0470">
        <w:r>
          <w:rPr>
            <w:color w:val="000000"/>
          </w:rPr>
          <w:t xml:space="preserve">faber intimus</w:t>
        </w:r>
      </w:hyperlink>
      <w:r>
        <w:rPr>
          <w:b w:val="0"/>
          <w:i w:val="0"/>
        </w:rPr>
        <w:t>.</w:t>
      </w:r>
    </w:p>
    <w:p>
      <w:pPr>
        <w:widowControl/>
      </w:pPr>
      <w:r>
        <w:rPr>
          <w:b/>
          <w:i w:val="0"/>
        </w:rPr>
        <w:t>intimus ordinator.</w:t>
      </w:r>
      <w:r>
        <w:rPr>
          <w:b w:val="0"/>
          <w:i w:val="0"/>
        </w:rPr>
        <w:t xml:space="preserve"> </w:t>
      </w:r>
      <w:hyperlink w:anchor="latin-record-0677">
        <w:r>
          <w:rPr>
            <w:color w:val="000000"/>
          </w:rPr>
          <w:t xml:space="preserve">intimus ordinator</w:t>
        </w:r>
      </w:hyperlink>
      <w:r>
        <w:rPr>
          <w:b w:val="0"/>
          <w:i w:val="0"/>
        </w:rPr>
        <w:t>.</w:t>
      </w:r>
    </w:p>
    <w:p>
      <w:pPr>
        <w:widowControl/>
      </w:pPr>
      <w:r>
        <w:rPr>
          <w:b/>
          <w:i w:val="0"/>
        </w:rPr>
        <w:t>intrinseco.</w:t>
      </w:r>
      <w:r>
        <w:rPr>
          <w:b w:val="0"/>
          <w:i w:val="0"/>
        </w:rPr>
        <w:t xml:space="preserve"> </w:t>
      </w:r>
      <w:hyperlink w:anchor="latin-record-0679">
        <w:r>
          <w:rPr>
            <w:color w:val="000000"/>
          </w:rPr>
          <w:t xml:space="preserve">intrinsecus; extrinsecus</w:t>
        </w:r>
      </w:hyperlink>
      <w:r>
        <w:rPr>
          <w:b w:val="0"/>
          <w:i w:val="0"/>
        </w:rPr>
        <w:t>.</w:t>
      </w:r>
    </w:p>
    <w:p>
      <w:pPr>
        <w:widowControl/>
      </w:pPr>
      <w:r>
        <w:rPr>
          <w:b/>
          <w:i w:val="0"/>
        </w:rPr>
        <w:t>intrinsecus.</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intueatur.</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intuemur.</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intuentur.</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intueri.</w:t>
      </w:r>
      <w:r>
        <w:rPr>
          <w:b w:val="0"/>
          <w:i w:val="0"/>
        </w:rPr>
        <w:t xml:space="preserve"> </w:t>
      </w:r>
      <w:hyperlink w:anchor="latin-record-0680">
        <w:r>
          <w:rPr>
            <w:color w:val="000000"/>
          </w:rPr>
          <w:t xml:space="preserve">intueri</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1021">
        <w:r>
          <w:rPr>
            <w:color w:val="000000"/>
          </w:rPr>
          <w:t xml:space="preserve">prospicere / intueri / excogitare</w:t>
        </w:r>
      </w:hyperlink>
      <w:r>
        <w:rPr>
          <w:b w:val="0"/>
          <w:i w:val="0"/>
        </w:rPr>
        <w:t xml:space="preserve">; </w:t>
      </w:r>
      <w:hyperlink w:anchor="latin-record-1351">
        <w:r>
          <w:rPr>
            <w:color w:val="000000"/>
          </w:rPr>
          <w:t xml:space="preserve">videre; cernere; intueri</w:t>
        </w:r>
      </w:hyperlink>
      <w:r>
        <w:rPr>
          <w:b w:val="0"/>
          <w:i w:val="0"/>
        </w:rPr>
        <w:t>.</w:t>
      </w:r>
    </w:p>
    <w:p>
      <w:pPr>
        <w:widowControl/>
      </w:pPr>
      <w:r>
        <w:rPr>
          <w:b/>
          <w:i w:val="0"/>
        </w:rPr>
        <w:t>intuetur.</w:t>
      </w:r>
      <w:r>
        <w:rPr>
          <w:b w:val="0"/>
          <w:i w:val="0"/>
        </w:rPr>
        <w:t xml:space="preserve"> </w:t>
      </w:r>
      <w:hyperlink w:anchor="latin-record-0680">
        <w:r>
          <w:rPr>
            <w:color w:val="000000"/>
          </w:rPr>
          <w:t xml:space="preserve">intueri</w:t>
        </w:r>
      </w:hyperlink>
      <w:r>
        <w:rPr>
          <w:b w:val="0"/>
          <w:i w:val="0"/>
        </w:rPr>
        <w:t xml:space="preserve">; </w:t>
      </w:r>
      <w:hyperlink w:anchor="latin-record-0681">
        <w:r>
          <w:rPr>
            <w:color w:val="000000"/>
          </w:rPr>
          <w:t xml:space="preserve">intueri; colligere</w:t>
        </w:r>
      </w:hyperlink>
      <w:r>
        <w:rPr>
          <w:b w:val="0"/>
          <w:i w:val="0"/>
        </w:rPr>
        <w:t xml:space="preserve">; </w:t>
      </w:r>
      <w:hyperlink w:anchor="latin-record-0682">
        <w:r>
          <w:rPr>
            <w:color w:val="000000"/>
          </w:rPr>
          <w:t xml:space="preserve">intuitus / intueri / conspicere</w:t>
        </w:r>
      </w:hyperlink>
      <w:r>
        <w:rPr>
          <w:b w:val="0"/>
          <w:i w:val="0"/>
        </w:rPr>
        <w:t>.</w:t>
      </w:r>
    </w:p>
    <w:p>
      <w:pPr>
        <w:widowControl/>
      </w:pPr>
      <w:r>
        <w:rPr>
          <w:b/>
          <w:i w:val="0"/>
        </w:rPr>
        <w:t>intuitum.</w:t>
      </w:r>
      <w:r>
        <w:rPr>
          <w:b w:val="0"/>
          <w:i w:val="0"/>
        </w:rPr>
        <w:t xml:space="preserve"> </w:t>
      </w:r>
      <w:hyperlink w:anchor="latin-record-0682">
        <w:r>
          <w:rPr>
            <w:color w:val="000000"/>
          </w:rPr>
          <w:t xml:space="preserve">intuitus / intueri / conspicere</w:t>
        </w:r>
      </w:hyperlink>
      <w:r>
        <w:rPr>
          <w:b w:val="0"/>
          <w:i w:val="0"/>
        </w:rPr>
        <w:t>.</w:t>
      </w:r>
    </w:p>
    <w:p>
      <w:pPr>
        <w:widowControl/>
      </w:pPr>
      <w:r>
        <w:rPr>
          <w:b/>
          <w:i w:val="0"/>
        </w:rPr>
        <w:t>intuitus.</w:t>
      </w:r>
      <w:r>
        <w:rPr>
          <w:b w:val="0"/>
          <w:i w:val="0"/>
        </w:rPr>
        <w:t xml:space="preserve"> </w:t>
      </w:r>
      <w:hyperlink w:anchor="latin-record-0682">
        <w:r>
          <w:rPr>
            <w:color w:val="000000"/>
          </w:rPr>
          <w:t xml:space="preserve">intuitus / intueri / conspicere</w:t>
        </w:r>
      </w:hyperlink>
      <w:r>
        <w:rPr>
          <w:b w:val="0"/>
          <w:i w:val="0"/>
        </w:rPr>
        <w:t>.</w:t>
      </w:r>
    </w:p>
    <w:p>
      <w:pPr>
        <w:widowControl/>
      </w:pPr>
      <w:r>
        <w:rPr>
          <w:b/>
          <w:i w:val="0"/>
        </w:rPr>
        <w:t>inutile.</w:t>
      </w:r>
      <w:r>
        <w:rPr>
          <w:b w:val="0"/>
          <w:i w:val="0"/>
        </w:rPr>
        <w:t xml:space="preserve"> </w:t>
      </w:r>
      <w:hyperlink w:anchor="latin-record-0966">
        <w:r>
          <w:rPr>
            <w:color w:val="000000"/>
          </w:rPr>
          <w:t xml:space="preserve">possibile / utile / impotentia</w:t>
        </w:r>
      </w:hyperlink>
      <w:r>
        <w:rPr>
          <w:b w:val="0"/>
          <w:i w:val="0"/>
        </w:rPr>
        <w:t>.</w:t>
      </w:r>
    </w:p>
    <w:p>
      <w:pPr>
        <w:widowControl/>
      </w:pPr>
      <w:r>
        <w:rPr>
          <w:b/>
          <w:i w:val="0"/>
        </w:rPr>
        <w:t>inutilia.</w:t>
      </w:r>
      <w:r>
        <w:rPr>
          <w:b w:val="0"/>
          <w:i w:val="0"/>
        </w:rPr>
        <w:t xml:space="preserve"> </w:t>
      </w:r>
      <w:hyperlink w:anchor="latin-record-0415">
        <w:r>
          <w:rPr>
            <w:color w:val="000000"/>
          </w:rPr>
          <w:t xml:space="preserve">dulce / amarum / utile / inutile</w:t>
        </w:r>
      </w:hyperlink>
      <w:r>
        <w:rPr>
          <w:b w:val="0"/>
          <w:i w:val="0"/>
        </w:rPr>
        <w:t>.</w:t>
      </w:r>
    </w:p>
    <w:p>
      <w:pPr>
        <w:widowControl/>
      </w:pPr>
      <w:r>
        <w:rPr>
          <w:b/>
          <w:i w:val="0"/>
        </w:rPr>
        <w:t>inveniemus.</w:t>
      </w:r>
      <w:r>
        <w:rPr>
          <w:b w:val="0"/>
          <w:i w:val="0"/>
        </w:rPr>
        <w:t xml:space="preserve"> </w:t>
      </w:r>
      <w:hyperlink w:anchor="latin-record-1107">
        <w:r>
          <w:rPr>
            <w:color w:val="000000"/>
          </w:rPr>
          <w:t xml:space="preserve">reperire; invenire</w:t>
        </w:r>
      </w:hyperlink>
      <w:r>
        <w:rPr>
          <w:b w:val="0"/>
          <w:i w:val="0"/>
        </w:rPr>
        <w:t>.</w:t>
      </w:r>
    </w:p>
    <w:p>
      <w:pPr>
        <w:widowControl/>
      </w:pPr>
      <w:r>
        <w:rPr>
          <w:b/>
          <w:i w:val="0"/>
        </w:rPr>
        <w:t>inveniendum.</w:t>
      </w:r>
      <w:r>
        <w:rPr>
          <w:b w:val="0"/>
          <w:i w:val="0"/>
        </w:rPr>
        <w:t xml:space="preserve"> </w:t>
      </w:r>
      <w:hyperlink w:anchor="latin-record-0685">
        <w:r>
          <w:rPr>
            <w:color w:val="000000"/>
          </w:rPr>
          <w:t xml:space="preserve">invenire / reperire</w:t>
        </w:r>
      </w:hyperlink>
      <w:r>
        <w:rPr>
          <w:b w:val="0"/>
          <w:i w:val="0"/>
        </w:rPr>
        <w:t>.</w:t>
      </w:r>
    </w:p>
    <w:p>
      <w:pPr>
        <w:widowControl/>
      </w:pPr>
      <w:r>
        <w:rPr>
          <w:b/>
          <w:i w:val="0"/>
        </w:rPr>
        <w:t>invenies.</w:t>
      </w:r>
      <w:r>
        <w:rPr>
          <w:b w:val="0"/>
          <w:i w:val="0"/>
        </w:rPr>
        <w:t xml:space="preserve"> </w:t>
      </w:r>
      <w:hyperlink w:anchor="latin-record-0685">
        <w:r>
          <w:rPr>
            <w:color w:val="000000"/>
          </w:rPr>
          <w:t xml:space="preserve">invenire / reperire</w:t>
        </w:r>
      </w:hyperlink>
      <w:r>
        <w:rPr>
          <w:b w:val="0"/>
          <w:i w:val="0"/>
        </w:rPr>
        <w:t>.</w:t>
      </w:r>
    </w:p>
    <w:p>
      <w:pPr>
        <w:widowControl/>
      </w:pPr>
      <w:r>
        <w:rPr>
          <w:b/>
          <w:i w:val="0"/>
        </w:rPr>
        <w:t>inveniet.</w:t>
      </w:r>
      <w:r>
        <w:rPr>
          <w:b w:val="0"/>
          <w:i w:val="0"/>
        </w:rPr>
        <w:t xml:space="preserve"> </w:t>
      </w:r>
      <w:hyperlink w:anchor="latin-record-0684">
        <w:r>
          <w:rPr>
            <w:color w:val="000000"/>
          </w:rPr>
          <w:t xml:space="preserve">invenire / reminisci / loqui</w:t>
        </w:r>
      </w:hyperlink>
      <w:r>
        <w:rPr>
          <w:b w:val="0"/>
          <w:i w:val="0"/>
        </w:rPr>
        <w:t xml:space="preserve">; </w:t>
      </w:r>
      <w:hyperlink w:anchor="latin-record-1107">
        <w:r>
          <w:rPr>
            <w:color w:val="000000"/>
          </w:rPr>
          <w:t xml:space="preserve">reperire; invenire</w:t>
        </w:r>
      </w:hyperlink>
      <w:r>
        <w:rPr>
          <w:b w:val="0"/>
          <w:i w:val="0"/>
        </w:rPr>
        <w:t>.</w:t>
      </w:r>
    </w:p>
    <w:p>
      <w:pPr>
        <w:widowControl/>
      </w:pPr>
      <w:r>
        <w:rPr>
          <w:b/>
          <w:i w:val="0"/>
        </w:rPr>
        <w:t>invenimus.</w:t>
      </w:r>
      <w:r>
        <w:rPr>
          <w:b w:val="0"/>
          <w:i w:val="0"/>
        </w:rPr>
        <w:t xml:space="preserve"> </w:t>
      </w:r>
      <w:hyperlink w:anchor="latin-record-0685">
        <w:r>
          <w:rPr>
            <w:color w:val="000000"/>
          </w:rPr>
          <w:t xml:space="preserve">invenire / reperire</w:t>
        </w:r>
      </w:hyperlink>
      <w:r>
        <w:rPr>
          <w:b w:val="0"/>
          <w:i w:val="0"/>
        </w:rPr>
        <w:t xml:space="preserve">; </w:t>
      </w:r>
      <w:hyperlink w:anchor="latin-record-1107">
        <w:r>
          <w:rPr>
            <w:color w:val="000000"/>
          </w:rPr>
          <w:t xml:space="preserve">reperire; invenire</w:t>
        </w:r>
      </w:hyperlink>
      <w:r>
        <w:rPr>
          <w:b w:val="0"/>
          <w:i w:val="0"/>
        </w:rPr>
        <w:t>.</w:t>
      </w:r>
    </w:p>
    <w:p>
      <w:pPr>
        <w:widowControl/>
      </w:pPr>
      <w:r>
        <w:rPr>
          <w:b/>
          <w:i w:val="0"/>
        </w:rPr>
        <w:t>invenire.</w:t>
      </w:r>
      <w:r>
        <w:rPr>
          <w:b w:val="0"/>
          <w:i w:val="0"/>
        </w:rPr>
        <w:t xml:space="preserve"> </w:t>
      </w:r>
      <w:hyperlink w:anchor="latin-record-0685">
        <w:r>
          <w:rPr>
            <w:color w:val="000000"/>
          </w:rPr>
          <w:t xml:space="preserve">invenire / reperire</w:t>
        </w:r>
      </w:hyperlink>
      <w:r>
        <w:rPr>
          <w:b w:val="0"/>
          <w:i w:val="0"/>
        </w:rPr>
        <w:t xml:space="preserve">; </w:t>
      </w:r>
      <w:hyperlink w:anchor="latin-record-1107">
        <w:r>
          <w:rPr>
            <w:color w:val="000000"/>
          </w:rPr>
          <w:t xml:space="preserve">reperire; invenire</w:t>
        </w:r>
      </w:hyperlink>
      <w:r>
        <w:rPr>
          <w:b w:val="0"/>
          <w:i w:val="0"/>
        </w:rPr>
        <w:t>.</w:t>
      </w:r>
    </w:p>
    <w:p>
      <w:pPr>
        <w:widowControl/>
      </w:pPr>
      <w:r>
        <w:rPr>
          <w:b/>
          <w:i w:val="0"/>
        </w:rPr>
        <w:t>inveniri.</w:t>
      </w:r>
      <w:r>
        <w:rPr>
          <w:b w:val="0"/>
          <w:i w:val="0"/>
        </w:rPr>
        <w:t xml:space="preserve"> </w:t>
      </w:r>
      <w:hyperlink w:anchor="latin-record-1107">
        <w:r>
          <w:rPr>
            <w:color w:val="000000"/>
          </w:rPr>
          <w:t xml:space="preserve">reperire; invenire</w:t>
        </w:r>
      </w:hyperlink>
      <w:r>
        <w:rPr>
          <w:b w:val="0"/>
          <w:i w:val="0"/>
        </w:rPr>
        <w:t>.</w:t>
      </w:r>
    </w:p>
    <w:p>
      <w:pPr>
        <w:widowControl/>
      </w:pPr>
      <w:r>
        <w:rPr>
          <w:b/>
          <w:i w:val="0"/>
        </w:rPr>
        <w:t>invenistis.</w:t>
      </w:r>
      <w:r>
        <w:rPr>
          <w:b w:val="0"/>
          <w:i w:val="0"/>
        </w:rPr>
        <w:t xml:space="preserve"> </w:t>
      </w:r>
      <w:hyperlink w:anchor="latin-record-1107">
        <w:r>
          <w:rPr>
            <w:color w:val="000000"/>
          </w:rPr>
          <w:t xml:space="preserve">reperire; invenire</w:t>
        </w:r>
      </w:hyperlink>
      <w:r>
        <w:rPr>
          <w:b w:val="0"/>
          <w:i w:val="0"/>
        </w:rPr>
        <w:t>.</w:t>
      </w:r>
    </w:p>
    <w:p>
      <w:pPr>
        <w:widowControl/>
      </w:pPr>
      <w:r>
        <w:rPr>
          <w:b/>
          <w:i w:val="0"/>
        </w:rPr>
        <w:t>invenit.</w:t>
      </w:r>
      <w:r>
        <w:rPr>
          <w:b w:val="0"/>
          <w:i w:val="0"/>
        </w:rPr>
        <w:t xml:space="preserve"> </w:t>
      </w:r>
      <w:hyperlink w:anchor="latin-record-0685">
        <w:r>
          <w:rPr>
            <w:color w:val="000000"/>
          </w:rPr>
          <w:t xml:space="preserve">invenire / reperire</w:t>
        </w:r>
      </w:hyperlink>
      <w:r>
        <w:rPr>
          <w:b w:val="0"/>
          <w:i w:val="0"/>
        </w:rPr>
        <w:t xml:space="preserve">; </w:t>
      </w:r>
      <w:hyperlink w:anchor="latin-record-0686">
        <w:r>
          <w:rPr>
            <w:color w:val="000000"/>
          </w:rPr>
          <w:t xml:space="preserve">investigare; invenire</w:t>
        </w:r>
      </w:hyperlink>
      <w:r>
        <w:rPr>
          <w:b w:val="0"/>
          <w:i w:val="0"/>
        </w:rPr>
        <w:t xml:space="preserve">; </w:t>
      </w:r>
      <w:hyperlink w:anchor="latin-record-1107">
        <w:r>
          <w:rPr>
            <w:color w:val="000000"/>
          </w:rPr>
          <w:t xml:space="preserve">reperire; invenire</w:t>
        </w:r>
      </w:hyperlink>
      <w:r>
        <w:rPr>
          <w:b w:val="0"/>
          <w:i w:val="0"/>
        </w:rPr>
        <w:t>.</w:t>
      </w:r>
    </w:p>
    <w:p>
      <w:pPr>
        <w:widowControl/>
      </w:pPr>
      <w:r>
        <w:rPr>
          <w:b/>
          <w:i w:val="0"/>
        </w:rPr>
        <w:t>invenitur.</w:t>
      </w:r>
      <w:r>
        <w:rPr>
          <w:b w:val="0"/>
          <w:i w:val="0"/>
        </w:rPr>
        <w:t xml:space="preserve"> </w:t>
      </w:r>
      <w:hyperlink w:anchor="latin-record-0685">
        <w:r>
          <w:rPr>
            <w:color w:val="000000"/>
          </w:rPr>
          <w:t xml:space="preserve">invenire / reperire</w:t>
        </w:r>
      </w:hyperlink>
      <w:r>
        <w:rPr>
          <w:b w:val="0"/>
          <w:i w:val="0"/>
        </w:rPr>
        <w:t>.</w:t>
      </w:r>
    </w:p>
    <w:p>
      <w:pPr>
        <w:widowControl/>
      </w:pPr>
      <w:r>
        <w:rPr>
          <w:b/>
          <w:i w:val="0"/>
        </w:rPr>
        <w:t>inventa.</w:t>
      </w:r>
      <w:r>
        <w:rPr>
          <w:b w:val="0"/>
          <w:i w:val="0"/>
        </w:rPr>
        <w:t xml:space="preserve"> </w:t>
      </w:r>
      <w:hyperlink w:anchor="latin-record-0685">
        <w:r>
          <w:rPr>
            <w:color w:val="000000"/>
          </w:rPr>
          <w:t xml:space="preserve">invenire / reperire</w:t>
        </w:r>
      </w:hyperlink>
      <w:r>
        <w:rPr>
          <w:b w:val="0"/>
          <w:i w:val="0"/>
        </w:rPr>
        <w:t>.</w:t>
      </w:r>
    </w:p>
    <w:p>
      <w:pPr>
        <w:widowControl/>
      </w:pPr>
      <w:r>
        <w:rPr>
          <w:b/>
          <w:i w:val="0"/>
        </w:rPr>
        <w:t>investigat.</w:t>
      </w:r>
      <w:r>
        <w:rPr>
          <w:b w:val="0"/>
          <w:i w:val="0"/>
        </w:rPr>
        <w:t xml:space="preserve"> </w:t>
      </w:r>
      <w:hyperlink w:anchor="latin-record-0686">
        <w:r>
          <w:rPr>
            <w:color w:val="000000"/>
          </w:rPr>
          <w:t xml:space="preserve">investigare; invenire</w:t>
        </w:r>
      </w:hyperlink>
      <w:r>
        <w:rPr>
          <w:b w:val="0"/>
          <w:i w:val="0"/>
        </w:rPr>
        <w:t>.</w:t>
      </w:r>
    </w:p>
    <w:p>
      <w:pPr>
        <w:widowControl/>
      </w:pPr>
      <w:r>
        <w:rPr>
          <w:b/>
          <w:i w:val="0"/>
        </w:rPr>
        <w:t>investigationem.</w:t>
      </w:r>
      <w:r>
        <w:rPr>
          <w:b w:val="0"/>
          <w:i w:val="0"/>
        </w:rPr>
        <w:t xml:space="preserve"> </w:t>
      </w:r>
      <w:hyperlink w:anchor="latin-record-0709">
        <w:r>
          <w:rPr>
            <w:color w:val="000000"/>
          </w:rPr>
          <w:t xml:space="preserve">lepus / vestigium / indago</w:t>
        </w:r>
      </w:hyperlink>
      <w:r>
        <w:rPr>
          <w:b w:val="0"/>
          <w:i w:val="0"/>
        </w:rPr>
        <w:t>.</w:t>
      </w:r>
    </w:p>
    <w:p>
      <w:pPr>
        <w:widowControl/>
      </w:pPr>
      <w:r>
        <w:rPr>
          <w:b/>
          <w:i w:val="0"/>
        </w:rPr>
        <w:t>invicem.</w:t>
      </w:r>
      <w:r>
        <w:rPr>
          <w:b w:val="0"/>
          <w:i w:val="0"/>
        </w:rPr>
        <w:t xml:space="preserve"> </w:t>
      </w:r>
      <w:hyperlink w:anchor="latin-record-0687">
        <w:r>
          <w:rPr>
            <w:color w:val="000000"/>
          </w:rPr>
          <w:t xml:space="preserve">invicem / vicissim</w:t>
        </w:r>
      </w:hyperlink>
      <w:r>
        <w:rPr>
          <w:b w:val="0"/>
          <w:i w:val="0"/>
        </w:rPr>
        <w:t xml:space="preserve">; </w:t>
      </w:r>
      <w:hyperlink w:anchor="latin-record-1184">
        <w:r>
          <w:rPr>
            <w:color w:val="000000"/>
          </w:rPr>
          <w:t xml:space="preserve">simul; vicissim; invicem</w:t>
        </w:r>
      </w:hyperlink>
      <w:r>
        <w:rPr>
          <w:b w:val="0"/>
          <w:i w:val="0"/>
        </w:rPr>
        <w:t>.</w:t>
      </w:r>
    </w:p>
    <w:p>
      <w:pPr>
        <w:widowControl/>
      </w:pPr>
      <w:r>
        <w:rPr>
          <w:b/>
          <w:i w:val="0"/>
        </w:rPr>
        <w:t>invicem aequari.</w:t>
      </w:r>
      <w:r>
        <w:rPr>
          <w:b w:val="0"/>
          <w:i w:val="0"/>
        </w:rPr>
        <w:t xml:space="preserve"> </w:t>
      </w:r>
      <w:hyperlink w:anchor="latin-record-0043">
        <w:r>
          <w:rPr>
            <w:color w:val="000000"/>
          </w:rPr>
          <w:t xml:space="preserve">aequare in loco</w:t>
        </w:r>
      </w:hyperlink>
      <w:r>
        <w:rPr>
          <w:b w:val="0"/>
          <w:i w:val="0"/>
        </w:rPr>
        <w:t>.</w:t>
      </w:r>
    </w:p>
    <w:p>
      <w:pPr>
        <w:widowControl/>
      </w:pPr>
      <w:r>
        <w:rPr>
          <w:b/>
          <w:i w:val="0"/>
        </w:rPr>
        <w:t>invisibilis.</w:t>
      </w:r>
      <w:r>
        <w:rPr>
          <w:b w:val="0"/>
          <w:i w:val="0"/>
        </w:rPr>
        <w:t xml:space="preserve"> </w:t>
      </w:r>
      <w:hyperlink w:anchor="latin-record-1370">
        <w:r>
          <w:rPr>
            <w:color w:val="000000"/>
          </w:rPr>
          <w:t xml:space="preserve">visibilis / invisibilis</w:t>
        </w:r>
      </w:hyperlink>
      <w:r>
        <w:rPr>
          <w:b w:val="0"/>
          <w:i w:val="0"/>
        </w:rPr>
        <w:t>.</w:t>
      </w:r>
    </w:p>
    <w:p>
      <w:pPr>
        <w:widowControl/>
      </w:pPr>
      <w:r>
        <w:rPr>
          <w:b/>
          <w:i w:val="0"/>
        </w:rPr>
        <w:t>involutam.</w:t>
      </w:r>
      <w:r>
        <w:rPr>
          <w:b w:val="0"/>
          <w:i w:val="0"/>
        </w:rPr>
        <w:t xml:space="preserve"> </w:t>
      </w:r>
      <w:hyperlink w:anchor="latin-record-1345">
        <w:r>
          <w:rPr>
            <w:color w:val="000000"/>
          </w:rPr>
          <w:t xml:space="preserve">vestis; involvere</w:t>
        </w:r>
      </w:hyperlink>
      <w:r>
        <w:rPr>
          <w:b w:val="0"/>
          <w:i w:val="0"/>
        </w:rPr>
        <w:t>.</w:t>
      </w:r>
    </w:p>
    <w:p>
      <w:pPr>
        <w:widowControl/>
      </w:pPr>
      <w:r>
        <w:rPr>
          <w:b/>
          <w:i w:val="0"/>
        </w:rPr>
        <w:t>Ioannem Cavalcantem.</w:t>
      </w:r>
      <w:r>
        <w:rPr>
          <w:b w:val="0"/>
          <w:i w:val="0"/>
        </w:rPr>
        <w:t xml:space="preserve"> </w:t>
      </w:r>
      <w:hyperlink w:anchor="latin-record-1095">
        <w:r>
          <w:rPr>
            <w:color w:val="000000"/>
          </w:rPr>
          <w:t xml:space="preserve">Regnanum; Cavalcantes</w:t>
        </w:r>
      </w:hyperlink>
      <w:r>
        <w:rPr>
          <w:b w:val="0"/>
          <w:i w:val="0"/>
        </w:rPr>
        <w:t>.</w:t>
      </w:r>
    </w:p>
    <w:p>
      <w:pPr>
        <w:widowControl/>
      </w:pPr>
      <w:r>
        <w:rPr>
          <w:b/>
          <w:i w:val="0"/>
        </w:rPr>
        <w:t>Ioannes.</w:t>
      </w:r>
      <w:r>
        <w:rPr>
          <w:b w:val="0"/>
          <w:i w:val="0"/>
        </w:rPr>
        <w:t xml:space="preserve"> </w:t>
      </w:r>
      <w:hyperlink w:anchor="latin-record-1095">
        <w:r>
          <w:rPr>
            <w:color w:val="000000"/>
          </w:rPr>
          <w:t xml:space="preserve">Regnanum; Cavalcantes</w:t>
        </w:r>
      </w:hyperlink>
      <w:r>
        <w:rPr>
          <w:b w:val="0"/>
          <w:i w:val="0"/>
        </w:rPr>
        <w:t>.</w:t>
      </w:r>
    </w:p>
    <w:p>
      <w:pPr>
        <w:widowControl/>
      </w:pPr>
      <w:r>
        <w:rPr>
          <w:b/>
          <w:i w:val="0"/>
        </w:rPr>
        <w:t>Ioannes Baptista Bonisegnius.</w:t>
      </w:r>
      <w:r>
        <w:rPr>
          <w:b w:val="0"/>
          <w:i w:val="0"/>
        </w:rPr>
        <w:t xml:space="preserve"> </w:t>
      </w:r>
      <w:hyperlink w:anchor="latin-record-0821">
        <w:r>
          <w:rPr>
            <w:color w:val="000000"/>
          </w:rPr>
          <w:t xml:space="preserve">Naldius; Fontius; Bonisegnius</w:t>
        </w:r>
      </w:hyperlink>
      <w:r>
        <w:rPr>
          <w:b w:val="0"/>
          <w:i w:val="0"/>
        </w:rPr>
        <w:t>.</w:t>
      </w:r>
    </w:p>
    <w:p>
      <w:pPr>
        <w:widowControl/>
      </w:pPr>
      <w:r>
        <w:rPr>
          <w:b/>
          <w:i w:val="0"/>
        </w:rPr>
        <w:t>Iovis.</w:t>
      </w:r>
      <w:r>
        <w:rPr>
          <w:b w:val="0"/>
          <w:i w:val="0"/>
        </w:rPr>
        <w:t xml:space="preserve"> </w:t>
      </w:r>
      <w:hyperlink w:anchor="latin-record-1134">
        <w:r>
          <w:rPr>
            <w:color w:val="000000"/>
          </w:rPr>
          <w:t xml:space="preserve">Saturnus / Iuppiter / sphaera</w:t>
        </w:r>
      </w:hyperlink>
      <w:r>
        <w:rPr>
          <w:b w:val="0"/>
          <w:i w:val="0"/>
        </w:rPr>
        <w:t>.</w:t>
      </w:r>
    </w:p>
    <w:p>
      <w:pPr>
        <w:widowControl/>
      </w:pPr>
      <w:r>
        <w:rPr>
          <w:b/>
          <w:i w:val="0"/>
        </w:rPr>
        <w:t>ipsius essentia.</w:t>
      </w:r>
      <w:r>
        <w:rPr>
          <w:b w:val="0"/>
          <w:i w:val="0"/>
        </w:rPr>
        <w:t xml:space="preserve"> </w:t>
      </w:r>
      <w:hyperlink w:anchor="latin-record-0683">
        <w:r>
          <w:rPr>
            <w:color w:val="000000"/>
          </w:rPr>
          <w:t xml:space="preserve">intuitus; essentia</w:t>
        </w:r>
      </w:hyperlink>
      <w:r>
        <w:rPr>
          <w:b w:val="0"/>
          <w:i w:val="0"/>
        </w:rPr>
        <w:t>.</w:t>
      </w:r>
    </w:p>
    <w:p>
      <w:pPr>
        <w:widowControl/>
      </w:pPr>
      <w:r>
        <w:rPr>
          <w:b/>
          <w:i w:val="0"/>
        </w:rPr>
        <w:t>irrationalem.</w:t>
      </w:r>
      <w:r>
        <w:rPr>
          <w:b w:val="0"/>
          <w:i w:val="0"/>
        </w:rPr>
        <w:t xml:space="preserve"> </w:t>
      </w:r>
      <w:hyperlink w:anchor="latin-record-0689">
        <w:r>
          <w:rPr>
            <w:color w:val="000000"/>
          </w:rPr>
          <w:t xml:space="preserve">irrationalis vita</w:t>
        </w:r>
      </w:hyperlink>
      <w:r>
        <w:rPr>
          <w:b w:val="0"/>
          <w:i w:val="0"/>
        </w:rPr>
        <w:t>.</w:t>
      </w:r>
    </w:p>
    <w:p>
      <w:pPr>
        <w:widowControl/>
      </w:pPr>
      <w:r>
        <w:rPr>
          <w:b/>
          <w:i w:val="0"/>
        </w:rPr>
        <w:t>irrationales vitas.</w:t>
      </w:r>
      <w:r>
        <w:rPr>
          <w:b w:val="0"/>
          <w:i w:val="0"/>
        </w:rPr>
        <w:t xml:space="preserve"> </w:t>
      </w:r>
      <w:hyperlink w:anchor="latin-record-0689">
        <w:r>
          <w:rPr>
            <w:color w:val="000000"/>
          </w:rPr>
          <w:t xml:space="preserve">irrationalis vita</w:t>
        </w:r>
      </w:hyperlink>
      <w:r>
        <w:rPr>
          <w:b w:val="0"/>
          <w:i w:val="0"/>
        </w:rPr>
        <w:t>.</w:t>
      </w:r>
    </w:p>
    <w:p>
      <w:pPr>
        <w:widowControl/>
      </w:pPr>
      <w:r>
        <w:rPr>
          <w:b/>
          <w:i w:val="0"/>
        </w:rPr>
        <w:t>irrationali anima vel vita.</w:t>
      </w:r>
      <w:r>
        <w:rPr>
          <w:b w:val="0"/>
          <w:i w:val="0"/>
        </w:rPr>
        <w:t xml:space="preserve"> </w:t>
      </w:r>
      <w:hyperlink w:anchor="latin-record-0689">
        <w:r>
          <w:rPr>
            <w:color w:val="000000"/>
          </w:rPr>
          <w:t xml:space="preserve">irrationalis vita</w:t>
        </w:r>
      </w:hyperlink>
      <w:r>
        <w:rPr>
          <w:b w:val="0"/>
          <w:i w:val="0"/>
        </w:rPr>
        <w:t>.</w:t>
      </w:r>
    </w:p>
    <w:p>
      <w:pPr>
        <w:widowControl/>
      </w:pPr>
      <w:r>
        <w:rPr>
          <w:b/>
          <w:i w:val="0"/>
        </w:rPr>
        <w:t>Irrationalis.</w:t>
      </w:r>
      <w:r>
        <w:rPr>
          <w:b w:val="0"/>
          <w:i w:val="0"/>
        </w:rPr>
        <w:t xml:space="preserve"> </w:t>
      </w:r>
      <w:hyperlink w:anchor="latin-record-0689">
        <w:r>
          <w:rPr>
            <w:color w:val="000000"/>
          </w:rPr>
          <w:t xml:space="preserve">irrationalis vita</w:t>
        </w:r>
      </w:hyperlink>
      <w:r>
        <w:rPr>
          <w:b w:val="0"/>
          <w:i w:val="0"/>
        </w:rPr>
        <w:t>.</w:t>
      </w:r>
    </w:p>
    <w:p>
      <w:pPr>
        <w:widowControl/>
      </w:pPr>
      <w:r>
        <w:rPr>
          <w:b/>
          <w:i w:val="0"/>
        </w:rPr>
        <w:t>Itaque.</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itaque.</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iudex.</w:t>
      </w:r>
      <w:r>
        <w:rPr>
          <w:b w:val="0"/>
          <w:i w:val="0"/>
        </w:rPr>
        <w:t xml:space="preserve"> </w:t>
      </w:r>
      <w:hyperlink w:anchor="latin-record-0690">
        <w:r>
          <w:rPr>
            <w:color w:val="000000"/>
          </w:rPr>
          <w:t xml:space="preserve">iudex liber passione</w:t>
        </w:r>
      </w:hyperlink>
      <w:r>
        <w:rPr>
          <w:b w:val="0"/>
          <w:i w:val="0"/>
        </w:rPr>
        <w:t>.</w:t>
      </w:r>
    </w:p>
    <w:p>
      <w:pPr>
        <w:widowControl/>
      </w:pPr>
      <w:r>
        <w:rPr>
          <w:b/>
          <w:i w:val="0"/>
        </w:rPr>
        <w:t>iudicabitur.</w:t>
      </w:r>
      <w:r>
        <w:rPr>
          <w:b w:val="0"/>
          <w:i w:val="0"/>
        </w:rPr>
        <w:t xml:space="preserve"> </w:t>
      </w:r>
      <w:hyperlink w:anchor="latin-record-0693">
        <w:r>
          <w:rPr>
            <w:color w:val="000000"/>
          </w:rPr>
          <w:t xml:space="preserve">iudicare; discernere</w:t>
        </w:r>
      </w:hyperlink>
      <w:r>
        <w:rPr>
          <w:b w:val="0"/>
          <w:i w:val="0"/>
        </w:rPr>
        <w:t>.</w:t>
      </w:r>
    </w:p>
    <w:p>
      <w:pPr>
        <w:widowControl/>
      </w:pPr>
      <w:r>
        <w:rPr>
          <w:b/>
          <w:i w:val="0"/>
        </w:rPr>
        <w:t>iudicantur.</w:t>
      </w:r>
      <w:r>
        <w:rPr>
          <w:b w:val="0"/>
          <w:i w:val="0"/>
        </w:rPr>
        <w:t xml:space="preserve"> </w:t>
      </w:r>
      <w:hyperlink w:anchor="latin-record-0691">
        <w:r>
          <w:rPr>
            <w:color w:val="000000"/>
          </w:rPr>
          <w:t xml:space="preserve">iudicare</w:t>
        </w:r>
      </w:hyperlink>
      <w:r>
        <w:rPr>
          <w:b w:val="0"/>
          <w:i w:val="0"/>
        </w:rPr>
        <w:t>.</w:t>
      </w:r>
    </w:p>
    <w:p>
      <w:pPr>
        <w:widowControl/>
      </w:pPr>
      <w:r>
        <w:rPr>
          <w:b/>
          <w:i w:val="0"/>
        </w:rPr>
        <w:t>iudicare.</w:t>
      </w:r>
      <w:r>
        <w:rPr>
          <w:b w:val="0"/>
          <w:i w:val="0"/>
        </w:rPr>
        <w:t xml:space="preserve"> </w:t>
      </w:r>
      <w:hyperlink w:anchor="latin-record-0692">
        <w:r>
          <w:rPr>
            <w:color w:val="000000"/>
          </w:rPr>
          <w:t xml:space="preserve">iudicare / pronuntiare</w:t>
        </w:r>
      </w:hyperlink>
      <w:r>
        <w:rPr>
          <w:b w:val="0"/>
          <w:i w:val="0"/>
        </w:rPr>
        <w:t>.</w:t>
      </w:r>
    </w:p>
    <w:p>
      <w:pPr>
        <w:widowControl/>
      </w:pPr>
      <w:r>
        <w:rPr>
          <w:b/>
          <w:i w:val="0"/>
        </w:rPr>
        <w:t>iudicaret.</w:t>
      </w:r>
      <w:r>
        <w:rPr>
          <w:b w:val="0"/>
          <w:i w:val="0"/>
        </w:rPr>
        <w:t xml:space="preserve"> </w:t>
      </w:r>
      <w:hyperlink w:anchor="latin-record-0691">
        <w:r>
          <w:rPr>
            <w:color w:val="000000"/>
          </w:rPr>
          <w:t xml:space="preserve">iudicare</w:t>
        </w:r>
      </w:hyperlink>
      <w:r>
        <w:rPr>
          <w:b w:val="0"/>
          <w:i w:val="0"/>
        </w:rPr>
        <w:t>.</w:t>
      </w:r>
    </w:p>
    <w:p>
      <w:pPr>
        <w:widowControl/>
      </w:pPr>
      <w:r>
        <w:rPr>
          <w:b/>
          <w:i w:val="0"/>
        </w:rPr>
        <w:t>iudicat.</w:t>
      </w:r>
      <w:r>
        <w:rPr>
          <w:b w:val="0"/>
          <w:i w:val="0"/>
        </w:rPr>
        <w:t xml:space="preserve"> </w:t>
      </w:r>
      <w:hyperlink w:anchor="latin-record-0691">
        <w:r>
          <w:rPr>
            <w:color w:val="000000"/>
          </w:rPr>
          <w:t xml:space="preserve">iudicare</w:t>
        </w:r>
      </w:hyperlink>
      <w:r>
        <w:rPr>
          <w:b w:val="0"/>
          <w:i w:val="0"/>
        </w:rPr>
        <w:t xml:space="preserve">; </w:t>
      </w:r>
      <w:hyperlink w:anchor="latin-record-0692">
        <w:r>
          <w:rPr>
            <w:color w:val="000000"/>
          </w:rPr>
          <w:t xml:space="preserve">iudicare / pronuntiare</w:t>
        </w:r>
      </w:hyperlink>
      <w:r>
        <w:rPr>
          <w:b w:val="0"/>
          <w:i w:val="0"/>
        </w:rPr>
        <w:t xml:space="preserve">; </w:t>
      </w:r>
      <w:hyperlink w:anchor="latin-record-0693">
        <w:r>
          <w:rPr>
            <w:color w:val="000000"/>
          </w:rPr>
          <w:t xml:space="preserve">iudicare; discernere</w:t>
        </w:r>
      </w:hyperlink>
      <w:r>
        <w:rPr>
          <w:b w:val="0"/>
          <w:i w:val="0"/>
        </w:rPr>
        <w:t>.</w:t>
      </w:r>
    </w:p>
    <w:p>
      <w:pPr>
        <w:widowControl/>
      </w:pPr>
      <w:r>
        <w:rPr>
          <w:b/>
          <w:i w:val="0"/>
        </w:rPr>
        <w:t>iudicaverat.</w:t>
      </w:r>
      <w:r>
        <w:rPr>
          <w:b w:val="0"/>
          <w:i w:val="0"/>
        </w:rPr>
        <w:t xml:space="preserve"> </w:t>
      </w:r>
      <w:hyperlink w:anchor="latin-record-0693">
        <w:r>
          <w:rPr>
            <w:color w:val="000000"/>
          </w:rPr>
          <w:t xml:space="preserve">iudicare; discernere</w:t>
        </w:r>
      </w:hyperlink>
      <w:r>
        <w:rPr>
          <w:b w:val="0"/>
          <w:i w:val="0"/>
        </w:rPr>
        <w:t>.</w:t>
      </w:r>
    </w:p>
    <w:p>
      <w:pPr>
        <w:widowControl/>
      </w:pPr>
      <w:r>
        <w:rPr>
          <w:b/>
          <w:i w:val="0"/>
        </w:rPr>
        <w:t>iudicaverint.</w:t>
      </w:r>
      <w:r>
        <w:rPr>
          <w:b w:val="0"/>
          <w:i w:val="0"/>
        </w:rPr>
        <w:t xml:space="preserve"> </w:t>
      </w:r>
      <w:hyperlink w:anchor="latin-record-0693">
        <w:r>
          <w:rPr>
            <w:color w:val="000000"/>
          </w:rPr>
          <w:t xml:space="preserve">iudicare; discernere</w:t>
        </w:r>
      </w:hyperlink>
      <w:r>
        <w:rPr>
          <w:b w:val="0"/>
          <w:i w:val="0"/>
        </w:rPr>
        <w:t>.</w:t>
      </w:r>
    </w:p>
    <w:p>
      <w:pPr>
        <w:widowControl/>
      </w:pPr>
      <w:r>
        <w:rPr>
          <w:b/>
          <w:i w:val="0"/>
        </w:rPr>
        <w:t>iudicem.</w:t>
      </w:r>
      <w:r>
        <w:rPr>
          <w:b w:val="0"/>
          <w:i w:val="0"/>
        </w:rPr>
        <w:t xml:space="preserve"> </w:t>
      </w:r>
      <w:hyperlink w:anchor="latin-record-0690">
        <w:r>
          <w:rPr>
            <w:color w:val="000000"/>
          </w:rPr>
          <w:t xml:space="preserve">iudex liber passione</w:t>
        </w:r>
      </w:hyperlink>
      <w:r>
        <w:rPr>
          <w:b w:val="0"/>
          <w:i w:val="0"/>
        </w:rPr>
        <w:t>.</w:t>
      </w:r>
    </w:p>
    <w:p>
      <w:pPr>
        <w:widowControl/>
      </w:pPr>
      <w:r>
        <w:rPr>
          <w:b/>
          <w:i w:val="0"/>
        </w:rPr>
        <w:t>iudicem quendam liberum passione.</w:t>
      </w:r>
      <w:r>
        <w:rPr>
          <w:b w:val="0"/>
          <w:i w:val="0"/>
        </w:rPr>
        <w:t xml:space="preserve"> </w:t>
      </w:r>
      <w:hyperlink w:anchor="latin-record-0690">
        <w:r>
          <w:rPr>
            <w:color w:val="000000"/>
          </w:rPr>
          <w:t xml:space="preserve">iudex liber passione</w:t>
        </w:r>
      </w:hyperlink>
      <w:r>
        <w:rPr>
          <w:b w:val="0"/>
          <w:i w:val="0"/>
        </w:rPr>
        <w:t>.</w:t>
      </w:r>
    </w:p>
    <w:p>
      <w:pPr>
        <w:widowControl/>
      </w:pPr>
      <w:r>
        <w:rPr>
          <w:b/>
          <w:i w:val="0"/>
        </w:rPr>
        <w:t>iudicet.</w:t>
      </w:r>
      <w:r>
        <w:rPr>
          <w:b w:val="0"/>
          <w:i w:val="0"/>
        </w:rPr>
        <w:t xml:space="preserve"> </w:t>
      </w:r>
      <w:hyperlink w:anchor="latin-record-0692">
        <w:r>
          <w:rPr>
            <w:color w:val="000000"/>
          </w:rPr>
          <w:t xml:space="preserve">iudicare / pronuntiare</w:t>
        </w:r>
      </w:hyperlink>
      <w:r>
        <w:rPr>
          <w:b w:val="0"/>
          <w:i w:val="0"/>
        </w:rPr>
        <w:t xml:space="preserve">; </w:t>
      </w:r>
      <w:hyperlink w:anchor="latin-record-0693">
        <w:r>
          <w:rPr>
            <w:color w:val="000000"/>
          </w:rPr>
          <w:t xml:space="preserve">iudicare; discernere</w:t>
        </w:r>
      </w:hyperlink>
      <w:r>
        <w:rPr>
          <w:b w:val="0"/>
          <w:i w:val="0"/>
        </w:rPr>
        <w:t>.</w:t>
      </w:r>
    </w:p>
    <w:p>
      <w:pPr>
        <w:widowControl/>
      </w:pPr>
      <w:r>
        <w:rPr>
          <w:b/>
          <w:i w:val="0"/>
        </w:rPr>
        <w:t>iudicio.</w:t>
      </w:r>
      <w:r>
        <w:rPr>
          <w:b w:val="0"/>
          <w:i w:val="0"/>
        </w:rPr>
        <w:t xml:space="preserve"> </w:t>
      </w:r>
      <w:hyperlink w:anchor="latin-record-0694">
        <w:r>
          <w:rPr>
            <w:color w:val="000000"/>
          </w:rPr>
          <w:t xml:space="preserve">iudicium passionis</w:t>
        </w:r>
      </w:hyperlink>
      <w:r>
        <w:rPr>
          <w:b w:val="0"/>
          <w:i w:val="0"/>
        </w:rPr>
        <w:t>.</w:t>
      </w:r>
    </w:p>
    <w:p>
      <w:pPr>
        <w:widowControl/>
      </w:pPr>
      <w:r>
        <w:rPr>
          <w:b/>
          <w:i w:val="0"/>
        </w:rPr>
        <w:t>iudicium.</w:t>
      </w:r>
      <w:r>
        <w:rPr>
          <w:b w:val="0"/>
          <w:i w:val="0"/>
        </w:rPr>
        <w:t xml:space="preserve"> </w:t>
      </w:r>
      <w:hyperlink w:anchor="latin-record-0455">
        <w:r>
          <w:rPr>
            <w:color w:val="000000"/>
          </w:rPr>
          <w:t xml:space="preserve">excitatum iudicium</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694">
        <w:r>
          <w:rPr>
            <w:color w:val="000000"/>
          </w:rPr>
          <w:t xml:space="preserve">iudicium passionis</w:t>
        </w:r>
      </w:hyperlink>
      <w:r>
        <w:rPr>
          <w:b w:val="0"/>
          <w:i w:val="0"/>
        </w:rPr>
        <w:t xml:space="preserve">; </w:t>
      </w:r>
      <w:hyperlink w:anchor="latin-record-0695">
        <w:r>
          <w:rPr>
            <w:color w:val="000000"/>
          </w:rPr>
          <w:t xml:space="preserve">iudicium; emendare</w:t>
        </w:r>
      </w:hyperlink>
      <w:r>
        <w:rPr>
          <w:b w:val="0"/>
          <w:i w:val="0"/>
        </w:rPr>
        <w:t>.</w:t>
      </w:r>
    </w:p>
    <w:p>
      <w:pPr>
        <w:widowControl/>
      </w:pPr>
      <w:r>
        <w:rPr>
          <w:b/>
          <w:i w:val="0"/>
        </w:rPr>
        <w:t>Iudicium.</w:t>
      </w:r>
      <w:r>
        <w:rPr>
          <w:b w:val="0"/>
          <w:i w:val="0"/>
        </w:rPr>
        <w:t xml:space="preserve"> </w:t>
      </w:r>
      <w:hyperlink w:anchor="latin-record-0692">
        <w:r>
          <w:rPr>
            <w:color w:val="000000"/>
          </w:rPr>
          <w:t xml:space="preserve">iudicare / pronuntiare</w:t>
        </w:r>
      </w:hyperlink>
      <w:r>
        <w:rPr>
          <w:b w:val="0"/>
          <w:i w:val="0"/>
        </w:rPr>
        <w:t>.</w:t>
      </w:r>
    </w:p>
    <w:p>
      <w:pPr>
        <w:widowControl/>
      </w:pPr>
      <w:r>
        <w:rPr>
          <w:b/>
          <w:i w:val="0"/>
        </w:rPr>
        <w:t>iudicium naturale.</w:t>
      </w:r>
      <w:r>
        <w:rPr>
          <w:b w:val="0"/>
          <w:i w:val="0"/>
        </w:rPr>
        <w:t xml:space="preserve"> </w:t>
      </w:r>
      <w:hyperlink w:anchor="latin-record-0828">
        <w:r>
          <w:rPr>
            <w:color w:val="000000"/>
          </w:rPr>
          <w:t xml:space="preserve">naturale iudicium</w:t>
        </w:r>
      </w:hyperlink>
      <w:r>
        <w:rPr>
          <w:b w:val="0"/>
          <w:i w:val="0"/>
        </w:rPr>
        <w:t>.</w:t>
      </w:r>
    </w:p>
    <w:p>
      <w:pPr>
        <w:widowControl/>
      </w:pPr>
      <w:r>
        <w:rPr>
          <w:b/>
          <w:i w:val="0"/>
        </w:rPr>
        <w:t>iudicium passionis.</w:t>
      </w:r>
      <w:r>
        <w:rPr>
          <w:b w:val="0"/>
          <w:i w:val="0"/>
        </w:rPr>
        <w:t xml:space="preserve"> </w:t>
      </w:r>
      <w:hyperlink w:anchor="latin-record-0694">
        <w:r>
          <w:rPr>
            <w:color w:val="000000"/>
          </w:rPr>
          <w:t xml:space="preserve">iudicium passionis</w:t>
        </w:r>
      </w:hyperlink>
      <w:r>
        <w:rPr>
          <w:b w:val="0"/>
          <w:i w:val="0"/>
        </w:rPr>
        <w:t>.</w:t>
      </w:r>
    </w:p>
    <w:p>
      <w:pPr>
        <w:widowControl/>
      </w:pPr>
      <w:r>
        <w:rPr>
          <w:b/>
          <w:i w:val="0"/>
        </w:rPr>
        <w:t>iusti.</w:t>
      </w:r>
      <w:r>
        <w:rPr>
          <w:b w:val="0"/>
          <w:i w:val="0"/>
        </w:rPr>
        <w:t xml:space="preserve"> </w:t>
      </w:r>
      <w:hyperlink w:anchor="latin-record-0837">
        <w:r>
          <w:rPr>
            <w:color w:val="000000"/>
          </w:rPr>
          <w:t xml:space="preserve">nequam / probus / iustus / latro</w:t>
        </w:r>
      </w:hyperlink>
      <w:r>
        <w:rPr>
          <w:b w:val="0"/>
          <w:i w:val="0"/>
        </w:rPr>
        <w:t>.</w:t>
      </w:r>
    </w:p>
    <w:p>
      <w:pPr>
        <w:widowControl/>
      </w:pPr>
      <w:r>
        <w:rPr>
          <w:b/>
          <w:i w:val="0"/>
        </w:rPr>
        <w:t>iustitia.</w:t>
      </w:r>
      <w:r>
        <w:rPr>
          <w:b w:val="0"/>
          <w:i w:val="0"/>
        </w:rPr>
        <w:t xml:space="preserve"> </w:t>
      </w:r>
      <w:hyperlink w:anchor="latin-record-0696">
        <w:r>
          <w:rPr>
            <w:color w:val="000000"/>
          </w:rPr>
          <w:t xml:space="preserve">iustitia / suum cuique</w:t>
        </w:r>
      </w:hyperlink>
      <w:r>
        <w:rPr>
          <w:b w:val="0"/>
          <w:i w:val="0"/>
        </w:rPr>
        <w:t>.</w:t>
      </w:r>
    </w:p>
    <w:p>
      <w:pPr>
        <w:widowControl/>
      </w:pPr>
      <w:r>
        <w:rPr>
          <w:b/>
          <w:i w:val="0"/>
        </w:rPr>
        <w:t>Kalendis Martiis.</w:t>
      </w:r>
      <w:r>
        <w:rPr>
          <w:b w:val="0"/>
          <w:i w:val="0"/>
        </w:rPr>
        <w:t xml:space="preserve"> </w:t>
      </w:r>
      <w:hyperlink w:anchor="latin-record-0697">
        <w:r>
          <w:rPr>
            <w:color w:val="000000"/>
          </w:rPr>
          <w:t xml:space="preserve">Kalendae; laurus</w:t>
        </w:r>
      </w:hyperlink>
      <w:r>
        <w:rPr>
          <w:b w:val="0"/>
          <w:i w:val="0"/>
        </w:rPr>
        <w:t>.</w:t>
      </w:r>
    </w:p>
    <w:p>
      <w:pPr>
        <w:widowControl/>
      </w:pPr>
      <w:r>
        <w:rPr>
          <w:b/>
          <w:i w:val="0"/>
        </w:rPr>
        <w:t>labile.</w:t>
      </w:r>
      <w:r>
        <w:rPr>
          <w:b w:val="0"/>
          <w:i w:val="0"/>
        </w:rPr>
        <w:t xml:space="preserve"> </w:t>
      </w:r>
      <w:hyperlink w:anchor="latin-record-1198">
        <w:r>
          <w:rPr>
            <w:color w:val="000000"/>
          </w:rPr>
          <w:t xml:space="preserve">solidus / fluxus / labilis</w:t>
        </w:r>
      </w:hyperlink>
      <w:r>
        <w:rPr>
          <w:b w:val="0"/>
          <w:i w:val="0"/>
        </w:rPr>
        <w:t>.</w:t>
      </w:r>
    </w:p>
    <w:p>
      <w:pPr>
        <w:widowControl/>
      </w:pPr>
      <w:r>
        <w:rPr>
          <w:b/>
          <w:i w:val="0"/>
        </w:rPr>
        <w:t>labitur.</w:t>
      </w:r>
      <w:r>
        <w:rPr>
          <w:b w:val="0"/>
          <w:i w:val="0"/>
        </w:rPr>
        <w:t xml:space="preserve"> </w:t>
      </w:r>
      <w:hyperlink w:anchor="latin-record-0298">
        <w:r>
          <w:rPr>
            <w:color w:val="000000"/>
          </w:rPr>
          <w:t xml:space="preserve">connectere / labi / abire</w:t>
        </w:r>
      </w:hyperlink>
      <w:r>
        <w:rPr>
          <w:b w:val="0"/>
          <w:i w:val="0"/>
        </w:rPr>
        <w:t xml:space="preserve">; </w:t>
      </w:r>
      <w:hyperlink w:anchor="latin-record-1106">
        <w:r>
          <w:rPr>
            <w:color w:val="000000"/>
          </w:rPr>
          <w:t xml:space="preserve">renovare; labi</w:t>
        </w:r>
      </w:hyperlink>
      <w:r>
        <w:rPr>
          <w:b w:val="0"/>
          <w:i w:val="0"/>
        </w:rPr>
        <w:t>.</w:t>
      </w:r>
    </w:p>
    <w:p>
      <w:pPr>
        <w:widowControl/>
      </w:pPr>
      <w:r>
        <w:rPr>
          <w:b/>
          <w:i w:val="0"/>
        </w:rPr>
        <w:t>lacerentur.</w:t>
      </w:r>
      <w:r>
        <w:rPr>
          <w:b w:val="0"/>
          <w:i w:val="0"/>
        </w:rPr>
        <w:t xml:space="preserve"> </w:t>
      </w:r>
      <w:hyperlink w:anchor="latin-record-0386">
        <w:r>
          <w:rPr>
            <w:color w:val="000000"/>
          </w:rPr>
          <w:t xml:space="preserve">dilaniatio / lacerare / discerpere</w:t>
        </w:r>
      </w:hyperlink>
      <w:r>
        <w:rPr>
          <w:b w:val="0"/>
          <w:i w:val="0"/>
        </w:rPr>
        <w:t>.</w:t>
      </w:r>
    </w:p>
    <w:p>
      <w:pPr>
        <w:widowControl/>
      </w:pPr>
      <w:r>
        <w:rPr>
          <w:b/>
          <w:i w:val="0"/>
        </w:rPr>
        <w:t>lacte.</w:t>
      </w:r>
      <w:r>
        <w:rPr>
          <w:b w:val="0"/>
          <w:i w:val="0"/>
        </w:rPr>
        <w:t xml:space="preserve"> </w:t>
      </w:r>
      <w:hyperlink w:anchor="latin-record-0220">
        <w:r>
          <w:rPr>
            <w:color w:val="000000"/>
          </w:rPr>
          <w:t xml:space="preserve">coagulum; lac; coagulare</w:t>
        </w:r>
      </w:hyperlink>
      <w:r>
        <w:rPr>
          <w:b w:val="0"/>
          <w:i w:val="0"/>
        </w:rPr>
        <w:t>.</w:t>
      </w:r>
    </w:p>
    <w:p>
      <w:pPr>
        <w:widowControl/>
      </w:pPr>
      <w:r>
        <w:rPr>
          <w:b/>
          <w:i w:val="0"/>
        </w:rPr>
        <w:t>laederetur.</w:t>
      </w:r>
      <w:r>
        <w:rPr>
          <w:b w:val="0"/>
          <w:i w:val="0"/>
        </w:rPr>
        <w:t xml:space="preserve"> </w:t>
      </w:r>
      <w:hyperlink w:anchor="latin-record-0926">
        <w:r>
          <w:rPr>
            <w:color w:val="000000"/>
          </w:rPr>
          <w:t xml:space="preserve">perdere / laedere</w:t>
        </w:r>
      </w:hyperlink>
      <w:r>
        <w:rPr>
          <w:b w:val="0"/>
          <w:i w:val="0"/>
        </w:rPr>
        <w:t>.</w:t>
      </w:r>
    </w:p>
    <w:p>
      <w:pPr>
        <w:widowControl/>
      </w:pPr>
      <w:r>
        <w:rPr>
          <w:b/>
          <w:i w:val="0"/>
        </w:rPr>
        <w:t>laesio.</w:t>
      </w:r>
      <w:r>
        <w:rPr>
          <w:b w:val="0"/>
          <w:i w:val="0"/>
        </w:rPr>
        <w:t xml:space="preserve"> </w:t>
      </w:r>
      <w:hyperlink w:anchor="latin-record-0698">
        <w:r>
          <w:rPr>
            <w:color w:val="000000"/>
          </w:rPr>
          <w:t xml:space="preserve">laesio / noxius</w:t>
        </w:r>
      </w:hyperlink>
      <w:r>
        <w:rPr>
          <w:b w:val="0"/>
          <w:i w:val="0"/>
        </w:rPr>
        <w:t>.</w:t>
      </w:r>
    </w:p>
    <w:p>
      <w:pPr>
        <w:widowControl/>
      </w:pPr>
      <w:r>
        <w:rPr>
          <w:b/>
          <w:i w:val="0"/>
        </w:rPr>
        <w:t>laesione.</w:t>
      </w:r>
      <w:r>
        <w:rPr>
          <w:b w:val="0"/>
          <w:i w:val="0"/>
        </w:rPr>
        <w:t xml:space="preserve"> </w:t>
      </w:r>
      <w:hyperlink w:anchor="latin-record-0698">
        <w:r>
          <w:rPr>
            <w:color w:val="000000"/>
          </w:rPr>
          <w:t xml:space="preserve">laesio / noxius</w:t>
        </w:r>
      </w:hyperlink>
      <w:r>
        <w:rPr>
          <w:b w:val="0"/>
          <w:i w:val="0"/>
        </w:rPr>
        <w:t>.</w:t>
      </w:r>
    </w:p>
    <w:p>
      <w:pPr>
        <w:widowControl/>
      </w:pPr>
      <w:r>
        <w:rPr>
          <w:b/>
          <w:i w:val="0"/>
        </w:rPr>
        <w:t>laesionem.</w:t>
      </w:r>
      <w:r>
        <w:rPr>
          <w:b w:val="0"/>
          <w:i w:val="0"/>
        </w:rPr>
        <w:t xml:space="preserve"> </w:t>
      </w:r>
      <w:hyperlink w:anchor="latin-record-0698">
        <w:r>
          <w:rPr>
            <w:color w:val="000000"/>
          </w:rPr>
          <w:t xml:space="preserve">laesio / noxius</w:t>
        </w:r>
      </w:hyperlink>
      <w:r>
        <w:rPr>
          <w:b w:val="0"/>
          <w:i w:val="0"/>
        </w:rPr>
        <w:t>.</w:t>
      </w:r>
    </w:p>
    <w:p>
      <w:pPr>
        <w:widowControl/>
      </w:pPr>
      <w:r>
        <w:rPr>
          <w:b/>
          <w:i w:val="0"/>
        </w:rPr>
        <w:t>laetitia.</w:t>
      </w:r>
      <w:r>
        <w:rPr>
          <w:b w:val="0"/>
          <w:i w:val="0"/>
        </w:rPr>
        <w:t xml:space="preserve"> </w:t>
      </w:r>
      <w:hyperlink w:anchor="latin-record-1308">
        <w:r>
          <w:rPr>
            <w:color w:val="000000"/>
          </w:rPr>
          <w:t xml:space="preserve">tristitia / laetitia / debilitare / roborare</w:t>
        </w:r>
      </w:hyperlink>
      <w:r>
        <w:rPr>
          <w:b w:val="0"/>
          <w:i w:val="0"/>
        </w:rPr>
        <w:t>.</w:t>
      </w:r>
    </w:p>
    <w:p>
      <w:pPr>
        <w:widowControl/>
      </w:pPr>
      <w:r>
        <w:rPr>
          <w:b/>
          <w:i w:val="0"/>
        </w:rPr>
        <w:t>lampadem.</w:t>
      </w:r>
      <w:r>
        <w:rPr>
          <w:b w:val="0"/>
          <w:i w:val="0"/>
        </w:rPr>
        <w:t xml:space="preserve"> </w:t>
      </w:r>
      <w:hyperlink w:anchor="latin-record-0699">
        <w:r>
          <w:rPr>
            <w:color w:val="000000"/>
          </w:rPr>
          <w:t xml:space="preserve">lampas; ignis</w:t>
        </w:r>
      </w:hyperlink>
      <w:r>
        <w:rPr>
          <w:b w:val="0"/>
          <w:i w:val="0"/>
        </w:rPr>
        <w:t>.</w:t>
      </w:r>
    </w:p>
    <w:p>
      <w:pPr>
        <w:widowControl/>
      </w:pPr>
      <w:r>
        <w:rPr>
          <w:b/>
          <w:i w:val="0"/>
        </w:rPr>
        <w:t>lampas.</w:t>
      </w:r>
      <w:r>
        <w:rPr>
          <w:b w:val="0"/>
          <w:i w:val="0"/>
        </w:rPr>
        <w:t xml:space="preserve"> </w:t>
      </w:r>
      <w:hyperlink w:anchor="latin-record-0699">
        <w:r>
          <w:rPr>
            <w:color w:val="000000"/>
          </w:rPr>
          <w:t xml:space="preserve">lampas; ignis</w:t>
        </w:r>
      </w:hyperlink>
      <w:r>
        <w:rPr>
          <w:b w:val="0"/>
          <w:i w:val="0"/>
        </w:rPr>
        <w:t>.</w:t>
      </w:r>
    </w:p>
    <w:p>
      <w:pPr>
        <w:widowControl/>
      </w:pPr>
      <w:r>
        <w:rPr>
          <w:b/>
          <w:i w:val="0"/>
        </w:rPr>
        <w:t>lana.</w:t>
      </w:r>
      <w:r>
        <w:rPr>
          <w:b w:val="0"/>
          <w:i w:val="0"/>
        </w:rPr>
        <w:t xml:space="preserve"> </w:t>
      </w:r>
      <w:hyperlink w:anchor="latin-record-1217">
        <w:r>
          <w:rPr>
            <w:color w:val="000000"/>
          </w:rPr>
          <w:t xml:space="preserve">speculum / lana / accendere</w:t>
        </w:r>
      </w:hyperlink>
      <w:r>
        <w:rPr>
          <w:b w:val="0"/>
          <w:i w:val="0"/>
        </w:rPr>
        <w:t>.</w:t>
      </w:r>
    </w:p>
    <w:p>
      <w:pPr>
        <w:widowControl/>
      </w:pPr>
      <w:r>
        <w:rPr>
          <w:b/>
          <w:i w:val="0"/>
        </w:rPr>
        <w:t>languescit.</w:t>
      </w:r>
      <w:r>
        <w:rPr>
          <w:b w:val="0"/>
          <w:i w:val="0"/>
        </w:rPr>
        <w:t xml:space="preserve"> </w:t>
      </w:r>
      <w:hyperlink w:anchor="latin-record-0770">
        <w:r>
          <w:rPr>
            <w:color w:val="000000"/>
          </w:rPr>
          <w:t xml:space="preserve">mediocriter / gravari / languescere / aegrotare</w:t>
        </w:r>
      </w:hyperlink>
      <w:r>
        <w:rPr>
          <w:b w:val="0"/>
          <w:i w:val="0"/>
        </w:rPr>
        <w:t>.</w:t>
      </w:r>
    </w:p>
    <w:p>
      <w:pPr>
        <w:widowControl/>
      </w:pPr>
      <w:r>
        <w:rPr>
          <w:b/>
          <w:i w:val="0"/>
        </w:rPr>
        <w:t>lapide.</w:t>
      </w:r>
      <w:r>
        <w:rPr>
          <w:b w:val="0"/>
          <w:i w:val="0"/>
        </w:rPr>
        <w:t xml:space="preserve"> </w:t>
      </w:r>
      <w:hyperlink w:anchor="latin-record-0703">
        <w:r>
          <w:rPr>
            <w:color w:val="000000"/>
          </w:rPr>
          <w:t xml:space="preserve">lapis / scintilla / collidere</w:t>
        </w:r>
      </w:hyperlink>
      <w:r>
        <w:rPr>
          <w:b w:val="0"/>
          <w:i w:val="0"/>
        </w:rPr>
        <w:t xml:space="preserve">; </w:t>
      </w:r>
      <w:hyperlink w:anchor="latin-record-1140">
        <w:r>
          <w:rPr>
            <w:color w:val="000000"/>
          </w:rPr>
          <w:t xml:space="preserve">sculptor / statua / lapis</w:t>
        </w:r>
      </w:hyperlink>
      <w:r>
        <w:rPr>
          <w:b w:val="0"/>
          <w:i w:val="0"/>
        </w:rPr>
        <w:t>.</w:t>
      </w:r>
    </w:p>
    <w:p>
      <w:pPr>
        <w:widowControl/>
      </w:pPr>
      <w:r>
        <w:rPr>
          <w:b/>
          <w:i w:val="0"/>
        </w:rPr>
        <w:t>lapides.</w:t>
      </w:r>
      <w:r>
        <w:rPr>
          <w:b w:val="0"/>
          <w:i w:val="0"/>
        </w:rPr>
        <w:t xml:space="preserve"> </w:t>
      </w:r>
      <w:hyperlink w:anchor="latin-record-0701">
        <w:r>
          <w:rPr>
            <w:color w:val="000000"/>
          </w:rPr>
          <w:t xml:space="preserve">lapides / prima vita</w:t>
        </w:r>
      </w:hyperlink>
      <w:r>
        <w:rPr>
          <w:b w:val="0"/>
          <w:i w:val="0"/>
        </w:rPr>
        <w:t>.</w:t>
      </w:r>
    </w:p>
    <w:p>
      <w:pPr>
        <w:widowControl/>
      </w:pPr>
      <w:r>
        <w:rPr>
          <w:b/>
          <w:i w:val="0"/>
        </w:rPr>
        <w:t>lapillum.</w:t>
      </w:r>
      <w:r>
        <w:rPr>
          <w:b w:val="0"/>
          <w:i w:val="0"/>
        </w:rPr>
        <w:t xml:space="preserve"> </w:t>
      </w:r>
      <w:hyperlink w:anchor="latin-record-0543">
        <w:r>
          <w:rPr>
            <w:color w:val="000000"/>
          </w:rPr>
          <w:t xml:space="preserve">genu / lapillus</w:t>
        </w:r>
      </w:hyperlink>
      <w:r>
        <w:rPr>
          <w:b w:val="0"/>
          <w:i w:val="0"/>
        </w:rPr>
        <w:t>.</w:t>
      </w:r>
    </w:p>
    <w:p>
      <w:pPr>
        <w:widowControl/>
      </w:pPr>
      <w:r>
        <w:rPr>
          <w:b/>
          <w:i w:val="0"/>
        </w:rPr>
        <w:t>lapis.</w:t>
      </w:r>
      <w:r>
        <w:rPr>
          <w:b w:val="0"/>
          <w:i w:val="0"/>
        </w:rPr>
        <w:t xml:space="preserve"> </w:t>
      </w:r>
      <w:hyperlink w:anchor="latin-record-0584">
        <w:r>
          <w:rPr>
            <w:color w:val="000000"/>
          </w:rPr>
          <w:t xml:space="preserve">ignis / lapis / descendere / deferre</w:t>
        </w:r>
      </w:hyperlink>
      <w:r>
        <w:rPr>
          <w:b w:val="0"/>
          <w:i w:val="0"/>
        </w:rPr>
        <w:t xml:space="preserve">; </w:t>
      </w:r>
      <w:hyperlink w:anchor="latin-record-0585">
        <w:r>
          <w:rPr>
            <w:color w:val="000000"/>
          </w:rPr>
          <w:t xml:space="preserve">ignis / terra / lapis</w:t>
        </w:r>
      </w:hyperlink>
      <w:r>
        <w:rPr>
          <w:b w:val="0"/>
          <w:i w:val="0"/>
        </w:rPr>
        <w:t xml:space="preserve">; </w:t>
      </w:r>
      <w:hyperlink w:anchor="latin-record-0702">
        <w:r>
          <w:rPr>
            <w:color w:val="000000"/>
          </w:rPr>
          <w:t xml:space="preserve">lapis</w:t>
        </w:r>
      </w:hyperlink>
      <w:r>
        <w:rPr>
          <w:b w:val="0"/>
          <w:i w:val="0"/>
        </w:rPr>
        <w:t>.</w:t>
      </w:r>
    </w:p>
    <w:p>
      <w:pPr>
        <w:widowControl/>
      </w:pPr>
      <w:r>
        <w:rPr>
          <w:b/>
          <w:i w:val="0"/>
        </w:rPr>
        <w:t>lapis iste.</w:t>
      </w:r>
      <w:r>
        <w:rPr>
          <w:b w:val="0"/>
          <w:i w:val="0"/>
        </w:rPr>
        <w:t xml:space="preserve"> </w:t>
      </w:r>
      <w:hyperlink w:anchor="latin-record-0702">
        <w:r>
          <w:rPr>
            <w:color w:val="000000"/>
          </w:rPr>
          <w:t xml:space="preserve">lapis</w:t>
        </w:r>
      </w:hyperlink>
      <w:r>
        <w:rPr>
          <w:b w:val="0"/>
          <w:i w:val="0"/>
        </w:rPr>
        <w:t>.</w:t>
      </w:r>
    </w:p>
    <w:p>
      <w:pPr>
        <w:widowControl/>
      </w:pPr>
      <w:r>
        <w:rPr>
          <w:b/>
          <w:i w:val="0"/>
        </w:rPr>
        <w:t>lapsas.</w:t>
      </w:r>
      <w:r>
        <w:rPr>
          <w:b w:val="0"/>
          <w:i w:val="0"/>
        </w:rPr>
        <w:t xml:space="preserve"> </w:t>
      </w:r>
      <w:hyperlink w:anchor="latin-record-0363">
        <w:r>
          <w:rPr>
            <w:color w:val="000000"/>
          </w:rPr>
          <w:t xml:space="preserve">delabi / prolabi</w:t>
        </w:r>
      </w:hyperlink>
      <w:r>
        <w:rPr>
          <w:b w:val="0"/>
          <w:i w:val="0"/>
        </w:rPr>
        <w:t>.</w:t>
      </w:r>
    </w:p>
    <w:p>
      <w:pPr>
        <w:widowControl/>
      </w:pPr>
      <w:r>
        <w:rPr>
          <w:b/>
          <w:i w:val="0"/>
        </w:rPr>
        <w:t>latent.</w:t>
      </w:r>
      <w:r>
        <w:rPr>
          <w:b w:val="0"/>
          <w:i w:val="0"/>
        </w:rPr>
        <w:t xml:space="preserve"> </w:t>
      </w:r>
      <w:hyperlink w:anchor="latin-record-0454">
        <w:r>
          <w:rPr>
            <w:color w:val="000000"/>
          </w:rPr>
          <w:t xml:space="preserve">excitare / promere / adita</w:t>
        </w:r>
      </w:hyperlink>
      <w:r>
        <w:rPr>
          <w:b w:val="0"/>
          <w:i w:val="0"/>
        </w:rPr>
        <w:t xml:space="preserve">; </w:t>
      </w:r>
      <w:hyperlink w:anchor="latin-record-0705">
        <w:r>
          <w:rPr>
            <w:color w:val="000000"/>
          </w:rPr>
          <w:t xml:space="preserve">latere / lucere</w:t>
        </w:r>
      </w:hyperlink>
      <w:r>
        <w:rPr>
          <w:b w:val="0"/>
          <w:i w:val="0"/>
        </w:rPr>
        <w:t>.</w:t>
      </w:r>
    </w:p>
    <w:p>
      <w:pPr>
        <w:widowControl/>
      </w:pPr>
      <w:r>
        <w:rPr>
          <w:b/>
          <w:i w:val="0"/>
        </w:rPr>
        <w:t>latente.</w:t>
      </w:r>
      <w:r>
        <w:rPr>
          <w:b w:val="0"/>
          <w:i w:val="0"/>
        </w:rPr>
        <w:t xml:space="preserve"> </w:t>
      </w:r>
      <w:hyperlink w:anchor="latin-record-0138">
        <w:r>
          <w:rPr>
            <w:color w:val="000000"/>
          </w:rPr>
          <w:t xml:space="preserve">assidue / naturaliter / interius</w:t>
        </w:r>
      </w:hyperlink>
      <w:r>
        <w:rPr>
          <w:b w:val="0"/>
          <w:i w:val="0"/>
        </w:rPr>
        <w:t>.</w:t>
      </w:r>
    </w:p>
    <w:p>
      <w:pPr>
        <w:widowControl/>
      </w:pPr>
      <w:r>
        <w:rPr>
          <w:b/>
          <w:i w:val="0"/>
        </w:rPr>
        <w:t>latere.</w:t>
      </w:r>
      <w:r>
        <w:rPr>
          <w:b w:val="0"/>
          <w:i w:val="0"/>
        </w:rPr>
        <w:t xml:space="preserve"> </w:t>
      </w:r>
      <w:hyperlink w:anchor="latin-record-0843">
        <w:r>
          <w:rPr>
            <w:color w:val="000000"/>
          </w:rPr>
          <w:t xml:space="preserve">non latere</w:t>
        </w:r>
      </w:hyperlink>
      <w:r>
        <w:rPr>
          <w:b w:val="0"/>
          <w:i w:val="0"/>
        </w:rPr>
        <w:t>.</w:t>
      </w:r>
    </w:p>
    <w:p>
      <w:pPr>
        <w:widowControl/>
      </w:pPr>
      <w:r>
        <w:rPr>
          <w:b/>
          <w:i w:val="0"/>
        </w:rPr>
        <w:t>latet.</w:t>
      </w:r>
      <w:r>
        <w:rPr>
          <w:b w:val="0"/>
          <w:i w:val="0"/>
        </w:rPr>
        <w:t xml:space="preserve"> </w:t>
      </w:r>
      <w:hyperlink w:anchor="latin-record-0704">
        <w:r>
          <w:rPr>
            <w:color w:val="000000"/>
          </w:rPr>
          <w:t xml:space="preserve">latere / delitescere</w:t>
        </w:r>
      </w:hyperlink>
      <w:r>
        <w:rPr>
          <w:b w:val="0"/>
          <w:i w:val="0"/>
        </w:rPr>
        <w:t xml:space="preserve">; </w:t>
      </w:r>
      <w:hyperlink w:anchor="latin-record-0705">
        <w:r>
          <w:rPr>
            <w:color w:val="000000"/>
          </w:rPr>
          <w:t xml:space="preserve">latere / lucere</w:t>
        </w:r>
      </w:hyperlink>
      <w:r>
        <w:rPr>
          <w:b w:val="0"/>
          <w:i w:val="0"/>
        </w:rPr>
        <w:t xml:space="preserve">; </w:t>
      </w:r>
      <w:hyperlink w:anchor="latin-record-0843">
        <w:r>
          <w:rPr>
            <w:color w:val="000000"/>
          </w:rPr>
          <w:t xml:space="preserve">non latere</w:t>
        </w:r>
      </w:hyperlink>
      <w:r>
        <w:rPr>
          <w:b w:val="0"/>
          <w:i w:val="0"/>
        </w:rPr>
        <w:t>.</w:t>
      </w:r>
    </w:p>
    <w:p>
      <w:pPr>
        <w:widowControl/>
      </w:pPr>
      <w:r>
        <w:rPr>
          <w:b/>
          <w:i w:val="0"/>
        </w:rPr>
        <w:t>Latet.</w:t>
      </w:r>
      <w:r>
        <w:rPr>
          <w:b w:val="0"/>
          <w:i w:val="0"/>
        </w:rPr>
        <w:t xml:space="preserve"> </w:t>
      </w:r>
      <w:hyperlink w:anchor="latin-record-0705">
        <w:r>
          <w:rPr>
            <w:color w:val="000000"/>
          </w:rPr>
          <w:t xml:space="preserve">latere / lucere</w:t>
        </w:r>
      </w:hyperlink>
      <w:r>
        <w:rPr>
          <w:b w:val="0"/>
          <w:i w:val="0"/>
        </w:rPr>
        <w:t>.</w:t>
      </w:r>
    </w:p>
    <w:p>
      <w:pPr>
        <w:widowControl/>
      </w:pPr>
      <w:r>
        <w:rPr>
          <w:b/>
          <w:i w:val="0"/>
        </w:rPr>
        <w:t>lationis.</w:t>
      </w:r>
      <w:r>
        <w:rPr>
          <w:b w:val="0"/>
          <w:i w:val="0"/>
        </w:rPr>
        <w:t xml:space="preserve"> </w:t>
      </w:r>
      <w:hyperlink w:anchor="latin-record-0728">
        <w:r>
          <w:rPr>
            <w:color w:val="000000"/>
          </w:rPr>
          <w:t xml:space="preserve">luci / fer / latio</w:t>
        </w:r>
      </w:hyperlink>
      <w:r>
        <w:rPr>
          <w:b w:val="0"/>
          <w:i w:val="0"/>
        </w:rPr>
        <w:t>.</w:t>
      </w:r>
    </w:p>
    <w:p>
      <w:pPr>
        <w:widowControl/>
      </w:pPr>
      <w:r>
        <w:rPr>
          <w:b/>
          <w:i w:val="0"/>
        </w:rPr>
        <w:t>latitudine.</w:t>
      </w:r>
      <w:r>
        <w:rPr>
          <w:b w:val="0"/>
          <w:i w:val="0"/>
        </w:rPr>
        <w:t xml:space="preserve"> </w:t>
      </w:r>
      <w:hyperlink w:anchor="latin-record-0706">
        <w:r>
          <w:rPr>
            <w:color w:val="000000"/>
          </w:rPr>
          <w:t xml:space="preserve">latitudo / extensio</w:t>
        </w:r>
      </w:hyperlink>
      <w:r>
        <w:rPr>
          <w:b w:val="0"/>
          <w:i w:val="0"/>
        </w:rPr>
        <w:t xml:space="preserve">; </w:t>
      </w:r>
      <w:hyperlink w:anchor="latin-record-0724">
        <w:r>
          <w:rPr>
            <w:color w:val="000000"/>
          </w:rPr>
          <w:t xml:space="preserve">longitudo / latitudo / profunditas</w:t>
        </w:r>
      </w:hyperlink>
      <w:r>
        <w:rPr>
          <w:b w:val="0"/>
          <w:i w:val="0"/>
        </w:rPr>
        <w:t>.</w:t>
      </w:r>
    </w:p>
    <w:p>
      <w:pPr>
        <w:widowControl/>
      </w:pPr>
      <w:r>
        <w:rPr>
          <w:b/>
          <w:i w:val="0"/>
        </w:rPr>
        <w:t>latitudinem.</w:t>
      </w:r>
      <w:r>
        <w:rPr>
          <w:b w:val="0"/>
          <w:i w:val="0"/>
        </w:rPr>
        <w:t xml:space="preserve"> </w:t>
      </w:r>
      <w:hyperlink w:anchor="latin-record-0706">
        <w:r>
          <w:rPr>
            <w:color w:val="000000"/>
          </w:rPr>
          <w:t xml:space="preserve">latitudo / extensio</w:t>
        </w:r>
      </w:hyperlink>
      <w:r>
        <w:rPr>
          <w:b w:val="0"/>
          <w:i w:val="0"/>
        </w:rPr>
        <w:t>.</w:t>
      </w:r>
    </w:p>
    <w:p>
      <w:pPr>
        <w:widowControl/>
      </w:pPr>
      <w:r>
        <w:rPr>
          <w:b/>
          <w:i w:val="0"/>
        </w:rPr>
        <w:t>latitudinis.</w:t>
      </w:r>
      <w:r>
        <w:rPr>
          <w:b w:val="0"/>
          <w:i w:val="0"/>
        </w:rPr>
        <w:t xml:space="preserve"> </w:t>
      </w:r>
      <w:hyperlink w:anchor="latin-record-0706">
        <w:r>
          <w:rPr>
            <w:color w:val="000000"/>
          </w:rPr>
          <w:t xml:space="preserve">latitudo / extensio</w:t>
        </w:r>
      </w:hyperlink>
      <w:r>
        <w:rPr>
          <w:b w:val="0"/>
          <w:i w:val="0"/>
        </w:rPr>
        <w:t xml:space="preserve">; </w:t>
      </w:r>
      <w:hyperlink w:anchor="latin-record-0724">
        <w:r>
          <w:rPr>
            <w:color w:val="000000"/>
          </w:rPr>
          <w:t xml:space="preserve">longitudo / latitudo / profunditas</w:t>
        </w:r>
      </w:hyperlink>
      <w:r>
        <w:rPr>
          <w:b w:val="0"/>
          <w:i w:val="0"/>
        </w:rPr>
        <w:t>.</w:t>
      </w:r>
    </w:p>
    <w:p>
      <w:pPr>
        <w:widowControl/>
      </w:pPr>
      <w:r>
        <w:rPr>
          <w:b/>
          <w:i w:val="0"/>
        </w:rPr>
        <w:t>latitudo.</w:t>
      </w:r>
      <w:r>
        <w:rPr>
          <w:b w:val="0"/>
          <w:i w:val="0"/>
        </w:rPr>
        <w:t xml:space="preserve"> </w:t>
      </w:r>
      <w:hyperlink w:anchor="latin-record-0706">
        <w:r>
          <w:rPr>
            <w:color w:val="000000"/>
          </w:rPr>
          <w:t xml:space="preserve">latitudo / extensio</w:t>
        </w:r>
      </w:hyperlink>
      <w:r>
        <w:rPr>
          <w:b w:val="0"/>
          <w:i w:val="0"/>
        </w:rPr>
        <w:t xml:space="preserve">; </w:t>
      </w:r>
      <w:hyperlink w:anchor="latin-record-0725">
        <w:r>
          <w:rPr>
            <w:color w:val="000000"/>
          </w:rPr>
          <w:t xml:space="preserve">longitudo; latitudo; profunditas</w:t>
        </w:r>
      </w:hyperlink>
      <w:r>
        <w:rPr>
          <w:b w:val="0"/>
          <w:i w:val="0"/>
        </w:rPr>
        <w:t>.</w:t>
      </w:r>
    </w:p>
    <w:p>
      <w:pPr>
        <w:widowControl/>
      </w:pPr>
      <w:r>
        <w:rPr>
          <w:b/>
          <w:i w:val="0"/>
        </w:rPr>
        <w:t>latronis.</w:t>
      </w:r>
      <w:r>
        <w:rPr>
          <w:b w:val="0"/>
          <w:i w:val="0"/>
        </w:rPr>
        <w:t xml:space="preserve"> </w:t>
      </w:r>
      <w:hyperlink w:anchor="latin-record-0837">
        <w:r>
          <w:rPr>
            <w:color w:val="000000"/>
          </w:rPr>
          <w:t xml:space="preserve">nequam / probus / iustus / latro</w:t>
        </w:r>
      </w:hyperlink>
      <w:r>
        <w:rPr>
          <w:b w:val="0"/>
          <w:i w:val="0"/>
        </w:rPr>
        <w:t>.</w:t>
      </w:r>
    </w:p>
    <w:p>
      <w:pPr>
        <w:widowControl/>
      </w:pPr>
      <w:r>
        <w:rPr>
          <w:b/>
          <w:i w:val="0"/>
        </w:rPr>
        <w:t>latuerat.</w:t>
      </w:r>
      <w:r>
        <w:rPr>
          <w:b w:val="0"/>
          <w:i w:val="0"/>
        </w:rPr>
        <w:t xml:space="preserve"> </w:t>
      </w:r>
      <w:hyperlink w:anchor="latin-record-0704">
        <w:r>
          <w:rPr>
            <w:color w:val="000000"/>
          </w:rPr>
          <w:t xml:space="preserve">latere / delitescere</w:t>
        </w:r>
      </w:hyperlink>
      <w:r>
        <w:rPr>
          <w:b w:val="0"/>
          <w:i w:val="0"/>
        </w:rPr>
        <w:t>.</w:t>
      </w:r>
    </w:p>
    <w:p>
      <w:pPr>
        <w:widowControl/>
      </w:pPr>
      <w:r>
        <w:rPr>
          <w:b/>
          <w:i w:val="0"/>
        </w:rPr>
        <w:t>latuit.</w:t>
      </w:r>
      <w:r>
        <w:rPr>
          <w:b w:val="0"/>
          <w:i w:val="0"/>
        </w:rPr>
        <w:t xml:space="preserve"> </w:t>
      </w:r>
      <w:hyperlink w:anchor="latin-record-0704">
        <w:r>
          <w:rPr>
            <w:color w:val="000000"/>
          </w:rPr>
          <w:t xml:space="preserve">latere / delitescere</w:t>
        </w:r>
      </w:hyperlink>
      <w:r>
        <w:rPr>
          <w:b w:val="0"/>
          <w:i w:val="0"/>
        </w:rPr>
        <w:t>.</w:t>
      </w:r>
    </w:p>
    <w:p>
      <w:pPr>
        <w:widowControl/>
      </w:pPr>
      <w:r>
        <w:rPr>
          <w:b/>
          <w:i w:val="0"/>
        </w:rPr>
        <w:t>lege.</w:t>
      </w:r>
      <w:r>
        <w:rPr>
          <w:b w:val="0"/>
          <w:i w:val="0"/>
        </w:rPr>
        <w:t xml:space="preserve"> </w:t>
      </w:r>
      <w:hyperlink w:anchor="latin-record-0711">
        <w:r>
          <w:rPr>
            <w:color w:val="000000"/>
          </w:rPr>
          <w:t xml:space="preserve">lex formantis</w:t>
        </w:r>
      </w:hyperlink>
      <w:r>
        <w:rPr>
          <w:b w:val="0"/>
          <w:i w:val="0"/>
        </w:rPr>
        <w:t>.</w:t>
      </w:r>
    </w:p>
    <w:p>
      <w:pPr>
        <w:widowControl/>
      </w:pPr>
      <w:r>
        <w:rPr>
          <w:b/>
          <w:i w:val="0"/>
        </w:rPr>
        <w:t>legem.</w:t>
      </w:r>
      <w:r>
        <w:rPr>
          <w:b w:val="0"/>
          <w:i w:val="0"/>
        </w:rPr>
        <w:t xml:space="preserve"> </w:t>
      </w:r>
      <w:hyperlink w:anchor="latin-record-1096">
        <w:r>
          <w:rPr>
            <w:color w:val="000000"/>
          </w:rPr>
          <w:t xml:space="preserve">regula / lex</w:t>
        </w:r>
      </w:hyperlink>
      <w:r>
        <w:rPr>
          <w:b w:val="0"/>
          <w:i w:val="0"/>
        </w:rPr>
        <w:t>.</w:t>
      </w:r>
    </w:p>
    <w:p>
      <w:pPr>
        <w:widowControl/>
      </w:pPr>
      <w:r>
        <w:rPr>
          <w:b/>
          <w:i w:val="0"/>
        </w:rPr>
        <w:t>leo.</w:t>
      </w:r>
      <w:r>
        <w:rPr>
          <w:b w:val="0"/>
          <w:i w:val="0"/>
        </w:rPr>
        <w:t xml:space="preserve"> </w:t>
      </w:r>
      <w:hyperlink w:anchor="latin-record-0707">
        <w:r>
          <w:rPr>
            <w:color w:val="000000"/>
          </w:rPr>
          <w:t xml:space="preserve">leo</w:t>
        </w:r>
      </w:hyperlink>
      <w:r>
        <w:rPr>
          <w:b w:val="0"/>
          <w:i w:val="0"/>
        </w:rPr>
        <w:t xml:space="preserve">; </w:t>
      </w:r>
      <w:hyperlink w:anchor="latin-record-0708">
        <w:r>
          <w:rPr>
            <w:color w:val="000000"/>
          </w:rPr>
          <w:t xml:space="preserve">leo / audacia</w:t>
        </w:r>
      </w:hyperlink>
      <w:r>
        <w:rPr>
          <w:b w:val="0"/>
          <w:i w:val="0"/>
        </w:rPr>
        <w:t>.</w:t>
      </w:r>
    </w:p>
    <w:p>
      <w:pPr>
        <w:widowControl/>
      </w:pPr>
      <w:r>
        <w:rPr>
          <w:b/>
          <w:i w:val="0"/>
        </w:rPr>
        <w:t>leone.</w:t>
      </w:r>
      <w:r>
        <w:rPr>
          <w:b w:val="0"/>
          <w:i w:val="0"/>
        </w:rPr>
        <w:t xml:space="preserve"> </w:t>
      </w:r>
      <w:hyperlink w:anchor="latin-record-0707">
        <w:r>
          <w:rPr>
            <w:color w:val="000000"/>
          </w:rPr>
          <w:t xml:space="preserve">leo</w:t>
        </w:r>
      </w:hyperlink>
      <w:r>
        <w:rPr>
          <w:b w:val="0"/>
          <w:i w:val="0"/>
        </w:rPr>
        <w:t>.</w:t>
      </w:r>
    </w:p>
    <w:p>
      <w:pPr>
        <w:widowControl/>
      </w:pPr>
      <w:r>
        <w:rPr>
          <w:b/>
          <w:i w:val="0"/>
        </w:rPr>
        <w:t>leonem.</w:t>
      </w:r>
      <w:r>
        <w:rPr>
          <w:b w:val="0"/>
          <w:i w:val="0"/>
        </w:rPr>
        <w:t xml:space="preserve"> </w:t>
      </w:r>
      <w:hyperlink w:anchor="latin-record-0707">
        <w:r>
          <w:rPr>
            <w:color w:val="000000"/>
          </w:rPr>
          <w:t xml:space="preserve">leo</w:t>
        </w:r>
      </w:hyperlink>
      <w:r>
        <w:rPr>
          <w:b w:val="0"/>
          <w:i w:val="0"/>
        </w:rPr>
        <w:t>.</w:t>
      </w:r>
    </w:p>
    <w:p>
      <w:pPr>
        <w:widowControl/>
      </w:pPr>
      <w:r>
        <w:rPr>
          <w:b/>
          <w:i w:val="0"/>
        </w:rPr>
        <w:t>leonis.</w:t>
      </w:r>
      <w:r>
        <w:rPr>
          <w:b w:val="0"/>
          <w:i w:val="0"/>
        </w:rPr>
        <w:t xml:space="preserve"> </w:t>
      </w:r>
      <w:hyperlink w:anchor="latin-record-0707">
        <w:r>
          <w:rPr>
            <w:color w:val="000000"/>
          </w:rPr>
          <w:t xml:space="preserve">leo</w:t>
        </w:r>
      </w:hyperlink>
      <w:r>
        <w:rPr>
          <w:b w:val="0"/>
          <w:i w:val="0"/>
        </w:rPr>
        <w:t>.</w:t>
      </w:r>
    </w:p>
    <w:p>
      <w:pPr>
        <w:widowControl/>
      </w:pPr>
      <w:r>
        <w:rPr>
          <w:b/>
          <w:i w:val="0"/>
        </w:rPr>
        <w:t>lepus.</w:t>
      </w:r>
      <w:r>
        <w:rPr>
          <w:b w:val="0"/>
          <w:i w:val="0"/>
        </w:rPr>
        <w:t xml:space="preserve"> </w:t>
      </w:r>
      <w:hyperlink w:anchor="latin-record-0709">
        <w:r>
          <w:rPr>
            <w:color w:val="000000"/>
          </w:rPr>
          <w:t xml:space="preserve">lepus / vestigium / indago</w:t>
        </w:r>
      </w:hyperlink>
      <w:r>
        <w:rPr>
          <w:b w:val="0"/>
          <w:i w:val="0"/>
        </w:rPr>
        <w:t>.</w:t>
      </w:r>
    </w:p>
    <w:p>
      <w:pPr>
        <w:widowControl/>
      </w:pPr>
      <w:r>
        <w:rPr>
          <w:b/>
          <w:i w:val="0"/>
        </w:rPr>
        <w:t>Leucippus.</w:t>
      </w:r>
      <w:r>
        <w:rPr>
          <w:b w:val="0"/>
          <w:i w:val="0"/>
        </w:rPr>
        <w:t xml:space="preserve"> </w:t>
      </w:r>
      <w:hyperlink w:anchor="latin-record-0364">
        <w:r>
          <w:rPr>
            <w:color w:val="000000"/>
          </w:rPr>
          <w:t xml:space="preserve">Democritus; Leucippus; Hipparchus</w:t>
        </w:r>
      </w:hyperlink>
      <w:r>
        <w:rPr>
          <w:b w:val="0"/>
          <w:i w:val="0"/>
        </w:rPr>
        <w:t>.</w:t>
      </w:r>
    </w:p>
    <w:p>
      <w:pPr>
        <w:widowControl/>
      </w:pPr>
      <w:r>
        <w:rPr>
          <w:b/>
          <w:i w:val="0"/>
        </w:rPr>
        <w:t>leve vel grave.</w:t>
      </w:r>
      <w:r>
        <w:rPr>
          <w:b w:val="0"/>
          <w:i w:val="0"/>
        </w:rPr>
        <w:t xml:space="preserve"> </w:t>
      </w:r>
      <w:hyperlink w:anchor="latin-record-0710">
        <w:r>
          <w:rPr>
            <w:color w:val="000000"/>
          </w:rPr>
          <w:t xml:space="preserve">levis; gravis; rarus; densus</w:t>
        </w:r>
      </w:hyperlink>
      <w:r>
        <w:rPr>
          <w:b w:val="0"/>
          <w:i w:val="0"/>
        </w:rPr>
        <w:t>.</w:t>
      </w:r>
    </w:p>
    <w:p>
      <w:pPr>
        <w:widowControl/>
      </w:pPr>
      <w:r>
        <w:rPr>
          <w:b/>
          <w:i w:val="0"/>
        </w:rPr>
        <w:t>leves spiritus.</w:t>
      </w:r>
      <w:r>
        <w:rPr>
          <w:b w:val="0"/>
          <w:i w:val="0"/>
        </w:rPr>
        <w:t xml:space="preserve"> </w:t>
      </w:r>
      <w:hyperlink w:anchor="latin-record-1229">
        <w:r>
          <w:rPr>
            <w:color w:val="000000"/>
          </w:rPr>
          <w:t xml:space="preserve">spiritus leves; humores graves</w:t>
        </w:r>
      </w:hyperlink>
      <w:r>
        <w:rPr>
          <w:b w:val="0"/>
          <w:i w:val="0"/>
        </w:rPr>
        <w:t>.</w:t>
      </w:r>
    </w:p>
    <w:p>
      <w:pPr>
        <w:widowControl/>
      </w:pPr>
      <w:r>
        <w:rPr>
          <w:b/>
          <w:i w:val="0"/>
        </w:rPr>
        <w:t>libera.</w:t>
      </w:r>
      <w:r>
        <w:rPr>
          <w:b w:val="0"/>
          <w:i w:val="0"/>
        </w:rPr>
        <w:t xml:space="preserve"> </w:t>
      </w:r>
      <w:hyperlink w:anchor="latin-record-0712">
        <w:r>
          <w:rPr>
            <w:color w:val="000000"/>
          </w:rPr>
          <w:t xml:space="preserve">liber / libere / libertas</w:t>
        </w:r>
      </w:hyperlink>
      <w:r>
        <w:rPr>
          <w:b w:val="0"/>
          <w:i w:val="0"/>
        </w:rPr>
        <w:t xml:space="preserve">; </w:t>
      </w:r>
      <w:hyperlink w:anchor="latin-record-0713">
        <w:r>
          <w:rPr>
            <w:color w:val="000000"/>
          </w:rPr>
          <w:t xml:space="preserve">liber a materia</w:t>
        </w:r>
      </w:hyperlink>
      <w:r>
        <w:rPr>
          <w:b w:val="0"/>
          <w:i w:val="0"/>
        </w:rPr>
        <w:t>.</w:t>
      </w:r>
    </w:p>
    <w:p>
      <w:pPr>
        <w:widowControl/>
      </w:pPr>
      <w:r>
        <w:rPr>
          <w:b/>
          <w:i w:val="0"/>
        </w:rPr>
        <w:t>liberae.</w:t>
      </w:r>
      <w:r>
        <w:rPr>
          <w:b w:val="0"/>
          <w:i w:val="0"/>
        </w:rPr>
        <w:t xml:space="preserve"> </w:t>
      </w:r>
      <w:hyperlink w:anchor="latin-record-0713">
        <w:r>
          <w:rPr>
            <w:color w:val="000000"/>
          </w:rPr>
          <w:t xml:space="preserve">liber a materia</w:t>
        </w:r>
      </w:hyperlink>
      <w:r>
        <w:rPr>
          <w:b w:val="0"/>
          <w:i w:val="0"/>
        </w:rPr>
        <w:t>.</w:t>
      </w:r>
    </w:p>
    <w:p>
      <w:pPr>
        <w:widowControl/>
      </w:pPr>
      <w:r>
        <w:rPr>
          <w:b/>
          <w:i w:val="0"/>
        </w:rPr>
        <w:t>liberam.</w:t>
      </w:r>
      <w:r>
        <w:rPr>
          <w:b w:val="0"/>
          <w:i w:val="0"/>
        </w:rPr>
        <w:t xml:space="preserve"> </w:t>
      </w:r>
      <w:hyperlink w:anchor="latin-record-0712">
        <w:r>
          <w:rPr>
            <w:color w:val="000000"/>
          </w:rPr>
          <w:t xml:space="preserve">liber / libere / libertas</w:t>
        </w:r>
      </w:hyperlink>
      <w:r>
        <w:rPr>
          <w:b w:val="0"/>
          <w:i w:val="0"/>
        </w:rPr>
        <w:t>.</w:t>
      </w:r>
    </w:p>
    <w:p>
      <w:pPr>
        <w:widowControl/>
      </w:pPr>
      <w:r>
        <w:rPr>
          <w:b/>
          <w:i w:val="0"/>
        </w:rPr>
        <w:t>libere.</w:t>
      </w:r>
      <w:r>
        <w:rPr>
          <w:b w:val="0"/>
          <w:i w:val="0"/>
        </w:rPr>
        <w:t xml:space="preserve"> </w:t>
      </w:r>
      <w:hyperlink w:anchor="latin-record-0712">
        <w:r>
          <w:rPr>
            <w:color w:val="000000"/>
          </w:rPr>
          <w:t xml:space="preserve">liber / libere / libertas</w:t>
        </w:r>
      </w:hyperlink>
      <w:r>
        <w:rPr>
          <w:b w:val="0"/>
          <w:i w:val="0"/>
        </w:rPr>
        <w:t xml:space="preserve">; </w:t>
      </w:r>
      <w:hyperlink w:anchor="latin-record-0714">
        <w:r>
          <w:rPr>
            <w:color w:val="000000"/>
          </w:rPr>
          <w:t xml:space="preserve">liber; solutus; separatus</w:t>
        </w:r>
      </w:hyperlink>
      <w:r>
        <w:rPr>
          <w:b w:val="0"/>
          <w:i w:val="0"/>
        </w:rPr>
        <w:t>.</w:t>
      </w:r>
    </w:p>
    <w:p>
      <w:pPr>
        <w:widowControl/>
      </w:pPr>
      <w:r>
        <w:rPr>
          <w:b/>
          <w:i w:val="0"/>
        </w:rPr>
        <w:t>liberet.</w:t>
      </w:r>
      <w:r>
        <w:rPr>
          <w:b w:val="0"/>
          <w:i w:val="0"/>
        </w:rPr>
        <w:t xml:space="preserve"> </w:t>
      </w:r>
      <w:hyperlink w:anchor="latin-record-0459">
        <w:r>
          <w:rPr>
            <w:color w:val="000000"/>
          </w:rPr>
          <w:t xml:space="preserve">eximere / liberare</w:t>
        </w:r>
      </w:hyperlink>
      <w:r>
        <w:rPr>
          <w:b w:val="0"/>
          <w:i w:val="0"/>
        </w:rPr>
        <w:t>.</w:t>
      </w:r>
    </w:p>
    <w:p>
      <w:pPr>
        <w:widowControl/>
      </w:pPr>
      <w:r>
        <w:rPr>
          <w:b/>
          <w:i w:val="0"/>
        </w:rPr>
        <w:t>liberior.</w:t>
      </w:r>
      <w:r>
        <w:rPr>
          <w:b w:val="0"/>
          <w:i w:val="0"/>
        </w:rPr>
        <w:t xml:space="preserve"> </w:t>
      </w:r>
      <w:hyperlink w:anchor="latin-record-0713">
        <w:r>
          <w:rPr>
            <w:color w:val="000000"/>
          </w:rPr>
          <w:t xml:space="preserve">liber a materia</w:t>
        </w:r>
      </w:hyperlink>
      <w:r>
        <w:rPr>
          <w:b w:val="0"/>
          <w:i w:val="0"/>
        </w:rPr>
        <w:t>.</w:t>
      </w:r>
    </w:p>
    <w:p>
      <w:pPr>
        <w:widowControl/>
      </w:pPr>
      <w:r>
        <w:rPr>
          <w:b/>
          <w:i w:val="0"/>
        </w:rPr>
        <w:t>liberius.</w:t>
      </w:r>
      <w:r>
        <w:rPr>
          <w:b w:val="0"/>
          <w:i w:val="0"/>
        </w:rPr>
        <w:t xml:space="preserve"> </w:t>
      </w:r>
      <w:hyperlink w:anchor="latin-record-0713">
        <w:r>
          <w:rPr>
            <w:color w:val="000000"/>
          </w:rPr>
          <w:t xml:space="preserve">liber a materia</w:t>
        </w:r>
      </w:hyperlink>
      <w:r>
        <w:rPr>
          <w:b w:val="0"/>
          <w:i w:val="0"/>
        </w:rPr>
        <w:t xml:space="preserve">; </w:t>
      </w:r>
      <w:hyperlink w:anchor="latin-record-0714">
        <w:r>
          <w:rPr>
            <w:color w:val="000000"/>
          </w:rPr>
          <w:t xml:space="preserve">liber; solutus; separatus</w:t>
        </w:r>
      </w:hyperlink>
      <w:r>
        <w:rPr>
          <w:b w:val="0"/>
          <w:i w:val="0"/>
        </w:rPr>
        <w:t>.</w:t>
      </w:r>
    </w:p>
    <w:p>
      <w:pPr>
        <w:widowControl/>
      </w:pPr>
      <w:r>
        <w:rPr>
          <w:b/>
          <w:i w:val="0"/>
        </w:rPr>
        <w:t>libertate.</w:t>
      </w:r>
      <w:r>
        <w:rPr>
          <w:b w:val="0"/>
          <w:i w:val="0"/>
        </w:rPr>
        <w:t xml:space="preserve"> </w:t>
      </w:r>
      <w:hyperlink w:anchor="latin-record-0712">
        <w:r>
          <w:rPr>
            <w:color w:val="000000"/>
          </w:rPr>
          <w:t xml:space="preserve">liber / libere / libertas</w:t>
        </w:r>
      </w:hyperlink>
      <w:r>
        <w:rPr>
          <w:b w:val="0"/>
          <w:i w:val="0"/>
        </w:rPr>
        <w:t>.</w:t>
      </w:r>
    </w:p>
    <w:p>
      <w:pPr>
        <w:widowControl/>
      </w:pPr>
      <w:r>
        <w:rPr>
          <w:b/>
          <w:i w:val="0"/>
        </w:rPr>
        <w:t>liberum.</w:t>
      </w:r>
      <w:r>
        <w:rPr>
          <w:b w:val="0"/>
          <w:i w:val="0"/>
        </w:rPr>
        <w:t xml:space="preserve"> </w:t>
      </w:r>
      <w:hyperlink w:anchor="latin-record-0690">
        <w:r>
          <w:rPr>
            <w:color w:val="000000"/>
          </w:rPr>
          <w:t xml:space="preserve">iudex liber passione</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714">
        <w:r>
          <w:rPr>
            <w:color w:val="000000"/>
          </w:rPr>
          <w:t xml:space="preserve">liber; solutus; separatus</w:t>
        </w:r>
      </w:hyperlink>
      <w:r>
        <w:rPr>
          <w:b w:val="0"/>
          <w:i w:val="0"/>
        </w:rPr>
        <w:t>.</w:t>
      </w:r>
    </w:p>
    <w:p>
      <w:pPr>
        <w:widowControl/>
      </w:pPr>
      <w:r>
        <w:rPr>
          <w:b/>
          <w:i w:val="0"/>
        </w:rPr>
        <w:t>libidine.</w:t>
      </w:r>
      <w:r>
        <w:rPr>
          <w:b w:val="0"/>
          <w:i w:val="0"/>
        </w:rPr>
        <w:t xml:space="preserve"> </w:t>
      </w:r>
      <w:hyperlink w:anchor="latin-record-1276">
        <w:r>
          <w:rPr>
            <w:color w:val="000000"/>
          </w:rPr>
          <w:t xml:space="preserve">temperantia / libido</w:t>
        </w:r>
      </w:hyperlink>
      <w:r>
        <w:rPr>
          <w:b w:val="0"/>
          <w:i w:val="0"/>
        </w:rPr>
        <w:t>.</w:t>
      </w:r>
    </w:p>
    <w:p>
      <w:pPr>
        <w:widowControl/>
      </w:pPr>
      <w:r>
        <w:rPr>
          <w:b/>
          <w:i w:val="0"/>
        </w:rPr>
        <w:t>libidini.</w:t>
      </w:r>
      <w:r>
        <w:rPr>
          <w:b w:val="0"/>
          <w:i w:val="0"/>
        </w:rPr>
        <w:t xml:space="preserve"> </w:t>
      </w:r>
      <w:hyperlink w:anchor="latin-record-1276">
        <w:r>
          <w:rPr>
            <w:color w:val="000000"/>
          </w:rPr>
          <w:t xml:space="preserve">temperantia / libido</w:t>
        </w:r>
      </w:hyperlink>
      <w:r>
        <w:rPr>
          <w:b w:val="0"/>
          <w:i w:val="0"/>
        </w:rPr>
        <w:t>.</w:t>
      </w:r>
    </w:p>
    <w:p>
      <w:pPr>
        <w:widowControl/>
      </w:pPr>
      <w:r>
        <w:rPr>
          <w:b/>
          <w:i w:val="0"/>
        </w:rPr>
        <w:t>libidinis.</w:t>
      </w:r>
      <w:r>
        <w:rPr>
          <w:b w:val="0"/>
          <w:i w:val="0"/>
        </w:rPr>
        <w:t xml:space="preserve"> </w:t>
      </w:r>
      <w:hyperlink w:anchor="latin-record-1276">
        <w:r>
          <w:rPr>
            <w:color w:val="000000"/>
          </w:rPr>
          <w:t xml:space="preserve">temperantia / libido</w:t>
        </w:r>
      </w:hyperlink>
      <w:r>
        <w:rPr>
          <w:b w:val="0"/>
          <w:i w:val="0"/>
        </w:rPr>
        <w:t>.</w:t>
      </w:r>
    </w:p>
    <w:p>
      <w:pPr>
        <w:widowControl/>
      </w:pPr>
      <w:r>
        <w:rPr>
          <w:b/>
          <w:i w:val="0"/>
        </w:rPr>
        <w:t>libidinis mollitiem.</w:t>
      </w:r>
      <w:r>
        <w:rPr>
          <w:b w:val="0"/>
          <w:i w:val="0"/>
        </w:rPr>
        <w:t xml:space="preserve"> </w:t>
      </w:r>
      <w:hyperlink w:anchor="latin-record-1276">
        <w:r>
          <w:rPr>
            <w:color w:val="000000"/>
          </w:rPr>
          <w:t xml:space="preserve">temperantia / libido</w:t>
        </w:r>
      </w:hyperlink>
      <w:r>
        <w:rPr>
          <w:b w:val="0"/>
          <w:i w:val="0"/>
        </w:rPr>
        <w:t>.</w:t>
      </w:r>
    </w:p>
    <w:p>
      <w:pPr>
        <w:widowControl/>
      </w:pPr>
      <w:r>
        <w:rPr>
          <w:b/>
          <w:i w:val="0"/>
        </w:rPr>
        <w:t>licet.</w:t>
      </w:r>
      <w:r>
        <w:rPr>
          <w:b w:val="0"/>
          <w:i w:val="0"/>
        </w:rPr>
        <w:t xml:space="preserve"> </w:t>
      </w:r>
      <w:hyperlink w:anchor="latin-record-1170">
        <w:r>
          <w:rPr>
            <w:color w:val="000000"/>
          </w:rPr>
          <w:t xml:space="preserve">si; sin; nisi; licet</w:t>
        </w:r>
      </w:hyperlink>
      <w:r>
        <w:rPr>
          <w:b w:val="0"/>
          <w:i w:val="0"/>
        </w:rPr>
        <w:t>.</w:t>
      </w:r>
    </w:p>
    <w:p>
      <w:pPr>
        <w:widowControl/>
      </w:pPr>
      <w:r>
        <w:rPr>
          <w:b/>
          <w:i w:val="0"/>
        </w:rPr>
        <w:t>ligna.</w:t>
      </w:r>
      <w:r>
        <w:rPr>
          <w:b w:val="0"/>
          <w:i w:val="0"/>
        </w:rPr>
        <w:t xml:space="preserve"> </w:t>
      </w:r>
      <w:hyperlink w:anchor="latin-record-1135">
        <w:r>
          <w:rPr>
            <w:color w:val="000000"/>
          </w:rPr>
          <w:t xml:space="preserve">saxum; lignum</w:t>
        </w:r>
      </w:hyperlink>
      <w:r>
        <w:rPr>
          <w:b w:val="0"/>
          <w:i w:val="0"/>
        </w:rPr>
        <w:t>.</w:t>
      </w:r>
    </w:p>
    <w:p>
      <w:pPr>
        <w:widowControl/>
      </w:pPr>
      <w:r>
        <w:rPr>
          <w:b/>
          <w:i w:val="0"/>
        </w:rPr>
        <w:t>lignis aridis.</w:t>
      </w:r>
      <w:r>
        <w:rPr>
          <w:b w:val="0"/>
          <w:i w:val="0"/>
        </w:rPr>
        <w:t xml:space="preserve"> </w:t>
      </w:r>
      <w:hyperlink w:anchor="latin-record-1135">
        <w:r>
          <w:rPr>
            <w:color w:val="000000"/>
          </w:rPr>
          <w:t xml:space="preserve">saxum; lignum</w:t>
        </w:r>
      </w:hyperlink>
      <w:r>
        <w:rPr>
          <w:b w:val="0"/>
          <w:i w:val="0"/>
        </w:rPr>
        <w:t>.</w:t>
      </w:r>
    </w:p>
    <w:p>
      <w:pPr>
        <w:widowControl/>
      </w:pPr>
      <w:r>
        <w:rPr>
          <w:b/>
          <w:i w:val="0"/>
        </w:rPr>
        <w:t>Ligno.</w:t>
      </w:r>
      <w:r>
        <w:rPr>
          <w:b w:val="0"/>
          <w:i w:val="0"/>
        </w:rPr>
        <w:t xml:space="preserve"> </w:t>
      </w:r>
      <w:hyperlink w:anchor="latin-record-0716">
        <w:r>
          <w:rPr>
            <w:color w:val="000000"/>
          </w:rPr>
          <w:t xml:space="preserve">lignum</w:t>
        </w:r>
      </w:hyperlink>
      <w:r>
        <w:rPr>
          <w:b w:val="0"/>
          <w:i w:val="0"/>
        </w:rPr>
        <w:t>.</w:t>
      </w:r>
    </w:p>
    <w:p>
      <w:pPr>
        <w:widowControl/>
      </w:pPr>
      <w:r>
        <w:rPr>
          <w:b/>
          <w:i w:val="0"/>
        </w:rPr>
        <w:t>ligno.</w:t>
      </w:r>
      <w:r>
        <w:rPr>
          <w:b w:val="0"/>
          <w:i w:val="0"/>
        </w:rPr>
        <w:t xml:space="preserve"> </w:t>
      </w:r>
      <w:hyperlink w:anchor="latin-record-0718">
        <w:r>
          <w:rPr>
            <w:color w:val="000000"/>
          </w:rPr>
          <w:t xml:space="preserve">lignum / flamma / flammula</w:t>
        </w:r>
      </w:hyperlink>
      <w:r>
        <w:rPr>
          <w:b w:val="0"/>
          <w:i w:val="0"/>
        </w:rPr>
        <w:t>.</w:t>
      </w:r>
    </w:p>
    <w:p>
      <w:pPr>
        <w:widowControl/>
      </w:pPr>
      <w:r>
        <w:rPr>
          <w:b/>
          <w:i w:val="0"/>
        </w:rPr>
        <w:t>lignum.</w:t>
      </w:r>
      <w:r>
        <w:rPr>
          <w:b w:val="0"/>
          <w:i w:val="0"/>
        </w:rPr>
        <w:t xml:space="preserve"> </w:t>
      </w:r>
      <w:hyperlink w:anchor="latin-record-0716">
        <w:r>
          <w:rPr>
            <w:color w:val="000000"/>
          </w:rPr>
          <w:t xml:space="preserve">lignum</w:t>
        </w:r>
      </w:hyperlink>
      <w:r>
        <w:rPr>
          <w:b w:val="0"/>
          <w:i w:val="0"/>
        </w:rPr>
        <w:t xml:space="preserve">; </w:t>
      </w:r>
      <w:hyperlink w:anchor="latin-record-0717">
        <w:r>
          <w:rPr>
            <w:color w:val="000000"/>
          </w:rPr>
          <w:t xml:space="preserve">lignum / extremum punctum</w:t>
        </w:r>
      </w:hyperlink>
      <w:r>
        <w:rPr>
          <w:b w:val="0"/>
          <w:i w:val="0"/>
        </w:rPr>
        <w:t xml:space="preserve">; </w:t>
      </w:r>
      <w:hyperlink w:anchor="latin-record-0718">
        <w:r>
          <w:rPr>
            <w:color w:val="000000"/>
          </w:rPr>
          <w:t xml:space="preserve">lignum / flamma / flammula</w:t>
        </w:r>
      </w:hyperlink>
      <w:r>
        <w:rPr>
          <w:b w:val="0"/>
          <w:i w:val="0"/>
        </w:rPr>
        <w:t>.</w:t>
      </w:r>
    </w:p>
    <w:p>
      <w:pPr>
        <w:widowControl/>
      </w:pPr>
      <w:r>
        <w:rPr>
          <w:b/>
          <w:i w:val="0"/>
        </w:rPr>
        <w:t>limite.</w:t>
      </w:r>
      <w:r>
        <w:rPr>
          <w:b w:val="0"/>
          <w:i w:val="0"/>
        </w:rPr>
        <w:t xml:space="preserve"> </w:t>
      </w:r>
      <w:hyperlink w:anchor="latin-record-0492">
        <w:r>
          <w:rPr>
            <w:color w:val="000000"/>
          </w:rPr>
          <w:t xml:space="preserve">finis; limes; terminus</w:t>
        </w:r>
      </w:hyperlink>
      <w:r>
        <w:rPr>
          <w:b w:val="0"/>
          <w:i w:val="0"/>
        </w:rPr>
        <w:t>.</w:t>
      </w:r>
    </w:p>
    <w:p>
      <w:pPr>
        <w:widowControl/>
      </w:pPr>
      <w:r>
        <w:rPr>
          <w:b/>
          <w:i w:val="0"/>
        </w:rPr>
        <w:t>linea.</w:t>
      </w:r>
      <w:r>
        <w:rPr>
          <w:b w:val="0"/>
          <w:i w:val="0"/>
        </w:rPr>
        <w:t xml:space="preserve"> </w:t>
      </w:r>
      <w:hyperlink w:anchor="latin-record-1027">
        <w:r>
          <w:rPr>
            <w:color w:val="000000"/>
          </w:rPr>
          <w:t xml:space="preserve">punctum / linea</w:t>
        </w:r>
      </w:hyperlink>
      <w:r>
        <w:rPr>
          <w:b w:val="0"/>
          <w:i w:val="0"/>
        </w:rPr>
        <w:t xml:space="preserve">; </w:t>
      </w:r>
      <w:hyperlink w:anchor="latin-record-1039">
        <w:r>
          <w:rPr>
            <w:color w:val="000000"/>
          </w:rPr>
          <w:t xml:space="preserve">quadrangularis / circularis</w:t>
        </w:r>
      </w:hyperlink>
      <w:r>
        <w:rPr>
          <w:b w:val="0"/>
          <w:i w:val="0"/>
        </w:rPr>
        <w:t>.</w:t>
      </w:r>
    </w:p>
    <w:p>
      <w:pPr>
        <w:widowControl/>
      </w:pPr>
      <w:r>
        <w:rPr>
          <w:b/>
          <w:i w:val="0"/>
        </w:rPr>
        <w:t>lineae.</w:t>
      </w:r>
      <w:r>
        <w:rPr>
          <w:b w:val="0"/>
          <w:i w:val="0"/>
        </w:rPr>
        <w:t xml:space="preserve"> </w:t>
      </w:r>
      <w:hyperlink w:anchor="latin-record-0724">
        <w:r>
          <w:rPr>
            <w:color w:val="000000"/>
          </w:rPr>
          <w:t xml:space="preserve">longitudo / latitudo / profunditas</w:t>
        </w:r>
      </w:hyperlink>
      <w:r>
        <w:rPr>
          <w:b w:val="0"/>
          <w:i w:val="0"/>
        </w:rPr>
        <w:t xml:space="preserve">; </w:t>
      </w:r>
      <w:hyperlink w:anchor="latin-record-1027">
        <w:r>
          <w:rPr>
            <w:color w:val="000000"/>
          </w:rPr>
          <w:t xml:space="preserve">punctum / linea</w:t>
        </w:r>
      </w:hyperlink>
      <w:r>
        <w:rPr>
          <w:b w:val="0"/>
          <w:i w:val="0"/>
        </w:rPr>
        <w:t>.</w:t>
      </w:r>
    </w:p>
    <w:p>
      <w:pPr>
        <w:widowControl/>
      </w:pPr>
      <w:r>
        <w:rPr>
          <w:b/>
          <w:i w:val="0"/>
        </w:rPr>
        <w:t>lineae terminus.</w:t>
      </w:r>
      <w:r>
        <w:rPr>
          <w:b w:val="0"/>
          <w:i w:val="0"/>
        </w:rPr>
        <w:t xml:space="preserve"> </w:t>
      </w:r>
      <w:hyperlink w:anchor="latin-record-1292">
        <w:r>
          <w:rPr>
            <w:color w:val="000000"/>
          </w:rPr>
          <w:t xml:space="preserve">terminus; situs</w:t>
        </w:r>
      </w:hyperlink>
      <w:r>
        <w:rPr>
          <w:b w:val="0"/>
          <w:i w:val="0"/>
        </w:rPr>
        <w:t>.</w:t>
      </w:r>
    </w:p>
    <w:p>
      <w:pPr>
        <w:widowControl/>
      </w:pPr>
      <w:r>
        <w:rPr>
          <w:b/>
          <w:i w:val="0"/>
        </w:rPr>
        <w:t>lineam.</w:t>
      </w:r>
      <w:r>
        <w:rPr>
          <w:b w:val="0"/>
          <w:i w:val="0"/>
        </w:rPr>
        <w:t xml:space="preserve"> </w:t>
      </w:r>
      <w:hyperlink w:anchor="latin-record-0847">
        <w:r>
          <w:rPr>
            <w:color w:val="000000"/>
          </w:rPr>
          <w:t xml:space="preserve">numerus / figura / proportio</w:t>
        </w:r>
      </w:hyperlink>
      <w:r>
        <w:rPr>
          <w:b w:val="0"/>
          <w:i w:val="0"/>
        </w:rPr>
        <w:t xml:space="preserve">; </w:t>
      </w:r>
      <w:hyperlink w:anchor="latin-record-1027">
        <w:r>
          <w:rPr>
            <w:color w:val="000000"/>
          </w:rPr>
          <w:t xml:space="preserve">punctum / linea</w:t>
        </w:r>
      </w:hyperlink>
      <w:r>
        <w:rPr>
          <w:b w:val="0"/>
          <w:i w:val="0"/>
        </w:rPr>
        <w:t xml:space="preserve">; </w:t>
      </w:r>
      <w:hyperlink w:anchor="latin-record-1264">
        <w:r>
          <w:rPr>
            <w:color w:val="000000"/>
          </w:rPr>
          <w:t xml:space="preserve">superficies; linea; punctum</w:t>
        </w:r>
      </w:hyperlink>
      <w:r>
        <w:rPr>
          <w:b w:val="0"/>
          <w:i w:val="0"/>
        </w:rPr>
        <w:t>.</w:t>
      </w:r>
    </w:p>
    <w:p>
      <w:pPr>
        <w:widowControl/>
      </w:pPr>
      <w:r>
        <w:rPr>
          <w:b/>
          <w:i w:val="0"/>
        </w:rPr>
        <w:t>linguam.</w:t>
      </w:r>
      <w:r>
        <w:rPr>
          <w:b w:val="0"/>
          <w:i w:val="0"/>
        </w:rPr>
        <w:t xml:space="preserve"> </w:t>
      </w:r>
      <w:hyperlink w:anchor="latin-record-0950">
        <w:r>
          <w:rPr>
            <w:color w:val="000000"/>
          </w:rPr>
          <w:t xml:space="preserve">pingere in se / aere / pariete</w:t>
        </w:r>
      </w:hyperlink>
      <w:r>
        <w:rPr>
          <w:b w:val="0"/>
          <w:i w:val="0"/>
        </w:rPr>
        <w:t>.</w:t>
      </w:r>
    </w:p>
    <w:p>
      <w:pPr>
        <w:widowControl/>
      </w:pPr>
      <w:r>
        <w:rPr>
          <w:b/>
          <w:i w:val="0"/>
        </w:rPr>
        <w:t>litus.</w:t>
      </w:r>
      <w:r>
        <w:rPr>
          <w:b w:val="0"/>
          <w:i w:val="0"/>
        </w:rPr>
        <w:t xml:space="preserve"> </w:t>
      </w:r>
      <w:hyperlink w:anchor="latin-record-1103">
        <w:r>
          <w:rPr>
            <w:color w:val="000000"/>
          </w:rPr>
          <w:t xml:space="preserve">remus; litus; navis</w:t>
        </w:r>
      </w:hyperlink>
      <w:r>
        <w:rPr>
          <w:b w:val="0"/>
          <w:i w:val="0"/>
        </w:rPr>
        <w:t>.</w:t>
      </w:r>
    </w:p>
    <w:p>
      <w:pPr>
        <w:widowControl/>
      </w:pPr>
      <w:r>
        <w:rPr>
          <w:b/>
          <w:i w:val="0"/>
        </w:rPr>
        <w:t>locali.</w:t>
      </w:r>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locali diffusione.</w:t>
      </w:r>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loci.</w:t>
      </w:r>
      <w:r>
        <w:rPr>
          <w:b w:val="0"/>
          <w:i w:val="0"/>
        </w:rPr>
        <w:t xml:space="preserve"> </w:t>
      </w:r>
      <w:hyperlink w:anchor="latin-record-0723">
        <w:r>
          <w:rPr>
            <w:color w:val="000000"/>
          </w:rPr>
          <w:t xml:space="preserve">locus; situs</w:t>
        </w:r>
      </w:hyperlink>
      <w:r>
        <w:rPr>
          <w:b w:val="0"/>
          <w:i w:val="0"/>
        </w:rPr>
        <w:t>.</w:t>
      </w:r>
    </w:p>
    <w:p>
      <w:pPr>
        <w:widowControl/>
      </w:pPr>
      <w:r>
        <w:rPr>
          <w:b/>
          <w:i w:val="0"/>
        </w:rPr>
        <w:t>locis.</w:t>
      </w:r>
      <w:r>
        <w:rPr>
          <w:b w:val="0"/>
          <w:i w:val="0"/>
        </w:rPr>
        <w:t xml:space="preserve"> </w:t>
      </w:r>
      <w:hyperlink w:anchor="latin-record-0721">
        <w:r>
          <w:rPr>
            <w:color w:val="000000"/>
          </w:rPr>
          <w:t xml:space="preserve">locus / situs / tempus</w:t>
        </w:r>
      </w:hyperlink>
      <w:r>
        <w:rPr>
          <w:b w:val="0"/>
          <w:i w:val="0"/>
        </w:rPr>
        <w:t xml:space="preserve">; </w:t>
      </w:r>
      <w:hyperlink w:anchor="latin-record-0723">
        <w:r>
          <w:rPr>
            <w:color w:val="000000"/>
          </w:rPr>
          <w:t xml:space="preserve">locus; situs</w:t>
        </w:r>
      </w:hyperlink>
      <w:r>
        <w:rPr>
          <w:b w:val="0"/>
          <w:i w:val="0"/>
        </w:rPr>
        <w:t>.</w:t>
      </w:r>
    </w:p>
    <w:p>
      <w:pPr>
        <w:widowControl/>
      </w:pPr>
      <w:r>
        <w:rPr>
          <w:b/>
          <w:i w:val="0"/>
        </w:rPr>
        <w:t>loco.</w:t>
      </w:r>
      <w:r>
        <w:rPr>
          <w:b w:val="0"/>
          <w:i w:val="0"/>
        </w:rPr>
        <w:t xml:space="preserve"> </w:t>
      </w:r>
      <w:hyperlink w:anchor="latin-record-0721">
        <w:r>
          <w:rPr>
            <w:color w:val="000000"/>
          </w:rPr>
          <w:t xml:space="preserve">locus / situs / tempus</w:t>
        </w:r>
      </w:hyperlink>
      <w:r>
        <w:rPr>
          <w:b w:val="0"/>
          <w:i w:val="0"/>
        </w:rPr>
        <w:t xml:space="preserve">; </w:t>
      </w:r>
      <w:hyperlink w:anchor="latin-record-0722">
        <w:r>
          <w:rPr>
            <w:color w:val="000000"/>
          </w:rPr>
          <w:t xml:space="preserve">locus / tempus</w:t>
        </w:r>
      </w:hyperlink>
      <w:r>
        <w:rPr>
          <w:b w:val="0"/>
          <w:i w:val="0"/>
        </w:rPr>
        <w:t xml:space="preserve">; </w:t>
      </w:r>
      <w:hyperlink w:anchor="latin-record-0723">
        <w:r>
          <w:rPr>
            <w:color w:val="000000"/>
          </w:rPr>
          <w:t xml:space="preserve">locus; situs</w:t>
        </w:r>
      </w:hyperlink>
      <w:r>
        <w:rPr>
          <w:b w:val="0"/>
          <w:i w:val="0"/>
        </w:rPr>
        <w:t xml:space="preserve">; </w:t>
      </w:r>
      <w:hyperlink w:anchor="latin-record-1241">
        <w:r>
          <w:rPr>
            <w:color w:val="000000"/>
          </w:rPr>
          <w:t xml:space="preserve">subiectum; locus</w:t>
        </w:r>
      </w:hyperlink>
      <w:r>
        <w:rPr>
          <w:b w:val="0"/>
          <w:i w:val="0"/>
        </w:rPr>
        <w:t>.</w:t>
      </w:r>
    </w:p>
    <w:p>
      <w:pPr>
        <w:widowControl/>
      </w:pPr>
      <w:r>
        <w:rPr>
          <w:b/>
          <w:i w:val="0"/>
        </w:rPr>
        <w:t>loculis.</w:t>
      </w:r>
      <w:r>
        <w:rPr>
          <w:b w:val="0"/>
          <w:i w:val="0"/>
        </w:rPr>
        <w:t xml:space="preserve"> </w:t>
      </w:r>
      <w:hyperlink w:anchor="latin-record-0720">
        <w:r>
          <w:rPr>
            <w:color w:val="000000"/>
          </w:rPr>
          <w:t xml:space="preserve">loculus; corpusculum</w:t>
        </w:r>
      </w:hyperlink>
      <w:r>
        <w:rPr>
          <w:b w:val="0"/>
          <w:i w:val="0"/>
        </w:rPr>
        <w:t>.</w:t>
      </w:r>
    </w:p>
    <w:p>
      <w:pPr>
        <w:widowControl/>
      </w:pPr>
      <w:r>
        <w:rPr>
          <w:b/>
          <w:i w:val="0"/>
        </w:rPr>
        <w:t>locum.</w:t>
      </w:r>
      <w:r>
        <w:rPr>
          <w:b w:val="0"/>
          <w:i w:val="0"/>
        </w:rPr>
        <w:t xml:space="preserve"> </w:t>
      </w:r>
      <w:hyperlink w:anchor="latin-record-0721">
        <w:r>
          <w:rPr>
            <w:color w:val="000000"/>
          </w:rPr>
          <w:t xml:space="preserve">locus / situs / tempus</w:t>
        </w:r>
      </w:hyperlink>
      <w:r>
        <w:rPr>
          <w:b w:val="0"/>
          <w:i w:val="0"/>
        </w:rPr>
        <w:t xml:space="preserve">; </w:t>
      </w:r>
      <w:hyperlink w:anchor="latin-record-0722">
        <w:r>
          <w:rPr>
            <w:color w:val="000000"/>
          </w:rPr>
          <w:t xml:space="preserve">locus / tempus</w:t>
        </w:r>
      </w:hyperlink>
      <w:r>
        <w:rPr>
          <w:b w:val="0"/>
          <w:i w:val="0"/>
        </w:rPr>
        <w:t xml:space="preserve">; </w:t>
      </w:r>
      <w:hyperlink w:anchor="latin-record-0723">
        <w:r>
          <w:rPr>
            <w:color w:val="000000"/>
          </w:rPr>
          <w:t xml:space="preserve">locus; situs</w:t>
        </w:r>
      </w:hyperlink>
      <w:r>
        <w:rPr>
          <w:b w:val="0"/>
          <w:i w:val="0"/>
        </w:rPr>
        <w:t>.</w:t>
      </w:r>
    </w:p>
    <w:p>
      <w:pPr>
        <w:widowControl/>
      </w:pPr>
      <w:r>
        <w:rPr>
          <w:b/>
          <w:i w:val="0"/>
        </w:rPr>
        <w:t>locumque.</w:t>
      </w:r>
      <w:r>
        <w:rPr>
          <w:b w:val="0"/>
          <w:i w:val="0"/>
        </w:rPr>
        <w:t xml:space="preserve"> </w:t>
      </w:r>
      <w:hyperlink w:anchor="latin-record-0722">
        <w:r>
          <w:rPr>
            <w:color w:val="000000"/>
          </w:rPr>
          <w:t xml:space="preserve">locus / tempus</w:t>
        </w:r>
      </w:hyperlink>
      <w:r>
        <w:rPr>
          <w:b w:val="0"/>
          <w:i w:val="0"/>
        </w:rPr>
        <w:t>.</w:t>
      </w:r>
    </w:p>
    <w:p>
      <w:pPr>
        <w:widowControl/>
      </w:pPr>
      <w:r>
        <w:rPr>
          <w:b/>
          <w:i w:val="0"/>
        </w:rPr>
        <w:t>locus.</w:t>
      </w:r>
      <w:r>
        <w:rPr>
          <w:b w:val="0"/>
          <w:i w:val="0"/>
        </w:rPr>
        <w:t xml:space="preserve"> </w:t>
      </w:r>
      <w:hyperlink w:anchor="latin-record-0723">
        <w:r>
          <w:rPr>
            <w:color w:val="000000"/>
          </w:rPr>
          <w:t xml:space="preserve">locus; situs</w:t>
        </w:r>
      </w:hyperlink>
      <w:r>
        <w:rPr>
          <w:b w:val="0"/>
          <w:i w:val="0"/>
        </w:rPr>
        <w:t>.</w:t>
      </w:r>
    </w:p>
    <w:p>
      <w:pPr>
        <w:widowControl/>
      </w:pPr>
      <w:r>
        <w:rPr>
          <w:b/>
          <w:i w:val="0"/>
        </w:rPr>
        <w:t>longitudine.</w:t>
      </w:r>
      <w:r>
        <w:rPr>
          <w:b w:val="0"/>
          <w:i w:val="0"/>
        </w:rPr>
        <w:t xml:space="preserve"> </w:t>
      </w:r>
      <w:hyperlink w:anchor="latin-record-0724">
        <w:r>
          <w:rPr>
            <w:color w:val="000000"/>
          </w:rPr>
          <w:t xml:space="preserve">longitudo / latitudo / profunditas</w:t>
        </w:r>
      </w:hyperlink>
      <w:r>
        <w:rPr>
          <w:b w:val="0"/>
          <w:i w:val="0"/>
        </w:rPr>
        <w:t xml:space="preserve">; </w:t>
      </w:r>
      <w:hyperlink w:anchor="latin-record-0725">
        <w:r>
          <w:rPr>
            <w:color w:val="000000"/>
          </w:rPr>
          <w:t xml:space="preserve">longitudo; latitudo; profunditas</w:t>
        </w:r>
      </w:hyperlink>
      <w:r>
        <w:rPr>
          <w:b w:val="0"/>
          <w:i w:val="0"/>
        </w:rPr>
        <w:t>.</w:t>
      </w:r>
    </w:p>
    <w:p>
      <w:pPr>
        <w:widowControl/>
      </w:pPr>
      <w:r>
        <w:rPr>
          <w:b/>
          <w:i w:val="0"/>
        </w:rPr>
        <w:t>longitudinem.</w:t>
      </w:r>
      <w:r>
        <w:rPr>
          <w:b w:val="0"/>
          <w:i w:val="0"/>
        </w:rPr>
        <w:t xml:space="preserve"> </w:t>
      </w:r>
      <w:hyperlink w:anchor="latin-record-0724">
        <w:r>
          <w:rPr>
            <w:color w:val="000000"/>
          </w:rPr>
          <w:t xml:space="preserve">longitudo / latitudo / profunditas</w:t>
        </w:r>
      </w:hyperlink>
      <w:r>
        <w:rPr>
          <w:b w:val="0"/>
          <w:i w:val="0"/>
        </w:rPr>
        <w:t xml:space="preserve">; </w:t>
      </w:r>
      <w:hyperlink w:anchor="latin-record-0779">
        <w:r>
          <w:rPr>
            <w:color w:val="000000"/>
          </w:rPr>
          <w:t xml:space="preserve">mensura / magnitudo</w:t>
        </w:r>
      </w:hyperlink>
      <w:r>
        <w:rPr>
          <w:b w:val="0"/>
          <w:i w:val="0"/>
        </w:rPr>
        <w:t>.</w:t>
      </w:r>
    </w:p>
    <w:p>
      <w:pPr>
        <w:widowControl/>
      </w:pPr>
      <w:r>
        <w:rPr>
          <w:b/>
          <w:i w:val="0"/>
        </w:rPr>
        <w:t>longitudinis.</w:t>
      </w:r>
      <w:r>
        <w:rPr>
          <w:b w:val="0"/>
          <w:i w:val="0"/>
        </w:rPr>
        <w:t xml:space="preserve"> </w:t>
      </w:r>
      <w:hyperlink w:anchor="latin-record-0724">
        <w:r>
          <w:rPr>
            <w:color w:val="000000"/>
          </w:rPr>
          <w:t xml:space="preserve">longitudo / latitudo / profunditas</w:t>
        </w:r>
      </w:hyperlink>
      <w:r>
        <w:rPr>
          <w:b w:val="0"/>
          <w:i w:val="0"/>
        </w:rPr>
        <w:t>.</w:t>
      </w:r>
    </w:p>
    <w:p>
      <w:pPr>
        <w:widowControl/>
      </w:pPr>
      <w:r>
        <w:rPr>
          <w:b/>
          <w:i w:val="0"/>
        </w:rPr>
        <w:t>longitudo.</w:t>
      </w:r>
      <w:r>
        <w:rPr>
          <w:b w:val="0"/>
          <w:i w:val="0"/>
        </w:rPr>
        <w:t xml:space="preserve"> </w:t>
      </w:r>
      <w:hyperlink w:anchor="latin-record-0724">
        <w:r>
          <w:rPr>
            <w:color w:val="000000"/>
          </w:rPr>
          <w:t xml:space="preserve">longitudo / latitudo / profunditas</w:t>
        </w:r>
      </w:hyperlink>
      <w:r>
        <w:rPr>
          <w:b w:val="0"/>
          <w:i w:val="0"/>
        </w:rPr>
        <w:t xml:space="preserve">; </w:t>
      </w:r>
      <w:hyperlink w:anchor="latin-record-0725">
        <w:r>
          <w:rPr>
            <w:color w:val="000000"/>
          </w:rPr>
          <w:t xml:space="preserve">longitudo; latitudo; profunditas</w:t>
        </w:r>
      </w:hyperlink>
      <w:r>
        <w:rPr>
          <w:b w:val="0"/>
          <w:i w:val="0"/>
        </w:rPr>
        <w:t xml:space="preserve">; </w:t>
      </w:r>
      <w:hyperlink w:anchor="latin-record-0779">
        <w:r>
          <w:rPr>
            <w:color w:val="000000"/>
          </w:rPr>
          <w:t xml:space="preserve">mensura / magnitudo</w:t>
        </w:r>
      </w:hyperlink>
      <w:r>
        <w:rPr>
          <w:b w:val="0"/>
          <w:i w:val="0"/>
        </w:rPr>
        <w:t>.</w:t>
      </w:r>
    </w:p>
    <w:p>
      <w:pPr>
        <w:widowControl/>
      </w:pPr>
      <w:r>
        <w:rPr>
          <w:b/>
          <w:i w:val="0"/>
        </w:rPr>
        <w:t>loquar.</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loquetur.</w:t>
      </w:r>
      <w:r>
        <w:rPr>
          <w:b w:val="0"/>
          <w:i w:val="0"/>
        </w:rPr>
        <w:t xml:space="preserve"> </w:t>
      </w:r>
      <w:hyperlink w:anchor="latin-record-0684">
        <w:r>
          <w:rPr>
            <w:color w:val="000000"/>
          </w:rPr>
          <w:t xml:space="preserve">invenire / reminisci / loqui</w:t>
        </w:r>
      </w:hyperlink>
      <w:r>
        <w:rPr>
          <w:b w:val="0"/>
          <w:i w:val="0"/>
        </w:rPr>
        <w:t>.</w:t>
      </w:r>
    </w:p>
    <w:p>
      <w:pPr>
        <w:widowControl/>
      </w:pPr>
      <w:r>
        <w:rPr>
          <w:b/>
          <w:i w:val="0"/>
        </w:rPr>
        <w:t>luce.</w:t>
      </w:r>
      <w:r>
        <w:rPr>
          <w:b w:val="0"/>
          <w:i w:val="0"/>
        </w:rPr>
        <w:t xml:space="preserve"> </w:t>
      </w:r>
      <w:hyperlink w:anchor="latin-record-0732">
        <w:r>
          <w:rPr>
            <w:color w:val="000000"/>
          </w:rPr>
          <w:t xml:space="preserve">lumen; lux</w:t>
        </w:r>
      </w:hyperlink>
      <w:r>
        <w:rPr>
          <w:b w:val="0"/>
          <w:i w:val="0"/>
        </w:rPr>
        <w:t>.</w:t>
      </w:r>
    </w:p>
    <w:p>
      <w:pPr>
        <w:widowControl/>
      </w:pPr>
      <w:r>
        <w:rPr>
          <w:b/>
          <w:i w:val="0"/>
        </w:rPr>
        <w:t>lucem.</w:t>
      </w:r>
      <w:r>
        <w:rPr>
          <w:b w:val="0"/>
          <w:i w:val="0"/>
        </w:rPr>
        <w:t xml:space="preserve"> </w:t>
      </w:r>
      <w:hyperlink w:anchor="latin-record-0731">
        <w:r>
          <w:rPr>
            <w:color w:val="000000"/>
          </w:rPr>
          <w:t xml:space="preserve">lumen / lux</w:t>
        </w:r>
      </w:hyperlink>
      <w:r>
        <w:rPr>
          <w:b w:val="0"/>
          <w:i w:val="0"/>
        </w:rPr>
        <w:t xml:space="preserve">; </w:t>
      </w:r>
      <w:hyperlink w:anchor="latin-record-0732">
        <w:r>
          <w:rPr>
            <w:color w:val="000000"/>
          </w:rPr>
          <w:t xml:space="preserve">lumen; lux</w:t>
        </w:r>
      </w:hyperlink>
      <w:r>
        <w:rPr>
          <w:b w:val="0"/>
          <w:i w:val="0"/>
        </w:rPr>
        <w:t xml:space="preserve">; </w:t>
      </w:r>
      <w:hyperlink w:anchor="latin-record-0737">
        <w:r>
          <w:rPr>
            <w:color w:val="000000"/>
          </w:rPr>
          <w:t xml:space="preserve">lux / tenebrae / vox / silentium</w:t>
        </w:r>
      </w:hyperlink>
      <w:r>
        <w:rPr>
          <w:b w:val="0"/>
          <w:i w:val="0"/>
        </w:rPr>
        <w:t>.</w:t>
      </w:r>
    </w:p>
    <w:p>
      <w:pPr>
        <w:widowControl/>
      </w:pPr>
      <w:r>
        <w:rPr>
          <w:b/>
          <w:i w:val="0"/>
        </w:rPr>
        <w:t>lucens.</w:t>
      </w:r>
      <w:r>
        <w:rPr>
          <w:b w:val="0"/>
          <w:i w:val="0"/>
        </w:rPr>
        <w:t xml:space="preserve"> </w:t>
      </w:r>
      <w:hyperlink w:anchor="latin-record-0177">
        <w:r>
          <w:rPr>
            <w:color w:val="000000"/>
          </w:rPr>
          <w:t xml:space="preserve">calere; lucere; collustrare</w:t>
        </w:r>
      </w:hyperlink>
      <w:r>
        <w:rPr>
          <w:b w:val="0"/>
          <w:i w:val="0"/>
        </w:rPr>
        <w:t>.</w:t>
      </w:r>
    </w:p>
    <w:p>
      <w:pPr>
        <w:widowControl/>
      </w:pPr>
      <w:r>
        <w:rPr>
          <w:b/>
          <w:i w:val="0"/>
        </w:rPr>
        <w:t>lucent.</w:t>
      </w:r>
      <w:r>
        <w:rPr>
          <w:b w:val="0"/>
          <w:i w:val="0"/>
        </w:rPr>
        <w:t xml:space="preserve"> </w:t>
      </w:r>
      <w:hyperlink w:anchor="latin-record-0705">
        <w:r>
          <w:rPr>
            <w:color w:val="000000"/>
          </w:rPr>
          <w:t xml:space="preserve">latere / lucere</w:t>
        </w:r>
      </w:hyperlink>
      <w:r>
        <w:rPr>
          <w:b w:val="0"/>
          <w:i w:val="0"/>
        </w:rPr>
        <w:t xml:space="preserve">; </w:t>
      </w:r>
      <w:hyperlink w:anchor="latin-record-0726">
        <w:r>
          <w:rPr>
            <w:color w:val="000000"/>
          </w:rPr>
          <w:t xml:space="preserve">lucere / perspicuus</w:t>
        </w:r>
      </w:hyperlink>
      <w:r>
        <w:rPr>
          <w:b w:val="0"/>
          <w:i w:val="0"/>
        </w:rPr>
        <w:t>.</w:t>
      </w:r>
    </w:p>
    <w:p>
      <w:pPr>
        <w:widowControl/>
      </w:pPr>
      <w:r>
        <w:rPr>
          <w:b/>
          <w:i w:val="0"/>
        </w:rPr>
        <w:t>lucere.</w:t>
      </w:r>
      <w:r>
        <w:rPr>
          <w:b w:val="0"/>
          <w:i w:val="0"/>
        </w:rPr>
        <w:t xml:space="preserve"> </w:t>
      </w:r>
      <w:hyperlink w:anchor="latin-record-0726">
        <w:r>
          <w:rPr>
            <w:color w:val="000000"/>
          </w:rPr>
          <w:t xml:space="preserve">lucere / perspicuus</w:t>
        </w:r>
      </w:hyperlink>
      <w:r>
        <w:rPr>
          <w:b w:val="0"/>
          <w:i w:val="0"/>
        </w:rPr>
        <w:t xml:space="preserve">; </w:t>
      </w:r>
      <w:hyperlink w:anchor="latin-record-0727">
        <w:r>
          <w:rPr>
            <w:color w:val="000000"/>
          </w:rPr>
          <w:t xml:space="preserve">lucere; rutilare</w:t>
        </w:r>
      </w:hyperlink>
      <w:r>
        <w:rPr>
          <w:b w:val="0"/>
          <w:i w:val="0"/>
        </w:rPr>
        <w:t>.</w:t>
      </w:r>
    </w:p>
    <w:p>
      <w:pPr>
        <w:widowControl/>
      </w:pPr>
      <w:r>
        <w:rPr>
          <w:b/>
          <w:i w:val="0"/>
        </w:rPr>
        <w:t>lucet.</w:t>
      </w:r>
      <w:r>
        <w:rPr>
          <w:b w:val="0"/>
          <w:i w:val="0"/>
        </w:rPr>
        <w:t xml:space="preserve"> </w:t>
      </w:r>
      <w:hyperlink w:anchor="latin-record-0705">
        <w:r>
          <w:rPr>
            <w:color w:val="000000"/>
          </w:rPr>
          <w:t xml:space="preserve">latere / lucere</w:t>
        </w:r>
      </w:hyperlink>
      <w:r>
        <w:rPr>
          <w:b w:val="0"/>
          <w:i w:val="0"/>
        </w:rPr>
        <w:t>.</w:t>
      </w:r>
    </w:p>
    <w:p>
      <w:pPr>
        <w:widowControl/>
      </w:pPr>
      <w:r>
        <w:rPr>
          <w:b/>
          <w:i w:val="0"/>
        </w:rPr>
        <w:t>luci.</w:t>
      </w:r>
      <w:r>
        <w:rPr>
          <w:b w:val="0"/>
          <w:i w:val="0"/>
        </w:rPr>
        <w:t xml:space="preserve"> </w:t>
      </w:r>
      <w:hyperlink w:anchor="latin-record-0728">
        <w:r>
          <w:rPr>
            <w:color w:val="000000"/>
          </w:rPr>
          <w:t xml:space="preserve">luci / fer / latio</w:t>
        </w:r>
      </w:hyperlink>
      <w:r>
        <w:rPr>
          <w:b w:val="0"/>
          <w:i w:val="0"/>
        </w:rPr>
        <w:t xml:space="preserve">; </w:t>
      </w:r>
      <w:hyperlink w:anchor="latin-record-1230">
        <w:r>
          <w:rPr>
            <w:color w:val="000000"/>
          </w:rPr>
          <w:t xml:space="preserve">splendor / lumen / lux</w:t>
        </w:r>
      </w:hyperlink>
      <w:r>
        <w:rPr>
          <w:b w:val="0"/>
          <w:i w:val="0"/>
        </w:rPr>
        <w:t>.</w:t>
      </w:r>
    </w:p>
    <w:p>
      <w:pPr>
        <w:widowControl/>
      </w:pPr>
      <w:r>
        <w:rPr>
          <w:b/>
          <w:i w:val="0"/>
        </w:rPr>
        <w:t>lucidissimumque.</w:t>
      </w:r>
      <w:r>
        <w:rPr>
          <w:b w:val="0"/>
          <w:i w:val="0"/>
        </w:rPr>
        <w:t xml:space="preserve"> </w:t>
      </w:r>
      <w:hyperlink w:anchor="latin-record-1284">
        <w:r>
          <w:rPr>
            <w:color w:val="000000"/>
          </w:rPr>
          <w:t xml:space="preserve">tenuis / lucidus</w:t>
        </w:r>
      </w:hyperlink>
      <w:r>
        <w:rPr>
          <w:b w:val="0"/>
          <w:i w:val="0"/>
        </w:rPr>
        <w:t>.</w:t>
      </w:r>
    </w:p>
    <w:p>
      <w:pPr>
        <w:widowControl/>
      </w:pPr>
      <w:r>
        <w:rPr>
          <w:b/>
          <w:i w:val="0"/>
        </w:rPr>
        <w:t>lucido et opaco.</w:t>
      </w:r>
      <w:r>
        <w:rPr>
          <w:b w:val="0"/>
          <w:i w:val="0"/>
        </w:rPr>
        <w:t xml:space="preserve"> </w:t>
      </w:r>
      <w:hyperlink w:anchor="latin-record-0340">
        <w:r>
          <w:rPr>
            <w:color w:val="000000"/>
          </w:rPr>
          <w:t xml:space="preserve">corpus aethereum; corpus geminum</w:t>
        </w:r>
      </w:hyperlink>
      <w:r>
        <w:rPr>
          <w:b w:val="0"/>
          <w:i w:val="0"/>
        </w:rPr>
        <w:t>.</w:t>
      </w:r>
    </w:p>
    <w:p>
      <w:pPr>
        <w:widowControl/>
      </w:pPr>
      <w:r>
        <w:rPr>
          <w:b/>
          <w:i w:val="0"/>
        </w:rPr>
        <w:t>Lucifer.</w:t>
      </w:r>
      <w:r>
        <w:rPr>
          <w:b w:val="0"/>
          <w:i w:val="0"/>
        </w:rPr>
        <w:t xml:space="preserve"> </w:t>
      </w:r>
      <w:hyperlink w:anchor="latin-record-0729">
        <w:r>
          <w:rPr>
            <w:color w:val="000000"/>
          </w:rPr>
          <w:t xml:space="preserve">Lucifer / Venus</w:t>
        </w:r>
      </w:hyperlink>
      <w:r>
        <w:rPr>
          <w:b w:val="0"/>
          <w:i w:val="0"/>
        </w:rPr>
        <w:t>.</w:t>
      </w:r>
    </w:p>
    <w:p>
      <w:pPr>
        <w:widowControl/>
      </w:pPr>
      <w:r>
        <w:rPr>
          <w:b/>
          <w:i w:val="0"/>
        </w:rPr>
        <w:t>lucis.</w:t>
      </w:r>
      <w:r>
        <w:rPr>
          <w:b w:val="0"/>
          <w:i w:val="0"/>
        </w:rPr>
        <w:t xml:space="preserve"> </w:t>
      </w:r>
      <w:hyperlink w:anchor="latin-record-0728">
        <w:r>
          <w:rPr>
            <w:color w:val="000000"/>
          </w:rPr>
          <w:t xml:space="preserve">luci / fer / latio</w:t>
        </w:r>
      </w:hyperlink>
      <w:r>
        <w:rPr>
          <w:b w:val="0"/>
          <w:i w:val="0"/>
        </w:rPr>
        <w:t xml:space="preserve">; </w:t>
      </w:r>
      <w:hyperlink w:anchor="latin-record-0732">
        <w:r>
          <w:rPr>
            <w:color w:val="000000"/>
          </w:rPr>
          <w:t xml:space="preserve">lumen; lux</w:t>
        </w:r>
      </w:hyperlink>
      <w:r>
        <w:rPr>
          <w:b w:val="0"/>
          <w:i w:val="0"/>
        </w:rPr>
        <w:t>.</w:t>
      </w:r>
    </w:p>
    <w:p>
      <w:pPr>
        <w:widowControl/>
      </w:pPr>
      <w:r>
        <w:rPr>
          <w:b/>
          <w:i w:val="0"/>
        </w:rPr>
        <w:t>lucrari.</w:t>
      </w:r>
      <w:r>
        <w:rPr>
          <w:b w:val="0"/>
          <w:i w:val="0"/>
        </w:rPr>
        <w:t xml:space="preserve"> </w:t>
      </w:r>
      <w:hyperlink w:anchor="latin-record-0730">
        <w:r>
          <w:rPr>
            <w:color w:val="000000"/>
          </w:rPr>
          <w:t xml:space="preserve">lucrari</w:t>
        </w:r>
      </w:hyperlink>
      <w:r>
        <w:rPr>
          <w:b w:val="0"/>
          <w:i w:val="0"/>
        </w:rPr>
        <w:t>.</w:t>
      </w:r>
    </w:p>
    <w:p>
      <w:pPr>
        <w:widowControl/>
      </w:pPr>
      <w:r>
        <w:rPr>
          <w:b/>
          <w:i w:val="0"/>
        </w:rPr>
        <w:t>lucratur.</w:t>
      </w:r>
      <w:r>
        <w:rPr>
          <w:b w:val="0"/>
          <w:i w:val="0"/>
        </w:rPr>
        <w:t xml:space="preserve"> </w:t>
      </w:r>
      <w:hyperlink w:anchor="latin-record-0730">
        <w:r>
          <w:rPr>
            <w:color w:val="000000"/>
          </w:rPr>
          <w:t xml:space="preserve">lucrari</w:t>
        </w:r>
      </w:hyperlink>
      <w:r>
        <w:rPr>
          <w:b w:val="0"/>
          <w:i w:val="0"/>
        </w:rPr>
        <w:t>.</w:t>
      </w:r>
    </w:p>
    <w:p>
      <w:pPr>
        <w:widowControl/>
      </w:pPr>
      <w:r>
        <w:rPr>
          <w:b/>
          <w:i w:val="0"/>
        </w:rPr>
        <w:t>Lumen.</w:t>
      </w:r>
      <w:r>
        <w:rPr>
          <w:b w:val="0"/>
          <w:i w:val="0"/>
        </w:rPr>
        <w:t xml:space="preserve"> </w:t>
      </w:r>
      <w:hyperlink w:anchor="latin-record-0731">
        <w:r>
          <w:rPr>
            <w:color w:val="000000"/>
          </w:rPr>
          <w:t xml:space="preserve">lumen / lux</w:t>
        </w:r>
      </w:hyperlink>
      <w:r>
        <w:rPr>
          <w:b w:val="0"/>
          <w:i w:val="0"/>
        </w:rPr>
        <w:t>.</w:t>
      </w:r>
    </w:p>
    <w:p>
      <w:pPr>
        <w:widowControl/>
      </w:pPr>
      <w:r>
        <w:rPr>
          <w:b/>
          <w:i w:val="0"/>
        </w:rPr>
        <w:t>lumen.</w:t>
      </w:r>
      <w:r>
        <w:rPr>
          <w:b w:val="0"/>
          <w:i w:val="0"/>
        </w:rPr>
        <w:t xml:space="preserve"> </w:t>
      </w:r>
      <w:hyperlink w:anchor="latin-record-0731">
        <w:r>
          <w:rPr>
            <w:color w:val="000000"/>
          </w:rPr>
          <w:t xml:space="preserve">lumen / lux</w:t>
        </w:r>
      </w:hyperlink>
      <w:r>
        <w:rPr>
          <w:b w:val="0"/>
          <w:i w:val="0"/>
        </w:rPr>
        <w:t xml:space="preserve">; </w:t>
      </w:r>
      <w:hyperlink w:anchor="latin-record-0732">
        <w:r>
          <w:rPr>
            <w:color w:val="000000"/>
          </w:rPr>
          <w:t xml:space="preserve">lumen; lux</w:t>
        </w:r>
      </w:hyperlink>
      <w:r>
        <w:rPr>
          <w:b w:val="0"/>
          <w:i w:val="0"/>
        </w:rPr>
        <w:t xml:space="preserve">; </w:t>
      </w:r>
      <w:hyperlink w:anchor="latin-record-0733">
        <w:r>
          <w:rPr>
            <w:color w:val="000000"/>
          </w:rPr>
          <w:t xml:space="preserve">lumen; spiritus</w:t>
        </w:r>
      </w:hyperlink>
      <w:r>
        <w:rPr>
          <w:b w:val="0"/>
          <w:i w:val="0"/>
        </w:rPr>
        <w:t xml:space="preserve">; </w:t>
      </w:r>
      <w:hyperlink w:anchor="latin-record-1230">
        <w:r>
          <w:rPr>
            <w:color w:val="000000"/>
          </w:rPr>
          <w:t xml:space="preserve">splendor / lumen / lux</w:t>
        </w:r>
      </w:hyperlink>
      <w:r>
        <w:rPr>
          <w:b w:val="0"/>
          <w:i w:val="0"/>
        </w:rPr>
        <w:t>.</w:t>
      </w:r>
    </w:p>
    <w:p>
      <w:pPr>
        <w:widowControl/>
      </w:pPr>
      <w:r>
        <w:rPr>
          <w:b/>
          <w:i w:val="0"/>
        </w:rPr>
        <w:t>lumine.</w:t>
      </w:r>
      <w:r>
        <w:rPr>
          <w:b w:val="0"/>
          <w:i w:val="0"/>
        </w:rPr>
        <w:t xml:space="preserve"> </w:t>
      </w:r>
      <w:hyperlink w:anchor="latin-record-0731">
        <w:r>
          <w:rPr>
            <w:color w:val="000000"/>
          </w:rPr>
          <w:t xml:space="preserve">lumen / lux</w:t>
        </w:r>
      </w:hyperlink>
      <w:r>
        <w:rPr>
          <w:b w:val="0"/>
          <w:i w:val="0"/>
        </w:rPr>
        <w:t xml:space="preserve">; </w:t>
      </w:r>
      <w:hyperlink w:anchor="latin-record-0732">
        <w:r>
          <w:rPr>
            <w:color w:val="000000"/>
          </w:rPr>
          <w:t xml:space="preserve">lumen; lux</w:t>
        </w:r>
      </w:hyperlink>
      <w:r>
        <w:rPr>
          <w:b w:val="0"/>
          <w:i w:val="0"/>
        </w:rPr>
        <w:t xml:space="preserve">; </w:t>
      </w:r>
      <w:hyperlink w:anchor="latin-record-1230">
        <w:r>
          <w:rPr>
            <w:color w:val="000000"/>
          </w:rPr>
          <w:t xml:space="preserve">splendor / lumen / lux</w:t>
        </w:r>
      </w:hyperlink>
      <w:r>
        <w:rPr>
          <w:b w:val="0"/>
          <w:i w:val="0"/>
        </w:rPr>
        <w:t>.</w:t>
      </w:r>
    </w:p>
    <w:p>
      <w:pPr>
        <w:widowControl/>
      </w:pPr>
      <w:r>
        <w:rPr>
          <w:b/>
          <w:i w:val="0"/>
        </w:rPr>
        <w:t>luminis.</w:t>
      </w:r>
      <w:r>
        <w:rPr>
          <w:b w:val="0"/>
          <w:i w:val="0"/>
        </w:rPr>
        <w:t xml:space="preserve"> </w:t>
      </w:r>
      <w:hyperlink w:anchor="latin-record-0732">
        <w:r>
          <w:rPr>
            <w:color w:val="000000"/>
          </w:rPr>
          <w:t xml:space="preserve">lumen; lux</w:t>
        </w:r>
      </w:hyperlink>
      <w:r>
        <w:rPr>
          <w:b w:val="0"/>
          <w:i w:val="0"/>
        </w:rPr>
        <w:t xml:space="preserve">; </w:t>
      </w:r>
      <w:hyperlink w:anchor="latin-record-1230">
        <w:r>
          <w:rPr>
            <w:color w:val="000000"/>
          </w:rPr>
          <w:t xml:space="preserve">splendor / lumen / lux</w:t>
        </w:r>
      </w:hyperlink>
      <w:r>
        <w:rPr>
          <w:b w:val="0"/>
          <w:i w:val="0"/>
        </w:rPr>
        <w:t>.</w:t>
      </w:r>
    </w:p>
    <w:p>
      <w:pPr>
        <w:widowControl/>
      </w:pPr>
      <w:r>
        <w:rPr>
          <w:b/>
          <w:i w:val="0"/>
        </w:rPr>
        <w:t>luminosum.</w:t>
      </w:r>
      <w:r>
        <w:rPr>
          <w:b w:val="0"/>
          <w:i w:val="0"/>
        </w:rPr>
        <w:t xml:space="preserve"> </w:t>
      </w:r>
      <w:hyperlink w:anchor="latin-record-0734">
        <w:r>
          <w:rPr>
            <w:color w:val="000000"/>
          </w:rPr>
          <w:t xml:space="preserve">luminosus / aereus / caliginosus</w:t>
        </w:r>
      </w:hyperlink>
      <w:r>
        <w:rPr>
          <w:b w:val="0"/>
          <w:i w:val="0"/>
        </w:rPr>
        <w:t>.</w:t>
      </w:r>
    </w:p>
    <w:p>
      <w:pPr>
        <w:widowControl/>
      </w:pPr>
      <w:r>
        <w:rPr>
          <w:b/>
          <w:i w:val="0"/>
        </w:rPr>
        <w:t>luminum.</w:t>
      </w:r>
      <w:r>
        <w:rPr>
          <w:b w:val="0"/>
          <w:i w:val="0"/>
        </w:rPr>
        <w:t xml:space="preserve"> </w:t>
      </w:r>
      <w:hyperlink w:anchor="latin-record-0732">
        <w:r>
          <w:rPr>
            <w:color w:val="000000"/>
          </w:rPr>
          <w:t xml:space="preserve">lumen; lux</w:t>
        </w:r>
      </w:hyperlink>
      <w:r>
        <w:rPr>
          <w:b w:val="0"/>
          <w:i w:val="0"/>
        </w:rPr>
        <w:t>.</w:t>
      </w:r>
    </w:p>
    <w:p>
      <w:pPr>
        <w:widowControl/>
      </w:pPr>
      <w:r>
        <w:rPr>
          <w:b/>
          <w:i w:val="0"/>
        </w:rPr>
        <w:t>lutea testa.</w:t>
      </w:r>
      <w:r>
        <w:rPr>
          <w:b w:val="0"/>
          <w:i w:val="0"/>
        </w:rPr>
        <w:t xml:space="preserve"> </w:t>
      </w:r>
      <w:hyperlink w:anchor="latin-record-0736">
        <w:r>
          <w:rPr>
            <w:color w:val="000000"/>
          </w:rPr>
          <w:t xml:space="preserve">lutum; testa; gleba</w:t>
        </w:r>
      </w:hyperlink>
      <w:r>
        <w:rPr>
          <w:b w:val="0"/>
          <w:i w:val="0"/>
        </w:rPr>
        <w:t>.</w:t>
      </w:r>
    </w:p>
    <w:p>
      <w:pPr>
        <w:widowControl/>
      </w:pPr>
      <w:r>
        <w:rPr>
          <w:b/>
          <w:i w:val="0"/>
        </w:rPr>
        <w:t>luteum.</w:t>
      </w:r>
      <w:r>
        <w:rPr>
          <w:b w:val="0"/>
          <w:i w:val="0"/>
        </w:rPr>
        <w:t xml:space="preserve"> </w:t>
      </w:r>
      <w:hyperlink w:anchor="latin-record-0736">
        <w:r>
          <w:rPr>
            <w:color w:val="000000"/>
          </w:rPr>
          <w:t xml:space="preserve">lutum; testa; gleba</w:t>
        </w:r>
      </w:hyperlink>
      <w:r>
        <w:rPr>
          <w:b w:val="0"/>
          <w:i w:val="0"/>
        </w:rPr>
        <w:t>.</w:t>
      </w:r>
    </w:p>
    <w:p>
      <w:pPr>
        <w:widowControl/>
      </w:pPr>
      <w:r>
        <w:rPr>
          <w:b/>
          <w:i w:val="0"/>
        </w:rPr>
        <w:t>luto.</w:t>
      </w:r>
      <w:r>
        <w:rPr>
          <w:b w:val="0"/>
          <w:i w:val="0"/>
        </w:rPr>
        <w:t xml:space="preserve"> </w:t>
      </w:r>
      <w:hyperlink w:anchor="latin-record-0736">
        <w:r>
          <w:rPr>
            <w:color w:val="000000"/>
          </w:rPr>
          <w:t xml:space="preserve">lutum; testa; gleba</w:t>
        </w:r>
      </w:hyperlink>
      <w:r>
        <w:rPr>
          <w:b w:val="0"/>
          <w:i w:val="0"/>
        </w:rPr>
        <w:t>.</w:t>
      </w:r>
    </w:p>
    <w:p>
      <w:pPr>
        <w:widowControl/>
      </w:pPr>
      <w:r>
        <w:rPr>
          <w:b/>
          <w:i w:val="0"/>
        </w:rPr>
        <w:t>lutulentum.</w:t>
      </w:r>
      <w:r>
        <w:rPr>
          <w:b w:val="0"/>
          <w:i w:val="0"/>
        </w:rPr>
        <w:t xml:space="preserve"> </w:t>
      </w:r>
      <w:hyperlink w:anchor="latin-record-0571">
        <w:r>
          <w:rPr>
            <w:color w:val="000000"/>
          </w:rPr>
          <w:t xml:space="preserve">humidus / terreus / lutulentus</w:t>
        </w:r>
      </w:hyperlink>
      <w:r>
        <w:rPr>
          <w:b w:val="0"/>
          <w:i w:val="0"/>
        </w:rPr>
        <w:t>.</w:t>
      </w:r>
    </w:p>
    <w:p>
      <w:pPr>
        <w:widowControl/>
      </w:pPr>
      <w:r>
        <w:rPr>
          <w:b/>
          <w:i w:val="0"/>
        </w:rPr>
        <w:t>lutum.</w:t>
      </w:r>
      <w:r>
        <w:rPr>
          <w:b w:val="0"/>
          <w:i w:val="0"/>
        </w:rPr>
        <w:t xml:space="preserve"> </w:t>
      </w:r>
      <w:hyperlink w:anchor="latin-record-0735">
        <w:r>
          <w:rPr>
            <w:color w:val="000000"/>
          </w:rPr>
          <w:t xml:space="preserve">lutum</w:t>
        </w:r>
      </w:hyperlink>
      <w:r>
        <w:rPr>
          <w:b w:val="0"/>
          <w:i w:val="0"/>
        </w:rPr>
        <w:t>.</w:t>
      </w:r>
    </w:p>
    <w:p>
      <w:pPr>
        <w:widowControl/>
      </w:pPr>
      <w:r>
        <w:rPr>
          <w:b/>
          <w:i w:val="0"/>
        </w:rPr>
        <w:t>lux.</w:t>
      </w:r>
      <w:r>
        <w:rPr>
          <w:b w:val="0"/>
          <w:i w:val="0"/>
        </w:rPr>
        <w:t xml:space="preserve"> </w:t>
      </w:r>
      <w:hyperlink w:anchor="latin-record-0731">
        <w:r>
          <w:rPr>
            <w:color w:val="000000"/>
          </w:rPr>
          <w:t xml:space="preserve">lumen / lux</w:t>
        </w:r>
      </w:hyperlink>
      <w:r>
        <w:rPr>
          <w:b w:val="0"/>
          <w:i w:val="0"/>
        </w:rPr>
        <w:t xml:space="preserve">; </w:t>
      </w:r>
      <w:hyperlink w:anchor="latin-record-0732">
        <w:r>
          <w:rPr>
            <w:color w:val="000000"/>
          </w:rPr>
          <w:t xml:space="preserve">lumen; lux</w:t>
        </w:r>
      </w:hyperlink>
      <w:r>
        <w:rPr>
          <w:b w:val="0"/>
          <w:i w:val="0"/>
        </w:rPr>
        <w:t>.</w:t>
      </w:r>
    </w:p>
    <w:p>
      <w:pPr>
        <w:widowControl/>
      </w:pPr>
      <w:r>
        <w:rPr>
          <w:b/>
          <w:i w:val="0"/>
        </w:rPr>
        <w:t>lux sicca.</w:t>
      </w:r>
      <w:r>
        <w:rPr>
          <w:b w:val="0"/>
          <w:i w:val="0"/>
        </w:rPr>
        <w:t xml:space="preserve"> </w:t>
      </w:r>
      <w:hyperlink w:anchor="latin-record-0561">
        <w:r>
          <w:rPr>
            <w:color w:val="000000"/>
          </w:rPr>
          <w:t xml:space="preserve">Heraclitus; lux sicca</w:t>
        </w:r>
      </w:hyperlink>
      <w:r>
        <w:rPr>
          <w:b w:val="0"/>
          <w:i w:val="0"/>
        </w:rPr>
        <w:t>.</w:t>
      </w:r>
    </w:p>
    <w:p>
      <w:pPr>
        <w:widowControl/>
      </w:pPr>
      <w:r>
        <w:rPr>
          <w:b/>
          <w:i w:val="0"/>
        </w:rPr>
        <w:t>lyra.</w:t>
      </w:r>
      <w:r>
        <w:rPr>
          <w:b w:val="0"/>
          <w:i w:val="0"/>
        </w:rPr>
        <w:t xml:space="preserve"> </w:t>
      </w:r>
      <w:hyperlink w:anchor="latin-record-0738">
        <w:r>
          <w:rPr>
            <w:color w:val="000000"/>
          </w:rPr>
          <w:t xml:space="preserve">lyra / temperare</w:t>
        </w:r>
      </w:hyperlink>
      <w:r>
        <w:rPr>
          <w:b w:val="0"/>
          <w:i w:val="0"/>
        </w:rPr>
        <w:t>.</w:t>
      </w:r>
    </w:p>
    <w:p>
      <w:pPr>
        <w:widowControl/>
      </w:pPr>
      <w:r>
        <w:rPr>
          <w:b/>
          <w:i w:val="0"/>
        </w:rPr>
        <w:t>machina.</w:t>
      </w:r>
      <w:r>
        <w:rPr>
          <w:b w:val="0"/>
          <w:i w:val="0"/>
        </w:rPr>
        <w:t xml:space="preserve"> </w:t>
      </w:r>
      <w:hyperlink w:anchor="latin-record-0739">
        <w:r>
          <w:rPr>
            <w:color w:val="000000"/>
          </w:rPr>
          <w:t xml:space="preserve">machina</w:t>
        </w:r>
      </w:hyperlink>
      <w:r>
        <w:rPr>
          <w:b w:val="0"/>
          <w:i w:val="0"/>
        </w:rPr>
        <w:t>.</w:t>
      </w:r>
    </w:p>
    <w:p>
      <w:pPr>
        <w:widowControl/>
      </w:pPr>
      <w:r>
        <w:rPr>
          <w:b/>
          <w:i w:val="0"/>
        </w:rPr>
        <w:t>machinam.</w:t>
      </w:r>
      <w:r>
        <w:rPr>
          <w:b w:val="0"/>
          <w:i w:val="0"/>
        </w:rPr>
        <w:t xml:space="preserve"> </w:t>
      </w:r>
      <w:hyperlink w:anchor="latin-record-0739">
        <w:r>
          <w:rPr>
            <w:color w:val="000000"/>
          </w:rPr>
          <w:t xml:space="preserve">machina</w:t>
        </w:r>
      </w:hyperlink>
      <w:r>
        <w:rPr>
          <w:b w:val="0"/>
          <w:i w:val="0"/>
        </w:rPr>
        <w:t>.</w:t>
      </w:r>
    </w:p>
    <w:p>
      <w:pPr>
        <w:widowControl/>
      </w:pPr>
      <w:r>
        <w:rPr>
          <w:b/>
          <w:i w:val="0"/>
        </w:rPr>
        <w:t>machinari.</w:t>
      </w:r>
      <w:r>
        <w:rPr>
          <w:b w:val="0"/>
          <w:i w:val="0"/>
        </w:rPr>
        <w:t xml:space="preserve"> </w:t>
      </w:r>
      <w:hyperlink w:anchor="latin-record-0489">
        <w:r>
          <w:rPr>
            <w:color w:val="000000"/>
          </w:rPr>
          <w:t xml:space="preserve">fingere; machinari; effingere</w:t>
        </w:r>
      </w:hyperlink>
      <w:r>
        <w:rPr>
          <w:b w:val="0"/>
          <w:i w:val="0"/>
        </w:rPr>
        <w:t>.</w:t>
      </w:r>
    </w:p>
    <w:p>
      <w:pPr>
        <w:widowControl/>
      </w:pPr>
      <w:r>
        <w:rPr>
          <w:b/>
          <w:i w:val="0"/>
        </w:rPr>
        <w:t>machinatione.</w:t>
      </w:r>
      <w:r>
        <w:rPr>
          <w:b w:val="0"/>
          <w:i w:val="0"/>
        </w:rPr>
        <w:t xml:space="preserve"> </w:t>
      </w:r>
      <w:hyperlink w:anchor="latin-record-0482">
        <w:r>
          <w:rPr>
            <w:color w:val="000000"/>
          </w:rPr>
          <w:t xml:space="preserve">figmentum / machinatio</w:t>
        </w:r>
      </w:hyperlink>
      <w:r>
        <w:rPr>
          <w:b w:val="0"/>
          <w:i w:val="0"/>
        </w:rPr>
        <w:t>.</w:t>
      </w:r>
    </w:p>
    <w:p>
      <w:pPr>
        <w:widowControl/>
      </w:pPr>
      <w:r>
        <w:rPr>
          <w:b/>
          <w:i w:val="0"/>
        </w:rPr>
        <w:t>Magi.</w:t>
      </w:r>
      <w:r>
        <w:rPr>
          <w:b w:val="0"/>
          <w:i w:val="0"/>
        </w:rPr>
        <w:t xml:space="preserve"> </w:t>
      </w:r>
      <w:hyperlink w:anchor="latin-record-0740">
        <w:r>
          <w:rPr>
            <w:color w:val="000000"/>
          </w:rPr>
          <w:t xml:space="preserve">Magi</w:t>
        </w:r>
      </w:hyperlink>
      <w:r>
        <w:rPr>
          <w:b w:val="0"/>
          <w:i w:val="0"/>
        </w:rPr>
        <w:t>.</w:t>
      </w:r>
    </w:p>
    <w:p>
      <w:pPr>
        <w:widowControl/>
      </w:pPr>
      <w:r>
        <w:rPr>
          <w:b/>
          <w:i w:val="0"/>
        </w:rPr>
        <w:t>magis.</w:t>
      </w:r>
      <w:r>
        <w:rPr>
          <w:b w:val="0"/>
          <w:i w:val="0"/>
        </w:rPr>
        <w:t xml:space="preserve"> </w:t>
      </w:r>
      <w:hyperlink w:anchor="latin-record-0741">
        <w:r>
          <w:rPr>
            <w:color w:val="000000"/>
          </w:rPr>
          <w:t xml:space="preserve">magis ac minus / intensio / remissio</w:t>
        </w:r>
      </w:hyperlink>
      <w:r>
        <w:rPr>
          <w:b w:val="0"/>
          <w:i w:val="0"/>
        </w:rPr>
        <w:t>.</w:t>
      </w:r>
    </w:p>
    <w:p>
      <w:pPr>
        <w:widowControl/>
      </w:pPr>
      <w:r>
        <w:rPr>
          <w:b/>
          <w:i w:val="0"/>
        </w:rPr>
        <w:t>magis ac minus.</w:t>
      </w:r>
      <w:r>
        <w:rPr>
          <w:b w:val="0"/>
          <w:i w:val="0"/>
        </w:rPr>
        <w:t xml:space="preserve"> </w:t>
      </w:r>
      <w:hyperlink w:anchor="latin-record-0741">
        <w:r>
          <w:rPr>
            <w:color w:val="000000"/>
          </w:rPr>
          <w:t xml:space="preserve">magis ac minus / intensio / remissio</w:t>
        </w:r>
      </w:hyperlink>
      <w:r>
        <w:rPr>
          <w:b w:val="0"/>
          <w:i w:val="0"/>
        </w:rPr>
        <w:t>.</w:t>
      </w:r>
    </w:p>
    <w:p>
      <w:pPr>
        <w:widowControl/>
      </w:pPr>
      <w:r>
        <w:rPr>
          <w:b/>
          <w:i w:val="0"/>
        </w:rPr>
        <w:t>magis indivisibilis.</w:t>
      </w:r>
      <w:r>
        <w:rPr>
          <w:b w:val="0"/>
          <w:i w:val="0"/>
        </w:rPr>
        <w:t xml:space="preserve"> </w:t>
      </w:r>
      <w:hyperlink w:anchor="latin-record-0743">
        <w:r>
          <w:rPr>
            <w:color w:val="000000"/>
          </w:rPr>
          <w:t xml:space="preserve">magis indivisibilis</w:t>
        </w:r>
      </w:hyperlink>
      <w:r>
        <w:rPr>
          <w:b w:val="0"/>
          <w:i w:val="0"/>
        </w:rPr>
        <w:t>.</w:t>
      </w:r>
    </w:p>
    <w:p>
      <w:pPr>
        <w:widowControl/>
      </w:pPr>
      <w:r>
        <w:rPr>
          <w:b/>
          <w:i w:val="0"/>
        </w:rPr>
        <w:t>magis minusve.</w:t>
      </w:r>
      <w:r>
        <w:rPr>
          <w:b w:val="0"/>
          <w:i w:val="0"/>
        </w:rPr>
        <w:t xml:space="preserve"> </w:t>
      </w:r>
      <w:hyperlink w:anchor="latin-record-0744">
        <w:r>
          <w:rPr>
            <w:color w:val="000000"/>
          </w:rPr>
          <w:t xml:space="preserve">magis minusve</w:t>
        </w:r>
      </w:hyperlink>
      <w:r>
        <w:rPr>
          <w:b w:val="0"/>
          <w:i w:val="0"/>
        </w:rPr>
        <w:t>.</w:t>
      </w:r>
    </w:p>
    <w:p>
      <w:pPr>
        <w:widowControl/>
      </w:pPr>
      <w:r>
        <w:rPr>
          <w:b/>
          <w:i w:val="0"/>
        </w:rPr>
        <w:t>magis vita.</w:t>
      </w:r>
      <w:r>
        <w:rPr>
          <w:b w:val="0"/>
          <w:i w:val="0"/>
        </w:rPr>
        <w:t xml:space="preserve"> </w:t>
      </w:r>
      <w:hyperlink w:anchor="latin-record-0742">
        <w:r>
          <w:rPr>
            <w:color w:val="000000"/>
          </w:rPr>
          <w:t xml:space="preserve">magis anima / magis vita</w:t>
        </w:r>
      </w:hyperlink>
      <w:r>
        <w:rPr>
          <w:b w:val="0"/>
          <w:i w:val="0"/>
        </w:rPr>
        <w:t>.</w:t>
      </w:r>
    </w:p>
    <w:p>
      <w:pPr>
        <w:widowControl/>
      </w:pPr>
      <w:r>
        <w:rPr>
          <w:b/>
          <w:i w:val="0"/>
        </w:rPr>
        <w:t>magistra sensuum.</w:t>
      </w:r>
      <w:r>
        <w:rPr>
          <w:b w:val="0"/>
          <w:i w:val="0"/>
        </w:rPr>
        <w:t xml:space="preserve"> </w:t>
      </w:r>
      <w:hyperlink w:anchor="latin-record-0745">
        <w:r>
          <w:rPr>
            <w:color w:val="000000"/>
          </w:rPr>
          <w:t xml:space="preserve">magistra sensuum</w:t>
        </w:r>
      </w:hyperlink>
      <w:r>
        <w:rPr>
          <w:b w:val="0"/>
          <w:i w:val="0"/>
        </w:rPr>
        <w:t>.</w:t>
      </w:r>
    </w:p>
    <w:p>
      <w:pPr>
        <w:widowControl/>
      </w:pPr>
      <w:r>
        <w:rPr>
          <w:b/>
          <w:i w:val="0"/>
        </w:rPr>
        <w:t>magistram.</w:t>
      </w:r>
      <w:r>
        <w:rPr>
          <w:b w:val="0"/>
          <w:i w:val="0"/>
        </w:rPr>
        <w:t xml:space="preserve"> </w:t>
      </w:r>
      <w:hyperlink w:anchor="latin-record-0975">
        <w:r>
          <w:rPr>
            <w:color w:val="000000"/>
          </w:rPr>
          <w:t xml:space="preserve">praeceptor; sophista</w:t>
        </w:r>
      </w:hyperlink>
      <w:r>
        <w:rPr>
          <w:b w:val="0"/>
          <w:i w:val="0"/>
        </w:rPr>
        <w:t>.</w:t>
      </w:r>
    </w:p>
    <w:p>
      <w:pPr>
        <w:widowControl/>
      </w:pPr>
      <w:r>
        <w:rPr>
          <w:b/>
          <w:i w:val="0"/>
        </w:rPr>
        <w:t>magnanimitas.</w:t>
      </w:r>
      <w:r>
        <w:rPr>
          <w:b w:val="0"/>
          <w:i w:val="0"/>
        </w:rPr>
        <w:t xml:space="preserve"> </w:t>
      </w:r>
      <w:hyperlink w:anchor="latin-record-0746">
        <w:r>
          <w:rPr>
            <w:color w:val="000000"/>
          </w:rPr>
          <w:t xml:space="preserve">magnanimitas / pusillanimitas</w:t>
        </w:r>
      </w:hyperlink>
      <w:r>
        <w:rPr>
          <w:b w:val="0"/>
          <w:i w:val="0"/>
        </w:rPr>
        <w:t>.</w:t>
      </w:r>
    </w:p>
    <w:p>
      <w:pPr>
        <w:widowControl/>
      </w:pPr>
      <w:r>
        <w:rPr>
          <w:b/>
          <w:i w:val="0"/>
        </w:rPr>
        <w:t>magnanimitatemque.</w:t>
      </w:r>
      <w:r>
        <w:rPr>
          <w:b w:val="0"/>
          <w:i w:val="0"/>
        </w:rPr>
        <w:t xml:space="preserve"> </w:t>
      </w:r>
      <w:hyperlink w:anchor="latin-record-0746">
        <w:r>
          <w:rPr>
            <w:color w:val="000000"/>
          </w:rPr>
          <w:t xml:space="preserve">magnanimitas / pusillanimitas</w:t>
        </w:r>
      </w:hyperlink>
      <w:r>
        <w:rPr>
          <w:b w:val="0"/>
          <w:i w:val="0"/>
        </w:rPr>
        <w:t>.</w:t>
      </w:r>
    </w:p>
    <w:p>
      <w:pPr>
        <w:widowControl/>
      </w:pPr>
      <w:r>
        <w:rPr>
          <w:b/>
          <w:i w:val="0"/>
        </w:rPr>
        <w:t>magnetis.</w:t>
      </w:r>
      <w:r>
        <w:rPr>
          <w:b w:val="0"/>
          <w:i w:val="0"/>
        </w:rPr>
        <w:t xml:space="preserve"> </w:t>
      </w:r>
      <w:hyperlink w:anchor="latin-record-0747">
        <w:r>
          <w:rPr>
            <w:color w:val="000000"/>
          </w:rPr>
          <w:t xml:space="preserve">magnes / ferrum / trahere / suspendere</w:t>
        </w:r>
      </w:hyperlink>
      <w:r>
        <w:rPr>
          <w:b w:val="0"/>
          <w:i w:val="0"/>
        </w:rPr>
        <w:t>.</w:t>
      </w:r>
    </w:p>
    <w:p>
      <w:pPr>
        <w:widowControl/>
      </w:pPr>
      <w:r>
        <w:rPr>
          <w:b/>
          <w:i w:val="0"/>
        </w:rPr>
        <w:t>magnificentior.</w:t>
      </w:r>
      <w:r>
        <w:rPr>
          <w:b w:val="0"/>
          <w:i w:val="0"/>
        </w:rPr>
        <w:t xml:space="preserve"> </w:t>
      </w:r>
      <w:hyperlink w:anchor="latin-record-0748">
        <w:r>
          <w:rPr>
            <w:color w:val="000000"/>
          </w:rPr>
          <w:t xml:space="preserve">magnificentior; divinior</w:t>
        </w:r>
      </w:hyperlink>
      <w:r>
        <w:rPr>
          <w:b w:val="0"/>
          <w:i w:val="0"/>
        </w:rPr>
        <w:t>.</w:t>
      </w:r>
    </w:p>
    <w:p>
      <w:pPr>
        <w:widowControl/>
      </w:pPr>
      <w:r>
        <w:rPr>
          <w:b/>
          <w:i w:val="0"/>
        </w:rPr>
        <w:t>magnitudine.</w:t>
      </w:r>
      <w:r>
        <w:rPr>
          <w:b w:val="0"/>
          <w:i w:val="0"/>
        </w:rPr>
        <w:t xml:space="preserve"> </w:t>
      </w:r>
      <w:hyperlink w:anchor="latin-record-0749">
        <w:r>
          <w:rPr>
            <w:color w:val="000000"/>
          </w:rPr>
          <w:t xml:space="preserve">magnitudo</w:t>
        </w:r>
      </w:hyperlink>
      <w:r>
        <w:rPr>
          <w:b w:val="0"/>
          <w:i w:val="0"/>
        </w:rPr>
        <w:t xml:space="preserve">; </w:t>
      </w:r>
      <w:hyperlink w:anchor="latin-record-0779">
        <w:r>
          <w:rPr>
            <w:color w:val="000000"/>
          </w:rPr>
          <w:t xml:space="preserve">mensura / magnitudo</w:t>
        </w:r>
      </w:hyperlink>
      <w:r>
        <w:rPr>
          <w:b w:val="0"/>
          <w:i w:val="0"/>
        </w:rPr>
        <w:t>.</w:t>
      </w:r>
    </w:p>
    <w:p>
      <w:pPr>
        <w:widowControl/>
      </w:pPr>
      <w:r>
        <w:rPr>
          <w:b/>
          <w:i w:val="0"/>
        </w:rPr>
        <w:t>magnitudinem.</w:t>
      </w:r>
      <w:r>
        <w:rPr>
          <w:b w:val="0"/>
          <w:i w:val="0"/>
        </w:rPr>
        <w:t xml:space="preserve"> </w:t>
      </w:r>
      <w:hyperlink w:anchor="latin-record-0622">
        <w:r>
          <w:rPr>
            <w:color w:val="000000"/>
          </w:rPr>
          <w:t xml:space="preserve">individua; magnitudo</w:t>
        </w:r>
      </w:hyperlink>
      <w:r>
        <w:rPr>
          <w:b w:val="0"/>
          <w:i w:val="0"/>
        </w:rPr>
        <w:t xml:space="preserve">; </w:t>
      </w:r>
      <w:hyperlink w:anchor="latin-record-0749">
        <w:r>
          <w:rPr>
            <w:color w:val="000000"/>
          </w:rPr>
          <w:t xml:space="preserve">magnitudo</w:t>
        </w:r>
      </w:hyperlink>
      <w:r>
        <w:rPr>
          <w:b w:val="0"/>
          <w:i w:val="0"/>
        </w:rPr>
        <w:t xml:space="preserve">; </w:t>
      </w:r>
      <w:hyperlink w:anchor="latin-record-0779">
        <w:r>
          <w:rPr>
            <w:color w:val="000000"/>
          </w:rPr>
          <w:t xml:space="preserve">mensura / magnitudo</w:t>
        </w:r>
      </w:hyperlink>
      <w:r>
        <w:rPr>
          <w:b w:val="0"/>
          <w:i w:val="0"/>
        </w:rPr>
        <w:t>.</w:t>
      </w:r>
    </w:p>
    <w:p>
      <w:pPr>
        <w:widowControl/>
      </w:pPr>
      <w:r>
        <w:rPr>
          <w:b/>
          <w:i w:val="0"/>
        </w:rPr>
        <w:t>magnitudines.</w:t>
      </w:r>
      <w:r>
        <w:rPr>
          <w:b w:val="0"/>
          <w:i w:val="0"/>
        </w:rPr>
        <w:t xml:space="preserve"> </w:t>
      </w:r>
      <w:hyperlink w:anchor="latin-record-0779">
        <w:r>
          <w:rPr>
            <w:color w:val="000000"/>
          </w:rPr>
          <w:t xml:space="preserve">mensura / magnitudo</w:t>
        </w:r>
      </w:hyperlink>
      <w:r>
        <w:rPr>
          <w:b w:val="0"/>
          <w:i w:val="0"/>
        </w:rPr>
        <w:t>.</w:t>
      </w:r>
    </w:p>
    <w:p>
      <w:pPr>
        <w:widowControl/>
      </w:pPr>
      <w:r>
        <w:rPr>
          <w:b/>
          <w:i w:val="0"/>
        </w:rPr>
        <w:t>magnitudinis.</w:t>
      </w:r>
      <w:r>
        <w:rPr>
          <w:b w:val="0"/>
          <w:i w:val="0"/>
        </w:rPr>
        <w:t xml:space="preserve"> </w:t>
      </w:r>
      <w:hyperlink w:anchor="latin-record-0749">
        <w:r>
          <w:rPr>
            <w:color w:val="000000"/>
          </w:rPr>
          <w:t xml:space="preserve">magnitudo</w:t>
        </w:r>
      </w:hyperlink>
      <w:r>
        <w:rPr>
          <w:b w:val="0"/>
          <w:i w:val="0"/>
        </w:rPr>
        <w:t xml:space="preserve">; </w:t>
      </w:r>
      <w:hyperlink w:anchor="latin-record-0779">
        <w:r>
          <w:rPr>
            <w:color w:val="000000"/>
          </w:rPr>
          <w:t xml:space="preserve">mensura / magnitudo</w:t>
        </w:r>
      </w:hyperlink>
      <w:r>
        <w:rPr>
          <w:b w:val="0"/>
          <w:i w:val="0"/>
        </w:rPr>
        <w:t>.</w:t>
      </w:r>
    </w:p>
    <w:p>
      <w:pPr>
        <w:widowControl/>
      </w:pPr>
      <w:r>
        <w:rPr>
          <w:b/>
          <w:i w:val="0"/>
        </w:rPr>
        <w:t>magnitudo.</w:t>
      </w:r>
      <w:r>
        <w:rPr>
          <w:b w:val="0"/>
          <w:i w:val="0"/>
        </w:rPr>
        <w:t xml:space="preserve"> </w:t>
      </w:r>
      <w:hyperlink w:anchor="latin-record-0749">
        <w:r>
          <w:rPr>
            <w:color w:val="000000"/>
          </w:rPr>
          <w:t xml:space="preserve">magnitudo</w:t>
        </w:r>
      </w:hyperlink>
      <w:r>
        <w:rPr>
          <w:b w:val="0"/>
          <w:i w:val="0"/>
        </w:rPr>
        <w:t xml:space="preserve">; </w:t>
      </w:r>
      <w:hyperlink w:anchor="latin-record-0779">
        <w:r>
          <w:rPr>
            <w:color w:val="000000"/>
          </w:rPr>
          <w:t xml:space="preserve">mensura / magnitudo</w:t>
        </w:r>
      </w:hyperlink>
      <w:r>
        <w:rPr>
          <w:b w:val="0"/>
          <w:i w:val="0"/>
        </w:rPr>
        <w:t>.</w:t>
      </w:r>
    </w:p>
    <w:p>
      <w:pPr>
        <w:widowControl/>
      </w:pPr>
      <w:r>
        <w:rPr>
          <w:b/>
          <w:i w:val="0"/>
        </w:rPr>
        <w:t>Magnitudo.</w:t>
      </w:r>
      <w:r>
        <w:rPr>
          <w:b w:val="0"/>
          <w:i w:val="0"/>
        </w:rPr>
        <w:t xml:space="preserve"> </w:t>
      </w:r>
      <w:hyperlink w:anchor="latin-record-0750">
        <w:r>
          <w:rPr>
            <w:color w:val="000000"/>
          </w:rPr>
          <w:t xml:space="preserve">magnitudo; crescere; decrescere</w:t>
        </w:r>
      </w:hyperlink>
      <w:r>
        <w:rPr>
          <w:b w:val="0"/>
          <w:i w:val="0"/>
        </w:rPr>
        <w:t>.</w:t>
      </w:r>
    </w:p>
    <w:p>
      <w:pPr>
        <w:widowControl/>
      </w:pPr>
      <w:r>
        <w:rPr>
          <w:b/>
          <w:i w:val="0"/>
        </w:rPr>
        <w:t>maior.</w:t>
      </w:r>
      <w:r>
        <w:rPr>
          <w:b w:val="0"/>
          <w:i w:val="0"/>
        </w:rPr>
        <w:t xml:space="preserve"> </w:t>
      </w:r>
      <w:hyperlink w:anchor="latin-record-0751">
        <w:r>
          <w:rPr>
            <w:color w:val="000000"/>
          </w:rPr>
          <w:t xml:space="preserve">maior / minor</w:t>
        </w:r>
      </w:hyperlink>
      <w:r>
        <w:rPr>
          <w:b w:val="0"/>
          <w:i w:val="0"/>
        </w:rPr>
        <w:t>.</w:t>
      </w:r>
    </w:p>
    <w:p>
      <w:pPr>
        <w:widowControl/>
      </w:pPr>
      <w:r>
        <w:rPr>
          <w:b/>
          <w:i w:val="0"/>
        </w:rPr>
        <w:t>maiora.</w:t>
      </w:r>
      <w:r>
        <w:rPr>
          <w:b w:val="0"/>
          <w:i w:val="0"/>
        </w:rPr>
        <w:t xml:space="preserve"> </w:t>
      </w:r>
      <w:hyperlink w:anchor="latin-record-0751">
        <w:r>
          <w:rPr>
            <w:color w:val="000000"/>
          </w:rPr>
          <w:t xml:space="preserve">maior / minor</w:t>
        </w:r>
      </w:hyperlink>
      <w:r>
        <w:rPr>
          <w:b w:val="0"/>
          <w:i w:val="0"/>
        </w:rPr>
        <w:t>.</w:t>
      </w:r>
    </w:p>
    <w:p>
      <w:pPr>
        <w:widowControl/>
      </w:pPr>
      <w:r>
        <w:rPr>
          <w:b/>
          <w:i w:val="0"/>
        </w:rPr>
        <w:t>maiorem.</w:t>
      </w:r>
      <w:r>
        <w:rPr>
          <w:b w:val="0"/>
          <w:i w:val="0"/>
        </w:rPr>
        <w:t xml:space="preserve"> </w:t>
      </w:r>
      <w:hyperlink w:anchor="latin-record-0751">
        <w:r>
          <w:rPr>
            <w:color w:val="000000"/>
          </w:rPr>
          <w:t xml:space="preserve">maior / minor</w:t>
        </w:r>
      </w:hyperlink>
      <w:r>
        <w:rPr>
          <w:b w:val="0"/>
          <w:i w:val="0"/>
        </w:rPr>
        <w:t>.</w:t>
      </w:r>
    </w:p>
    <w:p>
      <w:pPr>
        <w:widowControl/>
      </w:pPr>
      <w:r>
        <w:rPr>
          <w:b/>
          <w:i w:val="0"/>
        </w:rPr>
        <w:t>maiores.</w:t>
      </w:r>
      <w:r>
        <w:rPr>
          <w:b w:val="0"/>
          <w:i w:val="0"/>
        </w:rPr>
        <w:t xml:space="preserve"> </w:t>
      </w:r>
      <w:hyperlink w:anchor="latin-record-0751">
        <w:r>
          <w:rPr>
            <w:color w:val="000000"/>
          </w:rPr>
          <w:t xml:space="preserve">maior / minor</w:t>
        </w:r>
      </w:hyperlink>
      <w:r>
        <w:rPr>
          <w:b w:val="0"/>
          <w:i w:val="0"/>
        </w:rPr>
        <w:t>.</w:t>
      </w:r>
    </w:p>
    <w:p>
      <w:pPr>
        <w:widowControl/>
      </w:pPr>
      <w:r>
        <w:rPr>
          <w:b/>
          <w:i w:val="0"/>
        </w:rPr>
        <w:t>maiori.</w:t>
      </w:r>
      <w:r>
        <w:rPr>
          <w:b w:val="0"/>
          <w:i w:val="0"/>
        </w:rPr>
        <w:t xml:space="preserve"> </w:t>
      </w:r>
      <w:hyperlink w:anchor="latin-record-0751">
        <w:r>
          <w:rPr>
            <w:color w:val="000000"/>
          </w:rPr>
          <w:t xml:space="preserve">maior / minor</w:t>
        </w:r>
      </w:hyperlink>
      <w:r>
        <w:rPr>
          <w:b w:val="0"/>
          <w:i w:val="0"/>
        </w:rPr>
        <w:t>.</w:t>
      </w:r>
    </w:p>
    <w:p>
      <w:pPr>
        <w:widowControl/>
      </w:pPr>
      <w:r>
        <w:rPr>
          <w:b/>
          <w:i w:val="0"/>
        </w:rPr>
        <w:t>maius.</w:t>
      </w:r>
      <w:r>
        <w:rPr>
          <w:b w:val="0"/>
          <w:i w:val="0"/>
        </w:rPr>
        <w:t xml:space="preserve"> </w:t>
      </w:r>
      <w:hyperlink w:anchor="latin-record-0751">
        <w:r>
          <w:rPr>
            <w:color w:val="000000"/>
          </w:rPr>
          <w:t xml:space="preserve">maior / minor</w:t>
        </w:r>
      </w:hyperlink>
      <w:r>
        <w:rPr>
          <w:b w:val="0"/>
          <w:i w:val="0"/>
        </w:rPr>
        <w:t>.</w:t>
      </w:r>
    </w:p>
    <w:p>
      <w:pPr>
        <w:widowControl/>
      </w:pPr>
      <w:r>
        <w:rPr>
          <w:b/>
          <w:i w:val="0"/>
        </w:rPr>
        <w:t>mala.</w:t>
      </w:r>
      <w:r>
        <w:rPr>
          <w:b w:val="0"/>
          <w:i w:val="0"/>
        </w:rPr>
        <w:t xml:space="preserve"> </w:t>
      </w:r>
      <w:hyperlink w:anchor="latin-record-0167">
        <w:r>
          <w:rPr>
            <w:color w:val="000000"/>
          </w:rPr>
          <w:t xml:space="preserve">bonum / malum</w:t>
        </w:r>
      </w:hyperlink>
      <w:r>
        <w:rPr>
          <w:b w:val="0"/>
          <w:i w:val="0"/>
        </w:rPr>
        <w:t xml:space="preserve">; </w:t>
      </w:r>
      <w:hyperlink w:anchor="latin-record-0998">
        <w:r>
          <w:rPr>
            <w:color w:val="000000"/>
          </w:rPr>
          <w:t xml:space="preserve">privatio / defectus / malum / noxius / salubris</w:t>
        </w:r>
      </w:hyperlink>
      <w:r>
        <w:rPr>
          <w:b w:val="0"/>
          <w:i w:val="0"/>
        </w:rPr>
        <w:t>.</w:t>
      </w:r>
    </w:p>
    <w:p>
      <w:pPr>
        <w:widowControl/>
      </w:pPr>
      <w:r>
        <w:rPr>
          <w:b/>
          <w:i w:val="0"/>
        </w:rPr>
        <w:t>malis.</w:t>
      </w:r>
      <w:r>
        <w:rPr>
          <w:b w:val="0"/>
          <w:i w:val="0"/>
        </w:rPr>
        <w:t xml:space="preserve"> </w:t>
      </w:r>
      <w:hyperlink w:anchor="latin-record-0167">
        <w:r>
          <w:rPr>
            <w:color w:val="000000"/>
          </w:rPr>
          <w:t xml:space="preserve">bonum / malum</w:t>
        </w:r>
      </w:hyperlink>
      <w:r>
        <w:rPr>
          <w:b w:val="0"/>
          <w:i w:val="0"/>
        </w:rPr>
        <w:t xml:space="preserve">; </w:t>
      </w:r>
      <w:hyperlink w:anchor="latin-record-0998">
        <w:r>
          <w:rPr>
            <w:color w:val="000000"/>
          </w:rPr>
          <w:t xml:space="preserve">privatio / defectus / malum / noxius / salubris</w:t>
        </w:r>
      </w:hyperlink>
      <w:r>
        <w:rPr>
          <w:b w:val="0"/>
          <w:i w:val="0"/>
        </w:rPr>
        <w:t>.</w:t>
      </w:r>
    </w:p>
    <w:p>
      <w:pPr>
        <w:widowControl/>
      </w:pPr>
      <w:r>
        <w:rPr>
          <w:b/>
          <w:i w:val="0"/>
        </w:rPr>
        <w:t>malum.</w:t>
      </w:r>
      <w:r>
        <w:rPr>
          <w:b w:val="0"/>
          <w:i w:val="0"/>
        </w:rPr>
        <w:t xml:space="preserve"> </w:t>
      </w:r>
      <w:hyperlink w:anchor="latin-record-0167">
        <w:r>
          <w:rPr>
            <w:color w:val="000000"/>
          </w:rPr>
          <w:t xml:space="preserve">bonum / malum</w:t>
        </w:r>
      </w:hyperlink>
      <w:r>
        <w:rPr>
          <w:b w:val="0"/>
          <w:i w:val="0"/>
        </w:rPr>
        <w:t>.</w:t>
      </w:r>
    </w:p>
    <w:p>
      <w:pPr>
        <w:widowControl/>
      </w:pPr>
      <w:r>
        <w:rPr>
          <w:b/>
          <w:i w:val="0"/>
        </w:rPr>
        <w:t>mancipatus.</w:t>
      </w:r>
      <w:r>
        <w:rPr>
          <w:b w:val="0"/>
          <w:i w:val="0"/>
        </w:rPr>
        <w:t xml:space="preserve"> </w:t>
      </w:r>
      <w:hyperlink w:anchor="latin-record-0752">
        <w:r>
          <w:rPr>
            <w:color w:val="000000"/>
          </w:rPr>
          <w:t xml:space="preserve">mancipare</w:t>
        </w:r>
      </w:hyperlink>
      <w:r>
        <w:rPr>
          <w:b w:val="0"/>
          <w:i w:val="0"/>
        </w:rPr>
        <w:t>.</w:t>
      </w:r>
    </w:p>
    <w:p>
      <w:pPr>
        <w:widowControl/>
      </w:pPr>
      <w:r>
        <w:rPr>
          <w:b/>
          <w:i w:val="0"/>
        </w:rPr>
        <w:t>maneat.</w:t>
      </w:r>
      <w:r>
        <w:rPr>
          <w:b w:val="0"/>
          <w:i w:val="0"/>
        </w:rPr>
        <w:t xml:space="preserve"> </w:t>
      </w:r>
      <w:hyperlink w:anchor="latin-record-0753">
        <w:r>
          <w:rPr>
            <w:color w:val="000000"/>
          </w:rPr>
          <w:t xml:space="preserve">manere; permanere; constare</w:t>
        </w:r>
      </w:hyperlink>
      <w:r>
        <w:rPr>
          <w:b w:val="0"/>
          <w:i w:val="0"/>
        </w:rPr>
        <w:t>.</w:t>
      </w:r>
    </w:p>
    <w:p>
      <w:pPr>
        <w:widowControl/>
      </w:pPr>
      <w:r>
        <w:rPr>
          <w:b/>
          <w:i w:val="0"/>
        </w:rPr>
        <w:t>manent.</w:t>
      </w:r>
      <w:r>
        <w:rPr>
          <w:b w:val="0"/>
          <w:i w:val="0"/>
        </w:rPr>
        <w:t xml:space="preserve"> </w:t>
      </w:r>
      <w:hyperlink w:anchor="latin-record-0928">
        <w:r>
          <w:rPr>
            <w:color w:val="000000"/>
          </w:rPr>
          <w:t xml:space="preserve">permanere / manere / remanere</w:t>
        </w:r>
      </w:hyperlink>
      <w:r>
        <w:rPr>
          <w:b w:val="0"/>
          <w:i w:val="0"/>
        </w:rPr>
        <w:t>.</w:t>
      </w:r>
    </w:p>
    <w:p>
      <w:pPr>
        <w:widowControl/>
      </w:pPr>
      <w:r>
        <w:rPr>
          <w:b/>
          <w:i w:val="0"/>
        </w:rPr>
        <w:t>manere.</w:t>
      </w:r>
      <w:r>
        <w:rPr>
          <w:b w:val="0"/>
          <w:i w:val="0"/>
        </w:rPr>
        <w:t xml:space="preserve"> </w:t>
      </w:r>
      <w:hyperlink w:anchor="latin-record-0753">
        <w:r>
          <w:rPr>
            <w:color w:val="000000"/>
          </w:rPr>
          <w:t xml:space="preserve">manere; permanere; constare</w:t>
        </w:r>
      </w:hyperlink>
      <w:r>
        <w:rPr>
          <w:b w:val="0"/>
          <w:i w:val="0"/>
        </w:rPr>
        <w:t>.</w:t>
      </w:r>
    </w:p>
    <w:p>
      <w:pPr>
        <w:widowControl/>
      </w:pPr>
      <w:r>
        <w:rPr>
          <w:b/>
          <w:i w:val="0"/>
        </w:rPr>
        <w:t>manet.</w:t>
      </w:r>
      <w:r>
        <w:rPr>
          <w:b w:val="0"/>
          <w:i w:val="0"/>
        </w:rPr>
        <w:t xml:space="preserve"> </w:t>
      </w:r>
      <w:hyperlink w:anchor="latin-record-0753">
        <w:r>
          <w:rPr>
            <w:color w:val="000000"/>
          </w:rPr>
          <w:t xml:space="preserve">manere; permanere; constare</w:t>
        </w:r>
      </w:hyperlink>
      <w:r>
        <w:rPr>
          <w:b w:val="0"/>
          <w:i w:val="0"/>
        </w:rPr>
        <w:t xml:space="preserve">; </w:t>
      </w:r>
      <w:hyperlink w:anchor="latin-record-0928">
        <w:r>
          <w:rPr>
            <w:color w:val="000000"/>
          </w:rPr>
          <w:t xml:space="preserve">permanere / manere / remanere</w:t>
        </w:r>
      </w:hyperlink>
      <w:r>
        <w:rPr>
          <w:b w:val="0"/>
          <w:i w:val="0"/>
        </w:rPr>
        <w:t>.</w:t>
      </w:r>
    </w:p>
    <w:p>
      <w:pPr>
        <w:widowControl/>
      </w:pPr>
      <w:r>
        <w:rPr>
          <w:b/>
          <w:i w:val="0"/>
        </w:rPr>
        <w:t>manet intus.</w:t>
      </w:r>
      <w:r>
        <w:rPr>
          <w:b w:val="0"/>
          <w:i w:val="0"/>
        </w:rPr>
        <w:t xml:space="preserve"> </w:t>
      </w:r>
      <w:hyperlink w:anchor="latin-record-0862">
        <w:r>
          <w:rPr>
            <w:color w:val="000000"/>
          </w:rPr>
          <w:t xml:space="preserve">operatio quae effluit / quae manet</w:t>
        </w:r>
      </w:hyperlink>
      <w:r>
        <w:rPr>
          <w:b w:val="0"/>
          <w:i w:val="0"/>
        </w:rPr>
        <w:t>.</w:t>
      </w:r>
    </w:p>
    <w:p>
      <w:pPr>
        <w:widowControl/>
      </w:pPr>
      <w:r>
        <w:rPr>
          <w:b/>
          <w:i w:val="0"/>
        </w:rPr>
        <w:t>manibus.</w:t>
      </w:r>
      <w:r>
        <w:rPr>
          <w:b w:val="0"/>
          <w:i w:val="0"/>
        </w:rPr>
        <w:t xml:space="preserve"> </w:t>
      </w:r>
      <w:hyperlink w:anchor="latin-record-0755">
        <w:r>
          <w:rPr>
            <w:color w:val="000000"/>
          </w:rPr>
          <w:t xml:space="preserve">manus mentis</w:t>
        </w:r>
      </w:hyperlink>
      <w:r>
        <w:rPr>
          <w:b w:val="0"/>
          <w:i w:val="0"/>
        </w:rPr>
        <w:t>.</w:t>
      </w:r>
    </w:p>
    <w:p>
      <w:pPr>
        <w:widowControl/>
      </w:pPr>
      <w:r>
        <w:rPr>
          <w:b/>
          <w:i w:val="0"/>
        </w:rPr>
        <w:t>manifesta.</w:t>
      </w:r>
      <w:r>
        <w:rPr>
          <w:b w:val="0"/>
          <w:i w:val="0"/>
        </w:rPr>
        <w:t xml:space="preserve"> </w:t>
      </w:r>
      <w:hyperlink w:anchor="latin-record-1137">
        <w:r>
          <w:rPr>
            <w:color w:val="000000"/>
          </w:rPr>
          <w:t xml:space="preserve">scientia et ignorantia</w:t>
        </w:r>
      </w:hyperlink>
      <w:r>
        <w:rPr>
          <w:b w:val="0"/>
          <w:i w:val="0"/>
        </w:rPr>
        <w:t>.</w:t>
      </w:r>
    </w:p>
    <w:p>
      <w:pPr>
        <w:widowControl/>
      </w:pPr>
      <w:r>
        <w:rPr>
          <w:b/>
          <w:i w:val="0"/>
        </w:rPr>
        <w:t>manifestissima.</w:t>
      </w:r>
      <w:r>
        <w:rPr>
          <w:b w:val="0"/>
          <w:i w:val="0"/>
        </w:rPr>
        <w:t xml:space="preserve"> </w:t>
      </w:r>
      <w:hyperlink w:anchor="latin-record-0754">
        <w:r>
          <w:rPr>
            <w:color w:val="000000"/>
          </w:rPr>
          <w:t xml:space="preserve">manifestissimus</w:t>
        </w:r>
      </w:hyperlink>
      <w:r>
        <w:rPr>
          <w:b w:val="0"/>
          <w:i w:val="0"/>
        </w:rPr>
        <w:t>.</w:t>
      </w:r>
    </w:p>
    <w:p>
      <w:pPr>
        <w:widowControl/>
      </w:pPr>
      <w:r>
        <w:rPr>
          <w:b/>
          <w:i w:val="0"/>
        </w:rPr>
        <w:t>manum.</w:t>
      </w:r>
      <w:r>
        <w:rPr>
          <w:b w:val="0"/>
          <w:i w:val="0"/>
        </w:rPr>
        <w:t xml:space="preserve"> </w:t>
      </w:r>
      <w:hyperlink w:anchor="latin-record-0950">
        <w:r>
          <w:rPr>
            <w:color w:val="000000"/>
          </w:rPr>
          <w:t xml:space="preserve">pingere in se / aere / pariete</w:t>
        </w:r>
      </w:hyperlink>
      <w:r>
        <w:rPr>
          <w:b w:val="0"/>
          <w:i w:val="0"/>
        </w:rPr>
        <w:t>.</w:t>
      </w:r>
    </w:p>
    <w:p>
      <w:pPr>
        <w:widowControl/>
      </w:pPr>
      <w:r>
        <w:rPr>
          <w:b/>
          <w:i w:val="0"/>
        </w:rPr>
        <w:t>manus.</w:t>
      </w:r>
      <w:r>
        <w:rPr>
          <w:b w:val="0"/>
          <w:i w:val="0"/>
        </w:rPr>
        <w:t xml:space="preserve"> </w:t>
      </w:r>
      <w:hyperlink w:anchor="latin-record-0943">
        <w:r>
          <w:rPr>
            <w:color w:val="000000"/>
          </w:rPr>
          <w:t xml:space="preserve">pes / manus / os</w:t>
        </w:r>
      </w:hyperlink>
      <w:r>
        <w:rPr>
          <w:b w:val="0"/>
          <w:i w:val="0"/>
        </w:rPr>
        <w:t>.</w:t>
      </w:r>
    </w:p>
    <w:p>
      <w:pPr>
        <w:widowControl/>
      </w:pPr>
      <w:r>
        <w:rPr>
          <w:b/>
          <w:i w:val="0"/>
        </w:rPr>
        <w:t>marcescunt.</w:t>
      </w:r>
      <w:r>
        <w:rPr>
          <w:b w:val="0"/>
          <w:i w:val="0"/>
        </w:rPr>
        <w:t xml:space="preserve"> </w:t>
      </w:r>
      <w:hyperlink w:anchor="latin-record-0871">
        <w:r>
          <w:rPr>
            <w:color w:val="000000"/>
          </w:rPr>
          <w:t xml:space="preserve">opprimere / marcescere</w:t>
        </w:r>
      </w:hyperlink>
      <w:r>
        <w:rPr>
          <w:b w:val="0"/>
          <w:i w:val="0"/>
        </w:rPr>
        <w:t>.</w:t>
      </w:r>
    </w:p>
    <w:p>
      <w:pPr>
        <w:widowControl/>
      </w:pPr>
      <w:r>
        <w:rPr>
          <w:b/>
          <w:i w:val="0"/>
        </w:rPr>
        <w:t>mare.</w:t>
      </w:r>
      <w:r>
        <w:rPr>
          <w:b w:val="0"/>
          <w:i w:val="0"/>
        </w:rPr>
        <w:t xml:space="preserve"> </w:t>
      </w:r>
      <w:hyperlink w:anchor="latin-record-0756">
        <w:r>
          <w:rPr>
            <w:color w:val="000000"/>
          </w:rPr>
          <w:t xml:space="preserve">mare</w:t>
        </w:r>
      </w:hyperlink>
      <w:r>
        <w:rPr>
          <w:b w:val="0"/>
          <w:i w:val="0"/>
        </w:rPr>
        <w:t>.</w:t>
      </w:r>
    </w:p>
    <w:p>
      <w:pPr>
        <w:widowControl/>
      </w:pPr>
      <w:r>
        <w:rPr>
          <w:b/>
          <w:i w:val="0"/>
        </w:rPr>
        <w:t>mari.</w:t>
      </w:r>
      <w:r>
        <w:rPr>
          <w:b w:val="0"/>
          <w:i w:val="0"/>
        </w:rPr>
        <w:t xml:space="preserve"> </w:t>
      </w:r>
      <w:hyperlink w:anchor="latin-record-0756">
        <w:r>
          <w:rPr>
            <w:color w:val="000000"/>
          </w:rPr>
          <w:t xml:space="preserve">mare</w:t>
        </w:r>
      </w:hyperlink>
      <w:r>
        <w:rPr>
          <w:b w:val="0"/>
          <w:i w:val="0"/>
        </w:rPr>
        <w:t>.</w:t>
      </w:r>
    </w:p>
    <w:p>
      <w:pPr>
        <w:widowControl/>
      </w:pPr>
      <w:r>
        <w:rPr>
          <w:b/>
          <w:i w:val="0"/>
        </w:rPr>
        <w:t>materia.</w:t>
      </w:r>
      <w:r>
        <w:rPr>
          <w:b w:val="0"/>
          <w:i w:val="0"/>
        </w:rPr>
        <w:t xml:space="preserve"> </w:t>
      </w:r>
      <w:hyperlink w:anchor="latin-record-0713">
        <w:r>
          <w:rPr>
            <w:color w:val="000000"/>
          </w:rPr>
          <w:t xml:space="preserve">liber a materia</w:t>
        </w:r>
      </w:hyperlink>
      <w:r>
        <w:rPr>
          <w:b w:val="0"/>
          <w:i w:val="0"/>
        </w:rPr>
        <w:t xml:space="preserve">; </w:t>
      </w:r>
      <w:hyperlink w:anchor="latin-record-0757">
        <w:r>
          <w:rPr>
            <w:color w:val="000000"/>
          </w:rPr>
          <w:t xml:space="preserve">materia</w:t>
        </w:r>
      </w:hyperlink>
      <w:r>
        <w:rPr>
          <w:b w:val="0"/>
          <w:i w:val="0"/>
        </w:rPr>
        <w:t xml:space="preserve">; </w:t>
      </w:r>
      <w:hyperlink w:anchor="latin-record-0759">
        <w:r>
          <w:rPr>
            <w:color w:val="000000"/>
          </w:rPr>
          <w:t xml:space="preserve">materia / suscipi / misceri</w:t>
        </w:r>
      </w:hyperlink>
      <w:r>
        <w:rPr>
          <w:b w:val="0"/>
          <w:i w:val="0"/>
        </w:rPr>
        <w:t xml:space="preserve">; </w:t>
      </w:r>
      <w:hyperlink w:anchor="latin-record-0762">
        <w:r>
          <w:rPr>
            <w:color w:val="000000"/>
          </w:rPr>
          <w:t xml:space="preserve">materia prima</w:t>
        </w:r>
      </w:hyperlink>
      <w:r>
        <w:rPr>
          <w:b w:val="0"/>
          <w:i w:val="0"/>
        </w:rPr>
        <w:t>.</w:t>
      </w:r>
    </w:p>
    <w:p>
      <w:pPr>
        <w:widowControl/>
      </w:pPr>
      <w:r>
        <w:rPr>
          <w:b/>
          <w:i w:val="0"/>
        </w:rPr>
        <w:t>materia et forma.</w:t>
      </w:r>
      <w:r>
        <w:rPr>
          <w:b w:val="0"/>
          <w:i w:val="0"/>
        </w:rPr>
        <w:t xml:space="preserve"> </w:t>
      </w:r>
      <w:hyperlink w:anchor="latin-record-0761">
        <w:r>
          <w:rPr>
            <w:color w:val="000000"/>
          </w:rPr>
          <w:t xml:space="preserve">materia et forma</w:t>
        </w:r>
      </w:hyperlink>
      <w:r>
        <w:rPr>
          <w:b w:val="0"/>
          <w:i w:val="0"/>
        </w:rPr>
        <w:t>.</w:t>
      </w:r>
    </w:p>
    <w:p>
      <w:pPr>
        <w:widowControl/>
      </w:pPr>
      <w:r>
        <w:rPr>
          <w:b/>
          <w:i w:val="0"/>
        </w:rPr>
        <w:t>materia non propinqua leoni.</w:t>
      </w:r>
      <w:r>
        <w:rPr>
          <w:b w:val="0"/>
          <w:i w:val="0"/>
        </w:rPr>
        <w:t xml:space="preserve"> </w:t>
      </w:r>
      <w:hyperlink w:anchor="latin-record-0763">
        <w:r>
          <w:rPr>
            <w:color w:val="000000"/>
          </w:rPr>
          <w:t xml:space="preserve">materia propinqua / secunda</w:t>
        </w:r>
      </w:hyperlink>
      <w:r>
        <w:rPr>
          <w:b w:val="0"/>
          <w:i w:val="0"/>
        </w:rPr>
        <w:t>.</w:t>
      </w:r>
    </w:p>
    <w:p>
      <w:pPr>
        <w:widowControl/>
      </w:pPr>
      <w:r>
        <w:rPr>
          <w:b/>
          <w:i w:val="0"/>
        </w:rPr>
        <w:t>materia prima.</w:t>
      </w:r>
      <w:r>
        <w:rPr>
          <w:b w:val="0"/>
          <w:i w:val="0"/>
        </w:rPr>
        <w:t xml:space="preserve"> </w:t>
      </w:r>
      <w:hyperlink w:anchor="latin-record-0762">
        <w:r>
          <w:rPr>
            <w:color w:val="000000"/>
          </w:rPr>
          <w:t xml:space="preserve">materia prima</w:t>
        </w:r>
      </w:hyperlink>
      <w:r>
        <w:rPr>
          <w:b w:val="0"/>
          <w:i w:val="0"/>
        </w:rPr>
        <w:t>.</w:t>
      </w:r>
    </w:p>
    <w:p>
      <w:pPr>
        <w:widowControl/>
      </w:pPr>
      <w:r>
        <w:rPr>
          <w:b/>
          <w:i w:val="0"/>
        </w:rPr>
        <w:t>Materia quidem communis.</w:t>
      </w:r>
      <w:r>
        <w:rPr>
          <w:b w:val="0"/>
          <w:i w:val="0"/>
        </w:rPr>
        <w:t xml:space="preserve"> </w:t>
      </w:r>
      <w:hyperlink w:anchor="latin-record-0760">
        <w:r>
          <w:rPr>
            <w:color w:val="000000"/>
          </w:rPr>
          <w:t xml:space="preserve">materia communis / propria</w:t>
        </w:r>
      </w:hyperlink>
      <w:r>
        <w:rPr>
          <w:b w:val="0"/>
          <w:i w:val="0"/>
        </w:rPr>
        <w:t>.</w:t>
      </w:r>
    </w:p>
    <w:p>
      <w:pPr>
        <w:widowControl/>
      </w:pPr>
      <w:r>
        <w:rPr>
          <w:b/>
          <w:i w:val="0"/>
        </w:rPr>
        <w:t>materia spiritalium.</w:t>
      </w:r>
      <w:r>
        <w:rPr>
          <w:b w:val="0"/>
          <w:i w:val="0"/>
        </w:rPr>
        <w:t xml:space="preserve"> </w:t>
      </w:r>
      <w:hyperlink w:anchor="latin-record-0764">
        <w:r>
          <w:rPr>
            <w:color w:val="000000"/>
          </w:rPr>
          <w:t xml:space="preserve">materia spiritalis</w:t>
        </w:r>
      </w:hyperlink>
      <w:r>
        <w:rPr>
          <w:b w:val="0"/>
          <w:i w:val="0"/>
        </w:rPr>
        <w:t>.</w:t>
      </w:r>
    </w:p>
    <w:p>
      <w:pPr>
        <w:widowControl/>
      </w:pPr>
      <w:r>
        <w:rPr>
          <w:b/>
          <w:i w:val="0"/>
        </w:rPr>
        <w:t>materia vero propria.</w:t>
      </w:r>
      <w:r>
        <w:rPr>
          <w:b w:val="0"/>
          <w:i w:val="0"/>
        </w:rPr>
        <w:t xml:space="preserve"> </w:t>
      </w:r>
      <w:hyperlink w:anchor="latin-record-0760">
        <w:r>
          <w:rPr>
            <w:color w:val="000000"/>
          </w:rPr>
          <w:t xml:space="preserve">materia communis / propria</w:t>
        </w:r>
      </w:hyperlink>
      <w:r>
        <w:rPr>
          <w:b w:val="0"/>
          <w:i w:val="0"/>
        </w:rPr>
        <w:t>.</w:t>
      </w:r>
    </w:p>
    <w:p>
      <w:pPr>
        <w:widowControl/>
      </w:pPr>
      <w:r>
        <w:rPr>
          <w:b/>
          <w:i w:val="0"/>
        </w:rPr>
        <w:t>materiae.</w:t>
      </w:r>
      <w:r>
        <w:rPr>
          <w:b w:val="0"/>
          <w:i w:val="0"/>
        </w:rPr>
        <w:t xml:space="preserve"> </w:t>
      </w:r>
      <w:hyperlink w:anchor="latin-record-0713">
        <w:r>
          <w:rPr>
            <w:color w:val="000000"/>
          </w:rPr>
          <w:t xml:space="preserve">liber a materia</w:t>
        </w:r>
      </w:hyperlink>
      <w:r>
        <w:rPr>
          <w:b w:val="0"/>
          <w:i w:val="0"/>
        </w:rPr>
        <w:t xml:space="preserve">; </w:t>
      </w:r>
      <w:hyperlink w:anchor="latin-record-0757">
        <w:r>
          <w:rPr>
            <w:color w:val="000000"/>
          </w:rPr>
          <w:t xml:space="preserve">materia</w:t>
        </w:r>
      </w:hyperlink>
      <w:r>
        <w:rPr>
          <w:b w:val="0"/>
          <w:i w:val="0"/>
        </w:rPr>
        <w:t xml:space="preserve">; </w:t>
      </w:r>
      <w:hyperlink w:anchor="latin-record-0762">
        <w:r>
          <w:rPr>
            <w:color w:val="000000"/>
          </w:rPr>
          <w:t xml:space="preserve">materia prima</w:t>
        </w:r>
      </w:hyperlink>
      <w:r>
        <w:rPr>
          <w:b w:val="0"/>
          <w:i w:val="0"/>
        </w:rPr>
        <w:t>.</w:t>
      </w:r>
    </w:p>
    <w:p>
      <w:pPr>
        <w:widowControl/>
      </w:pPr>
      <w:r>
        <w:rPr>
          <w:b/>
          <w:i w:val="0"/>
        </w:rPr>
        <w:t>materiae insidiis.</w:t>
      </w:r>
      <w:r>
        <w:rPr>
          <w:b w:val="0"/>
          <w:i w:val="0"/>
        </w:rPr>
        <w:t xml:space="preserve"> </w:t>
      </w:r>
      <w:hyperlink w:anchor="latin-record-0649">
        <w:r>
          <w:rPr>
            <w:color w:val="000000"/>
          </w:rPr>
          <w:t xml:space="preserve">insidiae materiae</w:t>
        </w:r>
      </w:hyperlink>
      <w:r>
        <w:rPr>
          <w:b w:val="0"/>
          <w:i w:val="0"/>
        </w:rPr>
        <w:t>.</w:t>
      </w:r>
    </w:p>
    <w:p>
      <w:pPr>
        <w:widowControl/>
      </w:pPr>
      <w:r>
        <w:rPr>
          <w:b/>
          <w:i w:val="0"/>
        </w:rPr>
        <w:t>materiae potentia.</w:t>
      </w:r>
      <w:r>
        <w:rPr>
          <w:b w:val="0"/>
          <w:i w:val="0"/>
        </w:rPr>
        <w:t xml:space="preserve"> </w:t>
      </w:r>
      <w:hyperlink w:anchor="latin-record-0765">
        <w:r>
          <w:rPr>
            <w:color w:val="000000"/>
          </w:rPr>
          <w:t xml:space="preserve">materiae potentia</w:t>
        </w:r>
      </w:hyperlink>
      <w:r>
        <w:rPr>
          <w:b w:val="0"/>
          <w:i w:val="0"/>
        </w:rPr>
        <w:t>.</w:t>
      </w:r>
    </w:p>
    <w:p>
      <w:pPr>
        <w:widowControl/>
      </w:pPr>
      <w:r>
        <w:rPr>
          <w:b/>
          <w:i w:val="0"/>
        </w:rPr>
        <w:t>materialem.</w:t>
      </w:r>
      <w:r>
        <w:rPr>
          <w:b w:val="0"/>
          <w:i w:val="0"/>
        </w:rPr>
        <w:t xml:space="preserve"> </w:t>
      </w:r>
      <w:hyperlink w:anchor="latin-record-0766">
        <w:r>
          <w:rPr>
            <w:color w:val="000000"/>
          </w:rPr>
          <w:t xml:space="preserve">materialis</w:t>
        </w:r>
      </w:hyperlink>
      <w:r>
        <w:rPr>
          <w:b w:val="0"/>
          <w:i w:val="0"/>
        </w:rPr>
        <w:t>.</w:t>
      </w:r>
    </w:p>
    <w:p>
      <w:pPr>
        <w:widowControl/>
      </w:pPr>
      <w:r>
        <w:rPr>
          <w:b/>
          <w:i w:val="0"/>
        </w:rPr>
        <w:t>materialia.</w:t>
      </w:r>
      <w:r>
        <w:rPr>
          <w:b w:val="0"/>
          <w:i w:val="0"/>
        </w:rPr>
        <w:t xml:space="preserve"> </w:t>
      </w:r>
      <w:hyperlink w:anchor="latin-record-0766">
        <w:r>
          <w:rPr>
            <w:color w:val="000000"/>
          </w:rPr>
          <w:t xml:space="preserve">materialis</w:t>
        </w:r>
      </w:hyperlink>
      <w:r>
        <w:rPr>
          <w:b w:val="0"/>
          <w:i w:val="0"/>
        </w:rPr>
        <w:t>.</w:t>
      </w:r>
    </w:p>
    <w:p>
      <w:pPr>
        <w:widowControl/>
      </w:pPr>
      <w:r>
        <w:rPr>
          <w:b/>
          <w:i w:val="0"/>
        </w:rPr>
        <w:t>materialis.</w:t>
      </w:r>
      <w:r>
        <w:rPr>
          <w:b w:val="0"/>
          <w:i w:val="0"/>
        </w:rPr>
        <w:t xml:space="preserve"> </w:t>
      </w:r>
      <w:hyperlink w:anchor="latin-record-0766">
        <w:r>
          <w:rPr>
            <w:color w:val="000000"/>
          </w:rPr>
          <w:t xml:space="preserve">materialis</w:t>
        </w:r>
      </w:hyperlink>
      <w:r>
        <w:rPr>
          <w:b w:val="0"/>
          <w:i w:val="0"/>
        </w:rPr>
        <w:t>.</w:t>
      </w:r>
    </w:p>
    <w:p>
      <w:pPr>
        <w:widowControl/>
      </w:pPr>
      <w:r>
        <w:rPr>
          <w:b/>
          <w:i w:val="0"/>
        </w:rPr>
        <w:t>materiam.</w:t>
      </w:r>
      <w:r>
        <w:rPr>
          <w:b w:val="0"/>
          <w:i w:val="0"/>
        </w:rPr>
        <w:t xml:space="preserve"> </w:t>
      </w:r>
      <w:hyperlink w:anchor="latin-record-0757">
        <w:r>
          <w:rPr>
            <w:color w:val="000000"/>
          </w:rPr>
          <w:t xml:space="preserve">materia</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62">
        <w:r>
          <w:rPr>
            <w:color w:val="000000"/>
          </w:rPr>
          <w:t xml:space="preserve">materia prima</w:t>
        </w:r>
      </w:hyperlink>
      <w:r>
        <w:rPr>
          <w:b w:val="0"/>
          <w:i w:val="0"/>
        </w:rPr>
        <w:t>.</w:t>
      </w:r>
    </w:p>
    <w:p>
      <w:pPr>
        <w:widowControl/>
      </w:pPr>
      <w:r>
        <w:rPr>
          <w:b/>
          <w:i w:val="0"/>
        </w:rPr>
        <w:t>materiam animi spiritalem.</w:t>
      </w:r>
      <w:r>
        <w:rPr>
          <w:b w:val="0"/>
          <w:i w:val="0"/>
        </w:rPr>
        <w:t xml:space="preserve"> </w:t>
      </w:r>
      <w:hyperlink w:anchor="latin-record-0764">
        <w:r>
          <w:rPr>
            <w:color w:val="000000"/>
          </w:rPr>
          <w:t xml:space="preserve">materia spiritalis</w:t>
        </w:r>
      </w:hyperlink>
      <w:r>
        <w:rPr>
          <w:b w:val="0"/>
          <w:i w:val="0"/>
        </w:rPr>
        <w:t>.</w:t>
      </w:r>
    </w:p>
    <w:p>
      <w:pPr>
        <w:widowControl/>
      </w:pPr>
      <w:r>
        <w:rPr>
          <w:b/>
          <w:i w:val="0"/>
        </w:rPr>
        <w:t>materiarum.</w:t>
      </w:r>
      <w:r>
        <w:rPr>
          <w:b w:val="0"/>
          <w:i w:val="0"/>
        </w:rPr>
        <w:t xml:space="preserve"> </w:t>
      </w:r>
      <w:hyperlink w:anchor="latin-record-0757">
        <w:r>
          <w:rPr>
            <w:color w:val="000000"/>
          </w:rPr>
          <w:t xml:space="preserve">materia</w:t>
        </w:r>
      </w:hyperlink>
      <w:r>
        <w:rPr>
          <w:b w:val="0"/>
          <w:i w:val="0"/>
        </w:rPr>
        <w:t>.</w:t>
      </w:r>
    </w:p>
    <w:p>
      <w:pPr>
        <w:widowControl/>
      </w:pPr>
      <w:r>
        <w:rPr>
          <w:b/>
          <w:i w:val="0"/>
        </w:rPr>
        <w:t>mathematici.</w:t>
      </w:r>
      <w:r>
        <w:rPr>
          <w:b w:val="0"/>
          <w:i w:val="0"/>
        </w:rPr>
        <w:t xml:space="preserve"> </w:t>
      </w:r>
      <w:hyperlink w:anchor="latin-record-0767">
        <w:r>
          <w:rPr>
            <w:color w:val="000000"/>
          </w:rPr>
          <w:t xml:space="preserve">mathematici / circulus / planum</w:t>
        </w:r>
      </w:hyperlink>
      <w:r>
        <w:rPr>
          <w:b w:val="0"/>
          <w:i w:val="0"/>
        </w:rPr>
        <w:t>.</w:t>
      </w:r>
    </w:p>
    <w:p>
      <w:pPr>
        <w:widowControl/>
      </w:pPr>
      <w:r>
        <w:rPr>
          <w:b/>
          <w:i w:val="0"/>
        </w:rPr>
        <w:t>maxime quae sunt.</w:t>
      </w:r>
      <w:r>
        <w:rPr>
          <w:b w:val="0"/>
          <w:i w:val="0"/>
        </w:rPr>
        <w:t xml:space="preserve"> </w:t>
      </w:r>
      <w:hyperlink w:anchor="latin-record-0768">
        <w:r>
          <w:rPr>
            <w:color w:val="000000"/>
          </w:rPr>
          <w:t xml:space="preserve">maxime quae sunt</w:t>
        </w:r>
      </w:hyperlink>
      <w:r>
        <w:rPr>
          <w:b w:val="0"/>
          <w:i w:val="0"/>
        </w:rPr>
        <w:t>.</w:t>
      </w:r>
    </w:p>
    <w:p>
      <w:pPr>
        <w:widowControl/>
      </w:pPr>
      <w:r>
        <w:rPr>
          <w:b/>
          <w:i w:val="0"/>
        </w:rPr>
        <w:t>medelam.</w:t>
      </w:r>
      <w:r>
        <w:rPr>
          <w:b w:val="0"/>
          <w:i w:val="0"/>
        </w:rPr>
        <w:t xml:space="preserve"> </w:t>
      </w:r>
      <w:hyperlink w:anchor="latin-record-1254">
        <w:r>
          <w:rPr>
            <w:color w:val="000000"/>
          </w:rPr>
          <w:t xml:space="preserve">succurrere / medela</w:t>
        </w:r>
      </w:hyperlink>
      <w:r>
        <w:rPr>
          <w:b w:val="0"/>
          <w:i w:val="0"/>
        </w:rPr>
        <w:t>.</w:t>
      </w:r>
    </w:p>
    <w:p>
      <w:pPr>
        <w:widowControl/>
      </w:pPr>
      <w:r>
        <w:rPr>
          <w:b/>
          <w:i w:val="0"/>
        </w:rPr>
        <w:t>medicus.</w:t>
      </w:r>
      <w:r>
        <w:rPr>
          <w:b w:val="0"/>
          <w:i w:val="0"/>
        </w:rPr>
        <w:t xml:space="preserve"> </w:t>
      </w:r>
      <w:hyperlink w:anchor="latin-record-0769">
        <w:r>
          <w:rPr>
            <w:color w:val="000000"/>
          </w:rPr>
          <w:t xml:space="preserve">medicus / cutis / caro</w:t>
        </w:r>
      </w:hyperlink>
      <w:r>
        <w:rPr>
          <w:b w:val="0"/>
          <w:i w:val="0"/>
        </w:rPr>
        <w:t>.</w:t>
      </w:r>
    </w:p>
    <w:p>
      <w:pPr>
        <w:widowControl/>
      </w:pPr>
      <w:r>
        <w:rPr>
          <w:b/>
          <w:i w:val="0"/>
        </w:rPr>
        <w:t>medio.</w:t>
      </w:r>
      <w:r>
        <w:rPr>
          <w:b w:val="0"/>
          <w:i w:val="0"/>
        </w:rPr>
        <w:t xml:space="preserve"> </w:t>
      </w:r>
      <w:hyperlink w:anchor="latin-record-0771">
        <w:r>
          <w:rPr>
            <w:color w:val="000000"/>
          </w:rPr>
          <w:t xml:space="preserve">medium</w:t>
        </w:r>
      </w:hyperlink>
      <w:r>
        <w:rPr>
          <w:b w:val="0"/>
          <w:i w:val="0"/>
        </w:rPr>
        <w:t>.</w:t>
      </w:r>
    </w:p>
    <w:p>
      <w:pPr>
        <w:widowControl/>
      </w:pPr>
      <w:r>
        <w:rPr>
          <w:b/>
          <w:i w:val="0"/>
        </w:rPr>
        <w:t>mediocriter.</w:t>
      </w:r>
      <w:r>
        <w:rPr>
          <w:b w:val="0"/>
          <w:i w:val="0"/>
        </w:rPr>
        <w:t xml:space="preserve"> </w:t>
      </w:r>
      <w:hyperlink w:anchor="latin-record-0770">
        <w:r>
          <w:rPr>
            <w:color w:val="000000"/>
          </w:rPr>
          <w:t xml:space="preserve">mediocriter / gravari / languescere / aegrotare</w:t>
        </w:r>
      </w:hyperlink>
      <w:r>
        <w:rPr>
          <w:b w:val="0"/>
          <w:i w:val="0"/>
        </w:rPr>
        <w:t>.</w:t>
      </w:r>
    </w:p>
    <w:p>
      <w:pPr>
        <w:widowControl/>
      </w:pPr>
      <w:r>
        <w:rPr>
          <w:b/>
          <w:i w:val="0"/>
        </w:rPr>
        <w:t>medium.</w:t>
      </w:r>
      <w:r>
        <w:rPr>
          <w:b w:val="0"/>
          <w:i w:val="0"/>
        </w:rPr>
        <w:t xml:space="preserve"> </w:t>
      </w:r>
      <w:hyperlink w:anchor="latin-record-0325">
        <w:r>
          <w:rPr>
            <w:color w:val="000000"/>
          </w:rPr>
          <w:t xml:space="preserve">contrariae qualitates / medium</w:t>
        </w:r>
      </w:hyperlink>
      <w:r>
        <w:rPr>
          <w:b w:val="0"/>
          <w:i w:val="0"/>
        </w:rPr>
        <w:t xml:space="preserve">; </w:t>
      </w:r>
      <w:hyperlink w:anchor="latin-record-0771">
        <w:r>
          <w:rPr>
            <w:color w:val="000000"/>
          </w:rPr>
          <w:t xml:space="preserve">medium</w:t>
        </w:r>
      </w:hyperlink>
      <w:r>
        <w:rPr>
          <w:b w:val="0"/>
          <w:i w:val="0"/>
        </w:rPr>
        <w:t xml:space="preserve">; </w:t>
      </w:r>
      <w:hyperlink w:anchor="latin-record-1306">
        <w:r>
          <w:rPr>
            <w:color w:val="000000"/>
          </w:rPr>
          <w:t xml:space="preserve">tria puncta / medium / extrema</w:t>
        </w:r>
      </w:hyperlink>
      <w:r>
        <w:rPr>
          <w:b w:val="0"/>
          <w:i w:val="0"/>
        </w:rPr>
        <w:t>.</w:t>
      </w:r>
    </w:p>
    <w:p>
      <w:pPr>
        <w:widowControl/>
      </w:pPr>
      <w:r>
        <w:rPr>
          <w:b/>
          <w:i w:val="0"/>
        </w:rPr>
        <w:t>medius.</w:t>
      </w:r>
      <w:r>
        <w:rPr>
          <w:b w:val="0"/>
          <w:i w:val="0"/>
        </w:rPr>
        <w:t xml:space="preserve"> </w:t>
      </w:r>
      <w:hyperlink w:anchor="latin-record-0771">
        <w:r>
          <w:rPr>
            <w:color w:val="000000"/>
          </w:rPr>
          <w:t xml:space="preserve">medium</w:t>
        </w:r>
      </w:hyperlink>
      <w:r>
        <w:rPr>
          <w:b w:val="0"/>
          <w:i w:val="0"/>
        </w:rPr>
        <w:t>.</w:t>
      </w:r>
    </w:p>
    <w:p>
      <w:pPr>
        <w:widowControl/>
      </w:pPr>
      <w:r>
        <w:rPr>
          <w:b/>
          <w:i w:val="0"/>
        </w:rPr>
        <w:t>melior.</w:t>
      </w:r>
      <w:r>
        <w:rPr>
          <w:b w:val="0"/>
          <w:i w:val="0"/>
        </w:rPr>
        <w:t xml:space="preserve"> </w:t>
      </w:r>
      <w:hyperlink w:anchor="latin-record-0972">
        <w:r>
          <w:rPr>
            <w:color w:val="000000"/>
          </w:rPr>
          <w:t xml:space="preserve">potentior / melior</w:t>
        </w:r>
      </w:hyperlink>
      <w:r>
        <w:rPr>
          <w:b w:val="0"/>
          <w:i w:val="0"/>
        </w:rPr>
        <w:t>.</w:t>
      </w:r>
    </w:p>
    <w:p>
      <w:pPr>
        <w:widowControl/>
      </w:pPr>
      <w:r>
        <w:rPr>
          <w:b/>
          <w:i w:val="0"/>
        </w:rPr>
        <w:t>meliora.</w:t>
      </w:r>
      <w:r>
        <w:rPr>
          <w:b w:val="0"/>
          <w:i w:val="0"/>
        </w:rPr>
        <w:t xml:space="preserve"> </w:t>
      </w:r>
      <w:hyperlink w:anchor="latin-record-0972">
        <w:r>
          <w:rPr>
            <w:color w:val="000000"/>
          </w:rPr>
          <w:t xml:space="preserve">potentior / melior</w:t>
        </w:r>
      </w:hyperlink>
      <w:r>
        <w:rPr>
          <w:b w:val="0"/>
          <w:i w:val="0"/>
        </w:rPr>
        <w:t>.</w:t>
      </w:r>
    </w:p>
    <w:p>
      <w:pPr>
        <w:widowControl/>
      </w:pPr>
      <w:r>
        <w:rPr>
          <w:b/>
          <w:i w:val="0"/>
        </w:rPr>
        <w:t>melius.</w:t>
      </w:r>
      <w:r>
        <w:rPr>
          <w:b w:val="0"/>
          <w:i w:val="0"/>
        </w:rPr>
        <w:t xml:space="preserve"> </w:t>
      </w:r>
      <w:hyperlink w:anchor="latin-record-0972">
        <w:r>
          <w:rPr>
            <w:color w:val="000000"/>
          </w:rPr>
          <w:t xml:space="preserve">potentior / melior</w:t>
        </w:r>
      </w:hyperlink>
      <w:r>
        <w:rPr>
          <w:b w:val="0"/>
          <w:i w:val="0"/>
        </w:rPr>
        <w:t>.</w:t>
      </w:r>
    </w:p>
    <w:p>
      <w:pPr>
        <w:widowControl/>
      </w:pPr>
      <w:r>
        <w:rPr>
          <w:b/>
          <w:i w:val="0"/>
        </w:rPr>
        <w:t>membra.</w:t>
      </w:r>
      <w:r>
        <w:rPr>
          <w:b w:val="0"/>
          <w:i w:val="0"/>
        </w:rPr>
        <w:t xml:space="preserve"> </w:t>
      </w:r>
      <w:hyperlink w:anchor="latin-record-0193">
        <w:r>
          <w:rPr>
            <w:color w:val="000000"/>
          </w:rPr>
          <w:t xml:space="preserve">caput / membrum</w:t>
        </w:r>
      </w:hyperlink>
      <w:r>
        <w:rPr>
          <w:b w:val="0"/>
          <w:i w:val="0"/>
        </w:rPr>
        <w:t xml:space="preserve">; </w:t>
      </w:r>
      <w:hyperlink w:anchor="latin-record-0772">
        <w:r>
          <w:rPr>
            <w:color w:val="000000"/>
          </w:rPr>
          <w:t xml:space="preserve">membrum</w:t>
        </w:r>
      </w:hyperlink>
      <w:r>
        <w:rPr>
          <w:b w:val="0"/>
          <w:i w:val="0"/>
        </w:rPr>
        <w:t xml:space="preserve">; </w:t>
      </w:r>
      <w:hyperlink w:anchor="latin-record-0773">
        <w:r>
          <w:rPr>
            <w:color w:val="000000"/>
          </w:rPr>
          <w:t xml:space="preserve">membrum / particula</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membris.</w:t>
      </w:r>
      <w:r>
        <w:rPr>
          <w:b w:val="0"/>
          <w:i w:val="0"/>
        </w:rPr>
        <w:t xml:space="preserve"> </w:t>
      </w:r>
      <w:hyperlink w:anchor="latin-record-0193">
        <w:r>
          <w:rPr>
            <w:color w:val="000000"/>
          </w:rPr>
          <w:t xml:space="preserve">caput / membrum</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773">
        <w:r>
          <w:rPr>
            <w:color w:val="000000"/>
          </w:rPr>
          <w:t xml:space="preserve">membrum / particula</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membris sectis.</w:t>
      </w:r>
      <w:r>
        <w:rPr>
          <w:b w:val="0"/>
          <w:i w:val="0"/>
        </w:rPr>
        <w:t xml:space="preserve"> </w:t>
      </w:r>
      <w:hyperlink w:anchor="latin-record-0528">
        <w:r>
          <w:rPr>
            <w:color w:val="000000"/>
          </w:rPr>
          <w:t xml:space="preserve">frustum; secare</w:t>
        </w:r>
      </w:hyperlink>
      <w:r>
        <w:rPr>
          <w:b w:val="0"/>
          <w:i w:val="0"/>
        </w:rPr>
        <w:t>.</w:t>
      </w:r>
    </w:p>
    <w:p>
      <w:pPr>
        <w:widowControl/>
      </w:pPr>
      <w:r>
        <w:rPr>
          <w:b/>
          <w:i w:val="0"/>
        </w:rPr>
        <w:t>membro.</w:t>
      </w:r>
      <w:r>
        <w:rPr>
          <w:b w:val="0"/>
          <w:i w:val="0"/>
        </w:rPr>
        <w:t xml:space="preserve"> </w:t>
      </w:r>
      <w:hyperlink w:anchor="latin-record-0407">
        <w:r>
          <w:rPr>
            <w:color w:val="000000"/>
          </w:rPr>
          <w:t xml:space="preserve">divisio / membrum</w:t>
        </w:r>
      </w:hyperlink>
      <w:r>
        <w:rPr>
          <w:b w:val="0"/>
          <w:i w:val="0"/>
        </w:rPr>
        <w:t xml:space="preserve">; </w:t>
      </w:r>
      <w:hyperlink w:anchor="latin-record-0773">
        <w:r>
          <w:rPr>
            <w:color w:val="000000"/>
          </w:rPr>
          <w:t xml:space="preserve">membrum / particula</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membrorum.</w:t>
      </w:r>
      <w:r>
        <w:rPr>
          <w:b w:val="0"/>
          <w:i w:val="0"/>
        </w:rPr>
        <w:t xml:space="preserve"> </w:t>
      </w:r>
      <w:hyperlink w:anchor="latin-record-0573">
        <w:r>
          <w:rPr>
            <w:color w:val="000000"/>
          </w:rPr>
          <w:t xml:space="preserve">humor; membrum; spiritus</w:t>
        </w:r>
      </w:hyperlink>
      <w:r>
        <w:rPr>
          <w:b w:val="0"/>
          <w:i w:val="0"/>
        </w:rPr>
        <w:t xml:space="preserve">; </w:t>
      </w:r>
      <w:hyperlink w:anchor="latin-record-0772">
        <w:r>
          <w:rPr>
            <w:color w:val="000000"/>
          </w:rPr>
          <w:t xml:space="preserve">membrum</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membrum.</w:t>
      </w:r>
      <w:r>
        <w:rPr>
          <w:b w:val="0"/>
          <w:i w:val="0"/>
        </w:rPr>
        <w:t xml:space="preserve"> </w:t>
      </w:r>
      <w:hyperlink w:anchor="latin-record-0407">
        <w:r>
          <w:rPr>
            <w:color w:val="000000"/>
          </w:rPr>
          <w:t xml:space="preserve">divisio / membrum</w:t>
        </w:r>
      </w:hyperlink>
      <w:r>
        <w:rPr>
          <w:b w:val="0"/>
          <w:i w:val="0"/>
        </w:rPr>
        <w:t xml:space="preserve">; </w:t>
      </w:r>
      <w:hyperlink w:anchor="latin-record-0772">
        <w:r>
          <w:rPr>
            <w:color w:val="000000"/>
          </w:rPr>
          <w:t xml:space="preserve">membrum</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memoria.</w:t>
      </w:r>
      <w:r>
        <w:rPr>
          <w:b w:val="0"/>
          <w:i w:val="0"/>
        </w:rPr>
        <w:t xml:space="preserve"> </w:t>
      </w:r>
      <w:hyperlink w:anchor="latin-record-0775">
        <w:r>
          <w:rPr>
            <w:color w:val="000000"/>
          </w:rPr>
          <w:t xml:space="preserve">memoria; agnoscere</w:t>
        </w:r>
      </w:hyperlink>
      <w:r>
        <w:rPr>
          <w:b w:val="0"/>
          <w:i w:val="0"/>
        </w:rPr>
        <w:t xml:space="preserve">; </w:t>
      </w:r>
      <w:hyperlink w:anchor="latin-record-1282">
        <w:r>
          <w:rPr>
            <w:color w:val="000000"/>
          </w:rPr>
          <w:t xml:space="preserve">tenere / memoria</w:t>
        </w:r>
      </w:hyperlink>
      <w:r>
        <w:rPr>
          <w:b w:val="0"/>
          <w:i w:val="0"/>
        </w:rPr>
        <w:t>.</w:t>
      </w:r>
    </w:p>
    <w:p>
      <w:pPr>
        <w:widowControl/>
      </w:pPr>
      <w:r>
        <w:rPr>
          <w:b/>
          <w:i w:val="0"/>
        </w:rPr>
        <w:t>memoriam.</w:t>
      </w:r>
      <w:r>
        <w:rPr>
          <w:b w:val="0"/>
          <w:i w:val="0"/>
        </w:rPr>
        <w:t xml:space="preserve"> </w:t>
      </w:r>
      <w:hyperlink w:anchor="latin-record-0774">
        <w:r>
          <w:rPr>
            <w:color w:val="000000"/>
          </w:rPr>
          <w:t xml:space="preserve">memoria / expectatio</w:t>
        </w:r>
      </w:hyperlink>
      <w:r>
        <w:rPr>
          <w:b w:val="0"/>
          <w:i w:val="0"/>
        </w:rPr>
        <w:t xml:space="preserve">; </w:t>
      </w:r>
      <w:hyperlink w:anchor="latin-record-1282">
        <w:r>
          <w:rPr>
            <w:color w:val="000000"/>
          </w:rPr>
          <w:t xml:space="preserve">tenere / memoria</w:t>
        </w:r>
      </w:hyperlink>
      <w:r>
        <w:rPr>
          <w:b w:val="0"/>
          <w:i w:val="0"/>
        </w:rPr>
        <w:t>.</w:t>
      </w:r>
    </w:p>
    <w:p>
      <w:pPr>
        <w:widowControl/>
      </w:pPr>
      <w:r>
        <w:rPr>
          <w:b/>
          <w:i w:val="0"/>
        </w:rPr>
        <w:t>mens.</w:t>
      </w:r>
      <w:r>
        <w:rPr>
          <w:b w:val="0"/>
          <w:i w:val="0"/>
        </w:rPr>
        <w:t xml:space="preserve"> </w:t>
      </w:r>
      <w:hyperlink w:anchor="latin-record-0078">
        <w:r>
          <w:rPr>
            <w:color w:val="000000"/>
          </w:rPr>
          <w:t xml:space="preserve">amens / mens</w:t>
        </w:r>
      </w:hyperlink>
      <w:r>
        <w:rPr>
          <w:b w:val="0"/>
          <w:i w:val="0"/>
        </w:rPr>
        <w:t xml:space="preserve">; </w:t>
      </w:r>
      <w:hyperlink w:anchor="latin-record-0447">
        <w:r>
          <w:rPr>
            <w:color w:val="000000"/>
          </w:rPr>
          <w:t xml:space="preserve">essentia–vita–mens</w:t>
        </w:r>
      </w:hyperlink>
      <w:r>
        <w:rPr>
          <w:b w:val="0"/>
          <w:i w:val="0"/>
        </w:rPr>
        <w:t xml:space="preserve">; </w:t>
      </w:r>
      <w:hyperlink w:anchor="latin-record-0777">
        <w:r>
          <w:rPr>
            <w:color w:val="000000"/>
          </w:rPr>
          <w:t xml:space="preserve">mens</w:t>
        </w:r>
      </w:hyperlink>
      <w:r>
        <w:rPr>
          <w:b w:val="0"/>
          <w:i w:val="0"/>
        </w:rPr>
        <w:t>.</w:t>
      </w:r>
    </w:p>
    <w:p>
      <w:pPr>
        <w:widowControl/>
      </w:pPr>
      <w:r>
        <w:rPr>
          <w:b/>
          <w:i w:val="0"/>
        </w:rPr>
        <w:t>Mens.</w:t>
      </w:r>
      <w:r>
        <w:rPr>
          <w:b w:val="0"/>
          <w:i w:val="0"/>
        </w:rPr>
        <w:t xml:space="preserve"> </w:t>
      </w:r>
      <w:hyperlink w:anchor="latin-record-0447">
        <w:r>
          <w:rPr>
            <w:color w:val="000000"/>
          </w:rPr>
          <w:t xml:space="preserve">essentia–vita–mens</w:t>
        </w:r>
      </w:hyperlink>
      <w:r>
        <w:rPr>
          <w:b w:val="0"/>
          <w:i w:val="0"/>
        </w:rPr>
        <w:t xml:space="preserve">; </w:t>
      </w:r>
      <w:hyperlink w:anchor="latin-record-0777">
        <w:r>
          <w:rPr>
            <w:color w:val="000000"/>
          </w:rPr>
          <w:t xml:space="preserve">mens</w:t>
        </w:r>
      </w:hyperlink>
      <w:r>
        <w:rPr>
          <w:b w:val="0"/>
          <w:i w:val="0"/>
        </w:rPr>
        <w:t>.</w:t>
      </w:r>
    </w:p>
    <w:p>
      <w:pPr>
        <w:widowControl/>
      </w:pPr>
      <w:r>
        <w:rPr>
          <w:b/>
          <w:i w:val="0"/>
        </w:rPr>
        <w:t>mensura.</w:t>
      </w:r>
      <w:r>
        <w:rPr>
          <w:b w:val="0"/>
          <w:i w:val="0"/>
        </w:rPr>
        <w:t xml:space="preserve"> </w:t>
      </w:r>
      <w:hyperlink w:anchor="latin-record-0779">
        <w:r>
          <w:rPr>
            <w:color w:val="000000"/>
          </w:rPr>
          <w:t xml:space="preserve">mensura / magnitudo</w:t>
        </w:r>
      </w:hyperlink>
      <w:r>
        <w:rPr>
          <w:b w:val="0"/>
          <w:i w:val="0"/>
        </w:rPr>
        <w:t>.</w:t>
      </w:r>
    </w:p>
    <w:p>
      <w:pPr>
        <w:widowControl/>
      </w:pPr>
      <w:r>
        <w:rPr>
          <w:b/>
          <w:i w:val="0"/>
        </w:rPr>
        <w:t>mensurae.</w:t>
      </w:r>
      <w:r>
        <w:rPr>
          <w:b w:val="0"/>
          <w:i w:val="0"/>
        </w:rPr>
        <w:t xml:space="preserve"> </w:t>
      </w:r>
      <w:hyperlink w:anchor="latin-record-0779">
        <w:r>
          <w:rPr>
            <w:color w:val="000000"/>
          </w:rPr>
          <w:t xml:space="preserve">mensura / magnitudo</w:t>
        </w:r>
      </w:hyperlink>
      <w:r>
        <w:rPr>
          <w:b w:val="0"/>
          <w:i w:val="0"/>
        </w:rPr>
        <w:t>.</w:t>
      </w:r>
    </w:p>
    <w:p>
      <w:pPr>
        <w:widowControl/>
      </w:pPr>
      <w:r>
        <w:rPr>
          <w:b/>
          <w:i w:val="0"/>
        </w:rPr>
        <w:t>mensuram.</w:t>
      </w:r>
      <w:r>
        <w:rPr>
          <w:b w:val="0"/>
          <w:i w:val="0"/>
        </w:rPr>
        <w:t xml:space="preserve"> </w:t>
      </w:r>
      <w:hyperlink w:anchor="latin-record-0780">
        <w:r>
          <w:rPr>
            <w:color w:val="000000"/>
          </w:rPr>
          <w:t xml:space="preserve">mensura / metiri / proportio / aequare</w:t>
        </w:r>
      </w:hyperlink>
      <w:r>
        <w:rPr>
          <w:b w:val="0"/>
          <w:i w:val="0"/>
        </w:rPr>
        <w:t>.</w:t>
      </w:r>
    </w:p>
    <w:p>
      <w:pPr>
        <w:widowControl/>
      </w:pPr>
      <w:r>
        <w:rPr>
          <w:b/>
          <w:i w:val="0"/>
        </w:rPr>
        <w:t>mente.</w:t>
      </w:r>
      <w:r>
        <w:rPr>
          <w:b w:val="0"/>
          <w:i w:val="0"/>
        </w:rPr>
        <w:t xml:space="preserve"> </w:t>
      </w:r>
      <w:hyperlink w:anchor="latin-record-0777">
        <w:r>
          <w:rPr>
            <w:color w:val="000000"/>
          </w:rPr>
          <w:t xml:space="preserve">mens</w:t>
        </w:r>
      </w:hyperlink>
      <w:r>
        <w:rPr>
          <w:b w:val="0"/>
          <w:i w:val="0"/>
        </w:rPr>
        <w:t>.</w:t>
      </w:r>
    </w:p>
    <w:p>
      <w:pPr>
        <w:widowControl/>
      </w:pPr>
      <w:r>
        <w:rPr>
          <w:b/>
          <w:i w:val="0"/>
        </w:rPr>
        <w:t>mentem.</w:t>
      </w:r>
      <w:r>
        <w:rPr>
          <w:b w:val="0"/>
          <w:i w:val="0"/>
        </w:rPr>
        <w:t xml:space="preserve"> </w:t>
      </w:r>
      <w:hyperlink w:anchor="latin-record-0777">
        <w:r>
          <w:rPr>
            <w:color w:val="000000"/>
          </w:rPr>
          <w:t xml:space="preserve">mens</w:t>
        </w:r>
      </w:hyperlink>
      <w:r>
        <w:rPr>
          <w:b w:val="0"/>
          <w:i w:val="0"/>
        </w:rPr>
        <w:t>.</w:t>
      </w:r>
    </w:p>
    <w:p>
      <w:pPr>
        <w:widowControl/>
      </w:pPr>
      <w:r>
        <w:rPr>
          <w:b/>
          <w:i w:val="0"/>
        </w:rPr>
        <w:t>mentes.</w:t>
      </w:r>
      <w:r>
        <w:rPr>
          <w:b w:val="0"/>
          <w:i w:val="0"/>
        </w:rPr>
        <w:t xml:space="preserve"> </w:t>
      </w:r>
      <w:hyperlink w:anchor="latin-record-0777">
        <w:r>
          <w:rPr>
            <w:color w:val="000000"/>
          </w:rPr>
          <w:t xml:space="preserve">mens</w:t>
        </w:r>
      </w:hyperlink>
      <w:r>
        <w:rPr>
          <w:b w:val="0"/>
          <w:i w:val="0"/>
        </w:rPr>
        <w:t>.</w:t>
      </w:r>
    </w:p>
    <w:p>
      <w:pPr>
        <w:widowControl/>
      </w:pPr>
      <w:r>
        <w:rPr>
          <w:b/>
          <w:i w:val="0"/>
        </w:rPr>
        <w:t>menti.</w:t>
      </w:r>
      <w:r>
        <w:rPr>
          <w:b w:val="0"/>
          <w:i w:val="0"/>
        </w:rPr>
        <w:t xml:space="preserve"> </w:t>
      </w:r>
      <w:hyperlink w:anchor="latin-record-0777">
        <w:r>
          <w:rPr>
            <w:color w:val="000000"/>
          </w:rPr>
          <w:t xml:space="preserve">mens</w:t>
        </w:r>
      </w:hyperlink>
      <w:r>
        <w:rPr>
          <w:b w:val="0"/>
          <w:i w:val="0"/>
        </w:rPr>
        <w:t xml:space="preserve">; </w:t>
      </w:r>
      <w:hyperlink w:anchor="latin-record-0778">
        <w:r>
          <w:rPr>
            <w:color w:val="000000"/>
          </w:rPr>
          <w:t xml:space="preserve">mens (additional inflections)</w:t>
        </w:r>
      </w:hyperlink>
      <w:r>
        <w:rPr>
          <w:b w:val="0"/>
          <w:i w:val="0"/>
        </w:rPr>
        <w:t>.</w:t>
      </w:r>
    </w:p>
    <w:p>
      <w:pPr>
        <w:widowControl/>
      </w:pPr>
      <w:r>
        <w:rPr>
          <w:b/>
          <w:i w:val="0"/>
        </w:rPr>
        <w:t>mentibus.</w:t>
      </w:r>
      <w:r>
        <w:rPr>
          <w:b w:val="0"/>
          <w:i w:val="0"/>
        </w:rPr>
        <w:t xml:space="preserve"> </w:t>
      </w:r>
      <w:hyperlink w:anchor="latin-record-0777">
        <w:r>
          <w:rPr>
            <w:color w:val="000000"/>
          </w:rPr>
          <w:t xml:space="preserve">mens</w:t>
        </w:r>
      </w:hyperlink>
      <w:r>
        <w:rPr>
          <w:b w:val="0"/>
          <w:i w:val="0"/>
        </w:rPr>
        <w:t>.</w:t>
      </w:r>
    </w:p>
    <w:p>
      <w:pPr>
        <w:widowControl/>
      </w:pPr>
      <w:r>
        <w:rPr>
          <w:b/>
          <w:i w:val="0"/>
        </w:rPr>
        <w:t>mentis.</w:t>
      </w:r>
      <w:r>
        <w:rPr>
          <w:b w:val="0"/>
          <w:i w:val="0"/>
        </w:rPr>
        <w:t xml:space="preserve"> </w:t>
      </w:r>
      <w:hyperlink w:anchor="latin-record-0777">
        <w:r>
          <w:rPr>
            <w:color w:val="000000"/>
          </w:rPr>
          <w:t xml:space="preserve">mens</w:t>
        </w:r>
      </w:hyperlink>
      <w:r>
        <w:rPr>
          <w:b w:val="0"/>
          <w:i w:val="0"/>
        </w:rPr>
        <w:t>.</w:t>
      </w:r>
    </w:p>
    <w:p>
      <w:pPr>
        <w:widowControl/>
      </w:pPr>
      <w:r>
        <w:rPr>
          <w:b/>
          <w:i w:val="0"/>
        </w:rPr>
        <w:t>mentis nostrae.</w:t>
      </w:r>
      <w:r>
        <w:rPr>
          <w:b w:val="0"/>
          <w:i w:val="0"/>
        </w:rPr>
        <w:t xml:space="preserve"> </w:t>
      </w:r>
      <w:hyperlink w:anchor="latin-record-0755">
        <w:r>
          <w:rPr>
            <w:color w:val="000000"/>
          </w:rPr>
          <w:t xml:space="preserve">manus mentis</w:t>
        </w:r>
      </w:hyperlink>
      <w:r>
        <w:rPr>
          <w:b w:val="0"/>
          <w:i w:val="0"/>
        </w:rPr>
        <w:t>.</w:t>
      </w:r>
    </w:p>
    <w:p>
      <w:pPr>
        <w:widowControl/>
      </w:pPr>
      <w:r>
        <w:rPr>
          <w:b/>
          <w:i w:val="0"/>
        </w:rPr>
        <w:t>mentis obiectum.</w:t>
      </w:r>
      <w:r>
        <w:rPr>
          <w:b w:val="0"/>
          <w:i w:val="0"/>
        </w:rPr>
        <w:t xml:space="preserve"> </w:t>
      </w:r>
      <w:hyperlink w:anchor="latin-record-0852">
        <w:r>
          <w:rPr>
            <w:color w:val="000000"/>
          </w:rPr>
          <w:t xml:space="preserve">obiectum</w:t>
        </w:r>
      </w:hyperlink>
      <w:r>
        <w:rPr>
          <w:b w:val="0"/>
          <w:i w:val="0"/>
        </w:rPr>
        <w:t>.</w:t>
      </w:r>
    </w:p>
    <w:p>
      <w:pPr>
        <w:widowControl/>
      </w:pPr>
      <w:r>
        <w:rPr>
          <w:b/>
          <w:i w:val="0"/>
        </w:rPr>
        <w:t>mentium.</w:t>
      </w:r>
      <w:r>
        <w:rPr>
          <w:b w:val="0"/>
          <w:i w:val="0"/>
        </w:rPr>
        <w:t xml:space="preserve"> </w:t>
      </w:r>
      <w:hyperlink w:anchor="latin-record-0777">
        <w:r>
          <w:rPr>
            <w:color w:val="000000"/>
          </w:rPr>
          <w:t xml:space="preserve">mens</w:t>
        </w:r>
      </w:hyperlink>
      <w:r>
        <w:rPr>
          <w:b w:val="0"/>
          <w:i w:val="0"/>
        </w:rPr>
        <w:t>.</w:t>
      </w:r>
    </w:p>
    <w:p>
      <w:pPr>
        <w:widowControl/>
      </w:pPr>
      <w:r>
        <w:rPr>
          <w:b/>
          <w:i w:val="0"/>
        </w:rPr>
        <w:t>mera forma.</w:t>
      </w:r>
      <w:r>
        <w:rPr>
          <w:b w:val="0"/>
          <w:i w:val="0"/>
        </w:rPr>
        <w:t xml:space="preserve"> </w:t>
      </w:r>
      <w:hyperlink w:anchor="latin-record-0781">
        <w:r>
          <w:rPr>
            <w:color w:val="000000"/>
          </w:rPr>
          <w:t xml:space="preserve">mera forma</w:t>
        </w:r>
      </w:hyperlink>
      <w:r>
        <w:rPr>
          <w:b w:val="0"/>
          <w:i w:val="0"/>
        </w:rPr>
        <w:t>.</w:t>
      </w:r>
    </w:p>
    <w:p>
      <w:pPr>
        <w:widowControl/>
      </w:pPr>
      <w:r>
        <w:rPr>
          <w:b/>
          <w:i w:val="0"/>
        </w:rPr>
        <w:t>mera quaedam forma.</w:t>
      </w:r>
      <w:r>
        <w:rPr>
          <w:b w:val="0"/>
          <w:i w:val="0"/>
        </w:rPr>
        <w:t xml:space="preserve"> </w:t>
      </w:r>
      <w:hyperlink w:anchor="latin-record-0781">
        <w:r>
          <w:rPr>
            <w:color w:val="000000"/>
          </w:rPr>
          <w:t xml:space="preserve">mera forma</w:t>
        </w:r>
      </w:hyperlink>
      <w:r>
        <w:rPr>
          <w:b w:val="0"/>
          <w:i w:val="0"/>
        </w:rPr>
        <w:t>.</w:t>
      </w:r>
    </w:p>
    <w:p>
      <w:pPr>
        <w:widowControl/>
      </w:pPr>
      <w:r>
        <w:rPr>
          <w:b/>
          <w:i w:val="0"/>
        </w:rPr>
        <w:t>Mercurius.</w:t>
      </w:r>
      <w:r>
        <w:rPr>
          <w:b w:val="0"/>
          <w:i w:val="0"/>
        </w:rPr>
        <w:t xml:space="preserve"> </w:t>
      </w:r>
      <w:hyperlink w:anchor="latin-record-0997">
        <w:r>
          <w:rPr>
            <w:color w:val="000000"/>
          </w:rPr>
          <w:t xml:space="preserve">prisci theologi</w:t>
        </w:r>
      </w:hyperlink>
      <w:r>
        <w:rPr>
          <w:b w:val="0"/>
          <w:i w:val="0"/>
        </w:rPr>
        <w:t>.</w:t>
      </w:r>
    </w:p>
    <w:p>
      <w:pPr>
        <w:widowControl/>
      </w:pPr>
      <w:r>
        <w:rPr>
          <w:b/>
          <w:i w:val="0"/>
        </w:rPr>
        <w:t>mergitur.</w:t>
      </w:r>
      <w:r>
        <w:rPr>
          <w:b w:val="0"/>
          <w:i w:val="0"/>
        </w:rPr>
        <w:t xml:space="preserve"> </w:t>
      </w:r>
      <w:hyperlink w:anchor="latin-record-0782">
        <w:r>
          <w:rPr>
            <w:color w:val="000000"/>
          </w:rPr>
          <w:t xml:space="preserve">mergere; suffocare</w:t>
        </w:r>
      </w:hyperlink>
      <w:r>
        <w:rPr>
          <w:b w:val="0"/>
          <w:i w:val="0"/>
        </w:rPr>
        <w:t>.</w:t>
      </w:r>
    </w:p>
    <w:p>
      <w:pPr>
        <w:widowControl/>
      </w:pPr>
      <w:r>
        <w:rPr>
          <w:b/>
          <w:i w:val="0"/>
        </w:rPr>
        <w:t>mersum.</w:t>
      </w:r>
      <w:r>
        <w:rPr>
          <w:b w:val="0"/>
          <w:i w:val="0"/>
        </w:rPr>
        <w:t xml:space="preserve"> </w:t>
      </w:r>
      <w:hyperlink w:anchor="latin-record-0783">
        <w:r>
          <w:rPr>
            <w:color w:val="000000"/>
          </w:rPr>
          <w:t xml:space="preserve">mersus / affectio / punctum affectionis</w:t>
        </w:r>
      </w:hyperlink>
      <w:r>
        <w:rPr>
          <w:b w:val="0"/>
          <w:i w:val="0"/>
        </w:rPr>
        <w:t>.</w:t>
      </w:r>
    </w:p>
    <w:p>
      <w:pPr>
        <w:widowControl/>
      </w:pPr>
      <w:r>
        <w:rPr>
          <w:b/>
          <w:i w:val="0"/>
        </w:rPr>
        <w:t>metiantur.</w:t>
      </w:r>
      <w:r>
        <w:rPr>
          <w:b w:val="0"/>
          <w:i w:val="0"/>
        </w:rPr>
        <w:t xml:space="preserve"> </w:t>
      </w:r>
      <w:hyperlink w:anchor="latin-record-0784">
        <w:r>
          <w:rPr>
            <w:color w:val="000000"/>
          </w:rPr>
          <w:t xml:space="preserve">metiri; numerare</w:t>
        </w:r>
      </w:hyperlink>
      <w:r>
        <w:rPr>
          <w:b w:val="0"/>
          <w:i w:val="0"/>
        </w:rPr>
        <w:t>.</w:t>
      </w:r>
    </w:p>
    <w:p>
      <w:pPr>
        <w:widowControl/>
      </w:pPr>
      <w:r>
        <w:rPr>
          <w:b/>
          <w:i w:val="0"/>
        </w:rPr>
        <w:t>metiri.</w:t>
      </w:r>
      <w:r>
        <w:rPr>
          <w:b w:val="0"/>
          <w:i w:val="0"/>
        </w:rPr>
        <w:t xml:space="preserve"> </w:t>
      </w:r>
      <w:hyperlink w:anchor="latin-record-1111">
        <w:r>
          <w:rPr>
            <w:color w:val="000000"/>
          </w:rPr>
          <w:t xml:space="preserve">repugnare; reflecti; definire</w:t>
        </w:r>
      </w:hyperlink>
      <w:r>
        <w:rPr>
          <w:b w:val="0"/>
          <w:i w:val="0"/>
        </w:rPr>
        <w:t>.</w:t>
      </w:r>
    </w:p>
    <w:p>
      <w:pPr>
        <w:widowControl/>
      </w:pPr>
      <w:r>
        <w:rPr>
          <w:b/>
          <w:i w:val="0"/>
        </w:rPr>
        <w:t>metitur.</w:t>
      </w:r>
      <w:r>
        <w:rPr>
          <w:b w:val="0"/>
          <w:i w:val="0"/>
        </w:rPr>
        <w:t xml:space="preserve"> </w:t>
      </w:r>
      <w:hyperlink w:anchor="latin-record-0780">
        <w:r>
          <w:rPr>
            <w:color w:val="000000"/>
          </w:rPr>
          <w:t xml:space="preserve">mensura / metiri / proportio / aequare</w:t>
        </w:r>
      </w:hyperlink>
      <w:r>
        <w:rPr>
          <w:b w:val="0"/>
          <w:i w:val="0"/>
        </w:rPr>
        <w:t>.</w:t>
      </w:r>
    </w:p>
    <w:p>
      <w:pPr>
        <w:widowControl/>
      </w:pPr>
      <w:r>
        <w:rPr>
          <w:b/>
          <w:i w:val="0"/>
        </w:rPr>
        <w:t>metus.</w:t>
      </w:r>
      <w:r>
        <w:rPr>
          <w:b w:val="0"/>
          <w:i w:val="0"/>
        </w:rPr>
        <w:t xml:space="preserve"> </w:t>
      </w:r>
      <w:hyperlink w:anchor="latin-record-0516">
        <w:r>
          <w:rPr>
            <w:color w:val="000000"/>
          </w:rPr>
          <w:t xml:space="preserve">fortitudo / timor</w:t>
        </w:r>
      </w:hyperlink>
      <w:r>
        <w:rPr>
          <w:b w:val="0"/>
          <w:i w:val="0"/>
        </w:rPr>
        <w:t>.</w:t>
      </w:r>
    </w:p>
    <w:p>
      <w:pPr>
        <w:widowControl/>
      </w:pPr>
      <w:r>
        <w:rPr>
          <w:b/>
          <w:i w:val="0"/>
        </w:rPr>
        <w:t>migrabit.</w:t>
      </w:r>
      <w:r>
        <w:rPr>
          <w:b w:val="0"/>
          <w:i w:val="0"/>
        </w:rPr>
        <w:t xml:space="preserve"> </w:t>
      </w:r>
      <w:hyperlink w:anchor="latin-record-0785">
        <w:r>
          <w:rPr>
            <w:color w:val="000000"/>
          </w:rPr>
          <w:t xml:space="preserve">migrare</w:t>
        </w:r>
      </w:hyperlink>
      <w:r>
        <w:rPr>
          <w:b w:val="0"/>
          <w:i w:val="0"/>
        </w:rPr>
        <w:t>.</w:t>
      </w:r>
    </w:p>
    <w:p>
      <w:pPr>
        <w:widowControl/>
      </w:pPr>
      <w:r>
        <w:rPr>
          <w:b/>
          <w:i w:val="0"/>
        </w:rPr>
        <w:t>migrat.</w:t>
      </w:r>
      <w:r>
        <w:rPr>
          <w:b w:val="0"/>
          <w:i w:val="0"/>
        </w:rPr>
        <w:t xml:space="preserve"> </w:t>
      </w:r>
      <w:hyperlink w:anchor="latin-record-1302">
        <w:r>
          <w:rPr>
            <w:color w:val="000000"/>
          </w:rPr>
          <w:t xml:space="preserve">transire / migrare / commutare</w:t>
        </w:r>
      </w:hyperlink>
      <w:r>
        <w:rPr>
          <w:b w:val="0"/>
          <w:i w:val="0"/>
        </w:rPr>
        <w:t>.</w:t>
      </w:r>
    </w:p>
    <w:p>
      <w:pPr>
        <w:widowControl/>
      </w:pPr>
      <w:r>
        <w:rPr>
          <w:b/>
          <w:i w:val="0"/>
        </w:rPr>
        <w:t>milio.</w:t>
      </w:r>
      <w:r>
        <w:rPr>
          <w:b w:val="0"/>
          <w:i w:val="0"/>
        </w:rPr>
        <w:t xml:space="preserve"> </w:t>
      </w:r>
      <w:hyperlink w:anchor="latin-record-0786">
        <w:r>
          <w:rPr>
            <w:color w:val="000000"/>
          </w:rPr>
          <w:t xml:space="preserve">milium / ficus</w:t>
        </w:r>
      </w:hyperlink>
      <w:r>
        <w:rPr>
          <w:b w:val="0"/>
          <w:i w:val="0"/>
        </w:rPr>
        <w:t>.</w:t>
      </w:r>
    </w:p>
    <w:p>
      <w:pPr>
        <w:widowControl/>
      </w:pPr>
      <w:r>
        <w:rPr>
          <w:b/>
          <w:i w:val="0"/>
        </w:rPr>
        <w:t>ministrat.</w:t>
      </w:r>
      <w:r>
        <w:rPr>
          <w:b w:val="0"/>
          <w:i w:val="0"/>
        </w:rPr>
        <w:t xml:space="preserve"> </w:t>
      </w:r>
      <w:hyperlink w:anchor="latin-record-0536">
        <w:r>
          <w:rPr>
            <w:color w:val="000000"/>
          </w:rPr>
          <w:t xml:space="preserve">furor / arma ministrare</w:t>
        </w:r>
      </w:hyperlink>
      <w:r>
        <w:rPr>
          <w:b w:val="0"/>
          <w:i w:val="0"/>
        </w:rPr>
        <w:t>.</w:t>
      </w:r>
    </w:p>
    <w:p>
      <w:pPr>
        <w:widowControl/>
      </w:pPr>
      <w:r>
        <w:rPr>
          <w:b/>
          <w:i w:val="0"/>
        </w:rPr>
        <w:t>minora.</w:t>
      </w:r>
      <w:r>
        <w:rPr>
          <w:b w:val="0"/>
          <w:i w:val="0"/>
        </w:rPr>
        <w:t xml:space="preserve"> </w:t>
      </w:r>
      <w:hyperlink w:anchor="latin-record-0751">
        <w:r>
          <w:rPr>
            <w:color w:val="000000"/>
          </w:rPr>
          <w:t xml:space="preserve">maior / minor</w:t>
        </w:r>
      </w:hyperlink>
      <w:r>
        <w:rPr>
          <w:b w:val="0"/>
          <w:i w:val="0"/>
        </w:rPr>
        <w:t>.</w:t>
      </w:r>
    </w:p>
    <w:p>
      <w:pPr>
        <w:widowControl/>
      </w:pPr>
      <w:r>
        <w:rPr>
          <w:b/>
          <w:i w:val="0"/>
        </w:rPr>
        <w:t>minoresve.</w:t>
      </w:r>
      <w:r>
        <w:rPr>
          <w:b w:val="0"/>
          <w:i w:val="0"/>
        </w:rPr>
        <w:t xml:space="preserve"> </w:t>
      </w:r>
      <w:hyperlink w:anchor="latin-record-0751">
        <w:r>
          <w:rPr>
            <w:color w:val="000000"/>
          </w:rPr>
          <w:t xml:space="preserve">maior / minor</w:t>
        </w:r>
      </w:hyperlink>
      <w:r>
        <w:rPr>
          <w:b w:val="0"/>
          <w:i w:val="0"/>
        </w:rPr>
        <w:t>.</w:t>
      </w:r>
    </w:p>
    <w:p>
      <w:pPr>
        <w:widowControl/>
      </w:pPr>
      <w:r>
        <w:rPr>
          <w:b/>
          <w:i w:val="0"/>
        </w:rPr>
        <w:t>minus.</w:t>
      </w:r>
      <w:r>
        <w:rPr>
          <w:b w:val="0"/>
          <w:i w:val="0"/>
        </w:rPr>
        <w:t xml:space="preserve"> </w:t>
      </w:r>
      <w:hyperlink w:anchor="latin-record-0741">
        <w:r>
          <w:rPr>
            <w:color w:val="000000"/>
          </w:rPr>
          <w:t xml:space="preserve">magis ac minus / intensio / remissio</w:t>
        </w:r>
      </w:hyperlink>
      <w:r>
        <w:rPr>
          <w:b w:val="0"/>
          <w:i w:val="0"/>
        </w:rPr>
        <w:t>.</w:t>
      </w:r>
    </w:p>
    <w:p>
      <w:pPr>
        <w:widowControl/>
      </w:pPr>
      <w:r>
        <w:rPr>
          <w:b/>
          <w:i w:val="0"/>
        </w:rPr>
        <w:t>minuti philosophi.</w:t>
      </w:r>
      <w:r>
        <w:rPr>
          <w:b w:val="0"/>
          <w:i w:val="0"/>
        </w:rPr>
        <w:t xml:space="preserve"> </w:t>
      </w:r>
      <w:hyperlink w:anchor="latin-record-0954">
        <w:r>
          <w:rPr>
            <w:color w:val="000000"/>
          </w:rPr>
          <w:t xml:space="preserve">plebeus; minutus</w:t>
        </w:r>
      </w:hyperlink>
      <w:r>
        <w:rPr>
          <w:b w:val="0"/>
          <w:i w:val="0"/>
        </w:rPr>
        <w:t>.</w:t>
      </w:r>
    </w:p>
    <w:p>
      <w:pPr>
        <w:widowControl/>
      </w:pPr>
      <w:r>
        <w:rPr>
          <w:b/>
          <w:i w:val="0"/>
        </w:rPr>
        <w:t>misceantur.</w:t>
      </w:r>
      <w:r>
        <w:rPr>
          <w:b w:val="0"/>
          <w:i w:val="0"/>
        </w:rPr>
        <w:t xml:space="preserve"> </w:t>
      </w:r>
      <w:hyperlink w:anchor="latin-record-0788">
        <w:r>
          <w:rPr>
            <w:color w:val="000000"/>
          </w:rPr>
          <w:t xml:space="preserve">mixtio / miscere</w:t>
        </w:r>
      </w:hyperlink>
      <w:r>
        <w:rPr>
          <w:b w:val="0"/>
          <w:i w:val="0"/>
        </w:rPr>
        <w:t>.</w:t>
      </w:r>
    </w:p>
    <w:p>
      <w:pPr>
        <w:widowControl/>
      </w:pPr>
      <w:r>
        <w:rPr>
          <w:b/>
          <w:i w:val="0"/>
        </w:rPr>
        <w:t>Misceantur.</w:t>
      </w:r>
      <w:r>
        <w:rPr>
          <w:b w:val="0"/>
          <w:i w:val="0"/>
        </w:rPr>
        <w:t xml:space="preserve"> </w:t>
      </w:r>
      <w:hyperlink w:anchor="latin-record-0788">
        <w:r>
          <w:rPr>
            <w:color w:val="000000"/>
          </w:rPr>
          <w:t xml:space="preserve">mixtio / miscere</w:t>
        </w:r>
      </w:hyperlink>
      <w:r>
        <w:rPr>
          <w:b w:val="0"/>
          <w:i w:val="0"/>
        </w:rPr>
        <w:t>.</w:t>
      </w:r>
    </w:p>
    <w:p>
      <w:pPr>
        <w:widowControl/>
      </w:pPr>
      <w:r>
        <w:rPr>
          <w:b/>
          <w:i w:val="0"/>
        </w:rPr>
        <w:t>miscentur.</w:t>
      </w:r>
      <w:r>
        <w:rPr>
          <w:b w:val="0"/>
          <w:i w:val="0"/>
        </w:rPr>
        <w:t xml:space="preserve"> </w:t>
      </w:r>
      <w:hyperlink w:anchor="latin-record-0788">
        <w:r>
          <w:rPr>
            <w:color w:val="000000"/>
          </w:rPr>
          <w:t xml:space="preserve">mixtio / miscere</w:t>
        </w:r>
      </w:hyperlink>
      <w:r>
        <w:rPr>
          <w:b w:val="0"/>
          <w:i w:val="0"/>
        </w:rPr>
        <w:t>.</w:t>
      </w:r>
    </w:p>
    <w:p>
      <w:pPr>
        <w:widowControl/>
      </w:pPr>
      <w:r>
        <w:rPr>
          <w:b/>
          <w:i w:val="0"/>
        </w:rPr>
        <w:t>misceri.</w:t>
      </w:r>
      <w:r>
        <w:rPr>
          <w:b w:val="0"/>
          <w:i w:val="0"/>
        </w:rPr>
        <w:t xml:space="preserve"> </w:t>
      </w:r>
      <w:hyperlink w:anchor="latin-record-0788">
        <w:r>
          <w:rPr>
            <w:color w:val="000000"/>
          </w:rPr>
          <w:t xml:space="preserve">mixtio / miscere</w:t>
        </w:r>
      </w:hyperlink>
      <w:r>
        <w:rPr>
          <w:b w:val="0"/>
          <w:i w:val="0"/>
        </w:rPr>
        <w:t>.</w:t>
      </w:r>
    </w:p>
    <w:p>
      <w:pPr>
        <w:widowControl/>
      </w:pPr>
      <w:r>
        <w:rPr>
          <w:b/>
          <w:i w:val="0"/>
        </w:rPr>
        <w:t>Mitto.</w:t>
      </w:r>
      <w:r>
        <w:rPr>
          <w:b w:val="0"/>
          <w:i w:val="0"/>
        </w:rPr>
        <w:t xml:space="preserve"> </w:t>
      </w:r>
      <w:hyperlink w:anchor="latin-record-0787">
        <w:r>
          <w:rPr>
            <w:color w:val="000000"/>
          </w:rPr>
          <w:t xml:space="preserve">mitto / ipse viderit</w:t>
        </w:r>
      </w:hyperlink>
      <w:r>
        <w:rPr>
          <w:b w:val="0"/>
          <w:i w:val="0"/>
        </w:rPr>
        <w:t>.</w:t>
      </w:r>
    </w:p>
    <w:p>
      <w:pPr>
        <w:widowControl/>
      </w:pPr>
      <w:r>
        <w:rPr>
          <w:b/>
          <w:i w:val="0"/>
        </w:rPr>
        <w:t>mixta.</w:t>
      </w:r>
      <w:r>
        <w:rPr>
          <w:b w:val="0"/>
          <w:i w:val="0"/>
        </w:rPr>
        <w:t xml:space="preserve"> </w:t>
      </w:r>
      <w:hyperlink w:anchor="latin-record-0265">
        <w:r>
          <w:rPr>
            <w:color w:val="000000"/>
          </w:rPr>
          <w:t xml:space="preserve">compositio / mixtum</w:t>
        </w:r>
      </w:hyperlink>
      <w:r>
        <w:rPr>
          <w:b w:val="0"/>
          <w:i w:val="0"/>
        </w:rPr>
        <w:t xml:space="preserve">; </w:t>
      </w:r>
      <w:hyperlink w:anchor="latin-record-0789">
        <w:r>
          <w:rPr>
            <w:color w:val="000000"/>
          </w:rPr>
          <w:t xml:space="preserve">mixtus / sincerus</w:t>
        </w:r>
      </w:hyperlink>
      <w:r>
        <w:rPr>
          <w:b w:val="0"/>
          <w:i w:val="0"/>
        </w:rPr>
        <w:t>.</w:t>
      </w:r>
    </w:p>
    <w:p>
      <w:pPr>
        <w:widowControl/>
      </w:pPr>
      <w:r>
        <w:rPr>
          <w:b/>
          <w:i w:val="0"/>
        </w:rPr>
        <w:t>mixtae.</w:t>
      </w:r>
      <w:r>
        <w:rPr>
          <w:b w:val="0"/>
          <w:i w:val="0"/>
        </w:rPr>
        <w:t xml:space="preserve"> </w:t>
      </w:r>
      <w:hyperlink w:anchor="latin-record-0759">
        <w:r>
          <w:rPr>
            <w:color w:val="000000"/>
          </w:rPr>
          <w:t xml:space="preserve">materia / suscipi / misceri</w:t>
        </w:r>
      </w:hyperlink>
      <w:r>
        <w:rPr>
          <w:b w:val="0"/>
          <w:i w:val="0"/>
        </w:rPr>
        <w:t>.</w:t>
      </w:r>
    </w:p>
    <w:p>
      <w:pPr>
        <w:widowControl/>
      </w:pPr>
      <w:r>
        <w:rPr>
          <w:b/>
          <w:i w:val="0"/>
        </w:rPr>
        <w:t>mixti.</w:t>
      </w:r>
      <w:r>
        <w:rPr>
          <w:b w:val="0"/>
          <w:i w:val="0"/>
        </w:rPr>
        <w:t xml:space="preserve"> </w:t>
      </w:r>
      <w:hyperlink w:anchor="latin-record-0431">
        <w:r>
          <w:rPr>
            <w:color w:val="000000"/>
          </w:rPr>
          <w:t xml:space="preserve">elementum / mixtum</w:t>
        </w:r>
      </w:hyperlink>
      <w:r>
        <w:rPr>
          <w:b w:val="0"/>
          <w:i w:val="0"/>
        </w:rPr>
        <w:t>.</w:t>
      </w:r>
    </w:p>
    <w:p>
      <w:pPr>
        <w:widowControl/>
      </w:pPr>
      <w:r>
        <w:rPr>
          <w:b/>
          <w:i w:val="0"/>
        </w:rPr>
        <w:t>mixtio.</w:t>
      </w:r>
      <w:r>
        <w:rPr>
          <w:b w:val="0"/>
          <w:i w:val="0"/>
        </w:rPr>
        <w:t xml:space="preserve"> </w:t>
      </w:r>
      <w:hyperlink w:anchor="latin-record-0788">
        <w:r>
          <w:rPr>
            <w:color w:val="000000"/>
          </w:rPr>
          <w:t xml:space="preserve">mixtio / miscere</w:t>
        </w:r>
      </w:hyperlink>
      <w:r>
        <w:rPr>
          <w:b w:val="0"/>
          <w:i w:val="0"/>
        </w:rPr>
        <w:t>.</w:t>
      </w:r>
    </w:p>
    <w:p>
      <w:pPr>
        <w:widowControl/>
      </w:pPr>
      <w:r>
        <w:rPr>
          <w:b/>
          <w:i w:val="0"/>
        </w:rPr>
        <w:t>mixtione.</w:t>
      </w:r>
      <w:r>
        <w:rPr>
          <w:b w:val="0"/>
          <w:i w:val="0"/>
        </w:rPr>
        <w:t xml:space="preserve"> </w:t>
      </w:r>
      <w:hyperlink w:anchor="latin-record-0572">
        <w:r>
          <w:rPr>
            <w:color w:val="000000"/>
          </w:rPr>
          <w:t xml:space="preserve">humor / mixtio / procreare</w:t>
        </w:r>
      </w:hyperlink>
      <w:r>
        <w:rPr>
          <w:b w:val="0"/>
          <w:i w:val="0"/>
        </w:rPr>
        <w:t>.</w:t>
      </w:r>
    </w:p>
    <w:p>
      <w:pPr>
        <w:widowControl/>
      </w:pPr>
      <w:r>
        <w:rPr>
          <w:b/>
          <w:i w:val="0"/>
        </w:rPr>
        <w:t>mixtionem.</w:t>
      </w:r>
      <w:r>
        <w:rPr>
          <w:b w:val="0"/>
          <w:i w:val="0"/>
        </w:rPr>
        <w:t xml:space="preserve"> </w:t>
      </w:r>
      <w:hyperlink w:anchor="latin-record-0788">
        <w:r>
          <w:rPr>
            <w:color w:val="000000"/>
          </w:rPr>
          <w:t xml:space="preserve">mixtio / miscere</w:t>
        </w:r>
      </w:hyperlink>
      <w:r>
        <w:rPr>
          <w:b w:val="0"/>
          <w:i w:val="0"/>
        </w:rPr>
        <w:t>.</w:t>
      </w:r>
    </w:p>
    <w:p>
      <w:pPr>
        <w:widowControl/>
      </w:pPr>
      <w:r>
        <w:rPr>
          <w:b/>
          <w:i w:val="0"/>
        </w:rPr>
        <w:t>mixtis.</w:t>
      </w:r>
      <w:r>
        <w:rPr>
          <w:b w:val="0"/>
          <w:i w:val="0"/>
        </w:rPr>
        <w:t xml:space="preserve"> </w:t>
      </w:r>
      <w:hyperlink w:anchor="latin-record-0265">
        <w:r>
          <w:rPr>
            <w:color w:val="000000"/>
          </w:rPr>
          <w:t xml:space="preserve">compositio / mixtum</w:t>
        </w:r>
      </w:hyperlink>
      <w:r>
        <w:rPr>
          <w:b w:val="0"/>
          <w:i w:val="0"/>
        </w:rPr>
        <w:t>.</w:t>
      </w:r>
    </w:p>
    <w:p>
      <w:pPr>
        <w:widowControl/>
      </w:pPr>
      <w:r>
        <w:rPr>
          <w:b/>
          <w:i w:val="0"/>
        </w:rPr>
        <w:t>mixtum.</w:t>
      </w:r>
      <w:r>
        <w:rPr>
          <w:b w:val="0"/>
          <w:i w:val="0"/>
        </w:rPr>
        <w:t xml:space="preserve"> </w:t>
      </w:r>
      <w:hyperlink w:anchor="latin-record-0789">
        <w:r>
          <w:rPr>
            <w:color w:val="000000"/>
          </w:rPr>
          <w:t xml:space="preserve">mixtus / sincerus</w:t>
        </w:r>
      </w:hyperlink>
      <w:r>
        <w:rPr>
          <w:b w:val="0"/>
          <w:i w:val="0"/>
        </w:rPr>
        <w:t>.</w:t>
      </w:r>
    </w:p>
    <w:p>
      <w:pPr>
        <w:widowControl/>
      </w:pPr>
      <w:r>
        <w:rPr>
          <w:b/>
          <w:i w:val="0"/>
        </w:rPr>
        <w:t>mobilem.</w:t>
      </w:r>
      <w:r>
        <w:rPr>
          <w:b w:val="0"/>
          <w:i w:val="0"/>
        </w:rPr>
        <w:t xml:space="preserve"> </w:t>
      </w:r>
      <w:hyperlink w:anchor="latin-record-0811">
        <w:r>
          <w:rPr>
            <w:color w:val="000000"/>
          </w:rPr>
          <w:t xml:space="preserve">movere / immobilis</w:t>
        </w:r>
      </w:hyperlink>
      <w:r>
        <w:rPr>
          <w:b w:val="0"/>
          <w:i w:val="0"/>
        </w:rPr>
        <w:t>.</w:t>
      </w:r>
    </w:p>
    <w:p>
      <w:pPr>
        <w:widowControl/>
      </w:pPr>
      <w:r>
        <w:rPr>
          <w:b/>
          <w:i w:val="0"/>
        </w:rPr>
        <w:t>mobiles.</w:t>
      </w:r>
      <w:r>
        <w:rPr>
          <w:b w:val="0"/>
          <w:i w:val="0"/>
        </w:rPr>
        <w:t xml:space="preserve"> </w:t>
      </w:r>
      <w:hyperlink w:anchor="latin-record-0811">
        <w:r>
          <w:rPr>
            <w:color w:val="000000"/>
          </w:rPr>
          <w:t xml:space="preserve">movere / immobilis</w:t>
        </w:r>
      </w:hyperlink>
      <w:r>
        <w:rPr>
          <w:b w:val="0"/>
          <w:i w:val="0"/>
        </w:rPr>
        <w:t>.</w:t>
      </w:r>
    </w:p>
    <w:p>
      <w:pPr>
        <w:widowControl/>
      </w:pPr>
      <w:r>
        <w:rPr>
          <w:b/>
          <w:i w:val="0"/>
        </w:rPr>
        <w:t>mobili.</w:t>
      </w:r>
      <w:r>
        <w:rPr>
          <w:b w:val="0"/>
          <w:i w:val="0"/>
        </w:rPr>
        <w:t xml:space="preserve"> </w:t>
      </w:r>
      <w:hyperlink w:anchor="latin-record-0811">
        <w:r>
          <w:rPr>
            <w:color w:val="000000"/>
          </w:rPr>
          <w:t xml:space="preserve">movere / immobilis</w:t>
        </w:r>
      </w:hyperlink>
      <w:r>
        <w:rPr>
          <w:b w:val="0"/>
          <w:i w:val="0"/>
        </w:rPr>
        <w:t>.</w:t>
      </w:r>
    </w:p>
    <w:p>
      <w:pPr>
        <w:widowControl/>
      </w:pPr>
      <w:r>
        <w:rPr>
          <w:b/>
          <w:i w:val="0"/>
        </w:rPr>
        <w:t>mobilissimum.</w:t>
      </w:r>
      <w:r>
        <w:rPr>
          <w:b w:val="0"/>
          <w:i w:val="0"/>
        </w:rPr>
        <w:t xml:space="preserve"> </w:t>
      </w:r>
      <w:hyperlink w:anchor="latin-record-1168">
        <w:r>
          <w:rPr>
            <w:color w:val="000000"/>
          </w:rPr>
          <w:t xml:space="preserve">serenus / mobilis</w:t>
        </w:r>
      </w:hyperlink>
      <w:r>
        <w:rPr>
          <w:b w:val="0"/>
          <w:i w:val="0"/>
        </w:rPr>
        <w:t>.</w:t>
      </w:r>
    </w:p>
    <w:p>
      <w:pPr>
        <w:widowControl/>
      </w:pPr>
      <w:r>
        <w:rPr>
          <w:b/>
          <w:i w:val="0"/>
        </w:rPr>
        <w:t>modo.</w:t>
      </w:r>
      <w:r>
        <w:rPr>
          <w:b w:val="0"/>
          <w:i w:val="0"/>
        </w:rPr>
        <w:t xml:space="preserve"> </w:t>
      </w:r>
      <w:hyperlink w:anchor="latin-record-0790">
        <w:r>
          <w:rPr>
            <w:color w:val="000000"/>
          </w:rPr>
          <w:t xml:space="preserve">modus / pactum</w:t>
        </w:r>
      </w:hyperlink>
      <w:r>
        <w:rPr>
          <w:b w:val="0"/>
          <w:i w:val="0"/>
        </w:rPr>
        <w:t>.</w:t>
      </w:r>
    </w:p>
    <w:p>
      <w:pPr>
        <w:widowControl/>
      </w:pPr>
      <w:r>
        <w:rPr>
          <w:b/>
          <w:i w:val="0"/>
        </w:rPr>
        <w:t>modos.</w:t>
      </w:r>
      <w:r>
        <w:rPr>
          <w:b w:val="0"/>
          <w:i w:val="0"/>
        </w:rPr>
        <w:t xml:space="preserve"> </w:t>
      </w:r>
      <w:hyperlink w:anchor="latin-record-0790">
        <w:r>
          <w:rPr>
            <w:color w:val="000000"/>
          </w:rPr>
          <w:t xml:space="preserve">modus / pactum</w:t>
        </w:r>
      </w:hyperlink>
      <w:r>
        <w:rPr>
          <w:b w:val="0"/>
          <w:i w:val="0"/>
        </w:rPr>
        <w:t>.</w:t>
      </w:r>
    </w:p>
    <w:p>
      <w:pPr>
        <w:widowControl/>
      </w:pPr>
      <w:r>
        <w:rPr>
          <w:b/>
          <w:i w:val="0"/>
        </w:rPr>
        <w:t>modum.</w:t>
      </w:r>
      <w:r>
        <w:rPr>
          <w:b w:val="0"/>
          <w:i w:val="0"/>
        </w:rPr>
        <w:t xml:space="preserve"> </w:t>
      </w:r>
      <w:hyperlink w:anchor="latin-record-0790">
        <w:r>
          <w:rPr>
            <w:color w:val="000000"/>
          </w:rPr>
          <w:t xml:space="preserve">modus / pactum</w:t>
        </w:r>
      </w:hyperlink>
      <w:r>
        <w:rPr>
          <w:b w:val="0"/>
          <w:i w:val="0"/>
        </w:rPr>
        <w:t>.</w:t>
      </w:r>
    </w:p>
    <w:p>
      <w:pPr>
        <w:widowControl/>
      </w:pPr>
      <w:r>
        <w:rPr>
          <w:b/>
          <w:i w:val="0"/>
        </w:rPr>
        <w:t>modus.</w:t>
      </w:r>
      <w:r>
        <w:rPr>
          <w:b w:val="0"/>
          <w:i w:val="0"/>
        </w:rPr>
        <w:t xml:space="preserve"> </w:t>
      </w:r>
      <w:hyperlink w:anchor="latin-record-0790">
        <w:r>
          <w:rPr>
            <w:color w:val="000000"/>
          </w:rPr>
          <w:t xml:space="preserve">modus / pactum</w:t>
        </w:r>
      </w:hyperlink>
      <w:r>
        <w:rPr>
          <w:b w:val="0"/>
          <w:i w:val="0"/>
        </w:rPr>
        <w:t>.</w:t>
      </w:r>
    </w:p>
    <w:p>
      <w:pPr>
        <w:widowControl/>
      </w:pPr>
      <w:r>
        <w:rPr>
          <w:b/>
          <w:i w:val="0"/>
        </w:rPr>
        <w:t>mole.</w:t>
      </w:r>
      <w:r>
        <w:rPr>
          <w:b w:val="0"/>
          <w:i w:val="0"/>
        </w:rPr>
        <w:t xml:space="preserve"> </w:t>
      </w:r>
      <w:hyperlink w:anchor="latin-record-0792">
        <w:r>
          <w:rPr>
            <w:color w:val="000000"/>
          </w:rPr>
          <w:t xml:space="preserve">moles</w:t>
        </w:r>
      </w:hyperlink>
      <w:r>
        <w:rPr>
          <w:b w:val="0"/>
          <w:i w:val="0"/>
        </w:rPr>
        <w:t xml:space="preserve">; </w:t>
      </w:r>
      <w:hyperlink w:anchor="latin-record-0793">
        <w:r>
          <w:rPr>
            <w:color w:val="000000"/>
          </w:rPr>
          <w:t xml:space="preserve">moles / distendere</w:t>
        </w:r>
      </w:hyperlink>
      <w:r>
        <w:rPr>
          <w:b w:val="0"/>
          <w:i w:val="0"/>
        </w:rPr>
        <w:t>.</w:t>
      </w:r>
    </w:p>
    <w:p>
      <w:pPr>
        <w:widowControl/>
      </w:pPr>
      <w:r>
        <w:rPr>
          <w:b/>
          <w:i w:val="0"/>
        </w:rPr>
        <w:t>molem.</w:t>
      </w:r>
      <w:r>
        <w:rPr>
          <w:b w:val="0"/>
          <w:i w:val="0"/>
        </w:rPr>
        <w:t xml:space="preserve"> </w:t>
      </w:r>
      <w:hyperlink w:anchor="latin-record-0794">
        <w:r>
          <w:rPr>
            <w:color w:val="000000"/>
          </w:rPr>
          <w:t xml:space="preserve">moles; affectio</w:t>
        </w:r>
      </w:hyperlink>
      <w:r>
        <w:rPr>
          <w:b w:val="0"/>
          <w:i w:val="0"/>
        </w:rPr>
        <w:t>.</w:t>
      </w:r>
    </w:p>
    <w:p>
      <w:pPr>
        <w:widowControl/>
      </w:pPr>
      <w:r>
        <w:rPr>
          <w:b/>
          <w:i w:val="0"/>
        </w:rPr>
        <w:t>molesta.</w:t>
      </w:r>
      <w:r>
        <w:rPr>
          <w:b w:val="0"/>
          <w:i w:val="0"/>
        </w:rPr>
        <w:t xml:space="preserve"> </w:t>
      </w:r>
      <w:hyperlink w:anchor="latin-record-0351">
        <w:r>
          <w:rPr>
            <w:color w:val="000000"/>
          </w:rPr>
          <w:t xml:space="preserve">cruciatus / molestia / persensio</w:t>
        </w:r>
      </w:hyperlink>
      <w:r>
        <w:rPr>
          <w:b w:val="0"/>
          <w:i w:val="0"/>
        </w:rPr>
        <w:t>.</w:t>
      </w:r>
    </w:p>
    <w:p>
      <w:pPr>
        <w:widowControl/>
      </w:pPr>
      <w:r>
        <w:rPr>
          <w:b/>
          <w:i w:val="0"/>
        </w:rPr>
        <w:t>molestia.</w:t>
      </w:r>
      <w:r>
        <w:rPr>
          <w:b w:val="0"/>
          <w:i w:val="0"/>
        </w:rPr>
        <w:t xml:space="preserve"> </w:t>
      </w:r>
      <w:hyperlink w:anchor="latin-record-0351">
        <w:r>
          <w:rPr>
            <w:color w:val="000000"/>
          </w:rPr>
          <w:t xml:space="preserve">cruciatus / molestia / persensio</w:t>
        </w:r>
      </w:hyperlink>
      <w:r>
        <w:rPr>
          <w:b w:val="0"/>
          <w:i w:val="0"/>
        </w:rPr>
        <w:t>.</w:t>
      </w:r>
    </w:p>
    <w:p>
      <w:pPr>
        <w:widowControl/>
      </w:pPr>
      <w:r>
        <w:rPr>
          <w:b/>
          <w:i w:val="0"/>
        </w:rPr>
        <w:t>molestiam.</w:t>
      </w:r>
      <w:r>
        <w:rPr>
          <w:b w:val="0"/>
          <w:i w:val="0"/>
        </w:rPr>
        <w:t xml:space="preserve"> </w:t>
      </w:r>
      <w:hyperlink w:anchor="latin-record-0351">
        <w:r>
          <w:rPr>
            <w:color w:val="000000"/>
          </w:rPr>
          <w:t xml:space="preserve">cruciatus / molestia / persensio</w:t>
        </w:r>
      </w:hyperlink>
      <w:r>
        <w:rPr>
          <w:b w:val="0"/>
          <w:i w:val="0"/>
        </w:rPr>
        <w:t xml:space="preserve">; </w:t>
      </w:r>
      <w:hyperlink w:anchor="latin-record-1387">
        <w:r>
          <w:rPr>
            <w:color w:val="000000"/>
          </w:rPr>
          <w:t xml:space="preserve">voluptas / fastidium / dolor</w:t>
        </w:r>
      </w:hyperlink>
      <w:r>
        <w:rPr>
          <w:b w:val="0"/>
          <w:i w:val="0"/>
        </w:rPr>
        <w:t>.</w:t>
      </w:r>
    </w:p>
    <w:p>
      <w:pPr>
        <w:widowControl/>
      </w:pPr>
      <w:r>
        <w:rPr>
          <w:b/>
          <w:i w:val="0"/>
        </w:rPr>
        <w:t>molibus.</w:t>
      </w:r>
      <w:r>
        <w:rPr>
          <w:b w:val="0"/>
          <w:i w:val="0"/>
        </w:rPr>
        <w:t xml:space="preserve"> </w:t>
      </w:r>
      <w:hyperlink w:anchor="latin-record-0792">
        <w:r>
          <w:rPr>
            <w:color w:val="000000"/>
          </w:rPr>
          <w:t xml:space="preserve">moles</w:t>
        </w:r>
      </w:hyperlink>
      <w:r>
        <w:rPr>
          <w:b w:val="0"/>
          <w:i w:val="0"/>
        </w:rPr>
        <w:t>.</w:t>
      </w:r>
    </w:p>
    <w:p>
      <w:pPr>
        <w:widowControl/>
      </w:pPr>
      <w:r>
        <w:rPr>
          <w:b/>
          <w:i w:val="0"/>
        </w:rPr>
        <w:t>molis.</w:t>
      </w:r>
      <w:r>
        <w:rPr>
          <w:b w:val="0"/>
          <w:i w:val="0"/>
        </w:rPr>
        <w:t xml:space="preserve"> </w:t>
      </w:r>
      <w:hyperlink w:anchor="latin-record-0792">
        <w:r>
          <w:rPr>
            <w:color w:val="000000"/>
          </w:rPr>
          <w:t xml:space="preserve">moles</w:t>
        </w:r>
      </w:hyperlink>
      <w:r>
        <w:rPr>
          <w:b w:val="0"/>
          <w:i w:val="0"/>
        </w:rPr>
        <w:t>.</w:t>
      </w:r>
    </w:p>
    <w:p>
      <w:pPr>
        <w:widowControl/>
      </w:pPr>
      <w:r>
        <w:rPr>
          <w:b/>
          <w:i w:val="0"/>
        </w:rPr>
        <w:t>mollitiem.</w:t>
      </w:r>
      <w:r>
        <w:rPr>
          <w:b w:val="0"/>
          <w:i w:val="0"/>
        </w:rPr>
        <w:t xml:space="preserve"> </w:t>
      </w:r>
      <w:hyperlink w:anchor="latin-record-0795">
        <w:r>
          <w:rPr>
            <w:color w:val="000000"/>
          </w:rPr>
          <w:t xml:space="preserve">mollities / ariditas</w:t>
        </w:r>
      </w:hyperlink>
      <w:r>
        <w:rPr>
          <w:b w:val="0"/>
          <w:i w:val="0"/>
        </w:rPr>
        <w:t xml:space="preserve">; </w:t>
      </w:r>
      <w:hyperlink w:anchor="latin-record-0796">
        <w:r>
          <w:rPr>
            <w:color w:val="000000"/>
          </w:rPr>
          <w:t xml:space="preserve">mollities appetitus</w:t>
        </w:r>
      </w:hyperlink>
      <w:r>
        <w:rPr>
          <w:b w:val="0"/>
          <w:i w:val="0"/>
        </w:rPr>
        <w:t>.</w:t>
      </w:r>
    </w:p>
    <w:p>
      <w:pPr>
        <w:widowControl/>
      </w:pPr>
      <w:r>
        <w:rPr>
          <w:b/>
          <w:i w:val="0"/>
        </w:rPr>
        <w:t>momenta succedunt.</w:t>
      </w:r>
      <w:r>
        <w:rPr>
          <w:b w:val="0"/>
          <w:i w:val="0"/>
        </w:rPr>
        <w:t xml:space="preserve"> </w:t>
      </w:r>
      <w:hyperlink w:anchor="latin-record-1252">
        <w:r>
          <w:rPr>
            <w:color w:val="000000"/>
          </w:rPr>
          <w:t xml:space="preserve">succedere; momenta</w:t>
        </w:r>
      </w:hyperlink>
      <w:r>
        <w:rPr>
          <w:b w:val="0"/>
          <w:i w:val="0"/>
        </w:rPr>
        <w:t>.</w:t>
      </w:r>
    </w:p>
    <w:p>
      <w:pPr>
        <w:widowControl/>
      </w:pPr>
      <w:r>
        <w:rPr>
          <w:b/>
          <w:i w:val="0"/>
        </w:rPr>
        <w:t>momento.</w:t>
      </w:r>
      <w:r>
        <w:rPr>
          <w:b w:val="0"/>
          <w:i w:val="0"/>
        </w:rPr>
        <w:t xml:space="preserve"> </w:t>
      </w:r>
      <w:hyperlink w:anchor="latin-record-0292">
        <w:r>
          <w:rPr>
            <w:color w:val="000000"/>
          </w:rPr>
          <w:t xml:space="preserve">congregatio / momentum</w:t>
        </w:r>
      </w:hyperlink>
      <w:r>
        <w:rPr>
          <w:b w:val="0"/>
          <w:i w:val="0"/>
        </w:rPr>
        <w:t xml:space="preserve">; </w:t>
      </w:r>
      <w:hyperlink w:anchor="latin-record-0797">
        <w:r>
          <w:rPr>
            <w:color w:val="000000"/>
          </w:rPr>
          <w:t xml:space="preserve">momentum</w:t>
        </w:r>
      </w:hyperlink>
      <w:r>
        <w:rPr>
          <w:b w:val="0"/>
          <w:i w:val="0"/>
        </w:rPr>
        <w:t xml:space="preserve">; </w:t>
      </w:r>
      <w:hyperlink w:anchor="latin-record-0910">
        <w:r>
          <w:rPr>
            <w:color w:val="000000"/>
          </w:rPr>
          <w:t xml:space="preserve">pedetentim / paulatim / subito</w:t>
        </w:r>
      </w:hyperlink>
      <w:r>
        <w:rPr>
          <w:b w:val="0"/>
          <w:i w:val="0"/>
        </w:rPr>
        <w:t>.</w:t>
      </w:r>
    </w:p>
    <w:p>
      <w:pPr>
        <w:widowControl/>
      </w:pPr>
      <w:r>
        <w:rPr>
          <w:b/>
          <w:i w:val="0"/>
        </w:rPr>
        <w:t>momento temporis.</w:t>
      </w:r>
      <w:r>
        <w:rPr>
          <w:b w:val="0"/>
          <w:i w:val="0"/>
        </w:rPr>
        <w:t xml:space="preserve"> </w:t>
      </w:r>
      <w:hyperlink w:anchor="latin-record-0676">
        <w:r>
          <w:rPr>
            <w:color w:val="000000"/>
          </w:rPr>
          <w:t xml:space="preserve">intervallum temporis</w:t>
        </w:r>
      </w:hyperlink>
      <w:r>
        <w:rPr>
          <w:b w:val="0"/>
          <w:i w:val="0"/>
        </w:rPr>
        <w:t>.</w:t>
      </w:r>
    </w:p>
    <w:p>
      <w:pPr>
        <w:widowControl/>
      </w:pPr>
      <w:r>
        <w:rPr>
          <w:b/>
          <w:i w:val="0"/>
        </w:rPr>
        <w:t>momentorum.</w:t>
      </w:r>
      <w:r>
        <w:rPr>
          <w:b w:val="0"/>
          <w:i w:val="0"/>
        </w:rPr>
        <w:t xml:space="preserve"> </w:t>
      </w:r>
      <w:hyperlink w:anchor="latin-record-0292">
        <w:r>
          <w:rPr>
            <w:color w:val="000000"/>
          </w:rPr>
          <w:t xml:space="preserve">congregatio / momentum</w:t>
        </w:r>
      </w:hyperlink>
      <w:r>
        <w:rPr>
          <w:b w:val="0"/>
          <w:i w:val="0"/>
        </w:rPr>
        <w:t>.</w:t>
      </w:r>
    </w:p>
    <w:p>
      <w:pPr>
        <w:widowControl/>
      </w:pPr>
      <w:r>
        <w:rPr>
          <w:b/>
          <w:i w:val="0"/>
        </w:rPr>
        <w:t>monstro.</w:t>
      </w:r>
      <w:r>
        <w:rPr>
          <w:b w:val="0"/>
          <w:i w:val="0"/>
        </w:rPr>
        <w:t xml:space="preserve"> </w:t>
      </w:r>
      <w:hyperlink w:anchor="latin-record-0419">
        <w:r>
          <w:rPr>
            <w:color w:val="000000"/>
          </w:rPr>
          <w:t xml:space="preserve">ebrius / monstrum</w:t>
        </w:r>
      </w:hyperlink>
      <w:r>
        <w:rPr>
          <w:b w:val="0"/>
          <w:i w:val="0"/>
        </w:rPr>
        <w:t>.</w:t>
      </w:r>
    </w:p>
    <w:p>
      <w:pPr>
        <w:widowControl/>
      </w:pPr>
      <w:r>
        <w:rPr>
          <w:b/>
          <w:i w:val="0"/>
        </w:rPr>
        <w:t>mora.</w:t>
      </w:r>
      <w:r>
        <w:rPr>
          <w:b w:val="0"/>
          <w:i w:val="0"/>
        </w:rPr>
        <w:t xml:space="preserve"> </w:t>
      </w:r>
      <w:hyperlink w:anchor="latin-record-0674">
        <w:r>
          <w:rPr>
            <w:color w:val="000000"/>
          </w:rPr>
          <w:t xml:space="preserve">internuntius / mora</w:t>
        </w:r>
      </w:hyperlink>
      <w:r>
        <w:rPr>
          <w:b w:val="0"/>
          <w:i w:val="0"/>
        </w:rPr>
        <w:t>.</w:t>
      </w:r>
    </w:p>
    <w:p>
      <w:pPr>
        <w:widowControl/>
      </w:pPr>
      <w:r>
        <w:rPr>
          <w:b/>
          <w:i w:val="0"/>
        </w:rPr>
        <w:t>morales.</w:t>
      </w:r>
      <w:r>
        <w:rPr>
          <w:b w:val="0"/>
          <w:i w:val="0"/>
        </w:rPr>
        <w:t xml:space="preserve"> </w:t>
      </w:r>
      <w:hyperlink w:anchor="latin-record-1214">
        <w:r>
          <w:rPr>
            <w:color w:val="000000"/>
          </w:rPr>
          <w:t xml:space="preserve">speculativus / moralis</w:t>
        </w:r>
      </w:hyperlink>
      <w:r>
        <w:rPr>
          <w:b w:val="0"/>
          <w:i w:val="0"/>
        </w:rPr>
        <w:t>.</w:t>
      </w:r>
    </w:p>
    <w:p>
      <w:pPr>
        <w:widowControl/>
      </w:pPr>
      <w:r>
        <w:rPr>
          <w:b/>
          <w:i w:val="0"/>
        </w:rPr>
        <w:t>moralibus.</w:t>
      </w:r>
      <w:r>
        <w:rPr>
          <w:b w:val="0"/>
          <w:i w:val="0"/>
        </w:rPr>
        <w:t xml:space="preserve"> </w:t>
      </w:r>
      <w:hyperlink w:anchor="latin-record-1214">
        <w:r>
          <w:rPr>
            <w:color w:val="000000"/>
          </w:rPr>
          <w:t xml:space="preserve">speculativus / moralis</w:t>
        </w:r>
      </w:hyperlink>
      <w:r>
        <w:rPr>
          <w:b w:val="0"/>
          <w:i w:val="0"/>
        </w:rPr>
        <w:t>.</w:t>
      </w:r>
    </w:p>
    <w:p>
      <w:pPr>
        <w:widowControl/>
      </w:pPr>
      <w:r>
        <w:rPr>
          <w:b/>
          <w:i w:val="0"/>
        </w:rPr>
        <w:t>Moralis.</w:t>
      </w:r>
      <w:r>
        <w:rPr>
          <w:b w:val="0"/>
          <w:i w:val="0"/>
        </w:rPr>
        <w:t xml:space="preserve"> </w:t>
      </w:r>
      <w:hyperlink w:anchor="latin-record-1214">
        <w:r>
          <w:rPr>
            <w:color w:val="000000"/>
          </w:rPr>
          <w:t xml:space="preserve">speculativus / moralis</w:t>
        </w:r>
      </w:hyperlink>
      <w:r>
        <w:rPr>
          <w:b w:val="0"/>
          <w:i w:val="0"/>
        </w:rPr>
        <w:t>.</w:t>
      </w:r>
    </w:p>
    <w:p>
      <w:pPr>
        <w:widowControl/>
      </w:pPr>
      <w:r>
        <w:rPr>
          <w:b/>
          <w:i w:val="0"/>
        </w:rPr>
        <w:t>moralis.</w:t>
      </w:r>
      <w:r>
        <w:rPr>
          <w:b w:val="0"/>
          <w:i w:val="0"/>
        </w:rPr>
        <w:t xml:space="preserve"> </w:t>
      </w:r>
      <w:hyperlink w:anchor="latin-record-1214">
        <w:r>
          <w:rPr>
            <w:color w:val="000000"/>
          </w:rPr>
          <w:t xml:space="preserve">speculativus / moralis</w:t>
        </w:r>
      </w:hyperlink>
      <w:r>
        <w:rPr>
          <w:b w:val="0"/>
          <w:i w:val="0"/>
        </w:rPr>
        <w:t>.</w:t>
      </w:r>
    </w:p>
    <w:p>
      <w:pPr>
        <w:widowControl/>
      </w:pPr>
      <w:r>
        <w:rPr>
          <w:b/>
          <w:i w:val="0"/>
        </w:rPr>
        <w:t>more.</w:t>
      </w:r>
      <w:r>
        <w:rPr>
          <w:b w:val="0"/>
          <w:i w:val="0"/>
        </w:rPr>
        <w:t xml:space="preserve"> </w:t>
      </w:r>
      <w:hyperlink w:anchor="latin-record-0803">
        <w:r>
          <w:rPr>
            <w:color w:val="000000"/>
          </w:rPr>
          <w:t xml:space="preserve">mos / consuetudo</w:t>
        </w:r>
      </w:hyperlink>
      <w:r>
        <w:rPr>
          <w:b w:val="0"/>
          <w:i w:val="0"/>
        </w:rPr>
        <w:t>.</w:t>
      </w:r>
    </w:p>
    <w:p>
      <w:pPr>
        <w:widowControl/>
      </w:pPr>
      <w:r>
        <w:rPr>
          <w:b/>
          <w:i w:val="0"/>
        </w:rPr>
        <w:t>mores.</w:t>
      </w:r>
      <w:r>
        <w:rPr>
          <w:b w:val="0"/>
          <w:i w:val="0"/>
        </w:rPr>
        <w:t xml:space="preserve"> </w:t>
      </w:r>
      <w:hyperlink w:anchor="latin-record-0803">
        <w:r>
          <w:rPr>
            <w:color w:val="000000"/>
          </w:rPr>
          <w:t xml:space="preserve">mos / consuetudo</w:t>
        </w:r>
      </w:hyperlink>
      <w:r>
        <w:rPr>
          <w:b w:val="0"/>
          <w:i w:val="0"/>
        </w:rPr>
        <w:t>.</w:t>
      </w:r>
    </w:p>
    <w:p>
      <w:pPr>
        <w:widowControl/>
      </w:pPr>
      <w:r>
        <w:rPr>
          <w:b/>
          <w:i w:val="0"/>
        </w:rPr>
        <w:t>moribundi corporis.</w:t>
      </w:r>
      <w:r>
        <w:rPr>
          <w:b w:val="0"/>
          <w:i w:val="0"/>
        </w:rPr>
        <w:t xml:space="preserve"> </w:t>
      </w:r>
      <w:hyperlink w:anchor="latin-record-0799">
        <w:r>
          <w:rPr>
            <w:color w:val="000000"/>
          </w:rPr>
          <w:t xml:space="preserve">moribundus; carcer</w:t>
        </w:r>
      </w:hyperlink>
      <w:r>
        <w:rPr>
          <w:b w:val="0"/>
          <w:i w:val="0"/>
        </w:rPr>
        <w:t>.</w:t>
      </w:r>
    </w:p>
    <w:p>
      <w:pPr>
        <w:widowControl/>
      </w:pPr>
      <w:r>
        <w:rPr>
          <w:b/>
          <w:i w:val="0"/>
        </w:rPr>
        <w:t>moribus.</w:t>
      </w:r>
      <w:r>
        <w:rPr>
          <w:b w:val="0"/>
          <w:i w:val="0"/>
        </w:rPr>
        <w:t xml:space="preserve"> </w:t>
      </w:r>
      <w:hyperlink w:anchor="latin-record-0803">
        <w:r>
          <w:rPr>
            <w:color w:val="000000"/>
          </w:rPr>
          <w:t xml:space="preserve">mos / consuetudo</w:t>
        </w:r>
      </w:hyperlink>
      <w:r>
        <w:rPr>
          <w:b w:val="0"/>
          <w:i w:val="0"/>
        </w:rPr>
        <w:t>.</w:t>
      </w:r>
    </w:p>
    <w:p>
      <w:pPr>
        <w:widowControl/>
      </w:pPr>
      <w:r>
        <w:rPr>
          <w:b/>
          <w:i w:val="0"/>
        </w:rPr>
        <w:t>mors.</w:t>
      </w:r>
      <w:r>
        <w:rPr>
          <w:b w:val="0"/>
          <w:i w:val="0"/>
        </w:rPr>
        <w:t xml:space="preserve"> </w:t>
      </w:r>
      <w:hyperlink w:anchor="latin-record-0800">
        <w:r>
          <w:rPr>
            <w:color w:val="000000"/>
          </w:rPr>
          <w:t xml:space="preserve">mors</w:t>
        </w:r>
      </w:hyperlink>
      <w:r>
        <w:rPr>
          <w:b w:val="0"/>
          <w:i w:val="0"/>
        </w:rPr>
        <w:t>.</w:t>
      </w:r>
    </w:p>
    <w:p>
      <w:pPr>
        <w:widowControl/>
      </w:pPr>
      <w:r>
        <w:rPr>
          <w:b/>
          <w:i w:val="0"/>
        </w:rPr>
        <w:t>mortalem.</w:t>
      </w:r>
      <w:r>
        <w:rPr>
          <w:b w:val="0"/>
          <w:i w:val="0"/>
        </w:rPr>
        <w:t xml:space="preserve"> </w:t>
      </w:r>
      <w:hyperlink w:anchor="latin-record-0801">
        <w:r>
          <w:rPr>
            <w:color w:val="000000"/>
          </w:rPr>
          <w:t xml:space="preserve">mortalis / corruptibilis</w:t>
        </w:r>
      </w:hyperlink>
      <w:r>
        <w:rPr>
          <w:b w:val="0"/>
          <w:i w:val="0"/>
        </w:rPr>
        <w:t>.</w:t>
      </w:r>
    </w:p>
    <w:p>
      <w:pPr>
        <w:widowControl/>
      </w:pPr>
      <w:r>
        <w:rPr>
          <w:b/>
          <w:i w:val="0"/>
        </w:rPr>
        <w:t>mortalibus.</w:t>
      </w:r>
      <w:r>
        <w:rPr>
          <w:b w:val="0"/>
          <w:i w:val="0"/>
        </w:rPr>
        <w:t xml:space="preserve"> </w:t>
      </w:r>
      <w:hyperlink w:anchor="latin-record-0555">
        <w:r>
          <w:rPr>
            <w:color w:val="000000"/>
          </w:rPr>
          <w:t xml:space="preserve">haerere</w:t>
        </w:r>
      </w:hyperlink>
      <w:r>
        <w:rPr>
          <w:b w:val="0"/>
          <w:i w:val="0"/>
        </w:rPr>
        <w:t xml:space="preserve">; </w:t>
      </w:r>
      <w:hyperlink w:anchor="latin-record-0801">
        <w:r>
          <w:rPr>
            <w:color w:val="000000"/>
          </w:rPr>
          <w:t xml:space="preserve">mortalis / corruptibilis</w:t>
        </w:r>
      </w:hyperlink>
      <w:r>
        <w:rPr>
          <w:b w:val="0"/>
          <w:i w:val="0"/>
        </w:rPr>
        <w:t>.</w:t>
      </w:r>
    </w:p>
    <w:p>
      <w:pPr>
        <w:widowControl/>
      </w:pPr>
      <w:r>
        <w:rPr>
          <w:b/>
          <w:i w:val="0"/>
        </w:rPr>
        <w:t>mortalis.</w:t>
      </w:r>
      <w:r>
        <w:rPr>
          <w:b w:val="0"/>
          <w:i w:val="0"/>
        </w:rPr>
        <w:t xml:space="preserve"> </w:t>
      </w:r>
      <w:hyperlink w:anchor="latin-record-0801">
        <w:r>
          <w:rPr>
            <w:color w:val="000000"/>
          </w:rPr>
          <w:t xml:space="preserve">mortalis / corruptibilis</w:t>
        </w:r>
      </w:hyperlink>
      <w:r>
        <w:rPr>
          <w:b w:val="0"/>
          <w:i w:val="0"/>
        </w:rPr>
        <w:t>.</w:t>
      </w:r>
    </w:p>
    <w:p>
      <w:pPr>
        <w:widowControl/>
      </w:pPr>
      <w:r>
        <w:rPr>
          <w:b/>
          <w:i w:val="0"/>
        </w:rPr>
        <w:t>morte.</w:t>
      </w:r>
      <w:r>
        <w:rPr>
          <w:b w:val="0"/>
          <w:i w:val="0"/>
        </w:rPr>
        <w:t xml:space="preserve"> </w:t>
      </w:r>
      <w:hyperlink w:anchor="latin-record-0800">
        <w:r>
          <w:rPr>
            <w:color w:val="000000"/>
          </w:rPr>
          <w:t xml:space="preserve">mors</w:t>
        </w:r>
      </w:hyperlink>
      <w:r>
        <w:rPr>
          <w:b w:val="0"/>
          <w:i w:val="0"/>
        </w:rPr>
        <w:t>.</w:t>
      </w:r>
    </w:p>
    <w:p>
      <w:pPr>
        <w:widowControl/>
      </w:pPr>
      <w:r>
        <w:rPr>
          <w:b/>
          <w:i w:val="0"/>
        </w:rPr>
        <w:t>mortem.</w:t>
      </w:r>
      <w:r>
        <w:rPr>
          <w:b w:val="0"/>
          <w:i w:val="0"/>
        </w:rPr>
        <w:t xml:space="preserve"> </w:t>
      </w:r>
      <w:hyperlink w:anchor="latin-record-0800">
        <w:r>
          <w:rPr>
            <w:color w:val="000000"/>
          </w:rPr>
          <w:t xml:space="preserve">mors</w:t>
        </w:r>
      </w:hyperlink>
      <w:r>
        <w:rPr>
          <w:b w:val="0"/>
          <w:i w:val="0"/>
        </w:rPr>
        <w:t>.</w:t>
      </w:r>
    </w:p>
    <w:p>
      <w:pPr>
        <w:widowControl/>
      </w:pPr>
      <w:r>
        <w:rPr>
          <w:b/>
          <w:i w:val="0"/>
        </w:rPr>
        <w:t>mortifera.</w:t>
      </w:r>
      <w:r>
        <w:rPr>
          <w:b w:val="0"/>
          <w:i w:val="0"/>
        </w:rPr>
        <w:t xml:space="preserve"> </w:t>
      </w:r>
      <w:hyperlink w:anchor="latin-record-0802">
        <w:r>
          <w:rPr>
            <w:color w:val="000000"/>
          </w:rPr>
          <w:t xml:space="preserve">mortifer</w:t>
        </w:r>
      </w:hyperlink>
      <w:r>
        <w:rPr>
          <w:b w:val="0"/>
          <w:i w:val="0"/>
        </w:rPr>
        <w:t>.</w:t>
      </w:r>
    </w:p>
    <w:p>
      <w:pPr>
        <w:widowControl/>
      </w:pPr>
      <w:r>
        <w:rPr>
          <w:b/>
          <w:i w:val="0"/>
        </w:rPr>
        <w:t>mortiferam.</w:t>
      </w:r>
      <w:r>
        <w:rPr>
          <w:b w:val="0"/>
          <w:i w:val="0"/>
        </w:rPr>
        <w:t xml:space="preserve"> </w:t>
      </w:r>
      <w:hyperlink w:anchor="latin-record-0802">
        <w:r>
          <w:rPr>
            <w:color w:val="000000"/>
          </w:rPr>
          <w:t xml:space="preserve">mortifer</w:t>
        </w:r>
      </w:hyperlink>
      <w:r>
        <w:rPr>
          <w:b w:val="0"/>
          <w:i w:val="0"/>
        </w:rPr>
        <w:t>.</w:t>
      </w:r>
    </w:p>
    <w:p>
      <w:pPr>
        <w:widowControl/>
      </w:pPr>
      <w:r>
        <w:rPr>
          <w:b/>
          <w:i w:val="0"/>
        </w:rPr>
        <w:t>mortis.</w:t>
      </w:r>
      <w:r>
        <w:rPr>
          <w:b w:val="0"/>
          <w:i w:val="0"/>
        </w:rPr>
        <w:t xml:space="preserve"> </w:t>
      </w:r>
      <w:hyperlink w:anchor="latin-record-0800">
        <w:r>
          <w:rPr>
            <w:color w:val="000000"/>
          </w:rPr>
          <w:t xml:space="preserve">mors</w:t>
        </w:r>
      </w:hyperlink>
      <w:r>
        <w:rPr>
          <w:b w:val="0"/>
          <w:i w:val="0"/>
        </w:rPr>
        <w:t>.</w:t>
      </w:r>
    </w:p>
    <w:p>
      <w:pPr>
        <w:widowControl/>
      </w:pPr>
      <w:r>
        <w:rPr>
          <w:b/>
          <w:i w:val="0"/>
        </w:rPr>
        <w:t>mortua.</w:t>
      </w:r>
      <w:r>
        <w:rPr>
          <w:b w:val="0"/>
          <w:i w:val="0"/>
        </w:rPr>
        <w:t xml:space="preserve"> </w:t>
      </w:r>
      <w:hyperlink w:anchor="latin-record-0612">
        <w:r>
          <w:rPr>
            <w:color w:val="000000"/>
          </w:rPr>
          <w:t xml:space="preserve">inanimis / mortuus</w:t>
        </w:r>
      </w:hyperlink>
      <w:r>
        <w:rPr>
          <w:b w:val="0"/>
          <w:i w:val="0"/>
        </w:rPr>
        <w:t>.</w:t>
      </w:r>
    </w:p>
    <w:p>
      <w:pPr>
        <w:widowControl/>
      </w:pPr>
      <w:r>
        <w:rPr>
          <w:b/>
          <w:i w:val="0"/>
        </w:rPr>
        <w:t>mortuum.</w:t>
      </w:r>
      <w:r>
        <w:rPr>
          <w:b w:val="0"/>
          <w:i w:val="0"/>
        </w:rPr>
        <w:t xml:space="preserve"> </w:t>
      </w:r>
      <w:hyperlink w:anchor="latin-record-0612">
        <w:r>
          <w:rPr>
            <w:color w:val="000000"/>
          </w:rPr>
          <w:t xml:space="preserve">inanimis / mortuus</w:t>
        </w:r>
      </w:hyperlink>
      <w:r>
        <w:rPr>
          <w:b w:val="0"/>
          <w:i w:val="0"/>
        </w:rPr>
        <w:t>.</w:t>
      </w:r>
    </w:p>
    <w:p>
      <w:pPr>
        <w:widowControl/>
      </w:pPr>
      <w:r>
        <w:rPr>
          <w:b/>
          <w:i w:val="0"/>
        </w:rPr>
        <w:t>morum.</w:t>
      </w:r>
      <w:r>
        <w:rPr>
          <w:b w:val="0"/>
          <w:i w:val="0"/>
        </w:rPr>
        <w:t xml:space="preserve"> </w:t>
      </w:r>
      <w:hyperlink w:anchor="latin-record-0798">
        <w:r>
          <w:rPr>
            <w:color w:val="000000"/>
          </w:rPr>
          <w:t xml:space="preserve">mores; doctrina; tempus</w:t>
        </w:r>
      </w:hyperlink>
      <w:r>
        <w:rPr>
          <w:b w:val="0"/>
          <w:i w:val="0"/>
        </w:rPr>
        <w:t>.</w:t>
      </w:r>
    </w:p>
    <w:p>
      <w:pPr>
        <w:widowControl/>
      </w:pPr>
      <w:r>
        <w:rPr>
          <w:b/>
          <w:i w:val="0"/>
        </w:rPr>
        <w:t>motam.</w:t>
      </w:r>
      <w:r>
        <w:rPr>
          <w:b w:val="0"/>
          <w:i w:val="0"/>
        </w:rPr>
        <w:t xml:space="preserve"> </w:t>
      </w:r>
      <w:hyperlink w:anchor="latin-record-0808">
        <w:r>
          <w:rPr>
            <w:color w:val="000000"/>
          </w:rPr>
          <w:t xml:space="preserve">motus / movere</w:t>
        </w:r>
      </w:hyperlink>
      <w:r>
        <w:rPr>
          <w:b w:val="0"/>
          <w:i w:val="0"/>
        </w:rPr>
        <w:t>.</w:t>
      </w:r>
    </w:p>
    <w:p>
      <w:pPr>
        <w:widowControl/>
      </w:pPr>
      <w:r>
        <w:rPr>
          <w:b/>
          <w:i w:val="0"/>
        </w:rPr>
        <w:t>motionem.</w:t>
      </w:r>
      <w:r>
        <w:rPr>
          <w:b w:val="0"/>
          <w:i w:val="0"/>
        </w:rPr>
        <w:t xml:space="preserve"> </w:t>
      </w:r>
      <w:hyperlink w:anchor="latin-record-0804">
        <w:r>
          <w:rPr>
            <w:color w:val="000000"/>
          </w:rPr>
          <w:t xml:space="preserve">motio</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11">
        <w:r>
          <w:rPr>
            <w:color w:val="000000"/>
          </w:rPr>
          <w:t xml:space="preserve">movere / immobilis</w:t>
        </w:r>
      </w:hyperlink>
      <w:r>
        <w:rPr>
          <w:b w:val="0"/>
          <w:i w:val="0"/>
        </w:rPr>
        <w:t>.</w:t>
      </w:r>
    </w:p>
    <w:p>
      <w:pPr>
        <w:widowControl/>
      </w:pPr>
      <w:r>
        <w:rPr>
          <w:b/>
          <w:i w:val="0"/>
        </w:rPr>
        <w:t>motionis.</w:t>
      </w:r>
      <w:r>
        <w:rPr>
          <w:b w:val="0"/>
          <w:i w:val="0"/>
        </w:rPr>
        <w:t xml:space="preserve"> </w:t>
      </w:r>
      <w:hyperlink w:anchor="latin-record-0804">
        <w:r>
          <w:rPr>
            <w:color w:val="000000"/>
          </w:rPr>
          <w:t xml:space="preserve">motio</w:t>
        </w:r>
      </w:hyperlink>
      <w:r>
        <w:rPr>
          <w:b w:val="0"/>
          <w:i w:val="0"/>
        </w:rPr>
        <w:t>.</w:t>
      </w:r>
    </w:p>
    <w:p>
      <w:pPr>
        <w:widowControl/>
      </w:pPr>
      <w:r>
        <w:rPr>
          <w:b/>
          <w:i w:val="0"/>
        </w:rPr>
        <w:t>motionum.</w:t>
      </w:r>
      <w:r>
        <w:rPr>
          <w:b w:val="0"/>
          <w:i w:val="0"/>
        </w:rPr>
        <w:t xml:space="preserve"> </w:t>
      </w:r>
      <w:hyperlink w:anchor="latin-record-0807">
        <w:r>
          <w:rPr>
            <w:color w:val="000000"/>
          </w:rPr>
          <w:t xml:space="preserve">motus / alteratio / quies</w:t>
        </w:r>
      </w:hyperlink>
      <w:r>
        <w:rPr>
          <w:b w:val="0"/>
          <w:i w:val="0"/>
        </w:rPr>
        <w:t>.</w:t>
      </w:r>
    </w:p>
    <w:p>
      <w:pPr>
        <w:widowControl/>
      </w:pPr>
      <w:r>
        <w:rPr>
          <w:b/>
          <w:i w:val="0"/>
        </w:rPr>
        <w:t>motionum corporalium exemplaria.</w:t>
      </w:r>
      <w:r>
        <w:rPr>
          <w:b w:val="0"/>
          <w:i w:val="0"/>
        </w:rPr>
        <w:t xml:space="preserve"> </w:t>
      </w:r>
      <w:hyperlink w:anchor="latin-record-0457">
        <w:r>
          <w:rPr>
            <w:color w:val="000000"/>
          </w:rPr>
          <w:t xml:space="preserve">exemplar</w:t>
        </w:r>
      </w:hyperlink>
      <w:r>
        <w:rPr>
          <w:b w:val="0"/>
          <w:i w:val="0"/>
        </w:rPr>
        <w:t>.</w:t>
      </w:r>
    </w:p>
    <w:p>
      <w:pPr>
        <w:widowControl/>
      </w:pPr>
      <w:r>
        <w:rPr>
          <w:b/>
          <w:i w:val="0"/>
        </w:rPr>
        <w:t>motis.</w:t>
      </w:r>
      <w:r>
        <w:rPr>
          <w:b w:val="0"/>
          <w:i w:val="0"/>
        </w:rPr>
        <w:t xml:space="preserve"> </w:t>
      </w:r>
      <w:hyperlink w:anchor="latin-record-0808">
        <w:r>
          <w:rPr>
            <w:color w:val="000000"/>
          </w:rPr>
          <w:t xml:space="preserve">motus / movere</w:t>
        </w:r>
      </w:hyperlink>
      <w:r>
        <w:rPr>
          <w:b w:val="0"/>
          <w:i w:val="0"/>
        </w:rPr>
        <w:t>.</w:t>
      </w:r>
    </w:p>
    <w:p>
      <w:pPr>
        <w:widowControl/>
      </w:pPr>
      <w:r>
        <w:rPr>
          <w:b/>
          <w:i w:val="0"/>
        </w:rPr>
        <w:t>motor.</w:t>
      </w:r>
      <w:r>
        <w:rPr>
          <w:b w:val="0"/>
          <w:i w:val="0"/>
        </w:rPr>
        <w:t xml:space="preserve"> </w:t>
      </w:r>
      <w:hyperlink w:anchor="latin-record-0805">
        <w:r>
          <w:rPr>
            <w:color w:val="000000"/>
          </w:rPr>
          <w:t xml:space="preserve">motor</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motore.</w:t>
      </w:r>
      <w:r>
        <w:rPr>
          <w:b w:val="0"/>
          <w:i w:val="0"/>
        </w:rPr>
        <w:t xml:space="preserve"> </w:t>
      </w:r>
      <w:hyperlink w:anchor="latin-record-0805">
        <w:r>
          <w:rPr>
            <w:color w:val="000000"/>
          </w:rPr>
          <w:t xml:space="preserve">motor</w:t>
        </w:r>
      </w:hyperlink>
      <w:r>
        <w:rPr>
          <w:b w:val="0"/>
          <w:i w:val="0"/>
        </w:rPr>
        <w:t>.</w:t>
      </w:r>
    </w:p>
    <w:p>
      <w:pPr>
        <w:widowControl/>
      </w:pPr>
      <w:r>
        <w:rPr>
          <w:b/>
          <w:i w:val="0"/>
        </w:rPr>
        <w:t>motorem.</w:t>
      </w:r>
      <w:r>
        <w:rPr>
          <w:b w:val="0"/>
          <w:i w:val="0"/>
        </w:rPr>
        <w:t xml:space="preserve"> </w:t>
      </w:r>
      <w:hyperlink w:anchor="latin-record-0806">
        <w:r>
          <w:rPr>
            <w:color w:val="000000"/>
          </w:rPr>
          <w:t xml:space="preserve">motor / rector / una forma</w:t>
        </w:r>
      </w:hyperlink>
      <w:r>
        <w:rPr>
          <w:b w:val="0"/>
          <w:i w:val="0"/>
        </w:rPr>
        <w:t>.</w:t>
      </w:r>
    </w:p>
    <w:p>
      <w:pPr>
        <w:widowControl/>
      </w:pPr>
      <w:r>
        <w:rPr>
          <w:b/>
          <w:i w:val="0"/>
        </w:rPr>
        <w:t>motores.</w:t>
      </w:r>
      <w:r>
        <w:rPr>
          <w:b w:val="0"/>
          <w:i w:val="0"/>
        </w:rPr>
        <w:t xml:space="preserve"> </w:t>
      </w:r>
      <w:hyperlink w:anchor="latin-record-0813">
        <w:r>
          <w:rPr>
            <w:color w:val="000000"/>
          </w:rPr>
          <w:t xml:space="preserve">movere; motus</w:t>
        </w:r>
      </w:hyperlink>
      <w:r>
        <w:rPr>
          <w:b w:val="0"/>
          <w:i w:val="0"/>
        </w:rPr>
        <w:t>.</w:t>
      </w:r>
    </w:p>
    <w:p>
      <w:pPr>
        <w:widowControl/>
      </w:pPr>
      <w:r>
        <w:rPr>
          <w:b/>
          <w:i w:val="0"/>
        </w:rPr>
        <w:t>motori.</w:t>
      </w:r>
      <w:r>
        <w:rPr>
          <w:b w:val="0"/>
          <w:i w:val="0"/>
        </w:rPr>
        <w:t xml:space="preserve"> </w:t>
      </w:r>
      <w:hyperlink w:anchor="latin-record-0805">
        <w:r>
          <w:rPr>
            <w:color w:val="000000"/>
          </w:rPr>
          <w:t xml:space="preserve">motor</w:t>
        </w:r>
      </w:hyperlink>
      <w:r>
        <w:rPr>
          <w:b w:val="0"/>
          <w:i w:val="0"/>
        </w:rPr>
        <w:t>.</w:t>
      </w:r>
    </w:p>
    <w:p>
      <w:pPr>
        <w:widowControl/>
      </w:pPr>
      <w:r>
        <w:rPr>
          <w:b/>
          <w:i w:val="0"/>
        </w:rPr>
        <w:t>motrice.</w:t>
      </w:r>
      <w:r>
        <w:rPr>
          <w:b w:val="0"/>
          <w:i w:val="0"/>
        </w:rPr>
        <w:t xml:space="preserve"> </w:t>
      </w:r>
      <w:hyperlink w:anchor="latin-record-0811">
        <w:r>
          <w:rPr>
            <w:color w:val="000000"/>
          </w:rPr>
          <w:t xml:space="preserve">movere / immobilis</w:t>
        </w:r>
      </w:hyperlink>
      <w:r>
        <w:rPr>
          <w:b w:val="0"/>
          <w:i w:val="0"/>
        </w:rPr>
        <w:t>.</w:t>
      </w:r>
    </w:p>
    <w:p>
      <w:pPr>
        <w:widowControl/>
      </w:pPr>
      <w:r>
        <w:rPr>
          <w:b/>
          <w:i w:val="0"/>
        </w:rPr>
        <w:t>motrixque.</w:t>
      </w:r>
      <w:r>
        <w:rPr>
          <w:b w:val="0"/>
          <w:i w:val="0"/>
        </w:rPr>
        <w:t xml:space="preserve"> </w:t>
      </w:r>
      <w:hyperlink w:anchor="latin-record-1080">
        <w:r>
          <w:rPr>
            <w:color w:val="000000"/>
          </w:rPr>
          <w:t xml:space="preserve">rectrix; motrix; pedisequa</w:t>
        </w:r>
      </w:hyperlink>
      <w:r>
        <w:rPr>
          <w:b w:val="0"/>
          <w:i w:val="0"/>
        </w:rPr>
        <w:t>.</w:t>
      </w:r>
    </w:p>
    <w:p>
      <w:pPr>
        <w:widowControl/>
      </w:pPr>
      <w:r>
        <w:rPr>
          <w:b/>
          <w:i w:val="0"/>
        </w:rPr>
        <w:t>motu.</w:t>
      </w:r>
      <w:r>
        <w:rPr>
          <w:b w:val="0"/>
          <w:i w:val="0"/>
        </w:rPr>
        <w:t xml:space="preserve"> </w:t>
      </w:r>
      <w:hyperlink w:anchor="latin-record-0807">
        <w:r>
          <w:rPr>
            <w:color w:val="000000"/>
          </w:rPr>
          <w:t xml:space="preserve">motus / alteratio / quies</w:t>
        </w:r>
      </w:hyperlink>
      <w:r>
        <w:rPr>
          <w:b w:val="0"/>
          <w:i w:val="0"/>
        </w:rPr>
        <w:t xml:space="preserve">; </w:t>
      </w:r>
      <w:hyperlink w:anchor="latin-record-0808">
        <w:r>
          <w:rPr>
            <w:color w:val="000000"/>
          </w:rPr>
          <w:t xml:space="preserve">motus / movere</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motu secundum essentiam vitalem.</w:t>
      </w:r>
      <w:r>
        <w:rPr>
          <w:b w:val="0"/>
          <w:i w:val="0"/>
        </w:rPr>
        <w:t xml:space="preserve"> </w:t>
      </w:r>
      <w:hyperlink w:anchor="latin-record-0810">
        <w:r>
          <w:rPr>
            <w:color w:val="000000"/>
          </w:rPr>
          <w:t xml:space="preserve">motus vitalis</w:t>
        </w:r>
      </w:hyperlink>
      <w:r>
        <w:rPr>
          <w:b w:val="0"/>
          <w:i w:val="0"/>
        </w:rPr>
        <w:t>.</w:t>
      </w:r>
    </w:p>
    <w:p>
      <w:pPr>
        <w:widowControl/>
      </w:pPr>
      <w:r>
        <w:rPr>
          <w:b/>
          <w:i w:val="0"/>
        </w:rPr>
        <w:t>motui.</w:t>
      </w:r>
      <w:r>
        <w:rPr>
          <w:b w:val="0"/>
          <w:i w:val="0"/>
        </w:rPr>
        <w:t xml:space="preserve"> </w:t>
      </w:r>
      <w:hyperlink w:anchor="latin-record-0808">
        <w:r>
          <w:rPr>
            <w:color w:val="000000"/>
          </w:rPr>
          <w:t xml:space="preserve">motus / movere</w:t>
        </w:r>
      </w:hyperlink>
      <w:r>
        <w:rPr>
          <w:b w:val="0"/>
          <w:i w:val="0"/>
        </w:rPr>
        <w:t>.</w:t>
      </w:r>
    </w:p>
    <w:p>
      <w:pPr>
        <w:widowControl/>
      </w:pPr>
      <w:r>
        <w:rPr>
          <w:b/>
          <w:i w:val="0"/>
        </w:rPr>
        <w:t>motum.</w:t>
      </w:r>
      <w:r>
        <w:rPr>
          <w:b w:val="0"/>
          <w:i w:val="0"/>
        </w:rPr>
        <w:t xml:space="preserve"> </w:t>
      </w:r>
      <w:hyperlink w:anchor="latin-record-0807">
        <w:r>
          <w:rPr>
            <w:color w:val="000000"/>
          </w:rPr>
          <w:t xml:space="preserve">motus / alteratio / quies</w:t>
        </w:r>
      </w:hyperlink>
      <w:r>
        <w:rPr>
          <w:b w:val="0"/>
          <w:i w:val="0"/>
        </w:rPr>
        <w:t xml:space="preserve">; </w:t>
      </w:r>
      <w:hyperlink w:anchor="latin-record-0808">
        <w:r>
          <w:rPr>
            <w:color w:val="000000"/>
          </w:rPr>
          <w:t xml:space="preserve">motus / movere</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motum internum atque externum.</w:t>
      </w:r>
      <w:r>
        <w:rPr>
          <w:b w:val="0"/>
          <w:i w:val="0"/>
        </w:rPr>
        <w:t xml:space="preserve"> </w:t>
      </w:r>
      <w:hyperlink w:anchor="latin-record-0809">
        <w:r>
          <w:rPr>
            <w:color w:val="000000"/>
          </w:rPr>
          <w:t xml:space="preserve">motus internus / externus</w:t>
        </w:r>
      </w:hyperlink>
      <w:r>
        <w:rPr>
          <w:b w:val="0"/>
          <w:i w:val="0"/>
        </w:rPr>
        <w:t>.</w:t>
      </w:r>
    </w:p>
    <w:p>
      <w:pPr>
        <w:widowControl/>
      </w:pPr>
      <w:r>
        <w:rPr>
          <w:b/>
          <w:i w:val="0"/>
        </w:rPr>
        <w:t>motus.</w:t>
      </w:r>
      <w:r>
        <w:rPr>
          <w:b w:val="0"/>
          <w:i w:val="0"/>
        </w:rPr>
        <w:t xml:space="preserve"> </w:t>
      </w:r>
      <w:hyperlink w:anchor="latin-record-0447">
        <w:r>
          <w:rPr>
            <w:color w:val="000000"/>
          </w:rPr>
          <w:t xml:space="preserve">essentia–vita–mens</w:t>
        </w:r>
      </w:hyperlink>
      <w:r>
        <w:rPr>
          <w:b w:val="0"/>
          <w:i w:val="0"/>
        </w:rPr>
        <w:t xml:space="preserve">; </w:t>
      </w:r>
      <w:hyperlink w:anchor="latin-record-0808">
        <w:r>
          <w:rPr>
            <w:color w:val="000000"/>
          </w:rPr>
          <w:t xml:space="preserve">motus / movere</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motuum.</w:t>
      </w:r>
      <w:r>
        <w:rPr>
          <w:b w:val="0"/>
          <w:i w:val="0"/>
        </w:rPr>
        <w:t xml:space="preserve"> </w:t>
      </w:r>
      <w:hyperlink w:anchor="latin-record-0813">
        <w:r>
          <w:rPr>
            <w:color w:val="000000"/>
          </w:rPr>
          <w:t xml:space="preserve">movere; motus</w:t>
        </w:r>
      </w:hyperlink>
      <w:r>
        <w:rPr>
          <w:b w:val="0"/>
          <w:i w:val="0"/>
        </w:rPr>
        <w:t>.</w:t>
      </w:r>
    </w:p>
    <w:p>
      <w:pPr>
        <w:widowControl/>
      </w:pPr>
      <w:r>
        <w:rPr>
          <w:b/>
          <w:i w:val="0"/>
        </w:rPr>
        <w:t>moveant.</w:t>
      </w:r>
      <w:r>
        <w:rPr>
          <w:b w:val="0"/>
          <w:i w:val="0"/>
        </w:rPr>
        <w:t xml:space="preserve"> </w:t>
      </w:r>
      <w:hyperlink w:anchor="latin-record-0813">
        <w:r>
          <w:rPr>
            <w:color w:val="000000"/>
          </w:rPr>
          <w:t xml:space="preserve">movere; motus</w:t>
        </w:r>
      </w:hyperlink>
      <w:r>
        <w:rPr>
          <w:b w:val="0"/>
          <w:i w:val="0"/>
        </w:rPr>
        <w:t>.</w:t>
      </w:r>
    </w:p>
    <w:p>
      <w:pPr>
        <w:widowControl/>
      </w:pPr>
      <w:r>
        <w:rPr>
          <w:b/>
          <w:i w:val="0"/>
        </w:rPr>
        <w:t>moveantur.</w:t>
      </w:r>
      <w:r>
        <w:rPr>
          <w:b w:val="0"/>
          <w:i w:val="0"/>
        </w:rPr>
        <w:t xml:space="preserve"> </w:t>
      </w:r>
      <w:hyperlink w:anchor="latin-record-0813">
        <w:r>
          <w:rPr>
            <w:color w:val="000000"/>
          </w:rPr>
          <w:t xml:space="preserve">movere; motus</w:t>
        </w:r>
      </w:hyperlink>
      <w:r>
        <w:rPr>
          <w:b w:val="0"/>
          <w:i w:val="0"/>
        </w:rPr>
        <w:t>.</w:t>
      </w:r>
    </w:p>
    <w:p>
      <w:pPr>
        <w:widowControl/>
      </w:pPr>
      <w:r>
        <w:rPr>
          <w:b/>
          <w:i w:val="0"/>
        </w:rPr>
        <w:t>moveat.</w:t>
      </w:r>
      <w:r>
        <w:rPr>
          <w:b w:val="0"/>
          <w:i w:val="0"/>
        </w:rPr>
        <w:t xml:space="preserve"> </w:t>
      </w:r>
      <w:hyperlink w:anchor="latin-record-0534">
        <w:r>
          <w:rPr>
            <w:color w:val="000000"/>
          </w:rPr>
          <w:t xml:space="preserve">fundere; movere</w:t>
        </w:r>
      </w:hyperlink>
      <w:r>
        <w:rPr>
          <w:b w:val="0"/>
          <w:i w:val="0"/>
        </w:rPr>
        <w:t xml:space="preserve">; </w:t>
      </w:r>
      <w:hyperlink w:anchor="latin-record-0812">
        <w:r>
          <w:rPr>
            <w:color w:val="000000"/>
          </w:rPr>
          <w:t xml:space="preserve">movere et moveri</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moveatur.</w:t>
      </w:r>
      <w:r>
        <w:rPr>
          <w:b w:val="0"/>
          <w:i w:val="0"/>
        </w:rPr>
        <w:t xml:space="preserve"> </w:t>
      </w:r>
      <w:hyperlink w:anchor="latin-record-0812">
        <w:r>
          <w:rPr>
            <w:color w:val="000000"/>
          </w:rPr>
          <w:t xml:space="preserve">movere et moveri</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movebit.</w:t>
      </w:r>
      <w:r>
        <w:rPr>
          <w:b w:val="0"/>
          <w:i w:val="0"/>
        </w:rPr>
        <w:t xml:space="preserve"> </w:t>
      </w:r>
      <w:hyperlink w:anchor="latin-record-0808">
        <w:r>
          <w:rPr>
            <w:color w:val="000000"/>
          </w:rPr>
          <w:t xml:space="preserve">motus / movere</w:t>
        </w:r>
      </w:hyperlink>
      <w:r>
        <w:rPr>
          <w:b w:val="0"/>
          <w:i w:val="0"/>
        </w:rPr>
        <w:t>.</w:t>
      </w:r>
    </w:p>
    <w:p>
      <w:pPr>
        <w:widowControl/>
      </w:pPr>
      <w:r>
        <w:rPr>
          <w:b/>
          <w:i w:val="0"/>
        </w:rPr>
        <w:t>movent.</w:t>
      </w:r>
      <w:r>
        <w:rPr>
          <w:b w:val="0"/>
          <w:i w:val="0"/>
        </w:rPr>
        <w:t xml:space="preserve"> </w:t>
      </w:r>
      <w:hyperlink w:anchor="latin-record-0813">
        <w:r>
          <w:rPr>
            <w:color w:val="000000"/>
          </w:rPr>
          <w:t xml:space="preserve">movere; motus</w:t>
        </w:r>
      </w:hyperlink>
      <w:r>
        <w:rPr>
          <w:b w:val="0"/>
          <w:i w:val="0"/>
        </w:rPr>
        <w:t>.</w:t>
      </w:r>
    </w:p>
    <w:p>
      <w:pPr>
        <w:widowControl/>
      </w:pPr>
      <w:r>
        <w:rPr>
          <w:b/>
          <w:i w:val="0"/>
        </w:rPr>
        <w:t>moventur.</w:t>
      </w:r>
      <w:r>
        <w:rPr>
          <w:b w:val="0"/>
          <w:i w:val="0"/>
        </w:rPr>
        <w:t xml:space="preserve"> </w:t>
      </w:r>
      <w:hyperlink w:anchor="latin-record-0808">
        <w:r>
          <w:rPr>
            <w:color w:val="000000"/>
          </w:rPr>
          <w:t xml:space="preserve">motus / movere</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movere.</w:t>
      </w:r>
      <w:r>
        <w:rPr>
          <w:b w:val="0"/>
          <w:i w:val="0"/>
        </w:rPr>
        <w:t xml:space="preserve"> </w:t>
      </w:r>
      <w:hyperlink w:anchor="latin-record-0813">
        <w:r>
          <w:rPr>
            <w:color w:val="000000"/>
          </w:rPr>
          <w:t xml:space="preserve">movere; motus</w:t>
        </w:r>
      </w:hyperlink>
      <w:r>
        <w:rPr>
          <w:b w:val="0"/>
          <w:i w:val="0"/>
        </w:rPr>
        <w:t>.</w:t>
      </w:r>
    </w:p>
    <w:p>
      <w:pPr>
        <w:widowControl/>
      </w:pPr>
      <w:r>
        <w:rPr>
          <w:b/>
          <w:i w:val="0"/>
        </w:rPr>
        <w:t>moveri.</w:t>
      </w:r>
      <w:r>
        <w:rPr>
          <w:b w:val="0"/>
          <w:i w:val="0"/>
        </w:rPr>
        <w:t xml:space="preserve"> </w:t>
      </w:r>
      <w:hyperlink w:anchor="latin-record-0813">
        <w:r>
          <w:rPr>
            <w:color w:val="000000"/>
          </w:rPr>
          <w:t xml:space="preserve">movere; motus</w:t>
        </w:r>
      </w:hyperlink>
      <w:r>
        <w:rPr>
          <w:b w:val="0"/>
          <w:i w:val="0"/>
        </w:rPr>
        <w:t>.</w:t>
      </w:r>
    </w:p>
    <w:p>
      <w:pPr>
        <w:widowControl/>
      </w:pPr>
      <w:r>
        <w:rPr>
          <w:b/>
          <w:i w:val="0"/>
        </w:rPr>
        <w:t>movet.</w:t>
      </w:r>
      <w:r>
        <w:rPr>
          <w:b w:val="0"/>
          <w:i w:val="0"/>
        </w:rPr>
        <w:t xml:space="preserve"> </w:t>
      </w:r>
      <w:hyperlink w:anchor="latin-record-0808">
        <w:r>
          <w:rPr>
            <w:color w:val="000000"/>
          </w:rPr>
          <w:t xml:space="preserve">motus / movere</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movetque.</w:t>
      </w:r>
      <w:r>
        <w:rPr>
          <w:b w:val="0"/>
          <w:i w:val="0"/>
        </w:rPr>
        <w:t xml:space="preserve"> </w:t>
      </w:r>
      <w:hyperlink w:anchor="latin-record-1093">
        <w:r>
          <w:rPr>
            <w:color w:val="000000"/>
          </w:rPr>
          <w:t xml:space="preserve">regere / movere</w:t>
        </w:r>
      </w:hyperlink>
      <w:r>
        <w:rPr>
          <w:b w:val="0"/>
          <w:i w:val="0"/>
        </w:rPr>
        <w:t>.</w:t>
      </w:r>
    </w:p>
    <w:p>
      <w:pPr>
        <w:widowControl/>
      </w:pPr>
      <w:r>
        <w:rPr>
          <w:b/>
          <w:i w:val="0"/>
        </w:rPr>
        <w:t>movetur.</w:t>
      </w:r>
      <w:r>
        <w:rPr>
          <w:b w:val="0"/>
          <w:i w:val="0"/>
        </w:rPr>
        <w:t xml:space="preserve"> </w:t>
      </w:r>
      <w:hyperlink w:anchor="latin-record-0807">
        <w:r>
          <w:rPr>
            <w:color w:val="000000"/>
          </w:rPr>
          <w:t xml:space="preserve">motus / alteratio / quies</w:t>
        </w:r>
      </w:hyperlink>
      <w:r>
        <w:rPr>
          <w:b w:val="0"/>
          <w:i w:val="0"/>
        </w:rPr>
        <w:t xml:space="preserve">; </w:t>
      </w:r>
      <w:hyperlink w:anchor="latin-record-0813">
        <w:r>
          <w:rPr>
            <w:color w:val="000000"/>
          </w:rPr>
          <w:t xml:space="preserve">movere; motus</w:t>
        </w:r>
      </w:hyperlink>
      <w:r>
        <w:rPr>
          <w:b w:val="0"/>
          <w:i w:val="0"/>
        </w:rPr>
        <w:t>.</w:t>
      </w:r>
    </w:p>
    <w:p>
      <w:pPr>
        <w:widowControl/>
      </w:pPr>
      <w:r>
        <w:rPr>
          <w:b/>
          <w:i w:val="0"/>
        </w:rPr>
        <w:t>multitudinem.</w:t>
      </w:r>
      <w:r>
        <w:rPr>
          <w:b w:val="0"/>
          <w:i w:val="0"/>
        </w:rPr>
        <w:t xml:space="preserve"> </w:t>
      </w:r>
      <w:hyperlink w:anchor="latin-record-1319">
        <w:r>
          <w:rPr>
            <w:color w:val="000000"/>
          </w:rPr>
          <w:t xml:space="preserve">unitas / multitudo</w:t>
        </w:r>
      </w:hyperlink>
      <w:r>
        <w:rPr>
          <w:b w:val="0"/>
          <w:i w:val="0"/>
        </w:rPr>
        <w:t>.</w:t>
      </w:r>
    </w:p>
    <w:p>
      <w:pPr>
        <w:widowControl/>
      </w:pPr>
      <w:r>
        <w:rPr>
          <w:b/>
          <w:i w:val="0"/>
        </w:rPr>
        <w:t>multitudo.</w:t>
      </w:r>
      <w:r>
        <w:rPr>
          <w:b w:val="0"/>
          <w:i w:val="0"/>
        </w:rPr>
        <w:t xml:space="preserve"> </w:t>
      </w:r>
      <w:hyperlink w:anchor="latin-record-1319">
        <w:r>
          <w:rPr>
            <w:color w:val="000000"/>
          </w:rPr>
          <w:t xml:space="preserve">unitas / multitudo</w:t>
        </w:r>
      </w:hyperlink>
      <w:r>
        <w:rPr>
          <w:b w:val="0"/>
          <w:i w:val="0"/>
        </w:rPr>
        <w:t>.</w:t>
      </w:r>
    </w:p>
    <w:p>
      <w:pPr>
        <w:widowControl/>
      </w:pPr>
      <w:r>
        <w:rPr>
          <w:b/>
          <w:i w:val="0"/>
        </w:rPr>
        <w:t>mundi.</w:t>
      </w:r>
      <w:r>
        <w:rPr>
          <w:b w:val="0"/>
          <w:i w:val="0"/>
        </w:rPr>
        <w:t xml:space="preserve"> </w:t>
      </w:r>
      <w:hyperlink w:anchor="latin-record-0173">
        <w:r>
          <w:rPr>
            <w:color w:val="000000"/>
          </w:rPr>
          <w:t xml:space="preserve">caelum; terra; mundus</w:t>
        </w:r>
      </w:hyperlink>
      <w:r>
        <w:rPr>
          <w:b w:val="0"/>
          <w:i w:val="0"/>
        </w:rPr>
        <w:t>.</w:t>
      </w:r>
    </w:p>
    <w:p>
      <w:pPr>
        <w:widowControl/>
      </w:pPr>
      <w:r>
        <w:rPr>
          <w:b/>
          <w:i w:val="0"/>
        </w:rPr>
        <w:t>mundi nodus.</w:t>
      </w:r>
      <w:r>
        <w:rPr>
          <w:b w:val="0"/>
          <w:i w:val="0"/>
        </w:rPr>
        <w:t xml:space="preserve"> </w:t>
      </w:r>
      <w:hyperlink w:anchor="latin-record-0814">
        <w:r>
          <w:rPr>
            <w:color w:val="000000"/>
          </w:rPr>
          <w:t xml:space="preserve">mundi nodus</w:t>
        </w:r>
      </w:hyperlink>
      <w:r>
        <w:rPr>
          <w:b w:val="0"/>
          <w:i w:val="0"/>
        </w:rPr>
        <w:t>.</w:t>
      </w:r>
    </w:p>
    <w:p>
      <w:pPr>
        <w:widowControl/>
      </w:pPr>
      <w:r>
        <w:rPr>
          <w:b/>
          <w:i w:val="0"/>
        </w:rPr>
        <w:t>mundo.</w:t>
      </w:r>
      <w:r>
        <w:rPr>
          <w:b w:val="0"/>
          <w:i w:val="0"/>
        </w:rPr>
        <w:t xml:space="preserve"> </w:t>
      </w:r>
      <w:hyperlink w:anchor="latin-record-0173">
        <w:r>
          <w:rPr>
            <w:color w:val="000000"/>
          </w:rPr>
          <w:t xml:space="preserve">caelum; terra; mundus</w:t>
        </w:r>
      </w:hyperlink>
      <w:r>
        <w:rPr>
          <w:b w:val="0"/>
          <w:i w:val="0"/>
        </w:rPr>
        <w:t>.</w:t>
      </w:r>
    </w:p>
    <w:p>
      <w:pPr>
        <w:widowControl/>
      </w:pPr>
      <w:r>
        <w:rPr>
          <w:b/>
          <w:i w:val="0"/>
        </w:rPr>
        <w:t>mundum.</w:t>
      </w:r>
      <w:r>
        <w:rPr>
          <w:b w:val="0"/>
          <w:i w:val="0"/>
        </w:rPr>
        <w:t xml:space="preserve"> </w:t>
      </w:r>
      <w:hyperlink w:anchor="latin-record-0173">
        <w:r>
          <w:rPr>
            <w:color w:val="000000"/>
          </w:rPr>
          <w:t xml:space="preserve">caelum; terra; mundus</w:t>
        </w:r>
      </w:hyperlink>
      <w:r>
        <w:rPr>
          <w:b w:val="0"/>
          <w:i w:val="0"/>
        </w:rPr>
        <w:t>.</w:t>
      </w:r>
    </w:p>
    <w:p>
      <w:pPr>
        <w:widowControl/>
      </w:pPr>
      <w:r>
        <w:rPr>
          <w:b/>
          <w:i w:val="0"/>
        </w:rPr>
        <w:t>musicis.</w:t>
      </w:r>
      <w:r>
        <w:rPr>
          <w:b w:val="0"/>
          <w:i w:val="0"/>
        </w:rPr>
        <w:t xml:space="preserve"> </w:t>
      </w:r>
      <w:hyperlink w:anchor="latin-record-0126">
        <w:r>
          <w:rPr>
            <w:color w:val="000000"/>
          </w:rPr>
          <w:t xml:space="preserve">Aristoxenus / musici</w:t>
        </w:r>
      </w:hyperlink>
      <w:r>
        <w:rPr>
          <w:b w:val="0"/>
          <w:i w:val="0"/>
        </w:rPr>
        <w:t>.</w:t>
      </w:r>
    </w:p>
    <w:p>
      <w:pPr>
        <w:widowControl/>
      </w:pPr>
      <w:r>
        <w:rPr>
          <w:b/>
          <w:i w:val="0"/>
        </w:rPr>
        <w:t>Mutabile.</w:t>
      </w:r>
      <w:r>
        <w:rPr>
          <w:b w:val="0"/>
          <w:i w:val="0"/>
        </w:rPr>
        <w:t xml:space="preserve"> </w:t>
      </w:r>
      <w:hyperlink w:anchor="latin-record-0816">
        <w:r>
          <w:rPr>
            <w:color w:val="000000"/>
          </w:rPr>
          <w:t xml:space="preserve">mutare / mutatio</w:t>
        </w:r>
      </w:hyperlink>
      <w:r>
        <w:rPr>
          <w:b w:val="0"/>
          <w:i w:val="0"/>
        </w:rPr>
        <w:t>.</w:t>
      </w:r>
    </w:p>
    <w:p>
      <w:pPr>
        <w:widowControl/>
      </w:pPr>
      <w:r>
        <w:rPr>
          <w:b/>
          <w:i w:val="0"/>
        </w:rPr>
        <w:t>Mutabiles.</w:t>
      </w:r>
      <w:r>
        <w:rPr>
          <w:b w:val="0"/>
          <w:i w:val="0"/>
        </w:rPr>
        <w:t xml:space="preserve"> </w:t>
      </w:r>
      <w:hyperlink w:anchor="latin-record-0816">
        <w:r>
          <w:rPr>
            <w:color w:val="000000"/>
          </w:rPr>
          <w:t xml:space="preserve">mutare / mutatio</w:t>
        </w:r>
      </w:hyperlink>
      <w:r>
        <w:rPr>
          <w:b w:val="0"/>
          <w:i w:val="0"/>
        </w:rPr>
        <w:t>.</w:t>
      </w:r>
    </w:p>
    <w:p>
      <w:pPr>
        <w:widowControl/>
      </w:pPr>
      <w:r>
        <w:rPr>
          <w:b/>
          <w:i w:val="0"/>
        </w:rPr>
        <w:t>mutabili.</w:t>
      </w:r>
      <w:r>
        <w:rPr>
          <w:b w:val="0"/>
          <w:i w:val="0"/>
        </w:rPr>
        <w:t xml:space="preserve"> </w:t>
      </w:r>
      <w:hyperlink w:anchor="latin-record-0816">
        <w:r>
          <w:rPr>
            <w:color w:val="000000"/>
          </w:rPr>
          <w:t xml:space="preserve">mutare / mutatio</w:t>
        </w:r>
      </w:hyperlink>
      <w:r>
        <w:rPr>
          <w:b w:val="0"/>
          <w:i w:val="0"/>
        </w:rPr>
        <w:t>.</w:t>
      </w:r>
    </w:p>
    <w:p>
      <w:pPr>
        <w:widowControl/>
      </w:pPr>
      <w:r>
        <w:rPr>
          <w:b/>
          <w:i w:val="0"/>
        </w:rPr>
        <w:t>mutabilia.</w:t>
      </w:r>
      <w:r>
        <w:rPr>
          <w:b w:val="0"/>
          <w:i w:val="0"/>
        </w:rPr>
        <w:t xml:space="preserve"> </w:t>
      </w:r>
      <w:hyperlink w:anchor="latin-record-0815">
        <w:r>
          <w:rPr>
            <w:color w:val="000000"/>
          </w:rPr>
          <w:t xml:space="preserve">mutabilis / immutabilis</w:t>
        </w:r>
      </w:hyperlink>
      <w:r>
        <w:rPr>
          <w:b w:val="0"/>
          <w:i w:val="0"/>
        </w:rPr>
        <w:t>.</w:t>
      </w:r>
    </w:p>
    <w:p>
      <w:pPr>
        <w:widowControl/>
      </w:pPr>
      <w:r>
        <w:rPr>
          <w:b/>
          <w:i w:val="0"/>
        </w:rPr>
        <w:t>mutabiliter.</w:t>
      </w:r>
      <w:r>
        <w:rPr>
          <w:b w:val="0"/>
          <w:i w:val="0"/>
        </w:rPr>
        <w:t xml:space="preserve"> </w:t>
      </w:r>
      <w:hyperlink w:anchor="latin-record-0816">
        <w:r>
          <w:rPr>
            <w:color w:val="000000"/>
          </w:rPr>
          <w:t xml:space="preserve">mutare / mutatio</w:t>
        </w:r>
      </w:hyperlink>
      <w:r>
        <w:rPr>
          <w:b w:val="0"/>
          <w:i w:val="0"/>
        </w:rPr>
        <w:t>.</w:t>
      </w:r>
    </w:p>
    <w:p>
      <w:pPr>
        <w:widowControl/>
      </w:pPr>
      <w:r>
        <w:rPr>
          <w:b/>
          <w:i w:val="0"/>
        </w:rPr>
        <w:t>mutant speciem.</w:t>
      </w:r>
      <w:r>
        <w:rPr>
          <w:b w:val="0"/>
          <w:i w:val="0"/>
        </w:rPr>
        <w:t xml:space="preserve"> </w:t>
      </w:r>
      <w:hyperlink w:anchor="latin-record-0817">
        <w:r>
          <w:rPr>
            <w:color w:val="000000"/>
          </w:rPr>
          <w:t xml:space="preserve">mutare speciem</w:t>
        </w:r>
      </w:hyperlink>
      <w:r>
        <w:rPr>
          <w:b w:val="0"/>
          <w:i w:val="0"/>
        </w:rPr>
        <w:t>.</w:t>
      </w:r>
    </w:p>
    <w:p>
      <w:pPr>
        <w:widowControl/>
      </w:pPr>
      <w:r>
        <w:rPr>
          <w:b/>
          <w:i w:val="0"/>
        </w:rPr>
        <w:t>mutatio.</w:t>
      </w:r>
      <w:r>
        <w:rPr>
          <w:b w:val="0"/>
          <w:i w:val="0"/>
        </w:rPr>
        <w:t xml:space="preserve"> </w:t>
      </w:r>
      <w:hyperlink w:anchor="latin-record-0816">
        <w:r>
          <w:rPr>
            <w:color w:val="000000"/>
          </w:rPr>
          <w:t xml:space="preserve">mutare / mutatio</w:t>
        </w:r>
      </w:hyperlink>
      <w:r>
        <w:rPr>
          <w:b w:val="0"/>
          <w:i w:val="0"/>
        </w:rPr>
        <w:t xml:space="preserve">; </w:t>
      </w:r>
      <w:hyperlink w:anchor="latin-record-0818">
        <w:r>
          <w:rPr>
            <w:color w:val="000000"/>
          </w:rPr>
          <w:t xml:space="preserve">mutatio / mutare</w:t>
        </w:r>
      </w:hyperlink>
      <w:r>
        <w:rPr>
          <w:b w:val="0"/>
          <w:i w:val="0"/>
        </w:rPr>
        <w:t>.</w:t>
      </w:r>
    </w:p>
    <w:p>
      <w:pPr>
        <w:widowControl/>
      </w:pPr>
      <w:r>
        <w:rPr>
          <w:b/>
          <w:i w:val="0"/>
        </w:rPr>
        <w:t>mutationem.</w:t>
      </w:r>
      <w:r>
        <w:rPr>
          <w:b w:val="0"/>
          <w:i w:val="0"/>
        </w:rPr>
        <w:t xml:space="preserve"> </w:t>
      </w:r>
      <w:hyperlink w:anchor="latin-record-0818">
        <w:r>
          <w:rPr>
            <w:color w:val="000000"/>
          </w:rPr>
          <w:t xml:space="preserve">mutatio / mutare</w:t>
        </w:r>
      </w:hyperlink>
      <w:r>
        <w:rPr>
          <w:b w:val="0"/>
          <w:i w:val="0"/>
        </w:rPr>
        <w:t>.</w:t>
      </w:r>
    </w:p>
    <w:p>
      <w:pPr>
        <w:widowControl/>
      </w:pPr>
      <w:r>
        <w:rPr>
          <w:b/>
          <w:i w:val="0"/>
        </w:rPr>
        <w:t>mutationis.</w:t>
      </w:r>
      <w:r>
        <w:rPr>
          <w:b w:val="0"/>
          <w:i w:val="0"/>
        </w:rPr>
        <w:t xml:space="preserve"> </w:t>
      </w:r>
      <w:hyperlink w:anchor="latin-record-0816">
        <w:r>
          <w:rPr>
            <w:color w:val="000000"/>
          </w:rPr>
          <w:t xml:space="preserve">mutare / mutatio</w:t>
        </w:r>
      </w:hyperlink>
      <w:r>
        <w:rPr>
          <w:b w:val="0"/>
          <w:i w:val="0"/>
        </w:rPr>
        <w:t>.</w:t>
      </w:r>
    </w:p>
    <w:p>
      <w:pPr>
        <w:widowControl/>
      </w:pPr>
      <w:r>
        <w:rPr>
          <w:b/>
          <w:i w:val="0"/>
        </w:rPr>
        <w:t>mutatur.</w:t>
      </w:r>
      <w:r>
        <w:rPr>
          <w:b w:val="0"/>
          <w:i w:val="0"/>
        </w:rPr>
        <w:t xml:space="preserve"> </w:t>
      </w:r>
      <w:hyperlink w:anchor="latin-record-0816">
        <w:r>
          <w:rPr>
            <w:color w:val="000000"/>
          </w:rPr>
          <w:t xml:space="preserve">mutare / mutatio</w:t>
        </w:r>
      </w:hyperlink>
      <w:r>
        <w:rPr>
          <w:b w:val="0"/>
          <w:i w:val="0"/>
        </w:rPr>
        <w:t>.</w:t>
      </w:r>
    </w:p>
    <w:p>
      <w:pPr>
        <w:widowControl/>
      </w:pPr>
      <w:r>
        <w:rPr>
          <w:b/>
          <w:i w:val="0"/>
        </w:rPr>
        <w:t>mutet.</w:t>
      </w:r>
      <w:r>
        <w:rPr>
          <w:b w:val="0"/>
          <w:i w:val="0"/>
        </w:rPr>
        <w:t xml:space="preserve"> </w:t>
      </w:r>
      <w:hyperlink w:anchor="latin-record-0818">
        <w:r>
          <w:rPr>
            <w:color w:val="000000"/>
          </w:rPr>
          <w:t xml:space="preserve">mutatio / mutare</w:t>
        </w:r>
      </w:hyperlink>
      <w:r>
        <w:rPr>
          <w:b w:val="0"/>
          <w:i w:val="0"/>
        </w:rPr>
        <w:t>.</w:t>
      </w:r>
    </w:p>
    <w:p>
      <w:pPr>
        <w:widowControl/>
      </w:pPr>
      <w:r>
        <w:rPr>
          <w:b/>
          <w:i w:val="0"/>
        </w:rPr>
        <w:t>mutetur.</w:t>
      </w:r>
      <w:r>
        <w:rPr>
          <w:b w:val="0"/>
          <w:i w:val="0"/>
        </w:rPr>
        <w:t xml:space="preserve"> </w:t>
      </w:r>
      <w:hyperlink w:anchor="latin-record-0816">
        <w:r>
          <w:rPr>
            <w:color w:val="000000"/>
          </w:rPr>
          <w:t xml:space="preserve">mutare / mutatio</w:t>
        </w:r>
      </w:hyperlink>
      <w:r>
        <w:rPr>
          <w:b w:val="0"/>
          <w:i w:val="0"/>
        </w:rPr>
        <w:t>.</w:t>
      </w:r>
    </w:p>
    <w:p>
      <w:pPr>
        <w:widowControl/>
      </w:pPr>
      <w:r>
        <w:rPr>
          <w:b/>
          <w:i w:val="0"/>
        </w:rPr>
        <w:t>mutua.</w:t>
      </w:r>
      <w:r>
        <w:rPr>
          <w:b w:val="0"/>
          <w:i w:val="0"/>
        </w:rPr>
        <w:t xml:space="preserve"> </w:t>
      </w:r>
      <w:hyperlink w:anchor="latin-record-0312">
        <w:r>
          <w:rPr>
            <w:color w:val="000000"/>
          </w:rPr>
          <w:t xml:space="preserve">conspiratio / concinere / coalescere</w:t>
        </w:r>
      </w:hyperlink>
      <w:r>
        <w:rPr>
          <w:b w:val="0"/>
          <w:i w:val="0"/>
        </w:rPr>
        <w:t>.</w:t>
      </w:r>
    </w:p>
    <w:p>
      <w:pPr>
        <w:widowControl/>
      </w:pPr>
      <w:r>
        <w:rPr>
          <w:b/>
          <w:i w:val="0"/>
        </w:rPr>
        <w:t>mutuari.</w:t>
      </w:r>
      <w:r>
        <w:rPr>
          <w:b w:val="0"/>
          <w:i w:val="0"/>
        </w:rPr>
        <w:t xml:space="preserve"> </w:t>
      </w:r>
      <w:hyperlink w:anchor="latin-record-0820">
        <w:r>
          <w:rPr>
            <w:color w:val="000000"/>
          </w:rPr>
          <w:t xml:space="preserve">mutuari</w:t>
        </w:r>
      </w:hyperlink>
      <w:r>
        <w:rPr>
          <w:b w:val="0"/>
          <w:i w:val="0"/>
        </w:rPr>
        <w:t>.</w:t>
      </w:r>
    </w:p>
    <w:p>
      <w:pPr>
        <w:widowControl/>
      </w:pPr>
      <w:r>
        <w:rPr>
          <w:b/>
          <w:i w:val="0"/>
        </w:rPr>
        <w:t>mutuatur.</w:t>
      </w:r>
      <w:r>
        <w:rPr>
          <w:b w:val="0"/>
          <w:i w:val="0"/>
        </w:rPr>
        <w:t xml:space="preserve"> </w:t>
      </w:r>
      <w:hyperlink w:anchor="latin-record-0820">
        <w:r>
          <w:rPr>
            <w:color w:val="000000"/>
          </w:rPr>
          <w:t xml:space="preserve">mutuari</w:t>
        </w:r>
      </w:hyperlink>
      <w:r>
        <w:rPr>
          <w:b w:val="0"/>
          <w:i w:val="0"/>
        </w:rPr>
        <w:t>.</w:t>
      </w:r>
    </w:p>
    <w:p>
      <w:pPr>
        <w:widowControl/>
      </w:pPr>
      <w:r>
        <w:rPr>
          <w:b/>
          <w:i w:val="0"/>
        </w:rPr>
        <w:t>Naldus Naldius.</w:t>
      </w:r>
      <w:r>
        <w:rPr>
          <w:b w:val="0"/>
          <w:i w:val="0"/>
        </w:rPr>
        <w:t xml:space="preserve"> </w:t>
      </w:r>
      <w:hyperlink w:anchor="latin-record-0821">
        <w:r>
          <w:rPr>
            <w:color w:val="000000"/>
          </w:rPr>
          <w:t xml:space="preserve">Naldius; Fontius; Bonisegnius</w:t>
        </w:r>
      </w:hyperlink>
      <w:r>
        <w:rPr>
          <w:b w:val="0"/>
          <w:i w:val="0"/>
        </w:rPr>
        <w:t>.</w:t>
      </w:r>
    </w:p>
    <w:p>
      <w:pPr>
        <w:widowControl/>
      </w:pPr>
      <w:r>
        <w:rPr>
          <w:b/>
          <w:i w:val="0"/>
        </w:rPr>
        <w:t>naribus.</w:t>
      </w:r>
      <w:r>
        <w:rPr>
          <w:b w:val="0"/>
          <w:i w:val="0"/>
        </w:rPr>
        <w:t xml:space="preserve"> </w:t>
      </w:r>
      <w:hyperlink w:anchor="latin-record-0154">
        <w:r>
          <w:rPr>
            <w:color w:val="000000"/>
          </w:rPr>
          <w:t xml:space="preserve">auris / nares / os</w:t>
        </w:r>
      </w:hyperlink>
      <w:r>
        <w:rPr>
          <w:b w:val="0"/>
          <w:i w:val="0"/>
        </w:rPr>
        <w:t>.</w:t>
      </w:r>
    </w:p>
    <w:p>
      <w:pPr>
        <w:widowControl/>
      </w:pPr>
      <w:r>
        <w:rPr>
          <w:b/>
          <w:i w:val="0"/>
        </w:rPr>
        <w:t>nascendi potentia.</w:t>
      </w:r>
      <w:r>
        <w:rPr>
          <w:b w:val="0"/>
          <w:i w:val="0"/>
        </w:rPr>
        <w:t xml:space="preserve"> </w:t>
      </w:r>
      <w:hyperlink w:anchor="latin-record-0822">
        <w:r>
          <w:rPr>
            <w:color w:val="000000"/>
          </w:rPr>
          <w:t xml:space="preserve">nascendi potentia</w:t>
        </w:r>
      </w:hyperlink>
      <w:r>
        <w:rPr>
          <w:b w:val="0"/>
          <w:i w:val="0"/>
        </w:rPr>
        <w:t>.</w:t>
      </w:r>
    </w:p>
    <w:p>
      <w:pPr>
        <w:widowControl/>
      </w:pPr>
      <w:r>
        <w:rPr>
          <w:b/>
          <w:i w:val="0"/>
        </w:rPr>
        <w:t>nascentium.</w:t>
      </w:r>
      <w:r>
        <w:rPr>
          <w:b w:val="0"/>
          <w:i w:val="0"/>
        </w:rPr>
        <w:t xml:space="preserve"> </w:t>
      </w:r>
      <w:hyperlink w:anchor="latin-record-0541">
        <w:r>
          <w:rPr>
            <w:color w:val="000000"/>
          </w:rPr>
          <w:t xml:space="preserve">generatio / genitrix / successio</w:t>
        </w:r>
      </w:hyperlink>
      <w:r>
        <w:rPr>
          <w:b w:val="0"/>
          <w:i w:val="0"/>
        </w:rPr>
        <w:t>.</w:t>
      </w:r>
    </w:p>
    <w:p>
      <w:pPr>
        <w:widowControl/>
      </w:pPr>
      <w:r>
        <w:rPr>
          <w:b/>
          <w:i w:val="0"/>
        </w:rPr>
        <w:t>nascitur.</w:t>
      </w:r>
      <w:r>
        <w:rPr>
          <w:b w:val="0"/>
          <w:i w:val="0"/>
        </w:rPr>
        <w:t xml:space="preserve"> </w:t>
      </w:r>
      <w:hyperlink w:anchor="latin-record-0912">
        <w:r>
          <w:rPr>
            <w:color w:val="000000"/>
          </w:rPr>
          <w:t xml:space="preserve">pendere / oriri / sustinere / nasci</w:t>
        </w:r>
      </w:hyperlink>
      <w:r>
        <w:rPr>
          <w:b w:val="0"/>
          <w:i w:val="0"/>
        </w:rPr>
        <w:t>.</w:t>
      </w:r>
    </w:p>
    <w:p>
      <w:pPr>
        <w:widowControl/>
      </w:pPr>
      <w:r>
        <w:rPr>
          <w:b/>
          <w:i w:val="0"/>
        </w:rPr>
        <w:t>natura.</w:t>
      </w:r>
      <w:r>
        <w:rPr>
          <w:b w:val="0"/>
          <w:i w:val="0"/>
        </w:rPr>
        <w:t xml:space="preserve"> </w:t>
      </w:r>
      <w:hyperlink w:anchor="latin-record-0823">
        <w:r>
          <w:rPr>
            <w:color w:val="000000"/>
          </w:rPr>
          <w:t xml:space="preserve">natura</w:t>
        </w:r>
      </w:hyperlink>
      <w:r>
        <w:rPr>
          <w:b w:val="0"/>
          <w:i w:val="0"/>
        </w:rPr>
        <w:t xml:space="preserve">; </w:t>
      </w:r>
      <w:hyperlink w:anchor="latin-record-0824">
        <w:r>
          <w:rPr>
            <w:color w:val="000000"/>
          </w:rPr>
          <w:t xml:space="preserve">natura / naturalis</w:t>
        </w:r>
      </w:hyperlink>
      <w:r>
        <w:rPr>
          <w:b w:val="0"/>
          <w:i w:val="0"/>
        </w:rPr>
        <w:t xml:space="preserve">; </w:t>
      </w:r>
      <w:hyperlink w:anchor="latin-record-0827">
        <w:r>
          <w:rPr>
            <w:color w:val="000000"/>
          </w:rPr>
          <w:t xml:space="preserve">natura; naturalis</w:t>
        </w:r>
      </w:hyperlink>
      <w:r>
        <w:rPr>
          <w:b w:val="0"/>
          <w:i w:val="0"/>
        </w:rPr>
        <w:t>.</w:t>
      </w:r>
    </w:p>
    <w:p>
      <w:pPr>
        <w:widowControl/>
      </w:pPr>
      <w:r>
        <w:rPr>
          <w:b/>
          <w:i w:val="0"/>
        </w:rPr>
        <w:t>Natura.</w:t>
      </w:r>
      <w:r>
        <w:rPr>
          <w:b w:val="0"/>
          <w:i w:val="0"/>
        </w:rPr>
        <w:t xml:space="preserve"> </w:t>
      </w:r>
      <w:hyperlink w:anchor="latin-record-0823">
        <w:r>
          <w:rPr>
            <w:color w:val="000000"/>
          </w:rPr>
          <w:t xml:space="preserve">natura</w:t>
        </w:r>
      </w:hyperlink>
      <w:r>
        <w:rPr>
          <w:b w:val="0"/>
          <w:i w:val="0"/>
        </w:rPr>
        <w:t>.</w:t>
      </w:r>
    </w:p>
    <w:p>
      <w:pPr>
        <w:widowControl/>
      </w:pPr>
      <w:r>
        <w:rPr>
          <w:b/>
          <w:i w:val="0"/>
        </w:rPr>
        <w:t>natura praeter corporis rationem.</w:t>
      </w:r>
      <w:r>
        <w:rPr>
          <w:b w:val="0"/>
          <w:i w:val="0"/>
        </w:rPr>
        <w:t xml:space="preserve"> </w:t>
      </w:r>
      <w:hyperlink w:anchor="latin-record-0826">
        <w:r>
          <w:rPr>
            <w:color w:val="000000"/>
          </w:rPr>
          <w:t xml:space="preserve">natura praeter corporis rationem</w:t>
        </w:r>
      </w:hyperlink>
      <w:r>
        <w:rPr>
          <w:b w:val="0"/>
          <w:i w:val="0"/>
        </w:rPr>
        <w:t>.</w:t>
      </w:r>
    </w:p>
    <w:p>
      <w:pPr>
        <w:widowControl/>
      </w:pPr>
      <w:r>
        <w:rPr>
          <w:b/>
          <w:i w:val="0"/>
        </w:rPr>
        <w:t>naturae.</w:t>
      </w:r>
      <w:r>
        <w:rPr>
          <w:b w:val="0"/>
          <w:i w:val="0"/>
        </w:rPr>
        <w:t xml:space="preserve"> </w:t>
      </w:r>
      <w:hyperlink w:anchor="latin-record-0823">
        <w:r>
          <w:rPr>
            <w:color w:val="000000"/>
          </w:rPr>
          <w:t xml:space="preserve">natura</w:t>
        </w:r>
      </w:hyperlink>
      <w:r>
        <w:rPr>
          <w:b w:val="0"/>
          <w:i w:val="0"/>
        </w:rPr>
        <w:t xml:space="preserve">; </w:t>
      </w:r>
      <w:hyperlink w:anchor="latin-record-0827">
        <w:r>
          <w:rPr>
            <w:color w:val="000000"/>
          </w:rPr>
          <w:t xml:space="preserve">natura; naturalis</w:t>
        </w:r>
      </w:hyperlink>
      <w:r>
        <w:rPr>
          <w:b w:val="0"/>
          <w:i w:val="0"/>
        </w:rPr>
        <w:t>.</w:t>
      </w:r>
    </w:p>
    <w:p>
      <w:pPr>
        <w:widowControl/>
      </w:pPr>
      <w:r>
        <w:rPr>
          <w:b/>
          <w:i w:val="0"/>
        </w:rPr>
        <w:t>naturae ordine.</w:t>
      </w:r>
      <w:r>
        <w:rPr>
          <w:b w:val="0"/>
          <w:i w:val="0"/>
        </w:rPr>
        <w:t xml:space="preserve"> </w:t>
      </w:r>
      <w:hyperlink w:anchor="latin-record-1011">
        <w:r>
          <w:rPr>
            <w:color w:val="000000"/>
          </w:rPr>
          <w:t xml:space="preserve">propinquitas / naturae ordo</w:t>
        </w:r>
      </w:hyperlink>
      <w:r>
        <w:rPr>
          <w:b w:val="0"/>
          <w:i w:val="0"/>
        </w:rPr>
        <w:t>.</w:t>
      </w:r>
    </w:p>
    <w:p>
      <w:pPr>
        <w:widowControl/>
      </w:pPr>
      <w:r>
        <w:rPr>
          <w:b/>
          <w:i w:val="0"/>
        </w:rPr>
        <w:t>naturale.</w:t>
      </w:r>
      <w:r>
        <w:rPr>
          <w:b w:val="0"/>
          <w:i w:val="0"/>
        </w:rPr>
        <w:t xml:space="preserve"> </w:t>
      </w:r>
      <w:hyperlink w:anchor="latin-record-0827">
        <w:r>
          <w:rPr>
            <w:color w:val="000000"/>
          </w:rPr>
          <w:t xml:space="preserve">natura; naturalis</w:t>
        </w:r>
      </w:hyperlink>
      <w:r>
        <w:rPr>
          <w:b w:val="0"/>
          <w:i w:val="0"/>
        </w:rPr>
        <w:t xml:space="preserve">; </w:t>
      </w:r>
      <w:hyperlink w:anchor="latin-record-0829">
        <w:r>
          <w:rPr>
            <w:color w:val="000000"/>
          </w:rPr>
          <w:t xml:space="preserve">naturalis</w:t>
        </w:r>
      </w:hyperlink>
      <w:r>
        <w:rPr>
          <w:b w:val="0"/>
          <w:i w:val="0"/>
        </w:rPr>
        <w:t>.</w:t>
      </w:r>
    </w:p>
    <w:p>
      <w:pPr>
        <w:widowControl/>
      </w:pPr>
      <w:r>
        <w:rPr>
          <w:b/>
          <w:i w:val="0"/>
        </w:rPr>
        <w:t>naturalem.</w:t>
      </w:r>
      <w:r>
        <w:rPr>
          <w:b w:val="0"/>
          <w:i w:val="0"/>
        </w:rPr>
        <w:t xml:space="preserve"> </w:t>
      </w:r>
      <w:hyperlink w:anchor="latin-record-0824">
        <w:r>
          <w:rPr>
            <w:color w:val="000000"/>
          </w:rPr>
          <w:t xml:space="preserve">natura / naturalis</w:t>
        </w:r>
      </w:hyperlink>
      <w:r>
        <w:rPr>
          <w:b w:val="0"/>
          <w:i w:val="0"/>
        </w:rPr>
        <w:t xml:space="preserve">; </w:t>
      </w:r>
      <w:hyperlink w:anchor="latin-record-0827">
        <w:r>
          <w:rPr>
            <w:color w:val="000000"/>
          </w:rPr>
          <w:t xml:space="preserve">natura; naturalis</w:t>
        </w:r>
      </w:hyperlink>
      <w:r>
        <w:rPr>
          <w:b w:val="0"/>
          <w:i w:val="0"/>
        </w:rPr>
        <w:t xml:space="preserve">; </w:t>
      </w:r>
      <w:hyperlink w:anchor="latin-record-0829">
        <w:r>
          <w:rPr>
            <w:color w:val="000000"/>
          </w:rPr>
          <w:t xml:space="preserve">naturalis</w:t>
        </w:r>
      </w:hyperlink>
      <w:r>
        <w:rPr>
          <w:b w:val="0"/>
          <w:i w:val="0"/>
        </w:rPr>
        <w:t xml:space="preserve">; </w:t>
      </w:r>
      <w:hyperlink w:anchor="latin-record-0830">
        <w:r>
          <w:rPr>
            <w:color w:val="000000"/>
          </w:rPr>
          <w:t xml:space="preserve">naturalis habitus / dissipare</w:t>
        </w:r>
      </w:hyperlink>
      <w:r>
        <w:rPr>
          <w:b w:val="0"/>
          <w:i w:val="0"/>
        </w:rPr>
        <w:t>.</w:t>
      </w:r>
    </w:p>
    <w:p>
      <w:pPr>
        <w:widowControl/>
      </w:pPr>
      <w:r>
        <w:rPr>
          <w:b/>
          <w:i w:val="0"/>
        </w:rPr>
        <w:t>naturalem essentiae illius vicissitudinem.</w:t>
      </w:r>
      <w:r>
        <w:rPr>
          <w:b w:val="0"/>
          <w:i w:val="0"/>
        </w:rPr>
        <w:t xml:space="preserve"> </w:t>
      </w:r>
      <w:hyperlink w:anchor="latin-record-1349">
        <w:r>
          <w:rPr>
            <w:color w:val="000000"/>
          </w:rPr>
          <w:t xml:space="preserve">vicissitudo; vices</w:t>
        </w:r>
      </w:hyperlink>
      <w:r>
        <w:rPr>
          <w:b w:val="0"/>
          <w:i w:val="0"/>
        </w:rPr>
        <w:t>.</w:t>
      </w:r>
    </w:p>
    <w:p>
      <w:pPr>
        <w:widowControl/>
      </w:pPr>
      <w:r>
        <w:rPr>
          <w:b/>
          <w:i w:val="0"/>
        </w:rPr>
        <w:t>naturalem habitum.</w:t>
      </w:r>
      <w:r>
        <w:rPr>
          <w:b w:val="0"/>
          <w:i w:val="0"/>
        </w:rPr>
        <w:t xml:space="preserve"> </w:t>
      </w:r>
      <w:hyperlink w:anchor="latin-record-0830">
        <w:r>
          <w:rPr>
            <w:color w:val="000000"/>
          </w:rPr>
          <w:t xml:space="preserve">naturalis habitus / dissipare</w:t>
        </w:r>
      </w:hyperlink>
      <w:r>
        <w:rPr>
          <w:b w:val="0"/>
          <w:i w:val="0"/>
        </w:rPr>
        <w:t>.</w:t>
      </w:r>
    </w:p>
    <w:p>
      <w:pPr>
        <w:widowControl/>
      </w:pPr>
      <w:r>
        <w:rPr>
          <w:b/>
          <w:i w:val="0"/>
        </w:rPr>
        <w:t>naturali.</w:t>
      </w:r>
      <w:r>
        <w:rPr>
          <w:b w:val="0"/>
          <w:i w:val="0"/>
        </w:rPr>
        <w:t xml:space="preserve"> </w:t>
      </w:r>
      <w:hyperlink w:anchor="latin-record-0824">
        <w:r>
          <w:rPr>
            <w:color w:val="000000"/>
          </w:rPr>
          <w:t xml:space="preserve">natura / naturalis</w:t>
        </w:r>
      </w:hyperlink>
      <w:r>
        <w:rPr>
          <w:b w:val="0"/>
          <w:i w:val="0"/>
        </w:rPr>
        <w:t xml:space="preserve">; </w:t>
      </w:r>
      <w:hyperlink w:anchor="latin-record-0827">
        <w:r>
          <w:rPr>
            <w:color w:val="000000"/>
          </w:rPr>
          <w:t xml:space="preserve">natura; naturalis</w:t>
        </w:r>
      </w:hyperlink>
      <w:r>
        <w:rPr>
          <w:b w:val="0"/>
          <w:i w:val="0"/>
        </w:rPr>
        <w:t xml:space="preserve">; </w:t>
      </w:r>
      <w:hyperlink w:anchor="latin-record-0829">
        <w:r>
          <w:rPr>
            <w:color w:val="000000"/>
          </w:rPr>
          <w:t xml:space="preserve">naturalis</w:t>
        </w:r>
      </w:hyperlink>
      <w:r>
        <w:rPr>
          <w:b w:val="0"/>
          <w:i w:val="0"/>
        </w:rPr>
        <w:t>.</w:t>
      </w:r>
    </w:p>
    <w:p>
      <w:pPr>
        <w:widowControl/>
      </w:pPr>
      <w:r>
        <w:rPr>
          <w:b/>
          <w:i w:val="0"/>
        </w:rPr>
        <w:t>naturali gremio.</w:t>
      </w:r>
      <w:r>
        <w:rPr>
          <w:b w:val="0"/>
          <w:i w:val="0"/>
        </w:rPr>
        <w:t xml:space="preserve"> </w:t>
      </w:r>
      <w:hyperlink w:anchor="latin-record-1369">
        <w:r>
          <w:rPr>
            <w:color w:val="000000"/>
          </w:rPr>
          <w:t xml:space="preserve">viscera; gremium</w:t>
        </w:r>
      </w:hyperlink>
      <w:r>
        <w:rPr>
          <w:b w:val="0"/>
          <w:i w:val="0"/>
        </w:rPr>
        <w:t>.</w:t>
      </w:r>
    </w:p>
    <w:p>
      <w:pPr>
        <w:widowControl/>
      </w:pPr>
      <w:r>
        <w:rPr>
          <w:b/>
          <w:i w:val="0"/>
        </w:rPr>
        <w:t>naturali ordine.</w:t>
      </w:r>
      <w:r>
        <w:rPr>
          <w:b w:val="0"/>
          <w:i w:val="0"/>
        </w:rPr>
        <w:t xml:space="preserve"> </w:t>
      </w:r>
      <w:hyperlink w:anchor="latin-record-1011">
        <w:r>
          <w:rPr>
            <w:color w:val="000000"/>
          </w:rPr>
          <w:t xml:space="preserve">propinquitas / naturae ordo</w:t>
        </w:r>
      </w:hyperlink>
      <w:r>
        <w:rPr>
          <w:b w:val="0"/>
          <w:i w:val="0"/>
        </w:rPr>
        <w:t>.</w:t>
      </w:r>
    </w:p>
    <w:p>
      <w:pPr>
        <w:widowControl/>
      </w:pPr>
      <w:r>
        <w:rPr>
          <w:b/>
          <w:i w:val="0"/>
        </w:rPr>
        <w:t>naturalis.</w:t>
      </w:r>
      <w:r>
        <w:rPr>
          <w:b w:val="0"/>
          <w:i w:val="0"/>
        </w:rPr>
        <w:t xml:space="preserve"> </w:t>
      </w:r>
      <w:hyperlink w:anchor="latin-record-0827">
        <w:r>
          <w:rPr>
            <w:color w:val="000000"/>
          </w:rPr>
          <w:t xml:space="preserve">natura; naturalis</w:t>
        </w:r>
      </w:hyperlink>
      <w:r>
        <w:rPr>
          <w:b w:val="0"/>
          <w:i w:val="0"/>
        </w:rPr>
        <w:t xml:space="preserve">; </w:t>
      </w:r>
      <w:hyperlink w:anchor="latin-record-0829">
        <w:r>
          <w:rPr>
            <w:color w:val="000000"/>
          </w:rPr>
          <w:t xml:space="preserve">naturalis</w:t>
        </w:r>
      </w:hyperlink>
      <w:r>
        <w:rPr>
          <w:b w:val="0"/>
          <w:i w:val="0"/>
        </w:rPr>
        <w:t>.</w:t>
      </w:r>
    </w:p>
    <w:p>
      <w:pPr>
        <w:widowControl/>
      </w:pPr>
      <w:r>
        <w:rPr>
          <w:b/>
          <w:i w:val="0"/>
        </w:rPr>
        <w:t>naturaliter.</w:t>
      </w:r>
      <w:r>
        <w:rPr>
          <w:b w:val="0"/>
          <w:i w:val="0"/>
        </w:rPr>
        <w:t xml:space="preserve"> </w:t>
      </w:r>
      <w:hyperlink w:anchor="latin-record-0138">
        <w:r>
          <w:rPr>
            <w:color w:val="000000"/>
          </w:rPr>
          <w:t xml:space="preserve">assidue / naturaliter / interius</w:t>
        </w:r>
      </w:hyperlink>
      <w:r>
        <w:rPr>
          <w:b w:val="0"/>
          <w:i w:val="0"/>
        </w:rPr>
        <w:t xml:space="preserve">; </w:t>
      </w:r>
      <w:hyperlink w:anchor="latin-record-0829">
        <w:r>
          <w:rPr>
            <w:color w:val="000000"/>
          </w:rPr>
          <w:t xml:space="preserve">naturalis</w:t>
        </w:r>
      </w:hyperlink>
      <w:r>
        <w:rPr>
          <w:b w:val="0"/>
          <w:i w:val="0"/>
        </w:rPr>
        <w:t>.</w:t>
      </w:r>
    </w:p>
    <w:p>
      <w:pPr>
        <w:widowControl/>
      </w:pPr>
      <w:r>
        <w:rPr>
          <w:b/>
          <w:i w:val="0"/>
        </w:rPr>
        <w:t>naturaliter insita.</w:t>
      </w:r>
      <w:r>
        <w:rPr>
          <w:b w:val="0"/>
          <w:i w:val="0"/>
        </w:rPr>
        <w:t xml:space="preserve"> </w:t>
      </w:r>
      <w:hyperlink w:anchor="latin-record-0831">
        <w:r>
          <w:rPr>
            <w:color w:val="000000"/>
          </w:rPr>
          <w:t xml:space="preserve">naturaliter insitus</w:t>
        </w:r>
      </w:hyperlink>
      <w:r>
        <w:rPr>
          <w:b w:val="0"/>
          <w:i w:val="0"/>
        </w:rPr>
        <w:t>.</w:t>
      </w:r>
    </w:p>
    <w:p>
      <w:pPr>
        <w:widowControl/>
      </w:pPr>
      <w:r>
        <w:rPr>
          <w:b/>
          <w:i w:val="0"/>
        </w:rPr>
        <w:t>naturalium.</w:t>
      </w:r>
      <w:r>
        <w:rPr>
          <w:b w:val="0"/>
          <w:i w:val="0"/>
        </w:rPr>
        <w:t xml:space="preserve"> </w:t>
      </w:r>
      <w:hyperlink w:anchor="latin-record-0829">
        <w:r>
          <w:rPr>
            <w:color w:val="000000"/>
          </w:rPr>
          <w:t xml:space="preserve">naturalis</w:t>
        </w:r>
      </w:hyperlink>
      <w:r>
        <w:rPr>
          <w:b w:val="0"/>
          <w:i w:val="0"/>
        </w:rPr>
        <w:t>.</w:t>
      </w:r>
    </w:p>
    <w:p>
      <w:pPr>
        <w:widowControl/>
      </w:pPr>
      <w:r>
        <w:rPr>
          <w:b/>
          <w:i w:val="0"/>
        </w:rPr>
        <w:t>naturam.</w:t>
      </w:r>
      <w:r>
        <w:rPr>
          <w:b w:val="0"/>
          <w:i w:val="0"/>
        </w:rPr>
        <w:t xml:space="preserve"> </w:t>
      </w:r>
      <w:hyperlink w:anchor="latin-record-0823">
        <w:r>
          <w:rPr>
            <w:color w:val="000000"/>
          </w:rPr>
          <w:t xml:space="preserve">natura</w:t>
        </w:r>
      </w:hyperlink>
      <w:r>
        <w:rPr>
          <w:b w:val="0"/>
          <w:i w:val="0"/>
        </w:rPr>
        <w:t xml:space="preserve">; </w:t>
      </w:r>
      <w:hyperlink w:anchor="latin-record-0827">
        <w:r>
          <w:rPr>
            <w:color w:val="000000"/>
          </w:rPr>
          <w:t xml:space="preserve">natura; naturalis</w:t>
        </w:r>
      </w:hyperlink>
      <w:r>
        <w:rPr>
          <w:b w:val="0"/>
          <w:i w:val="0"/>
        </w:rPr>
        <w:t xml:space="preserve">; </w:t>
      </w:r>
      <w:hyperlink w:anchor="latin-record-1334">
        <w:r>
          <w:rPr>
            <w:color w:val="000000"/>
          </w:rPr>
          <w:t xml:space="preserve">vegetatrix; natura</w:t>
        </w:r>
      </w:hyperlink>
      <w:r>
        <w:rPr>
          <w:b w:val="0"/>
          <w:i w:val="0"/>
        </w:rPr>
        <w:t>.</w:t>
      </w:r>
    </w:p>
    <w:p>
      <w:pPr>
        <w:widowControl/>
      </w:pPr>
      <w:r>
        <w:rPr>
          <w:b/>
          <w:i w:val="0"/>
        </w:rPr>
        <w:t>Naturam.</w:t>
      </w:r>
      <w:r>
        <w:rPr>
          <w:b w:val="0"/>
          <w:i w:val="0"/>
        </w:rPr>
        <w:t xml:space="preserve"> </w:t>
      </w:r>
      <w:hyperlink w:anchor="latin-record-0823">
        <w:r>
          <w:rPr>
            <w:color w:val="000000"/>
          </w:rPr>
          <w:t xml:space="preserve">natura</w:t>
        </w:r>
      </w:hyperlink>
      <w:r>
        <w:rPr>
          <w:b w:val="0"/>
          <w:i w:val="0"/>
        </w:rPr>
        <w:t>.</w:t>
      </w:r>
    </w:p>
    <w:p>
      <w:pPr>
        <w:widowControl/>
      </w:pPr>
      <w:r>
        <w:rPr>
          <w:b/>
          <w:i w:val="0"/>
        </w:rPr>
        <w:t>navis.</w:t>
      </w:r>
      <w:r>
        <w:rPr>
          <w:b w:val="0"/>
          <w:i w:val="0"/>
        </w:rPr>
        <w:t xml:space="preserve"> </w:t>
      </w:r>
      <w:hyperlink w:anchor="latin-record-1103">
        <w:r>
          <w:rPr>
            <w:color w:val="000000"/>
          </w:rPr>
          <w:t xml:space="preserve">remus; litus; navis</w:t>
        </w:r>
      </w:hyperlink>
      <w:r>
        <w:rPr>
          <w:b w:val="0"/>
          <w:i w:val="0"/>
        </w:rPr>
        <w:t>.</w:t>
      </w:r>
    </w:p>
    <w:p>
      <w:pPr>
        <w:widowControl/>
      </w:pPr>
      <w:r>
        <w:rPr>
          <w:b/>
          <w:i w:val="0"/>
        </w:rPr>
        <w:t>nec.</w:t>
      </w:r>
      <w:r>
        <w:rPr>
          <w:b w:val="0"/>
          <w:i w:val="0"/>
        </w:rPr>
        <w:t xml:space="preserve"> </w:t>
      </w:r>
      <w:hyperlink w:anchor="latin-record-1336">
        <w:r>
          <w:rPr>
            <w:color w:val="000000"/>
          </w:rPr>
          <w:t xml:space="preserve">vel; sive; seu; aut</w:t>
        </w:r>
      </w:hyperlink>
      <w:r>
        <w:rPr>
          <w:b w:val="0"/>
          <w:i w:val="0"/>
        </w:rPr>
        <w:t>.</w:t>
      </w:r>
    </w:p>
    <w:p>
      <w:pPr>
        <w:widowControl/>
      </w:pPr>
      <w:r>
        <w:rPr>
          <w:b/>
          <w:i w:val="0"/>
        </w:rPr>
        <w:t>necessaria.</w:t>
      </w:r>
      <w:r>
        <w:rPr>
          <w:b w:val="0"/>
          <w:i w:val="0"/>
        </w:rPr>
        <w:t xml:space="preserve"> </w:t>
      </w:r>
      <w:hyperlink w:anchor="latin-record-0657">
        <w:r>
          <w:rPr>
            <w:color w:val="000000"/>
          </w:rPr>
          <w:t xml:space="preserve">integritas / puritas / supervacuum</w:t>
        </w:r>
      </w:hyperlink>
      <w:r>
        <w:rPr>
          <w:b w:val="0"/>
          <w:i w:val="0"/>
        </w:rPr>
        <w:t>.</w:t>
      </w:r>
    </w:p>
    <w:p>
      <w:pPr>
        <w:widowControl/>
      </w:pPr>
      <w:r>
        <w:rPr>
          <w:b/>
          <w:i w:val="0"/>
        </w:rPr>
        <w:t>necessario.</w:t>
      </w:r>
      <w:r>
        <w:rPr>
          <w:b w:val="0"/>
          <w:i w:val="0"/>
        </w:rPr>
        <w:t xml:space="preserve"> </w:t>
      </w:r>
      <w:hyperlink w:anchor="latin-record-0833">
        <w:r>
          <w:rPr>
            <w:color w:val="000000"/>
          </w:rPr>
          <w:t xml:space="preserve">necesse / oportere</w:t>
        </w:r>
      </w:hyperlink>
      <w:r>
        <w:rPr>
          <w:b w:val="0"/>
          <w:i w:val="0"/>
        </w:rPr>
        <w:t xml:space="preserve">; </w:t>
      </w:r>
      <w:hyperlink w:anchor="latin-record-0834">
        <w:r>
          <w:rPr>
            <w:color w:val="000000"/>
          </w:rPr>
          <w:t xml:space="preserve">necessitas / oportet</w:t>
        </w:r>
      </w:hyperlink>
      <w:r>
        <w:rPr>
          <w:b w:val="0"/>
          <w:i w:val="0"/>
        </w:rPr>
        <w:t>.</w:t>
      </w:r>
    </w:p>
    <w:p>
      <w:pPr>
        <w:widowControl/>
      </w:pPr>
      <w:r>
        <w:rPr>
          <w:b/>
          <w:i w:val="0"/>
        </w:rPr>
        <w:t>necessarium.</w:t>
      </w:r>
      <w:r>
        <w:rPr>
          <w:b w:val="0"/>
          <w:i w:val="0"/>
        </w:rPr>
        <w:t xml:space="preserve"> </w:t>
      </w:r>
      <w:hyperlink w:anchor="latin-record-0832">
        <w:r>
          <w:rPr>
            <w:color w:val="000000"/>
          </w:rPr>
          <w:t xml:space="preserve">necessarium / impossibile</w:t>
        </w:r>
      </w:hyperlink>
      <w:r>
        <w:rPr>
          <w:b w:val="0"/>
          <w:i w:val="0"/>
        </w:rPr>
        <w:t>.</w:t>
      </w:r>
    </w:p>
    <w:p>
      <w:pPr>
        <w:widowControl/>
      </w:pPr>
      <w:r>
        <w:rPr>
          <w:b/>
          <w:i w:val="0"/>
        </w:rPr>
        <w:t>necesse.</w:t>
      </w:r>
      <w:r>
        <w:rPr>
          <w:b w:val="0"/>
          <w:i w:val="0"/>
        </w:rPr>
        <w:t xml:space="preserve"> </w:t>
      </w:r>
      <w:hyperlink w:anchor="latin-record-0833">
        <w:r>
          <w:rPr>
            <w:color w:val="000000"/>
          </w:rPr>
          <w:t xml:space="preserve">necesse / oportere</w:t>
        </w:r>
      </w:hyperlink>
      <w:r>
        <w:rPr>
          <w:b w:val="0"/>
          <w:i w:val="0"/>
        </w:rPr>
        <w:t xml:space="preserve">; </w:t>
      </w:r>
      <w:hyperlink w:anchor="latin-record-0867">
        <w:r>
          <w:rPr>
            <w:color w:val="000000"/>
          </w:rPr>
          <w:t xml:space="preserve">oportere / necesse / debere</w:t>
        </w:r>
      </w:hyperlink>
      <w:r>
        <w:rPr>
          <w:b w:val="0"/>
          <w:i w:val="0"/>
        </w:rPr>
        <w:t>.</w:t>
      </w:r>
    </w:p>
    <w:p>
      <w:pPr>
        <w:widowControl/>
      </w:pPr>
      <w:r>
        <w:rPr>
          <w:b/>
          <w:i w:val="0"/>
        </w:rPr>
        <w:t>nectitur.</w:t>
      </w:r>
      <w:r>
        <w:rPr>
          <w:b w:val="0"/>
          <w:i w:val="0"/>
        </w:rPr>
        <w:t xml:space="preserve"> </w:t>
      </w:r>
      <w:hyperlink w:anchor="latin-record-0835">
        <w:r>
          <w:rPr>
            <w:color w:val="000000"/>
          </w:rPr>
          <w:t xml:space="preserve">nectere; conspirare</w:t>
        </w:r>
      </w:hyperlink>
      <w:r>
        <w:rPr>
          <w:b w:val="0"/>
          <w:i w:val="0"/>
        </w:rPr>
        <w:t>.</w:t>
      </w:r>
    </w:p>
    <w:p>
      <w:pPr>
        <w:widowControl/>
      </w:pPr>
      <w:r>
        <w:rPr>
          <w:b/>
          <w:i w:val="0"/>
        </w:rPr>
        <w:t>negabis.</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negabitis.</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Negandum.</w:t>
      </w:r>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negans.</w:t>
      </w:r>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negant.</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negaret.</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negat.</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negaverit.</w:t>
      </w:r>
      <w:r>
        <w:rPr>
          <w:b w:val="0"/>
          <w:i w:val="0"/>
        </w:rPr>
        <w:t xml:space="preserve"> </w:t>
      </w:r>
      <w:hyperlink w:anchor="latin-record-0836">
        <w:r>
          <w:rPr>
            <w:color w:val="000000"/>
          </w:rPr>
          <w:t xml:space="preserve">negare; fateri; confiteri</w:t>
        </w:r>
      </w:hyperlink>
      <w:r>
        <w:rPr>
          <w:b w:val="0"/>
          <w:i w:val="0"/>
        </w:rPr>
        <w:t>.</w:t>
      </w:r>
    </w:p>
    <w:p>
      <w:pPr>
        <w:widowControl/>
      </w:pPr>
      <w:r>
        <w:rPr>
          <w:b/>
          <w:i w:val="0"/>
        </w:rPr>
        <w:t>negotiorum.</w:t>
      </w:r>
      <w:r>
        <w:rPr>
          <w:b w:val="0"/>
          <w:i w:val="0"/>
        </w:rPr>
        <w:t xml:space="preserve"> </w:t>
      </w:r>
      <w:hyperlink w:anchor="latin-record-0940">
        <w:r>
          <w:rPr>
            <w:color w:val="000000"/>
          </w:rPr>
          <w:t xml:space="preserve">perturbatio / negotium</w:t>
        </w:r>
      </w:hyperlink>
      <w:r>
        <w:rPr>
          <w:b w:val="0"/>
          <w:i w:val="0"/>
        </w:rPr>
        <w:t>.</w:t>
      </w:r>
    </w:p>
    <w:p>
      <w:pPr>
        <w:widowControl/>
      </w:pPr>
      <w:r>
        <w:rPr>
          <w:b/>
          <w:i w:val="0"/>
        </w:rPr>
        <w:t>neque.</w:t>
      </w:r>
      <w:r>
        <w:rPr>
          <w:b w:val="0"/>
          <w:i w:val="0"/>
        </w:rPr>
        <w:t xml:space="preserve"> </w:t>
      </w:r>
      <w:hyperlink w:anchor="latin-record-1336">
        <w:r>
          <w:rPr>
            <w:color w:val="000000"/>
          </w:rPr>
          <w:t xml:space="preserve">vel; sive; seu; aut</w:t>
        </w:r>
      </w:hyperlink>
      <w:r>
        <w:rPr>
          <w:b w:val="0"/>
          <w:i w:val="0"/>
        </w:rPr>
        <w:t>.</w:t>
      </w:r>
    </w:p>
    <w:p>
      <w:pPr>
        <w:widowControl/>
      </w:pPr>
      <w:r>
        <w:rPr>
          <w:b/>
          <w:i w:val="0"/>
        </w:rPr>
        <w:t>Neque.</w:t>
      </w:r>
      <w:r>
        <w:rPr>
          <w:b w:val="0"/>
          <w:i w:val="0"/>
        </w:rPr>
        <w:t xml:space="preserve"> </w:t>
      </w:r>
      <w:hyperlink w:anchor="latin-record-1336">
        <w:r>
          <w:rPr>
            <w:color w:val="000000"/>
          </w:rPr>
          <w:t xml:space="preserve">vel; sive; seu; aut</w:t>
        </w:r>
      </w:hyperlink>
      <w:r>
        <w:rPr>
          <w:b w:val="0"/>
          <w:i w:val="0"/>
        </w:rPr>
        <w:t>.</w:t>
      </w:r>
    </w:p>
    <w:p>
      <w:pPr>
        <w:widowControl/>
      </w:pPr>
      <w:r>
        <w:rPr>
          <w:b/>
          <w:i w:val="0"/>
        </w:rPr>
        <w:t>nequeant.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nequeat.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nequeunt.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nequissimi.</w:t>
      </w:r>
      <w:r>
        <w:rPr>
          <w:b w:val="0"/>
          <w:i w:val="0"/>
        </w:rPr>
        <w:t xml:space="preserve"> </w:t>
      </w:r>
      <w:hyperlink w:anchor="latin-record-0837">
        <w:r>
          <w:rPr>
            <w:color w:val="000000"/>
          </w:rPr>
          <w:t xml:space="preserve">nequam / probus / iustus / latro</w:t>
        </w:r>
      </w:hyperlink>
      <w:r>
        <w:rPr>
          <w:b w:val="0"/>
          <w:i w:val="0"/>
        </w:rPr>
        <w:t>.</w:t>
      </w:r>
    </w:p>
    <w:p>
      <w:pPr>
        <w:widowControl/>
      </w:pPr>
      <w:r>
        <w:rPr>
          <w:b/>
          <w:i w:val="0"/>
        </w:rPr>
        <w:t>nequit.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nervi.</w:t>
      </w:r>
      <w:r>
        <w:rPr>
          <w:b w:val="0"/>
          <w:i w:val="0"/>
        </w:rPr>
        <w:t xml:space="preserve"> </w:t>
      </w:r>
      <w:hyperlink w:anchor="latin-record-0838">
        <w:r>
          <w:rPr>
            <w:color w:val="000000"/>
          </w:rPr>
          <w:t xml:space="preserve">nervus; articulus; tractus</w:t>
        </w:r>
      </w:hyperlink>
      <w:r>
        <w:rPr>
          <w:b w:val="0"/>
          <w:i w:val="0"/>
        </w:rPr>
        <w:t>.</w:t>
      </w:r>
    </w:p>
    <w:p>
      <w:pPr>
        <w:widowControl/>
      </w:pPr>
      <w:r>
        <w:rPr>
          <w:b/>
          <w:i w:val="0"/>
        </w:rPr>
        <w:t>nervorum.</w:t>
      </w:r>
      <w:r>
        <w:rPr>
          <w:b w:val="0"/>
          <w:i w:val="0"/>
        </w:rPr>
        <w:t xml:space="preserve"> </w:t>
      </w:r>
      <w:hyperlink w:anchor="latin-record-0885">
        <w:r>
          <w:rPr>
            <w:color w:val="000000"/>
          </w:rPr>
          <w:t xml:space="preserve">os / nervus / caro</w:t>
        </w:r>
      </w:hyperlink>
      <w:r>
        <w:rPr>
          <w:b w:val="0"/>
          <w:i w:val="0"/>
        </w:rPr>
        <w:t>.</w:t>
      </w:r>
    </w:p>
    <w:p>
      <w:pPr>
        <w:widowControl/>
      </w:pPr>
      <w:r>
        <w:rPr>
          <w:b/>
          <w:i w:val="0"/>
        </w:rPr>
        <w:t>nervos.</w:t>
      </w:r>
      <w:r>
        <w:rPr>
          <w:b w:val="0"/>
          <w:i w:val="0"/>
        </w:rPr>
        <w:t xml:space="preserve"> </w:t>
      </w:r>
      <w:hyperlink w:anchor="latin-record-0886">
        <w:r>
          <w:rPr>
            <w:color w:val="000000"/>
          </w:rPr>
          <w:t xml:space="preserve">ossa / caro / nervi</w:t>
        </w:r>
      </w:hyperlink>
      <w:r>
        <w:rPr>
          <w:b w:val="0"/>
          <w:i w:val="0"/>
        </w:rPr>
        <w:t>.</w:t>
      </w:r>
    </w:p>
    <w:p>
      <w:pPr>
        <w:widowControl/>
      </w:pPr>
      <w:r>
        <w:rPr>
          <w:b/>
          <w:i w:val="0"/>
        </w:rPr>
        <w:t>nervosior.</w:t>
      </w:r>
      <w:r>
        <w:rPr>
          <w:b w:val="0"/>
          <w:i w:val="0"/>
        </w:rPr>
        <w:t xml:space="preserve"> </w:t>
      </w:r>
      <w:hyperlink w:anchor="latin-record-0437">
        <w:r>
          <w:rPr>
            <w:color w:val="000000"/>
          </w:rPr>
          <w:t xml:space="preserve">enervare / nervosus</w:t>
        </w:r>
      </w:hyperlink>
      <w:r>
        <w:rPr>
          <w:b w:val="0"/>
          <w:i w:val="0"/>
        </w:rPr>
        <w:t>.</w:t>
      </w:r>
    </w:p>
    <w:p>
      <w:pPr>
        <w:widowControl/>
      </w:pPr>
      <w:r>
        <w:rPr>
          <w:b/>
          <w:i w:val="0"/>
        </w:rPr>
        <w:t>nervus.</w:t>
      </w:r>
      <w:r>
        <w:rPr>
          <w:b w:val="0"/>
          <w:i w:val="0"/>
        </w:rPr>
        <w:t xml:space="preserve"> </w:t>
      </w:r>
      <w:hyperlink w:anchor="latin-record-0885">
        <w:r>
          <w:rPr>
            <w:color w:val="000000"/>
          </w:rPr>
          <w:t xml:space="preserve">os / nervus / caro</w:t>
        </w:r>
      </w:hyperlink>
      <w:r>
        <w:rPr>
          <w:b w:val="0"/>
          <w:i w:val="0"/>
        </w:rPr>
        <w:t>.</w:t>
      </w:r>
    </w:p>
    <w:p>
      <w:pPr>
        <w:widowControl/>
      </w:pPr>
      <w:r>
        <w:rPr>
          <w:b/>
          <w:i w:val="0"/>
        </w:rPr>
        <w:t>nihil inter eam et Deum.</w:t>
      </w:r>
      <w:r>
        <w:rPr>
          <w:b w:val="0"/>
          <w:i w:val="0"/>
        </w:rPr>
        <w:t xml:space="preserve"> </w:t>
      </w:r>
      <w:hyperlink w:anchor="latin-record-1189">
        <w:r>
          <w:rPr>
            <w:color w:val="000000"/>
          </w:rPr>
          <w:t xml:space="preserve">sine medio</w:t>
        </w:r>
      </w:hyperlink>
      <w:r>
        <w:rPr>
          <w:b w:val="0"/>
          <w:i w:val="0"/>
        </w:rPr>
        <w:t>.</w:t>
      </w:r>
    </w:p>
    <w:p>
      <w:pPr>
        <w:widowControl/>
      </w:pPr>
      <w:r>
        <w:rPr>
          <w:b/>
          <w:i w:val="0"/>
        </w:rPr>
        <w:t>Nihilominus.</w:t>
      </w:r>
      <w:r>
        <w:rPr>
          <w:b w:val="0"/>
          <w:i w:val="0"/>
        </w:rPr>
        <w:t xml:space="preserve"> </w:t>
      </w:r>
      <w:hyperlink w:anchor="latin-record-0596">
        <w:r>
          <w:rPr>
            <w:color w:val="000000"/>
          </w:rPr>
          <w:t xml:space="preserve">immo; tamen; nihilominus</w:t>
        </w:r>
      </w:hyperlink>
      <w:r>
        <w:rPr>
          <w:b w:val="0"/>
          <w:i w:val="0"/>
        </w:rPr>
        <w:t>.</w:t>
      </w:r>
    </w:p>
    <w:p>
      <w:pPr>
        <w:widowControl/>
      </w:pPr>
      <w:r>
        <w:rPr>
          <w:b/>
          <w:i w:val="0"/>
        </w:rPr>
        <w:t>nisi.</w:t>
      </w:r>
      <w:r>
        <w:rPr>
          <w:b w:val="0"/>
          <w:i w:val="0"/>
        </w:rPr>
        <w:t xml:space="preserve"> </w:t>
      </w:r>
      <w:hyperlink w:anchor="latin-record-1170">
        <w:r>
          <w:rPr>
            <w:color w:val="000000"/>
          </w:rPr>
          <w:t xml:space="preserve">si; sin; nisi; licet</w:t>
        </w:r>
      </w:hyperlink>
      <w:r>
        <w:rPr>
          <w:b w:val="0"/>
          <w:i w:val="0"/>
        </w:rPr>
        <w:t>.</w:t>
      </w:r>
    </w:p>
    <w:p>
      <w:pPr>
        <w:widowControl/>
      </w:pPr>
      <w:r>
        <w:rPr>
          <w:b/>
          <w:i w:val="0"/>
        </w:rPr>
        <w:t>nititur.</w:t>
      </w:r>
      <w:r>
        <w:rPr>
          <w:b w:val="0"/>
          <w:i w:val="0"/>
        </w:rPr>
        <w:t xml:space="preserve"> </w:t>
      </w:r>
      <w:hyperlink w:anchor="latin-record-0840">
        <w:r>
          <w:rPr>
            <w:color w:val="000000"/>
          </w:rPr>
          <w:t xml:space="preserve">nixus / niti</w:t>
        </w:r>
      </w:hyperlink>
      <w:r>
        <w:rPr>
          <w:b w:val="0"/>
          <w:i w:val="0"/>
        </w:rPr>
        <w:t>.</w:t>
      </w:r>
    </w:p>
    <w:p>
      <w:pPr>
        <w:widowControl/>
      </w:pPr>
      <w:r>
        <w:rPr>
          <w:b/>
          <w:i w:val="0"/>
        </w:rPr>
        <w:t>nivis.</w:t>
      </w:r>
      <w:r>
        <w:rPr>
          <w:b w:val="0"/>
          <w:i w:val="0"/>
        </w:rPr>
        <w:t xml:space="preserve"> </w:t>
      </w:r>
      <w:hyperlink w:anchor="latin-record-0839">
        <w:r>
          <w:rPr>
            <w:color w:val="000000"/>
          </w:rPr>
          <w:t xml:space="preserve">nix / albedo</w:t>
        </w:r>
      </w:hyperlink>
      <w:r>
        <w:rPr>
          <w:b w:val="0"/>
          <w:i w:val="0"/>
        </w:rPr>
        <w:t>.</w:t>
      </w:r>
    </w:p>
    <w:p>
      <w:pPr>
        <w:widowControl/>
      </w:pPr>
      <w:r>
        <w:rPr>
          <w:b/>
          <w:i w:val="0"/>
        </w:rPr>
        <w:t>nixuque.</w:t>
      </w:r>
      <w:r>
        <w:rPr>
          <w:b w:val="0"/>
          <w:i w:val="0"/>
        </w:rPr>
        <w:t xml:space="preserve"> </w:t>
      </w:r>
      <w:hyperlink w:anchor="latin-record-0840">
        <w:r>
          <w:rPr>
            <w:color w:val="000000"/>
          </w:rPr>
          <w:t xml:space="preserve">nixus / niti</w:t>
        </w:r>
      </w:hyperlink>
      <w:r>
        <w:rPr>
          <w:b w:val="0"/>
          <w:i w:val="0"/>
        </w:rPr>
        <w:t>.</w:t>
      </w:r>
    </w:p>
    <w:p>
      <w:pPr>
        <w:widowControl/>
      </w:pPr>
      <w:r>
        <w:rPr>
          <w:b/>
          <w:i w:val="0"/>
        </w:rPr>
        <w:t>nixus.</w:t>
      </w:r>
      <w:r>
        <w:rPr>
          <w:b w:val="0"/>
          <w:i w:val="0"/>
        </w:rPr>
        <w:t xml:space="preserve"> </w:t>
      </w:r>
      <w:hyperlink w:anchor="latin-record-0653">
        <w:r>
          <w:rPr>
            <w:color w:val="000000"/>
          </w:rPr>
          <w:t xml:space="preserve">instinctus; nixus</w:t>
        </w:r>
      </w:hyperlink>
      <w:r>
        <w:rPr>
          <w:b w:val="0"/>
          <w:i w:val="0"/>
        </w:rPr>
        <w:t xml:space="preserve">; </w:t>
      </w:r>
      <w:hyperlink w:anchor="latin-record-0840">
        <w:r>
          <w:rPr>
            <w:color w:val="000000"/>
          </w:rPr>
          <w:t xml:space="preserve">nixus / niti</w:t>
        </w:r>
      </w:hyperlink>
      <w:r>
        <w:rPr>
          <w:b w:val="0"/>
          <w:i w:val="0"/>
        </w:rPr>
        <w:t>.</w:t>
      </w:r>
    </w:p>
    <w:p>
      <w:pPr>
        <w:widowControl/>
      </w:pPr>
      <w:r>
        <w:rPr>
          <w:b/>
          <w:i w:val="0"/>
        </w:rPr>
        <w:t>nobiliorem.</w:t>
      </w:r>
      <w:r>
        <w:rPr>
          <w:b w:val="0"/>
          <w:i w:val="0"/>
        </w:rPr>
        <w:t xml:space="preserve"> </w:t>
      </w:r>
      <w:hyperlink w:anchor="latin-record-0841">
        <w:r>
          <w:rPr>
            <w:color w:val="000000"/>
          </w:rPr>
          <w:t xml:space="preserve">nobilior</w:t>
        </w:r>
      </w:hyperlink>
      <w:r>
        <w:rPr>
          <w:b w:val="0"/>
          <w:i w:val="0"/>
        </w:rPr>
        <w:t>.</w:t>
      </w:r>
    </w:p>
    <w:p>
      <w:pPr>
        <w:widowControl/>
      </w:pPr>
      <w:r>
        <w:rPr>
          <w:b/>
          <w:i w:val="0"/>
        </w:rPr>
        <w:t>nobilius.</w:t>
      </w:r>
      <w:r>
        <w:rPr>
          <w:b w:val="0"/>
          <w:i w:val="0"/>
        </w:rPr>
        <w:t xml:space="preserve"> </w:t>
      </w:r>
      <w:hyperlink w:anchor="latin-record-0982">
        <w:r>
          <w:rPr>
            <w:color w:val="000000"/>
          </w:rPr>
          <w:t xml:space="preserve">praestans; excellens; nobilis</w:t>
        </w:r>
      </w:hyperlink>
      <w:r>
        <w:rPr>
          <w:b w:val="0"/>
          <w:i w:val="0"/>
        </w:rPr>
        <w:t>.</w:t>
      </w:r>
    </w:p>
    <w:p>
      <w:pPr>
        <w:widowControl/>
      </w:pPr>
      <w:r>
        <w:rPr>
          <w:b/>
          <w:i w:val="0"/>
        </w:rPr>
        <w:t>noceat.</w:t>
      </w:r>
      <w:r>
        <w:rPr>
          <w:b w:val="0"/>
          <w:i w:val="0"/>
        </w:rPr>
        <w:t xml:space="preserve"> </w:t>
      </w:r>
      <w:hyperlink w:anchor="latin-record-0286">
        <w:r>
          <w:rPr>
            <w:color w:val="000000"/>
          </w:rPr>
          <w:t xml:space="preserve">conducere / nocere</w:t>
        </w:r>
      </w:hyperlink>
      <w:r>
        <w:rPr>
          <w:b w:val="0"/>
          <w:i w:val="0"/>
        </w:rPr>
        <w:t>.</w:t>
      </w:r>
    </w:p>
    <w:p>
      <w:pPr>
        <w:widowControl/>
      </w:pPr>
      <w:r>
        <w:rPr>
          <w:b/>
          <w:i w:val="0"/>
        </w:rPr>
        <w:t>noceret.</w:t>
      </w:r>
      <w:r>
        <w:rPr>
          <w:b w:val="0"/>
          <w:i w:val="0"/>
        </w:rPr>
        <w:t xml:space="preserve"> </w:t>
      </w:r>
      <w:hyperlink w:anchor="latin-record-0286">
        <w:r>
          <w:rPr>
            <w:color w:val="000000"/>
          </w:rPr>
          <w:t xml:space="preserve">conducere / nocere</w:t>
        </w:r>
      </w:hyperlink>
      <w:r>
        <w:rPr>
          <w:b w:val="0"/>
          <w:i w:val="0"/>
        </w:rPr>
        <w:t>.</w:t>
      </w:r>
    </w:p>
    <w:p>
      <w:pPr>
        <w:widowControl/>
      </w:pPr>
      <w:r>
        <w:rPr>
          <w:b/>
          <w:i w:val="0"/>
        </w:rPr>
        <w:t>noctuae oculum.</w:t>
      </w:r>
      <w:r>
        <w:rPr>
          <w:b w:val="0"/>
          <w:i w:val="0"/>
        </w:rPr>
        <w:t xml:space="preserve"> </w:t>
      </w:r>
      <w:hyperlink w:anchor="latin-record-0171">
        <w:r>
          <w:rPr>
            <w:color w:val="000000"/>
          </w:rPr>
          <w:t xml:space="preserve">caecus; noctua</w:t>
        </w:r>
      </w:hyperlink>
      <w:r>
        <w:rPr>
          <w:b w:val="0"/>
          <w:i w:val="0"/>
        </w:rPr>
        <w:t>.</w:t>
      </w:r>
    </w:p>
    <w:p>
      <w:pPr>
        <w:widowControl/>
      </w:pPr>
      <w:r>
        <w:rPr>
          <w:b/>
          <w:i w:val="0"/>
        </w:rPr>
        <w:t>nolemus.</w:t>
      </w:r>
      <w:r>
        <w:rPr>
          <w:b w:val="0"/>
          <w:i w:val="0"/>
        </w:rPr>
        <w:t xml:space="preserve"> </w:t>
      </w:r>
      <w:hyperlink w:anchor="latin-record-1383">
        <w:r>
          <w:rPr>
            <w:color w:val="000000"/>
          </w:rPr>
          <w:t xml:space="preserve">voluntas / velle</w:t>
        </w:r>
      </w:hyperlink>
      <w:r>
        <w:rPr>
          <w:b w:val="0"/>
          <w:i w:val="0"/>
        </w:rPr>
        <w:t>.</w:t>
      </w:r>
    </w:p>
    <w:p>
      <w:pPr>
        <w:widowControl/>
      </w:pPr>
      <w:r>
        <w:rPr>
          <w:b/>
          <w:i w:val="0"/>
        </w:rPr>
        <w:t>nolumus.</w:t>
      </w:r>
      <w:r>
        <w:rPr>
          <w:b w:val="0"/>
          <w:i w:val="0"/>
        </w:rPr>
        <w:t xml:space="preserve"> </w:t>
      </w:r>
      <w:hyperlink w:anchor="latin-record-1383">
        <w:r>
          <w:rPr>
            <w:color w:val="000000"/>
          </w:rPr>
          <w:t xml:space="preserve">voluntas / velle</w:t>
        </w:r>
      </w:hyperlink>
      <w:r>
        <w:rPr>
          <w:b w:val="0"/>
          <w:i w:val="0"/>
        </w:rPr>
        <w:t>.</w:t>
      </w:r>
    </w:p>
    <w:p>
      <w:pPr>
        <w:widowControl/>
      </w:pPr>
      <w:r>
        <w:rPr>
          <w:b/>
          <w:i w:val="0"/>
        </w:rPr>
        <w:t>nolunt.</w:t>
      </w:r>
      <w:r>
        <w:rPr>
          <w:b w:val="0"/>
          <w:i w:val="0"/>
        </w:rPr>
        <w:t xml:space="preserve"> </w:t>
      </w:r>
      <w:hyperlink w:anchor="latin-record-1383">
        <w:r>
          <w:rPr>
            <w:color w:val="000000"/>
          </w:rPr>
          <w:t xml:space="preserve">voluntas / velle</w:t>
        </w:r>
      </w:hyperlink>
      <w:r>
        <w:rPr>
          <w:b w:val="0"/>
          <w:i w:val="0"/>
        </w:rPr>
        <w:t>.</w:t>
      </w:r>
    </w:p>
    <w:p>
      <w:pPr>
        <w:widowControl/>
      </w:pPr>
      <w:r>
        <w:rPr>
          <w:b/>
          <w:i w:val="0"/>
        </w:rPr>
        <w:t>nominamus.</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nominant.</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nominatur.</w:t>
      </w:r>
      <w:r>
        <w:rPr>
          <w:b w:val="0"/>
          <w:i w:val="0"/>
        </w:rPr>
        <w:t xml:space="preserve"> </w:t>
      </w:r>
      <w:hyperlink w:anchor="latin-record-0380">
        <w:r>
          <w:rPr>
            <w:color w:val="000000"/>
          </w:rPr>
          <w:t xml:space="preserve">dicere; nominare; appellare</w:t>
        </w:r>
      </w:hyperlink>
      <w:r>
        <w:rPr>
          <w:b w:val="0"/>
          <w:i w:val="0"/>
        </w:rPr>
        <w:t>.</w:t>
      </w:r>
    </w:p>
    <w:p>
      <w:pPr>
        <w:widowControl/>
      </w:pPr>
      <w:r>
        <w:rPr>
          <w:b/>
          <w:i w:val="0"/>
        </w:rPr>
        <w:t>non accidentalis.</w:t>
      </w:r>
      <w:r>
        <w:rPr>
          <w:b w:val="0"/>
          <w:i w:val="0"/>
        </w:rPr>
        <w:t xml:space="preserve"> </w:t>
      </w:r>
      <w:hyperlink w:anchor="latin-record-0507">
        <w:r>
          <w:rPr>
            <w:color w:val="000000"/>
          </w:rPr>
          <w:t xml:space="preserve">forma substantialis; accidentalis</w:t>
        </w:r>
      </w:hyperlink>
      <w:r>
        <w:rPr>
          <w:b w:val="0"/>
          <w:i w:val="0"/>
        </w:rPr>
        <w:t>.</w:t>
      </w:r>
    </w:p>
    <w:p>
      <w:pPr>
        <w:widowControl/>
      </w:pPr>
      <w:r>
        <w:rPr>
          <w:b/>
          <w:i w:val="0"/>
        </w:rPr>
        <w:t>non augmentum amplius.</w:t>
      </w:r>
      <w:r>
        <w:rPr>
          <w:b w:val="0"/>
          <w:i w:val="0"/>
        </w:rPr>
        <w:t xml:space="preserve"> </w:t>
      </w:r>
      <w:hyperlink w:anchor="latin-record-1316">
        <w:r>
          <w:rPr>
            <w:color w:val="000000"/>
          </w:rPr>
          <w:t xml:space="preserve">unio et augmentum</w:t>
        </w:r>
      </w:hyperlink>
      <w:r>
        <w:rPr>
          <w:b w:val="0"/>
          <w:i w:val="0"/>
        </w:rPr>
        <w:t>.</w:t>
      </w:r>
    </w:p>
    <w:p>
      <w:pPr>
        <w:widowControl/>
      </w:pPr>
      <w:r>
        <w:rPr>
          <w:b/>
          <w:i w:val="0"/>
        </w:rPr>
        <w:t>non eam latere.</w:t>
      </w:r>
      <w:r>
        <w:rPr>
          <w:b w:val="0"/>
          <w:i w:val="0"/>
        </w:rPr>
        <w:t xml:space="preserve"> </w:t>
      </w:r>
      <w:hyperlink w:anchor="latin-record-0843">
        <w:r>
          <w:rPr>
            <w:color w:val="000000"/>
          </w:rPr>
          <w:t xml:space="preserve">non latere</w:t>
        </w:r>
      </w:hyperlink>
      <w:r>
        <w:rPr>
          <w:b w:val="0"/>
          <w:i w:val="0"/>
        </w:rPr>
        <w:t>.</w:t>
      </w:r>
    </w:p>
    <w:p>
      <w:pPr>
        <w:widowControl/>
      </w:pPr>
      <w:r>
        <w:rPr>
          <w:b/>
          <w:i w:val="0"/>
        </w:rPr>
        <w:t>non efficiens.</w:t>
      </w:r>
      <w:r>
        <w:rPr>
          <w:b w:val="0"/>
          <w:i w:val="0"/>
        </w:rPr>
        <w:t xml:space="preserve"> </w:t>
      </w:r>
      <w:hyperlink w:anchor="latin-record-0201">
        <w:r>
          <w:rPr>
            <w:color w:val="000000"/>
          </w:rPr>
          <w:t xml:space="preserve">causa non efficiens sed formalis</w:t>
        </w:r>
      </w:hyperlink>
      <w:r>
        <w:rPr>
          <w:b w:val="0"/>
          <w:i w:val="0"/>
        </w:rPr>
        <w:t>.</w:t>
      </w:r>
    </w:p>
    <w:p>
      <w:pPr>
        <w:widowControl/>
      </w:pPr>
      <w:r>
        <w:rPr>
          <w:b/>
          <w:i w:val="0"/>
        </w:rPr>
        <w:t>non efficiens, sed.</w:t>
      </w:r>
      <w:r>
        <w:rPr>
          <w:b w:val="0"/>
          <w:i w:val="0"/>
        </w:rPr>
        <w:t xml:space="preserve"> </w:t>
      </w:r>
      <w:hyperlink w:anchor="latin-record-0842">
        <w:r>
          <w:rPr>
            <w:color w:val="000000"/>
          </w:rPr>
          <w:t xml:space="preserve">non efficiens sed formalis</w:t>
        </w:r>
      </w:hyperlink>
      <w:r>
        <w:rPr>
          <w:b w:val="0"/>
          <w:i w:val="0"/>
        </w:rPr>
        <w:t>.</w:t>
      </w:r>
    </w:p>
    <w:p>
      <w:pPr>
        <w:widowControl/>
      </w:pPr>
      <w:r>
        <w:rPr>
          <w:b/>
          <w:i w:val="0"/>
        </w:rPr>
        <w:t>non esse.</w:t>
      </w:r>
      <w:r>
        <w:rPr>
          <w:b w:val="0"/>
          <w:i w:val="0"/>
        </w:rPr>
        <w:t xml:space="preserve"> </w:t>
      </w:r>
      <w:hyperlink w:anchor="latin-record-0347">
        <w:r>
          <w:rPr>
            <w:color w:val="000000"/>
          </w:rPr>
          <w:t xml:space="preserve">creatio / interitus</w:t>
        </w:r>
      </w:hyperlink>
      <w:r>
        <w:rPr>
          <w:b w:val="0"/>
          <w:i w:val="0"/>
        </w:rPr>
        <w:t>.</w:t>
      </w:r>
    </w:p>
    <w:p>
      <w:pPr>
        <w:widowControl/>
      </w:pPr>
      <w:r>
        <w:rPr>
          <w:b/>
          <w:i w:val="0"/>
        </w:rPr>
        <w:t>non intellectuali.</w:t>
      </w:r>
      <w:r>
        <w:rPr>
          <w:b w:val="0"/>
          <w:i w:val="0"/>
        </w:rPr>
        <w:t xml:space="preserve"> </w:t>
      </w:r>
      <w:hyperlink w:anchor="latin-record-0810">
        <w:r>
          <w:rPr>
            <w:color w:val="000000"/>
          </w:rPr>
          <w:t xml:space="preserve">motus vitalis</w:t>
        </w:r>
      </w:hyperlink>
      <w:r>
        <w:rPr>
          <w:b w:val="0"/>
          <w:i w:val="0"/>
        </w:rPr>
        <w:t>.</w:t>
      </w:r>
    </w:p>
    <w:p>
      <w:pPr>
        <w:widowControl/>
      </w:pPr>
      <w:r>
        <w:rPr>
          <w:b/>
          <w:i w:val="0"/>
        </w:rPr>
        <w:t>Non latere.</w:t>
      </w:r>
      <w:r>
        <w:rPr>
          <w:b w:val="0"/>
          <w:i w:val="0"/>
        </w:rPr>
        <w:t xml:space="preserve"> </w:t>
      </w:r>
      <w:hyperlink w:anchor="latin-record-0843">
        <w:r>
          <w:rPr>
            <w:color w:val="000000"/>
          </w:rPr>
          <w:t xml:space="preserve">non latere</w:t>
        </w:r>
      </w:hyperlink>
      <w:r>
        <w:rPr>
          <w:b w:val="0"/>
          <w:i w:val="0"/>
        </w:rPr>
        <w:t>.</w:t>
      </w:r>
    </w:p>
    <w:p>
      <w:pPr>
        <w:widowControl/>
      </w:pPr>
      <w:r>
        <w:rPr>
          <w:b/>
          <w:i w:val="0"/>
        </w:rPr>
        <w:t>non latet.</w:t>
      </w:r>
      <w:r>
        <w:rPr>
          <w:b w:val="0"/>
          <w:i w:val="0"/>
        </w:rPr>
        <w:t xml:space="preserve"> </w:t>
      </w:r>
      <w:hyperlink w:anchor="latin-record-0843">
        <w:r>
          <w:rPr>
            <w:color w:val="000000"/>
          </w:rPr>
          <w:t xml:space="preserve">non latere</w:t>
        </w:r>
      </w:hyperlink>
      <w:r>
        <w:rPr>
          <w:b w:val="0"/>
          <w:i w:val="0"/>
        </w:rPr>
        <w:t>.</w:t>
      </w:r>
    </w:p>
    <w:p>
      <w:pPr>
        <w:widowControl/>
      </w:pPr>
      <w:r>
        <w:rPr>
          <w:b/>
          <w:i w:val="0"/>
        </w:rPr>
        <w:t>non localiter.</w:t>
      </w:r>
      <w:r>
        <w:rPr>
          <w:b w:val="0"/>
          <w:i w:val="0"/>
        </w:rPr>
        <w:t xml:space="preserve"> </w:t>
      </w:r>
      <w:hyperlink w:anchor="latin-record-0844">
        <w:r>
          <w:rPr>
            <w:color w:val="000000"/>
          </w:rPr>
          <w:t xml:space="preserve">non localiter</w:t>
        </w:r>
      </w:hyperlink>
      <w:r>
        <w:rPr>
          <w:b w:val="0"/>
          <w:i w:val="0"/>
        </w:rPr>
        <w:t>.</w:t>
      </w:r>
    </w:p>
    <w:p>
      <w:pPr>
        <w:widowControl/>
      </w:pPr>
      <w:r>
        <w:rPr>
          <w:b/>
          <w:i w:val="0"/>
        </w:rPr>
        <w:t>non secundum locum.</w:t>
      </w:r>
      <w:r>
        <w:rPr>
          <w:b w:val="0"/>
          <w:i w:val="0"/>
        </w:rPr>
        <w:t xml:space="preserve"> </w:t>
      </w:r>
      <w:hyperlink w:anchor="latin-record-0844">
        <w:r>
          <w:rPr>
            <w:color w:val="000000"/>
          </w:rPr>
          <w:t xml:space="preserve">non localiter</w:t>
        </w:r>
      </w:hyperlink>
      <w:r>
        <w:rPr>
          <w:b w:val="0"/>
          <w:i w:val="0"/>
        </w:rPr>
        <w:t>.</w:t>
      </w:r>
    </w:p>
    <w:p>
      <w:pPr>
        <w:widowControl/>
      </w:pPr>
      <w:r>
        <w:rPr>
          <w:b/>
          <w:i w:val="0"/>
        </w:rPr>
        <w:t>Non tamen.</w:t>
      </w:r>
      <w:r>
        <w:rPr>
          <w:b w:val="0"/>
          <w:i w:val="0"/>
        </w:rPr>
        <w:t xml:space="preserve"> </w:t>
      </w:r>
      <w:hyperlink w:anchor="latin-record-0595">
        <w:r>
          <w:rPr>
            <w:color w:val="000000"/>
          </w:rPr>
          <w:t xml:space="preserve">immo / tamen / non tamen</w:t>
        </w:r>
      </w:hyperlink>
      <w:r>
        <w:rPr>
          <w:b w:val="0"/>
          <w:i w:val="0"/>
        </w:rPr>
        <w:t>.</w:t>
      </w:r>
    </w:p>
    <w:p>
      <w:pPr>
        <w:widowControl/>
      </w:pPr>
      <w:r>
        <w:rPr>
          <w:b/>
          <w:i w:val="0"/>
        </w:rPr>
        <w:t>non tamen.</w:t>
      </w:r>
      <w:r>
        <w:rPr>
          <w:b w:val="0"/>
          <w:i w:val="0"/>
        </w:rPr>
        <w:t xml:space="preserve"> </w:t>
      </w:r>
      <w:hyperlink w:anchor="latin-record-0595">
        <w:r>
          <w:rPr>
            <w:color w:val="000000"/>
          </w:rPr>
          <w:t xml:space="preserve">immo / tamen / non tamen</w:t>
        </w:r>
      </w:hyperlink>
      <w:r>
        <w:rPr>
          <w:b w:val="0"/>
          <w:i w:val="0"/>
        </w:rPr>
        <w:t>.</w:t>
      </w:r>
    </w:p>
    <w:p>
      <w:pPr>
        <w:widowControl/>
      </w:pPr>
      <w:r>
        <w:rPr>
          <w:b/>
          <w:i w:val="0"/>
        </w:rPr>
        <w:t>noscit.</w:t>
      </w:r>
      <w:r>
        <w:rPr>
          <w:b w:val="0"/>
          <w:i w:val="0"/>
        </w:rPr>
        <w:t xml:space="preserve"> </w:t>
      </w:r>
      <w:hyperlink w:anchor="latin-record-0232">
        <w:r>
          <w:rPr>
            <w:color w:val="000000"/>
          </w:rPr>
          <w:t xml:space="preserve">cognoscere / agnoscere / noscere</w:t>
        </w:r>
      </w:hyperlink>
      <w:r>
        <w:rPr>
          <w:b w:val="0"/>
          <w:i w:val="0"/>
        </w:rPr>
        <w:t>.</w:t>
      </w:r>
    </w:p>
    <w:p>
      <w:pPr>
        <w:widowControl/>
      </w:pPr>
      <w:r>
        <w:rPr>
          <w:b/>
          <w:i w:val="0"/>
        </w:rPr>
        <w:t>notio.</w:t>
      </w:r>
      <w:r>
        <w:rPr>
          <w:b w:val="0"/>
          <w:i w:val="0"/>
        </w:rPr>
        <w:t xml:space="preserve"> </w:t>
      </w:r>
      <w:hyperlink w:anchor="latin-record-0845">
        <w:r>
          <w:rPr>
            <w:color w:val="000000"/>
          </w:rPr>
          <w:t xml:space="preserve">notio / perceptio</w:t>
        </w:r>
      </w:hyperlink>
      <w:r>
        <w:rPr>
          <w:b w:val="0"/>
          <w:i w:val="0"/>
        </w:rPr>
        <w:t>.</w:t>
      </w:r>
    </w:p>
    <w:p>
      <w:pPr>
        <w:widowControl/>
      </w:pPr>
      <w:r>
        <w:rPr>
          <w:b/>
          <w:i w:val="0"/>
        </w:rPr>
        <w:t>notione.</w:t>
      </w:r>
      <w:r>
        <w:rPr>
          <w:b w:val="0"/>
          <w:i w:val="0"/>
        </w:rPr>
        <w:t xml:space="preserve"> </w:t>
      </w:r>
      <w:hyperlink w:anchor="latin-record-0845">
        <w:r>
          <w:rPr>
            <w:color w:val="000000"/>
          </w:rPr>
          <w:t xml:space="preserve">notio / perceptio</w:t>
        </w:r>
      </w:hyperlink>
      <w:r>
        <w:rPr>
          <w:b w:val="0"/>
          <w:i w:val="0"/>
        </w:rPr>
        <w:t>.</w:t>
      </w:r>
    </w:p>
    <w:p>
      <w:pPr>
        <w:widowControl/>
      </w:pPr>
      <w:r>
        <w:rPr>
          <w:b/>
          <w:i w:val="0"/>
        </w:rPr>
        <w:t>notionem.</w:t>
      </w:r>
      <w:r>
        <w:rPr>
          <w:b w:val="0"/>
          <w:i w:val="0"/>
        </w:rPr>
        <w:t xml:space="preserve"> </w:t>
      </w:r>
      <w:hyperlink w:anchor="latin-record-0845">
        <w:r>
          <w:rPr>
            <w:color w:val="000000"/>
          </w:rPr>
          <w:t xml:space="preserve">notio / perceptio</w:t>
        </w:r>
      </w:hyperlink>
      <w:r>
        <w:rPr>
          <w:b w:val="0"/>
          <w:i w:val="0"/>
        </w:rPr>
        <w:t>.</w:t>
      </w:r>
    </w:p>
    <w:p>
      <w:pPr>
        <w:widowControl/>
      </w:pPr>
      <w:r>
        <w:rPr>
          <w:b/>
          <w:i w:val="0"/>
        </w:rPr>
        <w:t>novae animae.</w:t>
      </w:r>
      <w:r>
        <w:rPr>
          <w:b w:val="0"/>
          <w:i w:val="0"/>
        </w:rPr>
        <w:t xml:space="preserve"> </w:t>
      </w:r>
      <w:hyperlink w:anchor="latin-record-1375">
        <w:r>
          <w:rPr>
            <w:color w:val="000000"/>
          </w:rPr>
          <w:t xml:space="preserve">vita mundi / novae animae</w:t>
        </w:r>
      </w:hyperlink>
      <w:r>
        <w:rPr>
          <w:b w:val="0"/>
          <w:i w:val="0"/>
        </w:rPr>
        <w:t>.</w:t>
      </w:r>
    </w:p>
    <w:p>
      <w:pPr>
        <w:widowControl/>
      </w:pPr>
      <w:r>
        <w:rPr>
          <w:b/>
          <w:i w:val="0"/>
        </w:rPr>
        <w:t>novae in nobis partes.</w:t>
      </w:r>
      <w:r>
        <w:rPr>
          <w:b w:val="0"/>
          <w:i w:val="0"/>
        </w:rPr>
        <w:t xml:space="preserve"> </w:t>
      </w:r>
      <w:hyperlink w:anchor="latin-record-0897">
        <w:r>
          <w:rPr>
            <w:color w:val="000000"/>
          </w:rPr>
          <w:t xml:space="preserve">partes novae; veteres</w:t>
        </w:r>
      </w:hyperlink>
      <w:r>
        <w:rPr>
          <w:b w:val="0"/>
          <w:i w:val="0"/>
        </w:rPr>
        <w:t>.</w:t>
      </w:r>
    </w:p>
    <w:p>
      <w:pPr>
        <w:widowControl/>
      </w:pPr>
      <w:r>
        <w:rPr>
          <w:b/>
          <w:i w:val="0"/>
        </w:rPr>
        <w:t>noxia.</w:t>
      </w:r>
      <w:r>
        <w:rPr>
          <w:b w:val="0"/>
          <w:i w:val="0"/>
        </w:rPr>
        <w:t xml:space="preserve"> </w:t>
      </w:r>
      <w:hyperlink w:anchor="latin-record-0998">
        <w:r>
          <w:rPr>
            <w:color w:val="000000"/>
          </w:rPr>
          <w:t xml:space="preserve">privatio / defectus / malum / noxius / salubris</w:t>
        </w:r>
      </w:hyperlink>
      <w:r>
        <w:rPr>
          <w:b w:val="0"/>
          <w:i w:val="0"/>
        </w:rPr>
        <w:t>.</w:t>
      </w:r>
    </w:p>
    <w:p>
      <w:pPr>
        <w:widowControl/>
      </w:pPr>
      <w:r>
        <w:rPr>
          <w:b/>
          <w:i w:val="0"/>
        </w:rPr>
        <w:t>noxiam.</w:t>
      </w:r>
      <w:r>
        <w:rPr>
          <w:b w:val="0"/>
          <w:i w:val="0"/>
        </w:rPr>
        <w:t xml:space="preserve"> </w:t>
      </w:r>
      <w:hyperlink w:anchor="latin-record-0568">
        <w:r>
          <w:rPr>
            <w:color w:val="000000"/>
          </w:rPr>
          <w:t xml:space="preserve">hostilis / noxius</w:t>
        </w:r>
      </w:hyperlink>
      <w:r>
        <w:rPr>
          <w:b w:val="0"/>
          <w:i w:val="0"/>
        </w:rPr>
        <w:t xml:space="preserve">; </w:t>
      </w:r>
      <w:hyperlink w:anchor="latin-record-0698">
        <w:r>
          <w:rPr>
            <w:color w:val="000000"/>
          </w:rPr>
          <w:t xml:space="preserve">laesio / noxius</w:t>
        </w:r>
      </w:hyperlink>
      <w:r>
        <w:rPr>
          <w:b w:val="0"/>
          <w:i w:val="0"/>
        </w:rPr>
        <w:t>.</w:t>
      </w:r>
    </w:p>
    <w:p>
      <w:pPr>
        <w:widowControl/>
      </w:pPr>
      <w:r>
        <w:rPr>
          <w:b/>
          <w:i w:val="0"/>
        </w:rPr>
        <w:t>noxium.</w:t>
      </w:r>
      <w:r>
        <w:rPr>
          <w:b w:val="0"/>
          <w:i w:val="0"/>
        </w:rPr>
        <w:t xml:space="preserve"> </w:t>
      </w:r>
      <w:hyperlink w:anchor="latin-record-0568">
        <w:r>
          <w:rPr>
            <w:color w:val="000000"/>
          </w:rPr>
          <w:t xml:space="preserve">hostilis / noxius</w:t>
        </w:r>
      </w:hyperlink>
      <w:r>
        <w:rPr>
          <w:b w:val="0"/>
          <w:i w:val="0"/>
        </w:rPr>
        <w:t>.</w:t>
      </w:r>
    </w:p>
    <w:p>
      <w:pPr>
        <w:widowControl/>
      </w:pPr>
      <w:r>
        <w:rPr>
          <w:b/>
          <w:i w:val="0"/>
        </w:rPr>
        <w:t>nulla.</w:t>
      </w:r>
      <w:r>
        <w:rPr>
          <w:b w:val="0"/>
          <w:i w:val="0"/>
        </w:rPr>
        <w:t xml:space="preserve"> </w:t>
      </w:r>
      <w:hyperlink w:anchor="latin-record-1200">
        <w:r>
          <w:rPr>
            <w:color w:val="000000"/>
          </w:rPr>
          <w:t xml:space="preserve">solus; omnis; nullus</w:t>
        </w:r>
      </w:hyperlink>
      <w:r>
        <w:rPr>
          <w:b w:val="0"/>
          <w:i w:val="0"/>
        </w:rPr>
        <w:t>.</w:t>
      </w:r>
    </w:p>
    <w:p>
      <w:pPr>
        <w:widowControl/>
      </w:pPr>
      <w:r>
        <w:rPr>
          <w:b/>
          <w:i w:val="0"/>
        </w:rPr>
        <w:t>nullam.</w:t>
      </w:r>
      <w:r>
        <w:rPr>
          <w:b w:val="0"/>
          <w:i w:val="0"/>
        </w:rPr>
        <w:t xml:space="preserve"> </w:t>
      </w:r>
      <w:hyperlink w:anchor="latin-record-1200">
        <w:r>
          <w:rPr>
            <w:color w:val="000000"/>
          </w:rPr>
          <w:t xml:space="preserve">solus; omnis; nullus</w:t>
        </w:r>
      </w:hyperlink>
      <w:r>
        <w:rPr>
          <w:b w:val="0"/>
          <w:i w:val="0"/>
        </w:rPr>
        <w:t>.</w:t>
      </w:r>
    </w:p>
    <w:p>
      <w:pPr>
        <w:widowControl/>
      </w:pPr>
      <w:r>
        <w:rPr>
          <w:b/>
          <w:i w:val="0"/>
        </w:rPr>
        <w:t>nullam trahat originem a materia.</w:t>
      </w:r>
      <w:r>
        <w:rPr>
          <w:b w:val="0"/>
          <w:i w:val="0"/>
        </w:rPr>
        <w:t xml:space="preserve"> </w:t>
      </w:r>
      <w:hyperlink w:anchor="latin-record-0881">
        <w:r>
          <w:rPr>
            <w:color w:val="000000"/>
          </w:rPr>
          <w:t xml:space="preserve">origo a materia</w:t>
        </w:r>
      </w:hyperlink>
      <w:r>
        <w:rPr>
          <w:b w:val="0"/>
          <w:i w:val="0"/>
        </w:rPr>
        <w:t>.</w:t>
      </w:r>
    </w:p>
    <w:p>
      <w:pPr>
        <w:widowControl/>
      </w:pPr>
      <w:r>
        <w:rPr>
          <w:b/>
          <w:i w:val="0"/>
        </w:rPr>
        <w:t>nulli.</w:t>
      </w:r>
      <w:r>
        <w:rPr>
          <w:b w:val="0"/>
          <w:i w:val="0"/>
        </w:rPr>
        <w:t xml:space="preserve"> </w:t>
      </w:r>
      <w:hyperlink w:anchor="latin-record-1200">
        <w:r>
          <w:rPr>
            <w:color w:val="000000"/>
          </w:rPr>
          <w:t xml:space="preserve">solus; omnis; nullus</w:t>
        </w:r>
      </w:hyperlink>
      <w:r>
        <w:rPr>
          <w:b w:val="0"/>
          <w:i w:val="0"/>
        </w:rPr>
        <w:t>.</w:t>
      </w:r>
    </w:p>
    <w:p>
      <w:pPr>
        <w:widowControl/>
      </w:pPr>
      <w:r>
        <w:rPr>
          <w:b/>
          <w:i w:val="0"/>
        </w:rPr>
        <w:t>nullo.</w:t>
      </w:r>
      <w:r>
        <w:rPr>
          <w:b w:val="0"/>
          <w:i w:val="0"/>
        </w:rPr>
        <w:t xml:space="preserve"> </w:t>
      </w:r>
      <w:hyperlink w:anchor="latin-record-1200">
        <w:r>
          <w:rPr>
            <w:color w:val="000000"/>
          </w:rPr>
          <w:t xml:space="preserve">solus; omnis; nullus</w:t>
        </w:r>
      </w:hyperlink>
      <w:r>
        <w:rPr>
          <w:b w:val="0"/>
          <w:i w:val="0"/>
        </w:rPr>
        <w:t>.</w:t>
      </w:r>
    </w:p>
    <w:p>
      <w:pPr>
        <w:widowControl/>
      </w:pPr>
      <w:r>
        <w:rPr>
          <w:b/>
          <w:i w:val="0"/>
        </w:rPr>
        <w:t>nullum.</w:t>
      </w:r>
      <w:r>
        <w:rPr>
          <w:b w:val="0"/>
          <w:i w:val="0"/>
        </w:rPr>
        <w:t xml:space="preserve"> </w:t>
      </w:r>
      <w:hyperlink w:anchor="latin-record-1200">
        <w:r>
          <w:rPr>
            <w:color w:val="000000"/>
          </w:rPr>
          <w:t xml:space="preserve">solus; omnis; nullus</w:t>
        </w:r>
      </w:hyperlink>
      <w:r>
        <w:rPr>
          <w:b w:val="0"/>
          <w:i w:val="0"/>
        </w:rPr>
        <w:t>.</w:t>
      </w:r>
    </w:p>
    <w:p>
      <w:pPr>
        <w:widowControl/>
      </w:pPr>
      <w:r>
        <w:rPr>
          <w:b/>
          <w:i w:val="0"/>
        </w:rPr>
        <w:t>nullus.</w:t>
      </w:r>
      <w:r>
        <w:rPr>
          <w:b w:val="0"/>
          <w:i w:val="0"/>
        </w:rPr>
        <w:t xml:space="preserve"> </w:t>
      </w:r>
      <w:hyperlink w:anchor="latin-record-1200">
        <w:r>
          <w:rPr>
            <w:color w:val="000000"/>
          </w:rPr>
          <w:t xml:space="preserve">solus; omnis; nullus</w:t>
        </w:r>
      </w:hyperlink>
      <w:r>
        <w:rPr>
          <w:b w:val="0"/>
          <w:i w:val="0"/>
        </w:rPr>
        <w:t>.</w:t>
      </w:r>
    </w:p>
    <w:p>
      <w:pPr>
        <w:widowControl/>
      </w:pPr>
      <w:r>
        <w:rPr>
          <w:b/>
          <w:i w:val="0"/>
        </w:rPr>
        <w:t>Num.</w:t>
      </w:r>
      <w:r>
        <w:rPr>
          <w:b w:val="0"/>
          <w:i w:val="0"/>
        </w:rPr>
        <w:t xml:space="preserve"> </w:t>
      </w:r>
      <w:hyperlink w:anchor="latin-record-1327">
        <w:r>
          <w:rPr>
            <w:color w:val="000000"/>
          </w:rPr>
          <w:t xml:space="preserve">utrum; an; numquid; num</w:t>
        </w:r>
      </w:hyperlink>
      <w:r>
        <w:rPr>
          <w:b w:val="0"/>
          <w:i w:val="0"/>
        </w:rPr>
        <w:t>.</w:t>
      </w:r>
    </w:p>
    <w:p>
      <w:pPr>
        <w:widowControl/>
      </w:pPr>
      <w:r>
        <w:rPr>
          <w:b/>
          <w:i w:val="0"/>
        </w:rPr>
        <w:t>Numenius.</w:t>
      </w:r>
      <w:r>
        <w:rPr>
          <w:b w:val="0"/>
          <w:i w:val="0"/>
        </w:rPr>
        <w:t xml:space="preserve"> </w:t>
      </w:r>
      <w:hyperlink w:anchor="latin-record-1392">
        <w:r>
          <w:rPr>
            <w:color w:val="000000"/>
          </w:rPr>
          <w:t xml:space="preserve">Xenocrates / Speusippus / Numenius</w:t>
        </w:r>
      </w:hyperlink>
      <w:r>
        <w:rPr>
          <w:b w:val="0"/>
          <w:i w:val="0"/>
        </w:rPr>
        <w:t>.</w:t>
      </w:r>
    </w:p>
    <w:p>
      <w:pPr>
        <w:widowControl/>
      </w:pPr>
      <w:r>
        <w:rPr>
          <w:b/>
          <w:i w:val="0"/>
        </w:rPr>
        <w:t>numerentque.</w:t>
      </w:r>
      <w:r>
        <w:rPr>
          <w:b w:val="0"/>
          <w:i w:val="0"/>
        </w:rPr>
        <w:t xml:space="preserve"> </w:t>
      </w:r>
      <w:hyperlink w:anchor="latin-record-0784">
        <w:r>
          <w:rPr>
            <w:color w:val="000000"/>
          </w:rPr>
          <w:t xml:space="preserve">metiri; numerare</w:t>
        </w:r>
      </w:hyperlink>
      <w:r>
        <w:rPr>
          <w:b w:val="0"/>
          <w:i w:val="0"/>
        </w:rPr>
        <w:t>.</w:t>
      </w:r>
    </w:p>
    <w:p>
      <w:pPr>
        <w:widowControl/>
      </w:pPr>
      <w:r>
        <w:rPr>
          <w:b/>
          <w:i w:val="0"/>
        </w:rPr>
        <w:t>numeri.</w:t>
      </w:r>
      <w:r>
        <w:rPr>
          <w:b w:val="0"/>
          <w:i w:val="0"/>
        </w:rPr>
        <w:t xml:space="preserve"> </w:t>
      </w:r>
      <w:hyperlink w:anchor="latin-record-0847">
        <w:r>
          <w:rPr>
            <w:color w:val="000000"/>
          </w:rPr>
          <w:t xml:space="preserve">numerus / figura / proportio</w:t>
        </w:r>
      </w:hyperlink>
      <w:r>
        <w:rPr>
          <w:b w:val="0"/>
          <w:i w:val="0"/>
        </w:rPr>
        <w:t xml:space="preserve">; </w:t>
      </w:r>
      <w:hyperlink w:anchor="latin-record-0848">
        <w:r>
          <w:rPr>
            <w:color w:val="000000"/>
          </w:rPr>
          <w:t xml:space="preserve">numerus; replicatio</w:t>
        </w:r>
      </w:hyperlink>
      <w:r>
        <w:rPr>
          <w:b w:val="0"/>
          <w:i w:val="0"/>
        </w:rPr>
        <w:t>.</w:t>
      </w:r>
    </w:p>
    <w:p>
      <w:pPr>
        <w:widowControl/>
      </w:pPr>
      <w:r>
        <w:rPr>
          <w:b/>
          <w:i w:val="0"/>
        </w:rPr>
        <w:t>Numeri.</w:t>
      </w:r>
      <w:r>
        <w:rPr>
          <w:b w:val="0"/>
          <w:i w:val="0"/>
        </w:rPr>
        <w:t xml:space="preserve"> </w:t>
      </w:r>
      <w:hyperlink w:anchor="latin-record-0848">
        <w:r>
          <w:rPr>
            <w:color w:val="000000"/>
          </w:rPr>
          <w:t xml:space="preserve">numerus; replicatio</w:t>
        </w:r>
      </w:hyperlink>
      <w:r>
        <w:rPr>
          <w:b w:val="0"/>
          <w:i w:val="0"/>
        </w:rPr>
        <w:t>.</w:t>
      </w:r>
    </w:p>
    <w:p>
      <w:pPr>
        <w:widowControl/>
      </w:pPr>
      <w:r>
        <w:rPr>
          <w:b/>
          <w:i w:val="0"/>
        </w:rPr>
        <w:t>numeris.</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numerorum.</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Numeros.</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numeros.</w:t>
      </w:r>
      <w:r>
        <w:rPr>
          <w:b w:val="0"/>
          <w:i w:val="0"/>
        </w:rPr>
        <w:t xml:space="preserve"> </w:t>
      </w:r>
      <w:hyperlink w:anchor="latin-record-0847">
        <w:r>
          <w:rPr>
            <w:color w:val="000000"/>
          </w:rPr>
          <w:t xml:space="preserve">numerus / figura / proportio</w:t>
        </w:r>
      </w:hyperlink>
      <w:r>
        <w:rPr>
          <w:b w:val="0"/>
          <w:i w:val="0"/>
        </w:rPr>
        <w:t>.</w:t>
      </w:r>
    </w:p>
    <w:p>
      <w:pPr>
        <w:widowControl/>
      </w:pPr>
      <w:r>
        <w:rPr>
          <w:b/>
          <w:i w:val="0"/>
        </w:rPr>
        <w:t>numerosum.</w:t>
      </w:r>
      <w:r>
        <w:rPr>
          <w:b w:val="0"/>
          <w:i w:val="0"/>
        </w:rPr>
        <w:t xml:space="preserve"> </w:t>
      </w:r>
      <w:hyperlink w:anchor="latin-record-0353">
        <w:r>
          <w:rPr>
            <w:color w:val="000000"/>
          </w:rPr>
          <w:t xml:space="preserve">cumulus / continuum</w:t>
        </w:r>
      </w:hyperlink>
      <w:r>
        <w:rPr>
          <w:b w:val="0"/>
          <w:i w:val="0"/>
        </w:rPr>
        <w:t>.</w:t>
      </w:r>
    </w:p>
    <w:p>
      <w:pPr>
        <w:widowControl/>
      </w:pPr>
      <w:r>
        <w:rPr>
          <w:b/>
          <w:i w:val="0"/>
        </w:rPr>
        <w:t>numquam.</w:t>
      </w:r>
      <w:r>
        <w:rPr>
          <w:b w:val="0"/>
          <w:i w:val="0"/>
        </w:rPr>
        <w:t xml:space="preserve"> </w:t>
      </w:r>
      <w:hyperlink w:anchor="latin-record-0963">
        <w:r>
          <w:rPr>
            <w:color w:val="000000"/>
          </w:rPr>
          <w:t xml:space="preserve">posse / fingere / excogitare</w:t>
        </w:r>
      </w:hyperlink>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Numquid.</w:t>
      </w:r>
      <w:r>
        <w:rPr>
          <w:b w:val="0"/>
          <w:i w:val="0"/>
        </w:rPr>
        <w:t xml:space="preserve"> </w:t>
      </w:r>
      <w:hyperlink w:anchor="latin-record-1327">
        <w:r>
          <w:rPr>
            <w:color w:val="000000"/>
          </w:rPr>
          <w:t xml:space="preserve">utrum; an; numquid; num</w:t>
        </w:r>
      </w:hyperlink>
      <w:r>
        <w:rPr>
          <w:b w:val="0"/>
          <w:i w:val="0"/>
        </w:rPr>
        <w:t>.</w:t>
      </w:r>
    </w:p>
    <w:p>
      <w:pPr>
        <w:widowControl/>
      </w:pPr>
      <w:r>
        <w:rPr>
          <w:b/>
          <w:i w:val="0"/>
        </w:rPr>
        <w:t>numquid.</w:t>
      </w:r>
      <w:r>
        <w:rPr>
          <w:b w:val="0"/>
          <w:i w:val="0"/>
        </w:rPr>
        <w:t xml:space="preserve"> </w:t>
      </w:r>
      <w:hyperlink w:anchor="latin-record-1327">
        <w:r>
          <w:rPr>
            <w:color w:val="000000"/>
          </w:rPr>
          <w:t xml:space="preserve">utrum; an; numquid; num</w:t>
        </w:r>
      </w:hyperlink>
      <w:r>
        <w:rPr>
          <w:b w:val="0"/>
          <w:i w:val="0"/>
        </w:rPr>
        <w:t>.</w:t>
      </w:r>
    </w:p>
    <w:p>
      <w:pPr>
        <w:widowControl/>
      </w:pPr>
      <w:r>
        <w:rPr>
          <w:b/>
          <w:i w:val="0"/>
        </w:rPr>
        <w:t>nuntiantur.</w:t>
      </w:r>
      <w:r>
        <w:rPr>
          <w:b w:val="0"/>
          <w:i w:val="0"/>
        </w:rPr>
        <w:t xml:space="preserve"> </w:t>
      </w:r>
      <w:hyperlink w:anchor="latin-record-0849">
        <w:r>
          <w:rPr>
            <w:color w:val="000000"/>
          </w:rPr>
          <w:t xml:space="preserve">nuntiare</w:t>
        </w:r>
      </w:hyperlink>
      <w:r>
        <w:rPr>
          <w:b w:val="0"/>
          <w:i w:val="0"/>
        </w:rPr>
        <w:t>.</w:t>
      </w:r>
    </w:p>
    <w:p>
      <w:pPr>
        <w:widowControl/>
      </w:pPr>
      <w:r>
        <w:rPr>
          <w:b/>
          <w:i w:val="0"/>
        </w:rPr>
        <w:t>nuntiat.</w:t>
      </w:r>
      <w:r>
        <w:rPr>
          <w:b w:val="0"/>
          <w:i w:val="0"/>
        </w:rPr>
        <w:t xml:space="preserve"> </w:t>
      </w:r>
      <w:hyperlink w:anchor="latin-record-0849">
        <w:r>
          <w:rPr>
            <w:color w:val="000000"/>
          </w:rPr>
          <w:t xml:space="preserve">nuntiare</w:t>
        </w:r>
      </w:hyperlink>
      <w:r>
        <w:rPr>
          <w:b w:val="0"/>
          <w:i w:val="0"/>
        </w:rPr>
        <w:t>.</w:t>
      </w:r>
    </w:p>
    <w:p>
      <w:pPr>
        <w:widowControl/>
      </w:pPr>
      <w:r>
        <w:rPr>
          <w:b/>
          <w:i w:val="0"/>
        </w:rPr>
        <w:t>nutriendi.</w:t>
      </w:r>
      <w:r>
        <w:rPr>
          <w:b w:val="0"/>
          <w:i w:val="0"/>
        </w:rPr>
        <w:t xml:space="preserve"> </w:t>
      </w:r>
      <w:hyperlink w:anchor="latin-record-0067">
        <w:r>
          <w:rPr>
            <w:color w:val="000000"/>
          </w:rPr>
          <w:t xml:space="preserve">alere / nutrire</w:t>
        </w:r>
      </w:hyperlink>
      <w:r>
        <w:rPr>
          <w:b w:val="0"/>
          <w:i w:val="0"/>
        </w:rPr>
        <w:t xml:space="preserve">; </w:t>
      </w:r>
      <w:hyperlink w:anchor="latin-record-0094">
        <w:r>
          <w:rPr>
            <w:color w:val="000000"/>
          </w:rPr>
          <w:t xml:space="preserve">anima nutritiva / sensitiva</w:t>
        </w:r>
      </w:hyperlink>
      <w:r>
        <w:rPr>
          <w:b w:val="0"/>
          <w:i w:val="0"/>
        </w:rPr>
        <w:t>.</w:t>
      </w:r>
    </w:p>
    <w:p>
      <w:pPr>
        <w:widowControl/>
      </w:pPr>
      <w:r>
        <w:rPr>
          <w:b/>
          <w:i w:val="0"/>
        </w:rPr>
        <w:t>nutrimentum.</w:t>
      </w:r>
      <w:r>
        <w:rPr>
          <w:b w:val="0"/>
          <w:i w:val="0"/>
        </w:rPr>
        <w:t xml:space="preserve"> </w:t>
      </w:r>
      <w:hyperlink w:anchor="latin-record-0072">
        <w:r>
          <w:rPr>
            <w:color w:val="000000"/>
          </w:rPr>
          <w:t xml:space="preserve">alimentum; alimonia; nutrimentum</w:t>
        </w:r>
      </w:hyperlink>
      <w:r>
        <w:rPr>
          <w:b w:val="0"/>
          <w:i w:val="0"/>
        </w:rPr>
        <w:t xml:space="preserve">; </w:t>
      </w:r>
      <w:hyperlink w:anchor="latin-record-0214">
        <w:r>
          <w:rPr>
            <w:color w:val="000000"/>
          </w:rPr>
          <w:t xml:space="preserve">cibus / nutrimentum / viva caro</w:t>
        </w:r>
      </w:hyperlink>
      <w:r>
        <w:rPr>
          <w:b w:val="0"/>
          <w:i w:val="0"/>
        </w:rPr>
        <w:t>.</w:t>
      </w:r>
    </w:p>
    <w:p>
      <w:pPr>
        <w:widowControl/>
      </w:pPr>
      <w:r>
        <w:rPr>
          <w:b/>
          <w:i w:val="0"/>
        </w:rPr>
        <w:t>nutriri.</w:t>
      </w:r>
      <w:r>
        <w:rPr>
          <w:b w:val="0"/>
          <w:i w:val="0"/>
        </w:rPr>
        <w:t xml:space="preserve"> </w:t>
      </w:r>
      <w:hyperlink w:anchor="latin-record-0067">
        <w:r>
          <w:rPr>
            <w:color w:val="000000"/>
          </w:rPr>
          <w:t xml:space="preserve">alere / nutrire</w:t>
        </w:r>
      </w:hyperlink>
      <w:r>
        <w:rPr>
          <w:b w:val="0"/>
          <w:i w:val="0"/>
        </w:rPr>
        <w:t>.</w:t>
      </w:r>
    </w:p>
    <w:p>
      <w:pPr>
        <w:widowControl/>
      </w:pPr>
      <w:r>
        <w:rPr>
          <w:b/>
          <w:i w:val="0"/>
        </w:rPr>
        <w:t>nutrit.</w:t>
      </w:r>
      <w:r>
        <w:rPr>
          <w:b w:val="0"/>
          <w:i w:val="0"/>
        </w:rPr>
        <w:t xml:space="preserve"> </w:t>
      </w:r>
      <w:hyperlink w:anchor="latin-record-0094">
        <w:r>
          <w:rPr>
            <w:color w:val="000000"/>
          </w:rPr>
          <w:t xml:space="preserve">anima nutritiva / sensitiva</w:t>
        </w:r>
      </w:hyperlink>
      <w:r>
        <w:rPr>
          <w:b w:val="0"/>
          <w:i w:val="0"/>
        </w:rPr>
        <w:t>.</w:t>
      </w:r>
    </w:p>
    <w:p>
      <w:pPr>
        <w:widowControl/>
      </w:pPr>
      <w:r>
        <w:rPr>
          <w:b/>
          <w:i w:val="0"/>
        </w:rPr>
        <w:t>nutritiva.</w:t>
      </w:r>
      <w:r>
        <w:rPr>
          <w:b w:val="0"/>
          <w:i w:val="0"/>
        </w:rPr>
        <w:t xml:space="preserve"> </w:t>
      </w:r>
      <w:hyperlink w:anchor="latin-record-0094">
        <w:r>
          <w:rPr>
            <w:color w:val="000000"/>
          </w:rPr>
          <w:t xml:space="preserve">anima nutritiva / sensitiva</w:t>
        </w:r>
      </w:hyperlink>
      <w:r>
        <w:rPr>
          <w:b w:val="0"/>
          <w:i w:val="0"/>
        </w:rPr>
        <w:t>.</w:t>
      </w:r>
    </w:p>
    <w:p>
      <w:pPr>
        <w:widowControl/>
      </w:pPr>
      <w:r>
        <w:rPr>
          <w:b/>
          <w:i w:val="0"/>
        </w:rPr>
        <w:t>nutritiva potentia.</w:t>
      </w:r>
      <w:r>
        <w:rPr>
          <w:b w:val="0"/>
          <w:i w:val="0"/>
        </w:rPr>
        <w:t xml:space="preserve"> </w:t>
      </w:r>
      <w:hyperlink w:anchor="latin-record-0850">
        <w:r>
          <w:rPr>
            <w:color w:val="000000"/>
          </w:rPr>
          <w:t xml:space="preserve">nutritiva potentia</w:t>
        </w:r>
      </w:hyperlink>
      <w:r>
        <w:rPr>
          <w:b w:val="0"/>
          <w:i w:val="0"/>
        </w:rPr>
        <w:t>.</w:t>
      </w:r>
    </w:p>
    <w:p>
      <w:pPr>
        <w:widowControl/>
      </w:pPr>
      <w:r>
        <w:rPr>
          <w:b/>
          <w:i w:val="0"/>
        </w:rPr>
        <w:t>nutritque.</w:t>
      </w:r>
      <w:r>
        <w:rPr>
          <w:b w:val="0"/>
          <w:i w:val="0"/>
        </w:rPr>
        <w:t xml:space="preserve"> </w:t>
      </w:r>
      <w:hyperlink w:anchor="latin-record-0539">
        <w:r>
          <w:rPr>
            <w:color w:val="000000"/>
          </w:rPr>
          <w:t xml:space="preserve">generare; nutrire; augere</w:t>
        </w:r>
      </w:hyperlink>
      <w:r>
        <w:rPr>
          <w:b w:val="0"/>
          <w:i w:val="0"/>
        </w:rPr>
        <w:t>.</w:t>
      </w:r>
    </w:p>
    <w:p>
      <w:pPr>
        <w:widowControl/>
      </w:pPr>
      <w:r>
        <w:rPr>
          <w:b/>
          <w:i w:val="0"/>
        </w:rPr>
        <w:t>nutriuntur.</w:t>
      </w:r>
      <w:r>
        <w:rPr>
          <w:b w:val="0"/>
          <w:i w:val="0"/>
        </w:rPr>
        <w:t xml:space="preserve"> </w:t>
      </w:r>
      <w:hyperlink w:anchor="latin-record-0067">
        <w:r>
          <w:rPr>
            <w:color w:val="000000"/>
          </w:rPr>
          <w:t xml:space="preserve">alere / nutrire</w:t>
        </w:r>
      </w:hyperlink>
      <w:r>
        <w:rPr>
          <w:b w:val="0"/>
          <w:i w:val="0"/>
        </w:rPr>
        <w:t>.</w:t>
      </w:r>
    </w:p>
    <w:p>
      <w:pPr>
        <w:widowControl/>
      </w:pPr>
      <w:r>
        <w:rPr>
          <w:b/>
          <w:i w:val="0"/>
        </w:rPr>
        <w:t>obfuscantur.</w:t>
      </w:r>
      <w:r>
        <w:rPr>
          <w:b w:val="0"/>
          <w:i w:val="0"/>
        </w:rPr>
        <w:t xml:space="preserve"> </w:t>
      </w:r>
      <w:hyperlink w:anchor="latin-record-0851">
        <w:r>
          <w:rPr>
            <w:color w:val="000000"/>
          </w:rPr>
          <w:t xml:space="preserve">obfuscare</w:t>
        </w:r>
      </w:hyperlink>
      <w:r>
        <w:rPr>
          <w:b w:val="0"/>
          <w:i w:val="0"/>
        </w:rPr>
        <w:t>.</w:t>
      </w:r>
    </w:p>
    <w:p>
      <w:pPr>
        <w:widowControl/>
      </w:pPr>
      <w:r>
        <w:rPr>
          <w:b/>
          <w:i w:val="0"/>
        </w:rPr>
        <w:t>obiecta.</w:t>
      </w:r>
      <w:r>
        <w:rPr>
          <w:b w:val="0"/>
          <w:i w:val="0"/>
        </w:rPr>
        <w:t xml:space="preserve"> </w:t>
      </w:r>
      <w:hyperlink w:anchor="latin-record-0852">
        <w:r>
          <w:rPr>
            <w:color w:val="000000"/>
          </w:rPr>
          <w:t xml:space="preserve">obiectum</w:t>
        </w:r>
      </w:hyperlink>
      <w:r>
        <w:rPr>
          <w:b w:val="0"/>
          <w:i w:val="0"/>
        </w:rPr>
        <w:t xml:space="preserve">; </w:t>
      </w:r>
      <w:hyperlink w:anchor="latin-record-1139">
        <w:r>
          <w:rPr>
            <w:color w:val="000000"/>
          </w:rPr>
          <w:t xml:space="preserve">scitum / obiectum</w:t>
        </w:r>
      </w:hyperlink>
      <w:r>
        <w:rPr>
          <w:b w:val="0"/>
          <w:i w:val="0"/>
        </w:rPr>
        <w:t>.</w:t>
      </w:r>
    </w:p>
    <w:p>
      <w:pPr>
        <w:widowControl/>
      </w:pPr>
      <w:r>
        <w:rPr>
          <w:b/>
          <w:i w:val="0"/>
        </w:rPr>
        <w:t>obiecta mentis.</w:t>
      </w:r>
      <w:r>
        <w:rPr>
          <w:b w:val="0"/>
          <w:i w:val="0"/>
        </w:rPr>
        <w:t xml:space="preserve"> </w:t>
      </w:r>
      <w:hyperlink w:anchor="latin-record-0852">
        <w:r>
          <w:rPr>
            <w:color w:val="000000"/>
          </w:rPr>
          <w:t xml:space="preserve">obiectum</w:t>
        </w:r>
      </w:hyperlink>
      <w:r>
        <w:rPr>
          <w:b w:val="0"/>
          <w:i w:val="0"/>
        </w:rPr>
        <w:t>.</w:t>
      </w:r>
    </w:p>
    <w:p>
      <w:pPr>
        <w:widowControl/>
      </w:pPr>
      <w:r>
        <w:rPr>
          <w:b/>
          <w:i w:val="0"/>
        </w:rPr>
        <w:t>obiectio.</w:t>
      </w:r>
      <w:r>
        <w:rPr>
          <w:b w:val="0"/>
          <w:i w:val="0"/>
        </w:rPr>
        <w:t xml:space="preserve"> </w:t>
      </w:r>
      <w:hyperlink w:anchor="latin-record-0205">
        <w:r>
          <w:rPr>
            <w:color w:val="000000"/>
          </w:rPr>
          <w:t xml:space="preserve">cavillatio</w:t>
        </w:r>
      </w:hyperlink>
      <w:r>
        <w:rPr>
          <w:b w:val="0"/>
          <w:i w:val="0"/>
        </w:rPr>
        <w:t>.</w:t>
      </w:r>
    </w:p>
    <w:p>
      <w:pPr>
        <w:widowControl/>
      </w:pPr>
      <w:r>
        <w:rPr>
          <w:b/>
          <w:i w:val="0"/>
        </w:rPr>
        <w:t>obiecto.</w:t>
      </w:r>
      <w:r>
        <w:rPr>
          <w:b w:val="0"/>
          <w:i w:val="0"/>
        </w:rPr>
        <w:t xml:space="preserve"> </w:t>
      </w:r>
      <w:hyperlink w:anchor="latin-record-0852">
        <w:r>
          <w:rPr>
            <w:color w:val="000000"/>
          </w:rPr>
          <w:t xml:space="preserve">obiectum</w:t>
        </w:r>
      </w:hyperlink>
      <w:r>
        <w:rPr>
          <w:b w:val="0"/>
          <w:i w:val="0"/>
        </w:rPr>
        <w:t xml:space="preserve">; </w:t>
      </w:r>
      <w:hyperlink w:anchor="latin-record-1139">
        <w:r>
          <w:rPr>
            <w:color w:val="000000"/>
          </w:rPr>
          <w:t xml:space="preserve">scitum / obiectum</w:t>
        </w:r>
      </w:hyperlink>
      <w:r>
        <w:rPr>
          <w:b w:val="0"/>
          <w:i w:val="0"/>
        </w:rPr>
        <w:t>.</w:t>
      </w:r>
    </w:p>
    <w:p>
      <w:pPr>
        <w:widowControl/>
      </w:pPr>
      <w:r>
        <w:rPr>
          <w:b/>
          <w:i w:val="0"/>
        </w:rPr>
        <w:t>obiectum.</w:t>
      </w:r>
      <w:r>
        <w:rPr>
          <w:b w:val="0"/>
          <w:i w:val="0"/>
        </w:rPr>
        <w:t xml:space="preserve"> </w:t>
      </w:r>
      <w:hyperlink w:anchor="latin-record-0852">
        <w:r>
          <w:rPr>
            <w:color w:val="000000"/>
          </w:rPr>
          <w:t xml:space="preserve">obiectum</w:t>
        </w:r>
      </w:hyperlink>
      <w:r>
        <w:rPr>
          <w:b w:val="0"/>
          <w:i w:val="0"/>
        </w:rPr>
        <w:t xml:space="preserve">; </w:t>
      </w:r>
      <w:hyperlink w:anchor="latin-record-1139">
        <w:r>
          <w:rPr>
            <w:color w:val="000000"/>
          </w:rPr>
          <w:t xml:space="preserve">scitum / obiectum</w:t>
        </w:r>
      </w:hyperlink>
      <w:r>
        <w:rPr>
          <w:b w:val="0"/>
          <w:i w:val="0"/>
        </w:rPr>
        <w:t>.</w:t>
      </w:r>
    </w:p>
    <w:p>
      <w:pPr>
        <w:widowControl/>
      </w:pPr>
      <w:r>
        <w:rPr>
          <w:b/>
          <w:i w:val="0"/>
        </w:rPr>
        <w:t>obliviosa.</w:t>
      </w:r>
      <w:r>
        <w:rPr>
          <w:b w:val="0"/>
          <w:i w:val="0"/>
        </w:rPr>
        <w:t xml:space="preserve"> </w:t>
      </w:r>
      <w:hyperlink w:anchor="latin-record-1033">
        <w:r>
          <w:rPr>
            <w:color w:val="000000"/>
          </w:rPr>
          <w:t xml:space="preserve">pusillanimis; hebes; obliviosus</w:t>
        </w:r>
      </w:hyperlink>
      <w:r>
        <w:rPr>
          <w:b w:val="0"/>
          <w:i w:val="0"/>
        </w:rPr>
        <w:t>.</w:t>
      </w:r>
    </w:p>
    <w:p>
      <w:pPr>
        <w:widowControl/>
      </w:pPr>
      <w:r>
        <w:rPr>
          <w:b/>
          <w:i w:val="0"/>
        </w:rPr>
        <w:t>obliviscitur.</w:t>
      </w:r>
      <w:r>
        <w:rPr>
          <w:b w:val="0"/>
          <w:i w:val="0"/>
        </w:rPr>
        <w:t xml:space="preserve"> </w:t>
      </w:r>
      <w:hyperlink w:anchor="latin-record-0853">
        <w:r>
          <w:rPr>
            <w:color w:val="000000"/>
          </w:rPr>
          <w:t xml:space="preserve">oblivisci</w:t>
        </w:r>
      </w:hyperlink>
      <w:r>
        <w:rPr>
          <w:b w:val="0"/>
          <w:i w:val="0"/>
        </w:rPr>
        <w:t xml:space="preserve">; </w:t>
      </w:r>
      <w:hyperlink w:anchor="latin-record-1101">
        <w:r>
          <w:rPr>
            <w:color w:val="000000"/>
          </w:rPr>
          <w:t xml:space="preserve">reminisci; oblivisci</w:t>
        </w:r>
      </w:hyperlink>
      <w:r>
        <w:rPr>
          <w:b w:val="0"/>
          <w:i w:val="0"/>
        </w:rPr>
        <w:t>.</w:t>
      </w:r>
    </w:p>
    <w:p>
      <w:pPr>
        <w:widowControl/>
      </w:pPr>
      <w:r>
        <w:rPr>
          <w:b/>
          <w:i w:val="0"/>
        </w:rPr>
        <w:t>obnubiletur.</w:t>
      </w:r>
      <w:r>
        <w:rPr>
          <w:b w:val="0"/>
          <w:i w:val="0"/>
        </w:rPr>
        <w:t xml:space="preserve"> </w:t>
      </w:r>
      <w:hyperlink w:anchor="latin-record-0019">
        <w:r>
          <w:rPr>
            <w:color w:val="000000"/>
          </w:rPr>
          <w:t xml:space="preserve">acies mentis / caligo</w:t>
        </w:r>
      </w:hyperlink>
      <w:r>
        <w:rPr>
          <w:b w:val="0"/>
          <w:i w:val="0"/>
        </w:rPr>
        <w:t>.</w:t>
      </w:r>
    </w:p>
    <w:p>
      <w:pPr>
        <w:widowControl/>
      </w:pPr>
      <w:r>
        <w:rPr>
          <w:b/>
          <w:i w:val="0"/>
        </w:rPr>
        <w:t>obscurum.</w:t>
      </w:r>
      <w:r>
        <w:rPr>
          <w:b w:val="0"/>
          <w:i w:val="0"/>
        </w:rPr>
        <w:t xml:space="preserve"> </w:t>
      </w:r>
      <w:hyperlink w:anchor="latin-record-0988">
        <w:r>
          <w:rPr>
            <w:color w:val="000000"/>
          </w:rPr>
          <w:t xml:space="preserve">primum lumen</w:t>
        </w:r>
      </w:hyperlink>
      <w:r>
        <w:rPr>
          <w:b w:val="0"/>
          <w:i w:val="0"/>
        </w:rPr>
        <w:t>.</w:t>
      </w:r>
    </w:p>
    <w:p>
      <w:pPr>
        <w:widowControl/>
      </w:pPr>
      <w:r>
        <w:rPr>
          <w:b/>
          <w:i w:val="0"/>
        </w:rPr>
        <w:t>obsistit.</w:t>
      </w:r>
      <w:r>
        <w:rPr>
          <w:b w:val="0"/>
          <w:i w:val="0"/>
        </w:rPr>
        <w:t xml:space="preserve"> </w:t>
      </w:r>
      <w:hyperlink w:anchor="latin-record-0295">
        <w:r>
          <w:rPr>
            <w:color w:val="000000"/>
          </w:rPr>
          <w:t xml:space="preserve">congruus / incongruus / obsistere</w:t>
        </w:r>
      </w:hyperlink>
      <w:r>
        <w:rPr>
          <w:b w:val="0"/>
          <w:i w:val="0"/>
        </w:rPr>
        <w:t>.</w:t>
      </w:r>
    </w:p>
    <w:p>
      <w:pPr>
        <w:widowControl/>
      </w:pPr>
      <w:r>
        <w:rPr>
          <w:b/>
          <w:i w:val="0"/>
        </w:rPr>
        <w:t>occidente.</w:t>
      </w:r>
      <w:r>
        <w:rPr>
          <w:b w:val="0"/>
          <w:i w:val="0"/>
        </w:rPr>
        <w:t xml:space="preserve"> </w:t>
      </w:r>
      <w:hyperlink w:anchor="latin-record-0879">
        <w:r>
          <w:rPr>
            <w:color w:val="000000"/>
          </w:rPr>
          <w:t xml:space="preserve">oriens / occidens</w:t>
        </w:r>
      </w:hyperlink>
      <w:r>
        <w:rPr>
          <w:b w:val="0"/>
          <w:i w:val="0"/>
        </w:rPr>
        <w:t>.</w:t>
      </w:r>
    </w:p>
    <w:p>
      <w:pPr>
        <w:widowControl/>
      </w:pPr>
      <w:r>
        <w:rPr>
          <w:b/>
          <w:i w:val="0"/>
        </w:rPr>
        <w:t>occupatur.</w:t>
      </w:r>
      <w:r>
        <w:rPr>
          <w:b w:val="0"/>
          <w:i w:val="0"/>
        </w:rPr>
        <w:t xml:space="preserve"> </w:t>
      </w:r>
      <w:hyperlink w:anchor="latin-record-0770">
        <w:r>
          <w:rPr>
            <w:color w:val="000000"/>
          </w:rPr>
          <w:t xml:space="preserve">mediocriter / gravari / languescere / aegrotare</w:t>
        </w:r>
      </w:hyperlink>
      <w:r>
        <w:rPr>
          <w:b w:val="0"/>
          <w:i w:val="0"/>
        </w:rPr>
        <w:t>.</w:t>
      </w:r>
    </w:p>
    <w:p>
      <w:pPr>
        <w:widowControl/>
      </w:pPr>
      <w:r>
        <w:rPr>
          <w:b/>
          <w:i w:val="0"/>
        </w:rPr>
        <w:t>octo.</w:t>
      </w:r>
      <w:r>
        <w:rPr>
          <w:b w:val="0"/>
          <w:i w:val="0"/>
        </w:rPr>
        <w:t xml:space="preserve"> </w:t>
      </w:r>
      <w:hyperlink w:anchor="latin-record-0417">
        <w:r>
          <w:rPr>
            <w:color w:val="000000"/>
          </w:rPr>
          <w:t xml:space="preserve">duo / quattuor / sex / octo</w:t>
        </w:r>
      </w:hyperlink>
      <w:r>
        <w:rPr>
          <w:b w:val="0"/>
          <w:i w:val="0"/>
        </w:rPr>
        <w:t>.</w:t>
      </w:r>
    </w:p>
    <w:p>
      <w:pPr>
        <w:widowControl/>
      </w:pPr>
      <w:r>
        <w:rPr>
          <w:b/>
          <w:i w:val="0"/>
        </w:rPr>
        <w:t>octonarium.</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oculo.</w:t>
      </w:r>
      <w:r>
        <w:rPr>
          <w:b w:val="0"/>
          <w:i w:val="0"/>
        </w:rPr>
        <w:t xml:space="preserve"> </w:t>
      </w:r>
      <w:hyperlink w:anchor="latin-record-0854">
        <w:r>
          <w:rPr>
            <w:color w:val="000000"/>
          </w:rPr>
          <w:t xml:space="preserve">oculus / cerebrum</w:t>
        </w:r>
      </w:hyperlink>
      <w:r>
        <w:rPr>
          <w:b w:val="0"/>
          <w:i w:val="0"/>
        </w:rPr>
        <w:t>.</w:t>
      </w:r>
    </w:p>
    <w:p>
      <w:pPr>
        <w:widowControl/>
      </w:pPr>
      <w:r>
        <w:rPr>
          <w:b/>
          <w:i w:val="0"/>
        </w:rPr>
        <w:t>oculum.</w:t>
      </w:r>
      <w:r>
        <w:rPr>
          <w:b w:val="0"/>
          <w:i w:val="0"/>
        </w:rPr>
        <w:t xml:space="preserve"> </w:t>
      </w:r>
      <w:hyperlink w:anchor="latin-record-0854">
        <w:r>
          <w:rPr>
            <w:color w:val="000000"/>
          </w:rPr>
          <w:t xml:space="preserve">oculus / cerebrum</w:t>
        </w:r>
      </w:hyperlink>
      <w:r>
        <w:rPr>
          <w:b w:val="0"/>
          <w:i w:val="0"/>
        </w:rPr>
        <w:t>.</w:t>
      </w:r>
    </w:p>
    <w:p>
      <w:pPr>
        <w:widowControl/>
      </w:pPr>
      <w:r>
        <w:rPr>
          <w:b/>
          <w:i w:val="0"/>
        </w:rPr>
        <w:t>oculus.</w:t>
      </w:r>
      <w:r>
        <w:rPr>
          <w:b w:val="0"/>
          <w:i w:val="0"/>
        </w:rPr>
        <w:t xml:space="preserve"> </w:t>
      </w:r>
      <w:hyperlink w:anchor="latin-record-0854">
        <w:r>
          <w:rPr>
            <w:color w:val="000000"/>
          </w:rPr>
          <w:t xml:space="preserve">oculus / cerebrum</w:t>
        </w:r>
      </w:hyperlink>
      <w:r>
        <w:rPr>
          <w:b w:val="0"/>
          <w:i w:val="0"/>
        </w:rPr>
        <w:t>.</w:t>
      </w:r>
    </w:p>
    <w:p>
      <w:pPr>
        <w:widowControl/>
      </w:pPr>
      <w:r>
        <w:rPr>
          <w:b/>
          <w:i w:val="0"/>
        </w:rPr>
        <w:t>odorem.</w:t>
      </w:r>
      <w:r>
        <w:rPr>
          <w:b w:val="0"/>
          <w:i w:val="0"/>
        </w:rPr>
        <w:t xml:space="preserve"> </w:t>
      </w:r>
      <w:hyperlink w:anchor="latin-record-0239">
        <w:r>
          <w:rPr>
            <w:color w:val="000000"/>
          </w:rPr>
          <w:t xml:space="preserve">color / vox / odor</w:t>
        </w:r>
      </w:hyperlink>
      <w:r>
        <w:rPr>
          <w:b w:val="0"/>
          <w:i w:val="0"/>
        </w:rPr>
        <w:t>.</w:t>
      </w:r>
    </w:p>
    <w:p>
      <w:pPr>
        <w:widowControl/>
      </w:pPr>
      <w:r>
        <w:rPr>
          <w:b/>
          <w:i w:val="0"/>
        </w:rPr>
        <w:t>odores.</w:t>
      </w:r>
      <w:r>
        <w:rPr>
          <w:b w:val="0"/>
          <w:i w:val="0"/>
        </w:rPr>
        <w:t xml:space="preserve"> </w:t>
      </w:r>
      <w:hyperlink w:anchor="latin-record-0239">
        <w:r>
          <w:rPr>
            <w:color w:val="000000"/>
          </w:rPr>
          <w:t xml:space="preserve">color / vox / odor</w:t>
        </w:r>
      </w:hyperlink>
      <w:r>
        <w:rPr>
          <w:b w:val="0"/>
          <w:i w:val="0"/>
        </w:rPr>
        <w:t xml:space="preserve">; </w:t>
      </w:r>
      <w:hyperlink w:anchor="latin-record-1133">
        <w:r>
          <w:rPr>
            <w:color w:val="000000"/>
          </w:rPr>
          <w:t xml:space="preserve">sapor / odor / aqua</w:t>
        </w:r>
      </w:hyperlink>
      <w:r>
        <w:rPr>
          <w:b w:val="0"/>
          <w:i w:val="0"/>
        </w:rPr>
        <w:t xml:space="preserve">; </w:t>
      </w:r>
      <w:hyperlink w:anchor="latin-record-1388">
        <w:r>
          <w:rPr>
            <w:color w:val="000000"/>
          </w:rPr>
          <w:t xml:space="preserve">vox; odor; sapor</w:t>
        </w:r>
      </w:hyperlink>
      <w:r>
        <w:rPr>
          <w:b w:val="0"/>
          <w:i w:val="0"/>
        </w:rPr>
        <w:t>.</w:t>
      </w:r>
    </w:p>
    <w:p>
      <w:pPr>
        <w:widowControl/>
      </w:pPr>
      <w:r>
        <w:rPr>
          <w:b/>
          <w:i w:val="0"/>
        </w:rPr>
        <w:t>offensione.</w:t>
      </w:r>
      <w:r>
        <w:rPr>
          <w:b w:val="0"/>
          <w:i w:val="0"/>
        </w:rPr>
        <w:t xml:space="preserve"> </w:t>
      </w:r>
      <w:hyperlink w:anchor="latin-record-0856">
        <w:r>
          <w:rPr>
            <w:color w:val="000000"/>
          </w:rPr>
          <w:t xml:space="preserve">offensio; dolor</w:t>
        </w:r>
      </w:hyperlink>
      <w:r>
        <w:rPr>
          <w:b w:val="0"/>
          <w:i w:val="0"/>
        </w:rPr>
        <w:t>.</w:t>
      </w:r>
    </w:p>
    <w:p>
      <w:pPr>
        <w:widowControl/>
      </w:pPr>
      <w:r>
        <w:rPr>
          <w:b/>
          <w:i w:val="0"/>
        </w:rPr>
        <w:t>offensus.</w:t>
      </w:r>
      <w:r>
        <w:rPr>
          <w:b w:val="0"/>
          <w:i w:val="0"/>
        </w:rPr>
        <w:t xml:space="preserve"> </w:t>
      </w:r>
      <w:hyperlink w:anchor="latin-record-0855">
        <w:r>
          <w:rPr>
            <w:color w:val="000000"/>
          </w:rPr>
          <w:t xml:space="preserve">offendere / dolere</w:t>
        </w:r>
      </w:hyperlink>
      <w:r>
        <w:rPr>
          <w:b w:val="0"/>
          <w:i w:val="0"/>
        </w:rPr>
        <w:t>.</w:t>
      </w:r>
    </w:p>
    <w:p>
      <w:pPr>
        <w:widowControl/>
      </w:pPr>
      <w:r>
        <w:rPr>
          <w:b/>
          <w:i w:val="0"/>
        </w:rPr>
        <w:t>officia.</w:t>
      </w:r>
      <w:r>
        <w:rPr>
          <w:b w:val="0"/>
          <w:i w:val="0"/>
        </w:rPr>
        <w:t xml:space="preserve"> </w:t>
      </w:r>
      <w:hyperlink w:anchor="latin-record-0130">
        <w:r>
          <w:rPr>
            <w:color w:val="000000"/>
          </w:rPr>
          <w:t xml:space="preserve">artifex / pedissequa / officium</w:t>
        </w:r>
      </w:hyperlink>
      <w:r>
        <w:rPr>
          <w:b w:val="0"/>
          <w:i w:val="0"/>
        </w:rPr>
        <w:t xml:space="preserve">; </w:t>
      </w:r>
      <w:hyperlink w:anchor="latin-record-0857">
        <w:r>
          <w:rPr>
            <w:color w:val="000000"/>
          </w:rPr>
          <w:t xml:space="preserve">officium</w:t>
        </w:r>
      </w:hyperlink>
      <w:r>
        <w:rPr>
          <w:b w:val="0"/>
          <w:i w:val="0"/>
        </w:rPr>
        <w:t>.</w:t>
      </w:r>
    </w:p>
    <w:p>
      <w:pPr>
        <w:widowControl/>
      </w:pPr>
      <w:r>
        <w:rPr>
          <w:b/>
          <w:i w:val="0"/>
        </w:rPr>
        <w:t>olfacit.</w:t>
      </w:r>
      <w:r>
        <w:rPr>
          <w:b w:val="0"/>
          <w:i w:val="0"/>
        </w:rPr>
        <w:t xml:space="preserve"> </w:t>
      </w:r>
      <w:hyperlink w:anchor="latin-record-1350">
        <w:r>
          <w:rPr>
            <w:color w:val="000000"/>
          </w:rPr>
          <w:t xml:space="preserve">videre; audire; olfacere; gustare; tangere</w:t>
        </w:r>
      </w:hyperlink>
      <w:r>
        <w:rPr>
          <w:b w:val="0"/>
          <w:i w:val="0"/>
        </w:rPr>
        <w:t>.</w:t>
      </w:r>
    </w:p>
    <w:p>
      <w:pPr>
        <w:widowControl/>
      </w:pPr>
      <w:r>
        <w:rPr>
          <w:b/>
          <w:i w:val="0"/>
        </w:rPr>
        <w:t>olfactus.</w:t>
      </w:r>
      <w:r>
        <w:rPr>
          <w:b w:val="0"/>
          <w:i w:val="0"/>
        </w:rPr>
        <w:t xml:space="preserve"> </w:t>
      </w:r>
      <w:hyperlink w:anchor="latin-record-1372">
        <w:r>
          <w:rPr>
            <w:color w:val="000000"/>
          </w:rPr>
          <w:t xml:space="preserve">visus / auditus / olfactus</w:t>
        </w:r>
      </w:hyperlink>
      <w:r>
        <w:rPr>
          <w:b w:val="0"/>
          <w:i w:val="0"/>
        </w:rPr>
        <w:t>.</w:t>
      </w:r>
    </w:p>
    <w:p>
      <w:pPr>
        <w:widowControl/>
      </w:pPr>
      <w:r>
        <w:rPr>
          <w:b/>
          <w:i w:val="0"/>
        </w:rPr>
        <w:t>Oliverio Arduino Florentino.</w:t>
      </w:r>
      <w:r>
        <w:rPr>
          <w:b w:val="0"/>
          <w:i w:val="0"/>
        </w:rPr>
        <w:t xml:space="preserve"> </w:t>
      </w:r>
      <w:hyperlink w:anchor="latin-record-0087">
        <w:r>
          <w:rPr>
            <w:color w:val="000000"/>
          </w:rPr>
          <w:t xml:space="preserve">Angellerius; Arduinus</w:t>
        </w:r>
      </w:hyperlink>
      <w:r>
        <w:rPr>
          <w:b w:val="0"/>
          <w:i w:val="0"/>
        </w:rPr>
        <w:t>.</w:t>
      </w:r>
    </w:p>
    <w:p>
      <w:pPr>
        <w:widowControl/>
      </w:pPr>
      <w:r>
        <w:rPr>
          <w:b/>
          <w:i w:val="0"/>
        </w:rPr>
        <w:t>Olympiodori.</w:t>
      </w:r>
      <w:r>
        <w:rPr>
          <w:b w:val="0"/>
          <w:i w:val="0"/>
        </w:rPr>
        <w:t xml:space="preserve"> </w:t>
      </w:r>
      <w:hyperlink w:anchor="latin-record-0858">
        <w:r>
          <w:rPr>
            <w:color w:val="000000"/>
          </w:rPr>
          <w:t xml:space="preserve">Olympiodorus / Phaedo / Gorgias</w:t>
        </w:r>
      </w:hyperlink>
      <w:r>
        <w:rPr>
          <w:b w:val="0"/>
          <w:i w:val="0"/>
        </w:rPr>
        <w:t>.</w:t>
      </w:r>
    </w:p>
    <w:p>
      <w:pPr>
        <w:widowControl/>
      </w:pPr>
      <w:r>
        <w:rPr>
          <w:b/>
          <w:i w:val="0"/>
        </w:rPr>
        <w:t>omne.</w:t>
      </w:r>
      <w:r>
        <w:rPr>
          <w:b w:val="0"/>
          <w:i w:val="0"/>
        </w:rPr>
        <w:t xml:space="preserve"> </w:t>
      </w:r>
      <w:hyperlink w:anchor="latin-record-1200">
        <w:r>
          <w:rPr>
            <w:color w:val="000000"/>
          </w:rPr>
          <w:t xml:space="preserve">solus; omnis; nullus</w:t>
        </w:r>
      </w:hyperlink>
      <w:r>
        <w:rPr>
          <w:b w:val="0"/>
          <w:i w:val="0"/>
        </w:rPr>
        <w:t>.</w:t>
      </w:r>
    </w:p>
    <w:p>
      <w:pPr>
        <w:widowControl/>
      </w:pPr>
      <w:r>
        <w:rPr>
          <w:b/>
          <w:i w:val="0"/>
        </w:rPr>
        <w:t>omnem.</w:t>
      </w:r>
      <w:r>
        <w:rPr>
          <w:b w:val="0"/>
          <w:i w:val="0"/>
        </w:rPr>
        <w:t xml:space="preserve"> </w:t>
      </w:r>
      <w:hyperlink w:anchor="latin-record-1200">
        <w:r>
          <w:rPr>
            <w:color w:val="000000"/>
          </w:rPr>
          <w:t xml:space="preserve">solus; omnis; nullus</w:t>
        </w:r>
      </w:hyperlink>
      <w:r>
        <w:rPr>
          <w:b w:val="0"/>
          <w:i w:val="0"/>
        </w:rPr>
        <w:t>.</w:t>
      </w:r>
    </w:p>
    <w:p>
      <w:pPr>
        <w:widowControl/>
      </w:pPr>
      <w:r>
        <w:rPr>
          <w:b/>
          <w:i w:val="0"/>
        </w:rPr>
        <w:t>omnes.</w:t>
      </w:r>
      <w:r>
        <w:rPr>
          <w:b w:val="0"/>
          <w:i w:val="0"/>
        </w:rPr>
        <w:t xml:space="preserve"> </w:t>
      </w:r>
      <w:hyperlink w:anchor="latin-record-1200">
        <w:r>
          <w:rPr>
            <w:color w:val="000000"/>
          </w:rPr>
          <w:t xml:space="preserve">solus; omnis; nullus</w:t>
        </w:r>
      </w:hyperlink>
      <w:r>
        <w:rPr>
          <w:b w:val="0"/>
          <w:i w:val="0"/>
        </w:rPr>
        <w:t>.</w:t>
      </w:r>
    </w:p>
    <w:p>
      <w:pPr>
        <w:widowControl/>
      </w:pPr>
      <w:r>
        <w:rPr>
          <w:b/>
          <w:i w:val="0"/>
        </w:rPr>
        <w:t>omnes ferme effectus.</w:t>
      </w:r>
      <w:r>
        <w:rPr>
          <w:b w:val="0"/>
          <w:i w:val="0"/>
        </w:rPr>
        <w:t xml:space="preserve"> </w:t>
      </w:r>
      <w:hyperlink w:anchor="latin-record-0263">
        <w:r>
          <w:rPr>
            <w:color w:val="000000"/>
          </w:rPr>
          <w:t xml:space="preserve">compos; ferme</w:t>
        </w:r>
      </w:hyperlink>
      <w:r>
        <w:rPr>
          <w:b w:val="0"/>
          <w:i w:val="0"/>
        </w:rPr>
        <w:t>.</w:t>
      </w:r>
    </w:p>
    <w:p>
      <w:pPr>
        <w:widowControl/>
      </w:pPr>
      <w:r>
        <w:rPr>
          <w:b/>
          <w:i w:val="0"/>
        </w:rPr>
        <w:t>omnes mortalium pulsat animos.</w:t>
      </w:r>
      <w:r>
        <w:rPr>
          <w:b w:val="0"/>
          <w:i w:val="0"/>
        </w:rPr>
        <w:t xml:space="preserve"> </w:t>
      </w:r>
      <w:hyperlink w:anchor="latin-record-0104">
        <w:r>
          <w:rPr>
            <w:color w:val="000000"/>
          </w:rPr>
          <w:t xml:space="preserve">animi mortalium</w:t>
        </w:r>
      </w:hyperlink>
      <w:r>
        <w:rPr>
          <w:b w:val="0"/>
          <w:i w:val="0"/>
        </w:rPr>
        <w:t>.</w:t>
      </w:r>
    </w:p>
    <w:p>
      <w:pPr>
        <w:widowControl/>
      </w:pPr>
      <w:r>
        <w:rPr>
          <w:b/>
          <w:i w:val="0"/>
        </w:rPr>
        <w:t>omni.</w:t>
      </w:r>
      <w:r>
        <w:rPr>
          <w:b w:val="0"/>
          <w:i w:val="0"/>
        </w:rPr>
        <w:t xml:space="preserve"> </w:t>
      </w:r>
      <w:hyperlink w:anchor="latin-record-1200">
        <w:r>
          <w:rPr>
            <w:color w:val="000000"/>
          </w:rPr>
          <w:t xml:space="preserve">solus; omnis; nullus</w:t>
        </w:r>
      </w:hyperlink>
      <w:r>
        <w:rPr>
          <w:b w:val="0"/>
          <w:i w:val="0"/>
        </w:rPr>
        <w:t>.</w:t>
      </w:r>
    </w:p>
    <w:p>
      <w:pPr>
        <w:widowControl/>
      </w:pPr>
      <w:r>
        <w:rPr>
          <w:b/>
          <w:i w:val="0"/>
        </w:rPr>
        <w:t>omnibus.</w:t>
      </w:r>
      <w:r>
        <w:rPr>
          <w:b w:val="0"/>
          <w:i w:val="0"/>
        </w:rPr>
        <w:t xml:space="preserve"> </w:t>
      </w:r>
      <w:hyperlink w:anchor="latin-record-1200">
        <w:r>
          <w:rPr>
            <w:color w:val="000000"/>
          </w:rPr>
          <w:t xml:space="preserve">solus; omnis; nullus</w:t>
        </w:r>
      </w:hyperlink>
      <w:r>
        <w:rPr>
          <w:b w:val="0"/>
          <w:i w:val="0"/>
        </w:rPr>
        <w:t>.</w:t>
      </w:r>
    </w:p>
    <w:p>
      <w:pPr>
        <w:widowControl/>
      </w:pPr>
      <w:r>
        <w:rPr>
          <w:b/>
          <w:i w:val="0"/>
        </w:rPr>
        <w:t>omnino.</w:t>
      </w:r>
      <w:r>
        <w:rPr>
          <w:b w:val="0"/>
          <w:i w:val="0"/>
        </w:rPr>
        <w:t xml:space="preserve"> </w:t>
      </w:r>
      <w:hyperlink w:anchor="latin-record-0859">
        <w:r>
          <w:rPr>
            <w:color w:val="000000"/>
          </w:rPr>
          <w:t xml:space="preserve">omnino</w:t>
        </w:r>
      </w:hyperlink>
      <w:r>
        <w:rPr>
          <w:b w:val="0"/>
          <w:i w:val="0"/>
        </w:rPr>
        <w:t>.</w:t>
      </w:r>
    </w:p>
    <w:p>
      <w:pPr>
        <w:widowControl/>
      </w:pPr>
      <w:r>
        <w:rPr>
          <w:b/>
          <w:i w:val="0"/>
        </w:rPr>
        <w:t>omnis.</w:t>
      </w:r>
      <w:r>
        <w:rPr>
          <w:b w:val="0"/>
          <w:i w:val="0"/>
        </w:rPr>
        <w:t xml:space="preserve"> </w:t>
      </w:r>
      <w:hyperlink w:anchor="latin-record-1200">
        <w:r>
          <w:rPr>
            <w:color w:val="000000"/>
          </w:rPr>
          <w:t xml:space="preserve">solus; omnis; nullus</w:t>
        </w:r>
      </w:hyperlink>
      <w:r>
        <w:rPr>
          <w:b w:val="0"/>
          <w:i w:val="0"/>
        </w:rPr>
        <w:t>.</w:t>
      </w:r>
    </w:p>
    <w:p>
      <w:pPr>
        <w:widowControl/>
      </w:pPr>
      <w:r>
        <w:rPr>
          <w:b/>
          <w:i w:val="0"/>
        </w:rPr>
        <w:t>omnium.</w:t>
      </w:r>
      <w:r>
        <w:rPr>
          <w:b w:val="0"/>
          <w:i w:val="0"/>
        </w:rPr>
        <w:t xml:space="preserve"> </w:t>
      </w:r>
      <w:hyperlink w:anchor="latin-record-1200">
        <w:r>
          <w:rPr>
            <w:color w:val="000000"/>
          </w:rPr>
          <w:t xml:space="preserve">solus; omnis; nullus</w:t>
        </w:r>
      </w:hyperlink>
      <w:r>
        <w:rPr>
          <w:b w:val="0"/>
          <w:i w:val="0"/>
        </w:rPr>
        <w:t>.</w:t>
      </w:r>
    </w:p>
    <w:p>
      <w:pPr>
        <w:widowControl/>
      </w:pPr>
      <w:r>
        <w:rPr>
          <w:b/>
          <w:i w:val="0"/>
        </w:rPr>
        <w:t>opera.</w:t>
      </w:r>
      <w:r>
        <w:rPr>
          <w:b w:val="0"/>
          <w:i w:val="0"/>
        </w:rPr>
        <w:t xml:space="preserve"> </w:t>
      </w:r>
      <w:hyperlink w:anchor="latin-record-0872">
        <w:r>
          <w:rPr>
            <w:color w:val="000000"/>
          </w:rPr>
          <w:t xml:space="preserve">opus</w:t>
        </w:r>
      </w:hyperlink>
      <w:r>
        <w:rPr>
          <w:b w:val="0"/>
          <w:i w:val="0"/>
        </w:rPr>
        <w:t>.</w:t>
      </w:r>
    </w:p>
    <w:p>
      <w:pPr>
        <w:widowControl/>
      </w:pPr>
      <w:r>
        <w:rPr>
          <w:b/>
          <w:i w:val="0"/>
        </w:rPr>
        <w:t>operabatur.</w:t>
      </w:r>
      <w:r>
        <w:rPr>
          <w:b w:val="0"/>
          <w:i w:val="0"/>
        </w:rPr>
        <w:t xml:space="preserve"> </w:t>
      </w:r>
      <w:hyperlink w:anchor="latin-record-0861">
        <w:r>
          <w:rPr>
            <w:color w:val="000000"/>
          </w:rPr>
          <w:t xml:space="preserve">operatio / operari</w:t>
        </w:r>
      </w:hyperlink>
      <w:r>
        <w:rPr>
          <w:b w:val="0"/>
          <w:i w:val="0"/>
        </w:rPr>
        <w:t>.</w:t>
      </w:r>
    </w:p>
    <w:p>
      <w:pPr>
        <w:widowControl/>
      </w:pPr>
      <w:r>
        <w:rPr>
          <w:b/>
          <w:i w:val="0"/>
        </w:rPr>
        <w:t>operabitur.</w:t>
      </w:r>
      <w:r>
        <w:rPr>
          <w:b w:val="0"/>
          <w:i w:val="0"/>
        </w:rPr>
        <w:t xml:space="preserve"> </w:t>
      </w:r>
      <w:hyperlink w:anchor="latin-record-0921">
        <w:r>
          <w:rPr>
            <w:color w:val="000000"/>
          </w:rPr>
          <w:t xml:space="preserve">per se exsistere / operari</w:t>
        </w:r>
      </w:hyperlink>
      <w:r>
        <w:rPr>
          <w:b w:val="0"/>
          <w:i w:val="0"/>
        </w:rPr>
        <w:t>.</w:t>
      </w:r>
    </w:p>
    <w:p>
      <w:pPr>
        <w:widowControl/>
      </w:pPr>
      <w:r>
        <w:rPr>
          <w:b/>
          <w:i w:val="0"/>
        </w:rPr>
        <w:t>operandi.</w:t>
      </w:r>
      <w:r>
        <w:rPr>
          <w:b w:val="0"/>
          <w:i w:val="0"/>
        </w:rPr>
        <w:t xml:space="preserve"> </w:t>
      </w:r>
      <w:hyperlink w:anchor="latin-record-0058">
        <w:r>
          <w:rPr>
            <w:color w:val="000000"/>
          </w:rPr>
          <w:t xml:space="preserve">agere / operari</w:t>
        </w:r>
      </w:hyperlink>
      <w:r>
        <w:rPr>
          <w:b w:val="0"/>
          <w:i w:val="0"/>
        </w:rPr>
        <w:t>.</w:t>
      </w:r>
    </w:p>
    <w:p>
      <w:pPr>
        <w:widowControl/>
      </w:pPr>
      <w:r>
        <w:rPr>
          <w:b/>
          <w:i w:val="0"/>
        </w:rPr>
        <w:t>operantem.</w:t>
      </w:r>
      <w:r>
        <w:rPr>
          <w:b w:val="0"/>
          <w:i w:val="0"/>
        </w:rPr>
        <w:t xml:space="preserve"> </w:t>
      </w:r>
      <w:hyperlink w:anchor="latin-record-0020">
        <w:r>
          <w:rPr>
            <w:color w:val="000000"/>
          </w:rPr>
          <w:t xml:space="preserve">actio / operatio / opus</w:t>
        </w:r>
      </w:hyperlink>
      <w:r>
        <w:rPr>
          <w:b w:val="0"/>
          <w:i w:val="0"/>
        </w:rPr>
        <w:t xml:space="preserve">; </w:t>
      </w:r>
      <w:hyperlink w:anchor="latin-record-0861">
        <w:r>
          <w:rPr>
            <w:color w:val="000000"/>
          </w:rPr>
          <w:t xml:space="preserve">operatio / operari</w:t>
        </w:r>
      </w:hyperlink>
      <w:r>
        <w:rPr>
          <w:b w:val="0"/>
          <w:i w:val="0"/>
        </w:rPr>
        <w:t>.</w:t>
      </w:r>
    </w:p>
    <w:p>
      <w:pPr>
        <w:widowControl/>
      </w:pPr>
      <w:r>
        <w:rPr>
          <w:b/>
          <w:i w:val="0"/>
        </w:rPr>
        <w:t>operantur.</w:t>
      </w:r>
      <w:r>
        <w:rPr>
          <w:b w:val="0"/>
          <w:i w:val="0"/>
        </w:rPr>
        <w:t xml:space="preserve"> </w:t>
      </w:r>
      <w:hyperlink w:anchor="latin-record-0058">
        <w:r>
          <w:rPr>
            <w:color w:val="000000"/>
          </w:rPr>
          <w:t xml:space="preserve">agere / operari</w:t>
        </w:r>
      </w:hyperlink>
      <w:r>
        <w:rPr>
          <w:b w:val="0"/>
          <w:i w:val="0"/>
        </w:rPr>
        <w:t>.</w:t>
      </w:r>
    </w:p>
    <w:p>
      <w:pPr>
        <w:widowControl/>
      </w:pPr>
      <w:r>
        <w:rPr>
          <w:b/>
          <w:i w:val="0"/>
        </w:rPr>
        <w:t>operaretur.</w:t>
      </w:r>
      <w:r>
        <w:rPr>
          <w:b w:val="0"/>
          <w:i w:val="0"/>
        </w:rPr>
        <w:t xml:space="preserve"> </w:t>
      </w:r>
      <w:hyperlink w:anchor="latin-record-0058">
        <w:r>
          <w:rPr>
            <w:color w:val="000000"/>
          </w:rPr>
          <w:t xml:space="preserve">agere / operari</w:t>
        </w:r>
      </w:hyperlink>
      <w:r>
        <w:rPr>
          <w:b w:val="0"/>
          <w:i w:val="0"/>
        </w:rPr>
        <w:t>.</w:t>
      </w:r>
    </w:p>
    <w:p>
      <w:pPr>
        <w:widowControl/>
      </w:pPr>
      <w:r>
        <w:rPr>
          <w:b/>
          <w:i w:val="0"/>
        </w:rPr>
        <w:t>operari.</w:t>
      </w:r>
      <w:r>
        <w:rPr>
          <w:b w:val="0"/>
          <w:i w:val="0"/>
        </w:rPr>
        <w:t xml:space="preserve"> </w:t>
      </w:r>
      <w:hyperlink w:anchor="latin-record-0058">
        <w:r>
          <w:rPr>
            <w:color w:val="000000"/>
          </w:rPr>
          <w:t xml:space="preserve">agere / operari</w:t>
        </w:r>
      </w:hyperlink>
      <w:r>
        <w:rPr>
          <w:b w:val="0"/>
          <w:i w:val="0"/>
        </w:rPr>
        <w:t xml:space="preserve">; </w:t>
      </w:r>
      <w:hyperlink w:anchor="latin-record-0861">
        <w:r>
          <w:rPr>
            <w:color w:val="000000"/>
          </w:rPr>
          <w:t xml:space="preserve">operatio / operari</w:t>
        </w:r>
      </w:hyperlink>
      <w:r>
        <w:rPr>
          <w:b w:val="0"/>
          <w:i w:val="0"/>
        </w:rPr>
        <w:t>.</w:t>
      </w:r>
    </w:p>
    <w:p>
      <w:pPr>
        <w:widowControl/>
      </w:pPr>
      <w:r>
        <w:rPr>
          <w:b/>
          <w:i w:val="0"/>
        </w:rPr>
        <w:t>operatio.</w:t>
      </w:r>
      <w:r>
        <w:rPr>
          <w:b w:val="0"/>
          <w:i w:val="0"/>
        </w:rPr>
        <w:t xml:space="preserve"> </w:t>
      </w:r>
      <w:hyperlink w:anchor="latin-record-0020">
        <w:r>
          <w:rPr>
            <w:color w:val="000000"/>
          </w:rPr>
          <w:t xml:space="preserve">actio / operatio / opus</w:t>
        </w:r>
      </w:hyperlink>
      <w:r>
        <w:rPr>
          <w:b w:val="0"/>
          <w:i w:val="0"/>
        </w:rPr>
        <w:t xml:space="preserve">; </w:t>
      </w:r>
      <w:hyperlink w:anchor="latin-record-0860">
        <w:r>
          <w:rPr>
            <w:color w:val="000000"/>
          </w:rPr>
          <w:t xml:space="preserve">operatio / actio</w:t>
        </w:r>
      </w:hyperlink>
      <w:r>
        <w:rPr>
          <w:b w:val="0"/>
          <w:i w:val="0"/>
        </w:rPr>
        <w:t xml:space="preserve">; </w:t>
      </w:r>
      <w:hyperlink w:anchor="latin-record-0861">
        <w:r>
          <w:rPr>
            <w:color w:val="000000"/>
          </w:rPr>
          <w:t xml:space="preserve">operatio / operari</w:t>
        </w:r>
      </w:hyperlink>
      <w:r>
        <w:rPr>
          <w:b w:val="0"/>
          <w:i w:val="0"/>
        </w:rPr>
        <w:t xml:space="preserve">; </w:t>
      </w:r>
      <w:hyperlink w:anchor="latin-record-0863">
        <w:r>
          <w:rPr>
            <w:color w:val="000000"/>
          </w:rPr>
          <w:t xml:space="preserve">operatio; actus</w:t>
        </w:r>
      </w:hyperlink>
      <w:r>
        <w:rPr>
          <w:b w:val="0"/>
          <w:i w:val="0"/>
        </w:rPr>
        <w:t>.</w:t>
      </w:r>
    </w:p>
    <w:p>
      <w:pPr>
        <w:widowControl/>
      </w:pPr>
      <w:r>
        <w:rPr>
          <w:b/>
          <w:i w:val="0"/>
        </w:rPr>
        <w:t>Operatio.</w:t>
      </w:r>
      <w:r>
        <w:rPr>
          <w:b w:val="0"/>
          <w:i w:val="0"/>
        </w:rPr>
        <w:t xml:space="preserve"> </w:t>
      </w:r>
      <w:hyperlink w:anchor="latin-record-0860">
        <w:r>
          <w:rPr>
            <w:color w:val="000000"/>
          </w:rPr>
          <w:t xml:space="preserve">operatio / actio</w:t>
        </w:r>
      </w:hyperlink>
      <w:r>
        <w:rPr>
          <w:b w:val="0"/>
          <w:i w:val="0"/>
        </w:rPr>
        <w:t xml:space="preserve">; </w:t>
      </w:r>
      <w:hyperlink w:anchor="latin-record-0861">
        <w:r>
          <w:rPr>
            <w:color w:val="000000"/>
          </w:rPr>
          <w:t xml:space="preserve">operatio / operari</w:t>
        </w:r>
      </w:hyperlink>
      <w:r>
        <w:rPr>
          <w:b w:val="0"/>
          <w:i w:val="0"/>
        </w:rPr>
        <w:t>.</w:t>
      </w:r>
    </w:p>
    <w:p>
      <w:pPr>
        <w:widowControl/>
      </w:pPr>
      <w:r>
        <w:rPr>
          <w:b/>
          <w:i w:val="0"/>
        </w:rPr>
        <w:t>operatione.</w:t>
      </w:r>
      <w:r>
        <w:rPr>
          <w:b w:val="0"/>
          <w:i w:val="0"/>
        </w:rPr>
        <w:t xml:space="preserve"> </w:t>
      </w:r>
      <w:hyperlink w:anchor="latin-record-0860">
        <w:r>
          <w:rPr>
            <w:color w:val="000000"/>
          </w:rPr>
          <w:t xml:space="preserve">operatio / actio</w:t>
        </w:r>
      </w:hyperlink>
      <w:r>
        <w:rPr>
          <w:b w:val="0"/>
          <w:i w:val="0"/>
        </w:rPr>
        <w:t xml:space="preserve">; </w:t>
      </w:r>
      <w:hyperlink w:anchor="latin-record-0861">
        <w:r>
          <w:rPr>
            <w:color w:val="000000"/>
          </w:rPr>
          <w:t xml:space="preserve">operatio / operari</w:t>
        </w:r>
      </w:hyperlink>
      <w:r>
        <w:rPr>
          <w:b w:val="0"/>
          <w:i w:val="0"/>
        </w:rPr>
        <w:t>.</w:t>
      </w:r>
    </w:p>
    <w:p>
      <w:pPr>
        <w:widowControl/>
      </w:pPr>
      <w:r>
        <w:rPr>
          <w:b/>
          <w:i w:val="0"/>
        </w:rPr>
        <w:t>operationem.</w:t>
      </w:r>
      <w:r>
        <w:rPr>
          <w:b w:val="0"/>
          <w:i w:val="0"/>
        </w:rPr>
        <w:t xml:space="preserve"> </w:t>
      </w:r>
      <w:hyperlink w:anchor="latin-record-0860">
        <w:r>
          <w:rPr>
            <w:color w:val="000000"/>
          </w:rPr>
          <w:t xml:space="preserve">operatio / actio</w:t>
        </w:r>
      </w:hyperlink>
      <w:r>
        <w:rPr>
          <w:b w:val="0"/>
          <w:i w:val="0"/>
        </w:rPr>
        <w:t xml:space="preserve">; </w:t>
      </w:r>
      <w:hyperlink w:anchor="latin-record-0861">
        <w:r>
          <w:rPr>
            <w:color w:val="000000"/>
          </w:rPr>
          <w:t xml:space="preserve">operatio / operari</w:t>
        </w:r>
      </w:hyperlink>
      <w:r>
        <w:rPr>
          <w:b w:val="0"/>
          <w:i w:val="0"/>
        </w:rPr>
        <w:t xml:space="preserve">; </w:t>
      </w:r>
      <w:hyperlink w:anchor="latin-record-0863">
        <w:r>
          <w:rPr>
            <w:color w:val="000000"/>
          </w:rPr>
          <w:t xml:space="preserve">operatio; actus</w:t>
        </w:r>
      </w:hyperlink>
      <w:r>
        <w:rPr>
          <w:b w:val="0"/>
          <w:i w:val="0"/>
        </w:rPr>
        <w:t xml:space="preserve">; </w:t>
      </w:r>
      <w:hyperlink w:anchor="latin-record-1246">
        <w:r>
          <w:rPr>
            <w:color w:val="000000"/>
          </w:rPr>
          <w:t xml:space="preserve">substantia / virtus / operatio</w:t>
        </w:r>
      </w:hyperlink>
      <w:r>
        <w:rPr>
          <w:b w:val="0"/>
          <w:i w:val="0"/>
        </w:rPr>
        <w:t>.</w:t>
      </w:r>
    </w:p>
    <w:p>
      <w:pPr>
        <w:widowControl/>
      </w:pPr>
      <w:r>
        <w:rPr>
          <w:b/>
          <w:i w:val="0"/>
        </w:rPr>
        <w:t>operationes.</w:t>
      </w:r>
      <w:r>
        <w:rPr>
          <w:b w:val="0"/>
          <w:i w:val="0"/>
        </w:rPr>
        <w:t xml:space="preserve"> </w:t>
      </w:r>
      <w:hyperlink w:anchor="latin-record-0020">
        <w:r>
          <w:rPr>
            <w:color w:val="000000"/>
          </w:rPr>
          <w:t xml:space="preserve">actio / operatio / opus</w:t>
        </w:r>
      </w:hyperlink>
      <w:r>
        <w:rPr>
          <w:b w:val="0"/>
          <w:i w:val="0"/>
        </w:rPr>
        <w:t xml:space="preserve">; </w:t>
      </w:r>
      <w:hyperlink w:anchor="latin-record-0863">
        <w:r>
          <w:rPr>
            <w:color w:val="000000"/>
          </w:rPr>
          <w:t xml:space="preserve">operatio; actus</w:t>
        </w:r>
      </w:hyperlink>
      <w:r>
        <w:rPr>
          <w:b w:val="0"/>
          <w:i w:val="0"/>
        </w:rPr>
        <w:t>.</w:t>
      </w:r>
    </w:p>
    <w:p>
      <w:pPr>
        <w:widowControl/>
      </w:pPr>
      <w:r>
        <w:rPr>
          <w:b/>
          <w:i w:val="0"/>
        </w:rPr>
        <w:t>operationis.</w:t>
      </w:r>
      <w:r>
        <w:rPr>
          <w:b w:val="0"/>
          <w:i w:val="0"/>
        </w:rPr>
        <w:t xml:space="preserve"> </w:t>
      </w:r>
      <w:hyperlink w:anchor="latin-record-0020">
        <w:r>
          <w:rPr>
            <w:color w:val="000000"/>
          </w:rPr>
          <w:t xml:space="preserve">actio / operatio / opus</w:t>
        </w:r>
      </w:hyperlink>
      <w:r>
        <w:rPr>
          <w:b w:val="0"/>
          <w:i w:val="0"/>
        </w:rPr>
        <w:t xml:space="preserve">; </w:t>
      </w:r>
      <w:hyperlink w:anchor="latin-record-0860">
        <w:r>
          <w:rPr>
            <w:color w:val="000000"/>
          </w:rPr>
          <w:t xml:space="preserve">operatio / actio</w:t>
        </w:r>
      </w:hyperlink>
      <w:r>
        <w:rPr>
          <w:b w:val="0"/>
          <w:i w:val="0"/>
        </w:rPr>
        <w:t>.</w:t>
      </w:r>
    </w:p>
    <w:p>
      <w:pPr>
        <w:widowControl/>
      </w:pPr>
      <w:r>
        <w:rPr>
          <w:b/>
          <w:i w:val="0"/>
        </w:rPr>
        <w:t>operationum.</w:t>
      </w:r>
      <w:r>
        <w:rPr>
          <w:b w:val="0"/>
          <w:i w:val="0"/>
        </w:rPr>
        <w:t xml:space="preserve"> </w:t>
      </w:r>
      <w:hyperlink w:anchor="latin-record-0863">
        <w:r>
          <w:rPr>
            <w:color w:val="000000"/>
          </w:rPr>
          <w:t xml:space="preserve">operatio; actus</w:t>
        </w:r>
      </w:hyperlink>
      <w:r>
        <w:rPr>
          <w:b w:val="0"/>
          <w:i w:val="0"/>
        </w:rPr>
        <w:t>.</w:t>
      </w:r>
    </w:p>
    <w:p>
      <w:pPr>
        <w:widowControl/>
      </w:pPr>
      <w:r>
        <w:rPr>
          <w:b/>
          <w:i w:val="0"/>
        </w:rPr>
        <w:t>operatur.</w:t>
      </w:r>
      <w:r>
        <w:rPr>
          <w:b w:val="0"/>
          <w:i w:val="0"/>
        </w:rPr>
        <w:t xml:space="preserve"> </w:t>
      </w:r>
      <w:hyperlink w:anchor="latin-record-0020">
        <w:r>
          <w:rPr>
            <w:color w:val="000000"/>
          </w:rPr>
          <w:t xml:space="preserve">actio / operatio / opus</w:t>
        </w:r>
      </w:hyperlink>
      <w:r>
        <w:rPr>
          <w:b w:val="0"/>
          <w:i w:val="0"/>
        </w:rPr>
        <w:t xml:space="preserve">; </w:t>
      </w:r>
      <w:hyperlink w:anchor="latin-record-0058">
        <w:r>
          <w:rPr>
            <w:color w:val="000000"/>
          </w:rPr>
          <w:t xml:space="preserve">agere / operari</w:t>
        </w:r>
      </w:hyperlink>
      <w:r>
        <w:rPr>
          <w:b w:val="0"/>
          <w:i w:val="0"/>
        </w:rPr>
        <w:t xml:space="preserve">; </w:t>
      </w:r>
      <w:hyperlink w:anchor="latin-record-0061">
        <w:r>
          <w:rPr>
            <w:color w:val="000000"/>
          </w:rPr>
          <w:t xml:space="preserve">agere; operari</w:t>
        </w:r>
      </w:hyperlink>
      <w:r>
        <w:rPr>
          <w:b w:val="0"/>
          <w:i w:val="0"/>
        </w:rPr>
        <w:t xml:space="preserve">; </w:t>
      </w:r>
      <w:hyperlink w:anchor="latin-record-0861">
        <w:r>
          <w:rPr>
            <w:color w:val="000000"/>
          </w:rPr>
          <w:t xml:space="preserve">operatio / operari</w:t>
        </w:r>
      </w:hyperlink>
      <w:r>
        <w:rPr>
          <w:b w:val="0"/>
          <w:i w:val="0"/>
        </w:rPr>
        <w:t>.</w:t>
      </w:r>
    </w:p>
    <w:p>
      <w:pPr>
        <w:widowControl/>
      </w:pPr>
      <w:r>
        <w:rPr>
          <w:b/>
          <w:i w:val="0"/>
        </w:rPr>
        <w:t>operatur etiam per se ipsam.</w:t>
      </w:r>
      <w:r>
        <w:rPr>
          <w:b w:val="0"/>
          <w:i w:val="0"/>
        </w:rPr>
        <w:t xml:space="preserve"> </w:t>
      </w:r>
      <w:hyperlink w:anchor="latin-record-0060">
        <w:r>
          <w:rPr>
            <w:color w:val="000000"/>
          </w:rPr>
          <w:t xml:space="preserve">agere in corpore; per corpus; per se</w:t>
        </w:r>
      </w:hyperlink>
      <w:r>
        <w:rPr>
          <w:b w:val="0"/>
          <w:i w:val="0"/>
        </w:rPr>
        <w:t>.</w:t>
      </w:r>
    </w:p>
    <w:p>
      <w:pPr>
        <w:widowControl/>
      </w:pPr>
      <w:r>
        <w:rPr>
          <w:b/>
          <w:i w:val="0"/>
        </w:rPr>
        <w:t>operentur.</w:t>
      </w:r>
      <w:r>
        <w:rPr>
          <w:b w:val="0"/>
          <w:i w:val="0"/>
        </w:rPr>
        <w:t xml:space="preserve"> </w:t>
      </w:r>
      <w:hyperlink w:anchor="latin-record-0058">
        <w:r>
          <w:rPr>
            <w:color w:val="000000"/>
          </w:rPr>
          <w:t xml:space="preserve">agere / operari</w:t>
        </w:r>
      </w:hyperlink>
      <w:r>
        <w:rPr>
          <w:b w:val="0"/>
          <w:i w:val="0"/>
        </w:rPr>
        <w:t>.</w:t>
      </w:r>
    </w:p>
    <w:p>
      <w:pPr>
        <w:widowControl/>
      </w:pPr>
      <w:r>
        <w:rPr>
          <w:b/>
          <w:i w:val="0"/>
        </w:rPr>
        <w:t>operetur.</w:t>
      </w:r>
      <w:r>
        <w:rPr>
          <w:b w:val="0"/>
          <w:i w:val="0"/>
        </w:rPr>
        <w:t xml:space="preserve"> </w:t>
      </w:r>
      <w:hyperlink w:anchor="latin-record-0058">
        <w:r>
          <w:rPr>
            <w:color w:val="000000"/>
          </w:rPr>
          <w:t xml:space="preserve">agere / operari</w:t>
        </w:r>
      </w:hyperlink>
      <w:r>
        <w:rPr>
          <w:b w:val="0"/>
          <w:i w:val="0"/>
        </w:rPr>
        <w:t xml:space="preserve">; </w:t>
      </w:r>
      <w:hyperlink w:anchor="latin-record-0061">
        <w:r>
          <w:rPr>
            <w:color w:val="000000"/>
          </w:rPr>
          <w:t xml:space="preserve">agere; operari</w:t>
        </w:r>
      </w:hyperlink>
      <w:r>
        <w:rPr>
          <w:b w:val="0"/>
          <w:i w:val="0"/>
        </w:rPr>
        <w:t xml:space="preserve">; </w:t>
      </w:r>
      <w:hyperlink w:anchor="latin-record-0861">
        <w:r>
          <w:rPr>
            <w:color w:val="000000"/>
          </w:rPr>
          <w:t xml:space="preserve">operatio / operari</w:t>
        </w:r>
      </w:hyperlink>
      <w:r>
        <w:rPr>
          <w:b w:val="0"/>
          <w:i w:val="0"/>
        </w:rPr>
        <w:t>.</w:t>
      </w:r>
    </w:p>
    <w:p>
      <w:pPr>
        <w:widowControl/>
      </w:pPr>
      <w:r>
        <w:rPr>
          <w:b/>
          <w:i w:val="0"/>
        </w:rPr>
        <w:t>operi.</w:t>
      </w:r>
      <w:r>
        <w:rPr>
          <w:b w:val="0"/>
          <w:i w:val="0"/>
        </w:rPr>
        <w:t xml:space="preserve"> </w:t>
      </w:r>
      <w:hyperlink w:anchor="latin-record-0020">
        <w:r>
          <w:rPr>
            <w:color w:val="000000"/>
          </w:rPr>
          <w:t xml:space="preserve">actio / operatio / opus</w:t>
        </w:r>
      </w:hyperlink>
      <w:r>
        <w:rPr>
          <w:b w:val="0"/>
          <w:i w:val="0"/>
        </w:rPr>
        <w:t>.</w:t>
      </w:r>
    </w:p>
    <w:p>
      <w:pPr>
        <w:widowControl/>
      </w:pPr>
      <w:r>
        <w:rPr>
          <w:b/>
          <w:i w:val="0"/>
        </w:rPr>
        <w:t>operibus.</w:t>
      </w:r>
      <w:r>
        <w:rPr>
          <w:b w:val="0"/>
          <w:i w:val="0"/>
        </w:rPr>
        <w:t xml:space="preserve"> </w:t>
      </w:r>
      <w:hyperlink w:anchor="latin-record-0872">
        <w:r>
          <w:rPr>
            <w:color w:val="000000"/>
          </w:rPr>
          <w:t xml:space="preserve">opus</w:t>
        </w:r>
      </w:hyperlink>
      <w:r>
        <w:rPr>
          <w:b w:val="0"/>
          <w:i w:val="0"/>
        </w:rPr>
        <w:t>.</w:t>
      </w:r>
    </w:p>
    <w:p>
      <w:pPr>
        <w:widowControl/>
      </w:pPr>
      <w:r>
        <w:rPr>
          <w:b/>
          <w:i w:val="0"/>
        </w:rPr>
        <w:t>operis.</w:t>
      </w:r>
      <w:r>
        <w:rPr>
          <w:b w:val="0"/>
          <w:i w:val="0"/>
        </w:rPr>
        <w:t xml:space="preserve"> </w:t>
      </w:r>
      <w:hyperlink w:anchor="latin-record-0872">
        <w:r>
          <w:rPr>
            <w:color w:val="000000"/>
          </w:rPr>
          <w:t xml:space="preserve">opus</w:t>
        </w:r>
      </w:hyperlink>
      <w:r>
        <w:rPr>
          <w:b w:val="0"/>
          <w:i w:val="0"/>
        </w:rPr>
        <w:t>.</w:t>
      </w:r>
    </w:p>
    <w:p>
      <w:pPr>
        <w:widowControl/>
      </w:pPr>
      <w:r>
        <w:rPr>
          <w:b/>
          <w:i w:val="0"/>
        </w:rPr>
        <w:t>Opifex.</w:t>
      </w:r>
      <w:r>
        <w:rPr>
          <w:b w:val="0"/>
          <w:i w:val="0"/>
        </w:rPr>
        <w:t xml:space="preserve"> </w:t>
      </w:r>
      <w:hyperlink w:anchor="latin-record-0147">
        <w:r>
          <w:rPr>
            <w:color w:val="000000"/>
          </w:rPr>
          <w:t xml:space="preserve">auctor / conditor / opifex</w:t>
        </w:r>
      </w:hyperlink>
      <w:r>
        <w:rPr>
          <w:b w:val="0"/>
          <w:i w:val="0"/>
        </w:rPr>
        <w:t>.</w:t>
      </w:r>
    </w:p>
    <w:p>
      <w:pPr>
        <w:widowControl/>
      </w:pPr>
      <w:r>
        <w:rPr>
          <w:b/>
          <w:i w:val="0"/>
        </w:rPr>
        <w:t>opifex.</w:t>
      </w:r>
      <w:r>
        <w:rPr>
          <w:b w:val="0"/>
          <w:i w:val="0"/>
        </w:rPr>
        <w:t xml:space="preserve"> </w:t>
      </w:r>
      <w:hyperlink w:anchor="latin-record-0147">
        <w:r>
          <w:rPr>
            <w:color w:val="000000"/>
          </w:rPr>
          <w:t xml:space="preserve">auctor / conditor / opifex</w:t>
        </w:r>
      </w:hyperlink>
      <w:r>
        <w:rPr>
          <w:b w:val="0"/>
          <w:i w:val="0"/>
        </w:rPr>
        <w:t>.</w:t>
      </w:r>
    </w:p>
    <w:p>
      <w:pPr>
        <w:widowControl/>
      </w:pPr>
      <w:r>
        <w:rPr>
          <w:b/>
          <w:i w:val="0"/>
        </w:rPr>
        <w:t>opificem.</w:t>
      </w:r>
      <w:r>
        <w:rPr>
          <w:b w:val="0"/>
          <w:i w:val="0"/>
        </w:rPr>
        <w:t xml:space="preserve"> </w:t>
      </w:r>
      <w:hyperlink w:anchor="latin-record-0147">
        <w:r>
          <w:rPr>
            <w:color w:val="000000"/>
          </w:rPr>
          <w:t xml:space="preserve">auctor / conditor / opifex</w:t>
        </w:r>
      </w:hyperlink>
      <w:r>
        <w:rPr>
          <w:b w:val="0"/>
          <w:i w:val="0"/>
        </w:rPr>
        <w:t>.</w:t>
      </w:r>
    </w:p>
    <w:p>
      <w:pPr>
        <w:widowControl/>
      </w:pPr>
      <w:r>
        <w:rPr>
          <w:b/>
          <w:i w:val="0"/>
        </w:rPr>
        <w:t>opinantur.</w:t>
      </w:r>
      <w:r>
        <w:rPr>
          <w:b w:val="0"/>
          <w:i w:val="0"/>
        </w:rPr>
        <w:t xml:space="preserve"> </w:t>
      </w:r>
      <w:hyperlink w:anchor="latin-record-0865">
        <w:r>
          <w:rPr>
            <w:color w:val="000000"/>
          </w:rPr>
          <w:t xml:space="preserve">opinio / sententia</w:t>
        </w:r>
      </w:hyperlink>
      <w:r>
        <w:rPr>
          <w:b w:val="0"/>
          <w:i w:val="0"/>
        </w:rPr>
        <w:t>.</w:t>
      </w:r>
    </w:p>
    <w:p>
      <w:pPr>
        <w:widowControl/>
      </w:pPr>
      <w:r>
        <w:rPr>
          <w:b/>
          <w:i w:val="0"/>
        </w:rPr>
        <w:t>opinio eadem et scientia.</w:t>
      </w:r>
      <w:r>
        <w:rPr>
          <w:b w:val="0"/>
          <w:i w:val="0"/>
        </w:rPr>
        <w:t xml:space="preserve"> </w:t>
      </w:r>
      <w:hyperlink w:anchor="latin-record-1385">
        <w:r>
          <w:rPr>
            <w:color w:val="000000"/>
          </w:rPr>
          <w:t xml:space="preserve">voluntas; mos; opinio; scientia</w:t>
        </w:r>
      </w:hyperlink>
      <w:r>
        <w:rPr>
          <w:b w:val="0"/>
          <w:i w:val="0"/>
        </w:rPr>
        <w:t>.</w:t>
      </w:r>
    </w:p>
    <w:p>
      <w:pPr>
        <w:widowControl/>
      </w:pPr>
      <w:r>
        <w:rPr>
          <w:b/>
          <w:i w:val="0"/>
        </w:rPr>
        <w:t>opiniones.</w:t>
      </w:r>
      <w:r>
        <w:rPr>
          <w:b w:val="0"/>
          <w:i w:val="0"/>
        </w:rPr>
        <w:t xml:space="preserve"> </w:t>
      </w:r>
      <w:hyperlink w:anchor="latin-record-0866">
        <w:r>
          <w:rPr>
            <w:color w:val="000000"/>
          </w:rPr>
          <w:t xml:space="preserve">opinio; sententia</w:t>
        </w:r>
      </w:hyperlink>
      <w:r>
        <w:rPr>
          <w:b w:val="0"/>
          <w:i w:val="0"/>
        </w:rPr>
        <w:t>.</w:t>
      </w:r>
    </w:p>
    <w:p>
      <w:pPr>
        <w:widowControl/>
      </w:pPr>
      <w:r>
        <w:rPr>
          <w:b/>
          <w:i w:val="0"/>
        </w:rPr>
        <w:t>opinionibus.</w:t>
      </w:r>
      <w:r>
        <w:rPr>
          <w:b w:val="0"/>
          <w:i w:val="0"/>
        </w:rPr>
        <w:t xml:space="preserve"> </w:t>
      </w:r>
      <w:hyperlink w:anchor="latin-record-0864">
        <w:r>
          <w:rPr>
            <w:color w:val="000000"/>
          </w:rPr>
          <w:t xml:space="preserve">opinio / affectus / distrahere</w:t>
        </w:r>
      </w:hyperlink>
      <w:r>
        <w:rPr>
          <w:b w:val="0"/>
          <w:i w:val="0"/>
        </w:rPr>
        <w:t>.</w:t>
      </w:r>
    </w:p>
    <w:p>
      <w:pPr>
        <w:widowControl/>
      </w:pPr>
      <w:r>
        <w:rPr>
          <w:b/>
          <w:i w:val="0"/>
        </w:rPr>
        <w:t>opinionum.</w:t>
      </w:r>
      <w:r>
        <w:rPr>
          <w:b w:val="0"/>
          <w:i w:val="0"/>
        </w:rPr>
        <w:t xml:space="preserve"> </w:t>
      </w:r>
      <w:hyperlink w:anchor="latin-record-0864">
        <w:r>
          <w:rPr>
            <w:color w:val="000000"/>
          </w:rPr>
          <w:t xml:space="preserve">opinio / affectus / distrahere</w:t>
        </w:r>
      </w:hyperlink>
      <w:r>
        <w:rPr>
          <w:b w:val="0"/>
          <w:i w:val="0"/>
        </w:rPr>
        <w:t>.</w:t>
      </w:r>
    </w:p>
    <w:p>
      <w:pPr>
        <w:widowControl/>
      </w:pPr>
      <w:r>
        <w:rPr>
          <w:b/>
          <w:i w:val="0"/>
        </w:rPr>
        <w:t>Opinor.</w:t>
      </w:r>
      <w:r>
        <w:rPr>
          <w:b w:val="0"/>
          <w:i w:val="0"/>
        </w:rPr>
        <w:t xml:space="preserve"> </w:t>
      </w:r>
      <w:hyperlink w:anchor="latin-record-0137">
        <w:r>
          <w:rPr>
            <w:color w:val="000000"/>
          </w:rPr>
          <w:t xml:space="preserve">assentiri; opinari; arbitrari</w:t>
        </w:r>
      </w:hyperlink>
      <w:r>
        <w:rPr>
          <w:b w:val="0"/>
          <w:i w:val="0"/>
        </w:rPr>
        <w:t>.</w:t>
      </w:r>
    </w:p>
    <w:p>
      <w:pPr>
        <w:widowControl/>
      </w:pPr>
      <w:r>
        <w:rPr>
          <w:b/>
          <w:i w:val="0"/>
        </w:rPr>
        <w:t>oporteat.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oportebit.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Oportere.</w:t>
      </w:r>
      <w:r>
        <w:rPr>
          <w:b w:val="0"/>
          <w:i w:val="0"/>
        </w:rPr>
        <w:t xml:space="preserve"> </w:t>
      </w:r>
      <w:hyperlink w:anchor="latin-record-0833">
        <w:r>
          <w:rPr>
            <w:color w:val="000000"/>
          </w:rPr>
          <w:t xml:space="preserve">necesse / oportere</w:t>
        </w:r>
      </w:hyperlink>
      <w:r>
        <w:rPr>
          <w:b w:val="0"/>
          <w:i w:val="0"/>
        </w:rPr>
        <w:t>.</w:t>
      </w:r>
    </w:p>
    <w:p>
      <w:pPr>
        <w:widowControl/>
      </w:pPr>
      <w:r>
        <w:rPr>
          <w:b/>
          <w:i w:val="0"/>
        </w:rPr>
        <w:t>oporteret.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oportet.</w:t>
      </w:r>
      <w:r>
        <w:rPr>
          <w:b w:val="0"/>
          <w:i w:val="0"/>
        </w:rPr>
        <w:t xml:space="preserve"> </w:t>
      </w:r>
      <w:hyperlink w:anchor="latin-record-0833">
        <w:r>
          <w:rPr>
            <w:color w:val="000000"/>
          </w:rPr>
          <w:t xml:space="preserve">necesse / oportere</w:t>
        </w:r>
      </w:hyperlink>
      <w:r>
        <w:rPr>
          <w:b w:val="0"/>
          <w:i w:val="0"/>
        </w:rPr>
        <w:t xml:space="preserve">; </w:t>
      </w:r>
      <w:hyperlink w:anchor="latin-record-0834">
        <w:r>
          <w:rPr>
            <w:color w:val="000000"/>
          </w:rPr>
          <w:t xml:space="preserve">necessitas / oportet</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964">
        <w:r>
          <w:rPr>
            <w:color w:val="000000"/>
          </w:rPr>
          <w:t xml:space="preserve">posse; valere; oportere</w:t>
        </w:r>
      </w:hyperlink>
      <w:r>
        <w:rPr>
          <w:b w:val="0"/>
          <w:i w:val="0"/>
        </w:rPr>
        <w:t>.</w:t>
      </w:r>
    </w:p>
    <w:p>
      <w:pPr>
        <w:widowControl/>
      </w:pPr>
      <w:r>
        <w:rPr>
          <w:b/>
          <w:i w:val="0"/>
        </w:rPr>
        <w:t>Oportet.</w:t>
      </w:r>
      <w:r>
        <w:rPr>
          <w:b w:val="0"/>
          <w:i w:val="0"/>
        </w:rPr>
        <w:t xml:space="preserve"> </w:t>
      </w:r>
      <w:hyperlink w:anchor="latin-record-0834">
        <w:r>
          <w:rPr>
            <w:color w:val="000000"/>
          </w:rPr>
          <w:t xml:space="preserve">necessitas / oportet</w:t>
        </w:r>
      </w:hyperlink>
      <w:r>
        <w:rPr>
          <w:b w:val="0"/>
          <w:i w:val="0"/>
        </w:rPr>
        <w:t xml:space="preserve">; </w:t>
      </w:r>
      <w:hyperlink w:anchor="latin-record-0867">
        <w:r>
          <w:rPr>
            <w:color w:val="000000"/>
          </w:rPr>
          <w:t xml:space="preserve">oportere / necesse / debere</w:t>
        </w:r>
      </w:hyperlink>
      <w:r>
        <w:rPr>
          <w:b w:val="0"/>
          <w:i w:val="0"/>
        </w:rPr>
        <w:t>.</w:t>
      </w:r>
    </w:p>
    <w:p>
      <w:pPr>
        <w:widowControl/>
      </w:pPr>
      <w:r>
        <w:rPr>
          <w:b/>
          <w:i w:val="0"/>
        </w:rPr>
        <w:t>opponitur.</w:t>
      </w:r>
      <w:r>
        <w:rPr>
          <w:b w:val="0"/>
          <w:i w:val="0"/>
        </w:rPr>
        <w:t xml:space="preserve"> </w:t>
      </w:r>
      <w:hyperlink w:anchor="latin-record-0868">
        <w:r>
          <w:rPr>
            <w:color w:val="000000"/>
          </w:rPr>
          <w:t xml:space="preserve">opponere / oppositum</w:t>
        </w:r>
      </w:hyperlink>
      <w:r>
        <w:rPr>
          <w:b w:val="0"/>
          <w:i w:val="0"/>
        </w:rPr>
        <w:t>.</w:t>
      </w:r>
    </w:p>
    <w:p>
      <w:pPr>
        <w:widowControl/>
      </w:pPr>
      <w:r>
        <w:rPr>
          <w:b/>
          <w:i w:val="0"/>
        </w:rPr>
        <w:t>opponuntur.</w:t>
      </w:r>
      <w:r>
        <w:rPr>
          <w:b w:val="0"/>
          <w:i w:val="0"/>
        </w:rPr>
        <w:t xml:space="preserve"> </w:t>
      </w:r>
      <w:hyperlink w:anchor="latin-record-0868">
        <w:r>
          <w:rPr>
            <w:color w:val="000000"/>
          </w:rPr>
          <w:t xml:space="preserve">opponere / oppositum</w:t>
        </w:r>
      </w:hyperlink>
      <w:r>
        <w:rPr>
          <w:b w:val="0"/>
          <w:i w:val="0"/>
        </w:rPr>
        <w:t>.</w:t>
      </w:r>
    </w:p>
    <w:p>
      <w:pPr>
        <w:widowControl/>
      </w:pPr>
      <w:r>
        <w:rPr>
          <w:b/>
          <w:i w:val="0"/>
        </w:rPr>
        <w:t>opposita.</w:t>
      </w:r>
      <w:r>
        <w:rPr>
          <w:b w:val="0"/>
          <w:i w:val="0"/>
        </w:rPr>
        <w:t xml:space="preserve"> </w:t>
      </w:r>
      <w:hyperlink w:anchor="latin-record-0326">
        <w:r>
          <w:rPr>
            <w:color w:val="000000"/>
          </w:rPr>
          <w:t xml:space="preserve">contrarius; oppositus; repugnans</w:t>
        </w:r>
      </w:hyperlink>
      <w:r>
        <w:rPr>
          <w:b w:val="0"/>
          <w:i w:val="0"/>
        </w:rPr>
        <w:t xml:space="preserve">; </w:t>
      </w:r>
      <w:hyperlink w:anchor="latin-record-0868">
        <w:r>
          <w:rPr>
            <w:color w:val="000000"/>
          </w:rPr>
          <w:t xml:space="preserve">opponere / oppositum</w:t>
        </w:r>
      </w:hyperlink>
      <w:r>
        <w:rPr>
          <w:b w:val="0"/>
          <w:i w:val="0"/>
        </w:rPr>
        <w:t xml:space="preserve">; </w:t>
      </w:r>
      <w:hyperlink w:anchor="latin-record-0869">
        <w:r>
          <w:rPr>
            <w:color w:val="000000"/>
          </w:rPr>
          <w:t xml:space="preserve">opposita / contraria</w:t>
        </w:r>
      </w:hyperlink>
      <w:r>
        <w:rPr>
          <w:b w:val="0"/>
          <w:i w:val="0"/>
        </w:rPr>
        <w:t>.</w:t>
      </w:r>
    </w:p>
    <w:p>
      <w:pPr>
        <w:widowControl/>
      </w:pPr>
      <w:r>
        <w:rPr>
          <w:b/>
          <w:i w:val="0"/>
        </w:rPr>
        <w:t>opposita suscipit.</w:t>
      </w:r>
      <w:r>
        <w:rPr>
          <w:b w:val="0"/>
          <w:i w:val="0"/>
        </w:rPr>
        <w:t xml:space="preserve"> </w:t>
      </w:r>
      <w:hyperlink w:anchor="latin-record-0870">
        <w:r>
          <w:rPr>
            <w:color w:val="000000"/>
          </w:rPr>
          <w:t xml:space="preserve">opposita suscipere</w:t>
        </w:r>
      </w:hyperlink>
      <w:r>
        <w:rPr>
          <w:b w:val="0"/>
          <w:i w:val="0"/>
        </w:rPr>
        <w:t>.</w:t>
      </w:r>
    </w:p>
    <w:p>
      <w:pPr>
        <w:widowControl/>
      </w:pPr>
      <w:r>
        <w:rPr>
          <w:b/>
          <w:i w:val="0"/>
        </w:rPr>
        <w:t>oppositas.</w:t>
      </w:r>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oppositi.</w:t>
      </w:r>
      <w:r>
        <w:rPr>
          <w:b w:val="0"/>
          <w:i w:val="0"/>
        </w:rPr>
        <w:t xml:space="preserve"> </w:t>
      </w:r>
      <w:hyperlink w:anchor="latin-record-0868">
        <w:r>
          <w:rPr>
            <w:color w:val="000000"/>
          </w:rPr>
          <w:t xml:space="preserve">opponere / oppositum</w:t>
        </w:r>
      </w:hyperlink>
      <w:r>
        <w:rPr>
          <w:b w:val="0"/>
          <w:i w:val="0"/>
        </w:rPr>
        <w:t>.</w:t>
      </w:r>
    </w:p>
    <w:p>
      <w:pPr>
        <w:widowControl/>
      </w:pPr>
      <w:r>
        <w:rPr>
          <w:b/>
          <w:i w:val="0"/>
        </w:rPr>
        <w:t>oppositum.</w:t>
      </w:r>
      <w:r>
        <w:rPr>
          <w:b w:val="0"/>
          <w:i w:val="0"/>
        </w:rPr>
        <w:t xml:space="preserve"> </w:t>
      </w:r>
      <w:hyperlink w:anchor="latin-record-0326">
        <w:r>
          <w:rPr>
            <w:color w:val="000000"/>
          </w:rPr>
          <w:t xml:space="preserve">contrarius; oppositus; repugnans</w:t>
        </w:r>
      </w:hyperlink>
      <w:r>
        <w:rPr>
          <w:b w:val="0"/>
          <w:i w:val="0"/>
        </w:rPr>
        <w:t xml:space="preserve">; </w:t>
      </w:r>
      <w:hyperlink w:anchor="latin-record-0868">
        <w:r>
          <w:rPr>
            <w:color w:val="000000"/>
          </w:rPr>
          <w:t xml:space="preserve">opponere / oppositum</w:t>
        </w:r>
      </w:hyperlink>
      <w:r>
        <w:rPr>
          <w:b w:val="0"/>
          <w:i w:val="0"/>
        </w:rPr>
        <w:t>.</w:t>
      </w:r>
    </w:p>
    <w:p>
      <w:pPr>
        <w:widowControl/>
      </w:pPr>
      <w:r>
        <w:rPr>
          <w:b/>
          <w:i w:val="0"/>
        </w:rPr>
        <w:t>opprimit.</w:t>
      </w:r>
      <w:r>
        <w:rPr>
          <w:b w:val="0"/>
          <w:i w:val="0"/>
        </w:rPr>
        <w:t xml:space="preserve"> </w:t>
      </w:r>
      <w:hyperlink w:anchor="latin-record-0871">
        <w:r>
          <w:rPr>
            <w:color w:val="000000"/>
          </w:rPr>
          <w:t xml:space="preserve">opprimere / marcescere</w:t>
        </w:r>
      </w:hyperlink>
      <w:r>
        <w:rPr>
          <w:b w:val="0"/>
          <w:i w:val="0"/>
        </w:rPr>
        <w:t>.</w:t>
      </w:r>
    </w:p>
    <w:p>
      <w:pPr>
        <w:widowControl/>
      </w:pPr>
      <w:r>
        <w:rPr>
          <w:b/>
          <w:i w:val="0"/>
        </w:rPr>
        <w:t>opus.</w:t>
      </w:r>
      <w:r>
        <w:rPr>
          <w:b w:val="0"/>
          <w:i w:val="0"/>
        </w:rPr>
        <w:t xml:space="preserve"> </w:t>
      </w:r>
      <w:hyperlink w:anchor="latin-record-0020">
        <w:r>
          <w:rPr>
            <w:color w:val="000000"/>
          </w:rPr>
          <w:t xml:space="preserve">actio / operatio / opus</w:t>
        </w:r>
      </w:hyperlink>
      <w:r>
        <w:rPr>
          <w:b w:val="0"/>
          <w:i w:val="0"/>
        </w:rPr>
        <w:t xml:space="preserve">; </w:t>
      </w:r>
      <w:hyperlink w:anchor="latin-record-0169">
        <w:r>
          <w:rPr>
            <w:color w:val="000000"/>
          </w:rPr>
          <w:t xml:space="preserve">brachium / opus extra</w:t>
        </w:r>
      </w:hyperlink>
      <w:r>
        <w:rPr>
          <w:b w:val="0"/>
          <w:i w:val="0"/>
        </w:rPr>
        <w:t xml:space="preserve">; </w:t>
      </w:r>
      <w:hyperlink w:anchor="latin-record-0872">
        <w:r>
          <w:rPr>
            <w:color w:val="000000"/>
          </w:rPr>
          <w:t xml:space="preserve">opus</w:t>
        </w:r>
      </w:hyperlink>
      <w:r>
        <w:rPr>
          <w:b w:val="0"/>
          <w:i w:val="0"/>
        </w:rPr>
        <w:t>.</w:t>
      </w:r>
    </w:p>
    <w:p>
      <w:pPr>
        <w:widowControl/>
      </w:pPr>
      <w:r>
        <w:rPr>
          <w:b/>
          <w:i w:val="0"/>
        </w:rPr>
        <w:t>orbem.</w:t>
      </w:r>
      <w:r>
        <w:rPr>
          <w:b w:val="0"/>
          <w:i w:val="0"/>
        </w:rPr>
        <w:t xml:space="preserve"> </w:t>
      </w:r>
      <w:hyperlink w:anchor="latin-record-0873">
        <w:r>
          <w:rPr>
            <w:color w:val="000000"/>
          </w:rPr>
          <w:t xml:space="preserve">orbis in puncto</w:t>
        </w:r>
      </w:hyperlink>
      <w:r>
        <w:rPr>
          <w:b w:val="0"/>
          <w:i w:val="0"/>
        </w:rPr>
        <w:t>.</w:t>
      </w:r>
    </w:p>
    <w:p>
      <w:pPr>
        <w:widowControl/>
      </w:pPr>
      <w:r>
        <w:rPr>
          <w:b/>
          <w:i w:val="0"/>
        </w:rPr>
        <w:t>orbicularis.</w:t>
      </w:r>
      <w:r>
        <w:rPr>
          <w:b w:val="0"/>
          <w:i w:val="0"/>
        </w:rPr>
        <w:t xml:space="preserve"> </w:t>
      </w:r>
      <w:hyperlink w:anchor="latin-record-1123">
        <w:r>
          <w:rPr>
            <w:color w:val="000000"/>
          </w:rPr>
          <w:t xml:space="preserve">revolutio / orbicularis</w:t>
        </w:r>
      </w:hyperlink>
      <w:r>
        <w:rPr>
          <w:b w:val="0"/>
          <w:i w:val="0"/>
        </w:rPr>
        <w:t>.</w:t>
      </w:r>
    </w:p>
    <w:p>
      <w:pPr>
        <w:widowControl/>
      </w:pPr>
      <w:r>
        <w:rPr>
          <w:b/>
          <w:i w:val="0"/>
        </w:rPr>
        <w:t>ordinantis.</w:t>
      </w:r>
      <w:r>
        <w:rPr>
          <w:b w:val="0"/>
          <w:i w:val="0"/>
        </w:rPr>
        <w:t xml:space="preserve"> </w:t>
      </w:r>
      <w:hyperlink w:anchor="latin-record-0876">
        <w:r>
          <w:rPr>
            <w:color w:val="000000"/>
          </w:rPr>
          <w:t xml:space="preserve">ordinare; ordo</w:t>
        </w:r>
      </w:hyperlink>
      <w:r>
        <w:rPr>
          <w:b w:val="0"/>
          <w:i w:val="0"/>
        </w:rPr>
        <w:t>.</w:t>
      </w:r>
    </w:p>
    <w:p>
      <w:pPr>
        <w:widowControl/>
      </w:pPr>
      <w:r>
        <w:rPr>
          <w:b/>
          <w:i w:val="0"/>
        </w:rPr>
        <w:t>ordinare.</w:t>
      </w:r>
      <w:r>
        <w:rPr>
          <w:b w:val="0"/>
          <w:i w:val="0"/>
        </w:rPr>
        <w:t xml:space="preserve"> </w:t>
      </w:r>
      <w:hyperlink w:anchor="latin-record-0977">
        <w:r>
          <w:rPr>
            <w:color w:val="000000"/>
          </w:rPr>
          <w:t xml:space="preserve">praescribere / ordinare / vagari</w:t>
        </w:r>
      </w:hyperlink>
      <w:r>
        <w:rPr>
          <w:b w:val="0"/>
          <w:i w:val="0"/>
        </w:rPr>
        <w:t>.</w:t>
      </w:r>
    </w:p>
    <w:p>
      <w:pPr>
        <w:widowControl/>
      </w:pPr>
      <w:r>
        <w:rPr>
          <w:b/>
          <w:i w:val="0"/>
        </w:rPr>
        <w:t>ordinat.</w:t>
      </w:r>
      <w:r>
        <w:rPr>
          <w:b w:val="0"/>
          <w:i w:val="0"/>
        </w:rPr>
        <w:t xml:space="preserve"> </w:t>
      </w:r>
      <w:hyperlink w:anchor="latin-record-0876">
        <w:r>
          <w:rPr>
            <w:color w:val="000000"/>
          </w:rPr>
          <w:t xml:space="preserve">ordinare; ordo</w:t>
        </w:r>
      </w:hyperlink>
      <w:r>
        <w:rPr>
          <w:b w:val="0"/>
          <w:i w:val="0"/>
        </w:rPr>
        <w:t xml:space="preserve">; </w:t>
      </w:r>
      <w:hyperlink w:anchor="latin-record-0877">
        <w:r>
          <w:rPr>
            <w:color w:val="000000"/>
          </w:rPr>
          <w:t xml:space="preserve">ordo / ordinare</w:t>
        </w:r>
      </w:hyperlink>
      <w:r>
        <w:rPr>
          <w:b w:val="0"/>
          <w:i w:val="0"/>
        </w:rPr>
        <w:t>.</w:t>
      </w:r>
    </w:p>
    <w:p>
      <w:pPr>
        <w:widowControl/>
      </w:pPr>
      <w:r>
        <w:rPr>
          <w:b/>
          <w:i w:val="0"/>
        </w:rPr>
        <w:t>ordinat sistitque mobilia.</w:t>
      </w:r>
      <w:r>
        <w:rPr>
          <w:b w:val="0"/>
          <w:i w:val="0"/>
        </w:rPr>
        <w:t xml:space="preserve"> </w:t>
      </w:r>
      <w:hyperlink w:anchor="latin-record-1291">
        <w:r>
          <w:rPr>
            <w:color w:val="000000"/>
          </w:rPr>
          <w:t xml:space="preserve">terminus; rector</w:t>
        </w:r>
      </w:hyperlink>
      <w:r>
        <w:rPr>
          <w:b w:val="0"/>
          <w:i w:val="0"/>
        </w:rPr>
        <w:t>.</w:t>
      </w:r>
    </w:p>
    <w:p>
      <w:pPr>
        <w:widowControl/>
      </w:pPr>
      <w:r>
        <w:rPr>
          <w:b/>
          <w:i w:val="0"/>
        </w:rPr>
        <w:t>ordinatae.</w:t>
      </w:r>
      <w:r>
        <w:rPr>
          <w:b w:val="0"/>
          <w:i w:val="0"/>
        </w:rPr>
        <w:t xml:space="preserve"> </w:t>
      </w:r>
      <w:hyperlink w:anchor="latin-record-0875">
        <w:r>
          <w:rPr>
            <w:color w:val="000000"/>
          </w:rPr>
          <w:t xml:space="preserve">ordinare / ordo</w:t>
        </w:r>
      </w:hyperlink>
      <w:r>
        <w:rPr>
          <w:b w:val="0"/>
          <w:i w:val="0"/>
        </w:rPr>
        <w:t>.</w:t>
      </w:r>
    </w:p>
    <w:p>
      <w:pPr>
        <w:widowControl/>
      </w:pPr>
      <w:r>
        <w:rPr>
          <w:b/>
          <w:i w:val="0"/>
        </w:rPr>
        <w:t>ordinator.</w:t>
      </w:r>
      <w:r>
        <w:rPr>
          <w:b w:val="0"/>
          <w:i w:val="0"/>
        </w:rPr>
        <w:t xml:space="preserve"> </w:t>
      </w:r>
      <w:hyperlink w:anchor="latin-record-0876">
        <w:r>
          <w:rPr>
            <w:color w:val="000000"/>
          </w:rPr>
          <w:t xml:space="preserve">ordinare; ordo</w:t>
        </w:r>
      </w:hyperlink>
      <w:r>
        <w:rPr>
          <w:b w:val="0"/>
          <w:i w:val="0"/>
        </w:rPr>
        <w:t>.</w:t>
      </w:r>
    </w:p>
    <w:p>
      <w:pPr>
        <w:widowControl/>
      </w:pPr>
      <w:r>
        <w:rPr>
          <w:b/>
          <w:i w:val="0"/>
        </w:rPr>
        <w:t>ordinatrix.</w:t>
      </w:r>
      <w:r>
        <w:rPr>
          <w:b w:val="0"/>
          <w:i w:val="0"/>
        </w:rPr>
        <w:t xml:space="preserve"> </w:t>
      </w:r>
      <w:hyperlink w:anchor="latin-record-0321">
        <w:r>
          <w:rPr>
            <w:color w:val="000000"/>
          </w:rPr>
          <w:t xml:space="preserve">continuatio; ordinatrix</w:t>
        </w:r>
      </w:hyperlink>
      <w:r>
        <w:rPr>
          <w:b w:val="0"/>
          <w:i w:val="0"/>
        </w:rPr>
        <w:t xml:space="preserve">; </w:t>
      </w:r>
      <w:hyperlink w:anchor="latin-record-0876">
        <w:r>
          <w:rPr>
            <w:color w:val="000000"/>
          </w:rPr>
          <w:t xml:space="preserve">ordinare; ordo</w:t>
        </w:r>
      </w:hyperlink>
      <w:r>
        <w:rPr>
          <w:b w:val="0"/>
          <w:i w:val="0"/>
        </w:rPr>
        <w:t>.</w:t>
      </w:r>
    </w:p>
    <w:p>
      <w:pPr>
        <w:widowControl/>
      </w:pPr>
      <w:r>
        <w:rPr>
          <w:b/>
          <w:i w:val="0"/>
        </w:rPr>
        <w:t>ordinatur.</w:t>
      </w:r>
      <w:r>
        <w:rPr>
          <w:b w:val="0"/>
          <w:i w:val="0"/>
        </w:rPr>
        <w:t xml:space="preserve"> </w:t>
      </w:r>
      <w:hyperlink w:anchor="latin-record-0875">
        <w:r>
          <w:rPr>
            <w:color w:val="000000"/>
          </w:rPr>
          <w:t xml:space="preserve">ordinare / ordo</w:t>
        </w:r>
      </w:hyperlink>
      <w:r>
        <w:rPr>
          <w:b w:val="0"/>
          <w:i w:val="0"/>
        </w:rPr>
        <w:t>.</w:t>
      </w:r>
    </w:p>
    <w:p>
      <w:pPr>
        <w:widowControl/>
      </w:pPr>
      <w:r>
        <w:rPr>
          <w:b/>
          <w:i w:val="0"/>
        </w:rPr>
        <w:t>ordine.</w:t>
      </w:r>
      <w:r>
        <w:rPr>
          <w:b w:val="0"/>
          <w:i w:val="0"/>
        </w:rPr>
        <w:t xml:space="preserve"> </w:t>
      </w:r>
      <w:hyperlink w:anchor="latin-record-0875">
        <w:r>
          <w:rPr>
            <w:color w:val="000000"/>
          </w:rPr>
          <w:t xml:space="preserve">ordinare / ordo</w:t>
        </w:r>
      </w:hyperlink>
      <w:r>
        <w:rPr>
          <w:b w:val="0"/>
          <w:i w:val="0"/>
        </w:rPr>
        <w:t xml:space="preserve">; </w:t>
      </w:r>
      <w:hyperlink w:anchor="latin-record-0876">
        <w:r>
          <w:rPr>
            <w:color w:val="000000"/>
          </w:rPr>
          <w:t xml:space="preserve">ordinare; ordo</w:t>
        </w:r>
      </w:hyperlink>
      <w:r>
        <w:rPr>
          <w:b w:val="0"/>
          <w:i w:val="0"/>
        </w:rPr>
        <w:t xml:space="preserve">; </w:t>
      </w:r>
      <w:hyperlink w:anchor="latin-record-0878">
        <w:r>
          <w:rPr>
            <w:color w:val="000000"/>
          </w:rPr>
          <w:t xml:space="preserve">ordo naturae / effectus</w:t>
        </w:r>
      </w:hyperlink>
      <w:r>
        <w:rPr>
          <w:b w:val="0"/>
          <w:i w:val="0"/>
        </w:rPr>
        <w:t>.</w:t>
      </w:r>
    </w:p>
    <w:p>
      <w:pPr>
        <w:widowControl/>
      </w:pPr>
      <w:r>
        <w:rPr>
          <w:b/>
          <w:i w:val="0"/>
        </w:rPr>
        <w:t>ordinem.</w:t>
      </w:r>
      <w:r>
        <w:rPr>
          <w:b w:val="0"/>
          <w:i w:val="0"/>
        </w:rPr>
        <w:t xml:space="preserve"> </w:t>
      </w:r>
      <w:hyperlink w:anchor="latin-record-0875">
        <w:r>
          <w:rPr>
            <w:color w:val="000000"/>
          </w:rPr>
          <w:t xml:space="preserve">ordinare / ordo</w:t>
        </w:r>
      </w:hyperlink>
      <w:r>
        <w:rPr>
          <w:b w:val="0"/>
          <w:i w:val="0"/>
        </w:rPr>
        <w:t xml:space="preserve">; </w:t>
      </w:r>
      <w:hyperlink w:anchor="latin-record-0876">
        <w:r>
          <w:rPr>
            <w:color w:val="000000"/>
          </w:rPr>
          <w:t xml:space="preserve">ordinare; ordo</w:t>
        </w:r>
      </w:hyperlink>
      <w:r>
        <w:rPr>
          <w:b w:val="0"/>
          <w:i w:val="0"/>
        </w:rPr>
        <w:t xml:space="preserve">; </w:t>
      </w:r>
      <w:hyperlink w:anchor="latin-record-0877">
        <w:r>
          <w:rPr>
            <w:color w:val="000000"/>
          </w:rPr>
          <w:t xml:space="preserve">ordo / ordinare</w:t>
        </w:r>
      </w:hyperlink>
      <w:r>
        <w:rPr>
          <w:b w:val="0"/>
          <w:i w:val="0"/>
        </w:rPr>
        <w:t>.</w:t>
      </w:r>
    </w:p>
    <w:p>
      <w:pPr>
        <w:widowControl/>
      </w:pPr>
      <w:r>
        <w:rPr>
          <w:b/>
          <w:i w:val="0"/>
        </w:rPr>
        <w:t>ordo.</w:t>
      </w:r>
      <w:r>
        <w:rPr>
          <w:b w:val="0"/>
          <w:i w:val="0"/>
        </w:rPr>
        <w:t xml:space="preserve"> </w:t>
      </w:r>
      <w:hyperlink w:anchor="latin-record-0877">
        <w:r>
          <w:rPr>
            <w:color w:val="000000"/>
          </w:rPr>
          <w:t xml:space="preserve">ordo / ordinare</w:t>
        </w:r>
      </w:hyperlink>
      <w:r>
        <w:rPr>
          <w:b w:val="0"/>
          <w:i w:val="0"/>
        </w:rPr>
        <w:t>.</w:t>
      </w:r>
    </w:p>
    <w:p>
      <w:pPr>
        <w:widowControl/>
      </w:pPr>
      <w:r>
        <w:rPr>
          <w:b/>
          <w:i w:val="0"/>
        </w:rPr>
        <w:t>ore.</w:t>
      </w:r>
      <w:r>
        <w:rPr>
          <w:b w:val="0"/>
          <w:i w:val="0"/>
        </w:rPr>
        <w:t xml:space="preserve"> </w:t>
      </w:r>
      <w:hyperlink w:anchor="latin-record-0154">
        <w:r>
          <w:rPr>
            <w:color w:val="000000"/>
          </w:rPr>
          <w:t xml:space="preserve">auris / nares / os</w:t>
        </w:r>
      </w:hyperlink>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oriente.</w:t>
      </w:r>
      <w:r>
        <w:rPr>
          <w:b w:val="0"/>
          <w:i w:val="0"/>
        </w:rPr>
        <w:t xml:space="preserve"> </w:t>
      </w:r>
      <w:hyperlink w:anchor="latin-record-0879">
        <w:r>
          <w:rPr>
            <w:color w:val="000000"/>
          </w:rPr>
          <w:t xml:space="preserve">oriens / occidens</w:t>
        </w:r>
      </w:hyperlink>
      <w:r>
        <w:rPr>
          <w:b w:val="0"/>
          <w:i w:val="0"/>
        </w:rPr>
        <w:t>.</w:t>
      </w:r>
    </w:p>
    <w:p>
      <w:pPr>
        <w:widowControl/>
      </w:pPr>
      <w:r>
        <w:rPr>
          <w:b/>
          <w:i w:val="0"/>
        </w:rPr>
        <w:t>orietur.</w:t>
      </w:r>
      <w:r>
        <w:rPr>
          <w:b w:val="0"/>
          <w:i w:val="0"/>
        </w:rPr>
        <w:t xml:space="preserve"> </w:t>
      </w:r>
      <w:hyperlink w:anchor="latin-record-0912">
        <w:r>
          <w:rPr>
            <w:color w:val="000000"/>
          </w:rPr>
          <w:t xml:space="preserve">pendere / oriri / sustinere / nasci</w:t>
        </w:r>
      </w:hyperlink>
      <w:r>
        <w:rPr>
          <w:b w:val="0"/>
          <w:i w:val="0"/>
        </w:rPr>
        <w:t>.</w:t>
      </w:r>
    </w:p>
    <w:p>
      <w:pPr>
        <w:widowControl/>
      </w:pPr>
      <w:r>
        <w:rPr>
          <w:b/>
          <w:i w:val="0"/>
        </w:rPr>
        <w:t>Origenem.</w:t>
      </w:r>
      <w:r>
        <w:rPr>
          <w:b w:val="0"/>
          <w:i w:val="0"/>
        </w:rPr>
        <w:t xml:space="preserve"> </w:t>
      </w:r>
      <w:hyperlink w:anchor="latin-record-0387">
        <w:r>
          <w:rPr>
            <w:color w:val="000000"/>
          </w:rPr>
          <w:t xml:space="preserve">Dionysius / Origenes / Augustinus</w:t>
        </w:r>
      </w:hyperlink>
      <w:r>
        <w:rPr>
          <w:b w:val="0"/>
          <w:i w:val="0"/>
        </w:rPr>
        <w:t>.</w:t>
      </w:r>
    </w:p>
    <w:p>
      <w:pPr>
        <w:widowControl/>
      </w:pPr>
      <w:r>
        <w:rPr>
          <w:b/>
          <w:i w:val="0"/>
        </w:rPr>
        <w:t>origine.</w:t>
      </w:r>
      <w:r>
        <w:rPr>
          <w:b w:val="0"/>
          <w:i w:val="0"/>
        </w:rPr>
        <w:t xml:space="preserve"> </w:t>
      </w:r>
      <w:hyperlink w:anchor="latin-record-0880">
        <w:r>
          <w:rPr>
            <w:color w:val="000000"/>
          </w:rPr>
          <w:t xml:space="preserve">origo</w:t>
        </w:r>
      </w:hyperlink>
      <w:r>
        <w:rPr>
          <w:b w:val="0"/>
          <w:i w:val="0"/>
        </w:rPr>
        <w:t>.</w:t>
      </w:r>
    </w:p>
    <w:p>
      <w:pPr>
        <w:widowControl/>
      </w:pPr>
      <w:r>
        <w:rPr>
          <w:b/>
          <w:i w:val="0"/>
        </w:rPr>
        <w:t>originem.</w:t>
      </w:r>
      <w:r>
        <w:rPr>
          <w:b w:val="0"/>
          <w:i w:val="0"/>
        </w:rPr>
        <w:t xml:space="preserve"> </w:t>
      </w:r>
      <w:hyperlink w:anchor="latin-record-0880">
        <w:r>
          <w:rPr>
            <w:color w:val="000000"/>
          </w:rPr>
          <w:t xml:space="preserve">origo</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884">
        <w:r>
          <w:rPr>
            <w:color w:val="000000"/>
          </w:rPr>
          <w:t xml:space="preserve">ortus / finis virtutis</w:t>
        </w:r>
      </w:hyperlink>
      <w:r>
        <w:rPr>
          <w:b w:val="0"/>
          <w:i w:val="0"/>
        </w:rPr>
        <w:t>.</w:t>
      </w:r>
    </w:p>
    <w:p>
      <w:pPr>
        <w:widowControl/>
      </w:pPr>
      <w:r>
        <w:rPr>
          <w:b/>
          <w:i w:val="0"/>
        </w:rPr>
        <w:t>origo.</w:t>
      </w:r>
      <w:r>
        <w:rPr>
          <w:b w:val="0"/>
          <w:i w:val="0"/>
        </w:rPr>
        <w:t xml:space="preserve"> </w:t>
      </w:r>
      <w:hyperlink w:anchor="latin-record-0880">
        <w:r>
          <w:rPr>
            <w:color w:val="000000"/>
          </w:rPr>
          <w:t xml:space="preserve">origo</w:t>
        </w:r>
      </w:hyperlink>
      <w:r>
        <w:rPr>
          <w:b w:val="0"/>
          <w:i w:val="0"/>
        </w:rPr>
        <w:t xml:space="preserve">; </w:t>
      </w:r>
      <w:hyperlink w:anchor="latin-record-0882">
        <w:r>
          <w:rPr>
            <w:color w:val="000000"/>
          </w:rPr>
          <w:t xml:space="preserve">origo; principium; causa</w:t>
        </w:r>
      </w:hyperlink>
      <w:r>
        <w:rPr>
          <w:b w:val="0"/>
          <w:i w:val="0"/>
        </w:rPr>
        <w:t>.</w:t>
      </w:r>
    </w:p>
    <w:p>
      <w:pPr>
        <w:widowControl/>
      </w:pPr>
      <w:r>
        <w:rPr>
          <w:b/>
          <w:i w:val="0"/>
        </w:rPr>
        <w:t>Orpheus.</w:t>
      </w:r>
      <w:r>
        <w:rPr>
          <w:b w:val="0"/>
          <w:i w:val="0"/>
        </w:rPr>
        <w:t xml:space="preserve"> </w:t>
      </w:r>
      <w:hyperlink w:anchor="latin-record-0997">
        <w:r>
          <w:rPr>
            <w:color w:val="000000"/>
          </w:rPr>
          <w:t xml:space="preserve">prisci theologi</w:t>
        </w:r>
      </w:hyperlink>
      <w:r>
        <w:rPr>
          <w:b w:val="0"/>
          <w:i w:val="0"/>
        </w:rPr>
        <w:t>.</w:t>
      </w:r>
    </w:p>
    <w:p>
      <w:pPr>
        <w:widowControl/>
      </w:pPr>
      <w:r>
        <w:rPr>
          <w:b/>
          <w:i w:val="0"/>
        </w:rPr>
        <w:t>Orphicis.</w:t>
      </w:r>
      <w:r>
        <w:rPr>
          <w:b w:val="0"/>
          <w:i w:val="0"/>
        </w:rPr>
        <w:t xml:space="preserve"> </w:t>
      </w:r>
      <w:hyperlink w:anchor="latin-record-0883">
        <w:r>
          <w:rPr>
            <w:color w:val="000000"/>
          </w:rPr>
          <w:t xml:space="preserve">Orphici / Heraclitus</w:t>
        </w:r>
      </w:hyperlink>
      <w:r>
        <w:rPr>
          <w:b w:val="0"/>
          <w:i w:val="0"/>
        </w:rPr>
        <w:t>.</w:t>
      </w:r>
    </w:p>
    <w:p>
      <w:pPr>
        <w:widowControl/>
      </w:pPr>
      <w:r>
        <w:rPr>
          <w:b/>
          <w:i w:val="0"/>
        </w:rPr>
        <w:t>ortus.</w:t>
      </w:r>
      <w:r>
        <w:rPr>
          <w:b w:val="0"/>
          <w:i w:val="0"/>
        </w:rPr>
        <w:t xml:space="preserve"> </w:t>
      </w:r>
      <w:hyperlink w:anchor="latin-record-0884">
        <w:r>
          <w:rPr>
            <w:color w:val="000000"/>
          </w:rPr>
          <w:t xml:space="preserve">ortus / finis virtutis</w:t>
        </w:r>
      </w:hyperlink>
      <w:r>
        <w:rPr>
          <w:b w:val="0"/>
          <w:i w:val="0"/>
        </w:rPr>
        <w:t>.</w:t>
      </w:r>
    </w:p>
    <w:p>
      <w:pPr>
        <w:widowControl/>
      </w:pPr>
      <w:r>
        <w:rPr>
          <w:b/>
          <w:i w:val="0"/>
        </w:rPr>
        <w:t>os.</w:t>
      </w:r>
      <w:r>
        <w:rPr>
          <w:b w:val="0"/>
          <w:i w:val="0"/>
        </w:rPr>
        <w:t xml:space="preserve"> </w:t>
      </w:r>
      <w:hyperlink w:anchor="latin-record-0885">
        <w:r>
          <w:rPr>
            <w:color w:val="000000"/>
          </w:rPr>
          <w:t xml:space="preserve">os / nervus / caro</w:t>
        </w:r>
      </w:hyperlink>
      <w:r>
        <w:rPr>
          <w:b w:val="0"/>
          <w:i w:val="0"/>
        </w:rPr>
        <w:t xml:space="preserve">; </w:t>
      </w:r>
      <w:hyperlink w:anchor="latin-record-0943">
        <w:r>
          <w:rPr>
            <w:color w:val="000000"/>
          </w:rPr>
          <w:t xml:space="preserve">pes / manus / os</w:t>
        </w:r>
      </w:hyperlink>
      <w:r>
        <w:rPr>
          <w:b w:val="0"/>
          <w:i w:val="0"/>
        </w:rPr>
        <w:t>.</w:t>
      </w:r>
    </w:p>
    <w:p>
      <w:pPr>
        <w:widowControl/>
      </w:pPr>
      <w:r>
        <w:rPr>
          <w:b/>
          <w:i w:val="0"/>
        </w:rPr>
        <w:t>ossa.</w:t>
      </w:r>
      <w:r>
        <w:rPr>
          <w:b w:val="0"/>
          <w:i w:val="0"/>
        </w:rPr>
        <w:t xml:space="preserve"> </w:t>
      </w:r>
      <w:hyperlink w:anchor="latin-record-0886">
        <w:r>
          <w:rPr>
            <w:color w:val="000000"/>
          </w:rPr>
          <w:t xml:space="preserve">ossa / caro / nervi</w:t>
        </w:r>
      </w:hyperlink>
      <w:r>
        <w:rPr>
          <w:b w:val="0"/>
          <w:i w:val="0"/>
        </w:rPr>
        <w:t>.</w:t>
      </w:r>
    </w:p>
    <w:p>
      <w:pPr>
        <w:widowControl/>
      </w:pPr>
      <w:r>
        <w:rPr>
          <w:b/>
          <w:i w:val="0"/>
        </w:rPr>
        <w:t>ossa et nervi.</w:t>
      </w:r>
      <w:r>
        <w:rPr>
          <w:b w:val="0"/>
          <w:i w:val="0"/>
        </w:rPr>
        <w:t xml:space="preserve"> </w:t>
      </w:r>
      <w:hyperlink w:anchor="latin-record-0887">
        <w:r>
          <w:rPr>
            <w:color w:val="000000"/>
          </w:rPr>
          <w:t xml:space="preserve">ossa; nervi; caro</w:t>
        </w:r>
      </w:hyperlink>
      <w:r>
        <w:rPr>
          <w:b w:val="0"/>
          <w:i w:val="0"/>
        </w:rPr>
        <w:t>.</w:t>
      </w:r>
    </w:p>
    <w:p>
      <w:pPr>
        <w:widowControl/>
      </w:pPr>
      <w:r>
        <w:rPr>
          <w:b/>
          <w:i w:val="0"/>
        </w:rPr>
        <w:t>ossium.</w:t>
      </w:r>
      <w:r>
        <w:rPr>
          <w:b w:val="0"/>
          <w:i w:val="0"/>
        </w:rPr>
        <w:t xml:space="preserve"> </w:t>
      </w:r>
      <w:hyperlink w:anchor="latin-record-0885">
        <w:r>
          <w:rPr>
            <w:color w:val="000000"/>
          </w:rPr>
          <w:t xml:space="preserve">os / nervus / caro</w:t>
        </w:r>
      </w:hyperlink>
      <w:r>
        <w:rPr>
          <w:b w:val="0"/>
          <w:i w:val="0"/>
        </w:rPr>
        <w:t>.</w:t>
      </w:r>
    </w:p>
    <w:p>
      <w:pPr>
        <w:widowControl/>
      </w:pPr>
      <w:r>
        <w:rPr>
          <w:b/>
          <w:i w:val="0"/>
        </w:rPr>
        <w:t>ostenderimus.</w:t>
      </w:r>
      <w:r>
        <w:rPr>
          <w:b w:val="0"/>
          <w:i w:val="0"/>
        </w:rPr>
        <w:t xml:space="preserve"> </w:t>
      </w:r>
      <w:hyperlink w:anchor="latin-record-0062">
        <w:r>
          <w:rPr>
            <w:color w:val="000000"/>
          </w:rPr>
          <w:t xml:space="preserve">aggredi / exponere / ostendere</w:t>
        </w:r>
      </w:hyperlink>
      <w:r>
        <w:rPr>
          <w:b w:val="0"/>
          <w:i w:val="0"/>
        </w:rPr>
        <w:t>.</w:t>
      </w:r>
    </w:p>
    <w:p>
      <w:pPr>
        <w:widowControl/>
      </w:pPr>
      <w:r>
        <w:rPr>
          <w:b/>
          <w:i w:val="0"/>
        </w:rPr>
        <w:t>ostendimus.</w:t>
      </w:r>
      <w:r>
        <w:rPr>
          <w:b w:val="0"/>
          <w:i w:val="0"/>
        </w:rPr>
        <w:t xml:space="preserve"> </w:t>
      </w:r>
      <w:hyperlink w:anchor="latin-record-0062">
        <w:r>
          <w:rPr>
            <w:color w:val="000000"/>
          </w:rPr>
          <w:t xml:space="preserve">aggredi / exponere / ostendere</w:t>
        </w:r>
      </w:hyperlink>
      <w:r>
        <w:rPr>
          <w:b w:val="0"/>
          <w:i w:val="0"/>
        </w:rPr>
        <w:t>.</w:t>
      </w:r>
    </w:p>
    <w:p>
      <w:pPr>
        <w:widowControl/>
      </w:pPr>
      <w:r>
        <w:rPr>
          <w:b/>
          <w:i w:val="0"/>
        </w:rPr>
        <w:t>ostendit.</w:t>
      </w:r>
      <w:r>
        <w:rPr>
          <w:b w:val="0"/>
          <w:i w:val="0"/>
        </w:rPr>
        <w:t xml:space="preserve"> </w:t>
      </w:r>
      <w:hyperlink w:anchor="latin-record-0062">
        <w:r>
          <w:rPr>
            <w:color w:val="000000"/>
          </w:rPr>
          <w:t xml:space="preserve">aggredi / exponere / ostendere</w:t>
        </w:r>
      </w:hyperlink>
      <w:r>
        <w:rPr>
          <w:b w:val="0"/>
          <w:i w:val="0"/>
        </w:rPr>
        <w:t>.</w:t>
      </w:r>
    </w:p>
    <w:p>
      <w:pPr>
        <w:widowControl/>
      </w:pPr>
      <w:r>
        <w:rPr>
          <w:b/>
          <w:i w:val="0"/>
        </w:rPr>
        <w:t>ove.</w:t>
      </w:r>
      <w:r>
        <w:rPr>
          <w:b w:val="0"/>
          <w:i w:val="0"/>
        </w:rPr>
        <w:t xml:space="preserve"> </w:t>
      </w:r>
      <w:hyperlink w:anchor="latin-record-0107">
        <w:r>
          <w:rPr>
            <w:color w:val="000000"/>
          </w:rPr>
          <w:t xml:space="preserve">apis / ovis / sollertia</w:t>
        </w:r>
      </w:hyperlink>
      <w:r>
        <w:rPr>
          <w:b w:val="0"/>
          <w:i w:val="0"/>
        </w:rPr>
        <w:t>.</w:t>
      </w:r>
    </w:p>
    <w:p>
      <w:pPr>
        <w:widowControl/>
      </w:pPr>
      <w:r>
        <w:rPr>
          <w:b/>
          <w:i w:val="0"/>
        </w:rPr>
        <w:t>ovem.</w:t>
      </w:r>
      <w:r>
        <w:rPr>
          <w:b w:val="0"/>
          <w:i w:val="0"/>
        </w:rPr>
        <w:t xml:space="preserve"> </w:t>
      </w:r>
      <w:hyperlink w:anchor="latin-record-0888">
        <w:r>
          <w:rPr>
            <w:color w:val="000000"/>
          </w:rPr>
          <w:t xml:space="preserve">ovis / ignis</w:t>
        </w:r>
      </w:hyperlink>
      <w:r>
        <w:rPr>
          <w:b w:val="0"/>
          <w:i w:val="0"/>
        </w:rPr>
        <w:t>.</w:t>
      </w:r>
    </w:p>
    <w:p>
      <w:pPr>
        <w:widowControl/>
      </w:pPr>
      <w:r>
        <w:rPr>
          <w:b/>
          <w:i w:val="0"/>
        </w:rPr>
        <w:t>pace.</w:t>
      </w:r>
      <w:r>
        <w:rPr>
          <w:b w:val="0"/>
          <w:i w:val="0"/>
        </w:rPr>
        <w:t xml:space="preserve"> </w:t>
      </w:r>
      <w:hyperlink w:anchor="latin-record-0273">
        <w:r>
          <w:rPr>
            <w:color w:val="000000"/>
          </w:rPr>
          <w:t xml:space="preserve">conciliare / pax</w:t>
        </w:r>
      </w:hyperlink>
      <w:r>
        <w:rPr>
          <w:b w:val="0"/>
          <w:i w:val="0"/>
        </w:rPr>
        <w:t>.</w:t>
      </w:r>
    </w:p>
    <w:p>
      <w:pPr>
        <w:widowControl/>
      </w:pPr>
      <w:r>
        <w:rPr>
          <w:b/>
          <w:i w:val="0"/>
        </w:rPr>
        <w:t>pacto.</w:t>
      </w:r>
      <w:r>
        <w:rPr>
          <w:b w:val="0"/>
          <w:i w:val="0"/>
        </w:rPr>
        <w:t xml:space="preserve"> </w:t>
      </w:r>
      <w:hyperlink w:anchor="latin-record-0790">
        <w:r>
          <w:rPr>
            <w:color w:val="000000"/>
          </w:rPr>
          <w:t xml:space="preserve">modus / pactum</w:t>
        </w:r>
      </w:hyperlink>
      <w:r>
        <w:rPr>
          <w:b w:val="0"/>
          <w:i w:val="0"/>
        </w:rPr>
        <w:t>.</w:t>
      </w:r>
    </w:p>
    <w:p>
      <w:pPr>
        <w:widowControl/>
      </w:pPr>
      <w:r>
        <w:rPr>
          <w:b/>
          <w:i w:val="0"/>
        </w:rPr>
        <w:t>pallidus orbis in nubibus.</w:t>
      </w:r>
      <w:r>
        <w:rPr>
          <w:b w:val="0"/>
          <w:i w:val="0"/>
        </w:rPr>
        <w:t xml:space="preserve"> </w:t>
      </w:r>
      <w:hyperlink w:anchor="latin-record-0874">
        <w:r>
          <w:rPr>
            <w:color w:val="000000"/>
          </w:rPr>
          <w:t xml:space="preserve">orbis pallidus</w:t>
        </w:r>
      </w:hyperlink>
      <w:r>
        <w:rPr>
          <w:b w:val="0"/>
          <w:i w:val="0"/>
        </w:rPr>
        <w:t>.</w:t>
      </w:r>
    </w:p>
    <w:p>
      <w:pPr>
        <w:widowControl/>
      </w:pPr>
      <w:r>
        <w:rPr>
          <w:b/>
          <w:i w:val="0"/>
        </w:rPr>
        <w:t>panis.</w:t>
      </w:r>
      <w:r>
        <w:rPr>
          <w:b w:val="0"/>
          <w:i w:val="0"/>
        </w:rPr>
        <w:t xml:space="preserve"> </w:t>
      </w:r>
      <w:hyperlink w:anchor="latin-record-0889">
        <w:r>
          <w:rPr>
            <w:color w:val="000000"/>
          </w:rPr>
          <w:t xml:space="preserve">panis / caro</w:t>
        </w:r>
      </w:hyperlink>
      <w:r>
        <w:rPr>
          <w:b w:val="0"/>
          <w:i w:val="0"/>
        </w:rPr>
        <w:t>.</w:t>
      </w:r>
    </w:p>
    <w:p>
      <w:pPr>
        <w:widowControl/>
      </w:pPr>
      <w:r>
        <w:rPr>
          <w:b/>
          <w:i w:val="0"/>
        </w:rPr>
        <w:t>pariete.</w:t>
      </w:r>
      <w:r>
        <w:rPr>
          <w:b w:val="0"/>
          <w:i w:val="0"/>
        </w:rPr>
        <w:t xml:space="preserve"> </w:t>
      </w:r>
      <w:hyperlink w:anchor="latin-record-0007">
        <w:r>
          <w:rPr>
            <w:color w:val="000000"/>
          </w:rPr>
          <w:t xml:space="preserve">absque materia / paries</w:t>
        </w:r>
      </w:hyperlink>
      <w:r>
        <w:rPr>
          <w:b w:val="0"/>
          <w:i w:val="0"/>
        </w:rPr>
        <w:t xml:space="preserve">; </w:t>
      </w:r>
      <w:hyperlink w:anchor="latin-record-0950">
        <w:r>
          <w:rPr>
            <w:color w:val="000000"/>
          </w:rPr>
          <w:t xml:space="preserve">pingere in se / aere / pariete</w:t>
        </w:r>
      </w:hyperlink>
      <w:r>
        <w:rPr>
          <w:b w:val="0"/>
          <w:i w:val="0"/>
        </w:rPr>
        <w:t>.</w:t>
      </w:r>
    </w:p>
    <w:p>
      <w:pPr>
        <w:widowControl/>
      </w:pPr>
      <w:r>
        <w:rPr>
          <w:b/>
          <w:i w:val="0"/>
        </w:rPr>
        <w:t>parietibus.</w:t>
      </w:r>
      <w:r>
        <w:rPr>
          <w:b w:val="0"/>
          <w:i w:val="0"/>
        </w:rPr>
        <w:t xml:space="preserve"> </w:t>
      </w:r>
      <w:hyperlink w:anchor="latin-record-0293">
        <w:r>
          <w:rPr>
            <w:color w:val="000000"/>
          </w:rPr>
          <w:t xml:space="preserve">congregatum; domus; paries</w:t>
        </w:r>
      </w:hyperlink>
      <w:r>
        <w:rPr>
          <w:b w:val="0"/>
          <w:i w:val="0"/>
        </w:rPr>
        <w:t>.</w:t>
      </w:r>
    </w:p>
    <w:p>
      <w:pPr>
        <w:widowControl/>
      </w:pPr>
      <w:r>
        <w:rPr>
          <w:b/>
          <w:i w:val="0"/>
        </w:rPr>
        <w:t>parietis.</w:t>
      </w:r>
      <w:r>
        <w:rPr>
          <w:b w:val="0"/>
          <w:i w:val="0"/>
        </w:rPr>
        <w:t xml:space="preserve"> </w:t>
      </w:r>
      <w:hyperlink w:anchor="latin-record-0007">
        <w:r>
          <w:rPr>
            <w:color w:val="000000"/>
          </w:rPr>
          <w:t xml:space="preserve">absque materia / paries</w:t>
        </w:r>
      </w:hyperlink>
      <w:r>
        <w:rPr>
          <w:b w:val="0"/>
          <w:i w:val="0"/>
        </w:rPr>
        <w:t>.</w:t>
      </w:r>
    </w:p>
    <w:p>
      <w:pPr>
        <w:widowControl/>
      </w:pPr>
      <w:r>
        <w:rPr>
          <w:b/>
          <w:i w:val="0"/>
        </w:rPr>
        <w:t>parit.</w:t>
      </w:r>
      <w:r>
        <w:rPr>
          <w:b w:val="0"/>
          <w:i w:val="0"/>
        </w:rPr>
        <w:t xml:space="preserve"> </w:t>
      </w:r>
      <w:hyperlink w:anchor="latin-record-0499">
        <w:r>
          <w:rPr>
            <w:color w:val="000000"/>
          </w:rPr>
          <w:t xml:space="preserve">fons / receptaculum naturale</w:t>
        </w:r>
      </w:hyperlink>
      <w:r>
        <w:rPr>
          <w:b w:val="0"/>
          <w:i w:val="0"/>
        </w:rPr>
        <w:t xml:space="preserve">; </w:t>
      </w:r>
      <w:hyperlink w:anchor="latin-record-1009">
        <w:r>
          <w:rPr>
            <w:color w:val="000000"/>
          </w:rPr>
          <w:t xml:space="preserve">proles / parturire</w:t>
        </w:r>
      </w:hyperlink>
      <w:r>
        <w:rPr>
          <w:b w:val="0"/>
          <w:i w:val="0"/>
        </w:rPr>
        <w:t>.</w:t>
      </w:r>
    </w:p>
    <w:p>
      <w:pPr>
        <w:widowControl/>
      </w:pPr>
      <w:r>
        <w:rPr>
          <w:b/>
          <w:i w:val="0"/>
        </w:rPr>
        <w:t>pars.</w:t>
      </w:r>
      <w:r>
        <w:rPr>
          <w:b w:val="0"/>
          <w:i w:val="0"/>
        </w:rPr>
        <w:t xml:space="preserve"> </w:t>
      </w:r>
      <w:hyperlink w:anchor="latin-record-0039">
        <w:r>
          <w:rPr>
            <w:color w:val="000000"/>
          </w:rPr>
          <w:t xml:space="preserve">aequalis pars / totum</w:t>
        </w:r>
      </w:hyperlink>
      <w:r>
        <w:rPr>
          <w:b w:val="0"/>
          <w:i w:val="0"/>
        </w:rPr>
        <w:t xml:space="preserve">; </w:t>
      </w:r>
      <w:hyperlink w:anchor="latin-record-0891">
        <w:r>
          <w:rPr>
            <w:color w:val="000000"/>
          </w:rPr>
          <w:t xml:space="preserve">pars / particula</w:t>
        </w:r>
      </w:hyperlink>
      <w:r>
        <w:rPr>
          <w:b w:val="0"/>
          <w:i w:val="0"/>
        </w:rPr>
        <w:t xml:space="preserve">; </w:t>
      </w:r>
      <w:hyperlink w:anchor="latin-record-0892">
        <w:r>
          <w:rPr>
            <w:color w:val="000000"/>
          </w:rPr>
          <w:t xml:space="preserve">pars / totum</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Pars.</w:t>
      </w:r>
      <w:r>
        <w:rPr>
          <w:b w:val="0"/>
          <w:i w:val="0"/>
        </w:rPr>
        <w:t xml:space="preserve"> </w:t>
      </w:r>
      <w:hyperlink w:anchor="latin-record-0892">
        <w:r>
          <w:rPr>
            <w:color w:val="000000"/>
          </w:rPr>
          <w:t xml:space="preserve">pars / totum</w:t>
        </w:r>
      </w:hyperlink>
      <w:r>
        <w:rPr>
          <w:b w:val="0"/>
          <w:i w:val="0"/>
        </w:rPr>
        <w:t>.</w:t>
      </w:r>
    </w:p>
    <w:p>
      <w:pPr>
        <w:widowControl/>
      </w:pPr>
      <w:r>
        <w:rPr>
          <w:b/>
          <w:i w:val="0"/>
        </w:rPr>
        <w:t>pars quaelibet eius agitat semetipsam.</w:t>
      </w:r>
      <w:r>
        <w:rPr>
          <w:b w:val="0"/>
          <w:i w:val="0"/>
        </w:rPr>
        <w:t xml:space="preserve"> </w:t>
      </w:r>
      <w:hyperlink w:anchor="latin-record-0895">
        <w:r>
          <w:rPr>
            <w:color w:val="000000"/>
          </w:rPr>
          <w:t xml:space="preserve">pars quaelibet semetipsam agitans</w:t>
        </w:r>
      </w:hyperlink>
      <w:r>
        <w:rPr>
          <w:b w:val="0"/>
          <w:i w:val="0"/>
        </w:rPr>
        <w:t>.</w:t>
      </w:r>
    </w:p>
    <w:p>
      <w:pPr>
        <w:widowControl/>
      </w:pPr>
      <w:r>
        <w:rPr>
          <w:b/>
          <w:i w:val="0"/>
        </w:rPr>
        <w:t>parte.</w:t>
      </w:r>
      <w:r>
        <w:rPr>
          <w:b w:val="0"/>
          <w:i w:val="0"/>
        </w:rPr>
        <w:t xml:space="preserve"> </w:t>
      </w:r>
      <w:hyperlink w:anchor="latin-record-0891">
        <w:r>
          <w:rPr>
            <w:color w:val="000000"/>
          </w:rPr>
          <w:t xml:space="preserve">pars / particula</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partem.</w:t>
      </w:r>
      <w:r>
        <w:rPr>
          <w:b w:val="0"/>
          <w:i w:val="0"/>
        </w:rPr>
        <w:t xml:space="preserve"> </w:t>
      </w:r>
      <w:hyperlink w:anchor="latin-record-0890">
        <w:r>
          <w:rPr>
            <w:color w:val="000000"/>
          </w:rPr>
          <w:t xml:space="preserve">pars</w:t>
        </w:r>
      </w:hyperlink>
      <w:r>
        <w:rPr>
          <w:b w:val="0"/>
          <w:i w:val="0"/>
        </w:rPr>
        <w:t xml:space="preserve">; </w:t>
      </w:r>
      <w:hyperlink w:anchor="latin-record-0891">
        <w:r>
          <w:rPr>
            <w:color w:val="000000"/>
          </w:rPr>
          <w:t xml:space="preserve">pars / particula</w:t>
        </w:r>
      </w:hyperlink>
      <w:r>
        <w:rPr>
          <w:b w:val="0"/>
          <w:i w:val="0"/>
        </w:rPr>
        <w:t xml:space="preserve">; </w:t>
      </w:r>
      <w:hyperlink w:anchor="latin-record-0892">
        <w:r>
          <w:rPr>
            <w:color w:val="000000"/>
          </w:rPr>
          <w:t xml:space="preserve">pars / totum</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partem corporis alteram.</w:t>
      </w:r>
      <w:r>
        <w:rPr>
          <w:b w:val="0"/>
          <w:i w:val="0"/>
        </w:rPr>
        <w:t xml:space="preserve"> </w:t>
      </w:r>
      <w:hyperlink w:anchor="latin-record-0894">
        <w:r>
          <w:rPr>
            <w:color w:val="000000"/>
          </w:rPr>
          <w:t xml:space="preserve">pars et totum</w:t>
        </w:r>
      </w:hyperlink>
      <w:r>
        <w:rPr>
          <w:b w:val="0"/>
          <w:i w:val="0"/>
        </w:rPr>
        <w:t>.</w:t>
      </w:r>
    </w:p>
    <w:p>
      <w:pPr>
        <w:widowControl/>
      </w:pPr>
      <w:r>
        <w:rPr>
          <w:b/>
          <w:i w:val="0"/>
        </w:rPr>
        <w:t>partes.</w:t>
      </w:r>
      <w:r>
        <w:rPr>
          <w:b w:val="0"/>
          <w:i w:val="0"/>
        </w:rPr>
        <w:t xml:space="preserve"> </w:t>
      </w:r>
      <w:hyperlink w:anchor="latin-record-0890">
        <w:r>
          <w:rPr>
            <w:color w:val="000000"/>
          </w:rPr>
          <w:t xml:space="preserve">pars</w:t>
        </w:r>
      </w:hyperlink>
      <w:r>
        <w:rPr>
          <w:b w:val="0"/>
          <w:i w:val="0"/>
        </w:rPr>
        <w:t xml:space="preserve">; </w:t>
      </w:r>
      <w:hyperlink w:anchor="latin-record-0891">
        <w:r>
          <w:rPr>
            <w:color w:val="000000"/>
          </w:rPr>
          <w:t xml:space="preserve">pars / particula</w:t>
        </w:r>
      </w:hyperlink>
      <w:r>
        <w:rPr>
          <w:b w:val="0"/>
          <w:i w:val="0"/>
        </w:rPr>
        <w:t xml:space="preserve">; </w:t>
      </w:r>
      <w:hyperlink w:anchor="latin-record-0892">
        <w:r>
          <w:rPr>
            <w:color w:val="000000"/>
          </w:rPr>
          <w:t xml:space="preserve">pars / totum</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Partes.</w:t>
      </w:r>
      <w:r>
        <w:rPr>
          <w:b w:val="0"/>
          <w:i w:val="0"/>
        </w:rPr>
        <w:t xml:space="preserve"> </w:t>
      </w:r>
      <w:hyperlink w:anchor="latin-record-0891">
        <w:r>
          <w:rPr>
            <w:color w:val="000000"/>
          </w:rPr>
          <w:t xml:space="preserve">pars / particula</w:t>
        </w:r>
      </w:hyperlink>
      <w:r>
        <w:rPr>
          <w:b w:val="0"/>
          <w:i w:val="0"/>
        </w:rPr>
        <w:t>.</w:t>
      </w:r>
    </w:p>
    <w:p>
      <w:pPr>
        <w:widowControl/>
      </w:pPr>
      <w:r>
        <w:rPr>
          <w:b/>
          <w:i w:val="0"/>
        </w:rPr>
        <w:t>partes eius vivant.</w:t>
      </w:r>
      <w:r>
        <w:rPr>
          <w:b w:val="0"/>
          <w:i w:val="0"/>
        </w:rPr>
        <w:t xml:space="preserve"> </w:t>
      </w:r>
      <w:hyperlink w:anchor="latin-record-0901">
        <w:r>
          <w:rPr>
            <w:color w:val="000000"/>
          </w:rPr>
          <w:t xml:space="preserve">particula vivere</w:t>
        </w:r>
      </w:hyperlink>
      <w:r>
        <w:rPr>
          <w:b w:val="0"/>
          <w:i w:val="0"/>
        </w:rPr>
        <w:t>.</w:t>
      </w:r>
    </w:p>
    <w:p>
      <w:pPr>
        <w:widowControl/>
      </w:pPr>
      <w:r>
        <w:rPr>
          <w:b/>
          <w:i w:val="0"/>
        </w:rPr>
        <w:t>parti.</w:t>
      </w:r>
      <w:r>
        <w:rPr>
          <w:b w:val="0"/>
          <w:i w:val="0"/>
        </w:rPr>
        <w:t xml:space="preserve"> </w:t>
      </w:r>
      <w:hyperlink w:anchor="latin-record-0896">
        <w:r>
          <w:rPr>
            <w:color w:val="000000"/>
          </w:rPr>
          <w:t xml:space="preserve">pars; membrum</w:t>
        </w:r>
      </w:hyperlink>
      <w:r>
        <w:rPr>
          <w:b w:val="0"/>
          <w:i w:val="0"/>
        </w:rPr>
        <w:t>.</w:t>
      </w:r>
    </w:p>
    <w:p>
      <w:pPr>
        <w:widowControl/>
      </w:pPr>
      <w:r>
        <w:rPr>
          <w:b/>
          <w:i w:val="0"/>
        </w:rPr>
        <w:t>partiamur.</w:t>
      </w:r>
      <w:r>
        <w:rPr>
          <w:b w:val="0"/>
          <w:i w:val="0"/>
        </w:rPr>
        <w:t xml:space="preserve"> </w:t>
      </w:r>
      <w:hyperlink w:anchor="latin-record-0403">
        <w:r>
          <w:rPr>
            <w:color w:val="000000"/>
          </w:rPr>
          <w:t xml:space="preserve">dividere / secare / partiri</w:t>
        </w:r>
      </w:hyperlink>
      <w:r>
        <w:rPr>
          <w:b w:val="0"/>
          <w:i w:val="0"/>
        </w:rPr>
        <w:t>.</w:t>
      </w:r>
    </w:p>
    <w:p>
      <w:pPr>
        <w:widowControl/>
      </w:pPr>
      <w:r>
        <w:rPr>
          <w:b/>
          <w:i w:val="0"/>
        </w:rPr>
        <w:t>partibilem.</w:t>
      </w:r>
      <w:r>
        <w:rPr>
          <w:b w:val="0"/>
          <w:i w:val="0"/>
        </w:rPr>
        <w:t xml:space="preserve"> </w:t>
      </w:r>
      <w:hyperlink w:anchor="latin-record-0626">
        <w:r>
          <w:rPr>
            <w:color w:val="000000"/>
          </w:rPr>
          <w:t xml:space="preserve">indivisibilis / individuus / partibilis</w:t>
        </w:r>
      </w:hyperlink>
      <w:r>
        <w:rPr>
          <w:b w:val="0"/>
          <w:i w:val="0"/>
        </w:rPr>
        <w:t>.</w:t>
      </w:r>
    </w:p>
    <w:p>
      <w:pPr>
        <w:widowControl/>
      </w:pPr>
      <w:r>
        <w:rPr>
          <w:b/>
          <w:i w:val="0"/>
        </w:rPr>
        <w:t>partibus.</w:t>
      </w:r>
      <w:r>
        <w:rPr>
          <w:b w:val="0"/>
          <w:i w:val="0"/>
        </w:rPr>
        <w:t xml:space="preserve"> </w:t>
      </w:r>
      <w:hyperlink w:anchor="latin-record-0890">
        <w:r>
          <w:rPr>
            <w:color w:val="000000"/>
          </w:rPr>
          <w:t xml:space="preserve">pars</w:t>
        </w:r>
      </w:hyperlink>
      <w:r>
        <w:rPr>
          <w:b w:val="0"/>
          <w:i w:val="0"/>
        </w:rPr>
        <w:t xml:space="preserve">; </w:t>
      </w:r>
      <w:hyperlink w:anchor="latin-record-0891">
        <w:r>
          <w:rPr>
            <w:color w:val="000000"/>
          </w:rPr>
          <w:t xml:space="preserve">pars / particula</w:t>
        </w:r>
      </w:hyperlink>
      <w:r>
        <w:rPr>
          <w:b w:val="0"/>
          <w:i w:val="0"/>
        </w:rPr>
        <w:t xml:space="preserve">; </w:t>
      </w:r>
      <w:hyperlink w:anchor="latin-record-0892">
        <w:r>
          <w:rPr>
            <w:color w:val="000000"/>
          </w:rPr>
          <w:t xml:space="preserve">pars / totum</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particeps.</w:t>
      </w:r>
      <w:r>
        <w:rPr>
          <w:b w:val="0"/>
          <w:i w:val="0"/>
        </w:rPr>
        <w:t xml:space="preserve"> </w:t>
      </w:r>
      <w:hyperlink w:anchor="latin-record-0899">
        <w:r>
          <w:rPr>
            <w:color w:val="000000"/>
          </w:rPr>
          <w:t xml:space="preserve">participatio / particeps</w:t>
        </w:r>
      </w:hyperlink>
      <w:r>
        <w:rPr>
          <w:b w:val="0"/>
          <w:i w:val="0"/>
        </w:rPr>
        <w:t>.</w:t>
      </w:r>
    </w:p>
    <w:p>
      <w:pPr>
        <w:widowControl/>
      </w:pPr>
      <w:r>
        <w:rPr>
          <w:b/>
          <w:i w:val="0"/>
        </w:rPr>
        <w:t>participatione.</w:t>
      </w:r>
      <w:r>
        <w:rPr>
          <w:b w:val="0"/>
          <w:i w:val="0"/>
        </w:rPr>
        <w:t xml:space="preserve"> </w:t>
      </w:r>
      <w:hyperlink w:anchor="latin-record-0898">
        <w:r>
          <w:rPr>
            <w:color w:val="000000"/>
          </w:rPr>
          <w:t xml:space="preserve">participatio</w:t>
        </w:r>
      </w:hyperlink>
      <w:r>
        <w:rPr>
          <w:b w:val="0"/>
          <w:i w:val="0"/>
        </w:rPr>
        <w:t xml:space="preserve">; </w:t>
      </w:r>
      <w:hyperlink w:anchor="latin-record-0899">
        <w:r>
          <w:rPr>
            <w:color w:val="000000"/>
          </w:rPr>
          <w:t xml:space="preserve">participatio / particeps</w:t>
        </w:r>
      </w:hyperlink>
      <w:r>
        <w:rPr>
          <w:b w:val="0"/>
          <w:i w:val="0"/>
        </w:rPr>
        <w:t>.</w:t>
      </w:r>
    </w:p>
    <w:p>
      <w:pPr>
        <w:widowControl/>
      </w:pPr>
      <w:r>
        <w:rPr>
          <w:b/>
          <w:i w:val="0"/>
        </w:rPr>
        <w:t>participatione atque praesentia.</w:t>
      </w:r>
      <w:r>
        <w:rPr>
          <w:b w:val="0"/>
          <w:i w:val="0"/>
        </w:rPr>
        <w:t xml:space="preserve"> </w:t>
      </w:r>
      <w:hyperlink w:anchor="latin-record-0900">
        <w:r>
          <w:rPr>
            <w:color w:val="000000"/>
          </w:rPr>
          <w:t xml:space="preserve">participatio; praesentia</w:t>
        </w:r>
      </w:hyperlink>
      <w:r>
        <w:rPr>
          <w:b w:val="0"/>
          <w:i w:val="0"/>
        </w:rPr>
        <w:t>.</w:t>
      </w:r>
    </w:p>
    <w:p>
      <w:pPr>
        <w:widowControl/>
      </w:pPr>
      <w:r>
        <w:rPr>
          <w:b/>
          <w:i w:val="0"/>
        </w:rPr>
        <w:t>participationem.</w:t>
      </w:r>
      <w:r>
        <w:rPr>
          <w:b w:val="0"/>
          <w:i w:val="0"/>
        </w:rPr>
        <w:t xml:space="preserve"> </w:t>
      </w:r>
      <w:hyperlink w:anchor="latin-record-0899">
        <w:r>
          <w:rPr>
            <w:color w:val="000000"/>
          </w:rPr>
          <w:t xml:space="preserve">participatio / particeps</w:t>
        </w:r>
      </w:hyperlink>
      <w:r>
        <w:rPr>
          <w:b w:val="0"/>
          <w:i w:val="0"/>
        </w:rPr>
        <w:t>.</w:t>
      </w:r>
    </w:p>
    <w:p>
      <w:pPr>
        <w:widowControl/>
      </w:pPr>
      <w:r>
        <w:rPr>
          <w:b/>
          <w:i w:val="0"/>
        </w:rPr>
        <w:t>participes.</w:t>
      </w:r>
      <w:r>
        <w:rPr>
          <w:b w:val="0"/>
          <w:i w:val="0"/>
        </w:rPr>
        <w:t xml:space="preserve"> </w:t>
      </w:r>
      <w:hyperlink w:anchor="latin-record-0898">
        <w:r>
          <w:rPr>
            <w:color w:val="000000"/>
          </w:rPr>
          <w:t xml:space="preserve">participatio</w:t>
        </w:r>
      </w:hyperlink>
      <w:r>
        <w:rPr>
          <w:b w:val="0"/>
          <w:i w:val="0"/>
        </w:rPr>
        <w:t>.</w:t>
      </w:r>
    </w:p>
    <w:p>
      <w:pPr>
        <w:widowControl/>
      </w:pPr>
      <w:r>
        <w:rPr>
          <w:b/>
          <w:i w:val="0"/>
        </w:rPr>
        <w:t>particula.</w:t>
      </w:r>
      <w:r>
        <w:rPr>
          <w:b w:val="0"/>
          <w:i w:val="0"/>
        </w:rPr>
        <w:t xml:space="preserve"> </w:t>
      </w:r>
      <w:hyperlink w:anchor="latin-record-0773">
        <w:r>
          <w:rPr>
            <w:color w:val="000000"/>
          </w:rPr>
          <w:t xml:space="preserve">membrum / particula</w:t>
        </w:r>
      </w:hyperlink>
      <w:r>
        <w:rPr>
          <w:b w:val="0"/>
          <w:i w:val="0"/>
        </w:rPr>
        <w:t xml:space="preserve">; </w:t>
      </w:r>
      <w:hyperlink w:anchor="latin-record-0892">
        <w:r>
          <w:rPr>
            <w:color w:val="000000"/>
          </w:rPr>
          <w:t xml:space="preserve">pars / totum</w:t>
        </w:r>
      </w:hyperlink>
      <w:r>
        <w:rPr>
          <w:b w:val="0"/>
          <w:i w:val="0"/>
        </w:rPr>
        <w:t>.</w:t>
      </w:r>
    </w:p>
    <w:p>
      <w:pPr>
        <w:widowControl/>
      </w:pPr>
      <w:r>
        <w:rPr>
          <w:b/>
          <w:i w:val="0"/>
        </w:rPr>
        <w:t>particulae.</w:t>
      </w:r>
      <w:r>
        <w:rPr>
          <w:b w:val="0"/>
          <w:i w:val="0"/>
        </w:rPr>
        <w:t xml:space="preserve"> </w:t>
      </w:r>
      <w:hyperlink w:anchor="latin-record-0773">
        <w:r>
          <w:rPr>
            <w:color w:val="000000"/>
          </w:rPr>
          <w:t xml:space="preserve">membrum / particula</w:t>
        </w:r>
      </w:hyperlink>
      <w:r>
        <w:rPr>
          <w:b w:val="0"/>
          <w:i w:val="0"/>
        </w:rPr>
        <w:t>.</w:t>
      </w:r>
    </w:p>
    <w:p>
      <w:pPr>
        <w:widowControl/>
      </w:pPr>
      <w:r>
        <w:rPr>
          <w:b/>
          <w:i w:val="0"/>
        </w:rPr>
        <w:t>particulare.</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particularem.</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particulares.</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particularia.</w:t>
      </w:r>
      <w:r>
        <w:rPr>
          <w:b w:val="0"/>
          <w:i w:val="0"/>
        </w:rPr>
        <w:t xml:space="preserve"> </w:t>
      </w:r>
      <w:hyperlink w:anchor="latin-record-1322">
        <w:r>
          <w:rPr>
            <w:color w:val="000000"/>
          </w:rPr>
          <w:t xml:space="preserve">universale; particulare</w:t>
        </w:r>
      </w:hyperlink>
      <w:r>
        <w:rPr>
          <w:b w:val="0"/>
          <w:i w:val="0"/>
        </w:rPr>
        <w:t>.</w:t>
      </w:r>
    </w:p>
    <w:p>
      <w:pPr>
        <w:widowControl/>
      </w:pPr>
      <w:r>
        <w:rPr>
          <w:b/>
          <w:i w:val="0"/>
        </w:rPr>
        <w:t>particulas.</w:t>
      </w:r>
      <w:r>
        <w:rPr>
          <w:b w:val="0"/>
          <w:i w:val="0"/>
        </w:rPr>
        <w:t xml:space="preserve"> </w:t>
      </w:r>
      <w:hyperlink w:anchor="latin-record-0773">
        <w:r>
          <w:rPr>
            <w:color w:val="000000"/>
          </w:rPr>
          <w:t xml:space="preserve">membrum / particula</w:t>
        </w:r>
      </w:hyperlink>
      <w:r>
        <w:rPr>
          <w:b w:val="0"/>
          <w:i w:val="0"/>
        </w:rPr>
        <w:t xml:space="preserve">; </w:t>
      </w:r>
      <w:hyperlink w:anchor="latin-record-0891">
        <w:r>
          <w:rPr>
            <w:color w:val="000000"/>
          </w:rPr>
          <w:t xml:space="preserve">pars / particula</w:t>
        </w:r>
      </w:hyperlink>
      <w:r>
        <w:rPr>
          <w:b w:val="0"/>
          <w:i w:val="0"/>
        </w:rPr>
        <w:t xml:space="preserve">; </w:t>
      </w:r>
      <w:hyperlink w:anchor="latin-record-0892">
        <w:r>
          <w:rPr>
            <w:color w:val="000000"/>
          </w:rPr>
          <w:t xml:space="preserve">pars / totum</w:t>
        </w:r>
      </w:hyperlink>
      <w:r>
        <w:rPr>
          <w:b w:val="0"/>
          <w:i w:val="0"/>
        </w:rPr>
        <w:t>.</w:t>
      </w:r>
    </w:p>
    <w:p>
      <w:pPr>
        <w:widowControl/>
      </w:pPr>
      <w:r>
        <w:rPr>
          <w:b/>
          <w:i w:val="0"/>
        </w:rPr>
        <w:t>partiemur.</w:t>
      </w:r>
      <w:r>
        <w:rPr>
          <w:b w:val="0"/>
          <w:i w:val="0"/>
        </w:rPr>
        <w:t xml:space="preserve"> </w:t>
      </w:r>
      <w:hyperlink w:anchor="latin-record-0902">
        <w:r>
          <w:rPr>
            <w:color w:val="000000"/>
          </w:rPr>
          <w:t xml:space="preserve">partiri; secare</w:t>
        </w:r>
      </w:hyperlink>
      <w:r>
        <w:rPr>
          <w:b w:val="0"/>
          <w:i w:val="0"/>
        </w:rPr>
        <w:t>.</w:t>
      </w:r>
    </w:p>
    <w:p>
      <w:pPr>
        <w:widowControl/>
      </w:pPr>
      <w:r>
        <w:rPr>
          <w:b/>
          <w:i w:val="0"/>
        </w:rPr>
        <w:t>partim.</w:t>
      </w:r>
      <w:r>
        <w:rPr>
          <w:b w:val="0"/>
          <w:i w:val="0"/>
        </w:rPr>
        <w:t xml:space="preserve"> </w:t>
      </w:r>
      <w:hyperlink w:anchor="latin-record-0974">
        <w:r>
          <w:rPr>
            <w:color w:val="000000"/>
          </w:rPr>
          <w:t xml:space="preserve">potissimum; partim</w:t>
        </w:r>
      </w:hyperlink>
      <w:r>
        <w:rPr>
          <w:b w:val="0"/>
          <w:i w:val="0"/>
        </w:rPr>
        <w:t>.</w:t>
      </w:r>
    </w:p>
    <w:p>
      <w:pPr>
        <w:widowControl/>
      </w:pPr>
      <w:r>
        <w:rPr>
          <w:b/>
          <w:i w:val="0"/>
        </w:rPr>
        <w:t>partimur.</w:t>
      </w:r>
      <w:r>
        <w:rPr>
          <w:b w:val="0"/>
          <w:i w:val="0"/>
        </w:rPr>
        <w:t xml:space="preserve"> </w:t>
      </w:r>
      <w:hyperlink w:anchor="latin-record-0893">
        <w:r>
          <w:rPr>
            <w:color w:val="000000"/>
          </w:rPr>
          <w:t xml:space="preserve">pars / totum (further forms)</w:t>
        </w:r>
      </w:hyperlink>
      <w:r>
        <w:rPr>
          <w:b w:val="0"/>
          <w:i w:val="0"/>
        </w:rPr>
        <w:t>.</w:t>
      </w:r>
    </w:p>
    <w:p>
      <w:pPr>
        <w:widowControl/>
      </w:pPr>
      <w:r>
        <w:rPr>
          <w:b/>
          <w:i w:val="0"/>
        </w:rPr>
        <w:t>partiri.</w:t>
      </w:r>
      <w:r>
        <w:rPr>
          <w:b w:val="0"/>
          <w:i w:val="0"/>
        </w:rPr>
        <w:t xml:space="preserve"> </w:t>
      </w:r>
      <w:hyperlink w:anchor="latin-record-0402">
        <w:r>
          <w:rPr>
            <w:color w:val="000000"/>
          </w:rPr>
          <w:t xml:space="preserve">distribuere / partiri / secare</w:t>
        </w:r>
      </w:hyperlink>
      <w:r>
        <w:rPr>
          <w:b w:val="0"/>
          <w:i w:val="0"/>
        </w:rPr>
        <w:t xml:space="preserve">; </w:t>
      </w:r>
      <w:hyperlink w:anchor="latin-record-0403">
        <w:r>
          <w:rPr>
            <w:color w:val="000000"/>
          </w:rPr>
          <w:t xml:space="preserve">dividere / secare / partiri</w:t>
        </w:r>
      </w:hyperlink>
      <w:r>
        <w:rPr>
          <w:b w:val="0"/>
          <w:i w:val="0"/>
        </w:rPr>
        <w:t>.</w:t>
      </w:r>
    </w:p>
    <w:p>
      <w:pPr>
        <w:widowControl/>
      </w:pPr>
      <w:r>
        <w:rPr>
          <w:b/>
          <w:i w:val="0"/>
        </w:rPr>
        <w:t>partis.</w:t>
      </w:r>
      <w:r>
        <w:rPr>
          <w:b w:val="0"/>
          <w:i w:val="0"/>
        </w:rPr>
        <w:t xml:space="preserve"> </w:t>
      </w:r>
      <w:hyperlink w:anchor="latin-record-0893">
        <w:r>
          <w:rPr>
            <w:color w:val="000000"/>
          </w:rPr>
          <w:t xml:space="preserve">pars / totum (further forms)</w:t>
        </w:r>
      </w:hyperlink>
      <w:r>
        <w:rPr>
          <w:b w:val="0"/>
          <w:i w:val="0"/>
        </w:rPr>
        <w:t>.</w:t>
      </w:r>
    </w:p>
    <w:p>
      <w:pPr>
        <w:widowControl/>
      </w:pPr>
      <w:r>
        <w:rPr>
          <w:b/>
          <w:i w:val="0"/>
        </w:rPr>
        <w:t>partiturum.</w:t>
      </w:r>
      <w:r>
        <w:rPr>
          <w:b w:val="0"/>
          <w:i w:val="0"/>
        </w:rPr>
        <w:t xml:space="preserve"> </w:t>
      </w:r>
      <w:hyperlink w:anchor="latin-record-0402">
        <w:r>
          <w:rPr>
            <w:color w:val="000000"/>
          </w:rPr>
          <w:t xml:space="preserve">distribuere / partiri / secare</w:t>
        </w:r>
      </w:hyperlink>
      <w:r>
        <w:rPr>
          <w:b w:val="0"/>
          <w:i w:val="0"/>
        </w:rPr>
        <w:t>.</w:t>
      </w:r>
    </w:p>
    <w:p>
      <w:pPr>
        <w:widowControl/>
      </w:pPr>
      <w:r>
        <w:rPr>
          <w:b/>
          <w:i w:val="0"/>
        </w:rPr>
        <w:t>partium.</w:t>
      </w:r>
      <w:r>
        <w:rPr>
          <w:b w:val="0"/>
          <w:i w:val="0"/>
        </w:rPr>
        <w:t xml:space="preserve"> </w:t>
      </w:r>
      <w:hyperlink w:anchor="latin-record-0891">
        <w:r>
          <w:rPr>
            <w:color w:val="000000"/>
          </w:rPr>
          <w:t xml:space="preserve">pars / particula</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896">
        <w:r>
          <w:rPr>
            <w:color w:val="000000"/>
          </w:rPr>
          <w:t xml:space="preserve">pars; membrum</w:t>
        </w:r>
      </w:hyperlink>
      <w:r>
        <w:rPr>
          <w:b w:val="0"/>
          <w:i w:val="0"/>
        </w:rPr>
        <w:t>.</w:t>
      </w:r>
    </w:p>
    <w:p>
      <w:pPr>
        <w:widowControl/>
      </w:pPr>
      <w:r>
        <w:rPr>
          <w:b/>
          <w:i w:val="0"/>
        </w:rPr>
        <w:t>parturiet.</w:t>
      </w:r>
      <w:r>
        <w:rPr>
          <w:b w:val="0"/>
          <w:i w:val="0"/>
        </w:rPr>
        <w:t xml:space="preserve"> </w:t>
      </w:r>
      <w:hyperlink w:anchor="latin-record-1009">
        <w:r>
          <w:rPr>
            <w:color w:val="000000"/>
          </w:rPr>
          <w:t xml:space="preserve">proles / parturire</w:t>
        </w:r>
      </w:hyperlink>
      <w:r>
        <w:rPr>
          <w:b w:val="0"/>
          <w:i w:val="0"/>
        </w:rPr>
        <w:t>.</w:t>
      </w:r>
    </w:p>
    <w:p>
      <w:pPr>
        <w:widowControl/>
      </w:pPr>
      <w:r>
        <w:rPr>
          <w:b/>
          <w:i w:val="0"/>
        </w:rPr>
        <w:t>partus edant.</w:t>
      </w:r>
      <w:r>
        <w:rPr>
          <w:b w:val="0"/>
          <w:i w:val="0"/>
        </w:rPr>
        <w:t xml:space="preserve"> </w:t>
      </w:r>
      <w:hyperlink w:anchor="latin-record-1311">
        <w:r>
          <w:rPr>
            <w:color w:val="000000"/>
          </w:rPr>
          <w:t xml:space="preserve">turgere; concipere; edere</w:t>
        </w:r>
      </w:hyperlink>
      <w:r>
        <w:rPr>
          <w:b w:val="0"/>
          <w:i w:val="0"/>
        </w:rPr>
        <w:t>.</w:t>
      </w:r>
    </w:p>
    <w:p>
      <w:pPr>
        <w:widowControl/>
      </w:pPr>
      <w:r>
        <w:rPr>
          <w:b/>
          <w:i w:val="0"/>
        </w:rPr>
        <w:t>parvipendis.</w:t>
      </w:r>
      <w:r>
        <w:rPr>
          <w:b w:val="0"/>
          <w:i w:val="0"/>
        </w:rPr>
        <w:t xml:space="preserve"> </w:t>
      </w:r>
      <w:hyperlink w:anchor="latin-record-0903">
        <w:r>
          <w:rPr>
            <w:color w:val="000000"/>
          </w:rPr>
          <w:t xml:space="preserve">parvipendere; horrere</w:t>
        </w:r>
      </w:hyperlink>
      <w:r>
        <w:rPr>
          <w:b w:val="0"/>
          <w:i w:val="0"/>
        </w:rPr>
        <w:t>.</w:t>
      </w:r>
    </w:p>
    <w:p>
      <w:pPr>
        <w:widowControl/>
      </w:pPr>
      <w:r>
        <w:rPr>
          <w:b/>
          <w:i w:val="0"/>
        </w:rPr>
        <w:t>parvo.</w:t>
      </w:r>
      <w:r>
        <w:rPr>
          <w:b w:val="0"/>
          <w:i w:val="0"/>
        </w:rPr>
        <w:t xml:space="preserve"> </w:t>
      </w:r>
      <w:hyperlink w:anchor="latin-record-0951">
        <w:r>
          <w:rPr>
            <w:color w:val="000000"/>
          </w:rPr>
          <w:t xml:space="preserve">pinguis / tenuis / grandis / pusillus</w:t>
        </w:r>
      </w:hyperlink>
      <w:r>
        <w:rPr>
          <w:b w:val="0"/>
          <w:i w:val="0"/>
        </w:rPr>
        <w:t>.</w:t>
      </w:r>
    </w:p>
    <w:p>
      <w:pPr>
        <w:widowControl/>
      </w:pPr>
      <w:r>
        <w:rPr>
          <w:b/>
          <w:i w:val="0"/>
        </w:rPr>
        <w:t>pascitur.</w:t>
      </w:r>
      <w:r>
        <w:rPr>
          <w:b w:val="0"/>
          <w:i w:val="0"/>
        </w:rPr>
        <w:t xml:space="preserve"> </w:t>
      </w:r>
      <w:hyperlink w:anchor="latin-record-1344">
        <w:r>
          <w:rPr>
            <w:color w:val="000000"/>
          </w:rPr>
          <w:t xml:space="preserve">vesci / pasci</w:t>
        </w:r>
      </w:hyperlink>
      <w:r>
        <w:rPr>
          <w:b w:val="0"/>
          <w:i w:val="0"/>
        </w:rPr>
        <w:t>.</w:t>
      </w:r>
    </w:p>
    <w:p>
      <w:pPr>
        <w:widowControl/>
      </w:pPr>
      <w:r>
        <w:rPr>
          <w:b/>
          <w:i w:val="0"/>
        </w:rPr>
        <w:t>pascuntur.</w:t>
      </w:r>
      <w:r>
        <w:rPr>
          <w:b w:val="0"/>
          <w:i w:val="0"/>
        </w:rPr>
        <w:t xml:space="preserve"> </w:t>
      </w:r>
      <w:hyperlink w:anchor="latin-record-1344">
        <w:r>
          <w:rPr>
            <w:color w:val="000000"/>
          </w:rPr>
          <w:t xml:space="preserve">vesci / pasci</w:t>
        </w:r>
      </w:hyperlink>
      <w:r>
        <w:rPr>
          <w:b w:val="0"/>
          <w:i w:val="0"/>
        </w:rPr>
        <w:t>.</w:t>
      </w:r>
    </w:p>
    <w:p>
      <w:pPr>
        <w:widowControl/>
      </w:pPr>
      <w:r>
        <w:rPr>
          <w:b/>
          <w:i w:val="0"/>
        </w:rPr>
        <w:t>passio.</w:t>
      </w:r>
      <w:r>
        <w:rPr>
          <w:b w:val="0"/>
          <w:i w:val="0"/>
        </w:rPr>
        <w:t xml:space="preserve"> </w:t>
      </w:r>
      <w:hyperlink w:anchor="latin-record-0905">
        <w:r>
          <w:rPr>
            <w:color w:val="000000"/>
          </w:rPr>
          <w:t xml:space="preserve">passio / affectio</w:t>
        </w:r>
      </w:hyperlink>
      <w:r>
        <w:rPr>
          <w:b w:val="0"/>
          <w:i w:val="0"/>
        </w:rPr>
        <w:t>.</w:t>
      </w:r>
    </w:p>
    <w:p>
      <w:pPr>
        <w:widowControl/>
      </w:pPr>
      <w:r>
        <w:rPr>
          <w:b/>
          <w:i w:val="0"/>
        </w:rPr>
        <w:t>passionem.</w:t>
      </w:r>
      <w:r>
        <w:rPr>
          <w:b w:val="0"/>
          <w:i w:val="0"/>
        </w:rPr>
        <w:t xml:space="preserve"> </w:t>
      </w:r>
      <w:hyperlink w:anchor="latin-record-0022">
        <w:r>
          <w:rPr>
            <w:color w:val="000000"/>
          </w:rPr>
          <w:t xml:space="preserve">actio; passio</w:t>
        </w:r>
      </w:hyperlink>
      <w:r>
        <w:rPr>
          <w:b w:val="0"/>
          <w:i w:val="0"/>
        </w:rPr>
        <w:t xml:space="preserve">; </w:t>
      </w:r>
      <w:hyperlink w:anchor="latin-record-0904">
        <w:r>
          <w:rPr>
            <w:color w:val="000000"/>
          </w:rPr>
          <w:t xml:space="preserve">passio</w:t>
        </w:r>
      </w:hyperlink>
      <w:r>
        <w:rPr>
          <w:b w:val="0"/>
          <w:i w:val="0"/>
        </w:rPr>
        <w:t xml:space="preserve">; </w:t>
      </w:r>
      <w:hyperlink w:anchor="latin-record-0905">
        <w:r>
          <w:rPr>
            <w:color w:val="000000"/>
          </w:rPr>
          <w:t xml:space="preserve">passio / affectio</w:t>
        </w:r>
      </w:hyperlink>
      <w:r>
        <w:rPr>
          <w:b w:val="0"/>
          <w:i w:val="0"/>
        </w:rPr>
        <w:t>.</w:t>
      </w:r>
    </w:p>
    <w:p>
      <w:pPr>
        <w:widowControl/>
      </w:pPr>
      <w:r>
        <w:rPr>
          <w:b/>
          <w:i w:val="0"/>
        </w:rPr>
        <w:t>passiones.</w:t>
      </w:r>
      <w:r>
        <w:rPr>
          <w:b w:val="0"/>
          <w:i w:val="0"/>
        </w:rPr>
        <w:t xml:space="preserve"> </w:t>
      </w:r>
      <w:hyperlink w:anchor="latin-record-0905">
        <w:r>
          <w:rPr>
            <w:color w:val="000000"/>
          </w:rPr>
          <w:t xml:space="preserve">passio / affectio</w:t>
        </w:r>
      </w:hyperlink>
      <w:r>
        <w:rPr>
          <w:b w:val="0"/>
          <w:i w:val="0"/>
        </w:rPr>
        <w:t>.</w:t>
      </w:r>
    </w:p>
    <w:p>
      <w:pPr>
        <w:widowControl/>
      </w:pPr>
      <w:r>
        <w:rPr>
          <w:b/>
          <w:i w:val="0"/>
        </w:rPr>
        <w:t>passioni.</w:t>
      </w:r>
      <w:r>
        <w:rPr>
          <w:b w:val="0"/>
          <w:i w:val="0"/>
        </w:rPr>
        <w:t xml:space="preserve"> </w:t>
      </w:r>
      <w:hyperlink w:anchor="latin-record-0904">
        <w:r>
          <w:rPr>
            <w:color w:val="000000"/>
          </w:rPr>
          <w:t xml:space="preserve">passio</w:t>
        </w:r>
      </w:hyperlink>
      <w:r>
        <w:rPr>
          <w:b w:val="0"/>
          <w:i w:val="0"/>
        </w:rPr>
        <w:t>.</w:t>
      </w:r>
    </w:p>
    <w:p>
      <w:pPr>
        <w:widowControl/>
      </w:pPr>
      <w:r>
        <w:rPr>
          <w:b/>
          <w:i w:val="0"/>
        </w:rPr>
        <w:t>passionibus.</w:t>
      </w:r>
      <w:r>
        <w:rPr>
          <w:b w:val="0"/>
          <w:i w:val="0"/>
        </w:rPr>
        <w:t xml:space="preserve"> </w:t>
      </w:r>
      <w:hyperlink w:anchor="latin-record-0905">
        <w:r>
          <w:rPr>
            <w:color w:val="000000"/>
          </w:rPr>
          <w:t xml:space="preserve">passio / affectio</w:t>
        </w:r>
      </w:hyperlink>
      <w:r>
        <w:rPr>
          <w:b w:val="0"/>
          <w:i w:val="0"/>
        </w:rPr>
        <w:t>.</w:t>
      </w:r>
    </w:p>
    <w:p>
      <w:pPr>
        <w:widowControl/>
      </w:pPr>
      <w:r>
        <w:rPr>
          <w:b/>
          <w:i w:val="0"/>
        </w:rPr>
        <w:t>passionis.</w:t>
      </w:r>
      <w:r>
        <w:rPr>
          <w:b w:val="0"/>
          <w:i w:val="0"/>
        </w:rPr>
        <w:t xml:space="preserve"> </w:t>
      </w:r>
      <w:hyperlink w:anchor="latin-record-0904">
        <w:r>
          <w:rPr>
            <w:color w:val="000000"/>
          </w:rPr>
          <w:t xml:space="preserve">passio</w:t>
        </w:r>
      </w:hyperlink>
      <w:r>
        <w:rPr>
          <w:b w:val="0"/>
          <w:i w:val="0"/>
        </w:rPr>
        <w:t>.</w:t>
      </w:r>
    </w:p>
    <w:p>
      <w:pPr>
        <w:widowControl/>
      </w:pPr>
      <w:r>
        <w:rPr>
          <w:b/>
          <w:i w:val="0"/>
        </w:rPr>
        <w:t>passionum.</w:t>
      </w:r>
      <w:r>
        <w:rPr>
          <w:b w:val="0"/>
          <w:i w:val="0"/>
        </w:rPr>
        <w:t xml:space="preserve"> </w:t>
      </w:r>
      <w:hyperlink w:anchor="latin-record-0904">
        <w:r>
          <w:rPr>
            <w:color w:val="000000"/>
          </w:rPr>
          <w:t xml:space="preserve">passio</w:t>
        </w:r>
      </w:hyperlink>
      <w:r>
        <w:rPr>
          <w:b w:val="0"/>
          <w:i w:val="0"/>
        </w:rPr>
        <w:t>.</w:t>
      </w:r>
    </w:p>
    <w:p>
      <w:pPr>
        <w:widowControl/>
      </w:pPr>
      <w:r>
        <w:rPr>
          <w:b/>
          <w:i w:val="0"/>
        </w:rPr>
        <w:t>passiva.</w:t>
      </w:r>
      <w:r>
        <w:rPr>
          <w:b w:val="0"/>
          <w:i w:val="0"/>
        </w:rPr>
        <w:t xml:space="preserve"> </w:t>
      </w:r>
      <w:hyperlink w:anchor="latin-record-0906">
        <w:r>
          <w:rPr>
            <w:color w:val="000000"/>
          </w:rPr>
          <w:t xml:space="preserve">passivus / activus</w:t>
        </w:r>
      </w:hyperlink>
      <w:r>
        <w:rPr>
          <w:b w:val="0"/>
          <w:i w:val="0"/>
        </w:rPr>
        <w:t>.</w:t>
      </w:r>
    </w:p>
    <w:p>
      <w:pPr>
        <w:widowControl/>
      </w:pPr>
      <w:r>
        <w:rPr>
          <w:b/>
          <w:i w:val="0"/>
        </w:rPr>
        <w:t>passivum.</w:t>
      </w:r>
      <w:r>
        <w:rPr>
          <w:b w:val="0"/>
          <w:i w:val="0"/>
        </w:rPr>
        <w:t xml:space="preserve"> </w:t>
      </w:r>
      <w:hyperlink w:anchor="latin-record-0906">
        <w:r>
          <w:rPr>
            <w:color w:val="000000"/>
          </w:rPr>
          <w:t xml:space="preserve">passivus / activus</w:t>
        </w:r>
      </w:hyperlink>
      <w:r>
        <w:rPr>
          <w:b w:val="0"/>
          <w:i w:val="0"/>
        </w:rPr>
        <w:t>.</w:t>
      </w:r>
    </w:p>
    <w:p>
      <w:pPr>
        <w:widowControl/>
      </w:pPr>
      <w:r>
        <w:rPr>
          <w:b/>
          <w:i w:val="0"/>
        </w:rPr>
        <w:t>passivum iudicium.</w:t>
      </w:r>
      <w:r>
        <w:rPr>
          <w:b w:val="0"/>
          <w:i w:val="0"/>
        </w:rPr>
        <w:t xml:space="preserve"> </w:t>
      </w:r>
      <w:hyperlink w:anchor="latin-record-0694">
        <w:r>
          <w:rPr>
            <w:color w:val="000000"/>
          </w:rPr>
          <w:t xml:space="preserve">iudicium passionis</w:t>
        </w:r>
      </w:hyperlink>
      <w:r>
        <w:rPr>
          <w:b w:val="0"/>
          <w:i w:val="0"/>
        </w:rPr>
        <w:t>.</w:t>
      </w:r>
    </w:p>
    <w:p>
      <w:pPr>
        <w:widowControl/>
      </w:pPr>
      <w:r>
        <w:rPr>
          <w:b/>
          <w:i w:val="0"/>
        </w:rPr>
        <w:t>pateram.</w:t>
      </w:r>
      <w:r>
        <w:rPr>
          <w:b w:val="0"/>
          <w:i w:val="0"/>
        </w:rPr>
        <w:t xml:space="preserve"> </w:t>
      </w:r>
      <w:hyperlink w:anchor="latin-record-0907">
        <w:r>
          <w:rPr>
            <w:color w:val="000000"/>
          </w:rPr>
          <w:t xml:space="preserve">patera</w:t>
        </w:r>
      </w:hyperlink>
      <w:r>
        <w:rPr>
          <w:b w:val="0"/>
          <w:i w:val="0"/>
        </w:rPr>
        <w:t>.</w:t>
      </w:r>
    </w:p>
    <w:p>
      <w:pPr>
        <w:widowControl/>
      </w:pPr>
      <w:r>
        <w:rPr>
          <w:b/>
          <w:i w:val="0"/>
        </w:rPr>
        <w:t>patet.</w:t>
      </w:r>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pati.</w:t>
      </w:r>
      <w:r>
        <w:rPr>
          <w:b w:val="0"/>
          <w:i w:val="0"/>
        </w:rPr>
        <w:t xml:space="preserve"> </w:t>
      </w:r>
      <w:hyperlink w:anchor="latin-record-0059">
        <w:r>
          <w:rPr>
            <w:color w:val="000000"/>
          </w:rPr>
          <w:t xml:space="preserve">agere / pati</w:t>
        </w:r>
      </w:hyperlink>
      <w:r>
        <w:rPr>
          <w:b w:val="0"/>
          <w:i w:val="0"/>
        </w:rPr>
        <w:t>.</w:t>
      </w:r>
    </w:p>
    <w:p>
      <w:pPr>
        <w:widowControl/>
      </w:pPr>
      <w:r>
        <w:rPr>
          <w:b/>
          <w:i w:val="0"/>
        </w:rPr>
        <w:t>patitur.</w:t>
      </w:r>
      <w:r>
        <w:rPr>
          <w:b w:val="0"/>
          <w:i w:val="0"/>
        </w:rPr>
        <w:t xml:space="preserve"> </w:t>
      </w:r>
      <w:hyperlink w:anchor="latin-record-0905">
        <w:r>
          <w:rPr>
            <w:color w:val="000000"/>
          </w:rPr>
          <w:t xml:space="preserve">passio / affectio</w:t>
        </w:r>
      </w:hyperlink>
      <w:r>
        <w:rPr>
          <w:b w:val="0"/>
          <w:i w:val="0"/>
        </w:rPr>
        <w:t>.</w:t>
      </w:r>
    </w:p>
    <w:p>
      <w:pPr>
        <w:widowControl/>
      </w:pPr>
      <w:r>
        <w:rPr>
          <w:b/>
          <w:i w:val="0"/>
        </w:rPr>
        <w:t>paulatim.</w:t>
      </w:r>
      <w:r>
        <w:rPr>
          <w:b w:val="0"/>
          <w:i w:val="0"/>
        </w:rPr>
        <w:t xml:space="preserve"> </w:t>
      </w:r>
      <w:hyperlink w:anchor="latin-record-0547">
        <w:r>
          <w:rPr>
            <w:color w:val="000000"/>
          </w:rPr>
          <w:t xml:space="preserve">gradus; paulatim</w:t>
        </w:r>
      </w:hyperlink>
      <w:r>
        <w:rPr>
          <w:b w:val="0"/>
          <w:i w:val="0"/>
        </w:rPr>
        <w:t xml:space="preserve">; </w:t>
      </w:r>
      <w:hyperlink w:anchor="latin-record-0908">
        <w:r>
          <w:rPr>
            <w:color w:val="000000"/>
          </w:rPr>
          <w:t xml:space="preserve">paulatim / subito</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236">
        <w:r>
          <w:rPr>
            <w:color w:val="000000"/>
          </w:rPr>
          <w:t xml:space="preserve">statim; subito; paulatim</w:t>
        </w:r>
      </w:hyperlink>
      <w:r>
        <w:rPr>
          <w:b w:val="0"/>
          <w:i w:val="0"/>
        </w:rPr>
        <w:t>.</w:t>
      </w:r>
    </w:p>
    <w:p>
      <w:pPr>
        <w:widowControl/>
      </w:pPr>
      <w:r>
        <w:rPr>
          <w:b/>
          <w:i w:val="0"/>
        </w:rPr>
        <w:t>Paulus.</w:t>
      </w:r>
      <w:r>
        <w:rPr>
          <w:b w:val="0"/>
          <w:i w:val="0"/>
        </w:rPr>
        <w:t xml:space="preserve"> </w:t>
      </w:r>
      <w:hyperlink w:anchor="latin-record-0909">
        <w:r>
          <w:rPr>
            <w:color w:val="000000"/>
          </w:rPr>
          <w:t xml:space="preserve">Paulus apostolus</w:t>
        </w:r>
      </w:hyperlink>
      <w:r>
        <w:rPr>
          <w:b w:val="0"/>
          <w:i w:val="0"/>
        </w:rPr>
        <w:t>.</w:t>
      </w:r>
    </w:p>
    <w:p>
      <w:pPr>
        <w:widowControl/>
      </w:pPr>
      <w:r>
        <w:rPr>
          <w:b/>
          <w:i w:val="0"/>
        </w:rPr>
        <w:t>pectore.</w:t>
      </w:r>
      <w:r>
        <w:rPr>
          <w:b w:val="0"/>
          <w:i w:val="0"/>
        </w:rPr>
        <w:t xml:space="preserve"> </w:t>
      </w:r>
      <w:hyperlink w:anchor="latin-record-0352">
        <w:r>
          <w:rPr>
            <w:color w:val="000000"/>
          </w:rPr>
          <w:t xml:space="preserve">crus / femur / pectus / collum</w:t>
        </w:r>
      </w:hyperlink>
      <w:r>
        <w:rPr>
          <w:b w:val="0"/>
          <w:i w:val="0"/>
        </w:rPr>
        <w:t>.</w:t>
      </w:r>
    </w:p>
    <w:p>
      <w:pPr>
        <w:widowControl/>
      </w:pPr>
      <w:r>
        <w:rPr>
          <w:b/>
          <w:i w:val="0"/>
        </w:rPr>
        <w:t>pectus.</w:t>
      </w:r>
      <w:r>
        <w:rPr>
          <w:b w:val="0"/>
          <w:i w:val="0"/>
        </w:rPr>
        <w:t xml:space="preserve"> </w:t>
      </w:r>
      <w:hyperlink w:anchor="latin-record-0194">
        <w:r>
          <w:rPr>
            <w:color w:val="000000"/>
          </w:rPr>
          <w:t xml:space="preserve">caput / pectus / femur</w:t>
        </w:r>
      </w:hyperlink>
      <w:r>
        <w:rPr>
          <w:b w:val="0"/>
          <w:i w:val="0"/>
        </w:rPr>
        <w:t>.</w:t>
      </w:r>
    </w:p>
    <w:p>
      <w:pPr>
        <w:widowControl/>
      </w:pPr>
      <w:r>
        <w:rPr>
          <w:b/>
          <w:i w:val="0"/>
        </w:rPr>
        <w:t>pede.</w:t>
      </w:r>
      <w:r>
        <w:rPr>
          <w:b w:val="0"/>
          <w:i w:val="0"/>
        </w:rPr>
        <w:t xml:space="preserve"> </w:t>
      </w:r>
      <w:hyperlink w:anchor="latin-record-0943">
        <w:r>
          <w:rPr>
            <w:color w:val="000000"/>
          </w:rPr>
          <w:t xml:space="preserve">pes / manus / os</w:t>
        </w:r>
      </w:hyperlink>
      <w:r>
        <w:rPr>
          <w:b w:val="0"/>
          <w:i w:val="0"/>
        </w:rPr>
        <w:t>.</w:t>
      </w:r>
    </w:p>
    <w:p>
      <w:pPr>
        <w:widowControl/>
      </w:pPr>
      <w:r>
        <w:rPr>
          <w:b/>
          <w:i w:val="0"/>
        </w:rPr>
        <w:t>pedetentim.</w:t>
      </w:r>
      <w:r>
        <w:rPr>
          <w:b w:val="0"/>
          <w:i w:val="0"/>
        </w:rPr>
        <w:t xml:space="preserve"> </w:t>
      </w:r>
      <w:hyperlink w:anchor="latin-record-0910">
        <w:r>
          <w:rPr>
            <w:color w:val="000000"/>
          </w:rPr>
          <w:t xml:space="preserve">pedetentim / paulatim / subito</w:t>
        </w:r>
      </w:hyperlink>
      <w:r>
        <w:rPr>
          <w:b w:val="0"/>
          <w:i w:val="0"/>
        </w:rPr>
        <w:t>.</w:t>
      </w:r>
    </w:p>
    <w:p>
      <w:pPr>
        <w:widowControl/>
      </w:pPr>
      <w:r>
        <w:rPr>
          <w:b/>
          <w:i w:val="0"/>
        </w:rPr>
        <w:t>pedis.</w:t>
      </w:r>
      <w:r>
        <w:rPr>
          <w:b w:val="0"/>
          <w:i w:val="0"/>
        </w:rPr>
        <w:t xml:space="preserve"> </w:t>
      </w:r>
      <w:hyperlink w:anchor="latin-record-0943">
        <w:r>
          <w:rPr>
            <w:color w:val="000000"/>
          </w:rPr>
          <w:t xml:space="preserve">pes / manus / os</w:t>
        </w:r>
      </w:hyperlink>
      <w:r>
        <w:rPr>
          <w:b w:val="0"/>
          <w:i w:val="0"/>
        </w:rPr>
        <w:t>.</w:t>
      </w:r>
    </w:p>
    <w:p>
      <w:pPr>
        <w:widowControl/>
      </w:pPr>
      <w:r>
        <w:rPr>
          <w:b/>
          <w:i w:val="0"/>
        </w:rPr>
        <w:t>pedisequa corporis.</w:t>
      </w:r>
      <w:r>
        <w:rPr>
          <w:b w:val="0"/>
          <w:i w:val="0"/>
        </w:rPr>
        <w:t xml:space="preserve"> </w:t>
      </w:r>
      <w:hyperlink w:anchor="latin-record-1080">
        <w:r>
          <w:rPr>
            <w:color w:val="000000"/>
          </w:rPr>
          <w:t xml:space="preserve">rectrix; motrix; pedisequa</w:t>
        </w:r>
      </w:hyperlink>
      <w:r>
        <w:rPr>
          <w:b w:val="0"/>
          <w:i w:val="0"/>
        </w:rPr>
        <w:t>.</w:t>
      </w:r>
    </w:p>
    <w:p>
      <w:pPr>
        <w:widowControl/>
      </w:pPr>
      <w:r>
        <w:rPr>
          <w:b/>
          <w:i w:val="0"/>
        </w:rPr>
        <w:t>pedisequae.</w:t>
      </w:r>
      <w:r>
        <w:rPr>
          <w:b w:val="0"/>
          <w:i w:val="0"/>
        </w:rPr>
        <w:t xml:space="preserve"> </w:t>
      </w:r>
      <w:hyperlink w:anchor="latin-record-0976">
        <w:r>
          <w:rPr>
            <w:color w:val="000000"/>
          </w:rPr>
          <w:t xml:space="preserve">praeparatio / pedisequa</w:t>
        </w:r>
      </w:hyperlink>
      <w:r>
        <w:rPr>
          <w:b w:val="0"/>
          <w:i w:val="0"/>
        </w:rPr>
        <w:t>.</w:t>
      </w:r>
    </w:p>
    <w:p>
      <w:pPr>
        <w:widowControl/>
      </w:pPr>
      <w:r>
        <w:rPr>
          <w:b/>
          <w:i w:val="0"/>
        </w:rPr>
        <w:t>pedisequam.</w:t>
      </w:r>
      <w:r>
        <w:rPr>
          <w:b w:val="0"/>
          <w:i w:val="0"/>
        </w:rPr>
        <w:t xml:space="preserve"> </w:t>
      </w:r>
      <w:hyperlink w:anchor="latin-record-0241">
        <w:r>
          <w:rPr>
            <w:color w:val="000000"/>
          </w:rPr>
          <w:t xml:space="preserve">comes; pedisequa</w:t>
        </w:r>
      </w:hyperlink>
      <w:r>
        <w:rPr>
          <w:b w:val="0"/>
          <w:i w:val="0"/>
        </w:rPr>
        <w:t xml:space="preserve">; </w:t>
      </w:r>
      <w:hyperlink w:anchor="latin-record-0911">
        <w:r>
          <w:rPr>
            <w:color w:val="000000"/>
          </w:rPr>
          <w:t xml:space="preserve">pedisequa</w:t>
        </w:r>
      </w:hyperlink>
      <w:r>
        <w:rPr>
          <w:b w:val="0"/>
          <w:i w:val="0"/>
        </w:rPr>
        <w:t>.</w:t>
      </w:r>
    </w:p>
    <w:p>
      <w:pPr>
        <w:widowControl/>
      </w:pPr>
      <w:r>
        <w:rPr>
          <w:b/>
          <w:i w:val="0"/>
        </w:rPr>
        <w:t>pedissequa.</w:t>
      </w:r>
      <w:r>
        <w:rPr>
          <w:b w:val="0"/>
          <w:i w:val="0"/>
        </w:rPr>
        <w:t xml:space="preserve"> </w:t>
      </w:r>
      <w:hyperlink w:anchor="latin-record-0130">
        <w:r>
          <w:rPr>
            <w:color w:val="000000"/>
          </w:rPr>
          <w:t xml:space="preserve">artifex / pedissequa / officium</w:t>
        </w:r>
      </w:hyperlink>
      <w:r>
        <w:rPr>
          <w:b w:val="0"/>
          <w:i w:val="0"/>
        </w:rPr>
        <w:t>.</w:t>
      </w:r>
    </w:p>
    <w:p>
      <w:pPr>
        <w:widowControl/>
      </w:pPr>
      <w:r>
        <w:rPr>
          <w:b/>
          <w:i w:val="0"/>
        </w:rPr>
        <w:t>pellantque.</w:t>
      </w:r>
      <w:r>
        <w:rPr>
          <w:b w:val="0"/>
          <w:i w:val="0"/>
        </w:rPr>
        <w:t xml:space="preserve"> </w:t>
      </w:r>
      <w:hyperlink w:anchor="latin-record-0549">
        <w:r>
          <w:rPr>
            <w:color w:val="000000"/>
          </w:rPr>
          <w:t xml:space="preserve">gremium / detrudere / pellere</w:t>
        </w:r>
      </w:hyperlink>
      <w:r>
        <w:rPr>
          <w:b w:val="0"/>
          <w:i w:val="0"/>
        </w:rPr>
        <w:t>.</w:t>
      </w:r>
    </w:p>
    <w:p>
      <w:pPr>
        <w:widowControl/>
      </w:pPr>
      <w:r>
        <w:rPr>
          <w:b/>
          <w:i w:val="0"/>
        </w:rPr>
        <w:t>pendeat.</w:t>
      </w:r>
      <w:r>
        <w:rPr>
          <w:b w:val="0"/>
          <w:i w:val="0"/>
        </w:rPr>
        <w:t xml:space="preserve"> </w:t>
      </w:r>
      <w:hyperlink w:anchor="latin-record-0367">
        <w:r>
          <w:rPr>
            <w:color w:val="000000"/>
          </w:rPr>
          <w:t xml:space="preserve">dependere / pendere</w:t>
        </w:r>
      </w:hyperlink>
      <w:r>
        <w:rPr>
          <w:b w:val="0"/>
          <w:i w:val="0"/>
        </w:rPr>
        <w:t>.</w:t>
      </w:r>
    </w:p>
    <w:p>
      <w:pPr>
        <w:widowControl/>
      </w:pPr>
      <w:r>
        <w:rPr>
          <w:b/>
          <w:i w:val="0"/>
        </w:rPr>
        <w:t>pendebit.</w:t>
      </w:r>
      <w:r>
        <w:rPr>
          <w:b w:val="0"/>
          <w:i w:val="0"/>
        </w:rPr>
        <w:t xml:space="preserve"> </w:t>
      </w:r>
      <w:hyperlink w:anchor="latin-record-0912">
        <w:r>
          <w:rPr>
            <w:color w:val="000000"/>
          </w:rPr>
          <w:t xml:space="preserve">pendere / oriri / sustinere / nasci</w:t>
        </w:r>
      </w:hyperlink>
      <w:r>
        <w:rPr>
          <w:b w:val="0"/>
          <w:i w:val="0"/>
        </w:rPr>
        <w:t>.</w:t>
      </w:r>
    </w:p>
    <w:p>
      <w:pPr>
        <w:widowControl/>
      </w:pPr>
      <w:r>
        <w:rPr>
          <w:b/>
          <w:i w:val="0"/>
        </w:rPr>
        <w:t>pendentibus.</w:t>
      </w:r>
      <w:r>
        <w:rPr>
          <w:b w:val="0"/>
          <w:i w:val="0"/>
        </w:rPr>
        <w:t xml:space="preserve"> </w:t>
      </w:r>
      <w:hyperlink w:anchor="latin-record-0648">
        <w:r>
          <w:rPr>
            <w:color w:val="000000"/>
          </w:rPr>
          <w:t xml:space="preserve">inserere / servare / revocare</w:t>
        </w:r>
      </w:hyperlink>
      <w:r>
        <w:rPr>
          <w:b w:val="0"/>
          <w:i w:val="0"/>
        </w:rPr>
        <w:t>.</w:t>
      </w:r>
    </w:p>
    <w:p>
      <w:pPr>
        <w:widowControl/>
      </w:pPr>
      <w:r>
        <w:rPr>
          <w:b/>
          <w:i w:val="0"/>
        </w:rPr>
        <w:t>pendet.</w:t>
      </w:r>
      <w:r>
        <w:rPr>
          <w:b w:val="0"/>
          <w:i w:val="0"/>
        </w:rPr>
        <w:t xml:space="preserve"> </w:t>
      </w:r>
      <w:hyperlink w:anchor="latin-record-0367">
        <w:r>
          <w:rPr>
            <w:color w:val="000000"/>
          </w:rPr>
          <w:t xml:space="preserve">dependere / pendere</w:t>
        </w:r>
      </w:hyperlink>
      <w:r>
        <w:rPr>
          <w:b w:val="0"/>
          <w:i w:val="0"/>
        </w:rPr>
        <w:t>.</w:t>
      </w:r>
    </w:p>
    <w:p>
      <w:pPr>
        <w:widowControl/>
      </w:pPr>
      <w:r>
        <w:rPr>
          <w:b/>
          <w:i w:val="0"/>
        </w:rPr>
        <w:t>penetrabunt.</w:t>
      </w:r>
      <w:r>
        <w:rPr>
          <w:b w:val="0"/>
          <w:i w:val="0"/>
        </w:rPr>
        <w:t xml:space="preserve"> </w:t>
      </w:r>
      <w:hyperlink w:anchor="latin-record-0144">
        <w:r>
          <w:rPr>
            <w:color w:val="000000"/>
          </w:rPr>
          <w:t xml:space="preserve">attingere / penetrare</w:t>
        </w:r>
      </w:hyperlink>
      <w:r>
        <w:rPr>
          <w:b w:val="0"/>
          <w:i w:val="0"/>
        </w:rPr>
        <w:t>.</w:t>
      </w:r>
    </w:p>
    <w:p>
      <w:pPr>
        <w:widowControl/>
      </w:pPr>
      <w:r>
        <w:rPr>
          <w:b/>
          <w:i w:val="0"/>
        </w:rPr>
        <w:t>penetrare.</w:t>
      </w:r>
      <w:r>
        <w:rPr>
          <w:b w:val="0"/>
          <w:i w:val="0"/>
        </w:rPr>
        <w:t xml:space="preserve"> </w:t>
      </w:r>
      <w:hyperlink w:anchor="latin-record-0182">
        <w:r>
          <w:rPr>
            <w:color w:val="000000"/>
          </w:rPr>
          <w:t xml:space="preserve">calor / penetrare / dissolvere</w:t>
        </w:r>
      </w:hyperlink>
      <w:r>
        <w:rPr>
          <w:b w:val="0"/>
          <w:i w:val="0"/>
        </w:rPr>
        <w:t xml:space="preserve">; </w:t>
      </w:r>
      <w:hyperlink w:anchor="latin-record-0913">
        <w:r>
          <w:rPr>
            <w:color w:val="000000"/>
          </w:rPr>
          <w:t xml:space="preserve">penetrare; implere</w:t>
        </w:r>
      </w:hyperlink>
      <w:r>
        <w:rPr>
          <w:b w:val="0"/>
          <w:i w:val="0"/>
        </w:rPr>
        <w:t>.</w:t>
      </w:r>
    </w:p>
    <w:p>
      <w:pPr>
        <w:widowControl/>
      </w:pPr>
      <w:r>
        <w:rPr>
          <w:b/>
          <w:i w:val="0"/>
        </w:rPr>
        <w:t>Penetrat.</w:t>
      </w:r>
      <w:r>
        <w:rPr>
          <w:b w:val="0"/>
          <w:i w:val="0"/>
        </w:rPr>
        <w:t xml:space="preserve"> </w:t>
      </w:r>
      <w:hyperlink w:anchor="latin-record-1144">
        <w:r>
          <w:rPr>
            <w:color w:val="000000"/>
          </w:rPr>
          <w:t xml:space="preserve">secernere / discernere</w:t>
        </w:r>
      </w:hyperlink>
      <w:r>
        <w:rPr>
          <w:b w:val="0"/>
          <w:i w:val="0"/>
        </w:rPr>
        <w:t>.</w:t>
      </w:r>
    </w:p>
    <w:p>
      <w:pPr>
        <w:widowControl/>
      </w:pPr>
      <w:r>
        <w:rPr>
          <w:b/>
          <w:i w:val="0"/>
        </w:rPr>
        <w:t>per aliud.</w:t>
      </w:r>
      <w:r>
        <w:rPr>
          <w:b w:val="0"/>
          <w:i w:val="0"/>
        </w:rPr>
        <w:t xml:space="preserve"> </w:t>
      </w:r>
      <w:hyperlink w:anchor="latin-record-0914">
        <w:r>
          <w:rPr>
            <w:color w:val="000000"/>
          </w:rPr>
          <w:t xml:space="preserve">per aliud</w:t>
        </w:r>
      </w:hyperlink>
      <w:r>
        <w:rPr>
          <w:b w:val="0"/>
          <w:i w:val="0"/>
        </w:rPr>
        <w:t>.</w:t>
      </w:r>
    </w:p>
    <w:p>
      <w:pPr>
        <w:widowControl/>
      </w:pPr>
      <w:r>
        <w:rPr>
          <w:b/>
          <w:i w:val="0"/>
        </w:rPr>
        <w:t>per essentiam.</w:t>
      </w:r>
      <w:r>
        <w:rPr>
          <w:b w:val="0"/>
          <w:i w:val="0"/>
        </w:rPr>
        <w:t xml:space="preserve"> </w:t>
      </w:r>
      <w:hyperlink w:anchor="latin-record-0915">
        <w:r>
          <w:rPr>
            <w:color w:val="000000"/>
          </w:rPr>
          <w:t xml:space="preserve">per essentiam; per quantitatem</w:t>
        </w:r>
      </w:hyperlink>
      <w:r>
        <w:rPr>
          <w:b w:val="0"/>
          <w:i w:val="0"/>
        </w:rPr>
        <w:t>.</w:t>
      </w:r>
    </w:p>
    <w:p>
      <w:pPr>
        <w:widowControl/>
      </w:pPr>
      <w:r>
        <w:rPr>
          <w:b/>
          <w:i w:val="0"/>
        </w:rPr>
        <w:t>per formam.</w:t>
      </w:r>
      <w:r>
        <w:rPr>
          <w:b w:val="0"/>
          <w:i w:val="0"/>
        </w:rPr>
        <w:t xml:space="preserve"> </w:t>
      </w:r>
      <w:hyperlink w:anchor="latin-record-0812">
        <w:r>
          <w:rPr>
            <w:color w:val="000000"/>
          </w:rPr>
          <w:t xml:space="preserve">movere et moveri</w:t>
        </w:r>
      </w:hyperlink>
      <w:r>
        <w:rPr>
          <w:b w:val="0"/>
          <w:i w:val="0"/>
        </w:rPr>
        <w:t>.</w:t>
      </w:r>
    </w:p>
    <w:p>
      <w:pPr>
        <w:widowControl/>
      </w:pPr>
      <w:r>
        <w:rPr>
          <w:b/>
          <w:i w:val="0"/>
        </w:rPr>
        <w:t>per materiam.</w:t>
      </w:r>
      <w:r>
        <w:rPr>
          <w:b w:val="0"/>
          <w:i w:val="0"/>
        </w:rPr>
        <w:t xml:space="preserve"> </w:t>
      </w:r>
      <w:hyperlink w:anchor="latin-record-0812">
        <w:r>
          <w:rPr>
            <w:color w:val="000000"/>
          </w:rPr>
          <w:t xml:space="preserve">movere et moveri</w:t>
        </w:r>
      </w:hyperlink>
      <w:r>
        <w:rPr>
          <w:b w:val="0"/>
          <w:i w:val="0"/>
        </w:rPr>
        <w:t>.</w:t>
      </w:r>
    </w:p>
    <w:p>
      <w:pPr>
        <w:widowControl/>
      </w:pPr>
      <w:r>
        <w:rPr>
          <w:b/>
          <w:i w:val="0"/>
        </w:rPr>
        <w:t>per naturam ac vim propriam.</w:t>
      </w:r>
      <w:r>
        <w:rPr>
          <w:b w:val="0"/>
          <w:i w:val="0"/>
        </w:rPr>
        <w:t xml:space="preserve"> </w:t>
      </w:r>
      <w:hyperlink w:anchor="latin-record-0916">
        <w:r>
          <w:rPr>
            <w:color w:val="000000"/>
          </w:rPr>
          <w:t xml:space="preserve">per naturam ac vim propriam</w:t>
        </w:r>
      </w:hyperlink>
      <w:r>
        <w:rPr>
          <w:b w:val="0"/>
          <w:i w:val="0"/>
        </w:rPr>
        <w:t>.</w:t>
      </w:r>
    </w:p>
    <w:p>
      <w:pPr>
        <w:widowControl/>
      </w:pPr>
      <w:r>
        <w:rPr>
          <w:b/>
          <w:i w:val="0"/>
        </w:rPr>
        <w:t>per naturam suam.</w:t>
      </w:r>
      <w:r>
        <w:rPr>
          <w:b w:val="0"/>
          <w:i w:val="0"/>
        </w:rPr>
        <w:t xml:space="preserve"> </w:t>
      </w:r>
      <w:hyperlink w:anchor="latin-record-0923">
        <w:r>
          <w:rPr>
            <w:color w:val="000000"/>
          </w:rPr>
          <w:t xml:space="preserve">per sui naturam</w:t>
        </w:r>
      </w:hyperlink>
      <w:r>
        <w:rPr>
          <w:b w:val="0"/>
          <w:i w:val="0"/>
        </w:rPr>
        <w:t>.</w:t>
      </w:r>
    </w:p>
    <w:p>
      <w:pPr>
        <w:widowControl/>
      </w:pPr>
      <w:r>
        <w:rPr>
          <w:b/>
          <w:i w:val="0"/>
        </w:rPr>
        <w:t>per omnia.</w:t>
      </w:r>
      <w:r>
        <w:rPr>
          <w:b w:val="0"/>
          <w:i w:val="0"/>
        </w:rPr>
        <w:t xml:space="preserve"> </w:t>
      </w:r>
      <w:hyperlink w:anchor="latin-record-0917">
        <w:r>
          <w:rPr>
            <w:color w:val="000000"/>
          </w:rPr>
          <w:t xml:space="preserve">per omnia</w:t>
        </w:r>
      </w:hyperlink>
      <w:r>
        <w:rPr>
          <w:b w:val="0"/>
          <w:i w:val="0"/>
        </w:rPr>
        <w:t>.</w:t>
      </w:r>
    </w:p>
    <w:p>
      <w:pPr>
        <w:widowControl/>
      </w:pPr>
      <w:r>
        <w:rPr>
          <w:b/>
          <w:i w:val="0"/>
        </w:rPr>
        <w:t>per quantitatem.</w:t>
      </w:r>
      <w:r>
        <w:rPr>
          <w:b w:val="0"/>
          <w:i w:val="0"/>
        </w:rPr>
        <w:t xml:space="preserve"> </w:t>
      </w:r>
      <w:hyperlink w:anchor="latin-record-0915">
        <w:r>
          <w:rPr>
            <w:color w:val="000000"/>
          </w:rPr>
          <w:t xml:space="preserve">per essentiam; per quantitatem</w:t>
        </w:r>
      </w:hyperlink>
      <w:r>
        <w:rPr>
          <w:b w:val="0"/>
          <w:i w:val="0"/>
        </w:rPr>
        <w:t>.</w:t>
      </w:r>
    </w:p>
    <w:p>
      <w:pPr>
        <w:widowControl/>
      </w:pPr>
      <w:r>
        <w:rPr>
          <w:b/>
          <w:i w:val="0"/>
        </w:rPr>
        <w:t>per se.</w:t>
      </w:r>
      <w:r>
        <w:rPr>
          <w:b w:val="0"/>
          <w:i w:val="0"/>
        </w:rPr>
        <w:t xml:space="preserve"> </w:t>
      </w:r>
      <w:hyperlink w:anchor="latin-record-0452">
        <w:r>
          <w:rPr>
            <w:color w:val="000000"/>
          </w:rPr>
          <w:t xml:space="preserve">ex se / in se / per se</w:t>
        </w:r>
      </w:hyperlink>
      <w:r>
        <w:rPr>
          <w:b w:val="0"/>
          <w:i w:val="0"/>
        </w:rPr>
        <w:t xml:space="preserve">; </w:t>
      </w:r>
      <w:hyperlink w:anchor="latin-record-0918">
        <w:r>
          <w:rPr>
            <w:color w:val="000000"/>
          </w:rPr>
          <w:t xml:space="preserve">per se</w:t>
        </w:r>
      </w:hyperlink>
      <w:r>
        <w:rPr>
          <w:b w:val="0"/>
          <w:i w:val="0"/>
        </w:rPr>
        <w:t xml:space="preserve">; </w:t>
      </w:r>
      <w:hyperlink w:anchor="latin-record-0922">
        <w:r>
          <w:rPr>
            <w:color w:val="000000"/>
          </w:rPr>
          <w:t xml:space="preserve">per se; quodammodo; proprie</w:t>
        </w:r>
      </w:hyperlink>
      <w:r>
        <w:rPr>
          <w:b w:val="0"/>
          <w:i w:val="0"/>
        </w:rPr>
        <w:t>.</w:t>
      </w:r>
    </w:p>
    <w:p>
      <w:pPr>
        <w:widowControl/>
      </w:pPr>
      <w:r>
        <w:rPr>
          <w:b/>
          <w:i w:val="0"/>
        </w:rPr>
        <w:t>Per se.</w:t>
      </w:r>
      <w:r>
        <w:rPr>
          <w:b w:val="0"/>
          <w:i w:val="0"/>
        </w:rPr>
        <w:t xml:space="preserve"> </w:t>
      </w:r>
      <w:hyperlink w:anchor="latin-record-0452">
        <w:r>
          <w:rPr>
            <w:color w:val="000000"/>
          </w:rPr>
          <w:t xml:space="preserve">ex se / in se / per se</w:t>
        </w:r>
      </w:hyperlink>
      <w:r>
        <w:rPr>
          <w:b w:val="0"/>
          <w:i w:val="0"/>
        </w:rPr>
        <w:t>.</w:t>
      </w:r>
    </w:p>
    <w:p>
      <w:pPr>
        <w:widowControl/>
      </w:pPr>
      <w:r>
        <w:rPr>
          <w:b/>
          <w:i w:val="0"/>
        </w:rPr>
        <w:t>per se aliquid operabitur.</w:t>
      </w:r>
      <w:r>
        <w:rPr>
          <w:b w:val="0"/>
          <w:i w:val="0"/>
        </w:rPr>
        <w:t xml:space="preserve"> </w:t>
      </w:r>
      <w:hyperlink w:anchor="latin-record-0921">
        <w:r>
          <w:rPr>
            <w:color w:val="000000"/>
          </w:rPr>
          <w:t xml:space="preserve">per se exsistere / operari</w:t>
        </w:r>
      </w:hyperlink>
      <w:r>
        <w:rPr>
          <w:b w:val="0"/>
          <w:i w:val="0"/>
        </w:rPr>
        <w:t>.</w:t>
      </w:r>
    </w:p>
    <w:p>
      <w:pPr>
        <w:widowControl/>
      </w:pPr>
      <w:r>
        <w:rPr>
          <w:b/>
          <w:i w:val="0"/>
        </w:rPr>
        <w:t>per se congruit.</w:t>
      </w:r>
      <w:r>
        <w:rPr>
          <w:b w:val="0"/>
          <w:i w:val="0"/>
        </w:rPr>
        <w:t xml:space="preserve"> </w:t>
      </w:r>
      <w:hyperlink w:anchor="latin-record-0919">
        <w:r>
          <w:rPr>
            <w:color w:val="000000"/>
          </w:rPr>
          <w:t xml:space="preserve">per se convenire</w:t>
        </w:r>
      </w:hyperlink>
      <w:r>
        <w:rPr>
          <w:b w:val="0"/>
          <w:i w:val="0"/>
        </w:rPr>
        <w:t>.</w:t>
      </w:r>
    </w:p>
    <w:p>
      <w:pPr>
        <w:widowControl/>
      </w:pPr>
      <w:r>
        <w:rPr>
          <w:b/>
          <w:i w:val="0"/>
        </w:rPr>
        <w:t>per se conveniat.</w:t>
      </w:r>
      <w:r>
        <w:rPr>
          <w:b w:val="0"/>
          <w:i w:val="0"/>
        </w:rPr>
        <w:t xml:space="preserve"> </w:t>
      </w:r>
      <w:hyperlink w:anchor="latin-record-0919">
        <w:r>
          <w:rPr>
            <w:color w:val="000000"/>
          </w:rPr>
          <w:t xml:space="preserve">per se convenire</w:t>
        </w:r>
      </w:hyperlink>
      <w:r>
        <w:rPr>
          <w:b w:val="0"/>
          <w:i w:val="0"/>
        </w:rPr>
        <w:t>.</w:t>
      </w:r>
    </w:p>
    <w:p>
      <w:pPr>
        <w:widowControl/>
      </w:pPr>
      <w:r>
        <w:rPr>
          <w:b/>
          <w:i w:val="0"/>
        </w:rPr>
        <w:t>per se convenit.</w:t>
      </w:r>
      <w:r>
        <w:rPr>
          <w:b w:val="0"/>
          <w:i w:val="0"/>
        </w:rPr>
        <w:t xml:space="preserve"> </w:t>
      </w:r>
      <w:hyperlink w:anchor="latin-record-0919">
        <w:r>
          <w:rPr>
            <w:color w:val="000000"/>
          </w:rPr>
          <w:t xml:space="preserve">per se convenire</w:t>
        </w:r>
      </w:hyperlink>
      <w:r>
        <w:rPr>
          <w:b w:val="0"/>
          <w:i w:val="0"/>
        </w:rPr>
        <w:t>.</w:t>
      </w:r>
    </w:p>
    <w:p>
      <w:pPr>
        <w:widowControl/>
      </w:pPr>
      <w:r>
        <w:rPr>
          <w:b/>
          <w:i w:val="0"/>
        </w:rPr>
        <w:t>per se exsistit.</w:t>
      </w:r>
      <w:r>
        <w:rPr>
          <w:b w:val="0"/>
          <w:i w:val="0"/>
        </w:rPr>
        <w:t xml:space="preserve"> </w:t>
      </w:r>
      <w:hyperlink w:anchor="latin-record-0921">
        <w:r>
          <w:rPr>
            <w:color w:val="000000"/>
          </w:rPr>
          <w:t xml:space="preserve">per se exsistere / operari</w:t>
        </w:r>
      </w:hyperlink>
      <w:r>
        <w:rPr>
          <w:b w:val="0"/>
          <w:i w:val="0"/>
        </w:rPr>
        <w:t>.</w:t>
      </w:r>
    </w:p>
    <w:p>
      <w:pPr>
        <w:widowControl/>
      </w:pPr>
      <w:r>
        <w:rPr>
          <w:b/>
          <w:i w:val="0"/>
        </w:rPr>
        <w:t>per se ipsam.</w:t>
      </w:r>
      <w:r>
        <w:rPr>
          <w:b w:val="0"/>
          <w:i w:val="0"/>
        </w:rPr>
        <w:t xml:space="preserve"> </w:t>
      </w:r>
      <w:hyperlink w:anchor="latin-record-0918">
        <w:r>
          <w:rPr>
            <w:color w:val="000000"/>
          </w:rPr>
          <w:t xml:space="preserve">per se</w:t>
        </w:r>
      </w:hyperlink>
      <w:r>
        <w:rPr>
          <w:b w:val="0"/>
          <w:i w:val="0"/>
        </w:rPr>
        <w:t>.</w:t>
      </w:r>
    </w:p>
    <w:p>
      <w:pPr>
        <w:widowControl/>
      </w:pPr>
      <w:r>
        <w:rPr>
          <w:b/>
          <w:i w:val="0"/>
        </w:rPr>
        <w:t>per se ipsum.</w:t>
      </w:r>
      <w:r>
        <w:rPr>
          <w:b w:val="0"/>
          <w:i w:val="0"/>
        </w:rPr>
        <w:t xml:space="preserve"> </w:t>
      </w:r>
      <w:hyperlink w:anchor="latin-record-0452">
        <w:r>
          <w:rPr>
            <w:color w:val="000000"/>
          </w:rPr>
          <w:t xml:space="preserve">ex se / in se / per se</w:t>
        </w:r>
      </w:hyperlink>
      <w:r>
        <w:rPr>
          <w:b w:val="0"/>
          <w:i w:val="0"/>
        </w:rPr>
        <w:t xml:space="preserve">; </w:t>
      </w:r>
      <w:hyperlink w:anchor="latin-record-0921">
        <w:r>
          <w:rPr>
            <w:color w:val="000000"/>
          </w:rPr>
          <w:t xml:space="preserve">per se exsistere / operari</w:t>
        </w:r>
      </w:hyperlink>
      <w:r>
        <w:rPr>
          <w:b w:val="0"/>
          <w:i w:val="0"/>
        </w:rPr>
        <w:t>.</w:t>
      </w:r>
    </w:p>
    <w:p>
      <w:pPr>
        <w:widowControl/>
      </w:pPr>
      <w:r>
        <w:rPr>
          <w:b/>
          <w:i w:val="0"/>
        </w:rPr>
        <w:t>per se ipsum mobile.</w:t>
      </w:r>
      <w:r>
        <w:rPr>
          <w:b w:val="0"/>
          <w:i w:val="0"/>
        </w:rPr>
        <w:t xml:space="preserve"> </w:t>
      </w:r>
      <w:hyperlink w:anchor="latin-record-0920">
        <w:r>
          <w:rPr>
            <w:color w:val="000000"/>
          </w:rPr>
          <w:t xml:space="preserve">per se et primo</w:t>
        </w:r>
      </w:hyperlink>
      <w:r>
        <w:rPr>
          <w:b w:val="0"/>
          <w:i w:val="0"/>
        </w:rPr>
        <w:t>.</w:t>
      </w:r>
    </w:p>
    <w:p>
      <w:pPr>
        <w:widowControl/>
      </w:pPr>
      <w:r>
        <w:rPr>
          <w:b/>
          <w:i w:val="0"/>
        </w:rPr>
        <w:t>per seipsam.</w:t>
      </w:r>
      <w:r>
        <w:rPr>
          <w:b w:val="0"/>
          <w:i w:val="0"/>
        </w:rPr>
        <w:t xml:space="preserve"> </w:t>
      </w:r>
      <w:hyperlink w:anchor="latin-record-0918">
        <w:r>
          <w:rPr>
            <w:color w:val="000000"/>
          </w:rPr>
          <w:t xml:space="preserve">per se</w:t>
        </w:r>
      </w:hyperlink>
      <w:r>
        <w:rPr>
          <w:b w:val="0"/>
          <w:i w:val="0"/>
        </w:rPr>
        <w:t>.</w:t>
      </w:r>
    </w:p>
    <w:p>
      <w:pPr>
        <w:widowControl/>
      </w:pPr>
      <w:r>
        <w:rPr>
          <w:b/>
          <w:i w:val="0"/>
        </w:rPr>
        <w:t>per semet ipsam.</w:t>
      </w:r>
      <w:r>
        <w:rPr>
          <w:b w:val="0"/>
          <w:i w:val="0"/>
        </w:rPr>
        <w:t xml:space="preserve"> </w:t>
      </w:r>
      <w:hyperlink w:anchor="latin-record-0918">
        <w:r>
          <w:rPr>
            <w:color w:val="000000"/>
          </w:rPr>
          <w:t xml:space="preserve">per se</w:t>
        </w:r>
      </w:hyperlink>
      <w:r>
        <w:rPr>
          <w:b w:val="0"/>
          <w:i w:val="0"/>
        </w:rPr>
        <w:t>.</w:t>
      </w:r>
    </w:p>
    <w:p>
      <w:pPr>
        <w:widowControl/>
      </w:pPr>
      <w:r>
        <w:rPr>
          <w:b/>
          <w:i w:val="0"/>
        </w:rPr>
        <w:t>per sui naturam.</w:t>
      </w:r>
      <w:r>
        <w:rPr>
          <w:b w:val="0"/>
          <w:i w:val="0"/>
        </w:rPr>
        <w:t xml:space="preserve"> </w:t>
      </w:r>
      <w:hyperlink w:anchor="latin-record-0923">
        <w:r>
          <w:rPr>
            <w:color w:val="000000"/>
          </w:rPr>
          <w:t xml:space="preserve">per sui naturam</w:t>
        </w:r>
      </w:hyperlink>
      <w:r>
        <w:rPr>
          <w:b w:val="0"/>
          <w:i w:val="0"/>
        </w:rPr>
        <w:t>.</w:t>
      </w:r>
    </w:p>
    <w:p>
      <w:pPr>
        <w:widowControl/>
      </w:pPr>
      <w:r>
        <w:rPr>
          <w:b/>
          <w:i w:val="0"/>
        </w:rPr>
        <w:t>peragitur.</w:t>
      </w:r>
      <w:r>
        <w:rPr>
          <w:b w:val="0"/>
          <w:i w:val="0"/>
        </w:rPr>
        <w:t xml:space="preserve"> </w:t>
      </w:r>
      <w:hyperlink w:anchor="latin-record-0287">
        <w:r>
          <w:rPr>
            <w:color w:val="000000"/>
          </w:rPr>
          <w:t xml:space="preserve">conflare / peragere</w:t>
        </w:r>
      </w:hyperlink>
      <w:r>
        <w:rPr>
          <w:b w:val="0"/>
          <w:i w:val="0"/>
        </w:rPr>
        <w:t>.</w:t>
      </w:r>
    </w:p>
    <w:p>
      <w:pPr>
        <w:widowControl/>
      </w:pPr>
      <w:r>
        <w:rPr>
          <w:b/>
          <w:i w:val="0"/>
        </w:rPr>
        <w:t>perceperimus.</w:t>
      </w:r>
      <w:r>
        <w:rPr>
          <w:b w:val="0"/>
          <w:i w:val="0"/>
        </w:rPr>
        <w:t xml:space="preserve"> </w:t>
      </w:r>
      <w:hyperlink w:anchor="latin-record-0146">
        <w:r>
          <w:rPr>
            <w:color w:val="000000"/>
          </w:rPr>
          <w:t xml:space="preserve">attingere; percipere</w:t>
        </w:r>
      </w:hyperlink>
      <w:r>
        <w:rPr>
          <w:b w:val="0"/>
          <w:i w:val="0"/>
        </w:rPr>
        <w:t>.</w:t>
      </w:r>
    </w:p>
    <w:p>
      <w:pPr>
        <w:widowControl/>
      </w:pPr>
      <w:r>
        <w:rPr>
          <w:b/>
          <w:i w:val="0"/>
        </w:rPr>
        <w:t>perceptio.</w:t>
      </w:r>
      <w:r>
        <w:rPr>
          <w:b w:val="0"/>
          <w:i w:val="0"/>
        </w:rPr>
        <w:t xml:space="preserve"> </w:t>
      </w:r>
      <w:hyperlink w:anchor="latin-record-0845">
        <w:r>
          <w:rPr>
            <w:color w:val="000000"/>
          </w:rPr>
          <w:t xml:space="preserve">notio / perceptio</w:t>
        </w:r>
      </w:hyperlink>
      <w:r>
        <w:rPr>
          <w:b w:val="0"/>
          <w:i w:val="0"/>
        </w:rPr>
        <w:t>.</w:t>
      </w:r>
    </w:p>
    <w:p>
      <w:pPr>
        <w:widowControl/>
      </w:pPr>
      <w:r>
        <w:rPr>
          <w:b/>
          <w:i w:val="0"/>
        </w:rPr>
        <w:t>perceptionem.</w:t>
      </w:r>
      <w:r>
        <w:rPr>
          <w:b w:val="0"/>
          <w:i w:val="0"/>
        </w:rPr>
        <w:t xml:space="preserve"> </w:t>
      </w:r>
      <w:hyperlink w:anchor="latin-record-0845">
        <w:r>
          <w:rPr>
            <w:color w:val="000000"/>
          </w:rPr>
          <w:t xml:space="preserve">notio / perceptio</w:t>
        </w:r>
      </w:hyperlink>
      <w:r>
        <w:rPr>
          <w:b w:val="0"/>
          <w:i w:val="0"/>
        </w:rPr>
        <w:t xml:space="preserve">; </w:t>
      </w:r>
      <w:hyperlink w:anchor="latin-record-0924">
        <w:r>
          <w:rPr>
            <w:color w:val="000000"/>
          </w:rPr>
          <w:t xml:space="preserve">perceptio / animadversio / phantasia</w:t>
        </w:r>
      </w:hyperlink>
      <w:r>
        <w:rPr>
          <w:b w:val="0"/>
          <w:i w:val="0"/>
        </w:rPr>
        <w:t>.</w:t>
      </w:r>
    </w:p>
    <w:p>
      <w:pPr>
        <w:widowControl/>
      </w:pPr>
      <w:r>
        <w:rPr>
          <w:b/>
          <w:i w:val="0"/>
        </w:rPr>
        <w:t>percipimus.</w:t>
      </w:r>
      <w:r>
        <w:rPr>
          <w:b w:val="0"/>
          <w:i w:val="0"/>
        </w:rPr>
        <w:t xml:space="preserve"> </w:t>
      </w:r>
      <w:hyperlink w:anchor="latin-record-0146">
        <w:r>
          <w:rPr>
            <w:color w:val="000000"/>
          </w:rPr>
          <w:t xml:space="preserve">attingere; percipere</w:t>
        </w:r>
      </w:hyperlink>
      <w:r>
        <w:rPr>
          <w:b w:val="0"/>
          <w:i w:val="0"/>
        </w:rPr>
        <w:t>.</w:t>
      </w:r>
    </w:p>
    <w:p>
      <w:pPr>
        <w:widowControl/>
      </w:pPr>
      <w:r>
        <w:rPr>
          <w:b/>
          <w:i w:val="0"/>
        </w:rPr>
        <w:t>percipit.</w:t>
      </w:r>
      <w:r>
        <w:rPr>
          <w:b w:val="0"/>
          <w:i w:val="0"/>
        </w:rPr>
        <w:t xml:space="preserve"> </w:t>
      </w:r>
      <w:hyperlink w:anchor="latin-record-0924">
        <w:r>
          <w:rPr>
            <w:color w:val="000000"/>
          </w:rPr>
          <w:t xml:space="preserve">perceptio / animadversio / phantasia</w:t>
        </w:r>
      </w:hyperlink>
      <w:r>
        <w:rPr>
          <w:b w:val="0"/>
          <w:i w:val="0"/>
        </w:rPr>
        <w:t xml:space="preserve">; </w:t>
      </w:r>
      <w:hyperlink w:anchor="latin-record-0925">
        <w:r>
          <w:rPr>
            <w:color w:val="000000"/>
          </w:rPr>
          <w:t xml:space="preserve">percipere (undergoing affection)</w:t>
        </w:r>
      </w:hyperlink>
      <w:r>
        <w:rPr>
          <w:b w:val="0"/>
          <w:i w:val="0"/>
        </w:rPr>
        <w:t>.</w:t>
      </w:r>
    </w:p>
    <w:p>
      <w:pPr>
        <w:widowControl/>
      </w:pPr>
      <w:r>
        <w:rPr>
          <w:b/>
          <w:i w:val="0"/>
        </w:rPr>
        <w:t>percipiunt.</w:t>
      </w:r>
      <w:r>
        <w:rPr>
          <w:b w:val="0"/>
          <w:i w:val="0"/>
        </w:rPr>
        <w:t xml:space="preserve"> </w:t>
      </w:r>
      <w:hyperlink w:anchor="latin-record-0146">
        <w:r>
          <w:rPr>
            <w:color w:val="000000"/>
          </w:rPr>
          <w:t xml:space="preserve">attingere; percipere</w:t>
        </w:r>
      </w:hyperlink>
      <w:r>
        <w:rPr>
          <w:b w:val="0"/>
          <w:i w:val="0"/>
        </w:rPr>
        <w:t>.</w:t>
      </w:r>
    </w:p>
    <w:p>
      <w:pPr>
        <w:widowControl/>
      </w:pPr>
      <w:r>
        <w:rPr>
          <w:b/>
          <w:i w:val="0"/>
        </w:rPr>
        <w:t>Percipiunt.</w:t>
      </w:r>
      <w:r>
        <w:rPr>
          <w:b w:val="0"/>
          <w:i w:val="0"/>
        </w:rPr>
        <w:t xml:space="preserve"> </w:t>
      </w:r>
      <w:hyperlink w:anchor="latin-record-0146">
        <w:r>
          <w:rPr>
            <w:color w:val="000000"/>
          </w:rPr>
          <w:t xml:space="preserve">attingere; percipere</w:t>
        </w:r>
      </w:hyperlink>
      <w:r>
        <w:rPr>
          <w:b w:val="0"/>
          <w:i w:val="0"/>
        </w:rPr>
        <w:t>.</w:t>
      </w:r>
    </w:p>
    <w:p>
      <w:pPr>
        <w:widowControl/>
      </w:pPr>
      <w:r>
        <w:rPr>
          <w:b/>
          <w:i w:val="0"/>
        </w:rPr>
        <w:t>percontabor.</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percontamur.</w:t>
      </w:r>
      <w:r>
        <w:rPr>
          <w:b w:val="0"/>
          <w:i w:val="0"/>
        </w:rPr>
        <w:t xml:space="preserve"> </w:t>
      </w:r>
      <w:hyperlink w:anchor="latin-record-1040">
        <w:r>
          <w:rPr>
            <w:color w:val="000000"/>
          </w:rPr>
          <w:t xml:space="preserve">quaerere / interrogare / percontari</w:t>
        </w:r>
      </w:hyperlink>
      <w:r>
        <w:rPr>
          <w:b w:val="0"/>
          <w:i w:val="0"/>
        </w:rPr>
        <w:t>.</w:t>
      </w:r>
    </w:p>
    <w:p>
      <w:pPr>
        <w:widowControl/>
      </w:pPr>
      <w:r>
        <w:rPr>
          <w:b/>
          <w:i w:val="0"/>
        </w:rPr>
        <w:t>percontandum.</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percontatus.</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percussionem.</w:t>
      </w:r>
      <w:r>
        <w:rPr>
          <w:b w:val="0"/>
          <w:i w:val="0"/>
        </w:rPr>
        <w:t xml:space="preserve"> </w:t>
      </w:r>
      <w:hyperlink w:anchor="latin-record-1205">
        <w:r>
          <w:rPr>
            <w:color w:val="000000"/>
          </w:rPr>
          <w:t xml:space="preserve">sonus / percussio / silentium</w:t>
        </w:r>
      </w:hyperlink>
      <w:r>
        <w:rPr>
          <w:b w:val="0"/>
          <w:i w:val="0"/>
        </w:rPr>
        <w:t>.</w:t>
      </w:r>
    </w:p>
    <w:p>
      <w:pPr>
        <w:widowControl/>
      </w:pPr>
      <w:r>
        <w:rPr>
          <w:b/>
          <w:i w:val="0"/>
        </w:rPr>
        <w:t>perdat.</w:t>
      </w:r>
      <w:r>
        <w:rPr>
          <w:b w:val="0"/>
          <w:i w:val="0"/>
        </w:rPr>
        <w:t xml:space="preserve"> </w:t>
      </w:r>
      <w:hyperlink w:anchor="latin-record-0342">
        <w:r>
          <w:rPr>
            <w:color w:val="000000"/>
          </w:rPr>
          <w:t xml:space="preserve">corrumpere / interire / perdere</w:t>
        </w:r>
      </w:hyperlink>
      <w:r>
        <w:rPr>
          <w:b w:val="0"/>
          <w:i w:val="0"/>
        </w:rPr>
        <w:t>.</w:t>
      </w:r>
    </w:p>
    <w:p>
      <w:pPr>
        <w:widowControl/>
      </w:pPr>
      <w:r>
        <w:rPr>
          <w:b/>
          <w:i w:val="0"/>
        </w:rPr>
        <w:t>perdentur.</w:t>
      </w:r>
      <w:r>
        <w:rPr>
          <w:b w:val="0"/>
          <w:i w:val="0"/>
        </w:rPr>
        <w:t xml:space="preserve"> </w:t>
      </w:r>
      <w:hyperlink w:anchor="latin-record-0560">
        <w:r>
          <w:rPr>
            <w:color w:val="000000"/>
          </w:rPr>
          <w:t xml:space="preserve">haurire; perdere; servare</w:t>
        </w:r>
      </w:hyperlink>
      <w:r>
        <w:rPr>
          <w:b w:val="0"/>
          <w:i w:val="0"/>
        </w:rPr>
        <w:t>.</w:t>
      </w:r>
    </w:p>
    <w:p>
      <w:pPr>
        <w:widowControl/>
      </w:pPr>
      <w:r>
        <w:rPr>
          <w:b/>
          <w:i w:val="0"/>
        </w:rPr>
        <w:t>perdere.</w:t>
      </w:r>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perdit.</w:t>
      </w:r>
      <w:r>
        <w:rPr>
          <w:b w:val="0"/>
          <w:i w:val="0"/>
        </w:rPr>
        <w:t xml:space="preserve"> </w:t>
      </w:r>
      <w:hyperlink w:anchor="latin-record-0926">
        <w:r>
          <w:rPr>
            <w:color w:val="000000"/>
          </w:rPr>
          <w:t xml:space="preserve">perdere / laedere</w:t>
        </w:r>
      </w:hyperlink>
      <w:r>
        <w:rPr>
          <w:b w:val="0"/>
          <w:i w:val="0"/>
        </w:rPr>
        <w:t>.</w:t>
      </w:r>
    </w:p>
    <w:p>
      <w:pPr>
        <w:widowControl/>
      </w:pPr>
      <w:r>
        <w:rPr>
          <w:b/>
          <w:i w:val="0"/>
        </w:rPr>
        <w:t>perditur.</w:t>
      </w:r>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perfecta.</w:t>
      </w:r>
      <w:r>
        <w:rPr>
          <w:b w:val="0"/>
          <w:i w:val="0"/>
        </w:rPr>
        <w:t xml:space="preserve"> </w:t>
      </w:r>
      <w:hyperlink w:anchor="latin-record-0656">
        <w:r>
          <w:rPr>
            <w:color w:val="000000"/>
          </w:rPr>
          <w:t xml:space="preserve">integra / perfecta</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1102">
        <w:r>
          <w:rPr>
            <w:color w:val="000000"/>
          </w:rPr>
          <w:t xml:space="preserve">remittere / perficere</w:t>
        </w:r>
      </w:hyperlink>
      <w:r>
        <w:rPr>
          <w:b w:val="0"/>
          <w:i w:val="0"/>
        </w:rPr>
        <w:t>.</w:t>
      </w:r>
    </w:p>
    <w:p>
      <w:pPr>
        <w:widowControl/>
      </w:pPr>
      <w:r>
        <w:rPr>
          <w:b/>
          <w:i w:val="0"/>
        </w:rPr>
        <w:t>perfecte.</w:t>
      </w:r>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perfectior.</w:t>
      </w:r>
      <w:r>
        <w:rPr>
          <w:b w:val="0"/>
          <w:i w:val="0"/>
        </w:rPr>
        <w:t xml:space="preserve"> </w:t>
      </w:r>
      <w:hyperlink w:anchor="latin-record-1102">
        <w:r>
          <w:rPr>
            <w:color w:val="000000"/>
          </w:rPr>
          <w:t xml:space="preserve">remittere / perficere</w:t>
        </w:r>
      </w:hyperlink>
      <w:r>
        <w:rPr>
          <w:b w:val="0"/>
          <w:i w:val="0"/>
        </w:rPr>
        <w:t>.</w:t>
      </w:r>
    </w:p>
    <w:p>
      <w:pPr>
        <w:widowControl/>
      </w:pPr>
      <w:r>
        <w:rPr>
          <w:b/>
          <w:i w:val="0"/>
        </w:rPr>
        <w:t>perfectioribus.</w:t>
      </w:r>
      <w:r>
        <w:rPr>
          <w:b w:val="0"/>
          <w:i w:val="0"/>
        </w:rPr>
        <w:t xml:space="preserve"> </w:t>
      </w:r>
      <w:hyperlink w:anchor="latin-record-0579">
        <w:r>
          <w:rPr>
            <w:color w:val="000000"/>
          </w:rPr>
          <w:t xml:space="preserve">idoneus / vilis / perfectior</w:t>
        </w:r>
      </w:hyperlink>
      <w:r>
        <w:rPr>
          <w:b w:val="0"/>
          <w:i w:val="0"/>
        </w:rPr>
        <w:t>.</w:t>
      </w:r>
    </w:p>
    <w:p>
      <w:pPr>
        <w:widowControl/>
      </w:pPr>
      <w:r>
        <w:rPr>
          <w:b/>
          <w:i w:val="0"/>
        </w:rPr>
        <w:t>perfectissima.</w:t>
      </w:r>
      <w:r>
        <w:rPr>
          <w:b w:val="0"/>
          <w:i w:val="0"/>
        </w:rPr>
        <w:t xml:space="preserve"> </w:t>
      </w:r>
      <w:hyperlink w:anchor="latin-record-0927">
        <w:r>
          <w:rPr>
            <w:color w:val="000000"/>
          </w:rPr>
          <w:t xml:space="preserve">perfectus; imperfectus; perficere</w:t>
        </w:r>
      </w:hyperlink>
      <w:r>
        <w:rPr>
          <w:b w:val="0"/>
          <w:i w:val="0"/>
        </w:rPr>
        <w:t xml:space="preserve">; </w:t>
      </w:r>
      <w:hyperlink w:anchor="latin-record-1102">
        <w:r>
          <w:rPr>
            <w:color w:val="000000"/>
          </w:rPr>
          <w:t xml:space="preserve">remittere / perficere</w:t>
        </w:r>
      </w:hyperlink>
      <w:r>
        <w:rPr>
          <w:b w:val="0"/>
          <w:i w:val="0"/>
        </w:rPr>
        <w:t>.</w:t>
      </w:r>
    </w:p>
    <w:p>
      <w:pPr>
        <w:widowControl/>
      </w:pPr>
      <w:r>
        <w:rPr>
          <w:b/>
          <w:i w:val="0"/>
        </w:rPr>
        <w:t>perfectum.</w:t>
      </w:r>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perfectum requirit agentem.</w:t>
      </w:r>
      <w:r>
        <w:rPr>
          <w:b w:val="0"/>
          <w:i w:val="0"/>
        </w:rPr>
        <w:t xml:space="preserve"> </w:t>
      </w:r>
      <w:hyperlink w:anchor="latin-record-0487">
        <w:r>
          <w:rPr>
            <w:color w:val="000000"/>
          </w:rPr>
          <w:t xml:space="preserve">figurare; perfectus agens</w:t>
        </w:r>
      </w:hyperlink>
      <w:r>
        <w:rPr>
          <w:b w:val="0"/>
          <w:i w:val="0"/>
        </w:rPr>
        <w:t>.</w:t>
      </w:r>
    </w:p>
    <w:p>
      <w:pPr>
        <w:widowControl/>
      </w:pPr>
      <w:r>
        <w:rPr>
          <w:b/>
          <w:i w:val="0"/>
        </w:rPr>
        <w:t>perficere.</w:t>
      </w:r>
      <w:r>
        <w:rPr>
          <w:b w:val="0"/>
          <w:i w:val="0"/>
        </w:rPr>
        <w:t xml:space="preserve"> </w:t>
      </w:r>
      <w:hyperlink w:anchor="latin-record-0361">
        <w:r>
          <w:rPr>
            <w:color w:val="000000"/>
          </w:rPr>
          <w:t xml:space="preserve">deficere; perficere</w:t>
        </w:r>
      </w:hyperlink>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perficiatur.</w:t>
      </w:r>
      <w:r>
        <w:rPr>
          <w:b w:val="0"/>
          <w:i w:val="0"/>
        </w:rPr>
        <w:t xml:space="preserve"> </w:t>
      </w:r>
      <w:hyperlink w:anchor="latin-record-0510">
        <w:r>
          <w:rPr>
            <w:color w:val="000000"/>
          </w:rPr>
          <w:t xml:space="preserve">formare / perficere (intellectual self-formation)</w:t>
        </w:r>
      </w:hyperlink>
      <w:r>
        <w:rPr>
          <w:b w:val="0"/>
          <w:i w:val="0"/>
        </w:rPr>
        <w:t>.</w:t>
      </w:r>
    </w:p>
    <w:p>
      <w:pPr>
        <w:widowControl/>
      </w:pPr>
      <w:r>
        <w:rPr>
          <w:b/>
          <w:i w:val="0"/>
        </w:rPr>
        <w:t>perficit.</w:t>
      </w:r>
      <w:r>
        <w:rPr>
          <w:b w:val="0"/>
          <w:i w:val="0"/>
        </w:rPr>
        <w:t xml:space="preserve"> </w:t>
      </w:r>
      <w:hyperlink w:anchor="latin-record-0510">
        <w:r>
          <w:rPr>
            <w:color w:val="000000"/>
          </w:rPr>
          <w:t xml:space="preserve">formare / perficere (intellectual self-formation)</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1102">
        <w:r>
          <w:rPr>
            <w:color w:val="000000"/>
          </w:rPr>
          <w:t xml:space="preserve">remittere / perficere</w:t>
        </w:r>
      </w:hyperlink>
      <w:r>
        <w:rPr>
          <w:b w:val="0"/>
          <w:i w:val="0"/>
        </w:rPr>
        <w:t>.</w:t>
      </w:r>
    </w:p>
    <w:p>
      <w:pPr>
        <w:widowControl/>
      </w:pPr>
      <w:r>
        <w:rPr>
          <w:b/>
          <w:i w:val="0"/>
        </w:rPr>
        <w:t>perficitur.</w:t>
      </w:r>
      <w:r>
        <w:rPr>
          <w:b w:val="0"/>
          <w:i w:val="0"/>
        </w:rPr>
        <w:t xml:space="preserve"> </w:t>
      </w:r>
      <w:hyperlink w:anchor="latin-record-0927">
        <w:r>
          <w:rPr>
            <w:color w:val="000000"/>
          </w:rPr>
          <w:t xml:space="preserve">perfectus; imperfectus; perficere</w:t>
        </w:r>
      </w:hyperlink>
      <w:r>
        <w:rPr>
          <w:b w:val="0"/>
          <w:i w:val="0"/>
        </w:rPr>
        <w:t>.</w:t>
      </w:r>
    </w:p>
    <w:p>
      <w:pPr>
        <w:widowControl/>
      </w:pPr>
      <w:r>
        <w:rPr>
          <w:b/>
          <w:i w:val="0"/>
        </w:rPr>
        <w:t>perierit.</w:t>
      </w:r>
      <w:r>
        <w:rPr>
          <w:b w:val="0"/>
          <w:i w:val="0"/>
        </w:rPr>
        <w:t xml:space="preserve"> </w:t>
      </w:r>
      <w:hyperlink w:anchor="latin-record-0343">
        <w:r>
          <w:rPr>
            <w:color w:val="000000"/>
          </w:rPr>
          <w:t xml:space="preserve">corrumpere / perdere / interire</w:t>
        </w:r>
      </w:hyperlink>
      <w:r>
        <w:rPr>
          <w:b w:val="0"/>
          <w:i w:val="0"/>
        </w:rPr>
        <w:t>.</w:t>
      </w:r>
    </w:p>
    <w:p>
      <w:pPr>
        <w:widowControl/>
      </w:pPr>
      <w:r>
        <w:rPr>
          <w:b/>
          <w:i w:val="0"/>
        </w:rPr>
        <w:t>Peripatetici.</w:t>
      </w:r>
      <w:r>
        <w:rPr>
          <w:b w:val="0"/>
          <w:i w:val="0"/>
        </w:rPr>
        <w:t xml:space="preserve"> </w:t>
      </w:r>
      <w:hyperlink w:anchor="latin-record-0953">
        <w:r>
          <w:rPr>
            <w:color w:val="000000"/>
          </w:rPr>
          <w:t xml:space="preserve">Platonici; Peripatetici</w:t>
        </w:r>
      </w:hyperlink>
      <w:r>
        <w:rPr>
          <w:b w:val="0"/>
          <w:i w:val="0"/>
        </w:rPr>
        <w:t>.</w:t>
      </w:r>
    </w:p>
    <w:p>
      <w:pPr>
        <w:widowControl/>
      </w:pPr>
      <w:r>
        <w:rPr>
          <w:b/>
          <w:i w:val="0"/>
        </w:rPr>
        <w:t>Peripateticis.</w:t>
      </w:r>
      <w:r>
        <w:rPr>
          <w:b w:val="0"/>
          <w:i w:val="0"/>
        </w:rPr>
        <w:t xml:space="preserve"> </w:t>
      </w:r>
      <w:hyperlink w:anchor="latin-record-0953">
        <w:r>
          <w:rPr>
            <w:color w:val="000000"/>
          </w:rPr>
          <w:t xml:space="preserve">Platonici; Peripatetici</w:t>
        </w:r>
      </w:hyperlink>
      <w:r>
        <w:rPr>
          <w:b w:val="0"/>
          <w:i w:val="0"/>
        </w:rPr>
        <w:t>.</w:t>
      </w:r>
    </w:p>
    <w:p>
      <w:pPr>
        <w:widowControl/>
      </w:pPr>
      <w:r>
        <w:rPr>
          <w:b/>
          <w:i w:val="0"/>
        </w:rPr>
        <w:t>perit.</w:t>
      </w:r>
      <w:r>
        <w:rPr>
          <w:b w:val="0"/>
          <w:i w:val="0"/>
        </w:rPr>
        <w:t xml:space="preserve"> </w:t>
      </w:r>
      <w:hyperlink w:anchor="latin-record-0671">
        <w:r>
          <w:rPr>
            <w:color w:val="000000"/>
          </w:rPr>
          <w:t xml:space="preserve">interire / perire / abire</w:t>
        </w:r>
      </w:hyperlink>
      <w:r>
        <w:rPr>
          <w:b w:val="0"/>
          <w:i w:val="0"/>
        </w:rPr>
        <w:t>.</w:t>
      </w:r>
    </w:p>
    <w:p>
      <w:pPr>
        <w:widowControl/>
      </w:pPr>
      <w:r>
        <w:rPr>
          <w:b/>
          <w:i w:val="0"/>
        </w:rPr>
        <w:t>permanat.</w:t>
      </w:r>
      <w:r>
        <w:rPr>
          <w:b w:val="0"/>
          <w:i w:val="0"/>
        </w:rPr>
        <w:t xml:space="preserve"> </w:t>
      </w:r>
      <w:hyperlink w:anchor="latin-record-0533">
        <w:r>
          <w:rPr>
            <w:color w:val="000000"/>
          </w:rPr>
          <w:t xml:space="preserve">fundere / diffundere / permanare</w:t>
        </w:r>
      </w:hyperlink>
      <w:r>
        <w:rPr>
          <w:b w:val="0"/>
          <w:i w:val="0"/>
        </w:rPr>
        <w:t>.</w:t>
      </w:r>
    </w:p>
    <w:p>
      <w:pPr>
        <w:widowControl/>
      </w:pPr>
      <w:r>
        <w:rPr>
          <w:b/>
          <w:i w:val="0"/>
        </w:rPr>
        <w:t>permanebunt.</w:t>
      </w:r>
      <w:r>
        <w:rPr>
          <w:b w:val="0"/>
          <w:i w:val="0"/>
        </w:rPr>
        <w:t xml:space="preserve"> </w:t>
      </w:r>
      <w:hyperlink w:anchor="latin-record-0753">
        <w:r>
          <w:rPr>
            <w:color w:val="000000"/>
          </w:rPr>
          <w:t xml:space="preserve">manere; permanere; constare</w:t>
        </w:r>
      </w:hyperlink>
      <w:r>
        <w:rPr>
          <w:b w:val="0"/>
          <w:i w:val="0"/>
        </w:rPr>
        <w:t>.</w:t>
      </w:r>
    </w:p>
    <w:p>
      <w:pPr>
        <w:widowControl/>
      </w:pPr>
      <w:r>
        <w:rPr>
          <w:b/>
          <w:i w:val="0"/>
        </w:rPr>
        <w:t>permanens.</w:t>
      </w:r>
      <w:r>
        <w:rPr>
          <w:b w:val="0"/>
          <w:i w:val="0"/>
        </w:rPr>
        <w:t xml:space="preserve"> </w:t>
      </w:r>
      <w:hyperlink w:anchor="latin-record-0928">
        <w:r>
          <w:rPr>
            <w:color w:val="000000"/>
          </w:rPr>
          <w:t xml:space="preserve">permanere / manere / remanere</w:t>
        </w:r>
      </w:hyperlink>
      <w:r>
        <w:rPr>
          <w:b w:val="0"/>
          <w:i w:val="0"/>
        </w:rPr>
        <w:t>.</w:t>
      </w:r>
    </w:p>
    <w:p>
      <w:pPr>
        <w:widowControl/>
      </w:pPr>
      <w:r>
        <w:rPr>
          <w:b/>
          <w:i w:val="0"/>
        </w:rPr>
        <w:t>permanent.</w:t>
      </w:r>
      <w:r>
        <w:rPr>
          <w:b w:val="0"/>
          <w:i w:val="0"/>
        </w:rPr>
        <w:t xml:space="preserve"> </w:t>
      </w:r>
      <w:hyperlink w:anchor="latin-record-0930">
        <w:r>
          <w:rPr>
            <w:color w:val="000000"/>
          </w:rPr>
          <w:t xml:space="preserve">permanere / restare / superesse</w:t>
        </w:r>
      </w:hyperlink>
      <w:r>
        <w:rPr>
          <w:b w:val="0"/>
          <w:i w:val="0"/>
        </w:rPr>
        <w:t>.</w:t>
      </w:r>
    </w:p>
    <w:p>
      <w:pPr>
        <w:widowControl/>
      </w:pPr>
      <w:r>
        <w:rPr>
          <w:b/>
          <w:i w:val="0"/>
        </w:rPr>
        <w:t>permanere.</w:t>
      </w:r>
      <w:r>
        <w:rPr>
          <w:b w:val="0"/>
          <w:i w:val="0"/>
        </w:rPr>
        <w:t xml:space="preserve"> </w:t>
      </w:r>
      <w:hyperlink w:anchor="latin-record-0753">
        <w:r>
          <w:rPr>
            <w:color w:val="000000"/>
          </w:rPr>
          <w:t xml:space="preserve">manere; permanere; constare</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0929">
        <w:r>
          <w:rPr>
            <w:color w:val="000000"/>
          </w:rPr>
          <w:t xml:space="preserve">permanere / perseverare</w:t>
        </w:r>
      </w:hyperlink>
      <w:r>
        <w:rPr>
          <w:b w:val="0"/>
          <w:i w:val="0"/>
        </w:rPr>
        <w:t>.</w:t>
      </w:r>
    </w:p>
    <w:p>
      <w:pPr>
        <w:widowControl/>
      </w:pPr>
      <w:r>
        <w:rPr>
          <w:b/>
          <w:i w:val="0"/>
        </w:rPr>
        <w:t>permanet.</w:t>
      </w:r>
      <w:r>
        <w:rPr>
          <w:b w:val="0"/>
          <w:i w:val="0"/>
        </w:rPr>
        <w:t xml:space="preserve"> </w:t>
      </w:r>
      <w:hyperlink w:anchor="latin-record-0753">
        <w:r>
          <w:rPr>
            <w:color w:val="000000"/>
          </w:rPr>
          <w:t xml:space="preserve">manere; permanere; constare</w:t>
        </w:r>
      </w:hyperlink>
      <w:r>
        <w:rPr>
          <w:b w:val="0"/>
          <w:i w:val="0"/>
        </w:rPr>
        <w:t xml:space="preserve">; </w:t>
      </w:r>
      <w:hyperlink w:anchor="latin-record-0929">
        <w:r>
          <w:rPr>
            <w:color w:val="000000"/>
          </w:rPr>
          <w:t xml:space="preserve">permanere / perseverare</w:t>
        </w:r>
      </w:hyperlink>
      <w:r>
        <w:rPr>
          <w:b w:val="0"/>
          <w:i w:val="0"/>
        </w:rPr>
        <w:t xml:space="preserve">; </w:t>
      </w:r>
      <w:hyperlink w:anchor="latin-record-0930">
        <w:r>
          <w:rPr>
            <w:color w:val="000000"/>
          </w:rPr>
          <w:t xml:space="preserve">permanere / restare / superesse</w:t>
        </w:r>
      </w:hyperlink>
      <w:r>
        <w:rPr>
          <w:b w:val="0"/>
          <w:i w:val="0"/>
        </w:rPr>
        <w:t>.</w:t>
      </w:r>
    </w:p>
    <w:p>
      <w:pPr>
        <w:widowControl/>
      </w:pPr>
      <w:r>
        <w:rPr>
          <w:b/>
          <w:i w:val="0"/>
        </w:rPr>
        <w:t>permanet idem.</w:t>
      </w:r>
      <w:r>
        <w:rPr>
          <w:b w:val="0"/>
          <w:i w:val="0"/>
        </w:rPr>
        <w:t xml:space="preserve"> </w:t>
      </w:r>
      <w:hyperlink w:anchor="latin-record-0870">
        <w:r>
          <w:rPr>
            <w:color w:val="000000"/>
          </w:rPr>
          <w:t xml:space="preserve">opposita suscipere</w:t>
        </w:r>
      </w:hyperlink>
      <w:r>
        <w:rPr>
          <w:b w:val="0"/>
          <w:i w:val="0"/>
        </w:rPr>
        <w:t>.</w:t>
      </w:r>
    </w:p>
    <w:p>
      <w:pPr>
        <w:widowControl/>
      </w:pPr>
      <w:r>
        <w:rPr>
          <w:b/>
          <w:i w:val="0"/>
        </w:rPr>
        <w:t>permutari.</w:t>
      </w:r>
      <w:r>
        <w:rPr>
          <w:b w:val="0"/>
          <w:i w:val="0"/>
        </w:rPr>
        <w:t xml:space="preserve"> </w:t>
      </w:r>
      <w:hyperlink w:anchor="latin-record-0248">
        <w:r>
          <w:rPr>
            <w:color w:val="000000"/>
          </w:rPr>
          <w:t xml:space="preserve">commutare / transmutare</w:t>
        </w:r>
      </w:hyperlink>
      <w:r>
        <w:rPr>
          <w:b w:val="0"/>
          <w:i w:val="0"/>
        </w:rPr>
        <w:t>.</w:t>
      </w:r>
    </w:p>
    <w:p>
      <w:pPr>
        <w:widowControl/>
      </w:pPr>
      <w:r>
        <w:rPr>
          <w:b/>
          <w:i w:val="0"/>
        </w:rPr>
        <w:t>permutatur.</w:t>
      </w:r>
      <w:r>
        <w:rPr>
          <w:b w:val="0"/>
          <w:i w:val="0"/>
        </w:rPr>
        <w:t xml:space="preserve"> </w:t>
      </w:r>
      <w:hyperlink w:anchor="latin-record-0818">
        <w:r>
          <w:rPr>
            <w:color w:val="000000"/>
          </w:rPr>
          <w:t xml:space="preserve">mutatio / mutare</w:t>
        </w:r>
      </w:hyperlink>
      <w:r>
        <w:rPr>
          <w:b w:val="0"/>
          <w:i w:val="0"/>
        </w:rPr>
        <w:t>.</w:t>
      </w:r>
    </w:p>
    <w:p>
      <w:pPr>
        <w:widowControl/>
      </w:pPr>
      <w:r>
        <w:rPr>
          <w:b/>
          <w:i w:val="0"/>
        </w:rPr>
        <w:t>perniciem.</w:t>
      </w:r>
      <w:r>
        <w:rPr>
          <w:b w:val="0"/>
          <w:i w:val="0"/>
        </w:rPr>
        <w:t xml:space="preserve"> </w:t>
      </w:r>
      <w:hyperlink w:anchor="latin-record-0932">
        <w:r>
          <w:rPr>
            <w:color w:val="000000"/>
          </w:rPr>
          <w:t xml:space="preserve">pernicies / diligere opus</w:t>
        </w:r>
      </w:hyperlink>
      <w:r>
        <w:rPr>
          <w:b w:val="0"/>
          <w:i w:val="0"/>
        </w:rPr>
        <w:t>.</w:t>
      </w:r>
    </w:p>
    <w:p>
      <w:pPr>
        <w:widowControl/>
      </w:pPr>
      <w:r>
        <w:rPr>
          <w:b/>
          <w:i w:val="0"/>
        </w:rPr>
        <w:t>perpetua.</w:t>
      </w:r>
      <w:r>
        <w:rPr>
          <w:b w:val="0"/>
          <w:i w:val="0"/>
        </w:rPr>
        <w:t xml:space="preserve"> </w:t>
      </w:r>
      <w:hyperlink w:anchor="latin-record-0599">
        <w:r>
          <w:rPr>
            <w:color w:val="000000"/>
          </w:rPr>
          <w:t xml:space="preserve">immortalis; perpetuus; sempiternus</w:t>
        </w:r>
      </w:hyperlink>
      <w:r>
        <w:rPr>
          <w:b w:val="0"/>
          <w:i w:val="0"/>
        </w:rPr>
        <w:t xml:space="preserve">; </w:t>
      </w:r>
      <w:hyperlink w:anchor="latin-record-0933">
        <w:r>
          <w:rPr>
            <w:color w:val="000000"/>
          </w:rPr>
          <w:t xml:space="preserve">perpetuus</w:t>
        </w:r>
      </w:hyperlink>
      <w:r>
        <w:rPr>
          <w:b w:val="0"/>
          <w:i w:val="0"/>
        </w:rPr>
        <w:t xml:space="preserve">; </w:t>
      </w:r>
      <w:hyperlink w:anchor="latin-record-0934">
        <w:r>
          <w:rPr>
            <w:color w:val="000000"/>
          </w:rPr>
          <w:t xml:space="preserve">perpetuus / sempiternus</w:t>
        </w:r>
      </w:hyperlink>
      <w:r>
        <w:rPr>
          <w:b w:val="0"/>
          <w:i w:val="0"/>
        </w:rPr>
        <w:t>.</w:t>
      </w:r>
    </w:p>
    <w:p>
      <w:pPr>
        <w:widowControl/>
      </w:pPr>
      <w:r>
        <w:rPr>
          <w:b/>
          <w:i w:val="0"/>
        </w:rPr>
        <w:t>perpetuam.</w:t>
      </w:r>
      <w:r>
        <w:rPr>
          <w:b w:val="0"/>
          <w:i w:val="0"/>
        </w:rPr>
        <w:t xml:space="preserve"> </w:t>
      </w:r>
      <w:hyperlink w:anchor="latin-record-0933">
        <w:r>
          <w:rPr>
            <w:color w:val="000000"/>
          </w:rPr>
          <w:t xml:space="preserve">perpetuus</w:t>
        </w:r>
      </w:hyperlink>
      <w:r>
        <w:rPr>
          <w:b w:val="0"/>
          <w:i w:val="0"/>
        </w:rPr>
        <w:t xml:space="preserve">; </w:t>
      </w:r>
      <w:hyperlink w:anchor="latin-record-0934">
        <w:r>
          <w:rPr>
            <w:color w:val="000000"/>
          </w:rPr>
          <w:t xml:space="preserve">perpetuus / sempiternus</w:t>
        </w:r>
      </w:hyperlink>
      <w:r>
        <w:rPr>
          <w:b w:val="0"/>
          <w:i w:val="0"/>
        </w:rPr>
        <w:t>.</w:t>
      </w:r>
    </w:p>
    <w:p>
      <w:pPr>
        <w:widowControl/>
      </w:pPr>
      <w:r>
        <w:rPr>
          <w:b/>
          <w:i w:val="0"/>
        </w:rPr>
        <w:t>perpetuaque.</w:t>
      </w:r>
      <w:r>
        <w:rPr>
          <w:b w:val="0"/>
          <w:i w:val="0"/>
        </w:rPr>
        <w:t xml:space="preserve"> </w:t>
      </w:r>
      <w:hyperlink w:anchor="latin-record-0599">
        <w:r>
          <w:rPr>
            <w:color w:val="000000"/>
          </w:rPr>
          <w:t xml:space="preserve">immortalis; perpetuus; sempiternus</w:t>
        </w:r>
      </w:hyperlink>
      <w:r>
        <w:rPr>
          <w:b w:val="0"/>
          <w:i w:val="0"/>
        </w:rPr>
        <w:t>.</w:t>
      </w:r>
    </w:p>
    <w:p>
      <w:pPr>
        <w:widowControl/>
      </w:pPr>
      <w:r>
        <w:rPr>
          <w:b/>
          <w:i w:val="0"/>
        </w:rPr>
        <w:t>perpetuis.</w:t>
      </w:r>
      <w:r>
        <w:rPr>
          <w:b w:val="0"/>
          <w:i w:val="0"/>
        </w:rPr>
        <w:t xml:space="preserve"> </w:t>
      </w:r>
      <w:hyperlink w:anchor="latin-record-0933">
        <w:r>
          <w:rPr>
            <w:color w:val="000000"/>
          </w:rPr>
          <w:t xml:space="preserve">perpetuus</w:t>
        </w:r>
      </w:hyperlink>
      <w:r>
        <w:rPr>
          <w:b w:val="0"/>
          <w:i w:val="0"/>
        </w:rPr>
        <w:t>.</w:t>
      </w:r>
    </w:p>
    <w:p>
      <w:pPr>
        <w:widowControl/>
      </w:pPr>
      <w:r>
        <w:rPr>
          <w:b/>
          <w:i w:val="0"/>
        </w:rPr>
        <w:t>perpetuo.</w:t>
      </w:r>
      <w:r>
        <w:rPr>
          <w:b w:val="0"/>
          <w:i w:val="0"/>
        </w:rPr>
        <w:t xml:space="preserve"> </w:t>
      </w:r>
      <w:hyperlink w:anchor="latin-record-0599">
        <w:r>
          <w:rPr>
            <w:color w:val="000000"/>
          </w:rPr>
          <w:t xml:space="preserve">immortalis; perpetuus; sempiternus</w:t>
        </w:r>
      </w:hyperlink>
      <w:r>
        <w:rPr>
          <w:b w:val="0"/>
          <w:i w:val="0"/>
        </w:rPr>
        <w:t xml:space="preserve">; </w:t>
      </w:r>
      <w:hyperlink w:anchor="latin-record-0933">
        <w:r>
          <w:rPr>
            <w:color w:val="000000"/>
          </w:rPr>
          <w:t xml:space="preserve">perpetuus</w:t>
        </w:r>
      </w:hyperlink>
      <w:r>
        <w:rPr>
          <w:b w:val="0"/>
          <w:i w:val="0"/>
        </w:rPr>
        <w:t xml:space="preserve">; </w:t>
      </w:r>
      <w:hyperlink w:anchor="latin-record-0934">
        <w:r>
          <w:rPr>
            <w:color w:val="000000"/>
          </w:rPr>
          <w:t xml:space="preserve">perpetuus / sempiternus</w:t>
        </w:r>
      </w:hyperlink>
      <w:r>
        <w:rPr>
          <w:b w:val="0"/>
          <w:i w:val="0"/>
        </w:rPr>
        <w:t>.</w:t>
      </w:r>
    </w:p>
    <w:p>
      <w:pPr>
        <w:widowControl/>
      </w:pPr>
      <w:r>
        <w:rPr>
          <w:b/>
          <w:i w:val="0"/>
        </w:rPr>
        <w:t>perpetuum.</w:t>
      </w:r>
      <w:r>
        <w:rPr>
          <w:b w:val="0"/>
          <w:i w:val="0"/>
        </w:rPr>
        <w:t xml:space="preserve"> </w:t>
      </w:r>
      <w:hyperlink w:anchor="latin-record-0933">
        <w:r>
          <w:rPr>
            <w:color w:val="000000"/>
          </w:rPr>
          <w:t xml:space="preserve">perpetuus</w:t>
        </w:r>
      </w:hyperlink>
      <w:r>
        <w:rPr>
          <w:b w:val="0"/>
          <w:i w:val="0"/>
        </w:rPr>
        <w:t>.</w:t>
      </w:r>
    </w:p>
    <w:p>
      <w:pPr>
        <w:widowControl/>
      </w:pPr>
      <w:r>
        <w:rPr>
          <w:b/>
          <w:i w:val="0"/>
        </w:rPr>
        <w:t>perpetuus.</w:t>
      </w:r>
      <w:r>
        <w:rPr>
          <w:b w:val="0"/>
          <w:i w:val="0"/>
        </w:rPr>
        <w:t xml:space="preserve"> </w:t>
      </w:r>
      <w:hyperlink w:anchor="latin-record-0599">
        <w:r>
          <w:rPr>
            <w:color w:val="000000"/>
          </w:rPr>
          <w:t xml:space="preserve">immortalis; perpetuus; sempiternus</w:t>
        </w:r>
      </w:hyperlink>
      <w:r>
        <w:rPr>
          <w:b w:val="0"/>
          <w:i w:val="0"/>
        </w:rPr>
        <w:t xml:space="preserve">; </w:t>
      </w:r>
      <w:hyperlink w:anchor="latin-record-0933">
        <w:r>
          <w:rPr>
            <w:color w:val="000000"/>
          </w:rPr>
          <w:t xml:space="preserve">perpetuus</w:t>
        </w:r>
      </w:hyperlink>
      <w:r>
        <w:rPr>
          <w:b w:val="0"/>
          <w:i w:val="0"/>
        </w:rPr>
        <w:t>.</w:t>
      </w:r>
    </w:p>
    <w:p>
      <w:pPr>
        <w:widowControl/>
      </w:pPr>
      <w:r>
        <w:rPr>
          <w:b/>
          <w:i w:val="0"/>
        </w:rPr>
        <w:t>persensio.</w:t>
      </w:r>
      <w:r>
        <w:rPr>
          <w:b w:val="0"/>
          <w:i w:val="0"/>
        </w:rPr>
        <w:t xml:space="preserve"> </w:t>
      </w:r>
      <w:hyperlink w:anchor="latin-record-0351">
        <w:r>
          <w:rPr>
            <w:color w:val="000000"/>
          </w:rPr>
          <w:t xml:space="preserve">cruciatus / molestia / persensio</w:t>
        </w:r>
      </w:hyperlink>
      <w:r>
        <w:rPr>
          <w:b w:val="0"/>
          <w:i w:val="0"/>
        </w:rPr>
        <w:t>.</w:t>
      </w:r>
    </w:p>
    <w:p>
      <w:pPr>
        <w:widowControl/>
      </w:pPr>
      <w:r>
        <w:rPr>
          <w:b/>
          <w:i w:val="0"/>
        </w:rPr>
        <w:t>persentiat.</w:t>
      </w:r>
      <w:r>
        <w:rPr>
          <w:b w:val="0"/>
          <w:i w:val="0"/>
        </w:rPr>
        <w:t xml:space="preserve"> </w:t>
      </w:r>
      <w:hyperlink w:anchor="latin-record-0145">
        <w:r>
          <w:rPr>
            <w:color w:val="000000"/>
          </w:rPr>
          <w:t xml:space="preserve">attingere / persentire</w:t>
        </w:r>
      </w:hyperlink>
      <w:r>
        <w:rPr>
          <w:b w:val="0"/>
          <w:i w:val="0"/>
        </w:rPr>
        <w:t>.</w:t>
      </w:r>
    </w:p>
    <w:p>
      <w:pPr>
        <w:widowControl/>
      </w:pPr>
      <w:r>
        <w:rPr>
          <w:b/>
          <w:i w:val="0"/>
        </w:rPr>
        <w:t>perseveret.</w:t>
      </w:r>
      <w:r>
        <w:rPr>
          <w:b w:val="0"/>
          <w:i w:val="0"/>
        </w:rPr>
        <w:t xml:space="preserve"> </w:t>
      </w:r>
      <w:hyperlink w:anchor="latin-record-0929">
        <w:r>
          <w:rPr>
            <w:color w:val="000000"/>
          </w:rPr>
          <w:t xml:space="preserve">permanere / perseverare</w:t>
        </w:r>
      </w:hyperlink>
      <w:r>
        <w:rPr>
          <w:b w:val="0"/>
          <w:i w:val="0"/>
        </w:rPr>
        <w:t>.</w:t>
      </w:r>
    </w:p>
    <w:p>
      <w:pPr>
        <w:widowControl/>
      </w:pPr>
      <w:r>
        <w:rPr>
          <w:b/>
          <w:i w:val="0"/>
        </w:rPr>
        <w:t>persona.</w:t>
      </w:r>
      <w:r>
        <w:rPr>
          <w:b w:val="0"/>
          <w:i w:val="0"/>
        </w:rPr>
        <w:t xml:space="preserve"> </w:t>
      </w:r>
      <w:hyperlink w:anchor="latin-record-0936">
        <w:r>
          <w:rPr>
            <w:color w:val="000000"/>
          </w:rPr>
          <w:t xml:space="preserve">persona / verba</w:t>
        </w:r>
      </w:hyperlink>
      <w:r>
        <w:rPr>
          <w:b w:val="0"/>
          <w:i w:val="0"/>
        </w:rPr>
        <w:t>.</w:t>
      </w:r>
    </w:p>
    <w:p>
      <w:pPr>
        <w:widowControl/>
      </w:pPr>
      <w:r>
        <w:rPr>
          <w:b/>
          <w:i w:val="0"/>
        </w:rPr>
        <w:t>personae.</w:t>
      </w:r>
      <w:r>
        <w:rPr>
          <w:b w:val="0"/>
          <w:i w:val="0"/>
        </w:rPr>
        <w:t xml:space="preserve"> </w:t>
      </w:r>
      <w:hyperlink w:anchor="latin-record-0935">
        <w:r>
          <w:rPr>
            <w:color w:val="000000"/>
          </w:rPr>
          <w:t xml:space="preserve">persona</w:t>
        </w:r>
      </w:hyperlink>
      <w:r>
        <w:rPr>
          <w:b w:val="0"/>
          <w:i w:val="0"/>
        </w:rPr>
        <w:t>.</w:t>
      </w:r>
    </w:p>
    <w:p>
      <w:pPr>
        <w:widowControl/>
      </w:pPr>
      <w:r>
        <w:rPr>
          <w:b/>
          <w:i w:val="0"/>
        </w:rPr>
        <w:t>personarum.</w:t>
      </w:r>
      <w:r>
        <w:rPr>
          <w:b w:val="0"/>
          <w:i w:val="0"/>
        </w:rPr>
        <w:t xml:space="preserve"> </w:t>
      </w:r>
      <w:hyperlink w:anchor="latin-record-0935">
        <w:r>
          <w:rPr>
            <w:color w:val="000000"/>
          </w:rPr>
          <w:t xml:space="preserve">persona</w:t>
        </w:r>
      </w:hyperlink>
      <w:r>
        <w:rPr>
          <w:b w:val="0"/>
          <w:i w:val="0"/>
        </w:rPr>
        <w:t>.</w:t>
      </w:r>
    </w:p>
    <w:p>
      <w:pPr>
        <w:widowControl/>
      </w:pPr>
      <w:r>
        <w:rPr>
          <w:b/>
          <w:i w:val="0"/>
        </w:rPr>
        <w:t>personis.</w:t>
      </w:r>
      <w:r>
        <w:rPr>
          <w:b w:val="0"/>
          <w:i w:val="0"/>
        </w:rPr>
        <w:t xml:space="preserve"> </w:t>
      </w:r>
      <w:hyperlink w:anchor="latin-record-0935">
        <w:r>
          <w:rPr>
            <w:color w:val="000000"/>
          </w:rPr>
          <w:t xml:space="preserve">persona</w:t>
        </w:r>
      </w:hyperlink>
      <w:r>
        <w:rPr>
          <w:b w:val="0"/>
          <w:i w:val="0"/>
        </w:rPr>
        <w:t>.</w:t>
      </w:r>
    </w:p>
    <w:p>
      <w:pPr>
        <w:widowControl/>
      </w:pPr>
      <w:r>
        <w:rPr>
          <w:b/>
          <w:i w:val="0"/>
        </w:rPr>
        <w:t>perspicere.</w:t>
      </w:r>
      <w:r>
        <w:rPr>
          <w:b w:val="0"/>
          <w:i w:val="0"/>
        </w:rPr>
        <w:t xml:space="preserve"> </w:t>
      </w:r>
      <w:hyperlink w:anchor="latin-record-0937">
        <w:r>
          <w:rPr>
            <w:color w:val="000000"/>
          </w:rPr>
          <w:t xml:space="preserve">perspicere; prospicere; pervidere</w:t>
        </w:r>
      </w:hyperlink>
      <w:r>
        <w:rPr>
          <w:b w:val="0"/>
          <w:i w:val="0"/>
        </w:rPr>
        <w:t>.</w:t>
      </w:r>
    </w:p>
    <w:p>
      <w:pPr>
        <w:widowControl/>
      </w:pPr>
      <w:r>
        <w:rPr>
          <w:b/>
          <w:i w:val="0"/>
        </w:rPr>
        <w:t>perspiciet.</w:t>
      </w:r>
      <w:r>
        <w:rPr>
          <w:b w:val="0"/>
          <w:i w:val="0"/>
        </w:rPr>
        <w:t xml:space="preserve"> </w:t>
      </w:r>
      <w:hyperlink w:anchor="latin-record-0937">
        <w:r>
          <w:rPr>
            <w:color w:val="000000"/>
          </w:rPr>
          <w:t xml:space="preserve">perspicere; prospicere; pervidere</w:t>
        </w:r>
      </w:hyperlink>
      <w:r>
        <w:rPr>
          <w:b w:val="0"/>
          <w:i w:val="0"/>
        </w:rPr>
        <w:t>.</w:t>
      </w:r>
    </w:p>
    <w:p>
      <w:pPr>
        <w:widowControl/>
      </w:pPr>
      <w:r>
        <w:rPr>
          <w:b/>
          <w:i w:val="0"/>
        </w:rPr>
        <w:t>perspicuae.</w:t>
      </w:r>
      <w:r>
        <w:rPr>
          <w:b w:val="0"/>
          <w:i w:val="0"/>
        </w:rPr>
        <w:t xml:space="preserve"> </w:t>
      </w:r>
      <w:hyperlink w:anchor="latin-record-0726">
        <w:r>
          <w:rPr>
            <w:color w:val="000000"/>
          </w:rPr>
          <w:t xml:space="preserve">lucere / perspicuus</w:t>
        </w:r>
      </w:hyperlink>
      <w:r>
        <w:rPr>
          <w:b w:val="0"/>
          <w:i w:val="0"/>
        </w:rPr>
        <w:t>.</w:t>
      </w:r>
    </w:p>
    <w:p>
      <w:pPr>
        <w:widowControl/>
      </w:pPr>
      <w:r>
        <w:rPr>
          <w:b/>
          <w:i w:val="0"/>
        </w:rPr>
        <w:t>persuasiones.</w:t>
      </w:r>
      <w:r>
        <w:rPr>
          <w:b w:val="0"/>
          <w:i w:val="0"/>
        </w:rPr>
        <w:t xml:space="preserve"> </w:t>
      </w:r>
      <w:hyperlink w:anchor="latin-record-0938">
        <w:r>
          <w:rPr>
            <w:color w:val="000000"/>
          </w:rPr>
          <w:t xml:space="preserve">persuasio</w:t>
        </w:r>
      </w:hyperlink>
      <w:r>
        <w:rPr>
          <w:b w:val="0"/>
          <w:i w:val="0"/>
        </w:rPr>
        <w:t>.</w:t>
      </w:r>
    </w:p>
    <w:p>
      <w:pPr>
        <w:widowControl/>
      </w:pPr>
      <w:r>
        <w:rPr>
          <w:b/>
          <w:i w:val="0"/>
        </w:rPr>
        <w:t>pertransire.</w:t>
      </w:r>
      <w:r>
        <w:rPr>
          <w:b w:val="0"/>
          <w:i w:val="0"/>
        </w:rPr>
        <w:t xml:space="preserve"> </w:t>
      </w:r>
      <w:hyperlink w:anchor="latin-record-1302">
        <w:r>
          <w:rPr>
            <w:color w:val="000000"/>
          </w:rPr>
          <w:t xml:space="preserve">transire / migrare / commutare</w:t>
        </w:r>
      </w:hyperlink>
      <w:r>
        <w:rPr>
          <w:b w:val="0"/>
          <w:i w:val="0"/>
        </w:rPr>
        <w:t>.</w:t>
      </w:r>
    </w:p>
    <w:p>
      <w:pPr>
        <w:widowControl/>
      </w:pPr>
      <w:r>
        <w:rPr>
          <w:b/>
          <w:i w:val="0"/>
        </w:rPr>
        <w:t>perturbationes.</w:t>
      </w:r>
      <w:r>
        <w:rPr>
          <w:b w:val="0"/>
          <w:i w:val="0"/>
        </w:rPr>
        <w:t xml:space="preserve"> </w:t>
      </w:r>
      <w:hyperlink w:anchor="latin-record-0939">
        <w:r>
          <w:rPr>
            <w:color w:val="000000"/>
          </w:rPr>
          <w:t xml:space="preserve">perturbatio / impedire / augere</w:t>
        </w:r>
      </w:hyperlink>
      <w:r>
        <w:rPr>
          <w:b w:val="0"/>
          <w:i w:val="0"/>
        </w:rPr>
        <w:t>.</w:t>
      </w:r>
    </w:p>
    <w:p>
      <w:pPr>
        <w:widowControl/>
      </w:pPr>
      <w:r>
        <w:rPr>
          <w:b/>
          <w:i w:val="0"/>
        </w:rPr>
        <w:t>perturbationum.</w:t>
      </w:r>
      <w:r>
        <w:rPr>
          <w:b w:val="0"/>
          <w:i w:val="0"/>
        </w:rPr>
        <w:t xml:space="preserve"> </w:t>
      </w:r>
      <w:hyperlink w:anchor="latin-record-0940">
        <w:r>
          <w:rPr>
            <w:color w:val="000000"/>
          </w:rPr>
          <w:t xml:space="preserve">perturbatio / negotium</w:t>
        </w:r>
      </w:hyperlink>
      <w:r>
        <w:rPr>
          <w:b w:val="0"/>
          <w:i w:val="0"/>
        </w:rPr>
        <w:t>.</w:t>
      </w:r>
    </w:p>
    <w:p>
      <w:pPr>
        <w:widowControl/>
      </w:pPr>
      <w:r>
        <w:rPr>
          <w:b/>
          <w:i w:val="0"/>
        </w:rPr>
        <w:t>pervenit.</w:t>
      </w:r>
      <w:r>
        <w:rPr>
          <w:b w:val="0"/>
          <w:i w:val="0"/>
        </w:rPr>
        <w:t xml:space="preserve"> </w:t>
      </w:r>
      <w:hyperlink w:anchor="latin-record-0941">
        <w:r>
          <w:rPr>
            <w:color w:val="000000"/>
          </w:rPr>
          <w:t xml:space="preserve">pervenire / transire / concurrere</w:t>
        </w:r>
      </w:hyperlink>
      <w:r>
        <w:rPr>
          <w:b w:val="0"/>
          <w:i w:val="0"/>
        </w:rPr>
        <w:t>.</w:t>
      </w:r>
    </w:p>
    <w:p>
      <w:pPr>
        <w:widowControl/>
      </w:pPr>
      <w:r>
        <w:rPr>
          <w:b/>
          <w:i w:val="0"/>
        </w:rPr>
        <w:t>pervidere.</w:t>
      </w:r>
      <w:r>
        <w:rPr>
          <w:b w:val="0"/>
          <w:i w:val="0"/>
        </w:rPr>
        <w:t xml:space="preserve"> </w:t>
      </w:r>
      <w:hyperlink w:anchor="latin-record-0937">
        <w:r>
          <w:rPr>
            <w:color w:val="000000"/>
          </w:rPr>
          <w:t xml:space="preserve">perspicere; prospicere; pervidere</w:t>
        </w:r>
      </w:hyperlink>
      <w:r>
        <w:rPr>
          <w:b w:val="0"/>
          <w:i w:val="0"/>
        </w:rPr>
        <w:t xml:space="preserve">; </w:t>
      </w:r>
      <w:hyperlink w:anchor="latin-record-0942">
        <w:r>
          <w:rPr>
            <w:color w:val="000000"/>
          </w:rPr>
          <w:t xml:space="preserve">pervidere</w:t>
        </w:r>
      </w:hyperlink>
      <w:r>
        <w:rPr>
          <w:b w:val="0"/>
          <w:i w:val="0"/>
        </w:rPr>
        <w:t>.</w:t>
      </w:r>
    </w:p>
    <w:p>
      <w:pPr>
        <w:widowControl/>
      </w:pPr>
      <w:r>
        <w:rPr>
          <w:b/>
          <w:i w:val="0"/>
        </w:rPr>
        <w:t>pes.</w:t>
      </w:r>
      <w:r>
        <w:rPr>
          <w:b w:val="0"/>
          <w:i w:val="0"/>
        </w:rPr>
        <w:t xml:space="preserve"> </w:t>
      </w:r>
      <w:hyperlink w:anchor="latin-record-0943">
        <w:r>
          <w:rPr>
            <w:color w:val="000000"/>
          </w:rPr>
          <w:t xml:space="preserve">pes / manus / os</w:t>
        </w:r>
      </w:hyperlink>
      <w:r>
        <w:rPr>
          <w:b w:val="0"/>
          <w:i w:val="0"/>
        </w:rPr>
        <w:t>.</w:t>
      </w:r>
    </w:p>
    <w:p>
      <w:pPr>
        <w:widowControl/>
      </w:pPr>
      <w:r>
        <w:rPr>
          <w:b/>
          <w:i w:val="0"/>
        </w:rPr>
        <w:t>Petri Leonis Spoletini.</w:t>
      </w:r>
      <w:r>
        <w:rPr>
          <w:b w:val="0"/>
          <w:i w:val="0"/>
        </w:rPr>
        <w:t xml:space="preserve"> </w:t>
      </w:r>
      <w:hyperlink w:anchor="latin-record-0944">
        <w:r>
          <w:rPr>
            <w:color w:val="000000"/>
          </w:rPr>
          <w:t xml:space="preserve">Petrus Leo Spoletinus</w:t>
        </w:r>
      </w:hyperlink>
      <w:r>
        <w:rPr>
          <w:b w:val="0"/>
          <w:i w:val="0"/>
        </w:rPr>
        <w:t>.</w:t>
      </w:r>
    </w:p>
    <w:p>
      <w:pPr>
        <w:widowControl/>
      </w:pPr>
      <w:r>
        <w:rPr>
          <w:b/>
          <w:i w:val="0"/>
        </w:rPr>
        <w:t>Phaedone.</w:t>
      </w:r>
      <w:r>
        <w:rPr>
          <w:b w:val="0"/>
          <w:i w:val="0"/>
        </w:rPr>
        <w:t xml:space="preserve"> </w:t>
      </w:r>
      <w:hyperlink w:anchor="latin-record-0858">
        <w:r>
          <w:rPr>
            <w:color w:val="000000"/>
          </w:rPr>
          <w:t xml:space="preserve">Olympiodorus / Phaedo / Gorgias</w:t>
        </w:r>
      </w:hyperlink>
      <w:r>
        <w:rPr>
          <w:b w:val="0"/>
          <w:i w:val="0"/>
        </w:rPr>
        <w:t>.</w:t>
      </w:r>
    </w:p>
    <w:p>
      <w:pPr>
        <w:widowControl/>
      </w:pPr>
      <w:r>
        <w:rPr>
          <w:b/>
          <w:i w:val="0"/>
        </w:rPr>
        <w:t>Phaedri.</w:t>
      </w:r>
      <w:r>
        <w:rPr>
          <w:b w:val="0"/>
          <w:i w:val="0"/>
        </w:rPr>
        <w:t xml:space="preserve"> </w:t>
      </w:r>
      <w:hyperlink w:anchor="latin-record-1394">
        <w:r>
          <w:rPr>
            <w:color w:val="000000"/>
          </w:rPr>
          <w:t xml:space="preserve">Xenophon / Alcibiades / Phaedrus</w:t>
        </w:r>
      </w:hyperlink>
      <w:r>
        <w:rPr>
          <w:b w:val="0"/>
          <w:i w:val="0"/>
        </w:rPr>
        <w:t>.</w:t>
      </w:r>
    </w:p>
    <w:p>
      <w:pPr>
        <w:widowControl/>
      </w:pPr>
      <w:r>
        <w:rPr>
          <w:b/>
          <w:i w:val="0"/>
        </w:rPr>
        <w:t>phantasia.</w:t>
      </w:r>
      <w:r>
        <w:rPr>
          <w:b w:val="0"/>
          <w:i w:val="0"/>
        </w:rPr>
        <w:t xml:space="preserve"> </w:t>
      </w:r>
      <w:hyperlink w:anchor="latin-record-0945">
        <w:r>
          <w:rPr>
            <w:color w:val="000000"/>
          </w:rPr>
          <w:t xml:space="preserve">phantasia</w:t>
        </w:r>
      </w:hyperlink>
      <w:r>
        <w:rPr>
          <w:b w:val="0"/>
          <w:i w:val="0"/>
        </w:rPr>
        <w:t>.</w:t>
      </w:r>
    </w:p>
    <w:p>
      <w:pPr>
        <w:widowControl/>
      </w:pPr>
      <w:r>
        <w:rPr>
          <w:b/>
          <w:i w:val="0"/>
        </w:rPr>
        <w:t>Phantasia.</w:t>
      </w:r>
      <w:r>
        <w:rPr>
          <w:b w:val="0"/>
          <w:i w:val="0"/>
        </w:rPr>
        <w:t xml:space="preserve"> </w:t>
      </w:r>
      <w:hyperlink w:anchor="latin-record-0945">
        <w:r>
          <w:rPr>
            <w:color w:val="000000"/>
          </w:rPr>
          <w:t xml:space="preserve">phantasia</w:t>
        </w:r>
      </w:hyperlink>
      <w:r>
        <w:rPr>
          <w:b w:val="0"/>
          <w:i w:val="0"/>
        </w:rPr>
        <w:t>.</w:t>
      </w:r>
    </w:p>
    <w:p>
      <w:pPr>
        <w:widowControl/>
      </w:pPr>
      <w:r>
        <w:rPr>
          <w:b/>
          <w:i w:val="0"/>
        </w:rPr>
        <w:t>phantasiae.</w:t>
      </w:r>
      <w:r>
        <w:rPr>
          <w:b w:val="0"/>
          <w:i w:val="0"/>
        </w:rPr>
        <w:t xml:space="preserve"> </w:t>
      </w:r>
      <w:hyperlink w:anchor="latin-record-0945">
        <w:r>
          <w:rPr>
            <w:color w:val="000000"/>
          </w:rPr>
          <w:t xml:space="preserve">phantasia</w:t>
        </w:r>
      </w:hyperlink>
      <w:r>
        <w:rPr>
          <w:b w:val="0"/>
          <w:i w:val="0"/>
        </w:rPr>
        <w:t>.</w:t>
      </w:r>
    </w:p>
    <w:p>
      <w:pPr>
        <w:widowControl/>
      </w:pPr>
      <w:r>
        <w:rPr>
          <w:b/>
          <w:i w:val="0"/>
        </w:rPr>
        <w:t>phantasiam.</w:t>
      </w:r>
      <w:r>
        <w:rPr>
          <w:b w:val="0"/>
          <w:i w:val="0"/>
        </w:rPr>
        <w:t xml:space="preserve"> </w:t>
      </w:r>
      <w:hyperlink w:anchor="latin-record-0924">
        <w:r>
          <w:rPr>
            <w:color w:val="000000"/>
          </w:rPr>
          <w:t xml:space="preserve">perceptio / animadversio / phantasia</w:t>
        </w:r>
      </w:hyperlink>
      <w:r>
        <w:rPr>
          <w:b w:val="0"/>
          <w:i w:val="0"/>
        </w:rPr>
        <w:t xml:space="preserve">; </w:t>
      </w:r>
      <w:hyperlink w:anchor="latin-record-0945">
        <w:r>
          <w:rPr>
            <w:color w:val="000000"/>
          </w:rPr>
          <w:t xml:space="preserve">phantasia</w:t>
        </w:r>
      </w:hyperlink>
      <w:r>
        <w:rPr>
          <w:b w:val="0"/>
          <w:i w:val="0"/>
        </w:rPr>
        <w:t>.</w:t>
      </w:r>
    </w:p>
    <w:p>
      <w:pPr>
        <w:widowControl/>
      </w:pPr>
      <w:r>
        <w:rPr>
          <w:b/>
          <w:i w:val="0"/>
        </w:rPr>
        <w:t>philosophamur.</w:t>
      </w:r>
      <w:r>
        <w:rPr>
          <w:b w:val="0"/>
          <w:i w:val="0"/>
        </w:rPr>
        <w:t xml:space="preserve"> </w:t>
      </w:r>
      <w:hyperlink w:anchor="latin-record-0946">
        <w:r>
          <w:rPr>
            <w:color w:val="000000"/>
          </w:rPr>
          <w:t xml:space="preserve">philosophari</w:t>
        </w:r>
      </w:hyperlink>
      <w:r>
        <w:rPr>
          <w:b w:val="0"/>
          <w:i w:val="0"/>
        </w:rPr>
        <w:t>.</w:t>
      </w:r>
    </w:p>
    <w:p>
      <w:pPr>
        <w:widowControl/>
      </w:pPr>
      <w:r>
        <w:rPr>
          <w:b/>
          <w:i w:val="0"/>
        </w:rPr>
        <w:t>phrenesim.</w:t>
      </w:r>
      <w:r>
        <w:rPr>
          <w:b w:val="0"/>
          <w:i w:val="0"/>
        </w:rPr>
        <w:t xml:space="preserve"> </w:t>
      </w:r>
      <w:hyperlink w:anchor="latin-record-0947">
        <w:r>
          <w:rPr>
            <w:color w:val="000000"/>
          </w:rPr>
          <w:t xml:space="preserve">phrenesis; somnus; ebrietas</w:t>
        </w:r>
      </w:hyperlink>
      <w:r>
        <w:rPr>
          <w:b w:val="0"/>
          <w:i w:val="0"/>
        </w:rPr>
        <w:t>.</w:t>
      </w:r>
    </w:p>
    <w:p>
      <w:pPr>
        <w:widowControl/>
      </w:pPr>
      <w:r>
        <w:rPr>
          <w:b/>
          <w:i w:val="0"/>
        </w:rPr>
        <w:t>physicus Aristoteles.</w:t>
      </w:r>
      <w:r>
        <w:rPr>
          <w:b w:val="0"/>
          <w:i w:val="0"/>
        </w:rPr>
        <w:t xml:space="preserve"> </w:t>
      </w:r>
      <w:hyperlink w:anchor="latin-record-0948">
        <w:r>
          <w:rPr>
            <w:color w:val="000000"/>
          </w:rPr>
          <w:t xml:space="preserve">physicus Aristoteles; plurimum</w:t>
        </w:r>
      </w:hyperlink>
      <w:r>
        <w:rPr>
          <w:b w:val="0"/>
          <w:i w:val="0"/>
        </w:rPr>
        <w:t>.</w:t>
      </w:r>
    </w:p>
    <w:p>
      <w:pPr>
        <w:widowControl/>
      </w:pPr>
      <w:r>
        <w:rPr>
          <w:b/>
          <w:i w:val="0"/>
        </w:rPr>
        <w:t>Picta.</w:t>
      </w:r>
      <w:r>
        <w:rPr>
          <w:b w:val="0"/>
          <w:i w:val="0"/>
        </w:rPr>
        <w:t xml:space="preserve"> </w:t>
      </w:r>
      <w:hyperlink w:anchor="latin-record-0368">
        <w:r>
          <w:rPr>
            <w:color w:val="000000"/>
          </w:rPr>
          <w:t xml:space="preserve">depingere</w:t>
        </w:r>
      </w:hyperlink>
      <w:r>
        <w:rPr>
          <w:b w:val="0"/>
          <w:i w:val="0"/>
        </w:rPr>
        <w:t>.</w:t>
      </w:r>
    </w:p>
    <w:p>
      <w:pPr>
        <w:widowControl/>
      </w:pPr>
      <w:r>
        <w:rPr>
          <w:b/>
          <w:i w:val="0"/>
        </w:rPr>
        <w:t>picti.</w:t>
      </w:r>
      <w:r>
        <w:rPr>
          <w:b w:val="0"/>
          <w:i w:val="0"/>
        </w:rPr>
        <w:t xml:space="preserve"> </w:t>
      </w:r>
      <w:hyperlink w:anchor="latin-record-0949">
        <w:r>
          <w:rPr>
            <w:color w:val="000000"/>
          </w:rPr>
          <w:t xml:space="preserve">pictor / pictura</w:t>
        </w:r>
      </w:hyperlink>
      <w:r>
        <w:rPr>
          <w:b w:val="0"/>
          <w:i w:val="0"/>
        </w:rPr>
        <w:t>.</w:t>
      </w:r>
    </w:p>
    <w:p>
      <w:pPr>
        <w:widowControl/>
      </w:pPr>
      <w:r>
        <w:rPr>
          <w:b/>
          <w:i w:val="0"/>
        </w:rPr>
        <w:t>pictor.</w:t>
      </w:r>
      <w:r>
        <w:rPr>
          <w:b w:val="0"/>
          <w:i w:val="0"/>
        </w:rPr>
        <w:t xml:space="preserve"> </w:t>
      </w:r>
      <w:hyperlink w:anchor="latin-record-0949">
        <w:r>
          <w:rPr>
            <w:color w:val="000000"/>
          </w:rPr>
          <w:t xml:space="preserve">pictor / pictura</w:t>
        </w:r>
      </w:hyperlink>
      <w:r>
        <w:rPr>
          <w:b w:val="0"/>
          <w:i w:val="0"/>
        </w:rPr>
        <w:t>.</w:t>
      </w:r>
    </w:p>
    <w:p>
      <w:pPr>
        <w:widowControl/>
      </w:pPr>
      <w:r>
        <w:rPr>
          <w:b/>
          <w:i w:val="0"/>
        </w:rPr>
        <w:t>pictore.</w:t>
      </w:r>
      <w:r>
        <w:rPr>
          <w:b w:val="0"/>
          <w:i w:val="0"/>
        </w:rPr>
        <w:t xml:space="preserve"> </w:t>
      </w:r>
      <w:hyperlink w:anchor="latin-record-0949">
        <w:r>
          <w:rPr>
            <w:color w:val="000000"/>
          </w:rPr>
          <w:t xml:space="preserve">pictor / pictura</w:t>
        </w:r>
      </w:hyperlink>
      <w:r>
        <w:rPr>
          <w:b w:val="0"/>
          <w:i w:val="0"/>
        </w:rPr>
        <w:t>.</w:t>
      </w:r>
    </w:p>
    <w:p>
      <w:pPr>
        <w:widowControl/>
      </w:pPr>
      <w:r>
        <w:rPr>
          <w:b/>
          <w:i w:val="0"/>
        </w:rPr>
        <w:t>picturam.</w:t>
      </w:r>
      <w:r>
        <w:rPr>
          <w:b w:val="0"/>
          <w:i w:val="0"/>
        </w:rPr>
        <w:t xml:space="preserve"> </w:t>
      </w:r>
      <w:hyperlink w:anchor="latin-record-0949">
        <w:r>
          <w:rPr>
            <w:color w:val="000000"/>
          </w:rPr>
          <w:t xml:space="preserve">pictor / pictura</w:t>
        </w:r>
      </w:hyperlink>
      <w:r>
        <w:rPr>
          <w:b w:val="0"/>
          <w:i w:val="0"/>
        </w:rPr>
        <w:t xml:space="preserve">; </w:t>
      </w:r>
      <w:hyperlink w:anchor="latin-record-1263">
        <w:r>
          <w:rPr>
            <w:color w:val="000000"/>
          </w:rPr>
          <w:t xml:space="preserve">superficies / pictura</w:t>
        </w:r>
      </w:hyperlink>
      <w:r>
        <w:rPr>
          <w:b w:val="0"/>
          <w:i w:val="0"/>
        </w:rPr>
        <w:t>.</w:t>
      </w:r>
    </w:p>
    <w:p>
      <w:pPr>
        <w:widowControl/>
      </w:pPr>
      <w:r>
        <w:rPr>
          <w:b/>
          <w:i w:val="0"/>
        </w:rPr>
        <w:t>pingit.</w:t>
      </w:r>
      <w:r>
        <w:rPr>
          <w:b w:val="0"/>
          <w:i w:val="0"/>
        </w:rPr>
        <w:t xml:space="preserve"> </w:t>
      </w:r>
      <w:hyperlink w:anchor="latin-record-0950">
        <w:r>
          <w:rPr>
            <w:color w:val="000000"/>
          </w:rPr>
          <w:t xml:space="preserve">pingere in se / aere / pariete</w:t>
        </w:r>
      </w:hyperlink>
      <w:r>
        <w:rPr>
          <w:b w:val="0"/>
          <w:i w:val="0"/>
        </w:rPr>
        <w:t>.</w:t>
      </w:r>
    </w:p>
    <w:p>
      <w:pPr>
        <w:widowControl/>
      </w:pPr>
      <w:r>
        <w:rPr>
          <w:b/>
          <w:i w:val="0"/>
        </w:rPr>
        <w:t>pinguedine.</w:t>
      </w:r>
      <w:r>
        <w:rPr>
          <w:b w:val="0"/>
          <w:i w:val="0"/>
        </w:rPr>
        <w:t xml:space="preserve"> </w:t>
      </w:r>
      <w:hyperlink w:anchor="latin-record-0574">
        <w:r>
          <w:rPr>
            <w:color w:val="000000"/>
          </w:rPr>
          <w:t xml:space="preserve">humor; tabes; pinguedo</w:t>
        </w:r>
      </w:hyperlink>
      <w:r>
        <w:rPr>
          <w:b w:val="0"/>
          <w:i w:val="0"/>
        </w:rPr>
        <w:t>.</w:t>
      </w:r>
    </w:p>
    <w:p>
      <w:pPr>
        <w:widowControl/>
      </w:pPr>
      <w:r>
        <w:rPr>
          <w:b/>
          <w:i w:val="0"/>
        </w:rPr>
        <w:t>pingui.</w:t>
      </w:r>
      <w:r>
        <w:rPr>
          <w:b w:val="0"/>
          <w:i w:val="0"/>
        </w:rPr>
        <w:t xml:space="preserve"> </w:t>
      </w:r>
      <w:hyperlink w:anchor="latin-record-0951">
        <w:r>
          <w:rPr>
            <w:color w:val="000000"/>
          </w:rPr>
          <w:t xml:space="preserve">pinguis / tenuis / grandis / pusillus</w:t>
        </w:r>
      </w:hyperlink>
      <w:r>
        <w:rPr>
          <w:b w:val="0"/>
          <w:i w:val="0"/>
        </w:rPr>
        <w:t>.</w:t>
      </w:r>
    </w:p>
    <w:p>
      <w:pPr>
        <w:widowControl/>
      </w:pPr>
      <w:r>
        <w:rPr>
          <w:b/>
          <w:i w:val="0"/>
        </w:rPr>
        <w:t>piscium ovis.</w:t>
      </w:r>
      <w:r>
        <w:rPr>
          <w:b w:val="0"/>
          <w:i w:val="0"/>
        </w:rPr>
        <w:t xml:space="preserve"> </w:t>
      </w:r>
      <w:hyperlink w:anchor="latin-record-0551">
        <w:r>
          <w:rPr>
            <w:color w:val="000000"/>
          </w:rPr>
          <w:t xml:space="preserve">guttula; ova piscium</w:t>
        </w:r>
      </w:hyperlink>
      <w:r>
        <w:rPr>
          <w:b w:val="0"/>
          <w:i w:val="0"/>
        </w:rPr>
        <w:t>.</w:t>
      </w:r>
    </w:p>
    <w:p>
      <w:pPr>
        <w:widowControl/>
      </w:pPr>
      <w:r>
        <w:rPr>
          <w:b/>
          <w:i w:val="0"/>
        </w:rPr>
        <w:t>placet.</w:t>
      </w:r>
      <w:r>
        <w:rPr>
          <w:b w:val="0"/>
          <w:i w:val="0"/>
        </w:rPr>
        <w:t xml:space="preserve"> </w:t>
      </w:r>
      <w:hyperlink w:anchor="latin-record-0108">
        <w:r>
          <w:rPr>
            <w:color w:val="000000"/>
          </w:rPr>
          <w:t xml:space="preserve">apparere / videri / placere</w:t>
        </w:r>
      </w:hyperlink>
      <w:r>
        <w:rPr>
          <w:b w:val="0"/>
          <w:i w:val="0"/>
        </w:rPr>
        <w:t>.</w:t>
      </w:r>
    </w:p>
    <w:p>
      <w:pPr>
        <w:widowControl/>
      </w:pPr>
      <w:r>
        <w:rPr>
          <w:b/>
          <w:i w:val="0"/>
        </w:rPr>
        <w:t>plano.</w:t>
      </w:r>
      <w:r>
        <w:rPr>
          <w:b w:val="0"/>
          <w:i w:val="0"/>
        </w:rPr>
        <w:t xml:space="preserve"> </w:t>
      </w:r>
      <w:hyperlink w:anchor="latin-record-0767">
        <w:r>
          <w:rPr>
            <w:color w:val="000000"/>
          </w:rPr>
          <w:t xml:space="preserve">mathematici / circulus / planum</w:t>
        </w:r>
      </w:hyperlink>
      <w:r>
        <w:rPr>
          <w:b w:val="0"/>
          <w:i w:val="0"/>
        </w:rPr>
        <w:t>.</w:t>
      </w:r>
    </w:p>
    <w:p>
      <w:pPr>
        <w:widowControl/>
      </w:pPr>
      <w:r>
        <w:rPr>
          <w:b/>
          <w:i w:val="0"/>
        </w:rPr>
        <w:t>planum.</w:t>
      </w:r>
      <w:r>
        <w:rPr>
          <w:b w:val="0"/>
          <w:i w:val="0"/>
        </w:rPr>
        <w:t xml:space="preserve"> </w:t>
      </w:r>
      <w:hyperlink w:anchor="latin-record-0767">
        <w:r>
          <w:rPr>
            <w:color w:val="000000"/>
          </w:rPr>
          <w:t xml:space="preserve">mathematici / circulus / planum</w:t>
        </w:r>
      </w:hyperlink>
      <w:r>
        <w:rPr>
          <w:b w:val="0"/>
          <w:i w:val="0"/>
        </w:rPr>
        <w:t>.</w:t>
      </w:r>
    </w:p>
    <w:p>
      <w:pPr>
        <w:widowControl/>
      </w:pPr>
      <w:r>
        <w:rPr>
          <w:b/>
          <w:i w:val="0"/>
        </w:rPr>
        <w:t>Plato.</w:t>
      </w:r>
      <w:r>
        <w:rPr>
          <w:b w:val="0"/>
          <w:i w:val="0"/>
        </w:rPr>
        <w:t xml:space="preserve"> </w:t>
      </w:r>
      <w:hyperlink w:anchor="latin-record-0952">
        <w:r>
          <w:rPr>
            <w:color w:val="000000"/>
          </w:rPr>
          <w:t xml:space="preserve">Plato / Socrates</w:t>
        </w:r>
      </w:hyperlink>
      <w:r>
        <w:rPr>
          <w:b w:val="0"/>
          <w:i w:val="0"/>
        </w:rPr>
        <w:t xml:space="preserve">; </w:t>
      </w:r>
      <w:hyperlink w:anchor="latin-record-0997">
        <w:r>
          <w:rPr>
            <w:color w:val="000000"/>
          </w:rPr>
          <w:t xml:space="preserve">prisci theologi</w:t>
        </w:r>
      </w:hyperlink>
      <w:r>
        <w:rPr>
          <w:b w:val="0"/>
          <w:i w:val="0"/>
        </w:rPr>
        <w:t xml:space="preserve">; </w:t>
      </w:r>
      <w:hyperlink w:anchor="latin-record-1194">
        <w:r>
          <w:rPr>
            <w:color w:val="000000"/>
          </w:rPr>
          <w:t xml:space="preserve">Socrates / Plato</w:t>
        </w:r>
      </w:hyperlink>
      <w:r>
        <w:rPr>
          <w:b w:val="0"/>
          <w:i w:val="0"/>
        </w:rPr>
        <w:t>.</w:t>
      </w:r>
    </w:p>
    <w:p>
      <w:pPr>
        <w:widowControl/>
      </w:pPr>
      <w:r>
        <w:rPr>
          <w:b/>
          <w:i w:val="0"/>
        </w:rPr>
        <w:t>Platonem.</w:t>
      </w:r>
      <w:r>
        <w:rPr>
          <w:b w:val="0"/>
          <w:i w:val="0"/>
        </w:rPr>
        <w:t xml:space="preserve"> </w:t>
      </w:r>
      <w:hyperlink w:anchor="latin-record-0952">
        <w:r>
          <w:rPr>
            <w:color w:val="000000"/>
          </w:rPr>
          <w:t xml:space="preserve">Plato / Socrates</w:t>
        </w:r>
      </w:hyperlink>
      <w:r>
        <w:rPr>
          <w:b w:val="0"/>
          <w:i w:val="0"/>
        </w:rPr>
        <w:t xml:space="preserve">; </w:t>
      </w:r>
      <w:hyperlink w:anchor="latin-record-1194">
        <w:r>
          <w:rPr>
            <w:color w:val="000000"/>
          </w:rPr>
          <w:t xml:space="preserve">Socrates / Plato</w:t>
        </w:r>
      </w:hyperlink>
      <w:r>
        <w:rPr>
          <w:b w:val="0"/>
          <w:i w:val="0"/>
        </w:rPr>
        <w:t>.</w:t>
      </w:r>
    </w:p>
    <w:p>
      <w:pPr>
        <w:widowControl/>
      </w:pPr>
      <w:r>
        <w:rPr>
          <w:b/>
          <w:i w:val="0"/>
        </w:rPr>
        <w:t>Platonici.</w:t>
      </w:r>
      <w:r>
        <w:rPr>
          <w:b w:val="0"/>
          <w:i w:val="0"/>
        </w:rPr>
        <w:t xml:space="preserve"> </w:t>
      </w:r>
      <w:hyperlink w:anchor="latin-record-0124">
        <w:r>
          <w:rPr>
            <w:color w:val="000000"/>
          </w:rPr>
          <w:t xml:space="preserve">Aristoteles / Platonici</w:t>
        </w:r>
      </w:hyperlink>
      <w:r>
        <w:rPr>
          <w:b w:val="0"/>
          <w:i w:val="0"/>
        </w:rPr>
        <w:t xml:space="preserve">; </w:t>
      </w:r>
      <w:hyperlink w:anchor="latin-record-0953">
        <w:r>
          <w:rPr>
            <w:color w:val="000000"/>
          </w:rPr>
          <w:t xml:space="preserve">Platonici; Peripatetici</w:t>
        </w:r>
      </w:hyperlink>
      <w:r>
        <w:rPr>
          <w:b w:val="0"/>
          <w:i w:val="0"/>
        </w:rPr>
        <w:t>.</w:t>
      </w:r>
    </w:p>
    <w:p>
      <w:pPr>
        <w:widowControl/>
      </w:pPr>
      <w:r>
        <w:rPr>
          <w:b/>
          <w:i w:val="0"/>
        </w:rPr>
        <w:t>Platonici tamen.</w:t>
      </w:r>
      <w:r>
        <w:rPr>
          <w:b w:val="0"/>
          <w:i w:val="0"/>
        </w:rPr>
        <w:t xml:space="preserve"> </w:t>
      </w:r>
      <w:hyperlink w:anchor="latin-record-1326">
        <w:r>
          <w:rPr>
            <w:color w:val="000000"/>
          </w:rPr>
          <w:t xml:space="preserve">ut quidam putant / ut Platonici opinantur</w:t>
        </w:r>
      </w:hyperlink>
      <w:r>
        <w:rPr>
          <w:b w:val="0"/>
          <w:i w:val="0"/>
        </w:rPr>
        <w:t>.</w:t>
      </w:r>
    </w:p>
    <w:p>
      <w:pPr>
        <w:widowControl/>
      </w:pPr>
      <w:r>
        <w:rPr>
          <w:b/>
          <w:i w:val="0"/>
        </w:rPr>
        <w:t>Platonicis.</w:t>
      </w:r>
      <w:r>
        <w:rPr>
          <w:b w:val="0"/>
          <w:i w:val="0"/>
        </w:rPr>
        <w:t xml:space="preserve"> </w:t>
      </w:r>
      <w:hyperlink w:anchor="latin-record-0124">
        <w:r>
          <w:rPr>
            <w:color w:val="000000"/>
          </w:rPr>
          <w:t xml:space="preserve">Aristoteles / Platonici</w:t>
        </w:r>
      </w:hyperlink>
      <w:r>
        <w:rPr>
          <w:b w:val="0"/>
          <w:i w:val="0"/>
        </w:rPr>
        <w:t>.</w:t>
      </w:r>
    </w:p>
    <w:p>
      <w:pPr>
        <w:widowControl/>
      </w:pPr>
      <w:r>
        <w:rPr>
          <w:b/>
          <w:i w:val="0"/>
        </w:rPr>
        <w:t>Platonicorum Arabum.</w:t>
      </w:r>
      <w:r>
        <w:rPr>
          <w:b w:val="0"/>
          <w:i w:val="0"/>
        </w:rPr>
        <w:t xml:space="preserve"> </w:t>
      </w:r>
      <w:hyperlink w:anchor="latin-record-0548">
        <w:r>
          <w:rPr>
            <w:color w:val="000000"/>
          </w:rPr>
          <w:t xml:space="preserve">Graeci Platonici / Arabes Platonici</w:t>
        </w:r>
      </w:hyperlink>
      <w:r>
        <w:rPr>
          <w:b w:val="0"/>
          <w:i w:val="0"/>
        </w:rPr>
        <w:t>.</w:t>
      </w:r>
    </w:p>
    <w:p>
      <w:pPr>
        <w:widowControl/>
      </w:pPr>
      <w:r>
        <w:rPr>
          <w:b/>
          <w:i w:val="0"/>
        </w:rPr>
        <w:t>Platonicus.</w:t>
      </w:r>
      <w:r>
        <w:rPr>
          <w:b w:val="0"/>
          <w:i w:val="0"/>
        </w:rPr>
        <w:t xml:space="preserve"> </w:t>
      </w:r>
      <w:hyperlink w:anchor="latin-record-0953">
        <w:r>
          <w:rPr>
            <w:color w:val="000000"/>
          </w:rPr>
          <w:t xml:space="preserve">Platonici; Peripatetici</w:t>
        </w:r>
      </w:hyperlink>
      <w:r>
        <w:rPr>
          <w:b w:val="0"/>
          <w:i w:val="0"/>
        </w:rPr>
        <w:t>.</w:t>
      </w:r>
    </w:p>
    <w:p>
      <w:pPr>
        <w:widowControl/>
      </w:pPr>
      <w:r>
        <w:rPr>
          <w:b/>
          <w:i w:val="0"/>
        </w:rPr>
        <w:t>Platonis.</w:t>
      </w:r>
      <w:r>
        <w:rPr>
          <w:b w:val="0"/>
          <w:i w:val="0"/>
        </w:rPr>
        <w:t xml:space="preserve"> </w:t>
      </w:r>
      <w:hyperlink w:anchor="latin-record-0952">
        <w:r>
          <w:rPr>
            <w:color w:val="000000"/>
          </w:rPr>
          <w:t xml:space="preserve">Plato / Socrates</w:t>
        </w:r>
      </w:hyperlink>
      <w:r>
        <w:rPr>
          <w:b w:val="0"/>
          <w:i w:val="0"/>
        </w:rPr>
        <w:t xml:space="preserve">; </w:t>
      </w:r>
      <w:hyperlink w:anchor="latin-record-1194">
        <w:r>
          <w:rPr>
            <w:color w:val="000000"/>
          </w:rPr>
          <w:t xml:space="preserve">Socrates / Plato</w:t>
        </w:r>
      </w:hyperlink>
      <w:r>
        <w:rPr>
          <w:b w:val="0"/>
          <w:i w:val="0"/>
        </w:rPr>
        <w:t>.</w:t>
      </w:r>
    </w:p>
    <w:p>
      <w:pPr>
        <w:widowControl/>
      </w:pPr>
      <w:r>
        <w:rPr>
          <w:b/>
          <w:i w:val="0"/>
        </w:rPr>
        <w:t>plebeos philosophos.</w:t>
      </w:r>
      <w:r>
        <w:rPr>
          <w:b w:val="0"/>
          <w:i w:val="0"/>
        </w:rPr>
        <w:t xml:space="preserve"> </w:t>
      </w:r>
      <w:hyperlink w:anchor="latin-record-0954">
        <w:r>
          <w:rPr>
            <w:color w:val="000000"/>
          </w:rPr>
          <w:t xml:space="preserve">plebeus; minutus</w:t>
        </w:r>
      </w:hyperlink>
      <w:r>
        <w:rPr>
          <w:b w:val="0"/>
          <w:i w:val="0"/>
        </w:rPr>
        <w:t>.</w:t>
      </w:r>
    </w:p>
    <w:p>
      <w:pPr>
        <w:widowControl/>
      </w:pPr>
      <w:r>
        <w:rPr>
          <w:b/>
          <w:i w:val="0"/>
        </w:rPr>
        <w:t>Plotini.</w:t>
      </w:r>
      <w:r>
        <w:rPr>
          <w:b w:val="0"/>
          <w:i w:val="0"/>
        </w:rPr>
        <w:t xml:space="preserve"> </w:t>
      </w:r>
      <w:hyperlink w:anchor="latin-record-0956">
        <w:r>
          <w:rPr>
            <w:color w:val="000000"/>
          </w:rPr>
          <w:t xml:space="preserve">Plotinus / Proclus</w:t>
        </w:r>
      </w:hyperlink>
      <w:r>
        <w:rPr>
          <w:b w:val="0"/>
          <w:i w:val="0"/>
        </w:rPr>
        <w:t>.</w:t>
      </w:r>
    </w:p>
    <w:p>
      <w:pPr>
        <w:widowControl/>
      </w:pPr>
      <w:r>
        <w:rPr>
          <w:b/>
          <w:i w:val="0"/>
        </w:rPr>
        <w:t>Plotinus.</w:t>
      </w:r>
      <w:r>
        <w:rPr>
          <w:b w:val="0"/>
          <w:i w:val="0"/>
        </w:rPr>
        <w:t xml:space="preserve"> </w:t>
      </w:r>
      <w:hyperlink w:anchor="latin-record-0956">
        <w:r>
          <w:rPr>
            <w:color w:val="000000"/>
          </w:rPr>
          <w:t xml:space="preserve">Plotinus / Proclus</w:t>
        </w:r>
      </w:hyperlink>
      <w:r>
        <w:rPr>
          <w:b w:val="0"/>
          <w:i w:val="0"/>
        </w:rPr>
        <w:t xml:space="preserve">; </w:t>
      </w:r>
      <w:hyperlink w:anchor="latin-record-0957">
        <w:r>
          <w:rPr>
            <w:color w:val="000000"/>
          </w:rPr>
          <w:t xml:space="preserve">Plotinus / Proculus</w:t>
        </w:r>
      </w:hyperlink>
      <w:r>
        <w:rPr>
          <w:b w:val="0"/>
          <w:i w:val="0"/>
        </w:rPr>
        <w:t>.</w:t>
      </w:r>
    </w:p>
    <w:p>
      <w:pPr>
        <w:widowControl/>
      </w:pPr>
      <w:r>
        <w:rPr>
          <w:b/>
          <w:i w:val="0"/>
        </w:rPr>
        <w:t>Plotinus Porphyriusque.</w:t>
      </w:r>
      <w:r>
        <w:rPr>
          <w:b w:val="0"/>
          <w:i w:val="0"/>
        </w:rPr>
        <w:t xml:space="preserve"> </w:t>
      </w:r>
      <w:hyperlink w:anchor="latin-record-0958">
        <w:r>
          <w:rPr>
            <w:color w:val="000000"/>
          </w:rPr>
          <w:t xml:space="preserve">Plotinus; Porphyrius</w:t>
        </w:r>
      </w:hyperlink>
      <w:r>
        <w:rPr>
          <w:b w:val="0"/>
          <w:i w:val="0"/>
        </w:rPr>
        <w:t>.</w:t>
      </w:r>
    </w:p>
    <w:p>
      <w:pPr>
        <w:widowControl/>
      </w:pPr>
      <w:r>
        <w:rPr>
          <w:b/>
          <w:i w:val="0"/>
        </w:rPr>
        <w:t>Plotinusque.</w:t>
      </w:r>
      <w:r>
        <w:rPr>
          <w:b w:val="0"/>
          <w:i w:val="0"/>
        </w:rPr>
        <w:t xml:space="preserve"> </w:t>
      </w:r>
      <w:hyperlink w:anchor="latin-record-0955">
        <w:r>
          <w:rPr>
            <w:color w:val="000000"/>
          </w:rPr>
          <w:t xml:space="preserve">Plotinus / Augustinus</w:t>
        </w:r>
      </w:hyperlink>
      <w:r>
        <w:rPr>
          <w:b w:val="0"/>
          <w:i w:val="0"/>
        </w:rPr>
        <w:t>.</w:t>
      </w:r>
    </w:p>
    <w:p>
      <w:pPr>
        <w:widowControl/>
      </w:pPr>
      <w:r>
        <w:rPr>
          <w:b/>
          <w:i w:val="0"/>
        </w:rPr>
        <w:t>plurimum.</w:t>
      </w:r>
      <w:r>
        <w:rPr>
          <w:b w:val="0"/>
          <w:i w:val="0"/>
        </w:rPr>
        <w:t xml:space="preserve"> </w:t>
      </w:r>
      <w:hyperlink w:anchor="latin-record-0948">
        <w:r>
          <w:rPr>
            <w:color w:val="000000"/>
          </w:rPr>
          <w:t xml:space="preserve">physicus Aristoteles; plurimum</w:t>
        </w:r>
      </w:hyperlink>
      <w:r>
        <w:rPr>
          <w:b w:val="0"/>
          <w:i w:val="0"/>
        </w:rPr>
        <w:t>.</w:t>
      </w:r>
    </w:p>
    <w:p>
      <w:pPr>
        <w:widowControl/>
      </w:pPr>
      <w:r>
        <w:rPr>
          <w:b/>
          <w:i w:val="0"/>
        </w:rPr>
        <w:t>pollutis.</w:t>
      </w:r>
      <w:r>
        <w:rPr>
          <w:b w:val="0"/>
          <w:i w:val="0"/>
        </w:rPr>
        <w:t xml:space="preserve"> </w:t>
      </w:r>
      <w:hyperlink w:anchor="latin-record-0066">
        <w:r>
          <w:rPr>
            <w:color w:val="000000"/>
          </w:rPr>
          <w:t xml:space="preserve">albedo / inficere / foedare</w:t>
        </w:r>
      </w:hyperlink>
      <w:r>
        <w:rPr>
          <w:b w:val="0"/>
          <w:i w:val="0"/>
        </w:rPr>
        <w:t>.</w:t>
      </w:r>
    </w:p>
    <w:p>
      <w:pPr>
        <w:widowControl/>
      </w:pPr>
      <w:r>
        <w:rPr>
          <w:b/>
          <w:i w:val="0"/>
        </w:rPr>
        <w:t>ponatur.</w:t>
      </w:r>
      <w:r>
        <w:rPr>
          <w:b w:val="0"/>
          <w:i w:val="0"/>
        </w:rPr>
        <w:t xml:space="preserve"> </w:t>
      </w:r>
      <w:hyperlink w:anchor="latin-record-0959">
        <w:r>
          <w:rPr>
            <w:color w:val="000000"/>
          </w:rPr>
          <w:t xml:space="preserve">ponere / concedere / admittere</w:t>
        </w:r>
      </w:hyperlink>
      <w:r>
        <w:rPr>
          <w:b w:val="0"/>
          <w:i w:val="0"/>
        </w:rPr>
        <w:t>.</w:t>
      </w:r>
    </w:p>
    <w:p>
      <w:pPr>
        <w:widowControl/>
      </w:pPr>
      <w:r>
        <w:rPr>
          <w:b/>
          <w:i w:val="0"/>
        </w:rPr>
        <w:t>ponere.</w:t>
      </w:r>
      <w:r>
        <w:rPr>
          <w:b w:val="0"/>
          <w:i w:val="0"/>
        </w:rPr>
        <w:t xml:space="preserve"> </w:t>
      </w:r>
      <w:hyperlink w:anchor="latin-record-0959">
        <w:r>
          <w:rPr>
            <w:color w:val="000000"/>
          </w:rPr>
          <w:t xml:space="preserve">ponere / concedere / admittere</w:t>
        </w:r>
      </w:hyperlink>
      <w:r>
        <w:rPr>
          <w:b w:val="0"/>
          <w:i w:val="0"/>
        </w:rPr>
        <w:t>.</w:t>
      </w:r>
    </w:p>
    <w:p>
      <w:pPr>
        <w:widowControl/>
      </w:pPr>
      <w:r>
        <w:rPr>
          <w:b/>
          <w:i w:val="0"/>
        </w:rPr>
        <w:t>Porphyrius.</w:t>
      </w:r>
      <w:r>
        <w:rPr>
          <w:b w:val="0"/>
          <w:i w:val="0"/>
        </w:rPr>
        <w:t xml:space="preserve"> </w:t>
      </w:r>
      <w:hyperlink w:anchor="latin-record-0960">
        <w:r>
          <w:rPr>
            <w:color w:val="000000"/>
          </w:rPr>
          <w:t xml:space="preserve">Porphyrius</w:t>
        </w:r>
      </w:hyperlink>
      <w:r>
        <w:rPr>
          <w:b w:val="0"/>
          <w:i w:val="0"/>
        </w:rPr>
        <w:t>.</w:t>
      </w:r>
    </w:p>
    <w:p>
      <w:pPr>
        <w:widowControl/>
      </w:pPr>
      <w:r>
        <w:rPr>
          <w:b/>
          <w:i w:val="0"/>
        </w:rPr>
        <w:t>porrectam.</w:t>
      </w:r>
      <w:r>
        <w:rPr>
          <w:b w:val="0"/>
          <w:i w:val="0"/>
        </w:rPr>
        <w:t xml:space="preserve"> </w:t>
      </w:r>
      <w:hyperlink w:anchor="latin-record-0383">
        <w:r>
          <w:rPr>
            <w:color w:val="000000"/>
          </w:rPr>
          <w:t xml:space="preserve">diffundere / spargere / porrigere</w:t>
        </w:r>
      </w:hyperlink>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porrigitur.</w:t>
      </w:r>
      <w:r>
        <w:rPr>
          <w:b w:val="0"/>
          <w:i w:val="0"/>
        </w:rPr>
        <w:t xml:space="preserve"> </w:t>
      </w:r>
      <w:hyperlink w:anchor="latin-record-0383">
        <w:r>
          <w:rPr>
            <w:color w:val="000000"/>
          </w:rPr>
          <w:t xml:space="preserve">diffundere / spargere / porrigere</w:t>
        </w:r>
      </w:hyperlink>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portiuncula.</w:t>
      </w:r>
      <w:r>
        <w:rPr>
          <w:b w:val="0"/>
          <w:i w:val="0"/>
        </w:rPr>
        <w:t xml:space="preserve"> </w:t>
      </w:r>
      <w:hyperlink w:anchor="latin-record-0962">
        <w:r>
          <w:rPr>
            <w:color w:val="000000"/>
          </w:rPr>
          <w:t xml:space="preserve">portiuncula; plurimi</w:t>
        </w:r>
      </w:hyperlink>
      <w:r>
        <w:rPr>
          <w:b w:val="0"/>
          <w:i w:val="0"/>
        </w:rPr>
        <w:t>.</w:t>
      </w:r>
    </w:p>
    <w:p>
      <w:pPr>
        <w:widowControl/>
      </w:pPr>
      <w:r>
        <w:rPr>
          <w:b/>
          <w:i w:val="0"/>
        </w:rPr>
        <w:t>portiunculam.</w:t>
      </w:r>
      <w:r>
        <w:rPr>
          <w:b w:val="0"/>
          <w:i w:val="0"/>
        </w:rPr>
        <w:t xml:space="preserve"> </w:t>
      </w:r>
      <w:hyperlink w:anchor="latin-record-0961">
        <w:r>
          <w:rPr>
            <w:color w:val="000000"/>
          </w:rPr>
          <w:t xml:space="preserve">portiuncula</w:t>
        </w:r>
      </w:hyperlink>
      <w:r>
        <w:rPr>
          <w:b w:val="0"/>
          <w:i w:val="0"/>
        </w:rPr>
        <w:t>.</w:t>
      </w:r>
    </w:p>
    <w:p>
      <w:pPr>
        <w:widowControl/>
      </w:pPr>
      <w:r>
        <w:rPr>
          <w:b/>
          <w:i w:val="0"/>
        </w:rPr>
        <w:t>portiunculam istam.</w:t>
      </w:r>
      <w:r>
        <w:rPr>
          <w:b w:val="0"/>
          <w:i w:val="0"/>
        </w:rPr>
        <w:t xml:space="preserve"> </w:t>
      </w:r>
      <w:hyperlink w:anchor="latin-record-0961">
        <w:r>
          <w:rPr>
            <w:color w:val="000000"/>
          </w:rPr>
          <w:t xml:space="preserve">portiuncula</w:t>
        </w:r>
      </w:hyperlink>
      <w:r>
        <w:rPr>
          <w:b w:val="0"/>
          <w:i w:val="0"/>
        </w:rPr>
        <w:t>.</w:t>
      </w:r>
    </w:p>
    <w:p>
      <w:pPr>
        <w:widowControl/>
      </w:pPr>
      <w:r>
        <w:rPr>
          <w:b/>
          <w:i w:val="0"/>
        </w:rPr>
        <w:t>Posidonius.</w:t>
      </w:r>
      <w:r>
        <w:rPr>
          <w:b w:val="0"/>
          <w:i w:val="0"/>
        </w:rPr>
        <w:t xml:space="preserve"> </w:t>
      </w:r>
      <w:hyperlink w:anchor="latin-record-1395">
        <w:r>
          <w:rPr>
            <w:color w:val="000000"/>
          </w:rPr>
          <w:t xml:space="preserve">Zeno; Cleantes; Antipater; Posidonius</w:t>
        </w:r>
      </w:hyperlink>
      <w:r>
        <w:rPr>
          <w:b w:val="0"/>
          <w:i w:val="0"/>
        </w:rPr>
        <w:t>.</w:t>
      </w:r>
    </w:p>
    <w:p>
      <w:pPr>
        <w:widowControl/>
      </w:pPr>
      <w:r>
        <w:rPr>
          <w:b/>
          <w:i w:val="0"/>
        </w:rPr>
        <w:t>posse.</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possent.</w:t>
      </w:r>
      <w:r>
        <w:rPr>
          <w:b w:val="0"/>
          <w:i w:val="0"/>
        </w:rPr>
        <w:t xml:space="preserve"> </w:t>
      </w:r>
      <w:hyperlink w:anchor="latin-record-0963">
        <w:r>
          <w:rPr>
            <w:color w:val="000000"/>
          </w:rPr>
          <w:t xml:space="preserve">posse / fingere / excogitare</w:t>
        </w:r>
      </w:hyperlink>
      <w:r>
        <w:rPr>
          <w:b w:val="0"/>
          <w:i w:val="0"/>
        </w:rPr>
        <w:t>.</w:t>
      </w:r>
    </w:p>
    <w:p>
      <w:pPr>
        <w:widowControl/>
      </w:pPr>
      <w:r>
        <w:rPr>
          <w:b/>
          <w:i w:val="0"/>
        </w:rPr>
        <w:t>posset.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possibile.</w:t>
      </w:r>
      <w:r>
        <w:rPr>
          <w:b w:val="0"/>
          <w:i w:val="0"/>
        </w:rPr>
        <w:t xml:space="preserve"> </w:t>
      </w:r>
      <w:hyperlink w:anchor="latin-record-0965">
        <w:r>
          <w:rPr>
            <w:color w:val="000000"/>
          </w:rPr>
          <w:t xml:space="preserve">possibile</w:t>
        </w:r>
      </w:hyperlink>
      <w:r>
        <w:rPr>
          <w:b w:val="0"/>
          <w:i w:val="0"/>
        </w:rPr>
        <w:t xml:space="preserve">; </w:t>
      </w:r>
      <w:hyperlink w:anchor="latin-record-0966">
        <w:r>
          <w:rPr>
            <w:color w:val="000000"/>
          </w:rPr>
          <w:t xml:space="preserve">possibile / utile / impotentia</w:t>
        </w:r>
      </w:hyperlink>
      <w:r>
        <w:rPr>
          <w:b w:val="0"/>
          <w:i w:val="0"/>
        </w:rPr>
        <w:t>.</w:t>
      </w:r>
    </w:p>
    <w:p>
      <w:pPr>
        <w:widowControl/>
      </w:pPr>
      <w:r>
        <w:rPr>
          <w:b/>
          <w:i w:val="0"/>
        </w:rPr>
        <w:t>Possibile.</w:t>
      </w:r>
      <w:r>
        <w:rPr>
          <w:b w:val="0"/>
          <w:i w:val="0"/>
        </w:rPr>
        <w:t xml:space="preserve"> </w:t>
      </w:r>
      <w:hyperlink w:anchor="latin-record-0965">
        <w:r>
          <w:rPr>
            <w:color w:val="000000"/>
          </w:rPr>
          <w:t xml:space="preserve">possibile</w:t>
        </w:r>
      </w:hyperlink>
      <w:r>
        <w:rPr>
          <w:b w:val="0"/>
          <w:i w:val="0"/>
        </w:rPr>
        <w:t>.</w:t>
      </w:r>
    </w:p>
    <w:p>
      <w:pPr>
        <w:widowControl/>
      </w:pPr>
      <w:r>
        <w:rPr>
          <w:b/>
          <w:i w:val="0"/>
        </w:rPr>
        <w:t>possibilia.</w:t>
      </w:r>
      <w:r>
        <w:rPr>
          <w:b w:val="0"/>
          <w:i w:val="0"/>
        </w:rPr>
        <w:t xml:space="preserve"> </w:t>
      </w:r>
      <w:hyperlink w:anchor="latin-record-0966">
        <w:r>
          <w:rPr>
            <w:color w:val="000000"/>
          </w:rPr>
          <w:t xml:space="preserve">possibile / utile / impotentia</w:t>
        </w:r>
      </w:hyperlink>
      <w:r>
        <w:rPr>
          <w:b w:val="0"/>
          <w:i w:val="0"/>
        </w:rPr>
        <w:t>.</w:t>
      </w:r>
    </w:p>
    <w:p>
      <w:pPr>
        <w:widowControl/>
      </w:pPr>
      <w:r>
        <w:rPr>
          <w:b/>
          <w:i w:val="0"/>
        </w:rPr>
        <w:t>possibilis.</w:t>
      </w:r>
      <w:r>
        <w:rPr>
          <w:b w:val="0"/>
          <w:i w:val="0"/>
        </w:rPr>
        <w:t xml:space="preserve"> </w:t>
      </w:r>
      <w:hyperlink w:anchor="latin-record-0966">
        <w:r>
          <w:rPr>
            <w:color w:val="000000"/>
          </w:rPr>
          <w:t xml:space="preserve">possibile / utile / impotentia</w:t>
        </w:r>
      </w:hyperlink>
      <w:r>
        <w:rPr>
          <w:b w:val="0"/>
          <w:i w:val="0"/>
        </w:rPr>
        <w:t>.</w:t>
      </w:r>
    </w:p>
    <w:p>
      <w:pPr>
        <w:widowControl/>
      </w:pPr>
      <w:r>
        <w:rPr>
          <w:b/>
          <w:i w:val="0"/>
        </w:rPr>
        <w:t>possideat.</w:t>
      </w:r>
      <w:r>
        <w:rPr>
          <w:b w:val="0"/>
          <w:i w:val="0"/>
        </w:rPr>
        <w:t xml:space="preserve"> </w:t>
      </w:r>
      <w:hyperlink w:anchor="latin-record-0967">
        <w:r>
          <w:rPr>
            <w:color w:val="000000"/>
          </w:rPr>
          <w:t xml:space="preserve">possidere / consulere / imperare</w:t>
        </w:r>
      </w:hyperlink>
      <w:r>
        <w:rPr>
          <w:b w:val="0"/>
          <w:i w:val="0"/>
        </w:rPr>
        <w:t>.</w:t>
      </w:r>
    </w:p>
    <w:p>
      <w:pPr>
        <w:widowControl/>
      </w:pPr>
      <w:r>
        <w:rPr>
          <w:b/>
          <w:i w:val="0"/>
        </w:rPr>
        <w:t>possidet.</w:t>
      </w:r>
      <w:r>
        <w:rPr>
          <w:b w:val="0"/>
          <w:i w:val="0"/>
        </w:rPr>
        <w:t xml:space="preserve"> </w:t>
      </w:r>
      <w:hyperlink w:anchor="latin-record-0553">
        <w:r>
          <w:rPr>
            <w:color w:val="000000"/>
          </w:rPr>
          <w:t xml:space="preserve">habere / possidere</w:t>
        </w:r>
      </w:hyperlink>
      <w:r>
        <w:rPr>
          <w:b w:val="0"/>
          <w:i w:val="0"/>
        </w:rPr>
        <w:t>.</w:t>
      </w:r>
    </w:p>
    <w:p>
      <w:pPr>
        <w:widowControl/>
      </w:pPr>
      <w:r>
        <w:rPr>
          <w:b/>
          <w:i w:val="0"/>
        </w:rPr>
        <w:t>possidetur.</w:t>
      </w:r>
      <w:r>
        <w:rPr>
          <w:b w:val="0"/>
          <w:i w:val="0"/>
        </w:rPr>
        <w:t xml:space="preserve"> </w:t>
      </w:r>
      <w:hyperlink w:anchor="latin-record-0553">
        <w:r>
          <w:rPr>
            <w:color w:val="000000"/>
          </w:rPr>
          <w:t xml:space="preserve">habere / possidere</w:t>
        </w:r>
      </w:hyperlink>
      <w:r>
        <w:rPr>
          <w:b w:val="0"/>
          <w:i w:val="0"/>
        </w:rPr>
        <w:t>.</w:t>
      </w:r>
    </w:p>
    <w:p>
      <w:pPr>
        <w:widowControl/>
      </w:pPr>
      <w:r>
        <w:rPr>
          <w:b/>
          <w:i w:val="0"/>
        </w:rPr>
        <w:t>possint.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possit.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possunt.</w:t>
      </w:r>
      <w:r>
        <w:rPr>
          <w:b w:val="0"/>
          <w:i w:val="0"/>
        </w:rPr>
        <w:t xml:space="preserve"> </w:t>
      </w:r>
      <w:hyperlink w:anchor="latin-record-0963">
        <w:r>
          <w:rPr>
            <w:color w:val="000000"/>
          </w:rPr>
          <w:t xml:space="preserve">posse / fingere / excogitare</w:t>
        </w:r>
      </w:hyperlink>
      <w:r>
        <w:rPr>
          <w:b w:val="0"/>
          <w:i w:val="0"/>
        </w:rPr>
        <w:t xml:space="preserve">; </w:t>
      </w:r>
      <w:hyperlink w:anchor="latin-record-0964">
        <w:r>
          <w:rPr>
            <w:color w:val="000000"/>
          </w:rPr>
          <w:t xml:space="preserve">posse; valere; oportere</w:t>
        </w:r>
      </w:hyperlink>
      <w:r>
        <w:rPr>
          <w:b w:val="0"/>
          <w:i w:val="0"/>
        </w:rPr>
        <w:t>.</w:t>
      </w:r>
    </w:p>
    <w:p>
      <w:pPr>
        <w:widowControl/>
      </w:pPr>
      <w:r>
        <w:rPr>
          <w:b/>
          <w:i w:val="0"/>
        </w:rPr>
        <w:t>posterior.</w:t>
      </w:r>
      <w:r>
        <w:rPr>
          <w:b w:val="0"/>
          <w:i w:val="0"/>
        </w:rPr>
        <w:t xml:space="preserve"> </w:t>
      </w:r>
      <w:hyperlink w:anchor="latin-record-0996">
        <w:r>
          <w:rPr>
            <w:color w:val="000000"/>
          </w:rPr>
          <w:t xml:space="preserve">prior; posterior</w:t>
        </w:r>
      </w:hyperlink>
      <w:r>
        <w:rPr>
          <w:b w:val="0"/>
          <w:i w:val="0"/>
        </w:rPr>
        <w:t>.</w:t>
      </w:r>
    </w:p>
    <w:p>
      <w:pPr>
        <w:widowControl/>
      </w:pPr>
      <w:r>
        <w:rPr>
          <w:b/>
          <w:i w:val="0"/>
        </w:rPr>
        <w:t>posterius.</w:t>
      </w:r>
      <w:r>
        <w:rPr>
          <w:b w:val="0"/>
          <w:i w:val="0"/>
        </w:rPr>
        <w:t xml:space="preserve"> </w:t>
      </w:r>
      <w:hyperlink w:anchor="latin-record-0996">
        <w:r>
          <w:rPr>
            <w:color w:val="000000"/>
          </w:rPr>
          <w:t xml:space="preserve">prior; posterior</w:t>
        </w:r>
      </w:hyperlink>
      <w:r>
        <w:rPr>
          <w:b w:val="0"/>
          <w:i w:val="0"/>
        </w:rPr>
        <w:t>.</w:t>
      </w:r>
    </w:p>
    <w:p>
      <w:pPr>
        <w:widowControl/>
      </w:pPr>
      <w:r>
        <w:rPr>
          <w:b/>
          <w:i w:val="0"/>
        </w:rPr>
        <w:t>postquam.</w:t>
      </w:r>
      <w:r>
        <w:rPr>
          <w:b w:val="0"/>
          <w:i w:val="0"/>
        </w:rPr>
        <w:t xml:space="preserve"> </w:t>
      </w:r>
      <w:hyperlink w:anchor="latin-record-0987">
        <w:r>
          <w:rPr>
            <w:color w:val="000000"/>
          </w:rPr>
          <w:t xml:space="preserve">primum / deinde / prius / secundo</w:t>
        </w:r>
      </w:hyperlink>
      <w:r>
        <w:rPr>
          <w:b w:val="0"/>
          <w:i w:val="0"/>
        </w:rPr>
        <w:t>.</w:t>
      </w:r>
    </w:p>
    <w:p>
      <w:pPr>
        <w:widowControl/>
      </w:pPr>
      <w:r>
        <w:rPr>
          <w:b/>
          <w:i w:val="0"/>
        </w:rPr>
        <w:t>potentia.</w:t>
      </w:r>
      <w:r>
        <w:rPr>
          <w:b w:val="0"/>
          <w:i w:val="0"/>
        </w:rPr>
        <w:t xml:space="preserve"> </w:t>
      </w:r>
      <w:hyperlink w:anchor="latin-record-0968">
        <w:r>
          <w:rPr>
            <w:color w:val="000000"/>
          </w:rPr>
          <w:t xml:space="preserve">potentia</w:t>
        </w:r>
      </w:hyperlink>
      <w:r>
        <w:rPr>
          <w:b w:val="0"/>
          <w:i w:val="0"/>
        </w:rPr>
        <w:t xml:space="preserve">; </w:t>
      </w:r>
      <w:hyperlink w:anchor="latin-record-0970">
        <w:r>
          <w:rPr>
            <w:color w:val="000000"/>
          </w:rPr>
          <w:t xml:space="preserve">potentia susceptiva</w:t>
        </w:r>
      </w:hyperlink>
      <w:r>
        <w:rPr>
          <w:b w:val="0"/>
          <w:i w:val="0"/>
        </w:rPr>
        <w:t xml:space="preserve">; </w:t>
      </w:r>
      <w:hyperlink w:anchor="latin-record-0971">
        <w:r>
          <w:rPr>
            <w:color w:val="000000"/>
          </w:rPr>
          <w:t xml:space="preserve">potentia; actus</w:t>
        </w:r>
      </w:hyperlink>
      <w:r>
        <w:rPr>
          <w:b w:val="0"/>
          <w:i w:val="0"/>
        </w:rPr>
        <w:t>.</w:t>
      </w:r>
    </w:p>
    <w:p>
      <w:pPr>
        <w:widowControl/>
      </w:pPr>
      <w:r>
        <w:rPr>
          <w:b/>
          <w:i w:val="0"/>
        </w:rPr>
        <w:t>potentia ad esse pariter atque non esse.</w:t>
      </w:r>
      <w:r>
        <w:rPr>
          <w:b w:val="0"/>
          <w:i w:val="0"/>
        </w:rPr>
        <w:t xml:space="preserve"> </w:t>
      </w:r>
      <w:hyperlink w:anchor="latin-record-0969">
        <w:r>
          <w:rPr>
            <w:color w:val="000000"/>
          </w:rPr>
          <w:t xml:space="preserve">potentia ad non esse</w:t>
        </w:r>
      </w:hyperlink>
      <w:r>
        <w:rPr>
          <w:b w:val="0"/>
          <w:i w:val="0"/>
        </w:rPr>
        <w:t>.</w:t>
      </w:r>
    </w:p>
    <w:p>
      <w:pPr>
        <w:widowControl/>
      </w:pPr>
      <w:r>
        <w:rPr>
          <w:b/>
          <w:i w:val="0"/>
        </w:rPr>
        <w:t>potentia ad non esse.</w:t>
      </w:r>
      <w:r>
        <w:rPr>
          <w:b w:val="0"/>
          <w:i w:val="0"/>
        </w:rPr>
        <w:t xml:space="preserve"> </w:t>
      </w:r>
      <w:hyperlink w:anchor="latin-record-0969">
        <w:r>
          <w:rPr>
            <w:color w:val="000000"/>
          </w:rPr>
          <w:t xml:space="preserve">potentia ad non esse</w:t>
        </w:r>
      </w:hyperlink>
      <w:r>
        <w:rPr>
          <w:b w:val="0"/>
          <w:i w:val="0"/>
        </w:rPr>
        <w:t>.</w:t>
      </w:r>
    </w:p>
    <w:p>
      <w:pPr>
        <w:widowControl/>
      </w:pPr>
      <w:r>
        <w:rPr>
          <w:b/>
          <w:i w:val="0"/>
        </w:rPr>
        <w:t>potentia aliqua susceptiva.</w:t>
      </w:r>
      <w:r>
        <w:rPr>
          <w:b w:val="0"/>
          <w:i w:val="0"/>
        </w:rPr>
        <w:t xml:space="preserve"> </w:t>
      </w:r>
      <w:hyperlink w:anchor="latin-record-0970">
        <w:r>
          <w:rPr>
            <w:color w:val="000000"/>
          </w:rPr>
          <w:t xml:space="preserve">potentia susceptiva</w:t>
        </w:r>
      </w:hyperlink>
      <w:r>
        <w:rPr>
          <w:b w:val="0"/>
          <w:i w:val="0"/>
        </w:rPr>
        <w:t>.</w:t>
      </w:r>
    </w:p>
    <w:p>
      <w:pPr>
        <w:widowControl/>
      </w:pPr>
      <w:r>
        <w:rPr>
          <w:b/>
          <w:i w:val="0"/>
        </w:rPr>
        <w:t>potentia essendi.</w:t>
      </w:r>
      <w:r>
        <w:rPr>
          <w:b w:val="0"/>
          <w:i w:val="0"/>
        </w:rPr>
        <w:t xml:space="preserve"> </w:t>
      </w:r>
      <w:hyperlink w:anchor="latin-record-0822">
        <w:r>
          <w:rPr>
            <w:color w:val="000000"/>
          </w:rPr>
          <w:t xml:space="preserve">nascendi potentia</w:t>
        </w:r>
      </w:hyperlink>
      <w:r>
        <w:rPr>
          <w:b w:val="0"/>
          <w:i w:val="0"/>
        </w:rPr>
        <w:t>.</w:t>
      </w:r>
    </w:p>
    <w:p>
      <w:pPr>
        <w:widowControl/>
      </w:pPr>
      <w:r>
        <w:rPr>
          <w:b/>
          <w:i w:val="0"/>
        </w:rPr>
        <w:t>potentiae.</w:t>
      </w:r>
      <w:r>
        <w:rPr>
          <w:b w:val="0"/>
          <w:i w:val="0"/>
        </w:rPr>
        <w:t xml:space="preserve"> </w:t>
      </w:r>
      <w:hyperlink w:anchor="latin-record-0970">
        <w:r>
          <w:rPr>
            <w:color w:val="000000"/>
          </w:rPr>
          <w:t xml:space="preserve">potentia susceptiva</w:t>
        </w:r>
      </w:hyperlink>
      <w:r>
        <w:rPr>
          <w:b w:val="0"/>
          <w:i w:val="0"/>
        </w:rPr>
        <w:t>.</w:t>
      </w:r>
    </w:p>
    <w:p>
      <w:pPr>
        <w:widowControl/>
      </w:pPr>
      <w:r>
        <w:rPr>
          <w:b/>
          <w:i w:val="0"/>
        </w:rPr>
        <w:t>potentiam.</w:t>
      </w:r>
      <w:r>
        <w:rPr>
          <w:b w:val="0"/>
          <w:i w:val="0"/>
        </w:rPr>
        <w:t xml:space="preserve"> </w:t>
      </w:r>
      <w:hyperlink w:anchor="latin-record-0968">
        <w:r>
          <w:rPr>
            <w:color w:val="000000"/>
          </w:rPr>
          <w:t xml:space="preserve">potentia</w:t>
        </w:r>
      </w:hyperlink>
      <w:r>
        <w:rPr>
          <w:b w:val="0"/>
          <w:i w:val="0"/>
        </w:rPr>
        <w:t xml:space="preserve">; </w:t>
      </w:r>
      <w:hyperlink w:anchor="latin-record-0970">
        <w:r>
          <w:rPr>
            <w:color w:val="000000"/>
          </w:rPr>
          <w:t xml:space="preserve">potentia susceptiva</w:t>
        </w:r>
      </w:hyperlink>
      <w:r>
        <w:rPr>
          <w:b w:val="0"/>
          <w:i w:val="0"/>
        </w:rPr>
        <w:t xml:space="preserve">; </w:t>
      </w:r>
      <w:hyperlink w:anchor="latin-record-1362">
        <w:r>
          <w:rPr>
            <w:color w:val="000000"/>
          </w:rPr>
          <w:t xml:space="preserve">vis / potentia / virtus</w:t>
        </w:r>
      </w:hyperlink>
      <w:r>
        <w:rPr>
          <w:b w:val="0"/>
          <w:i w:val="0"/>
        </w:rPr>
        <w:t>.</w:t>
      </w:r>
    </w:p>
    <w:p>
      <w:pPr>
        <w:widowControl/>
      </w:pPr>
      <w:r>
        <w:rPr>
          <w:b/>
          <w:i w:val="0"/>
        </w:rPr>
        <w:t>potentiam ad non esse.</w:t>
      </w:r>
      <w:r>
        <w:rPr>
          <w:b w:val="0"/>
          <w:i w:val="0"/>
        </w:rPr>
        <w:t xml:space="preserve"> </w:t>
      </w:r>
      <w:hyperlink w:anchor="latin-record-0969">
        <w:r>
          <w:rPr>
            <w:color w:val="000000"/>
          </w:rPr>
          <w:t xml:space="preserve">potentia ad non esse</w:t>
        </w:r>
      </w:hyperlink>
      <w:r>
        <w:rPr>
          <w:b w:val="0"/>
          <w:i w:val="0"/>
        </w:rPr>
        <w:t>.</w:t>
      </w:r>
    </w:p>
    <w:p>
      <w:pPr>
        <w:widowControl/>
      </w:pPr>
      <w:r>
        <w:rPr>
          <w:b/>
          <w:i w:val="0"/>
        </w:rPr>
        <w:t>potentiam infinitam.</w:t>
      </w:r>
      <w:r>
        <w:rPr>
          <w:b w:val="0"/>
          <w:i w:val="0"/>
        </w:rPr>
        <w:t xml:space="preserve"> </w:t>
      </w:r>
      <w:hyperlink w:anchor="latin-record-0025">
        <w:r>
          <w:rPr>
            <w:color w:val="000000"/>
          </w:rPr>
          <w:t xml:space="preserve">actus infinitus / potentia infinita</w:t>
        </w:r>
      </w:hyperlink>
      <w:r>
        <w:rPr>
          <w:b w:val="0"/>
          <w:i w:val="0"/>
        </w:rPr>
        <w:t>.</w:t>
      </w:r>
    </w:p>
    <w:p>
      <w:pPr>
        <w:widowControl/>
      </w:pPr>
      <w:r>
        <w:rPr>
          <w:b/>
          <w:i w:val="0"/>
        </w:rPr>
        <w:t>Potentior.</w:t>
      </w:r>
      <w:r>
        <w:rPr>
          <w:b w:val="0"/>
          <w:i w:val="0"/>
        </w:rPr>
        <w:t xml:space="preserve"> </w:t>
      </w:r>
      <w:hyperlink w:anchor="latin-record-0972">
        <w:r>
          <w:rPr>
            <w:color w:val="000000"/>
          </w:rPr>
          <w:t xml:space="preserve">potentior / melior</w:t>
        </w:r>
      </w:hyperlink>
      <w:r>
        <w:rPr>
          <w:b w:val="0"/>
          <w:i w:val="0"/>
        </w:rPr>
        <w:t>.</w:t>
      </w:r>
    </w:p>
    <w:p>
      <w:pPr>
        <w:widowControl/>
      </w:pPr>
      <w:r>
        <w:rPr>
          <w:b/>
          <w:i w:val="0"/>
        </w:rPr>
        <w:t>potentior.</w:t>
      </w:r>
      <w:r>
        <w:rPr>
          <w:b w:val="0"/>
          <w:i w:val="0"/>
        </w:rPr>
        <w:t xml:space="preserve"> </w:t>
      </w:r>
      <w:hyperlink w:anchor="latin-record-0972">
        <w:r>
          <w:rPr>
            <w:color w:val="000000"/>
          </w:rPr>
          <w:t xml:space="preserve">potentior / melior</w:t>
        </w:r>
      </w:hyperlink>
      <w:r>
        <w:rPr>
          <w:b w:val="0"/>
          <w:i w:val="0"/>
        </w:rPr>
        <w:t>.</w:t>
      </w:r>
    </w:p>
    <w:p>
      <w:pPr>
        <w:widowControl/>
      </w:pPr>
      <w:r>
        <w:rPr>
          <w:b/>
          <w:i w:val="0"/>
        </w:rPr>
        <w:t>potentiora.</w:t>
      </w:r>
      <w:r>
        <w:rPr>
          <w:b w:val="0"/>
          <w:i w:val="0"/>
        </w:rPr>
        <w:t xml:space="preserve"> </w:t>
      </w:r>
      <w:hyperlink w:anchor="latin-record-0972">
        <w:r>
          <w:rPr>
            <w:color w:val="000000"/>
          </w:rPr>
          <w:t xml:space="preserve">potentior / melior</w:t>
        </w:r>
      </w:hyperlink>
      <w:r>
        <w:rPr>
          <w:b w:val="0"/>
          <w:i w:val="0"/>
        </w:rPr>
        <w:t>.</w:t>
      </w:r>
    </w:p>
    <w:p>
      <w:pPr>
        <w:widowControl/>
      </w:pPr>
      <w:r>
        <w:rPr>
          <w:b/>
          <w:i w:val="0"/>
        </w:rPr>
        <w:t>potentiorem.</w:t>
      </w:r>
      <w:r>
        <w:rPr>
          <w:b w:val="0"/>
          <w:i w:val="0"/>
        </w:rPr>
        <w:t xml:space="preserve"> </w:t>
      </w:r>
      <w:hyperlink w:anchor="latin-record-0972">
        <w:r>
          <w:rPr>
            <w:color w:val="000000"/>
          </w:rPr>
          <w:t xml:space="preserve">potentior / melior</w:t>
        </w:r>
      </w:hyperlink>
      <w:r>
        <w:rPr>
          <w:b w:val="0"/>
          <w:i w:val="0"/>
        </w:rPr>
        <w:t>.</w:t>
      </w:r>
    </w:p>
    <w:p>
      <w:pPr>
        <w:widowControl/>
      </w:pPr>
      <w:r>
        <w:rPr>
          <w:b/>
          <w:i w:val="0"/>
        </w:rPr>
        <w:t>poterit.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potest.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potestas.</w:t>
      </w:r>
      <w:r>
        <w:rPr>
          <w:b w:val="0"/>
          <w:i w:val="0"/>
        </w:rPr>
        <w:t xml:space="preserve"> </w:t>
      </w:r>
      <w:hyperlink w:anchor="latin-record-0973">
        <w:r>
          <w:rPr>
            <w:color w:val="000000"/>
          </w:rPr>
          <w:t xml:space="preserve">potestas</w:t>
        </w:r>
      </w:hyperlink>
      <w:r>
        <w:rPr>
          <w:b w:val="0"/>
          <w:i w:val="0"/>
        </w:rPr>
        <w:t>.</w:t>
      </w:r>
    </w:p>
    <w:p>
      <w:pPr>
        <w:widowControl/>
      </w:pPr>
      <w:r>
        <w:rPr>
          <w:b/>
          <w:i w:val="0"/>
        </w:rPr>
        <w:t>potestate.</w:t>
      </w:r>
      <w:r>
        <w:rPr>
          <w:b w:val="0"/>
          <w:i w:val="0"/>
        </w:rPr>
        <w:t xml:space="preserve"> </w:t>
      </w:r>
      <w:hyperlink w:anchor="latin-record-0973">
        <w:r>
          <w:rPr>
            <w:color w:val="000000"/>
          </w:rPr>
          <w:t xml:space="preserve">potestas</w:t>
        </w:r>
      </w:hyperlink>
      <w:r>
        <w:rPr>
          <w:b w:val="0"/>
          <w:i w:val="0"/>
        </w:rPr>
        <w:t>.</w:t>
      </w:r>
    </w:p>
    <w:p>
      <w:pPr>
        <w:widowControl/>
      </w:pPr>
      <w:r>
        <w:rPr>
          <w:b/>
          <w:i w:val="0"/>
        </w:rPr>
        <w:t>potestatem.</w:t>
      </w:r>
      <w:r>
        <w:rPr>
          <w:b w:val="0"/>
          <w:i w:val="0"/>
        </w:rPr>
        <w:t xml:space="preserve"> </w:t>
      </w:r>
      <w:hyperlink w:anchor="latin-record-0973">
        <w:r>
          <w:rPr>
            <w:color w:val="000000"/>
          </w:rPr>
          <w:t xml:space="preserve">potestas</w:t>
        </w:r>
      </w:hyperlink>
      <w:r>
        <w:rPr>
          <w:b w:val="0"/>
          <w:i w:val="0"/>
        </w:rPr>
        <w:t>.</w:t>
      </w:r>
    </w:p>
    <w:p>
      <w:pPr>
        <w:widowControl/>
      </w:pPr>
      <w:r>
        <w:rPr>
          <w:b/>
          <w:i w:val="0"/>
        </w:rPr>
        <w:t>potestati.</w:t>
      </w:r>
      <w:r>
        <w:rPr>
          <w:b w:val="0"/>
          <w:i w:val="0"/>
        </w:rPr>
        <w:t xml:space="preserve"> </w:t>
      </w:r>
      <w:hyperlink w:anchor="latin-record-0973">
        <w:r>
          <w:rPr>
            <w:color w:val="000000"/>
          </w:rPr>
          <w:t xml:space="preserve">potestas</w:t>
        </w:r>
      </w:hyperlink>
      <w:r>
        <w:rPr>
          <w:b w:val="0"/>
          <w:i w:val="0"/>
        </w:rPr>
        <w:t>.</w:t>
      </w:r>
    </w:p>
    <w:p>
      <w:pPr>
        <w:widowControl/>
      </w:pPr>
      <w:r>
        <w:rPr>
          <w:b/>
          <w:i w:val="0"/>
        </w:rPr>
        <w:t>potissimum.</w:t>
      </w:r>
      <w:r>
        <w:rPr>
          <w:b w:val="0"/>
          <w:i w:val="0"/>
        </w:rPr>
        <w:t xml:space="preserve"> </w:t>
      </w:r>
      <w:hyperlink w:anchor="latin-record-0974">
        <w:r>
          <w:rPr>
            <w:color w:val="000000"/>
          </w:rPr>
          <w:t xml:space="preserve">potissimum; partim</w:t>
        </w:r>
      </w:hyperlink>
      <w:r>
        <w:rPr>
          <w:b w:val="0"/>
          <w:i w:val="0"/>
        </w:rPr>
        <w:t>.</w:t>
      </w:r>
    </w:p>
    <w:p>
      <w:pPr>
        <w:widowControl/>
      </w:pPr>
      <w:r>
        <w:rPr>
          <w:b/>
          <w:i w:val="0"/>
        </w:rPr>
        <w:t>potuisset.</w:t>
      </w:r>
      <w:r>
        <w:rPr>
          <w:b w:val="0"/>
          <w:i w:val="0"/>
        </w:rPr>
        <w:t xml:space="preserve"> </w:t>
      </w:r>
      <w:hyperlink w:anchor="latin-record-0965">
        <w:r>
          <w:rPr>
            <w:color w:val="000000"/>
          </w:rPr>
          <w:t xml:space="preserve">possibile</w:t>
        </w:r>
      </w:hyperlink>
      <w:r>
        <w:rPr>
          <w:b w:val="0"/>
          <w:i w:val="0"/>
        </w:rPr>
        <w:t>.</w:t>
      </w:r>
    </w:p>
    <w:p>
      <w:pPr>
        <w:widowControl/>
      </w:pPr>
      <w:r>
        <w:rPr>
          <w:b/>
          <w:i w:val="0"/>
        </w:rPr>
        <w:t>praebet.</w:t>
      </w:r>
      <w:r>
        <w:rPr>
          <w:b w:val="0"/>
          <w:i w:val="0"/>
        </w:rPr>
        <w:t xml:space="preserve"> </w:t>
      </w:r>
      <w:hyperlink w:anchor="latin-record-0356">
        <w:r>
          <w:rPr>
            <w:color w:val="000000"/>
          </w:rPr>
          <w:t xml:space="preserve">dare / tribuere / praestare</w:t>
        </w:r>
      </w:hyperlink>
      <w:r>
        <w:rPr>
          <w:b w:val="0"/>
          <w:i w:val="0"/>
        </w:rPr>
        <w:t>.</w:t>
      </w:r>
    </w:p>
    <w:p>
      <w:pPr>
        <w:widowControl/>
      </w:pPr>
      <w:r>
        <w:rPr>
          <w:b/>
          <w:i w:val="0"/>
        </w:rPr>
        <w:t>praeceptoribus.</w:t>
      </w:r>
      <w:r>
        <w:rPr>
          <w:b w:val="0"/>
          <w:i w:val="0"/>
        </w:rPr>
        <w:t xml:space="preserve"> </w:t>
      </w:r>
      <w:hyperlink w:anchor="latin-record-0975">
        <w:r>
          <w:rPr>
            <w:color w:val="000000"/>
          </w:rPr>
          <w:t xml:space="preserve">praeceptor; sophista</w:t>
        </w:r>
      </w:hyperlink>
      <w:r>
        <w:rPr>
          <w:b w:val="0"/>
          <w:i w:val="0"/>
        </w:rPr>
        <w:t>.</w:t>
      </w:r>
    </w:p>
    <w:p>
      <w:pPr>
        <w:widowControl/>
      </w:pPr>
      <w:r>
        <w:rPr>
          <w:b/>
          <w:i w:val="0"/>
        </w:rPr>
        <w:t>praeludium.</w:t>
      </w:r>
      <w:r>
        <w:rPr>
          <w:b w:val="0"/>
          <w:i w:val="0"/>
        </w:rPr>
        <w:t xml:space="preserve"> </w:t>
      </w:r>
      <w:hyperlink w:anchor="latin-record-0456">
        <w:r>
          <w:rPr>
            <w:color w:val="000000"/>
          </w:rPr>
          <w:t xml:space="preserve">excursio; praeludium</w:t>
        </w:r>
      </w:hyperlink>
      <w:r>
        <w:rPr>
          <w:b w:val="0"/>
          <w:i w:val="0"/>
        </w:rPr>
        <w:t>.</w:t>
      </w:r>
    </w:p>
    <w:p>
      <w:pPr>
        <w:widowControl/>
      </w:pPr>
      <w:r>
        <w:rPr>
          <w:b/>
          <w:i w:val="0"/>
        </w:rPr>
        <w:t>Praeparationes.</w:t>
      </w:r>
      <w:r>
        <w:rPr>
          <w:b w:val="0"/>
          <w:i w:val="0"/>
        </w:rPr>
        <w:t xml:space="preserve"> </w:t>
      </w:r>
      <w:hyperlink w:anchor="latin-record-0976">
        <w:r>
          <w:rPr>
            <w:color w:val="000000"/>
          </w:rPr>
          <w:t xml:space="preserve">praeparatio / pedisequa</w:t>
        </w:r>
      </w:hyperlink>
      <w:r>
        <w:rPr>
          <w:b w:val="0"/>
          <w:i w:val="0"/>
        </w:rPr>
        <w:t>.</w:t>
      </w:r>
    </w:p>
    <w:p>
      <w:pPr>
        <w:widowControl/>
      </w:pPr>
      <w:r>
        <w:rPr>
          <w:b/>
          <w:i w:val="0"/>
        </w:rPr>
        <w:t>praescribi.</w:t>
      </w:r>
      <w:r>
        <w:rPr>
          <w:b w:val="0"/>
          <w:i w:val="0"/>
        </w:rPr>
        <w:t xml:space="preserve"> </w:t>
      </w:r>
      <w:hyperlink w:anchor="latin-record-0977">
        <w:r>
          <w:rPr>
            <w:color w:val="000000"/>
          </w:rPr>
          <w:t xml:space="preserve">praescribere / ordinare / vagari</w:t>
        </w:r>
      </w:hyperlink>
      <w:r>
        <w:rPr>
          <w:b w:val="0"/>
          <w:i w:val="0"/>
        </w:rPr>
        <w:t>.</w:t>
      </w:r>
    </w:p>
    <w:p>
      <w:pPr>
        <w:widowControl/>
      </w:pPr>
      <w:r>
        <w:rPr>
          <w:b/>
          <w:i w:val="0"/>
        </w:rPr>
        <w:t>praescriptum magnitudinis terminum.</w:t>
      </w:r>
      <w:r>
        <w:rPr>
          <w:b w:val="0"/>
          <w:i w:val="0"/>
        </w:rPr>
        <w:t xml:space="preserve"> </w:t>
      </w:r>
      <w:hyperlink w:anchor="latin-record-1290">
        <w:r>
          <w:rPr>
            <w:color w:val="000000"/>
          </w:rPr>
          <w:t xml:space="preserve">terminus praescriptus</w:t>
        </w:r>
      </w:hyperlink>
      <w:r>
        <w:rPr>
          <w:b w:val="0"/>
          <w:i w:val="0"/>
        </w:rPr>
        <w:t>.</w:t>
      </w:r>
    </w:p>
    <w:p>
      <w:pPr>
        <w:widowControl/>
      </w:pPr>
      <w:r>
        <w:rPr>
          <w:b/>
          <w:i w:val="0"/>
        </w:rPr>
        <w:t>praesens.</w:t>
      </w:r>
      <w:r>
        <w:rPr>
          <w:b w:val="0"/>
          <w:i w:val="0"/>
        </w:rPr>
        <w:t xml:space="preserve"> </w:t>
      </w:r>
      <w:hyperlink w:anchor="latin-record-0537">
        <w:r>
          <w:rPr>
            <w:color w:val="000000"/>
          </w:rPr>
          <w:t xml:space="preserve">futurum / praesens / praeteritum</w:t>
        </w:r>
      </w:hyperlink>
      <w:r>
        <w:rPr>
          <w:b w:val="0"/>
          <w:i w:val="0"/>
        </w:rPr>
        <w:t xml:space="preserve">; </w:t>
      </w:r>
      <w:hyperlink w:anchor="latin-record-0979">
        <w:r>
          <w:rPr>
            <w:color w:val="000000"/>
          </w:rPr>
          <w:t xml:space="preserve">praesentia</w:t>
        </w:r>
      </w:hyperlink>
      <w:r>
        <w:rPr>
          <w:b w:val="0"/>
          <w:i w:val="0"/>
        </w:rPr>
        <w:t xml:space="preserve">; </w:t>
      </w:r>
      <w:hyperlink w:anchor="latin-record-0980">
        <w:r>
          <w:rPr>
            <w:color w:val="000000"/>
          </w:rPr>
          <w:t xml:space="preserve">praesentia / absentia</w:t>
        </w:r>
      </w:hyperlink>
      <w:r>
        <w:rPr>
          <w:b w:val="0"/>
          <w:i w:val="0"/>
        </w:rPr>
        <w:t>.</w:t>
      </w:r>
    </w:p>
    <w:p>
      <w:pPr>
        <w:widowControl/>
      </w:pPr>
      <w:r>
        <w:rPr>
          <w:b/>
          <w:i w:val="0"/>
        </w:rPr>
        <w:t>praesente.</w:t>
      </w:r>
      <w:r>
        <w:rPr>
          <w:b w:val="0"/>
          <w:i w:val="0"/>
        </w:rPr>
        <w:t xml:space="preserve"> </w:t>
      </w:r>
      <w:hyperlink w:anchor="latin-record-0980">
        <w:r>
          <w:rPr>
            <w:color w:val="000000"/>
          </w:rPr>
          <w:t xml:space="preserve">praesentia / absentia</w:t>
        </w:r>
      </w:hyperlink>
      <w:r>
        <w:rPr>
          <w:b w:val="0"/>
          <w:i w:val="0"/>
        </w:rPr>
        <w:t>.</w:t>
      </w:r>
    </w:p>
    <w:p>
      <w:pPr>
        <w:widowControl/>
      </w:pPr>
      <w:r>
        <w:rPr>
          <w:b/>
          <w:i w:val="0"/>
        </w:rPr>
        <w:t>praesenti.</w:t>
      </w:r>
      <w:r>
        <w:rPr>
          <w:b w:val="0"/>
          <w:i w:val="0"/>
        </w:rPr>
        <w:t xml:space="preserve"> </w:t>
      </w:r>
      <w:hyperlink w:anchor="latin-record-0985">
        <w:r>
          <w:rPr>
            <w:color w:val="000000"/>
          </w:rPr>
          <w:t xml:space="preserve">praeteritum / futurum / praesens</w:t>
        </w:r>
      </w:hyperlink>
      <w:r>
        <w:rPr>
          <w:b w:val="0"/>
          <w:i w:val="0"/>
        </w:rPr>
        <w:t>.</w:t>
      </w:r>
    </w:p>
    <w:p>
      <w:pPr>
        <w:widowControl/>
      </w:pPr>
      <w:r>
        <w:rPr>
          <w:b/>
          <w:i w:val="0"/>
        </w:rPr>
        <w:t>praesentia.</w:t>
      </w:r>
      <w:r>
        <w:rPr>
          <w:b w:val="0"/>
          <w:i w:val="0"/>
        </w:rPr>
        <w:t xml:space="preserve"> </w:t>
      </w:r>
      <w:hyperlink w:anchor="latin-record-0978">
        <w:r>
          <w:rPr>
            <w:color w:val="000000"/>
          </w:rPr>
          <w:t xml:space="preserve">praesens / absens</w:t>
        </w:r>
      </w:hyperlink>
      <w:r>
        <w:rPr>
          <w:b w:val="0"/>
          <w:i w:val="0"/>
        </w:rPr>
        <w:t xml:space="preserve">; </w:t>
      </w:r>
      <w:hyperlink w:anchor="latin-record-0979">
        <w:r>
          <w:rPr>
            <w:color w:val="000000"/>
          </w:rPr>
          <w:t xml:space="preserve">praesentia</w:t>
        </w:r>
      </w:hyperlink>
      <w:r>
        <w:rPr>
          <w:b w:val="0"/>
          <w:i w:val="0"/>
        </w:rPr>
        <w:t xml:space="preserve">; </w:t>
      </w:r>
      <w:hyperlink w:anchor="latin-record-0980">
        <w:r>
          <w:rPr>
            <w:color w:val="000000"/>
          </w:rPr>
          <w:t xml:space="preserve">praesentia / absentia</w:t>
        </w:r>
      </w:hyperlink>
      <w:r>
        <w:rPr>
          <w:b w:val="0"/>
          <w:i w:val="0"/>
        </w:rPr>
        <w:t>.</w:t>
      </w:r>
    </w:p>
    <w:p>
      <w:pPr>
        <w:widowControl/>
      </w:pPr>
      <w:r>
        <w:rPr>
          <w:b/>
          <w:i w:val="0"/>
        </w:rPr>
        <w:t>praesentiam.</w:t>
      </w:r>
      <w:r>
        <w:rPr>
          <w:b w:val="0"/>
          <w:i w:val="0"/>
        </w:rPr>
        <w:t xml:space="preserve"> </w:t>
      </w:r>
      <w:hyperlink w:anchor="latin-record-0979">
        <w:r>
          <w:rPr>
            <w:color w:val="000000"/>
          </w:rPr>
          <w:t xml:space="preserve">praesentia</w:t>
        </w:r>
      </w:hyperlink>
      <w:r>
        <w:rPr>
          <w:b w:val="0"/>
          <w:i w:val="0"/>
        </w:rPr>
        <w:t>.</w:t>
      </w:r>
    </w:p>
    <w:p>
      <w:pPr>
        <w:widowControl/>
      </w:pPr>
      <w:r>
        <w:rPr>
          <w:b/>
          <w:i w:val="0"/>
        </w:rPr>
        <w:t>praesentiat.</w:t>
      </w:r>
      <w:r>
        <w:rPr>
          <w:b w:val="0"/>
          <w:i w:val="0"/>
        </w:rPr>
        <w:t xml:space="preserve"> </w:t>
      </w:r>
      <w:hyperlink w:anchor="latin-record-0981">
        <w:r>
          <w:rPr>
            <w:color w:val="000000"/>
          </w:rPr>
          <w:t xml:space="preserve">praesentire / praesentia</w:t>
        </w:r>
      </w:hyperlink>
      <w:r>
        <w:rPr>
          <w:b w:val="0"/>
          <w:i w:val="0"/>
        </w:rPr>
        <w:t>.</w:t>
      </w:r>
    </w:p>
    <w:p>
      <w:pPr>
        <w:widowControl/>
      </w:pPr>
      <w:r>
        <w:rPr>
          <w:b/>
          <w:i w:val="0"/>
        </w:rPr>
        <w:t>praestantior.</w:t>
      </w:r>
      <w:r>
        <w:rPr>
          <w:b w:val="0"/>
          <w:i w:val="0"/>
        </w:rPr>
        <w:t xml:space="preserve"> </w:t>
      </w:r>
      <w:hyperlink w:anchor="latin-record-0982">
        <w:r>
          <w:rPr>
            <w:color w:val="000000"/>
          </w:rPr>
          <w:t xml:space="preserve">praestans; excellens; nobilis</w:t>
        </w:r>
      </w:hyperlink>
      <w:r>
        <w:rPr>
          <w:b w:val="0"/>
          <w:i w:val="0"/>
        </w:rPr>
        <w:t xml:space="preserve">; </w:t>
      </w:r>
      <w:hyperlink w:anchor="latin-record-1262">
        <w:r>
          <w:rPr>
            <w:color w:val="000000"/>
          </w:rPr>
          <w:t xml:space="preserve">superare / praestare</w:t>
        </w:r>
      </w:hyperlink>
      <w:r>
        <w:rPr>
          <w:b w:val="0"/>
          <w:i w:val="0"/>
        </w:rPr>
        <w:t>.</w:t>
      </w:r>
    </w:p>
    <w:p>
      <w:pPr>
        <w:widowControl/>
      </w:pPr>
      <w:r>
        <w:rPr>
          <w:b/>
          <w:i w:val="0"/>
        </w:rPr>
        <w:t>praestantiores.</w:t>
      </w:r>
      <w:r>
        <w:rPr>
          <w:b w:val="0"/>
          <w:i w:val="0"/>
        </w:rPr>
        <w:t xml:space="preserve"> </w:t>
      </w:r>
      <w:hyperlink w:anchor="latin-record-0982">
        <w:r>
          <w:rPr>
            <w:color w:val="000000"/>
          </w:rPr>
          <w:t xml:space="preserve">praestans; excellens; nobilis</w:t>
        </w:r>
      </w:hyperlink>
      <w:r>
        <w:rPr>
          <w:b w:val="0"/>
          <w:i w:val="0"/>
        </w:rPr>
        <w:t xml:space="preserve">; </w:t>
      </w:r>
      <w:hyperlink w:anchor="latin-record-1262">
        <w:r>
          <w:rPr>
            <w:color w:val="000000"/>
          </w:rPr>
          <w:t xml:space="preserve">superare / praestare</w:t>
        </w:r>
      </w:hyperlink>
      <w:r>
        <w:rPr>
          <w:b w:val="0"/>
          <w:i w:val="0"/>
        </w:rPr>
        <w:t>.</w:t>
      </w:r>
    </w:p>
    <w:p>
      <w:pPr>
        <w:widowControl/>
      </w:pPr>
      <w:r>
        <w:rPr>
          <w:b/>
          <w:i w:val="0"/>
        </w:rPr>
        <w:t>praestantissima.</w:t>
      </w:r>
      <w:r>
        <w:rPr>
          <w:b w:val="0"/>
          <w:i w:val="0"/>
        </w:rPr>
        <w:t xml:space="preserve"> </w:t>
      </w:r>
      <w:hyperlink w:anchor="latin-record-0982">
        <w:r>
          <w:rPr>
            <w:color w:val="000000"/>
          </w:rPr>
          <w:t xml:space="preserve">praestans; excellens; nobilis</w:t>
        </w:r>
      </w:hyperlink>
      <w:r>
        <w:rPr>
          <w:b w:val="0"/>
          <w:i w:val="0"/>
        </w:rPr>
        <w:t>.</w:t>
      </w:r>
    </w:p>
    <w:p>
      <w:pPr>
        <w:widowControl/>
      </w:pPr>
      <w:r>
        <w:rPr>
          <w:b/>
          <w:i w:val="0"/>
        </w:rPr>
        <w:t>praestantissimae.</w:t>
      </w:r>
      <w:r>
        <w:rPr>
          <w:b w:val="0"/>
          <w:i w:val="0"/>
        </w:rPr>
        <w:t xml:space="preserve"> </w:t>
      </w:r>
      <w:hyperlink w:anchor="latin-record-1262">
        <w:r>
          <w:rPr>
            <w:color w:val="000000"/>
          </w:rPr>
          <w:t xml:space="preserve">superare / praestare</w:t>
        </w:r>
      </w:hyperlink>
      <w:r>
        <w:rPr>
          <w:b w:val="0"/>
          <w:i w:val="0"/>
        </w:rPr>
        <w:t>.</w:t>
      </w:r>
    </w:p>
    <w:p>
      <w:pPr>
        <w:widowControl/>
      </w:pPr>
      <w:r>
        <w:rPr>
          <w:b/>
          <w:i w:val="0"/>
        </w:rPr>
        <w:t>praestantius.</w:t>
      </w:r>
      <w:r>
        <w:rPr>
          <w:b w:val="0"/>
          <w:i w:val="0"/>
        </w:rPr>
        <w:t xml:space="preserve"> </w:t>
      </w:r>
      <w:hyperlink w:anchor="latin-record-0982">
        <w:r>
          <w:rPr>
            <w:color w:val="000000"/>
          </w:rPr>
          <w:t xml:space="preserve">praestans; excellens; nobilis</w:t>
        </w:r>
      </w:hyperlink>
      <w:r>
        <w:rPr>
          <w:b w:val="0"/>
          <w:i w:val="0"/>
        </w:rPr>
        <w:t xml:space="preserve">; </w:t>
      </w:r>
      <w:hyperlink w:anchor="latin-record-0983">
        <w:r>
          <w:rPr>
            <w:color w:val="000000"/>
          </w:rPr>
          <w:t xml:space="preserve">praestantior / sublimior</w:t>
        </w:r>
      </w:hyperlink>
      <w:r>
        <w:rPr>
          <w:b w:val="0"/>
          <w:i w:val="0"/>
        </w:rPr>
        <w:t xml:space="preserve">; </w:t>
      </w:r>
      <w:hyperlink w:anchor="latin-record-1262">
        <w:r>
          <w:rPr>
            <w:color w:val="000000"/>
          </w:rPr>
          <w:t xml:space="preserve">superare / praestare</w:t>
        </w:r>
      </w:hyperlink>
      <w:r>
        <w:rPr>
          <w:b w:val="0"/>
          <w:i w:val="0"/>
        </w:rPr>
        <w:t>.</w:t>
      </w:r>
    </w:p>
    <w:p>
      <w:pPr>
        <w:widowControl/>
      </w:pPr>
      <w:r>
        <w:rPr>
          <w:b/>
          <w:i w:val="0"/>
        </w:rPr>
        <w:t>praestare.</w:t>
      </w:r>
      <w:r>
        <w:rPr>
          <w:b w:val="0"/>
          <w:i w:val="0"/>
        </w:rPr>
        <w:t xml:space="preserve"> </w:t>
      </w:r>
      <w:hyperlink w:anchor="latin-record-0355">
        <w:r>
          <w:rPr>
            <w:color w:val="000000"/>
          </w:rPr>
          <w:t xml:space="preserve">dare / tribuere</w:t>
        </w:r>
      </w:hyperlink>
      <w:r>
        <w:rPr>
          <w:b w:val="0"/>
          <w:i w:val="0"/>
        </w:rPr>
        <w:t xml:space="preserve">; </w:t>
      </w:r>
      <w:hyperlink w:anchor="latin-record-0358">
        <w:r>
          <w:rPr>
            <w:color w:val="000000"/>
          </w:rPr>
          <w:t xml:space="preserve">dare; tribuere; praestare</w:t>
        </w:r>
      </w:hyperlink>
      <w:r>
        <w:rPr>
          <w:b w:val="0"/>
          <w:i w:val="0"/>
        </w:rPr>
        <w:t>.</w:t>
      </w:r>
    </w:p>
    <w:p>
      <w:pPr>
        <w:widowControl/>
      </w:pPr>
      <w:r>
        <w:rPr>
          <w:b/>
          <w:i w:val="0"/>
        </w:rPr>
        <w:t>praestat.</w:t>
      </w:r>
      <w:r>
        <w:rPr>
          <w:b w:val="0"/>
          <w:i w:val="0"/>
        </w:rPr>
        <w:t xml:space="preserve"> </w:t>
      </w:r>
      <w:hyperlink w:anchor="latin-record-0356">
        <w:r>
          <w:rPr>
            <w:color w:val="000000"/>
          </w:rPr>
          <w:t xml:space="preserve">dare / tribuere / praestare</w:t>
        </w:r>
      </w:hyperlink>
      <w:r>
        <w:rPr>
          <w:b w:val="0"/>
          <w:i w:val="0"/>
        </w:rPr>
        <w:t xml:space="preserve">; </w:t>
      </w:r>
      <w:hyperlink w:anchor="latin-record-0358">
        <w:r>
          <w:rPr>
            <w:color w:val="000000"/>
          </w:rPr>
          <w:t xml:space="preserve">dare; tribuere; praestare</w:t>
        </w:r>
      </w:hyperlink>
      <w:r>
        <w:rPr>
          <w:b w:val="0"/>
          <w:i w:val="0"/>
        </w:rPr>
        <w:t xml:space="preserve">; </w:t>
      </w:r>
      <w:hyperlink w:anchor="latin-record-0984">
        <w:r>
          <w:rPr>
            <w:color w:val="000000"/>
          </w:rPr>
          <w:t xml:space="preserve">praestare vitam / vitalis</w:t>
        </w:r>
      </w:hyperlink>
      <w:r>
        <w:rPr>
          <w:b w:val="0"/>
          <w:i w:val="0"/>
        </w:rPr>
        <w:t>.</w:t>
      </w:r>
    </w:p>
    <w:p>
      <w:pPr>
        <w:widowControl/>
      </w:pPr>
      <w:r>
        <w:rPr>
          <w:b/>
          <w:i w:val="0"/>
        </w:rPr>
        <w:t>praestatur.</w:t>
      </w:r>
      <w:r>
        <w:rPr>
          <w:b w:val="0"/>
          <w:i w:val="0"/>
        </w:rPr>
        <w:t xml:space="preserve"> </w:t>
      </w:r>
      <w:hyperlink w:anchor="latin-record-0355">
        <w:r>
          <w:rPr>
            <w:color w:val="000000"/>
          </w:rPr>
          <w:t xml:space="preserve">dare / tribuere</w:t>
        </w:r>
      </w:hyperlink>
      <w:r>
        <w:rPr>
          <w:b w:val="0"/>
          <w:i w:val="0"/>
        </w:rPr>
        <w:t>.</w:t>
      </w:r>
    </w:p>
    <w:p>
      <w:pPr>
        <w:widowControl/>
      </w:pPr>
      <w:r>
        <w:rPr>
          <w:b/>
          <w:i w:val="0"/>
        </w:rPr>
        <w:t>praeteriti.</w:t>
      </w:r>
      <w:r>
        <w:rPr>
          <w:b w:val="0"/>
          <w:i w:val="0"/>
        </w:rPr>
        <w:t xml:space="preserve"> </w:t>
      </w:r>
      <w:hyperlink w:anchor="latin-record-0537">
        <w:r>
          <w:rPr>
            <w:color w:val="000000"/>
          </w:rPr>
          <w:t xml:space="preserve">futurum / praesens / praeteritum</w:t>
        </w:r>
      </w:hyperlink>
      <w:r>
        <w:rPr>
          <w:b w:val="0"/>
          <w:i w:val="0"/>
        </w:rPr>
        <w:t>.</w:t>
      </w:r>
    </w:p>
    <w:p>
      <w:pPr>
        <w:widowControl/>
      </w:pPr>
      <w:r>
        <w:rPr>
          <w:b/>
          <w:i w:val="0"/>
        </w:rPr>
        <w:t>praeteritum.</w:t>
      </w:r>
      <w:r>
        <w:rPr>
          <w:b w:val="0"/>
          <w:i w:val="0"/>
        </w:rPr>
        <w:t xml:space="preserve"> </w:t>
      </w:r>
      <w:hyperlink w:anchor="latin-record-0537">
        <w:r>
          <w:rPr>
            <w:color w:val="000000"/>
          </w:rPr>
          <w:t xml:space="preserve">futurum / praesens / praeteritum</w:t>
        </w:r>
      </w:hyperlink>
      <w:r>
        <w:rPr>
          <w:b w:val="0"/>
          <w:i w:val="0"/>
        </w:rPr>
        <w:t xml:space="preserve">; </w:t>
      </w:r>
      <w:hyperlink w:anchor="latin-record-0985">
        <w:r>
          <w:rPr>
            <w:color w:val="000000"/>
          </w:rPr>
          <w:t xml:space="preserve">praeteritum / futurum / praesens</w:t>
        </w:r>
      </w:hyperlink>
      <w:r>
        <w:rPr>
          <w:b w:val="0"/>
          <w:i w:val="0"/>
        </w:rPr>
        <w:t>.</w:t>
      </w:r>
    </w:p>
    <w:p>
      <w:pPr>
        <w:widowControl/>
      </w:pPr>
      <w:r>
        <w:rPr>
          <w:b/>
          <w:i w:val="0"/>
        </w:rPr>
        <w:t>prima.</w:t>
      </w:r>
      <w:r>
        <w:rPr>
          <w:b w:val="0"/>
          <w:i w:val="0"/>
        </w:rPr>
        <w:t xml:space="preserve"> </w:t>
      </w:r>
      <w:hyperlink w:anchor="latin-record-0763">
        <w:r>
          <w:rPr>
            <w:color w:val="000000"/>
          </w:rPr>
          <w:t xml:space="preserve">materia propinqua / secunda</w:t>
        </w:r>
      </w:hyperlink>
      <w:r>
        <w:rPr>
          <w:b w:val="0"/>
          <w:i w:val="0"/>
        </w:rPr>
        <w:t xml:space="preserve">; </w:t>
      </w:r>
      <w:hyperlink w:anchor="latin-record-0990">
        <w:r>
          <w:rPr>
            <w:color w:val="000000"/>
          </w:rPr>
          <w:t xml:space="preserve">primus / prior</w:t>
        </w:r>
      </w:hyperlink>
      <w:r>
        <w:rPr>
          <w:b w:val="0"/>
          <w:i w:val="0"/>
        </w:rPr>
        <w:t>.</w:t>
      </w:r>
    </w:p>
    <w:p>
      <w:pPr>
        <w:widowControl/>
      </w:pPr>
      <w:r>
        <w:rPr>
          <w:b/>
          <w:i w:val="0"/>
        </w:rPr>
        <w:t>prima informisque potentia.</w:t>
      </w:r>
      <w:r>
        <w:rPr>
          <w:b w:val="0"/>
          <w:i w:val="0"/>
        </w:rPr>
        <w:t xml:space="preserve"> </w:t>
      </w:r>
      <w:hyperlink w:anchor="latin-record-1029">
        <w:r>
          <w:rPr>
            <w:color w:val="000000"/>
          </w:rPr>
          <w:t xml:space="preserve">pura potentia</w:t>
        </w:r>
      </w:hyperlink>
      <w:r>
        <w:rPr>
          <w:b w:val="0"/>
          <w:i w:val="0"/>
        </w:rPr>
        <w:t>.</w:t>
      </w:r>
    </w:p>
    <w:p>
      <w:pPr>
        <w:widowControl/>
      </w:pPr>
      <w:r>
        <w:rPr>
          <w:b/>
          <w:i w:val="0"/>
        </w:rPr>
        <w:t>prima rerum causa.</w:t>
      </w:r>
      <w:r>
        <w:rPr>
          <w:b w:val="0"/>
          <w:i w:val="0"/>
        </w:rPr>
        <w:t xml:space="preserve"> </w:t>
      </w:r>
      <w:hyperlink w:anchor="latin-record-0202">
        <w:r>
          <w:rPr>
            <w:color w:val="000000"/>
          </w:rPr>
          <w:t xml:space="preserve">causa prima</w:t>
        </w:r>
      </w:hyperlink>
      <w:r>
        <w:rPr>
          <w:b w:val="0"/>
          <w:i w:val="0"/>
        </w:rPr>
        <w:t>.</w:t>
      </w:r>
    </w:p>
    <w:p>
      <w:pPr>
        <w:widowControl/>
      </w:pPr>
      <w:r>
        <w:rPr>
          <w:b/>
          <w:i w:val="0"/>
        </w:rPr>
        <w:t>primam.</w:t>
      </w:r>
      <w:r>
        <w:rPr>
          <w:b w:val="0"/>
          <w:i w:val="0"/>
        </w:rPr>
        <w:t xml:space="preserve"> </w:t>
      </w:r>
      <w:hyperlink w:anchor="latin-record-0701">
        <w:r>
          <w:rPr>
            <w:color w:val="000000"/>
          </w:rPr>
          <w:t xml:space="preserve">lapides / prima vita</w:t>
        </w:r>
      </w:hyperlink>
      <w:r>
        <w:rPr>
          <w:b w:val="0"/>
          <w:i w:val="0"/>
        </w:rPr>
        <w:t xml:space="preserve">; </w:t>
      </w:r>
      <w:hyperlink w:anchor="latin-record-0990">
        <w:r>
          <w:rPr>
            <w:color w:val="000000"/>
          </w:rPr>
          <w:t xml:space="preserve">primus / prior</w:t>
        </w:r>
      </w:hyperlink>
      <w:r>
        <w:rPr>
          <w:b w:val="0"/>
          <w:i w:val="0"/>
        </w:rPr>
        <w:t>.</w:t>
      </w:r>
    </w:p>
    <w:p>
      <w:pPr>
        <w:widowControl/>
      </w:pPr>
      <w:r>
        <w:rPr>
          <w:b/>
          <w:i w:val="0"/>
        </w:rPr>
        <w:t>primam causam.</w:t>
      </w:r>
      <w:r>
        <w:rPr>
          <w:b w:val="0"/>
          <w:i w:val="0"/>
        </w:rPr>
        <w:t xml:space="preserve"> </w:t>
      </w:r>
      <w:hyperlink w:anchor="latin-record-0202">
        <w:r>
          <w:rPr>
            <w:color w:val="000000"/>
          </w:rPr>
          <w:t xml:space="preserve">causa prima</w:t>
        </w:r>
      </w:hyperlink>
      <w:r>
        <w:rPr>
          <w:b w:val="0"/>
          <w:i w:val="0"/>
        </w:rPr>
        <w:t>.</w:t>
      </w:r>
    </w:p>
    <w:p>
      <w:pPr>
        <w:widowControl/>
      </w:pPr>
      <w:r>
        <w:rPr>
          <w:b/>
          <w:i w:val="0"/>
        </w:rPr>
        <w:t>primo.</w:t>
      </w:r>
      <w:r>
        <w:rPr>
          <w:b w:val="0"/>
          <w:i w:val="0"/>
        </w:rPr>
        <w:t xml:space="preserve"> </w:t>
      </w:r>
      <w:hyperlink w:anchor="latin-record-0920">
        <w:r>
          <w:rPr>
            <w:color w:val="000000"/>
          </w:rPr>
          <w:t xml:space="preserve">per se et primo</w:t>
        </w:r>
      </w:hyperlink>
      <w:r>
        <w:rPr>
          <w:b w:val="0"/>
          <w:i w:val="0"/>
        </w:rPr>
        <w:t xml:space="preserve">; </w:t>
      </w:r>
      <w:hyperlink w:anchor="latin-record-0986">
        <w:r>
          <w:rPr>
            <w:color w:val="000000"/>
          </w:rPr>
          <w:t xml:space="preserve">primo moveri</w:t>
        </w:r>
      </w:hyperlink>
      <w:r>
        <w:rPr>
          <w:b w:val="0"/>
          <w:i w:val="0"/>
        </w:rPr>
        <w:t xml:space="preserve">; </w:t>
      </w:r>
      <w:hyperlink w:anchor="latin-record-0996">
        <w:r>
          <w:rPr>
            <w:color w:val="000000"/>
          </w:rPr>
          <w:t xml:space="preserve">prior; posterior</w:t>
        </w:r>
      </w:hyperlink>
      <w:r>
        <w:rPr>
          <w:b w:val="0"/>
          <w:i w:val="0"/>
        </w:rPr>
        <w:t>.</w:t>
      </w:r>
    </w:p>
    <w:p>
      <w:pPr>
        <w:widowControl/>
      </w:pPr>
      <w:r>
        <w:rPr>
          <w:b/>
          <w:i w:val="0"/>
        </w:rPr>
        <w:t>primo moventur.</w:t>
      </w:r>
      <w:r>
        <w:rPr>
          <w:b w:val="0"/>
          <w:i w:val="0"/>
        </w:rPr>
        <w:t xml:space="preserve"> </w:t>
      </w:r>
      <w:hyperlink w:anchor="latin-record-0986">
        <w:r>
          <w:rPr>
            <w:color w:val="000000"/>
          </w:rPr>
          <w:t xml:space="preserve">primo moveri</w:t>
        </w:r>
      </w:hyperlink>
      <w:r>
        <w:rPr>
          <w:b w:val="0"/>
          <w:i w:val="0"/>
        </w:rPr>
        <w:t>.</w:t>
      </w:r>
    </w:p>
    <w:p>
      <w:pPr>
        <w:widowControl/>
      </w:pPr>
      <w:r>
        <w:rPr>
          <w:b/>
          <w:i w:val="0"/>
        </w:rPr>
        <w:t>primo movetur.</w:t>
      </w:r>
      <w:r>
        <w:rPr>
          <w:b w:val="0"/>
          <w:i w:val="0"/>
        </w:rPr>
        <w:t xml:space="preserve"> </w:t>
      </w:r>
      <w:hyperlink w:anchor="latin-record-0986">
        <w:r>
          <w:rPr>
            <w:color w:val="000000"/>
          </w:rPr>
          <w:t xml:space="preserve">primo moveri</w:t>
        </w:r>
      </w:hyperlink>
      <w:r>
        <w:rPr>
          <w:b w:val="0"/>
          <w:i w:val="0"/>
        </w:rPr>
        <w:t>.</w:t>
      </w:r>
    </w:p>
    <w:p>
      <w:pPr>
        <w:widowControl/>
      </w:pPr>
      <w:r>
        <w:rPr>
          <w:b/>
          <w:i w:val="0"/>
        </w:rPr>
        <w:t>primo offeretur intuitu.</w:t>
      </w:r>
      <w:r>
        <w:rPr>
          <w:b w:val="0"/>
          <w:i w:val="0"/>
        </w:rPr>
        <w:t xml:space="preserve"> </w:t>
      </w:r>
      <w:hyperlink w:anchor="latin-record-0683">
        <w:r>
          <w:rPr>
            <w:color w:val="000000"/>
          </w:rPr>
          <w:t xml:space="preserve">intuitus; essentia</w:t>
        </w:r>
      </w:hyperlink>
      <w:r>
        <w:rPr>
          <w:b w:val="0"/>
          <w:i w:val="0"/>
        </w:rPr>
        <w:t>.</w:t>
      </w:r>
    </w:p>
    <w:p>
      <w:pPr>
        <w:widowControl/>
      </w:pPr>
      <w:r>
        <w:rPr>
          <w:b/>
          <w:i w:val="0"/>
        </w:rPr>
        <w:t>Primum.</w:t>
      </w:r>
      <w:r>
        <w:rPr>
          <w:b w:val="0"/>
          <w:i w:val="0"/>
        </w:rPr>
        <w:t xml:space="preserve"> </w:t>
      </w:r>
      <w:hyperlink w:anchor="latin-record-0987">
        <w:r>
          <w:rPr>
            <w:color w:val="000000"/>
          </w:rPr>
          <w:t xml:space="preserve">primum / deinde / prius / secundo</w:t>
        </w:r>
      </w:hyperlink>
      <w:r>
        <w:rPr>
          <w:b w:val="0"/>
          <w:i w:val="0"/>
        </w:rPr>
        <w:t>.</w:t>
      </w:r>
    </w:p>
    <w:p>
      <w:pPr>
        <w:widowControl/>
      </w:pPr>
      <w:r>
        <w:rPr>
          <w:b/>
          <w:i w:val="0"/>
        </w:rPr>
        <w:t>primum.</w:t>
      </w:r>
      <w:r>
        <w:rPr>
          <w:b w:val="0"/>
          <w:i w:val="0"/>
        </w:rPr>
        <w:t xml:space="preserve"> </w:t>
      </w:r>
      <w:hyperlink w:anchor="latin-record-0987">
        <w:r>
          <w:rPr>
            <w:color w:val="000000"/>
          </w:rPr>
          <w:t xml:space="preserve">primum / deinde / prius / secundo</w:t>
        </w:r>
      </w:hyperlink>
      <w:r>
        <w:rPr>
          <w:b w:val="0"/>
          <w:i w:val="0"/>
        </w:rPr>
        <w:t xml:space="preserve">; </w:t>
      </w:r>
      <w:hyperlink w:anchor="latin-record-0990">
        <w:r>
          <w:rPr>
            <w:color w:val="000000"/>
          </w:rPr>
          <w:t xml:space="preserve">primus / prior</w:t>
        </w:r>
      </w:hyperlink>
      <w:r>
        <w:rPr>
          <w:b w:val="0"/>
          <w:i w:val="0"/>
        </w:rPr>
        <w:t xml:space="preserve">; </w:t>
      </w:r>
      <w:hyperlink w:anchor="latin-record-0996">
        <w:r>
          <w:rPr>
            <w:color w:val="000000"/>
          </w:rPr>
          <w:t xml:space="preserve">prior; posterior</w:t>
        </w:r>
      </w:hyperlink>
      <w:r>
        <w:rPr>
          <w:b w:val="0"/>
          <w:i w:val="0"/>
        </w:rPr>
        <w:t>.</w:t>
      </w:r>
    </w:p>
    <w:p>
      <w:pPr>
        <w:widowControl/>
      </w:pPr>
      <w:r>
        <w:rPr>
          <w:b/>
          <w:i w:val="0"/>
        </w:rPr>
        <w:t>primum lumen.</w:t>
      </w:r>
      <w:r>
        <w:rPr>
          <w:b w:val="0"/>
          <w:i w:val="0"/>
        </w:rPr>
        <w:t xml:space="preserve"> </w:t>
      </w:r>
      <w:hyperlink w:anchor="latin-record-0988">
        <w:r>
          <w:rPr>
            <w:color w:val="000000"/>
          </w:rPr>
          <w:t xml:space="preserve">primum lumen</w:t>
        </w:r>
      </w:hyperlink>
      <w:r>
        <w:rPr>
          <w:b w:val="0"/>
          <w:i w:val="0"/>
        </w:rPr>
        <w:t>.</w:t>
      </w:r>
    </w:p>
    <w:p>
      <w:pPr>
        <w:widowControl/>
      </w:pPr>
      <w:r>
        <w:rPr>
          <w:b/>
          <w:i w:val="0"/>
        </w:rPr>
        <w:t>primum principium.</w:t>
      </w:r>
      <w:r>
        <w:rPr>
          <w:b w:val="0"/>
          <w:i w:val="0"/>
        </w:rPr>
        <w:t xml:space="preserve"> </w:t>
      </w:r>
      <w:hyperlink w:anchor="latin-record-0989">
        <w:r>
          <w:rPr>
            <w:color w:val="000000"/>
          </w:rPr>
          <w:t xml:space="preserve">primum principium</w:t>
        </w:r>
      </w:hyperlink>
      <w:r>
        <w:rPr>
          <w:b w:val="0"/>
          <w:i w:val="0"/>
        </w:rPr>
        <w:t>.</w:t>
      </w:r>
    </w:p>
    <w:p>
      <w:pPr>
        <w:widowControl/>
      </w:pPr>
      <w:r>
        <w:rPr>
          <w:b/>
          <w:i w:val="0"/>
        </w:rPr>
        <w:t>primus.</w:t>
      </w:r>
      <w:r>
        <w:rPr>
          <w:b w:val="0"/>
          <w:i w:val="0"/>
        </w:rPr>
        <w:t xml:space="preserve"> </w:t>
      </w:r>
      <w:hyperlink w:anchor="latin-record-0990">
        <w:r>
          <w:rPr>
            <w:color w:val="000000"/>
          </w:rPr>
          <w:t xml:space="preserve">primus / prior</w:t>
        </w:r>
      </w:hyperlink>
      <w:r>
        <w:rPr>
          <w:b w:val="0"/>
          <w:i w:val="0"/>
        </w:rPr>
        <w:t>.</w:t>
      </w:r>
    </w:p>
    <w:p>
      <w:pPr>
        <w:widowControl/>
      </w:pPr>
      <w:r>
        <w:rPr>
          <w:b/>
          <w:i w:val="0"/>
        </w:rPr>
        <w:t>principalem.</w:t>
      </w:r>
      <w:r>
        <w:rPr>
          <w:b w:val="0"/>
          <w:i w:val="0"/>
        </w:rPr>
        <w:t xml:space="preserve"> </w:t>
      </w:r>
      <w:hyperlink w:anchor="latin-record-0203">
        <w:r>
          <w:rPr>
            <w:color w:val="000000"/>
          </w:rPr>
          <w:t xml:space="preserve">causa principalis</w:t>
        </w:r>
      </w:hyperlink>
      <w:r>
        <w:rPr>
          <w:b w:val="0"/>
          <w:i w:val="0"/>
        </w:rPr>
        <w:t>.</w:t>
      </w:r>
    </w:p>
    <w:p>
      <w:pPr>
        <w:widowControl/>
      </w:pPr>
      <w:r>
        <w:rPr>
          <w:b/>
          <w:i w:val="0"/>
        </w:rPr>
        <w:t>principalem augmenti fabrum.</w:t>
      </w:r>
      <w:r>
        <w:rPr>
          <w:b w:val="0"/>
          <w:i w:val="0"/>
        </w:rPr>
        <w:t xml:space="preserve"> </w:t>
      </w:r>
      <w:hyperlink w:anchor="latin-record-0203">
        <w:r>
          <w:rPr>
            <w:color w:val="000000"/>
          </w:rPr>
          <w:t xml:space="preserve">causa principalis</w:t>
        </w:r>
      </w:hyperlink>
      <w:r>
        <w:rPr>
          <w:b w:val="0"/>
          <w:i w:val="0"/>
        </w:rPr>
        <w:t>.</w:t>
      </w:r>
    </w:p>
    <w:p>
      <w:pPr>
        <w:widowControl/>
      </w:pPr>
      <w:r>
        <w:rPr>
          <w:b/>
          <w:i w:val="0"/>
        </w:rPr>
        <w:t>principali.</w:t>
      </w:r>
      <w:r>
        <w:rPr>
          <w:b w:val="0"/>
          <w:i w:val="0"/>
        </w:rPr>
        <w:t xml:space="preserve"> </w:t>
      </w:r>
      <w:hyperlink w:anchor="latin-record-0203">
        <w:r>
          <w:rPr>
            <w:color w:val="000000"/>
          </w:rPr>
          <w:t xml:space="preserve">causa principalis</w:t>
        </w:r>
      </w:hyperlink>
      <w:r>
        <w:rPr>
          <w:b w:val="0"/>
          <w:i w:val="0"/>
        </w:rPr>
        <w:t xml:space="preserve">; </w:t>
      </w:r>
      <w:hyperlink w:anchor="latin-record-0991">
        <w:r>
          <w:rPr>
            <w:color w:val="000000"/>
          </w:rPr>
          <w:t xml:space="preserve">principale propositum</w:t>
        </w:r>
      </w:hyperlink>
      <w:r>
        <w:rPr>
          <w:b w:val="0"/>
          <w:i w:val="0"/>
        </w:rPr>
        <w:t>.</w:t>
      </w:r>
    </w:p>
    <w:p>
      <w:pPr>
        <w:widowControl/>
      </w:pPr>
      <w:r>
        <w:rPr>
          <w:b/>
          <w:i w:val="0"/>
        </w:rPr>
        <w:t>principali agente.</w:t>
      </w:r>
      <w:r>
        <w:rPr>
          <w:b w:val="0"/>
          <w:i w:val="0"/>
        </w:rPr>
        <w:t xml:space="preserve"> </w:t>
      </w:r>
      <w:hyperlink w:anchor="latin-record-0203">
        <w:r>
          <w:rPr>
            <w:color w:val="000000"/>
          </w:rPr>
          <w:t xml:space="preserve">causa principalis</w:t>
        </w:r>
      </w:hyperlink>
      <w:r>
        <w:rPr>
          <w:b w:val="0"/>
          <w:i w:val="0"/>
        </w:rPr>
        <w:t xml:space="preserve">; </w:t>
      </w:r>
      <w:hyperlink w:anchor="latin-record-0992">
        <w:r>
          <w:rPr>
            <w:color w:val="000000"/>
          </w:rPr>
          <w:t xml:space="preserve">principalis / agens principale</w:t>
        </w:r>
      </w:hyperlink>
      <w:r>
        <w:rPr>
          <w:b w:val="0"/>
          <w:i w:val="0"/>
        </w:rPr>
        <w:t>.</w:t>
      </w:r>
    </w:p>
    <w:p>
      <w:pPr>
        <w:widowControl/>
      </w:pPr>
      <w:r>
        <w:rPr>
          <w:b/>
          <w:i w:val="0"/>
        </w:rPr>
        <w:t>principalis agentis.</w:t>
      </w:r>
      <w:r>
        <w:rPr>
          <w:b w:val="0"/>
          <w:i w:val="0"/>
        </w:rPr>
        <w:t xml:space="preserve"> </w:t>
      </w:r>
      <w:hyperlink w:anchor="latin-record-0992">
        <w:r>
          <w:rPr>
            <w:color w:val="000000"/>
          </w:rPr>
          <w:t xml:space="preserve">principalis / agens principale</w:t>
        </w:r>
      </w:hyperlink>
      <w:r>
        <w:rPr>
          <w:b w:val="0"/>
          <w:i w:val="0"/>
        </w:rPr>
        <w:t xml:space="preserve">; </w:t>
      </w:r>
      <w:hyperlink w:anchor="latin-record-0993">
        <w:r>
          <w:rPr>
            <w:color w:val="000000"/>
          </w:rPr>
          <w:t xml:space="preserve">principalis agens</w:t>
        </w:r>
      </w:hyperlink>
      <w:r>
        <w:rPr>
          <w:b w:val="0"/>
          <w:i w:val="0"/>
        </w:rPr>
        <w:t>.</w:t>
      </w:r>
    </w:p>
    <w:p>
      <w:pPr>
        <w:widowControl/>
      </w:pPr>
      <w:r>
        <w:rPr>
          <w:b/>
          <w:i w:val="0"/>
        </w:rPr>
        <w:t>principia.</w:t>
      </w:r>
      <w:r>
        <w:rPr>
          <w:b w:val="0"/>
          <w:i w:val="0"/>
        </w:rPr>
        <w:t xml:space="preserve"> </w:t>
      </w:r>
      <w:hyperlink w:anchor="latin-record-0882">
        <w:r>
          <w:rPr>
            <w:color w:val="000000"/>
          </w:rPr>
          <w:t xml:space="preserve">origo; principium; causa</w:t>
        </w:r>
      </w:hyperlink>
      <w:r>
        <w:rPr>
          <w:b w:val="0"/>
          <w:i w:val="0"/>
        </w:rPr>
        <w:t xml:space="preserve">; </w:t>
      </w:r>
      <w:hyperlink w:anchor="latin-record-0994">
        <w:r>
          <w:rPr>
            <w:color w:val="000000"/>
          </w:rPr>
          <w:t xml:space="preserve">principium / finis</w:t>
        </w:r>
      </w:hyperlink>
      <w:r>
        <w:rPr>
          <w:b w:val="0"/>
          <w:i w:val="0"/>
        </w:rPr>
        <w:t>.</w:t>
      </w:r>
    </w:p>
    <w:p>
      <w:pPr>
        <w:widowControl/>
      </w:pPr>
      <w:r>
        <w:rPr>
          <w:b/>
          <w:i w:val="0"/>
        </w:rPr>
        <w:t>principiis.</w:t>
      </w:r>
      <w:r>
        <w:rPr>
          <w:b w:val="0"/>
          <w:i w:val="0"/>
        </w:rPr>
        <w:t xml:space="preserve"> </w:t>
      </w:r>
      <w:hyperlink w:anchor="latin-record-0882">
        <w:r>
          <w:rPr>
            <w:color w:val="000000"/>
          </w:rPr>
          <w:t xml:space="preserve">origo; principium; causa</w:t>
        </w:r>
      </w:hyperlink>
      <w:r>
        <w:rPr>
          <w:b w:val="0"/>
          <w:i w:val="0"/>
        </w:rPr>
        <w:t xml:space="preserve">; </w:t>
      </w:r>
      <w:hyperlink w:anchor="latin-record-0994">
        <w:r>
          <w:rPr>
            <w:color w:val="000000"/>
          </w:rPr>
          <w:t xml:space="preserve">principium / finis</w:t>
        </w:r>
      </w:hyperlink>
      <w:r>
        <w:rPr>
          <w:b w:val="0"/>
          <w:i w:val="0"/>
        </w:rPr>
        <w:t>.</w:t>
      </w:r>
    </w:p>
    <w:p>
      <w:pPr>
        <w:widowControl/>
      </w:pPr>
      <w:r>
        <w:rPr>
          <w:b/>
          <w:i w:val="0"/>
        </w:rPr>
        <w:t>Principio.</w:t>
      </w:r>
      <w:r>
        <w:rPr>
          <w:b w:val="0"/>
          <w:i w:val="0"/>
        </w:rPr>
        <w:t xml:space="preserve"> </w:t>
      </w:r>
      <w:hyperlink w:anchor="latin-record-0994">
        <w:r>
          <w:rPr>
            <w:color w:val="000000"/>
          </w:rPr>
          <w:t xml:space="preserve">principium / finis</w:t>
        </w:r>
      </w:hyperlink>
      <w:r>
        <w:rPr>
          <w:b w:val="0"/>
          <w:i w:val="0"/>
        </w:rPr>
        <w:t>.</w:t>
      </w:r>
    </w:p>
    <w:p>
      <w:pPr>
        <w:widowControl/>
      </w:pPr>
      <w:r>
        <w:rPr>
          <w:b/>
          <w:i w:val="0"/>
        </w:rPr>
        <w:t>principio.</w:t>
      </w:r>
      <w:r>
        <w:rPr>
          <w:b w:val="0"/>
          <w:i w:val="0"/>
        </w:rPr>
        <w:t xml:space="preserve"> </w:t>
      </w:r>
      <w:hyperlink w:anchor="latin-record-0994">
        <w:r>
          <w:rPr>
            <w:color w:val="000000"/>
          </w:rPr>
          <w:t xml:space="preserve">principium / finis</w:t>
        </w:r>
      </w:hyperlink>
      <w:r>
        <w:rPr>
          <w:b w:val="0"/>
          <w:i w:val="0"/>
        </w:rPr>
        <w:t>.</w:t>
      </w:r>
    </w:p>
    <w:p>
      <w:pPr>
        <w:widowControl/>
      </w:pPr>
      <w:r>
        <w:rPr>
          <w:b/>
          <w:i w:val="0"/>
        </w:rPr>
        <w:t>principium.</w:t>
      </w:r>
      <w:r>
        <w:rPr>
          <w:b w:val="0"/>
          <w:i w:val="0"/>
        </w:rPr>
        <w:t xml:space="preserve"> </w:t>
      </w:r>
      <w:hyperlink w:anchor="latin-record-0882">
        <w:r>
          <w:rPr>
            <w:color w:val="000000"/>
          </w:rPr>
          <w:t xml:space="preserve">origo; principium; causa</w:t>
        </w:r>
      </w:hyperlink>
      <w:r>
        <w:rPr>
          <w:b w:val="0"/>
          <w:i w:val="0"/>
        </w:rPr>
        <w:t xml:space="preserve">; </w:t>
      </w:r>
      <w:hyperlink w:anchor="latin-record-0994">
        <w:r>
          <w:rPr>
            <w:color w:val="000000"/>
          </w:rPr>
          <w:t xml:space="preserve">principium / finis</w:t>
        </w:r>
      </w:hyperlink>
      <w:r>
        <w:rPr>
          <w:b w:val="0"/>
          <w:i w:val="0"/>
        </w:rPr>
        <w:t>.</w:t>
      </w:r>
    </w:p>
    <w:p>
      <w:pPr>
        <w:widowControl/>
      </w:pPr>
      <w:r>
        <w:rPr>
          <w:b/>
          <w:i w:val="0"/>
        </w:rPr>
        <w:t>principium alimenti.</w:t>
      </w:r>
      <w:r>
        <w:rPr>
          <w:b w:val="0"/>
          <w:i w:val="0"/>
        </w:rPr>
        <w:t xml:space="preserve"> </w:t>
      </w:r>
      <w:hyperlink w:anchor="latin-record-0995">
        <w:r>
          <w:rPr>
            <w:color w:val="000000"/>
          </w:rPr>
          <w:t xml:space="preserve">principium alimenti</w:t>
        </w:r>
      </w:hyperlink>
      <w:r>
        <w:rPr>
          <w:b w:val="0"/>
          <w:i w:val="0"/>
        </w:rPr>
        <w:t>.</w:t>
      </w:r>
    </w:p>
    <w:p>
      <w:pPr>
        <w:widowControl/>
      </w:pPr>
      <w:r>
        <w:rPr>
          <w:b/>
          <w:i w:val="0"/>
        </w:rPr>
        <w:t>prior.</w:t>
      </w:r>
      <w:r>
        <w:rPr>
          <w:b w:val="0"/>
          <w:i w:val="0"/>
        </w:rPr>
        <w:t xml:space="preserve"> </w:t>
      </w:r>
      <w:hyperlink w:anchor="latin-record-0996">
        <w:r>
          <w:rPr>
            <w:color w:val="000000"/>
          </w:rPr>
          <w:t xml:space="preserve">prior; posterior</w:t>
        </w:r>
      </w:hyperlink>
      <w:r>
        <w:rPr>
          <w:b w:val="0"/>
          <w:i w:val="0"/>
        </w:rPr>
        <w:t>.</w:t>
      </w:r>
    </w:p>
    <w:p>
      <w:pPr>
        <w:widowControl/>
      </w:pPr>
      <w:r>
        <w:rPr>
          <w:b/>
          <w:i w:val="0"/>
        </w:rPr>
        <w:t>priorem.</w:t>
      </w:r>
      <w:r>
        <w:rPr>
          <w:b w:val="0"/>
          <w:i w:val="0"/>
        </w:rPr>
        <w:t xml:space="preserve"> </w:t>
      </w:r>
      <w:hyperlink w:anchor="latin-record-0996">
        <w:r>
          <w:rPr>
            <w:color w:val="000000"/>
          </w:rPr>
          <w:t xml:space="preserve">prior; posterior</w:t>
        </w:r>
      </w:hyperlink>
      <w:r>
        <w:rPr>
          <w:b w:val="0"/>
          <w:i w:val="0"/>
        </w:rPr>
        <w:t>.</w:t>
      </w:r>
    </w:p>
    <w:p>
      <w:pPr>
        <w:widowControl/>
      </w:pPr>
      <w:r>
        <w:rPr>
          <w:b/>
          <w:i w:val="0"/>
        </w:rPr>
        <w:t>prisci theologi.</w:t>
      </w:r>
      <w:r>
        <w:rPr>
          <w:b w:val="0"/>
          <w:i w:val="0"/>
        </w:rPr>
        <w:t xml:space="preserve"> </w:t>
      </w:r>
      <w:hyperlink w:anchor="latin-record-0997">
        <w:r>
          <w:rPr>
            <w:color w:val="000000"/>
          </w:rPr>
          <w:t xml:space="preserve">prisci theologi</w:t>
        </w:r>
      </w:hyperlink>
      <w:r>
        <w:rPr>
          <w:b w:val="0"/>
          <w:i w:val="0"/>
        </w:rPr>
        <w:t>.</w:t>
      </w:r>
    </w:p>
    <w:p>
      <w:pPr>
        <w:widowControl/>
      </w:pPr>
      <w:r>
        <w:rPr>
          <w:b/>
          <w:i w:val="0"/>
        </w:rPr>
        <w:t>Prius.</w:t>
      </w:r>
      <w:r>
        <w:rPr>
          <w:b w:val="0"/>
          <w:i w:val="0"/>
        </w:rPr>
        <w:t xml:space="preserve"> </w:t>
      </w:r>
      <w:hyperlink w:anchor="latin-record-0987">
        <w:r>
          <w:rPr>
            <w:color w:val="000000"/>
          </w:rPr>
          <w:t xml:space="preserve">primum / deinde / prius / secundo</w:t>
        </w:r>
      </w:hyperlink>
      <w:r>
        <w:rPr>
          <w:b w:val="0"/>
          <w:i w:val="0"/>
        </w:rPr>
        <w:t>.</w:t>
      </w:r>
    </w:p>
    <w:p>
      <w:pPr>
        <w:widowControl/>
      </w:pPr>
      <w:r>
        <w:rPr>
          <w:b/>
          <w:i w:val="0"/>
        </w:rPr>
        <w:t>prius.</w:t>
      </w:r>
      <w:r>
        <w:rPr>
          <w:b w:val="0"/>
          <w:i w:val="0"/>
        </w:rPr>
        <w:t xml:space="preserve"> </w:t>
      </w:r>
      <w:hyperlink w:anchor="latin-record-0987">
        <w:r>
          <w:rPr>
            <w:color w:val="000000"/>
          </w:rPr>
          <w:t xml:space="preserve">primum / deinde / prius / secundo</w:t>
        </w:r>
      </w:hyperlink>
      <w:r>
        <w:rPr>
          <w:b w:val="0"/>
          <w:i w:val="0"/>
        </w:rPr>
        <w:t xml:space="preserve">; </w:t>
      </w:r>
      <w:hyperlink w:anchor="latin-record-0990">
        <w:r>
          <w:rPr>
            <w:color w:val="000000"/>
          </w:rPr>
          <w:t xml:space="preserve">primus / prior</w:t>
        </w:r>
      </w:hyperlink>
      <w:r>
        <w:rPr>
          <w:b w:val="0"/>
          <w:i w:val="0"/>
        </w:rPr>
        <w:t xml:space="preserve">; </w:t>
      </w:r>
      <w:hyperlink w:anchor="latin-record-0996">
        <w:r>
          <w:rPr>
            <w:color w:val="000000"/>
          </w:rPr>
          <w:t xml:space="preserve">prior; posterior</w:t>
        </w:r>
      </w:hyperlink>
      <w:r>
        <w:rPr>
          <w:b w:val="0"/>
          <w:i w:val="0"/>
        </w:rPr>
        <w:t>.</w:t>
      </w:r>
    </w:p>
    <w:p>
      <w:pPr>
        <w:widowControl/>
      </w:pPr>
      <w:r>
        <w:rPr>
          <w:b/>
          <w:i w:val="0"/>
        </w:rPr>
        <w:t>privari.</w:t>
      </w:r>
      <w:r>
        <w:rPr>
          <w:b w:val="0"/>
          <w:i w:val="0"/>
        </w:rPr>
        <w:t xml:space="preserve"> </w:t>
      </w:r>
      <w:hyperlink w:anchor="latin-record-0196">
        <w:r>
          <w:rPr>
            <w:color w:val="000000"/>
          </w:rPr>
          <w:t xml:space="preserve">carere / privari</w:t>
        </w:r>
      </w:hyperlink>
      <w:r>
        <w:rPr>
          <w:b w:val="0"/>
          <w:i w:val="0"/>
        </w:rPr>
        <w:t>.</w:t>
      </w:r>
    </w:p>
    <w:p>
      <w:pPr>
        <w:widowControl/>
      </w:pPr>
      <w:r>
        <w:rPr>
          <w:b/>
          <w:i w:val="0"/>
        </w:rPr>
        <w:t>privationes.</w:t>
      </w:r>
      <w:r>
        <w:rPr>
          <w:b w:val="0"/>
          <w:i w:val="0"/>
        </w:rPr>
        <w:t xml:space="preserve"> </w:t>
      </w:r>
      <w:hyperlink w:anchor="latin-record-0998">
        <w:r>
          <w:rPr>
            <w:color w:val="000000"/>
          </w:rPr>
          <w:t xml:space="preserve">privatio / defectus / malum / noxius / salubris</w:t>
        </w:r>
      </w:hyperlink>
      <w:r>
        <w:rPr>
          <w:b w:val="0"/>
          <w:i w:val="0"/>
        </w:rPr>
        <w:t>.</w:t>
      </w:r>
    </w:p>
    <w:p>
      <w:pPr>
        <w:widowControl/>
      </w:pPr>
      <w:r>
        <w:rPr>
          <w:b/>
          <w:i w:val="0"/>
        </w:rPr>
        <w:t>privatur.</w:t>
      </w:r>
      <w:r>
        <w:rPr>
          <w:b w:val="0"/>
          <w:i w:val="0"/>
        </w:rPr>
        <w:t xml:space="preserve"> </w:t>
      </w:r>
      <w:hyperlink w:anchor="latin-record-0196">
        <w:r>
          <w:rPr>
            <w:color w:val="000000"/>
          </w:rPr>
          <w:t xml:space="preserve">carere / privari</w:t>
        </w:r>
      </w:hyperlink>
      <w:r>
        <w:rPr>
          <w:b w:val="0"/>
          <w:i w:val="0"/>
        </w:rPr>
        <w:t>.</w:t>
      </w:r>
    </w:p>
    <w:p>
      <w:pPr>
        <w:widowControl/>
      </w:pPr>
      <w:r>
        <w:rPr>
          <w:b/>
          <w:i w:val="0"/>
        </w:rPr>
        <w:t>pro viribus.</w:t>
      </w:r>
      <w:r>
        <w:rPr>
          <w:b w:val="0"/>
          <w:i w:val="0"/>
        </w:rPr>
        <w:t xml:space="preserve"> </w:t>
      </w:r>
      <w:hyperlink w:anchor="latin-record-0999">
        <w:r>
          <w:rPr>
            <w:color w:val="000000"/>
          </w:rPr>
          <w:t xml:space="preserve">pro viribus</w:t>
        </w:r>
      </w:hyperlink>
      <w:r>
        <w:rPr>
          <w:b w:val="0"/>
          <w:i w:val="0"/>
        </w:rPr>
        <w:t xml:space="preserve">; </w:t>
      </w:r>
      <w:hyperlink w:anchor="latin-record-1166">
        <w:r>
          <w:rPr>
            <w:color w:val="000000"/>
          </w:rPr>
          <w:t xml:space="preserve">separare; sevocare</w:t>
        </w:r>
      </w:hyperlink>
      <w:r>
        <w:rPr>
          <w:b w:val="0"/>
          <w:i w:val="0"/>
        </w:rPr>
        <w:t>.</w:t>
      </w:r>
    </w:p>
    <w:p>
      <w:pPr>
        <w:widowControl/>
      </w:pPr>
      <w:r>
        <w:rPr>
          <w:b/>
          <w:i w:val="0"/>
        </w:rPr>
        <w:t>probabile.</w:t>
      </w:r>
      <w:r>
        <w:rPr>
          <w:b w:val="0"/>
          <w:i w:val="0"/>
        </w:rPr>
        <w:t xml:space="preserve"> </w:t>
      </w:r>
      <w:hyperlink w:anchor="latin-record-1000">
        <w:r>
          <w:rPr>
            <w:color w:val="000000"/>
          </w:rPr>
          <w:t xml:space="preserve">probabile</w:t>
        </w:r>
      </w:hyperlink>
      <w:r>
        <w:rPr>
          <w:b w:val="0"/>
          <w:i w:val="0"/>
        </w:rPr>
        <w:t xml:space="preserve">; </w:t>
      </w:r>
      <w:hyperlink w:anchor="latin-record-1001">
        <w:r>
          <w:rPr>
            <w:color w:val="000000"/>
          </w:rPr>
          <w:t xml:space="preserve">probabilis; affirmare</w:t>
        </w:r>
      </w:hyperlink>
      <w:r>
        <w:rPr>
          <w:b w:val="0"/>
          <w:i w:val="0"/>
        </w:rPr>
        <w:t>.</w:t>
      </w:r>
    </w:p>
    <w:p>
      <w:pPr>
        <w:widowControl/>
      </w:pPr>
      <w:r>
        <w:rPr>
          <w:b/>
          <w:i w:val="0"/>
        </w:rPr>
        <w:t>probandum.</w:t>
      </w:r>
      <w:r>
        <w:rPr>
          <w:b w:val="0"/>
          <w:i w:val="0"/>
        </w:rPr>
        <w:t xml:space="preserve"> </w:t>
      </w:r>
      <w:hyperlink w:anchor="latin-record-0278">
        <w:r>
          <w:rPr>
            <w:color w:val="000000"/>
          </w:rPr>
          <w:t xml:space="preserve">concludere / probare</w:t>
        </w:r>
      </w:hyperlink>
      <w:r>
        <w:rPr>
          <w:b w:val="0"/>
          <w:i w:val="0"/>
        </w:rPr>
        <w:t>.</w:t>
      </w:r>
    </w:p>
    <w:p>
      <w:pPr>
        <w:widowControl/>
      </w:pPr>
      <w:r>
        <w:rPr>
          <w:b/>
          <w:i w:val="0"/>
        </w:rPr>
        <w:t>probavimus.</w:t>
      </w:r>
      <w:r>
        <w:rPr>
          <w:b w:val="0"/>
          <w:i w:val="0"/>
        </w:rPr>
        <w:t xml:space="preserve"> </w:t>
      </w:r>
      <w:hyperlink w:anchor="latin-record-0278">
        <w:r>
          <w:rPr>
            <w:color w:val="000000"/>
          </w:rPr>
          <w:t xml:space="preserve">concludere / probare</w:t>
        </w:r>
      </w:hyperlink>
      <w:r>
        <w:rPr>
          <w:b w:val="0"/>
          <w:i w:val="0"/>
        </w:rPr>
        <w:t>.</w:t>
      </w:r>
    </w:p>
    <w:p>
      <w:pPr>
        <w:widowControl/>
      </w:pPr>
      <w:r>
        <w:rPr>
          <w:b/>
          <w:i w:val="0"/>
        </w:rPr>
        <w:t>probi.</w:t>
      </w:r>
      <w:r>
        <w:rPr>
          <w:b w:val="0"/>
          <w:i w:val="0"/>
        </w:rPr>
        <w:t xml:space="preserve"> </w:t>
      </w:r>
      <w:hyperlink w:anchor="latin-record-0837">
        <w:r>
          <w:rPr>
            <w:color w:val="000000"/>
          </w:rPr>
          <w:t xml:space="preserve">nequam / probus / iustus / latro</w:t>
        </w:r>
      </w:hyperlink>
      <w:r>
        <w:rPr>
          <w:b w:val="0"/>
          <w:i w:val="0"/>
        </w:rPr>
        <w:t>.</w:t>
      </w:r>
    </w:p>
    <w:p>
      <w:pPr>
        <w:widowControl/>
      </w:pPr>
      <w:r>
        <w:rPr>
          <w:b/>
          <w:i w:val="0"/>
        </w:rPr>
        <w:t>procella.</w:t>
      </w:r>
      <w:r>
        <w:rPr>
          <w:b w:val="0"/>
          <w:i w:val="0"/>
        </w:rPr>
        <w:t xml:space="preserve"> </w:t>
      </w:r>
      <w:hyperlink w:anchor="latin-record-1002">
        <w:r>
          <w:rPr>
            <w:color w:val="000000"/>
          </w:rPr>
          <w:t xml:space="preserve">procella / tempestas</w:t>
        </w:r>
      </w:hyperlink>
      <w:r>
        <w:rPr>
          <w:b w:val="0"/>
          <w:i w:val="0"/>
        </w:rPr>
        <w:t>.</w:t>
      </w:r>
    </w:p>
    <w:p>
      <w:pPr>
        <w:widowControl/>
      </w:pPr>
      <w:r>
        <w:rPr>
          <w:b/>
          <w:i w:val="0"/>
        </w:rPr>
        <w:t>procero.</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proclivem.</w:t>
      </w:r>
      <w:r>
        <w:rPr>
          <w:b w:val="0"/>
          <w:i w:val="0"/>
        </w:rPr>
        <w:t xml:space="preserve"> </w:t>
      </w:r>
      <w:hyperlink w:anchor="latin-record-0112">
        <w:r>
          <w:rPr>
            <w:color w:val="000000"/>
          </w:rPr>
          <w:t xml:space="preserve">appetitus; proclivis</w:t>
        </w:r>
      </w:hyperlink>
      <w:r>
        <w:rPr>
          <w:b w:val="0"/>
          <w:i w:val="0"/>
        </w:rPr>
        <w:t>.</w:t>
      </w:r>
    </w:p>
    <w:p>
      <w:pPr>
        <w:widowControl/>
      </w:pPr>
      <w:r>
        <w:rPr>
          <w:b/>
          <w:i w:val="0"/>
        </w:rPr>
        <w:t>procreabit.</w:t>
      </w:r>
      <w:r>
        <w:rPr>
          <w:b w:val="0"/>
          <w:i w:val="0"/>
        </w:rPr>
        <w:t xml:space="preserve"> </w:t>
      </w:r>
      <w:hyperlink w:anchor="latin-record-1009">
        <w:r>
          <w:rPr>
            <w:color w:val="000000"/>
          </w:rPr>
          <w:t xml:space="preserve">proles / parturire</w:t>
        </w:r>
      </w:hyperlink>
      <w:r>
        <w:rPr>
          <w:b w:val="0"/>
          <w:i w:val="0"/>
        </w:rPr>
        <w:t>.</w:t>
      </w:r>
    </w:p>
    <w:p>
      <w:pPr>
        <w:widowControl/>
      </w:pPr>
      <w:r>
        <w:rPr>
          <w:b/>
          <w:i w:val="0"/>
        </w:rPr>
        <w:t>procreare.</w:t>
      </w:r>
      <w:r>
        <w:rPr>
          <w:b w:val="0"/>
          <w:i w:val="0"/>
        </w:rPr>
        <w:t xml:space="preserve"> </w:t>
      </w:r>
      <w:hyperlink w:anchor="latin-record-0572">
        <w:r>
          <w:rPr>
            <w:color w:val="000000"/>
          </w:rPr>
          <w:t xml:space="preserve">humor / mixtio / procreare</w:t>
        </w:r>
      </w:hyperlink>
      <w:r>
        <w:rPr>
          <w:b w:val="0"/>
          <w:i w:val="0"/>
        </w:rPr>
        <w:t>.</w:t>
      </w:r>
    </w:p>
    <w:p>
      <w:pPr>
        <w:widowControl/>
      </w:pPr>
      <w:r>
        <w:rPr>
          <w:b/>
          <w:i w:val="0"/>
        </w:rPr>
        <w:t>procreat.</w:t>
      </w:r>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Proculus.</w:t>
      </w:r>
      <w:r>
        <w:rPr>
          <w:b w:val="0"/>
          <w:i w:val="0"/>
        </w:rPr>
        <w:t xml:space="preserve"> </w:t>
      </w:r>
      <w:hyperlink w:anchor="latin-record-0956">
        <w:r>
          <w:rPr>
            <w:color w:val="000000"/>
          </w:rPr>
          <w:t xml:space="preserve">Plotinus / Proclus</w:t>
        </w:r>
      </w:hyperlink>
      <w:r>
        <w:rPr>
          <w:b w:val="0"/>
          <w:i w:val="0"/>
        </w:rPr>
        <w:t xml:space="preserve">; </w:t>
      </w:r>
      <w:hyperlink w:anchor="latin-record-0957">
        <w:r>
          <w:rPr>
            <w:color w:val="000000"/>
          </w:rPr>
          <w:t xml:space="preserve">Plotinus / Proculus</w:t>
        </w:r>
      </w:hyperlink>
      <w:r>
        <w:rPr>
          <w:b w:val="0"/>
          <w:i w:val="0"/>
        </w:rPr>
        <w:t>.</w:t>
      </w:r>
    </w:p>
    <w:p>
      <w:pPr>
        <w:widowControl/>
      </w:pPr>
      <w:r>
        <w:rPr>
          <w:b/>
          <w:i w:val="0"/>
        </w:rPr>
        <w:t>Proculusque.</w:t>
      </w:r>
      <w:r>
        <w:rPr>
          <w:b w:val="0"/>
          <w:i w:val="0"/>
        </w:rPr>
        <w:t xml:space="preserve"> </w:t>
      </w:r>
      <w:hyperlink w:anchor="latin-record-0956">
        <w:r>
          <w:rPr>
            <w:color w:val="000000"/>
          </w:rPr>
          <w:t xml:space="preserve">Plotinus / Proclus</w:t>
        </w:r>
      </w:hyperlink>
      <w:r>
        <w:rPr>
          <w:b w:val="0"/>
          <w:i w:val="0"/>
        </w:rPr>
        <w:t>.</w:t>
      </w:r>
    </w:p>
    <w:p>
      <w:pPr>
        <w:widowControl/>
      </w:pPr>
      <w:r>
        <w:rPr>
          <w:b/>
          <w:i w:val="0"/>
        </w:rPr>
        <w:t>producere.</w:t>
      </w:r>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produci.</w:t>
      </w:r>
      <w:r>
        <w:rPr>
          <w:b w:val="0"/>
          <w:i w:val="0"/>
        </w:rPr>
        <w:t xml:space="preserve"> </w:t>
      </w:r>
      <w:hyperlink w:anchor="latin-record-0424">
        <w:r>
          <w:rPr>
            <w:color w:val="000000"/>
          </w:rPr>
          <w:t xml:space="preserve">efficere / producere / generare</w:t>
        </w:r>
      </w:hyperlink>
      <w:r>
        <w:rPr>
          <w:b w:val="0"/>
          <w:i w:val="0"/>
        </w:rPr>
        <w:t>.</w:t>
      </w:r>
    </w:p>
    <w:p>
      <w:pPr>
        <w:widowControl/>
      </w:pPr>
      <w:r>
        <w:rPr>
          <w:b/>
          <w:i w:val="0"/>
        </w:rPr>
        <w:t>producit.</w:t>
      </w:r>
      <w:r>
        <w:rPr>
          <w:b w:val="0"/>
          <w:i w:val="0"/>
        </w:rPr>
        <w:t xml:space="preserve"> </w:t>
      </w:r>
      <w:hyperlink w:anchor="latin-record-0424">
        <w:r>
          <w:rPr>
            <w:color w:val="000000"/>
          </w:rPr>
          <w:t xml:space="preserve">efficere / producere / generare</w:t>
        </w:r>
      </w:hyperlink>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productum.</w:t>
      </w:r>
      <w:r>
        <w:rPr>
          <w:b w:val="0"/>
          <w:i w:val="0"/>
        </w:rPr>
        <w:t xml:space="preserve"> </w:t>
      </w:r>
      <w:hyperlink w:anchor="latin-record-0148">
        <w:r>
          <w:rPr>
            <w:color w:val="000000"/>
          </w:rPr>
          <w:t xml:space="preserve">auctor; producere</w:t>
        </w:r>
      </w:hyperlink>
      <w:r>
        <w:rPr>
          <w:b w:val="0"/>
          <w:i w:val="0"/>
        </w:rPr>
        <w:t>.</w:t>
      </w:r>
    </w:p>
    <w:p>
      <w:pPr>
        <w:widowControl/>
      </w:pPr>
      <w:r>
        <w:rPr>
          <w:b/>
          <w:i w:val="0"/>
        </w:rPr>
        <w:t>productus.</w:t>
      </w:r>
      <w:r>
        <w:rPr>
          <w:b w:val="0"/>
          <w:i w:val="0"/>
        </w:rPr>
        <w:t xml:space="preserve"> </w:t>
      </w:r>
      <w:hyperlink w:anchor="latin-record-1004">
        <w:r>
          <w:rPr>
            <w:color w:val="000000"/>
          </w:rPr>
          <w:t xml:space="preserve">producere / gignere / generare</w:t>
        </w:r>
      </w:hyperlink>
      <w:r>
        <w:rPr>
          <w:b w:val="0"/>
          <w:i w:val="0"/>
        </w:rPr>
        <w:t>.</w:t>
      </w:r>
    </w:p>
    <w:p>
      <w:pPr>
        <w:widowControl/>
      </w:pPr>
      <w:r>
        <w:rPr>
          <w:b/>
          <w:i w:val="0"/>
        </w:rPr>
        <w:t>Proficit.</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proficit.</w:t>
      </w:r>
      <w:r>
        <w:rPr>
          <w:b w:val="0"/>
          <w:i w:val="0"/>
        </w:rPr>
        <w:t xml:space="preserve"> </w:t>
      </w:r>
      <w:hyperlink w:anchor="latin-record-1005">
        <w:r>
          <w:rPr>
            <w:color w:val="000000"/>
          </w:rPr>
          <w:t xml:space="preserve">proficere / crescere / decrescere</w:t>
        </w:r>
      </w:hyperlink>
      <w:r>
        <w:rPr>
          <w:b w:val="0"/>
          <w:i w:val="0"/>
        </w:rPr>
        <w:t>.</w:t>
      </w:r>
    </w:p>
    <w:p>
      <w:pPr>
        <w:widowControl/>
      </w:pPr>
      <w:r>
        <w:rPr>
          <w:b/>
          <w:i w:val="0"/>
        </w:rPr>
        <w:t>profluere.</w:t>
      </w:r>
      <w:r>
        <w:rPr>
          <w:b w:val="0"/>
          <w:i w:val="0"/>
        </w:rPr>
        <w:t xml:space="preserve"> </w:t>
      </w:r>
      <w:hyperlink w:anchor="latin-record-1097">
        <w:r>
          <w:rPr>
            <w:color w:val="000000"/>
          </w:rPr>
          <w:t xml:space="preserve">relabi / redundare</w:t>
        </w:r>
      </w:hyperlink>
      <w:r>
        <w:rPr>
          <w:b w:val="0"/>
          <w:i w:val="0"/>
        </w:rPr>
        <w:t>.</w:t>
      </w:r>
    </w:p>
    <w:p>
      <w:pPr>
        <w:widowControl/>
      </w:pPr>
      <w:r>
        <w:rPr>
          <w:b/>
          <w:i w:val="0"/>
        </w:rPr>
        <w:t>profundam.</w:t>
      </w:r>
      <w:r>
        <w:rPr>
          <w:b w:val="0"/>
          <w:i w:val="0"/>
        </w:rPr>
        <w:t xml:space="preserve"> </w:t>
      </w:r>
      <w:hyperlink w:anchor="latin-record-0475">
        <w:r>
          <w:rPr>
            <w:color w:val="000000"/>
          </w:rPr>
          <w:t xml:space="preserve">facies / profundum</w:t>
        </w:r>
      </w:hyperlink>
      <w:r>
        <w:rPr>
          <w:b w:val="0"/>
          <w:i w:val="0"/>
        </w:rPr>
        <w:t>.</w:t>
      </w:r>
    </w:p>
    <w:p>
      <w:pPr>
        <w:widowControl/>
      </w:pPr>
      <w:r>
        <w:rPr>
          <w:b/>
          <w:i w:val="0"/>
        </w:rPr>
        <w:t>profunditate.</w:t>
      </w:r>
      <w:r>
        <w:rPr>
          <w:b w:val="0"/>
          <w:i w:val="0"/>
        </w:rPr>
        <w:t xml:space="preserve"> </w:t>
      </w:r>
      <w:hyperlink w:anchor="latin-record-0724">
        <w:r>
          <w:rPr>
            <w:color w:val="000000"/>
          </w:rPr>
          <w:t xml:space="preserve">longitudo / latitudo / profunditas</w:t>
        </w:r>
      </w:hyperlink>
      <w:r>
        <w:rPr>
          <w:b w:val="0"/>
          <w:i w:val="0"/>
        </w:rPr>
        <w:t>.</w:t>
      </w:r>
    </w:p>
    <w:p>
      <w:pPr>
        <w:widowControl/>
      </w:pPr>
      <w:r>
        <w:rPr>
          <w:b/>
          <w:i w:val="0"/>
        </w:rPr>
        <w:t>profunditatis.</w:t>
      </w:r>
      <w:r>
        <w:rPr>
          <w:b w:val="0"/>
          <w:i w:val="0"/>
        </w:rPr>
        <w:t xml:space="preserve"> </w:t>
      </w:r>
      <w:hyperlink w:anchor="latin-record-0724">
        <w:r>
          <w:rPr>
            <w:color w:val="000000"/>
          </w:rPr>
          <w:t xml:space="preserve">longitudo / latitudo / profunditas</w:t>
        </w:r>
      </w:hyperlink>
      <w:r>
        <w:rPr>
          <w:b w:val="0"/>
          <w:i w:val="0"/>
        </w:rPr>
        <w:t xml:space="preserve">; </w:t>
      </w:r>
      <w:hyperlink w:anchor="latin-record-0725">
        <w:r>
          <w:rPr>
            <w:color w:val="000000"/>
          </w:rPr>
          <w:t xml:space="preserve">longitudo; latitudo; profunditas</w:t>
        </w:r>
      </w:hyperlink>
      <w:r>
        <w:rPr>
          <w:b w:val="0"/>
          <w:i w:val="0"/>
        </w:rPr>
        <w:t>.</w:t>
      </w:r>
    </w:p>
    <w:p>
      <w:pPr>
        <w:widowControl/>
      </w:pPr>
      <w:r>
        <w:rPr>
          <w:b/>
          <w:i w:val="0"/>
        </w:rPr>
        <w:t>profusa.</w:t>
      </w:r>
      <w:r>
        <w:rPr>
          <w:b w:val="0"/>
          <w:i w:val="0"/>
        </w:rPr>
        <w:t xml:space="preserve"> </w:t>
      </w:r>
      <w:hyperlink w:anchor="latin-record-0269">
        <w:r>
          <w:rPr>
            <w:color w:val="000000"/>
          </w:rPr>
          <w:t xml:space="preserve">comprimere; profundere</w:t>
        </w:r>
      </w:hyperlink>
      <w:r>
        <w:rPr>
          <w:b w:val="0"/>
          <w:i w:val="0"/>
        </w:rPr>
        <w:t>.</w:t>
      </w:r>
    </w:p>
    <w:p>
      <w:pPr>
        <w:widowControl/>
      </w:pPr>
      <w:r>
        <w:rPr>
          <w:b/>
          <w:i w:val="0"/>
        </w:rPr>
        <w:t>progenitam.</w:t>
      </w:r>
      <w:r>
        <w:rPr>
          <w:b w:val="0"/>
          <w:i w:val="0"/>
        </w:rPr>
        <w:t xml:space="preserve"> </w:t>
      </w:r>
      <w:hyperlink w:anchor="latin-record-0558">
        <w:r>
          <w:rPr>
            <w:color w:val="000000"/>
          </w:rPr>
          <w:t xml:space="preserve">harmonia / progenitus</w:t>
        </w:r>
      </w:hyperlink>
      <w:r>
        <w:rPr>
          <w:b w:val="0"/>
          <w:i w:val="0"/>
        </w:rPr>
        <w:t>.</w:t>
      </w:r>
    </w:p>
    <w:p>
      <w:pPr>
        <w:widowControl/>
      </w:pPr>
      <w:r>
        <w:rPr>
          <w:b/>
          <w:i w:val="0"/>
        </w:rPr>
        <w:t>progrediendi.</w:t>
      </w:r>
      <w:r>
        <w:rPr>
          <w:b w:val="0"/>
          <w:i w:val="0"/>
        </w:rPr>
        <w:t xml:space="preserve"> </w:t>
      </w:r>
      <w:hyperlink w:anchor="latin-record-1006">
        <w:r>
          <w:rPr>
            <w:color w:val="000000"/>
          </w:rPr>
          <w:t xml:space="preserve">progredi / servire</w:t>
        </w:r>
      </w:hyperlink>
      <w:r>
        <w:rPr>
          <w:b w:val="0"/>
          <w:i w:val="0"/>
        </w:rPr>
        <w:t>.</w:t>
      </w:r>
    </w:p>
    <w:p>
      <w:pPr>
        <w:widowControl/>
      </w:pPr>
      <w:r>
        <w:rPr>
          <w:b/>
          <w:i w:val="0"/>
        </w:rPr>
        <w:t>progressio.</w:t>
      </w:r>
      <w:r>
        <w:rPr>
          <w:b w:val="0"/>
          <w:i w:val="0"/>
        </w:rPr>
        <w:t xml:space="preserve"> </w:t>
      </w:r>
      <w:hyperlink w:anchor="latin-record-1007">
        <w:r>
          <w:rPr>
            <w:color w:val="000000"/>
          </w:rPr>
          <w:t xml:space="preserve">progressio in infinitum</w:t>
        </w:r>
      </w:hyperlink>
      <w:r>
        <w:rPr>
          <w:b w:val="0"/>
          <w:i w:val="0"/>
        </w:rPr>
        <w:t>.</w:t>
      </w:r>
    </w:p>
    <w:p>
      <w:pPr>
        <w:widowControl/>
      </w:pPr>
      <w:r>
        <w:rPr>
          <w:b/>
          <w:i w:val="0"/>
        </w:rPr>
        <w:t>prolapsas.</w:t>
      </w:r>
      <w:r>
        <w:rPr>
          <w:b w:val="0"/>
          <w:i w:val="0"/>
        </w:rPr>
        <w:t xml:space="preserve"> </w:t>
      </w:r>
      <w:hyperlink w:anchor="latin-record-0363">
        <w:r>
          <w:rPr>
            <w:color w:val="000000"/>
          </w:rPr>
          <w:t xml:space="preserve">delabi / prolabi</w:t>
        </w:r>
      </w:hyperlink>
      <w:r>
        <w:rPr>
          <w:b w:val="0"/>
          <w:i w:val="0"/>
        </w:rPr>
        <w:t>.</w:t>
      </w:r>
    </w:p>
    <w:p>
      <w:pPr>
        <w:widowControl/>
      </w:pPr>
      <w:r>
        <w:rPr>
          <w:b/>
          <w:i w:val="0"/>
        </w:rPr>
        <w:t>prolem.</w:t>
      </w:r>
      <w:r>
        <w:rPr>
          <w:b w:val="0"/>
          <w:i w:val="0"/>
        </w:rPr>
        <w:t xml:space="preserve"> </w:t>
      </w:r>
      <w:hyperlink w:anchor="latin-record-1008">
        <w:r>
          <w:rPr>
            <w:color w:val="000000"/>
          </w:rPr>
          <w:t xml:space="preserve">proles</w:t>
        </w:r>
      </w:hyperlink>
      <w:r>
        <w:rPr>
          <w:b w:val="0"/>
          <w:i w:val="0"/>
        </w:rPr>
        <w:t xml:space="preserve">; </w:t>
      </w:r>
      <w:hyperlink w:anchor="latin-record-1009">
        <w:r>
          <w:rPr>
            <w:color w:val="000000"/>
          </w:rPr>
          <w:t xml:space="preserve">proles / parturire</w:t>
        </w:r>
      </w:hyperlink>
      <w:r>
        <w:rPr>
          <w:b w:val="0"/>
          <w:i w:val="0"/>
        </w:rPr>
        <w:t>.</w:t>
      </w:r>
    </w:p>
    <w:p>
      <w:pPr>
        <w:widowControl/>
      </w:pPr>
      <w:r>
        <w:rPr>
          <w:b/>
          <w:i w:val="0"/>
        </w:rPr>
        <w:t>proles quaedam.</w:t>
      </w:r>
      <w:r>
        <w:rPr>
          <w:b w:val="0"/>
          <w:i w:val="0"/>
        </w:rPr>
        <w:t xml:space="preserve"> </w:t>
      </w:r>
      <w:hyperlink w:anchor="latin-record-1008">
        <w:r>
          <w:rPr>
            <w:color w:val="000000"/>
          </w:rPr>
          <w:t xml:space="preserve">proles</w:t>
        </w:r>
      </w:hyperlink>
      <w:r>
        <w:rPr>
          <w:b w:val="0"/>
          <w:i w:val="0"/>
        </w:rPr>
        <w:t>.</w:t>
      </w:r>
    </w:p>
    <w:p>
      <w:pPr>
        <w:widowControl/>
      </w:pPr>
      <w:r>
        <w:rPr>
          <w:b/>
          <w:i w:val="0"/>
        </w:rPr>
        <w:t>promit.</w:t>
      </w:r>
      <w:r>
        <w:rPr>
          <w:b w:val="0"/>
          <w:i w:val="0"/>
        </w:rPr>
        <w:t xml:space="preserve"> </w:t>
      </w:r>
      <w:hyperlink w:anchor="latin-record-0454">
        <w:r>
          <w:rPr>
            <w:color w:val="000000"/>
          </w:rPr>
          <w:t xml:space="preserve">excitare / promere / adita</w:t>
        </w:r>
      </w:hyperlink>
      <w:r>
        <w:rPr>
          <w:b w:val="0"/>
          <w:i w:val="0"/>
        </w:rPr>
        <w:t>.</w:t>
      </w:r>
    </w:p>
    <w:p>
      <w:pPr>
        <w:widowControl/>
      </w:pPr>
      <w:r>
        <w:rPr>
          <w:b/>
          <w:i w:val="0"/>
        </w:rPr>
        <w:t>Pronopides.</w:t>
      </w:r>
      <w:r>
        <w:rPr>
          <w:b w:val="0"/>
          <w:i w:val="0"/>
        </w:rPr>
        <w:t xml:space="preserve"> </w:t>
      </w:r>
      <w:hyperlink w:anchor="latin-record-0563">
        <w:r>
          <w:rPr>
            <w:color w:val="000000"/>
          </w:rPr>
          <w:t xml:space="preserve">Hippias; Hesiodus; Pronopides</w:t>
        </w:r>
      </w:hyperlink>
      <w:r>
        <w:rPr>
          <w:b w:val="0"/>
          <w:i w:val="0"/>
        </w:rPr>
        <w:t>.</w:t>
      </w:r>
    </w:p>
    <w:p>
      <w:pPr>
        <w:widowControl/>
      </w:pPr>
      <w:r>
        <w:rPr>
          <w:b/>
          <w:i w:val="0"/>
        </w:rPr>
        <w:t>pronuntiat.</w:t>
      </w:r>
      <w:r>
        <w:rPr>
          <w:b w:val="0"/>
          <w:i w:val="0"/>
        </w:rPr>
        <w:t xml:space="preserve"> </w:t>
      </w:r>
      <w:hyperlink w:anchor="latin-record-0692">
        <w:r>
          <w:rPr>
            <w:color w:val="000000"/>
          </w:rPr>
          <w:t xml:space="preserve">iudicare / pronuntiare</w:t>
        </w:r>
      </w:hyperlink>
      <w:r>
        <w:rPr>
          <w:b w:val="0"/>
          <w:i w:val="0"/>
        </w:rPr>
        <w:t>.</w:t>
      </w:r>
    </w:p>
    <w:p>
      <w:pPr>
        <w:widowControl/>
      </w:pPr>
      <w:r>
        <w:rPr>
          <w:b/>
          <w:i w:val="0"/>
        </w:rPr>
        <w:t>propagandae.</w:t>
      </w:r>
      <w:r>
        <w:rPr>
          <w:b w:val="0"/>
          <w:i w:val="0"/>
        </w:rPr>
        <w:t xml:space="preserve"> </w:t>
      </w:r>
      <w:hyperlink w:anchor="latin-record-1010">
        <w:r>
          <w:rPr>
            <w:color w:val="000000"/>
          </w:rPr>
          <w:t xml:space="preserve">propagare / propagatio</w:t>
        </w:r>
      </w:hyperlink>
      <w:r>
        <w:rPr>
          <w:b w:val="0"/>
          <w:i w:val="0"/>
        </w:rPr>
        <w:t>.</w:t>
      </w:r>
    </w:p>
    <w:p>
      <w:pPr>
        <w:widowControl/>
      </w:pPr>
      <w:r>
        <w:rPr>
          <w:b/>
          <w:i w:val="0"/>
        </w:rPr>
        <w:t>propagatione.</w:t>
      </w:r>
      <w:r>
        <w:rPr>
          <w:b w:val="0"/>
          <w:i w:val="0"/>
        </w:rPr>
        <w:t xml:space="preserve"> </w:t>
      </w:r>
      <w:hyperlink w:anchor="latin-record-1010">
        <w:r>
          <w:rPr>
            <w:color w:val="000000"/>
          </w:rPr>
          <w:t xml:space="preserve">propagare / propagatio</w:t>
        </w:r>
      </w:hyperlink>
      <w:r>
        <w:rPr>
          <w:b w:val="0"/>
          <w:i w:val="0"/>
        </w:rPr>
        <w:t>.</w:t>
      </w:r>
    </w:p>
    <w:p>
      <w:pPr>
        <w:widowControl/>
      </w:pPr>
      <w:r>
        <w:rPr>
          <w:b/>
          <w:i w:val="0"/>
        </w:rPr>
        <w:t>propagationem.</w:t>
      </w:r>
      <w:r>
        <w:rPr>
          <w:b w:val="0"/>
          <w:i w:val="0"/>
        </w:rPr>
        <w:t xml:space="preserve"> </w:t>
      </w:r>
      <w:hyperlink w:anchor="latin-record-1010">
        <w:r>
          <w:rPr>
            <w:color w:val="000000"/>
          </w:rPr>
          <w:t xml:space="preserve">propagare / propagatio</w:t>
        </w:r>
      </w:hyperlink>
      <w:r>
        <w:rPr>
          <w:b w:val="0"/>
          <w:i w:val="0"/>
        </w:rPr>
        <w:t>.</w:t>
      </w:r>
    </w:p>
    <w:p>
      <w:pPr>
        <w:widowControl/>
      </w:pPr>
      <w:r>
        <w:rPr>
          <w:b/>
          <w:i w:val="0"/>
        </w:rPr>
        <w:t>propaget.</w:t>
      </w:r>
      <w:r>
        <w:rPr>
          <w:b w:val="0"/>
          <w:i w:val="0"/>
        </w:rPr>
        <w:t xml:space="preserve"> </w:t>
      </w:r>
      <w:hyperlink w:anchor="latin-record-1010">
        <w:r>
          <w:rPr>
            <w:color w:val="000000"/>
          </w:rPr>
          <w:t xml:space="preserve">propagare / propagatio</w:t>
        </w:r>
      </w:hyperlink>
      <w:r>
        <w:rPr>
          <w:b w:val="0"/>
          <w:i w:val="0"/>
        </w:rPr>
        <w:t>.</w:t>
      </w:r>
    </w:p>
    <w:p>
      <w:pPr>
        <w:widowControl/>
      </w:pPr>
      <w:r>
        <w:rPr>
          <w:b/>
          <w:i w:val="0"/>
        </w:rPr>
        <w:t>propinquior.</w:t>
      </w:r>
      <w:r>
        <w:rPr>
          <w:b w:val="0"/>
          <w:i w:val="0"/>
        </w:rPr>
        <w:t xml:space="preserve"> </w:t>
      </w:r>
      <w:hyperlink w:anchor="latin-record-0584">
        <w:r>
          <w:rPr>
            <w:color w:val="000000"/>
          </w:rPr>
          <w:t xml:space="preserve">ignis / lapis / descendere / deferre</w:t>
        </w:r>
      </w:hyperlink>
      <w:r>
        <w:rPr>
          <w:b w:val="0"/>
          <w:i w:val="0"/>
        </w:rPr>
        <w:t>.</w:t>
      </w:r>
    </w:p>
    <w:p>
      <w:pPr>
        <w:widowControl/>
      </w:pPr>
      <w:r>
        <w:rPr>
          <w:b/>
          <w:i w:val="0"/>
        </w:rPr>
        <w:t>propinquitas.</w:t>
      </w:r>
      <w:r>
        <w:rPr>
          <w:b w:val="0"/>
          <w:i w:val="0"/>
        </w:rPr>
        <w:t xml:space="preserve"> </w:t>
      </w:r>
      <w:hyperlink w:anchor="latin-record-1011">
        <w:r>
          <w:rPr>
            <w:color w:val="000000"/>
          </w:rPr>
          <w:t xml:space="preserve">propinquitas / naturae ordo</w:t>
        </w:r>
      </w:hyperlink>
      <w:r>
        <w:rPr>
          <w:b w:val="0"/>
          <w:i w:val="0"/>
        </w:rPr>
        <w:t>.</w:t>
      </w:r>
    </w:p>
    <w:p>
      <w:pPr>
        <w:widowControl/>
      </w:pPr>
      <w:r>
        <w:rPr>
          <w:b/>
          <w:i w:val="0"/>
        </w:rPr>
        <w:t>proportio.</w:t>
      </w:r>
      <w:r>
        <w:rPr>
          <w:b w:val="0"/>
          <w:i w:val="0"/>
        </w:rPr>
        <w:t xml:space="preserve"> </w:t>
      </w:r>
      <w:hyperlink w:anchor="latin-record-1012">
        <w:r>
          <w:rPr>
            <w:color w:val="000000"/>
          </w:rPr>
          <w:t xml:space="preserve">proportio</w:t>
        </w:r>
      </w:hyperlink>
      <w:r>
        <w:rPr>
          <w:b w:val="0"/>
          <w:i w:val="0"/>
        </w:rPr>
        <w:t>.</w:t>
      </w:r>
    </w:p>
    <w:p>
      <w:pPr>
        <w:widowControl/>
      </w:pPr>
      <w:r>
        <w:rPr>
          <w:b/>
          <w:i w:val="0"/>
        </w:rPr>
        <w:t>proportione.</w:t>
      </w:r>
      <w:r>
        <w:rPr>
          <w:b w:val="0"/>
          <w:i w:val="0"/>
        </w:rPr>
        <w:t xml:space="preserve"> </w:t>
      </w:r>
      <w:hyperlink w:anchor="latin-record-1012">
        <w:r>
          <w:rPr>
            <w:color w:val="000000"/>
          </w:rPr>
          <w:t xml:space="preserve">proportio</w:t>
        </w:r>
      </w:hyperlink>
      <w:r>
        <w:rPr>
          <w:b w:val="0"/>
          <w:i w:val="0"/>
        </w:rPr>
        <w:t xml:space="preserve">; </w:t>
      </w:r>
      <w:hyperlink w:anchor="latin-record-1072">
        <w:r>
          <w:rPr>
            <w:color w:val="000000"/>
          </w:rPr>
          <w:t xml:space="preserve">ratio compositionis / proportio</w:t>
        </w:r>
      </w:hyperlink>
      <w:r>
        <w:rPr>
          <w:b w:val="0"/>
          <w:i w:val="0"/>
        </w:rPr>
        <w:t xml:space="preserve">; </w:t>
      </w:r>
      <w:hyperlink w:anchor="latin-record-1152">
        <w:r>
          <w:rPr>
            <w:color w:val="000000"/>
          </w:rPr>
          <w:t xml:space="preserve">semen; incohatio; proportio</w:t>
        </w:r>
      </w:hyperlink>
      <w:r>
        <w:rPr>
          <w:b w:val="0"/>
          <w:i w:val="0"/>
        </w:rPr>
        <w:t xml:space="preserve">; </w:t>
      </w:r>
      <w:hyperlink w:anchor="latin-record-1288">
        <w:r>
          <w:rPr>
            <w:color w:val="000000"/>
          </w:rPr>
          <w:t xml:space="preserve">terminus / gradus / proportio / figura</w:t>
        </w:r>
      </w:hyperlink>
      <w:r>
        <w:rPr>
          <w:b w:val="0"/>
          <w:i w:val="0"/>
        </w:rPr>
        <w:t>.</w:t>
      </w:r>
    </w:p>
    <w:p>
      <w:pPr>
        <w:widowControl/>
      </w:pPr>
      <w:r>
        <w:rPr>
          <w:b/>
          <w:i w:val="0"/>
        </w:rPr>
        <w:t>proportionem.</w:t>
      </w:r>
      <w:r>
        <w:rPr>
          <w:b w:val="0"/>
          <w:i w:val="0"/>
        </w:rPr>
        <w:t xml:space="preserve"> </w:t>
      </w:r>
      <w:hyperlink w:anchor="latin-record-0780">
        <w:r>
          <w:rPr>
            <w:color w:val="000000"/>
          </w:rPr>
          <w:t xml:space="preserve">mensura / metiri / proportio / aequare</w:t>
        </w:r>
      </w:hyperlink>
      <w:r>
        <w:rPr>
          <w:b w:val="0"/>
          <w:i w:val="0"/>
        </w:rPr>
        <w:t xml:space="preserve">; </w:t>
      </w:r>
      <w:hyperlink w:anchor="latin-record-1012">
        <w:r>
          <w:rPr>
            <w:color w:val="000000"/>
          </w:rPr>
          <w:t xml:space="preserve">proportio</w:t>
        </w:r>
      </w:hyperlink>
      <w:r>
        <w:rPr>
          <w:b w:val="0"/>
          <w:i w:val="0"/>
        </w:rPr>
        <w:t xml:space="preserve">; </w:t>
      </w:r>
      <w:hyperlink w:anchor="latin-record-1072">
        <w:r>
          <w:rPr>
            <w:color w:val="000000"/>
          </w:rPr>
          <w:t xml:space="preserve">ratio compositionis / proportio</w:t>
        </w:r>
      </w:hyperlink>
      <w:r>
        <w:rPr>
          <w:b w:val="0"/>
          <w:i w:val="0"/>
        </w:rPr>
        <w:t>.</w:t>
      </w:r>
    </w:p>
    <w:p>
      <w:pPr>
        <w:widowControl/>
      </w:pPr>
      <w:r>
        <w:rPr>
          <w:b/>
          <w:i w:val="0"/>
        </w:rPr>
        <w:t>proportiones.</w:t>
      </w:r>
      <w:r>
        <w:rPr>
          <w:b w:val="0"/>
          <w:i w:val="0"/>
        </w:rPr>
        <w:t xml:space="preserve"> </w:t>
      </w:r>
      <w:hyperlink w:anchor="latin-record-0847">
        <w:r>
          <w:rPr>
            <w:color w:val="000000"/>
          </w:rPr>
          <w:t xml:space="preserve">numerus / figura / proportio</w:t>
        </w:r>
      </w:hyperlink>
      <w:r>
        <w:rPr>
          <w:b w:val="0"/>
          <w:i w:val="0"/>
        </w:rPr>
        <w:t xml:space="preserve">; </w:t>
      </w:r>
      <w:hyperlink w:anchor="latin-record-1072">
        <w:r>
          <w:rPr>
            <w:color w:val="000000"/>
          </w:rPr>
          <w:t xml:space="preserve">ratio compositionis / proportio</w:t>
        </w:r>
      </w:hyperlink>
      <w:r>
        <w:rPr>
          <w:b w:val="0"/>
          <w:i w:val="0"/>
        </w:rPr>
        <w:t>.</w:t>
      </w:r>
    </w:p>
    <w:p>
      <w:pPr>
        <w:widowControl/>
      </w:pPr>
      <w:r>
        <w:rPr>
          <w:b/>
          <w:i w:val="0"/>
        </w:rPr>
        <w:t>propositione.</w:t>
      </w:r>
      <w:r>
        <w:rPr>
          <w:b w:val="0"/>
          <w:i w:val="0"/>
        </w:rPr>
        <w:t xml:space="preserve"> </w:t>
      </w:r>
      <w:hyperlink w:anchor="latin-record-1013">
        <w:r>
          <w:rPr>
            <w:color w:val="000000"/>
          </w:rPr>
          <w:t xml:space="preserve">propositio / docere</w:t>
        </w:r>
      </w:hyperlink>
      <w:r>
        <w:rPr>
          <w:b w:val="0"/>
          <w:i w:val="0"/>
        </w:rPr>
        <w:t>.</w:t>
      </w:r>
    </w:p>
    <w:p>
      <w:pPr>
        <w:widowControl/>
      </w:pPr>
      <w:r>
        <w:rPr>
          <w:b/>
          <w:i w:val="0"/>
        </w:rPr>
        <w:t>propositionem.</w:t>
      </w:r>
      <w:r>
        <w:rPr>
          <w:b w:val="0"/>
          <w:i w:val="0"/>
        </w:rPr>
        <w:t xml:space="preserve"> </w:t>
      </w:r>
      <w:hyperlink w:anchor="latin-record-1013">
        <w:r>
          <w:rPr>
            <w:color w:val="000000"/>
          </w:rPr>
          <w:t xml:space="preserve">propositio / docere</w:t>
        </w:r>
      </w:hyperlink>
      <w:r>
        <w:rPr>
          <w:b w:val="0"/>
          <w:i w:val="0"/>
        </w:rPr>
        <w:t>.</w:t>
      </w:r>
    </w:p>
    <w:p>
      <w:pPr>
        <w:widowControl/>
      </w:pPr>
      <w:r>
        <w:rPr>
          <w:b/>
          <w:i w:val="0"/>
        </w:rPr>
        <w:t>proposito.</w:t>
      </w:r>
      <w:r>
        <w:rPr>
          <w:b w:val="0"/>
          <w:i w:val="0"/>
        </w:rPr>
        <w:t xml:space="preserve"> </w:t>
      </w:r>
      <w:hyperlink w:anchor="latin-record-0991">
        <w:r>
          <w:rPr>
            <w:color w:val="000000"/>
          </w:rPr>
          <w:t xml:space="preserve">principale propositum</w:t>
        </w:r>
      </w:hyperlink>
      <w:r>
        <w:rPr>
          <w:b w:val="0"/>
          <w:i w:val="0"/>
        </w:rPr>
        <w:t xml:space="preserve">; </w:t>
      </w:r>
      <w:hyperlink w:anchor="latin-record-1014">
        <w:r>
          <w:rPr>
            <w:color w:val="000000"/>
          </w:rPr>
          <w:t xml:space="preserve">propositum</w:t>
        </w:r>
      </w:hyperlink>
      <w:r>
        <w:rPr>
          <w:b w:val="0"/>
          <w:i w:val="0"/>
        </w:rPr>
        <w:t>.</w:t>
      </w:r>
    </w:p>
    <w:p>
      <w:pPr>
        <w:widowControl/>
      </w:pPr>
      <w:r>
        <w:rPr>
          <w:b/>
          <w:i w:val="0"/>
        </w:rPr>
        <w:t>propositum.</w:t>
      </w:r>
      <w:r>
        <w:rPr>
          <w:b w:val="0"/>
          <w:i w:val="0"/>
        </w:rPr>
        <w:t xml:space="preserve"> </w:t>
      </w:r>
      <w:hyperlink w:anchor="latin-record-1014">
        <w:r>
          <w:rPr>
            <w:color w:val="000000"/>
          </w:rPr>
          <w:t xml:space="preserve">propositum</w:t>
        </w:r>
      </w:hyperlink>
      <w:r>
        <w:rPr>
          <w:b w:val="0"/>
          <w:i w:val="0"/>
        </w:rPr>
        <w:t>.</w:t>
      </w:r>
    </w:p>
    <w:p>
      <w:pPr>
        <w:widowControl/>
      </w:pPr>
      <w:r>
        <w:rPr>
          <w:b/>
          <w:i w:val="0"/>
        </w:rPr>
        <w:t>propria.</w:t>
      </w:r>
      <w:r>
        <w:rPr>
          <w:b w:val="0"/>
          <w:i w:val="0"/>
        </w:rPr>
        <w:t xml:space="preserve"> </w:t>
      </w:r>
      <w:hyperlink w:anchor="latin-record-1015">
        <w:r>
          <w:rPr>
            <w:color w:val="000000"/>
          </w:rPr>
          <w:t xml:space="preserve">proprium</w:t>
        </w:r>
      </w:hyperlink>
      <w:r>
        <w:rPr>
          <w:b w:val="0"/>
          <w:i w:val="0"/>
        </w:rPr>
        <w:t xml:space="preserve">; </w:t>
      </w:r>
      <w:hyperlink w:anchor="latin-record-1016">
        <w:r>
          <w:rPr>
            <w:color w:val="000000"/>
          </w:rPr>
          <w:t xml:space="preserve">proprius</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Propria.</w:t>
      </w:r>
      <w:r>
        <w:rPr>
          <w:b w:val="0"/>
          <w:i w:val="0"/>
        </w:rPr>
        <w:t xml:space="preserve"> </w:t>
      </w:r>
      <w:hyperlink w:anchor="latin-record-1018">
        <w:r>
          <w:rPr>
            <w:color w:val="000000"/>
          </w:rPr>
          <w:t xml:space="preserve">proprius / intimus / alienior</w:t>
        </w:r>
      </w:hyperlink>
      <w:r>
        <w:rPr>
          <w:b w:val="0"/>
          <w:i w:val="0"/>
        </w:rPr>
        <w:t>.</w:t>
      </w:r>
    </w:p>
    <w:p>
      <w:pPr>
        <w:widowControl/>
      </w:pPr>
      <w:r>
        <w:rPr>
          <w:b/>
          <w:i w:val="0"/>
        </w:rPr>
        <w:t>propria intimaque.</w:t>
      </w:r>
      <w:r>
        <w:rPr>
          <w:b w:val="0"/>
          <w:i w:val="0"/>
        </w:rPr>
        <w:t xml:space="preserve"> </w:t>
      </w:r>
      <w:hyperlink w:anchor="latin-record-1018">
        <w:r>
          <w:rPr>
            <w:color w:val="000000"/>
          </w:rPr>
          <w:t xml:space="preserve">proprius / intimus / alienior</w:t>
        </w:r>
      </w:hyperlink>
      <w:r>
        <w:rPr>
          <w:b w:val="0"/>
          <w:i w:val="0"/>
        </w:rPr>
        <w:t>.</w:t>
      </w:r>
    </w:p>
    <w:p>
      <w:pPr>
        <w:widowControl/>
      </w:pPr>
      <w:r>
        <w:rPr>
          <w:b/>
          <w:i w:val="0"/>
        </w:rPr>
        <w:t>propriae.</w:t>
      </w:r>
      <w:r>
        <w:rPr>
          <w:b w:val="0"/>
          <w:i w:val="0"/>
        </w:rPr>
        <w:t xml:space="preserve"> </w:t>
      </w:r>
      <w:hyperlink w:anchor="latin-record-1016">
        <w:r>
          <w:rPr>
            <w:color w:val="000000"/>
          </w:rPr>
          <w:t xml:space="preserve">proprius</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propriam.</w:t>
      </w:r>
      <w:r>
        <w:rPr>
          <w:b w:val="0"/>
          <w:i w:val="0"/>
        </w:rPr>
        <w:t xml:space="preserve"> </w:t>
      </w:r>
      <w:hyperlink w:anchor="latin-record-1016">
        <w:r>
          <w:rPr>
            <w:color w:val="000000"/>
          </w:rPr>
          <w:t xml:space="preserve">proprius</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proprie.</w:t>
      </w:r>
      <w:r>
        <w:rPr>
          <w:b w:val="0"/>
          <w:i w:val="0"/>
        </w:rPr>
        <w:t xml:space="preserve"> </w:t>
      </w:r>
      <w:hyperlink w:anchor="latin-record-0922">
        <w:r>
          <w:rPr>
            <w:color w:val="000000"/>
          </w:rPr>
          <w:t xml:space="preserve">per se; quodammodo; proprie</w:t>
        </w:r>
      </w:hyperlink>
      <w:r>
        <w:rPr>
          <w:b w:val="0"/>
          <w:i w:val="0"/>
        </w:rPr>
        <w:t xml:space="preserve">; </w:t>
      </w:r>
      <w:hyperlink w:anchor="latin-record-1016">
        <w:r>
          <w:rPr>
            <w:color w:val="000000"/>
          </w:rPr>
          <w:t xml:space="preserve">proprius</w:t>
        </w:r>
      </w:hyperlink>
      <w:r>
        <w:rPr>
          <w:b w:val="0"/>
          <w:i w:val="0"/>
        </w:rPr>
        <w:t>.</w:t>
      </w:r>
    </w:p>
    <w:p>
      <w:pPr>
        <w:widowControl/>
      </w:pPr>
      <w:r>
        <w:rPr>
          <w:b/>
          <w:i w:val="0"/>
        </w:rPr>
        <w:t>proprie existit actu.</w:t>
      </w:r>
      <w:r>
        <w:rPr>
          <w:b w:val="0"/>
          <w:i w:val="0"/>
        </w:rPr>
        <w:t xml:space="preserve"> </w:t>
      </w:r>
      <w:hyperlink w:anchor="latin-record-0026">
        <w:r>
          <w:rPr>
            <w:color w:val="000000"/>
          </w:rPr>
          <w:t xml:space="preserve">actus proprius</w:t>
        </w:r>
      </w:hyperlink>
      <w:r>
        <w:rPr>
          <w:b w:val="0"/>
          <w:i w:val="0"/>
        </w:rPr>
        <w:t>.</w:t>
      </w:r>
    </w:p>
    <w:p>
      <w:pPr>
        <w:widowControl/>
      </w:pPr>
      <w:r>
        <w:rPr>
          <w:b/>
          <w:i w:val="0"/>
        </w:rPr>
        <w:t>propriis.</w:t>
      </w:r>
      <w:r>
        <w:rPr>
          <w:b w:val="0"/>
          <w:i w:val="0"/>
        </w:rPr>
        <w:t xml:space="preserve"> </w:t>
      </w:r>
      <w:hyperlink w:anchor="latin-record-0422">
        <w:r>
          <w:rPr>
            <w:color w:val="000000"/>
          </w:rPr>
          <w:t xml:space="preserve">effectus proprius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proprio.</w:t>
      </w:r>
      <w:r>
        <w:rPr>
          <w:b w:val="0"/>
          <w:i w:val="0"/>
        </w:rPr>
        <w:t xml:space="preserve"> </w:t>
      </w:r>
      <w:hyperlink w:anchor="latin-record-1016">
        <w:r>
          <w:rPr>
            <w:color w:val="000000"/>
          </w:rPr>
          <w:t xml:space="preserve">proprius</w:t>
        </w:r>
      </w:hyperlink>
      <w:r>
        <w:rPr>
          <w:b w:val="0"/>
          <w:i w:val="0"/>
        </w:rPr>
        <w:t>.</w:t>
      </w:r>
    </w:p>
    <w:p>
      <w:pPr>
        <w:widowControl/>
      </w:pPr>
      <w:r>
        <w:rPr>
          <w:b/>
          <w:i w:val="0"/>
        </w:rPr>
        <w:t>proprio existet actu.</w:t>
      </w:r>
      <w:r>
        <w:rPr>
          <w:b w:val="0"/>
          <w:i w:val="0"/>
        </w:rPr>
        <w:t xml:space="preserve"> </w:t>
      </w:r>
      <w:hyperlink w:anchor="latin-record-0026">
        <w:r>
          <w:rPr>
            <w:color w:val="000000"/>
          </w:rPr>
          <w:t xml:space="preserve">actus proprius</w:t>
        </w:r>
      </w:hyperlink>
      <w:r>
        <w:rPr>
          <w:b w:val="0"/>
          <w:i w:val="0"/>
        </w:rPr>
        <w:t>.</w:t>
      </w:r>
    </w:p>
    <w:p>
      <w:pPr>
        <w:widowControl/>
      </w:pPr>
      <w:r>
        <w:rPr>
          <w:b/>
          <w:i w:val="0"/>
        </w:rPr>
        <w:t>proprium.</w:t>
      </w:r>
      <w:r>
        <w:rPr>
          <w:b w:val="0"/>
          <w:i w:val="0"/>
        </w:rPr>
        <w:t xml:space="preserve"> </w:t>
      </w:r>
      <w:hyperlink w:anchor="latin-record-1015">
        <w:r>
          <w:rPr>
            <w:color w:val="000000"/>
          </w:rPr>
          <w:t xml:space="preserve">proprium</w:t>
        </w:r>
      </w:hyperlink>
      <w:r>
        <w:rPr>
          <w:b w:val="0"/>
          <w:i w:val="0"/>
        </w:rPr>
        <w:t xml:space="preserve">; </w:t>
      </w:r>
      <w:hyperlink w:anchor="latin-record-1016">
        <w:r>
          <w:rPr>
            <w:color w:val="000000"/>
          </w:rPr>
          <w:t xml:space="preserve">proprius</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proprium suum esse.</w:t>
      </w:r>
      <w:r>
        <w:rPr>
          <w:b w:val="0"/>
          <w:i w:val="0"/>
        </w:rPr>
        <w:t xml:space="preserve"> </w:t>
      </w:r>
      <w:hyperlink w:anchor="latin-record-0442">
        <w:r>
          <w:rPr>
            <w:color w:val="000000"/>
          </w:rPr>
          <w:t xml:space="preserve">esse proprium / commune esse</w:t>
        </w:r>
      </w:hyperlink>
      <w:r>
        <w:rPr>
          <w:b w:val="0"/>
          <w:i w:val="0"/>
        </w:rPr>
        <w:t>.</w:t>
      </w:r>
    </w:p>
    <w:p>
      <w:pPr>
        <w:widowControl/>
      </w:pPr>
      <w:r>
        <w:rPr>
          <w:b/>
          <w:i w:val="0"/>
        </w:rPr>
        <w:t>proprius.</w:t>
      </w:r>
      <w:r>
        <w:rPr>
          <w:b w:val="0"/>
          <w:i w:val="0"/>
        </w:rPr>
        <w:t xml:space="preserve"> </w:t>
      </w:r>
      <w:hyperlink w:anchor="latin-record-1016">
        <w:r>
          <w:rPr>
            <w:color w:val="000000"/>
          </w:rPr>
          <w:t xml:space="preserve">proprius</w:t>
        </w:r>
      </w:hyperlink>
      <w:r>
        <w:rPr>
          <w:b w:val="0"/>
          <w:i w:val="0"/>
        </w:rPr>
        <w:t xml:space="preserve">; </w:t>
      </w:r>
      <w:hyperlink w:anchor="latin-record-1019">
        <w:r>
          <w:rPr>
            <w:color w:val="000000"/>
          </w:rPr>
          <w:t xml:space="preserve">proprius; communis</w:t>
        </w:r>
      </w:hyperlink>
      <w:r>
        <w:rPr>
          <w:b w:val="0"/>
          <w:i w:val="0"/>
        </w:rPr>
        <w:t>.</w:t>
      </w:r>
    </w:p>
    <w:p>
      <w:pPr>
        <w:widowControl/>
      </w:pPr>
      <w:r>
        <w:rPr>
          <w:b/>
          <w:i w:val="0"/>
        </w:rPr>
        <w:t>prospexeris.</w:t>
      </w:r>
      <w:r>
        <w:rPr>
          <w:b w:val="0"/>
          <w:i w:val="0"/>
        </w:rPr>
        <w:t xml:space="preserve"> </w:t>
      </w:r>
      <w:hyperlink w:anchor="latin-record-1021">
        <w:r>
          <w:rPr>
            <w:color w:val="000000"/>
          </w:rPr>
          <w:t xml:space="preserve">prospicere / intueri / excogitare</w:t>
        </w:r>
      </w:hyperlink>
      <w:r>
        <w:rPr>
          <w:b w:val="0"/>
          <w:i w:val="0"/>
        </w:rPr>
        <w:t>.</w:t>
      </w:r>
    </w:p>
    <w:p>
      <w:pPr>
        <w:widowControl/>
      </w:pPr>
      <w:r>
        <w:rPr>
          <w:b/>
          <w:i w:val="0"/>
        </w:rPr>
        <w:t>prospeximus.</w:t>
      </w:r>
      <w:r>
        <w:rPr>
          <w:b w:val="0"/>
          <w:i w:val="0"/>
        </w:rPr>
        <w:t xml:space="preserve"> </w:t>
      </w:r>
      <w:hyperlink w:anchor="latin-record-1020">
        <w:r>
          <w:rPr>
            <w:color w:val="000000"/>
          </w:rPr>
          <w:t xml:space="preserve">prospicere / effingere / fingere</w:t>
        </w:r>
      </w:hyperlink>
      <w:r>
        <w:rPr>
          <w:b w:val="0"/>
          <w:i w:val="0"/>
        </w:rPr>
        <w:t>.</w:t>
      </w:r>
    </w:p>
    <w:p>
      <w:pPr>
        <w:widowControl/>
      </w:pPr>
      <w:r>
        <w:rPr>
          <w:b/>
          <w:i w:val="0"/>
        </w:rPr>
        <w:t>prospicit.</w:t>
      </w:r>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937">
        <w:r>
          <w:rPr>
            <w:color w:val="000000"/>
          </w:rPr>
          <w:t xml:space="preserve">perspicere; prospicere; pervidere</w:t>
        </w:r>
      </w:hyperlink>
      <w:r>
        <w:rPr>
          <w:b w:val="0"/>
          <w:i w:val="0"/>
        </w:rPr>
        <w:t>.</w:t>
      </w:r>
    </w:p>
    <w:p>
      <w:pPr>
        <w:widowControl/>
      </w:pPr>
      <w:r>
        <w:rPr>
          <w:b/>
          <w:i w:val="0"/>
        </w:rPr>
        <w:t>prospicitur.</w:t>
      </w:r>
      <w:r>
        <w:rPr>
          <w:b w:val="0"/>
          <w:i w:val="0"/>
        </w:rPr>
        <w:t xml:space="preserve"> </w:t>
      </w:r>
      <w:hyperlink w:anchor="latin-record-0937">
        <w:r>
          <w:rPr>
            <w:color w:val="000000"/>
          </w:rPr>
          <w:t xml:space="preserve">perspicere; prospicere; pervidere</w:t>
        </w:r>
      </w:hyperlink>
      <w:r>
        <w:rPr>
          <w:b w:val="0"/>
          <w:i w:val="0"/>
        </w:rPr>
        <w:t>.</w:t>
      </w:r>
    </w:p>
    <w:p>
      <w:pPr>
        <w:widowControl/>
      </w:pPr>
      <w:r>
        <w:rPr>
          <w:b/>
          <w:i w:val="0"/>
        </w:rPr>
        <w:t>protinus.</w:t>
      </w:r>
      <w:r>
        <w:rPr>
          <w:b w:val="0"/>
          <w:i w:val="0"/>
        </w:rPr>
        <w:t xml:space="preserve"> </w:t>
      </w:r>
      <w:hyperlink w:anchor="latin-record-1236">
        <w:r>
          <w:rPr>
            <w:color w:val="000000"/>
          </w:rPr>
          <w:t xml:space="preserve">statim; subito; paulatim</w:t>
        </w:r>
      </w:hyperlink>
      <w:r>
        <w:rPr>
          <w:b w:val="0"/>
          <w:i w:val="0"/>
        </w:rPr>
        <w:t>.</w:t>
      </w:r>
    </w:p>
    <w:p>
      <w:pPr>
        <w:widowControl/>
      </w:pPr>
      <w:r>
        <w:rPr>
          <w:b/>
          <w:i w:val="0"/>
        </w:rPr>
        <w:t>prout.</w:t>
      </w:r>
      <w:r>
        <w:rPr>
          <w:b w:val="0"/>
          <w:i w:val="0"/>
        </w:rPr>
        <w:t xml:space="preserve"> </w:t>
      </w:r>
      <w:hyperlink w:anchor="latin-record-1048">
        <w:r>
          <w:rPr>
            <w:color w:val="000000"/>
          </w:rPr>
          <w:t xml:space="preserve">quantum; quatenus; respectus</w:t>
        </w:r>
      </w:hyperlink>
      <w:r>
        <w:rPr>
          <w:b w:val="0"/>
          <w:i w:val="0"/>
        </w:rPr>
        <w:t>.</w:t>
      </w:r>
    </w:p>
    <w:p>
      <w:pPr>
        <w:widowControl/>
      </w:pPr>
      <w:r>
        <w:rPr>
          <w:b/>
          <w:i w:val="0"/>
        </w:rPr>
        <w:t>proveniat.</w:t>
      </w:r>
      <w:r>
        <w:rPr>
          <w:b w:val="0"/>
          <w:i w:val="0"/>
        </w:rPr>
        <w:t xml:space="preserve"> </w:t>
      </w:r>
      <w:hyperlink w:anchor="latin-record-1022">
        <w:r>
          <w:rPr>
            <w:color w:val="000000"/>
          </w:rPr>
          <w:t xml:space="preserve">provenire</w:t>
        </w:r>
      </w:hyperlink>
      <w:r>
        <w:rPr>
          <w:b w:val="0"/>
          <w:i w:val="0"/>
        </w:rPr>
        <w:t>.</w:t>
      </w:r>
    </w:p>
    <w:p>
      <w:pPr>
        <w:widowControl/>
      </w:pPr>
      <w:r>
        <w:rPr>
          <w:b/>
          <w:i w:val="0"/>
        </w:rPr>
        <w:t>proxima.</w:t>
      </w:r>
      <w:r>
        <w:rPr>
          <w:b w:val="0"/>
          <w:i w:val="0"/>
        </w:rPr>
        <w:t xml:space="preserve"> </w:t>
      </w:r>
      <w:hyperlink w:anchor="latin-record-1023">
        <w:r>
          <w:rPr>
            <w:color w:val="000000"/>
          </w:rPr>
          <w:t xml:space="preserve">proxime</w:t>
        </w:r>
      </w:hyperlink>
      <w:r>
        <w:rPr>
          <w:b w:val="0"/>
          <w:i w:val="0"/>
        </w:rPr>
        <w:t>.</w:t>
      </w:r>
    </w:p>
    <w:p>
      <w:pPr>
        <w:widowControl/>
      </w:pPr>
      <w:r>
        <w:rPr>
          <w:b/>
          <w:i w:val="0"/>
        </w:rPr>
        <w:t>proximae.</w:t>
      </w:r>
      <w:r>
        <w:rPr>
          <w:b w:val="0"/>
          <w:i w:val="0"/>
        </w:rPr>
        <w:t xml:space="preserve"> </w:t>
      </w:r>
      <w:hyperlink w:anchor="latin-record-1023">
        <w:r>
          <w:rPr>
            <w:color w:val="000000"/>
          </w:rPr>
          <w:t xml:space="preserve">proxime</w:t>
        </w:r>
      </w:hyperlink>
      <w:r>
        <w:rPr>
          <w:b w:val="0"/>
          <w:i w:val="0"/>
        </w:rPr>
        <w:t>.</w:t>
      </w:r>
    </w:p>
    <w:p>
      <w:pPr>
        <w:widowControl/>
      </w:pPr>
      <w:r>
        <w:rPr>
          <w:b/>
          <w:i w:val="0"/>
        </w:rPr>
        <w:t>proxime.</w:t>
      </w:r>
      <w:r>
        <w:rPr>
          <w:b w:val="0"/>
          <w:i w:val="0"/>
        </w:rPr>
        <w:t xml:space="preserve"> </w:t>
      </w:r>
      <w:hyperlink w:anchor="latin-record-1023">
        <w:r>
          <w:rPr>
            <w:color w:val="000000"/>
          </w:rPr>
          <w:t xml:space="preserve">proxime</w:t>
        </w:r>
      </w:hyperlink>
      <w:r>
        <w:rPr>
          <w:b w:val="0"/>
          <w:i w:val="0"/>
        </w:rPr>
        <w:t>.</w:t>
      </w:r>
    </w:p>
    <w:p>
      <w:pPr>
        <w:widowControl/>
      </w:pPr>
      <w:r>
        <w:rPr>
          <w:b/>
          <w:i w:val="0"/>
        </w:rPr>
        <w:t>prudentia.</w:t>
      </w:r>
      <w:r>
        <w:rPr>
          <w:b w:val="0"/>
          <w:i w:val="0"/>
        </w:rPr>
        <w:t xml:space="preserve"> </w:t>
      </w:r>
      <w:hyperlink w:anchor="latin-record-1131">
        <w:r>
          <w:rPr>
            <w:color w:val="000000"/>
          </w:rPr>
          <w:t xml:space="preserve">sapientia / scientia / prudentia / ars</w:t>
        </w:r>
      </w:hyperlink>
      <w:r>
        <w:rPr>
          <w:b w:val="0"/>
          <w:i w:val="0"/>
        </w:rPr>
        <w:t>.</w:t>
      </w:r>
    </w:p>
    <w:p>
      <w:pPr>
        <w:widowControl/>
      </w:pPr>
      <w:r>
        <w:rPr>
          <w:b/>
          <w:i w:val="0"/>
        </w:rPr>
        <w:t>prudentiam.</w:t>
      </w:r>
      <w:r>
        <w:rPr>
          <w:b w:val="0"/>
          <w:i w:val="0"/>
        </w:rPr>
        <w:t xml:space="preserve"> </w:t>
      </w:r>
      <w:hyperlink w:anchor="latin-record-1131">
        <w:r>
          <w:rPr>
            <w:color w:val="000000"/>
          </w:rPr>
          <w:t xml:space="preserve">sapientia / scientia / prudentia / ars</w:t>
        </w:r>
      </w:hyperlink>
      <w:r>
        <w:rPr>
          <w:b w:val="0"/>
          <w:i w:val="0"/>
        </w:rPr>
        <w:t>.</w:t>
      </w:r>
    </w:p>
    <w:p>
      <w:pPr>
        <w:widowControl/>
      </w:pPr>
      <w:r>
        <w:rPr>
          <w:b/>
          <w:i w:val="0"/>
        </w:rPr>
        <w:t>prudentior.</w:t>
      </w:r>
      <w:r>
        <w:rPr>
          <w:b w:val="0"/>
          <w:i w:val="0"/>
        </w:rPr>
        <w:t xml:space="preserve"> </w:t>
      </w:r>
      <w:hyperlink w:anchor="latin-record-0432">
        <w:r>
          <w:rPr>
            <w:color w:val="000000"/>
          </w:rPr>
          <w:t xml:space="preserve">elephas / equus / prudentia</w:t>
        </w:r>
      </w:hyperlink>
      <w:r>
        <w:rPr>
          <w:b w:val="0"/>
          <w:i w:val="0"/>
        </w:rPr>
        <w:t>.</w:t>
      </w:r>
    </w:p>
    <w:p>
      <w:pPr>
        <w:widowControl/>
      </w:pPr>
      <w:r>
        <w:rPr>
          <w:b/>
          <w:i w:val="0"/>
        </w:rPr>
        <w:t>Pugnant.</w:t>
      </w:r>
      <w:r>
        <w:rPr>
          <w:b w:val="0"/>
          <w:i w:val="0"/>
        </w:rPr>
        <w:t xml:space="preserve"> </w:t>
      </w:r>
      <w:hyperlink w:anchor="latin-record-0400">
        <w:r>
          <w:rPr>
            <w:color w:val="000000"/>
          </w:rPr>
          <w:t xml:space="preserve">dissentire / pugnare / appetitus</w:t>
        </w:r>
      </w:hyperlink>
      <w:r>
        <w:rPr>
          <w:b w:val="0"/>
          <w:i w:val="0"/>
        </w:rPr>
        <w:t>.</w:t>
      </w:r>
    </w:p>
    <w:p>
      <w:pPr>
        <w:widowControl/>
      </w:pPr>
      <w:r>
        <w:rPr>
          <w:b/>
          <w:i w:val="0"/>
        </w:rPr>
        <w:t>pulchritudinem.</w:t>
      </w:r>
      <w:r>
        <w:rPr>
          <w:b w:val="0"/>
          <w:i w:val="0"/>
        </w:rPr>
        <w:t xml:space="preserve"> </w:t>
      </w:r>
      <w:hyperlink w:anchor="latin-record-1024">
        <w:r>
          <w:rPr>
            <w:color w:val="000000"/>
          </w:rPr>
          <w:t xml:space="preserve">pulchritudo / bonitas</w:t>
        </w:r>
      </w:hyperlink>
      <w:r>
        <w:rPr>
          <w:b w:val="0"/>
          <w:i w:val="0"/>
        </w:rPr>
        <w:t xml:space="preserve">; </w:t>
      </w:r>
      <w:hyperlink w:anchor="latin-record-1129">
        <w:r>
          <w:rPr>
            <w:color w:val="000000"/>
          </w:rPr>
          <w:t xml:space="preserve">sanitas / robur / pulchritudo</w:t>
        </w:r>
      </w:hyperlink>
      <w:r>
        <w:rPr>
          <w:b w:val="0"/>
          <w:i w:val="0"/>
        </w:rPr>
        <w:t>.</w:t>
      </w:r>
    </w:p>
    <w:p>
      <w:pPr>
        <w:widowControl/>
      </w:pPr>
      <w:r>
        <w:rPr>
          <w:b/>
          <w:i w:val="0"/>
        </w:rPr>
        <w:t>pulchritudinis.</w:t>
      </w:r>
      <w:r>
        <w:rPr>
          <w:b w:val="0"/>
          <w:i w:val="0"/>
        </w:rPr>
        <w:t xml:space="preserve"> </w:t>
      </w:r>
      <w:hyperlink w:anchor="latin-record-1024">
        <w:r>
          <w:rPr>
            <w:color w:val="000000"/>
          </w:rPr>
          <w:t xml:space="preserve">pulchritudo / bonitas</w:t>
        </w:r>
      </w:hyperlink>
      <w:r>
        <w:rPr>
          <w:b w:val="0"/>
          <w:i w:val="0"/>
        </w:rPr>
        <w:t>.</w:t>
      </w:r>
    </w:p>
    <w:p>
      <w:pPr>
        <w:widowControl/>
      </w:pPr>
      <w:r>
        <w:rPr>
          <w:b/>
          <w:i w:val="0"/>
        </w:rPr>
        <w:t>Pulchritudo.</w:t>
      </w:r>
      <w:r>
        <w:rPr>
          <w:b w:val="0"/>
          <w:i w:val="0"/>
        </w:rPr>
        <w:t xml:space="preserve"> </w:t>
      </w:r>
      <w:hyperlink w:anchor="latin-record-1024">
        <w:r>
          <w:rPr>
            <w:color w:val="000000"/>
          </w:rPr>
          <w:t xml:space="preserve">pulchritudo / bonitas</w:t>
        </w:r>
      </w:hyperlink>
      <w:r>
        <w:rPr>
          <w:b w:val="0"/>
          <w:i w:val="0"/>
        </w:rPr>
        <w:t xml:space="preserve">; </w:t>
      </w:r>
      <w:hyperlink w:anchor="latin-record-1129">
        <w:r>
          <w:rPr>
            <w:color w:val="000000"/>
          </w:rPr>
          <w:t xml:space="preserve">sanitas / robur / pulchritudo</w:t>
        </w:r>
      </w:hyperlink>
      <w:r>
        <w:rPr>
          <w:b w:val="0"/>
          <w:i w:val="0"/>
        </w:rPr>
        <w:t>.</w:t>
      </w:r>
    </w:p>
    <w:p>
      <w:pPr>
        <w:widowControl/>
      </w:pPr>
      <w:r>
        <w:rPr>
          <w:b/>
          <w:i w:val="0"/>
        </w:rPr>
        <w:t>pulchritudo.</w:t>
      </w:r>
      <w:r>
        <w:rPr>
          <w:b w:val="0"/>
          <w:i w:val="0"/>
        </w:rPr>
        <w:t xml:space="preserve"> </w:t>
      </w:r>
      <w:hyperlink w:anchor="latin-record-1024">
        <w:r>
          <w:rPr>
            <w:color w:val="000000"/>
          </w:rPr>
          <w:t xml:space="preserve">pulchritudo / bonitas</w:t>
        </w:r>
      </w:hyperlink>
      <w:r>
        <w:rPr>
          <w:b w:val="0"/>
          <w:i w:val="0"/>
        </w:rPr>
        <w:t>.</w:t>
      </w:r>
    </w:p>
    <w:p>
      <w:pPr>
        <w:widowControl/>
      </w:pPr>
      <w:r>
        <w:rPr>
          <w:b/>
          <w:i w:val="0"/>
        </w:rPr>
        <w:t>pulchrius.</w:t>
      </w:r>
      <w:r>
        <w:rPr>
          <w:b w:val="0"/>
          <w:i w:val="0"/>
        </w:rPr>
        <w:t xml:space="preserve"> </w:t>
      </w:r>
      <w:hyperlink w:anchor="latin-record-1213">
        <w:r>
          <w:rPr>
            <w:color w:val="000000"/>
          </w:rPr>
          <w:t xml:space="preserve">speciosus / deformis</w:t>
        </w:r>
      </w:hyperlink>
      <w:r>
        <w:rPr>
          <w:b w:val="0"/>
          <w:i w:val="0"/>
        </w:rPr>
        <w:t>.</w:t>
      </w:r>
    </w:p>
    <w:p>
      <w:pPr>
        <w:widowControl/>
      </w:pPr>
      <w:r>
        <w:rPr>
          <w:b/>
          <w:i w:val="0"/>
        </w:rPr>
        <w:t>pullulat.</w:t>
      </w:r>
      <w:r>
        <w:rPr>
          <w:b w:val="0"/>
          <w:i w:val="0"/>
        </w:rPr>
        <w:t xml:space="preserve"> </w:t>
      </w:r>
      <w:hyperlink w:anchor="latin-record-1025">
        <w:r>
          <w:rPr>
            <w:color w:val="000000"/>
          </w:rPr>
          <w:t xml:space="preserve">pullulare; delitescere</w:t>
        </w:r>
      </w:hyperlink>
      <w:r>
        <w:rPr>
          <w:b w:val="0"/>
          <w:i w:val="0"/>
        </w:rPr>
        <w:t>.</w:t>
      </w:r>
    </w:p>
    <w:p>
      <w:pPr>
        <w:widowControl/>
      </w:pPr>
      <w:r>
        <w:rPr>
          <w:b/>
          <w:i w:val="0"/>
        </w:rPr>
        <w:t>puncta.</w:t>
      </w:r>
      <w:r>
        <w:rPr>
          <w:b w:val="0"/>
          <w:i w:val="0"/>
        </w:rPr>
        <w:t xml:space="preserve"> </w:t>
      </w:r>
      <w:hyperlink w:anchor="latin-record-0717">
        <w:r>
          <w:rPr>
            <w:color w:val="000000"/>
          </w:rPr>
          <w:t xml:space="preserve">lignum / extremum punctum</w:t>
        </w:r>
      </w:hyperlink>
      <w:r>
        <w:rPr>
          <w:b w:val="0"/>
          <w:i w:val="0"/>
        </w:rPr>
        <w:t xml:space="preserve">; </w:t>
      </w:r>
      <w:hyperlink w:anchor="latin-record-1026">
        <w:r>
          <w:rPr>
            <w:color w:val="000000"/>
          </w:rPr>
          <w:t xml:space="preserve">punctum</w:t>
        </w:r>
      </w:hyperlink>
      <w:r>
        <w:rPr>
          <w:b w:val="0"/>
          <w:i w:val="0"/>
        </w:rPr>
        <w:t>.</w:t>
      </w:r>
    </w:p>
    <w:p>
      <w:pPr>
        <w:widowControl/>
      </w:pPr>
      <w:r>
        <w:rPr>
          <w:b/>
          <w:i w:val="0"/>
        </w:rPr>
        <w:t>Puncta.</w:t>
      </w:r>
      <w:r>
        <w:rPr>
          <w:b w:val="0"/>
          <w:i w:val="0"/>
        </w:rPr>
        <w:t xml:space="preserve"> </w:t>
      </w:r>
      <w:hyperlink w:anchor="latin-record-1026">
        <w:r>
          <w:rPr>
            <w:color w:val="000000"/>
          </w:rPr>
          <w:t xml:space="preserve">punctum</w:t>
        </w:r>
      </w:hyperlink>
      <w:r>
        <w:rPr>
          <w:b w:val="0"/>
          <w:i w:val="0"/>
        </w:rPr>
        <w:t>.</w:t>
      </w:r>
    </w:p>
    <w:p>
      <w:pPr>
        <w:widowControl/>
      </w:pPr>
      <w:r>
        <w:rPr>
          <w:b/>
          <w:i w:val="0"/>
        </w:rPr>
        <w:t>punctis.</w:t>
      </w:r>
      <w:r>
        <w:rPr>
          <w:b w:val="0"/>
          <w:i w:val="0"/>
        </w:rPr>
        <w:t xml:space="preserve"> </w:t>
      </w:r>
      <w:hyperlink w:anchor="latin-record-1026">
        <w:r>
          <w:rPr>
            <w:color w:val="000000"/>
          </w:rPr>
          <w:t xml:space="preserve">punctum</w:t>
        </w:r>
      </w:hyperlink>
      <w:r>
        <w:rPr>
          <w:b w:val="0"/>
          <w:i w:val="0"/>
        </w:rPr>
        <w:t>.</w:t>
      </w:r>
    </w:p>
    <w:p>
      <w:pPr>
        <w:widowControl/>
      </w:pPr>
      <w:r>
        <w:rPr>
          <w:b/>
          <w:i w:val="0"/>
        </w:rPr>
        <w:t>puncto.</w:t>
      </w:r>
      <w:r>
        <w:rPr>
          <w:b w:val="0"/>
          <w:i w:val="0"/>
        </w:rPr>
        <w:t xml:space="preserve"> </w:t>
      </w:r>
      <w:hyperlink w:anchor="latin-record-0717">
        <w:r>
          <w:rPr>
            <w:color w:val="000000"/>
          </w:rPr>
          <w:t xml:space="preserve">lignum / extremum punctum</w:t>
        </w:r>
      </w:hyperlink>
      <w:r>
        <w:rPr>
          <w:b w:val="0"/>
          <w:i w:val="0"/>
        </w:rPr>
        <w:t xml:space="preserve">; </w:t>
      </w:r>
      <w:hyperlink w:anchor="latin-record-0873">
        <w:r>
          <w:rPr>
            <w:color w:val="000000"/>
          </w:rPr>
          <w:t xml:space="preserve">orbis in puncto</w:t>
        </w:r>
      </w:hyperlink>
      <w:r>
        <w:rPr>
          <w:b w:val="0"/>
          <w:i w:val="0"/>
        </w:rPr>
        <w:t xml:space="preserve">; </w:t>
      </w:r>
      <w:hyperlink w:anchor="latin-record-1026">
        <w:r>
          <w:rPr>
            <w:color w:val="000000"/>
          </w:rPr>
          <w:t xml:space="preserve">punctum</w:t>
        </w:r>
      </w:hyperlink>
      <w:r>
        <w:rPr>
          <w:b w:val="0"/>
          <w:i w:val="0"/>
        </w:rPr>
        <w:t>.</w:t>
      </w:r>
    </w:p>
    <w:p>
      <w:pPr>
        <w:widowControl/>
      </w:pPr>
      <w:r>
        <w:rPr>
          <w:b/>
          <w:i w:val="0"/>
        </w:rPr>
        <w:t>punctorum.</w:t>
      </w:r>
      <w:r>
        <w:rPr>
          <w:b w:val="0"/>
          <w:i w:val="0"/>
        </w:rPr>
        <w:t xml:space="preserve"> </w:t>
      </w:r>
      <w:hyperlink w:anchor="latin-record-1026">
        <w:r>
          <w:rPr>
            <w:color w:val="000000"/>
          </w:rPr>
          <w:t xml:space="preserve">punctum</w:t>
        </w:r>
      </w:hyperlink>
      <w:r>
        <w:rPr>
          <w:b w:val="0"/>
          <w:i w:val="0"/>
        </w:rPr>
        <w:t>.</w:t>
      </w:r>
    </w:p>
    <w:p>
      <w:pPr>
        <w:widowControl/>
      </w:pPr>
      <w:r>
        <w:rPr>
          <w:b/>
          <w:i w:val="0"/>
        </w:rPr>
        <w:t>punctum.</w:t>
      </w:r>
      <w:r>
        <w:rPr>
          <w:b w:val="0"/>
          <w:i w:val="0"/>
        </w:rPr>
        <w:t xml:space="preserve"> </w:t>
      </w:r>
      <w:hyperlink w:anchor="latin-record-0717">
        <w:r>
          <w:rPr>
            <w:color w:val="000000"/>
          </w:rPr>
          <w:t xml:space="preserve">lignum / extremum punctum</w:t>
        </w:r>
      </w:hyperlink>
      <w:r>
        <w:rPr>
          <w:b w:val="0"/>
          <w:i w:val="0"/>
        </w:rPr>
        <w:t xml:space="preserve">; </w:t>
      </w:r>
      <w:hyperlink w:anchor="latin-record-1026">
        <w:r>
          <w:rPr>
            <w:color w:val="000000"/>
          </w:rPr>
          <w:t xml:space="preserve">punctum</w:t>
        </w:r>
      </w:hyperlink>
      <w:r>
        <w:rPr>
          <w:b w:val="0"/>
          <w:i w:val="0"/>
        </w:rPr>
        <w:t xml:space="preserve">; </w:t>
      </w:r>
      <w:hyperlink w:anchor="latin-record-1027">
        <w:r>
          <w:rPr>
            <w:color w:val="000000"/>
          </w:rPr>
          <w:t xml:space="preserve">punctum / linea</w:t>
        </w:r>
      </w:hyperlink>
      <w:r>
        <w:rPr>
          <w:b w:val="0"/>
          <w:i w:val="0"/>
        </w:rPr>
        <w:t xml:space="preserve">; </w:t>
      </w:r>
      <w:hyperlink w:anchor="latin-record-1264">
        <w:r>
          <w:rPr>
            <w:color w:val="000000"/>
          </w:rPr>
          <w:t xml:space="preserve">superficies; linea; punctum</w:t>
        </w:r>
      </w:hyperlink>
      <w:r>
        <w:rPr>
          <w:b w:val="0"/>
          <w:i w:val="0"/>
        </w:rPr>
        <w:t>.</w:t>
      </w:r>
    </w:p>
    <w:p>
      <w:pPr>
        <w:widowControl/>
      </w:pPr>
      <w:r>
        <w:rPr>
          <w:b/>
          <w:i w:val="0"/>
        </w:rPr>
        <w:t>Punctum.</w:t>
      </w:r>
      <w:r>
        <w:rPr>
          <w:b w:val="0"/>
          <w:i w:val="0"/>
        </w:rPr>
        <w:t xml:space="preserve"> </w:t>
      </w:r>
      <w:hyperlink w:anchor="latin-record-1026">
        <w:r>
          <w:rPr>
            <w:color w:val="000000"/>
          </w:rPr>
          <w:t xml:space="preserve">punctum</w:t>
        </w:r>
      </w:hyperlink>
      <w:r>
        <w:rPr>
          <w:b w:val="0"/>
          <w:i w:val="0"/>
        </w:rPr>
        <w:t>.</w:t>
      </w:r>
    </w:p>
    <w:p>
      <w:pPr>
        <w:widowControl/>
      </w:pPr>
      <w:r>
        <w:rPr>
          <w:b/>
          <w:i w:val="0"/>
        </w:rPr>
        <w:t>punctum aliquod lucidum.</w:t>
      </w:r>
      <w:r>
        <w:rPr>
          <w:b w:val="0"/>
          <w:i w:val="0"/>
        </w:rPr>
        <w:t xml:space="preserve"> </w:t>
      </w:r>
      <w:hyperlink w:anchor="latin-record-1028">
        <w:r>
          <w:rPr>
            <w:color w:val="000000"/>
          </w:rPr>
          <w:t xml:space="preserve">punctum lucidum</w:t>
        </w:r>
      </w:hyperlink>
      <w:r>
        <w:rPr>
          <w:b w:val="0"/>
          <w:i w:val="0"/>
        </w:rPr>
        <w:t>.</w:t>
      </w:r>
    </w:p>
    <w:p>
      <w:pPr>
        <w:widowControl/>
      </w:pPr>
      <w:r>
        <w:rPr>
          <w:b/>
          <w:i w:val="0"/>
        </w:rPr>
        <w:t>punctum quoddam affectionis.</w:t>
      </w:r>
      <w:r>
        <w:rPr>
          <w:b w:val="0"/>
          <w:i w:val="0"/>
        </w:rPr>
        <w:t xml:space="preserve"> </w:t>
      </w:r>
      <w:hyperlink w:anchor="latin-record-0783">
        <w:r>
          <w:rPr>
            <w:color w:val="000000"/>
          </w:rPr>
          <w:t xml:space="preserve">mersus / affectio / punctum affectionis</w:t>
        </w:r>
      </w:hyperlink>
      <w:r>
        <w:rPr>
          <w:b w:val="0"/>
          <w:i w:val="0"/>
        </w:rPr>
        <w:t>.</w:t>
      </w:r>
    </w:p>
    <w:p>
      <w:pPr>
        <w:widowControl/>
      </w:pPr>
      <w:r>
        <w:rPr>
          <w:b/>
          <w:i w:val="0"/>
        </w:rPr>
        <w:t>pupilla.</w:t>
      </w:r>
      <w:r>
        <w:rPr>
          <w:b w:val="0"/>
          <w:i w:val="0"/>
        </w:rPr>
        <w:t xml:space="preserve"> </w:t>
      </w:r>
      <w:hyperlink w:anchor="latin-record-1390">
        <w:r>
          <w:rPr>
            <w:color w:val="000000"/>
          </w:rPr>
          <w:t xml:space="preserve">vultus / pupilla</w:t>
        </w:r>
      </w:hyperlink>
      <w:r>
        <w:rPr>
          <w:b w:val="0"/>
          <w:i w:val="0"/>
        </w:rPr>
        <w:t>.</w:t>
      </w:r>
    </w:p>
    <w:p>
      <w:pPr>
        <w:widowControl/>
      </w:pPr>
      <w:r>
        <w:rPr>
          <w:b/>
          <w:i w:val="0"/>
        </w:rPr>
        <w:t>pupillam.</w:t>
      </w:r>
      <w:r>
        <w:rPr>
          <w:b w:val="0"/>
          <w:i w:val="0"/>
        </w:rPr>
        <w:t xml:space="preserve"> </w:t>
      </w:r>
      <w:hyperlink w:anchor="latin-record-1390">
        <w:r>
          <w:rPr>
            <w:color w:val="000000"/>
          </w:rPr>
          <w:t xml:space="preserve">vultus / pupilla</w:t>
        </w:r>
      </w:hyperlink>
      <w:r>
        <w:rPr>
          <w:b w:val="0"/>
          <w:i w:val="0"/>
        </w:rPr>
        <w:t>.</w:t>
      </w:r>
    </w:p>
    <w:p>
      <w:pPr>
        <w:widowControl/>
      </w:pPr>
      <w:r>
        <w:rPr>
          <w:b/>
          <w:i w:val="0"/>
        </w:rPr>
        <w:t>pupillis.</w:t>
      </w:r>
      <w:r>
        <w:rPr>
          <w:b w:val="0"/>
          <w:i w:val="0"/>
        </w:rPr>
        <w:t xml:space="preserve"> </w:t>
      </w:r>
      <w:hyperlink w:anchor="latin-record-1390">
        <w:r>
          <w:rPr>
            <w:color w:val="000000"/>
          </w:rPr>
          <w:t xml:space="preserve">vultus / pupilla</w:t>
        </w:r>
      </w:hyperlink>
      <w:r>
        <w:rPr>
          <w:b w:val="0"/>
          <w:i w:val="0"/>
        </w:rPr>
        <w:t>.</w:t>
      </w:r>
    </w:p>
    <w:p>
      <w:pPr>
        <w:widowControl/>
      </w:pPr>
      <w:r>
        <w:rPr>
          <w:b/>
          <w:i w:val="0"/>
        </w:rPr>
        <w:t>pura.</w:t>
      </w:r>
      <w:r>
        <w:rPr>
          <w:b w:val="0"/>
          <w:i w:val="0"/>
        </w:rPr>
        <w:t xml:space="preserve"> </w:t>
      </w:r>
      <w:hyperlink w:anchor="latin-record-1030">
        <w:r>
          <w:rPr>
            <w:color w:val="000000"/>
          </w:rPr>
          <w:t xml:space="preserve">purificare; purus</w:t>
        </w:r>
      </w:hyperlink>
      <w:r>
        <w:rPr>
          <w:b w:val="0"/>
          <w:i w:val="0"/>
        </w:rPr>
        <w:t xml:space="preserve">; </w:t>
      </w:r>
      <w:hyperlink w:anchor="latin-record-1032">
        <w:r>
          <w:rPr>
            <w:color w:val="000000"/>
          </w:rPr>
          <w:t xml:space="preserve">purus / unus / stabilis (intellectual consideration)</w:t>
        </w:r>
      </w:hyperlink>
      <w:r>
        <w:rPr>
          <w:b w:val="0"/>
          <w:i w:val="0"/>
        </w:rPr>
        <w:t>.</w:t>
      </w:r>
    </w:p>
    <w:p>
      <w:pPr>
        <w:widowControl/>
      </w:pPr>
      <w:r>
        <w:rPr>
          <w:b/>
          <w:i w:val="0"/>
        </w:rPr>
        <w:t>pura potentia.</w:t>
      </w:r>
      <w:r>
        <w:rPr>
          <w:b w:val="0"/>
          <w:i w:val="0"/>
        </w:rPr>
        <w:t xml:space="preserve"> </w:t>
      </w:r>
      <w:hyperlink w:anchor="latin-record-1029">
        <w:r>
          <w:rPr>
            <w:color w:val="000000"/>
          </w:rPr>
          <w:t xml:space="preserve">pura potentia</w:t>
        </w:r>
      </w:hyperlink>
      <w:r>
        <w:rPr>
          <w:b w:val="0"/>
          <w:i w:val="0"/>
        </w:rPr>
        <w:t>.</w:t>
      </w:r>
    </w:p>
    <w:p>
      <w:pPr>
        <w:widowControl/>
      </w:pPr>
      <w:r>
        <w:rPr>
          <w:b/>
          <w:i w:val="0"/>
        </w:rPr>
        <w:t>puram.</w:t>
      </w:r>
      <w:r>
        <w:rPr>
          <w:b w:val="0"/>
          <w:i w:val="0"/>
        </w:rPr>
        <w:t xml:space="preserve"> </w:t>
      </w:r>
      <w:hyperlink w:anchor="latin-record-1030">
        <w:r>
          <w:rPr>
            <w:color w:val="000000"/>
          </w:rPr>
          <w:t xml:space="preserve">purificare; purus</w:t>
        </w:r>
      </w:hyperlink>
      <w:r>
        <w:rPr>
          <w:b w:val="0"/>
          <w:i w:val="0"/>
        </w:rPr>
        <w:t>.</w:t>
      </w:r>
    </w:p>
    <w:p>
      <w:pPr>
        <w:widowControl/>
      </w:pPr>
      <w:r>
        <w:rPr>
          <w:b/>
          <w:i w:val="0"/>
        </w:rPr>
        <w:t>purgato.</w:t>
      </w:r>
      <w:r>
        <w:rPr>
          <w:b w:val="0"/>
          <w:i w:val="0"/>
        </w:rPr>
        <w:t xml:space="preserve"> </w:t>
      </w:r>
      <w:hyperlink w:anchor="latin-record-0068">
        <w:r>
          <w:rPr>
            <w:color w:val="000000"/>
          </w:rPr>
          <w:t xml:space="preserve">alienare / purgare</w:t>
        </w:r>
      </w:hyperlink>
      <w:r>
        <w:rPr>
          <w:b w:val="0"/>
          <w:i w:val="0"/>
        </w:rPr>
        <w:t>.</w:t>
      </w:r>
    </w:p>
    <w:p>
      <w:pPr>
        <w:widowControl/>
      </w:pPr>
      <w:r>
        <w:rPr>
          <w:b/>
          <w:i w:val="0"/>
        </w:rPr>
        <w:t>purgentur.</w:t>
      </w:r>
      <w:r>
        <w:rPr>
          <w:b w:val="0"/>
          <w:i w:val="0"/>
        </w:rPr>
        <w:t xml:space="preserve"> </w:t>
      </w:r>
      <w:hyperlink w:anchor="latin-record-1283">
        <w:r>
          <w:rPr>
            <w:color w:val="000000"/>
          </w:rPr>
          <w:t xml:space="preserve">tenuare / purgare</w:t>
        </w:r>
      </w:hyperlink>
      <w:r>
        <w:rPr>
          <w:b w:val="0"/>
          <w:i w:val="0"/>
        </w:rPr>
        <w:t>.</w:t>
      </w:r>
    </w:p>
    <w:p>
      <w:pPr>
        <w:widowControl/>
      </w:pPr>
      <w:r>
        <w:rPr>
          <w:b/>
          <w:i w:val="0"/>
        </w:rPr>
        <w:t>Purificentur.</w:t>
      </w:r>
      <w:r>
        <w:rPr>
          <w:b w:val="0"/>
          <w:i w:val="0"/>
        </w:rPr>
        <w:t xml:space="preserve"> </w:t>
      </w:r>
      <w:hyperlink w:anchor="latin-record-1030">
        <w:r>
          <w:rPr>
            <w:color w:val="000000"/>
          </w:rPr>
          <w:t xml:space="preserve">purificare; purus</w:t>
        </w:r>
      </w:hyperlink>
      <w:r>
        <w:rPr>
          <w:b w:val="0"/>
          <w:i w:val="0"/>
        </w:rPr>
        <w:t>.</w:t>
      </w:r>
    </w:p>
    <w:p>
      <w:pPr>
        <w:widowControl/>
      </w:pPr>
      <w:r>
        <w:rPr>
          <w:b/>
          <w:i w:val="0"/>
        </w:rPr>
        <w:t>purissima.</w:t>
      </w:r>
      <w:r>
        <w:rPr>
          <w:b w:val="0"/>
          <w:i w:val="0"/>
        </w:rPr>
        <w:t xml:space="preserve"> </w:t>
      </w:r>
      <w:hyperlink w:anchor="latin-record-1031">
        <w:r>
          <w:rPr>
            <w:color w:val="000000"/>
          </w:rPr>
          <w:t xml:space="preserve">purus / crassus / terrenus</w:t>
        </w:r>
      </w:hyperlink>
      <w:r>
        <w:rPr>
          <w:b w:val="0"/>
          <w:i w:val="0"/>
        </w:rPr>
        <w:t>.</w:t>
      </w:r>
    </w:p>
    <w:p>
      <w:pPr>
        <w:widowControl/>
      </w:pPr>
      <w:r>
        <w:rPr>
          <w:b/>
          <w:i w:val="0"/>
        </w:rPr>
        <w:t>puritate.</w:t>
      </w:r>
      <w:r>
        <w:rPr>
          <w:b w:val="0"/>
          <w:i w:val="0"/>
        </w:rPr>
        <w:t xml:space="preserve"> </w:t>
      </w:r>
      <w:hyperlink w:anchor="latin-record-0631">
        <w:r>
          <w:rPr>
            <w:color w:val="000000"/>
          </w:rPr>
          <w:t xml:space="preserve">infectio / puritas</w:t>
        </w:r>
      </w:hyperlink>
      <w:r>
        <w:rPr>
          <w:b w:val="0"/>
          <w:i w:val="0"/>
        </w:rPr>
        <w:t xml:space="preserve">; </w:t>
      </w:r>
      <w:hyperlink w:anchor="latin-record-0657">
        <w:r>
          <w:rPr>
            <w:color w:val="000000"/>
          </w:rPr>
          <w:t xml:space="preserve">integritas / puritas / supervacuum</w:t>
        </w:r>
      </w:hyperlink>
      <w:r>
        <w:rPr>
          <w:b w:val="0"/>
          <w:i w:val="0"/>
        </w:rPr>
        <w:t>.</w:t>
      </w:r>
    </w:p>
    <w:p>
      <w:pPr>
        <w:widowControl/>
      </w:pPr>
      <w:r>
        <w:rPr>
          <w:b/>
          <w:i w:val="0"/>
        </w:rPr>
        <w:t>puritatem.</w:t>
      </w:r>
      <w:r>
        <w:rPr>
          <w:b w:val="0"/>
          <w:i w:val="0"/>
        </w:rPr>
        <w:t xml:space="preserve"> </w:t>
      </w:r>
      <w:hyperlink w:anchor="latin-record-0631">
        <w:r>
          <w:rPr>
            <w:color w:val="000000"/>
          </w:rPr>
          <w:t xml:space="preserve">infectio / puritas</w:t>
        </w:r>
      </w:hyperlink>
      <w:r>
        <w:rPr>
          <w:b w:val="0"/>
          <w:i w:val="0"/>
        </w:rPr>
        <w:t>.</w:t>
      </w:r>
    </w:p>
    <w:p>
      <w:pPr>
        <w:widowControl/>
      </w:pPr>
      <w:r>
        <w:rPr>
          <w:b/>
          <w:i w:val="0"/>
        </w:rPr>
        <w:t>pusillanimis.</w:t>
      </w:r>
      <w:r>
        <w:rPr>
          <w:b w:val="0"/>
          <w:i w:val="0"/>
        </w:rPr>
        <w:t xml:space="preserve"> </w:t>
      </w:r>
      <w:hyperlink w:anchor="latin-record-1033">
        <w:r>
          <w:rPr>
            <w:color w:val="000000"/>
          </w:rPr>
          <w:t xml:space="preserve">pusillanimis; hebes; obliviosus</w:t>
        </w:r>
      </w:hyperlink>
      <w:r>
        <w:rPr>
          <w:b w:val="0"/>
          <w:i w:val="0"/>
        </w:rPr>
        <w:t>.</w:t>
      </w:r>
    </w:p>
    <w:p>
      <w:pPr>
        <w:widowControl/>
      </w:pPr>
      <w:r>
        <w:rPr>
          <w:b/>
          <w:i w:val="0"/>
        </w:rPr>
        <w:t>pusillanimitas.</w:t>
      </w:r>
      <w:r>
        <w:rPr>
          <w:b w:val="0"/>
          <w:i w:val="0"/>
        </w:rPr>
        <w:t xml:space="preserve"> </w:t>
      </w:r>
      <w:hyperlink w:anchor="latin-record-0746">
        <w:r>
          <w:rPr>
            <w:color w:val="000000"/>
          </w:rPr>
          <w:t xml:space="preserve">magnanimitas / pusillanimitas</w:t>
        </w:r>
      </w:hyperlink>
      <w:r>
        <w:rPr>
          <w:b w:val="0"/>
          <w:i w:val="0"/>
        </w:rPr>
        <w:t>.</w:t>
      </w:r>
    </w:p>
    <w:p>
      <w:pPr>
        <w:widowControl/>
      </w:pPr>
      <w:r>
        <w:rPr>
          <w:b/>
          <w:i w:val="0"/>
        </w:rPr>
        <w:t>pusillus.</w:t>
      </w:r>
      <w:r>
        <w:rPr>
          <w:b w:val="0"/>
          <w:i w:val="0"/>
        </w:rPr>
        <w:t xml:space="preserve"> </w:t>
      </w:r>
      <w:hyperlink w:anchor="latin-record-0951">
        <w:r>
          <w:rPr>
            <w:color w:val="000000"/>
          </w:rPr>
          <w:t xml:space="preserve">pinguis / tenuis / grandis / pusillus</w:t>
        </w:r>
      </w:hyperlink>
      <w:r>
        <w:rPr>
          <w:b w:val="0"/>
          <w:i w:val="0"/>
        </w:rPr>
        <w:t>.</w:t>
      </w:r>
    </w:p>
    <w:p>
      <w:pPr>
        <w:widowControl/>
      </w:pPr>
      <w:r>
        <w:rPr>
          <w:b/>
          <w:i w:val="0"/>
        </w:rPr>
        <w:t>putamus.</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putanda.</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putant.</w:t>
      </w:r>
      <w:r>
        <w:rPr>
          <w:b w:val="0"/>
          <w:i w:val="0"/>
        </w:rPr>
        <w:t xml:space="preserve"> </w:t>
      </w:r>
      <w:hyperlink w:anchor="latin-record-0108">
        <w:r>
          <w:rPr>
            <w:color w:val="000000"/>
          </w:rPr>
          <w:t xml:space="preserve">apparere / videri / placere</w:t>
        </w:r>
      </w:hyperlink>
      <w:r>
        <w:rPr>
          <w:b w:val="0"/>
          <w:i w:val="0"/>
        </w:rPr>
        <w:t xml:space="preserve">; </w:t>
      </w:r>
      <w:hyperlink w:anchor="latin-record-0865">
        <w:r>
          <w:rPr>
            <w:color w:val="000000"/>
          </w:rPr>
          <w:t xml:space="preserve">opinio / sententia</w:t>
        </w:r>
      </w:hyperlink>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putaret.</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putas.</w:t>
      </w:r>
      <w:r>
        <w:rPr>
          <w:b w:val="0"/>
          <w:i w:val="0"/>
        </w:rPr>
        <w:t xml:space="preserve"> </w:t>
      </w:r>
      <w:hyperlink w:anchor="latin-record-1034">
        <w:r>
          <w:rPr>
            <w:color w:val="000000"/>
          </w:rPr>
          <w:t xml:space="preserve">putare; existimare; arbitrari</w:t>
        </w:r>
      </w:hyperlink>
      <w:r>
        <w:rPr>
          <w:b w:val="0"/>
          <w:i w:val="0"/>
        </w:rPr>
        <w:t>.</w:t>
      </w:r>
    </w:p>
    <w:p>
      <w:pPr>
        <w:widowControl/>
      </w:pPr>
      <w:r>
        <w:rPr>
          <w:b/>
          <w:i w:val="0"/>
        </w:rPr>
        <w:t>puteum.</w:t>
      </w:r>
      <w:r>
        <w:rPr>
          <w:b w:val="0"/>
          <w:i w:val="0"/>
        </w:rPr>
        <w:t xml:space="preserve"> </w:t>
      </w:r>
      <w:hyperlink w:anchor="latin-record-1035">
        <w:r>
          <w:rPr>
            <w:color w:val="000000"/>
          </w:rPr>
          <w:t xml:space="preserve">puteus; fundus</w:t>
        </w:r>
      </w:hyperlink>
      <w:r>
        <w:rPr>
          <w:b w:val="0"/>
          <w:i w:val="0"/>
        </w:rPr>
        <w:t>.</w:t>
      </w:r>
    </w:p>
    <w:p>
      <w:pPr>
        <w:widowControl/>
      </w:pPr>
      <w:r>
        <w:rPr>
          <w:b/>
          <w:i w:val="0"/>
        </w:rPr>
        <w:t>pyra.</w:t>
      </w:r>
      <w:r>
        <w:rPr>
          <w:b w:val="0"/>
          <w:i w:val="0"/>
        </w:rPr>
        <w:t xml:space="preserve"> </w:t>
      </w:r>
      <w:hyperlink w:anchor="latin-record-1309">
        <w:r>
          <w:rPr>
            <w:color w:val="000000"/>
          </w:rPr>
          <w:t xml:space="preserve">triticum / pyrum</w:t>
        </w:r>
      </w:hyperlink>
      <w:r>
        <w:rPr>
          <w:b w:val="0"/>
          <w:i w:val="0"/>
        </w:rPr>
        <w:t>.</w:t>
      </w:r>
    </w:p>
    <w:p>
      <w:pPr>
        <w:widowControl/>
      </w:pPr>
      <w:r>
        <w:rPr>
          <w:b/>
          <w:i w:val="0"/>
        </w:rPr>
        <w:t>Pythagorae.</w:t>
      </w:r>
      <w:r>
        <w:rPr>
          <w:b w:val="0"/>
          <w:i w:val="0"/>
        </w:rPr>
        <w:t xml:space="preserve"> </w:t>
      </w:r>
      <w:hyperlink w:anchor="latin-record-1036">
        <w:r>
          <w:rPr>
            <w:color w:val="000000"/>
          </w:rPr>
          <w:t xml:space="preserve">Pythagoras</w:t>
        </w:r>
      </w:hyperlink>
      <w:r>
        <w:rPr>
          <w:b w:val="0"/>
          <w:i w:val="0"/>
        </w:rPr>
        <w:t>.</w:t>
      </w:r>
    </w:p>
    <w:p>
      <w:pPr>
        <w:widowControl/>
      </w:pPr>
      <w:r>
        <w:rPr>
          <w:b/>
          <w:i w:val="0"/>
        </w:rPr>
        <w:t>Pythagoras.</w:t>
      </w:r>
      <w:r>
        <w:rPr>
          <w:b w:val="0"/>
          <w:i w:val="0"/>
        </w:rPr>
        <w:t xml:space="preserve"> </w:t>
      </w:r>
      <w:hyperlink w:anchor="latin-record-0997">
        <w:r>
          <w:rPr>
            <w:color w:val="000000"/>
          </w:rPr>
          <w:t xml:space="preserve">prisci theologi</w:t>
        </w:r>
      </w:hyperlink>
      <w:r>
        <w:rPr>
          <w:b w:val="0"/>
          <w:i w:val="0"/>
        </w:rPr>
        <w:t>.</w:t>
      </w:r>
    </w:p>
    <w:p>
      <w:pPr>
        <w:widowControl/>
      </w:pPr>
      <w:r>
        <w:rPr>
          <w:b/>
          <w:i w:val="0"/>
        </w:rPr>
        <w:t>Pythagoreosque.</w:t>
      </w:r>
      <w:r>
        <w:rPr>
          <w:b w:val="0"/>
          <w:i w:val="0"/>
        </w:rPr>
        <w:t xml:space="preserve"> </w:t>
      </w:r>
      <w:hyperlink w:anchor="latin-record-0038">
        <w:r>
          <w:rPr>
            <w:color w:val="000000"/>
          </w:rPr>
          <w:t xml:space="preserve">Aegyptii / Pythagorei</w:t>
        </w:r>
      </w:hyperlink>
      <w:r>
        <w:rPr>
          <w:b w:val="0"/>
          <w:i w:val="0"/>
        </w:rPr>
        <w:t>.</w:t>
      </w:r>
    </w:p>
    <w:p>
      <w:pPr>
        <w:widowControl/>
      </w:pPr>
      <w:r>
        <w:rPr>
          <w:b/>
          <w:i w:val="0"/>
        </w:rPr>
        <w:t>qua corpus est.</w:t>
      </w:r>
      <w:r>
        <w:rPr>
          <w:b w:val="0"/>
          <w:i w:val="0"/>
        </w:rPr>
        <w:t xml:space="preserve"> </w:t>
      </w:r>
      <w:hyperlink w:anchor="latin-record-1037">
        <w:r>
          <w:rPr>
            <w:color w:val="000000"/>
          </w:rPr>
          <w:t xml:space="preserve">qua ratione</w:t>
        </w:r>
      </w:hyperlink>
      <w:r>
        <w:rPr>
          <w:b w:val="0"/>
          <w:i w:val="0"/>
        </w:rPr>
        <w:t>.</w:t>
      </w:r>
    </w:p>
    <w:p>
      <w:pPr>
        <w:widowControl/>
      </w:pPr>
      <w:r>
        <w:rPr>
          <w:b/>
          <w:i w:val="0"/>
        </w:rPr>
        <w:t>qua ratione.</w:t>
      </w:r>
      <w:r>
        <w:rPr>
          <w:b w:val="0"/>
          <w:i w:val="0"/>
        </w:rPr>
        <w:t xml:space="preserve"> </w:t>
      </w:r>
      <w:hyperlink w:anchor="latin-record-1038">
        <w:r>
          <w:rPr>
            <w:color w:val="000000"/>
          </w:rPr>
          <w:t xml:space="preserve">qua ratione / quatenus</w:t>
        </w:r>
      </w:hyperlink>
      <w:r>
        <w:rPr>
          <w:b w:val="0"/>
          <w:i w:val="0"/>
        </w:rPr>
        <w:t>.</w:t>
      </w:r>
    </w:p>
    <w:p>
      <w:pPr>
        <w:widowControl/>
      </w:pPr>
      <w:r>
        <w:rPr>
          <w:b/>
          <w:i w:val="0"/>
        </w:rPr>
        <w:t>quadrabit.</w:t>
      </w:r>
      <w:r>
        <w:rPr>
          <w:b w:val="0"/>
          <w:i w:val="0"/>
        </w:rPr>
        <w:t xml:space="preserve"> </w:t>
      </w:r>
      <w:hyperlink w:anchor="latin-record-0294">
        <w:r>
          <w:rPr>
            <w:color w:val="000000"/>
          </w:rPr>
          <w:t xml:space="preserve">congruere / quadrare / aptare</w:t>
        </w:r>
      </w:hyperlink>
      <w:r>
        <w:rPr>
          <w:b w:val="0"/>
          <w:i w:val="0"/>
        </w:rPr>
        <w:t>.</w:t>
      </w:r>
    </w:p>
    <w:p>
      <w:pPr>
        <w:widowControl/>
      </w:pPr>
      <w:r>
        <w:rPr>
          <w:b/>
          <w:i w:val="0"/>
        </w:rPr>
        <w:t>quadrangularis.</w:t>
      </w:r>
      <w:r>
        <w:rPr>
          <w:b w:val="0"/>
          <w:i w:val="0"/>
        </w:rPr>
        <w:t xml:space="preserve"> </w:t>
      </w:r>
      <w:hyperlink w:anchor="latin-record-1039">
        <w:r>
          <w:rPr>
            <w:color w:val="000000"/>
          </w:rPr>
          <w:t xml:space="preserve">quadrangularis / circularis</w:t>
        </w:r>
      </w:hyperlink>
      <w:r>
        <w:rPr>
          <w:b w:val="0"/>
          <w:i w:val="0"/>
        </w:rPr>
        <w:t>.</w:t>
      </w:r>
    </w:p>
    <w:p>
      <w:pPr>
        <w:widowControl/>
      </w:pPr>
      <w:r>
        <w:rPr>
          <w:b/>
          <w:i w:val="0"/>
        </w:rPr>
        <w:t>Quae effluit.</w:t>
      </w:r>
      <w:r>
        <w:rPr>
          <w:b w:val="0"/>
          <w:i w:val="0"/>
        </w:rPr>
        <w:t xml:space="preserve"> </w:t>
      </w:r>
      <w:hyperlink w:anchor="latin-record-0862">
        <w:r>
          <w:rPr>
            <w:color w:val="000000"/>
          </w:rPr>
          <w:t xml:space="preserve">operatio quae effluit / quae manet</w:t>
        </w:r>
      </w:hyperlink>
      <w:r>
        <w:rPr>
          <w:b w:val="0"/>
          <w:i w:val="0"/>
        </w:rPr>
        <w:t>.</w:t>
      </w:r>
    </w:p>
    <w:p>
      <w:pPr>
        <w:widowControl/>
      </w:pPr>
      <w:r>
        <w:rPr>
          <w:b/>
          <w:i w:val="0"/>
        </w:rPr>
        <w:t>Quae manet.</w:t>
      </w:r>
      <w:r>
        <w:rPr>
          <w:b w:val="0"/>
          <w:i w:val="0"/>
        </w:rPr>
        <w:t xml:space="preserve"> </w:t>
      </w:r>
      <w:hyperlink w:anchor="latin-record-0862">
        <w:r>
          <w:rPr>
            <w:color w:val="000000"/>
          </w:rPr>
          <w:t xml:space="preserve">operatio quae effluit / quae manet</w:t>
        </w:r>
      </w:hyperlink>
      <w:r>
        <w:rPr>
          <w:b w:val="0"/>
          <w:i w:val="0"/>
        </w:rPr>
        <w:t>.</w:t>
      </w:r>
    </w:p>
    <w:p>
      <w:pPr>
        <w:widowControl/>
      </w:pPr>
      <w:r>
        <w:rPr>
          <w:b/>
          <w:i w:val="0"/>
        </w:rPr>
        <w:t>quaeram.</w:t>
      </w:r>
      <w:r>
        <w:rPr>
          <w:b w:val="0"/>
          <w:i w:val="0"/>
        </w:rPr>
        <w:t xml:space="preserve"> </w:t>
      </w:r>
      <w:hyperlink w:anchor="latin-record-0279">
        <w:r>
          <w:rPr>
            <w:color w:val="000000"/>
          </w:rPr>
          <w:t xml:space="preserve">concludere; respondere; quaerere</w:t>
        </w:r>
      </w:hyperlink>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quaeras.</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quaere.</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Quaeremus.</w:t>
      </w:r>
      <w:r>
        <w:rPr>
          <w:b w:val="0"/>
          <w:i w:val="0"/>
        </w:rPr>
        <w:t xml:space="preserve"> </w:t>
      </w:r>
      <w:hyperlink w:anchor="latin-record-0279">
        <w:r>
          <w:rPr>
            <w:color w:val="000000"/>
          </w:rPr>
          <w:t xml:space="preserve">concludere; respondere; quaerere</w:t>
        </w:r>
      </w:hyperlink>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quaeremus.</w:t>
      </w:r>
      <w:r>
        <w:rPr>
          <w:b w:val="0"/>
          <w:i w:val="0"/>
        </w:rPr>
        <w:t xml:space="preserve"> </w:t>
      </w:r>
      <w:hyperlink w:anchor="latin-record-1040">
        <w:r>
          <w:rPr>
            <w:color w:val="000000"/>
          </w:rPr>
          <w:t xml:space="preserve">quaerere / interrogare / percontari</w:t>
        </w:r>
      </w:hyperlink>
      <w:r>
        <w:rPr>
          <w:b w:val="0"/>
          <w:i w:val="0"/>
        </w:rPr>
        <w:t>.</w:t>
      </w:r>
    </w:p>
    <w:p>
      <w:pPr>
        <w:widowControl/>
      </w:pPr>
      <w:r>
        <w:rPr>
          <w:b/>
          <w:i w:val="0"/>
        </w:rPr>
        <w:t>quaerere.</w:t>
      </w:r>
      <w:r>
        <w:rPr>
          <w:b w:val="0"/>
          <w:i w:val="0"/>
        </w:rPr>
        <w:t xml:space="preserve"> </w:t>
      </w:r>
      <w:hyperlink w:anchor="latin-record-0082">
        <w:r>
          <w:rPr>
            <w:color w:val="000000"/>
          </w:rPr>
          <w:t xml:space="preserve">amittere; quaerere; fugere</w:t>
        </w:r>
      </w:hyperlink>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quaerit.</w:t>
      </w:r>
      <w:r>
        <w:rPr>
          <w:b w:val="0"/>
          <w:i w:val="0"/>
        </w:rPr>
        <w:t xml:space="preserve"> </w:t>
      </w:r>
      <w:hyperlink w:anchor="latin-record-1040">
        <w:r>
          <w:rPr>
            <w:color w:val="000000"/>
          </w:rPr>
          <w:t xml:space="preserve">quaerere / interrogare / percontari</w:t>
        </w:r>
      </w:hyperlink>
      <w:r>
        <w:rPr>
          <w:b w:val="0"/>
          <w:i w:val="0"/>
        </w:rPr>
        <w:t>.</w:t>
      </w:r>
    </w:p>
    <w:p>
      <w:pPr>
        <w:widowControl/>
      </w:pPr>
      <w:r>
        <w:rPr>
          <w:b/>
          <w:i w:val="0"/>
        </w:rPr>
        <w:t>quaeritur.</w:t>
      </w:r>
      <w:r>
        <w:rPr>
          <w:b w:val="0"/>
          <w:i w:val="0"/>
        </w:rPr>
        <w:t xml:space="preserve"> </w:t>
      </w:r>
      <w:hyperlink w:anchor="latin-record-0279">
        <w:r>
          <w:rPr>
            <w:color w:val="000000"/>
          </w:rPr>
          <w:t xml:space="preserve">concludere; respondere; quaerere</w:t>
        </w:r>
      </w:hyperlink>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qualitas.</w:t>
      </w:r>
      <w:r>
        <w:rPr>
          <w:b w:val="0"/>
          <w:i w:val="0"/>
        </w:rPr>
        <w:t xml:space="preserve"> </w:t>
      </w:r>
      <w:hyperlink w:anchor="latin-record-1042">
        <w:r>
          <w:rPr>
            <w:color w:val="000000"/>
          </w:rPr>
          <w:t xml:space="preserve">qualitas</w:t>
        </w:r>
      </w:hyperlink>
      <w:r>
        <w:rPr>
          <w:b w:val="0"/>
          <w:i w:val="0"/>
        </w:rPr>
        <w:t xml:space="preserve">; </w:t>
      </w:r>
      <w:hyperlink w:anchor="latin-record-1043">
        <w:r>
          <w:rPr>
            <w:color w:val="000000"/>
          </w:rPr>
          <w:t xml:space="preserve">qualitas / affectio corporis</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Qualitas.</w:t>
      </w:r>
      <w:r>
        <w:rPr>
          <w:b w:val="0"/>
          <w:i w:val="0"/>
        </w:rPr>
        <w:t xml:space="preserve"> </w:t>
      </w:r>
      <w:hyperlink w:anchor="latin-record-1042">
        <w:r>
          <w:rPr>
            <w:color w:val="000000"/>
          </w:rPr>
          <w:t xml:space="preserve">qualitas</w:t>
        </w:r>
      </w:hyperlink>
      <w:r>
        <w:rPr>
          <w:b w:val="0"/>
          <w:i w:val="0"/>
        </w:rPr>
        <w:t>.</w:t>
      </w:r>
    </w:p>
    <w:p>
      <w:pPr>
        <w:widowControl/>
      </w:pPr>
      <w:r>
        <w:rPr>
          <w:b/>
          <w:i w:val="0"/>
        </w:rPr>
        <w:t>qualitate.</w:t>
      </w:r>
      <w:r>
        <w:rPr>
          <w:b w:val="0"/>
          <w:i w:val="0"/>
        </w:rPr>
        <w:t xml:space="preserve"> </w:t>
      </w:r>
      <w:hyperlink w:anchor="latin-record-1042">
        <w:r>
          <w:rPr>
            <w:color w:val="000000"/>
          </w:rPr>
          <w:t xml:space="preserve">qualitas</w:t>
        </w:r>
      </w:hyperlink>
      <w:r>
        <w:rPr>
          <w:b w:val="0"/>
          <w:i w:val="0"/>
        </w:rPr>
        <w:t>.</w:t>
      </w:r>
    </w:p>
    <w:p>
      <w:pPr>
        <w:widowControl/>
      </w:pPr>
      <w:r>
        <w:rPr>
          <w:b/>
          <w:i w:val="0"/>
        </w:rPr>
        <w:t>qualitatem.</w:t>
      </w:r>
      <w:r>
        <w:rPr>
          <w:b w:val="0"/>
          <w:i w:val="0"/>
        </w:rPr>
        <w:t xml:space="preserve"> </w:t>
      </w:r>
      <w:hyperlink w:anchor="latin-record-1042">
        <w:r>
          <w:rPr>
            <w:color w:val="000000"/>
          </w:rPr>
          <w:t xml:space="preserve">qualitas</w:t>
        </w:r>
      </w:hyperlink>
      <w:r>
        <w:rPr>
          <w:b w:val="0"/>
          <w:i w:val="0"/>
        </w:rPr>
        <w:t xml:space="preserve">; </w:t>
      </w:r>
      <w:hyperlink w:anchor="latin-record-1043">
        <w:r>
          <w:rPr>
            <w:color w:val="000000"/>
          </w:rPr>
          <w:t xml:space="preserve">qualitas / affectio corporis</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qualitates.</w:t>
      </w:r>
      <w:r>
        <w:rPr>
          <w:b w:val="0"/>
          <w:i w:val="0"/>
        </w:rPr>
        <w:t xml:space="preserve"> </w:t>
      </w:r>
      <w:hyperlink w:anchor="latin-record-0504">
        <w:r>
          <w:rPr>
            <w:color w:val="000000"/>
          </w:rPr>
          <w:t xml:space="preserve">forma / qualitas</w:t>
        </w:r>
      </w:hyperlink>
      <w:r>
        <w:rPr>
          <w:b w:val="0"/>
          <w:i w:val="0"/>
        </w:rPr>
        <w:t xml:space="preserve">; </w:t>
      </w:r>
      <w:hyperlink w:anchor="latin-record-1042">
        <w:r>
          <w:rPr>
            <w:color w:val="000000"/>
          </w:rPr>
          <w:t xml:space="preserve">qualitas</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Qualitates.</w:t>
      </w:r>
      <w:r>
        <w:rPr>
          <w:b w:val="0"/>
          <w:i w:val="0"/>
        </w:rPr>
        <w:t xml:space="preserve"> </w:t>
      </w:r>
      <w:hyperlink w:anchor="latin-record-1042">
        <w:r>
          <w:rPr>
            <w:color w:val="000000"/>
          </w:rPr>
          <w:t xml:space="preserve">qualitas</w:t>
        </w:r>
      </w:hyperlink>
      <w:r>
        <w:rPr>
          <w:b w:val="0"/>
          <w:i w:val="0"/>
        </w:rPr>
        <w:t>.</w:t>
      </w:r>
    </w:p>
    <w:p>
      <w:pPr>
        <w:widowControl/>
      </w:pPr>
      <w:r>
        <w:rPr>
          <w:b/>
          <w:i w:val="0"/>
        </w:rPr>
        <w:t>qualitati.</w:t>
      </w:r>
      <w:r>
        <w:rPr>
          <w:b w:val="0"/>
          <w:i w:val="0"/>
        </w:rPr>
        <w:t xml:space="preserve"> </w:t>
      </w:r>
      <w:hyperlink w:anchor="latin-record-1042">
        <w:r>
          <w:rPr>
            <w:color w:val="000000"/>
          </w:rPr>
          <w:t xml:space="preserve">qualitas</w:t>
        </w:r>
      </w:hyperlink>
      <w:r>
        <w:rPr>
          <w:b w:val="0"/>
          <w:i w:val="0"/>
        </w:rPr>
        <w:t xml:space="preserve">; </w:t>
      </w:r>
      <w:hyperlink w:anchor="latin-record-1043">
        <w:r>
          <w:rPr>
            <w:color w:val="000000"/>
          </w:rPr>
          <w:t xml:space="preserve">qualitas / affectio corporis</w:t>
        </w:r>
      </w:hyperlink>
      <w:r>
        <w:rPr>
          <w:b w:val="0"/>
          <w:i w:val="0"/>
        </w:rPr>
        <w:t>.</w:t>
      </w:r>
    </w:p>
    <w:p>
      <w:pPr>
        <w:widowControl/>
      </w:pPr>
      <w:r>
        <w:rPr>
          <w:b/>
          <w:i w:val="0"/>
        </w:rPr>
        <w:t>qualitatibus.</w:t>
      </w:r>
      <w:r>
        <w:rPr>
          <w:b w:val="0"/>
          <w:i w:val="0"/>
        </w:rPr>
        <w:t xml:space="preserve"> </w:t>
      </w:r>
      <w:hyperlink w:anchor="latin-record-0325">
        <w:r>
          <w:rPr>
            <w:color w:val="000000"/>
          </w:rPr>
          <w:t xml:space="preserve">contrariae qualitates / medium</w:t>
        </w:r>
      </w:hyperlink>
      <w:r>
        <w:rPr>
          <w:b w:val="0"/>
          <w:i w:val="0"/>
        </w:rPr>
        <w:t xml:space="preserve">; </w:t>
      </w:r>
      <w:hyperlink w:anchor="latin-record-0466">
        <w:r>
          <w:rPr>
            <w:color w:val="000000"/>
          </w:rPr>
          <w:t xml:space="preserve">extensio; contrarietas</w:t>
        </w:r>
      </w:hyperlink>
      <w:r>
        <w:rPr>
          <w:b w:val="0"/>
          <w:i w:val="0"/>
        </w:rPr>
        <w:t xml:space="preserve">; </w:t>
      </w:r>
      <w:hyperlink w:anchor="latin-record-1042">
        <w:r>
          <w:rPr>
            <w:color w:val="000000"/>
          </w:rPr>
          <w:t xml:space="preserve">qualitas</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qualitatis.</w:t>
      </w:r>
      <w:r>
        <w:rPr>
          <w:b w:val="0"/>
          <w:i w:val="0"/>
        </w:rPr>
        <w:t xml:space="preserve"> </w:t>
      </w:r>
      <w:hyperlink w:anchor="latin-record-0545">
        <w:r>
          <w:rPr>
            <w:color w:val="000000"/>
          </w:rPr>
          <w:t xml:space="preserve">genus substantiae / genus qualitatis</w:t>
        </w:r>
      </w:hyperlink>
      <w:r>
        <w:rPr>
          <w:b w:val="0"/>
          <w:i w:val="0"/>
        </w:rPr>
        <w:t xml:space="preserve">; </w:t>
      </w:r>
      <w:hyperlink w:anchor="latin-record-1042">
        <w:r>
          <w:rPr>
            <w:color w:val="000000"/>
          </w:rPr>
          <w:t xml:space="preserve">qualitas</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qualitatum.</w:t>
      </w:r>
      <w:r>
        <w:rPr>
          <w:b w:val="0"/>
          <w:i w:val="0"/>
        </w:rPr>
        <w:t xml:space="preserve"> </w:t>
      </w:r>
      <w:hyperlink w:anchor="latin-record-0504">
        <w:r>
          <w:rPr>
            <w:color w:val="000000"/>
          </w:rPr>
          <w:t xml:space="preserve">forma / qualitas</w:t>
        </w:r>
      </w:hyperlink>
      <w:r>
        <w:rPr>
          <w:b w:val="0"/>
          <w:i w:val="0"/>
        </w:rPr>
        <w:t xml:space="preserve">; </w:t>
      </w:r>
      <w:hyperlink w:anchor="latin-record-1042">
        <w:r>
          <w:rPr>
            <w:color w:val="000000"/>
          </w:rPr>
          <w:t xml:space="preserve">qualitas</w:t>
        </w:r>
      </w:hyperlink>
      <w:r>
        <w:rPr>
          <w:b w:val="0"/>
          <w:i w:val="0"/>
        </w:rPr>
        <w:t>.</w:t>
      </w:r>
    </w:p>
    <w:p>
      <w:pPr>
        <w:widowControl/>
      </w:pPr>
      <w:r>
        <w:rPr>
          <w:b/>
          <w:i w:val="0"/>
        </w:rPr>
        <w:t>Quamobrem.</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quamvis.</w:t>
      </w:r>
      <w:r>
        <w:rPr>
          <w:b w:val="0"/>
          <w:i w:val="0"/>
        </w:rPr>
        <w:t xml:space="preserve"> </w:t>
      </w:r>
      <w:hyperlink w:anchor="latin-record-1170">
        <w:r>
          <w:rPr>
            <w:color w:val="000000"/>
          </w:rPr>
          <w:t xml:space="preserve">si; sin; nisi; licet</w:t>
        </w:r>
      </w:hyperlink>
      <w:r>
        <w:rPr>
          <w:b w:val="0"/>
          <w:i w:val="0"/>
        </w:rPr>
        <w:t>.</w:t>
      </w:r>
    </w:p>
    <w:p>
      <w:pPr>
        <w:widowControl/>
      </w:pPr>
      <w:r>
        <w:rPr>
          <w:b/>
          <w:i w:val="0"/>
        </w:rPr>
        <w:t>Quamvis.</w:t>
      </w:r>
      <w:r>
        <w:rPr>
          <w:b w:val="0"/>
          <w:i w:val="0"/>
        </w:rPr>
        <w:t xml:space="preserve"> </w:t>
      </w:r>
      <w:hyperlink w:anchor="latin-record-1170">
        <w:r>
          <w:rPr>
            <w:color w:val="000000"/>
          </w:rPr>
          <w:t xml:space="preserve">si; sin; nisi; licet</w:t>
        </w:r>
      </w:hyperlink>
      <w:r>
        <w:rPr>
          <w:b w:val="0"/>
          <w:i w:val="0"/>
        </w:rPr>
        <w:t>.</w:t>
      </w:r>
    </w:p>
    <w:p>
      <w:pPr>
        <w:widowControl/>
      </w:pPr>
      <w:r>
        <w:rPr>
          <w:b/>
          <w:i w:val="0"/>
        </w:rPr>
        <w:t>quandoque.</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quantitas.</w:t>
      </w:r>
      <w:r>
        <w:rPr>
          <w:b w:val="0"/>
          <w:i w:val="0"/>
        </w:rPr>
        <w:t xml:space="preserve"> </w:t>
      </w:r>
      <w:hyperlink w:anchor="latin-record-1044">
        <w:r>
          <w:rPr>
            <w:color w:val="000000"/>
          </w:rPr>
          <w:t xml:space="preserve">quantitas</w:t>
        </w:r>
      </w:hyperlink>
      <w:r>
        <w:rPr>
          <w:b w:val="0"/>
          <w:i w:val="0"/>
        </w:rPr>
        <w:t xml:space="preserve">; </w:t>
      </w:r>
      <w:hyperlink w:anchor="latin-record-1045">
        <w:r>
          <w:rPr>
            <w:color w:val="000000"/>
          </w:rPr>
          <w:t xml:space="preserve">quantitas / dimensio</w:t>
        </w:r>
      </w:hyperlink>
      <w:r>
        <w:rPr>
          <w:b w:val="0"/>
          <w:i w:val="0"/>
        </w:rPr>
        <w:t>.</w:t>
      </w:r>
    </w:p>
    <w:p>
      <w:pPr>
        <w:widowControl/>
      </w:pPr>
      <w:r>
        <w:rPr>
          <w:b/>
          <w:i w:val="0"/>
        </w:rPr>
        <w:t>quantitate.</w:t>
      </w:r>
      <w:r>
        <w:rPr>
          <w:b w:val="0"/>
          <w:i w:val="0"/>
        </w:rPr>
        <w:t xml:space="preserve"> </w:t>
      </w:r>
      <w:hyperlink w:anchor="latin-record-1044">
        <w:r>
          <w:rPr>
            <w:color w:val="000000"/>
          </w:rPr>
          <w:t xml:space="preserve">quantitas</w:t>
        </w:r>
      </w:hyperlink>
      <w:r>
        <w:rPr>
          <w:b w:val="0"/>
          <w:i w:val="0"/>
        </w:rPr>
        <w:t xml:space="preserve">; </w:t>
      </w:r>
      <w:hyperlink w:anchor="latin-record-1045">
        <w:r>
          <w:rPr>
            <w:color w:val="000000"/>
          </w:rPr>
          <w:t xml:space="preserve">quantitas / dimensio</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360">
        <w:r>
          <w:rPr>
            <w:color w:val="000000"/>
          </w:rPr>
          <w:t xml:space="preserve">virtute; quantitate</w:t>
        </w:r>
      </w:hyperlink>
      <w:r>
        <w:rPr>
          <w:b w:val="0"/>
          <w:i w:val="0"/>
        </w:rPr>
        <w:t>.</w:t>
      </w:r>
    </w:p>
    <w:p>
      <w:pPr>
        <w:widowControl/>
      </w:pPr>
      <w:r>
        <w:rPr>
          <w:b/>
          <w:i w:val="0"/>
        </w:rPr>
        <w:t>quantitate protenditur.</w:t>
      </w:r>
      <w:r>
        <w:rPr>
          <w:b w:val="0"/>
          <w:i w:val="0"/>
        </w:rPr>
        <w:t xml:space="preserve"> </w:t>
      </w:r>
      <w:hyperlink w:anchor="latin-record-1047">
        <w:r>
          <w:rPr>
            <w:color w:val="000000"/>
          </w:rPr>
          <w:t xml:space="preserve">quantitate protendi</w:t>
        </w:r>
      </w:hyperlink>
      <w:r>
        <w:rPr>
          <w:b w:val="0"/>
          <w:i w:val="0"/>
        </w:rPr>
        <w:t>.</w:t>
      </w:r>
    </w:p>
    <w:p>
      <w:pPr>
        <w:widowControl/>
      </w:pPr>
      <w:r>
        <w:rPr>
          <w:b/>
          <w:i w:val="0"/>
        </w:rPr>
        <w:t>quantitatem.</w:t>
      </w:r>
      <w:r>
        <w:rPr>
          <w:b w:val="0"/>
          <w:i w:val="0"/>
        </w:rPr>
        <w:t xml:space="preserve"> </w:t>
      </w:r>
      <w:hyperlink w:anchor="latin-record-1044">
        <w:r>
          <w:rPr>
            <w:color w:val="000000"/>
          </w:rPr>
          <w:t xml:space="preserve">quantitas</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quantitati.</w:t>
      </w:r>
      <w:r>
        <w:rPr>
          <w:b w:val="0"/>
          <w:i w:val="0"/>
        </w:rPr>
        <w:t xml:space="preserve"> </w:t>
      </w:r>
      <w:hyperlink w:anchor="latin-record-1044">
        <w:r>
          <w:rPr>
            <w:color w:val="000000"/>
          </w:rPr>
          <w:t xml:space="preserve">quantitas</w:t>
        </w:r>
      </w:hyperlink>
      <w:r>
        <w:rPr>
          <w:b w:val="0"/>
          <w:i w:val="0"/>
        </w:rPr>
        <w:t>.</w:t>
      </w:r>
    </w:p>
    <w:p>
      <w:pPr>
        <w:widowControl/>
      </w:pPr>
      <w:r>
        <w:rPr>
          <w:b/>
          <w:i w:val="0"/>
        </w:rPr>
        <w:t>quantitatis.</w:t>
      </w:r>
      <w:r>
        <w:rPr>
          <w:b w:val="0"/>
          <w:i w:val="0"/>
        </w:rPr>
        <w:t xml:space="preserve"> </w:t>
      </w:r>
      <w:hyperlink w:anchor="latin-record-1044">
        <w:r>
          <w:rPr>
            <w:color w:val="000000"/>
          </w:rPr>
          <w:t xml:space="preserve">quantitas</w:t>
        </w:r>
      </w:hyperlink>
      <w:r>
        <w:rPr>
          <w:b w:val="0"/>
          <w:i w:val="0"/>
        </w:rPr>
        <w:t xml:space="preserve">; </w:t>
      </w:r>
      <w:hyperlink w:anchor="latin-record-1045">
        <w:r>
          <w:rPr>
            <w:color w:val="000000"/>
          </w:rPr>
          <w:t xml:space="preserve">quantitas / dimensio</w:t>
        </w:r>
      </w:hyperlink>
      <w:r>
        <w:rPr>
          <w:b w:val="0"/>
          <w:i w:val="0"/>
        </w:rPr>
        <w:t xml:space="preserve">; </w:t>
      </w:r>
      <w:hyperlink w:anchor="latin-record-1046">
        <w:r>
          <w:rPr>
            <w:color w:val="000000"/>
          </w:rPr>
          <w:t xml:space="preserve">quantitas; qualitas</w:t>
        </w:r>
      </w:hyperlink>
      <w:r>
        <w:rPr>
          <w:b w:val="0"/>
          <w:i w:val="0"/>
        </w:rPr>
        <w:t>.</w:t>
      </w:r>
    </w:p>
    <w:p>
      <w:pPr>
        <w:widowControl/>
      </w:pPr>
      <w:r>
        <w:rPr>
          <w:b/>
          <w:i w:val="0"/>
        </w:rPr>
        <w:t>quanto.</w:t>
      </w:r>
      <w:r>
        <w:rPr>
          <w:b w:val="0"/>
          <w:i w:val="0"/>
        </w:rPr>
        <w:t xml:space="preserve"> </w:t>
      </w:r>
      <w:hyperlink w:anchor="latin-record-1048">
        <w:r>
          <w:rPr>
            <w:color w:val="000000"/>
          </w:rPr>
          <w:t xml:space="preserve">quantum; quatenus; respectus</w:t>
        </w:r>
      </w:hyperlink>
      <w:r>
        <w:rPr>
          <w:b w:val="0"/>
          <w:i w:val="0"/>
        </w:rPr>
        <w:t>.</w:t>
      </w:r>
    </w:p>
    <w:p>
      <w:pPr>
        <w:widowControl/>
      </w:pPr>
      <w:r>
        <w:rPr>
          <w:b/>
          <w:i w:val="0"/>
        </w:rPr>
        <w:t>quantum.</w:t>
      </w:r>
      <w:r>
        <w:rPr>
          <w:b w:val="0"/>
          <w:i w:val="0"/>
        </w:rPr>
        <w:t xml:space="preserve"> </w:t>
      </w:r>
      <w:hyperlink w:anchor="latin-record-1048">
        <w:r>
          <w:rPr>
            <w:color w:val="000000"/>
          </w:rPr>
          <w:t xml:space="preserve">quantum; quatenus; respectus</w:t>
        </w:r>
      </w:hyperlink>
      <w:r>
        <w:rPr>
          <w:b w:val="0"/>
          <w:i w:val="0"/>
        </w:rPr>
        <w:t>.</w:t>
      </w:r>
    </w:p>
    <w:p>
      <w:pPr>
        <w:widowControl/>
      </w:pPr>
      <w:r>
        <w:rPr>
          <w:b/>
          <w:i w:val="0"/>
        </w:rPr>
        <w:t>Quantum.</w:t>
      </w:r>
      <w:r>
        <w:rPr>
          <w:b w:val="0"/>
          <w:i w:val="0"/>
        </w:rPr>
        <w:t xml:space="preserve"> </w:t>
      </w:r>
      <w:hyperlink w:anchor="latin-record-1048">
        <w:r>
          <w:rPr>
            <w:color w:val="000000"/>
          </w:rPr>
          <w:t xml:space="preserve">quantum; quatenus; respectus</w:t>
        </w:r>
      </w:hyperlink>
      <w:r>
        <w:rPr>
          <w:b w:val="0"/>
          <w:i w:val="0"/>
        </w:rPr>
        <w:t>.</w:t>
      </w:r>
    </w:p>
    <w:p>
      <w:pPr>
        <w:widowControl/>
      </w:pPr>
      <w:r>
        <w:rPr>
          <w:b/>
          <w:i w:val="0"/>
        </w:rPr>
        <w:t>Quapropter.</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Quare.</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quasi.</w:t>
      </w:r>
      <w:r>
        <w:rPr>
          <w:b w:val="0"/>
          <w:i w:val="0"/>
        </w:rPr>
        <w:t xml:space="preserve"> </w:t>
      </w:r>
      <w:hyperlink w:anchor="latin-record-0922">
        <w:r>
          <w:rPr>
            <w:color w:val="000000"/>
          </w:rPr>
          <w:t xml:space="preserve">per se; quodammodo; proprie</w:t>
        </w:r>
      </w:hyperlink>
      <w:r>
        <w:rPr>
          <w:b w:val="0"/>
          <w:i w:val="0"/>
        </w:rPr>
        <w:t xml:space="preserve">; </w:t>
      </w:r>
      <w:hyperlink w:anchor="latin-record-1056">
        <w:r>
          <w:rPr>
            <w:color w:val="000000"/>
          </w:rPr>
          <w:t xml:space="preserve">quodammodo / quasi / ut ita loquar</w:t>
        </w:r>
      </w:hyperlink>
      <w:r>
        <w:rPr>
          <w:b w:val="0"/>
          <w:i w:val="0"/>
        </w:rPr>
        <w:t>.</w:t>
      </w:r>
    </w:p>
    <w:p>
      <w:pPr>
        <w:widowControl/>
      </w:pPr>
      <w:r>
        <w:rPr>
          <w:b/>
          <w:i w:val="0"/>
        </w:rPr>
        <w:t>quasi corrumpit.</w:t>
      </w:r>
      <w:r>
        <w:rPr>
          <w:b w:val="0"/>
          <w:i w:val="0"/>
        </w:rPr>
        <w:t xml:space="preserve"> </w:t>
      </w:r>
      <w:hyperlink w:anchor="latin-record-1057">
        <w:r>
          <w:rPr>
            <w:color w:val="000000"/>
          </w:rPr>
          <w:t xml:space="preserve">quodammodo; quasi</w:t>
        </w:r>
      </w:hyperlink>
      <w:r>
        <w:rPr>
          <w:b w:val="0"/>
          <w:i w:val="0"/>
        </w:rPr>
        <w:t>.</w:t>
      </w:r>
    </w:p>
    <w:p>
      <w:pPr>
        <w:widowControl/>
      </w:pPr>
      <w:r>
        <w:rPr>
          <w:b/>
          <w:i w:val="0"/>
        </w:rPr>
        <w:t>quatenus.</w:t>
      </w:r>
      <w:r>
        <w:rPr>
          <w:b w:val="0"/>
          <w:i w:val="0"/>
        </w:rPr>
        <w:t xml:space="preserve"> </w:t>
      </w:r>
      <w:hyperlink w:anchor="latin-record-1038">
        <w:r>
          <w:rPr>
            <w:color w:val="000000"/>
          </w:rPr>
          <w:t xml:space="preserve">qua ratione / quatenus</w:t>
        </w:r>
      </w:hyperlink>
      <w:r>
        <w:rPr>
          <w:b w:val="0"/>
          <w:i w:val="0"/>
        </w:rPr>
        <w:t xml:space="preserve">; </w:t>
      </w:r>
      <w:hyperlink w:anchor="latin-record-1049">
        <w:r>
          <w:rPr>
            <w:color w:val="000000"/>
          </w:rPr>
          <w:t xml:space="preserve">quatenus / eatenus</w:t>
        </w:r>
      </w:hyperlink>
      <w:r>
        <w:rPr>
          <w:b w:val="0"/>
          <w:i w:val="0"/>
        </w:rPr>
        <w:t>.</w:t>
      </w:r>
    </w:p>
    <w:p>
      <w:pPr>
        <w:widowControl/>
      </w:pPr>
      <w:r>
        <w:rPr>
          <w:b/>
          <w:i w:val="0"/>
        </w:rPr>
        <w:t>quattuor.</w:t>
      </w:r>
      <w:r>
        <w:rPr>
          <w:b w:val="0"/>
          <w:i w:val="0"/>
        </w:rPr>
        <w:t xml:space="preserve"> </w:t>
      </w:r>
      <w:hyperlink w:anchor="latin-record-0417">
        <w:r>
          <w:rPr>
            <w:color w:val="000000"/>
          </w:rPr>
          <w:t xml:space="preserve">duo / quattuor / sex / octo</w:t>
        </w:r>
      </w:hyperlink>
      <w:r>
        <w:rPr>
          <w:b w:val="0"/>
          <w:i w:val="0"/>
        </w:rPr>
        <w:t>.</w:t>
      </w:r>
    </w:p>
    <w:p>
      <w:pPr>
        <w:widowControl/>
      </w:pPr>
      <w:r>
        <w:rPr>
          <w:b/>
          <w:i w:val="0"/>
        </w:rPr>
        <w:t>quattuor humorum.</w:t>
      </w:r>
      <w:r>
        <w:rPr>
          <w:b w:val="0"/>
          <w:i w:val="0"/>
        </w:rPr>
        <w:t xml:space="preserve"> </w:t>
      </w:r>
      <w:hyperlink w:anchor="latin-record-0574">
        <w:r>
          <w:rPr>
            <w:color w:val="000000"/>
          </w:rPr>
          <w:t xml:space="preserve">humor; tabes; pinguedo</w:t>
        </w:r>
      </w:hyperlink>
      <w:r>
        <w:rPr>
          <w:b w:val="0"/>
          <w:i w:val="0"/>
        </w:rPr>
        <w:t>.</w:t>
      </w:r>
    </w:p>
    <w:p>
      <w:pPr>
        <w:widowControl/>
      </w:pPr>
      <w:r>
        <w:rPr>
          <w:b/>
          <w:i w:val="0"/>
        </w:rPr>
        <w:t>quatuor elementa.</w:t>
      </w:r>
      <w:r>
        <w:rPr>
          <w:b w:val="0"/>
          <w:i w:val="0"/>
        </w:rPr>
        <w:t xml:space="preserve"> </w:t>
      </w:r>
      <w:hyperlink w:anchor="latin-record-1050">
        <w:r>
          <w:rPr>
            <w:color w:val="000000"/>
          </w:rPr>
          <w:t xml:space="preserve">quatuor elementa</w:t>
        </w:r>
      </w:hyperlink>
      <w:r>
        <w:rPr>
          <w:b w:val="0"/>
          <w:i w:val="0"/>
        </w:rPr>
        <w:t>.</w:t>
      </w:r>
    </w:p>
    <w:p>
      <w:pPr>
        <w:widowControl/>
      </w:pPr>
      <w:r>
        <w:rPr>
          <w:b/>
          <w:i w:val="0"/>
        </w:rPr>
        <w:t>quiescam.</w:t>
      </w:r>
      <w:r>
        <w:rPr>
          <w:b w:val="0"/>
          <w:i w:val="0"/>
        </w:rPr>
        <w:t xml:space="preserve"> </w:t>
      </w:r>
      <w:hyperlink w:anchor="latin-record-1087">
        <w:r>
          <w:rPr>
            <w:color w:val="000000"/>
          </w:rPr>
          <w:t xml:space="preserve">referre; quiescere</w:t>
        </w:r>
      </w:hyperlink>
      <w:r>
        <w:rPr>
          <w:b w:val="0"/>
          <w:i w:val="0"/>
        </w:rPr>
        <w:t>.</w:t>
      </w:r>
    </w:p>
    <w:p>
      <w:pPr>
        <w:widowControl/>
      </w:pPr>
      <w:r>
        <w:rPr>
          <w:b/>
          <w:i w:val="0"/>
        </w:rPr>
        <w:t>quiescendo.</w:t>
      </w:r>
      <w:r>
        <w:rPr>
          <w:b w:val="0"/>
          <w:i w:val="0"/>
        </w:rPr>
        <w:t xml:space="preserve"> </w:t>
      </w:r>
      <w:hyperlink w:anchor="latin-record-1052">
        <w:r>
          <w:rPr>
            <w:color w:val="000000"/>
          </w:rPr>
          <w:t xml:space="preserve">quiescere</w:t>
        </w:r>
      </w:hyperlink>
      <w:r>
        <w:rPr>
          <w:b w:val="0"/>
          <w:i w:val="0"/>
        </w:rPr>
        <w:t>.</w:t>
      </w:r>
    </w:p>
    <w:p>
      <w:pPr>
        <w:widowControl/>
      </w:pPr>
      <w:r>
        <w:rPr>
          <w:b/>
          <w:i w:val="0"/>
        </w:rPr>
        <w:t>quiescere.</w:t>
      </w:r>
      <w:r>
        <w:rPr>
          <w:b w:val="0"/>
          <w:i w:val="0"/>
        </w:rPr>
        <w:t xml:space="preserve"> </w:t>
      </w:r>
      <w:hyperlink w:anchor="latin-record-1052">
        <w:r>
          <w:rPr>
            <w:color w:val="000000"/>
          </w:rPr>
          <w:t xml:space="preserve">quiescere</w:t>
        </w:r>
      </w:hyperlink>
      <w:r>
        <w:rPr>
          <w:b w:val="0"/>
          <w:i w:val="0"/>
        </w:rPr>
        <w:t>.</w:t>
      </w:r>
    </w:p>
    <w:p>
      <w:pPr>
        <w:widowControl/>
      </w:pPr>
      <w:r>
        <w:rPr>
          <w:b/>
          <w:i w:val="0"/>
        </w:rPr>
        <w:t>quiescit.</w:t>
      </w:r>
      <w:r>
        <w:rPr>
          <w:b w:val="0"/>
          <w:i w:val="0"/>
        </w:rPr>
        <w:t xml:space="preserve"> </w:t>
      </w:r>
      <w:hyperlink w:anchor="latin-record-1052">
        <w:r>
          <w:rPr>
            <w:color w:val="000000"/>
          </w:rPr>
          <w:t xml:space="preserve">quiescere</w:t>
        </w:r>
      </w:hyperlink>
      <w:r>
        <w:rPr>
          <w:b w:val="0"/>
          <w:i w:val="0"/>
        </w:rPr>
        <w:t>.</w:t>
      </w:r>
    </w:p>
    <w:p>
      <w:pPr>
        <w:widowControl/>
      </w:pPr>
      <w:r>
        <w:rPr>
          <w:b/>
          <w:i w:val="0"/>
        </w:rPr>
        <w:t>quiete.</w:t>
      </w:r>
      <w:r>
        <w:rPr>
          <w:b w:val="0"/>
          <w:i w:val="0"/>
        </w:rPr>
        <w:t xml:space="preserve"> </w:t>
      </w:r>
      <w:hyperlink w:anchor="latin-record-1051">
        <w:r>
          <w:rPr>
            <w:color w:val="000000"/>
          </w:rPr>
          <w:t xml:space="preserve">quies / valitudo / consensio</w:t>
        </w:r>
      </w:hyperlink>
      <w:r>
        <w:rPr>
          <w:b w:val="0"/>
          <w:i w:val="0"/>
        </w:rPr>
        <w:t>.</w:t>
      </w:r>
    </w:p>
    <w:p>
      <w:pPr>
        <w:widowControl/>
      </w:pPr>
      <w:r>
        <w:rPr>
          <w:b/>
          <w:i w:val="0"/>
        </w:rPr>
        <w:t>quietem.</w:t>
      </w:r>
      <w:r>
        <w:rPr>
          <w:b w:val="0"/>
          <w:i w:val="0"/>
        </w:rPr>
        <w:t xml:space="preserve"> </w:t>
      </w:r>
      <w:hyperlink w:anchor="latin-record-0807">
        <w:r>
          <w:rPr>
            <w:color w:val="000000"/>
          </w:rPr>
          <w:t xml:space="preserve">motus / alteratio / quies</w:t>
        </w:r>
      </w:hyperlink>
      <w:r>
        <w:rPr>
          <w:b w:val="0"/>
          <w:i w:val="0"/>
        </w:rPr>
        <w:t>.</w:t>
      </w:r>
    </w:p>
    <w:p>
      <w:pPr>
        <w:widowControl/>
      </w:pPr>
      <w:r>
        <w:rPr>
          <w:b/>
          <w:i w:val="0"/>
        </w:rPr>
        <w:t>quinque capita.</w:t>
      </w:r>
      <w:r>
        <w:rPr>
          <w:b w:val="0"/>
          <w:i w:val="0"/>
        </w:rPr>
        <w:t xml:space="preserve"> </w:t>
      </w:r>
      <w:hyperlink w:anchor="latin-record-1053">
        <w:r>
          <w:rPr>
            <w:color w:val="000000"/>
          </w:rPr>
          <w:t xml:space="preserve">quinque capita</w:t>
        </w:r>
      </w:hyperlink>
      <w:r>
        <w:rPr>
          <w:b w:val="0"/>
          <w:i w:val="0"/>
        </w:rPr>
        <w:t>.</w:t>
      </w:r>
    </w:p>
    <w:p>
      <w:pPr>
        <w:widowControl/>
      </w:pPr>
      <w:r>
        <w:rPr>
          <w:b/>
          <w:i w:val="0"/>
        </w:rPr>
        <w:t>quintum aliquod tenuissimumque corpusculum.</w:t>
      </w:r>
      <w:r>
        <w:rPr>
          <w:b w:val="0"/>
          <w:i w:val="0"/>
        </w:rPr>
        <w:t xml:space="preserve"> </w:t>
      </w:r>
      <w:hyperlink w:anchor="latin-record-1054">
        <w:r>
          <w:rPr>
            <w:color w:val="000000"/>
          </w:rPr>
          <w:t xml:space="preserve">quintum corpusculum</w:t>
        </w:r>
      </w:hyperlink>
      <w:r>
        <w:rPr>
          <w:b w:val="0"/>
          <w:i w:val="0"/>
        </w:rPr>
        <w:t>.</w:t>
      </w:r>
    </w:p>
    <w:p>
      <w:pPr>
        <w:widowControl/>
      </w:pPr>
      <w:r>
        <w:rPr>
          <w:b/>
          <w:i w:val="0"/>
        </w:rPr>
        <w:t>Quocirca.</w:t>
      </w:r>
      <w:r>
        <w:rPr>
          <w:b w:val="0"/>
          <w:i w:val="0"/>
        </w:rPr>
        <w:t xml:space="preserve"> </w:t>
      </w:r>
      <w:hyperlink w:anchor="latin-record-0580">
        <w:r>
          <w:rPr>
            <w:color w:val="000000"/>
          </w:rPr>
          <w:t xml:space="preserve">igitur; ergo; quapropter; sequitur</w:t>
        </w:r>
      </w:hyperlink>
      <w:r>
        <w:rPr>
          <w:b w:val="0"/>
          <w:i w:val="0"/>
        </w:rPr>
        <w:t>.</w:t>
      </w:r>
    </w:p>
    <w:p>
      <w:pPr>
        <w:widowControl/>
      </w:pPr>
      <w:r>
        <w:rPr>
          <w:b/>
          <w:i w:val="0"/>
        </w:rPr>
        <w:t>quodammodo.</w:t>
      </w:r>
      <w:r>
        <w:rPr>
          <w:b w:val="0"/>
          <w:i w:val="0"/>
        </w:rPr>
        <w:t xml:space="preserve"> </w:t>
      </w:r>
      <w:hyperlink w:anchor="latin-record-0922">
        <w:r>
          <w:rPr>
            <w:color w:val="000000"/>
          </w:rPr>
          <w:t xml:space="preserve">per se; quodammodo; proprie</w:t>
        </w:r>
      </w:hyperlink>
      <w:r>
        <w:rPr>
          <w:b w:val="0"/>
          <w:i w:val="0"/>
        </w:rPr>
        <w:t xml:space="preserve">; </w:t>
      </w:r>
      <w:hyperlink w:anchor="latin-record-1055">
        <w:r>
          <w:rPr>
            <w:color w:val="000000"/>
          </w:rPr>
          <w:t xml:space="preserve">quodammodo</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057">
        <w:r>
          <w:rPr>
            <w:color w:val="000000"/>
          </w:rPr>
          <w:t xml:space="preserve">quodammodo; quasi</w:t>
        </w:r>
      </w:hyperlink>
      <w:r>
        <w:rPr>
          <w:b w:val="0"/>
          <w:i w:val="0"/>
        </w:rPr>
        <w:t>.</w:t>
      </w:r>
    </w:p>
    <w:p>
      <w:pPr>
        <w:widowControl/>
      </w:pPr>
      <w:r>
        <w:rPr>
          <w:b/>
          <w:i w:val="0"/>
        </w:rPr>
        <w:t>radice.</w:t>
      </w:r>
      <w:r>
        <w:rPr>
          <w:b w:val="0"/>
          <w:i w:val="0"/>
        </w:rPr>
        <w:t xml:space="preserve"> </w:t>
      </w:r>
      <w:hyperlink w:anchor="latin-record-1060">
        <w:r>
          <w:rPr>
            <w:color w:val="000000"/>
          </w:rPr>
          <w:t xml:space="preserve">radix; germen; ramus</w:t>
        </w:r>
      </w:hyperlink>
      <w:r>
        <w:rPr>
          <w:b w:val="0"/>
          <w:i w:val="0"/>
        </w:rPr>
        <w:t>.</w:t>
      </w:r>
    </w:p>
    <w:p>
      <w:pPr>
        <w:widowControl/>
      </w:pPr>
      <w:r>
        <w:rPr>
          <w:b/>
          <w:i w:val="0"/>
        </w:rPr>
        <w:t>radicem essendi.</w:t>
      </w:r>
      <w:r>
        <w:rPr>
          <w:b w:val="0"/>
          <w:i w:val="0"/>
        </w:rPr>
        <w:t xml:space="preserve"> </w:t>
      </w:r>
      <w:hyperlink w:anchor="latin-record-1059">
        <w:r>
          <w:rPr>
            <w:color w:val="000000"/>
          </w:rPr>
          <w:t xml:space="preserve">radix essendi</w:t>
        </w:r>
      </w:hyperlink>
      <w:r>
        <w:rPr>
          <w:b w:val="0"/>
          <w:i w:val="0"/>
        </w:rPr>
        <w:t>.</w:t>
      </w:r>
    </w:p>
    <w:p>
      <w:pPr>
        <w:widowControl/>
      </w:pPr>
      <w:r>
        <w:rPr>
          <w:b/>
          <w:i w:val="0"/>
        </w:rPr>
        <w:t>radiis.</w:t>
      </w:r>
      <w:r>
        <w:rPr>
          <w:b w:val="0"/>
          <w:i w:val="0"/>
        </w:rPr>
        <w:t xml:space="preserve"> </w:t>
      </w:r>
      <w:hyperlink w:anchor="latin-record-1058">
        <w:r>
          <w:rPr>
            <w:color w:val="000000"/>
          </w:rPr>
          <w:t xml:space="preserve">radius</w:t>
        </w:r>
      </w:hyperlink>
      <w:r>
        <w:rPr>
          <w:b w:val="0"/>
          <w:i w:val="0"/>
        </w:rPr>
        <w:t>.</w:t>
      </w:r>
    </w:p>
    <w:p>
      <w:pPr>
        <w:widowControl/>
      </w:pPr>
      <w:r>
        <w:rPr>
          <w:b/>
          <w:i w:val="0"/>
        </w:rPr>
        <w:t>ramis.</w:t>
      </w:r>
      <w:r>
        <w:rPr>
          <w:b w:val="0"/>
          <w:i w:val="0"/>
        </w:rPr>
        <w:t xml:space="preserve"> </w:t>
      </w:r>
      <w:hyperlink w:anchor="latin-record-1060">
        <w:r>
          <w:rPr>
            <w:color w:val="000000"/>
          </w:rPr>
          <w:t xml:space="preserve">radix; germen; ramus</w:t>
        </w:r>
      </w:hyperlink>
      <w:r>
        <w:rPr>
          <w:b w:val="0"/>
          <w:i w:val="0"/>
        </w:rPr>
        <w:t>.</w:t>
      </w:r>
    </w:p>
    <w:p>
      <w:pPr>
        <w:widowControl/>
      </w:pPr>
      <w:r>
        <w:rPr>
          <w:b/>
          <w:i w:val="0"/>
        </w:rPr>
        <w:t>ramos.</w:t>
      </w:r>
      <w:r>
        <w:rPr>
          <w:b w:val="0"/>
          <w:i w:val="0"/>
        </w:rPr>
        <w:t xml:space="preserve"> </w:t>
      </w:r>
      <w:hyperlink w:anchor="latin-record-1060">
        <w:r>
          <w:rPr>
            <w:color w:val="000000"/>
          </w:rPr>
          <w:t xml:space="preserve">radix; germen; ramus</w:t>
        </w:r>
      </w:hyperlink>
      <w:r>
        <w:rPr>
          <w:b w:val="0"/>
          <w:i w:val="0"/>
        </w:rPr>
        <w:t>.</w:t>
      </w:r>
    </w:p>
    <w:p>
      <w:pPr>
        <w:widowControl/>
      </w:pPr>
      <w:r>
        <w:rPr>
          <w:b/>
          <w:i w:val="0"/>
        </w:rPr>
        <w:t>raptu caelorum.</w:t>
      </w:r>
      <w:r>
        <w:rPr>
          <w:b w:val="0"/>
          <w:i w:val="0"/>
        </w:rPr>
        <w:t xml:space="preserve"> </w:t>
      </w:r>
      <w:hyperlink w:anchor="latin-record-1061">
        <w:r>
          <w:rPr>
            <w:color w:val="000000"/>
          </w:rPr>
          <w:t xml:space="preserve">raptus caelorum</w:t>
        </w:r>
      </w:hyperlink>
      <w:r>
        <w:rPr>
          <w:b w:val="0"/>
          <w:i w:val="0"/>
        </w:rPr>
        <w:t>.</w:t>
      </w:r>
    </w:p>
    <w:p>
      <w:pPr>
        <w:widowControl/>
      </w:pPr>
      <w:r>
        <w:rPr>
          <w:b/>
          <w:i w:val="0"/>
        </w:rPr>
        <w:t>rarefacit, condensat.</w:t>
      </w:r>
      <w:r>
        <w:rPr>
          <w:b w:val="0"/>
          <w:i w:val="0"/>
        </w:rPr>
        <w:t xml:space="preserve"> </w:t>
      </w:r>
      <w:hyperlink w:anchor="latin-record-1062">
        <w:r>
          <w:rPr>
            <w:color w:val="000000"/>
          </w:rPr>
          <w:t xml:space="preserve">rarefacere; condensare</w:t>
        </w:r>
      </w:hyperlink>
      <w:r>
        <w:rPr>
          <w:b w:val="0"/>
          <w:i w:val="0"/>
        </w:rPr>
        <w:t>.</w:t>
      </w:r>
    </w:p>
    <w:p>
      <w:pPr>
        <w:widowControl/>
      </w:pPr>
      <w:r>
        <w:rPr>
          <w:b/>
          <w:i w:val="0"/>
        </w:rPr>
        <w:t>rarefactione.</w:t>
      </w:r>
      <w:r>
        <w:rPr>
          <w:b w:val="0"/>
          <w:i w:val="0"/>
        </w:rPr>
        <w:t xml:space="preserve"> </w:t>
      </w:r>
      <w:hyperlink w:anchor="latin-record-1063">
        <w:r>
          <w:rPr>
            <w:color w:val="000000"/>
          </w:rPr>
          <w:t xml:space="preserve">rarefactio</w:t>
        </w:r>
      </w:hyperlink>
      <w:r>
        <w:rPr>
          <w:b w:val="0"/>
          <w:i w:val="0"/>
        </w:rPr>
        <w:t>.</w:t>
      </w:r>
    </w:p>
    <w:p>
      <w:pPr>
        <w:widowControl/>
      </w:pPr>
      <w:r>
        <w:rPr>
          <w:b/>
          <w:i w:val="0"/>
        </w:rPr>
        <w:t>rarum vel densum.</w:t>
      </w:r>
      <w:r>
        <w:rPr>
          <w:b w:val="0"/>
          <w:i w:val="0"/>
        </w:rPr>
        <w:t xml:space="preserve"> </w:t>
      </w:r>
      <w:hyperlink w:anchor="latin-record-0710">
        <w:r>
          <w:rPr>
            <w:color w:val="000000"/>
          </w:rPr>
          <w:t xml:space="preserve">levis; gravis; rarus; densus</w:t>
        </w:r>
      </w:hyperlink>
      <w:r>
        <w:rPr>
          <w:b w:val="0"/>
          <w:i w:val="0"/>
        </w:rPr>
        <w:t>.</w:t>
      </w:r>
    </w:p>
    <w:p>
      <w:pPr>
        <w:widowControl/>
      </w:pPr>
      <w:r>
        <w:rPr>
          <w:b/>
          <w:i w:val="0"/>
        </w:rPr>
        <w:t>ratio.</w:t>
      </w:r>
      <w:r>
        <w:rPr>
          <w:b w:val="0"/>
          <w:i w:val="0"/>
        </w:rPr>
        <w:t xml:space="preserve"> </w:t>
      </w:r>
      <w:hyperlink w:anchor="latin-record-1064">
        <w:r>
          <w:rPr>
            <w:color w:val="000000"/>
          </w:rPr>
          <w:t xml:space="preserve">ratio</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067">
        <w:r>
          <w:rPr>
            <w:color w:val="000000"/>
          </w:rPr>
          <w:t xml:space="preserve">ratio (reasoning power)</w:t>
        </w:r>
      </w:hyperlink>
      <w:r>
        <w:rPr>
          <w:b w:val="0"/>
          <w:i w:val="0"/>
        </w:rPr>
        <w:t xml:space="preserve">; </w:t>
      </w:r>
      <w:hyperlink w:anchor="latin-record-1068">
        <w:r>
          <w:rPr>
            <w:color w:val="000000"/>
          </w:rPr>
          <w:t xml:space="preserve">ratio / definitio</w:t>
        </w:r>
      </w:hyperlink>
      <w:r>
        <w:rPr>
          <w:b w:val="0"/>
          <w:i w:val="0"/>
        </w:rPr>
        <w:t xml:space="preserve">; </w:t>
      </w:r>
      <w:hyperlink w:anchor="latin-record-1072">
        <w:r>
          <w:rPr>
            <w:color w:val="000000"/>
          </w:rPr>
          <w:t xml:space="preserve">ratio compositionis / proportio</w:t>
        </w:r>
      </w:hyperlink>
      <w:r>
        <w:rPr>
          <w:b w:val="0"/>
          <w:i w:val="0"/>
        </w:rPr>
        <w:t>.</w:t>
      </w:r>
    </w:p>
    <w:p>
      <w:pPr>
        <w:widowControl/>
      </w:pPr>
      <w:r>
        <w:rPr>
          <w:b/>
          <w:i w:val="0"/>
        </w:rPr>
        <w:t>Ratio.</w:t>
      </w:r>
      <w:r>
        <w:rPr>
          <w:b w:val="0"/>
          <w:i w:val="0"/>
        </w:rPr>
        <w:t xml:space="preserve"> </w:t>
      </w:r>
      <w:hyperlink w:anchor="latin-record-1065">
        <w:r>
          <w:rPr>
            <w:color w:val="000000"/>
          </w:rPr>
          <w:t xml:space="preserve">ratio (account or principle)</w:t>
        </w:r>
      </w:hyperlink>
      <w:r>
        <w:rPr>
          <w:b w:val="0"/>
          <w:i w:val="0"/>
        </w:rPr>
        <w:t xml:space="preserve">; </w:t>
      </w:r>
      <w:hyperlink w:anchor="latin-record-1067">
        <w:r>
          <w:rPr>
            <w:color w:val="000000"/>
          </w:rPr>
          <w:t xml:space="preserve">ratio (reasoning power)</w:t>
        </w:r>
      </w:hyperlink>
      <w:r>
        <w:rPr>
          <w:b w:val="0"/>
          <w:i w:val="0"/>
        </w:rPr>
        <w:t>.</w:t>
      </w:r>
    </w:p>
    <w:p>
      <w:pPr>
        <w:widowControl/>
      </w:pPr>
      <w:r>
        <w:rPr>
          <w:b/>
          <w:i w:val="0"/>
        </w:rPr>
        <w:t>ratio illa artificiosa.</w:t>
      </w:r>
      <w:r>
        <w:rPr>
          <w:b w:val="0"/>
          <w:i w:val="0"/>
        </w:rPr>
        <w:t xml:space="preserve"> </w:t>
      </w:r>
      <w:hyperlink w:anchor="latin-record-0129">
        <w:r>
          <w:rPr>
            <w:color w:val="000000"/>
          </w:rPr>
          <w:t xml:space="preserve">ars ratiocinandi</w:t>
        </w:r>
      </w:hyperlink>
      <w:r>
        <w:rPr>
          <w:b w:val="0"/>
          <w:i w:val="0"/>
        </w:rPr>
        <w:t>.</w:t>
      </w:r>
    </w:p>
    <w:p>
      <w:pPr>
        <w:widowControl/>
      </w:pPr>
      <w:r>
        <w:rPr>
          <w:b/>
          <w:i w:val="0"/>
        </w:rPr>
        <w:t>ratio secum ipsa vivens.</w:t>
      </w:r>
      <w:r>
        <w:rPr>
          <w:b w:val="0"/>
          <w:i w:val="0"/>
        </w:rPr>
        <w:t xml:space="preserve"> </w:t>
      </w:r>
      <w:hyperlink w:anchor="latin-record-1073">
        <w:r>
          <w:rPr>
            <w:color w:val="000000"/>
          </w:rPr>
          <w:t xml:space="preserve">ratio secum vivens</w:t>
        </w:r>
      </w:hyperlink>
      <w:r>
        <w:rPr>
          <w:b w:val="0"/>
          <w:i w:val="0"/>
        </w:rPr>
        <w:t>.</w:t>
      </w:r>
    </w:p>
    <w:p>
      <w:pPr>
        <w:widowControl/>
      </w:pPr>
      <w:r>
        <w:rPr>
          <w:b/>
          <w:i w:val="0"/>
        </w:rPr>
        <w:t>rationale.</w:t>
      </w:r>
      <w:r>
        <w:rPr>
          <w:b w:val="0"/>
          <w:i w:val="0"/>
        </w:rPr>
        <w:t xml:space="preserve"> </w:t>
      </w:r>
      <w:hyperlink w:anchor="latin-record-0099">
        <w:r>
          <w:rPr>
            <w:color w:val="000000"/>
          </w:rPr>
          <w:t xml:space="preserve">animal / rationale</w:t>
        </w:r>
      </w:hyperlink>
      <w:r>
        <w:rPr>
          <w:b w:val="0"/>
          <w:i w:val="0"/>
        </w:rPr>
        <w:t>.</w:t>
      </w:r>
    </w:p>
    <w:p>
      <w:pPr>
        <w:widowControl/>
      </w:pPr>
      <w:r>
        <w:rPr>
          <w:b/>
          <w:i w:val="0"/>
        </w:rPr>
        <w:t>rationalem.</w:t>
      </w:r>
      <w:r>
        <w:rPr>
          <w:b w:val="0"/>
          <w:i w:val="0"/>
        </w:rPr>
        <w:t xml:space="preserve"> </w:t>
      </w:r>
      <w:hyperlink w:anchor="latin-record-0095">
        <w:r>
          <w:rPr>
            <w:color w:val="000000"/>
          </w:rPr>
          <w:t xml:space="preserve">anima rationalis</w:t>
        </w:r>
      </w:hyperlink>
      <w:r>
        <w:rPr>
          <w:b w:val="0"/>
          <w:i w:val="0"/>
        </w:rPr>
        <w:t>.</w:t>
      </w:r>
    </w:p>
    <w:p>
      <w:pPr>
        <w:widowControl/>
      </w:pPr>
      <w:r>
        <w:rPr>
          <w:b/>
          <w:i w:val="0"/>
        </w:rPr>
        <w:t>rationalemque.</w:t>
      </w:r>
      <w:r>
        <w:rPr>
          <w:b w:val="0"/>
          <w:i w:val="0"/>
        </w:rPr>
        <w:t xml:space="preserve"> </w:t>
      </w:r>
      <w:hyperlink w:anchor="latin-record-1074">
        <w:r>
          <w:rPr>
            <w:color w:val="000000"/>
          </w:rPr>
          <w:t xml:space="preserve">rationalis</w:t>
        </w:r>
      </w:hyperlink>
      <w:r>
        <w:rPr>
          <w:b w:val="0"/>
          <w:i w:val="0"/>
        </w:rPr>
        <w:t>.</w:t>
      </w:r>
    </w:p>
    <w:p>
      <w:pPr>
        <w:widowControl/>
      </w:pPr>
      <w:r>
        <w:rPr>
          <w:b/>
          <w:i w:val="0"/>
        </w:rPr>
        <w:t>rationales.</w:t>
      </w:r>
      <w:r>
        <w:rPr>
          <w:b w:val="0"/>
          <w:i w:val="0"/>
        </w:rPr>
        <w:t xml:space="preserve"> </w:t>
      </w:r>
      <w:hyperlink w:anchor="latin-record-0095">
        <w:r>
          <w:rPr>
            <w:color w:val="000000"/>
          </w:rPr>
          <w:t xml:space="preserve">anima rationalis</w:t>
        </w:r>
      </w:hyperlink>
      <w:r>
        <w:rPr>
          <w:b w:val="0"/>
          <w:i w:val="0"/>
        </w:rPr>
        <w:t>.</w:t>
      </w:r>
    </w:p>
    <w:p>
      <w:pPr>
        <w:widowControl/>
      </w:pPr>
      <w:r>
        <w:rPr>
          <w:b/>
          <w:i w:val="0"/>
        </w:rPr>
        <w:t>rationali.</w:t>
      </w:r>
      <w:r>
        <w:rPr>
          <w:b w:val="0"/>
          <w:i w:val="0"/>
        </w:rPr>
        <w:t xml:space="preserve"> </w:t>
      </w:r>
      <w:hyperlink w:anchor="latin-record-0095">
        <w:r>
          <w:rPr>
            <w:color w:val="000000"/>
          </w:rPr>
          <w:t xml:space="preserve">anima rationalis</w:t>
        </w:r>
      </w:hyperlink>
      <w:r>
        <w:rPr>
          <w:b w:val="0"/>
          <w:i w:val="0"/>
        </w:rPr>
        <w:t xml:space="preserve">; </w:t>
      </w:r>
      <w:hyperlink w:anchor="latin-record-0099">
        <w:r>
          <w:rPr>
            <w:color w:val="000000"/>
          </w:rPr>
          <w:t xml:space="preserve">animal / rationale</w:t>
        </w:r>
      </w:hyperlink>
      <w:r>
        <w:rPr>
          <w:b w:val="0"/>
          <w:i w:val="0"/>
        </w:rPr>
        <w:t xml:space="preserve">; </w:t>
      </w:r>
      <w:hyperlink w:anchor="latin-record-1074">
        <w:r>
          <w:rPr>
            <w:color w:val="000000"/>
          </w:rPr>
          <w:t xml:space="preserve">rationalis</w:t>
        </w:r>
      </w:hyperlink>
      <w:r>
        <w:rPr>
          <w:b w:val="0"/>
          <w:i w:val="0"/>
        </w:rPr>
        <w:t>.</w:t>
      </w:r>
    </w:p>
    <w:p>
      <w:pPr>
        <w:widowControl/>
      </w:pPr>
      <w:r>
        <w:rPr>
          <w:b/>
          <w:i w:val="0"/>
        </w:rPr>
        <w:t>rationalique.</w:t>
      </w:r>
      <w:r>
        <w:rPr>
          <w:b w:val="0"/>
          <w:i w:val="0"/>
        </w:rPr>
        <w:t xml:space="preserve"> </w:t>
      </w:r>
      <w:hyperlink w:anchor="latin-record-1074">
        <w:r>
          <w:rPr>
            <w:color w:val="000000"/>
          </w:rPr>
          <w:t xml:space="preserve">rationalis</w:t>
        </w:r>
      </w:hyperlink>
      <w:r>
        <w:rPr>
          <w:b w:val="0"/>
          <w:i w:val="0"/>
        </w:rPr>
        <w:t>.</w:t>
      </w:r>
    </w:p>
    <w:p>
      <w:pPr>
        <w:widowControl/>
      </w:pPr>
      <w:r>
        <w:rPr>
          <w:b/>
          <w:i w:val="0"/>
        </w:rPr>
        <w:t>rationalis.</w:t>
      </w:r>
      <w:r>
        <w:rPr>
          <w:b w:val="0"/>
          <w:i w:val="0"/>
        </w:rPr>
        <w:t xml:space="preserve"> </w:t>
      </w:r>
      <w:hyperlink w:anchor="latin-record-1074">
        <w:r>
          <w:rPr>
            <w:color w:val="000000"/>
          </w:rPr>
          <w:t xml:space="preserve">rationalis</w:t>
        </w:r>
      </w:hyperlink>
      <w:r>
        <w:rPr>
          <w:b w:val="0"/>
          <w:i w:val="0"/>
        </w:rPr>
        <w:t>.</w:t>
      </w:r>
    </w:p>
    <w:p>
      <w:pPr>
        <w:widowControl/>
      </w:pPr>
      <w:r>
        <w:rPr>
          <w:b/>
          <w:i w:val="0"/>
        </w:rPr>
        <w:t>rationalis anima.</w:t>
      </w:r>
      <w:r>
        <w:rPr>
          <w:b w:val="0"/>
          <w:i w:val="0"/>
        </w:rPr>
        <w:t xml:space="preserve"> </w:t>
      </w:r>
      <w:hyperlink w:anchor="latin-record-0095">
        <w:r>
          <w:rPr>
            <w:color w:val="000000"/>
          </w:rPr>
          <w:t xml:space="preserve">anima rationalis</w:t>
        </w:r>
      </w:hyperlink>
      <w:r>
        <w:rPr>
          <w:b w:val="0"/>
          <w:i w:val="0"/>
        </w:rPr>
        <w:t>.</w:t>
      </w:r>
    </w:p>
    <w:p>
      <w:pPr>
        <w:widowControl/>
      </w:pPr>
      <w:r>
        <w:rPr>
          <w:b/>
          <w:i w:val="0"/>
        </w:rPr>
        <w:t>rationalitas.</w:t>
      </w:r>
      <w:r>
        <w:rPr>
          <w:b w:val="0"/>
          <w:i w:val="0"/>
        </w:rPr>
        <w:t xml:space="preserve"> </w:t>
      </w:r>
      <w:hyperlink w:anchor="latin-record-1075">
        <w:r>
          <w:rPr>
            <w:color w:val="000000"/>
          </w:rPr>
          <w:t xml:space="preserve">rationalitas / animalitas</w:t>
        </w:r>
      </w:hyperlink>
      <w:r>
        <w:rPr>
          <w:b w:val="0"/>
          <w:i w:val="0"/>
        </w:rPr>
        <w:t>.</w:t>
      </w:r>
    </w:p>
    <w:p>
      <w:pPr>
        <w:widowControl/>
      </w:pPr>
      <w:r>
        <w:rPr>
          <w:b/>
          <w:i w:val="0"/>
        </w:rPr>
        <w:t>Rationalitas.</w:t>
      </w:r>
      <w:r>
        <w:rPr>
          <w:b w:val="0"/>
          <w:i w:val="0"/>
        </w:rPr>
        <w:t xml:space="preserve"> </w:t>
      </w:r>
      <w:hyperlink w:anchor="latin-record-1075">
        <w:r>
          <w:rPr>
            <w:color w:val="000000"/>
          </w:rPr>
          <w:t xml:space="preserve">rationalitas / animalitas</w:t>
        </w:r>
      </w:hyperlink>
      <w:r>
        <w:rPr>
          <w:b w:val="0"/>
          <w:i w:val="0"/>
        </w:rPr>
        <w:t>.</w:t>
      </w:r>
    </w:p>
    <w:p>
      <w:pPr>
        <w:widowControl/>
      </w:pPr>
      <w:r>
        <w:rPr>
          <w:b/>
          <w:i w:val="0"/>
        </w:rPr>
        <w:t>rationaliter.</w:t>
      </w:r>
      <w:r>
        <w:rPr>
          <w:b w:val="0"/>
          <w:i w:val="0"/>
        </w:rPr>
        <w:t xml:space="preserve"> </w:t>
      </w:r>
      <w:hyperlink w:anchor="latin-record-0977">
        <w:r>
          <w:rPr>
            <w:color w:val="000000"/>
          </w:rPr>
          <w:t xml:space="preserve">praescribere / ordinare / vagari</w:t>
        </w:r>
      </w:hyperlink>
      <w:r>
        <w:rPr>
          <w:b w:val="0"/>
          <w:i w:val="0"/>
        </w:rPr>
        <w:t>.</w:t>
      </w:r>
    </w:p>
    <w:p>
      <w:pPr>
        <w:widowControl/>
      </w:pPr>
      <w:r>
        <w:rPr>
          <w:b/>
          <w:i w:val="0"/>
        </w:rPr>
        <w:t>rationalium.</w:t>
      </w:r>
      <w:r>
        <w:rPr>
          <w:b w:val="0"/>
          <w:i w:val="0"/>
        </w:rPr>
        <w:t xml:space="preserve"> </w:t>
      </w:r>
      <w:hyperlink w:anchor="latin-record-0095">
        <w:r>
          <w:rPr>
            <w:color w:val="000000"/>
          </w:rPr>
          <w:t xml:space="preserve">anima rationalis</w:t>
        </w:r>
      </w:hyperlink>
      <w:r>
        <w:rPr>
          <w:b w:val="0"/>
          <w:i w:val="0"/>
        </w:rPr>
        <w:t>.</w:t>
      </w:r>
    </w:p>
    <w:p>
      <w:pPr>
        <w:widowControl/>
      </w:pPr>
      <w:r>
        <w:rPr>
          <w:b/>
          <w:i w:val="0"/>
        </w:rPr>
        <w:t>ratione.</w:t>
      </w:r>
      <w:r>
        <w:rPr>
          <w:b w:val="0"/>
          <w:i w:val="0"/>
        </w:rPr>
        <w:t xml:space="preserve"> </w:t>
      </w:r>
      <w:hyperlink w:anchor="latin-record-1064">
        <w:r>
          <w:rPr>
            <w:color w:val="000000"/>
          </w:rPr>
          <w:t xml:space="preserve">ratio</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68">
        <w:r>
          <w:rPr>
            <w:color w:val="000000"/>
          </w:rPr>
          <w:t xml:space="preserve">ratio / definitio</w:t>
        </w:r>
      </w:hyperlink>
      <w:r>
        <w:rPr>
          <w:b w:val="0"/>
          <w:i w:val="0"/>
        </w:rPr>
        <w:t>.</w:t>
      </w:r>
    </w:p>
    <w:p>
      <w:pPr>
        <w:widowControl/>
      </w:pPr>
      <w:r>
        <w:rPr>
          <w:b/>
          <w:i w:val="0"/>
        </w:rPr>
        <w:t>rationem.</w:t>
      </w:r>
      <w:r>
        <w:rPr>
          <w:b w:val="0"/>
          <w:i w:val="0"/>
        </w:rPr>
        <w:t xml:space="preserve"> </w:t>
      </w:r>
      <w:hyperlink w:anchor="latin-record-1064">
        <w:r>
          <w:rPr>
            <w:color w:val="000000"/>
          </w:rPr>
          <w:t xml:space="preserve">ratio</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068">
        <w:r>
          <w:rPr>
            <w:color w:val="000000"/>
          </w:rPr>
          <w:t xml:space="preserve">ratio / definitio</w:t>
        </w:r>
      </w:hyperlink>
      <w:r>
        <w:rPr>
          <w:b w:val="0"/>
          <w:i w:val="0"/>
        </w:rPr>
        <w:t xml:space="preserve">; </w:t>
      </w:r>
      <w:hyperlink w:anchor="latin-record-1069">
        <w:r>
          <w:rPr>
            <w:color w:val="000000"/>
          </w:rPr>
          <w:t xml:space="preserve">ratio / transcendere</w:t>
        </w:r>
      </w:hyperlink>
      <w:r>
        <w:rPr>
          <w:b w:val="0"/>
          <w:i w:val="0"/>
        </w:rPr>
        <w:t xml:space="preserve">; </w:t>
      </w:r>
      <w:hyperlink w:anchor="latin-record-1072">
        <w:r>
          <w:rPr>
            <w:color w:val="000000"/>
          </w:rPr>
          <w:t xml:space="preserve">ratio compositionis / proportio</w:t>
        </w:r>
      </w:hyperlink>
      <w:r>
        <w:rPr>
          <w:b w:val="0"/>
          <w:i w:val="0"/>
        </w:rPr>
        <w:t>.</w:t>
      </w:r>
    </w:p>
    <w:p>
      <w:pPr>
        <w:widowControl/>
      </w:pPr>
      <w:r>
        <w:rPr>
          <w:b/>
          <w:i w:val="0"/>
        </w:rPr>
        <w:t>rationem animae.</w:t>
      </w:r>
      <w:r>
        <w:rPr>
          <w:b w:val="0"/>
          <w:i w:val="0"/>
        </w:rPr>
        <w:t xml:space="preserve"> </w:t>
      </w:r>
      <w:hyperlink w:anchor="latin-record-1070">
        <w:r>
          <w:rPr>
            <w:color w:val="000000"/>
          </w:rPr>
          <w:t xml:space="preserve">ratio animae</w:t>
        </w:r>
      </w:hyperlink>
      <w:r>
        <w:rPr>
          <w:b w:val="0"/>
          <w:i w:val="0"/>
        </w:rPr>
        <w:t>.</w:t>
      </w:r>
    </w:p>
    <w:p>
      <w:pPr>
        <w:widowControl/>
      </w:pPr>
      <w:r>
        <w:rPr>
          <w:b/>
          <w:i w:val="0"/>
        </w:rPr>
        <w:t>rationes.</w:t>
      </w:r>
      <w:r>
        <w:rPr>
          <w:b w:val="0"/>
          <w:i w:val="0"/>
        </w:rPr>
        <w:t xml:space="preserve"> </w:t>
      </w:r>
      <w:hyperlink w:anchor="latin-record-1064">
        <w:r>
          <w:rPr>
            <w:color w:val="000000"/>
          </w:rPr>
          <w:t xml:space="preserve">ratio</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068">
        <w:r>
          <w:rPr>
            <w:color w:val="000000"/>
          </w:rPr>
          <w:t xml:space="preserve">ratio / definitio</w:t>
        </w:r>
      </w:hyperlink>
      <w:r>
        <w:rPr>
          <w:b w:val="0"/>
          <w:i w:val="0"/>
        </w:rPr>
        <w:t>.</w:t>
      </w:r>
    </w:p>
    <w:p>
      <w:pPr>
        <w:widowControl/>
      </w:pPr>
      <w:r>
        <w:rPr>
          <w:b/>
          <w:i w:val="0"/>
        </w:rPr>
        <w:t>Rationes.</w:t>
      </w:r>
      <w:r>
        <w:rPr>
          <w:b w:val="0"/>
          <w:i w:val="0"/>
        </w:rPr>
        <w:t xml:space="preserve"> </w:t>
      </w:r>
      <w:hyperlink w:anchor="latin-record-1065">
        <w:r>
          <w:rPr>
            <w:color w:val="000000"/>
          </w:rPr>
          <w:t xml:space="preserve">ratio (account or principle)</w:t>
        </w:r>
      </w:hyperlink>
      <w:r>
        <w:rPr>
          <w:b w:val="0"/>
          <w:i w:val="0"/>
        </w:rPr>
        <w:t>.</w:t>
      </w:r>
    </w:p>
    <w:p>
      <w:pPr>
        <w:widowControl/>
      </w:pPr>
      <w:r>
        <w:rPr>
          <w:b/>
          <w:i w:val="0"/>
        </w:rPr>
        <w:t>rationes et semina.</w:t>
      </w:r>
      <w:r>
        <w:rPr>
          <w:b w:val="0"/>
          <w:i w:val="0"/>
        </w:rPr>
        <w:t xml:space="preserve"> </w:t>
      </w:r>
      <w:hyperlink w:anchor="latin-record-1076">
        <w:r>
          <w:rPr>
            <w:color w:val="000000"/>
          </w:rPr>
          <w:t xml:space="preserve">rationes et semina</w:t>
        </w:r>
      </w:hyperlink>
      <w:r>
        <w:rPr>
          <w:b w:val="0"/>
          <w:i w:val="0"/>
        </w:rPr>
        <w:t>.</w:t>
      </w:r>
    </w:p>
    <w:p>
      <w:pPr>
        <w:widowControl/>
      </w:pPr>
      <w:r>
        <w:rPr>
          <w:b/>
          <w:i w:val="0"/>
        </w:rPr>
        <w:t>rationibus.</w:t>
      </w:r>
      <w:r>
        <w:rPr>
          <w:b w:val="0"/>
          <w:i w:val="0"/>
        </w:rPr>
        <w:t xml:space="preserve"> </w:t>
      </w:r>
      <w:hyperlink w:anchor="latin-record-1064">
        <w:r>
          <w:rPr>
            <w:color w:val="000000"/>
          </w:rPr>
          <w:t xml:space="preserve">ratio</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68">
        <w:r>
          <w:rPr>
            <w:color w:val="000000"/>
          </w:rPr>
          <w:t xml:space="preserve">ratio / definitio</w:t>
        </w:r>
      </w:hyperlink>
      <w:r>
        <w:rPr>
          <w:b w:val="0"/>
          <w:i w:val="0"/>
        </w:rPr>
        <w:t xml:space="preserve">; </w:t>
      </w:r>
      <w:hyperlink w:anchor="latin-record-1071">
        <w:r>
          <w:rPr>
            <w:color w:val="000000"/>
          </w:rPr>
          <w:t xml:space="preserve">ratio as argument</w:t>
        </w:r>
      </w:hyperlink>
      <w:r>
        <w:rPr>
          <w:b w:val="0"/>
          <w:i w:val="0"/>
        </w:rPr>
        <w:t>.</w:t>
      </w:r>
    </w:p>
    <w:p>
      <w:pPr>
        <w:widowControl/>
      </w:pPr>
      <w:r>
        <w:rPr>
          <w:b/>
          <w:i w:val="0"/>
        </w:rPr>
        <w:t>rationis.</w:t>
      </w:r>
      <w:r>
        <w:rPr>
          <w:b w:val="0"/>
          <w:i w:val="0"/>
        </w:rPr>
        <w:t xml:space="preserve"> </w:t>
      </w:r>
      <w:hyperlink w:anchor="latin-record-1064">
        <w:r>
          <w:rPr>
            <w:color w:val="000000"/>
          </w:rPr>
          <w:t xml:space="preserve">ratio</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68">
        <w:r>
          <w:rPr>
            <w:color w:val="000000"/>
          </w:rPr>
          <w:t xml:space="preserve">ratio / definitio</w:t>
        </w:r>
      </w:hyperlink>
      <w:r>
        <w:rPr>
          <w:b w:val="0"/>
          <w:i w:val="0"/>
        </w:rPr>
        <w:t>.</w:t>
      </w:r>
    </w:p>
    <w:p>
      <w:pPr>
        <w:widowControl/>
      </w:pPr>
      <w:r>
        <w:rPr>
          <w:b/>
          <w:i w:val="0"/>
        </w:rPr>
        <w:t>rationis oculo.</w:t>
      </w:r>
      <w:r>
        <w:rPr>
          <w:b w:val="0"/>
          <w:i w:val="0"/>
        </w:rPr>
        <w:t xml:space="preserve"> </w:t>
      </w:r>
      <w:hyperlink w:anchor="latin-record-1077">
        <w:r>
          <w:rPr>
            <w:color w:val="000000"/>
          </w:rPr>
          <w:t xml:space="preserve">rationis oculus</w:t>
        </w:r>
      </w:hyperlink>
      <w:r>
        <w:rPr>
          <w:b w:val="0"/>
          <w:i w:val="0"/>
        </w:rPr>
        <w:t>.</w:t>
      </w:r>
    </w:p>
    <w:p>
      <w:pPr>
        <w:widowControl/>
      </w:pPr>
      <w:r>
        <w:rPr>
          <w:b/>
          <w:i w:val="0"/>
        </w:rPr>
        <w:t>rationum.</w:t>
      </w:r>
      <w:r>
        <w:rPr>
          <w:b w:val="0"/>
          <w:i w:val="0"/>
        </w:rPr>
        <w:t xml:space="preserve"> </w:t>
      </w:r>
      <w:hyperlink w:anchor="latin-record-1068">
        <w:r>
          <w:rPr>
            <w:color w:val="000000"/>
          </w:rPr>
          <w:t xml:space="preserve">ratio / definitio</w:t>
        </w:r>
      </w:hyperlink>
      <w:r>
        <w:rPr>
          <w:b w:val="0"/>
          <w:i w:val="0"/>
        </w:rPr>
        <w:t>.</w:t>
      </w:r>
    </w:p>
    <w:p>
      <w:pPr>
        <w:widowControl/>
      </w:pPr>
      <w:r>
        <w:rPr>
          <w:b/>
          <w:i w:val="0"/>
        </w:rPr>
        <w:t>rationum coetus.</w:t>
      </w:r>
      <w:r>
        <w:rPr>
          <w:b w:val="0"/>
          <w:i w:val="0"/>
        </w:rPr>
        <w:t xml:space="preserve"> </w:t>
      </w:r>
      <w:hyperlink w:anchor="latin-record-0129">
        <w:r>
          <w:rPr>
            <w:color w:val="000000"/>
          </w:rPr>
          <w:t xml:space="preserve">ars ratiocinandi</w:t>
        </w:r>
      </w:hyperlink>
      <w:r>
        <w:rPr>
          <w:b w:val="0"/>
          <w:i w:val="0"/>
        </w:rPr>
        <w:t>.</w:t>
      </w:r>
    </w:p>
    <w:p>
      <w:pPr>
        <w:widowControl/>
      </w:pPr>
      <w:r>
        <w:rPr>
          <w:b/>
          <w:i w:val="0"/>
        </w:rPr>
        <w:t>re.</w:t>
      </w:r>
      <w:r>
        <w:rPr>
          <w:b w:val="0"/>
          <w:i w:val="0"/>
        </w:rPr>
        <w:t xml:space="preserve"> </w:t>
      </w:r>
      <w:hyperlink w:anchor="latin-record-1112">
        <w:r>
          <w:rPr>
            <w:color w:val="000000"/>
          </w:rPr>
          <w:t xml:space="preserve">res</w:t>
        </w:r>
      </w:hyperlink>
      <w:r>
        <w:rPr>
          <w:b w:val="0"/>
          <w:i w:val="0"/>
        </w:rPr>
        <w:t>.</w:t>
      </w:r>
    </w:p>
    <w:p>
      <w:pPr>
        <w:widowControl/>
      </w:pPr>
      <w:r>
        <w:rPr>
          <w:b/>
          <w:i w:val="0"/>
        </w:rPr>
        <w:t>re ipsa.</w:t>
      </w:r>
      <w:r>
        <w:rPr>
          <w:b w:val="0"/>
          <w:i w:val="0"/>
        </w:rPr>
        <w:t xml:space="preserve"> </w:t>
      </w:r>
      <w:hyperlink w:anchor="latin-record-0228">
        <w:r>
          <w:rPr>
            <w:color w:val="000000"/>
          </w:rPr>
          <w:t xml:space="preserve">cogitatione separari</w:t>
        </w:r>
      </w:hyperlink>
      <w:r>
        <w:rPr>
          <w:b w:val="0"/>
          <w:i w:val="0"/>
        </w:rPr>
        <w:t>.</w:t>
      </w:r>
    </w:p>
    <w:p>
      <w:pPr>
        <w:widowControl/>
      </w:pPr>
      <w:r>
        <w:rPr>
          <w:b/>
          <w:i w:val="0"/>
        </w:rPr>
        <w:t>rebus.</w:t>
      </w:r>
      <w:r>
        <w:rPr>
          <w:b w:val="0"/>
          <w:i w:val="0"/>
        </w:rPr>
        <w:t xml:space="preserve"> </w:t>
      </w:r>
      <w:hyperlink w:anchor="latin-record-1112">
        <w:r>
          <w:rPr>
            <w:color w:val="000000"/>
          </w:rPr>
          <w:t xml:space="preserve">res</w:t>
        </w:r>
      </w:hyperlink>
      <w:r>
        <w:rPr>
          <w:b w:val="0"/>
          <w:i w:val="0"/>
        </w:rPr>
        <w:t>.</w:t>
      </w:r>
    </w:p>
    <w:p>
      <w:pPr>
        <w:widowControl/>
      </w:pPr>
      <w:r>
        <w:rPr>
          <w:b/>
          <w:i w:val="0"/>
        </w:rPr>
        <w:t>receptaculum.</w:t>
      </w:r>
      <w:r>
        <w:rPr>
          <w:b w:val="0"/>
          <w:i w:val="0"/>
        </w:rPr>
        <w:t xml:space="preserve"> </w:t>
      </w:r>
      <w:hyperlink w:anchor="latin-record-1240">
        <w:r>
          <w:rPr>
            <w:color w:val="000000"/>
          </w:rPr>
          <w:t xml:space="preserve">subiectum / receptaculum</w:t>
        </w:r>
      </w:hyperlink>
      <w:r>
        <w:rPr>
          <w:b w:val="0"/>
          <w:i w:val="0"/>
        </w:rPr>
        <w:t>.</w:t>
      </w:r>
    </w:p>
    <w:p>
      <w:pPr>
        <w:widowControl/>
      </w:pPr>
      <w:r>
        <w:rPr>
          <w:b/>
          <w:i w:val="0"/>
        </w:rPr>
        <w:t>receptaculum naturale.</w:t>
      </w:r>
      <w:r>
        <w:rPr>
          <w:b w:val="0"/>
          <w:i w:val="0"/>
        </w:rPr>
        <w:t xml:space="preserve"> </w:t>
      </w:r>
      <w:hyperlink w:anchor="latin-record-0499">
        <w:r>
          <w:rPr>
            <w:color w:val="000000"/>
          </w:rPr>
          <w:t xml:space="preserve">fons / receptaculum naturale</w:t>
        </w:r>
      </w:hyperlink>
      <w:r>
        <w:rPr>
          <w:b w:val="0"/>
          <w:i w:val="0"/>
        </w:rPr>
        <w:t>.</w:t>
      </w:r>
    </w:p>
    <w:p>
      <w:pPr>
        <w:widowControl/>
      </w:pPr>
      <w:r>
        <w:rPr>
          <w:b/>
          <w:i w:val="0"/>
        </w:rPr>
        <w:t>recipit.</w:t>
      </w:r>
      <w:r>
        <w:rPr>
          <w:b w:val="0"/>
          <w:i w:val="0"/>
        </w:rPr>
        <w:t xml:space="preserve"> </w:t>
      </w:r>
      <w:hyperlink w:anchor="latin-record-1078">
        <w:r>
          <w:rPr>
            <w:color w:val="000000"/>
          </w:rPr>
          <w:t xml:space="preserve">recipere; accipere</w:t>
        </w:r>
      </w:hyperlink>
      <w:r>
        <w:rPr>
          <w:b w:val="0"/>
          <w:i w:val="0"/>
        </w:rPr>
        <w:t>.</w:t>
      </w:r>
    </w:p>
    <w:p>
      <w:pPr>
        <w:widowControl/>
      </w:pPr>
      <w:r>
        <w:rPr>
          <w:b/>
          <w:i w:val="0"/>
        </w:rPr>
        <w:t>recolligit.</w:t>
      </w:r>
      <w:r>
        <w:rPr>
          <w:b w:val="0"/>
          <w:i w:val="0"/>
        </w:rPr>
        <w:t xml:space="preserve"> </w:t>
      </w:r>
      <w:hyperlink w:anchor="latin-record-1079">
        <w:r>
          <w:rPr>
            <w:color w:val="000000"/>
          </w:rPr>
          <w:t xml:space="preserve">recolligere</w:t>
        </w:r>
      </w:hyperlink>
      <w:r>
        <w:rPr>
          <w:b w:val="0"/>
          <w:i w:val="0"/>
        </w:rPr>
        <w:t xml:space="preserve">; </w:t>
      </w:r>
      <w:hyperlink w:anchor="latin-record-1124">
        <w:r>
          <w:rPr>
            <w:color w:val="000000"/>
          </w:rPr>
          <w:t xml:space="preserve">revolvere; recolligere</w:t>
        </w:r>
      </w:hyperlink>
      <w:r>
        <w:rPr>
          <w:b w:val="0"/>
          <w:i w:val="0"/>
        </w:rPr>
        <w:t>.</w:t>
      </w:r>
    </w:p>
    <w:p>
      <w:pPr>
        <w:widowControl/>
      </w:pPr>
      <w:r>
        <w:rPr>
          <w:b/>
          <w:i w:val="0"/>
        </w:rPr>
        <w:t>recreantur.</w:t>
      </w:r>
      <w:r>
        <w:rPr>
          <w:b w:val="0"/>
          <w:i w:val="0"/>
        </w:rPr>
        <w:t xml:space="preserve"> </w:t>
      </w:r>
      <w:hyperlink w:anchor="latin-record-0520">
        <w:r>
          <w:rPr>
            <w:color w:val="000000"/>
          </w:rPr>
          <w:t xml:space="preserve">frangere / recreare</w:t>
        </w:r>
      </w:hyperlink>
      <w:r>
        <w:rPr>
          <w:b w:val="0"/>
          <w:i w:val="0"/>
        </w:rPr>
        <w:t>.</w:t>
      </w:r>
    </w:p>
    <w:p>
      <w:pPr>
        <w:widowControl/>
      </w:pPr>
      <w:r>
        <w:rPr>
          <w:b/>
          <w:i w:val="0"/>
        </w:rPr>
        <w:t>rectam lineam.</w:t>
      </w:r>
      <w:r>
        <w:rPr>
          <w:b w:val="0"/>
          <w:i w:val="0"/>
        </w:rPr>
        <w:t xml:space="preserve"> </w:t>
      </w:r>
      <w:hyperlink w:anchor="latin-record-1082">
        <w:r>
          <w:rPr>
            <w:color w:val="000000"/>
          </w:rPr>
          <w:t xml:space="preserve">rectus / reflexus</w:t>
        </w:r>
      </w:hyperlink>
      <w:r>
        <w:rPr>
          <w:b w:val="0"/>
          <w:i w:val="0"/>
        </w:rPr>
        <w:t>.</w:t>
      </w:r>
    </w:p>
    <w:p>
      <w:pPr>
        <w:widowControl/>
      </w:pPr>
      <w:r>
        <w:rPr>
          <w:b/>
          <w:i w:val="0"/>
        </w:rPr>
        <w:t>rectorem.</w:t>
      </w:r>
      <w:r>
        <w:rPr>
          <w:b w:val="0"/>
          <w:i w:val="0"/>
        </w:rPr>
        <w:t xml:space="preserve"> </w:t>
      </w:r>
      <w:hyperlink w:anchor="latin-record-0806">
        <w:r>
          <w:rPr>
            <w:color w:val="000000"/>
          </w:rPr>
          <w:t xml:space="preserve">motor / rector / una forma</w:t>
        </w:r>
      </w:hyperlink>
      <w:r>
        <w:rPr>
          <w:b w:val="0"/>
          <w:i w:val="0"/>
        </w:rPr>
        <w:t xml:space="preserve">; </w:t>
      </w:r>
      <w:hyperlink w:anchor="latin-record-1291">
        <w:r>
          <w:rPr>
            <w:color w:val="000000"/>
          </w:rPr>
          <w:t xml:space="preserve">terminus; rector</w:t>
        </w:r>
      </w:hyperlink>
      <w:r>
        <w:rPr>
          <w:b w:val="0"/>
          <w:i w:val="0"/>
        </w:rPr>
        <w:t>.</w:t>
      </w:r>
    </w:p>
    <w:p>
      <w:pPr>
        <w:widowControl/>
      </w:pPr>
      <w:r>
        <w:rPr>
          <w:b/>
          <w:i w:val="0"/>
        </w:rPr>
        <w:t>rectrix.</w:t>
      </w:r>
      <w:r>
        <w:rPr>
          <w:b w:val="0"/>
          <w:i w:val="0"/>
        </w:rPr>
        <w:t xml:space="preserve"> </w:t>
      </w:r>
      <w:hyperlink w:anchor="latin-record-1080">
        <w:r>
          <w:rPr>
            <w:color w:val="000000"/>
          </w:rPr>
          <w:t xml:space="preserve">rectrix; motrix; pedisequa</w:t>
        </w:r>
      </w:hyperlink>
      <w:r>
        <w:rPr>
          <w:b w:val="0"/>
          <w:i w:val="0"/>
        </w:rPr>
        <w:t>.</w:t>
      </w:r>
    </w:p>
    <w:p>
      <w:pPr>
        <w:widowControl/>
      </w:pPr>
      <w:r>
        <w:rPr>
          <w:b/>
          <w:i w:val="0"/>
        </w:rPr>
        <w:t>redarguemus.</w:t>
      </w:r>
      <w:r>
        <w:rPr>
          <w:b w:val="0"/>
          <w:i w:val="0"/>
        </w:rPr>
        <w:t xml:space="preserve"> </w:t>
      </w:r>
      <w:hyperlink w:anchor="latin-record-1085">
        <w:r>
          <w:rPr>
            <w:color w:val="000000"/>
          </w:rPr>
          <w:t xml:space="preserve">refellere / confutare / redarguere</w:t>
        </w:r>
      </w:hyperlink>
      <w:r>
        <w:rPr>
          <w:b w:val="0"/>
          <w:i w:val="0"/>
        </w:rPr>
        <w:t>.</w:t>
      </w:r>
    </w:p>
    <w:p>
      <w:pPr>
        <w:widowControl/>
      </w:pPr>
      <w:r>
        <w:rPr>
          <w:b/>
          <w:i w:val="0"/>
        </w:rPr>
        <w:t>redarguitur.</w:t>
      </w:r>
      <w:r>
        <w:rPr>
          <w:b w:val="0"/>
          <w:i w:val="0"/>
        </w:rPr>
        <w:t xml:space="preserve"> </w:t>
      </w:r>
      <w:hyperlink w:anchor="latin-record-1085">
        <w:r>
          <w:rPr>
            <w:color w:val="000000"/>
          </w:rPr>
          <w:t xml:space="preserve">refellere / confutare / redarguere</w:t>
        </w:r>
      </w:hyperlink>
      <w:r>
        <w:rPr>
          <w:b w:val="0"/>
          <w:i w:val="0"/>
        </w:rPr>
        <w:t>.</w:t>
      </w:r>
    </w:p>
    <w:p>
      <w:pPr>
        <w:widowControl/>
      </w:pPr>
      <w:r>
        <w:rPr>
          <w:b/>
          <w:i w:val="0"/>
        </w:rPr>
        <w:t>redarguuntur.</w:t>
      </w:r>
      <w:r>
        <w:rPr>
          <w:b w:val="0"/>
          <w:i w:val="0"/>
        </w:rPr>
        <w:t xml:space="preserve"> </w:t>
      </w:r>
      <w:hyperlink w:anchor="latin-record-0311">
        <w:r>
          <w:rPr>
            <w:color w:val="000000"/>
          </w:rPr>
          <w:t xml:space="preserve">conspirare; damnare; redarguere</w:t>
        </w:r>
      </w:hyperlink>
      <w:r>
        <w:rPr>
          <w:b w:val="0"/>
          <w:i w:val="0"/>
        </w:rPr>
        <w:t>.</w:t>
      </w:r>
    </w:p>
    <w:p>
      <w:pPr>
        <w:widowControl/>
      </w:pPr>
      <w:r>
        <w:rPr>
          <w:b/>
          <w:i w:val="0"/>
        </w:rPr>
        <w:t>redderetur.</w:t>
      </w:r>
      <w:r>
        <w:rPr>
          <w:b w:val="0"/>
          <w:i w:val="0"/>
        </w:rPr>
        <w:t xml:space="preserve"> </w:t>
      </w:r>
      <w:hyperlink w:anchor="latin-record-1083">
        <w:r>
          <w:rPr>
            <w:color w:val="000000"/>
          </w:rPr>
          <w:t xml:space="preserve">reddere</w:t>
        </w:r>
      </w:hyperlink>
      <w:r>
        <w:rPr>
          <w:b w:val="0"/>
          <w:i w:val="0"/>
        </w:rPr>
        <w:t>.</w:t>
      </w:r>
    </w:p>
    <w:p>
      <w:pPr>
        <w:widowControl/>
      </w:pPr>
      <w:r>
        <w:rPr>
          <w:b/>
          <w:i w:val="0"/>
        </w:rPr>
        <w:t>reddit.</w:t>
      </w:r>
      <w:r>
        <w:rPr>
          <w:b w:val="0"/>
          <w:i w:val="0"/>
        </w:rPr>
        <w:t xml:space="preserve"> </w:t>
      </w:r>
      <w:hyperlink w:anchor="latin-record-1083">
        <w:r>
          <w:rPr>
            <w:color w:val="000000"/>
          </w:rPr>
          <w:t xml:space="preserve">reddere</w:t>
        </w:r>
      </w:hyperlink>
      <w:r>
        <w:rPr>
          <w:b w:val="0"/>
          <w:i w:val="0"/>
        </w:rPr>
        <w:t>.</w:t>
      </w:r>
    </w:p>
    <w:p>
      <w:pPr>
        <w:widowControl/>
      </w:pPr>
      <w:r>
        <w:rPr>
          <w:b/>
          <w:i w:val="0"/>
        </w:rPr>
        <w:t>redintegratur.</w:t>
      </w:r>
      <w:r>
        <w:rPr>
          <w:b w:val="0"/>
          <w:i w:val="0"/>
        </w:rPr>
        <w:t xml:space="preserve"> </w:t>
      </w:r>
      <w:hyperlink w:anchor="latin-record-1084">
        <w:r>
          <w:rPr>
            <w:color w:val="000000"/>
          </w:rPr>
          <w:t xml:space="preserve">redintegrare / confirmare / roborare</w:t>
        </w:r>
      </w:hyperlink>
      <w:r>
        <w:rPr>
          <w:b w:val="0"/>
          <w:i w:val="0"/>
        </w:rPr>
        <w:t>.</w:t>
      </w:r>
    </w:p>
    <w:p>
      <w:pPr>
        <w:widowControl/>
      </w:pPr>
      <w:r>
        <w:rPr>
          <w:b/>
          <w:i w:val="0"/>
        </w:rPr>
        <w:t>redundat.</w:t>
      </w:r>
      <w:r>
        <w:rPr>
          <w:b w:val="0"/>
          <w:i w:val="0"/>
        </w:rPr>
        <w:t xml:space="preserve"> </w:t>
      </w:r>
      <w:hyperlink w:anchor="latin-record-1097">
        <w:r>
          <w:rPr>
            <w:color w:val="000000"/>
          </w:rPr>
          <w:t xml:space="preserve">relabi / redundare</w:t>
        </w:r>
      </w:hyperlink>
      <w:r>
        <w:rPr>
          <w:b w:val="0"/>
          <w:i w:val="0"/>
        </w:rPr>
        <w:t>.</w:t>
      </w:r>
    </w:p>
    <w:p>
      <w:pPr>
        <w:widowControl/>
      </w:pPr>
      <w:r>
        <w:rPr>
          <w:b/>
          <w:i w:val="0"/>
        </w:rPr>
        <w:t>refellimus.</w:t>
      </w:r>
      <w:r>
        <w:rPr>
          <w:b w:val="0"/>
          <w:i w:val="0"/>
        </w:rPr>
        <w:t xml:space="preserve"> </w:t>
      </w:r>
      <w:hyperlink w:anchor="latin-record-1085">
        <w:r>
          <w:rPr>
            <w:color w:val="000000"/>
          </w:rPr>
          <w:t xml:space="preserve">refellere / confutare / redarguere</w:t>
        </w:r>
      </w:hyperlink>
      <w:r>
        <w:rPr>
          <w:b w:val="0"/>
          <w:i w:val="0"/>
        </w:rPr>
        <w:t>.</w:t>
      </w:r>
    </w:p>
    <w:p>
      <w:pPr>
        <w:widowControl/>
      </w:pPr>
      <w:r>
        <w:rPr>
          <w:b/>
          <w:i w:val="0"/>
        </w:rPr>
        <w:t>referam.</w:t>
      </w:r>
      <w:r>
        <w:rPr>
          <w:b w:val="0"/>
          <w:i w:val="0"/>
        </w:rPr>
        <w:t xml:space="preserve"> </w:t>
      </w:r>
      <w:hyperlink w:anchor="latin-record-1087">
        <w:r>
          <w:rPr>
            <w:color w:val="000000"/>
          </w:rPr>
          <w:t xml:space="preserve">referre; quiescere</w:t>
        </w:r>
      </w:hyperlink>
      <w:r>
        <w:rPr>
          <w:b w:val="0"/>
          <w:i w:val="0"/>
        </w:rPr>
        <w:t>.</w:t>
      </w:r>
    </w:p>
    <w:p>
      <w:pPr>
        <w:widowControl/>
      </w:pPr>
      <w:r>
        <w:rPr>
          <w:b/>
          <w:i w:val="0"/>
        </w:rPr>
        <w:t>referendo.</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refert.</w:t>
      </w:r>
      <w:r>
        <w:rPr>
          <w:b w:val="0"/>
          <w:i w:val="0"/>
        </w:rPr>
        <w:t xml:space="preserve"> </w:t>
      </w:r>
      <w:hyperlink w:anchor="latin-record-0254">
        <w:r>
          <w:rPr>
            <w:color w:val="000000"/>
          </w:rPr>
          <w:t xml:space="preserve">comparare / referre</w:t>
        </w:r>
      </w:hyperlink>
      <w:r>
        <w:rPr>
          <w:b w:val="0"/>
          <w:i w:val="0"/>
        </w:rPr>
        <w:t>.</w:t>
      </w:r>
    </w:p>
    <w:p>
      <w:pPr>
        <w:widowControl/>
      </w:pPr>
      <w:r>
        <w:rPr>
          <w:b/>
          <w:i w:val="0"/>
        </w:rPr>
        <w:t>Refertur.</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refertur.</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referunt.</w:t>
      </w:r>
      <w:r>
        <w:rPr>
          <w:b w:val="0"/>
          <w:i w:val="0"/>
        </w:rPr>
        <w:t xml:space="preserve"> </w:t>
      </w:r>
      <w:hyperlink w:anchor="latin-record-1086">
        <w:r>
          <w:rPr>
            <w:color w:val="000000"/>
          </w:rPr>
          <w:t xml:space="preserve">referre / enuntiare</w:t>
        </w:r>
      </w:hyperlink>
      <w:r>
        <w:rPr>
          <w:b w:val="0"/>
          <w:i w:val="0"/>
        </w:rPr>
        <w:t>.</w:t>
      </w:r>
    </w:p>
    <w:p>
      <w:pPr>
        <w:widowControl/>
      </w:pPr>
      <w:r>
        <w:rPr>
          <w:b/>
          <w:i w:val="0"/>
        </w:rPr>
        <w:t>referuntur.</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Referuntur.</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refici.</w:t>
      </w:r>
      <w:r>
        <w:rPr>
          <w:b w:val="0"/>
          <w:i w:val="0"/>
        </w:rPr>
        <w:t xml:space="preserve"> </w:t>
      </w:r>
      <w:hyperlink w:anchor="latin-record-1088">
        <w:r>
          <w:rPr>
            <w:color w:val="000000"/>
          </w:rPr>
          <w:t xml:space="preserve">reficere</w:t>
        </w:r>
      </w:hyperlink>
      <w:r>
        <w:rPr>
          <w:b w:val="0"/>
          <w:i w:val="0"/>
        </w:rPr>
        <w:t>.</w:t>
      </w:r>
    </w:p>
    <w:p>
      <w:pPr>
        <w:widowControl/>
      </w:pPr>
      <w:r>
        <w:rPr>
          <w:b/>
          <w:i w:val="0"/>
        </w:rPr>
        <w:t>reficit.</w:t>
      </w:r>
      <w:r>
        <w:rPr>
          <w:b w:val="0"/>
          <w:i w:val="0"/>
        </w:rPr>
        <w:t xml:space="preserve"> </w:t>
      </w:r>
      <w:hyperlink w:anchor="latin-record-0471">
        <w:r>
          <w:rPr>
            <w:color w:val="000000"/>
          </w:rPr>
          <w:t xml:space="preserve">fabricare / servare / reficere</w:t>
        </w:r>
      </w:hyperlink>
      <w:r>
        <w:rPr>
          <w:b w:val="0"/>
          <w:i w:val="0"/>
        </w:rPr>
        <w:t xml:space="preserve">; </w:t>
      </w:r>
      <w:hyperlink w:anchor="latin-record-1088">
        <w:r>
          <w:rPr>
            <w:color w:val="000000"/>
          </w:rPr>
          <w:t xml:space="preserve">reficere</w:t>
        </w:r>
      </w:hyperlink>
      <w:r>
        <w:rPr>
          <w:b w:val="0"/>
          <w:i w:val="0"/>
        </w:rPr>
        <w:t>.</w:t>
      </w:r>
    </w:p>
    <w:p>
      <w:pPr>
        <w:widowControl/>
      </w:pPr>
      <w:r>
        <w:rPr>
          <w:b/>
          <w:i w:val="0"/>
        </w:rPr>
        <w:t>reflectens.</w:t>
      </w:r>
      <w:r>
        <w:rPr>
          <w:b w:val="0"/>
          <w:i w:val="0"/>
        </w:rPr>
        <w:t xml:space="preserve"> </w:t>
      </w:r>
      <w:hyperlink w:anchor="latin-record-1091">
        <w:r>
          <w:rPr>
            <w:color w:val="000000"/>
          </w:rPr>
          <w:t xml:space="preserve">reflexio / reflectere</w:t>
        </w:r>
      </w:hyperlink>
      <w:r>
        <w:rPr>
          <w:b w:val="0"/>
          <w:i w:val="0"/>
        </w:rPr>
        <w:t>.</w:t>
      </w:r>
    </w:p>
    <w:p>
      <w:pPr>
        <w:widowControl/>
      </w:pPr>
      <w:r>
        <w:rPr>
          <w:b/>
          <w:i w:val="0"/>
        </w:rPr>
        <w:t>reflecteretur.</w:t>
      </w:r>
      <w:r>
        <w:rPr>
          <w:b w:val="0"/>
          <w:i w:val="0"/>
        </w:rPr>
        <w:t xml:space="preserve"> </w:t>
      </w:r>
      <w:hyperlink w:anchor="latin-record-1111">
        <w:r>
          <w:rPr>
            <w:color w:val="000000"/>
          </w:rPr>
          <w:t xml:space="preserve">repugnare; reflecti; definire</w:t>
        </w:r>
      </w:hyperlink>
      <w:r>
        <w:rPr>
          <w:b w:val="0"/>
          <w:i w:val="0"/>
        </w:rPr>
        <w:t>.</w:t>
      </w:r>
    </w:p>
    <w:p>
      <w:pPr>
        <w:widowControl/>
      </w:pPr>
      <w:r>
        <w:rPr>
          <w:b/>
          <w:i w:val="0"/>
        </w:rPr>
        <w:t>reflectet.</w:t>
      </w:r>
      <w:r>
        <w:rPr>
          <w:b w:val="0"/>
          <w:i w:val="0"/>
        </w:rPr>
        <w:t xml:space="preserve"> </w:t>
      </w:r>
      <w:hyperlink w:anchor="latin-record-1110">
        <w:r>
          <w:rPr>
            <w:color w:val="000000"/>
          </w:rPr>
          <w:t xml:space="preserve">repugnare / reflectere</w:t>
        </w:r>
      </w:hyperlink>
      <w:r>
        <w:rPr>
          <w:b w:val="0"/>
          <w:i w:val="0"/>
        </w:rPr>
        <w:t>.</w:t>
      </w:r>
    </w:p>
    <w:p>
      <w:pPr>
        <w:widowControl/>
      </w:pPr>
      <w:r>
        <w:rPr>
          <w:b/>
          <w:i w:val="0"/>
        </w:rPr>
        <w:t>reflectit.</w:t>
      </w:r>
      <w:r>
        <w:rPr>
          <w:b w:val="0"/>
          <w:i w:val="0"/>
        </w:rPr>
        <w:t xml:space="preserve"> </w:t>
      </w:r>
      <w:hyperlink w:anchor="latin-record-1091">
        <w:r>
          <w:rPr>
            <w:color w:val="000000"/>
          </w:rPr>
          <w:t xml:space="preserve">reflexio / reflectere</w:t>
        </w:r>
      </w:hyperlink>
      <w:r>
        <w:rPr>
          <w:b w:val="0"/>
          <w:i w:val="0"/>
        </w:rPr>
        <w:t>.</w:t>
      </w:r>
    </w:p>
    <w:p>
      <w:pPr>
        <w:widowControl/>
      </w:pPr>
      <w:r>
        <w:rPr>
          <w:b/>
          <w:i w:val="0"/>
        </w:rPr>
        <w:t>reflectiturque.</w:t>
      </w:r>
      <w:r>
        <w:rPr>
          <w:b w:val="0"/>
          <w:i w:val="0"/>
        </w:rPr>
        <w:t xml:space="preserve"> </w:t>
      </w:r>
      <w:hyperlink w:anchor="latin-record-1090">
        <w:r>
          <w:rPr>
            <w:color w:val="000000"/>
          </w:rPr>
          <w:t xml:space="preserve">reflecti / ferri</w:t>
        </w:r>
      </w:hyperlink>
      <w:r>
        <w:rPr>
          <w:b w:val="0"/>
          <w:i w:val="0"/>
        </w:rPr>
        <w:t>.</w:t>
      </w:r>
    </w:p>
    <w:p>
      <w:pPr>
        <w:widowControl/>
      </w:pPr>
      <w:r>
        <w:rPr>
          <w:b/>
          <w:i w:val="0"/>
        </w:rPr>
        <w:t>reflexam.</w:t>
      </w:r>
      <w:r>
        <w:rPr>
          <w:b w:val="0"/>
          <w:i w:val="0"/>
        </w:rPr>
        <w:t xml:space="preserve"> </w:t>
      </w:r>
      <w:hyperlink w:anchor="latin-record-1082">
        <w:r>
          <w:rPr>
            <w:color w:val="000000"/>
          </w:rPr>
          <w:t xml:space="preserve">rectus / reflexus</w:t>
        </w:r>
      </w:hyperlink>
      <w:r>
        <w:rPr>
          <w:b w:val="0"/>
          <w:i w:val="0"/>
        </w:rPr>
        <w:t>.</w:t>
      </w:r>
    </w:p>
    <w:p>
      <w:pPr>
        <w:widowControl/>
      </w:pPr>
      <w:r>
        <w:rPr>
          <w:b/>
          <w:i w:val="0"/>
        </w:rPr>
        <w:t>reflexio.</w:t>
      </w:r>
      <w:r>
        <w:rPr>
          <w:b w:val="0"/>
          <w:i w:val="0"/>
        </w:rPr>
        <w:t xml:space="preserve"> </w:t>
      </w:r>
      <w:hyperlink w:anchor="latin-record-0447">
        <w:r>
          <w:rPr>
            <w:color w:val="000000"/>
          </w:rPr>
          <w:t xml:space="preserve">essentia–vita–mens</w:t>
        </w:r>
      </w:hyperlink>
      <w:r>
        <w:rPr>
          <w:b w:val="0"/>
          <w:i w:val="0"/>
        </w:rPr>
        <w:t xml:space="preserve">; </w:t>
      </w:r>
      <w:hyperlink w:anchor="latin-record-1091">
        <w:r>
          <w:rPr>
            <w:color w:val="000000"/>
          </w:rPr>
          <w:t xml:space="preserve">reflexio / reflectere</w:t>
        </w:r>
      </w:hyperlink>
      <w:r>
        <w:rPr>
          <w:b w:val="0"/>
          <w:i w:val="0"/>
        </w:rPr>
        <w:t xml:space="preserve">; </w:t>
      </w:r>
      <w:hyperlink w:anchor="latin-record-1231">
        <w:r>
          <w:rPr>
            <w:color w:val="000000"/>
          </w:rPr>
          <w:t xml:space="preserve">splendor / reflexio</w:t>
        </w:r>
      </w:hyperlink>
      <w:r>
        <w:rPr>
          <w:b w:val="0"/>
          <w:i w:val="0"/>
        </w:rPr>
        <w:t>.</w:t>
      </w:r>
    </w:p>
    <w:p>
      <w:pPr>
        <w:widowControl/>
      </w:pPr>
      <w:r>
        <w:rPr>
          <w:b/>
          <w:i w:val="0"/>
        </w:rPr>
        <w:t>reflexo.</w:t>
      </w:r>
      <w:r>
        <w:rPr>
          <w:b w:val="0"/>
          <w:i w:val="0"/>
        </w:rPr>
        <w:t xml:space="preserve"> </w:t>
      </w:r>
      <w:hyperlink w:anchor="latin-record-1091">
        <w:r>
          <w:rPr>
            <w:color w:val="000000"/>
          </w:rPr>
          <w:t xml:space="preserve">reflexio / reflectere</w:t>
        </w:r>
      </w:hyperlink>
      <w:r>
        <w:rPr>
          <w:b w:val="0"/>
          <w:i w:val="0"/>
        </w:rPr>
        <w:t>.</w:t>
      </w:r>
    </w:p>
    <w:p>
      <w:pPr>
        <w:widowControl/>
      </w:pPr>
      <w:r>
        <w:rPr>
          <w:b/>
          <w:i w:val="0"/>
        </w:rPr>
        <w:t>reflexum.</w:t>
      </w:r>
      <w:r>
        <w:rPr>
          <w:b w:val="0"/>
          <w:i w:val="0"/>
        </w:rPr>
        <w:t xml:space="preserve"> </w:t>
      </w:r>
      <w:hyperlink w:anchor="latin-record-1091">
        <w:r>
          <w:rPr>
            <w:color w:val="000000"/>
          </w:rPr>
          <w:t xml:space="preserve">reflexio / reflectere</w:t>
        </w:r>
      </w:hyperlink>
      <w:r>
        <w:rPr>
          <w:b w:val="0"/>
          <w:i w:val="0"/>
        </w:rPr>
        <w:t>.</w:t>
      </w:r>
    </w:p>
    <w:p>
      <w:pPr>
        <w:widowControl/>
      </w:pPr>
      <w:r>
        <w:rPr>
          <w:b/>
          <w:i w:val="0"/>
        </w:rPr>
        <w:t>regendo.</w:t>
      </w:r>
      <w:r>
        <w:rPr>
          <w:b w:val="0"/>
          <w:i w:val="0"/>
        </w:rPr>
        <w:t xml:space="preserve"> </w:t>
      </w:r>
      <w:hyperlink w:anchor="latin-record-1092">
        <w:r>
          <w:rPr>
            <w:color w:val="000000"/>
          </w:rPr>
          <w:t xml:space="preserve">regere / curare</w:t>
        </w:r>
      </w:hyperlink>
      <w:r>
        <w:rPr>
          <w:b w:val="0"/>
          <w:i w:val="0"/>
        </w:rPr>
        <w:t>.</w:t>
      </w:r>
    </w:p>
    <w:p>
      <w:pPr>
        <w:widowControl/>
      </w:pPr>
      <w:r>
        <w:rPr>
          <w:b/>
          <w:i w:val="0"/>
        </w:rPr>
        <w:t>regendum.</w:t>
      </w:r>
      <w:r>
        <w:rPr>
          <w:b w:val="0"/>
          <w:i w:val="0"/>
        </w:rPr>
        <w:t xml:space="preserve"> </w:t>
      </w:r>
      <w:hyperlink w:anchor="latin-record-1094">
        <w:r>
          <w:rPr>
            <w:color w:val="000000"/>
          </w:rPr>
          <w:t xml:space="preserve">regere; ducere; gubernare</w:t>
        </w:r>
      </w:hyperlink>
      <w:r>
        <w:rPr>
          <w:b w:val="0"/>
          <w:i w:val="0"/>
        </w:rPr>
        <w:t>.</w:t>
      </w:r>
    </w:p>
    <w:p>
      <w:pPr>
        <w:widowControl/>
      </w:pPr>
      <w:r>
        <w:rPr>
          <w:b/>
          <w:i w:val="0"/>
        </w:rPr>
        <w:t>regeretur.</w:t>
      </w:r>
      <w:r>
        <w:rPr>
          <w:b w:val="0"/>
          <w:i w:val="0"/>
        </w:rPr>
        <w:t xml:space="preserve"> </w:t>
      </w:r>
      <w:hyperlink w:anchor="latin-record-1094">
        <w:r>
          <w:rPr>
            <w:color w:val="000000"/>
          </w:rPr>
          <w:t xml:space="preserve">regere; ducere; gubernare</w:t>
        </w:r>
      </w:hyperlink>
      <w:r>
        <w:rPr>
          <w:b w:val="0"/>
          <w:i w:val="0"/>
        </w:rPr>
        <w:t>.</w:t>
      </w:r>
    </w:p>
    <w:p>
      <w:pPr>
        <w:widowControl/>
      </w:pPr>
      <w:r>
        <w:rPr>
          <w:b/>
          <w:i w:val="0"/>
        </w:rPr>
        <w:t>regit.</w:t>
      </w:r>
      <w:r>
        <w:rPr>
          <w:b w:val="0"/>
          <w:i w:val="0"/>
        </w:rPr>
        <w:t xml:space="preserve"> </w:t>
      </w:r>
      <w:hyperlink w:anchor="latin-record-1092">
        <w:r>
          <w:rPr>
            <w:color w:val="000000"/>
          </w:rPr>
          <w:t xml:space="preserve">regere / curare</w:t>
        </w:r>
      </w:hyperlink>
      <w:r>
        <w:rPr>
          <w:b w:val="0"/>
          <w:i w:val="0"/>
        </w:rPr>
        <w:t xml:space="preserve">; </w:t>
      </w:r>
      <w:hyperlink w:anchor="latin-record-1093">
        <w:r>
          <w:rPr>
            <w:color w:val="000000"/>
          </w:rPr>
          <w:t xml:space="preserve">regere / movere</w:t>
        </w:r>
      </w:hyperlink>
      <w:r>
        <w:rPr>
          <w:b w:val="0"/>
          <w:i w:val="0"/>
        </w:rPr>
        <w:t>.</w:t>
      </w:r>
    </w:p>
    <w:p>
      <w:pPr>
        <w:widowControl/>
      </w:pPr>
      <w:r>
        <w:rPr>
          <w:b/>
          <w:i w:val="0"/>
        </w:rPr>
        <w:t>regitur.</w:t>
      </w:r>
      <w:r>
        <w:rPr>
          <w:b w:val="0"/>
          <w:i w:val="0"/>
        </w:rPr>
        <w:t xml:space="preserve"> </w:t>
      </w:r>
      <w:hyperlink w:anchor="latin-record-1094">
        <w:r>
          <w:rPr>
            <w:color w:val="000000"/>
          </w:rPr>
          <w:t xml:space="preserve">regere; ducere; gubernare</w:t>
        </w:r>
      </w:hyperlink>
      <w:r>
        <w:rPr>
          <w:b w:val="0"/>
          <w:i w:val="0"/>
        </w:rPr>
        <w:t>.</w:t>
      </w:r>
    </w:p>
    <w:p>
      <w:pPr>
        <w:widowControl/>
      </w:pPr>
      <w:r>
        <w:rPr>
          <w:b/>
          <w:i w:val="0"/>
        </w:rPr>
        <w:t>Regnano.</w:t>
      </w:r>
      <w:r>
        <w:rPr>
          <w:b w:val="0"/>
          <w:i w:val="0"/>
        </w:rPr>
        <w:t xml:space="preserve"> </w:t>
      </w:r>
      <w:hyperlink w:anchor="latin-record-1095">
        <w:r>
          <w:rPr>
            <w:color w:val="000000"/>
          </w:rPr>
          <w:t xml:space="preserve">Regnanum; Cavalcantes</w:t>
        </w:r>
      </w:hyperlink>
      <w:r>
        <w:rPr>
          <w:b w:val="0"/>
          <w:i w:val="0"/>
        </w:rPr>
        <w:t>.</w:t>
      </w:r>
    </w:p>
    <w:p>
      <w:pPr>
        <w:widowControl/>
      </w:pPr>
      <w:r>
        <w:rPr>
          <w:b/>
          <w:i w:val="0"/>
        </w:rPr>
        <w:t>regulam.</w:t>
      </w:r>
      <w:r>
        <w:rPr>
          <w:b w:val="0"/>
          <w:i w:val="0"/>
        </w:rPr>
        <w:t xml:space="preserve"> </w:t>
      </w:r>
      <w:hyperlink w:anchor="latin-record-1096">
        <w:r>
          <w:rPr>
            <w:color w:val="000000"/>
          </w:rPr>
          <w:t xml:space="preserve">regula / lex</w:t>
        </w:r>
      </w:hyperlink>
      <w:r>
        <w:rPr>
          <w:b w:val="0"/>
          <w:i w:val="0"/>
        </w:rPr>
        <w:t>.</w:t>
      </w:r>
    </w:p>
    <w:p>
      <w:pPr>
        <w:widowControl/>
      </w:pPr>
      <w:r>
        <w:rPr>
          <w:b/>
          <w:i w:val="0"/>
        </w:rPr>
        <w:t>rei.</w:t>
      </w:r>
      <w:r>
        <w:rPr>
          <w:b w:val="0"/>
          <w:i w:val="0"/>
        </w:rPr>
        <w:t xml:space="preserve"> </w:t>
      </w:r>
      <w:hyperlink w:anchor="latin-record-1112">
        <w:r>
          <w:rPr>
            <w:color w:val="000000"/>
          </w:rPr>
          <w:t xml:space="preserve">res</w:t>
        </w:r>
      </w:hyperlink>
      <w:r>
        <w:rPr>
          <w:b w:val="0"/>
          <w:i w:val="0"/>
        </w:rPr>
        <w:t>.</w:t>
      </w:r>
    </w:p>
    <w:p>
      <w:pPr>
        <w:widowControl/>
      </w:pPr>
      <w:r>
        <w:rPr>
          <w:b/>
          <w:i w:val="0"/>
        </w:rPr>
        <w:t>relabitur.</w:t>
      </w:r>
      <w:r>
        <w:rPr>
          <w:b w:val="0"/>
          <w:i w:val="0"/>
        </w:rPr>
        <w:t xml:space="preserve"> </w:t>
      </w:r>
      <w:hyperlink w:anchor="latin-record-1097">
        <w:r>
          <w:rPr>
            <w:color w:val="000000"/>
          </w:rPr>
          <w:t xml:space="preserve">relabi / redundare</w:t>
        </w:r>
      </w:hyperlink>
      <w:r>
        <w:rPr>
          <w:b w:val="0"/>
          <w:i w:val="0"/>
        </w:rPr>
        <w:t>.</w:t>
      </w:r>
    </w:p>
    <w:p>
      <w:pPr>
        <w:widowControl/>
      </w:pPr>
      <w:r>
        <w:rPr>
          <w:b/>
          <w:i w:val="0"/>
        </w:rPr>
        <w:t>relata.</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relatio.</w:t>
      </w:r>
      <w:r>
        <w:rPr>
          <w:b w:val="0"/>
          <w:i w:val="0"/>
        </w:rPr>
        <w:t xml:space="preserve"> </w:t>
      </w:r>
      <w:hyperlink w:anchor="latin-record-1098">
        <w:r>
          <w:rPr>
            <w:color w:val="000000"/>
          </w:rPr>
          <w:t xml:space="preserve">relatio</w:t>
        </w:r>
      </w:hyperlink>
      <w:r>
        <w:rPr>
          <w:b w:val="0"/>
          <w:i w:val="0"/>
        </w:rPr>
        <w:t>.</w:t>
      </w:r>
    </w:p>
    <w:p>
      <w:pPr>
        <w:widowControl/>
      </w:pPr>
      <w:r>
        <w:rPr>
          <w:b/>
          <w:i w:val="0"/>
        </w:rPr>
        <w:t>relationis.</w:t>
      </w:r>
      <w:r>
        <w:rPr>
          <w:b w:val="0"/>
          <w:i w:val="0"/>
        </w:rPr>
        <w:t xml:space="preserve"> </w:t>
      </w:r>
      <w:hyperlink w:anchor="latin-record-1098">
        <w:r>
          <w:rPr>
            <w:color w:val="000000"/>
          </w:rPr>
          <w:t xml:space="preserve">relatio</w:t>
        </w:r>
      </w:hyperlink>
      <w:r>
        <w:rPr>
          <w:b w:val="0"/>
          <w:i w:val="0"/>
        </w:rPr>
        <w:t>.</w:t>
      </w:r>
    </w:p>
    <w:p>
      <w:pPr>
        <w:widowControl/>
      </w:pPr>
      <w:r>
        <w:rPr>
          <w:b/>
          <w:i w:val="0"/>
        </w:rPr>
        <w:t>relinquetur.</w:t>
      </w:r>
      <w:r>
        <w:rPr>
          <w:b w:val="0"/>
          <w:i w:val="0"/>
        </w:rPr>
        <w:t xml:space="preserve"> </w:t>
      </w:r>
      <w:hyperlink w:anchor="latin-record-1099">
        <w:r>
          <w:rPr>
            <w:color w:val="000000"/>
          </w:rPr>
          <w:t xml:space="preserve">relinquere / dimittere</w:t>
        </w:r>
      </w:hyperlink>
      <w:r>
        <w:rPr>
          <w:b w:val="0"/>
          <w:i w:val="0"/>
        </w:rPr>
        <w:t>.</w:t>
      </w:r>
    </w:p>
    <w:p>
      <w:pPr>
        <w:widowControl/>
      </w:pPr>
      <w:r>
        <w:rPr>
          <w:b/>
          <w:i w:val="0"/>
        </w:rPr>
        <w:t>relinquit.</w:t>
      </w:r>
      <w:r>
        <w:rPr>
          <w:b w:val="0"/>
          <w:i w:val="0"/>
        </w:rPr>
        <w:t xml:space="preserve"> </w:t>
      </w:r>
      <w:hyperlink w:anchor="latin-record-1099">
        <w:r>
          <w:rPr>
            <w:color w:val="000000"/>
          </w:rPr>
          <w:t xml:space="preserve">relinquere / dimittere</w:t>
        </w:r>
      </w:hyperlink>
      <w:r>
        <w:rPr>
          <w:b w:val="0"/>
          <w:i w:val="0"/>
        </w:rPr>
        <w:t>.</w:t>
      </w:r>
    </w:p>
    <w:p>
      <w:pPr>
        <w:widowControl/>
      </w:pPr>
      <w:r>
        <w:rPr>
          <w:b/>
          <w:i w:val="0"/>
        </w:rPr>
        <w:t>reliquias sensuum.</w:t>
      </w:r>
      <w:r>
        <w:rPr>
          <w:b w:val="0"/>
          <w:i w:val="0"/>
        </w:rPr>
        <w:t xml:space="preserve"> </w:t>
      </w:r>
      <w:hyperlink w:anchor="latin-record-1100">
        <w:r>
          <w:rPr>
            <w:color w:val="000000"/>
          </w:rPr>
          <w:t xml:space="preserve">reliquiae sensuum</w:t>
        </w:r>
      </w:hyperlink>
      <w:r>
        <w:rPr>
          <w:b w:val="0"/>
          <w:i w:val="0"/>
        </w:rPr>
        <w:t>.</w:t>
      </w:r>
    </w:p>
    <w:p>
      <w:pPr>
        <w:widowControl/>
      </w:pPr>
      <w:r>
        <w:rPr>
          <w:b/>
          <w:i w:val="0"/>
        </w:rPr>
        <w:t>rem.</w:t>
      </w:r>
      <w:r>
        <w:rPr>
          <w:b w:val="0"/>
          <w:i w:val="0"/>
        </w:rPr>
        <w:t xml:space="preserve"> </w:t>
      </w:r>
      <w:hyperlink w:anchor="latin-record-1112">
        <w:r>
          <w:rPr>
            <w:color w:val="000000"/>
          </w:rPr>
          <w:t xml:space="preserve">res</w:t>
        </w:r>
      </w:hyperlink>
      <w:r>
        <w:rPr>
          <w:b w:val="0"/>
          <w:i w:val="0"/>
        </w:rPr>
        <w:t>.</w:t>
      </w:r>
    </w:p>
    <w:p>
      <w:pPr>
        <w:widowControl/>
      </w:pPr>
      <w:r>
        <w:rPr>
          <w:b/>
          <w:i w:val="0"/>
        </w:rPr>
        <w:t>remanente.</w:t>
      </w:r>
      <w:r>
        <w:rPr>
          <w:b w:val="0"/>
          <w:i w:val="0"/>
        </w:rPr>
        <w:t xml:space="preserve"> </w:t>
      </w:r>
      <w:hyperlink w:anchor="latin-record-0928">
        <w:r>
          <w:rPr>
            <w:color w:val="000000"/>
          </w:rPr>
          <w:t xml:space="preserve">permanere / manere / remanere</w:t>
        </w:r>
      </w:hyperlink>
      <w:r>
        <w:rPr>
          <w:b w:val="0"/>
          <w:i w:val="0"/>
        </w:rPr>
        <w:t>.</w:t>
      </w:r>
    </w:p>
    <w:p>
      <w:pPr>
        <w:widowControl/>
      </w:pPr>
      <w:r>
        <w:rPr>
          <w:b/>
          <w:i w:val="0"/>
        </w:rPr>
        <w:t>remanet.</w:t>
      </w:r>
      <w:r>
        <w:rPr>
          <w:b w:val="0"/>
          <w:i w:val="0"/>
        </w:rPr>
        <w:t xml:space="preserve"> </w:t>
      </w:r>
      <w:hyperlink w:anchor="latin-record-0928">
        <w:r>
          <w:rPr>
            <w:color w:val="000000"/>
          </w:rPr>
          <w:t xml:space="preserve">permanere / manere / remanere</w:t>
        </w:r>
      </w:hyperlink>
      <w:r>
        <w:rPr>
          <w:b w:val="0"/>
          <w:i w:val="0"/>
        </w:rPr>
        <w:t>.</w:t>
      </w:r>
    </w:p>
    <w:p>
      <w:pPr>
        <w:widowControl/>
      </w:pPr>
      <w:r>
        <w:rPr>
          <w:b/>
          <w:i w:val="0"/>
        </w:rPr>
        <w:t>reminiscetur.</w:t>
      </w:r>
      <w:r>
        <w:rPr>
          <w:b w:val="0"/>
          <w:i w:val="0"/>
        </w:rPr>
        <w:t xml:space="preserve"> </w:t>
      </w:r>
      <w:hyperlink w:anchor="latin-record-0684">
        <w:r>
          <w:rPr>
            <w:color w:val="000000"/>
          </w:rPr>
          <w:t xml:space="preserve">invenire / reminisci / loqui</w:t>
        </w:r>
      </w:hyperlink>
      <w:r>
        <w:rPr>
          <w:b w:val="0"/>
          <w:i w:val="0"/>
        </w:rPr>
        <w:t>.</w:t>
      </w:r>
    </w:p>
    <w:p>
      <w:pPr>
        <w:widowControl/>
      </w:pPr>
      <w:r>
        <w:rPr>
          <w:b/>
          <w:i w:val="0"/>
        </w:rPr>
        <w:t>reminiscitur.</w:t>
      </w:r>
      <w:r>
        <w:rPr>
          <w:b w:val="0"/>
          <w:i w:val="0"/>
        </w:rPr>
        <w:t xml:space="preserve"> </w:t>
      </w:r>
      <w:hyperlink w:anchor="latin-record-1101">
        <w:r>
          <w:rPr>
            <w:color w:val="000000"/>
          </w:rPr>
          <w:t xml:space="preserve">reminisci; oblivisci</w:t>
        </w:r>
      </w:hyperlink>
      <w:r>
        <w:rPr>
          <w:b w:val="0"/>
          <w:i w:val="0"/>
        </w:rPr>
        <w:t>.</w:t>
      </w:r>
    </w:p>
    <w:p>
      <w:pPr>
        <w:widowControl/>
      </w:pPr>
      <w:r>
        <w:rPr>
          <w:b/>
          <w:i w:val="0"/>
        </w:rPr>
        <w:t>remissius.</w:t>
      </w:r>
      <w:r>
        <w:rPr>
          <w:b w:val="0"/>
          <w:i w:val="0"/>
        </w:rPr>
        <w:t xml:space="preserve"> </w:t>
      </w:r>
      <w:hyperlink w:anchor="latin-record-0668">
        <w:r>
          <w:rPr>
            <w:color w:val="000000"/>
          </w:rPr>
          <w:t xml:space="preserve">intensius / remissius</w:t>
        </w:r>
      </w:hyperlink>
      <w:r>
        <w:rPr>
          <w:b w:val="0"/>
          <w:i w:val="0"/>
        </w:rPr>
        <w:t>.</w:t>
      </w:r>
    </w:p>
    <w:p>
      <w:pPr>
        <w:widowControl/>
      </w:pPr>
      <w:r>
        <w:rPr>
          <w:b/>
          <w:i w:val="0"/>
        </w:rPr>
        <w:t>remittit.</w:t>
      </w:r>
      <w:r>
        <w:rPr>
          <w:b w:val="0"/>
          <w:i w:val="0"/>
        </w:rPr>
        <w:t xml:space="preserve"> </w:t>
      </w:r>
      <w:hyperlink w:anchor="latin-record-1102">
        <w:r>
          <w:rPr>
            <w:color w:val="000000"/>
          </w:rPr>
          <w:t xml:space="preserve">remittere / perficere</w:t>
        </w:r>
      </w:hyperlink>
      <w:r>
        <w:rPr>
          <w:b w:val="0"/>
          <w:i w:val="0"/>
        </w:rPr>
        <w:t>.</w:t>
      </w:r>
    </w:p>
    <w:p>
      <w:pPr>
        <w:widowControl/>
      </w:pPr>
      <w:r>
        <w:rPr>
          <w:b/>
          <w:i w:val="0"/>
        </w:rPr>
        <w:t>remittitur.</w:t>
      </w:r>
      <w:r>
        <w:rPr>
          <w:b w:val="0"/>
          <w:i w:val="0"/>
        </w:rPr>
        <w:t xml:space="preserve"> </w:t>
      </w:r>
      <w:hyperlink w:anchor="latin-record-0741">
        <w:r>
          <w:rPr>
            <w:color w:val="000000"/>
          </w:rPr>
          <w:t xml:space="preserve">magis ac minus / intensio / remissio</w:t>
        </w:r>
      </w:hyperlink>
      <w:r>
        <w:rPr>
          <w:b w:val="0"/>
          <w:i w:val="0"/>
        </w:rPr>
        <w:t>.</w:t>
      </w:r>
    </w:p>
    <w:p>
      <w:pPr>
        <w:widowControl/>
      </w:pPr>
      <w:r>
        <w:rPr>
          <w:b/>
          <w:i w:val="0"/>
        </w:rPr>
        <w:t>removere.</w:t>
      </w:r>
      <w:r>
        <w:rPr>
          <w:b w:val="0"/>
          <w:i w:val="0"/>
        </w:rPr>
        <w:t xml:space="preserve"> </w:t>
      </w:r>
      <w:hyperlink w:anchor="latin-record-0155">
        <w:r>
          <w:rPr>
            <w:color w:val="000000"/>
          </w:rPr>
          <w:t xml:space="preserve">avertere / subducere</w:t>
        </w:r>
      </w:hyperlink>
      <w:r>
        <w:rPr>
          <w:b w:val="0"/>
          <w:i w:val="0"/>
        </w:rPr>
        <w:t>.</w:t>
      </w:r>
    </w:p>
    <w:p>
      <w:pPr>
        <w:widowControl/>
      </w:pPr>
      <w:r>
        <w:rPr>
          <w:b/>
          <w:i w:val="0"/>
        </w:rPr>
        <w:t>remum.</w:t>
      </w:r>
      <w:r>
        <w:rPr>
          <w:b w:val="0"/>
          <w:i w:val="0"/>
        </w:rPr>
        <w:t xml:space="preserve"> </w:t>
      </w:r>
      <w:hyperlink w:anchor="latin-record-1103">
        <w:r>
          <w:rPr>
            <w:color w:val="000000"/>
          </w:rPr>
          <w:t xml:space="preserve">remus; litus; navis</w:t>
        </w:r>
      </w:hyperlink>
      <w:r>
        <w:rPr>
          <w:b w:val="0"/>
          <w:i w:val="0"/>
        </w:rPr>
        <w:t>.</w:t>
      </w:r>
    </w:p>
    <w:p>
      <w:pPr>
        <w:widowControl/>
      </w:pPr>
      <w:r>
        <w:rPr>
          <w:b/>
          <w:i w:val="0"/>
        </w:rPr>
        <w:t>renovare.</w:t>
      </w:r>
      <w:r>
        <w:rPr>
          <w:b w:val="0"/>
          <w:i w:val="0"/>
        </w:rPr>
        <w:t xml:space="preserve"> </w:t>
      </w:r>
      <w:hyperlink w:anchor="latin-record-1105">
        <w:r>
          <w:rPr>
            <w:color w:val="000000"/>
          </w:rPr>
          <w:t xml:space="preserve">renovare / renovatio</w:t>
        </w:r>
      </w:hyperlink>
      <w:r>
        <w:rPr>
          <w:b w:val="0"/>
          <w:i w:val="0"/>
        </w:rPr>
        <w:t>.</w:t>
      </w:r>
    </w:p>
    <w:p>
      <w:pPr>
        <w:widowControl/>
      </w:pPr>
      <w:r>
        <w:rPr>
          <w:b/>
          <w:i w:val="0"/>
        </w:rPr>
        <w:t>renovat.</w:t>
      </w:r>
      <w:r>
        <w:rPr>
          <w:b w:val="0"/>
          <w:i w:val="0"/>
        </w:rPr>
        <w:t xml:space="preserve"> </w:t>
      </w:r>
      <w:hyperlink w:anchor="latin-record-1104">
        <w:r>
          <w:rPr>
            <w:color w:val="000000"/>
          </w:rPr>
          <w:t xml:space="preserve">renovare</w:t>
        </w:r>
      </w:hyperlink>
      <w:r>
        <w:rPr>
          <w:b w:val="0"/>
          <w:i w:val="0"/>
        </w:rPr>
        <w:t>.</w:t>
      </w:r>
    </w:p>
    <w:p>
      <w:pPr>
        <w:widowControl/>
      </w:pPr>
      <w:r>
        <w:rPr>
          <w:b/>
          <w:i w:val="0"/>
        </w:rPr>
        <w:t>renovationis.</w:t>
      </w:r>
      <w:r>
        <w:rPr>
          <w:b w:val="0"/>
          <w:i w:val="0"/>
        </w:rPr>
        <w:t xml:space="preserve"> </w:t>
      </w:r>
      <w:hyperlink w:anchor="latin-record-1105">
        <w:r>
          <w:rPr>
            <w:color w:val="000000"/>
          </w:rPr>
          <w:t xml:space="preserve">renovare / renovatio</w:t>
        </w:r>
      </w:hyperlink>
      <w:r>
        <w:rPr>
          <w:b w:val="0"/>
          <w:i w:val="0"/>
        </w:rPr>
        <w:t>.</w:t>
      </w:r>
    </w:p>
    <w:p>
      <w:pPr>
        <w:widowControl/>
      </w:pPr>
      <w:r>
        <w:rPr>
          <w:b/>
          <w:i w:val="0"/>
        </w:rPr>
        <w:t>renovatur.</w:t>
      </w:r>
      <w:r>
        <w:rPr>
          <w:b w:val="0"/>
          <w:i w:val="0"/>
        </w:rPr>
        <w:t xml:space="preserve"> </w:t>
      </w:r>
      <w:hyperlink w:anchor="latin-record-1106">
        <w:r>
          <w:rPr>
            <w:color w:val="000000"/>
          </w:rPr>
          <w:t xml:space="preserve">renovare; labi</w:t>
        </w:r>
      </w:hyperlink>
      <w:r>
        <w:rPr>
          <w:b w:val="0"/>
          <w:i w:val="0"/>
        </w:rPr>
        <w:t>.</w:t>
      </w:r>
    </w:p>
    <w:p>
      <w:pPr>
        <w:widowControl/>
      </w:pPr>
      <w:r>
        <w:rPr>
          <w:b/>
          <w:i w:val="0"/>
        </w:rPr>
        <w:t>reparentur.</w:t>
      </w:r>
      <w:r>
        <w:rPr>
          <w:b w:val="0"/>
          <w:i w:val="0"/>
        </w:rPr>
        <w:t xml:space="preserve"> </w:t>
      </w:r>
      <w:hyperlink w:anchor="latin-record-0521">
        <w:r>
          <w:rPr>
            <w:color w:val="000000"/>
          </w:rPr>
          <w:t xml:space="preserve">frangere / reparare</w:t>
        </w:r>
      </w:hyperlink>
      <w:r>
        <w:rPr>
          <w:b w:val="0"/>
          <w:i w:val="0"/>
        </w:rPr>
        <w:t>.</w:t>
      </w:r>
    </w:p>
    <w:p>
      <w:pPr>
        <w:widowControl/>
      </w:pPr>
      <w:r>
        <w:rPr>
          <w:b/>
          <w:i w:val="0"/>
        </w:rPr>
        <w:t>repellatque.</w:t>
      </w:r>
      <w:r>
        <w:rPr>
          <w:b w:val="0"/>
          <w:i w:val="0"/>
        </w:rPr>
        <w:t xml:space="preserve"> </w:t>
      </w:r>
      <w:hyperlink w:anchor="latin-record-0035">
        <w:r>
          <w:rPr>
            <w:color w:val="000000"/>
          </w:rPr>
          <w:t xml:space="preserve">adiungere / repellere</w:t>
        </w:r>
      </w:hyperlink>
      <w:r>
        <w:rPr>
          <w:b w:val="0"/>
          <w:i w:val="0"/>
        </w:rPr>
        <w:t>.</w:t>
      </w:r>
    </w:p>
    <w:p>
      <w:pPr>
        <w:widowControl/>
      </w:pPr>
      <w:r>
        <w:rPr>
          <w:b/>
          <w:i w:val="0"/>
        </w:rPr>
        <w:t>repente.</w:t>
      </w:r>
      <w:r>
        <w:rPr>
          <w:b w:val="0"/>
          <w:i w:val="0"/>
        </w:rPr>
        <w:t xml:space="preserve"> </w:t>
      </w:r>
      <w:hyperlink w:anchor="latin-record-1236">
        <w:r>
          <w:rPr>
            <w:color w:val="000000"/>
          </w:rPr>
          <w:t xml:space="preserve">statim; subito; paulatim</w:t>
        </w:r>
      </w:hyperlink>
      <w:r>
        <w:rPr>
          <w:b w:val="0"/>
          <w:i w:val="0"/>
        </w:rPr>
        <w:t>.</w:t>
      </w:r>
    </w:p>
    <w:p>
      <w:pPr>
        <w:widowControl/>
      </w:pPr>
      <w:r>
        <w:rPr>
          <w:b/>
          <w:i w:val="0"/>
        </w:rPr>
        <w:t>reperietis.</w:t>
      </w:r>
      <w:r>
        <w:rPr>
          <w:b w:val="0"/>
          <w:i w:val="0"/>
        </w:rPr>
        <w:t xml:space="preserve"> </w:t>
      </w:r>
      <w:hyperlink w:anchor="latin-record-1107">
        <w:r>
          <w:rPr>
            <w:color w:val="000000"/>
          </w:rPr>
          <w:t xml:space="preserve">reperire; invenire</w:t>
        </w:r>
      </w:hyperlink>
      <w:r>
        <w:rPr>
          <w:b w:val="0"/>
          <w:i w:val="0"/>
        </w:rPr>
        <w:t>.</w:t>
      </w:r>
    </w:p>
    <w:p>
      <w:pPr>
        <w:widowControl/>
      </w:pPr>
      <w:r>
        <w:rPr>
          <w:b/>
          <w:i w:val="0"/>
        </w:rPr>
        <w:t>reperisse.</w:t>
      </w:r>
      <w:r>
        <w:rPr>
          <w:b w:val="0"/>
          <w:i w:val="0"/>
        </w:rPr>
        <w:t xml:space="preserve"> </w:t>
      </w:r>
      <w:hyperlink w:anchor="latin-record-0685">
        <w:r>
          <w:rPr>
            <w:color w:val="000000"/>
          </w:rPr>
          <w:t xml:space="preserve">invenire / reperire</w:t>
        </w:r>
      </w:hyperlink>
      <w:r>
        <w:rPr>
          <w:b w:val="0"/>
          <w:i w:val="0"/>
        </w:rPr>
        <w:t>.</w:t>
      </w:r>
    </w:p>
    <w:p>
      <w:pPr>
        <w:widowControl/>
      </w:pPr>
      <w:r>
        <w:rPr>
          <w:b/>
          <w:i w:val="0"/>
        </w:rPr>
        <w:t>reperit.</w:t>
      </w:r>
      <w:r>
        <w:rPr>
          <w:b w:val="0"/>
          <w:i w:val="0"/>
        </w:rPr>
        <w:t xml:space="preserve"> </w:t>
      </w:r>
      <w:hyperlink w:anchor="latin-record-0685">
        <w:r>
          <w:rPr>
            <w:color w:val="000000"/>
          </w:rPr>
          <w:t xml:space="preserve">invenire / reperire</w:t>
        </w:r>
      </w:hyperlink>
      <w:r>
        <w:rPr>
          <w:b w:val="0"/>
          <w:i w:val="0"/>
        </w:rPr>
        <w:t>.</w:t>
      </w:r>
    </w:p>
    <w:p>
      <w:pPr>
        <w:widowControl/>
      </w:pPr>
      <w:r>
        <w:rPr>
          <w:b/>
          <w:i w:val="0"/>
        </w:rPr>
        <w:t>reperitur.</w:t>
      </w:r>
      <w:r>
        <w:rPr>
          <w:b w:val="0"/>
          <w:i w:val="0"/>
        </w:rPr>
        <w:t xml:space="preserve"> </w:t>
      </w:r>
      <w:hyperlink w:anchor="latin-record-0685">
        <w:r>
          <w:rPr>
            <w:color w:val="000000"/>
          </w:rPr>
          <w:t xml:space="preserve">invenire / reperire</w:t>
        </w:r>
      </w:hyperlink>
      <w:r>
        <w:rPr>
          <w:b w:val="0"/>
          <w:i w:val="0"/>
        </w:rPr>
        <w:t xml:space="preserve">; </w:t>
      </w:r>
      <w:hyperlink w:anchor="latin-record-1107">
        <w:r>
          <w:rPr>
            <w:color w:val="000000"/>
          </w:rPr>
          <w:t xml:space="preserve">reperire; invenire</w:t>
        </w:r>
      </w:hyperlink>
      <w:r>
        <w:rPr>
          <w:b w:val="0"/>
          <w:i w:val="0"/>
        </w:rPr>
        <w:t>.</w:t>
      </w:r>
    </w:p>
    <w:p>
      <w:pPr>
        <w:widowControl/>
      </w:pPr>
      <w:r>
        <w:rPr>
          <w:b/>
          <w:i w:val="0"/>
        </w:rPr>
        <w:t>reperiunt.</w:t>
      </w:r>
      <w:r>
        <w:rPr>
          <w:b w:val="0"/>
          <w:i w:val="0"/>
        </w:rPr>
        <w:t xml:space="preserve"> </w:t>
      </w:r>
      <w:hyperlink w:anchor="latin-record-0685">
        <w:r>
          <w:rPr>
            <w:color w:val="000000"/>
          </w:rPr>
          <w:t xml:space="preserve">invenire / reperire</w:t>
        </w:r>
      </w:hyperlink>
      <w:r>
        <w:rPr>
          <w:b w:val="0"/>
          <w:i w:val="0"/>
        </w:rPr>
        <w:t>.</w:t>
      </w:r>
    </w:p>
    <w:p>
      <w:pPr>
        <w:widowControl/>
      </w:pPr>
      <w:r>
        <w:rPr>
          <w:b/>
          <w:i w:val="0"/>
        </w:rPr>
        <w:t>reperiuntur.</w:t>
      </w:r>
      <w:r>
        <w:rPr>
          <w:b w:val="0"/>
          <w:i w:val="0"/>
        </w:rPr>
        <w:t xml:space="preserve"> </w:t>
      </w:r>
      <w:hyperlink w:anchor="latin-record-1107">
        <w:r>
          <w:rPr>
            <w:color w:val="000000"/>
          </w:rPr>
          <w:t xml:space="preserve">reperire; invenire</w:t>
        </w:r>
      </w:hyperlink>
      <w:r>
        <w:rPr>
          <w:b w:val="0"/>
          <w:i w:val="0"/>
        </w:rPr>
        <w:t>.</w:t>
      </w:r>
    </w:p>
    <w:p>
      <w:pPr>
        <w:widowControl/>
      </w:pPr>
      <w:r>
        <w:rPr>
          <w:b/>
          <w:i w:val="0"/>
        </w:rPr>
        <w:t>reperta.</w:t>
      </w:r>
      <w:r>
        <w:rPr>
          <w:b w:val="0"/>
          <w:i w:val="0"/>
        </w:rPr>
        <w:t xml:space="preserve"> </w:t>
      </w:r>
      <w:hyperlink w:anchor="latin-record-0685">
        <w:r>
          <w:rPr>
            <w:color w:val="000000"/>
          </w:rPr>
          <w:t xml:space="preserve">invenire / reperire</w:t>
        </w:r>
      </w:hyperlink>
      <w:r>
        <w:rPr>
          <w:b w:val="0"/>
          <w:i w:val="0"/>
        </w:rPr>
        <w:t>.</w:t>
      </w:r>
    </w:p>
    <w:p>
      <w:pPr>
        <w:widowControl/>
      </w:pPr>
      <w:r>
        <w:rPr>
          <w:b/>
          <w:i w:val="0"/>
        </w:rPr>
        <w:t>replicationes.</w:t>
      </w:r>
      <w:r>
        <w:rPr>
          <w:b w:val="0"/>
          <w:i w:val="0"/>
        </w:rPr>
        <w:t xml:space="preserve"> </w:t>
      </w:r>
      <w:hyperlink w:anchor="latin-record-0848">
        <w:r>
          <w:rPr>
            <w:color w:val="000000"/>
          </w:rPr>
          <w:t xml:space="preserve">numerus; replicatio</w:t>
        </w:r>
      </w:hyperlink>
      <w:r>
        <w:rPr>
          <w:b w:val="0"/>
          <w:i w:val="0"/>
        </w:rPr>
        <w:t>.</w:t>
      </w:r>
    </w:p>
    <w:p>
      <w:pPr>
        <w:widowControl/>
      </w:pPr>
      <w:r>
        <w:rPr>
          <w:b/>
          <w:i w:val="0"/>
        </w:rPr>
        <w:t>replicatur.</w:t>
      </w:r>
      <w:r>
        <w:rPr>
          <w:b w:val="0"/>
          <w:i w:val="0"/>
        </w:rPr>
        <w:t xml:space="preserve"> </w:t>
      </w:r>
      <w:hyperlink w:anchor="latin-record-1108">
        <w:r>
          <w:rPr>
            <w:color w:val="000000"/>
          </w:rPr>
          <w:t xml:space="preserve">replicare</w:t>
        </w:r>
      </w:hyperlink>
      <w:r>
        <w:rPr>
          <w:b w:val="0"/>
          <w:i w:val="0"/>
        </w:rPr>
        <w:t>.</w:t>
      </w:r>
    </w:p>
    <w:p>
      <w:pPr>
        <w:widowControl/>
      </w:pPr>
      <w:r>
        <w:rPr>
          <w:b/>
          <w:i w:val="0"/>
        </w:rPr>
        <w:t>reprobatis.</w:t>
      </w:r>
      <w:r>
        <w:rPr>
          <w:b w:val="0"/>
          <w:i w:val="0"/>
        </w:rPr>
        <w:t xml:space="preserve"> </w:t>
      </w:r>
      <w:hyperlink w:anchor="latin-record-0291">
        <w:r>
          <w:rPr>
            <w:color w:val="000000"/>
          </w:rPr>
          <w:t xml:space="preserve">confutare; reprobare; approbare</w:t>
        </w:r>
      </w:hyperlink>
      <w:r>
        <w:rPr>
          <w:b w:val="0"/>
          <w:i w:val="0"/>
        </w:rPr>
        <w:t>.</w:t>
      </w:r>
    </w:p>
    <w:p>
      <w:pPr>
        <w:widowControl/>
      </w:pPr>
      <w:r>
        <w:rPr>
          <w:b/>
          <w:i w:val="0"/>
        </w:rPr>
        <w:t>reptilia.</w:t>
      </w:r>
      <w:r>
        <w:rPr>
          <w:b w:val="0"/>
          <w:i w:val="0"/>
        </w:rPr>
        <w:t xml:space="preserve"> </w:t>
      </w:r>
      <w:hyperlink w:anchor="latin-record-1109">
        <w:r>
          <w:rPr>
            <w:color w:val="000000"/>
          </w:rPr>
          <w:t xml:space="preserve">reptilia / secundum Platonicos</w:t>
        </w:r>
      </w:hyperlink>
      <w:r>
        <w:rPr>
          <w:b w:val="0"/>
          <w:i w:val="0"/>
        </w:rPr>
        <w:t>.</w:t>
      </w:r>
    </w:p>
    <w:p>
      <w:pPr>
        <w:widowControl/>
      </w:pPr>
      <w:r>
        <w:rPr>
          <w:b/>
          <w:i w:val="0"/>
        </w:rPr>
        <w:t>repugnabit.</w:t>
      </w:r>
      <w:r>
        <w:rPr>
          <w:b w:val="0"/>
          <w:i w:val="0"/>
        </w:rPr>
        <w:t xml:space="preserve"> </w:t>
      </w:r>
      <w:hyperlink w:anchor="latin-record-1110">
        <w:r>
          <w:rPr>
            <w:color w:val="000000"/>
          </w:rPr>
          <w:t xml:space="preserve">repugnare / reflectere</w:t>
        </w:r>
      </w:hyperlink>
      <w:r>
        <w:rPr>
          <w:b w:val="0"/>
          <w:i w:val="0"/>
        </w:rPr>
        <w:t>.</w:t>
      </w:r>
    </w:p>
    <w:p>
      <w:pPr>
        <w:widowControl/>
      </w:pPr>
      <w:r>
        <w:rPr>
          <w:b/>
          <w:i w:val="0"/>
        </w:rPr>
        <w:t>repugnans.</w:t>
      </w:r>
      <w:r>
        <w:rPr>
          <w:b w:val="0"/>
          <w:i w:val="0"/>
        </w:rPr>
        <w:t xml:space="preserve"> </w:t>
      </w:r>
      <w:hyperlink w:anchor="latin-record-0009">
        <w:r>
          <w:rPr>
            <w:color w:val="000000"/>
          </w:rPr>
          <w:t xml:space="preserve">absurdus / repugnare</w:t>
        </w:r>
      </w:hyperlink>
      <w:r>
        <w:rPr>
          <w:b w:val="0"/>
          <w:i w:val="0"/>
        </w:rPr>
        <w:t>.</w:t>
      </w:r>
    </w:p>
    <w:p>
      <w:pPr>
        <w:widowControl/>
      </w:pPr>
      <w:r>
        <w:rPr>
          <w:b/>
          <w:i w:val="0"/>
        </w:rPr>
        <w:t>repugnantes.</w:t>
      </w:r>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repugnantes affectus.</w:t>
      </w:r>
      <w:r>
        <w:rPr>
          <w:b w:val="0"/>
          <w:i w:val="0"/>
        </w:rPr>
        <w:t xml:space="preserve"> </w:t>
      </w:r>
      <w:hyperlink w:anchor="latin-record-0870">
        <w:r>
          <w:rPr>
            <w:color w:val="000000"/>
          </w:rPr>
          <w:t xml:space="preserve">opposita suscipere</w:t>
        </w:r>
      </w:hyperlink>
      <w:r>
        <w:rPr>
          <w:b w:val="0"/>
          <w:i w:val="0"/>
        </w:rPr>
        <w:t>.</w:t>
      </w:r>
    </w:p>
    <w:p>
      <w:pPr>
        <w:widowControl/>
      </w:pPr>
      <w:r>
        <w:rPr>
          <w:b/>
          <w:i w:val="0"/>
        </w:rPr>
        <w:t>repugnantia.</w:t>
      </w:r>
      <w:r>
        <w:rPr>
          <w:b w:val="0"/>
          <w:i w:val="0"/>
        </w:rPr>
        <w:t xml:space="preserve"> </w:t>
      </w:r>
      <w:hyperlink w:anchor="latin-record-0009">
        <w:r>
          <w:rPr>
            <w:color w:val="000000"/>
          </w:rPr>
          <w:t xml:space="preserve">absurdus / repugnare</w:t>
        </w:r>
      </w:hyperlink>
      <w:r>
        <w:rPr>
          <w:b w:val="0"/>
          <w:i w:val="0"/>
        </w:rPr>
        <w:t xml:space="preserve">; </w:t>
      </w:r>
      <w:hyperlink w:anchor="latin-record-0326">
        <w:r>
          <w:rPr>
            <w:color w:val="000000"/>
          </w:rPr>
          <w:t xml:space="preserve">contrarius; oppositus; repugnans</w:t>
        </w:r>
      </w:hyperlink>
      <w:r>
        <w:rPr>
          <w:b w:val="0"/>
          <w:i w:val="0"/>
        </w:rPr>
        <w:t>.</w:t>
      </w:r>
    </w:p>
    <w:p>
      <w:pPr>
        <w:widowControl/>
      </w:pPr>
      <w:r>
        <w:rPr>
          <w:b/>
          <w:i w:val="0"/>
        </w:rPr>
        <w:t>repugnare.</w:t>
      </w:r>
      <w:r>
        <w:rPr>
          <w:b w:val="0"/>
          <w:i w:val="0"/>
        </w:rPr>
        <w:t xml:space="preserve"> </w:t>
      </w:r>
      <w:hyperlink w:anchor="latin-record-1111">
        <w:r>
          <w:rPr>
            <w:color w:val="000000"/>
          </w:rPr>
          <w:t xml:space="preserve">repugnare; reflecti; definire</w:t>
        </w:r>
      </w:hyperlink>
      <w:r>
        <w:rPr>
          <w:b w:val="0"/>
          <w:i w:val="0"/>
        </w:rPr>
        <w:t>.</w:t>
      </w:r>
    </w:p>
    <w:p>
      <w:pPr>
        <w:widowControl/>
      </w:pPr>
      <w:r>
        <w:rPr>
          <w:b/>
          <w:i w:val="0"/>
        </w:rPr>
        <w:t>repugnat.</w:t>
      </w:r>
      <w:r>
        <w:rPr>
          <w:b w:val="0"/>
          <w:i w:val="0"/>
        </w:rPr>
        <w:t xml:space="preserve"> </w:t>
      </w:r>
      <w:hyperlink w:anchor="latin-record-0009">
        <w:r>
          <w:rPr>
            <w:color w:val="000000"/>
          </w:rPr>
          <w:t xml:space="preserve">absurdus / repugnare</w:t>
        </w:r>
      </w:hyperlink>
      <w:r>
        <w:rPr>
          <w:b w:val="0"/>
          <w:i w:val="0"/>
        </w:rPr>
        <w:t>.</w:t>
      </w:r>
    </w:p>
    <w:p>
      <w:pPr>
        <w:widowControl/>
      </w:pPr>
      <w:r>
        <w:rPr>
          <w:b/>
          <w:i w:val="0"/>
        </w:rPr>
        <w:t>rerum.</w:t>
      </w:r>
      <w:r>
        <w:rPr>
          <w:b w:val="0"/>
          <w:i w:val="0"/>
        </w:rPr>
        <w:t xml:space="preserve"> </w:t>
      </w:r>
      <w:hyperlink w:anchor="latin-record-1112">
        <w:r>
          <w:rPr>
            <w:color w:val="000000"/>
          </w:rPr>
          <w:t xml:space="preserve">res</w:t>
        </w:r>
      </w:hyperlink>
      <w:r>
        <w:rPr>
          <w:b w:val="0"/>
          <w:i w:val="0"/>
        </w:rPr>
        <w:t>.</w:t>
      </w:r>
    </w:p>
    <w:p>
      <w:pPr>
        <w:widowControl/>
      </w:pPr>
      <w:r>
        <w:rPr>
          <w:b/>
          <w:i w:val="0"/>
        </w:rPr>
        <w:t>Res.</w:t>
      </w:r>
      <w:r>
        <w:rPr>
          <w:b w:val="0"/>
          <w:i w:val="0"/>
        </w:rPr>
        <w:t xml:space="preserve"> </w:t>
      </w:r>
      <w:hyperlink w:anchor="latin-record-1112">
        <w:r>
          <w:rPr>
            <w:color w:val="000000"/>
          </w:rPr>
          <w:t xml:space="preserve">res</w:t>
        </w:r>
      </w:hyperlink>
      <w:r>
        <w:rPr>
          <w:b w:val="0"/>
          <w:i w:val="0"/>
        </w:rPr>
        <w:t>.</w:t>
      </w:r>
    </w:p>
    <w:p>
      <w:pPr>
        <w:widowControl/>
      </w:pPr>
      <w:r>
        <w:rPr>
          <w:b/>
          <w:i w:val="0"/>
        </w:rPr>
        <w:t>res.</w:t>
      </w:r>
      <w:r>
        <w:rPr>
          <w:b w:val="0"/>
          <w:i w:val="0"/>
        </w:rPr>
        <w:t xml:space="preserve"> </w:t>
      </w:r>
      <w:hyperlink w:anchor="latin-record-1112">
        <w:r>
          <w:rPr>
            <w:color w:val="000000"/>
          </w:rPr>
          <w:t xml:space="preserve">res</w:t>
        </w:r>
      </w:hyperlink>
      <w:r>
        <w:rPr>
          <w:b w:val="0"/>
          <w:i w:val="0"/>
        </w:rPr>
        <w:t>.</w:t>
      </w:r>
    </w:p>
    <w:p>
      <w:pPr>
        <w:widowControl/>
      </w:pPr>
      <w:r>
        <w:rPr>
          <w:b/>
          <w:i w:val="0"/>
        </w:rPr>
        <w:t>residens.</w:t>
      </w:r>
      <w:r>
        <w:rPr>
          <w:b w:val="0"/>
          <w:i w:val="0"/>
        </w:rPr>
        <w:t xml:space="preserve"> </w:t>
      </w:r>
      <w:hyperlink w:anchor="latin-record-0140">
        <w:r>
          <w:rPr>
            <w:color w:val="000000"/>
          </w:rPr>
          <w:t xml:space="preserve">assignare; residere; gubernare</w:t>
        </w:r>
      </w:hyperlink>
      <w:r>
        <w:rPr>
          <w:b w:val="0"/>
          <w:i w:val="0"/>
        </w:rPr>
        <w:t>.</w:t>
      </w:r>
    </w:p>
    <w:p>
      <w:pPr>
        <w:widowControl/>
      </w:pPr>
      <w:r>
        <w:rPr>
          <w:b/>
          <w:i w:val="0"/>
        </w:rPr>
        <w:t>resilientes.</w:t>
      </w:r>
      <w:r>
        <w:rPr>
          <w:b w:val="0"/>
          <w:i w:val="0"/>
        </w:rPr>
        <w:t xml:space="preserve"> </w:t>
      </w:r>
      <w:hyperlink w:anchor="latin-record-1113">
        <w:r>
          <w:rPr>
            <w:color w:val="000000"/>
          </w:rPr>
          <w:t xml:space="preserve">resilire; accendere; consumere</w:t>
        </w:r>
      </w:hyperlink>
      <w:r>
        <w:rPr>
          <w:b w:val="0"/>
          <w:i w:val="0"/>
        </w:rPr>
        <w:t>.</w:t>
      </w:r>
    </w:p>
    <w:p>
      <w:pPr>
        <w:widowControl/>
      </w:pPr>
      <w:r>
        <w:rPr>
          <w:b/>
          <w:i w:val="0"/>
        </w:rPr>
        <w:t>resolutio.</w:t>
      </w:r>
      <w:r>
        <w:rPr>
          <w:b w:val="0"/>
          <w:i w:val="0"/>
        </w:rPr>
        <w:t xml:space="preserve"> </w:t>
      </w:r>
      <w:hyperlink w:anchor="latin-record-1114">
        <w:r>
          <w:rPr>
            <w:color w:val="000000"/>
          </w:rPr>
          <w:t xml:space="preserve">resolutio / divisio</w:t>
        </w:r>
      </w:hyperlink>
      <w:r>
        <w:rPr>
          <w:b w:val="0"/>
          <w:i w:val="0"/>
        </w:rPr>
        <w:t>.</w:t>
      </w:r>
    </w:p>
    <w:p>
      <w:pPr>
        <w:widowControl/>
      </w:pPr>
      <w:r>
        <w:rPr>
          <w:b/>
          <w:i w:val="0"/>
        </w:rPr>
        <w:t>resolutionem.</w:t>
      </w:r>
      <w:r>
        <w:rPr>
          <w:b w:val="0"/>
          <w:i w:val="0"/>
        </w:rPr>
        <w:t xml:space="preserve"> </w:t>
      </w:r>
      <w:hyperlink w:anchor="latin-record-0265">
        <w:r>
          <w:rPr>
            <w:color w:val="000000"/>
          </w:rPr>
          <w:t xml:space="preserve">compositio / mixtum</w:t>
        </w:r>
      </w:hyperlink>
      <w:r>
        <w:rPr>
          <w:b w:val="0"/>
          <w:i w:val="0"/>
        </w:rPr>
        <w:t xml:space="preserve">; </w:t>
      </w:r>
      <w:hyperlink w:anchor="latin-record-1114">
        <w:r>
          <w:rPr>
            <w:color w:val="000000"/>
          </w:rPr>
          <w:t xml:space="preserve">resolutio / divisio</w:t>
        </w:r>
      </w:hyperlink>
      <w:r>
        <w:rPr>
          <w:b w:val="0"/>
          <w:i w:val="0"/>
        </w:rPr>
        <w:t>.</w:t>
      </w:r>
    </w:p>
    <w:p>
      <w:pPr>
        <w:widowControl/>
      </w:pPr>
      <w:r>
        <w:rPr>
          <w:b/>
          <w:i w:val="0"/>
        </w:rPr>
        <w:t>resolvatur.</w:t>
      </w:r>
      <w:r>
        <w:rPr>
          <w:b w:val="0"/>
          <w:i w:val="0"/>
        </w:rPr>
        <w:t xml:space="preserve"> </w:t>
      </w:r>
      <w:hyperlink w:anchor="latin-record-1116">
        <w:r>
          <w:rPr>
            <w:color w:val="000000"/>
          </w:rPr>
          <w:t xml:space="preserve">resolvi</w:t>
        </w:r>
      </w:hyperlink>
      <w:r>
        <w:rPr>
          <w:b w:val="0"/>
          <w:i w:val="0"/>
        </w:rPr>
        <w:t>.</w:t>
      </w:r>
    </w:p>
    <w:p>
      <w:pPr>
        <w:widowControl/>
      </w:pPr>
      <w:r>
        <w:rPr>
          <w:b/>
          <w:i w:val="0"/>
        </w:rPr>
        <w:t>resolvendo.</w:t>
      </w:r>
      <w:r>
        <w:rPr>
          <w:b w:val="0"/>
          <w:i w:val="0"/>
        </w:rPr>
        <w:t xml:space="preserve"> </w:t>
      </w:r>
      <w:hyperlink w:anchor="latin-record-1114">
        <w:r>
          <w:rPr>
            <w:color w:val="000000"/>
          </w:rPr>
          <w:t xml:space="preserve">resolutio / divisio</w:t>
        </w:r>
      </w:hyperlink>
      <w:r>
        <w:rPr>
          <w:b w:val="0"/>
          <w:i w:val="0"/>
        </w:rPr>
        <w:t>.</w:t>
      </w:r>
    </w:p>
    <w:p>
      <w:pPr>
        <w:widowControl/>
      </w:pPr>
      <w:r>
        <w:rPr>
          <w:b/>
          <w:i w:val="0"/>
        </w:rPr>
        <w:t>resolvi.</w:t>
      </w:r>
      <w:r>
        <w:rPr>
          <w:b w:val="0"/>
          <w:i w:val="0"/>
        </w:rPr>
        <w:t xml:space="preserve"> </w:t>
      </w:r>
      <w:hyperlink w:anchor="latin-record-1116">
        <w:r>
          <w:rPr>
            <w:color w:val="000000"/>
          </w:rPr>
          <w:t xml:space="preserve">resolvi</w:t>
        </w:r>
      </w:hyperlink>
      <w:r>
        <w:rPr>
          <w:b w:val="0"/>
          <w:i w:val="0"/>
        </w:rPr>
        <w:t>.</w:t>
      </w:r>
    </w:p>
    <w:p>
      <w:pPr>
        <w:widowControl/>
      </w:pPr>
      <w:r>
        <w:rPr>
          <w:b/>
          <w:i w:val="0"/>
        </w:rPr>
        <w:t>resolvimus.</w:t>
      </w:r>
      <w:r>
        <w:rPr>
          <w:b w:val="0"/>
          <w:i w:val="0"/>
        </w:rPr>
        <w:t xml:space="preserve"> </w:t>
      </w:r>
      <w:hyperlink w:anchor="latin-record-1114">
        <w:r>
          <w:rPr>
            <w:color w:val="000000"/>
          </w:rPr>
          <w:t xml:space="preserve">resolutio / divisio</w:t>
        </w:r>
      </w:hyperlink>
      <w:r>
        <w:rPr>
          <w:b w:val="0"/>
          <w:i w:val="0"/>
        </w:rPr>
        <w:t>.</w:t>
      </w:r>
    </w:p>
    <w:p>
      <w:pPr>
        <w:widowControl/>
      </w:pPr>
      <w:r>
        <w:rPr>
          <w:b/>
          <w:i w:val="0"/>
        </w:rPr>
        <w:t>resolvitur.</w:t>
      </w:r>
      <w:r>
        <w:rPr>
          <w:b w:val="0"/>
          <w:i w:val="0"/>
        </w:rPr>
        <w:t xml:space="preserve"> </w:t>
      </w:r>
      <w:hyperlink w:anchor="latin-record-0252">
        <w:r>
          <w:rPr>
            <w:color w:val="000000"/>
          </w:rPr>
          <w:t xml:space="preserve">compago / resolvere</w:t>
        </w:r>
      </w:hyperlink>
      <w:r>
        <w:rPr>
          <w:b w:val="0"/>
          <w:i w:val="0"/>
        </w:rPr>
        <w:t xml:space="preserve">; </w:t>
      </w:r>
      <w:hyperlink w:anchor="latin-record-1116">
        <w:r>
          <w:rPr>
            <w:color w:val="000000"/>
          </w:rPr>
          <w:t xml:space="preserve">resolvi</w:t>
        </w:r>
      </w:hyperlink>
      <w:r>
        <w:rPr>
          <w:b w:val="0"/>
          <w:i w:val="0"/>
        </w:rPr>
        <w:t>.</w:t>
      </w:r>
    </w:p>
    <w:p>
      <w:pPr>
        <w:widowControl/>
      </w:pPr>
      <w:r>
        <w:rPr>
          <w:b/>
          <w:i w:val="0"/>
        </w:rPr>
        <w:t>respectibus.</w:t>
      </w:r>
      <w:r>
        <w:rPr>
          <w:b w:val="0"/>
          <w:i w:val="0"/>
        </w:rPr>
        <w:t xml:space="preserve"> </w:t>
      </w:r>
      <w:hyperlink w:anchor="latin-record-0135">
        <w:r>
          <w:rPr>
            <w:color w:val="000000"/>
          </w:rPr>
          <w:t xml:space="preserve">aspectus / respectus</w:t>
        </w:r>
      </w:hyperlink>
      <w:r>
        <w:rPr>
          <w:b w:val="0"/>
          <w:i w:val="0"/>
        </w:rPr>
        <w:t>.</w:t>
      </w:r>
    </w:p>
    <w:p>
      <w:pPr>
        <w:widowControl/>
      </w:pPr>
      <w:r>
        <w:rPr>
          <w:b/>
          <w:i w:val="0"/>
        </w:rPr>
        <w:t>respectum.</w:t>
      </w:r>
      <w:r>
        <w:rPr>
          <w:b w:val="0"/>
          <w:i w:val="0"/>
        </w:rPr>
        <w:t xml:space="preserve"> </w:t>
      </w:r>
      <w:hyperlink w:anchor="latin-record-1117">
        <w:r>
          <w:rPr>
            <w:color w:val="000000"/>
          </w:rPr>
          <w:t xml:space="preserve">respectus / referri</w:t>
        </w:r>
      </w:hyperlink>
      <w:r>
        <w:rPr>
          <w:b w:val="0"/>
          <w:i w:val="0"/>
        </w:rPr>
        <w:t>.</w:t>
      </w:r>
    </w:p>
    <w:p>
      <w:pPr>
        <w:widowControl/>
      </w:pPr>
      <w:r>
        <w:rPr>
          <w:b/>
          <w:i w:val="0"/>
        </w:rPr>
        <w:t>respectus.</w:t>
      </w:r>
      <w:r>
        <w:rPr>
          <w:b w:val="0"/>
          <w:i w:val="0"/>
        </w:rPr>
        <w:t xml:space="preserve"> </w:t>
      </w:r>
      <w:hyperlink w:anchor="latin-record-0135">
        <w:r>
          <w:rPr>
            <w:color w:val="000000"/>
          </w:rPr>
          <w:t xml:space="preserve">aspectus / respectus</w:t>
        </w:r>
      </w:hyperlink>
      <w:r>
        <w:rPr>
          <w:b w:val="0"/>
          <w:i w:val="0"/>
        </w:rPr>
        <w:t>.</w:t>
      </w:r>
    </w:p>
    <w:p>
      <w:pPr>
        <w:widowControl/>
      </w:pPr>
      <w:r>
        <w:rPr>
          <w:b/>
          <w:i w:val="0"/>
        </w:rPr>
        <w:t>respice.</w:t>
      </w:r>
      <w:r>
        <w:rPr>
          <w:b w:val="0"/>
          <w:i w:val="0"/>
        </w:rPr>
        <w:t xml:space="preserve"> </w:t>
      </w:r>
      <w:hyperlink w:anchor="latin-record-1121">
        <w:r>
          <w:rPr>
            <w:color w:val="000000"/>
          </w:rPr>
          <w:t xml:space="preserve">revertere; respicere</w:t>
        </w:r>
      </w:hyperlink>
      <w:r>
        <w:rPr>
          <w:b w:val="0"/>
          <w:i w:val="0"/>
        </w:rPr>
        <w:t>.</w:t>
      </w:r>
    </w:p>
    <w:p>
      <w:pPr>
        <w:widowControl/>
      </w:pPr>
      <w:r>
        <w:rPr>
          <w:b/>
          <w:i w:val="0"/>
        </w:rPr>
        <w:t>respiciant.</w:t>
      </w:r>
      <w:r>
        <w:rPr>
          <w:b w:val="0"/>
          <w:i w:val="0"/>
        </w:rPr>
        <w:t xml:space="preserve"> </w:t>
      </w:r>
      <w:hyperlink w:anchor="latin-record-1118">
        <w:r>
          <w:rPr>
            <w:color w:val="000000"/>
          </w:rPr>
          <w:t xml:space="preserve">respicere</w:t>
        </w:r>
      </w:hyperlink>
      <w:r>
        <w:rPr>
          <w:b w:val="0"/>
          <w:i w:val="0"/>
        </w:rPr>
        <w:t>.</w:t>
      </w:r>
    </w:p>
    <w:p>
      <w:pPr>
        <w:widowControl/>
      </w:pPr>
      <w:r>
        <w:rPr>
          <w:b/>
          <w:i w:val="0"/>
        </w:rPr>
        <w:t>respiciat.</w:t>
      </w:r>
      <w:r>
        <w:rPr>
          <w:b w:val="0"/>
          <w:i w:val="0"/>
        </w:rPr>
        <w:t xml:space="preserve"> </w:t>
      </w:r>
      <w:hyperlink w:anchor="latin-record-0135">
        <w:r>
          <w:rPr>
            <w:color w:val="000000"/>
          </w:rPr>
          <w:t xml:space="preserve">aspectus / respectus</w:t>
        </w:r>
      </w:hyperlink>
      <w:r>
        <w:rPr>
          <w:b w:val="0"/>
          <w:i w:val="0"/>
        </w:rPr>
        <w:t xml:space="preserve">; </w:t>
      </w:r>
      <w:hyperlink w:anchor="latin-record-1118">
        <w:r>
          <w:rPr>
            <w:color w:val="000000"/>
          </w:rPr>
          <w:t xml:space="preserve">respicere</w:t>
        </w:r>
      </w:hyperlink>
      <w:r>
        <w:rPr>
          <w:b w:val="0"/>
          <w:i w:val="0"/>
        </w:rPr>
        <w:t>.</w:t>
      </w:r>
    </w:p>
    <w:p>
      <w:pPr>
        <w:widowControl/>
      </w:pPr>
      <w:r>
        <w:rPr>
          <w:b/>
          <w:i w:val="0"/>
        </w:rPr>
        <w:t>respicit.</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respiciunt.</w:t>
      </w:r>
      <w:r>
        <w:rPr>
          <w:b w:val="0"/>
          <w:i w:val="0"/>
        </w:rPr>
        <w:t xml:space="preserve"> </w:t>
      </w:r>
      <w:hyperlink w:anchor="latin-record-1118">
        <w:r>
          <w:rPr>
            <w:color w:val="000000"/>
          </w:rPr>
          <w:t xml:space="preserve">respicere</w:t>
        </w:r>
      </w:hyperlink>
      <w:r>
        <w:rPr>
          <w:b w:val="0"/>
          <w:i w:val="0"/>
        </w:rPr>
        <w:t>.</w:t>
      </w:r>
    </w:p>
    <w:p>
      <w:pPr>
        <w:widowControl/>
      </w:pPr>
      <w:r>
        <w:rPr>
          <w:b/>
          <w:i w:val="0"/>
        </w:rPr>
        <w:t>Respiciunt.</w:t>
      </w:r>
      <w:r>
        <w:rPr>
          <w:b w:val="0"/>
          <w:i w:val="0"/>
        </w:rPr>
        <w:t xml:space="preserve"> </w:t>
      </w:r>
      <w:hyperlink w:anchor="latin-record-1118">
        <w:r>
          <w:rPr>
            <w:color w:val="000000"/>
          </w:rPr>
          <w:t xml:space="preserve">respicere</w:t>
        </w:r>
      </w:hyperlink>
      <w:r>
        <w:rPr>
          <w:b w:val="0"/>
          <w:i w:val="0"/>
        </w:rPr>
        <w:t>.</w:t>
      </w:r>
    </w:p>
    <w:p>
      <w:pPr>
        <w:widowControl/>
      </w:pPr>
      <w:r>
        <w:rPr>
          <w:b/>
          <w:i w:val="0"/>
        </w:rPr>
        <w:t>respondeant.</w:t>
      </w:r>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respondeatur.</w:t>
      </w:r>
      <w:r>
        <w:rPr>
          <w:b w:val="0"/>
          <w:i w:val="0"/>
        </w:rPr>
        <w:t xml:space="preserve"> </w:t>
      </w:r>
      <w:hyperlink w:anchor="latin-record-1119">
        <w:r>
          <w:rPr>
            <w:color w:val="000000"/>
          </w:rPr>
          <w:t xml:space="preserve">respondere / fateor / negare</w:t>
        </w:r>
      </w:hyperlink>
      <w:r>
        <w:rPr>
          <w:b w:val="0"/>
          <w:i w:val="0"/>
        </w:rPr>
        <w:t>.</w:t>
      </w:r>
    </w:p>
    <w:p>
      <w:pPr>
        <w:widowControl/>
      </w:pPr>
      <w:r>
        <w:rPr>
          <w:b/>
          <w:i w:val="0"/>
        </w:rPr>
        <w:t>respondebit.</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Respondemus.</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responderet.</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respondet.</w:t>
      </w:r>
      <w:r>
        <w:rPr>
          <w:b w:val="0"/>
          <w:i w:val="0"/>
        </w:rPr>
        <w:t xml:space="preserve"> </w:t>
      </w:r>
      <w:hyperlink w:anchor="latin-record-0279">
        <w:r>
          <w:rPr>
            <w:color w:val="000000"/>
          </w:rPr>
          <w:t xml:space="preserve">concludere; respondere; quaerere</w:t>
        </w:r>
      </w:hyperlink>
      <w:r>
        <w:rPr>
          <w:b w:val="0"/>
          <w:i w:val="0"/>
        </w:rPr>
        <w:t>.</w:t>
      </w:r>
    </w:p>
    <w:p>
      <w:pPr>
        <w:widowControl/>
      </w:pPr>
      <w:r>
        <w:rPr>
          <w:b/>
          <w:i w:val="0"/>
        </w:rPr>
        <w:t>restat.</w:t>
      </w:r>
      <w:r>
        <w:rPr>
          <w:b w:val="0"/>
          <w:i w:val="0"/>
        </w:rPr>
        <w:t xml:space="preserve"> </w:t>
      </w:r>
      <w:hyperlink w:anchor="latin-record-0930">
        <w:r>
          <w:rPr>
            <w:color w:val="000000"/>
          </w:rPr>
          <w:t xml:space="preserve">permanere / restare / superesse</w:t>
        </w:r>
      </w:hyperlink>
      <w:r>
        <w:rPr>
          <w:b w:val="0"/>
          <w:i w:val="0"/>
        </w:rPr>
        <w:t>.</w:t>
      </w:r>
    </w:p>
    <w:p>
      <w:pPr>
        <w:widowControl/>
      </w:pPr>
      <w:r>
        <w:rPr>
          <w:b/>
          <w:i w:val="0"/>
        </w:rPr>
        <w:t>restituere.</w:t>
      </w:r>
      <w:r>
        <w:rPr>
          <w:b w:val="0"/>
          <w:i w:val="0"/>
        </w:rPr>
        <w:t xml:space="preserve"> </w:t>
      </w:r>
      <w:hyperlink w:anchor="latin-record-1149">
        <w:r>
          <w:rPr>
            <w:color w:val="000000"/>
          </w:rPr>
          <w:t xml:space="preserve">segregare / restituere</w:t>
        </w:r>
      </w:hyperlink>
      <w:r>
        <w:rPr>
          <w:b w:val="0"/>
          <w:i w:val="0"/>
        </w:rPr>
        <w:t>.</w:t>
      </w:r>
    </w:p>
    <w:p>
      <w:pPr>
        <w:widowControl/>
      </w:pPr>
      <w:r>
        <w:rPr>
          <w:b/>
          <w:i w:val="0"/>
        </w:rPr>
        <w:t>restituit.</w:t>
      </w:r>
      <w:r>
        <w:rPr>
          <w:b w:val="0"/>
          <w:i w:val="0"/>
        </w:rPr>
        <w:t xml:space="preserve"> </w:t>
      </w:r>
      <w:hyperlink w:anchor="latin-record-1149">
        <w:r>
          <w:rPr>
            <w:color w:val="000000"/>
          </w:rPr>
          <w:t xml:space="preserve">segregare / restituere</w:t>
        </w:r>
      </w:hyperlink>
      <w:r>
        <w:rPr>
          <w:b w:val="0"/>
          <w:i w:val="0"/>
        </w:rPr>
        <w:t>.</w:t>
      </w:r>
    </w:p>
    <w:p>
      <w:pPr>
        <w:widowControl/>
      </w:pPr>
      <w:r>
        <w:rPr>
          <w:b/>
          <w:i w:val="0"/>
        </w:rPr>
        <w:t>resultant.</w:t>
      </w:r>
      <w:r>
        <w:rPr>
          <w:b w:val="0"/>
          <w:i w:val="0"/>
        </w:rPr>
        <w:t xml:space="preserve"> </w:t>
      </w:r>
      <w:hyperlink w:anchor="latin-record-1185">
        <w:r>
          <w:rPr>
            <w:color w:val="000000"/>
          </w:rPr>
          <w:t xml:space="preserve">simulachrum; resultare</w:t>
        </w:r>
      </w:hyperlink>
      <w:r>
        <w:rPr>
          <w:b w:val="0"/>
          <w:i w:val="0"/>
        </w:rPr>
        <w:t>.</w:t>
      </w:r>
    </w:p>
    <w:p>
      <w:pPr>
        <w:widowControl/>
      </w:pPr>
      <w:r>
        <w:rPr>
          <w:b/>
          <w:i w:val="0"/>
        </w:rPr>
        <w:t>retinetur.</w:t>
      </w:r>
      <w:r>
        <w:rPr>
          <w:b w:val="0"/>
          <w:i w:val="0"/>
        </w:rPr>
        <w:t xml:space="preserve"> </w:t>
      </w:r>
      <w:hyperlink w:anchor="latin-record-1120">
        <w:r>
          <w:rPr>
            <w:color w:val="000000"/>
          </w:rPr>
          <w:t xml:space="preserve">retinere / servare</w:t>
        </w:r>
      </w:hyperlink>
      <w:r>
        <w:rPr>
          <w:b w:val="0"/>
          <w:i w:val="0"/>
        </w:rPr>
        <w:t>.</w:t>
      </w:r>
    </w:p>
    <w:p>
      <w:pPr>
        <w:widowControl/>
      </w:pPr>
      <w:r>
        <w:rPr>
          <w:b/>
          <w:i w:val="0"/>
        </w:rPr>
        <w:t>retro versus.</w:t>
      </w:r>
      <w:r>
        <w:rPr>
          <w:b w:val="0"/>
          <w:i w:val="0"/>
        </w:rPr>
        <w:t xml:space="preserve"> </w:t>
      </w:r>
      <w:hyperlink w:anchor="latin-record-1202">
        <w:r>
          <w:rPr>
            <w:color w:val="000000"/>
          </w:rPr>
          <w:t xml:space="preserve">solvere; retro versus</w:t>
        </w:r>
      </w:hyperlink>
      <w:r>
        <w:rPr>
          <w:b w:val="0"/>
          <w:i w:val="0"/>
        </w:rPr>
        <w:t>.</w:t>
      </w:r>
    </w:p>
    <w:p>
      <w:pPr>
        <w:widowControl/>
      </w:pPr>
      <w:r>
        <w:rPr>
          <w:b/>
          <w:i w:val="0"/>
        </w:rPr>
        <w:t>revera.</w:t>
      </w:r>
      <w:r>
        <w:rPr>
          <w:b w:val="0"/>
          <w:i w:val="0"/>
        </w:rPr>
        <w:t xml:space="preserve"> </w:t>
      </w:r>
      <w:hyperlink w:anchor="latin-record-0922">
        <w:r>
          <w:rPr>
            <w:color w:val="000000"/>
          </w:rPr>
          <w:t xml:space="preserve">per se; quodammodo; proprie</w:t>
        </w:r>
      </w:hyperlink>
      <w:r>
        <w:rPr>
          <w:b w:val="0"/>
          <w:i w:val="0"/>
        </w:rPr>
        <w:t>.</w:t>
      </w:r>
    </w:p>
    <w:p>
      <w:pPr>
        <w:widowControl/>
      </w:pPr>
      <w:r>
        <w:rPr>
          <w:b/>
          <w:i w:val="0"/>
        </w:rPr>
        <w:t>revertere.</w:t>
      </w:r>
      <w:r>
        <w:rPr>
          <w:b w:val="0"/>
          <w:i w:val="0"/>
        </w:rPr>
        <w:t xml:space="preserve"> </w:t>
      </w:r>
      <w:hyperlink w:anchor="latin-record-1121">
        <w:r>
          <w:rPr>
            <w:color w:val="000000"/>
          </w:rPr>
          <w:t xml:space="preserve">revertere; respicere</w:t>
        </w:r>
      </w:hyperlink>
      <w:r>
        <w:rPr>
          <w:b w:val="0"/>
          <w:i w:val="0"/>
        </w:rPr>
        <w:t>.</w:t>
      </w:r>
    </w:p>
    <w:p>
      <w:pPr>
        <w:widowControl/>
      </w:pPr>
      <w:r>
        <w:rPr>
          <w:b/>
          <w:i w:val="0"/>
        </w:rPr>
        <w:t>reviviscunt.</w:t>
      </w:r>
      <w:r>
        <w:rPr>
          <w:b w:val="0"/>
          <w:i w:val="0"/>
        </w:rPr>
        <w:t xml:space="preserve"> </w:t>
      </w:r>
      <w:hyperlink w:anchor="latin-record-1122">
        <w:r>
          <w:rPr>
            <w:color w:val="000000"/>
          </w:rPr>
          <w:t xml:space="preserve">reviviscere</w:t>
        </w:r>
      </w:hyperlink>
      <w:r>
        <w:rPr>
          <w:b w:val="0"/>
          <w:i w:val="0"/>
        </w:rPr>
        <w:t>.</w:t>
      </w:r>
    </w:p>
    <w:p>
      <w:pPr>
        <w:widowControl/>
      </w:pPr>
      <w:r>
        <w:rPr>
          <w:b/>
          <w:i w:val="0"/>
        </w:rPr>
        <w:t>revocat.</w:t>
      </w:r>
      <w:r>
        <w:rPr>
          <w:b w:val="0"/>
          <w:i w:val="0"/>
        </w:rPr>
        <w:t xml:space="preserve"> </w:t>
      </w:r>
      <w:hyperlink w:anchor="latin-record-0648">
        <w:r>
          <w:rPr>
            <w:color w:val="000000"/>
          </w:rPr>
          <w:t xml:space="preserve">inserere / servare / revocare</w:t>
        </w:r>
      </w:hyperlink>
      <w:r>
        <w:rPr>
          <w:b w:val="0"/>
          <w:i w:val="0"/>
        </w:rPr>
        <w:t>.</w:t>
      </w:r>
    </w:p>
    <w:p>
      <w:pPr>
        <w:widowControl/>
      </w:pPr>
      <w:r>
        <w:rPr>
          <w:b/>
          <w:i w:val="0"/>
        </w:rPr>
        <w:t>Revolutio.</w:t>
      </w:r>
      <w:r>
        <w:rPr>
          <w:b w:val="0"/>
          <w:i w:val="0"/>
        </w:rPr>
        <w:t xml:space="preserve"> </w:t>
      </w:r>
      <w:hyperlink w:anchor="latin-record-1123">
        <w:r>
          <w:rPr>
            <w:color w:val="000000"/>
          </w:rPr>
          <w:t xml:space="preserve">revolutio / orbicularis</w:t>
        </w:r>
      </w:hyperlink>
      <w:r>
        <w:rPr>
          <w:b w:val="0"/>
          <w:i w:val="0"/>
        </w:rPr>
        <w:t>.</w:t>
      </w:r>
    </w:p>
    <w:p>
      <w:pPr>
        <w:widowControl/>
      </w:pPr>
      <w:r>
        <w:rPr>
          <w:b/>
          <w:i w:val="0"/>
        </w:rPr>
        <w:t>revolutiones.</w:t>
      </w:r>
      <w:r>
        <w:rPr>
          <w:b w:val="0"/>
          <w:i w:val="0"/>
        </w:rPr>
        <w:t xml:space="preserve"> </w:t>
      </w:r>
      <w:hyperlink w:anchor="latin-record-0392">
        <w:r>
          <w:rPr>
            <w:color w:val="000000"/>
          </w:rPr>
          <w:t xml:space="preserve">discursio; revolutio</w:t>
        </w:r>
      </w:hyperlink>
      <w:r>
        <w:rPr>
          <w:b w:val="0"/>
          <w:i w:val="0"/>
        </w:rPr>
        <w:t>.</w:t>
      </w:r>
    </w:p>
    <w:p>
      <w:pPr>
        <w:widowControl/>
      </w:pPr>
      <w:r>
        <w:rPr>
          <w:b/>
          <w:i w:val="0"/>
        </w:rPr>
        <w:t>revolvit.</w:t>
      </w:r>
      <w:r>
        <w:rPr>
          <w:b w:val="0"/>
          <w:i w:val="0"/>
        </w:rPr>
        <w:t xml:space="preserve"> </w:t>
      </w:r>
      <w:hyperlink w:anchor="latin-record-1124">
        <w:r>
          <w:rPr>
            <w:color w:val="000000"/>
          </w:rPr>
          <w:t xml:space="preserve">revolvere; recolligere</w:t>
        </w:r>
      </w:hyperlink>
      <w:r>
        <w:rPr>
          <w:b w:val="0"/>
          <w:i w:val="0"/>
        </w:rPr>
        <w:t>.</w:t>
      </w:r>
    </w:p>
    <w:p>
      <w:pPr>
        <w:widowControl/>
      </w:pPr>
      <w:r>
        <w:rPr>
          <w:b/>
          <w:i w:val="0"/>
        </w:rPr>
        <w:t>revolvitur.</w:t>
      </w:r>
      <w:r>
        <w:rPr>
          <w:b w:val="0"/>
          <w:i w:val="0"/>
        </w:rPr>
        <w:t xml:space="preserve"> </w:t>
      </w:r>
      <w:hyperlink w:anchor="latin-record-1123">
        <w:r>
          <w:rPr>
            <w:color w:val="000000"/>
          </w:rPr>
          <w:t xml:space="preserve">revolutio / orbicularis</w:t>
        </w:r>
      </w:hyperlink>
      <w:r>
        <w:rPr>
          <w:b w:val="0"/>
          <w:i w:val="0"/>
        </w:rPr>
        <w:t>.</w:t>
      </w:r>
    </w:p>
    <w:p>
      <w:pPr>
        <w:widowControl/>
      </w:pPr>
      <w:r>
        <w:rPr>
          <w:b/>
          <w:i w:val="0"/>
        </w:rPr>
        <w:t>Richardo Angellerio Anglariensi.</w:t>
      </w:r>
      <w:r>
        <w:rPr>
          <w:b w:val="0"/>
          <w:i w:val="0"/>
        </w:rPr>
        <w:t xml:space="preserve"> </w:t>
      </w:r>
      <w:hyperlink w:anchor="latin-record-0087">
        <w:r>
          <w:rPr>
            <w:color w:val="000000"/>
          </w:rPr>
          <w:t xml:space="preserve">Angellerius; Arduinus</w:t>
        </w:r>
      </w:hyperlink>
      <w:r>
        <w:rPr>
          <w:b w:val="0"/>
          <w:i w:val="0"/>
        </w:rPr>
        <w:t>.</w:t>
      </w:r>
    </w:p>
    <w:p>
      <w:pPr>
        <w:widowControl/>
      </w:pPr>
      <w:r>
        <w:rPr>
          <w:b/>
          <w:i w:val="0"/>
        </w:rPr>
        <w:t>rimari.</w:t>
      </w:r>
      <w:r>
        <w:rPr>
          <w:b w:val="0"/>
          <w:i w:val="0"/>
        </w:rPr>
        <w:t xml:space="preserve"> </w:t>
      </w:r>
      <w:hyperlink w:anchor="latin-record-0619">
        <w:r>
          <w:rPr>
            <w:color w:val="000000"/>
          </w:rPr>
          <w:t xml:space="preserve">indicium / rimari</w:t>
        </w:r>
      </w:hyperlink>
      <w:r>
        <w:rPr>
          <w:b w:val="0"/>
          <w:i w:val="0"/>
        </w:rPr>
        <w:t>.</w:t>
      </w:r>
    </w:p>
    <w:p>
      <w:pPr>
        <w:widowControl/>
      </w:pPr>
      <w:r>
        <w:rPr>
          <w:b/>
          <w:i w:val="0"/>
        </w:rPr>
        <w:t>roborat.</w:t>
      </w:r>
      <w:r>
        <w:rPr>
          <w:b w:val="0"/>
          <w:i w:val="0"/>
        </w:rPr>
        <w:t xml:space="preserve"> </w:t>
      </w:r>
      <w:hyperlink w:anchor="latin-record-1308">
        <w:r>
          <w:rPr>
            <w:color w:val="000000"/>
          </w:rPr>
          <w:t xml:space="preserve">tristitia / laetitia / debilitare / roborare</w:t>
        </w:r>
      </w:hyperlink>
      <w:r>
        <w:rPr>
          <w:b w:val="0"/>
          <w:i w:val="0"/>
        </w:rPr>
        <w:t>.</w:t>
      </w:r>
    </w:p>
    <w:p>
      <w:pPr>
        <w:widowControl/>
      </w:pPr>
      <w:r>
        <w:rPr>
          <w:b/>
          <w:i w:val="0"/>
        </w:rPr>
        <w:t>roboratur.</w:t>
      </w:r>
      <w:r>
        <w:rPr>
          <w:b w:val="0"/>
          <w:i w:val="0"/>
        </w:rPr>
        <w:t xml:space="preserve"> </w:t>
      </w:r>
      <w:hyperlink w:anchor="latin-record-1084">
        <w:r>
          <w:rPr>
            <w:color w:val="000000"/>
          </w:rPr>
          <w:t xml:space="preserve">redintegrare / confirmare / roborare</w:t>
        </w:r>
      </w:hyperlink>
      <w:r>
        <w:rPr>
          <w:b w:val="0"/>
          <w:i w:val="0"/>
        </w:rPr>
        <w:t>.</w:t>
      </w:r>
    </w:p>
    <w:p>
      <w:pPr>
        <w:widowControl/>
      </w:pPr>
      <w:r>
        <w:rPr>
          <w:b/>
          <w:i w:val="0"/>
        </w:rPr>
        <w:t>Robur.</w:t>
      </w:r>
      <w:r>
        <w:rPr>
          <w:b w:val="0"/>
          <w:i w:val="0"/>
        </w:rPr>
        <w:t xml:space="preserve"> </w:t>
      </w:r>
      <w:hyperlink w:anchor="latin-record-1129">
        <w:r>
          <w:rPr>
            <w:color w:val="000000"/>
          </w:rPr>
          <w:t xml:space="preserve">sanitas / robur / pulchritudo</w:t>
        </w:r>
      </w:hyperlink>
      <w:r>
        <w:rPr>
          <w:b w:val="0"/>
          <w:i w:val="0"/>
        </w:rPr>
        <w:t>.</w:t>
      </w:r>
    </w:p>
    <w:p>
      <w:pPr>
        <w:widowControl/>
      </w:pPr>
      <w:r>
        <w:rPr>
          <w:b/>
          <w:i w:val="0"/>
        </w:rPr>
        <w:t>robur.</w:t>
      </w:r>
      <w:r>
        <w:rPr>
          <w:b w:val="0"/>
          <w:i w:val="0"/>
        </w:rPr>
        <w:t xml:space="preserve"> </w:t>
      </w:r>
      <w:hyperlink w:anchor="latin-record-1129">
        <w:r>
          <w:rPr>
            <w:color w:val="000000"/>
          </w:rPr>
          <w:t xml:space="preserve">sanitas / robur / pulchritudo</w:t>
        </w:r>
      </w:hyperlink>
      <w:r>
        <w:rPr>
          <w:b w:val="0"/>
          <w:i w:val="0"/>
        </w:rPr>
        <w:t>.</w:t>
      </w:r>
    </w:p>
    <w:p>
      <w:pPr>
        <w:widowControl/>
      </w:pPr>
      <w:r>
        <w:rPr>
          <w:b/>
          <w:i w:val="0"/>
        </w:rPr>
        <w:t>robustior.</w:t>
      </w:r>
      <w:r>
        <w:rPr>
          <w:b w:val="0"/>
          <w:i w:val="0"/>
        </w:rPr>
        <w:t xml:space="preserve"> </w:t>
      </w:r>
      <w:hyperlink w:anchor="latin-record-1378">
        <w:r>
          <w:rPr>
            <w:color w:val="000000"/>
          </w:rPr>
          <w:t xml:space="preserve">vivax / audens / robustus</w:t>
        </w:r>
      </w:hyperlink>
      <w:r>
        <w:rPr>
          <w:b w:val="0"/>
          <w:i w:val="0"/>
        </w:rPr>
        <w:t>.</w:t>
      </w:r>
    </w:p>
    <w:p>
      <w:pPr>
        <w:widowControl/>
      </w:pPr>
      <w:r>
        <w:rPr>
          <w:b/>
          <w:i w:val="0"/>
        </w:rPr>
        <w:t>rogaretur.</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rogaveris.</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rotunditas.</w:t>
      </w:r>
      <w:r>
        <w:rPr>
          <w:b w:val="0"/>
          <w:i w:val="0"/>
        </w:rPr>
        <w:t xml:space="preserve"> </w:t>
      </w:r>
      <w:hyperlink w:anchor="latin-record-1125">
        <w:r>
          <w:rPr>
            <w:color w:val="000000"/>
          </w:rPr>
          <w:t xml:space="preserve">rotunditas</w:t>
        </w:r>
      </w:hyperlink>
      <w:r>
        <w:rPr>
          <w:b w:val="0"/>
          <w:i w:val="0"/>
        </w:rPr>
        <w:t>.</w:t>
      </w:r>
    </w:p>
    <w:p>
      <w:pPr>
        <w:widowControl/>
      </w:pPr>
      <w:r>
        <w:rPr>
          <w:b/>
          <w:i w:val="0"/>
        </w:rPr>
        <w:t>Rotunditas.</w:t>
      </w:r>
      <w:r>
        <w:rPr>
          <w:b w:val="0"/>
          <w:i w:val="0"/>
        </w:rPr>
        <w:t xml:space="preserve"> </w:t>
      </w:r>
      <w:hyperlink w:anchor="latin-record-1125">
        <w:r>
          <w:rPr>
            <w:color w:val="000000"/>
          </w:rPr>
          <w:t xml:space="preserve">rotunditas</w:t>
        </w:r>
      </w:hyperlink>
      <w:r>
        <w:rPr>
          <w:b w:val="0"/>
          <w:i w:val="0"/>
        </w:rPr>
        <w:t>.</w:t>
      </w:r>
    </w:p>
    <w:p>
      <w:pPr>
        <w:widowControl/>
      </w:pPr>
      <w:r>
        <w:rPr>
          <w:b/>
          <w:i w:val="0"/>
        </w:rPr>
        <w:t>rotunditate.</w:t>
      </w:r>
      <w:r>
        <w:rPr>
          <w:b w:val="0"/>
          <w:i w:val="0"/>
        </w:rPr>
        <w:t xml:space="preserve"> </w:t>
      </w:r>
      <w:hyperlink w:anchor="latin-record-1125">
        <w:r>
          <w:rPr>
            <w:color w:val="000000"/>
          </w:rPr>
          <w:t xml:space="preserve">rotunditas</w:t>
        </w:r>
      </w:hyperlink>
      <w:r>
        <w:rPr>
          <w:b w:val="0"/>
          <w:i w:val="0"/>
        </w:rPr>
        <w:t>.</w:t>
      </w:r>
    </w:p>
    <w:p>
      <w:pPr>
        <w:widowControl/>
      </w:pPr>
      <w:r>
        <w:rPr>
          <w:b/>
          <w:i w:val="0"/>
        </w:rPr>
        <w:t>rotunditatem.</w:t>
      </w:r>
      <w:r>
        <w:rPr>
          <w:b w:val="0"/>
          <w:i w:val="0"/>
        </w:rPr>
        <w:t xml:space="preserve"> </w:t>
      </w:r>
      <w:hyperlink w:anchor="latin-record-1125">
        <w:r>
          <w:rPr>
            <w:color w:val="000000"/>
          </w:rPr>
          <w:t xml:space="preserve">rotunditas</w:t>
        </w:r>
      </w:hyperlink>
      <w:r>
        <w:rPr>
          <w:b w:val="0"/>
          <w:i w:val="0"/>
        </w:rPr>
        <w:t>.</w:t>
      </w:r>
    </w:p>
    <w:p>
      <w:pPr>
        <w:widowControl/>
      </w:pPr>
      <w:r>
        <w:rPr>
          <w:b/>
          <w:i w:val="0"/>
        </w:rPr>
        <w:t>rutilabit.</w:t>
      </w:r>
      <w:r>
        <w:rPr>
          <w:b w:val="0"/>
          <w:i w:val="0"/>
        </w:rPr>
        <w:t xml:space="preserve"> </w:t>
      </w:r>
      <w:hyperlink w:anchor="latin-record-0727">
        <w:r>
          <w:rPr>
            <w:color w:val="000000"/>
          </w:rPr>
          <w:t xml:space="preserve">lucere; rutilare</w:t>
        </w:r>
      </w:hyperlink>
      <w:r>
        <w:rPr>
          <w:b w:val="0"/>
          <w:i w:val="0"/>
        </w:rPr>
        <w:t>.</w:t>
      </w:r>
    </w:p>
    <w:p>
      <w:pPr>
        <w:widowControl/>
      </w:pPr>
      <w:r>
        <w:rPr>
          <w:b/>
          <w:i w:val="0"/>
        </w:rPr>
        <w:t>rutilare.</w:t>
      </w:r>
      <w:r>
        <w:rPr>
          <w:b w:val="0"/>
          <w:i w:val="0"/>
        </w:rPr>
        <w:t xml:space="preserve"> </w:t>
      </w:r>
      <w:hyperlink w:anchor="latin-record-0727">
        <w:r>
          <w:rPr>
            <w:color w:val="000000"/>
          </w:rPr>
          <w:t xml:space="preserve">lucere; rutilare</w:t>
        </w:r>
      </w:hyperlink>
      <w:r>
        <w:rPr>
          <w:b w:val="0"/>
          <w:i w:val="0"/>
        </w:rPr>
        <w:t>.</w:t>
      </w:r>
    </w:p>
    <w:p>
      <w:pPr>
        <w:widowControl/>
      </w:pPr>
      <w:r>
        <w:rPr>
          <w:b/>
          <w:i w:val="0"/>
        </w:rPr>
        <w:t>saepe.</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saepenumero.</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sagacior.</w:t>
      </w:r>
      <w:r>
        <w:rPr>
          <w:b w:val="0"/>
          <w:i w:val="0"/>
        </w:rPr>
        <w:t xml:space="preserve"> </w:t>
      </w:r>
      <w:hyperlink w:anchor="latin-record-0184">
        <w:r>
          <w:rPr>
            <w:color w:val="000000"/>
          </w:rPr>
          <w:t xml:space="preserve">canis / agnus / sagacitas</w:t>
        </w:r>
      </w:hyperlink>
      <w:r>
        <w:rPr>
          <w:b w:val="0"/>
          <w:i w:val="0"/>
        </w:rPr>
        <w:t>.</w:t>
      </w:r>
    </w:p>
    <w:p>
      <w:pPr>
        <w:widowControl/>
      </w:pPr>
      <w:r>
        <w:rPr>
          <w:b/>
          <w:i w:val="0"/>
        </w:rPr>
        <w:t>sagacitatem.</w:t>
      </w:r>
      <w:r>
        <w:rPr>
          <w:b w:val="0"/>
          <w:i w:val="0"/>
        </w:rPr>
        <w:t xml:space="preserve"> </w:t>
      </w:r>
      <w:hyperlink w:anchor="latin-record-1126">
        <w:r>
          <w:rPr>
            <w:color w:val="000000"/>
          </w:rPr>
          <w:t xml:space="preserve">sagacitas / elicere / delitescere</w:t>
        </w:r>
      </w:hyperlink>
      <w:r>
        <w:rPr>
          <w:b w:val="0"/>
          <w:i w:val="0"/>
        </w:rPr>
        <w:t>.</w:t>
      </w:r>
    </w:p>
    <w:p>
      <w:pPr>
        <w:widowControl/>
      </w:pPr>
      <w:r>
        <w:rPr>
          <w:b/>
          <w:i w:val="0"/>
        </w:rPr>
        <w:t>saltem.</w:t>
      </w:r>
      <w:r>
        <w:rPr>
          <w:b w:val="0"/>
          <w:i w:val="0"/>
        </w:rPr>
        <w:t xml:space="preserve"> </w:t>
      </w:r>
      <w:hyperlink w:anchor="latin-record-1127">
        <w:r>
          <w:rPr>
            <w:color w:val="000000"/>
          </w:rPr>
          <w:t xml:space="preserve">saltem</w:t>
        </w:r>
      </w:hyperlink>
      <w:r>
        <w:rPr>
          <w:b w:val="0"/>
          <w:i w:val="0"/>
        </w:rPr>
        <w:t>.</w:t>
      </w:r>
    </w:p>
    <w:p>
      <w:pPr>
        <w:widowControl/>
      </w:pPr>
      <w:r>
        <w:rPr>
          <w:b/>
          <w:i w:val="0"/>
        </w:rPr>
        <w:t>saltem futura sit semper.</w:t>
      </w:r>
      <w:r>
        <w:rPr>
          <w:b w:val="0"/>
          <w:i w:val="0"/>
        </w:rPr>
        <w:t xml:space="preserve"> </w:t>
      </w:r>
      <w:hyperlink w:anchor="latin-record-1128">
        <w:r>
          <w:rPr>
            <w:color w:val="000000"/>
          </w:rPr>
          <w:t xml:space="preserve">saltem futura sit semper</w:t>
        </w:r>
      </w:hyperlink>
      <w:r>
        <w:rPr>
          <w:b w:val="0"/>
          <w:i w:val="0"/>
        </w:rPr>
        <w:t>.</w:t>
      </w:r>
    </w:p>
    <w:p>
      <w:pPr>
        <w:widowControl/>
      </w:pPr>
      <w:r>
        <w:rPr>
          <w:b/>
          <w:i w:val="0"/>
        </w:rPr>
        <w:t>salubria.</w:t>
      </w:r>
      <w:r>
        <w:rPr>
          <w:b w:val="0"/>
          <w:i w:val="0"/>
        </w:rPr>
        <w:t xml:space="preserve"> </w:t>
      </w:r>
      <w:hyperlink w:anchor="latin-record-0998">
        <w:r>
          <w:rPr>
            <w:color w:val="000000"/>
          </w:rPr>
          <w:t xml:space="preserve">privatio / defectus / malum / noxius / salubris</w:t>
        </w:r>
      </w:hyperlink>
      <w:r>
        <w:rPr>
          <w:b w:val="0"/>
          <w:i w:val="0"/>
        </w:rPr>
        <w:t>.</w:t>
      </w:r>
    </w:p>
    <w:p>
      <w:pPr>
        <w:widowControl/>
      </w:pPr>
      <w:r>
        <w:rPr>
          <w:b/>
          <w:i w:val="0"/>
        </w:rPr>
        <w:t>sanguinis.</w:t>
      </w:r>
      <w:r>
        <w:rPr>
          <w:b w:val="0"/>
          <w:i w:val="0"/>
        </w:rPr>
        <w:t xml:space="preserve"> </w:t>
      </w:r>
      <w:hyperlink w:anchor="latin-record-0333">
        <w:r>
          <w:rPr>
            <w:color w:val="000000"/>
          </w:rPr>
          <w:t xml:space="preserve">cor / sanguis / calor</w:t>
        </w:r>
      </w:hyperlink>
      <w:r>
        <w:rPr>
          <w:b w:val="0"/>
          <w:i w:val="0"/>
        </w:rPr>
        <w:t>.</w:t>
      </w:r>
    </w:p>
    <w:p>
      <w:pPr>
        <w:widowControl/>
      </w:pPr>
      <w:r>
        <w:rPr>
          <w:b/>
          <w:i w:val="0"/>
        </w:rPr>
        <w:t>Sanitas.</w:t>
      </w:r>
      <w:r>
        <w:rPr>
          <w:b w:val="0"/>
          <w:i w:val="0"/>
        </w:rPr>
        <w:t xml:space="preserve"> </w:t>
      </w:r>
      <w:hyperlink w:anchor="latin-record-1129">
        <w:r>
          <w:rPr>
            <w:color w:val="000000"/>
          </w:rPr>
          <w:t xml:space="preserve">sanitas / robur / pulchritudo</w:t>
        </w:r>
      </w:hyperlink>
      <w:r>
        <w:rPr>
          <w:b w:val="0"/>
          <w:i w:val="0"/>
        </w:rPr>
        <w:t>.</w:t>
      </w:r>
    </w:p>
    <w:p>
      <w:pPr>
        <w:widowControl/>
      </w:pPr>
      <w:r>
        <w:rPr>
          <w:b/>
          <w:i w:val="0"/>
        </w:rPr>
        <w:t>sanitatem.</w:t>
      </w:r>
      <w:r>
        <w:rPr>
          <w:b w:val="0"/>
          <w:i w:val="0"/>
        </w:rPr>
        <w:t xml:space="preserve"> </w:t>
      </w:r>
      <w:hyperlink w:anchor="latin-record-1129">
        <w:r>
          <w:rPr>
            <w:color w:val="000000"/>
          </w:rPr>
          <w:t xml:space="preserve">sanitas / robur / pulchritudo</w:t>
        </w:r>
      </w:hyperlink>
      <w:r>
        <w:rPr>
          <w:b w:val="0"/>
          <w:i w:val="0"/>
        </w:rPr>
        <w:t>.</w:t>
      </w:r>
    </w:p>
    <w:p>
      <w:pPr>
        <w:widowControl/>
      </w:pPr>
      <w:r>
        <w:rPr>
          <w:b/>
          <w:i w:val="0"/>
        </w:rPr>
        <w:t>sapiens.</w:t>
      </w:r>
      <w:r>
        <w:rPr>
          <w:b w:val="0"/>
          <w:i w:val="0"/>
        </w:rPr>
        <w:t xml:space="preserve"> </w:t>
      </w:r>
      <w:hyperlink w:anchor="latin-record-1130">
        <w:r>
          <w:rPr>
            <w:color w:val="000000"/>
          </w:rPr>
          <w:t xml:space="preserve">sapere</w:t>
        </w:r>
      </w:hyperlink>
      <w:r>
        <w:rPr>
          <w:b w:val="0"/>
          <w:i w:val="0"/>
        </w:rPr>
        <w:t>.</w:t>
      </w:r>
    </w:p>
    <w:p>
      <w:pPr>
        <w:widowControl/>
      </w:pPr>
      <w:r>
        <w:rPr>
          <w:b/>
          <w:i w:val="0"/>
        </w:rPr>
        <w:t>sapientem.</w:t>
      </w:r>
      <w:r>
        <w:rPr>
          <w:b w:val="0"/>
          <w:i w:val="0"/>
        </w:rPr>
        <w:t xml:space="preserve"> </w:t>
      </w:r>
      <w:hyperlink w:anchor="latin-record-1132">
        <w:r>
          <w:rPr>
            <w:color w:val="000000"/>
          </w:rPr>
          <w:t xml:space="preserve">sapientia; sapiens</w:t>
        </w:r>
      </w:hyperlink>
      <w:r>
        <w:rPr>
          <w:b w:val="0"/>
          <w:i w:val="0"/>
        </w:rPr>
        <w:t>.</w:t>
      </w:r>
    </w:p>
    <w:p>
      <w:pPr>
        <w:widowControl/>
      </w:pPr>
      <w:r>
        <w:rPr>
          <w:b/>
          <w:i w:val="0"/>
        </w:rPr>
        <w:t>sapientia.</w:t>
      </w:r>
      <w:r>
        <w:rPr>
          <w:b w:val="0"/>
          <w:i w:val="0"/>
        </w:rPr>
        <w:t xml:space="preserve"> </w:t>
      </w:r>
      <w:hyperlink w:anchor="latin-record-1131">
        <w:r>
          <w:rPr>
            <w:color w:val="000000"/>
          </w:rPr>
          <w:t xml:space="preserve">sapientia / scientia / prudentia / ars</w:t>
        </w:r>
      </w:hyperlink>
      <w:r>
        <w:rPr>
          <w:b w:val="0"/>
          <w:i w:val="0"/>
        </w:rPr>
        <w:t xml:space="preserve">; </w:t>
      </w:r>
      <w:hyperlink w:anchor="latin-record-1132">
        <w:r>
          <w:rPr>
            <w:color w:val="000000"/>
          </w:rPr>
          <w:t xml:space="preserve">sapientia; sapiens</w:t>
        </w:r>
      </w:hyperlink>
      <w:r>
        <w:rPr>
          <w:b w:val="0"/>
          <w:i w:val="0"/>
        </w:rPr>
        <w:t>.</w:t>
      </w:r>
    </w:p>
    <w:p>
      <w:pPr>
        <w:widowControl/>
      </w:pPr>
      <w:r>
        <w:rPr>
          <w:b/>
          <w:i w:val="0"/>
        </w:rPr>
        <w:t>sapientior.</w:t>
      </w:r>
      <w:r>
        <w:rPr>
          <w:b w:val="0"/>
          <w:i w:val="0"/>
        </w:rPr>
        <w:t xml:space="preserve"> </w:t>
      </w:r>
      <w:hyperlink w:anchor="latin-record-1130">
        <w:r>
          <w:rPr>
            <w:color w:val="000000"/>
          </w:rPr>
          <w:t xml:space="preserve">sapere</w:t>
        </w:r>
      </w:hyperlink>
      <w:r>
        <w:rPr>
          <w:b w:val="0"/>
          <w:i w:val="0"/>
        </w:rPr>
        <w:t>.</w:t>
      </w:r>
    </w:p>
    <w:p>
      <w:pPr>
        <w:widowControl/>
      </w:pPr>
      <w:r>
        <w:rPr>
          <w:b/>
          <w:i w:val="0"/>
        </w:rPr>
        <w:t>sapit.</w:t>
      </w:r>
      <w:r>
        <w:rPr>
          <w:b w:val="0"/>
          <w:i w:val="0"/>
        </w:rPr>
        <w:t xml:space="preserve"> </w:t>
      </w:r>
      <w:hyperlink w:anchor="latin-record-1130">
        <w:r>
          <w:rPr>
            <w:color w:val="000000"/>
          </w:rPr>
          <w:t xml:space="preserve">sapere</w:t>
        </w:r>
      </w:hyperlink>
      <w:r>
        <w:rPr>
          <w:b w:val="0"/>
          <w:i w:val="0"/>
        </w:rPr>
        <w:t>.</w:t>
      </w:r>
    </w:p>
    <w:p>
      <w:pPr>
        <w:widowControl/>
      </w:pPr>
      <w:r>
        <w:rPr>
          <w:b/>
          <w:i w:val="0"/>
        </w:rPr>
        <w:t>sapor.</w:t>
      </w:r>
      <w:r>
        <w:rPr>
          <w:b w:val="0"/>
          <w:i w:val="0"/>
        </w:rPr>
        <w:t xml:space="preserve"> </w:t>
      </w:r>
      <w:hyperlink w:anchor="latin-record-1355">
        <w:r>
          <w:rPr>
            <w:color w:val="000000"/>
          </w:rPr>
          <w:t xml:space="preserve">vinum / dulcedo / sapor</w:t>
        </w:r>
      </w:hyperlink>
      <w:r>
        <w:rPr>
          <w:b w:val="0"/>
          <w:i w:val="0"/>
        </w:rPr>
        <w:t>.</w:t>
      </w:r>
    </w:p>
    <w:p>
      <w:pPr>
        <w:widowControl/>
      </w:pPr>
      <w:r>
        <w:rPr>
          <w:b/>
          <w:i w:val="0"/>
        </w:rPr>
        <w:t>saporem.</w:t>
      </w:r>
      <w:r>
        <w:rPr>
          <w:b w:val="0"/>
          <w:i w:val="0"/>
        </w:rPr>
        <w:t xml:space="preserve"> </w:t>
      </w:r>
      <w:hyperlink w:anchor="latin-record-1388">
        <w:r>
          <w:rPr>
            <w:color w:val="000000"/>
          </w:rPr>
          <w:t xml:space="preserve">vox; odor; sapor</w:t>
        </w:r>
      </w:hyperlink>
      <w:r>
        <w:rPr>
          <w:b w:val="0"/>
          <w:i w:val="0"/>
        </w:rPr>
        <w:t>.</w:t>
      </w:r>
    </w:p>
    <w:p>
      <w:pPr>
        <w:widowControl/>
      </w:pPr>
      <w:r>
        <w:rPr>
          <w:b/>
          <w:i w:val="0"/>
        </w:rPr>
        <w:t>sapores.</w:t>
      </w:r>
      <w:r>
        <w:rPr>
          <w:b w:val="0"/>
          <w:i w:val="0"/>
        </w:rPr>
        <w:t xml:space="preserve"> </w:t>
      </w:r>
      <w:hyperlink w:anchor="latin-record-1133">
        <w:r>
          <w:rPr>
            <w:color w:val="000000"/>
          </w:rPr>
          <w:t xml:space="preserve">sapor / odor / aqua</w:t>
        </w:r>
      </w:hyperlink>
      <w:r>
        <w:rPr>
          <w:b w:val="0"/>
          <w:i w:val="0"/>
        </w:rPr>
        <w:t>.</w:t>
      </w:r>
    </w:p>
    <w:p>
      <w:pPr>
        <w:widowControl/>
      </w:pPr>
      <w:r>
        <w:rPr>
          <w:b/>
          <w:i w:val="0"/>
        </w:rPr>
        <w:t>Saturni.</w:t>
      </w:r>
      <w:r>
        <w:rPr>
          <w:b w:val="0"/>
          <w:i w:val="0"/>
        </w:rPr>
        <w:t xml:space="preserve"> </w:t>
      </w:r>
      <w:hyperlink w:anchor="latin-record-1134">
        <w:r>
          <w:rPr>
            <w:color w:val="000000"/>
          </w:rPr>
          <w:t xml:space="preserve">Saturnus / Iuppiter / sphaera</w:t>
        </w:r>
      </w:hyperlink>
      <w:r>
        <w:rPr>
          <w:b w:val="0"/>
          <w:i w:val="0"/>
        </w:rPr>
        <w:t>.</w:t>
      </w:r>
    </w:p>
    <w:p>
      <w:pPr>
        <w:widowControl/>
      </w:pPr>
      <w:r>
        <w:rPr>
          <w:b/>
          <w:i w:val="0"/>
        </w:rPr>
        <w:t>saxa.</w:t>
      </w:r>
      <w:r>
        <w:rPr>
          <w:b w:val="0"/>
          <w:i w:val="0"/>
        </w:rPr>
        <w:t xml:space="preserve"> </w:t>
      </w:r>
      <w:hyperlink w:anchor="latin-record-1135">
        <w:r>
          <w:rPr>
            <w:color w:val="000000"/>
          </w:rPr>
          <w:t xml:space="preserve">saxum; lignum</w:t>
        </w:r>
      </w:hyperlink>
      <w:r>
        <w:rPr>
          <w:b w:val="0"/>
          <w:i w:val="0"/>
        </w:rPr>
        <w:t>.</w:t>
      </w:r>
    </w:p>
    <w:p>
      <w:pPr>
        <w:widowControl/>
      </w:pPr>
      <w:r>
        <w:rPr>
          <w:b/>
          <w:i w:val="0"/>
        </w:rPr>
        <w:t>scaturiat.</w:t>
      </w:r>
      <w:r>
        <w:rPr>
          <w:b w:val="0"/>
          <w:i w:val="0"/>
        </w:rPr>
        <w:t xml:space="preserve"> </w:t>
      </w:r>
      <w:hyperlink w:anchor="latin-record-0523">
        <w:r>
          <w:rPr>
            <w:color w:val="000000"/>
          </w:rPr>
          <w:t xml:space="preserve">frigefieri; scaturire</w:t>
        </w:r>
      </w:hyperlink>
      <w:r>
        <w:rPr>
          <w:b w:val="0"/>
          <w:i w:val="0"/>
        </w:rPr>
        <w:t>.</w:t>
      </w:r>
    </w:p>
    <w:p>
      <w:pPr>
        <w:widowControl/>
      </w:pPr>
      <w:r>
        <w:rPr>
          <w:b/>
          <w:i w:val="0"/>
        </w:rPr>
        <w:t>scientia.</w:t>
      </w:r>
      <w:r>
        <w:rPr>
          <w:b w:val="0"/>
          <w:i w:val="0"/>
        </w:rPr>
        <w:t xml:space="preserve"> </w:t>
      </w:r>
      <w:hyperlink w:anchor="latin-record-1131">
        <w:r>
          <w:rPr>
            <w:color w:val="000000"/>
          </w:rPr>
          <w:t xml:space="preserve">sapientia / scientia / prudentia / ars</w:t>
        </w:r>
      </w:hyperlink>
      <w:r>
        <w:rPr>
          <w:b w:val="0"/>
          <w:i w:val="0"/>
        </w:rPr>
        <w:t xml:space="preserve">; </w:t>
      </w:r>
      <w:hyperlink w:anchor="latin-record-1136">
        <w:r>
          <w:rPr>
            <w:color w:val="000000"/>
          </w:rPr>
          <w:t xml:space="preserve">scientia</w:t>
        </w:r>
      </w:hyperlink>
      <w:r>
        <w:rPr>
          <w:b w:val="0"/>
          <w:i w:val="0"/>
        </w:rPr>
        <w:t>.</w:t>
      </w:r>
    </w:p>
    <w:p>
      <w:pPr>
        <w:widowControl/>
      </w:pPr>
      <w:r>
        <w:rPr>
          <w:b/>
          <w:i w:val="0"/>
        </w:rPr>
        <w:t>Scientia.</w:t>
      </w:r>
      <w:r>
        <w:rPr>
          <w:b w:val="0"/>
          <w:i w:val="0"/>
        </w:rPr>
        <w:t xml:space="preserve"> </w:t>
      </w:r>
      <w:hyperlink w:anchor="latin-record-1136">
        <w:r>
          <w:rPr>
            <w:color w:val="000000"/>
          </w:rPr>
          <w:t xml:space="preserve">scientia</w:t>
        </w:r>
      </w:hyperlink>
      <w:r>
        <w:rPr>
          <w:b w:val="0"/>
          <w:i w:val="0"/>
        </w:rPr>
        <w:t>.</w:t>
      </w:r>
    </w:p>
    <w:p>
      <w:pPr>
        <w:widowControl/>
      </w:pPr>
      <w:r>
        <w:rPr>
          <w:b/>
          <w:i w:val="0"/>
        </w:rPr>
        <w:t>scientiae.</w:t>
      </w:r>
      <w:r>
        <w:rPr>
          <w:b w:val="0"/>
          <w:i w:val="0"/>
        </w:rPr>
        <w:t xml:space="preserve"> </w:t>
      </w:r>
      <w:hyperlink w:anchor="latin-record-1136">
        <w:r>
          <w:rPr>
            <w:color w:val="000000"/>
          </w:rPr>
          <w:t xml:space="preserve">scientia</w:t>
        </w:r>
      </w:hyperlink>
      <w:r>
        <w:rPr>
          <w:b w:val="0"/>
          <w:i w:val="0"/>
        </w:rPr>
        <w:t>.</w:t>
      </w:r>
    </w:p>
    <w:p>
      <w:pPr>
        <w:widowControl/>
      </w:pPr>
      <w:r>
        <w:rPr>
          <w:b/>
          <w:i w:val="0"/>
        </w:rPr>
        <w:t>scientiam.</w:t>
      </w:r>
      <w:r>
        <w:rPr>
          <w:b w:val="0"/>
          <w:i w:val="0"/>
        </w:rPr>
        <w:t xml:space="preserve"> </w:t>
      </w:r>
      <w:hyperlink w:anchor="latin-record-1136">
        <w:r>
          <w:rPr>
            <w:color w:val="000000"/>
          </w:rPr>
          <w:t xml:space="preserve">scientia</w:t>
        </w:r>
      </w:hyperlink>
      <w:r>
        <w:rPr>
          <w:b w:val="0"/>
          <w:i w:val="0"/>
        </w:rPr>
        <w:t>.</w:t>
      </w:r>
    </w:p>
    <w:p>
      <w:pPr>
        <w:widowControl/>
      </w:pPr>
      <w:r>
        <w:rPr>
          <w:b/>
          <w:i w:val="0"/>
        </w:rPr>
        <w:t>scientiarum.</w:t>
      </w:r>
      <w:r>
        <w:rPr>
          <w:b w:val="0"/>
          <w:i w:val="0"/>
        </w:rPr>
        <w:t xml:space="preserve"> </w:t>
      </w:r>
      <w:hyperlink w:anchor="latin-record-1136">
        <w:r>
          <w:rPr>
            <w:color w:val="000000"/>
          </w:rPr>
          <w:t xml:space="preserve">scientia</w:t>
        </w:r>
      </w:hyperlink>
      <w:r>
        <w:rPr>
          <w:b w:val="0"/>
          <w:i w:val="0"/>
        </w:rPr>
        <w:t>.</w:t>
      </w:r>
    </w:p>
    <w:p>
      <w:pPr>
        <w:widowControl/>
      </w:pPr>
      <w:r>
        <w:rPr>
          <w:b/>
          <w:i w:val="0"/>
        </w:rPr>
        <w:t>scientias.</w:t>
      </w:r>
      <w:r>
        <w:rPr>
          <w:b w:val="0"/>
          <w:i w:val="0"/>
        </w:rPr>
        <w:t xml:space="preserve"> </w:t>
      </w:r>
      <w:hyperlink w:anchor="latin-record-1136">
        <w:r>
          <w:rPr>
            <w:color w:val="000000"/>
          </w:rPr>
          <w:t xml:space="preserve">scientia</w:t>
        </w:r>
      </w:hyperlink>
      <w:r>
        <w:rPr>
          <w:b w:val="0"/>
          <w:i w:val="0"/>
        </w:rPr>
        <w:t>.</w:t>
      </w:r>
    </w:p>
    <w:p>
      <w:pPr>
        <w:widowControl/>
      </w:pPr>
      <w:r>
        <w:rPr>
          <w:b/>
          <w:i w:val="0"/>
        </w:rPr>
        <w:t>scintilla.</w:t>
      </w:r>
      <w:r>
        <w:rPr>
          <w:b w:val="0"/>
          <w:i w:val="0"/>
        </w:rPr>
        <w:t xml:space="preserve"> </w:t>
      </w:r>
      <w:hyperlink w:anchor="latin-record-0703">
        <w:r>
          <w:rPr>
            <w:color w:val="000000"/>
          </w:rPr>
          <w:t xml:space="preserve">lapis / scintilla / collidere</w:t>
        </w:r>
      </w:hyperlink>
      <w:r>
        <w:rPr>
          <w:b w:val="0"/>
          <w:i w:val="0"/>
        </w:rPr>
        <w:t xml:space="preserve">; </w:t>
      </w:r>
      <w:hyperlink w:anchor="latin-record-1138">
        <w:r>
          <w:rPr>
            <w:color w:val="000000"/>
          </w:rPr>
          <w:t xml:space="preserve">scintilla; flamma</w:t>
        </w:r>
      </w:hyperlink>
      <w:r>
        <w:rPr>
          <w:b w:val="0"/>
          <w:i w:val="0"/>
        </w:rPr>
        <w:t>.</w:t>
      </w:r>
    </w:p>
    <w:p>
      <w:pPr>
        <w:widowControl/>
      </w:pPr>
      <w:r>
        <w:rPr>
          <w:b/>
          <w:i w:val="0"/>
        </w:rPr>
        <w:t>scintillam.</w:t>
      </w:r>
      <w:r>
        <w:rPr>
          <w:b w:val="0"/>
          <w:i w:val="0"/>
        </w:rPr>
        <w:t xml:space="preserve"> </w:t>
      </w:r>
      <w:hyperlink w:anchor="latin-record-1138">
        <w:r>
          <w:rPr>
            <w:color w:val="000000"/>
          </w:rPr>
          <w:t xml:space="preserve">scintilla; flamma</w:t>
        </w:r>
      </w:hyperlink>
      <w:r>
        <w:rPr>
          <w:b w:val="0"/>
          <w:i w:val="0"/>
        </w:rPr>
        <w:t>.</w:t>
      </w:r>
    </w:p>
    <w:p>
      <w:pPr>
        <w:widowControl/>
      </w:pPr>
      <w:r>
        <w:rPr>
          <w:b/>
          <w:i w:val="0"/>
        </w:rPr>
        <w:t>sciscitabimur.</w:t>
      </w:r>
      <w:r>
        <w:rPr>
          <w:b w:val="0"/>
          <w:i w:val="0"/>
        </w:rPr>
        <w:t xml:space="preserve"> </w:t>
      </w:r>
      <w:hyperlink w:anchor="latin-record-1040">
        <w:r>
          <w:rPr>
            <w:color w:val="000000"/>
          </w:rPr>
          <w:t xml:space="preserve">quaerere / interrogare / percontari</w:t>
        </w:r>
      </w:hyperlink>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sciscitamur.</w:t>
      </w:r>
      <w:r>
        <w:rPr>
          <w:b w:val="0"/>
          <w:i w:val="0"/>
        </w:rPr>
        <w:t xml:space="preserve"> </w:t>
      </w:r>
      <w:hyperlink w:anchor="latin-record-1041">
        <w:r>
          <w:rPr>
            <w:color w:val="000000"/>
          </w:rPr>
          <w:t xml:space="preserve">quaerere; interrogare; percontari</w:t>
        </w:r>
      </w:hyperlink>
      <w:r>
        <w:rPr>
          <w:b w:val="0"/>
          <w:i w:val="0"/>
        </w:rPr>
        <w:t>.</w:t>
      </w:r>
    </w:p>
    <w:p>
      <w:pPr>
        <w:widowControl/>
      </w:pPr>
      <w:r>
        <w:rPr>
          <w:b/>
          <w:i w:val="0"/>
        </w:rPr>
        <w:t>sciti.</w:t>
      </w:r>
      <w:r>
        <w:rPr>
          <w:b w:val="0"/>
          <w:i w:val="0"/>
        </w:rPr>
        <w:t xml:space="preserve"> </w:t>
      </w:r>
      <w:hyperlink w:anchor="latin-record-1139">
        <w:r>
          <w:rPr>
            <w:color w:val="000000"/>
          </w:rPr>
          <w:t xml:space="preserve">scitum / obiectum</w:t>
        </w:r>
      </w:hyperlink>
      <w:r>
        <w:rPr>
          <w:b w:val="0"/>
          <w:i w:val="0"/>
        </w:rPr>
        <w:t>.</w:t>
      </w:r>
    </w:p>
    <w:p>
      <w:pPr>
        <w:widowControl/>
      </w:pPr>
      <w:r>
        <w:rPr>
          <w:b/>
          <w:i w:val="0"/>
        </w:rPr>
        <w:t>scitum.</w:t>
      </w:r>
      <w:r>
        <w:rPr>
          <w:b w:val="0"/>
          <w:i w:val="0"/>
        </w:rPr>
        <w:t xml:space="preserve"> </w:t>
      </w:r>
      <w:hyperlink w:anchor="latin-record-1139">
        <w:r>
          <w:rPr>
            <w:color w:val="000000"/>
          </w:rPr>
          <w:t xml:space="preserve">scitum / obiectum</w:t>
        </w:r>
      </w:hyperlink>
      <w:r>
        <w:rPr>
          <w:b w:val="0"/>
          <w:i w:val="0"/>
        </w:rPr>
        <w:t>.</w:t>
      </w:r>
    </w:p>
    <w:p>
      <w:pPr>
        <w:widowControl/>
      </w:pPr>
      <w:r>
        <w:rPr>
          <w:b/>
          <w:i w:val="0"/>
        </w:rPr>
        <w:t>Sculptor.</w:t>
      </w:r>
      <w:r>
        <w:rPr>
          <w:b w:val="0"/>
          <w:i w:val="0"/>
        </w:rPr>
        <w:t xml:space="preserve"> </w:t>
      </w:r>
      <w:hyperlink w:anchor="latin-record-1140">
        <w:r>
          <w:rPr>
            <w:color w:val="000000"/>
          </w:rPr>
          <w:t xml:space="preserve">sculptor / statua / lapis</w:t>
        </w:r>
      </w:hyperlink>
      <w:r>
        <w:rPr>
          <w:b w:val="0"/>
          <w:i w:val="0"/>
        </w:rPr>
        <w:t>.</w:t>
      </w:r>
    </w:p>
    <w:p>
      <w:pPr>
        <w:widowControl/>
      </w:pPr>
      <w:r>
        <w:rPr>
          <w:b/>
          <w:i w:val="0"/>
        </w:rPr>
        <w:t>se fundit.</w:t>
      </w:r>
      <w:r>
        <w:rPr>
          <w:b w:val="0"/>
          <w:i w:val="0"/>
        </w:rPr>
        <w:t xml:space="preserve"> </w:t>
      </w:r>
      <w:hyperlink w:anchor="latin-record-0323">
        <w:r>
          <w:rPr>
            <w:color w:val="000000"/>
          </w:rPr>
          <w:t xml:space="preserve">contrahere; fundere</w:t>
        </w:r>
      </w:hyperlink>
      <w:r>
        <w:rPr>
          <w:b w:val="0"/>
          <w:i w:val="0"/>
        </w:rPr>
        <w:t>.</w:t>
      </w:r>
    </w:p>
    <w:p>
      <w:pPr>
        <w:widowControl/>
      </w:pPr>
      <w:r>
        <w:rPr>
          <w:b/>
          <w:i w:val="0"/>
        </w:rPr>
        <w:t>se ipsam non deserit.</w:t>
      </w:r>
      <w:r>
        <w:rPr>
          <w:b w:val="0"/>
          <w:i w:val="0"/>
        </w:rPr>
        <w:t xml:space="preserve"> </w:t>
      </w:r>
      <w:hyperlink w:anchor="latin-record-1153">
        <w:r>
          <w:rPr>
            <w:color w:val="000000"/>
          </w:rPr>
          <w:t xml:space="preserve">semet ipsum deserere</w:t>
        </w:r>
      </w:hyperlink>
      <w:r>
        <w:rPr>
          <w:b w:val="0"/>
          <w:i w:val="0"/>
        </w:rPr>
        <w:t>.</w:t>
      </w:r>
    </w:p>
    <w:p>
      <w:pPr>
        <w:widowControl/>
      </w:pPr>
      <w:r>
        <w:rPr>
          <w:b/>
          <w:i w:val="0"/>
        </w:rPr>
        <w:t>se ipsam servandam.</w:t>
      </w:r>
      <w:r>
        <w:rPr>
          <w:b w:val="0"/>
          <w:i w:val="0"/>
        </w:rPr>
        <w:t xml:space="preserve"> </w:t>
      </w:r>
      <w:hyperlink w:anchor="latin-record-1169">
        <w:r>
          <w:rPr>
            <w:color w:val="000000"/>
          </w:rPr>
          <w:t xml:space="preserve">servare; non esse</w:t>
        </w:r>
      </w:hyperlink>
      <w:r>
        <w:rPr>
          <w:b w:val="0"/>
          <w:i w:val="0"/>
        </w:rPr>
        <w:t>.</w:t>
      </w:r>
    </w:p>
    <w:p>
      <w:pPr>
        <w:widowControl/>
      </w:pPr>
      <w:r>
        <w:rPr>
          <w:b/>
          <w:i w:val="0"/>
        </w:rPr>
        <w:t>se ipsum.</w:t>
      </w:r>
      <w:r>
        <w:rPr>
          <w:b w:val="0"/>
          <w:i w:val="0"/>
        </w:rPr>
        <w:t xml:space="preserve"> </w:t>
      </w:r>
      <w:hyperlink w:anchor="latin-record-1153">
        <w:r>
          <w:rPr>
            <w:color w:val="000000"/>
          </w:rPr>
          <w:t xml:space="preserve">semet ipsum deserere</w:t>
        </w:r>
      </w:hyperlink>
      <w:r>
        <w:rPr>
          <w:b w:val="0"/>
          <w:i w:val="0"/>
        </w:rPr>
        <w:t>.</w:t>
      </w:r>
    </w:p>
    <w:p>
      <w:pPr>
        <w:widowControl/>
      </w:pPr>
      <w:r>
        <w:rPr>
          <w:b/>
          <w:i w:val="0"/>
        </w:rPr>
        <w:t>se tota.</w:t>
      </w:r>
      <w:r>
        <w:rPr>
          <w:b w:val="0"/>
          <w:i w:val="0"/>
        </w:rPr>
        <w:t xml:space="preserve"> </w:t>
      </w:r>
      <w:hyperlink w:anchor="latin-record-1142">
        <w:r>
          <w:rPr>
            <w:color w:val="000000"/>
          </w:rPr>
          <w:t xml:space="preserve">se toto</w:t>
        </w:r>
      </w:hyperlink>
      <w:r>
        <w:rPr>
          <w:b w:val="0"/>
          <w:i w:val="0"/>
        </w:rPr>
        <w:t>.</w:t>
      </w:r>
    </w:p>
    <w:p>
      <w:pPr>
        <w:widowControl/>
      </w:pPr>
      <w:r>
        <w:rPr>
          <w:b/>
          <w:i w:val="0"/>
        </w:rPr>
        <w:t>se toto.</w:t>
      </w:r>
      <w:r>
        <w:rPr>
          <w:b w:val="0"/>
          <w:i w:val="0"/>
        </w:rPr>
        <w:t xml:space="preserve"> </w:t>
      </w:r>
      <w:hyperlink w:anchor="latin-record-1142">
        <w:r>
          <w:rPr>
            <w:color w:val="000000"/>
          </w:rPr>
          <w:t xml:space="preserve">se toto</w:t>
        </w:r>
      </w:hyperlink>
      <w:r>
        <w:rPr>
          <w:b w:val="0"/>
          <w:i w:val="0"/>
        </w:rPr>
        <w:t>.</w:t>
      </w:r>
    </w:p>
    <w:p>
      <w:pPr>
        <w:widowControl/>
      </w:pPr>
      <w:r>
        <w:rPr>
          <w:b/>
          <w:i w:val="0"/>
        </w:rPr>
        <w:t>secabis.</w:t>
      </w:r>
      <w:r>
        <w:rPr>
          <w:b w:val="0"/>
          <w:i w:val="0"/>
        </w:rPr>
        <w:t xml:space="preserve"> </w:t>
      </w:r>
      <w:hyperlink w:anchor="latin-record-0402">
        <w:r>
          <w:rPr>
            <w:color w:val="000000"/>
          </w:rPr>
          <w:t xml:space="preserve">distribuere / partiri / secare</w:t>
        </w:r>
      </w:hyperlink>
      <w:r>
        <w:rPr>
          <w:b w:val="0"/>
          <w:i w:val="0"/>
        </w:rPr>
        <w:t>.</w:t>
      </w:r>
    </w:p>
    <w:p>
      <w:pPr>
        <w:widowControl/>
      </w:pPr>
      <w:r>
        <w:rPr>
          <w:b/>
          <w:i w:val="0"/>
        </w:rPr>
        <w:t>secabit.</w:t>
      </w:r>
      <w:r>
        <w:rPr>
          <w:b w:val="0"/>
          <w:i w:val="0"/>
        </w:rPr>
        <w:t xml:space="preserve"> </w:t>
      </w:r>
      <w:hyperlink w:anchor="latin-record-0403">
        <w:r>
          <w:rPr>
            <w:color w:val="000000"/>
          </w:rPr>
          <w:t xml:space="preserve">dividere / secare / partiri</w:t>
        </w:r>
      </w:hyperlink>
      <w:r>
        <w:rPr>
          <w:b w:val="0"/>
          <w:i w:val="0"/>
        </w:rPr>
        <w:t>.</w:t>
      </w:r>
    </w:p>
    <w:p>
      <w:pPr>
        <w:widowControl/>
      </w:pPr>
      <w:r>
        <w:rPr>
          <w:b/>
          <w:i w:val="0"/>
        </w:rPr>
        <w:t>secantur.</w:t>
      </w:r>
      <w:r>
        <w:rPr>
          <w:b w:val="0"/>
          <w:i w:val="0"/>
        </w:rPr>
        <w:t xml:space="preserve"> </w:t>
      </w:r>
      <w:hyperlink w:anchor="latin-record-0527">
        <w:r>
          <w:rPr>
            <w:color w:val="000000"/>
          </w:rPr>
          <w:t xml:space="preserve">frustum / secare</w:t>
        </w:r>
      </w:hyperlink>
      <w:r>
        <w:rPr>
          <w:b w:val="0"/>
          <w:i w:val="0"/>
        </w:rPr>
        <w:t>.</w:t>
      </w:r>
    </w:p>
    <w:p>
      <w:pPr>
        <w:widowControl/>
      </w:pPr>
      <w:r>
        <w:rPr>
          <w:b/>
          <w:i w:val="0"/>
        </w:rPr>
        <w:t>secari.</w:t>
      </w:r>
      <w:r>
        <w:rPr>
          <w:b w:val="0"/>
          <w:i w:val="0"/>
        </w:rPr>
        <w:t xml:space="preserve"> </w:t>
      </w:r>
      <w:hyperlink w:anchor="latin-record-0527">
        <w:r>
          <w:rPr>
            <w:color w:val="000000"/>
          </w:rPr>
          <w:t xml:space="preserve">frustum / secare</w:t>
        </w:r>
      </w:hyperlink>
      <w:r>
        <w:rPr>
          <w:b w:val="0"/>
          <w:i w:val="0"/>
        </w:rPr>
        <w:t>.</w:t>
      </w:r>
    </w:p>
    <w:p>
      <w:pPr>
        <w:widowControl/>
      </w:pPr>
      <w:r>
        <w:rPr>
          <w:b/>
          <w:i w:val="0"/>
        </w:rPr>
        <w:t>secas.</w:t>
      </w:r>
      <w:r>
        <w:rPr>
          <w:b w:val="0"/>
          <w:i w:val="0"/>
        </w:rPr>
        <w:t xml:space="preserve"> </w:t>
      </w:r>
      <w:hyperlink w:anchor="latin-record-0403">
        <w:r>
          <w:rPr>
            <w:color w:val="000000"/>
          </w:rPr>
          <w:t xml:space="preserve">dividere / secare / partiri</w:t>
        </w:r>
      </w:hyperlink>
      <w:r>
        <w:rPr>
          <w:b w:val="0"/>
          <w:i w:val="0"/>
        </w:rPr>
        <w:t>.</w:t>
      </w:r>
    </w:p>
    <w:p>
      <w:pPr>
        <w:widowControl/>
      </w:pPr>
      <w:r>
        <w:rPr>
          <w:b/>
          <w:i w:val="0"/>
        </w:rPr>
        <w:t>secatur.</w:t>
      </w:r>
      <w:r>
        <w:rPr>
          <w:b w:val="0"/>
          <w:i w:val="0"/>
        </w:rPr>
        <w:t xml:space="preserve"> </w:t>
      </w:r>
      <w:hyperlink w:anchor="latin-record-0403">
        <w:r>
          <w:rPr>
            <w:color w:val="000000"/>
          </w:rPr>
          <w:t xml:space="preserve">dividere / secare / partiri</w:t>
        </w:r>
      </w:hyperlink>
      <w:r>
        <w:rPr>
          <w:b w:val="0"/>
          <w:i w:val="0"/>
        </w:rPr>
        <w:t xml:space="preserve">; </w:t>
      </w:r>
      <w:hyperlink w:anchor="latin-record-0527">
        <w:r>
          <w:rPr>
            <w:color w:val="000000"/>
          </w:rPr>
          <w:t xml:space="preserve">frustum / secare</w:t>
        </w:r>
      </w:hyperlink>
      <w:r>
        <w:rPr>
          <w:b w:val="0"/>
          <w:i w:val="0"/>
        </w:rPr>
        <w:t>.</w:t>
      </w:r>
    </w:p>
    <w:p>
      <w:pPr>
        <w:widowControl/>
      </w:pPr>
      <w:r>
        <w:rPr>
          <w:b/>
          <w:i w:val="0"/>
        </w:rPr>
        <w:t>secernere.</w:t>
      </w:r>
      <w:r>
        <w:rPr>
          <w:b w:val="0"/>
          <w:i w:val="0"/>
        </w:rPr>
        <w:t xml:space="preserve"> </w:t>
      </w:r>
      <w:hyperlink w:anchor="latin-record-1144">
        <w:r>
          <w:rPr>
            <w:color w:val="000000"/>
          </w:rPr>
          <w:t xml:space="preserve">secernere / discernere</w:t>
        </w:r>
      </w:hyperlink>
      <w:r>
        <w:rPr>
          <w:b w:val="0"/>
          <w:i w:val="0"/>
        </w:rPr>
        <w:t>.</w:t>
      </w:r>
    </w:p>
    <w:p>
      <w:pPr>
        <w:widowControl/>
      </w:pPr>
      <w:r>
        <w:rPr>
          <w:b/>
          <w:i w:val="0"/>
        </w:rPr>
        <w:t>Secernite.</w:t>
      </w:r>
      <w:r>
        <w:rPr>
          <w:b w:val="0"/>
          <w:i w:val="0"/>
        </w:rPr>
        <w:t xml:space="preserve"> </w:t>
      </w:r>
      <w:hyperlink w:anchor="latin-record-1143">
        <w:r>
          <w:rPr>
            <w:color w:val="000000"/>
          </w:rPr>
          <w:t xml:space="preserve">secernere</w:t>
        </w:r>
      </w:hyperlink>
      <w:r>
        <w:rPr>
          <w:b w:val="0"/>
          <w:i w:val="0"/>
        </w:rPr>
        <w:t>.</w:t>
      </w:r>
    </w:p>
    <w:p>
      <w:pPr>
        <w:widowControl/>
      </w:pPr>
      <w:r>
        <w:rPr>
          <w:b/>
          <w:i w:val="0"/>
        </w:rPr>
        <w:t>secetur.</w:t>
      </w:r>
      <w:r>
        <w:rPr>
          <w:b w:val="0"/>
          <w:i w:val="0"/>
        </w:rPr>
        <w:t xml:space="preserve"> </w:t>
      </w:r>
      <w:hyperlink w:anchor="latin-record-0527">
        <w:r>
          <w:rPr>
            <w:color w:val="000000"/>
          </w:rPr>
          <w:t xml:space="preserve">frustum / secare</w:t>
        </w:r>
      </w:hyperlink>
      <w:r>
        <w:rPr>
          <w:b w:val="0"/>
          <w:i w:val="0"/>
        </w:rPr>
        <w:t>.</w:t>
      </w:r>
    </w:p>
    <w:p>
      <w:pPr>
        <w:widowControl/>
      </w:pPr>
      <w:r>
        <w:rPr>
          <w:b/>
          <w:i w:val="0"/>
        </w:rPr>
        <w:t>secuimus.</w:t>
      </w:r>
      <w:r>
        <w:rPr>
          <w:b w:val="0"/>
          <w:i w:val="0"/>
        </w:rPr>
        <w:t xml:space="preserve"> </w:t>
      </w:r>
      <w:hyperlink w:anchor="latin-record-0902">
        <w:r>
          <w:rPr>
            <w:color w:val="000000"/>
          </w:rPr>
          <w:t xml:space="preserve">partiri; secare</w:t>
        </w:r>
      </w:hyperlink>
      <w:r>
        <w:rPr>
          <w:b w:val="0"/>
          <w:i w:val="0"/>
        </w:rPr>
        <w:t>.</w:t>
      </w:r>
    </w:p>
    <w:p>
      <w:pPr>
        <w:widowControl/>
      </w:pPr>
      <w:r>
        <w:rPr>
          <w:b/>
          <w:i w:val="0"/>
        </w:rPr>
        <w:t>secundaque.</w:t>
      </w:r>
      <w:r>
        <w:rPr>
          <w:b w:val="0"/>
          <w:i w:val="0"/>
        </w:rPr>
        <w:t xml:space="preserve"> </w:t>
      </w:r>
      <w:hyperlink w:anchor="latin-record-0763">
        <w:r>
          <w:rPr>
            <w:color w:val="000000"/>
          </w:rPr>
          <w:t xml:space="preserve">materia propinqua / secunda</w:t>
        </w:r>
      </w:hyperlink>
      <w:r>
        <w:rPr>
          <w:b w:val="0"/>
          <w:i w:val="0"/>
        </w:rPr>
        <w:t>.</w:t>
      </w:r>
    </w:p>
    <w:p>
      <w:pPr>
        <w:widowControl/>
      </w:pPr>
      <w:r>
        <w:rPr>
          <w:b/>
          <w:i w:val="0"/>
        </w:rPr>
        <w:t>secundo.</w:t>
      </w:r>
      <w:r>
        <w:rPr>
          <w:b w:val="0"/>
          <w:i w:val="0"/>
        </w:rPr>
        <w:t xml:space="preserve"> </w:t>
      </w:r>
      <w:hyperlink w:anchor="latin-record-0987">
        <w:r>
          <w:rPr>
            <w:color w:val="000000"/>
          </w:rPr>
          <w:t xml:space="preserve">primum / deinde / prius / secundo</w:t>
        </w:r>
      </w:hyperlink>
      <w:r>
        <w:rPr>
          <w:b w:val="0"/>
          <w:i w:val="0"/>
        </w:rPr>
        <w:t>.</w:t>
      </w:r>
    </w:p>
    <w:p>
      <w:pPr>
        <w:widowControl/>
      </w:pPr>
      <w:r>
        <w:rPr>
          <w:b/>
          <w:i w:val="0"/>
        </w:rPr>
        <w:t>secundo Divinorum.</w:t>
      </w:r>
      <w:r>
        <w:rPr>
          <w:b w:val="0"/>
          <w:i w:val="0"/>
        </w:rPr>
        <w:t xml:space="preserve"> </w:t>
      </w:r>
      <w:hyperlink w:anchor="latin-record-0359">
        <w:r>
          <w:rPr>
            <w:color w:val="000000"/>
          </w:rPr>
          <w:t xml:space="preserve">De republica; Divinorum</w:t>
        </w:r>
      </w:hyperlink>
      <w:r>
        <w:rPr>
          <w:b w:val="0"/>
          <w:i w:val="0"/>
        </w:rPr>
        <w:t>.</w:t>
      </w:r>
    </w:p>
    <w:p>
      <w:pPr>
        <w:widowControl/>
      </w:pPr>
      <w:r>
        <w:rPr>
          <w:b/>
          <w:i w:val="0"/>
        </w:rPr>
        <w:t>secundo quodam actu atque reflexo.</w:t>
      </w:r>
      <w:r>
        <w:rPr>
          <w:b w:val="0"/>
          <w:i w:val="0"/>
        </w:rPr>
        <w:t xml:space="preserve"> </w:t>
      </w:r>
      <w:hyperlink w:anchor="latin-record-0028">
        <w:r>
          <w:rPr>
            <w:color w:val="000000"/>
          </w:rPr>
          <w:t xml:space="preserve">actus reflexus (return to the particular)</w:t>
        </w:r>
      </w:hyperlink>
      <w:r>
        <w:rPr>
          <w:b w:val="0"/>
          <w:i w:val="0"/>
        </w:rPr>
        <w:t>.</w:t>
      </w:r>
    </w:p>
    <w:p>
      <w:pPr>
        <w:widowControl/>
      </w:pPr>
      <w:r>
        <w:rPr>
          <w:b/>
          <w:i w:val="0"/>
        </w:rPr>
        <w:t>secundum finitam naturam.</w:t>
      </w:r>
      <w:r>
        <w:rPr>
          <w:b w:val="0"/>
          <w:i w:val="0"/>
        </w:rPr>
        <w:t xml:space="preserve"> </w:t>
      </w:r>
      <w:hyperlink w:anchor="latin-record-0493">
        <w:r>
          <w:rPr>
            <w:color w:val="000000"/>
          </w:rPr>
          <w:t xml:space="preserve">finita natura</w:t>
        </w:r>
      </w:hyperlink>
      <w:r>
        <w:rPr>
          <w:b w:val="0"/>
          <w:i w:val="0"/>
        </w:rPr>
        <w:t>.</w:t>
      </w:r>
    </w:p>
    <w:p>
      <w:pPr>
        <w:widowControl/>
      </w:pPr>
      <w:r>
        <w:rPr>
          <w:b/>
          <w:i w:val="0"/>
        </w:rPr>
        <w:t>secundum naturam suam.</w:t>
      </w:r>
      <w:r>
        <w:rPr>
          <w:b w:val="0"/>
          <w:i w:val="0"/>
        </w:rPr>
        <w:t xml:space="preserve"> </w:t>
      </w:r>
      <w:hyperlink w:anchor="latin-record-0923">
        <w:r>
          <w:rPr>
            <w:color w:val="000000"/>
          </w:rPr>
          <w:t xml:space="preserve">per sui naturam</w:t>
        </w:r>
      </w:hyperlink>
      <w:r>
        <w:rPr>
          <w:b w:val="0"/>
          <w:i w:val="0"/>
        </w:rPr>
        <w:t>.</w:t>
      </w:r>
    </w:p>
    <w:p>
      <w:pPr>
        <w:widowControl/>
      </w:pPr>
      <w:r>
        <w:rPr>
          <w:b/>
          <w:i w:val="0"/>
        </w:rPr>
        <w:t>secundum Platonicos.</w:t>
      </w:r>
      <w:r>
        <w:rPr>
          <w:b w:val="0"/>
          <w:i w:val="0"/>
        </w:rPr>
        <w:t xml:space="preserve"> </w:t>
      </w:r>
      <w:hyperlink w:anchor="latin-record-1109">
        <w:r>
          <w:rPr>
            <w:color w:val="000000"/>
          </w:rPr>
          <w:t xml:space="preserve">reptilia / secundum Platonicos</w:t>
        </w:r>
      </w:hyperlink>
      <w:r>
        <w:rPr>
          <w:b w:val="0"/>
          <w:i w:val="0"/>
        </w:rPr>
        <w:t>.</w:t>
      </w:r>
    </w:p>
    <w:p>
      <w:pPr>
        <w:widowControl/>
      </w:pPr>
      <w:r>
        <w:rPr>
          <w:b/>
          <w:i w:val="0"/>
        </w:rPr>
        <w:t>Secundum se.</w:t>
      </w:r>
      <w:r>
        <w:rPr>
          <w:b w:val="0"/>
          <w:i w:val="0"/>
        </w:rPr>
        <w:t xml:space="preserve"> </w:t>
      </w:r>
      <w:hyperlink w:anchor="latin-record-1145">
        <w:r>
          <w:rPr>
            <w:color w:val="000000"/>
          </w:rPr>
          <w:t xml:space="preserve">secundum se</w:t>
        </w:r>
      </w:hyperlink>
      <w:r>
        <w:rPr>
          <w:b w:val="0"/>
          <w:i w:val="0"/>
        </w:rPr>
        <w:t>.</w:t>
      </w:r>
    </w:p>
    <w:p>
      <w:pPr>
        <w:widowControl/>
      </w:pPr>
      <w:r>
        <w:rPr>
          <w:b/>
          <w:i w:val="0"/>
        </w:rPr>
        <w:t>secundum se.</w:t>
      </w:r>
      <w:r>
        <w:rPr>
          <w:b w:val="0"/>
          <w:i w:val="0"/>
        </w:rPr>
        <w:t xml:space="preserve"> </w:t>
      </w:r>
      <w:hyperlink w:anchor="latin-record-1145">
        <w:r>
          <w:rPr>
            <w:color w:val="000000"/>
          </w:rPr>
          <w:t xml:space="preserve">secundum se</w:t>
        </w:r>
      </w:hyperlink>
      <w:r>
        <w:rPr>
          <w:b w:val="0"/>
          <w:i w:val="0"/>
        </w:rPr>
        <w:t>.</w:t>
      </w:r>
    </w:p>
    <w:p>
      <w:pPr>
        <w:widowControl/>
      </w:pPr>
      <w:r>
        <w:rPr>
          <w:b/>
          <w:i w:val="0"/>
        </w:rPr>
        <w:t>secundum se ipsam.</w:t>
      </w:r>
      <w:r>
        <w:rPr>
          <w:b w:val="0"/>
          <w:i w:val="0"/>
        </w:rPr>
        <w:t xml:space="preserve"> </w:t>
      </w:r>
      <w:hyperlink w:anchor="latin-record-1145">
        <w:r>
          <w:rPr>
            <w:color w:val="000000"/>
          </w:rPr>
          <w:t xml:space="preserve">secundum se</w:t>
        </w:r>
      </w:hyperlink>
      <w:r>
        <w:rPr>
          <w:b w:val="0"/>
          <w:i w:val="0"/>
        </w:rPr>
        <w:t>.</w:t>
      </w:r>
    </w:p>
    <w:p>
      <w:pPr>
        <w:widowControl/>
      </w:pPr>
      <w:r>
        <w:rPr>
          <w:b/>
          <w:i w:val="0"/>
        </w:rPr>
        <w:t>secundum se totum.</w:t>
      </w:r>
      <w:r>
        <w:rPr>
          <w:b w:val="0"/>
          <w:i w:val="0"/>
        </w:rPr>
        <w:t xml:space="preserve"> </w:t>
      </w:r>
      <w:hyperlink w:anchor="latin-record-0920">
        <w:r>
          <w:rPr>
            <w:color w:val="000000"/>
          </w:rPr>
          <w:t xml:space="preserve">per se et primo</w:t>
        </w:r>
      </w:hyperlink>
      <w:r>
        <w:rPr>
          <w:b w:val="0"/>
          <w:i w:val="0"/>
        </w:rPr>
        <w:t>.</w:t>
      </w:r>
    </w:p>
    <w:p>
      <w:pPr>
        <w:widowControl/>
      </w:pPr>
      <w:r>
        <w:rPr>
          <w:b/>
          <w:i w:val="0"/>
        </w:rPr>
        <w:t>secundum totam sui essentiam.</w:t>
      </w:r>
      <w:r>
        <w:rPr>
          <w:b w:val="0"/>
          <w:i w:val="0"/>
        </w:rPr>
        <w:t xml:space="preserve"> </w:t>
      </w:r>
      <w:hyperlink w:anchor="latin-record-1146">
        <w:r>
          <w:rPr>
            <w:color w:val="000000"/>
          </w:rPr>
          <w:t xml:space="preserve">secundum totam essentiam</w:t>
        </w:r>
      </w:hyperlink>
      <w:r>
        <w:rPr>
          <w:b w:val="0"/>
          <w:i w:val="0"/>
        </w:rPr>
        <w:t>.</w:t>
      </w:r>
    </w:p>
    <w:p>
      <w:pPr>
        <w:widowControl/>
      </w:pPr>
      <w:r>
        <w:rPr>
          <w:b/>
          <w:i w:val="0"/>
        </w:rPr>
        <w:t>sed formalis.</w:t>
      </w:r>
      <w:r>
        <w:rPr>
          <w:b w:val="0"/>
          <w:i w:val="0"/>
        </w:rPr>
        <w:t xml:space="preserve"> </w:t>
      </w:r>
      <w:hyperlink w:anchor="latin-record-0201">
        <w:r>
          <w:rPr>
            <w:color w:val="000000"/>
          </w:rPr>
          <w:t xml:space="preserve">causa non efficiens sed formalis</w:t>
        </w:r>
      </w:hyperlink>
      <w:r>
        <w:rPr>
          <w:b w:val="0"/>
          <w:i w:val="0"/>
        </w:rPr>
        <w:t>.</w:t>
      </w:r>
    </w:p>
    <w:p>
      <w:pPr>
        <w:widowControl/>
      </w:pPr>
      <w:r>
        <w:rPr>
          <w:b/>
          <w:i w:val="0"/>
        </w:rPr>
        <w:t>Sed hoc ipse viderit.</w:t>
      </w:r>
      <w:r>
        <w:rPr>
          <w:b w:val="0"/>
          <w:i w:val="0"/>
        </w:rPr>
        <w:t xml:space="preserve"> </w:t>
      </w:r>
      <w:hyperlink w:anchor="latin-record-0787">
        <w:r>
          <w:rPr>
            <w:color w:val="000000"/>
          </w:rPr>
          <w:t xml:space="preserve">mitto / ipse viderit</w:t>
        </w:r>
      </w:hyperlink>
      <w:r>
        <w:rPr>
          <w:b w:val="0"/>
          <w:i w:val="0"/>
        </w:rPr>
        <w:t>.</w:t>
      </w:r>
    </w:p>
    <w:p>
      <w:pPr>
        <w:widowControl/>
      </w:pPr>
      <w:r>
        <w:rPr>
          <w:b/>
          <w:i w:val="0"/>
        </w:rPr>
        <w:t>sed vitali.</w:t>
      </w:r>
      <w:r>
        <w:rPr>
          <w:b w:val="0"/>
          <w:i w:val="0"/>
        </w:rPr>
        <w:t xml:space="preserve"> </w:t>
      </w:r>
      <w:hyperlink w:anchor="latin-record-0810">
        <w:r>
          <w:rPr>
            <w:color w:val="000000"/>
          </w:rPr>
          <w:t xml:space="preserve">motus vitalis</w:t>
        </w:r>
      </w:hyperlink>
      <w:r>
        <w:rPr>
          <w:b w:val="0"/>
          <w:i w:val="0"/>
        </w:rPr>
        <w:t>.</w:t>
      </w:r>
    </w:p>
    <w:p>
      <w:pPr>
        <w:widowControl/>
      </w:pPr>
      <w:r>
        <w:rPr>
          <w:b/>
          <w:i w:val="0"/>
        </w:rPr>
        <w:t>sede.</w:t>
      </w:r>
      <w:r>
        <w:rPr>
          <w:b w:val="0"/>
          <w:i w:val="0"/>
        </w:rPr>
        <w:t xml:space="preserve"> </w:t>
      </w:r>
      <w:hyperlink w:anchor="latin-record-1147">
        <w:r>
          <w:rPr>
            <w:color w:val="000000"/>
          </w:rPr>
          <w:t xml:space="preserve">sedes</w:t>
        </w:r>
      </w:hyperlink>
      <w:r>
        <w:rPr>
          <w:b w:val="0"/>
          <w:i w:val="0"/>
        </w:rPr>
        <w:t>.</w:t>
      </w:r>
    </w:p>
    <w:p>
      <w:pPr>
        <w:widowControl/>
      </w:pPr>
      <w:r>
        <w:rPr>
          <w:b/>
          <w:i w:val="0"/>
        </w:rPr>
        <w:t>sedem.</w:t>
      </w:r>
      <w:r>
        <w:rPr>
          <w:b w:val="0"/>
          <w:i w:val="0"/>
        </w:rPr>
        <w:t xml:space="preserve"> </w:t>
      </w:r>
      <w:hyperlink w:anchor="latin-record-1148">
        <w:r>
          <w:rPr>
            <w:color w:val="000000"/>
          </w:rPr>
          <w:t xml:space="preserve">sedes / fundamentum</w:t>
        </w:r>
      </w:hyperlink>
      <w:r>
        <w:rPr>
          <w:b w:val="0"/>
          <w:i w:val="0"/>
        </w:rPr>
        <w:t>.</w:t>
      </w:r>
    </w:p>
    <w:p>
      <w:pPr>
        <w:widowControl/>
      </w:pPr>
      <w:r>
        <w:rPr>
          <w:b/>
          <w:i w:val="0"/>
        </w:rPr>
        <w:t>sedes.</w:t>
      </w:r>
      <w:r>
        <w:rPr>
          <w:b w:val="0"/>
          <w:i w:val="0"/>
        </w:rPr>
        <w:t xml:space="preserve"> </w:t>
      </w:r>
      <w:hyperlink w:anchor="latin-record-1147">
        <w:r>
          <w:rPr>
            <w:color w:val="000000"/>
          </w:rPr>
          <w:t xml:space="preserve">sedes</w:t>
        </w:r>
      </w:hyperlink>
      <w:r>
        <w:rPr>
          <w:b w:val="0"/>
          <w:i w:val="0"/>
        </w:rPr>
        <w:t xml:space="preserve">; </w:t>
      </w:r>
      <w:hyperlink w:anchor="latin-record-1148">
        <w:r>
          <w:rPr>
            <w:color w:val="000000"/>
          </w:rPr>
          <w:t xml:space="preserve">sedes / fundamentum</w:t>
        </w:r>
      </w:hyperlink>
      <w:r>
        <w:rPr>
          <w:b w:val="0"/>
          <w:i w:val="0"/>
        </w:rPr>
        <w:t>.</w:t>
      </w:r>
    </w:p>
    <w:p>
      <w:pPr>
        <w:widowControl/>
      </w:pPr>
      <w:r>
        <w:rPr>
          <w:b/>
          <w:i w:val="0"/>
        </w:rPr>
        <w:t>Segrega.</w:t>
      </w:r>
      <w:r>
        <w:rPr>
          <w:b w:val="0"/>
          <w:i w:val="0"/>
        </w:rPr>
        <w:t xml:space="preserve"> </w:t>
      </w:r>
      <w:hyperlink w:anchor="latin-record-1149">
        <w:r>
          <w:rPr>
            <w:color w:val="000000"/>
          </w:rPr>
          <w:t xml:space="preserve">segregare / restituere</w:t>
        </w:r>
      </w:hyperlink>
      <w:r>
        <w:rPr>
          <w:b w:val="0"/>
          <w:i w:val="0"/>
        </w:rPr>
        <w:t>.</w:t>
      </w:r>
    </w:p>
    <w:p>
      <w:pPr>
        <w:widowControl/>
      </w:pPr>
      <w:r>
        <w:rPr>
          <w:b/>
          <w:i w:val="0"/>
        </w:rPr>
        <w:t>segregari.</w:t>
      </w:r>
      <w:r>
        <w:rPr>
          <w:b w:val="0"/>
          <w:i w:val="0"/>
        </w:rPr>
        <w:t xml:space="preserve"> </w:t>
      </w:r>
      <w:hyperlink w:anchor="latin-record-1164">
        <w:r>
          <w:rPr>
            <w:color w:val="000000"/>
          </w:rPr>
          <w:t xml:space="preserve">separare / segregare</w:t>
        </w:r>
      </w:hyperlink>
      <w:r>
        <w:rPr>
          <w:b w:val="0"/>
          <w:i w:val="0"/>
        </w:rPr>
        <w:t>.</w:t>
      </w:r>
    </w:p>
    <w:p>
      <w:pPr>
        <w:widowControl/>
      </w:pPr>
      <w:r>
        <w:rPr>
          <w:b/>
          <w:i w:val="0"/>
        </w:rPr>
        <w:t>segregat.</w:t>
      </w:r>
      <w:r>
        <w:rPr>
          <w:b w:val="0"/>
          <w:i w:val="0"/>
        </w:rPr>
        <w:t xml:space="preserve"> </w:t>
      </w:r>
      <w:hyperlink w:anchor="latin-record-1149">
        <w:r>
          <w:rPr>
            <w:color w:val="000000"/>
          </w:rPr>
          <w:t xml:space="preserve">segregare / restituere</w:t>
        </w:r>
      </w:hyperlink>
      <w:r>
        <w:rPr>
          <w:b w:val="0"/>
          <w:i w:val="0"/>
        </w:rPr>
        <w:t xml:space="preserve">; </w:t>
      </w:r>
      <w:hyperlink w:anchor="latin-record-1164">
        <w:r>
          <w:rPr>
            <w:color w:val="000000"/>
          </w:rPr>
          <w:t xml:space="preserve">separare / segregare</w:t>
        </w:r>
      </w:hyperlink>
      <w:r>
        <w:rPr>
          <w:b w:val="0"/>
          <w:i w:val="0"/>
        </w:rPr>
        <w:t>.</w:t>
      </w:r>
    </w:p>
    <w:p>
      <w:pPr>
        <w:widowControl/>
      </w:pPr>
      <w:r>
        <w:rPr>
          <w:b/>
          <w:i w:val="0"/>
        </w:rPr>
        <w:t>segregatas.</w:t>
      </w:r>
      <w:r>
        <w:rPr>
          <w:b w:val="0"/>
          <w:i w:val="0"/>
        </w:rPr>
        <w:t xml:space="preserve"> </w:t>
      </w:r>
      <w:hyperlink w:anchor="latin-record-0506">
        <w:r>
          <w:rPr>
            <w:color w:val="000000"/>
          </w:rPr>
          <w:t xml:space="preserve">forma segregata; subiectum</w:t>
        </w:r>
      </w:hyperlink>
      <w:r>
        <w:rPr>
          <w:b w:val="0"/>
          <w:i w:val="0"/>
        </w:rPr>
        <w:t>.</w:t>
      </w:r>
    </w:p>
    <w:p>
      <w:pPr>
        <w:widowControl/>
      </w:pPr>
      <w:r>
        <w:rPr>
          <w:b/>
          <w:i w:val="0"/>
        </w:rPr>
        <w:t>seiuncta.</w:t>
      </w:r>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seiungitur.</w:t>
      </w:r>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semel.</w:t>
      </w:r>
      <w:r>
        <w:rPr>
          <w:b w:val="0"/>
          <w:i w:val="0"/>
        </w:rPr>
        <w:t xml:space="preserve"> </w:t>
      </w:r>
      <w:hyperlink w:anchor="latin-record-1150">
        <w:r>
          <w:rPr>
            <w:color w:val="000000"/>
          </w:rPr>
          <w:t xml:space="preserve">semel</w:t>
        </w:r>
      </w:hyperlink>
      <w:r>
        <w:rPr>
          <w:b w:val="0"/>
          <w:i w:val="0"/>
        </w:rPr>
        <w:t>.</w:t>
      </w:r>
    </w:p>
    <w:p>
      <w:pPr>
        <w:widowControl/>
      </w:pPr>
      <w:r>
        <w:rPr>
          <w:b/>
          <w:i w:val="0"/>
        </w:rPr>
        <w:t>seminaria virtus.</w:t>
      </w:r>
      <w:r>
        <w:rPr>
          <w:b w:val="0"/>
          <w:i w:val="0"/>
        </w:rPr>
        <w:t xml:space="preserve"> </w:t>
      </w:r>
      <w:hyperlink w:anchor="latin-record-1367">
        <w:r>
          <w:rPr>
            <w:color w:val="000000"/>
          </w:rPr>
          <w:t xml:space="preserve">vis seminaria</w:t>
        </w:r>
      </w:hyperlink>
      <w:r>
        <w:rPr>
          <w:b w:val="0"/>
          <w:i w:val="0"/>
        </w:rPr>
        <w:t>.</w:t>
      </w:r>
    </w:p>
    <w:p>
      <w:pPr>
        <w:widowControl/>
      </w:pPr>
      <w:r>
        <w:rPr>
          <w:b/>
          <w:i w:val="0"/>
        </w:rPr>
        <w:t>semine.</w:t>
      </w:r>
      <w:r>
        <w:rPr>
          <w:b w:val="0"/>
          <w:i w:val="0"/>
        </w:rPr>
        <w:t xml:space="preserve"> </w:t>
      </w:r>
      <w:hyperlink w:anchor="latin-record-1151">
        <w:r>
          <w:rPr>
            <w:color w:val="000000"/>
          </w:rPr>
          <w:t xml:space="preserve">semen</w:t>
        </w:r>
      </w:hyperlink>
      <w:r>
        <w:rPr>
          <w:b w:val="0"/>
          <w:i w:val="0"/>
        </w:rPr>
        <w:t xml:space="preserve">; </w:t>
      </w:r>
      <w:hyperlink w:anchor="latin-record-1152">
        <w:r>
          <w:rPr>
            <w:color w:val="000000"/>
          </w:rPr>
          <w:t xml:space="preserve">semen; incohatio; proportio</w:t>
        </w:r>
      </w:hyperlink>
      <w:r>
        <w:rPr>
          <w:b w:val="0"/>
          <w:i w:val="0"/>
        </w:rPr>
        <w:t>.</w:t>
      </w:r>
    </w:p>
    <w:p>
      <w:pPr>
        <w:widowControl/>
      </w:pPr>
      <w:r>
        <w:rPr>
          <w:b/>
          <w:i w:val="0"/>
        </w:rPr>
        <w:t>semper.</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sempiterna.</w:t>
      </w:r>
      <w:r>
        <w:rPr>
          <w:b w:val="0"/>
          <w:i w:val="0"/>
        </w:rPr>
        <w:t xml:space="preserve"> </w:t>
      </w:r>
      <w:hyperlink w:anchor="latin-record-0599">
        <w:r>
          <w:rPr>
            <w:color w:val="000000"/>
          </w:rPr>
          <w:t xml:space="preserve">immortalis; perpetuus; sempiternus</w:t>
        </w:r>
      </w:hyperlink>
      <w:r>
        <w:rPr>
          <w:b w:val="0"/>
          <w:i w:val="0"/>
        </w:rPr>
        <w:t xml:space="preserve">; </w:t>
      </w:r>
      <w:hyperlink w:anchor="latin-record-1155">
        <w:r>
          <w:rPr>
            <w:color w:val="000000"/>
          </w:rPr>
          <w:t xml:space="preserve">sempiternus</w:t>
        </w:r>
      </w:hyperlink>
      <w:r>
        <w:rPr>
          <w:b w:val="0"/>
          <w:i w:val="0"/>
        </w:rPr>
        <w:t>.</w:t>
      </w:r>
    </w:p>
    <w:p>
      <w:pPr>
        <w:widowControl/>
      </w:pPr>
      <w:r>
        <w:rPr>
          <w:b/>
          <w:i w:val="0"/>
        </w:rPr>
        <w:t>sempiternae.</w:t>
      </w:r>
      <w:r>
        <w:rPr>
          <w:b w:val="0"/>
          <w:i w:val="0"/>
        </w:rPr>
        <w:t xml:space="preserve"> </w:t>
      </w:r>
      <w:hyperlink w:anchor="latin-record-0934">
        <w:r>
          <w:rPr>
            <w:color w:val="000000"/>
          </w:rPr>
          <w:t xml:space="preserve">perpetuus / sempiternus</w:t>
        </w:r>
      </w:hyperlink>
      <w:r>
        <w:rPr>
          <w:b w:val="0"/>
          <w:i w:val="0"/>
        </w:rPr>
        <w:t xml:space="preserve">; </w:t>
      </w:r>
      <w:hyperlink w:anchor="latin-record-1155">
        <w:r>
          <w:rPr>
            <w:color w:val="000000"/>
          </w:rPr>
          <w:t xml:space="preserve">sempiternus</w:t>
        </w:r>
      </w:hyperlink>
      <w:r>
        <w:rPr>
          <w:b w:val="0"/>
          <w:i w:val="0"/>
        </w:rPr>
        <w:t>.</w:t>
      </w:r>
    </w:p>
    <w:p>
      <w:pPr>
        <w:widowControl/>
      </w:pPr>
      <w:r>
        <w:rPr>
          <w:b/>
          <w:i w:val="0"/>
        </w:rPr>
        <w:t>sempiternam.</w:t>
      </w:r>
      <w:r>
        <w:rPr>
          <w:b w:val="0"/>
          <w:i w:val="0"/>
        </w:rPr>
        <w:t xml:space="preserve"> </w:t>
      </w:r>
      <w:hyperlink w:anchor="latin-record-1155">
        <w:r>
          <w:rPr>
            <w:color w:val="000000"/>
          </w:rPr>
          <w:t xml:space="preserve">sempiternus</w:t>
        </w:r>
      </w:hyperlink>
      <w:r>
        <w:rPr>
          <w:b w:val="0"/>
          <w:i w:val="0"/>
        </w:rPr>
        <w:t>.</w:t>
      </w:r>
    </w:p>
    <w:p>
      <w:pPr>
        <w:widowControl/>
      </w:pPr>
      <w:r>
        <w:rPr>
          <w:b/>
          <w:i w:val="0"/>
        </w:rPr>
        <w:t>sempiternas.</w:t>
      </w:r>
      <w:r>
        <w:rPr>
          <w:b w:val="0"/>
          <w:i w:val="0"/>
        </w:rPr>
        <w:t xml:space="preserve"> </w:t>
      </w:r>
      <w:hyperlink w:anchor="latin-record-1155">
        <w:r>
          <w:rPr>
            <w:color w:val="000000"/>
          </w:rPr>
          <w:t xml:space="preserve">sempiternus</w:t>
        </w:r>
      </w:hyperlink>
      <w:r>
        <w:rPr>
          <w:b w:val="0"/>
          <w:i w:val="0"/>
        </w:rPr>
        <w:t>.</w:t>
      </w:r>
    </w:p>
    <w:p>
      <w:pPr>
        <w:widowControl/>
      </w:pPr>
      <w:r>
        <w:rPr>
          <w:b/>
          <w:i w:val="0"/>
        </w:rPr>
        <w:t>sempiterno.</w:t>
      </w:r>
      <w:r>
        <w:rPr>
          <w:b w:val="0"/>
          <w:i w:val="0"/>
        </w:rPr>
        <w:t xml:space="preserve"> </w:t>
      </w:r>
      <w:hyperlink w:anchor="latin-record-1155">
        <w:r>
          <w:rPr>
            <w:color w:val="000000"/>
          </w:rPr>
          <w:t xml:space="preserve">sempiternus</w:t>
        </w:r>
      </w:hyperlink>
      <w:r>
        <w:rPr>
          <w:b w:val="0"/>
          <w:i w:val="0"/>
        </w:rPr>
        <w:t>.</w:t>
      </w:r>
    </w:p>
    <w:p>
      <w:pPr>
        <w:widowControl/>
      </w:pPr>
      <w:r>
        <w:rPr>
          <w:b/>
          <w:i w:val="0"/>
        </w:rPr>
        <w:t>Sempiternum.</w:t>
      </w:r>
      <w:r>
        <w:rPr>
          <w:b w:val="0"/>
          <w:i w:val="0"/>
        </w:rPr>
        <w:t xml:space="preserve"> </w:t>
      </w:r>
      <w:hyperlink w:anchor="latin-record-0599">
        <w:r>
          <w:rPr>
            <w:color w:val="000000"/>
          </w:rPr>
          <w:t xml:space="preserve">immortalis; perpetuus; sempiternus</w:t>
        </w:r>
      </w:hyperlink>
      <w:r>
        <w:rPr>
          <w:b w:val="0"/>
          <w:i w:val="0"/>
        </w:rPr>
        <w:t>.</w:t>
      </w:r>
    </w:p>
    <w:p>
      <w:pPr>
        <w:widowControl/>
      </w:pPr>
      <w:r>
        <w:rPr>
          <w:b/>
          <w:i w:val="0"/>
        </w:rPr>
        <w:t>sempiternus.</w:t>
      </w:r>
      <w:r>
        <w:rPr>
          <w:b w:val="0"/>
          <w:i w:val="0"/>
        </w:rPr>
        <w:t xml:space="preserve"> </w:t>
      </w:r>
      <w:hyperlink w:anchor="latin-record-0934">
        <w:r>
          <w:rPr>
            <w:color w:val="000000"/>
          </w:rPr>
          <w:t xml:space="preserve">perpetuus / sempiternus</w:t>
        </w:r>
      </w:hyperlink>
      <w:r>
        <w:rPr>
          <w:b w:val="0"/>
          <w:i w:val="0"/>
        </w:rPr>
        <w:t>.</w:t>
      </w:r>
    </w:p>
    <w:p>
      <w:pPr>
        <w:widowControl/>
      </w:pPr>
      <w:r>
        <w:rPr>
          <w:b/>
          <w:i w:val="0"/>
        </w:rPr>
        <w:t>senarium.</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Sensibilia.</w:t>
      </w:r>
      <w:r>
        <w:rPr>
          <w:b w:val="0"/>
          <w:i w:val="0"/>
        </w:rPr>
        <w:t xml:space="preserve"> </w:t>
      </w:r>
      <w:hyperlink w:anchor="latin-record-1160">
        <w:r>
          <w:rPr>
            <w:color w:val="000000"/>
          </w:rPr>
          <w:t xml:space="preserve">sentire / sensus</w:t>
        </w:r>
      </w:hyperlink>
      <w:r>
        <w:rPr>
          <w:b w:val="0"/>
          <w:i w:val="0"/>
        </w:rPr>
        <w:t>.</w:t>
      </w:r>
    </w:p>
    <w:p>
      <w:pPr>
        <w:widowControl/>
      </w:pPr>
      <w:r>
        <w:rPr>
          <w:b/>
          <w:i w:val="0"/>
        </w:rPr>
        <w:t>sensibilium.</w:t>
      </w:r>
      <w:r>
        <w:rPr>
          <w:b w:val="0"/>
          <w:i w:val="0"/>
        </w:rPr>
        <w:t xml:space="preserve"> </w:t>
      </w:r>
      <w:hyperlink w:anchor="latin-record-1160">
        <w:r>
          <w:rPr>
            <w:color w:val="000000"/>
          </w:rPr>
          <w:t xml:space="preserve">sentire / sensus</w:t>
        </w:r>
      </w:hyperlink>
      <w:r>
        <w:rPr>
          <w:b w:val="0"/>
          <w:i w:val="0"/>
        </w:rPr>
        <w:t>.</w:t>
      </w:r>
    </w:p>
    <w:p>
      <w:pPr>
        <w:widowControl/>
      </w:pPr>
      <w:r>
        <w:rPr>
          <w:b/>
          <w:i w:val="0"/>
        </w:rPr>
        <w:t>sensibus.</w:t>
      </w:r>
      <w:r>
        <w:rPr>
          <w:b w:val="0"/>
          <w:i w:val="0"/>
        </w:rPr>
        <w:t xml:space="preserve"> </w:t>
      </w:r>
      <w:hyperlink w:anchor="latin-record-1156">
        <w:r>
          <w:rPr>
            <w:color w:val="000000"/>
          </w:rPr>
          <w:t xml:space="preserve">sensus</w:t>
        </w:r>
      </w:hyperlink>
      <w:r>
        <w:rPr>
          <w:b w:val="0"/>
          <w:i w:val="0"/>
        </w:rPr>
        <w:t xml:space="preserve">; </w:t>
      </w:r>
      <w:hyperlink w:anchor="latin-record-1160">
        <w:r>
          <w:rPr>
            <w:color w:val="000000"/>
          </w:rPr>
          <w:t xml:space="preserve">sentire / sensus</w:t>
        </w:r>
      </w:hyperlink>
      <w:r>
        <w:rPr>
          <w:b w:val="0"/>
          <w:i w:val="0"/>
        </w:rPr>
        <w:t>.</w:t>
      </w:r>
    </w:p>
    <w:p>
      <w:pPr>
        <w:widowControl/>
      </w:pPr>
      <w:r>
        <w:rPr>
          <w:b/>
          <w:i w:val="0"/>
        </w:rPr>
        <w:t>sensim.</w:t>
      </w:r>
      <w:r>
        <w:rPr>
          <w:b w:val="0"/>
          <w:i w:val="0"/>
        </w:rPr>
        <w:t xml:space="preserve"> </w:t>
      </w:r>
      <w:hyperlink w:anchor="latin-record-0910">
        <w:r>
          <w:rPr>
            <w:color w:val="000000"/>
          </w:rPr>
          <w:t xml:space="preserve">pedetentim / paulatim / subito</w:t>
        </w:r>
      </w:hyperlink>
      <w:r>
        <w:rPr>
          <w:b w:val="0"/>
          <w:i w:val="0"/>
        </w:rPr>
        <w:t>.</w:t>
      </w:r>
    </w:p>
    <w:p>
      <w:pPr>
        <w:widowControl/>
      </w:pPr>
      <w:r>
        <w:rPr>
          <w:b/>
          <w:i w:val="0"/>
        </w:rPr>
        <w:t>sensitiva.</w:t>
      </w:r>
      <w:r>
        <w:rPr>
          <w:b w:val="0"/>
          <w:i w:val="0"/>
        </w:rPr>
        <w:t xml:space="preserve"> </w:t>
      </w:r>
      <w:hyperlink w:anchor="latin-record-0094">
        <w:r>
          <w:rPr>
            <w:color w:val="000000"/>
          </w:rPr>
          <w:t xml:space="preserve">anima nutritiva / sensitiva</w:t>
        </w:r>
      </w:hyperlink>
      <w:r>
        <w:rPr>
          <w:b w:val="0"/>
          <w:i w:val="0"/>
        </w:rPr>
        <w:t>.</w:t>
      </w:r>
    </w:p>
    <w:p>
      <w:pPr>
        <w:widowControl/>
      </w:pPr>
      <w:r>
        <w:rPr>
          <w:b/>
          <w:i w:val="0"/>
        </w:rPr>
        <w:t>sensitivae.</w:t>
      </w:r>
      <w:r>
        <w:rPr>
          <w:b w:val="0"/>
          <w:i w:val="0"/>
        </w:rPr>
        <w:t xml:space="preserve"> </w:t>
      </w:r>
      <w:hyperlink w:anchor="latin-record-0094">
        <w:r>
          <w:rPr>
            <w:color w:val="000000"/>
          </w:rPr>
          <w:t xml:space="preserve">anima nutritiva / sensitiva</w:t>
        </w:r>
      </w:hyperlink>
      <w:r>
        <w:rPr>
          <w:b w:val="0"/>
          <w:i w:val="0"/>
        </w:rPr>
        <w:t>.</w:t>
      </w:r>
    </w:p>
    <w:p>
      <w:pPr>
        <w:widowControl/>
      </w:pPr>
      <w:r>
        <w:rPr>
          <w:b/>
          <w:i w:val="0"/>
        </w:rPr>
        <w:t>sensu.</w:t>
      </w:r>
      <w:r>
        <w:rPr>
          <w:b w:val="0"/>
          <w:i w:val="0"/>
        </w:rPr>
        <w:t xml:space="preserve"> </w:t>
      </w:r>
      <w:hyperlink w:anchor="latin-record-0661">
        <w:r>
          <w:rPr>
            <w:color w:val="000000"/>
          </w:rPr>
          <w:t xml:space="preserve">intellectus / sensus / appetitus</w:t>
        </w:r>
      </w:hyperlink>
      <w:r>
        <w:rPr>
          <w:b w:val="0"/>
          <w:i w:val="0"/>
        </w:rPr>
        <w:t xml:space="preserve">; </w:t>
      </w:r>
      <w:hyperlink w:anchor="latin-record-1159">
        <w:r>
          <w:rPr>
            <w:color w:val="000000"/>
          </w:rPr>
          <w:t xml:space="preserve">sensus; sentire</w:t>
        </w:r>
      </w:hyperlink>
      <w:r>
        <w:rPr>
          <w:b w:val="0"/>
          <w:i w:val="0"/>
        </w:rPr>
        <w:t>.</w:t>
      </w:r>
    </w:p>
    <w:p>
      <w:pPr>
        <w:widowControl/>
      </w:pPr>
      <w:r>
        <w:rPr>
          <w:b/>
          <w:i w:val="0"/>
        </w:rPr>
        <w:t>sensum.</w:t>
      </w:r>
      <w:r>
        <w:rPr>
          <w:b w:val="0"/>
          <w:i w:val="0"/>
        </w:rPr>
        <w:t xml:space="preserve"> </w:t>
      </w:r>
      <w:hyperlink w:anchor="latin-record-1156">
        <w:r>
          <w:rPr>
            <w:color w:val="000000"/>
          </w:rPr>
          <w:t xml:space="preserve">sensus</w:t>
        </w:r>
      </w:hyperlink>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 xml:space="preserve">; </w:t>
      </w:r>
      <w:hyperlink w:anchor="latin-record-1160">
        <w:r>
          <w:rPr>
            <w:color w:val="000000"/>
          </w:rPr>
          <w:t xml:space="preserve">sentire / sensus</w:t>
        </w:r>
      </w:hyperlink>
      <w:r>
        <w:rPr>
          <w:b w:val="0"/>
          <w:i w:val="0"/>
        </w:rPr>
        <w:t>.</w:t>
      </w:r>
    </w:p>
    <w:p>
      <w:pPr>
        <w:widowControl/>
      </w:pPr>
      <w:r>
        <w:rPr>
          <w:b/>
          <w:i w:val="0"/>
        </w:rPr>
        <w:t>sensum tum exteriorem.</w:t>
      </w:r>
      <w:r>
        <w:rPr>
          <w:b w:val="0"/>
          <w:i w:val="0"/>
        </w:rPr>
        <w:t xml:space="preserve"> </w:t>
      </w:r>
      <w:hyperlink w:anchor="latin-record-1158">
        <w:r>
          <w:rPr>
            <w:color w:val="000000"/>
          </w:rPr>
          <w:t xml:space="preserve">sensus exterior; sensus interior</w:t>
        </w:r>
      </w:hyperlink>
      <w:r>
        <w:rPr>
          <w:b w:val="0"/>
          <w:i w:val="0"/>
        </w:rPr>
        <w:t>.</w:t>
      </w:r>
    </w:p>
    <w:p>
      <w:pPr>
        <w:widowControl/>
      </w:pPr>
      <w:r>
        <w:rPr>
          <w:b/>
          <w:i w:val="0"/>
        </w:rPr>
        <w:t>Sensus.</w:t>
      </w:r>
      <w:r>
        <w:rPr>
          <w:b w:val="0"/>
          <w:i w:val="0"/>
        </w:rPr>
        <w:t xml:space="preserve"> </w:t>
      </w:r>
      <w:hyperlink w:anchor="latin-record-1156">
        <w:r>
          <w:rPr>
            <w:color w:val="000000"/>
          </w:rPr>
          <w:t xml:space="preserve">sensus</w:t>
        </w:r>
      </w:hyperlink>
      <w:r>
        <w:rPr>
          <w:b w:val="0"/>
          <w:i w:val="0"/>
        </w:rPr>
        <w:t xml:space="preserve">; </w:t>
      </w:r>
      <w:hyperlink w:anchor="latin-record-1157">
        <w:r>
          <w:rPr>
            <w:color w:val="000000"/>
          </w:rPr>
          <w:t xml:space="preserve">sensus / sentire</w:t>
        </w:r>
      </w:hyperlink>
      <w:r>
        <w:rPr>
          <w:b w:val="0"/>
          <w:i w:val="0"/>
        </w:rPr>
        <w:t>.</w:t>
      </w:r>
    </w:p>
    <w:p>
      <w:pPr>
        <w:widowControl/>
      </w:pPr>
      <w:r>
        <w:rPr>
          <w:b/>
          <w:i w:val="0"/>
        </w:rPr>
        <w:t>sensus.</w:t>
      </w:r>
      <w:r>
        <w:rPr>
          <w:b w:val="0"/>
          <w:i w:val="0"/>
        </w:rPr>
        <w:t xml:space="preserve"> </w:t>
      </w:r>
      <w:hyperlink w:anchor="latin-record-1156">
        <w:r>
          <w:rPr>
            <w:color w:val="000000"/>
          </w:rPr>
          <w:t xml:space="preserve">sensus</w:t>
        </w:r>
      </w:hyperlink>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 xml:space="preserve">; </w:t>
      </w:r>
      <w:hyperlink w:anchor="latin-record-1160">
        <w:r>
          <w:rPr>
            <w:color w:val="000000"/>
          </w:rPr>
          <w:t xml:space="preserve">sentire / sensus</w:t>
        </w:r>
      </w:hyperlink>
      <w:r>
        <w:rPr>
          <w:b w:val="0"/>
          <w:i w:val="0"/>
        </w:rPr>
        <w:t>.</w:t>
      </w:r>
    </w:p>
    <w:p>
      <w:pPr>
        <w:widowControl/>
      </w:pPr>
      <w:r>
        <w:rPr>
          <w:b/>
          <w:i w:val="0"/>
        </w:rPr>
        <w:t>sensus obiecto.</w:t>
      </w:r>
      <w:r>
        <w:rPr>
          <w:b w:val="0"/>
          <w:i w:val="0"/>
        </w:rPr>
        <w:t xml:space="preserve"> </w:t>
      </w:r>
      <w:hyperlink w:anchor="latin-record-0852">
        <w:r>
          <w:rPr>
            <w:color w:val="000000"/>
          </w:rPr>
          <w:t xml:space="preserve">obiectum</w:t>
        </w:r>
      </w:hyperlink>
      <w:r>
        <w:rPr>
          <w:b w:val="0"/>
          <w:i w:val="0"/>
        </w:rPr>
        <w:t>.</w:t>
      </w:r>
    </w:p>
    <w:p>
      <w:pPr>
        <w:widowControl/>
      </w:pPr>
      <w:r>
        <w:rPr>
          <w:b/>
          <w:i w:val="0"/>
        </w:rPr>
        <w:t>sensuum.</w:t>
      </w:r>
      <w:r>
        <w:rPr>
          <w:b w:val="0"/>
          <w:i w:val="0"/>
        </w:rPr>
        <w:t xml:space="preserve"> </w:t>
      </w:r>
      <w:hyperlink w:anchor="latin-record-1156">
        <w:r>
          <w:rPr>
            <w:color w:val="000000"/>
          </w:rPr>
          <w:t xml:space="preserve">sensus</w:t>
        </w:r>
      </w:hyperlink>
      <w:r>
        <w:rPr>
          <w:b w:val="0"/>
          <w:i w:val="0"/>
        </w:rPr>
        <w:t xml:space="preserve">; </w:t>
      </w:r>
      <w:hyperlink w:anchor="latin-record-1159">
        <w:r>
          <w:rPr>
            <w:color w:val="000000"/>
          </w:rPr>
          <w:t xml:space="preserve">sensus; sentire</w:t>
        </w:r>
      </w:hyperlink>
      <w:r>
        <w:rPr>
          <w:b w:val="0"/>
          <w:i w:val="0"/>
        </w:rPr>
        <w:t>.</w:t>
      </w:r>
    </w:p>
    <w:p>
      <w:pPr>
        <w:widowControl/>
      </w:pPr>
      <w:r>
        <w:rPr>
          <w:b/>
          <w:i w:val="0"/>
        </w:rPr>
        <w:t>sententia.</w:t>
      </w:r>
      <w:r>
        <w:rPr>
          <w:b w:val="0"/>
          <w:i w:val="0"/>
        </w:rPr>
        <w:t xml:space="preserve"> </w:t>
      </w:r>
      <w:hyperlink w:anchor="latin-record-0865">
        <w:r>
          <w:rPr>
            <w:color w:val="000000"/>
          </w:rPr>
          <w:t xml:space="preserve">opinio / sententia</w:t>
        </w:r>
      </w:hyperlink>
      <w:r>
        <w:rPr>
          <w:b w:val="0"/>
          <w:i w:val="0"/>
        </w:rPr>
        <w:t>.</w:t>
      </w:r>
    </w:p>
    <w:p>
      <w:pPr>
        <w:widowControl/>
      </w:pPr>
      <w:r>
        <w:rPr>
          <w:b/>
          <w:i w:val="0"/>
        </w:rPr>
        <w:t>sententiam.</w:t>
      </w:r>
      <w:r>
        <w:rPr>
          <w:b w:val="0"/>
          <w:i w:val="0"/>
        </w:rPr>
        <w:t xml:space="preserve"> </w:t>
      </w:r>
      <w:hyperlink w:anchor="latin-record-0865">
        <w:r>
          <w:rPr>
            <w:color w:val="000000"/>
          </w:rPr>
          <w:t xml:space="preserve">opinio / sententia</w:t>
        </w:r>
      </w:hyperlink>
      <w:r>
        <w:rPr>
          <w:b w:val="0"/>
          <w:i w:val="0"/>
        </w:rPr>
        <w:t xml:space="preserve">; </w:t>
      </w:r>
      <w:hyperlink w:anchor="latin-record-0866">
        <w:r>
          <w:rPr>
            <w:color w:val="000000"/>
          </w:rPr>
          <w:t xml:space="preserve">opinio; sententia</w:t>
        </w:r>
      </w:hyperlink>
      <w:r>
        <w:rPr>
          <w:b w:val="0"/>
          <w:i w:val="0"/>
        </w:rPr>
        <w:t>.</w:t>
      </w:r>
    </w:p>
    <w:p>
      <w:pPr>
        <w:widowControl/>
      </w:pPr>
      <w:r>
        <w:rPr>
          <w:b/>
          <w:i w:val="0"/>
        </w:rPr>
        <w:t>sentiat.</w:t>
      </w:r>
      <w:r>
        <w:rPr>
          <w:b w:val="0"/>
          <w:i w:val="0"/>
        </w:rPr>
        <w:t xml:space="preserve"> </w:t>
      </w:r>
      <w:hyperlink w:anchor="latin-record-1159">
        <w:r>
          <w:rPr>
            <w:color w:val="000000"/>
          </w:rPr>
          <w:t xml:space="preserve">sensus; sentire</w:t>
        </w:r>
      </w:hyperlink>
      <w:r>
        <w:rPr>
          <w:b w:val="0"/>
          <w:i w:val="0"/>
        </w:rPr>
        <w:t>.</w:t>
      </w:r>
    </w:p>
    <w:p>
      <w:pPr>
        <w:widowControl/>
      </w:pPr>
      <w:r>
        <w:rPr>
          <w:b/>
          <w:i w:val="0"/>
        </w:rPr>
        <w:t>sentiendi.</w:t>
      </w:r>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 xml:space="preserve">; </w:t>
      </w:r>
      <w:hyperlink w:anchor="latin-record-1160">
        <w:r>
          <w:rPr>
            <w:color w:val="000000"/>
          </w:rPr>
          <w:t xml:space="preserve">sentire / sensus</w:t>
        </w:r>
      </w:hyperlink>
      <w:r>
        <w:rPr>
          <w:b w:val="0"/>
          <w:i w:val="0"/>
        </w:rPr>
        <w:t>.</w:t>
      </w:r>
    </w:p>
    <w:p>
      <w:pPr>
        <w:widowControl/>
      </w:pPr>
      <w:r>
        <w:rPr>
          <w:b/>
          <w:i w:val="0"/>
        </w:rPr>
        <w:t>sentiendi expertes.</w:t>
      </w:r>
      <w:r>
        <w:rPr>
          <w:b w:val="0"/>
          <w:i w:val="0"/>
        </w:rPr>
        <w:t xml:space="preserve"> </w:t>
      </w:r>
      <w:hyperlink w:anchor="latin-record-1161">
        <w:r>
          <w:rPr>
            <w:color w:val="000000"/>
          </w:rPr>
          <w:t xml:space="preserve">sentire / sentiens / expers sensus</w:t>
        </w:r>
      </w:hyperlink>
      <w:r>
        <w:rPr>
          <w:b w:val="0"/>
          <w:i w:val="0"/>
        </w:rPr>
        <w:t>.</w:t>
      </w:r>
    </w:p>
    <w:p>
      <w:pPr>
        <w:widowControl/>
      </w:pPr>
      <w:r>
        <w:rPr>
          <w:b/>
          <w:i w:val="0"/>
        </w:rPr>
        <w:t>sentiens.</w:t>
      </w:r>
      <w:r>
        <w:rPr>
          <w:b w:val="0"/>
          <w:i w:val="0"/>
        </w:rPr>
        <w:t xml:space="preserve"> </w:t>
      </w:r>
      <w:hyperlink w:anchor="latin-record-1161">
        <w:r>
          <w:rPr>
            <w:color w:val="000000"/>
          </w:rPr>
          <w:t xml:space="preserve">sentire / sentiens / expers sensus</w:t>
        </w:r>
      </w:hyperlink>
      <w:r>
        <w:rPr>
          <w:b w:val="0"/>
          <w:i w:val="0"/>
        </w:rPr>
        <w:t>.</w:t>
      </w:r>
    </w:p>
    <w:p>
      <w:pPr>
        <w:widowControl/>
      </w:pPr>
      <w:r>
        <w:rPr>
          <w:b/>
          <w:i w:val="0"/>
        </w:rPr>
        <w:t>sentient.</w:t>
      </w:r>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 xml:space="preserve">; </w:t>
      </w:r>
      <w:hyperlink w:anchor="latin-record-1161">
        <w:r>
          <w:rPr>
            <w:color w:val="000000"/>
          </w:rPr>
          <w:t xml:space="preserve">sentire / sentiens / expers sensus</w:t>
        </w:r>
      </w:hyperlink>
      <w:r>
        <w:rPr>
          <w:b w:val="0"/>
          <w:i w:val="0"/>
        </w:rPr>
        <w:t>.</w:t>
      </w:r>
    </w:p>
    <w:p>
      <w:pPr>
        <w:widowControl/>
      </w:pPr>
      <w:r>
        <w:rPr>
          <w:b/>
          <w:i w:val="0"/>
        </w:rPr>
        <w:t>sentiente.</w:t>
      </w:r>
      <w:r>
        <w:rPr>
          <w:b w:val="0"/>
          <w:i w:val="0"/>
        </w:rPr>
        <w:t xml:space="preserve"> </w:t>
      </w:r>
      <w:hyperlink w:anchor="latin-record-1161">
        <w:r>
          <w:rPr>
            <w:color w:val="000000"/>
          </w:rPr>
          <w:t xml:space="preserve">sentire / sentiens / expers sensus</w:t>
        </w:r>
      </w:hyperlink>
      <w:r>
        <w:rPr>
          <w:b w:val="0"/>
          <w:i w:val="0"/>
        </w:rPr>
        <w:t>.</w:t>
      </w:r>
    </w:p>
    <w:p>
      <w:pPr>
        <w:widowControl/>
      </w:pPr>
      <w:r>
        <w:rPr>
          <w:b/>
          <w:i w:val="0"/>
        </w:rPr>
        <w:t>sentientem.</w:t>
      </w:r>
      <w:r>
        <w:rPr>
          <w:b w:val="0"/>
          <w:i w:val="0"/>
        </w:rPr>
        <w:t xml:space="preserve"> </w:t>
      </w:r>
      <w:hyperlink w:anchor="latin-record-1161">
        <w:r>
          <w:rPr>
            <w:color w:val="000000"/>
          </w:rPr>
          <w:t xml:space="preserve">sentire / sentiens / expers sensus</w:t>
        </w:r>
      </w:hyperlink>
      <w:r>
        <w:rPr>
          <w:b w:val="0"/>
          <w:i w:val="0"/>
        </w:rPr>
        <w:t xml:space="preserve">; </w:t>
      </w:r>
      <w:hyperlink w:anchor="latin-record-1162">
        <w:r>
          <w:rPr>
            <w:color w:val="000000"/>
          </w:rPr>
          <w:t xml:space="preserve">sentire; sentiri</w:t>
        </w:r>
      </w:hyperlink>
      <w:r>
        <w:rPr>
          <w:b w:val="0"/>
          <w:i w:val="0"/>
        </w:rPr>
        <w:t>.</w:t>
      </w:r>
    </w:p>
    <w:p>
      <w:pPr>
        <w:widowControl/>
      </w:pPr>
      <w:r>
        <w:rPr>
          <w:b/>
          <w:i w:val="0"/>
        </w:rPr>
        <w:t>Sentiet.</w:t>
      </w:r>
      <w:r>
        <w:rPr>
          <w:b w:val="0"/>
          <w:i w:val="0"/>
        </w:rPr>
        <w:t xml:space="preserve"> </w:t>
      </w:r>
      <w:hyperlink w:anchor="latin-record-1162">
        <w:r>
          <w:rPr>
            <w:color w:val="000000"/>
          </w:rPr>
          <w:t xml:space="preserve">sentire; sentiri</w:t>
        </w:r>
      </w:hyperlink>
      <w:r>
        <w:rPr>
          <w:b w:val="0"/>
          <w:i w:val="0"/>
        </w:rPr>
        <w:t>.</w:t>
      </w:r>
    </w:p>
    <w:p>
      <w:pPr>
        <w:widowControl/>
      </w:pPr>
      <w:r>
        <w:rPr>
          <w:b/>
          <w:i w:val="0"/>
        </w:rPr>
        <w:t>sentietur.</w:t>
      </w:r>
      <w:r>
        <w:rPr>
          <w:b w:val="0"/>
          <w:i w:val="0"/>
        </w:rPr>
        <w:t xml:space="preserve"> </w:t>
      </w:r>
      <w:hyperlink w:anchor="latin-record-1162">
        <w:r>
          <w:rPr>
            <w:color w:val="000000"/>
          </w:rPr>
          <w:t xml:space="preserve">sentire; sentiri</w:t>
        </w:r>
      </w:hyperlink>
      <w:r>
        <w:rPr>
          <w:b w:val="0"/>
          <w:i w:val="0"/>
        </w:rPr>
        <w:t>.</w:t>
      </w:r>
    </w:p>
    <w:p>
      <w:pPr>
        <w:widowControl/>
      </w:pPr>
      <w:r>
        <w:rPr>
          <w:b/>
          <w:i w:val="0"/>
        </w:rPr>
        <w:t>sentire.</w:t>
      </w:r>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w:t>
      </w:r>
    </w:p>
    <w:p>
      <w:pPr>
        <w:widowControl/>
      </w:pPr>
      <w:r>
        <w:rPr>
          <w:b/>
          <w:i w:val="0"/>
        </w:rPr>
        <w:t>sentiremus.</w:t>
      </w:r>
      <w:r>
        <w:rPr>
          <w:b w:val="0"/>
          <w:i w:val="0"/>
        </w:rPr>
        <w:t xml:space="preserve"> </w:t>
      </w:r>
      <w:hyperlink w:anchor="latin-record-1157">
        <w:r>
          <w:rPr>
            <w:color w:val="000000"/>
          </w:rPr>
          <w:t xml:space="preserve">sensus / sentire</w:t>
        </w:r>
      </w:hyperlink>
      <w:r>
        <w:rPr>
          <w:b w:val="0"/>
          <w:i w:val="0"/>
        </w:rPr>
        <w:t>.</w:t>
      </w:r>
    </w:p>
    <w:p>
      <w:pPr>
        <w:widowControl/>
      </w:pPr>
      <w:r>
        <w:rPr>
          <w:b/>
          <w:i w:val="0"/>
        </w:rPr>
        <w:t>sentit.</w:t>
      </w:r>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 xml:space="preserve">; </w:t>
      </w:r>
      <w:hyperlink w:anchor="latin-record-1160">
        <w:r>
          <w:rPr>
            <w:color w:val="000000"/>
          </w:rPr>
          <w:t xml:space="preserve">sentire / sensus</w:t>
        </w:r>
      </w:hyperlink>
      <w:r>
        <w:rPr>
          <w:b w:val="0"/>
          <w:i w:val="0"/>
        </w:rPr>
        <w:t>.</w:t>
      </w:r>
    </w:p>
    <w:p>
      <w:pPr>
        <w:widowControl/>
      </w:pPr>
      <w:r>
        <w:rPr>
          <w:b/>
          <w:i w:val="0"/>
        </w:rPr>
        <w:t>sentitur.</w:t>
      </w:r>
      <w:r>
        <w:rPr>
          <w:b w:val="0"/>
          <w:i w:val="0"/>
        </w:rPr>
        <w:t xml:space="preserve"> </w:t>
      </w:r>
      <w:hyperlink w:anchor="latin-record-1157">
        <w:r>
          <w:rPr>
            <w:color w:val="000000"/>
          </w:rPr>
          <w:t xml:space="preserve">sensus / sentire</w:t>
        </w:r>
      </w:hyperlink>
      <w:r>
        <w:rPr>
          <w:b w:val="0"/>
          <w:i w:val="0"/>
        </w:rPr>
        <w:t xml:space="preserve">; </w:t>
      </w:r>
      <w:hyperlink w:anchor="latin-record-1159">
        <w:r>
          <w:rPr>
            <w:color w:val="000000"/>
          </w:rPr>
          <w:t xml:space="preserve">sensus; sentire</w:t>
        </w:r>
      </w:hyperlink>
      <w:r>
        <w:rPr>
          <w:b w:val="0"/>
          <w:i w:val="0"/>
        </w:rPr>
        <w:t>.</w:t>
      </w:r>
    </w:p>
    <w:p>
      <w:pPr>
        <w:widowControl/>
      </w:pPr>
      <w:r>
        <w:rPr>
          <w:b/>
          <w:i w:val="0"/>
        </w:rPr>
        <w:t>sentiunt.</w:t>
      </w:r>
      <w:r>
        <w:rPr>
          <w:b w:val="0"/>
          <w:i w:val="0"/>
        </w:rPr>
        <w:t xml:space="preserve"> </w:t>
      </w:r>
      <w:hyperlink w:anchor="latin-record-1159">
        <w:r>
          <w:rPr>
            <w:color w:val="000000"/>
          </w:rPr>
          <w:t xml:space="preserve">sensus; sentire</w:t>
        </w:r>
      </w:hyperlink>
      <w:r>
        <w:rPr>
          <w:b w:val="0"/>
          <w:i w:val="0"/>
        </w:rPr>
        <w:t>.</w:t>
      </w:r>
    </w:p>
    <w:p>
      <w:pPr>
        <w:widowControl/>
      </w:pPr>
      <w:r>
        <w:rPr>
          <w:b/>
          <w:i w:val="0"/>
        </w:rPr>
        <w:t>seorsum.</w:t>
      </w:r>
      <w:r>
        <w:rPr>
          <w:b w:val="0"/>
          <w:i w:val="0"/>
        </w:rPr>
        <w:t xml:space="preserve"> </w:t>
      </w:r>
      <w:hyperlink w:anchor="latin-record-0714">
        <w:r>
          <w:rPr>
            <w:color w:val="000000"/>
          </w:rPr>
          <w:t xml:space="preserve">liber; solutus; separatus</w:t>
        </w:r>
      </w:hyperlink>
      <w:r>
        <w:rPr>
          <w:b w:val="0"/>
          <w:i w:val="0"/>
        </w:rPr>
        <w:t>.</w:t>
      </w:r>
    </w:p>
    <w:p>
      <w:pPr>
        <w:widowControl/>
      </w:pPr>
      <w:r>
        <w:rPr>
          <w:b/>
          <w:i w:val="0"/>
        </w:rPr>
        <w:t>separabilis.</w:t>
      </w:r>
      <w:r>
        <w:rPr>
          <w:b w:val="0"/>
          <w:i w:val="0"/>
        </w:rPr>
        <w:t xml:space="preserve"> </w:t>
      </w:r>
      <w:hyperlink w:anchor="latin-record-1163">
        <w:r>
          <w:rPr>
            <w:color w:val="000000"/>
          </w:rPr>
          <w:t xml:space="preserve">separabilis</w:t>
        </w:r>
      </w:hyperlink>
      <w:r>
        <w:rPr>
          <w:b w:val="0"/>
          <w:i w:val="0"/>
        </w:rPr>
        <w:t>.</w:t>
      </w:r>
    </w:p>
    <w:p>
      <w:pPr>
        <w:widowControl/>
      </w:pPr>
      <w:r>
        <w:rPr>
          <w:b/>
          <w:i w:val="0"/>
        </w:rPr>
        <w:t>separari.</w:t>
      </w:r>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separat.</w:t>
      </w:r>
      <w:r>
        <w:rPr>
          <w:b w:val="0"/>
          <w:i w:val="0"/>
        </w:rPr>
        <w:t xml:space="preserve"> </w:t>
      </w:r>
      <w:hyperlink w:anchor="latin-record-1164">
        <w:r>
          <w:rPr>
            <w:color w:val="000000"/>
          </w:rPr>
          <w:t xml:space="preserve">separare / segregare</w:t>
        </w:r>
      </w:hyperlink>
      <w:r>
        <w:rPr>
          <w:b w:val="0"/>
          <w:i w:val="0"/>
        </w:rPr>
        <w:t>.</w:t>
      </w:r>
    </w:p>
    <w:p>
      <w:pPr>
        <w:widowControl/>
      </w:pPr>
      <w:r>
        <w:rPr>
          <w:b/>
          <w:i w:val="0"/>
        </w:rPr>
        <w:t>separata.</w:t>
      </w:r>
      <w:r>
        <w:rPr>
          <w:b w:val="0"/>
          <w:i w:val="0"/>
        </w:rPr>
        <w:t xml:space="preserve"> </w:t>
      </w:r>
      <w:hyperlink w:anchor="latin-record-0714">
        <w:r>
          <w:rPr>
            <w:color w:val="000000"/>
          </w:rPr>
          <w:t xml:space="preserve">liber; solutus; separatus</w:t>
        </w:r>
      </w:hyperlink>
      <w:r>
        <w:rPr>
          <w:b w:val="0"/>
          <w:i w:val="0"/>
        </w:rPr>
        <w:t xml:space="preserve">; </w:t>
      </w:r>
      <w:hyperlink w:anchor="latin-record-1164">
        <w:r>
          <w:rPr>
            <w:color w:val="000000"/>
          </w:rPr>
          <w:t xml:space="preserve">separare / segregare</w:t>
        </w:r>
      </w:hyperlink>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Separatam.</w:t>
      </w:r>
      <w:r>
        <w:rPr>
          <w:b w:val="0"/>
          <w:i w:val="0"/>
        </w:rPr>
        <w:t xml:space="preserve"> </w:t>
      </w:r>
      <w:hyperlink w:anchor="latin-record-1164">
        <w:r>
          <w:rPr>
            <w:color w:val="000000"/>
          </w:rPr>
          <w:t xml:space="preserve">separare / segregare</w:t>
        </w:r>
      </w:hyperlink>
      <w:r>
        <w:rPr>
          <w:b w:val="0"/>
          <w:i w:val="0"/>
        </w:rPr>
        <w:t>.</w:t>
      </w:r>
    </w:p>
    <w:p>
      <w:pPr>
        <w:widowControl/>
      </w:pPr>
      <w:r>
        <w:rPr>
          <w:b/>
          <w:i w:val="0"/>
        </w:rPr>
        <w:t>separatam.</w:t>
      </w:r>
      <w:r>
        <w:rPr>
          <w:b w:val="0"/>
          <w:i w:val="0"/>
        </w:rPr>
        <w:t xml:space="preserve"> </w:t>
      </w:r>
      <w:hyperlink w:anchor="latin-record-1166">
        <w:r>
          <w:rPr>
            <w:color w:val="000000"/>
          </w:rPr>
          <w:t xml:space="preserve">separare; sevocare</w:t>
        </w:r>
      </w:hyperlink>
      <w:r>
        <w:rPr>
          <w:b w:val="0"/>
          <w:i w:val="0"/>
        </w:rPr>
        <w:t>.</w:t>
      </w:r>
    </w:p>
    <w:p>
      <w:pPr>
        <w:widowControl/>
      </w:pPr>
      <w:r>
        <w:rPr>
          <w:b/>
          <w:i w:val="0"/>
        </w:rPr>
        <w:t>separatas.</w:t>
      </w:r>
      <w:r>
        <w:rPr>
          <w:b w:val="0"/>
          <w:i w:val="0"/>
        </w:rPr>
        <w:t xml:space="preserve"> </w:t>
      </w:r>
      <w:hyperlink w:anchor="latin-record-0714">
        <w:r>
          <w:rPr>
            <w:color w:val="000000"/>
          </w:rPr>
          <w:t xml:space="preserve">liber; solutus; separatus</w:t>
        </w:r>
      </w:hyperlink>
      <w:r>
        <w:rPr>
          <w:b w:val="0"/>
          <w:i w:val="0"/>
        </w:rPr>
        <w:t>.</w:t>
      </w:r>
    </w:p>
    <w:p>
      <w:pPr>
        <w:widowControl/>
      </w:pPr>
      <w:r>
        <w:rPr>
          <w:b/>
          <w:i w:val="0"/>
        </w:rPr>
        <w:t>Separati.</w:t>
      </w:r>
      <w:r>
        <w:rPr>
          <w:b w:val="0"/>
          <w:i w:val="0"/>
        </w:rPr>
        <w:t xml:space="preserve"> </w:t>
      </w:r>
      <w:hyperlink w:anchor="latin-record-1166">
        <w:r>
          <w:rPr>
            <w:color w:val="000000"/>
          </w:rPr>
          <w:t xml:space="preserve">separare; sevocare</w:t>
        </w:r>
      </w:hyperlink>
      <w:r>
        <w:rPr>
          <w:b w:val="0"/>
          <w:i w:val="0"/>
        </w:rPr>
        <w:t>.</w:t>
      </w:r>
    </w:p>
    <w:p>
      <w:pPr>
        <w:widowControl/>
      </w:pPr>
      <w:r>
        <w:rPr>
          <w:b/>
          <w:i w:val="0"/>
        </w:rPr>
        <w:t>separationem.</w:t>
      </w:r>
      <w:r>
        <w:rPr>
          <w:b w:val="0"/>
          <w:i w:val="0"/>
        </w:rPr>
        <w:t xml:space="preserve"> </w:t>
      </w:r>
      <w:hyperlink w:anchor="latin-record-1164">
        <w:r>
          <w:rPr>
            <w:color w:val="000000"/>
          </w:rPr>
          <w:t xml:space="preserve">separare / segregare</w:t>
        </w:r>
      </w:hyperlink>
      <w:r>
        <w:rPr>
          <w:b w:val="0"/>
          <w:i w:val="0"/>
        </w:rPr>
        <w:t>.</w:t>
      </w:r>
    </w:p>
    <w:p>
      <w:pPr>
        <w:widowControl/>
      </w:pPr>
      <w:r>
        <w:rPr>
          <w:b/>
          <w:i w:val="0"/>
        </w:rPr>
        <w:t>separatum.</w:t>
      </w:r>
      <w:r>
        <w:rPr>
          <w:b w:val="0"/>
          <w:i w:val="0"/>
        </w:rPr>
        <w:t xml:space="preserve"> </w:t>
      </w:r>
      <w:hyperlink w:anchor="latin-record-0789">
        <w:r>
          <w:rPr>
            <w:color w:val="000000"/>
          </w:rPr>
          <w:t xml:space="preserve">mixtus / sincerus</w:t>
        </w:r>
      </w:hyperlink>
      <w:r>
        <w:rPr>
          <w:b w:val="0"/>
          <w:i w:val="0"/>
        </w:rPr>
        <w:t>.</w:t>
      </w:r>
    </w:p>
    <w:p>
      <w:pPr>
        <w:widowControl/>
      </w:pPr>
      <w:r>
        <w:rPr>
          <w:b/>
          <w:i w:val="0"/>
        </w:rPr>
        <w:t>separatur.</w:t>
      </w:r>
      <w:r>
        <w:rPr>
          <w:b w:val="0"/>
          <w:i w:val="0"/>
        </w:rPr>
        <w:t xml:space="preserve"> </w:t>
      </w:r>
      <w:hyperlink w:anchor="latin-record-1165">
        <w:r>
          <w:rPr>
            <w:color w:val="000000"/>
          </w:rPr>
          <w:t xml:space="preserve">separare / seiungere / disiungere</w:t>
        </w:r>
      </w:hyperlink>
      <w:r>
        <w:rPr>
          <w:b w:val="0"/>
          <w:i w:val="0"/>
        </w:rPr>
        <w:t>.</w:t>
      </w:r>
    </w:p>
    <w:p>
      <w:pPr>
        <w:widowControl/>
      </w:pPr>
      <w:r>
        <w:rPr>
          <w:b/>
          <w:i w:val="0"/>
        </w:rPr>
        <w:t>septenario.</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Septenarius.</w:t>
      </w:r>
      <w:r>
        <w:rPr>
          <w:b w:val="0"/>
          <w:i w:val="0"/>
        </w:rPr>
        <w:t xml:space="preserve"> </w:t>
      </w:r>
      <w:hyperlink w:anchor="latin-record-0365">
        <w:r>
          <w:rPr>
            <w:color w:val="000000"/>
          </w:rPr>
          <w:t xml:space="preserve">denarius / septenarius / octonarius / senarius</w:t>
        </w:r>
      </w:hyperlink>
      <w:r>
        <w:rPr>
          <w:b w:val="0"/>
          <w:i w:val="0"/>
        </w:rPr>
        <w:t>.</w:t>
      </w:r>
    </w:p>
    <w:p>
      <w:pPr>
        <w:widowControl/>
      </w:pPr>
      <w:r>
        <w:rPr>
          <w:b/>
          <w:i w:val="0"/>
        </w:rPr>
        <w:t>septimo De republica.</w:t>
      </w:r>
      <w:r>
        <w:rPr>
          <w:b w:val="0"/>
          <w:i w:val="0"/>
        </w:rPr>
        <w:t xml:space="preserve"> </w:t>
      </w:r>
      <w:hyperlink w:anchor="latin-record-0359">
        <w:r>
          <w:rPr>
            <w:color w:val="000000"/>
          </w:rPr>
          <w:t xml:space="preserve">De republica; Divinorum</w:t>
        </w:r>
      </w:hyperlink>
      <w:r>
        <w:rPr>
          <w:b w:val="0"/>
          <w:i w:val="0"/>
        </w:rPr>
        <w:t>.</w:t>
      </w:r>
    </w:p>
    <w:p>
      <w:pPr>
        <w:widowControl/>
      </w:pPr>
      <w:r>
        <w:rPr>
          <w:b/>
          <w:i w:val="0"/>
        </w:rPr>
        <w:t>sequens.</w:t>
      </w:r>
      <w:r>
        <w:rPr>
          <w:b w:val="0"/>
          <w:i w:val="0"/>
        </w:rPr>
        <w:t xml:space="preserve"> </w:t>
      </w:r>
      <w:hyperlink w:anchor="latin-record-1167">
        <w:r>
          <w:rPr>
            <w:color w:val="000000"/>
          </w:rPr>
          <w:t xml:space="preserve">sequi</w:t>
        </w:r>
      </w:hyperlink>
      <w:r>
        <w:rPr>
          <w:b w:val="0"/>
          <w:i w:val="0"/>
        </w:rPr>
        <w:t>.</w:t>
      </w:r>
    </w:p>
    <w:p>
      <w:pPr>
        <w:widowControl/>
      </w:pPr>
      <w:r>
        <w:rPr>
          <w:b/>
          <w:i w:val="0"/>
        </w:rPr>
        <w:t>sequentibus.</w:t>
      </w:r>
      <w:r>
        <w:rPr>
          <w:b w:val="0"/>
          <w:i w:val="0"/>
        </w:rPr>
        <w:t xml:space="preserve"> </w:t>
      </w:r>
      <w:hyperlink w:anchor="latin-record-1167">
        <w:r>
          <w:rPr>
            <w:color w:val="000000"/>
          </w:rPr>
          <w:t xml:space="preserve">sequi</w:t>
        </w:r>
      </w:hyperlink>
      <w:r>
        <w:rPr>
          <w:b w:val="0"/>
          <w:i w:val="0"/>
        </w:rPr>
        <w:t>.</w:t>
      </w:r>
    </w:p>
    <w:p>
      <w:pPr>
        <w:widowControl/>
      </w:pPr>
      <w:r>
        <w:rPr>
          <w:b/>
          <w:i w:val="0"/>
        </w:rPr>
        <w:t>sequentibus causis.</w:t>
      </w:r>
      <w:r>
        <w:rPr>
          <w:b w:val="0"/>
          <w:i w:val="0"/>
        </w:rPr>
        <w:t xml:space="preserve"> </w:t>
      </w:r>
      <w:hyperlink w:anchor="latin-record-0204">
        <w:r>
          <w:rPr>
            <w:color w:val="000000"/>
          </w:rPr>
          <w:t xml:space="preserve">causae sequentes</w:t>
        </w:r>
      </w:hyperlink>
      <w:r>
        <w:rPr>
          <w:b w:val="0"/>
          <w:i w:val="0"/>
        </w:rPr>
        <w:t>.</w:t>
      </w:r>
    </w:p>
    <w:p>
      <w:pPr>
        <w:widowControl/>
      </w:pPr>
      <w:r>
        <w:rPr>
          <w:b/>
          <w:i w:val="0"/>
        </w:rPr>
        <w:t>sequerentur.</w:t>
      </w:r>
      <w:r>
        <w:rPr>
          <w:b w:val="0"/>
          <w:i w:val="0"/>
        </w:rPr>
        <w:t xml:space="preserve"> </w:t>
      </w:r>
      <w:hyperlink w:anchor="latin-record-0277">
        <w:r>
          <w:rPr>
            <w:color w:val="000000"/>
          </w:rPr>
          <w:t xml:space="preserve">concludere / inferre / sequi</w:t>
        </w:r>
      </w:hyperlink>
      <w:r>
        <w:rPr>
          <w:b w:val="0"/>
          <w:i w:val="0"/>
        </w:rPr>
        <w:t>.</w:t>
      </w:r>
    </w:p>
    <w:p>
      <w:pPr>
        <w:widowControl/>
      </w:pPr>
      <w:r>
        <w:rPr>
          <w:b/>
          <w:i w:val="0"/>
        </w:rPr>
        <w:t>sequeretur.</w:t>
      </w:r>
      <w:r>
        <w:rPr>
          <w:b w:val="0"/>
          <w:i w:val="0"/>
        </w:rPr>
        <w:t xml:space="preserve"> </w:t>
      </w:r>
      <w:hyperlink w:anchor="latin-record-0277">
        <w:r>
          <w:rPr>
            <w:color w:val="000000"/>
          </w:rPr>
          <w:t xml:space="preserve">concludere / inferre / sequi</w:t>
        </w:r>
      </w:hyperlink>
      <w:r>
        <w:rPr>
          <w:b w:val="0"/>
          <w:i w:val="0"/>
        </w:rPr>
        <w:t>.</w:t>
      </w:r>
    </w:p>
    <w:p>
      <w:pPr>
        <w:widowControl/>
      </w:pPr>
      <w:r>
        <w:rPr>
          <w:b/>
          <w:i w:val="0"/>
        </w:rPr>
        <w:t>sequi.</w:t>
      </w:r>
      <w:r>
        <w:rPr>
          <w:b w:val="0"/>
          <w:i w:val="0"/>
        </w:rPr>
        <w:t xml:space="preserve"> </w:t>
      </w:r>
      <w:hyperlink w:anchor="latin-record-1167">
        <w:r>
          <w:rPr>
            <w:color w:val="000000"/>
          </w:rPr>
          <w:t xml:space="preserve">sequi</w:t>
        </w:r>
      </w:hyperlink>
      <w:r>
        <w:rPr>
          <w:b w:val="0"/>
          <w:i w:val="0"/>
        </w:rPr>
        <w:t>.</w:t>
      </w:r>
    </w:p>
    <w:p>
      <w:pPr>
        <w:widowControl/>
      </w:pPr>
      <w:r>
        <w:rPr>
          <w:b/>
          <w:i w:val="0"/>
        </w:rPr>
        <w:t>sequitur.</w:t>
      </w:r>
      <w:r>
        <w:rPr>
          <w:b w:val="0"/>
          <w:i w:val="0"/>
        </w:rPr>
        <w:t xml:space="preserve"> </w:t>
      </w:r>
      <w:hyperlink w:anchor="latin-record-0277">
        <w:r>
          <w:rPr>
            <w:color w:val="000000"/>
          </w:rPr>
          <w:t xml:space="preserve">concludere / inferre / sequi</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1167">
        <w:r>
          <w:rPr>
            <w:color w:val="000000"/>
          </w:rPr>
          <w:t xml:space="preserve">sequi</w:t>
        </w:r>
      </w:hyperlink>
      <w:r>
        <w:rPr>
          <w:b w:val="0"/>
          <w:i w:val="0"/>
        </w:rPr>
        <w:t>.</w:t>
      </w:r>
    </w:p>
    <w:p>
      <w:pPr>
        <w:widowControl/>
      </w:pPr>
      <w:r>
        <w:rPr>
          <w:b/>
          <w:i w:val="0"/>
        </w:rPr>
        <w:t>Sequitur.</w:t>
      </w:r>
      <w:r>
        <w:rPr>
          <w:b w:val="0"/>
          <w:i w:val="0"/>
        </w:rPr>
        <w:t xml:space="preserve"> </w:t>
      </w:r>
      <w:hyperlink w:anchor="latin-record-1167">
        <w:r>
          <w:rPr>
            <w:color w:val="000000"/>
          </w:rPr>
          <w:t xml:space="preserve">sequi</w:t>
        </w:r>
      </w:hyperlink>
      <w:r>
        <w:rPr>
          <w:b w:val="0"/>
          <w:i w:val="0"/>
        </w:rPr>
        <w:t>.</w:t>
      </w:r>
    </w:p>
    <w:p>
      <w:pPr>
        <w:widowControl/>
      </w:pPr>
      <w:r>
        <w:rPr>
          <w:b/>
          <w:i w:val="0"/>
        </w:rPr>
        <w:t>serenissimum.</w:t>
      </w:r>
      <w:r>
        <w:rPr>
          <w:b w:val="0"/>
          <w:i w:val="0"/>
        </w:rPr>
        <w:t xml:space="preserve"> </w:t>
      </w:r>
      <w:hyperlink w:anchor="latin-record-1168">
        <w:r>
          <w:rPr>
            <w:color w:val="000000"/>
          </w:rPr>
          <w:t xml:space="preserve">serenus / mobilis</w:t>
        </w:r>
      </w:hyperlink>
      <w:r>
        <w:rPr>
          <w:b w:val="0"/>
          <w:i w:val="0"/>
        </w:rPr>
        <w:t>.</w:t>
      </w:r>
    </w:p>
    <w:p>
      <w:pPr>
        <w:widowControl/>
      </w:pPr>
      <w:r>
        <w:rPr>
          <w:b/>
          <w:i w:val="0"/>
        </w:rPr>
        <w:t>servabimus.</w:t>
      </w:r>
      <w:r>
        <w:rPr>
          <w:b w:val="0"/>
          <w:i w:val="0"/>
        </w:rPr>
        <w:t xml:space="preserve"> </w:t>
      </w:r>
      <w:hyperlink w:anchor="latin-record-1120">
        <w:r>
          <w:rPr>
            <w:color w:val="000000"/>
          </w:rPr>
          <w:t xml:space="preserve">retinere / servare</w:t>
        </w:r>
      </w:hyperlink>
      <w:r>
        <w:rPr>
          <w:b w:val="0"/>
          <w:i w:val="0"/>
        </w:rPr>
        <w:t>.</w:t>
      </w:r>
    </w:p>
    <w:p>
      <w:pPr>
        <w:widowControl/>
      </w:pPr>
      <w:r>
        <w:rPr>
          <w:b/>
          <w:i w:val="0"/>
        </w:rPr>
        <w:t>servat.</w:t>
      </w:r>
      <w:r>
        <w:rPr>
          <w:b w:val="0"/>
          <w:i w:val="0"/>
        </w:rPr>
        <w:t xml:space="preserve"> </w:t>
      </w:r>
      <w:hyperlink w:anchor="latin-record-0304">
        <w:r>
          <w:rPr>
            <w:color w:val="000000"/>
          </w:rPr>
          <w:t xml:space="preserve">conservare / servare</w:t>
        </w:r>
      </w:hyperlink>
      <w:r>
        <w:rPr>
          <w:b w:val="0"/>
          <w:i w:val="0"/>
        </w:rPr>
        <w:t xml:space="preserve">; </w:t>
      </w:r>
      <w:hyperlink w:anchor="latin-record-0471">
        <w:r>
          <w:rPr>
            <w:color w:val="000000"/>
          </w:rPr>
          <w:t xml:space="preserve">fabricare / servare / reficere</w:t>
        </w:r>
      </w:hyperlink>
      <w:r>
        <w:rPr>
          <w:b w:val="0"/>
          <w:i w:val="0"/>
        </w:rPr>
        <w:t xml:space="preserve">; </w:t>
      </w:r>
      <w:hyperlink w:anchor="latin-record-0616">
        <w:r>
          <w:rPr>
            <w:color w:val="000000"/>
          </w:rPr>
          <w:t xml:space="preserve">incolumis; servare</w:t>
        </w:r>
      </w:hyperlink>
      <w:r>
        <w:rPr>
          <w:b w:val="0"/>
          <w:i w:val="0"/>
        </w:rPr>
        <w:t>.</w:t>
      </w:r>
    </w:p>
    <w:p>
      <w:pPr>
        <w:widowControl/>
      </w:pPr>
      <w:r>
        <w:rPr>
          <w:b/>
          <w:i w:val="0"/>
        </w:rPr>
        <w:t>servatoribus.</w:t>
      </w:r>
      <w:r>
        <w:rPr>
          <w:b w:val="0"/>
          <w:i w:val="0"/>
        </w:rPr>
        <w:t xml:space="preserve"> </w:t>
      </w:r>
      <w:hyperlink w:anchor="latin-record-0305">
        <w:r>
          <w:rPr>
            <w:color w:val="000000"/>
          </w:rPr>
          <w:t xml:space="preserve">conservator / servator</w:t>
        </w:r>
      </w:hyperlink>
      <w:r>
        <w:rPr>
          <w:b w:val="0"/>
          <w:i w:val="0"/>
        </w:rPr>
        <w:t>.</w:t>
      </w:r>
    </w:p>
    <w:p>
      <w:pPr>
        <w:widowControl/>
      </w:pPr>
      <w:r>
        <w:rPr>
          <w:b/>
          <w:i w:val="0"/>
        </w:rPr>
        <w:t>servatque.</w:t>
      </w:r>
      <w:r>
        <w:rPr>
          <w:b w:val="0"/>
          <w:i w:val="0"/>
        </w:rPr>
        <w:t xml:space="preserve"> </w:t>
      </w:r>
      <w:hyperlink w:anchor="latin-record-0648">
        <w:r>
          <w:rPr>
            <w:color w:val="000000"/>
          </w:rPr>
          <w:t xml:space="preserve">inserere / servare / revocare</w:t>
        </w:r>
      </w:hyperlink>
      <w:r>
        <w:rPr>
          <w:b w:val="0"/>
          <w:i w:val="0"/>
        </w:rPr>
        <w:t>.</w:t>
      </w:r>
    </w:p>
    <w:p>
      <w:pPr>
        <w:widowControl/>
      </w:pPr>
      <w:r>
        <w:rPr>
          <w:b/>
          <w:i w:val="0"/>
        </w:rPr>
        <w:t>servatur.</w:t>
      </w:r>
      <w:r>
        <w:rPr>
          <w:b w:val="0"/>
          <w:i w:val="0"/>
        </w:rPr>
        <w:t xml:space="preserve"> </w:t>
      </w:r>
      <w:hyperlink w:anchor="latin-record-0304">
        <w:r>
          <w:rPr>
            <w:color w:val="000000"/>
          </w:rPr>
          <w:t xml:space="preserve">conservare / servare</w:t>
        </w:r>
      </w:hyperlink>
      <w:r>
        <w:rPr>
          <w:b w:val="0"/>
          <w:i w:val="0"/>
        </w:rPr>
        <w:t xml:space="preserve">; </w:t>
      </w:r>
      <w:hyperlink w:anchor="latin-record-0616">
        <w:r>
          <w:rPr>
            <w:color w:val="000000"/>
          </w:rPr>
          <w:t xml:space="preserve">incolumis; servare</w:t>
        </w:r>
      </w:hyperlink>
      <w:r>
        <w:rPr>
          <w:b w:val="0"/>
          <w:i w:val="0"/>
        </w:rPr>
        <w:t xml:space="preserve">; </w:t>
      </w:r>
      <w:hyperlink w:anchor="latin-record-1120">
        <w:r>
          <w:rPr>
            <w:color w:val="000000"/>
          </w:rPr>
          <w:t xml:space="preserve">retinere / servare</w:t>
        </w:r>
      </w:hyperlink>
      <w:r>
        <w:rPr>
          <w:b w:val="0"/>
          <w:i w:val="0"/>
        </w:rPr>
        <w:t>.</w:t>
      </w:r>
    </w:p>
    <w:p>
      <w:pPr>
        <w:widowControl/>
      </w:pPr>
      <w:r>
        <w:rPr>
          <w:b/>
          <w:i w:val="0"/>
        </w:rPr>
        <w:t>serventur.</w:t>
      </w:r>
      <w:r>
        <w:rPr>
          <w:b w:val="0"/>
          <w:i w:val="0"/>
        </w:rPr>
        <w:t xml:space="preserve"> </w:t>
      </w:r>
      <w:hyperlink w:anchor="latin-record-0616">
        <w:r>
          <w:rPr>
            <w:color w:val="000000"/>
          </w:rPr>
          <w:t xml:space="preserve">incolumis; servare</w:t>
        </w:r>
      </w:hyperlink>
      <w:r>
        <w:rPr>
          <w:b w:val="0"/>
          <w:i w:val="0"/>
        </w:rPr>
        <w:t>.</w:t>
      </w:r>
    </w:p>
    <w:p>
      <w:pPr>
        <w:widowControl/>
      </w:pPr>
      <w:r>
        <w:rPr>
          <w:b/>
          <w:i w:val="0"/>
        </w:rPr>
        <w:t>servetur.</w:t>
      </w:r>
      <w:r>
        <w:rPr>
          <w:b w:val="0"/>
          <w:i w:val="0"/>
        </w:rPr>
        <w:t xml:space="preserve"> </w:t>
      </w:r>
      <w:hyperlink w:anchor="latin-record-0560">
        <w:r>
          <w:rPr>
            <w:color w:val="000000"/>
          </w:rPr>
          <w:t xml:space="preserve">haurire; perdere; servare</w:t>
        </w:r>
      </w:hyperlink>
      <w:r>
        <w:rPr>
          <w:b w:val="0"/>
          <w:i w:val="0"/>
        </w:rPr>
        <w:t>.</w:t>
      </w:r>
    </w:p>
    <w:p>
      <w:pPr>
        <w:widowControl/>
      </w:pPr>
      <w:r>
        <w:rPr>
          <w:b/>
          <w:i w:val="0"/>
        </w:rPr>
        <w:t>servitura.</w:t>
      </w:r>
      <w:r>
        <w:rPr>
          <w:b w:val="0"/>
          <w:i w:val="0"/>
        </w:rPr>
        <w:t xml:space="preserve"> </w:t>
      </w:r>
      <w:hyperlink w:anchor="latin-record-1006">
        <w:r>
          <w:rPr>
            <w:color w:val="000000"/>
          </w:rPr>
          <w:t xml:space="preserve">progredi / servire</w:t>
        </w:r>
      </w:hyperlink>
      <w:r>
        <w:rPr>
          <w:b w:val="0"/>
          <w:i w:val="0"/>
        </w:rPr>
        <w:t>.</w:t>
      </w:r>
    </w:p>
    <w:p>
      <w:pPr>
        <w:widowControl/>
      </w:pPr>
      <w:r>
        <w:rPr>
          <w:b/>
          <w:i w:val="0"/>
        </w:rPr>
        <w:t>sese colligit.</w:t>
      </w:r>
      <w:r>
        <w:rPr>
          <w:b w:val="0"/>
          <w:i w:val="0"/>
        </w:rPr>
        <w:t xml:space="preserve"> </w:t>
      </w:r>
      <w:hyperlink w:anchor="latin-record-0681">
        <w:r>
          <w:rPr>
            <w:color w:val="000000"/>
          </w:rPr>
          <w:t xml:space="preserve">intueri; colligere</w:t>
        </w:r>
      </w:hyperlink>
      <w:r>
        <w:rPr>
          <w:b w:val="0"/>
          <w:i w:val="0"/>
        </w:rPr>
        <w:t>.</w:t>
      </w:r>
    </w:p>
    <w:p>
      <w:pPr>
        <w:widowControl/>
      </w:pPr>
      <w:r>
        <w:rPr>
          <w:b/>
          <w:i w:val="0"/>
        </w:rPr>
        <w:t>sese contrahit.</w:t>
      </w:r>
      <w:r>
        <w:rPr>
          <w:b w:val="0"/>
          <w:i w:val="0"/>
        </w:rPr>
        <w:t xml:space="preserve"> </w:t>
      </w:r>
      <w:hyperlink w:anchor="latin-record-0323">
        <w:r>
          <w:rPr>
            <w:color w:val="000000"/>
          </w:rPr>
          <w:t xml:space="preserve">contrahere; fundere</w:t>
        </w:r>
      </w:hyperlink>
      <w:r>
        <w:rPr>
          <w:b w:val="0"/>
          <w:i w:val="0"/>
        </w:rPr>
        <w:t>.</w:t>
      </w:r>
    </w:p>
    <w:p>
      <w:pPr>
        <w:widowControl/>
      </w:pPr>
      <w:r>
        <w:rPr>
          <w:b/>
          <w:i w:val="0"/>
        </w:rPr>
        <w:t>sese reflectens.</w:t>
      </w:r>
      <w:r>
        <w:rPr>
          <w:b w:val="0"/>
          <w:i w:val="0"/>
        </w:rPr>
        <w:t xml:space="preserve"> </w:t>
      </w:r>
      <w:hyperlink w:anchor="latin-record-0028">
        <w:r>
          <w:rPr>
            <w:color w:val="000000"/>
          </w:rPr>
          <w:t xml:space="preserve">actus reflexus (return to the particular)</w:t>
        </w:r>
      </w:hyperlink>
      <w:r>
        <w:rPr>
          <w:b w:val="0"/>
          <w:i w:val="0"/>
        </w:rPr>
        <w:t>.</w:t>
      </w:r>
    </w:p>
    <w:p>
      <w:pPr>
        <w:widowControl/>
      </w:pPr>
      <w:r>
        <w:rPr>
          <w:b/>
          <w:i w:val="0"/>
        </w:rPr>
        <w:t>seu.</w:t>
      </w:r>
      <w:r>
        <w:rPr>
          <w:b w:val="0"/>
          <w:i w:val="0"/>
        </w:rPr>
        <w:t xml:space="preserve"> </w:t>
      </w:r>
      <w:hyperlink w:anchor="latin-record-1336">
        <w:r>
          <w:rPr>
            <w:color w:val="000000"/>
          </w:rPr>
          <w:t xml:space="preserve">vel; sive; seu; aut</w:t>
        </w:r>
      </w:hyperlink>
      <w:r>
        <w:rPr>
          <w:b w:val="0"/>
          <w:i w:val="0"/>
        </w:rPr>
        <w:t>.</w:t>
      </w:r>
    </w:p>
    <w:p>
      <w:pPr>
        <w:widowControl/>
      </w:pPr>
      <w:r>
        <w:rPr>
          <w:b/>
          <w:i w:val="0"/>
        </w:rPr>
        <w:t>sevocare.</w:t>
      </w:r>
      <w:r>
        <w:rPr>
          <w:b w:val="0"/>
          <w:i w:val="0"/>
        </w:rPr>
        <w:t xml:space="preserve"> </w:t>
      </w:r>
      <w:hyperlink w:anchor="latin-record-1166">
        <w:r>
          <w:rPr>
            <w:color w:val="000000"/>
          </w:rPr>
          <w:t xml:space="preserve">separare; sevocare</w:t>
        </w:r>
      </w:hyperlink>
      <w:r>
        <w:rPr>
          <w:b w:val="0"/>
          <w:i w:val="0"/>
        </w:rPr>
        <w:t>.</w:t>
      </w:r>
    </w:p>
    <w:p>
      <w:pPr>
        <w:widowControl/>
      </w:pPr>
      <w:r>
        <w:rPr>
          <w:b/>
          <w:i w:val="0"/>
        </w:rPr>
        <w:t>sex.</w:t>
      </w:r>
      <w:r>
        <w:rPr>
          <w:b w:val="0"/>
          <w:i w:val="0"/>
        </w:rPr>
        <w:t xml:space="preserve"> </w:t>
      </w:r>
      <w:hyperlink w:anchor="latin-record-0417">
        <w:r>
          <w:rPr>
            <w:color w:val="000000"/>
          </w:rPr>
          <w:t xml:space="preserve">duo / quattuor / sex / octo</w:t>
        </w:r>
      </w:hyperlink>
      <w:r>
        <w:rPr>
          <w:b w:val="0"/>
          <w:i w:val="0"/>
        </w:rPr>
        <w:t>.</w:t>
      </w:r>
    </w:p>
    <w:p>
      <w:pPr>
        <w:widowControl/>
      </w:pPr>
      <w:r>
        <w:rPr>
          <w:b/>
          <w:i w:val="0"/>
        </w:rPr>
        <w:t>si.</w:t>
      </w:r>
      <w:r>
        <w:rPr>
          <w:b w:val="0"/>
          <w:i w:val="0"/>
        </w:rPr>
        <w:t xml:space="preserve"> </w:t>
      </w:r>
      <w:hyperlink w:anchor="latin-record-1170">
        <w:r>
          <w:rPr>
            <w:color w:val="000000"/>
          </w:rPr>
          <w:t xml:space="preserve">si; sin; nisi; licet</w:t>
        </w:r>
      </w:hyperlink>
      <w:r>
        <w:rPr>
          <w:b w:val="0"/>
          <w:i w:val="0"/>
        </w:rPr>
        <w:t>.</w:t>
      </w:r>
    </w:p>
    <w:p>
      <w:pPr>
        <w:widowControl/>
      </w:pPr>
      <w:r>
        <w:rPr>
          <w:b/>
          <w:i w:val="0"/>
        </w:rPr>
        <w:t>Si.</w:t>
      </w:r>
      <w:r>
        <w:rPr>
          <w:b w:val="0"/>
          <w:i w:val="0"/>
        </w:rPr>
        <w:t xml:space="preserve"> </w:t>
      </w:r>
      <w:hyperlink w:anchor="latin-record-1170">
        <w:r>
          <w:rPr>
            <w:color w:val="000000"/>
          </w:rPr>
          <w:t xml:space="preserve">si; sin; nisi; licet</w:t>
        </w:r>
      </w:hyperlink>
      <w:r>
        <w:rPr>
          <w:b w:val="0"/>
          <w:i w:val="0"/>
        </w:rPr>
        <w:t>.</w:t>
      </w:r>
    </w:p>
    <w:p>
      <w:pPr>
        <w:widowControl/>
      </w:pPr>
      <w:r>
        <w:rPr>
          <w:b/>
          <w:i w:val="0"/>
        </w:rPr>
        <w:t>Si dixeris.</w:t>
      </w:r>
      <w:r>
        <w:rPr>
          <w:b w:val="0"/>
          <w:i w:val="0"/>
        </w:rPr>
        <w:t xml:space="preserve"> </w:t>
      </w:r>
      <w:hyperlink w:anchor="latin-record-0576">
        <w:r>
          <w:rPr>
            <w:color w:val="000000"/>
          </w:rPr>
          <w:t xml:space="preserve">hypothetical concession</w:t>
        </w:r>
      </w:hyperlink>
      <w:r>
        <w:rPr>
          <w:b w:val="0"/>
          <w:i w:val="0"/>
        </w:rPr>
        <w:t>.</w:t>
      </w:r>
    </w:p>
    <w:p>
      <w:pPr>
        <w:widowControl/>
      </w:pPr>
      <w:r>
        <w:rPr>
          <w:b/>
          <w:i w:val="0"/>
        </w:rPr>
        <w:t>si modo.</w:t>
      </w:r>
      <w:r>
        <w:rPr>
          <w:b w:val="0"/>
          <w:i w:val="0"/>
        </w:rPr>
        <w:t xml:space="preserve"> </w:t>
      </w:r>
      <w:hyperlink w:anchor="latin-record-0515">
        <w:r>
          <w:rPr>
            <w:color w:val="000000"/>
          </w:rPr>
          <w:t xml:space="preserve">forte / forsitan / si modo</w:t>
        </w:r>
      </w:hyperlink>
      <w:r>
        <w:rPr>
          <w:b w:val="0"/>
          <w:i w:val="0"/>
        </w:rPr>
        <w:t>.</w:t>
      </w:r>
    </w:p>
    <w:p>
      <w:pPr>
        <w:widowControl/>
      </w:pPr>
      <w:r>
        <w:rPr>
          <w:b/>
          <w:i w:val="0"/>
        </w:rPr>
        <w:t>Si primum detur.</w:t>
      </w:r>
      <w:r>
        <w:rPr>
          <w:b w:val="0"/>
          <w:i w:val="0"/>
        </w:rPr>
        <w:t xml:space="preserve"> </w:t>
      </w:r>
      <w:hyperlink w:anchor="latin-record-0357">
        <w:r>
          <w:rPr>
            <w:color w:val="000000"/>
          </w:rPr>
          <w:t xml:space="preserve">dare; concedere</w:t>
        </w:r>
      </w:hyperlink>
      <w:r>
        <w:rPr>
          <w:b w:val="0"/>
          <w:i w:val="0"/>
        </w:rPr>
        <w:t>.</w:t>
      </w:r>
    </w:p>
    <w:p>
      <w:pPr>
        <w:widowControl/>
      </w:pPr>
      <w:r>
        <w:rPr>
          <w:b/>
          <w:i w:val="0"/>
        </w:rPr>
        <w:t>si vis.</w:t>
      </w:r>
      <w:r>
        <w:rPr>
          <w:b w:val="0"/>
          <w:i w:val="0"/>
        </w:rPr>
        <w:t xml:space="preserve"> </w:t>
      </w:r>
      <w:hyperlink w:anchor="latin-record-1364">
        <w:r>
          <w:rPr>
            <w:color w:val="000000"/>
          </w:rPr>
          <w:t xml:space="preserve">vis in si vis</w:t>
        </w:r>
      </w:hyperlink>
      <w:r>
        <w:rPr>
          <w:b w:val="0"/>
          <w:i w:val="0"/>
        </w:rPr>
        <w:t>.</w:t>
      </w:r>
    </w:p>
    <w:p>
      <w:pPr>
        <w:widowControl/>
      </w:pPr>
      <w:r>
        <w:rPr>
          <w:b/>
          <w:i w:val="0"/>
        </w:rPr>
        <w:t>sic affectum.</w:t>
      </w:r>
      <w:r>
        <w:rPr>
          <w:b w:val="0"/>
          <w:i w:val="0"/>
        </w:rPr>
        <w:t xml:space="preserve"> </w:t>
      </w:r>
      <w:hyperlink w:anchor="latin-record-1274">
        <w:r>
          <w:rPr>
            <w:color w:val="000000"/>
          </w:rPr>
          <w:t xml:space="preserve">talis; sic affectus</w:t>
        </w:r>
      </w:hyperlink>
      <w:r>
        <w:rPr>
          <w:b w:val="0"/>
          <w:i w:val="0"/>
        </w:rPr>
        <w:t>.</w:t>
      </w:r>
    </w:p>
    <w:p>
      <w:pPr>
        <w:widowControl/>
      </w:pPr>
      <w:r>
        <w:rPr>
          <w:b/>
          <w:i w:val="0"/>
        </w:rPr>
        <w:t>siccitas.</w:t>
      </w:r>
      <w:r>
        <w:rPr>
          <w:b w:val="0"/>
          <w:i w:val="0"/>
        </w:rPr>
        <w:t xml:space="preserve"> </w:t>
      </w:r>
      <w:hyperlink w:anchor="latin-record-1171">
        <w:r>
          <w:rPr>
            <w:color w:val="000000"/>
          </w:rPr>
          <w:t xml:space="preserve">siccitas</w:t>
        </w:r>
      </w:hyperlink>
      <w:r>
        <w:rPr>
          <w:b w:val="0"/>
          <w:i w:val="0"/>
        </w:rPr>
        <w:t>.</w:t>
      </w:r>
    </w:p>
    <w:p>
      <w:pPr>
        <w:widowControl/>
      </w:pPr>
      <w:r>
        <w:rPr>
          <w:b/>
          <w:i w:val="0"/>
        </w:rPr>
        <w:t>siccitatem.</w:t>
      </w:r>
      <w:r>
        <w:rPr>
          <w:b w:val="0"/>
          <w:i w:val="0"/>
        </w:rPr>
        <w:t xml:space="preserve"> </w:t>
      </w:r>
      <w:hyperlink w:anchor="latin-record-1171">
        <w:r>
          <w:rPr>
            <w:color w:val="000000"/>
          </w:rPr>
          <w:t xml:space="preserve">siccitas</w:t>
        </w:r>
      </w:hyperlink>
      <w:r>
        <w:rPr>
          <w:b w:val="0"/>
          <w:i w:val="0"/>
        </w:rPr>
        <w:t>.</w:t>
      </w:r>
    </w:p>
    <w:p>
      <w:pPr>
        <w:widowControl/>
      </w:pPr>
      <w:r>
        <w:rPr>
          <w:b/>
          <w:i w:val="0"/>
        </w:rPr>
        <w:t>siccitatemque.</w:t>
      </w:r>
      <w:r>
        <w:rPr>
          <w:b w:val="0"/>
          <w:i w:val="0"/>
        </w:rPr>
        <w:t xml:space="preserve"> </w:t>
      </w:r>
      <w:hyperlink w:anchor="latin-record-0178">
        <w:r>
          <w:rPr>
            <w:color w:val="000000"/>
          </w:rPr>
          <w:t xml:space="preserve">caliditas / siccitas / frigus</w:t>
        </w:r>
      </w:hyperlink>
      <w:r>
        <w:rPr>
          <w:b w:val="0"/>
          <w:i w:val="0"/>
        </w:rPr>
        <w:t>.</w:t>
      </w:r>
    </w:p>
    <w:p>
      <w:pPr>
        <w:widowControl/>
      </w:pPr>
      <w:r>
        <w:rPr>
          <w:b/>
          <w:i w:val="0"/>
        </w:rPr>
        <w:t>siccum vel humidum.</w:t>
      </w:r>
      <w:r>
        <w:rPr>
          <w:b w:val="0"/>
          <w:i w:val="0"/>
        </w:rPr>
        <w:t xml:space="preserve"> </w:t>
      </w:r>
      <w:hyperlink w:anchor="latin-record-0179">
        <w:r>
          <w:rPr>
            <w:color w:val="000000"/>
          </w:rPr>
          <w:t xml:space="preserve">calidus; frigidus; siccus; humidus</w:t>
        </w:r>
      </w:hyperlink>
      <w:r>
        <w:rPr>
          <w:b w:val="0"/>
          <w:i w:val="0"/>
        </w:rPr>
        <w:t>.</w:t>
      </w:r>
    </w:p>
    <w:p>
      <w:pPr>
        <w:widowControl/>
      </w:pPr>
      <w:r>
        <w:rPr>
          <w:b/>
          <w:i w:val="0"/>
        </w:rPr>
        <w:t>siccumque.</w:t>
      </w:r>
      <w:r>
        <w:rPr>
          <w:b w:val="0"/>
          <w:i w:val="0"/>
        </w:rPr>
        <w:t xml:space="preserve"> </w:t>
      </w:r>
      <w:hyperlink w:anchor="latin-record-0178">
        <w:r>
          <w:rPr>
            <w:color w:val="000000"/>
          </w:rPr>
          <w:t xml:space="preserve">caliditas / siccitas / frigus</w:t>
        </w:r>
      </w:hyperlink>
      <w:r>
        <w:rPr>
          <w:b w:val="0"/>
          <w:i w:val="0"/>
        </w:rPr>
        <w:t>.</w:t>
      </w:r>
    </w:p>
    <w:p>
      <w:pPr>
        <w:widowControl/>
      </w:pPr>
      <w:r>
        <w:rPr>
          <w:b/>
          <w:i w:val="0"/>
        </w:rPr>
        <w:t>sigillo.</w:t>
      </w:r>
      <w:r>
        <w:rPr>
          <w:b w:val="0"/>
          <w:i w:val="0"/>
        </w:rPr>
        <w:t xml:space="preserve"> </w:t>
      </w:r>
      <w:hyperlink w:anchor="latin-record-1172">
        <w:r>
          <w:rPr>
            <w:color w:val="000000"/>
          </w:rPr>
          <w:t xml:space="preserve">sigillum</w:t>
        </w:r>
      </w:hyperlink>
      <w:r>
        <w:rPr>
          <w:b w:val="0"/>
          <w:i w:val="0"/>
        </w:rPr>
        <w:t>.</w:t>
      </w:r>
    </w:p>
    <w:p>
      <w:pPr>
        <w:widowControl/>
      </w:pPr>
      <w:r>
        <w:rPr>
          <w:b/>
          <w:i w:val="0"/>
        </w:rPr>
        <w:t>significatio.</w:t>
      </w:r>
      <w:r>
        <w:rPr>
          <w:b w:val="0"/>
          <w:i w:val="0"/>
        </w:rPr>
        <w:t xml:space="preserve"> </w:t>
      </w:r>
      <w:hyperlink w:anchor="latin-record-1173">
        <w:r>
          <w:rPr>
            <w:color w:val="000000"/>
          </w:rPr>
          <w:t xml:space="preserve">significatio / vox</w:t>
        </w:r>
      </w:hyperlink>
      <w:r>
        <w:rPr>
          <w:b w:val="0"/>
          <w:i w:val="0"/>
        </w:rPr>
        <w:t>.</w:t>
      </w:r>
    </w:p>
    <w:p>
      <w:pPr>
        <w:widowControl/>
      </w:pPr>
      <w:r>
        <w:rPr>
          <w:b/>
          <w:i w:val="0"/>
        </w:rPr>
        <w:t>significationem.</w:t>
      </w:r>
      <w:r>
        <w:rPr>
          <w:b w:val="0"/>
          <w:i w:val="0"/>
        </w:rPr>
        <w:t xml:space="preserve"> </w:t>
      </w:r>
      <w:hyperlink w:anchor="latin-record-1173">
        <w:r>
          <w:rPr>
            <w:color w:val="000000"/>
          </w:rPr>
          <w:t xml:space="preserve">significatio / vox</w:t>
        </w:r>
      </w:hyperlink>
      <w:r>
        <w:rPr>
          <w:b w:val="0"/>
          <w:i w:val="0"/>
        </w:rPr>
        <w:t>.</w:t>
      </w:r>
    </w:p>
    <w:p>
      <w:pPr>
        <w:widowControl/>
      </w:pPr>
      <w:r>
        <w:rPr>
          <w:b/>
          <w:i w:val="0"/>
        </w:rPr>
        <w:t>Significationes.</w:t>
      </w:r>
      <w:r>
        <w:rPr>
          <w:b w:val="0"/>
          <w:i w:val="0"/>
        </w:rPr>
        <w:t xml:space="preserve"> </w:t>
      </w:r>
      <w:hyperlink w:anchor="latin-record-1173">
        <w:r>
          <w:rPr>
            <w:color w:val="000000"/>
          </w:rPr>
          <w:t xml:space="preserve">significatio / vox</w:t>
        </w:r>
      </w:hyperlink>
      <w:r>
        <w:rPr>
          <w:b w:val="0"/>
          <w:i w:val="0"/>
        </w:rPr>
        <w:t>.</w:t>
      </w:r>
    </w:p>
    <w:p>
      <w:pPr>
        <w:widowControl/>
      </w:pPr>
      <w:r>
        <w:rPr>
          <w:b/>
          <w:i w:val="0"/>
        </w:rPr>
        <w:t>significationes.</w:t>
      </w:r>
      <w:r>
        <w:rPr>
          <w:b w:val="0"/>
          <w:i w:val="0"/>
        </w:rPr>
        <w:t xml:space="preserve"> </w:t>
      </w:r>
      <w:hyperlink w:anchor="latin-record-1173">
        <w:r>
          <w:rPr>
            <w:color w:val="000000"/>
          </w:rPr>
          <w:t xml:space="preserve">significatio / vox</w:t>
        </w:r>
      </w:hyperlink>
      <w:r>
        <w:rPr>
          <w:b w:val="0"/>
          <w:i w:val="0"/>
        </w:rPr>
        <w:t>.</w:t>
      </w:r>
    </w:p>
    <w:p>
      <w:pPr>
        <w:widowControl/>
      </w:pPr>
      <w:r>
        <w:rPr>
          <w:b/>
          <w:i w:val="0"/>
        </w:rPr>
        <w:t>silentio.</w:t>
      </w:r>
      <w:r>
        <w:rPr>
          <w:b w:val="0"/>
          <w:i w:val="0"/>
        </w:rPr>
        <w:t xml:space="preserve"> </w:t>
      </w:r>
      <w:hyperlink w:anchor="latin-record-1205">
        <w:r>
          <w:rPr>
            <w:color w:val="000000"/>
          </w:rPr>
          <w:t xml:space="preserve">sonus / percussio / silentium</w:t>
        </w:r>
      </w:hyperlink>
      <w:r>
        <w:rPr>
          <w:b w:val="0"/>
          <w:i w:val="0"/>
        </w:rPr>
        <w:t>.</w:t>
      </w:r>
    </w:p>
    <w:p>
      <w:pPr>
        <w:widowControl/>
      </w:pPr>
      <w:r>
        <w:rPr>
          <w:b/>
          <w:i w:val="0"/>
        </w:rPr>
        <w:t>silentium.</w:t>
      </w:r>
      <w:r>
        <w:rPr>
          <w:b w:val="0"/>
          <w:i w:val="0"/>
        </w:rPr>
        <w:t xml:space="preserve"> </w:t>
      </w:r>
      <w:hyperlink w:anchor="latin-record-0737">
        <w:r>
          <w:rPr>
            <w:color w:val="000000"/>
          </w:rPr>
          <w:t xml:space="preserve">lux / tenebrae / vox / silentium</w:t>
        </w:r>
      </w:hyperlink>
      <w:r>
        <w:rPr>
          <w:b w:val="0"/>
          <w:i w:val="0"/>
        </w:rPr>
        <w:t>.</w:t>
      </w:r>
    </w:p>
    <w:p>
      <w:pPr>
        <w:widowControl/>
      </w:pPr>
      <w:r>
        <w:rPr>
          <w:b/>
          <w:i w:val="0"/>
        </w:rPr>
        <w:t>simia.</w:t>
      </w:r>
      <w:r>
        <w:rPr>
          <w:b w:val="0"/>
          <w:i w:val="0"/>
        </w:rPr>
        <w:t xml:space="preserve"> </w:t>
      </w:r>
      <w:hyperlink w:anchor="latin-record-1174">
        <w:r>
          <w:rPr>
            <w:color w:val="000000"/>
          </w:rPr>
          <w:t xml:space="preserve">simia / asinus / ingenium</w:t>
        </w:r>
      </w:hyperlink>
      <w:r>
        <w:rPr>
          <w:b w:val="0"/>
          <w:i w:val="0"/>
        </w:rPr>
        <w:t>.</w:t>
      </w:r>
    </w:p>
    <w:p>
      <w:pPr>
        <w:widowControl/>
      </w:pPr>
      <w:r>
        <w:rPr>
          <w:b/>
          <w:i w:val="0"/>
        </w:rPr>
        <w:t>simile.</w:t>
      </w:r>
      <w:r>
        <w:rPr>
          <w:b w:val="0"/>
          <w:i w:val="0"/>
        </w:rPr>
        <w:t xml:space="preserve"> </w:t>
      </w:r>
      <w:hyperlink w:anchor="latin-record-1175">
        <w:r>
          <w:rPr>
            <w:color w:val="000000"/>
          </w:rPr>
          <w:t xml:space="preserve">similis; idem</w:t>
        </w:r>
      </w:hyperlink>
      <w:r>
        <w:rPr>
          <w:b w:val="0"/>
          <w:i w:val="0"/>
        </w:rPr>
        <w:t xml:space="preserve">; </w:t>
      </w:r>
      <w:hyperlink w:anchor="latin-record-1176">
        <w:r>
          <w:rPr>
            <w:color w:val="000000"/>
          </w:rPr>
          <w:t xml:space="preserve">similitudo</w:t>
        </w:r>
      </w:hyperlink>
      <w:r>
        <w:rPr>
          <w:b w:val="0"/>
          <w:i w:val="0"/>
        </w:rPr>
        <w:t>.</w:t>
      </w:r>
    </w:p>
    <w:p>
      <w:pPr>
        <w:widowControl/>
      </w:pPr>
      <w:r>
        <w:rPr>
          <w:b/>
          <w:i w:val="0"/>
        </w:rPr>
        <w:t>similem.</w:t>
      </w:r>
      <w:r>
        <w:rPr>
          <w:b w:val="0"/>
          <w:i w:val="0"/>
        </w:rPr>
        <w:t xml:space="preserve"> </w:t>
      </w:r>
      <w:hyperlink w:anchor="latin-record-0486">
        <w:r>
          <w:rPr>
            <w:color w:val="000000"/>
          </w:rPr>
          <w:t xml:space="preserve">figura eadem; similis</w:t>
        </w:r>
      </w:hyperlink>
      <w:r>
        <w:rPr>
          <w:b w:val="0"/>
          <w:i w:val="0"/>
        </w:rPr>
        <w:t xml:space="preserve">; </w:t>
      </w:r>
      <w:hyperlink w:anchor="latin-record-1175">
        <w:r>
          <w:rPr>
            <w:color w:val="000000"/>
          </w:rPr>
          <w:t xml:space="preserve">similis; idem</w:t>
        </w:r>
      </w:hyperlink>
      <w:r>
        <w:rPr>
          <w:b w:val="0"/>
          <w:i w:val="0"/>
        </w:rPr>
        <w:t>.</w:t>
      </w:r>
    </w:p>
    <w:p>
      <w:pPr>
        <w:widowControl/>
      </w:pPr>
      <w:r>
        <w:rPr>
          <w:b/>
          <w:i w:val="0"/>
        </w:rPr>
        <w:t>similes.</w:t>
      </w:r>
      <w:r>
        <w:rPr>
          <w:b w:val="0"/>
          <w:i w:val="0"/>
        </w:rPr>
        <w:t xml:space="preserve"> </w:t>
      </w:r>
      <w:hyperlink w:anchor="latin-record-1175">
        <w:r>
          <w:rPr>
            <w:color w:val="000000"/>
          </w:rPr>
          <w:t xml:space="preserve">similis; idem</w:t>
        </w:r>
      </w:hyperlink>
      <w:r>
        <w:rPr>
          <w:b w:val="0"/>
          <w:i w:val="0"/>
        </w:rPr>
        <w:t xml:space="preserve">; </w:t>
      </w:r>
      <w:hyperlink w:anchor="latin-record-1176">
        <w:r>
          <w:rPr>
            <w:color w:val="000000"/>
          </w:rPr>
          <w:t xml:space="preserve">similitudo</w:t>
        </w:r>
      </w:hyperlink>
      <w:r>
        <w:rPr>
          <w:b w:val="0"/>
          <w:i w:val="0"/>
        </w:rPr>
        <w:t>.</w:t>
      </w:r>
    </w:p>
    <w:p>
      <w:pPr>
        <w:widowControl/>
      </w:pPr>
      <w:r>
        <w:rPr>
          <w:b/>
          <w:i w:val="0"/>
        </w:rPr>
        <w:t>similia.</w:t>
      </w:r>
      <w:r>
        <w:rPr>
          <w:b w:val="0"/>
          <w:i w:val="0"/>
        </w:rPr>
        <w:t xml:space="preserve"> </w:t>
      </w:r>
      <w:hyperlink w:anchor="latin-record-1175">
        <w:r>
          <w:rPr>
            <w:color w:val="000000"/>
          </w:rPr>
          <w:t xml:space="preserve">similis; idem</w:t>
        </w:r>
      </w:hyperlink>
      <w:r>
        <w:rPr>
          <w:b w:val="0"/>
          <w:i w:val="0"/>
        </w:rPr>
        <w:t>.</w:t>
      </w:r>
    </w:p>
    <w:p>
      <w:pPr>
        <w:widowControl/>
      </w:pPr>
      <w:r>
        <w:rPr>
          <w:b/>
          <w:i w:val="0"/>
        </w:rPr>
        <w:t>similis.</w:t>
      </w:r>
      <w:r>
        <w:rPr>
          <w:b w:val="0"/>
          <w:i w:val="0"/>
        </w:rPr>
        <w:t xml:space="preserve"> </w:t>
      </w:r>
      <w:hyperlink w:anchor="latin-record-1175">
        <w:r>
          <w:rPr>
            <w:color w:val="000000"/>
          </w:rPr>
          <w:t xml:space="preserve">similis; idem</w:t>
        </w:r>
      </w:hyperlink>
      <w:r>
        <w:rPr>
          <w:b w:val="0"/>
          <w:i w:val="0"/>
        </w:rPr>
        <w:t xml:space="preserve">; </w:t>
      </w:r>
      <w:hyperlink w:anchor="latin-record-1176">
        <w:r>
          <w:rPr>
            <w:color w:val="000000"/>
          </w:rPr>
          <w:t xml:space="preserve">similitudo</w:t>
        </w:r>
      </w:hyperlink>
      <w:r>
        <w:rPr>
          <w:b w:val="0"/>
          <w:i w:val="0"/>
        </w:rPr>
        <w:t>.</w:t>
      </w:r>
    </w:p>
    <w:p>
      <w:pPr>
        <w:widowControl/>
      </w:pPr>
      <w:r>
        <w:rPr>
          <w:b/>
          <w:i w:val="0"/>
        </w:rPr>
        <w:t>similiter.</w:t>
      </w:r>
      <w:r>
        <w:rPr>
          <w:b w:val="0"/>
          <w:i w:val="0"/>
        </w:rPr>
        <w:t xml:space="preserve"> </w:t>
      </w:r>
      <w:hyperlink w:anchor="latin-record-1175">
        <w:r>
          <w:rPr>
            <w:color w:val="000000"/>
          </w:rPr>
          <w:t xml:space="preserve">similis; idem</w:t>
        </w:r>
      </w:hyperlink>
      <w:r>
        <w:rPr>
          <w:b w:val="0"/>
          <w:i w:val="0"/>
        </w:rPr>
        <w:t>.</w:t>
      </w:r>
    </w:p>
    <w:p>
      <w:pPr>
        <w:widowControl/>
      </w:pPr>
      <w:r>
        <w:rPr>
          <w:b/>
          <w:i w:val="0"/>
        </w:rPr>
        <w:t>similitudine.</w:t>
      </w:r>
      <w:r>
        <w:rPr>
          <w:b w:val="0"/>
          <w:i w:val="0"/>
        </w:rPr>
        <w:t xml:space="preserve"> </w:t>
      </w:r>
      <w:hyperlink w:anchor="latin-record-1176">
        <w:r>
          <w:rPr>
            <w:color w:val="000000"/>
          </w:rPr>
          <w:t xml:space="preserve">similitudo</w:t>
        </w:r>
      </w:hyperlink>
      <w:r>
        <w:rPr>
          <w:b w:val="0"/>
          <w:i w:val="0"/>
        </w:rPr>
        <w:t>.</w:t>
      </w:r>
    </w:p>
    <w:p>
      <w:pPr>
        <w:widowControl/>
      </w:pPr>
      <w:r>
        <w:rPr>
          <w:b/>
          <w:i w:val="0"/>
        </w:rPr>
        <w:t>similitudinem.</w:t>
      </w:r>
      <w:r>
        <w:rPr>
          <w:b w:val="0"/>
          <w:i w:val="0"/>
        </w:rPr>
        <w:t xml:space="preserve"> </w:t>
      </w:r>
      <w:hyperlink w:anchor="latin-record-1176">
        <w:r>
          <w:rPr>
            <w:color w:val="000000"/>
          </w:rPr>
          <w:t xml:space="preserve">similitudo</w:t>
        </w:r>
      </w:hyperlink>
      <w:r>
        <w:rPr>
          <w:b w:val="0"/>
          <w:i w:val="0"/>
        </w:rPr>
        <w:t>.</w:t>
      </w:r>
    </w:p>
    <w:p>
      <w:pPr>
        <w:widowControl/>
      </w:pPr>
      <w:r>
        <w:rPr>
          <w:b/>
          <w:i w:val="0"/>
        </w:rPr>
        <w:t>similitudinemque.</w:t>
      </w:r>
      <w:r>
        <w:rPr>
          <w:b w:val="0"/>
          <w:i w:val="0"/>
        </w:rPr>
        <w:t xml:space="preserve"> </w:t>
      </w:r>
      <w:hyperlink w:anchor="latin-record-1176">
        <w:r>
          <w:rPr>
            <w:color w:val="000000"/>
          </w:rPr>
          <w:t xml:space="preserve">similitudo</w:t>
        </w:r>
      </w:hyperlink>
      <w:r>
        <w:rPr>
          <w:b w:val="0"/>
          <w:i w:val="0"/>
        </w:rPr>
        <w:t>.</w:t>
      </w:r>
    </w:p>
    <w:p>
      <w:pPr>
        <w:widowControl/>
      </w:pPr>
      <w:r>
        <w:rPr>
          <w:b/>
          <w:i w:val="0"/>
        </w:rPr>
        <w:t>simillima.</w:t>
      </w:r>
      <w:r>
        <w:rPr>
          <w:b w:val="0"/>
          <w:i w:val="0"/>
        </w:rPr>
        <w:t xml:space="preserve"> </w:t>
      </w:r>
      <w:hyperlink w:anchor="latin-record-1176">
        <w:r>
          <w:rPr>
            <w:color w:val="000000"/>
          </w:rPr>
          <w:t xml:space="preserve">similitudo</w:t>
        </w:r>
      </w:hyperlink>
      <w:r>
        <w:rPr>
          <w:b w:val="0"/>
          <w:i w:val="0"/>
        </w:rPr>
        <w:t>.</w:t>
      </w:r>
    </w:p>
    <w:p>
      <w:pPr>
        <w:widowControl/>
      </w:pPr>
      <w:r>
        <w:rPr>
          <w:b/>
          <w:i w:val="0"/>
        </w:rPr>
        <w:t>simillimas.</w:t>
      </w:r>
      <w:r>
        <w:rPr>
          <w:b w:val="0"/>
          <w:i w:val="0"/>
        </w:rPr>
        <w:t xml:space="preserve"> </w:t>
      </w:r>
      <w:hyperlink w:anchor="latin-record-1176">
        <w:r>
          <w:rPr>
            <w:color w:val="000000"/>
          </w:rPr>
          <w:t xml:space="preserve">similitudo</w:t>
        </w:r>
      </w:hyperlink>
      <w:r>
        <w:rPr>
          <w:b w:val="0"/>
          <w:i w:val="0"/>
        </w:rPr>
        <w:t>.</w:t>
      </w:r>
    </w:p>
    <w:p>
      <w:pPr>
        <w:widowControl/>
      </w:pPr>
      <w:r>
        <w:rPr>
          <w:b/>
          <w:i w:val="0"/>
        </w:rPr>
        <w:t>Simplex.</w:t>
      </w:r>
      <w:r>
        <w:rPr>
          <w:b w:val="0"/>
          <w:i w:val="0"/>
        </w:rPr>
        <w:t xml:space="preserve"> </w:t>
      </w:r>
      <w:hyperlink w:anchor="latin-record-1177">
        <w:r>
          <w:rPr>
            <w:color w:val="000000"/>
          </w:rPr>
          <w:t xml:space="preserve">simplex</w:t>
        </w:r>
      </w:hyperlink>
      <w:r>
        <w:rPr>
          <w:b w:val="0"/>
          <w:i w:val="0"/>
        </w:rPr>
        <w:t>.</w:t>
      </w:r>
    </w:p>
    <w:p>
      <w:pPr>
        <w:widowControl/>
      </w:pPr>
      <w:r>
        <w:rPr>
          <w:b/>
          <w:i w:val="0"/>
        </w:rPr>
        <w:t>simplex.</w:t>
      </w:r>
      <w:r>
        <w:rPr>
          <w:b w:val="0"/>
          <w:i w:val="0"/>
        </w:rPr>
        <w:t xml:space="preserve"> </w:t>
      </w:r>
      <w:hyperlink w:anchor="latin-record-1177">
        <w:r>
          <w:rPr>
            <w:color w:val="000000"/>
          </w:rPr>
          <w:t xml:space="preserve">simplex</w:t>
        </w:r>
      </w:hyperlink>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simplex qualitas.</w:t>
      </w:r>
      <w:r>
        <w:rPr>
          <w:b w:val="0"/>
          <w:i w:val="0"/>
        </w:rPr>
        <w:t xml:space="preserve"> </w:t>
      </w:r>
      <w:hyperlink w:anchor="latin-record-1179">
        <w:r>
          <w:rPr>
            <w:color w:val="000000"/>
          </w:rPr>
          <w:t xml:space="preserve">simplex qualitas / forma astricta</w:t>
        </w:r>
      </w:hyperlink>
      <w:r>
        <w:rPr>
          <w:b w:val="0"/>
          <w:i w:val="0"/>
        </w:rPr>
        <w:t>.</w:t>
      </w:r>
    </w:p>
    <w:p>
      <w:pPr>
        <w:widowControl/>
      </w:pPr>
      <w:r>
        <w:rPr>
          <w:b/>
          <w:i w:val="0"/>
        </w:rPr>
        <w:t>simplicem.</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simplices.</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simplicia.</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simplicis.</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simplicitas.</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simplicitate.</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simplicitatem.</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simplicitatis.</w:t>
      </w:r>
      <w:r>
        <w:rPr>
          <w:b w:val="0"/>
          <w:i w:val="0"/>
        </w:rPr>
        <w:t xml:space="preserve"> </w:t>
      </w:r>
      <w:hyperlink w:anchor="latin-record-1178">
        <w:r>
          <w:rPr>
            <w:color w:val="000000"/>
          </w:rPr>
          <w:t xml:space="preserve">simplex / simplicitas</w:t>
        </w:r>
      </w:hyperlink>
      <w:r>
        <w:rPr>
          <w:b w:val="0"/>
          <w:i w:val="0"/>
        </w:rPr>
        <w:t>.</w:t>
      </w:r>
    </w:p>
    <w:p>
      <w:pPr>
        <w:widowControl/>
      </w:pPr>
      <w:r>
        <w:rPr>
          <w:b/>
          <w:i w:val="0"/>
        </w:rPr>
        <w:t>simplicitatis et constantiae.</w:t>
      </w:r>
      <w:r>
        <w:rPr>
          <w:b w:val="0"/>
          <w:i w:val="0"/>
        </w:rPr>
        <w:t xml:space="preserve"> </w:t>
      </w:r>
      <w:hyperlink w:anchor="latin-record-1180">
        <w:r>
          <w:rPr>
            <w:color w:val="000000"/>
          </w:rPr>
          <w:t xml:space="preserve">simplicitas; constantia</w:t>
        </w:r>
      </w:hyperlink>
      <w:r>
        <w:rPr>
          <w:b w:val="0"/>
          <w:i w:val="0"/>
        </w:rPr>
        <w:t>.</w:t>
      </w:r>
    </w:p>
    <w:p>
      <w:pPr>
        <w:widowControl/>
      </w:pPr>
      <w:r>
        <w:rPr>
          <w:b/>
          <w:i w:val="0"/>
        </w:rPr>
        <w:t>simpliciter.</w:t>
      </w:r>
      <w:r>
        <w:rPr>
          <w:b w:val="0"/>
          <w:i w:val="0"/>
        </w:rPr>
        <w:t xml:space="preserve"> </w:t>
      </w:r>
      <w:hyperlink w:anchor="latin-record-1181">
        <w:r>
          <w:rPr>
            <w:color w:val="000000"/>
          </w:rPr>
          <w:t xml:space="preserve">simpliciter</w:t>
        </w:r>
      </w:hyperlink>
      <w:r>
        <w:rPr>
          <w:b w:val="0"/>
          <w:i w:val="0"/>
        </w:rPr>
        <w:t>.</w:t>
      </w:r>
    </w:p>
    <w:p>
      <w:pPr>
        <w:widowControl/>
      </w:pPr>
      <w:r>
        <w:rPr>
          <w:b/>
          <w:i w:val="0"/>
        </w:rPr>
        <w:t>simpliciter esse.</w:t>
      </w:r>
      <w:r>
        <w:rPr>
          <w:b w:val="0"/>
          <w:i w:val="0"/>
        </w:rPr>
        <w:t xml:space="preserve"> </w:t>
      </w:r>
      <w:hyperlink w:anchor="latin-record-0160">
        <w:r>
          <w:rPr>
            <w:color w:val="000000"/>
          </w:rPr>
          <w:t xml:space="preserve">bene esse / simpliciter esse</w:t>
        </w:r>
      </w:hyperlink>
      <w:r>
        <w:rPr>
          <w:b w:val="0"/>
          <w:i w:val="0"/>
        </w:rPr>
        <w:t>.</w:t>
      </w:r>
    </w:p>
    <w:p>
      <w:pPr>
        <w:widowControl/>
      </w:pPr>
      <w:r>
        <w:rPr>
          <w:b/>
          <w:i w:val="0"/>
        </w:rPr>
        <w:t>simplicium.</w:t>
      </w:r>
      <w:r>
        <w:rPr>
          <w:b w:val="0"/>
          <w:i w:val="0"/>
        </w:rPr>
        <w:t xml:space="preserve"> </w:t>
      </w:r>
      <w:hyperlink w:anchor="latin-record-1177">
        <w:r>
          <w:rPr>
            <w:color w:val="000000"/>
          </w:rPr>
          <w:t xml:space="preserve">simplex</w:t>
        </w:r>
      </w:hyperlink>
      <w:r>
        <w:rPr>
          <w:b w:val="0"/>
          <w:i w:val="0"/>
        </w:rPr>
        <w:t xml:space="preserve">; </w:t>
      </w:r>
      <w:hyperlink w:anchor="latin-record-1178">
        <w:r>
          <w:rPr>
            <w:color w:val="000000"/>
          </w:rPr>
          <w:t xml:space="preserve">simplex / simplicitas</w:t>
        </w:r>
      </w:hyperlink>
      <w:r>
        <w:rPr>
          <w:b w:val="0"/>
          <w:i w:val="0"/>
        </w:rPr>
        <w:t>.</w:t>
      </w:r>
    </w:p>
    <w:p>
      <w:pPr>
        <w:widowControl/>
      </w:pPr>
      <w:r>
        <w:rPr>
          <w:b/>
          <w:i w:val="0"/>
        </w:rPr>
        <w:t>simul.</w:t>
      </w:r>
      <w:r>
        <w:rPr>
          <w:b w:val="0"/>
          <w:i w:val="0"/>
        </w:rPr>
        <w:t xml:space="preserve"> </w:t>
      </w:r>
      <w:hyperlink w:anchor="latin-record-1182">
        <w:r>
          <w:rPr>
            <w:color w:val="000000"/>
          </w:rPr>
          <w:t xml:space="preserve">simul</w:t>
        </w:r>
      </w:hyperlink>
      <w:r>
        <w:rPr>
          <w:b w:val="0"/>
          <w:i w:val="0"/>
        </w:rPr>
        <w:t xml:space="preserve">; </w:t>
      </w:r>
      <w:hyperlink w:anchor="latin-record-1184">
        <w:r>
          <w:rPr>
            <w:color w:val="000000"/>
          </w:rPr>
          <w:t xml:space="preserve">simul; vicissim; invicem</w:t>
        </w:r>
      </w:hyperlink>
      <w:r>
        <w:rPr>
          <w:b w:val="0"/>
          <w:i w:val="0"/>
        </w:rPr>
        <w:t>.</w:t>
      </w:r>
    </w:p>
    <w:p>
      <w:pPr>
        <w:widowControl/>
      </w:pPr>
      <w:r>
        <w:rPr>
          <w:b/>
          <w:i w:val="0"/>
        </w:rPr>
        <w:t>simul omnia possident atque vident.</w:t>
      </w:r>
      <w:r>
        <w:rPr>
          <w:b w:val="0"/>
          <w:i w:val="0"/>
        </w:rPr>
        <w:t xml:space="preserve"> </w:t>
      </w:r>
      <w:hyperlink w:anchor="latin-record-1183">
        <w:r>
          <w:rPr>
            <w:color w:val="000000"/>
          </w:rPr>
          <w:t xml:space="preserve">simul possidere et videre</w:t>
        </w:r>
      </w:hyperlink>
      <w:r>
        <w:rPr>
          <w:b w:val="0"/>
          <w:i w:val="0"/>
        </w:rPr>
        <w:t>.</w:t>
      </w:r>
    </w:p>
    <w:p>
      <w:pPr>
        <w:widowControl/>
      </w:pPr>
      <w:r>
        <w:rPr>
          <w:b/>
          <w:i w:val="0"/>
        </w:rPr>
        <w:t>simulachra.</w:t>
      </w:r>
      <w:r>
        <w:rPr>
          <w:b w:val="0"/>
          <w:i w:val="0"/>
        </w:rPr>
        <w:t xml:space="preserve"> </w:t>
      </w:r>
      <w:hyperlink w:anchor="latin-record-1185">
        <w:r>
          <w:rPr>
            <w:color w:val="000000"/>
          </w:rPr>
          <w:t xml:space="preserve">simulachrum; resultare</w:t>
        </w:r>
      </w:hyperlink>
      <w:r>
        <w:rPr>
          <w:b w:val="0"/>
          <w:i w:val="0"/>
        </w:rPr>
        <w:t>.</w:t>
      </w:r>
    </w:p>
    <w:p>
      <w:pPr>
        <w:widowControl/>
      </w:pPr>
      <w:r>
        <w:rPr>
          <w:b/>
          <w:i w:val="0"/>
        </w:rPr>
        <w:t>simulacra.</w:t>
      </w:r>
      <w:r>
        <w:rPr>
          <w:b w:val="0"/>
          <w:i w:val="0"/>
        </w:rPr>
        <w:t xml:space="preserve"> </w:t>
      </w:r>
      <w:hyperlink w:anchor="latin-record-0578">
        <w:r>
          <w:rPr>
            <w:color w:val="000000"/>
          </w:rPr>
          <w:t xml:space="preserve">idolum / simulacrum</w:t>
        </w:r>
      </w:hyperlink>
      <w:r>
        <w:rPr>
          <w:b w:val="0"/>
          <w:i w:val="0"/>
        </w:rPr>
        <w:t xml:space="preserve">; </w:t>
      </w:r>
      <w:hyperlink w:anchor="latin-record-1186">
        <w:r>
          <w:rPr>
            <w:color w:val="000000"/>
          </w:rPr>
          <w:t xml:space="preserve">simulacrum</w:t>
        </w:r>
      </w:hyperlink>
      <w:r>
        <w:rPr>
          <w:b w:val="0"/>
          <w:i w:val="0"/>
        </w:rPr>
        <w:t>.</w:t>
      </w:r>
    </w:p>
    <w:p>
      <w:pPr>
        <w:widowControl/>
      </w:pPr>
      <w:r>
        <w:rPr>
          <w:b/>
          <w:i w:val="0"/>
        </w:rPr>
        <w:t>simulacro.</w:t>
      </w:r>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simulacrorum.</w:t>
      </w:r>
      <w:r>
        <w:rPr>
          <w:b w:val="0"/>
          <w:i w:val="0"/>
        </w:rPr>
        <w:t xml:space="preserve"> </w:t>
      </w:r>
      <w:hyperlink w:anchor="latin-record-0578">
        <w:r>
          <w:rPr>
            <w:color w:val="000000"/>
          </w:rPr>
          <w:t xml:space="preserve">idolum / simulacrum</w:t>
        </w:r>
      </w:hyperlink>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simulacrum.</w:t>
      </w:r>
      <w:r>
        <w:rPr>
          <w:b w:val="0"/>
          <w:i w:val="0"/>
        </w:rPr>
        <w:t xml:space="preserve"> </w:t>
      </w:r>
      <w:hyperlink w:anchor="latin-record-0578">
        <w:r>
          <w:rPr>
            <w:color w:val="000000"/>
          </w:rPr>
          <w:t xml:space="preserve">idolum / simulacrum</w:t>
        </w:r>
      </w:hyperlink>
      <w:r>
        <w:rPr>
          <w:b w:val="0"/>
          <w:i w:val="0"/>
        </w:rPr>
        <w:t xml:space="preserve">; </w:t>
      </w:r>
      <w:hyperlink w:anchor="latin-record-1187">
        <w:r>
          <w:rPr>
            <w:color w:val="000000"/>
          </w:rPr>
          <w:t xml:space="preserve">simulacrum / imago / effigies</w:t>
        </w:r>
      </w:hyperlink>
      <w:r>
        <w:rPr>
          <w:b w:val="0"/>
          <w:i w:val="0"/>
        </w:rPr>
        <w:t>.</w:t>
      </w:r>
    </w:p>
    <w:p>
      <w:pPr>
        <w:widowControl/>
      </w:pPr>
      <w:r>
        <w:rPr>
          <w:b/>
          <w:i w:val="0"/>
        </w:rPr>
        <w:t>Sin.</w:t>
      </w:r>
      <w:r>
        <w:rPr>
          <w:b w:val="0"/>
          <w:i w:val="0"/>
        </w:rPr>
        <w:t xml:space="preserve"> </w:t>
      </w:r>
      <w:hyperlink w:anchor="latin-record-1170">
        <w:r>
          <w:rPr>
            <w:color w:val="000000"/>
          </w:rPr>
          <w:t xml:space="preserve">si; sin; nisi; licet</w:t>
        </w:r>
      </w:hyperlink>
      <w:r>
        <w:rPr>
          <w:b w:val="0"/>
          <w:i w:val="0"/>
        </w:rPr>
        <w:t>.</w:t>
      </w:r>
    </w:p>
    <w:p>
      <w:pPr>
        <w:widowControl/>
      </w:pPr>
      <w:r>
        <w:rPr>
          <w:b/>
          <w:i w:val="0"/>
        </w:rPr>
        <w:t>sincera.</w:t>
      </w:r>
      <w:r>
        <w:rPr>
          <w:b w:val="0"/>
          <w:i w:val="0"/>
        </w:rPr>
        <w:t xml:space="preserve"> </w:t>
      </w:r>
      <w:hyperlink w:anchor="latin-record-0789">
        <w:r>
          <w:rPr>
            <w:color w:val="000000"/>
          </w:rPr>
          <w:t xml:space="preserve">mixtus / sincerus</w:t>
        </w:r>
      </w:hyperlink>
      <w:r>
        <w:rPr>
          <w:b w:val="0"/>
          <w:i w:val="0"/>
        </w:rPr>
        <w:t>.</w:t>
      </w:r>
    </w:p>
    <w:p>
      <w:pPr>
        <w:widowControl/>
      </w:pPr>
      <w:r>
        <w:rPr>
          <w:b/>
          <w:i w:val="0"/>
        </w:rPr>
        <w:t>sincere.</w:t>
      </w:r>
      <w:r>
        <w:rPr>
          <w:b w:val="0"/>
          <w:i w:val="0"/>
        </w:rPr>
        <w:t xml:space="preserve"> </w:t>
      </w:r>
      <w:hyperlink w:anchor="latin-record-1188">
        <w:r>
          <w:rPr>
            <w:color w:val="000000"/>
          </w:rPr>
          <w:t xml:space="preserve">sincere discernere</w:t>
        </w:r>
      </w:hyperlink>
      <w:r>
        <w:rPr>
          <w:b w:val="0"/>
          <w:i w:val="0"/>
        </w:rPr>
        <w:t>.</w:t>
      </w:r>
    </w:p>
    <w:p>
      <w:pPr>
        <w:widowControl/>
      </w:pPr>
      <w:r>
        <w:rPr>
          <w:b/>
          <w:i w:val="0"/>
        </w:rPr>
        <w:t>sine medio.</w:t>
      </w:r>
      <w:r>
        <w:rPr>
          <w:b w:val="0"/>
          <w:i w:val="0"/>
        </w:rPr>
        <w:t xml:space="preserve"> </w:t>
      </w:r>
      <w:hyperlink w:anchor="latin-record-1189">
        <w:r>
          <w:rPr>
            <w:color w:val="000000"/>
          </w:rPr>
          <w:t xml:space="preserve">sine medio</w:t>
        </w:r>
      </w:hyperlink>
      <w:r>
        <w:rPr>
          <w:b w:val="0"/>
          <w:i w:val="0"/>
        </w:rPr>
        <w:t>.</w:t>
      </w:r>
    </w:p>
    <w:p>
      <w:pPr>
        <w:widowControl/>
      </w:pPr>
      <w:r>
        <w:rPr>
          <w:b/>
          <w:i w:val="0"/>
        </w:rPr>
        <w:t>singulares.</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singularis.</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singulas.</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singulis.</w:t>
      </w:r>
      <w:r>
        <w:rPr>
          <w:b w:val="0"/>
          <w:i w:val="0"/>
        </w:rPr>
        <w:t xml:space="preserve"> </w:t>
      </w:r>
      <w:hyperlink w:anchor="latin-record-1190">
        <w:r>
          <w:rPr>
            <w:color w:val="000000"/>
          </w:rPr>
          <w:t xml:space="preserve">singularis / particularis</w:t>
        </w:r>
      </w:hyperlink>
      <w:r>
        <w:rPr>
          <w:b w:val="0"/>
          <w:i w:val="0"/>
        </w:rPr>
        <w:t>.</w:t>
      </w:r>
    </w:p>
    <w:p>
      <w:pPr>
        <w:widowControl/>
      </w:pPr>
      <w:r>
        <w:rPr>
          <w:b/>
          <w:i w:val="0"/>
        </w:rPr>
        <w:t>sinistra.</w:t>
      </w:r>
      <w:r>
        <w:rPr>
          <w:b w:val="0"/>
          <w:i w:val="0"/>
        </w:rPr>
        <w:t xml:space="preserve"> </w:t>
      </w:r>
      <w:hyperlink w:anchor="latin-record-0378">
        <w:r>
          <w:rPr>
            <w:color w:val="000000"/>
          </w:rPr>
          <w:t xml:space="preserve">dextra / sinistra</w:t>
        </w:r>
      </w:hyperlink>
      <w:r>
        <w:rPr>
          <w:b w:val="0"/>
          <w:i w:val="0"/>
        </w:rPr>
        <w:t>.</w:t>
      </w:r>
    </w:p>
    <w:p>
      <w:pPr>
        <w:widowControl/>
      </w:pPr>
      <w:r>
        <w:rPr>
          <w:b/>
          <w:i w:val="0"/>
        </w:rPr>
        <w:t>sinistram.</w:t>
      </w:r>
      <w:r>
        <w:rPr>
          <w:b w:val="0"/>
          <w:i w:val="0"/>
        </w:rPr>
        <w:t xml:space="preserve"> </w:t>
      </w:r>
      <w:hyperlink w:anchor="latin-record-0377">
        <w:r>
          <w:rPr>
            <w:color w:val="000000"/>
          </w:rPr>
          <w:t xml:space="preserve">dextera; sinistra; ante; retro</w:t>
        </w:r>
      </w:hyperlink>
      <w:r>
        <w:rPr>
          <w:b w:val="0"/>
          <w:i w:val="0"/>
        </w:rPr>
        <w:t xml:space="preserve">; </w:t>
      </w:r>
      <w:hyperlink w:anchor="latin-record-0378">
        <w:r>
          <w:rPr>
            <w:color w:val="000000"/>
          </w:rPr>
          <w:t xml:space="preserve">dextra / sinistra</w:t>
        </w:r>
      </w:hyperlink>
      <w:r>
        <w:rPr>
          <w:b w:val="0"/>
          <w:i w:val="0"/>
        </w:rPr>
        <w:t>.</w:t>
      </w:r>
    </w:p>
    <w:p>
      <w:pPr>
        <w:widowControl/>
      </w:pPr>
      <w:r>
        <w:rPr>
          <w:b/>
          <w:i w:val="0"/>
        </w:rPr>
        <w:t>sint.</w:t>
      </w:r>
      <w:r>
        <w:rPr>
          <w:b w:val="0"/>
          <w:i w:val="0"/>
        </w:rPr>
        <w:t xml:space="preserve"> </w:t>
      </w:r>
      <w:hyperlink w:anchor="latin-record-0444">
        <w:r>
          <w:rPr>
            <w:color w:val="000000"/>
          </w:rPr>
          <w:t xml:space="preserve">esse; habere; fieri</w:t>
        </w:r>
      </w:hyperlink>
      <w:r>
        <w:rPr>
          <w:b w:val="0"/>
          <w:i w:val="0"/>
        </w:rPr>
        <w:t>.</w:t>
      </w:r>
    </w:p>
    <w:p>
      <w:pPr>
        <w:widowControl/>
      </w:pPr>
      <w:r>
        <w:rPr>
          <w:b/>
          <w:i w:val="0"/>
        </w:rPr>
        <w:t>Sint, si vis.</w:t>
      </w:r>
      <w:r>
        <w:rPr>
          <w:b w:val="0"/>
          <w:i w:val="0"/>
        </w:rPr>
        <w:t xml:space="preserve"> </w:t>
      </w:r>
      <w:hyperlink w:anchor="latin-record-0576">
        <w:r>
          <w:rPr>
            <w:color w:val="000000"/>
          </w:rPr>
          <w:t xml:space="preserve">hypothetical concession</w:t>
        </w:r>
      </w:hyperlink>
      <w:r>
        <w:rPr>
          <w:b w:val="0"/>
          <w:i w:val="0"/>
        </w:rPr>
        <w:t>.</w:t>
      </w:r>
    </w:p>
    <w:p>
      <w:pPr>
        <w:widowControl/>
      </w:pPr>
      <w:r>
        <w:rPr>
          <w:b/>
          <w:i w:val="0"/>
        </w:rPr>
        <w:t>sinu.</w:t>
      </w:r>
      <w:r>
        <w:rPr>
          <w:b w:val="0"/>
          <w:i w:val="0"/>
        </w:rPr>
        <w:t xml:space="preserve"> </w:t>
      </w:r>
      <w:hyperlink w:anchor="latin-record-1191">
        <w:r>
          <w:rPr>
            <w:color w:val="000000"/>
          </w:rPr>
          <w:t xml:space="preserve">sinus / gremium</w:t>
        </w:r>
      </w:hyperlink>
      <w:r>
        <w:rPr>
          <w:b w:val="0"/>
          <w:i w:val="0"/>
        </w:rPr>
        <w:t>.</w:t>
      </w:r>
    </w:p>
    <w:p>
      <w:pPr>
        <w:widowControl/>
      </w:pPr>
      <w:r>
        <w:rPr>
          <w:b/>
          <w:i w:val="0"/>
        </w:rPr>
        <w:t>sinum.</w:t>
      </w:r>
      <w:r>
        <w:rPr>
          <w:b w:val="0"/>
          <w:i w:val="0"/>
        </w:rPr>
        <w:t xml:space="preserve"> </w:t>
      </w:r>
      <w:hyperlink w:anchor="latin-record-1191">
        <w:r>
          <w:rPr>
            <w:color w:val="000000"/>
          </w:rPr>
          <w:t xml:space="preserve">sinus / gremium</w:t>
        </w:r>
      </w:hyperlink>
      <w:r>
        <w:rPr>
          <w:b w:val="0"/>
          <w:i w:val="0"/>
        </w:rPr>
        <w:t>.</w:t>
      </w:r>
    </w:p>
    <w:p>
      <w:pPr>
        <w:widowControl/>
      </w:pPr>
      <w:r>
        <w:rPr>
          <w:b/>
          <w:i w:val="0"/>
        </w:rPr>
        <w:t>sistat.</w:t>
      </w:r>
      <w:r>
        <w:rPr>
          <w:b w:val="0"/>
          <w:i w:val="0"/>
        </w:rPr>
        <w:t xml:space="preserve"> </w:t>
      </w:r>
      <w:hyperlink w:anchor="latin-record-0318">
        <w:r>
          <w:rPr>
            <w:color w:val="000000"/>
          </w:rPr>
          <w:t xml:space="preserve">continere; sistere; torquere</w:t>
        </w:r>
      </w:hyperlink>
      <w:r>
        <w:rPr>
          <w:b w:val="0"/>
          <w:i w:val="0"/>
        </w:rPr>
        <w:t xml:space="preserve">; </w:t>
      </w:r>
      <w:hyperlink w:anchor="latin-record-1192">
        <w:r>
          <w:rPr>
            <w:color w:val="000000"/>
          </w:rPr>
          <w:t xml:space="preserve">sistere / subsistere</w:t>
        </w:r>
      </w:hyperlink>
      <w:r>
        <w:rPr>
          <w:b w:val="0"/>
          <w:i w:val="0"/>
        </w:rPr>
        <w:t>.</w:t>
      </w:r>
    </w:p>
    <w:p>
      <w:pPr>
        <w:widowControl/>
      </w:pPr>
      <w:r>
        <w:rPr>
          <w:b/>
          <w:i w:val="0"/>
        </w:rPr>
        <w:t>sistit.</w:t>
      </w:r>
      <w:r>
        <w:rPr>
          <w:b w:val="0"/>
          <w:i w:val="0"/>
        </w:rPr>
        <w:t xml:space="preserve"> </w:t>
      </w:r>
      <w:hyperlink w:anchor="latin-record-1192">
        <w:r>
          <w:rPr>
            <w:color w:val="000000"/>
          </w:rPr>
          <w:t xml:space="preserve">sistere / subsistere</w:t>
        </w:r>
      </w:hyperlink>
      <w:r>
        <w:rPr>
          <w:b w:val="0"/>
          <w:i w:val="0"/>
        </w:rPr>
        <w:t xml:space="preserve">; </w:t>
      </w:r>
      <w:hyperlink w:anchor="latin-record-1318">
        <w:r>
          <w:rPr>
            <w:color w:val="000000"/>
          </w:rPr>
          <w:t xml:space="preserve">unire; sistere; continere</w:t>
        </w:r>
      </w:hyperlink>
      <w:r>
        <w:rPr>
          <w:b w:val="0"/>
          <w:i w:val="0"/>
        </w:rPr>
        <w:t>.</w:t>
      </w:r>
    </w:p>
    <w:p>
      <w:pPr>
        <w:widowControl/>
      </w:pPr>
      <w:r>
        <w:rPr>
          <w:b/>
          <w:i w:val="0"/>
        </w:rPr>
        <w:t>Sistit.</w:t>
      </w:r>
      <w:r>
        <w:rPr>
          <w:b w:val="0"/>
          <w:i w:val="0"/>
        </w:rPr>
        <w:t xml:space="preserve"> </w:t>
      </w:r>
      <w:hyperlink w:anchor="latin-record-1318">
        <w:r>
          <w:rPr>
            <w:color w:val="000000"/>
          </w:rPr>
          <w:t xml:space="preserve">unire; sistere; continere</w:t>
        </w:r>
      </w:hyperlink>
      <w:r>
        <w:rPr>
          <w:b w:val="0"/>
          <w:i w:val="0"/>
        </w:rPr>
        <w:t>.</w:t>
      </w:r>
    </w:p>
    <w:p>
      <w:pPr>
        <w:widowControl/>
      </w:pPr>
      <w:r>
        <w:rPr>
          <w:b/>
          <w:i w:val="0"/>
        </w:rPr>
        <w:t>Sistit, movet, contrahit, extendit.</w:t>
      </w:r>
      <w:r>
        <w:rPr>
          <w:b w:val="0"/>
          <w:i w:val="0"/>
        </w:rPr>
        <w:t xml:space="preserve"> </w:t>
      </w:r>
      <w:hyperlink w:anchor="latin-record-1193">
        <w:r>
          <w:rPr>
            <w:color w:val="000000"/>
          </w:rPr>
          <w:t xml:space="preserve">sistere; movere; contrahere; extendere</w:t>
        </w:r>
      </w:hyperlink>
      <w:r>
        <w:rPr>
          <w:b w:val="0"/>
          <w:i w:val="0"/>
        </w:rPr>
        <w:t>.</w:t>
      </w:r>
    </w:p>
    <w:p>
      <w:pPr>
        <w:widowControl/>
      </w:pPr>
      <w:r>
        <w:rPr>
          <w:b/>
          <w:i w:val="0"/>
        </w:rPr>
        <w:t>sit.</w:t>
      </w:r>
      <w:r>
        <w:rPr>
          <w:b w:val="0"/>
          <w:i w:val="0"/>
        </w:rPr>
        <w:t xml:space="preserve"> </w:t>
      </w:r>
      <w:hyperlink w:anchor="latin-record-0444">
        <w:r>
          <w:rPr>
            <w:color w:val="000000"/>
          </w:rPr>
          <w:t xml:space="preserve">esse; habere; fieri</w:t>
        </w:r>
      </w:hyperlink>
      <w:r>
        <w:rPr>
          <w:b w:val="0"/>
          <w:i w:val="0"/>
        </w:rPr>
        <w:t>.</w:t>
      </w:r>
    </w:p>
    <w:p>
      <w:pPr>
        <w:widowControl/>
      </w:pPr>
      <w:r>
        <w:rPr>
          <w:b/>
          <w:i w:val="0"/>
        </w:rPr>
        <w:t>sitis.</w:t>
      </w:r>
      <w:r>
        <w:rPr>
          <w:b w:val="0"/>
          <w:i w:val="0"/>
        </w:rPr>
        <w:t xml:space="preserve"> </w:t>
      </w:r>
      <w:hyperlink w:anchor="latin-record-0448">
        <w:r>
          <w:rPr>
            <w:color w:val="000000"/>
          </w:rPr>
          <w:t xml:space="preserve">esurire / sitire</w:t>
        </w:r>
      </w:hyperlink>
      <w:r>
        <w:rPr>
          <w:b w:val="0"/>
          <w:i w:val="0"/>
        </w:rPr>
        <w:t>.</w:t>
      </w:r>
    </w:p>
    <w:p>
      <w:pPr>
        <w:widowControl/>
      </w:pPr>
      <w:r>
        <w:rPr>
          <w:b/>
          <w:i w:val="0"/>
        </w:rPr>
        <w:t>sitit.</w:t>
      </w:r>
      <w:r>
        <w:rPr>
          <w:b w:val="0"/>
          <w:i w:val="0"/>
        </w:rPr>
        <w:t xml:space="preserve"> </w:t>
      </w:r>
      <w:hyperlink w:anchor="latin-record-0448">
        <w:r>
          <w:rPr>
            <w:color w:val="000000"/>
          </w:rPr>
          <w:t xml:space="preserve">esurire / sitire</w:t>
        </w:r>
      </w:hyperlink>
      <w:r>
        <w:rPr>
          <w:b w:val="0"/>
          <w:i w:val="0"/>
        </w:rPr>
        <w:t>.</w:t>
      </w:r>
    </w:p>
    <w:p>
      <w:pPr>
        <w:widowControl/>
      </w:pPr>
      <w:r>
        <w:rPr>
          <w:b/>
          <w:i w:val="0"/>
        </w:rPr>
        <w:t>sititque.</w:t>
      </w:r>
      <w:r>
        <w:rPr>
          <w:b w:val="0"/>
          <w:i w:val="0"/>
        </w:rPr>
        <w:t xml:space="preserve"> </w:t>
      </w:r>
      <w:hyperlink w:anchor="latin-record-0448">
        <w:r>
          <w:rPr>
            <w:color w:val="000000"/>
          </w:rPr>
          <w:t xml:space="preserve">esurire / sitire</w:t>
        </w:r>
      </w:hyperlink>
      <w:r>
        <w:rPr>
          <w:b w:val="0"/>
          <w:i w:val="0"/>
        </w:rPr>
        <w:t>.</w:t>
      </w:r>
    </w:p>
    <w:p>
      <w:pPr>
        <w:widowControl/>
      </w:pPr>
      <w:r>
        <w:rPr>
          <w:b/>
          <w:i w:val="0"/>
        </w:rPr>
        <w:t>situ.</w:t>
      </w:r>
      <w:r>
        <w:rPr>
          <w:b w:val="0"/>
          <w:i w:val="0"/>
        </w:rPr>
        <w:t xml:space="preserve"> </w:t>
      </w:r>
      <w:hyperlink w:anchor="latin-record-0721">
        <w:r>
          <w:rPr>
            <w:color w:val="000000"/>
          </w:rPr>
          <w:t xml:space="preserve">locus / situs / tempus</w:t>
        </w:r>
      </w:hyperlink>
      <w:r>
        <w:rPr>
          <w:b w:val="0"/>
          <w:i w:val="0"/>
        </w:rPr>
        <w:t xml:space="preserve">; </w:t>
      </w:r>
      <w:hyperlink w:anchor="latin-record-0723">
        <w:r>
          <w:rPr>
            <w:color w:val="000000"/>
          </w:rPr>
          <w:t xml:space="preserve">locus; situs</w:t>
        </w:r>
      </w:hyperlink>
      <w:r>
        <w:rPr>
          <w:b w:val="0"/>
          <w:i w:val="0"/>
        </w:rPr>
        <w:t>.</w:t>
      </w:r>
    </w:p>
    <w:p>
      <w:pPr>
        <w:widowControl/>
      </w:pPr>
      <w:r>
        <w:rPr>
          <w:b/>
          <w:i w:val="0"/>
        </w:rPr>
        <w:t>situm.</w:t>
      </w:r>
      <w:r>
        <w:rPr>
          <w:b w:val="0"/>
          <w:i w:val="0"/>
        </w:rPr>
        <w:t xml:space="preserve"> </w:t>
      </w:r>
      <w:hyperlink w:anchor="latin-record-0723">
        <w:r>
          <w:rPr>
            <w:color w:val="000000"/>
          </w:rPr>
          <w:t xml:space="preserve">locus; situs</w:t>
        </w:r>
      </w:hyperlink>
      <w:r>
        <w:rPr>
          <w:b w:val="0"/>
          <w:i w:val="0"/>
        </w:rPr>
        <w:t>.</w:t>
      </w:r>
    </w:p>
    <w:p>
      <w:pPr>
        <w:widowControl/>
      </w:pPr>
      <w:r>
        <w:rPr>
          <w:b/>
          <w:i w:val="0"/>
        </w:rPr>
        <w:t>sive.</w:t>
      </w:r>
      <w:r>
        <w:rPr>
          <w:b w:val="0"/>
          <w:i w:val="0"/>
        </w:rPr>
        <w:t xml:space="preserve"> </w:t>
      </w:r>
      <w:hyperlink w:anchor="latin-record-1336">
        <w:r>
          <w:rPr>
            <w:color w:val="000000"/>
          </w:rPr>
          <w:t xml:space="preserve">vel; sive; seu; aut</w:t>
        </w:r>
      </w:hyperlink>
      <w:r>
        <w:rPr>
          <w:b w:val="0"/>
          <w:i w:val="0"/>
        </w:rPr>
        <w:t>.</w:t>
      </w:r>
    </w:p>
    <w:p>
      <w:pPr>
        <w:widowControl/>
      </w:pPr>
      <w:r>
        <w:rPr>
          <w:b/>
          <w:i w:val="0"/>
        </w:rPr>
        <w:t>Socrates.</w:t>
      </w:r>
      <w:r>
        <w:rPr>
          <w:b w:val="0"/>
          <w:i w:val="0"/>
        </w:rPr>
        <w:t xml:space="preserve"> </w:t>
      </w:r>
      <w:hyperlink w:anchor="latin-record-0952">
        <w:r>
          <w:rPr>
            <w:color w:val="000000"/>
          </w:rPr>
          <w:t xml:space="preserve">Plato / Socrates</w:t>
        </w:r>
      </w:hyperlink>
      <w:r>
        <w:rPr>
          <w:b w:val="0"/>
          <w:i w:val="0"/>
        </w:rPr>
        <w:t xml:space="preserve">; </w:t>
      </w:r>
      <w:hyperlink w:anchor="latin-record-1194">
        <w:r>
          <w:rPr>
            <w:color w:val="000000"/>
          </w:rPr>
          <w:t xml:space="preserve">Socrates / Plato</w:t>
        </w:r>
      </w:hyperlink>
      <w:r>
        <w:rPr>
          <w:b w:val="0"/>
          <w:i w:val="0"/>
        </w:rPr>
        <w:t>.</w:t>
      </w:r>
    </w:p>
    <w:p>
      <w:pPr>
        <w:widowControl/>
      </w:pPr>
      <w:r>
        <w:rPr>
          <w:b/>
          <w:i w:val="0"/>
        </w:rPr>
        <w:t>Socratici.</w:t>
      </w:r>
      <w:r>
        <w:rPr>
          <w:b w:val="0"/>
          <w:i w:val="0"/>
        </w:rPr>
        <w:t xml:space="preserve"> </w:t>
      </w:r>
      <w:hyperlink w:anchor="latin-record-0952">
        <w:r>
          <w:rPr>
            <w:color w:val="000000"/>
          </w:rPr>
          <w:t xml:space="preserve">Plato / Socrates</w:t>
        </w:r>
      </w:hyperlink>
      <w:r>
        <w:rPr>
          <w:b w:val="0"/>
          <w:i w:val="0"/>
        </w:rPr>
        <w:t>.</w:t>
      </w:r>
    </w:p>
    <w:p>
      <w:pPr>
        <w:widowControl/>
      </w:pPr>
      <w:r>
        <w:rPr>
          <w:b/>
          <w:i w:val="0"/>
        </w:rPr>
        <w:t>Socratico.</w:t>
      </w:r>
      <w:r>
        <w:rPr>
          <w:b w:val="0"/>
          <w:i w:val="0"/>
        </w:rPr>
        <w:t xml:space="preserve"> </w:t>
      </w:r>
      <w:hyperlink w:anchor="latin-record-0952">
        <w:r>
          <w:rPr>
            <w:color w:val="000000"/>
          </w:rPr>
          <w:t xml:space="preserve">Plato / Socrates</w:t>
        </w:r>
      </w:hyperlink>
      <w:r>
        <w:rPr>
          <w:b w:val="0"/>
          <w:i w:val="0"/>
        </w:rPr>
        <w:t>.</w:t>
      </w:r>
    </w:p>
    <w:p>
      <w:pPr>
        <w:widowControl/>
      </w:pPr>
      <w:r>
        <w:rPr>
          <w:b/>
          <w:i w:val="0"/>
        </w:rPr>
        <w:t>Socratis.</w:t>
      </w:r>
      <w:r>
        <w:rPr>
          <w:b w:val="0"/>
          <w:i w:val="0"/>
        </w:rPr>
        <w:t xml:space="preserve"> </w:t>
      </w:r>
      <w:hyperlink w:anchor="latin-record-0952">
        <w:r>
          <w:rPr>
            <w:color w:val="000000"/>
          </w:rPr>
          <w:t xml:space="preserve">Plato / Socrates</w:t>
        </w:r>
      </w:hyperlink>
      <w:r>
        <w:rPr>
          <w:b w:val="0"/>
          <w:i w:val="0"/>
        </w:rPr>
        <w:t xml:space="preserve">; </w:t>
      </w:r>
      <w:hyperlink w:anchor="latin-record-1194">
        <w:r>
          <w:rPr>
            <w:color w:val="000000"/>
          </w:rPr>
          <w:t xml:space="preserve">Socrates / Plato</w:t>
        </w:r>
      </w:hyperlink>
      <w:r>
        <w:rPr>
          <w:b w:val="0"/>
          <w:i w:val="0"/>
        </w:rPr>
        <w:t>.</w:t>
      </w:r>
    </w:p>
    <w:p>
      <w:pPr>
        <w:widowControl/>
      </w:pPr>
      <w:r>
        <w:rPr>
          <w:b/>
          <w:i w:val="0"/>
        </w:rPr>
        <w:t>Sol.</w:t>
      </w:r>
      <w:r>
        <w:rPr>
          <w:b w:val="0"/>
          <w:i w:val="0"/>
        </w:rPr>
        <w:t xml:space="preserve"> </w:t>
      </w:r>
      <w:hyperlink w:anchor="latin-record-1195">
        <w:r>
          <w:rPr>
            <w:color w:val="000000"/>
          </w:rPr>
          <w:t xml:space="preserve">sol</w:t>
        </w:r>
      </w:hyperlink>
      <w:r>
        <w:rPr>
          <w:b w:val="0"/>
          <w:i w:val="0"/>
        </w:rPr>
        <w:t>.</w:t>
      </w:r>
    </w:p>
    <w:p>
      <w:pPr>
        <w:widowControl/>
      </w:pPr>
      <w:r>
        <w:rPr>
          <w:b/>
          <w:i w:val="0"/>
        </w:rPr>
        <w:t>sol.</w:t>
      </w:r>
      <w:r>
        <w:rPr>
          <w:b w:val="0"/>
          <w:i w:val="0"/>
        </w:rPr>
        <w:t xml:space="preserve"> </w:t>
      </w:r>
      <w:hyperlink w:anchor="latin-record-1195">
        <w:r>
          <w:rPr>
            <w:color w:val="000000"/>
          </w:rPr>
          <w:t xml:space="preserve">sol</w:t>
        </w:r>
      </w:hyperlink>
      <w:r>
        <w:rPr>
          <w:b w:val="0"/>
          <w:i w:val="0"/>
        </w:rPr>
        <w:t>.</w:t>
      </w:r>
    </w:p>
    <w:p>
      <w:pPr>
        <w:widowControl/>
      </w:pPr>
      <w:r>
        <w:rPr>
          <w:b/>
          <w:i w:val="0"/>
        </w:rPr>
        <w:t>sola.</w:t>
      </w:r>
      <w:r>
        <w:rPr>
          <w:b w:val="0"/>
          <w:i w:val="0"/>
        </w:rPr>
        <w:t xml:space="preserve"> </w:t>
      </w:r>
      <w:hyperlink w:anchor="latin-record-1196">
        <w:r>
          <w:rPr>
            <w:color w:val="000000"/>
          </w:rPr>
          <w:t xml:space="preserve">sola (subject)</w:t>
        </w:r>
      </w:hyperlink>
      <w:r>
        <w:rPr>
          <w:b w:val="0"/>
          <w:i w:val="0"/>
        </w:rPr>
        <w:t xml:space="preserve">; </w:t>
      </w:r>
      <w:hyperlink w:anchor="latin-record-1199">
        <w:r>
          <w:rPr>
            <w:color w:val="000000"/>
          </w:rPr>
          <w:t xml:space="preserve">solus (restrictive)</w:t>
        </w:r>
      </w:hyperlink>
      <w:r>
        <w:rPr>
          <w:b w:val="0"/>
          <w:i w:val="0"/>
        </w:rPr>
        <w:t xml:space="preserve">; </w:t>
      </w:r>
      <w:hyperlink w:anchor="latin-record-1200">
        <w:r>
          <w:rPr>
            <w:color w:val="000000"/>
          </w:rPr>
          <w:t xml:space="preserve">solus; omnis; nullus</w:t>
        </w:r>
      </w:hyperlink>
      <w:r>
        <w:rPr>
          <w:b w:val="0"/>
          <w:i w:val="0"/>
        </w:rPr>
        <w:t>.</w:t>
      </w:r>
    </w:p>
    <w:p>
      <w:pPr>
        <w:widowControl/>
      </w:pPr>
      <w:r>
        <w:rPr>
          <w:b/>
          <w:i w:val="0"/>
        </w:rPr>
        <w:t>Sola.</w:t>
      </w:r>
      <w:r>
        <w:rPr>
          <w:b w:val="0"/>
          <w:i w:val="0"/>
        </w:rPr>
        <w:t xml:space="preserve"> </w:t>
      </w:r>
      <w:hyperlink w:anchor="latin-record-1199">
        <w:r>
          <w:rPr>
            <w:color w:val="000000"/>
          </w:rPr>
          <w:t xml:space="preserve">solus (restrictive)</w:t>
        </w:r>
      </w:hyperlink>
      <w:r>
        <w:rPr>
          <w:b w:val="0"/>
          <w:i w:val="0"/>
        </w:rPr>
        <w:t>.</w:t>
      </w:r>
    </w:p>
    <w:p>
      <w:pPr>
        <w:widowControl/>
      </w:pPr>
      <w:r>
        <w:rPr>
          <w:b/>
          <w:i w:val="0"/>
        </w:rPr>
        <w:t>solam.</w:t>
      </w:r>
      <w:r>
        <w:rPr>
          <w:b w:val="0"/>
          <w:i w:val="0"/>
        </w:rPr>
        <w:t xml:space="preserve"> </w:t>
      </w:r>
      <w:hyperlink w:anchor="latin-record-1200">
        <w:r>
          <w:rPr>
            <w:color w:val="000000"/>
          </w:rPr>
          <w:t xml:space="preserve">solus; omnis; nullus</w:t>
        </w:r>
      </w:hyperlink>
      <w:r>
        <w:rPr>
          <w:b w:val="0"/>
          <w:i w:val="0"/>
        </w:rPr>
        <w:t>.</w:t>
      </w:r>
    </w:p>
    <w:p>
      <w:pPr>
        <w:widowControl/>
      </w:pPr>
      <w:r>
        <w:rPr>
          <w:b/>
          <w:i w:val="0"/>
        </w:rPr>
        <w:t>sole.</w:t>
      </w:r>
      <w:r>
        <w:rPr>
          <w:b w:val="0"/>
          <w:i w:val="0"/>
        </w:rPr>
        <w:t xml:space="preserve"> </w:t>
      </w:r>
      <w:hyperlink w:anchor="latin-record-1195">
        <w:r>
          <w:rPr>
            <w:color w:val="000000"/>
          </w:rPr>
          <w:t xml:space="preserve">sol</w:t>
        </w:r>
      </w:hyperlink>
      <w:r>
        <w:rPr>
          <w:b w:val="0"/>
          <w:i w:val="0"/>
        </w:rPr>
        <w:t>.</w:t>
      </w:r>
    </w:p>
    <w:p>
      <w:pPr>
        <w:widowControl/>
      </w:pPr>
      <w:r>
        <w:rPr>
          <w:b/>
          <w:i w:val="0"/>
        </w:rPr>
        <w:t>solem.</w:t>
      </w:r>
      <w:r>
        <w:rPr>
          <w:b w:val="0"/>
          <w:i w:val="0"/>
        </w:rPr>
        <w:t xml:space="preserve"> </w:t>
      </w:r>
      <w:hyperlink w:anchor="latin-record-1195">
        <w:r>
          <w:rPr>
            <w:color w:val="000000"/>
          </w:rPr>
          <w:t xml:space="preserve">sol</w:t>
        </w:r>
      </w:hyperlink>
      <w:r>
        <w:rPr>
          <w:b w:val="0"/>
          <w:i w:val="0"/>
        </w:rPr>
        <w:t>.</w:t>
      </w:r>
    </w:p>
    <w:p>
      <w:pPr>
        <w:widowControl/>
      </w:pPr>
      <w:r>
        <w:rPr>
          <w:b/>
          <w:i w:val="0"/>
        </w:rPr>
        <w:t>soli.</w:t>
      </w:r>
      <w:r>
        <w:rPr>
          <w:b w:val="0"/>
          <w:i w:val="0"/>
        </w:rPr>
        <w:t xml:space="preserve"> </w:t>
      </w:r>
      <w:hyperlink w:anchor="latin-record-1195">
        <w:r>
          <w:rPr>
            <w:color w:val="000000"/>
          </w:rPr>
          <w:t xml:space="preserve">sol</w:t>
        </w:r>
      </w:hyperlink>
      <w:r>
        <w:rPr>
          <w:b w:val="0"/>
          <w:i w:val="0"/>
        </w:rPr>
        <w:t>.</w:t>
      </w:r>
    </w:p>
    <w:p>
      <w:pPr>
        <w:widowControl/>
      </w:pPr>
      <w:r>
        <w:rPr>
          <w:b/>
          <w:i w:val="0"/>
        </w:rPr>
        <w:t>soli et omni animo.</w:t>
      </w:r>
      <w:r>
        <w:rPr>
          <w:b w:val="0"/>
          <w:i w:val="0"/>
        </w:rPr>
        <w:t xml:space="preserve"> </w:t>
      </w:r>
      <w:hyperlink w:anchor="latin-record-1197">
        <w:r>
          <w:rPr>
            <w:color w:val="000000"/>
          </w:rPr>
          <w:t xml:space="preserve">soli et omni</w:t>
        </w:r>
      </w:hyperlink>
      <w:r>
        <w:rPr>
          <w:b w:val="0"/>
          <w:i w:val="0"/>
        </w:rPr>
        <w:t>.</w:t>
      </w:r>
    </w:p>
    <w:p>
      <w:pPr>
        <w:widowControl/>
      </w:pPr>
      <w:r>
        <w:rPr>
          <w:b/>
          <w:i w:val="0"/>
        </w:rPr>
        <w:t>solidaret.</w:t>
      </w:r>
      <w:r>
        <w:rPr>
          <w:b w:val="0"/>
          <w:i w:val="0"/>
        </w:rPr>
        <w:t xml:space="preserve"> </w:t>
      </w:r>
      <w:hyperlink w:anchor="latin-record-0496">
        <w:r>
          <w:rPr>
            <w:color w:val="000000"/>
          </w:rPr>
          <w:t xml:space="preserve">fluxus; labilis; solidare</w:t>
        </w:r>
      </w:hyperlink>
      <w:r>
        <w:rPr>
          <w:b w:val="0"/>
          <w:i w:val="0"/>
        </w:rPr>
        <w:t>.</w:t>
      </w:r>
    </w:p>
    <w:p>
      <w:pPr>
        <w:widowControl/>
      </w:pPr>
      <w:r>
        <w:rPr>
          <w:b/>
          <w:i w:val="0"/>
        </w:rPr>
        <w:t>solidum.</w:t>
      </w:r>
      <w:r>
        <w:rPr>
          <w:b w:val="0"/>
          <w:i w:val="0"/>
        </w:rPr>
        <w:t xml:space="preserve"> </w:t>
      </w:r>
      <w:hyperlink w:anchor="latin-record-1198">
        <w:r>
          <w:rPr>
            <w:color w:val="000000"/>
          </w:rPr>
          <w:t xml:space="preserve">solidus / fluxus / labilis</w:t>
        </w:r>
      </w:hyperlink>
      <w:r>
        <w:rPr>
          <w:b w:val="0"/>
          <w:i w:val="0"/>
        </w:rPr>
        <w:t>.</w:t>
      </w:r>
    </w:p>
    <w:p>
      <w:pPr>
        <w:widowControl/>
      </w:pPr>
      <w:r>
        <w:rPr>
          <w:b/>
          <w:i w:val="0"/>
        </w:rPr>
        <w:t>solis.</w:t>
      </w:r>
      <w:r>
        <w:rPr>
          <w:b w:val="0"/>
          <w:i w:val="0"/>
        </w:rPr>
        <w:t xml:space="preserve"> </w:t>
      </w:r>
      <w:hyperlink w:anchor="latin-record-0186">
        <w:r>
          <w:rPr>
            <w:color w:val="000000"/>
          </w:rPr>
          <w:t xml:space="preserve">canis / formica / equus / elephas / sol</w:t>
        </w:r>
      </w:hyperlink>
      <w:r>
        <w:rPr>
          <w:b w:val="0"/>
          <w:i w:val="0"/>
        </w:rPr>
        <w:t xml:space="preserve">; </w:t>
      </w:r>
      <w:hyperlink w:anchor="latin-record-1195">
        <w:r>
          <w:rPr>
            <w:color w:val="000000"/>
          </w:rPr>
          <w:t xml:space="preserve">sol</w:t>
        </w:r>
      </w:hyperlink>
      <w:r>
        <w:rPr>
          <w:b w:val="0"/>
          <w:i w:val="0"/>
        </w:rPr>
        <w:t xml:space="preserve">; </w:t>
      </w:r>
      <w:hyperlink w:anchor="latin-record-1199">
        <w:r>
          <w:rPr>
            <w:color w:val="000000"/>
          </w:rPr>
          <w:t xml:space="preserve">solus (restrictive)</w:t>
        </w:r>
      </w:hyperlink>
      <w:r>
        <w:rPr>
          <w:b w:val="0"/>
          <w:i w:val="0"/>
        </w:rPr>
        <w:t xml:space="preserve">; </w:t>
      </w:r>
      <w:hyperlink w:anchor="latin-record-1200">
        <w:r>
          <w:rPr>
            <w:color w:val="000000"/>
          </w:rPr>
          <w:t xml:space="preserve">solus; omnis; nullus</w:t>
        </w:r>
      </w:hyperlink>
      <w:r>
        <w:rPr>
          <w:b w:val="0"/>
          <w:i w:val="0"/>
        </w:rPr>
        <w:t>.</w:t>
      </w:r>
    </w:p>
    <w:p>
      <w:pPr>
        <w:widowControl/>
      </w:pPr>
      <w:r>
        <w:rPr>
          <w:b/>
          <w:i w:val="0"/>
        </w:rPr>
        <w:t>solis anima.</w:t>
      </w:r>
      <w:r>
        <w:rPr>
          <w:b w:val="0"/>
          <w:i w:val="0"/>
        </w:rPr>
        <w:t xml:space="preserve"> </w:t>
      </w:r>
      <w:hyperlink w:anchor="latin-record-0096">
        <w:r>
          <w:rPr>
            <w:color w:val="000000"/>
          </w:rPr>
          <w:t xml:space="preserve">anima solis</w:t>
        </w:r>
      </w:hyperlink>
      <w:r>
        <w:rPr>
          <w:b w:val="0"/>
          <w:i w:val="0"/>
        </w:rPr>
        <w:t>.</w:t>
      </w:r>
    </w:p>
    <w:p>
      <w:pPr>
        <w:widowControl/>
      </w:pPr>
      <w:r>
        <w:rPr>
          <w:b/>
          <w:i w:val="0"/>
        </w:rPr>
        <w:t>solius.</w:t>
      </w:r>
      <w:r>
        <w:rPr>
          <w:b w:val="0"/>
          <w:i w:val="0"/>
        </w:rPr>
        <w:t xml:space="preserve"> </w:t>
      </w:r>
      <w:hyperlink w:anchor="latin-record-1200">
        <w:r>
          <w:rPr>
            <w:color w:val="000000"/>
          </w:rPr>
          <w:t xml:space="preserve">solus; omnis; nullus</w:t>
        </w:r>
      </w:hyperlink>
      <w:r>
        <w:rPr>
          <w:b w:val="0"/>
          <w:i w:val="0"/>
        </w:rPr>
        <w:t>.</w:t>
      </w:r>
    </w:p>
    <w:p>
      <w:pPr>
        <w:widowControl/>
      </w:pPr>
      <w:r>
        <w:rPr>
          <w:b/>
          <w:i w:val="0"/>
        </w:rPr>
        <w:t>sollertior.</w:t>
      </w:r>
      <w:r>
        <w:rPr>
          <w:b w:val="0"/>
          <w:i w:val="0"/>
        </w:rPr>
        <w:t xml:space="preserve"> </w:t>
      </w:r>
      <w:hyperlink w:anchor="latin-record-0107">
        <w:r>
          <w:rPr>
            <w:color w:val="000000"/>
          </w:rPr>
          <w:t xml:space="preserve">apis / ovis / sollertia</w:t>
        </w:r>
      </w:hyperlink>
      <w:r>
        <w:rPr>
          <w:b w:val="0"/>
          <w:i w:val="0"/>
        </w:rPr>
        <w:t>.</w:t>
      </w:r>
    </w:p>
    <w:p>
      <w:pPr>
        <w:widowControl/>
      </w:pPr>
      <w:r>
        <w:rPr>
          <w:b/>
          <w:i w:val="0"/>
        </w:rPr>
        <w:t>solo.</w:t>
      </w:r>
      <w:r>
        <w:rPr>
          <w:b w:val="0"/>
          <w:i w:val="0"/>
        </w:rPr>
        <w:t xml:space="preserve"> </w:t>
      </w:r>
      <w:hyperlink w:anchor="latin-record-1199">
        <w:r>
          <w:rPr>
            <w:color w:val="000000"/>
          </w:rPr>
          <w:t xml:space="preserve">solus (restrictive)</w:t>
        </w:r>
      </w:hyperlink>
      <w:r>
        <w:rPr>
          <w:b w:val="0"/>
          <w:i w:val="0"/>
        </w:rPr>
        <w:t>.</w:t>
      </w:r>
    </w:p>
    <w:p>
      <w:pPr>
        <w:widowControl/>
      </w:pPr>
      <w:r>
        <w:rPr>
          <w:b/>
          <w:i w:val="0"/>
        </w:rPr>
        <w:t>solum.</w:t>
      </w:r>
      <w:r>
        <w:rPr>
          <w:b w:val="0"/>
          <w:i w:val="0"/>
        </w:rPr>
        <w:t xml:space="preserve"> </w:t>
      </w:r>
      <w:hyperlink w:anchor="latin-record-1199">
        <w:r>
          <w:rPr>
            <w:color w:val="000000"/>
          </w:rPr>
          <w:t xml:space="preserve">solus (restrictive)</w:t>
        </w:r>
      </w:hyperlink>
      <w:r>
        <w:rPr>
          <w:b w:val="0"/>
          <w:i w:val="0"/>
        </w:rPr>
        <w:t xml:space="preserve">; </w:t>
      </w:r>
      <w:hyperlink w:anchor="latin-record-1200">
        <w:r>
          <w:rPr>
            <w:color w:val="000000"/>
          </w:rPr>
          <w:t xml:space="preserve">solus; omnis; nullus</w:t>
        </w:r>
      </w:hyperlink>
      <w:r>
        <w:rPr>
          <w:b w:val="0"/>
          <w:i w:val="0"/>
        </w:rPr>
        <w:t>.</w:t>
      </w:r>
    </w:p>
    <w:p>
      <w:pPr>
        <w:widowControl/>
      </w:pPr>
      <w:r>
        <w:rPr>
          <w:b/>
          <w:i w:val="0"/>
        </w:rPr>
        <w:t>solus.</w:t>
      </w:r>
      <w:r>
        <w:rPr>
          <w:b w:val="0"/>
          <w:i w:val="0"/>
        </w:rPr>
        <w:t xml:space="preserve"> </w:t>
      </w:r>
      <w:hyperlink w:anchor="latin-record-1200">
        <w:r>
          <w:rPr>
            <w:color w:val="000000"/>
          </w:rPr>
          <w:t xml:space="preserve">solus; omnis; nullus</w:t>
        </w:r>
      </w:hyperlink>
      <w:r>
        <w:rPr>
          <w:b w:val="0"/>
          <w:i w:val="0"/>
        </w:rPr>
        <w:t>.</w:t>
      </w:r>
    </w:p>
    <w:p>
      <w:pPr>
        <w:widowControl/>
      </w:pPr>
      <w:r>
        <w:rPr>
          <w:b/>
          <w:i w:val="0"/>
        </w:rPr>
        <w:t>soluta.</w:t>
      </w:r>
      <w:r>
        <w:rPr>
          <w:b w:val="0"/>
          <w:i w:val="0"/>
        </w:rPr>
        <w:t xml:space="preserve"> </w:t>
      </w:r>
      <w:hyperlink w:anchor="latin-record-0519">
        <w:r>
          <w:rPr>
            <w:color w:val="000000"/>
          </w:rPr>
          <w:t xml:space="preserve">frangere / discindere / solvere / contrahere</w:t>
        </w:r>
      </w:hyperlink>
      <w:r>
        <w:rPr>
          <w:b w:val="0"/>
          <w:i w:val="0"/>
        </w:rPr>
        <w:t xml:space="preserve">; </w:t>
      </w:r>
      <w:hyperlink w:anchor="latin-record-0714">
        <w:r>
          <w:rPr>
            <w:color w:val="000000"/>
          </w:rPr>
          <w:t xml:space="preserve">liber; solutus; separatus</w:t>
        </w:r>
      </w:hyperlink>
      <w:r>
        <w:rPr>
          <w:b w:val="0"/>
          <w:i w:val="0"/>
        </w:rPr>
        <w:t>.</w:t>
      </w:r>
    </w:p>
    <w:p>
      <w:pPr>
        <w:widowControl/>
      </w:pPr>
      <w:r>
        <w:rPr>
          <w:b/>
          <w:i w:val="0"/>
        </w:rPr>
        <w:t>solutio.</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solutum.</w:t>
      </w:r>
      <w:r>
        <w:rPr>
          <w:b w:val="0"/>
          <w:i w:val="0"/>
        </w:rPr>
        <w:t xml:space="preserve"> </w:t>
      </w:r>
      <w:hyperlink w:anchor="latin-record-0714">
        <w:r>
          <w:rPr>
            <w:color w:val="000000"/>
          </w:rPr>
          <w:t xml:space="preserve">liber; solutus; separatus</w:t>
        </w:r>
      </w:hyperlink>
      <w:r>
        <w:rPr>
          <w:b w:val="0"/>
          <w:i w:val="0"/>
        </w:rPr>
        <w:t>.</w:t>
      </w:r>
    </w:p>
    <w:p>
      <w:pPr>
        <w:widowControl/>
      </w:pPr>
      <w:r>
        <w:rPr>
          <w:b/>
          <w:i w:val="0"/>
        </w:rPr>
        <w:t>solutus.</w:t>
      </w:r>
      <w:r>
        <w:rPr>
          <w:b w:val="0"/>
          <w:i w:val="0"/>
        </w:rPr>
        <w:t xml:space="preserve"> </w:t>
      </w:r>
      <w:hyperlink w:anchor="latin-record-1201">
        <w:r>
          <w:rPr>
            <w:color w:val="000000"/>
          </w:rPr>
          <w:t xml:space="preserve">solutus</w:t>
        </w:r>
      </w:hyperlink>
      <w:r>
        <w:rPr>
          <w:b w:val="0"/>
          <w:i w:val="0"/>
        </w:rPr>
        <w:t>.</w:t>
      </w:r>
    </w:p>
    <w:p>
      <w:pPr>
        <w:widowControl/>
      </w:pPr>
      <w:r>
        <w:rPr>
          <w:b/>
          <w:i w:val="0"/>
        </w:rPr>
        <w:t>solvatur.</w:t>
      </w:r>
      <w:r>
        <w:rPr>
          <w:b w:val="0"/>
          <w:i w:val="0"/>
        </w:rPr>
        <w:t xml:space="preserve"> </w:t>
      </w:r>
      <w:hyperlink w:anchor="latin-record-0519">
        <w:r>
          <w:rPr>
            <w:color w:val="000000"/>
          </w:rPr>
          <w:t xml:space="preserve">frangere / discindere / solvere / contrahere</w:t>
        </w:r>
      </w:hyperlink>
      <w:r>
        <w:rPr>
          <w:b w:val="0"/>
          <w:i w:val="0"/>
        </w:rPr>
        <w:t xml:space="preserve">; </w:t>
      </w:r>
      <w:hyperlink w:anchor="latin-record-1202">
        <w:r>
          <w:rPr>
            <w:color w:val="000000"/>
          </w:rPr>
          <w:t xml:space="preserve">solvere; retro versus</w:t>
        </w:r>
      </w:hyperlink>
      <w:r>
        <w:rPr>
          <w:b w:val="0"/>
          <w:i w:val="0"/>
        </w:rPr>
        <w:t>.</w:t>
      </w:r>
    </w:p>
    <w:p>
      <w:pPr>
        <w:widowControl/>
      </w:pPr>
      <w:r>
        <w:rPr>
          <w:b/>
          <w:i w:val="0"/>
        </w:rPr>
        <w:t>somniare.</w:t>
      </w:r>
      <w:r>
        <w:rPr>
          <w:b w:val="0"/>
          <w:i w:val="0"/>
        </w:rPr>
        <w:t xml:space="preserve"> </w:t>
      </w:r>
      <w:hyperlink w:anchor="latin-record-0152">
        <w:r>
          <w:rPr>
            <w:color w:val="000000"/>
          </w:rPr>
          <w:t xml:space="preserve">augurari / suspicari / somniare</w:t>
        </w:r>
      </w:hyperlink>
      <w:r>
        <w:rPr>
          <w:b w:val="0"/>
          <w:i w:val="0"/>
        </w:rPr>
        <w:t xml:space="preserve">; </w:t>
      </w:r>
      <w:hyperlink w:anchor="latin-record-1203">
        <w:r>
          <w:rPr>
            <w:color w:val="000000"/>
          </w:rPr>
          <w:t xml:space="preserve">somniare</w:t>
        </w:r>
      </w:hyperlink>
      <w:r>
        <w:rPr>
          <w:b w:val="0"/>
          <w:i w:val="0"/>
        </w:rPr>
        <w:t>.</w:t>
      </w:r>
    </w:p>
    <w:p>
      <w:pPr>
        <w:widowControl/>
      </w:pPr>
      <w:r>
        <w:rPr>
          <w:b/>
          <w:i w:val="0"/>
        </w:rPr>
        <w:t>somniaret.</w:t>
      </w:r>
      <w:r>
        <w:rPr>
          <w:b w:val="0"/>
          <w:i w:val="0"/>
        </w:rPr>
        <w:t xml:space="preserve"> </w:t>
      </w:r>
      <w:hyperlink w:anchor="latin-record-0152">
        <w:r>
          <w:rPr>
            <w:color w:val="000000"/>
          </w:rPr>
          <w:t xml:space="preserve">augurari / suspicari / somniare</w:t>
        </w:r>
      </w:hyperlink>
      <w:r>
        <w:rPr>
          <w:b w:val="0"/>
          <w:i w:val="0"/>
        </w:rPr>
        <w:t>.</w:t>
      </w:r>
    </w:p>
    <w:p>
      <w:pPr>
        <w:widowControl/>
      </w:pPr>
      <w:r>
        <w:rPr>
          <w:b/>
          <w:i w:val="0"/>
        </w:rPr>
        <w:t>somno.</w:t>
      </w:r>
      <w:r>
        <w:rPr>
          <w:b w:val="0"/>
          <w:i w:val="0"/>
        </w:rPr>
        <w:t xml:space="preserve"> </w:t>
      </w:r>
      <w:hyperlink w:anchor="latin-record-1204">
        <w:r>
          <w:rPr>
            <w:color w:val="000000"/>
          </w:rPr>
          <w:t xml:space="preserve">somnus</w:t>
        </w:r>
      </w:hyperlink>
      <w:r>
        <w:rPr>
          <w:b w:val="0"/>
          <w:i w:val="0"/>
        </w:rPr>
        <w:t>.</w:t>
      </w:r>
    </w:p>
    <w:p>
      <w:pPr>
        <w:widowControl/>
      </w:pPr>
      <w:r>
        <w:rPr>
          <w:b/>
          <w:i w:val="0"/>
        </w:rPr>
        <w:t>somnum.</w:t>
      </w:r>
      <w:r>
        <w:rPr>
          <w:b w:val="0"/>
          <w:i w:val="0"/>
        </w:rPr>
        <w:t xml:space="preserve"> </w:t>
      </w:r>
      <w:hyperlink w:anchor="latin-record-0947">
        <w:r>
          <w:rPr>
            <w:color w:val="000000"/>
          </w:rPr>
          <w:t xml:space="preserve">phrenesis; somnus; ebrietas</w:t>
        </w:r>
      </w:hyperlink>
      <w:r>
        <w:rPr>
          <w:b w:val="0"/>
          <w:i w:val="0"/>
        </w:rPr>
        <w:t xml:space="preserve">; </w:t>
      </w:r>
      <w:hyperlink w:anchor="latin-record-1204">
        <w:r>
          <w:rPr>
            <w:color w:val="000000"/>
          </w:rPr>
          <w:t xml:space="preserve">somnus</w:t>
        </w:r>
      </w:hyperlink>
      <w:r>
        <w:rPr>
          <w:b w:val="0"/>
          <w:i w:val="0"/>
        </w:rPr>
        <w:t>.</w:t>
      </w:r>
    </w:p>
    <w:p>
      <w:pPr>
        <w:widowControl/>
      </w:pPr>
      <w:r>
        <w:rPr>
          <w:b/>
          <w:i w:val="0"/>
        </w:rPr>
        <w:t>somnus.</w:t>
      </w:r>
      <w:r>
        <w:rPr>
          <w:b w:val="0"/>
          <w:i w:val="0"/>
        </w:rPr>
        <w:t xml:space="preserve"> </w:t>
      </w:r>
      <w:hyperlink w:anchor="latin-record-1204">
        <w:r>
          <w:rPr>
            <w:color w:val="000000"/>
          </w:rPr>
          <w:t xml:space="preserve">somnus</w:t>
        </w:r>
      </w:hyperlink>
      <w:r>
        <w:rPr>
          <w:b w:val="0"/>
          <w:i w:val="0"/>
        </w:rPr>
        <w:t>.</w:t>
      </w:r>
    </w:p>
    <w:p>
      <w:pPr>
        <w:widowControl/>
      </w:pPr>
      <w:r>
        <w:rPr>
          <w:b/>
          <w:i w:val="0"/>
        </w:rPr>
        <w:t>sonat.</w:t>
      </w:r>
      <w:r>
        <w:rPr>
          <w:b w:val="0"/>
          <w:i w:val="0"/>
        </w:rPr>
        <w:t xml:space="preserve"> </w:t>
      </w:r>
      <w:hyperlink w:anchor="latin-record-0567">
        <w:r>
          <w:rPr>
            <w:color w:val="000000"/>
          </w:rPr>
          <w:t xml:space="preserve">horologium; sonare</w:t>
        </w:r>
      </w:hyperlink>
      <w:r>
        <w:rPr>
          <w:b w:val="0"/>
          <w:i w:val="0"/>
        </w:rPr>
        <w:t>.</w:t>
      </w:r>
    </w:p>
    <w:p>
      <w:pPr>
        <w:widowControl/>
      </w:pPr>
      <w:r>
        <w:rPr>
          <w:b/>
          <w:i w:val="0"/>
        </w:rPr>
        <w:t>sono.</w:t>
      </w:r>
      <w:r>
        <w:rPr>
          <w:b w:val="0"/>
          <w:i w:val="0"/>
        </w:rPr>
        <w:t xml:space="preserve"> </w:t>
      </w:r>
      <w:hyperlink w:anchor="latin-record-1205">
        <w:r>
          <w:rPr>
            <w:color w:val="000000"/>
          </w:rPr>
          <w:t xml:space="preserve">sonus / percussio / silentium</w:t>
        </w:r>
      </w:hyperlink>
      <w:r>
        <w:rPr>
          <w:b w:val="0"/>
          <w:i w:val="0"/>
        </w:rPr>
        <w:t>.</w:t>
      </w:r>
    </w:p>
    <w:p>
      <w:pPr>
        <w:widowControl/>
      </w:pPr>
      <w:r>
        <w:rPr>
          <w:b/>
          <w:i w:val="0"/>
        </w:rPr>
        <w:t>sophistis.</w:t>
      </w:r>
      <w:r>
        <w:rPr>
          <w:b w:val="0"/>
          <w:i w:val="0"/>
        </w:rPr>
        <w:t xml:space="preserve"> </w:t>
      </w:r>
      <w:hyperlink w:anchor="latin-record-0975">
        <w:r>
          <w:rPr>
            <w:color w:val="000000"/>
          </w:rPr>
          <w:t xml:space="preserve">praeceptor; sophista</w:t>
        </w:r>
      </w:hyperlink>
      <w:r>
        <w:rPr>
          <w:b w:val="0"/>
          <w:i w:val="0"/>
        </w:rPr>
        <w:t>.</w:t>
      </w:r>
    </w:p>
    <w:p>
      <w:pPr>
        <w:widowControl/>
      </w:pPr>
      <w:r>
        <w:rPr>
          <w:b/>
          <w:i w:val="0"/>
        </w:rPr>
        <w:t>sopit.</w:t>
      </w:r>
      <w:r>
        <w:rPr>
          <w:b w:val="0"/>
          <w:i w:val="0"/>
        </w:rPr>
        <w:t xml:space="preserve"> </w:t>
      </w:r>
      <w:hyperlink w:anchor="latin-record-1206">
        <w:r>
          <w:rPr>
            <w:color w:val="000000"/>
          </w:rPr>
          <w:t xml:space="preserve">sopire / claudere</w:t>
        </w:r>
      </w:hyperlink>
      <w:r>
        <w:rPr>
          <w:b w:val="0"/>
          <w:i w:val="0"/>
        </w:rPr>
        <w:t>.</w:t>
      </w:r>
    </w:p>
    <w:p>
      <w:pPr>
        <w:widowControl/>
      </w:pPr>
      <w:r>
        <w:rPr>
          <w:b/>
          <w:i w:val="0"/>
        </w:rPr>
        <w:t>sortiantur.</w:t>
      </w:r>
      <w:r>
        <w:rPr>
          <w:b w:val="0"/>
          <w:i w:val="0"/>
        </w:rPr>
        <w:t xml:space="preserve"> </w:t>
      </w:r>
      <w:hyperlink w:anchor="latin-record-1207">
        <w:r>
          <w:rPr>
            <w:color w:val="000000"/>
          </w:rPr>
          <w:t xml:space="preserve">sortiri</w:t>
        </w:r>
      </w:hyperlink>
      <w:r>
        <w:rPr>
          <w:b w:val="0"/>
          <w:i w:val="0"/>
        </w:rPr>
        <w:t>.</w:t>
      </w:r>
    </w:p>
    <w:p>
      <w:pPr>
        <w:widowControl/>
      </w:pPr>
      <w:r>
        <w:rPr>
          <w:b/>
          <w:i w:val="0"/>
        </w:rPr>
        <w:t>Sortitur.</w:t>
      </w:r>
      <w:r>
        <w:rPr>
          <w:b w:val="0"/>
          <w:i w:val="0"/>
        </w:rPr>
        <w:t xml:space="preserve"> </w:t>
      </w:r>
      <w:hyperlink w:anchor="latin-record-1207">
        <w:r>
          <w:rPr>
            <w:color w:val="000000"/>
          </w:rPr>
          <w:t xml:space="preserve">sortiri</w:t>
        </w:r>
      </w:hyperlink>
      <w:r>
        <w:rPr>
          <w:b w:val="0"/>
          <w:i w:val="0"/>
        </w:rPr>
        <w:t>.</w:t>
      </w:r>
    </w:p>
    <w:p>
      <w:pPr>
        <w:widowControl/>
      </w:pPr>
      <w:r>
        <w:rPr>
          <w:b/>
          <w:i w:val="0"/>
        </w:rPr>
        <w:t>sortitur.</w:t>
      </w:r>
      <w:r>
        <w:rPr>
          <w:b w:val="0"/>
          <w:i w:val="0"/>
        </w:rPr>
        <w:t xml:space="preserve"> </w:t>
      </w:r>
      <w:hyperlink w:anchor="latin-record-1207">
        <w:r>
          <w:rPr>
            <w:color w:val="000000"/>
          </w:rPr>
          <w:t xml:space="preserve">sortiri</w:t>
        </w:r>
      </w:hyperlink>
      <w:r>
        <w:rPr>
          <w:b w:val="0"/>
          <w:i w:val="0"/>
        </w:rPr>
        <w:t>.</w:t>
      </w:r>
    </w:p>
    <w:p>
      <w:pPr>
        <w:widowControl/>
      </w:pPr>
      <w:r>
        <w:rPr>
          <w:b/>
          <w:i w:val="0"/>
        </w:rPr>
        <w:t>sparsa.</w:t>
      </w:r>
      <w:r>
        <w:rPr>
          <w:b w:val="0"/>
          <w:i w:val="0"/>
        </w:rPr>
        <w:t xml:space="preserve"> </w:t>
      </w:r>
      <w:hyperlink w:anchor="latin-record-1208">
        <w:r>
          <w:rPr>
            <w:color w:val="000000"/>
          </w:rPr>
          <w:t xml:space="preserve">spargere</w:t>
        </w:r>
      </w:hyperlink>
      <w:r>
        <w:rPr>
          <w:b w:val="0"/>
          <w:i w:val="0"/>
        </w:rPr>
        <w:t>.</w:t>
      </w:r>
    </w:p>
    <w:p>
      <w:pPr>
        <w:widowControl/>
      </w:pPr>
      <w:r>
        <w:rPr>
          <w:b/>
          <w:i w:val="0"/>
        </w:rPr>
        <w:t>sparsae.</w:t>
      </w:r>
      <w:r>
        <w:rPr>
          <w:b w:val="0"/>
          <w:i w:val="0"/>
        </w:rPr>
        <w:t xml:space="preserve"> </w:t>
      </w:r>
      <w:hyperlink w:anchor="latin-record-0383">
        <w:r>
          <w:rPr>
            <w:color w:val="000000"/>
          </w:rPr>
          <w:t xml:space="preserve">diffundere / spargere / porrigere</w:t>
        </w:r>
      </w:hyperlink>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sparsam.</w:t>
      </w:r>
      <w:r>
        <w:rPr>
          <w:b w:val="0"/>
          <w:i w:val="0"/>
        </w:rPr>
        <w:t xml:space="preserve"> </w:t>
      </w:r>
      <w:hyperlink w:anchor="latin-record-0383">
        <w:r>
          <w:rPr>
            <w:color w:val="000000"/>
          </w:rPr>
          <w:t xml:space="preserve">diffundere / spargere / porrigere</w:t>
        </w:r>
      </w:hyperlink>
      <w:r>
        <w:rPr>
          <w:b w:val="0"/>
          <w:i w:val="0"/>
        </w:rPr>
        <w:t>.</w:t>
      </w:r>
    </w:p>
    <w:p>
      <w:pPr>
        <w:widowControl/>
      </w:pPr>
      <w:r>
        <w:rPr>
          <w:b/>
          <w:i w:val="0"/>
        </w:rPr>
        <w:t>spatia.</w:t>
      </w:r>
      <w:r>
        <w:rPr>
          <w:b w:val="0"/>
          <w:i w:val="0"/>
        </w:rPr>
        <w:t xml:space="preserve"> </w:t>
      </w:r>
      <w:hyperlink w:anchor="latin-record-0873">
        <w:r>
          <w:rPr>
            <w:color w:val="000000"/>
          </w:rPr>
          <w:t xml:space="preserve">orbis in puncto</w:t>
        </w:r>
      </w:hyperlink>
      <w:r>
        <w:rPr>
          <w:b w:val="0"/>
          <w:i w:val="0"/>
        </w:rPr>
        <w:t>.</w:t>
      </w:r>
    </w:p>
    <w:p>
      <w:pPr>
        <w:widowControl/>
      </w:pPr>
      <w:r>
        <w:rPr>
          <w:b/>
          <w:i w:val="0"/>
        </w:rPr>
        <w:t>specie.</w:t>
      </w:r>
      <w:r>
        <w:rPr>
          <w:b w:val="0"/>
          <w:i w:val="0"/>
        </w:rPr>
        <w:t xml:space="preserve"> </w:t>
      </w:r>
      <w:hyperlink w:anchor="latin-record-1209">
        <w:r>
          <w:rPr>
            <w:color w:val="000000"/>
          </w:rPr>
          <w:t xml:space="preserve">species</w:t>
        </w:r>
      </w:hyperlink>
      <w:r>
        <w:rPr>
          <w:b w:val="0"/>
          <w:i w:val="0"/>
        </w:rPr>
        <w:t xml:space="preserve">; </w:t>
      </w:r>
      <w:hyperlink w:anchor="latin-record-1210">
        <w:r>
          <w:rPr>
            <w:color w:val="000000"/>
          </w:rPr>
          <w:t xml:space="preserve">species / genus / cognomen</w:t>
        </w:r>
      </w:hyperlink>
      <w:r>
        <w:rPr>
          <w:b w:val="0"/>
          <w:i w:val="0"/>
        </w:rPr>
        <w:t>.</w:t>
      </w:r>
    </w:p>
    <w:p>
      <w:pPr>
        <w:widowControl/>
      </w:pPr>
      <w:r>
        <w:rPr>
          <w:b/>
          <w:i w:val="0"/>
        </w:rPr>
        <w:t>speciebus.</w:t>
      </w:r>
      <w:r>
        <w:rPr>
          <w:b w:val="0"/>
          <w:i w:val="0"/>
        </w:rPr>
        <w:t xml:space="preserve"> </w:t>
      </w:r>
      <w:hyperlink w:anchor="latin-record-1209">
        <w:r>
          <w:rPr>
            <w:color w:val="000000"/>
          </w:rPr>
          <w:t xml:space="preserve">species</w:t>
        </w:r>
      </w:hyperlink>
      <w:r>
        <w:rPr>
          <w:b w:val="0"/>
          <w:i w:val="0"/>
        </w:rPr>
        <w:t>.</w:t>
      </w:r>
    </w:p>
    <w:p>
      <w:pPr>
        <w:widowControl/>
      </w:pPr>
      <w:r>
        <w:rPr>
          <w:b/>
          <w:i w:val="0"/>
        </w:rPr>
        <w:t>speciei.</w:t>
      </w:r>
      <w:r>
        <w:rPr>
          <w:b w:val="0"/>
          <w:i w:val="0"/>
        </w:rPr>
        <w:t xml:space="preserve"> </w:t>
      </w:r>
      <w:hyperlink w:anchor="latin-record-1209">
        <w:r>
          <w:rPr>
            <w:color w:val="000000"/>
          </w:rPr>
          <w:t xml:space="preserve">species</w:t>
        </w:r>
      </w:hyperlink>
      <w:r>
        <w:rPr>
          <w:b w:val="0"/>
          <w:i w:val="0"/>
        </w:rPr>
        <w:t xml:space="preserve">; </w:t>
      </w:r>
      <w:hyperlink w:anchor="latin-record-1210">
        <w:r>
          <w:rPr>
            <w:color w:val="000000"/>
          </w:rPr>
          <w:t xml:space="preserve">species / genus / cognomen</w:t>
        </w:r>
      </w:hyperlink>
      <w:r>
        <w:rPr>
          <w:b w:val="0"/>
          <w:i w:val="0"/>
        </w:rPr>
        <w:t>.</w:t>
      </w:r>
    </w:p>
    <w:p>
      <w:pPr>
        <w:widowControl/>
      </w:pPr>
      <w:r>
        <w:rPr>
          <w:b/>
          <w:i w:val="0"/>
        </w:rPr>
        <w:t>speciem.</w:t>
      </w:r>
      <w:r>
        <w:rPr>
          <w:b w:val="0"/>
          <w:i w:val="0"/>
        </w:rPr>
        <w:t xml:space="preserve"> </w:t>
      </w:r>
      <w:hyperlink w:anchor="latin-record-1209">
        <w:r>
          <w:rPr>
            <w:color w:val="000000"/>
          </w:rPr>
          <w:t xml:space="preserve">species</w:t>
        </w:r>
      </w:hyperlink>
      <w:r>
        <w:rPr>
          <w:b w:val="0"/>
          <w:i w:val="0"/>
        </w:rPr>
        <w:t xml:space="preserve">; </w:t>
      </w:r>
      <w:hyperlink w:anchor="latin-record-1212">
        <w:r>
          <w:rPr>
            <w:color w:val="000000"/>
          </w:rPr>
          <w:t xml:space="preserve">species sensibilis</w:t>
        </w:r>
      </w:hyperlink>
      <w:r>
        <w:rPr>
          <w:b w:val="0"/>
          <w:i w:val="0"/>
        </w:rPr>
        <w:t>.</w:t>
      </w:r>
    </w:p>
    <w:p>
      <w:pPr>
        <w:widowControl/>
      </w:pPr>
      <w:r>
        <w:rPr>
          <w:b/>
          <w:i w:val="0"/>
        </w:rPr>
        <w:t>species.</w:t>
      </w:r>
      <w:r>
        <w:rPr>
          <w:b w:val="0"/>
          <w:i w:val="0"/>
        </w:rPr>
        <w:t xml:space="preserve"> </w:t>
      </w:r>
      <w:hyperlink w:anchor="latin-record-1209">
        <w:r>
          <w:rPr>
            <w:color w:val="000000"/>
          </w:rPr>
          <w:t xml:space="preserve">species</w:t>
        </w:r>
      </w:hyperlink>
      <w:r>
        <w:rPr>
          <w:b w:val="0"/>
          <w:i w:val="0"/>
        </w:rPr>
        <w:t xml:space="preserve">; </w:t>
      </w:r>
      <w:hyperlink w:anchor="latin-record-1210">
        <w:r>
          <w:rPr>
            <w:color w:val="000000"/>
          </w:rPr>
          <w:t xml:space="preserve">species / genus / cognomen</w:t>
        </w:r>
      </w:hyperlink>
      <w:r>
        <w:rPr>
          <w:b w:val="0"/>
          <w:i w:val="0"/>
        </w:rPr>
        <w:t xml:space="preserve">; </w:t>
      </w:r>
      <w:hyperlink w:anchor="latin-record-1212">
        <w:r>
          <w:rPr>
            <w:color w:val="000000"/>
          </w:rPr>
          <w:t xml:space="preserve">species sensibilis</w:t>
        </w:r>
      </w:hyperlink>
      <w:r>
        <w:rPr>
          <w:b w:val="0"/>
          <w:i w:val="0"/>
        </w:rPr>
        <w:t>.</w:t>
      </w:r>
    </w:p>
    <w:p>
      <w:pPr>
        <w:widowControl/>
      </w:pPr>
      <w:r>
        <w:rPr>
          <w:b/>
          <w:i w:val="0"/>
        </w:rPr>
        <w:t>species absolutas.</w:t>
      </w:r>
      <w:r>
        <w:rPr>
          <w:b w:val="0"/>
          <w:i w:val="0"/>
        </w:rPr>
        <w:t xml:space="preserve"> </w:t>
      </w:r>
      <w:hyperlink w:anchor="latin-record-1211">
        <w:r>
          <w:rPr>
            <w:color w:val="000000"/>
          </w:rPr>
          <w:t xml:space="preserve">species absolutae</w:t>
        </w:r>
      </w:hyperlink>
      <w:r>
        <w:rPr>
          <w:b w:val="0"/>
          <w:i w:val="0"/>
        </w:rPr>
        <w:t>.</w:t>
      </w:r>
    </w:p>
    <w:p>
      <w:pPr>
        <w:widowControl/>
      </w:pPr>
      <w:r>
        <w:rPr>
          <w:b/>
          <w:i w:val="0"/>
        </w:rPr>
        <w:t>specillo.</w:t>
      </w:r>
      <w:r>
        <w:rPr>
          <w:b w:val="0"/>
          <w:i w:val="0"/>
        </w:rPr>
        <w:t xml:space="preserve"> </w:t>
      </w:r>
      <w:hyperlink w:anchor="latin-record-1218">
        <w:r>
          <w:rPr>
            <w:color w:val="000000"/>
          </w:rPr>
          <w:t xml:space="preserve">speculum / specillum</w:t>
        </w:r>
      </w:hyperlink>
      <w:r>
        <w:rPr>
          <w:b w:val="0"/>
          <w:i w:val="0"/>
        </w:rPr>
        <w:t>.</w:t>
      </w:r>
    </w:p>
    <w:p>
      <w:pPr>
        <w:widowControl/>
      </w:pPr>
      <w:r>
        <w:rPr>
          <w:b/>
          <w:i w:val="0"/>
        </w:rPr>
        <w:t>speciosius.</w:t>
      </w:r>
      <w:r>
        <w:rPr>
          <w:b w:val="0"/>
          <w:i w:val="0"/>
        </w:rPr>
        <w:t xml:space="preserve"> </w:t>
      </w:r>
      <w:hyperlink w:anchor="latin-record-1213">
        <w:r>
          <w:rPr>
            <w:color w:val="000000"/>
          </w:rPr>
          <w:t xml:space="preserve">speciosus / deformis</w:t>
        </w:r>
      </w:hyperlink>
      <w:r>
        <w:rPr>
          <w:b w:val="0"/>
          <w:i w:val="0"/>
        </w:rPr>
        <w:t>.</w:t>
      </w:r>
    </w:p>
    <w:p>
      <w:pPr>
        <w:widowControl/>
      </w:pPr>
      <w:r>
        <w:rPr>
          <w:b/>
          <w:i w:val="0"/>
        </w:rPr>
        <w:t>spectat.</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specu.</w:t>
      </w:r>
      <w:r>
        <w:rPr>
          <w:b w:val="0"/>
          <w:i w:val="0"/>
        </w:rPr>
        <w:t xml:space="preserve"> </w:t>
      </w:r>
      <w:hyperlink w:anchor="latin-record-1221">
        <w:r>
          <w:rPr>
            <w:color w:val="000000"/>
          </w:rPr>
          <w:t xml:space="preserve">spelunca; specus; caverna</w:t>
        </w:r>
      </w:hyperlink>
      <w:r>
        <w:rPr>
          <w:b w:val="0"/>
          <w:i w:val="0"/>
        </w:rPr>
        <w:t>.</w:t>
      </w:r>
    </w:p>
    <w:p>
      <w:pPr>
        <w:widowControl/>
      </w:pPr>
      <w:r>
        <w:rPr>
          <w:b/>
          <w:i w:val="0"/>
        </w:rPr>
        <w:t>speculando.</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speculatio.</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speculativa.</w:t>
      </w:r>
      <w:r>
        <w:rPr>
          <w:b w:val="0"/>
          <w:i w:val="0"/>
        </w:rPr>
        <w:t xml:space="preserve"> </w:t>
      </w:r>
      <w:hyperlink w:anchor="latin-record-1214">
        <w:r>
          <w:rPr>
            <w:color w:val="000000"/>
          </w:rPr>
          <w:t xml:space="preserve">speculativus / moralis</w:t>
        </w:r>
      </w:hyperlink>
      <w:r>
        <w:rPr>
          <w:b w:val="0"/>
          <w:i w:val="0"/>
        </w:rPr>
        <w:t>.</w:t>
      </w:r>
    </w:p>
    <w:p>
      <w:pPr>
        <w:widowControl/>
      </w:pPr>
      <w:r>
        <w:rPr>
          <w:b/>
          <w:i w:val="0"/>
        </w:rPr>
        <w:t>speculativae.</w:t>
      </w:r>
      <w:r>
        <w:rPr>
          <w:b w:val="0"/>
          <w:i w:val="0"/>
        </w:rPr>
        <w:t xml:space="preserve"> </w:t>
      </w:r>
      <w:hyperlink w:anchor="latin-record-1214">
        <w:r>
          <w:rPr>
            <w:color w:val="000000"/>
          </w:rPr>
          <w:t xml:space="preserve">speculativus / moralis</w:t>
        </w:r>
      </w:hyperlink>
      <w:r>
        <w:rPr>
          <w:b w:val="0"/>
          <w:i w:val="0"/>
        </w:rPr>
        <w:t>.</w:t>
      </w:r>
    </w:p>
    <w:p>
      <w:pPr>
        <w:widowControl/>
      </w:pPr>
      <w:r>
        <w:rPr>
          <w:b/>
          <w:i w:val="0"/>
        </w:rPr>
        <w:t>speculatur.</w:t>
      </w:r>
      <w:r>
        <w:rPr>
          <w:b w:val="0"/>
          <w:i w:val="0"/>
        </w:rPr>
        <w:t xml:space="preserve"> </w:t>
      </w:r>
      <w:hyperlink w:anchor="latin-record-0306">
        <w:r>
          <w:rPr>
            <w:color w:val="000000"/>
          </w:rPr>
          <w:t xml:space="preserve">considerare / contemplari / speculari / inspicere</w:t>
        </w:r>
      </w:hyperlink>
      <w:r>
        <w:rPr>
          <w:b w:val="0"/>
          <w:i w:val="0"/>
        </w:rPr>
        <w:t>.</w:t>
      </w:r>
    </w:p>
    <w:p>
      <w:pPr>
        <w:widowControl/>
      </w:pPr>
      <w:r>
        <w:rPr>
          <w:b/>
          <w:i w:val="0"/>
        </w:rPr>
        <w:t>speculi.</w:t>
      </w:r>
      <w:r>
        <w:rPr>
          <w:b w:val="0"/>
          <w:i w:val="0"/>
        </w:rPr>
        <w:t xml:space="preserve"> </w:t>
      </w:r>
      <w:hyperlink w:anchor="latin-record-1216">
        <w:r>
          <w:rPr>
            <w:color w:val="000000"/>
          </w:rPr>
          <w:t xml:space="preserve">speculum / distantia</w:t>
        </w:r>
      </w:hyperlink>
      <w:r>
        <w:rPr>
          <w:b w:val="0"/>
          <w:i w:val="0"/>
        </w:rPr>
        <w:t>.</w:t>
      </w:r>
    </w:p>
    <w:p>
      <w:pPr>
        <w:widowControl/>
      </w:pPr>
      <w:r>
        <w:rPr>
          <w:b/>
          <w:i w:val="0"/>
        </w:rPr>
        <w:t>speculis.</w:t>
      </w:r>
      <w:r>
        <w:rPr>
          <w:b w:val="0"/>
          <w:i w:val="0"/>
        </w:rPr>
        <w:t xml:space="preserve"> </w:t>
      </w:r>
      <w:hyperlink w:anchor="latin-record-1215">
        <w:r>
          <w:rPr>
            <w:color w:val="000000"/>
          </w:rPr>
          <w:t xml:space="preserve">speculum / aqua</w:t>
        </w:r>
      </w:hyperlink>
      <w:r>
        <w:rPr>
          <w:b w:val="0"/>
          <w:i w:val="0"/>
        </w:rPr>
        <w:t>.</w:t>
      </w:r>
    </w:p>
    <w:p>
      <w:pPr>
        <w:widowControl/>
      </w:pPr>
      <w:r>
        <w:rPr>
          <w:b/>
          <w:i w:val="0"/>
        </w:rPr>
        <w:t>speculo.</w:t>
      </w:r>
      <w:r>
        <w:rPr>
          <w:b w:val="0"/>
          <w:i w:val="0"/>
        </w:rPr>
        <w:t xml:space="preserve"> </w:t>
      </w:r>
      <w:hyperlink w:anchor="latin-record-1215">
        <w:r>
          <w:rPr>
            <w:color w:val="000000"/>
          </w:rPr>
          <w:t xml:space="preserve">speculum / aqua</w:t>
        </w:r>
      </w:hyperlink>
      <w:r>
        <w:rPr>
          <w:b w:val="0"/>
          <w:i w:val="0"/>
        </w:rPr>
        <w:t xml:space="preserve">; </w:t>
      </w:r>
      <w:hyperlink w:anchor="latin-record-1216">
        <w:r>
          <w:rPr>
            <w:color w:val="000000"/>
          </w:rPr>
          <w:t xml:space="preserve">speculum / distantia</w:t>
        </w:r>
      </w:hyperlink>
      <w:r>
        <w:rPr>
          <w:b w:val="0"/>
          <w:i w:val="0"/>
        </w:rPr>
        <w:t xml:space="preserve">; </w:t>
      </w:r>
      <w:hyperlink w:anchor="latin-record-1217">
        <w:r>
          <w:rPr>
            <w:color w:val="000000"/>
          </w:rPr>
          <w:t xml:space="preserve">speculum / lana / accendere</w:t>
        </w:r>
      </w:hyperlink>
      <w:r>
        <w:rPr>
          <w:b w:val="0"/>
          <w:i w:val="0"/>
        </w:rPr>
        <w:t xml:space="preserve">; </w:t>
      </w:r>
      <w:hyperlink w:anchor="latin-record-1218">
        <w:r>
          <w:rPr>
            <w:color w:val="000000"/>
          </w:rPr>
          <w:t xml:space="preserve">speculum / specillum</w:t>
        </w:r>
      </w:hyperlink>
      <w:r>
        <w:rPr>
          <w:b w:val="0"/>
          <w:i w:val="0"/>
        </w:rPr>
        <w:t>.</w:t>
      </w:r>
    </w:p>
    <w:p>
      <w:pPr>
        <w:widowControl/>
      </w:pPr>
      <w:r>
        <w:rPr>
          <w:b/>
          <w:i w:val="0"/>
        </w:rPr>
        <w:t>speculo sempiterno.</w:t>
      </w:r>
      <w:r>
        <w:rPr>
          <w:b w:val="0"/>
          <w:i w:val="0"/>
        </w:rPr>
        <w:t xml:space="preserve"> </w:t>
      </w:r>
      <w:hyperlink w:anchor="latin-record-1220">
        <w:r>
          <w:rPr>
            <w:color w:val="000000"/>
          </w:rPr>
          <w:t xml:space="preserve">speculum sempiternum</w:t>
        </w:r>
      </w:hyperlink>
      <w:r>
        <w:rPr>
          <w:b w:val="0"/>
          <w:i w:val="0"/>
        </w:rPr>
        <w:t>.</w:t>
      </w:r>
    </w:p>
    <w:p>
      <w:pPr>
        <w:widowControl/>
      </w:pPr>
      <w:r>
        <w:rPr>
          <w:b/>
          <w:i w:val="0"/>
        </w:rPr>
        <w:t>speculorum.</w:t>
      </w:r>
      <w:r>
        <w:rPr>
          <w:b w:val="0"/>
          <w:i w:val="0"/>
        </w:rPr>
        <w:t xml:space="preserve"> </w:t>
      </w:r>
      <w:hyperlink w:anchor="latin-record-1218">
        <w:r>
          <w:rPr>
            <w:color w:val="000000"/>
          </w:rPr>
          <w:t xml:space="preserve">speculum / specillum</w:t>
        </w:r>
      </w:hyperlink>
      <w:r>
        <w:rPr>
          <w:b w:val="0"/>
          <w:i w:val="0"/>
        </w:rPr>
        <w:t>.</w:t>
      </w:r>
    </w:p>
    <w:p>
      <w:pPr>
        <w:widowControl/>
      </w:pPr>
      <w:r>
        <w:rPr>
          <w:b/>
          <w:i w:val="0"/>
        </w:rPr>
        <w:t>speculum.</w:t>
      </w:r>
      <w:r>
        <w:rPr>
          <w:b w:val="0"/>
          <w:i w:val="0"/>
        </w:rPr>
        <w:t xml:space="preserve"> </w:t>
      </w:r>
      <w:hyperlink w:anchor="latin-record-1215">
        <w:r>
          <w:rPr>
            <w:color w:val="000000"/>
          </w:rPr>
          <w:t xml:space="preserve">speculum / aqua</w:t>
        </w:r>
      </w:hyperlink>
      <w:r>
        <w:rPr>
          <w:b w:val="0"/>
          <w:i w:val="0"/>
        </w:rPr>
        <w:t xml:space="preserve">; </w:t>
      </w:r>
      <w:hyperlink w:anchor="latin-record-1216">
        <w:r>
          <w:rPr>
            <w:color w:val="000000"/>
          </w:rPr>
          <w:t xml:space="preserve">speculum / distantia</w:t>
        </w:r>
      </w:hyperlink>
      <w:r>
        <w:rPr>
          <w:b w:val="0"/>
          <w:i w:val="0"/>
        </w:rPr>
        <w:t>.</w:t>
      </w:r>
    </w:p>
    <w:p>
      <w:pPr>
        <w:widowControl/>
      </w:pPr>
      <w:r>
        <w:rPr>
          <w:b/>
          <w:i w:val="0"/>
        </w:rPr>
        <w:t>speluncam.</w:t>
      </w:r>
      <w:r>
        <w:rPr>
          <w:b w:val="0"/>
          <w:i w:val="0"/>
        </w:rPr>
        <w:t xml:space="preserve"> </w:t>
      </w:r>
      <w:hyperlink w:anchor="latin-record-1221">
        <w:r>
          <w:rPr>
            <w:color w:val="000000"/>
          </w:rPr>
          <w:t xml:space="preserve">spelunca; specus; caverna</w:t>
        </w:r>
      </w:hyperlink>
      <w:r>
        <w:rPr>
          <w:b w:val="0"/>
          <w:i w:val="0"/>
        </w:rPr>
        <w:t>.</w:t>
      </w:r>
    </w:p>
    <w:p>
      <w:pPr>
        <w:widowControl/>
      </w:pPr>
      <w:r>
        <w:rPr>
          <w:b/>
          <w:i w:val="0"/>
        </w:rPr>
        <w:t>Speusippus.</w:t>
      </w:r>
      <w:r>
        <w:rPr>
          <w:b w:val="0"/>
          <w:i w:val="0"/>
        </w:rPr>
        <w:t xml:space="preserve"> </w:t>
      </w:r>
      <w:hyperlink w:anchor="latin-record-1392">
        <w:r>
          <w:rPr>
            <w:color w:val="000000"/>
          </w:rPr>
          <w:t xml:space="preserve">Xenocrates / Speusippus / Numenius</w:t>
        </w:r>
      </w:hyperlink>
      <w:r>
        <w:rPr>
          <w:b w:val="0"/>
          <w:i w:val="0"/>
        </w:rPr>
        <w:t>.</w:t>
      </w:r>
    </w:p>
    <w:p>
      <w:pPr>
        <w:widowControl/>
      </w:pPr>
      <w:r>
        <w:rPr>
          <w:b/>
          <w:i w:val="0"/>
        </w:rPr>
        <w:t>sphaera.</w:t>
      </w:r>
      <w:r>
        <w:rPr>
          <w:b w:val="0"/>
          <w:i w:val="0"/>
        </w:rPr>
        <w:t xml:space="preserve"> </w:t>
      </w:r>
      <w:hyperlink w:anchor="latin-record-1134">
        <w:r>
          <w:rPr>
            <w:color w:val="000000"/>
          </w:rPr>
          <w:t xml:space="preserve">Saturnus / Iuppiter / sphaera</w:t>
        </w:r>
      </w:hyperlink>
      <w:r>
        <w:rPr>
          <w:b w:val="0"/>
          <w:i w:val="0"/>
        </w:rPr>
        <w:t xml:space="preserve">; </w:t>
      </w:r>
      <w:hyperlink w:anchor="latin-record-1222">
        <w:r>
          <w:rPr>
            <w:color w:val="000000"/>
          </w:rPr>
          <w:t xml:space="preserve">sphaera</w:t>
        </w:r>
      </w:hyperlink>
      <w:r>
        <w:rPr>
          <w:b w:val="0"/>
          <w:i w:val="0"/>
        </w:rPr>
        <w:t>.</w:t>
      </w:r>
    </w:p>
    <w:p>
      <w:pPr>
        <w:widowControl/>
      </w:pPr>
      <w:r>
        <w:rPr>
          <w:b/>
          <w:i w:val="0"/>
        </w:rPr>
        <w:t>sphaerae.</w:t>
      </w:r>
      <w:r>
        <w:rPr>
          <w:b w:val="0"/>
          <w:i w:val="0"/>
        </w:rPr>
        <w:t xml:space="preserve"> </w:t>
      </w:r>
      <w:hyperlink w:anchor="latin-record-1222">
        <w:r>
          <w:rPr>
            <w:color w:val="000000"/>
          </w:rPr>
          <w:t xml:space="preserve">sphaera</w:t>
        </w:r>
      </w:hyperlink>
      <w:r>
        <w:rPr>
          <w:b w:val="0"/>
          <w:i w:val="0"/>
        </w:rPr>
        <w:t>.</w:t>
      </w:r>
    </w:p>
    <w:p>
      <w:pPr>
        <w:widowControl/>
      </w:pPr>
      <w:r>
        <w:rPr>
          <w:b/>
          <w:i w:val="0"/>
        </w:rPr>
        <w:t>sphaeram.</w:t>
      </w:r>
      <w:r>
        <w:rPr>
          <w:b w:val="0"/>
          <w:i w:val="0"/>
        </w:rPr>
        <w:t xml:space="preserve"> </w:t>
      </w:r>
      <w:hyperlink w:anchor="latin-record-1134">
        <w:r>
          <w:rPr>
            <w:color w:val="000000"/>
          </w:rPr>
          <w:t xml:space="preserve">Saturnus / Iuppiter / sphaera</w:t>
        </w:r>
      </w:hyperlink>
      <w:r>
        <w:rPr>
          <w:b w:val="0"/>
          <w:i w:val="0"/>
        </w:rPr>
        <w:t xml:space="preserve">; </w:t>
      </w:r>
      <w:hyperlink w:anchor="latin-record-1222">
        <w:r>
          <w:rPr>
            <w:color w:val="000000"/>
          </w:rPr>
          <w:t xml:space="preserve">sphaera</w:t>
        </w:r>
      </w:hyperlink>
      <w:r>
        <w:rPr>
          <w:b w:val="0"/>
          <w:i w:val="0"/>
        </w:rPr>
        <w:t>.</w:t>
      </w:r>
    </w:p>
    <w:p>
      <w:pPr>
        <w:widowControl/>
      </w:pPr>
      <w:r>
        <w:rPr>
          <w:b/>
          <w:i w:val="0"/>
        </w:rPr>
        <w:t>sphaerarum.</w:t>
      </w:r>
      <w:r>
        <w:rPr>
          <w:b w:val="0"/>
          <w:i w:val="0"/>
        </w:rPr>
        <w:t xml:space="preserve"> </w:t>
      </w:r>
      <w:hyperlink w:anchor="latin-record-1222">
        <w:r>
          <w:rPr>
            <w:color w:val="000000"/>
          </w:rPr>
          <w:t xml:space="preserve">sphaera</w:t>
        </w:r>
      </w:hyperlink>
      <w:r>
        <w:rPr>
          <w:b w:val="0"/>
          <w:i w:val="0"/>
        </w:rPr>
        <w:t>.</w:t>
      </w:r>
    </w:p>
    <w:p>
      <w:pPr>
        <w:widowControl/>
      </w:pPr>
      <w:r>
        <w:rPr>
          <w:b/>
          <w:i w:val="0"/>
        </w:rPr>
        <w:t>sphaeras.</w:t>
      </w:r>
      <w:r>
        <w:rPr>
          <w:b w:val="0"/>
          <w:i w:val="0"/>
        </w:rPr>
        <w:t xml:space="preserve"> </w:t>
      </w:r>
      <w:hyperlink w:anchor="latin-record-1222">
        <w:r>
          <w:rPr>
            <w:color w:val="000000"/>
          </w:rPr>
          <w:t xml:space="preserve">sphaera</w:t>
        </w:r>
      </w:hyperlink>
      <w:r>
        <w:rPr>
          <w:b w:val="0"/>
          <w:i w:val="0"/>
        </w:rPr>
        <w:t>.</w:t>
      </w:r>
    </w:p>
    <w:p>
      <w:pPr>
        <w:widowControl/>
      </w:pPr>
      <w:r>
        <w:rPr>
          <w:b/>
          <w:i w:val="0"/>
        </w:rPr>
        <w:t>spirabit.</w:t>
      </w:r>
      <w:r>
        <w:rPr>
          <w:b w:val="0"/>
          <w:i w:val="0"/>
        </w:rPr>
        <w:t xml:space="preserve"> </w:t>
      </w:r>
      <w:hyperlink w:anchor="latin-record-0063">
        <w:r>
          <w:rPr>
            <w:color w:val="000000"/>
          </w:rPr>
          <w:t xml:space="preserve">aggredi / spirare</w:t>
        </w:r>
      </w:hyperlink>
      <w:r>
        <w:rPr>
          <w:b w:val="0"/>
          <w:i w:val="0"/>
        </w:rPr>
        <w:t>.</w:t>
      </w:r>
    </w:p>
    <w:p>
      <w:pPr>
        <w:widowControl/>
      </w:pPr>
      <w:r>
        <w:rPr>
          <w:b/>
          <w:i w:val="0"/>
        </w:rPr>
        <w:t>spiritale.</w:t>
      </w:r>
      <w:r>
        <w:rPr>
          <w:b w:val="0"/>
          <w:i w:val="0"/>
        </w:rPr>
        <w:t xml:space="preserve"> </w:t>
      </w:r>
      <w:hyperlink w:anchor="latin-record-0733">
        <w:r>
          <w:rPr>
            <w:color w:val="000000"/>
          </w:rPr>
          <w:t xml:space="preserve">lumen; spiritus</w:t>
        </w:r>
      </w:hyperlink>
      <w:r>
        <w:rPr>
          <w:b w:val="0"/>
          <w:i w:val="0"/>
        </w:rPr>
        <w:t xml:space="preserve">; </w:t>
      </w:r>
      <w:hyperlink w:anchor="latin-record-1223">
        <w:r>
          <w:rPr>
            <w:color w:val="000000"/>
          </w:rPr>
          <w:t xml:space="preserve">spiritalis</w:t>
        </w:r>
      </w:hyperlink>
      <w:r>
        <w:rPr>
          <w:b w:val="0"/>
          <w:i w:val="0"/>
        </w:rPr>
        <w:t>.</w:t>
      </w:r>
    </w:p>
    <w:p>
      <w:pPr>
        <w:widowControl/>
      </w:pPr>
      <w:r>
        <w:rPr>
          <w:b/>
          <w:i w:val="0"/>
        </w:rPr>
        <w:t>spiritalem.</w:t>
      </w:r>
      <w:r>
        <w:rPr>
          <w:b w:val="0"/>
          <w:i w:val="0"/>
        </w:rPr>
        <w:t xml:space="preserve"> </w:t>
      </w:r>
      <w:hyperlink w:anchor="latin-record-1223">
        <w:r>
          <w:rPr>
            <w:color w:val="000000"/>
          </w:rPr>
          <w:t xml:space="preserve">spiritalis</w:t>
        </w:r>
      </w:hyperlink>
      <w:r>
        <w:rPr>
          <w:b w:val="0"/>
          <w:i w:val="0"/>
        </w:rPr>
        <w:t>.</w:t>
      </w:r>
    </w:p>
    <w:p>
      <w:pPr>
        <w:widowControl/>
      </w:pPr>
      <w:r>
        <w:rPr>
          <w:b/>
          <w:i w:val="0"/>
        </w:rPr>
        <w:t>spiritales.</w:t>
      </w:r>
      <w:r>
        <w:rPr>
          <w:b w:val="0"/>
          <w:i w:val="0"/>
        </w:rPr>
        <w:t xml:space="preserve"> </w:t>
      </w:r>
      <w:hyperlink w:anchor="latin-record-1223">
        <w:r>
          <w:rPr>
            <w:color w:val="000000"/>
          </w:rPr>
          <w:t xml:space="preserve">spiritalis</w:t>
        </w:r>
      </w:hyperlink>
      <w:r>
        <w:rPr>
          <w:b w:val="0"/>
          <w:i w:val="0"/>
        </w:rPr>
        <w:t>.</w:t>
      </w:r>
    </w:p>
    <w:p>
      <w:pPr>
        <w:widowControl/>
      </w:pPr>
      <w:r>
        <w:rPr>
          <w:b/>
          <w:i w:val="0"/>
        </w:rPr>
        <w:t>spiritali.</w:t>
      </w:r>
      <w:r>
        <w:rPr>
          <w:b w:val="0"/>
          <w:i w:val="0"/>
        </w:rPr>
        <w:t xml:space="preserve"> </w:t>
      </w:r>
      <w:hyperlink w:anchor="latin-record-1223">
        <w:r>
          <w:rPr>
            <w:color w:val="000000"/>
          </w:rPr>
          <w:t xml:space="preserve">spiritalis</w:t>
        </w:r>
      </w:hyperlink>
      <w:r>
        <w:rPr>
          <w:b w:val="0"/>
          <w:i w:val="0"/>
        </w:rPr>
        <w:t xml:space="preserve">; </w:t>
      </w:r>
      <w:hyperlink w:anchor="latin-record-1224">
        <w:r>
          <w:rPr>
            <w:color w:val="000000"/>
          </w:rPr>
          <w:t xml:space="preserve">spiritalis (optical)</w:t>
        </w:r>
      </w:hyperlink>
      <w:r>
        <w:rPr>
          <w:b w:val="0"/>
          <w:i w:val="0"/>
        </w:rPr>
        <w:t>.</w:t>
      </w:r>
    </w:p>
    <w:p>
      <w:pPr>
        <w:widowControl/>
      </w:pPr>
      <w:r>
        <w:rPr>
          <w:b/>
          <w:i w:val="0"/>
        </w:rPr>
        <w:t>Spiritalia.</w:t>
      </w:r>
      <w:r>
        <w:rPr>
          <w:b w:val="0"/>
          <w:i w:val="0"/>
        </w:rPr>
        <w:t xml:space="preserve"> </w:t>
      </w:r>
      <w:hyperlink w:anchor="latin-record-1223">
        <w:r>
          <w:rPr>
            <w:color w:val="000000"/>
          </w:rPr>
          <w:t xml:space="preserve">spiritalis</w:t>
        </w:r>
      </w:hyperlink>
      <w:r>
        <w:rPr>
          <w:b w:val="0"/>
          <w:i w:val="0"/>
        </w:rPr>
        <w:t>.</w:t>
      </w:r>
    </w:p>
    <w:p>
      <w:pPr>
        <w:widowControl/>
      </w:pPr>
      <w:r>
        <w:rPr>
          <w:b/>
          <w:i w:val="0"/>
        </w:rPr>
        <w:t>spiritalis.</w:t>
      </w:r>
      <w:r>
        <w:rPr>
          <w:b w:val="0"/>
          <w:i w:val="0"/>
        </w:rPr>
        <w:t xml:space="preserve"> </w:t>
      </w:r>
      <w:hyperlink w:anchor="latin-record-0764">
        <w:r>
          <w:rPr>
            <w:color w:val="000000"/>
          </w:rPr>
          <w:t xml:space="preserve">materia spiritalis</w:t>
        </w:r>
      </w:hyperlink>
      <w:r>
        <w:rPr>
          <w:b w:val="0"/>
          <w:i w:val="0"/>
        </w:rPr>
        <w:t xml:space="preserve">; </w:t>
      </w:r>
      <w:hyperlink w:anchor="latin-record-1223">
        <w:r>
          <w:rPr>
            <w:color w:val="000000"/>
          </w:rPr>
          <w:t xml:space="preserve">spiritalis</w:t>
        </w:r>
      </w:hyperlink>
      <w:r>
        <w:rPr>
          <w:b w:val="0"/>
          <w:i w:val="0"/>
        </w:rPr>
        <w:t xml:space="preserve">; </w:t>
      </w:r>
      <w:hyperlink w:anchor="latin-record-1224">
        <w:r>
          <w:rPr>
            <w:color w:val="000000"/>
          </w:rPr>
          <w:t xml:space="preserve">spiritalis (optical)</w:t>
        </w:r>
      </w:hyperlink>
      <w:r>
        <w:rPr>
          <w:b w:val="0"/>
          <w:i w:val="0"/>
        </w:rPr>
        <w:t>.</w:t>
      </w:r>
    </w:p>
    <w:p>
      <w:pPr>
        <w:widowControl/>
      </w:pPr>
      <w:r>
        <w:rPr>
          <w:b/>
          <w:i w:val="0"/>
        </w:rPr>
        <w:t>Spiritalis.</w:t>
      </w:r>
      <w:r>
        <w:rPr>
          <w:b w:val="0"/>
          <w:i w:val="0"/>
        </w:rPr>
        <w:t xml:space="preserve"> </w:t>
      </w:r>
      <w:hyperlink w:anchor="latin-record-1223">
        <w:r>
          <w:rPr>
            <w:color w:val="000000"/>
          </w:rPr>
          <w:t xml:space="preserve">spiritalis</w:t>
        </w:r>
      </w:hyperlink>
      <w:r>
        <w:rPr>
          <w:b w:val="0"/>
          <w:i w:val="0"/>
        </w:rPr>
        <w:t>.</w:t>
      </w:r>
    </w:p>
    <w:p>
      <w:pPr>
        <w:widowControl/>
      </w:pPr>
      <w:r>
        <w:rPr>
          <w:b/>
          <w:i w:val="0"/>
        </w:rPr>
        <w:t>spiritalium.</w:t>
      </w:r>
      <w:r>
        <w:rPr>
          <w:b w:val="0"/>
          <w:i w:val="0"/>
        </w:rPr>
        <w:t xml:space="preserve"> </w:t>
      </w:r>
      <w:hyperlink w:anchor="latin-record-1223">
        <w:r>
          <w:rPr>
            <w:color w:val="000000"/>
          </w:rPr>
          <w:t xml:space="preserve">spiritalis</w:t>
        </w:r>
      </w:hyperlink>
      <w:r>
        <w:rPr>
          <w:b w:val="0"/>
          <w:i w:val="0"/>
        </w:rPr>
        <w:t>.</w:t>
      </w:r>
    </w:p>
    <w:p>
      <w:pPr>
        <w:widowControl/>
      </w:pPr>
      <w:r>
        <w:rPr>
          <w:b/>
          <w:i w:val="0"/>
        </w:rPr>
        <w:t>spiritibus.</w:t>
      </w:r>
      <w:r>
        <w:rPr>
          <w:b w:val="0"/>
          <w:i w:val="0"/>
        </w:rPr>
        <w:t xml:space="preserve"> </w:t>
      </w:r>
      <w:hyperlink w:anchor="latin-record-1225">
        <w:r>
          <w:rPr>
            <w:color w:val="000000"/>
          </w:rPr>
          <w:t xml:space="preserve">spiritus</w:t>
        </w:r>
      </w:hyperlink>
      <w:r>
        <w:rPr>
          <w:b w:val="0"/>
          <w:i w:val="0"/>
        </w:rPr>
        <w:t xml:space="preserve">; </w:t>
      </w:r>
      <w:hyperlink w:anchor="latin-record-1226">
        <w:r>
          <w:rPr>
            <w:color w:val="000000"/>
          </w:rPr>
          <w:t xml:space="preserve">spiritus (incorporeal)</w:t>
        </w:r>
      </w:hyperlink>
      <w:r>
        <w:rPr>
          <w:b w:val="0"/>
          <w:i w:val="0"/>
        </w:rPr>
        <w:t>.</w:t>
      </w:r>
    </w:p>
    <w:p>
      <w:pPr>
        <w:widowControl/>
      </w:pPr>
      <w:r>
        <w:rPr>
          <w:b/>
          <w:i w:val="0"/>
        </w:rPr>
        <w:t>spiritum.</w:t>
      </w:r>
      <w:r>
        <w:rPr>
          <w:b w:val="0"/>
          <w:i w:val="0"/>
        </w:rPr>
        <w:t xml:space="preserve"> </w:t>
      </w:r>
      <w:hyperlink w:anchor="latin-record-0733">
        <w:r>
          <w:rPr>
            <w:color w:val="000000"/>
          </w:rPr>
          <w:t xml:space="preserve">lumen; spiritus</w:t>
        </w:r>
      </w:hyperlink>
      <w:r>
        <w:rPr>
          <w:b w:val="0"/>
          <w:i w:val="0"/>
        </w:rPr>
        <w:t xml:space="preserve">; </w:t>
      </w:r>
      <w:hyperlink w:anchor="latin-record-1226">
        <w:r>
          <w:rPr>
            <w:color w:val="000000"/>
          </w:rPr>
          <w:t xml:space="preserve">spiritus (incorporeal)</w:t>
        </w:r>
      </w:hyperlink>
      <w:r>
        <w:rPr>
          <w:b w:val="0"/>
          <w:i w:val="0"/>
        </w:rPr>
        <w:t xml:space="preserve">; </w:t>
      </w:r>
      <w:hyperlink w:anchor="latin-record-1227">
        <w:r>
          <w:rPr>
            <w:color w:val="000000"/>
          </w:rPr>
          <w:t xml:space="preserve">spiritus (vital mediator)</w:t>
        </w:r>
      </w:hyperlink>
      <w:r>
        <w:rPr>
          <w:b w:val="0"/>
          <w:i w:val="0"/>
        </w:rPr>
        <w:t xml:space="preserve">; </w:t>
      </w:r>
      <w:hyperlink w:anchor="latin-record-1228">
        <w:r>
          <w:rPr>
            <w:color w:val="000000"/>
          </w:rPr>
          <w:t xml:space="preserve">spiritus / corpusculum</w:t>
        </w:r>
      </w:hyperlink>
      <w:r>
        <w:rPr>
          <w:b w:val="0"/>
          <w:i w:val="0"/>
        </w:rPr>
        <w:t>.</w:t>
      </w:r>
    </w:p>
    <w:p>
      <w:pPr>
        <w:widowControl/>
      </w:pPr>
      <w:r>
        <w:rPr>
          <w:b/>
          <w:i w:val="0"/>
        </w:rPr>
        <w:t>spiritus.</w:t>
      </w:r>
      <w:r>
        <w:rPr>
          <w:b w:val="0"/>
          <w:i w:val="0"/>
        </w:rPr>
        <w:t xml:space="preserve"> </w:t>
      </w:r>
      <w:hyperlink w:anchor="latin-record-0573">
        <w:r>
          <w:rPr>
            <w:color w:val="000000"/>
          </w:rPr>
          <w:t xml:space="preserve">humor; membrum; spiritus</w:t>
        </w:r>
      </w:hyperlink>
      <w:r>
        <w:rPr>
          <w:b w:val="0"/>
          <w:i w:val="0"/>
        </w:rPr>
        <w:t xml:space="preserve">; </w:t>
      </w:r>
      <w:hyperlink w:anchor="latin-record-1228">
        <w:r>
          <w:rPr>
            <w:color w:val="000000"/>
          </w:rPr>
          <w:t xml:space="preserve">spiritus / corpusculum</w:t>
        </w:r>
      </w:hyperlink>
      <w:r>
        <w:rPr>
          <w:b w:val="0"/>
          <w:i w:val="0"/>
        </w:rPr>
        <w:t>.</w:t>
      </w:r>
    </w:p>
    <w:p>
      <w:pPr>
        <w:widowControl/>
      </w:pPr>
      <w:r>
        <w:rPr>
          <w:b/>
          <w:i w:val="0"/>
        </w:rPr>
        <w:t>Spiritus.</w:t>
      </w:r>
      <w:r>
        <w:rPr>
          <w:b w:val="0"/>
          <w:i w:val="0"/>
        </w:rPr>
        <w:t xml:space="preserve"> </w:t>
      </w:r>
      <w:hyperlink w:anchor="latin-record-1228">
        <w:r>
          <w:rPr>
            <w:color w:val="000000"/>
          </w:rPr>
          <w:t xml:space="preserve">spiritus / corpusculum</w:t>
        </w:r>
      </w:hyperlink>
      <w:r>
        <w:rPr>
          <w:b w:val="0"/>
          <w:i w:val="0"/>
        </w:rPr>
        <w:t>.</w:t>
      </w:r>
    </w:p>
    <w:p>
      <w:pPr>
        <w:widowControl/>
      </w:pPr>
      <w:r>
        <w:rPr>
          <w:b/>
          <w:i w:val="0"/>
        </w:rPr>
        <w:t>spiritus, humores membraque temperat.</w:t>
      </w:r>
      <w:r>
        <w:rPr>
          <w:b w:val="0"/>
          <w:i w:val="0"/>
        </w:rPr>
        <w:t xml:space="preserve"> </w:t>
      </w:r>
      <w:hyperlink w:anchor="latin-record-1277">
        <w:r>
          <w:rPr>
            <w:color w:val="000000"/>
          </w:rPr>
          <w:t xml:space="preserve">temperare spiritus et humores</w:t>
        </w:r>
      </w:hyperlink>
      <w:r>
        <w:rPr>
          <w:b w:val="0"/>
          <w:i w:val="0"/>
        </w:rPr>
        <w:t>.</w:t>
      </w:r>
    </w:p>
    <w:p>
      <w:pPr>
        <w:widowControl/>
      </w:pPr>
      <w:r>
        <w:rPr>
          <w:b/>
          <w:i w:val="0"/>
        </w:rPr>
        <w:t>spirituum.</w:t>
      </w:r>
      <w:r>
        <w:rPr>
          <w:b w:val="0"/>
          <w:i w:val="0"/>
        </w:rPr>
        <w:t xml:space="preserve"> </w:t>
      </w:r>
      <w:hyperlink w:anchor="latin-record-0573">
        <w:r>
          <w:rPr>
            <w:color w:val="000000"/>
          </w:rPr>
          <w:t xml:space="preserve">humor; membrum; spiritus</w:t>
        </w:r>
      </w:hyperlink>
      <w:r>
        <w:rPr>
          <w:b w:val="0"/>
          <w:i w:val="0"/>
        </w:rPr>
        <w:t>.</w:t>
      </w:r>
    </w:p>
    <w:p>
      <w:pPr>
        <w:widowControl/>
      </w:pPr>
      <w:r>
        <w:rPr>
          <w:b/>
          <w:i w:val="0"/>
        </w:rPr>
        <w:t>splendor.</w:t>
      </w:r>
      <w:r>
        <w:rPr>
          <w:b w:val="0"/>
          <w:i w:val="0"/>
        </w:rPr>
        <w:t xml:space="preserve"> </w:t>
      </w:r>
      <w:hyperlink w:anchor="latin-record-0531">
        <w:r>
          <w:rPr>
            <w:color w:val="000000"/>
          </w:rPr>
          <w:t xml:space="preserve">fulgor; splendor</w:t>
        </w:r>
      </w:hyperlink>
      <w:r>
        <w:rPr>
          <w:b w:val="0"/>
          <w:i w:val="0"/>
        </w:rPr>
        <w:t xml:space="preserve">; </w:t>
      </w:r>
      <w:hyperlink w:anchor="latin-record-1231">
        <w:r>
          <w:rPr>
            <w:color w:val="000000"/>
          </w:rPr>
          <w:t xml:space="preserve">splendor / reflexio</w:t>
        </w:r>
      </w:hyperlink>
      <w:r>
        <w:rPr>
          <w:b w:val="0"/>
          <w:i w:val="0"/>
        </w:rPr>
        <w:t>.</w:t>
      </w:r>
    </w:p>
    <w:p>
      <w:pPr>
        <w:widowControl/>
      </w:pPr>
      <w:r>
        <w:rPr>
          <w:b/>
          <w:i w:val="0"/>
        </w:rPr>
        <w:t>splendore.</w:t>
      </w:r>
      <w:r>
        <w:rPr>
          <w:b w:val="0"/>
          <w:i w:val="0"/>
        </w:rPr>
        <w:t xml:space="preserve"> </w:t>
      </w:r>
      <w:hyperlink w:anchor="latin-record-0531">
        <w:r>
          <w:rPr>
            <w:color w:val="000000"/>
          </w:rPr>
          <w:t xml:space="preserve">fulgor; splendor</w:t>
        </w:r>
      </w:hyperlink>
      <w:r>
        <w:rPr>
          <w:b w:val="0"/>
          <w:i w:val="0"/>
        </w:rPr>
        <w:t>.</w:t>
      </w:r>
    </w:p>
    <w:p>
      <w:pPr>
        <w:widowControl/>
      </w:pPr>
      <w:r>
        <w:rPr>
          <w:b/>
          <w:i w:val="0"/>
        </w:rPr>
        <w:t>splendores.</w:t>
      </w:r>
      <w:r>
        <w:rPr>
          <w:b w:val="0"/>
          <w:i w:val="0"/>
        </w:rPr>
        <w:t xml:space="preserve"> </w:t>
      </w:r>
      <w:hyperlink w:anchor="latin-record-1230">
        <w:r>
          <w:rPr>
            <w:color w:val="000000"/>
          </w:rPr>
          <w:t xml:space="preserve">splendor / lumen / lux</w:t>
        </w:r>
      </w:hyperlink>
      <w:r>
        <w:rPr>
          <w:b w:val="0"/>
          <w:i w:val="0"/>
        </w:rPr>
        <w:t>.</w:t>
      </w:r>
    </w:p>
    <w:p>
      <w:pPr>
        <w:widowControl/>
      </w:pPr>
      <w:r>
        <w:rPr>
          <w:b/>
          <w:i w:val="0"/>
        </w:rPr>
        <w:t>spontaneus.</w:t>
      </w:r>
      <w:r>
        <w:rPr>
          <w:b w:val="0"/>
          <w:i w:val="0"/>
        </w:rPr>
        <w:t xml:space="preserve"> </w:t>
      </w:r>
      <w:hyperlink w:anchor="latin-record-1232">
        <w:r>
          <w:rPr>
            <w:color w:val="000000"/>
          </w:rPr>
          <w:t xml:space="preserve">spontaneus</w:t>
        </w:r>
      </w:hyperlink>
      <w:r>
        <w:rPr>
          <w:b w:val="0"/>
          <w:i w:val="0"/>
        </w:rPr>
        <w:t>.</w:t>
      </w:r>
    </w:p>
    <w:p>
      <w:pPr>
        <w:widowControl/>
      </w:pPr>
      <w:r>
        <w:rPr>
          <w:b/>
          <w:i w:val="0"/>
        </w:rPr>
        <w:t>spontaneus motus.</w:t>
      </w:r>
      <w:r>
        <w:rPr>
          <w:b w:val="0"/>
          <w:i w:val="0"/>
        </w:rPr>
        <w:t xml:space="preserve"> </w:t>
      </w:r>
      <w:hyperlink w:anchor="latin-record-1233">
        <w:r>
          <w:rPr>
            <w:color w:val="000000"/>
          </w:rPr>
          <w:t xml:space="preserve">spontaneus; gradi</w:t>
        </w:r>
      </w:hyperlink>
      <w:r>
        <w:rPr>
          <w:b w:val="0"/>
          <w:i w:val="0"/>
        </w:rPr>
        <w:t>.</w:t>
      </w:r>
    </w:p>
    <w:p>
      <w:pPr>
        <w:widowControl/>
      </w:pPr>
      <w:r>
        <w:rPr>
          <w:b/>
          <w:i w:val="0"/>
        </w:rPr>
        <w:t>sponte.</w:t>
      </w:r>
      <w:r>
        <w:rPr>
          <w:b w:val="0"/>
          <w:i w:val="0"/>
        </w:rPr>
        <w:t xml:space="preserve"> </w:t>
      </w:r>
      <w:hyperlink w:anchor="latin-record-1234">
        <w:r>
          <w:rPr>
            <w:color w:val="000000"/>
          </w:rPr>
          <w:t xml:space="preserve">sponte</w:t>
        </w:r>
      </w:hyperlink>
      <w:r>
        <w:rPr>
          <w:b w:val="0"/>
          <w:i w:val="0"/>
        </w:rPr>
        <w:t>.</w:t>
      </w:r>
    </w:p>
    <w:p>
      <w:pPr>
        <w:widowControl/>
      </w:pPr>
      <w:r>
        <w:rPr>
          <w:b/>
          <w:i w:val="0"/>
        </w:rPr>
        <w:t>stabilem.</w:t>
      </w:r>
      <w:r>
        <w:rPr>
          <w:b w:val="0"/>
          <w:i w:val="0"/>
        </w:rPr>
        <w:t xml:space="preserve"> </w:t>
      </w:r>
      <w:hyperlink w:anchor="latin-record-0597">
        <w:r>
          <w:rPr>
            <w:color w:val="000000"/>
          </w:rPr>
          <w:t xml:space="preserve">immobilis / stabilis</w:t>
        </w:r>
      </w:hyperlink>
      <w:r>
        <w:rPr>
          <w:b w:val="0"/>
          <w:i w:val="0"/>
        </w:rPr>
        <w:t>.</w:t>
      </w:r>
    </w:p>
    <w:p>
      <w:pPr>
        <w:widowControl/>
      </w:pPr>
      <w:r>
        <w:rPr>
          <w:b/>
          <w:i w:val="0"/>
        </w:rPr>
        <w:t>stabili.</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stabilia.</w:t>
      </w:r>
      <w:r>
        <w:rPr>
          <w:b w:val="0"/>
          <w:i w:val="0"/>
        </w:rPr>
        <w:t xml:space="preserve"> </w:t>
      </w:r>
      <w:hyperlink w:anchor="latin-record-0597">
        <w:r>
          <w:rPr>
            <w:color w:val="000000"/>
          </w:rPr>
          <w:t xml:space="preserve">immobilis / stabilis</w:t>
        </w:r>
      </w:hyperlink>
      <w:r>
        <w:rPr>
          <w:b w:val="0"/>
          <w:i w:val="0"/>
        </w:rPr>
        <w:t xml:space="preserve">; </w:t>
      </w:r>
      <w:hyperlink w:anchor="latin-record-1032">
        <w:r>
          <w:rPr>
            <w:color w:val="000000"/>
          </w:rPr>
          <w:t xml:space="preserve">purus / unus / stabilis (intellectual consideration)</w:t>
        </w:r>
      </w:hyperlink>
      <w:r>
        <w:rPr>
          <w:b w:val="0"/>
          <w:i w:val="0"/>
        </w:rPr>
        <w:t>.</w:t>
      </w:r>
    </w:p>
    <w:p>
      <w:pPr>
        <w:widowControl/>
      </w:pPr>
      <w:r>
        <w:rPr>
          <w:b/>
          <w:i w:val="0"/>
        </w:rPr>
        <w:t>stabiliat.</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stabilis.</w:t>
      </w:r>
      <w:r>
        <w:rPr>
          <w:b w:val="0"/>
          <w:i w:val="0"/>
        </w:rPr>
        <w:t xml:space="preserve"> </w:t>
      </w:r>
      <w:hyperlink w:anchor="latin-record-0301">
        <w:r>
          <w:rPr>
            <w:color w:val="000000"/>
          </w:rPr>
          <w:t xml:space="preserve">consensio stabilis</w:t>
        </w:r>
      </w:hyperlink>
      <w:r>
        <w:rPr>
          <w:b w:val="0"/>
          <w:i w:val="0"/>
        </w:rPr>
        <w:t xml:space="preserve">; </w:t>
      </w:r>
      <w:hyperlink w:anchor="latin-record-0597">
        <w:r>
          <w:rPr>
            <w:color w:val="000000"/>
          </w:rPr>
          <w:t xml:space="preserve">immobilis / stabilis</w:t>
        </w:r>
      </w:hyperlink>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stabilissimo.</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stabilitate.</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stabunt.</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stando.</w:t>
      </w:r>
      <w:r>
        <w:rPr>
          <w:b w:val="0"/>
          <w:i w:val="0"/>
        </w:rPr>
        <w:t xml:space="preserve"> </w:t>
      </w:r>
      <w:hyperlink w:anchor="latin-record-0807">
        <w:r>
          <w:rPr>
            <w:color w:val="000000"/>
          </w:rPr>
          <w:t xml:space="preserve">motus / alteratio / quies</w:t>
        </w:r>
      </w:hyperlink>
      <w:r>
        <w:rPr>
          <w:b w:val="0"/>
          <w:i w:val="0"/>
        </w:rPr>
        <w:t>.</w:t>
      </w:r>
    </w:p>
    <w:p>
      <w:pPr>
        <w:widowControl/>
      </w:pPr>
      <w:r>
        <w:rPr>
          <w:b/>
          <w:i w:val="0"/>
        </w:rPr>
        <w:t>stante.</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stare.</w:t>
      </w:r>
      <w:r>
        <w:rPr>
          <w:b w:val="0"/>
          <w:i w:val="0"/>
        </w:rPr>
        <w:t xml:space="preserve"> </w:t>
      </w:r>
      <w:hyperlink w:anchor="latin-record-0931">
        <w:r>
          <w:rPr>
            <w:color w:val="000000"/>
          </w:rPr>
          <w:t xml:space="preserve">permanere; stabilire; stabilis</w:t>
        </w:r>
      </w:hyperlink>
      <w:r>
        <w:rPr>
          <w:b w:val="0"/>
          <w:i w:val="0"/>
        </w:rPr>
        <w:t>.</w:t>
      </w:r>
    </w:p>
    <w:p>
      <w:pPr>
        <w:widowControl/>
      </w:pPr>
      <w:r>
        <w:rPr>
          <w:b/>
          <w:i w:val="0"/>
        </w:rPr>
        <w:t>statim.</w:t>
      </w:r>
      <w:r>
        <w:rPr>
          <w:b w:val="0"/>
          <w:i w:val="0"/>
        </w:rPr>
        <w:t xml:space="preserve"> </w:t>
      </w:r>
      <w:hyperlink w:anchor="latin-record-1235">
        <w:r>
          <w:rPr>
            <w:color w:val="000000"/>
          </w:rPr>
          <w:t xml:space="preserve">statim / e vestigio / absque mora</w:t>
        </w:r>
      </w:hyperlink>
      <w:r>
        <w:rPr>
          <w:b w:val="0"/>
          <w:i w:val="0"/>
        </w:rPr>
        <w:t xml:space="preserve">; </w:t>
      </w:r>
      <w:hyperlink w:anchor="latin-record-1236">
        <w:r>
          <w:rPr>
            <w:color w:val="000000"/>
          </w:rPr>
          <w:t xml:space="preserve">statim; subito; paulatim</w:t>
        </w:r>
      </w:hyperlink>
      <w:r>
        <w:rPr>
          <w:b w:val="0"/>
          <w:i w:val="0"/>
        </w:rPr>
        <w:t>.</w:t>
      </w:r>
    </w:p>
    <w:p>
      <w:pPr>
        <w:widowControl/>
      </w:pPr>
      <w:r>
        <w:rPr>
          <w:b/>
          <w:i w:val="0"/>
        </w:rPr>
        <w:t>statu.</w:t>
      </w:r>
      <w:r>
        <w:rPr>
          <w:b w:val="0"/>
          <w:i w:val="0"/>
        </w:rPr>
        <w:t xml:space="preserve"> </w:t>
      </w:r>
      <w:hyperlink w:anchor="latin-record-0807">
        <w:r>
          <w:rPr>
            <w:color w:val="000000"/>
          </w:rPr>
          <w:t xml:space="preserve">motus / alteratio / quies</w:t>
        </w:r>
      </w:hyperlink>
      <w:r>
        <w:rPr>
          <w:b w:val="0"/>
          <w:i w:val="0"/>
        </w:rPr>
        <w:t xml:space="preserve">; </w:t>
      </w:r>
      <w:hyperlink w:anchor="latin-record-0830">
        <w:r>
          <w:rPr>
            <w:color w:val="000000"/>
          </w:rPr>
          <w:t xml:space="preserve">naturalis habitus / dissipare</w:t>
        </w:r>
      </w:hyperlink>
      <w:r>
        <w:rPr>
          <w:b w:val="0"/>
          <w:i w:val="0"/>
        </w:rPr>
        <w:t xml:space="preserve">; </w:t>
      </w:r>
      <w:hyperlink w:anchor="latin-record-1237">
        <w:r>
          <w:rPr>
            <w:color w:val="000000"/>
          </w:rPr>
          <w:t xml:space="preserve">status</w:t>
        </w:r>
      </w:hyperlink>
      <w:r>
        <w:rPr>
          <w:b w:val="0"/>
          <w:i w:val="0"/>
        </w:rPr>
        <w:t>.</w:t>
      </w:r>
    </w:p>
    <w:p>
      <w:pPr>
        <w:widowControl/>
      </w:pPr>
      <w:r>
        <w:rPr>
          <w:b/>
          <w:i w:val="0"/>
        </w:rPr>
        <w:t>statuam.</w:t>
      </w:r>
      <w:r>
        <w:rPr>
          <w:b w:val="0"/>
          <w:i w:val="0"/>
        </w:rPr>
        <w:t xml:space="preserve"> </w:t>
      </w:r>
      <w:hyperlink w:anchor="latin-record-1140">
        <w:r>
          <w:rPr>
            <w:color w:val="000000"/>
          </w:rPr>
          <w:t xml:space="preserve">sculptor / statua / lapis</w:t>
        </w:r>
      </w:hyperlink>
      <w:r>
        <w:rPr>
          <w:b w:val="0"/>
          <w:i w:val="0"/>
        </w:rPr>
        <w:t>.</w:t>
      </w:r>
    </w:p>
    <w:p>
      <w:pPr>
        <w:widowControl/>
      </w:pPr>
      <w:r>
        <w:rPr>
          <w:b/>
          <w:i w:val="0"/>
        </w:rPr>
        <w:t>statueret.</w:t>
      </w:r>
      <w:r>
        <w:rPr>
          <w:b w:val="0"/>
          <w:i w:val="0"/>
        </w:rPr>
        <w:t xml:space="preserve"> </w:t>
      </w:r>
      <w:hyperlink w:anchor="latin-record-1096">
        <w:r>
          <w:rPr>
            <w:color w:val="000000"/>
          </w:rPr>
          <w:t xml:space="preserve">regula / lex</w:t>
        </w:r>
      </w:hyperlink>
      <w:r>
        <w:rPr>
          <w:b w:val="0"/>
          <w:i w:val="0"/>
        </w:rPr>
        <w:t>.</w:t>
      </w:r>
    </w:p>
    <w:p>
      <w:pPr>
        <w:widowControl/>
      </w:pPr>
      <w:r>
        <w:rPr>
          <w:b/>
          <w:i w:val="0"/>
        </w:rPr>
        <w:t>statum.</w:t>
      </w:r>
      <w:r>
        <w:rPr>
          <w:b w:val="0"/>
          <w:i w:val="0"/>
        </w:rPr>
        <w:t xml:space="preserve"> </w:t>
      </w:r>
      <w:hyperlink w:anchor="latin-record-0807">
        <w:r>
          <w:rPr>
            <w:color w:val="000000"/>
          </w:rPr>
          <w:t xml:space="preserve">motus / alteratio / quies</w:t>
        </w:r>
      </w:hyperlink>
      <w:r>
        <w:rPr>
          <w:b w:val="0"/>
          <w:i w:val="0"/>
        </w:rPr>
        <w:t xml:space="preserve">; </w:t>
      </w:r>
      <w:hyperlink w:anchor="latin-record-1237">
        <w:r>
          <w:rPr>
            <w:color w:val="000000"/>
          </w:rPr>
          <w:t xml:space="preserve">status</w:t>
        </w:r>
      </w:hyperlink>
      <w:r>
        <w:rPr>
          <w:b w:val="0"/>
          <w:i w:val="0"/>
        </w:rPr>
        <w:t>.</w:t>
      </w:r>
    </w:p>
    <w:p>
      <w:pPr>
        <w:widowControl/>
      </w:pPr>
      <w:r>
        <w:rPr>
          <w:b/>
          <w:i w:val="0"/>
        </w:rPr>
        <w:t>status.</w:t>
      </w:r>
      <w:r>
        <w:rPr>
          <w:b w:val="0"/>
          <w:i w:val="0"/>
        </w:rPr>
        <w:t xml:space="preserve"> </w:t>
      </w:r>
      <w:hyperlink w:anchor="latin-record-0447">
        <w:r>
          <w:rPr>
            <w:color w:val="000000"/>
          </w:rPr>
          <w:t xml:space="preserve">essentia–vita–mens</w:t>
        </w:r>
      </w:hyperlink>
      <w:r>
        <w:rPr>
          <w:b w:val="0"/>
          <w:i w:val="0"/>
        </w:rPr>
        <w:t>.</w:t>
      </w:r>
    </w:p>
    <w:p>
      <w:pPr>
        <w:widowControl/>
      </w:pPr>
      <w:r>
        <w:rPr>
          <w:b/>
          <w:i w:val="0"/>
        </w:rPr>
        <w:t>Strato.</w:t>
      </w:r>
      <w:r>
        <w:rPr>
          <w:b w:val="0"/>
          <w:i w:val="0"/>
        </w:rPr>
        <w:t xml:space="preserve"> </w:t>
      </w:r>
      <w:hyperlink w:anchor="latin-record-1238">
        <w:r>
          <w:rPr>
            <w:color w:val="000000"/>
          </w:rPr>
          <w:t xml:space="preserve">Strato / Epicureus</w:t>
        </w:r>
      </w:hyperlink>
      <w:r>
        <w:rPr>
          <w:b w:val="0"/>
          <w:i w:val="0"/>
        </w:rPr>
        <w:t>.</w:t>
      </w:r>
    </w:p>
    <w:p>
      <w:pPr>
        <w:widowControl/>
      </w:pPr>
      <w:r>
        <w:rPr>
          <w:b/>
          <w:i w:val="0"/>
        </w:rPr>
        <w:t>sub lauro.</w:t>
      </w:r>
      <w:r>
        <w:rPr>
          <w:b w:val="0"/>
          <w:i w:val="0"/>
        </w:rPr>
        <w:t xml:space="preserve"> </w:t>
      </w:r>
      <w:hyperlink w:anchor="latin-record-0697">
        <w:r>
          <w:rPr>
            <w:color w:val="000000"/>
          </w:rPr>
          <w:t xml:space="preserve">Kalendae; laurus</w:t>
        </w:r>
      </w:hyperlink>
      <w:r>
        <w:rPr>
          <w:b w:val="0"/>
          <w:i w:val="0"/>
        </w:rPr>
        <w:t>.</w:t>
      </w:r>
    </w:p>
    <w:p>
      <w:pPr>
        <w:widowControl/>
      </w:pPr>
      <w:r>
        <w:rPr>
          <w:b/>
          <w:i w:val="0"/>
        </w:rPr>
        <w:t>subdita deo.</w:t>
      </w:r>
      <w:r>
        <w:rPr>
          <w:b w:val="0"/>
          <w:i w:val="0"/>
        </w:rPr>
        <w:t xml:space="preserve"> </w:t>
      </w:r>
      <w:hyperlink w:anchor="latin-record-0025">
        <w:r>
          <w:rPr>
            <w:color w:val="000000"/>
          </w:rPr>
          <w:t xml:space="preserve">actus infinitus / potentia infinita</w:t>
        </w:r>
      </w:hyperlink>
      <w:r>
        <w:rPr>
          <w:b w:val="0"/>
          <w:i w:val="0"/>
        </w:rPr>
        <w:t>.</w:t>
      </w:r>
    </w:p>
    <w:p>
      <w:pPr>
        <w:widowControl/>
      </w:pPr>
      <w:r>
        <w:rPr>
          <w:b/>
          <w:i w:val="0"/>
        </w:rPr>
        <w:t>subducere.</w:t>
      </w:r>
      <w:r>
        <w:rPr>
          <w:b w:val="0"/>
          <w:i w:val="0"/>
        </w:rPr>
        <w:t xml:space="preserve"> </w:t>
      </w:r>
      <w:hyperlink w:anchor="latin-record-0155">
        <w:r>
          <w:rPr>
            <w:color w:val="000000"/>
          </w:rPr>
          <w:t xml:space="preserve">avertere / subducere</w:t>
        </w:r>
      </w:hyperlink>
      <w:r>
        <w:rPr>
          <w:b w:val="0"/>
          <w:i w:val="0"/>
        </w:rPr>
        <w:t>.</w:t>
      </w:r>
    </w:p>
    <w:p>
      <w:pPr>
        <w:widowControl/>
      </w:pPr>
      <w:r>
        <w:rPr>
          <w:b/>
          <w:i w:val="0"/>
        </w:rPr>
        <w:t>subiecta.</w:t>
      </w:r>
      <w:r>
        <w:rPr>
          <w:b w:val="0"/>
          <w:i w:val="0"/>
        </w:rPr>
        <w:t xml:space="preserve"> </w:t>
      </w:r>
      <w:hyperlink w:anchor="latin-record-1239">
        <w:r>
          <w:rPr>
            <w:color w:val="000000"/>
          </w:rPr>
          <w:t xml:space="preserve">subiectum</w:t>
        </w:r>
      </w:hyperlink>
      <w:r>
        <w:rPr>
          <w:b w:val="0"/>
          <w:i w:val="0"/>
        </w:rPr>
        <w:t>.</w:t>
      </w:r>
    </w:p>
    <w:p>
      <w:pPr>
        <w:widowControl/>
      </w:pPr>
      <w:r>
        <w:rPr>
          <w:b/>
          <w:i w:val="0"/>
        </w:rPr>
        <w:t>subiectam.</w:t>
      </w:r>
      <w:r>
        <w:rPr>
          <w:b w:val="0"/>
          <w:i w:val="0"/>
        </w:rPr>
        <w:t xml:space="preserve"> </w:t>
      </w:r>
      <w:hyperlink w:anchor="latin-record-1239">
        <w:r>
          <w:rPr>
            <w:color w:val="000000"/>
          </w:rPr>
          <w:t xml:space="preserve">subiectum</w:t>
        </w:r>
      </w:hyperlink>
      <w:r>
        <w:rPr>
          <w:b w:val="0"/>
          <w:i w:val="0"/>
        </w:rPr>
        <w:t>.</w:t>
      </w:r>
    </w:p>
    <w:p>
      <w:pPr>
        <w:widowControl/>
      </w:pPr>
      <w:r>
        <w:rPr>
          <w:b/>
          <w:i w:val="0"/>
        </w:rPr>
        <w:t>subiecti.</w:t>
      </w:r>
      <w:r>
        <w:rPr>
          <w:b w:val="0"/>
          <w:i w:val="0"/>
        </w:rPr>
        <w:t xml:space="preserve"> </w:t>
      </w:r>
      <w:hyperlink w:anchor="latin-record-1239">
        <w:r>
          <w:rPr>
            <w:color w:val="000000"/>
          </w:rPr>
          <w:t xml:space="preserve">subiectum</w:t>
        </w:r>
      </w:hyperlink>
      <w:r>
        <w:rPr>
          <w:b w:val="0"/>
          <w:i w:val="0"/>
        </w:rPr>
        <w:t>.</w:t>
      </w:r>
    </w:p>
    <w:p>
      <w:pPr>
        <w:widowControl/>
      </w:pPr>
      <w:r>
        <w:rPr>
          <w:b/>
          <w:i w:val="0"/>
        </w:rPr>
        <w:t>subiectis formatis.</w:t>
      </w:r>
      <w:r>
        <w:rPr>
          <w:b w:val="0"/>
          <w:i w:val="0"/>
        </w:rPr>
        <w:t xml:space="preserve"> </w:t>
      </w:r>
      <w:hyperlink w:anchor="latin-record-0506">
        <w:r>
          <w:rPr>
            <w:color w:val="000000"/>
          </w:rPr>
          <w:t xml:space="preserve">forma segregata; subiectum</w:t>
        </w:r>
      </w:hyperlink>
      <w:r>
        <w:rPr>
          <w:b w:val="0"/>
          <w:i w:val="0"/>
        </w:rPr>
        <w:t>.</w:t>
      </w:r>
    </w:p>
    <w:p>
      <w:pPr>
        <w:widowControl/>
      </w:pPr>
      <w:r>
        <w:rPr>
          <w:b/>
          <w:i w:val="0"/>
        </w:rPr>
        <w:t>subiecto.</w:t>
      </w:r>
      <w:r>
        <w:rPr>
          <w:b w:val="0"/>
          <w:i w:val="0"/>
        </w:rPr>
        <w:t xml:space="preserve"> </w:t>
      </w:r>
      <w:hyperlink w:anchor="latin-record-1239">
        <w:r>
          <w:rPr>
            <w:color w:val="000000"/>
          </w:rPr>
          <w:t xml:space="preserve">subiectum</w:t>
        </w:r>
      </w:hyperlink>
      <w:r>
        <w:rPr>
          <w:b w:val="0"/>
          <w:i w:val="0"/>
        </w:rPr>
        <w:t xml:space="preserve">; </w:t>
      </w:r>
      <w:hyperlink w:anchor="latin-record-1240">
        <w:r>
          <w:rPr>
            <w:color w:val="000000"/>
          </w:rPr>
          <w:t xml:space="preserve">subiectum / receptaculum</w:t>
        </w:r>
      </w:hyperlink>
      <w:r>
        <w:rPr>
          <w:b w:val="0"/>
          <w:i w:val="0"/>
        </w:rPr>
        <w:t xml:space="preserve">; </w:t>
      </w:r>
      <w:hyperlink w:anchor="latin-record-1241">
        <w:r>
          <w:rPr>
            <w:color w:val="000000"/>
          </w:rPr>
          <w:t xml:space="preserve">subiectum; locus</w:t>
        </w:r>
      </w:hyperlink>
      <w:r>
        <w:rPr>
          <w:b w:val="0"/>
          <w:i w:val="0"/>
        </w:rPr>
        <w:t>.</w:t>
      </w:r>
    </w:p>
    <w:p>
      <w:pPr>
        <w:widowControl/>
      </w:pPr>
      <w:r>
        <w:rPr>
          <w:b/>
          <w:i w:val="0"/>
        </w:rPr>
        <w:t>subiectum.</w:t>
      </w:r>
      <w:r>
        <w:rPr>
          <w:b w:val="0"/>
          <w:i w:val="0"/>
        </w:rPr>
        <w:t xml:space="preserve"> </w:t>
      </w:r>
      <w:hyperlink w:anchor="latin-record-0500">
        <w:r>
          <w:rPr>
            <w:color w:val="000000"/>
          </w:rPr>
          <w:t xml:space="preserve">fons / subiectum virtutis</w:t>
        </w:r>
      </w:hyperlink>
      <w:r>
        <w:rPr>
          <w:b w:val="0"/>
          <w:i w:val="0"/>
        </w:rPr>
        <w:t xml:space="preserve">; </w:t>
      </w:r>
      <w:hyperlink w:anchor="latin-record-1239">
        <w:r>
          <w:rPr>
            <w:color w:val="000000"/>
          </w:rPr>
          <w:t xml:space="preserve">subiectum</w:t>
        </w:r>
      </w:hyperlink>
      <w:r>
        <w:rPr>
          <w:b w:val="0"/>
          <w:i w:val="0"/>
        </w:rPr>
        <w:t xml:space="preserve">; </w:t>
      </w:r>
      <w:hyperlink w:anchor="latin-record-1240">
        <w:r>
          <w:rPr>
            <w:color w:val="000000"/>
          </w:rPr>
          <w:t xml:space="preserve">subiectum / receptaculum</w:t>
        </w:r>
      </w:hyperlink>
      <w:r>
        <w:rPr>
          <w:b w:val="0"/>
          <w:i w:val="0"/>
        </w:rPr>
        <w:t xml:space="preserve">; </w:t>
      </w:r>
      <w:hyperlink w:anchor="latin-record-1244">
        <w:r>
          <w:rPr>
            <w:color w:val="000000"/>
          </w:rPr>
          <w:t xml:space="preserve">subsistere / subiectum</w:t>
        </w:r>
      </w:hyperlink>
      <w:r>
        <w:rPr>
          <w:b w:val="0"/>
          <w:i w:val="0"/>
        </w:rPr>
        <w:t>.</w:t>
      </w:r>
    </w:p>
    <w:p>
      <w:pPr>
        <w:widowControl/>
      </w:pPr>
      <w:r>
        <w:rPr>
          <w:b/>
          <w:i w:val="0"/>
        </w:rPr>
        <w:t>Subiectum.</w:t>
      </w:r>
      <w:r>
        <w:rPr>
          <w:b w:val="0"/>
          <w:i w:val="0"/>
        </w:rPr>
        <w:t xml:space="preserve"> </w:t>
      </w:r>
      <w:hyperlink w:anchor="latin-record-1239">
        <w:r>
          <w:rPr>
            <w:color w:val="000000"/>
          </w:rPr>
          <w:t xml:space="preserve">subiectum</w:t>
        </w:r>
      </w:hyperlink>
      <w:r>
        <w:rPr>
          <w:b w:val="0"/>
          <w:i w:val="0"/>
        </w:rPr>
        <w:t>.</w:t>
      </w:r>
    </w:p>
    <w:p>
      <w:pPr>
        <w:widowControl/>
      </w:pPr>
      <w:r>
        <w:rPr>
          <w:b/>
          <w:i w:val="0"/>
        </w:rPr>
        <w:t>subito.</w:t>
      </w:r>
      <w:r>
        <w:rPr>
          <w:b w:val="0"/>
          <w:i w:val="0"/>
        </w:rPr>
        <w:t xml:space="preserve"> </w:t>
      </w:r>
      <w:hyperlink w:anchor="latin-record-0908">
        <w:r>
          <w:rPr>
            <w:color w:val="000000"/>
          </w:rPr>
          <w:t xml:space="preserve">paulatim / subito</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236">
        <w:r>
          <w:rPr>
            <w:color w:val="000000"/>
          </w:rPr>
          <w:t xml:space="preserve">statim; subito; paulatim</w:t>
        </w:r>
      </w:hyperlink>
      <w:r>
        <w:rPr>
          <w:b w:val="0"/>
          <w:i w:val="0"/>
        </w:rPr>
        <w:t>.</w:t>
      </w:r>
    </w:p>
    <w:p>
      <w:pPr>
        <w:widowControl/>
      </w:pPr>
      <w:r>
        <w:rPr>
          <w:b/>
          <w:i w:val="0"/>
        </w:rPr>
        <w:t>Subito.</w:t>
      </w:r>
      <w:r>
        <w:rPr>
          <w:b w:val="0"/>
          <w:i w:val="0"/>
        </w:rPr>
        <w:t xml:space="preserve"> </w:t>
      </w:r>
      <w:hyperlink w:anchor="latin-record-0910">
        <w:r>
          <w:rPr>
            <w:color w:val="000000"/>
          </w:rPr>
          <w:t xml:space="preserve">pedetentim / paulatim / subito</w:t>
        </w:r>
      </w:hyperlink>
      <w:r>
        <w:rPr>
          <w:b w:val="0"/>
          <w:i w:val="0"/>
        </w:rPr>
        <w:t>.</w:t>
      </w:r>
    </w:p>
    <w:p>
      <w:pPr>
        <w:widowControl/>
      </w:pPr>
      <w:r>
        <w:rPr>
          <w:b/>
          <w:i w:val="0"/>
        </w:rPr>
        <w:t>sublimior.</w:t>
      </w:r>
      <w:r>
        <w:rPr>
          <w:b w:val="0"/>
          <w:i w:val="0"/>
        </w:rPr>
        <w:t xml:space="preserve"> </w:t>
      </w:r>
      <w:hyperlink w:anchor="latin-record-1242">
        <w:r>
          <w:rPr>
            <w:color w:val="000000"/>
          </w:rPr>
          <w:t xml:space="preserve">sublimior</w:t>
        </w:r>
      </w:hyperlink>
      <w:r>
        <w:rPr>
          <w:b w:val="0"/>
          <w:i w:val="0"/>
        </w:rPr>
        <w:t>.</w:t>
      </w:r>
    </w:p>
    <w:p>
      <w:pPr>
        <w:widowControl/>
      </w:pPr>
      <w:r>
        <w:rPr>
          <w:b/>
          <w:i w:val="0"/>
        </w:rPr>
        <w:t>sublimiorem.</w:t>
      </w:r>
      <w:r>
        <w:rPr>
          <w:b w:val="0"/>
          <w:i w:val="0"/>
        </w:rPr>
        <w:t xml:space="preserve"> </w:t>
      </w:r>
      <w:hyperlink w:anchor="latin-record-1242">
        <w:r>
          <w:rPr>
            <w:color w:val="000000"/>
          </w:rPr>
          <w:t xml:space="preserve">sublimior</w:t>
        </w:r>
      </w:hyperlink>
      <w:r>
        <w:rPr>
          <w:b w:val="0"/>
          <w:i w:val="0"/>
        </w:rPr>
        <w:t>.</w:t>
      </w:r>
    </w:p>
    <w:p>
      <w:pPr>
        <w:widowControl/>
      </w:pPr>
      <w:r>
        <w:rPr>
          <w:b/>
          <w:i w:val="0"/>
        </w:rPr>
        <w:t>sublimius.</w:t>
      </w:r>
      <w:r>
        <w:rPr>
          <w:b w:val="0"/>
          <w:i w:val="0"/>
        </w:rPr>
        <w:t xml:space="preserve"> </w:t>
      </w:r>
      <w:hyperlink w:anchor="latin-record-0983">
        <w:r>
          <w:rPr>
            <w:color w:val="000000"/>
          </w:rPr>
          <w:t xml:space="preserve">praestantior / sublimior</w:t>
        </w:r>
      </w:hyperlink>
      <w:r>
        <w:rPr>
          <w:b w:val="0"/>
          <w:i w:val="0"/>
        </w:rPr>
        <w:t>.</w:t>
      </w:r>
    </w:p>
    <w:p>
      <w:pPr>
        <w:widowControl/>
      </w:pPr>
      <w:r>
        <w:rPr>
          <w:b/>
          <w:i w:val="0"/>
        </w:rPr>
        <w:t>subsistat.</w:t>
      </w:r>
      <w:r>
        <w:rPr>
          <w:b w:val="0"/>
          <w:i w:val="0"/>
        </w:rPr>
        <w:t xml:space="preserve"> </w:t>
      </w:r>
      <w:hyperlink w:anchor="latin-record-1192">
        <w:r>
          <w:rPr>
            <w:color w:val="000000"/>
          </w:rPr>
          <w:t xml:space="preserve">sistere / subsistere</w:t>
        </w:r>
      </w:hyperlink>
      <w:r>
        <w:rPr>
          <w:b w:val="0"/>
          <w:i w:val="0"/>
        </w:rPr>
        <w:t>.</w:t>
      </w:r>
    </w:p>
    <w:p>
      <w:pPr>
        <w:widowControl/>
      </w:pPr>
      <w:r>
        <w:rPr>
          <w:b/>
          <w:i w:val="0"/>
        </w:rPr>
        <w:t>subsistens.</w:t>
      </w:r>
      <w:r>
        <w:rPr>
          <w:b w:val="0"/>
          <w:i w:val="0"/>
        </w:rPr>
        <w:t xml:space="preserve"> </w:t>
      </w:r>
      <w:hyperlink w:anchor="latin-record-1192">
        <w:r>
          <w:rPr>
            <w:color w:val="000000"/>
          </w:rPr>
          <w:t xml:space="preserve">sistere / subsistere</w:t>
        </w:r>
      </w:hyperlink>
      <w:r>
        <w:rPr>
          <w:b w:val="0"/>
          <w:i w:val="0"/>
        </w:rPr>
        <w:t>.</w:t>
      </w:r>
    </w:p>
    <w:p>
      <w:pPr>
        <w:widowControl/>
      </w:pPr>
      <w:r>
        <w:rPr>
          <w:b/>
          <w:i w:val="0"/>
        </w:rPr>
        <w:t>subsistentem.</w:t>
      </w:r>
      <w:r>
        <w:rPr>
          <w:b w:val="0"/>
          <w:i w:val="0"/>
        </w:rPr>
        <w:t xml:space="preserve"> </w:t>
      </w:r>
      <w:hyperlink w:anchor="latin-record-1243">
        <w:r>
          <w:rPr>
            <w:color w:val="000000"/>
          </w:rPr>
          <w:t xml:space="preserve">subsistere / consistere</w:t>
        </w:r>
      </w:hyperlink>
      <w:r>
        <w:rPr>
          <w:b w:val="0"/>
          <w:i w:val="0"/>
        </w:rPr>
        <w:t>.</w:t>
      </w:r>
    </w:p>
    <w:p>
      <w:pPr>
        <w:widowControl/>
      </w:pPr>
      <w:r>
        <w:rPr>
          <w:b/>
          <w:i w:val="0"/>
        </w:rPr>
        <w:t>subsistere.</w:t>
      </w:r>
      <w:r>
        <w:rPr>
          <w:b w:val="0"/>
          <w:i w:val="0"/>
        </w:rPr>
        <w:t xml:space="preserve"> </w:t>
      </w:r>
      <w:hyperlink w:anchor="latin-record-1243">
        <w:r>
          <w:rPr>
            <w:color w:val="000000"/>
          </w:rPr>
          <w:t xml:space="preserve">subsistere / consistere</w:t>
        </w:r>
      </w:hyperlink>
      <w:r>
        <w:rPr>
          <w:b w:val="0"/>
          <w:i w:val="0"/>
        </w:rPr>
        <w:t>.</w:t>
      </w:r>
    </w:p>
    <w:p>
      <w:pPr>
        <w:widowControl/>
      </w:pPr>
      <w:r>
        <w:rPr>
          <w:b/>
          <w:i w:val="0"/>
        </w:rPr>
        <w:t>subsistit.</w:t>
      </w:r>
      <w:r>
        <w:rPr>
          <w:b w:val="0"/>
          <w:i w:val="0"/>
        </w:rPr>
        <w:t xml:space="preserve"> </w:t>
      </w:r>
      <w:hyperlink w:anchor="latin-record-1192">
        <w:r>
          <w:rPr>
            <w:color w:val="000000"/>
          </w:rPr>
          <w:t xml:space="preserve">sistere / subsistere</w:t>
        </w:r>
      </w:hyperlink>
      <w:r>
        <w:rPr>
          <w:b w:val="0"/>
          <w:i w:val="0"/>
        </w:rPr>
        <w:t xml:space="preserve">; </w:t>
      </w:r>
      <w:hyperlink w:anchor="latin-record-1243">
        <w:r>
          <w:rPr>
            <w:color w:val="000000"/>
          </w:rPr>
          <w:t xml:space="preserve">subsistere / consistere</w:t>
        </w:r>
      </w:hyperlink>
      <w:r>
        <w:rPr>
          <w:b w:val="0"/>
          <w:i w:val="0"/>
        </w:rPr>
        <w:t xml:space="preserve">; </w:t>
      </w:r>
      <w:hyperlink w:anchor="latin-record-1244">
        <w:r>
          <w:rPr>
            <w:color w:val="000000"/>
          </w:rPr>
          <w:t xml:space="preserve">subsistere / subiectum</w:t>
        </w:r>
      </w:hyperlink>
      <w:r>
        <w:rPr>
          <w:b w:val="0"/>
          <w:i w:val="0"/>
        </w:rPr>
        <w:t>.</w:t>
      </w:r>
    </w:p>
    <w:p>
      <w:pPr>
        <w:widowControl/>
      </w:pPr>
      <w:r>
        <w:rPr>
          <w:b/>
          <w:i w:val="0"/>
        </w:rPr>
        <w:t>Substantia.</w:t>
      </w:r>
      <w:r>
        <w:rPr>
          <w:b w:val="0"/>
          <w:i w:val="0"/>
        </w:rPr>
        <w:t xml:space="preserve"> </w:t>
      </w:r>
      <w:hyperlink w:anchor="latin-record-1245">
        <w:r>
          <w:rPr>
            <w:color w:val="000000"/>
          </w:rPr>
          <w:t xml:space="preserve">substantia</w:t>
        </w:r>
      </w:hyperlink>
      <w:r>
        <w:rPr>
          <w:b w:val="0"/>
          <w:i w:val="0"/>
        </w:rPr>
        <w:t>.</w:t>
      </w:r>
    </w:p>
    <w:p>
      <w:pPr>
        <w:widowControl/>
      </w:pPr>
      <w:r>
        <w:rPr>
          <w:b/>
          <w:i w:val="0"/>
        </w:rPr>
        <w:t>substantia.</w:t>
      </w:r>
      <w:r>
        <w:rPr>
          <w:b w:val="0"/>
          <w:i w:val="0"/>
        </w:rPr>
        <w:t xml:space="preserve"> </w:t>
      </w:r>
      <w:hyperlink w:anchor="latin-record-1245">
        <w:r>
          <w:rPr>
            <w:color w:val="000000"/>
          </w:rPr>
          <w:t xml:space="preserve">substantia</w:t>
        </w:r>
      </w:hyperlink>
      <w:r>
        <w:rPr>
          <w:b w:val="0"/>
          <w:i w:val="0"/>
        </w:rPr>
        <w:t xml:space="preserve">; </w:t>
      </w:r>
      <w:hyperlink w:anchor="latin-record-1246">
        <w:r>
          <w:rPr>
            <w:color w:val="000000"/>
          </w:rPr>
          <w:t xml:space="preserve">substantia / virtus / operatio</w:t>
        </w:r>
      </w:hyperlink>
      <w:r>
        <w:rPr>
          <w:b w:val="0"/>
          <w:i w:val="0"/>
        </w:rPr>
        <w:t xml:space="preserve">; </w:t>
      </w:r>
      <w:hyperlink w:anchor="latin-record-1247">
        <w:r>
          <w:rPr>
            <w:color w:val="000000"/>
          </w:rPr>
          <w:t xml:space="preserve">substantia; essentia</w:t>
        </w:r>
      </w:hyperlink>
      <w:r>
        <w:rPr>
          <w:b w:val="0"/>
          <w:i w:val="0"/>
        </w:rPr>
        <w:t>.</w:t>
      </w:r>
    </w:p>
    <w:p>
      <w:pPr>
        <w:widowControl/>
      </w:pPr>
      <w:r>
        <w:rPr>
          <w:b/>
          <w:i w:val="0"/>
        </w:rPr>
        <w:t>substantia copulatrix.</w:t>
      </w:r>
      <w:r>
        <w:rPr>
          <w:b w:val="0"/>
          <w:i w:val="0"/>
        </w:rPr>
        <w:t xml:space="preserve"> </w:t>
      </w:r>
      <w:hyperlink w:anchor="latin-record-0331">
        <w:r>
          <w:rPr>
            <w:color w:val="000000"/>
          </w:rPr>
          <w:t xml:space="preserve">copula; copulatrix</w:t>
        </w:r>
      </w:hyperlink>
      <w:r>
        <w:rPr>
          <w:b w:val="0"/>
          <w:i w:val="0"/>
        </w:rPr>
        <w:t>.</w:t>
      </w:r>
    </w:p>
    <w:p>
      <w:pPr>
        <w:widowControl/>
      </w:pPr>
      <w:r>
        <w:rPr>
          <w:b/>
          <w:i w:val="0"/>
        </w:rPr>
        <w:t>substantiae.</w:t>
      </w:r>
      <w:r>
        <w:rPr>
          <w:b w:val="0"/>
          <w:i w:val="0"/>
        </w:rPr>
        <w:t xml:space="preserve"> </w:t>
      </w:r>
      <w:hyperlink w:anchor="latin-record-0545">
        <w:r>
          <w:rPr>
            <w:color w:val="000000"/>
          </w:rPr>
          <w:t xml:space="preserve">genus substantiae / genus qualitatis</w:t>
        </w:r>
      </w:hyperlink>
      <w:r>
        <w:rPr>
          <w:b w:val="0"/>
          <w:i w:val="0"/>
        </w:rPr>
        <w:t xml:space="preserve">; </w:t>
      </w:r>
      <w:hyperlink w:anchor="latin-record-1245">
        <w:r>
          <w:rPr>
            <w:color w:val="000000"/>
          </w:rPr>
          <w:t xml:space="preserve">substantia</w:t>
        </w:r>
      </w:hyperlink>
      <w:r>
        <w:rPr>
          <w:b w:val="0"/>
          <w:i w:val="0"/>
        </w:rPr>
        <w:t xml:space="preserve">; </w:t>
      </w:r>
      <w:hyperlink w:anchor="latin-record-1246">
        <w:r>
          <w:rPr>
            <w:color w:val="000000"/>
          </w:rPr>
          <w:t xml:space="preserve">substantia / virtus / operatio</w:t>
        </w:r>
      </w:hyperlink>
      <w:r>
        <w:rPr>
          <w:b w:val="0"/>
          <w:i w:val="0"/>
        </w:rPr>
        <w:t xml:space="preserve">; </w:t>
      </w:r>
      <w:hyperlink w:anchor="latin-record-1247">
        <w:r>
          <w:rPr>
            <w:color w:val="000000"/>
          </w:rPr>
          <w:t xml:space="preserve">substantia; essentia</w:t>
        </w:r>
      </w:hyperlink>
      <w:r>
        <w:rPr>
          <w:b w:val="0"/>
          <w:i w:val="0"/>
        </w:rPr>
        <w:t>.</w:t>
      </w:r>
    </w:p>
    <w:p>
      <w:pPr>
        <w:widowControl/>
      </w:pPr>
      <w:r>
        <w:rPr>
          <w:b/>
          <w:i w:val="0"/>
        </w:rPr>
        <w:t>substantiaeque.</w:t>
      </w:r>
      <w:r>
        <w:rPr>
          <w:b w:val="0"/>
          <w:i w:val="0"/>
        </w:rPr>
        <w:t xml:space="preserve"> </w:t>
      </w:r>
      <w:hyperlink w:anchor="latin-record-1246">
        <w:r>
          <w:rPr>
            <w:color w:val="000000"/>
          </w:rPr>
          <w:t xml:space="preserve">substantia / virtus / operatio</w:t>
        </w:r>
      </w:hyperlink>
      <w:r>
        <w:rPr>
          <w:b w:val="0"/>
          <w:i w:val="0"/>
        </w:rPr>
        <w:t>.</w:t>
      </w:r>
    </w:p>
    <w:p>
      <w:pPr>
        <w:widowControl/>
      </w:pPr>
      <w:r>
        <w:rPr>
          <w:b/>
          <w:i w:val="0"/>
        </w:rPr>
        <w:t>substantialem.</w:t>
      </w:r>
      <w:r>
        <w:rPr>
          <w:b w:val="0"/>
          <w:i w:val="0"/>
        </w:rPr>
        <w:t xml:space="preserve"> </w:t>
      </w:r>
      <w:hyperlink w:anchor="latin-record-0505">
        <w:r>
          <w:rPr>
            <w:color w:val="000000"/>
          </w:rPr>
          <w:t xml:space="preserve">forma accidentalis / substantialis</w:t>
        </w:r>
      </w:hyperlink>
      <w:r>
        <w:rPr>
          <w:b w:val="0"/>
          <w:i w:val="0"/>
        </w:rPr>
        <w:t>.</w:t>
      </w:r>
    </w:p>
    <w:p>
      <w:pPr>
        <w:widowControl/>
      </w:pPr>
      <w:r>
        <w:rPr>
          <w:b/>
          <w:i w:val="0"/>
        </w:rPr>
        <w:t>substantialem aliquam formam.</w:t>
      </w:r>
      <w:r>
        <w:rPr>
          <w:b w:val="0"/>
          <w:i w:val="0"/>
        </w:rPr>
        <w:t xml:space="preserve"> </w:t>
      </w:r>
      <w:hyperlink w:anchor="latin-record-0505">
        <w:r>
          <w:rPr>
            <w:color w:val="000000"/>
          </w:rPr>
          <w:t xml:space="preserve">forma accidentalis / substantialis</w:t>
        </w:r>
      </w:hyperlink>
      <w:r>
        <w:rPr>
          <w:b w:val="0"/>
          <w:i w:val="0"/>
        </w:rPr>
        <w:t>.</w:t>
      </w:r>
    </w:p>
    <w:p>
      <w:pPr>
        <w:widowControl/>
      </w:pPr>
      <w:r>
        <w:rPr>
          <w:b/>
          <w:i w:val="0"/>
        </w:rPr>
        <w:t>substantialis.</w:t>
      </w:r>
      <w:r>
        <w:rPr>
          <w:b w:val="0"/>
          <w:i w:val="0"/>
        </w:rPr>
        <w:t xml:space="preserve"> </w:t>
      </w:r>
      <w:hyperlink w:anchor="latin-record-0507">
        <w:r>
          <w:rPr>
            <w:color w:val="000000"/>
          </w:rPr>
          <w:t xml:space="preserve">forma substantialis; accidentalis</w:t>
        </w:r>
      </w:hyperlink>
      <w:r>
        <w:rPr>
          <w:b w:val="0"/>
          <w:i w:val="0"/>
        </w:rPr>
        <w:t>.</w:t>
      </w:r>
    </w:p>
    <w:p>
      <w:pPr>
        <w:widowControl/>
      </w:pPr>
      <w:r>
        <w:rPr>
          <w:b/>
          <w:i w:val="0"/>
        </w:rPr>
        <w:t>substantialis quaedam unitas.</w:t>
      </w:r>
      <w:r>
        <w:rPr>
          <w:b w:val="0"/>
          <w:i w:val="0"/>
        </w:rPr>
        <w:t xml:space="preserve"> </w:t>
      </w:r>
      <w:hyperlink w:anchor="latin-record-1248">
        <w:r>
          <w:rPr>
            <w:color w:val="000000"/>
          </w:rPr>
          <w:t xml:space="preserve">substantialis unitas</w:t>
        </w:r>
      </w:hyperlink>
      <w:r>
        <w:rPr>
          <w:b w:val="0"/>
          <w:i w:val="0"/>
        </w:rPr>
        <w:t>.</w:t>
      </w:r>
    </w:p>
    <w:p>
      <w:pPr>
        <w:widowControl/>
      </w:pPr>
      <w:r>
        <w:rPr>
          <w:b/>
          <w:i w:val="0"/>
        </w:rPr>
        <w:t>substantialis unitas.</w:t>
      </w:r>
      <w:r>
        <w:rPr>
          <w:b w:val="0"/>
          <w:i w:val="0"/>
        </w:rPr>
        <w:t xml:space="preserve"> </w:t>
      </w:r>
      <w:hyperlink w:anchor="latin-record-1248">
        <w:r>
          <w:rPr>
            <w:color w:val="000000"/>
          </w:rPr>
          <w:t xml:space="preserve">substantialis unitas</w:t>
        </w:r>
      </w:hyperlink>
      <w:r>
        <w:rPr>
          <w:b w:val="0"/>
          <w:i w:val="0"/>
        </w:rPr>
        <w:t>.</w:t>
      </w:r>
    </w:p>
    <w:p>
      <w:pPr>
        <w:widowControl/>
      </w:pPr>
      <w:r>
        <w:rPr>
          <w:b/>
          <w:i w:val="0"/>
        </w:rPr>
        <w:t>substantiam.</w:t>
      </w:r>
      <w:r>
        <w:rPr>
          <w:b w:val="0"/>
          <w:i w:val="0"/>
        </w:rPr>
        <w:t xml:space="preserve"> </w:t>
      </w:r>
      <w:hyperlink w:anchor="latin-record-1245">
        <w:r>
          <w:rPr>
            <w:color w:val="000000"/>
          </w:rPr>
          <w:t xml:space="preserve">substantia</w:t>
        </w:r>
      </w:hyperlink>
      <w:r>
        <w:rPr>
          <w:b w:val="0"/>
          <w:i w:val="0"/>
        </w:rPr>
        <w:t xml:space="preserve">; </w:t>
      </w:r>
      <w:hyperlink w:anchor="latin-record-1246">
        <w:r>
          <w:rPr>
            <w:color w:val="000000"/>
          </w:rPr>
          <w:t xml:space="preserve">substantia / virtus / operatio</w:t>
        </w:r>
      </w:hyperlink>
      <w:r>
        <w:rPr>
          <w:b w:val="0"/>
          <w:i w:val="0"/>
        </w:rPr>
        <w:t xml:space="preserve">; </w:t>
      </w:r>
      <w:hyperlink w:anchor="latin-record-1247">
        <w:r>
          <w:rPr>
            <w:color w:val="000000"/>
          </w:rPr>
          <w:t xml:space="preserve">substantia; essentia</w:t>
        </w:r>
      </w:hyperlink>
      <w:r>
        <w:rPr>
          <w:b w:val="0"/>
          <w:i w:val="0"/>
        </w:rPr>
        <w:t>.</w:t>
      </w:r>
    </w:p>
    <w:p>
      <w:pPr>
        <w:widowControl/>
      </w:pPr>
      <w:r>
        <w:rPr>
          <w:b/>
          <w:i w:val="0"/>
        </w:rPr>
        <w:t>Substantiam.</w:t>
      </w:r>
      <w:r>
        <w:rPr>
          <w:b w:val="0"/>
          <w:i w:val="0"/>
        </w:rPr>
        <w:t xml:space="preserve"> </w:t>
      </w:r>
      <w:hyperlink w:anchor="latin-record-1245">
        <w:r>
          <w:rPr>
            <w:color w:val="000000"/>
          </w:rPr>
          <w:t xml:space="preserve">substantia</w:t>
        </w:r>
      </w:hyperlink>
      <w:r>
        <w:rPr>
          <w:b w:val="0"/>
          <w:i w:val="0"/>
        </w:rPr>
        <w:t>.</w:t>
      </w:r>
    </w:p>
    <w:p>
      <w:pPr>
        <w:widowControl/>
      </w:pPr>
      <w:r>
        <w:rPr>
          <w:b/>
          <w:i w:val="0"/>
        </w:rPr>
        <w:t>substantiarum.</w:t>
      </w:r>
      <w:r>
        <w:rPr>
          <w:b w:val="0"/>
          <w:i w:val="0"/>
        </w:rPr>
        <w:t xml:space="preserve"> </w:t>
      </w:r>
      <w:hyperlink w:anchor="latin-record-1245">
        <w:r>
          <w:rPr>
            <w:color w:val="000000"/>
          </w:rPr>
          <w:t xml:space="preserve">substantia</w:t>
        </w:r>
      </w:hyperlink>
      <w:r>
        <w:rPr>
          <w:b w:val="0"/>
          <w:i w:val="0"/>
        </w:rPr>
        <w:t>.</w:t>
      </w:r>
    </w:p>
    <w:p>
      <w:pPr>
        <w:widowControl/>
      </w:pPr>
      <w:r>
        <w:rPr>
          <w:b/>
          <w:i w:val="0"/>
        </w:rPr>
        <w:t>substantias.</w:t>
      </w:r>
      <w:r>
        <w:rPr>
          <w:b w:val="0"/>
          <w:i w:val="0"/>
        </w:rPr>
        <w:t xml:space="preserve"> </w:t>
      </w:r>
      <w:hyperlink w:anchor="latin-record-1245">
        <w:r>
          <w:rPr>
            <w:color w:val="000000"/>
          </w:rPr>
          <w:t xml:space="preserve">substantia</w:t>
        </w:r>
      </w:hyperlink>
      <w:r>
        <w:rPr>
          <w:b w:val="0"/>
          <w:i w:val="0"/>
        </w:rPr>
        <w:t>.</w:t>
      </w:r>
    </w:p>
    <w:p>
      <w:pPr>
        <w:widowControl/>
      </w:pPr>
      <w:r>
        <w:rPr>
          <w:b/>
          <w:i w:val="0"/>
        </w:rPr>
        <w:t>substantiis.</w:t>
      </w:r>
      <w:r>
        <w:rPr>
          <w:b w:val="0"/>
          <w:i w:val="0"/>
        </w:rPr>
        <w:t xml:space="preserve"> </w:t>
      </w:r>
      <w:hyperlink w:anchor="latin-record-1245">
        <w:r>
          <w:rPr>
            <w:color w:val="000000"/>
          </w:rPr>
          <w:t xml:space="preserve">substantia</w:t>
        </w:r>
      </w:hyperlink>
      <w:r>
        <w:rPr>
          <w:b w:val="0"/>
          <w:i w:val="0"/>
        </w:rPr>
        <w:t>.</w:t>
      </w:r>
    </w:p>
    <w:p>
      <w:pPr>
        <w:widowControl/>
      </w:pPr>
      <w:r>
        <w:rPr>
          <w:b/>
          <w:i w:val="0"/>
        </w:rPr>
        <w:t>subterfugiat.</w:t>
      </w:r>
      <w:r>
        <w:rPr>
          <w:b w:val="0"/>
          <w:i w:val="0"/>
        </w:rPr>
        <w:t xml:space="preserve"> </w:t>
      </w:r>
      <w:hyperlink w:anchor="latin-record-1249">
        <w:r>
          <w:rPr>
            <w:color w:val="000000"/>
          </w:rPr>
          <w:t xml:space="preserve">subterfugere; adsciscere</w:t>
        </w:r>
      </w:hyperlink>
      <w:r>
        <w:rPr>
          <w:b w:val="0"/>
          <w:i w:val="0"/>
        </w:rPr>
        <w:t>.</w:t>
      </w:r>
    </w:p>
    <w:p>
      <w:pPr>
        <w:widowControl/>
      </w:pPr>
      <w:r>
        <w:rPr>
          <w:b/>
          <w:i w:val="0"/>
        </w:rPr>
        <w:t>subtile rarumque.</w:t>
      </w:r>
      <w:r>
        <w:rPr>
          <w:b w:val="0"/>
          <w:i w:val="0"/>
        </w:rPr>
        <w:t xml:space="preserve"> </w:t>
      </w:r>
      <w:hyperlink w:anchor="latin-record-0345">
        <w:r>
          <w:rPr>
            <w:color w:val="000000"/>
          </w:rPr>
          <w:t xml:space="preserve">crassus; subtilis; rarus</w:t>
        </w:r>
      </w:hyperlink>
      <w:r>
        <w:rPr>
          <w:b w:val="0"/>
          <w:i w:val="0"/>
        </w:rPr>
        <w:t>.</w:t>
      </w:r>
    </w:p>
    <w:p>
      <w:pPr>
        <w:widowControl/>
      </w:pPr>
      <w:r>
        <w:rPr>
          <w:b/>
          <w:i w:val="0"/>
        </w:rPr>
        <w:t>subtrahendo.</w:t>
      </w:r>
      <w:r>
        <w:rPr>
          <w:b w:val="0"/>
          <w:i w:val="0"/>
        </w:rPr>
        <w:t xml:space="preserve"> </w:t>
      </w:r>
      <w:hyperlink w:anchor="latin-record-1250">
        <w:r>
          <w:rPr>
            <w:color w:val="000000"/>
          </w:rPr>
          <w:t xml:space="preserve">subtrahere / auferre</w:t>
        </w:r>
      </w:hyperlink>
      <w:r>
        <w:rPr>
          <w:b w:val="0"/>
          <w:i w:val="0"/>
        </w:rPr>
        <w:t>.</w:t>
      </w:r>
    </w:p>
    <w:p>
      <w:pPr>
        <w:widowControl/>
      </w:pPr>
      <w:r>
        <w:rPr>
          <w:b/>
          <w:i w:val="0"/>
        </w:rPr>
        <w:t>subtraheretur.</w:t>
      </w:r>
      <w:r>
        <w:rPr>
          <w:b w:val="0"/>
          <w:i w:val="0"/>
        </w:rPr>
        <w:t xml:space="preserve"> </w:t>
      </w:r>
      <w:hyperlink w:anchor="latin-record-1250">
        <w:r>
          <w:rPr>
            <w:color w:val="000000"/>
          </w:rPr>
          <w:t xml:space="preserve">subtrahere / auferre</w:t>
        </w:r>
      </w:hyperlink>
      <w:r>
        <w:rPr>
          <w:b w:val="0"/>
          <w:i w:val="0"/>
        </w:rPr>
        <w:t>.</w:t>
      </w:r>
    </w:p>
    <w:p>
      <w:pPr>
        <w:widowControl/>
      </w:pPr>
      <w:r>
        <w:rPr>
          <w:b/>
          <w:i w:val="0"/>
        </w:rPr>
        <w:t>subtrahit.</w:t>
      </w:r>
      <w:r>
        <w:rPr>
          <w:b w:val="0"/>
          <w:i w:val="0"/>
        </w:rPr>
        <w:t xml:space="preserve"> </w:t>
      </w:r>
      <w:hyperlink w:anchor="latin-record-1250">
        <w:r>
          <w:rPr>
            <w:color w:val="000000"/>
          </w:rPr>
          <w:t xml:space="preserve">subtrahere / auferre</w:t>
        </w:r>
      </w:hyperlink>
      <w:r>
        <w:rPr>
          <w:b w:val="0"/>
          <w:i w:val="0"/>
        </w:rPr>
        <w:t>.</w:t>
      </w:r>
    </w:p>
    <w:p>
      <w:pPr>
        <w:widowControl/>
      </w:pPr>
      <w:r>
        <w:rPr>
          <w:b/>
          <w:i w:val="0"/>
        </w:rPr>
        <w:t>Subtrahite.</w:t>
      </w:r>
      <w:r>
        <w:rPr>
          <w:b w:val="0"/>
          <w:i w:val="0"/>
        </w:rPr>
        <w:t xml:space="preserve"> </w:t>
      </w:r>
      <w:hyperlink w:anchor="latin-record-1251">
        <w:r>
          <w:rPr>
            <w:color w:val="000000"/>
          </w:rPr>
          <w:t xml:space="preserve">subtrahere; deprimere</w:t>
        </w:r>
      </w:hyperlink>
      <w:r>
        <w:rPr>
          <w:b w:val="0"/>
          <w:i w:val="0"/>
        </w:rPr>
        <w:t>.</w:t>
      </w:r>
    </w:p>
    <w:p>
      <w:pPr>
        <w:widowControl/>
      </w:pPr>
      <w:r>
        <w:rPr>
          <w:b/>
          <w:i w:val="0"/>
        </w:rPr>
        <w:t>successione.</w:t>
      </w:r>
      <w:r>
        <w:rPr>
          <w:b w:val="0"/>
          <w:i w:val="0"/>
        </w:rPr>
        <w:t xml:space="preserve"> </w:t>
      </w:r>
      <w:hyperlink w:anchor="latin-record-0541">
        <w:r>
          <w:rPr>
            <w:color w:val="000000"/>
          </w:rPr>
          <w:t xml:space="preserve">generatio / genitrix / successio</w:t>
        </w:r>
      </w:hyperlink>
      <w:r>
        <w:rPr>
          <w:b w:val="0"/>
          <w:i w:val="0"/>
        </w:rPr>
        <w:t xml:space="preserve">; </w:t>
      </w:r>
      <w:hyperlink w:anchor="latin-record-1253">
        <w:r>
          <w:rPr>
            <w:color w:val="000000"/>
          </w:rPr>
          <w:t xml:space="preserve">successio / gradatim</w:t>
        </w:r>
      </w:hyperlink>
      <w:r>
        <w:rPr>
          <w:b w:val="0"/>
          <w:i w:val="0"/>
        </w:rPr>
        <w:t>.</w:t>
      </w:r>
    </w:p>
    <w:p>
      <w:pPr>
        <w:widowControl/>
      </w:pPr>
      <w:r>
        <w:rPr>
          <w:b/>
          <w:i w:val="0"/>
        </w:rPr>
        <w:t>successione perpetua.</w:t>
      </w:r>
      <w:r>
        <w:rPr>
          <w:b w:val="0"/>
          <w:i w:val="0"/>
        </w:rPr>
        <w:t xml:space="preserve"> </w:t>
      </w:r>
      <w:hyperlink w:anchor="latin-record-1347">
        <w:r>
          <w:rPr>
            <w:color w:val="000000"/>
          </w:rPr>
          <w:t xml:space="preserve">vicissitudo generationis</w:t>
        </w:r>
      </w:hyperlink>
      <w:r>
        <w:rPr>
          <w:b w:val="0"/>
          <w:i w:val="0"/>
        </w:rPr>
        <w:t>.</w:t>
      </w:r>
    </w:p>
    <w:p>
      <w:pPr>
        <w:widowControl/>
      </w:pPr>
      <w:r>
        <w:rPr>
          <w:b/>
          <w:i w:val="0"/>
        </w:rPr>
        <w:t>succurrendum.</w:t>
      </w:r>
      <w:r>
        <w:rPr>
          <w:b w:val="0"/>
          <w:i w:val="0"/>
        </w:rPr>
        <w:t xml:space="preserve"> </w:t>
      </w:r>
      <w:hyperlink w:anchor="latin-record-1254">
        <w:r>
          <w:rPr>
            <w:color w:val="000000"/>
          </w:rPr>
          <w:t xml:space="preserve">succurrere / medela</w:t>
        </w:r>
      </w:hyperlink>
      <w:r>
        <w:rPr>
          <w:b w:val="0"/>
          <w:i w:val="0"/>
        </w:rPr>
        <w:t>.</w:t>
      </w:r>
    </w:p>
    <w:p>
      <w:pPr>
        <w:widowControl/>
      </w:pPr>
      <w:r>
        <w:rPr>
          <w:b/>
          <w:i w:val="0"/>
        </w:rPr>
        <w:t>sue.</w:t>
      </w:r>
      <w:r>
        <w:rPr>
          <w:b w:val="0"/>
          <w:i w:val="0"/>
        </w:rPr>
        <w:t xml:space="preserve"> </w:t>
      </w:r>
      <w:hyperlink w:anchor="latin-record-1389">
        <w:r>
          <w:rPr>
            <w:color w:val="000000"/>
          </w:rPr>
          <w:t xml:space="preserve">vulpes / sus / astutia</w:t>
        </w:r>
      </w:hyperlink>
      <w:r>
        <w:rPr>
          <w:b w:val="0"/>
          <w:i w:val="0"/>
        </w:rPr>
        <w:t>.</w:t>
      </w:r>
    </w:p>
    <w:p>
      <w:pPr>
        <w:widowControl/>
      </w:pPr>
      <w:r>
        <w:rPr>
          <w:b/>
          <w:i w:val="0"/>
        </w:rPr>
        <w:t>sufficiat.</w:t>
      </w:r>
      <w:r>
        <w:rPr>
          <w:b w:val="0"/>
          <w:i w:val="0"/>
        </w:rPr>
        <w:t xml:space="preserve"> </w:t>
      </w:r>
      <w:hyperlink w:anchor="latin-record-1255">
        <w:r>
          <w:rPr>
            <w:color w:val="000000"/>
          </w:rPr>
          <w:t xml:space="preserve">sufficere / supervacuus</w:t>
        </w:r>
      </w:hyperlink>
      <w:r>
        <w:rPr>
          <w:b w:val="0"/>
          <w:i w:val="0"/>
        </w:rPr>
        <w:t>.</w:t>
      </w:r>
    </w:p>
    <w:p>
      <w:pPr>
        <w:widowControl/>
      </w:pPr>
      <w:r>
        <w:rPr>
          <w:b/>
          <w:i w:val="0"/>
        </w:rPr>
        <w:t>sufficientiam subsistendi.</w:t>
      </w:r>
      <w:r>
        <w:rPr>
          <w:b w:val="0"/>
          <w:i w:val="0"/>
        </w:rPr>
        <w:t xml:space="preserve"> </w:t>
      </w:r>
      <w:hyperlink w:anchor="latin-record-1257">
        <w:r>
          <w:rPr>
            <w:color w:val="000000"/>
          </w:rPr>
          <w:t xml:space="preserve">sufficientia subsistendi</w:t>
        </w:r>
      </w:hyperlink>
      <w:r>
        <w:rPr>
          <w:b w:val="0"/>
          <w:i w:val="0"/>
        </w:rPr>
        <w:t>.</w:t>
      </w:r>
    </w:p>
    <w:p>
      <w:pPr>
        <w:widowControl/>
      </w:pPr>
      <w:r>
        <w:rPr>
          <w:b/>
          <w:i w:val="0"/>
        </w:rPr>
        <w:t>sufficientior.</w:t>
      </w:r>
      <w:r>
        <w:rPr>
          <w:b w:val="0"/>
          <w:i w:val="0"/>
        </w:rPr>
        <w:t xml:space="preserve"> </w:t>
      </w:r>
      <w:hyperlink w:anchor="latin-record-1256">
        <w:r>
          <w:rPr>
            <w:color w:val="000000"/>
          </w:rPr>
          <w:t xml:space="preserve">sufficientia / indigere</w:t>
        </w:r>
      </w:hyperlink>
      <w:r>
        <w:rPr>
          <w:b w:val="0"/>
          <w:i w:val="0"/>
        </w:rPr>
        <w:t>.</w:t>
      </w:r>
    </w:p>
    <w:p>
      <w:pPr>
        <w:widowControl/>
      </w:pPr>
      <w:r>
        <w:rPr>
          <w:b/>
          <w:i w:val="0"/>
        </w:rPr>
        <w:t>sufficit.</w:t>
      </w:r>
      <w:r>
        <w:rPr>
          <w:b w:val="0"/>
          <w:i w:val="0"/>
        </w:rPr>
        <w:t xml:space="preserve"> </w:t>
      </w:r>
      <w:hyperlink w:anchor="latin-record-1255">
        <w:r>
          <w:rPr>
            <w:color w:val="000000"/>
          </w:rPr>
          <w:t xml:space="preserve">sufficere / supervacuus</w:t>
        </w:r>
      </w:hyperlink>
      <w:r>
        <w:rPr>
          <w:b w:val="0"/>
          <w:i w:val="0"/>
        </w:rPr>
        <w:t>.</w:t>
      </w:r>
    </w:p>
    <w:p>
      <w:pPr>
        <w:widowControl/>
      </w:pPr>
      <w:r>
        <w:rPr>
          <w:b/>
          <w:i w:val="0"/>
        </w:rPr>
        <w:t>suffocatam.</w:t>
      </w:r>
      <w:r>
        <w:rPr>
          <w:b w:val="0"/>
          <w:i w:val="0"/>
        </w:rPr>
        <w:t xml:space="preserve"> </w:t>
      </w:r>
      <w:hyperlink w:anchor="latin-record-0782">
        <w:r>
          <w:rPr>
            <w:color w:val="000000"/>
          </w:rPr>
          <w:t xml:space="preserve">mergere; suffocare</w:t>
        </w:r>
      </w:hyperlink>
      <w:r>
        <w:rPr>
          <w:b w:val="0"/>
          <w:i w:val="0"/>
        </w:rPr>
        <w:t>.</w:t>
      </w:r>
    </w:p>
    <w:p>
      <w:pPr>
        <w:widowControl/>
      </w:pPr>
      <w:r>
        <w:rPr>
          <w:b/>
          <w:i w:val="0"/>
        </w:rPr>
        <w:t>suffusa.</w:t>
      </w:r>
      <w:r>
        <w:rPr>
          <w:b w:val="0"/>
          <w:i w:val="0"/>
        </w:rPr>
        <w:t xml:space="preserve"> </w:t>
      </w:r>
      <w:hyperlink w:anchor="latin-record-1258">
        <w:r>
          <w:rPr>
            <w:color w:val="000000"/>
          </w:rPr>
          <w:t xml:space="preserve">suffundere</w:t>
        </w:r>
      </w:hyperlink>
      <w:r>
        <w:rPr>
          <w:b w:val="0"/>
          <w:i w:val="0"/>
        </w:rPr>
        <w:t>.</w:t>
      </w:r>
    </w:p>
    <w:p>
      <w:pPr>
        <w:widowControl/>
      </w:pPr>
      <w:r>
        <w:rPr>
          <w:b/>
          <w:i w:val="0"/>
        </w:rPr>
        <w:t>suffusum.</w:t>
      </w:r>
      <w:r>
        <w:rPr>
          <w:b w:val="0"/>
          <w:i w:val="0"/>
        </w:rPr>
        <w:t xml:space="preserve"> </w:t>
      </w:r>
      <w:hyperlink w:anchor="latin-record-1258">
        <w:r>
          <w:rPr>
            <w:color w:val="000000"/>
          </w:rPr>
          <w:t xml:space="preserve">suffundere</w:t>
        </w:r>
      </w:hyperlink>
      <w:r>
        <w:rPr>
          <w:b w:val="0"/>
          <w:i w:val="0"/>
        </w:rPr>
        <w:t>.</w:t>
      </w:r>
    </w:p>
    <w:p>
      <w:pPr>
        <w:widowControl/>
      </w:pPr>
      <w:r>
        <w:rPr>
          <w:b/>
          <w:i w:val="0"/>
        </w:rPr>
        <w:t>suffusus.</w:t>
      </w:r>
      <w:r>
        <w:rPr>
          <w:b w:val="0"/>
          <w:i w:val="0"/>
        </w:rPr>
        <w:t xml:space="preserve"> </w:t>
      </w:r>
      <w:hyperlink w:anchor="latin-record-0519">
        <w:r>
          <w:rPr>
            <w:color w:val="000000"/>
          </w:rPr>
          <w:t xml:space="preserve">frangere / discindere / solvere / contrahere</w:t>
        </w:r>
      </w:hyperlink>
      <w:r>
        <w:rPr>
          <w:b w:val="0"/>
          <w:i w:val="0"/>
        </w:rPr>
        <w:t>.</w:t>
      </w:r>
    </w:p>
    <w:p>
      <w:pPr>
        <w:widowControl/>
      </w:pPr>
      <w:r>
        <w:rPr>
          <w:b/>
          <w:i w:val="0"/>
        </w:rPr>
        <w:t>sui met agitatricem.</w:t>
      </w:r>
      <w:r>
        <w:rPr>
          <w:b w:val="0"/>
          <w:i w:val="0"/>
        </w:rPr>
        <w:t xml:space="preserve"> </w:t>
      </w:r>
      <w:hyperlink w:anchor="latin-record-0679">
        <w:r>
          <w:rPr>
            <w:color w:val="000000"/>
          </w:rPr>
          <w:t xml:space="preserve">intrinsecus; extrinsecus</w:t>
        </w:r>
      </w:hyperlink>
      <w:r>
        <w:rPr>
          <w:b w:val="0"/>
          <w:i w:val="0"/>
        </w:rPr>
        <w:t>.</w:t>
      </w:r>
    </w:p>
    <w:p>
      <w:pPr>
        <w:widowControl/>
      </w:pPr>
      <w:r>
        <w:rPr>
          <w:b/>
          <w:i w:val="0"/>
        </w:rPr>
        <w:t>sumeret.</w:t>
      </w:r>
      <w:r>
        <w:rPr>
          <w:b w:val="0"/>
          <w:i w:val="0"/>
        </w:rPr>
        <w:t xml:space="preserve"> </w:t>
      </w:r>
      <w:hyperlink w:anchor="latin-record-1259">
        <w:r>
          <w:rPr>
            <w:color w:val="000000"/>
          </w:rPr>
          <w:t xml:space="preserve">sumere</w:t>
        </w:r>
      </w:hyperlink>
      <w:r>
        <w:rPr>
          <w:b w:val="0"/>
          <w:i w:val="0"/>
        </w:rPr>
        <w:t>.</w:t>
      </w:r>
    </w:p>
    <w:p>
      <w:pPr>
        <w:widowControl/>
      </w:pPr>
      <w:r>
        <w:rPr>
          <w:b/>
          <w:i w:val="0"/>
        </w:rPr>
        <w:t>sumit.</w:t>
      </w:r>
      <w:r>
        <w:rPr>
          <w:b w:val="0"/>
          <w:i w:val="0"/>
        </w:rPr>
        <w:t xml:space="preserve"> </w:t>
      </w:r>
      <w:hyperlink w:anchor="latin-record-1259">
        <w:r>
          <w:rPr>
            <w:color w:val="000000"/>
          </w:rPr>
          <w:t xml:space="preserve">sumere</w:t>
        </w:r>
      </w:hyperlink>
      <w:r>
        <w:rPr>
          <w:b w:val="0"/>
          <w:i w:val="0"/>
        </w:rPr>
        <w:t>.</w:t>
      </w:r>
    </w:p>
    <w:p>
      <w:pPr>
        <w:widowControl/>
      </w:pPr>
      <w:r>
        <w:rPr>
          <w:b/>
          <w:i w:val="0"/>
        </w:rPr>
        <w:t>summae aequalitati.</w:t>
      </w:r>
      <w:r>
        <w:rPr>
          <w:b w:val="0"/>
          <w:i w:val="0"/>
        </w:rPr>
        <w:t xml:space="preserve"> </w:t>
      </w:r>
      <w:hyperlink w:anchor="latin-record-0041">
        <w:r>
          <w:rPr>
            <w:color w:val="000000"/>
          </w:rPr>
          <w:t xml:space="preserve">aequalitas summa</w:t>
        </w:r>
      </w:hyperlink>
      <w:r>
        <w:rPr>
          <w:b w:val="0"/>
          <w:i w:val="0"/>
        </w:rPr>
        <w:t>.</w:t>
      </w:r>
    </w:p>
    <w:p>
      <w:pPr>
        <w:widowControl/>
      </w:pPr>
      <w:r>
        <w:rPr>
          <w:b/>
          <w:i w:val="0"/>
        </w:rPr>
        <w:t>sunt.</w:t>
      </w:r>
      <w:r>
        <w:rPr>
          <w:b w:val="0"/>
          <w:i w:val="0"/>
        </w:rPr>
        <w:t xml:space="preserve"> </w:t>
      </w:r>
      <w:hyperlink w:anchor="latin-record-0444">
        <w:r>
          <w:rPr>
            <w:color w:val="000000"/>
          </w:rPr>
          <w:t xml:space="preserve">esse; habere; fieri</w:t>
        </w:r>
      </w:hyperlink>
      <w:r>
        <w:rPr>
          <w:b w:val="0"/>
          <w:i w:val="0"/>
        </w:rPr>
        <w:t>.</w:t>
      </w:r>
    </w:p>
    <w:p>
      <w:pPr>
        <w:widowControl/>
      </w:pPr>
      <w:r>
        <w:rPr>
          <w:b/>
          <w:i w:val="0"/>
        </w:rPr>
        <w:t>super et praeter ordinem elementorum.</w:t>
      </w:r>
      <w:r>
        <w:rPr>
          <w:b w:val="0"/>
          <w:i w:val="0"/>
        </w:rPr>
        <w:t xml:space="preserve"> </w:t>
      </w:r>
      <w:hyperlink w:anchor="latin-record-1260">
        <w:r>
          <w:rPr>
            <w:color w:val="000000"/>
          </w:rPr>
          <w:t xml:space="preserve">super et praeter ordinem elementorum</w:t>
        </w:r>
      </w:hyperlink>
      <w:r>
        <w:rPr>
          <w:b w:val="0"/>
          <w:i w:val="0"/>
        </w:rPr>
        <w:t>.</w:t>
      </w:r>
    </w:p>
    <w:p>
      <w:pPr>
        <w:widowControl/>
      </w:pPr>
      <w:r>
        <w:rPr>
          <w:b/>
          <w:i w:val="0"/>
        </w:rPr>
        <w:t>superadditam.</w:t>
      </w:r>
      <w:r>
        <w:rPr>
          <w:b w:val="0"/>
          <w:i w:val="0"/>
        </w:rPr>
        <w:t xml:space="preserve"> </w:t>
      </w:r>
      <w:hyperlink w:anchor="latin-record-0794">
        <w:r>
          <w:rPr>
            <w:color w:val="000000"/>
          </w:rPr>
          <w:t xml:space="preserve">moles; affectio</w:t>
        </w:r>
      </w:hyperlink>
      <w:r>
        <w:rPr>
          <w:b w:val="0"/>
          <w:i w:val="0"/>
        </w:rPr>
        <w:t>.</w:t>
      </w:r>
    </w:p>
    <w:p>
      <w:pPr>
        <w:widowControl/>
      </w:pPr>
      <w:r>
        <w:rPr>
          <w:b/>
          <w:i w:val="0"/>
        </w:rPr>
        <w:t>superat.</w:t>
      </w:r>
      <w:r>
        <w:rPr>
          <w:b w:val="0"/>
          <w:i w:val="0"/>
        </w:rPr>
        <w:t xml:space="preserve"> </w:t>
      </w:r>
      <w:hyperlink w:anchor="latin-record-1261">
        <w:r>
          <w:rPr>
            <w:color w:val="000000"/>
          </w:rPr>
          <w:t xml:space="preserve">superare / excedere / excellere</w:t>
        </w:r>
      </w:hyperlink>
      <w:r>
        <w:rPr>
          <w:b w:val="0"/>
          <w:i w:val="0"/>
        </w:rPr>
        <w:t xml:space="preserve">; </w:t>
      </w:r>
      <w:hyperlink w:anchor="latin-record-1262">
        <w:r>
          <w:rPr>
            <w:color w:val="000000"/>
          </w:rPr>
          <w:t xml:space="preserve">superare / praestare</w:t>
        </w:r>
      </w:hyperlink>
      <w:r>
        <w:rPr>
          <w:b w:val="0"/>
          <w:i w:val="0"/>
        </w:rPr>
        <w:t>.</w:t>
      </w:r>
    </w:p>
    <w:p>
      <w:pPr>
        <w:widowControl/>
      </w:pPr>
      <w:r>
        <w:rPr>
          <w:b/>
          <w:i w:val="0"/>
        </w:rPr>
        <w:t>Superat.</w:t>
      </w:r>
      <w:r>
        <w:rPr>
          <w:b w:val="0"/>
          <w:i w:val="0"/>
        </w:rPr>
        <w:t xml:space="preserve"> </w:t>
      </w:r>
      <w:hyperlink w:anchor="latin-record-1262">
        <w:r>
          <w:rPr>
            <w:color w:val="000000"/>
          </w:rPr>
          <w:t xml:space="preserve">superare / praestare</w:t>
        </w:r>
      </w:hyperlink>
      <w:r>
        <w:rPr>
          <w:b w:val="0"/>
          <w:i w:val="0"/>
        </w:rPr>
        <w:t>.</w:t>
      </w:r>
    </w:p>
    <w:p>
      <w:pPr>
        <w:widowControl/>
      </w:pPr>
      <w:r>
        <w:rPr>
          <w:b/>
          <w:i w:val="0"/>
        </w:rPr>
        <w:t>supercilio.</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supereminet.</w:t>
      </w:r>
      <w:r>
        <w:rPr>
          <w:b w:val="0"/>
          <w:i w:val="0"/>
        </w:rPr>
        <w:t xml:space="preserve"> </w:t>
      </w:r>
      <w:hyperlink w:anchor="latin-record-1261">
        <w:r>
          <w:rPr>
            <w:color w:val="000000"/>
          </w:rPr>
          <w:t xml:space="preserve">superare / excedere / excellere</w:t>
        </w:r>
      </w:hyperlink>
      <w:r>
        <w:rPr>
          <w:b w:val="0"/>
          <w:i w:val="0"/>
        </w:rPr>
        <w:t>.</w:t>
      </w:r>
    </w:p>
    <w:p>
      <w:pPr>
        <w:widowControl/>
      </w:pPr>
      <w:r>
        <w:rPr>
          <w:b/>
          <w:i w:val="0"/>
        </w:rPr>
        <w:t>superest.</w:t>
      </w:r>
      <w:r>
        <w:rPr>
          <w:b w:val="0"/>
          <w:i w:val="0"/>
        </w:rPr>
        <w:t xml:space="preserve"> </w:t>
      </w:r>
      <w:hyperlink w:anchor="latin-record-0930">
        <w:r>
          <w:rPr>
            <w:color w:val="000000"/>
          </w:rPr>
          <w:t xml:space="preserve">permanere / restare / superesse</w:t>
        </w:r>
      </w:hyperlink>
      <w:r>
        <w:rPr>
          <w:b w:val="0"/>
          <w:i w:val="0"/>
        </w:rPr>
        <w:t>.</w:t>
      </w:r>
    </w:p>
    <w:p>
      <w:pPr>
        <w:widowControl/>
      </w:pPr>
      <w:r>
        <w:rPr>
          <w:b/>
          <w:i w:val="0"/>
        </w:rPr>
        <w:t>superet.</w:t>
      </w:r>
      <w:r>
        <w:rPr>
          <w:b w:val="0"/>
          <w:i w:val="0"/>
        </w:rPr>
        <w:t xml:space="preserve"> </w:t>
      </w:r>
      <w:hyperlink w:anchor="latin-record-1261">
        <w:r>
          <w:rPr>
            <w:color w:val="000000"/>
          </w:rPr>
          <w:t xml:space="preserve">superare / excedere / excellere</w:t>
        </w:r>
      </w:hyperlink>
      <w:r>
        <w:rPr>
          <w:b w:val="0"/>
          <w:i w:val="0"/>
        </w:rPr>
        <w:t xml:space="preserve">; </w:t>
      </w:r>
      <w:hyperlink w:anchor="latin-record-1262">
        <w:r>
          <w:rPr>
            <w:color w:val="000000"/>
          </w:rPr>
          <w:t xml:space="preserve">superare / praestare</w:t>
        </w:r>
      </w:hyperlink>
      <w:r>
        <w:rPr>
          <w:b w:val="0"/>
          <w:i w:val="0"/>
        </w:rPr>
        <w:t>.</w:t>
      </w:r>
    </w:p>
    <w:p>
      <w:pPr>
        <w:widowControl/>
      </w:pPr>
      <w:r>
        <w:rPr>
          <w:b/>
          <w:i w:val="0"/>
        </w:rPr>
        <w:t>superficiem.</w:t>
      </w:r>
      <w:r>
        <w:rPr>
          <w:b w:val="0"/>
          <w:i w:val="0"/>
        </w:rPr>
        <w:t xml:space="preserve"> </w:t>
      </w:r>
      <w:hyperlink w:anchor="latin-record-1263">
        <w:r>
          <w:rPr>
            <w:color w:val="000000"/>
          </w:rPr>
          <w:t xml:space="preserve">superficies / pictura</w:t>
        </w:r>
      </w:hyperlink>
      <w:r>
        <w:rPr>
          <w:b w:val="0"/>
          <w:i w:val="0"/>
        </w:rPr>
        <w:t xml:space="preserve">; </w:t>
      </w:r>
      <w:hyperlink w:anchor="latin-record-1264">
        <w:r>
          <w:rPr>
            <w:color w:val="000000"/>
          </w:rPr>
          <w:t xml:space="preserve">superficies; linea; punctum</w:t>
        </w:r>
      </w:hyperlink>
      <w:r>
        <w:rPr>
          <w:b w:val="0"/>
          <w:i w:val="0"/>
        </w:rPr>
        <w:t>.</w:t>
      </w:r>
    </w:p>
    <w:p>
      <w:pPr>
        <w:widowControl/>
      </w:pPr>
      <w:r>
        <w:rPr>
          <w:b/>
          <w:i w:val="0"/>
        </w:rPr>
        <w:t>superficies.</w:t>
      </w:r>
      <w:r>
        <w:rPr>
          <w:b w:val="0"/>
          <w:i w:val="0"/>
        </w:rPr>
        <w:t xml:space="preserve"> </w:t>
      </w:r>
      <w:hyperlink w:anchor="latin-record-0724">
        <w:r>
          <w:rPr>
            <w:color w:val="000000"/>
          </w:rPr>
          <w:t xml:space="preserve">longitudo / latitudo / profunditas</w:t>
        </w:r>
      </w:hyperlink>
      <w:r>
        <w:rPr>
          <w:b w:val="0"/>
          <w:i w:val="0"/>
        </w:rPr>
        <w:t>.</w:t>
      </w:r>
    </w:p>
    <w:p>
      <w:pPr>
        <w:widowControl/>
      </w:pPr>
      <w:r>
        <w:rPr>
          <w:b/>
          <w:i w:val="0"/>
        </w:rPr>
        <w:t>superne.</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supersit.</w:t>
      </w:r>
      <w:r>
        <w:rPr>
          <w:b w:val="0"/>
          <w:i w:val="0"/>
        </w:rPr>
        <w:t xml:space="preserve"> </w:t>
      </w:r>
      <w:hyperlink w:anchor="latin-record-0930">
        <w:r>
          <w:rPr>
            <w:color w:val="000000"/>
          </w:rPr>
          <w:t xml:space="preserve">permanere / restare / superesse</w:t>
        </w:r>
      </w:hyperlink>
      <w:r>
        <w:rPr>
          <w:b w:val="0"/>
          <w:i w:val="0"/>
        </w:rPr>
        <w:t>.</w:t>
      </w:r>
    </w:p>
    <w:p>
      <w:pPr>
        <w:widowControl/>
      </w:pPr>
      <w:r>
        <w:rPr>
          <w:b/>
          <w:i w:val="0"/>
        </w:rPr>
        <w:t>supervacua.</w:t>
      </w:r>
      <w:r>
        <w:rPr>
          <w:b w:val="0"/>
          <w:i w:val="0"/>
        </w:rPr>
        <w:t xml:space="preserve"> </w:t>
      </w:r>
      <w:hyperlink w:anchor="latin-record-0657">
        <w:r>
          <w:rPr>
            <w:color w:val="000000"/>
          </w:rPr>
          <w:t xml:space="preserve">integritas / puritas / supervacuum</w:t>
        </w:r>
      </w:hyperlink>
      <w:r>
        <w:rPr>
          <w:b w:val="0"/>
          <w:i w:val="0"/>
        </w:rPr>
        <w:t>.</w:t>
      </w:r>
    </w:p>
    <w:p>
      <w:pPr>
        <w:widowControl/>
      </w:pPr>
      <w:r>
        <w:rPr>
          <w:b/>
          <w:i w:val="0"/>
        </w:rPr>
        <w:t>supervacuis.</w:t>
      </w:r>
      <w:r>
        <w:rPr>
          <w:b w:val="0"/>
          <w:i w:val="0"/>
        </w:rPr>
        <w:t xml:space="preserve"> </w:t>
      </w:r>
      <w:hyperlink w:anchor="latin-record-1255">
        <w:r>
          <w:rPr>
            <w:color w:val="000000"/>
          </w:rPr>
          <w:t xml:space="preserve">sufficere / supervacuus</w:t>
        </w:r>
      </w:hyperlink>
      <w:r>
        <w:rPr>
          <w:b w:val="0"/>
          <w:i w:val="0"/>
        </w:rPr>
        <w:t>.</w:t>
      </w:r>
    </w:p>
    <w:p>
      <w:pPr>
        <w:widowControl/>
      </w:pPr>
      <w:r>
        <w:rPr>
          <w:b/>
          <w:i w:val="0"/>
        </w:rPr>
        <w:t>superveniunt.</w:t>
      </w:r>
      <w:r>
        <w:rPr>
          <w:b w:val="0"/>
          <w:i w:val="0"/>
        </w:rPr>
        <w:t xml:space="preserve"> </w:t>
      </w:r>
      <w:hyperlink w:anchor="latin-record-1265">
        <w:r>
          <w:rPr>
            <w:color w:val="000000"/>
          </w:rPr>
          <w:t xml:space="preserve">supervenire</w:t>
        </w:r>
      </w:hyperlink>
      <w:r>
        <w:rPr>
          <w:b w:val="0"/>
          <w:i w:val="0"/>
        </w:rPr>
        <w:t>.</w:t>
      </w:r>
    </w:p>
    <w:p>
      <w:pPr>
        <w:widowControl/>
      </w:pPr>
      <w:r>
        <w:rPr>
          <w:b/>
          <w:i w:val="0"/>
        </w:rPr>
        <w:t>supervivunt.</w:t>
      </w:r>
      <w:r>
        <w:rPr>
          <w:b w:val="0"/>
          <w:i w:val="0"/>
        </w:rPr>
        <w:t xml:space="preserve"> </w:t>
      </w:r>
      <w:hyperlink w:anchor="latin-record-0381">
        <w:r>
          <w:rPr>
            <w:color w:val="000000"/>
          </w:rPr>
          <w:t xml:space="preserve">dictio / supervivere</w:t>
        </w:r>
      </w:hyperlink>
      <w:r>
        <w:rPr>
          <w:b w:val="0"/>
          <w:i w:val="0"/>
        </w:rPr>
        <w:t>.</w:t>
      </w:r>
    </w:p>
    <w:p>
      <w:pPr>
        <w:widowControl/>
      </w:pPr>
      <w:r>
        <w:rPr>
          <w:b/>
          <w:i w:val="0"/>
        </w:rPr>
        <w:t>surgendum.</w:t>
      </w:r>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surgimus.</w:t>
      </w:r>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Surgitque.</w:t>
      </w:r>
      <w:r>
        <w:rPr>
          <w:b w:val="0"/>
          <w:i w:val="0"/>
        </w:rPr>
        <w:t xml:space="preserve"> </w:t>
      </w:r>
      <w:hyperlink w:anchor="latin-record-0133">
        <w:r>
          <w:rPr>
            <w:color w:val="000000"/>
          </w:rPr>
          <w:t xml:space="preserve">ascendere / surgere / evolare</w:t>
        </w:r>
      </w:hyperlink>
      <w:r>
        <w:rPr>
          <w:b w:val="0"/>
          <w:i w:val="0"/>
        </w:rPr>
        <w:t>.</w:t>
      </w:r>
    </w:p>
    <w:p>
      <w:pPr>
        <w:widowControl/>
      </w:pPr>
      <w:r>
        <w:rPr>
          <w:b/>
          <w:i w:val="0"/>
        </w:rPr>
        <w:t>Sursum.</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sursum.</w:t>
      </w:r>
      <w:r>
        <w:rPr>
          <w:b w:val="0"/>
          <w:i w:val="0"/>
        </w:rPr>
        <w:t xml:space="preserve"> </w:t>
      </w:r>
      <w:hyperlink w:anchor="latin-record-1266">
        <w:r>
          <w:rPr>
            <w:color w:val="000000"/>
          </w:rPr>
          <w:t xml:space="preserve">sursum; deorsum; extra; intra</w:t>
        </w:r>
      </w:hyperlink>
      <w:r>
        <w:rPr>
          <w:b w:val="0"/>
          <w:i w:val="0"/>
        </w:rPr>
        <w:t>.</w:t>
      </w:r>
    </w:p>
    <w:p>
      <w:pPr>
        <w:widowControl/>
      </w:pPr>
      <w:r>
        <w:rPr>
          <w:b/>
          <w:i w:val="0"/>
        </w:rPr>
        <w:t>susceptaculum.</w:t>
      </w:r>
      <w:r>
        <w:rPr>
          <w:b w:val="0"/>
          <w:i w:val="0"/>
        </w:rPr>
        <w:t xml:space="preserve"> </w:t>
      </w:r>
      <w:hyperlink w:anchor="latin-record-1267">
        <w:r>
          <w:rPr>
            <w:color w:val="000000"/>
          </w:rPr>
          <w:t xml:space="preserve">susceptaculum</w:t>
        </w:r>
      </w:hyperlink>
      <w:r>
        <w:rPr>
          <w:b w:val="0"/>
          <w:i w:val="0"/>
        </w:rPr>
        <w:t>.</w:t>
      </w:r>
    </w:p>
    <w:p>
      <w:pPr>
        <w:widowControl/>
      </w:pPr>
      <w:r>
        <w:rPr>
          <w:b/>
          <w:i w:val="0"/>
        </w:rPr>
        <w:t>susceptaculum suum.</w:t>
      </w:r>
      <w:r>
        <w:rPr>
          <w:b w:val="0"/>
          <w:i w:val="0"/>
        </w:rPr>
        <w:t xml:space="preserve"> </w:t>
      </w:r>
      <w:hyperlink w:anchor="latin-record-1267">
        <w:r>
          <w:rPr>
            <w:color w:val="000000"/>
          </w:rPr>
          <w:t xml:space="preserve">susceptaculum</w:t>
        </w:r>
      </w:hyperlink>
      <w:r>
        <w:rPr>
          <w:b w:val="0"/>
          <w:i w:val="0"/>
        </w:rPr>
        <w:t>.</w:t>
      </w:r>
    </w:p>
    <w:p>
      <w:pPr>
        <w:widowControl/>
      </w:pPr>
      <w:r>
        <w:rPr>
          <w:b/>
          <w:i w:val="0"/>
        </w:rPr>
        <w:t>susceptae.</w:t>
      </w:r>
      <w:r>
        <w:rPr>
          <w:b w:val="0"/>
          <w:i w:val="0"/>
        </w:rPr>
        <w:t xml:space="preserve"> </w:t>
      </w:r>
      <w:hyperlink w:anchor="latin-record-0759">
        <w:r>
          <w:rPr>
            <w:color w:val="000000"/>
          </w:rPr>
          <w:t xml:space="preserve">materia / suscipi / misceri</w:t>
        </w:r>
      </w:hyperlink>
      <w:r>
        <w:rPr>
          <w:b w:val="0"/>
          <w:i w:val="0"/>
        </w:rPr>
        <w:t>.</w:t>
      </w:r>
    </w:p>
    <w:p>
      <w:pPr>
        <w:widowControl/>
      </w:pPr>
      <w:r>
        <w:rPr>
          <w:b/>
          <w:i w:val="0"/>
        </w:rPr>
        <w:t>susceptio.</w:t>
      </w:r>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Susceptio.</w:t>
      </w:r>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suscipi.</w:t>
      </w:r>
      <w:r>
        <w:rPr>
          <w:b w:val="0"/>
          <w:i w:val="0"/>
        </w:rPr>
        <w:t xml:space="preserve"> </w:t>
      </w:r>
      <w:hyperlink w:anchor="latin-record-0017">
        <w:r>
          <w:rPr>
            <w:color w:val="000000"/>
          </w:rPr>
          <w:t xml:space="preserve">accipere / suscipere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suscipiat.</w:t>
      </w:r>
      <w:r>
        <w:rPr>
          <w:b w:val="0"/>
          <w:i w:val="0"/>
        </w:rPr>
        <w:t xml:space="preserve"> </w:t>
      </w:r>
      <w:hyperlink w:anchor="latin-record-0017">
        <w:r>
          <w:rPr>
            <w:color w:val="000000"/>
          </w:rPr>
          <w:t xml:space="preserve">accipere / suscipere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suscipiendas.</w:t>
      </w:r>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suscipiendis.</w:t>
      </w:r>
      <w:r>
        <w:rPr>
          <w:b w:val="0"/>
          <w:i w:val="0"/>
        </w:rPr>
        <w:t xml:space="preserve"> </w:t>
      </w:r>
      <w:hyperlink w:anchor="latin-record-0017">
        <w:r>
          <w:rPr>
            <w:color w:val="000000"/>
          </w:rPr>
          <w:t xml:space="preserve">accipere / suscipere</w:t>
        </w:r>
      </w:hyperlink>
      <w:r>
        <w:rPr>
          <w:b w:val="0"/>
          <w:i w:val="0"/>
        </w:rPr>
        <w:t>.</w:t>
      </w:r>
    </w:p>
    <w:p>
      <w:pPr>
        <w:widowControl/>
      </w:pPr>
      <w:r>
        <w:rPr>
          <w:b/>
          <w:i w:val="0"/>
        </w:rPr>
        <w:t>suscipiens.</w:t>
      </w:r>
      <w:r>
        <w:rPr>
          <w:b w:val="0"/>
          <w:i w:val="0"/>
        </w:rPr>
        <w:t xml:space="preserve"> </w:t>
      </w:r>
      <w:hyperlink w:anchor="latin-record-1268">
        <w:r>
          <w:rPr>
            <w:color w:val="000000"/>
          </w:rPr>
          <w:t xml:space="preserve">suscipere</w:t>
        </w:r>
      </w:hyperlink>
      <w:r>
        <w:rPr>
          <w:b w:val="0"/>
          <w:i w:val="0"/>
        </w:rPr>
        <w:t>.</w:t>
      </w:r>
    </w:p>
    <w:p>
      <w:pPr>
        <w:widowControl/>
      </w:pPr>
      <w:r>
        <w:rPr>
          <w:b/>
          <w:i w:val="0"/>
        </w:rPr>
        <w:t>suscipiet.</w:t>
      </w:r>
      <w:r>
        <w:rPr>
          <w:b w:val="0"/>
          <w:i w:val="0"/>
        </w:rPr>
        <w:t xml:space="preserve"> </w:t>
      </w:r>
      <w:hyperlink w:anchor="latin-record-1268">
        <w:r>
          <w:rPr>
            <w:color w:val="000000"/>
          </w:rPr>
          <w:t xml:space="preserve">suscipere</w:t>
        </w:r>
      </w:hyperlink>
      <w:r>
        <w:rPr>
          <w:b w:val="0"/>
          <w:i w:val="0"/>
        </w:rPr>
        <w:t>.</w:t>
      </w:r>
    </w:p>
    <w:p>
      <w:pPr>
        <w:widowControl/>
      </w:pPr>
      <w:r>
        <w:rPr>
          <w:b/>
          <w:i w:val="0"/>
        </w:rPr>
        <w:t>suscipit.</w:t>
      </w:r>
      <w:r>
        <w:rPr>
          <w:b w:val="0"/>
          <w:i w:val="0"/>
        </w:rPr>
        <w:t xml:space="preserve"> </w:t>
      </w:r>
      <w:hyperlink w:anchor="latin-record-0017">
        <w:r>
          <w:rPr>
            <w:color w:val="000000"/>
          </w:rPr>
          <w:t xml:space="preserve">accipere / suscipere</w:t>
        </w:r>
      </w:hyperlink>
      <w:r>
        <w:rPr>
          <w:b w:val="0"/>
          <w:i w:val="0"/>
        </w:rPr>
        <w:t xml:space="preserve">; </w:t>
      </w:r>
      <w:hyperlink w:anchor="latin-record-1268">
        <w:r>
          <w:rPr>
            <w:color w:val="000000"/>
          </w:rPr>
          <w:t xml:space="preserve">suscipere</w:t>
        </w:r>
      </w:hyperlink>
      <w:r>
        <w:rPr>
          <w:b w:val="0"/>
          <w:i w:val="0"/>
        </w:rPr>
        <w:t xml:space="preserve">; </w:t>
      </w:r>
      <w:hyperlink w:anchor="latin-record-1269">
        <w:r>
          <w:rPr>
            <w:color w:val="000000"/>
          </w:rPr>
          <w:t xml:space="preserve">suscipere / capere / accipere</w:t>
        </w:r>
      </w:hyperlink>
      <w:r>
        <w:rPr>
          <w:b w:val="0"/>
          <w:i w:val="0"/>
        </w:rPr>
        <w:t>.</w:t>
      </w:r>
    </w:p>
    <w:p>
      <w:pPr>
        <w:widowControl/>
      </w:pPr>
      <w:r>
        <w:rPr>
          <w:b/>
          <w:i w:val="0"/>
        </w:rPr>
        <w:t>suscipitur.</w:t>
      </w:r>
      <w:r>
        <w:rPr>
          <w:b w:val="0"/>
          <w:i w:val="0"/>
        </w:rPr>
        <w:t xml:space="preserve"> </w:t>
      </w:r>
      <w:hyperlink w:anchor="latin-record-0017">
        <w:r>
          <w:rPr>
            <w:color w:val="000000"/>
          </w:rPr>
          <w:t xml:space="preserve">accipere / suscipere</w:t>
        </w:r>
      </w:hyperlink>
      <w:r>
        <w:rPr>
          <w:b w:val="0"/>
          <w:i w:val="0"/>
        </w:rPr>
        <w:t>.</w:t>
      </w:r>
    </w:p>
    <w:p>
      <w:pPr>
        <w:widowControl/>
      </w:pPr>
      <w:r>
        <w:rPr>
          <w:b/>
          <w:i w:val="0"/>
        </w:rPr>
        <w:t>suspicatur.</w:t>
      </w:r>
      <w:r>
        <w:rPr>
          <w:b w:val="0"/>
          <w:i w:val="0"/>
        </w:rPr>
        <w:t xml:space="preserve"> </w:t>
      </w:r>
      <w:hyperlink w:anchor="latin-record-0152">
        <w:r>
          <w:rPr>
            <w:color w:val="000000"/>
          </w:rPr>
          <w:t xml:space="preserve">augurari / suspicari / somniare</w:t>
        </w:r>
      </w:hyperlink>
      <w:r>
        <w:rPr>
          <w:b w:val="0"/>
          <w:i w:val="0"/>
        </w:rPr>
        <w:t>.</w:t>
      </w:r>
    </w:p>
    <w:p>
      <w:pPr>
        <w:widowControl/>
      </w:pPr>
      <w:r>
        <w:rPr>
          <w:b/>
          <w:i w:val="0"/>
        </w:rPr>
        <w:t>sustentaculo.</w:t>
      </w:r>
      <w:r>
        <w:rPr>
          <w:b w:val="0"/>
          <w:i w:val="0"/>
        </w:rPr>
        <w:t xml:space="preserve"> </w:t>
      </w:r>
      <w:hyperlink w:anchor="latin-record-1270">
        <w:r>
          <w:rPr>
            <w:color w:val="000000"/>
          </w:rPr>
          <w:t xml:space="preserve">sustentaculum</w:t>
        </w:r>
      </w:hyperlink>
      <w:r>
        <w:rPr>
          <w:b w:val="0"/>
          <w:i w:val="0"/>
        </w:rPr>
        <w:t xml:space="preserve">; </w:t>
      </w:r>
      <w:hyperlink w:anchor="latin-record-1271">
        <w:r>
          <w:rPr>
            <w:color w:val="000000"/>
          </w:rPr>
          <w:t xml:space="preserve">sustentaculum / inquinatio</w:t>
        </w:r>
      </w:hyperlink>
      <w:r>
        <w:rPr>
          <w:b w:val="0"/>
          <w:i w:val="0"/>
        </w:rPr>
        <w:t>.</w:t>
      </w:r>
    </w:p>
    <w:p>
      <w:pPr>
        <w:widowControl/>
      </w:pPr>
      <w:r>
        <w:rPr>
          <w:b/>
          <w:i w:val="0"/>
        </w:rPr>
        <w:t>sustentaculum.</w:t>
      </w:r>
      <w:r>
        <w:rPr>
          <w:b w:val="0"/>
          <w:i w:val="0"/>
        </w:rPr>
        <w:t xml:space="preserve"> </w:t>
      </w:r>
      <w:hyperlink w:anchor="latin-record-1270">
        <w:r>
          <w:rPr>
            <w:color w:val="000000"/>
          </w:rPr>
          <w:t xml:space="preserve">sustentaculum</w:t>
        </w:r>
      </w:hyperlink>
      <w:r>
        <w:rPr>
          <w:b w:val="0"/>
          <w:i w:val="0"/>
        </w:rPr>
        <w:t>.</w:t>
      </w:r>
    </w:p>
    <w:p>
      <w:pPr>
        <w:widowControl/>
      </w:pPr>
      <w:r>
        <w:rPr>
          <w:b/>
          <w:i w:val="0"/>
        </w:rPr>
        <w:t>sustinebit vibrabitque.</w:t>
      </w:r>
      <w:r>
        <w:rPr>
          <w:b w:val="0"/>
          <w:i w:val="0"/>
        </w:rPr>
        <w:t xml:space="preserve"> </w:t>
      </w:r>
      <w:hyperlink w:anchor="latin-record-1272">
        <w:r>
          <w:rPr>
            <w:color w:val="000000"/>
          </w:rPr>
          <w:t xml:space="preserve">sustinere / vibrare</w:t>
        </w:r>
      </w:hyperlink>
      <w:r>
        <w:rPr>
          <w:b w:val="0"/>
          <w:i w:val="0"/>
        </w:rPr>
        <w:t>.</w:t>
      </w:r>
    </w:p>
    <w:p>
      <w:pPr>
        <w:widowControl/>
      </w:pPr>
      <w:r>
        <w:rPr>
          <w:b/>
          <w:i w:val="0"/>
        </w:rPr>
        <w:t>sustinebunt.</w:t>
      </w:r>
      <w:r>
        <w:rPr>
          <w:b w:val="0"/>
          <w:i w:val="0"/>
        </w:rPr>
        <w:t xml:space="preserve"> </w:t>
      </w:r>
      <w:hyperlink w:anchor="latin-record-0912">
        <w:r>
          <w:rPr>
            <w:color w:val="000000"/>
          </w:rPr>
          <w:t xml:space="preserve">pendere / oriri / sustinere / nasci</w:t>
        </w:r>
      </w:hyperlink>
      <w:r>
        <w:rPr>
          <w:b w:val="0"/>
          <w:i w:val="0"/>
        </w:rPr>
        <w:t>.</w:t>
      </w:r>
    </w:p>
    <w:p>
      <w:pPr>
        <w:widowControl/>
      </w:pPr>
      <w:r>
        <w:rPr>
          <w:b/>
          <w:i w:val="0"/>
        </w:rPr>
        <w:t>suum cuique.</w:t>
      </w:r>
      <w:r>
        <w:rPr>
          <w:b w:val="0"/>
          <w:i w:val="0"/>
        </w:rPr>
        <w:t xml:space="preserve"> </w:t>
      </w:r>
      <w:hyperlink w:anchor="latin-record-0696">
        <w:r>
          <w:rPr>
            <w:color w:val="000000"/>
          </w:rPr>
          <w:t xml:space="preserve">iustitia / suum cuique</w:t>
        </w:r>
      </w:hyperlink>
      <w:r>
        <w:rPr>
          <w:b w:val="0"/>
          <w:i w:val="0"/>
        </w:rPr>
        <w:t>.</w:t>
      </w:r>
    </w:p>
    <w:p>
      <w:pPr>
        <w:widowControl/>
      </w:pPr>
      <w:r>
        <w:rPr>
          <w:b/>
          <w:i w:val="0"/>
        </w:rPr>
        <w:t>tabe.</w:t>
      </w:r>
      <w:r>
        <w:rPr>
          <w:b w:val="0"/>
          <w:i w:val="0"/>
        </w:rPr>
        <w:t xml:space="preserve"> </w:t>
      </w:r>
      <w:hyperlink w:anchor="latin-record-0574">
        <w:r>
          <w:rPr>
            <w:color w:val="000000"/>
          </w:rPr>
          <w:t xml:space="preserve">humor; tabes; pinguedo</w:t>
        </w:r>
      </w:hyperlink>
      <w:r>
        <w:rPr>
          <w:b w:val="0"/>
          <w:i w:val="0"/>
        </w:rPr>
        <w:t>.</w:t>
      </w:r>
    </w:p>
    <w:p>
      <w:pPr>
        <w:widowControl/>
      </w:pPr>
      <w:r>
        <w:rPr>
          <w:b/>
          <w:i w:val="0"/>
        </w:rPr>
        <w:t>tactu.</w:t>
      </w:r>
      <w:r>
        <w:rPr>
          <w:b w:val="0"/>
          <w:i w:val="0"/>
        </w:rPr>
        <w:t xml:space="preserve"> </w:t>
      </w:r>
      <w:hyperlink w:anchor="latin-record-1273">
        <w:r>
          <w:rPr>
            <w:color w:val="000000"/>
          </w:rPr>
          <w:t xml:space="preserve">tactus</w:t>
        </w:r>
      </w:hyperlink>
      <w:r>
        <w:rPr>
          <w:b w:val="0"/>
          <w:i w:val="0"/>
        </w:rPr>
        <w:t>.</w:t>
      </w:r>
    </w:p>
    <w:p>
      <w:pPr>
        <w:widowControl/>
      </w:pPr>
      <w:r>
        <w:rPr>
          <w:b/>
          <w:i w:val="0"/>
        </w:rPr>
        <w:t>tactus.</w:t>
      </w:r>
      <w:r>
        <w:rPr>
          <w:b w:val="0"/>
          <w:i w:val="0"/>
        </w:rPr>
        <w:t xml:space="preserve"> </w:t>
      </w:r>
      <w:hyperlink w:anchor="latin-record-1273">
        <w:r>
          <w:rPr>
            <w:color w:val="000000"/>
          </w:rPr>
          <w:t xml:space="preserve">tactus</w:t>
        </w:r>
      </w:hyperlink>
      <w:r>
        <w:rPr>
          <w:b w:val="0"/>
          <w:i w:val="0"/>
        </w:rPr>
        <w:t>.</w:t>
      </w:r>
    </w:p>
    <w:p>
      <w:pPr>
        <w:widowControl/>
      </w:pPr>
      <w:r>
        <w:rPr>
          <w:b/>
          <w:i w:val="0"/>
        </w:rPr>
        <w:t>tale.</w:t>
      </w:r>
      <w:r>
        <w:rPr>
          <w:b w:val="0"/>
          <w:i w:val="0"/>
        </w:rPr>
        <w:t xml:space="preserve"> </w:t>
      </w:r>
      <w:hyperlink w:anchor="latin-record-0210">
        <w:r>
          <w:rPr>
            <w:color w:val="000000"/>
          </w:rPr>
          <w:t xml:space="preserve">certus / talis</w:t>
        </w:r>
      </w:hyperlink>
      <w:r>
        <w:rPr>
          <w:b w:val="0"/>
          <w:i w:val="0"/>
        </w:rPr>
        <w:t>.</w:t>
      </w:r>
    </w:p>
    <w:p>
      <w:pPr>
        <w:widowControl/>
      </w:pPr>
      <w:r>
        <w:rPr>
          <w:b/>
          <w:i w:val="0"/>
        </w:rPr>
        <w:t>tale quiddam.</w:t>
      </w:r>
      <w:r>
        <w:rPr>
          <w:b w:val="0"/>
          <w:i w:val="0"/>
        </w:rPr>
        <w:t xml:space="preserve"> </w:t>
      </w:r>
      <w:hyperlink w:anchor="latin-record-1274">
        <w:r>
          <w:rPr>
            <w:color w:val="000000"/>
          </w:rPr>
          <w:t xml:space="preserve">talis; sic affectus</w:t>
        </w:r>
      </w:hyperlink>
      <w:r>
        <w:rPr>
          <w:b w:val="0"/>
          <w:i w:val="0"/>
        </w:rPr>
        <w:t>.</w:t>
      </w:r>
    </w:p>
    <w:p>
      <w:pPr>
        <w:widowControl/>
      </w:pPr>
      <w:r>
        <w:rPr>
          <w:b/>
          <w:i w:val="0"/>
        </w:rPr>
        <w:t>talem.</w:t>
      </w:r>
      <w:r>
        <w:rPr>
          <w:b w:val="0"/>
          <w:i w:val="0"/>
        </w:rPr>
        <w:t xml:space="preserve"> </w:t>
      </w:r>
      <w:hyperlink w:anchor="latin-record-0210">
        <w:r>
          <w:rPr>
            <w:color w:val="000000"/>
          </w:rPr>
          <w:t xml:space="preserve">certus / talis</w:t>
        </w:r>
      </w:hyperlink>
      <w:r>
        <w:rPr>
          <w:b w:val="0"/>
          <w:i w:val="0"/>
        </w:rPr>
        <w:t>.</w:t>
      </w:r>
    </w:p>
    <w:p>
      <w:pPr>
        <w:widowControl/>
      </w:pPr>
      <w:r>
        <w:rPr>
          <w:b/>
          <w:i w:val="0"/>
        </w:rPr>
        <w:t>tales.</w:t>
      </w:r>
      <w:r>
        <w:rPr>
          <w:b w:val="0"/>
          <w:i w:val="0"/>
        </w:rPr>
        <w:t xml:space="preserve"> </w:t>
      </w:r>
      <w:hyperlink w:anchor="latin-record-0210">
        <w:r>
          <w:rPr>
            <w:color w:val="000000"/>
          </w:rPr>
          <w:t xml:space="preserve">certus / talis</w:t>
        </w:r>
      </w:hyperlink>
      <w:r>
        <w:rPr>
          <w:b w:val="0"/>
          <w:i w:val="0"/>
        </w:rPr>
        <w:t>.</w:t>
      </w:r>
    </w:p>
    <w:p>
      <w:pPr>
        <w:widowControl/>
      </w:pPr>
      <w:r>
        <w:rPr>
          <w:b/>
          <w:i w:val="0"/>
        </w:rPr>
        <w:t>tali.</w:t>
      </w:r>
      <w:r>
        <w:rPr>
          <w:b w:val="0"/>
          <w:i w:val="0"/>
        </w:rPr>
        <w:t xml:space="preserve"> </w:t>
      </w:r>
      <w:hyperlink w:anchor="latin-record-0210">
        <w:r>
          <w:rPr>
            <w:color w:val="000000"/>
          </w:rPr>
          <w:t xml:space="preserve">certus / talis</w:t>
        </w:r>
      </w:hyperlink>
      <w:r>
        <w:rPr>
          <w:b w:val="0"/>
          <w:i w:val="0"/>
        </w:rPr>
        <w:t>.</w:t>
      </w:r>
    </w:p>
    <w:p>
      <w:pPr>
        <w:widowControl/>
      </w:pPr>
      <w:r>
        <w:rPr>
          <w:b/>
          <w:i w:val="0"/>
        </w:rPr>
        <w:t>talis.</w:t>
      </w:r>
      <w:r>
        <w:rPr>
          <w:b w:val="0"/>
          <w:i w:val="0"/>
        </w:rPr>
        <w:t xml:space="preserve"> </w:t>
      </w:r>
      <w:hyperlink w:anchor="latin-record-0210">
        <w:r>
          <w:rPr>
            <w:color w:val="000000"/>
          </w:rPr>
          <w:t xml:space="preserve">certus / talis</w:t>
        </w:r>
      </w:hyperlink>
      <w:r>
        <w:rPr>
          <w:b w:val="0"/>
          <w:i w:val="0"/>
        </w:rPr>
        <w:t>.</w:t>
      </w:r>
    </w:p>
    <w:p>
      <w:pPr>
        <w:widowControl/>
      </w:pPr>
      <w:r>
        <w:rPr>
          <w:b/>
          <w:i w:val="0"/>
        </w:rPr>
        <w:t>Talis.</w:t>
      </w:r>
      <w:r>
        <w:rPr>
          <w:b w:val="0"/>
          <w:i w:val="0"/>
        </w:rPr>
        <w:t xml:space="preserve"> </w:t>
      </w:r>
      <w:hyperlink w:anchor="latin-record-0210">
        <w:r>
          <w:rPr>
            <w:color w:val="000000"/>
          </w:rPr>
          <w:t xml:space="preserve">certus / talis</w:t>
        </w:r>
      </w:hyperlink>
      <w:r>
        <w:rPr>
          <w:b w:val="0"/>
          <w:i w:val="0"/>
        </w:rPr>
        <w:t>.</w:t>
      </w:r>
    </w:p>
    <w:p>
      <w:pPr>
        <w:widowControl/>
      </w:pPr>
      <w:r>
        <w:rPr>
          <w:b/>
          <w:i w:val="0"/>
        </w:rPr>
        <w:t>tamen.</w:t>
      </w:r>
      <w:r>
        <w:rPr>
          <w:b w:val="0"/>
          <w:i w:val="0"/>
        </w:rPr>
        <w:t xml:space="preserve"> </w:t>
      </w:r>
      <w:hyperlink w:anchor="latin-record-0595">
        <w:r>
          <w:rPr>
            <w:color w:val="000000"/>
          </w:rPr>
          <w:t xml:space="preserve">immo / tamen / non tamen</w:t>
        </w:r>
      </w:hyperlink>
      <w:r>
        <w:rPr>
          <w:b w:val="0"/>
          <w:i w:val="0"/>
        </w:rPr>
        <w:t xml:space="preserve">; </w:t>
      </w:r>
      <w:hyperlink w:anchor="latin-record-0596">
        <w:r>
          <w:rPr>
            <w:color w:val="000000"/>
          </w:rPr>
          <w:t xml:space="preserve">immo; tamen; nihilominus</w:t>
        </w:r>
      </w:hyperlink>
      <w:r>
        <w:rPr>
          <w:b w:val="0"/>
          <w:i w:val="0"/>
        </w:rPr>
        <w:t>.</w:t>
      </w:r>
    </w:p>
    <w:p>
      <w:pPr>
        <w:widowControl/>
      </w:pPr>
      <w:r>
        <w:rPr>
          <w:b/>
          <w:i w:val="0"/>
        </w:rPr>
        <w:t>tamquam.</w:t>
      </w:r>
      <w:r>
        <w:rPr>
          <w:b w:val="0"/>
          <w:i w:val="0"/>
        </w:rPr>
        <w:t xml:space="preserve"> </w:t>
      </w:r>
      <w:hyperlink w:anchor="latin-record-0922">
        <w:r>
          <w:rPr>
            <w:color w:val="000000"/>
          </w:rPr>
          <w:t xml:space="preserve">per se; quodammodo; proprie</w:t>
        </w:r>
      </w:hyperlink>
      <w:r>
        <w:rPr>
          <w:b w:val="0"/>
          <w:i w:val="0"/>
        </w:rPr>
        <w:t>.</w:t>
      </w:r>
    </w:p>
    <w:p>
      <w:pPr>
        <w:widowControl/>
      </w:pPr>
      <w:r>
        <w:rPr>
          <w:b/>
          <w:i w:val="0"/>
        </w:rPr>
        <w:t>tandem.</w:t>
      </w:r>
      <w:r>
        <w:rPr>
          <w:b w:val="0"/>
          <w:i w:val="0"/>
        </w:rPr>
        <w:t xml:space="preserve"> </w:t>
      </w:r>
      <w:hyperlink w:anchor="latin-record-1236">
        <w:r>
          <w:rPr>
            <w:color w:val="000000"/>
          </w:rPr>
          <w:t xml:space="preserve">statim; subito; paulatim</w:t>
        </w:r>
      </w:hyperlink>
      <w:r>
        <w:rPr>
          <w:b w:val="0"/>
          <w:i w:val="0"/>
        </w:rPr>
        <w:t>.</w:t>
      </w:r>
    </w:p>
    <w:p>
      <w:pPr>
        <w:widowControl/>
      </w:pPr>
      <w:r>
        <w:rPr>
          <w:b/>
          <w:i w:val="0"/>
        </w:rPr>
        <w:t>tangatur.</w:t>
      </w:r>
      <w:r>
        <w:rPr>
          <w:b w:val="0"/>
          <w:i w:val="0"/>
        </w:rPr>
        <w:t xml:space="preserve"> </w:t>
      </w:r>
      <w:hyperlink w:anchor="latin-record-1275">
        <w:r>
          <w:rPr>
            <w:color w:val="000000"/>
          </w:rPr>
          <w:t xml:space="preserve">tangere</w:t>
        </w:r>
      </w:hyperlink>
      <w:r>
        <w:rPr>
          <w:b w:val="0"/>
          <w:i w:val="0"/>
        </w:rPr>
        <w:t>.</w:t>
      </w:r>
    </w:p>
    <w:p>
      <w:pPr>
        <w:widowControl/>
      </w:pPr>
      <w:r>
        <w:rPr>
          <w:b/>
          <w:i w:val="0"/>
        </w:rPr>
        <w:t>tangi.</w:t>
      </w:r>
      <w:r>
        <w:rPr>
          <w:b w:val="0"/>
          <w:i w:val="0"/>
        </w:rPr>
        <w:t xml:space="preserve"> </w:t>
      </w:r>
      <w:hyperlink w:anchor="latin-record-1275">
        <w:r>
          <w:rPr>
            <w:color w:val="000000"/>
          </w:rPr>
          <w:t xml:space="preserve">tangere</w:t>
        </w:r>
      </w:hyperlink>
      <w:r>
        <w:rPr>
          <w:b w:val="0"/>
          <w:i w:val="0"/>
        </w:rPr>
        <w:t>.</w:t>
      </w:r>
    </w:p>
    <w:p>
      <w:pPr>
        <w:widowControl/>
      </w:pPr>
      <w:r>
        <w:rPr>
          <w:b/>
          <w:i w:val="0"/>
        </w:rPr>
        <w:t>tangit.</w:t>
      </w:r>
      <w:r>
        <w:rPr>
          <w:b w:val="0"/>
          <w:i w:val="0"/>
        </w:rPr>
        <w:t xml:space="preserve"> </w:t>
      </w:r>
      <w:hyperlink w:anchor="latin-record-1275">
        <w:r>
          <w:rPr>
            <w:color w:val="000000"/>
          </w:rPr>
          <w:t xml:space="preserve">tangere</w:t>
        </w:r>
      </w:hyperlink>
      <w:r>
        <w:rPr>
          <w:b w:val="0"/>
          <w:i w:val="0"/>
        </w:rPr>
        <w:t xml:space="preserve">; </w:t>
      </w:r>
      <w:hyperlink w:anchor="latin-record-1350">
        <w:r>
          <w:rPr>
            <w:color w:val="000000"/>
          </w:rPr>
          <w:t xml:space="preserve">videre; audire; olfacere; gustare; tangere</w:t>
        </w:r>
      </w:hyperlink>
      <w:r>
        <w:rPr>
          <w:b w:val="0"/>
          <w:i w:val="0"/>
        </w:rPr>
        <w:t>.</w:t>
      </w:r>
    </w:p>
    <w:p>
      <w:pPr>
        <w:widowControl/>
      </w:pPr>
      <w:r>
        <w:rPr>
          <w:b/>
          <w:i w:val="0"/>
        </w:rPr>
        <w:t>tangitur.</w:t>
      </w:r>
      <w:r>
        <w:rPr>
          <w:b w:val="0"/>
          <w:i w:val="0"/>
        </w:rPr>
        <w:t xml:space="preserve"> </w:t>
      </w:r>
      <w:hyperlink w:anchor="latin-record-1275">
        <w:r>
          <w:rPr>
            <w:color w:val="000000"/>
          </w:rPr>
          <w:t xml:space="preserve">tangere</w:t>
        </w:r>
      </w:hyperlink>
      <w:r>
        <w:rPr>
          <w:b w:val="0"/>
          <w:i w:val="0"/>
        </w:rPr>
        <w:t>.</w:t>
      </w:r>
    </w:p>
    <w:p>
      <w:pPr>
        <w:widowControl/>
      </w:pPr>
      <w:r>
        <w:rPr>
          <w:b/>
          <w:i w:val="0"/>
        </w:rPr>
        <w:t>tanto.</w:t>
      </w:r>
      <w:r>
        <w:rPr>
          <w:b w:val="0"/>
          <w:i w:val="0"/>
        </w:rPr>
        <w:t xml:space="preserve"> </w:t>
      </w:r>
      <w:hyperlink w:anchor="latin-record-1048">
        <w:r>
          <w:rPr>
            <w:color w:val="000000"/>
          </w:rPr>
          <w:t xml:space="preserve">quantum; quatenus; respectus</w:t>
        </w:r>
      </w:hyperlink>
      <w:r>
        <w:rPr>
          <w:b w:val="0"/>
          <w:i w:val="0"/>
        </w:rPr>
        <w:t>.</w:t>
      </w:r>
    </w:p>
    <w:p>
      <w:pPr>
        <w:widowControl/>
      </w:pPr>
      <w:r>
        <w:rPr>
          <w:b/>
          <w:i w:val="0"/>
        </w:rPr>
        <w:t>tantum.</w:t>
      </w:r>
      <w:r>
        <w:rPr>
          <w:b w:val="0"/>
          <w:i w:val="0"/>
        </w:rPr>
        <w:t xml:space="preserve"> </w:t>
      </w:r>
      <w:hyperlink w:anchor="latin-record-1048">
        <w:r>
          <w:rPr>
            <w:color w:val="000000"/>
          </w:rPr>
          <w:t xml:space="preserve">quantum; quatenus; respectus</w:t>
        </w:r>
      </w:hyperlink>
      <w:r>
        <w:rPr>
          <w:b w:val="0"/>
          <w:i w:val="0"/>
        </w:rPr>
        <w:t>.</w:t>
      </w:r>
    </w:p>
    <w:p>
      <w:pPr>
        <w:widowControl/>
      </w:pPr>
      <w:r>
        <w:rPr>
          <w:b/>
          <w:i w:val="0"/>
        </w:rPr>
        <w:t>temperantia.</w:t>
      </w:r>
      <w:r>
        <w:rPr>
          <w:b w:val="0"/>
          <w:i w:val="0"/>
        </w:rPr>
        <w:t xml:space="preserve"> </w:t>
      </w:r>
      <w:hyperlink w:anchor="latin-record-1276">
        <w:r>
          <w:rPr>
            <w:color w:val="000000"/>
          </w:rPr>
          <w:t xml:space="preserve">temperantia / libido</w:t>
        </w:r>
      </w:hyperlink>
      <w:r>
        <w:rPr>
          <w:b w:val="0"/>
          <w:i w:val="0"/>
        </w:rPr>
        <w:t>.</w:t>
      </w:r>
    </w:p>
    <w:p>
      <w:pPr>
        <w:widowControl/>
      </w:pPr>
      <w:r>
        <w:rPr>
          <w:b/>
          <w:i w:val="0"/>
        </w:rPr>
        <w:t>temperat.</w:t>
      </w:r>
      <w:r>
        <w:rPr>
          <w:b w:val="0"/>
          <w:i w:val="0"/>
        </w:rPr>
        <w:t xml:space="preserve"> </w:t>
      </w:r>
      <w:hyperlink w:anchor="latin-record-0316">
        <w:r>
          <w:rPr>
            <w:color w:val="000000"/>
          </w:rPr>
          <w:t xml:space="preserve">contemperare / temperatrix</w:t>
        </w:r>
      </w:hyperlink>
      <w:r>
        <w:rPr>
          <w:b w:val="0"/>
          <w:i w:val="0"/>
        </w:rPr>
        <w:t>.</w:t>
      </w:r>
    </w:p>
    <w:p>
      <w:pPr>
        <w:widowControl/>
      </w:pPr>
      <w:r>
        <w:rPr>
          <w:b/>
          <w:i w:val="0"/>
        </w:rPr>
        <w:t>temperatio.</w:t>
      </w:r>
      <w:r>
        <w:rPr>
          <w:b w:val="0"/>
          <w:i w:val="0"/>
        </w:rPr>
        <w:t xml:space="preserve"> </w:t>
      </w:r>
      <w:hyperlink w:anchor="latin-record-1279">
        <w:r>
          <w:rPr>
            <w:color w:val="000000"/>
          </w:rPr>
          <w:t xml:space="preserve">temperatio / complexio</w:t>
        </w:r>
      </w:hyperlink>
      <w:r>
        <w:rPr>
          <w:b w:val="0"/>
          <w:i w:val="0"/>
        </w:rPr>
        <w:t>.</w:t>
      </w:r>
    </w:p>
    <w:p>
      <w:pPr>
        <w:widowControl/>
      </w:pPr>
      <w:r>
        <w:rPr>
          <w:b/>
          <w:i w:val="0"/>
        </w:rPr>
        <w:t>temperatio artis.</w:t>
      </w:r>
      <w:r>
        <w:rPr>
          <w:b w:val="0"/>
          <w:i w:val="0"/>
        </w:rPr>
        <w:t xml:space="preserve"> </w:t>
      </w:r>
      <w:hyperlink w:anchor="latin-record-1280">
        <w:r>
          <w:rPr>
            <w:color w:val="000000"/>
          </w:rPr>
          <w:t xml:space="preserve">temperatio artis</w:t>
        </w:r>
      </w:hyperlink>
      <w:r>
        <w:rPr>
          <w:b w:val="0"/>
          <w:i w:val="0"/>
        </w:rPr>
        <w:t>.</w:t>
      </w:r>
    </w:p>
    <w:p>
      <w:pPr>
        <w:widowControl/>
      </w:pPr>
      <w:r>
        <w:rPr>
          <w:b/>
          <w:i w:val="0"/>
        </w:rPr>
        <w:t>temperatione.</w:t>
      </w:r>
      <w:r>
        <w:rPr>
          <w:b w:val="0"/>
          <w:i w:val="0"/>
        </w:rPr>
        <w:t xml:space="preserve"> </w:t>
      </w:r>
      <w:hyperlink w:anchor="latin-record-1278">
        <w:r>
          <w:rPr>
            <w:color w:val="000000"/>
          </w:rPr>
          <w:t xml:space="preserve">temperatio</w:t>
        </w:r>
      </w:hyperlink>
      <w:r>
        <w:rPr>
          <w:b w:val="0"/>
          <w:i w:val="0"/>
        </w:rPr>
        <w:t>.</w:t>
      </w:r>
    </w:p>
    <w:p>
      <w:pPr>
        <w:widowControl/>
      </w:pPr>
      <w:r>
        <w:rPr>
          <w:b/>
          <w:i w:val="0"/>
        </w:rPr>
        <w:t>temperationem.</w:t>
      </w:r>
      <w:r>
        <w:rPr>
          <w:b w:val="0"/>
          <w:i w:val="0"/>
        </w:rPr>
        <w:t xml:space="preserve"> </w:t>
      </w:r>
      <w:hyperlink w:anchor="latin-record-1279">
        <w:r>
          <w:rPr>
            <w:color w:val="000000"/>
          </w:rPr>
          <w:t xml:space="preserve">temperatio / complexio</w:t>
        </w:r>
      </w:hyperlink>
      <w:r>
        <w:rPr>
          <w:b w:val="0"/>
          <w:i w:val="0"/>
        </w:rPr>
        <w:t>.</w:t>
      </w:r>
    </w:p>
    <w:p>
      <w:pPr>
        <w:widowControl/>
      </w:pPr>
      <w:r>
        <w:rPr>
          <w:b/>
          <w:i w:val="0"/>
        </w:rPr>
        <w:t>temperationi.</w:t>
      </w:r>
      <w:r>
        <w:rPr>
          <w:b w:val="0"/>
          <w:i w:val="0"/>
        </w:rPr>
        <w:t xml:space="preserve"> </w:t>
      </w:r>
      <w:hyperlink w:anchor="latin-record-1279">
        <w:r>
          <w:rPr>
            <w:color w:val="000000"/>
          </w:rPr>
          <w:t xml:space="preserve">temperatio / complexio</w:t>
        </w:r>
      </w:hyperlink>
      <w:r>
        <w:rPr>
          <w:b w:val="0"/>
          <w:i w:val="0"/>
        </w:rPr>
        <w:t>.</w:t>
      </w:r>
    </w:p>
    <w:p>
      <w:pPr>
        <w:widowControl/>
      </w:pPr>
      <w:r>
        <w:rPr>
          <w:b/>
          <w:i w:val="0"/>
        </w:rPr>
        <w:t>temperatrix.</w:t>
      </w:r>
      <w:r>
        <w:rPr>
          <w:b w:val="0"/>
          <w:i w:val="0"/>
        </w:rPr>
        <w:t xml:space="preserve"> </w:t>
      </w:r>
      <w:hyperlink w:anchor="latin-record-0316">
        <w:r>
          <w:rPr>
            <w:color w:val="000000"/>
          </w:rPr>
          <w:t xml:space="preserve">contemperare / temperatrix</w:t>
        </w:r>
      </w:hyperlink>
      <w:r>
        <w:rPr>
          <w:b w:val="0"/>
          <w:i w:val="0"/>
        </w:rPr>
        <w:t>.</w:t>
      </w:r>
    </w:p>
    <w:p>
      <w:pPr>
        <w:widowControl/>
      </w:pPr>
      <w:r>
        <w:rPr>
          <w:b/>
          <w:i w:val="0"/>
        </w:rPr>
        <w:t>temperetur.</w:t>
      </w:r>
      <w:r>
        <w:rPr>
          <w:b w:val="0"/>
          <w:i w:val="0"/>
        </w:rPr>
        <w:t xml:space="preserve"> </w:t>
      </w:r>
      <w:hyperlink w:anchor="latin-record-0738">
        <w:r>
          <w:rPr>
            <w:color w:val="000000"/>
          </w:rPr>
          <w:t xml:space="preserve">lyra / temperare</w:t>
        </w:r>
      </w:hyperlink>
      <w:r>
        <w:rPr>
          <w:b w:val="0"/>
          <w:i w:val="0"/>
        </w:rPr>
        <w:t>.</w:t>
      </w:r>
    </w:p>
    <w:p>
      <w:pPr>
        <w:widowControl/>
      </w:pPr>
      <w:r>
        <w:rPr>
          <w:b/>
          <w:i w:val="0"/>
        </w:rPr>
        <w:t>tempestate.</w:t>
      </w:r>
      <w:r>
        <w:rPr>
          <w:b w:val="0"/>
          <w:i w:val="0"/>
        </w:rPr>
        <w:t xml:space="preserve"> </w:t>
      </w:r>
      <w:hyperlink w:anchor="latin-record-1002">
        <w:r>
          <w:rPr>
            <w:color w:val="000000"/>
          </w:rPr>
          <w:t xml:space="preserve">procella / tempestas</w:t>
        </w:r>
      </w:hyperlink>
      <w:r>
        <w:rPr>
          <w:b w:val="0"/>
          <w:i w:val="0"/>
        </w:rPr>
        <w:t>.</w:t>
      </w:r>
    </w:p>
    <w:p>
      <w:pPr>
        <w:widowControl/>
      </w:pPr>
      <w:r>
        <w:rPr>
          <w:b/>
          <w:i w:val="0"/>
        </w:rPr>
        <w:t>temporalis ascensio.</w:t>
      </w:r>
      <w:r>
        <w:rPr>
          <w:b w:val="0"/>
          <w:i w:val="0"/>
        </w:rPr>
        <w:t xml:space="preserve"> </w:t>
      </w:r>
      <w:hyperlink w:anchor="latin-record-0134">
        <w:r>
          <w:rPr>
            <w:color w:val="000000"/>
          </w:rPr>
          <w:t xml:space="preserve">ascensio; descensio</w:t>
        </w:r>
      </w:hyperlink>
      <w:r>
        <w:rPr>
          <w:b w:val="0"/>
          <w:i w:val="0"/>
        </w:rPr>
        <w:t>.</w:t>
      </w:r>
    </w:p>
    <w:p>
      <w:pPr>
        <w:widowControl/>
      </w:pPr>
      <w:r>
        <w:rPr>
          <w:b/>
          <w:i w:val="0"/>
        </w:rPr>
        <w:t>temporalis vicissitudo seminum.</w:t>
      </w:r>
      <w:r>
        <w:rPr>
          <w:b w:val="0"/>
          <w:i w:val="0"/>
        </w:rPr>
        <w:t xml:space="preserve"> </w:t>
      </w:r>
      <w:hyperlink w:anchor="latin-record-1348">
        <w:r>
          <w:rPr>
            <w:color w:val="000000"/>
          </w:rPr>
          <w:t xml:space="preserve">vicissitudo seminum</w:t>
        </w:r>
      </w:hyperlink>
      <w:r>
        <w:rPr>
          <w:b w:val="0"/>
          <w:i w:val="0"/>
        </w:rPr>
        <w:t>.</w:t>
      </w:r>
    </w:p>
    <w:p>
      <w:pPr>
        <w:widowControl/>
      </w:pPr>
      <w:r>
        <w:rPr>
          <w:b/>
          <w:i w:val="0"/>
        </w:rPr>
        <w:t>tempore.</w:t>
      </w:r>
      <w:r>
        <w:rPr>
          <w:b w:val="0"/>
          <w:i w:val="0"/>
        </w:rPr>
        <w:t xml:space="preserve"> </w:t>
      </w:r>
      <w:hyperlink w:anchor="latin-record-0721">
        <w:r>
          <w:rPr>
            <w:color w:val="000000"/>
          </w:rPr>
          <w:t xml:space="preserve">locus / situs / tempus</w:t>
        </w:r>
      </w:hyperlink>
      <w:r>
        <w:rPr>
          <w:b w:val="0"/>
          <w:i w:val="0"/>
        </w:rPr>
        <w:t xml:space="preserve">; </w:t>
      </w:r>
      <w:hyperlink w:anchor="latin-record-0722">
        <w:r>
          <w:rPr>
            <w:color w:val="000000"/>
          </w:rPr>
          <w:t xml:space="preserve">locus / tempus</w:t>
        </w:r>
      </w:hyperlink>
      <w:r>
        <w:rPr>
          <w:b w:val="0"/>
          <w:i w:val="0"/>
        </w:rPr>
        <w:t>.</w:t>
      </w:r>
    </w:p>
    <w:p>
      <w:pPr>
        <w:widowControl/>
      </w:pPr>
      <w:r>
        <w:rPr>
          <w:b/>
          <w:i w:val="0"/>
        </w:rPr>
        <w:t>tempori.</w:t>
      </w:r>
      <w:r>
        <w:rPr>
          <w:b w:val="0"/>
          <w:i w:val="0"/>
        </w:rPr>
        <w:t xml:space="preserve"> </w:t>
      </w:r>
      <w:hyperlink w:anchor="latin-record-0721">
        <w:r>
          <w:rPr>
            <w:color w:val="000000"/>
          </w:rPr>
          <w:t xml:space="preserve">locus / situs / tempus</w:t>
        </w:r>
      </w:hyperlink>
      <w:r>
        <w:rPr>
          <w:b w:val="0"/>
          <w:i w:val="0"/>
        </w:rPr>
        <w:t>.</w:t>
      </w:r>
    </w:p>
    <w:p>
      <w:pPr>
        <w:widowControl/>
      </w:pPr>
      <w:r>
        <w:rPr>
          <w:b/>
          <w:i w:val="0"/>
        </w:rPr>
        <w:t>temporis.</w:t>
      </w:r>
      <w:r>
        <w:rPr>
          <w:b w:val="0"/>
          <w:i w:val="0"/>
        </w:rPr>
        <w:t xml:space="preserve"> </w:t>
      </w:r>
      <w:hyperlink w:anchor="latin-record-0722">
        <w:r>
          <w:rPr>
            <w:color w:val="000000"/>
          </w:rPr>
          <w:t xml:space="preserve">locus / tempus</w:t>
        </w:r>
      </w:hyperlink>
      <w:r>
        <w:rPr>
          <w:b w:val="0"/>
          <w:i w:val="0"/>
        </w:rPr>
        <w:t xml:space="preserve">; </w:t>
      </w:r>
      <w:hyperlink w:anchor="latin-record-0798">
        <w:r>
          <w:rPr>
            <w:color w:val="000000"/>
          </w:rPr>
          <w:t xml:space="preserve">mores; doctrina; tempus</w:t>
        </w:r>
      </w:hyperlink>
      <w:r>
        <w:rPr>
          <w:b w:val="0"/>
          <w:i w:val="0"/>
        </w:rPr>
        <w:t xml:space="preserve">; </w:t>
      </w:r>
      <w:hyperlink w:anchor="latin-record-0985">
        <w:r>
          <w:rPr>
            <w:color w:val="000000"/>
          </w:rPr>
          <w:t xml:space="preserve">praeteritum / futurum / praesens</w:t>
        </w:r>
      </w:hyperlink>
      <w:r>
        <w:rPr>
          <w:b w:val="0"/>
          <w:i w:val="0"/>
        </w:rPr>
        <w:t>.</w:t>
      </w:r>
    </w:p>
    <w:p>
      <w:pPr>
        <w:widowControl/>
      </w:pPr>
      <w:r>
        <w:rPr>
          <w:b/>
          <w:i w:val="0"/>
        </w:rPr>
        <w:t>temporis intervallo.</w:t>
      </w:r>
      <w:r>
        <w:rPr>
          <w:b w:val="0"/>
          <w:i w:val="0"/>
        </w:rPr>
        <w:t xml:space="preserve"> </w:t>
      </w:r>
      <w:hyperlink w:anchor="latin-record-0676">
        <w:r>
          <w:rPr>
            <w:color w:val="000000"/>
          </w:rPr>
          <w:t xml:space="preserve">intervallum temporis</w:t>
        </w:r>
      </w:hyperlink>
      <w:r>
        <w:rPr>
          <w:b w:val="0"/>
          <w:i w:val="0"/>
        </w:rPr>
        <w:t>.</w:t>
      </w:r>
    </w:p>
    <w:p>
      <w:pPr>
        <w:widowControl/>
      </w:pPr>
      <w:r>
        <w:rPr>
          <w:b/>
          <w:i w:val="0"/>
        </w:rPr>
        <w:t>temporis intervallum.</w:t>
      </w:r>
      <w:r>
        <w:rPr>
          <w:b w:val="0"/>
          <w:i w:val="0"/>
        </w:rPr>
        <w:t xml:space="preserve"> </w:t>
      </w:r>
      <w:hyperlink w:anchor="latin-record-1281">
        <w:r>
          <w:rPr>
            <w:color w:val="000000"/>
          </w:rPr>
          <w:t xml:space="preserve">temporis intervallum</w:t>
        </w:r>
      </w:hyperlink>
      <w:r>
        <w:rPr>
          <w:b w:val="0"/>
          <w:i w:val="0"/>
        </w:rPr>
        <w:t>.</w:t>
      </w:r>
    </w:p>
    <w:p>
      <w:pPr>
        <w:widowControl/>
      </w:pPr>
      <w:r>
        <w:rPr>
          <w:b/>
          <w:i w:val="0"/>
        </w:rPr>
        <w:t>tempus.</w:t>
      </w:r>
      <w:r>
        <w:rPr>
          <w:b w:val="0"/>
          <w:i w:val="0"/>
        </w:rPr>
        <w:t xml:space="preserve"> </w:t>
      </w:r>
      <w:hyperlink w:anchor="latin-record-0721">
        <w:r>
          <w:rPr>
            <w:color w:val="000000"/>
          </w:rPr>
          <w:t xml:space="preserve">locus / situs / tempus</w:t>
        </w:r>
      </w:hyperlink>
      <w:r>
        <w:rPr>
          <w:b w:val="0"/>
          <w:i w:val="0"/>
        </w:rPr>
        <w:t xml:space="preserve">; </w:t>
      </w:r>
      <w:hyperlink w:anchor="latin-record-0722">
        <w:r>
          <w:rPr>
            <w:color w:val="000000"/>
          </w:rPr>
          <w:t xml:space="preserve">locus / tempus</w:t>
        </w:r>
      </w:hyperlink>
      <w:r>
        <w:rPr>
          <w:b w:val="0"/>
          <w:i w:val="0"/>
        </w:rPr>
        <w:t>.</w:t>
      </w:r>
    </w:p>
    <w:p>
      <w:pPr>
        <w:widowControl/>
      </w:pPr>
      <w:r>
        <w:rPr>
          <w:b/>
          <w:i w:val="0"/>
        </w:rPr>
        <w:t>tenebras.</w:t>
      </w:r>
      <w:r>
        <w:rPr>
          <w:b w:val="0"/>
          <w:i w:val="0"/>
        </w:rPr>
        <w:t xml:space="preserve"> </w:t>
      </w:r>
      <w:hyperlink w:anchor="latin-record-0737">
        <w:r>
          <w:rPr>
            <w:color w:val="000000"/>
          </w:rPr>
          <w:t xml:space="preserve">lux / tenebrae / vox / silentium</w:t>
        </w:r>
      </w:hyperlink>
      <w:r>
        <w:rPr>
          <w:b w:val="0"/>
          <w:i w:val="0"/>
        </w:rPr>
        <w:t>.</w:t>
      </w:r>
    </w:p>
    <w:p>
      <w:pPr>
        <w:widowControl/>
      </w:pPr>
      <w:r>
        <w:rPr>
          <w:b/>
          <w:i w:val="0"/>
        </w:rPr>
        <w:t>tenet.</w:t>
      </w:r>
      <w:r>
        <w:rPr>
          <w:b w:val="0"/>
          <w:i w:val="0"/>
        </w:rPr>
        <w:t xml:space="preserve"> </w:t>
      </w:r>
      <w:hyperlink w:anchor="latin-record-1282">
        <w:r>
          <w:rPr>
            <w:color w:val="000000"/>
          </w:rPr>
          <w:t xml:space="preserve">tenere / memoria</w:t>
        </w:r>
      </w:hyperlink>
      <w:r>
        <w:rPr>
          <w:b w:val="0"/>
          <w:i w:val="0"/>
        </w:rPr>
        <w:t>.</w:t>
      </w:r>
    </w:p>
    <w:p>
      <w:pPr>
        <w:widowControl/>
      </w:pPr>
      <w:r>
        <w:rPr>
          <w:b/>
          <w:i w:val="0"/>
        </w:rPr>
        <w:t>tenuentur.</w:t>
      </w:r>
      <w:r>
        <w:rPr>
          <w:b w:val="0"/>
          <w:i w:val="0"/>
        </w:rPr>
        <w:t xml:space="preserve"> </w:t>
      </w:r>
      <w:hyperlink w:anchor="latin-record-1283">
        <w:r>
          <w:rPr>
            <w:color w:val="000000"/>
          </w:rPr>
          <w:t xml:space="preserve">tenuare / purgare</w:t>
        </w:r>
      </w:hyperlink>
      <w:r>
        <w:rPr>
          <w:b w:val="0"/>
          <w:i w:val="0"/>
        </w:rPr>
        <w:t>.</w:t>
      </w:r>
    </w:p>
    <w:p>
      <w:pPr>
        <w:widowControl/>
      </w:pPr>
      <w:r>
        <w:rPr>
          <w:b/>
          <w:i w:val="0"/>
        </w:rPr>
        <w:t>tenui.</w:t>
      </w:r>
      <w:r>
        <w:rPr>
          <w:b w:val="0"/>
          <w:i w:val="0"/>
        </w:rPr>
        <w:t xml:space="preserve"> </w:t>
      </w:r>
      <w:hyperlink w:anchor="latin-record-0951">
        <w:r>
          <w:rPr>
            <w:color w:val="000000"/>
          </w:rPr>
          <w:t xml:space="preserve">pinguis / tenuis / grandis / pusillus</w:t>
        </w:r>
      </w:hyperlink>
      <w:r>
        <w:rPr>
          <w:b w:val="0"/>
          <w:i w:val="0"/>
        </w:rPr>
        <w:t>.</w:t>
      </w:r>
    </w:p>
    <w:p>
      <w:pPr>
        <w:widowControl/>
      </w:pPr>
      <w:r>
        <w:rPr>
          <w:b/>
          <w:i w:val="0"/>
        </w:rPr>
        <w:t>tenuissima.</w:t>
      </w:r>
      <w:r>
        <w:rPr>
          <w:b w:val="0"/>
          <w:i w:val="0"/>
        </w:rPr>
        <w:t xml:space="preserve"> </w:t>
      </w:r>
      <w:hyperlink w:anchor="latin-record-1284">
        <w:r>
          <w:rPr>
            <w:color w:val="000000"/>
          </w:rPr>
          <w:t xml:space="preserve">tenuis / lucidus</w:t>
        </w:r>
      </w:hyperlink>
      <w:r>
        <w:rPr>
          <w:b w:val="0"/>
          <w:i w:val="0"/>
        </w:rPr>
        <w:t>.</w:t>
      </w:r>
    </w:p>
    <w:p>
      <w:pPr>
        <w:widowControl/>
      </w:pPr>
      <w:r>
        <w:rPr>
          <w:b/>
          <w:i w:val="0"/>
        </w:rPr>
        <w:t>tenuissimum.</w:t>
      </w:r>
      <w:r>
        <w:rPr>
          <w:b w:val="0"/>
          <w:i w:val="0"/>
        </w:rPr>
        <w:t xml:space="preserve"> </w:t>
      </w:r>
      <w:hyperlink w:anchor="latin-record-1284">
        <w:r>
          <w:rPr>
            <w:color w:val="000000"/>
          </w:rPr>
          <w:t xml:space="preserve">tenuis / lucidus</w:t>
        </w:r>
      </w:hyperlink>
      <w:r>
        <w:rPr>
          <w:b w:val="0"/>
          <w:i w:val="0"/>
        </w:rPr>
        <w:t xml:space="preserve">; </w:t>
      </w:r>
      <w:hyperlink w:anchor="latin-record-1285">
        <w:r>
          <w:rPr>
            <w:color w:val="000000"/>
          </w:rPr>
          <w:t xml:space="preserve">tenuis; crassus</w:t>
        </w:r>
      </w:hyperlink>
      <w:r>
        <w:rPr>
          <w:b w:val="0"/>
          <w:i w:val="0"/>
        </w:rPr>
        <w:t>.</w:t>
      </w:r>
    </w:p>
    <w:p>
      <w:pPr>
        <w:widowControl/>
      </w:pPr>
      <w:r>
        <w:rPr>
          <w:b/>
          <w:i w:val="0"/>
        </w:rPr>
        <w:t>terminabitur.</w:t>
      </w:r>
      <w:r>
        <w:rPr>
          <w:b w:val="0"/>
          <w:i w:val="0"/>
        </w:rPr>
        <w:t xml:space="preserve"> </w:t>
      </w:r>
      <w:hyperlink w:anchor="latin-record-1289">
        <w:r>
          <w:rPr>
            <w:color w:val="000000"/>
          </w:rPr>
          <w:t xml:space="preserve">terminus / terminare</w:t>
        </w:r>
      </w:hyperlink>
      <w:r>
        <w:rPr>
          <w:b w:val="0"/>
          <w:i w:val="0"/>
        </w:rPr>
        <w:t>.</w:t>
      </w:r>
    </w:p>
    <w:p>
      <w:pPr>
        <w:widowControl/>
      </w:pPr>
      <w:r>
        <w:rPr>
          <w:b/>
          <w:i w:val="0"/>
        </w:rPr>
        <w:t>terminat.</w:t>
      </w:r>
      <w:r>
        <w:rPr>
          <w:b w:val="0"/>
          <w:i w:val="0"/>
        </w:rPr>
        <w:t xml:space="preserve"> </w:t>
      </w:r>
      <w:hyperlink w:anchor="latin-record-1289">
        <w:r>
          <w:rPr>
            <w:color w:val="000000"/>
          </w:rPr>
          <w:t xml:space="preserve">terminus / terminare</w:t>
        </w:r>
      </w:hyperlink>
      <w:r>
        <w:rPr>
          <w:b w:val="0"/>
          <w:i w:val="0"/>
        </w:rPr>
        <w:t>.</w:t>
      </w:r>
    </w:p>
    <w:p>
      <w:pPr>
        <w:widowControl/>
      </w:pPr>
      <w:r>
        <w:rPr>
          <w:b/>
          <w:i w:val="0"/>
        </w:rPr>
        <w:t>terminatur.</w:t>
      </w:r>
      <w:r>
        <w:rPr>
          <w:b w:val="0"/>
          <w:i w:val="0"/>
        </w:rPr>
        <w:t xml:space="preserve"> </w:t>
      </w:r>
      <w:hyperlink w:anchor="latin-record-1289">
        <w:r>
          <w:rPr>
            <w:color w:val="000000"/>
          </w:rPr>
          <w:t xml:space="preserve">terminus / terminare</w:t>
        </w:r>
      </w:hyperlink>
      <w:r>
        <w:rPr>
          <w:b w:val="0"/>
          <w:i w:val="0"/>
        </w:rPr>
        <w:t>.</w:t>
      </w:r>
    </w:p>
    <w:p>
      <w:pPr>
        <w:widowControl/>
      </w:pPr>
      <w:r>
        <w:rPr>
          <w:b/>
          <w:i w:val="0"/>
        </w:rPr>
        <w:t>termini.</w:t>
      </w:r>
      <w:r>
        <w:rPr>
          <w:b w:val="0"/>
          <w:i w:val="0"/>
        </w:rPr>
        <w:t xml:space="preserve"> </w:t>
      </w:r>
      <w:hyperlink w:anchor="latin-record-0192">
        <w:r>
          <w:rPr>
            <w:color w:val="000000"/>
          </w:rPr>
          <w:t xml:space="preserve">caput / finis / terminus lineae</w:t>
        </w:r>
      </w:hyperlink>
      <w:r>
        <w:rPr>
          <w:b w:val="0"/>
          <w:i w:val="0"/>
        </w:rPr>
        <w:t>.</w:t>
      </w:r>
    </w:p>
    <w:p>
      <w:pPr>
        <w:widowControl/>
      </w:pPr>
      <w:r>
        <w:rPr>
          <w:b/>
          <w:i w:val="0"/>
        </w:rPr>
        <w:t>terminis.</w:t>
      </w:r>
      <w:r>
        <w:rPr>
          <w:b w:val="0"/>
          <w:i w:val="0"/>
        </w:rPr>
        <w:t xml:space="preserve"> </w:t>
      </w:r>
      <w:hyperlink w:anchor="latin-record-1287">
        <w:r>
          <w:rPr>
            <w:color w:val="000000"/>
          </w:rPr>
          <w:t xml:space="preserve">terminus</w:t>
        </w:r>
      </w:hyperlink>
      <w:r>
        <w:rPr>
          <w:b w:val="0"/>
          <w:i w:val="0"/>
        </w:rPr>
        <w:t>.</w:t>
      </w:r>
    </w:p>
    <w:p>
      <w:pPr>
        <w:widowControl/>
      </w:pPr>
      <w:r>
        <w:rPr>
          <w:b/>
          <w:i w:val="0"/>
        </w:rPr>
        <w:t>termino.</w:t>
      </w:r>
      <w:r>
        <w:rPr>
          <w:b w:val="0"/>
          <w:i w:val="0"/>
        </w:rPr>
        <w:t xml:space="preserve"> </w:t>
      </w:r>
      <w:hyperlink w:anchor="latin-record-1287">
        <w:r>
          <w:rPr>
            <w:color w:val="000000"/>
          </w:rPr>
          <w:t xml:space="preserve">terminus</w:t>
        </w:r>
      </w:hyperlink>
      <w:r>
        <w:rPr>
          <w:b w:val="0"/>
          <w:i w:val="0"/>
        </w:rPr>
        <w:t xml:space="preserve">; </w:t>
      </w:r>
      <w:hyperlink w:anchor="latin-record-1288">
        <w:r>
          <w:rPr>
            <w:color w:val="000000"/>
          </w:rPr>
          <w:t xml:space="preserve">terminus / gradus / proportio / figura</w:t>
        </w:r>
      </w:hyperlink>
      <w:r>
        <w:rPr>
          <w:b w:val="0"/>
          <w:i w:val="0"/>
        </w:rPr>
        <w:t xml:space="preserve">; </w:t>
      </w:r>
      <w:hyperlink w:anchor="latin-record-1289">
        <w:r>
          <w:rPr>
            <w:color w:val="000000"/>
          </w:rPr>
          <w:t xml:space="preserve">terminus / terminare</w:t>
        </w:r>
      </w:hyperlink>
      <w:r>
        <w:rPr>
          <w:b w:val="0"/>
          <w:i w:val="0"/>
        </w:rPr>
        <w:t>.</w:t>
      </w:r>
    </w:p>
    <w:p>
      <w:pPr>
        <w:widowControl/>
      </w:pPr>
      <w:r>
        <w:rPr>
          <w:b/>
          <w:i w:val="0"/>
        </w:rPr>
        <w:t>terminos.</w:t>
      </w:r>
      <w:r>
        <w:rPr>
          <w:b w:val="0"/>
          <w:i w:val="0"/>
        </w:rPr>
        <w:t xml:space="preserve"> </w:t>
      </w:r>
      <w:hyperlink w:anchor="latin-record-0192">
        <w:r>
          <w:rPr>
            <w:color w:val="000000"/>
          </w:rPr>
          <w:t xml:space="preserve">caput / finis / terminus lineae</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1287">
        <w:r>
          <w:rPr>
            <w:color w:val="000000"/>
          </w:rPr>
          <w:t xml:space="preserve">terminus</w:t>
        </w:r>
      </w:hyperlink>
      <w:r>
        <w:rPr>
          <w:b w:val="0"/>
          <w:i w:val="0"/>
        </w:rPr>
        <w:t>.</w:t>
      </w:r>
    </w:p>
    <w:p>
      <w:pPr>
        <w:widowControl/>
      </w:pPr>
      <w:r>
        <w:rPr>
          <w:b/>
          <w:i w:val="0"/>
        </w:rPr>
        <w:t>terminos alienos.</w:t>
      </w:r>
      <w:r>
        <w:rPr>
          <w:b w:val="0"/>
          <w:i w:val="0"/>
        </w:rPr>
        <w:t xml:space="preserve"> </w:t>
      </w:r>
      <w:hyperlink w:anchor="latin-record-1286">
        <w:r>
          <w:rPr>
            <w:color w:val="000000"/>
          </w:rPr>
          <w:t xml:space="preserve">termini proprii; alieni</w:t>
        </w:r>
      </w:hyperlink>
      <w:r>
        <w:rPr>
          <w:b w:val="0"/>
          <w:i w:val="0"/>
        </w:rPr>
        <w:t>.</w:t>
      </w:r>
    </w:p>
    <w:p>
      <w:pPr>
        <w:widowControl/>
      </w:pPr>
      <w:r>
        <w:rPr>
          <w:b/>
          <w:i w:val="0"/>
        </w:rPr>
        <w:t>terminos proprios.</w:t>
      </w:r>
      <w:r>
        <w:rPr>
          <w:b w:val="0"/>
          <w:i w:val="0"/>
        </w:rPr>
        <w:t xml:space="preserve"> </w:t>
      </w:r>
      <w:hyperlink w:anchor="latin-record-1286">
        <w:r>
          <w:rPr>
            <w:color w:val="000000"/>
          </w:rPr>
          <w:t xml:space="preserve">termini proprii; alieni</w:t>
        </w:r>
      </w:hyperlink>
      <w:r>
        <w:rPr>
          <w:b w:val="0"/>
          <w:i w:val="0"/>
        </w:rPr>
        <w:t>.</w:t>
      </w:r>
    </w:p>
    <w:p>
      <w:pPr>
        <w:widowControl/>
      </w:pPr>
      <w:r>
        <w:rPr>
          <w:b/>
          <w:i w:val="0"/>
        </w:rPr>
        <w:t>terminum.</w:t>
      </w:r>
      <w:r>
        <w:rPr>
          <w:b w:val="0"/>
          <w:i w:val="0"/>
        </w:rPr>
        <w:t xml:space="preserve"> </w:t>
      </w:r>
      <w:hyperlink w:anchor="latin-record-0192">
        <w:r>
          <w:rPr>
            <w:color w:val="000000"/>
          </w:rPr>
          <w:t xml:space="preserve">caput / finis / terminus lineae</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1288">
        <w:r>
          <w:rPr>
            <w:color w:val="000000"/>
          </w:rPr>
          <w:t xml:space="preserve">terminus / gradus / proportio / figura</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291">
        <w:r>
          <w:rPr>
            <w:color w:val="000000"/>
          </w:rPr>
          <w:t xml:space="preserve">terminus; rector</w:t>
        </w:r>
      </w:hyperlink>
      <w:r>
        <w:rPr>
          <w:b w:val="0"/>
          <w:i w:val="0"/>
        </w:rPr>
        <w:t>.</w:t>
      </w:r>
    </w:p>
    <w:p>
      <w:pPr>
        <w:widowControl/>
      </w:pPr>
      <w:r>
        <w:rPr>
          <w:b/>
          <w:i w:val="0"/>
        </w:rPr>
        <w:t>terminus.</w:t>
      </w:r>
      <w:r>
        <w:rPr>
          <w:b w:val="0"/>
          <w:i w:val="0"/>
        </w:rPr>
        <w:t xml:space="preserve"> </w:t>
      </w:r>
      <w:hyperlink w:anchor="latin-record-0492">
        <w:r>
          <w:rPr>
            <w:color w:val="000000"/>
          </w:rPr>
          <w:t xml:space="preserve">finis; limes; terminus</w:t>
        </w:r>
      </w:hyperlink>
      <w:r>
        <w:rPr>
          <w:b w:val="0"/>
          <w:i w:val="0"/>
        </w:rPr>
        <w:t xml:space="preserve">; </w:t>
      </w:r>
      <w:hyperlink w:anchor="latin-record-1287">
        <w:r>
          <w:rPr>
            <w:color w:val="000000"/>
          </w:rPr>
          <w:t xml:space="preserve">terminus</w:t>
        </w:r>
      </w:hyperlink>
      <w:r>
        <w:rPr>
          <w:b w:val="0"/>
          <w:i w:val="0"/>
        </w:rPr>
        <w:t xml:space="preserve">; </w:t>
      </w:r>
      <w:hyperlink w:anchor="latin-record-1289">
        <w:r>
          <w:rPr>
            <w:color w:val="000000"/>
          </w:rPr>
          <w:t xml:space="preserve">terminus / terminare</w:t>
        </w:r>
      </w:hyperlink>
      <w:r>
        <w:rPr>
          <w:b w:val="0"/>
          <w:i w:val="0"/>
        </w:rPr>
        <w:t>.</w:t>
      </w:r>
    </w:p>
    <w:p>
      <w:pPr>
        <w:widowControl/>
      </w:pPr>
      <w:r>
        <w:rPr>
          <w:b/>
          <w:i w:val="0"/>
        </w:rPr>
        <w:t>terra.</w:t>
      </w:r>
      <w:r>
        <w:rPr>
          <w:b w:val="0"/>
          <w:i w:val="0"/>
        </w:rPr>
        <w:t xml:space="preserve"> </w:t>
      </w:r>
      <w:hyperlink w:anchor="latin-record-0173">
        <w:r>
          <w:rPr>
            <w:color w:val="000000"/>
          </w:rPr>
          <w:t xml:space="preserve">caelum; terra; mundus</w:t>
        </w:r>
      </w:hyperlink>
      <w:r>
        <w:rPr>
          <w:b w:val="0"/>
          <w:i w:val="0"/>
        </w:rPr>
        <w:t xml:space="preserve">; </w:t>
      </w:r>
      <w:hyperlink w:anchor="latin-record-0585">
        <w:r>
          <w:rPr>
            <w:color w:val="000000"/>
          </w:rPr>
          <w:t xml:space="preserve">ignis / terra / lapis</w:t>
        </w:r>
      </w:hyperlink>
      <w:r>
        <w:rPr>
          <w:b w:val="0"/>
          <w:i w:val="0"/>
        </w:rPr>
        <w:t>.</w:t>
      </w:r>
    </w:p>
    <w:p>
      <w:pPr>
        <w:widowControl/>
      </w:pPr>
      <w:r>
        <w:rPr>
          <w:b/>
          <w:i w:val="0"/>
        </w:rPr>
        <w:t>terrae.</w:t>
      </w:r>
      <w:r>
        <w:rPr>
          <w:b w:val="0"/>
          <w:i w:val="0"/>
        </w:rPr>
        <w:t xml:space="preserve"> </w:t>
      </w:r>
      <w:hyperlink w:anchor="latin-record-0115">
        <w:r>
          <w:rPr>
            <w:color w:val="000000"/>
          </w:rPr>
          <w:t xml:space="preserve">aqua / aer / terra</w:t>
        </w:r>
      </w:hyperlink>
      <w:r>
        <w:rPr>
          <w:b w:val="0"/>
          <w:i w:val="0"/>
        </w:rPr>
        <w:t xml:space="preserve">; </w:t>
      </w:r>
      <w:hyperlink w:anchor="latin-record-0173">
        <w:r>
          <w:rPr>
            <w:color w:val="000000"/>
          </w:rPr>
          <w:t xml:space="preserve">caelum; terra; mundus</w:t>
        </w:r>
      </w:hyperlink>
      <w:r>
        <w:rPr>
          <w:b w:val="0"/>
          <w:i w:val="0"/>
        </w:rPr>
        <w:t>.</w:t>
      </w:r>
    </w:p>
    <w:p>
      <w:pPr>
        <w:widowControl/>
      </w:pPr>
      <w:r>
        <w:rPr>
          <w:b/>
          <w:i w:val="0"/>
        </w:rPr>
        <w:t>terram.</w:t>
      </w:r>
      <w:r>
        <w:rPr>
          <w:b w:val="0"/>
          <w:i w:val="0"/>
        </w:rPr>
        <w:t xml:space="preserve"> </w:t>
      </w:r>
      <w:hyperlink w:anchor="latin-record-0115">
        <w:r>
          <w:rPr>
            <w:color w:val="000000"/>
          </w:rPr>
          <w:t xml:space="preserve">aqua / aer / terra</w:t>
        </w:r>
      </w:hyperlink>
      <w:r>
        <w:rPr>
          <w:b w:val="0"/>
          <w:i w:val="0"/>
        </w:rPr>
        <w:t xml:space="preserve">; </w:t>
      </w:r>
      <w:hyperlink w:anchor="latin-record-0585">
        <w:r>
          <w:rPr>
            <w:color w:val="000000"/>
          </w:rPr>
          <w:t xml:space="preserve">ignis / terra / lapis</w:t>
        </w:r>
      </w:hyperlink>
      <w:r>
        <w:rPr>
          <w:b w:val="0"/>
          <w:i w:val="0"/>
        </w:rPr>
        <w:t>.</w:t>
      </w:r>
    </w:p>
    <w:p>
      <w:pPr>
        <w:widowControl/>
      </w:pPr>
      <w:r>
        <w:rPr>
          <w:b/>
          <w:i w:val="0"/>
        </w:rPr>
        <w:t>terrenis.</w:t>
      </w:r>
      <w:r>
        <w:rPr>
          <w:b w:val="0"/>
          <w:i w:val="0"/>
        </w:rPr>
        <w:t xml:space="preserve"> </w:t>
      </w:r>
      <w:hyperlink w:anchor="latin-record-0117">
        <w:r>
          <w:rPr>
            <w:color w:val="000000"/>
          </w:rPr>
          <w:t xml:space="preserve">aquaticus / terrestris / aereus</w:t>
        </w:r>
      </w:hyperlink>
      <w:r>
        <w:rPr>
          <w:b w:val="0"/>
          <w:i w:val="0"/>
        </w:rPr>
        <w:t>.</w:t>
      </w:r>
    </w:p>
    <w:p>
      <w:pPr>
        <w:widowControl/>
      </w:pPr>
      <w:r>
        <w:rPr>
          <w:b/>
          <w:i w:val="0"/>
        </w:rPr>
        <w:t>terreno.</w:t>
      </w:r>
      <w:r>
        <w:rPr>
          <w:b w:val="0"/>
          <w:i w:val="0"/>
        </w:rPr>
        <w:t xml:space="preserve"> </w:t>
      </w:r>
      <w:hyperlink w:anchor="latin-record-1031">
        <w:r>
          <w:rPr>
            <w:color w:val="000000"/>
          </w:rPr>
          <w:t xml:space="preserve">purus / crassus / terrenus</w:t>
        </w:r>
      </w:hyperlink>
      <w:r>
        <w:rPr>
          <w:b w:val="0"/>
          <w:i w:val="0"/>
        </w:rPr>
        <w:t>.</w:t>
      </w:r>
    </w:p>
    <w:p>
      <w:pPr>
        <w:widowControl/>
      </w:pPr>
      <w:r>
        <w:rPr>
          <w:b/>
          <w:i w:val="0"/>
        </w:rPr>
        <w:t>terrestria.</w:t>
      </w:r>
      <w:r>
        <w:rPr>
          <w:b w:val="0"/>
          <w:i w:val="0"/>
        </w:rPr>
        <w:t xml:space="preserve"> </w:t>
      </w:r>
      <w:hyperlink w:anchor="latin-record-0117">
        <w:r>
          <w:rPr>
            <w:color w:val="000000"/>
          </w:rPr>
          <w:t xml:space="preserve">aquaticus / terrestris / aereus</w:t>
        </w:r>
      </w:hyperlink>
      <w:r>
        <w:rPr>
          <w:b w:val="0"/>
          <w:i w:val="0"/>
        </w:rPr>
        <w:t>.</w:t>
      </w:r>
    </w:p>
    <w:p>
      <w:pPr>
        <w:widowControl/>
      </w:pPr>
      <w:r>
        <w:rPr>
          <w:b/>
          <w:i w:val="0"/>
        </w:rPr>
        <w:t>terreum.</w:t>
      </w:r>
      <w:r>
        <w:rPr>
          <w:b w:val="0"/>
          <w:i w:val="0"/>
        </w:rPr>
        <w:t xml:space="preserve"> </w:t>
      </w:r>
      <w:hyperlink w:anchor="latin-record-0571">
        <w:r>
          <w:rPr>
            <w:color w:val="000000"/>
          </w:rPr>
          <w:t xml:space="preserve">humidus / terreus / lutulentus</w:t>
        </w:r>
      </w:hyperlink>
      <w:r>
        <w:rPr>
          <w:b w:val="0"/>
          <w:i w:val="0"/>
        </w:rPr>
        <w:t xml:space="preserve">; </w:t>
      </w:r>
      <w:hyperlink w:anchor="latin-record-0582">
        <w:r>
          <w:rPr>
            <w:color w:val="000000"/>
          </w:rPr>
          <w:t xml:space="preserve">igneus; aereus; aqueus; terreus</w:t>
        </w:r>
      </w:hyperlink>
      <w:r>
        <w:rPr>
          <w:b w:val="0"/>
          <w:i w:val="0"/>
        </w:rPr>
        <w:t>.</w:t>
      </w:r>
    </w:p>
    <w:p>
      <w:pPr>
        <w:widowControl/>
      </w:pPr>
      <w:r>
        <w:rPr>
          <w:b/>
          <w:i w:val="0"/>
        </w:rPr>
        <w:t>tertia.</w:t>
      </w:r>
      <w:r>
        <w:rPr>
          <w:b w:val="0"/>
          <w:i w:val="0"/>
        </w:rPr>
        <w:t xml:space="preserve"> </w:t>
      </w:r>
      <w:hyperlink w:anchor="latin-record-1294">
        <w:r>
          <w:rPr>
            <w:color w:val="000000"/>
          </w:rPr>
          <w:t xml:space="preserve">tertius</w:t>
        </w:r>
      </w:hyperlink>
      <w:r>
        <w:rPr>
          <w:b w:val="0"/>
          <w:i w:val="0"/>
        </w:rPr>
        <w:t>.</w:t>
      </w:r>
    </w:p>
    <w:p>
      <w:pPr>
        <w:widowControl/>
      </w:pPr>
      <w:r>
        <w:rPr>
          <w:b/>
          <w:i w:val="0"/>
        </w:rPr>
        <w:t>tertiae.</w:t>
      </w:r>
      <w:r>
        <w:rPr>
          <w:b w:val="0"/>
          <w:i w:val="0"/>
        </w:rPr>
        <w:t xml:space="preserve"> </w:t>
      </w:r>
      <w:hyperlink w:anchor="latin-record-1294">
        <w:r>
          <w:rPr>
            <w:color w:val="000000"/>
          </w:rPr>
          <w:t xml:space="preserve">tertius</w:t>
        </w:r>
      </w:hyperlink>
      <w:r>
        <w:rPr>
          <w:b w:val="0"/>
          <w:i w:val="0"/>
        </w:rPr>
        <w:t>.</w:t>
      </w:r>
    </w:p>
    <w:p>
      <w:pPr>
        <w:widowControl/>
      </w:pPr>
      <w:r>
        <w:rPr>
          <w:b/>
          <w:i w:val="0"/>
        </w:rPr>
        <w:t>tertiae essentiae.</w:t>
      </w:r>
      <w:r>
        <w:rPr>
          <w:b w:val="0"/>
          <w:i w:val="0"/>
        </w:rPr>
        <w:t xml:space="preserve"> </w:t>
      </w:r>
      <w:hyperlink w:anchor="latin-record-1293">
        <w:r>
          <w:rPr>
            <w:color w:val="000000"/>
          </w:rPr>
          <w:t xml:space="preserve">tertia essentia</w:t>
        </w:r>
      </w:hyperlink>
      <w:r>
        <w:rPr>
          <w:b w:val="0"/>
          <w:i w:val="0"/>
        </w:rPr>
        <w:t>.</w:t>
      </w:r>
    </w:p>
    <w:p>
      <w:pPr>
        <w:widowControl/>
      </w:pPr>
      <w:r>
        <w:rPr>
          <w:b/>
          <w:i w:val="0"/>
        </w:rPr>
        <w:t>tertiam illam essentiam.</w:t>
      </w:r>
      <w:r>
        <w:rPr>
          <w:b w:val="0"/>
          <w:i w:val="0"/>
        </w:rPr>
        <w:t xml:space="preserve"> </w:t>
      </w:r>
      <w:hyperlink w:anchor="latin-record-1293">
        <w:r>
          <w:rPr>
            <w:color w:val="000000"/>
          </w:rPr>
          <w:t xml:space="preserve">tertia essentia</w:t>
        </w:r>
      </w:hyperlink>
      <w:r>
        <w:rPr>
          <w:b w:val="0"/>
          <w:i w:val="0"/>
        </w:rPr>
        <w:t>.</w:t>
      </w:r>
    </w:p>
    <w:p>
      <w:pPr>
        <w:widowControl/>
      </w:pPr>
      <w:r>
        <w:rPr>
          <w:b/>
          <w:i w:val="0"/>
        </w:rPr>
        <w:t>Timaeus Locrus.</w:t>
      </w:r>
      <w:r>
        <w:rPr>
          <w:b w:val="0"/>
          <w:i w:val="0"/>
        </w:rPr>
        <w:t xml:space="preserve"> </w:t>
      </w:r>
      <w:hyperlink w:anchor="latin-record-0436">
        <w:r>
          <w:rPr>
            <w:color w:val="000000"/>
          </w:rPr>
          <w:t xml:space="preserve">Empedocles / Timaeus Locrus</w:t>
        </w:r>
      </w:hyperlink>
      <w:r>
        <w:rPr>
          <w:b w:val="0"/>
          <w:i w:val="0"/>
        </w:rPr>
        <w:t>.</w:t>
      </w:r>
    </w:p>
    <w:p>
      <w:pPr>
        <w:widowControl/>
      </w:pPr>
      <w:r>
        <w:rPr>
          <w:b/>
          <w:i w:val="0"/>
        </w:rPr>
        <w:t>timeat.</w:t>
      </w:r>
      <w:r>
        <w:rPr>
          <w:b w:val="0"/>
          <w:i w:val="0"/>
        </w:rPr>
        <w:t xml:space="preserve"> </w:t>
      </w:r>
      <w:hyperlink w:anchor="latin-record-0516">
        <w:r>
          <w:rPr>
            <w:color w:val="000000"/>
          </w:rPr>
          <w:t xml:space="preserve">fortitudo / timor</w:t>
        </w:r>
      </w:hyperlink>
      <w:r>
        <w:rPr>
          <w:b w:val="0"/>
          <w:i w:val="0"/>
        </w:rPr>
        <w:t>.</w:t>
      </w:r>
    </w:p>
    <w:p>
      <w:pPr>
        <w:widowControl/>
      </w:pPr>
      <w:r>
        <w:rPr>
          <w:b/>
          <w:i w:val="0"/>
        </w:rPr>
        <w:t>timoris.</w:t>
      </w:r>
      <w:r>
        <w:rPr>
          <w:b w:val="0"/>
          <w:i w:val="0"/>
        </w:rPr>
        <w:t xml:space="preserve"> </w:t>
      </w:r>
      <w:hyperlink w:anchor="latin-record-0516">
        <w:r>
          <w:rPr>
            <w:color w:val="000000"/>
          </w:rPr>
          <w:t xml:space="preserve">fortitudo / timor</w:t>
        </w:r>
      </w:hyperlink>
      <w:r>
        <w:rPr>
          <w:b w:val="0"/>
          <w:i w:val="0"/>
        </w:rPr>
        <w:t>.</w:t>
      </w:r>
    </w:p>
    <w:p>
      <w:pPr>
        <w:widowControl/>
      </w:pPr>
      <w:r>
        <w:rPr>
          <w:b/>
          <w:i w:val="0"/>
        </w:rPr>
        <w:t>titubare.</w:t>
      </w:r>
      <w:r>
        <w:rPr>
          <w:b w:val="0"/>
          <w:i w:val="0"/>
        </w:rPr>
        <w:t xml:space="preserve"> </w:t>
      </w:r>
      <w:hyperlink w:anchor="latin-record-0172">
        <w:r>
          <w:rPr>
            <w:color w:val="000000"/>
          </w:rPr>
          <w:t xml:space="preserve">caecutire; titubare; aegrotare</w:t>
        </w:r>
      </w:hyperlink>
      <w:r>
        <w:rPr>
          <w:b w:val="0"/>
          <w:i w:val="0"/>
        </w:rPr>
        <w:t>.</w:t>
      </w:r>
    </w:p>
    <w:p>
      <w:pPr>
        <w:widowControl/>
      </w:pPr>
      <w:r>
        <w:rPr>
          <w:b/>
          <w:i w:val="0"/>
        </w:rPr>
        <w:t>torpent.</w:t>
      </w:r>
      <w:r>
        <w:rPr>
          <w:b w:val="0"/>
          <w:i w:val="0"/>
        </w:rPr>
        <w:t xml:space="preserve"> </w:t>
      </w:r>
      <w:hyperlink w:anchor="latin-record-0581">
        <w:r>
          <w:rPr>
            <w:color w:val="000000"/>
          </w:rPr>
          <w:t xml:space="preserve">ignavia / torpere</w:t>
        </w:r>
      </w:hyperlink>
      <w:r>
        <w:rPr>
          <w:b w:val="0"/>
          <w:i w:val="0"/>
        </w:rPr>
        <w:t>.</w:t>
      </w:r>
    </w:p>
    <w:p>
      <w:pPr>
        <w:widowControl/>
      </w:pPr>
      <w:r>
        <w:rPr>
          <w:b/>
          <w:i w:val="0"/>
        </w:rPr>
        <w:t>torqueat.</w:t>
      </w:r>
      <w:r>
        <w:rPr>
          <w:b w:val="0"/>
          <w:i w:val="0"/>
        </w:rPr>
        <w:t xml:space="preserve"> </w:t>
      </w:r>
      <w:hyperlink w:anchor="latin-record-0318">
        <w:r>
          <w:rPr>
            <w:color w:val="000000"/>
          </w:rPr>
          <w:t xml:space="preserve">continere; sistere; torquere</w:t>
        </w:r>
      </w:hyperlink>
      <w:r>
        <w:rPr>
          <w:b w:val="0"/>
          <w:i w:val="0"/>
        </w:rPr>
        <w:t>.</w:t>
      </w:r>
    </w:p>
    <w:p>
      <w:pPr>
        <w:widowControl/>
      </w:pPr>
      <w:r>
        <w:rPr>
          <w:b/>
          <w:i w:val="0"/>
        </w:rPr>
        <w:t>tota.</w:t>
      </w:r>
      <w:r>
        <w:rPr>
          <w:b w:val="0"/>
          <w:i w:val="0"/>
        </w:rPr>
        <w:t xml:space="preserve"> </w:t>
      </w:r>
      <w:hyperlink w:anchor="latin-record-0892">
        <w:r>
          <w:rPr>
            <w:color w:val="000000"/>
          </w:rPr>
          <w:t xml:space="preserve">pars / totum</w:t>
        </w:r>
      </w:hyperlink>
      <w:r>
        <w:rPr>
          <w:b w:val="0"/>
          <w:i w:val="0"/>
        </w:rPr>
        <w:t xml:space="preserve">; </w:t>
      </w:r>
      <w:hyperlink w:anchor="latin-record-1295">
        <w:r>
          <w:rPr>
            <w:color w:val="000000"/>
          </w:rPr>
          <w:t xml:space="preserve">tota adesse</w:t>
        </w:r>
      </w:hyperlink>
      <w:r>
        <w:rPr>
          <w:b w:val="0"/>
          <w:i w:val="0"/>
        </w:rPr>
        <w:t xml:space="preserve">; </w:t>
      </w:r>
      <w:hyperlink w:anchor="latin-record-1297">
        <w:r>
          <w:rPr>
            <w:color w:val="000000"/>
          </w:rPr>
          <w:t xml:space="preserve">totus</w:t>
        </w:r>
      </w:hyperlink>
      <w:r>
        <w:rPr>
          <w:b w:val="0"/>
          <w:i w:val="0"/>
        </w:rPr>
        <w:t>.</w:t>
      </w:r>
    </w:p>
    <w:p>
      <w:pPr>
        <w:widowControl/>
      </w:pPr>
      <w:r>
        <w:rPr>
          <w:b/>
          <w:i w:val="0"/>
        </w:rPr>
        <w:t>Tota.</w:t>
      </w:r>
      <w:r>
        <w:rPr>
          <w:b w:val="0"/>
          <w:i w:val="0"/>
        </w:rPr>
        <w:t xml:space="preserve"> </w:t>
      </w:r>
      <w:hyperlink w:anchor="latin-record-1295">
        <w:r>
          <w:rPr>
            <w:color w:val="000000"/>
          </w:rPr>
          <w:t xml:space="preserve">tota adesse</w:t>
        </w:r>
      </w:hyperlink>
      <w:r>
        <w:rPr>
          <w:b w:val="0"/>
          <w:i w:val="0"/>
        </w:rPr>
        <w:t>.</w:t>
      </w:r>
    </w:p>
    <w:p>
      <w:pPr>
        <w:widowControl/>
      </w:pPr>
      <w:r>
        <w:rPr>
          <w:b/>
          <w:i w:val="0"/>
        </w:rPr>
        <w:t>tota anima in singulis.</w:t>
      </w:r>
      <w:r>
        <w:rPr>
          <w:b w:val="0"/>
          <w:i w:val="0"/>
        </w:rPr>
        <w:t xml:space="preserve"> </w:t>
      </w:r>
      <w:hyperlink w:anchor="latin-record-0901">
        <w:r>
          <w:rPr>
            <w:color w:val="000000"/>
          </w:rPr>
          <w:t xml:space="preserve">particula vivere</w:t>
        </w:r>
      </w:hyperlink>
      <w:r>
        <w:rPr>
          <w:b w:val="0"/>
          <w:i w:val="0"/>
        </w:rPr>
        <w:t>.</w:t>
      </w:r>
    </w:p>
    <w:p>
      <w:pPr>
        <w:widowControl/>
      </w:pPr>
      <w:r>
        <w:rPr>
          <w:b/>
          <w:i w:val="0"/>
        </w:rPr>
        <w:t>Tota igitur.</w:t>
      </w:r>
      <w:r>
        <w:rPr>
          <w:b w:val="0"/>
          <w:i w:val="0"/>
        </w:rPr>
        <w:t xml:space="preserve"> </w:t>
      </w:r>
      <w:hyperlink w:anchor="latin-record-1295">
        <w:r>
          <w:rPr>
            <w:color w:val="000000"/>
          </w:rPr>
          <w:t xml:space="preserve">tota adesse</w:t>
        </w:r>
      </w:hyperlink>
      <w:r>
        <w:rPr>
          <w:b w:val="0"/>
          <w:i w:val="0"/>
        </w:rPr>
        <w:t>.</w:t>
      </w:r>
    </w:p>
    <w:p>
      <w:pPr>
        <w:widowControl/>
      </w:pPr>
      <w:r>
        <w:rPr>
          <w:b/>
          <w:i w:val="0"/>
        </w:rPr>
        <w:t>tota sentit.</w:t>
      </w:r>
      <w:r>
        <w:rPr>
          <w:b w:val="0"/>
          <w:i w:val="0"/>
        </w:rPr>
        <w:t xml:space="preserve"> </w:t>
      </w:r>
      <w:hyperlink w:anchor="latin-record-1295">
        <w:r>
          <w:rPr>
            <w:color w:val="000000"/>
          </w:rPr>
          <w:t xml:space="preserve">tota adesse</w:t>
        </w:r>
      </w:hyperlink>
      <w:r>
        <w:rPr>
          <w:b w:val="0"/>
          <w:i w:val="0"/>
        </w:rPr>
        <w:t>.</w:t>
      </w:r>
    </w:p>
    <w:p>
      <w:pPr>
        <w:widowControl/>
      </w:pPr>
      <w:r>
        <w:rPr>
          <w:b/>
          <w:i w:val="0"/>
        </w:rPr>
        <w:t>totam.</w:t>
      </w:r>
      <w:r>
        <w:rPr>
          <w:b w:val="0"/>
          <w:i w:val="0"/>
        </w:rPr>
        <w:t xml:space="preserve"> </w:t>
      </w:r>
      <w:hyperlink w:anchor="latin-record-0893">
        <w:r>
          <w:rPr>
            <w:color w:val="000000"/>
          </w:rPr>
          <w:t xml:space="preserve">pars / totum (further forms)</w:t>
        </w:r>
      </w:hyperlink>
      <w:r>
        <w:rPr>
          <w:b w:val="0"/>
          <w:i w:val="0"/>
        </w:rPr>
        <w:t xml:space="preserve">; </w:t>
      </w:r>
      <w:hyperlink w:anchor="latin-record-1295">
        <w:r>
          <w:rPr>
            <w:color w:val="000000"/>
          </w:rPr>
          <w:t xml:space="preserve">tota adesse</w:t>
        </w:r>
      </w:hyperlink>
      <w:r>
        <w:rPr>
          <w:b w:val="0"/>
          <w:i w:val="0"/>
        </w:rPr>
        <w:t xml:space="preserve">; </w:t>
      </w:r>
      <w:hyperlink w:anchor="latin-record-1297">
        <w:r>
          <w:rPr>
            <w:color w:val="000000"/>
          </w:rPr>
          <w:t xml:space="preserve">totus</w:t>
        </w:r>
      </w:hyperlink>
      <w:r>
        <w:rPr>
          <w:b w:val="0"/>
          <w:i w:val="0"/>
        </w:rPr>
        <w:t xml:space="preserve">; </w:t>
      </w:r>
      <w:hyperlink w:anchor="latin-record-1324">
        <w:r>
          <w:rPr>
            <w:color w:val="000000"/>
          </w:rPr>
          <w:t xml:space="preserve">universalis / totus</w:t>
        </w:r>
      </w:hyperlink>
      <w:r>
        <w:rPr>
          <w:b w:val="0"/>
          <w:i w:val="0"/>
        </w:rPr>
        <w:t>.</w:t>
      </w:r>
    </w:p>
    <w:p>
      <w:pPr>
        <w:widowControl/>
      </w:pPr>
      <w:r>
        <w:rPr>
          <w:b/>
          <w:i w:val="0"/>
        </w:rPr>
        <w:t>totam per singula.</w:t>
      </w:r>
      <w:r>
        <w:rPr>
          <w:b w:val="0"/>
          <w:i w:val="0"/>
        </w:rPr>
        <w:t xml:space="preserve"> </w:t>
      </w:r>
      <w:hyperlink w:anchor="latin-record-1313">
        <w:r>
          <w:rPr>
            <w:color w:val="000000"/>
          </w:rPr>
          <w:t xml:space="preserve">ubique totus</w:t>
        </w:r>
      </w:hyperlink>
      <w:r>
        <w:rPr>
          <w:b w:val="0"/>
          <w:i w:val="0"/>
        </w:rPr>
        <w:t>.</w:t>
      </w:r>
    </w:p>
    <w:p>
      <w:pPr>
        <w:widowControl/>
      </w:pPr>
      <w:r>
        <w:rPr>
          <w:b/>
          <w:i w:val="0"/>
        </w:rPr>
        <w:t>totam perficere materiam.</w:t>
      </w:r>
      <w:r>
        <w:rPr>
          <w:b w:val="0"/>
          <w:i w:val="0"/>
        </w:rPr>
        <w:t xml:space="preserve"> </w:t>
      </w:r>
      <w:hyperlink w:anchor="latin-record-1146">
        <w:r>
          <w:rPr>
            <w:color w:val="000000"/>
          </w:rPr>
          <w:t xml:space="preserve">secundum totam essentiam</w:t>
        </w:r>
      </w:hyperlink>
      <w:r>
        <w:rPr>
          <w:b w:val="0"/>
          <w:i w:val="0"/>
        </w:rPr>
        <w:t>.</w:t>
      </w:r>
    </w:p>
    <w:p>
      <w:pPr>
        <w:widowControl/>
      </w:pPr>
      <w:r>
        <w:rPr>
          <w:b/>
          <w:i w:val="0"/>
        </w:rPr>
        <w:t>toti.</w:t>
      </w:r>
      <w:r>
        <w:rPr>
          <w:b w:val="0"/>
          <w:i w:val="0"/>
        </w:rPr>
        <w:t xml:space="preserve"> </w:t>
      </w:r>
      <w:hyperlink w:anchor="latin-record-0039">
        <w:r>
          <w:rPr>
            <w:color w:val="000000"/>
          </w:rPr>
          <w:t xml:space="preserve">aequalis 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297">
        <w:r>
          <w:rPr>
            <w:color w:val="000000"/>
          </w:rPr>
          <w:t xml:space="preserve">totus</w:t>
        </w:r>
      </w:hyperlink>
      <w:r>
        <w:rPr>
          <w:b w:val="0"/>
          <w:i w:val="0"/>
        </w:rPr>
        <w:t>.</w:t>
      </w:r>
    </w:p>
    <w:p>
      <w:pPr>
        <w:widowControl/>
      </w:pPr>
      <w:r>
        <w:rPr>
          <w:b/>
          <w:i w:val="0"/>
        </w:rPr>
        <w:t>totius.</w:t>
      </w:r>
      <w:r>
        <w:rPr>
          <w:b w:val="0"/>
          <w:i w:val="0"/>
        </w:rPr>
        <w:t xml:space="preserve"> </w:t>
      </w:r>
      <w:hyperlink w:anchor="latin-record-0892">
        <w:r>
          <w:rPr>
            <w:color w:val="000000"/>
          </w:rPr>
          <w:t xml:space="preserve">pars / totum</w:t>
        </w:r>
      </w:hyperlink>
      <w:r>
        <w:rPr>
          <w:b w:val="0"/>
          <w:i w:val="0"/>
        </w:rPr>
        <w:t xml:space="preserve">; </w:t>
      </w:r>
      <w:hyperlink w:anchor="latin-record-1297">
        <w:r>
          <w:rPr>
            <w:color w:val="000000"/>
          </w:rPr>
          <w:t xml:space="preserve">totus</w:t>
        </w:r>
      </w:hyperlink>
      <w:r>
        <w:rPr>
          <w:b w:val="0"/>
          <w:i w:val="0"/>
        </w:rPr>
        <w:t>.</w:t>
      </w:r>
    </w:p>
    <w:p>
      <w:pPr>
        <w:widowControl/>
      </w:pPr>
      <w:r>
        <w:rPr>
          <w:b/>
          <w:i w:val="0"/>
        </w:rPr>
        <w:t>totius integritas.</w:t>
      </w:r>
      <w:r>
        <w:rPr>
          <w:b w:val="0"/>
          <w:i w:val="0"/>
        </w:rPr>
        <w:t xml:space="preserve"> </w:t>
      </w:r>
      <w:hyperlink w:anchor="latin-record-1296">
        <w:r>
          <w:rPr>
            <w:color w:val="000000"/>
          </w:rPr>
          <w:t xml:space="preserve">totius integritas</w:t>
        </w:r>
      </w:hyperlink>
      <w:r>
        <w:rPr>
          <w:b w:val="0"/>
          <w:i w:val="0"/>
        </w:rPr>
        <w:t>.</w:t>
      </w:r>
    </w:p>
    <w:p>
      <w:pPr>
        <w:widowControl/>
      </w:pPr>
      <w:r>
        <w:rPr>
          <w:b/>
          <w:i w:val="0"/>
        </w:rPr>
        <w:t>toto.</w:t>
      </w:r>
      <w:r>
        <w:rPr>
          <w:b w:val="0"/>
          <w:i w:val="0"/>
        </w:rPr>
        <w:t xml:space="preserve"> </w:t>
      </w:r>
      <w:hyperlink w:anchor="latin-record-0892">
        <w:r>
          <w:rPr>
            <w:color w:val="000000"/>
          </w:rPr>
          <w:t xml:space="preserve">pars / totum</w:t>
        </w:r>
      </w:hyperlink>
      <w:r>
        <w:rPr>
          <w:b w:val="0"/>
          <w:i w:val="0"/>
        </w:rPr>
        <w:t xml:space="preserve">; </w:t>
      </w:r>
      <w:hyperlink w:anchor="latin-record-1297">
        <w:r>
          <w:rPr>
            <w:color w:val="000000"/>
          </w:rPr>
          <w:t xml:space="preserve">totus</w:t>
        </w:r>
      </w:hyperlink>
      <w:r>
        <w:rPr>
          <w:b w:val="0"/>
          <w:i w:val="0"/>
        </w:rPr>
        <w:t>.</w:t>
      </w:r>
    </w:p>
    <w:p>
      <w:pPr>
        <w:widowControl/>
      </w:pPr>
      <w:r>
        <w:rPr>
          <w:b/>
          <w:i w:val="0"/>
        </w:rPr>
        <w:t>totum.</w:t>
      </w:r>
      <w:r>
        <w:rPr>
          <w:b w:val="0"/>
          <w:i w:val="0"/>
        </w:rPr>
        <w:t xml:space="preserve"> </w:t>
      </w:r>
      <w:hyperlink w:anchor="latin-record-0892">
        <w:r>
          <w:rPr>
            <w:color w:val="000000"/>
          </w:rPr>
          <w:t xml:space="preserve">pars / totum</w:t>
        </w:r>
      </w:hyperlink>
      <w:r>
        <w:rPr>
          <w:b w:val="0"/>
          <w:i w:val="0"/>
        </w:rPr>
        <w:t xml:space="preserve">; </w:t>
      </w:r>
      <w:hyperlink w:anchor="latin-record-1297">
        <w:r>
          <w:rPr>
            <w:color w:val="000000"/>
          </w:rPr>
          <w:t xml:space="preserve">totus</w:t>
        </w:r>
      </w:hyperlink>
      <w:r>
        <w:rPr>
          <w:b w:val="0"/>
          <w:i w:val="0"/>
        </w:rPr>
        <w:t xml:space="preserve">; </w:t>
      </w:r>
      <w:hyperlink w:anchor="latin-record-1324">
        <w:r>
          <w:rPr>
            <w:color w:val="000000"/>
          </w:rPr>
          <w:t xml:space="preserve">universalis / totus</w:t>
        </w:r>
      </w:hyperlink>
      <w:r>
        <w:rPr>
          <w:b w:val="0"/>
          <w:i w:val="0"/>
        </w:rPr>
        <w:t>.</w:t>
      </w:r>
    </w:p>
    <w:p>
      <w:pPr>
        <w:widowControl/>
      </w:pPr>
      <w:r>
        <w:rPr>
          <w:b/>
          <w:i w:val="0"/>
        </w:rPr>
        <w:t>totum a toto.</w:t>
      </w:r>
      <w:r>
        <w:rPr>
          <w:b w:val="0"/>
          <w:i w:val="0"/>
        </w:rPr>
        <w:t xml:space="preserve"> </w:t>
      </w:r>
      <w:hyperlink w:anchor="latin-record-0894">
        <w:r>
          <w:rPr>
            <w:color w:val="000000"/>
          </w:rPr>
          <w:t xml:space="preserve">pars et totum</w:t>
        </w:r>
      </w:hyperlink>
      <w:r>
        <w:rPr>
          <w:b w:val="0"/>
          <w:i w:val="0"/>
        </w:rPr>
        <w:t>.</w:t>
      </w:r>
    </w:p>
    <w:p>
      <w:pPr>
        <w:widowControl/>
      </w:pPr>
      <w:r>
        <w:rPr>
          <w:b/>
          <w:i w:val="0"/>
        </w:rPr>
        <w:t>tractum.</w:t>
      </w:r>
      <w:r>
        <w:rPr>
          <w:b w:val="0"/>
          <w:i w:val="0"/>
        </w:rPr>
        <w:t xml:space="preserve"> </w:t>
      </w:r>
      <w:hyperlink w:anchor="latin-record-0838">
        <w:r>
          <w:rPr>
            <w:color w:val="000000"/>
          </w:rPr>
          <w:t xml:space="preserve">nervus; articulus; tractus</w:t>
        </w:r>
      </w:hyperlink>
      <w:r>
        <w:rPr>
          <w:b w:val="0"/>
          <w:i w:val="0"/>
        </w:rPr>
        <w:t>.</w:t>
      </w:r>
    </w:p>
    <w:p>
      <w:pPr>
        <w:widowControl/>
      </w:pPr>
      <w:r>
        <w:rPr>
          <w:b/>
          <w:i w:val="0"/>
        </w:rPr>
        <w:t>tradendo.</w:t>
      </w:r>
      <w:r>
        <w:rPr>
          <w:b w:val="0"/>
          <w:i w:val="0"/>
        </w:rPr>
        <w:t xml:space="preserve"> </w:t>
      </w:r>
      <w:hyperlink w:anchor="latin-record-1298">
        <w:r>
          <w:rPr>
            <w:color w:val="000000"/>
          </w:rPr>
          <w:t xml:space="preserve">tradere</w:t>
        </w:r>
      </w:hyperlink>
      <w:r>
        <w:rPr>
          <w:b w:val="0"/>
          <w:i w:val="0"/>
        </w:rPr>
        <w:t>.</w:t>
      </w:r>
    </w:p>
    <w:p>
      <w:pPr>
        <w:widowControl/>
      </w:pPr>
      <w:r>
        <w:rPr>
          <w:b/>
          <w:i w:val="0"/>
        </w:rPr>
        <w:t>tradit.</w:t>
      </w:r>
      <w:r>
        <w:rPr>
          <w:b w:val="0"/>
          <w:i w:val="0"/>
        </w:rPr>
        <w:t xml:space="preserve"> </w:t>
      </w:r>
      <w:hyperlink w:anchor="latin-record-1298">
        <w:r>
          <w:rPr>
            <w:color w:val="000000"/>
          </w:rPr>
          <w:t xml:space="preserve">tradere</w:t>
        </w:r>
      </w:hyperlink>
      <w:r>
        <w:rPr>
          <w:b w:val="0"/>
          <w:i w:val="0"/>
        </w:rPr>
        <w:t>.</w:t>
      </w:r>
    </w:p>
    <w:p>
      <w:pPr>
        <w:widowControl/>
      </w:pPr>
      <w:r>
        <w:rPr>
          <w:b/>
          <w:i w:val="0"/>
        </w:rPr>
        <w:t>traditione.</w:t>
      </w:r>
      <w:r>
        <w:rPr>
          <w:b w:val="0"/>
          <w:i w:val="0"/>
        </w:rPr>
        <w:t xml:space="preserve"> </w:t>
      </w:r>
      <w:hyperlink w:anchor="latin-record-1298">
        <w:r>
          <w:rPr>
            <w:color w:val="000000"/>
          </w:rPr>
          <w:t xml:space="preserve">tradere</w:t>
        </w:r>
      </w:hyperlink>
      <w:r>
        <w:rPr>
          <w:b w:val="0"/>
          <w:i w:val="0"/>
        </w:rPr>
        <w:t>.</w:t>
      </w:r>
    </w:p>
    <w:p>
      <w:pPr>
        <w:widowControl/>
      </w:pPr>
      <w:r>
        <w:rPr>
          <w:b/>
          <w:i w:val="0"/>
        </w:rPr>
        <w:t>traditur.</w:t>
      </w:r>
      <w:r>
        <w:rPr>
          <w:b w:val="0"/>
          <w:i w:val="0"/>
        </w:rPr>
        <w:t xml:space="preserve"> </w:t>
      </w:r>
      <w:hyperlink w:anchor="latin-record-1298">
        <w:r>
          <w:rPr>
            <w:color w:val="000000"/>
          </w:rPr>
          <w:t xml:space="preserve">tradere</w:t>
        </w:r>
      </w:hyperlink>
      <w:r>
        <w:rPr>
          <w:b w:val="0"/>
          <w:i w:val="0"/>
        </w:rPr>
        <w:t>.</w:t>
      </w:r>
    </w:p>
    <w:p>
      <w:pPr>
        <w:widowControl/>
      </w:pPr>
      <w:r>
        <w:rPr>
          <w:b/>
          <w:i w:val="0"/>
        </w:rPr>
        <w:t>traducat.</w:t>
      </w:r>
      <w:r>
        <w:rPr>
          <w:b w:val="0"/>
          <w:i w:val="0"/>
        </w:rPr>
        <w:t xml:space="preserve"> </w:t>
      </w:r>
      <w:hyperlink w:anchor="latin-record-1299">
        <w:r>
          <w:rPr>
            <w:color w:val="000000"/>
          </w:rPr>
          <w:t xml:space="preserve">traducere</w:t>
        </w:r>
      </w:hyperlink>
      <w:r>
        <w:rPr>
          <w:b w:val="0"/>
          <w:i w:val="0"/>
        </w:rPr>
        <w:t>.</w:t>
      </w:r>
    </w:p>
    <w:p>
      <w:pPr>
        <w:widowControl/>
      </w:pPr>
      <w:r>
        <w:rPr>
          <w:b/>
          <w:i w:val="0"/>
        </w:rPr>
        <w:t>Tradunt.</w:t>
      </w:r>
      <w:r>
        <w:rPr>
          <w:b w:val="0"/>
          <w:i w:val="0"/>
        </w:rPr>
        <w:t xml:space="preserve"> </w:t>
      </w:r>
      <w:hyperlink w:anchor="latin-record-1298">
        <w:r>
          <w:rPr>
            <w:color w:val="000000"/>
          </w:rPr>
          <w:t xml:space="preserve">tradere</w:t>
        </w:r>
      </w:hyperlink>
      <w:r>
        <w:rPr>
          <w:b w:val="0"/>
          <w:i w:val="0"/>
        </w:rPr>
        <w:t>.</w:t>
      </w:r>
    </w:p>
    <w:p>
      <w:pPr>
        <w:widowControl/>
      </w:pPr>
      <w:r>
        <w:rPr>
          <w:b/>
          <w:i w:val="0"/>
        </w:rPr>
        <w:t>tradunt.</w:t>
      </w:r>
      <w:r>
        <w:rPr>
          <w:b w:val="0"/>
          <w:i w:val="0"/>
        </w:rPr>
        <w:t xml:space="preserve"> </w:t>
      </w:r>
      <w:hyperlink w:anchor="latin-record-1298">
        <w:r>
          <w:rPr>
            <w:color w:val="000000"/>
          </w:rPr>
          <w:t xml:space="preserve">tradere</w:t>
        </w:r>
      </w:hyperlink>
      <w:r>
        <w:rPr>
          <w:b w:val="0"/>
          <w:i w:val="0"/>
        </w:rPr>
        <w:t>.</w:t>
      </w:r>
    </w:p>
    <w:p>
      <w:pPr>
        <w:widowControl/>
      </w:pPr>
      <w:r>
        <w:rPr>
          <w:b/>
          <w:i w:val="0"/>
        </w:rPr>
        <w:t>trahitur et suspenditur.</w:t>
      </w:r>
      <w:r>
        <w:rPr>
          <w:b w:val="0"/>
          <w:i w:val="0"/>
        </w:rPr>
        <w:t xml:space="preserve"> </w:t>
      </w:r>
      <w:hyperlink w:anchor="latin-record-0747">
        <w:r>
          <w:rPr>
            <w:color w:val="000000"/>
          </w:rPr>
          <w:t xml:space="preserve">magnes / ferrum / trahere / suspendere</w:t>
        </w:r>
      </w:hyperlink>
      <w:r>
        <w:rPr>
          <w:b w:val="0"/>
          <w:i w:val="0"/>
        </w:rPr>
        <w:t>.</w:t>
      </w:r>
    </w:p>
    <w:p>
      <w:pPr>
        <w:widowControl/>
      </w:pPr>
      <w:r>
        <w:rPr>
          <w:b/>
          <w:i w:val="0"/>
        </w:rPr>
        <w:t>transcendit.</w:t>
      </w:r>
      <w:r>
        <w:rPr>
          <w:b w:val="0"/>
          <w:i w:val="0"/>
        </w:rPr>
        <w:t xml:space="preserve"> </w:t>
      </w:r>
      <w:hyperlink w:anchor="latin-record-1069">
        <w:r>
          <w:rPr>
            <w:color w:val="000000"/>
          </w:rPr>
          <w:t xml:space="preserve">ratio / transcendere</w:t>
        </w:r>
      </w:hyperlink>
      <w:r>
        <w:rPr>
          <w:b w:val="0"/>
          <w:i w:val="0"/>
        </w:rPr>
        <w:t>.</w:t>
      </w:r>
    </w:p>
    <w:p>
      <w:pPr>
        <w:widowControl/>
      </w:pPr>
      <w:r>
        <w:rPr>
          <w:b/>
          <w:i w:val="0"/>
        </w:rPr>
        <w:t>transcurrendo.</w:t>
      </w:r>
      <w:r>
        <w:rPr>
          <w:b w:val="0"/>
          <w:i w:val="0"/>
        </w:rPr>
        <w:t xml:space="preserve"> </w:t>
      </w:r>
      <w:hyperlink w:anchor="latin-record-1300">
        <w:r>
          <w:rPr>
            <w:color w:val="000000"/>
          </w:rPr>
          <w:t xml:space="preserve">transcurrere</w:t>
        </w:r>
      </w:hyperlink>
      <w:r>
        <w:rPr>
          <w:b w:val="0"/>
          <w:i w:val="0"/>
        </w:rPr>
        <w:t>.</w:t>
      </w:r>
    </w:p>
    <w:p>
      <w:pPr>
        <w:widowControl/>
      </w:pPr>
      <w:r>
        <w:rPr>
          <w:b/>
          <w:i w:val="0"/>
        </w:rPr>
        <w:t>transcurrere.</w:t>
      </w:r>
      <w:r>
        <w:rPr>
          <w:b w:val="0"/>
          <w:i w:val="0"/>
        </w:rPr>
        <w:t xml:space="preserve"> </w:t>
      </w:r>
      <w:hyperlink w:anchor="latin-record-1300">
        <w:r>
          <w:rPr>
            <w:color w:val="000000"/>
          </w:rPr>
          <w:t xml:space="preserve">transcurrere</w:t>
        </w:r>
      </w:hyperlink>
      <w:r>
        <w:rPr>
          <w:b w:val="0"/>
          <w:i w:val="0"/>
        </w:rPr>
        <w:t>.</w:t>
      </w:r>
    </w:p>
    <w:p>
      <w:pPr>
        <w:widowControl/>
      </w:pPr>
      <w:r>
        <w:rPr>
          <w:b/>
          <w:i w:val="0"/>
        </w:rPr>
        <w:t>transeat.</w:t>
      </w:r>
      <w:r>
        <w:rPr>
          <w:b w:val="0"/>
          <w:i w:val="0"/>
        </w:rPr>
        <w:t xml:space="preserve"> </w:t>
      </w:r>
      <w:hyperlink w:anchor="latin-record-1302">
        <w:r>
          <w:rPr>
            <w:color w:val="000000"/>
          </w:rPr>
          <w:t xml:space="preserve">transire / migrare / commutare</w:t>
        </w:r>
      </w:hyperlink>
      <w:r>
        <w:rPr>
          <w:b w:val="0"/>
          <w:i w:val="0"/>
        </w:rPr>
        <w:t>.</w:t>
      </w:r>
    </w:p>
    <w:p>
      <w:pPr>
        <w:widowControl/>
      </w:pPr>
      <w:r>
        <w:rPr>
          <w:b/>
          <w:i w:val="0"/>
        </w:rPr>
        <w:t>transferetur.</w:t>
      </w:r>
      <w:r>
        <w:rPr>
          <w:b w:val="0"/>
          <w:i w:val="0"/>
        </w:rPr>
        <w:t xml:space="preserve"> </w:t>
      </w:r>
      <w:hyperlink w:anchor="latin-record-1301">
        <w:r>
          <w:rPr>
            <w:color w:val="000000"/>
          </w:rPr>
          <w:t xml:space="preserve">transferre</w:t>
        </w:r>
      </w:hyperlink>
      <w:r>
        <w:rPr>
          <w:b w:val="0"/>
          <w:i w:val="0"/>
        </w:rPr>
        <w:t>.</w:t>
      </w:r>
    </w:p>
    <w:p>
      <w:pPr>
        <w:widowControl/>
      </w:pPr>
      <w:r>
        <w:rPr>
          <w:b/>
          <w:i w:val="0"/>
        </w:rPr>
        <w:t>transit.</w:t>
      </w:r>
      <w:r>
        <w:rPr>
          <w:b w:val="0"/>
          <w:i w:val="0"/>
        </w:rPr>
        <w:t xml:space="preserve"> </w:t>
      </w:r>
      <w:hyperlink w:anchor="latin-record-0941">
        <w:r>
          <w:rPr>
            <w:color w:val="000000"/>
          </w:rPr>
          <w:t xml:space="preserve">pervenire / transire / concurrere</w:t>
        </w:r>
      </w:hyperlink>
      <w:r>
        <w:rPr>
          <w:b w:val="0"/>
          <w:i w:val="0"/>
        </w:rPr>
        <w:t xml:space="preserve">; </w:t>
      </w:r>
      <w:hyperlink w:anchor="latin-record-1302">
        <w:r>
          <w:rPr>
            <w:color w:val="000000"/>
          </w:rPr>
          <w:t xml:space="preserve">transire / migrare / commutare</w:t>
        </w:r>
      </w:hyperlink>
      <w:r>
        <w:rPr>
          <w:b w:val="0"/>
          <w:i w:val="0"/>
        </w:rPr>
        <w:t xml:space="preserve">; </w:t>
      </w:r>
      <w:hyperlink w:anchor="latin-record-1303">
        <w:r>
          <w:rPr>
            <w:color w:val="000000"/>
          </w:rPr>
          <w:t xml:space="preserve">transitus</w:t>
        </w:r>
      </w:hyperlink>
      <w:r>
        <w:rPr>
          <w:b w:val="0"/>
          <w:i w:val="0"/>
        </w:rPr>
        <w:t>.</w:t>
      </w:r>
    </w:p>
    <w:p>
      <w:pPr>
        <w:widowControl/>
      </w:pPr>
      <w:r>
        <w:rPr>
          <w:b/>
          <w:i w:val="0"/>
        </w:rPr>
        <w:t>transitum vel circuitum.</w:t>
      </w:r>
      <w:r>
        <w:rPr>
          <w:b w:val="0"/>
          <w:i w:val="0"/>
        </w:rPr>
        <w:t xml:space="preserve"> </w:t>
      </w:r>
      <w:hyperlink w:anchor="latin-record-1304">
        <w:r>
          <w:rPr>
            <w:color w:val="000000"/>
          </w:rPr>
          <w:t xml:space="preserve">transitus; circuitus</w:t>
        </w:r>
      </w:hyperlink>
      <w:r>
        <w:rPr>
          <w:b w:val="0"/>
          <w:i w:val="0"/>
        </w:rPr>
        <w:t>.</w:t>
      </w:r>
    </w:p>
    <w:p>
      <w:pPr>
        <w:widowControl/>
      </w:pPr>
      <w:r>
        <w:rPr>
          <w:b/>
          <w:i w:val="0"/>
        </w:rPr>
        <w:t>transitus.</w:t>
      </w:r>
      <w:r>
        <w:rPr>
          <w:b w:val="0"/>
          <w:i w:val="0"/>
        </w:rPr>
        <w:t xml:space="preserve"> </w:t>
      </w:r>
      <w:hyperlink w:anchor="latin-record-1303">
        <w:r>
          <w:rPr>
            <w:color w:val="000000"/>
          </w:rPr>
          <w:t xml:space="preserve">transitus</w:t>
        </w:r>
      </w:hyperlink>
      <w:r>
        <w:rPr>
          <w:b w:val="0"/>
          <w:i w:val="0"/>
        </w:rPr>
        <w:t>.</w:t>
      </w:r>
    </w:p>
    <w:p>
      <w:pPr>
        <w:widowControl/>
      </w:pPr>
      <w:r>
        <w:rPr>
          <w:b/>
          <w:i w:val="0"/>
        </w:rPr>
        <w:t>transmittuntur.</w:t>
      </w:r>
      <w:r>
        <w:rPr>
          <w:b w:val="0"/>
          <w:i w:val="0"/>
        </w:rPr>
        <w:t xml:space="preserve"> </w:t>
      </w:r>
      <w:hyperlink w:anchor="latin-record-1305">
        <w:r>
          <w:rPr>
            <w:color w:val="000000"/>
          </w:rPr>
          <w:t xml:space="preserve">transmittere / conservare</w:t>
        </w:r>
      </w:hyperlink>
      <w:r>
        <w:rPr>
          <w:b w:val="0"/>
          <w:i w:val="0"/>
        </w:rPr>
        <w:t>.</w:t>
      </w:r>
    </w:p>
    <w:p>
      <w:pPr>
        <w:widowControl/>
      </w:pPr>
      <w:r>
        <w:rPr>
          <w:b/>
          <w:i w:val="0"/>
        </w:rPr>
        <w:t>transmutabit.</w:t>
      </w:r>
      <w:r>
        <w:rPr>
          <w:b w:val="0"/>
          <w:i w:val="0"/>
        </w:rPr>
        <w:t xml:space="preserve"> </w:t>
      </w:r>
      <w:hyperlink w:anchor="latin-record-0248">
        <w:r>
          <w:rPr>
            <w:color w:val="000000"/>
          </w:rPr>
          <w:t xml:space="preserve">commutare / transmutare</w:t>
        </w:r>
      </w:hyperlink>
      <w:r>
        <w:rPr>
          <w:b w:val="0"/>
          <w:i w:val="0"/>
        </w:rPr>
        <w:t>.</w:t>
      </w:r>
    </w:p>
    <w:p>
      <w:pPr>
        <w:widowControl/>
      </w:pPr>
      <w:r>
        <w:rPr>
          <w:b/>
          <w:i w:val="0"/>
        </w:rPr>
        <w:t>transmutatio.</w:t>
      </w:r>
      <w:r>
        <w:rPr>
          <w:b w:val="0"/>
          <w:i w:val="0"/>
        </w:rPr>
        <w:t xml:space="preserve"> </w:t>
      </w:r>
      <w:hyperlink w:anchor="latin-record-0250">
        <w:r>
          <w:rPr>
            <w:color w:val="000000"/>
          </w:rPr>
          <w:t xml:space="preserve">commutatio; transmutatio</w:t>
        </w:r>
      </w:hyperlink>
      <w:r>
        <w:rPr>
          <w:b w:val="0"/>
          <w:i w:val="0"/>
        </w:rPr>
        <w:t>.</w:t>
      </w:r>
    </w:p>
    <w:p>
      <w:pPr>
        <w:widowControl/>
      </w:pPr>
      <w:r>
        <w:rPr>
          <w:b/>
          <w:i w:val="0"/>
        </w:rPr>
        <w:t>tria.</w:t>
      </w:r>
      <w:r>
        <w:rPr>
          <w:b w:val="0"/>
          <w:i w:val="0"/>
        </w:rPr>
        <w:t xml:space="preserve"> </w:t>
      </w:r>
      <w:hyperlink w:anchor="latin-record-1306">
        <w:r>
          <w:rPr>
            <w:color w:val="000000"/>
          </w:rPr>
          <w:t xml:space="preserve">tria puncta / medium / extrema</w:t>
        </w:r>
      </w:hyperlink>
      <w:r>
        <w:rPr>
          <w:b w:val="0"/>
          <w:i w:val="0"/>
        </w:rPr>
        <w:t>.</w:t>
      </w:r>
    </w:p>
    <w:p>
      <w:pPr>
        <w:widowControl/>
      </w:pPr>
      <w:r>
        <w:rPr>
          <w:b/>
          <w:i w:val="0"/>
        </w:rPr>
        <w:t>tribuat.</w:t>
      </w:r>
      <w:r>
        <w:rPr>
          <w:b w:val="0"/>
          <w:i w:val="0"/>
        </w:rPr>
        <w:t xml:space="preserve"> </w:t>
      </w:r>
      <w:hyperlink w:anchor="latin-record-0358">
        <w:r>
          <w:rPr>
            <w:color w:val="000000"/>
          </w:rPr>
          <w:t xml:space="preserve">dare; tribuere; praestare</w:t>
        </w:r>
      </w:hyperlink>
      <w:r>
        <w:rPr>
          <w:b w:val="0"/>
          <w:i w:val="0"/>
        </w:rPr>
        <w:t>.</w:t>
      </w:r>
    </w:p>
    <w:p>
      <w:pPr>
        <w:widowControl/>
      </w:pPr>
      <w:r>
        <w:rPr>
          <w:b/>
          <w:i w:val="0"/>
        </w:rPr>
        <w:t>tribuere.</w:t>
      </w:r>
      <w:r>
        <w:rPr>
          <w:b w:val="0"/>
          <w:i w:val="0"/>
        </w:rPr>
        <w:t xml:space="preserve"> </w:t>
      </w:r>
      <w:hyperlink w:anchor="latin-record-0356">
        <w:r>
          <w:rPr>
            <w:color w:val="000000"/>
          </w:rPr>
          <w:t xml:space="preserve">dare / tribuere / praestare</w:t>
        </w:r>
      </w:hyperlink>
      <w:r>
        <w:rPr>
          <w:b w:val="0"/>
          <w:i w:val="0"/>
        </w:rPr>
        <w:t xml:space="preserve">; </w:t>
      </w:r>
      <w:hyperlink w:anchor="latin-record-0358">
        <w:r>
          <w:rPr>
            <w:color w:val="000000"/>
          </w:rPr>
          <w:t xml:space="preserve">dare; tribuere; praestare</w:t>
        </w:r>
      </w:hyperlink>
      <w:r>
        <w:rPr>
          <w:b w:val="0"/>
          <w:i w:val="0"/>
        </w:rPr>
        <w:t>.</w:t>
      </w:r>
    </w:p>
    <w:p>
      <w:pPr>
        <w:widowControl/>
      </w:pPr>
      <w:r>
        <w:rPr>
          <w:b/>
          <w:i w:val="0"/>
        </w:rPr>
        <w:t>tribuit.</w:t>
      </w:r>
      <w:r>
        <w:rPr>
          <w:b w:val="0"/>
          <w:i w:val="0"/>
        </w:rPr>
        <w:t xml:space="preserve"> </w:t>
      </w:r>
      <w:hyperlink w:anchor="latin-record-0355">
        <w:r>
          <w:rPr>
            <w:color w:val="000000"/>
          </w:rPr>
          <w:t xml:space="preserve">dare / tribuere</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358">
        <w:r>
          <w:rPr>
            <w:color w:val="000000"/>
          </w:rPr>
          <w:t xml:space="preserve">dare; tribuere; praestare</w:t>
        </w:r>
      </w:hyperlink>
      <w:r>
        <w:rPr>
          <w:b w:val="0"/>
          <w:i w:val="0"/>
        </w:rPr>
        <w:t xml:space="preserve">; </w:t>
      </w:r>
      <w:hyperlink w:anchor="latin-record-0696">
        <w:r>
          <w:rPr>
            <w:color w:val="000000"/>
          </w:rPr>
          <w:t xml:space="preserve">iustitia / suum cuique</w:t>
        </w:r>
      </w:hyperlink>
      <w:r>
        <w:rPr>
          <w:b w:val="0"/>
          <w:i w:val="0"/>
        </w:rPr>
        <w:t>.</w:t>
      </w:r>
    </w:p>
    <w:p>
      <w:pPr>
        <w:widowControl/>
      </w:pPr>
      <w:r>
        <w:rPr>
          <w:b/>
          <w:i w:val="0"/>
        </w:rPr>
        <w:t>tribuitur.</w:t>
      </w:r>
      <w:r>
        <w:rPr>
          <w:b w:val="0"/>
          <w:i w:val="0"/>
        </w:rPr>
        <w:t xml:space="preserve"> </w:t>
      </w:r>
      <w:hyperlink w:anchor="latin-record-0355">
        <w:r>
          <w:rPr>
            <w:color w:val="000000"/>
          </w:rPr>
          <w:t xml:space="preserve">dare / tribuere</w:t>
        </w:r>
      </w:hyperlink>
      <w:r>
        <w:rPr>
          <w:b w:val="0"/>
          <w:i w:val="0"/>
        </w:rPr>
        <w:t>.</w:t>
      </w:r>
    </w:p>
    <w:p>
      <w:pPr>
        <w:widowControl/>
      </w:pPr>
      <w:r>
        <w:rPr>
          <w:b/>
          <w:i w:val="0"/>
        </w:rPr>
        <w:t>tricubita.</w:t>
      </w:r>
      <w:r>
        <w:rPr>
          <w:b w:val="0"/>
          <w:i w:val="0"/>
        </w:rPr>
        <w:t xml:space="preserve"> </w:t>
      </w:r>
      <w:hyperlink w:anchor="latin-record-1307">
        <w:r>
          <w:rPr>
            <w:color w:val="000000"/>
          </w:rPr>
          <w:t xml:space="preserve">tricubitus</w:t>
        </w:r>
      </w:hyperlink>
      <w:r>
        <w:rPr>
          <w:b w:val="0"/>
          <w:i w:val="0"/>
        </w:rPr>
        <w:t>.</w:t>
      </w:r>
    </w:p>
    <w:p>
      <w:pPr>
        <w:widowControl/>
      </w:pPr>
      <w:r>
        <w:rPr>
          <w:b/>
          <w:i w:val="0"/>
        </w:rPr>
        <w:t>tricubito.</w:t>
      </w:r>
      <w:r>
        <w:rPr>
          <w:b w:val="0"/>
          <w:i w:val="0"/>
        </w:rPr>
        <w:t xml:space="preserve"> </w:t>
      </w:r>
      <w:hyperlink w:anchor="latin-record-1307">
        <w:r>
          <w:rPr>
            <w:color w:val="000000"/>
          </w:rPr>
          <w:t xml:space="preserve">tricubitus</w:t>
        </w:r>
      </w:hyperlink>
      <w:r>
        <w:rPr>
          <w:b w:val="0"/>
          <w:i w:val="0"/>
        </w:rPr>
        <w:t>.</w:t>
      </w:r>
    </w:p>
    <w:p>
      <w:pPr>
        <w:widowControl/>
      </w:pPr>
      <w:r>
        <w:rPr>
          <w:b/>
          <w:i w:val="0"/>
        </w:rPr>
        <w:t>trigesimo aetatis anno.</w:t>
      </w:r>
      <w:r>
        <w:rPr>
          <w:b w:val="0"/>
          <w:i w:val="0"/>
        </w:rPr>
        <w:t xml:space="preserve"> </w:t>
      </w:r>
      <w:hyperlink w:anchor="latin-record-0479">
        <w:r>
          <w:rPr>
            <w:color w:val="000000"/>
          </w:rPr>
          <w:t xml:space="preserve">fetus; adultus</w:t>
        </w:r>
      </w:hyperlink>
      <w:r>
        <w:rPr>
          <w:b w:val="0"/>
          <w:i w:val="0"/>
        </w:rPr>
        <w:t>.</w:t>
      </w:r>
    </w:p>
    <w:p>
      <w:pPr>
        <w:widowControl/>
      </w:pPr>
      <w:r>
        <w:rPr>
          <w:b/>
          <w:i w:val="0"/>
        </w:rPr>
        <w:t>Tristitia.</w:t>
      </w:r>
      <w:r>
        <w:rPr>
          <w:b w:val="0"/>
          <w:i w:val="0"/>
        </w:rPr>
        <w:t xml:space="preserve"> </w:t>
      </w:r>
      <w:hyperlink w:anchor="latin-record-1308">
        <w:r>
          <w:rPr>
            <w:color w:val="000000"/>
          </w:rPr>
          <w:t xml:space="preserve">tristitia / laetitia / debilitare / roborare</w:t>
        </w:r>
      </w:hyperlink>
      <w:r>
        <w:rPr>
          <w:b w:val="0"/>
          <w:i w:val="0"/>
        </w:rPr>
        <w:t>.</w:t>
      </w:r>
    </w:p>
    <w:p>
      <w:pPr>
        <w:widowControl/>
      </w:pPr>
      <w:r>
        <w:rPr>
          <w:b/>
          <w:i w:val="0"/>
        </w:rPr>
        <w:t>tritici.</w:t>
      </w:r>
      <w:r>
        <w:rPr>
          <w:b w:val="0"/>
          <w:i w:val="0"/>
        </w:rPr>
        <w:t xml:space="preserve"> </w:t>
      </w:r>
      <w:hyperlink w:anchor="latin-record-0550">
        <w:r>
          <w:rPr>
            <w:color w:val="000000"/>
          </w:rPr>
          <w:t xml:space="preserve">gutta / triticum / granum</w:t>
        </w:r>
      </w:hyperlink>
      <w:r>
        <w:rPr>
          <w:b w:val="0"/>
          <w:i w:val="0"/>
        </w:rPr>
        <w:t>.</w:t>
      </w:r>
    </w:p>
    <w:p>
      <w:pPr>
        <w:widowControl/>
      </w:pPr>
      <w:r>
        <w:rPr>
          <w:b/>
          <w:i w:val="0"/>
        </w:rPr>
        <w:t>tritico.</w:t>
      </w:r>
      <w:r>
        <w:rPr>
          <w:b w:val="0"/>
          <w:i w:val="0"/>
        </w:rPr>
        <w:t xml:space="preserve"> </w:t>
      </w:r>
      <w:hyperlink w:anchor="latin-record-1309">
        <w:r>
          <w:rPr>
            <w:color w:val="000000"/>
          </w:rPr>
          <w:t xml:space="preserve">triticum / pyrum</w:t>
        </w:r>
      </w:hyperlink>
      <w:r>
        <w:rPr>
          <w:b w:val="0"/>
          <w:i w:val="0"/>
        </w:rPr>
        <w:t>.</w:t>
      </w:r>
    </w:p>
    <w:p>
      <w:pPr>
        <w:widowControl/>
      </w:pPr>
      <w:r>
        <w:rPr>
          <w:b/>
          <w:i w:val="0"/>
        </w:rPr>
        <w:t>tumore.</w:t>
      </w:r>
      <w:r>
        <w:rPr>
          <w:b w:val="0"/>
          <w:i w:val="0"/>
        </w:rPr>
        <w:t xml:space="preserve"> </w:t>
      </w:r>
      <w:hyperlink w:anchor="latin-record-1310">
        <w:r>
          <w:rPr>
            <w:color w:val="000000"/>
          </w:rPr>
          <w:t xml:space="preserve">tumor</w:t>
        </w:r>
      </w:hyperlink>
      <w:r>
        <w:rPr>
          <w:b w:val="0"/>
          <w:i w:val="0"/>
        </w:rPr>
        <w:t>.</w:t>
      </w:r>
    </w:p>
    <w:p>
      <w:pPr>
        <w:widowControl/>
      </w:pPr>
      <w:r>
        <w:rPr>
          <w:b/>
          <w:i w:val="0"/>
        </w:rPr>
        <w:t>turgent.</w:t>
      </w:r>
      <w:r>
        <w:rPr>
          <w:b w:val="0"/>
          <w:i w:val="0"/>
        </w:rPr>
        <w:t xml:space="preserve"> </w:t>
      </w:r>
      <w:hyperlink w:anchor="latin-record-1311">
        <w:r>
          <w:rPr>
            <w:color w:val="000000"/>
          </w:rPr>
          <w:t xml:space="preserve">turgere; concipere; edere</w:t>
        </w:r>
      </w:hyperlink>
      <w:r>
        <w:rPr>
          <w:b w:val="0"/>
          <w:i w:val="0"/>
        </w:rPr>
        <w:t>.</w:t>
      </w:r>
    </w:p>
    <w:p>
      <w:pPr>
        <w:widowControl/>
      </w:pPr>
      <w:r>
        <w:rPr>
          <w:b/>
          <w:i w:val="0"/>
        </w:rPr>
        <w:t>turgescit.</w:t>
      </w:r>
      <w:r>
        <w:rPr>
          <w:b w:val="0"/>
          <w:i w:val="0"/>
        </w:rPr>
        <w:t xml:space="preserve"> </w:t>
      </w:r>
      <w:hyperlink w:anchor="latin-record-1312">
        <w:r>
          <w:rPr>
            <w:color w:val="000000"/>
          </w:rPr>
          <w:t xml:space="preserve">turgescere / gravescere</w:t>
        </w:r>
      </w:hyperlink>
      <w:r>
        <w:rPr>
          <w:b w:val="0"/>
          <w:i w:val="0"/>
        </w:rPr>
        <w:t>.</w:t>
      </w:r>
    </w:p>
    <w:p>
      <w:pPr>
        <w:widowControl/>
      </w:pPr>
      <w:r>
        <w:rPr>
          <w:b/>
          <w:i w:val="0"/>
        </w:rPr>
        <w:t>ubique totam.</w:t>
      </w:r>
      <w:r>
        <w:rPr>
          <w:b w:val="0"/>
          <w:i w:val="0"/>
        </w:rPr>
        <w:t xml:space="preserve"> </w:t>
      </w:r>
      <w:hyperlink w:anchor="latin-record-1313">
        <w:r>
          <w:rPr>
            <w:color w:val="000000"/>
          </w:rPr>
          <w:t xml:space="preserve">ubique totus</w:t>
        </w:r>
      </w:hyperlink>
      <w:r>
        <w:rPr>
          <w:b w:val="0"/>
          <w:i w:val="0"/>
        </w:rPr>
        <w:t>.</w:t>
      </w:r>
    </w:p>
    <w:p>
      <w:pPr>
        <w:widowControl/>
      </w:pPr>
      <w:r>
        <w:rPr>
          <w:b/>
          <w:i w:val="0"/>
        </w:rPr>
        <w:t>umbrae.</w:t>
      </w:r>
      <w:r>
        <w:rPr>
          <w:b w:val="0"/>
          <w:i w:val="0"/>
        </w:rPr>
        <w:t xml:space="preserve"> </w:t>
      </w:r>
      <w:hyperlink w:anchor="latin-record-1314">
        <w:r>
          <w:rPr>
            <w:color w:val="000000"/>
          </w:rPr>
          <w:t xml:space="preserve">umbra</w:t>
        </w:r>
      </w:hyperlink>
      <w:r>
        <w:rPr>
          <w:b w:val="0"/>
          <w:i w:val="0"/>
        </w:rPr>
        <w:t>.</w:t>
      </w:r>
    </w:p>
    <w:p>
      <w:pPr>
        <w:widowControl/>
      </w:pPr>
      <w:r>
        <w:rPr>
          <w:b/>
          <w:i w:val="0"/>
        </w:rPr>
        <w:t>umbram.</w:t>
      </w:r>
      <w:r>
        <w:rPr>
          <w:b w:val="0"/>
          <w:i w:val="0"/>
        </w:rPr>
        <w:t xml:space="preserve"> </w:t>
      </w:r>
      <w:hyperlink w:anchor="latin-record-1314">
        <w:r>
          <w:rPr>
            <w:color w:val="000000"/>
          </w:rPr>
          <w:t xml:space="preserve">umbra</w:t>
        </w:r>
      </w:hyperlink>
      <w:r>
        <w:rPr>
          <w:b w:val="0"/>
          <w:i w:val="0"/>
        </w:rPr>
        <w:t>.</w:t>
      </w:r>
    </w:p>
    <w:p>
      <w:pPr>
        <w:widowControl/>
      </w:pPr>
      <w:r>
        <w:rPr>
          <w:b/>
          <w:i w:val="0"/>
        </w:rPr>
        <w:t>umbram tuam.</w:t>
      </w:r>
      <w:r>
        <w:rPr>
          <w:b w:val="0"/>
          <w:i w:val="0"/>
        </w:rPr>
        <w:t xml:space="preserve"> </w:t>
      </w:r>
      <w:hyperlink w:anchor="latin-record-1314">
        <w:r>
          <w:rPr>
            <w:color w:val="000000"/>
          </w:rPr>
          <w:t xml:space="preserve">umbra</w:t>
        </w:r>
      </w:hyperlink>
      <w:r>
        <w:rPr>
          <w:b w:val="0"/>
          <w:i w:val="0"/>
        </w:rPr>
        <w:t>.</w:t>
      </w:r>
    </w:p>
    <w:p>
      <w:pPr>
        <w:widowControl/>
      </w:pPr>
      <w:r>
        <w:rPr>
          <w:b/>
          <w:i w:val="0"/>
        </w:rPr>
        <w:t>umquam.</w:t>
      </w:r>
      <w:r>
        <w:rPr>
          <w:b w:val="0"/>
          <w:i w:val="0"/>
        </w:rPr>
        <w:t xml:space="preserve"> </w:t>
      </w:r>
      <w:hyperlink w:anchor="latin-record-1154">
        <w:r>
          <w:rPr>
            <w:color w:val="000000"/>
          </w:rPr>
          <w:t xml:space="preserve">semper; numquam; saepe; quandoque</w:t>
        </w:r>
      </w:hyperlink>
      <w:r>
        <w:rPr>
          <w:b w:val="0"/>
          <w:i w:val="0"/>
        </w:rPr>
        <w:t>.</w:t>
      </w:r>
    </w:p>
    <w:p>
      <w:pPr>
        <w:widowControl/>
      </w:pPr>
      <w:r>
        <w:rPr>
          <w:b/>
          <w:i w:val="0"/>
        </w:rPr>
        <w:t>unam causam.</w:t>
      </w:r>
      <w:r>
        <w:rPr>
          <w:b w:val="0"/>
          <w:i w:val="0"/>
        </w:rPr>
        <w:t xml:space="preserve"> </w:t>
      </w:r>
      <w:hyperlink w:anchor="latin-record-0199">
        <w:r>
          <w:rPr>
            <w:color w:val="000000"/>
          </w:rPr>
          <w:t xml:space="preserve">causa communis</w:t>
        </w:r>
      </w:hyperlink>
      <w:r>
        <w:rPr>
          <w:b w:val="0"/>
          <w:i w:val="0"/>
        </w:rPr>
        <w:t>.</w:t>
      </w:r>
    </w:p>
    <w:p>
      <w:pPr>
        <w:widowControl/>
      </w:pPr>
      <w:r>
        <w:rPr>
          <w:b/>
          <w:i w:val="0"/>
        </w:rPr>
        <w:t>undas.</w:t>
      </w:r>
      <w:r>
        <w:rPr>
          <w:b w:val="0"/>
          <w:i w:val="0"/>
        </w:rPr>
        <w:t xml:space="preserve"> </w:t>
      </w:r>
      <w:hyperlink w:anchor="latin-record-1391">
        <w:r>
          <w:rPr>
            <w:color w:val="000000"/>
          </w:rPr>
          <w:t xml:space="preserve">vultus; flumen; unda</w:t>
        </w:r>
      </w:hyperlink>
      <w:r>
        <w:rPr>
          <w:b w:val="0"/>
          <w:i w:val="0"/>
        </w:rPr>
        <w:t>.</w:t>
      </w:r>
    </w:p>
    <w:p>
      <w:pPr>
        <w:widowControl/>
      </w:pPr>
      <w:r>
        <w:rPr>
          <w:b/>
          <w:i w:val="0"/>
        </w:rPr>
        <w:t>Unde.</w:t>
      </w:r>
      <w:r>
        <w:rPr>
          <w:b w:val="0"/>
          <w:i w:val="0"/>
        </w:rPr>
        <w:t xml:space="preserve"> </w:t>
      </w:r>
      <w:hyperlink w:anchor="latin-record-1315">
        <w:r>
          <w:rPr>
            <w:color w:val="000000"/>
          </w:rPr>
          <w:t xml:space="preserve">unde / inde / illuc</w:t>
        </w:r>
      </w:hyperlink>
      <w:r>
        <w:rPr>
          <w:b w:val="0"/>
          <w:i w:val="0"/>
        </w:rPr>
        <w:t>.</w:t>
      </w:r>
    </w:p>
    <w:p>
      <w:pPr>
        <w:widowControl/>
      </w:pPr>
      <w:r>
        <w:rPr>
          <w:b/>
          <w:i w:val="0"/>
        </w:rPr>
        <w:t>unio fit membrorum.</w:t>
      </w:r>
      <w:r>
        <w:rPr>
          <w:b w:val="0"/>
          <w:i w:val="0"/>
        </w:rPr>
        <w:t xml:space="preserve"> </w:t>
      </w:r>
      <w:hyperlink w:anchor="latin-record-1317">
        <w:r>
          <w:rPr>
            <w:color w:val="000000"/>
          </w:rPr>
          <w:t xml:space="preserve">unio plurium / vis insita</w:t>
        </w:r>
      </w:hyperlink>
      <w:r>
        <w:rPr>
          <w:b w:val="0"/>
          <w:i w:val="0"/>
        </w:rPr>
        <w:t>.</w:t>
      </w:r>
    </w:p>
    <w:p>
      <w:pPr>
        <w:widowControl/>
      </w:pPr>
      <w:r>
        <w:rPr>
          <w:b/>
          <w:i w:val="0"/>
        </w:rPr>
        <w:t>unio plurium.</w:t>
      </w:r>
      <w:r>
        <w:rPr>
          <w:b w:val="0"/>
          <w:i w:val="0"/>
        </w:rPr>
        <w:t xml:space="preserve"> </w:t>
      </w:r>
      <w:hyperlink w:anchor="latin-record-1317">
        <w:r>
          <w:rPr>
            <w:color w:val="000000"/>
          </w:rPr>
          <w:t xml:space="preserve">unio plurium / vis insita</w:t>
        </w:r>
      </w:hyperlink>
      <w:r>
        <w:rPr>
          <w:b w:val="0"/>
          <w:i w:val="0"/>
        </w:rPr>
        <w:t>.</w:t>
      </w:r>
    </w:p>
    <w:p>
      <w:pPr>
        <w:widowControl/>
      </w:pPr>
      <w:r>
        <w:rPr>
          <w:b/>
          <w:i w:val="0"/>
        </w:rPr>
        <w:t>unione.</w:t>
      </w:r>
      <w:r>
        <w:rPr>
          <w:b w:val="0"/>
          <w:i w:val="0"/>
        </w:rPr>
        <w:t xml:space="preserve"> </w:t>
      </w:r>
      <w:hyperlink w:anchor="latin-record-0236">
        <w:r>
          <w:rPr>
            <w:color w:val="000000"/>
          </w:rPr>
          <w:t xml:space="preserve">colligere; unio</w:t>
        </w:r>
      </w:hyperlink>
      <w:r>
        <w:rPr>
          <w:b w:val="0"/>
          <w:i w:val="0"/>
        </w:rPr>
        <w:t>.</w:t>
      </w:r>
    </w:p>
    <w:p>
      <w:pPr>
        <w:widowControl/>
      </w:pPr>
      <w:r>
        <w:rPr>
          <w:b/>
          <w:i w:val="0"/>
        </w:rPr>
        <w:t>unionem et augmentum.</w:t>
      </w:r>
      <w:r>
        <w:rPr>
          <w:b w:val="0"/>
          <w:i w:val="0"/>
        </w:rPr>
        <w:t xml:space="preserve"> </w:t>
      </w:r>
      <w:hyperlink w:anchor="latin-record-1316">
        <w:r>
          <w:rPr>
            <w:color w:val="000000"/>
          </w:rPr>
          <w:t xml:space="preserve">unio et augmentum</w:t>
        </w:r>
      </w:hyperlink>
      <w:r>
        <w:rPr>
          <w:b w:val="0"/>
          <w:i w:val="0"/>
        </w:rPr>
        <w:t>.</w:t>
      </w:r>
    </w:p>
    <w:p>
      <w:pPr>
        <w:widowControl/>
      </w:pPr>
      <w:r>
        <w:rPr>
          <w:b/>
          <w:i w:val="0"/>
        </w:rPr>
        <w:t>unit.</w:t>
      </w:r>
      <w:r>
        <w:rPr>
          <w:b w:val="0"/>
          <w:i w:val="0"/>
        </w:rPr>
        <w:t xml:space="preserve"> </w:t>
      </w:r>
      <w:hyperlink w:anchor="latin-record-1318">
        <w:r>
          <w:rPr>
            <w:color w:val="000000"/>
          </w:rPr>
          <w:t xml:space="preserve">unire; sistere; continere</w:t>
        </w:r>
      </w:hyperlink>
      <w:r>
        <w:rPr>
          <w:b w:val="0"/>
          <w:i w:val="0"/>
        </w:rPr>
        <w:t>.</w:t>
      </w:r>
    </w:p>
    <w:p>
      <w:pPr>
        <w:widowControl/>
      </w:pPr>
      <w:r>
        <w:rPr>
          <w:b/>
          <w:i w:val="0"/>
        </w:rPr>
        <w:t>Unit.</w:t>
      </w:r>
      <w:r>
        <w:rPr>
          <w:b w:val="0"/>
          <w:i w:val="0"/>
        </w:rPr>
        <w:t xml:space="preserve"> </w:t>
      </w:r>
      <w:hyperlink w:anchor="latin-record-1318">
        <w:r>
          <w:rPr>
            <w:color w:val="000000"/>
          </w:rPr>
          <w:t xml:space="preserve">unire; sistere; continere</w:t>
        </w:r>
      </w:hyperlink>
      <w:r>
        <w:rPr>
          <w:b w:val="0"/>
          <w:i w:val="0"/>
        </w:rPr>
        <w:t>.</w:t>
      </w:r>
    </w:p>
    <w:p>
      <w:pPr>
        <w:widowControl/>
      </w:pPr>
      <w:r>
        <w:rPr>
          <w:b/>
          <w:i w:val="0"/>
        </w:rPr>
        <w:t>unita.</w:t>
      </w:r>
      <w:r>
        <w:rPr>
          <w:b w:val="0"/>
          <w:i w:val="0"/>
        </w:rPr>
        <w:t xml:space="preserve"> </w:t>
      </w:r>
      <w:hyperlink w:anchor="latin-record-0788">
        <w:r>
          <w:rPr>
            <w:color w:val="000000"/>
          </w:rPr>
          <w:t xml:space="preserve">mixtio / miscere</w:t>
        </w:r>
      </w:hyperlink>
      <w:r>
        <w:rPr>
          <w:b w:val="0"/>
          <w:i w:val="0"/>
        </w:rPr>
        <w:t>.</w:t>
      </w:r>
    </w:p>
    <w:p>
      <w:pPr>
        <w:widowControl/>
      </w:pPr>
      <w:r>
        <w:rPr>
          <w:b/>
          <w:i w:val="0"/>
        </w:rPr>
        <w:t>unitas.</w:t>
      </w:r>
      <w:r>
        <w:rPr>
          <w:b w:val="0"/>
          <w:i w:val="0"/>
        </w:rPr>
        <w:t xml:space="preserve"> </w:t>
      </w:r>
      <w:hyperlink w:anchor="latin-record-1319">
        <w:r>
          <w:rPr>
            <w:color w:val="000000"/>
          </w:rPr>
          <w:t xml:space="preserve">unitas / multitudo</w:t>
        </w:r>
      </w:hyperlink>
      <w:r>
        <w:rPr>
          <w:b w:val="0"/>
          <w:i w:val="0"/>
        </w:rPr>
        <w:t xml:space="preserve">; </w:t>
      </w:r>
      <w:hyperlink w:anchor="latin-record-1320">
        <w:r>
          <w:rPr>
            <w:color w:val="000000"/>
          </w:rPr>
          <w:t xml:space="preserve">unitas / unire</w:t>
        </w:r>
      </w:hyperlink>
      <w:r>
        <w:rPr>
          <w:b w:val="0"/>
          <w:i w:val="0"/>
        </w:rPr>
        <w:t>.</w:t>
      </w:r>
    </w:p>
    <w:p>
      <w:pPr>
        <w:widowControl/>
      </w:pPr>
      <w:r>
        <w:rPr>
          <w:b/>
          <w:i w:val="0"/>
        </w:rPr>
        <w:t>unitatem.</w:t>
      </w:r>
      <w:r>
        <w:rPr>
          <w:b w:val="0"/>
          <w:i w:val="0"/>
        </w:rPr>
        <w:t xml:space="preserve"> </w:t>
      </w:r>
      <w:hyperlink w:anchor="latin-record-1319">
        <w:r>
          <w:rPr>
            <w:color w:val="000000"/>
          </w:rPr>
          <w:t xml:space="preserve">unitas / multitudo</w:t>
        </w:r>
      </w:hyperlink>
      <w:r>
        <w:rPr>
          <w:b w:val="0"/>
          <w:i w:val="0"/>
        </w:rPr>
        <w:t xml:space="preserve">; </w:t>
      </w:r>
      <w:hyperlink w:anchor="latin-record-1320">
        <w:r>
          <w:rPr>
            <w:color w:val="000000"/>
          </w:rPr>
          <w:t xml:space="preserve">unitas / unire</w:t>
        </w:r>
      </w:hyperlink>
      <w:r>
        <w:rPr>
          <w:b w:val="0"/>
          <w:i w:val="0"/>
        </w:rPr>
        <w:t>.</w:t>
      </w:r>
    </w:p>
    <w:p>
      <w:pPr>
        <w:widowControl/>
      </w:pPr>
      <w:r>
        <w:rPr>
          <w:b/>
          <w:i w:val="0"/>
        </w:rPr>
        <w:t>unitque.</w:t>
      </w:r>
      <w:r>
        <w:rPr>
          <w:b w:val="0"/>
          <w:i w:val="0"/>
        </w:rPr>
        <w:t xml:space="preserve"> </w:t>
      </w:r>
      <w:hyperlink w:anchor="latin-record-1320">
        <w:r>
          <w:rPr>
            <w:color w:val="000000"/>
          </w:rPr>
          <w:t xml:space="preserve">unitas / unire</w:t>
        </w:r>
      </w:hyperlink>
      <w:r>
        <w:rPr>
          <w:b w:val="0"/>
          <w:i w:val="0"/>
        </w:rPr>
        <w:t>.</w:t>
      </w:r>
    </w:p>
    <w:p>
      <w:pPr>
        <w:widowControl/>
      </w:pPr>
      <w:r>
        <w:rPr>
          <w:b/>
          <w:i w:val="0"/>
        </w:rPr>
        <w:t>uniuntur.</w:t>
      </w:r>
      <w:r>
        <w:rPr>
          <w:b w:val="0"/>
          <w:i w:val="0"/>
        </w:rPr>
        <w:t xml:space="preserve"> </w:t>
      </w:r>
      <w:hyperlink w:anchor="latin-record-1317">
        <w:r>
          <w:rPr>
            <w:color w:val="000000"/>
          </w:rPr>
          <w:t xml:space="preserve">unio plurium / vis insita</w:t>
        </w:r>
      </w:hyperlink>
      <w:r>
        <w:rPr>
          <w:b w:val="0"/>
          <w:i w:val="0"/>
        </w:rPr>
        <w:t>.</w:t>
      </w:r>
    </w:p>
    <w:p>
      <w:pPr>
        <w:widowControl/>
      </w:pPr>
      <w:r>
        <w:rPr>
          <w:b/>
          <w:i w:val="0"/>
        </w:rPr>
        <w:t>universae.</w:t>
      </w:r>
      <w:r>
        <w:rPr>
          <w:b w:val="0"/>
          <w:i w:val="0"/>
        </w:rPr>
        <w:t xml:space="preserve"> </w:t>
      </w:r>
      <w:hyperlink w:anchor="latin-record-1324">
        <w:r>
          <w:rPr>
            <w:color w:val="000000"/>
          </w:rPr>
          <w:t xml:space="preserve">universalis / totus</w:t>
        </w:r>
      </w:hyperlink>
      <w:r>
        <w:rPr>
          <w:b w:val="0"/>
          <w:i w:val="0"/>
        </w:rPr>
        <w:t>.</w:t>
      </w:r>
    </w:p>
    <w:p>
      <w:pPr>
        <w:widowControl/>
      </w:pPr>
      <w:r>
        <w:rPr>
          <w:b/>
          <w:i w:val="0"/>
        </w:rPr>
        <w:t>universalem.</w:t>
      </w:r>
      <w:r>
        <w:rPr>
          <w:b w:val="0"/>
          <w:i w:val="0"/>
        </w:rPr>
        <w:t xml:space="preserve"> </w:t>
      </w:r>
      <w:hyperlink w:anchor="latin-record-1323">
        <w:r>
          <w:rPr>
            <w:color w:val="000000"/>
          </w:rPr>
          <w:t xml:space="preserve">universalis</w:t>
        </w:r>
      </w:hyperlink>
      <w:r>
        <w:rPr>
          <w:b w:val="0"/>
          <w:i w:val="0"/>
        </w:rPr>
        <w:t>.</w:t>
      </w:r>
    </w:p>
    <w:p>
      <w:pPr>
        <w:widowControl/>
      </w:pPr>
      <w:r>
        <w:rPr>
          <w:b/>
          <w:i w:val="0"/>
        </w:rPr>
        <w:t>universales.</w:t>
      </w:r>
      <w:r>
        <w:rPr>
          <w:b w:val="0"/>
          <w:i w:val="0"/>
        </w:rPr>
        <w:t xml:space="preserve"> </w:t>
      </w:r>
      <w:hyperlink w:anchor="latin-record-1323">
        <w:r>
          <w:rPr>
            <w:color w:val="000000"/>
          </w:rPr>
          <w:t xml:space="preserve">universalis</w:t>
        </w:r>
      </w:hyperlink>
      <w:r>
        <w:rPr>
          <w:b w:val="0"/>
          <w:i w:val="0"/>
        </w:rPr>
        <w:t>.</w:t>
      </w:r>
    </w:p>
    <w:p>
      <w:pPr>
        <w:widowControl/>
      </w:pPr>
      <w:r>
        <w:rPr>
          <w:b/>
          <w:i w:val="0"/>
        </w:rPr>
        <w:t>universali.</w:t>
      </w:r>
      <w:r>
        <w:rPr>
          <w:b w:val="0"/>
          <w:i w:val="0"/>
        </w:rPr>
        <w:t xml:space="preserve"> </w:t>
      </w:r>
      <w:hyperlink w:anchor="latin-record-1323">
        <w:r>
          <w:rPr>
            <w:color w:val="000000"/>
          </w:rPr>
          <w:t xml:space="preserve">universalis</w:t>
        </w:r>
      </w:hyperlink>
      <w:r>
        <w:rPr>
          <w:b w:val="0"/>
          <w:i w:val="0"/>
        </w:rPr>
        <w:t xml:space="preserve">; </w:t>
      </w:r>
      <w:hyperlink w:anchor="latin-record-1324">
        <w:r>
          <w:rPr>
            <w:color w:val="000000"/>
          </w:rPr>
          <w:t xml:space="preserve">universalis / totus</w:t>
        </w:r>
      </w:hyperlink>
      <w:r>
        <w:rPr>
          <w:b w:val="0"/>
          <w:i w:val="0"/>
        </w:rPr>
        <w:t>.</w:t>
      </w:r>
    </w:p>
    <w:p>
      <w:pPr>
        <w:widowControl/>
      </w:pPr>
      <w:r>
        <w:rPr>
          <w:b/>
          <w:i w:val="0"/>
        </w:rPr>
        <w:t>universalia.</w:t>
      </w:r>
      <w:r>
        <w:rPr>
          <w:b w:val="0"/>
          <w:i w:val="0"/>
        </w:rPr>
        <w:t xml:space="preserve"> </w:t>
      </w:r>
      <w:hyperlink w:anchor="latin-record-1322">
        <w:r>
          <w:rPr>
            <w:color w:val="000000"/>
          </w:rPr>
          <w:t xml:space="preserve">universale; particulare</w:t>
        </w:r>
      </w:hyperlink>
      <w:r>
        <w:rPr>
          <w:b w:val="0"/>
          <w:i w:val="0"/>
        </w:rPr>
        <w:t>.</w:t>
      </w:r>
    </w:p>
    <w:p>
      <w:pPr>
        <w:widowControl/>
      </w:pPr>
      <w:r>
        <w:rPr>
          <w:b/>
          <w:i w:val="0"/>
        </w:rPr>
        <w:t>universalibus.</w:t>
      </w:r>
      <w:r>
        <w:rPr>
          <w:b w:val="0"/>
          <w:i w:val="0"/>
        </w:rPr>
        <w:t xml:space="preserve"> </w:t>
      </w:r>
      <w:hyperlink w:anchor="latin-record-1323">
        <w:r>
          <w:rPr>
            <w:color w:val="000000"/>
          </w:rPr>
          <w:t xml:space="preserve">universalis</w:t>
        </w:r>
      </w:hyperlink>
      <w:r>
        <w:rPr>
          <w:b w:val="0"/>
          <w:i w:val="0"/>
        </w:rPr>
        <w:t>.</w:t>
      </w:r>
    </w:p>
    <w:p>
      <w:pPr>
        <w:widowControl/>
      </w:pPr>
      <w:r>
        <w:rPr>
          <w:b/>
          <w:i w:val="0"/>
        </w:rPr>
        <w:t>universalis.</w:t>
      </w:r>
      <w:r>
        <w:rPr>
          <w:b w:val="0"/>
          <w:i w:val="0"/>
        </w:rPr>
        <w:t xml:space="preserve"> </w:t>
      </w:r>
      <w:hyperlink w:anchor="latin-record-1324">
        <w:r>
          <w:rPr>
            <w:color w:val="000000"/>
          </w:rPr>
          <w:t xml:space="preserve">universalis / totus</w:t>
        </w:r>
      </w:hyperlink>
      <w:r>
        <w:rPr>
          <w:b w:val="0"/>
          <w:i w:val="0"/>
        </w:rPr>
        <w:t>.</w:t>
      </w:r>
    </w:p>
    <w:p>
      <w:pPr>
        <w:widowControl/>
      </w:pPr>
      <w:r>
        <w:rPr>
          <w:b/>
          <w:i w:val="0"/>
        </w:rPr>
        <w:t>universi corporis.</w:t>
      </w:r>
      <w:r>
        <w:rPr>
          <w:b w:val="0"/>
          <w:i w:val="0"/>
        </w:rPr>
        <w:t xml:space="preserve"> </w:t>
      </w:r>
      <w:hyperlink w:anchor="latin-record-0097">
        <w:r>
          <w:rPr>
            <w:color w:val="000000"/>
          </w:rPr>
          <w:t xml:space="preserve">anima universalis</w:t>
        </w:r>
      </w:hyperlink>
      <w:r>
        <w:rPr>
          <w:b w:val="0"/>
          <w:i w:val="0"/>
        </w:rPr>
        <w:t>.</w:t>
      </w:r>
    </w:p>
    <w:p>
      <w:pPr>
        <w:widowControl/>
      </w:pPr>
      <w:r>
        <w:rPr>
          <w:b/>
          <w:i w:val="0"/>
        </w:rPr>
        <w:t>unum.</w:t>
      </w:r>
      <w:r>
        <w:rPr>
          <w:b w:val="0"/>
          <w:i w:val="0"/>
        </w:rPr>
        <w:t xml:space="preserve"> </w:t>
      </w:r>
      <w:hyperlink w:anchor="latin-record-1032">
        <w:r>
          <w:rPr>
            <w:color w:val="000000"/>
          </w:rPr>
          <w:t xml:space="preserve">purus / unus / stabilis (intellectual consideration)</w:t>
        </w:r>
      </w:hyperlink>
      <w:r>
        <w:rPr>
          <w:b w:val="0"/>
          <w:i w:val="0"/>
        </w:rPr>
        <w:t>.</w:t>
      </w:r>
    </w:p>
    <w:p>
      <w:pPr>
        <w:widowControl/>
      </w:pPr>
      <w:r>
        <w:rPr>
          <w:b/>
          <w:i w:val="0"/>
        </w:rPr>
        <w:t>usu.</w:t>
      </w:r>
      <w:r>
        <w:rPr>
          <w:b w:val="0"/>
          <w:i w:val="0"/>
        </w:rPr>
        <w:t xml:space="preserve"> </w:t>
      </w:r>
      <w:hyperlink w:anchor="latin-record-0389">
        <w:r>
          <w:rPr>
            <w:color w:val="000000"/>
          </w:rPr>
          <w:t xml:space="preserve">disciplina / usus</w:t>
        </w:r>
      </w:hyperlink>
      <w:r>
        <w:rPr>
          <w:b w:val="0"/>
          <w:i w:val="0"/>
        </w:rPr>
        <w:t xml:space="preserve">; </w:t>
      </w:r>
      <w:hyperlink w:anchor="latin-record-0629">
        <w:r>
          <w:rPr>
            <w:color w:val="000000"/>
          </w:rPr>
          <w:t xml:space="preserve">industria / usus / affectus</w:t>
        </w:r>
      </w:hyperlink>
      <w:r>
        <w:rPr>
          <w:b w:val="0"/>
          <w:i w:val="0"/>
        </w:rPr>
        <w:t>.</w:t>
      </w:r>
    </w:p>
    <w:p>
      <w:pPr>
        <w:widowControl/>
      </w:pPr>
      <w:r>
        <w:rPr>
          <w:b/>
          <w:i w:val="0"/>
        </w:rPr>
        <w:t>ut alias ostendemus.</w:t>
      </w:r>
      <w:r>
        <w:rPr>
          <w:b w:val="0"/>
          <w:i w:val="0"/>
        </w:rPr>
        <w:t xml:space="preserve"> </w:t>
      </w:r>
      <w:hyperlink w:anchor="latin-record-1325">
        <w:r>
          <w:rPr>
            <w:color w:val="000000"/>
          </w:rPr>
          <w:t xml:space="preserve">ut alias ostendemus / ut in sequentibus apparebit / ut in superioribus enarravimus</w:t>
        </w:r>
      </w:hyperlink>
      <w:r>
        <w:rPr>
          <w:b w:val="0"/>
          <w:i w:val="0"/>
        </w:rPr>
        <w:t>.</w:t>
      </w:r>
    </w:p>
    <w:p>
      <w:pPr>
        <w:widowControl/>
      </w:pPr>
      <w:r>
        <w:rPr>
          <w:b/>
          <w:i w:val="0"/>
        </w:rPr>
        <w:t>ut in sequentibus apparebit.</w:t>
      </w:r>
      <w:r>
        <w:rPr>
          <w:b w:val="0"/>
          <w:i w:val="0"/>
        </w:rPr>
        <w:t xml:space="preserve"> </w:t>
      </w:r>
      <w:hyperlink w:anchor="latin-record-1325">
        <w:r>
          <w:rPr>
            <w:color w:val="000000"/>
          </w:rPr>
          <w:t xml:space="preserve">ut alias ostendemus / ut in sequentibus apparebit / ut in superioribus enarravimus</w:t>
        </w:r>
      </w:hyperlink>
      <w:r>
        <w:rPr>
          <w:b w:val="0"/>
          <w:i w:val="0"/>
        </w:rPr>
        <w:t>.</w:t>
      </w:r>
    </w:p>
    <w:p>
      <w:pPr>
        <w:widowControl/>
      </w:pPr>
      <w:r>
        <w:rPr>
          <w:b/>
          <w:i w:val="0"/>
        </w:rPr>
        <w:t>ut in superioribus enarravimus.</w:t>
      </w:r>
      <w:r>
        <w:rPr>
          <w:b w:val="0"/>
          <w:i w:val="0"/>
        </w:rPr>
        <w:t xml:space="preserve"> </w:t>
      </w:r>
      <w:hyperlink w:anchor="latin-record-1325">
        <w:r>
          <w:rPr>
            <w:color w:val="000000"/>
          </w:rPr>
          <w:t xml:space="preserve">ut alias ostendemus / ut in sequentibus apparebit / ut in superioribus enarravimus</w:t>
        </w:r>
      </w:hyperlink>
      <w:r>
        <w:rPr>
          <w:b w:val="0"/>
          <w:i w:val="0"/>
        </w:rPr>
        <w:t>.</w:t>
      </w:r>
    </w:p>
    <w:p>
      <w:pPr>
        <w:widowControl/>
      </w:pPr>
      <w:r>
        <w:rPr>
          <w:b/>
          <w:i w:val="0"/>
        </w:rPr>
        <w:t>ut ita dixerim.</w:t>
      </w:r>
      <w:r>
        <w:rPr>
          <w:b w:val="0"/>
          <w:i w:val="0"/>
        </w:rPr>
        <w:t xml:space="preserve"> </w:t>
      </w:r>
      <w:hyperlink w:anchor="latin-record-1056">
        <w:r>
          <w:rPr>
            <w:color w:val="000000"/>
          </w:rPr>
          <w:t xml:space="preserve">quodammodo / quasi / ut ita loquar</w:t>
        </w:r>
      </w:hyperlink>
      <w:r>
        <w:rPr>
          <w:b w:val="0"/>
          <w:i w:val="0"/>
        </w:rPr>
        <w:t xml:space="preserve">; </w:t>
      </w:r>
      <w:hyperlink w:anchor="latin-record-1057">
        <w:r>
          <w:rPr>
            <w:color w:val="000000"/>
          </w:rPr>
          <w:t xml:space="preserve">quodammodo; quasi</w:t>
        </w:r>
      </w:hyperlink>
      <w:r>
        <w:rPr>
          <w:b w:val="0"/>
          <w:i w:val="0"/>
        </w:rPr>
        <w:t>.</w:t>
      </w:r>
    </w:p>
    <w:p>
      <w:pPr>
        <w:widowControl/>
      </w:pPr>
      <w:r>
        <w:rPr>
          <w:b/>
          <w:i w:val="0"/>
        </w:rPr>
        <w:t>ut ita loquar.</w:t>
      </w:r>
      <w:r>
        <w:rPr>
          <w:b w:val="0"/>
          <w:i w:val="0"/>
        </w:rPr>
        <w:t xml:space="preserve"> </w:t>
      </w:r>
      <w:hyperlink w:anchor="latin-record-0991">
        <w:r>
          <w:rPr>
            <w:color w:val="000000"/>
          </w:rPr>
          <w:t xml:space="preserve">principale propositum</w:t>
        </w:r>
      </w:hyperlink>
      <w:r>
        <w:rPr>
          <w:b w:val="0"/>
          <w:i w:val="0"/>
        </w:rPr>
        <w:t xml:space="preserve">; </w:t>
      </w:r>
      <w:hyperlink w:anchor="latin-record-1056">
        <w:r>
          <w:rPr>
            <w:color w:val="000000"/>
          </w:rPr>
          <w:t xml:space="preserve">quodammodo / quasi / ut ita loquar</w:t>
        </w:r>
      </w:hyperlink>
      <w:r>
        <w:rPr>
          <w:b w:val="0"/>
          <w:i w:val="0"/>
        </w:rPr>
        <w:t>.</w:t>
      </w:r>
    </w:p>
    <w:p>
      <w:pPr>
        <w:widowControl/>
      </w:pPr>
      <w:r>
        <w:rPr>
          <w:b/>
          <w:i w:val="0"/>
        </w:rPr>
        <w:t>ut Platonici opinantur.</w:t>
      </w:r>
      <w:r>
        <w:rPr>
          <w:b w:val="0"/>
          <w:i w:val="0"/>
        </w:rPr>
        <w:t xml:space="preserve"> </w:t>
      </w:r>
      <w:hyperlink w:anchor="latin-record-1326">
        <w:r>
          <w:rPr>
            <w:color w:val="000000"/>
          </w:rPr>
          <w:t xml:space="preserve">ut quidam putant / ut Platonici opinantur</w:t>
        </w:r>
      </w:hyperlink>
      <w:r>
        <w:rPr>
          <w:b w:val="0"/>
          <w:i w:val="0"/>
        </w:rPr>
        <w:t>.</w:t>
      </w:r>
    </w:p>
    <w:p>
      <w:pPr>
        <w:widowControl/>
      </w:pPr>
      <w:r>
        <w:rPr>
          <w:b/>
          <w:i w:val="0"/>
        </w:rPr>
        <w:t>ut quidam putant.</w:t>
      </w:r>
      <w:r>
        <w:rPr>
          <w:b w:val="0"/>
          <w:i w:val="0"/>
        </w:rPr>
        <w:t xml:space="preserve"> </w:t>
      </w:r>
      <w:hyperlink w:anchor="latin-record-1326">
        <w:r>
          <w:rPr>
            <w:color w:val="000000"/>
          </w:rPr>
          <w:t xml:space="preserve">ut quidam putant / ut Platonici opinantur</w:t>
        </w:r>
      </w:hyperlink>
      <w:r>
        <w:rPr>
          <w:b w:val="0"/>
          <w:i w:val="0"/>
        </w:rPr>
        <w:t>.</w:t>
      </w:r>
    </w:p>
    <w:p>
      <w:pPr>
        <w:widowControl/>
      </w:pPr>
      <w:r>
        <w:rPr>
          <w:b/>
          <w:i w:val="0"/>
        </w:rPr>
        <w:t>utilia.</w:t>
      </w:r>
      <w:r>
        <w:rPr>
          <w:b w:val="0"/>
          <w:i w:val="0"/>
        </w:rPr>
        <w:t xml:space="preserve"> </w:t>
      </w:r>
      <w:hyperlink w:anchor="latin-record-0415">
        <w:r>
          <w:rPr>
            <w:color w:val="000000"/>
          </w:rPr>
          <w:t xml:space="preserve">dulce / amarum / utile / inutile</w:t>
        </w:r>
      </w:hyperlink>
      <w:r>
        <w:rPr>
          <w:b w:val="0"/>
          <w:i w:val="0"/>
        </w:rPr>
        <w:t>.</w:t>
      </w:r>
    </w:p>
    <w:p>
      <w:pPr>
        <w:widowControl/>
      </w:pPr>
      <w:r>
        <w:rPr>
          <w:b/>
          <w:i w:val="0"/>
        </w:rPr>
        <w:t>utilitatis.</w:t>
      </w:r>
      <w:r>
        <w:rPr>
          <w:b w:val="0"/>
          <w:i w:val="0"/>
        </w:rPr>
        <w:t xml:space="preserve"> </w:t>
      </w:r>
      <w:hyperlink w:anchor="latin-record-0243">
        <w:r>
          <w:rPr>
            <w:color w:val="000000"/>
          </w:rPr>
          <w:t xml:space="preserve">commodum / utilitas</w:t>
        </w:r>
      </w:hyperlink>
      <w:r>
        <w:rPr>
          <w:b w:val="0"/>
          <w:i w:val="0"/>
        </w:rPr>
        <w:t>.</w:t>
      </w:r>
    </w:p>
    <w:p>
      <w:pPr>
        <w:widowControl/>
      </w:pPr>
      <w:r>
        <w:rPr>
          <w:b/>
          <w:i w:val="0"/>
        </w:rPr>
        <w:t>utrum.</w:t>
      </w:r>
      <w:r>
        <w:rPr>
          <w:b w:val="0"/>
          <w:i w:val="0"/>
        </w:rPr>
        <w:t xml:space="preserve"> </w:t>
      </w:r>
      <w:hyperlink w:anchor="latin-record-1327">
        <w:r>
          <w:rPr>
            <w:color w:val="000000"/>
          </w:rPr>
          <w:t xml:space="preserve">utrum; an; numquid; num</w:t>
        </w:r>
      </w:hyperlink>
      <w:r>
        <w:rPr>
          <w:b w:val="0"/>
          <w:i w:val="0"/>
        </w:rPr>
        <w:t>.</w:t>
      </w:r>
    </w:p>
    <w:p>
      <w:pPr>
        <w:widowControl/>
      </w:pPr>
      <w:r>
        <w:rPr>
          <w:b/>
          <w:i w:val="0"/>
        </w:rPr>
        <w:t>Vacat altera.</w:t>
      </w:r>
      <w:r>
        <w:rPr>
          <w:b w:val="0"/>
          <w:i w:val="0"/>
        </w:rPr>
        <w:t xml:space="preserve"> </w:t>
      </w:r>
      <w:hyperlink w:anchor="latin-record-1328">
        <w:r>
          <w:rPr>
            <w:color w:val="000000"/>
          </w:rPr>
          <w:t xml:space="preserve">vacare</w:t>
        </w:r>
      </w:hyperlink>
      <w:r>
        <w:rPr>
          <w:b w:val="0"/>
          <w:i w:val="0"/>
        </w:rPr>
        <w:t>.</w:t>
      </w:r>
    </w:p>
    <w:p>
      <w:pPr>
        <w:widowControl/>
      </w:pPr>
      <w:r>
        <w:rPr>
          <w:b/>
          <w:i w:val="0"/>
        </w:rPr>
        <w:t>vagantur.</w:t>
      </w:r>
      <w:r>
        <w:rPr>
          <w:b w:val="0"/>
          <w:i w:val="0"/>
        </w:rPr>
        <w:t xml:space="preserve"> </w:t>
      </w:r>
      <w:hyperlink w:anchor="latin-record-0977">
        <w:r>
          <w:rPr>
            <w:color w:val="000000"/>
          </w:rPr>
          <w:t xml:space="preserve">praescribere / ordinare / vagari</w:t>
        </w:r>
      </w:hyperlink>
      <w:r>
        <w:rPr>
          <w:b w:val="0"/>
          <w:i w:val="0"/>
        </w:rPr>
        <w:t>.</w:t>
      </w:r>
    </w:p>
    <w:p>
      <w:pPr>
        <w:widowControl/>
      </w:pPr>
      <w:r>
        <w:rPr>
          <w:b/>
          <w:i w:val="0"/>
        </w:rPr>
        <w:t>vagatur.</w:t>
      </w:r>
      <w:r>
        <w:rPr>
          <w:b w:val="0"/>
          <w:i w:val="0"/>
        </w:rPr>
        <w:t xml:space="preserve"> </w:t>
      </w:r>
      <w:hyperlink w:anchor="latin-record-1341">
        <w:r>
          <w:rPr>
            <w:color w:val="000000"/>
          </w:rPr>
          <w:t xml:space="preserve">versari / volutari / vagari</w:t>
        </w:r>
      </w:hyperlink>
      <w:r>
        <w:rPr>
          <w:b w:val="0"/>
          <w:i w:val="0"/>
        </w:rPr>
        <w:t>.</w:t>
      </w:r>
    </w:p>
    <w:p>
      <w:pPr>
        <w:widowControl/>
      </w:pPr>
      <w:r>
        <w:rPr>
          <w:b/>
          <w:i w:val="0"/>
        </w:rPr>
        <w:t>valeat.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valent.</w:t>
      </w:r>
      <w:r>
        <w:rPr>
          <w:b w:val="0"/>
          <w:i w:val="0"/>
        </w:rPr>
        <w:t xml:space="preserve"> </w:t>
      </w:r>
      <w:hyperlink w:anchor="latin-record-0964">
        <w:r>
          <w:rPr>
            <w:color w:val="000000"/>
          </w:rPr>
          <w:t xml:space="preserve">posse; valere; oportere</w:t>
        </w:r>
      </w:hyperlink>
      <w:r>
        <w:rPr>
          <w:b w:val="0"/>
          <w:i w:val="0"/>
        </w:rPr>
        <w:t>.</w:t>
      </w:r>
    </w:p>
    <w:p>
      <w:pPr>
        <w:widowControl/>
      </w:pPr>
      <w:r>
        <w:rPr>
          <w:b/>
          <w:i w:val="0"/>
        </w:rPr>
        <w:t>valere.</w:t>
      </w:r>
      <w:r>
        <w:rPr>
          <w:b w:val="0"/>
          <w:i w:val="0"/>
        </w:rPr>
        <w:t xml:space="preserve"> </w:t>
      </w:r>
      <w:hyperlink w:anchor="latin-record-1329">
        <w:r>
          <w:rPr>
            <w:color w:val="000000"/>
          </w:rPr>
          <w:t xml:space="preserve">valere</w:t>
        </w:r>
      </w:hyperlink>
      <w:r>
        <w:rPr>
          <w:b w:val="0"/>
          <w:i w:val="0"/>
        </w:rPr>
        <w:t>.</w:t>
      </w:r>
    </w:p>
    <w:p>
      <w:pPr>
        <w:widowControl/>
      </w:pPr>
      <w:r>
        <w:rPr>
          <w:b/>
          <w:i w:val="0"/>
        </w:rPr>
        <w:t>valet.</w:t>
      </w:r>
      <w:r>
        <w:rPr>
          <w:b w:val="0"/>
          <w:i w:val="0"/>
        </w:rPr>
        <w:t xml:space="preserve"> </w:t>
      </w:r>
      <w:hyperlink w:anchor="latin-record-0964">
        <w:r>
          <w:rPr>
            <w:color w:val="000000"/>
          </w:rPr>
          <w:t xml:space="preserve">posse; valere; oportere</w:t>
        </w:r>
      </w:hyperlink>
      <w:r>
        <w:rPr>
          <w:b w:val="0"/>
          <w:i w:val="0"/>
        </w:rPr>
        <w:t xml:space="preserve">; </w:t>
      </w:r>
      <w:hyperlink w:anchor="latin-record-1329">
        <w:r>
          <w:rPr>
            <w:color w:val="000000"/>
          </w:rPr>
          <w:t xml:space="preserve">valere</w:t>
        </w:r>
      </w:hyperlink>
      <w:r>
        <w:rPr>
          <w:b w:val="0"/>
          <w:i w:val="0"/>
        </w:rPr>
        <w:t>.</w:t>
      </w:r>
    </w:p>
    <w:p>
      <w:pPr>
        <w:widowControl/>
      </w:pPr>
      <w:r>
        <w:rPr>
          <w:b/>
          <w:i w:val="0"/>
        </w:rPr>
        <w:t>valitudinis.</w:t>
      </w:r>
      <w:r>
        <w:rPr>
          <w:b w:val="0"/>
          <w:i w:val="0"/>
        </w:rPr>
        <w:t xml:space="preserve"> </w:t>
      </w:r>
      <w:hyperlink w:anchor="latin-record-1051">
        <w:r>
          <w:rPr>
            <w:color w:val="000000"/>
          </w:rPr>
          <w:t xml:space="preserve">quies / valitudo / consensio</w:t>
        </w:r>
      </w:hyperlink>
      <w:r>
        <w:rPr>
          <w:b w:val="0"/>
          <w:i w:val="0"/>
        </w:rPr>
        <w:t>.</w:t>
      </w:r>
    </w:p>
    <w:p>
      <w:pPr>
        <w:widowControl/>
      </w:pPr>
      <w:r>
        <w:rPr>
          <w:b/>
          <w:i w:val="0"/>
        </w:rPr>
        <w:t>vapor.</w:t>
      </w:r>
      <w:r>
        <w:rPr>
          <w:b w:val="0"/>
          <w:i w:val="0"/>
        </w:rPr>
        <w:t xml:space="preserve"> </w:t>
      </w:r>
      <w:hyperlink w:anchor="latin-record-1330">
        <w:r>
          <w:rPr>
            <w:color w:val="000000"/>
          </w:rPr>
          <w:t xml:space="preserve">vapor / fumus</w:t>
        </w:r>
      </w:hyperlink>
      <w:r>
        <w:rPr>
          <w:b w:val="0"/>
          <w:i w:val="0"/>
        </w:rPr>
        <w:t>.</w:t>
      </w:r>
    </w:p>
    <w:p>
      <w:pPr>
        <w:widowControl/>
      </w:pPr>
      <w:r>
        <w:rPr>
          <w:b/>
          <w:i w:val="0"/>
        </w:rPr>
        <w:t>variantur.</w:t>
      </w:r>
      <w:r>
        <w:rPr>
          <w:b w:val="0"/>
          <w:i w:val="0"/>
        </w:rPr>
        <w:t xml:space="preserve"> </w:t>
      </w:r>
      <w:hyperlink w:anchor="latin-record-1252">
        <w:r>
          <w:rPr>
            <w:color w:val="000000"/>
          </w:rPr>
          <w:t xml:space="preserve">succedere; momenta</w:t>
        </w:r>
      </w:hyperlink>
      <w:r>
        <w:rPr>
          <w:b w:val="0"/>
          <w:i w:val="0"/>
        </w:rPr>
        <w:t>.</w:t>
      </w:r>
    </w:p>
    <w:p>
      <w:pPr>
        <w:widowControl/>
      </w:pPr>
      <w:r>
        <w:rPr>
          <w:b/>
          <w:i w:val="0"/>
        </w:rPr>
        <w:t>variatur.</w:t>
      </w:r>
      <w:r>
        <w:rPr>
          <w:b w:val="0"/>
          <w:i w:val="0"/>
        </w:rPr>
        <w:t xml:space="preserve"> </w:t>
      </w:r>
      <w:hyperlink w:anchor="latin-record-0818">
        <w:r>
          <w:rPr>
            <w:color w:val="000000"/>
          </w:rPr>
          <w:t xml:space="preserve">mutatio / mutare</w:t>
        </w:r>
      </w:hyperlink>
      <w:r>
        <w:rPr>
          <w:b w:val="0"/>
          <w:i w:val="0"/>
        </w:rPr>
        <w:t>.</w:t>
      </w:r>
    </w:p>
    <w:p>
      <w:pPr>
        <w:widowControl/>
      </w:pPr>
      <w:r>
        <w:rPr>
          <w:b/>
          <w:i w:val="0"/>
        </w:rPr>
        <w:t>vasis.</w:t>
      </w:r>
      <w:r>
        <w:rPr>
          <w:b w:val="0"/>
          <w:i w:val="0"/>
        </w:rPr>
        <w:t xml:space="preserve"> </w:t>
      </w:r>
      <w:hyperlink w:anchor="latin-record-1331">
        <w:r>
          <w:rPr>
            <w:color w:val="000000"/>
          </w:rPr>
          <w:t xml:space="preserve">vas</w:t>
        </w:r>
      </w:hyperlink>
      <w:r>
        <w:rPr>
          <w:b w:val="0"/>
          <w:i w:val="0"/>
        </w:rPr>
        <w:t>.</w:t>
      </w:r>
    </w:p>
    <w:p>
      <w:pPr>
        <w:widowControl/>
      </w:pPr>
      <w:r>
        <w:rPr>
          <w:b/>
          <w:i w:val="0"/>
        </w:rPr>
        <w:t>vaticinatur.</w:t>
      </w:r>
      <w:r>
        <w:rPr>
          <w:b w:val="0"/>
          <w:i w:val="0"/>
        </w:rPr>
        <w:t xml:space="preserve"> </w:t>
      </w:r>
      <w:hyperlink w:anchor="latin-record-1332">
        <w:r>
          <w:rPr>
            <w:color w:val="000000"/>
          </w:rPr>
          <w:t xml:space="preserve">vaticinari</w:t>
        </w:r>
      </w:hyperlink>
      <w:r>
        <w:rPr>
          <w:b w:val="0"/>
          <w:i w:val="0"/>
        </w:rPr>
        <w:t>.</w:t>
      </w:r>
    </w:p>
    <w:p>
      <w:pPr>
        <w:widowControl/>
      </w:pPr>
      <w:r>
        <w:rPr>
          <w:b/>
          <w:i w:val="0"/>
        </w:rPr>
        <w:t>vegetabat.</w:t>
      </w:r>
      <w:r>
        <w:rPr>
          <w:b w:val="0"/>
          <w:i w:val="0"/>
        </w:rPr>
        <w:t xml:space="preserve"> </w:t>
      </w:r>
      <w:hyperlink w:anchor="latin-record-1333">
        <w:r>
          <w:rPr>
            <w:color w:val="000000"/>
          </w:rPr>
          <w:t xml:space="preserve">vegetare</w:t>
        </w:r>
      </w:hyperlink>
      <w:r>
        <w:rPr>
          <w:b w:val="0"/>
          <w:i w:val="0"/>
        </w:rPr>
        <w:t>.</w:t>
      </w:r>
    </w:p>
    <w:p>
      <w:pPr>
        <w:widowControl/>
      </w:pPr>
      <w:r>
        <w:rPr>
          <w:b/>
          <w:i w:val="0"/>
        </w:rPr>
        <w:t>vegetat.</w:t>
      </w:r>
      <w:r>
        <w:rPr>
          <w:b w:val="0"/>
          <w:i w:val="0"/>
        </w:rPr>
        <w:t xml:space="preserve"> </w:t>
      </w:r>
      <w:hyperlink w:anchor="latin-record-1333">
        <w:r>
          <w:rPr>
            <w:color w:val="000000"/>
          </w:rPr>
          <w:t xml:space="preserve">vegetare</w:t>
        </w:r>
      </w:hyperlink>
      <w:r>
        <w:rPr>
          <w:b w:val="0"/>
          <w:i w:val="0"/>
        </w:rPr>
        <w:t>.</w:t>
      </w:r>
    </w:p>
    <w:p>
      <w:pPr>
        <w:widowControl/>
      </w:pPr>
      <w:r>
        <w:rPr>
          <w:b/>
          <w:i w:val="0"/>
        </w:rPr>
        <w:t>vegetatricem.</w:t>
      </w:r>
      <w:r>
        <w:rPr>
          <w:b w:val="0"/>
          <w:i w:val="0"/>
        </w:rPr>
        <w:t xml:space="preserve"> </w:t>
      </w:r>
      <w:hyperlink w:anchor="latin-record-1334">
        <w:r>
          <w:rPr>
            <w:color w:val="000000"/>
          </w:rPr>
          <w:t xml:space="preserve">vegetatrix; natura</w:t>
        </w:r>
      </w:hyperlink>
      <w:r>
        <w:rPr>
          <w:b w:val="0"/>
          <w:i w:val="0"/>
        </w:rPr>
        <w:t>.</w:t>
      </w:r>
    </w:p>
    <w:p>
      <w:pPr>
        <w:widowControl/>
      </w:pPr>
      <w:r>
        <w:rPr>
          <w:b/>
          <w:i w:val="0"/>
        </w:rPr>
        <w:t>vegetatrix.</w:t>
      </w:r>
      <w:r>
        <w:rPr>
          <w:b w:val="0"/>
          <w:i w:val="0"/>
        </w:rPr>
        <w:t xml:space="preserve"> </w:t>
      </w:r>
      <w:hyperlink w:anchor="latin-record-1334">
        <w:r>
          <w:rPr>
            <w:color w:val="000000"/>
          </w:rPr>
          <w:t xml:space="preserve">vegetatrix; natura</w:t>
        </w:r>
      </w:hyperlink>
      <w:r>
        <w:rPr>
          <w:b w:val="0"/>
          <w:i w:val="0"/>
        </w:rPr>
        <w:t>.</w:t>
      </w:r>
    </w:p>
    <w:p>
      <w:pPr>
        <w:widowControl/>
      </w:pPr>
      <w:r>
        <w:rPr>
          <w:b/>
          <w:i w:val="0"/>
        </w:rPr>
        <w:t>vehiculo.</w:t>
      </w:r>
      <w:r>
        <w:rPr>
          <w:b w:val="0"/>
          <w:i w:val="0"/>
        </w:rPr>
        <w:t xml:space="preserve"> </w:t>
      </w:r>
      <w:hyperlink w:anchor="latin-record-1335">
        <w:r>
          <w:rPr>
            <w:color w:val="000000"/>
          </w:rPr>
          <w:t xml:space="preserve">vehiculum aethereum</w:t>
        </w:r>
      </w:hyperlink>
      <w:r>
        <w:rPr>
          <w:b w:val="0"/>
          <w:i w:val="0"/>
        </w:rPr>
        <w:t>.</w:t>
      </w:r>
    </w:p>
    <w:p>
      <w:pPr>
        <w:widowControl/>
      </w:pPr>
      <w:r>
        <w:rPr>
          <w:b/>
          <w:i w:val="0"/>
        </w:rPr>
        <w:t>vel.</w:t>
      </w:r>
      <w:r>
        <w:rPr>
          <w:b w:val="0"/>
          <w:i w:val="0"/>
        </w:rPr>
        <w:t xml:space="preserve"> </w:t>
      </w:r>
      <w:hyperlink w:anchor="latin-record-1336">
        <w:r>
          <w:rPr>
            <w:color w:val="000000"/>
          </w:rPr>
          <w:t xml:space="preserve">vel; sive; seu; aut</w:t>
        </w:r>
      </w:hyperlink>
      <w:r>
        <w:rPr>
          <w:b w:val="0"/>
          <w:i w:val="0"/>
        </w:rPr>
        <w:t>.</w:t>
      </w:r>
    </w:p>
    <w:p>
      <w:pPr>
        <w:widowControl/>
      </w:pPr>
      <w:r>
        <w:rPr>
          <w:b/>
          <w:i w:val="0"/>
        </w:rPr>
        <w:t>velit.</w:t>
      </w:r>
      <w:r>
        <w:rPr>
          <w:b w:val="0"/>
          <w:i w:val="0"/>
        </w:rPr>
        <w:t xml:space="preserve"> </w:t>
      </w:r>
      <w:hyperlink w:anchor="latin-record-1337">
        <w:r>
          <w:rPr>
            <w:color w:val="000000"/>
          </w:rPr>
          <w:t xml:space="preserve">velle / voluntas</w:t>
        </w:r>
      </w:hyperlink>
      <w:r>
        <w:rPr>
          <w:b w:val="0"/>
          <w:i w:val="0"/>
        </w:rPr>
        <w:t xml:space="preserve">; </w:t>
      </w:r>
      <w:hyperlink w:anchor="latin-record-1383">
        <w:r>
          <w:rPr>
            <w:color w:val="000000"/>
          </w:rPr>
          <w:t xml:space="preserve">voluntas / velle</w:t>
        </w:r>
      </w:hyperlink>
      <w:r>
        <w:rPr>
          <w:b w:val="0"/>
          <w:i w:val="0"/>
        </w:rPr>
        <w:t>.</w:t>
      </w:r>
    </w:p>
    <w:p>
      <w:pPr>
        <w:widowControl/>
      </w:pPr>
      <w:r>
        <w:rPr>
          <w:b/>
          <w:i w:val="0"/>
        </w:rPr>
        <w:t>velle.</w:t>
      </w:r>
      <w:r>
        <w:rPr>
          <w:b w:val="0"/>
          <w:i w:val="0"/>
        </w:rPr>
        <w:t xml:space="preserve"> </w:t>
      </w:r>
      <w:hyperlink w:anchor="latin-record-1337">
        <w:r>
          <w:rPr>
            <w:color w:val="000000"/>
          </w:rPr>
          <w:t xml:space="preserve">velle / voluntas</w:t>
        </w:r>
      </w:hyperlink>
      <w:r>
        <w:rPr>
          <w:b w:val="0"/>
          <w:i w:val="0"/>
        </w:rPr>
        <w:t xml:space="preserve">; </w:t>
      </w:r>
      <w:hyperlink w:anchor="latin-record-1383">
        <w:r>
          <w:rPr>
            <w:color w:val="000000"/>
          </w:rPr>
          <w:t xml:space="preserve">voluntas / velle</w:t>
        </w:r>
      </w:hyperlink>
      <w:r>
        <w:rPr>
          <w:b w:val="0"/>
          <w:i w:val="0"/>
        </w:rPr>
        <w:t>.</w:t>
      </w:r>
    </w:p>
    <w:p>
      <w:pPr>
        <w:widowControl/>
      </w:pPr>
      <w:r>
        <w:rPr>
          <w:b/>
          <w:i w:val="0"/>
        </w:rPr>
        <w:t>vellet.</w:t>
      </w:r>
      <w:r>
        <w:rPr>
          <w:b w:val="0"/>
          <w:i w:val="0"/>
        </w:rPr>
        <w:t xml:space="preserve"> </w:t>
      </w:r>
      <w:hyperlink w:anchor="latin-record-1337">
        <w:r>
          <w:rPr>
            <w:color w:val="000000"/>
          </w:rPr>
          <w:t xml:space="preserve">velle / voluntas</w:t>
        </w:r>
      </w:hyperlink>
      <w:r>
        <w:rPr>
          <w:b w:val="0"/>
          <w:i w:val="0"/>
        </w:rPr>
        <w:t>.</w:t>
      </w:r>
    </w:p>
    <w:p>
      <w:pPr>
        <w:widowControl/>
      </w:pPr>
      <w:r>
        <w:rPr>
          <w:b/>
          <w:i w:val="0"/>
        </w:rPr>
        <w:t>Venus.</w:t>
      </w:r>
      <w:r>
        <w:rPr>
          <w:b w:val="0"/>
          <w:i w:val="0"/>
        </w:rPr>
        <w:t xml:space="preserve"> </w:t>
      </w:r>
      <w:hyperlink w:anchor="latin-record-0729">
        <w:r>
          <w:rPr>
            <w:color w:val="000000"/>
          </w:rPr>
          <w:t xml:space="preserve">Lucifer / Venus</w:t>
        </w:r>
      </w:hyperlink>
      <w:r>
        <w:rPr>
          <w:b w:val="0"/>
          <w:i w:val="0"/>
        </w:rPr>
        <w:t>.</w:t>
      </w:r>
    </w:p>
    <w:p>
      <w:pPr>
        <w:widowControl/>
      </w:pPr>
      <w:r>
        <w:rPr>
          <w:b/>
          <w:i w:val="0"/>
        </w:rPr>
        <w:t>vera.</w:t>
      </w:r>
      <w:r>
        <w:rPr>
          <w:b w:val="0"/>
          <w:i w:val="0"/>
        </w:rPr>
        <w:t xml:space="preserve"> </w:t>
      </w:r>
      <w:hyperlink w:anchor="latin-record-1339">
        <w:r>
          <w:rPr>
            <w:color w:val="000000"/>
          </w:rPr>
          <w:t xml:space="preserve">veritas / verum</w:t>
        </w:r>
      </w:hyperlink>
      <w:r>
        <w:rPr>
          <w:b w:val="0"/>
          <w:i w:val="0"/>
        </w:rPr>
        <w:t xml:space="preserve">; </w:t>
      </w:r>
      <w:hyperlink w:anchor="latin-record-1343">
        <w:r>
          <w:rPr>
            <w:color w:val="000000"/>
          </w:rPr>
          <w:t xml:space="preserve">verus / falsus</w:t>
        </w:r>
      </w:hyperlink>
      <w:r>
        <w:rPr>
          <w:b w:val="0"/>
          <w:i w:val="0"/>
        </w:rPr>
        <w:t>.</w:t>
      </w:r>
    </w:p>
    <w:p>
      <w:pPr>
        <w:widowControl/>
      </w:pPr>
      <w:r>
        <w:rPr>
          <w:b/>
          <w:i w:val="0"/>
        </w:rPr>
        <w:t>veram.</w:t>
      </w:r>
      <w:r>
        <w:rPr>
          <w:b w:val="0"/>
          <w:i w:val="0"/>
        </w:rPr>
        <w:t xml:space="preserve"> </w:t>
      </w:r>
      <w:hyperlink w:anchor="latin-record-1339">
        <w:r>
          <w:rPr>
            <w:color w:val="000000"/>
          </w:rPr>
          <w:t xml:space="preserve">veritas / verum</w:t>
        </w:r>
      </w:hyperlink>
      <w:r>
        <w:rPr>
          <w:b w:val="0"/>
          <w:i w:val="0"/>
        </w:rPr>
        <w:t>.</w:t>
      </w:r>
    </w:p>
    <w:p>
      <w:pPr>
        <w:widowControl/>
      </w:pPr>
      <w:r>
        <w:rPr>
          <w:b/>
          <w:i w:val="0"/>
        </w:rPr>
        <w:t>veras.</w:t>
      </w:r>
      <w:r>
        <w:rPr>
          <w:b w:val="0"/>
          <w:i w:val="0"/>
        </w:rPr>
        <w:t xml:space="preserve"> </w:t>
      </w:r>
      <w:hyperlink w:anchor="latin-record-1343">
        <w:r>
          <w:rPr>
            <w:color w:val="000000"/>
          </w:rPr>
          <w:t xml:space="preserve">verus / falsus</w:t>
        </w:r>
      </w:hyperlink>
      <w:r>
        <w:rPr>
          <w:b w:val="0"/>
          <w:i w:val="0"/>
        </w:rPr>
        <w:t>.</w:t>
      </w:r>
    </w:p>
    <w:p>
      <w:pPr>
        <w:widowControl/>
      </w:pPr>
      <w:r>
        <w:rPr>
          <w:b/>
          <w:i w:val="0"/>
        </w:rPr>
        <w:t>verba.</w:t>
      </w:r>
      <w:r>
        <w:rPr>
          <w:b w:val="0"/>
          <w:i w:val="0"/>
        </w:rPr>
        <w:t xml:space="preserve"> </w:t>
      </w:r>
      <w:hyperlink w:anchor="latin-record-0936">
        <w:r>
          <w:rPr>
            <w:color w:val="000000"/>
          </w:rPr>
          <w:t xml:space="preserve">persona / verba</w:t>
        </w:r>
      </w:hyperlink>
      <w:r>
        <w:rPr>
          <w:b w:val="0"/>
          <w:i w:val="0"/>
        </w:rPr>
        <w:t>.</w:t>
      </w:r>
    </w:p>
    <w:p>
      <w:pPr>
        <w:widowControl/>
      </w:pPr>
      <w:r>
        <w:rPr>
          <w:b/>
          <w:i w:val="0"/>
        </w:rPr>
        <w:t>verberantis.</w:t>
      </w:r>
      <w:r>
        <w:rPr>
          <w:b w:val="0"/>
          <w:i w:val="0"/>
        </w:rPr>
        <w:t xml:space="preserve"> </w:t>
      </w:r>
      <w:hyperlink w:anchor="latin-record-1338">
        <w:r>
          <w:rPr>
            <w:color w:val="000000"/>
          </w:rPr>
          <w:t xml:space="preserve">verberare</w:t>
        </w:r>
      </w:hyperlink>
      <w:r>
        <w:rPr>
          <w:b w:val="0"/>
          <w:i w:val="0"/>
        </w:rPr>
        <w:t>.</w:t>
      </w:r>
    </w:p>
    <w:p>
      <w:pPr>
        <w:widowControl/>
      </w:pPr>
      <w:r>
        <w:rPr>
          <w:b/>
          <w:i w:val="0"/>
        </w:rPr>
        <w:t>verberatur.</w:t>
      </w:r>
      <w:r>
        <w:rPr>
          <w:b w:val="0"/>
          <w:i w:val="0"/>
        </w:rPr>
        <w:t xml:space="preserve"> </w:t>
      </w:r>
      <w:hyperlink w:anchor="latin-record-1338">
        <w:r>
          <w:rPr>
            <w:color w:val="000000"/>
          </w:rPr>
          <w:t xml:space="preserve">verberare</w:t>
        </w:r>
      </w:hyperlink>
      <w:r>
        <w:rPr>
          <w:b w:val="0"/>
          <w:i w:val="0"/>
        </w:rPr>
        <w:t>.</w:t>
      </w:r>
    </w:p>
    <w:p>
      <w:pPr>
        <w:widowControl/>
      </w:pPr>
      <w:r>
        <w:rPr>
          <w:b/>
          <w:i w:val="0"/>
        </w:rPr>
        <w:t>verior.</w:t>
      </w:r>
      <w:r>
        <w:rPr>
          <w:b w:val="0"/>
          <w:i w:val="0"/>
        </w:rPr>
        <w:t xml:space="preserve"> </w:t>
      </w:r>
      <w:hyperlink w:anchor="latin-record-1339">
        <w:r>
          <w:rPr>
            <w:color w:val="000000"/>
          </w:rPr>
          <w:t xml:space="preserve">veritas / verum</w:t>
        </w:r>
      </w:hyperlink>
      <w:r>
        <w:rPr>
          <w:b w:val="0"/>
          <w:i w:val="0"/>
        </w:rPr>
        <w:t>.</w:t>
      </w:r>
    </w:p>
    <w:p>
      <w:pPr>
        <w:widowControl/>
      </w:pPr>
      <w:r>
        <w:rPr>
          <w:b/>
          <w:i w:val="0"/>
        </w:rPr>
        <w:t>veriora.</w:t>
      </w:r>
      <w:r>
        <w:rPr>
          <w:b w:val="0"/>
          <w:i w:val="0"/>
        </w:rPr>
        <w:t xml:space="preserve"> </w:t>
      </w:r>
      <w:hyperlink w:anchor="latin-record-1339">
        <w:r>
          <w:rPr>
            <w:color w:val="000000"/>
          </w:rPr>
          <w:t xml:space="preserve">veritas / verum</w:t>
        </w:r>
      </w:hyperlink>
      <w:r>
        <w:rPr>
          <w:b w:val="0"/>
          <w:i w:val="0"/>
        </w:rPr>
        <w:t>.</w:t>
      </w:r>
    </w:p>
    <w:p>
      <w:pPr>
        <w:widowControl/>
      </w:pPr>
      <w:r>
        <w:rPr>
          <w:b/>
          <w:i w:val="0"/>
        </w:rPr>
        <w:t>Veritas.</w:t>
      </w:r>
      <w:r>
        <w:rPr>
          <w:b w:val="0"/>
          <w:i w:val="0"/>
        </w:rPr>
        <w:t xml:space="preserve"> </w:t>
      </w:r>
      <w:hyperlink w:anchor="latin-record-1339">
        <w:r>
          <w:rPr>
            <w:color w:val="000000"/>
          </w:rPr>
          <w:t xml:space="preserve">veritas / verum</w:t>
        </w:r>
      </w:hyperlink>
      <w:r>
        <w:rPr>
          <w:b w:val="0"/>
          <w:i w:val="0"/>
        </w:rPr>
        <w:t>.</w:t>
      </w:r>
    </w:p>
    <w:p>
      <w:pPr>
        <w:widowControl/>
      </w:pPr>
      <w:r>
        <w:rPr>
          <w:b/>
          <w:i w:val="0"/>
        </w:rPr>
        <w:t>veritas.</w:t>
      </w:r>
      <w:r>
        <w:rPr>
          <w:b w:val="0"/>
          <w:i w:val="0"/>
        </w:rPr>
        <w:t xml:space="preserve"> </w:t>
      </w:r>
      <w:hyperlink w:anchor="latin-record-1339">
        <w:r>
          <w:rPr>
            <w:color w:val="000000"/>
          </w:rPr>
          <w:t xml:space="preserve">veritas / verum</w:t>
        </w:r>
      </w:hyperlink>
      <w:r>
        <w:rPr>
          <w:b w:val="0"/>
          <w:i w:val="0"/>
        </w:rPr>
        <w:t>.</w:t>
      </w:r>
    </w:p>
    <w:p>
      <w:pPr>
        <w:widowControl/>
      </w:pPr>
      <w:r>
        <w:rPr>
          <w:b/>
          <w:i w:val="0"/>
        </w:rPr>
        <w:t>veritate.</w:t>
      </w:r>
      <w:r>
        <w:rPr>
          <w:b w:val="0"/>
          <w:i w:val="0"/>
        </w:rPr>
        <w:t xml:space="preserve"> </w:t>
      </w:r>
      <w:hyperlink w:anchor="latin-record-1339">
        <w:r>
          <w:rPr>
            <w:color w:val="000000"/>
          </w:rPr>
          <w:t xml:space="preserve">veritas / verum</w:t>
        </w:r>
      </w:hyperlink>
      <w:r>
        <w:rPr>
          <w:b w:val="0"/>
          <w:i w:val="0"/>
        </w:rPr>
        <w:t xml:space="preserve">; </w:t>
      </w:r>
      <w:hyperlink w:anchor="latin-record-1340">
        <w:r>
          <w:rPr>
            <w:color w:val="000000"/>
          </w:rPr>
          <w:t xml:space="preserve">veritas; gaudium</w:t>
        </w:r>
      </w:hyperlink>
      <w:r>
        <w:rPr>
          <w:b w:val="0"/>
          <w:i w:val="0"/>
        </w:rPr>
        <w:t>.</w:t>
      </w:r>
    </w:p>
    <w:p>
      <w:pPr>
        <w:widowControl/>
      </w:pPr>
      <w:r>
        <w:rPr>
          <w:b/>
          <w:i w:val="0"/>
        </w:rPr>
        <w:t>veritatem.</w:t>
      </w:r>
      <w:r>
        <w:rPr>
          <w:b w:val="0"/>
          <w:i w:val="0"/>
        </w:rPr>
        <w:t xml:space="preserve"> </w:t>
      </w:r>
      <w:hyperlink w:anchor="latin-record-1339">
        <w:r>
          <w:rPr>
            <w:color w:val="000000"/>
          </w:rPr>
          <w:t xml:space="preserve">veritas / verum</w:t>
        </w:r>
      </w:hyperlink>
      <w:r>
        <w:rPr>
          <w:b w:val="0"/>
          <w:i w:val="0"/>
        </w:rPr>
        <w:t xml:space="preserve">; </w:t>
      </w:r>
      <w:hyperlink w:anchor="latin-record-1340">
        <w:r>
          <w:rPr>
            <w:color w:val="000000"/>
          </w:rPr>
          <w:t xml:space="preserve">veritas; gaudium</w:t>
        </w:r>
      </w:hyperlink>
      <w:r>
        <w:rPr>
          <w:b w:val="0"/>
          <w:i w:val="0"/>
        </w:rPr>
        <w:t>.</w:t>
      </w:r>
    </w:p>
    <w:p>
      <w:pPr>
        <w:widowControl/>
      </w:pPr>
      <w:r>
        <w:rPr>
          <w:b/>
          <w:i w:val="0"/>
        </w:rPr>
        <w:t>veritatis.</w:t>
      </w:r>
      <w:r>
        <w:rPr>
          <w:b w:val="0"/>
          <w:i w:val="0"/>
        </w:rPr>
        <w:t xml:space="preserve"> </w:t>
      </w:r>
      <w:hyperlink w:anchor="latin-record-1339">
        <w:r>
          <w:rPr>
            <w:color w:val="000000"/>
          </w:rPr>
          <w:t xml:space="preserve">veritas / verum</w:t>
        </w:r>
      </w:hyperlink>
      <w:r>
        <w:rPr>
          <w:b w:val="0"/>
          <w:i w:val="0"/>
        </w:rPr>
        <w:t>.</w:t>
      </w:r>
    </w:p>
    <w:p>
      <w:pPr>
        <w:widowControl/>
      </w:pPr>
      <w:r>
        <w:rPr>
          <w:b/>
          <w:i w:val="0"/>
        </w:rPr>
        <w:t>verius.</w:t>
      </w:r>
      <w:r>
        <w:rPr>
          <w:b w:val="0"/>
          <w:i w:val="0"/>
        </w:rPr>
        <w:t xml:space="preserve"> </w:t>
      </w:r>
      <w:hyperlink w:anchor="latin-record-1339">
        <w:r>
          <w:rPr>
            <w:color w:val="000000"/>
          </w:rPr>
          <w:t xml:space="preserve">veritas / verum</w:t>
        </w:r>
      </w:hyperlink>
      <w:r>
        <w:rPr>
          <w:b w:val="0"/>
          <w:i w:val="0"/>
        </w:rPr>
        <w:t>.</w:t>
      </w:r>
    </w:p>
    <w:p>
      <w:pPr>
        <w:widowControl/>
      </w:pPr>
      <w:r>
        <w:rPr>
          <w:b/>
          <w:i w:val="0"/>
        </w:rPr>
        <w:t>versatur.</w:t>
      </w:r>
      <w:r>
        <w:rPr>
          <w:b w:val="0"/>
          <w:i w:val="0"/>
        </w:rPr>
        <w:t xml:space="preserve"> </w:t>
      </w:r>
      <w:hyperlink w:anchor="latin-record-1341">
        <w:r>
          <w:rPr>
            <w:color w:val="000000"/>
          </w:rPr>
          <w:t xml:space="preserve">versari / volutari / vagari</w:t>
        </w:r>
      </w:hyperlink>
      <w:r>
        <w:rPr>
          <w:b w:val="0"/>
          <w:i w:val="0"/>
        </w:rPr>
        <w:t>.</w:t>
      </w:r>
    </w:p>
    <w:p>
      <w:pPr>
        <w:widowControl/>
      </w:pPr>
      <w:r>
        <w:rPr>
          <w:b/>
          <w:i w:val="0"/>
        </w:rPr>
        <w:t>verum.</w:t>
      </w:r>
      <w:r>
        <w:rPr>
          <w:b w:val="0"/>
          <w:i w:val="0"/>
        </w:rPr>
        <w:t xml:space="preserve"> </w:t>
      </w:r>
      <w:hyperlink w:anchor="latin-record-1339">
        <w:r>
          <w:rPr>
            <w:color w:val="000000"/>
          </w:rPr>
          <w:t xml:space="preserve">veritas / verum</w:t>
        </w:r>
      </w:hyperlink>
      <w:r>
        <w:rPr>
          <w:b w:val="0"/>
          <w:i w:val="0"/>
        </w:rPr>
        <w:t xml:space="preserve">; </w:t>
      </w:r>
      <w:hyperlink w:anchor="latin-record-1342">
        <w:r>
          <w:rPr>
            <w:color w:val="000000"/>
          </w:rPr>
          <w:t xml:space="preserve">verum / bonum</w:t>
        </w:r>
      </w:hyperlink>
      <w:r>
        <w:rPr>
          <w:b w:val="0"/>
          <w:i w:val="0"/>
        </w:rPr>
        <w:t xml:space="preserve">; </w:t>
      </w:r>
      <w:hyperlink w:anchor="latin-record-1343">
        <w:r>
          <w:rPr>
            <w:color w:val="000000"/>
          </w:rPr>
          <w:t xml:space="preserve">verus / falsus</w:t>
        </w:r>
      </w:hyperlink>
      <w:r>
        <w:rPr>
          <w:b w:val="0"/>
          <w:i w:val="0"/>
        </w:rPr>
        <w:t>.</w:t>
      </w:r>
    </w:p>
    <w:p>
      <w:pPr>
        <w:widowControl/>
      </w:pPr>
      <w:r>
        <w:rPr>
          <w:b/>
          <w:i w:val="0"/>
        </w:rPr>
        <w:t>Verum.</w:t>
      </w:r>
      <w:r>
        <w:rPr>
          <w:b w:val="0"/>
          <w:i w:val="0"/>
        </w:rPr>
        <w:t xml:space="preserve"> </w:t>
      </w:r>
      <w:hyperlink w:anchor="latin-record-1342">
        <w:r>
          <w:rPr>
            <w:color w:val="000000"/>
          </w:rPr>
          <w:t xml:space="preserve">verum / bonum</w:t>
        </w:r>
      </w:hyperlink>
      <w:r>
        <w:rPr>
          <w:b w:val="0"/>
          <w:i w:val="0"/>
        </w:rPr>
        <w:t>.</w:t>
      </w:r>
    </w:p>
    <w:p>
      <w:pPr>
        <w:widowControl/>
      </w:pPr>
      <w:r>
        <w:rPr>
          <w:b/>
          <w:i w:val="0"/>
        </w:rPr>
        <w:t>Verumtamen.</w:t>
      </w:r>
      <w:r>
        <w:rPr>
          <w:b w:val="0"/>
          <w:i w:val="0"/>
        </w:rPr>
        <w:t xml:space="preserve"> </w:t>
      </w:r>
      <w:hyperlink w:anchor="latin-record-0596">
        <w:r>
          <w:rPr>
            <w:color w:val="000000"/>
          </w:rPr>
          <w:t xml:space="preserve">immo; tamen; nihilominus</w:t>
        </w:r>
      </w:hyperlink>
      <w:r>
        <w:rPr>
          <w:b w:val="0"/>
          <w:i w:val="0"/>
        </w:rPr>
        <w:t>.</w:t>
      </w:r>
    </w:p>
    <w:p>
      <w:pPr>
        <w:widowControl/>
      </w:pPr>
      <w:r>
        <w:rPr>
          <w:b/>
          <w:i w:val="0"/>
        </w:rPr>
        <w:t>verus.</w:t>
      </w:r>
      <w:r>
        <w:rPr>
          <w:b w:val="0"/>
          <w:i w:val="0"/>
        </w:rPr>
        <w:t xml:space="preserve"> </w:t>
      </w:r>
      <w:hyperlink w:anchor="latin-record-1343">
        <w:r>
          <w:rPr>
            <w:color w:val="000000"/>
          </w:rPr>
          <w:t xml:space="preserve">verus / falsus</w:t>
        </w:r>
      </w:hyperlink>
      <w:r>
        <w:rPr>
          <w:b w:val="0"/>
          <w:i w:val="0"/>
        </w:rPr>
        <w:t>.</w:t>
      </w:r>
    </w:p>
    <w:p>
      <w:pPr>
        <w:widowControl/>
      </w:pPr>
      <w:r>
        <w:rPr>
          <w:b/>
          <w:i w:val="0"/>
        </w:rPr>
        <w:t>vesceretur.</w:t>
      </w:r>
      <w:r>
        <w:rPr>
          <w:b w:val="0"/>
          <w:i w:val="0"/>
        </w:rPr>
        <w:t xml:space="preserve"> </w:t>
      </w:r>
      <w:hyperlink w:anchor="latin-record-1344">
        <w:r>
          <w:rPr>
            <w:color w:val="000000"/>
          </w:rPr>
          <w:t xml:space="preserve">vesci / pasci</w:t>
        </w:r>
      </w:hyperlink>
      <w:r>
        <w:rPr>
          <w:b w:val="0"/>
          <w:i w:val="0"/>
        </w:rPr>
        <w:t>.</w:t>
      </w:r>
    </w:p>
    <w:p>
      <w:pPr>
        <w:widowControl/>
      </w:pPr>
      <w:r>
        <w:rPr>
          <w:b/>
          <w:i w:val="0"/>
        </w:rPr>
        <w:t>vescitur.</w:t>
      </w:r>
      <w:r>
        <w:rPr>
          <w:b w:val="0"/>
          <w:i w:val="0"/>
        </w:rPr>
        <w:t xml:space="preserve"> </w:t>
      </w:r>
      <w:hyperlink w:anchor="latin-record-1344">
        <w:r>
          <w:rPr>
            <w:color w:val="000000"/>
          </w:rPr>
          <w:t xml:space="preserve">vesci / pasci</w:t>
        </w:r>
      </w:hyperlink>
      <w:r>
        <w:rPr>
          <w:b w:val="0"/>
          <w:i w:val="0"/>
        </w:rPr>
        <w:t>.</w:t>
      </w:r>
    </w:p>
    <w:p>
      <w:pPr>
        <w:widowControl/>
      </w:pPr>
      <w:r>
        <w:rPr>
          <w:b/>
          <w:i w:val="0"/>
        </w:rPr>
        <w:t>vestigia.</w:t>
      </w:r>
      <w:r>
        <w:rPr>
          <w:b w:val="0"/>
          <w:i w:val="0"/>
        </w:rPr>
        <w:t xml:space="preserve"> </w:t>
      </w:r>
      <w:hyperlink w:anchor="latin-record-0709">
        <w:r>
          <w:rPr>
            <w:color w:val="000000"/>
          </w:rPr>
          <w:t xml:space="preserve">lepus / vestigium / indago</w:t>
        </w:r>
      </w:hyperlink>
      <w:r>
        <w:rPr>
          <w:b w:val="0"/>
          <w:i w:val="0"/>
        </w:rPr>
        <w:t>.</w:t>
      </w:r>
    </w:p>
    <w:p>
      <w:pPr>
        <w:widowControl/>
      </w:pPr>
      <w:r>
        <w:rPr>
          <w:b/>
          <w:i w:val="0"/>
        </w:rPr>
        <w:t>veteres corrumpuntur.</w:t>
      </w:r>
      <w:r>
        <w:rPr>
          <w:b w:val="0"/>
          <w:i w:val="0"/>
        </w:rPr>
        <w:t xml:space="preserve"> </w:t>
      </w:r>
      <w:hyperlink w:anchor="latin-record-0897">
        <w:r>
          <w:rPr>
            <w:color w:val="000000"/>
          </w:rPr>
          <w:t xml:space="preserve">partes novae; veteres</w:t>
        </w:r>
      </w:hyperlink>
      <w:r>
        <w:rPr>
          <w:b w:val="0"/>
          <w:i w:val="0"/>
        </w:rPr>
        <w:t>.</w:t>
      </w:r>
    </w:p>
    <w:p>
      <w:pPr>
        <w:widowControl/>
      </w:pPr>
      <w:r>
        <w:rPr>
          <w:b/>
          <w:i w:val="0"/>
        </w:rPr>
        <w:t>vi.</w:t>
      </w:r>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 xml:space="preserve">; </w:t>
      </w:r>
      <w:hyperlink w:anchor="latin-record-1361">
        <w:r>
          <w:rPr>
            <w:color w:val="000000"/>
          </w:rPr>
          <w:t xml:space="preserve">vis</w:t>
        </w:r>
      </w:hyperlink>
      <w:r>
        <w:rPr>
          <w:b w:val="0"/>
          <w:i w:val="0"/>
        </w:rPr>
        <w:t>.</w:t>
      </w:r>
    </w:p>
    <w:p>
      <w:pPr>
        <w:widowControl/>
      </w:pPr>
      <w:r>
        <w:rPr>
          <w:b/>
          <w:i w:val="0"/>
        </w:rPr>
        <w:t>vi naturali.</w:t>
      </w:r>
      <w:r>
        <w:rPr>
          <w:b w:val="0"/>
          <w:i w:val="0"/>
        </w:rPr>
        <w:t xml:space="preserve"> </w:t>
      </w:r>
      <w:hyperlink w:anchor="latin-record-1366">
        <w:r>
          <w:rPr>
            <w:color w:val="000000"/>
          </w:rPr>
          <w:t xml:space="preserve">vis naturalis</w:t>
        </w:r>
      </w:hyperlink>
      <w:r>
        <w:rPr>
          <w:b w:val="0"/>
          <w:i w:val="0"/>
        </w:rPr>
        <w:t>.</w:t>
      </w:r>
    </w:p>
    <w:p>
      <w:pPr>
        <w:widowControl/>
      </w:pPr>
      <w:r>
        <w:rPr>
          <w:b/>
          <w:i w:val="0"/>
        </w:rPr>
        <w:t>Vicissim.</w:t>
      </w:r>
      <w:r>
        <w:rPr>
          <w:b w:val="0"/>
          <w:i w:val="0"/>
        </w:rPr>
        <w:t xml:space="preserve"> </w:t>
      </w:r>
      <w:hyperlink w:anchor="latin-record-0687">
        <w:r>
          <w:rPr>
            <w:color w:val="000000"/>
          </w:rPr>
          <w:t xml:space="preserve">invicem / vicissim</w:t>
        </w:r>
      </w:hyperlink>
      <w:r>
        <w:rPr>
          <w:b w:val="0"/>
          <w:i w:val="0"/>
        </w:rPr>
        <w:t>.</w:t>
      </w:r>
    </w:p>
    <w:p>
      <w:pPr>
        <w:widowControl/>
      </w:pPr>
      <w:r>
        <w:rPr>
          <w:b/>
          <w:i w:val="0"/>
        </w:rPr>
        <w:t>vicissim.</w:t>
      </w:r>
      <w:r>
        <w:rPr>
          <w:b w:val="0"/>
          <w:i w:val="0"/>
        </w:rPr>
        <w:t xml:space="preserve"> </w:t>
      </w:r>
      <w:hyperlink w:anchor="latin-record-0687">
        <w:r>
          <w:rPr>
            <w:color w:val="000000"/>
          </w:rPr>
          <w:t xml:space="preserve">invicem / vicissim</w:t>
        </w:r>
      </w:hyperlink>
      <w:r>
        <w:rPr>
          <w:b w:val="0"/>
          <w:i w:val="0"/>
        </w:rPr>
        <w:t xml:space="preserve">; </w:t>
      </w:r>
      <w:hyperlink w:anchor="latin-record-1184">
        <w:r>
          <w:rPr>
            <w:color w:val="000000"/>
          </w:rPr>
          <w:t xml:space="preserve">simul; vicissim; invicem</w:t>
        </w:r>
      </w:hyperlink>
      <w:r>
        <w:rPr>
          <w:b w:val="0"/>
          <w:i w:val="0"/>
        </w:rPr>
        <w:t xml:space="preserve">; </w:t>
      </w:r>
      <w:hyperlink w:anchor="latin-record-1346">
        <w:r>
          <w:rPr>
            <w:color w:val="000000"/>
          </w:rPr>
          <w:t xml:space="preserve">vicissim</w:t>
        </w:r>
      </w:hyperlink>
      <w:r>
        <w:rPr>
          <w:b w:val="0"/>
          <w:i w:val="0"/>
        </w:rPr>
        <w:t>.</w:t>
      </w:r>
    </w:p>
    <w:p>
      <w:pPr>
        <w:widowControl/>
      </w:pPr>
      <w:r>
        <w:rPr>
          <w:b/>
          <w:i w:val="0"/>
        </w:rPr>
        <w:t>videamus.</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videantur.</w:t>
      </w:r>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videat.</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videatur.</w:t>
      </w:r>
      <w:r>
        <w:rPr>
          <w:b w:val="0"/>
          <w:i w:val="0"/>
        </w:rPr>
        <w:t xml:space="preserve"> </w:t>
      </w:r>
      <w:hyperlink w:anchor="latin-record-0108">
        <w:r>
          <w:rPr>
            <w:color w:val="000000"/>
          </w:rPr>
          <w:t xml:space="preserve">apparere / videri / placere</w:t>
        </w:r>
      </w:hyperlink>
      <w:r>
        <w:rPr>
          <w:b w:val="0"/>
          <w:i w:val="0"/>
        </w:rPr>
        <w:t xml:space="preserve">; </w:t>
      </w:r>
      <w:hyperlink w:anchor="latin-record-1351">
        <w:r>
          <w:rPr>
            <w:color w:val="000000"/>
          </w:rPr>
          <w:t xml:space="preserve">videre; cernere; intueri</w:t>
        </w:r>
      </w:hyperlink>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videbitur.</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videmus.</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vident.</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videntur.</w:t>
      </w:r>
      <w:r>
        <w:rPr>
          <w:b w:val="0"/>
          <w:i w:val="0"/>
        </w:rPr>
        <w:t xml:space="preserve"> </w:t>
      </w:r>
      <w:hyperlink w:anchor="latin-record-0108">
        <w:r>
          <w:rPr>
            <w:color w:val="000000"/>
          </w:rPr>
          <w:t xml:space="preserve">apparere / videri / placere</w:t>
        </w:r>
      </w:hyperlink>
      <w:r>
        <w:rPr>
          <w:b w:val="0"/>
          <w:i w:val="0"/>
        </w:rPr>
        <w:t>.</w:t>
      </w:r>
    </w:p>
    <w:p>
      <w:pPr>
        <w:widowControl/>
      </w:pPr>
      <w:r>
        <w:rPr>
          <w:b/>
          <w:i w:val="0"/>
        </w:rPr>
        <w:t>videramus.</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videre.</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videretur.</w:t>
      </w:r>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videt.</w:t>
      </w:r>
      <w:r>
        <w:rPr>
          <w:b w:val="0"/>
          <w:i w:val="0"/>
        </w:rPr>
        <w:t xml:space="preserve"> </w:t>
      </w:r>
      <w:hyperlink w:anchor="latin-record-1350">
        <w:r>
          <w:rPr>
            <w:color w:val="000000"/>
          </w:rPr>
          <w:t xml:space="preserve">videre; audire; olfacere; gustare; tangere</w:t>
        </w:r>
      </w:hyperlink>
      <w:r>
        <w:rPr>
          <w:b w:val="0"/>
          <w:i w:val="0"/>
        </w:rPr>
        <w:t xml:space="preserve">; </w:t>
      </w:r>
      <w:hyperlink w:anchor="latin-record-1351">
        <w:r>
          <w:rPr>
            <w:color w:val="000000"/>
          </w:rPr>
          <w:t xml:space="preserve">videre; cernere; intueri</w:t>
        </w:r>
      </w:hyperlink>
      <w:r>
        <w:rPr>
          <w:b w:val="0"/>
          <w:i w:val="0"/>
        </w:rPr>
        <w:t>.</w:t>
      </w:r>
    </w:p>
    <w:p>
      <w:pPr>
        <w:widowControl/>
      </w:pPr>
      <w:r>
        <w:rPr>
          <w:b/>
          <w:i w:val="0"/>
        </w:rPr>
        <w:t>videtur.</w:t>
      </w:r>
      <w:r>
        <w:rPr>
          <w:b w:val="0"/>
          <w:i w:val="0"/>
        </w:rPr>
        <w:t xml:space="preserve"> </w:t>
      </w:r>
      <w:hyperlink w:anchor="latin-record-0108">
        <w:r>
          <w:rPr>
            <w:color w:val="000000"/>
          </w:rPr>
          <w:t xml:space="preserve">apparere / videri / placere</w:t>
        </w:r>
      </w:hyperlink>
      <w:r>
        <w:rPr>
          <w:b w:val="0"/>
          <w:i w:val="0"/>
        </w:rPr>
        <w:t xml:space="preserve">; </w:t>
      </w:r>
      <w:hyperlink w:anchor="latin-record-1351">
        <w:r>
          <w:rPr>
            <w:color w:val="000000"/>
          </w:rPr>
          <w:t xml:space="preserve">videre; cernere; intueri</w:t>
        </w:r>
      </w:hyperlink>
      <w:r>
        <w:rPr>
          <w:b w:val="0"/>
          <w:i w:val="0"/>
        </w:rPr>
        <w:t xml:space="preserve">; </w:t>
      </w:r>
      <w:hyperlink w:anchor="latin-record-1352">
        <w:r>
          <w:rPr>
            <w:color w:val="000000"/>
          </w:rPr>
          <w:t xml:space="preserve">videri / apparere / patere / constare</w:t>
        </w:r>
      </w:hyperlink>
      <w:r>
        <w:rPr>
          <w:b w:val="0"/>
          <w:i w:val="0"/>
        </w:rPr>
        <w:t>.</w:t>
      </w:r>
    </w:p>
    <w:p>
      <w:pPr>
        <w:widowControl/>
      </w:pPr>
      <w:r>
        <w:rPr>
          <w:b/>
          <w:i w:val="0"/>
        </w:rPr>
        <w:t>viget.</w:t>
      </w:r>
      <w:r>
        <w:rPr>
          <w:b w:val="0"/>
          <w:i w:val="0"/>
        </w:rPr>
        <w:t xml:space="preserve"> </w:t>
      </w:r>
      <w:hyperlink w:anchor="latin-record-0412">
        <w:r>
          <w:rPr>
            <w:color w:val="000000"/>
          </w:rPr>
          <w:t xml:space="preserve">dominari / vigere / astringere</w:t>
        </w:r>
      </w:hyperlink>
      <w:r>
        <w:rPr>
          <w:b w:val="0"/>
          <w:i w:val="0"/>
        </w:rPr>
        <w:t>.</w:t>
      </w:r>
    </w:p>
    <w:p>
      <w:pPr>
        <w:widowControl/>
      </w:pPr>
      <w:r>
        <w:rPr>
          <w:b/>
          <w:i w:val="0"/>
        </w:rPr>
        <w:t>vigilanti.</w:t>
      </w:r>
      <w:r>
        <w:rPr>
          <w:b w:val="0"/>
          <w:i w:val="0"/>
        </w:rPr>
        <w:t xml:space="preserve"> </w:t>
      </w:r>
      <w:hyperlink w:anchor="latin-record-0413">
        <w:r>
          <w:rPr>
            <w:color w:val="000000"/>
          </w:rPr>
          <w:t xml:space="preserve">dormire / vigilare / expergefieri</w:t>
        </w:r>
      </w:hyperlink>
      <w:r>
        <w:rPr>
          <w:b w:val="0"/>
          <w:i w:val="0"/>
        </w:rPr>
        <w:t>.</w:t>
      </w:r>
    </w:p>
    <w:p>
      <w:pPr>
        <w:widowControl/>
      </w:pPr>
      <w:r>
        <w:rPr>
          <w:b/>
          <w:i w:val="0"/>
        </w:rPr>
        <w:t>vigilantibus.</w:t>
      </w:r>
      <w:r>
        <w:rPr>
          <w:b w:val="0"/>
          <w:i w:val="0"/>
        </w:rPr>
        <w:t xml:space="preserve"> </w:t>
      </w:r>
      <w:hyperlink w:anchor="latin-record-0413">
        <w:r>
          <w:rPr>
            <w:color w:val="000000"/>
          </w:rPr>
          <w:t xml:space="preserve">dormire / vigilare / expergefieri</w:t>
        </w:r>
      </w:hyperlink>
      <w:r>
        <w:rPr>
          <w:b w:val="0"/>
          <w:i w:val="0"/>
        </w:rPr>
        <w:t>.</w:t>
      </w:r>
    </w:p>
    <w:p>
      <w:pPr>
        <w:widowControl/>
      </w:pPr>
      <w:r>
        <w:rPr>
          <w:b/>
          <w:i w:val="0"/>
        </w:rPr>
        <w:t>viles.</w:t>
      </w:r>
      <w:r>
        <w:rPr>
          <w:b w:val="0"/>
          <w:i w:val="0"/>
        </w:rPr>
        <w:t xml:space="preserve"> </w:t>
      </w:r>
      <w:hyperlink w:anchor="latin-record-0579">
        <w:r>
          <w:rPr>
            <w:color w:val="000000"/>
          </w:rPr>
          <w:t xml:space="preserve">idoneus / vilis / perfectior</w:t>
        </w:r>
      </w:hyperlink>
      <w:r>
        <w:rPr>
          <w:b w:val="0"/>
          <w:i w:val="0"/>
        </w:rPr>
        <w:t>.</w:t>
      </w:r>
    </w:p>
    <w:p>
      <w:pPr>
        <w:widowControl/>
      </w:pPr>
      <w:r>
        <w:rPr>
          <w:b/>
          <w:i w:val="0"/>
        </w:rPr>
        <w:t>vim.</w:t>
      </w:r>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 xml:space="preserve">; </w:t>
      </w:r>
      <w:hyperlink w:anchor="latin-record-1361">
        <w:r>
          <w:rPr>
            <w:color w:val="000000"/>
          </w:rPr>
          <w:t xml:space="preserve">vis</w:t>
        </w:r>
      </w:hyperlink>
      <w:r>
        <w:rPr>
          <w:b w:val="0"/>
          <w:i w:val="0"/>
        </w:rPr>
        <w:t>.</w:t>
      </w:r>
    </w:p>
    <w:p>
      <w:pPr>
        <w:widowControl/>
      </w:pPr>
      <w:r>
        <w:rPr>
          <w:b/>
          <w:i w:val="0"/>
        </w:rPr>
        <w:t>Vim.</w:t>
      </w:r>
      <w:r>
        <w:rPr>
          <w:b w:val="0"/>
          <w:i w:val="0"/>
        </w:rPr>
        <w:t xml:space="preserve"> </w:t>
      </w:r>
      <w:hyperlink w:anchor="latin-record-1361">
        <w:r>
          <w:rPr>
            <w:color w:val="000000"/>
          </w:rPr>
          <w:t xml:space="preserve">vis</w:t>
        </w:r>
      </w:hyperlink>
      <w:r>
        <w:rPr>
          <w:b w:val="0"/>
          <w:i w:val="0"/>
        </w:rPr>
        <w:t>.</w:t>
      </w:r>
    </w:p>
    <w:p>
      <w:pPr>
        <w:widowControl/>
      </w:pPr>
      <w:r>
        <w:rPr>
          <w:b/>
          <w:i w:val="0"/>
        </w:rPr>
        <w:t>vim illam iudiciariam.</w:t>
      </w:r>
      <w:r>
        <w:rPr>
          <w:b w:val="0"/>
          <w:i w:val="0"/>
        </w:rPr>
        <w:t xml:space="preserve"> </w:t>
      </w:r>
      <w:hyperlink w:anchor="latin-record-1365">
        <w:r>
          <w:rPr>
            <w:color w:val="000000"/>
          </w:rPr>
          <w:t xml:space="preserve">vis iudiciaria</w:t>
        </w:r>
      </w:hyperlink>
      <w:r>
        <w:rPr>
          <w:b w:val="0"/>
          <w:i w:val="0"/>
        </w:rPr>
        <w:t>.</w:t>
      </w:r>
    </w:p>
    <w:p>
      <w:pPr>
        <w:widowControl/>
      </w:pPr>
      <w:r>
        <w:rPr>
          <w:b/>
          <w:i w:val="0"/>
        </w:rPr>
        <w:t>vincti.</w:t>
      </w:r>
      <w:r>
        <w:rPr>
          <w:b w:val="0"/>
          <w:i w:val="0"/>
        </w:rPr>
        <w:t xml:space="preserve"> </w:t>
      </w:r>
      <w:hyperlink w:anchor="latin-record-0715">
        <w:r>
          <w:rPr>
            <w:color w:val="000000"/>
          </w:rPr>
          <w:t xml:space="preserve">ligare; vincire</w:t>
        </w:r>
      </w:hyperlink>
      <w:r>
        <w:rPr>
          <w:b w:val="0"/>
          <w:i w:val="0"/>
        </w:rPr>
        <w:t>.</w:t>
      </w:r>
    </w:p>
    <w:p>
      <w:pPr>
        <w:widowControl/>
      </w:pPr>
      <w:r>
        <w:rPr>
          <w:b/>
          <w:i w:val="0"/>
        </w:rPr>
        <w:t>vinctus.</w:t>
      </w:r>
      <w:r>
        <w:rPr>
          <w:b w:val="0"/>
          <w:i w:val="0"/>
        </w:rPr>
        <w:t xml:space="preserve"> </w:t>
      </w:r>
      <w:hyperlink w:anchor="latin-record-0715">
        <w:r>
          <w:rPr>
            <w:color w:val="000000"/>
          </w:rPr>
          <w:t xml:space="preserve">ligare; vincire</w:t>
        </w:r>
      </w:hyperlink>
      <w:r>
        <w:rPr>
          <w:b w:val="0"/>
          <w:i w:val="0"/>
        </w:rPr>
        <w:t>.</w:t>
      </w:r>
    </w:p>
    <w:p>
      <w:pPr>
        <w:widowControl/>
      </w:pPr>
      <w:r>
        <w:rPr>
          <w:b/>
          <w:i w:val="0"/>
        </w:rPr>
        <w:t>vinculi.</w:t>
      </w:r>
      <w:r>
        <w:rPr>
          <w:b w:val="0"/>
          <w:i w:val="0"/>
        </w:rPr>
        <w:t xml:space="preserve"> </w:t>
      </w:r>
      <w:hyperlink w:anchor="latin-record-1354">
        <w:r>
          <w:rPr>
            <w:color w:val="000000"/>
          </w:rPr>
          <w:t xml:space="preserve">vinculum</w:t>
        </w:r>
      </w:hyperlink>
      <w:r>
        <w:rPr>
          <w:b w:val="0"/>
          <w:i w:val="0"/>
        </w:rPr>
        <w:t>.</w:t>
      </w:r>
    </w:p>
    <w:p>
      <w:pPr>
        <w:widowControl/>
      </w:pPr>
      <w:r>
        <w:rPr>
          <w:b/>
          <w:i w:val="0"/>
        </w:rPr>
        <w:t>vinculum.</w:t>
      </w:r>
      <w:r>
        <w:rPr>
          <w:b w:val="0"/>
          <w:i w:val="0"/>
        </w:rPr>
        <w:t xml:space="preserve"> </w:t>
      </w:r>
      <w:hyperlink w:anchor="latin-record-1354">
        <w:r>
          <w:rPr>
            <w:color w:val="000000"/>
          </w:rPr>
          <w:t xml:space="preserve">vinculum</w:t>
        </w:r>
      </w:hyperlink>
      <w:r>
        <w:rPr>
          <w:b w:val="0"/>
          <w:i w:val="0"/>
        </w:rPr>
        <w:t>.</w:t>
      </w:r>
    </w:p>
    <w:p>
      <w:pPr>
        <w:widowControl/>
      </w:pPr>
      <w:r>
        <w:rPr>
          <w:b/>
          <w:i w:val="0"/>
        </w:rPr>
        <w:t>vino.</w:t>
      </w:r>
      <w:r>
        <w:rPr>
          <w:b w:val="0"/>
          <w:i w:val="0"/>
        </w:rPr>
        <w:t xml:space="preserve"> </w:t>
      </w:r>
      <w:hyperlink w:anchor="latin-record-1355">
        <w:r>
          <w:rPr>
            <w:color w:val="000000"/>
          </w:rPr>
          <w:t xml:space="preserve">vinum / dulcedo / sapor</w:t>
        </w:r>
      </w:hyperlink>
      <w:r>
        <w:rPr>
          <w:b w:val="0"/>
          <w:i w:val="0"/>
        </w:rPr>
        <w:t>.</w:t>
      </w:r>
    </w:p>
    <w:p>
      <w:pPr>
        <w:widowControl/>
      </w:pPr>
      <w:r>
        <w:rPr>
          <w:b/>
          <w:i w:val="0"/>
        </w:rPr>
        <w:t>violentia.</w:t>
      </w:r>
      <w:r>
        <w:rPr>
          <w:b w:val="0"/>
          <w:i w:val="0"/>
        </w:rPr>
        <w:t xml:space="preserve"> </w:t>
      </w:r>
      <w:hyperlink w:anchor="latin-record-1356">
        <w:r>
          <w:rPr>
            <w:color w:val="000000"/>
          </w:rPr>
          <w:t xml:space="preserve">violentia</w:t>
        </w:r>
      </w:hyperlink>
      <w:r>
        <w:rPr>
          <w:b w:val="0"/>
          <w:i w:val="0"/>
        </w:rPr>
        <w:t>.</w:t>
      </w:r>
    </w:p>
    <w:p>
      <w:pPr>
        <w:widowControl/>
      </w:pPr>
      <w:r>
        <w:rPr>
          <w:b/>
          <w:i w:val="0"/>
        </w:rPr>
        <w:t>violentiam.</w:t>
      </w:r>
      <w:r>
        <w:rPr>
          <w:b w:val="0"/>
          <w:i w:val="0"/>
        </w:rPr>
        <w:t xml:space="preserve"> </w:t>
      </w:r>
      <w:hyperlink w:anchor="latin-record-1356">
        <w:r>
          <w:rPr>
            <w:color w:val="000000"/>
          </w:rPr>
          <w:t xml:space="preserve">violentia</w:t>
        </w:r>
      </w:hyperlink>
      <w:r>
        <w:rPr>
          <w:b w:val="0"/>
          <w:i w:val="0"/>
        </w:rPr>
        <w:t>.</w:t>
      </w:r>
    </w:p>
    <w:p>
      <w:pPr>
        <w:widowControl/>
      </w:pPr>
      <w:r>
        <w:rPr>
          <w:b/>
          <w:i w:val="0"/>
        </w:rPr>
        <w:t>virentes.</w:t>
      </w:r>
      <w:r>
        <w:rPr>
          <w:b w:val="0"/>
          <w:i w:val="0"/>
        </w:rPr>
        <w:t xml:space="preserve"> </w:t>
      </w:r>
      <w:hyperlink w:anchor="latin-record-0222">
        <w:r>
          <w:rPr>
            <w:color w:val="000000"/>
          </w:rPr>
          <w:t xml:space="preserve">coalescere; virere</w:t>
        </w:r>
      </w:hyperlink>
      <w:r>
        <w:rPr>
          <w:b w:val="0"/>
          <w:i w:val="0"/>
        </w:rPr>
        <w:t>.</w:t>
      </w:r>
    </w:p>
    <w:p>
      <w:pPr>
        <w:widowControl/>
      </w:pPr>
      <w:r>
        <w:rPr>
          <w:b/>
          <w:i w:val="0"/>
        </w:rPr>
        <w:t>vires.</w:t>
      </w:r>
      <w:r>
        <w:rPr>
          <w:b w:val="0"/>
          <w:i w:val="0"/>
        </w:rPr>
        <w:t xml:space="preserve"> </w:t>
      </w:r>
      <w:hyperlink w:anchor="latin-record-1357">
        <w:r>
          <w:rPr>
            <w:color w:val="000000"/>
          </w:rPr>
          <w:t xml:space="preserve">vires / affectus / actus / habitus</w:t>
        </w:r>
      </w:hyperlink>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 xml:space="preserve">; </w:t>
      </w:r>
      <w:hyperlink w:anchor="latin-record-1361">
        <w:r>
          <w:rPr>
            <w:color w:val="000000"/>
          </w:rPr>
          <w:t xml:space="preserve">vis</w:t>
        </w:r>
      </w:hyperlink>
      <w:r>
        <w:rPr>
          <w:b w:val="0"/>
          <w:i w:val="0"/>
        </w:rPr>
        <w:t xml:space="preserve">; </w:t>
      </w:r>
      <w:hyperlink w:anchor="latin-record-1362">
        <w:r>
          <w:rPr>
            <w:color w:val="000000"/>
          </w:rPr>
          <w:t xml:space="preserve">vis / potentia / virtus</w:t>
        </w:r>
      </w:hyperlink>
      <w:r>
        <w:rPr>
          <w:b w:val="0"/>
          <w:i w:val="0"/>
        </w:rPr>
        <w:t>.</w:t>
      </w:r>
    </w:p>
    <w:p>
      <w:pPr>
        <w:widowControl/>
      </w:pPr>
      <w:r>
        <w:rPr>
          <w:b/>
          <w:i w:val="0"/>
        </w:rPr>
        <w:t>viribus.</w:t>
      </w:r>
      <w:r>
        <w:rPr>
          <w:b w:val="0"/>
          <w:i w:val="0"/>
        </w:rPr>
        <w:t xml:space="preserve"> </w:t>
      </w:r>
      <w:hyperlink w:anchor="latin-record-1357">
        <w:r>
          <w:rPr>
            <w:color w:val="000000"/>
          </w:rPr>
          <w:t xml:space="preserve">vires / affectus / actus / habitus</w:t>
        </w:r>
      </w:hyperlink>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 xml:space="preserve">; </w:t>
      </w:r>
      <w:hyperlink w:anchor="latin-record-1361">
        <w:r>
          <w:rPr>
            <w:color w:val="000000"/>
          </w:rPr>
          <w:t xml:space="preserve">vis</w:t>
        </w:r>
      </w:hyperlink>
      <w:r>
        <w:rPr>
          <w:b w:val="0"/>
          <w:i w:val="0"/>
        </w:rPr>
        <w:t>.</w:t>
      </w:r>
    </w:p>
    <w:p>
      <w:pPr>
        <w:widowControl/>
      </w:pPr>
      <w:r>
        <w:rPr>
          <w:b/>
          <w:i w:val="0"/>
        </w:rPr>
        <w:t>virtus.</w:t>
      </w:r>
      <w:r>
        <w:rPr>
          <w:b w:val="0"/>
          <w:i w:val="0"/>
        </w:rPr>
        <w:t xml:space="preserve"> </w:t>
      </w:r>
      <w:hyperlink w:anchor="latin-record-1246">
        <w:r>
          <w:rPr>
            <w:color w:val="000000"/>
          </w:rPr>
          <w:t xml:space="preserve">substantia / virtus / operatio</w:t>
        </w:r>
      </w:hyperlink>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 xml:space="preserve">; </w:t>
      </w:r>
      <w:hyperlink w:anchor="latin-record-1362">
        <w:r>
          <w:rPr>
            <w:color w:val="000000"/>
          </w:rPr>
          <w:t xml:space="preserve">vis / potentia / virtus</w:t>
        </w:r>
      </w:hyperlink>
      <w:r>
        <w:rPr>
          <w:b w:val="0"/>
          <w:i w:val="0"/>
        </w:rPr>
        <w:t>.</w:t>
      </w:r>
    </w:p>
    <w:p>
      <w:pPr>
        <w:widowControl/>
      </w:pPr>
      <w:r>
        <w:rPr>
          <w:b/>
          <w:i w:val="0"/>
        </w:rPr>
        <w:t>virtute.</w:t>
      </w:r>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w:t>
      </w:r>
    </w:p>
    <w:p>
      <w:pPr>
        <w:widowControl/>
      </w:pPr>
      <w:r>
        <w:rPr>
          <w:b/>
          <w:i w:val="0"/>
        </w:rPr>
        <w:t>virtute magnum.</w:t>
      </w:r>
      <w:r>
        <w:rPr>
          <w:b w:val="0"/>
          <w:i w:val="0"/>
        </w:rPr>
        <w:t xml:space="preserve"> </w:t>
      </w:r>
      <w:hyperlink w:anchor="latin-record-1360">
        <w:r>
          <w:rPr>
            <w:color w:val="000000"/>
          </w:rPr>
          <w:t xml:space="preserve">virtute; quantitate</w:t>
        </w:r>
      </w:hyperlink>
      <w:r>
        <w:rPr>
          <w:b w:val="0"/>
          <w:i w:val="0"/>
        </w:rPr>
        <w:t>.</w:t>
      </w:r>
    </w:p>
    <w:p>
      <w:pPr>
        <w:widowControl/>
      </w:pPr>
      <w:r>
        <w:rPr>
          <w:b/>
          <w:i w:val="0"/>
        </w:rPr>
        <w:t>virtutem.</w:t>
      </w:r>
      <w:r>
        <w:rPr>
          <w:b w:val="0"/>
          <w:i w:val="0"/>
        </w:rPr>
        <w:t xml:space="preserve"> </w:t>
      </w:r>
      <w:hyperlink w:anchor="latin-record-1246">
        <w:r>
          <w:rPr>
            <w:color w:val="000000"/>
          </w:rPr>
          <w:t xml:space="preserve">substantia / virtus / operatio</w:t>
        </w:r>
      </w:hyperlink>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w:t>
      </w:r>
    </w:p>
    <w:p>
      <w:pPr>
        <w:widowControl/>
      </w:pPr>
      <w:r>
        <w:rPr>
          <w:b/>
          <w:i w:val="0"/>
        </w:rPr>
        <w:t>virtutes.</w:t>
      </w:r>
      <w:r>
        <w:rPr>
          <w:b w:val="0"/>
          <w:i w:val="0"/>
        </w:rPr>
        <w:t xml:space="preserve"> </w:t>
      </w:r>
      <w:hyperlink w:anchor="latin-record-1358">
        <w:r>
          <w:rPr>
            <w:color w:val="000000"/>
          </w:rPr>
          <w:t xml:space="preserve">virtus</w:t>
        </w:r>
      </w:hyperlink>
      <w:r>
        <w:rPr>
          <w:b w:val="0"/>
          <w:i w:val="0"/>
        </w:rPr>
        <w:t>.</w:t>
      </w:r>
    </w:p>
    <w:p>
      <w:pPr>
        <w:widowControl/>
      </w:pPr>
      <w:r>
        <w:rPr>
          <w:b/>
          <w:i w:val="0"/>
        </w:rPr>
        <w:t>virtuti.</w:t>
      </w:r>
      <w:r>
        <w:rPr>
          <w:b w:val="0"/>
          <w:i w:val="0"/>
        </w:rPr>
        <w:t xml:space="preserve"> </w:t>
      </w:r>
      <w:hyperlink w:anchor="latin-record-1358">
        <w:r>
          <w:rPr>
            <w:color w:val="000000"/>
          </w:rPr>
          <w:t xml:space="preserve">virtus</w:t>
        </w:r>
      </w:hyperlink>
      <w:r>
        <w:rPr>
          <w:b w:val="0"/>
          <w:i w:val="0"/>
        </w:rPr>
        <w:t>.</w:t>
      </w:r>
    </w:p>
    <w:p>
      <w:pPr>
        <w:widowControl/>
      </w:pPr>
      <w:r>
        <w:rPr>
          <w:b/>
          <w:i w:val="0"/>
        </w:rPr>
        <w:t>virtutibus.</w:t>
      </w:r>
      <w:r>
        <w:rPr>
          <w:b w:val="0"/>
          <w:i w:val="0"/>
        </w:rPr>
        <w:t xml:space="preserve"> </w:t>
      </w:r>
      <w:hyperlink w:anchor="latin-record-1358">
        <w:r>
          <w:rPr>
            <w:color w:val="000000"/>
          </w:rPr>
          <w:t xml:space="preserve">virtus</w:t>
        </w:r>
      </w:hyperlink>
      <w:r>
        <w:rPr>
          <w:b w:val="0"/>
          <w:i w:val="0"/>
        </w:rPr>
        <w:t>.</w:t>
      </w:r>
    </w:p>
    <w:p>
      <w:pPr>
        <w:widowControl/>
      </w:pPr>
      <w:r>
        <w:rPr>
          <w:b/>
          <w:i w:val="0"/>
        </w:rPr>
        <w:t>virtutis.</w:t>
      </w:r>
      <w:r>
        <w:rPr>
          <w:b w:val="0"/>
          <w:i w:val="0"/>
        </w:rPr>
        <w:t xml:space="preserve"> </w:t>
      </w:r>
      <w:hyperlink w:anchor="latin-record-1246">
        <w:r>
          <w:rPr>
            <w:color w:val="000000"/>
          </w:rPr>
          <w:t xml:space="preserve">substantia / virtus / operatio</w:t>
        </w:r>
      </w:hyperlink>
      <w:r>
        <w:rPr>
          <w:b w:val="0"/>
          <w:i w:val="0"/>
        </w:rPr>
        <w:t xml:space="preserve">; </w:t>
      </w:r>
      <w:hyperlink w:anchor="latin-record-1358">
        <w:r>
          <w:rPr>
            <w:color w:val="000000"/>
          </w:rPr>
          <w:t xml:space="preserve">virtus</w:t>
        </w:r>
      </w:hyperlink>
      <w:r>
        <w:rPr>
          <w:b w:val="0"/>
          <w:i w:val="0"/>
        </w:rPr>
        <w:t>.</w:t>
      </w:r>
    </w:p>
    <w:p>
      <w:pPr>
        <w:widowControl/>
      </w:pPr>
      <w:r>
        <w:rPr>
          <w:b/>
          <w:i w:val="0"/>
        </w:rPr>
        <w:t>Virtutum.</w:t>
      </w:r>
      <w:r>
        <w:rPr>
          <w:b w:val="0"/>
          <w:i w:val="0"/>
        </w:rPr>
        <w:t xml:space="preserve"> </w:t>
      </w:r>
      <w:hyperlink w:anchor="latin-record-1358">
        <w:r>
          <w:rPr>
            <w:color w:val="000000"/>
          </w:rPr>
          <w:t xml:space="preserve">virtus</w:t>
        </w:r>
      </w:hyperlink>
      <w:r>
        <w:rPr>
          <w:b w:val="0"/>
          <w:i w:val="0"/>
        </w:rPr>
        <w:t>.</w:t>
      </w:r>
    </w:p>
    <w:p>
      <w:pPr>
        <w:widowControl/>
      </w:pPr>
      <w:r>
        <w:rPr>
          <w:b/>
          <w:i w:val="0"/>
        </w:rPr>
        <w:t>virtutum.</w:t>
      </w:r>
      <w:r>
        <w:rPr>
          <w:b w:val="0"/>
          <w:i w:val="0"/>
        </w:rPr>
        <w:t xml:space="preserve"> </w:t>
      </w:r>
      <w:hyperlink w:anchor="latin-record-1358">
        <w:r>
          <w:rPr>
            <w:color w:val="000000"/>
          </w:rPr>
          <w:t xml:space="preserve">virtus</w:t>
        </w:r>
      </w:hyperlink>
      <w:r>
        <w:rPr>
          <w:b w:val="0"/>
          <w:i w:val="0"/>
        </w:rPr>
        <w:t>.</w:t>
      </w:r>
    </w:p>
    <w:p>
      <w:pPr>
        <w:widowControl/>
      </w:pPr>
      <w:r>
        <w:rPr>
          <w:b/>
          <w:i w:val="0"/>
        </w:rPr>
        <w:t>vis.</w:t>
      </w:r>
      <w:r>
        <w:rPr>
          <w:b w:val="0"/>
          <w:i w:val="0"/>
        </w:rPr>
        <w:t xml:space="preserve"> </w:t>
      </w:r>
      <w:hyperlink w:anchor="latin-record-1358">
        <w:r>
          <w:rPr>
            <w:color w:val="000000"/>
          </w:rPr>
          <w:t xml:space="preserve">virtus</w:t>
        </w:r>
      </w:hyperlink>
      <w:r>
        <w:rPr>
          <w:b w:val="0"/>
          <w:i w:val="0"/>
        </w:rPr>
        <w:t xml:space="preserve">; </w:t>
      </w:r>
      <w:hyperlink w:anchor="latin-record-1359">
        <w:r>
          <w:rPr>
            <w:color w:val="000000"/>
          </w:rPr>
          <w:t xml:space="preserve">virtus; vis</w:t>
        </w:r>
      </w:hyperlink>
      <w:r>
        <w:rPr>
          <w:b w:val="0"/>
          <w:i w:val="0"/>
        </w:rPr>
        <w:t xml:space="preserve">; </w:t>
      </w:r>
      <w:hyperlink w:anchor="latin-record-1361">
        <w:r>
          <w:rPr>
            <w:color w:val="000000"/>
          </w:rPr>
          <w:t xml:space="preserve">vis</w:t>
        </w:r>
      </w:hyperlink>
      <w:r>
        <w:rPr>
          <w:b w:val="0"/>
          <w:i w:val="0"/>
        </w:rPr>
        <w:t xml:space="preserve">; </w:t>
      </w:r>
      <w:hyperlink w:anchor="latin-record-1362">
        <w:r>
          <w:rPr>
            <w:color w:val="000000"/>
          </w:rPr>
          <w:t xml:space="preserve">vis / potentia / virtus</w:t>
        </w:r>
      </w:hyperlink>
      <w:r>
        <w:rPr>
          <w:b w:val="0"/>
          <w:i w:val="0"/>
        </w:rPr>
        <w:t>.</w:t>
      </w:r>
    </w:p>
    <w:p>
      <w:pPr>
        <w:widowControl/>
      </w:pPr>
      <w:r>
        <w:rPr>
          <w:b/>
          <w:i w:val="0"/>
        </w:rPr>
        <w:t>Vis.</w:t>
      </w:r>
      <w:r>
        <w:rPr>
          <w:b w:val="0"/>
          <w:i w:val="0"/>
        </w:rPr>
        <w:t xml:space="preserve"> </w:t>
      </w:r>
      <w:hyperlink w:anchor="latin-record-1361">
        <w:r>
          <w:rPr>
            <w:color w:val="000000"/>
          </w:rPr>
          <w:t xml:space="preserve">vis</w:t>
        </w:r>
      </w:hyperlink>
      <w:r>
        <w:rPr>
          <w:b w:val="0"/>
          <w:i w:val="0"/>
        </w:rPr>
        <w:t>.</w:t>
      </w:r>
    </w:p>
    <w:p>
      <w:pPr>
        <w:widowControl/>
      </w:pPr>
      <w:r>
        <w:rPr>
          <w:b/>
          <w:i w:val="0"/>
        </w:rPr>
        <w:t>Vis actioque agenti alicui intima.</w:t>
      </w:r>
      <w:r>
        <w:rPr>
          <w:b w:val="0"/>
          <w:i w:val="0"/>
        </w:rPr>
        <w:t xml:space="preserve"> </w:t>
      </w:r>
      <w:hyperlink w:anchor="latin-record-0021">
        <w:r>
          <w:rPr>
            <w:color w:val="000000"/>
          </w:rPr>
          <w:t xml:space="preserve">actio intima</w:t>
        </w:r>
      </w:hyperlink>
      <w:r>
        <w:rPr>
          <w:b w:val="0"/>
          <w:i w:val="0"/>
        </w:rPr>
        <w:t>.</w:t>
      </w:r>
    </w:p>
    <w:p>
      <w:pPr>
        <w:widowControl/>
      </w:pPr>
      <w:r>
        <w:rPr>
          <w:b/>
          <w:i w:val="0"/>
        </w:rPr>
        <w:t>vis ea efficiens.</w:t>
      </w:r>
      <w:r>
        <w:rPr>
          <w:b w:val="0"/>
          <w:i w:val="0"/>
        </w:rPr>
        <w:t xml:space="preserve"> </w:t>
      </w:r>
      <w:hyperlink w:anchor="latin-record-1366">
        <w:r>
          <w:rPr>
            <w:color w:val="000000"/>
          </w:rPr>
          <w:t xml:space="preserve">vis naturalis</w:t>
        </w:r>
      </w:hyperlink>
      <w:r>
        <w:rPr>
          <w:b w:val="0"/>
          <w:i w:val="0"/>
        </w:rPr>
        <w:t>.</w:t>
      </w:r>
    </w:p>
    <w:p>
      <w:pPr>
        <w:widowControl/>
      </w:pPr>
      <w:r>
        <w:rPr>
          <w:b/>
          <w:i w:val="0"/>
        </w:rPr>
        <w:t>vis illa iudiciaria.</w:t>
      </w:r>
      <w:r>
        <w:rPr>
          <w:b w:val="0"/>
          <w:i w:val="0"/>
        </w:rPr>
        <w:t xml:space="preserve"> </w:t>
      </w:r>
      <w:hyperlink w:anchor="latin-record-1365">
        <w:r>
          <w:rPr>
            <w:color w:val="000000"/>
          </w:rPr>
          <w:t xml:space="preserve">vis iudiciaria</w:t>
        </w:r>
      </w:hyperlink>
      <w:r>
        <w:rPr>
          <w:b w:val="0"/>
          <w:i w:val="0"/>
        </w:rPr>
        <w:t>.</w:t>
      </w:r>
    </w:p>
    <w:p>
      <w:pPr>
        <w:widowControl/>
      </w:pPr>
      <w:r>
        <w:rPr>
          <w:b/>
          <w:i w:val="0"/>
        </w:rPr>
        <w:t>vis insita.</w:t>
      </w:r>
      <w:r>
        <w:rPr>
          <w:b w:val="0"/>
          <w:i w:val="0"/>
        </w:rPr>
        <w:t xml:space="preserve"> </w:t>
      </w:r>
      <w:hyperlink w:anchor="latin-record-1317">
        <w:r>
          <w:rPr>
            <w:color w:val="000000"/>
          </w:rPr>
          <w:t xml:space="preserve">unio plurium / vis insita</w:t>
        </w:r>
      </w:hyperlink>
      <w:r>
        <w:rPr>
          <w:b w:val="0"/>
          <w:i w:val="0"/>
        </w:rPr>
        <w:t>.</w:t>
      </w:r>
    </w:p>
    <w:p>
      <w:pPr>
        <w:widowControl/>
      </w:pPr>
      <w:r>
        <w:rPr>
          <w:b/>
          <w:i w:val="0"/>
        </w:rPr>
        <w:t>vis ipsa naturalis.</w:t>
      </w:r>
      <w:r>
        <w:rPr>
          <w:b w:val="0"/>
          <w:i w:val="0"/>
        </w:rPr>
        <w:t xml:space="preserve"> </w:t>
      </w:r>
      <w:hyperlink w:anchor="latin-record-1366">
        <w:r>
          <w:rPr>
            <w:color w:val="000000"/>
          </w:rPr>
          <w:t xml:space="preserve">vis naturalis</w:t>
        </w:r>
      </w:hyperlink>
      <w:r>
        <w:rPr>
          <w:b w:val="0"/>
          <w:i w:val="0"/>
        </w:rPr>
        <w:t>.</w:t>
      </w:r>
    </w:p>
    <w:p>
      <w:pPr>
        <w:widowControl/>
      </w:pPr>
      <w:r>
        <w:rPr>
          <w:b/>
          <w:i w:val="0"/>
        </w:rPr>
        <w:t>vis quaedam corporis agilis ad movendum.</w:t>
      </w:r>
      <w:r>
        <w:rPr>
          <w:b w:val="0"/>
          <w:i w:val="0"/>
        </w:rPr>
        <w:t xml:space="preserve"> </w:t>
      </w:r>
      <w:hyperlink w:anchor="latin-record-1363">
        <w:r>
          <w:rPr>
            <w:color w:val="000000"/>
          </w:rPr>
          <w:t xml:space="preserve">vis agilis</w:t>
        </w:r>
      </w:hyperlink>
      <w:r>
        <w:rPr>
          <w:b w:val="0"/>
          <w:i w:val="0"/>
        </w:rPr>
        <w:t>.</w:t>
      </w:r>
    </w:p>
    <w:p>
      <w:pPr>
        <w:widowControl/>
      </w:pPr>
      <w:r>
        <w:rPr>
          <w:b/>
          <w:i w:val="0"/>
        </w:rPr>
        <w:t>Vis seminaria.</w:t>
      </w:r>
      <w:r>
        <w:rPr>
          <w:b w:val="0"/>
          <w:i w:val="0"/>
        </w:rPr>
        <w:t xml:space="preserve"> </w:t>
      </w:r>
      <w:hyperlink w:anchor="latin-record-1367">
        <w:r>
          <w:rPr>
            <w:color w:val="000000"/>
          </w:rPr>
          <w:t xml:space="preserve">vis seminaria</w:t>
        </w:r>
      </w:hyperlink>
      <w:r>
        <w:rPr>
          <w:b w:val="0"/>
          <w:i w:val="0"/>
        </w:rPr>
        <w:t>.</w:t>
      </w:r>
    </w:p>
    <w:p>
      <w:pPr>
        <w:widowControl/>
      </w:pPr>
      <w:r>
        <w:rPr>
          <w:b/>
          <w:i w:val="0"/>
        </w:rPr>
        <w:t>visceribus.</w:t>
      </w:r>
      <w:r>
        <w:rPr>
          <w:b w:val="0"/>
          <w:i w:val="0"/>
        </w:rPr>
        <w:t xml:space="preserve"> </w:t>
      </w:r>
      <w:hyperlink w:anchor="latin-record-1368">
        <w:r>
          <w:rPr>
            <w:color w:val="000000"/>
          </w:rPr>
          <w:t xml:space="preserve">viscera</w:t>
        </w:r>
      </w:hyperlink>
      <w:r>
        <w:rPr>
          <w:b w:val="0"/>
          <w:i w:val="0"/>
        </w:rPr>
        <w:t xml:space="preserve">; </w:t>
      </w:r>
      <w:hyperlink w:anchor="latin-record-1369">
        <w:r>
          <w:rPr>
            <w:color w:val="000000"/>
          </w:rPr>
          <w:t xml:space="preserve">viscera; gremium</w:t>
        </w:r>
      </w:hyperlink>
      <w:r>
        <w:rPr>
          <w:b w:val="0"/>
          <w:i w:val="0"/>
        </w:rPr>
        <w:t>.</w:t>
      </w:r>
    </w:p>
    <w:p>
      <w:pPr>
        <w:widowControl/>
      </w:pPr>
      <w:r>
        <w:rPr>
          <w:b/>
          <w:i w:val="0"/>
        </w:rPr>
        <w:t>visibilis.</w:t>
      </w:r>
      <w:r>
        <w:rPr>
          <w:b w:val="0"/>
          <w:i w:val="0"/>
        </w:rPr>
        <w:t xml:space="preserve"> </w:t>
      </w:r>
      <w:hyperlink w:anchor="latin-record-1370">
        <w:r>
          <w:rPr>
            <w:color w:val="000000"/>
          </w:rPr>
          <w:t xml:space="preserve">visibilis / invisibilis</w:t>
        </w:r>
      </w:hyperlink>
      <w:r>
        <w:rPr>
          <w:b w:val="0"/>
          <w:i w:val="0"/>
        </w:rPr>
        <w:t>.</w:t>
      </w:r>
    </w:p>
    <w:p>
      <w:pPr>
        <w:widowControl/>
      </w:pPr>
      <w:r>
        <w:rPr>
          <w:b/>
          <w:i w:val="0"/>
        </w:rPr>
        <w:t>visionem.</w:t>
      </w:r>
      <w:r>
        <w:rPr>
          <w:b w:val="0"/>
          <w:i w:val="0"/>
        </w:rPr>
        <w:t xml:space="preserve"> </w:t>
      </w:r>
      <w:hyperlink w:anchor="latin-record-1371">
        <w:r>
          <w:rPr>
            <w:color w:val="000000"/>
          </w:rPr>
          <w:t xml:space="preserve">visio</w:t>
        </w:r>
      </w:hyperlink>
      <w:r>
        <w:rPr>
          <w:b w:val="0"/>
          <w:i w:val="0"/>
        </w:rPr>
        <w:t>.</w:t>
      </w:r>
    </w:p>
    <w:p>
      <w:pPr>
        <w:widowControl/>
      </w:pPr>
      <w:r>
        <w:rPr>
          <w:b/>
          <w:i w:val="0"/>
        </w:rPr>
        <w:t>visiones.</w:t>
      </w:r>
      <w:r>
        <w:rPr>
          <w:b w:val="0"/>
          <w:i w:val="0"/>
        </w:rPr>
        <w:t xml:space="preserve"> </w:t>
      </w:r>
      <w:hyperlink w:anchor="latin-record-1371">
        <w:r>
          <w:rPr>
            <w:color w:val="000000"/>
          </w:rPr>
          <w:t xml:space="preserve">visio</w:t>
        </w:r>
      </w:hyperlink>
      <w:r>
        <w:rPr>
          <w:b w:val="0"/>
          <w:i w:val="0"/>
        </w:rPr>
        <w:t>.</w:t>
      </w:r>
    </w:p>
    <w:p>
      <w:pPr>
        <w:widowControl/>
      </w:pPr>
      <w:r>
        <w:rPr>
          <w:b/>
          <w:i w:val="0"/>
        </w:rPr>
        <w:t>Visus.</w:t>
      </w:r>
      <w:r>
        <w:rPr>
          <w:b w:val="0"/>
          <w:i w:val="0"/>
        </w:rPr>
        <w:t xml:space="preserve"> </w:t>
      </w:r>
      <w:hyperlink w:anchor="latin-record-1372">
        <w:r>
          <w:rPr>
            <w:color w:val="000000"/>
          </w:rPr>
          <w:t xml:space="preserve">visus / auditus / olfactus</w:t>
        </w:r>
      </w:hyperlink>
      <w:r>
        <w:rPr>
          <w:b w:val="0"/>
          <w:i w:val="0"/>
        </w:rPr>
        <w:t>.</w:t>
      </w:r>
    </w:p>
    <w:p>
      <w:pPr>
        <w:widowControl/>
      </w:pPr>
      <w:r>
        <w:rPr>
          <w:b/>
          <w:i w:val="0"/>
        </w:rPr>
        <w:t>vita.</w:t>
      </w:r>
      <w:r>
        <w:rPr>
          <w:b w:val="0"/>
          <w:i w:val="0"/>
        </w:rPr>
        <w:t xml:space="preserve"> </w:t>
      </w:r>
      <w:hyperlink w:anchor="latin-record-0447">
        <w:r>
          <w:rPr>
            <w:color w:val="000000"/>
          </w:rPr>
          <w:t xml:space="preserve">essentia–vita–mens</w:t>
        </w:r>
      </w:hyperlink>
      <w:r>
        <w:rPr>
          <w:b w:val="0"/>
          <w:i w:val="0"/>
        </w:rPr>
        <w:t xml:space="preserve">; </w:t>
      </w:r>
      <w:hyperlink w:anchor="latin-record-1373">
        <w:r>
          <w:rPr>
            <w:color w:val="000000"/>
          </w:rPr>
          <w:t xml:space="preserve">vita</w:t>
        </w:r>
      </w:hyperlink>
      <w:r>
        <w:rPr>
          <w:b w:val="0"/>
          <w:i w:val="0"/>
        </w:rPr>
        <w:t xml:space="preserve">; </w:t>
      </w:r>
      <w:hyperlink w:anchor="latin-record-1374">
        <w:r>
          <w:rPr>
            <w:color w:val="000000"/>
          </w:rPr>
          <w:t xml:space="preserve">vita / vivere</w:t>
        </w:r>
      </w:hyperlink>
      <w:r>
        <w:rPr>
          <w:b w:val="0"/>
          <w:i w:val="0"/>
        </w:rPr>
        <w:t xml:space="preserve">; </w:t>
      </w:r>
      <w:hyperlink w:anchor="latin-record-1377">
        <w:r>
          <w:rPr>
            <w:color w:val="000000"/>
          </w:rPr>
          <w:t xml:space="preserve">vita; vivere</w:t>
        </w:r>
      </w:hyperlink>
      <w:r>
        <w:rPr>
          <w:b w:val="0"/>
          <w:i w:val="0"/>
        </w:rPr>
        <w:t>.</w:t>
      </w:r>
    </w:p>
    <w:p>
      <w:pPr>
        <w:widowControl/>
      </w:pPr>
      <w:r>
        <w:rPr>
          <w:b/>
          <w:i w:val="0"/>
        </w:rPr>
        <w:t>Vita.</w:t>
      </w:r>
      <w:r>
        <w:rPr>
          <w:b w:val="0"/>
          <w:i w:val="0"/>
        </w:rPr>
        <w:t xml:space="preserve"> </w:t>
      </w:r>
      <w:hyperlink w:anchor="latin-record-1374">
        <w:r>
          <w:rPr>
            <w:color w:val="000000"/>
          </w:rPr>
          <w:t xml:space="preserve">vita / vivere</w:t>
        </w:r>
      </w:hyperlink>
      <w:r>
        <w:rPr>
          <w:b w:val="0"/>
          <w:i w:val="0"/>
        </w:rPr>
        <w:t>.</w:t>
      </w:r>
    </w:p>
    <w:p>
      <w:pPr>
        <w:widowControl/>
      </w:pPr>
      <w:r>
        <w:rPr>
          <w:b/>
          <w:i w:val="0"/>
        </w:rPr>
        <w:t>vita mundi.</w:t>
      </w:r>
      <w:r>
        <w:rPr>
          <w:b w:val="0"/>
          <w:i w:val="0"/>
        </w:rPr>
        <w:t xml:space="preserve"> </w:t>
      </w:r>
      <w:hyperlink w:anchor="latin-record-1375">
        <w:r>
          <w:rPr>
            <w:color w:val="000000"/>
          </w:rPr>
          <w:t xml:space="preserve">vita mundi / novae animae</w:t>
        </w:r>
      </w:hyperlink>
      <w:r>
        <w:rPr>
          <w:b w:val="0"/>
          <w:i w:val="0"/>
        </w:rPr>
        <w:t>.</w:t>
      </w:r>
    </w:p>
    <w:p>
      <w:pPr>
        <w:widowControl/>
      </w:pPr>
      <w:r>
        <w:rPr>
          <w:b/>
          <w:i w:val="0"/>
        </w:rPr>
        <w:t>vitae.</w:t>
      </w:r>
      <w:r>
        <w:rPr>
          <w:b w:val="0"/>
          <w:i w:val="0"/>
        </w:rPr>
        <w:t xml:space="preserve"> </w:t>
      </w:r>
      <w:hyperlink w:anchor="latin-record-1373">
        <w:r>
          <w:rPr>
            <w:color w:val="000000"/>
          </w:rPr>
          <w:t xml:space="preserve">vita</w:t>
        </w:r>
      </w:hyperlink>
      <w:r>
        <w:rPr>
          <w:b w:val="0"/>
          <w:i w:val="0"/>
        </w:rPr>
        <w:t xml:space="preserve">; </w:t>
      </w:r>
      <w:hyperlink w:anchor="latin-record-1374">
        <w:r>
          <w:rPr>
            <w:color w:val="000000"/>
          </w:rPr>
          <w:t xml:space="preserve">vita / vivere</w:t>
        </w:r>
      </w:hyperlink>
      <w:r>
        <w:rPr>
          <w:b w:val="0"/>
          <w:i w:val="0"/>
        </w:rPr>
        <w:t xml:space="preserve">; </w:t>
      </w:r>
      <w:hyperlink w:anchor="latin-record-1377">
        <w:r>
          <w:rPr>
            <w:color w:val="000000"/>
          </w:rPr>
          <w:t xml:space="preserve">vita; vivere</w:t>
        </w:r>
      </w:hyperlink>
      <w:r>
        <w:rPr>
          <w:b w:val="0"/>
          <w:i w:val="0"/>
        </w:rPr>
        <w:t>.</w:t>
      </w:r>
    </w:p>
    <w:p>
      <w:pPr>
        <w:widowControl/>
      </w:pPr>
      <w:r>
        <w:rPr>
          <w:b/>
          <w:i w:val="0"/>
        </w:rPr>
        <w:t>vitalem.</w:t>
      </w:r>
      <w:r>
        <w:rPr>
          <w:b w:val="0"/>
          <w:i w:val="0"/>
        </w:rPr>
        <w:t xml:space="preserve"> </w:t>
      </w:r>
      <w:hyperlink w:anchor="latin-record-0984">
        <w:r>
          <w:rPr>
            <w:color w:val="000000"/>
          </w:rPr>
          <w:t xml:space="preserve">praestare vitam / vitalis</w:t>
        </w:r>
      </w:hyperlink>
      <w:r>
        <w:rPr>
          <w:b w:val="0"/>
          <w:i w:val="0"/>
        </w:rPr>
        <w:t>.</w:t>
      </w:r>
    </w:p>
    <w:p>
      <w:pPr>
        <w:widowControl/>
      </w:pPr>
      <w:r>
        <w:rPr>
          <w:b/>
          <w:i w:val="0"/>
        </w:rPr>
        <w:t>vitali.</w:t>
      </w:r>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vitali intensione.</w:t>
      </w:r>
      <w:r>
        <w:rPr>
          <w:b w:val="0"/>
          <w:i w:val="0"/>
        </w:rPr>
        <w:t xml:space="preserve"> </w:t>
      </w:r>
      <w:hyperlink w:anchor="latin-record-0719">
        <w:r>
          <w:rPr>
            <w:color w:val="000000"/>
          </w:rPr>
          <w:t xml:space="preserve">localis diffusio / vitalis intensio</w:t>
        </w:r>
      </w:hyperlink>
      <w:r>
        <w:rPr>
          <w:b w:val="0"/>
          <w:i w:val="0"/>
        </w:rPr>
        <w:t>.</w:t>
      </w:r>
    </w:p>
    <w:p>
      <w:pPr>
        <w:widowControl/>
      </w:pPr>
      <w:r>
        <w:rPr>
          <w:b/>
          <w:i w:val="0"/>
        </w:rPr>
        <w:t>vitalis harmonia.</w:t>
      </w:r>
      <w:r>
        <w:rPr>
          <w:b w:val="0"/>
          <w:i w:val="0"/>
        </w:rPr>
        <w:t xml:space="preserve"> </w:t>
      </w:r>
      <w:hyperlink w:anchor="latin-record-1382">
        <w:r>
          <w:rPr>
            <w:color w:val="000000"/>
          </w:rPr>
          <w:t xml:space="preserve">vivificus spiritus / vitalis harmonia</w:t>
        </w:r>
      </w:hyperlink>
      <w:r>
        <w:rPr>
          <w:b w:val="0"/>
          <w:i w:val="0"/>
        </w:rPr>
        <w:t>.</w:t>
      </w:r>
    </w:p>
    <w:p>
      <w:pPr>
        <w:widowControl/>
      </w:pPr>
      <w:r>
        <w:rPr>
          <w:b/>
          <w:i w:val="0"/>
        </w:rPr>
        <w:t>vitam.</w:t>
      </w:r>
      <w:r>
        <w:rPr>
          <w:b w:val="0"/>
          <w:i w:val="0"/>
        </w:rPr>
        <w:t xml:space="preserve"> </w:t>
      </w:r>
      <w:hyperlink w:anchor="latin-record-0701">
        <w:r>
          <w:rPr>
            <w:color w:val="000000"/>
          </w:rPr>
          <w:t xml:space="preserve">lapides / prima vita</w:t>
        </w:r>
      </w:hyperlink>
      <w:r>
        <w:rPr>
          <w:b w:val="0"/>
          <w:i w:val="0"/>
        </w:rPr>
        <w:t xml:space="preserve">; </w:t>
      </w:r>
      <w:hyperlink w:anchor="latin-record-0984">
        <w:r>
          <w:rPr>
            <w:color w:val="000000"/>
          </w:rPr>
          <w:t xml:space="preserve">praestare vitam / vitalis</w:t>
        </w:r>
      </w:hyperlink>
      <w:r>
        <w:rPr>
          <w:b w:val="0"/>
          <w:i w:val="0"/>
        </w:rPr>
        <w:t xml:space="preserve">; </w:t>
      </w:r>
      <w:hyperlink w:anchor="latin-record-1373">
        <w:r>
          <w:rPr>
            <w:color w:val="000000"/>
          </w:rPr>
          <w:t xml:space="preserve">vita</w:t>
        </w:r>
      </w:hyperlink>
      <w:r>
        <w:rPr>
          <w:b w:val="0"/>
          <w:i w:val="0"/>
        </w:rPr>
        <w:t xml:space="preserve">; </w:t>
      </w:r>
      <w:hyperlink w:anchor="latin-record-1374">
        <w:r>
          <w:rPr>
            <w:color w:val="000000"/>
          </w:rPr>
          <w:t xml:space="preserve">vita / vivere</w:t>
        </w:r>
      </w:hyperlink>
      <w:r>
        <w:rPr>
          <w:b w:val="0"/>
          <w:i w:val="0"/>
        </w:rPr>
        <w:t xml:space="preserve">; </w:t>
      </w:r>
      <w:hyperlink w:anchor="latin-record-1377">
        <w:r>
          <w:rPr>
            <w:color w:val="000000"/>
          </w:rPr>
          <w:t xml:space="preserve">vita; vivere</w:t>
        </w:r>
      </w:hyperlink>
      <w:r>
        <w:rPr>
          <w:b w:val="0"/>
          <w:i w:val="0"/>
        </w:rPr>
        <w:t>.</w:t>
      </w:r>
    </w:p>
    <w:p>
      <w:pPr>
        <w:widowControl/>
      </w:pPr>
      <w:r>
        <w:rPr>
          <w:b/>
          <w:i w:val="0"/>
        </w:rPr>
        <w:t>vitam ab anima mutuari.</w:t>
      </w:r>
      <w:r>
        <w:rPr>
          <w:b w:val="0"/>
          <w:i w:val="0"/>
        </w:rPr>
        <w:t xml:space="preserve"> </w:t>
      </w:r>
      <w:hyperlink w:anchor="latin-record-0819">
        <w:r>
          <w:rPr>
            <w:color w:val="000000"/>
          </w:rPr>
          <w:t xml:space="preserve">mutuare vitam</w:t>
        </w:r>
      </w:hyperlink>
      <w:r>
        <w:rPr>
          <w:b w:val="0"/>
          <w:i w:val="0"/>
        </w:rPr>
        <w:t>.</w:t>
      </w:r>
    </w:p>
    <w:p>
      <w:pPr>
        <w:widowControl/>
      </w:pPr>
      <w:r>
        <w:rPr>
          <w:b/>
          <w:i w:val="0"/>
        </w:rPr>
        <w:t>vitam animae mutuet.</w:t>
      </w:r>
      <w:r>
        <w:rPr>
          <w:b w:val="0"/>
          <w:i w:val="0"/>
        </w:rPr>
        <w:t xml:space="preserve"> </w:t>
      </w:r>
      <w:hyperlink w:anchor="latin-record-0819">
        <w:r>
          <w:rPr>
            <w:color w:val="000000"/>
          </w:rPr>
          <w:t xml:space="preserve">mutuare vitam</w:t>
        </w:r>
      </w:hyperlink>
      <w:r>
        <w:rPr>
          <w:b w:val="0"/>
          <w:i w:val="0"/>
        </w:rPr>
        <w:t>.</w:t>
      </w:r>
    </w:p>
    <w:p>
      <w:pPr>
        <w:widowControl/>
      </w:pPr>
      <w:r>
        <w:rPr>
          <w:b/>
          <w:i w:val="0"/>
        </w:rPr>
        <w:t>Vivacior.</w:t>
      </w:r>
      <w:r>
        <w:rPr>
          <w:b w:val="0"/>
          <w:i w:val="0"/>
        </w:rPr>
        <w:t xml:space="preserve"> </w:t>
      </w:r>
      <w:hyperlink w:anchor="latin-record-1378">
        <w:r>
          <w:rPr>
            <w:color w:val="000000"/>
          </w:rPr>
          <w:t xml:space="preserve">vivax / audens / robustus</w:t>
        </w:r>
      </w:hyperlink>
      <w:r>
        <w:rPr>
          <w:b w:val="0"/>
          <w:i w:val="0"/>
        </w:rPr>
        <w:t>.</w:t>
      </w:r>
    </w:p>
    <w:p>
      <w:pPr>
        <w:widowControl/>
      </w:pPr>
      <w:r>
        <w:rPr>
          <w:b/>
          <w:i w:val="0"/>
        </w:rPr>
        <w:t>vivae carnis.</w:t>
      </w:r>
      <w:r>
        <w:rPr>
          <w:b w:val="0"/>
          <w:i w:val="0"/>
        </w:rPr>
        <w:t xml:space="preserve"> </w:t>
      </w:r>
      <w:hyperlink w:anchor="latin-record-0214">
        <w:r>
          <w:rPr>
            <w:color w:val="000000"/>
          </w:rPr>
          <w:t xml:space="preserve">cibus / nutrimentum / viva caro</w:t>
        </w:r>
      </w:hyperlink>
      <w:r>
        <w:rPr>
          <w:b w:val="0"/>
          <w:i w:val="0"/>
        </w:rPr>
        <w:t>.</w:t>
      </w:r>
    </w:p>
    <w:p>
      <w:pPr>
        <w:widowControl/>
      </w:pPr>
      <w:r>
        <w:rPr>
          <w:b/>
          <w:i w:val="0"/>
        </w:rPr>
        <w:t>vivant.</w:t>
      </w:r>
      <w:r>
        <w:rPr>
          <w:b w:val="0"/>
          <w:i w:val="0"/>
        </w:rPr>
        <w:t xml:space="preserve"> </w:t>
      </w:r>
      <w:hyperlink w:anchor="latin-record-1377">
        <w:r>
          <w:rPr>
            <w:color w:val="000000"/>
          </w:rPr>
          <w:t xml:space="preserve">vita; vivere</w:t>
        </w:r>
      </w:hyperlink>
      <w:r>
        <w:rPr>
          <w:b w:val="0"/>
          <w:i w:val="0"/>
        </w:rPr>
        <w:t xml:space="preserve">; </w:t>
      </w:r>
      <w:hyperlink w:anchor="latin-record-1379">
        <w:r>
          <w:rPr>
            <w:color w:val="000000"/>
          </w:rPr>
          <w:t xml:space="preserve">vivere</w:t>
        </w:r>
      </w:hyperlink>
      <w:r>
        <w:rPr>
          <w:b w:val="0"/>
          <w:i w:val="0"/>
        </w:rPr>
        <w:t>.</w:t>
      </w:r>
    </w:p>
    <w:p>
      <w:pPr>
        <w:widowControl/>
      </w:pPr>
      <w:r>
        <w:rPr>
          <w:b/>
          <w:i w:val="0"/>
        </w:rPr>
        <w:t>vivat.</w:t>
      </w:r>
      <w:r>
        <w:rPr>
          <w:b w:val="0"/>
          <w:i w:val="0"/>
        </w:rPr>
        <w:t xml:space="preserve"> </w:t>
      </w:r>
      <w:hyperlink w:anchor="latin-record-1379">
        <w:r>
          <w:rPr>
            <w:color w:val="000000"/>
          </w:rPr>
          <w:t xml:space="preserve">vivere</w:t>
        </w:r>
      </w:hyperlink>
      <w:r>
        <w:rPr>
          <w:b w:val="0"/>
          <w:i w:val="0"/>
        </w:rPr>
        <w:t>.</w:t>
      </w:r>
    </w:p>
    <w:p>
      <w:pPr>
        <w:widowControl/>
      </w:pPr>
      <w:r>
        <w:rPr>
          <w:b/>
          <w:i w:val="0"/>
        </w:rPr>
        <w:t>vivendi.</w:t>
      </w:r>
      <w:r>
        <w:rPr>
          <w:b w:val="0"/>
          <w:i w:val="0"/>
        </w:rPr>
        <w:t xml:space="preserve"> </w:t>
      </w:r>
      <w:hyperlink w:anchor="latin-record-1374">
        <w:r>
          <w:rPr>
            <w:color w:val="000000"/>
          </w:rPr>
          <w:t xml:space="preserve">vita / vivere</w:t>
        </w:r>
      </w:hyperlink>
      <w:r>
        <w:rPr>
          <w:b w:val="0"/>
          <w:i w:val="0"/>
        </w:rPr>
        <w:t xml:space="preserve">; </w:t>
      </w:r>
      <w:hyperlink w:anchor="latin-record-1379">
        <w:r>
          <w:rPr>
            <w:color w:val="000000"/>
          </w:rPr>
          <w:t xml:space="preserve">vivere</w:t>
        </w:r>
      </w:hyperlink>
      <w:r>
        <w:rPr>
          <w:b w:val="0"/>
          <w:i w:val="0"/>
        </w:rPr>
        <w:t>.</w:t>
      </w:r>
    </w:p>
    <w:p>
      <w:pPr>
        <w:widowControl/>
      </w:pPr>
      <w:r>
        <w:rPr>
          <w:b/>
          <w:i w:val="0"/>
        </w:rPr>
        <w:t>vivendo.</w:t>
      </w:r>
      <w:r>
        <w:rPr>
          <w:b w:val="0"/>
          <w:i w:val="0"/>
        </w:rPr>
        <w:t xml:space="preserve"> </w:t>
      </w:r>
      <w:hyperlink w:anchor="latin-record-1374">
        <w:r>
          <w:rPr>
            <w:color w:val="000000"/>
          </w:rPr>
          <w:t xml:space="preserve">vita / vivere</w:t>
        </w:r>
      </w:hyperlink>
      <w:r>
        <w:rPr>
          <w:b w:val="0"/>
          <w:i w:val="0"/>
        </w:rPr>
        <w:t>.</w:t>
      </w:r>
    </w:p>
    <w:p>
      <w:pPr>
        <w:widowControl/>
      </w:pPr>
      <w:r>
        <w:rPr>
          <w:b/>
          <w:i w:val="0"/>
        </w:rPr>
        <w:t>vivens.</w:t>
      </w:r>
      <w:r>
        <w:rPr>
          <w:b w:val="0"/>
          <w:i w:val="0"/>
        </w:rPr>
        <w:t xml:space="preserve"> </w:t>
      </w:r>
      <w:hyperlink w:anchor="latin-record-0100">
        <w:r>
          <w:rPr>
            <w:color w:val="000000"/>
          </w:rPr>
          <w:t xml:space="preserve">animale; vivens; vivificatum</w:t>
        </w:r>
      </w:hyperlink>
      <w:r>
        <w:rPr>
          <w:b w:val="0"/>
          <w:i w:val="0"/>
        </w:rPr>
        <w:t xml:space="preserve">; </w:t>
      </w:r>
      <w:hyperlink w:anchor="latin-record-1377">
        <w:r>
          <w:rPr>
            <w:color w:val="000000"/>
          </w:rPr>
          <w:t xml:space="preserve">vita; vivere</w:t>
        </w:r>
      </w:hyperlink>
      <w:r>
        <w:rPr>
          <w:b w:val="0"/>
          <w:i w:val="0"/>
        </w:rPr>
        <w:t xml:space="preserve">; </w:t>
      </w:r>
      <w:hyperlink w:anchor="latin-record-1379">
        <w:r>
          <w:rPr>
            <w:color w:val="000000"/>
          </w:rPr>
          <w:t xml:space="preserve">vivere</w:t>
        </w:r>
      </w:hyperlink>
      <w:r>
        <w:rPr>
          <w:b w:val="0"/>
          <w:i w:val="0"/>
        </w:rPr>
        <w:t>.</w:t>
      </w:r>
    </w:p>
    <w:p>
      <w:pPr>
        <w:widowControl/>
      </w:pPr>
      <w:r>
        <w:rPr>
          <w:b/>
          <w:i w:val="0"/>
        </w:rPr>
        <w:t>vivent.</w:t>
      </w:r>
      <w:r>
        <w:rPr>
          <w:b w:val="0"/>
          <w:i w:val="0"/>
        </w:rPr>
        <w:t xml:space="preserve"> </w:t>
      </w:r>
      <w:hyperlink w:anchor="latin-record-1379">
        <w:r>
          <w:rPr>
            <w:color w:val="000000"/>
          </w:rPr>
          <w:t xml:space="preserve">vivere</w:t>
        </w:r>
      </w:hyperlink>
      <w:r>
        <w:rPr>
          <w:b w:val="0"/>
          <w:i w:val="0"/>
        </w:rPr>
        <w:t>.</w:t>
      </w:r>
    </w:p>
    <w:p>
      <w:pPr>
        <w:widowControl/>
      </w:pPr>
      <w:r>
        <w:rPr>
          <w:b/>
          <w:i w:val="0"/>
        </w:rPr>
        <w:t>vivente.</w:t>
      </w:r>
      <w:r>
        <w:rPr>
          <w:b w:val="0"/>
          <w:i w:val="0"/>
        </w:rPr>
        <w:t xml:space="preserve"> </w:t>
      </w:r>
      <w:hyperlink w:anchor="latin-record-1379">
        <w:r>
          <w:rPr>
            <w:color w:val="000000"/>
          </w:rPr>
          <w:t xml:space="preserve">vivere</w:t>
        </w:r>
      </w:hyperlink>
      <w:r>
        <w:rPr>
          <w:b w:val="0"/>
          <w:i w:val="0"/>
        </w:rPr>
        <w:t>.</w:t>
      </w:r>
    </w:p>
    <w:p>
      <w:pPr>
        <w:widowControl/>
      </w:pPr>
      <w:r>
        <w:rPr>
          <w:b/>
          <w:i w:val="0"/>
        </w:rPr>
        <w:t>viventem.</w:t>
      </w:r>
      <w:r>
        <w:rPr>
          <w:b w:val="0"/>
          <w:i w:val="0"/>
        </w:rPr>
        <w:t xml:space="preserve"> </w:t>
      </w:r>
      <w:hyperlink w:anchor="latin-record-1379">
        <w:r>
          <w:rPr>
            <w:color w:val="000000"/>
          </w:rPr>
          <w:t xml:space="preserve">vivere</w:t>
        </w:r>
      </w:hyperlink>
      <w:r>
        <w:rPr>
          <w:b w:val="0"/>
          <w:i w:val="0"/>
        </w:rPr>
        <w:t>.</w:t>
      </w:r>
    </w:p>
    <w:p>
      <w:pPr>
        <w:widowControl/>
      </w:pPr>
      <w:r>
        <w:rPr>
          <w:b/>
          <w:i w:val="0"/>
        </w:rPr>
        <w:t>viventia.</w:t>
      </w:r>
      <w:r>
        <w:rPr>
          <w:b w:val="0"/>
          <w:i w:val="0"/>
        </w:rPr>
        <w:t xml:space="preserve"> </w:t>
      </w:r>
      <w:hyperlink w:anchor="latin-record-1374">
        <w:r>
          <w:rPr>
            <w:color w:val="000000"/>
          </w:rPr>
          <w:t xml:space="preserve">vita / vivere</w:t>
        </w:r>
      </w:hyperlink>
      <w:r>
        <w:rPr>
          <w:b w:val="0"/>
          <w:i w:val="0"/>
        </w:rPr>
        <w:t xml:space="preserve">; </w:t>
      </w:r>
      <w:hyperlink w:anchor="latin-record-1377">
        <w:r>
          <w:rPr>
            <w:color w:val="000000"/>
          </w:rPr>
          <w:t xml:space="preserve">vita; vivere</w:t>
        </w:r>
      </w:hyperlink>
      <w:r>
        <w:rPr>
          <w:b w:val="0"/>
          <w:i w:val="0"/>
        </w:rPr>
        <w:t>.</w:t>
      </w:r>
    </w:p>
    <w:p>
      <w:pPr>
        <w:widowControl/>
      </w:pPr>
      <w:r>
        <w:rPr>
          <w:b/>
          <w:i w:val="0"/>
        </w:rPr>
        <w:t>viventium.</w:t>
      </w:r>
      <w:r>
        <w:rPr>
          <w:b w:val="0"/>
          <w:i w:val="0"/>
        </w:rPr>
        <w:t xml:space="preserve"> </w:t>
      </w:r>
      <w:hyperlink w:anchor="latin-record-1379">
        <w:r>
          <w:rPr>
            <w:color w:val="000000"/>
          </w:rPr>
          <w:t xml:space="preserve">vivere</w:t>
        </w:r>
      </w:hyperlink>
      <w:r>
        <w:rPr>
          <w:b w:val="0"/>
          <w:i w:val="0"/>
        </w:rPr>
        <w:t>.</w:t>
      </w:r>
    </w:p>
    <w:p>
      <w:pPr>
        <w:widowControl/>
      </w:pPr>
      <w:r>
        <w:rPr>
          <w:b/>
          <w:i w:val="0"/>
        </w:rPr>
        <w:t>vivere.</w:t>
      </w:r>
      <w:r>
        <w:rPr>
          <w:b w:val="0"/>
          <w:i w:val="0"/>
        </w:rPr>
        <w:t xml:space="preserve"> </w:t>
      </w:r>
      <w:hyperlink w:anchor="latin-record-1374">
        <w:r>
          <w:rPr>
            <w:color w:val="000000"/>
          </w:rPr>
          <w:t xml:space="preserve">vita / vivere</w:t>
        </w:r>
      </w:hyperlink>
      <w:r>
        <w:rPr>
          <w:b w:val="0"/>
          <w:i w:val="0"/>
        </w:rPr>
        <w:t xml:space="preserve">; </w:t>
      </w:r>
      <w:hyperlink w:anchor="latin-record-1377">
        <w:r>
          <w:rPr>
            <w:color w:val="000000"/>
          </w:rPr>
          <w:t xml:space="preserve">vita; vivere</w:t>
        </w:r>
      </w:hyperlink>
      <w:r>
        <w:rPr>
          <w:b w:val="0"/>
          <w:i w:val="0"/>
        </w:rPr>
        <w:t xml:space="preserve">; </w:t>
      </w:r>
      <w:hyperlink w:anchor="latin-record-1379">
        <w:r>
          <w:rPr>
            <w:color w:val="000000"/>
          </w:rPr>
          <w:t xml:space="preserve">vivere</w:t>
        </w:r>
      </w:hyperlink>
      <w:r>
        <w:rPr>
          <w:b w:val="0"/>
          <w:i w:val="0"/>
        </w:rPr>
        <w:t>.</w:t>
      </w:r>
    </w:p>
    <w:p>
      <w:pPr>
        <w:widowControl/>
      </w:pPr>
      <w:r>
        <w:rPr>
          <w:b/>
          <w:i w:val="0"/>
        </w:rPr>
        <w:t>viveret.</w:t>
      </w:r>
      <w:r>
        <w:rPr>
          <w:b w:val="0"/>
          <w:i w:val="0"/>
        </w:rPr>
        <w:t xml:space="preserve"> </w:t>
      </w:r>
      <w:hyperlink w:anchor="latin-record-1377">
        <w:r>
          <w:rPr>
            <w:color w:val="000000"/>
          </w:rPr>
          <w:t xml:space="preserve">vita; vivere</w:t>
        </w:r>
      </w:hyperlink>
      <w:r>
        <w:rPr>
          <w:b w:val="0"/>
          <w:i w:val="0"/>
        </w:rPr>
        <w:t>.</w:t>
      </w:r>
    </w:p>
    <w:p>
      <w:pPr>
        <w:widowControl/>
      </w:pPr>
      <w:r>
        <w:rPr>
          <w:b/>
          <w:i w:val="0"/>
        </w:rPr>
        <w:t>vivet.</w:t>
      </w:r>
      <w:r>
        <w:rPr>
          <w:b w:val="0"/>
          <w:i w:val="0"/>
        </w:rPr>
        <w:t xml:space="preserve"> </w:t>
      </w:r>
      <w:hyperlink w:anchor="latin-record-1374">
        <w:r>
          <w:rPr>
            <w:color w:val="000000"/>
          </w:rPr>
          <w:t xml:space="preserve">vita / vivere</w:t>
        </w:r>
      </w:hyperlink>
      <w:r>
        <w:rPr>
          <w:b w:val="0"/>
          <w:i w:val="0"/>
        </w:rPr>
        <w:t>.</w:t>
      </w:r>
    </w:p>
    <w:p>
      <w:pPr>
        <w:widowControl/>
      </w:pPr>
      <w:r>
        <w:rPr>
          <w:b/>
          <w:i w:val="0"/>
        </w:rPr>
        <w:t>vivifica.</w:t>
      </w:r>
      <w:r>
        <w:rPr>
          <w:b w:val="0"/>
          <w:i w:val="0"/>
        </w:rPr>
        <w:t xml:space="preserve"> </w:t>
      </w:r>
      <w:hyperlink w:anchor="latin-record-1380">
        <w:r>
          <w:rPr>
            <w:color w:val="000000"/>
          </w:rPr>
          <w:t xml:space="preserve">vivificare</w:t>
        </w:r>
      </w:hyperlink>
      <w:r>
        <w:rPr>
          <w:b w:val="0"/>
          <w:i w:val="0"/>
        </w:rPr>
        <w:t>.</w:t>
      </w:r>
    </w:p>
    <w:p>
      <w:pPr>
        <w:widowControl/>
      </w:pPr>
      <w:r>
        <w:rPr>
          <w:b/>
          <w:i w:val="0"/>
        </w:rPr>
        <w:t>vivificam.</w:t>
      </w:r>
      <w:r>
        <w:rPr>
          <w:b w:val="0"/>
          <w:i w:val="0"/>
        </w:rPr>
        <w:t xml:space="preserve"> </w:t>
      </w:r>
      <w:hyperlink w:anchor="latin-record-0508">
        <w:r>
          <w:rPr>
            <w:color w:val="000000"/>
          </w:rPr>
          <w:t xml:space="preserve">forma vivifica</w:t>
        </w:r>
      </w:hyperlink>
      <w:r>
        <w:rPr>
          <w:b w:val="0"/>
          <w:i w:val="0"/>
        </w:rPr>
        <w:t xml:space="preserve">; </w:t>
      </w:r>
      <w:hyperlink w:anchor="latin-record-1380">
        <w:r>
          <w:rPr>
            <w:color w:val="000000"/>
          </w:rPr>
          <w:t xml:space="preserve">vivificare</w:t>
        </w:r>
      </w:hyperlink>
      <w:r>
        <w:rPr>
          <w:b w:val="0"/>
          <w:i w:val="0"/>
        </w:rPr>
        <w:t>.</w:t>
      </w:r>
    </w:p>
    <w:p>
      <w:pPr>
        <w:widowControl/>
      </w:pPr>
      <w:r>
        <w:rPr>
          <w:b/>
          <w:i w:val="0"/>
        </w:rPr>
        <w:t>vivificando.</w:t>
      </w:r>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vivificare.</w:t>
      </w:r>
      <w:r>
        <w:rPr>
          <w:b w:val="0"/>
          <w:i w:val="0"/>
        </w:rPr>
        <w:t xml:space="preserve"> </w:t>
      </w:r>
      <w:hyperlink w:anchor="latin-record-1374">
        <w:r>
          <w:rPr>
            <w:color w:val="000000"/>
          </w:rPr>
          <w:t xml:space="preserve">vita / vivere</w:t>
        </w:r>
      </w:hyperlink>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Vivificare.</w:t>
      </w:r>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vivificat.</w:t>
      </w:r>
      <w:r>
        <w:rPr>
          <w:b w:val="0"/>
          <w:i w:val="0"/>
        </w:rPr>
        <w:t xml:space="preserve"> </w:t>
      </w:r>
      <w:hyperlink w:anchor="latin-record-1380">
        <w:r>
          <w:rPr>
            <w:color w:val="000000"/>
          </w:rPr>
          <w:t xml:space="preserve">vivificare</w:t>
        </w:r>
      </w:hyperlink>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vivificatio.</w:t>
      </w:r>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vivificationemque.</w:t>
      </w:r>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vivificatum.</w:t>
      </w:r>
      <w:r>
        <w:rPr>
          <w:b w:val="0"/>
          <w:i w:val="0"/>
        </w:rPr>
        <w:t xml:space="preserve"> </w:t>
      </w:r>
      <w:hyperlink w:anchor="latin-record-0100">
        <w:r>
          <w:rPr>
            <w:color w:val="000000"/>
          </w:rPr>
          <w:t xml:space="preserve">animale; vivens; vivificatum</w:t>
        </w:r>
      </w:hyperlink>
      <w:r>
        <w:rPr>
          <w:b w:val="0"/>
          <w:i w:val="0"/>
        </w:rPr>
        <w:t xml:space="preserve">; </w:t>
      </w:r>
      <w:hyperlink w:anchor="latin-record-1380">
        <w:r>
          <w:rPr>
            <w:color w:val="000000"/>
          </w:rPr>
          <w:t xml:space="preserve">vivificare</w:t>
        </w:r>
      </w:hyperlink>
      <w:r>
        <w:rPr>
          <w:b w:val="0"/>
          <w:i w:val="0"/>
        </w:rPr>
        <w:t>.</w:t>
      </w:r>
    </w:p>
    <w:p>
      <w:pPr>
        <w:widowControl/>
      </w:pPr>
      <w:r>
        <w:rPr>
          <w:b/>
          <w:i w:val="0"/>
        </w:rPr>
        <w:t>vivificet.</w:t>
      </w:r>
      <w:r>
        <w:rPr>
          <w:b w:val="0"/>
          <w:i w:val="0"/>
        </w:rPr>
        <w:t xml:space="preserve"> </w:t>
      </w:r>
      <w:hyperlink w:anchor="latin-record-1380">
        <w:r>
          <w:rPr>
            <w:color w:val="000000"/>
          </w:rPr>
          <w:t xml:space="preserve">vivificare</w:t>
        </w:r>
      </w:hyperlink>
      <w:r>
        <w:rPr>
          <w:b w:val="0"/>
          <w:i w:val="0"/>
        </w:rPr>
        <w:t xml:space="preserve">; </w:t>
      </w:r>
      <w:hyperlink w:anchor="latin-record-1381">
        <w:r>
          <w:rPr>
            <w:color w:val="000000"/>
          </w:rPr>
          <w:t xml:space="preserve">vivificare / vivificatio</w:t>
        </w:r>
      </w:hyperlink>
      <w:r>
        <w:rPr>
          <w:b w:val="0"/>
          <w:i w:val="0"/>
        </w:rPr>
        <w:t>.</w:t>
      </w:r>
    </w:p>
    <w:p>
      <w:pPr>
        <w:widowControl/>
      </w:pPr>
      <w:r>
        <w:rPr>
          <w:b/>
          <w:i w:val="0"/>
        </w:rPr>
        <w:t>vivifico spiritu.</w:t>
      </w:r>
      <w:r>
        <w:rPr>
          <w:b w:val="0"/>
          <w:i w:val="0"/>
        </w:rPr>
        <w:t xml:space="preserve"> </w:t>
      </w:r>
      <w:hyperlink w:anchor="latin-record-1382">
        <w:r>
          <w:rPr>
            <w:color w:val="000000"/>
          </w:rPr>
          <w:t xml:space="preserve">vivificus spiritus / vitalis harmonia</w:t>
        </w:r>
      </w:hyperlink>
      <w:r>
        <w:rPr>
          <w:b w:val="0"/>
          <w:i w:val="0"/>
        </w:rPr>
        <w:t>.</w:t>
      </w:r>
    </w:p>
    <w:p>
      <w:pPr>
        <w:widowControl/>
      </w:pPr>
      <w:r>
        <w:rPr>
          <w:b/>
          <w:i w:val="0"/>
        </w:rPr>
        <w:t>vivificum.</w:t>
      </w:r>
      <w:r>
        <w:rPr>
          <w:b w:val="0"/>
          <w:i w:val="0"/>
        </w:rPr>
        <w:t xml:space="preserve"> </w:t>
      </w:r>
      <w:hyperlink w:anchor="latin-record-1380">
        <w:r>
          <w:rPr>
            <w:color w:val="000000"/>
          </w:rPr>
          <w:t xml:space="preserve">vivificare</w:t>
        </w:r>
      </w:hyperlink>
      <w:r>
        <w:rPr>
          <w:b w:val="0"/>
          <w:i w:val="0"/>
        </w:rPr>
        <w:t>.</w:t>
      </w:r>
    </w:p>
    <w:p>
      <w:pPr>
        <w:widowControl/>
      </w:pPr>
      <w:r>
        <w:rPr>
          <w:b/>
          <w:i w:val="0"/>
        </w:rPr>
        <w:t>Vivit.</w:t>
      </w:r>
      <w:r>
        <w:rPr>
          <w:b w:val="0"/>
          <w:i w:val="0"/>
        </w:rPr>
        <w:t xml:space="preserve"> </w:t>
      </w:r>
      <w:hyperlink w:anchor="latin-record-1374">
        <w:r>
          <w:rPr>
            <w:color w:val="000000"/>
          </w:rPr>
          <w:t xml:space="preserve">vita / vivere</w:t>
        </w:r>
      </w:hyperlink>
      <w:r>
        <w:rPr>
          <w:b w:val="0"/>
          <w:i w:val="0"/>
        </w:rPr>
        <w:t>.</w:t>
      </w:r>
    </w:p>
    <w:p>
      <w:pPr>
        <w:widowControl/>
      </w:pPr>
      <w:r>
        <w:rPr>
          <w:b/>
          <w:i w:val="0"/>
        </w:rPr>
        <w:t>vivit.</w:t>
      </w:r>
      <w:r>
        <w:rPr>
          <w:b w:val="0"/>
          <w:i w:val="0"/>
        </w:rPr>
        <w:t xml:space="preserve"> </w:t>
      </w:r>
      <w:hyperlink w:anchor="latin-record-1374">
        <w:r>
          <w:rPr>
            <w:color w:val="000000"/>
          </w:rPr>
          <w:t xml:space="preserve">vita / vivere</w:t>
        </w:r>
      </w:hyperlink>
      <w:r>
        <w:rPr>
          <w:b w:val="0"/>
          <w:i w:val="0"/>
        </w:rPr>
        <w:t xml:space="preserve">; </w:t>
      </w:r>
      <w:hyperlink w:anchor="latin-record-1377">
        <w:r>
          <w:rPr>
            <w:color w:val="000000"/>
          </w:rPr>
          <w:t xml:space="preserve">vita; vivere</w:t>
        </w:r>
      </w:hyperlink>
      <w:r>
        <w:rPr>
          <w:b w:val="0"/>
          <w:i w:val="0"/>
        </w:rPr>
        <w:t xml:space="preserve">; </w:t>
      </w:r>
      <w:hyperlink w:anchor="latin-record-1379">
        <w:r>
          <w:rPr>
            <w:color w:val="000000"/>
          </w:rPr>
          <w:t xml:space="preserve">vivere</w:t>
        </w:r>
      </w:hyperlink>
      <w:r>
        <w:rPr>
          <w:b w:val="0"/>
          <w:i w:val="0"/>
        </w:rPr>
        <w:t>.</w:t>
      </w:r>
    </w:p>
    <w:p>
      <w:pPr>
        <w:widowControl/>
      </w:pPr>
      <w:r>
        <w:rPr>
          <w:b/>
          <w:i w:val="0"/>
        </w:rPr>
        <w:t>vivos.</w:t>
      </w:r>
      <w:r>
        <w:rPr>
          <w:b w:val="0"/>
          <w:i w:val="0"/>
        </w:rPr>
        <w:t xml:space="preserve"> </w:t>
      </w:r>
      <w:hyperlink w:anchor="latin-record-0701">
        <w:r>
          <w:rPr>
            <w:color w:val="000000"/>
          </w:rPr>
          <w:t xml:space="preserve">lapides / prima vita</w:t>
        </w:r>
      </w:hyperlink>
      <w:r>
        <w:rPr>
          <w:b w:val="0"/>
          <w:i w:val="0"/>
        </w:rPr>
        <w:t>.</w:t>
      </w:r>
    </w:p>
    <w:p>
      <w:pPr>
        <w:widowControl/>
      </w:pPr>
      <w:r>
        <w:rPr>
          <w:b/>
          <w:i w:val="0"/>
        </w:rPr>
        <w:t>vivunt.</w:t>
      </w:r>
      <w:r>
        <w:rPr>
          <w:b w:val="0"/>
          <w:i w:val="0"/>
        </w:rPr>
        <w:t xml:space="preserve"> </w:t>
      </w:r>
      <w:hyperlink w:anchor="latin-record-1377">
        <w:r>
          <w:rPr>
            <w:color w:val="000000"/>
          </w:rPr>
          <w:t xml:space="preserve">vita; vivere</w:t>
        </w:r>
      </w:hyperlink>
      <w:r>
        <w:rPr>
          <w:b w:val="0"/>
          <w:i w:val="0"/>
        </w:rPr>
        <w:t xml:space="preserve">; </w:t>
      </w:r>
      <w:hyperlink w:anchor="latin-record-1379">
        <w:r>
          <w:rPr>
            <w:color w:val="000000"/>
          </w:rPr>
          <w:t xml:space="preserve">vivere</w:t>
        </w:r>
      </w:hyperlink>
      <w:r>
        <w:rPr>
          <w:b w:val="0"/>
          <w:i w:val="0"/>
        </w:rPr>
        <w:t>.</w:t>
      </w:r>
    </w:p>
    <w:p>
      <w:pPr>
        <w:widowControl/>
      </w:pPr>
      <w:r>
        <w:rPr>
          <w:b/>
          <w:i w:val="0"/>
        </w:rPr>
        <w:t>Vivunt.</w:t>
      </w:r>
      <w:r>
        <w:rPr>
          <w:b w:val="0"/>
          <w:i w:val="0"/>
        </w:rPr>
        <w:t xml:space="preserve"> </w:t>
      </w:r>
      <w:hyperlink w:anchor="latin-record-1379">
        <w:r>
          <w:rPr>
            <w:color w:val="000000"/>
          </w:rPr>
          <w:t xml:space="preserve">vivere</w:t>
        </w:r>
      </w:hyperlink>
      <w:r>
        <w:rPr>
          <w:b w:val="0"/>
          <w:i w:val="0"/>
        </w:rPr>
        <w:t>.</w:t>
      </w:r>
    </w:p>
    <w:p>
      <w:pPr>
        <w:widowControl/>
      </w:pPr>
      <w:r>
        <w:rPr>
          <w:b/>
          <w:i w:val="0"/>
        </w:rPr>
        <w:t>vix.</w:t>
      </w:r>
      <w:r>
        <w:rPr>
          <w:b w:val="0"/>
          <w:i w:val="0"/>
        </w:rPr>
        <w:t xml:space="preserve"> </w:t>
      </w:r>
      <w:hyperlink w:anchor="latin-record-1236">
        <w:r>
          <w:rPr>
            <w:color w:val="000000"/>
          </w:rPr>
          <w:t xml:space="preserve">statim; subito; paulatim</w:t>
        </w:r>
      </w:hyperlink>
      <w:r>
        <w:rPr>
          <w:b w:val="0"/>
          <w:i w:val="0"/>
        </w:rPr>
        <w:t>.</w:t>
      </w:r>
    </w:p>
    <w:p>
      <w:pPr>
        <w:widowControl/>
      </w:pPr>
      <w:r>
        <w:rPr>
          <w:b/>
          <w:i w:val="0"/>
        </w:rPr>
        <w:t>vixerat.</w:t>
      </w:r>
      <w:r>
        <w:rPr>
          <w:b w:val="0"/>
          <w:i w:val="0"/>
        </w:rPr>
        <w:t xml:space="preserve"> </w:t>
      </w:r>
      <w:hyperlink w:anchor="latin-record-1379">
        <w:r>
          <w:rPr>
            <w:color w:val="000000"/>
          </w:rPr>
          <w:t xml:space="preserve">vivere</w:t>
        </w:r>
      </w:hyperlink>
      <w:r>
        <w:rPr>
          <w:b w:val="0"/>
          <w:i w:val="0"/>
        </w:rPr>
        <w:t>.</w:t>
      </w:r>
    </w:p>
    <w:p>
      <w:pPr>
        <w:widowControl/>
      </w:pPr>
      <w:r>
        <w:rPr>
          <w:b/>
          <w:i w:val="0"/>
        </w:rPr>
        <w:t>vixit.</w:t>
      </w:r>
      <w:r>
        <w:rPr>
          <w:b w:val="0"/>
          <w:i w:val="0"/>
        </w:rPr>
        <w:t xml:space="preserve"> </w:t>
      </w:r>
      <w:hyperlink w:anchor="latin-record-1379">
        <w:r>
          <w:rPr>
            <w:color w:val="000000"/>
          </w:rPr>
          <w:t xml:space="preserve">vivere</w:t>
        </w:r>
      </w:hyperlink>
      <w:r>
        <w:rPr>
          <w:b w:val="0"/>
          <w:i w:val="0"/>
        </w:rPr>
        <w:t>.</w:t>
      </w:r>
    </w:p>
    <w:p>
      <w:pPr>
        <w:widowControl/>
      </w:pPr>
      <w:r>
        <w:rPr>
          <w:b/>
          <w:i w:val="0"/>
        </w:rPr>
        <w:t>vocant.</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vocantur.</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vocatur.</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Vocatur.</w:t>
      </w:r>
      <w:r>
        <w:rPr>
          <w:b w:val="0"/>
          <w:i w:val="0"/>
        </w:rPr>
        <w:t xml:space="preserve"> </w:t>
      </w:r>
      <w:hyperlink w:anchor="latin-record-0379">
        <w:r>
          <w:rPr>
            <w:color w:val="000000"/>
          </w:rPr>
          <w:t xml:space="preserve">dicere / loqui / vocare</w:t>
        </w:r>
      </w:hyperlink>
      <w:r>
        <w:rPr>
          <w:b w:val="0"/>
          <w:i w:val="0"/>
        </w:rPr>
        <w:t>.</w:t>
      </w:r>
    </w:p>
    <w:p>
      <w:pPr>
        <w:widowControl/>
      </w:pPr>
      <w:r>
        <w:rPr>
          <w:b/>
          <w:i w:val="0"/>
        </w:rPr>
        <w:t>voce.</w:t>
      </w:r>
      <w:r>
        <w:rPr>
          <w:b w:val="0"/>
          <w:i w:val="0"/>
        </w:rPr>
        <w:t xml:space="preserve"> </w:t>
      </w:r>
      <w:hyperlink w:anchor="latin-record-1003">
        <w:r>
          <w:rPr>
            <w:color w:val="000000"/>
          </w:rPr>
          <w:t xml:space="preserve">procerus / frons / humerus / glaucus / aquilinus</w:t>
        </w:r>
      </w:hyperlink>
      <w:r>
        <w:rPr>
          <w:b w:val="0"/>
          <w:i w:val="0"/>
        </w:rPr>
        <w:t>.</w:t>
      </w:r>
    </w:p>
    <w:p>
      <w:pPr>
        <w:widowControl/>
      </w:pPr>
      <w:r>
        <w:rPr>
          <w:b/>
          <w:i w:val="0"/>
        </w:rPr>
        <w:t>vocem.</w:t>
      </w:r>
      <w:r>
        <w:rPr>
          <w:b w:val="0"/>
          <w:i w:val="0"/>
        </w:rPr>
        <w:t xml:space="preserve"> </w:t>
      </w:r>
      <w:hyperlink w:anchor="latin-record-0239">
        <w:r>
          <w:rPr>
            <w:color w:val="000000"/>
          </w:rPr>
          <w:t xml:space="preserve">color / vox / odor</w:t>
        </w:r>
      </w:hyperlink>
      <w:r>
        <w:rPr>
          <w:b w:val="0"/>
          <w:i w:val="0"/>
        </w:rPr>
        <w:t xml:space="preserve">; </w:t>
      </w:r>
      <w:hyperlink w:anchor="latin-record-0737">
        <w:r>
          <w:rPr>
            <w:color w:val="000000"/>
          </w:rPr>
          <w:t xml:space="preserve">lux / tenebrae / vox / silentium</w:t>
        </w:r>
      </w:hyperlink>
      <w:r>
        <w:rPr>
          <w:b w:val="0"/>
          <w:i w:val="0"/>
        </w:rPr>
        <w:t xml:space="preserve">; </w:t>
      </w:r>
      <w:hyperlink w:anchor="latin-record-1388">
        <w:r>
          <w:rPr>
            <w:color w:val="000000"/>
          </w:rPr>
          <w:t xml:space="preserve">vox; odor; sapor</w:t>
        </w:r>
      </w:hyperlink>
      <w:r>
        <w:rPr>
          <w:b w:val="0"/>
          <w:i w:val="0"/>
        </w:rPr>
        <w:t>.</w:t>
      </w:r>
    </w:p>
    <w:p>
      <w:pPr>
        <w:widowControl/>
      </w:pPr>
      <w:r>
        <w:rPr>
          <w:b/>
          <w:i w:val="0"/>
        </w:rPr>
        <w:t>voces.</w:t>
      </w:r>
      <w:r>
        <w:rPr>
          <w:b w:val="0"/>
          <w:i w:val="0"/>
        </w:rPr>
        <w:t xml:space="preserve"> </w:t>
      </w:r>
      <w:hyperlink w:anchor="latin-record-0239">
        <w:r>
          <w:rPr>
            <w:color w:val="000000"/>
          </w:rPr>
          <w:t xml:space="preserve">color / vox / odor</w:t>
        </w:r>
      </w:hyperlink>
      <w:r>
        <w:rPr>
          <w:b w:val="0"/>
          <w:i w:val="0"/>
        </w:rPr>
        <w:t>.</w:t>
      </w:r>
    </w:p>
    <w:p>
      <w:pPr>
        <w:widowControl/>
      </w:pPr>
      <w:r>
        <w:rPr>
          <w:b/>
          <w:i w:val="0"/>
        </w:rPr>
        <w:t>vocum.</w:t>
      </w:r>
      <w:r>
        <w:rPr>
          <w:b w:val="0"/>
          <w:i w:val="0"/>
        </w:rPr>
        <w:t xml:space="preserve"> </w:t>
      </w:r>
      <w:hyperlink w:anchor="latin-record-1173">
        <w:r>
          <w:rPr>
            <w:color w:val="000000"/>
          </w:rPr>
          <w:t xml:space="preserve">significatio / vox</w:t>
        </w:r>
      </w:hyperlink>
      <w:r>
        <w:rPr>
          <w:b w:val="0"/>
          <w:i w:val="0"/>
        </w:rPr>
        <w:t>.</w:t>
      </w:r>
    </w:p>
    <w:p>
      <w:pPr>
        <w:widowControl/>
      </w:pPr>
      <w:r>
        <w:rPr>
          <w:b/>
          <w:i w:val="0"/>
        </w:rPr>
        <w:t>volans.</w:t>
      </w:r>
      <w:r>
        <w:rPr>
          <w:b w:val="0"/>
          <w:i w:val="0"/>
        </w:rPr>
        <w:t xml:space="preserve"> </w:t>
      </w:r>
      <w:hyperlink w:anchor="latin-record-0158">
        <w:r>
          <w:rPr>
            <w:color w:val="000000"/>
          </w:rPr>
          <w:t xml:space="preserve">avis; volare</w:t>
        </w:r>
      </w:hyperlink>
      <w:r>
        <w:rPr>
          <w:b w:val="0"/>
          <w:i w:val="0"/>
        </w:rPr>
        <w:t>.</w:t>
      </w:r>
    </w:p>
    <w:p>
      <w:pPr>
        <w:widowControl/>
      </w:pPr>
      <w:r>
        <w:rPr>
          <w:b/>
          <w:i w:val="0"/>
        </w:rPr>
        <w:t>volare.</w:t>
      </w:r>
      <w:r>
        <w:rPr>
          <w:b w:val="0"/>
          <w:i w:val="0"/>
        </w:rPr>
        <w:t xml:space="preserve"> </w:t>
      </w:r>
      <w:hyperlink w:anchor="latin-record-0158">
        <w:r>
          <w:rPr>
            <w:color w:val="000000"/>
          </w:rPr>
          <w:t xml:space="preserve">avis; volare</w:t>
        </w:r>
      </w:hyperlink>
      <w:r>
        <w:rPr>
          <w:b w:val="0"/>
          <w:i w:val="0"/>
        </w:rPr>
        <w:t>.</w:t>
      </w:r>
    </w:p>
    <w:p>
      <w:pPr>
        <w:widowControl/>
      </w:pPr>
      <w:r>
        <w:rPr>
          <w:b/>
          <w:i w:val="0"/>
        </w:rPr>
        <w:t>volemus.</w:t>
      </w:r>
      <w:r>
        <w:rPr>
          <w:b w:val="0"/>
          <w:i w:val="0"/>
        </w:rPr>
        <w:t xml:space="preserve"> </w:t>
      </w:r>
      <w:hyperlink w:anchor="latin-record-1383">
        <w:r>
          <w:rPr>
            <w:color w:val="000000"/>
          </w:rPr>
          <w:t xml:space="preserve">voluntas / velle</w:t>
        </w:r>
      </w:hyperlink>
      <w:r>
        <w:rPr>
          <w:b w:val="0"/>
          <w:i w:val="0"/>
        </w:rPr>
        <w:t>.</w:t>
      </w:r>
    </w:p>
    <w:p>
      <w:pPr>
        <w:widowControl/>
      </w:pPr>
      <w:r>
        <w:rPr>
          <w:b/>
          <w:i w:val="0"/>
        </w:rPr>
        <w:t>volet.</w:t>
      </w:r>
      <w:r>
        <w:rPr>
          <w:b w:val="0"/>
          <w:i w:val="0"/>
        </w:rPr>
        <w:t xml:space="preserve"> </w:t>
      </w:r>
      <w:hyperlink w:anchor="latin-record-1337">
        <w:r>
          <w:rPr>
            <w:color w:val="000000"/>
          </w:rPr>
          <w:t xml:space="preserve">velle / voluntas</w:t>
        </w:r>
      </w:hyperlink>
      <w:r>
        <w:rPr>
          <w:b w:val="0"/>
          <w:i w:val="0"/>
        </w:rPr>
        <w:t>.</w:t>
      </w:r>
    </w:p>
    <w:p>
      <w:pPr>
        <w:widowControl/>
      </w:pPr>
      <w:r>
        <w:rPr>
          <w:b/>
          <w:i w:val="0"/>
        </w:rPr>
        <w:t>voluisse videntur.</w:t>
      </w:r>
      <w:r>
        <w:rPr>
          <w:b w:val="0"/>
          <w:i w:val="0"/>
        </w:rPr>
        <w:t xml:space="preserve"> </w:t>
      </w:r>
      <w:hyperlink w:anchor="latin-record-1353">
        <w:r>
          <w:rPr>
            <w:color w:val="000000"/>
          </w:rPr>
          <w:t xml:space="preserve">videri velle</w:t>
        </w:r>
      </w:hyperlink>
      <w:r>
        <w:rPr>
          <w:b w:val="0"/>
          <w:i w:val="0"/>
        </w:rPr>
        <w:t>.</w:t>
      </w:r>
    </w:p>
    <w:p>
      <w:pPr>
        <w:widowControl/>
      </w:pPr>
      <w:r>
        <w:rPr>
          <w:b/>
          <w:i w:val="0"/>
        </w:rPr>
        <w:t>volumus.</w:t>
      </w:r>
      <w:r>
        <w:rPr>
          <w:b w:val="0"/>
          <w:i w:val="0"/>
        </w:rPr>
        <w:t xml:space="preserve"> </w:t>
      </w:r>
      <w:hyperlink w:anchor="latin-record-1383">
        <w:r>
          <w:rPr>
            <w:color w:val="000000"/>
          </w:rPr>
          <w:t xml:space="preserve">voluntas / velle</w:t>
        </w:r>
      </w:hyperlink>
      <w:r>
        <w:rPr>
          <w:b w:val="0"/>
          <w:i w:val="0"/>
        </w:rPr>
        <w:t>.</w:t>
      </w:r>
    </w:p>
    <w:p>
      <w:pPr>
        <w:widowControl/>
      </w:pPr>
      <w:r>
        <w:rPr>
          <w:b/>
          <w:i w:val="0"/>
        </w:rPr>
        <w:t>volunt.</w:t>
      </w:r>
      <w:r>
        <w:rPr>
          <w:b w:val="0"/>
          <w:i w:val="0"/>
        </w:rPr>
        <w:t xml:space="preserve"> </w:t>
      </w:r>
      <w:hyperlink w:anchor="latin-record-1383">
        <w:r>
          <w:rPr>
            <w:color w:val="000000"/>
          </w:rPr>
          <w:t xml:space="preserve">voluntas / velle</w:t>
        </w:r>
      </w:hyperlink>
      <w:r>
        <w:rPr>
          <w:b w:val="0"/>
          <w:i w:val="0"/>
        </w:rPr>
        <w:t>.</w:t>
      </w:r>
    </w:p>
    <w:p>
      <w:pPr>
        <w:widowControl/>
      </w:pPr>
      <w:r>
        <w:rPr>
          <w:b/>
          <w:i w:val="0"/>
        </w:rPr>
        <w:t>voluntas.</w:t>
      </w:r>
      <w:r>
        <w:rPr>
          <w:b w:val="0"/>
          <w:i w:val="0"/>
        </w:rPr>
        <w:t xml:space="preserve"> </w:t>
      </w:r>
      <w:hyperlink w:anchor="latin-record-0230">
        <w:r>
          <w:rPr>
            <w:color w:val="000000"/>
          </w:rPr>
          <w:t xml:space="preserve">cognitio / voluntas</w:t>
        </w:r>
      </w:hyperlink>
      <w:r>
        <w:rPr>
          <w:b w:val="0"/>
          <w:i w:val="0"/>
        </w:rPr>
        <w:t xml:space="preserve">; </w:t>
      </w:r>
      <w:hyperlink w:anchor="latin-record-1383">
        <w:r>
          <w:rPr>
            <w:color w:val="000000"/>
          </w:rPr>
          <w:t xml:space="preserve">voluntas / velle</w:t>
        </w:r>
      </w:hyperlink>
      <w:r>
        <w:rPr>
          <w:b w:val="0"/>
          <w:i w:val="0"/>
        </w:rPr>
        <w:t xml:space="preserve">; </w:t>
      </w:r>
      <w:hyperlink w:anchor="latin-record-1384">
        <w:r>
          <w:rPr>
            <w:color w:val="000000"/>
          </w:rPr>
          <w:t xml:space="preserve">voluntas constans</w:t>
        </w:r>
      </w:hyperlink>
      <w:r>
        <w:rPr>
          <w:b w:val="0"/>
          <w:i w:val="0"/>
        </w:rPr>
        <w:t>.</w:t>
      </w:r>
    </w:p>
    <w:p>
      <w:pPr>
        <w:widowControl/>
      </w:pPr>
      <w:r>
        <w:rPr>
          <w:b/>
          <w:i w:val="0"/>
        </w:rPr>
        <w:t>voluntas eadem.</w:t>
      </w:r>
      <w:r>
        <w:rPr>
          <w:b w:val="0"/>
          <w:i w:val="0"/>
        </w:rPr>
        <w:t xml:space="preserve"> </w:t>
      </w:r>
      <w:hyperlink w:anchor="latin-record-1385">
        <w:r>
          <w:rPr>
            <w:color w:val="000000"/>
          </w:rPr>
          <w:t xml:space="preserve">voluntas; mos; opinio; scientia</w:t>
        </w:r>
      </w:hyperlink>
      <w:r>
        <w:rPr>
          <w:b w:val="0"/>
          <w:i w:val="0"/>
        </w:rPr>
        <w:t>.</w:t>
      </w:r>
    </w:p>
    <w:p>
      <w:pPr>
        <w:widowControl/>
      </w:pPr>
      <w:r>
        <w:rPr>
          <w:b/>
          <w:i w:val="0"/>
        </w:rPr>
        <w:t>voluntate.</w:t>
      </w:r>
      <w:r>
        <w:rPr>
          <w:b w:val="0"/>
          <w:i w:val="0"/>
        </w:rPr>
        <w:t xml:space="preserve"> </w:t>
      </w:r>
      <w:hyperlink w:anchor="latin-record-1337">
        <w:r>
          <w:rPr>
            <w:color w:val="000000"/>
          </w:rPr>
          <w:t xml:space="preserve">velle / voluntas</w:t>
        </w:r>
      </w:hyperlink>
      <w:r>
        <w:rPr>
          <w:b w:val="0"/>
          <w:i w:val="0"/>
        </w:rPr>
        <w:t>.</w:t>
      </w:r>
    </w:p>
    <w:p>
      <w:pPr>
        <w:widowControl/>
      </w:pPr>
      <w:r>
        <w:rPr>
          <w:b/>
          <w:i w:val="0"/>
        </w:rPr>
        <w:t>voluntatem.</w:t>
      </w:r>
      <w:r>
        <w:rPr>
          <w:b w:val="0"/>
          <w:i w:val="0"/>
        </w:rPr>
        <w:t xml:space="preserve"> </w:t>
      </w:r>
      <w:hyperlink w:anchor="latin-record-0169">
        <w:r>
          <w:rPr>
            <w:color w:val="000000"/>
          </w:rPr>
          <w:t xml:space="preserve">brachium / opus extra</w:t>
        </w:r>
      </w:hyperlink>
      <w:r>
        <w:rPr>
          <w:b w:val="0"/>
          <w:i w:val="0"/>
        </w:rPr>
        <w:t xml:space="preserve">; </w:t>
      </w:r>
      <w:hyperlink w:anchor="latin-record-1383">
        <w:r>
          <w:rPr>
            <w:color w:val="000000"/>
          </w:rPr>
          <w:t xml:space="preserve">voluntas / velle</w:t>
        </w:r>
      </w:hyperlink>
      <w:r>
        <w:rPr>
          <w:b w:val="0"/>
          <w:i w:val="0"/>
        </w:rPr>
        <w:t>.</w:t>
      </w:r>
    </w:p>
    <w:p>
      <w:pPr>
        <w:widowControl/>
      </w:pPr>
      <w:r>
        <w:rPr>
          <w:b/>
          <w:i w:val="0"/>
        </w:rPr>
        <w:t>voluntatis.</w:t>
      </w:r>
      <w:r>
        <w:rPr>
          <w:b w:val="0"/>
          <w:i w:val="0"/>
        </w:rPr>
        <w:t xml:space="preserve"> </w:t>
      </w:r>
      <w:hyperlink w:anchor="latin-record-1383">
        <w:r>
          <w:rPr>
            <w:color w:val="000000"/>
          </w:rPr>
          <w:t xml:space="preserve">voluntas / velle</w:t>
        </w:r>
      </w:hyperlink>
      <w:r>
        <w:rPr>
          <w:b w:val="0"/>
          <w:i w:val="0"/>
        </w:rPr>
        <w:t>.</w:t>
      </w:r>
    </w:p>
    <w:p>
      <w:pPr>
        <w:widowControl/>
      </w:pPr>
      <w:r>
        <w:rPr>
          <w:b/>
          <w:i w:val="0"/>
        </w:rPr>
        <w:t>voluptas.</w:t>
      </w:r>
      <w:r>
        <w:rPr>
          <w:b w:val="0"/>
          <w:i w:val="0"/>
        </w:rPr>
        <w:t xml:space="preserve"> </w:t>
      </w:r>
      <w:hyperlink w:anchor="latin-record-1386">
        <w:r>
          <w:rPr>
            <w:color w:val="000000"/>
          </w:rPr>
          <w:t xml:space="preserve">voluptas</w:t>
        </w:r>
      </w:hyperlink>
      <w:r>
        <w:rPr>
          <w:b w:val="0"/>
          <w:i w:val="0"/>
        </w:rPr>
        <w:t>.</w:t>
      </w:r>
    </w:p>
    <w:p>
      <w:pPr>
        <w:widowControl/>
      </w:pPr>
      <w:r>
        <w:rPr>
          <w:b/>
          <w:i w:val="0"/>
        </w:rPr>
        <w:t>voluptate.</w:t>
      </w:r>
      <w:r>
        <w:rPr>
          <w:b w:val="0"/>
          <w:i w:val="0"/>
        </w:rPr>
        <w:t xml:space="preserve"> </w:t>
      </w:r>
      <w:hyperlink w:anchor="latin-record-1387">
        <w:r>
          <w:rPr>
            <w:color w:val="000000"/>
          </w:rPr>
          <w:t xml:space="preserve">voluptas / fastidium / dolor</w:t>
        </w:r>
      </w:hyperlink>
      <w:r>
        <w:rPr>
          <w:b w:val="0"/>
          <w:i w:val="0"/>
        </w:rPr>
        <w:t>.</w:t>
      </w:r>
    </w:p>
    <w:p>
      <w:pPr>
        <w:widowControl/>
      </w:pPr>
      <w:r>
        <w:rPr>
          <w:b/>
          <w:i w:val="0"/>
        </w:rPr>
        <w:t>volutat.</w:t>
      </w:r>
      <w:r>
        <w:rPr>
          <w:b w:val="0"/>
          <w:i w:val="0"/>
        </w:rPr>
        <w:t xml:space="preserve"> </w:t>
      </w:r>
      <w:hyperlink w:anchor="latin-record-1341">
        <w:r>
          <w:rPr>
            <w:color w:val="000000"/>
          </w:rPr>
          <w:t xml:space="preserve">versari / volutari / vagari</w:t>
        </w:r>
      </w:hyperlink>
      <w:r>
        <w:rPr>
          <w:b w:val="0"/>
          <w:i w:val="0"/>
        </w:rPr>
        <w:t>.</w:t>
      </w:r>
    </w:p>
    <w:p>
      <w:pPr>
        <w:widowControl/>
      </w:pPr>
      <w:r>
        <w:rPr>
          <w:b/>
          <w:i w:val="0"/>
        </w:rPr>
        <w:t>vox.</w:t>
      </w:r>
      <w:r>
        <w:rPr>
          <w:b w:val="0"/>
          <w:i w:val="0"/>
        </w:rPr>
        <w:t xml:space="preserve"> </w:t>
      </w:r>
      <w:hyperlink w:anchor="latin-record-1173">
        <w:r>
          <w:rPr>
            <w:color w:val="000000"/>
          </w:rPr>
          <w:t xml:space="preserve">significatio / vox</w:t>
        </w:r>
      </w:hyperlink>
      <w:r>
        <w:rPr>
          <w:b w:val="0"/>
          <w:i w:val="0"/>
        </w:rPr>
        <w:t>.</w:t>
      </w:r>
    </w:p>
    <w:p>
      <w:pPr>
        <w:widowControl/>
      </w:pPr>
      <w:r>
        <w:rPr>
          <w:b/>
          <w:i w:val="0"/>
        </w:rPr>
        <w:t>vulpes.</w:t>
      </w:r>
      <w:r>
        <w:rPr>
          <w:b w:val="0"/>
          <w:i w:val="0"/>
        </w:rPr>
        <w:t xml:space="preserve"> </w:t>
      </w:r>
      <w:hyperlink w:anchor="latin-record-1389">
        <w:r>
          <w:rPr>
            <w:color w:val="000000"/>
          </w:rPr>
          <w:t xml:space="preserve">vulpes / sus / astutia</w:t>
        </w:r>
      </w:hyperlink>
      <w:r>
        <w:rPr>
          <w:b w:val="0"/>
          <w:i w:val="0"/>
        </w:rPr>
        <w:t>.</w:t>
      </w:r>
    </w:p>
    <w:p>
      <w:pPr>
        <w:widowControl/>
      </w:pPr>
      <w:r>
        <w:rPr>
          <w:b/>
          <w:i w:val="0"/>
        </w:rPr>
        <w:t>vult.</w:t>
      </w:r>
      <w:r>
        <w:rPr>
          <w:b w:val="0"/>
          <w:i w:val="0"/>
        </w:rPr>
        <w:t xml:space="preserve"> </w:t>
      </w:r>
      <w:hyperlink w:anchor="latin-record-1383">
        <w:r>
          <w:rPr>
            <w:color w:val="000000"/>
          </w:rPr>
          <w:t xml:space="preserve">voluntas / velle</w:t>
        </w:r>
      </w:hyperlink>
      <w:r>
        <w:rPr>
          <w:b w:val="0"/>
          <w:i w:val="0"/>
        </w:rPr>
        <w:t>.</w:t>
      </w:r>
    </w:p>
    <w:p>
      <w:pPr>
        <w:widowControl/>
      </w:pPr>
      <w:r>
        <w:rPr>
          <w:b/>
          <w:i w:val="0"/>
        </w:rPr>
        <w:t>vultum.</w:t>
      </w:r>
      <w:r>
        <w:rPr>
          <w:b w:val="0"/>
          <w:i w:val="0"/>
        </w:rPr>
        <w:t xml:space="preserve"> </w:t>
      </w:r>
      <w:hyperlink w:anchor="latin-record-1390">
        <w:r>
          <w:rPr>
            <w:color w:val="000000"/>
          </w:rPr>
          <w:t xml:space="preserve">vultus / pupilla</w:t>
        </w:r>
      </w:hyperlink>
      <w:r>
        <w:rPr>
          <w:b w:val="0"/>
          <w:i w:val="0"/>
        </w:rPr>
        <w:t>.</w:t>
      </w:r>
    </w:p>
    <w:p>
      <w:pPr>
        <w:widowControl/>
      </w:pPr>
      <w:r>
        <w:rPr>
          <w:b/>
          <w:i w:val="0"/>
        </w:rPr>
        <w:t>vultus.</w:t>
      </w:r>
      <w:r>
        <w:rPr>
          <w:b w:val="0"/>
          <w:i w:val="0"/>
        </w:rPr>
        <w:t xml:space="preserve"> </w:t>
      </w:r>
      <w:hyperlink w:anchor="latin-record-1391">
        <w:r>
          <w:rPr>
            <w:color w:val="000000"/>
          </w:rPr>
          <w:t xml:space="preserve">vultus; flumen; unda</w:t>
        </w:r>
      </w:hyperlink>
      <w:r>
        <w:rPr>
          <w:b w:val="0"/>
          <w:i w:val="0"/>
        </w:rPr>
        <w:t>.</w:t>
      </w:r>
    </w:p>
    <w:p>
      <w:pPr>
        <w:widowControl/>
      </w:pPr>
      <w:r>
        <w:rPr>
          <w:b/>
          <w:i w:val="0"/>
        </w:rPr>
        <w:t>Xenocrates.</w:t>
      </w:r>
      <w:r>
        <w:rPr>
          <w:b w:val="0"/>
          <w:i w:val="0"/>
        </w:rPr>
        <w:t xml:space="preserve"> </w:t>
      </w:r>
      <w:hyperlink w:anchor="latin-record-1392">
        <w:r>
          <w:rPr>
            <w:color w:val="000000"/>
          </w:rPr>
          <w:t xml:space="preserve">Xenocrates / Speusippus / Numenius</w:t>
        </w:r>
      </w:hyperlink>
      <w:r>
        <w:rPr>
          <w:b w:val="0"/>
          <w:i w:val="0"/>
        </w:rPr>
        <w:t>.</w:t>
      </w:r>
    </w:p>
    <w:p>
      <w:pPr>
        <w:widowControl/>
      </w:pPr>
      <w:r>
        <w:rPr>
          <w:b/>
          <w:i w:val="0"/>
        </w:rPr>
        <w:t>Xenophanes Colophonius.</w:t>
      </w:r>
      <w:r>
        <w:rPr>
          <w:b w:val="0"/>
          <w:i w:val="0"/>
        </w:rPr>
        <w:t xml:space="preserve"> </w:t>
      </w:r>
      <w:hyperlink w:anchor="latin-record-1393">
        <w:r>
          <w:rPr>
            <w:color w:val="000000"/>
          </w:rPr>
          <w:t xml:space="preserve">Xenophanes; Asclepiades; Aristoxenus; Critolaus</w:t>
        </w:r>
      </w:hyperlink>
      <w:r>
        <w:rPr>
          <w:b w:val="0"/>
          <w:i w:val="0"/>
        </w:rPr>
        <w:t>.</w:t>
      </w:r>
    </w:p>
    <w:p>
      <w:pPr>
        <w:widowControl/>
      </w:pPr>
      <w:r>
        <w:rPr>
          <w:b/>
          <w:i w:val="0"/>
        </w:rPr>
        <w:t>Xenophantes.</w:t>
      </w:r>
      <w:r>
        <w:rPr>
          <w:b w:val="0"/>
          <w:i w:val="0"/>
        </w:rPr>
        <w:t xml:space="preserve"> </w:t>
      </w:r>
      <w:hyperlink w:anchor="latin-record-0164">
        <w:r>
          <w:rPr>
            <w:color w:val="000000"/>
          </w:rPr>
          <w:t xml:space="preserve">Boethus; Epicurus; Xenophantes</w:t>
        </w:r>
      </w:hyperlink>
      <w:r>
        <w:rPr>
          <w:b w:val="0"/>
          <w:i w:val="0"/>
        </w:rPr>
        <w:t>.</w:t>
      </w:r>
    </w:p>
    <w:p>
      <w:pPr>
        <w:widowControl/>
      </w:pPr>
      <w:r>
        <w:rPr>
          <w:b/>
          <w:i w:val="0"/>
        </w:rPr>
        <w:t>Xenophon.</w:t>
      </w:r>
      <w:r>
        <w:rPr>
          <w:b w:val="0"/>
          <w:i w:val="0"/>
        </w:rPr>
        <w:t xml:space="preserve"> </w:t>
      </w:r>
      <w:hyperlink w:anchor="latin-record-0106">
        <w:r>
          <w:rPr>
            <w:color w:val="000000"/>
          </w:rPr>
          <w:t xml:space="preserve">Antisthenes / Xenophon</w:t>
        </w:r>
      </w:hyperlink>
      <w:r>
        <w:rPr>
          <w:b w:val="0"/>
          <w:i w:val="0"/>
        </w:rPr>
        <w:t>.</w:t>
      </w:r>
    </w:p>
    <w:p>
      <w:pPr>
        <w:widowControl/>
      </w:pPr>
      <w:r>
        <w:rPr>
          <w:b/>
          <w:i w:val="0"/>
        </w:rPr>
        <w:t>Xenophontis.</w:t>
      </w:r>
      <w:r>
        <w:rPr>
          <w:b w:val="0"/>
          <w:i w:val="0"/>
        </w:rPr>
        <w:t xml:space="preserve"> </w:t>
      </w:r>
      <w:hyperlink w:anchor="latin-record-1394">
        <w:r>
          <w:rPr>
            <w:color w:val="000000"/>
          </w:rPr>
          <w:t xml:space="preserve">Xenophon / Alcibiades / Phaedrus</w:t>
        </w:r>
      </w:hyperlink>
      <w:r>
        <w:rPr>
          <w:b w:val="0"/>
          <w:i w:val="0"/>
        </w:rPr>
        <w:t>.</w:t>
      </w:r>
    </w:p>
    <w:p>
      <w:pPr>
        <w:widowControl/>
      </w:pPr>
      <w:r>
        <w:rPr>
          <w:b/>
          <w:i w:val="0"/>
        </w:rPr>
        <w:t>Zeno Cittieus.</w:t>
      </w:r>
      <w:r>
        <w:rPr>
          <w:b w:val="0"/>
          <w:i w:val="0"/>
        </w:rPr>
        <w:t xml:space="preserve"> </w:t>
      </w:r>
      <w:hyperlink w:anchor="latin-record-1395">
        <w:r>
          <w:rPr>
            <w:color w:val="000000"/>
          </w:rPr>
          <w:t xml:space="preserve">Zeno; Cleantes; Antipater; Posidonius</w:t>
        </w:r>
      </w:hyperlink>
      <w:r>
        <w:rPr>
          <w:b w:val="0"/>
          <w:i w:val="0"/>
        </w:rPr>
        <w:t>.</w:t>
      </w:r>
    </w:p>
    <w:p>
      <w:pPr>
        <w:widowControl/>
      </w:pPr>
      <w:r>
        <w:rPr>
          <w:b/>
          <w:i w:val="0"/>
        </w:rPr>
        <w:t>Zoroaster.</w:t>
      </w:r>
      <w:r>
        <w:rPr>
          <w:b w:val="0"/>
          <w:i w:val="0"/>
        </w:rPr>
        <w:t xml:space="preserve"> </w:t>
      </w:r>
      <w:hyperlink w:anchor="latin-record-0997">
        <w:r>
          <w:rPr>
            <w:color w:val="000000"/>
          </w:rPr>
          <w:t xml:space="preserve">prisci theologi</w:t>
        </w:r>
      </w:hyperlink>
      <w:r>
        <w:rPr>
          <w:b w:val="0"/>
          <w:i w:val="0"/>
        </w:rPr>
        <w:t>.</w:t>
      </w:r>
    </w:p>
    <w:p>
      <w:pPr>
        <w:widowControl/>
      </w:pPr>
      <w:r>
        <w:rPr>
          <w:b/>
          <w:i w:val="0"/>
        </w:rPr>
        <w:t>Zoroastris.</w:t>
      </w:r>
      <w:r>
        <w:rPr>
          <w:b w:val="0"/>
          <w:i w:val="0"/>
        </w:rPr>
        <w:t xml:space="preserve"> </w:t>
      </w:r>
      <w:hyperlink w:anchor="latin-record-1396">
        <w:r>
          <w:rPr>
            <w:color w:val="000000"/>
          </w:rPr>
          <w:t xml:space="preserve">Zoroaster</w:t>
        </w:r>
      </w:hyperlink>
      <w:r>
        <w:rPr>
          <w:b w:val="0"/>
          <w:i w:val="0"/>
        </w:rPr>
        <w:t>.</w:t>
      </w:r>
    </w:p>
    <w:p>
      <w:pPr>
        <w:pStyle w:val="Heading1"/>
      </w:pPr>
      <w:bookmarkStart w:id="1642" w:name="passage-index"/>
      <w:r>
        <w:rPr>
          <w:b w:val="0"/>
          <w:i w:val="0"/>
        </w:rPr>
        <w:t>Passage index</w:t>
      </w:r>
      <w:bookmarkEnd w:id="1642"/>
    </w:p>
    <w:p>
      <w:pPr>
        <w:widowControl/>
      </w:pPr>
      <w:r>
        <w:rPr>
          <w:b w:val="0"/>
          <w:i w:val="0"/>
        </w:rPr>
        <w:t>Every numbered comparison unit appears below in source order. The source PDF page pair accompanies direct reading routes. A route does not assert that every word or every repetition in the unit has a separate definition.</w:t>
      </w:r>
    </w:p>
    <w:p>
      <w:pPr>
        <w:pStyle w:val="Heading2"/>
      </w:pPr>
      <w:bookmarkStart w:id="1643" w:name="chapter-v.1"/>
      <w:r>
        <w:rPr>
          <w:b w:val="0"/>
          <w:i w:val="0"/>
        </w:rPr>
        <w:t>Chapter V.1</w:t>
      </w:r>
      <w:bookmarkEnd w:id="1643"/>
    </w:p>
    <w:p>
      <w:pPr>
        <w:widowControl/>
      </w:pPr>
      <w:bookmarkStart w:id="1644" w:name="passage-v-1-1"/>
      <w:bookmarkEnd w:id="1644"/>
      <w:r>
        <w:rPr>
          <w:b/>
          <w:i w:val="0"/>
        </w:rPr>
        <w:t>V.1.1</w:t>
      </w:r>
      <w:r>
        <w:rPr>
          <w:b/>
          <w:i w:val="0"/>
        </w:rPr>
        <w:t>, source pp. 8–9.</w:t>
      </w:r>
      <w:r>
        <w:rPr>
          <w:b w:val="0"/>
          <w:i w:val="0"/>
        </w:rPr>
        <w:t xml:space="preserve"> Articles: </w:t>
      </w:r>
      <w:hyperlink w:anchor="fountains-drawing-and-infusion">
        <w:r>
          <w:rPr>
            <w:color w:val="000000"/>
          </w:rPr>
          <w:t xml:space="preserve">Fountains, drawing and infusion</w:t>
        </w:r>
      </w:hyperlink>
      <w:r>
        <w:rPr>
          <w:b w:val="0"/>
          <w:i w:val="0"/>
        </w:rPr>
        <w:t xml:space="preserve">; </w:t>
      </w:r>
      <w:hyperlink w:anchor="motion-and-substantial-stability">
        <w:r>
          <w:rPr>
            <w:color w:val="000000"/>
          </w:rPr>
          <w:t xml:space="preserve">Motion and substantial stability</w:t>
        </w:r>
      </w:hyperlink>
      <w:r>
        <w:rPr>
          <w:b w:val="0"/>
          <w:i w:val="0"/>
        </w:rPr>
        <w:t xml:space="preserve">. Vocabulary: </w:t>
      </w:r>
      <w:hyperlink w:anchor="latin-record-0095">
        <w:r>
          <w:rPr>
            <w:color w:val="000000"/>
          </w:rPr>
          <w:t xml:space="preserve">anima rationalis</w:t>
        </w:r>
      </w:hyperlink>
      <w:r>
        <w:rPr>
          <w:b w:val="0"/>
          <w:i w:val="0"/>
        </w:rPr>
        <w:t xml:space="preserve">; </w:t>
      </w:r>
      <w:hyperlink w:anchor="latin-record-0216">
        <w:r>
          <w:rPr>
            <w:color w:val="000000"/>
          </w:rPr>
          <w:t xml:space="preserve">circulus</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372">
        <w:r>
          <w:rPr>
            <w:color w:val="000000"/>
          </w:rPr>
          <w:t xml:space="preserve">desinere / cessare</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805">
        <w:r>
          <w:rPr>
            <w:color w:val="000000"/>
          </w:rPr>
          <w:t xml:space="preserve">motor</w:t>
        </w:r>
      </w:hyperlink>
      <w:r>
        <w:rPr>
          <w:b w:val="0"/>
          <w:i w:val="0"/>
        </w:rPr>
        <w:t xml:space="preserve">; </w:t>
      </w:r>
      <w:hyperlink w:anchor="latin-record-0808">
        <w:r>
          <w:rPr>
            <w:color w:val="000000"/>
          </w:rPr>
          <w:t xml:space="preserve">motus / movere</w:t>
        </w:r>
      </w:hyperlink>
      <w:r>
        <w:rPr>
          <w:b w:val="0"/>
          <w:i w:val="0"/>
        </w:rPr>
        <w:t xml:space="preserve">; </w:t>
      </w:r>
      <w:hyperlink w:anchor="latin-record-0809">
        <w:r>
          <w:rPr>
            <w:color w:val="000000"/>
          </w:rPr>
          <w:t xml:space="preserve">motus internus / externus</w:t>
        </w:r>
      </w:hyperlink>
      <w:r>
        <w:rPr>
          <w:b w:val="0"/>
          <w:i w:val="0"/>
        </w:rPr>
        <w:t xml:space="preserve">; </w:t>
      </w:r>
      <w:hyperlink w:anchor="latin-record-0933">
        <w:r>
          <w:rPr>
            <w:color w:val="000000"/>
          </w:rPr>
          <w:t xml:space="preserve">perpetuus</w:t>
        </w:r>
      </w:hyperlink>
      <w:r>
        <w:rPr>
          <w:b w:val="0"/>
          <w:i w:val="0"/>
        </w:rPr>
        <w:t xml:space="preserve">; </w:t>
      </w:r>
      <w:hyperlink w:anchor="latin-record-0986">
        <w:r>
          <w:rPr>
            <w:color w:val="000000"/>
          </w:rPr>
          <w:t xml:space="preserve">primo moveri</w:t>
        </w:r>
      </w:hyperlink>
      <w:r>
        <w:rPr>
          <w:b w:val="0"/>
          <w:i w:val="0"/>
        </w:rPr>
        <w:t xml:space="preserve">; </w:t>
      </w:r>
      <w:hyperlink w:anchor="latin-record-0990">
        <w:r>
          <w:rPr>
            <w:color w:val="000000"/>
          </w:rPr>
          <w:t xml:space="preserve">primus / prior</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68">
        <w:r>
          <w:rPr>
            <w:color w:val="000000"/>
          </w:rPr>
          <w:t xml:space="preserve">ratio / definitio</w:t>
        </w:r>
      </w:hyperlink>
      <w:r>
        <w:rPr>
          <w:b w:val="0"/>
          <w:i w:val="0"/>
        </w:rPr>
        <w:t xml:space="preserve">; </w:t>
      </w:r>
      <w:hyperlink w:anchor="latin-record-1153">
        <w:r>
          <w:rPr>
            <w:color w:val="000000"/>
          </w:rPr>
          <w:t xml:space="preserve">semet ipsum deserere</w:t>
        </w:r>
      </w:hyperlink>
      <w:r>
        <w:rPr>
          <w:b w:val="0"/>
          <w:i w:val="0"/>
        </w:rPr>
        <w:t xml:space="preserve">; </w:t>
      </w:r>
      <w:hyperlink w:anchor="latin-record-1232">
        <w:r>
          <w:rPr>
            <w:color w:val="000000"/>
          </w:rPr>
          <w:t xml:space="preserve">spontaneus</w:t>
        </w:r>
      </w:hyperlink>
      <w:r>
        <w:rPr>
          <w:b w:val="0"/>
          <w:i w:val="0"/>
        </w:rPr>
        <w:t>.</w:t>
      </w:r>
    </w:p>
    <w:p>
      <w:pPr>
        <w:widowControl/>
      </w:pPr>
      <w:bookmarkStart w:id="1645" w:name="passage-v-1-2"/>
      <w:bookmarkEnd w:id="1645"/>
      <w:r>
        <w:rPr>
          <w:b/>
          <w:i w:val="0"/>
        </w:rPr>
        <w:t>V.1.2</w:t>
      </w:r>
      <w:r>
        <w:rPr>
          <w:b/>
          <w:i w:val="0"/>
        </w:rPr>
        <w:t>, source pp. 8–9.</w:t>
      </w:r>
      <w:r>
        <w:rPr>
          <w:b w:val="0"/>
          <w:i w:val="0"/>
        </w:rPr>
        <w:t xml:space="preserve"> Articles: </w:t>
      </w:r>
      <w:hyperlink w:anchor="motion-and-substantial-stability">
        <w:r>
          <w:rPr>
            <w:color w:val="000000"/>
          </w:rPr>
          <w:t xml:space="preserve">Motion and substantial stability</w:t>
        </w:r>
      </w:hyperlink>
      <w:r>
        <w:rPr>
          <w:b w:val="0"/>
          <w:i w:val="0"/>
        </w:rPr>
        <w:t xml:space="preserve">. Vocabulary: </w:t>
      </w:r>
      <w:hyperlink w:anchor="latin-record-0095">
        <w:r>
          <w:rPr>
            <w:color w:val="000000"/>
          </w:rPr>
          <w:t xml:space="preserve">anima rationalis</w:t>
        </w:r>
      </w:hyperlink>
      <w:r>
        <w:rPr>
          <w:b w:val="0"/>
          <w:i w:val="0"/>
        </w:rPr>
        <w:t xml:space="preserve">; </w:t>
      </w:r>
      <w:hyperlink w:anchor="latin-record-0804">
        <w:r>
          <w:rPr>
            <w:color w:val="000000"/>
          </w:rPr>
          <w:t xml:space="preserve">motio</w:t>
        </w:r>
      </w:hyperlink>
      <w:r>
        <w:rPr>
          <w:b w:val="0"/>
          <w:i w:val="0"/>
        </w:rPr>
        <w:t xml:space="preserve">; </w:t>
      </w:r>
      <w:hyperlink w:anchor="latin-record-1294">
        <w:r>
          <w:rPr>
            <w:color w:val="000000"/>
          </w:rPr>
          <w:t xml:space="preserve">tertius</w:t>
        </w:r>
      </w:hyperlink>
      <w:r>
        <w:rPr>
          <w:b w:val="0"/>
          <w:i w:val="0"/>
        </w:rPr>
        <w:t>.</w:t>
      </w:r>
    </w:p>
    <w:p>
      <w:pPr>
        <w:widowControl/>
      </w:pPr>
      <w:bookmarkStart w:id="1646" w:name="passage-v-1-3"/>
      <w:bookmarkEnd w:id="1646"/>
      <w:r>
        <w:rPr>
          <w:b/>
          <w:i w:val="0"/>
        </w:rPr>
        <w:t>V.1.3</w:t>
      </w:r>
      <w:r>
        <w:rPr>
          <w:b/>
          <w:i w:val="0"/>
        </w:rPr>
        <w:t>, source pp. 8–9.</w:t>
      </w:r>
      <w:r>
        <w:rPr>
          <w:b w:val="0"/>
          <w:i w:val="0"/>
        </w:rPr>
        <w:t xml:space="preserve"> Articles: </w:t>
      </w:r>
      <w:hyperlink w:anchor="circularity-and-spiritual-spheres">
        <w:r>
          <w:rPr>
            <w:color w:val="000000"/>
          </w:rPr>
          <w:t xml:space="preserve">Circularity and spiritual spheres</w:t>
        </w:r>
      </w:hyperlink>
      <w:r>
        <w:rPr>
          <w:b w:val="0"/>
          <w:i w:val="0"/>
        </w:rPr>
        <w:t xml:space="preserve">. Vocabulary: </w:t>
      </w:r>
      <w:hyperlink w:anchor="latin-record-0216">
        <w:r>
          <w:rPr>
            <w:color w:val="000000"/>
          </w:rPr>
          <w:t xml:space="preserve">circulus</w:t>
        </w:r>
      </w:hyperlink>
      <w:r>
        <w:rPr>
          <w:b w:val="0"/>
          <w:i w:val="0"/>
        </w:rPr>
        <w:t>.</w:t>
      </w:r>
    </w:p>
    <w:p>
      <w:pPr>
        <w:widowControl/>
      </w:pPr>
      <w:bookmarkStart w:id="1647" w:name="passage-v-1-4"/>
      <w:bookmarkEnd w:id="1647"/>
      <w:r>
        <w:rPr>
          <w:b/>
          <w:i w:val="0"/>
        </w:rPr>
        <w:t>V.1.4</w:t>
      </w:r>
      <w:r>
        <w:rPr>
          <w:b/>
          <w:i w:val="0"/>
        </w:rPr>
        <w:t>, source pp. 10–11.</w:t>
      </w:r>
      <w:r>
        <w:rPr>
          <w:b w:val="0"/>
          <w:i w:val="0"/>
        </w:rPr>
        <w:t xml:space="preserve"> Articles: </w:t>
      </w:r>
      <w:hyperlink w:anchor="circularity-and-spiritual-spheres">
        <w:r>
          <w:rPr>
            <w:color w:val="000000"/>
          </w:rPr>
          <w:t xml:space="preserve">Circularity and spiritual spheres</w:t>
        </w:r>
      </w:hyperlink>
      <w:r>
        <w:rPr>
          <w:b w:val="0"/>
          <w:i w:val="0"/>
        </w:rPr>
        <w:t xml:space="preserve">. Vocabulary: </w:t>
      </w:r>
      <w:hyperlink w:anchor="latin-record-0215">
        <w:r>
          <w:rPr>
            <w:color w:val="000000"/>
          </w:rPr>
          <w:t xml:space="preserve">circuitus</w:t>
        </w:r>
      </w:hyperlink>
      <w:r>
        <w:rPr>
          <w:b w:val="0"/>
          <w:i w:val="0"/>
        </w:rPr>
        <w:t xml:space="preserve">; </w:t>
      </w:r>
      <w:hyperlink w:anchor="latin-record-0372">
        <w:r>
          <w:rPr>
            <w:color w:val="000000"/>
          </w:rPr>
          <w:t xml:space="preserve">desinere / cessare</w:t>
        </w:r>
      </w:hyperlink>
      <w:r>
        <w:rPr>
          <w:b w:val="0"/>
          <w:i w:val="0"/>
        </w:rPr>
        <w:t xml:space="preserve">; </w:t>
      </w:r>
      <w:hyperlink w:anchor="latin-record-0427">
        <w:r>
          <w:rPr>
            <w:color w:val="000000"/>
          </w:rPr>
          <w:t xml:space="preserve">effundere</w:t>
        </w:r>
      </w:hyperlink>
      <w:r>
        <w:rPr>
          <w:b w:val="0"/>
          <w:i w:val="0"/>
        </w:rPr>
        <w:t xml:space="preserve">; </w:t>
      </w:r>
      <w:hyperlink w:anchor="latin-record-1036">
        <w:r>
          <w:rPr>
            <w:color w:val="000000"/>
          </w:rPr>
          <w:t xml:space="preserve">Pythagoras</w:t>
        </w:r>
      </w:hyperlink>
      <w:r>
        <w:rPr>
          <w:b w:val="0"/>
          <w:i w:val="0"/>
        </w:rPr>
        <w:t xml:space="preserve">; </w:t>
      </w:r>
      <w:hyperlink w:anchor="latin-record-1079">
        <w:r>
          <w:rPr>
            <w:color w:val="000000"/>
          </w:rPr>
          <w:t xml:space="preserve">recolligere</w:t>
        </w:r>
      </w:hyperlink>
      <w:r>
        <w:rPr>
          <w:b w:val="0"/>
          <w:i w:val="0"/>
        </w:rPr>
        <w:t xml:space="preserve">; </w:t>
      </w:r>
      <w:hyperlink w:anchor="latin-record-1104">
        <w:r>
          <w:rPr>
            <w:color w:val="000000"/>
          </w:rPr>
          <w:t xml:space="preserve">renovare</w:t>
        </w:r>
      </w:hyperlink>
      <w:r>
        <w:rPr>
          <w:b w:val="0"/>
          <w:i w:val="0"/>
        </w:rPr>
        <w:t xml:space="preserve">; </w:t>
      </w:r>
      <w:hyperlink w:anchor="latin-record-1222">
        <w:r>
          <w:rPr>
            <w:color w:val="000000"/>
          </w:rPr>
          <w:t xml:space="preserve">sphaera</w:t>
        </w:r>
      </w:hyperlink>
      <w:r>
        <w:rPr>
          <w:b w:val="0"/>
          <w:i w:val="0"/>
        </w:rPr>
        <w:t xml:space="preserve">; </w:t>
      </w:r>
      <w:hyperlink w:anchor="latin-record-1358">
        <w:r>
          <w:rPr>
            <w:color w:val="000000"/>
          </w:rPr>
          <w:t xml:space="preserve">virtus</w:t>
        </w:r>
      </w:hyperlink>
      <w:r>
        <w:rPr>
          <w:b w:val="0"/>
          <w:i w:val="0"/>
        </w:rPr>
        <w:t>.</w:t>
      </w:r>
    </w:p>
    <w:p>
      <w:pPr>
        <w:widowControl/>
      </w:pPr>
      <w:bookmarkStart w:id="1648" w:name="passage-v-1-5"/>
      <w:bookmarkEnd w:id="1648"/>
      <w:r>
        <w:rPr>
          <w:b/>
          <w:i w:val="0"/>
        </w:rPr>
        <w:t>V.1.5</w:t>
      </w:r>
      <w:r>
        <w:rPr>
          <w:b/>
          <w:i w:val="0"/>
        </w:rPr>
        <w:t>, source pp. 10–11.</w:t>
      </w:r>
      <w:r>
        <w:rPr>
          <w:b w:val="0"/>
          <w:i w:val="0"/>
        </w:rPr>
        <w:t xml:space="preserve"> Articles: </w:t>
      </w:r>
      <w:hyperlink w:anchor="circularity-and-spiritual-spheres">
        <w:r>
          <w:rPr>
            <w:color w:val="000000"/>
          </w:rPr>
          <w:t xml:space="preserve">Circularity and spiritual spheres</w:t>
        </w:r>
      </w:hyperlink>
      <w:r>
        <w:rPr>
          <w:b w:val="0"/>
          <w:i w:val="0"/>
        </w:rPr>
        <w:t xml:space="preserve">; </w:t>
      </w:r>
      <w:hyperlink w:anchor="image-shadow-and-ranked-truth">
        <w:r>
          <w:rPr>
            <w:color w:val="000000"/>
          </w:rPr>
          <w:t xml:space="preserve">Image, shadow and ranked truth</w:t>
        </w:r>
      </w:hyperlink>
      <w:r>
        <w:rPr>
          <w:b w:val="0"/>
          <w:i w:val="0"/>
        </w:rPr>
        <w:t xml:space="preserve">. Vocabulary: </w:t>
      </w:r>
      <w:hyperlink w:anchor="latin-record-0215">
        <w:r>
          <w:rPr>
            <w:color w:val="000000"/>
          </w:rPr>
          <w:t xml:space="preserve">circuitus</w:t>
        </w:r>
      </w:hyperlink>
      <w:r>
        <w:rPr>
          <w:b w:val="0"/>
          <w:i w:val="0"/>
        </w:rPr>
        <w:t xml:space="preserve">; </w:t>
      </w:r>
      <w:hyperlink w:anchor="latin-record-0552">
        <w:r>
          <w:rPr>
            <w:color w:val="000000"/>
          </w:rPr>
          <w:t xml:space="preserve">habere</w:t>
        </w:r>
      </w:hyperlink>
      <w:r>
        <w:rPr>
          <w:b w:val="0"/>
          <w:i w:val="0"/>
        </w:rPr>
        <w:t xml:space="preserve">; </w:t>
      </w:r>
      <w:hyperlink w:anchor="latin-record-0808">
        <w:r>
          <w:rPr>
            <w:color w:val="000000"/>
          </w:rPr>
          <w:t xml:space="preserve">motus / movere</w:t>
        </w:r>
      </w:hyperlink>
      <w:r>
        <w:rPr>
          <w:b w:val="0"/>
          <w:i w:val="0"/>
        </w:rPr>
        <w:t xml:space="preserve">; </w:t>
      </w:r>
      <w:hyperlink w:anchor="latin-record-1222">
        <w:r>
          <w:rPr>
            <w:color w:val="000000"/>
          </w:rPr>
          <w:t xml:space="preserve">sphaera</w:t>
        </w:r>
      </w:hyperlink>
      <w:r>
        <w:rPr>
          <w:b w:val="0"/>
          <w:i w:val="0"/>
        </w:rPr>
        <w:t xml:space="preserve">; </w:t>
      </w:r>
      <w:hyperlink w:anchor="latin-record-1223">
        <w:r>
          <w:rPr>
            <w:color w:val="000000"/>
          </w:rPr>
          <w:t xml:space="preserve">spiritalis</w:t>
        </w:r>
      </w:hyperlink>
      <w:r>
        <w:rPr>
          <w:b w:val="0"/>
          <w:i w:val="0"/>
        </w:rPr>
        <w:t xml:space="preserve">; </w:t>
      </w:r>
      <w:hyperlink w:anchor="latin-record-1245">
        <w:r>
          <w:rPr>
            <w:color w:val="000000"/>
          </w:rPr>
          <w:t xml:space="preserve">substantia</w:t>
        </w:r>
      </w:hyperlink>
      <w:r>
        <w:rPr>
          <w:b w:val="0"/>
          <w:i w:val="0"/>
        </w:rPr>
        <w:t xml:space="preserve">; </w:t>
      </w:r>
      <w:hyperlink w:anchor="latin-record-1287">
        <w:r>
          <w:rPr>
            <w:color w:val="000000"/>
          </w:rPr>
          <w:t xml:space="preserve">terminus</w:t>
        </w:r>
      </w:hyperlink>
      <w:r>
        <w:rPr>
          <w:b w:val="0"/>
          <w:i w:val="0"/>
        </w:rPr>
        <w:t xml:space="preserve">; </w:t>
      </w:r>
      <w:hyperlink w:anchor="latin-record-1314">
        <w:r>
          <w:rPr>
            <w:color w:val="000000"/>
          </w:rPr>
          <w:t xml:space="preserve">umbra</w:t>
        </w:r>
      </w:hyperlink>
      <w:r>
        <w:rPr>
          <w:b w:val="0"/>
          <w:i w:val="0"/>
        </w:rPr>
        <w:t>.</w:t>
      </w:r>
    </w:p>
    <w:p>
      <w:pPr>
        <w:pStyle w:val="Heading2"/>
      </w:pPr>
      <w:bookmarkStart w:id="1649" w:name="chapter-v.2"/>
      <w:r>
        <w:rPr>
          <w:b w:val="0"/>
          <w:i w:val="0"/>
        </w:rPr>
        <w:t>Chapter V.2</w:t>
      </w:r>
      <w:bookmarkEnd w:id="1649"/>
    </w:p>
    <w:p>
      <w:pPr>
        <w:widowControl/>
      </w:pPr>
      <w:bookmarkStart w:id="1650" w:name="passage-v-2-1"/>
      <w:bookmarkEnd w:id="1650"/>
      <w:r>
        <w:rPr>
          <w:b/>
          <w:i w:val="0"/>
        </w:rPr>
        <w:t>V.2.1</w:t>
      </w:r>
      <w:r>
        <w:rPr>
          <w:b/>
          <w:i w:val="0"/>
        </w:rPr>
        <w:t>, source pp. 12–13.</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image-shadow-and-ranked-truth">
        <w:r>
          <w:rPr>
            <w:color w:val="000000"/>
          </w:rPr>
          <w:t xml:space="preserve">Image, shadow and ranked truth</w:t>
        </w:r>
      </w:hyperlink>
      <w:r>
        <w:rPr>
          <w:b w:val="0"/>
          <w:i w:val="0"/>
        </w:rPr>
        <w:t xml:space="preserve">; </w:t>
      </w:r>
      <w:hyperlink w:anchor="motion-and-substantial-stability">
        <w:r>
          <w:rPr>
            <w:color w:val="000000"/>
          </w:rPr>
          <w:t xml:space="preserve">Motion and substantial stability</w:t>
        </w:r>
      </w:hyperlink>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time-memory-and-expectation">
        <w:r>
          <w:rPr>
            <w:color w:val="000000"/>
          </w:rPr>
          <w:t xml:space="preserve">Time, memory and expectation</w:t>
        </w:r>
      </w:hyperlink>
      <w:r>
        <w:rPr>
          <w:b w:val="0"/>
          <w:i w:val="0"/>
        </w:rPr>
        <w:t xml:space="preserve">. Vocabulary: </w:t>
      </w:r>
      <w:hyperlink w:anchor="latin-record-0095">
        <w:r>
          <w:rPr>
            <w:color w:val="000000"/>
          </w:rPr>
          <w:t xml:space="preserve">anima rationalis</w:t>
        </w:r>
      </w:hyperlink>
      <w:r>
        <w:rPr>
          <w:b w:val="0"/>
          <w:i w:val="0"/>
        </w:rPr>
        <w:t xml:space="preserve">; </w:t>
      </w:r>
      <w:hyperlink w:anchor="latin-record-0578">
        <w:r>
          <w:rPr>
            <w:color w:val="000000"/>
          </w:rPr>
          <w:t xml:space="preserve">idolum / simulacrum</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89">
        <w:r>
          <w:rPr>
            <w:color w:val="000000"/>
          </w:rPr>
          <w:t xml:space="preserve">irrationalis vita</w:t>
        </w:r>
      </w:hyperlink>
      <w:r>
        <w:rPr>
          <w:b w:val="0"/>
          <w:i w:val="0"/>
        </w:rPr>
        <w:t xml:space="preserve">; </w:t>
      </w:r>
      <w:hyperlink w:anchor="latin-record-0808">
        <w:r>
          <w:rPr>
            <w:color w:val="000000"/>
          </w:rPr>
          <w:t xml:space="preserve">motus / movere</w:t>
        </w:r>
      </w:hyperlink>
      <w:r>
        <w:rPr>
          <w:b w:val="0"/>
          <w:i w:val="0"/>
        </w:rPr>
        <w:t xml:space="preserve">; </w:t>
      </w:r>
      <w:hyperlink w:anchor="latin-record-0816">
        <w:r>
          <w:rPr>
            <w:color w:val="000000"/>
          </w:rPr>
          <w:t xml:space="preserve">mutare / mutatio</w:t>
        </w:r>
      </w:hyperlink>
      <w:r>
        <w:rPr>
          <w:b w:val="0"/>
          <w:i w:val="0"/>
        </w:rPr>
        <w:t xml:space="preserve">; </w:t>
      </w:r>
      <w:hyperlink w:anchor="latin-record-0861">
        <w:r>
          <w:rPr>
            <w:color w:val="000000"/>
          </w:rPr>
          <w:t xml:space="preserve">operatio / operari</w:t>
        </w:r>
      </w:hyperlink>
      <w:r>
        <w:rPr>
          <w:b w:val="0"/>
          <w:i w:val="0"/>
        </w:rPr>
        <w:t xml:space="preserve">; </w:t>
      </w:r>
      <w:hyperlink w:anchor="latin-record-1237">
        <w:r>
          <w:rPr>
            <w:color w:val="000000"/>
          </w:rPr>
          <w:t xml:space="preserve">status</w:t>
        </w:r>
      </w:hyperlink>
      <w:r>
        <w:rPr>
          <w:b w:val="0"/>
          <w:i w:val="0"/>
        </w:rPr>
        <w:t xml:space="preserve">; </w:t>
      </w:r>
      <w:hyperlink w:anchor="latin-record-1245">
        <w:r>
          <w:rPr>
            <w:color w:val="000000"/>
          </w:rPr>
          <w:t xml:space="preserve">substantia</w:t>
        </w:r>
      </w:hyperlink>
      <w:r>
        <w:rPr>
          <w:b w:val="0"/>
          <w:i w:val="0"/>
        </w:rPr>
        <w:t>.</w:t>
      </w:r>
    </w:p>
    <w:p>
      <w:pPr>
        <w:pStyle w:val="Heading2"/>
      </w:pPr>
      <w:bookmarkStart w:id="1651" w:name="chapter-v.3"/>
      <w:r>
        <w:rPr>
          <w:b w:val="0"/>
          <w:i w:val="0"/>
        </w:rPr>
        <w:t>Chapter V.3</w:t>
      </w:r>
      <w:bookmarkEnd w:id="1651"/>
    </w:p>
    <w:p>
      <w:pPr>
        <w:widowControl/>
      </w:pPr>
      <w:bookmarkStart w:id="1652" w:name="passage-v-3-1"/>
      <w:bookmarkEnd w:id="1652"/>
      <w:r>
        <w:rPr>
          <w:b/>
          <w:i w:val="0"/>
        </w:rPr>
        <w:t>V.3.1</w:t>
      </w:r>
      <w:r>
        <w:rPr>
          <w:b/>
          <w:i w:val="0"/>
        </w:rPr>
        <w:t>, source pp. 14–15.</w:t>
      </w:r>
      <w:r>
        <w:rPr>
          <w:b w:val="0"/>
          <w:i w:val="0"/>
        </w:rPr>
        <w:t xml:space="preserve"> Articles: </w:t>
      </w:r>
      <w:hyperlink w:anchor="motion-and-substantial-stability">
        <w:r>
          <w:rPr>
            <w:color w:val="000000"/>
          </w:rPr>
          <w:t xml:space="preserve">Motion and substantial stability</w:t>
        </w:r>
      </w:hyperlink>
      <w:r>
        <w:rPr>
          <w:b w:val="0"/>
          <w:i w:val="0"/>
        </w:rPr>
        <w:t xml:space="preserve">; </w:t>
      </w:r>
      <w:hyperlink w:anchor="passivity-and-bodily-affection">
        <w:r>
          <w:rPr>
            <w:color w:val="000000"/>
          </w:rPr>
          <w:t xml:space="preserve">Passivity and bodily affection</w:t>
        </w:r>
      </w:hyperlink>
      <w:r>
        <w:rPr>
          <w:b w:val="0"/>
          <w:i w:val="0"/>
        </w:rPr>
        <w:t xml:space="preserve">. Vocabulary: </w:t>
      </w:r>
      <w:hyperlink w:anchor="latin-record-0088">
        <w:r>
          <w:rPr>
            <w:color w:val="000000"/>
          </w:rPr>
          <w:t xml:space="preserve">angelus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464">
        <w:r>
          <w:rPr>
            <w:color w:val="000000"/>
          </w:rPr>
          <w:t xml:space="preserve">expers</w:t>
        </w:r>
      </w:hyperlink>
      <w:r>
        <w:rPr>
          <w:b w:val="0"/>
          <w:i w:val="0"/>
        </w:rPr>
        <w:t xml:space="preserve">; </w:t>
      </w:r>
      <w:hyperlink w:anchor="latin-record-0546">
        <w:r>
          <w:rPr>
            <w:color w:val="000000"/>
          </w:rPr>
          <w:t xml:space="preserve">gradus</w:t>
        </w:r>
      </w:hyperlink>
      <w:r>
        <w:rPr>
          <w:b w:val="0"/>
          <w:i w:val="0"/>
        </w:rPr>
        <w:t xml:space="preserve">; </w:t>
      </w:r>
      <w:hyperlink w:anchor="latin-record-0556">
        <w:r>
          <w:rPr>
            <w:color w:val="000000"/>
          </w:rPr>
          <w:t xml:space="preserve">haerere / inhaerere</w:t>
        </w:r>
      </w:hyperlink>
      <w:r>
        <w:rPr>
          <w:b w:val="0"/>
          <w:i w:val="0"/>
        </w:rPr>
        <w:t xml:space="preserve">; </w:t>
      </w:r>
      <w:hyperlink w:anchor="latin-record-0904">
        <w:r>
          <w:rPr>
            <w:color w:val="000000"/>
          </w:rPr>
          <w:t xml:space="preserve">passio</w:t>
        </w:r>
      </w:hyperlink>
      <w:r>
        <w:rPr>
          <w:b w:val="0"/>
          <w:i w:val="0"/>
        </w:rPr>
        <w:t xml:space="preserve">; </w:t>
      </w:r>
      <w:hyperlink w:anchor="latin-record-0906">
        <w:r>
          <w:rPr>
            <w:color w:val="000000"/>
          </w:rPr>
          <w:t xml:space="preserve">passivus / activus</w:t>
        </w:r>
      </w:hyperlink>
      <w:r>
        <w:rPr>
          <w:b w:val="0"/>
          <w:i w:val="0"/>
        </w:rPr>
        <w:t xml:space="preserve">; </w:t>
      </w:r>
      <w:hyperlink w:anchor="latin-record-0925">
        <w:r>
          <w:rPr>
            <w:color w:val="000000"/>
          </w:rPr>
          <w:t xml:space="preserve">percipere (undergoing affection)</w:t>
        </w:r>
      </w:hyperlink>
      <w:r>
        <w:rPr>
          <w:b w:val="0"/>
          <w:i w:val="0"/>
        </w:rPr>
        <w:t xml:space="preserve">; </w:t>
      </w:r>
      <w:hyperlink w:anchor="latin-record-1042">
        <w:r>
          <w:rPr>
            <w:color w:val="000000"/>
          </w:rPr>
          <w:t xml:space="preserve">qualitas</w:t>
        </w:r>
      </w:hyperlink>
      <w:r>
        <w:rPr>
          <w:b w:val="0"/>
          <w:i w:val="0"/>
        </w:rPr>
        <w:t xml:space="preserve">; </w:t>
      </w:r>
      <w:hyperlink w:anchor="latin-record-1044">
        <w:r>
          <w:rPr>
            <w:color w:val="000000"/>
          </w:rPr>
          <w:t xml:space="preserve">quantitas</w:t>
        </w:r>
      </w:hyperlink>
      <w:r>
        <w:rPr>
          <w:b w:val="0"/>
          <w:i w:val="0"/>
        </w:rPr>
        <w:t xml:space="preserve">; </w:t>
      </w:r>
      <w:hyperlink w:anchor="latin-record-1294">
        <w:r>
          <w:rPr>
            <w:color w:val="000000"/>
          </w:rPr>
          <w:t xml:space="preserve">tertius</w:t>
        </w:r>
      </w:hyperlink>
      <w:r>
        <w:rPr>
          <w:b w:val="0"/>
          <w:i w:val="0"/>
        </w:rPr>
        <w:t>.</w:t>
      </w:r>
    </w:p>
    <w:p>
      <w:pPr>
        <w:pStyle w:val="Heading2"/>
      </w:pPr>
      <w:bookmarkStart w:id="1653" w:name="chapter-v.4"/>
      <w:r>
        <w:rPr>
          <w:b w:val="0"/>
          <w:i w:val="0"/>
        </w:rPr>
        <w:t>Chapter V.4</w:t>
      </w:r>
      <w:bookmarkEnd w:id="1653"/>
    </w:p>
    <w:p>
      <w:pPr>
        <w:widowControl/>
      </w:pPr>
      <w:bookmarkStart w:id="1654" w:name="passage-v-4-1"/>
      <w:bookmarkEnd w:id="1654"/>
      <w:r>
        <w:rPr>
          <w:b/>
          <w:i w:val="0"/>
        </w:rPr>
        <w:t>V.4.1</w:t>
      </w:r>
      <w:r>
        <w:rPr>
          <w:b/>
          <w:i w:val="0"/>
        </w:rPr>
        <w:t>, source pp. 16–17.</w:t>
      </w:r>
      <w:r>
        <w:rPr>
          <w:b w:val="0"/>
          <w:i w:val="0"/>
        </w:rPr>
        <w:t xml:space="preserve"> Articles: </w:t>
      </w:r>
      <w:hyperlink w:anchor="art-and-elemental-transformation">
        <w:r>
          <w:rPr>
            <w:color w:val="000000"/>
          </w:rPr>
          <w:t xml:space="preserve">Art and elemental transformation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057">
        <w:r>
          <w:rPr>
            <w:color w:val="000000"/>
          </w:rPr>
          <w:t xml:space="preserve">agere / efficere</w:t>
        </w:r>
      </w:hyperlink>
      <w:r>
        <w:rPr>
          <w:b w:val="0"/>
          <w:i w:val="0"/>
        </w:rPr>
        <w:t xml:space="preserve">; </w:t>
      </w:r>
      <w:hyperlink w:anchor="latin-record-0108">
        <w:r>
          <w:rPr>
            <w:color w:val="000000"/>
          </w:rPr>
          <w:t xml:space="preserve">apparere / videri / placere</w:t>
        </w:r>
      </w:hyperlink>
      <w:r>
        <w:rPr>
          <w:b w:val="0"/>
          <w:i w:val="0"/>
        </w:rPr>
        <w:t xml:space="preserve">; </w:t>
      </w:r>
      <w:hyperlink w:anchor="latin-record-0115">
        <w:r>
          <w:rPr>
            <w:color w:val="000000"/>
          </w:rPr>
          <w:t xml:space="preserve">aqua / aer / terra</w:t>
        </w:r>
      </w:hyperlink>
      <w:r>
        <w:rPr>
          <w:b w:val="0"/>
          <w:i w:val="0"/>
        </w:rPr>
        <w:t xml:space="preserve">; </w:t>
      </w:r>
      <w:hyperlink w:anchor="latin-record-0127">
        <w:r>
          <w:rPr>
            <w:color w:val="000000"/>
          </w:rPr>
          <w:t xml:space="preserve">ars</w:t>
        </w:r>
      </w:hyperlink>
      <w:r>
        <w:rPr>
          <w:b w:val="0"/>
          <w:i w:val="0"/>
        </w:rPr>
        <w:t xml:space="preserve">; </w:t>
      </w:r>
      <w:hyperlink w:anchor="latin-record-0212">
        <w:r>
          <w:rPr>
            <w:color w:val="000000"/>
          </w:rPr>
          <w:t xml:space="preserve">chaos</w:t>
        </w:r>
      </w:hyperlink>
      <w:r>
        <w:rPr>
          <w:b w:val="0"/>
          <w:i w:val="0"/>
        </w:rPr>
        <w:t xml:space="preserve">; </w:t>
      </w:r>
      <w:hyperlink w:anchor="latin-record-0249">
        <w:r>
          <w:rPr>
            <w:color w:val="000000"/>
          </w:rPr>
          <w:t xml:space="preserve">commutatio</w:t>
        </w:r>
      </w:hyperlink>
      <w:r>
        <w:rPr>
          <w:b w:val="0"/>
          <w:i w:val="0"/>
        </w:rPr>
        <w:t xml:space="preserve">; </w:t>
      </w:r>
      <w:hyperlink w:anchor="latin-record-0428">
        <w:r>
          <w:rPr>
            <w:color w:val="000000"/>
          </w:rPr>
          <w:t xml:space="preserve">egenus / egere / indigere</w:t>
        </w:r>
      </w:hyperlink>
      <w:r>
        <w:rPr>
          <w:b w:val="0"/>
          <w:i w:val="0"/>
        </w:rPr>
        <w:t xml:space="preserve">; </w:t>
      </w:r>
      <w:hyperlink w:anchor="latin-record-0430">
        <w:r>
          <w:rPr>
            <w:color w:val="000000"/>
          </w:rPr>
          <w:t xml:space="preserve">elementum</w:t>
        </w:r>
      </w:hyperlink>
      <w:r>
        <w:rPr>
          <w:b w:val="0"/>
          <w:i w:val="0"/>
        </w:rPr>
        <w:t xml:space="preserve">; </w:t>
      </w:r>
      <w:hyperlink w:anchor="latin-record-0464">
        <w:r>
          <w:rPr>
            <w:color w:val="000000"/>
          </w:rPr>
          <w:t xml:space="preserve">expers</w:t>
        </w:r>
      </w:hyperlink>
      <w:r>
        <w:rPr>
          <w:b w:val="0"/>
          <w:i w:val="0"/>
        </w:rPr>
        <w:t xml:space="preserve">; </w:t>
      </w:r>
      <w:hyperlink w:anchor="latin-record-0467">
        <w:r>
          <w:rPr>
            <w:color w:val="000000"/>
          </w:rPr>
          <w:t xml:space="preserve">extenuare</w:t>
        </w:r>
      </w:hyperlink>
      <w:r>
        <w:rPr>
          <w:b w:val="0"/>
          <w:i w:val="0"/>
        </w:rPr>
        <w:t xml:space="preserve">; </w:t>
      </w:r>
      <w:hyperlink w:anchor="latin-record-0483">
        <w:r>
          <w:rPr>
            <w:color w:val="000000"/>
          </w:rPr>
          <w:t xml:space="preserve">figulus</w:t>
        </w:r>
      </w:hyperlink>
      <w:r>
        <w:rPr>
          <w:b w:val="0"/>
          <w:i w:val="0"/>
        </w:rPr>
        <w:t xml:space="preserve">; </w:t>
      </w:r>
      <w:hyperlink w:anchor="latin-record-0521">
        <w:r>
          <w:rPr>
            <w:color w:val="000000"/>
          </w:rPr>
          <w:t xml:space="preserve">frangere / reparare</w:t>
        </w:r>
      </w:hyperlink>
      <w:r>
        <w:rPr>
          <w:b w:val="0"/>
          <w:i w:val="0"/>
        </w:rPr>
        <w:t xml:space="preserve">; </w:t>
      </w:r>
      <w:hyperlink w:anchor="latin-record-0524">
        <w:r>
          <w:rPr>
            <w:color w:val="000000"/>
          </w:rPr>
          <w:t xml:space="preserve">frigiditas / frigus</w:t>
        </w:r>
      </w:hyperlink>
      <w:r>
        <w:rPr>
          <w:b w:val="0"/>
          <w:i w:val="0"/>
        </w:rPr>
        <w:t xml:space="preserve">; </w:t>
      </w:r>
      <w:hyperlink w:anchor="latin-record-0552">
        <w:r>
          <w:rPr>
            <w:color w:val="000000"/>
          </w:rPr>
          <w:t xml:space="preserve">habere</w:t>
        </w:r>
      </w:hyperlink>
      <w:r>
        <w:rPr>
          <w:b w:val="0"/>
          <w:i w:val="0"/>
        </w:rPr>
        <w:t xml:space="preserve">; </w:t>
      </w:r>
      <w:hyperlink w:anchor="latin-record-0570">
        <w:r>
          <w:rPr>
            <w:color w:val="000000"/>
          </w:rPr>
          <w:t xml:space="preserve">humiditas / humor</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08">
        <w:r>
          <w:rPr>
            <w:color w:val="000000"/>
          </w:rPr>
          <w:t xml:space="preserve">imprimere</w:t>
        </w:r>
      </w:hyperlink>
      <w:r>
        <w:rPr>
          <w:b w:val="0"/>
          <w:i w:val="0"/>
        </w:rPr>
        <w:t xml:space="preserve">; </w:t>
      </w:r>
      <w:hyperlink w:anchor="latin-record-0637">
        <w:r>
          <w:rPr>
            <w:color w:val="000000"/>
          </w:rPr>
          <w:t xml:space="preserve">informis</w:t>
        </w:r>
      </w:hyperlink>
      <w:r>
        <w:rPr>
          <w:b w:val="0"/>
          <w:i w:val="0"/>
        </w:rPr>
        <w:t xml:space="preserve">; </w:t>
      </w:r>
      <w:hyperlink w:anchor="latin-record-0735">
        <w:r>
          <w:rPr>
            <w:color w:val="000000"/>
          </w:rPr>
          <w:t xml:space="preserve">lutum</w:t>
        </w:r>
      </w:hyperlink>
      <w:r>
        <w:rPr>
          <w:b w:val="0"/>
          <w:i w:val="0"/>
        </w:rPr>
        <w:t xml:space="preserve">; </w:t>
      </w:r>
      <w:hyperlink w:anchor="latin-record-0756">
        <w:r>
          <w:rPr>
            <w:color w:val="000000"/>
          </w:rPr>
          <w:t xml:space="preserve">mare</w:t>
        </w:r>
      </w:hyperlink>
      <w:r>
        <w:rPr>
          <w:b w:val="0"/>
          <w:i w:val="0"/>
        </w:rPr>
        <w:t xml:space="preserve">; </w:t>
      </w:r>
      <w:hyperlink w:anchor="latin-record-0762">
        <w:r>
          <w:rPr>
            <w:color w:val="000000"/>
          </w:rPr>
          <w:t xml:space="preserve">materia prima</w:t>
        </w:r>
      </w:hyperlink>
      <w:r>
        <w:rPr>
          <w:b w:val="0"/>
          <w:i w:val="0"/>
        </w:rPr>
        <w:t xml:space="preserve">; </w:t>
      </w:r>
      <w:hyperlink w:anchor="latin-record-0823">
        <w:r>
          <w:rPr>
            <w:color w:val="000000"/>
          </w:rPr>
          <w:t xml:space="preserve">natura</w:t>
        </w:r>
      </w:hyperlink>
      <w:r>
        <w:rPr>
          <w:b w:val="0"/>
          <w:i w:val="0"/>
        </w:rPr>
        <w:t xml:space="preserve">; </w:t>
      </w:r>
      <w:hyperlink w:anchor="latin-record-0833">
        <w:r>
          <w:rPr>
            <w:color w:val="000000"/>
          </w:rPr>
          <w:t xml:space="preserve">necesse / oportere</w:t>
        </w:r>
      </w:hyperlink>
      <w:r>
        <w:rPr>
          <w:b w:val="0"/>
          <w:i w:val="0"/>
        </w:rPr>
        <w:t xml:space="preserve">; </w:t>
      </w:r>
      <w:hyperlink w:anchor="latin-record-0872">
        <w:r>
          <w:rPr>
            <w:color w:val="000000"/>
          </w:rPr>
          <w:t xml:space="preserve">opus</w:t>
        </w:r>
      </w:hyperlink>
      <w:r>
        <w:rPr>
          <w:b w:val="0"/>
          <w:i w:val="0"/>
        </w:rPr>
        <w:t xml:space="preserve">; </w:t>
      </w:r>
      <w:hyperlink w:anchor="latin-record-0933">
        <w:r>
          <w:rPr>
            <w:color w:val="000000"/>
          </w:rPr>
          <w:t xml:space="preserve">perpetuus</w:t>
        </w:r>
      </w:hyperlink>
      <w:r>
        <w:rPr>
          <w:b w:val="0"/>
          <w:i w:val="0"/>
        </w:rPr>
        <w:t xml:space="preserve">; </w:t>
      </w:r>
      <w:hyperlink w:anchor="latin-record-0961">
        <w:r>
          <w:rPr>
            <w:color w:val="000000"/>
          </w:rPr>
          <w:t xml:space="preserve">portiuncula</w:t>
        </w:r>
      </w:hyperlink>
      <w:r>
        <w:rPr>
          <w:b w:val="0"/>
          <w:i w:val="0"/>
        </w:rPr>
        <w:t xml:space="preserve">; </w:t>
      </w:r>
      <w:hyperlink w:anchor="latin-record-0990">
        <w:r>
          <w:rPr>
            <w:color w:val="000000"/>
          </w:rPr>
          <w:t xml:space="preserve">primus / prior</w:t>
        </w:r>
      </w:hyperlink>
      <w:r>
        <w:rPr>
          <w:b w:val="0"/>
          <w:i w:val="0"/>
        </w:rPr>
        <w:t xml:space="preserve">; </w:t>
      </w:r>
      <w:hyperlink w:anchor="latin-record-1029">
        <w:r>
          <w:rPr>
            <w:color w:val="000000"/>
          </w:rPr>
          <w:t xml:space="preserve">pura potentia</w:t>
        </w:r>
      </w:hyperlink>
      <w:r>
        <w:rPr>
          <w:b w:val="0"/>
          <w:i w:val="0"/>
        </w:rPr>
        <w:t xml:space="preserve">; </w:t>
      </w:r>
      <w:hyperlink w:anchor="latin-record-1058">
        <w:r>
          <w:rPr>
            <w:color w:val="000000"/>
          </w:rPr>
          <w:t xml:space="preserve">radius</w:t>
        </w:r>
      </w:hyperlink>
      <w:r>
        <w:rPr>
          <w:b w:val="0"/>
          <w:i w:val="0"/>
        </w:rPr>
        <w:t xml:space="preserve">; </w:t>
      </w:r>
      <w:hyperlink w:anchor="latin-record-1171">
        <w:r>
          <w:rPr>
            <w:color w:val="000000"/>
          </w:rPr>
          <w:t xml:space="preserve">siccitas</w:t>
        </w:r>
      </w:hyperlink>
      <w:r>
        <w:rPr>
          <w:b w:val="0"/>
          <w:i w:val="0"/>
        </w:rPr>
        <w:t xml:space="preserve">; </w:t>
      </w:r>
      <w:hyperlink w:anchor="latin-record-1195">
        <w:r>
          <w:rPr>
            <w:color w:val="000000"/>
          </w:rPr>
          <w:t xml:space="preserve">sol</w:t>
        </w:r>
      </w:hyperlink>
      <w:r>
        <w:rPr>
          <w:b w:val="0"/>
          <w:i w:val="0"/>
        </w:rPr>
        <w:t xml:space="preserve">; </w:t>
      </w:r>
      <w:hyperlink w:anchor="latin-record-1209">
        <w:r>
          <w:rPr>
            <w:color w:val="000000"/>
          </w:rPr>
          <w:t xml:space="preserve">species</w:t>
        </w:r>
      </w:hyperlink>
      <w:r>
        <w:rPr>
          <w:b w:val="0"/>
          <w:i w:val="0"/>
        </w:rPr>
        <w:t xml:space="preserve">; </w:t>
      </w:r>
      <w:hyperlink w:anchor="latin-record-1239">
        <w:r>
          <w:rPr>
            <w:color w:val="000000"/>
          </w:rPr>
          <w:t xml:space="preserve">subiectum</w:t>
        </w:r>
      </w:hyperlink>
      <w:r>
        <w:rPr>
          <w:b w:val="0"/>
          <w:i w:val="0"/>
        </w:rPr>
        <w:t xml:space="preserve">; </w:t>
      </w:r>
      <w:hyperlink w:anchor="latin-record-1267">
        <w:r>
          <w:rPr>
            <w:color w:val="000000"/>
          </w:rPr>
          <w:t xml:space="preserve">susceptaculum</w:t>
        </w:r>
      </w:hyperlink>
      <w:r>
        <w:rPr>
          <w:b w:val="0"/>
          <w:i w:val="0"/>
        </w:rPr>
        <w:t xml:space="preserve">; </w:t>
      </w:r>
      <w:hyperlink w:anchor="latin-record-1269">
        <w:r>
          <w:rPr>
            <w:color w:val="000000"/>
          </w:rPr>
          <w:t xml:space="preserve">suscipere / capere / accipere</w:t>
        </w:r>
      </w:hyperlink>
      <w:r>
        <w:rPr>
          <w:b w:val="0"/>
          <w:i w:val="0"/>
        </w:rPr>
        <w:t xml:space="preserve">; </w:t>
      </w:r>
      <w:hyperlink w:anchor="latin-record-1324">
        <w:r>
          <w:rPr>
            <w:color w:val="000000"/>
          </w:rPr>
          <w:t xml:space="preserve">universalis / totus</w:t>
        </w:r>
      </w:hyperlink>
      <w:r>
        <w:rPr>
          <w:b w:val="0"/>
          <w:i w:val="0"/>
        </w:rPr>
        <w:t xml:space="preserve">; </w:t>
      </w:r>
      <w:hyperlink w:anchor="latin-record-1330">
        <w:r>
          <w:rPr>
            <w:color w:val="000000"/>
          </w:rPr>
          <w:t xml:space="preserve">vapor / fumus</w:t>
        </w:r>
      </w:hyperlink>
      <w:r>
        <w:rPr>
          <w:b w:val="0"/>
          <w:i w:val="0"/>
        </w:rPr>
        <w:t xml:space="preserve">; </w:t>
      </w:r>
      <w:hyperlink w:anchor="latin-record-1331">
        <w:r>
          <w:rPr>
            <w:color w:val="000000"/>
          </w:rPr>
          <w:t xml:space="preserve">vas</w:t>
        </w:r>
      </w:hyperlink>
      <w:r>
        <w:rPr>
          <w:b w:val="0"/>
          <w:i w:val="0"/>
        </w:rPr>
        <w:t xml:space="preserve">; </w:t>
      </w:r>
      <w:hyperlink w:anchor="latin-record-1346">
        <w:r>
          <w:rPr>
            <w:color w:val="000000"/>
          </w:rPr>
          <w:t xml:space="preserve">vicissim</w:t>
        </w:r>
      </w:hyperlink>
      <w:r>
        <w:rPr>
          <w:b w:val="0"/>
          <w:i w:val="0"/>
        </w:rPr>
        <w:t xml:space="preserve">; </w:t>
      </w:r>
      <w:hyperlink w:anchor="latin-record-1358">
        <w:r>
          <w:rPr>
            <w:color w:val="000000"/>
          </w:rPr>
          <w:t xml:space="preserve">virtus</w:t>
        </w:r>
      </w:hyperlink>
      <w:r>
        <w:rPr>
          <w:b w:val="0"/>
          <w:i w:val="0"/>
        </w:rPr>
        <w:t xml:space="preserve">; </w:t>
      </w:r>
      <w:hyperlink w:anchor="latin-record-1366">
        <w:r>
          <w:rPr>
            <w:color w:val="000000"/>
          </w:rPr>
          <w:t xml:space="preserve">vis naturalis</w:t>
        </w:r>
      </w:hyperlink>
      <w:r>
        <w:rPr>
          <w:b w:val="0"/>
          <w:i w:val="0"/>
        </w:rPr>
        <w:t>.</w:t>
      </w:r>
    </w:p>
    <w:p>
      <w:pPr>
        <w:widowControl/>
      </w:pPr>
      <w:bookmarkStart w:id="1655" w:name="passage-v-4-2"/>
      <w:bookmarkEnd w:id="1655"/>
      <w:r>
        <w:rPr>
          <w:b/>
          <w:i w:val="0"/>
        </w:rPr>
        <w:t>V.4.2</w:t>
      </w:r>
      <w:r>
        <w:rPr>
          <w:b/>
          <w:i w:val="0"/>
        </w:rPr>
        <w:t>, source pp. 18–19.</w:t>
      </w:r>
      <w:r>
        <w:rPr>
          <w:b w:val="0"/>
          <w:i w:val="0"/>
        </w:rPr>
        <w:t xml:space="preserve"> Articles: </w:t>
      </w:r>
      <w:hyperlink w:anchor="art-and-elemental-transformation">
        <w:r>
          <w:rPr>
            <w:color w:val="000000"/>
          </w:rPr>
          <w:t xml:space="preserve">Art and elemental transformation</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natural-striving-source-and-return">
        <w:r>
          <w:rPr>
            <w:color w:val="000000"/>
          </w:rPr>
          <w:t xml:space="preserve">Natural striving, source and return</w:t>
        </w:r>
      </w:hyperlink>
      <w:r>
        <w:rPr>
          <w:b w:val="0"/>
          <w:i w:val="0"/>
        </w:rPr>
        <w:t xml:space="preserve">. Vocabulary: </w:t>
      </w:r>
      <w:hyperlink w:anchor="latin-record-0166">
        <w:r>
          <w:rPr>
            <w:color w:val="000000"/>
          </w:rPr>
          <w:t xml:space="preserve">bonum / bonitas</w:t>
        </w:r>
      </w:hyperlink>
      <w:r>
        <w:rPr>
          <w:b w:val="0"/>
          <w:i w:val="0"/>
        </w:rPr>
        <w:t xml:space="preserve">; </w:t>
      </w:r>
      <w:hyperlink w:anchor="latin-record-0200">
        <w:r>
          <w:rPr>
            <w:color w:val="000000"/>
          </w:rPr>
          <w:t xml:space="preserve">causa efficiens</w:t>
        </w:r>
      </w:hyperlink>
      <w:r>
        <w:rPr>
          <w:b w:val="0"/>
          <w:i w:val="0"/>
        </w:rPr>
        <w:t xml:space="preserve">; </w:t>
      </w:r>
      <w:hyperlink w:anchor="latin-record-0304">
        <w:r>
          <w:rPr>
            <w:color w:val="000000"/>
          </w:rPr>
          <w:t xml:space="preserve">conservare / servare</w:t>
        </w:r>
      </w:hyperlink>
      <w:r>
        <w:rPr>
          <w:b w:val="0"/>
          <w:i w:val="0"/>
        </w:rPr>
        <w:t xml:space="preserve">; </w:t>
      </w:r>
      <w:hyperlink w:anchor="latin-record-0476">
        <w:r>
          <w:rPr>
            <w:color w:val="000000"/>
          </w:rPr>
          <w:t xml:space="preserve">facilis / difficilis</w:t>
        </w:r>
      </w:hyperlink>
      <w:r>
        <w:rPr>
          <w:b w:val="0"/>
          <w:i w:val="0"/>
        </w:rPr>
        <w:t xml:space="preserve">; </w:t>
      </w:r>
      <w:hyperlink w:anchor="latin-record-0610">
        <w:r>
          <w:rPr>
            <w:color w:val="000000"/>
          </w:rPr>
          <w:t xml:space="preserve">in nihilum</w:t>
        </w:r>
      </w:hyperlink>
      <w:r>
        <w:rPr>
          <w:b w:val="0"/>
          <w:i w:val="0"/>
        </w:rPr>
        <w:t xml:space="preserve">; </w:t>
      </w:r>
      <w:hyperlink w:anchor="latin-record-0636">
        <w:r>
          <w:rPr>
            <w:color w:val="000000"/>
          </w:rPr>
          <w:t xml:space="preserve">influxus</w:t>
        </w:r>
      </w:hyperlink>
      <w:r>
        <w:rPr>
          <w:b w:val="0"/>
          <w:i w:val="0"/>
        </w:rPr>
        <w:t xml:space="preserve">; </w:t>
      </w:r>
      <w:hyperlink w:anchor="latin-record-0961">
        <w:r>
          <w:rPr>
            <w:color w:val="000000"/>
          </w:rPr>
          <w:t xml:space="preserve">portiuncula</w:t>
        </w:r>
      </w:hyperlink>
      <w:r>
        <w:rPr>
          <w:b w:val="0"/>
          <w:i w:val="0"/>
        </w:rPr>
        <w:t xml:space="preserve">; </w:t>
      </w:r>
      <w:hyperlink w:anchor="latin-record-1150">
        <w:r>
          <w:rPr>
            <w:color w:val="000000"/>
          </w:rPr>
          <w:t xml:space="preserve">semel</w:t>
        </w:r>
      </w:hyperlink>
      <w:r>
        <w:rPr>
          <w:b w:val="0"/>
          <w:i w:val="0"/>
        </w:rPr>
        <w:t xml:space="preserve">; </w:t>
      </w:r>
      <w:hyperlink w:anchor="latin-record-1250">
        <w:r>
          <w:rPr>
            <w:color w:val="000000"/>
          </w:rPr>
          <w:t xml:space="preserve">subtrahere / auferre</w:t>
        </w:r>
      </w:hyperlink>
      <w:r>
        <w:rPr>
          <w:b w:val="0"/>
          <w:i w:val="0"/>
        </w:rPr>
        <w:t xml:space="preserve">; </w:t>
      </w:r>
      <w:hyperlink w:anchor="latin-record-1356">
        <w:r>
          <w:rPr>
            <w:color w:val="000000"/>
          </w:rPr>
          <w:t xml:space="preserve">violentia</w:t>
        </w:r>
      </w:hyperlink>
      <w:r>
        <w:rPr>
          <w:b w:val="0"/>
          <w:i w:val="0"/>
        </w:rPr>
        <w:t xml:space="preserve">; </w:t>
      </w:r>
      <w:hyperlink w:anchor="latin-record-1358">
        <w:r>
          <w:rPr>
            <w:color w:val="000000"/>
          </w:rPr>
          <w:t xml:space="preserve">virtus</w:t>
        </w:r>
      </w:hyperlink>
      <w:r>
        <w:rPr>
          <w:b w:val="0"/>
          <w:i w:val="0"/>
        </w:rPr>
        <w:t>.</w:t>
      </w:r>
    </w:p>
    <w:p>
      <w:pPr>
        <w:widowControl/>
      </w:pPr>
      <w:bookmarkStart w:id="1656" w:name="passage-v-4-3"/>
      <w:bookmarkEnd w:id="1656"/>
      <w:r>
        <w:rPr>
          <w:b/>
          <w:i w:val="0"/>
        </w:rPr>
        <w:t>V.4.3</w:t>
      </w:r>
      <w:r>
        <w:rPr>
          <w:b/>
          <w:i w:val="0"/>
        </w:rPr>
        <w:t>, source pp. 18–19.</w:t>
      </w:r>
      <w:r>
        <w:rPr>
          <w:b w:val="0"/>
          <w:i w:val="0"/>
        </w:rPr>
        <w:t xml:space="preserve"> Articles: </w:t>
      </w:r>
      <w:hyperlink w:anchor="art-and-elemental-transformation">
        <w:r>
          <w:rPr>
            <w:color w:val="000000"/>
          </w:rPr>
          <w:t xml:space="preserve">Art and elemental transformation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108">
        <w:r>
          <w:rPr>
            <w:color w:val="000000"/>
          </w:rPr>
          <w:t xml:space="preserve">apparere / videri / placere</w:t>
        </w:r>
      </w:hyperlink>
      <w:r>
        <w:rPr>
          <w:b w:val="0"/>
          <w:i w:val="0"/>
        </w:rPr>
        <w:t xml:space="preserve">; </w:t>
      </w:r>
      <w:hyperlink w:anchor="latin-record-0115">
        <w:r>
          <w:rPr>
            <w:color w:val="000000"/>
          </w:rPr>
          <w:t xml:space="preserve">aqua / aer / terra</w:t>
        </w:r>
      </w:hyperlink>
      <w:r>
        <w:rPr>
          <w:b w:val="0"/>
          <w:i w:val="0"/>
        </w:rPr>
        <w:t xml:space="preserve">; </w:t>
      </w:r>
      <w:hyperlink w:anchor="latin-record-0118">
        <w:r>
          <w:rPr>
            <w:color w:val="000000"/>
          </w:rPr>
          <w:t xml:space="preserve">aquila</w:t>
        </w:r>
      </w:hyperlink>
      <w:r>
        <w:rPr>
          <w:b w:val="0"/>
          <w:i w:val="0"/>
        </w:rPr>
        <w:t xml:space="preserve">; </w:t>
      </w:r>
      <w:hyperlink w:anchor="latin-record-0524">
        <w:r>
          <w:rPr>
            <w:color w:val="000000"/>
          </w:rPr>
          <w:t xml:space="preserve">frigiditas / frigus</w:t>
        </w:r>
      </w:hyperlink>
      <w:r>
        <w:rPr>
          <w:b w:val="0"/>
          <w:i w:val="0"/>
        </w:rPr>
        <w:t xml:space="preserve">; </w:t>
      </w:r>
      <w:hyperlink w:anchor="latin-record-0570">
        <w:r>
          <w:rPr>
            <w:color w:val="000000"/>
          </w:rPr>
          <w:t xml:space="preserve">humiditas / humor</w:t>
        </w:r>
      </w:hyperlink>
      <w:r>
        <w:rPr>
          <w:b w:val="0"/>
          <w:i w:val="0"/>
        </w:rPr>
        <w:t xml:space="preserve">; </w:t>
      </w:r>
      <w:hyperlink w:anchor="latin-record-0704">
        <w:r>
          <w:rPr>
            <w:color w:val="000000"/>
          </w:rPr>
          <w:t xml:space="preserve">latere / delitescere</w:t>
        </w:r>
      </w:hyperlink>
      <w:r>
        <w:rPr>
          <w:b w:val="0"/>
          <w:i w:val="0"/>
        </w:rPr>
        <w:t xml:space="preserve">; </w:t>
      </w:r>
      <w:hyperlink w:anchor="latin-record-0756">
        <w:r>
          <w:rPr>
            <w:color w:val="000000"/>
          </w:rPr>
          <w:t xml:space="preserve">mare</w:t>
        </w:r>
      </w:hyperlink>
      <w:r>
        <w:rPr>
          <w:b w:val="0"/>
          <w:i w:val="0"/>
        </w:rPr>
        <w:t xml:space="preserve">; </w:t>
      </w:r>
      <w:hyperlink w:anchor="latin-record-0786">
        <w:r>
          <w:rPr>
            <w:color w:val="000000"/>
          </w:rPr>
          <w:t xml:space="preserve">milium / ficus</w:t>
        </w:r>
      </w:hyperlink>
      <w:r>
        <w:rPr>
          <w:b w:val="0"/>
          <w:i w:val="0"/>
        </w:rPr>
        <w:t xml:space="preserve">; </w:t>
      </w:r>
      <w:hyperlink w:anchor="latin-record-0930">
        <w:r>
          <w:rPr>
            <w:color w:val="000000"/>
          </w:rPr>
          <w:t xml:space="preserve">permanere / restare / superesse</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151">
        <w:r>
          <w:rPr>
            <w:color w:val="000000"/>
          </w:rPr>
          <w:t xml:space="preserve">semen</w:t>
        </w:r>
      </w:hyperlink>
      <w:r>
        <w:rPr>
          <w:b w:val="0"/>
          <w:i w:val="0"/>
        </w:rPr>
        <w:t xml:space="preserve">; </w:t>
      </w:r>
      <w:hyperlink w:anchor="latin-record-1165">
        <w:r>
          <w:rPr>
            <w:color w:val="000000"/>
          </w:rPr>
          <w:t xml:space="preserve">separare / seiungere / disiungere</w:t>
        </w:r>
      </w:hyperlink>
      <w:r>
        <w:rPr>
          <w:b w:val="0"/>
          <w:i w:val="0"/>
        </w:rPr>
        <w:t xml:space="preserve">; </w:t>
      </w:r>
      <w:hyperlink w:anchor="latin-record-1309">
        <w:r>
          <w:rPr>
            <w:color w:val="000000"/>
          </w:rPr>
          <w:t xml:space="preserve">triticum / pyrum</w:t>
        </w:r>
      </w:hyperlink>
      <w:r>
        <w:rPr>
          <w:b w:val="0"/>
          <w:i w:val="0"/>
        </w:rPr>
        <w:t>.</w:t>
      </w:r>
    </w:p>
    <w:p>
      <w:pPr>
        <w:widowControl/>
      </w:pPr>
      <w:bookmarkStart w:id="1657" w:name="passage-v-4-4"/>
      <w:bookmarkEnd w:id="1657"/>
      <w:r>
        <w:rPr>
          <w:b/>
          <w:i w:val="0"/>
        </w:rPr>
        <w:t>V.4.4</w:t>
      </w:r>
      <w:r>
        <w:rPr>
          <w:b/>
          <w:i w:val="0"/>
        </w:rPr>
        <w:t>, source pp. 20–21.</w:t>
      </w:r>
      <w:r>
        <w:rPr>
          <w:b w:val="0"/>
          <w:i w:val="0"/>
        </w:rPr>
        <w:t xml:space="preserve"> Articles: </w:t>
      </w:r>
      <w:hyperlink w:anchor="art-and-elemental-transformation">
        <w:r>
          <w:rPr>
            <w:color w:val="000000"/>
          </w:rPr>
          <w:t xml:space="preserve">Art and elemental transformation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115">
        <w:r>
          <w:rPr>
            <w:color w:val="000000"/>
          </w:rPr>
          <w:t xml:space="preserve">aqua / aer / terra</w:t>
        </w:r>
      </w:hyperlink>
      <w:r>
        <w:rPr>
          <w:b w:val="0"/>
          <w:i w:val="0"/>
        </w:rPr>
        <w:t xml:space="preserve">; </w:t>
      </w:r>
      <w:hyperlink w:anchor="latin-record-0132">
        <w:r>
          <w:rPr>
            <w:color w:val="000000"/>
          </w:rPr>
          <w:t xml:space="preserve">ascendere / descendere</w:t>
        </w:r>
      </w:hyperlink>
      <w:r>
        <w:rPr>
          <w:b w:val="0"/>
          <w:i w:val="0"/>
        </w:rPr>
        <w:t xml:space="preserve">; </w:t>
      </w:r>
      <w:hyperlink w:anchor="latin-record-0366">
        <w:r>
          <w:rPr>
            <w:color w:val="000000"/>
          </w:rPr>
          <w:t xml:space="preserve">densitas / densare</w:t>
        </w:r>
      </w:hyperlink>
      <w:r>
        <w:rPr>
          <w:b w:val="0"/>
          <w:i w:val="0"/>
        </w:rPr>
        <w:t xml:space="preserve">; </w:t>
      </w:r>
      <w:hyperlink w:anchor="latin-record-0467">
        <w:r>
          <w:rPr>
            <w:color w:val="000000"/>
          </w:rPr>
          <w:t xml:space="preserve">extenuare</w:t>
        </w:r>
      </w:hyperlink>
      <w:r>
        <w:rPr>
          <w:b w:val="0"/>
          <w:i w:val="0"/>
        </w:rPr>
        <w:t xml:space="preserve">; </w:t>
      </w:r>
      <w:hyperlink w:anchor="latin-record-0570">
        <w:r>
          <w:rPr>
            <w:color w:val="000000"/>
          </w:rPr>
          <w:t xml:space="preserve">humiditas / humor</w:t>
        </w:r>
      </w:hyperlink>
      <w:r>
        <w:rPr>
          <w:b w:val="0"/>
          <w:i w:val="0"/>
        </w:rPr>
        <w:t xml:space="preserve">; </w:t>
      </w:r>
      <w:hyperlink w:anchor="latin-record-0628">
        <w:r>
          <w:rPr>
            <w:color w:val="000000"/>
          </w:rPr>
          <w:t xml:space="preserve">induere / exuere</w:t>
        </w:r>
      </w:hyperlink>
      <w:r>
        <w:rPr>
          <w:b w:val="0"/>
          <w:i w:val="0"/>
        </w:rPr>
        <w:t xml:space="preserve">; </w:t>
      </w:r>
      <w:hyperlink w:anchor="latin-record-1063">
        <w:r>
          <w:rPr>
            <w:color w:val="000000"/>
          </w:rPr>
          <w:t xml:space="preserve">rarefactio</w:t>
        </w:r>
      </w:hyperlink>
      <w:r>
        <w:rPr>
          <w:b w:val="0"/>
          <w:i w:val="0"/>
        </w:rPr>
        <w:t xml:space="preserve">; </w:t>
      </w:r>
      <w:hyperlink w:anchor="latin-record-1171">
        <w:r>
          <w:rPr>
            <w:color w:val="000000"/>
          </w:rPr>
          <w:t xml:space="preserve">siccitas</w:t>
        </w:r>
      </w:hyperlink>
      <w:r>
        <w:rPr>
          <w:b w:val="0"/>
          <w:i w:val="0"/>
        </w:rPr>
        <w:t xml:space="preserve">; </w:t>
      </w:r>
      <w:hyperlink w:anchor="latin-record-1312">
        <w:r>
          <w:rPr>
            <w:color w:val="000000"/>
          </w:rPr>
          <w:t xml:space="preserve">turgescere / gravescere</w:t>
        </w:r>
      </w:hyperlink>
      <w:r>
        <w:rPr>
          <w:b w:val="0"/>
          <w:i w:val="0"/>
        </w:rPr>
        <w:t xml:space="preserve">; </w:t>
      </w:r>
      <w:hyperlink w:anchor="latin-record-1346">
        <w:r>
          <w:rPr>
            <w:color w:val="000000"/>
          </w:rPr>
          <w:t xml:space="preserve">vicissim</w:t>
        </w:r>
      </w:hyperlink>
      <w:r>
        <w:rPr>
          <w:b w:val="0"/>
          <w:i w:val="0"/>
        </w:rPr>
        <w:t>.</w:t>
      </w:r>
    </w:p>
    <w:p>
      <w:pPr>
        <w:widowControl/>
      </w:pPr>
      <w:bookmarkStart w:id="1658" w:name="passage-v-4-5"/>
      <w:bookmarkEnd w:id="1658"/>
      <w:r>
        <w:rPr>
          <w:b/>
          <w:i w:val="0"/>
        </w:rPr>
        <w:t>V.4.5</w:t>
      </w:r>
      <w:r>
        <w:rPr>
          <w:b/>
          <w:i w:val="0"/>
        </w:rPr>
        <w:t>, source pp. 20–21.</w:t>
      </w:r>
      <w:r>
        <w:rPr>
          <w:b w:val="0"/>
          <w:i w:val="0"/>
        </w:rPr>
        <w:t xml:space="preserve"> Articles: </w:t>
      </w:r>
      <w:hyperlink w:anchor="prime-matter-and-enduring-support">
        <w:r>
          <w:rPr>
            <w:color w:val="000000"/>
          </w:rPr>
          <w:t xml:space="preserve">Prime matter and enduring support</w:t>
        </w:r>
      </w:hyperlink>
      <w:r>
        <w:rPr>
          <w:b w:val="0"/>
          <w:i w:val="0"/>
        </w:rPr>
        <w:t xml:space="preserve">. Vocabulary: </w:t>
      </w:r>
      <w:hyperlink w:anchor="latin-record-0509">
        <w:r>
          <w:rPr>
            <w:color w:val="000000"/>
          </w:rPr>
          <w:t xml:space="preserve">formabile / formator</w:t>
        </w:r>
      </w:hyperlink>
      <w:r>
        <w:rPr>
          <w:b w:val="0"/>
          <w:i w:val="0"/>
        </w:rPr>
        <w:t xml:space="preserve">; </w:t>
      </w:r>
      <w:hyperlink w:anchor="latin-record-0532">
        <w:r>
          <w:rPr>
            <w:color w:val="000000"/>
          </w:rPr>
          <w:t xml:space="preserve">fundamentum</w:t>
        </w:r>
      </w:hyperlink>
      <w:r>
        <w:rPr>
          <w:b w:val="0"/>
          <w:i w:val="0"/>
        </w:rPr>
        <w:t xml:space="preserve">; </w:t>
      </w:r>
      <w:hyperlink w:anchor="latin-record-0739">
        <w:r>
          <w:rPr>
            <w:color w:val="000000"/>
          </w:rPr>
          <w:t xml:space="preserve">machina</w:t>
        </w:r>
      </w:hyperlink>
      <w:r>
        <w:rPr>
          <w:b w:val="0"/>
          <w:i w:val="0"/>
        </w:rPr>
        <w:t xml:space="preserve">; </w:t>
      </w:r>
      <w:hyperlink w:anchor="latin-record-0891">
        <w:r>
          <w:rPr>
            <w:color w:val="000000"/>
          </w:rPr>
          <w:t xml:space="preserve">pars / particula</w:t>
        </w:r>
      </w:hyperlink>
      <w:r>
        <w:rPr>
          <w:b w:val="0"/>
          <w:i w:val="0"/>
        </w:rPr>
        <w:t xml:space="preserve">; </w:t>
      </w:r>
      <w:hyperlink w:anchor="latin-record-1044">
        <w:r>
          <w:rPr>
            <w:color w:val="000000"/>
          </w:rPr>
          <w:t xml:space="preserve">quantitas</w:t>
        </w:r>
      </w:hyperlink>
      <w:r>
        <w:rPr>
          <w:b w:val="0"/>
          <w:i w:val="0"/>
        </w:rPr>
        <w:t>.</w:t>
      </w:r>
    </w:p>
    <w:p>
      <w:pPr>
        <w:widowControl/>
      </w:pPr>
      <w:bookmarkStart w:id="1659" w:name="passage-v-4-6"/>
      <w:bookmarkEnd w:id="1659"/>
      <w:r>
        <w:rPr>
          <w:b/>
          <w:i w:val="0"/>
        </w:rPr>
        <w:t>V.4.6</w:t>
      </w:r>
      <w:r>
        <w:rPr>
          <w:b/>
          <w:i w:val="0"/>
        </w:rPr>
        <w:t>, source pp. 20–21.</w:t>
      </w:r>
      <w:r>
        <w:rPr>
          <w:b w:val="0"/>
          <w:i w:val="0"/>
        </w:rPr>
        <w:t xml:space="preserve"> Articles: </w:t>
      </w:r>
      <w:hyperlink w:anchor="natural-striving-source-and-return">
        <w:r>
          <w:rPr>
            <w:color w:val="000000"/>
          </w:rPr>
          <w:t xml:space="preserve">Natural striving, source and return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057">
        <w:r>
          <w:rPr>
            <w:color w:val="000000"/>
          </w:rPr>
          <w:t xml:space="preserve">agere / efficere</w:t>
        </w:r>
      </w:hyperlink>
      <w:r>
        <w:rPr>
          <w:b w:val="0"/>
          <w:i w:val="0"/>
        </w:rPr>
        <w:t xml:space="preserve">; </w:t>
      </w:r>
      <w:hyperlink w:anchor="latin-record-0111">
        <w:r>
          <w:rPr>
            <w:color w:val="000000"/>
          </w:rPr>
          <w:t xml:space="preserve">appetitus naturalis</w:t>
        </w:r>
      </w:hyperlink>
      <w:r>
        <w:rPr>
          <w:b w:val="0"/>
          <w:i w:val="0"/>
        </w:rPr>
        <w:t xml:space="preserve">; </w:t>
      </w:r>
      <w:hyperlink w:anchor="latin-record-0248">
        <w:r>
          <w:rPr>
            <w:color w:val="000000"/>
          </w:rPr>
          <w:t xml:space="preserve">commutare / transmutare</w:t>
        </w:r>
      </w:hyperlink>
      <w:r>
        <w:rPr>
          <w:b w:val="0"/>
          <w:i w:val="0"/>
        </w:rPr>
        <w:t xml:space="preserve">; </w:t>
      </w:r>
      <w:hyperlink w:anchor="latin-record-0430">
        <w:r>
          <w:rPr>
            <w:color w:val="000000"/>
          </w:rPr>
          <w:t xml:space="preserve">elementum</w:t>
        </w:r>
      </w:hyperlink>
      <w:r>
        <w:rPr>
          <w:b w:val="0"/>
          <w:i w:val="0"/>
        </w:rPr>
        <w:t xml:space="preserve">; </w:t>
      </w:r>
      <w:hyperlink w:anchor="latin-record-0532">
        <w:r>
          <w:rPr>
            <w:color w:val="000000"/>
          </w:rPr>
          <w:t xml:space="preserve">fundamentum</w:t>
        </w:r>
      </w:hyperlink>
      <w:r>
        <w:rPr>
          <w:b w:val="0"/>
          <w:i w:val="0"/>
        </w:rPr>
        <w:t xml:space="preserve">; </w:t>
      </w:r>
      <w:hyperlink w:anchor="latin-record-0999">
        <w:r>
          <w:rPr>
            <w:color w:val="000000"/>
          </w:rPr>
          <w:t xml:space="preserve">pro viribus</w:t>
        </w:r>
      </w:hyperlink>
      <w:r>
        <w:rPr>
          <w:b w:val="0"/>
          <w:i w:val="0"/>
        </w:rPr>
        <w:t xml:space="preserve">; </w:t>
      </w:r>
      <w:hyperlink w:anchor="latin-record-1010">
        <w:r>
          <w:rPr>
            <w:color w:val="000000"/>
          </w:rPr>
          <w:t xml:space="preserve">propagare / propagatio</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044">
        <w:r>
          <w:rPr>
            <w:color w:val="000000"/>
          </w:rPr>
          <w:t xml:space="preserve">quantitas</w:t>
        </w:r>
      </w:hyperlink>
      <w:r>
        <w:rPr>
          <w:b w:val="0"/>
          <w:i w:val="0"/>
        </w:rPr>
        <w:t xml:space="preserve">; </w:t>
      </w:r>
      <w:hyperlink w:anchor="latin-record-1147">
        <w:r>
          <w:rPr>
            <w:color w:val="000000"/>
          </w:rPr>
          <w:t xml:space="preserve">sedes</w:t>
        </w:r>
      </w:hyperlink>
      <w:r>
        <w:rPr>
          <w:b w:val="0"/>
          <w:i w:val="0"/>
        </w:rPr>
        <w:t xml:space="preserve">; </w:t>
      </w:r>
      <w:hyperlink w:anchor="latin-record-1239">
        <w:r>
          <w:rPr>
            <w:color w:val="000000"/>
          </w:rPr>
          <w:t xml:space="preserve">subiectum</w:t>
        </w:r>
      </w:hyperlink>
      <w:r>
        <w:rPr>
          <w:b w:val="0"/>
          <w:i w:val="0"/>
        </w:rPr>
        <w:t xml:space="preserve">; </w:t>
      </w:r>
      <w:hyperlink w:anchor="latin-record-1270">
        <w:r>
          <w:rPr>
            <w:color w:val="000000"/>
          </w:rPr>
          <w:t xml:space="preserve">sustentaculum</w:t>
        </w:r>
      </w:hyperlink>
      <w:r>
        <w:rPr>
          <w:b w:val="0"/>
          <w:i w:val="0"/>
        </w:rPr>
        <w:t xml:space="preserve">; </w:t>
      </w:r>
      <w:hyperlink w:anchor="latin-record-1356">
        <w:r>
          <w:rPr>
            <w:color w:val="000000"/>
          </w:rPr>
          <w:t xml:space="preserve">violentia</w:t>
        </w:r>
      </w:hyperlink>
      <w:r>
        <w:rPr>
          <w:b w:val="0"/>
          <w:i w:val="0"/>
        </w:rPr>
        <w:t xml:space="preserve">; </w:t>
      </w:r>
      <w:hyperlink w:anchor="latin-record-1358">
        <w:r>
          <w:rPr>
            <w:color w:val="000000"/>
          </w:rPr>
          <w:t xml:space="preserve">virtus</w:t>
        </w:r>
      </w:hyperlink>
      <w:r>
        <w:rPr>
          <w:b w:val="0"/>
          <w:i w:val="0"/>
        </w:rPr>
        <w:t>.</w:t>
      </w:r>
    </w:p>
    <w:p>
      <w:pPr>
        <w:widowControl/>
      </w:pPr>
      <w:bookmarkStart w:id="1660" w:name="passage-v-4-7"/>
      <w:bookmarkEnd w:id="1660"/>
      <w:r>
        <w:rPr>
          <w:b/>
          <w:i w:val="0"/>
        </w:rPr>
        <w:t>V.4.7</w:t>
      </w:r>
      <w:r>
        <w:rPr>
          <w:b/>
          <w:i w:val="0"/>
        </w:rPr>
        <w:t>, source pp. 22–23.</w:t>
      </w:r>
      <w:r>
        <w:rPr>
          <w:b w:val="0"/>
          <w:i w:val="0"/>
        </w:rPr>
        <w:t xml:space="preserve"> Articles: </w:t>
      </w:r>
      <w:hyperlink w:anchor="natural-striving-source-and-return">
        <w:r>
          <w:rPr>
            <w:color w:val="000000"/>
          </w:rPr>
          <w:t xml:space="preserve">Natural striving, source and return</w:t>
        </w:r>
      </w:hyperlink>
      <w:r>
        <w:rPr>
          <w:b w:val="0"/>
          <w:i w:val="0"/>
        </w:rPr>
        <w:t xml:space="preserve">. Vocabulary: </w:t>
      </w:r>
      <w:hyperlink w:anchor="latin-record-0111">
        <w:r>
          <w:rPr>
            <w:color w:val="000000"/>
          </w:rPr>
          <w:t xml:space="preserve">appetitus naturalis</w:t>
        </w:r>
      </w:hyperlink>
      <w:r>
        <w:rPr>
          <w:b w:val="0"/>
          <w:i w:val="0"/>
        </w:rPr>
        <w:t xml:space="preserve">; </w:t>
      </w:r>
      <w:hyperlink w:anchor="latin-record-0166">
        <w:r>
          <w:rPr>
            <w:color w:val="000000"/>
          </w:rPr>
          <w:t xml:space="preserve">bonum / bonitas</w:t>
        </w:r>
      </w:hyperlink>
      <w:r>
        <w:rPr>
          <w:b w:val="0"/>
          <w:i w:val="0"/>
        </w:rPr>
        <w:t xml:space="preserve">; </w:t>
      </w:r>
      <w:hyperlink w:anchor="latin-record-1090">
        <w:r>
          <w:rPr>
            <w:color w:val="000000"/>
          </w:rPr>
          <w:t xml:space="preserve">reflecti / ferri</w:t>
        </w:r>
      </w:hyperlink>
      <w:r>
        <w:rPr>
          <w:b w:val="0"/>
          <w:i w:val="0"/>
        </w:rPr>
        <w:t xml:space="preserve">; </w:t>
      </w:r>
      <w:hyperlink w:anchor="latin-record-1167">
        <w:r>
          <w:rPr>
            <w:color w:val="000000"/>
          </w:rPr>
          <w:t xml:space="preserve">sequi</w:t>
        </w:r>
      </w:hyperlink>
      <w:r>
        <w:rPr>
          <w:b w:val="0"/>
          <w:i w:val="0"/>
        </w:rPr>
        <w:t xml:space="preserve">; </w:t>
      </w:r>
      <w:hyperlink w:anchor="latin-record-1315">
        <w:r>
          <w:rPr>
            <w:color w:val="000000"/>
          </w:rPr>
          <w:t xml:space="preserve">unde / inde / illuc</w:t>
        </w:r>
      </w:hyperlink>
      <w:r>
        <w:rPr>
          <w:b w:val="0"/>
          <w:i w:val="0"/>
        </w:rPr>
        <w:t>.</w:t>
      </w:r>
    </w:p>
    <w:p>
      <w:pPr>
        <w:widowControl/>
      </w:pPr>
      <w:bookmarkStart w:id="1661" w:name="passage-v-4-8"/>
      <w:bookmarkEnd w:id="1661"/>
      <w:r>
        <w:rPr>
          <w:b/>
          <w:i w:val="0"/>
        </w:rPr>
        <w:t>V.4.8</w:t>
      </w:r>
      <w:r>
        <w:rPr>
          <w:b/>
          <w:i w:val="0"/>
        </w:rPr>
        <w:t>, source pp. 22–23.</w:t>
      </w:r>
      <w:r>
        <w:rPr>
          <w:b w:val="0"/>
          <w:i w:val="0"/>
        </w:rPr>
        <w:t xml:space="preserve"> Articles: </w:t>
      </w:r>
      <w:hyperlink w:anchor="generation-corruption-and-annihilation">
        <w:r>
          <w:rPr>
            <w:color w:val="000000"/>
          </w:rPr>
          <w:t xml:space="preserve">Generation, corruption and annihilation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147">
        <w:r>
          <w:rPr>
            <w:color w:val="000000"/>
          </w:rPr>
          <w:t xml:space="preserve">auctor / conditor / opifex</w:t>
        </w:r>
      </w:hyperlink>
      <w:r>
        <w:rPr>
          <w:b w:val="0"/>
          <w:i w:val="0"/>
        </w:rPr>
        <w:t xml:space="preserve">; </w:t>
      </w:r>
      <w:hyperlink w:anchor="latin-record-0532">
        <w:r>
          <w:rPr>
            <w:color w:val="000000"/>
          </w:rPr>
          <w:t xml:space="preserve">fundamentum</w:t>
        </w:r>
      </w:hyperlink>
      <w:r>
        <w:rPr>
          <w:b w:val="0"/>
          <w:i w:val="0"/>
        </w:rPr>
        <w:t xml:space="preserve">; </w:t>
      </w:r>
      <w:hyperlink w:anchor="latin-record-0610">
        <w:r>
          <w:rPr>
            <w:color w:val="000000"/>
          </w:rPr>
          <w:t xml:space="preserve">in nihilum</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872">
        <w:r>
          <w:rPr>
            <w:color w:val="000000"/>
          </w:rPr>
          <w:t xml:space="preserve">opus</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356">
        <w:r>
          <w:rPr>
            <w:color w:val="000000"/>
          </w:rPr>
          <w:t xml:space="preserve">violentia</w:t>
        </w:r>
      </w:hyperlink>
      <w:r>
        <w:rPr>
          <w:b w:val="0"/>
          <w:i w:val="0"/>
        </w:rPr>
        <w:t>.</w:t>
      </w:r>
    </w:p>
    <w:p>
      <w:pPr>
        <w:widowControl/>
      </w:pPr>
      <w:bookmarkStart w:id="1662" w:name="passage-v-4-9"/>
      <w:bookmarkEnd w:id="1662"/>
      <w:r>
        <w:rPr>
          <w:b/>
          <w:i w:val="0"/>
        </w:rPr>
        <w:t>V.4.9</w:t>
      </w:r>
      <w:r>
        <w:rPr>
          <w:b/>
          <w:i w:val="0"/>
        </w:rPr>
        <w:t>, source pp. 22–23.</w:t>
      </w:r>
      <w:r>
        <w:rPr>
          <w:b w:val="0"/>
          <w:i w:val="0"/>
        </w:rPr>
        <w:t xml:space="preserve"> Articles: </w:t>
      </w:r>
      <w:hyperlink w:anchor="generation-corruption-and-annihilation">
        <w:r>
          <w:rPr>
            <w:color w:val="000000"/>
          </w:rPr>
          <w:t xml:space="preserve">Generation, corruption and annihilation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009">
        <w:r>
          <w:rPr>
            <w:color w:val="000000"/>
          </w:rPr>
          <w:t xml:space="preserve">absurdus / repugnare</w:t>
        </w:r>
      </w:hyperlink>
      <w:r>
        <w:rPr>
          <w:b w:val="0"/>
          <w:i w:val="0"/>
        </w:rPr>
        <w:t xml:space="preserve">; </w:t>
      </w:r>
      <w:hyperlink w:anchor="latin-record-0108">
        <w:r>
          <w:rPr>
            <w:color w:val="000000"/>
          </w:rPr>
          <w:t xml:space="preserve">apparere / videri / placere</w:t>
        </w:r>
      </w:hyperlink>
      <w:r>
        <w:rPr>
          <w:b w:val="0"/>
          <w:i w:val="0"/>
        </w:rPr>
        <w:t xml:space="preserve">; </w:t>
      </w:r>
      <w:hyperlink w:anchor="latin-record-0210">
        <w:r>
          <w:rPr>
            <w:color w:val="000000"/>
          </w:rPr>
          <w:t xml:space="preserve">certus / talis</w:t>
        </w:r>
      </w:hyperlink>
      <w:r>
        <w:rPr>
          <w:b w:val="0"/>
          <w:i w:val="0"/>
        </w:rPr>
        <w:t xml:space="preserve">; </w:t>
      </w:r>
      <w:hyperlink w:anchor="latin-record-0248">
        <w:r>
          <w:rPr>
            <w:color w:val="000000"/>
          </w:rPr>
          <w:t xml:space="preserve">commutare / transmutare</w:t>
        </w:r>
      </w:hyperlink>
      <w:r>
        <w:rPr>
          <w:b w:val="0"/>
          <w:i w:val="0"/>
        </w:rPr>
        <w:t xml:space="preserve">; </w:t>
      </w:r>
      <w:hyperlink w:anchor="latin-record-0343">
        <w:r>
          <w:rPr>
            <w:color w:val="000000"/>
          </w:rPr>
          <w:t xml:space="preserve">corrumpere / perdere / interire</w:t>
        </w:r>
      </w:hyperlink>
      <w:r>
        <w:rPr>
          <w:b w:val="0"/>
          <w:i w:val="0"/>
        </w:rPr>
        <w:t xml:space="preserve">; </w:t>
      </w:r>
      <w:hyperlink w:anchor="latin-record-0460">
        <w:r>
          <w:rPr>
            <w:color w:val="000000"/>
          </w:rPr>
          <w:t xml:space="preserve">existentia</w:t>
        </w:r>
      </w:hyperlink>
      <w:r>
        <w:rPr>
          <w:b w:val="0"/>
          <w:i w:val="0"/>
        </w:rPr>
        <w:t xml:space="preserve">; </w:t>
      </w:r>
      <w:hyperlink w:anchor="latin-record-0762">
        <w:r>
          <w:rPr>
            <w:color w:val="000000"/>
          </w:rPr>
          <w:t xml:space="preserve">materia prima</w:t>
        </w:r>
      </w:hyperlink>
      <w:r>
        <w:rPr>
          <w:b w:val="0"/>
          <w:i w:val="0"/>
        </w:rPr>
        <w:t xml:space="preserve">; </w:t>
      </w:r>
      <w:hyperlink w:anchor="latin-record-0891">
        <w:r>
          <w:rPr>
            <w:color w:val="000000"/>
          </w:rPr>
          <w:t xml:space="preserve">pars / particula</w:t>
        </w:r>
      </w:hyperlink>
      <w:r>
        <w:rPr>
          <w:b w:val="0"/>
          <w:i w:val="0"/>
        </w:rPr>
        <w:t xml:space="preserve">; </w:t>
      </w:r>
      <w:hyperlink w:anchor="latin-record-0930">
        <w:r>
          <w:rPr>
            <w:color w:val="000000"/>
          </w:rPr>
          <w:t xml:space="preserve">permanere / restare / superesse</w:t>
        </w:r>
      </w:hyperlink>
      <w:r>
        <w:rPr>
          <w:b w:val="0"/>
          <w:i w:val="0"/>
        </w:rPr>
        <w:t xml:space="preserve">; </w:t>
      </w:r>
      <w:hyperlink w:anchor="latin-record-1029">
        <w:r>
          <w:rPr>
            <w:color w:val="000000"/>
          </w:rPr>
          <w:t xml:space="preserve">pura potentia</w:t>
        </w:r>
      </w:hyperlink>
      <w:r>
        <w:rPr>
          <w:b w:val="0"/>
          <w:i w:val="0"/>
        </w:rPr>
        <w:t xml:space="preserve">; </w:t>
      </w:r>
      <w:hyperlink w:anchor="latin-record-1177">
        <w:r>
          <w:rPr>
            <w:color w:val="000000"/>
          </w:rPr>
          <w:t xml:space="preserve">simplex</w:t>
        </w:r>
      </w:hyperlink>
      <w:r>
        <w:rPr>
          <w:b w:val="0"/>
          <w:i w:val="0"/>
        </w:rPr>
        <w:t>.</w:t>
      </w:r>
    </w:p>
    <w:p>
      <w:pPr>
        <w:widowControl/>
      </w:pPr>
      <w:bookmarkStart w:id="1663" w:name="passage-v-4-10"/>
      <w:bookmarkEnd w:id="1663"/>
      <w:r>
        <w:rPr>
          <w:b/>
          <w:i w:val="0"/>
        </w:rPr>
        <w:t>V.4.10</w:t>
      </w:r>
      <w:r>
        <w:rPr>
          <w:b/>
          <w:i w:val="0"/>
        </w:rPr>
        <w:t>, source pp. 24–25.</w:t>
      </w:r>
      <w:r>
        <w:rPr>
          <w:b w:val="0"/>
          <w:i w:val="0"/>
        </w:rPr>
        <w:t xml:space="preserve"> Articles: </w:t>
      </w:r>
      <w:hyperlink w:anchor="fountains-drawing-and-infusion">
        <w:r>
          <w:rPr>
            <w:color w:val="000000"/>
          </w:rPr>
          <w:t xml:space="preserve">Fountains, drawing and infusion</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095">
        <w:r>
          <w:rPr>
            <w:color w:val="000000"/>
          </w:rPr>
          <w:t xml:space="preserve">anima rationalis</w:t>
        </w:r>
      </w:hyperlink>
      <w:r>
        <w:rPr>
          <w:b w:val="0"/>
          <w:i w:val="0"/>
        </w:rPr>
        <w:t xml:space="preserve">; </w:t>
      </w:r>
      <w:hyperlink w:anchor="latin-record-0248">
        <w:r>
          <w:rPr>
            <w:color w:val="000000"/>
          </w:rPr>
          <w:t xml:space="preserve">commutare / transmutare</w:t>
        </w:r>
      </w:hyperlink>
      <w:r>
        <w:rPr>
          <w:b w:val="0"/>
          <w:i w:val="0"/>
        </w:rPr>
        <w:t xml:space="preserve">; </w:t>
      </w:r>
      <w:hyperlink w:anchor="latin-record-0343">
        <w:r>
          <w:rPr>
            <w:color w:val="000000"/>
          </w:rPr>
          <w:t xml:space="preserve">corrumpere / perdere / interire</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411">
        <w:r>
          <w:rPr>
            <w:color w:val="000000"/>
          </w:rPr>
          <w:t xml:space="preserve">domina / dominari</w:t>
        </w:r>
      </w:hyperlink>
      <w:r>
        <w:rPr>
          <w:b w:val="0"/>
          <w:i w:val="0"/>
        </w:rPr>
        <w:t xml:space="preserve">; </w:t>
      </w:r>
      <w:hyperlink w:anchor="latin-record-0501">
        <w:r>
          <w:rPr>
            <w:color w:val="000000"/>
          </w:rPr>
          <w:t xml:space="preserve">fons essendi</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10">
        <w:r>
          <w:rPr>
            <w:color w:val="000000"/>
          </w:rPr>
          <w:t xml:space="preserve">in nihilum</w:t>
        </w:r>
      </w:hyperlink>
      <w:r>
        <w:rPr>
          <w:b w:val="0"/>
          <w:i w:val="0"/>
        </w:rPr>
        <w:t xml:space="preserve">; </w:t>
      </w:r>
      <w:hyperlink w:anchor="latin-record-0654">
        <w:r>
          <w:rPr>
            <w:color w:val="000000"/>
          </w:rPr>
          <w:t xml:space="preserve">instrumentum</w:t>
        </w:r>
      </w:hyperlink>
      <w:r>
        <w:rPr>
          <w:b w:val="0"/>
          <w:i w:val="0"/>
        </w:rPr>
        <w:t xml:space="preserve">; </w:t>
      </w:r>
      <w:hyperlink w:anchor="latin-record-0804">
        <w:r>
          <w:rPr>
            <w:color w:val="000000"/>
          </w:rPr>
          <w:t xml:space="preserve">motio</w:t>
        </w:r>
      </w:hyperlink>
      <w:r>
        <w:rPr>
          <w:b w:val="0"/>
          <w:i w:val="0"/>
        </w:rPr>
        <w:t xml:space="preserve">; </w:t>
      </w:r>
      <w:hyperlink w:anchor="latin-record-0877">
        <w:r>
          <w:rPr>
            <w:color w:val="000000"/>
          </w:rPr>
          <w:t xml:space="preserve">ordo / ordinare</w:t>
        </w:r>
      </w:hyperlink>
      <w:r>
        <w:rPr>
          <w:b w:val="0"/>
          <w:i w:val="0"/>
        </w:rPr>
        <w:t xml:space="preserve">; </w:t>
      </w:r>
      <w:hyperlink w:anchor="latin-record-1042">
        <w:r>
          <w:rPr>
            <w:color w:val="000000"/>
          </w:rPr>
          <w:t xml:space="preserve">qualitas</w:t>
        </w:r>
      </w:hyperlink>
      <w:r>
        <w:rPr>
          <w:b w:val="0"/>
          <w:i w:val="0"/>
        </w:rPr>
        <w:t xml:space="preserve">; </w:t>
      </w:r>
      <w:hyperlink w:anchor="latin-record-1320">
        <w:r>
          <w:rPr>
            <w:color w:val="000000"/>
          </w:rPr>
          <w:t xml:space="preserve">unitas / unire</w:t>
        </w:r>
      </w:hyperlink>
      <w:r>
        <w:rPr>
          <w:b w:val="0"/>
          <w:i w:val="0"/>
        </w:rPr>
        <w:t xml:space="preserve">; </w:t>
      </w:r>
      <w:hyperlink w:anchor="latin-record-1324">
        <w:r>
          <w:rPr>
            <w:color w:val="000000"/>
          </w:rPr>
          <w:t xml:space="preserve">universalis / totus</w:t>
        </w:r>
      </w:hyperlink>
      <w:r>
        <w:rPr>
          <w:b w:val="0"/>
          <w:i w:val="0"/>
        </w:rPr>
        <w:t xml:space="preserve">; </w:t>
      </w:r>
      <w:hyperlink w:anchor="latin-record-1358">
        <w:r>
          <w:rPr>
            <w:color w:val="000000"/>
          </w:rPr>
          <w:t xml:space="preserve">virtus</w:t>
        </w:r>
      </w:hyperlink>
      <w:r>
        <w:rPr>
          <w:b w:val="0"/>
          <w:i w:val="0"/>
        </w:rPr>
        <w:t xml:space="preserve">; </w:t>
      </w:r>
      <w:hyperlink w:anchor="latin-record-1366">
        <w:r>
          <w:rPr>
            <w:color w:val="000000"/>
          </w:rPr>
          <w:t xml:space="preserve">vis naturalis</w:t>
        </w:r>
      </w:hyperlink>
      <w:r>
        <w:rPr>
          <w:b w:val="0"/>
          <w:i w:val="0"/>
        </w:rPr>
        <w:t>.</w:t>
      </w:r>
    </w:p>
    <w:p>
      <w:pPr>
        <w:pStyle w:val="Heading2"/>
      </w:pPr>
      <w:bookmarkStart w:id="1664" w:name="chapter-v.5"/>
      <w:r>
        <w:rPr>
          <w:b w:val="0"/>
          <w:i w:val="0"/>
        </w:rPr>
        <w:t>Chapter V.5</w:t>
      </w:r>
      <w:bookmarkEnd w:id="1664"/>
    </w:p>
    <w:p>
      <w:pPr>
        <w:widowControl/>
      </w:pPr>
      <w:bookmarkStart w:id="1665" w:name="passage-v-5-1"/>
      <w:bookmarkEnd w:id="1665"/>
      <w:r>
        <w:rPr>
          <w:b/>
          <w:i w:val="0"/>
        </w:rPr>
        <w:t>V.5.1</w:t>
      </w:r>
      <w:r>
        <w:rPr>
          <w:b/>
          <w:i w:val="0"/>
        </w:rPr>
        <w:t>, source pp. 26–27.</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natural-striving-source-and-return">
        <w:r>
          <w:rPr>
            <w:color w:val="000000"/>
          </w:rPr>
          <w:t xml:space="preserve">Natural striving, source and return</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200">
        <w:r>
          <w:rPr>
            <w:color w:val="000000"/>
          </w:rPr>
          <w:t xml:space="preserve">causa efficiens</w:t>
        </w:r>
      </w:hyperlink>
      <w:r>
        <w:rPr>
          <w:b w:val="0"/>
          <w:i w:val="0"/>
        </w:rPr>
        <w:t xml:space="preserve">; </w:t>
      </w:r>
      <w:hyperlink w:anchor="latin-record-0375">
        <w:r>
          <w:rPr>
            <w:color w:val="000000"/>
          </w:rPr>
          <w:t xml:space="preserve">Deus</w:t>
        </w:r>
      </w:hyperlink>
      <w:r>
        <w:rPr>
          <w:b w:val="0"/>
          <w:i w:val="0"/>
        </w:rPr>
        <w:t xml:space="preserve">; </w:t>
      </w:r>
      <w:hyperlink w:anchor="latin-record-0478">
        <w:r>
          <w:rPr>
            <w:color w:val="000000"/>
          </w:rPr>
          <w:t xml:space="preserve">felicitas</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771">
        <w:r>
          <w:rPr>
            <w:color w:val="000000"/>
          </w:rPr>
          <w:t xml:space="preserve">medium</w:t>
        </w:r>
      </w:hyperlink>
      <w:r>
        <w:rPr>
          <w:b w:val="0"/>
          <w:i w:val="0"/>
        </w:rPr>
        <w:t xml:space="preserve">; </w:t>
      </w:r>
      <w:hyperlink w:anchor="latin-record-0859">
        <w:r>
          <w:rPr>
            <w:color w:val="000000"/>
          </w:rPr>
          <w:t xml:space="preserve">omnino</w:t>
        </w:r>
      </w:hyperlink>
      <w:r>
        <w:rPr>
          <w:b w:val="0"/>
          <w:i w:val="0"/>
        </w:rPr>
        <w:t xml:space="preserve">; </w:t>
      </w:r>
      <w:hyperlink w:anchor="latin-record-0914">
        <w:r>
          <w:rPr>
            <w:color w:val="000000"/>
          </w:rPr>
          <w:t xml:space="preserve">per aliud</w:t>
        </w:r>
      </w:hyperlink>
      <w:r>
        <w:rPr>
          <w:b w:val="0"/>
          <w:i w:val="0"/>
        </w:rPr>
        <w:t xml:space="preserve">; </w:t>
      </w:r>
      <w:hyperlink w:anchor="latin-record-0918">
        <w:r>
          <w:rPr>
            <w:color w:val="000000"/>
          </w:rPr>
          <w:t xml:space="preserve">per se</w:t>
        </w:r>
      </w:hyperlink>
      <w:r>
        <w:rPr>
          <w:b w:val="0"/>
          <w:i w:val="0"/>
        </w:rPr>
        <w:t xml:space="preserve">; </w:t>
      </w:r>
      <w:hyperlink w:anchor="latin-record-1324">
        <w:r>
          <w:rPr>
            <w:color w:val="000000"/>
          </w:rPr>
          <w:t xml:space="preserve">universalis / totus</w:t>
        </w:r>
      </w:hyperlink>
      <w:r>
        <w:rPr>
          <w:b w:val="0"/>
          <w:i w:val="0"/>
        </w:rPr>
        <w:t>.</w:t>
      </w:r>
    </w:p>
    <w:p>
      <w:pPr>
        <w:widowControl/>
      </w:pPr>
      <w:bookmarkStart w:id="1666" w:name="passage-v-5-2"/>
      <w:bookmarkEnd w:id="1666"/>
      <w:r>
        <w:rPr>
          <w:b/>
          <w:i w:val="0"/>
        </w:rPr>
        <w:t>V.5.2</w:t>
      </w:r>
      <w:r>
        <w:rPr>
          <w:b/>
          <w:i w:val="0"/>
        </w:rPr>
        <w:t>, source pp. 26–27.</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Vocabulary: </w:t>
      </w:r>
      <w:hyperlink w:anchor="latin-record-0057">
        <w:r>
          <w:rPr>
            <w:color w:val="000000"/>
          </w:rPr>
          <w:t xml:space="preserve">agere / efficere</w:t>
        </w:r>
      </w:hyperlink>
      <w:r>
        <w:rPr>
          <w:b w:val="0"/>
          <w:i w:val="0"/>
        </w:rPr>
        <w:t xml:space="preserve">; </w:t>
      </w:r>
      <w:hyperlink w:anchor="latin-record-0833">
        <w:r>
          <w:rPr>
            <w:color w:val="000000"/>
          </w:rPr>
          <w:t xml:space="preserve">necesse / oportere</w:t>
        </w:r>
      </w:hyperlink>
      <w:r>
        <w:rPr>
          <w:b w:val="0"/>
          <w:i w:val="0"/>
        </w:rPr>
        <w:t xml:space="preserve">; </w:t>
      </w:r>
      <w:hyperlink w:anchor="latin-record-0859">
        <w:r>
          <w:rPr>
            <w:color w:val="000000"/>
          </w:rPr>
          <w:t xml:space="preserve">omnino</w:t>
        </w:r>
      </w:hyperlink>
      <w:r>
        <w:rPr>
          <w:b w:val="0"/>
          <w:i w:val="0"/>
        </w:rPr>
        <w:t xml:space="preserve">; </w:t>
      </w:r>
      <w:hyperlink w:anchor="latin-record-0991">
        <w:r>
          <w:rPr>
            <w:color w:val="000000"/>
          </w:rPr>
          <w:t xml:space="preserve">principale propositum</w:t>
        </w:r>
      </w:hyperlink>
      <w:r>
        <w:rPr>
          <w:b w:val="0"/>
          <w:i w:val="0"/>
        </w:rPr>
        <w:t xml:space="preserve">; </w:t>
      </w:r>
      <w:hyperlink w:anchor="latin-record-1014">
        <w:r>
          <w:rPr>
            <w:color w:val="000000"/>
          </w:rPr>
          <w:t xml:space="preserve">propositum</w:t>
        </w:r>
      </w:hyperlink>
      <w:r>
        <w:rPr>
          <w:b w:val="0"/>
          <w:i w:val="0"/>
        </w:rPr>
        <w:t xml:space="preserve">; </w:t>
      </w:r>
      <w:hyperlink w:anchor="latin-record-1023">
        <w:r>
          <w:rPr>
            <w:color w:val="000000"/>
          </w:rPr>
          <w:t xml:space="preserve">proxime</w:t>
        </w:r>
      </w:hyperlink>
      <w:r>
        <w:rPr>
          <w:b w:val="0"/>
          <w:i w:val="0"/>
        </w:rPr>
        <w:t>.</w:t>
      </w:r>
    </w:p>
    <w:p>
      <w:pPr>
        <w:widowControl/>
      </w:pPr>
      <w:bookmarkStart w:id="1667" w:name="passage-v-5-3"/>
      <w:bookmarkEnd w:id="1667"/>
      <w:r>
        <w:rPr>
          <w:b/>
          <w:i w:val="0"/>
        </w:rPr>
        <w:t>V.5.3</w:t>
      </w:r>
      <w:r>
        <w:rPr>
          <w:b/>
          <w:i w:val="0"/>
        </w:rPr>
        <w:t>, source pp. 28–29.</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057">
        <w:r>
          <w:rPr>
            <w:color w:val="000000"/>
          </w:rPr>
          <w:t xml:space="preserve">agere / efficere</w:t>
        </w:r>
      </w:hyperlink>
      <w:r>
        <w:rPr>
          <w:b w:val="0"/>
          <w:i w:val="0"/>
        </w:rPr>
        <w:t xml:space="preserve">; </w:t>
      </w:r>
      <w:hyperlink w:anchor="latin-record-0077">
        <w:r>
          <w:rPr>
            <w:color w:val="000000"/>
          </w:rPr>
          <w:t xml:space="preserve">alvus / fetus</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546">
        <w:r>
          <w:rPr>
            <w:color w:val="000000"/>
          </w:rPr>
          <w:t xml:space="preserve">gradus</w:t>
        </w:r>
      </w:hyperlink>
      <w:r>
        <w:rPr>
          <w:b w:val="0"/>
          <w:i w:val="0"/>
        </w:rPr>
        <w:t xml:space="preserve">; </w:t>
      </w:r>
      <w:hyperlink w:anchor="latin-record-1042">
        <w:r>
          <w:rPr>
            <w:color w:val="000000"/>
          </w:rPr>
          <w:t xml:space="preserve">qualitas</w:t>
        </w:r>
      </w:hyperlink>
      <w:r>
        <w:rPr>
          <w:b w:val="0"/>
          <w:i w:val="0"/>
        </w:rPr>
        <w:t xml:space="preserve">; </w:t>
      </w:r>
      <w:hyperlink w:anchor="latin-record-1262">
        <w:r>
          <w:rPr>
            <w:color w:val="000000"/>
          </w:rPr>
          <w:t xml:space="preserve">superare / praestare</w:t>
        </w:r>
      </w:hyperlink>
      <w:r>
        <w:rPr>
          <w:b w:val="0"/>
          <w:i w:val="0"/>
        </w:rPr>
        <w:t>.</w:t>
      </w:r>
    </w:p>
    <w:p>
      <w:pPr>
        <w:widowControl/>
      </w:pPr>
      <w:bookmarkStart w:id="1668" w:name="passage-v-5-4"/>
      <w:bookmarkEnd w:id="1668"/>
      <w:r>
        <w:rPr>
          <w:b/>
          <w:i w:val="0"/>
        </w:rPr>
        <w:t>V.5.4</w:t>
      </w:r>
      <w:r>
        <w:rPr>
          <w:b/>
          <w:i w:val="0"/>
        </w:rPr>
        <w:t>, source pp. 28–29.</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132">
        <w:r>
          <w:rPr>
            <w:color w:val="000000"/>
          </w:rPr>
          <w:t xml:space="preserve">ascendere / descendere</w:t>
        </w:r>
      </w:hyperlink>
      <w:r>
        <w:rPr>
          <w:b w:val="0"/>
          <w:i w:val="0"/>
        </w:rPr>
        <w:t xml:space="preserve">; </w:t>
      </w:r>
      <w:hyperlink w:anchor="latin-record-0196">
        <w:r>
          <w:rPr>
            <w:color w:val="000000"/>
          </w:rPr>
          <w:t xml:space="preserve">carere / privari</w:t>
        </w:r>
      </w:hyperlink>
      <w:r>
        <w:rPr>
          <w:b w:val="0"/>
          <w:i w:val="0"/>
        </w:rPr>
        <w:t xml:space="preserve">; </w:t>
      </w:r>
      <w:hyperlink w:anchor="latin-record-0200">
        <w:r>
          <w:rPr>
            <w:color w:val="000000"/>
          </w:rPr>
          <w:t xml:space="preserve">causa efficiens</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546">
        <w:r>
          <w:rPr>
            <w:color w:val="000000"/>
          </w:rPr>
          <w:t xml:space="preserve">gradus</w:t>
        </w:r>
      </w:hyperlink>
      <w:r>
        <w:rPr>
          <w:b w:val="0"/>
          <w:i w:val="0"/>
        </w:rPr>
        <w:t xml:space="preserve">; </w:t>
      </w:r>
      <w:hyperlink w:anchor="latin-record-0868">
        <w:r>
          <w:rPr>
            <w:color w:val="000000"/>
          </w:rPr>
          <w:t xml:space="preserve">opponere / oppositum</w:t>
        </w:r>
      </w:hyperlink>
      <w:r>
        <w:rPr>
          <w:b w:val="0"/>
          <w:i w:val="0"/>
        </w:rPr>
        <w:t xml:space="preserve">; </w:t>
      </w:r>
      <w:hyperlink w:anchor="latin-record-1042">
        <w:r>
          <w:rPr>
            <w:color w:val="000000"/>
          </w:rPr>
          <w:t xml:space="preserve">qualitas</w:t>
        </w:r>
      </w:hyperlink>
      <w:r>
        <w:rPr>
          <w:b w:val="0"/>
          <w:i w:val="0"/>
        </w:rPr>
        <w:t xml:space="preserve">; </w:t>
      </w:r>
      <w:hyperlink w:anchor="latin-record-1262">
        <w:r>
          <w:rPr>
            <w:color w:val="000000"/>
          </w:rPr>
          <w:t xml:space="preserve">superare / praestare</w:t>
        </w:r>
      </w:hyperlink>
      <w:r>
        <w:rPr>
          <w:b w:val="0"/>
          <w:i w:val="0"/>
        </w:rPr>
        <w:t xml:space="preserve">; </w:t>
      </w:r>
      <w:hyperlink w:anchor="latin-record-1294">
        <w:r>
          <w:rPr>
            <w:color w:val="000000"/>
          </w:rPr>
          <w:t xml:space="preserve">tertius</w:t>
        </w:r>
      </w:hyperlink>
      <w:r>
        <w:rPr>
          <w:b w:val="0"/>
          <w:i w:val="0"/>
        </w:rPr>
        <w:t>.</w:t>
      </w:r>
    </w:p>
    <w:p>
      <w:pPr>
        <w:widowControl/>
      </w:pPr>
      <w:bookmarkStart w:id="1669" w:name="passage-v-5-5"/>
      <w:bookmarkEnd w:id="1669"/>
      <w:r>
        <w:rPr>
          <w:b/>
          <w:i w:val="0"/>
        </w:rPr>
        <w:t>V.5.5</w:t>
      </w:r>
      <w:r>
        <w:rPr>
          <w:b/>
          <w:i w:val="0"/>
        </w:rPr>
        <w:t>, source pp. 28–29.</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inclination-and-independence">
        <w:r>
          <w:rPr>
            <w:color w:val="000000"/>
          </w:rPr>
          <w:t xml:space="preserve">Inclination and independence</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088">
        <w:r>
          <w:rPr>
            <w:color w:val="000000"/>
          </w:rPr>
          <w:t xml:space="preserve">angelus</w:t>
        </w:r>
      </w:hyperlink>
      <w:r>
        <w:rPr>
          <w:b w:val="0"/>
          <w:i w:val="0"/>
        </w:rPr>
        <w:t xml:space="preserve">; </w:t>
      </w:r>
      <w:hyperlink w:anchor="latin-record-0200">
        <w:r>
          <w:rPr>
            <w:color w:val="000000"/>
          </w:rPr>
          <w:t xml:space="preserve">causa efficiens</w:t>
        </w:r>
      </w:hyperlink>
      <w:r>
        <w:rPr>
          <w:b w:val="0"/>
          <w:i w:val="0"/>
        </w:rPr>
        <w:t xml:space="preserve">; </w:t>
      </w:r>
      <w:hyperlink w:anchor="latin-record-0367">
        <w:r>
          <w:rPr>
            <w:color w:val="000000"/>
          </w:rPr>
          <w:t xml:space="preserve">dependere / pendere</w:t>
        </w:r>
      </w:hyperlink>
      <w:r>
        <w:rPr>
          <w:b w:val="0"/>
          <w:i w:val="0"/>
        </w:rPr>
        <w:t xml:space="preserve">; </w:t>
      </w:r>
      <w:hyperlink w:anchor="latin-record-0491">
        <w:r>
          <w:rPr>
            <w:color w:val="000000"/>
          </w:rPr>
          <w:t xml:space="preserve">finis / causa finalis</w:t>
        </w:r>
      </w:hyperlink>
      <w:r>
        <w:rPr>
          <w:b w:val="0"/>
          <w:i w:val="0"/>
        </w:rPr>
        <w:t xml:space="preserve">; </w:t>
      </w:r>
      <w:hyperlink w:anchor="latin-record-0615">
        <w:r>
          <w:rPr>
            <w:color w:val="000000"/>
          </w:rPr>
          <w:t xml:space="preserve">inclinari</w:t>
        </w:r>
      </w:hyperlink>
      <w:r>
        <w:rPr>
          <w:b w:val="0"/>
          <w:i w:val="0"/>
        </w:rPr>
        <w:t xml:space="preserve">; </w:t>
      </w:r>
      <w:hyperlink w:anchor="latin-record-1055">
        <w:r>
          <w:rPr>
            <w:color w:val="000000"/>
          </w:rPr>
          <w:t xml:space="preserve">quodammodo</w:t>
        </w:r>
      </w:hyperlink>
      <w:r>
        <w:rPr>
          <w:b w:val="0"/>
          <w:i w:val="0"/>
        </w:rPr>
        <w:t xml:space="preserve">; </w:t>
      </w:r>
      <w:hyperlink w:anchor="latin-record-1068">
        <w:r>
          <w:rPr>
            <w:color w:val="000000"/>
          </w:rPr>
          <w:t xml:space="preserve">ratio / definitio</w:t>
        </w:r>
      </w:hyperlink>
      <w:r>
        <w:rPr>
          <w:b w:val="0"/>
          <w:i w:val="0"/>
        </w:rPr>
        <w:t>.</w:t>
      </w:r>
    </w:p>
    <w:p>
      <w:pPr>
        <w:widowControl/>
      </w:pPr>
      <w:bookmarkStart w:id="1670" w:name="passage-v-5-6"/>
      <w:bookmarkEnd w:id="1670"/>
      <w:r>
        <w:rPr>
          <w:b/>
          <w:i w:val="0"/>
        </w:rPr>
        <w:t>V.5.6</w:t>
      </w:r>
      <w:r>
        <w:rPr>
          <w:b/>
          <w:i w:val="0"/>
        </w:rPr>
        <w:t>, source pp. 28–29.</w:t>
      </w:r>
      <w:r>
        <w:rPr>
          <w:b w:val="0"/>
          <w:i w:val="0"/>
        </w:rPr>
        <w:t xml:space="preserve"> Articles: </w:t>
      </w:r>
      <w:hyperlink w:anchor="inclination-and-independence">
        <w:r>
          <w:rPr>
            <w:color w:val="000000"/>
          </w:rPr>
          <w:t xml:space="preserve">Inclination and independence</w:t>
        </w:r>
      </w:hyperlink>
      <w:r>
        <w:rPr>
          <w:b w:val="0"/>
          <w:i w:val="0"/>
        </w:rPr>
        <w:t>.</w:t>
      </w:r>
    </w:p>
    <w:p>
      <w:pPr>
        <w:widowControl/>
      </w:pPr>
      <w:bookmarkStart w:id="1671" w:name="passage-v-5-7"/>
      <w:bookmarkEnd w:id="1671"/>
      <w:r>
        <w:rPr>
          <w:b/>
          <w:i w:val="0"/>
        </w:rPr>
        <w:t>V.5.7</w:t>
      </w:r>
      <w:r>
        <w:rPr>
          <w:b/>
          <w:i w:val="0"/>
        </w:rPr>
        <w:t>, source pp. 30–31.</w:t>
      </w:r>
      <w:r>
        <w:rPr>
          <w:b w:val="0"/>
          <w:i w:val="0"/>
        </w:rPr>
        <w:t xml:space="preserve"> Articles: </w:t>
      </w:r>
      <w:hyperlink w:anchor="inclination-and-independence">
        <w:r>
          <w:rPr>
            <w:color w:val="000000"/>
          </w:rPr>
          <w:t xml:space="preserve">Inclination and independence</w:t>
        </w:r>
      </w:hyperlink>
      <w:r>
        <w:rPr>
          <w:b w:val="0"/>
          <w:i w:val="0"/>
        </w:rPr>
        <w:t xml:space="preserve">; </w:t>
      </w:r>
      <w:hyperlink w:anchor="soul-as-universal-bond">
        <w:r>
          <w:rPr>
            <w:color w:val="000000"/>
          </w:rPr>
          <w:t xml:space="preserve">Soul as universal bond</w:t>
        </w:r>
      </w:hyperlink>
      <w:r>
        <w:rPr>
          <w:b w:val="0"/>
          <w:i w:val="0"/>
        </w:rPr>
        <w:t xml:space="preserve">. Vocabulary: </w:t>
      </w:r>
      <w:hyperlink w:anchor="latin-record-0594">
        <w:r>
          <w:rPr>
            <w:color w:val="000000"/>
          </w:rPr>
          <w:t xml:space="preserve">immergere / emergere</w:t>
        </w:r>
      </w:hyperlink>
      <w:r>
        <w:rPr>
          <w:b w:val="0"/>
          <w:i w:val="0"/>
        </w:rPr>
        <w:t xml:space="preserve">; </w:t>
      </w:r>
      <w:hyperlink w:anchor="latin-record-0814">
        <w:r>
          <w:rPr>
            <w:color w:val="000000"/>
          </w:rPr>
          <w:t xml:space="preserve">mundi nodus</w:t>
        </w:r>
      </w:hyperlink>
      <w:r>
        <w:rPr>
          <w:b w:val="0"/>
          <w:i w:val="0"/>
        </w:rPr>
        <w:t>.</w:t>
      </w:r>
    </w:p>
    <w:p>
      <w:pPr>
        <w:widowControl/>
      </w:pPr>
      <w:bookmarkStart w:id="1672" w:name="passage-v-5-8"/>
      <w:bookmarkEnd w:id="1672"/>
      <w:r>
        <w:rPr>
          <w:b/>
          <w:i w:val="0"/>
        </w:rPr>
        <w:t>V.5.8</w:t>
      </w:r>
      <w:r>
        <w:rPr>
          <w:b/>
          <w:i w:val="0"/>
        </w:rPr>
        <w:t>, source pp. 30–31.</w:t>
      </w:r>
      <w:r>
        <w:rPr>
          <w:b w:val="0"/>
          <w:i w:val="0"/>
        </w:rPr>
        <w:t xml:space="preserve"> Articles: </w:t>
      </w:r>
      <w:hyperlink w:anchor="circularity-and-spiritual-spheres">
        <w:r>
          <w:rPr>
            <w:color w:val="000000"/>
          </w:rPr>
          <w:t xml:space="preserve">Circularity and spiritual spheres</w:t>
        </w:r>
      </w:hyperlink>
      <w:r>
        <w:rPr>
          <w:b w:val="0"/>
          <w:i w:val="0"/>
        </w:rPr>
        <w:t xml:space="preserve">; </w:t>
      </w:r>
      <w:hyperlink w:anchor="inclination-and-independence">
        <w:r>
          <w:rPr>
            <w:color w:val="000000"/>
          </w:rPr>
          <w:t xml:space="preserve">Inclination and independence</w:t>
        </w:r>
      </w:hyperlink>
      <w:r>
        <w:rPr>
          <w:b w:val="0"/>
          <w:i w:val="0"/>
        </w:rPr>
        <w:t xml:space="preserve">. Vocabulary: </w:t>
      </w:r>
      <w:hyperlink w:anchor="latin-record-0074">
        <w:r>
          <w:rPr>
            <w:color w:val="000000"/>
          </w:rPr>
          <w:t xml:space="preserve">alligare / addicere</w:t>
        </w:r>
      </w:hyperlink>
      <w:r>
        <w:rPr>
          <w:b w:val="0"/>
          <w:i w:val="0"/>
        </w:rPr>
        <w:t xml:space="preserve">; </w:t>
      </w:r>
      <w:hyperlink w:anchor="latin-record-0215">
        <w:r>
          <w:rPr>
            <w:color w:val="000000"/>
          </w:rPr>
          <w:t xml:space="preserve">circuitus</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861">
        <w:r>
          <w:rPr>
            <w:color w:val="000000"/>
          </w:rPr>
          <w:t xml:space="preserve">operatio / operari</w:t>
        </w:r>
      </w:hyperlink>
      <w:r>
        <w:rPr>
          <w:b w:val="0"/>
          <w:i w:val="0"/>
        </w:rPr>
        <w:t xml:space="preserve">; </w:t>
      </w:r>
      <w:hyperlink w:anchor="latin-record-0918">
        <w:r>
          <w:rPr>
            <w:color w:val="000000"/>
          </w:rPr>
          <w:t xml:space="preserve">per se</w:t>
        </w:r>
      </w:hyperlink>
      <w:r>
        <w:rPr>
          <w:b w:val="0"/>
          <w:i w:val="0"/>
        </w:rPr>
        <w:t xml:space="preserve">; </w:t>
      </w:r>
      <w:hyperlink w:anchor="latin-record-0986">
        <w:r>
          <w:rPr>
            <w:color w:val="000000"/>
          </w:rPr>
          <w:t xml:space="preserve">primo moveri</w:t>
        </w:r>
      </w:hyperlink>
      <w:r>
        <w:rPr>
          <w:b w:val="0"/>
          <w:i w:val="0"/>
        </w:rPr>
        <w:t xml:space="preserve">; </w:t>
      </w:r>
      <w:hyperlink w:anchor="latin-record-1141">
        <w:r>
          <w:rPr>
            <w:color w:val="000000"/>
          </w:rPr>
          <w:t xml:space="preserve">se recipere</w:t>
        </w:r>
      </w:hyperlink>
      <w:r>
        <w:rPr>
          <w:b w:val="0"/>
          <w:i w:val="0"/>
        </w:rPr>
        <w:t>.</w:t>
      </w:r>
    </w:p>
    <w:p>
      <w:pPr>
        <w:widowControl/>
      </w:pPr>
      <w:bookmarkStart w:id="1673" w:name="passage-v-5-9"/>
      <w:bookmarkEnd w:id="1673"/>
      <w:r>
        <w:rPr>
          <w:b/>
          <w:i w:val="0"/>
        </w:rPr>
        <w:t>V.5.9</w:t>
      </w:r>
      <w:r>
        <w:rPr>
          <w:b/>
          <w:i w:val="0"/>
        </w:rPr>
        <w:t>, source pp. 30–31.</w:t>
      </w:r>
      <w:r>
        <w:rPr>
          <w:b w:val="0"/>
          <w:i w:val="0"/>
        </w:rPr>
        <w:t xml:space="preserve"> Articles: </w:t>
      </w:r>
      <w:hyperlink w:anchor="inclination-and-independence">
        <w:r>
          <w:rPr>
            <w:color w:val="000000"/>
          </w:rPr>
          <w:t xml:space="preserve">Inclination and independence</w:t>
        </w:r>
      </w:hyperlink>
      <w:r>
        <w:rPr>
          <w:b w:val="0"/>
          <w:i w:val="0"/>
        </w:rPr>
        <w:t xml:space="preserve">; </w:t>
      </w:r>
      <w:hyperlink w:anchor="indivisibility-and-contact">
        <w:r>
          <w:rPr>
            <w:color w:val="000000"/>
          </w:rPr>
          <w:t xml:space="preserve">Indivisibility and contact</w:t>
        </w:r>
      </w:hyperlink>
      <w:r>
        <w:rPr>
          <w:b w:val="0"/>
          <w:i w:val="0"/>
        </w:rPr>
        <w:t xml:space="preserve">; </w:t>
      </w:r>
      <w:hyperlink w:anchor="passivity-and-bodily-affection">
        <w:r>
          <w:rPr>
            <w:color w:val="000000"/>
          </w:rPr>
          <w:t xml:space="preserve">Passivity and bodily affection</w:t>
        </w:r>
      </w:hyperlink>
      <w:r>
        <w:rPr>
          <w:b w:val="0"/>
          <w:i w:val="0"/>
        </w:rPr>
        <w:t xml:space="preserve">. Vocabulary: </w:t>
      </w:r>
      <w:hyperlink w:anchor="latin-record-0196">
        <w:r>
          <w:rPr>
            <w:color w:val="000000"/>
          </w:rPr>
          <w:t xml:space="preserve">carere / privari</w:t>
        </w:r>
      </w:hyperlink>
      <w:r>
        <w:rPr>
          <w:b w:val="0"/>
          <w:i w:val="0"/>
        </w:rPr>
        <w:t xml:space="preserve">; </w:t>
      </w:r>
      <w:hyperlink w:anchor="latin-record-0411">
        <w:r>
          <w:rPr>
            <w:color w:val="000000"/>
          </w:rPr>
          <w:t xml:space="preserve">domina / dominari</w:t>
        </w:r>
      </w:hyperlink>
      <w:r>
        <w:rPr>
          <w:b w:val="0"/>
          <w:i w:val="0"/>
        </w:rPr>
        <w:t xml:space="preserve">; </w:t>
      </w:r>
      <w:hyperlink w:anchor="latin-record-0428">
        <w:r>
          <w:rPr>
            <w:color w:val="000000"/>
          </w:rPr>
          <w:t xml:space="preserve">egenus / egere / indigere</w:t>
        </w:r>
      </w:hyperlink>
      <w:r>
        <w:rPr>
          <w:b w:val="0"/>
          <w:i w:val="0"/>
        </w:rPr>
        <w:t xml:space="preserve">; </w:t>
      </w:r>
      <w:hyperlink w:anchor="latin-record-0552">
        <w:r>
          <w:rPr>
            <w:color w:val="000000"/>
          </w:rPr>
          <w:t xml:space="preserve">habere</w:t>
        </w:r>
      </w:hyperlink>
      <w:r>
        <w:rPr>
          <w:b w:val="0"/>
          <w:i w:val="0"/>
        </w:rPr>
        <w:t xml:space="preserve">; </w:t>
      </w:r>
      <w:hyperlink w:anchor="latin-record-0568">
        <w:r>
          <w:rPr>
            <w:color w:val="000000"/>
          </w:rPr>
          <w:t xml:space="preserve">hostilis / noxius</w:t>
        </w:r>
      </w:hyperlink>
      <w:r>
        <w:rPr>
          <w:b w:val="0"/>
          <w:i w:val="0"/>
        </w:rPr>
        <w:t xml:space="preserve">; </w:t>
      </w:r>
      <w:hyperlink w:anchor="latin-record-0646">
        <w:r>
          <w:rPr>
            <w:color w:val="000000"/>
          </w:rPr>
          <w:t xml:space="preserve">inquinare</w:t>
        </w:r>
      </w:hyperlink>
      <w:r>
        <w:rPr>
          <w:b w:val="0"/>
          <w:i w:val="0"/>
        </w:rPr>
        <w:t xml:space="preserve">; </w:t>
      </w:r>
      <w:hyperlink w:anchor="latin-record-0880">
        <w:r>
          <w:rPr>
            <w:color w:val="000000"/>
          </w:rPr>
          <w:t xml:space="preserve">origo</w:t>
        </w:r>
      </w:hyperlink>
      <w:r>
        <w:rPr>
          <w:b w:val="0"/>
          <w:i w:val="0"/>
        </w:rPr>
        <w:t xml:space="preserve">; </w:t>
      </w:r>
      <w:hyperlink w:anchor="latin-record-0904">
        <w:r>
          <w:rPr>
            <w:color w:val="000000"/>
          </w:rPr>
          <w:t xml:space="preserve">passio</w:t>
        </w:r>
      </w:hyperlink>
      <w:r>
        <w:rPr>
          <w:b w:val="0"/>
          <w:i w:val="0"/>
        </w:rPr>
        <w:t xml:space="preserve">; </w:t>
      </w:r>
      <w:hyperlink w:anchor="latin-record-0907">
        <w:r>
          <w:rPr>
            <w:color w:val="000000"/>
          </w:rPr>
          <w:t xml:space="preserve">patera</w:t>
        </w:r>
      </w:hyperlink>
      <w:r>
        <w:rPr>
          <w:b w:val="0"/>
          <w:i w:val="0"/>
        </w:rPr>
        <w:t xml:space="preserve">; </w:t>
      </w:r>
      <w:hyperlink w:anchor="latin-record-0970">
        <w:r>
          <w:rPr>
            <w:color w:val="000000"/>
          </w:rPr>
          <w:t xml:space="preserve">potentia susceptiva</w:t>
        </w:r>
      </w:hyperlink>
      <w:r>
        <w:rPr>
          <w:b w:val="0"/>
          <w:i w:val="0"/>
        </w:rPr>
        <w:t xml:space="preserve">; </w:t>
      </w:r>
      <w:hyperlink w:anchor="latin-record-1002">
        <w:r>
          <w:rPr>
            <w:color w:val="000000"/>
          </w:rPr>
          <w:t xml:space="preserve">procella / tempestas</w:t>
        </w:r>
      </w:hyperlink>
      <w:r>
        <w:rPr>
          <w:b w:val="0"/>
          <w:i w:val="0"/>
        </w:rPr>
        <w:t xml:space="preserve">; </w:t>
      </w:r>
      <w:hyperlink w:anchor="latin-record-1042">
        <w:r>
          <w:rPr>
            <w:color w:val="000000"/>
          </w:rPr>
          <w:t xml:space="preserve">qualitas</w:t>
        </w:r>
      </w:hyperlink>
      <w:r>
        <w:rPr>
          <w:b w:val="0"/>
          <w:i w:val="0"/>
        </w:rPr>
        <w:t xml:space="preserve">; </w:t>
      </w:r>
      <w:hyperlink w:anchor="latin-record-1044">
        <w:r>
          <w:rPr>
            <w:color w:val="000000"/>
          </w:rPr>
          <w:t xml:space="preserve">quantitas</w:t>
        </w:r>
      </w:hyperlink>
      <w:r>
        <w:rPr>
          <w:b w:val="0"/>
          <w:i w:val="0"/>
        </w:rPr>
        <w:t xml:space="preserve">; </w:t>
      </w:r>
      <w:hyperlink w:anchor="latin-record-1147">
        <w:r>
          <w:rPr>
            <w:color w:val="000000"/>
          </w:rPr>
          <w:t xml:space="preserve">sedes</w:t>
        </w:r>
      </w:hyperlink>
      <w:r>
        <w:rPr>
          <w:b w:val="0"/>
          <w:i w:val="0"/>
        </w:rPr>
        <w:t xml:space="preserve">; </w:t>
      </w:r>
      <w:hyperlink w:anchor="latin-record-1163">
        <w:r>
          <w:rPr>
            <w:color w:val="000000"/>
          </w:rPr>
          <w:t xml:space="preserve">separabilis</w:t>
        </w:r>
      </w:hyperlink>
      <w:r>
        <w:rPr>
          <w:b w:val="0"/>
          <w:i w:val="0"/>
        </w:rPr>
        <w:t xml:space="preserve">; </w:t>
      </w:r>
      <w:hyperlink w:anchor="latin-record-1269">
        <w:r>
          <w:rPr>
            <w:color w:val="000000"/>
          </w:rPr>
          <w:t xml:space="preserve">suscipere / capere / accipere</w:t>
        </w:r>
      </w:hyperlink>
      <w:r>
        <w:rPr>
          <w:b w:val="0"/>
          <w:i w:val="0"/>
        </w:rPr>
        <w:t xml:space="preserve">; </w:t>
      </w:r>
      <w:hyperlink w:anchor="latin-record-1270">
        <w:r>
          <w:rPr>
            <w:color w:val="000000"/>
          </w:rPr>
          <w:t xml:space="preserve">sustentaculum</w:t>
        </w:r>
      </w:hyperlink>
      <w:r>
        <w:rPr>
          <w:b w:val="0"/>
          <w:i w:val="0"/>
        </w:rPr>
        <w:t>.</w:t>
      </w:r>
    </w:p>
    <w:p>
      <w:pPr>
        <w:pStyle w:val="Heading2"/>
      </w:pPr>
      <w:bookmarkStart w:id="1674" w:name="chapter-v.6"/>
      <w:r>
        <w:rPr>
          <w:b w:val="0"/>
          <w:i w:val="0"/>
        </w:rPr>
        <w:t>Chapter V.6</w:t>
      </w:r>
      <w:bookmarkEnd w:id="1674"/>
    </w:p>
    <w:p>
      <w:pPr>
        <w:widowControl/>
      </w:pPr>
      <w:bookmarkStart w:id="1675" w:name="passage-v-6-1"/>
      <w:bookmarkEnd w:id="1675"/>
      <w:r>
        <w:rPr>
          <w:b/>
          <w:i w:val="0"/>
        </w:rPr>
        <w:t>V.6.1</w:t>
      </w:r>
      <w:r>
        <w:rPr>
          <w:b/>
          <w:i w:val="0"/>
        </w:rPr>
        <w:t>, source pp. 32–33.</w:t>
      </w:r>
      <w:r>
        <w:rPr>
          <w:b w:val="0"/>
          <w:i w:val="0"/>
        </w:rPr>
        <w:t xml:space="preserve"> Articles: </w:t>
      </w:r>
      <w:hyperlink w:anchor="indivisibility-and-contact">
        <w:r>
          <w:rPr>
            <w:color w:val="000000"/>
          </w:rPr>
          <w:t xml:space="preserve">Indivisibility and contact</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passivity-and-bodily-affection">
        <w:r>
          <w:rPr>
            <w:color w:val="000000"/>
          </w:rPr>
          <w:t xml:space="preserve">Passivity and bodily affection</w:t>
        </w:r>
      </w:hyperlink>
      <w:r>
        <w:rPr>
          <w:b w:val="0"/>
          <w:i w:val="0"/>
        </w:rPr>
        <w:t xml:space="preserve">; </w:t>
      </w:r>
      <w:hyperlink w:anchor="reception-and-the-receiver">
        <w:r>
          <w:rPr>
            <w:color w:val="000000"/>
          </w:rPr>
          <w:t xml:space="preserve">Reception and the receiver</w:t>
        </w:r>
      </w:hyperlink>
      <w:r>
        <w:rPr>
          <w:b w:val="0"/>
          <w:i w:val="0"/>
        </w:rPr>
        <w:t xml:space="preserve">. Vocabulary: </w:t>
      </w:r>
      <w:hyperlink w:anchor="latin-record-0057">
        <w:r>
          <w:rPr>
            <w:color w:val="000000"/>
          </w:rPr>
          <w:t xml:space="preserve">agere / efficere</w:t>
        </w:r>
      </w:hyperlink>
      <w:r>
        <w:rPr>
          <w:b w:val="0"/>
          <w:i w:val="0"/>
        </w:rPr>
        <w:t xml:space="preserve">; </w:t>
      </w:r>
      <w:hyperlink w:anchor="latin-record-0161">
        <w:r>
          <w:rPr>
            <w:color w:val="000000"/>
          </w:rPr>
          <w:t xml:space="preserve">beneficus</w:t>
        </w:r>
      </w:hyperlink>
      <w:r>
        <w:rPr>
          <w:b w:val="0"/>
          <w:i w:val="0"/>
        </w:rPr>
        <w:t xml:space="preserve">; </w:t>
      </w:r>
      <w:hyperlink w:anchor="latin-record-0304">
        <w:r>
          <w:rPr>
            <w:color w:val="000000"/>
          </w:rPr>
          <w:t xml:space="preserve">conservare / servare</w:t>
        </w:r>
      </w:hyperlink>
      <w:r>
        <w:rPr>
          <w:b w:val="0"/>
          <w:i w:val="0"/>
        </w:rPr>
        <w:t xml:space="preserve">; </w:t>
      </w:r>
      <w:hyperlink w:anchor="latin-record-0343">
        <w:r>
          <w:rPr>
            <w:color w:val="000000"/>
          </w:rPr>
          <w:t xml:space="preserve">corrumpere / perdere / interire</w:t>
        </w:r>
      </w:hyperlink>
      <w:r>
        <w:rPr>
          <w:b w:val="0"/>
          <w:i w:val="0"/>
        </w:rPr>
        <w:t xml:space="preserve">; </w:t>
      </w:r>
      <w:hyperlink w:anchor="latin-record-0346">
        <w:r>
          <w:rPr>
            <w:color w:val="000000"/>
          </w:rPr>
          <w:t xml:space="preserve">creare / creatio</w:t>
        </w:r>
      </w:hyperlink>
      <w:r>
        <w:rPr>
          <w:b w:val="0"/>
          <w:i w:val="0"/>
        </w:rPr>
        <w:t xml:space="preserve">; </w:t>
      </w:r>
      <w:hyperlink w:anchor="latin-record-0405">
        <w:r>
          <w:rPr>
            <w:color w:val="000000"/>
          </w:rPr>
          <w:t xml:space="preserve">dividuum / divisibilis</w:t>
        </w:r>
      </w:hyperlink>
      <w:r>
        <w:rPr>
          <w:b w:val="0"/>
          <w:i w:val="0"/>
        </w:rPr>
        <w:t xml:space="preserve">; </w:t>
      </w:r>
      <w:hyperlink w:anchor="latin-record-0552">
        <w:r>
          <w:rPr>
            <w:color w:val="000000"/>
          </w:rPr>
          <w:t xml:space="preserve">habere</w:t>
        </w:r>
      </w:hyperlink>
      <w:r>
        <w:rPr>
          <w:b w:val="0"/>
          <w:i w:val="0"/>
        </w:rPr>
        <w:t xml:space="preserve">; </w:t>
      </w:r>
      <w:hyperlink w:anchor="latin-record-0592">
        <w:r>
          <w:rPr>
            <w:color w:val="000000"/>
          </w:rPr>
          <w:t xml:space="preserve">imago</w:t>
        </w:r>
      </w:hyperlink>
      <w:r>
        <w:rPr>
          <w:b w:val="0"/>
          <w:i w:val="0"/>
        </w:rPr>
        <w:t xml:space="preserve">; </w:t>
      </w:r>
      <w:hyperlink w:anchor="latin-record-0625">
        <w:r>
          <w:rPr>
            <w:color w:val="000000"/>
          </w:rPr>
          <w:t xml:space="preserve">indivisibilis / individuum</w:t>
        </w:r>
      </w:hyperlink>
      <w:r>
        <w:rPr>
          <w:b w:val="0"/>
          <w:i w:val="0"/>
        </w:rPr>
        <w:t xml:space="preserve">; </w:t>
      </w:r>
      <w:hyperlink w:anchor="latin-record-0640">
        <w:r>
          <w:rPr>
            <w:color w:val="000000"/>
          </w:rPr>
          <w:t xml:space="preserve">infundere</w:t>
        </w:r>
      </w:hyperlink>
      <w:r>
        <w:rPr>
          <w:b w:val="0"/>
          <w:i w:val="0"/>
        </w:rPr>
        <w:t xml:space="preserve">; </w:t>
      </w:r>
      <w:hyperlink w:anchor="latin-record-0840">
        <w:r>
          <w:rPr>
            <w:color w:val="000000"/>
          </w:rPr>
          <w:t xml:space="preserve">nixus / niti</w:t>
        </w:r>
      </w:hyperlink>
      <w:r>
        <w:rPr>
          <w:b w:val="0"/>
          <w:i w:val="0"/>
        </w:rPr>
        <w:t xml:space="preserve">; </w:t>
      </w:r>
      <w:hyperlink w:anchor="latin-record-0891">
        <w:r>
          <w:rPr>
            <w:color w:val="000000"/>
          </w:rPr>
          <w:t xml:space="preserve">pars / particula</w:t>
        </w:r>
      </w:hyperlink>
      <w:r>
        <w:rPr>
          <w:b w:val="0"/>
          <w:i w:val="0"/>
        </w:rPr>
        <w:t xml:space="preserve">; </w:t>
      </w:r>
      <w:hyperlink w:anchor="latin-record-1010">
        <w:r>
          <w:rPr>
            <w:color w:val="000000"/>
          </w:rPr>
          <w:t xml:space="preserve">propagare / propagatio</w:t>
        </w:r>
      </w:hyperlink>
      <w:r>
        <w:rPr>
          <w:b w:val="0"/>
          <w:i w:val="0"/>
        </w:rPr>
        <w:t xml:space="preserve">; </w:t>
      </w:r>
      <w:hyperlink w:anchor="latin-record-1026">
        <w:r>
          <w:rPr>
            <w:color w:val="000000"/>
          </w:rPr>
          <w:t xml:space="preserve">punctum</w:t>
        </w:r>
      </w:hyperlink>
      <w:r>
        <w:rPr>
          <w:b w:val="0"/>
          <w:i w:val="0"/>
        </w:rPr>
        <w:t xml:space="preserve">; </w:t>
      </w:r>
      <w:hyperlink w:anchor="latin-record-1082">
        <w:r>
          <w:rPr>
            <w:color w:val="000000"/>
          </w:rPr>
          <w:t xml:space="preserve">rectus / reflexus</w:t>
        </w:r>
      </w:hyperlink>
      <w:r>
        <w:rPr>
          <w:b w:val="0"/>
          <w:i w:val="0"/>
        </w:rPr>
        <w:t xml:space="preserve">; </w:t>
      </w:r>
      <w:hyperlink w:anchor="latin-record-1160">
        <w:r>
          <w:rPr>
            <w:color w:val="000000"/>
          </w:rPr>
          <w:t xml:space="preserve">sentire / sensus</w:t>
        </w:r>
      </w:hyperlink>
      <w:r>
        <w:rPr>
          <w:b w:val="0"/>
          <w:i w:val="0"/>
        </w:rPr>
        <w:t xml:space="preserve">; </w:t>
      </w:r>
      <w:hyperlink w:anchor="latin-record-1215">
        <w:r>
          <w:rPr>
            <w:color w:val="000000"/>
          </w:rPr>
          <w:t xml:space="preserve">speculum / aqua</w:t>
        </w:r>
      </w:hyperlink>
      <w:r>
        <w:rPr>
          <w:b w:val="0"/>
          <w:i w:val="0"/>
        </w:rPr>
        <w:t xml:space="preserve">; </w:t>
      </w:r>
      <w:hyperlink w:anchor="latin-record-1269">
        <w:r>
          <w:rPr>
            <w:color w:val="000000"/>
          </w:rPr>
          <w:t xml:space="preserve">suscipere / capere / accipere</w:t>
        </w:r>
      </w:hyperlink>
      <w:r>
        <w:rPr>
          <w:b w:val="0"/>
          <w:i w:val="0"/>
        </w:rPr>
        <w:t xml:space="preserve">; </w:t>
      </w:r>
      <w:hyperlink w:anchor="latin-record-1275">
        <w:r>
          <w:rPr>
            <w:color w:val="000000"/>
          </w:rPr>
          <w:t xml:space="preserve">tangere</w:t>
        </w:r>
      </w:hyperlink>
      <w:r>
        <w:rPr>
          <w:b w:val="0"/>
          <w:i w:val="0"/>
        </w:rPr>
        <w:t>.</w:t>
      </w:r>
    </w:p>
    <w:p>
      <w:pPr>
        <w:pStyle w:val="Heading2"/>
      </w:pPr>
      <w:bookmarkStart w:id="1676" w:name="chapter-v.7"/>
      <w:r>
        <w:rPr>
          <w:b w:val="0"/>
          <w:i w:val="0"/>
        </w:rPr>
        <w:t>Chapter V.7</w:t>
      </w:r>
      <w:bookmarkEnd w:id="1676"/>
    </w:p>
    <w:p>
      <w:pPr>
        <w:widowControl/>
      </w:pPr>
      <w:bookmarkStart w:id="1677" w:name="passage-v-7-1"/>
      <w:bookmarkEnd w:id="1677"/>
      <w:r>
        <w:rPr>
          <w:b/>
          <w:i w:val="0"/>
        </w:rPr>
        <w:t>V.7.1</w:t>
      </w:r>
      <w:r>
        <w:rPr>
          <w:b/>
          <w:i w:val="0"/>
        </w:rPr>
        <w:t>, source pp. 34–35.</w:t>
      </w:r>
      <w:r>
        <w:rPr>
          <w:b w:val="0"/>
          <w:i w:val="0"/>
        </w:rPr>
        <w:t xml:space="preserve"> Articles: </w:t>
      </w:r>
      <w:hyperlink w:anchor="comets-and-defining-accounts">
        <w:r>
          <w:rPr>
            <w:color w:val="000000"/>
          </w:rPr>
          <w:t xml:space="preserve">Comets and defining accounts</w:t>
        </w:r>
      </w:hyperlink>
      <w:r>
        <w:rPr>
          <w:b w:val="0"/>
          <w:i w:val="0"/>
        </w:rPr>
        <w:t xml:space="preserve">; </w:t>
      </w:r>
      <w:hyperlink w:anchor="essence-and-being">
        <w:r>
          <w:rPr>
            <w:color w:val="000000"/>
          </w:rPr>
          <w:t xml:space="preserve">Essence and being</w:t>
        </w:r>
      </w:hyperlink>
      <w:r>
        <w:rPr>
          <w:b w:val="0"/>
          <w:i w:val="0"/>
        </w:rPr>
        <w:t xml:space="preserve">. Vocabulary: </w:t>
      </w:r>
      <w:hyperlink w:anchor="latin-record-0011">
        <w:r>
          <w:rPr>
            <w:color w:val="000000"/>
          </w:rPr>
          <w:t xml:space="preserve">accendere / effulgere</w:t>
        </w:r>
      </w:hyperlink>
      <w:r>
        <w:rPr>
          <w:b w:val="0"/>
          <w:i w:val="0"/>
        </w:rPr>
        <w:t xml:space="preserve">; </w:t>
      </w:r>
      <w:hyperlink w:anchor="latin-record-0023">
        <w:r>
          <w:rPr>
            <w:color w:val="000000"/>
          </w:rPr>
          <w:t xml:space="preserve">actus</w:t>
        </w:r>
      </w:hyperlink>
      <w:r>
        <w:rPr>
          <w:b w:val="0"/>
          <w:i w:val="0"/>
        </w:rPr>
        <w:t xml:space="preserve">; </w:t>
      </w:r>
      <w:hyperlink w:anchor="latin-record-0210">
        <w:r>
          <w:rPr>
            <w:color w:val="000000"/>
          </w:rPr>
          <w:t xml:space="preserve">certus / talis</w:t>
        </w:r>
      </w:hyperlink>
      <w:r>
        <w:rPr>
          <w:b w:val="0"/>
          <w:i w:val="0"/>
        </w:rPr>
        <w:t xml:space="preserve">; </w:t>
      </w:r>
      <w:hyperlink w:anchor="latin-record-0350">
        <w:r>
          <w:rPr>
            <w:color w:val="000000"/>
          </w:rPr>
          <w:t xml:space="preserve">crinita</w:t>
        </w:r>
      </w:hyperlink>
      <w:r>
        <w:rPr>
          <w:b w:val="0"/>
          <w:i w:val="0"/>
        </w:rPr>
        <w:t xml:space="preserve">; </w:t>
      </w:r>
      <w:hyperlink w:anchor="latin-record-0440">
        <w:r>
          <w:rPr>
            <w:color w:val="000000"/>
          </w:rPr>
          <w:t xml:space="preserve">esse</w:t>
        </w:r>
      </w:hyperlink>
      <w:r>
        <w:rPr>
          <w:b w:val="0"/>
          <w:i w:val="0"/>
        </w:rPr>
        <w:t xml:space="preserve">; </w:t>
      </w:r>
      <w:hyperlink w:anchor="latin-record-0445">
        <w:r>
          <w:rPr>
            <w:color w:val="000000"/>
          </w:rPr>
          <w:t xml:space="preserve">essentia</w:t>
        </w:r>
      </w:hyperlink>
      <w:r>
        <w:rPr>
          <w:b w:val="0"/>
          <w:i w:val="0"/>
        </w:rPr>
        <w:t xml:space="preserve">; </w:t>
      </w:r>
      <w:hyperlink w:anchor="latin-record-0562">
        <w:r>
          <w:rPr>
            <w:color w:val="000000"/>
          </w:rPr>
          <w:t xml:space="preserve">hic / ibi</w:t>
        </w:r>
      </w:hyperlink>
      <w:r>
        <w:rPr>
          <w:b w:val="0"/>
          <w:i w:val="0"/>
        </w:rPr>
        <w:t xml:space="preserve">; </w:t>
      </w:r>
      <w:hyperlink w:anchor="latin-record-0564">
        <w:r>
          <w:rPr>
            <w:color w:val="000000"/>
          </w:rPr>
          <w:t xml:space="preserve">hodie / cras</w:t>
        </w:r>
      </w:hyperlink>
      <w:r>
        <w:rPr>
          <w:b w:val="0"/>
          <w:i w:val="0"/>
        </w:rPr>
        <w:t xml:space="preserve">; </w:t>
      </w:r>
      <w:hyperlink w:anchor="latin-record-0569">
        <w:r>
          <w:rPr>
            <w:color w:val="000000"/>
          </w:rPr>
          <w:t xml:space="preserve">humanitas</w:t>
        </w:r>
      </w:hyperlink>
      <w:r>
        <w:rPr>
          <w:b w:val="0"/>
          <w:i w:val="0"/>
        </w:rPr>
        <w:t xml:space="preserve">; </w:t>
      </w:r>
      <w:hyperlink w:anchor="latin-record-0722">
        <w:r>
          <w:rPr>
            <w:color w:val="000000"/>
          </w:rPr>
          <w:t xml:space="preserve">locus / tempus</w:t>
        </w:r>
      </w:hyperlink>
      <w:r>
        <w:rPr>
          <w:b w:val="0"/>
          <w:i w:val="0"/>
        </w:rPr>
        <w:t xml:space="preserve">; </w:t>
      </w:r>
      <w:hyperlink w:anchor="latin-record-0879">
        <w:r>
          <w:rPr>
            <w:color w:val="000000"/>
          </w:rPr>
          <w:t xml:space="preserve">oriens / occidens</w:t>
        </w:r>
      </w:hyperlink>
      <w:r>
        <w:rPr>
          <w:b w:val="0"/>
          <w:i w:val="0"/>
        </w:rPr>
        <w:t xml:space="preserve">; </w:t>
      </w:r>
      <w:hyperlink w:anchor="latin-record-0952">
        <w:r>
          <w:rPr>
            <w:color w:val="000000"/>
          </w:rPr>
          <w:t xml:space="preserve">Plato / Socrates</w:t>
        </w:r>
      </w:hyperlink>
      <w:r>
        <w:rPr>
          <w:b w:val="0"/>
          <w:i w:val="0"/>
        </w:rPr>
        <w:t xml:space="preserve">; </w:t>
      </w:r>
      <w:hyperlink w:anchor="latin-record-0979">
        <w:r>
          <w:rPr>
            <w:color w:val="000000"/>
          </w:rPr>
          <w:t xml:space="preserve">praesentia</w:t>
        </w:r>
      </w:hyperlink>
      <w:r>
        <w:rPr>
          <w:b w:val="0"/>
          <w:i w:val="0"/>
        </w:rPr>
        <w:t xml:space="preserve">; </w:t>
      </w:r>
      <w:hyperlink w:anchor="latin-record-1068">
        <w:r>
          <w:rPr>
            <w:color w:val="000000"/>
          </w:rPr>
          <w:t xml:space="preserve">ratio / definitio</w:t>
        </w:r>
      </w:hyperlink>
      <w:r>
        <w:rPr>
          <w:b w:val="0"/>
          <w:i w:val="0"/>
        </w:rPr>
        <w:t xml:space="preserve">; </w:t>
      </w:r>
      <w:hyperlink w:anchor="latin-record-1145">
        <w:r>
          <w:rPr>
            <w:color w:val="000000"/>
          </w:rPr>
          <w:t xml:space="preserve">secundum se</w:t>
        </w:r>
      </w:hyperlink>
      <w:r>
        <w:rPr>
          <w:b w:val="0"/>
          <w:i w:val="0"/>
        </w:rPr>
        <w:t xml:space="preserve">; </w:t>
      </w:r>
      <w:hyperlink w:anchor="latin-record-1287">
        <w:r>
          <w:rPr>
            <w:color w:val="000000"/>
          </w:rPr>
          <w:t xml:space="preserve">terminus</w:t>
        </w:r>
      </w:hyperlink>
      <w:r>
        <w:rPr>
          <w:b w:val="0"/>
          <w:i w:val="0"/>
        </w:rPr>
        <w:t xml:space="preserve">; </w:t>
      </w:r>
      <w:hyperlink w:anchor="latin-record-1330">
        <w:r>
          <w:rPr>
            <w:color w:val="000000"/>
          </w:rPr>
          <w:t xml:space="preserve">vapor / fumus</w:t>
        </w:r>
      </w:hyperlink>
      <w:r>
        <w:rPr>
          <w:b w:val="0"/>
          <w:i w:val="0"/>
        </w:rPr>
        <w:t>.</w:t>
      </w:r>
    </w:p>
    <w:p>
      <w:pPr>
        <w:widowControl/>
      </w:pPr>
      <w:bookmarkStart w:id="1678" w:name="passage-v-7-2"/>
      <w:bookmarkEnd w:id="1678"/>
      <w:r>
        <w:rPr>
          <w:b/>
          <w:i w:val="0"/>
        </w:rPr>
        <w:t>V.7.2</w:t>
      </w:r>
      <w:r>
        <w:rPr>
          <w:b/>
          <w:i w:val="0"/>
        </w:rPr>
        <w:t>, source pp. 36–37.</w:t>
      </w:r>
      <w:r>
        <w:rPr>
          <w:b w:val="0"/>
          <w:i w:val="0"/>
        </w:rPr>
        <w:t xml:space="preserve"> Articles: </w:t>
      </w:r>
      <w:hyperlink w:anchor="conditions-and-the-fashioners-law">
        <w:r>
          <w:rPr>
            <w:color w:val="000000"/>
          </w:rPr>
          <w:t xml:space="preserve">Conditions and the fashioner’s law</w:t>
        </w:r>
      </w:hyperlink>
      <w:r>
        <w:rPr>
          <w:b w:val="0"/>
          <w:i w:val="0"/>
        </w:rPr>
        <w:t xml:space="preserve">; </w:t>
      </w:r>
      <w:hyperlink w:anchor="essence-and-being">
        <w:r>
          <w:rPr>
            <w:color w:val="000000"/>
          </w:rPr>
          <w:t xml:space="preserve">Essence and being</w:t>
        </w:r>
      </w:hyperlink>
      <w:r>
        <w:rPr>
          <w:b w:val="0"/>
          <w:i w:val="0"/>
        </w:rPr>
        <w:t xml:space="preserve">; </w:t>
      </w:r>
      <w:hyperlink w:anchor="reception-and-the-receiver">
        <w:r>
          <w:rPr>
            <w:color w:val="000000"/>
          </w:rPr>
          <w:t xml:space="preserve">Reception and the receiver</w:t>
        </w:r>
      </w:hyperlink>
      <w:r>
        <w:rPr>
          <w:b w:val="0"/>
          <w:i w:val="0"/>
        </w:rPr>
        <w:t xml:space="preserve">. Vocabulary: </w:t>
      </w:r>
      <w:hyperlink w:anchor="latin-record-0147">
        <w:r>
          <w:rPr>
            <w:color w:val="000000"/>
          </w:rPr>
          <w:t xml:space="preserve">auctor / conditor / opifex</w:t>
        </w:r>
      </w:hyperlink>
      <w:r>
        <w:rPr>
          <w:b w:val="0"/>
          <w:i w:val="0"/>
        </w:rPr>
        <w:t xml:space="preserve">; </w:t>
      </w:r>
      <w:hyperlink w:anchor="latin-record-0191">
        <w:r>
          <w:rPr>
            <w:color w:val="000000"/>
          </w:rPr>
          <w:t xml:space="preserve">captus</w:t>
        </w:r>
      </w:hyperlink>
      <w:r>
        <w:rPr>
          <w:b w:val="0"/>
          <w:i w:val="0"/>
        </w:rPr>
        <w:t xml:space="preserve">; </w:t>
      </w:r>
      <w:hyperlink w:anchor="latin-record-0322">
        <w:r>
          <w:rPr>
            <w:color w:val="000000"/>
          </w:rPr>
          <w:t xml:space="preserve">contrahere / coarctare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73">
        <w:r>
          <w:rPr>
            <w:color w:val="000000"/>
          </w:rPr>
          <w:t xml:space="preserve">determinare</w:t>
        </w:r>
      </w:hyperlink>
      <w:r>
        <w:rPr>
          <w:b w:val="0"/>
          <w:i w:val="0"/>
        </w:rPr>
        <w:t xml:space="preserve">; </w:t>
      </w:r>
      <w:hyperlink w:anchor="latin-record-0445">
        <w:r>
          <w:rPr>
            <w:color w:val="000000"/>
          </w:rPr>
          <w:t xml:space="preserve">essentia</w:t>
        </w:r>
      </w:hyperlink>
      <w:r>
        <w:rPr>
          <w:b w:val="0"/>
          <w:i w:val="0"/>
        </w:rPr>
        <w:t xml:space="preserve">; </w:t>
      </w:r>
      <w:hyperlink w:anchor="latin-record-0722">
        <w:r>
          <w:rPr>
            <w:color w:val="000000"/>
          </w:rPr>
          <w:t xml:space="preserve">locus / tempus</w:t>
        </w:r>
      </w:hyperlink>
      <w:r>
        <w:rPr>
          <w:b w:val="0"/>
          <w:i w:val="0"/>
        </w:rPr>
        <w:t xml:space="preserve">; </w:t>
      </w:r>
      <w:hyperlink w:anchor="latin-record-1002">
        <w:r>
          <w:rPr>
            <w:color w:val="000000"/>
          </w:rPr>
          <w:t xml:space="preserve">procella / tempestas</w:t>
        </w:r>
      </w:hyperlink>
      <w:r>
        <w:rPr>
          <w:b w:val="0"/>
          <w:i w:val="0"/>
        </w:rPr>
        <w:t xml:space="preserve">; </w:t>
      </w:r>
      <w:hyperlink w:anchor="latin-record-1165">
        <w:r>
          <w:rPr>
            <w:color w:val="000000"/>
          </w:rPr>
          <w:t xml:space="preserve">separare / seiungere / disiungere</w:t>
        </w:r>
      </w:hyperlink>
      <w:r>
        <w:rPr>
          <w:b w:val="0"/>
          <w:i w:val="0"/>
        </w:rPr>
        <w:t xml:space="preserve">; </w:t>
      </w:r>
      <w:hyperlink w:anchor="latin-record-1207">
        <w:r>
          <w:rPr>
            <w:color w:val="000000"/>
          </w:rPr>
          <w:t xml:space="preserve">sortiri</w:t>
        </w:r>
      </w:hyperlink>
      <w:r>
        <w:rPr>
          <w:b w:val="0"/>
          <w:i w:val="0"/>
        </w:rPr>
        <w:t xml:space="preserve">; </w:t>
      </w:r>
      <w:hyperlink w:anchor="latin-record-1269">
        <w:r>
          <w:rPr>
            <w:color w:val="000000"/>
          </w:rPr>
          <w:t xml:space="preserve">suscipere / capere / accipere</w:t>
        </w:r>
      </w:hyperlink>
      <w:r>
        <w:rPr>
          <w:b w:val="0"/>
          <w:i w:val="0"/>
        </w:rPr>
        <w:t>.</w:t>
      </w:r>
    </w:p>
    <w:p>
      <w:pPr>
        <w:pStyle w:val="Heading2"/>
      </w:pPr>
      <w:bookmarkStart w:id="1679" w:name="chapter-v.8"/>
      <w:r>
        <w:rPr>
          <w:b w:val="0"/>
          <w:i w:val="0"/>
        </w:rPr>
        <w:t>Chapter V.8</w:t>
      </w:r>
      <w:bookmarkEnd w:id="1679"/>
    </w:p>
    <w:p>
      <w:pPr>
        <w:widowControl/>
      </w:pPr>
      <w:bookmarkStart w:id="1680" w:name="passage-v-8-1"/>
      <w:bookmarkEnd w:id="1680"/>
      <w:r>
        <w:rPr>
          <w:b/>
          <w:i w:val="0"/>
        </w:rPr>
        <w:t>V.8.1</w:t>
      </w:r>
      <w:r>
        <w:rPr>
          <w:b/>
          <w:i w:val="0"/>
        </w:rPr>
        <w:t>, source pp. 38–39.</w:t>
      </w:r>
      <w:r>
        <w:rPr>
          <w:b w:val="0"/>
          <w:i w:val="0"/>
        </w:rPr>
        <w:t xml:space="preserve"> Articles: </w:t>
      </w:r>
      <w:hyperlink w:anchor="form-and-formal-being">
        <w:r>
          <w:rPr>
            <w:color w:val="000000"/>
          </w:rPr>
          <w:t xml:space="preserve">Form and formal being</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Vocabulary: </w:t>
      </w:r>
      <w:hyperlink w:anchor="latin-record-0046">
        <w:r>
          <w:rPr>
            <w:color w:val="000000"/>
          </w:rPr>
          <w:t xml:space="preserve">aes / aeneus</w:t>
        </w:r>
      </w:hyperlink>
      <w:r>
        <w:rPr>
          <w:b w:val="0"/>
          <w:i w:val="0"/>
        </w:rPr>
        <w:t xml:space="preserve">; </w:t>
      </w:r>
      <w:hyperlink w:anchor="latin-record-0080">
        <w:r>
          <w:rPr>
            <w:color w:val="000000"/>
          </w:rPr>
          <w:t xml:space="preserve">amittere</w:t>
        </w:r>
      </w:hyperlink>
      <w:r>
        <w:rPr>
          <w:b w:val="0"/>
          <w:i w:val="0"/>
        </w:rPr>
        <w:t xml:space="preserve">; </w:t>
      </w:r>
      <w:hyperlink w:anchor="latin-record-0127">
        <w:r>
          <w:rPr>
            <w:color w:val="000000"/>
          </w:rPr>
          <w:t xml:space="preserve">ars</w:t>
        </w:r>
      </w:hyperlink>
      <w:r>
        <w:rPr>
          <w:b w:val="0"/>
          <w:i w:val="0"/>
        </w:rPr>
        <w:t xml:space="preserve">; </w:t>
      </w:r>
      <w:hyperlink w:anchor="latin-record-0344">
        <w:r>
          <w:rPr>
            <w:color w:val="000000"/>
          </w:rPr>
          <w:t xml:space="preserve">corruptio</w:t>
        </w:r>
      </w:hyperlink>
      <w:r>
        <w:rPr>
          <w:b w:val="0"/>
          <w:i w:val="0"/>
        </w:rPr>
        <w:t xml:space="preserve">; </w:t>
      </w:r>
      <w:hyperlink w:anchor="latin-record-0439">
        <w:r>
          <w:rPr>
            <w:color w:val="000000"/>
          </w:rPr>
          <w:t xml:space="preserve">equus / homo</w:t>
        </w:r>
      </w:hyperlink>
      <w:r>
        <w:rPr>
          <w:b w:val="0"/>
          <w:i w:val="0"/>
        </w:rPr>
        <w:t xml:space="preserve">; </w:t>
      </w:r>
      <w:hyperlink w:anchor="latin-record-0442">
        <w:r>
          <w:rPr>
            <w:color w:val="000000"/>
          </w:rPr>
          <w:t xml:space="preserve">esse proprium / commune esse</w:t>
        </w:r>
      </w:hyperlink>
      <w:r>
        <w:rPr>
          <w:b w:val="0"/>
          <w:i w:val="0"/>
        </w:rPr>
        <w:t xml:space="preserve">; </w:t>
      </w:r>
      <w:hyperlink w:anchor="latin-record-0503">
        <w:r>
          <w:rPr>
            <w:color w:val="000000"/>
          </w:rPr>
          <w:t xml:space="preserve">forma</w:t>
        </w:r>
      </w:hyperlink>
      <w:r>
        <w:rPr>
          <w:b w:val="0"/>
          <w:i w:val="0"/>
        </w:rPr>
        <w:t xml:space="preserve">; </w:t>
      </w:r>
      <w:hyperlink w:anchor="latin-record-0540">
        <w:r>
          <w:rPr>
            <w:color w:val="000000"/>
          </w:rPr>
          <w:t xml:space="preserve">generatio</w:t>
        </w:r>
      </w:hyperlink>
      <w:r>
        <w:rPr>
          <w:b w:val="0"/>
          <w:i w:val="0"/>
        </w:rPr>
        <w:t xml:space="preserve">; </w:t>
      </w:r>
      <w:hyperlink w:anchor="latin-record-0786">
        <w:r>
          <w:rPr>
            <w:color w:val="000000"/>
          </w:rPr>
          <w:t xml:space="preserve">milium / ficus</w:t>
        </w:r>
      </w:hyperlink>
      <w:r>
        <w:rPr>
          <w:b w:val="0"/>
          <w:i w:val="0"/>
        </w:rPr>
        <w:t xml:space="preserve">; </w:t>
      </w:r>
      <w:hyperlink w:anchor="latin-record-0868">
        <w:r>
          <w:rPr>
            <w:color w:val="000000"/>
          </w:rPr>
          <w:t xml:space="preserve">opponere / oppositum</w:t>
        </w:r>
      </w:hyperlink>
      <w:r>
        <w:rPr>
          <w:b w:val="0"/>
          <w:i w:val="0"/>
        </w:rPr>
        <w:t xml:space="preserve">; </w:t>
      </w:r>
      <w:hyperlink w:anchor="latin-record-0952">
        <w:r>
          <w:rPr>
            <w:color w:val="000000"/>
          </w:rPr>
          <w:t xml:space="preserve">Plato / Socrates</w:t>
        </w:r>
      </w:hyperlink>
      <w:r>
        <w:rPr>
          <w:b w:val="0"/>
          <w:i w:val="0"/>
        </w:rPr>
        <w:t xml:space="preserve">; </w:t>
      </w:r>
      <w:hyperlink w:anchor="latin-record-1176">
        <w:r>
          <w:rPr>
            <w:color w:val="000000"/>
          </w:rPr>
          <w:t xml:space="preserve">similitudo</w:t>
        </w:r>
      </w:hyperlink>
      <w:r>
        <w:rPr>
          <w:b w:val="0"/>
          <w:i w:val="0"/>
        </w:rPr>
        <w:t xml:space="preserve">; </w:t>
      </w:r>
      <w:hyperlink w:anchor="latin-record-1209">
        <w:r>
          <w:rPr>
            <w:color w:val="000000"/>
          </w:rPr>
          <w:t xml:space="preserve">species</w:t>
        </w:r>
      </w:hyperlink>
      <w:r>
        <w:rPr>
          <w:b w:val="0"/>
          <w:i w:val="0"/>
        </w:rPr>
        <w:t xml:space="preserve">; </w:t>
      </w:r>
      <w:hyperlink w:anchor="latin-record-1279">
        <w:r>
          <w:rPr>
            <w:color w:val="000000"/>
          </w:rPr>
          <w:t xml:space="preserve">temperatio / complexio</w:t>
        </w:r>
      </w:hyperlink>
      <w:r>
        <w:rPr>
          <w:b w:val="0"/>
          <w:i w:val="0"/>
        </w:rPr>
        <w:t>.</w:t>
      </w:r>
    </w:p>
    <w:p>
      <w:pPr>
        <w:widowControl/>
      </w:pPr>
      <w:bookmarkStart w:id="1681" w:name="passage-v-8-2"/>
      <w:bookmarkEnd w:id="1681"/>
      <w:r>
        <w:rPr>
          <w:b/>
          <w:i w:val="0"/>
        </w:rPr>
        <w:t>V.8.2</w:t>
      </w:r>
      <w:r>
        <w:rPr>
          <w:b/>
          <w:i w:val="0"/>
        </w:rPr>
        <w:t>, source pp. 40–41.</w:t>
      </w:r>
      <w:r>
        <w:rPr>
          <w:b w:val="0"/>
          <w:i w:val="0"/>
        </w:rPr>
        <w:t xml:space="preserve"> Articles: </w:t>
      </w:r>
      <w:hyperlink w:anchor="conditions-and-the-fashioners-law">
        <w:r>
          <w:rPr>
            <w:color w:val="000000"/>
          </w:rPr>
          <w:t xml:space="preserve">Conditions and the fashioner’s law</w:t>
        </w:r>
      </w:hyperlink>
      <w:r>
        <w:rPr>
          <w:b w:val="0"/>
          <w:i w:val="0"/>
        </w:rPr>
        <w:t xml:space="preserve">; </w:t>
      </w:r>
      <w:hyperlink w:anchor="form-and-formal-being">
        <w:r>
          <w:rPr>
            <w:color w:val="000000"/>
          </w:rPr>
          <w:t xml:space="preserve">Form and formal being</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participation-common-and-proper">
        <w:r>
          <w:rPr>
            <w:color w:val="000000"/>
          </w:rPr>
          <w:t xml:space="preserve">Participation, common and proper</w:t>
        </w:r>
      </w:hyperlink>
      <w:r>
        <w:rPr>
          <w:b w:val="0"/>
          <w:i w:val="0"/>
        </w:rPr>
        <w:t xml:space="preserve">. Vocabulary: </w:t>
      </w:r>
      <w:hyperlink w:anchor="latin-record-0003">
        <w:r>
          <w:rPr>
            <w:color w:val="000000"/>
          </w:rPr>
          <w:t xml:space="preserve">abire / discedere</w:t>
        </w:r>
      </w:hyperlink>
      <w:r>
        <w:rPr>
          <w:b w:val="0"/>
          <w:i w:val="0"/>
        </w:rPr>
        <w:t xml:space="preserve">; </w:t>
      </w:r>
      <w:hyperlink w:anchor="latin-record-0080">
        <w:r>
          <w:rPr>
            <w:color w:val="000000"/>
          </w:rPr>
          <w:t xml:space="preserve">amittere</w:t>
        </w:r>
      </w:hyperlink>
      <w:r>
        <w:rPr>
          <w:b w:val="0"/>
          <w:i w:val="0"/>
        </w:rPr>
        <w:t xml:space="preserve">; </w:t>
      </w:r>
      <w:hyperlink w:anchor="latin-record-0181">
        <w:r>
          <w:rPr>
            <w:color w:val="000000"/>
          </w:rPr>
          <w:t xml:space="preserve">calor / caliditas</w:t>
        </w:r>
      </w:hyperlink>
      <w:r>
        <w:rPr>
          <w:b w:val="0"/>
          <w:i w:val="0"/>
        </w:rPr>
        <w:t xml:space="preserve">; </w:t>
      </w:r>
      <w:hyperlink w:anchor="latin-record-0261">
        <w:r>
          <w:rPr>
            <w:color w:val="000000"/>
          </w:rPr>
          <w:t xml:space="preserve">componere / compositum</w:t>
        </w:r>
      </w:hyperlink>
      <w:r>
        <w:rPr>
          <w:b w:val="0"/>
          <w:i w:val="0"/>
        </w:rPr>
        <w:t xml:space="preserve">; </w:t>
      </w:r>
      <w:hyperlink w:anchor="latin-record-0343">
        <w:r>
          <w:rPr>
            <w:color w:val="000000"/>
          </w:rPr>
          <w:t xml:space="preserve">corrumpere / perdere / interire</w:t>
        </w:r>
      </w:hyperlink>
      <w:r>
        <w:rPr>
          <w:b w:val="0"/>
          <w:i w:val="0"/>
        </w:rPr>
        <w:t xml:space="preserve">; </w:t>
      </w:r>
      <w:hyperlink w:anchor="latin-record-0372">
        <w:r>
          <w:rPr>
            <w:color w:val="000000"/>
          </w:rPr>
          <w:t xml:space="preserve">desinere / cessare</w:t>
        </w:r>
      </w:hyperlink>
      <w:r>
        <w:rPr>
          <w:b w:val="0"/>
          <w:i w:val="0"/>
        </w:rPr>
        <w:t xml:space="preserve">; </w:t>
      </w:r>
      <w:hyperlink w:anchor="latin-record-0442">
        <w:r>
          <w:rPr>
            <w:color w:val="000000"/>
          </w:rPr>
          <w:t xml:space="preserve">esse proprium / commune esse</w:t>
        </w:r>
      </w:hyperlink>
      <w:r>
        <w:rPr>
          <w:b w:val="0"/>
          <w:i w:val="0"/>
        </w:rPr>
        <w:t xml:space="preserve">; </w:t>
      </w:r>
      <w:hyperlink w:anchor="latin-record-0461">
        <w:r>
          <w:rPr>
            <w:color w:val="000000"/>
          </w:rPr>
          <w:t xml:space="preserve">expellere / depellere</w:t>
        </w:r>
      </w:hyperlink>
      <w:r>
        <w:rPr>
          <w:b w:val="0"/>
          <w:i w:val="0"/>
        </w:rPr>
        <w:t xml:space="preserve">; </w:t>
      </w:r>
      <w:hyperlink w:anchor="latin-record-0498">
        <w:r>
          <w:rPr>
            <w:color w:val="000000"/>
          </w:rPr>
          <w:t xml:space="preserve">fomes</w:t>
        </w:r>
      </w:hyperlink>
      <w:r>
        <w:rPr>
          <w:b w:val="0"/>
          <w:i w:val="0"/>
        </w:rPr>
        <w:t xml:space="preserve">; </w:t>
      </w:r>
      <w:hyperlink w:anchor="latin-record-0503">
        <w:r>
          <w:rPr>
            <w:color w:val="000000"/>
          </w:rPr>
          <w:t xml:space="preserve">forma</w:t>
        </w:r>
      </w:hyperlink>
      <w:r>
        <w:rPr>
          <w:b w:val="0"/>
          <w:i w:val="0"/>
        </w:rPr>
        <w:t xml:space="preserve">; </w:t>
      </w:r>
      <w:hyperlink w:anchor="latin-record-0509">
        <w:r>
          <w:rPr>
            <w:color w:val="000000"/>
          </w:rPr>
          <w:t xml:space="preserve">formabile / formator</w:t>
        </w:r>
      </w:hyperlink>
      <w:r>
        <w:rPr>
          <w:b w:val="0"/>
          <w:i w:val="0"/>
        </w:rPr>
        <w:t xml:space="preserve">; </w:t>
      </w:r>
      <w:hyperlink w:anchor="latin-record-0524">
        <w:r>
          <w:rPr>
            <w:color w:val="000000"/>
          </w:rPr>
          <w:t xml:space="preserve">frigiditas / frigus</w:t>
        </w:r>
      </w:hyperlink>
      <w:r>
        <w:rPr>
          <w:b w:val="0"/>
          <w:i w:val="0"/>
        </w:rPr>
        <w:t xml:space="preserve">; </w:t>
      </w:r>
      <w:hyperlink w:anchor="latin-record-0529">
        <w:r>
          <w:rPr>
            <w:color w:val="000000"/>
          </w:rPr>
          <w:t xml:space="preserve">fugare / fugere</w:t>
        </w:r>
      </w:hyperlink>
      <w:r>
        <w:rPr>
          <w:b w:val="0"/>
          <w:i w:val="0"/>
        </w:rPr>
        <w:t xml:space="preserve">; </w:t>
      </w:r>
      <w:hyperlink w:anchor="latin-record-0540">
        <w:r>
          <w:rPr>
            <w:color w:val="000000"/>
          </w:rPr>
          <w:t xml:space="preserve">generatio</w:t>
        </w:r>
      </w:hyperlink>
      <w:r>
        <w:rPr>
          <w:b w:val="0"/>
          <w:i w:val="0"/>
        </w:rPr>
        <w:t xml:space="preserve">; </w:t>
      </w:r>
      <w:hyperlink w:anchor="latin-record-0583">
        <w:r>
          <w:rPr>
            <w:color w:val="000000"/>
          </w:rPr>
          <w:t xml:space="preserve">ignis</w:t>
        </w:r>
      </w:hyperlink>
      <w:r>
        <w:rPr>
          <w:b w:val="0"/>
          <w:i w:val="0"/>
        </w:rPr>
        <w:t xml:space="preserve">; </w:t>
      </w:r>
      <w:hyperlink w:anchor="latin-record-0711">
        <w:r>
          <w:rPr>
            <w:color w:val="000000"/>
          </w:rPr>
          <w:t xml:space="preserve">lex formantis</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151">
        <w:r>
          <w:rPr>
            <w:color w:val="000000"/>
          </w:rPr>
          <w:t xml:space="preserve">semen</w:t>
        </w:r>
      </w:hyperlink>
      <w:r>
        <w:rPr>
          <w:b w:val="0"/>
          <w:i w:val="0"/>
        </w:rPr>
        <w:t xml:space="preserve">; </w:t>
      </w:r>
      <w:hyperlink w:anchor="latin-record-1165">
        <w:r>
          <w:rPr>
            <w:color w:val="000000"/>
          </w:rPr>
          <w:t xml:space="preserve">separare / seiungere / disiungere</w:t>
        </w:r>
      </w:hyperlink>
      <w:r>
        <w:rPr>
          <w:b w:val="0"/>
          <w:i w:val="0"/>
        </w:rPr>
        <w:t xml:space="preserve">; </w:t>
      </w:r>
      <w:hyperlink w:anchor="latin-record-1195">
        <w:r>
          <w:rPr>
            <w:color w:val="000000"/>
          </w:rPr>
          <w:t xml:space="preserve">sol</w:t>
        </w:r>
      </w:hyperlink>
      <w:r>
        <w:rPr>
          <w:b w:val="0"/>
          <w:i w:val="0"/>
        </w:rPr>
        <w:t>.</w:t>
      </w:r>
    </w:p>
    <w:p>
      <w:pPr>
        <w:widowControl/>
      </w:pPr>
      <w:bookmarkStart w:id="1682" w:name="passage-v-8-3"/>
      <w:bookmarkEnd w:id="1682"/>
      <w:r>
        <w:rPr>
          <w:b/>
          <w:i w:val="0"/>
        </w:rPr>
        <w:t>V.8.3</w:t>
      </w:r>
      <w:r>
        <w:rPr>
          <w:b/>
          <w:i w:val="0"/>
        </w:rPr>
        <w:t>, source pp. 42–43.</w:t>
      </w:r>
      <w:r>
        <w:rPr>
          <w:b w:val="0"/>
          <w:i w:val="0"/>
        </w:rPr>
        <w:t xml:space="preserve"> Articles: </w:t>
      </w:r>
      <w:hyperlink w:anchor="form-and-formal-being">
        <w:r>
          <w:rPr>
            <w:color w:val="000000"/>
          </w:rPr>
          <w:t xml:space="preserve">Form and formal being</w:t>
        </w:r>
      </w:hyperlink>
      <w:r>
        <w:rPr>
          <w:b w:val="0"/>
          <w:i w:val="0"/>
        </w:rPr>
        <w:t xml:space="preserve">; </w:t>
      </w:r>
      <w:hyperlink w:anchor="indivisibility-and-contact">
        <w:r>
          <w:rPr>
            <w:color w:val="000000"/>
          </w:rPr>
          <w:t xml:space="preserve">Indivisibility and contact</w:t>
        </w:r>
      </w:hyperlink>
      <w:r>
        <w:rPr>
          <w:b w:val="0"/>
          <w:i w:val="0"/>
        </w:rPr>
        <w:t xml:space="preserve">; </w:t>
      </w:r>
      <w:hyperlink w:anchor="passivity-and-bodily-affection">
        <w:r>
          <w:rPr>
            <w:color w:val="000000"/>
          </w:rPr>
          <w:t xml:space="preserve">Passivity and bodily affection</w:t>
        </w:r>
      </w:hyperlink>
      <w:r>
        <w:rPr>
          <w:b w:val="0"/>
          <w:i w:val="0"/>
        </w:rPr>
        <w:t xml:space="preserve">; </w:t>
      </w:r>
      <w:hyperlink w:anchor="reception-and-the-receiver">
        <w:r>
          <w:rPr>
            <w:color w:val="000000"/>
          </w:rPr>
          <w:t xml:space="preserve">Reception and the receiver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070">
        <w:r>
          <w:rPr>
            <w:color w:val="000000"/>
          </w:rPr>
          <w:t xml:space="preserve">alimentum / alere</w:t>
        </w:r>
      </w:hyperlink>
      <w:r>
        <w:rPr>
          <w:b w:val="0"/>
          <w:i w:val="0"/>
        </w:rPr>
        <w:t xml:space="preserve">; </w:t>
      </w:r>
      <w:hyperlink w:anchor="latin-record-0503">
        <w:r>
          <w:rPr>
            <w:color w:val="000000"/>
          </w:rPr>
          <w:t xml:space="preserve">forma</w:t>
        </w:r>
      </w:hyperlink>
      <w:r>
        <w:rPr>
          <w:b w:val="0"/>
          <w:i w:val="0"/>
        </w:rPr>
        <w:t xml:space="preserve">; </w:t>
      </w:r>
      <w:hyperlink w:anchor="latin-record-0559">
        <w:r>
          <w:rPr>
            <w:color w:val="000000"/>
          </w:rPr>
          <w:t xml:space="preserve">haurire</w:t>
        </w:r>
      </w:hyperlink>
      <w:r>
        <w:rPr>
          <w:b w:val="0"/>
          <w:i w:val="0"/>
        </w:rPr>
        <w:t xml:space="preserve">; </w:t>
      </w:r>
      <w:hyperlink w:anchor="latin-record-0568">
        <w:r>
          <w:rPr>
            <w:color w:val="000000"/>
          </w:rPr>
          <w:t xml:space="preserve">hostilis / noxius</w:t>
        </w:r>
      </w:hyperlink>
      <w:r>
        <w:rPr>
          <w:b w:val="0"/>
          <w:i w:val="0"/>
        </w:rPr>
        <w:t xml:space="preserve">; </w:t>
      </w:r>
      <w:hyperlink w:anchor="latin-record-0578">
        <w:r>
          <w:rPr>
            <w:color w:val="000000"/>
          </w:rPr>
          <w:t xml:space="preserve">idolum / simulacrum</w:t>
        </w:r>
      </w:hyperlink>
      <w:r>
        <w:rPr>
          <w:b w:val="0"/>
          <w:i w:val="0"/>
        </w:rPr>
        <w:t xml:space="preserve">; </w:t>
      </w:r>
      <w:hyperlink w:anchor="latin-record-0652">
        <w:r>
          <w:rPr>
            <w:color w:val="000000"/>
          </w:rPr>
          <w:t xml:space="preserve">instinctus</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781">
        <w:r>
          <w:rPr>
            <w:color w:val="000000"/>
          </w:rPr>
          <w:t xml:space="preserve">mera forma</w:t>
        </w:r>
      </w:hyperlink>
      <w:r>
        <w:rPr>
          <w:b w:val="0"/>
          <w:i w:val="0"/>
        </w:rPr>
        <w:t xml:space="preserve">; </w:t>
      </w:r>
      <w:hyperlink w:anchor="latin-record-0840">
        <w:r>
          <w:rPr>
            <w:color w:val="000000"/>
          </w:rPr>
          <w:t xml:space="preserve">nixus / niti</w:t>
        </w:r>
      </w:hyperlink>
      <w:r>
        <w:rPr>
          <w:b w:val="0"/>
          <w:i w:val="0"/>
        </w:rPr>
        <w:t xml:space="preserve">; </w:t>
      </w:r>
      <w:hyperlink w:anchor="latin-record-0904">
        <w:r>
          <w:rPr>
            <w:color w:val="000000"/>
          </w:rPr>
          <w:t xml:space="preserve">passio</w:t>
        </w:r>
      </w:hyperlink>
      <w:r>
        <w:rPr>
          <w:b w:val="0"/>
          <w:i w:val="0"/>
        </w:rPr>
        <w:t xml:space="preserve">; </w:t>
      </w:r>
      <w:hyperlink w:anchor="latin-record-0999">
        <w:r>
          <w:rPr>
            <w:color w:val="000000"/>
          </w:rPr>
          <w:t xml:space="preserve">pro viribus</w:t>
        </w:r>
      </w:hyperlink>
      <w:r>
        <w:rPr>
          <w:b w:val="0"/>
          <w:i w:val="0"/>
        </w:rPr>
        <w:t xml:space="preserve">; </w:t>
      </w:r>
      <w:hyperlink w:anchor="latin-record-1010">
        <w:r>
          <w:rPr>
            <w:color w:val="000000"/>
          </w:rPr>
          <w:t xml:space="preserve">propagare / propagatio</w:t>
        </w:r>
      </w:hyperlink>
      <w:r>
        <w:rPr>
          <w:b w:val="0"/>
          <w:i w:val="0"/>
        </w:rPr>
        <w:t xml:space="preserve">; </w:t>
      </w:r>
      <w:hyperlink w:anchor="latin-record-1112">
        <w:r>
          <w:rPr>
            <w:color w:val="000000"/>
          </w:rPr>
          <w:t xml:space="preserve">res</w:t>
        </w:r>
      </w:hyperlink>
      <w:r>
        <w:rPr>
          <w:b w:val="0"/>
          <w:i w:val="0"/>
        </w:rPr>
        <w:t xml:space="preserve">; </w:t>
      </w:r>
      <w:hyperlink w:anchor="latin-record-1165">
        <w:r>
          <w:rPr>
            <w:color w:val="000000"/>
          </w:rPr>
          <w:t xml:space="preserve">separare / seiungere / disiungere</w:t>
        </w:r>
      </w:hyperlink>
      <w:r>
        <w:rPr>
          <w:b w:val="0"/>
          <w:i w:val="0"/>
        </w:rPr>
        <w:t xml:space="preserve">; </w:t>
      </w:r>
      <w:hyperlink w:anchor="latin-record-1215">
        <w:r>
          <w:rPr>
            <w:color w:val="000000"/>
          </w:rPr>
          <w:t xml:space="preserve">speculum / aqua</w:t>
        </w:r>
      </w:hyperlink>
      <w:r>
        <w:rPr>
          <w:b w:val="0"/>
          <w:i w:val="0"/>
        </w:rPr>
        <w:t xml:space="preserve">; </w:t>
      </w:r>
      <w:hyperlink w:anchor="latin-record-1223">
        <w:r>
          <w:rPr>
            <w:color w:val="000000"/>
          </w:rPr>
          <w:t xml:space="preserve">spiritalis</w:t>
        </w:r>
      </w:hyperlink>
      <w:r>
        <w:rPr>
          <w:b w:val="0"/>
          <w:i w:val="0"/>
        </w:rPr>
        <w:t xml:space="preserve">; </w:t>
      </w:r>
      <w:hyperlink w:anchor="latin-record-1234">
        <w:r>
          <w:rPr>
            <w:color w:val="000000"/>
          </w:rPr>
          <w:t xml:space="preserve">sponte</w:t>
        </w:r>
      </w:hyperlink>
      <w:r>
        <w:rPr>
          <w:b w:val="0"/>
          <w:i w:val="0"/>
        </w:rPr>
        <w:t xml:space="preserve">; </w:t>
      </w:r>
      <w:hyperlink w:anchor="latin-record-1267">
        <w:r>
          <w:rPr>
            <w:color w:val="000000"/>
          </w:rPr>
          <w:t xml:space="preserve">susceptaculum</w:t>
        </w:r>
      </w:hyperlink>
      <w:r>
        <w:rPr>
          <w:b w:val="0"/>
          <w:i w:val="0"/>
        </w:rPr>
        <w:t xml:space="preserve">; </w:t>
      </w:r>
      <w:hyperlink w:anchor="latin-record-1269">
        <w:r>
          <w:rPr>
            <w:color w:val="000000"/>
          </w:rPr>
          <w:t xml:space="preserve">suscipere / capere / accipere</w:t>
        </w:r>
      </w:hyperlink>
      <w:r>
        <w:rPr>
          <w:b w:val="0"/>
          <w:i w:val="0"/>
        </w:rPr>
        <w:t xml:space="preserve">; </w:t>
      </w:r>
      <w:hyperlink w:anchor="latin-record-1356">
        <w:r>
          <w:rPr>
            <w:color w:val="000000"/>
          </w:rPr>
          <w:t xml:space="preserve">violentia</w:t>
        </w:r>
      </w:hyperlink>
      <w:r>
        <w:rPr>
          <w:b w:val="0"/>
          <w:i w:val="0"/>
        </w:rPr>
        <w:t>.</w:t>
      </w:r>
    </w:p>
    <w:p>
      <w:pPr>
        <w:widowControl/>
      </w:pPr>
      <w:bookmarkStart w:id="1683" w:name="passage-v-8-4"/>
      <w:bookmarkEnd w:id="1683"/>
      <w:r>
        <w:rPr>
          <w:b/>
          <w:i w:val="0"/>
        </w:rPr>
        <w:t>V.8.4</w:t>
      </w:r>
      <w:r>
        <w:rPr>
          <w:b/>
          <w:i w:val="0"/>
        </w:rPr>
        <w:t>, source pp. 44–45.</w:t>
      </w:r>
      <w:r>
        <w:rPr>
          <w:b w:val="0"/>
          <w:i w:val="0"/>
        </w:rPr>
        <w:t xml:space="preserve"> Articles: </w:t>
      </w:r>
      <w:hyperlink w:anchor="conditions-and-the-fashioners-law">
        <w:r>
          <w:rPr>
            <w:color w:val="000000"/>
          </w:rPr>
          <w:t xml:space="preserve">Conditions and the fashioner’s law</w:t>
        </w:r>
      </w:hyperlink>
      <w:r>
        <w:rPr>
          <w:b w:val="0"/>
          <w:i w:val="0"/>
        </w:rPr>
        <w:t xml:space="preserve">; </w:t>
      </w:r>
      <w:hyperlink w:anchor="form-and-formal-being">
        <w:r>
          <w:rPr>
            <w:color w:val="000000"/>
          </w:rPr>
          <w:t xml:space="preserve">Form and formal being</w:t>
        </w:r>
      </w:hyperlink>
      <w:r>
        <w:rPr>
          <w:b w:val="0"/>
          <w:i w:val="0"/>
        </w:rPr>
        <w:t xml:space="preserve">. Vocabulary: </w:t>
      </w:r>
      <w:hyperlink w:anchor="latin-record-0003">
        <w:r>
          <w:rPr>
            <w:color w:val="000000"/>
          </w:rPr>
          <w:t xml:space="preserve">abire / discedere</w:t>
        </w:r>
      </w:hyperlink>
      <w:r>
        <w:rPr>
          <w:b w:val="0"/>
          <w:i w:val="0"/>
        </w:rPr>
        <w:t xml:space="preserve">; </w:t>
      </w:r>
      <w:hyperlink w:anchor="latin-record-0009">
        <w:r>
          <w:rPr>
            <w:color w:val="000000"/>
          </w:rPr>
          <w:t xml:space="preserve">absurdus / repugnare</w:t>
        </w:r>
      </w:hyperlink>
      <w:r>
        <w:rPr>
          <w:b w:val="0"/>
          <w:i w:val="0"/>
        </w:rPr>
        <w:t xml:space="preserve">; </w:t>
      </w:r>
      <w:hyperlink w:anchor="latin-record-0384">
        <w:r>
          <w:rPr>
            <w:color w:val="000000"/>
          </w:rPr>
          <w:t xml:space="preserve">dignitas</w:t>
        </w:r>
      </w:hyperlink>
      <w:r>
        <w:rPr>
          <w:b w:val="0"/>
          <w:i w:val="0"/>
        </w:rPr>
        <w:t xml:space="preserve">; </w:t>
      </w:r>
      <w:hyperlink w:anchor="latin-record-0509">
        <w:r>
          <w:rPr>
            <w:color w:val="000000"/>
          </w:rPr>
          <w:t xml:space="preserve">formabile / formator</w:t>
        </w:r>
      </w:hyperlink>
      <w:r>
        <w:rPr>
          <w:b w:val="0"/>
          <w:i w:val="0"/>
        </w:rPr>
        <w:t xml:space="preserve">; </w:t>
      </w:r>
      <w:hyperlink w:anchor="latin-record-0670">
        <w:r>
          <w:rPr>
            <w:color w:val="000000"/>
          </w:rPr>
          <w:t xml:space="preserve">intercidere / interponere</w:t>
        </w:r>
      </w:hyperlink>
      <w:r>
        <w:rPr>
          <w:b w:val="0"/>
          <w:i w:val="0"/>
        </w:rPr>
        <w:t xml:space="preserve">; </w:t>
      </w:r>
      <w:hyperlink w:anchor="latin-record-0711">
        <w:r>
          <w:rPr>
            <w:color w:val="000000"/>
          </w:rPr>
          <w:t xml:space="preserve">lex formantis</w:t>
        </w:r>
      </w:hyperlink>
      <w:r>
        <w:rPr>
          <w:b w:val="0"/>
          <w:i w:val="0"/>
        </w:rPr>
        <w:t xml:space="preserve">; </w:t>
      </w:r>
      <w:hyperlink w:anchor="latin-record-0771">
        <w:r>
          <w:rPr>
            <w:color w:val="000000"/>
          </w:rPr>
          <w:t xml:space="preserve">medium</w:t>
        </w:r>
      </w:hyperlink>
      <w:r>
        <w:rPr>
          <w:b w:val="0"/>
          <w:i w:val="0"/>
        </w:rPr>
        <w:t xml:space="preserve">; </w:t>
      </w:r>
      <w:hyperlink w:anchor="latin-record-0781">
        <w:r>
          <w:rPr>
            <w:color w:val="000000"/>
          </w:rPr>
          <w:t xml:space="preserve">mera forma</w:t>
        </w:r>
      </w:hyperlink>
      <w:r>
        <w:rPr>
          <w:b w:val="0"/>
          <w:i w:val="0"/>
        </w:rPr>
        <w:t xml:space="preserve">; </w:t>
      </w:r>
      <w:hyperlink w:anchor="latin-record-0999">
        <w:r>
          <w:rPr>
            <w:color w:val="000000"/>
          </w:rPr>
          <w:t xml:space="preserve">pro viribus</w:t>
        </w:r>
      </w:hyperlink>
      <w:r>
        <w:rPr>
          <w:b w:val="0"/>
          <w:i w:val="0"/>
        </w:rPr>
        <w:t xml:space="preserve">; </w:t>
      </w:r>
      <w:hyperlink w:anchor="latin-record-1165">
        <w:r>
          <w:rPr>
            <w:color w:val="000000"/>
          </w:rPr>
          <w:t xml:space="preserve">separare / seiungere / disiungere</w:t>
        </w:r>
      </w:hyperlink>
      <w:r>
        <w:rPr>
          <w:b w:val="0"/>
          <w:i w:val="0"/>
        </w:rPr>
        <w:t xml:space="preserve">; </w:t>
      </w:r>
      <w:hyperlink w:anchor="latin-record-1234">
        <w:r>
          <w:rPr>
            <w:color w:val="000000"/>
          </w:rPr>
          <w:t xml:space="preserve">sponte</w:t>
        </w:r>
      </w:hyperlink>
      <w:r>
        <w:rPr>
          <w:b w:val="0"/>
          <w:i w:val="0"/>
        </w:rPr>
        <w:t>.</w:t>
      </w:r>
    </w:p>
    <w:p>
      <w:pPr>
        <w:pStyle w:val="Heading2"/>
      </w:pPr>
      <w:bookmarkStart w:id="1684" w:name="chapter-v.9"/>
      <w:r>
        <w:rPr>
          <w:b w:val="0"/>
          <w:i w:val="0"/>
        </w:rPr>
        <w:t>Chapter V.9</w:t>
      </w:r>
      <w:bookmarkEnd w:id="1684"/>
    </w:p>
    <w:p>
      <w:pPr>
        <w:widowControl/>
      </w:pPr>
      <w:bookmarkStart w:id="1685" w:name="passage-v-9-1"/>
      <w:bookmarkEnd w:id="1685"/>
      <w:r>
        <w:rPr>
          <w:b/>
          <w:i w:val="0"/>
        </w:rPr>
        <w:t>V.9.1</w:t>
      </w:r>
      <w:r>
        <w:rPr>
          <w:b/>
          <w:i w:val="0"/>
        </w:rPr>
        <w:t>, source pp. 46–47.</w:t>
      </w:r>
      <w:r>
        <w:rPr>
          <w:b w:val="0"/>
          <w:i w:val="0"/>
        </w:rPr>
        <w:t xml:space="preserve"> Articles: </w:t>
      </w:r>
      <w:hyperlink w:anchor="form-and-formal-being">
        <w:r>
          <w:rPr>
            <w:color w:val="000000"/>
          </w:rPr>
          <w:t xml:space="preserve">Form and formal being</w:t>
        </w:r>
      </w:hyperlink>
      <w:r>
        <w:rPr>
          <w:b w:val="0"/>
          <w:i w:val="0"/>
        </w:rPr>
        <w:t xml:space="preserve">; </w:t>
      </w:r>
      <w:hyperlink w:anchor="fountains-drawing-and-infusion">
        <w:r>
          <w:rPr>
            <w:color w:val="000000"/>
          </w:rPr>
          <w:t xml:space="preserve">Fountains, drawing and infusion</w:t>
        </w:r>
      </w:hyperlink>
      <w:r>
        <w:rPr>
          <w:b w:val="0"/>
          <w:i w:val="0"/>
        </w:rPr>
        <w:t xml:space="preserve">; </w:t>
      </w:r>
      <w:hyperlink w:anchor="necessary-predication-and-the-fire-objection">
        <w:r>
          <w:rPr>
            <w:color w:val="000000"/>
          </w:rPr>
          <w:t xml:space="preserve">Necessary predication and the fire objection</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216">
        <w:r>
          <w:rPr>
            <w:color w:val="000000"/>
          </w:rPr>
          <w:t xml:space="preserve">circulus</w:t>
        </w:r>
      </w:hyperlink>
      <w:r>
        <w:rPr>
          <w:b w:val="0"/>
          <w:i w:val="0"/>
        </w:rPr>
        <w:t xml:space="preserve">; </w:t>
      </w:r>
      <w:hyperlink w:anchor="latin-record-0501">
        <w:r>
          <w:rPr>
            <w:color w:val="000000"/>
          </w:rPr>
          <w:t xml:space="preserve">fons essendi</w:t>
        </w:r>
      </w:hyperlink>
      <w:r>
        <w:rPr>
          <w:b w:val="0"/>
          <w:i w:val="0"/>
        </w:rPr>
        <w:t xml:space="preserve">; </w:t>
      </w:r>
      <w:hyperlink w:anchor="latin-record-0570">
        <w:r>
          <w:rPr>
            <w:color w:val="000000"/>
          </w:rPr>
          <w:t xml:space="preserve">humiditas / humor</w:t>
        </w:r>
      </w:hyperlink>
      <w:r>
        <w:rPr>
          <w:b w:val="0"/>
          <w:i w:val="0"/>
        </w:rPr>
        <w:t xml:space="preserve">; </w:t>
      </w:r>
      <w:hyperlink w:anchor="latin-record-0583">
        <w:r>
          <w:rPr>
            <w:color w:val="000000"/>
          </w:rPr>
          <w:t xml:space="preserve">ignis</w:t>
        </w:r>
      </w:hyperlink>
      <w:r>
        <w:rPr>
          <w:b w:val="0"/>
          <w:i w:val="0"/>
        </w:rPr>
        <w:t xml:space="preserve">; </w:t>
      </w:r>
      <w:hyperlink w:anchor="latin-record-0716">
        <w:r>
          <w:rPr>
            <w:color w:val="000000"/>
          </w:rPr>
          <w:t xml:space="preserve">lignum</w:t>
        </w:r>
      </w:hyperlink>
      <w:r>
        <w:rPr>
          <w:b w:val="0"/>
          <w:i w:val="0"/>
        </w:rPr>
        <w:t xml:space="preserve">; </w:t>
      </w:r>
      <w:hyperlink w:anchor="latin-record-0914">
        <w:r>
          <w:rPr>
            <w:color w:val="000000"/>
          </w:rPr>
          <w:t xml:space="preserve">per aliud</w:t>
        </w:r>
      </w:hyperlink>
      <w:r>
        <w:rPr>
          <w:b w:val="0"/>
          <w:i w:val="0"/>
        </w:rPr>
        <w:t xml:space="preserve">; </w:t>
      </w:r>
      <w:hyperlink w:anchor="latin-record-0919">
        <w:r>
          <w:rPr>
            <w:color w:val="000000"/>
          </w:rPr>
          <w:t xml:space="preserve">per se convenire</w:t>
        </w:r>
      </w:hyperlink>
      <w:r>
        <w:rPr>
          <w:b w:val="0"/>
          <w:i w:val="0"/>
        </w:rPr>
        <w:t xml:space="preserve">; </w:t>
      </w:r>
      <w:hyperlink w:anchor="latin-record-1007">
        <w:r>
          <w:rPr>
            <w:color w:val="000000"/>
          </w:rPr>
          <w:t xml:space="preserve">progressio in infinitum</w:t>
        </w:r>
      </w:hyperlink>
      <w:r>
        <w:rPr>
          <w:b w:val="0"/>
          <w:i w:val="0"/>
        </w:rPr>
        <w:t xml:space="preserve">; </w:t>
      </w:r>
      <w:hyperlink w:anchor="latin-record-1125">
        <w:r>
          <w:rPr>
            <w:color w:val="000000"/>
          </w:rPr>
          <w:t xml:space="preserve">rotunditas</w:t>
        </w:r>
      </w:hyperlink>
      <w:r>
        <w:rPr>
          <w:b w:val="0"/>
          <w:i w:val="0"/>
        </w:rPr>
        <w:t xml:space="preserve">; </w:t>
      </w:r>
      <w:hyperlink w:anchor="latin-record-1167">
        <w:r>
          <w:rPr>
            <w:color w:val="000000"/>
          </w:rPr>
          <w:t xml:space="preserve">sequi</w:t>
        </w:r>
      </w:hyperlink>
      <w:r>
        <w:rPr>
          <w:b w:val="0"/>
          <w:i w:val="0"/>
        </w:rPr>
        <w:t xml:space="preserve">; </w:t>
      </w:r>
      <w:hyperlink w:anchor="latin-record-1195">
        <w:r>
          <w:rPr>
            <w:color w:val="000000"/>
          </w:rPr>
          <w:t xml:space="preserve">sol</w:t>
        </w:r>
      </w:hyperlink>
      <w:r>
        <w:rPr>
          <w:b w:val="0"/>
          <w:i w:val="0"/>
        </w:rPr>
        <w:t xml:space="preserve">; </w:t>
      </w:r>
      <w:hyperlink w:anchor="latin-record-1207">
        <w:r>
          <w:rPr>
            <w:color w:val="000000"/>
          </w:rPr>
          <w:t xml:space="preserve">sortiri</w:t>
        </w:r>
      </w:hyperlink>
      <w:r>
        <w:rPr>
          <w:b w:val="0"/>
          <w:i w:val="0"/>
        </w:rPr>
        <w:t>.</w:t>
      </w:r>
    </w:p>
    <w:p>
      <w:pPr>
        <w:widowControl/>
      </w:pPr>
      <w:bookmarkStart w:id="1686" w:name="passage-v-9-2"/>
      <w:bookmarkEnd w:id="1686"/>
      <w:r>
        <w:rPr>
          <w:b/>
          <w:i w:val="0"/>
        </w:rPr>
        <w:t>V.9.2</w:t>
      </w:r>
      <w:r>
        <w:rPr>
          <w:b/>
          <w:i w:val="0"/>
        </w:rPr>
        <w:t>, source pp. 48–49.</w:t>
      </w:r>
      <w:r>
        <w:rPr>
          <w:b w:val="0"/>
          <w:i w:val="0"/>
        </w:rPr>
        <w:t xml:space="preserve"> Articles: </w:t>
      </w:r>
      <w:hyperlink w:anchor="conditions-and-the-fashioners-law">
        <w:r>
          <w:rPr>
            <w:color w:val="000000"/>
          </w:rPr>
          <w:t xml:space="preserve">Conditions and the fashioner’s law</w:t>
        </w:r>
      </w:hyperlink>
      <w:r>
        <w:rPr>
          <w:b w:val="0"/>
          <w:i w:val="0"/>
        </w:rPr>
        <w:t xml:space="preserve">; </w:t>
      </w:r>
      <w:hyperlink w:anchor="form-and-formal-being">
        <w:r>
          <w:rPr>
            <w:color w:val="000000"/>
          </w:rPr>
          <w:t xml:space="preserve">Form and formal being</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139">
        <w:r>
          <w:rPr>
            <w:color w:val="000000"/>
          </w:rPr>
          <w:t xml:space="preserve">assignare (assigned nature)</w:t>
        </w:r>
      </w:hyperlink>
      <w:r>
        <w:rPr>
          <w:b w:val="0"/>
          <w:i w:val="0"/>
        </w:rPr>
        <w:t xml:space="preserve">; </w:t>
      </w:r>
      <w:hyperlink w:anchor="latin-record-0147">
        <w:r>
          <w:rPr>
            <w:color w:val="000000"/>
          </w:rPr>
          <w:t xml:space="preserve">auctor / conditor / opifex</w:t>
        </w:r>
      </w:hyperlink>
      <w:r>
        <w:rPr>
          <w:b w:val="0"/>
          <w:i w:val="0"/>
        </w:rPr>
        <w:t xml:space="preserve">; </w:t>
      </w:r>
      <w:hyperlink w:anchor="latin-record-0210">
        <w:r>
          <w:rPr>
            <w:color w:val="000000"/>
          </w:rPr>
          <w:t xml:space="preserve">certus / talis</w:t>
        </w:r>
      </w:hyperlink>
      <w:r>
        <w:rPr>
          <w:b w:val="0"/>
          <w:i w:val="0"/>
        </w:rPr>
        <w:t xml:space="preserve">; </w:t>
      </w:r>
      <w:hyperlink w:anchor="latin-record-0261">
        <w:r>
          <w:rPr>
            <w:color w:val="000000"/>
          </w:rPr>
          <w:t xml:space="preserve">componere / compositum</w:t>
        </w:r>
      </w:hyperlink>
      <w:r>
        <w:rPr>
          <w:b w:val="0"/>
          <w:i w:val="0"/>
        </w:rPr>
        <w:t xml:space="preserve">; </w:t>
      </w:r>
      <w:hyperlink w:anchor="latin-record-0367">
        <w:r>
          <w:rPr>
            <w:color w:val="000000"/>
          </w:rPr>
          <w:t xml:space="preserve">dependere / pendere</w:t>
        </w:r>
      </w:hyperlink>
      <w:r>
        <w:rPr>
          <w:b w:val="0"/>
          <w:i w:val="0"/>
        </w:rPr>
        <w:t xml:space="preserve">; </w:t>
      </w:r>
      <w:hyperlink w:anchor="latin-record-0503">
        <w:r>
          <w:rPr>
            <w:color w:val="000000"/>
          </w:rPr>
          <w:t xml:space="preserve">forma</w:t>
        </w:r>
      </w:hyperlink>
      <w:r>
        <w:rPr>
          <w:b w:val="0"/>
          <w:i w:val="0"/>
        </w:rPr>
        <w:t xml:space="preserve">; </w:t>
      </w:r>
      <w:hyperlink w:anchor="latin-record-0556">
        <w:r>
          <w:rPr>
            <w:color w:val="000000"/>
          </w:rPr>
          <w:t xml:space="preserve">haerere / inhaerere</w:t>
        </w:r>
      </w:hyperlink>
      <w:r>
        <w:rPr>
          <w:b w:val="0"/>
          <w:i w:val="0"/>
        </w:rPr>
        <w:t xml:space="preserve">; </w:t>
      </w:r>
      <w:hyperlink w:anchor="latin-record-0670">
        <w:r>
          <w:rPr>
            <w:color w:val="000000"/>
          </w:rPr>
          <w:t xml:space="preserve">intercidere / interponere</w:t>
        </w:r>
      </w:hyperlink>
      <w:r>
        <w:rPr>
          <w:b w:val="0"/>
          <w:i w:val="0"/>
        </w:rPr>
        <w:t xml:space="preserve">; </w:t>
      </w:r>
      <w:hyperlink w:anchor="latin-record-0823">
        <w:r>
          <w:rPr>
            <w:color w:val="000000"/>
          </w:rPr>
          <w:t xml:space="preserve">natura</w:t>
        </w:r>
      </w:hyperlink>
      <w:r>
        <w:rPr>
          <w:b w:val="0"/>
          <w:i w:val="0"/>
        </w:rPr>
        <w:t xml:space="preserve">; </w:t>
      </w:r>
      <w:hyperlink w:anchor="latin-record-0919">
        <w:r>
          <w:rPr>
            <w:color w:val="000000"/>
          </w:rPr>
          <w:t xml:space="preserve">per se convenire</w:t>
        </w:r>
      </w:hyperlink>
      <w:r>
        <w:rPr>
          <w:b w:val="0"/>
          <w:i w:val="0"/>
        </w:rPr>
        <w:t xml:space="preserve">; </w:t>
      </w:r>
      <w:hyperlink w:anchor="latin-record-0923">
        <w:r>
          <w:rPr>
            <w:color w:val="000000"/>
          </w:rPr>
          <w:t xml:space="preserve">per sui naturam</w:t>
        </w:r>
      </w:hyperlink>
      <w:r>
        <w:rPr>
          <w:b w:val="0"/>
          <w:i w:val="0"/>
        </w:rPr>
        <w:t xml:space="preserve">; </w:t>
      </w:r>
      <w:hyperlink w:anchor="latin-record-1049">
        <w:r>
          <w:rPr>
            <w:color w:val="000000"/>
          </w:rPr>
          <w:t xml:space="preserve">quatenus / eatenus</w:t>
        </w:r>
      </w:hyperlink>
      <w:r>
        <w:rPr>
          <w:b w:val="0"/>
          <w:i w:val="0"/>
        </w:rPr>
        <w:t xml:space="preserve">; </w:t>
      </w:r>
      <w:hyperlink w:anchor="latin-record-1167">
        <w:r>
          <w:rPr>
            <w:color w:val="000000"/>
          </w:rPr>
          <w:t xml:space="preserve">sequi</w:t>
        </w:r>
      </w:hyperlink>
      <w:r>
        <w:rPr>
          <w:b w:val="0"/>
          <w:i w:val="0"/>
        </w:rPr>
        <w:t>.</w:t>
      </w:r>
    </w:p>
    <w:p>
      <w:pPr>
        <w:widowControl/>
      </w:pPr>
      <w:bookmarkStart w:id="1687" w:name="passage-v-9-3"/>
      <w:bookmarkEnd w:id="1687"/>
      <w:r>
        <w:rPr>
          <w:b/>
          <w:i w:val="0"/>
        </w:rPr>
        <w:t>V.9.3</w:t>
      </w:r>
      <w:r>
        <w:rPr>
          <w:b/>
          <w:i w:val="0"/>
        </w:rPr>
        <w:t>, source pp. 50–51.</w:t>
      </w:r>
      <w:r>
        <w:rPr>
          <w:b w:val="0"/>
          <w:i w:val="0"/>
        </w:rPr>
        <w:t xml:space="preserve"> Articles: </w:t>
      </w:r>
      <w:hyperlink w:anchor="necessary-predication-and-the-fire-objection">
        <w:r>
          <w:rPr>
            <w:color w:val="000000"/>
          </w:rPr>
          <w:t xml:space="preserve">Necessary predication and the fire objection</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009">
        <w:r>
          <w:rPr>
            <w:color w:val="000000"/>
          </w:rPr>
          <w:t xml:space="preserve">absurdus / repugnare</w:t>
        </w:r>
      </w:hyperlink>
      <w:r>
        <w:rPr>
          <w:b w:val="0"/>
          <w:i w:val="0"/>
        </w:rPr>
        <w:t xml:space="preserve">; </w:t>
      </w:r>
      <w:hyperlink w:anchor="latin-record-0416">
        <w:r>
          <w:rPr>
            <w:color w:val="000000"/>
          </w:rPr>
          <w:t xml:space="preserve">dum est</w:t>
        </w:r>
      </w:hyperlink>
      <w:r>
        <w:rPr>
          <w:b w:val="0"/>
          <w:i w:val="0"/>
        </w:rPr>
        <w:t xml:space="preserve">; </w:t>
      </w:r>
      <w:hyperlink w:anchor="latin-record-1007">
        <w:r>
          <w:rPr>
            <w:color w:val="000000"/>
          </w:rPr>
          <w:t xml:space="preserve">progressio in infinitum</w:t>
        </w:r>
      </w:hyperlink>
      <w:r>
        <w:rPr>
          <w:b w:val="0"/>
          <w:i w:val="0"/>
        </w:rPr>
        <w:t xml:space="preserve">; </w:t>
      </w:r>
      <w:hyperlink w:anchor="latin-record-1059">
        <w:r>
          <w:rPr>
            <w:color w:val="000000"/>
          </w:rPr>
          <w:t xml:space="preserve">radix essendi</w:t>
        </w:r>
      </w:hyperlink>
      <w:r>
        <w:rPr>
          <w:b w:val="0"/>
          <w:i w:val="0"/>
        </w:rPr>
        <w:t>.</w:t>
      </w:r>
    </w:p>
    <w:p>
      <w:pPr>
        <w:widowControl/>
      </w:pPr>
      <w:bookmarkStart w:id="1688" w:name="passage-v-9-4"/>
      <w:bookmarkEnd w:id="1688"/>
      <w:r>
        <w:rPr>
          <w:b/>
          <w:i w:val="0"/>
        </w:rPr>
        <w:t>V.9.4</w:t>
      </w:r>
      <w:r>
        <w:rPr>
          <w:b/>
          <w:i w:val="0"/>
        </w:rPr>
        <w:t>, source pp. 52–53.</w:t>
      </w:r>
      <w:r>
        <w:rPr>
          <w:b w:val="0"/>
          <w:i w:val="0"/>
        </w:rPr>
        <w:t xml:space="preserve"> Articles: </w:t>
      </w:r>
      <w:hyperlink w:anchor="conditions-and-the-fashioners-law">
        <w:r>
          <w:rPr>
            <w:color w:val="000000"/>
          </w:rPr>
          <w:t xml:space="preserve">Conditions and the fashioner’s law</w:t>
        </w:r>
      </w:hyperlink>
      <w:r>
        <w:rPr>
          <w:b w:val="0"/>
          <w:i w:val="0"/>
        </w:rPr>
        <w:t xml:space="preserve">; </w:t>
      </w:r>
      <w:hyperlink w:anchor="necessary-predication-and-the-fire-objection">
        <w:r>
          <w:rPr>
            <w:color w:val="000000"/>
          </w:rPr>
          <w:t xml:space="preserve">Necessary predication and the fire objection</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014">
        <w:r>
          <w:rPr>
            <w:color w:val="000000"/>
          </w:rPr>
          <w:t xml:space="preserve">accidere</w:t>
        </w:r>
      </w:hyperlink>
      <w:r>
        <w:rPr>
          <w:b w:val="0"/>
          <w:i w:val="0"/>
        </w:rPr>
        <w:t xml:space="preserve">; </w:t>
      </w:r>
      <w:hyperlink w:anchor="latin-record-0176">
        <w:r>
          <w:rPr>
            <w:color w:val="000000"/>
          </w:rPr>
          <w:t xml:space="preserve">calere</w:t>
        </w:r>
      </w:hyperlink>
      <w:r>
        <w:rPr>
          <w:b w:val="0"/>
          <w:i w:val="0"/>
        </w:rPr>
        <w:t xml:space="preserve">; </w:t>
      </w:r>
      <w:hyperlink w:anchor="latin-record-0181">
        <w:r>
          <w:rPr>
            <w:color w:val="000000"/>
          </w:rPr>
          <w:t xml:space="preserve">calor / caliditas</w:t>
        </w:r>
      </w:hyperlink>
      <w:r>
        <w:rPr>
          <w:b w:val="0"/>
          <w:i w:val="0"/>
        </w:rPr>
        <w:t xml:space="preserve">; </w:t>
      </w:r>
      <w:hyperlink w:anchor="latin-record-0210">
        <w:r>
          <w:rPr>
            <w:color w:val="000000"/>
          </w:rPr>
          <w:t xml:space="preserve">certus / talis</w:t>
        </w:r>
      </w:hyperlink>
      <w:r>
        <w:rPr>
          <w:b w:val="0"/>
          <w:i w:val="0"/>
        </w:rPr>
        <w:t xml:space="preserve">; </w:t>
      </w:r>
      <w:hyperlink w:anchor="latin-record-0372">
        <w:r>
          <w:rPr>
            <w:color w:val="000000"/>
          </w:rPr>
          <w:t xml:space="preserve">desinere / cessare</w:t>
        </w:r>
      </w:hyperlink>
      <w:r>
        <w:rPr>
          <w:b w:val="0"/>
          <w:i w:val="0"/>
        </w:rPr>
        <w:t xml:space="preserve">; </w:t>
      </w:r>
      <w:hyperlink w:anchor="latin-record-0416">
        <w:r>
          <w:rPr>
            <w:color w:val="000000"/>
          </w:rPr>
          <w:t xml:space="preserve">dum est</w:t>
        </w:r>
      </w:hyperlink>
      <w:r>
        <w:rPr>
          <w:b w:val="0"/>
          <w:i w:val="0"/>
        </w:rPr>
        <w:t xml:space="preserve">; </w:t>
      </w:r>
      <w:hyperlink w:anchor="latin-record-0556">
        <w:r>
          <w:rPr>
            <w:color w:val="000000"/>
          </w:rPr>
          <w:t xml:space="preserve">haerere / inhaerere</w:t>
        </w:r>
      </w:hyperlink>
      <w:r>
        <w:rPr>
          <w:b w:val="0"/>
          <w:i w:val="0"/>
        </w:rPr>
        <w:t xml:space="preserve">; </w:t>
      </w:r>
      <w:hyperlink w:anchor="latin-record-0583">
        <w:r>
          <w:rPr>
            <w:color w:val="000000"/>
          </w:rPr>
          <w:t xml:space="preserve">ignis</w:t>
        </w:r>
      </w:hyperlink>
      <w:r>
        <w:rPr>
          <w:b w:val="0"/>
          <w:i w:val="0"/>
        </w:rPr>
        <w:t xml:space="preserve">; </w:t>
      </w:r>
      <w:hyperlink w:anchor="latin-record-0704">
        <w:r>
          <w:rPr>
            <w:color w:val="000000"/>
          </w:rPr>
          <w:t xml:space="preserve">latere / delitescere</w:t>
        </w:r>
      </w:hyperlink>
      <w:r>
        <w:rPr>
          <w:b w:val="0"/>
          <w:i w:val="0"/>
        </w:rPr>
        <w:t xml:space="preserve">; </w:t>
      </w:r>
      <w:hyperlink w:anchor="latin-record-0918">
        <w:r>
          <w:rPr>
            <w:color w:val="000000"/>
          </w:rPr>
          <w:t xml:space="preserve">per se</w:t>
        </w:r>
      </w:hyperlink>
      <w:r>
        <w:rPr>
          <w:b w:val="0"/>
          <w:i w:val="0"/>
        </w:rPr>
        <w:t xml:space="preserve">; </w:t>
      </w:r>
      <w:hyperlink w:anchor="latin-record-1191">
        <w:r>
          <w:rPr>
            <w:color w:val="000000"/>
          </w:rPr>
          <w:t xml:space="preserve">sinus / gremium</w:t>
        </w:r>
      </w:hyperlink>
      <w:r>
        <w:rPr>
          <w:b w:val="0"/>
          <w:i w:val="0"/>
        </w:rPr>
        <w:t xml:space="preserve">; </w:t>
      </w:r>
      <w:hyperlink w:anchor="latin-record-1207">
        <w:r>
          <w:rPr>
            <w:color w:val="000000"/>
          </w:rPr>
          <w:t xml:space="preserve">sortiri</w:t>
        </w:r>
      </w:hyperlink>
      <w:r>
        <w:rPr>
          <w:b w:val="0"/>
          <w:i w:val="0"/>
        </w:rPr>
        <w:t xml:space="preserve">; </w:t>
      </w:r>
      <w:hyperlink w:anchor="latin-record-1354">
        <w:r>
          <w:rPr>
            <w:color w:val="000000"/>
          </w:rPr>
          <w:t xml:space="preserve">vinculum</w:t>
        </w:r>
      </w:hyperlink>
      <w:r>
        <w:rPr>
          <w:b w:val="0"/>
          <w:i w:val="0"/>
        </w:rPr>
        <w:t>.</w:t>
      </w:r>
    </w:p>
    <w:p>
      <w:pPr>
        <w:pStyle w:val="Heading2"/>
      </w:pPr>
      <w:bookmarkStart w:id="1689" w:name="chapter-v.10"/>
      <w:r>
        <w:rPr>
          <w:b w:val="0"/>
          <w:i w:val="0"/>
        </w:rPr>
        <w:t>Chapter V.10</w:t>
      </w:r>
      <w:bookmarkEnd w:id="1689"/>
    </w:p>
    <w:p>
      <w:pPr>
        <w:widowControl/>
      </w:pPr>
      <w:bookmarkStart w:id="1690" w:name="passage-v-10-1"/>
      <w:bookmarkEnd w:id="1690"/>
      <w:r>
        <w:rPr>
          <w:b/>
          <w:i w:val="0"/>
        </w:rPr>
        <w:t>V.10.1</w:t>
      </w:r>
      <w:r>
        <w:rPr>
          <w:b/>
          <w:i w:val="0"/>
        </w:rPr>
        <w:t>, source pp. 54–55.</w:t>
      </w:r>
      <w:r>
        <w:rPr>
          <w:b w:val="0"/>
          <w:i w:val="0"/>
        </w:rPr>
        <w:t xml:space="preserve"> Articles: </w:t>
      </w:r>
      <w:hyperlink w:anchor="conditions-and-the-fashioners-law">
        <w:r>
          <w:rPr>
            <w:color w:val="000000"/>
          </w:rPr>
          <w:t xml:space="preserve">Conditions and the fashioner’s law</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necessary-predication-and-the-fire-objection">
        <w:r>
          <w:rPr>
            <w:color w:val="000000"/>
          </w:rPr>
          <w:t xml:space="preserve">Necessary predication and the fire objection</w:t>
        </w:r>
      </w:hyperlink>
      <w:r>
        <w:rPr>
          <w:b w:val="0"/>
          <w:i w:val="0"/>
        </w:rPr>
        <w:t xml:space="preserve">; </w:t>
      </w:r>
      <w:hyperlink w:anchor="relation-and-continuing-dependence">
        <w:r>
          <w:rPr>
            <w:color w:val="000000"/>
          </w:rPr>
          <w:t xml:space="preserve">Relation and continuing dependence</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108">
        <w:r>
          <w:rPr>
            <w:color w:val="000000"/>
          </w:rPr>
          <w:t xml:space="preserve">apparere / videri / placere</w:t>
        </w:r>
      </w:hyperlink>
      <w:r>
        <w:rPr>
          <w:b w:val="0"/>
          <w:i w:val="0"/>
        </w:rPr>
        <w:t xml:space="preserve">; </w:t>
      </w:r>
      <w:hyperlink w:anchor="latin-record-0202">
        <w:r>
          <w:rPr>
            <w:color w:val="000000"/>
          </w:rPr>
          <w:t xml:space="preserve">causa prima</w:t>
        </w:r>
      </w:hyperlink>
      <w:r>
        <w:rPr>
          <w:b w:val="0"/>
          <w:i w:val="0"/>
        </w:rPr>
        <w:t xml:space="preserve">; </w:t>
      </w:r>
      <w:hyperlink w:anchor="latin-record-0367">
        <w:r>
          <w:rPr>
            <w:color w:val="000000"/>
          </w:rPr>
          <w:t xml:space="preserve">dependere / pendere</w:t>
        </w:r>
      </w:hyperlink>
      <w:r>
        <w:rPr>
          <w:b w:val="0"/>
          <w:i w:val="0"/>
        </w:rPr>
        <w:t xml:space="preserve">; </w:t>
      </w:r>
      <w:hyperlink w:anchor="latin-record-0375">
        <w:r>
          <w:rPr>
            <w:color w:val="000000"/>
          </w:rPr>
          <w:t xml:space="preserve">Deus</w:t>
        </w:r>
      </w:hyperlink>
      <w:r>
        <w:rPr>
          <w:b w:val="0"/>
          <w:i w:val="0"/>
        </w:rPr>
        <w:t xml:space="preserve">; </w:t>
      </w:r>
      <w:hyperlink w:anchor="latin-record-0914">
        <w:r>
          <w:rPr>
            <w:color w:val="000000"/>
          </w:rPr>
          <w:t xml:space="preserve">per aliud</w:t>
        </w:r>
      </w:hyperlink>
      <w:r>
        <w:rPr>
          <w:b w:val="0"/>
          <w:i w:val="0"/>
        </w:rPr>
        <w:t xml:space="preserve">; </w:t>
      </w:r>
      <w:hyperlink w:anchor="latin-record-0930">
        <w:r>
          <w:rPr>
            <w:color w:val="000000"/>
          </w:rPr>
          <w:t xml:space="preserve">permanere / restare / superesse</w:t>
        </w:r>
      </w:hyperlink>
      <w:r>
        <w:rPr>
          <w:b w:val="0"/>
          <w:i w:val="0"/>
        </w:rPr>
        <w:t xml:space="preserve">; </w:t>
      </w:r>
      <w:hyperlink w:anchor="latin-record-0989">
        <w:r>
          <w:rPr>
            <w:color w:val="000000"/>
          </w:rPr>
          <w:t xml:space="preserve">primum principium</w:t>
        </w:r>
      </w:hyperlink>
      <w:r>
        <w:rPr>
          <w:b w:val="0"/>
          <w:i w:val="0"/>
        </w:rPr>
        <w:t xml:space="preserve">; </w:t>
      </w:r>
      <w:hyperlink w:anchor="latin-record-1049">
        <w:r>
          <w:rPr>
            <w:color w:val="000000"/>
          </w:rPr>
          <w:t xml:space="preserve">quatenus / eatenus</w:t>
        </w:r>
      </w:hyperlink>
      <w:r>
        <w:rPr>
          <w:b w:val="0"/>
          <w:i w:val="0"/>
        </w:rPr>
        <w:t xml:space="preserve">; </w:t>
      </w:r>
      <w:hyperlink w:anchor="latin-record-1117">
        <w:r>
          <w:rPr>
            <w:color w:val="000000"/>
          </w:rPr>
          <w:t xml:space="preserve">respectus / referri</w:t>
        </w:r>
      </w:hyperlink>
      <w:r>
        <w:rPr>
          <w:b w:val="0"/>
          <w:i w:val="0"/>
        </w:rPr>
        <w:t xml:space="preserve">; </w:t>
      </w:r>
      <w:hyperlink w:anchor="latin-record-1118">
        <w:r>
          <w:rPr>
            <w:color w:val="000000"/>
          </w:rPr>
          <w:t xml:space="preserve">respicere</w:t>
        </w:r>
      </w:hyperlink>
      <w:r>
        <w:rPr>
          <w:b w:val="0"/>
          <w:i w:val="0"/>
        </w:rPr>
        <w:t xml:space="preserve">; </w:t>
      </w:r>
      <w:hyperlink w:anchor="latin-record-1176">
        <w:r>
          <w:rPr>
            <w:color w:val="000000"/>
          </w:rPr>
          <w:t xml:space="preserve">similitudo</w:t>
        </w:r>
      </w:hyperlink>
      <w:r>
        <w:rPr>
          <w:b w:val="0"/>
          <w:i w:val="0"/>
        </w:rPr>
        <w:t>.</w:t>
      </w:r>
    </w:p>
    <w:p>
      <w:pPr>
        <w:widowControl/>
      </w:pPr>
      <w:bookmarkStart w:id="1691" w:name="passage-v-10-2"/>
      <w:bookmarkEnd w:id="1691"/>
      <w:r>
        <w:rPr>
          <w:b/>
          <w:i w:val="0"/>
        </w:rPr>
        <w:t>V.10.2</w:t>
      </w:r>
      <w:r>
        <w:rPr>
          <w:b/>
          <w:i w:val="0"/>
        </w:rPr>
        <w:t>, source pp. 56–57.</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motion-and-substantial-stability">
        <w:r>
          <w:rPr>
            <w:color w:val="000000"/>
          </w:rPr>
          <w:t xml:space="preserve">Motion and substantial stability</w:t>
        </w:r>
      </w:hyperlink>
      <w:r>
        <w:rPr>
          <w:b w:val="0"/>
          <w:i w:val="0"/>
        </w:rPr>
        <w:t xml:space="preserve">; </w:t>
      </w:r>
      <w:hyperlink w:anchor="relation-and-continuing-dependence">
        <w:r>
          <w:rPr>
            <w:color w:val="000000"/>
          </w:rPr>
          <w:t xml:space="preserve">Relation and continuing dependence</w:t>
        </w:r>
      </w:hyperlink>
      <w:r>
        <w:rPr>
          <w:b w:val="0"/>
          <w:i w:val="0"/>
        </w:rPr>
        <w:t xml:space="preserve">. Vocabulary: </w:t>
      </w:r>
      <w:hyperlink w:anchor="latin-record-0057">
        <w:r>
          <w:rPr>
            <w:color w:val="000000"/>
          </w:rPr>
          <w:t xml:space="preserve">agere / efficere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67">
        <w:r>
          <w:rPr>
            <w:color w:val="000000"/>
          </w:rPr>
          <w:t xml:space="preserve">dependere / pendere</w:t>
        </w:r>
      </w:hyperlink>
      <w:r>
        <w:rPr>
          <w:b w:val="0"/>
          <w:i w:val="0"/>
        </w:rPr>
        <w:t xml:space="preserve">; </w:t>
      </w:r>
      <w:hyperlink w:anchor="latin-record-0556">
        <w:r>
          <w:rPr>
            <w:color w:val="000000"/>
          </w:rPr>
          <w:t xml:space="preserve">haerere / inhaerere</w:t>
        </w:r>
      </w:hyperlink>
      <w:r>
        <w:rPr>
          <w:b w:val="0"/>
          <w:i w:val="0"/>
        </w:rPr>
        <w:t xml:space="preserve">; </w:t>
      </w:r>
      <w:hyperlink w:anchor="latin-record-0592">
        <w:r>
          <w:rPr>
            <w:color w:val="000000"/>
          </w:rPr>
          <w:t xml:space="preserve">imago</w:t>
        </w:r>
      </w:hyperlink>
      <w:r>
        <w:rPr>
          <w:b w:val="0"/>
          <w:i w:val="0"/>
        </w:rPr>
        <w:t xml:space="preserve">; </w:t>
      </w:r>
      <w:hyperlink w:anchor="latin-record-0594">
        <w:r>
          <w:rPr>
            <w:color w:val="000000"/>
          </w:rPr>
          <w:t xml:space="preserve">immergere / emergere</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722">
        <w:r>
          <w:rPr>
            <w:color w:val="000000"/>
          </w:rPr>
          <w:t xml:space="preserve">locus / tempus</w:t>
        </w:r>
      </w:hyperlink>
      <w:r>
        <w:rPr>
          <w:b w:val="0"/>
          <w:i w:val="0"/>
        </w:rPr>
        <w:t xml:space="preserve">; </w:t>
      </w:r>
      <w:hyperlink w:anchor="latin-record-0816">
        <w:r>
          <w:rPr>
            <w:color w:val="000000"/>
          </w:rPr>
          <w:t xml:space="preserve">mutare / mutatio</w:t>
        </w:r>
      </w:hyperlink>
      <w:r>
        <w:rPr>
          <w:b w:val="0"/>
          <w:i w:val="0"/>
        </w:rPr>
        <w:t xml:space="preserve">; </w:t>
      </w:r>
      <w:hyperlink w:anchor="latin-record-0861">
        <w:r>
          <w:rPr>
            <w:color w:val="000000"/>
          </w:rPr>
          <w:t xml:space="preserve">operatio / operari</w:t>
        </w:r>
      </w:hyperlink>
      <w:r>
        <w:rPr>
          <w:b w:val="0"/>
          <w:i w:val="0"/>
        </w:rPr>
        <w:t xml:space="preserve">; </w:t>
      </w:r>
      <w:hyperlink w:anchor="latin-record-0914">
        <w:r>
          <w:rPr>
            <w:color w:val="000000"/>
          </w:rPr>
          <w:t xml:space="preserve">per aliud</w:t>
        </w:r>
      </w:hyperlink>
      <w:r>
        <w:rPr>
          <w:b w:val="0"/>
          <w:i w:val="0"/>
        </w:rPr>
        <w:t xml:space="preserve">; </w:t>
      </w:r>
      <w:hyperlink w:anchor="latin-record-0989">
        <w:r>
          <w:rPr>
            <w:color w:val="000000"/>
          </w:rPr>
          <w:t xml:space="preserve">primum principium</w:t>
        </w:r>
      </w:hyperlink>
      <w:r>
        <w:rPr>
          <w:b w:val="0"/>
          <w:i w:val="0"/>
        </w:rPr>
        <w:t xml:space="preserve">; </w:t>
      </w:r>
      <w:hyperlink w:anchor="latin-record-1117">
        <w:r>
          <w:rPr>
            <w:color w:val="000000"/>
          </w:rPr>
          <w:t xml:space="preserve">respectus / referri</w:t>
        </w:r>
      </w:hyperlink>
      <w:r>
        <w:rPr>
          <w:b w:val="0"/>
          <w:i w:val="0"/>
        </w:rPr>
        <w:t xml:space="preserve">; </w:t>
      </w:r>
      <w:hyperlink w:anchor="latin-record-1215">
        <w:r>
          <w:rPr>
            <w:color w:val="000000"/>
          </w:rPr>
          <w:t xml:space="preserve">speculum / aqua</w:t>
        </w:r>
      </w:hyperlink>
      <w:r>
        <w:rPr>
          <w:b w:val="0"/>
          <w:i w:val="0"/>
        </w:rPr>
        <w:t>.</w:t>
      </w:r>
    </w:p>
    <w:p>
      <w:pPr>
        <w:widowControl/>
      </w:pPr>
      <w:bookmarkStart w:id="1692" w:name="passage-v-10-3"/>
      <w:bookmarkEnd w:id="1692"/>
      <w:r>
        <w:rPr>
          <w:b/>
          <w:i w:val="0"/>
        </w:rPr>
        <w:t>V.10.3</w:t>
      </w:r>
      <w:r>
        <w:rPr>
          <w:b/>
          <w:i w:val="0"/>
        </w:rPr>
        <w:t>, source pp. 58–59.</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fountains-drawing-and-infusion">
        <w:r>
          <w:rPr>
            <w:color w:val="000000"/>
          </w:rPr>
          <w:t xml:space="preserve">Fountains, drawing and infusion</w:t>
        </w:r>
      </w:hyperlink>
      <w:r>
        <w:rPr>
          <w:b w:val="0"/>
          <w:i w:val="0"/>
        </w:rPr>
        <w:t xml:space="preserve">; </w:t>
      </w:r>
      <w:hyperlink w:anchor="motion-and-substantial-stability">
        <w:r>
          <w:rPr>
            <w:color w:val="000000"/>
          </w:rPr>
          <w:t xml:space="preserve">Motion and substantial stability</w:t>
        </w:r>
      </w:hyperlink>
      <w:r>
        <w:rPr>
          <w:b w:val="0"/>
          <w:i w:val="0"/>
        </w:rPr>
        <w:t xml:space="preserve">; </w:t>
      </w:r>
      <w:hyperlink w:anchor="relation-and-continuing-dependence">
        <w:r>
          <w:rPr>
            <w:color w:val="000000"/>
          </w:rPr>
          <w:t xml:space="preserve">Relation and continuing dependence</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162">
        <w:r>
          <w:rPr>
            <w:color w:val="000000"/>
          </w:rPr>
          <w:t xml:space="preserve">bibere</w:t>
        </w:r>
      </w:hyperlink>
      <w:r>
        <w:rPr>
          <w:b w:val="0"/>
          <w:i w:val="0"/>
        </w:rPr>
        <w:t xml:space="preserve">; </w:t>
      </w:r>
      <w:hyperlink w:anchor="latin-record-0375">
        <w:r>
          <w:rPr>
            <w:color w:val="000000"/>
          </w:rPr>
          <w:t xml:space="preserve">Deus</w:t>
        </w:r>
      </w:hyperlink>
      <w:r>
        <w:rPr>
          <w:b w:val="0"/>
          <w:i w:val="0"/>
        </w:rPr>
        <w:t xml:space="preserve">; </w:t>
      </w:r>
      <w:hyperlink w:anchor="latin-record-0469">
        <w:r>
          <w:rPr>
            <w:color w:val="000000"/>
          </w:rPr>
          <w:t xml:space="preserve">exuberare</w:t>
        </w:r>
      </w:hyperlink>
      <w:r>
        <w:rPr>
          <w:b w:val="0"/>
          <w:i w:val="0"/>
        </w:rPr>
        <w:t xml:space="preserve">; </w:t>
      </w:r>
      <w:hyperlink w:anchor="latin-record-0559">
        <w:r>
          <w:rPr>
            <w:color w:val="000000"/>
          </w:rPr>
          <w:t xml:space="preserve">haurire</w:t>
        </w:r>
      </w:hyperlink>
      <w:r>
        <w:rPr>
          <w:b w:val="0"/>
          <w:i w:val="0"/>
        </w:rPr>
        <w:t xml:space="preserve">; </w:t>
      </w:r>
      <w:hyperlink w:anchor="latin-record-0597">
        <w:r>
          <w:rPr>
            <w:color w:val="000000"/>
          </w:rPr>
          <w:t xml:space="preserve">immobilis / stabilis</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918">
        <w:r>
          <w:rPr>
            <w:color w:val="000000"/>
          </w:rPr>
          <w:t xml:space="preserve">per se</w:t>
        </w:r>
      </w:hyperlink>
      <w:r>
        <w:rPr>
          <w:b w:val="0"/>
          <w:i w:val="0"/>
        </w:rPr>
        <w:t xml:space="preserve">; </w:t>
      </w:r>
      <w:hyperlink w:anchor="latin-record-0930">
        <w:r>
          <w:rPr>
            <w:color w:val="000000"/>
          </w:rPr>
          <w:t xml:space="preserve">permanere / restare / superesse</w:t>
        </w:r>
      </w:hyperlink>
      <w:r>
        <w:rPr>
          <w:b w:val="0"/>
          <w:i w:val="0"/>
        </w:rPr>
        <w:t xml:space="preserve">; </w:t>
      </w:r>
      <w:hyperlink w:anchor="latin-record-1098">
        <w:r>
          <w:rPr>
            <w:color w:val="000000"/>
          </w:rPr>
          <w:t xml:space="preserve">relatio</w:t>
        </w:r>
      </w:hyperlink>
      <w:r>
        <w:rPr>
          <w:b w:val="0"/>
          <w:i w:val="0"/>
        </w:rPr>
        <w:t xml:space="preserve">; </w:t>
      </w:r>
      <w:hyperlink w:anchor="latin-record-1117">
        <w:r>
          <w:rPr>
            <w:color w:val="000000"/>
          </w:rPr>
          <w:t xml:space="preserve">respectus / referri</w:t>
        </w:r>
      </w:hyperlink>
      <w:r>
        <w:rPr>
          <w:b w:val="0"/>
          <w:i w:val="0"/>
        </w:rPr>
        <w:t xml:space="preserve">; </w:t>
      </w:r>
      <w:hyperlink w:anchor="latin-record-1294">
        <w:r>
          <w:rPr>
            <w:color w:val="000000"/>
          </w:rPr>
          <w:t xml:space="preserve">tertius</w:t>
        </w:r>
      </w:hyperlink>
      <w:r>
        <w:rPr>
          <w:b w:val="0"/>
          <w:i w:val="0"/>
        </w:rPr>
        <w:t>.</w:t>
      </w:r>
    </w:p>
    <w:p>
      <w:pPr>
        <w:pStyle w:val="Heading2"/>
      </w:pPr>
      <w:bookmarkStart w:id="1693" w:name="chapter-v.11"/>
      <w:r>
        <w:rPr>
          <w:b w:val="0"/>
          <w:i w:val="0"/>
        </w:rPr>
        <w:t>Chapter V.11</w:t>
      </w:r>
      <w:bookmarkEnd w:id="1693"/>
    </w:p>
    <w:p>
      <w:pPr>
        <w:widowControl/>
      </w:pPr>
      <w:bookmarkStart w:id="1694" w:name="passage-v-11-1"/>
      <w:bookmarkEnd w:id="1694"/>
      <w:r>
        <w:rPr>
          <w:b/>
          <w:i w:val="0"/>
        </w:rPr>
        <w:t>V.11.1</w:t>
      </w:r>
      <w:r>
        <w:rPr>
          <w:b/>
          <w:i w:val="0"/>
        </w:rPr>
        <w:t>, source pp. 60–61.</w:t>
      </w:r>
      <w:r>
        <w:rPr>
          <w:b w:val="0"/>
          <w:i w:val="0"/>
        </w:rPr>
        <w:t xml:space="preserve"> Articles: </w:t>
      </w:r>
      <w:hyperlink w:anchor="essence-and-being">
        <w:r>
          <w:rPr>
            <w:color w:val="000000"/>
          </w:rPr>
          <w:t xml:space="preserve">Essence and being</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spiritual-matter-and-identity">
        <w:r>
          <w:rPr>
            <w:color w:val="000000"/>
          </w:rPr>
          <w:t xml:space="preserve">Spiritual matter and identity</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023">
        <w:r>
          <w:rPr>
            <w:color w:val="000000"/>
          </w:rPr>
          <w:t xml:space="preserve">actus</w:t>
        </w:r>
      </w:hyperlink>
      <w:r>
        <w:rPr>
          <w:b w:val="0"/>
          <w:i w:val="0"/>
        </w:rPr>
        <w:t xml:space="preserve">; </w:t>
      </w:r>
      <w:hyperlink w:anchor="latin-record-0261">
        <w:r>
          <w:rPr>
            <w:color w:val="000000"/>
          </w:rPr>
          <w:t xml:space="preserve">componere / compositum</w:t>
        </w:r>
      </w:hyperlink>
      <w:r>
        <w:rPr>
          <w:b w:val="0"/>
          <w:i w:val="0"/>
        </w:rPr>
        <w:t xml:space="preserve">; </w:t>
      </w:r>
      <w:hyperlink w:anchor="latin-record-0343">
        <w:r>
          <w:rPr>
            <w:color w:val="000000"/>
          </w:rPr>
          <w:t xml:space="preserve">corrumpere / perdere / interire</w:t>
        </w:r>
      </w:hyperlink>
      <w:r>
        <w:rPr>
          <w:b w:val="0"/>
          <w:i w:val="0"/>
        </w:rPr>
        <w:t xml:space="preserve">; </w:t>
      </w:r>
      <w:hyperlink w:anchor="latin-record-0344">
        <w:r>
          <w:rPr>
            <w:color w:val="000000"/>
          </w:rPr>
          <w:t xml:space="preserve">corruptio</w:t>
        </w:r>
      </w:hyperlink>
      <w:r>
        <w:rPr>
          <w:b w:val="0"/>
          <w:i w:val="0"/>
        </w:rPr>
        <w:t xml:space="preserve">; </w:t>
      </w:r>
      <w:hyperlink w:anchor="latin-record-0498">
        <w:r>
          <w:rPr>
            <w:color w:val="000000"/>
          </w:rPr>
          <w:t xml:space="preserve">fomes</w:t>
        </w:r>
      </w:hyperlink>
      <w:r>
        <w:rPr>
          <w:b w:val="0"/>
          <w:i w:val="0"/>
        </w:rPr>
        <w:t xml:space="preserve">; </w:t>
      </w:r>
      <w:hyperlink w:anchor="latin-record-0540">
        <w:r>
          <w:rPr>
            <w:color w:val="000000"/>
          </w:rPr>
          <w:t xml:space="preserve">generatio</w:t>
        </w:r>
      </w:hyperlink>
      <w:r>
        <w:rPr>
          <w:b w:val="0"/>
          <w:i w:val="0"/>
        </w:rPr>
        <w:t xml:space="preserve">; </w:t>
      </w:r>
      <w:hyperlink w:anchor="latin-record-0970">
        <w:r>
          <w:rPr>
            <w:color w:val="000000"/>
          </w:rPr>
          <w:t xml:space="preserve">potentia susceptiva</w:t>
        </w:r>
      </w:hyperlink>
      <w:r>
        <w:rPr>
          <w:b w:val="0"/>
          <w:i w:val="0"/>
        </w:rPr>
        <w:t xml:space="preserve">; </w:t>
      </w:r>
      <w:hyperlink w:anchor="latin-record-1112">
        <w:r>
          <w:rPr>
            <w:color w:val="000000"/>
          </w:rPr>
          <w:t xml:space="preserve">res</w:t>
        </w:r>
      </w:hyperlink>
      <w:r>
        <w:rPr>
          <w:b w:val="0"/>
          <w:i w:val="0"/>
        </w:rPr>
        <w:t xml:space="preserve">; </w:t>
      </w:r>
      <w:hyperlink w:anchor="latin-record-1116">
        <w:r>
          <w:rPr>
            <w:color w:val="000000"/>
          </w:rPr>
          <w:t xml:space="preserve">resolvi</w:t>
        </w:r>
      </w:hyperlink>
      <w:r>
        <w:rPr>
          <w:b w:val="0"/>
          <w:i w:val="0"/>
        </w:rPr>
        <w:t>.</w:t>
      </w:r>
    </w:p>
    <w:p>
      <w:pPr>
        <w:widowControl/>
      </w:pPr>
      <w:bookmarkStart w:id="1695" w:name="passage-v-11-2"/>
      <w:bookmarkEnd w:id="1695"/>
      <w:r>
        <w:rPr>
          <w:b/>
          <w:i w:val="0"/>
        </w:rPr>
        <w:t>V.11.2</w:t>
      </w:r>
      <w:r>
        <w:rPr>
          <w:b/>
          <w:i w:val="0"/>
        </w:rPr>
        <w:t>, source pp. 60–61.</w:t>
      </w:r>
      <w:r>
        <w:rPr>
          <w:b w:val="0"/>
          <w:i w:val="0"/>
        </w:rPr>
        <w:t xml:space="preserve"> Articles: </w:t>
      </w:r>
      <w:hyperlink w:anchor="spiritual-matter-and-identity">
        <w:r>
          <w:rPr>
            <w:color w:val="000000"/>
          </w:rPr>
          <w:t xml:space="preserve">Spiritual matter and identity</w:t>
        </w:r>
      </w:hyperlink>
      <w:r>
        <w:rPr>
          <w:b w:val="0"/>
          <w:i w:val="0"/>
        </w:rPr>
        <w:t xml:space="preserve">. Vocabulary: </w:t>
      </w:r>
      <w:hyperlink w:anchor="latin-record-0023">
        <w:r>
          <w:rPr>
            <w:color w:val="000000"/>
          </w:rPr>
          <w:t xml:space="preserve">actus</w:t>
        </w:r>
      </w:hyperlink>
      <w:r>
        <w:rPr>
          <w:b w:val="0"/>
          <w:i w:val="0"/>
        </w:rPr>
        <w:t xml:space="preserve">; </w:t>
      </w:r>
      <w:hyperlink w:anchor="latin-record-0080">
        <w:r>
          <w:rPr>
            <w:color w:val="000000"/>
          </w:rPr>
          <w:t xml:space="preserve">amittere</w:t>
        </w:r>
      </w:hyperlink>
      <w:r>
        <w:rPr>
          <w:b w:val="0"/>
          <w:i w:val="0"/>
        </w:rPr>
        <w:t xml:space="preserve">; </w:t>
      </w:r>
      <w:hyperlink w:anchor="latin-record-0161">
        <w:r>
          <w:rPr>
            <w:color w:val="000000"/>
          </w:rPr>
          <w:t xml:space="preserve">beneficus</w:t>
        </w:r>
      </w:hyperlink>
      <w:r>
        <w:rPr>
          <w:b w:val="0"/>
          <w:i w:val="0"/>
        </w:rPr>
        <w:t xml:space="preserve">; </w:t>
      </w:r>
      <w:hyperlink w:anchor="latin-record-0636">
        <w:r>
          <w:rPr>
            <w:color w:val="000000"/>
          </w:rPr>
          <w:t xml:space="preserve">influxus</w:t>
        </w:r>
      </w:hyperlink>
      <w:r>
        <w:rPr>
          <w:b w:val="0"/>
          <w:i w:val="0"/>
        </w:rPr>
        <w:t xml:space="preserve">; </w:t>
      </w:r>
      <w:hyperlink w:anchor="latin-record-1262">
        <w:r>
          <w:rPr>
            <w:color w:val="000000"/>
          </w:rPr>
          <w:t xml:space="preserve">superare / praestare</w:t>
        </w:r>
      </w:hyperlink>
      <w:r>
        <w:rPr>
          <w:b w:val="0"/>
          <w:i w:val="0"/>
        </w:rPr>
        <w:t>.</w:t>
      </w:r>
    </w:p>
    <w:p>
      <w:pPr>
        <w:widowControl/>
      </w:pPr>
      <w:bookmarkStart w:id="1696" w:name="passage-v-11-3"/>
      <w:bookmarkEnd w:id="1696"/>
      <w:r>
        <w:rPr>
          <w:b/>
          <w:i w:val="0"/>
        </w:rPr>
        <w:t>V.11.3</w:t>
      </w:r>
      <w:r>
        <w:rPr>
          <w:b/>
          <w:i w:val="0"/>
        </w:rPr>
        <w:t>, source pp. 62–63.</w:t>
      </w:r>
      <w:r>
        <w:rPr>
          <w:b w:val="0"/>
          <w:i w:val="0"/>
        </w:rPr>
        <w:t xml:space="preserve"> Articles: </w:t>
      </w:r>
      <w:hyperlink w:anchor="essence-and-being">
        <w:r>
          <w:rPr>
            <w:color w:val="000000"/>
          </w:rPr>
          <w:t xml:space="preserve">Essence and being</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spiritual-matter-and-identity">
        <w:r>
          <w:rPr>
            <w:color w:val="000000"/>
          </w:rPr>
          <w:t xml:space="preserve">Spiritual matter and identity</w:t>
        </w:r>
      </w:hyperlink>
      <w:r>
        <w:rPr>
          <w:b w:val="0"/>
          <w:i w:val="0"/>
        </w:rPr>
        <w:t xml:space="preserve">. Vocabulary: </w:t>
      </w:r>
      <w:hyperlink w:anchor="latin-record-0080">
        <w:r>
          <w:rPr>
            <w:color w:val="000000"/>
          </w:rPr>
          <w:t xml:space="preserve">amittere</w:t>
        </w:r>
      </w:hyperlink>
      <w:r>
        <w:rPr>
          <w:b w:val="0"/>
          <w:i w:val="0"/>
        </w:rPr>
        <w:t xml:space="preserve">; </w:t>
      </w:r>
      <w:hyperlink w:anchor="latin-record-0343">
        <w:r>
          <w:rPr>
            <w:color w:val="000000"/>
          </w:rPr>
          <w:t xml:space="preserve">corrumpere / perdere / interire</w:t>
        </w:r>
      </w:hyperlink>
      <w:r>
        <w:rPr>
          <w:b w:val="0"/>
          <w:i w:val="0"/>
        </w:rPr>
        <w:t xml:space="preserve">; </w:t>
      </w:r>
      <w:hyperlink w:anchor="latin-record-0344">
        <w:r>
          <w:rPr>
            <w:color w:val="000000"/>
          </w:rPr>
          <w:t xml:space="preserve">corruptio</w:t>
        </w:r>
      </w:hyperlink>
      <w:r>
        <w:rPr>
          <w:b w:val="0"/>
          <w:i w:val="0"/>
        </w:rPr>
        <w:t xml:space="preserve">; </w:t>
      </w:r>
      <w:hyperlink w:anchor="latin-record-0440">
        <w:r>
          <w:rPr>
            <w:color w:val="000000"/>
          </w:rPr>
          <w:t xml:space="preserve">esse</w:t>
        </w:r>
      </w:hyperlink>
      <w:r>
        <w:rPr>
          <w:b w:val="0"/>
          <w:i w:val="0"/>
        </w:rPr>
        <w:t xml:space="preserve">; </w:t>
      </w:r>
      <w:hyperlink w:anchor="latin-record-0930">
        <w:r>
          <w:rPr>
            <w:color w:val="000000"/>
          </w:rPr>
          <w:t xml:space="preserve">permanere / restare / superesse</w:t>
        </w:r>
      </w:hyperlink>
      <w:r>
        <w:rPr>
          <w:b w:val="0"/>
          <w:i w:val="0"/>
        </w:rPr>
        <w:t xml:space="preserve">; </w:t>
      </w:r>
      <w:hyperlink w:anchor="latin-record-1379">
        <w:r>
          <w:rPr>
            <w:color w:val="000000"/>
          </w:rPr>
          <w:t xml:space="preserve">vivere</w:t>
        </w:r>
      </w:hyperlink>
      <w:r>
        <w:rPr>
          <w:b w:val="0"/>
          <w:i w:val="0"/>
        </w:rPr>
        <w:t>.</w:t>
      </w:r>
    </w:p>
    <w:p>
      <w:pPr>
        <w:widowControl/>
      </w:pPr>
      <w:bookmarkStart w:id="1697" w:name="passage-v-11-4"/>
      <w:bookmarkEnd w:id="1697"/>
      <w:r>
        <w:rPr>
          <w:b/>
          <w:i w:val="0"/>
        </w:rPr>
        <w:t>V.11.4</w:t>
      </w:r>
      <w:r>
        <w:rPr>
          <w:b/>
          <w:i w:val="0"/>
        </w:rPr>
        <w:t>, source pp. 62–63.</w:t>
      </w:r>
      <w:r>
        <w:rPr>
          <w:b w:val="0"/>
          <w:i w:val="0"/>
        </w:rPr>
        <w:t xml:space="preserve"> Articles: </w:t>
      </w:r>
      <w:hyperlink w:anchor="spiritual-matter-and-identity">
        <w:r>
          <w:rPr>
            <w:color w:val="000000"/>
          </w:rPr>
          <w:t xml:space="preserve">Spiritual matter and identity</w:t>
        </w:r>
      </w:hyperlink>
      <w:r>
        <w:rPr>
          <w:b w:val="0"/>
          <w:i w:val="0"/>
        </w:rPr>
        <w:t xml:space="preserve">. Vocabulary: </w:t>
      </w:r>
      <w:hyperlink w:anchor="latin-record-1116">
        <w:r>
          <w:rPr>
            <w:color w:val="000000"/>
          </w:rPr>
          <w:t xml:space="preserve">resolvi</w:t>
        </w:r>
      </w:hyperlink>
      <w:r>
        <w:rPr>
          <w:b w:val="0"/>
          <w:i w:val="0"/>
        </w:rPr>
        <w:t>.</w:t>
      </w:r>
    </w:p>
    <w:p>
      <w:pPr>
        <w:widowControl/>
      </w:pPr>
      <w:bookmarkStart w:id="1698" w:name="passage-v-11-5"/>
      <w:bookmarkEnd w:id="1698"/>
      <w:r>
        <w:rPr>
          <w:b/>
          <w:i w:val="0"/>
        </w:rPr>
        <w:t>V.11.5</w:t>
      </w:r>
      <w:r>
        <w:rPr>
          <w:b/>
          <w:i w:val="0"/>
        </w:rPr>
        <w:t>, source pp. 62–63.</w:t>
      </w:r>
      <w:r>
        <w:rPr>
          <w:b w:val="0"/>
          <w:i w:val="0"/>
        </w:rPr>
        <w:t xml:space="preserve"> Articles: </w:t>
      </w:r>
      <w:hyperlink w:anchor="generation-corruption-and-annihilation">
        <w:r>
          <w:rPr>
            <w:color w:val="000000"/>
          </w:rPr>
          <w:t xml:space="preserve">Generation, corruption and annihilation</w:t>
        </w:r>
      </w:hyperlink>
      <w:r>
        <w:rPr>
          <w:b w:val="0"/>
          <w:i w:val="0"/>
        </w:rPr>
        <w:t xml:space="preserve">; </w:t>
      </w:r>
      <w:hyperlink w:anchor="seal-wax-and-restoration">
        <w:r>
          <w:rPr>
            <w:color w:val="000000"/>
          </w:rPr>
          <w:t xml:space="preserve">Seal, wax and restoration</w:t>
        </w:r>
      </w:hyperlink>
      <w:r>
        <w:rPr>
          <w:b w:val="0"/>
          <w:i w:val="0"/>
        </w:rPr>
        <w:t xml:space="preserve">; </w:t>
      </w:r>
      <w:hyperlink w:anchor="spiritual-matter-and-identity">
        <w:r>
          <w:rPr>
            <w:color w:val="000000"/>
          </w:rPr>
          <w:t xml:space="preserve">Spiritual matter and identity</w:t>
        </w:r>
      </w:hyperlink>
      <w:r>
        <w:rPr>
          <w:b w:val="0"/>
          <w:i w:val="0"/>
        </w:rPr>
        <w:t xml:space="preserve">. Vocabulary: </w:t>
      </w:r>
      <w:hyperlink w:anchor="latin-record-1116">
        <w:r>
          <w:rPr>
            <w:color w:val="000000"/>
          </w:rPr>
          <w:t xml:space="preserve">resolvi</w:t>
        </w:r>
      </w:hyperlink>
      <w:r>
        <w:rPr>
          <w:b w:val="0"/>
          <w:i w:val="0"/>
        </w:rPr>
        <w:t>.</w:t>
      </w:r>
    </w:p>
    <w:p>
      <w:pPr>
        <w:widowControl/>
      </w:pPr>
      <w:bookmarkStart w:id="1699" w:name="passage-v-11-6"/>
      <w:bookmarkEnd w:id="1699"/>
      <w:r>
        <w:rPr>
          <w:b/>
          <w:i w:val="0"/>
        </w:rPr>
        <w:t>V.11.6</w:t>
      </w:r>
      <w:r>
        <w:rPr>
          <w:b/>
          <w:i w:val="0"/>
        </w:rPr>
        <w:t>, source pp. 64–65.</w:t>
      </w:r>
      <w:r>
        <w:rPr>
          <w:b w:val="0"/>
          <w:i w:val="0"/>
        </w:rPr>
        <w:t xml:space="preserve"> Articles: </w:t>
      </w:r>
      <w:hyperlink w:anchor="generation-corruption-and-annihilation">
        <w:r>
          <w:rPr>
            <w:color w:val="000000"/>
          </w:rPr>
          <w:t xml:space="preserve">Generation, corruption and annihilation</w:t>
        </w:r>
      </w:hyperlink>
      <w:r>
        <w:rPr>
          <w:b w:val="0"/>
          <w:i w:val="0"/>
        </w:rPr>
        <w:t xml:space="preserve">; </w:t>
      </w:r>
      <w:hyperlink w:anchor="ideas-natural-ascent-and-rest">
        <w:r>
          <w:rPr>
            <w:color w:val="000000"/>
          </w:rPr>
          <w:t xml:space="preserve">Ideas, natural ascent and rest</w:t>
        </w:r>
      </w:hyperlink>
      <w:r>
        <w:rPr>
          <w:b w:val="0"/>
          <w:i w:val="0"/>
        </w:rPr>
        <w:t xml:space="preserve">; </w:t>
      </w:r>
      <w:hyperlink w:anchor="seal-wax-and-restoration">
        <w:r>
          <w:rPr>
            <w:color w:val="000000"/>
          </w:rPr>
          <w:t xml:space="preserve">Seal, wax and restoration</w:t>
        </w:r>
      </w:hyperlink>
      <w:r>
        <w:rPr>
          <w:b w:val="0"/>
          <w:i w:val="0"/>
        </w:rPr>
        <w:t xml:space="preserve">. Vocabulary: </w:t>
      </w:r>
      <w:hyperlink w:anchor="latin-record-0032">
        <w:r>
          <w:rPr>
            <w:color w:val="000000"/>
          </w:rPr>
          <w:t xml:space="preserve">adaequare</w:t>
        </w:r>
      </w:hyperlink>
      <w:r>
        <w:rPr>
          <w:b w:val="0"/>
          <w:i w:val="0"/>
        </w:rPr>
        <w:t xml:space="preserve">; </w:t>
      </w:r>
      <w:hyperlink w:anchor="latin-record-0105">
        <w:r>
          <w:rPr>
            <w:color w:val="000000"/>
          </w:rPr>
          <w:t xml:space="preserve">animus</w:t>
        </w:r>
      </w:hyperlink>
      <w:r>
        <w:rPr>
          <w:b w:val="0"/>
          <w:i w:val="0"/>
        </w:rPr>
        <w:t xml:space="preserve">; </w:t>
      </w:r>
      <w:hyperlink w:anchor="latin-record-0208">
        <w:r>
          <w:rPr>
            <w:color w:val="000000"/>
          </w:rPr>
          <w:t xml:space="preserve">cera</w:t>
        </w:r>
      </w:hyperlink>
      <w:r>
        <w:rPr>
          <w:b w:val="0"/>
          <w:i w:val="0"/>
        </w:rPr>
        <w:t xml:space="preserve">; </w:t>
      </w:r>
      <w:hyperlink w:anchor="latin-record-0346">
        <w:r>
          <w:rPr>
            <w:color w:val="000000"/>
          </w:rPr>
          <w:t xml:space="preserve">creare / creatio</w:t>
        </w:r>
      </w:hyperlink>
      <w:r>
        <w:rPr>
          <w:b w:val="0"/>
          <w:i w:val="0"/>
        </w:rPr>
        <w:t xml:space="preserve">; </w:t>
      </w:r>
      <w:hyperlink w:anchor="latin-record-0577">
        <w:r>
          <w:rPr>
            <w:color w:val="000000"/>
          </w:rPr>
          <w:t xml:space="preserve">idea</w:t>
        </w:r>
      </w:hyperlink>
      <w:r>
        <w:rPr>
          <w:b w:val="0"/>
          <w:i w:val="0"/>
        </w:rPr>
        <w:t xml:space="preserve">; </w:t>
      </w:r>
      <w:hyperlink w:anchor="latin-record-0608">
        <w:r>
          <w:rPr>
            <w:color w:val="000000"/>
          </w:rPr>
          <w:t xml:space="preserve">imprimere</w:t>
        </w:r>
      </w:hyperlink>
      <w:r>
        <w:rPr>
          <w:b w:val="0"/>
          <w:i w:val="0"/>
        </w:rPr>
        <w:t xml:space="preserve">; </w:t>
      </w:r>
      <w:hyperlink w:anchor="latin-record-1084">
        <w:r>
          <w:rPr>
            <w:color w:val="000000"/>
          </w:rPr>
          <w:t xml:space="preserve">redintegrare / confirmare / roborare</w:t>
        </w:r>
      </w:hyperlink>
      <w:r>
        <w:rPr>
          <w:b w:val="0"/>
          <w:i w:val="0"/>
        </w:rPr>
        <w:t xml:space="preserve">; </w:t>
      </w:r>
      <w:hyperlink w:anchor="latin-record-1116">
        <w:r>
          <w:rPr>
            <w:color w:val="000000"/>
          </w:rPr>
          <w:t xml:space="preserve">resolvi</w:t>
        </w:r>
      </w:hyperlink>
      <w:r>
        <w:rPr>
          <w:b w:val="0"/>
          <w:i w:val="0"/>
        </w:rPr>
        <w:t xml:space="preserve">; </w:t>
      </w:r>
      <w:hyperlink w:anchor="latin-record-1167">
        <w:r>
          <w:rPr>
            <w:color w:val="000000"/>
          </w:rPr>
          <w:t xml:space="preserve">sequi</w:t>
        </w:r>
      </w:hyperlink>
      <w:r>
        <w:rPr>
          <w:b w:val="0"/>
          <w:i w:val="0"/>
        </w:rPr>
        <w:t xml:space="preserve">; </w:t>
      </w:r>
      <w:hyperlink w:anchor="latin-record-1172">
        <w:r>
          <w:rPr>
            <w:color w:val="000000"/>
          </w:rPr>
          <w:t xml:space="preserve">sigillum</w:t>
        </w:r>
      </w:hyperlink>
      <w:r>
        <w:rPr>
          <w:b w:val="0"/>
          <w:i w:val="0"/>
        </w:rPr>
        <w:t xml:space="preserve">; </w:t>
      </w:r>
      <w:hyperlink w:anchor="latin-record-1287">
        <w:r>
          <w:rPr>
            <w:color w:val="000000"/>
          </w:rPr>
          <w:t xml:space="preserve">terminus</w:t>
        </w:r>
      </w:hyperlink>
      <w:r>
        <w:rPr>
          <w:b w:val="0"/>
          <w:i w:val="0"/>
        </w:rPr>
        <w:t>.</w:t>
      </w:r>
    </w:p>
    <w:p>
      <w:pPr>
        <w:widowControl/>
      </w:pPr>
      <w:bookmarkStart w:id="1700" w:name="passage-v-11-7"/>
      <w:bookmarkEnd w:id="1700"/>
      <w:r>
        <w:rPr>
          <w:b/>
          <w:i w:val="0"/>
        </w:rPr>
        <w:t>V.11.7</w:t>
      </w:r>
      <w:r>
        <w:rPr>
          <w:b/>
          <w:i w:val="0"/>
        </w:rPr>
        <w:t>, source pp. 64–65.</w:t>
      </w:r>
      <w:r>
        <w:rPr>
          <w:b w:val="0"/>
          <w:i w:val="0"/>
        </w:rPr>
        <w:t xml:space="preserve"> Articles: </w:t>
      </w:r>
      <w:hyperlink w:anchor="spiritual-matter-and-identity">
        <w:r>
          <w:rPr>
            <w:color w:val="000000"/>
          </w:rPr>
          <w:t xml:space="preserve">Spiritual matter and identity</w:t>
        </w:r>
      </w:hyperlink>
      <w:r>
        <w:rPr>
          <w:b w:val="0"/>
          <w:i w:val="0"/>
        </w:rPr>
        <w:t xml:space="preserve">. Vocabulary: </w:t>
      </w:r>
      <w:hyperlink w:anchor="latin-record-0210">
        <w:r>
          <w:rPr>
            <w:color w:val="000000"/>
          </w:rPr>
          <w:t xml:space="preserve">certus / talis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628">
        <w:r>
          <w:rPr>
            <w:color w:val="000000"/>
          </w:rPr>
          <w:t xml:space="preserve">induere / exuere</w:t>
        </w:r>
      </w:hyperlink>
      <w:r>
        <w:rPr>
          <w:b w:val="0"/>
          <w:i w:val="0"/>
        </w:rPr>
        <w:t xml:space="preserve">; </w:t>
      </w:r>
      <w:hyperlink w:anchor="latin-record-0764">
        <w:r>
          <w:rPr>
            <w:color w:val="000000"/>
          </w:rPr>
          <w:t xml:space="preserve">materia spiritalis</w:t>
        </w:r>
      </w:hyperlink>
      <w:r>
        <w:rPr>
          <w:b w:val="0"/>
          <w:i w:val="0"/>
        </w:rPr>
        <w:t xml:space="preserve">; </w:t>
      </w:r>
      <w:hyperlink w:anchor="latin-record-1116">
        <w:r>
          <w:rPr>
            <w:color w:val="000000"/>
          </w:rPr>
          <w:t xml:space="preserve">resolvi</w:t>
        </w:r>
      </w:hyperlink>
      <w:r>
        <w:rPr>
          <w:b w:val="0"/>
          <w:i w:val="0"/>
        </w:rPr>
        <w:t xml:space="preserve">; </w:t>
      </w:r>
      <w:hyperlink w:anchor="latin-record-1141">
        <w:r>
          <w:rPr>
            <w:color w:val="000000"/>
          </w:rPr>
          <w:t xml:space="preserve">se recipere</w:t>
        </w:r>
      </w:hyperlink>
      <w:r>
        <w:rPr>
          <w:b w:val="0"/>
          <w:i w:val="0"/>
        </w:rPr>
        <w:t xml:space="preserve">; </w:t>
      </w:r>
      <w:hyperlink w:anchor="latin-record-1223">
        <w:r>
          <w:rPr>
            <w:color w:val="000000"/>
          </w:rPr>
          <w:t xml:space="preserve">spiritalis</w:t>
        </w:r>
      </w:hyperlink>
      <w:r>
        <w:rPr>
          <w:b w:val="0"/>
          <w:i w:val="0"/>
        </w:rPr>
        <w:t>.</w:t>
      </w:r>
    </w:p>
    <w:p>
      <w:pPr>
        <w:widowControl/>
      </w:pPr>
      <w:bookmarkStart w:id="1701" w:name="passage-v-11-8"/>
      <w:bookmarkEnd w:id="1701"/>
      <w:r>
        <w:rPr>
          <w:b/>
          <w:i w:val="0"/>
        </w:rPr>
        <w:t>V.11.8</w:t>
      </w:r>
      <w:r>
        <w:rPr>
          <w:b/>
          <w:i w:val="0"/>
        </w:rPr>
        <w:t>, source pp. 66–67.</w:t>
      </w:r>
      <w:r>
        <w:rPr>
          <w:b w:val="0"/>
          <w:i w:val="0"/>
        </w:rPr>
        <w:t xml:space="preserve"> Articles: </w:t>
      </w:r>
      <w:hyperlink w:anchor="essence-and-being">
        <w:r>
          <w:rPr>
            <w:color w:val="000000"/>
          </w:rPr>
          <w:t xml:space="preserve">Essence and being</w:t>
        </w:r>
      </w:hyperlink>
      <w:r>
        <w:rPr>
          <w:b w:val="0"/>
          <w:i w:val="0"/>
        </w:rPr>
        <w:t xml:space="preserve">; </w:t>
      </w:r>
      <w:hyperlink w:anchor="intelligible-principles-and-reasoning">
        <w:r>
          <w:rPr>
            <w:color w:val="000000"/>
          </w:rPr>
          <w:t xml:space="preserve">Intelligible principles and reasoning</w:t>
        </w:r>
      </w:hyperlink>
      <w:r>
        <w:rPr>
          <w:b w:val="0"/>
          <w:i w:val="0"/>
        </w:rPr>
        <w:t xml:space="preserve">; </w:t>
      </w:r>
      <w:hyperlink w:anchor="participation-common-and-proper">
        <w:r>
          <w:rPr>
            <w:color w:val="000000"/>
          </w:rPr>
          <w:t xml:space="preserve">Participation, common and proper</w:t>
        </w:r>
      </w:hyperlink>
      <w:r>
        <w:rPr>
          <w:b w:val="0"/>
          <w:i w:val="0"/>
        </w:rPr>
        <w:t xml:space="preserve">; </w:t>
      </w:r>
      <w:hyperlink w:anchor="seal-wax-and-restoration">
        <w:r>
          <w:rPr>
            <w:color w:val="000000"/>
          </w:rPr>
          <w:t xml:space="preserve">Seal, wax and restoration</w:t>
        </w:r>
      </w:hyperlink>
      <w:r>
        <w:rPr>
          <w:b w:val="0"/>
          <w:i w:val="0"/>
        </w:rPr>
        <w:t xml:space="preserve">; </w:t>
      </w:r>
      <w:hyperlink w:anchor="spiritual-matter-and-identity">
        <w:r>
          <w:rPr>
            <w:color w:val="000000"/>
          </w:rPr>
          <w:t xml:space="preserve">Spiritual matter and identity</w:t>
        </w:r>
      </w:hyperlink>
      <w:r>
        <w:rPr>
          <w:b w:val="0"/>
          <w:i w:val="0"/>
        </w:rPr>
        <w:t xml:space="preserve">. Vocabulary: </w:t>
      </w:r>
      <w:hyperlink w:anchor="latin-record-0108">
        <w:r>
          <w:rPr>
            <w:color w:val="000000"/>
          </w:rPr>
          <w:t xml:space="preserve">apparere / videri / placere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760">
        <w:r>
          <w:rPr>
            <w:color w:val="000000"/>
          </w:rPr>
          <w:t xml:space="preserve">materia communis / propria</w:t>
        </w:r>
      </w:hyperlink>
      <w:r>
        <w:rPr>
          <w:b w:val="0"/>
          <w:i w:val="0"/>
        </w:rPr>
        <w:t xml:space="preserve">; </w:t>
      </w:r>
      <w:hyperlink w:anchor="latin-record-0764">
        <w:r>
          <w:rPr>
            <w:color w:val="000000"/>
          </w:rPr>
          <w:t xml:space="preserve">materia spiritalis</w:t>
        </w:r>
      </w:hyperlink>
      <w:r>
        <w:rPr>
          <w:b w:val="0"/>
          <w:i w:val="0"/>
        </w:rPr>
        <w:t xml:space="preserve">; </w:t>
      </w:r>
      <w:hyperlink w:anchor="latin-record-0785">
        <w:r>
          <w:rPr>
            <w:color w:val="000000"/>
          </w:rPr>
          <w:t xml:space="preserve">migrare</w:t>
        </w:r>
      </w:hyperlink>
      <w:r>
        <w:rPr>
          <w:b w:val="0"/>
          <w:i w:val="0"/>
        </w:rPr>
        <w:t xml:space="preserve">; </w:t>
      </w:r>
      <w:hyperlink w:anchor="latin-record-1017">
        <w:r>
          <w:rPr>
            <w:color w:val="000000"/>
          </w:rPr>
          <w:t xml:space="preserve">proprius / communis</w:t>
        </w:r>
      </w:hyperlink>
      <w:r>
        <w:rPr>
          <w:b w:val="0"/>
          <w:i w:val="0"/>
        </w:rPr>
        <w:t xml:space="preserve">; </w:t>
      </w:r>
      <w:hyperlink w:anchor="latin-record-1209">
        <w:r>
          <w:rPr>
            <w:color w:val="000000"/>
          </w:rPr>
          <w:t xml:space="preserve">species</w:t>
        </w:r>
      </w:hyperlink>
      <w:r>
        <w:rPr>
          <w:b w:val="0"/>
          <w:i w:val="0"/>
        </w:rPr>
        <w:t xml:space="preserve">; </w:t>
      </w:r>
      <w:hyperlink w:anchor="latin-record-1223">
        <w:r>
          <w:rPr>
            <w:color w:val="000000"/>
          </w:rPr>
          <w:t xml:space="preserve">spiritalis</w:t>
        </w:r>
      </w:hyperlink>
      <w:r>
        <w:rPr>
          <w:b w:val="0"/>
          <w:i w:val="0"/>
        </w:rPr>
        <w:t xml:space="preserve">; </w:t>
      </w:r>
      <w:hyperlink w:anchor="latin-record-1379">
        <w:r>
          <w:rPr>
            <w:color w:val="000000"/>
          </w:rPr>
          <w:t xml:space="preserve">vivere</w:t>
        </w:r>
      </w:hyperlink>
      <w:r>
        <w:rPr>
          <w:b w:val="0"/>
          <w:i w:val="0"/>
        </w:rPr>
        <w:t>.</w:t>
      </w:r>
    </w:p>
    <w:p>
      <w:pPr>
        <w:pStyle w:val="Heading2"/>
      </w:pPr>
      <w:bookmarkStart w:id="1702" w:name="chapter-v.12"/>
      <w:r>
        <w:rPr>
          <w:b w:val="0"/>
          <w:i w:val="0"/>
        </w:rPr>
        <w:t>Chapter V.12</w:t>
      </w:r>
      <w:bookmarkEnd w:id="1702"/>
    </w:p>
    <w:p>
      <w:pPr>
        <w:widowControl/>
      </w:pPr>
      <w:bookmarkStart w:id="1703" w:name="passage-v-12-1"/>
      <w:bookmarkEnd w:id="1703"/>
      <w:r>
        <w:rPr>
          <w:b/>
          <w:i w:val="0"/>
        </w:rPr>
        <w:t>V.12.1</w:t>
      </w:r>
      <w:r>
        <w:rPr>
          <w:b/>
          <w:i w:val="0"/>
        </w:rPr>
        <w:t>, source pp. 68–69.</w:t>
      </w:r>
      <w:r>
        <w:rPr>
          <w:b w:val="0"/>
          <w:i w:val="0"/>
        </w:rPr>
        <w:t xml:space="preserve"> Articles: </w:t>
      </w:r>
      <w:hyperlink w:anchor="potency-possibility-and-the-lion">
        <w:r>
          <w:rPr>
            <w:color w:val="000000"/>
          </w:rPr>
          <w:t xml:space="preserve">Potency, possibility and the lion</w:t>
        </w:r>
      </w:hyperlink>
      <w:r>
        <w:rPr>
          <w:b w:val="0"/>
          <w:i w:val="0"/>
        </w:rPr>
        <w:t xml:space="preserve">. Vocabulary: </w:t>
      </w:r>
      <w:hyperlink w:anchor="latin-record-0656">
        <w:r>
          <w:rPr>
            <w:color w:val="000000"/>
          </w:rPr>
          <w:t xml:space="preserve">integra / perfecta</w:t>
        </w:r>
      </w:hyperlink>
      <w:r>
        <w:rPr>
          <w:b w:val="0"/>
          <w:i w:val="0"/>
        </w:rPr>
        <w:t xml:space="preserve">; </w:t>
      </w:r>
      <w:hyperlink w:anchor="latin-record-0969">
        <w:r>
          <w:rPr>
            <w:color w:val="000000"/>
          </w:rPr>
          <w:t xml:space="preserve">potentia ad non esse</w:t>
        </w:r>
      </w:hyperlink>
      <w:r>
        <w:rPr>
          <w:b w:val="0"/>
          <w:i w:val="0"/>
        </w:rPr>
        <w:t xml:space="preserve">; </w:t>
      </w:r>
      <w:hyperlink w:anchor="latin-record-1112">
        <w:r>
          <w:rPr>
            <w:color w:val="000000"/>
          </w:rPr>
          <w:t xml:space="preserve">res</w:t>
        </w:r>
      </w:hyperlink>
      <w:r>
        <w:rPr>
          <w:b w:val="0"/>
          <w:i w:val="0"/>
        </w:rPr>
        <w:t xml:space="preserve">; </w:t>
      </w:r>
      <w:hyperlink w:anchor="latin-record-1177">
        <w:r>
          <w:rPr>
            <w:color w:val="000000"/>
          </w:rPr>
          <w:t xml:space="preserve">simplex</w:t>
        </w:r>
      </w:hyperlink>
      <w:r>
        <w:rPr>
          <w:b w:val="0"/>
          <w:i w:val="0"/>
        </w:rPr>
        <w:t xml:space="preserve">; </w:t>
      </w:r>
      <w:hyperlink w:anchor="latin-record-1192">
        <w:r>
          <w:rPr>
            <w:color w:val="000000"/>
          </w:rPr>
          <w:t xml:space="preserve">sistere / subsistere</w:t>
        </w:r>
      </w:hyperlink>
      <w:r>
        <w:rPr>
          <w:b w:val="0"/>
          <w:i w:val="0"/>
        </w:rPr>
        <w:t>.</w:t>
      </w:r>
    </w:p>
    <w:p>
      <w:pPr>
        <w:widowControl/>
      </w:pPr>
      <w:bookmarkStart w:id="1704" w:name="passage-v-12-2"/>
      <w:bookmarkEnd w:id="1704"/>
      <w:r>
        <w:rPr>
          <w:b/>
          <w:i w:val="0"/>
        </w:rPr>
        <w:t>V.12.2</w:t>
      </w:r>
      <w:r>
        <w:rPr>
          <w:b/>
          <w:i w:val="0"/>
        </w:rPr>
        <w:t>, source pp. 68–69.</w:t>
      </w:r>
      <w:r>
        <w:rPr>
          <w:b w:val="0"/>
          <w:i w:val="0"/>
        </w:rPr>
        <w:t xml:space="preserve"> Articles: </w:t>
      </w:r>
      <w:hyperlink w:anchor="potency-possibility-and-the-lion">
        <w:r>
          <w:rPr>
            <w:color w:val="000000"/>
          </w:rPr>
          <w:t xml:space="preserve">Potency, possibility and the lion</w:t>
        </w:r>
      </w:hyperlink>
      <w:r>
        <w:rPr>
          <w:b w:val="0"/>
          <w:i w:val="0"/>
        </w:rPr>
        <w:t xml:space="preserve">. Vocabulary: </w:t>
      </w:r>
      <w:hyperlink w:anchor="latin-record-0009">
        <w:r>
          <w:rPr>
            <w:color w:val="000000"/>
          </w:rPr>
          <w:t xml:space="preserve">absurdus / repugnare</w:t>
        </w:r>
      </w:hyperlink>
      <w:r>
        <w:rPr>
          <w:b w:val="0"/>
          <w:i w:val="0"/>
        </w:rPr>
        <w:t xml:space="preserve">; </w:t>
      </w:r>
      <w:hyperlink w:anchor="latin-record-0014">
        <w:r>
          <w:rPr>
            <w:color w:val="000000"/>
          </w:rPr>
          <w:t xml:space="preserve">accidere</w:t>
        </w:r>
      </w:hyperlink>
      <w:r>
        <w:rPr>
          <w:b w:val="0"/>
          <w:i w:val="0"/>
        </w:rPr>
        <w:t xml:space="preserve">; </w:t>
      </w:r>
      <w:hyperlink w:anchor="latin-record-0261">
        <w:r>
          <w:rPr>
            <w:color w:val="000000"/>
          </w:rPr>
          <w:t xml:space="preserve">componere / compositum</w:t>
        </w:r>
      </w:hyperlink>
      <w:r>
        <w:rPr>
          <w:b w:val="0"/>
          <w:i w:val="0"/>
        </w:rPr>
        <w:t xml:space="preserve">; </w:t>
      </w:r>
      <w:hyperlink w:anchor="latin-record-0656">
        <w:r>
          <w:rPr>
            <w:color w:val="000000"/>
          </w:rPr>
          <w:t xml:space="preserve">integra / perfecta</w:t>
        </w:r>
      </w:hyperlink>
      <w:r>
        <w:rPr>
          <w:b w:val="0"/>
          <w:i w:val="0"/>
        </w:rPr>
        <w:t xml:space="preserve">; </w:t>
      </w:r>
      <w:hyperlink w:anchor="latin-record-0762">
        <w:r>
          <w:rPr>
            <w:color w:val="000000"/>
          </w:rPr>
          <w:t xml:space="preserve">materia prima</w:t>
        </w:r>
      </w:hyperlink>
      <w:r>
        <w:rPr>
          <w:b w:val="0"/>
          <w:i w:val="0"/>
        </w:rPr>
        <w:t xml:space="preserve">; </w:t>
      </w:r>
      <w:hyperlink w:anchor="latin-record-0833">
        <w:r>
          <w:rPr>
            <w:color w:val="000000"/>
          </w:rPr>
          <w:t xml:space="preserve">necesse / oportere</w:t>
        </w:r>
      </w:hyperlink>
      <w:r>
        <w:rPr>
          <w:b w:val="0"/>
          <w:i w:val="0"/>
        </w:rPr>
        <w:t xml:space="preserve">; </w:t>
      </w:r>
      <w:hyperlink w:anchor="latin-record-0868">
        <w:r>
          <w:rPr>
            <w:color w:val="000000"/>
          </w:rPr>
          <w:t xml:space="preserve">opponere / oppositum</w:t>
        </w:r>
      </w:hyperlink>
      <w:r>
        <w:rPr>
          <w:b w:val="0"/>
          <w:i w:val="0"/>
        </w:rPr>
        <w:t xml:space="preserve">; </w:t>
      </w:r>
      <w:hyperlink w:anchor="latin-record-0969">
        <w:r>
          <w:rPr>
            <w:color w:val="000000"/>
          </w:rPr>
          <w:t xml:space="preserve">potentia ad non esse</w:t>
        </w:r>
      </w:hyperlink>
      <w:r>
        <w:rPr>
          <w:b w:val="0"/>
          <w:i w:val="0"/>
        </w:rPr>
        <w:t xml:space="preserve">; </w:t>
      </w:r>
      <w:hyperlink w:anchor="latin-record-1052">
        <w:r>
          <w:rPr>
            <w:color w:val="000000"/>
          </w:rPr>
          <w:t xml:space="preserve">quiescere</w:t>
        </w:r>
      </w:hyperlink>
      <w:r>
        <w:rPr>
          <w:b w:val="0"/>
          <w:i w:val="0"/>
        </w:rPr>
        <w:t xml:space="preserve">; </w:t>
      </w:r>
      <w:hyperlink w:anchor="latin-record-1055">
        <w:r>
          <w:rPr>
            <w:color w:val="000000"/>
          </w:rPr>
          <w:t xml:space="preserve">quodammodo</w:t>
        </w:r>
      </w:hyperlink>
      <w:r>
        <w:rPr>
          <w:b w:val="0"/>
          <w:i w:val="0"/>
        </w:rPr>
        <w:t xml:space="preserve">; </w:t>
      </w:r>
      <w:hyperlink w:anchor="latin-record-1239">
        <w:r>
          <w:rPr>
            <w:color w:val="000000"/>
          </w:rPr>
          <w:t xml:space="preserve">subiectum</w:t>
        </w:r>
      </w:hyperlink>
      <w:r>
        <w:rPr>
          <w:b w:val="0"/>
          <w:i w:val="0"/>
        </w:rPr>
        <w:t xml:space="preserve">; </w:t>
      </w:r>
      <w:hyperlink w:anchor="latin-record-1245">
        <w:r>
          <w:rPr>
            <w:color w:val="000000"/>
          </w:rPr>
          <w:t xml:space="preserve">substantia</w:t>
        </w:r>
      </w:hyperlink>
      <w:r>
        <w:rPr>
          <w:b w:val="0"/>
          <w:i w:val="0"/>
        </w:rPr>
        <w:t xml:space="preserve">; </w:t>
      </w:r>
      <w:hyperlink w:anchor="latin-record-1269">
        <w:r>
          <w:rPr>
            <w:color w:val="000000"/>
          </w:rPr>
          <w:t xml:space="preserve">suscipere / capere / accipere</w:t>
        </w:r>
      </w:hyperlink>
      <w:r>
        <w:rPr>
          <w:b w:val="0"/>
          <w:i w:val="0"/>
        </w:rPr>
        <w:t>.</w:t>
      </w:r>
    </w:p>
    <w:p>
      <w:pPr>
        <w:widowControl/>
      </w:pPr>
      <w:bookmarkStart w:id="1705" w:name="passage-v-12-3"/>
      <w:bookmarkEnd w:id="1705"/>
      <w:r>
        <w:rPr>
          <w:b/>
          <w:i w:val="0"/>
        </w:rPr>
        <w:t>V.12.3</w:t>
      </w:r>
      <w:r>
        <w:rPr>
          <w:b/>
          <w:i w:val="0"/>
        </w:rPr>
        <w:t>, source pp. 68–69.</w:t>
      </w:r>
      <w:r>
        <w:rPr>
          <w:b w:val="0"/>
          <w:i w:val="0"/>
        </w:rPr>
        <w:t xml:space="preserve"> Articles: </w:t>
      </w:r>
      <w:hyperlink w:anchor="potency-possibility-and-the-lion">
        <w:r>
          <w:rPr>
            <w:color w:val="000000"/>
          </w:rPr>
          <w:t xml:space="preserve">Potency, possibility and the lion</w:t>
        </w:r>
      </w:hyperlink>
      <w:r>
        <w:rPr>
          <w:b w:val="0"/>
          <w:i w:val="0"/>
        </w:rPr>
        <w:t xml:space="preserve">. Vocabulary: </w:t>
      </w:r>
      <w:hyperlink w:anchor="latin-record-0428">
        <w:r>
          <w:rPr>
            <w:color w:val="000000"/>
          </w:rPr>
          <w:t xml:space="preserve">egenus / egere / indigere</w:t>
        </w:r>
      </w:hyperlink>
      <w:r>
        <w:rPr>
          <w:b w:val="0"/>
          <w:i w:val="0"/>
        </w:rPr>
        <w:t xml:space="preserve">; </w:t>
      </w:r>
      <w:hyperlink w:anchor="latin-record-0637">
        <w:r>
          <w:rPr>
            <w:color w:val="000000"/>
          </w:rPr>
          <w:t xml:space="preserve">informis</w:t>
        </w:r>
      </w:hyperlink>
      <w:r>
        <w:rPr>
          <w:b w:val="0"/>
          <w:i w:val="0"/>
        </w:rPr>
        <w:t xml:space="preserve">; </w:t>
      </w:r>
      <w:hyperlink w:anchor="latin-record-0832">
        <w:r>
          <w:rPr>
            <w:color w:val="000000"/>
          </w:rPr>
          <w:t xml:space="preserve">necessarium / impossibile</w:t>
        </w:r>
      </w:hyperlink>
      <w:r>
        <w:rPr>
          <w:b w:val="0"/>
          <w:i w:val="0"/>
        </w:rPr>
        <w:t xml:space="preserve">; </w:t>
      </w:r>
      <w:hyperlink w:anchor="latin-record-0872">
        <w:r>
          <w:rPr>
            <w:color w:val="000000"/>
          </w:rPr>
          <w:t xml:space="preserve">opus</w:t>
        </w:r>
      </w:hyperlink>
      <w:r>
        <w:rPr>
          <w:b w:val="0"/>
          <w:i w:val="0"/>
        </w:rPr>
        <w:t xml:space="preserve">; </w:t>
      </w:r>
      <w:hyperlink w:anchor="latin-record-0965">
        <w:r>
          <w:rPr>
            <w:color w:val="000000"/>
          </w:rPr>
          <w:t xml:space="preserve">possibile</w:t>
        </w:r>
      </w:hyperlink>
      <w:r>
        <w:rPr>
          <w:b w:val="0"/>
          <w:i w:val="0"/>
        </w:rPr>
        <w:t xml:space="preserve">; </w:t>
      </w:r>
      <w:hyperlink w:anchor="latin-record-1055">
        <w:r>
          <w:rPr>
            <w:color w:val="000000"/>
          </w:rPr>
          <w:t xml:space="preserve">quodammodo</w:t>
        </w:r>
      </w:hyperlink>
      <w:r>
        <w:rPr>
          <w:b w:val="0"/>
          <w:i w:val="0"/>
        </w:rPr>
        <w:t>.</w:t>
      </w:r>
    </w:p>
    <w:p>
      <w:pPr>
        <w:widowControl/>
      </w:pPr>
      <w:bookmarkStart w:id="1706" w:name="passage-v-12-4"/>
      <w:bookmarkEnd w:id="1706"/>
      <w:r>
        <w:rPr>
          <w:b/>
          <w:i w:val="0"/>
        </w:rPr>
        <w:t>V.12.4</w:t>
      </w:r>
      <w:r>
        <w:rPr>
          <w:b/>
          <w:i w:val="0"/>
        </w:rPr>
        <w:t>, source pp. 70–71.</w:t>
      </w:r>
      <w:r>
        <w:rPr>
          <w:b w:val="0"/>
          <w:i w:val="0"/>
        </w:rPr>
        <w:t xml:space="preserve"> Articles: </w:t>
      </w:r>
      <w:hyperlink w:anchor="potency-possibility-and-the-lion">
        <w:r>
          <w:rPr>
            <w:color w:val="000000"/>
          </w:rPr>
          <w:t xml:space="preserve">Potency, possibility and the lion</w:t>
        </w:r>
      </w:hyperlink>
      <w:r>
        <w:rPr>
          <w:b w:val="0"/>
          <w:i w:val="0"/>
        </w:rPr>
        <w:t xml:space="preserve">. Vocabulary: </w:t>
      </w:r>
      <w:hyperlink w:anchor="latin-record-0114">
        <w:r>
          <w:rPr>
            <w:color w:val="000000"/>
          </w:rPr>
          <w:t xml:space="preserve">aptus / ineptus</w:t>
        </w:r>
      </w:hyperlink>
      <w:r>
        <w:rPr>
          <w:b w:val="0"/>
          <w:i w:val="0"/>
        </w:rPr>
        <w:t xml:space="preserve">; </w:t>
      </w:r>
      <w:hyperlink w:anchor="latin-record-0832">
        <w:r>
          <w:rPr>
            <w:color w:val="000000"/>
          </w:rPr>
          <w:t xml:space="preserve">necessarium / impossibile</w:t>
        </w:r>
      </w:hyperlink>
      <w:r>
        <w:rPr>
          <w:b w:val="0"/>
          <w:i w:val="0"/>
        </w:rPr>
        <w:t xml:space="preserve">; </w:t>
      </w:r>
      <w:hyperlink w:anchor="latin-record-0965">
        <w:r>
          <w:rPr>
            <w:color w:val="000000"/>
          </w:rPr>
          <w:t xml:space="preserve">possibile</w:t>
        </w:r>
      </w:hyperlink>
      <w:r>
        <w:rPr>
          <w:b w:val="0"/>
          <w:i w:val="0"/>
        </w:rPr>
        <w:t>.</w:t>
      </w:r>
    </w:p>
    <w:p>
      <w:pPr>
        <w:widowControl/>
      </w:pPr>
      <w:bookmarkStart w:id="1707" w:name="passage-v-12-5"/>
      <w:bookmarkEnd w:id="1707"/>
      <w:r>
        <w:rPr>
          <w:b/>
          <w:i w:val="0"/>
        </w:rPr>
        <w:t>V.12.5</w:t>
      </w:r>
      <w:r>
        <w:rPr>
          <w:b/>
          <w:i w:val="0"/>
        </w:rPr>
        <w:t>, source pp. 70–71.</w:t>
      </w:r>
      <w:r>
        <w:rPr>
          <w:b w:val="0"/>
          <w:i w:val="0"/>
        </w:rPr>
        <w:t xml:space="preserve"> Articles: </w:t>
      </w:r>
      <w:hyperlink w:anchor="potency-possibility-and-the-lion">
        <w:r>
          <w:rPr>
            <w:color w:val="000000"/>
          </w:rPr>
          <w:t xml:space="preserve">Potency, possibility and the lion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261">
        <w:r>
          <w:rPr>
            <w:color w:val="000000"/>
          </w:rPr>
          <w:t xml:space="preserve">componere / compositum</w:t>
        </w:r>
      </w:hyperlink>
      <w:r>
        <w:rPr>
          <w:b w:val="0"/>
          <w:i w:val="0"/>
        </w:rPr>
        <w:t xml:space="preserve">; </w:t>
      </w:r>
      <w:hyperlink w:anchor="latin-record-0832">
        <w:r>
          <w:rPr>
            <w:color w:val="000000"/>
          </w:rPr>
          <w:t xml:space="preserve">necessarium / impossibile</w:t>
        </w:r>
      </w:hyperlink>
      <w:r>
        <w:rPr>
          <w:b w:val="0"/>
          <w:i w:val="0"/>
        </w:rPr>
        <w:t xml:space="preserve">; </w:t>
      </w:r>
      <w:hyperlink w:anchor="latin-record-0965">
        <w:r>
          <w:rPr>
            <w:color w:val="000000"/>
          </w:rPr>
          <w:t xml:space="preserve">possibile</w:t>
        </w:r>
      </w:hyperlink>
      <w:r>
        <w:rPr>
          <w:b w:val="0"/>
          <w:i w:val="0"/>
        </w:rPr>
        <w:t xml:space="preserve">; </w:t>
      </w:r>
      <w:hyperlink w:anchor="latin-record-0969">
        <w:r>
          <w:rPr>
            <w:color w:val="000000"/>
          </w:rPr>
          <w:t xml:space="preserve">potentia ad non esse</w:t>
        </w:r>
      </w:hyperlink>
      <w:r>
        <w:rPr>
          <w:b w:val="0"/>
          <w:i w:val="0"/>
        </w:rPr>
        <w:t xml:space="preserve">; </w:t>
      </w:r>
      <w:hyperlink w:anchor="latin-record-1177">
        <w:r>
          <w:rPr>
            <w:color w:val="000000"/>
          </w:rPr>
          <w:t xml:space="preserve">simplex</w:t>
        </w:r>
      </w:hyperlink>
      <w:r>
        <w:rPr>
          <w:b w:val="0"/>
          <w:i w:val="0"/>
        </w:rPr>
        <w:t>.</w:t>
      </w:r>
    </w:p>
    <w:p>
      <w:pPr>
        <w:widowControl/>
      </w:pPr>
      <w:bookmarkStart w:id="1708" w:name="passage-v-12-6"/>
      <w:bookmarkEnd w:id="1708"/>
      <w:r>
        <w:rPr>
          <w:b/>
          <w:i w:val="0"/>
        </w:rPr>
        <w:t>V.12.6</w:t>
      </w:r>
      <w:r>
        <w:rPr>
          <w:b/>
          <w:i w:val="0"/>
        </w:rPr>
        <w:t>, source pp. 70–71.</w:t>
      </w:r>
      <w:r>
        <w:rPr>
          <w:b w:val="0"/>
          <w:i w:val="0"/>
        </w:rPr>
        <w:t xml:space="preserve"> Articles: </w:t>
      </w:r>
      <w:hyperlink w:anchor="potency-possibility-and-the-lion">
        <w:r>
          <w:rPr>
            <w:color w:val="000000"/>
          </w:rPr>
          <w:t xml:space="preserve">Potency, possibility and the lion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373">
        <w:r>
          <w:rPr>
            <w:color w:val="000000"/>
          </w:rPr>
          <w:t xml:space="preserve">determinare</w:t>
        </w:r>
      </w:hyperlink>
      <w:r>
        <w:rPr>
          <w:b w:val="0"/>
          <w:i w:val="0"/>
        </w:rPr>
        <w:t xml:space="preserve">; </w:t>
      </w:r>
      <w:hyperlink w:anchor="latin-record-0620">
        <w:r>
          <w:rPr>
            <w:color w:val="000000"/>
          </w:rPr>
          <w:t xml:space="preserve">indifferens</w:t>
        </w:r>
      </w:hyperlink>
      <w:r>
        <w:rPr>
          <w:b w:val="0"/>
          <w:i w:val="0"/>
        </w:rPr>
        <w:t xml:space="preserve">; </w:t>
      </w:r>
      <w:hyperlink w:anchor="latin-record-0707">
        <w:r>
          <w:rPr>
            <w:color w:val="000000"/>
          </w:rPr>
          <w:t xml:space="preserve">leo</w:t>
        </w:r>
      </w:hyperlink>
      <w:r>
        <w:rPr>
          <w:b w:val="0"/>
          <w:i w:val="0"/>
        </w:rPr>
        <w:t xml:space="preserve">; </w:t>
      </w:r>
      <w:hyperlink w:anchor="latin-record-0762">
        <w:r>
          <w:rPr>
            <w:color w:val="000000"/>
          </w:rPr>
          <w:t xml:space="preserve">materia prima</w:t>
        </w:r>
      </w:hyperlink>
      <w:r>
        <w:rPr>
          <w:b w:val="0"/>
          <w:i w:val="0"/>
        </w:rPr>
        <w:t xml:space="preserve">; </w:t>
      </w:r>
      <w:hyperlink w:anchor="latin-record-0763">
        <w:r>
          <w:rPr>
            <w:color w:val="000000"/>
          </w:rPr>
          <w:t xml:space="preserve">materia propinqua / secunda</w:t>
        </w:r>
      </w:hyperlink>
      <w:r>
        <w:rPr>
          <w:b w:val="0"/>
          <w:i w:val="0"/>
        </w:rPr>
        <w:t xml:space="preserve">; </w:t>
      </w:r>
      <w:hyperlink w:anchor="latin-record-0969">
        <w:r>
          <w:rPr>
            <w:color w:val="000000"/>
          </w:rPr>
          <w:t xml:space="preserve">potentia ad non esse</w:t>
        </w:r>
      </w:hyperlink>
      <w:r>
        <w:rPr>
          <w:b w:val="0"/>
          <w:i w:val="0"/>
        </w:rPr>
        <w:t>.</w:t>
      </w:r>
    </w:p>
    <w:p>
      <w:pPr>
        <w:widowControl/>
      </w:pPr>
      <w:bookmarkStart w:id="1709" w:name="passage-v-12-7"/>
      <w:bookmarkEnd w:id="1709"/>
      <w:r>
        <w:rPr>
          <w:b/>
          <w:i w:val="0"/>
        </w:rPr>
        <w:t>V.12.7</w:t>
      </w:r>
      <w:r>
        <w:rPr>
          <w:b/>
          <w:i w:val="0"/>
        </w:rPr>
        <w:t>, source pp. 72–73.</w:t>
      </w:r>
      <w:r>
        <w:rPr>
          <w:b w:val="0"/>
          <w:i w:val="0"/>
        </w:rPr>
        <w:t xml:space="preserve"> Articles: </w:t>
      </w:r>
      <w:hyperlink w:anchor="creation-and-generation">
        <w:r>
          <w:rPr>
            <w:color w:val="000000"/>
          </w:rPr>
          <w:t xml:space="preserve">Creation and generation</w:t>
        </w:r>
      </w:hyperlink>
      <w:r>
        <w:rPr>
          <w:b w:val="0"/>
          <w:i w:val="0"/>
        </w:rPr>
        <w:t xml:space="preserve">; </w:t>
      </w:r>
      <w:hyperlink w:anchor="potency-possibility-and-the-lion">
        <w:r>
          <w:rPr>
            <w:color w:val="000000"/>
          </w:rPr>
          <w:t xml:space="preserve">Potency, possibility and the lion</w:t>
        </w:r>
      </w:hyperlink>
      <w:r>
        <w:rPr>
          <w:b w:val="0"/>
          <w:i w:val="0"/>
        </w:rPr>
        <w:t xml:space="preserve">; </w:t>
      </w:r>
      <w:hyperlink w:anchor="prime-matter-and-enduring-support">
        <w:r>
          <w:rPr>
            <w:color w:val="000000"/>
          </w:rPr>
          <w:t xml:space="preserve">Prime matter and enduring support</w:t>
        </w:r>
      </w:hyperlink>
      <w:r>
        <w:rPr>
          <w:b w:val="0"/>
          <w:i w:val="0"/>
        </w:rPr>
        <w:t xml:space="preserve">. Vocabulary: </w:t>
      </w:r>
      <w:hyperlink w:anchor="latin-record-0095">
        <w:r>
          <w:rPr>
            <w:color w:val="000000"/>
          </w:rPr>
          <w:t xml:space="preserve">anima rationalis</w:t>
        </w:r>
      </w:hyperlink>
      <w:r>
        <w:rPr>
          <w:b w:val="0"/>
          <w:i w:val="0"/>
        </w:rPr>
        <w:t xml:space="preserve">; </w:t>
      </w:r>
      <w:hyperlink w:anchor="latin-record-0313">
        <w:r>
          <w:rPr>
            <w:color w:val="000000"/>
          </w:rPr>
          <w:t xml:space="preserve">constare / exstare</w:t>
        </w:r>
      </w:hyperlink>
      <w:r>
        <w:rPr>
          <w:b w:val="0"/>
          <w:i w:val="0"/>
        </w:rPr>
        <w:t xml:space="preserve">; </w:t>
      </w:r>
      <w:hyperlink w:anchor="latin-record-0613">
        <w:r>
          <w:rPr>
            <w:color w:val="000000"/>
          </w:rPr>
          <w:t xml:space="preserve">inchoatio</w:t>
        </w:r>
      </w:hyperlink>
      <w:r>
        <w:rPr>
          <w:b w:val="0"/>
          <w:i w:val="0"/>
        </w:rPr>
        <w:t xml:space="preserve">; </w:t>
      </w:r>
      <w:hyperlink w:anchor="latin-record-0620">
        <w:r>
          <w:rPr>
            <w:color w:val="000000"/>
          </w:rPr>
          <w:t xml:space="preserve">indifferens</w:t>
        </w:r>
      </w:hyperlink>
      <w:r>
        <w:rPr>
          <w:b w:val="0"/>
          <w:i w:val="0"/>
        </w:rPr>
        <w:t xml:space="preserve">; </w:t>
      </w:r>
      <w:hyperlink w:anchor="latin-record-1346">
        <w:r>
          <w:rPr>
            <w:color w:val="000000"/>
          </w:rPr>
          <w:t xml:space="preserve">vicissim</w:t>
        </w:r>
      </w:hyperlink>
      <w:r>
        <w:rPr>
          <w:b w:val="0"/>
          <w:i w:val="0"/>
        </w:rPr>
        <w:t>.</w:t>
      </w:r>
    </w:p>
    <w:p>
      <w:pPr>
        <w:widowControl/>
      </w:pPr>
      <w:bookmarkStart w:id="1710" w:name="passage-v-12-8"/>
      <w:bookmarkEnd w:id="1710"/>
      <w:r>
        <w:rPr>
          <w:b/>
          <w:i w:val="0"/>
        </w:rPr>
        <w:t>V.12.8</w:t>
      </w:r>
      <w:r>
        <w:rPr>
          <w:b/>
          <w:i w:val="0"/>
        </w:rPr>
        <w:t>, source pp. 72–73.</w:t>
      </w:r>
      <w:r>
        <w:rPr>
          <w:b w:val="0"/>
          <w:i w:val="0"/>
        </w:rPr>
        <w:t xml:space="preserve"> Articles: </w:t>
      </w:r>
      <w:hyperlink w:anchor="creation-and-generation">
        <w:r>
          <w:rPr>
            <w:color w:val="000000"/>
          </w:rPr>
          <w:t xml:space="preserve">Creation and generation</w:t>
        </w:r>
      </w:hyperlink>
      <w:r>
        <w:rPr>
          <w:b w:val="0"/>
          <w:i w:val="0"/>
        </w:rPr>
        <w:t xml:space="preserve">; </w:t>
      </w:r>
      <w:hyperlink w:anchor="potency-possibility-and-the-lion">
        <w:r>
          <w:rPr>
            <w:color w:val="000000"/>
          </w:rPr>
          <w:t xml:space="preserve">Potency, possibility and the lion</w:t>
        </w:r>
      </w:hyperlink>
      <w:r>
        <w:rPr>
          <w:b w:val="0"/>
          <w:i w:val="0"/>
        </w:rPr>
        <w:t xml:space="preserve">. Vocabulary: </w:t>
      </w:r>
      <w:hyperlink w:anchor="latin-record-0450">
        <w:r>
          <w:rPr>
            <w:color w:val="000000"/>
          </w:rPr>
          <w:t xml:space="preserve">ex nihilo in lucem</w:t>
        </w:r>
      </w:hyperlink>
      <w:r>
        <w:rPr>
          <w:b w:val="0"/>
          <w:i w:val="0"/>
        </w:rPr>
        <w:t xml:space="preserve">; </w:t>
      </w:r>
      <w:hyperlink w:anchor="latin-record-0610">
        <w:r>
          <w:rPr>
            <w:color w:val="000000"/>
          </w:rPr>
          <w:t xml:space="preserve">in nihilum</w:t>
        </w:r>
      </w:hyperlink>
      <w:r>
        <w:rPr>
          <w:b w:val="0"/>
          <w:i w:val="0"/>
        </w:rPr>
        <w:t>.</w:t>
      </w:r>
    </w:p>
    <w:p>
      <w:pPr>
        <w:widowControl/>
      </w:pPr>
      <w:bookmarkStart w:id="1711" w:name="passage-v-12-9"/>
      <w:bookmarkEnd w:id="1711"/>
      <w:r>
        <w:rPr>
          <w:b/>
          <w:i w:val="0"/>
        </w:rPr>
        <w:t>V.12.9</w:t>
      </w:r>
      <w:r>
        <w:rPr>
          <w:b/>
          <w:i w:val="0"/>
        </w:rPr>
        <w:t>, source pp. 72–73.</w:t>
      </w:r>
      <w:r>
        <w:rPr>
          <w:b w:val="0"/>
          <w:i w:val="0"/>
        </w:rPr>
        <w:t xml:space="preserve"> Articles: </w:t>
      </w:r>
      <w:hyperlink w:anchor="creation-and-generation">
        <w:r>
          <w:rPr>
            <w:color w:val="000000"/>
          </w:rPr>
          <w:t xml:space="preserve">Creation and generation</w:t>
        </w:r>
      </w:hyperlink>
      <w:r>
        <w:rPr>
          <w:b w:val="0"/>
          <w:i w:val="0"/>
        </w:rPr>
        <w:t xml:space="preserve">; </w:t>
      </w:r>
      <w:hyperlink w:anchor="potency-possibility-and-the-lion">
        <w:r>
          <w:rPr>
            <w:color w:val="000000"/>
          </w:rPr>
          <w:t xml:space="preserve">Potency, possibility and the lion</w:t>
        </w:r>
      </w:hyperlink>
      <w:r>
        <w:rPr>
          <w:b w:val="0"/>
          <w:i w:val="0"/>
        </w:rPr>
        <w:t xml:space="preserve">. Vocabulary: </w:t>
      </w:r>
      <w:hyperlink w:anchor="latin-record-0147">
        <w:r>
          <w:rPr>
            <w:color w:val="000000"/>
          </w:rPr>
          <w:t xml:space="preserve">auctor / conditor / opifex</w:t>
        </w:r>
      </w:hyperlink>
      <w:r>
        <w:rPr>
          <w:b w:val="0"/>
          <w:i w:val="0"/>
        </w:rPr>
        <w:t xml:space="preserve">; </w:t>
      </w:r>
      <w:hyperlink w:anchor="latin-record-0965">
        <w:r>
          <w:rPr>
            <w:color w:val="000000"/>
          </w:rPr>
          <w:t xml:space="preserve">possibile</w:t>
        </w:r>
      </w:hyperlink>
      <w:r>
        <w:rPr>
          <w:b w:val="0"/>
          <w:i w:val="0"/>
        </w:rPr>
        <w:t>.</w:t>
      </w:r>
    </w:p>
    <w:p>
      <w:pPr>
        <w:widowControl/>
      </w:pPr>
      <w:bookmarkStart w:id="1712" w:name="passage-v-12-10"/>
      <w:bookmarkEnd w:id="1712"/>
      <w:r>
        <w:rPr>
          <w:b/>
          <w:i w:val="0"/>
        </w:rPr>
        <w:t>V.12.10</w:t>
      </w:r>
      <w:r>
        <w:rPr>
          <w:b/>
          <w:i w:val="0"/>
        </w:rPr>
        <w:t>, source pp. 72–73.</w:t>
      </w:r>
      <w:r>
        <w:rPr>
          <w:b w:val="0"/>
          <w:i w:val="0"/>
        </w:rPr>
        <w:t xml:space="preserve"> Articles: </w:t>
      </w:r>
      <w:hyperlink w:anchor="creation-and-generation">
        <w:r>
          <w:rPr>
            <w:color w:val="000000"/>
          </w:rPr>
          <w:t xml:space="preserve">Creation and generation</w:t>
        </w:r>
      </w:hyperlink>
      <w:r>
        <w:rPr>
          <w:b w:val="0"/>
          <w:i w:val="0"/>
        </w:rPr>
        <w:t xml:space="preserve">; </w:t>
      </w:r>
      <w:hyperlink w:anchor="potency-possibility-and-the-lion">
        <w:r>
          <w:rPr>
            <w:color w:val="000000"/>
          </w:rPr>
          <w:t xml:space="preserve">Potency, possibility and the lion</w:t>
        </w:r>
      </w:hyperlink>
      <w:r>
        <w:rPr>
          <w:b w:val="0"/>
          <w:i w:val="0"/>
        </w:rPr>
        <w:t xml:space="preserve">. Vocabulary: </w:t>
      </w:r>
      <w:hyperlink w:anchor="latin-record-0822">
        <w:r>
          <w:rPr>
            <w:color w:val="000000"/>
          </w:rPr>
          <w:t xml:space="preserve">nascendi potentia</w:t>
        </w:r>
      </w:hyperlink>
      <w:r>
        <w:rPr>
          <w:b w:val="0"/>
          <w:i w:val="0"/>
        </w:rPr>
        <w:t xml:space="preserve">; </w:t>
      </w:r>
      <w:hyperlink w:anchor="latin-record-0868">
        <w:r>
          <w:rPr>
            <w:color w:val="000000"/>
          </w:rPr>
          <w:t xml:space="preserve">opponere / oppositum</w:t>
        </w:r>
      </w:hyperlink>
      <w:r>
        <w:rPr>
          <w:b w:val="0"/>
          <w:i w:val="0"/>
        </w:rPr>
        <w:t>.</w:t>
      </w:r>
    </w:p>
    <w:p>
      <w:pPr>
        <w:widowControl/>
      </w:pPr>
      <w:bookmarkStart w:id="1713" w:name="passage-v-12-11"/>
      <w:bookmarkEnd w:id="1713"/>
      <w:r>
        <w:rPr>
          <w:b/>
          <w:i w:val="0"/>
        </w:rPr>
        <w:t>V.12.11</w:t>
      </w:r>
      <w:r>
        <w:rPr>
          <w:b/>
          <w:i w:val="0"/>
        </w:rPr>
        <w:t>, source pp. 74–75.</w:t>
      </w:r>
      <w:r>
        <w:rPr>
          <w:b w:val="0"/>
          <w:i w:val="0"/>
        </w:rPr>
        <w:t xml:space="preserve"> Articles: </w:t>
      </w:r>
      <w:hyperlink w:anchor="potency-possibility-and-the-lion">
        <w:r>
          <w:rPr>
            <w:color w:val="000000"/>
          </w:rPr>
          <w:t xml:space="preserve">Potency, possibility and the lion</w:t>
        </w:r>
      </w:hyperlink>
      <w:r>
        <w:rPr>
          <w:b w:val="0"/>
          <w:i w:val="0"/>
        </w:rPr>
        <w:t xml:space="preserve">. Vocabulary: </w:t>
      </w:r>
      <w:hyperlink w:anchor="latin-record-0840">
        <w:r>
          <w:rPr>
            <w:color w:val="000000"/>
          </w:rPr>
          <w:t xml:space="preserve">nixus / niti</w:t>
        </w:r>
      </w:hyperlink>
      <w:r>
        <w:rPr>
          <w:b w:val="0"/>
          <w:i w:val="0"/>
        </w:rPr>
        <w:t xml:space="preserve">; </w:t>
      </w:r>
      <w:hyperlink w:anchor="latin-record-1192">
        <w:r>
          <w:rPr>
            <w:color w:val="000000"/>
          </w:rPr>
          <w:t xml:space="preserve">sistere / subsistere</w:t>
        </w:r>
      </w:hyperlink>
      <w:r>
        <w:rPr>
          <w:b w:val="0"/>
          <w:i w:val="0"/>
        </w:rPr>
        <w:t>.</w:t>
      </w:r>
    </w:p>
    <w:p>
      <w:pPr>
        <w:widowControl/>
      </w:pPr>
      <w:bookmarkStart w:id="1714" w:name="passage-v-12-12"/>
      <w:bookmarkEnd w:id="1714"/>
      <w:r>
        <w:rPr>
          <w:b/>
          <w:i w:val="0"/>
        </w:rPr>
        <w:t>V.12.12</w:t>
      </w:r>
      <w:r>
        <w:rPr>
          <w:b/>
          <w:i w:val="0"/>
        </w:rPr>
        <w:t>, source pp. 74–75.</w:t>
      </w:r>
      <w:r>
        <w:rPr>
          <w:b w:val="0"/>
          <w:i w:val="0"/>
        </w:rPr>
        <w:t xml:space="preserve"> Articles: </w:t>
      </w:r>
      <w:hyperlink w:anchor="fountains-drawing-and-infusion">
        <w:r>
          <w:rPr>
            <w:color w:val="000000"/>
          </w:rPr>
          <w:t xml:space="preserve">Fountains, drawing and infusion</w:t>
        </w:r>
      </w:hyperlink>
      <w:r>
        <w:rPr>
          <w:b w:val="0"/>
          <w:i w:val="0"/>
        </w:rPr>
        <w:t xml:space="preserve">; </w:t>
      </w:r>
      <w:hyperlink w:anchor="relation-and-continuing-dependence">
        <w:r>
          <w:rPr>
            <w:color w:val="000000"/>
          </w:rPr>
          <w:t xml:space="preserve">Relation and continuing dependence</w:t>
        </w:r>
      </w:hyperlink>
      <w:r>
        <w:rPr>
          <w:b w:val="0"/>
          <w:i w:val="0"/>
        </w:rPr>
        <w:t xml:space="preserve">. Vocabulary: </w:t>
      </w:r>
      <w:hyperlink w:anchor="latin-record-0166">
        <w:r>
          <w:rPr>
            <w:color w:val="000000"/>
          </w:rPr>
          <w:t xml:space="preserve">bonum / bonitas</w:t>
        </w:r>
      </w:hyperlink>
      <w:r>
        <w:rPr>
          <w:b w:val="0"/>
          <w:i w:val="0"/>
        </w:rPr>
        <w:t xml:space="preserve">; </w:t>
      </w:r>
      <w:hyperlink w:anchor="latin-record-0304">
        <w:r>
          <w:rPr>
            <w:color w:val="000000"/>
          </w:rPr>
          <w:t xml:space="preserve">conservare / servare</w:t>
        </w:r>
      </w:hyperlink>
      <w:r>
        <w:rPr>
          <w:b w:val="0"/>
          <w:i w:val="0"/>
        </w:rPr>
        <w:t xml:space="preserve">; </w:t>
      </w:r>
      <w:hyperlink w:anchor="latin-record-0372">
        <w:r>
          <w:rPr>
            <w:color w:val="000000"/>
          </w:rPr>
          <w:t xml:space="preserve">desinere / cessare</w:t>
        </w:r>
      </w:hyperlink>
      <w:r>
        <w:rPr>
          <w:b w:val="0"/>
          <w:i w:val="0"/>
        </w:rPr>
        <w:t xml:space="preserve">; </w:t>
      </w:r>
      <w:hyperlink w:anchor="latin-record-0421">
        <w:r>
          <w:rPr>
            <w:color w:val="000000"/>
          </w:rPr>
          <w:t xml:space="preserve">effectrix / conservatrix / corruptrix</w:t>
        </w:r>
      </w:hyperlink>
      <w:r>
        <w:rPr>
          <w:b w:val="0"/>
          <w:i w:val="0"/>
        </w:rPr>
        <w:t xml:space="preserve">; </w:t>
      </w:r>
      <w:hyperlink w:anchor="latin-record-0559">
        <w:r>
          <w:rPr>
            <w:color w:val="000000"/>
          </w:rPr>
          <w:t xml:space="preserve">haurire</w:t>
        </w:r>
      </w:hyperlink>
      <w:r>
        <w:rPr>
          <w:b w:val="0"/>
          <w:i w:val="0"/>
        </w:rPr>
        <w:t xml:space="preserve">; </w:t>
      </w:r>
      <w:hyperlink w:anchor="latin-record-0592">
        <w:r>
          <w:rPr>
            <w:color w:val="000000"/>
          </w:rPr>
          <w:t xml:space="preserve">imago</w:t>
        </w:r>
      </w:hyperlink>
      <w:r>
        <w:rPr>
          <w:b w:val="0"/>
          <w:i w:val="0"/>
        </w:rPr>
        <w:t xml:space="preserve">; </w:t>
      </w:r>
      <w:hyperlink w:anchor="latin-record-0636">
        <w:r>
          <w:rPr>
            <w:color w:val="000000"/>
          </w:rPr>
          <w:t xml:space="preserve">influxus</w:t>
        </w:r>
      </w:hyperlink>
      <w:r>
        <w:rPr>
          <w:b w:val="0"/>
          <w:i w:val="0"/>
        </w:rPr>
        <w:t xml:space="preserve">; </w:t>
      </w:r>
      <w:hyperlink w:anchor="latin-record-0640">
        <w:r>
          <w:rPr>
            <w:color w:val="000000"/>
          </w:rPr>
          <w:t xml:space="preserve">infundere</w:t>
        </w:r>
      </w:hyperlink>
      <w:r>
        <w:rPr>
          <w:b w:val="0"/>
          <w:i w:val="0"/>
        </w:rPr>
        <w:t xml:space="preserve">; </w:t>
      </w:r>
      <w:hyperlink w:anchor="latin-record-0800">
        <w:r>
          <w:rPr>
            <w:color w:val="000000"/>
          </w:rPr>
          <w:t xml:space="preserve">mors</w:t>
        </w:r>
      </w:hyperlink>
      <w:r>
        <w:rPr>
          <w:b w:val="0"/>
          <w:i w:val="0"/>
        </w:rPr>
        <w:t xml:space="preserve">; </w:t>
      </w:r>
      <w:hyperlink w:anchor="latin-record-0880">
        <w:r>
          <w:rPr>
            <w:color w:val="000000"/>
          </w:rPr>
          <w:t xml:space="preserve">origo</w:t>
        </w:r>
      </w:hyperlink>
      <w:r>
        <w:rPr>
          <w:b w:val="0"/>
          <w:i w:val="0"/>
        </w:rPr>
        <w:t xml:space="preserve">; </w:t>
      </w:r>
      <w:hyperlink w:anchor="latin-record-1192">
        <w:r>
          <w:rPr>
            <w:color w:val="000000"/>
          </w:rPr>
          <w:t xml:space="preserve">sistere / subsistere</w:t>
        </w:r>
      </w:hyperlink>
      <w:r>
        <w:rPr>
          <w:b w:val="0"/>
          <w:i w:val="0"/>
        </w:rPr>
        <w:t xml:space="preserve">; </w:t>
      </w:r>
      <w:hyperlink w:anchor="latin-record-1215">
        <w:r>
          <w:rPr>
            <w:color w:val="000000"/>
          </w:rPr>
          <w:t xml:space="preserve">speculum / aqua</w:t>
        </w:r>
      </w:hyperlink>
      <w:r>
        <w:rPr>
          <w:b w:val="0"/>
          <w:i w:val="0"/>
        </w:rPr>
        <w:t xml:space="preserve">; </w:t>
      </w:r>
      <w:hyperlink w:anchor="latin-record-1250">
        <w:r>
          <w:rPr>
            <w:color w:val="000000"/>
          </w:rPr>
          <w:t xml:space="preserve">subtrahere / auferre</w:t>
        </w:r>
      </w:hyperlink>
      <w:r>
        <w:rPr>
          <w:b w:val="0"/>
          <w:i w:val="0"/>
        </w:rPr>
        <w:t xml:space="preserve">; </w:t>
      </w:r>
      <w:hyperlink w:anchor="latin-record-1379">
        <w:r>
          <w:rPr>
            <w:color w:val="000000"/>
          </w:rPr>
          <w:t xml:space="preserve">vivere</w:t>
        </w:r>
      </w:hyperlink>
      <w:r>
        <w:rPr>
          <w:b w:val="0"/>
          <w:i w:val="0"/>
        </w:rPr>
        <w:t>.</w:t>
      </w:r>
    </w:p>
    <w:p>
      <w:pPr>
        <w:widowControl/>
      </w:pPr>
      <w:bookmarkStart w:id="1715" w:name="passage-v-12-13"/>
      <w:bookmarkEnd w:id="1715"/>
      <w:r>
        <w:rPr>
          <w:b/>
          <w:i w:val="0"/>
        </w:rPr>
        <w:t>V.12.13</w:t>
      </w:r>
      <w:r>
        <w:rPr>
          <w:b/>
          <w:i w:val="0"/>
        </w:rPr>
        <w:t>, source pp. 76–77.</w:t>
      </w:r>
      <w:r>
        <w:rPr>
          <w:b w:val="0"/>
          <w:i w:val="0"/>
        </w:rPr>
        <w:t xml:space="preserve"> Articles: </w:t>
      </w:r>
      <w:hyperlink w:anchor="fountains-drawing-and-infusion">
        <w:r>
          <w:rPr>
            <w:color w:val="000000"/>
          </w:rPr>
          <w:t xml:space="preserve">Fountains, drawing and infusion</w:t>
        </w:r>
      </w:hyperlink>
      <w:r>
        <w:rPr>
          <w:b w:val="0"/>
          <w:i w:val="0"/>
        </w:rPr>
        <w:t xml:space="preserve">; </w:t>
      </w:r>
      <w:hyperlink w:anchor="ideas-natural-ascent-and-rest">
        <w:r>
          <w:rPr>
            <w:color w:val="000000"/>
          </w:rPr>
          <w:t xml:space="preserve">Ideas, natural ascent and rest</w:t>
        </w:r>
      </w:hyperlink>
      <w:r>
        <w:rPr>
          <w:b w:val="0"/>
          <w:i w:val="0"/>
        </w:rPr>
        <w:t xml:space="preserve">; </w:t>
      </w:r>
      <w:hyperlink w:anchor="relation-and-continuing-dependence">
        <w:r>
          <w:rPr>
            <w:color w:val="000000"/>
          </w:rPr>
          <w:t xml:space="preserve">Relation and continuing dependence</w:t>
        </w:r>
      </w:hyperlink>
      <w:r>
        <w:rPr>
          <w:b w:val="0"/>
          <w:i w:val="0"/>
        </w:rPr>
        <w:t xml:space="preserve">. Vocabulary: </w:t>
      </w:r>
      <w:hyperlink w:anchor="latin-record-0009">
        <w:r>
          <w:rPr>
            <w:color w:val="000000"/>
          </w:rPr>
          <w:t xml:space="preserve">absurdus / repugnare</w:t>
        </w:r>
      </w:hyperlink>
      <w:r>
        <w:rPr>
          <w:b w:val="0"/>
          <w:i w:val="0"/>
        </w:rPr>
        <w:t xml:space="preserve">; </w:t>
      </w:r>
      <w:hyperlink w:anchor="latin-record-0170">
        <w:r>
          <w:rPr>
            <w:color w:val="000000"/>
          </w:rPr>
          <w:t xml:space="preserve">caducus</w:t>
        </w:r>
      </w:hyperlink>
      <w:r>
        <w:rPr>
          <w:b w:val="0"/>
          <w:i w:val="0"/>
        </w:rPr>
        <w:t xml:space="preserve">; </w:t>
      </w:r>
      <w:hyperlink w:anchor="latin-record-0234">
        <w:r>
          <w:rPr>
            <w:color w:val="000000"/>
          </w:rPr>
          <w:t xml:space="preserve">colligere / conciliare</w:t>
        </w:r>
      </w:hyperlink>
      <w:r>
        <w:rPr>
          <w:b w:val="0"/>
          <w:i w:val="0"/>
        </w:rPr>
        <w:t xml:space="preserve">; </w:t>
      </w:r>
      <w:hyperlink w:anchor="latin-record-0367">
        <w:r>
          <w:rPr>
            <w:color w:val="000000"/>
          </w:rPr>
          <w:t xml:space="preserve">dependere / pendere</w:t>
        </w:r>
      </w:hyperlink>
      <w:r>
        <w:rPr>
          <w:b w:val="0"/>
          <w:i w:val="0"/>
        </w:rPr>
        <w:t xml:space="preserve">; </w:t>
      </w:r>
      <w:hyperlink w:anchor="latin-record-0372">
        <w:r>
          <w:rPr>
            <w:color w:val="000000"/>
          </w:rPr>
          <w:t xml:space="preserve">desinere / cessare</w:t>
        </w:r>
      </w:hyperlink>
      <w:r>
        <w:rPr>
          <w:b w:val="0"/>
          <w:i w:val="0"/>
        </w:rPr>
        <w:t xml:space="preserve">; </w:t>
      </w:r>
      <w:hyperlink w:anchor="latin-record-0597">
        <w:r>
          <w:rPr>
            <w:color w:val="000000"/>
          </w:rPr>
          <w:t xml:space="preserve">immobilis / stabilis</w:t>
        </w:r>
      </w:hyperlink>
      <w:r>
        <w:rPr>
          <w:b w:val="0"/>
          <w:i w:val="0"/>
        </w:rPr>
        <w:t xml:space="preserve">; </w:t>
      </w:r>
      <w:hyperlink w:anchor="latin-record-0640">
        <w:r>
          <w:rPr>
            <w:color w:val="000000"/>
          </w:rPr>
          <w:t xml:space="preserve">infundere</w:t>
        </w:r>
      </w:hyperlink>
      <w:r>
        <w:rPr>
          <w:b w:val="0"/>
          <w:i w:val="0"/>
        </w:rPr>
        <w:t xml:space="preserve">; </w:t>
      </w:r>
      <w:hyperlink w:anchor="latin-record-0808">
        <w:r>
          <w:rPr>
            <w:color w:val="000000"/>
          </w:rPr>
          <w:t xml:space="preserve">motus / movere</w:t>
        </w:r>
      </w:hyperlink>
      <w:r>
        <w:rPr>
          <w:b w:val="0"/>
          <w:i w:val="0"/>
        </w:rPr>
        <w:t xml:space="preserve">; </w:t>
      </w:r>
      <w:hyperlink w:anchor="latin-record-0816">
        <w:r>
          <w:rPr>
            <w:color w:val="000000"/>
          </w:rPr>
          <w:t xml:space="preserve">mutare / mutatio</w:t>
        </w:r>
      </w:hyperlink>
      <w:r>
        <w:rPr>
          <w:b w:val="0"/>
          <w:i w:val="0"/>
        </w:rPr>
        <w:t xml:space="preserve">; </w:t>
      </w:r>
      <w:hyperlink w:anchor="latin-record-0990">
        <w:r>
          <w:rPr>
            <w:color w:val="000000"/>
          </w:rPr>
          <w:t xml:space="preserve">primus / prior</w:t>
        </w:r>
      </w:hyperlink>
      <w:r>
        <w:rPr>
          <w:b w:val="0"/>
          <w:i w:val="0"/>
        </w:rPr>
        <w:t xml:space="preserve">; </w:t>
      </w:r>
      <w:hyperlink w:anchor="latin-record-1052">
        <w:r>
          <w:rPr>
            <w:color w:val="000000"/>
          </w:rPr>
          <w:t xml:space="preserve">quiescere</w:t>
        </w:r>
      </w:hyperlink>
      <w:r>
        <w:rPr>
          <w:b w:val="0"/>
          <w:i w:val="0"/>
        </w:rPr>
        <w:t xml:space="preserve">; </w:t>
      </w:r>
      <w:hyperlink w:anchor="latin-record-1189">
        <w:r>
          <w:rPr>
            <w:color w:val="000000"/>
          </w:rPr>
          <w:t xml:space="preserve">sine medio</w:t>
        </w:r>
      </w:hyperlink>
      <w:r>
        <w:rPr>
          <w:b w:val="0"/>
          <w:i w:val="0"/>
        </w:rPr>
        <w:t xml:space="preserve">; </w:t>
      </w:r>
      <w:hyperlink w:anchor="latin-record-1250">
        <w:r>
          <w:rPr>
            <w:color w:val="000000"/>
          </w:rPr>
          <w:t xml:space="preserve">subtrahere / auferre</w:t>
        </w:r>
      </w:hyperlink>
      <w:r>
        <w:rPr>
          <w:b w:val="0"/>
          <w:i w:val="0"/>
        </w:rPr>
        <w:t xml:space="preserve">; </w:t>
      </w:r>
      <w:hyperlink w:anchor="latin-record-1269">
        <w:r>
          <w:rPr>
            <w:color w:val="000000"/>
          </w:rPr>
          <w:t xml:space="preserve">suscipere / capere / accipere</w:t>
        </w:r>
      </w:hyperlink>
      <w:r>
        <w:rPr>
          <w:b w:val="0"/>
          <w:i w:val="0"/>
        </w:rPr>
        <w:t>.</w:t>
      </w:r>
    </w:p>
    <w:p>
      <w:pPr>
        <w:widowControl/>
      </w:pPr>
      <w:bookmarkStart w:id="1716" w:name="passage-v-12-14"/>
      <w:bookmarkEnd w:id="1716"/>
      <w:r>
        <w:rPr>
          <w:b/>
          <w:i w:val="0"/>
        </w:rPr>
        <w:t>V.12.14</w:t>
      </w:r>
      <w:r>
        <w:rPr>
          <w:b/>
          <w:i w:val="0"/>
        </w:rPr>
        <w:t>, source pp. 76–77.</w:t>
      </w:r>
      <w:r>
        <w:rPr>
          <w:b w:val="0"/>
          <w:i w:val="0"/>
        </w:rPr>
        <w:t xml:space="preserve"> Articles: </w:t>
      </w:r>
      <w:hyperlink w:anchor="ideas-natural-ascent-and-rest">
        <w:r>
          <w:rPr>
            <w:color w:val="000000"/>
          </w:rPr>
          <w:t xml:space="preserve">Ideas, natural ascent and rest</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095">
        <w:r>
          <w:rPr>
            <w:color w:val="000000"/>
          </w:rPr>
          <w:t xml:space="preserve">anima rationalis</w:t>
        </w:r>
      </w:hyperlink>
      <w:r>
        <w:rPr>
          <w:b w:val="0"/>
          <w:i w:val="0"/>
        </w:rPr>
        <w:t xml:space="preserve">; </w:t>
      </w:r>
      <w:hyperlink w:anchor="latin-record-0132">
        <w:r>
          <w:rPr>
            <w:color w:val="000000"/>
          </w:rPr>
          <w:t xml:space="preserve">ascendere / descendere</w:t>
        </w:r>
      </w:hyperlink>
      <w:r>
        <w:rPr>
          <w:b w:val="0"/>
          <w:i w:val="0"/>
        </w:rPr>
        <w:t xml:space="preserve">; </w:t>
      </w:r>
      <w:hyperlink w:anchor="latin-record-0389">
        <w:r>
          <w:rPr>
            <w:color w:val="000000"/>
          </w:rPr>
          <w:t xml:space="preserve">disciplina / usus</w:t>
        </w:r>
      </w:hyperlink>
      <w:r>
        <w:rPr>
          <w:b w:val="0"/>
          <w:i w:val="0"/>
        </w:rPr>
        <w:t xml:space="preserve">; </w:t>
      </w:r>
      <w:hyperlink w:anchor="latin-record-0577">
        <w:r>
          <w:rPr>
            <w:color w:val="000000"/>
          </w:rPr>
          <w:t xml:space="preserve">idea</w:t>
        </w:r>
      </w:hyperlink>
      <w:r>
        <w:rPr>
          <w:b w:val="0"/>
          <w:i w:val="0"/>
        </w:rPr>
        <w:t xml:space="preserve">; </w:t>
      </w:r>
      <w:hyperlink w:anchor="latin-record-0861">
        <w:r>
          <w:rPr>
            <w:color w:val="000000"/>
          </w:rPr>
          <w:t xml:space="preserve">operatio / operari</w:t>
        </w:r>
      </w:hyperlink>
      <w:r>
        <w:rPr>
          <w:b w:val="0"/>
          <w:i w:val="0"/>
        </w:rPr>
        <w:t xml:space="preserve">; </w:t>
      </w:r>
      <w:hyperlink w:anchor="latin-record-0933">
        <w:r>
          <w:rPr>
            <w:color w:val="000000"/>
          </w:rPr>
          <w:t xml:space="preserve">perpetuus</w:t>
        </w:r>
      </w:hyperlink>
      <w:r>
        <w:rPr>
          <w:b w:val="0"/>
          <w:i w:val="0"/>
        </w:rPr>
        <w:t xml:space="preserve">; </w:t>
      </w:r>
      <w:hyperlink w:anchor="latin-record-1052">
        <w:r>
          <w:rPr>
            <w:color w:val="000000"/>
          </w:rPr>
          <w:t xml:space="preserve">quiescere</w:t>
        </w:r>
      </w:hyperlink>
      <w:r>
        <w:rPr>
          <w:b w:val="0"/>
          <w:i w:val="0"/>
        </w:rPr>
        <w:t xml:space="preserve">; </w:t>
      </w:r>
      <w:hyperlink w:anchor="latin-record-1211">
        <w:r>
          <w:rPr>
            <w:color w:val="000000"/>
          </w:rPr>
          <w:t xml:space="preserve">species absolutae</w:t>
        </w:r>
      </w:hyperlink>
      <w:r>
        <w:rPr>
          <w:b w:val="0"/>
          <w:i w:val="0"/>
        </w:rPr>
        <w:t xml:space="preserve">; </w:t>
      </w:r>
      <w:hyperlink w:anchor="latin-record-1379">
        <w:r>
          <w:rPr>
            <w:color w:val="000000"/>
          </w:rPr>
          <w:t xml:space="preserve">vivere</w:t>
        </w:r>
      </w:hyperlink>
      <w:r>
        <w:rPr>
          <w:b w:val="0"/>
          <w:i w:val="0"/>
        </w:rPr>
        <w:t>.</w:t>
      </w:r>
    </w:p>
    <w:p>
      <w:pPr>
        <w:widowControl/>
      </w:pPr>
      <w:bookmarkStart w:id="1717" w:name="passage-v-12-15"/>
      <w:bookmarkEnd w:id="1717"/>
      <w:r>
        <w:rPr>
          <w:b/>
          <w:i w:val="0"/>
        </w:rPr>
        <w:t>V.12.15</w:t>
      </w:r>
      <w:r>
        <w:rPr>
          <w:b/>
          <w:i w:val="0"/>
        </w:rPr>
        <w:t>, source pp. 76–77.</w:t>
      </w:r>
      <w:r>
        <w:rPr>
          <w:b w:val="0"/>
          <w:i w:val="0"/>
        </w:rPr>
        <w:t xml:space="preserve"> Articles: </w:t>
      </w:r>
      <w:hyperlink w:anchor="ideas-natural-ascent-and-rest">
        <w:r>
          <w:rPr>
            <w:color w:val="000000"/>
          </w:rPr>
          <w:t xml:space="preserve">Ideas, natural ascent and rest</w:t>
        </w:r>
      </w:hyperlink>
      <w:r>
        <w:rPr>
          <w:b w:val="0"/>
          <w:i w:val="0"/>
        </w:rPr>
        <w:t xml:space="preserve">. Vocabulary: </w:t>
      </w:r>
      <w:hyperlink w:anchor="latin-record-0577">
        <w:r>
          <w:rPr>
            <w:color w:val="000000"/>
          </w:rPr>
          <w:t xml:space="preserve">idea</w:t>
        </w:r>
      </w:hyperlink>
      <w:r>
        <w:rPr>
          <w:b w:val="0"/>
          <w:i w:val="0"/>
        </w:rPr>
        <w:t xml:space="preserve">; </w:t>
      </w:r>
      <w:hyperlink w:anchor="latin-record-1155">
        <w:r>
          <w:rPr>
            <w:color w:val="000000"/>
          </w:rPr>
          <w:t xml:space="preserve">sempiternus</w:t>
        </w:r>
      </w:hyperlink>
      <w:r>
        <w:rPr>
          <w:b w:val="0"/>
          <w:i w:val="0"/>
        </w:rPr>
        <w:t>.</w:t>
      </w:r>
    </w:p>
    <w:p>
      <w:pPr>
        <w:pStyle w:val="Heading2"/>
      </w:pPr>
      <w:bookmarkStart w:id="1718" w:name="chapter-v.13"/>
      <w:r>
        <w:rPr>
          <w:b w:val="0"/>
          <w:i w:val="0"/>
        </w:rPr>
        <w:t>Chapter V.13</w:t>
      </w:r>
      <w:bookmarkEnd w:id="1718"/>
    </w:p>
    <w:p>
      <w:pPr>
        <w:widowControl/>
      </w:pPr>
      <w:bookmarkStart w:id="1719" w:name="passage-v-13-1"/>
      <w:bookmarkEnd w:id="1719"/>
      <w:r>
        <w:rPr>
          <w:b/>
          <w:i w:val="0"/>
        </w:rPr>
        <w:t>V.13.1</w:t>
      </w:r>
      <w:r>
        <w:rPr>
          <w:b/>
          <w:i w:val="0"/>
        </w:rPr>
        <w:t>, source pp. 78–79.</w:t>
      </w:r>
      <w:r>
        <w:rPr>
          <w:b w:val="0"/>
          <w:i w:val="0"/>
        </w:rPr>
        <w:t xml:space="preserve"> Articles: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participation-common-and-proper">
        <w:r>
          <w:rPr>
            <w:color w:val="000000"/>
          </w:rPr>
          <w:t xml:space="preserve">Participation, common and proper</w:t>
        </w:r>
      </w:hyperlink>
      <w:r>
        <w:rPr>
          <w:b w:val="0"/>
          <w:i w:val="0"/>
        </w:rPr>
        <w:t xml:space="preserve">; </w:t>
      </w:r>
      <w:hyperlink w:anchor="platonist-disagreement-and-descent">
        <w:r>
          <w:rPr>
            <w:color w:val="000000"/>
          </w:rPr>
          <w:t xml:space="preserve">Platonist disagreement and descent</w:t>
        </w:r>
      </w:hyperlink>
      <w:r>
        <w:rPr>
          <w:b w:val="0"/>
          <w:i w:val="0"/>
        </w:rPr>
        <w:t xml:space="preserve">. Vocabulary: </w:t>
      </w:r>
      <w:hyperlink w:anchor="latin-record-0088">
        <w:r>
          <w:rPr>
            <w:color w:val="000000"/>
          </w:rPr>
          <w:t xml:space="preserve">angelus</w:t>
        </w:r>
      </w:hyperlink>
      <w:r>
        <w:rPr>
          <w:b w:val="0"/>
          <w:i w:val="0"/>
        </w:rPr>
        <w:t xml:space="preserve">; </w:t>
      </w:r>
      <w:hyperlink w:anchor="latin-record-0108">
        <w:r>
          <w:rPr>
            <w:color w:val="000000"/>
          </w:rPr>
          <w:t xml:space="preserve">apparere / videri / placere</w:t>
        </w:r>
      </w:hyperlink>
      <w:r>
        <w:rPr>
          <w:b w:val="0"/>
          <w:i w:val="0"/>
        </w:rPr>
        <w:t xml:space="preserve">; </w:t>
      </w:r>
      <w:hyperlink w:anchor="latin-record-0199">
        <w:r>
          <w:rPr>
            <w:color w:val="000000"/>
          </w:rPr>
          <w:t xml:space="preserve">causa communis</w:t>
        </w:r>
      </w:hyperlink>
      <w:r>
        <w:rPr>
          <w:b w:val="0"/>
          <w:i w:val="0"/>
        </w:rPr>
        <w:t xml:space="preserve">; </w:t>
      </w:r>
      <w:hyperlink w:anchor="latin-record-0224">
        <w:r>
          <w:rPr>
            <w:color w:val="000000"/>
          </w:rPr>
          <w:t xml:space="preserve">cogere in unum</w:t>
        </w:r>
      </w:hyperlink>
      <w:r>
        <w:rPr>
          <w:b w:val="0"/>
          <w:i w:val="0"/>
        </w:rPr>
        <w:t xml:space="preserve">; </w:t>
      </w:r>
      <w:hyperlink w:anchor="latin-record-0387">
        <w:r>
          <w:rPr>
            <w:color w:val="000000"/>
          </w:rPr>
          <w:t xml:space="preserve">Dionysius / Origenes / Augustinus</w:t>
        </w:r>
      </w:hyperlink>
      <w:r>
        <w:rPr>
          <w:b w:val="0"/>
          <w:i w:val="0"/>
        </w:rPr>
        <w:t xml:space="preserve">; </w:t>
      </w:r>
      <w:hyperlink w:anchor="latin-record-0422">
        <w:r>
          <w:rPr>
            <w:color w:val="000000"/>
          </w:rPr>
          <w:t xml:space="preserve">effectus proprius</w:t>
        </w:r>
      </w:hyperlink>
      <w:r>
        <w:rPr>
          <w:b w:val="0"/>
          <w:i w:val="0"/>
        </w:rPr>
        <w:t xml:space="preserve">; </w:t>
      </w:r>
      <w:hyperlink w:anchor="latin-record-0498">
        <w:r>
          <w:rPr>
            <w:color w:val="000000"/>
          </w:rPr>
          <w:t xml:space="preserve">fomes</w:t>
        </w:r>
      </w:hyperlink>
      <w:r>
        <w:rPr>
          <w:b w:val="0"/>
          <w:i w:val="0"/>
        </w:rPr>
        <w:t xml:space="preserve">; </w:t>
      </w:r>
      <w:hyperlink w:anchor="latin-record-0610">
        <w:r>
          <w:rPr>
            <w:color w:val="000000"/>
          </w:rPr>
          <w:t xml:space="preserve">in nihilum</w:t>
        </w:r>
      </w:hyperlink>
      <w:r>
        <w:rPr>
          <w:b w:val="0"/>
          <w:i w:val="0"/>
        </w:rPr>
        <w:t xml:space="preserve">; </w:t>
      </w:r>
      <w:hyperlink w:anchor="latin-record-0637">
        <w:r>
          <w:rPr>
            <w:color w:val="000000"/>
          </w:rPr>
          <w:t xml:space="preserve">informis</w:t>
        </w:r>
      </w:hyperlink>
      <w:r>
        <w:rPr>
          <w:b w:val="0"/>
          <w:i w:val="0"/>
        </w:rPr>
        <w:t xml:space="preserve">; </w:t>
      </w:r>
      <w:hyperlink w:anchor="latin-record-0957">
        <w:r>
          <w:rPr>
            <w:color w:val="000000"/>
          </w:rPr>
          <w:t xml:space="preserve">Plotinus / Proculus</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112">
        <w:r>
          <w:rPr>
            <w:color w:val="000000"/>
          </w:rPr>
          <w:t xml:space="preserve">res</w:t>
        </w:r>
      </w:hyperlink>
      <w:r>
        <w:rPr>
          <w:b w:val="0"/>
          <w:i w:val="0"/>
        </w:rPr>
        <w:t xml:space="preserve">; </w:t>
      </w:r>
      <w:hyperlink w:anchor="latin-record-1177">
        <w:r>
          <w:rPr>
            <w:color w:val="000000"/>
          </w:rPr>
          <w:t xml:space="preserve">simplex</w:t>
        </w:r>
      </w:hyperlink>
      <w:r>
        <w:rPr>
          <w:b w:val="0"/>
          <w:i w:val="0"/>
        </w:rPr>
        <w:t xml:space="preserve">; </w:t>
      </w:r>
      <w:hyperlink w:anchor="latin-record-1368">
        <w:r>
          <w:rPr>
            <w:color w:val="000000"/>
          </w:rPr>
          <w:t xml:space="preserve">viscera</w:t>
        </w:r>
      </w:hyperlink>
      <w:r>
        <w:rPr>
          <w:b w:val="0"/>
          <w:i w:val="0"/>
        </w:rPr>
        <w:t>.</w:t>
      </w:r>
    </w:p>
    <w:p>
      <w:pPr>
        <w:widowControl/>
      </w:pPr>
      <w:bookmarkStart w:id="1720" w:name="passage-v-13-2"/>
      <w:bookmarkEnd w:id="1720"/>
      <w:r>
        <w:rPr>
          <w:b/>
          <w:i w:val="0"/>
        </w:rPr>
        <w:t>V.13.2</w:t>
      </w:r>
      <w:r>
        <w:rPr>
          <w:b/>
          <w:i w:val="0"/>
        </w:rPr>
        <w:t>, source pp. 78–79.</w:t>
      </w:r>
      <w:r>
        <w:rPr>
          <w:b w:val="0"/>
          <w:i w:val="0"/>
        </w:rPr>
        <w:t xml:space="preserve"> Articles: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participation-common-and-proper">
        <w:r>
          <w:rPr>
            <w:color w:val="000000"/>
          </w:rPr>
          <w:t xml:space="preserve">Participation, common and proper</w:t>
        </w:r>
      </w:hyperlink>
      <w:r>
        <w:rPr>
          <w:b w:val="0"/>
          <w:i w:val="0"/>
        </w:rPr>
        <w:t xml:space="preserve">. Vocabulary: </w:t>
      </w:r>
      <w:hyperlink w:anchor="latin-record-0199">
        <w:r>
          <w:rPr>
            <w:color w:val="000000"/>
          </w:rPr>
          <w:t xml:space="preserve">causa communis</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440">
        <w:r>
          <w:rPr>
            <w:color w:val="000000"/>
          </w:rPr>
          <w:t xml:space="preserve">esse</w:t>
        </w:r>
      </w:hyperlink>
      <w:r>
        <w:rPr>
          <w:b w:val="0"/>
          <w:i w:val="0"/>
        </w:rPr>
        <w:t xml:space="preserve">; </w:t>
      </w:r>
      <w:hyperlink w:anchor="latin-record-0791">
        <w:r>
          <w:rPr>
            <w:color w:val="000000"/>
          </w:rPr>
          <w:t xml:space="preserve">modus essendi</w:t>
        </w:r>
      </w:hyperlink>
      <w:r>
        <w:rPr>
          <w:b w:val="0"/>
          <w:i w:val="0"/>
        </w:rPr>
        <w:t xml:space="preserve">; </w:t>
      </w:r>
      <w:hyperlink w:anchor="latin-record-0872">
        <w:r>
          <w:rPr>
            <w:color w:val="000000"/>
          </w:rPr>
          <w:t xml:space="preserve">opus</w:t>
        </w:r>
      </w:hyperlink>
      <w:r>
        <w:rPr>
          <w:b w:val="0"/>
          <w:i w:val="0"/>
        </w:rPr>
        <w:t xml:space="preserve">; </w:t>
      </w:r>
      <w:hyperlink w:anchor="latin-record-1017">
        <w:r>
          <w:rPr>
            <w:color w:val="000000"/>
          </w:rPr>
          <w:t xml:space="preserve">proprius / communis</w:t>
        </w:r>
      </w:hyperlink>
      <w:r>
        <w:rPr>
          <w:b w:val="0"/>
          <w:i w:val="0"/>
        </w:rPr>
        <w:t>.</w:t>
      </w:r>
    </w:p>
    <w:p>
      <w:pPr>
        <w:widowControl/>
      </w:pPr>
      <w:bookmarkStart w:id="1721" w:name="passage-v-13-3"/>
      <w:bookmarkEnd w:id="1721"/>
      <w:r>
        <w:rPr>
          <w:b/>
          <w:i w:val="0"/>
        </w:rPr>
        <w:t>V.13.3</w:t>
      </w:r>
      <w:r>
        <w:rPr>
          <w:b/>
          <w:i w:val="0"/>
        </w:rPr>
        <w:t>, source pp. 80–81.</w:t>
      </w:r>
      <w:r>
        <w:rPr>
          <w:b w:val="0"/>
          <w:i w:val="0"/>
        </w:rPr>
        <w:t xml:space="preserve"> Articles: </w:t>
      </w:r>
      <w:hyperlink w:anchor="creation-and-generation">
        <w:r>
          <w:rPr>
            <w:color w:val="000000"/>
          </w:rPr>
          <w:t xml:space="preserve">Creation and generation</w:t>
        </w:r>
      </w:hyperlink>
      <w:r>
        <w:rPr>
          <w:b w:val="0"/>
          <w:i w:val="0"/>
        </w:rPr>
        <w:t xml:space="preserve">; </w:t>
      </w:r>
      <w:hyperlink w:anchor="essence-and-being">
        <w:r>
          <w:rPr>
            <w:color w:val="000000"/>
          </w:rPr>
          <w:t xml:space="preserve">Essence and being</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participation-common-and-proper">
        <w:r>
          <w:rPr>
            <w:color w:val="000000"/>
          </w:rPr>
          <w:t xml:space="preserve">Participation, common and proper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210">
        <w:r>
          <w:rPr>
            <w:color w:val="000000"/>
          </w:rPr>
          <w:t xml:space="preserve">certus / talis</w:t>
        </w:r>
      </w:hyperlink>
      <w:r>
        <w:rPr>
          <w:b w:val="0"/>
          <w:i w:val="0"/>
        </w:rPr>
        <w:t xml:space="preserve">; </w:t>
      </w:r>
      <w:hyperlink w:anchor="latin-record-0439">
        <w:r>
          <w:rPr>
            <w:color w:val="000000"/>
          </w:rPr>
          <w:t xml:space="preserve">equus / homo</w:t>
        </w:r>
      </w:hyperlink>
      <w:r>
        <w:rPr>
          <w:b w:val="0"/>
          <w:i w:val="0"/>
        </w:rPr>
        <w:t xml:space="preserve">; </w:t>
      </w:r>
      <w:hyperlink w:anchor="latin-record-0440">
        <w:r>
          <w:rPr>
            <w:color w:val="000000"/>
          </w:rPr>
          <w:t xml:space="preserve">esse</w:t>
        </w:r>
      </w:hyperlink>
      <w:r>
        <w:rPr>
          <w:b w:val="0"/>
          <w:i w:val="0"/>
        </w:rPr>
        <w:t xml:space="preserve">; </w:t>
      </w:r>
      <w:hyperlink w:anchor="latin-record-1181">
        <w:r>
          <w:rPr>
            <w:color w:val="000000"/>
          </w:rPr>
          <w:t xml:space="preserve">simpliciter</w:t>
        </w:r>
      </w:hyperlink>
      <w:r>
        <w:rPr>
          <w:b w:val="0"/>
          <w:i w:val="0"/>
        </w:rPr>
        <w:t>.</w:t>
      </w:r>
    </w:p>
    <w:p>
      <w:pPr>
        <w:widowControl/>
      </w:pPr>
      <w:bookmarkStart w:id="1722" w:name="passage-v-13-4"/>
      <w:bookmarkEnd w:id="1722"/>
      <w:r>
        <w:rPr>
          <w:b/>
          <w:i w:val="0"/>
        </w:rPr>
        <w:t>V.13.4</w:t>
      </w:r>
      <w:r>
        <w:rPr>
          <w:b/>
          <w:i w:val="0"/>
        </w:rPr>
        <w:t>, source pp. 80–81.</w:t>
      </w:r>
      <w:r>
        <w:rPr>
          <w:b w:val="0"/>
          <w:i w:val="0"/>
        </w:rPr>
        <w:t xml:space="preserve"> Articles: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participation-common-and-proper">
        <w:r>
          <w:rPr>
            <w:color w:val="000000"/>
          </w:rPr>
          <w:t xml:space="preserve">Participation, common and proper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202">
        <w:r>
          <w:rPr>
            <w:color w:val="000000"/>
          </w:rPr>
          <w:t xml:space="preserve">causa prima</w:t>
        </w:r>
      </w:hyperlink>
      <w:r>
        <w:rPr>
          <w:b w:val="0"/>
          <w:i w:val="0"/>
        </w:rPr>
        <w:t xml:space="preserve">; </w:t>
      </w:r>
      <w:hyperlink w:anchor="latin-record-0204">
        <w:r>
          <w:rPr>
            <w:color w:val="000000"/>
          </w:rPr>
          <w:t xml:space="preserve">causae sequentes</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899">
        <w:r>
          <w:rPr>
            <w:color w:val="000000"/>
          </w:rPr>
          <w:t xml:space="preserve">participatio / particeps</w:t>
        </w:r>
      </w:hyperlink>
      <w:r>
        <w:rPr>
          <w:b w:val="0"/>
          <w:i w:val="0"/>
        </w:rPr>
        <w:t xml:space="preserve">; </w:t>
      </w:r>
      <w:hyperlink w:anchor="latin-record-0990">
        <w:r>
          <w:rPr>
            <w:color w:val="000000"/>
          </w:rPr>
          <w:t xml:space="preserve">primus / prior</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167">
        <w:r>
          <w:rPr>
            <w:color w:val="000000"/>
          </w:rPr>
          <w:t xml:space="preserve">sequi</w:t>
        </w:r>
      </w:hyperlink>
      <w:r>
        <w:rPr>
          <w:b w:val="0"/>
          <w:i w:val="0"/>
        </w:rPr>
        <w:t>.</w:t>
      </w:r>
    </w:p>
    <w:p>
      <w:pPr>
        <w:widowControl/>
      </w:pPr>
      <w:bookmarkStart w:id="1723" w:name="passage-v-13-5"/>
      <w:bookmarkEnd w:id="1723"/>
      <w:r>
        <w:rPr>
          <w:b/>
          <w:i w:val="0"/>
        </w:rPr>
        <w:t>V.13.5</w:t>
      </w:r>
      <w:r>
        <w:rPr>
          <w:b/>
          <w:i w:val="0"/>
        </w:rPr>
        <w:t>, source pp. 82–83.</w:t>
      </w:r>
      <w:r>
        <w:rPr>
          <w:b w:val="0"/>
          <w:i w:val="0"/>
        </w:rPr>
        <w:t xml:space="preserve"> Articles: </w:t>
      </w:r>
      <w:hyperlink w:anchor="ariston-sculptor-and-painter">
        <w:r>
          <w:rPr>
            <w:color w:val="000000"/>
          </w:rPr>
          <w:t xml:space="preserve">Ariston, sculptor and painter</w:t>
        </w:r>
      </w:hyperlink>
      <w:r>
        <w:rPr>
          <w:b w:val="0"/>
          <w:i w:val="0"/>
        </w:rPr>
        <w:t xml:space="preserve">; </w:t>
      </w:r>
      <w:hyperlink w:anchor="art-and-elemental-transformation">
        <w:r>
          <w:rPr>
            <w:color w:val="000000"/>
          </w:rPr>
          <w:t xml:space="preserve">Art and elemental transformation</w:t>
        </w:r>
      </w:hyperlink>
      <w:r>
        <w:rPr>
          <w:b w:val="0"/>
          <w:i w:val="0"/>
        </w:rPr>
        <w:t xml:space="preserve">;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participation-common-and-proper">
        <w:r>
          <w:rPr>
            <w:color w:val="000000"/>
          </w:rPr>
          <w:t xml:space="preserve">Participation, common and proper</w:t>
        </w:r>
      </w:hyperlink>
      <w:r>
        <w:rPr>
          <w:b w:val="0"/>
          <w:i w:val="0"/>
        </w:rPr>
        <w:t xml:space="preserve">. Vocabulary: </w:t>
      </w:r>
      <w:hyperlink w:anchor="latin-record-0005">
        <w:r>
          <w:rPr>
            <w:color w:val="000000"/>
          </w:rPr>
          <w:t xml:space="preserve">absolute</w:t>
        </w:r>
      </w:hyperlink>
      <w:r>
        <w:rPr>
          <w:b w:val="0"/>
          <w:i w:val="0"/>
        </w:rPr>
        <w:t xml:space="preserve">; </w:t>
      </w:r>
      <w:hyperlink w:anchor="latin-record-0011">
        <w:r>
          <w:rPr>
            <w:color w:val="000000"/>
          </w:rPr>
          <w:t xml:space="preserve">accendere / effulgere</w:t>
        </w:r>
      </w:hyperlink>
      <w:r>
        <w:rPr>
          <w:b w:val="0"/>
          <w:i w:val="0"/>
        </w:rPr>
        <w:t xml:space="preserve">; </w:t>
      </w:r>
      <w:hyperlink w:anchor="latin-record-0057">
        <w:r>
          <w:rPr>
            <w:color w:val="000000"/>
          </w:rPr>
          <w:t xml:space="preserve">agere / efficere</w:t>
        </w:r>
      </w:hyperlink>
      <w:r>
        <w:rPr>
          <w:b w:val="0"/>
          <w:i w:val="0"/>
        </w:rPr>
        <w:t xml:space="preserve">; </w:t>
      </w:r>
      <w:hyperlink w:anchor="latin-record-0114">
        <w:r>
          <w:rPr>
            <w:color w:val="000000"/>
          </w:rPr>
          <w:t xml:space="preserve">aptus / ineptus</w:t>
        </w:r>
      </w:hyperlink>
      <w:r>
        <w:rPr>
          <w:b w:val="0"/>
          <w:i w:val="0"/>
        </w:rPr>
        <w:t xml:space="preserve">; </w:t>
      </w:r>
      <w:hyperlink w:anchor="latin-record-0122">
        <w:r>
          <w:rPr>
            <w:color w:val="000000"/>
          </w:rPr>
          <w:t xml:space="preserve">Ariston</w:t>
        </w:r>
      </w:hyperlink>
      <w:r>
        <w:rPr>
          <w:b w:val="0"/>
          <w:i w:val="0"/>
        </w:rPr>
        <w:t xml:space="preserve">; </w:t>
      </w:r>
      <w:hyperlink w:anchor="latin-record-0127">
        <w:r>
          <w:rPr>
            <w:color w:val="000000"/>
          </w:rPr>
          <w:t xml:space="preserve">ars</w:t>
        </w:r>
      </w:hyperlink>
      <w:r>
        <w:rPr>
          <w:b w:val="0"/>
          <w:i w:val="0"/>
        </w:rPr>
        <w:t xml:space="preserve">; </w:t>
      </w:r>
      <w:hyperlink w:anchor="latin-record-0210">
        <w:r>
          <w:rPr>
            <w:color w:val="000000"/>
          </w:rPr>
          <w:t xml:space="preserve">certus / talis</w:t>
        </w:r>
      </w:hyperlink>
      <w:r>
        <w:rPr>
          <w:b w:val="0"/>
          <w:i w:val="0"/>
        </w:rPr>
        <w:t xml:space="preserve">; </w:t>
      </w:r>
      <w:hyperlink w:anchor="latin-record-0428">
        <w:r>
          <w:rPr>
            <w:color w:val="000000"/>
          </w:rPr>
          <w:t xml:space="preserve">egenus / egere / indigere</w:t>
        </w:r>
      </w:hyperlink>
      <w:r>
        <w:rPr>
          <w:b w:val="0"/>
          <w:i w:val="0"/>
        </w:rPr>
        <w:t xml:space="preserve">; </w:t>
      </w:r>
      <w:hyperlink w:anchor="latin-record-0476">
        <w:r>
          <w:rPr>
            <w:color w:val="000000"/>
          </w:rPr>
          <w:t xml:space="preserve">facilis / difficilis</w:t>
        </w:r>
      </w:hyperlink>
      <w:r>
        <w:rPr>
          <w:b w:val="0"/>
          <w:i w:val="0"/>
        </w:rPr>
        <w:t xml:space="preserve">; </w:t>
      </w:r>
      <w:hyperlink w:anchor="latin-record-0532">
        <w:r>
          <w:rPr>
            <w:color w:val="000000"/>
          </w:rPr>
          <w:t xml:space="preserve">fundamentum</w:t>
        </w:r>
      </w:hyperlink>
      <w:r>
        <w:rPr>
          <w:b w:val="0"/>
          <w:i w:val="0"/>
        </w:rPr>
        <w:t xml:space="preserve">; </w:t>
      </w:r>
      <w:hyperlink w:anchor="latin-record-0569">
        <w:r>
          <w:rPr>
            <w:color w:val="000000"/>
          </w:rPr>
          <w:t xml:space="preserve">humanitas</w:t>
        </w:r>
      </w:hyperlink>
      <w:r>
        <w:rPr>
          <w:b w:val="0"/>
          <w:i w:val="0"/>
        </w:rPr>
        <w:t xml:space="preserve">; </w:t>
      </w:r>
      <w:hyperlink w:anchor="latin-record-0675">
        <w:r>
          <w:rPr>
            <w:color w:val="000000"/>
          </w:rPr>
          <w:t xml:space="preserve">intervallum / distantia</w:t>
        </w:r>
      </w:hyperlink>
      <w:r>
        <w:rPr>
          <w:b w:val="0"/>
          <w:i w:val="0"/>
        </w:rPr>
        <w:t xml:space="preserve">; </w:t>
      </w:r>
      <w:hyperlink w:anchor="latin-record-0791">
        <w:r>
          <w:rPr>
            <w:color w:val="000000"/>
          </w:rPr>
          <w:t xml:space="preserve">modus essendi</w:t>
        </w:r>
      </w:hyperlink>
      <w:r>
        <w:rPr>
          <w:b w:val="0"/>
          <w:i w:val="0"/>
        </w:rPr>
        <w:t xml:space="preserve">; </w:t>
      </w:r>
      <w:hyperlink w:anchor="latin-record-0823">
        <w:r>
          <w:rPr>
            <w:color w:val="000000"/>
          </w:rPr>
          <w:t xml:space="preserve">natura</w:t>
        </w:r>
      </w:hyperlink>
      <w:r>
        <w:rPr>
          <w:b w:val="0"/>
          <w:i w:val="0"/>
        </w:rPr>
        <w:t xml:space="preserve">; </w:t>
      </w:r>
      <w:hyperlink w:anchor="latin-record-0899">
        <w:r>
          <w:rPr>
            <w:color w:val="000000"/>
          </w:rPr>
          <w:t xml:space="preserve">participatio / particeps</w:t>
        </w:r>
      </w:hyperlink>
      <w:r>
        <w:rPr>
          <w:b w:val="0"/>
          <w:i w:val="0"/>
        </w:rPr>
        <w:t xml:space="preserve">; </w:t>
      </w:r>
      <w:hyperlink w:anchor="latin-record-0952">
        <w:r>
          <w:rPr>
            <w:color w:val="000000"/>
          </w:rPr>
          <w:t xml:space="preserve">Plato / Socrates</w:t>
        </w:r>
      </w:hyperlink>
      <w:r>
        <w:rPr>
          <w:b w:val="0"/>
          <w:i w:val="0"/>
        </w:rPr>
        <w:t xml:space="preserve">; </w:t>
      </w:r>
      <w:hyperlink w:anchor="latin-record-0972">
        <w:r>
          <w:rPr>
            <w:color w:val="000000"/>
          </w:rPr>
          <w:t xml:space="preserve">potentior / melior</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140">
        <w:r>
          <w:rPr>
            <w:color w:val="000000"/>
          </w:rPr>
          <w:t xml:space="preserve">sculptor / statua / lapis</w:t>
        </w:r>
      </w:hyperlink>
      <w:r>
        <w:rPr>
          <w:b w:val="0"/>
          <w:i w:val="0"/>
        </w:rPr>
        <w:t xml:space="preserve">; </w:t>
      </w:r>
      <w:hyperlink w:anchor="latin-record-1151">
        <w:r>
          <w:rPr>
            <w:color w:val="000000"/>
          </w:rPr>
          <w:t xml:space="preserve">semen</w:t>
        </w:r>
      </w:hyperlink>
      <w:r>
        <w:rPr>
          <w:b w:val="0"/>
          <w:i w:val="0"/>
        </w:rPr>
        <w:t xml:space="preserve">; </w:t>
      </w:r>
      <w:hyperlink w:anchor="latin-record-1181">
        <w:r>
          <w:rPr>
            <w:color w:val="000000"/>
          </w:rPr>
          <w:t xml:space="preserve">simpliciter</w:t>
        </w:r>
      </w:hyperlink>
      <w:r>
        <w:rPr>
          <w:b w:val="0"/>
          <w:i w:val="0"/>
        </w:rPr>
        <w:t>.</w:t>
      </w:r>
    </w:p>
    <w:p>
      <w:pPr>
        <w:widowControl/>
      </w:pPr>
      <w:bookmarkStart w:id="1724" w:name="passage-v-13-6"/>
      <w:bookmarkEnd w:id="1724"/>
      <w:r>
        <w:rPr>
          <w:b/>
          <w:i w:val="0"/>
        </w:rPr>
        <w:t>V.13.6</w:t>
      </w:r>
      <w:r>
        <w:rPr>
          <w:b/>
          <w:i w:val="0"/>
        </w:rPr>
        <w:t>, source pp. 82–83.</w:t>
      </w:r>
      <w:r>
        <w:rPr>
          <w:b w:val="0"/>
          <w:i w:val="0"/>
        </w:rPr>
        <w:t xml:space="preserve"> Articles: </w:t>
      </w:r>
      <w:hyperlink w:anchor="ariston-sculptor-and-painter">
        <w:r>
          <w:rPr>
            <w:color w:val="000000"/>
          </w:rPr>
          <w:t xml:space="preserve">Ariston, sculptor and painter</w:t>
        </w:r>
      </w:hyperlink>
      <w:r>
        <w:rPr>
          <w:b w:val="0"/>
          <w:i w:val="0"/>
        </w:rPr>
        <w:t xml:space="preserve">; </w:t>
      </w:r>
      <w:hyperlink w:anchor="art-and-elemental-transformation">
        <w:r>
          <w:rPr>
            <w:color w:val="000000"/>
          </w:rPr>
          <w:t xml:space="preserve">Art and elemental transformation</w:t>
        </w:r>
      </w:hyperlink>
      <w:r>
        <w:rPr>
          <w:b w:val="0"/>
          <w:i w:val="0"/>
        </w:rPr>
        <w:t xml:space="preserve">;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Vocabulary: </w:t>
      </w:r>
      <w:hyperlink w:anchor="latin-record-0633">
        <w:r>
          <w:rPr>
            <w:color w:val="000000"/>
          </w:rPr>
          <w:t xml:space="preserve">infinitus / immensus</w:t>
        </w:r>
      </w:hyperlink>
      <w:r>
        <w:rPr>
          <w:b w:val="0"/>
          <w:i w:val="0"/>
        </w:rPr>
        <w:t xml:space="preserve">; </w:t>
      </w:r>
      <w:hyperlink w:anchor="latin-record-0675">
        <w:r>
          <w:rPr>
            <w:color w:val="000000"/>
          </w:rPr>
          <w:t xml:space="preserve">intervallum / distantia</w:t>
        </w:r>
      </w:hyperlink>
      <w:r>
        <w:rPr>
          <w:b w:val="0"/>
          <w:i w:val="0"/>
        </w:rPr>
        <w:t xml:space="preserve">; </w:t>
      </w:r>
      <w:hyperlink w:anchor="latin-record-1012">
        <w:r>
          <w:rPr>
            <w:color w:val="000000"/>
          </w:rPr>
          <w:t xml:space="preserve">proportio</w:t>
        </w:r>
      </w:hyperlink>
      <w:r>
        <w:rPr>
          <w:b w:val="0"/>
          <w:i w:val="0"/>
        </w:rPr>
        <w:t>.</w:t>
      </w:r>
    </w:p>
    <w:p>
      <w:pPr>
        <w:widowControl/>
      </w:pPr>
      <w:bookmarkStart w:id="1725" w:name="passage-v-13-7"/>
      <w:bookmarkEnd w:id="1725"/>
      <w:r>
        <w:rPr>
          <w:b/>
          <w:i w:val="0"/>
        </w:rPr>
        <w:t>V.13.7</w:t>
      </w:r>
      <w:r>
        <w:rPr>
          <w:b/>
          <w:i w:val="0"/>
        </w:rPr>
        <w:t>, source pp. 84–85.</w:t>
      </w:r>
      <w:r>
        <w:rPr>
          <w:b w:val="0"/>
          <w:i w:val="0"/>
        </w:rPr>
        <w:t xml:space="preserve"> Articles: </w:t>
      </w:r>
      <w:hyperlink w:anchor="creation-and-generation">
        <w:r>
          <w:rPr>
            <w:color w:val="000000"/>
          </w:rPr>
          <w:t xml:space="preserve">Creation and generation</w:t>
        </w:r>
      </w:hyperlink>
      <w:r>
        <w:rPr>
          <w:b w:val="0"/>
          <w:i w:val="0"/>
        </w:rPr>
        <w:t xml:space="preserve">; </w:t>
      </w:r>
      <w:hyperlink w:anchor="creature-power-and-operation">
        <w:r>
          <w:rPr>
            <w:color w:val="000000"/>
          </w:rPr>
          <w:t xml:space="preserve">Creature, power and operation</w:t>
        </w:r>
      </w:hyperlink>
      <w:r>
        <w:rPr>
          <w:b w:val="0"/>
          <w:i w:val="0"/>
        </w:rPr>
        <w:t xml:space="preserve">; </w:t>
      </w:r>
      <w:hyperlink w:anchor="essence-and-being">
        <w:r>
          <w:rPr>
            <w:color w:val="000000"/>
          </w:rPr>
          <w:t xml:space="preserve">Essence and being</w:t>
        </w:r>
      </w:hyperlink>
      <w:r>
        <w:rPr>
          <w:b w:val="0"/>
          <w:i w:val="0"/>
        </w:rPr>
        <w:t xml:space="preserve">; </w:t>
      </w:r>
      <w:hyperlink w:anchor="first-cause">
        <w:r>
          <w:rPr>
            <w:color w:val="000000"/>
          </w:rPr>
          <w:t xml:space="preserve">First Cause, principal causes and causal dependence</w:t>
        </w:r>
      </w:hyperlink>
      <w:r>
        <w:rPr>
          <w:b w:val="0"/>
          <w:i w:val="0"/>
        </w:rPr>
        <w:t xml:space="preserve">. Vocabulary: </w:t>
      </w:r>
      <w:hyperlink w:anchor="latin-record-0023">
        <w:r>
          <w:rPr>
            <w:color w:val="000000"/>
          </w:rPr>
          <w:t xml:space="preserve">actus</w:t>
        </w:r>
      </w:hyperlink>
      <w:r>
        <w:rPr>
          <w:b w:val="0"/>
          <w:i w:val="0"/>
        </w:rPr>
        <w:t xml:space="preserve">; </w:t>
      </w:r>
      <w:hyperlink w:anchor="latin-record-0261">
        <w:r>
          <w:rPr>
            <w:color w:val="000000"/>
          </w:rPr>
          <w:t xml:space="preserve">componere / compositum</w:t>
        </w:r>
      </w:hyperlink>
      <w:r>
        <w:rPr>
          <w:b w:val="0"/>
          <w:i w:val="0"/>
        </w:rPr>
        <w:t xml:space="preserve">; </w:t>
      </w:r>
      <w:hyperlink w:anchor="latin-record-0348">
        <w:r>
          <w:rPr>
            <w:color w:val="000000"/>
          </w:rPr>
          <w:t xml:space="preserve">creatura</w:t>
        </w:r>
      </w:hyperlink>
      <w:r>
        <w:rPr>
          <w:b w:val="0"/>
          <w:i w:val="0"/>
        </w:rPr>
        <w:t xml:space="preserve">; </w:t>
      </w:r>
      <w:hyperlink w:anchor="latin-record-0430">
        <w:r>
          <w:rPr>
            <w:color w:val="000000"/>
          </w:rPr>
          <w:t xml:space="preserve">elementum</w:t>
        </w:r>
      </w:hyperlink>
      <w:r>
        <w:rPr>
          <w:b w:val="0"/>
          <w:i w:val="0"/>
        </w:rPr>
        <w:t xml:space="preserve">; </w:t>
      </w:r>
      <w:hyperlink w:anchor="latin-record-0445">
        <w:r>
          <w:rPr>
            <w:color w:val="000000"/>
          </w:rPr>
          <w:t xml:space="preserve">essentia</w:t>
        </w:r>
      </w:hyperlink>
      <w:r>
        <w:rPr>
          <w:b w:val="0"/>
          <w:i w:val="0"/>
        </w:rPr>
        <w:t xml:space="preserve">; </w:t>
      </w:r>
      <w:hyperlink w:anchor="latin-record-0633">
        <w:r>
          <w:rPr>
            <w:color w:val="000000"/>
          </w:rPr>
          <w:t xml:space="preserve">infinitus / immensus</w:t>
        </w:r>
      </w:hyperlink>
      <w:r>
        <w:rPr>
          <w:b w:val="0"/>
          <w:i w:val="0"/>
        </w:rPr>
        <w:t xml:space="preserve">; </w:t>
      </w:r>
      <w:hyperlink w:anchor="latin-record-0868">
        <w:r>
          <w:rPr>
            <w:color w:val="000000"/>
          </w:rPr>
          <w:t xml:space="preserve">opponere / oppositum</w:t>
        </w:r>
      </w:hyperlink>
      <w:r>
        <w:rPr>
          <w:b w:val="0"/>
          <w:i w:val="0"/>
        </w:rPr>
        <w:t xml:space="preserve">; </w:t>
      </w:r>
      <w:hyperlink w:anchor="latin-record-0899">
        <w:r>
          <w:rPr>
            <w:color w:val="000000"/>
          </w:rPr>
          <w:t xml:space="preserve">participatio / particeps</w:t>
        </w:r>
      </w:hyperlink>
      <w:r>
        <w:rPr>
          <w:b w:val="0"/>
          <w:i w:val="0"/>
        </w:rPr>
        <w:t xml:space="preserve">; </w:t>
      </w:r>
      <w:hyperlink w:anchor="latin-record-1050">
        <w:r>
          <w:rPr>
            <w:color w:val="000000"/>
          </w:rPr>
          <w:t xml:space="preserve">quatuor elementa</w:t>
        </w:r>
      </w:hyperlink>
      <w:r>
        <w:rPr>
          <w:b w:val="0"/>
          <w:i w:val="0"/>
        </w:rPr>
        <w:t xml:space="preserve">; </w:t>
      </w:r>
      <w:hyperlink w:anchor="latin-record-1225">
        <w:r>
          <w:rPr>
            <w:color w:val="000000"/>
          </w:rPr>
          <w:t xml:space="preserve">spiritus</w:t>
        </w:r>
      </w:hyperlink>
      <w:r>
        <w:rPr>
          <w:b w:val="0"/>
          <w:i w:val="0"/>
        </w:rPr>
        <w:t xml:space="preserve">; </w:t>
      </w:r>
      <w:hyperlink w:anchor="latin-record-1358">
        <w:r>
          <w:rPr>
            <w:color w:val="000000"/>
          </w:rPr>
          <w:t xml:space="preserve">virtus</w:t>
        </w:r>
      </w:hyperlink>
      <w:r>
        <w:rPr>
          <w:b w:val="0"/>
          <w:i w:val="0"/>
        </w:rPr>
        <w:t>.</w:t>
      </w:r>
    </w:p>
    <w:p>
      <w:pPr>
        <w:widowControl/>
      </w:pPr>
      <w:bookmarkStart w:id="1726" w:name="passage-v-13-8"/>
      <w:bookmarkEnd w:id="1726"/>
      <w:r>
        <w:rPr>
          <w:b/>
          <w:i w:val="0"/>
        </w:rPr>
        <w:t>V.13.8</w:t>
      </w:r>
      <w:r>
        <w:rPr>
          <w:b/>
          <w:i w:val="0"/>
        </w:rPr>
        <w:t>, source pp. 84–85.</w:t>
      </w:r>
      <w:r>
        <w:rPr>
          <w:b w:val="0"/>
          <w:i w:val="0"/>
        </w:rPr>
        <w:t xml:space="preserve"> Articles: </w:t>
      </w:r>
      <w:hyperlink w:anchor="creature-power-and-operation">
        <w:r>
          <w:rPr>
            <w:color w:val="000000"/>
          </w:rPr>
          <w:t xml:space="preserve">Creature, power and operation</w:t>
        </w:r>
      </w:hyperlink>
      <w:r>
        <w:rPr>
          <w:b w:val="0"/>
          <w:i w:val="0"/>
        </w:rPr>
        <w:t xml:space="preserve">; </w:t>
      </w:r>
      <w:hyperlink w:anchor="essence-and-being">
        <w:r>
          <w:rPr>
            <w:color w:val="000000"/>
          </w:rPr>
          <w:t xml:space="preserve">Essence and being</w:t>
        </w:r>
      </w:hyperlink>
      <w:r>
        <w:rPr>
          <w:b w:val="0"/>
          <w:i w:val="0"/>
        </w:rPr>
        <w:t xml:space="preserve">; </w:t>
      </w:r>
      <w:hyperlink w:anchor="first-cause">
        <w:r>
          <w:rPr>
            <w:color w:val="000000"/>
          </w:rPr>
          <w:t xml:space="preserve">First Cause, principal causes and causal dependence</w:t>
        </w:r>
      </w:hyperlink>
      <w:r>
        <w:rPr>
          <w:b w:val="0"/>
          <w:i w:val="0"/>
        </w:rPr>
        <w:t xml:space="preserve">. Vocabulary: </w:t>
      </w:r>
      <w:hyperlink w:anchor="latin-record-0861">
        <w:r>
          <w:rPr>
            <w:color w:val="000000"/>
          </w:rPr>
          <w:t xml:space="preserve">operatio / operari</w:t>
        </w:r>
      </w:hyperlink>
      <w:r>
        <w:rPr>
          <w:b w:val="0"/>
          <w:i w:val="0"/>
        </w:rPr>
        <w:t>.</w:t>
      </w:r>
    </w:p>
    <w:p>
      <w:pPr>
        <w:widowControl/>
      </w:pPr>
      <w:bookmarkStart w:id="1727" w:name="passage-v-13-9"/>
      <w:bookmarkEnd w:id="1727"/>
      <w:r>
        <w:rPr>
          <w:b/>
          <w:i w:val="0"/>
        </w:rPr>
        <w:t>V.13.9</w:t>
      </w:r>
      <w:r>
        <w:rPr>
          <w:b/>
          <w:i w:val="0"/>
        </w:rPr>
        <w:t>, source pp. 84–85.</w:t>
      </w:r>
      <w:r>
        <w:rPr>
          <w:b w:val="0"/>
          <w:i w:val="0"/>
        </w:rPr>
        <w:t xml:space="preserve"> Articles: </w:t>
      </w:r>
      <w:hyperlink w:anchor="creature-power-and-operation">
        <w:r>
          <w:rPr>
            <w:color w:val="000000"/>
          </w:rPr>
          <w:t xml:space="preserve">Creature, power and operation</w:t>
        </w:r>
      </w:hyperlink>
      <w:r>
        <w:rPr>
          <w:b w:val="0"/>
          <w:i w:val="0"/>
        </w:rPr>
        <w:t xml:space="preserve">; </w:t>
      </w:r>
      <w:hyperlink w:anchor="essence-and-being">
        <w:r>
          <w:rPr>
            <w:color w:val="000000"/>
          </w:rPr>
          <w:t xml:space="preserve">Essence and being</w:t>
        </w:r>
      </w:hyperlink>
      <w:r>
        <w:rPr>
          <w:b w:val="0"/>
          <w:i w:val="0"/>
        </w:rPr>
        <w:t xml:space="preserve">; </w:t>
      </w:r>
      <w:hyperlink w:anchor="first-cause">
        <w:r>
          <w:rPr>
            <w:color w:val="000000"/>
          </w:rPr>
          <w:t xml:space="preserve">First Cause, principal causes and causal dependence</w:t>
        </w:r>
      </w:hyperlink>
      <w:r>
        <w:rPr>
          <w:b w:val="0"/>
          <w:i w:val="0"/>
        </w:rPr>
        <w:t xml:space="preserve">. Vocabulary: </w:t>
      </w:r>
      <w:hyperlink w:anchor="latin-record-0023">
        <w:r>
          <w:rPr>
            <w:color w:val="000000"/>
          </w:rPr>
          <w:t xml:space="preserve">actus</w:t>
        </w:r>
      </w:hyperlink>
      <w:r>
        <w:rPr>
          <w:b w:val="0"/>
          <w:i w:val="0"/>
        </w:rPr>
        <w:t xml:space="preserve">; </w:t>
      </w:r>
      <w:hyperlink w:anchor="latin-record-0861">
        <w:r>
          <w:rPr>
            <w:color w:val="000000"/>
          </w:rPr>
          <w:t xml:space="preserve">operatio / operari</w:t>
        </w:r>
      </w:hyperlink>
      <w:r>
        <w:rPr>
          <w:b w:val="0"/>
          <w:i w:val="0"/>
        </w:rPr>
        <w:t xml:space="preserve">; </w:t>
      </w:r>
      <w:hyperlink w:anchor="latin-record-1358">
        <w:r>
          <w:rPr>
            <w:color w:val="000000"/>
          </w:rPr>
          <w:t xml:space="preserve">virtus</w:t>
        </w:r>
      </w:hyperlink>
      <w:r>
        <w:rPr>
          <w:b w:val="0"/>
          <w:i w:val="0"/>
        </w:rPr>
        <w:t>.</w:t>
      </w:r>
    </w:p>
    <w:p>
      <w:pPr>
        <w:widowControl/>
      </w:pPr>
      <w:bookmarkStart w:id="1728" w:name="passage-v-13-10"/>
      <w:bookmarkEnd w:id="1728"/>
      <w:r>
        <w:rPr>
          <w:b/>
          <w:i w:val="0"/>
        </w:rPr>
        <w:t>V.13.10</w:t>
      </w:r>
      <w:r>
        <w:rPr>
          <w:b/>
          <w:i w:val="0"/>
        </w:rPr>
        <w:t>, source pp. 84–85.</w:t>
      </w:r>
      <w:r>
        <w:rPr>
          <w:b w:val="0"/>
          <w:i w:val="0"/>
        </w:rPr>
        <w:t xml:space="preserve"> Articles: </w:t>
      </w:r>
      <w:hyperlink w:anchor="creature-power-and-operation">
        <w:r>
          <w:rPr>
            <w:color w:val="000000"/>
          </w:rPr>
          <w:t xml:space="preserve">Creature, power and operation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fountains-drawing-and-infusion">
        <w:r>
          <w:rPr>
            <w:color w:val="000000"/>
          </w:rPr>
          <w:t xml:space="preserve">Fountains, drawing and infusion</w:t>
        </w:r>
      </w:hyperlink>
      <w:r>
        <w:rPr>
          <w:b w:val="0"/>
          <w:i w:val="0"/>
        </w:rPr>
        <w:t xml:space="preserve">. Vocabulary: </w:t>
      </w:r>
      <w:hyperlink w:anchor="latin-record-0175">
        <w:r>
          <w:rPr>
            <w:color w:val="000000"/>
          </w:rPr>
          <w:t xml:space="preserve">calefactio</w:t>
        </w:r>
      </w:hyperlink>
      <w:r>
        <w:rPr>
          <w:b w:val="0"/>
          <w:i w:val="0"/>
        </w:rPr>
        <w:t xml:space="preserve">; </w:t>
      </w:r>
      <w:hyperlink w:anchor="latin-record-0230">
        <w:r>
          <w:rPr>
            <w:color w:val="000000"/>
          </w:rPr>
          <w:t xml:space="preserve">cognitio / voluntas</w:t>
        </w:r>
      </w:hyperlink>
      <w:r>
        <w:rPr>
          <w:b w:val="0"/>
          <w:i w:val="0"/>
        </w:rPr>
        <w:t xml:space="preserve">; </w:t>
      </w:r>
      <w:hyperlink w:anchor="latin-record-0861">
        <w:r>
          <w:rPr>
            <w:color w:val="000000"/>
          </w:rPr>
          <w:t xml:space="preserve">operatio / operari</w:t>
        </w:r>
      </w:hyperlink>
      <w:r>
        <w:rPr>
          <w:b w:val="0"/>
          <w:i w:val="0"/>
        </w:rPr>
        <w:t xml:space="preserve">; </w:t>
      </w:r>
      <w:hyperlink w:anchor="latin-record-0862">
        <w:r>
          <w:rPr>
            <w:color w:val="000000"/>
          </w:rPr>
          <w:t xml:space="preserve">operatio quae effluit / quae manet</w:t>
        </w:r>
      </w:hyperlink>
      <w:r>
        <w:rPr>
          <w:b w:val="0"/>
          <w:i w:val="0"/>
        </w:rPr>
        <w:t>.</w:t>
      </w:r>
    </w:p>
    <w:p>
      <w:pPr>
        <w:widowControl/>
      </w:pPr>
      <w:bookmarkStart w:id="1729" w:name="passage-v-13-11"/>
      <w:bookmarkEnd w:id="1729"/>
      <w:r>
        <w:rPr>
          <w:b/>
          <w:i w:val="0"/>
        </w:rPr>
        <w:t>V.13.11</w:t>
      </w:r>
      <w:r>
        <w:rPr>
          <w:b/>
          <w:i w:val="0"/>
        </w:rPr>
        <w:t>, source pp. 86–87.</w:t>
      </w:r>
      <w:r>
        <w:rPr>
          <w:b w:val="0"/>
          <w:i w:val="0"/>
        </w:rPr>
        <w:t xml:space="preserve"> Articles: </w:t>
      </w:r>
      <w:hyperlink w:anchor="creature-power-and-operation">
        <w:r>
          <w:rPr>
            <w:color w:val="000000"/>
          </w:rPr>
          <w:t xml:space="preserve">Creature, power and operation</w:t>
        </w:r>
      </w:hyperlink>
      <w:r>
        <w:rPr>
          <w:b w:val="0"/>
          <w:i w:val="0"/>
        </w:rPr>
        <w:t xml:space="preserve">; </w:t>
      </w:r>
      <w:hyperlink w:anchor="first-cause">
        <w:r>
          <w:rPr>
            <w:color w:val="000000"/>
          </w:rPr>
          <w:t xml:space="preserve">First Cause, principal causes and causal dependence</w:t>
        </w:r>
      </w:hyperlink>
      <w:r>
        <w:rPr>
          <w:b w:val="0"/>
          <w:i w:val="0"/>
        </w:rPr>
        <w:t xml:space="preserve">. Vocabulary: </w:t>
      </w:r>
      <w:hyperlink w:anchor="latin-record-0230">
        <w:r>
          <w:rPr>
            <w:color w:val="000000"/>
          </w:rPr>
          <w:t xml:space="preserve">cognitio / voluntas</w:t>
        </w:r>
      </w:hyperlink>
      <w:r>
        <w:rPr>
          <w:b w:val="0"/>
          <w:i w:val="0"/>
        </w:rPr>
        <w:t xml:space="preserve">; </w:t>
      </w:r>
      <w:hyperlink w:anchor="latin-record-0348">
        <w:r>
          <w:rPr>
            <w:color w:val="000000"/>
          </w:rPr>
          <w:t xml:space="preserve">creatura</w:t>
        </w:r>
      </w:hyperlink>
      <w:r>
        <w:rPr>
          <w:b w:val="0"/>
          <w:i w:val="0"/>
        </w:rPr>
        <w:t xml:space="preserve">; </w:t>
      </w:r>
      <w:hyperlink w:anchor="latin-record-0852">
        <w:r>
          <w:rPr>
            <w:color w:val="000000"/>
          </w:rPr>
          <w:t xml:space="preserve">obiectum</w:t>
        </w:r>
      </w:hyperlink>
      <w:r>
        <w:rPr>
          <w:b w:val="0"/>
          <w:i w:val="0"/>
        </w:rPr>
        <w:t xml:space="preserve">; </w:t>
      </w:r>
      <w:hyperlink w:anchor="latin-record-0862">
        <w:r>
          <w:rPr>
            <w:color w:val="000000"/>
          </w:rPr>
          <w:t xml:space="preserve">operatio quae effluit / quae manet</w:t>
        </w:r>
      </w:hyperlink>
      <w:r>
        <w:rPr>
          <w:b w:val="0"/>
          <w:i w:val="0"/>
        </w:rPr>
        <w:t xml:space="preserve">; </w:t>
      </w:r>
      <w:hyperlink w:anchor="latin-record-1342">
        <w:r>
          <w:rPr>
            <w:color w:val="000000"/>
          </w:rPr>
          <w:t xml:space="preserve">verum / bonum</w:t>
        </w:r>
      </w:hyperlink>
      <w:r>
        <w:rPr>
          <w:b w:val="0"/>
          <w:i w:val="0"/>
        </w:rPr>
        <w:t xml:space="preserve">; </w:t>
      </w:r>
      <w:hyperlink w:anchor="latin-record-1386">
        <w:r>
          <w:rPr>
            <w:color w:val="000000"/>
          </w:rPr>
          <w:t xml:space="preserve">voluptas</w:t>
        </w:r>
      </w:hyperlink>
      <w:r>
        <w:rPr>
          <w:b w:val="0"/>
          <w:i w:val="0"/>
        </w:rPr>
        <w:t>.</w:t>
      </w:r>
    </w:p>
    <w:p>
      <w:pPr>
        <w:widowControl/>
      </w:pPr>
      <w:bookmarkStart w:id="1730" w:name="passage-v-13-12"/>
      <w:bookmarkEnd w:id="1730"/>
      <w:r>
        <w:rPr>
          <w:b/>
          <w:i w:val="0"/>
        </w:rPr>
        <w:t>V.13.12</w:t>
      </w:r>
      <w:r>
        <w:rPr>
          <w:b/>
          <w:i w:val="0"/>
        </w:rPr>
        <w:t>, source pp. 86–87.</w:t>
      </w:r>
      <w:r>
        <w:rPr>
          <w:b w:val="0"/>
          <w:i w:val="0"/>
        </w:rPr>
        <w:t xml:space="preserve"> Articles: </w:t>
      </w:r>
      <w:hyperlink w:anchor="creature-power-and-operation">
        <w:r>
          <w:rPr>
            <w:color w:val="000000"/>
          </w:rPr>
          <w:t xml:space="preserve">Creature, power and operation</w:t>
        </w:r>
      </w:hyperlink>
      <w:r>
        <w:rPr>
          <w:b w:val="0"/>
          <w:i w:val="0"/>
        </w:rPr>
        <w:t xml:space="preserve">; </w:t>
      </w:r>
      <w:hyperlink w:anchor="first-cause">
        <w:r>
          <w:rPr>
            <w:color w:val="000000"/>
          </w:rPr>
          <w:t xml:space="preserve">First Cause, principal causes and causal dependence</w:t>
        </w:r>
      </w:hyperlink>
      <w:r>
        <w:rPr>
          <w:b w:val="0"/>
          <w:i w:val="0"/>
        </w:rPr>
        <w:t xml:space="preserve">. Vocabulary: </w:t>
      </w:r>
      <w:hyperlink w:anchor="latin-record-0023">
        <w:r>
          <w:rPr>
            <w:color w:val="000000"/>
          </w:rPr>
          <w:t xml:space="preserve">actus</w:t>
        </w:r>
      </w:hyperlink>
      <w:r>
        <w:rPr>
          <w:b w:val="0"/>
          <w:i w:val="0"/>
        </w:rPr>
        <w:t xml:space="preserve">; </w:t>
      </w:r>
      <w:hyperlink w:anchor="latin-record-0628">
        <w:r>
          <w:rPr>
            <w:color w:val="000000"/>
          </w:rPr>
          <w:t xml:space="preserve">induere / exuere</w:t>
        </w:r>
      </w:hyperlink>
      <w:r>
        <w:rPr>
          <w:b w:val="0"/>
          <w:i w:val="0"/>
        </w:rPr>
        <w:t xml:space="preserve">; </w:t>
      </w:r>
      <w:hyperlink w:anchor="latin-record-0852">
        <w:r>
          <w:rPr>
            <w:color w:val="000000"/>
          </w:rPr>
          <w:t xml:space="preserve">obiectum</w:t>
        </w:r>
      </w:hyperlink>
      <w:r>
        <w:rPr>
          <w:b w:val="0"/>
          <w:i w:val="0"/>
        </w:rPr>
        <w:t xml:space="preserve">; </w:t>
      </w:r>
      <w:hyperlink w:anchor="latin-record-0861">
        <w:r>
          <w:rPr>
            <w:color w:val="000000"/>
          </w:rPr>
          <w:t xml:space="preserve">operatio / operari</w:t>
        </w:r>
      </w:hyperlink>
      <w:r>
        <w:rPr>
          <w:b w:val="0"/>
          <w:i w:val="0"/>
        </w:rPr>
        <w:t xml:space="preserve">; </w:t>
      </w:r>
      <w:hyperlink w:anchor="latin-record-1118">
        <w:r>
          <w:rPr>
            <w:color w:val="000000"/>
          </w:rPr>
          <w:t xml:space="preserve">respicere</w:t>
        </w:r>
      </w:hyperlink>
      <w:r>
        <w:rPr>
          <w:b w:val="0"/>
          <w:i w:val="0"/>
        </w:rPr>
        <w:t xml:space="preserve">; </w:t>
      </w:r>
      <w:hyperlink w:anchor="latin-record-1209">
        <w:r>
          <w:rPr>
            <w:color w:val="000000"/>
          </w:rPr>
          <w:t xml:space="preserve">species</w:t>
        </w:r>
      </w:hyperlink>
      <w:r>
        <w:rPr>
          <w:b w:val="0"/>
          <w:i w:val="0"/>
        </w:rPr>
        <w:t xml:space="preserve">; </w:t>
      </w:r>
      <w:hyperlink w:anchor="latin-record-1358">
        <w:r>
          <w:rPr>
            <w:color w:val="000000"/>
          </w:rPr>
          <w:t xml:space="preserve">virtus</w:t>
        </w:r>
      </w:hyperlink>
      <w:r>
        <w:rPr>
          <w:b w:val="0"/>
          <w:i w:val="0"/>
        </w:rPr>
        <w:t>.</w:t>
      </w:r>
    </w:p>
    <w:p>
      <w:pPr>
        <w:widowControl/>
      </w:pPr>
      <w:bookmarkStart w:id="1731" w:name="passage-v-13-13"/>
      <w:bookmarkEnd w:id="1731"/>
      <w:r>
        <w:rPr>
          <w:b/>
          <w:i w:val="0"/>
        </w:rPr>
        <w:t>V.13.13</w:t>
      </w:r>
      <w:r>
        <w:rPr>
          <w:b/>
          <w:i w:val="0"/>
        </w:rPr>
        <w:t>, source pp. 86–87.</w:t>
      </w:r>
      <w:r>
        <w:rPr>
          <w:b w:val="0"/>
          <w:i w:val="0"/>
        </w:rPr>
        <w:t xml:space="preserve"> Articles: </w:t>
      </w:r>
      <w:hyperlink w:anchor="creation-and-generation">
        <w:r>
          <w:rPr>
            <w:color w:val="000000"/>
          </w:rPr>
          <w:t xml:space="preserve">Creation and generation</w:t>
        </w:r>
      </w:hyperlink>
      <w:r>
        <w:rPr>
          <w:b w:val="0"/>
          <w:i w:val="0"/>
        </w:rPr>
        <w:t xml:space="preserve">; </w:t>
      </w:r>
      <w:hyperlink w:anchor="creature-power-and-operation">
        <w:r>
          <w:rPr>
            <w:color w:val="000000"/>
          </w:rPr>
          <w:t xml:space="preserve">Creature, power and operation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life-and-vivification">
        <w:r>
          <w:rPr>
            <w:color w:val="000000"/>
          </w:rPr>
          <w:t xml:space="preserve">Life and vivification</w:t>
        </w:r>
      </w:hyperlink>
      <w:r>
        <w:rPr>
          <w:b w:val="0"/>
          <w:i w:val="0"/>
        </w:rPr>
        <w:t xml:space="preserve">; </w:t>
      </w:r>
      <w:hyperlink w:anchor="reception-and-the-receiver">
        <w:r>
          <w:rPr>
            <w:color w:val="000000"/>
          </w:rPr>
          <w:t xml:space="preserve">Reception and the receiver</w:t>
        </w:r>
      </w:hyperlink>
      <w:r>
        <w:rPr>
          <w:b w:val="0"/>
          <w:i w:val="0"/>
        </w:rPr>
        <w:t xml:space="preserve">. Vocabulary: </w:t>
      </w:r>
      <w:hyperlink w:anchor="latin-record-0012">
        <w:r>
          <w:rPr>
            <w:color w:val="000000"/>
          </w:rPr>
          <w:t xml:space="preserve">accidens</w:t>
        </w:r>
      </w:hyperlink>
      <w:r>
        <w:rPr>
          <w:b w:val="0"/>
          <w:i w:val="0"/>
        </w:rPr>
        <w:t xml:space="preserve">; </w:t>
      </w:r>
      <w:hyperlink w:anchor="latin-record-0057">
        <w:r>
          <w:rPr>
            <w:color w:val="000000"/>
          </w:rPr>
          <w:t xml:space="preserve">agere / efficere</w:t>
        </w:r>
      </w:hyperlink>
      <w:r>
        <w:rPr>
          <w:b w:val="0"/>
          <w:i w:val="0"/>
        </w:rPr>
        <w:t xml:space="preserve">; </w:t>
      </w:r>
      <w:hyperlink w:anchor="latin-record-0346">
        <w:r>
          <w:rPr>
            <w:color w:val="000000"/>
          </w:rPr>
          <w:t xml:space="preserve">creare / creatio</w:t>
        </w:r>
      </w:hyperlink>
      <w:r>
        <w:rPr>
          <w:b w:val="0"/>
          <w:i w:val="0"/>
        </w:rPr>
        <w:t xml:space="preserve">; </w:t>
      </w:r>
      <w:hyperlink w:anchor="latin-record-0348">
        <w:r>
          <w:rPr>
            <w:color w:val="000000"/>
          </w:rPr>
          <w:t xml:space="preserve">creatura</w:t>
        </w:r>
      </w:hyperlink>
      <w:r>
        <w:rPr>
          <w:b w:val="0"/>
          <w:i w:val="0"/>
        </w:rPr>
        <w:t xml:space="preserve">; </w:t>
      </w:r>
      <w:hyperlink w:anchor="latin-record-0428">
        <w:r>
          <w:rPr>
            <w:color w:val="000000"/>
          </w:rPr>
          <w:t xml:space="preserve">egenus / egere / indigere</w:t>
        </w:r>
      </w:hyperlink>
      <w:r>
        <w:rPr>
          <w:b w:val="0"/>
          <w:i w:val="0"/>
        </w:rPr>
        <w:t xml:space="preserve">; </w:t>
      </w:r>
      <w:hyperlink w:anchor="latin-record-0556">
        <w:r>
          <w:rPr>
            <w:color w:val="000000"/>
          </w:rPr>
          <w:t xml:space="preserve">haerere / inhaerere</w:t>
        </w:r>
      </w:hyperlink>
      <w:r>
        <w:rPr>
          <w:b w:val="0"/>
          <w:i w:val="0"/>
        </w:rPr>
        <w:t xml:space="preserve">; </w:t>
      </w:r>
      <w:hyperlink w:anchor="latin-record-0633">
        <w:r>
          <w:rPr>
            <w:color w:val="000000"/>
          </w:rPr>
          <w:t xml:space="preserve">infinitus / immensus</w:t>
        </w:r>
      </w:hyperlink>
      <w:r>
        <w:rPr>
          <w:b w:val="0"/>
          <w:i w:val="0"/>
        </w:rPr>
        <w:t xml:space="preserve">; </w:t>
      </w:r>
      <w:hyperlink w:anchor="latin-record-0861">
        <w:r>
          <w:rPr>
            <w:color w:val="000000"/>
          </w:rPr>
          <w:t xml:space="preserve">operatio / operari</w:t>
        </w:r>
      </w:hyperlink>
      <w:r>
        <w:rPr>
          <w:b w:val="0"/>
          <w:i w:val="0"/>
        </w:rPr>
        <w:t xml:space="preserve">; </w:t>
      </w:r>
      <w:hyperlink w:anchor="latin-record-1239">
        <w:r>
          <w:rPr>
            <w:color w:val="000000"/>
          </w:rPr>
          <w:t xml:space="preserve">subiectum</w:t>
        </w:r>
      </w:hyperlink>
      <w:r>
        <w:rPr>
          <w:b w:val="0"/>
          <w:i w:val="0"/>
        </w:rPr>
        <w:t xml:space="preserve">; </w:t>
      </w:r>
      <w:hyperlink w:anchor="latin-record-1245">
        <w:r>
          <w:rPr>
            <w:color w:val="000000"/>
          </w:rPr>
          <w:t xml:space="preserve">substantia</w:t>
        </w:r>
      </w:hyperlink>
      <w:r>
        <w:rPr>
          <w:b w:val="0"/>
          <w:i w:val="0"/>
        </w:rPr>
        <w:t xml:space="preserve">; </w:t>
      </w:r>
      <w:hyperlink w:anchor="latin-record-1269">
        <w:r>
          <w:rPr>
            <w:color w:val="000000"/>
          </w:rPr>
          <w:t xml:space="preserve">suscipere / capere / accipere</w:t>
        </w:r>
      </w:hyperlink>
      <w:r>
        <w:rPr>
          <w:b w:val="0"/>
          <w:i w:val="0"/>
        </w:rPr>
        <w:t xml:space="preserve">; </w:t>
      </w:r>
      <w:hyperlink w:anchor="latin-record-1358">
        <w:r>
          <w:rPr>
            <w:color w:val="000000"/>
          </w:rPr>
          <w:t xml:space="preserve">virtus</w:t>
        </w:r>
      </w:hyperlink>
      <w:r>
        <w:rPr>
          <w:b w:val="0"/>
          <w:i w:val="0"/>
        </w:rPr>
        <w:t>.</w:t>
      </w:r>
    </w:p>
    <w:p>
      <w:pPr>
        <w:widowControl/>
      </w:pPr>
      <w:bookmarkStart w:id="1732" w:name="passage-v-13-14"/>
      <w:bookmarkEnd w:id="1732"/>
      <w:r>
        <w:rPr>
          <w:b/>
          <w:i w:val="0"/>
        </w:rPr>
        <w:t>V.13.14</w:t>
      </w:r>
      <w:r>
        <w:rPr>
          <w:b/>
          <w:i w:val="0"/>
        </w:rPr>
        <w:t>, source pp. 88–89.</w:t>
      </w:r>
      <w:r>
        <w:rPr>
          <w:b w:val="0"/>
          <w:i w:val="0"/>
        </w:rPr>
        <w:t xml:space="preserve"> Articles: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instrument-and-creative-mediation">
        <w:r>
          <w:rPr>
            <w:color w:val="000000"/>
          </w:rPr>
          <w:t xml:space="preserve">Instrument and creative mediation</w:t>
        </w:r>
      </w:hyperlink>
      <w:r>
        <w:rPr>
          <w:b w:val="0"/>
          <w:i w:val="0"/>
        </w:rPr>
        <w:t xml:space="preserve">. Vocabulary: </w:t>
      </w:r>
      <w:hyperlink w:anchor="latin-record-0088">
        <w:r>
          <w:rPr>
            <w:color w:val="000000"/>
          </w:rPr>
          <w:t xml:space="preserve">angelus</w:t>
        </w:r>
      </w:hyperlink>
      <w:r>
        <w:rPr>
          <w:b w:val="0"/>
          <w:i w:val="0"/>
        </w:rPr>
        <w:t xml:space="preserve">; </w:t>
      </w:r>
      <w:hyperlink w:anchor="latin-record-0346">
        <w:r>
          <w:rPr>
            <w:color w:val="000000"/>
          </w:rPr>
          <w:t xml:space="preserve">creare / creatio</w:t>
        </w:r>
      </w:hyperlink>
      <w:r>
        <w:rPr>
          <w:b w:val="0"/>
          <w:i w:val="0"/>
        </w:rPr>
        <w:t xml:space="preserve">; </w:t>
      </w:r>
      <w:hyperlink w:anchor="latin-record-0654">
        <w:r>
          <w:rPr>
            <w:color w:val="000000"/>
          </w:rPr>
          <w:t xml:space="preserve">instrumentum</w:t>
        </w:r>
      </w:hyperlink>
      <w:r>
        <w:rPr>
          <w:b w:val="0"/>
          <w:i w:val="0"/>
        </w:rPr>
        <w:t xml:space="preserve">; </w:t>
      </w:r>
      <w:hyperlink w:anchor="latin-record-0771">
        <w:r>
          <w:rPr>
            <w:color w:val="000000"/>
          </w:rPr>
          <w:t xml:space="preserve">medium</w:t>
        </w:r>
      </w:hyperlink>
      <w:r>
        <w:rPr>
          <w:b w:val="0"/>
          <w:i w:val="0"/>
        </w:rPr>
        <w:t xml:space="preserve">; </w:t>
      </w:r>
      <w:hyperlink w:anchor="latin-record-0992">
        <w:r>
          <w:rPr>
            <w:color w:val="000000"/>
          </w:rPr>
          <w:t xml:space="preserve">principalis / agens principale</w:t>
        </w:r>
      </w:hyperlink>
      <w:r>
        <w:rPr>
          <w:b w:val="0"/>
          <w:i w:val="0"/>
        </w:rPr>
        <w:t xml:space="preserve">; </w:t>
      </w:r>
      <w:hyperlink w:anchor="latin-record-0993">
        <w:r>
          <w:rPr>
            <w:color w:val="000000"/>
          </w:rPr>
          <w:t xml:space="preserve">principalis agens</w:t>
        </w:r>
      </w:hyperlink>
      <w:r>
        <w:rPr>
          <w:b w:val="0"/>
          <w:i w:val="0"/>
        </w:rPr>
        <w:t xml:space="preserve">; </w:t>
      </w:r>
      <w:hyperlink w:anchor="latin-record-1281">
        <w:r>
          <w:rPr>
            <w:color w:val="000000"/>
          </w:rPr>
          <w:t xml:space="preserve">temporis intervallum</w:t>
        </w:r>
      </w:hyperlink>
      <w:r>
        <w:rPr>
          <w:b w:val="0"/>
          <w:i w:val="0"/>
        </w:rPr>
        <w:t xml:space="preserve">; </w:t>
      </w:r>
      <w:hyperlink w:anchor="latin-record-1299">
        <w:r>
          <w:rPr>
            <w:color w:val="000000"/>
          </w:rPr>
          <w:t xml:space="preserve">traducere</w:t>
        </w:r>
      </w:hyperlink>
      <w:r>
        <w:rPr>
          <w:b w:val="0"/>
          <w:i w:val="0"/>
        </w:rPr>
        <w:t>.</w:t>
      </w:r>
    </w:p>
    <w:p>
      <w:pPr>
        <w:widowControl/>
      </w:pPr>
      <w:bookmarkStart w:id="1733" w:name="passage-v-13-15"/>
      <w:bookmarkEnd w:id="1733"/>
      <w:r>
        <w:rPr>
          <w:b/>
          <w:i w:val="0"/>
        </w:rPr>
        <w:t>V.13.15</w:t>
      </w:r>
      <w:r>
        <w:rPr>
          <w:b/>
          <w:i w:val="0"/>
        </w:rPr>
        <w:t>, source pp. 88–89.</w:t>
      </w:r>
      <w:r>
        <w:rPr>
          <w:b w:val="0"/>
          <w:i w:val="0"/>
        </w:rPr>
        <w:t xml:space="preserve"> Articles: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reception-and-the-receiver">
        <w:r>
          <w:rPr>
            <w:color w:val="000000"/>
          </w:rPr>
          <w:t xml:space="preserve">Reception and the receiver</w:t>
        </w:r>
      </w:hyperlink>
      <w:r>
        <w:rPr>
          <w:b w:val="0"/>
          <w:i w:val="0"/>
        </w:rPr>
        <w:t xml:space="preserve">. Vocabulary: </w:t>
      </w:r>
      <w:hyperlink w:anchor="latin-record-0009">
        <w:r>
          <w:rPr>
            <w:color w:val="000000"/>
          </w:rPr>
          <w:t xml:space="preserve">absurdus / repugnare</w:t>
        </w:r>
      </w:hyperlink>
      <w:r>
        <w:rPr>
          <w:b w:val="0"/>
          <w:i w:val="0"/>
        </w:rPr>
        <w:t xml:space="preserve">; </w:t>
      </w:r>
      <w:hyperlink w:anchor="latin-record-0346">
        <w:r>
          <w:rPr>
            <w:color w:val="000000"/>
          </w:rPr>
          <w:t xml:space="preserve">creare / creatio</w:t>
        </w:r>
      </w:hyperlink>
      <w:r>
        <w:rPr>
          <w:b w:val="0"/>
          <w:i w:val="0"/>
        </w:rPr>
        <w:t xml:space="preserve">; </w:t>
      </w:r>
      <w:hyperlink w:anchor="latin-record-0633">
        <w:r>
          <w:rPr>
            <w:color w:val="000000"/>
          </w:rPr>
          <w:t xml:space="preserve">infinitus / immensus</w:t>
        </w:r>
      </w:hyperlink>
      <w:r>
        <w:rPr>
          <w:b w:val="0"/>
          <w:i w:val="0"/>
        </w:rPr>
        <w:t>.</w:t>
      </w:r>
    </w:p>
    <w:p>
      <w:pPr>
        <w:widowControl/>
      </w:pPr>
      <w:bookmarkStart w:id="1734" w:name="passage-v-13-16"/>
      <w:bookmarkEnd w:id="1734"/>
      <w:r>
        <w:rPr>
          <w:b/>
          <w:i w:val="0"/>
        </w:rPr>
        <w:t>V.13.16</w:t>
      </w:r>
      <w:r>
        <w:rPr>
          <w:b/>
          <w:i w:val="0"/>
        </w:rPr>
        <w:t>, source pp. 88–89.</w:t>
      </w:r>
      <w:r>
        <w:rPr>
          <w:b w:val="0"/>
          <w:i w:val="0"/>
        </w:rPr>
        <w:t xml:space="preserve"> Articles: </w:t>
      </w:r>
      <w:hyperlink w:anchor="ariston-sculptor-and-painter">
        <w:r>
          <w:rPr>
            <w:color w:val="000000"/>
          </w:rPr>
          <w:t xml:space="preserve">Ariston, sculptor and painter</w:t>
        </w:r>
      </w:hyperlink>
      <w:r>
        <w:rPr>
          <w:b w:val="0"/>
          <w:i w:val="0"/>
        </w:rPr>
        <w:t xml:space="preserve">;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ideas-natural-ascent-and-rest">
        <w:r>
          <w:rPr>
            <w:color w:val="000000"/>
          </w:rPr>
          <w:t xml:space="preserve">Ideas, natural ascent and rest</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intelligible-principles-and-reasoning">
        <w:r>
          <w:rPr>
            <w:color w:val="000000"/>
          </w:rPr>
          <w:t xml:space="preserve">Intelligible principles and reasoning</w:t>
        </w:r>
      </w:hyperlink>
      <w:r>
        <w:rPr>
          <w:b w:val="0"/>
          <w:i w:val="0"/>
        </w:rPr>
        <w:t xml:space="preserve">; </w:t>
      </w:r>
      <w:hyperlink w:anchor="reception-and-the-receiver">
        <w:r>
          <w:rPr>
            <w:color w:val="000000"/>
          </w:rPr>
          <w:t xml:space="preserve">Reception and the receiver</w:t>
        </w:r>
      </w:hyperlink>
      <w:r>
        <w:rPr>
          <w:b w:val="0"/>
          <w:i w:val="0"/>
        </w:rPr>
        <w:t xml:space="preserve">. Vocabulary: </w:t>
      </w:r>
      <w:hyperlink w:anchor="latin-record-0088">
        <w:r>
          <w:rPr>
            <w:color w:val="000000"/>
          </w:rPr>
          <w:t xml:space="preserve">angelus</w:t>
        </w:r>
      </w:hyperlink>
      <w:r>
        <w:rPr>
          <w:b w:val="0"/>
          <w:i w:val="0"/>
        </w:rPr>
        <w:t xml:space="preserve">; </w:t>
      </w:r>
      <w:hyperlink w:anchor="latin-record-0439">
        <w:r>
          <w:rPr>
            <w:color w:val="000000"/>
          </w:rPr>
          <w:t xml:space="preserve">equus / homo</w:t>
        </w:r>
      </w:hyperlink>
      <w:r>
        <w:rPr>
          <w:b w:val="0"/>
          <w:i w:val="0"/>
        </w:rPr>
        <w:t xml:space="preserve">; </w:t>
      </w:r>
      <w:hyperlink w:anchor="latin-record-0457">
        <w:r>
          <w:rPr>
            <w:color w:val="000000"/>
          </w:rPr>
          <w:t xml:space="preserve">exemplar</w:t>
        </w:r>
      </w:hyperlink>
      <w:r>
        <w:rPr>
          <w:b w:val="0"/>
          <w:i w:val="0"/>
        </w:rPr>
        <w:t xml:space="preserve">; </w:t>
      </w:r>
      <w:hyperlink w:anchor="latin-record-0577">
        <w:r>
          <w:rPr>
            <w:color w:val="000000"/>
          </w:rPr>
          <w:t xml:space="preserve">idea</w:t>
        </w:r>
      </w:hyperlink>
      <w:r>
        <w:rPr>
          <w:b w:val="0"/>
          <w:i w:val="0"/>
        </w:rPr>
        <w:t xml:space="preserve">; </w:t>
      </w:r>
      <w:hyperlink w:anchor="latin-record-0949">
        <w:r>
          <w:rPr>
            <w:color w:val="000000"/>
          </w:rPr>
          <w:t xml:space="preserve">pictor / pictura</w:t>
        </w:r>
      </w:hyperlink>
      <w:r>
        <w:rPr>
          <w:b w:val="0"/>
          <w:i w:val="0"/>
        </w:rPr>
        <w:t xml:space="preserve">; </w:t>
      </w:r>
      <w:hyperlink w:anchor="latin-record-1023">
        <w:r>
          <w:rPr>
            <w:color w:val="000000"/>
          </w:rPr>
          <w:t xml:space="preserve">proxime</w:t>
        </w:r>
      </w:hyperlink>
      <w:r>
        <w:rPr>
          <w:b w:val="0"/>
          <w:i w:val="0"/>
        </w:rPr>
        <w:t xml:space="preserve">; </w:t>
      </w:r>
      <w:hyperlink w:anchor="latin-record-1189">
        <w:r>
          <w:rPr>
            <w:color w:val="000000"/>
          </w:rPr>
          <w:t xml:space="preserve">sine medio</w:t>
        </w:r>
      </w:hyperlink>
      <w:r>
        <w:rPr>
          <w:b w:val="0"/>
          <w:i w:val="0"/>
        </w:rPr>
        <w:t>.</w:t>
      </w:r>
    </w:p>
    <w:p>
      <w:pPr>
        <w:widowControl/>
      </w:pPr>
      <w:bookmarkStart w:id="1735" w:name="passage-v-13-17"/>
      <w:bookmarkEnd w:id="1735"/>
      <w:r>
        <w:rPr>
          <w:b/>
          <w:i w:val="0"/>
        </w:rPr>
        <w:t>V.13.17</w:t>
      </w:r>
      <w:r>
        <w:rPr>
          <w:b/>
          <w:i w:val="0"/>
        </w:rPr>
        <w:t>, source pp. 90–91.</w:t>
      </w:r>
      <w:r>
        <w:rPr>
          <w:b w:val="0"/>
          <w:i w:val="0"/>
        </w:rPr>
        <w:t xml:space="preserve"> Articles: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relation-and-continuing-dependence">
        <w:r>
          <w:rPr>
            <w:color w:val="000000"/>
          </w:rPr>
          <w:t xml:space="preserve">Relation and continuing dependence</w:t>
        </w:r>
      </w:hyperlink>
      <w:r>
        <w:rPr>
          <w:b w:val="0"/>
          <w:i w:val="0"/>
        </w:rPr>
        <w:t xml:space="preserve">. Vocabulary: </w:t>
      </w:r>
      <w:hyperlink w:anchor="latin-record-0166">
        <w:r>
          <w:rPr>
            <w:color w:val="000000"/>
          </w:rPr>
          <w:t xml:space="preserve">bonum / bonitas</w:t>
        </w:r>
      </w:hyperlink>
      <w:r>
        <w:rPr>
          <w:b w:val="0"/>
          <w:i w:val="0"/>
        </w:rPr>
        <w:t xml:space="preserve">; </w:t>
      </w:r>
      <w:hyperlink w:anchor="latin-record-0304">
        <w:r>
          <w:rPr>
            <w:color w:val="000000"/>
          </w:rPr>
          <w:t xml:space="preserve">conservare / servare</w:t>
        </w:r>
      </w:hyperlink>
      <w:r>
        <w:rPr>
          <w:b w:val="0"/>
          <w:i w:val="0"/>
        </w:rPr>
        <w:t xml:space="preserve">; </w:t>
      </w:r>
      <w:hyperlink w:anchor="latin-record-0346">
        <w:r>
          <w:rPr>
            <w:color w:val="000000"/>
          </w:rPr>
          <w:t xml:space="preserve">creare / creatio</w:t>
        </w:r>
      </w:hyperlink>
      <w:r>
        <w:rPr>
          <w:b w:val="0"/>
          <w:i w:val="0"/>
        </w:rPr>
        <w:t xml:space="preserve">; </w:t>
      </w:r>
      <w:hyperlink w:anchor="latin-record-0375">
        <w:r>
          <w:rPr>
            <w:color w:val="000000"/>
          </w:rPr>
          <w:t xml:space="preserve">Deus</w:t>
        </w:r>
      </w:hyperlink>
      <w:r>
        <w:rPr>
          <w:b w:val="0"/>
          <w:i w:val="0"/>
        </w:rPr>
        <w:t xml:space="preserve">; </w:t>
      </w:r>
      <w:hyperlink w:anchor="latin-record-0428">
        <w:r>
          <w:rPr>
            <w:color w:val="000000"/>
          </w:rPr>
          <w:t xml:space="preserve">egenus / egere / indigere</w:t>
        </w:r>
      </w:hyperlink>
      <w:r>
        <w:rPr>
          <w:b w:val="0"/>
          <w:i w:val="0"/>
        </w:rPr>
        <w:t xml:space="preserve">; </w:t>
      </w:r>
      <w:hyperlink w:anchor="latin-record-0552">
        <w:r>
          <w:rPr>
            <w:color w:val="000000"/>
          </w:rPr>
          <w:t xml:space="preserve">habere</w:t>
        </w:r>
      </w:hyperlink>
      <w:r>
        <w:rPr>
          <w:b w:val="0"/>
          <w:i w:val="0"/>
        </w:rPr>
        <w:t xml:space="preserve">; </w:t>
      </w:r>
      <w:hyperlink w:anchor="latin-record-0670">
        <w:r>
          <w:rPr>
            <w:color w:val="000000"/>
          </w:rPr>
          <w:t xml:space="preserve">intercidere / interponere</w:t>
        </w:r>
      </w:hyperlink>
      <w:r>
        <w:rPr>
          <w:b w:val="0"/>
          <w:i w:val="0"/>
        </w:rPr>
        <w:t xml:space="preserve">; </w:t>
      </w:r>
      <w:hyperlink w:anchor="latin-record-0771">
        <w:r>
          <w:rPr>
            <w:color w:val="000000"/>
          </w:rPr>
          <w:t xml:space="preserve">medium</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23">
        <w:r>
          <w:rPr>
            <w:color w:val="000000"/>
          </w:rPr>
          <w:t xml:space="preserve">proxime</w:t>
        </w:r>
      </w:hyperlink>
      <w:r>
        <w:rPr>
          <w:b w:val="0"/>
          <w:i w:val="0"/>
        </w:rPr>
        <w:t xml:space="preserve">; </w:t>
      </w:r>
      <w:hyperlink w:anchor="latin-record-1127">
        <w:r>
          <w:rPr>
            <w:color w:val="000000"/>
          </w:rPr>
          <w:t xml:space="preserve">saltem</w:t>
        </w:r>
      </w:hyperlink>
      <w:r>
        <w:rPr>
          <w:b w:val="0"/>
          <w:i w:val="0"/>
        </w:rPr>
        <w:t xml:space="preserve">; </w:t>
      </w:r>
      <w:hyperlink w:anchor="latin-record-1189">
        <w:r>
          <w:rPr>
            <w:color w:val="000000"/>
          </w:rPr>
          <w:t xml:space="preserve">sine medio</w:t>
        </w:r>
      </w:hyperlink>
      <w:r>
        <w:rPr>
          <w:b w:val="0"/>
          <w:i w:val="0"/>
        </w:rPr>
        <w:t>.</w:t>
      </w:r>
    </w:p>
    <w:p>
      <w:pPr>
        <w:widowControl/>
      </w:pPr>
      <w:bookmarkStart w:id="1736" w:name="passage-v-13-18"/>
      <w:bookmarkEnd w:id="1736"/>
      <w:r>
        <w:rPr>
          <w:b/>
          <w:i w:val="0"/>
        </w:rPr>
        <w:t>V.13.18</w:t>
      </w:r>
      <w:r>
        <w:rPr>
          <w:b/>
          <w:i w:val="0"/>
        </w:rPr>
        <w:t>, source pp. 92–93.</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ideas-natural-ascent-and-rest">
        <w:r>
          <w:rPr>
            <w:color w:val="000000"/>
          </w:rPr>
          <w:t xml:space="preserve">Ideas, natural ascent and rest</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rational-soul-and-irrational-life">
        <w:r>
          <w:rPr>
            <w:color w:val="000000"/>
          </w:rPr>
          <w:t xml:space="preserve">Rational soul and irrational life</w:t>
        </w:r>
      </w:hyperlink>
      <w:r>
        <w:rPr>
          <w:b w:val="0"/>
          <w:i w:val="0"/>
        </w:rPr>
        <w:t xml:space="preserve">. Vocabulary: </w:t>
      </w:r>
      <w:hyperlink w:anchor="latin-record-0095">
        <w:r>
          <w:rPr>
            <w:color w:val="000000"/>
          </w:rPr>
          <w:t xml:space="preserve">anima rationalis</w:t>
        </w:r>
      </w:hyperlink>
      <w:r>
        <w:rPr>
          <w:b w:val="0"/>
          <w:i w:val="0"/>
        </w:rPr>
        <w:t xml:space="preserve">; </w:t>
      </w:r>
      <w:hyperlink w:anchor="latin-record-0108">
        <w:r>
          <w:rPr>
            <w:color w:val="000000"/>
          </w:rPr>
          <w:t xml:space="preserve">apparere / videri / placere</w:t>
        </w:r>
      </w:hyperlink>
      <w:r>
        <w:rPr>
          <w:b w:val="0"/>
          <w:i w:val="0"/>
        </w:rPr>
        <w:t xml:space="preserve">; </w:t>
      </w:r>
      <w:hyperlink w:anchor="latin-record-0147">
        <w:r>
          <w:rPr>
            <w:color w:val="000000"/>
          </w:rPr>
          <w:t xml:space="preserve">auctor / conditor / opifex</w:t>
        </w:r>
      </w:hyperlink>
      <w:r>
        <w:rPr>
          <w:b w:val="0"/>
          <w:i w:val="0"/>
        </w:rPr>
        <w:t xml:space="preserve">; </w:t>
      </w:r>
      <w:hyperlink w:anchor="latin-record-0170">
        <w:r>
          <w:rPr>
            <w:color w:val="000000"/>
          </w:rPr>
          <w:t xml:space="preserve">caducus</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457">
        <w:r>
          <w:rPr>
            <w:color w:val="000000"/>
          </w:rPr>
          <w:t xml:space="preserve">exemplar</w:t>
        </w:r>
      </w:hyperlink>
      <w:r>
        <w:rPr>
          <w:b w:val="0"/>
          <w:i w:val="0"/>
        </w:rPr>
        <w:t xml:space="preserve">; </w:t>
      </w:r>
      <w:hyperlink w:anchor="latin-record-0577">
        <w:r>
          <w:rPr>
            <w:color w:val="000000"/>
          </w:rPr>
          <w:t xml:space="preserve">idea</w:t>
        </w:r>
      </w:hyperlink>
      <w:r>
        <w:rPr>
          <w:b w:val="0"/>
          <w:i w:val="0"/>
        </w:rPr>
        <w:t xml:space="preserve">; </w:t>
      </w:r>
      <w:hyperlink w:anchor="latin-record-0608">
        <w:r>
          <w:rPr>
            <w:color w:val="000000"/>
          </w:rPr>
          <w:t xml:space="preserve">imprimere</w:t>
        </w:r>
      </w:hyperlink>
      <w:r>
        <w:rPr>
          <w:b w:val="0"/>
          <w:i w:val="0"/>
        </w:rPr>
        <w:t xml:space="preserve">; </w:t>
      </w:r>
      <w:hyperlink w:anchor="latin-record-0656">
        <w:r>
          <w:rPr>
            <w:color w:val="000000"/>
          </w:rPr>
          <w:t xml:space="preserve">integra / perfecta</w:t>
        </w:r>
      </w:hyperlink>
      <w:r>
        <w:rPr>
          <w:b w:val="0"/>
          <w:i w:val="0"/>
        </w:rPr>
        <w:t xml:space="preserve">; </w:t>
      </w:r>
      <w:hyperlink w:anchor="latin-record-0833">
        <w:r>
          <w:rPr>
            <w:color w:val="000000"/>
          </w:rPr>
          <w:t xml:space="preserve">necesse / oportere</w:t>
        </w:r>
      </w:hyperlink>
      <w:r>
        <w:rPr>
          <w:b w:val="0"/>
          <w:i w:val="0"/>
        </w:rPr>
        <w:t xml:space="preserve">; </w:t>
      </w:r>
      <w:hyperlink w:anchor="latin-record-0880">
        <w:r>
          <w:rPr>
            <w:color w:val="000000"/>
          </w:rPr>
          <w:t xml:space="preserve">origo</w:t>
        </w:r>
      </w:hyperlink>
      <w:r>
        <w:rPr>
          <w:b w:val="0"/>
          <w:i w:val="0"/>
        </w:rPr>
        <w:t xml:space="preserve">; </w:t>
      </w:r>
      <w:hyperlink w:anchor="latin-record-1023">
        <w:r>
          <w:rPr>
            <w:color w:val="000000"/>
          </w:rPr>
          <w:t xml:space="preserve">proxime</w:t>
        </w:r>
      </w:hyperlink>
      <w:r>
        <w:rPr>
          <w:b w:val="0"/>
          <w:i w:val="0"/>
        </w:rPr>
        <w:t xml:space="preserve">; </w:t>
      </w:r>
      <w:hyperlink w:anchor="latin-record-1068">
        <w:r>
          <w:rPr>
            <w:color w:val="000000"/>
          </w:rPr>
          <w:t xml:space="preserve">ratio / definitio</w:t>
        </w:r>
      </w:hyperlink>
      <w:r>
        <w:rPr>
          <w:b w:val="0"/>
          <w:i w:val="0"/>
        </w:rPr>
        <w:t xml:space="preserve">; </w:t>
      </w:r>
      <w:hyperlink w:anchor="latin-record-1145">
        <w:r>
          <w:rPr>
            <w:color w:val="000000"/>
          </w:rPr>
          <w:t xml:space="preserve">secundum se</w:t>
        </w:r>
      </w:hyperlink>
      <w:r>
        <w:rPr>
          <w:b w:val="0"/>
          <w:i w:val="0"/>
        </w:rPr>
        <w:t xml:space="preserve">; </w:t>
      </w:r>
      <w:hyperlink w:anchor="latin-record-1155">
        <w:r>
          <w:rPr>
            <w:color w:val="000000"/>
          </w:rPr>
          <w:t xml:space="preserve">sempiternus</w:t>
        </w:r>
      </w:hyperlink>
      <w:r>
        <w:rPr>
          <w:b w:val="0"/>
          <w:i w:val="0"/>
        </w:rPr>
        <w:t xml:space="preserve">; </w:t>
      </w:r>
      <w:hyperlink w:anchor="latin-record-1220">
        <w:r>
          <w:rPr>
            <w:color w:val="000000"/>
          </w:rPr>
          <w:t xml:space="preserve">speculum sempiternum</w:t>
        </w:r>
      </w:hyperlink>
      <w:r>
        <w:rPr>
          <w:b w:val="0"/>
          <w:i w:val="0"/>
        </w:rPr>
        <w:t xml:space="preserve">; </w:t>
      </w:r>
      <w:hyperlink w:anchor="latin-record-1335">
        <w:r>
          <w:rPr>
            <w:color w:val="000000"/>
          </w:rPr>
          <w:t xml:space="preserve">vehiculum aethereum</w:t>
        </w:r>
      </w:hyperlink>
      <w:r>
        <w:rPr>
          <w:b w:val="0"/>
          <w:i w:val="0"/>
        </w:rPr>
        <w:t xml:space="preserve">; </w:t>
      </w:r>
      <w:hyperlink w:anchor="latin-record-1379">
        <w:r>
          <w:rPr>
            <w:color w:val="000000"/>
          </w:rPr>
          <w:t xml:space="preserve">vivere</w:t>
        </w:r>
      </w:hyperlink>
      <w:r>
        <w:rPr>
          <w:b w:val="0"/>
          <w:i w:val="0"/>
        </w:rPr>
        <w:t>.</w:t>
      </w:r>
    </w:p>
    <w:p>
      <w:pPr>
        <w:pStyle w:val="Heading2"/>
      </w:pPr>
      <w:bookmarkStart w:id="1737" w:name="chapter-v.14"/>
      <w:r>
        <w:rPr>
          <w:b w:val="0"/>
          <w:i w:val="0"/>
        </w:rPr>
        <w:t>Chapter V.14</w:t>
      </w:r>
      <w:bookmarkEnd w:id="1737"/>
    </w:p>
    <w:p>
      <w:pPr>
        <w:widowControl/>
      </w:pPr>
      <w:bookmarkStart w:id="1738" w:name="passage-v-14-1"/>
      <w:bookmarkEnd w:id="1738"/>
      <w:r>
        <w:rPr>
          <w:b/>
          <w:i w:val="0"/>
        </w:rPr>
        <w:t>V.14.1</w:t>
      </w:r>
      <w:r>
        <w:rPr>
          <w:b/>
          <w:i w:val="0"/>
        </w:rPr>
        <w:t>, source pp. 94–95.</w:t>
      </w:r>
      <w:r>
        <w:rPr>
          <w:b w:val="0"/>
          <w:i w:val="0"/>
        </w:rPr>
        <w:t xml:space="preserve"> Articles: </w:t>
      </w:r>
      <w:hyperlink w:anchor="life-and-vivification">
        <w:r>
          <w:rPr>
            <w:color w:val="000000"/>
          </w:rPr>
          <w:t xml:space="preserve">Life and vivification</w:t>
        </w:r>
      </w:hyperlink>
      <w:r>
        <w:rPr>
          <w:b w:val="0"/>
          <w:i w:val="0"/>
        </w:rPr>
        <w:t xml:space="preserve">; </w:t>
      </w:r>
      <w:hyperlink w:anchor="rational-soul-and-irrational-life">
        <w:r>
          <w:rPr>
            <w:color w:val="000000"/>
          </w:rPr>
          <w:t xml:space="preserve">Rational soul and irrational life</w:t>
        </w:r>
      </w:hyperlink>
      <w:r>
        <w:rPr>
          <w:b w:val="0"/>
          <w:i w:val="0"/>
        </w:rPr>
        <w:t xml:space="preserve">. Vocabulary: </w:t>
      </w:r>
      <w:hyperlink w:anchor="latin-record-0003">
        <w:r>
          <w:rPr>
            <w:color w:val="000000"/>
          </w:rPr>
          <w:t xml:space="preserve">abire / discedere</w:t>
        </w:r>
      </w:hyperlink>
      <w:r>
        <w:rPr>
          <w:b w:val="0"/>
          <w:i w:val="0"/>
        </w:rPr>
        <w:t xml:space="preserve">; </w:t>
      </w:r>
      <w:hyperlink w:anchor="latin-record-0101">
        <w:r>
          <w:rPr>
            <w:color w:val="000000"/>
          </w:rPr>
          <w:t xml:space="preserve">animatum</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979">
        <w:r>
          <w:rPr>
            <w:color w:val="000000"/>
          </w:rPr>
          <w:t xml:space="preserve">praesentia</w:t>
        </w:r>
      </w:hyperlink>
      <w:r>
        <w:rPr>
          <w:b w:val="0"/>
          <w:i w:val="0"/>
        </w:rPr>
        <w:t xml:space="preserve">; </w:t>
      </w:r>
      <w:hyperlink w:anchor="latin-record-1324">
        <w:r>
          <w:rPr>
            <w:color w:val="000000"/>
          </w:rPr>
          <w:t xml:space="preserve">universalis / totus</w:t>
        </w:r>
      </w:hyperlink>
      <w:r>
        <w:rPr>
          <w:b w:val="0"/>
          <w:i w:val="0"/>
        </w:rPr>
        <w:t xml:space="preserve">; </w:t>
      </w:r>
      <w:hyperlink w:anchor="latin-record-1373">
        <w:r>
          <w:rPr>
            <w:color w:val="000000"/>
          </w:rPr>
          <w:t xml:space="preserve">vita</w:t>
        </w:r>
      </w:hyperlink>
      <w:r>
        <w:rPr>
          <w:b w:val="0"/>
          <w:i w:val="0"/>
        </w:rPr>
        <w:t xml:space="preserve">; </w:t>
      </w:r>
      <w:hyperlink w:anchor="latin-record-1381">
        <w:r>
          <w:rPr>
            <w:color w:val="000000"/>
          </w:rPr>
          <w:t xml:space="preserve">vivificare / vivificatio</w:t>
        </w:r>
      </w:hyperlink>
      <w:r>
        <w:rPr>
          <w:b w:val="0"/>
          <w:i w:val="0"/>
        </w:rPr>
        <w:t>.</w:t>
      </w:r>
    </w:p>
    <w:p>
      <w:pPr>
        <w:widowControl/>
      </w:pPr>
      <w:bookmarkStart w:id="1739" w:name="passage-v-14-2"/>
      <w:bookmarkEnd w:id="1739"/>
      <w:r>
        <w:rPr>
          <w:b/>
          <w:i w:val="0"/>
        </w:rPr>
        <w:t>V.14.2</w:t>
      </w:r>
      <w:r>
        <w:rPr>
          <w:b/>
          <w:i w:val="0"/>
        </w:rPr>
        <w:t>, source pp. 94–95.</w:t>
      </w:r>
      <w:r>
        <w:rPr>
          <w:b w:val="0"/>
          <w:i w:val="0"/>
        </w:rPr>
        <w:t xml:space="preserve"> Articles: </w:t>
      </w:r>
      <w:hyperlink w:anchor="creature-power-and-operation">
        <w:r>
          <w:rPr>
            <w:color w:val="000000"/>
          </w:rPr>
          <w:t xml:space="preserve">Creature, power and operation</w:t>
        </w:r>
      </w:hyperlink>
      <w:r>
        <w:rPr>
          <w:b w:val="0"/>
          <w:i w:val="0"/>
        </w:rPr>
        <w:t xml:space="preserve">; </w:t>
      </w:r>
      <w:hyperlink w:anchor="life-and-vivification">
        <w:r>
          <w:rPr>
            <w:color w:val="000000"/>
          </w:rPr>
          <w:t xml:space="preserve">Life and vivification</w:t>
        </w:r>
      </w:hyperlink>
      <w:r>
        <w:rPr>
          <w:b w:val="0"/>
          <w:i w:val="0"/>
        </w:rPr>
        <w:t xml:space="preserve">; </w:t>
      </w:r>
      <w:hyperlink w:anchor="natural-striving-source-and-return">
        <w:r>
          <w:rPr>
            <w:color w:val="000000"/>
          </w:rPr>
          <w:t xml:space="preserve">Natural striving, source and return</w:t>
        </w:r>
      </w:hyperlink>
      <w:r>
        <w:rPr>
          <w:b w:val="0"/>
          <w:i w:val="0"/>
        </w:rPr>
        <w:t xml:space="preserve">. Vocabulary: </w:t>
      </w:r>
      <w:hyperlink w:anchor="latin-record-0070">
        <w:r>
          <w:rPr>
            <w:color w:val="000000"/>
          </w:rPr>
          <w:t xml:space="preserve">alimentum / alere</w:t>
        </w:r>
      </w:hyperlink>
      <w:r>
        <w:rPr>
          <w:b w:val="0"/>
          <w:i w:val="0"/>
        </w:rPr>
        <w:t xml:space="preserve">; </w:t>
      </w:r>
      <w:hyperlink w:anchor="latin-record-0296">
        <w:r>
          <w:rPr>
            <w:color w:val="000000"/>
          </w:rPr>
          <w:t xml:space="preserve">coniectura</w:t>
        </w:r>
      </w:hyperlink>
      <w:r>
        <w:rPr>
          <w:b w:val="0"/>
          <w:i w:val="0"/>
        </w:rPr>
        <w:t xml:space="preserve">; </w:t>
      </w:r>
      <w:hyperlink w:anchor="latin-record-0307">
        <w:r>
          <w:rPr>
            <w:color w:val="000000"/>
          </w:rPr>
          <w:t xml:space="preserve">consilium</w:t>
        </w:r>
      </w:hyperlink>
      <w:r>
        <w:rPr>
          <w:b w:val="0"/>
          <w:i w:val="0"/>
        </w:rPr>
        <w:t xml:space="preserve">; </w:t>
      </w:r>
      <w:hyperlink w:anchor="latin-record-0315">
        <w:r>
          <w:rPr>
            <w:color w:val="000000"/>
          </w:rPr>
          <w:t xml:space="preserve">consuetudo</w:t>
        </w:r>
      </w:hyperlink>
      <w:r>
        <w:rPr>
          <w:b w:val="0"/>
          <w:i w:val="0"/>
        </w:rPr>
        <w:t xml:space="preserve">; </w:t>
      </w:r>
      <w:hyperlink w:anchor="latin-record-1337">
        <w:r>
          <w:rPr>
            <w:color w:val="000000"/>
          </w:rPr>
          <w:t xml:space="preserve">velle / voluntas</w:t>
        </w:r>
      </w:hyperlink>
      <w:r>
        <w:rPr>
          <w:b w:val="0"/>
          <w:i w:val="0"/>
        </w:rPr>
        <w:t xml:space="preserve">; </w:t>
      </w:r>
      <w:hyperlink w:anchor="latin-record-1368">
        <w:r>
          <w:rPr>
            <w:color w:val="000000"/>
          </w:rPr>
          <w:t xml:space="preserve">viscera</w:t>
        </w:r>
      </w:hyperlink>
      <w:r>
        <w:rPr>
          <w:b w:val="0"/>
          <w:i w:val="0"/>
        </w:rPr>
        <w:t xml:space="preserve">; </w:t>
      </w:r>
      <w:hyperlink w:anchor="latin-record-1373">
        <w:r>
          <w:rPr>
            <w:color w:val="000000"/>
          </w:rPr>
          <w:t xml:space="preserve">vita</w:t>
        </w:r>
      </w:hyperlink>
      <w:r>
        <w:rPr>
          <w:b w:val="0"/>
          <w:i w:val="0"/>
        </w:rPr>
        <w:t xml:space="preserve">; </w:t>
      </w:r>
      <w:hyperlink w:anchor="latin-record-1381">
        <w:r>
          <w:rPr>
            <w:color w:val="000000"/>
          </w:rPr>
          <w:t xml:space="preserve">vivificare / vivificatio</w:t>
        </w:r>
      </w:hyperlink>
      <w:r>
        <w:rPr>
          <w:b w:val="0"/>
          <w:i w:val="0"/>
        </w:rPr>
        <w:t>.</w:t>
      </w:r>
    </w:p>
    <w:p>
      <w:pPr>
        <w:widowControl/>
      </w:pPr>
      <w:bookmarkStart w:id="1740" w:name="passage-v-14-3"/>
      <w:bookmarkEnd w:id="1740"/>
      <w:r>
        <w:rPr>
          <w:b/>
          <w:i w:val="0"/>
        </w:rPr>
        <w:t>V.14.3</w:t>
      </w:r>
      <w:r>
        <w:rPr>
          <w:b/>
          <w:i w:val="0"/>
        </w:rPr>
        <w:t>, source pp. 96–97.</w:t>
      </w:r>
      <w:r>
        <w:rPr>
          <w:b w:val="0"/>
          <w:i w:val="0"/>
        </w:rPr>
        <w:t xml:space="preserve"> Articles: </w:t>
      </w:r>
      <w:hyperlink w:anchor="contraries-death-and-imperishability">
        <w:r>
          <w:rPr>
            <w:color w:val="000000"/>
          </w:rPr>
          <w:t xml:space="preserve">Contraries, death and imperishability</w:t>
        </w:r>
      </w:hyperlink>
      <w:r>
        <w:rPr>
          <w:b w:val="0"/>
          <w:i w:val="0"/>
        </w:rPr>
        <w:t xml:space="preserve">; </w:t>
      </w:r>
      <w:hyperlink w:anchor="life-and-vivification">
        <w:r>
          <w:rPr>
            <w:color w:val="000000"/>
          </w:rPr>
          <w:t xml:space="preserve">Life and vivification</w:t>
        </w:r>
      </w:hyperlink>
      <w:r>
        <w:rPr>
          <w:b w:val="0"/>
          <w:i w:val="0"/>
        </w:rPr>
        <w:t xml:space="preserve">; </w:t>
      </w:r>
      <w:hyperlink w:anchor="zoroaster-and-the-mistress-of-life">
        <w:r>
          <w:rPr>
            <w:color w:val="000000"/>
          </w:rPr>
          <w:t xml:space="preserve">Zoroaster and the mistress of life</w:t>
        </w:r>
      </w:hyperlink>
      <w:r>
        <w:rPr>
          <w:b w:val="0"/>
          <w:i w:val="0"/>
        </w:rPr>
        <w:t xml:space="preserve">. Vocabulary: </w:t>
      </w:r>
      <w:hyperlink w:anchor="latin-record-0181">
        <w:r>
          <w:rPr>
            <w:color w:val="000000"/>
          </w:rPr>
          <w:t xml:space="preserve">calor / caliditas</w:t>
        </w:r>
      </w:hyperlink>
      <w:r>
        <w:rPr>
          <w:b w:val="0"/>
          <w:i w:val="0"/>
        </w:rPr>
        <w:t xml:space="preserve">; </w:t>
      </w:r>
      <w:hyperlink w:anchor="latin-record-0552">
        <w:r>
          <w:rPr>
            <w:color w:val="000000"/>
          </w:rPr>
          <w:t xml:space="preserve">habere</w:t>
        </w:r>
      </w:hyperlink>
      <w:r>
        <w:rPr>
          <w:b w:val="0"/>
          <w:i w:val="0"/>
        </w:rPr>
        <w:t xml:space="preserve">; </w:t>
      </w:r>
      <w:hyperlink w:anchor="latin-record-0800">
        <w:r>
          <w:rPr>
            <w:color w:val="000000"/>
          </w:rPr>
          <w:t xml:space="preserve">mors</w:t>
        </w:r>
      </w:hyperlink>
      <w:r>
        <w:rPr>
          <w:b w:val="0"/>
          <w:i w:val="0"/>
        </w:rPr>
        <w:t xml:space="preserve">; </w:t>
      </w:r>
      <w:hyperlink w:anchor="latin-record-0802">
        <w:r>
          <w:rPr>
            <w:color w:val="000000"/>
          </w:rPr>
          <w:t xml:space="preserve">mortifer</w:t>
        </w:r>
      </w:hyperlink>
      <w:r>
        <w:rPr>
          <w:b w:val="0"/>
          <w:i w:val="0"/>
        </w:rPr>
        <w:t xml:space="preserve">; </w:t>
      </w:r>
      <w:hyperlink w:anchor="latin-record-1055">
        <w:r>
          <w:rPr>
            <w:color w:val="000000"/>
          </w:rPr>
          <w:t xml:space="preserve">quodammodo</w:t>
        </w:r>
      </w:hyperlink>
      <w:r>
        <w:rPr>
          <w:b w:val="0"/>
          <w:i w:val="0"/>
        </w:rPr>
        <w:t xml:space="preserve">; </w:t>
      </w:r>
      <w:hyperlink w:anchor="latin-record-1171">
        <w:r>
          <w:rPr>
            <w:color w:val="000000"/>
          </w:rPr>
          <w:t xml:space="preserve">siccitas</w:t>
        </w:r>
      </w:hyperlink>
      <w:r>
        <w:rPr>
          <w:b w:val="0"/>
          <w:i w:val="0"/>
        </w:rPr>
        <w:t xml:space="preserve">; </w:t>
      </w:r>
      <w:hyperlink w:anchor="latin-record-1379">
        <w:r>
          <w:rPr>
            <w:color w:val="000000"/>
          </w:rPr>
          <w:t xml:space="preserve">vivere</w:t>
        </w:r>
      </w:hyperlink>
      <w:r>
        <w:rPr>
          <w:b w:val="0"/>
          <w:i w:val="0"/>
        </w:rPr>
        <w:t>.</w:t>
      </w:r>
    </w:p>
    <w:p>
      <w:pPr>
        <w:widowControl/>
      </w:pPr>
      <w:bookmarkStart w:id="1741" w:name="passage-v-14-4"/>
      <w:bookmarkEnd w:id="1741"/>
      <w:r>
        <w:rPr>
          <w:b/>
          <w:i w:val="0"/>
        </w:rPr>
        <w:t>V.14.4</w:t>
      </w:r>
      <w:r>
        <w:rPr>
          <w:b/>
          <w:i w:val="0"/>
        </w:rPr>
        <w:t>, source pp. 96–97.</w:t>
      </w:r>
      <w:r>
        <w:rPr>
          <w:b w:val="0"/>
          <w:i w:val="0"/>
        </w:rPr>
        <w:t xml:space="preserve"> Articles: </w:t>
      </w:r>
      <w:hyperlink w:anchor="contraries-death-and-imperishability">
        <w:r>
          <w:rPr>
            <w:color w:val="000000"/>
          </w:rPr>
          <w:t xml:space="preserve">Contraries, death and imperishability</w:t>
        </w:r>
      </w:hyperlink>
      <w:r>
        <w:rPr>
          <w:b w:val="0"/>
          <w:i w:val="0"/>
        </w:rPr>
        <w:t xml:space="preserve">. Vocabulary: </w:t>
      </w:r>
      <w:hyperlink w:anchor="latin-record-0524">
        <w:r>
          <w:rPr>
            <w:color w:val="000000"/>
          </w:rPr>
          <w:t xml:space="preserve">frigiditas / frigus</w:t>
        </w:r>
      </w:hyperlink>
      <w:r>
        <w:rPr>
          <w:b w:val="0"/>
          <w:i w:val="0"/>
        </w:rPr>
        <w:t xml:space="preserve">; </w:t>
      </w:r>
      <w:hyperlink w:anchor="latin-record-0583">
        <w:r>
          <w:rPr>
            <w:color w:val="000000"/>
          </w:rPr>
          <w:t xml:space="preserve">ignis</w:t>
        </w:r>
      </w:hyperlink>
      <w:r>
        <w:rPr>
          <w:b w:val="0"/>
          <w:i w:val="0"/>
        </w:rPr>
        <w:t>.</w:t>
      </w:r>
    </w:p>
    <w:p>
      <w:pPr>
        <w:widowControl/>
      </w:pPr>
      <w:bookmarkStart w:id="1742" w:name="passage-v-14-5"/>
      <w:bookmarkEnd w:id="1742"/>
      <w:r>
        <w:rPr>
          <w:b/>
          <w:i w:val="0"/>
        </w:rPr>
        <w:t>V.14.5</w:t>
      </w:r>
      <w:r>
        <w:rPr>
          <w:b/>
          <w:i w:val="0"/>
        </w:rPr>
        <w:t>, source pp. 96–97.</w:t>
      </w:r>
      <w:r>
        <w:rPr>
          <w:b w:val="0"/>
          <w:i w:val="0"/>
        </w:rPr>
        <w:t xml:space="preserve"> Articles: </w:t>
      </w:r>
      <w:hyperlink w:anchor="contraries-death-and-imperishability">
        <w:r>
          <w:rPr>
            <w:color w:val="000000"/>
          </w:rPr>
          <w:t xml:space="preserve">Contraries, death and imperishability</w:t>
        </w:r>
      </w:hyperlink>
      <w:r>
        <w:rPr>
          <w:b w:val="0"/>
          <w:i w:val="0"/>
        </w:rPr>
        <w:t xml:space="preserve">; </w:t>
      </w:r>
      <w:hyperlink w:anchor="life-and-vivification">
        <w:r>
          <w:rPr>
            <w:color w:val="000000"/>
          </w:rPr>
          <w:t xml:space="preserve">Life and vivification</w:t>
        </w:r>
      </w:hyperlink>
      <w:r>
        <w:rPr>
          <w:b w:val="0"/>
          <w:i w:val="0"/>
        </w:rPr>
        <w:t xml:space="preserve">; </w:t>
      </w:r>
      <w:hyperlink w:anchor="zoroaster-and-the-mistress-of-life">
        <w:r>
          <w:rPr>
            <w:color w:val="000000"/>
          </w:rPr>
          <w:t xml:space="preserve">Zoroaster and the mistress of life</w:t>
        </w:r>
      </w:hyperlink>
      <w:r>
        <w:rPr>
          <w:b w:val="0"/>
          <w:i w:val="0"/>
        </w:rPr>
        <w:t xml:space="preserve">. Vocabulary: </w:t>
      </w:r>
      <w:hyperlink w:anchor="latin-record-0552">
        <w:r>
          <w:rPr>
            <w:color w:val="000000"/>
          </w:rPr>
          <w:t xml:space="preserve">habere</w:t>
        </w:r>
      </w:hyperlink>
      <w:r>
        <w:rPr>
          <w:b w:val="0"/>
          <w:i w:val="0"/>
        </w:rPr>
        <w:t xml:space="preserve">; </w:t>
      </w:r>
      <w:hyperlink w:anchor="latin-record-0583">
        <w:r>
          <w:rPr>
            <w:color w:val="000000"/>
          </w:rPr>
          <w:t xml:space="preserve">ignis</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03">
        <w:r>
          <w:rPr>
            <w:color w:val="000000"/>
          </w:rPr>
          <w:t xml:space="preserve">imperdibilis</w:t>
        </w:r>
      </w:hyperlink>
      <w:r>
        <w:rPr>
          <w:b w:val="0"/>
          <w:i w:val="0"/>
        </w:rPr>
        <w:t xml:space="preserve">; </w:t>
      </w:r>
      <w:hyperlink w:anchor="latin-record-0639">
        <w:r>
          <w:rPr>
            <w:color w:val="000000"/>
          </w:rPr>
          <w:t xml:space="preserve">infrigescibilis</w:t>
        </w:r>
      </w:hyperlink>
      <w:r>
        <w:rPr>
          <w:b w:val="0"/>
          <w:i w:val="0"/>
        </w:rPr>
        <w:t xml:space="preserve">; </w:t>
      </w:r>
      <w:hyperlink w:anchor="latin-record-0911">
        <w:r>
          <w:rPr>
            <w:color w:val="000000"/>
          </w:rPr>
          <w:t xml:space="preserve">pedisequa</w:t>
        </w:r>
      </w:hyperlink>
      <w:r>
        <w:rPr>
          <w:b w:val="0"/>
          <w:i w:val="0"/>
        </w:rPr>
        <w:t>.</w:t>
      </w:r>
    </w:p>
    <w:p>
      <w:pPr>
        <w:widowControl/>
      </w:pPr>
      <w:bookmarkStart w:id="1743" w:name="passage-v-14-6"/>
      <w:bookmarkEnd w:id="1743"/>
      <w:r>
        <w:rPr>
          <w:b/>
          <w:i w:val="0"/>
        </w:rPr>
        <w:t>V.14.6</w:t>
      </w:r>
      <w:r>
        <w:rPr>
          <w:b/>
          <w:i w:val="0"/>
        </w:rPr>
        <w:t>, source pp. 96–97.</w:t>
      </w:r>
      <w:r>
        <w:rPr>
          <w:b w:val="0"/>
          <w:i w:val="0"/>
        </w:rPr>
        <w:t xml:space="preserve"> Articles: </w:t>
      </w:r>
      <w:hyperlink w:anchor="comets-and-defining-accounts">
        <w:r>
          <w:rPr>
            <w:color w:val="000000"/>
          </w:rPr>
          <w:t xml:space="preserve">Comets and defining accounts</w:t>
        </w:r>
      </w:hyperlink>
      <w:r>
        <w:rPr>
          <w:b w:val="0"/>
          <w:i w:val="0"/>
        </w:rPr>
        <w:t xml:space="preserve">; </w:t>
      </w:r>
      <w:hyperlink w:anchor="life-and-vivification">
        <w:r>
          <w:rPr>
            <w:color w:val="000000"/>
          </w:rPr>
          <w:t xml:space="preserve">Life and vivification</w:t>
        </w:r>
      </w:hyperlink>
      <w:r>
        <w:rPr>
          <w:b w:val="0"/>
          <w:i w:val="0"/>
        </w:rPr>
        <w:t xml:space="preserve">; </w:t>
      </w:r>
      <w:hyperlink w:anchor="zoroaster-and-the-mistress-of-life">
        <w:r>
          <w:rPr>
            <w:color w:val="000000"/>
          </w:rPr>
          <w:t xml:space="preserve">Zoroaster and the mistress of life</w:t>
        </w:r>
      </w:hyperlink>
      <w:r>
        <w:rPr>
          <w:b w:val="0"/>
          <w:i w:val="0"/>
        </w:rPr>
        <w:t xml:space="preserve">. Vocabulary: </w:t>
      </w:r>
      <w:hyperlink w:anchor="latin-record-0003">
        <w:r>
          <w:rPr>
            <w:color w:val="000000"/>
          </w:rPr>
          <w:t xml:space="preserve">abire / discedere</w:t>
        </w:r>
      </w:hyperlink>
      <w:r>
        <w:rPr>
          <w:b w:val="0"/>
          <w:i w:val="0"/>
        </w:rPr>
        <w:t xml:space="preserve">; </w:t>
      </w:r>
      <w:hyperlink w:anchor="latin-record-0240">
        <w:r>
          <w:rPr>
            <w:color w:val="000000"/>
          </w:rPr>
          <w:t xml:space="preserve">coma</w:t>
        </w:r>
      </w:hyperlink>
      <w:r>
        <w:rPr>
          <w:b w:val="0"/>
          <w:i w:val="0"/>
        </w:rPr>
        <w:t xml:space="preserve">; </w:t>
      </w:r>
      <w:hyperlink w:anchor="latin-record-0350">
        <w:r>
          <w:rPr>
            <w:color w:val="000000"/>
          </w:rPr>
          <w:t xml:space="preserve">crinita</w:t>
        </w:r>
      </w:hyperlink>
      <w:r>
        <w:rPr>
          <w:b w:val="0"/>
          <w:i w:val="0"/>
        </w:rPr>
        <w:t xml:space="preserve">; </w:t>
      </w:r>
      <w:hyperlink w:anchor="latin-record-0411">
        <w:r>
          <w:rPr>
            <w:color w:val="000000"/>
          </w:rPr>
          <w:t xml:space="preserve">domina / dominari</w:t>
        </w:r>
      </w:hyperlink>
      <w:r>
        <w:rPr>
          <w:b w:val="0"/>
          <w:i w:val="0"/>
        </w:rPr>
        <w:t xml:space="preserve">; </w:t>
      </w:r>
      <w:hyperlink w:anchor="latin-record-0800">
        <w:r>
          <w:rPr>
            <w:color w:val="000000"/>
          </w:rPr>
          <w:t xml:space="preserve">mors</w:t>
        </w:r>
      </w:hyperlink>
      <w:r>
        <w:rPr>
          <w:b w:val="0"/>
          <w:i w:val="0"/>
        </w:rPr>
        <w:t xml:space="preserve">; </w:t>
      </w:r>
      <w:hyperlink w:anchor="latin-record-0911">
        <w:r>
          <w:rPr>
            <w:color w:val="000000"/>
          </w:rPr>
          <w:t xml:space="preserve">pedisequa</w:t>
        </w:r>
      </w:hyperlink>
      <w:r>
        <w:rPr>
          <w:b w:val="0"/>
          <w:i w:val="0"/>
        </w:rPr>
        <w:t xml:space="preserve">; </w:t>
      </w:r>
      <w:hyperlink w:anchor="latin-record-1195">
        <w:r>
          <w:rPr>
            <w:color w:val="000000"/>
          </w:rPr>
          <w:t xml:space="preserve">sol</w:t>
        </w:r>
      </w:hyperlink>
      <w:r>
        <w:rPr>
          <w:b w:val="0"/>
          <w:i w:val="0"/>
        </w:rPr>
        <w:t xml:space="preserve">; </w:t>
      </w:r>
      <w:hyperlink w:anchor="latin-record-1396">
        <w:r>
          <w:rPr>
            <w:color w:val="000000"/>
          </w:rPr>
          <w:t xml:space="preserve">Zoroaster</w:t>
        </w:r>
      </w:hyperlink>
      <w:r>
        <w:rPr>
          <w:b w:val="0"/>
          <w:i w:val="0"/>
        </w:rPr>
        <w:t xml:space="preserve">; </w:t>
      </w:r>
      <w:hyperlink w:anchor="greek-record-01">
        <w:r>
          <w:rPr>
            <w:color w:val="000000"/>
          </w:rPr>
          <w:t xml:space="preserve">Immortal and mistress of life</w:t>
        </w:r>
      </w:hyperlink>
      <w:r>
        <w:rPr>
          <w:b w:val="0"/>
          <w:i w:val="0"/>
        </w:rPr>
        <w:t>.</w:t>
      </w:r>
    </w:p>
    <w:p>
      <w:pPr>
        <w:widowControl/>
      </w:pPr>
      <w:bookmarkStart w:id="1744" w:name="passage-v-14-7"/>
      <w:bookmarkEnd w:id="1744"/>
      <w:r>
        <w:rPr>
          <w:b/>
          <w:i w:val="0"/>
        </w:rPr>
        <w:t>V.14.7</w:t>
      </w:r>
      <w:r>
        <w:rPr>
          <w:b/>
          <w:i w:val="0"/>
        </w:rPr>
        <w:t>, source pp. 98–99.</w:t>
      </w:r>
      <w:r>
        <w:rPr>
          <w:b w:val="0"/>
          <w:i w:val="0"/>
        </w:rPr>
        <w:t xml:space="preserve"> Articles: </w:t>
      </w:r>
      <w:hyperlink w:anchor="contraries-death-and-imperishability">
        <w:r>
          <w:rPr>
            <w:color w:val="000000"/>
          </w:rPr>
          <w:t xml:space="preserve">Contraries, death and imperishability</w:t>
        </w:r>
      </w:hyperlink>
      <w:r>
        <w:rPr>
          <w:b w:val="0"/>
          <w:i w:val="0"/>
        </w:rPr>
        <w:t xml:space="preserve">; </w:t>
      </w:r>
      <w:hyperlink w:anchor="zoroaster-and-the-mistress-of-life">
        <w:r>
          <w:rPr>
            <w:color w:val="000000"/>
          </w:rPr>
          <w:t xml:space="preserve">Zoroaster and the mistress of life</w:t>
        </w:r>
      </w:hyperlink>
      <w:r>
        <w:rPr>
          <w:b w:val="0"/>
          <w:i w:val="0"/>
        </w:rPr>
        <w:t xml:space="preserve">. Vocabulary: </w:t>
      </w:r>
      <w:hyperlink w:anchor="latin-record-0461">
        <w:r>
          <w:rPr>
            <w:color w:val="000000"/>
          </w:rPr>
          <w:t xml:space="preserve">expellere / depellere</w:t>
        </w:r>
      </w:hyperlink>
      <w:r>
        <w:rPr>
          <w:b w:val="0"/>
          <w:i w:val="0"/>
        </w:rPr>
        <w:t xml:space="preserve">; </w:t>
      </w:r>
      <w:hyperlink w:anchor="latin-record-0517">
        <w:r>
          <w:rPr>
            <w:color w:val="000000"/>
          </w:rPr>
          <w:t xml:space="preserve">fovere</w:t>
        </w:r>
      </w:hyperlink>
      <w:r>
        <w:rPr>
          <w:b w:val="0"/>
          <w:i w:val="0"/>
        </w:rPr>
        <w:t xml:space="preserve">; </w:t>
      </w:r>
      <w:hyperlink w:anchor="latin-record-0529">
        <w:r>
          <w:rPr>
            <w:color w:val="000000"/>
          </w:rPr>
          <w:t xml:space="preserve">fugare / fugere</w:t>
        </w:r>
      </w:hyperlink>
      <w:r>
        <w:rPr>
          <w:b w:val="0"/>
          <w:i w:val="0"/>
        </w:rPr>
        <w:t xml:space="preserve">; </w:t>
      </w:r>
      <w:hyperlink w:anchor="latin-record-0603">
        <w:r>
          <w:rPr>
            <w:color w:val="000000"/>
          </w:rPr>
          <w:t xml:space="preserve">imperdibilis</w:t>
        </w:r>
      </w:hyperlink>
      <w:r>
        <w:rPr>
          <w:b w:val="0"/>
          <w:i w:val="0"/>
        </w:rPr>
        <w:t xml:space="preserve">; </w:t>
      </w:r>
      <w:hyperlink w:anchor="latin-record-0771">
        <w:r>
          <w:rPr>
            <w:color w:val="000000"/>
          </w:rPr>
          <w:t xml:space="preserve">medium</w:t>
        </w:r>
      </w:hyperlink>
      <w:r>
        <w:rPr>
          <w:b w:val="0"/>
          <w:i w:val="0"/>
        </w:rPr>
        <w:t xml:space="preserve">; </w:t>
      </w:r>
      <w:hyperlink w:anchor="latin-record-0800">
        <w:r>
          <w:rPr>
            <w:color w:val="000000"/>
          </w:rPr>
          <w:t xml:space="preserve">mors</w:t>
        </w:r>
      </w:hyperlink>
      <w:r>
        <w:rPr>
          <w:b w:val="0"/>
          <w:i w:val="0"/>
        </w:rPr>
        <w:t xml:space="preserve">; </w:t>
      </w:r>
      <w:hyperlink w:anchor="latin-record-0802">
        <w:r>
          <w:rPr>
            <w:color w:val="000000"/>
          </w:rPr>
          <w:t xml:space="preserve">mortifer</w:t>
        </w:r>
      </w:hyperlink>
      <w:r>
        <w:rPr>
          <w:b w:val="0"/>
          <w:i w:val="0"/>
        </w:rPr>
        <w:t xml:space="preserve">; </w:t>
      </w:r>
      <w:hyperlink w:anchor="latin-record-1004">
        <w:r>
          <w:rPr>
            <w:color w:val="000000"/>
          </w:rPr>
          <w:t xml:space="preserve">producere / gignere / generare</w:t>
        </w:r>
      </w:hyperlink>
      <w:r>
        <w:rPr>
          <w:b w:val="0"/>
          <w:i w:val="0"/>
        </w:rPr>
        <w:t xml:space="preserve">; </w:t>
      </w:r>
      <w:hyperlink w:anchor="latin-record-1191">
        <w:r>
          <w:rPr>
            <w:color w:val="000000"/>
          </w:rPr>
          <w:t xml:space="preserve">sinus / gremium</w:t>
        </w:r>
      </w:hyperlink>
      <w:r>
        <w:rPr>
          <w:b w:val="0"/>
          <w:i w:val="0"/>
        </w:rPr>
        <w:t xml:space="preserve">; </w:t>
      </w:r>
      <w:hyperlink w:anchor="latin-record-1238">
        <w:r>
          <w:rPr>
            <w:color w:val="000000"/>
          </w:rPr>
          <w:t xml:space="preserve">Strato / Epicureus</w:t>
        </w:r>
      </w:hyperlink>
      <w:r>
        <w:rPr>
          <w:b w:val="0"/>
          <w:i w:val="0"/>
        </w:rPr>
        <w:t xml:space="preserve">; </w:t>
      </w:r>
      <w:hyperlink w:anchor="latin-record-1379">
        <w:r>
          <w:rPr>
            <w:color w:val="000000"/>
          </w:rPr>
          <w:t xml:space="preserve">vivere</w:t>
        </w:r>
      </w:hyperlink>
      <w:r>
        <w:rPr>
          <w:b w:val="0"/>
          <w:i w:val="0"/>
        </w:rPr>
        <w:t>.</w:t>
      </w:r>
    </w:p>
    <w:p>
      <w:pPr>
        <w:widowControl/>
      </w:pPr>
      <w:bookmarkStart w:id="1745" w:name="passage-v-14-8"/>
      <w:bookmarkEnd w:id="1745"/>
      <w:r>
        <w:rPr>
          <w:b/>
          <w:i w:val="0"/>
        </w:rPr>
        <w:t>V.14.8</w:t>
      </w:r>
      <w:r>
        <w:rPr>
          <w:b/>
          <w:i w:val="0"/>
        </w:rPr>
        <w:t>, source pp. 100–101.</w:t>
      </w:r>
      <w:r>
        <w:rPr>
          <w:b w:val="0"/>
          <w:i w:val="0"/>
        </w:rPr>
        <w:t xml:space="preserve"> Articles: </w:t>
      </w:r>
      <w:hyperlink w:anchor="contraries-death-and-imperishability">
        <w:r>
          <w:rPr>
            <w:color w:val="000000"/>
          </w:rPr>
          <w:t xml:space="preserve">Contraries, death and imperishability</w:t>
        </w:r>
      </w:hyperlink>
      <w:r>
        <w:rPr>
          <w:b w:val="0"/>
          <w:i w:val="0"/>
        </w:rPr>
        <w:t xml:space="preserve">; </w:t>
      </w:r>
      <w:hyperlink w:anchor="fountains-drawing-and-infusion">
        <w:r>
          <w:rPr>
            <w:color w:val="000000"/>
          </w:rPr>
          <w:t xml:space="preserve">Fountains, drawing and infusion</w:t>
        </w:r>
      </w:hyperlink>
      <w:r>
        <w:rPr>
          <w:b w:val="0"/>
          <w:i w:val="0"/>
        </w:rPr>
        <w:t xml:space="preserve">; </w:t>
      </w:r>
      <w:hyperlink w:anchor="image-shadow-and-ranked-truth">
        <w:r>
          <w:rPr>
            <w:color w:val="000000"/>
          </w:rPr>
          <w:t xml:space="preserve">Image, shadow and ranked truth</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rational-soul-and-irrational-life">
        <w:r>
          <w:rPr>
            <w:color w:val="000000"/>
          </w:rPr>
          <w:t xml:space="preserve">Rational soul and irrational life</w:t>
        </w:r>
      </w:hyperlink>
      <w:r>
        <w:rPr>
          <w:b w:val="0"/>
          <w:i w:val="0"/>
        </w:rPr>
        <w:t xml:space="preserve">. Vocabulary: </w:t>
      </w:r>
      <w:hyperlink w:anchor="latin-record-0108">
        <w:r>
          <w:rPr>
            <w:color w:val="000000"/>
          </w:rPr>
          <w:t xml:space="preserve">apparere / videri / placere</w:t>
        </w:r>
      </w:hyperlink>
      <w:r>
        <w:rPr>
          <w:b w:val="0"/>
          <w:i w:val="0"/>
        </w:rPr>
        <w:t xml:space="preserve">; </w:t>
      </w:r>
      <w:hyperlink w:anchor="latin-record-0196">
        <w:r>
          <w:rPr>
            <w:color w:val="000000"/>
          </w:rPr>
          <w:t xml:space="preserve">carere / privari</w:t>
        </w:r>
      </w:hyperlink>
      <w:r>
        <w:rPr>
          <w:b w:val="0"/>
          <w:i w:val="0"/>
        </w:rPr>
        <w:t xml:space="preserve">; </w:t>
      </w:r>
      <w:hyperlink w:anchor="latin-record-0552">
        <w:r>
          <w:rPr>
            <w:color w:val="000000"/>
          </w:rPr>
          <w:t xml:space="preserve">habere</w:t>
        </w:r>
      </w:hyperlink>
      <w:r>
        <w:rPr>
          <w:b w:val="0"/>
          <w:i w:val="0"/>
        </w:rPr>
        <w:t xml:space="preserve">; </w:t>
      </w:r>
      <w:hyperlink w:anchor="latin-record-0646">
        <w:r>
          <w:rPr>
            <w:color w:val="000000"/>
          </w:rPr>
          <w:t xml:space="preserve">inquinare</w:t>
        </w:r>
      </w:hyperlink>
      <w:r>
        <w:rPr>
          <w:b w:val="0"/>
          <w:i w:val="0"/>
        </w:rPr>
        <w:t xml:space="preserve">; </w:t>
      </w:r>
      <w:hyperlink w:anchor="latin-record-0654">
        <w:r>
          <w:rPr>
            <w:color w:val="000000"/>
          </w:rPr>
          <w:t xml:space="preserve">instrumentum</w:t>
        </w:r>
      </w:hyperlink>
      <w:r>
        <w:rPr>
          <w:b w:val="0"/>
          <w:i w:val="0"/>
        </w:rPr>
        <w:t xml:space="preserve">; </w:t>
      </w:r>
      <w:hyperlink w:anchor="latin-record-0689">
        <w:r>
          <w:rPr>
            <w:color w:val="000000"/>
          </w:rPr>
          <w:t xml:space="preserve">irrationalis vita</w:t>
        </w:r>
      </w:hyperlink>
      <w:r>
        <w:rPr>
          <w:b w:val="0"/>
          <w:i w:val="0"/>
        </w:rPr>
        <w:t xml:space="preserve">; </w:t>
      </w:r>
      <w:hyperlink w:anchor="latin-record-0712">
        <w:r>
          <w:rPr>
            <w:color w:val="000000"/>
          </w:rPr>
          <w:t xml:space="preserve">liber / libere / libertas</w:t>
        </w:r>
      </w:hyperlink>
      <w:r>
        <w:rPr>
          <w:b w:val="0"/>
          <w:i w:val="0"/>
        </w:rPr>
        <w:t xml:space="preserve">; </w:t>
      </w:r>
      <w:hyperlink w:anchor="latin-record-0957">
        <w:r>
          <w:rPr>
            <w:color w:val="000000"/>
          </w:rPr>
          <w:t xml:space="preserve">Plotinus / Proculus</w:t>
        </w:r>
      </w:hyperlink>
      <w:r>
        <w:rPr>
          <w:b w:val="0"/>
          <w:i w:val="0"/>
        </w:rPr>
        <w:t xml:space="preserve">; </w:t>
      </w:r>
      <w:hyperlink w:anchor="latin-record-0960">
        <w:r>
          <w:rPr>
            <w:color w:val="000000"/>
          </w:rPr>
          <w:t xml:space="preserve">Porphyrius</w:t>
        </w:r>
      </w:hyperlink>
      <w:r>
        <w:rPr>
          <w:b w:val="0"/>
          <w:i w:val="0"/>
        </w:rPr>
        <w:t xml:space="preserve">; </w:t>
      </w:r>
      <w:hyperlink w:anchor="latin-record-1153">
        <w:r>
          <w:rPr>
            <w:color w:val="000000"/>
          </w:rPr>
          <w:t xml:space="preserve">semet ipsum deserere</w:t>
        </w:r>
      </w:hyperlink>
      <w:r>
        <w:rPr>
          <w:b w:val="0"/>
          <w:i w:val="0"/>
        </w:rPr>
        <w:t xml:space="preserve">; </w:t>
      </w:r>
      <w:hyperlink w:anchor="latin-record-1160">
        <w:r>
          <w:rPr>
            <w:color w:val="000000"/>
          </w:rPr>
          <w:t xml:space="preserve">sentire / sensus</w:t>
        </w:r>
      </w:hyperlink>
      <w:r>
        <w:rPr>
          <w:b w:val="0"/>
          <w:i w:val="0"/>
        </w:rPr>
        <w:t xml:space="preserve">; </w:t>
      </w:r>
      <w:hyperlink w:anchor="latin-record-1191">
        <w:r>
          <w:rPr>
            <w:color w:val="000000"/>
          </w:rPr>
          <w:t xml:space="preserve">sinus / gremium</w:t>
        </w:r>
      </w:hyperlink>
      <w:r>
        <w:rPr>
          <w:b w:val="0"/>
          <w:i w:val="0"/>
        </w:rPr>
        <w:t xml:space="preserve">; </w:t>
      </w:r>
      <w:hyperlink w:anchor="latin-record-1237">
        <w:r>
          <w:rPr>
            <w:color w:val="000000"/>
          </w:rPr>
          <w:t xml:space="preserve">status</w:t>
        </w:r>
      </w:hyperlink>
      <w:r>
        <w:rPr>
          <w:b w:val="0"/>
          <w:i w:val="0"/>
        </w:rPr>
        <w:t xml:space="preserve">; </w:t>
      </w:r>
      <w:hyperlink w:anchor="latin-record-1314">
        <w:r>
          <w:rPr>
            <w:color w:val="000000"/>
          </w:rPr>
          <w:t xml:space="preserve">umbra</w:t>
        </w:r>
      </w:hyperlink>
      <w:r>
        <w:rPr>
          <w:b w:val="0"/>
          <w:i w:val="0"/>
        </w:rPr>
        <w:t xml:space="preserve">; </w:t>
      </w:r>
      <w:hyperlink w:anchor="latin-record-1343">
        <w:r>
          <w:rPr>
            <w:color w:val="000000"/>
          </w:rPr>
          <w:t xml:space="preserve">verus / falsus</w:t>
        </w:r>
      </w:hyperlink>
      <w:r>
        <w:rPr>
          <w:b w:val="0"/>
          <w:i w:val="0"/>
        </w:rPr>
        <w:t xml:space="preserve">; </w:t>
      </w:r>
      <w:hyperlink w:anchor="latin-record-1379">
        <w:r>
          <w:rPr>
            <w:color w:val="000000"/>
          </w:rPr>
          <w:t xml:space="preserve">vivere</w:t>
        </w:r>
      </w:hyperlink>
      <w:r>
        <w:rPr>
          <w:b w:val="0"/>
          <w:i w:val="0"/>
        </w:rPr>
        <w:t xml:space="preserve">; </w:t>
      </w:r>
      <w:hyperlink w:anchor="latin-record-1381">
        <w:r>
          <w:rPr>
            <w:color w:val="000000"/>
          </w:rPr>
          <w:t xml:space="preserve">vivificare / vivificatio</w:t>
        </w:r>
      </w:hyperlink>
      <w:r>
        <w:rPr>
          <w:b w:val="0"/>
          <w:i w:val="0"/>
        </w:rPr>
        <w:t xml:space="preserve">; </w:t>
      </w:r>
      <w:hyperlink w:anchor="latin-record-1392">
        <w:r>
          <w:rPr>
            <w:color w:val="000000"/>
          </w:rPr>
          <w:t xml:space="preserve">Xenocrates / Speusippus / Numenius</w:t>
        </w:r>
      </w:hyperlink>
      <w:r>
        <w:rPr>
          <w:b w:val="0"/>
          <w:i w:val="0"/>
        </w:rPr>
        <w:t>.</w:t>
      </w:r>
    </w:p>
    <w:p>
      <w:pPr>
        <w:widowControl/>
      </w:pPr>
      <w:bookmarkStart w:id="1746" w:name="passage-v-14-9"/>
      <w:bookmarkEnd w:id="1746"/>
      <w:r>
        <w:rPr>
          <w:b/>
          <w:i w:val="0"/>
        </w:rPr>
        <w:t>V.14.9</w:t>
      </w:r>
      <w:r>
        <w:rPr>
          <w:b/>
          <w:i w:val="0"/>
        </w:rPr>
        <w:t>, source pp. 102–103.</w:t>
      </w:r>
      <w:r>
        <w:rPr>
          <w:b w:val="0"/>
          <w:i w:val="0"/>
        </w:rPr>
        <w:t xml:space="preserve"> Articles: </w:t>
      </w:r>
      <w:hyperlink w:anchor="image-shadow-and-ranked-truth">
        <w:r>
          <w:rPr>
            <w:color w:val="000000"/>
          </w:rPr>
          <w:t xml:space="preserve">Image, shadow and ranked truth</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rational-soul-and-irrational-life">
        <w:r>
          <w:rPr>
            <w:color w:val="000000"/>
          </w:rPr>
          <w:t xml:space="preserve">Rational soul and irrational life</w:t>
        </w:r>
      </w:hyperlink>
      <w:r>
        <w:rPr>
          <w:b w:val="0"/>
          <w:i w:val="0"/>
        </w:rPr>
        <w:t xml:space="preserve">. Vocabulary: </w:t>
      </w:r>
      <w:hyperlink w:anchor="latin-record-0038">
        <w:r>
          <w:rPr>
            <w:color w:val="000000"/>
          </w:rPr>
          <w:t xml:space="preserve">Aegyptii / Pythagorei</w:t>
        </w:r>
      </w:hyperlink>
      <w:r>
        <w:rPr>
          <w:b w:val="0"/>
          <w:i w:val="0"/>
        </w:rPr>
        <w:t xml:space="preserve">; </w:t>
      </w:r>
      <w:hyperlink w:anchor="latin-record-0108">
        <w:r>
          <w:rPr>
            <w:color w:val="000000"/>
          </w:rPr>
          <w:t xml:space="preserve">apparere / videri / placere</w:t>
        </w:r>
      </w:hyperlink>
      <w:r>
        <w:rPr>
          <w:b w:val="0"/>
          <w:i w:val="0"/>
        </w:rPr>
        <w:t xml:space="preserve">; </w:t>
      </w:r>
      <w:hyperlink w:anchor="latin-record-0166">
        <w:r>
          <w:rPr>
            <w:color w:val="000000"/>
          </w:rPr>
          <w:t xml:space="preserve">bonum / bonitas</w:t>
        </w:r>
      </w:hyperlink>
      <w:r>
        <w:rPr>
          <w:b w:val="0"/>
          <w:i w:val="0"/>
        </w:rPr>
        <w:t xml:space="preserve">; </w:t>
      </w:r>
      <w:hyperlink w:anchor="latin-record-0363">
        <w:r>
          <w:rPr>
            <w:color w:val="000000"/>
          </w:rPr>
          <w:t xml:space="preserve">delabi / prolabi</w:t>
        </w:r>
      </w:hyperlink>
      <w:r>
        <w:rPr>
          <w:b w:val="0"/>
          <w:i w:val="0"/>
        </w:rPr>
        <w:t xml:space="preserve">; </w:t>
      </w:r>
      <w:hyperlink w:anchor="latin-record-0436">
        <w:r>
          <w:rPr>
            <w:color w:val="000000"/>
          </w:rPr>
          <w:t xml:space="preserve">Empedocles / Timaeus Locrus</w:t>
        </w:r>
      </w:hyperlink>
      <w:r>
        <w:rPr>
          <w:b w:val="0"/>
          <w:i w:val="0"/>
        </w:rPr>
        <w:t xml:space="preserve">; </w:t>
      </w:r>
      <w:hyperlink w:anchor="latin-record-0592">
        <w:r>
          <w:rPr>
            <w:color w:val="000000"/>
          </w:rPr>
          <w:t xml:space="preserve">imago</w:t>
        </w:r>
      </w:hyperlink>
      <w:r>
        <w:rPr>
          <w:b w:val="0"/>
          <w:i w:val="0"/>
        </w:rPr>
        <w:t xml:space="preserve">; </w:t>
      </w:r>
      <w:hyperlink w:anchor="latin-record-0688">
        <w:r>
          <w:rPr>
            <w:color w:val="000000"/>
          </w:rPr>
          <w:t xml:space="preserve">ipsi viderint</w:t>
        </w:r>
      </w:hyperlink>
      <w:r>
        <w:rPr>
          <w:b w:val="0"/>
          <w:i w:val="0"/>
        </w:rPr>
        <w:t xml:space="preserve">; </w:t>
      </w:r>
      <w:hyperlink w:anchor="latin-record-1042">
        <w:r>
          <w:rPr>
            <w:color w:val="000000"/>
          </w:rPr>
          <w:t xml:space="preserve">qualitas</w:t>
        </w:r>
      </w:hyperlink>
      <w:r>
        <w:rPr>
          <w:b w:val="0"/>
          <w:i w:val="0"/>
        </w:rPr>
        <w:t xml:space="preserve">; </w:t>
      </w:r>
      <w:hyperlink w:anchor="latin-record-1155">
        <w:r>
          <w:rPr>
            <w:color w:val="000000"/>
          </w:rPr>
          <w:t xml:space="preserve">sempiternus</w:t>
        </w:r>
      </w:hyperlink>
      <w:r>
        <w:rPr>
          <w:b w:val="0"/>
          <w:i w:val="0"/>
        </w:rPr>
        <w:t xml:space="preserve">; </w:t>
      </w:r>
      <w:hyperlink w:anchor="latin-record-1343">
        <w:r>
          <w:rPr>
            <w:color w:val="000000"/>
          </w:rPr>
          <w:t xml:space="preserve">verus / falsus</w:t>
        </w:r>
      </w:hyperlink>
      <w:r>
        <w:rPr>
          <w:b w:val="0"/>
          <w:i w:val="0"/>
        </w:rPr>
        <w:t>.</w:t>
      </w:r>
    </w:p>
    <w:p>
      <w:pPr>
        <w:pStyle w:val="Heading2"/>
      </w:pPr>
      <w:bookmarkStart w:id="1747" w:name="chapter-v.15"/>
      <w:r>
        <w:rPr>
          <w:b w:val="0"/>
          <w:i w:val="0"/>
        </w:rPr>
        <w:t>Chapter V.15</w:t>
      </w:r>
      <w:bookmarkEnd w:id="1747"/>
    </w:p>
    <w:p>
      <w:pPr>
        <w:widowControl/>
      </w:pPr>
      <w:bookmarkStart w:id="1748" w:name="passage-v-15-1"/>
      <w:bookmarkEnd w:id="1748"/>
      <w:r>
        <w:rPr>
          <w:b/>
          <w:i w:val="0"/>
        </w:rPr>
        <w:t>V.15.1</w:t>
      </w:r>
      <w:r>
        <w:rPr>
          <w:b/>
          <w:i w:val="0"/>
        </w:rPr>
        <w:t>, source pp. 104–105.</w:t>
      </w:r>
      <w:r>
        <w:rPr>
          <w:b w:val="0"/>
          <w:i w:val="0"/>
        </w:rPr>
        <w:t xml:space="preserve"> Articles: </w:t>
      </w:r>
      <w:hyperlink w:anchor="soul-as-universal-bond">
        <w:r>
          <w:rPr>
            <w:color w:val="000000"/>
          </w:rPr>
          <w:t xml:space="preserve">Soul as universal bond</w:t>
        </w:r>
      </w:hyperlink>
      <w:r>
        <w:rPr>
          <w:b w:val="0"/>
          <w:i w:val="0"/>
        </w:rPr>
        <w:t xml:space="preserve">. Vocabulary: </w:t>
      </w:r>
      <w:hyperlink w:anchor="latin-record-0338">
        <w:r>
          <w:rPr>
            <w:color w:val="000000"/>
          </w:rPr>
          <w:t xml:space="preserve">corpus / corporalis</w:t>
        </w:r>
      </w:hyperlink>
      <w:r>
        <w:rPr>
          <w:b w:val="0"/>
          <w:i w:val="0"/>
        </w:rPr>
        <w:t xml:space="preserve">; </w:t>
      </w:r>
      <w:hyperlink w:anchor="latin-record-0891">
        <w:r>
          <w:rPr>
            <w:color w:val="000000"/>
          </w:rPr>
          <w:t xml:space="preserve">pars / particula</w:t>
        </w:r>
      </w:hyperlink>
      <w:r>
        <w:rPr>
          <w:b w:val="0"/>
          <w:i w:val="0"/>
        </w:rPr>
        <w:t>.</w:t>
      </w:r>
    </w:p>
    <w:p>
      <w:pPr>
        <w:widowControl/>
      </w:pPr>
      <w:bookmarkStart w:id="1749" w:name="passage-v-15-2"/>
      <w:bookmarkEnd w:id="1749"/>
      <w:r>
        <w:rPr>
          <w:b/>
          <w:i w:val="0"/>
        </w:rPr>
        <w:t>V.15.2</w:t>
      </w:r>
      <w:r>
        <w:rPr>
          <w:b/>
          <w:i w:val="0"/>
        </w:rPr>
        <w:t>, source pp. 104–105.</w:t>
      </w:r>
      <w:r>
        <w:rPr>
          <w:b w:val="0"/>
          <w:i w:val="0"/>
        </w:rPr>
        <w:t xml:space="preserve"> Articles: </w:t>
      </w:r>
      <w:hyperlink w:anchor="image-shadow-and-ranked-truth">
        <w:r>
          <w:rPr>
            <w:color w:val="000000"/>
          </w:rPr>
          <w:t xml:space="preserve">Image, shadow and ranked truth</w:t>
        </w:r>
      </w:hyperlink>
      <w:r>
        <w:rPr>
          <w:b w:val="0"/>
          <w:i w:val="0"/>
        </w:rPr>
        <w:t xml:space="preserve">; </w:t>
      </w:r>
      <w:hyperlink w:anchor="soul-as-universal-bond">
        <w:r>
          <w:rPr>
            <w:color w:val="000000"/>
          </w:rPr>
          <w:t xml:space="preserve">Soul as universal bond</w:t>
        </w:r>
      </w:hyperlink>
      <w:r>
        <w:rPr>
          <w:b w:val="0"/>
          <w:i w:val="0"/>
        </w:rPr>
        <w:t xml:space="preserve">. Vocabulary: </w:t>
      </w:r>
      <w:hyperlink w:anchor="latin-record-0234">
        <w:r>
          <w:rPr>
            <w:color w:val="000000"/>
          </w:rPr>
          <w:t xml:space="preserve">colligere / conciliare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414">
        <w:r>
          <w:rPr>
            <w:color w:val="000000"/>
          </w:rPr>
          <w:t xml:space="preserve">dos</w:t>
        </w:r>
      </w:hyperlink>
      <w:r>
        <w:rPr>
          <w:b w:val="0"/>
          <w:i w:val="0"/>
        </w:rPr>
        <w:t xml:space="preserve">; </w:t>
      </w:r>
      <w:hyperlink w:anchor="latin-record-0739">
        <w:r>
          <w:rPr>
            <w:color w:val="000000"/>
          </w:rPr>
          <w:t xml:space="preserve">machina</w:t>
        </w:r>
      </w:hyperlink>
      <w:r>
        <w:rPr>
          <w:b w:val="0"/>
          <w:i w:val="0"/>
        </w:rPr>
        <w:t xml:space="preserve">; </w:t>
      </w:r>
      <w:hyperlink w:anchor="latin-record-1147">
        <w:r>
          <w:rPr>
            <w:color w:val="000000"/>
          </w:rPr>
          <w:t xml:space="preserve">sedes</w:t>
        </w:r>
      </w:hyperlink>
      <w:r>
        <w:rPr>
          <w:b w:val="0"/>
          <w:i w:val="0"/>
        </w:rPr>
        <w:t>.</w:t>
      </w:r>
    </w:p>
    <w:p>
      <w:pPr>
        <w:widowControl/>
      </w:pPr>
      <w:bookmarkStart w:id="1750" w:name="passage-v-15-3"/>
      <w:bookmarkEnd w:id="1750"/>
      <w:r>
        <w:rPr>
          <w:b/>
          <w:i w:val="0"/>
        </w:rPr>
        <w:t>V.15.3</w:t>
      </w:r>
      <w:r>
        <w:rPr>
          <w:b/>
          <w:i w:val="0"/>
        </w:rPr>
        <w:t>, source pp. 104–105.</w:t>
      </w:r>
      <w:r>
        <w:rPr>
          <w:b w:val="0"/>
          <w:i w:val="0"/>
        </w:rPr>
        <w:t xml:space="preserve"> Articles: </w:t>
      </w:r>
      <w:hyperlink w:anchor="fountains-drawing-and-infusion">
        <w:r>
          <w:rPr>
            <w:color w:val="000000"/>
          </w:rPr>
          <w:t xml:space="preserve">Fountains, drawing and infusion</w:t>
        </w:r>
      </w:hyperlink>
      <w:r>
        <w:rPr>
          <w:b w:val="0"/>
          <w:i w:val="0"/>
        </w:rPr>
        <w:t xml:space="preserve">; </w:t>
      </w:r>
      <w:hyperlink w:anchor="image-shadow-and-ranked-truth">
        <w:r>
          <w:rPr>
            <w:color w:val="000000"/>
          </w:rPr>
          <w:t xml:space="preserve">Image, shadow and ranked truth</w:t>
        </w:r>
      </w:hyperlink>
      <w:r>
        <w:rPr>
          <w:b w:val="0"/>
          <w:i w:val="0"/>
        </w:rPr>
        <w:t xml:space="preserve">; </w:t>
      </w:r>
      <w:hyperlink w:anchor="soul-as-universal-bond">
        <w:r>
          <w:rPr>
            <w:color w:val="000000"/>
          </w:rPr>
          <w:t xml:space="preserve">Soul as universal bond</w:t>
        </w:r>
      </w:hyperlink>
      <w:r>
        <w:rPr>
          <w:b w:val="0"/>
          <w:i w:val="0"/>
        </w:rPr>
        <w:t xml:space="preserve">. Vocabulary: </w:t>
      </w:r>
      <w:hyperlink w:anchor="latin-record-0414">
        <w:r>
          <w:rPr>
            <w:color w:val="000000"/>
          </w:rPr>
          <w:t xml:space="preserve">dos</w:t>
        </w:r>
      </w:hyperlink>
      <w:r>
        <w:rPr>
          <w:b w:val="0"/>
          <w:i w:val="0"/>
        </w:rPr>
        <w:t xml:space="preserve">; </w:t>
      </w:r>
      <w:hyperlink w:anchor="latin-record-0427">
        <w:r>
          <w:rPr>
            <w:color w:val="000000"/>
          </w:rPr>
          <w:t xml:space="preserve">effundere</w:t>
        </w:r>
      </w:hyperlink>
      <w:r>
        <w:rPr>
          <w:b w:val="0"/>
          <w:i w:val="0"/>
        </w:rPr>
        <w:t xml:space="preserve">; </w:t>
      </w:r>
      <w:hyperlink w:anchor="latin-record-1155">
        <w:r>
          <w:rPr>
            <w:color w:val="000000"/>
          </w:rPr>
          <w:t xml:space="preserve">sempiternus</w:t>
        </w:r>
      </w:hyperlink>
      <w:r>
        <w:rPr>
          <w:b w:val="0"/>
          <w:i w:val="0"/>
        </w:rPr>
        <w:t xml:space="preserve">; </w:t>
      </w:r>
      <w:hyperlink w:anchor="latin-record-1231">
        <w:r>
          <w:rPr>
            <w:color w:val="000000"/>
          </w:rPr>
          <w:t xml:space="preserve">splendor / reflexio</w:t>
        </w:r>
      </w:hyperlink>
      <w:r>
        <w:rPr>
          <w:b w:val="0"/>
          <w:i w:val="0"/>
        </w:rPr>
        <w:t xml:space="preserve">; </w:t>
      </w:r>
      <w:hyperlink w:anchor="latin-record-1262">
        <w:r>
          <w:rPr>
            <w:color w:val="000000"/>
          </w:rPr>
          <w:t xml:space="preserve">superare / praestare</w:t>
        </w:r>
      </w:hyperlink>
      <w:r>
        <w:rPr>
          <w:b w:val="0"/>
          <w:i w:val="0"/>
        </w:rPr>
        <w:t xml:space="preserve">; </w:t>
      </w:r>
      <w:hyperlink w:anchor="latin-record-1314">
        <w:r>
          <w:rPr>
            <w:color w:val="000000"/>
          </w:rPr>
          <w:t xml:space="preserve">umbra</w:t>
        </w:r>
      </w:hyperlink>
      <w:r>
        <w:rPr>
          <w:b w:val="0"/>
          <w:i w:val="0"/>
        </w:rPr>
        <w:t>.</w:t>
      </w:r>
    </w:p>
    <w:p>
      <w:pPr>
        <w:widowControl/>
      </w:pPr>
      <w:bookmarkStart w:id="1751" w:name="passage-v-15-4"/>
      <w:bookmarkEnd w:id="1751"/>
      <w:r>
        <w:rPr>
          <w:b/>
          <w:i w:val="0"/>
        </w:rPr>
        <w:t>V.15.4</w:t>
      </w:r>
      <w:r>
        <w:rPr>
          <w:b/>
          <w:i w:val="0"/>
        </w:rPr>
        <w:t>, source pp. 106–107.</w:t>
      </w:r>
      <w:r>
        <w:rPr>
          <w:b w:val="0"/>
          <w:i w:val="0"/>
        </w:rPr>
        <w:t xml:space="preserve"> Articles: </w:t>
      </w:r>
      <w:hyperlink w:anchor="fountains-drawing-and-infusion">
        <w:r>
          <w:rPr>
            <w:color w:val="000000"/>
          </w:rPr>
          <w:t xml:space="preserve">Fountains, drawing and infusion</w:t>
        </w:r>
      </w:hyperlink>
      <w:r>
        <w:rPr>
          <w:b w:val="0"/>
          <w:i w:val="0"/>
        </w:rPr>
        <w:t xml:space="preserve">; </w:t>
      </w:r>
      <w:hyperlink w:anchor="image-shadow-and-ranked-truth">
        <w:r>
          <w:rPr>
            <w:color w:val="000000"/>
          </w:rPr>
          <w:t xml:space="preserve">Image, shadow and ranked truth</w:t>
        </w:r>
      </w:hyperlink>
      <w:r>
        <w:rPr>
          <w:b w:val="0"/>
          <w:i w:val="0"/>
        </w:rPr>
        <w:t xml:space="preserve">; </w:t>
      </w:r>
      <w:hyperlink w:anchor="soul-as-universal-bond">
        <w:r>
          <w:rPr>
            <w:color w:val="000000"/>
          </w:rPr>
          <w:t xml:space="preserve">Soul as universal bond</w:t>
        </w:r>
      </w:hyperlink>
      <w:r>
        <w:rPr>
          <w:b w:val="0"/>
          <w:i w:val="0"/>
        </w:rPr>
        <w:t xml:space="preserve">. Vocabulary: </w:t>
      </w:r>
      <w:hyperlink w:anchor="latin-record-0193">
        <w:r>
          <w:rPr>
            <w:color w:val="000000"/>
          </w:rPr>
          <w:t xml:space="preserve">caput / membrum</w:t>
        </w:r>
      </w:hyperlink>
      <w:r>
        <w:rPr>
          <w:b w:val="0"/>
          <w:i w:val="0"/>
        </w:rPr>
        <w:t xml:space="preserve">; </w:t>
      </w:r>
      <w:hyperlink w:anchor="latin-record-0592">
        <w:r>
          <w:rPr>
            <w:color w:val="000000"/>
          </w:rPr>
          <w:t xml:space="preserve">imago</w:t>
        </w:r>
      </w:hyperlink>
      <w:r>
        <w:rPr>
          <w:b w:val="0"/>
          <w:i w:val="0"/>
        </w:rPr>
        <w:t xml:space="preserve">; </w:t>
      </w:r>
      <w:hyperlink w:anchor="latin-record-0933">
        <w:r>
          <w:rPr>
            <w:color w:val="000000"/>
          </w:rPr>
          <w:t xml:space="preserve">perpetuus</w:t>
        </w:r>
      </w:hyperlink>
      <w:r>
        <w:rPr>
          <w:b w:val="0"/>
          <w:i w:val="0"/>
        </w:rPr>
        <w:t xml:space="preserve">; </w:t>
      </w:r>
      <w:hyperlink w:anchor="latin-record-1000">
        <w:r>
          <w:rPr>
            <w:color w:val="000000"/>
          </w:rPr>
          <w:t xml:space="preserve">probabile</w:t>
        </w:r>
      </w:hyperlink>
      <w:r>
        <w:rPr>
          <w:b w:val="0"/>
          <w:i w:val="0"/>
        </w:rPr>
        <w:t xml:space="preserve">; </w:t>
      </w:r>
      <w:hyperlink w:anchor="latin-record-1231">
        <w:r>
          <w:rPr>
            <w:color w:val="000000"/>
          </w:rPr>
          <w:t xml:space="preserve">splendor / reflexio</w:t>
        </w:r>
      </w:hyperlink>
      <w:r>
        <w:rPr>
          <w:b w:val="0"/>
          <w:i w:val="0"/>
        </w:rPr>
        <w:t xml:space="preserve">; </w:t>
      </w:r>
      <w:hyperlink w:anchor="latin-record-1262">
        <w:r>
          <w:rPr>
            <w:color w:val="000000"/>
          </w:rPr>
          <w:t xml:space="preserve">superare / praestare</w:t>
        </w:r>
      </w:hyperlink>
      <w:r>
        <w:rPr>
          <w:b w:val="0"/>
          <w:i w:val="0"/>
        </w:rPr>
        <w:t xml:space="preserve">; </w:t>
      </w:r>
      <w:hyperlink w:anchor="latin-record-1354">
        <w:r>
          <w:rPr>
            <w:color w:val="000000"/>
          </w:rPr>
          <w:t xml:space="preserve">vinculum</w:t>
        </w:r>
      </w:hyperlink>
      <w:r>
        <w:rPr>
          <w:b w:val="0"/>
          <w:i w:val="0"/>
        </w:rPr>
        <w:t>.</w:t>
      </w:r>
    </w:p>
    <w:p>
      <w:pPr>
        <w:widowControl/>
      </w:pPr>
      <w:bookmarkStart w:id="1752" w:name="passage-v-15-5"/>
      <w:bookmarkEnd w:id="1752"/>
      <w:r>
        <w:rPr>
          <w:b/>
          <w:i w:val="0"/>
        </w:rPr>
        <w:t>V.15.5</w:t>
      </w:r>
      <w:r>
        <w:rPr>
          <w:b/>
          <w:i w:val="0"/>
        </w:rPr>
        <w:t>, source pp. 106–107.</w:t>
      </w:r>
      <w:r>
        <w:rPr>
          <w:b w:val="0"/>
          <w:i w:val="0"/>
        </w:rPr>
        <w:t xml:space="preserve"> Articles: </w:t>
      </w:r>
      <w:hyperlink w:anchor="motion-and-substantial-stability">
        <w:r>
          <w:rPr>
            <w:color w:val="000000"/>
          </w:rPr>
          <w:t xml:space="preserve">Motion and substantial stability</w:t>
        </w:r>
      </w:hyperlink>
      <w:r>
        <w:rPr>
          <w:b w:val="0"/>
          <w:i w:val="0"/>
        </w:rPr>
        <w:t xml:space="preserve">; </w:t>
      </w:r>
      <w:hyperlink w:anchor="time-memory-and-expectation">
        <w:r>
          <w:rPr>
            <w:color w:val="000000"/>
          </w:rPr>
          <w:t xml:space="preserve">Time, memory and expectation</w:t>
        </w:r>
      </w:hyperlink>
      <w:r>
        <w:rPr>
          <w:b w:val="0"/>
          <w:i w:val="0"/>
        </w:rPr>
        <w:t xml:space="preserve">. Vocabulary: </w:t>
      </w:r>
      <w:hyperlink w:anchor="latin-record-0537">
        <w:r>
          <w:rPr>
            <w:color w:val="000000"/>
          </w:rPr>
          <w:t xml:space="preserve">futurum / praesens / praeteritum</w:t>
        </w:r>
      </w:hyperlink>
      <w:r>
        <w:rPr>
          <w:b w:val="0"/>
          <w:i w:val="0"/>
        </w:rPr>
        <w:t xml:space="preserve">; </w:t>
      </w:r>
      <w:hyperlink w:anchor="latin-record-0597">
        <w:r>
          <w:rPr>
            <w:color w:val="000000"/>
          </w:rPr>
          <w:t xml:space="preserve">immobilis / stabilis</w:t>
        </w:r>
      </w:hyperlink>
      <w:r>
        <w:rPr>
          <w:b w:val="0"/>
          <w:i w:val="0"/>
        </w:rPr>
        <w:t xml:space="preserve">; </w:t>
      </w:r>
      <w:hyperlink w:anchor="latin-record-0669">
        <w:r>
          <w:rPr>
            <w:color w:val="000000"/>
          </w:rPr>
          <w:t xml:space="preserve">intentio</w:t>
        </w:r>
      </w:hyperlink>
      <w:r>
        <w:rPr>
          <w:b w:val="0"/>
          <w:i w:val="0"/>
        </w:rPr>
        <w:t xml:space="preserve">; </w:t>
      </w:r>
      <w:hyperlink w:anchor="latin-record-0774">
        <w:r>
          <w:rPr>
            <w:color w:val="000000"/>
          </w:rPr>
          <w:t xml:space="preserve">memoria / expectatio</w:t>
        </w:r>
      </w:hyperlink>
      <w:r>
        <w:rPr>
          <w:b w:val="0"/>
          <w:i w:val="0"/>
        </w:rPr>
        <w:t xml:space="preserve">; </w:t>
      </w:r>
      <w:hyperlink w:anchor="latin-record-0804">
        <w:r>
          <w:rPr>
            <w:color w:val="000000"/>
          </w:rPr>
          <w:t xml:space="preserve">motio</w:t>
        </w:r>
      </w:hyperlink>
      <w:r>
        <w:rPr>
          <w:b w:val="0"/>
          <w:i w:val="0"/>
        </w:rPr>
        <w:t xml:space="preserve">; </w:t>
      </w:r>
      <w:hyperlink w:anchor="latin-record-0808">
        <w:r>
          <w:rPr>
            <w:color w:val="000000"/>
          </w:rPr>
          <w:t xml:space="preserve">motus / movere</w:t>
        </w:r>
      </w:hyperlink>
      <w:r>
        <w:rPr>
          <w:b w:val="0"/>
          <w:i w:val="0"/>
        </w:rPr>
        <w:t xml:space="preserve">; </w:t>
      </w:r>
      <w:hyperlink w:anchor="latin-record-0872">
        <w:r>
          <w:rPr>
            <w:color w:val="000000"/>
          </w:rPr>
          <w:t xml:space="preserve">opus</w:t>
        </w:r>
      </w:hyperlink>
      <w:r>
        <w:rPr>
          <w:b w:val="0"/>
          <w:i w:val="0"/>
        </w:rPr>
        <w:t xml:space="preserve">; </w:t>
      </w:r>
      <w:hyperlink w:anchor="latin-record-1014">
        <w:r>
          <w:rPr>
            <w:color w:val="000000"/>
          </w:rPr>
          <w:t xml:space="preserve">propositum</w:t>
        </w:r>
      </w:hyperlink>
      <w:r>
        <w:rPr>
          <w:b w:val="0"/>
          <w:i w:val="0"/>
        </w:rPr>
        <w:t xml:space="preserve">; </w:t>
      </w:r>
      <w:hyperlink w:anchor="latin-record-1182">
        <w:r>
          <w:rPr>
            <w:color w:val="000000"/>
          </w:rPr>
          <w:t xml:space="preserve">simul</w:t>
        </w:r>
      </w:hyperlink>
      <w:r>
        <w:rPr>
          <w:b w:val="0"/>
          <w:i w:val="0"/>
        </w:rPr>
        <w:t>.</w:t>
      </w:r>
    </w:p>
    <w:p>
      <w:pPr>
        <w:widowControl/>
      </w:pPr>
      <w:bookmarkStart w:id="1753" w:name="passage-v-15-6"/>
      <w:bookmarkEnd w:id="1753"/>
      <w:r>
        <w:rPr>
          <w:b/>
          <w:i w:val="0"/>
        </w:rPr>
        <w:t>V.15.6</w:t>
      </w:r>
      <w:r>
        <w:rPr>
          <w:b/>
          <w:i w:val="0"/>
        </w:rPr>
        <w:t>, source pp. 108–109.</w:t>
      </w:r>
      <w:r>
        <w:rPr>
          <w:b w:val="0"/>
          <w:i w:val="0"/>
        </w:rPr>
        <w:t xml:space="preserve"> Articles: </w:t>
      </w:r>
      <w:hyperlink w:anchor="motion-and-substantial-stability">
        <w:r>
          <w:rPr>
            <w:color w:val="000000"/>
          </w:rPr>
          <w:t xml:space="preserve">Motion and substantial stability</w:t>
        </w:r>
      </w:hyperlink>
      <w:r>
        <w:rPr>
          <w:b w:val="0"/>
          <w:i w:val="0"/>
        </w:rPr>
        <w:t xml:space="preserve">; </w:t>
      </w:r>
      <w:hyperlink w:anchor="soul-as-universal-bond">
        <w:r>
          <w:rPr>
            <w:color w:val="000000"/>
          </w:rPr>
          <w:t xml:space="preserve">Soul as universal bond</w:t>
        </w:r>
      </w:hyperlink>
      <w:r>
        <w:rPr>
          <w:b w:val="0"/>
          <w:i w:val="0"/>
        </w:rPr>
        <w:t xml:space="preserve">; </w:t>
      </w:r>
      <w:hyperlink w:anchor="time-memory-and-expectation">
        <w:r>
          <w:rPr>
            <w:color w:val="000000"/>
          </w:rPr>
          <w:t xml:space="preserve">Time, memory and expectation</w:t>
        </w:r>
      </w:hyperlink>
      <w:r>
        <w:rPr>
          <w:b w:val="0"/>
          <w:i w:val="0"/>
        </w:rPr>
        <w:t xml:space="preserve">. Vocabulary: </w:t>
      </w:r>
      <w:hyperlink w:anchor="latin-record-0132">
        <w:r>
          <w:rPr>
            <w:color w:val="000000"/>
          </w:rPr>
          <w:t xml:space="preserve">ascendere / descendere</w:t>
        </w:r>
      </w:hyperlink>
      <w:r>
        <w:rPr>
          <w:b w:val="0"/>
          <w:i w:val="0"/>
        </w:rPr>
        <w:t xml:space="preserve">; </w:t>
      </w:r>
      <w:hyperlink w:anchor="latin-record-0196">
        <w:r>
          <w:rPr>
            <w:color w:val="000000"/>
          </w:rPr>
          <w:t xml:space="preserve">carere / privari</w:t>
        </w:r>
      </w:hyperlink>
      <w:r>
        <w:rPr>
          <w:b w:val="0"/>
          <w:i w:val="0"/>
        </w:rPr>
        <w:t xml:space="preserve">; </w:t>
      </w:r>
      <w:hyperlink w:anchor="latin-record-0249">
        <w:r>
          <w:rPr>
            <w:color w:val="000000"/>
          </w:rPr>
          <w:t xml:space="preserve">commutatio</w:t>
        </w:r>
      </w:hyperlink>
      <w:r>
        <w:rPr>
          <w:b w:val="0"/>
          <w:i w:val="0"/>
        </w:rPr>
        <w:t xml:space="preserve">; </w:t>
      </w:r>
      <w:hyperlink w:anchor="latin-record-0537">
        <w:r>
          <w:rPr>
            <w:color w:val="000000"/>
          </w:rPr>
          <w:t xml:space="preserve">futurum / praesens / praeteritum</w:t>
        </w:r>
      </w:hyperlink>
      <w:r>
        <w:rPr>
          <w:b w:val="0"/>
          <w:i w:val="0"/>
        </w:rPr>
        <w:t xml:space="preserve">; </w:t>
      </w:r>
      <w:hyperlink w:anchor="latin-record-0597">
        <w:r>
          <w:rPr>
            <w:color w:val="000000"/>
          </w:rPr>
          <w:t xml:space="preserve">immobilis / stabilis</w:t>
        </w:r>
      </w:hyperlink>
      <w:r>
        <w:rPr>
          <w:b w:val="0"/>
          <w:i w:val="0"/>
        </w:rPr>
        <w:t xml:space="preserve">; </w:t>
      </w:r>
      <w:hyperlink w:anchor="latin-record-0792">
        <w:r>
          <w:rPr>
            <w:color w:val="000000"/>
          </w:rPr>
          <w:t xml:space="preserve">moles</w:t>
        </w:r>
      </w:hyperlink>
      <w:r>
        <w:rPr>
          <w:b w:val="0"/>
          <w:i w:val="0"/>
        </w:rPr>
        <w:t xml:space="preserve">; </w:t>
      </w:r>
      <w:hyperlink w:anchor="latin-record-1213">
        <w:r>
          <w:rPr>
            <w:color w:val="000000"/>
          </w:rPr>
          <w:t xml:space="preserve">speciosus / deformis</w:t>
        </w:r>
      </w:hyperlink>
      <w:r>
        <w:rPr>
          <w:b w:val="0"/>
          <w:i w:val="0"/>
        </w:rPr>
        <w:t xml:space="preserve">; </w:t>
      </w:r>
      <w:hyperlink w:anchor="latin-record-1245">
        <w:r>
          <w:rPr>
            <w:color w:val="000000"/>
          </w:rPr>
          <w:t xml:space="preserve">substantia</w:t>
        </w:r>
      </w:hyperlink>
      <w:r>
        <w:rPr>
          <w:b w:val="0"/>
          <w:i w:val="0"/>
        </w:rPr>
        <w:t>.</w:t>
      </w:r>
    </w:p>
    <w:p>
      <w:pPr>
        <w:widowControl/>
      </w:pPr>
      <w:bookmarkStart w:id="1754" w:name="passage-v-15-7"/>
      <w:bookmarkEnd w:id="1754"/>
      <w:r>
        <w:rPr>
          <w:b/>
          <w:i w:val="0"/>
        </w:rPr>
        <w:t>V.15.7</w:t>
      </w:r>
      <w:r>
        <w:rPr>
          <w:b/>
          <w:i w:val="0"/>
        </w:rPr>
        <w:t>, source pp. 108–109.</w:t>
      </w:r>
      <w:r>
        <w:rPr>
          <w:b w:val="0"/>
          <w:i w:val="0"/>
        </w:rPr>
        <w:t xml:space="preserve"> Articles: </w:t>
      </w:r>
      <w:hyperlink w:anchor="life-and-vivification">
        <w:r>
          <w:rPr>
            <w:color w:val="000000"/>
          </w:rPr>
          <w:t xml:space="preserve">Life and vivification</w:t>
        </w:r>
      </w:hyperlink>
      <w:r>
        <w:rPr>
          <w:b w:val="0"/>
          <w:i w:val="0"/>
        </w:rPr>
        <w:t xml:space="preserve">; </w:t>
      </w:r>
      <w:hyperlink w:anchor="rational-soul-and-irrational-life">
        <w:r>
          <w:rPr>
            <w:color w:val="000000"/>
          </w:rPr>
          <w:t xml:space="preserve">Rational soul and irrational life</w:t>
        </w:r>
      </w:hyperlink>
      <w:r>
        <w:rPr>
          <w:b w:val="0"/>
          <w:i w:val="0"/>
        </w:rPr>
        <w:t xml:space="preserve">. Vocabulary: </w:t>
      </w:r>
      <w:hyperlink w:anchor="latin-record-0101">
        <w:r>
          <w:rPr>
            <w:color w:val="000000"/>
          </w:rPr>
          <w:t xml:space="preserve">animatum</w:t>
        </w:r>
      </w:hyperlink>
      <w:r>
        <w:rPr>
          <w:b w:val="0"/>
          <w:i w:val="0"/>
        </w:rPr>
        <w:t xml:space="preserve">; </w:t>
      </w:r>
      <w:hyperlink w:anchor="latin-record-0196">
        <w:r>
          <w:rPr>
            <w:color w:val="000000"/>
          </w:rPr>
          <w:t xml:space="preserve">carere / privari</w:t>
        </w:r>
      </w:hyperlink>
      <w:r>
        <w:rPr>
          <w:b w:val="0"/>
          <w:i w:val="0"/>
        </w:rPr>
        <w:t xml:space="preserve">; </w:t>
      </w:r>
      <w:hyperlink w:anchor="latin-record-0612">
        <w:r>
          <w:rPr>
            <w:color w:val="000000"/>
          </w:rPr>
          <w:t xml:space="preserve">inanimis / mortuus</w:t>
        </w:r>
      </w:hyperlink>
      <w:r>
        <w:rPr>
          <w:b w:val="0"/>
          <w:i w:val="0"/>
        </w:rPr>
        <w:t xml:space="preserve">; </w:t>
      </w:r>
      <w:hyperlink w:anchor="latin-record-1373">
        <w:r>
          <w:rPr>
            <w:color w:val="000000"/>
          </w:rPr>
          <w:t xml:space="preserve">vita</w:t>
        </w:r>
      </w:hyperlink>
      <w:r>
        <w:rPr>
          <w:b w:val="0"/>
          <w:i w:val="0"/>
        </w:rPr>
        <w:t>.</w:t>
      </w:r>
    </w:p>
    <w:p>
      <w:pPr>
        <w:widowControl/>
      </w:pPr>
      <w:bookmarkStart w:id="1755" w:name="passage-v-15-8"/>
      <w:bookmarkEnd w:id="1755"/>
      <w:r>
        <w:rPr>
          <w:b/>
          <w:i w:val="0"/>
        </w:rPr>
        <w:t>V.15.8</w:t>
      </w:r>
      <w:r>
        <w:rPr>
          <w:b/>
          <w:i w:val="0"/>
        </w:rPr>
        <w:t>, source pp. 110–111.</w:t>
      </w:r>
      <w:r>
        <w:rPr>
          <w:b w:val="0"/>
          <w:i w:val="0"/>
        </w:rPr>
        <w:t xml:space="preserve"> Articles: </w:t>
      </w:r>
      <w:hyperlink w:anchor="image-shadow-and-ranked-truth">
        <w:r>
          <w:rPr>
            <w:color w:val="000000"/>
          </w:rPr>
          <w:t xml:space="preserve">Image, shadow and ranked truth</w:t>
        </w:r>
      </w:hyperlink>
      <w:r>
        <w:rPr>
          <w:b w:val="0"/>
          <w:i w:val="0"/>
        </w:rPr>
        <w:t xml:space="preserve">; </w:t>
      </w:r>
      <w:hyperlink w:anchor="life-and-vivification">
        <w:r>
          <w:rPr>
            <w:color w:val="000000"/>
          </w:rPr>
          <w:t xml:space="preserve">Life and vivification</w:t>
        </w:r>
      </w:hyperlink>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101">
        <w:r>
          <w:rPr>
            <w:color w:val="000000"/>
          </w:rPr>
          <w:t xml:space="preserve">animatum</w:t>
        </w:r>
      </w:hyperlink>
      <w:r>
        <w:rPr>
          <w:b w:val="0"/>
          <w:i w:val="0"/>
        </w:rPr>
        <w:t xml:space="preserve">; </w:t>
      </w:r>
      <w:hyperlink w:anchor="latin-record-0125">
        <w:r>
          <w:rPr>
            <w:color w:val="000000"/>
          </w:rPr>
          <w:t xml:space="preserve">Aristoxenus / Dicaearchus</w:t>
        </w:r>
      </w:hyperlink>
      <w:r>
        <w:rPr>
          <w:b w:val="0"/>
          <w:i w:val="0"/>
        </w:rPr>
        <w:t xml:space="preserve">; </w:t>
      </w:r>
      <w:hyperlink w:anchor="latin-record-0196">
        <w:r>
          <w:rPr>
            <w:color w:val="000000"/>
          </w:rPr>
          <w:t xml:space="preserve">carere / privari</w:t>
        </w:r>
      </w:hyperlink>
      <w:r>
        <w:rPr>
          <w:b w:val="0"/>
          <w:i w:val="0"/>
        </w:rPr>
        <w:t xml:space="preserve">; </w:t>
      </w:r>
      <w:hyperlink w:anchor="latin-record-0578">
        <w:r>
          <w:rPr>
            <w:color w:val="000000"/>
          </w:rPr>
          <w:t xml:space="preserve">idolum / simulacrum</w:t>
        </w:r>
      </w:hyperlink>
      <w:r>
        <w:rPr>
          <w:b w:val="0"/>
          <w:i w:val="0"/>
        </w:rPr>
        <w:t xml:space="preserve">; </w:t>
      </w:r>
      <w:hyperlink w:anchor="latin-record-0972">
        <w:r>
          <w:rPr>
            <w:color w:val="000000"/>
          </w:rPr>
          <w:t xml:space="preserve">potentior / melior</w:t>
        </w:r>
      </w:hyperlink>
      <w:r>
        <w:rPr>
          <w:b w:val="0"/>
          <w:i w:val="0"/>
        </w:rPr>
        <w:t xml:space="preserve">; </w:t>
      </w:r>
      <w:hyperlink w:anchor="latin-record-1153">
        <w:r>
          <w:rPr>
            <w:color w:val="000000"/>
          </w:rPr>
          <w:t xml:space="preserve">semet ipsum deserere</w:t>
        </w:r>
      </w:hyperlink>
      <w:r>
        <w:rPr>
          <w:b w:val="0"/>
          <w:i w:val="0"/>
        </w:rPr>
        <w:t xml:space="preserve">; </w:t>
      </w:r>
      <w:hyperlink w:anchor="latin-record-1279">
        <w:r>
          <w:rPr>
            <w:color w:val="000000"/>
          </w:rPr>
          <w:t xml:space="preserve">temperatio / complexio</w:t>
        </w:r>
      </w:hyperlink>
      <w:r>
        <w:rPr>
          <w:b w:val="0"/>
          <w:i w:val="0"/>
        </w:rPr>
        <w:t>.</w:t>
      </w:r>
    </w:p>
    <w:p>
      <w:pPr>
        <w:widowControl/>
      </w:pPr>
      <w:bookmarkStart w:id="1756" w:name="passage-v-15-9"/>
      <w:bookmarkEnd w:id="1756"/>
      <w:r>
        <w:rPr>
          <w:b/>
          <w:i w:val="0"/>
        </w:rPr>
        <w:t>V.15.9</w:t>
      </w:r>
      <w:r>
        <w:rPr>
          <w:b/>
          <w:i w:val="0"/>
        </w:rPr>
        <w:t>, source pp. 110–111.</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014">
        <w:r>
          <w:rPr>
            <w:color w:val="000000"/>
          </w:rPr>
          <w:t xml:space="preserve">accidere</w:t>
        </w:r>
      </w:hyperlink>
      <w:r>
        <w:rPr>
          <w:b w:val="0"/>
          <w:i w:val="0"/>
        </w:rPr>
        <w:t xml:space="preserve">; </w:t>
      </w:r>
      <w:hyperlink w:anchor="latin-record-0068">
        <w:r>
          <w:rPr>
            <w:color w:val="000000"/>
          </w:rPr>
          <w:t xml:space="preserve">alienare / purgare</w:t>
        </w:r>
      </w:hyperlink>
      <w:r>
        <w:rPr>
          <w:b w:val="0"/>
          <w:i w:val="0"/>
        </w:rPr>
        <w:t xml:space="preserve">; </w:t>
      </w:r>
      <w:hyperlink w:anchor="latin-record-0155">
        <w:r>
          <w:rPr>
            <w:color w:val="000000"/>
          </w:rPr>
          <w:t xml:space="preserve">avertere / subducere</w:t>
        </w:r>
      </w:hyperlink>
      <w:r>
        <w:rPr>
          <w:b w:val="0"/>
          <w:i w:val="0"/>
        </w:rPr>
        <w:t xml:space="preserve">; </w:t>
      </w:r>
      <w:hyperlink w:anchor="latin-record-0315">
        <w:r>
          <w:rPr>
            <w:color w:val="000000"/>
          </w:rPr>
          <w:t xml:space="preserve">consuetudo</w:t>
        </w:r>
      </w:hyperlink>
      <w:r>
        <w:rPr>
          <w:b w:val="0"/>
          <w:i w:val="0"/>
        </w:rPr>
        <w:t xml:space="preserve">; </w:t>
      </w:r>
      <w:hyperlink w:anchor="latin-record-0617">
        <w:r>
          <w:rPr>
            <w:color w:val="000000"/>
          </w:rPr>
          <w:t xml:space="preserve">incommutabilis / immutabilis</w:t>
        </w:r>
      </w:hyperlink>
      <w:r>
        <w:rPr>
          <w:b w:val="0"/>
          <w:i w:val="0"/>
        </w:rPr>
        <w:t xml:space="preserve">; </w:t>
      </w:r>
      <w:hyperlink w:anchor="latin-record-0665">
        <w:r>
          <w:rPr>
            <w:color w:val="000000"/>
          </w:rPr>
          <w:t xml:space="preserve">intelligere / intelligentia</w:t>
        </w:r>
      </w:hyperlink>
      <w:r>
        <w:rPr>
          <w:b w:val="0"/>
          <w:i w:val="0"/>
        </w:rPr>
        <w:t xml:space="preserve">; </w:t>
      </w:r>
      <w:hyperlink w:anchor="latin-record-0669">
        <w:r>
          <w:rPr>
            <w:color w:val="000000"/>
          </w:rPr>
          <w:t xml:space="preserve">intentio</w:t>
        </w:r>
      </w:hyperlink>
      <w:r>
        <w:rPr>
          <w:b w:val="0"/>
          <w:i w:val="0"/>
        </w:rPr>
        <w:t xml:space="preserve">; </w:t>
      </w:r>
      <w:hyperlink w:anchor="latin-record-0680">
        <w:r>
          <w:rPr>
            <w:color w:val="000000"/>
          </w:rPr>
          <w:t xml:space="preserve">intueri</w:t>
        </w:r>
      </w:hyperlink>
      <w:r>
        <w:rPr>
          <w:b w:val="0"/>
          <w:i w:val="0"/>
        </w:rPr>
        <w:t xml:space="preserve">; </w:t>
      </w:r>
      <w:hyperlink w:anchor="latin-record-1279">
        <w:r>
          <w:rPr>
            <w:color w:val="000000"/>
          </w:rPr>
          <w:t xml:space="preserve">temperatio / complexio</w:t>
        </w:r>
      </w:hyperlink>
      <w:r>
        <w:rPr>
          <w:b w:val="0"/>
          <w:i w:val="0"/>
        </w:rPr>
        <w:t>.</w:t>
      </w:r>
    </w:p>
    <w:p>
      <w:pPr>
        <w:widowControl/>
      </w:pPr>
      <w:bookmarkStart w:id="1757" w:name="passage-v-15-10"/>
      <w:bookmarkEnd w:id="1757"/>
      <w:r>
        <w:rPr>
          <w:b/>
          <w:i w:val="0"/>
        </w:rPr>
        <w:t>V.15.10</w:t>
      </w:r>
      <w:r>
        <w:rPr>
          <w:b/>
          <w:i w:val="0"/>
        </w:rPr>
        <w:t>, source pp. 110–111.</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012">
        <w:r>
          <w:rPr>
            <w:color w:val="000000"/>
          </w:rPr>
          <w:t xml:space="preserve">accidens</w:t>
        </w:r>
      </w:hyperlink>
      <w:r>
        <w:rPr>
          <w:b w:val="0"/>
          <w:i w:val="0"/>
        </w:rPr>
        <w:t xml:space="preserve">; </w:t>
      </w:r>
      <w:hyperlink w:anchor="latin-record-0155">
        <w:r>
          <w:rPr>
            <w:color w:val="000000"/>
          </w:rPr>
          <w:t xml:space="preserve">avertere / subducere</w:t>
        </w:r>
      </w:hyperlink>
      <w:r>
        <w:rPr>
          <w:b w:val="0"/>
          <w:i w:val="0"/>
        </w:rPr>
        <w:t xml:space="preserve">; </w:t>
      </w:r>
      <w:hyperlink w:anchor="latin-record-0242">
        <w:r>
          <w:rPr>
            <w:color w:val="000000"/>
          </w:rPr>
          <w:t xml:space="preserve">commixtio</w:t>
        </w:r>
      </w:hyperlink>
      <w:r>
        <w:rPr>
          <w:b w:val="0"/>
          <w:i w:val="0"/>
        </w:rPr>
        <w:t xml:space="preserve">; </w:t>
      </w:r>
      <w:hyperlink w:anchor="latin-record-0308">
        <w:r>
          <w:rPr>
            <w:color w:val="000000"/>
          </w:rPr>
          <w:t xml:space="preserve">consonantia / harmonia</w:t>
        </w:r>
      </w:hyperlink>
      <w:r>
        <w:rPr>
          <w:b w:val="0"/>
          <w:i w:val="0"/>
        </w:rPr>
        <w:t xml:space="preserve">; </w:t>
      </w:r>
      <w:hyperlink w:anchor="latin-record-0575">
        <w:r>
          <w:rPr>
            <w:color w:val="000000"/>
          </w:rPr>
          <w:t xml:space="preserve">humores</w:t>
        </w:r>
      </w:hyperlink>
      <w:r>
        <w:rPr>
          <w:b w:val="0"/>
          <w:i w:val="0"/>
        </w:rPr>
        <w:t xml:space="preserve">; </w:t>
      </w:r>
      <w:hyperlink w:anchor="latin-record-1177">
        <w:r>
          <w:rPr>
            <w:color w:val="000000"/>
          </w:rPr>
          <w:t xml:space="preserve">simplex</w:t>
        </w:r>
      </w:hyperlink>
      <w:r>
        <w:rPr>
          <w:b w:val="0"/>
          <w:i w:val="0"/>
        </w:rPr>
        <w:t xml:space="preserve">; </w:t>
      </w:r>
      <w:hyperlink w:anchor="latin-record-1245">
        <w:r>
          <w:rPr>
            <w:color w:val="000000"/>
          </w:rPr>
          <w:t xml:space="preserve">substantia</w:t>
        </w:r>
      </w:hyperlink>
      <w:r>
        <w:rPr>
          <w:b w:val="0"/>
          <w:i w:val="0"/>
        </w:rPr>
        <w:t xml:space="preserve">; </w:t>
      </w:r>
      <w:hyperlink w:anchor="latin-record-1279">
        <w:r>
          <w:rPr>
            <w:color w:val="000000"/>
          </w:rPr>
          <w:t xml:space="preserve">temperatio / complexio</w:t>
        </w:r>
      </w:hyperlink>
      <w:r>
        <w:rPr>
          <w:b w:val="0"/>
          <w:i w:val="0"/>
        </w:rPr>
        <w:t>.</w:t>
      </w:r>
    </w:p>
    <w:p>
      <w:pPr>
        <w:widowControl/>
      </w:pPr>
      <w:bookmarkStart w:id="1758" w:name="passage-v-15-11"/>
      <w:bookmarkEnd w:id="1758"/>
      <w:r>
        <w:rPr>
          <w:b/>
          <w:i w:val="0"/>
        </w:rPr>
        <w:t>V.15.11</w:t>
      </w:r>
      <w:r>
        <w:rPr>
          <w:b/>
          <w:i w:val="0"/>
        </w:rPr>
        <w:t>, source pp. 112–113.</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Vocabulary: </w:t>
      </w:r>
      <w:hyperlink w:anchor="latin-record-0155">
        <w:r>
          <w:rPr>
            <w:color w:val="000000"/>
          </w:rPr>
          <w:t xml:space="preserve">avertere / subducere</w:t>
        </w:r>
      </w:hyperlink>
      <w:r>
        <w:rPr>
          <w:b w:val="0"/>
          <w:i w:val="0"/>
        </w:rPr>
        <w:t xml:space="preserve">; </w:t>
      </w:r>
      <w:hyperlink w:anchor="latin-record-0665">
        <w:r>
          <w:rPr>
            <w:color w:val="000000"/>
          </w:rPr>
          <w:t xml:space="preserve">intelligere / intelligentia</w:t>
        </w:r>
      </w:hyperlink>
      <w:r>
        <w:rPr>
          <w:b w:val="0"/>
          <w:i w:val="0"/>
        </w:rPr>
        <w:t xml:space="preserve">; </w:t>
      </w:r>
      <w:hyperlink w:anchor="latin-record-0768">
        <w:r>
          <w:rPr>
            <w:color w:val="000000"/>
          </w:rPr>
          <w:t xml:space="preserve">maxime quae sunt</w:t>
        </w:r>
      </w:hyperlink>
      <w:r>
        <w:rPr>
          <w:b w:val="0"/>
          <w:i w:val="0"/>
        </w:rPr>
        <w:t>.</w:t>
      </w:r>
    </w:p>
    <w:p>
      <w:pPr>
        <w:widowControl/>
      </w:pPr>
      <w:bookmarkStart w:id="1759" w:name="passage-v-15-12"/>
      <w:bookmarkEnd w:id="1759"/>
      <w:r>
        <w:rPr>
          <w:b/>
          <w:i w:val="0"/>
        </w:rPr>
        <w:t>V.15.12</w:t>
      </w:r>
      <w:r>
        <w:rPr>
          <w:b/>
          <w:i w:val="0"/>
        </w:rPr>
        <w:t>, source pp. 112–113.</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aching-without-loss">
        <w:r>
          <w:rPr>
            <w:color w:val="000000"/>
          </w:rPr>
          <w:t xml:space="preserve">Teaching without loss</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308">
        <w:r>
          <w:rPr>
            <w:color w:val="000000"/>
          </w:rPr>
          <w:t xml:space="preserve">consonantia / harmonia</w:t>
        </w:r>
      </w:hyperlink>
      <w:r>
        <w:rPr>
          <w:b w:val="0"/>
          <w:i w:val="0"/>
        </w:rPr>
        <w:t xml:space="preserve">; </w:t>
      </w:r>
      <w:hyperlink w:anchor="latin-record-0665">
        <w:r>
          <w:rPr>
            <w:color w:val="000000"/>
          </w:rPr>
          <w:t xml:space="preserve">intelligere / intelligentia</w:t>
        </w:r>
      </w:hyperlink>
      <w:r>
        <w:rPr>
          <w:b w:val="0"/>
          <w:i w:val="0"/>
        </w:rPr>
        <w:t xml:space="preserve">; </w:t>
      </w:r>
      <w:hyperlink w:anchor="latin-record-0680">
        <w:r>
          <w:rPr>
            <w:color w:val="000000"/>
          </w:rPr>
          <w:t xml:space="preserve">intueri</w:t>
        </w:r>
      </w:hyperlink>
      <w:r>
        <w:rPr>
          <w:b w:val="0"/>
          <w:i w:val="0"/>
        </w:rPr>
        <w:t xml:space="preserve">; </w:t>
      </w:r>
      <w:hyperlink w:anchor="latin-record-0752">
        <w:r>
          <w:rPr>
            <w:color w:val="000000"/>
          </w:rPr>
          <w:t xml:space="preserve">mancipare</w:t>
        </w:r>
      </w:hyperlink>
      <w:r>
        <w:rPr>
          <w:b w:val="0"/>
          <w:i w:val="0"/>
        </w:rPr>
        <w:t xml:space="preserve">; </w:t>
      </w:r>
      <w:hyperlink w:anchor="latin-record-0768">
        <w:r>
          <w:rPr>
            <w:color w:val="000000"/>
          </w:rPr>
          <w:t xml:space="preserve">maxime quae sunt</w:t>
        </w:r>
      </w:hyperlink>
      <w:r>
        <w:rPr>
          <w:b w:val="0"/>
          <w:i w:val="0"/>
        </w:rPr>
        <w:t xml:space="preserve">; </w:t>
      </w:r>
      <w:hyperlink w:anchor="latin-record-0844">
        <w:r>
          <w:rPr>
            <w:color w:val="000000"/>
          </w:rPr>
          <w:t xml:space="preserve">non localiter</w:t>
        </w:r>
      </w:hyperlink>
      <w:r>
        <w:rPr>
          <w:b w:val="0"/>
          <w:i w:val="0"/>
        </w:rPr>
        <w:t>.</w:t>
      </w:r>
    </w:p>
    <w:p>
      <w:pPr>
        <w:widowControl/>
      </w:pPr>
      <w:bookmarkStart w:id="1760" w:name="passage-v-15-13"/>
      <w:bookmarkEnd w:id="1760"/>
      <w:r>
        <w:rPr>
          <w:b/>
          <w:i w:val="0"/>
        </w:rPr>
        <w:t>V.15.13</w:t>
      </w:r>
      <w:r>
        <w:rPr>
          <w:b/>
          <w:i w:val="0"/>
        </w:rPr>
        <w:t>, source pp. 112–113.</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074">
        <w:r>
          <w:rPr>
            <w:color w:val="000000"/>
          </w:rPr>
          <w:t xml:space="preserve">alligare / addicere</w:t>
        </w:r>
      </w:hyperlink>
      <w:r>
        <w:rPr>
          <w:b w:val="0"/>
          <w:i w:val="0"/>
        </w:rPr>
        <w:t xml:space="preserve">; </w:t>
      </w:r>
      <w:hyperlink w:anchor="latin-record-0816">
        <w:r>
          <w:rPr>
            <w:color w:val="000000"/>
          </w:rPr>
          <w:t xml:space="preserve">mutare / mutatio</w:t>
        </w:r>
      </w:hyperlink>
      <w:r>
        <w:rPr>
          <w:b w:val="0"/>
          <w:i w:val="0"/>
        </w:rPr>
        <w:t xml:space="preserve">; </w:t>
      </w:r>
      <w:hyperlink w:anchor="latin-record-1165">
        <w:r>
          <w:rPr>
            <w:color w:val="000000"/>
          </w:rPr>
          <w:t xml:space="preserve">separare / seiungere / disiungere</w:t>
        </w:r>
      </w:hyperlink>
      <w:r>
        <w:rPr>
          <w:b w:val="0"/>
          <w:i w:val="0"/>
        </w:rPr>
        <w:t>.</w:t>
      </w:r>
    </w:p>
    <w:p>
      <w:pPr>
        <w:widowControl/>
      </w:pPr>
      <w:bookmarkStart w:id="1761" w:name="passage-v-15-14"/>
      <w:bookmarkEnd w:id="1761"/>
      <w:r>
        <w:rPr>
          <w:b/>
          <w:i w:val="0"/>
        </w:rPr>
        <w:t>V.15.14</w:t>
      </w:r>
      <w:r>
        <w:rPr>
          <w:b/>
          <w:i w:val="0"/>
        </w:rPr>
        <w:t>, source pp. 112–113.</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255">
        <w:r>
          <w:rPr>
            <w:color w:val="000000"/>
          </w:rPr>
          <w:t xml:space="preserve">comparatio</w:t>
        </w:r>
      </w:hyperlink>
      <w:r>
        <w:rPr>
          <w:b w:val="0"/>
          <w:i w:val="0"/>
        </w:rPr>
        <w:t xml:space="preserve">; </w:t>
      </w:r>
      <w:hyperlink w:anchor="latin-record-0417">
        <w:r>
          <w:rPr>
            <w:color w:val="000000"/>
          </w:rPr>
          <w:t xml:space="preserve">duo / quattuor / sex / octo</w:t>
        </w:r>
      </w:hyperlink>
      <w:r>
        <w:rPr>
          <w:b w:val="0"/>
          <w:i w:val="0"/>
        </w:rPr>
        <w:t>.</w:t>
      </w:r>
    </w:p>
    <w:p>
      <w:pPr>
        <w:widowControl/>
      </w:pPr>
      <w:bookmarkStart w:id="1762" w:name="passage-v-15-15"/>
      <w:bookmarkEnd w:id="1762"/>
      <w:r>
        <w:rPr>
          <w:b/>
          <w:i w:val="0"/>
        </w:rPr>
        <w:t>V.15.15</w:t>
      </w:r>
      <w:r>
        <w:rPr>
          <w:b/>
          <w:i w:val="0"/>
        </w:rPr>
        <w:t>, source pp. 114–115.</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aching-without-loss">
        <w:r>
          <w:rPr>
            <w:color w:val="000000"/>
          </w:rPr>
          <w:t xml:space="preserve">Teaching without loss</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129">
        <w:r>
          <w:rPr>
            <w:color w:val="000000"/>
          </w:rPr>
          <w:t xml:space="preserve">ars ratiocinandi</w:t>
        </w:r>
      </w:hyperlink>
      <w:r>
        <w:rPr>
          <w:b w:val="0"/>
          <w:i w:val="0"/>
        </w:rPr>
        <w:t xml:space="preserve">; </w:t>
      </w:r>
      <w:hyperlink w:anchor="latin-record-0409">
        <w:r>
          <w:rPr>
            <w:color w:val="000000"/>
          </w:rPr>
          <w:t xml:space="preserve">docere</w:t>
        </w:r>
      </w:hyperlink>
      <w:r>
        <w:rPr>
          <w:b w:val="0"/>
          <w:i w:val="0"/>
        </w:rPr>
        <w:t xml:space="preserve">; </w:t>
      </w:r>
      <w:hyperlink w:anchor="latin-record-0617">
        <w:r>
          <w:rPr>
            <w:color w:val="000000"/>
          </w:rPr>
          <w:t xml:space="preserve">incommutabilis / immutabilis</w:t>
        </w:r>
      </w:hyperlink>
      <w:r>
        <w:rPr>
          <w:b w:val="0"/>
          <w:i w:val="0"/>
        </w:rPr>
        <w:t xml:space="preserve">; </w:t>
      </w:r>
      <w:hyperlink w:anchor="latin-record-0853">
        <w:r>
          <w:rPr>
            <w:color w:val="000000"/>
          </w:rPr>
          <w:t xml:space="preserve">oblivisci</w:t>
        </w:r>
      </w:hyperlink>
      <w:r>
        <w:rPr>
          <w:b w:val="0"/>
          <w:i w:val="0"/>
        </w:rPr>
        <w:t xml:space="preserve">; </w:t>
      </w:r>
      <w:hyperlink w:anchor="latin-record-1068">
        <w:r>
          <w:rPr>
            <w:color w:val="000000"/>
          </w:rPr>
          <w:t xml:space="preserve">ratio / definitio</w:t>
        </w:r>
      </w:hyperlink>
      <w:r>
        <w:rPr>
          <w:b w:val="0"/>
          <w:i w:val="0"/>
        </w:rPr>
        <w:t xml:space="preserve">; </w:t>
      </w:r>
      <w:hyperlink w:anchor="latin-record-1165">
        <w:r>
          <w:rPr>
            <w:color w:val="000000"/>
          </w:rPr>
          <w:t xml:space="preserve">separare / seiungere / disiungere</w:t>
        </w:r>
      </w:hyperlink>
      <w:r>
        <w:rPr>
          <w:b w:val="0"/>
          <w:i w:val="0"/>
        </w:rPr>
        <w:t xml:space="preserve">; </w:t>
      </w:r>
      <w:hyperlink w:anchor="latin-record-1303">
        <w:r>
          <w:rPr>
            <w:color w:val="000000"/>
          </w:rPr>
          <w:t xml:space="preserve">transitus</w:t>
        </w:r>
      </w:hyperlink>
      <w:r>
        <w:rPr>
          <w:b w:val="0"/>
          <w:i w:val="0"/>
        </w:rPr>
        <w:t>.</w:t>
      </w:r>
    </w:p>
    <w:p>
      <w:pPr>
        <w:widowControl/>
      </w:pPr>
      <w:bookmarkStart w:id="1763" w:name="passage-v-15-16"/>
      <w:bookmarkEnd w:id="1763"/>
      <w:r>
        <w:rPr>
          <w:b/>
          <w:i w:val="0"/>
        </w:rPr>
        <w:t>V.15.16</w:t>
      </w:r>
      <w:r>
        <w:rPr>
          <w:b/>
          <w:i w:val="0"/>
        </w:rPr>
        <w:t>, source pp. 114–115.</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aching-without-loss">
        <w:r>
          <w:rPr>
            <w:color w:val="000000"/>
          </w:rPr>
          <w:t xml:space="preserve">Teaching without loss</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308">
        <w:r>
          <w:rPr>
            <w:color w:val="000000"/>
          </w:rPr>
          <w:t xml:space="preserve">consonantia / harmonia</w:t>
        </w:r>
      </w:hyperlink>
      <w:r>
        <w:rPr>
          <w:b w:val="0"/>
          <w:i w:val="0"/>
        </w:rPr>
        <w:t xml:space="preserve">; </w:t>
      </w:r>
      <w:hyperlink w:anchor="latin-record-0617">
        <w:r>
          <w:rPr>
            <w:color w:val="000000"/>
          </w:rPr>
          <w:t xml:space="preserve">incommutabilis / immutabilis</w:t>
        </w:r>
      </w:hyperlink>
      <w:r>
        <w:rPr>
          <w:b w:val="0"/>
          <w:i w:val="0"/>
        </w:rPr>
        <w:t>.</w:t>
      </w:r>
    </w:p>
    <w:p>
      <w:pPr>
        <w:widowControl/>
      </w:pPr>
      <w:bookmarkStart w:id="1764" w:name="passage-v-15-17"/>
      <w:bookmarkEnd w:id="1764"/>
      <w:r>
        <w:rPr>
          <w:b/>
          <w:i w:val="0"/>
        </w:rPr>
        <w:t>V.15.17</w:t>
      </w:r>
      <w:r>
        <w:rPr>
          <w:b/>
          <w:i w:val="0"/>
        </w:rPr>
        <w:t>, source pp. 114–115.</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aching-without-loss">
        <w:r>
          <w:rPr>
            <w:color w:val="000000"/>
          </w:rPr>
          <w:t xml:space="preserve">Teaching without loss</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407">
        <w:r>
          <w:rPr>
            <w:color w:val="000000"/>
          </w:rPr>
          <w:t xml:space="preserve">divisio / membrum</w:t>
        </w:r>
      </w:hyperlink>
      <w:r>
        <w:rPr>
          <w:b w:val="0"/>
          <w:i w:val="0"/>
        </w:rPr>
        <w:t xml:space="preserve">; </w:t>
      </w:r>
      <w:hyperlink w:anchor="latin-record-1279">
        <w:r>
          <w:rPr>
            <w:color w:val="000000"/>
          </w:rPr>
          <w:t xml:space="preserve">temperatio / complexio</w:t>
        </w:r>
      </w:hyperlink>
      <w:r>
        <w:rPr>
          <w:b w:val="0"/>
          <w:i w:val="0"/>
        </w:rPr>
        <w:t>.</w:t>
      </w:r>
    </w:p>
    <w:p>
      <w:pPr>
        <w:widowControl/>
      </w:pPr>
      <w:bookmarkStart w:id="1765" w:name="passage-v-15-18"/>
      <w:bookmarkEnd w:id="1765"/>
      <w:r>
        <w:rPr>
          <w:b/>
          <w:i w:val="0"/>
        </w:rPr>
        <w:t>V.15.18</w:t>
      </w:r>
      <w:r>
        <w:rPr>
          <w:b/>
          <w:i w:val="0"/>
        </w:rPr>
        <w:t>, source pp. 116–117.</w:t>
      </w:r>
      <w:r>
        <w:rPr>
          <w:b w:val="0"/>
          <w:i w:val="0"/>
        </w:rPr>
        <w:t xml:space="preserve"> Articles: </w:t>
      </w:r>
      <w:hyperlink w:anchor="intelligible-principles-and-reasoning">
        <w:r>
          <w:rPr>
            <w:color w:val="000000"/>
          </w:rPr>
          <w:t xml:space="preserve">Intelligible principles and reasoning</w:t>
        </w:r>
      </w:hyperlink>
      <w:r>
        <w:rPr>
          <w:b w:val="0"/>
          <w:i w:val="0"/>
        </w:rPr>
        <w:t xml:space="preserve">; </w:t>
      </w:r>
      <w:hyperlink w:anchor="temperament-and-harmony">
        <w:r>
          <w:rPr>
            <w:color w:val="000000"/>
          </w:rPr>
          <w:t xml:space="preserve">Temperament and harmony</w:t>
        </w:r>
      </w:hyperlink>
      <w:r>
        <w:rPr>
          <w:b w:val="0"/>
          <w:i w:val="0"/>
        </w:rPr>
        <w:t xml:space="preserve">. Vocabulary: </w:t>
      </w:r>
      <w:hyperlink w:anchor="latin-record-0308">
        <w:r>
          <w:rPr>
            <w:color w:val="000000"/>
          </w:rPr>
          <w:t xml:space="preserve">consonantia / harmonia</w:t>
        </w:r>
      </w:hyperlink>
      <w:r>
        <w:rPr>
          <w:b w:val="0"/>
          <w:i w:val="0"/>
        </w:rPr>
        <w:t xml:space="preserve">; </w:t>
      </w:r>
      <w:hyperlink w:anchor="latin-record-0310">
        <w:r>
          <w:rPr>
            <w:color w:val="000000"/>
          </w:rPr>
          <w:t xml:space="preserve">consonare / dissonare</w:t>
        </w:r>
      </w:hyperlink>
      <w:r>
        <w:rPr>
          <w:b w:val="0"/>
          <w:i w:val="0"/>
        </w:rPr>
        <w:t xml:space="preserve">; </w:t>
      </w:r>
      <w:hyperlink w:anchor="latin-record-0407">
        <w:r>
          <w:rPr>
            <w:color w:val="000000"/>
          </w:rPr>
          <w:t xml:space="preserve">divisio / membrum</w:t>
        </w:r>
      </w:hyperlink>
      <w:r>
        <w:rPr>
          <w:b w:val="0"/>
          <w:i w:val="0"/>
        </w:rPr>
        <w:t xml:space="preserve">; </w:t>
      </w:r>
      <w:hyperlink w:anchor="latin-record-0526">
        <w:r>
          <w:rPr>
            <w:color w:val="000000"/>
          </w:rPr>
          <w:t xml:space="preserve">frui</w:t>
        </w:r>
      </w:hyperlink>
      <w:r>
        <w:rPr>
          <w:b w:val="0"/>
          <w:i w:val="0"/>
        </w:rPr>
        <w:t xml:space="preserve">; </w:t>
      </w:r>
      <w:hyperlink w:anchor="latin-record-0617">
        <w:r>
          <w:rPr>
            <w:color w:val="000000"/>
          </w:rPr>
          <w:t xml:space="preserve">incommutabilis / immutabilis</w:t>
        </w:r>
      </w:hyperlink>
      <w:r>
        <w:rPr>
          <w:b w:val="0"/>
          <w:i w:val="0"/>
        </w:rPr>
        <w:t xml:space="preserve">; </w:t>
      </w:r>
      <w:hyperlink w:anchor="latin-record-0880">
        <w:r>
          <w:rPr>
            <w:color w:val="000000"/>
          </w:rPr>
          <w:t xml:space="preserve">origo</w:t>
        </w:r>
      </w:hyperlink>
      <w:r>
        <w:rPr>
          <w:b w:val="0"/>
          <w:i w:val="0"/>
        </w:rPr>
        <w:t xml:space="preserve">; </w:t>
      </w:r>
      <w:hyperlink w:anchor="latin-record-0946">
        <w:r>
          <w:rPr>
            <w:color w:val="000000"/>
          </w:rPr>
          <w:t xml:space="preserve">philosophari</w:t>
        </w:r>
      </w:hyperlink>
      <w:r>
        <w:rPr>
          <w:b w:val="0"/>
          <w:i w:val="0"/>
        </w:rPr>
        <w:t xml:space="preserve">; </w:t>
      </w:r>
      <w:hyperlink w:anchor="latin-record-1279">
        <w:r>
          <w:rPr>
            <w:color w:val="000000"/>
          </w:rPr>
          <w:t xml:space="preserve">temperatio / complexio</w:t>
        </w:r>
      </w:hyperlink>
      <w:r>
        <w:rPr>
          <w:b w:val="0"/>
          <w:i w:val="0"/>
        </w:rPr>
        <w:t>.</w:t>
      </w:r>
    </w:p>
    <w:p>
      <w:pPr>
        <w:widowControl/>
      </w:pPr>
      <w:bookmarkStart w:id="1766" w:name="passage-v-15-19"/>
      <w:bookmarkEnd w:id="1766"/>
      <w:r>
        <w:rPr>
          <w:b/>
          <w:i w:val="0"/>
        </w:rPr>
        <w:t>V.15.19</w:t>
      </w:r>
      <w:r>
        <w:rPr>
          <w:b/>
          <w:i w:val="0"/>
        </w:rPr>
        <w:t>, source pp. 116–117.</w:t>
      </w:r>
      <w:r>
        <w:rPr>
          <w:b w:val="0"/>
          <w:i w:val="0"/>
        </w:rPr>
        <w:t xml:space="preserve"> Articles: </w:t>
      </w:r>
      <w:hyperlink w:anchor="conversion-desire-and-compulsion">
        <w:r>
          <w:rPr>
            <w:color w:val="000000"/>
          </w:rPr>
          <w:t xml:space="preserve">Conversion, desire and compulsion</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Vocabulary: </w:t>
      </w:r>
      <w:hyperlink w:anchor="latin-record-0105">
        <w:r>
          <w:rPr>
            <w:color w:val="000000"/>
          </w:rPr>
          <w:t xml:space="preserve">animus</w:t>
        </w:r>
      </w:hyperlink>
      <w:r>
        <w:rPr>
          <w:b w:val="0"/>
          <w:i w:val="0"/>
        </w:rPr>
        <w:t xml:space="preserve">; </w:t>
      </w:r>
      <w:hyperlink w:anchor="latin-record-0609">
        <w:r>
          <w:rPr>
            <w:color w:val="000000"/>
          </w:rPr>
          <w:t xml:space="preserve">in deteriorem essentiam</w:t>
        </w:r>
      </w:hyperlink>
      <w:r>
        <w:rPr>
          <w:b w:val="0"/>
          <w:i w:val="0"/>
        </w:rPr>
        <w:t>.</w:t>
      </w:r>
    </w:p>
    <w:p>
      <w:pPr>
        <w:widowControl/>
      </w:pPr>
      <w:bookmarkStart w:id="1767" w:name="passage-v-15-20"/>
      <w:bookmarkEnd w:id="1767"/>
      <w:r>
        <w:rPr>
          <w:b/>
          <w:i w:val="0"/>
        </w:rPr>
        <w:t>V.15.20</w:t>
      </w:r>
      <w:r>
        <w:rPr>
          <w:b/>
          <w:i w:val="0"/>
        </w:rPr>
        <w:t>, source pp. 116–117.</w:t>
      </w:r>
      <w:r>
        <w:rPr>
          <w:b w:val="0"/>
          <w:i w:val="0"/>
        </w:rPr>
        <w:t xml:space="preserve"> Articles: </w:t>
      </w:r>
      <w:hyperlink w:anchor="conversion-desire-and-compulsion">
        <w:r>
          <w:rPr>
            <w:color w:val="000000"/>
          </w:rPr>
          <w:t xml:space="preserve">Conversion, desire and compulsion</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Vocabulary: </w:t>
      </w:r>
      <w:hyperlink w:anchor="latin-record-0105">
        <w:r>
          <w:rPr>
            <w:color w:val="000000"/>
          </w:rPr>
          <w:t xml:space="preserve">animus</w:t>
        </w:r>
      </w:hyperlink>
      <w:r>
        <w:rPr>
          <w:b w:val="0"/>
          <w:i w:val="0"/>
        </w:rPr>
        <w:t xml:space="preserve">; </w:t>
      </w:r>
      <w:hyperlink w:anchor="latin-record-0223">
        <w:r>
          <w:rPr>
            <w:color w:val="000000"/>
          </w:rPr>
          <w:t xml:space="preserve">cogere</w:t>
        </w:r>
      </w:hyperlink>
      <w:r>
        <w:rPr>
          <w:b w:val="0"/>
          <w:i w:val="0"/>
        </w:rPr>
        <w:t xml:space="preserve">; </w:t>
      </w:r>
      <w:hyperlink w:anchor="latin-record-0833">
        <w:r>
          <w:rPr>
            <w:color w:val="000000"/>
          </w:rPr>
          <w:t xml:space="preserve">necesse / oportere</w:t>
        </w:r>
      </w:hyperlink>
      <w:r>
        <w:rPr>
          <w:b w:val="0"/>
          <w:i w:val="0"/>
        </w:rPr>
        <w:t xml:space="preserve">; </w:t>
      </w:r>
      <w:hyperlink w:anchor="latin-record-0967">
        <w:r>
          <w:rPr>
            <w:color w:val="000000"/>
          </w:rPr>
          <w:t xml:space="preserve">possidere / consulere / imperare</w:t>
        </w:r>
      </w:hyperlink>
      <w:r>
        <w:rPr>
          <w:b w:val="0"/>
          <w:i w:val="0"/>
        </w:rPr>
        <w:t xml:space="preserve">; </w:t>
      </w:r>
      <w:hyperlink w:anchor="latin-record-1337">
        <w:r>
          <w:rPr>
            <w:color w:val="000000"/>
          </w:rPr>
          <w:t xml:space="preserve">velle / voluntas</w:t>
        </w:r>
      </w:hyperlink>
      <w:r>
        <w:rPr>
          <w:b w:val="0"/>
          <w:i w:val="0"/>
        </w:rPr>
        <w:t>.</w:t>
      </w:r>
    </w:p>
    <w:p>
      <w:pPr>
        <w:widowControl/>
      </w:pPr>
      <w:bookmarkStart w:id="1768" w:name="passage-v-15-21"/>
      <w:bookmarkEnd w:id="1768"/>
      <w:r>
        <w:rPr>
          <w:b/>
          <w:i w:val="0"/>
        </w:rPr>
        <w:t>V.15.21</w:t>
      </w:r>
      <w:r>
        <w:rPr>
          <w:b/>
          <w:i w:val="0"/>
        </w:rPr>
        <w:t>, source pp. 118–119.</w:t>
      </w:r>
      <w:r>
        <w:rPr>
          <w:b w:val="0"/>
          <w:i w:val="0"/>
        </w:rPr>
        <w:t xml:space="preserve"> Articles: </w:t>
      </w:r>
      <w:hyperlink w:anchor="conversion-desire-and-compulsion">
        <w:r>
          <w:rPr>
            <w:color w:val="000000"/>
          </w:rPr>
          <w:t xml:space="preserve">Conversion, desire and compulsion</w:t>
        </w:r>
      </w:hyperlink>
      <w:r>
        <w:rPr>
          <w:b w:val="0"/>
          <w:i w:val="0"/>
        </w:rPr>
        <w:t xml:space="preserve">. Vocabulary: </w:t>
      </w:r>
      <w:hyperlink w:anchor="latin-record-0105">
        <w:r>
          <w:rPr>
            <w:color w:val="000000"/>
          </w:rPr>
          <w:t xml:space="preserve">animus</w:t>
        </w:r>
      </w:hyperlink>
      <w:r>
        <w:rPr>
          <w:b w:val="0"/>
          <w:i w:val="0"/>
        </w:rPr>
        <w:t xml:space="preserve">; </w:t>
      </w:r>
      <w:hyperlink w:anchor="latin-record-0223">
        <w:r>
          <w:rPr>
            <w:color w:val="000000"/>
          </w:rPr>
          <w:t xml:space="preserve">cogere</w:t>
        </w:r>
      </w:hyperlink>
      <w:r>
        <w:rPr>
          <w:b w:val="0"/>
          <w:i w:val="0"/>
        </w:rPr>
        <w:t xml:space="preserve">; </w:t>
      </w:r>
      <w:hyperlink w:anchor="latin-record-0354">
        <w:r>
          <w:rPr>
            <w:color w:val="000000"/>
          </w:rPr>
          <w:t xml:space="preserve">cupiditas</w:t>
        </w:r>
      </w:hyperlink>
      <w:r>
        <w:rPr>
          <w:b w:val="0"/>
          <w:i w:val="0"/>
        </w:rPr>
        <w:t xml:space="preserve">; </w:t>
      </w:r>
      <w:hyperlink w:anchor="latin-record-0972">
        <w:r>
          <w:rPr>
            <w:color w:val="000000"/>
          </w:rPr>
          <w:t xml:space="preserve">potentior / melior</w:t>
        </w:r>
      </w:hyperlink>
      <w:r>
        <w:rPr>
          <w:b w:val="0"/>
          <w:i w:val="0"/>
        </w:rPr>
        <w:t xml:space="preserve">; </w:t>
      </w:r>
      <w:hyperlink w:anchor="latin-record-0973">
        <w:r>
          <w:rPr>
            <w:color w:val="000000"/>
          </w:rPr>
          <w:t xml:space="preserve">potestas</w:t>
        </w:r>
      </w:hyperlink>
      <w:r>
        <w:rPr>
          <w:b w:val="0"/>
          <w:i w:val="0"/>
        </w:rPr>
        <w:t xml:space="preserve">; </w:t>
      </w:r>
      <w:hyperlink w:anchor="latin-record-1337">
        <w:r>
          <w:rPr>
            <w:color w:val="000000"/>
          </w:rPr>
          <w:t xml:space="preserve">velle / voluntas</w:t>
        </w:r>
      </w:hyperlink>
      <w:r>
        <w:rPr>
          <w:b w:val="0"/>
          <w:i w:val="0"/>
        </w:rPr>
        <w:t>.</w:t>
      </w:r>
    </w:p>
    <w:p>
      <w:pPr>
        <w:widowControl/>
      </w:pPr>
      <w:bookmarkStart w:id="1769" w:name="passage-v-15-22"/>
      <w:bookmarkEnd w:id="1769"/>
      <w:r>
        <w:rPr>
          <w:b/>
          <w:i w:val="0"/>
        </w:rPr>
        <w:t>V.15.22</w:t>
      </w:r>
      <w:r>
        <w:rPr>
          <w:b/>
          <w:i w:val="0"/>
        </w:rPr>
        <w:t>, source pp. 118–119.</w:t>
      </w:r>
      <w:r>
        <w:rPr>
          <w:b w:val="0"/>
          <w:i w:val="0"/>
        </w:rPr>
        <w:t xml:space="preserve"> Articles: </w:t>
      </w:r>
      <w:hyperlink w:anchor="conversion-desire-and-compulsion">
        <w:r>
          <w:rPr>
            <w:color w:val="000000"/>
          </w:rPr>
          <w:t xml:space="preserve">Conversion, desire and compulsion</w:t>
        </w:r>
      </w:hyperlink>
      <w:r>
        <w:rPr>
          <w:b w:val="0"/>
          <w:i w:val="0"/>
        </w:rPr>
        <w:t xml:space="preserve">. Vocabulary: </w:t>
      </w:r>
      <w:hyperlink w:anchor="latin-record-0223">
        <w:r>
          <w:rPr>
            <w:color w:val="000000"/>
          </w:rPr>
          <w:t xml:space="preserve">cogere</w:t>
        </w:r>
      </w:hyperlink>
      <w:r>
        <w:rPr>
          <w:b w:val="0"/>
          <w:i w:val="0"/>
        </w:rPr>
        <w:t xml:space="preserve">; </w:t>
      </w:r>
      <w:hyperlink w:anchor="latin-record-0249">
        <w:r>
          <w:rPr>
            <w:color w:val="000000"/>
          </w:rPr>
          <w:t xml:space="preserve">commutatio</w:t>
        </w:r>
      </w:hyperlink>
      <w:r>
        <w:rPr>
          <w:b w:val="0"/>
          <w:i w:val="0"/>
        </w:rPr>
        <w:t xml:space="preserve">; </w:t>
      </w:r>
      <w:hyperlink w:anchor="latin-record-0354">
        <w:r>
          <w:rPr>
            <w:color w:val="000000"/>
          </w:rPr>
          <w:t xml:space="preserve">cupiditas</w:t>
        </w:r>
      </w:hyperlink>
      <w:r>
        <w:rPr>
          <w:b w:val="0"/>
          <w:i w:val="0"/>
        </w:rPr>
        <w:t xml:space="preserve">; </w:t>
      </w:r>
      <w:hyperlink w:anchor="latin-record-0967">
        <w:r>
          <w:rPr>
            <w:color w:val="000000"/>
          </w:rPr>
          <w:t xml:space="preserve">possidere / consulere / imperare</w:t>
        </w:r>
      </w:hyperlink>
      <w:r>
        <w:rPr>
          <w:b w:val="0"/>
          <w:i w:val="0"/>
        </w:rPr>
        <w:t xml:space="preserve">; </w:t>
      </w:r>
      <w:hyperlink w:anchor="latin-record-0973">
        <w:r>
          <w:rPr>
            <w:color w:val="000000"/>
          </w:rPr>
          <w:t xml:space="preserve">potestas</w:t>
        </w:r>
      </w:hyperlink>
      <w:r>
        <w:rPr>
          <w:b w:val="0"/>
          <w:i w:val="0"/>
        </w:rPr>
        <w:t xml:space="preserve">; </w:t>
      </w:r>
      <w:hyperlink w:anchor="latin-record-1201">
        <w:r>
          <w:rPr>
            <w:color w:val="000000"/>
          </w:rPr>
          <w:t xml:space="preserve">solutus</w:t>
        </w:r>
      </w:hyperlink>
      <w:r>
        <w:rPr>
          <w:b w:val="0"/>
          <w:i w:val="0"/>
        </w:rPr>
        <w:t xml:space="preserve">; </w:t>
      </w:r>
      <w:hyperlink w:anchor="latin-record-1337">
        <w:r>
          <w:rPr>
            <w:color w:val="000000"/>
          </w:rPr>
          <w:t xml:space="preserve">velle / voluntas</w:t>
        </w:r>
      </w:hyperlink>
      <w:r>
        <w:rPr>
          <w:b w:val="0"/>
          <w:i w:val="0"/>
        </w:rPr>
        <w:t>.</w:t>
      </w:r>
    </w:p>
    <w:p>
      <w:pPr>
        <w:widowControl/>
      </w:pPr>
      <w:bookmarkStart w:id="1770" w:name="passage-v-15-23"/>
      <w:bookmarkEnd w:id="1770"/>
      <w:r>
        <w:rPr>
          <w:b/>
          <w:i w:val="0"/>
        </w:rPr>
        <w:t>V.15.23</w:t>
      </w:r>
      <w:r>
        <w:rPr>
          <w:b/>
          <w:i w:val="0"/>
        </w:rPr>
        <w:t>, source pp. 120–121.</w:t>
      </w:r>
      <w:r>
        <w:rPr>
          <w:b w:val="0"/>
          <w:i w:val="0"/>
        </w:rPr>
        <w:t xml:space="preserve"> Articles: </w:t>
      </w:r>
      <w:hyperlink w:anchor="conversion-desire-and-compulsion">
        <w:r>
          <w:rPr>
            <w:color w:val="000000"/>
          </w:rPr>
          <w:t xml:space="preserve">Conversion, desire and compulsion</w:t>
        </w:r>
      </w:hyperlink>
      <w:r>
        <w:rPr>
          <w:b w:val="0"/>
          <w:i w:val="0"/>
        </w:rPr>
        <w:t xml:space="preserve">; </w:t>
      </w:r>
      <w:hyperlink w:anchor="passivity-and-bodily-affection">
        <w:r>
          <w:rPr>
            <w:color w:val="000000"/>
          </w:rPr>
          <w:t xml:space="preserve">Passivity and bodily affection</w:t>
        </w:r>
      </w:hyperlink>
      <w:r>
        <w:rPr>
          <w:b w:val="0"/>
          <w:i w:val="0"/>
        </w:rPr>
        <w:t xml:space="preserve">; </w:t>
      </w:r>
      <w:hyperlink w:anchor="sleep-and-dreams">
        <w:r>
          <w:rPr>
            <w:color w:val="000000"/>
          </w:rPr>
          <w:t xml:space="preserve">Sleep and dreams</w:t>
        </w:r>
      </w:hyperlink>
      <w:r>
        <w:rPr>
          <w:b w:val="0"/>
          <w:i w:val="0"/>
        </w:rPr>
        <w:t xml:space="preserve">. Vocabulary: </w:t>
      </w:r>
      <w:hyperlink w:anchor="latin-record-0249">
        <w:r>
          <w:rPr>
            <w:color w:val="000000"/>
          </w:rPr>
          <w:t xml:space="preserve">commutatio</w:t>
        </w:r>
      </w:hyperlink>
      <w:r>
        <w:rPr>
          <w:b w:val="0"/>
          <w:i w:val="0"/>
        </w:rPr>
        <w:t xml:space="preserve">; </w:t>
      </w:r>
      <w:hyperlink w:anchor="latin-record-0871">
        <w:r>
          <w:rPr>
            <w:color w:val="000000"/>
          </w:rPr>
          <w:t xml:space="preserve">opprimere / marcescere</w:t>
        </w:r>
      </w:hyperlink>
      <w:r>
        <w:rPr>
          <w:b w:val="0"/>
          <w:i w:val="0"/>
        </w:rPr>
        <w:t xml:space="preserve">; </w:t>
      </w:r>
      <w:hyperlink w:anchor="latin-record-1088">
        <w:r>
          <w:rPr>
            <w:color w:val="000000"/>
          </w:rPr>
          <w:t xml:space="preserve">reficere</w:t>
        </w:r>
      </w:hyperlink>
      <w:r>
        <w:rPr>
          <w:b w:val="0"/>
          <w:i w:val="0"/>
        </w:rPr>
        <w:t xml:space="preserve">; </w:t>
      </w:r>
      <w:hyperlink w:anchor="latin-record-1160">
        <w:r>
          <w:rPr>
            <w:color w:val="000000"/>
          </w:rPr>
          <w:t xml:space="preserve">sentire / sensus</w:t>
        </w:r>
      </w:hyperlink>
      <w:r>
        <w:rPr>
          <w:b w:val="0"/>
          <w:i w:val="0"/>
        </w:rPr>
        <w:t xml:space="preserve">; </w:t>
      </w:r>
      <w:hyperlink w:anchor="latin-record-1204">
        <w:r>
          <w:rPr>
            <w:color w:val="000000"/>
          </w:rPr>
          <w:t xml:space="preserve">somnus</w:t>
        </w:r>
      </w:hyperlink>
      <w:r>
        <w:rPr>
          <w:b w:val="0"/>
          <w:i w:val="0"/>
        </w:rPr>
        <w:t xml:space="preserve">; </w:t>
      </w:r>
      <w:hyperlink w:anchor="latin-record-1206">
        <w:r>
          <w:rPr>
            <w:color w:val="000000"/>
          </w:rPr>
          <w:t xml:space="preserve">sopire / claudere</w:t>
        </w:r>
      </w:hyperlink>
      <w:r>
        <w:rPr>
          <w:b w:val="0"/>
          <w:i w:val="0"/>
        </w:rPr>
        <w:t xml:space="preserve">; </w:t>
      </w:r>
      <w:hyperlink w:anchor="latin-record-1337">
        <w:r>
          <w:rPr>
            <w:color w:val="000000"/>
          </w:rPr>
          <w:t xml:space="preserve">velle / voluntas</w:t>
        </w:r>
      </w:hyperlink>
      <w:r>
        <w:rPr>
          <w:b w:val="0"/>
          <w:i w:val="0"/>
        </w:rPr>
        <w:t>.</w:t>
      </w:r>
    </w:p>
    <w:p>
      <w:pPr>
        <w:widowControl/>
      </w:pPr>
      <w:bookmarkStart w:id="1771" w:name="passage-v-15-24"/>
      <w:bookmarkEnd w:id="1771"/>
      <w:r>
        <w:rPr>
          <w:b/>
          <w:i w:val="0"/>
        </w:rPr>
        <w:t>V.15.24</w:t>
      </w:r>
      <w:r>
        <w:rPr>
          <w:b/>
          <w:i w:val="0"/>
        </w:rPr>
        <w:t>, source pp. 120–121.</w:t>
      </w:r>
      <w:r>
        <w:rPr>
          <w:b w:val="0"/>
          <w:i w:val="0"/>
        </w:rPr>
        <w:t xml:space="preserve"> Articles: </w:t>
      </w:r>
      <w:hyperlink w:anchor="passivity-and-bodily-affection">
        <w:r>
          <w:rPr>
            <w:color w:val="000000"/>
          </w:rPr>
          <w:t xml:space="preserve">Passivity and bodily affection</w:t>
        </w:r>
      </w:hyperlink>
      <w:r>
        <w:rPr>
          <w:b w:val="0"/>
          <w:i w:val="0"/>
        </w:rPr>
        <w:t xml:space="preserve">; </w:t>
      </w:r>
      <w:hyperlink w:anchor="sleep-and-dreams">
        <w:r>
          <w:rPr>
            <w:color w:val="000000"/>
          </w:rPr>
          <w:t xml:space="preserve">Sleep and dreams</w:t>
        </w:r>
      </w:hyperlink>
      <w:r>
        <w:rPr>
          <w:b w:val="0"/>
          <w:i w:val="0"/>
        </w:rPr>
        <w:t xml:space="preserve">; </w:t>
      </w:r>
      <w:hyperlink w:anchor="time-memory-and-expectation">
        <w:r>
          <w:rPr>
            <w:color w:val="000000"/>
          </w:rPr>
          <w:t xml:space="preserve">Time, memory and expectation</w:t>
        </w:r>
      </w:hyperlink>
      <w:r>
        <w:rPr>
          <w:b w:val="0"/>
          <w:i w:val="0"/>
        </w:rPr>
        <w:t xml:space="preserve">. Vocabulary: </w:t>
      </w:r>
      <w:hyperlink w:anchor="latin-record-0388">
        <w:r>
          <w:rPr>
            <w:color w:val="000000"/>
          </w:rPr>
          <w:t xml:space="preserve">discernere</w:t>
        </w:r>
      </w:hyperlink>
      <w:r>
        <w:rPr>
          <w:b w:val="0"/>
          <w:i w:val="0"/>
        </w:rPr>
        <w:t xml:space="preserve">; </w:t>
      </w:r>
      <w:hyperlink w:anchor="latin-record-0398">
        <w:r>
          <w:rPr>
            <w:color w:val="000000"/>
          </w:rPr>
          <w:t xml:space="preserve">disputare</w:t>
        </w:r>
      </w:hyperlink>
      <w:r>
        <w:rPr>
          <w:b w:val="0"/>
          <w:i w:val="0"/>
        </w:rPr>
        <w:t xml:space="preserve">; </w:t>
      </w:r>
      <w:hyperlink w:anchor="latin-record-0413">
        <w:r>
          <w:rPr>
            <w:color w:val="000000"/>
          </w:rPr>
          <w:t xml:space="preserve">dormire / vigilare / expergefieri</w:t>
        </w:r>
      </w:hyperlink>
      <w:r>
        <w:rPr>
          <w:b w:val="0"/>
          <w:i w:val="0"/>
        </w:rPr>
        <w:t xml:space="preserve">; </w:t>
      </w:r>
      <w:hyperlink w:anchor="latin-record-0617">
        <w:r>
          <w:rPr>
            <w:color w:val="000000"/>
          </w:rPr>
          <w:t xml:space="preserve">incommutabilis / immutabilis</w:t>
        </w:r>
      </w:hyperlink>
      <w:r>
        <w:rPr>
          <w:b w:val="0"/>
          <w:i w:val="0"/>
        </w:rPr>
        <w:t xml:space="preserve">; </w:t>
      </w:r>
      <w:hyperlink w:anchor="latin-record-0665">
        <w:r>
          <w:rPr>
            <w:color w:val="000000"/>
          </w:rPr>
          <w:t xml:space="preserve">intelligere / intelligentia</w:t>
        </w:r>
      </w:hyperlink>
      <w:r>
        <w:rPr>
          <w:b w:val="0"/>
          <w:i w:val="0"/>
        </w:rPr>
        <w:t xml:space="preserve">; </w:t>
      </w:r>
      <w:hyperlink w:anchor="latin-record-0936">
        <w:r>
          <w:rPr>
            <w:color w:val="000000"/>
          </w:rPr>
          <w:t xml:space="preserve">persona / verba</w:t>
        </w:r>
      </w:hyperlink>
      <w:r>
        <w:rPr>
          <w:b w:val="0"/>
          <w:i w:val="0"/>
        </w:rPr>
        <w:t xml:space="preserve">; </w:t>
      </w:r>
      <w:hyperlink w:anchor="latin-record-0979">
        <w:r>
          <w:rPr>
            <w:color w:val="000000"/>
          </w:rPr>
          <w:t xml:space="preserve">praesentia</w:t>
        </w:r>
      </w:hyperlink>
      <w:r>
        <w:rPr>
          <w:b w:val="0"/>
          <w:i w:val="0"/>
        </w:rPr>
        <w:t xml:space="preserve">; </w:t>
      </w:r>
      <w:hyperlink w:anchor="latin-record-1160">
        <w:r>
          <w:rPr>
            <w:color w:val="000000"/>
          </w:rPr>
          <w:t xml:space="preserve">sentire / sensus</w:t>
        </w:r>
      </w:hyperlink>
      <w:r>
        <w:rPr>
          <w:b w:val="0"/>
          <w:i w:val="0"/>
        </w:rPr>
        <w:t xml:space="preserve">; </w:t>
      </w:r>
      <w:hyperlink w:anchor="latin-record-1167">
        <w:r>
          <w:rPr>
            <w:color w:val="000000"/>
          </w:rPr>
          <w:t xml:space="preserve">sequi</w:t>
        </w:r>
      </w:hyperlink>
      <w:r>
        <w:rPr>
          <w:b w:val="0"/>
          <w:i w:val="0"/>
        </w:rPr>
        <w:t xml:space="preserve">; </w:t>
      </w:r>
      <w:hyperlink w:anchor="latin-record-1204">
        <w:r>
          <w:rPr>
            <w:color w:val="000000"/>
          </w:rPr>
          <w:t xml:space="preserve">somnus</w:t>
        </w:r>
      </w:hyperlink>
      <w:r>
        <w:rPr>
          <w:b w:val="0"/>
          <w:i w:val="0"/>
        </w:rPr>
        <w:t>.</w:t>
      </w:r>
    </w:p>
    <w:p>
      <w:pPr>
        <w:widowControl/>
      </w:pPr>
      <w:bookmarkStart w:id="1772" w:name="passage-v-15-25"/>
      <w:bookmarkEnd w:id="1772"/>
      <w:r>
        <w:rPr>
          <w:b/>
          <w:i w:val="0"/>
        </w:rPr>
        <w:t>V.15.25</w:t>
      </w:r>
      <w:r>
        <w:rPr>
          <w:b/>
          <w:i w:val="0"/>
        </w:rPr>
        <w:t>, source pp. 122–123.</w:t>
      </w:r>
      <w:r>
        <w:rPr>
          <w:b w:val="0"/>
          <w:i w:val="0"/>
        </w:rPr>
        <w:t xml:space="preserve"> Articles: </w:t>
      </w:r>
      <w:hyperlink w:anchor="conversion-desire-and-compulsion">
        <w:r>
          <w:rPr>
            <w:color w:val="000000"/>
          </w:rPr>
          <w:t xml:space="preserve">Conversion, desire and compulsion</w:t>
        </w:r>
      </w:hyperlink>
      <w:r>
        <w:rPr>
          <w:b w:val="0"/>
          <w:i w:val="0"/>
        </w:rPr>
        <w:t xml:space="preserve">; </w:t>
      </w:r>
      <w:hyperlink w:anchor="soul-as-universal-bond">
        <w:r>
          <w:rPr>
            <w:color w:val="000000"/>
          </w:rPr>
          <w:t xml:space="preserve">Soul as universal bond</w:t>
        </w:r>
      </w:hyperlink>
      <w:r>
        <w:rPr>
          <w:b w:val="0"/>
          <w:i w:val="0"/>
        </w:rPr>
        <w:t xml:space="preserve">; </w:t>
      </w:r>
      <w:hyperlink w:anchor="transmission-of-form-and-natural-order">
        <w:r>
          <w:rPr>
            <w:color w:val="000000"/>
          </w:rPr>
          <w:t xml:space="preserve">Transmission of form and natural order</w:t>
        </w:r>
      </w:hyperlink>
      <w:r>
        <w:rPr>
          <w:b w:val="0"/>
          <w:i w:val="0"/>
        </w:rPr>
        <w:t xml:space="preserve">. Vocabulary: </w:t>
      </w:r>
      <w:hyperlink w:anchor="latin-record-0034">
        <w:r>
          <w:rPr>
            <w:color w:val="000000"/>
          </w:rPr>
          <w:t xml:space="preserve">adimere</w:t>
        </w:r>
      </w:hyperlink>
      <w:r>
        <w:rPr>
          <w:b w:val="0"/>
          <w:i w:val="0"/>
        </w:rPr>
        <w:t xml:space="preserve">; </w:t>
      </w:r>
      <w:hyperlink w:anchor="latin-record-0356">
        <w:r>
          <w:rPr>
            <w:color w:val="000000"/>
          </w:rPr>
          <w:t xml:space="preserve">dare / tribuere / praestare</w:t>
        </w:r>
      </w:hyperlink>
      <w:r>
        <w:rPr>
          <w:b w:val="0"/>
          <w:i w:val="0"/>
        </w:rPr>
        <w:t xml:space="preserve">; </w:t>
      </w:r>
      <w:hyperlink w:anchor="latin-record-0617">
        <w:r>
          <w:rPr>
            <w:color w:val="000000"/>
          </w:rPr>
          <w:t xml:space="preserve">incommutabilis / immutabilis</w:t>
        </w:r>
      </w:hyperlink>
      <w:r>
        <w:rPr>
          <w:b w:val="0"/>
          <w:i w:val="0"/>
        </w:rPr>
        <w:t xml:space="preserve">; </w:t>
      </w:r>
      <w:hyperlink w:anchor="latin-record-0844">
        <w:r>
          <w:rPr>
            <w:color w:val="000000"/>
          </w:rPr>
          <w:t xml:space="preserve">non localiter</w:t>
        </w:r>
      </w:hyperlink>
      <w:r>
        <w:rPr>
          <w:b w:val="0"/>
          <w:i w:val="0"/>
        </w:rPr>
        <w:t xml:space="preserve">; </w:t>
      </w:r>
      <w:hyperlink w:anchor="latin-record-0972">
        <w:r>
          <w:rPr>
            <w:color w:val="000000"/>
          </w:rPr>
          <w:t xml:space="preserve">potentior / melior</w:t>
        </w:r>
      </w:hyperlink>
      <w:r>
        <w:rPr>
          <w:b w:val="0"/>
          <w:i w:val="0"/>
        </w:rPr>
        <w:t xml:space="preserve">; </w:t>
      </w:r>
      <w:hyperlink w:anchor="latin-record-1011">
        <w:r>
          <w:rPr>
            <w:color w:val="000000"/>
          </w:rPr>
          <w:t xml:space="preserve">propinquitas / naturae ordo</w:t>
        </w:r>
      </w:hyperlink>
      <w:r>
        <w:rPr>
          <w:b w:val="0"/>
          <w:i w:val="0"/>
        </w:rPr>
        <w:t>.</w:t>
      </w:r>
    </w:p>
    <w:p>
      <w:pPr>
        <w:widowControl/>
      </w:pPr>
      <w:bookmarkStart w:id="1773" w:name="passage-v-15-26"/>
      <w:bookmarkEnd w:id="1773"/>
      <w:r>
        <w:rPr>
          <w:b/>
          <w:i w:val="0"/>
        </w:rPr>
        <w:t>V.15.26</w:t>
      </w:r>
      <w:r>
        <w:rPr>
          <w:b/>
          <w:i w:val="0"/>
        </w:rPr>
        <w:t>, source pp. 122–123.</w:t>
      </w:r>
      <w:r>
        <w:rPr>
          <w:b w:val="0"/>
          <w:i w:val="0"/>
        </w:rPr>
        <w:t xml:space="preserve"> Articles: </w:t>
      </w:r>
      <w:hyperlink w:anchor="conversion-desire-and-compulsion">
        <w:r>
          <w:rPr>
            <w:color w:val="000000"/>
          </w:rPr>
          <w:t xml:space="preserve">Conversion, desire and compulsion</w:t>
        </w:r>
      </w:hyperlink>
      <w:r>
        <w:rPr>
          <w:b w:val="0"/>
          <w:i w:val="0"/>
        </w:rPr>
        <w:t xml:space="preserve">; </w:t>
      </w:r>
      <w:hyperlink w:anchor="soul-as-universal-bond">
        <w:r>
          <w:rPr>
            <w:color w:val="000000"/>
          </w:rPr>
          <w:t xml:space="preserve">Soul as universal bond</w:t>
        </w:r>
      </w:hyperlink>
      <w:r>
        <w:rPr>
          <w:b w:val="0"/>
          <w:i w:val="0"/>
        </w:rPr>
        <w:t xml:space="preserve">; </w:t>
      </w:r>
      <w:hyperlink w:anchor="transmission-of-form-and-natural-order">
        <w:r>
          <w:rPr>
            <w:color w:val="000000"/>
          </w:rPr>
          <w:t xml:space="preserve">Transmission of form and natural order</w:t>
        </w:r>
      </w:hyperlink>
      <w:r>
        <w:rPr>
          <w:b w:val="0"/>
          <w:i w:val="0"/>
        </w:rPr>
        <w:t xml:space="preserve">. Vocabulary: </w:t>
      </w:r>
      <w:hyperlink w:anchor="latin-record-0034">
        <w:r>
          <w:rPr>
            <w:color w:val="000000"/>
          </w:rPr>
          <w:t xml:space="preserve">adimere</w:t>
        </w:r>
      </w:hyperlink>
      <w:r>
        <w:rPr>
          <w:b w:val="0"/>
          <w:i w:val="0"/>
        </w:rPr>
        <w:t xml:space="preserve">; </w:t>
      </w:r>
      <w:hyperlink w:anchor="latin-record-1259">
        <w:r>
          <w:rPr>
            <w:color w:val="000000"/>
          </w:rPr>
          <w:t xml:space="preserve">sumere</w:t>
        </w:r>
      </w:hyperlink>
      <w:r>
        <w:rPr>
          <w:b w:val="0"/>
          <w:i w:val="0"/>
        </w:rPr>
        <w:t xml:space="preserve">; </w:t>
      </w:r>
      <w:hyperlink w:anchor="latin-record-1298">
        <w:r>
          <w:rPr>
            <w:color w:val="000000"/>
          </w:rPr>
          <w:t xml:space="preserve">tradere</w:t>
        </w:r>
      </w:hyperlink>
      <w:r>
        <w:rPr>
          <w:b w:val="0"/>
          <w:i w:val="0"/>
        </w:rPr>
        <w:t>.</w:t>
      </w:r>
    </w:p>
    <w:p>
      <w:pPr>
        <w:widowControl/>
      </w:pPr>
      <w:bookmarkStart w:id="1774" w:name="passage-v-15-27"/>
      <w:bookmarkEnd w:id="1774"/>
      <w:r>
        <w:rPr>
          <w:b/>
          <w:i w:val="0"/>
        </w:rPr>
        <w:t>V.15.27</w:t>
      </w:r>
      <w:r>
        <w:rPr>
          <w:b/>
          <w:i w:val="0"/>
        </w:rPr>
        <w:t>, source pp. 124–125.</w:t>
      </w:r>
      <w:r>
        <w:rPr>
          <w:b w:val="0"/>
          <w:i w:val="0"/>
        </w:rPr>
        <w:t xml:space="preserve"> Articles: </w:t>
      </w:r>
      <w:hyperlink w:anchor="conversion-desire-and-compulsion">
        <w:r>
          <w:rPr>
            <w:color w:val="000000"/>
          </w:rPr>
          <w:t xml:space="preserve">Conversion, desire and compulsion</w:t>
        </w:r>
      </w:hyperlink>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soul-as-universal-bond">
        <w:r>
          <w:rPr>
            <w:color w:val="000000"/>
          </w:rPr>
          <w:t xml:space="preserve">Soul as universal bond</w:t>
        </w:r>
      </w:hyperlink>
      <w:r>
        <w:rPr>
          <w:b w:val="0"/>
          <w:i w:val="0"/>
        </w:rPr>
        <w:t xml:space="preserve">; </w:t>
      </w:r>
      <w:hyperlink w:anchor="transmission-of-form-and-natural-order">
        <w:r>
          <w:rPr>
            <w:color w:val="000000"/>
          </w:rPr>
          <w:t xml:space="preserve">Transmission of form and natural order</w:t>
        </w:r>
      </w:hyperlink>
      <w:r>
        <w:rPr>
          <w:b w:val="0"/>
          <w:i w:val="0"/>
        </w:rPr>
        <w:t xml:space="preserve">. Vocabulary: </w:t>
      </w:r>
      <w:hyperlink w:anchor="latin-record-0034">
        <w:r>
          <w:rPr>
            <w:color w:val="000000"/>
          </w:rPr>
          <w:t xml:space="preserve">adimere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689">
        <w:r>
          <w:rPr>
            <w:color w:val="000000"/>
          </w:rPr>
          <w:t xml:space="preserve">irrationalis vita</w:t>
        </w:r>
      </w:hyperlink>
      <w:r>
        <w:rPr>
          <w:b w:val="0"/>
          <w:i w:val="0"/>
        </w:rPr>
        <w:t xml:space="preserve">; </w:t>
      </w:r>
      <w:hyperlink w:anchor="latin-record-0792">
        <w:r>
          <w:rPr>
            <w:color w:val="000000"/>
          </w:rPr>
          <w:t xml:space="preserve">moles</w:t>
        </w:r>
      </w:hyperlink>
      <w:r>
        <w:rPr>
          <w:b w:val="0"/>
          <w:i w:val="0"/>
        </w:rPr>
        <w:t xml:space="preserve">; </w:t>
      </w:r>
      <w:hyperlink w:anchor="latin-record-0972">
        <w:r>
          <w:rPr>
            <w:color w:val="000000"/>
          </w:rPr>
          <w:t xml:space="preserve">potentior / melior</w:t>
        </w:r>
      </w:hyperlink>
      <w:r>
        <w:rPr>
          <w:b w:val="0"/>
          <w:i w:val="0"/>
        </w:rPr>
        <w:t xml:space="preserve">; </w:t>
      </w:r>
      <w:hyperlink w:anchor="latin-record-1011">
        <w:r>
          <w:rPr>
            <w:color w:val="000000"/>
          </w:rPr>
          <w:t xml:space="preserve">propinquitas / naturae ordo</w:t>
        </w:r>
      </w:hyperlink>
      <w:r>
        <w:rPr>
          <w:b w:val="0"/>
          <w:i w:val="0"/>
        </w:rPr>
        <w:t xml:space="preserve">; </w:t>
      </w:r>
      <w:hyperlink w:anchor="latin-record-1262">
        <w:r>
          <w:rPr>
            <w:color w:val="000000"/>
          </w:rPr>
          <w:t xml:space="preserve">superare / praestare</w:t>
        </w:r>
      </w:hyperlink>
      <w:r>
        <w:rPr>
          <w:b w:val="0"/>
          <w:i w:val="0"/>
        </w:rPr>
        <w:t xml:space="preserve">; </w:t>
      </w:r>
      <w:hyperlink w:anchor="latin-record-1298">
        <w:r>
          <w:rPr>
            <w:color w:val="000000"/>
          </w:rPr>
          <w:t xml:space="preserve">tradere</w:t>
        </w:r>
      </w:hyperlink>
      <w:r>
        <w:rPr>
          <w:b w:val="0"/>
          <w:i w:val="0"/>
        </w:rPr>
        <w:t xml:space="preserve">; </w:t>
      </w:r>
      <w:hyperlink w:anchor="latin-record-1310">
        <w:r>
          <w:rPr>
            <w:color w:val="000000"/>
          </w:rPr>
          <w:t xml:space="preserve">tumor</w:t>
        </w:r>
      </w:hyperlink>
      <w:r>
        <w:rPr>
          <w:b w:val="0"/>
          <w:i w:val="0"/>
        </w:rPr>
        <w:t>.</w:t>
      </w:r>
    </w:p>
    <w:p>
      <w:pPr>
        <w:pStyle w:val="Heading2"/>
      </w:pPr>
      <w:bookmarkStart w:id="1775" w:name="chapter-vi.1"/>
      <w:r>
        <w:rPr>
          <w:b w:val="0"/>
          <w:i w:val="0"/>
        </w:rPr>
        <w:t>Chapter VI.1</w:t>
      </w:r>
      <w:bookmarkEnd w:id="1775"/>
    </w:p>
    <w:p>
      <w:pPr>
        <w:widowControl/>
      </w:pPr>
      <w:bookmarkStart w:id="1776" w:name="passage-vi-1-1"/>
      <w:bookmarkEnd w:id="1776"/>
      <w:r>
        <w:rPr>
          <w:b/>
          <w:i w:val="0"/>
        </w:rPr>
        <w:t>VI.1.1</w:t>
      </w:r>
      <w:r>
        <w:rPr>
          <w:b/>
          <w:i w:val="0"/>
        </w:rPr>
        <w:t>, source pp. 128–129.</w:t>
      </w:r>
      <w:r>
        <w:rPr>
          <w:b w:val="0"/>
          <w:i w:val="0"/>
        </w:rPr>
        <w:t xml:space="preserve"> Articles: </w:t>
      </w:r>
      <w:hyperlink w:anchor="cavalcanti-and-five-positions">
        <w:r>
          <w:rPr>
            <w:color w:val="000000"/>
          </w:rPr>
          <w:t xml:space="preserve">Cavalcanti and the five positions</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092">
        <w:r>
          <w:rPr>
            <w:color w:val="000000"/>
          </w:rPr>
          <w:t xml:space="preserve">anima</w:t>
        </w:r>
      </w:hyperlink>
      <w:r>
        <w:rPr>
          <w:b w:val="0"/>
          <w:i w:val="0"/>
        </w:rPr>
        <w:t xml:space="preserve">; </w:t>
      </w:r>
      <w:hyperlink w:anchor="latin-record-0105">
        <w:r>
          <w:rPr>
            <w:color w:val="000000"/>
          </w:rPr>
          <w:t xml:space="preserve">animus</w:t>
        </w:r>
      </w:hyperlink>
      <w:r>
        <w:rPr>
          <w:b w:val="0"/>
          <w:i w:val="0"/>
        </w:rPr>
        <w:t xml:space="preserve">; </w:t>
      </w:r>
      <w:hyperlink w:anchor="latin-record-0137">
        <w:r>
          <w:rPr>
            <w:color w:val="000000"/>
          </w:rPr>
          <w:t xml:space="preserve">assentiri; opinari; arbitrari</w:t>
        </w:r>
      </w:hyperlink>
      <w:r>
        <w:rPr>
          <w:b w:val="0"/>
          <w:i w:val="0"/>
        </w:rPr>
        <w:t xml:space="preserve">; </w:t>
      </w:r>
      <w:hyperlink w:anchor="latin-record-0291">
        <w:r>
          <w:rPr>
            <w:color w:val="000000"/>
          </w:rPr>
          <w:t xml:space="preserve">confutare; reprobare; approbare</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399">
        <w:r>
          <w:rPr>
            <w:color w:val="000000"/>
          </w:rPr>
          <w:t xml:space="preserve">disputatio; disputare</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599">
        <w:r>
          <w:rPr>
            <w:color w:val="000000"/>
          </w:rPr>
          <w:t xml:space="preserve">immortalis; perpetuus; sempiternus</w:t>
        </w:r>
      </w:hyperlink>
      <w:r>
        <w:rPr>
          <w:b w:val="0"/>
          <w:i w:val="0"/>
        </w:rPr>
        <w:t xml:space="preserve">; </w:t>
      </w:r>
      <w:hyperlink w:anchor="latin-record-0645">
        <w:r>
          <w:rPr>
            <w:color w:val="000000"/>
          </w:rPr>
          <w:t xml:space="preserve">inquam</w:t>
        </w:r>
      </w:hyperlink>
      <w:r>
        <w:rPr>
          <w:b w:val="0"/>
          <w:i w:val="0"/>
        </w:rPr>
        <w:t xml:space="preserve">; </w:t>
      </w:r>
      <w:hyperlink w:anchor="latin-record-0697">
        <w:r>
          <w:rPr>
            <w:color w:val="000000"/>
          </w:rPr>
          <w:t xml:space="preserve">Kalendae; laurus</w:t>
        </w:r>
      </w:hyperlink>
      <w:r>
        <w:rPr>
          <w:b w:val="0"/>
          <w:i w:val="0"/>
        </w:rPr>
        <w:t xml:space="preserve">; </w:t>
      </w:r>
      <w:hyperlink w:anchor="latin-record-0700">
        <w:r>
          <w:rPr>
            <w:color w:val="000000"/>
          </w:rPr>
          <w:t xml:space="preserve">Landinus; Nuthius; Vespuccius</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0866">
        <w:r>
          <w:rPr>
            <w:color w:val="000000"/>
          </w:rPr>
          <w:t xml:space="preserve">opinio; sententia</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001">
        <w:r>
          <w:rPr>
            <w:color w:val="000000"/>
          </w:rPr>
          <w:t xml:space="preserve">probabilis; affirmare</w:t>
        </w:r>
      </w:hyperlink>
      <w:r>
        <w:rPr>
          <w:b w:val="0"/>
          <w:i w:val="0"/>
        </w:rPr>
        <w:t xml:space="preserve">; </w:t>
      </w:r>
      <w:hyperlink w:anchor="latin-record-1019">
        <w:r>
          <w:rPr>
            <w:color w:val="000000"/>
          </w:rPr>
          <w:t xml:space="preserve">proprius; communis</w:t>
        </w:r>
      </w:hyperlink>
      <w:r>
        <w:rPr>
          <w:b w:val="0"/>
          <w:i w:val="0"/>
        </w:rPr>
        <w:t xml:space="preserve">; </w:t>
      </w:r>
      <w:hyperlink w:anchor="latin-record-1048">
        <w:r>
          <w:rPr>
            <w:color w:val="000000"/>
          </w:rPr>
          <w:t xml:space="preserve">quantum; quatenus; respectus</w:t>
        </w:r>
      </w:hyperlink>
      <w:r>
        <w:rPr>
          <w:b w:val="0"/>
          <w:i w:val="0"/>
        </w:rPr>
        <w:t xml:space="preserve">; </w:t>
      </w:r>
      <w:hyperlink w:anchor="latin-record-1053">
        <w:r>
          <w:rPr>
            <w:color w:val="000000"/>
          </w:rPr>
          <w:t xml:space="preserve">quinque capita</w:t>
        </w:r>
      </w:hyperlink>
      <w:r>
        <w:rPr>
          <w:b w:val="0"/>
          <w:i w:val="0"/>
        </w:rPr>
        <w:t xml:space="preserve">; </w:t>
      </w:r>
      <w:hyperlink w:anchor="latin-record-1064">
        <w:r>
          <w:rPr>
            <w:color w:val="000000"/>
          </w:rPr>
          <w:t xml:space="preserve">ratio</w:t>
        </w:r>
      </w:hyperlink>
      <w:r>
        <w:rPr>
          <w:b w:val="0"/>
          <w:i w:val="0"/>
        </w:rPr>
        <w:t xml:space="preserve">; </w:t>
      </w:r>
      <w:hyperlink w:anchor="latin-record-1095">
        <w:r>
          <w:rPr>
            <w:color w:val="000000"/>
          </w:rPr>
          <w:t xml:space="preserve">Regnanum; Cavalcantes</w:t>
        </w:r>
      </w:hyperlink>
      <w:r>
        <w:rPr>
          <w:b w:val="0"/>
          <w:i w:val="0"/>
        </w:rPr>
        <w:t xml:space="preserve">; </w:t>
      </w:r>
      <w:hyperlink w:anchor="latin-record-1293">
        <w:r>
          <w:rPr>
            <w:color w:val="000000"/>
          </w:rPr>
          <w:t xml:space="preserve">tertia essentia</w:t>
        </w:r>
      </w:hyperlink>
      <w:r>
        <w:rPr>
          <w:b w:val="0"/>
          <w:i w:val="0"/>
        </w:rPr>
        <w:t>.</w:t>
      </w:r>
    </w:p>
    <w:p>
      <w:pPr>
        <w:widowControl/>
      </w:pPr>
      <w:bookmarkStart w:id="1777" w:name="passage-vi-1-2"/>
      <w:bookmarkEnd w:id="1777"/>
      <w:r>
        <w:rPr>
          <w:b/>
          <w:i w:val="0"/>
        </w:rPr>
        <w:t>VI.1.2</w:t>
      </w:r>
      <w:r>
        <w:rPr>
          <w:b/>
          <w:i w:val="0"/>
        </w:rPr>
        <w:t>, source pp. 128–129.</w:t>
      </w:r>
      <w:r>
        <w:rPr>
          <w:b w:val="0"/>
          <w:i w:val="0"/>
        </w:rPr>
        <w:t xml:space="preserve"> Articles: </w:t>
      </w:r>
      <w:hyperlink w:anchor="cavalcanti-and-five-positions">
        <w:r>
          <w:rPr>
            <w:color w:val="000000"/>
          </w:rPr>
          <w:t xml:space="preserve">Cavalcanti and the five positions</w:t>
        </w:r>
      </w:hyperlink>
      <w:r>
        <w:rPr>
          <w:b w:val="0"/>
          <w:i w:val="0"/>
        </w:rPr>
        <w:t xml:space="preserve">; </w:t>
      </w:r>
      <w:hyperlink w:anchor="corporeal-soul-and-elemental-doxography">
        <w:r>
          <w:rPr>
            <w:color w:val="000000"/>
          </w:rPr>
          <w:t xml:space="preserve">Corporeal soul and elemental doxography</w:t>
        </w:r>
      </w:hyperlink>
      <w:r>
        <w:rPr>
          <w:b w:val="0"/>
          <w:i w:val="0"/>
        </w:rPr>
        <w:t xml:space="preserve">. Vocabulary: </w:t>
      </w:r>
      <w:hyperlink w:anchor="latin-record-0086">
        <w:r>
          <w:rPr>
            <w:color w:val="000000"/>
          </w:rPr>
          <w:t xml:space="preserve">Anaximenes; Diogenes; Critias</w:t>
        </w:r>
      </w:hyperlink>
      <w:r>
        <w:rPr>
          <w:b w:val="0"/>
          <w:i w:val="0"/>
        </w:rPr>
        <w:t xml:space="preserve">; </w:t>
      </w:r>
      <w:hyperlink w:anchor="latin-record-0164">
        <w:r>
          <w:rPr>
            <w:color w:val="000000"/>
          </w:rPr>
          <w:t xml:space="preserve">Boethus; Epicurus; Xenophantes</w:t>
        </w:r>
      </w:hyperlink>
      <w:r>
        <w:rPr>
          <w:b w:val="0"/>
          <w:i w:val="0"/>
        </w:rPr>
        <w:t xml:space="preserve">; </w:t>
      </w:r>
      <w:hyperlink w:anchor="latin-record-0337">
        <w:r>
          <w:rPr>
            <w:color w:val="000000"/>
          </w:rPr>
          <w:t xml:space="preserve">corpus</w:t>
        </w:r>
      </w:hyperlink>
      <w:r>
        <w:rPr>
          <w:b w:val="0"/>
          <w:i w:val="0"/>
        </w:rPr>
        <w:t xml:space="preserve">; </w:t>
      </w:r>
      <w:hyperlink w:anchor="latin-record-0341">
        <w:r>
          <w:rPr>
            <w:color w:val="000000"/>
          </w:rPr>
          <w:t xml:space="preserve">corpusculum</w:t>
        </w:r>
      </w:hyperlink>
      <w:r>
        <w:rPr>
          <w:b w:val="0"/>
          <w:i w:val="0"/>
        </w:rPr>
        <w:t xml:space="preserve">; </w:t>
      </w:r>
      <w:hyperlink w:anchor="latin-record-0364">
        <w:r>
          <w:rPr>
            <w:color w:val="000000"/>
          </w:rPr>
          <w:t xml:space="preserve">Democritus; Leucippus; Hipparchus</w:t>
        </w:r>
      </w:hyperlink>
      <w:r>
        <w:rPr>
          <w:b w:val="0"/>
          <w:i w:val="0"/>
        </w:rPr>
        <w:t xml:space="preserve">; </w:t>
      </w:r>
      <w:hyperlink w:anchor="latin-record-0563">
        <w:r>
          <w:rPr>
            <w:color w:val="000000"/>
          </w:rPr>
          <w:t xml:space="preserve">Hippias; Hesiodus; Pronopides</w:t>
        </w:r>
      </w:hyperlink>
      <w:r>
        <w:rPr>
          <w:b w:val="0"/>
          <w:i w:val="0"/>
        </w:rPr>
        <w:t xml:space="preserve">; </w:t>
      </w:r>
      <w:hyperlink w:anchor="latin-record-0582">
        <w:r>
          <w:rPr>
            <w:color w:val="000000"/>
          </w:rPr>
          <w:t xml:space="preserve">igneus; aereus; aqueus; terreus</w:t>
        </w:r>
      </w:hyperlink>
      <w:r>
        <w:rPr>
          <w:b w:val="0"/>
          <w:i w:val="0"/>
        </w:rPr>
        <w:t xml:space="preserve">; </w:t>
      </w:r>
      <w:hyperlink w:anchor="latin-record-0586">
        <w:r>
          <w:rPr>
            <w:color w:val="000000"/>
          </w:rPr>
          <w:t xml:space="preserve">ignis; aer; aqua</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258">
        <w:r>
          <w:rPr>
            <w:color w:val="000000"/>
          </w:rPr>
          <w:t xml:space="preserve">suffundere</w:t>
        </w:r>
      </w:hyperlink>
      <w:r>
        <w:rPr>
          <w:b w:val="0"/>
          <w:i w:val="0"/>
        </w:rPr>
        <w:t xml:space="preserve">; </w:t>
      </w:r>
      <w:hyperlink w:anchor="latin-record-1285">
        <w:r>
          <w:rPr>
            <w:color w:val="000000"/>
          </w:rPr>
          <w:t xml:space="preserve">tenuis; crassus</w:t>
        </w:r>
      </w:hyperlink>
      <w:r>
        <w:rPr>
          <w:b w:val="0"/>
          <w:i w:val="0"/>
        </w:rPr>
        <w:t xml:space="preserve">; </w:t>
      </w:r>
      <w:hyperlink w:anchor="latin-record-1336">
        <w:r>
          <w:rPr>
            <w:color w:val="000000"/>
          </w:rPr>
          <w:t xml:space="preserve">vel; sive; seu; aut</w:t>
        </w:r>
      </w:hyperlink>
      <w:r>
        <w:rPr>
          <w:b w:val="0"/>
          <w:i w:val="0"/>
        </w:rPr>
        <w:t>.</w:t>
      </w:r>
    </w:p>
    <w:p>
      <w:pPr>
        <w:widowControl/>
      </w:pPr>
      <w:bookmarkStart w:id="1778" w:name="passage-vi-1-3"/>
      <w:bookmarkEnd w:id="1778"/>
      <w:r>
        <w:rPr>
          <w:b/>
          <w:i w:val="0"/>
        </w:rPr>
        <w:t>VI.1.3</w:t>
      </w:r>
      <w:r>
        <w:rPr>
          <w:b/>
          <w:i w:val="0"/>
        </w:rPr>
        <w:t>, source pp. 128–129.</w:t>
      </w:r>
      <w:r>
        <w:rPr>
          <w:b w:val="0"/>
          <w:i w:val="0"/>
        </w:rPr>
        <w:t xml:space="preserve"> Articles: </w:t>
      </w:r>
      <w:hyperlink w:anchor="cavalcanti-and-five-positions">
        <w:r>
          <w:rPr>
            <w:color w:val="000000"/>
          </w:rPr>
          <w:t xml:space="preserve">Cavalcanti and the five positions</w:t>
        </w:r>
      </w:hyperlink>
      <w:r>
        <w:rPr>
          <w:b w:val="0"/>
          <w:i w:val="0"/>
        </w:rPr>
        <w:t xml:space="preserve">; </w:t>
      </w:r>
      <w:hyperlink w:anchor="constitution-point-and-harmony">
        <w:r>
          <w:rPr>
            <w:color w:val="000000"/>
          </w:rPr>
          <w:t xml:space="preserve">Constitution, localized point and harmony</w:t>
        </w:r>
      </w:hyperlink>
      <w:r>
        <w:rPr>
          <w:b w:val="0"/>
          <w:i w:val="0"/>
        </w:rPr>
        <w:t xml:space="preserve">. Vocabulary: </w:t>
      </w:r>
      <w:hyperlink w:anchor="latin-record-0183">
        <w:r>
          <w:rPr>
            <w:color w:val="000000"/>
          </w:rPr>
          <w:t xml:space="preserve">calor; calere</w:t>
        </w:r>
      </w:hyperlink>
      <w:r>
        <w:rPr>
          <w:b w:val="0"/>
          <w:i w:val="0"/>
        </w:rPr>
        <w:t xml:space="preserve">; </w:t>
      </w:r>
      <w:hyperlink w:anchor="latin-record-0258">
        <w:r>
          <w:rPr>
            <w:color w:val="000000"/>
          </w:rPr>
          <w:t xml:space="preserve">complexio calida</w:t>
        </w:r>
      </w:hyperlink>
      <w:r>
        <w:rPr>
          <w:b w:val="0"/>
          <w:i w:val="0"/>
        </w:rPr>
        <w:t xml:space="preserve">; </w:t>
      </w:r>
      <w:hyperlink w:anchor="latin-record-0341">
        <w:r>
          <w:rPr>
            <w:color w:val="000000"/>
          </w:rPr>
          <w:t xml:space="preserve">corpusculum</w:t>
        </w:r>
      </w:hyperlink>
      <w:r>
        <w:rPr>
          <w:b w:val="0"/>
          <w:i w:val="0"/>
        </w:rPr>
        <w:t xml:space="preserve">; </w:t>
      </w:r>
      <w:hyperlink w:anchor="latin-record-1042">
        <w:r>
          <w:rPr>
            <w:color w:val="000000"/>
          </w:rPr>
          <w:t xml:space="preserve">qualitas</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208">
        <w:r>
          <w:rPr>
            <w:color w:val="000000"/>
          </w:rPr>
          <w:t xml:space="preserve">spargere</w:t>
        </w:r>
      </w:hyperlink>
      <w:r>
        <w:rPr>
          <w:b w:val="0"/>
          <w:i w:val="0"/>
        </w:rPr>
        <w:t xml:space="preserve">; </w:t>
      </w:r>
      <w:hyperlink w:anchor="latin-record-1353">
        <w:r>
          <w:rPr>
            <w:color w:val="000000"/>
          </w:rPr>
          <w:t xml:space="preserve">videri velle</w:t>
        </w:r>
      </w:hyperlink>
      <w:r>
        <w:rPr>
          <w:b w:val="0"/>
          <w:i w:val="0"/>
        </w:rPr>
        <w:t xml:space="preserve">; </w:t>
      </w:r>
      <w:hyperlink w:anchor="latin-record-1395">
        <w:r>
          <w:rPr>
            <w:color w:val="000000"/>
          </w:rPr>
          <w:t xml:space="preserve">Zeno; Cleantes; Antipater; Posidonius</w:t>
        </w:r>
      </w:hyperlink>
      <w:r>
        <w:rPr>
          <w:b w:val="0"/>
          <w:i w:val="0"/>
        </w:rPr>
        <w:t>.</w:t>
      </w:r>
    </w:p>
    <w:p>
      <w:pPr>
        <w:widowControl/>
      </w:pPr>
      <w:bookmarkStart w:id="1779" w:name="passage-vi-1-4"/>
      <w:bookmarkEnd w:id="1779"/>
      <w:r>
        <w:rPr>
          <w:b/>
          <w:i w:val="0"/>
        </w:rPr>
        <w:t>VI.1.4</w:t>
      </w:r>
      <w:r>
        <w:rPr>
          <w:b/>
          <w:i w:val="0"/>
        </w:rPr>
        <w:t>, source pp. 130–131.</w:t>
      </w:r>
      <w:r>
        <w:rPr>
          <w:b w:val="0"/>
          <w:i w:val="0"/>
        </w:rPr>
        <w:t xml:space="preserve"> Articles: </w:t>
      </w:r>
      <w:hyperlink w:anchor="cavalcanti-and-five-positions">
        <w:r>
          <w:rPr>
            <w:color w:val="000000"/>
          </w:rPr>
          <w:t xml:space="preserve">Cavalcanti and the five positions</w:t>
        </w:r>
      </w:hyperlink>
      <w:r>
        <w:rPr>
          <w:b w:val="0"/>
          <w:i w:val="0"/>
        </w:rPr>
        <w:t xml:space="preserve">; </w:t>
      </w:r>
      <w:hyperlink w:anchor="constitution-point-and-harmony">
        <w:r>
          <w:rPr>
            <w:color w:val="000000"/>
          </w:rPr>
          <w:t xml:space="preserve">Constitution, localized point and harmony</w:t>
        </w:r>
      </w:hyperlink>
      <w:r>
        <w:rPr>
          <w:b w:val="0"/>
          <w:i w:val="0"/>
        </w:rPr>
        <w:t xml:space="preserve">; </w:t>
      </w:r>
      <w:hyperlink w:anchor="members-house-and-sinew">
        <w:r>
          <w:rPr>
            <w:color w:val="000000"/>
          </w:rPr>
          <w:t xml:space="preserve">Members, house and sinew</w:t>
        </w:r>
      </w:hyperlink>
      <w:r>
        <w:rPr>
          <w:b w:val="0"/>
          <w:i w:val="0"/>
        </w:rPr>
        <w:t xml:space="preserve">. Vocabulary: </w:t>
      </w:r>
      <w:hyperlink w:anchor="latin-record-0140">
        <w:r>
          <w:rPr>
            <w:color w:val="000000"/>
          </w:rPr>
          <w:t xml:space="preserve">assignare; residere; gubernare</w:t>
        </w:r>
      </w:hyperlink>
      <w:r>
        <w:rPr>
          <w:b w:val="0"/>
          <w:i w:val="0"/>
        </w:rPr>
        <w:t xml:space="preserve">; </w:t>
      </w:r>
      <w:hyperlink w:anchor="latin-record-0213">
        <w:r>
          <w:rPr>
            <w:color w:val="000000"/>
          </w:rPr>
          <w:t xml:space="preserve">Chrysippus; Archelaus; Heraclides</w:t>
        </w:r>
      </w:hyperlink>
      <w:r>
        <w:rPr>
          <w:b w:val="0"/>
          <w:i w:val="0"/>
        </w:rPr>
        <w:t xml:space="preserve">; </w:t>
      </w:r>
      <w:hyperlink w:anchor="latin-record-0334">
        <w:r>
          <w:rPr>
            <w:color w:val="000000"/>
          </w:rPr>
          <w:t xml:space="preserve">cor; cerebrum</w:t>
        </w:r>
      </w:hyperlink>
      <w:r>
        <w:rPr>
          <w:b w:val="0"/>
          <w:i w:val="0"/>
        </w:rPr>
        <w:t xml:space="preserve">; </w:t>
      </w:r>
      <w:hyperlink w:anchor="latin-record-0896">
        <w:r>
          <w:rPr>
            <w:color w:val="000000"/>
          </w:rPr>
          <w:t xml:space="preserve">pars; membrum</w:t>
        </w:r>
      </w:hyperlink>
      <w:r>
        <w:rPr>
          <w:b w:val="0"/>
          <w:i w:val="0"/>
        </w:rPr>
        <w:t xml:space="preserve">; </w:t>
      </w:r>
      <w:hyperlink w:anchor="latin-record-1028">
        <w:r>
          <w:rPr>
            <w:color w:val="000000"/>
          </w:rPr>
          <w:t xml:space="preserve">punctum lucidum</w:t>
        </w:r>
      </w:hyperlink>
      <w:r>
        <w:rPr>
          <w:b w:val="0"/>
          <w:i w:val="0"/>
        </w:rPr>
        <w:t xml:space="preserve">; </w:t>
      </w:r>
      <w:hyperlink w:anchor="latin-record-1042">
        <w:r>
          <w:rPr>
            <w:color w:val="000000"/>
          </w:rPr>
          <w:t xml:space="preserve">qualitas</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094">
        <w:r>
          <w:rPr>
            <w:color w:val="000000"/>
          </w:rPr>
          <w:t xml:space="preserve">regere; ducere; gubernare</w:t>
        </w:r>
      </w:hyperlink>
      <w:r>
        <w:rPr>
          <w:b w:val="0"/>
          <w:i w:val="0"/>
        </w:rPr>
        <w:t>.</w:t>
      </w:r>
    </w:p>
    <w:p>
      <w:pPr>
        <w:widowControl/>
      </w:pPr>
      <w:bookmarkStart w:id="1780" w:name="passage-vi-1-5"/>
      <w:bookmarkEnd w:id="1780"/>
      <w:r>
        <w:rPr>
          <w:b/>
          <w:i w:val="0"/>
        </w:rPr>
        <w:t>VI.1.5</w:t>
      </w:r>
      <w:r>
        <w:rPr>
          <w:b/>
          <w:i w:val="0"/>
        </w:rPr>
        <w:t>, source pp. 130–131.</w:t>
      </w:r>
      <w:r>
        <w:rPr>
          <w:b w:val="0"/>
          <w:i w:val="0"/>
        </w:rPr>
        <w:t xml:space="preserve"> Articles: </w:t>
      </w:r>
      <w:hyperlink w:anchor="cavalcanti-and-five-positions">
        <w:r>
          <w:rPr>
            <w:color w:val="000000"/>
          </w:rPr>
          <w:t xml:space="preserve">Cavalcanti and the five positions</w:t>
        </w:r>
      </w:hyperlink>
      <w:r>
        <w:rPr>
          <w:b w:val="0"/>
          <w:i w:val="0"/>
        </w:rPr>
        <w:t xml:space="preserve">; </w:t>
      </w:r>
      <w:hyperlink w:anchor="constitution-point-and-harmony">
        <w:r>
          <w:rPr>
            <w:color w:val="000000"/>
          </w:rPr>
          <w:t xml:space="preserve">Constitution, localized point and harmony</w:t>
        </w:r>
      </w:hyperlink>
      <w:r>
        <w:rPr>
          <w:b w:val="0"/>
          <w:i w:val="0"/>
        </w:rPr>
        <w:t xml:space="preserve">; </w:t>
      </w:r>
      <w:hyperlink w:anchor="corporeal-soul-and-elemental-doxography">
        <w:r>
          <w:rPr>
            <w:color w:val="000000"/>
          </w:rPr>
          <w:t xml:space="preserve">Corporeal soul and elemental doxography</w:t>
        </w:r>
      </w:hyperlink>
      <w:r>
        <w:rPr>
          <w:b w:val="0"/>
          <w:i w:val="0"/>
        </w:rPr>
        <w:t xml:space="preserve">; </w:t>
      </w:r>
      <w:hyperlink w:anchor="divine-production-and-third-essence">
        <w:r>
          <w:rPr>
            <w:color w:val="000000"/>
          </w:rPr>
          <w:t xml:space="preserve">Divine production and the third essence</w:t>
        </w:r>
      </w:hyperlink>
      <w:r>
        <w:rPr>
          <w:b w:val="0"/>
          <w:i w:val="0"/>
        </w:rPr>
        <w:t xml:space="preserve">. Vocabulary: </w:t>
      </w:r>
      <w:hyperlink w:anchor="latin-record-0052">
        <w:r>
          <w:rPr>
            <w:color w:val="000000"/>
          </w:rPr>
          <w:t xml:space="preserve">affigere; situs</w:t>
        </w:r>
      </w:hyperlink>
      <w:r>
        <w:rPr>
          <w:b w:val="0"/>
          <w:i w:val="0"/>
        </w:rPr>
        <w:t xml:space="preserve">; </w:t>
      </w:r>
      <w:hyperlink w:anchor="latin-record-0064">
        <w:r>
          <w:rPr>
            <w:color w:val="000000"/>
          </w:rPr>
          <w:t xml:space="preserve">agilis; agilitas; celeritas</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420">
        <w:r>
          <w:rPr>
            <w:color w:val="000000"/>
          </w:rPr>
          <w:t xml:space="preserve">educere; eruere; addicere</w:t>
        </w:r>
      </w:hyperlink>
      <w:r>
        <w:rPr>
          <w:b w:val="0"/>
          <w:i w:val="0"/>
        </w:rPr>
        <w:t xml:space="preserve">; </w:t>
      </w:r>
      <w:hyperlink w:anchor="latin-record-0557">
        <w:r>
          <w:rPr>
            <w:color w:val="000000"/>
          </w:rPr>
          <w:t xml:space="preserve">harmonia</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0723">
        <w:r>
          <w:rPr>
            <w:color w:val="000000"/>
          </w:rPr>
          <w:t xml:space="preserve">locus; situs</w:t>
        </w:r>
      </w:hyperlink>
      <w:r>
        <w:rPr>
          <w:b w:val="0"/>
          <w:i w:val="0"/>
        </w:rPr>
        <w:t xml:space="preserve">; </w:t>
      </w:r>
      <w:hyperlink w:anchor="latin-record-0757">
        <w:r>
          <w:rPr>
            <w:color w:val="000000"/>
          </w:rPr>
          <w:t xml:space="preserve">materia</w:t>
        </w:r>
      </w:hyperlink>
      <w:r>
        <w:rPr>
          <w:b w:val="0"/>
          <w:i w:val="0"/>
        </w:rPr>
        <w:t xml:space="preserve">; </w:t>
      </w:r>
      <w:hyperlink w:anchor="latin-record-0765">
        <w:r>
          <w:rPr>
            <w:color w:val="000000"/>
          </w:rPr>
          <w:t xml:space="preserve">materiae potentia</w:t>
        </w:r>
      </w:hyperlink>
      <w:r>
        <w:rPr>
          <w:b w:val="0"/>
          <w:i w:val="0"/>
        </w:rPr>
        <w:t xml:space="preserve">; </w:t>
      </w:r>
      <w:hyperlink w:anchor="latin-record-0866">
        <w:r>
          <w:rPr>
            <w:color w:val="000000"/>
          </w:rPr>
          <w:t xml:space="preserve">opinio; sententia</w:t>
        </w:r>
      </w:hyperlink>
      <w:r>
        <w:rPr>
          <w:b w:val="0"/>
          <w:i w:val="0"/>
        </w:rPr>
        <w:t xml:space="preserve">; </w:t>
      </w:r>
      <w:hyperlink w:anchor="latin-record-0896">
        <w:r>
          <w:rPr>
            <w:color w:val="000000"/>
          </w:rPr>
          <w:t xml:space="preserve">pars; membrum</w:t>
        </w:r>
      </w:hyperlink>
      <w:r>
        <w:rPr>
          <w:b w:val="0"/>
          <w:i w:val="0"/>
        </w:rPr>
        <w:t xml:space="preserve">; </w:t>
      </w:r>
      <w:hyperlink w:anchor="latin-record-0922">
        <w:r>
          <w:rPr>
            <w:color w:val="000000"/>
          </w:rPr>
          <w:t xml:space="preserve">per se; quodammodo; proprie</w:t>
        </w:r>
      </w:hyperlink>
      <w:r>
        <w:rPr>
          <w:b w:val="0"/>
          <w:i w:val="0"/>
        </w:rPr>
        <w:t xml:space="preserve">; </w:t>
      </w:r>
      <w:hyperlink w:anchor="latin-record-0968">
        <w:r>
          <w:rPr>
            <w:color w:val="000000"/>
          </w:rPr>
          <w:t xml:space="preserve">potentia</w:t>
        </w:r>
      </w:hyperlink>
      <w:r>
        <w:rPr>
          <w:b w:val="0"/>
          <w:i w:val="0"/>
        </w:rPr>
        <w:t xml:space="preserve">; </w:t>
      </w:r>
      <w:hyperlink w:anchor="latin-record-1152">
        <w:r>
          <w:rPr>
            <w:color w:val="000000"/>
          </w:rPr>
          <w:t xml:space="preserve">semen; incohatio; proportio</w:t>
        </w:r>
      </w:hyperlink>
      <w:r>
        <w:rPr>
          <w:b w:val="0"/>
          <w:i w:val="0"/>
        </w:rPr>
        <w:t xml:space="preserve">; </w:t>
      </w:r>
      <w:hyperlink w:anchor="latin-record-1170">
        <w:r>
          <w:rPr>
            <w:color w:val="000000"/>
          </w:rPr>
          <w:t xml:space="preserve">si; sin; nisi; licet</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336">
        <w:r>
          <w:rPr>
            <w:color w:val="000000"/>
          </w:rPr>
          <w:t xml:space="preserve">vel; sive; seu; aut</w:t>
        </w:r>
      </w:hyperlink>
      <w:r>
        <w:rPr>
          <w:b w:val="0"/>
          <w:i w:val="0"/>
        </w:rPr>
        <w:t xml:space="preserve">; </w:t>
      </w:r>
      <w:hyperlink w:anchor="latin-record-1359">
        <w:r>
          <w:rPr>
            <w:color w:val="000000"/>
          </w:rPr>
          <w:t xml:space="preserve">virtus; vis</w:t>
        </w:r>
      </w:hyperlink>
      <w:r>
        <w:rPr>
          <w:b w:val="0"/>
          <w:i w:val="0"/>
        </w:rPr>
        <w:t xml:space="preserve">; </w:t>
      </w:r>
      <w:hyperlink w:anchor="latin-record-1363">
        <w:r>
          <w:rPr>
            <w:color w:val="000000"/>
          </w:rPr>
          <w:t xml:space="preserve">vis agilis</w:t>
        </w:r>
      </w:hyperlink>
      <w:r>
        <w:rPr>
          <w:b w:val="0"/>
          <w:i w:val="0"/>
        </w:rPr>
        <w:t xml:space="preserve">; </w:t>
      </w:r>
      <w:hyperlink w:anchor="latin-record-1369">
        <w:r>
          <w:rPr>
            <w:color w:val="000000"/>
          </w:rPr>
          <w:t xml:space="preserve">viscera; gremium</w:t>
        </w:r>
      </w:hyperlink>
      <w:r>
        <w:rPr>
          <w:b w:val="0"/>
          <w:i w:val="0"/>
        </w:rPr>
        <w:t xml:space="preserve">; </w:t>
      </w:r>
      <w:hyperlink w:anchor="latin-record-1393">
        <w:r>
          <w:rPr>
            <w:color w:val="000000"/>
          </w:rPr>
          <w:t xml:space="preserve">Xenophanes; Asclepiades; Aristoxenus; Critolaus</w:t>
        </w:r>
      </w:hyperlink>
      <w:r>
        <w:rPr>
          <w:b w:val="0"/>
          <w:i w:val="0"/>
        </w:rPr>
        <w:t>.</w:t>
      </w:r>
    </w:p>
    <w:p>
      <w:pPr>
        <w:widowControl/>
      </w:pPr>
      <w:bookmarkStart w:id="1781" w:name="passage-vi-1-6"/>
      <w:bookmarkEnd w:id="1781"/>
      <w:r>
        <w:rPr>
          <w:b/>
          <w:i w:val="0"/>
        </w:rPr>
        <w:t>VI.1.6</w:t>
      </w:r>
      <w:r>
        <w:rPr>
          <w:b/>
          <w:i w:val="0"/>
        </w:rPr>
        <w:t>, source pp. 132–133.</w:t>
      </w:r>
      <w:r>
        <w:rPr>
          <w:b w:val="0"/>
          <w:i w:val="0"/>
        </w:rPr>
        <w:t xml:space="preserve"> Articles: </w:t>
      </w:r>
      <w:hyperlink w:anchor="animation-first-light-and-regress">
        <w:r>
          <w:rPr>
            <w:color w:val="000000"/>
          </w:rPr>
          <w:t xml:space="preserve">Animation, first light and regress</w:t>
        </w:r>
      </w:hyperlink>
      <w:r>
        <w:rPr>
          <w:b w:val="0"/>
          <w:i w:val="0"/>
        </w:rPr>
        <w:t xml:space="preserve">; </w:t>
      </w:r>
      <w:hyperlink w:anchor="cavalcanti-and-five-positions">
        <w:r>
          <w:rPr>
            <w:color w:val="000000"/>
          </w:rPr>
          <w:t xml:space="preserve">Cavalcanti and the five positions</w:t>
        </w:r>
      </w:hyperlink>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vital-motion-action-and-passion">
        <w:r>
          <w:rPr>
            <w:color w:val="000000"/>
          </w:rPr>
          <w:t xml:space="preserve">Vital motion, action and passion</w:t>
        </w:r>
      </w:hyperlink>
      <w:r>
        <w:rPr>
          <w:b w:val="0"/>
          <w:i w:val="0"/>
        </w:rPr>
        <w:t xml:space="preserve">. Vocabulary: </w:t>
      </w:r>
      <w:hyperlink w:anchor="latin-record-0056">
        <w:r>
          <w:rPr>
            <w:color w:val="000000"/>
          </w:rPr>
          <w:t xml:space="preserve">agentis virtus</w:t>
        </w:r>
      </w:hyperlink>
      <w:r>
        <w:rPr>
          <w:b w:val="0"/>
          <w:i w:val="0"/>
        </w:rPr>
        <w:t xml:space="preserve">; </w:t>
      </w:r>
      <w:hyperlink w:anchor="latin-record-0087">
        <w:r>
          <w:rPr>
            <w:color w:val="000000"/>
          </w:rPr>
          <w:t xml:space="preserve">Angellerius; Arduinus</w:t>
        </w:r>
      </w:hyperlink>
      <w:r>
        <w:rPr>
          <w:b w:val="0"/>
          <w:i w:val="0"/>
        </w:rPr>
        <w:t xml:space="preserve">; </w:t>
      </w:r>
      <w:hyperlink w:anchor="latin-record-0092">
        <w:r>
          <w:rPr>
            <w:color w:val="000000"/>
          </w:rPr>
          <w:t xml:space="preserve">anima</w:t>
        </w:r>
      </w:hyperlink>
      <w:r>
        <w:rPr>
          <w:b w:val="0"/>
          <w:i w:val="0"/>
        </w:rPr>
        <w:t xml:space="preserve">; </w:t>
      </w:r>
      <w:hyperlink w:anchor="latin-record-0148">
        <w:r>
          <w:rPr>
            <w:color w:val="000000"/>
          </w:rPr>
          <w:t xml:space="preserve">auctor; producere</w:t>
        </w:r>
      </w:hyperlink>
      <w:r>
        <w:rPr>
          <w:b w:val="0"/>
          <w:i w:val="0"/>
        </w:rPr>
        <w:t xml:space="preserve">; </w:t>
      </w:r>
      <w:hyperlink w:anchor="latin-record-0159">
        <w:r>
          <w:rPr>
            <w:color w:val="000000"/>
          </w:rPr>
          <w:t xml:space="preserve">Bembus; Chronico; Demetrius</w:t>
        </w:r>
      </w:hyperlink>
      <w:r>
        <w:rPr>
          <w:b w:val="0"/>
          <w:i w:val="0"/>
        </w:rPr>
        <w:t xml:space="preserve">; </w:t>
      </w:r>
      <w:hyperlink w:anchor="latin-record-0188">
        <w:r>
          <w:rPr>
            <w:color w:val="000000"/>
          </w:rPr>
          <w:t xml:space="preserve">capacitas; fomentum</w:t>
        </w:r>
      </w:hyperlink>
      <w:r>
        <w:rPr>
          <w:b w:val="0"/>
          <w:i w:val="0"/>
        </w:rPr>
        <w:t xml:space="preserve">; </w:t>
      </w:r>
      <w:hyperlink w:anchor="latin-record-0291">
        <w:r>
          <w:rPr>
            <w:color w:val="000000"/>
          </w:rPr>
          <w:t xml:space="preserve">confutare; reprobare; approbare</w:t>
        </w:r>
      </w:hyperlink>
      <w:r>
        <w:rPr>
          <w:b w:val="0"/>
          <w:i w:val="0"/>
        </w:rPr>
        <w:t xml:space="preserve">; </w:t>
      </w:r>
      <w:hyperlink w:anchor="latin-record-0330">
        <w:r>
          <w:rPr>
            <w:color w:val="000000"/>
          </w:rPr>
          <w:t xml:space="preserve">convivium; discumbere</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444">
        <w:r>
          <w:rPr>
            <w:color w:val="000000"/>
          </w:rPr>
          <w:t xml:space="preserve">esse; habere; fieri</w:t>
        </w:r>
      </w:hyperlink>
      <w:r>
        <w:rPr>
          <w:b w:val="0"/>
          <w:i w:val="0"/>
        </w:rPr>
        <w:t xml:space="preserve">; </w:t>
      </w:r>
      <w:hyperlink w:anchor="latin-record-0599">
        <w:r>
          <w:rPr>
            <w:color w:val="000000"/>
          </w:rPr>
          <w:t xml:space="preserve">immortalis; perpetuus; sempiternus</w:t>
        </w:r>
      </w:hyperlink>
      <w:r>
        <w:rPr>
          <w:b w:val="0"/>
          <w:i w:val="0"/>
        </w:rPr>
        <w:t xml:space="preserve">; </w:t>
      </w:r>
      <w:hyperlink w:anchor="latin-record-0623">
        <w:r>
          <w:rPr>
            <w:color w:val="000000"/>
          </w:rPr>
          <w:t xml:space="preserve">individuum</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0757">
        <w:r>
          <w:rPr>
            <w:color w:val="000000"/>
          </w:rPr>
          <w:t xml:space="preserve">materia</w:t>
        </w:r>
      </w:hyperlink>
      <w:r>
        <w:rPr>
          <w:b w:val="0"/>
          <w:i w:val="0"/>
        </w:rPr>
        <w:t xml:space="preserve">; </w:t>
      </w:r>
      <w:hyperlink w:anchor="latin-record-0821">
        <w:r>
          <w:rPr>
            <w:color w:val="000000"/>
          </w:rPr>
          <w:t xml:space="preserve">Naldius; Fontius; Bonisegnius</w:t>
        </w:r>
      </w:hyperlink>
      <w:r>
        <w:rPr>
          <w:b w:val="0"/>
          <w:i w:val="0"/>
        </w:rPr>
        <w:t xml:space="preserve">; </w:t>
      </w:r>
      <w:hyperlink w:anchor="latin-record-0866">
        <w:r>
          <w:rPr>
            <w:color w:val="000000"/>
          </w:rPr>
          <w:t xml:space="preserve">opinio; sententia</w:t>
        </w:r>
      </w:hyperlink>
      <w:r>
        <w:rPr>
          <w:b w:val="0"/>
          <w:i w:val="0"/>
        </w:rPr>
        <w:t xml:space="preserve">; </w:t>
      </w:r>
      <w:hyperlink w:anchor="latin-record-0876">
        <w:r>
          <w:rPr>
            <w:color w:val="000000"/>
          </w:rPr>
          <w:t xml:space="preserve">ordinare; ordo</w:t>
        </w:r>
      </w:hyperlink>
      <w:r>
        <w:rPr>
          <w:b w:val="0"/>
          <w:i w:val="0"/>
        </w:rPr>
        <w:t xml:space="preserve">; </w:t>
      </w:r>
      <w:hyperlink w:anchor="latin-record-0944">
        <w:r>
          <w:rPr>
            <w:color w:val="000000"/>
          </w:rPr>
          <w:t xml:space="preserve">Petrus Leo Spoletinus</w:t>
        </w:r>
      </w:hyperlink>
      <w:r>
        <w:rPr>
          <w:b w:val="0"/>
          <w:i w:val="0"/>
        </w:rPr>
        <w:t xml:space="preserve">; </w:t>
      </w:r>
      <w:hyperlink w:anchor="latin-record-0948">
        <w:r>
          <w:rPr>
            <w:color w:val="000000"/>
          </w:rPr>
          <w:t xml:space="preserve">physicus Aristoteles; plurimum</w:t>
        </w:r>
      </w:hyperlink>
      <w:r>
        <w:rPr>
          <w:b w:val="0"/>
          <w:i w:val="0"/>
        </w:rPr>
        <w:t xml:space="preserve">; </w:t>
      </w:r>
      <w:hyperlink w:anchor="latin-record-0953">
        <w:r>
          <w:rPr>
            <w:color w:val="000000"/>
          </w:rPr>
          <w:t xml:space="preserve">Platonici; Peripatetici</w:t>
        </w:r>
      </w:hyperlink>
      <w:r>
        <w:rPr>
          <w:b w:val="0"/>
          <w:i w:val="0"/>
        </w:rPr>
        <w:t xml:space="preserve">; </w:t>
      </w:r>
      <w:hyperlink w:anchor="latin-record-0997">
        <w:r>
          <w:rPr>
            <w:color w:val="000000"/>
          </w:rPr>
          <w:t xml:space="preserve">prisci theologi</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293">
        <w:r>
          <w:rPr>
            <w:color w:val="000000"/>
          </w:rPr>
          <w:t xml:space="preserve">tertia essentia</w:t>
        </w:r>
      </w:hyperlink>
      <w:r>
        <w:rPr>
          <w:b w:val="0"/>
          <w:i w:val="0"/>
        </w:rPr>
        <w:t xml:space="preserve">; </w:t>
      </w:r>
      <w:hyperlink w:anchor="latin-record-1297">
        <w:r>
          <w:rPr>
            <w:color w:val="000000"/>
          </w:rPr>
          <w:t xml:space="preserve">totus</w:t>
        </w:r>
      </w:hyperlink>
      <w:r>
        <w:rPr>
          <w:b w:val="0"/>
          <w:i w:val="0"/>
        </w:rPr>
        <w:t xml:space="preserve">; </w:t>
      </w:r>
      <w:hyperlink w:anchor="latin-record-1336">
        <w:r>
          <w:rPr>
            <w:color w:val="000000"/>
          </w:rPr>
          <w:t xml:space="preserve">vel; sive; seu; aut</w:t>
        </w:r>
      </w:hyperlink>
      <w:r>
        <w:rPr>
          <w:b w:val="0"/>
          <w:i w:val="0"/>
        </w:rPr>
        <w:t xml:space="preserve">; </w:t>
      </w:r>
      <w:hyperlink w:anchor="latin-record-1359">
        <w:r>
          <w:rPr>
            <w:color w:val="000000"/>
          </w:rPr>
          <w:t xml:space="preserve">virtus; vis</w:t>
        </w:r>
      </w:hyperlink>
      <w:r>
        <w:rPr>
          <w:b w:val="0"/>
          <w:i w:val="0"/>
        </w:rPr>
        <w:t>.</w:t>
      </w:r>
    </w:p>
    <w:p>
      <w:pPr>
        <w:pStyle w:val="Heading2"/>
      </w:pPr>
      <w:bookmarkStart w:id="1782" w:name="chapter-vi.2"/>
      <w:r>
        <w:rPr>
          <w:b w:val="0"/>
          <w:i w:val="0"/>
        </w:rPr>
        <w:t>Chapter VI.2</w:t>
      </w:r>
      <w:bookmarkEnd w:id="1782"/>
    </w:p>
    <w:p>
      <w:pPr>
        <w:widowControl/>
      </w:pPr>
      <w:bookmarkStart w:id="1783" w:name="passage-vi-2-1"/>
      <w:bookmarkEnd w:id="1783"/>
      <w:r>
        <w:rPr>
          <w:b/>
          <w:i w:val="0"/>
        </w:rPr>
        <w:t>VI.2.1</w:t>
      </w:r>
      <w:r>
        <w:rPr>
          <w:b/>
          <w:i w:val="0"/>
        </w:rPr>
        <w:t>, source pp. 134–135.</w:t>
      </w:r>
      <w:r>
        <w:rPr>
          <w:b w:val="0"/>
          <w:i w:val="0"/>
        </w:rPr>
        <w:t xml:space="preserve"> Articles: </w:t>
      </w:r>
      <w:hyperlink w:anchor="habit-purification-and-intellectual-experiment">
        <w:r>
          <w:rPr>
            <w:color w:val="000000"/>
          </w:rPr>
          <w:t xml:space="preserve">Habit, purification and intellectual experiment</w:t>
        </w:r>
      </w:hyperlink>
      <w:r>
        <w:rPr>
          <w:b w:val="0"/>
          <w:i w:val="0"/>
        </w:rPr>
        <w:t xml:space="preserve">; </w:t>
      </w:r>
      <w:hyperlink w:anchor="three-offices-and-proof-order">
        <w:r>
          <w:rPr>
            <w:color w:val="000000"/>
          </w:rPr>
          <w:t xml:space="preserve">Three offices and the order of proof</w:t>
        </w:r>
      </w:hyperlink>
      <w:r>
        <w:rPr>
          <w:b w:val="0"/>
          <w:i w:val="0"/>
        </w:rPr>
        <w:t xml:space="preserve">. Vocabulary: </w:t>
      </w:r>
      <w:hyperlink w:anchor="latin-record-0060">
        <w:r>
          <w:rPr>
            <w:color w:val="000000"/>
          </w:rPr>
          <w:t xml:space="preserve">agere in corpore; per corpus; per se</w:t>
        </w:r>
      </w:hyperlink>
      <w:r>
        <w:rPr>
          <w:b w:val="0"/>
          <w:i w:val="0"/>
        </w:rPr>
        <w:t xml:space="preserve">; </w:t>
      </w:r>
      <w:hyperlink w:anchor="latin-record-0061">
        <w:r>
          <w:rPr>
            <w:color w:val="000000"/>
          </w:rPr>
          <w:t xml:space="preserve">agere; operari</w:t>
        </w:r>
      </w:hyperlink>
      <w:r>
        <w:rPr>
          <w:b w:val="0"/>
          <w:i w:val="0"/>
        </w:rPr>
        <w:t xml:space="preserve">; </w:t>
      </w:r>
      <w:hyperlink w:anchor="latin-record-0146">
        <w:r>
          <w:rPr>
            <w:color w:val="000000"/>
          </w:rPr>
          <w:t xml:space="preserve">attingere; percipere</w:t>
        </w:r>
      </w:hyperlink>
      <w:r>
        <w:rPr>
          <w:b w:val="0"/>
          <w:i w:val="0"/>
        </w:rPr>
        <w:t xml:space="preserve">; </w:t>
      </w:r>
      <w:hyperlink w:anchor="latin-record-0225">
        <w:r>
          <w:rPr>
            <w:color w:val="000000"/>
          </w:rPr>
          <w:t xml:space="preserve">cogere; compellere</w:t>
        </w:r>
      </w:hyperlink>
      <w:r>
        <w:rPr>
          <w:b w:val="0"/>
          <w:i w:val="0"/>
        </w:rPr>
        <w:t xml:space="preserve">; </w:t>
      </w:r>
      <w:hyperlink w:anchor="latin-record-0315">
        <w:r>
          <w:rPr>
            <w:color w:val="000000"/>
          </w:rPr>
          <w:t xml:space="preserve">consuetudo</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7">
        <w:r>
          <w:rPr>
            <w:color w:val="000000"/>
          </w:rPr>
          <w:t xml:space="preserve">corpus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79">
        <w:r>
          <w:rPr>
            <w:color w:val="000000"/>
          </w:rPr>
          <w:t xml:space="preserve">fetus; adultus</w:t>
        </w:r>
      </w:hyperlink>
      <w:r>
        <w:rPr>
          <w:b w:val="0"/>
          <w:i w:val="0"/>
        </w:rPr>
        <w:t xml:space="preserve">; </w:t>
      </w:r>
      <w:hyperlink w:anchor="latin-record-0539">
        <w:r>
          <w:rPr>
            <w:color w:val="000000"/>
          </w:rPr>
          <w:t xml:space="preserve">generare; nutrire; augere</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592">
        <w:r>
          <w:rPr>
            <w:color w:val="000000"/>
          </w:rPr>
          <w:t xml:space="preserve">imago</w:t>
        </w:r>
      </w:hyperlink>
      <w:r>
        <w:rPr>
          <w:b w:val="0"/>
          <w:i w:val="0"/>
        </w:rPr>
        <w:t xml:space="preserve">; </w:t>
      </w:r>
      <w:hyperlink w:anchor="latin-record-0663">
        <w:r>
          <w:rPr>
            <w:color w:val="000000"/>
          </w:rPr>
          <w:t xml:space="preserve">intelligentia</w:t>
        </w:r>
      </w:hyperlink>
      <w:r>
        <w:rPr>
          <w:b w:val="0"/>
          <w:i w:val="0"/>
        </w:rPr>
        <w:t xml:space="preserve">; </w:t>
      </w:r>
      <w:hyperlink w:anchor="latin-record-0686">
        <w:r>
          <w:rPr>
            <w:color w:val="000000"/>
          </w:rPr>
          <w:t xml:space="preserve">investigare; invenire</w:t>
        </w:r>
      </w:hyperlink>
      <w:r>
        <w:rPr>
          <w:b w:val="0"/>
          <w:i w:val="0"/>
        </w:rPr>
        <w:t xml:space="preserve">; </w:t>
      </w:r>
      <w:hyperlink w:anchor="latin-record-0827">
        <w:r>
          <w:rPr>
            <w:color w:val="000000"/>
          </w:rPr>
          <w:t xml:space="preserve">natura; naturalis</w:t>
        </w:r>
      </w:hyperlink>
      <w:r>
        <w:rPr>
          <w:b w:val="0"/>
          <w:i w:val="0"/>
        </w:rPr>
        <w:t xml:space="preserve">; </w:t>
      </w:r>
      <w:hyperlink w:anchor="latin-record-0857">
        <w:r>
          <w:rPr>
            <w:color w:val="000000"/>
          </w:rPr>
          <w:t xml:space="preserve">officium</w:t>
        </w:r>
      </w:hyperlink>
      <w:r>
        <w:rPr>
          <w:b w:val="0"/>
          <w:i w:val="0"/>
        </w:rPr>
        <w:t xml:space="preserve">; </w:t>
      </w:r>
      <w:hyperlink w:anchor="latin-record-0953">
        <w:r>
          <w:rPr>
            <w:color w:val="000000"/>
          </w:rPr>
          <w:t xml:space="preserve">Platonici; Peripatetici</w:t>
        </w:r>
      </w:hyperlink>
      <w:r>
        <w:rPr>
          <w:b w:val="0"/>
          <w:i w:val="0"/>
        </w:rPr>
        <w:t xml:space="preserve">; </w:t>
      </w:r>
      <w:hyperlink w:anchor="latin-record-0954">
        <w:r>
          <w:rPr>
            <w:color w:val="000000"/>
          </w:rPr>
          <w:t xml:space="preserve">plebeus; minutus</w:t>
        </w:r>
      </w:hyperlink>
      <w:r>
        <w:rPr>
          <w:b w:val="0"/>
          <w:i w:val="0"/>
        </w:rPr>
        <w:t xml:space="preserve">; </w:t>
      </w:r>
      <w:hyperlink w:anchor="latin-record-0968">
        <w:r>
          <w:rPr>
            <w:color w:val="000000"/>
          </w:rPr>
          <w:t xml:space="preserve">potentia</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100">
        <w:r>
          <w:rPr>
            <w:color w:val="000000"/>
          </w:rPr>
          <w:t xml:space="preserve">reliquiae sensuum</w:t>
        </w:r>
      </w:hyperlink>
      <w:r>
        <w:rPr>
          <w:b w:val="0"/>
          <w:i w:val="0"/>
        </w:rPr>
        <w:t xml:space="preserve">; </w:t>
      </w:r>
      <w:hyperlink w:anchor="latin-record-1124">
        <w:r>
          <w:rPr>
            <w:color w:val="000000"/>
          </w:rPr>
          <w:t xml:space="preserve">revolvere; recolligere</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158">
        <w:r>
          <w:rPr>
            <w:color w:val="000000"/>
          </w:rPr>
          <w:t xml:space="preserve">sensus exterior; sensus interior</w:t>
        </w:r>
      </w:hyperlink>
      <w:r>
        <w:rPr>
          <w:b w:val="0"/>
          <w:i w:val="0"/>
        </w:rPr>
        <w:t xml:space="preserve">; </w:t>
      </w:r>
      <w:hyperlink w:anchor="latin-record-1159">
        <w:r>
          <w:rPr>
            <w:color w:val="000000"/>
          </w:rPr>
          <w:t xml:space="preserve">sensus; sentire</w:t>
        </w:r>
      </w:hyperlink>
      <w:r>
        <w:rPr>
          <w:b w:val="0"/>
          <w:i w:val="0"/>
        </w:rPr>
        <w:t xml:space="preserve">; </w:t>
      </w:r>
      <w:hyperlink w:anchor="latin-record-1236">
        <w:r>
          <w:rPr>
            <w:color w:val="000000"/>
          </w:rPr>
          <w:t xml:space="preserve">statim; subito; paulatim</w:t>
        </w:r>
      </w:hyperlink>
      <w:r>
        <w:rPr>
          <w:b w:val="0"/>
          <w:i w:val="0"/>
        </w:rPr>
        <w:t xml:space="preserve">; </w:t>
      </w:r>
      <w:hyperlink w:anchor="latin-record-1266">
        <w:r>
          <w:rPr>
            <w:color w:val="000000"/>
          </w:rPr>
          <w:t xml:space="preserve">sursum; deorsum; extra; intra</w:t>
        </w:r>
      </w:hyperlink>
      <w:r>
        <w:rPr>
          <w:b w:val="0"/>
          <w:i w:val="0"/>
        </w:rPr>
        <w:t xml:space="preserve">; </w:t>
      </w:r>
      <w:hyperlink w:anchor="latin-record-1334">
        <w:r>
          <w:rPr>
            <w:color w:val="000000"/>
          </w:rPr>
          <w:t xml:space="preserve">vegetatrix; natura</w:t>
        </w:r>
      </w:hyperlink>
      <w:r>
        <w:rPr>
          <w:b w:val="0"/>
          <w:i w:val="0"/>
        </w:rPr>
        <w:t xml:space="preserve">; </w:t>
      </w:r>
      <w:hyperlink w:anchor="latin-record-1336">
        <w:r>
          <w:rPr>
            <w:color w:val="000000"/>
          </w:rPr>
          <w:t xml:space="preserve">vel; sive; seu; aut</w:t>
        </w:r>
      </w:hyperlink>
      <w:r>
        <w:rPr>
          <w:b w:val="0"/>
          <w:i w:val="0"/>
        </w:rPr>
        <w:t xml:space="preserve">; </w:t>
      </w:r>
      <w:hyperlink w:anchor="latin-record-1350">
        <w:r>
          <w:rPr>
            <w:color w:val="000000"/>
          </w:rPr>
          <w:t xml:space="preserve">videre; audire; olfacere; gustare; tangere</w:t>
        </w:r>
      </w:hyperlink>
      <w:r>
        <w:rPr>
          <w:b w:val="0"/>
          <w:i w:val="0"/>
        </w:rPr>
        <w:t>.</w:t>
      </w:r>
    </w:p>
    <w:p>
      <w:pPr>
        <w:widowControl/>
      </w:pPr>
      <w:bookmarkStart w:id="1784" w:name="passage-vi-2-2"/>
      <w:bookmarkEnd w:id="1784"/>
      <w:r>
        <w:rPr>
          <w:b/>
          <w:i w:val="0"/>
        </w:rPr>
        <w:t>VI.2.2</w:t>
      </w:r>
      <w:r>
        <w:rPr>
          <w:b/>
          <w:i w:val="0"/>
        </w:rPr>
        <w:t>, source pp. 136–137.</w:t>
      </w:r>
      <w:r>
        <w:rPr>
          <w:b w:val="0"/>
          <w:i w:val="0"/>
        </w:rPr>
        <w:t xml:space="preserve"> Articles: </w:t>
      </w:r>
      <w:hyperlink w:anchor="garment-mud-and-misleading-shadows">
        <w:r>
          <w:rPr>
            <w:color w:val="000000"/>
          </w:rPr>
          <w:t xml:space="preserve">Garment, mud and misleading shadows</w:t>
        </w:r>
      </w:hyperlink>
      <w:r>
        <w:rPr>
          <w:b w:val="0"/>
          <w:i w:val="0"/>
        </w:rPr>
        <w:t xml:space="preserve">; </w:t>
      </w:r>
      <w:hyperlink w:anchor="habit-purification-and-intellectual-experiment">
        <w:r>
          <w:rPr>
            <w:color w:val="000000"/>
          </w:rPr>
          <w:t xml:space="preserve">Habit, purification and intellectual experiment</w:t>
        </w:r>
      </w:hyperlink>
      <w:r>
        <w:rPr>
          <w:b w:val="0"/>
          <w:i w:val="0"/>
        </w:rPr>
        <w:t xml:space="preserve">. Vocabulary: </w:t>
      </w:r>
      <w:hyperlink w:anchor="latin-record-0004">
        <w:r>
          <w:rPr>
            <w:color w:val="000000"/>
          </w:rPr>
          <w:t xml:space="preserve">abluere; abstergere; caro</w:t>
        </w:r>
      </w:hyperlink>
      <w:r>
        <w:rPr>
          <w:b w:val="0"/>
          <w:i w:val="0"/>
        </w:rPr>
        <w:t xml:space="preserve">; </w:t>
      </w:r>
      <w:hyperlink w:anchor="latin-record-0112">
        <w:r>
          <w:rPr>
            <w:color w:val="000000"/>
          </w:rPr>
          <w:t xml:space="preserve">appetitus; proclivis</w:t>
        </w:r>
      </w:hyperlink>
      <w:r>
        <w:rPr>
          <w:b w:val="0"/>
          <w:i w:val="0"/>
        </w:rPr>
        <w:t xml:space="preserve">; </w:t>
      </w:r>
      <w:hyperlink w:anchor="latin-record-0173">
        <w:r>
          <w:rPr>
            <w:color w:val="000000"/>
          </w:rPr>
          <w:t xml:space="preserve">caelum; terra; mundus</w:t>
        </w:r>
      </w:hyperlink>
      <w:r>
        <w:rPr>
          <w:b w:val="0"/>
          <w:i w:val="0"/>
        </w:rPr>
        <w:t xml:space="preserve">; </w:t>
      </w:r>
      <w:hyperlink w:anchor="latin-record-0225">
        <w:r>
          <w:rPr>
            <w:color w:val="000000"/>
          </w:rPr>
          <w:t xml:space="preserve">cogere; compellere</w:t>
        </w:r>
      </w:hyperlink>
      <w:r>
        <w:rPr>
          <w:b w:val="0"/>
          <w:i w:val="0"/>
        </w:rPr>
        <w:t xml:space="preserve">; </w:t>
      </w:r>
      <w:hyperlink w:anchor="latin-record-0279">
        <w:r>
          <w:rPr>
            <w:color w:val="000000"/>
          </w:rPr>
          <w:t xml:space="preserve">concludere; respondere; quaerere</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7">
        <w:r>
          <w:rPr>
            <w:color w:val="000000"/>
          </w:rPr>
          <w:t xml:space="preserve">corpus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574">
        <w:r>
          <w:rPr>
            <w:color w:val="000000"/>
          </w:rPr>
          <w:t xml:space="preserve">humor; tabes; pinguedo</w:t>
        </w:r>
      </w:hyperlink>
      <w:r>
        <w:rPr>
          <w:b w:val="0"/>
          <w:i w:val="0"/>
        </w:rPr>
        <w:t xml:space="preserve">; </w:t>
      </w:r>
      <w:hyperlink w:anchor="latin-record-0596">
        <w:r>
          <w:rPr>
            <w:color w:val="000000"/>
          </w:rPr>
          <w:t xml:space="preserve">immo; tamen; nihilominus</w:t>
        </w:r>
      </w:hyperlink>
      <w:r>
        <w:rPr>
          <w:b w:val="0"/>
          <w:i w:val="0"/>
        </w:rPr>
        <w:t xml:space="preserve">; </w:t>
      </w:r>
      <w:hyperlink w:anchor="latin-record-0736">
        <w:r>
          <w:rPr>
            <w:color w:val="000000"/>
          </w:rPr>
          <w:t xml:space="preserve">lutum; testa; gleba</w:t>
        </w:r>
      </w:hyperlink>
      <w:r>
        <w:rPr>
          <w:b w:val="0"/>
          <w:i w:val="0"/>
        </w:rPr>
        <w:t xml:space="preserve">; </w:t>
      </w:r>
      <w:hyperlink w:anchor="latin-record-0777">
        <w:r>
          <w:rPr>
            <w:color w:val="000000"/>
          </w:rPr>
          <w:t xml:space="preserve">mens</w:t>
        </w:r>
      </w:hyperlink>
      <w:r>
        <w:rPr>
          <w:b w:val="0"/>
          <w:i w:val="0"/>
        </w:rPr>
        <w:t xml:space="preserve">; </w:t>
      </w:r>
      <w:hyperlink w:anchor="latin-record-0782">
        <w:r>
          <w:rPr>
            <w:color w:val="000000"/>
          </w:rPr>
          <w:t xml:space="preserve">mergere; suffocare</w:t>
        </w:r>
      </w:hyperlink>
      <w:r>
        <w:rPr>
          <w:b w:val="0"/>
          <w:i w:val="0"/>
        </w:rPr>
        <w:t xml:space="preserve">; </w:t>
      </w:r>
      <w:hyperlink w:anchor="latin-record-0896">
        <w:r>
          <w:rPr>
            <w:color w:val="000000"/>
          </w:rPr>
          <w:t xml:space="preserve">pars; membrum</w:t>
        </w:r>
      </w:hyperlink>
      <w:r>
        <w:rPr>
          <w:b w:val="0"/>
          <w:i w:val="0"/>
        </w:rPr>
        <w:t xml:space="preserve">; </w:t>
      </w:r>
      <w:hyperlink w:anchor="latin-record-0945">
        <w:r>
          <w:rPr>
            <w:color w:val="000000"/>
          </w:rPr>
          <w:t xml:space="preserve">phantasia</w:t>
        </w:r>
      </w:hyperlink>
      <w:r>
        <w:rPr>
          <w:b w:val="0"/>
          <w:i w:val="0"/>
        </w:rPr>
        <w:t xml:space="preserve">; </w:t>
      </w:r>
      <w:hyperlink w:anchor="latin-record-0975">
        <w:r>
          <w:rPr>
            <w:color w:val="000000"/>
          </w:rPr>
          <w:t xml:space="preserve">praeceptor; sophista</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159">
        <w:r>
          <w:rPr>
            <w:color w:val="000000"/>
          </w:rPr>
          <w:t xml:space="preserve">sensus; sentire</w:t>
        </w:r>
      </w:hyperlink>
      <w:r>
        <w:rPr>
          <w:b w:val="0"/>
          <w:i w:val="0"/>
        </w:rPr>
        <w:t xml:space="preserve">; </w:t>
      </w:r>
      <w:hyperlink w:anchor="latin-record-1175">
        <w:r>
          <w:rPr>
            <w:color w:val="000000"/>
          </w:rPr>
          <w:t xml:space="preserve">similis; idem</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345">
        <w:r>
          <w:rPr>
            <w:color w:val="000000"/>
          </w:rPr>
          <w:t xml:space="preserve">vestis; involvere</w:t>
        </w:r>
      </w:hyperlink>
      <w:r>
        <w:rPr>
          <w:b w:val="0"/>
          <w:i w:val="0"/>
        </w:rPr>
        <w:t xml:space="preserve">; </w:t>
      </w:r>
      <w:hyperlink w:anchor="latin-record-1351">
        <w:r>
          <w:rPr>
            <w:color w:val="000000"/>
          </w:rPr>
          <w:t xml:space="preserve">videre; cernere; intueri</w:t>
        </w:r>
      </w:hyperlink>
      <w:r>
        <w:rPr>
          <w:b w:val="0"/>
          <w:i w:val="0"/>
        </w:rPr>
        <w:t xml:space="preserve">; </w:t>
      </w:r>
      <w:hyperlink w:anchor="latin-record-1388">
        <w:r>
          <w:rPr>
            <w:color w:val="000000"/>
          </w:rPr>
          <w:t xml:space="preserve">vox; odor; sapor</w:t>
        </w:r>
      </w:hyperlink>
      <w:r>
        <w:rPr>
          <w:b w:val="0"/>
          <w:i w:val="0"/>
        </w:rPr>
        <w:t>.</w:t>
      </w:r>
    </w:p>
    <w:p>
      <w:pPr>
        <w:widowControl/>
      </w:pPr>
      <w:bookmarkStart w:id="1785" w:name="passage-vi-2-3"/>
      <w:bookmarkEnd w:id="1785"/>
      <w:r>
        <w:rPr>
          <w:b/>
          <w:i w:val="0"/>
        </w:rPr>
        <w:t>VI.2.3</w:t>
      </w:r>
      <w:r>
        <w:rPr>
          <w:b/>
          <w:i w:val="0"/>
        </w:rPr>
        <w:t>, source pp. 138–139.</w:t>
      </w:r>
      <w:r>
        <w:rPr>
          <w:b w:val="0"/>
          <w:i w:val="0"/>
        </w:rPr>
        <w:t xml:space="preserve"> Articles: </w:t>
      </w:r>
      <w:hyperlink w:anchor="garment-mud-and-misleading-shadows">
        <w:r>
          <w:rPr>
            <w:color w:val="000000"/>
          </w:rPr>
          <w:t xml:space="preserve">Garment, mud and misleading shadows</w:t>
        </w:r>
      </w:hyperlink>
      <w:r>
        <w:rPr>
          <w:b w:val="0"/>
          <w:i w:val="0"/>
        </w:rPr>
        <w:t xml:space="preserve">; </w:t>
      </w:r>
      <w:hyperlink w:anchor="habit-purification-and-intellectual-experiment">
        <w:r>
          <w:rPr>
            <w:color w:val="000000"/>
          </w:rPr>
          <w:t xml:space="preserve">Habit, purification and intellectual experiment</w:t>
        </w:r>
      </w:hyperlink>
      <w:r>
        <w:rPr>
          <w:b w:val="0"/>
          <w:i w:val="0"/>
        </w:rPr>
        <w:t xml:space="preserve">. Vocabulary: </w:t>
      </w:r>
      <w:hyperlink w:anchor="latin-record-0173">
        <w:r>
          <w:rPr>
            <w:color w:val="000000"/>
          </w:rPr>
          <w:t xml:space="preserve">caelum; terra; mundus</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599">
        <w:r>
          <w:rPr>
            <w:color w:val="000000"/>
          </w:rPr>
          <w:t xml:space="preserve">immortalis; perpetuus; sempiternus</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723">
        <w:r>
          <w:rPr>
            <w:color w:val="000000"/>
          </w:rPr>
          <w:t xml:space="preserve">locus; situs</w:t>
        </w:r>
      </w:hyperlink>
      <w:r>
        <w:rPr>
          <w:b w:val="0"/>
          <w:i w:val="0"/>
        </w:rPr>
        <w:t xml:space="preserve">; </w:t>
      </w:r>
      <w:hyperlink w:anchor="latin-record-0903">
        <w:r>
          <w:rPr>
            <w:color w:val="000000"/>
          </w:rPr>
          <w:t xml:space="preserve">parvipendere; horrere</w:t>
        </w:r>
      </w:hyperlink>
      <w:r>
        <w:rPr>
          <w:b w:val="0"/>
          <w:i w:val="0"/>
        </w:rPr>
        <w:t xml:space="preserve">; </w:t>
      </w:r>
      <w:hyperlink w:anchor="latin-record-1030">
        <w:r>
          <w:rPr>
            <w:color w:val="000000"/>
          </w:rPr>
          <w:t xml:space="preserve">purificare; purus</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078">
        <w:r>
          <w:rPr>
            <w:color w:val="000000"/>
          </w:rPr>
          <w:t xml:space="preserve">recipere; accipere</w:t>
        </w:r>
      </w:hyperlink>
      <w:r>
        <w:rPr>
          <w:b w:val="0"/>
          <w:i w:val="0"/>
        </w:rPr>
        <w:t xml:space="preserve">; </w:t>
      </w:r>
      <w:hyperlink w:anchor="latin-record-1107">
        <w:r>
          <w:rPr>
            <w:color w:val="000000"/>
          </w:rPr>
          <w:t xml:space="preserve">reperire; invenire</w:t>
        </w:r>
      </w:hyperlink>
      <w:r>
        <w:rPr>
          <w:b w:val="0"/>
          <w:i w:val="0"/>
        </w:rPr>
        <w:t xml:space="preserve">; </w:t>
      </w:r>
      <w:hyperlink w:anchor="latin-record-1121">
        <w:r>
          <w:rPr>
            <w:color w:val="000000"/>
          </w:rPr>
          <w:t xml:space="preserve">revertere; respicere</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266">
        <w:r>
          <w:rPr>
            <w:color w:val="000000"/>
          </w:rPr>
          <w:t xml:space="preserve">sursum; deorsum; extra; intra</w:t>
        </w:r>
      </w:hyperlink>
      <w:r>
        <w:rPr>
          <w:b w:val="0"/>
          <w:i w:val="0"/>
        </w:rPr>
        <w:t xml:space="preserve">; </w:t>
      </w:r>
      <w:hyperlink w:anchor="latin-record-1314">
        <w:r>
          <w:rPr>
            <w:color w:val="000000"/>
          </w:rPr>
          <w:t xml:space="preserve">umbra</w:t>
        </w:r>
      </w:hyperlink>
      <w:r>
        <w:rPr>
          <w:b w:val="0"/>
          <w:i w:val="0"/>
        </w:rPr>
        <w:t>.</w:t>
      </w:r>
    </w:p>
    <w:p>
      <w:pPr>
        <w:widowControl/>
      </w:pPr>
      <w:bookmarkStart w:id="1786" w:name="passage-vi-2-4"/>
      <w:bookmarkEnd w:id="1786"/>
      <w:r>
        <w:rPr>
          <w:b/>
          <w:i w:val="0"/>
        </w:rPr>
        <w:t>VI.2.4</w:t>
      </w:r>
      <w:r>
        <w:rPr>
          <w:b/>
          <w:i w:val="0"/>
        </w:rPr>
        <w:t>, source pp. 138–139.</w:t>
      </w:r>
      <w:r>
        <w:rPr>
          <w:b w:val="0"/>
          <w:i w:val="0"/>
        </w:rPr>
        <w:t xml:space="preserve"> Articles: </w:t>
      </w:r>
      <w:hyperlink w:anchor="garment-mud-and-misleading-shadows">
        <w:r>
          <w:rPr>
            <w:color w:val="000000"/>
          </w:rPr>
          <w:t xml:space="preserve">Garment, mud and misleading shadows</w:t>
        </w:r>
      </w:hyperlink>
      <w:r>
        <w:rPr>
          <w:b w:val="0"/>
          <w:i w:val="0"/>
        </w:rPr>
        <w:t xml:space="preserve">. Vocabulary: </w:t>
      </w:r>
      <w:hyperlink w:anchor="latin-record-0262">
        <w:r>
          <w:rPr>
            <w:color w:val="000000"/>
          </w:rPr>
          <w:t xml:space="preserve">componere; constituere</w:t>
        </w:r>
      </w:hyperlink>
      <w:r>
        <w:rPr>
          <w:b w:val="0"/>
          <w:i w:val="0"/>
        </w:rPr>
        <w:t xml:space="preserve">; </w:t>
      </w:r>
      <w:hyperlink w:anchor="latin-record-0937">
        <w:r>
          <w:rPr>
            <w:color w:val="000000"/>
          </w:rPr>
          <w:t xml:space="preserve">perspicere; prospicere; pervidere</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035">
        <w:r>
          <w:rPr>
            <w:color w:val="000000"/>
          </w:rPr>
          <w:t xml:space="preserve">puteus; fundus</w:t>
        </w:r>
      </w:hyperlink>
      <w:r>
        <w:rPr>
          <w:b w:val="0"/>
          <w:i w:val="0"/>
        </w:rPr>
        <w:t xml:space="preserve">; </w:t>
      </w:r>
      <w:hyperlink w:anchor="latin-record-1314">
        <w:r>
          <w:rPr>
            <w:color w:val="000000"/>
          </w:rPr>
          <w:t xml:space="preserve">umbra</w:t>
        </w:r>
      </w:hyperlink>
      <w:r>
        <w:rPr>
          <w:b w:val="0"/>
          <w:i w:val="0"/>
        </w:rPr>
        <w:t>.</w:t>
      </w:r>
    </w:p>
    <w:p>
      <w:pPr>
        <w:widowControl/>
      </w:pPr>
      <w:bookmarkStart w:id="1787" w:name="passage-vi-2-5"/>
      <w:bookmarkEnd w:id="1787"/>
      <w:r>
        <w:rPr>
          <w:b/>
          <w:i w:val="0"/>
        </w:rPr>
        <w:t>VI.2.5</w:t>
      </w:r>
      <w:r>
        <w:rPr>
          <w:b/>
          <w:i w:val="0"/>
        </w:rPr>
        <w:t>, source pp. 138–139.</w:t>
      </w:r>
      <w:r>
        <w:rPr>
          <w:b w:val="0"/>
          <w:i w:val="0"/>
        </w:rPr>
        <w:t xml:space="preserve"> Articles: </w:t>
      </w:r>
      <w:hyperlink w:anchor="garment-mud-and-misleading-shadows">
        <w:r>
          <w:rPr>
            <w:color w:val="000000"/>
          </w:rPr>
          <w:t xml:space="preserve">Garment, mud and misleading shadows</w:t>
        </w:r>
      </w:hyperlink>
      <w:r>
        <w:rPr>
          <w:b w:val="0"/>
          <w:i w:val="0"/>
        </w:rPr>
        <w:t xml:space="preserve">. Vocabulary: </w:t>
      </w:r>
      <w:hyperlink w:anchor="latin-record-0158">
        <w:r>
          <w:rPr>
            <w:color w:val="000000"/>
          </w:rPr>
          <w:t xml:space="preserve">avis; volare</w:t>
        </w:r>
      </w:hyperlink>
      <w:r>
        <w:rPr>
          <w:b w:val="0"/>
          <w:i w:val="0"/>
        </w:rPr>
        <w:t xml:space="preserve">; </w:t>
      </w:r>
      <w:hyperlink w:anchor="latin-record-1314">
        <w:r>
          <w:rPr>
            <w:color w:val="000000"/>
          </w:rPr>
          <w:t xml:space="preserve">umbra</w:t>
        </w:r>
      </w:hyperlink>
      <w:r>
        <w:rPr>
          <w:b w:val="0"/>
          <w:i w:val="0"/>
        </w:rPr>
        <w:t>.</w:t>
      </w:r>
    </w:p>
    <w:p>
      <w:pPr>
        <w:widowControl/>
      </w:pPr>
      <w:bookmarkStart w:id="1788" w:name="passage-vi-2-6"/>
      <w:bookmarkEnd w:id="1788"/>
      <w:r>
        <w:rPr>
          <w:b/>
          <w:i w:val="0"/>
        </w:rPr>
        <w:t>VI.2.6</w:t>
      </w:r>
      <w:r>
        <w:rPr>
          <w:b/>
          <w:i w:val="0"/>
        </w:rPr>
        <w:t>, source pp. 140–141.</w:t>
      </w:r>
      <w:r>
        <w:rPr>
          <w:b w:val="0"/>
          <w:i w:val="0"/>
        </w:rPr>
        <w:t xml:space="preserve"> Articles: </w:t>
      </w:r>
      <w:hyperlink w:anchor="garment-mud-and-misleading-shadows">
        <w:r>
          <w:rPr>
            <w:color w:val="000000"/>
          </w:rPr>
          <w:t xml:space="preserve">Garment, mud and misleading shadows</w:t>
        </w:r>
      </w:hyperlink>
      <w:r>
        <w:rPr>
          <w:b w:val="0"/>
          <w:i w:val="0"/>
        </w:rPr>
        <w:t xml:space="preserve">; </w:t>
      </w:r>
      <w:hyperlink w:anchor="number-and-spiritual-amplitude">
        <w:r>
          <w:rPr>
            <w:color w:val="000000"/>
          </w:rPr>
          <w:t xml:space="preserve">Number and spiritual amplitude</w:t>
        </w:r>
      </w:hyperlink>
      <w:r>
        <w:rPr>
          <w:b w:val="0"/>
          <w:i w:val="0"/>
        </w:rPr>
        <w:t xml:space="preserve">. Vocabulary: </w:t>
      </w:r>
      <w:hyperlink w:anchor="latin-record-0085">
        <w:r>
          <w:rPr>
            <w:color w:val="000000"/>
          </w:rPr>
          <w:t xml:space="preserve">amplitudo; angustia</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750">
        <w:r>
          <w:rPr>
            <w:color w:val="000000"/>
          </w:rPr>
          <w:t xml:space="preserve">magnitudo; crescere; decrescere</w:t>
        </w:r>
      </w:hyperlink>
      <w:r>
        <w:rPr>
          <w:b w:val="0"/>
          <w:i w:val="0"/>
        </w:rPr>
        <w:t xml:space="preserve">; </w:t>
      </w:r>
      <w:hyperlink w:anchor="latin-record-0784">
        <w:r>
          <w:rPr>
            <w:color w:val="000000"/>
          </w:rPr>
          <w:t xml:space="preserve">metiri; numerare</w:t>
        </w:r>
      </w:hyperlink>
      <w:r>
        <w:rPr>
          <w:b w:val="0"/>
          <w:i w:val="0"/>
        </w:rPr>
        <w:t xml:space="preserve">; </w:t>
      </w:r>
      <w:hyperlink w:anchor="latin-record-0848">
        <w:r>
          <w:rPr>
            <w:color w:val="000000"/>
          </w:rPr>
          <w:t xml:space="preserve">numerus; replicatio</w:t>
        </w:r>
      </w:hyperlink>
      <w:r>
        <w:rPr>
          <w:b w:val="0"/>
          <w:i w:val="0"/>
        </w:rPr>
        <w:t xml:space="preserve">; </w:t>
      </w:r>
      <w:hyperlink w:anchor="latin-record-0937">
        <w:r>
          <w:rPr>
            <w:color w:val="000000"/>
          </w:rPr>
          <w:t xml:space="preserve">perspicere; prospicere; pervidere</w:t>
        </w:r>
      </w:hyperlink>
      <w:r>
        <w:rPr>
          <w:b w:val="0"/>
          <w:i w:val="0"/>
        </w:rPr>
        <w:t xml:space="preserve">; </w:t>
      </w:r>
      <w:hyperlink w:anchor="latin-record-1121">
        <w:r>
          <w:rPr>
            <w:color w:val="000000"/>
          </w:rPr>
          <w:t xml:space="preserve">revertere; respicere</w:t>
        </w:r>
      </w:hyperlink>
      <w:r>
        <w:rPr>
          <w:b w:val="0"/>
          <w:i w:val="0"/>
        </w:rPr>
        <w:t xml:space="preserve">; </w:t>
      </w:r>
      <w:hyperlink w:anchor="latin-record-1170">
        <w:r>
          <w:rPr>
            <w:color w:val="000000"/>
          </w:rPr>
          <w:t xml:space="preserve">si; sin; nisi; licet</w:t>
        </w:r>
      </w:hyperlink>
      <w:r>
        <w:rPr>
          <w:b w:val="0"/>
          <w:i w:val="0"/>
        </w:rPr>
        <w:t xml:space="preserve">; </w:t>
      </w:r>
      <w:hyperlink w:anchor="latin-record-1200">
        <w:r>
          <w:rPr>
            <w:color w:val="000000"/>
          </w:rPr>
          <w:t xml:space="preserve">solus; omnis; nullus</w:t>
        </w:r>
      </w:hyperlink>
      <w:r>
        <w:rPr>
          <w:b w:val="0"/>
          <w:i w:val="0"/>
        </w:rPr>
        <w:t>.</w:t>
      </w:r>
    </w:p>
    <w:p>
      <w:pPr>
        <w:widowControl/>
      </w:pPr>
      <w:bookmarkStart w:id="1789" w:name="passage-vi-2-7"/>
      <w:bookmarkEnd w:id="1789"/>
      <w:r>
        <w:rPr>
          <w:b/>
          <w:i w:val="0"/>
        </w:rPr>
        <w:t>VI.2.7</w:t>
      </w:r>
      <w:r>
        <w:rPr>
          <w:b/>
          <w:i w:val="0"/>
        </w:rPr>
        <w:t>, source pp. 140–141.</w:t>
      </w:r>
      <w:r>
        <w:rPr>
          <w:b w:val="0"/>
          <w:i w:val="0"/>
        </w:rPr>
        <w:t xml:space="preserve"> Articles: </w:t>
      </w:r>
      <w:hyperlink w:anchor="sensory-error-and-corrective-reason">
        <w:r>
          <w:rPr>
            <w:color w:val="000000"/>
          </w:rPr>
          <w:t xml:space="preserve">Sensory error and corrective reason</w:t>
        </w:r>
      </w:hyperlink>
      <w:r>
        <w:rPr>
          <w:b w:val="0"/>
          <w:i w:val="0"/>
        </w:rPr>
        <w:t xml:space="preserve">. Vocabulary: </w:t>
      </w:r>
      <w:hyperlink w:anchor="latin-record-0163">
        <w:r>
          <w:rPr>
            <w:color w:val="000000"/>
          </w:rPr>
          <w:t xml:space="preserve">bicubitus</w:t>
        </w:r>
      </w:hyperlink>
      <w:r>
        <w:rPr>
          <w:b w:val="0"/>
          <w:i w:val="0"/>
        </w:rPr>
        <w:t xml:space="preserve">; </w:t>
      </w:r>
      <w:hyperlink w:anchor="latin-record-0592">
        <w:r>
          <w:rPr>
            <w:color w:val="000000"/>
          </w:rPr>
          <w:t xml:space="preserve">imago</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695">
        <w:r>
          <w:rPr>
            <w:color w:val="000000"/>
          </w:rPr>
          <w:t xml:space="preserve">iudicium; emendare</w:t>
        </w:r>
      </w:hyperlink>
      <w:r>
        <w:rPr>
          <w:b w:val="0"/>
          <w:i w:val="0"/>
        </w:rPr>
        <w:t xml:space="preserve">; </w:t>
      </w:r>
      <w:hyperlink w:anchor="latin-record-0813">
        <w:r>
          <w:rPr>
            <w:color w:val="000000"/>
          </w:rPr>
          <w:t xml:space="preserve">movere; motus</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1064">
        <w:r>
          <w:rPr>
            <w:color w:val="000000"/>
          </w:rPr>
          <w:t xml:space="preserve">ratio</w:t>
        </w:r>
      </w:hyperlink>
      <w:r>
        <w:rPr>
          <w:b w:val="0"/>
          <w:i w:val="0"/>
        </w:rPr>
        <w:t xml:space="preserve">; </w:t>
      </w:r>
      <w:hyperlink w:anchor="latin-record-1103">
        <w:r>
          <w:rPr>
            <w:color w:val="000000"/>
          </w:rPr>
          <w:t xml:space="preserve">remus; litus; navis</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195">
        <w:r>
          <w:rPr>
            <w:color w:val="000000"/>
          </w:rPr>
          <w:t xml:space="preserve">sol</w:t>
        </w:r>
      </w:hyperlink>
      <w:r>
        <w:rPr>
          <w:b w:val="0"/>
          <w:i w:val="0"/>
        </w:rPr>
        <w:t xml:space="preserve">; </w:t>
      </w:r>
      <w:hyperlink w:anchor="latin-record-1388">
        <w:r>
          <w:rPr>
            <w:color w:val="000000"/>
          </w:rPr>
          <w:t xml:space="preserve">vox; odor; sapor</w:t>
        </w:r>
      </w:hyperlink>
      <w:r>
        <w:rPr>
          <w:b w:val="0"/>
          <w:i w:val="0"/>
        </w:rPr>
        <w:t>.</w:t>
      </w:r>
    </w:p>
    <w:p>
      <w:pPr>
        <w:widowControl/>
      </w:pPr>
      <w:bookmarkStart w:id="1790" w:name="passage-vi-2-8"/>
      <w:bookmarkEnd w:id="1790"/>
      <w:r>
        <w:rPr>
          <w:b/>
          <w:i w:val="0"/>
        </w:rPr>
        <w:t>VI.2.8</w:t>
      </w:r>
      <w:r>
        <w:rPr>
          <w:b/>
          <w:i w:val="0"/>
        </w:rPr>
        <w:t>, source pp. 142–143.</w:t>
      </w:r>
      <w:r>
        <w:rPr>
          <w:b w:val="0"/>
          <w:i w:val="0"/>
        </w:rPr>
        <w:t xml:space="preserve"> Articles: </w:t>
      </w:r>
      <w:hyperlink w:anchor="habit-purification-and-intellectual-experiment">
        <w:r>
          <w:rPr>
            <w:color w:val="000000"/>
          </w:rPr>
          <w:t xml:space="preserve">Habit, purification and intellectual experiment</w:t>
        </w:r>
      </w:hyperlink>
      <w:r>
        <w:rPr>
          <w:b w:val="0"/>
          <w:i w:val="0"/>
        </w:rPr>
        <w:t xml:space="preserve">; </w:t>
      </w:r>
      <w:hyperlink w:anchor="sensory-error-and-corrective-reason">
        <w:r>
          <w:rPr>
            <w:color w:val="000000"/>
          </w:rPr>
          <w:t xml:space="preserve">Sensory error and corrective reason</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311">
        <w:r>
          <w:rPr>
            <w:color w:val="000000"/>
          </w:rPr>
          <w:t xml:space="preserve">conspirare; damnare; redarguere</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596">
        <w:r>
          <w:rPr>
            <w:color w:val="000000"/>
          </w:rPr>
          <w:t xml:space="preserve">immo; tamen; nihilominus</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695">
        <w:r>
          <w:rPr>
            <w:color w:val="000000"/>
          </w:rPr>
          <w:t xml:space="preserve">iudicium; emendare</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1015">
        <w:r>
          <w:rPr>
            <w:color w:val="000000"/>
          </w:rPr>
          <w:t xml:space="preserve">proprium</w:t>
        </w:r>
      </w:hyperlink>
      <w:r>
        <w:rPr>
          <w:b w:val="0"/>
          <w:i w:val="0"/>
        </w:rPr>
        <w:t xml:space="preserve">; </w:t>
      </w:r>
      <w:hyperlink w:anchor="latin-record-1048">
        <w:r>
          <w:rPr>
            <w:color w:val="000000"/>
          </w:rPr>
          <w:t xml:space="preserve">quantum; quatenus; respectus</w:t>
        </w:r>
      </w:hyperlink>
      <w:r>
        <w:rPr>
          <w:b w:val="0"/>
          <w:i w:val="0"/>
        </w:rPr>
        <w:t xml:space="preserve">; </w:t>
      </w:r>
      <w:hyperlink w:anchor="latin-record-1064">
        <w:r>
          <w:rPr>
            <w:color w:val="000000"/>
          </w:rPr>
          <w:t xml:space="preserve">ratio</w:t>
        </w:r>
      </w:hyperlink>
      <w:r>
        <w:rPr>
          <w:b w:val="0"/>
          <w:i w:val="0"/>
        </w:rPr>
        <w:t xml:space="preserve">; </w:t>
      </w:r>
      <w:hyperlink w:anchor="latin-record-1107">
        <w:r>
          <w:rPr>
            <w:color w:val="000000"/>
          </w:rPr>
          <w:t xml:space="preserve">reperire; invenire</w:t>
        </w:r>
      </w:hyperlink>
      <w:r>
        <w:rPr>
          <w:b w:val="0"/>
          <w:i w:val="0"/>
        </w:rPr>
        <w:t xml:space="preserve">; </w:t>
      </w:r>
      <w:hyperlink w:anchor="latin-record-1159">
        <w:r>
          <w:rPr>
            <w:color w:val="000000"/>
          </w:rPr>
          <w:t xml:space="preserve">sensus; sentire</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332">
        <w:r>
          <w:rPr>
            <w:color w:val="000000"/>
          </w:rPr>
          <w:t xml:space="preserve">vaticinari</w:t>
        </w:r>
      </w:hyperlink>
      <w:r>
        <w:rPr>
          <w:b w:val="0"/>
          <w:i w:val="0"/>
        </w:rPr>
        <w:t xml:space="preserve">; </w:t>
      </w:r>
      <w:hyperlink w:anchor="latin-record-1359">
        <w:r>
          <w:rPr>
            <w:color w:val="000000"/>
          </w:rPr>
          <w:t xml:space="preserve">virtus; vis</w:t>
        </w:r>
      </w:hyperlink>
      <w:r>
        <w:rPr>
          <w:b w:val="0"/>
          <w:i w:val="0"/>
        </w:rPr>
        <w:t xml:space="preserve">; </w:t>
      </w:r>
      <w:hyperlink w:anchor="latin-record-1388">
        <w:r>
          <w:rPr>
            <w:color w:val="000000"/>
          </w:rPr>
          <w:t xml:space="preserve">vox; odor; sapor</w:t>
        </w:r>
      </w:hyperlink>
      <w:r>
        <w:rPr>
          <w:b w:val="0"/>
          <w:i w:val="0"/>
        </w:rPr>
        <w:t>.</w:t>
      </w:r>
    </w:p>
    <w:p>
      <w:pPr>
        <w:widowControl/>
      </w:pPr>
      <w:bookmarkStart w:id="1791" w:name="passage-vi-2-9"/>
      <w:bookmarkEnd w:id="1791"/>
      <w:r>
        <w:rPr>
          <w:b/>
          <w:i w:val="0"/>
        </w:rPr>
        <w:t>VI.2.9</w:t>
      </w:r>
      <w:r>
        <w:rPr>
          <w:b/>
          <w:i w:val="0"/>
        </w:rPr>
        <w:t>, source pp. 144–145.</w:t>
      </w:r>
      <w:r>
        <w:rPr>
          <w:b w:val="0"/>
          <w:i w:val="0"/>
        </w:rPr>
        <w:t xml:space="preserve"> Articles: </w:t>
      </w:r>
      <w:hyperlink w:anchor="intellectual-objects-and-owl-eye">
        <w:r>
          <w:rPr>
            <w:color w:val="000000"/>
          </w:rPr>
          <w:t xml:space="preserve">Intellectual objects and the owl’s eye</w:t>
        </w:r>
      </w:hyperlink>
      <w:r>
        <w:rPr>
          <w:b w:val="0"/>
          <w:i w:val="0"/>
        </w:rPr>
        <w:t xml:space="preserve">; </w:t>
      </w:r>
      <w:hyperlink w:anchor="sensory-error-and-corrective-reason">
        <w:r>
          <w:rPr>
            <w:color w:val="000000"/>
          </w:rPr>
          <w:t xml:space="preserve">Sensory error and corrective reason</w:t>
        </w:r>
      </w:hyperlink>
      <w:r>
        <w:rPr>
          <w:b w:val="0"/>
          <w:i w:val="0"/>
        </w:rPr>
        <w:t xml:space="preserve">. Vocabulary: </w:t>
      </w:r>
      <w:hyperlink w:anchor="latin-record-0105">
        <w:r>
          <w:rPr>
            <w:color w:val="000000"/>
          </w:rPr>
          <w:t xml:space="preserve">animus</w:t>
        </w:r>
      </w:hyperlink>
      <w:r>
        <w:rPr>
          <w:b w:val="0"/>
          <w:i w:val="0"/>
        </w:rPr>
        <w:t xml:space="preserve">; </w:t>
      </w:r>
      <w:hyperlink w:anchor="latin-record-0146">
        <w:r>
          <w:rPr>
            <w:color w:val="000000"/>
          </w:rPr>
          <w:t xml:space="preserve">attingere; percipere</w:t>
        </w:r>
      </w:hyperlink>
      <w:r>
        <w:rPr>
          <w:b w:val="0"/>
          <w:i w:val="0"/>
        </w:rPr>
        <w:t xml:space="preserve">; </w:t>
      </w:r>
      <w:hyperlink w:anchor="latin-record-0171">
        <w:r>
          <w:rPr>
            <w:color w:val="000000"/>
          </w:rPr>
          <w:t xml:space="preserve">caecus; noctua</w:t>
        </w:r>
      </w:hyperlink>
      <w:r>
        <w:rPr>
          <w:b w:val="0"/>
          <w:i w:val="0"/>
        </w:rPr>
        <w:t xml:space="preserve">; </w:t>
      </w:r>
      <w:hyperlink w:anchor="latin-record-0358">
        <w:r>
          <w:rPr>
            <w:color w:val="000000"/>
          </w:rPr>
          <w:t xml:space="preserve">dare; tribuere; praestare</w:t>
        </w:r>
      </w:hyperlink>
      <w:r>
        <w:rPr>
          <w:b w:val="0"/>
          <w:i w:val="0"/>
        </w:rPr>
        <w:t xml:space="preserve">; </w:t>
      </w:r>
      <w:hyperlink w:anchor="latin-record-0359">
        <w:r>
          <w:rPr>
            <w:color w:val="000000"/>
          </w:rPr>
          <w:t xml:space="preserve">De republica; Divinorum</w:t>
        </w:r>
      </w:hyperlink>
      <w:r>
        <w:rPr>
          <w:b w:val="0"/>
          <w:i w:val="0"/>
        </w:rPr>
        <w:t xml:space="preserve">; </w:t>
      </w:r>
      <w:hyperlink w:anchor="latin-record-0443">
        <w:r>
          <w:rPr>
            <w:color w:val="000000"/>
          </w:rPr>
          <w:t xml:space="preserve">esse; existere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72">
        <w:r>
          <w:rPr>
            <w:color w:val="000000"/>
          </w:rPr>
          <w:t xml:space="preserve">fabricare; aedificium</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660">
        <w:r>
          <w:rPr>
            <w:color w:val="000000"/>
          </w:rPr>
          <w:t xml:space="preserve">intellectus</w:t>
        </w:r>
      </w:hyperlink>
      <w:r>
        <w:rPr>
          <w:b w:val="0"/>
          <w:i w:val="0"/>
        </w:rPr>
        <w:t xml:space="preserve">; </w:t>
      </w:r>
      <w:hyperlink w:anchor="latin-record-0732">
        <w:r>
          <w:rPr>
            <w:color w:val="000000"/>
          </w:rPr>
          <w:t xml:space="preserve">lumen; lux</w:t>
        </w:r>
      </w:hyperlink>
      <w:r>
        <w:rPr>
          <w:b w:val="0"/>
          <w:i w:val="0"/>
        </w:rPr>
        <w:t xml:space="preserve">; </w:t>
      </w:r>
      <w:hyperlink w:anchor="latin-record-0754">
        <w:r>
          <w:rPr>
            <w:color w:val="000000"/>
          </w:rPr>
          <w:t xml:space="preserve">manifestissimus</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0852">
        <w:r>
          <w:rPr>
            <w:color w:val="000000"/>
          </w:rPr>
          <w:t xml:space="preserve">obiectum</w:t>
        </w:r>
      </w:hyperlink>
      <w:r>
        <w:rPr>
          <w:b w:val="0"/>
          <w:i w:val="0"/>
        </w:rPr>
        <w:t xml:space="preserve">; </w:t>
      </w:r>
      <w:hyperlink w:anchor="latin-record-0922">
        <w:r>
          <w:rPr>
            <w:color w:val="000000"/>
          </w:rPr>
          <w:t xml:space="preserve">per se; quodammodo; proprie</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0982">
        <w:r>
          <w:rPr>
            <w:color w:val="000000"/>
          </w:rPr>
          <w:t xml:space="preserve">praestans; excellens; nobilis</w:t>
        </w:r>
      </w:hyperlink>
      <w:r>
        <w:rPr>
          <w:b w:val="0"/>
          <w:i w:val="0"/>
        </w:rPr>
        <w:t xml:space="preserve">; </w:t>
      </w:r>
      <w:hyperlink w:anchor="latin-record-1015">
        <w:r>
          <w:rPr>
            <w:color w:val="000000"/>
          </w:rPr>
          <w:t xml:space="preserve">proprium</w:t>
        </w:r>
      </w:hyperlink>
      <w:r>
        <w:rPr>
          <w:b w:val="0"/>
          <w:i w:val="0"/>
        </w:rPr>
        <w:t xml:space="preserve">; </w:t>
      </w:r>
      <w:hyperlink w:anchor="latin-record-1019">
        <w:r>
          <w:rPr>
            <w:color w:val="000000"/>
          </w:rPr>
          <w:t xml:space="preserve">proprius; communis</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077">
        <w:r>
          <w:rPr>
            <w:color w:val="000000"/>
          </w:rPr>
          <w:t xml:space="preserve">rationis oculus</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247">
        <w:r>
          <w:rPr>
            <w:color w:val="000000"/>
          </w:rPr>
          <w:t xml:space="preserve">substantia; essentia</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792" w:name="passage-vi-2-10"/>
      <w:bookmarkEnd w:id="1792"/>
      <w:r>
        <w:rPr>
          <w:b/>
          <w:i w:val="0"/>
        </w:rPr>
        <w:t>VI.2.10</w:t>
      </w:r>
      <w:r>
        <w:rPr>
          <w:b/>
          <w:i w:val="0"/>
        </w:rPr>
        <w:t>, source pp. 146–147.</w:t>
      </w:r>
      <w:r>
        <w:rPr>
          <w:b w:val="0"/>
          <w:i w:val="0"/>
        </w:rPr>
        <w:t xml:space="preserve"> Articles: </w:t>
      </w:r>
      <w:hyperlink w:anchor="habit-purification-and-intellectual-experiment">
        <w:r>
          <w:rPr>
            <w:color w:val="000000"/>
          </w:rPr>
          <w:t xml:space="preserve">Habit, purification and intellectual experiment</w:t>
        </w:r>
      </w:hyperlink>
      <w:r>
        <w:rPr>
          <w:b w:val="0"/>
          <w:i w:val="0"/>
        </w:rPr>
        <w:t xml:space="preserve">; </w:t>
      </w:r>
      <w:hyperlink w:anchor="separate-forms-and-intellectual-life">
        <w:r>
          <w:rPr>
            <w:color w:val="000000"/>
          </w:rPr>
          <w:t xml:space="preserve">Separate forms and intellectual life</w:t>
        </w:r>
      </w:hyperlink>
      <w:r>
        <w:rPr>
          <w:b w:val="0"/>
          <w:i w:val="0"/>
        </w:rPr>
        <w:t xml:space="preserve">. Vocabulary: </w:t>
      </w:r>
      <w:hyperlink w:anchor="latin-record-0049">
        <w:r>
          <w:rPr>
            <w:color w:val="000000"/>
          </w:rPr>
          <w:t xml:space="preserve">affectus; imaginatio</w:t>
        </w:r>
      </w:hyperlink>
      <w:r>
        <w:rPr>
          <w:b w:val="0"/>
          <w:i w:val="0"/>
        </w:rPr>
        <w:t xml:space="preserve">; </w:t>
      </w:r>
      <w:hyperlink w:anchor="latin-record-0061">
        <w:r>
          <w:rPr>
            <w:color w:val="000000"/>
          </w:rPr>
          <w:t xml:space="preserve">agere; operari</w:t>
        </w:r>
      </w:hyperlink>
      <w:r>
        <w:rPr>
          <w:b w:val="0"/>
          <w:i w:val="0"/>
        </w:rPr>
        <w:t xml:space="preserve">; </w:t>
      </w:r>
      <w:hyperlink w:anchor="latin-record-0090">
        <w:r>
          <w:rPr>
            <w:color w:val="000000"/>
          </w:rPr>
          <w:t xml:space="preserve">angelus; Deus</w:t>
        </w:r>
      </w:hyperlink>
      <w:r>
        <w:rPr>
          <w:b w:val="0"/>
          <w:i w:val="0"/>
        </w:rPr>
        <w:t xml:space="preserve">; </w:t>
      </w:r>
      <w:hyperlink w:anchor="latin-record-0136">
        <w:r>
          <w:rPr>
            <w:color w:val="000000"/>
          </w:rPr>
          <w:t xml:space="preserve">aspicere; despicere</w:t>
        </w:r>
      </w:hyperlink>
      <w:r>
        <w:rPr>
          <w:b w:val="0"/>
          <w:i w:val="0"/>
        </w:rPr>
        <w:t xml:space="preserve">; </w:t>
      </w:r>
      <w:hyperlink w:anchor="latin-record-0146">
        <w:r>
          <w:rPr>
            <w:color w:val="000000"/>
          </w:rPr>
          <w:t xml:space="preserve">attingere; percipere</w:t>
        </w:r>
      </w:hyperlink>
      <w:r>
        <w:rPr>
          <w:b w:val="0"/>
          <w:i w:val="0"/>
        </w:rPr>
        <w:t xml:space="preserve">; </w:t>
      </w:r>
      <w:hyperlink w:anchor="latin-record-0227">
        <w:r>
          <w:rPr>
            <w:color w:val="000000"/>
          </w:rPr>
          <w:t xml:space="preserve">cogitare; considerare</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315">
        <w:r>
          <w:rPr>
            <w:color w:val="000000"/>
          </w:rPr>
          <w:t xml:space="preserve">consuetudo</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63">
        <w:r>
          <w:rPr>
            <w:color w:val="000000"/>
          </w:rPr>
          <w:t xml:space="preserve">experiri; experientia</w:t>
        </w:r>
      </w:hyperlink>
      <w:r>
        <w:rPr>
          <w:b w:val="0"/>
          <w:i w:val="0"/>
        </w:rPr>
        <w:t xml:space="preserve">; </w:t>
      </w:r>
      <w:hyperlink w:anchor="latin-record-0503">
        <w:r>
          <w:rPr>
            <w:color w:val="000000"/>
          </w:rPr>
          <w:t xml:space="preserve">forma</w:t>
        </w:r>
      </w:hyperlink>
      <w:r>
        <w:rPr>
          <w:b w:val="0"/>
          <w:i w:val="0"/>
        </w:rPr>
        <w:t xml:space="preserve">; </w:t>
      </w:r>
      <w:hyperlink w:anchor="latin-record-0506">
        <w:r>
          <w:rPr>
            <w:color w:val="000000"/>
          </w:rPr>
          <w:t xml:space="preserve">forma segregata; subiectum</w:t>
        </w:r>
      </w:hyperlink>
      <w:r>
        <w:rPr>
          <w:b w:val="0"/>
          <w:i w:val="0"/>
        </w:rPr>
        <w:t xml:space="preserve">; </w:t>
      </w:r>
      <w:hyperlink w:anchor="latin-record-0660">
        <w:r>
          <w:rPr>
            <w:color w:val="000000"/>
          </w:rPr>
          <w:t xml:space="preserve">intellectus</w:t>
        </w:r>
      </w:hyperlink>
      <w:r>
        <w:rPr>
          <w:b w:val="0"/>
          <w:i w:val="0"/>
        </w:rPr>
        <w:t xml:space="preserve">; </w:t>
      </w:r>
      <w:hyperlink w:anchor="latin-record-0662">
        <w:r>
          <w:rPr>
            <w:color w:val="000000"/>
          </w:rPr>
          <w:t xml:space="preserve">intellectus purus</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0813">
        <w:r>
          <w:rPr>
            <w:color w:val="000000"/>
          </w:rPr>
          <w:t xml:space="preserve">movere; motus</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0954">
        <w:r>
          <w:rPr>
            <w:color w:val="000000"/>
          </w:rPr>
          <w:t xml:space="preserve">plebeus; minutus</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0996">
        <w:r>
          <w:rPr>
            <w:color w:val="000000"/>
          </w:rPr>
          <w:t xml:space="preserve">prior; posterior</w:t>
        </w:r>
      </w:hyperlink>
      <w:r>
        <w:rPr>
          <w:b w:val="0"/>
          <w:i w:val="0"/>
        </w:rPr>
        <w:t xml:space="preserve">; </w:t>
      </w:r>
      <w:hyperlink w:anchor="latin-record-1030">
        <w:r>
          <w:rPr>
            <w:color w:val="000000"/>
          </w:rPr>
          <w:t xml:space="preserve">purificare; purus</w:t>
        </w:r>
      </w:hyperlink>
      <w:r>
        <w:rPr>
          <w:b w:val="0"/>
          <w:i w:val="0"/>
        </w:rPr>
        <w:t xml:space="preserve">; </w:t>
      </w:r>
      <w:hyperlink w:anchor="latin-record-1073">
        <w:r>
          <w:rPr>
            <w:color w:val="000000"/>
          </w:rPr>
          <w:t xml:space="preserve">ratio secum vivens</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166">
        <w:r>
          <w:rPr>
            <w:color w:val="000000"/>
          </w:rPr>
          <w:t xml:space="preserve">separare; sevocare</w:t>
        </w:r>
      </w:hyperlink>
      <w:r>
        <w:rPr>
          <w:b w:val="0"/>
          <w:i w:val="0"/>
        </w:rPr>
        <w:t xml:space="preserve">; </w:t>
      </w:r>
      <w:hyperlink w:anchor="latin-record-1340">
        <w:r>
          <w:rPr>
            <w:color w:val="000000"/>
          </w:rPr>
          <w:t xml:space="preserve">veritas; gaudium</w:t>
        </w:r>
      </w:hyperlink>
      <w:r>
        <w:rPr>
          <w:b w:val="0"/>
          <w:i w:val="0"/>
        </w:rPr>
        <w:t xml:space="preserve">; </w:t>
      </w:r>
      <w:hyperlink w:anchor="latin-record-1359">
        <w:r>
          <w:rPr>
            <w:color w:val="000000"/>
          </w:rPr>
          <w:t xml:space="preserve">virtus; vis</w:t>
        </w:r>
      </w:hyperlink>
      <w:r>
        <w:rPr>
          <w:b w:val="0"/>
          <w:i w:val="0"/>
        </w:rPr>
        <w:t>.</w:t>
      </w:r>
    </w:p>
    <w:p>
      <w:pPr>
        <w:widowControl/>
      </w:pPr>
      <w:bookmarkStart w:id="1793" w:name="passage-vi-2-11"/>
      <w:bookmarkEnd w:id="1793"/>
      <w:r>
        <w:rPr>
          <w:b/>
          <w:i w:val="0"/>
        </w:rPr>
        <w:t>VI.2.11</w:t>
      </w:r>
      <w:r>
        <w:rPr>
          <w:b/>
          <w:i w:val="0"/>
        </w:rPr>
        <w:t>, source pp. 146–147.</w:t>
      </w:r>
      <w:r>
        <w:rPr>
          <w:b w:val="0"/>
          <w:i w:val="0"/>
        </w:rPr>
        <w:t xml:space="preserve"> Articles: </w:t>
      </w:r>
      <w:hyperlink w:anchor="habit-purification-and-intellectual-experiment">
        <w:r>
          <w:rPr>
            <w:color w:val="000000"/>
          </w:rPr>
          <w:t xml:space="preserve">Habit, purification and intellectual experiment</w:t>
        </w:r>
      </w:hyperlink>
      <w:r>
        <w:rPr>
          <w:b w:val="0"/>
          <w:i w:val="0"/>
        </w:rPr>
        <w:t xml:space="preserve">; </w:t>
      </w:r>
      <w:hyperlink w:anchor="separate-forms-and-intellectual-life">
        <w:r>
          <w:rPr>
            <w:color w:val="000000"/>
          </w:rPr>
          <w:t xml:space="preserve">Separate forms and intellectual life</w:t>
        </w:r>
      </w:hyperlink>
      <w:r>
        <w:rPr>
          <w:b w:val="0"/>
          <w:i w:val="0"/>
        </w:rPr>
        <w:t xml:space="preserve">. Vocabulary: </w:t>
      </w:r>
      <w:hyperlink w:anchor="latin-record-1340">
        <w:r>
          <w:rPr>
            <w:color w:val="000000"/>
          </w:rPr>
          <w:t xml:space="preserve">veritas; gaudium</w:t>
        </w:r>
      </w:hyperlink>
      <w:r>
        <w:rPr>
          <w:b w:val="0"/>
          <w:i w:val="0"/>
        </w:rPr>
        <w:t>.</w:t>
      </w:r>
    </w:p>
    <w:p>
      <w:pPr>
        <w:widowControl/>
      </w:pPr>
      <w:bookmarkStart w:id="1794" w:name="passage-vi-2-12"/>
      <w:bookmarkEnd w:id="1794"/>
      <w:r>
        <w:rPr>
          <w:b/>
          <w:i w:val="0"/>
        </w:rPr>
        <w:t>VI.2.12</w:t>
      </w:r>
      <w:r>
        <w:rPr>
          <w:b/>
          <w:i w:val="0"/>
        </w:rPr>
        <w:t>, source pp. 148–149.</w:t>
      </w:r>
      <w:r>
        <w:rPr>
          <w:b w:val="0"/>
          <w:i w:val="0"/>
        </w:rPr>
        <w:t xml:space="preserve"> Articles: </w:t>
      </w:r>
      <w:hyperlink w:anchor="avicenna-imagined-adult">
        <w:r>
          <w:rPr>
            <w:color w:val="000000"/>
          </w:rPr>
          <w:t xml:space="preserve">Avicenna’s imagined adult</w:t>
        </w:r>
      </w:hyperlink>
      <w:r>
        <w:rPr>
          <w:b w:val="0"/>
          <w:i w:val="0"/>
        </w:rPr>
        <w:t xml:space="preserve">; </w:t>
      </w:r>
      <w:hyperlink w:anchor="habit-purification-and-intellectual-experiment">
        <w:r>
          <w:rPr>
            <w:color w:val="000000"/>
          </w:rPr>
          <w:t xml:space="preserve">Habit, purification and intellectual experiment</w:t>
        </w:r>
      </w:hyperlink>
      <w:r>
        <w:rPr>
          <w:b w:val="0"/>
          <w:i w:val="0"/>
        </w:rPr>
        <w:t xml:space="preserve">. Vocabulary: </w:t>
      </w:r>
      <w:hyperlink w:anchor="latin-record-0047">
        <w:r>
          <w:rPr>
            <w:color w:val="000000"/>
          </w:rPr>
          <w:t xml:space="preserve">aetas perfecta</w:t>
        </w:r>
      </w:hyperlink>
      <w:r>
        <w:rPr>
          <w:b w:val="0"/>
          <w:i w:val="0"/>
        </w:rPr>
        <w:t xml:space="preserve">; </w:t>
      </w:r>
      <w:hyperlink w:anchor="latin-record-0053">
        <w:r>
          <w:rPr>
            <w:color w:val="000000"/>
          </w:rPr>
          <w:t xml:space="preserve">affirmare esse</w:t>
        </w:r>
      </w:hyperlink>
      <w:r>
        <w:rPr>
          <w:b w:val="0"/>
          <w:i w:val="0"/>
        </w:rPr>
        <w:t xml:space="preserve">; </w:t>
      </w:r>
      <w:hyperlink w:anchor="latin-record-0054">
        <w:r>
          <w:rPr>
            <w:color w:val="000000"/>
          </w:rPr>
          <w:t xml:space="preserve">affirmare; asserere; asseverare</w:t>
        </w:r>
      </w:hyperlink>
      <w:r>
        <w:rPr>
          <w:b w:val="0"/>
          <w:i w:val="0"/>
        </w:rPr>
        <w:t xml:space="preserve">; </w:t>
      </w:r>
      <w:hyperlink w:anchor="latin-record-0113">
        <w:r>
          <w:rPr>
            <w:color w:val="000000"/>
          </w:rPr>
          <w:t xml:space="preserve">apprehendere</w:t>
        </w:r>
      </w:hyperlink>
      <w:r>
        <w:rPr>
          <w:b w:val="0"/>
          <w:i w:val="0"/>
        </w:rPr>
        <w:t xml:space="preserve">; </w:t>
      </w:r>
      <w:hyperlink w:anchor="latin-record-0156">
        <w:r>
          <w:rPr>
            <w:color w:val="000000"/>
          </w:rPr>
          <w:t xml:space="preserve">Avicenna; educatio ficta</w:t>
        </w:r>
      </w:hyperlink>
      <w:r>
        <w:rPr>
          <w:b w:val="0"/>
          <w:i w:val="0"/>
        </w:rPr>
        <w:t xml:space="preserve">; </w:t>
      </w:r>
      <w:hyperlink w:anchor="latin-record-0227">
        <w:r>
          <w:rPr>
            <w:color w:val="000000"/>
          </w:rPr>
          <w:t xml:space="preserve">cogitare; considerare</w:t>
        </w:r>
      </w:hyperlink>
      <w:r>
        <w:rPr>
          <w:b w:val="0"/>
          <w:i w:val="0"/>
        </w:rPr>
        <w:t xml:space="preserve">; </w:t>
      </w:r>
      <w:hyperlink w:anchor="latin-record-0358">
        <w:r>
          <w:rPr>
            <w:color w:val="000000"/>
          </w:rPr>
          <w:t xml:space="preserve">dare; tribuere; praestare</w:t>
        </w:r>
      </w:hyperlink>
      <w:r>
        <w:rPr>
          <w:b w:val="0"/>
          <w:i w:val="0"/>
        </w:rPr>
        <w:t xml:space="preserve">; </w:t>
      </w:r>
      <w:hyperlink w:anchor="latin-record-0443">
        <w:r>
          <w:rPr>
            <w:color w:val="000000"/>
          </w:rPr>
          <w:t xml:space="preserve">esse; existere</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683">
        <w:r>
          <w:rPr>
            <w:color w:val="000000"/>
          </w:rPr>
          <w:t xml:space="preserve">intuitus; essentia</w:t>
        </w:r>
      </w:hyperlink>
      <w:r>
        <w:rPr>
          <w:b w:val="0"/>
          <w:i w:val="0"/>
        </w:rPr>
        <w:t xml:space="preserve">; </w:t>
      </w:r>
      <w:hyperlink w:anchor="latin-record-0777">
        <w:r>
          <w:rPr>
            <w:color w:val="000000"/>
          </w:rPr>
          <w:t xml:space="preserve">mens</w:t>
        </w:r>
      </w:hyperlink>
      <w:r>
        <w:rPr>
          <w:b w:val="0"/>
          <w:i w:val="0"/>
        </w:rPr>
        <w:t xml:space="preserve">; </w:t>
      </w:r>
      <w:hyperlink w:anchor="latin-record-0863">
        <w:r>
          <w:rPr>
            <w:color w:val="000000"/>
          </w:rPr>
          <w:t xml:space="preserve">operatio; actus</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0937">
        <w:r>
          <w:rPr>
            <w:color w:val="000000"/>
          </w:rPr>
          <w:t xml:space="preserve">perspicere; prospicere; pervidere</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078">
        <w:r>
          <w:rPr>
            <w:color w:val="000000"/>
          </w:rPr>
          <w:t xml:space="preserve">recipere; accipere</w:t>
        </w:r>
      </w:hyperlink>
      <w:r>
        <w:rPr>
          <w:b w:val="0"/>
          <w:i w:val="0"/>
        </w:rPr>
        <w:t xml:space="preserve">; </w:t>
      </w:r>
      <w:hyperlink w:anchor="latin-record-1236">
        <w:r>
          <w:rPr>
            <w:color w:val="000000"/>
          </w:rPr>
          <w:t xml:space="preserve">statim; subito; paulatim</w:t>
        </w:r>
      </w:hyperlink>
      <w:r>
        <w:rPr>
          <w:b w:val="0"/>
          <w:i w:val="0"/>
        </w:rPr>
        <w:t xml:space="preserve">; </w:t>
      </w:r>
      <w:hyperlink w:anchor="latin-record-1327">
        <w:r>
          <w:rPr>
            <w:color w:val="000000"/>
          </w:rPr>
          <w:t xml:space="preserve">utrum; an; numquid; num</w:t>
        </w:r>
      </w:hyperlink>
      <w:r>
        <w:rPr>
          <w:b w:val="0"/>
          <w:i w:val="0"/>
        </w:rPr>
        <w:t>.</w:t>
      </w:r>
    </w:p>
    <w:p>
      <w:pPr>
        <w:widowControl/>
      </w:pPr>
      <w:bookmarkStart w:id="1795" w:name="passage-vi-2-13"/>
      <w:bookmarkEnd w:id="1795"/>
      <w:r>
        <w:rPr>
          <w:b/>
          <w:i w:val="0"/>
        </w:rPr>
        <w:t>VI.2.13</w:t>
      </w:r>
      <w:r>
        <w:rPr>
          <w:b/>
          <w:i w:val="0"/>
        </w:rPr>
        <w:t>, source pp. 150–151.</w:t>
      </w:r>
      <w:r>
        <w:rPr>
          <w:b w:val="0"/>
          <w:i w:val="0"/>
        </w:rPr>
        <w:t xml:space="preserve"> Articles: </w:t>
      </w:r>
      <w:hyperlink w:anchor="avicenna-imagined-adult">
        <w:r>
          <w:rPr>
            <w:color w:val="000000"/>
          </w:rPr>
          <w:t xml:space="preserve">Avicenna’s imagined adult</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146">
        <w:r>
          <w:rPr>
            <w:color w:val="000000"/>
          </w:rPr>
          <w:t xml:space="preserve">attingere; percipere</w:t>
        </w:r>
      </w:hyperlink>
      <w:r>
        <w:rPr>
          <w:b w:val="0"/>
          <w:i w:val="0"/>
        </w:rPr>
        <w:t xml:space="preserve">; </w:t>
      </w:r>
      <w:hyperlink w:anchor="latin-record-0227">
        <w:r>
          <w:rPr>
            <w:color w:val="000000"/>
          </w:rPr>
          <w:t xml:space="preserve">cogitare; considerare</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62">
        <w:r>
          <w:rPr>
            <w:color w:val="000000"/>
          </w:rPr>
          <w:t xml:space="preserve">expergisci</w:t>
        </w:r>
      </w:hyperlink>
      <w:r>
        <w:rPr>
          <w:b w:val="0"/>
          <w:i w:val="0"/>
        </w:rPr>
        <w:t xml:space="preserve">; </w:t>
      </w:r>
      <w:hyperlink w:anchor="latin-record-0489">
        <w:r>
          <w:rPr>
            <w:color w:val="000000"/>
          </w:rPr>
          <w:t xml:space="preserve">fingere; machinari; effingere</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0828">
        <w:r>
          <w:rPr>
            <w:color w:val="000000"/>
          </w:rPr>
          <w:t xml:space="preserve">naturale iudicium</w:t>
        </w:r>
      </w:hyperlink>
      <w:r>
        <w:rPr>
          <w:b w:val="0"/>
          <w:i w:val="0"/>
        </w:rPr>
        <w:t xml:space="preserve">; </w:t>
      </w:r>
      <w:hyperlink w:anchor="latin-record-0937">
        <w:r>
          <w:rPr>
            <w:color w:val="000000"/>
          </w:rPr>
          <w:t xml:space="preserve">perspicere; prospicere; pervidere</w:t>
        </w:r>
      </w:hyperlink>
      <w:r>
        <w:rPr>
          <w:b w:val="0"/>
          <w:i w:val="0"/>
        </w:rPr>
        <w:t xml:space="preserve">; </w:t>
      </w:r>
      <w:hyperlink w:anchor="latin-record-0942">
        <w:r>
          <w:rPr>
            <w:color w:val="000000"/>
          </w:rPr>
          <w:t xml:space="preserve">pervidere</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078">
        <w:r>
          <w:rPr>
            <w:color w:val="000000"/>
          </w:rPr>
          <w:t xml:space="preserve">recipere; accipere</w:t>
        </w:r>
      </w:hyperlink>
      <w:r>
        <w:rPr>
          <w:b w:val="0"/>
          <w:i w:val="0"/>
        </w:rPr>
        <w:t xml:space="preserve">; </w:t>
      </w:r>
      <w:hyperlink w:anchor="latin-record-1159">
        <w:r>
          <w:rPr>
            <w:color w:val="000000"/>
          </w:rPr>
          <w:t xml:space="preserve">sensus; sentire</w:t>
        </w:r>
      </w:hyperlink>
      <w:r>
        <w:rPr>
          <w:b w:val="0"/>
          <w:i w:val="0"/>
        </w:rPr>
        <w:t>.</w:t>
      </w:r>
    </w:p>
    <w:p>
      <w:pPr>
        <w:widowControl/>
      </w:pPr>
      <w:bookmarkStart w:id="1796" w:name="passage-vi-2-14"/>
      <w:bookmarkEnd w:id="1796"/>
      <w:r>
        <w:rPr>
          <w:b/>
          <w:i w:val="0"/>
        </w:rPr>
        <w:t>VI.2.14</w:t>
      </w:r>
      <w:r>
        <w:rPr>
          <w:b/>
          <w:i w:val="0"/>
        </w:rPr>
        <w:t>, source pp. 152–153.</w:t>
      </w:r>
      <w:r>
        <w:rPr>
          <w:b w:val="0"/>
          <w:i w:val="0"/>
        </w:rPr>
        <w:t xml:space="preserve"> Articles: </w:t>
      </w:r>
      <w:hyperlink w:anchor="avicenna-imagined-adult">
        <w:r>
          <w:rPr>
            <w:color w:val="000000"/>
          </w:rPr>
          <w:t xml:space="preserve">Avicenna’s imagined adult</w:t>
        </w:r>
      </w:hyperlink>
      <w:r>
        <w:rPr>
          <w:b w:val="0"/>
          <w:i w:val="0"/>
        </w:rPr>
        <w:t xml:space="preserve">; </w:t>
      </w:r>
      <w:hyperlink w:anchor="habit-purification-and-intellectual-experiment">
        <w:r>
          <w:rPr>
            <w:color w:val="000000"/>
          </w:rPr>
          <w:t xml:space="preserve">Habit, purification and intellectual experiment</w:t>
        </w:r>
      </w:hyperlink>
      <w:r>
        <w:rPr>
          <w:b w:val="0"/>
          <w:i w:val="0"/>
        </w:rPr>
        <w:t xml:space="preserve">; </w:t>
      </w:r>
      <w:hyperlink w:anchor="plato-cave-and-gradual-education">
        <w:r>
          <w:rPr>
            <w:color w:val="000000"/>
          </w:rPr>
          <w:t xml:space="preserve">Plato’s cave and gradual education</w:t>
        </w:r>
      </w:hyperlink>
      <w:r>
        <w:rPr>
          <w:b w:val="0"/>
          <w:i w:val="0"/>
        </w:rPr>
        <w:t xml:space="preserve">. Vocabulary: </w:t>
      </w:r>
      <w:hyperlink w:anchor="latin-record-0156">
        <w:r>
          <w:rPr>
            <w:color w:val="000000"/>
          </w:rPr>
          <w:t xml:space="preserve">Avicenna; educatio ficta</w:t>
        </w:r>
      </w:hyperlink>
      <w:r>
        <w:rPr>
          <w:b w:val="0"/>
          <w:i w:val="0"/>
        </w:rPr>
        <w:t xml:space="preserve">; </w:t>
      </w:r>
      <w:hyperlink w:anchor="latin-record-0211">
        <w:r>
          <w:rPr>
            <w:color w:val="000000"/>
          </w:rPr>
          <w:t xml:space="preserve">cervix; columna</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592">
        <w:r>
          <w:rPr>
            <w:color w:val="000000"/>
          </w:rPr>
          <w:t xml:space="preserve">imago</w:t>
        </w:r>
      </w:hyperlink>
      <w:r>
        <w:rPr>
          <w:b w:val="0"/>
          <w:i w:val="0"/>
        </w:rPr>
        <w:t xml:space="preserve">; </w:t>
      </w:r>
      <w:hyperlink w:anchor="latin-record-0699">
        <w:r>
          <w:rPr>
            <w:color w:val="000000"/>
          </w:rPr>
          <w:t xml:space="preserve">lampas; ignis</w:t>
        </w:r>
      </w:hyperlink>
      <w:r>
        <w:rPr>
          <w:b w:val="0"/>
          <w:i w:val="0"/>
        </w:rPr>
        <w:t xml:space="preserve">; </w:t>
      </w:r>
      <w:hyperlink w:anchor="latin-record-0715">
        <w:r>
          <w:rPr>
            <w:color w:val="000000"/>
          </w:rPr>
          <w:t xml:space="preserve">ligare; vincire</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185">
        <w:r>
          <w:rPr>
            <w:color w:val="000000"/>
          </w:rPr>
          <w:t xml:space="preserve">simulachrum; resultare</w:t>
        </w:r>
      </w:hyperlink>
      <w:r>
        <w:rPr>
          <w:b w:val="0"/>
          <w:i w:val="0"/>
        </w:rPr>
        <w:t xml:space="preserve">; </w:t>
      </w:r>
      <w:hyperlink w:anchor="latin-record-1221">
        <w:r>
          <w:rPr>
            <w:color w:val="000000"/>
          </w:rPr>
          <w:t xml:space="preserve">spelunca; specus; caverna</w:t>
        </w:r>
      </w:hyperlink>
      <w:r>
        <w:rPr>
          <w:b w:val="0"/>
          <w:i w:val="0"/>
        </w:rPr>
        <w:t xml:space="preserve">; </w:t>
      </w:r>
      <w:hyperlink w:anchor="latin-record-1266">
        <w:r>
          <w:rPr>
            <w:color w:val="000000"/>
          </w:rPr>
          <w:t xml:space="preserve">sursum; deorsum; extra; intra</w:t>
        </w:r>
      </w:hyperlink>
      <w:r>
        <w:rPr>
          <w:b w:val="0"/>
          <w:i w:val="0"/>
        </w:rPr>
        <w:t>.</w:t>
      </w:r>
    </w:p>
    <w:p>
      <w:pPr>
        <w:widowControl/>
      </w:pPr>
      <w:bookmarkStart w:id="1797" w:name="passage-vi-2-15"/>
      <w:bookmarkEnd w:id="1797"/>
      <w:r>
        <w:rPr>
          <w:b/>
          <w:i w:val="0"/>
        </w:rPr>
        <w:t>VI.2.15</w:t>
      </w:r>
      <w:r>
        <w:rPr>
          <w:b/>
          <w:i w:val="0"/>
        </w:rPr>
        <w:t>, source pp. 154–155.</w:t>
      </w:r>
      <w:r>
        <w:rPr>
          <w:b w:val="0"/>
          <w:i w:val="0"/>
        </w:rPr>
        <w:t xml:space="preserve"> Articles: </w:t>
      </w:r>
      <w:hyperlink w:anchor="plato-cave-and-gradual-education">
        <w:r>
          <w:rPr>
            <w:color w:val="000000"/>
          </w:rPr>
          <w:t xml:space="preserve">Plato’s cave and gradual education</w:t>
        </w:r>
      </w:hyperlink>
      <w:r>
        <w:rPr>
          <w:b w:val="0"/>
          <w:i w:val="0"/>
        </w:rPr>
        <w:t xml:space="preserve">. Vocabulary: </w:t>
      </w:r>
      <w:hyperlink w:anchor="latin-record-0180">
        <w:r>
          <w:rPr>
            <w:color w:val="000000"/>
          </w:rPr>
          <w:t xml:space="preserve">caligare; dolere</w:t>
        </w:r>
      </w:hyperlink>
      <w:r>
        <w:rPr>
          <w:b w:val="0"/>
          <w:i w:val="0"/>
        </w:rPr>
        <w:t xml:space="preserve">; </w:t>
      </w:r>
      <w:hyperlink w:anchor="latin-record-0225">
        <w:r>
          <w:rPr>
            <w:color w:val="000000"/>
          </w:rPr>
          <w:t xml:space="preserve">cogere; compellere</w:t>
        </w:r>
      </w:hyperlink>
      <w:r>
        <w:rPr>
          <w:b w:val="0"/>
          <w:i w:val="0"/>
        </w:rPr>
        <w:t xml:space="preserve">; </w:t>
      </w:r>
      <w:hyperlink w:anchor="latin-record-0547">
        <w:r>
          <w:rPr>
            <w:color w:val="000000"/>
          </w:rPr>
          <w:t xml:space="preserve">gradus; paulatim</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699">
        <w:r>
          <w:rPr>
            <w:color w:val="000000"/>
          </w:rPr>
          <w:t xml:space="preserve">lampas; ignis</w:t>
        </w:r>
      </w:hyperlink>
      <w:r>
        <w:rPr>
          <w:b w:val="0"/>
          <w:i w:val="0"/>
        </w:rPr>
        <w:t xml:space="preserve">; </w:t>
      </w:r>
      <w:hyperlink w:anchor="latin-record-0715">
        <w:r>
          <w:rPr>
            <w:color w:val="000000"/>
          </w:rPr>
          <w:t xml:space="preserve">ligare; vincire</w:t>
        </w:r>
      </w:hyperlink>
      <w:r>
        <w:rPr>
          <w:b w:val="0"/>
          <w:i w:val="0"/>
        </w:rPr>
        <w:t xml:space="preserve">; </w:t>
      </w:r>
      <w:hyperlink w:anchor="latin-record-0732">
        <w:r>
          <w:rPr>
            <w:color w:val="000000"/>
          </w:rPr>
          <w:t xml:space="preserve">lumen; lux</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188">
        <w:r>
          <w:rPr>
            <w:color w:val="000000"/>
          </w:rPr>
          <w:t xml:space="preserve">sincere discernere</w:t>
        </w:r>
      </w:hyperlink>
      <w:r>
        <w:rPr>
          <w:b w:val="0"/>
          <w:i w:val="0"/>
        </w:rPr>
        <w:t xml:space="preserve">; </w:t>
      </w:r>
      <w:hyperlink w:anchor="latin-record-1195">
        <w:r>
          <w:rPr>
            <w:color w:val="000000"/>
          </w:rPr>
          <w:t xml:space="preserve">sol</w:t>
        </w:r>
      </w:hyperlink>
      <w:r>
        <w:rPr>
          <w:b w:val="0"/>
          <w:i w:val="0"/>
        </w:rPr>
        <w:t xml:space="preserve">; </w:t>
      </w:r>
      <w:hyperlink w:anchor="latin-record-1202">
        <w:r>
          <w:rPr>
            <w:color w:val="000000"/>
          </w:rPr>
          <w:t xml:space="preserve">solvere; retro versus</w:t>
        </w:r>
      </w:hyperlink>
      <w:r>
        <w:rPr>
          <w:b w:val="0"/>
          <w:i w:val="0"/>
        </w:rPr>
        <w:t xml:space="preserve">; </w:t>
      </w:r>
      <w:hyperlink w:anchor="latin-record-1221">
        <w:r>
          <w:rPr>
            <w:color w:val="000000"/>
          </w:rPr>
          <w:t xml:space="preserve">spelunca; specus; caverna</w:t>
        </w:r>
      </w:hyperlink>
      <w:r>
        <w:rPr>
          <w:b w:val="0"/>
          <w:i w:val="0"/>
        </w:rPr>
        <w:t xml:space="preserve">; </w:t>
      </w:r>
      <w:hyperlink w:anchor="latin-record-1236">
        <w:r>
          <w:rPr>
            <w:color w:val="000000"/>
          </w:rPr>
          <w:t xml:space="preserve">statim; subito; paulatim</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798" w:name="passage-vi-2-16"/>
      <w:bookmarkEnd w:id="1798"/>
      <w:r>
        <w:rPr>
          <w:b/>
          <w:i w:val="0"/>
        </w:rPr>
        <w:t>VI.2.16</w:t>
      </w:r>
      <w:r>
        <w:rPr>
          <w:b/>
          <w:i w:val="0"/>
        </w:rPr>
        <w:t>, source pp. 154–155.</w:t>
      </w:r>
      <w:r>
        <w:rPr>
          <w:b w:val="0"/>
          <w:i w:val="0"/>
        </w:rPr>
        <w:t xml:space="preserve"> Articles: </w:t>
      </w:r>
      <w:hyperlink w:anchor="plato-cave-and-gradual-education">
        <w:r>
          <w:rPr>
            <w:color w:val="000000"/>
          </w:rPr>
          <w:t xml:space="preserve">Plato’s cave and gradual education</w:t>
        </w:r>
      </w:hyperlink>
      <w:r>
        <w:rPr>
          <w:b w:val="0"/>
          <w:i w:val="0"/>
        </w:rPr>
        <w:t xml:space="preserve">. Vocabulary: </w:t>
      </w:r>
      <w:hyperlink w:anchor="latin-record-0173">
        <w:r>
          <w:rPr>
            <w:color w:val="000000"/>
          </w:rPr>
          <w:t xml:space="preserve">caelum; terra; mundus</w:t>
        </w:r>
      </w:hyperlink>
      <w:r>
        <w:rPr>
          <w:b w:val="0"/>
          <w:i w:val="0"/>
        </w:rPr>
        <w:t xml:space="preserve">; </w:t>
      </w:r>
      <w:hyperlink w:anchor="latin-record-0180">
        <w:r>
          <w:rPr>
            <w:color w:val="000000"/>
          </w:rPr>
          <w:t xml:space="preserve">caligare; dolere</w:t>
        </w:r>
      </w:hyperlink>
      <w:r>
        <w:rPr>
          <w:b w:val="0"/>
          <w:i w:val="0"/>
        </w:rPr>
        <w:t xml:space="preserve">; </w:t>
      </w:r>
      <w:hyperlink w:anchor="latin-record-0547">
        <w:r>
          <w:rPr>
            <w:color w:val="000000"/>
          </w:rPr>
          <w:t xml:space="preserve">gradus; paulatim</w:t>
        </w:r>
      </w:hyperlink>
      <w:r>
        <w:rPr>
          <w:b w:val="0"/>
          <w:i w:val="0"/>
        </w:rPr>
        <w:t xml:space="preserve">; </w:t>
      </w:r>
      <w:hyperlink w:anchor="latin-record-0777">
        <w:r>
          <w:rPr>
            <w:color w:val="000000"/>
          </w:rPr>
          <w:t xml:space="preserve">mens</w:t>
        </w:r>
      </w:hyperlink>
      <w:r>
        <w:rPr>
          <w:b w:val="0"/>
          <w:i w:val="0"/>
        </w:rPr>
        <w:t xml:space="preserve">; </w:t>
      </w:r>
      <w:hyperlink w:anchor="latin-record-0799">
        <w:r>
          <w:rPr>
            <w:color w:val="000000"/>
          </w:rPr>
          <w:t xml:space="preserve">moribundus; carcer</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195">
        <w:r>
          <w:rPr>
            <w:color w:val="000000"/>
          </w:rPr>
          <w:t xml:space="preserve">sol</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799" w:name="passage-vi-2-17"/>
      <w:bookmarkEnd w:id="1799"/>
      <w:r>
        <w:rPr>
          <w:b/>
          <w:i w:val="0"/>
        </w:rPr>
        <w:t>VI.2.17</w:t>
      </w:r>
      <w:r>
        <w:rPr>
          <w:b/>
          <w:i w:val="0"/>
        </w:rPr>
        <w:t>, source pp. 156–157.</w:t>
      </w:r>
      <w:r>
        <w:rPr>
          <w:b w:val="0"/>
          <w:i w:val="0"/>
        </w:rPr>
        <w:t xml:space="preserve"> Articles: </w:t>
      </w:r>
      <w:hyperlink w:anchor="habit-purification-and-intellectual-experiment">
        <w:r>
          <w:rPr>
            <w:color w:val="000000"/>
          </w:rPr>
          <w:t xml:space="preserve">Habit, purification and intellectual experiment</w:t>
        </w:r>
      </w:hyperlink>
      <w:r>
        <w:rPr>
          <w:b w:val="0"/>
          <w:i w:val="0"/>
        </w:rPr>
        <w:t xml:space="preserve">; </w:t>
      </w:r>
      <w:hyperlink w:anchor="plato-cave-and-gradual-education">
        <w:r>
          <w:rPr>
            <w:color w:val="000000"/>
          </w:rPr>
          <w:t xml:space="preserve">Plato’s cave and gradual education</w:t>
        </w:r>
      </w:hyperlink>
      <w:r>
        <w:rPr>
          <w:b w:val="0"/>
          <w:i w:val="0"/>
        </w:rPr>
        <w:t xml:space="preserve">. Vocabulary: </w:t>
      </w:r>
      <w:hyperlink w:anchor="latin-record-0172">
        <w:r>
          <w:rPr>
            <w:color w:val="000000"/>
          </w:rPr>
          <w:t xml:space="preserve">caecutire; titubare; aegrotare</w:t>
        </w:r>
      </w:hyperlink>
      <w:r>
        <w:rPr>
          <w:b w:val="0"/>
          <w:i w:val="0"/>
        </w:rPr>
        <w:t xml:space="preserve">; </w:t>
      </w:r>
      <w:hyperlink w:anchor="latin-record-0225">
        <w:r>
          <w:rPr>
            <w:color w:val="000000"/>
          </w:rPr>
          <w:t xml:space="preserve">cogere; compellere</w:t>
        </w:r>
      </w:hyperlink>
      <w:r>
        <w:rPr>
          <w:b w:val="0"/>
          <w:i w:val="0"/>
        </w:rPr>
        <w:t xml:space="preserve">; </w:t>
      </w:r>
      <w:hyperlink w:anchor="latin-record-0326">
        <w:r>
          <w:rPr>
            <w:color w:val="000000"/>
          </w:rPr>
          <w:t xml:space="preserve">contrarius; oppositus; repugnans</w:t>
        </w:r>
      </w:hyperlink>
      <w:r>
        <w:rPr>
          <w:b w:val="0"/>
          <w:i w:val="0"/>
        </w:rPr>
        <w:t xml:space="preserve">; </w:t>
      </w:r>
      <w:hyperlink w:anchor="latin-record-0596">
        <w:r>
          <w:rPr>
            <w:color w:val="000000"/>
          </w:rPr>
          <w:t xml:space="preserve">immo; tamen; nihilominus</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798">
        <w:r>
          <w:rPr>
            <w:color w:val="000000"/>
          </w:rPr>
          <w:t xml:space="preserve">mores; doctrina; tempus</w:t>
        </w:r>
      </w:hyperlink>
      <w:r>
        <w:rPr>
          <w:b w:val="0"/>
          <w:i w:val="0"/>
        </w:rPr>
        <w:t xml:space="preserve">; </w:t>
      </w:r>
      <w:hyperlink w:anchor="latin-record-0947">
        <w:r>
          <w:rPr>
            <w:color w:val="000000"/>
          </w:rPr>
          <w:t xml:space="preserve">phrenesis; somnus; ebrietas</w:t>
        </w:r>
      </w:hyperlink>
      <w:r>
        <w:rPr>
          <w:b w:val="0"/>
          <w:i w:val="0"/>
        </w:rPr>
        <w:t xml:space="preserve">; </w:t>
      </w:r>
      <w:hyperlink w:anchor="latin-record-1094">
        <w:r>
          <w:rPr>
            <w:color w:val="000000"/>
          </w:rPr>
          <w:t xml:space="preserve">regere; ducere; gubernare</w:t>
        </w:r>
      </w:hyperlink>
      <w:r>
        <w:rPr>
          <w:b w:val="0"/>
          <w:i w:val="0"/>
        </w:rPr>
        <w:t xml:space="preserve">; </w:t>
      </w:r>
      <w:hyperlink w:anchor="latin-record-1188">
        <w:r>
          <w:rPr>
            <w:color w:val="000000"/>
          </w:rPr>
          <w:t xml:space="preserve">sincere discernere</w:t>
        </w:r>
      </w:hyperlink>
      <w:r>
        <w:rPr>
          <w:b w:val="0"/>
          <w:i w:val="0"/>
        </w:rPr>
        <w:t xml:space="preserve">; </w:t>
      </w:r>
      <w:hyperlink w:anchor="latin-record-1221">
        <w:r>
          <w:rPr>
            <w:color w:val="000000"/>
          </w:rPr>
          <w:t xml:space="preserve">spelunca; specus; caverna</w:t>
        </w:r>
      </w:hyperlink>
      <w:r>
        <w:rPr>
          <w:b w:val="0"/>
          <w:i w:val="0"/>
        </w:rPr>
        <w:t>.</w:t>
      </w:r>
    </w:p>
    <w:p>
      <w:pPr>
        <w:widowControl/>
      </w:pPr>
      <w:bookmarkStart w:id="1800" w:name="passage-vi-2-18"/>
      <w:bookmarkEnd w:id="1800"/>
      <w:r>
        <w:rPr>
          <w:b/>
          <w:i w:val="0"/>
        </w:rPr>
        <w:t>VI.2.18</w:t>
      </w:r>
      <w:r>
        <w:rPr>
          <w:b/>
          <w:i w:val="0"/>
        </w:rPr>
        <w:t>, source pp. 156–157.</w:t>
      </w:r>
      <w:r>
        <w:rPr>
          <w:b w:val="0"/>
          <w:i w:val="0"/>
        </w:rPr>
        <w:t xml:space="preserve"> Articles: </w:t>
      </w:r>
      <w:hyperlink w:anchor="plato-cave-and-gradual-education">
        <w:r>
          <w:rPr>
            <w:color w:val="000000"/>
          </w:rPr>
          <w:t xml:space="preserve">Plato’s cave and gradual education</w:t>
        </w:r>
      </w:hyperlink>
      <w:r>
        <w:rPr>
          <w:b w:val="0"/>
          <w:i w:val="0"/>
        </w:rPr>
        <w:t xml:space="preserve">. Vocabulary: </w:t>
      </w:r>
      <w:hyperlink w:anchor="latin-record-0434">
        <w:r>
          <w:rPr>
            <w:color w:val="000000"/>
          </w:rPr>
          <w:t xml:space="preserve">emergere; immergere</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1107">
        <w:r>
          <w:rPr>
            <w:color w:val="000000"/>
          </w:rPr>
          <w:t xml:space="preserve">reperire; invenire</w:t>
        </w:r>
      </w:hyperlink>
      <w:r>
        <w:rPr>
          <w:b w:val="0"/>
          <w:i w:val="0"/>
        </w:rPr>
        <w:t>.</w:t>
      </w:r>
    </w:p>
    <w:p>
      <w:pPr>
        <w:widowControl/>
      </w:pPr>
      <w:bookmarkStart w:id="1801" w:name="passage-vi-2-19"/>
      <w:bookmarkEnd w:id="1801"/>
      <w:r>
        <w:rPr>
          <w:b/>
          <w:i w:val="0"/>
        </w:rPr>
        <w:t>VI.2.19</w:t>
      </w:r>
      <w:r>
        <w:rPr>
          <w:b/>
          <w:i w:val="0"/>
        </w:rPr>
        <w:t>, source pp. 158–159.</w:t>
      </w:r>
      <w:r>
        <w:rPr>
          <w:b w:val="0"/>
          <w:i w:val="0"/>
        </w:rPr>
        <w:t xml:space="preserve"> Articles: </w:t>
      </w:r>
      <w:hyperlink w:anchor="number-and-spiritual-amplitude">
        <w:r>
          <w:rPr>
            <w:color w:val="000000"/>
          </w:rPr>
          <w:t xml:space="preserve">Number and spiritual amplitude</w:t>
        </w:r>
      </w:hyperlink>
      <w:r>
        <w:rPr>
          <w:b w:val="0"/>
          <w:i w:val="0"/>
        </w:rPr>
        <w:t xml:space="preserve">; </w:t>
      </w:r>
      <w:hyperlink w:anchor="point-dimension-and-substantial-unity">
        <w:r>
          <w:rPr>
            <w:color w:val="000000"/>
          </w:rPr>
          <w:t xml:space="preserve">Point, dimension and substantial unity</w:t>
        </w:r>
      </w:hyperlink>
      <w:r>
        <w:rPr>
          <w:b w:val="0"/>
          <w:i w:val="0"/>
        </w:rPr>
        <w:t xml:space="preserve">. Vocabulary: </w:t>
      </w:r>
      <w:hyperlink w:anchor="latin-record-0042">
        <w:r>
          <w:rPr>
            <w:color w:val="000000"/>
          </w:rPr>
          <w:t xml:space="preserve">aequaliter; aeque; aequare</w:t>
        </w:r>
      </w:hyperlink>
      <w:r>
        <w:rPr>
          <w:b w:val="0"/>
          <w:i w:val="0"/>
        </w:rPr>
        <w:t xml:space="preserve">; </w:t>
      </w:r>
      <w:hyperlink w:anchor="latin-record-0227">
        <w:r>
          <w:rPr>
            <w:color w:val="000000"/>
          </w:rPr>
          <w:t xml:space="preserve">cogitare; considerare</w:t>
        </w:r>
      </w:hyperlink>
      <w:r>
        <w:rPr>
          <w:b w:val="0"/>
          <w:i w:val="0"/>
        </w:rPr>
        <w:t xml:space="preserve">; </w:t>
      </w:r>
      <w:hyperlink w:anchor="latin-record-0228">
        <w:r>
          <w:rPr>
            <w:color w:val="000000"/>
          </w:rPr>
          <w:t xml:space="preserve">cogitatione separari</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534">
        <w:r>
          <w:rPr>
            <w:color w:val="000000"/>
          </w:rPr>
          <w:t xml:space="preserve">fundere; movere</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0723">
        <w:r>
          <w:rPr>
            <w:color w:val="000000"/>
          </w:rPr>
          <w:t xml:space="preserve">locus; situs</w:t>
        </w:r>
      </w:hyperlink>
      <w:r>
        <w:rPr>
          <w:b w:val="0"/>
          <w:i w:val="0"/>
        </w:rPr>
        <w:t xml:space="preserve">; </w:t>
      </w:r>
      <w:hyperlink w:anchor="latin-record-0725">
        <w:r>
          <w:rPr>
            <w:color w:val="000000"/>
          </w:rPr>
          <w:t xml:space="preserve">longitudo; latitudo; profunditas</w:t>
        </w:r>
      </w:hyperlink>
      <w:r>
        <w:rPr>
          <w:b w:val="0"/>
          <w:i w:val="0"/>
        </w:rPr>
        <w:t xml:space="preserve">; </w:t>
      </w:r>
      <w:hyperlink w:anchor="latin-record-0996">
        <w:r>
          <w:rPr>
            <w:color w:val="000000"/>
          </w:rPr>
          <w:t xml:space="preserve">prior; posterior</w:t>
        </w:r>
      </w:hyperlink>
      <w:r>
        <w:rPr>
          <w:b w:val="0"/>
          <w:i w:val="0"/>
        </w:rPr>
        <w:t xml:space="preserve">; </w:t>
      </w:r>
      <w:hyperlink w:anchor="latin-record-1094">
        <w:r>
          <w:rPr>
            <w:color w:val="000000"/>
          </w:rPr>
          <w:t xml:space="preserve">regere; ducere; gubernare</w:t>
        </w:r>
      </w:hyperlink>
      <w:r>
        <w:rPr>
          <w:b w:val="0"/>
          <w:i w:val="0"/>
        </w:rPr>
        <w:t xml:space="preserve">; </w:t>
      </w:r>
      <w:hyperlink w:anchor="latin-record-1264">
        <w:r>
          <w:rPr>
            <w:color w:val="000000"/>
          </w:rPr>
          <w:t xml:space="preserve">superficies; linea; punctum</w:t>
        </w:r>
      </w:hyperlink>
      <w:r>
        <w:rPr>
          <w:b w:val="0"/>
          <w:i w:val="0"/>
        </w:rPr>
        <w:t xml:space="preserve">; </w:t>
      </w:r>
      <w:hyperlink w:anchor="latin-record-1292">
        <w:r>
          <w:rPr>
            <w:color w:val="000000"/>
          </w:rPr>
          <w:t xml:space="preserve">terminus; situs</w:t>
        </w:r>
      </w:hyperlink>
      <w:r>
        <w:rPr>
          <w:b w:val="0"/>
          <w:i w:val="0"/>
        </w:rPr>
        <w:t>.</w:t>
      </w:r>
    </w:p>
    <w:p>
      <w:pPr>
        <w:widowControl/>
      </w:pPr>
      <w:bookmarkStart w:id="1802" w:name="passage-vi-2-20"/>
      <w:bookmarkEnd w:id="1802"/>
      <w:r>
        <w:rPr>
          <w:b/>
          <w:i w:val="0"/>
        </w:rPr>
        <w:t>VI.2.20</w:t>
      </w:r>
      <w:r>
        <w:rPr>
          <w:b/>
          <w:i w:val="0"/>
        </w:rPr>
        <w:t>, source pp. 158–159.</w:t>
      </w:r>
      <w:r>
        <w:rPr>
          <w:b w:val="0"/>
          <w:i w:val="0"/>
        </w:rPr>
        <w:t xml:space="preserve"> Articles: </w:t>
      </w:r>
      <w:hyperlink w:anchor="number-and-spiritual-amplitude">
        <w:r>
          <w:rPr>
            <w:color w:val="000000"/>
          </w:rPr>
          <w:t xml:space="preserve">Number and spiritual amplitude</w:t>
        </w:r>
      </w:hyperlink>
      <w:r>
        <w:rPr>
          <w:b w:val="0"/>
          <w:i w:val="0"/>
        </w:rPr>
        <w:t xml:space="preserve">; </w:t>
      </w:r>
      <w:hyperlink w:anchor="point-dimension-and-substantial-unity">
        <w:r>
          <w:rPr>
            <w:color w:val="000000"/>
          </w:rPr>
          <w:t xml:space="preserve">Point, dimension and substantial unity</w:t>
        </w:r>
      </w:hyperlink>
      <w:r>
        <w:rPr>
          <w:b w:val="0"/>
          <w:i w:val="0"/>
        </w:rPr>
        <w:t xml:space="preserve">. Vocabulary: </w:t>
      </w:r>
      <w:hyperlink w:anchor="latin-record-0227">
        <w:r>
          <w:rPr>
            <w:color w:val="000000"/>
          </w:rPr>
          <w:t xml:space="preserve">cogitare; considerare</w:t>
        </w:r>
      </w:hyperlink>
      <w:r>
        <w:rPr>
          <w:b w:val="0"/>
          <w:i w:val="0"/>
        </w:rPr>
        <w:t xml:space="preserve">; </w:t>
      </w:r>
      <w:hyperlink w:anchor="latin-record-0228">
        <w:r>
          <w:rPr>
            <w:color w:val="000000"/>
          </w:rPr>
          <w:t xml:space="preserve">cogitatione separari</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04">
        <w:r>
          <w:rPr>
            <w:color w:val="000000"/>
          </w:rPr>
          <w:t xml:space="preserve">dividere; divisio</w:t>
        </w:r>
      </w:hyperlink>
      <w:r>
        <w:rPr>
          <w:b w:val="0"/>
          <w:i w:val="0"/>
        </w:rPr>
        <w:t xml:space="preserve">; </w:t>
      </w:r>
      <w:hyperlink w:anchor="latin-record-0429">
        <w:r>
          <w:rPr>
            <w:color w:val="000000"/>
          </w:rPr>
          <w:t xml:space="preserve">egere; pati</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0813">
        <w:r>
          <w:rPr>
            <w:color w:val="000000"/>
          </w:rPr>
          <w:t xml:space="preserve">movere; motus</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1048">
        <w:r>
          <w:rPr>
            <w:color w:val="000000"/>
          </w:rPr>
          <w:t xml:space="preserve">quantum; quatenus; respectus</w:t>
        </w:r>
      </w:hyperlink>
      <w:r>
        <w:rPr>
          <w:b w:val="0"/>
          <w:i w:val="0"/>
        </w:rPr>
        <w:t xml:space="preserve">; </w:t>
      </w:r>
      <w:hyperlink w:anchor="latin-record-1107">
        <w:r>
          <w:rPr>
            <w:color w:val="000000"/>
          </w:rPr>
          <w:t xml:space="preserve">reperire; invenire</w:t>
        </w:r>
      </w:hyperlink>
      <w:r>
        <w:rPr>
          <w:b w:val="0"/>
          <w:i w:val="0"/>
        </w:rPr>
        <w:t xml:space="preserve">; </w:t>
      </w:r>
      <w:hyperlink w:anchor="latin-record-1248">
        <w:r>
          <w:rPr>
            <w:color w:val="000000"/>
          </w:rPr>
          <w:t xml:space="preserve">substantialis unitas</w:t>
        </w:r>
      </w:hyperlink>
      <w:r>
        <w:rPr>
          <w:b w:val="0"/>
          <w:i w:val="0"/>
        </w:rPr>
        <w:t xml:space="preserve">; </w:t>
      </w:r>
      <w:hyperlink w:anchor="latin-record-1360">
        <w:r>
          <w:rPr>
            <w:color w:val="000000"/>
          </w:rPr>
          <w:t xml:space="preserve">virtute; quantitate</w:t>
        </w:r>
      </w:hyperlink>
      <w:r>
        <w:rPr>
          <w:b w:val="0"/>
          <w:i w:val="0"/>
        </w:rPr>
        <w:t>.</w:t>
      </w:r>
    </w:p>
    <w:p>
      <w:pPr>
        <w:widowControl/>
      </w:pPr>
      <w:bookmarkStart w:id="1803" w:name="passage-vi-2-21"/>
      <w:bookmarkEnd w:id="1803"/>
      <w:r>
        <w:rPr>
          <w:b/>
          <w:i w:val="0"/>
        </w:rPr>
        <w:t>VI.2.21</w:t>
      </w:r>
      <w:r>
        <w:rPr>
          <w:b/>
          <w:i w:val="0"/>
        </w:rPr>
        <w:t>, source pp. 160–161.</w:t>
      </w:r>
      <w:r>
        <w:rPr>
          <w:b w:val="0"/>
          <w:i w:val="0"/>
        </w:rPr>
        <w:t xml:space="preserve"> Articles: </w:t>
      </w:r>
      <w:hyperlink w:anchor="bronze-mirror-and-concentrated-fire">
        <w:r>
          <w:rPr>
            <w:color w:val="000000"/>
          </w:rPr>
          <w:t xml:space="preserve">Bronze mirror and concentrated fire</w:t>
        </w:r>
      </w:hyperlink>
      <w:r>
        <w:rPr>
          <w:b w:val="0"/>
          <w:i w:val="0"/>
        </w:rPr>
        <w:t xml:space="preserve">. Vocabulary: </w:t>
      </w:r>
      <w:hyperlink w:anchor="latin-record-0177">
        <w:r>
          <w:rPr>
            <w:color w:val="000000"/>
          </w:rPr>
          <w:t xml:space="preserve">calere; lucere; collustrare</w:t>
        </w:r>
      </w:hyperlink>
      <w:r>
        <w:rPr>
          <w:b w:val="0"/>
          <w:i w:val="0"/>
        </w:rPr>
        <w:t xml:space="preserve">; </w:t>
      </w:r>
      <w:hyperlink w:anchor="latin-record-0183">
        <w:r>
          <w:rPr>
            <w:color w:val="000000"/>
          </w:rPr>
          <w:t xml:space="preserve">calor; calere</w:t>
        </w:r>
      </w:hyperlink>
      <w:r>
        <w:rPr>
          <w:b w:val="0"/>
          <w:i w:val="0"/>
        </w:rPr>
        <w:t xml:space="preserve">; </w:t>
      </w:r>
      <w:hyperlink w:anchor="latin-record-0206">
        <w:r>
          <w:rPr>
            <w:color w:val="000000"/>
          </w:rPr>
          <w:t xml:space="preserve">centrum (concentration)</w:t>
        </w:r>
      </w:hyperlink>
      <w:r>
        <w:rPr>
          <w:b w:val="0"/>
          <w:i w:val="0"/>
        </w:rPr>
        <w:t xml:space="preserve">; </w:t>
      </w:r>
      <w:hyperlink w:anchor="latin-record-0236">
        <w:r>
          <w:rPr>
            <w:color w:val="000000"/>
          </w:rPr>
          <w:t xml:space="preserve">colligere; unio</w:t>
        </w:r>
      </w:hyperlink>
      <w:r>
        <w:rPr>
          <w:b w:val="0"/>
          <w:i w:val="0"/>
        </w:rPr>
        <w:t xml:space="preserve">; </w:t>
      </w:r>
      <w:hyperlink w:anchor="latin-record-1113">
        <w:r>
          <w:rPr>
            <w:color w:val="000000"/>
          </w:rPr>
          <w:t xml:space="preserve">resilire; accendere; consumere</w:t>
        </w:r>
      </w:hyperlink>
      <w:r>
        <w:rPr>
          <w:b w:val="0"/>
          <w:i w:val="0"/>
        </w:rPr>
        <w:t xml:space="preserve">; </w:t>
      </w:r>
      <w:hyperlink w:anchor="latin-record-1195">
        <w:r>
          <w:rPr>
            <w:color w:val="000000"/>
          </w:rPr>
          <w:t xml:space="preserve">sol</w:t>
        </w:r>
      </w:hyperlink>
      <w:r>
        <w:rPr>
          <w:b w:val="0"/>
          <w:i w:val="0"/>
        </w:rPr>
        <w:t xml:space="preserve">; </w:t>
      </w:r>
      <w:hyperlink w:anchor="latin-record-1219">
        <w:r>
          <w:rPr>
            <w:color w:val="000000"/>
          </w:rPr>
          <w:t xml:space="preserve">speculum concavum aeneum</w:t>
        </w:r>
      </w:hyperlink>
      <w:r>
        <w:rPr>
          <w:b w:val="0"/>
          <w:i w:val="0"/>
        </w:rPr>
        <w:t xml:space="preserve">; </w:t>
      </w:r>
      <w:hyperlink w:anchor="latin-record-1251">
        <w:r>
          <w:rPr>
            <w:color w:val="000000"/>
          </w:rPr>
          <w:t xml:space="preserve">subtrahere; deprimere</w:t>
        </w:r>
      </w:hyperlink>
      <w:r>
        <w:rPr>
          <w:b w:val="0"/>
          <w:i w:val="0"/>
        </w:rPr>
        <w:t xml:space="preserve">; </w:t>
      </w:r>
      <w:hyperlink w:anchor="latin-record-1307">
        <w:r>
          <w:rPr>
            <w:color w:val="000000"/>
          </w:rPr>
          <w:t xml:space="preserve">tricubitus</w:t>
        </w:r>
      </w:hyperlink>
      <w:r>
        <w:rPr>
          <w:b w:val="0"/>
          <w:i w:val="0"/>
        </w:rPr>
        <w:t xml:space="preserve">; </w:t>
      </w:r>
      <w:hyperlink w:anchor="latin-record-1380">
        <w:r>
          <w:rPr>
            <w:color w:val="000000"/>
          </w:rPr>
          <w:t xml:space="preserve">vivificare</w:t>
        </w:r>
      </w:hyperlink>
      <w:r>
        <w:rPr>
          <w:b w:val="0"/>
          <w:i w:val="0"/>
        </w:rPr>
        <w:t>.</w:t>
      </w:r>
    </w:p>
    <w:p>
      <w:pPr>
        <w:widowControl/>
      </w:pPr>
      <w:bookmarkStart w:id="1804" w:name="passage-vi-2-22"/>
      <w:bookmarkEnd w:id="1804"/>
      <w:r>
        <w:rPr>
          <w:b/>
          <w:i w:val="0"/>
        </w:rPr>
        <w:t>VI.2.22</w:t>
      </w:r>
      <w:r>
        <w:rPr>
          <w:b/>
          <w:i w:val="0"/>
        </w:rPr>
        <w:t>, source pp. 160–161.</w:t>
      </w:r>
      <w:r>
        <w:rPr>
          <w:b w:val="0"/>
          <w:i w:val="0"/>
        </w:rPr>
        <w:t xml:space="preserve"> Articles: </w:t>
      </w:r>
      <w:hyperlink w:anchor="bronze-mirror-and-concentrated-fire">
        <w:r>
          <w:rPr>
            <w:color w:val="000000"/>
          </w:rPr>
          <w:t xml:space="preserve">Bronze mirror and concentrated fire</w:t>
        </w:r>
      </w:hyperlink>
      <w:r>
        <w:rPr>
          <w:b w:val="0"/>
          <w:i w:val="0"/>
        </w:rPr>
        <w:t xml:space="preserve">; </w:t>
      </w:r>
      <w:hyperlink w:anchor="light-spirit-and-unseen-source">
        <w:r>
          <w:rPr>
            <w:color w:val="000000"/>
          </w:rPr>
          <w:t xml:space="preserve">Light, spirit and the unseen source</w:t>
        </w:r>
      </w:hyperlink>
      <w:r>
        <w:rPr>
          <w:b w:val="0"/>
          <w:i w:val="0"/>
        </w:rPr>
        <w:t xml:space="preserve">. Vocabulary: </w:t>
      </w:r>
      <w:hyperlink w:anchor="latin-record-0173">
        <w:r>
          <w:rPr>
            <w:color w:val="000000"/>
          </w:rPr>
          <w:t xml:space="preserve">caelum; terra; mundus</w:t>
        </w:r>
      </w:hyperlink>
      <w:r>
        <w:rPr>
          <w:b w:val="0"/>
          <w:i w:val="0"/>
        </w:rPr>
        <w:t xml:space="preserve">; </w:t>
      </w:r>
      <w:hyperlink w:anchor="latin-record-0522">
        <w:r>
          <w:rPr>
            <w:color w:val="000000"/>
          </w:rPr>
          <w:t xml:space="preserve">frangere; inficere</w:t>
        </w:r>
      </w:hyperlink>
      <w:r>
        <w:rPr>
          <w:b w:val="0"/>
          <w:i w:val="0"/>
        </w:rPr>
        <w:t xml:space="preserve">; </w:t>
      </w:r>
      <w:hyperlink w:anchor="latin-record-0732">
        <w:r>
          <w:rPr>
            <w:color w:val="000000"/>
          </w:rPr>
          <w:t xml:space="preserve">lumen; lux</w:t>
        </w:r>
      </w:hyperlink>
      <w:r>
        <w:rPr>
          <w:b w:val="0"/>
          <w:i w:val="0"/>
        </w:rPr>
        <w:t xml:space="preserve">; </w:t>
      </w:r>
      <w:hyperlink w:anchor="latin-record-0733">
        <w:r>
          <w:rPr>
            <w:color w:val="000000"/>
          </w:rPr>
          <w:t xml:space="preserve">lumen; spiritus</w:t>
        </w:r>
      </w:hyperlink>
      <w:r>
        <w:rPr>
          <w:b w:val="0"/>
          <w:i w:val="0"/>
        </w:rPr>
        <w:t xml:space="preserve">; </w:t>
      </w:r>
      <w:hyperlink w:anchor="latin-record-0797">
        <w:r>
          <w:rPr>
            <w:color w:val="000000"/>
          </w:rPr>
          <w:t xml:space="preserve">momentum</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0982">
        <w:r>
          <w:rPr>
            <w:color w:val="000000"/>
          </w:rPr>
          <w:t xml:space="preserve">praestans; excellens; nobilis</w:t>
        </w:r>
      </w:hyperlink>
      <w:r>
        <w:rPr>
          <w:b w:val="0"/>
          <w:i w:val="0"/>
        </w:rPr>
        <w:t xml:space="preserve">; </w:t>
      </w:r>
      <w:hyperlink w:anchor="latin-record-1107">
        <w:r>
          <w:rPr>
            <w:color w:val="000000"/>
          </w:rPr>
          <w:t xml:space="preserve">reperire; invenire</w:t>
        </w:r>
      </w:hyperlink>
      <w:r>
        <w:rPr>
          <w:b w:val="0"/>
          <w:i w:val="0"/>
        </w:rPr>
        <w:t xml:space="preserve">; </w:t>
      </w:r>
      <w:hyperlink w:anchor="latin-record-1336">
        <w:r>
          <w:rPr>
            <w:color w:val="000000"/>
          </w:rPr>
          <w:t xml:space="preserve">vel; sive; seu; aut</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805" w:name="passage-vi-2-23"/>
      <w:bookmarkEnd w:id="1805"/>
      <w:r>
        <w:rPr>
          <w:b/>
          <w:i w:val="0"/>
        </w:rPr>
        <w:t>VI.2.23</w:t>
      </w:r>
      <w:r>
        <w:rPr>
          <w:b/>
          <w:i w:val="0"/>
        </w:rPr>
        <w:t>, source pp. 162–163.</w:t>
      </w:r>
      <w:r>
        <w:rPr>
          <w:b w:val="0"/>
          <w:i w:val="0"/>
        </w:rPr>
        <w:t xml:space="preserve"> Articles: </w:t>
      </w:r>
      <w:hyperlink w:anchor="intellectual-objects-and-owl-eye">
        <w:r>
          <w:rPr>
            <w:color w:val="000000"/>
          </w:rPr>
          <w:t xml:space="preserve">Intellectual objects and the owl’s eye</w:t>
        </w:r>
      </w:hyperlink>
      <w:r>
        <w:rPr>
          <w:b w:val="0"/>
          <w:i w:val="0"/>
        </w:rPr>
        <w:t xml:space="preserve">; </w:t>
      </w:r>
      <w:hyperlink w:anchor="light-spirit-and-unseen-source">
        <w:r>
          <w:rPr>
            <w:color w:val="000000"/>
          </w:rPr>
          <w:t xml:space="preserve">Light, spirit and the unseen source</w:t>
        </w:r>
      </w:hyperlink>
      <w:r>
        <w:rPr>
          <w:b w:val="0"/>
          <w:i w:val="0"/>
        </w:rPr>
        <w:t xml:space="preserve">. Vocabulary: </w:t>
      </w:r>
      <w:hyperlink w:anchor="latin-record-0105">
        <w:r>
          <w:rPr>
            <w:color w:val="000000"/>
          </w:rPr>
          <w:t xml:space="preserve">animus</w:t>
        </w:r>
      </w:hyperlink>
      <w:r>
        <w:rPr>
          <w:b w:val="0"/>
          <w:i w:val="0"/>
        </w:rPr>
        <w:t xml:space="preserve">; </w:t>
      </w:r>
      <w:hyperlink w:anchor="latin-record-0297">
        <w:r>
          <w:rPr>
            <w:color w:val="000000"/>
          </w:rPr>
          <w:t xml:space="preserve">coniicere; coniectari</w:t>
        </w:r>
      </w:hyperlink>
      <w:r>
        <w:rPr>
          <w:b w:val="0"/>
          <w:i w:val="0"/>
        </w:rPr>
        <w:t xml:space="preserve">; </w:t>
      </w:r>
      <w:hyperlink w:anchor="latin-record-0443">
        <w:r>
          <w:rPr>
            <w:color w:val="000000"/>
          </w:rPr>
          <w:t xml:space="preserve">esse; existere</w:t>
        </w:r>
      </w:hyperlink>
      <w:r>
        <w:rPr>
          <w:b w:val="0"/>
          <w:i w:val="0"/>
        </w:rPr>
        <w:t xml:space="preserve">; </w:t>
      </w:r>
      <w:hyperlink w:anchor="latin-record-0477">
        <w:r>
          <w:rPr>
            <w:color w:val="000000"/>
          </w:rPr>
          <w:t xml:space="preserve">facultas; capacitas</w:t>
        </w:r>
      </w:hyperlink>
      <w:r>
        <w:rPr>
          <w:b w:val="0"/>
          <w:i w:val="0"/>
        </w:rPr>
        <w:t xml:space="preserve">; </w:t>
      </w:r>
      <w:hyperlink w:anchor="latin-record-0531">
        <w:r>
          <w:rPr>
            <w:color w:val="000000"/>
          </w:rPr>
          <w:t xml:space="preserve">fulgor; splendor</w:t>
        </w:r>
      </w:hyperlink>
      <w:r>
        <w:rPr>
          <w:b w:val="0"/>
          <w:i w:val="0"/>
        </w:rPr>
        <w:t xml:space="preserve">; </w:t>
      </w:r>
      <w:hyperlink w:anchor="latin-record-0727">
        <w:r>
          <w:rPr>
            <w:color w:val="000000"/>
          </w:rPr>
          <w:t xml:space="preserve">lucere; rutilare</w:t>
        </w:r>
      </w:hyperlink>
      <w:r>
        <w:rPr>
          <w:b w:val="0"/>
          <w:i w:val="0"/>
        </w:rPr>
        <w:t xml:space="preserve">; </w:t>
      </w:r>
      <w:hyperlink w:anchor="latin-record-0732">
        <w:r>
          <w:rPr>
            <w:color w:val="000000"/>
          </w:rPr>
          <w:t xml:space="preserve">lumen; lux</w:t>
        </w:r>
      </w:hyperlink>
      <w:r>
        <w:rPr>
          <w:b w:val="0"/>
          <w:i w:val="0"/>
        </w:rPr>
        <w:t xml:space="preserve">; </w:t>
      </w:r>
      <w:hyperlink w:anchor="latin-record-0937">
        <w:r>
          <w:rPr>
            <w:color w:val="000000"/>
          </w:rPr>
          <w:t xml:space="preserve">perspicere; prospicere; pervidere</w:t>
        </w:r>
      </w:hyperlink>
      <w:r>
        <w:rPr>
          <w:b w:val="0"/>
          <w:i w:val="0"/>
        </w:rPr>
        <w:t xml:space="preserve">; </w:t>
      </w:r>
      <w:hyperlink w:anchor="latin-record-1143">
        <w:r>
          <w:rPr>
            <w:color w:val="000000"/>
          </w:rPr>
          <w:t xml:space="preserve">secernere</w:t>
        </w:r>
      </w:hyperlink>
      <w:r>
        <w:rPr>
          <w:b w:val="0"/>
          <w:i w:val="0"/>
        </w:rPr>
        <w:t xml:space="preserve">; </w:t>
      </w:r>
      <w:hyperlink w:anchor="latin-record-1162">
        <w:r>
          <w:rPr>
            <w:color w:val="000000"/>
          </w:rPr>
          <w:t xml:space="preserve">sentire; sentiri</w:t>
        </w:r>
      </w:hyperlink>
      <w:r>
        <w:rPr>
          <w:b w:val="0"/>
          <w:i w:val="0"/>
        </w:rPr>
        <w:t xml:space="preserve">; </w:t>
      </w:r>
      <w:hyperlink w:anchor="latin-record-1195">
        <w:r>
          <w:rPr>
            <w:color w:val="000000"/>
          </w:rPr>
          <w:t xml:space="preserve">sol</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806" w:name="passage-vi-2-24"/>
      <w:bookmarkEnd w:id="1806"/>
      <w:r>
        <w:rPr>
          <w:b/>
          <w:i w:val="0"/>
        </w:rPr>
        <w:t>VI.2.24</w:t>
      </w:r>
      <w:r>
        <w:rPr>
          <w:b/>
          <w:i w:val="0"/>
        </w:rPr>
        <w:t>, source pp. 162–163.</w:t>
      </w:r>
      <w:r>
        <w:rPr>
          <w:b w:val="0"/>
          <w:i w:val="0"/>
        </w:rPr>
        <w:t xml:space="preserve"> Articles: </w:t>
      </w:r>
      <w:hyperlink w:anchor="spark-globe-and-luminous-vehicles">
        <w:r>
          <w:rPr>
            <w:color w:val="000000"/>
          </w:rPr>
          <w:t xml:space="preserve">Spark, globe and luminous vehicles</w:t>
        </w:r>
      </w:hyperlink>
      <w:r>
        <w:rPr>
          <w:b w:val="0"/>
          <w:i w:val="0"/>
        </w:rPr>
        <w:t xml:space="preserve">. Vocabulary: </w:t>
      </w:r>
      <w:hyperlink w:anchor="latin-record-0173">
        <w:r>
          <w:rPr>
            <w:color w:val="000000"/>
          </w:rPr>
          <w:t xml:space="preserve">caelum; terra; mundus</w:t>
        </w:r>
      </w:hyperlink>
      <w:r>
        <w:rPr>
          <w:b w:val="0"/>
          <w:i w:val="0"/>
        </w:rPr>
        <w:t xml:space="preserve">; </w:t>
      </w:r>
      <w:hyperlink w:anchor="latin-record-0360">
        <w:r>
          <w:rPr>
            <w:color w:val="000000"/>
          </w:rPr>
          <w:t xml:space="preserve">declinare; attollere</w:t>
        </w:r>
      </w:hyperlink>
      <w:r>
        <w:rPr>
          <w:b w:val="0"/>
          <w:i w:val="0"/>
        </w:rPr>
        <w:t xml:space="preserve">; </w:t>
      </w:r>
      <w:hyperlink w:anchor="latin-record-0586">
        <w:r>
          <w:rPr>
            <w:color w:val="000000"/>
          </w:rPr>
          <w:t xml:space="preserve">ignis; aer; aqua</w:t>
        </w:r>
      </w:hyperlink>
      <w:r>
        <w:rPr>
          <w:b w:val="0"/>
          <w:i w:val="0"/>
        </w:rPr>
        <w:t xml:space="preserve">; </w:t>
      </w:r>
      <w:hyperlink w:anchor="latin-record-1055">
        <w:r>
          <w:rPr>
            <w:color w:val="000000"/>
          </w:rPr>
          <w:t xml:space="preserve">quodammodo</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807" w:name="passage-vi-2-25"/>
      <w:bookmarkEnd w:id="1807"/>
      <w:r>
        <w:rPr>
          <w:b/>
          <w:i w:val="0"/>
        </w:rPr>
        <w:t>VI.2.25</w:t>
      </w:r>
      <w:r>
        <w:rPr>
          <w:b/>
          <w:i w:val="0"/>
        </w:rPr>
        <w:t>, source pp. 164–165.</w:t>
      </w:r>
      <w:r>
        <w:rPr>
          <w:b w:val="0"/>
          <w:i w:val="0"/>
        </w:rPr>
        <w:t xml:space="preserve"> Articles: </w:t>
      </w:r>
      <w:hyperlink w:anchor="spark-globe-and-luminous-vehicles">
        <w:r>
          <w:rPr>
            <w:color w:val="000000"/>
          </w:rPr>
          <w:t xml:space="preserve">Spark, globe and luminous vehicles</w:t>
        </w:r>
      </w:hyperlink>
      <w:r>
        <w:rPr>
          <w:b w:val="0"/>
          <w:i w:val="0"/>
        </w:rPr>
        <w:t xml:space="preserve">. Vocabulary: </w:t>
      </w:r>
      <w:hyperlink w:anchor="latin-record-0217">
        <w:r>
          <w:rPr>
            <w:color w:val="000000"/>
          </w:rPr>
          <w:t xml:space="preserve">circumferentia; cardo</w:t>
        </w:r>
      </w:hyperlink>
      <w:r>
        <w:rPr>
          <w:b w:val="0"/>
          <w:i w:val="0"/>
        </w:rPr>
        <w:t xml:space="preserve">; </w:t>
      </w:r>
      <w:hyperlink w:anchor="latin-record-0227">
        <w:r>
          <w:rPr>
            <w:color w:val="000000"/>
          </w:rPr>
          <w:t xml:space="preserve">cogitare; considerare</w:t>
        </w:r>
      </w:hyperlink>
      <w:r>
        <w:rPr>
          <w:b w:val="0"/>
          <w:i w:val="0"/>
        </w:rPr>
        <w:t xml:space="preserve">; </w:t>
      </w:r>
      <w:hyperlink w:anchor="latin-record-0269">
        <w:r>
          <w:rPr>
            <w:color w:val="000000"/>
          </w:rPr>
          <w:t xml:space="preserve">comprimere; profundere</w:t>
        </w:r>
      </w:hyperlink>
      <w:r>
        <w:rPr>
          <w:b w:val="0"/>
          <w:i w:val="0"/>
        </w:rPr>
        <w:t xml:space="preserve">; </w:t>
      </w:r>
      <w:hyperlink w:anchor="latin-record-0340">
        <w:r>
          <w:rPr>
            <w:color w:val="000000"/>
          </w:rPr>
          <w:t xml:space="preserve">corpus aethereum; corpus geminum</w:t>
        </w:r>
      </w:hyperlink>
      <w:r>
        <w:rPr>
          <w:b w:val="0"/>
          <w:i w:val="0"/>
        </w:rPr>
        <w:t xml:space="preserve">; </w:t>
      </w:r>
      <w:hyperlink w:anchor="latin-record-0449">
        <w:r>
          <w:rPr>
            <w:color w:val="000000"/>
          </w:rPr>
          <w:t xml:space="preserve">evolvere; convolvere</w:t>
        </w:r>
      </w:hyperlink>
      <w:r>
        <w:rPr>
          <w:b w:val="0"/>
          <w:i w:val="0"/>
        </w:rPr>
        <w:t xml:space="preserve">; </w:t>
      </w:r>
      <w:hyperlink w:anchor="latin-record-0723">
        <w:r>
          <w:rPr>
            <w:color w:val="000000"/>
          </w:rPr>
          <w:t xml:space="preserve">locus; situs</w:t>
        </w:r>
      </w:hyperlink>
      <w:r>
        <w:rPr>
          <w:b w:val="0"/>
          <w:i w:val="0"/>
        </w:rPr>
        <w:t xml:space="preserve">; </w:t>
      </w:r>
      <w:hyperlink w:anchor="latin-record-0874">
        <w:r>
          <w:rPr>
            <w:color w:val="000000"/>
          </w:rPr>
          <w:t xml:space="preserve">orbis pallidus</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1138">
        <w:r>
          <w:rPr>
            <w:color w:val="000000"/>
          </w:rPr>
          <w:t xml:space="preserve">scintilla; flamma</w:t>
        </w:r>
      </w:hyperlink>
      <w:r>
        <w:rPr>
          <w:b w:val="0"/>
          <w:i w:val="0"/>
        </w:rPr>
        <w:t>.</w:t>
      </w:r>
    </w:p>
    <w:p>
      <w:pPr>
        <w:widowControl/>
      </w:pPr>
      <w:bookmarkStart w:id="1808" w:name="passage-vi-2-26"/>
      <w:bookmarkEnd w:id="1808"/>
      <w:r>
        <w:rPr>
          <w:b/>
          <w:i w:val="0"/>
        </w:rPr>
        <w:t>VI.2.26</w:t>
      </w:r>
      <w:r>
        <w:rPr>
          <w:b/>
          <w:i w:val="0"/>
        </w:rPr>
        <w:t>, source pp. 164–165.</w:t>
      </w:r>
      <w:r>
        <w:rPr>
          <w:b w:val="0"/>
          <w:i w:val="0"/>
        </w:rPr>
        <w:t xml:space="preserve"> Articles: </w:t>
      </w:r>
      <w:hyperlink w:anchor="light-spirit-and-unseen-source">
        <w:r>
          <w:rPr>
            <w:color w:val="000000"/>
          </w:rPr>
          <w:t xml:space="preserve">Light, spirit and the unseen source</w:t>
        </w:r>
      </w:hyperlink>
      <w:r>
        <w:rPr>
          <w:b w:val="0"/>
          <w:i w:val="0"/>
        </w:rPr>
        <w:t xml:space="preserve">; </w:t>
      </w:r>
      <w:hyperlink w:anchor="spark-globe-and-luminous-vehicles">
        <w:r>
          <w:rPr>
            <w:color w:val="000000"/>
          </w:rPr>
          <w:t xml:space="preserve">Spark, globe and luminous vehicles</w:t>
        </w:r>
      </w:hyperlink>
      <w:r>
        <w:rPr>
          <w:b w:val="0"/>
          <w:i w:val="0"/>
        </w:rPr>
        <w:t xml:space="preserve">. Vocabulary: </w:t>
      </w:r>
      <w:hyperlink w:anchor="latin-record-0340">
        <w:r>
          <w:rPr>
            <w:color w:val="000000"/>
          </w:rPr>
          <w:t xml:space="preserve">corpus aethereum; corpus geminum</w:t>
        </w:r>
      </w:hyperlink>
      <w:r>
        <w:rPr>
          <w:b w:val="0"/>
          <w:i w:val="0"/>
        </w:rPr>
        <w:t xml:space="preserve">; </w:t>
      </w:r>
      <w:hyperlink w:anchor="latin-record-0561">
        <w:r>
          <w:rPr>
            <w:color w:val="000000"/>
          </w:rPr>
          <w:t xml:space="preserve">Heraclitus; lux sicca</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606">
        <w:r>
          <w:rPr>
            <w:color w:val="000000"/>
          </w:rPr>
          <w:t xml:space="preserve">implicare; explicare</w:t>
        </w:r>
      </w:hyperlink>
      <w:r>
        <w:rPr>
          <w:b w:val="0"/>
          <w:i w:val="0"/>
        </w:rPr>
        <w:t xml:space="preserve">; </w:t>
      </w:r>
      <w:hyperlink w:anchor="latin-record-0667">
        <w:r>
          <w:rPr>
            <w:color w:val="000000"/>
          </w:rPr>
          <w:t xml:space="preserve">intelligibilis; intelligens</w:t>
        </w:r>
      </w:hyperlink>
      <w:r>
        <w:rPr>
          <w:b w:val="0"/>
          <w:i w:val="0"/>
        </w:rPr>
        <w:t xml:space="preserve">; </w:t>
      </w:r>
      <w:hyperlink w:anchor="latin-record-0732">
        <w:r>
          <w:rPr>
            <w:color w:val="000000"/>
          </w:rPr>
          <w:t xml:space="preserve">lumen; lux</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1138">
        <w:r>
          <w:rPr>
            <w:color w:val="000000"/>
          </w:rPr>
          <w:t xml:space="preserve">scintilla; flamma</w:t>
        </w:r>
      </w:hyperlink>
      <w:r>
        <w:rPr>
          <w:b w:val="0"/>
          <w:i w:val="0"/>
        </w:rPr>
        <w:t xml:space="preserve">; </w:t>
      </w:r>
      <w:hyperlink w:anchor="latin-record-1159">
        <w:r>
          <w:rPr>
            <w:color w:val="000000"/>
          </w:rPr>
          <w:t xml:space="preserve">sensus; sentire</w:t>
        </w:r>
      </w:hyperlink>
      <w:r>
        <w:rPr>
          <w:b w:val="0"/>
          <w:i w:val="0"/>
        </w:rPr>
        <w:t xml:space="preserve">; </w:t>
      </w:r>
      <w:hyperlink w:anchor="latin-record-1162">
        <w:r>
          <w:rPr>
            <w:color w:val="000000"/>
          </w:rPr>
          <w:t xml:space="preserve">sentire; sentiri</w:t>
        </w:r>
      </w:hyperlink>
      <w:r>
        <w:rPr>
          <w:b w:val="0"/>
          <w:i w:val="0"/>
        </w:rPr>
        <w:t xml:space="preserve">; </w:t>
      </w:r>
      <w:hyperlink w:anchor="latin-record-1351">
        <w:r>
          <w:rPr>
            <w:color w:val="000000"/>
          </w:rPr>
          <w:t xml:space="preserve">videre; cernere; intueri</w:t>
        </w:r>
      </w:hyperlink>
      <w:r>
        <w:rPr>
          <w:b w:val="0"/>
          <w:i w:val="0"/>
        </w:rPr>
        <w:t xml:space="preserve">; </w:t>
      </w:r>
      <w:hyperlink w:anchor="greek-record-02">
        <w:r>
          <w:rPr>
            <w:color w:val="000000"/>
          </w:rPr>
          <w:t xml:space="preserve">Dry light and the wisest soul</w:t>
        </w:r>
      </w:hyperlink>
      <w:r>
        <w:rPr>
          <w:b w:val="0"/>
          <w:i w:val="0"/>
        </w:rPr>
        <w:t>.</w:t>
      </w:r>
    </w:p>
    <w:p>
      <w:pPr>
        <w:widowControl/>
      </w:pPr>
      <w:bookmarkStart w:id="1809" w:name="passage-vi-2-27"/>
      <w:bookmarkEnd w:id="1809"/>
      <w:r>
        <w:rPr>
          <w:b/>
          <w:i w:val="0"/>
        </w:rPr>
        <w:t>VI.2.27</w:t>
      </w:r>
      <w:r>
        <w:rPr>
          <w:b/>
          <w:i w:val="0"/>
        </w:rPr>
        <w:t>, source pp. 166–167.</w:t>
      </w:r>
      <w:r>
        <w:rPr>
          <w:b w:val="0"/>
          <w:i w:val="0"/>
        </w:rPr>
        <w:t xml:space="preserve"> Articles: </w:t>
      </w:r>
      <w:hyperlink w:anchor="bronze-mirror-and-concentrated-fire">
        <w:r>
          <w:rPr>
            <w:color w:val="000000"/>
          </w:rPr>
          <w:t xml:space="preserve">Bronze mirror and concentrated fire</w:t>
        </w:r>
      </w:hyperlink>
      <w:r>
        <w:rPr>
          <w:b w:val="0"/>
          <w:i w:val="0"/>
        </w:rPr>
        <w:t xml:space="preserve">; </w:t>
      </w:r>
      <w:hyperlink w:anchor="light-spirit-and-unseen-source">
        <w:r>
          <w:rPr>
            <w:color w:val="000000"/>
          </w:rPr>
          <w:t xml:space="preserve">Light, spirit and the unseen source</w:t>
        </w:r>
      </w:hyperlink>
      <w:r>
        <w:rPr>
          <w:b w:val="0"/>
          <w:i w:val="0"/>
        </w:rPr>
        <w:t xml:space="preserve">; </w:t>
      </w:r>
      <w:hyperlink w:anchor="point-dimension-and-substantial-unity">
        <w:r>
          <w:rPr>
            <w:color w:val="000000"/>
          </w:rPr>
          <w:t xml:space="preserve">Point, dimension and substantial unity</w:t>
        </w:r>
      </w:hyperlink>
      <w:r>
        <w:rPr>
          <w:b w:val="0"/>
          <w:i w:val="0"/>
        </w:rPr>
        <w:t xml:space="preserve">. Vocabulary: </w:t>
      </w:r>
      <w:hyperlink w:anchor="latin-record-0456">
        <w:r>
          <w:rPr>
            <w:color w:val="000000"/>
          </w:rPr>
          <w:t xml:space="preserve">excursio; praeludium</w:t>
        </w:r>
      </w:hyperlink>
      <w:r>
        <w:rPr>
          <w:b w:val="0"/>
          <w:i w:val="0"/>
        </w:rPr>
        <w:t xml:space="preserve">; </w:t>
      </w:r>
      <w:hyperlink w:anchor="latin-record-1248">
        <w:r>
          <w:rPr>
            <w:color w:val="000000"/>
          </w:rPr>
          <w:t xml:space="preserve">substantialis unitas</w:t>
        </w:r>
      </w:hyperlink>
      <w:r>
        <w:rPr>
          <w:b w:val="0"/>
          <w:i w:val="0"/>
        </w:rPr>
        <w:t xml:space="preserve">; </w:t>
      </w:r>
      <w:hyperlink w:anchor="latin-record-1380">
        <w:r>
          <w:rPr>
            <w:color w:val="000000"/>
          </w:rPr>
          <w:t xml:space="preserve">vivificare</w:t>
        </w:r>
      </w:hyperlink>
      <w:r>
        <w:rPr>
          <w:b w:val="0"/>
          <w:i w:val="0"/>
        </w:rPr>
        <w:t>.</w:t>
      </w:r>
    </w:p>
    <w:p>
      <w:pPr>
        <w:pStyle w:val="Heading2"/>
      </w:pPr>
      <w:bookmarkStart w:id="1810" w:name="chapter-vi.3"/>
      <w:r>
        <w:rPr>
          <w:b w:val="0"/>
          <w:i w:val="0"/>
        </w:rPr>
        <w:t>Chapter VI.3</w:t>
      </w:r>
      <w:bookmarkEnd w:id="1810"/>
    </w:p>
    <w:p>
      <w:pPr>
        <w:widowControl/>
      </w:pPr>
      <w:bookmarkStart w:id="1811" w:name="passage-vi-3-1"/>
      <w:bookmarkEnd w:id="1811"/>
      <w:r>
        <w:rPr>
          <w:b/>
          <w:i w:val="0"/>
        </w:rPr>
        <w:t>VI.3.1</w:t>
      </w:r>
      <w:r>
        <w:rPr>
          <w:b/>
          <w:i w:val="0"/>
        </w:rPr>
        <w:t>, source pp. 168–169.</w:t>
      </w:r>
      <w:r>
        <w:rPr>
          <w:b w:val="0"/>
          <w:i w:val="0"/>
        </w:rPr>
        <w:t xml:space="preserve"> Articles: </w:t>
      </w:r>
      <w:hyperlink w:anchor="cavalcanti-and-five-positions">
        <w:r>
          <w:rPr>
            <w:color w:val="000000"/>
          </w:rPr>
          <w:t xml:space="preserve">Cavalcanti and the five positions</w:t>
        </w:r>
      </w:hyperlink>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three-offices-and-proof-order">
        <w:r>
          <w:rPr>
            <w:color w:val="000000"/>
          </w:rPr>
          <w:t xml:space="preserve">Three offices and the order of proof</w:t>
        </w:r>
      </w:hyperlink>
      <w:r>
        <w:rPr>
          <w:b w:val="0"/>
          <w:i w:val="0"/>
        </w:rPr>
        <w:t xml:space="preserve">. Vocabulary: </w:t>
      </w:r>
      <w:hyperlink w:anchor="latin-record-0092">
        <w:r>
          <w:rPr>
            <w:color w:val="000000"/>
          </w:rPr>
          <w:t xml:space="preserve">anima</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404">
        <w:r>
          <w:rPr>
            <w:color w:val="000000"/>
          </w:rPr>
          <w:t xml:space="preserve">dividere; divisio</w:t>
        </w:r>
      </w:hyperlink>
      <w:r>
        <w:rPr>
          <w:b w:val="0"/>
          <w:i w:val="0"/>
        </w:rPr>
        <w:t xml:space="preserve">; </w:t>
      </w:r>
      <w:hyperlink w:anchor="latin-record-0503">
        <w:r>
          <w:rPr>
            <w:color w:val="000000"/>
          </w:rPr>
          <w:t xml:space="preserve">forma</w:t>
        </w:r>
      </w:hyperlink>
      <w:r>
        <w:rPr>
          <w:b w:val="0"/>
          <w:i w:val="0"/>
        </w:rPr>
        <w:t xml:space="preserve">; </w:t>
      </w:r>
      <w:hyperlink w:anchor="latin-record-0627">
        <w:r>
          <w:rPr>
            <w:color w:val="000000"/>
          </w:rPr>
          <w:t xml:space="preserve">indivisibilis; impartibilis</w:t>
        </w:r>
      </w:hyperlink>
      <w:r>
        <w:rPr>
          <w:b w:val="0"/>
          <w:i w:val="0"/>
        </w:rPr>
        <w:t xml:space="preserve">; </w:t>
      </w:r>
      <w:hyperlink w:anchor="latin-record-0881">
        <w:r>
          <w:rPr>
            <w:color w:val="000000"/>
          </w:rPr>
          <w:t xml:space="preserve">origo a materia</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974">
        <w:r>
          <w:rPr>
            <w:color w:val="000000"/>
          </w:rPr>
          <w:t xml:space="preserve">potissimum; partim</w:t>
        </w:r>
      </w:hyperlink>
      <w:r>
        <w:rPr>
          <w:b w:val="0"/>
          <w:i w:val="0"/>
        </w:rPr>
        <w:t xml:space="preserve">; </w:t>
      </w:r>
      <w:hyperlink w:anchor="latin-record-1159">
        <w:r>
          <w:rPr>
            <w:color w:val="000000"/>
          </w:rPr>
          <w:t xml:space="preserve">sensus; sentire</w:t>
        </w:r>
      </w:hyperlink>
      <w:r>
        <w:rPr>
          <w:b w:val="0"/>
          <w:i w:val="0"/>
        </w:rPr>
        <w:t xml:space="preserve">; </w:t>
      </w:r>
      <w:hyperlink w:anchor="latin-record-1297">
        <w:r>
          <w:rPr>
            <w:color w:val="000000"/>
          </w:rPr>
          <w:t xml:space="preserve">totus</w:t>
        </w:r>
      </w:hyperlink>
      <w:r>
        <w:rPr>
          <w:b w:val="0"/>
          <w:i w:val="0"/>
        </w:rPr>
        <w:t xml:space="preserve">; </w:t>
      </w:r>
      <w:hyperlink w:anchor="latin-record-1313">
        <w:r>
          <w:rPr>
            <w:color w:val="000000"/>
          </w:rPr>
          <w:t xml:space="preserve">ubique totus</w:t>
        </w:r>
      </w:hyperlink>
      <w:r>
        <w:rPr>
          <w:b w:val="0"/>
          <w:i w:val="0"/>
        </w:rPr>
        <w:t xml:space="preserve">; </w:t>
      </w:r>
      <w:hyperlink w:anchor="latin-record-1359">
        <w:r>
          <w:rPr>
            <w:color w:val="000000"/>
          </w:rPr>
          <w:t xml:space="preserve">virtus; vis</w:t>
        </w:r>
      </w:hyperlink>
      <w:r>
        <w:rPr>
          <w:b w:val="0"/>
          <w:i w:val="0"/>
        </w:rPr>
        <w:t>.</w:t>
      </w:r>
    </w:p>
    <w:p>
      <w:pPr>
        <w:widowControl/>
      </w:pPr>
      <w:bookmarkStart w:id="1812" w:name="passage-vi-3-2"/>
      <w:bookmarkEnd w:id="1812"/>
      <w:r>
        <w:rPr>
          <w:b/>
          <w:i w:val="0"/>
        </w:rPr>
        <w:t>VI.3.2</w:t>
      </w:r>
      <w:r>
        <w:rPr>
          <w:b/>
          <w:i w:val="0"/>
        </w:rPr>
        <w:t>, source pp. 168–169.</w:t>
      </w:r>
      <w:r>
        <w:rPr>
          <w:b w:val="0"/>
          <w:i w:val="0"/>
        </w:rPr>
        <w:t xml:space="preserve"> Articles: </w:t>
      </w:r>
      <w:hyperlink w:anchor="cavalcanti-and-five-positions">
        <w:r>
          <w:rPr>
            <w:color w:val="000000"/>
          </w:rPr>
          <w:t xml:space="preserve">Cavalcanti and the five positions</w:t>
        </w:r>
      </w:hyperlink>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three-offices-and-proof-order">
        <w:r>
          <w:rPr>
            <w:color w:val="000000"/>
          </w:rPr>
          <w:t xml:space="preserve">Three offices and the order of proof</w:t>
        </w:r>
      </w:hyperlink>
      <w:r>
        <w:rPr>
          <w:b w:val="0"/>
          <w:i w:val="0"/>
        </w:rPr>
        <w:t xml:space="preserve">. Vocabulary: </w:t>
      </w:r>
      <w:hyperlink w:anchor="latin-record-0580">
        <w:r>
          <w:rPr>
            <w:color w:val="000000"/>
          </w:rPr>
          <w:t xml:space="preserve">igitur; ergo; quapropter; sequitur</w:t>
        </w:r>
      </w:hyperlink>
      <w:r>
        <w:rPr>
          <w:b w:val="0"/>
          <w:i w:val="0"/>
        </w:rPr>
        <w:t xml:space="preserve">; </w:t>
      </w:r>
      <w:hyperlink w:anchor="latin-record-0599">
        <w:r>
          <w:rPr>
            <w:color w:val="000000"/>
          </w:rPr>
          <w:t xml:space="preserve">immortalis; perpetuus; sempiternus</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846">
        <w:r>
          <w:rPr>
            <w:color w:val="000000"/>
          </w:rPr>
          <w:t xml:space="preserve">numen invocare</w:t>
        </w:r>
      </w:hyperlink>
      <w:r>
        <w:rPr>
          <w:b w:val="0"/>
          <w:i w:val="0"/>
        </w:rPr>
        <w:t>.</w:t>
      </w:r>
    </w:p>
    <w:p>
      <w:pPr>
        <w:pStyle w:val="Heading2"/>
      </w:pPr>
      <w:bookmarkStart w:id="1813" w:name="chapter-vi.4"/>
      <w:r>
        <w:rPr>
          <w:b w:val="0"/>
          <w:i w:val="0"/>
        </w:rPr>
        <w:t>Chapter VI.4</w:t>
      </w:r>
      <w:bookmarkEnd w:id="1813"/>
    </w:p>
    <w:p>
      <w:pPr>
        <w:widowControl/>
      </w:pPr>
      <w:bookmarkStart w:id="1814" w:name="passage-vi-4-1"/>
      <w:bookmarkEnd w:id="1814"/>
      <w:r>
        <w:rPr>
          <w:b/>
          <w:i w:val="0"/>
        </w:rPr>
        <w:t>VI.4.1</w:t>
      </w:r>
      <w:r>
        <w:rPr>
          <w:b/>
          <w:i w:val="0"/>
        </w:rPr>
        <w:t>, source pp. 170–171.</w:t>
      </w:r>
      <w:r>
        <w:rPr>
          <w:b w:val="0"/>
          <w:i w:val="0"/>
        </w:rPr>
        <w:t xml:space="preserve"> Articles: </w:t>
      </w:r>
      <w:hyperlink w:anchor="earth-wood-and-severed-stones">
        <w:r>
          <w:rPr>
            <w:color w:val="000000"/>
          </w:rPr>
          <w:t xml:space="preserve">Earth, wood and severed stones</w:t>
        </w:r>
      </w:hyperlink>
      <w:r>
        <w:rPr>
          <w:b w:val="0"/>
          <w:i w:val="0"/>
        </w:rPr>
        <w:t xml:space="preserve">; </w:t>
      </w:r>
      <w:hyperlink w:anchor="nourishment-and-life-giving-form">
        <w:r>
          <w:rPr>
            <w:color w:val="000000"/>
          </w:rPr>
          <w:t xml:space="preserve">Nourishment and the life-giving form</w:t>
        </w:r>
      </w:hyperlink>
      <w:r>
        <w:rPr>
          <w:b w:val="0"/>
          <w:i w:val="0"/>
        </w:rPr>
        <w:t xml:space="preserve">. Vocabulary: </w:t>
      </w:r>
      <w:hyperlink w:anchor="latin-record-0222">
        <w:r>
          <w:rPr>
            <w:color w:val="000000"/>
          </w:rPr>
          <w:t xml:space="preserve">coalescere; virere</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37">
        <w:r>
          <w:rPr>
            <w:color w:val="000000"/>
          </w:rPr>
          <w:t xml:space="preserve">corpus</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995">
        <w:r>
          <w:rPr>
            <w:color w:val="000000"/>
          </w:rPr>
          <w:t xml:space="preserve">principium alimenti</w:t>
        </w:r>
      </w:hyperlink>
      <w:r>
        <w:rPr>
          <w:b w:val="0"/>
          <w:i w:val="0"/>
        </w:rPr>
        <w:t xml:space="preserve">; </w:t>
      </w:r>
      <w:hyperlink w:anchor="latin-record-1019">
        <w:r>
          <w:rPr>
            <w:color w:val="000000"/>
          </w:rPr>
          <w:t xml:space="preserve">proprius; communis</w:t>
        </w:r>
      </w:hyperlink>
      <w:r>
        <w:rPr>
          <w:b w:val="0"/>
          <w:i w:val="0"/>
        </w:rPr>
        <w:t xml:space="preserve">; </w:t>
      </w:r>
      <w:hyperlink w:anchor="latin-record-1135">
        <w:r>
          <w:rPr>
            <w:color w:val="000000"/>
          </w:rPr>
          <w:t xml:space="preserve">saxum; lignum</w:t>
        </w:r>
      </w:hyperlink>
      <w:r>
        <w:rPr>
          <w:b w:val="0"/>
          <w:i w:val="0"/>
        </w:rPr>
        <w:t>.</w:t>
      </w:r>
    </w:p>
    <w:p>
      <w:pPr>
        <w:widowControl/>
      </w:pPr>
      <w:bookmarkStart w:id="1815" w:name="passage-vi-4-2"/>
      <w:bookmarkEnd w:id="1815"/>
      <w:r>
        <w:rPr>
          <w:b/>
          <w:i w:val="0"/>
        </w:rPr>
        <w:t>VI.4.2</w:t>
      </w:r>
      <w:r>
        <w:rPr>
          <w:b/>
          <w:i w:val="0"/>
        </w:rPr>
        <w:t>, source pp. 170–171.</w:t>
      </w:r>
      <w:r>
        <w:rPr>
          <w:b w:val="0"/>
          <w:i w:val="0"/>
        </w:rPr>
        <w:t xml:space="preserve"> Articles: </w:t>
      </w:r>
      <w:hyperlink w:anchor="nourishment-and-life-giving-form">
        <w:r>
          <w:rPr>
            <w:color w:val="000000"/>
          </w:rPr>
          <w:t xml:space="preserve">Nourishment and the life-giving form</w:t>
        </w:r>
      </w:hyperlink>
      <w:r>
        <w:rPr>
          <w:b w:val="0"/>
          <w:i w:val="0"/>
        </w:rPr>
        <w:t xml:space="preserve">. Vocabulary: </w:t>
      </w:r>
      <w:hyperlink w:anchor="latin-record-0580">
        <w:r>
          <w:rPr>
            <w:color w:val="000000"/>
          </w:rPr>
          <w:t xml:space="preserve">igitur; ergo; quapropter; sequitur</w:t>
        </w:r>
      </w:hyperlink>
      <w:r>
        <w:rPr>
          <w:b w:val="0"/>
          <w:i w:val="0"/>
        </w:rPr>
        <w:t xml:space="preserve">; </w:t>
      </w:r>
      <w:hyperlink w:anchor="latin-record-0995">
        <w:r>
          <w:rPr>
            <w:color w:val="000000"/>
          </w:rPr>
          <w:t xml:space="preserve">principium alimenti</w:t>
        </w:r>
      </w:hyperlink>
      <w:r>
        <w:rPr>
          <w:b w:val="0"/>
          <w:i w:val="0"/>
        </w:rPr>
        <w:t>.</w:t>
      </w:r>
    </w:p>
    <w:p>
      <w:pPr>
        <w:widowControl/>
      </w:pPr>
      <w:bookmarkStart w:id="1816" w:name="passage-vi-4-3"/>
      <w:bookmarkEnd w:id="1816"/>
      <w:r>
        <w:rPr>
          <w:b/>
          <w:i w:val="0"/>
        </w:rPr>
        <w:t>VI.4.3</w:t>
      </w:r>
      <w:r>
        <w:rPr>
          <w:b/>
          <w:i w:val="0"/>
        </w:rPr>
        <w:t>, source pp. 170–171.</w:t>
      </w:r>
      <w:r>
        <w:rPr>
          <w:b w:val="0"/>
          <w:i w:val="0"/>
        </w:rPr>
        <w:t xml:space="preserve"> Articles: </w:t>
      </w:r>
      <w:hyperlink w:anchor="nourishment-and-life-giving-form">
        <w:r>
          <w:rPr>
            <w:color w:val="000000"/>
          </w:rPr>
          <w:t xml:space="preserve">Nourishment and the life-giving form</w:t>
        </w:r>
      </w:hyperlink>
      <w:r>
        <w:rPr>
          <w:b w:val="0"/>
          <w:i w:val="0"/>
        </w:rPr>
        <w:t xml:space="preserve">. Vocabulary: </w:t>
      </w:r>
      <w:hyperlink w:anchor="latin-record-0566">
        <w:r>
          <w:rPr>
            <w:color w:val="000000"/>
          </w:rPr>
          <w:t xml:space="preserve">homo; animal; animans</w:t>
        </w:r>
      </w:hyperlink>
      <w:r>
        <w:rPr>
          <w:b w:val="0"/>
          <w:i w:val="0"/>
        </w:rPr>
        <w:t xml:space="preserve">; </w:t>
      </w:r>
      <w:hyperlink w:anchor="latin-record-1135">
        <w:r>
          <w:rPr>
            <w:color w:val="000000"/>
          </w:rPr>
          <w:t xml:space="preserve">saxum; lignum</w:t>
        </w:r>
      </w:hyperlink>
      <w:r>
        <w:rPr>
          <w:b w:val="0"/>
          <w:i w:val="0"/>
        </w:rPr>
        <w:t xml:space="preserve">; </w:t>
      </w:r>
      <w:hyperlink w:anchor="latin-record-1274">
        <w:r>
          <w:rPr>
            <w:color w:val="000000"/>
          </w:rPr>
          <w:t xml:space="preserve">talis; sic affectus</w:t>
        </w:r>
      </w:hyperlink>
      <w:r>
        <w:rPr>
          <w:b w:val="0"/>
          <w:i w:val="0"/>
        </w:rPr>
        <w:t>.</w:t>
      </w:r>
    </w:p>
    <w:p>
      <w:pPr>
        <w:widowControl/>
      </w:pPr>
      <w:bookmarkStart w:id="1817" w:name="passage-vi-4-4"/>
      <w:bookmarkEnd w:id="1817"/>
      <w:r>
        <w:rPr>
          <w:b/>
          <w:i w:val="0"/>
        </w:rPr>
        <w:t>VI.4.4</w:t>
      </w:r>
      <w:r>
        <w:rPr>
          <w:b/>
          <w:i w:val="0"/>
        </w:rPr>
        <w:t>, source pp. 170–171.</w:t>
      </w:r>
      <w:r>
        <w:rPr>
          <w:b w:val="0"/>
          <w:i w:val="0"/>
        </w:rPr>
        <w:t xml:space="preserve"> Articles: </w:t>
      </w:r>
      <w:hyperlink w:anchor="nourishment-and-life-giving-form">
        <w:r>
          <w:rPr>
            <w:color w:val="000000"/>
          </w:rPr>
          <w:t xml:space="preserve">Nourishment and the life-giving form</w:t>
        </w:r>
      </w:hyperlink>
      <w:r>
        <w:rPr>
          <w:b w:val="0"/>
          <w:i w:val="0"/>
        </w:rPr>
        <w:t xml:space="preserve">. Vocabulary: </w:t>
      </w:r>
      <w:hyperlink w:anchor="latin-record-0279">
        <w:r>
          <w:rPr>
            <w:color w:val="000000"/>
          </w:rPr>
          <w:t xml:space="preserve">concludere; respondere; quaerere</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794">
        <w:r>
          <w:rPr>
            <w:color w:val="000000"/>
          </w:rPr>
          <w:t xml:space="preserve">moles; affectio</w:t>
        </w:r>
      </w:hyperlink>
      <w:r>
        <w:rPr>
          <w:b w:val="0"/>
          <w:i w:val="0"/>
        </w:rPr>
        <w:t xml:space="preserve">; </w:t>
      </w:r>
      <w:hyperlink w:anchor="latin-record-1019">
        <w:r>
          <w:rPr>
            <w:color w:val="000000"/>
          </w:rPr>
          <w:t xml:space="preserve">proprius; communis</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170">
        <w:r>
          <w:rPr>
            <w:color w:val="000000"/>
          </w:rPr>
          <w:t xml:space="preserve">si; sin; nisi; licet</w:t>
        </w:r>
      </w:hyperlink>
      <w:r>
        <w:rPr>
          <w:b w:val="0"/>
          <w:i w:val="0"/>
        </w:rPr>
        <w:t xml:space="preserve">; </w:t>
      </w:r>
      <w:hyperlink w:anchor="latin-record-1327">
        <w:r>
          <w:rPr>
            <w:color w:val="000000"/>
          </w:rPr>
          <w:t xml:space="preserve">utrum; an; numquid; num</w:t>
        </w:r>
      </w:hyperlink>
      <w:r>
        <w:rPr>
          <w:b w:val="0"/>
          <w:i w:val="0"/>
        </w:rPr>
        <w:t>.</w:t>
      </w:r>
    </w:p>
    <w:p>
      <w:pPr>
        <w:widowControl/>
      </w:pPr>
      <w:bookmarkStart w:id="1818" w:name="passage-vi-4-5"/>
      <w:bookmarkEnd w:id="1818"/>
      <w:r>
        <w:rPr>
          <w:b/>
          <w:i w:val="0"/>
        </w:rPr>
        <w:t>VI.4.5</w:t>
      </w:r>
      <w:r>
        <w:rPr>
          <w:b/>
          <w:i w:val="0"/>
        </w:rPr>
        <w:t>, source pp. 172–173.</w:t>
      </w:r>
      <w:r>
        <w:rPr>
          <w:b w:val="0"/>
          <w:i w:val="0"/>
        </w:rPr>
        <w:t xml:space="preserve"> Articles: </w:t>
      </w:r>
      <w:hyperlink w:anchor="earth-wood-and-severed-stones">
        <w:r>
          <w:rPr>
            <w:color w:val="000000"/>
          </w:rPr>
          <w:t xml:space="preserve">Earth, wood and severed stones</w:t>
        </w:r>
      </w:hyperlink>
      <w:r>
        <w:rPr>
          <w:b w:val="0"/>
          <w:i w:val="0"/>
        </w:rPr>
        <w:t xml:space="preserve">; </w:t>
      </w:r>
      <w:hyperlink w:anchor="nourishment-and-life-giving-form">
        <w:r>
          <w:rPr>
            <w:color w:val="000000"/>
          </w:rPr>
          <w:t xml:space="preserve">Nourishment and the life-giving form</w:t>
        </w:r>
      </w:hyperlink>
      <w:r>
        <w:rPr>
          <w:b w:val="0"/>
          <w:i w:val="0"/>
        </w:rPr>
        <w:t xml:space="preserve">. Vocabulary: </w:t>
      </w:r>
      <w:hyperlink w:anchor="latin-record-0380">
        <w:r>
          <w:rPr>
            <w:color w:val="000000"/>
          </w:rPr>
          <w:t xml:space="preserve">dicere; nominare; appellare</w:t>
        </w:r>
      </w:hyperlink>
      <w:r>
        <w:rPr>
          <w:b w:val="0"/>
          <w:i w:val="0"/>
        </w:rPr>
        <w:t xml:space="preserve">; </w:t>
      </w:r>
      <w:hyperlink w:anchor="latin-record-0508">
        <w:r>
          <w:rPr>
            <w:color w:val="000000"/>
          </w:rPr>
          <w:t xml:space="preserve">forma vivifica</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645">
        <w:r>
          <w:rPr>
            <w:color w:val="000000"/>
          </w:rPr>
          <w:t xml:space="preserve">inquam</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380">
        <w:r>
          <w:rPr>
            <w:color w:val="000000"/>
          </w:rPr>
          <w:t xml:space="preserve">vivificare</w:t>
        </w:r>
      </w:hyperlink>
      <w:r>
        <w:rPr>
          <w:b w:val="0"/>
          <w:i w:val="0"/>
        </w:rPr>
        <w:t>.</w:t>
      </w:r>
    </w:p>
    <w:p>
      <w:pPr>
        <w:widowControl/>
      </w:pPr>
      <w:bookmarkStart w:id="1819" w:name="passage-vi-4-6"/>
      <w:bookmarkEnd w:id="1819"/>
      <w:r>
        <w:rPr>
          <w:b/>
          <w:i w:val="0"/>
        </w:rPr>
        <w:t>VI.4.6</w:t>
      </w:r>
      <w:r>
        <w:rPr>
          <w:b/>
          <w:i w:val="0"/>
        </w:rPr>
        <w:t>, source pp. 172–173.</w:t>
      </w:r>
      <w:r>
        <w:rPr>
          <w:b w:val="0"/>
          <w:i w:val="0"/>
        </w:rPr>
        <w:t xml:space="preserve"> Articles: </w:t>
      </w:r>
      <w:hyperlink w:anchor="nourishment-and-life-giving-form">
        <w:r>
          <w:rPr>
            <w:color w:val="000000"/>
          </w:rPr>
          <w:t xml:space="preserve">Nourishment and the life-giving form</w:t>
        </w:r>
      </w:hyperlink>
      <w:r>
        <w:rPr>
          <w:b w:val="0"/>
          <w:i w:val="0"/>
        </w:rPr>
        <w:t xml:space="preserve">. Vocabulary: </w:t>
      </w:r>
      <w:hyperlink w:anchor="latin-record-0010">
        <w:r>
          <w:rPr>
            <w:color w:val="000000"/>
          </w:rPr>
          <w:t xml:space="preserve">accedere; discedere</w:t>
        </w:r>
      </w:hyperlink>
      <w:r>
        <w:rPr>
          <w:b w:val="0"/>
          <w:i w:val="0"/>
        </w:rPr>
        <w:t xml:space="preserve">; </w:t>
      </w:r>
      <w:hyperlink w:anchor="latin-record-0061">
        <w:r>
          <w:rPr>
            <w:color w:val="000000"/>
          </w:rPr>
          <w:t xml:space="preserve">agere; operari</w:t>
        </w:r>
      </w:hyperlink>
      <w:r>
        <w:rPr>
          <w:b w:val="0"/>
          <w:i w:val="0"/>
        </w:rPr>
        <w:t xml:space="preserve">; </w:t>
      </w:r>
      <w:hyperlink w:anchor="latin-record-0102">
        <w:r>
          <w:rPr>
            <w:color w:val="000000"/>
          </w:rPr>
          <w:t xml:space="preserve">animatum quiddam</w:t>
        </w:r>
      </w:hyperlink>
      <w:r>
        <w:rPr>
          <w:b w:val="0"/>
          <w:i w:val="0"/>
        </w:rPr>
        <w:t xml:space="preserve">; </w:t>
      </w:r>
      <w:hyperlink w:anchor="latin-record-0279">
        <w:r>
          <w:rPr>
            <w:color w:val="000000"/>
          </w:rPr>
          <w:t xml:space="preserve">concludere; respondere; quaerere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0863">
        <w:r>
          <w:rPr>
            <w:color w:val="000000"/>
          </w:rPr>
          <w:t xml:space="preserve">operatio; actus</w:t>
        </w:r>
      </w:hyperlink>
      <w:r>
        <w:rPr>
          <w:b w:val="0"/>
          <w:i w:val="0"/>
        </w:rPr>
        <w:t xml:space="preserve">; </w:t>
      </w:r>
      <w:hyperlink w:anchor="latin-record-1351">
        <w:r>
          <w:rPr>
            <w:color w:val="000000"/>
          </w:rPr>
          <w:t xml:space="preserve">videre; cernere; intueri</w:t>
        </w:r>
      </w:hyperlink>
      <w:r>
        <w:rPr>
          <w:b w:val="0"/>
          <w:i w:val="0"/>
        </w:rPr>
        <w:t xml:space="preserve">; </w:t>
      </w:r>
      <w:hyperlink w:anchor="latin-record-1380">
        <w:r>
          <w:rPr>
            <w:color w:val="000000"/>
          </w:rPr>
          <w:t xml:space="preserve">vivificare</w:t>
        </w:r>
      </w:hyperlink>
      <w:r>
        <w:rPr>
          <w:b w:val="0"/>
          <w:i w:val="0"/>
        </w:rPr>
        <w:t>.</w:t>
      </w:r>
    </w:p>
    <w:p>
      <w:pPr>
        <w:pStyle w:val="Heading2"/>
      </w:pPr>
      <w:bookmarkStart w:id="1820" w:name="chapter-vi.5"/>
      <w:r>
        <w:rPr>
          <w:b w:val="0"/>
          <w:i w:val="0"/>
        </w:rPr>
        <w:t>Chapter VI.5</w:t>
      </w:r>
      <w:bookmarkEnd w:id="1820"/>
    </w:p>
    <w:p>
      <w:pPr>
        <w:widowControl/>
      </w:pPr>
      <w:bookmarkStart w:id="1821" w:name="passage-vi-5-1"/>
      <w:bookmarkEnd w:id="1821"/>
      <w:r>
        <w:rPr>
          <w:b/>
          <w:i w:val="0"/>
        </w:rPr>
        <w:t>VI.5.1</w:t>
      </w:r>
      <w:r>
        <w:rPr>
          <w:b/>
          <w:i w:val="0"/>
        </w:rPr>
        <w:t>, source pp. 174–175.</w:t>
      </w:r>
      <w:r>
        <w:rPr>
          <w:b w:val="0"/>
          <w:i w:val="0"/>
        </w:rPr>
        <w:t xml:space="preserve"> Articles: </w:t>
      </w:r>
      <w:hyperlink w:anchor="animation-first-light-and-regress">
        <w:r>
          <w:rPr>
            <w:color w:val="000000"/>
          </w:rPr>
          <w:t xml:space="preserve">Animation, first light and regress</w:t>
        </w:r>
      </w:hyperlink>
      <w:r>
        <w:rPr>
          <w:b w:val="0"/>
          <w:i w:val="0"/>
        </w:rPr>
        <w:t xml:space="preserve">. Vocabulary: </w:t>
      </w:r>
      <w:hyperlink w:anchor="latin-record-0103">
        <w:r>
          <w:rPr>
            <w:color w:val="000000"/>
          </w:rPr>
          <w:t xml:space="preserve">animatus; inanimis</w:t>
        </w:r>
      </w:hyperlink>
      <w:r>
        <w:rPr>
          <w:b w:val="0"/>
          <w:i w:val="0"/>
        </w:rPr>
        <w:t xml:space="preserve">; </w:t>
      </w:r>
      <w:hyperlink w:anchor="latin-record-0358">
        <w:r>
          <w:rPr>
            <w:color w:val="000000"/>
          </w:rPr>
          <w:t xml:space="preserve">dare; tribuere; praestare</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1327">
        <w:r>
          <w:rPr>
            <w:color w:val="000000"/>
          </w:rPr>
          <w:t xml:space="preserve">utrum; an; numquid; num</w:t>
        </w:r>
      </w:hyperlink>
      <w:r>
        <w:rPr>
          <w:b w:val="0"/>
          <w:i w:val="0"/>
        </w:rPr>
        <w:t xml:space="preserve">; </w:t>
      </w:r>
      <w:hyperlink w:anchor="latin-record-1336">
        <w:r>
          <w:rPr>
            <w:color w:val="000000"/>
          </w:rPr>
          <w:t xml:space="preserve">vel; sive; seu; aut</w:t>
        </w:r>
      </w:hyperlink>
      <w:r>
        <w:rPr>
          <w:b w:val="0"/>
          <w:i w:val="0"/>
        </w:rPr>
        <w:t xml:space="preserve">; </w:t>
      </w:r>
      <w:hyperlink w:anchor="latin-record-1377">
        <w:r>
          <w:rPr>
            <w:color w:val="000000"/>
          </w:rPr>
          <w:t xml:space="preserve">vita; vivere</w:t>
        </w:r>
      </w:hyperlink>
      <w:r>
        <w:rPr>
          <w:b w:val="0"/>
          <w:i w:val="0"/>
        </w:rPr>
        <w:t>.</w:t>
      </w:r>
    </w:p>
    <w:p>
      <w:pPr>
        <w:widowControl/>
      </w:pPr>
      <w:bookmarkStart w:id="1822" w:name="passage-vi-5-2"/>
      <w:bookmarkEnd w:id="1822"/>
      <w:r>
        <w:rPr>
          <w:b/>
          <w:i w:val="0"/>
        </w:rPr>
        <w:t>VI.5.2</w:t>
      </w:r>
      <w:r>
        <w:rPr>
          <w:b/>
          <w:i w:val="0"/>
        </w:rPr>
        <w:t>, source pp. 174–175.</w:t>
      </w:r>
      <w:r>
        <w:rPr>
          <w:b w:val="0"/>
          <w:i w:val="0"/>
        </w:rPr>
        <w:t xml:space="preserve"> Articles: </w:t>
      </w:r>
      <w:hyperlink w:anchor="animation-first-light-and-regress">
        <w:r>
          <w:rPr>
            <w:color w:val="000000"/>
          </w:rPr>
          <w:t xml:space="preserve">Animation, first light and regress</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103">
        <w:r>
          <w:rPr>
            <w:color w:val="000000"/>
          </w:rPr>
          <w:t xml:space="preserve">animatus; inanimis</w:t>
        </w:r>
      </w:hyperlink>
      <w:r>
        <w:rPr>
          <w:b w:val="0"/>
          <w:i w:val="0"/>
        </w:rPr>
        <w:t xml:space="preserve">; </w:t>
      </w:r>
      <w:hyperlink w:anchor="latin-record-0225">
        <w:r>
          <w:rPr>
            <w:color w:val="000000"/>
          </w:rPr>
          <w:t xml:space="preserve">cogere; compellere</w:t>
        </w:r>
      </w:hyperlink>
      <w:r>
        <w:rPr>
          <w:b w:val="0"/>
          <w:i w:val="0"/>
        </w:rPr>
        <w:t xml:space="preserve">; </w:t>
      </w:r>
      <w:hyperlink w:anchor="latin-record-0279">
        <w:r>
          <w:rPr>
            <w:color w:val="000000"/>
          </w:rPr>
          <w:t xml:space="preserve">concludere; respondere; quaerere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132">
        <w:r>
          <w:rPr>
            <w:color w:val="000000"/>
          </w:rPr>
          <w:t xml:space="preserve">sapientia; sapiens</w:t>
        </w:r>
      </w:hyperlink>
      <w:r>
        <w:rPr>
          <w:b w:val="0"/>
          <w:i w:val="0"/>
        </w:rPr>
        <w:t>.</w:t>
      </w:r>
    </w:p>
    <w:p>
      <w:pPr>
        <w:widowControl/>
      </w:pPr>
      <w:bookmarkStart w:id="1823" w:name="passage-vi-5-3"/>
      <w:bookmarkEnd w:id="1823"/>
      <w:r>
        <w:rPr>
          <w:b/>
          <w:i w:val="0"/>
        </w:rPr>
        <w:t>VI.5.3</w:t>
      </w:r>
      <w:r>
        <w:rPr>
          <w:b/>
          <w:i w:val="0"/>
        </w:rPr>
        <w:t>, source pp. 174–175.</w:t>
      </w:r>
      <w:r>
        <w:rPr>
          <w:b w:val="0"/>
          <w:i w:val="0"/>
        </w:rPr>
        <w:t xml:space="preserve"> Articles: </w:t>
      </w:r>
      <w:hyperlink w:anchor="animation-first-light-and-regress">
        <w:r>
          <w:rPr>
            <w:color w:val="000000"/>
          </w:rPr>
          <w:t xml:space="preserve">Animation, first light and regress</w:t>
        </w:r>
      </w:hyperlink>
      <w:r>
        <w:rPr>
          <w:b w:val="0"/>
          <w:i w:val="0"/>
        </w:rPr>
        <w:t xml:space="preserve">. Vocabulary: </w:t>
      </w:r>
      <w:hyperlink w:anchor="latin-record-0103">
        <w:r>
          <w:rPr>
            <w:color w:val="000000"/>
          </w:rPr>
          <w:t xml:space="preserve">animatus; inanimis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988">
        <w:r>
          <w:rPr>
            <w:color w:val="000000"/>
          </w:rPr>
          <w:t xml:space="preserve">primum lumen</w:t>
        </w:r>
      </w:hyperlink>
      <w:r>
        <w:rPr>
          <w:b w:val="0"/>
          <w:i w:val="0"/>
        </w:rPr>
        <w:t xml:space="preserve">; </w:t>
      </w:r>
      <w:hyperlink w:anchor="latin-record-0996">
        <w:r>
          <w:rPr>
            <w:color w:val="000000"/>
          </w:rPr>
          <w:t xml:space="preserve">prior; posterior</w:t>
        </w:r>
      </w:hyperlink>
      <w:r>
        <w:rPr>
          <w:b w:val="0"/>
          <w:i w:val="0"/>
        </w:rPr>
        <w:t xml:space="preserve">; </w:t>
      </w:r>
      <w:hyperlink w:anchor="latin-record-1087">
        <w:r>
          <w:rPr>
            <w:color w:val="000000"/>
          </w:rPr>
          <w:t xml:space="preserve">referre; quiescere</w:t>
        </w:r>
      </w:hyperlink>
      <w:r>
        <w:rPr>
          <w:b w:val="0"/>
          <w:i w:val="0"/>
        </w:rPr>
        <w:t xml:space="preserve">; </w:t>
      </w:r>
      <w:hyperlink w:anchor="latin-record-1380">
        <w:r>
          <w:rPr>
            <w:color w:val="000000"/>
          </w:rPr>
          <w:t xml:space="preserve">vivificare</w:t>
        </w:r>
      </w:hyperlink>
      <w:r>
        <w:rPr>
          <w:b w:val="0"/>
          <w:i w:val="0"/>
        </w:rPr>
        <w:t>.</w:t>
      </w:r>
    </w:p>
    <w:p>
      <w:pPr>
        <w:widowControl/>
      </w:pPr>
      <w:bookmarkStart w:id="1824" w:name="passage-vi-5-4"/>
      <w:bookmarkEnd w:id="1824"/>
      <w:r>
        <w:rPr>
          <w:b/>
          <w:i w:val="0"/>
        </w:rPr>
        <w:t>VI.5.4</w:t>
      </w:r>
      <w:r>
        <w:rPr>
          <w:b/>
          <w:i w:val="0"/>
        </w:rPr>
        <w:t>, source pp. 176–177.</w:t>
      </w:r>
      <w:r>
        <w:rPr>
          <w:b w:val="0"/>
          <w:i w:val="0"/>
        </w:rPr>
        <w:t xml:space="preserve"> Articles: </w:t>
      </w:r>
      <w:hyperlink w:anchor="animation-first-light-and-regress">
        <w:r>
          <w:rPr>
            <w:color w:val="000000"/>
          </w:rPr>
          <w:t xml:space="preserve">Animation, first light and regress</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100">
        <w:r>
          <w:rPr>
            <w:color w:val="000000"/>
          </w:rPr>
          <w:t xml:space="preserve">animale; vivens; vivificatum</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0922">
        <w:r>
          <w:rPr>
            <w:color w:val="000000"/>
          </w:rPr>
          <w:t xml:space="preserve">per se; quodammodo; proprie</w:t>
        </w:r>
      </w:hyperlink>
      <w:r>
        <w:rPr>
          <w:b w:val="0"/>
          <w:i w:val="0"/>
        </w:rPr>
        <w:t xml:space="preserve">; </w:t>
      </w:r>
      <w:hyperlink w:anchor="latin-record-1037">
        <w:r>
          <w:rPr>
            <w:color w:val="000000"/>
          </w:rPr>
          <w:t xml:space="preserve">qua ratione</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064">
        <w:r>
          <w:rPr>
            <w:color w:val="000000"/>
          </w:rPr>
          <w:t xml:space="preserve">ratio</w:t>
        </w:r>
      </w:hyperlink>
      <w:r>
        <w:rPr>
          <w:b w:val="0"/>
          <w:i w:val="0"/>
        </w:rPr>
        <w:t>.</w:t>
      </w:r>
    </w:p>
    <w:p>
      <w:pPr>
        <w:widowControl/>
      </w:pPr>
      <w:bookmarkStart w:id="1825" w:name="passage-vi-5-5"/>
      <w:bookmarkEnd w:id="1825"/>
      <w:r>
        <w:rPr>
          <w:b/>
          <w:i w:val="0"/>
        </w:rPr>
        <w:t>VI.5.5</w:t>
      </w:r>
      <w:r>
        <w:rPr>
          <w:b/>
          <w:i w:val="0"/>
        </w:rPr>
        <w:t>, source pp. 176–177.</w:t>
      </w:r>
      <w:r>
        <w:rPr>
          <w:b w:val="0"/>
          <w:i w:val="0"/>
        </w:rPr>
        <w:t xml:space="preserve"> Articles: </w:t>
      </w:r>
      <w:hyperlink w:anchor="animation-first-light-and-regress">
        <w:r>
          <w:rPr>
            <w:color w:val="000000"/>
          </w:rPr>
          <w:t xml:space="preserve">Animation, first light and regress</w:t>
        </w:r>
      </w:hyperlink>
      <w:r>
        <w:rPr>
          <w:b w:val="0"/>
          <w:i w:val="0"/>
        </w:rPr>
        <w:t xml:space="preserve">. Vocabulary: </w:t>
      </w:r>
      <w:hyperlink w:anchor="latin-record-0826">
        <w:r>
          <w:rPr>
            <w:color w:val="000000"/>
          </w:rPr>
          <w:t xml:space="preserve">natura praeter corporis rationem</w:t>
        </w:r>
      </w:hyperlink>
      <w:r>
        <w:rPr>
          <w:b w:val="0"/>
          <w:i w:val="0"/>
        </w:rPr>
        <w:t xml:space="preserve">; </w:t>
      </w:r>
      <w:hyperlink w:anchor="latin-record-1064">
        <w:r>
          <w:rPr>
            <w:color w:val="000000"/>
          </w:rPr>
          <w:t xml:space="preserve">ratio</w:t>
        </w:r>
      </w:hyperlink>
      <w:r>
        <w:rPr>
          <w:b w:val="0"/>
          <w:i w:val="0"/>
        </w:rPr>
        <w:t>.</w:t>
      </w:r>
    </w:p>
    <w:p>
      <w:pPr>
        <w:pStyle w:val="Heading2"/>
      </w:pPr>
      <w:bookmarkStart w:id="1826" w:name="chapter-vi.6"/>
      <w:r>
        <w:rPr>
          <w:b w:val="0"/>
          <w:i w:val="0"/>
        </w:rPr>
        <w:t>Chapter VI.6</w:t>
      </w:r>
      <w:bookmarkEnd w:id="1826"/>
    </w:p>
    <w:p>
      <w:pPr>
        <w:widowControl/>
      </w:pPr>
      <w:bookmarkStart w:id="1827" w:name="passage-vi-6-1"/>
      <w:bookmarkEnd w:id="1827"/>
      <w:r>
        <w:rPr>
          <w:b/>
          <w:i w:val="0"/>
        </w:rPr>
        <w:t>VI.6.1</w:t>
      </w:r>
      <w:r>
        <w:rPr>
          <w:b/>
          <w:i w:val="0"/>
        </w:rPr>
        <w:t>, source pp. 178–179.</w:t>
      </w:r>
      <w:r>
        <w:rPr>
          <w:b w:val="0"/>
          <w:i w:val="0"/>
        </w:rPr>
        <w:t xml:space="preserve"> Articles: </w:t>
      </w:r>
      <w:hyperlink w:anchor="corporeal-soul-and-elemental-doxography">
        <w:r>
          <w:rPr>
            <w:color w:val="000000"/>
          </w:rPr>
          <w:t xml:space="preserve">Corporeal soul and elemental doxography</w:t>
        </w:r>
      </w:hyperlink>
      <w:r>
        <w:rPr>
          <w:b w:val="0"/>
          <w:i w:val="0"/>
        </w:rPr>
        <w:t xml:space="preserve">; </w:t>
      </w:r>
      <w:hyperlink w:anchor="dense-subtle-and-fifth-body">
        <w:r>
          <w:rPr>
            <w:color w:val="000000"/>
          </w:rPr>
          <w:t xml:space="preserve">Dense, subtle and fifth body</w:t>
        </w:r>
      </w:hyperlink>
      <w:r>
        <w:rPr>
          <w:b w:val="0"/>
          <w:i w:val="0"/>
        </w:rPr>
        <w:t xml:space="preserve">. Vocabulary: </w:t>
      </w:r>
      <w:hyperlink w:anchor="latin-record-0345">
        <w:r>
          <w:rPr>
            <w:color w:val="000000"/>
          </w:rPr>
          <w:t xml:space="preserve">crassus; subtilis; rarus</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913">
        <w:r>
          <w:rPr>
            <w:color w:val="000000"/>
          </w:rPr>
          <w:t xml:space="preserve">penetrare; implere</w:t>
        </w:r>
      </w:hyperlink>
      <w:r>
        <w:rPr>
          <w:b w:val="0"/>
          <w:i w:val="0"/>
        </w:rPr>
        <w:t xml:space="preserve">; </w:t>
      </w:r>
      <w:hyperlink w:anchor="latin-record-1327">
        <w:r>
          <w:rPr>
            <w:color w:val="000000"/>
          </w:rPr>
          <w:t xml:space="preserve">utrum; an; numquid; num</w:t>
        </w:r>
      </w:hyperlink>
      <w:r>
        <w:rPr>
          <w:b w:val="0"/>
          <w:i w:val="0"/>
        </w:rPr>
        <w:t>.</w:t>
      </w:r>
    </w:p>
    <w:p>
      <w:pPr>
        <w:widowControl/>
      </w:pPr>
      <w:bookmarkStart w:id="1828" w:name="passage-vi-6-2"/>
      <w:bookmarkEnd w:id="1828"/>
      <w:r>
        <w:rPr>
          <w:b/>
          <w:i w:val="0"/>
        </w:rPr>
        <w:t>VI.6.2</w:t>
      </w:r>
      <w:r>
        <w:rPr>
          <w:b/>
          <w:i w:val="0"/>
        </w:rPr>
        <w:t>, source pp. 178–179.</w:t>
      </w:r>
      <w:r>
        <w:rPr>
          <w:b w:val="0"/>
          <w:i w:val="0"/>
        </w:rPr>
        <w:t xml:space="preserve"> Articles: </w:t>
      </w:r>
      <w:hyperlink w:anchor="corporeal-soul-and-elemental-doxography">
        <w:r>
          <w:rPr>
            <w:color w:val="000000"/>
          </w:rPr>
          <w:t xml:space="preserve">Corporeal soul and elemental doxography</w:t>
        </w:r>
      </w:hyperlink>
      <w:r>
        <w:rPr>
          <w:b w:val="0"/>
          <w:i w:val="0"/>
        </w:rPr>
        <w:t xml:space="preserve">; </w:t>
      </w:r>
      <w:hyperlink w:anchor="dense-subtle-and-fifth-body">
        <w:r>
          <w:rPr>
            <w:color w:val="000000"/>
          </w:rPr>
          <w:t xml:space="preserve">Dense, subtle and fifth body</w:t>
        </w:r>
      </w:hyperlink>
      <w:r>
        <w:rPr>
          <w:b w:val="0"/>
          <w:i w:val="0"/>
        </w:rPr>
        <w:t xml:space="preserve">. Vocabulary: </w:t>
      </w:r>
      <w:hyperlink w:anchor="latin-record-0586">
        <w:r>
          <w:rPr>
            <w:color w:val="000000"/>
          </w:rPr>
          <w:t xml:space="preserve">ignis; aer; aqua</w:t>
        </w:r>
      </w:hyperlink>
      <w:r>
        <w:rPr>
          <w:b w:val="0"/>
          <w:i w:val="0"/>
        </w:rPr>
        <w:t xml:space="preserve">; </w:t>
      </w:r>
      <w:hyperlink w:anchor="latin-record-0587">
        <w:r>
          <w:rPr>
            <w:color w:val="000000"/>
          </w:rPr>
          <w:t xml:space="preserve">ignitus</w:t>
        </w:r>
      </w:hyperlink>
      <w:r>
        <w:rPr>
          <w:b w:val="0"/>
          <w:i w:val="0"/>
        </w:rPr>
        <w:t xml:space="preserve">; </w:t>
      </w:r>
      <w:hyperlink w:anchor="latin-record-1351">
        <w:r>
          <w:rPr>
            <w:color w:val="000000"/>
          </w:rPr>
          <w:t xml:space="preserve">videre; cernere; intueri</w:t>
        </w:r>
      </w:hyperlink>
      <w:r>
        <w:rPr>
          <w:b w:val="0"/>
          <w:i w:val="0"/>
        </w:rPr>
        <w:t xml:space="preserve">; </w:t>
      </w:r>
      <w:hyperlink w:anchor="latin-record-1377">
        <w:r>
          <w:rPr>
            <w:color w:val="000000"/>
          </w:rPr>
          <w:t xml:space="preserve">vita; vivere</w:t>
        </w:r>
      </w:hyperlink>
      <w:r>
        <w:rPr>
          <w:b w:val="0"/>
          <w:i w:val="0"/>
        </w:rPr>
        <w:t>.</w:t>
      </w:r>
    </w:p>
    <w:p>
      <w:pPr>
        <w:widowControl/>
      </w:pPr>
      <w:bookmarkStart w:id="1829" w:name="passage-vi-6-3"/>
      <w:bookmarkEnd w:id="1829"/>
      <w:r>
        <w:rPr>
          <w:b/>
          <w:i w:val="0"/>
        </w:rPr>
        <w:t>VI.6.3</w:t>
      </w:r>
      <w:r>
        <w:rPr>
          <w:b/>
          <w:i w:val="0"/>
        </w:rPr>
        <w:t>, source pp. 178–179.</w:t>
      </w:r>
      <w:r>
        <w:rPr>
          <w:b w:val="0"/>
          <w:i w:val="0"/>
        </w:rPr>
        <w:t xml:space="preserve"> Articles: </w:t>
      </w:r>
      <w:hyperlink w:anchor="corporeal-soul-and-elemental-doxography">
        <w:r>
          <w:rPr>
            <w:color w:val="000000"/>
          </w:rPr>
          <w:t xml:space="preserve">Corporeal soul and elemental doxography</w:t>
        </w:r>
      </w:hyperlink>
      <w:r>
        <w:rPr>
          <w:b w:val="0"/>
          <w:i w:val="0"/>
        </w:rPr>
        <w:t xml:space="preserve">; </w:t>
      </w:r>
      <w:hyperlink w:anchor="dense-subtle-and-fifth-body">
        <w:r>
          <w:rPr>
            <w:color w:val="000000"/>
          </w:rPr>
          <w:t xml:space="preserve">Dense, subtle and fifth body</w:t>
        </w:r>
      </w:hyperlink>
      <w:r>
        <w:rPr>
          <w:b w:val="0"/>
          <w:i w:val="0"/>
        </w:rPr>
        <w:t xml:space="preserve">. Vocabulary: </w:t>
      </w:r>
      <w:hyperlink w:anchor="latin-record-0279">
        <w:r>
          <w:rPr>
            <w:color w:val="000000"/>
          </w:rPr>
          <w:t xml:space="preserve">concludere; respondere; quaerere</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57">
        <w:r>
          <w:rPr>
            <w:color w:val="000000"/>
          </w:rPr>
          <w:t xml:space="preserve">dare; concedere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054">
        <w:r>
          <w:rPr>
            <w:color w:val="000000"/>
          </w:rPr>
          <w:t xml:space="preserve">quintum corpusculum</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359">
        <w:r>
          <w:rPr>
            <w:color w:val="000000"/>
          </w:rPr>
          <w:t xml:space="preserve">virtus; vis</w:t>
        </w:r>
      </w:hyperlink>
      <w:r>
        <w:rPr>
          <w:b w:val="0"/>
          <w:i w:val="0"/>
        </w:rPr>
        <w:t>.</w:t>
      </w:r>
    </w:p>
    <w:p>
      <w:pPr>
        <w:widowControl/>
      </w:pPr>
      <w:bookmarkStart w:id="1830" w:name="passage-vi-6-4"/>
      <w:bookmarkEnd w:id="1830"/>
      <w:r>
        <w:rPr>
          <w:b/>
          <w:i w:val="0"/>
        </w:rPr>
        <w:t>VI.6.4</w:t>
      </w:r>
      <w:r>
        <w:rPr>
          <w:b/>
          <w:i w:val="0"/>
        </w:rPr>
        <w:t>, source pp. 180–181.</w:t>
      </w:r>
      <w:r>
        <w:rPr>
          <w:b w:val="0"/>
          <w:i w:val="0"/>
        </w:rPr>
        <w:t xml:space="preserve"> Articles: </w:t>
      </w:r>
      <w:hyperlink w:anchor="essential-presence-and-containment">
        <w:r>
          <w:rPr>
            <w:color w:val="000000"/>
          </w:rPr>
          <w:t xml:space="preserve">Essential presence and containment</w:t>
        </w:r>
      </w:hyperlink>
      <w:r>
        <w:rPr>
          <w:b w:val="0"/>
          <w:i w:val="0"/>
        </w:rPr>
        <w:t xml:space="preserve">; </w:t>
      </w:r>
      <w:hyperlink w:anchor="point-dimension-and-substantial-unity">
        <w:r>
          <w:rPr>
            <w:color w:val="000000"/>
          </w:rPr>
          <w:t xml:space="preserve">Point, dimension and substantial unity</w:t>
        </w:r>
      </w:hyperlink>
      <w:r>
        <w:rPr>
          <w:b w:val="0"/>
          <w:i w:val="0"/>
        </w:rPr>
        <w:t xml:space="preserve">. Vocabulary: </w:t>
      </w:r>
      <w:hyperlink w:anchor="latin-record-0268">
        <w:r>
          <w:rPr>
            <w:color w:val="000000"/>
          </w:rPr>
          <w:t xml:space="preserve">comprehendere</w:t>
        </w:r>
      </w:hyperlink>
      <w:r>
        <w:rPr>
          <w:b w:val="0"/>
          <w:i w:val="0"/>
        </w:rPr>
        <w:t xml:space="preserve">; </w:t>
      </w:r>
      <w:hyperlink w:anchor="latin-record-0279">
        <w:r>
          <w:rPr>
            <w:color w:val="000000"/>
          </w:rPr>
          <w:t xml:space="preserve">concludere; respondere; quaerere</w:t>
        </w:r>
      </w:hyperlink>
      <w:r>
        <w:rPr>
          <w:b w:val="0"/>
          <w:i w:val="0"/>
        </w:rPr>
        <w:t xml:space="preserve">; </w:t>
      </w:r>
      <w:hyperlink w:anchor="latin-record-0358">
        <w:r>
          <w:rPr>
            <w:color w:val="000000"/>
          </w:rPr>
          <w:t xml:space="preserve">dare; tribuere; praestare</w:t>
        </w:r>
      </w:hyperlink>
      <w:r>
        <w:rPr>
          <w:b w:val="0"/>
          <w:i w:val="0"/>
        </w:rPr>
        <w:t xml:space="preserve">; </w:t>
      </w:r>
      <w:hyperlink w:anchor="latin-record-0404">
        <w:r>
          <w:rPr>
            <w:color w:val="000000"/>
          </w:rPr>
          <w:t xml:space="preserve">dividere; divisio</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642">
        <w:r>
          <w:rPr>
            <w:color w:val="000000"/>
          </w:rPr>
          <w:t xml:space="preserve">innotescere; circumscribere</w:t>
        </w:r>
      </w:hyperlink>
      <w:r>
        <w:rPr>
          <w:b w:val="0"/>
          <w:i w:val="0"/>
        </w:rPr>
        <w:t xml:space="preserve">; </w:t>
      </w:r>
      <w:hyperlink w:anchor="latin-record-0676">
        <w:r>
          <w:rPr>
            <w:color w:val="000000"/>
          </w:rPr>
          <w:t xml:space="preserve">intervallum temporis</w:t>
        </w:r>
      </w:hyperlink>
      <w:r>
        <w:rPr>
          <w:b w:val="0"/>
          <w:i w:val="0"/>
        </w:rPr>
        <w:t xml:space="preserve">; </w:t>
      </w:r>
      <w:hyperlink w:anchor="latin-record-0901">
        <w:r>
          <w:rPr>
            <w:color w:val="000000"/>
          </w:rPr>
          <w:t xml:space="preserve">particula vivere</w:t>
        </w:r>
      </w:hyperlink>
      <w:r>
        <w:rPr>
          <w:b w:val="0"/>
          <w:i w:val="0"/>
        </w:rPr>
        <w:t xml:space="preserve">; </w:t>
      </w:r>
      <w:hyperlink w:anchor="latin-record-0915">
        <w:r>
          <w:rPr>
            <w:color w:val="000000"/>
          </w:rPr>
          <w:t xml:space="preserve">per essentiam; per quantitatem</w:t>
        </w:r>
      </w:hyperlink>
      <w:r>
        <w:rPr>
          <w:b w:val="0"/>
          <w:i w:val="0"/>
        </w:rPr>
        <w:t xml:space="preserve">; </w:t>
      </w:r>
      <w:hyperlink w:anchor="latin-record-0938">
        <w:r>
          <w:rPr>
            <w:color w:val="000000"/>
          </w:rPr>
          <w:t xml:space="preserve">persuasio</w:t>
        </w:r>
      </w:hyperlink>
      <w:r>
        <w:rPr>
          <w:b w:val="0"/>
          <w:i w:val="0"/>
        </w:rPr>
        <w:t xml:space="preserve">; </w:t>
      </w:r>
      <w:hyperlink w:anchor="latin-record-0982">
        <w:r>
          <w:rPr>
            <w:color w:val="000000"/>
          </w:rPr>
          <w:t xml:space="preserve">praestans; excellens; nobilis</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094">
        <w:r>
          <w:rPr>
            <w:color w:val="000000"/>
          </w:rPr>
          <w:t xml:space="preserve">regere; ducere; gubernare</w:t>
        </w:r>
      </w:hyperlink>
      <w:r>
        <w:rPr>
          <w:b w:val="0"/>
          <w:i w:val="0"/>
        </w:rPr>
        <w:t xml:space="preserve">; </w:t>
      </w:r>
      <w:hyperlink w:anchor="latin-record-1297">
        <w:r>
          <w:rPr>
            <w:color w:val="000000"/>
          </w:rPr>
          <w:t xml:space="preserve">totus</w:t>
        </w:r>
      </w:hyperlink>
      <w:r>
        <w:rPr>
          <w:b w:val="0"/>
          <w:i w:val="0"/>
        </w:rPr>
        <w:t xml:space="preserve">; </w:t>
      </w:r>
      <w:hyperlink w:anchor="latin-record-1327">
        <w:r>
          <w:rPr>
            <w:color w:val="000000"/>
          </w:rPr>
          <w:t xml:space="preserve">utrum; an; numquid; num</w:t>
        </w:r>
      </w:hyperlink>
      <w:r>
        <w:rPr>
          <w:b w:val="0"/>
          <w:i w:val="0"/>
        </w:rPr>
        <w:t xml:space="preserve">; </w:t>
      </w:r>
      <w:hyperlink w:anchor="latin-record-1377">
        <w:r>
          <w:rPr>
            <w:color w:val="000000"/>
          </w:rPr>
          <w:t xml:space="preserve">vita; vivere</w:t>
        </w:r>
      </w:hyperlink>
      <w:r>
        <w:rPr>
          <w:b w:val="0"/>
          <w:i w:val="0"/>
        </w:rPr>
        <w:t>.</w:t>
      </w:r>
    </w:p>
    <w:p>
      <w:pPr>
        <w:widowControl/>
      </w:pPr>
      <w:bookmarkStart w:id="1831" w:name="passage-vi-6-5"/>
      <w:bookmarkEnd w:id="1831"/>
      <w:r>
        <w:rPr>
          <w:b/>
          <w:i w:val="0"/>
        </w:rPr>
        <w:t>VI.6.5</w:t>
      </w:r>
      <w:r>
        <w:rPr>
          <w:b/>
          <w:i w:val="0"/>
        </w:rPr>
        <w:t>, source pp. 180–181.</w:t>
      </w:r>
      <w:r>
        <w:rPr>
          <w:b w:val="0"/>
          <w:i w:val="0"/>
        </w:rPr>
        <w:t xml:space="preserve"> Articles: </w:t>
      </w:r>
      <w:hyperlink w:anchor="essential-presence-and-containment">
        <w:r>
          <w:rPr>
            <w:color w:val="000000"/>
          </w:rPr>
          <w:t xml:space="preserve">Essential presence and containment</w:t>
        </w:r>
      </w:hyperlink>
      <w:r>
        <w:rPr>
          <w:b w:val="0"/>
          <w:i w:val="0"/>
        </w:rPr>
        <w:t xml:space="preserve">; </w:t>
      </w:r>
      <w:hyperlink w:anchor="point-dimension-and-substantial-unity">
        <w:r>
          <w:rPr>
            <w:color w:val="000000"/>
          </w:rPr>
          <w:t xml:space="preserve">Point, dimension and substantial unity</w:t>
        </w:r>
      </w:hyperlink>
      <w:r>
        <w:rPr>
          <w:b w:val="0"/>
          <w:i w:val="0"/>
        </w:rPr>
        <w:t xml:space="preserve">. Vocabulary: </w:t>
      </w:r>
      <w:hyperlink w:anchor="latin-record-0743">
        <w:r>
          <w:rPr>
            <w:color w:val="000000"/>
          </w:rPr>
          <w:t xml:space="preserve">magis indivisibilis</w:t>
        </w:r>
      </w:hyperlink>
      <w:r>
        <w:rPr>
          <w:b w:val="0"/>
          <w:i w:val="0"/>
        </w:rPr>
        <w:t xml:space="preserve">; </w:t>
      </w:r>
      <w:hyperlink w:anchor="latin-record-0982">
        <w:r>
          <w:rPr>
            <w:color w:val="000000"/>
          </w:rPr>
          <w:t xml:space="preserve">praestans; excellens; nobilis</w:t>
        </w:r>
      </w:hyperlink>
      <w:r>
        <w:rPr>
          <w:b w:val="0"/>
          <w:i w:val="0"/>
        </w:rPr>
        <w:t>.</w:t>
      </w:r>
    </w:p>
    <w:p>
      <w:pPr>
        <w:pStyle w:val="Heading2"/>
      </w:pPr>
      <w:bookmarkStart w:id="1832" w:name="chapter-vi.7"/>
      <w:r>
        <w:rPr>
          <w:b w:val="0"/>
          <w:i w:val="0"/>
        </w:rPr>
        <w:t>Chapter VI.7</w:t>
      </w:r>
      <w:bookmarkEnd w:id="1832"/>
    </w:p>
    <w:p>
      <w:pPr>
        <w:widowControl/>
      </w:pPr>
      <w:bookmarkStart w:id="1833" w:name="passage-vi-7-1"/>
      <w:bookmarkEnd w:id="1833"/>
      <w:r>
        <w:rPr>
          <w:b/>
          <w:i w:val="0"/>
        </w:rPr>
        <w:t>VI.7.1</w:t>
      </w:r>
      <w:r>
        <w:rPr>
          <w:b/>
          <w:i w:val="0"/>
        </w:rPr>
        <w:t>, source pp. 182–183.</w:t>
      </w:r>
      <w:r>
        <w:rPr>
          <w:b w:val="0"/>
          <w:i w:val="0"/>
        </w:rPr>
        <w:t xml:space="preserve"> Articles: </w:t>
      </w:r>
      <w:hyperlink w:anchor="substantial-form-and-receiving-subject">
        <w:r>
          <w:rPr>
            <w:color w:val="000000"/>
          </w:rPr>
          <w:t xml:space="preserve">Substantial form and the receiving subject</w:t>
        </w:r>
      </w:hyperlink>
      <w:r>
        <w:rPr>
          <w:b w:val="0"/>
          <w:i w:val="0"/>
        </w:rPr>
        <w:t xml:space="preserve">. Vocabulary: </w:t>
      </w:r>
      <w:hyperlink w:anchor="latin-record-0262">
        <w:r>
          <w:rPr>
            <w:color w:val="000000"/>
          </w:rPr>
          <w:t xml:space="preserve">componere; constituere</w:t>
        </w:r>
      </w:hyperlink>
      <w:r>
        <w:rPr>
          <w:b w:val="0"/>
          <w:i w:val="0"/>
        </w:rPr>
        <w:t xml:space="preserve">; </w:t>
      </w:r>
      <w:hyperlink w:anchor="latin-record-0444">
        <w:r>
          <w:rPr>
            <w:color w:val="000000"/>
          </w:rPr>
          <w:t xml:space="preserve">esse; habere; fieri</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757">
        <w:r>
          <w:rPr>
            <w:color w:val="000000"/>
          </w:rPr>
          <w:t xml:space="preserve">materia</w:t>
        </w:r>
      </w:hyperlink>
      <w:r>
        <w:rPr>
          <w:b w:val="0"/>
          <w:i w:val="0"/>
        </w:rPr>
        <w:t xml:space="preserve">; </w:t>
      </w:r>
      <w:hyperlink w:anchor="latin-record-0761">
        <w:r>
          <w:rPr>
            <w:color w:val="000000"/>
          </w:rPr>
          <w:t xml:space="preserve">materia et forma</w:t>
        </w:r>
      </w:hyperlink>
      <w:r>
        <w:rPr>
          <w:b w:val="0"/>
          <w:i w:val="0"/>
        </w:rPr>
        <w:t xml:space="preserve">; </w:t>
      </w:r>
      <w:hyperlink w:anchor="latin-record-0827">
        <w:r>
          <w:rPr>
            <w:color w:val="000000"/>
          </w:rPr>
          <w:t xml:space="preserve">natura; naturalis</w:t>
        </w:r>
      </w:hyperlink>
      <w:r>
        <w:rPr>
          <w:b w:val="0"/>
          <w:i w:val="0"/>
        </w:rPr>
        <w:t xml:space="preserve">; </w:t>
      </w:r>
      <w:hyperlink w:anchor="latin-record-0863">
        <w:r>
          <w:rPr>
            <w:color w:val="000000"/>
          </w:rPr>
          <w:t xml:space="preserve">operatio; actus</w:t>
        </w:r>
      </w:hyperlink>
      <w:r>
        <w:rPr>
          <w:b w:val="0"/>
          <w:i w:val="0"/>
        </w:rPr>
        <w:t xml:space="preserve">; </w:t>
      </w:r>
      <w:hyperlink w:anchor="latin-record-0968">
        <w:r>
          <w:rPr>
            <w:color w:val="000000"/>
          </w:rPr>
          <w:t xml:space="preserve">potentia</w:t>
        </w:r>
      </w:hyperlink>
      <w:r>
        <w:rPr>
          <w:b w:val="0"/>
          <w:i w:val="0"/>
        </w:rPr>
        <w:t xml:space="preserve">; </w:t>
      </w:r>
      <w:hyperlink w:anchor="latin-record-0971">
        <w:r>
          <w:rPr>
            <w:color w:val="000000"/>
          </w:rPr>
          <w:t xml:space="preserve">potentia; actus</w:t>
        </w:r>
      </w:hyperlink>
      <w:r>
        <w:rPr>
          <w:b w:val="0"/>
          <w:i w:val="0"/>
        </w:rPr>
        <w:t xml:space="preserve">; </w:t>
      </w:r>
      <w:hyperlink w:anchor="latin-record-1019">
        <w:r>
          <w:rPr>
            <w:color w:val="000000"/>
          </w:rPr>
          <w:t xml:space="preserve">proprius; communis</w:t>
        </w:r>
      </w:hyperlink>
      <w:r>
        <w:rPr>
          <w:b w:val="0"/>
          <w:i w:val="0"/>
        </w:rPr>
        <w:t xml:space="preserve">; </w:t>
      </w:r>
      <w:hyperlink w:anchor="latin-record-1241">
        <w:r>
          <w:rPr>
            <w:color w:val="000000"/>
          </w:rPr>
          <w:t xml:space="preserve">subiectum; locus</w:t>
        </w:r>
      </w:hyperlink>
      <w:r>
        <w:rPr>
          <w:b w:val="0"/>
          <w:i w:val="0"/>
        </w:rPr>
        <w:t>.</w:t>
      </w:r>
    </w:p>
    <w:p>
      <w:pPr>
        <w:widowControl/>
      </w:pPr>
      <w:bookmarkStart w:id="1834" w:name="passage-vi-7-2"/>
      <w:bookmarkEnd w:id="1834"/>
      <w:r>
        <w:rPr>
          <w:b/>
          <w:i w:val="0"/>
        </w:rPr>
        <w:t>VI.7.2</w:t>
      </w:r>
      <w:r>
        <w:rPr>
          <w:b/>
          <w:i w:val="0"/>
        </w:rPr>
        <w:t>, source pp. 182–183.</w:t>
      </w:r>
      <w:r>
        <w:rPr>
          <w:b w:val="0"/>
          <w:i w:val="0"/>
        </w:rPr>
        <w:t xml:space="preserve"> Articles: </w:t>
      </w:r>
      <w:hyperlink w:anchor="substantial-form-and-receiving-subject">
        <w:r>
          <w:rPr>
            <w:color w:val="000000"/>
          </w:rPr>
          <w:t xml:space="preserve">Substantial form and the receiving subject</w:t>
        </w:r>
      </w:hyperlink>
      <w:r>
        <w:rPr>
          <w:b w:val="0"/>
          <w:i w:val="0"/>
        </w:rPr>
        <w:t xml:space="preserve">. Vocabulary: </w:t>
      </w:r>
      <w:hyperlink w:anchor="latin-record-0250">
        <w:r>
          <w:rPr>
            <w:color w:val="000000"/>
          </w:rPr>
          <w:t xml:space="preserve">commutatio; transmutatio</w:t>
        </w:r>
      </w:hyperlink>
      <w:r>
        <w:rPr>
          <w:b w:val="0"/>
          <w:i w:val="0"/>
        </w:rPr>
        <w:t xml:space="preserve">; </w:t>
      </w:r>
      <w:hyperlink w:anchor="latin-record-0444">
        <w:r>
          <w:rPr>
            <w:color w:val="000000"/>
          </w:rPr>
          <w:t xml:space="preserve">esse; habere; fieri</w:t>
        </w:r>
      </w:hyperlink>
      <w:r>
        <w:rPr>
          <w:b w:val="0"/>
          <w:i w:val="0"/>
        </w:rPr>
        <w:t xml:space="preserve">; </w:t>
      </w:r>
      <w:hyperlink w:anchor="latin-record-0757">
        <w:r>
          <w:rPr>
            <w:color w:val="000000"/>
          </w:rPr>
          <w:t xml:space="preserve">materia</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1146">
        <w:r>
          <w:rPr>
            <w:color w:val="000000"/>
          </w:rPr>
          <w:t xml:space="preserve">secundum totam essentiam</w:t>
        </w:r>
      </w:hyperlink>
      <w:r>
        <w:rPr>
          <w:b w:val="0"/>
          <w:i w:val="0"/>
        </w:rPr>
        <w:t xml:space="preserve">; </w:t>
      </w:r>
      <w:hyperlink w:anchor="latin-record-1184">
        <w:r>
          <w:rPr>
            <w:color w:val="000000"/>
          </w:rPr>
          <w:t xml:space="preserve">simul; vicissim; invicem</w:t>
        </w:r>
      </w:hyperlink>
      <w:r>
        <w:rPr>
          <w:b w:val="0"/>
          <w:i w:val="0"/>
        </w:rPr>
        <w:t>.</w:t>
      </w:r>
    </w:p>
    <w:p>
      <w:pPr>
        <w:widowControl/>
      </w:pPr>
      <w:bookmarkStart w:id="1835" w:name="passage-vi-7-3"/>
      <w:bookmarkEnd w:id="1835"/>
      <w:r>
        <w:rPr>
          <w:b/>
          <w:i w:val="0"/>
        </w:rPr>
        <w:t>VI.7.3</w:t>
      </w:r>
      <w:r>
        <w:rPr>
          <w:b/>
          <w:i w:val="0"/>
        </w:rPr>
        <w:t>, source pp. 184–185.</w:t>
      </w:r>
      <w:r>
        <w:rPr>
          <w:b w:val="0"/>
          <w:i w:val="0"/>
        </w:rPr>
        <w:t xml:space="preserve"> Articles: </w:t>
      </w:r>
      <w:hyperlink w:anchor="substantial-form-and-receiving-subject">
        <w:r>
          <w:rPr>
            <w:color w:val="000000"/>
          </w:rPr>
          <w:t xml:space="preserve">Substantial form and the receiving subject</w:t>
        </w:r>
      </w:hyperlink>
      <w:r>
        <w:rPr>
          <w:b w:val="0"/>
          <w:i w:val="0"/>
        </w:rPr>
        <w:t xml:space="preserve">. Vocabulary: </w:t>
      </w:r>
      <w:hyperlink w:anchor="latin-record-0250">
        <w:r>
          <w:rPr>
            <w:color w:val="000000"/>
          </w:rPr>
          <w:t xml:space="preserve">commutatio; transmutatio</w:t>
        </w:r>
      </w:hyperlink>
      <w:r>
        <w:rPr>
          <w:b w:val="0"/>
          <w:i w:val="0"/>
        </w:rPr>
        <w:t xml:space="preserve">; </w:t>
      </w:r>
      <w:hyperlink w:anchor="latin-record-0318">
        <w:r>
          <w:rPr>
            <w:color w:val="000000"/>
          </w:rPr>
          <w:t xml:space="preserve">continere; sistere; torquere</w:t>
        </w:r>
      </w:hyperlink>
      <w:r>
        <w:rPr>
          <w:b w:val="0"/>
          <w:i w:val="0"/>
        </w:rPr>
        <w:t xml:space="preserve">; </w:t>
      </w:r>
      <w:hyperlink w:anchor="latin-record-0326">
        <w:r>
          <w:rPr>
            <w:color w:val="000000"/>
          </w:rPr>
          <w:t xml:space="preserve">contrarius; oppositus; repugnans</w:t>
        </w:r>
      </w:hyperlink>
      <w:r>
        <w:rPr>
          <w:b w:val="0"/>
          <w:i w:val="0"/>
        </w:rPr>
        <w:t xml:space="preserve">; </w:t>
      </w:r>
      <w:hyperlink w:anchor="latin-record-0444">
        <w:r>
          <w:rPr>
            <w:color w:val="000000"/>
          </w:rPr>
          <w:t xml:space="preserve">esse; habere; fieri</w:t>
        </w:r>
      </w:hyperlink>
      <w:r>
        <w:rPr>
          <w:b w:val="0"/>
          <w:i w:val="0"/>
        </w:rPr>
        <w:t xml:space="preserve">; </w:t>
      </w:r>
      <w:hyperlink w:anchor="latin-record-0503">
        <w:r>
          <w:rPr>
            <w:color w:val="000000"/>
          </w:rPr>
          <w:t xml:space="preserve">forma</w:t>
        </w:r>
      </w:hyperlink>
      <w:r>
        <w:rPr>
          <w:b w:val="0"/>
          <w:i w:val="0"/>
        </w:rPr>
        <w:t xml:space="preserve">; </w:t>
      </w:r>
      <w:hyperlink w:anchor="latin-record-0507">
        <w:r>
          <w:rPr>
            <w:color w:val="000000"/>
          </w:rPr>
          <w:t xml:space="preserve">forma substantialis; accidentalis</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0870">
        <w:r>
          <w:rPr>
            <w:color w:val="000000"/>
          </w:rPr>
          <w:t xml:space="preserve">opposita suscipere</w:t>
        </w:r>
      </w:hyperlink>
      <w:r>
        <w:rPr>
          <w:b w:val="0"/>
          <w:i w:val="0"/>
        </w:rPr>
        <w:t xml:space="preserve">; </w:t>
      </w:r>
      <w:hyperlink w:anchor="latin-record-0982">
        <w:r>
          <w:rPr>
            <w:color w:val="000000"/>
          </w:rPr>
          <w:t xml:space="preserve">praestans; excellens; nobilis</w:t>
        </w:r>
      </w:hyperlink>
      <w:r>
        <w:rPr>
          <w:b w:val="0"/>
          <w:i w:val="0"/>
        </w:rPr>
        <w:t xml:space="preserve">; </w:t>
      </w:r>
      <w:hyperlink w:anchor="latin-record-1078">
        <w:r>
          <w:rPr>
            <w:color w:val="000000"/>
          </w:rPr>
          <w:t xml:space="preserve">recipere; accipere</w:t>
        </w:r>
      </w:hyperlink>
      <w:r>
        <w:rPr>
          <w:b w:val="0"/>
          <w:i w:val="0"/>
        </w:rPr>
        <w:t xml:space="preserve">; </w:t>
      </w:r>
      <w:hyperlink w:anchor="latin-record-1080">
        <w:r>
          <w:rPr>
            <w:color w:val="000000"/>
          </w:rPr>
          <w:t xml:space="preserve">rectrix; motrix; pedisequa</w:t>
        </w:r>
      </w:hyperlink>
      <w:r>
        <w:rPr>
          <w:b w:val="0"/>
          <w:i w:val="0"/>
        </w:rPr>
        <w:t xml:space="preserve">; </w:t>
      </w:r>
      <w:hyperlink w:anchor="latin-record-1247">
        <w:r>
          <w:rPr>
            <w:color w:val="000000"/>
          </w:rPr>
          <w:t xml:space="preserve">substantia; essentia</w:t>
        </w:r>
      </w:hyperlink>
      <w:r>
        <w:rPr>
          <w:b w:val="0"/>
          <w:i w:val="0"/>
        </w:rPr>
        <w:t>.</w:t>
      </w:r>
    </w:p>
    <w:p>
      <w:pPr>
        <w:widowControl/>
      </w:pPr>
      <w:bookmarkStart w:id="1836" w:name="passage-vi-7-4"/>
      <w:bookmarkEnd w:id="1836"/>
      <w:r>
        <w:rPr>
          <w:b/>
          <w:i w:val="0"/>
        </w:rPr>
        <w:t>VI.7.4</w:t>
      </w:r>
      <w:r>
        <w:rPr>
          <w:b/>
          <w:i w:val="0"/>
        </w:rPr>
        <w:t>, source pp. 184–185.</w:t>
      </w:r>
      <w:r>
        <w:rPr>
          <w:b w:val="0"/>
          <w:i w:val="0"/>
        </w:rPr>
        <w:t xml:space="preserve"> Articles: </w:t>
      </w:r>
      <w:hyperlink w:anchor="substantial-form-and-receiving-subject">
        <w:r>
          <w:rPr>
            <w:color w:val="000000"/>
          </w:rPr>
          <w:t xml:space="preserve">Substantial form and the receiving subject</w:t>
        </w:r>
      </w:hyperlink>
      <w:r>
        <w:rPr>
          <w:b w:val="0"/>
          <w:i w:val="0"/>
        </w:rPr>
        <w:t xml:space="preserve">. Vocabulary: </w:t>
      </w:r>
      <w:hyperlink w:anchor="latin-record-0512">
        <w:r>
          <w:rPr>
            <w:color w:val="000000"/>
          </w:rPr>
          <w:t xml:space="preserve">formari</w:t>
        </w:r>
      </w:hyperlink>
      <w:r>
        <w:rPr>
          <w:b w:val="0"/>
          <w:i w:val="0"/>
        </w:rPr>
        <w:t xml:space="preserve">; </w:t>
      </w:r>
      <w:hyperlink w:anchor="latin-record-1111">
        <w:r>
          <w:rPr>
            <w:color w:val="000000"/>
          </w:rPr>
          <w:t xml:space="preserve">repugnare; reflecti; definire</w:t>
        </w:r>
      </w:hyperlink>
      <w:r>
        <w:rPr>
          <w:b w:val="0"/>
          <w:i w:val="0"/>
        </w:rPr>
        <w:t>.</w:t>
      </w:r>
    </w:p>
    <w:p>
      <w:pPr>
        <w:pStyle w:val="Heading2"/>
      </w:pPr>
      <w:bookmarkStart w:id="1837" w:name="chapter-vi.8"/>
      <w:r>
        <w:rPr>
          <w:b w:val="0"/>
          <w:i w:val="0"/>
        </w:rPr>
        <w:t>Chapter VI.8</w:t>
      </w:r>
      <w:bookmarkEnd w:id="1837"/>
    </w:p>
    <w:p>
      <w:pPr>
        <w:widowControl/>
      </w:pPr>
      <w:bookmarkStart w:id="1838" w:name="passage-vi-8-1"/>
      <w:bookmarkEnd w:id="1838"/>
      <w:r>
        <w:rPr>
          <w:b/>
          <w:i w:val="0"/>
        </w:rPr>
        <w:t>VI.8.1</w:t>
      </w:r>
      <w:r>
        <w:rPr>
          <w:b/>
          <w:i w:val="0"/>
        </w:rPr>
        <w:t>, source pp. 186–187.</w:t>
      </w:r>
      <w:r>
        <w:rPr>
          <w:b w:val="0"/>
          <w:i w:val="0"/>
        </w:rPr>
        <w:t xml:space="preserve"> Articles: </w:t>
      </w:r>
      <w:hyperlink w:anchor="unity-dispersion-and-inward-bond">
        <w:r>
          <w:rPr>
            <w:color w:val="000000"/>
          </w:rPr>
          <w:t xml:space="preserve">Unity, dispersion and the inward bond</w:t>
        </w:r>
      </w:hyperlink>
      <w:r>
        <w:rPr>
          <w:b w:val="0"/>
          <w:i w:val="0"/>
        </w:rPr>
        <w:t xml:space="preserve">. Vocabulary: </w:t>
      </w:r>
      <w:hyperlink w:anchor="latin-record-0397">
        <w:r>
          <w:rPr>
            <w:color w:val="000000"/>
          </w:rPr>
          <w:t xml:space="preserve">dispersus; distantia</w:t>
        </w:r>
      </w:hyperlink>
      <w:r>
        <w:rPr>
          <w:b w:val="0"/>
          <w:i w:val="0"/>
        </w:rPr>
        <w:t xml:space="preserve">; </w:t>
      </w:r>
      <w:hyperlink w:anchor="latin-record-1252">
        <w:r>
          <w:rPr>
            <w:color w:val="000000"/>
          </w:rPr>
          <w:t xml:space="preserve">succedere; momenta</w:t>
        </w:r>
      </w:hyperlink>
      <w:r>
        <w:rPr>
          <w:b w:val="0"/>
          <w:i w:val="0"/>
        </w:rPr>
        <w:t>.</w:t>
      </w:r>
    </w:p>
    <w:p>
      <w:pPr>
        <w:widowControl/>
      </w:pPr>
      <w:bookmarkStart w:id="1839" w:name="passage-vi-8-2"/>
      <w:bookmarkEnd w:id="1839"/>
      <w:r>
        <w:rPr>
          <w:b/>
          <w:i w:val="0"/>
        </w:rPr>
        <w:t>VI.8.2</w:t>
      </w:r>
      <w:r>
        <w:rPr>
          <w:b/>
          <w:i w:val="0"/>
        </w:rPr>
        <w:t>, source pp. 186–187.</w:t>
      </w:r>
      <w:r>
        <w:rPr>
          <w:b w:val="0"/>
          <w:i w:val="0"/>
        </w:rPr>
        <w:t xml:space="preserve"> Articles: </w:t>
      </w:r>
      <w:hyperlink w:anchor="unity-dispersion-and-inward-bond">
        <w:r>
          <w:rPr>
            <w:color w:val="000000"/>
          </w:rPr>
          <w:t xml:space="preserve">Unity, dispersion and the inward bond</w:t>
        </w:r>
      </w:hyperlink>
      <w:r>
        <w:rPr>
          <w:b w:val="0"/>
          <w:i w:val="0"/>
        </w:rPr>
        <w:t xml:space="preserve">. Vocabulary: </w:t>
      </w:r>
      <w:hyperlink w:anchor="latin-record-0173">
        <w:r>
          <w:rPr>
            <w:color w:val="000000"/>
          </w:rPr>
          <w:t xml:space="preserve">caelum; terra; mundus</w:t>
        </w:r>
      </w:hyperlink>
      <w:r>
        <w:rPr>
          <w:b w:val="0"/>
          <w:i w:val="0"/>
        </w:rPr>
        <w:t xml:space="preserve">; </w:t>
      </w:r>
      <w:hyperlink w:anchor="latin-record-0466">
        <w:r>
          <w:rPr>
            <w:color w:val="000000"/>
          </w:rPr>
          <w:t xml:space="preserve">extensio; contrarietas</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1061">
        <w:r>
          <w:rPr>
            <w:color w:val="000000"/>
          </w:rPr>
          <w:t xml:space="preserve">raptus caelorum</w:t>
        </w:r>
      </w:hyperlink>
      <w:r>
        <w:rPr>
          <w:b w:val="0"/>
          <w:i w:val="0"/>
        </w:rPr>
        <w:t xml:space="preserve">; </w:t>
      </w:r>
      <w:hyperlink w:anchor="latin-record-1175">
        <w:r>
          <w:rPr>
            <w:color w:val="000000"/>
          </w:rPr>
          <w:t xml:space="preserve">similis; idem</w:t>
        </w:r>
      </w:hyperlink>
      <w:r>
        <w:rPr>
          <w:b w:val="0"/>
          <w:i w:val="0"/>
        </w:rPr>
        <w:t>.</w:t>
      </w:r>
    </w:p>
    <w:p>
      <w:pPr>
        <w:widowControl/>
      </w:pPr>
      <w:bookmarkStart w:id="1840" w:name="passage-vi-8-3"/>
      <w:bookmarkEnd w:id="1840"/>
      <w:r>
        <w:rPr>
          <w:b/>
          <w:i w:val="0"/>
        </w:rPr>
        <w:t>VI.8.3</w:t>
      </w:r>
      <w:r>
        <w:rPr>
          <w:b/>
          <w:i w:val="0"/>
        </w:rPr>
        <w:t>, source pp. 186–187.</w:t>
      </w:r>
      <w:r>
        <w:rPr>
          <w:b w:val="0"/>
          <w:i w:val="0"/>
        </w:rPr>
        <w:t xml:space="preserve"> Articles: </w:t>
      </w:r>
      <w:hyperlink w:anchor="unity-dispersion-and-inward-bond">
        <w:r>
          <w:rPr>
            <w:color w:val="000000"/>
          </w:rPr>
          <w:t xml:space="preserve">Unity, dispersion and the inward bond</w:t>
        </w:r>
      </w:hyperlink>
      <w:r>
        <w:rPr>
          <w:b w:val="0"/>
          <w:i w:val="0"/>
        </w:rPr>
        <w:t xml:space="preserve">. Vocabulary: </w:t>
      </w:r>
      <w:hyperlink w:anchor="latin-record-0082">
        <w:r>
          <w:rPr>
            <w:color w:val="000000"/>
          </w:rPr>
          <w:t xml:space="preserve">amittere; quaerere; fugere</w:t>
        </w:r>
      </w:hyperlink>
      <w:r>
        <w:rPr>
          <w:b w:val="0"/>
          <w:i w:val="0"/>
        </w:rPr>
        <w:t xml:space="preserve">; </w:t>
      </w:r>
      <w:hyperlink w:anchor="latin-record-0225">
        <w:r>
          <w:rPr>
            <w:color w:val="000000"/>
          </w:rPr>
          <w:t xml:space="preserve">cogere; compellere</w:t>
        </w:r>
      </w:hyperlink>
      <w:r>
        <w:rPr>
          <w:b w:val="0"/>
          <w:i w:val="0"/>
        </w:rPr>
        <w:t xml:space="preserve">; </w:t>
      </w:r>
      <w:hyperlink w:anchor="latin-record-0279">
        <w:r>
          <w:rPr>
            <w:color w:val="000000"/>
          </w:rPr>
          <w:t xml:space="preserve">concludere; respondere; quaerere</w:t>
        </w:r>
      </w:hyperlink>
      <w:r>
        <w:rPr>
          <w:b w:val="0"/>
          <w:i w:val="0"/>
        </w:rPr>
        <w:t xml:space="preserve">; </w:t>
      </w:r>
      <w:hyperlink w:anchor="latin-record-0466">
        <w:r>
          <w:rPr>
            <w:color w:val="000000"/>
          </w:rPr>
          <w:t xml:space="preserve">extensio; contrarietas</w:t>
        </w:r>
      </w:hyperlink>
      <w:r>
        <w:rPr>
          <w:b w:val="0"/>
          <w:i w:val="0"/>
        </w:rPr>
        <w:t xml:space="preserve">; </w:t>
      </w:r>
      <w:hyperlink w:anchor="latin-record-1046">
        <w:r>
          <w:rPr>
            <w:color w:val="000000"/>
          </w:rPr>
          <w:t xml:space="preserve">quantitas; qualitas</w:t>
        </w:r>
      </w:hyperlink>
      <w:r>
        <w:rPr>
          <w:b w:val="0"/>
          <w:i w:val="0"/>
        </w:rPr>
        <w:t>.</w:t>
      </w:r>
    </w:p>
    <w:p>
      <w:pPr>
        <w:widowControl/>
      </w:pPr>
      <w:bookmarkStart w:id="1841" w:name="passage-vi-8-4"/>
      <w:bookmarkEnd w:id="1841"/>
      <w:r>
        <w:rPr>
          <w:b/>
          <w:i w:val="0"/>
        </w:rPr>
        <w:t>VI.8.4</w:t>
      </w:r>
      <w:r>
        <w:rPr>
          <w:b/>
          <w:i w:val="0"/>
        </w:rPr>
        <w:t>, source pp. 186–187.</w:t>
      </w:r>
      <w:r>
        <w:rPr>
          <w:b w:val="0"/>
          <w:i w:val="0"/>
        </w:rPr>
        <w:t xml:space="preserve"> Articles: </w:t>
      </w:r>
      <w:hyperlink w:anchor="unity-dispersion-and-inward-bond">
        <w:r>
          <w:rPr>
            <w:color w:val="000000"/>
          </w:rPr>
          <w:t xml:space="preserve">Unity, dispersion and the inward bond</w:t>
        </w:r>
      </w:hyperlink>
      <w:r>
        <w:rPr>
          <w:b w:val="0"/>
          <w:i w:val="0"/>
        </w:rPr>
        <w:t xml:space="preserve">. Vocabulary: </w:t>
      </w:r>
      <w:hyperlink w:anchor="latin-record-0835">
        <w:r>
          <w:rPr>
            <w:color w:val="000000"/>
          </w:rPr>
          <w:t xml:space="preserve">nectere; conspirare</w:t>
        </w:r>
      </w:hyperlink>
      <w:r>
        <w:rPr>
          <w:b w:val="0"/>
          <w:i w:val="0"/>
        </w:rPr>
        <w:t xml:space="preserve">; </w:t>
      </w:r>
      <w:hyperlink w:anchor="latin-record-1170">
        <w:r>
          <w:rPr>
            <w:color w:val="000000"/>
          </w:rPr>
          <w:t xml:space="preserve">si; sin; nisi; licet</w:t>
        </w:r>
      </w:hyperlink>
      <w:r>
        <w:rPr>
          <w:b w:val="0"/>
          <w:i w:val="0"/>
        </w:rPr>
        <w:t xml:space="preserve">; </w:t>
      </w:r>
      <w:hyperlink w:anchor="latin-record-1297">
        <w:r>
          <w:rPr>
            <w:color w:val="000000"/>
          </w:rPr>
          <w:t xml:space="preserve">totus</w:t>
        </w:r>
      </w:hyperlink>
      <w:r>
        <w:rPr>
          <w:b w:val="0"/>
          <w:i w:val="0"/>
        </w:rPr>
        <w:t xml:space="preserve">; </w:t>
      </w:r>
      <w:hyperlink w:anchor="latin-record-1318">
        <w:r>
          <w:rPr>
            <w:color w:val="000000"/>
          </w:rPr>
          <w:t xml:space="preserve">unire; sistere; continere</w:t>
        </w:r>
      </w:hyperlink>
      <w:r>
        <w:rPr>
          <w:b w:val="0"/>
          <w:i w:val="0"/>
        </w:rPr>
        <w:t>.</w:t>
      </w:r>
    </w:p>
    <w:p>
      <w:pPr>
        <w:widowControl/>
      </w:pPr>
      <w:bookmarkStart w:id="1842" w:name="passage-vi-8-5"/>
      <w:bookmarkEnd w:id="1842"/>
      <w:r>
        <w:rPr>
          <w:b/>
          <w:i w:val="0"/>
        </w:rPr>
        <w:t>VI.8.5</w:t>
      </w:r>
      <w:r>
        <w:rPr>
          <w:b/>
          <w:i w:val="0"/>
        </w:rPr>
        <w:t>, source pp. 188–189.</w:t>
      </w:r>
      <w:r>
        <w:rPr>
          <w:b w:val="0"/>
          <w:i w:val="0"/>
        </w:rPr>
        <w:t xml:space="preserve"> Articles: </w:t>
      </w:r>
      <w:hyperlink w:anchor="unity-dispersion-and-inward-bond">
        <w:r>
          <w:rPr>
            <w:color w:val="000000"/>
          </w:rPr>
          <w:t xml:space="preserve">Unity, dispersion and the inward bond</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251">
        <w:r>
          <w:rPr>
            <w:color w:val="000000"/>
          </w:rPr>
          <w:t xml:space="preserve">compages; devincire</w:t>
        </w:r>
      </w:hyperlink>
      <w:r>
        <w:rPr>
          <w:b w:val="0"/>
          <w:i w:val="0"/>
        </w:rPr>
        <w:t xml:space="preserve">; </w:t>
      </w:r>
      <w:hyperlink w:anchor="latin-record-0309">
        <w:r>
          <w:rPr>
            <w:color w:val="000000"/>
          </w:rPr>
          <w:t xml:space="preserve">consonantia; dissonus</w:t>
        </w:r>
      </w:hyperlink>
      <w:r>
        <w:rPr>
          <w:b w:val="0"/>
          <w:i w:val="0"/>
        </w:rPr>
        <w:t xml:space="preserve">; </w:t>
      </w:r>
      <w:hyperlink w:anchor="latin-record-0331">
        <w:r>
          <w:rPr>
            <w:color w:val="000000"/>
          </w:rPr>
          <w:t xml:space="preserve">copula; copulatrix</w:t>
        </w:r>
      </w:hyperlink>
      <w:r>
        <w:rPr>
          <w:b w:val="0"/>
          <w:i w:val="0"/>
        </w:rPr>
        <w:t xml:space="preserve">; </w:t>
      </w:r>
      <w:hyperlink w:anchor="latin-record-0404">
        <w:r>
          <w:rPr>
            <w:color w:val="000000"/>
          </w:rPr>
          <w:t xml:space="preserve">dividere; divisio</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318">
        <w:r>
          <w:rPr>
            <w:color w:val="000000"/>
          </w:rPr>
          <w:t xml:space="preserve">unire; sistere; continere</w:t>
        </w:r>
      </w:hyperlink>
      <w:r>
        <w:rPr>
          <w:b w:val="0"/>
          <w:i w:val="0"/>
        </w:rPr>
        <w:t>.</w:t>
      </w:r>
    </w:p>
    <w:p>
      <w:pPr>
        <w:widowControl/>
      </w:pPr>
      <w:bookmarkStart w:id="1843" w:name="passage-vi-8-6"/>
      <w:bookmarkEnd w:id="1843"/>
      <w:r>
        <w:rPr>
          <w:b/>
          <w:i w:val="0"/>
        </w:rPr>
        <w:t>VI.8.6</w:t>
      </w:r>
      <w:r>
        <w:rPr>
          <w:b/>
          <w:i w:val="0"/>
        </w:rPr>
        <w:t>, source pp. 188–189.</w:t>
      </w:r>
      <w:r>
        <w:rPr>
          <w:b w:val="0"/>
          <w:i w:val="0"/>
        </w:rPr>
        <w:t xml:space="preserve"> Articles: </w:t>
      </w:r>
      <w:hyperlink w:anchor="unity-dispersion-and-inward-bond">
        <w:r>
          <w:rPr>
            <w:color w:val="000000"/>
          </w:rPr>
          <w:t xml:space="preserve">Unity, dispersion and the inward bond</w:t>
        </w:r>
      </w:hyperlink>
      <w:r>
        <w:rPr>
          <w:b w:val="0"/>
          <w:i w:val="0"/>
        </w:rPr>
        <w:t xml:space="preserve">. Vocabulary: </w:t>
      </w:r>
      <w:hyperlink w:anchor="latin-record-0953">
        <w:r>
          <w:rPr>
            <w:color w:val="000000"/>
          </w:rPr>
          <w:t xml:space="preserve">Platonici; Peripatetici</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180">
        <w:r>
          <w:rPr>
            <w:color w:val="000000"/>
          </w:rPr>
          <w:t xml:space="preserve">simplicitas; constantia</w:t>
        </w:r>
      </w:hyperlink>
      <w:r>
        <w:rPr>
          <w:b w:val="0"/>
          <w:i w:val="0"/>
        </w:rPr>
        <w:t>.</w:t>
      </w:r>
    </w:p>
    <w:p>
      <w:pPr>
        <w:widowControl/>
      </w:pPr>
      <w:bookmarkStart w:id="1844" w:name="passage-vi-8-7"/>
      <w:bookmarkEnd w:id="1844"/>
      <w:r>
        <w:rPr>
          <w:b/>
          <w:i w:val="0"/>
        </w:rPr>
        <w:t>VI.8.7</w:t>
      </w:r>
      <w:r>
        <w:rPr>
          <w:b/>
          <w:i w:val="0"/>
        </w:rPr>
        <w:t>, source pp. 188–189.</w:t>
      </w:r>
      <w:r>
        <w:rPr>
          <w:b w:val="0"/>
          <w:i w:val="0"/>
        </w:rPr>
        <w:t xml:space="preserve"> Articles: </w:t>
      </w:r>
      <w:hyperlink w:anchor="earth-wood-and-severed-stones">
        <w:r>
          <w:rPr>
            <w:color w:val="000000"/>
          </w:rPr>
          <w:t xml:space="preserve">Earth, wood and severed stones</w:t>
        </w:r>
      </w:hyperlink>
      <w:r>
        <w:rPr>
          <w:b w:val="0"/>
          <w:i w:val="0"/>
        </w:rPr>
        <w:t xml:space="preserve">. Vocabulary: </w:t>
      </w:r>
      <w:hyperlink w:anchor="latin-record-0002">
        <w:r>
          <w:rPr>
            <w:color w:val="000000"/>
          </w:rPr>
          <w:t xml:space="preserve">ab anima</w:t>
        </w:r>
      </w:hyperlink>
      <w:r>
        <w:rPr>
          <w:b w:val="0"/>
          <w:i w:val="0"/>
        </w:rPr>
        <w:t xml:space="preserve">; </w:t>
      </w:r>
      <w:hyperlink w:anchor="latin-record-0051">
        <w:r>
          <w:rPr>
            <w:color w:val="000000"/>
          </w:rPr>
          <w:t xml:space="preserve">affigere; avellere</w:t>
        </w:r>
      </w:hyperlink>
      <w:r>
        <w:rPr>
          <w:b w:val="0"/>
          <w:i w:val="0"/>
        </w:rPr>
        <w:t xml:space="preserve">; </w:t>
      </w:r>
      <w:hyperlink w:anchor="latin-record-0173">
        <w:r>
          <w:rPr>
            <w:color w:val="000000"/>
          </w:rPr>
          <w:t xml:space="preserve">caelum; terra; mundus</w:t>
        </w:r>
      </w:hyperlink>
      <w:r>
        <w:rPr>
          <w:b w:val="0"/>
          <w:i w:val="0"/>
        </w:rPr>
        <w:t xml:space="preserve">; </w:t>
      </w:r>
      <w:hyperlink w:anchor="latin-record-1135">
        <w:r>
          <w:rPr>
            <w:color w:val="000000"/>
          </w:rPr>
          <w:t xml:space="preserve">saxum; lignum</w:t>
        </w:r>
      </w:hyperlink>
      <w:r>
        <w:rPr>
          <w:b w:val="0"/>
          <w:i w:val="0"/>
        </w:rPr>
        <w:t xml:space="preserve">; </w:t>
      </w:r>
      <w:hyperlink w:anchor="latin-record-1316">
        <w:r>
          <w:rPr>
            <w:color w:val="000000"/>
          </w:rPr>
          <w:t xml:space="preserve">unio et augmentum</w:t>
        </w:r>
      </w:hyperlink>
      <w:r>
        <w:rPr>
          <w:b w:val="0"/>
          <w:i w:val="0"/>
        </w:rPr>
        <w:t>.</w:t>
      </w:r>
    </w:p>
    <w:p>
      <w:pPr>
        <w:pStyle w:val="Heading2"/>
      </w:pPr>
      <w:bookmarkStart w:id="1845" w:name="chapter-vi.9"/>
      <w:r>
        <w:rPr>
          <w:b w:val="0"/>
          <w:i w:val="0"/>
        </w:rPr>
        <w:t>Chapter VI.9</w:t>
      </w:r>
      <w:bookmarkEnd w:id="1845"/>
    </w:p>
    <w:p>
      <w:pPr>
        <w:widowControl/>
      </w:pPr>
      <w:bookmarkStart w:id="1846" w:name="passage-vi-9-1"/>
      <w:bookmarkEnd w:id="1846"/>
      <w:r>
        <w:rPr>
          <w:b/>
          <w:i w:val="0"/>
        </w:rPr>
        <w:t>VI.9.1</w:t>
      </w:r>
      <w:r>
        <w:rPr>
          <w:b/>
          <w:i w:val="0"/>
        </w:rPr>
        <w:t>, source pp. 190–191.</w:t>
      </w:r>
      <w:r>
        <w:rPr>
          <w:b w:val="0"/>
          <w:i w:val="0"/>
        </w:rPr>
        <w:t xml:space="preserve"> Articles: </w:t>
      </w:r>
      <w:hyperlink w:anchor="place-coincidence-and-painless-penetration">
        <w:r>
          <w:rPr>
            <w:color w:val="000000"/>
          </w:rPr>
          <w:t xml:space="preserve">Place, coincidence and painless penetration</w:t>
        </w:r>
      </w:hyperlink>
      <w:r>
        <w:rPr>
          <w:b w:val="0"/>
          <w:i w:val="0"/>
        </w:rPr>
        <w:t xml:space="preserve">. Vocabulary: </w:t>
      </w:r>
      <w:hyperlink w:anchor="latin-record-0042">
        <w:r>
          <w:rPr>
            <w:color w:val="000000"/>
          </w:rPr>
          <w:t xml:space="preserve">aequaliter; aeque; aequare</w:t>
        </w:r>
      </w:hyperlink>
      <w:r>
        <w:rPr>
          <w:b w:val="0"/>
          <w:i w:val="0"/>
        </w:rPr>
        <w:t xml:space="preserve">; </w:t>
      </w:r>
      <w:hyperlink w:anchor="latin-record-0043">
        <w:r>
          <w:rPr>
            <w:color w:val="000000"/>
          </w:rPr>
          <w:t xml:space="preserve">aequare in loco</w:t>
        </w:r>
      </w:hyperlink>
      <w:r>
        <w:rPr>
          <w:b w:val="0"/>
          <w:i w:val="0"/>
        </w:rPr>
        <w:t xml:space="preserve">; </w:t>
      </w:r>
      <w:hyperlink w:anchor="latin-record-0337">
        <w:r>
          <w:rPr>
            <w:color w:val="000000"/>
          </w:rPr>
          <w:t xml:space="preserve">corpus</w:t>
        </w:r>
      </w:hyperlink>
      <w:r>
        <w:rPr>
          <w:b w:val="0"/>
          <w:i w:val="0"/>
        </w:rPr>
        <w:t xml:space="preserve">; </w:t>
      </w:r>
      <w:hyperlink w:anchor="latin-record-0404">
        <w:r>
          <w:rPr>
            <w:color w:val="000000"/>
          </w:rPr>
          <w:t xml:space="preserve">dividere; divisio</w:t>
        </w:r>
      </w:hyperlink>
      <w:r>
        <w:rPr>
          <w:b w:val="0"/>
          <w:i w:val="0"/>
        </w:rPr>
        <w:t xml:space="preserve">; </w:t>
      </w:r>
      <w:hyperlink w:anchor="latin-record-0444">
        <w:r>
          <w:rPr>
            <w:color w:val="000000"/>
          </w:rPr>
          <w:t xml:space="preserve">esse; habere; fieri</w:t>
        </w:r>
      </w:hyperlink>
      <w:r>
        <w:rPr>
          <w:b w:val="0"/>
          <w:i w:val="0"/>
        </w:rPr>
        <w:t xml:space="preserve">; </w:t>
      </w:r>
      <w:hyperlink w:anchor="latin-record-0622">
        <w:r>
          <w:rPr>
            <w:color w:val="000000"/>
          </w:rPr>
          <w:t xml:space="preserve">individua; magnitudo</w:t>
        </w:r>
      </w:hyperlink>
      <w:r>
        <w:rPr>
          <w:b w:val="0"/>
          <w:i w:val="0"/>
        </w:rPr>
        <w:t xml:space="preserve">; </w:t>
      </w:r>
      <w:hyperlink w:anchor="latin-record-0720">
        <w:r>
          <w:rPr>
            <w:color w:val="000000"/>
          </w:rPr>
          <w:t xml:space="preserve">loculus; corpusculum</w:t>
        </w:r>
      </w:hyperlink>
      <w:r>
        <w:rPr>
          <w:b w:val="0"/>
          <w:i w:val="0"/>
        </w:rPr>
        <w:t xml:space="preserve">; </w:t>
      </w:r>
      <w:hyperlink w:anchor="latin-record-0723">
        <w:r>
          <w:rPr>
            <w:color w:val="000000"/>
          </w:rPr>
          <w:t xml:space="preserve">locus; situs</w:t>
        </w:r>
      </w:hyperlink>
      <w:r>
        <w:rPr>
          <w:b w:val="0"/>
          <w:i w:val="0"/>
        </w:rPr>
        <w:t xml:space="preserve">; </w:t>
      </w:r>
      <w:hyperlink w:anchor="latin-record-1170">
        <w:r>
          <w:rPr>
            <w:color w:val="000000"/>
          </w:rPr>
          <w:t xml:space="preserve">si; sin; nisi; licet</w:t>
        </w:r>
      </w:hyperlink>
      <w:r>
        <w:rPr>
          <w:b w:val="0"/>
          <w:i w:val="0"/>
        </w:rPr>
        <w:t xml:space="preserve">; </w:t>
      </w:r>
      <w:hyperlink w:anchor="latin-record-1175">
        <w:r>
          <w:rPr>
            <w:color w:val="000000"/>
          </w:rPr>
          <w:t xml:space="preserve">similis; idem</w:t>
        </w:r>
      </w:hyperlink>
      <w:r>
        <w:rPr>
          <w:b w:val="0"/>
          <w:i w:val="0"/>
        </w:rPr>
        <w:t>.</w:t>
      </w:r>
    </w:p>
    <w:p>
      <w:pPr>
        <w:widowControl/>
      </w:pPr>
      <w:bookmarkStart w:id="1847" w:name="passage-vi-9-2"/>
      <w:bookmarkEnd w:id="1847"/>
      <w:r>
        <w:rPr>
          <w:b/>
          <w:i w:val="0"/>
        </w:rPr>
        <w:t>VI.9.2</w:t>
      </w:r>
      <w:r>
        <w:rPr>
          <w:b/>
          <w:i w:val="0"/>
        </w:rPr>
        <w:t>, source pp. 190–191.</w:t>
      </w:r>
      <w:r>
        <w:rPr>
          <w:b w:val="0"/>
          <w:i w:val="0"/>
        </w:rPr>
        <w:t xml:space="preserve"> Articles: </w:t>
      </w:r>
      <w:hyperlink w:anchor="essential-presence-and-containment">
        <w:r>
          <w:rPr>
            <w:color w:val="000000"/>
          </w:rPr>
          <w:t xml:space="preserve">Essential presence and containment</w:t>
        </w:r>
      </w:hyperlink>
      <w:r>
        <w:rPr>
          <w:b w:val="0"/>
          <w:i w:val="0"/>
        </w:rPr>
        <w:t xml:space="preserve">; </w:t>
      </w:r>
      <w:hyperlink w:anchor="place-coincidence-and-painless-penetration">
        <w:r>
          <w:rPr>
            <w:color w:val="000000"/>
          </w:rPr>
          <w:t xml:space="preserve">Place, coincidence and painless penetration</w:t>
        </w:r>
      </w:hyperlink>
      <w:r>
        <w:rPr>
          <w:b w:val="0"/>
          <w:i w:val="0"/>
        </w:rPr>
        <w:t xml:space="preserve">. Vocabulary: </w:t>
      </w:r>
      <w:hyperlink w:anchor="latin-record-0358">
        <w:r>
          <w:rPr>
            <w:color w:val="000000"/>
          </w:rPr>
          <w:t xml:space="preserve">dare; tribuere; praestare</w:t>
        </w:r>
      </w:hyperlink>
      <w:r>
        <w:rPr>
          <w:b w:val="0"/>
          <w:i w:val="0"/>
        </w:rPr>
        <w:t xml:space="preserve">; </w:t>
      </w:r>
      <w:hyperlink w:anchor="latin-record-0443">
        <w:r>
          <w:rPr>
            <w:color w:val="000000"/>
          </w:rPr>
          <w:t xml:space="preserve">esse; existere</w:t>
        </w:r>
      </w:hyperlink>
      <w:r>
        <w:rPr>
          <w:b w:val="0"/>
          <w:i w:val="0"/>
        </w:rPr>
        <w:t xml:space="preserve">; </w:t>
      </w:r>
      <w:hyperlink w:anchor="latin-record-0446">
        <w:r>
          <w:rPr>
            <w:color w:val="000000"/>
          </w:rPr>
          <w:t xml:space="preserve">essentia; esse; virtus; operatio</w:t>
        </w:r>
      </w:hyperlink>
      <w:r>
        <w:rPr>
          <w:b w:val="0"/>
          <w:i w:val="0"/>
        </w:rPr>
        <w:t xml:space="preserve">; </w:t>
      </w:r>
      <w:hyperlink w:anchor="latin-record-0495">
        <w:r>
          <w:rPr>
            <w:color w:val="000000"/>
          </w:rPr>
          <w:t xml:space="preserve">fluere</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678">
        <w:r>
          <w:rPr>
            <w:color w:val="000000"/>
          </w:rPr>
          <w:t xml:space="preserve">intimus; absque medio</w:t>
        </w:r>
      </w:hyperlink>
      <w:r>
        <w:rPr>
          <w:b w:val="0"/>
          <w:i w:val="0"/>
        </w:rPr>
        <w:t xml:space="preserve">; </w:t>
      </w:r>
      <w:hyperlink w:anchor="latin-record-0817">
        <w:r>
          <w:rPr>
            <w:color w:val="000000"/>
          </w:rPr>
          <w:t xml:space="preserve">mutare speciem</w:t>
        </w:r>
      </w:hyperlink>
      <w:r>
        <w:rPr>
          <w:b w:val="0"/>
          <w:i w:val="0"/>
        </w:rPr>
        <w:t xml:space="preserve">; </w:t>
      </w:r>
      <w:hyperlink w:anchor="latin-record-0863">
        <w:r>
          <w:rPr>
            <w:color w:val="000000"/>
          </w:rPr>
          <w:t xml:space="preserve">operatio; actus</w:t>
        </w:r>
      </w:hyperlink>
      <w:r>
        <w:rPr>
          <w:b w:val="0"/>
          <w:i w:val="0"/>
        </w:rPr>
        <w:t xml:space="preserve">; </w:t>
      </w:r>
      <w:hyperlink w:anchor="latin-record-1247">
        <w:r>
          <w:rPr>
            <w:color w:val="000000"/>
          </w:rPr>
          <w:t xml:space="preserve">substantia; essentia</w:t>
        </w:r>
      </w:hyperlink>
      <w:r>
        <w:rPr>
          <w:b w:val="0"/>
          <w:i w:val="0"/>
        </w:rPr>
        <w:t xml:space="preserve">; </w:t>
      </w:r>
      <w:hyperlink w:anchor="latin-record-1297">
        <w:r>
          <w:rPr>
            <w:color w:val="000000"/>
          </w:rPr>
          <w:t xml:space="preserve">totus</w:t>
        </w:r>
      </w:hyperlink>
      <w:r>
        <w:rPr>
          <w:b w:val="0"/>
          <w:i w:val="0"/>
        </w:rPr>
        <w:t>.</w:t>
      </w:r>
    </w:p>
    <w:p>
      <w:pPr>
        <w:widowControl/>
      </w:pPr>
      <w:bookmarkStart w:id="1848" w:name="passage-vi-9-3"/>
      <w:bookmarkEnd w:id="1848"/>
      <w:r>
        <w:rPr>
          <w:b/>
          <w:i w:val="0"/>
        </w:rPr>
        <w:t>VI.9.3</w:t>
      </w:r>
      <w:r>
        <w:rPr>
          <w:b/>
          <w:i w:val="0"/>
        </w:rPr>
        <w:t>, source pp. 192–193.</w:t>
      </w:r>
      <w:r>
        <w:rPr>
          <w:b w:val="0"/>
          <w:i w:val="0"/>
        </w:rPr>
        <w:t xml:space="preserve"> Articles: </w:t>
      </w:r>
      <w:hyperlink w:anchor="essential-presence-and-containment">
        <w:r>
          <w:rPr>
            <w:color w:val="000000"/>
          </w:rPr>
          <w:t xml:space="preserve">Essential presence and containment</w:t>
        </w:r>
      </w:hyperlink>
      <w:r>
        <w:rPr>
          <w:b w:val="0"/>
          <w:i w:val="0"/>
        </w:rPr>
        <w:t xml:space="preserve">; </w:t>
      </w:r>
      <w:hyperlink w:anchor="members-house-and-sinew">
        <w:r>
          <w:rPr>
            <w:color w:val="000000"/>
          </w:rPr>
          <w:t xml:space="preserve">Members, house and sinew</w:t>
        </w:r>
      </w:hyperlink>
      <w:r>
        <w:rPr>
          <w:b w:val="0"/>
          <w:i w:val="0"/>
        </w:rPr>
        <w:t xml:space="preserve">. Vocabulary: </w:t>
      </w:r>
      <w:hyperlink w:anchor="latin-record-0021">
        <w:r>
          <w:rPr>
            <w:color w:val="000000"/>
          </w:rPr>
          <w:t xml:space="preserve">actio intima</w:t>
        </w:r>
      </w:hyperlink>
      <w:r>
        <w:rPr>
          <w:b w:val="0"/>
          <w:i w:val="0"/>
        </w:rPr>
        <w:t xml:space="preserve">; </w:t>
      </w:r>
      <w:hyperlink w:anchor="latin-record-0061">
        <w:r>
          <w:rPr>
            <w:color w:val="000000"/>
          </w:rPr>
          <w:t xml:space="preserve">agere; operari</w:t>
        </w:r>
      </w:hyperlink>
      <w:r>
        <w:rPr>
          <w:b w:val="0"/>
          <w:i w:val="0"/>
        </w:rPr>
        <w:t xml:space="preserve">; </w:t>
      </w:r>
      <w:hyperlink w:anchor="latin-record-0293">
        <w:r>
          <w:rPr>
            <w:color w:val="000000"/>
          </w:rPr>
          <w:t xml:space="preserve">congregatum; domus; paries</w:t>
        </w:r>
      </w:hyperlink>
      <w:r>
        <w:rPr>
          <w:b w:val="0"/>
          <w:i w:val="0"/>
        </w:rPr>
        <w:t xml:space="preserve">; </w:t>
      </w:r>
      <w:hyperlink w:anchor="latin-record-0302">
        <w:r>
          <w:rPr>
            <w:color w:val="000000"/>
          </w:rPr>
          <w:t xml:space="preserve">consensio; concordia; conglutinare</w:t>
        </w:r>
      </w:hyperlink>
      <w:r>
        <w:rPr>
          <w:b w:val="0"/>
          <w:i w:val="0"/>
        </w:rPr>
        <w:t xml:space="preserve">; </w:t>
      </w:r>
      <w:hyperlink w:anchor="latin-record-0503">
        <w:r>
          <w:rPr>
            <w:color w:val="000000"/>
          </w:rPr>
          <w:t xml:space="preserve">forma</w:t>
        </w:r>
      </w:hyperlink>
      <w:r>
        <w:rPr>
          <w:b w:val="0"/>
          <w:i w:val="0"/>
        </w:rPr>
        <w:t xml:space="preserve">; </w:t>
      </w:r>
      <w:hyperlink w:anchor="latin-record-0838">
        <w:r>
          <w:rPr>
            <w:color w:val="000000"/>
          </w:rPr>
          <w:t xml:space="preserve">nervus; articulus; tractus</w:t>
        </w:r>
      </w:hyperlink>
      <w:r>
        <w:rPr>
          <w:b w:val="0"/>
          <w:i w:val="0"/>
        </w:rPr>
        <w:t xml:space="preserve">; </w:t>
      </w:r>
      <w:hyperlink w:anchor="latin-record-0896">
        <w:r>
          <w:rPr>
            <w:color w:val="000000"/>
          </w:rPr>
          <w:t xml:space="preserve">pars; membrum</w:t>
        </w:r>
      </w:hyperlink>
      <w:r>
        <w:rPr>
          <w:b w:val="0"/>
          <w:i w:val="0"/>
        </w:rPr>
        <w:t xml:space="preserve">; </w:t>
      </w:r>
      <w:hyperlink w:anchor="latin-record-0962">
        <w:r>
          <w:rPr>
            <w:color w:val="000000"/>
          </w:rPr>
          <w:t xml:space="preserve">portiuncula; plurimi</w:t>
        </w:r>
      </w:hyperlink>
      <w:r>
        <w:rPr>
          <w:b w:val="0"/>
          <w:i w:val="0"/>
        </w:rPr>
        <w:t xml:space="preserve">; </w:t>
      </w:r>
      <w:hyperlink w:anchor="latin-record-1200">
        <w:r>
          <w:rPr>
            <w:color w:val="000000"/>
          </w:rPr>
          <w:t xml:space="preserve">solus; omnis; nullus</w:t>
        </w:r>
      </w:hyperlink>
      <w:r>
        <w:rPr>
          <w:b w:val="0"/>
          <w:i w:val="0"/>
        </w:rPr>
        <w:t>.</w:t>
      </w:r>
    </w:p>
    <w:p>
      <w:pPr>
        <w:widowControl/>
      </w:pPr>
      <w:bookmarkStart w:id="1849" w:name="passage-vi-9-4"/>
      <w:bookmarkEnd w:id="1849"/>
      <w:r>
        <w:rPr>
          <w:b/>
          <w:i w:val="0"/>
        </w:rPr>
        <w:t>VI.9.4</w:t>
      </w:r>
      <w:r>
        <w:rPr>
          <w:b/>
          <w:i w:val="0"/>
        </w:rPr>
        <w:t>, source pp. 194–195.</w:t>
      </w:r>
      <w:r>
        <w:rPr>
          <w:b w:val="0"/>
          <w:i w:val="0"/>
        </w:rPr>
        <w:t xml:space="preserve"> Articles: </w:t>
      </w:r>
      <w:hyperlink w:anchor="place-coincidence-and-painless-penetration">
        <w:r>
          <w:rPr>
            <w:color w:val="000000"/>
          </w:rPr>
          <w:t xml:space="preserve">Place, coincidence and painless penetration</w:t>
        </w:r>
      </w:hyperlink>
      <w:r>
        <w:rPr>
          <w:b w:val="0"/>
          <w:i w:val="0"/>
        </w:rPr>
        <w:t xml:space="preserve">; </w:t>
      </w:r>
      <w:hyperlink w:anchor="rennet-magnet-and-clock">
        <w:r>
          <w:rPr>
            <w:color w:val="000000"/>
          </w:rPr>
          <w:t xml:space="preserve">Rennet, magnet and clock</w:t>
        </w:r>
      </w:hyperlink>
      <w:r>
        <w:rPr>
          <w:b w:val="0"/>
          <w:i w:val="0"/>
        </w:rPr>
        <w:t xml:space="preserve">; </w:t>
      </w:r>
      <w:hyperlink w:anchor="temperament-flux-and-stable-ruler">
        <w:r>
          <w:rPr>
            <w:color w:val="000000"/>
          </w:rPr>
          <w:t xml:space="preserve">Temperament, flux and the stable ruler</w:t>
        </w:r>
      </w:hyperlink>
      <w:r>
        <w:rPr>
          <w:b w:val="0"/>
          <w:i w:val="0"/>
        </w:rPr>
        <w:t xml:space="preserve">. Vocabulary: </w:t>
      </w:r>
      <w:hyperlink w:anchor="latin-record-0220">
        <w:r>
          <w:rPr>
            <w:color w:val="000000"/>
          </w:rPr>
          <w:t xml:space="preserve">coagulum; lac; coagulare</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96">
        <w:r>
          <w:rPr>
            <w:color w:val="000000"/>
          </w:rPr>
          <w:t xml:space="preserve">fluxus; labilis; solidare</w:t>
        </w:r>
      </w:hyperlink>
      <w:r>
        <w:rPr>
          <w:b w:val="0"/>
          <w:i w:val="0"/>
        </w:rPr>
        <w:t xml:space="preserve">; </w:t>
      </w:r>
      <w:hyperlink w:anchor="latin-record-0518">
        <w:r>
          <w:rPr>
            <w:color w:val="000000"/>
          </w:rPr>
          <w:t xml:space="preserve">frangere</w:t>
        </w:r>
      </w:hyperlink>
      <w:r>
        <w:rPr>
          <w:b w:val="0"/>
          <w:i w:val="0"/>
        </w:rPr>
        <w:t xml:space="preserve">; </w:t>
      </w:r>
      <w:hyperlink w:anchor="latin-record-0567">
        <w:r>
          <w:rPr>
            <w:color w:val="000000"/>
          </w:rPr>
          <w:t xml:space="preserve">horologium; sonare</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599">
        <w:r>
          <w:rPr>
            <w:color w:val="000000"/>
          </w:rPr>
          <w:t xml:space="preserve">immortalis; perpetuus; sempiternus</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747">
        <w:r>
          <w:rPr>
            <w:color w:val="000000"/>
          </w:rPr>
          <w:t xml:space="preserve">magnes / ferrum / trahere / suspendere</w:t>
        </w:r>
      </w:hyperlink>
      <w:r>
        <w:rPr>
          <w:b w:val="0"/>
          <w:i w:val="0"/>
        </w:rPr>
        <w:t xml:space="preserve">; </w:t>
      </w:r>
      <w:hyperlink w:anchor="latin-record-0856">
        <w:r>
          <w:rPr>
            <w:color w:val="000000"/>
          </w:rPr>
          <w:t xml:space="preserve">offensio; dolor</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1094">
        <w:r>
          <w:rPr>
            <w:color w:val="000000"/>
          </w:rPr>
          <w:t xml:space="preserve">regere; ducere; gubernare</w:t>
        </w:r>
      </w:hyperlink>
      <w:r>
        <w:rPr>
          <w:b w:val="0"/>
          <w:i w:val="0"/>
        </w:rPr>
        <w:t xml:space="preserve">; </w:t>
      </w:r>
      <w:hyperlink w:anchor="latin-record-1277">
        <w:r>
          <w:rPr>
            <w:color w:val="000000"/>
          </w:rPr>
          <w:t xml:space="preserve">temperare spiritus et humores</w:t>
        </w:r>
      </w:hyperlink>
      <w:r>
        <w:rPr>
          <w:b w:val="0"/>
          <w:i w:val="0"/>
        </w:rPr>
        <w:t xml:space="preserve">; </w:t>
      </w:r>
      <w:hyperlink w:anchor="latin-record-1280">
        <w:r>
          <w:rPr>
            <w:color w:val="000000"/>
          </w:rPr>
          <w:t xml:space="preserve">temperatio artis</w:t>
        </w:r>
      </w:hyperlink>
      <w:r>
        <w:rPr>
          <w:b w:val="0"/>
          <w:i w:val="0"/>
        </w:rPr>
        <w:t>.</w:t>
      </w:r>
    </w:p>
    <w:p>
      <w:pPr>
        <w:pStyle w:val="Heading2"/>
      </w:pPr>
      <w:bookmarkStart w:id="1850" w:name="chapter-vi.10"/>
      <w:r>
        <w:rPr>
          <w:b w:val="0"/>
          <w:i w:val="0"/>
        </w:rPr>
        <w:t>Chapter VI.10</w:t>
      </w:r>
      <w:bookmarkEnd w:id="1850"/>
    </w:p>
    <w:p>
      <w:pPr>
        <w:widowControl/>
      </w:pPr>
      <w:bookmarkStart w:id="1851" w:name="passage-vi-10-1"/>
      <w:bookmarkEnd w:id="1851"/>
      <w:r>
        <w:rPr>
          <w:b/>
          <w:i w:val="0"/>
        </w:rPr>
        <w:t>VI.10.1</w:t>
      </w:r>
      <w:r>
        <w:rPr>
          <w:b/>
          <w:i w:val="0"/>
        </w:rPr>
        <w:t>, source pp. 196–197.</w:t>
      </w:r>
      <w:r>
        <w:rPr>
          <w:b w:val="0"/>
          <w:i w:val="0"/>
        </w:rPr>
        <w:t xml:space="preserve"> Articles: </w:t>
      </w:r>
      <w:hyperlink w:anchor="seminal-power-fish-eggs-and-tree">
        <w:r>
          <w:rPr>
            <w:color w:val="000000"/>
          </w:rPr>
          <w:t xml:space="preserve">Seminal power, fish eggs and the tree</w:t>
        </w:r>
      </w:hyperlink>
      <w:r>
        <w:rPr>
          <w:b w:val="0"/>
          <w:i w:val="0"/>
        </w:rPr>
        <w:t xml:space="preserve">. Vocabulary: </w:t>
      </w:r>
      <w:hyperlink w:anchor="latin-record-0323">
        <w:r>
          <w:rPr>
            <w:color w:val="000000"/>
          </w:rPr>
          <w:t xml:space="preserve">contrahere; fundere</w:t>
        </w:r>
      </w:hyperlink>
      <w:r>
        <w:rPr>
          <w:b w:val="0"/>
          <w:i w:val="0"/>
        </w:rPr>
        <w:t xml:space="preserve">; </w:t>
      </w:r>
      <w:hyperlink w:anchor="latin-record-0551">
        <w:r>
          <w:rPr>
            <w:color w:val="000000"/>
          </w:rPr>
          <w:t xml:space="preserve">guttula; ova piscium</w:t>
        </w:r>
      </w:hyperlink>
      <w:r>
        <w:rPr>
          <w:b w:val="0"/>
          <w:i w:val="0"/>
        </w:rPr>
        <w:t xml:space="preserve">; </w:t>
      </w:r>
      <w:hyperlink w:anchor="latin-record-0566">
        <w:r>
          <w:rPr>
            <w:color w:val="000000"/>
          </w:rPr>
          <w:t xml:space="preserve">homo; animal; animans</w:t>
        </w:r>
      </w:hyperlink>
      <w:r>
        <w:rPr>
          <w:b w:val="0"/>
          <w:i w:val="0"/>
        </w:rPr>
        <w:t xml:space="preserve">; </w:t>
      </w:r>
      <w:hyperlink w:anchor="latin-record-0655">
        <w:r>
          <w:rPr>
            <w:color w:val="000000"/>
          </w:rPr>
          <w:t xml:space="preserve">instrumentum; subservire</w:t>
        </w:r>
      </w:hyperlink>
      <w:r>
        <w:rPr>
          <w:b w:val="0"/>
          <w:i w:val="0"/>
        </w:rPr>
        <w:t xml:space="preserve">; </w:t>
      </w:r>
      <w:hyperlink w:anchor="latin-record-0723">
        <w:r>
          <w:rPr>
            <w:color w:val="000000"/>
          </w:rPr>
          <w:t xml:space="preserve">locus; situs</w:t>
        </w:r>
      </w:hyperlink>
      <w:r>
        <w:rPr>
          <w:b w:val="0"/>
          <w:i w:val="0"/>
        </w:rPr>
        <w:t xml:space="preserve">; </w:t>
      </w:r>
      <w:hyperlink w:anchor="latin-record-0958">
        <w:r>
          <w:rPr>
            <w:color w:val="000000"/>
          </w:rPr>
          <w:t xml:space="preserve">Plotinus; Porphyrius</w:t>
        </w:r>
      </w:hyperlink>
      <w:r>
        <w:rPr>
          <w:b w:val="0"/>
          <w:i w:val="0"/>
        </w:rPr>
        <w:t xml:space="preserve">; </w:t>
      </w:r>
      <w:hyperlink w:anchor="latin-record-1025">
        <w:r>
          <w:rPr>
            <w:color w:val="000000"/>
          </w:rPr>
          <w:t xml:space="preserve">pullulare; delitescere</w:t>
        </w:r>
      </w:hyperlink>
      <w:r>
        <w:rPr>
          <w:b w:val="0"/>
          <w:i w:val="0"/>
        </w:rPr>
        <w:t xml:space="preserve">; </w:t>
      </w:r>
      <w:hyperlink w:anchor="latin-record-1060">
        <w:r>
          <w:rPr>
            <w:color w:val="000000"/>
          </w:rPr>
          <w:t xml:space="preserve">radix; germen; ramus</w:t>
        </w:r>
      </w:hyperlink>
      <w:r>
        <w:rPr>
          <w:b w:val="0"/>
          <w:i w:val="0"/>
        </w:rPr>
        <w:t xml:space="preserve">; </w:t>
      </w:r>
      <w:hyperlink w:anchor="latin-record-1334">
        <w:r>
          <w:rPr>
            <w:color w:val="000000"/>
          </w:rPr>
          <w:t xml:space="preserve">vegetatrix; natura</w:t>
        </w:r>
      </w:hyperlink>
      <w:r>
        <w:rPr>
          <w:b w:val="0"/>
          <w:i w:val="0"/>
        </w:rPr>
        <w:t xml:space="preserve">; </w:t>
      </w:r>
      <w:hyperlink w:anchor="latin-record-1359">
        <w:r>
          <w:rPr>
            <w:color w:val="000000"/>
          </w:rPr>
          <w:t xml:space="preserve">virtus; vis</w:t>
        </w:r>
      </w:hyperlink>
      <w:r>
        <w:rPr>
          <w:b w:val="0"/>
          <w:i w:val="0"/>
        </w:rPr>
        <w:t xml:space="preserve">; </w:t>
      </w:r>
      <w:hyperlink w:anchor="latin-record-1367">
        <w:r>
          <w:rPr>
            <w:color w:val="000000"/>
          </w:rPr>
          <w:t xml:space="preserve">vis seminaria</w:t>
        </w:r>
      </w:hyperlink>
      <w:r>
        <w:rPr>
          <w:b w:val="0"/>
          <w:i w:val="0"/>
        </w:rPr>
        <w:t>.</w:t>
      </w:r>
    </w:p>
    <w:p>
      <w:pPr>
        <w:pStyle w:val="Heading2"/>
      </w:pPr>
      <w:bookmarkStart w:id="1852" w:name="chapter-vi.11"/>
      <w:r>
        <w:rPr>
          <w:b w:val="0"/>
          <w:i w:val="0"/>
        </w:rPr>
        <w:t>Chapter VI.11</w:t>
      </w:r>
      <w:bookmarkEnd w:id="1852"/>
    </w:p>
    <w:p>
      <w:pPr>
        <w:widowControl/>
      </w:pPr>
      <w:bookmarkStart w:id="1853" w:name="passage-vi-11-1"/>
      <w:bookmarkEnd w:id="1853"/>
      <w:r>
        <w:rPr>
          <w:b/>
          <w:i w:val="0"/>
        </w:rPr>
        <w:t>VI.11.1</w:t>
      </w:r>
      <w:r>
        <w:rPr>
          <w:b/>
          <w:i w:val="0"/>
        </w:rPr>
        <w:t>, source pp. 198–199.</w:t>
      </w:r>
      <w:r>
        <w:rPr>
          <w:b w:val="0"/>
          <w:i w:val="0"/>
        </w:rPr>
        <w:t xml:space="preserve"> Articles: </w:t>
      </w:r>
      <w:hyperlink w:anchor="elements-conjunction-and-inward-orderer">
        <w:r>
          <w:rPr>
            <w:color w:val="000000"/>
          </w:rPr>
          <w:t xml:space="preserve">Elements, conjunction and the inward orderer</w:t>
        </w:r>
      </w:hyperlink>
      <w:r>
        <w:rPr>
          <w:b w:val="0"/>
          <w:i w:val="0"/>
        </w:rPr>
        <w:t xml:space="preserve">. Vocabulary: </w:t>
      </w:r>
      <w:hyperlink w:anchor="latin-record-0241">
        <w:r>
          <w:rPr>
            <w:color w:val="000000"/>
          </w:rPr>
          <w:t xml:space="preserve">comes; pedisequa</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288">
        <w:r>
          <w:rPr>
            <w:color w:val="000000"/>
          </w:rPr>
          <w:t xml:space="preserve">conflatus; concursus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30">
        <w:r>
          <w:rPr>
            <w:color w:val="000000"/>
          </w:rPr>
          <w:t xml:space="preserve">elementum</w:t>
        </w:r>
      </w:hyperlink>
      <w:r>
        <w:rPr>
          <w:b w:val="0"/>
          <w:i w:val="0"/>
        </w:rPr>
        <w:t xml:space="preserve">; </w:t>
      </w:r>
      <w:hyperlink w:anchor="latin-record-0444">
        <w:r>
          <w:rPr>
            <w:color w:val="000000"/>
          </w:rPr>
          <w:t xml:space="preserve">esse; habere; fieri</w:t>
        </w:r>
      </w:hyperlink>
      <w:r>
        <w:rPr>
          <w:b w:val="0"/>
          <w:i w:val="0"/>
        </w:rPr>
        <w:t xml:space="preserve">; </w:t>
      </w:r>
      <w:hyperlink w:anchor="latin-record-0495">
        <w:r>
          <w:rPr>
            <w:color w:val="000000"/>
          </w:rPr>
          <w:t xml:space="preserve">fluere</w:t>
        </w:r>
      </w:hyperlink>
      <w:r>
        <w:rPr>
          <w:b w:val="0"/>
          <w:i w:val="0"/>
        </w:rPr>
        <w:t xml:space="preserve">; </w:t>
      </w:r>
      <w:hyperlink w:anchor="latin-record-0580">
        <w:r>
          <w:rPr>
            <w:color w:val="000000"/>
          </w:rPr>
          <w:t xml:space="preserve">igitur; ergo; quapropter; sequitur</w:t>
        </w:r>
      </w:hyperlink>
      <w:r>
        <w:rPr>
          <w:b w:val="0"/>
          <w:i w:val="0"/>
        </w:rPr>
        <w:t xml:space="preserve">; </w:t>
      </w:r>
      <w:hyperlink w:anchor="latin-record-0638">
        <w:r>
          <w:rPr>
            <w:color w:val="000000"/>
          </w:rPr>
          <w:t xml:space="preserve">informis materia</w:t>
        </w:r>
      </w:hyperlink>
      <w:r>
        <w:rPr>
          <w:b w:val="0"/>
          <w:i w:val="0"/>
        </w:rPr>
        <w:t xml:space="preserve">; </w:t>
      </w:r>
      <w:hyperlink w:anchor="latin-record-0677">
        <w:r>
          <w:rPr>
            <w:color w:val="000000"/>
          </w:rPr>
          <w:t xml:space="preserve">intimus ordinator</w:t>
        </w:r>
      </w:hyperlink>
      <w:r>
        <w:rPr>
          <w:b w:val="0"/>
          <w:i w:val="0"/>
        </w:rPr>
        <w:t xml:space="preserve">; </w:t>
      </w:r>
      <w:hyperlink w:anchor="latin-record-0876">
        <w:r>
          <w:rPr>
            <w:color w:val="000000"/>
          </w:rPr>
          <w:t xml:space="preserve">ordinare; ordo</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034">
        <w:r>
          <w:rPr>
            <w:color w:val="000000"/>
          </w:rPr>
          <w:t xml:space="preserve">putare; existimare; arbitrari</w:t>
        </w:r>
      </w:hyperlink>
      <w:r>
        <w:rPr>
          <w:b w:val="0"/>
          <w:i w:val="0"/>
        </w:rPr>
        <w:t xml:space="preserve">; </w:t>
      </w:r>
      <w:hyperlink w:anchor="latin-record-1041">
        <w:r>
          <w:rPr>
            <w:color w:val="000000"/>
          </w:rPr>
          <w:t xml:space="preserve">quaerere; interrogare; percontari</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359">
        <w:r>
          <w:rPr>
            <w:color w:val="000000"/>
          </w:rPr>
          <w:t xml:space="preserve">virtus; vis</w:t>
        </w:r>
      </w:hyperlink>
      <w:r>
        <w:rPr>
          <w:b w:val="0"/>
          <w:i w:val="0"/>
        </w:rPr>
        <w:t xml:space="preserve">; </w:t>
      </w:r>
      <w:hyperlink w:anchor="latin-record-1377">
        <w:r>
          <w:rPr>
            <w:color w:val="000000"/>
          </w:rPr>
          <w:t xml:space="preserve">vita; vivere</w:t>
        </w:r>
      </w:hyperlink>
      <w:r>
        <w:rPr>
          <w:b w:val="0"/>
          <w:i w:val="0"/>
        </w:rPr>
        <w:t>.</w:t>
      </w:r>
    </w:p>
    <w:p>
      <w:pPr>
        <w:widowControl/>
      </w:pPr>
      <w:bookmarkStart w:id="1854" w:name="passage-vi-11-2"/>
      <w:bookmarkEnd w:id="1854"/>
      <w:r>
        <w:rPr>
          <w:b/>
          <w:i w:val="0"/>
        </w:rPr>
        <w:t>VI.11.2</w:t>
      </w:r>
      <w:r>
        <w:rPr>
          <w:b/>
          <w:i w:val="0"/>
        </w:rPr>
        <w:t>, source pp. 200–201.</w:t>
      </w:r>
      <w:r>
        <w:rPr>
          <w:b w:val="0"/>
          <w:i w:val="0"/>
        </w:rPr>
        <w:t xml:space="preserve"> Articles: </w:t>
      </w:r>
      <w:hyperlink w:anchor="contrary-powers-and-directed-movement">
        <w:r>
          <w:rPr>
            <w:color w:val="000000"/>
          </w:rPr>
          <w:t xml:space="preserve">Contrary powers and directed movement</w:t>
        </w:r>
      </w:hyperlink>
      <w:r>
        <w:rPr>
          <w:b w:val="0"/>
          <w:i w:val="0"/>
        </w:rPr>
        <w:t xml:space="preserve">. Vocabulary: </w:t>
      </w:r>
      <w:hyperlink w:anchor="latin-record-0030">
        <w:r>
          <w:rPr>
            <w:color w:val="000000"/>
          </w:rPr>
          <w:t xml:space="preserve">acuere; obtundere; aperire; claudere</w:t>
        </w:r>
      </w:hyperlink>
      <w:r>
        <w:rPr>
          <w:b w:val="0"/>
          <w:i w:val="0"/>
        </w:rPr>
        <w:t xml:space="preserve">; </w:t>
      </w:r>
      <w:hyperlink w:anchor="latin-record-0179">
        <w:r>
          <w:rPr>
            <w:color w:val="000000"/>
          </w:rPr>
          <w:t xml:space="preserve">calidus; frigidus; siccus; humidus</w:t>
        </w:r>
      </w:hyperlink>
      <w:r>
        <w:rPr>
          <w:b w:val="0"/>
          <w:i w:val="0"/>
        </w:rPr>
        <w:t xml:space="preserve">; </w:t>
      </w:r>
      <w:hyperlink w:anchor="latin-record-0263">
        <w:r>
          <w:rPr>
            <w:color w:val="000000"/>
          </w:rPr>
          <w:t xml:space="preserve">compos; ferme</w:t>
        </w:r>
      </w:hyperlink>
      <w:r>
        <w:rPr>
          <w:b w:val="0"/>
          <w:i w:val="0"/>
        </w:rPr>
        <w:t xml:space="preserve">; </w:t>
      </w:r>
      <w:hyperlink w:anchor="latin-record-0326">
        <w:r>
          <w:rPr>
            <w:color w:val="000000"/>
          </w:rPr>
          <w:t xml:space="preserve">contrarius; oppositus; repugnans</w:t>
        </w:r>
      </w:hyperlink>
      <w:r>
        <w:rPr>
          <w:b w:val="0"/>
          <w:i w:val="0"/>
        </w:rPr>
        <w:t xml:space="preserve">; </w:t>
      </w:r>
      <w:hyperlink w:anchor="latin-record-0374">
        <w:r>
          <w:rPr>
            <w:color w:val="000000"/>
          </w:rPr>
          <w:t xml:space="preserve">determinata operatio</w:t>
        </w:r>
      </w:hyperlink>
      <w:r>
        <w:rPr>
          <w:b w:val="0"/>
          <w:i w:val="0"/>
        </w:rPr>
        <w:t xml:space="preserve">; </w:t>
      </w:r>
      <w:hyperlink w:anchor="latin-record-0497">
        <w:r>
          <w:rPr>
            <w:color w:val="000000"/>
          </w:rPr>
          <w:t xml:space="preserve">fluxus; solidus; albus; niger</w:t>
        </w:r>
      </w:hyperlink>
      <w:r>
        <w:rPr>
          <w:b w:val="0"/>
          <w:i w:val="0"/>
        </w:rPr>
        <w:t xml:space="preserve">; </w:t>
      </w:r>
      <w:hyperlink w:anchor="latin-record-0535">
        <w:r>
          <w:rPr>
            <w:color w:val="000000"/>
          </w:rPr>
          <w:t xml:space="preserve">fundere; solidare</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710">
        <w:r>
          <w:rPr>
            <w:color w:val="000000"/>
          </w:rPr>
          <w:t xml:space="preserve">levis; gravis; rarus; densus</w:t>
        </w:r>
      </w:hyperlink>
      <w:r>
        <w:rPr>
          <w:b w:val="0"/>
          <w:i w:val="0"/>
        </w:rPr>
        <w:t xml:space="preserve">; </w:t>
      </w:r>
      <w:hyperlink w:anchor="latin-record-0827">
        <w:r>
          <w:rPr>
            <w:color w:val="000000"/>
          </w:rPr>
          <w:t xml:space="preserve">natura; naturalis</w:t>
        </w:r>
      </w:hyperlink>
      <w:r>
        <w:rPr>
          <w:b w:val="0"/>
          <w:i w:val="0"/>
        </w:rPr>
        <w:t xml:space="preserve">; </w:t>
      </w:r>
      <w:hyperlink w:anchor="latin-record-1062">
        <w:r>
          <w:rPr>
            <w:color w:val="000000"/>
          </w:rPr>
          <w:t xml:space="preserve">rarefacere; condensare</w:t>
        </w:r>
      </w:hyperlink>
      <w:r>
        <w:rPr>
          <w:b w:val="0"/>
          <w:i w:val="0"/>
        </w:rPr>
        <w:t xml:space="preserve">; </w:t>
      </w:r>
      <w:hyperlink w:anchor="latin-record-1193">
        <w:r>
          <w:rPr>
            <w:color w:val="000000"/>
          </w:rPr>
          <w:t xml:space="preserve">sistere; movere; contrahere; extendere</w:t>
        </w:r>
      </w:hyperlink>
      <w:r>
        <w:rPr>
          <w:b w:val="0"/>
          <w:i w:val="0"/>
        </w:rPr>
        <w:t xml:space="preserve">; </w:t>
      </w:r>
      <w:hyperlink w:anchor="latin-record-1229">
        <w:r>
          <w:rPr>
            <w:color w:val="000000"/>
          </w:rPr>
          <w:t xml:space="preserve">spiritus leves; humores graves</w:t>
        </w:r>
      </w:hyperlink>
      <w:r>
        <w:rPr>
          <w:b w:val="0"/>
          <w:i w:val="0"/>
        </w:rPr>
        <w:t xml:space="preserve">; </w:t>
      </w:r>
      <w:hyperlink w:anchor="latin-record-1266">
        <w:r>
          <w:rPr>
            <w:color w:val="000000"/>
          </w:rPr>
          <w:t xml:space="preserve">sursum; deorsum; extra; intra</w:t>
        </w:r>
      </w:hyperlink>
      <w:r>
        <w:rPr>
          <w:b w:val="0"/>
          <w:i w:val="0"/>
        </w:rPr>
        <w:t>.</w:t>
      </w:r>
    </w:p>
    <w:p>
      <w:pPr>
        <w:pStyle w:val="Heading2"/>
      </w:pPr>
      <w:bookmarkStart w:id="1855" w:name="chapter-vi.12"/>
      <w:r>
        <w:rPr>
          <w:b w:val="0"/>
          <w:i w:val="0"/>
        </w:rPr>
        <w:t>Chapter VI.12</w:t>
      </w:r>
      <w:bookmarkEnd w:id="1855"/>
    </w:p>
    <w:p>
      <w:pPr>
        <w:widowControl/>
      </w:pPr>
      <w:bookmarkStart w:id="1856" w:name="passage-vi-12-1"/>
      <w:bookmarkEnd w:id="1856"/>
      <w:r>
        <w:rPr>
          <w:b/>
          <w:i w:val="0"/>
        </w:rPr>
        <w:t>VI.12.1</w:t>
      </w:r>
      <w:r>
        <w:rPr>
          <w:b/>
          <w:i w:val="0"/>
        </w:rPr>
        <w:t>, source pp. 202–203.</w:t>
      </w:r>
      <w:r>
        <w:rPr>
          <w:b w:val="0"/>
          <w:i w:val="0"/>
        </w:rPr>
        <w:t xml:space="preserve"> Articles: </w:t>
      </w:r>
      <w:hyperlink w:anchor="primary-self-motion-and-parts">
        <w:r>
          <w:rPr>
            <w:color w:val="000000"/>
          </w:rPr>
          <w:t xml:space="preserve">Primary self-motion and the regress of parts</w:t>
        </w:r>
      </w:hyperlink>
      <w:r>
        <w:rPr>
          <w:b w:val="0"/>
          <w:i w:val="0"/>
        </w:rPr>
        <w:t xml:space="preserve">. Vocabulary: </w:t>
      </w:r>
      <w:hyperlink w:anchor="latin-record-0502">
        <w:r>
          <w:rPr>
            <w:color w:val="000000"/>
          </w:rPr>
          <w:t xml:space="preserve">fons; receptaculum</w:t>
        </w:r>
      </w:hyperlink>
      <w:r>
        <w:rPr>
          <w:b w:val="0"/>
          <w:i w:val="0"/>
        </w:rPr>
        <w:t xml:space="preserve">; </w:t>
      </w:r>
      <w:hyperlink w:anchor="latin-record-0813">
        <w:r>
          <w:rPr>
            <w:color w:val="000000"/>
          </w:rPr>
          <w:t xml:space="preserve">movere; motus</w:t>
        </w:r>
      </w:hyperlink>
      <w:r>
        <w:rPr>
          <w:b w:val="0"/>
          <w:i w:val="0"/>
        </w:rPr>
        <w:t xml:space="preserve">; </w:t>
      </w:r>
      <w:hyperlink w:anchor="latin-record-0920">
        <w:r>
          <w:rPr>
            <w:color w:val="000000"/>
          </w:rPr>
          <w:t xml:space="preserve">per se et primo</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297">
        <w:r>
          <w:rPr>
            <w:color w:val="000000"/>
          </w:rPr>
          <w:t xml:space="preserve">totus</w:t>
        </w:r>
      </w:hyperlink>
      <w:r>
        <w:rPr>
          <w:b w:val="0"/>
          <w:i w:val="0"/>
        </w:rPr>
        <w:t>.</w:t>
      </w:r>
    </w:p>
    <w:p>
      <w:pPr>
        <w:widowControl/>
      </w:pPr>
      <w:bookmarkStart w:id="1857" w:name="passage-vi-12-2"/>
      <w:bookmarkEnd w:id="1857"/>
      <w:r>
        <w:rPr>
          <w:b/>
          <w:i w:val="0"/>
        </w:rPr>
        <w:t>VI.12.2</w:t>
      </w:r>
      <w:r>
        <w:rPr>
          <w:b/>
          <w:i w:val="0"/>
        </w:rPr>
        <w:t>, source pp. 202–203.</w:t>
      </w:r>
      <w:r>
        <w:rPr>
          <w:b w:val="0"/>
          <w:i w:val="0"/>
        </w:rPr>
        <w:t xml:space="preserve"> Articles: </w:t>
      </w:r>
      <w:hyperlink w:anchor="number-and-spiritual-amplitude">
        <w:r>
          <w:rPr>
            <w:color w:val="000000"/>
          </w:rPr>
          <w:t xml:space="preserve">Number and spiritual amplitude</w:t>
        </w:r>
      </w:hyperlink>
      <w:r>
        <w:rPr>
          <w:b w:val="0"/>
          <w:i w:val="0"/>
        </w:rPr>
        <w:t xml:space="preserve">; </w:t>
      </w:r>
      <w:hyperlink w:anchor="primary-self-motion-and-parts">
        <w:r>
          <w:rPr>
            <w:color w:val="000000"/>
          </w:rPr>
          <w:t xml:space="preserve">Primary self-motion and the regress of parts</w:t>
        </w:r>
      </w:hyperlink>
      <w:r>
        <w:rPr>
          <w:b w:val="0"/>
          <w:i w:val="0"/>
        </w:rPr>
        <w:t xml:space="preserve">. Vocabulary: </w:t>
      </w:r>
      <w:hyperlink w:anchor="latin-record-0404">
        <w:r>
          <w:rPr>
            <w:color w:val="000000"/>
          </w:rPr>
          <w:t xml:space="preserve">dividere; divisio</w:t>
        </w:r>
      </w:hyperlink>
      <w:r>
        <w:rPr>
          <w:b w:val="0"/>
          <w:i w:val="0"/>
        </w:rPr>
        <w:t xml:space="preserve">; </w:t>
      </w:r>
      <w:hyperlink w:anchor="latin-record-0632">
        <w:r>
          <w:rPr>
            <w:color w:val="000000"/>
          </w:rPr>
          <w:t xml:space="preserve">infinitae partes actu</w:t>
        </w:r>
      </w:hyperlink>
      <w:r>
        <w:rPr>
          <w:b w:val="0"/>
          <w:i w:val="0"/>
        </w:rPr>
        <w:t xml:space="preserve">; </w:t>
      </w:r>
      <w:hyperlink w:anchor="latin-record-0813">
        <w:r>
          <w:rPr>
            <w:color w:val="000000"/>
          </w:rPr>
          <w:t xml:space="preserve">movere; motus</w:t>
        </w:r>
      </w:hyperlink>
      <w:r>
        <w:rPr>
          <w:b w:val="0"/>
          <w:i w:val="0"/>
        </w:rPr>
        <w:t xml:space="preserve">; </w:t>
      </w:r>
      <w:hyperlink w:anchor="latin-record-0900">
        <w:r>
          <w:rPr>
            <w:color w:val="000000"/>
          </w:rPr>
          <w:t xml:space="preserve">participatio; praesentia</w:t>
        </w:r>
      </w:hyperlink>
      <w:r>
        <w:rPr>
          <w:b w:val="0"/>
          <w:i w:val="0"/>
        </w:rPr>
        <w:t xml:space="preserve">; </w:t>
      </w:r>
      <w:hyperlink w:anchor="latin-record-0964">
        <w:r>
          <w:rPr>
            <w:color w:val="000000"/>
          </w:rPr>
          <w:t xml:space="preserve">posse; valere; oportere</w:t>
        </w:r>
      </w:hyperlink>
      <w:r>
        <w:rPr>
          <w:b w:val="0"/>
          <w:i w:val="0"/>
        </w:rPr>
        <w:t>.</w:t>
      </w:r>
    </w:p>
    <w:p>
      <w:pPr>
        <w:widowControl/>
      </w:pPr>
      <w:bookmarkStart w:id="1858" w:name="passage-vi-12-3"/>
      <w:bookmarkEnd w:id="1858"/>
      <w:r>
        <w:rPr>
          <w:b/>
          <w:i w:val="0"/>
        </w:rPr>
        <w:t>VI.12.3</w:t>
      </w:r>
      <w:r>
        <w:rPr>
          <w:b/>
          <w:i w:val="0"/>
        </w:rPr>
        <w:t>, source pp. 204–205.</w:t>
      </w:r>
      <w:r>
        <w:rPr>
          <w:b w:val="0"/>
          <w:i w:val="0"/>
        </w:rPr>
        <w:t xml:space="preserve"> Articles: </w:t>
      </w:r>
      <w:hyperlink w:anchor="number-and-spiritual-amplitude">
        <w:r>
          <w:rPr>
            <w:color w:val="000000"/>
          </w:rPr>
          <w:t xml:space="preserve">Number and spiritual amplitude</w:t>
        </w:r>
      </w:hyperlink>
      <w:r>
        <w:rPr>
          <w:b w:val="0"/>
          <w:i w:val="0"/>
        </w:rPr>
        <w:t xml:space="preserve">; </w:t>
      </w:r>
      <w:hyperlink w:anchor="primary-self-motion-and-parts">
        <w:r>
          <w:rPr>
            <w:color w:val="000000"/>
          </w:rPr>
          <w:t xml:space="preserve">Primary self-motion and the regress of parts</w:t>
        </w:r>
      </w:hyperlink>
      <w:r>
        <w:rPr>
          <w:b w:val="0"/>
          <w:i w:val="0"/>
        </w:rPr>
        <w:t xml:space="preserve">. Vocabulary: </w:t>
      </w:r>
      <w:hyperlink w:anchor="latin-record-0225">
        <w:r>
          <w:rPr>
            <w:color w:val="000000"/>
          </w:rPr>
          <w:t xml:space="preserve">cogere; compellere</w:t>
        </w:r>
      </w:hyperlink>
      <w:r>
        <w:rPr>
          <w:b w:val="0"/>
          <w:i w:val="0"/>
        </w:rPr>
        <w:t xml:space="preserve">; </w:t>
      </w:r>
      <w:hyperlink w:anchor="latin-record-0441">
        <w:r>
          <w:rPr>
            <w:color w:val="000000"/>
          </w:rPr>
          <w:t xml:space="preserve">esse proprium</w:t>
        </w:r>
      </w:hyperlink>
      <w:r>
        <w:rPr>
          <w:b w:val="0"/>
          <w:i w:val="0"/>
        </w:rPr>
        <w:t xml:space="preserve">; </w:t>
      </w:r>
      <w:hyperlink w:anchor="latin-record-0632">
        <w:r>
          <w:rPr>
            <w:color w:val="000000"/>
          </w:rPr>
          <w:t xml:space="preserve">infinitae partes actu</w:t>
        </w:r>
      </w:hyperlink>
      <w:r>
        <w:rPr>
          <w:b w:val="0"/>
          <w:i w:val="0"/>
        </w:rPr>
        <w:t xml:space="preserve">; </w:t>
      </w:r>
      <w:hyperlink w:anchor="latin-record-0813">
        <w:r>
          <w:rPr>
            <w:color w:val="000000"/>
          </w:rPr>
          <w:t xml:space="preserve">movere; motus</w:t>
        </w:r>
      </w:hyperlink>
      <w:r>
        <w:rPr>
          <w:b w:val="0"/>
          <w:i w:val="0"/>
        </w:rPr>
        <w:t xml:space="preserve">; </w:t>
      </w:r>
      <w:hyperlink w:anchor="latin-record-0964">
        <w:r>
          <w:rPr>
            <w:color w:val="000000"/>
          </w:rPr>
          <w:t xml:space="preserve">posse; valere; oportere</w:t>
        </w:r>
      </w:hyperlink>
      <w:r>
        <w:rPr>
          <w:b w:val="0"/>
          <w:i w:val="0"/>
        </w:rPr>
        <w:t>.</w:t>
      </w:r>
    </w:p>
    <w:p>
      <w:pPr>
        <w:widowControl/>
      </w:pPr>
      <w:bookmarkStart w:id="1859" w:name="passage-vi-12-4"/>
      <w:bookmarkEnd w:id="1859"/>
      <w:r>
        <w:rPr>
          <w:b/>
          <w:i w:val="0"/>
        </w:rPr>
        <w:t>VI.12.4</w:t>
      </w:r>
      <w:r>
        <w:rPr>
          <w:b/>
          <w:i w:val="0"/>
        </w:rPr>
        <w:t>, source pp. 204–205.</w:t>
      </w:r>
      <w:r>
        <w:rPr>
          <w:b w:val="0"/>
          <w:i w:val="0"/>
        </w:rPr>
        <w:t xml:space="preserve"> Articles: </w:t>
      </w:r>
      <w:hyperlink w:anchor="primary-self-motion-and-parts">
        <w:r>
          <w:rPr>
            <w:color w:val="000000"/>
          </w:rPr>
          <w:t xml:space="preserve">Primary self-motion and the regress of parts</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073">
        <w:r>
          <w:rPr>
            <w:color w:val="000000"/>
          </w:rPr>
          <w:t xml:space="preserve">aliud aliud</w:t>
        </w:r>
      </w:hyperlink>
      <w:r>
        <w:rPr>
          <w:b w:val="0"/>
          <w:i w:val="0"/>
        </w:rPr>
        <w:t xml:space="preserve">; </w:t>
      </w:r>
      <w:hyperlink w:anchor="latin-record-0225">
        <w:r>
          <w:rPr>
            <w:color w:val="000000"/>
          </w:rPr>
          <w:t xml:space="preserve">cogere; compellere</w:t>
        </w:r>
      </w:hyperlink>
      <w:r>
        <w:rPr>
          <w:b w:val="0"/>
          <w:i w:val="0"/>
        </w:rPr>
        <w:t xml:space="preserve">; </w:t>
      </w:r>
      <w:hyperlink w:anchor="latin-record-0404">
        <w:r>
          <w:rPr>
            <w:color w:val="000000"/>
          </w:rPr>
          <w:t xml:space="preserve">dividere; divisio</w:t>
        </w:r>
      </w:hyperlink>
      <w:r>
        <w:rPr>
          <w:b w:val="0"/>
          <w:i w:val="0"/>
        </w:rPr>
        <w:t xml:space="preserve">; </w:t>
      </w:r>
      <w:hyperlink w:anchor="latin-record-0813">
        <w:r>
          <w:rPr>
            <w:color w:val="000000"/>
          </w:rPr>
          <w:t xml:space="preserve">movere; motus</w:t>
        </w:r>
      </w:hyperlink>
      <w:r>
        <w:rPr>
          <w:b w:val="0"/>
          <w:i w:val="0"/>
        </w:rPr>
        <w:t xml:space="preserve">; </w:t>
      </w:r>
      <w:hyperlink w:anchor="latin-record-0894">
        <w:r>
          <w:rPr>
            <w:color w:val="000000"/>
          </w:rPr>
          <w:t xml:space="preserve">pars et totum</w:t>
        </w:r>
      </w:hyperlink>
      <w:r>
        <w:rPr>
          <w:b w:val="0"/>
          <w:i w:val="0"/>
        </w:rPr>
        <w:t xml:space="preserve">; </w:t>
      </w:r>
      <w:hyperlink w:anchor="latin-record-0896">
        <w:r>
          <w:rPr>
            <w:color w:val="000000"/>
          </w:rPr>
          <w:t xml:space="preserve">pars; membrum</w:t>
        </w:r>
      </w:hyperlink>
      <w:r>
        <w:rPr>
          <w:b w:val="0"/>
          <w:i w:val="0"/>
        </w:rPr>
        <w:t xml:space="preserve">; </w:t>
      </w:r>
      <w:hyperlink w:anchor="latin-record-1184">
        <w:r>
          <w:rPr>
            <w:color w:val="000000"/>
          </w:rPr>
          <w:t xml:space="preserve">simul; vicissim; invicem</w:t>
        </w:r>
      </w:hyperlink>
      <w:r>
        <w:rPr>
          <w:b w:val="0"/>
          <w:i w:val="0"/>
        </w:rPr>
        <w:t xml:space="preserve">; </w:t>
      </w:r>
      <w:hyperlink w:anchor="latin-record-1327">
        <w:r>
          <w:rPr>
            <w:color w:val="000000"/>
          </w:rPr>
          <w:t xml:space="preserve">utrum; an; numquid; num</w:t>
        </w:r>
      </w:hyperlink>
      <w:r>
        <w:rPr>
          <w:b w:val="0"/>
          <w:i w:val="0"/>
        </w:rPr>
        <w:t>.</w:t>
      </w:r>
    </w:p>
    <w:p>
      <w:pPr>
        <w:widowControl/>
      </w:pPr>
      <w:bookmarkStart w:id="1860" w:name="passage-vi-12-5"/>
      <w:bookmarkEnd w:id="1860"/>
      <w:r>
        <w:rPr>
          <w:b/>
          <w:i w:val="0"/>
        </w:rPr>
        <w:t>VI.12.5</w:t>
      </w:r>
      <w:r>
        <w:rPr>
          <w:b/>
          <w:i w:val="0"/>
        </w:rPr>
        <w:t>, source pp. 206–207.</w:t>
      </w:r>
      <w:r>
        <w:rPr>
          <w:b w:val="0"/>
          <w:i w:val="0"/>
        </w:rPr>
        <w:t xml:space="preserve"> Articles: </w:t>
      </w:r>
      <w:hyperlink w:anchor="primary-self-motion-and-parts">
        <w:r>
          <w:rPr>
            <w:color w:val="000000"/>
          </w:rPr>
          <w:t xml:space="preserve">Primary self-motion and the regress of parts</w:t>
        </w:r>
      </w:hyperlink>
      <w:r>
        <w:rPr>
          <w:b w:val="0"/>
          <w:i w:val="0"/>
        </w:rPr>
        <w:t xml:space="preserve">. Vocabulary: </w:t>
      </w:r>
      <w:hyperlink w:anchor="latin-record-0061">
        <w:r>
          <w:rPr>
            <w:color w:val="000000"/>
          </w:rPr>
          <w:t xml:space="preserve">agere; operari</w:t>
        </w:r>
      </w:hyperlink>
      <w:r>
        <w:rPr>
          <w:b w:val="0"/>
          <w:i w:val="0"/>
        </w:rPr>
        <w:t xml:space="preserve">; </w:t>
      </w:r>
      <w:hyperlink w:anchor="latin-record-0836">
        <w:r>
          <w:rPr>
            <w:color w:val="000000"/>
          </w:rPr>
          <w:t xml:space="preserve">negare; fateri; confiteri</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895">
        <w:r>
          <w:rPr>
            <w:color w:val="000000"/>
          </w:rPr>
          <w:t xml:space="preserve">pars quaelibet semetipsam agitans</w:t>
        </w:r>
      </w:hyperlink>
      <w:r>
        <w:rPr>
          <w:b w:val="0"/>
          <w:i w:val="0"/>
        </w:rPr>
        <w:t>.</w:t>
      </w:r>
    </w:p>
    <w:p>
      <w:pPr>
        <w:widowControl/>
      </w:pPr>
      <w:bookmarkStart w:id="1861" w:name="passage-vi-12-6"/>
      <w:bookmarkEnd w:id="1861"/>
      <w:r>
        <w:rPr>
          <w:b/>
          <w:i w:val="0"/>
        </w:rPr>
        <w:t>VI.12.6</w:t>
      </w:r>
      <w:r>
        <w:rPr>
          <w:b/>
          <w:i w:val="0"/>
        </w:rPr>
        <w:t>, source pp. 206–207.</w:t>
      </w:r>
      <w:r>
        <w:rPr>
          <w:b w:val="0"/>
          <w:i w:val="0"/>
        </w:rPr>
        <w:t xml:space="preserve"> Articles: </w:t>
      </w:r>
      <w:hyperlink w:anchor="primary-self-motion-and-parts">
        <w:r>
          <w:rPr>
            <w:color w:val="000000"/>
          </w:rPr>
          <w:t xml:space="preserve">Primary self-motion and the regress of parts</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820">
        <w:r>
          <w:rPr>
            <w:color w:val="000000"/>
          </w:rPr>
          <w:t xml:space="preserve">mutuari</w:t>
        </w:r>
      </w:hyperlink>
      <w:r>
        <w:rPr>
          <w:b w:val="0"/>
          <w:i w:val="0"/>
        </w:rPr>
        <w:t xml:space="preserve">; </w:t>
      </w:r>
      <w:hyperlink w:anchor="latin-record-0902">
        <w:r>
          <w:rPr>
            <w:color w:val="000000"/>
          </w:rPr>
          <w:t xml:space="preserve">partiri; secare</w:t>
        </w:r>
      </w:hyperlink>
      <w:r>
        <w:rPr>
          <w:b w:val="0"/>
          <w:i w:val="0"/>
        </w:rPr>
        <w:t xml:space="preserve">; </w:t>
      </w:r>
      <w:hyperlink w:anchor="latin-record-1078">
        <w:r>
          <w:rPr>
            <w:color w:val="000000"/>
          </w:rPr>
          <w:t xml:space="preserve">recipere; accipere</w:t>
        </w:r>
      </w:hyperlink>
      <w:r>
        <w:rPr>
          <w:b w:val="0"/>
          <w:i w:val="0"/>
        </w:rPr>
        <w:t>.</w:t>
      </w:r>
    </w:p>
    <w:p>
      <w:pPr>
        <w:widowControl/>
      </w:pPr>
      <w:bookmarkStart w:id="1862" w:name="passage-vi-12-7"/>
      <w:bookmarkEnd w:id="1862"/>
      <w:r>
        <w:rPr>
          <w:b/>
          <w:i w:val="0"/>
        </w:rPr>
        <w:t>VI.12.7</w:t>
      </w:r>
      <w:r>
        <w:rPr>
          <w:b/>
          <w:i w:val="0"/>
        </w:rPr>
        <w:t>, source pp. 208–209.</w:t>
      </w:r>
      <w:r>
        <w:rPr>
          <w:b w:val="0"/>
          <w:i w:val="0"/>
        </w:rPr>
        <w:t xml:space="preserve"> Articles: </w:t>
      </w:r>
      <w:hyperlink w:anchor="primary-self-motion-and-parts">
        <w:r>
          <w:rPr>
            <w:color w:val="000000"/>
          </w:rPr>
          <w:t xml:space="preserve">Primary self-motion and the regress of parts</w:t>
        </w:r>
      </w:hyperlink>
      <w:r>
        <w:rPr>
          <w:b w:val="0"/>
          <w:i w:val="0"/>
        </w:rPr>
        <w:t xml:space="preserve">. Vocabulary: </w:t>
      </w:r>
      <w:hyperlink w:anchor="latin-record-0054">
        <w:r>
          <w:rPr>
            <w:color w:val="000000"/>
          </w:rPr>
          <w:t xml:space="preserve">affirmare; asserere; asseverare</w:t>
        </w:r>
      </w:hyperlink>
      <w:r>
        <w:rPr>
          <w:b w:val="0"/>
          <w:i w:val="0"/>
        </w:rPr>
        <w:t xml:space="preserve">; </w:t>
      </w:r>
      <w:hyperlink w:anchor="latin-record-0225">
        <w:r>
          <w:rPr>
            <w:color w:val="000000"/>
          </w:rPr>
          <w:t xml:space="preserve">cogere; compellere</w:t>
        </w:r>
      </w:hyperlink>
      <w:r>
        <w:rPr>
          <w:b w:val="0"/>
          <w:i w:val="0"/>
        </w:rPr>
        <w:t xml:space="preserve">; </w:t>
      </w:r>
      <w:hyperlink w:anchor="latin-record-0404">
        <w:r>
          <w:rPr>
            <w:color w:val="000000"/>
          </w:rPr>
          <w:t xml:space="preserve">dividere; divisio</w:t>
        </w:r>
      </w:hyperlink>
      <w:r>
        <w:rPr>
          <w:b w:val="0"/>
          <w:i w:val="0"/>
        </w:rPr>
        <w:t xml:space="preserve">; </w:t>
      </w:r>
      <w:hyperlink w:anchor="latin-record-0600">
        <w:r>
          <w:rPr>
            <w:color w:val="000000"/>
          </w:rPr>
          <w:t xml:space="preserve">impartibile; internus agitator</w:t>
        </w:r>
      </w:hyperlink>
      <w:r>
        <w:rPr>
          <w:b w:val="0"/>
          <w:i w:val="0"/>
        </w:rPr>
        <w:t xml:space="preserve">; </w:t>
      </w:r>
      <w:hyperlink w:anchor="latin-record-0679">
        <w:r>
          <w:rPr>
            <w:color w:val="000000"/>
          </w:rPr>
          <w:t xml:space="preserve">intrinsecus; extrinsecus</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107">
        <w:r>
          <w:rPr>
            <w:color w:val="000000"/>
          </w:rPr>
          <w:t xml:space="preserve">reperire; invenire</w:t>
        </w:r>
      </w:hyperlink>
      <w:r>
        <w:rPr>
          <w:b w:val="0"/>
          <w:i w:val="0"/>
        </w:rPr>
        <w:t xml:space="preserve">; </w:t>
      </w:r>
      <w:hyperlink w:anchor="latin-record-1200">
        <w:r>
          <w:rPr>
            <w:color w:val="000000"/>
          </w:rPr>
          <w:t xml:space="preserve">solus; omnis; nullus</w:t>
        </w:r>
      </w:hyperlink>
      <w:r>
        <w:rPr>
          <w:b w:val="0"/>
          <w:i w:val="0"/>
        </w:rPr>
        <w:t>.</w:t>
      </w:r>
    </w:p>
    <w:p>
      <w:pPr>
        <w:widowControl/>
      </w:pPr>
      <w:bookmarkStart w:id="1863" w:name="passage-vi-12-8"/>
      <w:bookmarkEnd w:id="1863"/>
      <w:r>
        <w:rPr>
          <w:b/>
          <w:i w:val="0"/>
        </w:rPr>
        <w:t>VI.12.8</w:t>
      </w:r>
      <w:r>
        <w:rPr>
          <w:b/>
          <w:i w:val="0"/>
        </w:rPr>
        <w:t>, source pp. 208–209.</w:t>
      </w:r>
      <w:r>
        <w:rPr>
          <w:b w:val="0"/>
          <w:i w:val="0"/>
        </w:rPr>
        <w:t xml:space="preserve"> Articles: </w:t>
      </w:r>
      <w:hyperlink w:anchor="primary-self-motion-and-parts">
        <w:r>
          <w:rPr>
            <w:color w:val="000000"/>
          </w:rPr>
          <w:t xml:space="preserve">Primary self-motion and the regress of parts</w:t>
        </w:r>
      </w:hyperlink>
      <w:r>
        <w:rPr>
          <w:b w:val="0"/>
          <w:i w:val="0"/>
        </w:rPr>
        <w:t xml:space="preserve">. Vocabulary: </w:t>
      </w:r>
      <w:hyperlink w:anchor="latin-record-0477">
        <w:r>
          <w:rPr>
            <w:color w:val="000000"/>
          </w:rPr>
          <w:t xml:space="preserve">facultas; capacitas</w:t>
        </w:r>
      </w:hyperlink>
      <w:r>
        <w:rPr>
          <w:b w:val="0"/>
          <w:i w:val="0"/>
        </w:rPr>
        <w:t xml:space="preserve">; </w:t>
      </w:r>
      <w:hyperlink w:anchor="latin-record-0679">
        <w:r>
          <w:rPr>
            <w:color w:val="000000"/>
          </w:rPr>
          <w:t xml:space="preserve">intrinsecus; extrinsecus</w:t>
        </w:r>
      </w:hyperlink>
      <w:r>
        <w:rPr>
          <w:b w:val="0"/>
          <w:i w:val="0"/>
        </w:rPr>
        <w:t xml:space="preserve">; </w:t>
      </w:r>
      <w:hyperlink w:anchor="latin-record-0813">
        <w:r>
          <w:rPr>
            <w:color w:val="000000"/>
          </w:rPr>
          <w:t xml:space="preserve">movere; motus</w:t>
        </w:r>
      </w:hyperlink>
      <w:r>
        <w:rPr>
          <w:b w:val="0"/>
          <w:i w:val="0"/>
        </w:rPr>
        <w:t xml:space="preserve">; </w:t>
      </w:r>
      <w:hyperlink w:anchor="latin-record-0922">
        <w:r>
          <w:rPr>
            <w:color w:val="000000"/>
          </w:rPr>
          <w:t xml:space="preserve">per se; quodammodo; proprie</w:t>
        </w:r>
      </w:hyperlink>
      <w:r>
        <w:rPr>
          <w:b w:val="0"/>
          <w:i w:val="0"/>
        </w:rPr>
        <w:t>.</w:t>
      </w:r>
    </w:p>
    <w:p>
      <w:pPr>
        <w:widowControl/>
      </w:pPr>
      <w:bookmarkStart w:id="1864" w:name="passage-vi-12-9"/>
      <w:bookmarkEnd w:id="1864"/>
      <w:r>
        <w:rPr>
          <w:b/>
          <w:i w:val="0"/>
        </w:rPr>
        <w:t>VI.12.9</w:t>
      </w:r>
      <w:r>
        <w:rPr>
          <w:b/>
          <w:i w:val="0"/>
        </w:rPr>
        <w:t>, source pp. 210–211.</w:t>
      </w:r>
      <w:r>
        <w:rPr>
          <w:b w:val="0"/>
          <w:i w:val="0"/>
        </w:rPr>
        <w:t xml:space="preserve"> Articles: </w:t>
      </w:r>
      <w:hyperlink w:anchor="elements-conjunction-and-inward-orderer">
        <w:r>
          <w:rPr>
            <w:color w:val="000000"/>
          </w:rPr>
          <w:t xml:space="preserve">Elements, conjunction and the inward orderer</w:t>
        </w:r>
      </w:hyperlink>
      <w:r>
        <w:rPr>
          <w:b w:val="0"/>
          <w:i w:val="0"/>
        </w:rPr>
        <w:t xml:space="preserve">; </w:t>
      </w:r>
      <w:hyperlink w:anchor="integrity-of-the-whole">
        <w:r>
          <w:rPr>
            <w:color w:val="000000"/>
          </w:rPr>
          <w:t xml:space="preserve">Integrity of the whole</w:t>
        </w:r>
      </w:hyperlink>
      <w:r>
        <w:rPr>
          <w:b w:val="0"/>
          <w:i w:val="0"/>
        </w:rPr>
        <w:t xml:space="preserve">. Vocabulary: </w:t>
      </w:r>
      <w:hyperlink w:anchor="latin-record-0183">
        <w:r>
          <w:rPr>
            <w:color w:val="000000"/>
          </w:rPr>
          <w:t xml:space="preserve">calor; calere</w:t>
        </w:r>
      </w:hyperlink>
      <w:r>
        <w:rPr>
          <w:b w:val="0"/>
          <w:i w:val="0"/>
        </w:rPr>
        <w:t xml:space="preserve">; </w:t>
      </w:r>
      <w:hyperlink w:anchor="latin-record-0205">
        <w:r>
          <w:rPr>
            <w:color w:val="000000"/>
          </w:rPr>
          <w:t xml:space="preserve">cavillatio</w:t>
        </w:r>
      </w:hyperlink>
      <w:r>
        <w:rPr>
          <w:b w:val="0"/>
          <w:i w:val="0"/>
        </w:rPr>
        <w:t xml:space="preserve">; </w:t>
      </w:r>
      <w:hyperlink w:anchor="latin-record-0262">
        <w:r>
          <w:rPr>
            <w:color w:val="000000"/>
          </w:rPr>
          <w:t xml:space="preserve">componere; constituere</w:t>
        </w:r>
      </w:hyperlink>
      <w:r>
        <w:rPr>
          <w:b w:val="0"/>
          <w:i w:val="0"/>
        </w:rPr>
        <w:t xml:space="preserve">; </w:t>
      </w:r>
      <w:hyperlink w:anchor="latin-record-0812">
        <w:r>
          <w:rPr>
            <w:color w:val="000000"/>
          </w:rPr>
          <w:t xml:space="preserve">movere et moveri</w:t>
        </w:r>
      </w:hyperlink>
      <w:r>
        <w:rPr>
          <w:b w:val="0"/>
          <w:i w:val="0"/>
        </w:rPr>
        <w:t xml:space="preserve">; </w:t>
      </w:r>
      <w:hyperlink w:anchor="latin-record-1022">
        <w:r>
          <w:rPr>
            <w:color w:val="000000"/>
          </w:rPr>
          <w:t xml:space="preserve">provenire</w:t>
        </w:r>
      </w:hyperlink>
      <w:r>
        <w:rPr>
          <w:b w:val="0"/>
          <w:i w:val="0"/>
        </w:rPr>
        <w:t xml:space="preserve">; </w:t>
      </w:r>
      <w:hyperlink w:anchor="latin-record-1047">
        <w:r>
          <w:rPr>
            <w:color w:val="000000"/>
          </w:rPr>
          <w:t xml:space="preserve">quantitate protendi</w:t>
        </w:r>
      </w:hyperlink>
      <w:r>
        <w:rPr>
          <w:b w:val="0"/>
          <w:i w:val="0"/>
        </w:rPr>
        <w:t xml:space="preserve">; </w:t>
      </w:r>
      <w:hyperlink w:anchor="latin-record-1296">
        <w:r>
          <w:rPr>
            <w:color w:val="000000"/>
          </w:rPr>
          <w:t xml:space="preserve">totius integritas</w:t>
        </w:r>
      </w:hyperlink>
      <w:r>
        <w:rPr>
          <w:b w:val="0"/>
          <w:i w:val="0"/>
        </w:rPr>
        <w:t>.</w:t>
      </w:r>
    </w:p>
    <w:p>
      <w:pPr>
        <w:widowControl/>
      </w:pPr>
      <w:bookmarkStart w:id="1865" w:name="passage-vi-12-10"/>
      <w:bookmarkEnd w:id="1865"/>
      <w:r>
        <w:rPr>
          <w:b/>
          <w:i w:val="0"/>
        </w:rPr>
        <w:t>VI.12.10</w:t>
      </w:r>
      <w:r>
        <w:rPr>
          <w:b/>
          <w:i w:val="0"/>
        </w:rPr>
        <w:t>, source pp. 210–211.</w:t>
      </w:r>
      <w:r>
        <w:rPr>
          <w:b w:val="0"/>
          <w:i w:val="0"/>
        </w:rPr>
        <w:t xml:space="preserve"> Articles: </w:t>
      </w:r>
      <w:hyperlink w:anchor="generation-corruption-and-self-preservation">
        <w:r>
          <w:rPr>
            <w:color w:val="000000"/>
          </w:rPr>
          <w:t xml:space="preserve">Generation, corruption and self-preservation</w:t>
        </w:r>
      </w:hyperlink>
      <w:r>
        <w:rPr>
          <w:b w:val="0"/>
          <w:i w:val="0"/>
        </w:rPr>
        <w:t xml:space="preserve">; </w:t>
      </w:r>
      <w:hyperlink w:anchor="integrity-of-the-whole">
        <w:r>
          <w:rPr>
            <w:color w:val="000000"/>
          </w:rPr>
          <w:t xml:space="preserve">Integrity of the whole</w:t>
        </w:r>
      </w:hyperlink>
      <w:r>
        <w:rPr>
          <w:b w:val="0"/>
          <w:i w:val="0"/>
        </w:rPr>
        <w:t xml:space="preserve">; </w:t>
      </w:r>
      <w:hyperlink w:anchor="vital-motion-action-and-passion">
        <w:r>
          <w:rPr>
            <w:color w:val="000000"/>
          </w:rPr>
          <w:t xml:space="preserve">Vital motion, action and passion</w:t>
        </w:r>
      </w:hyperlink>
      <w:r>
        <w:rPr>
          <w:b w:val="0"/>
          <w:i w:val="0"/>
        </w:rPr>
        <w:t xml:space="preserve">. Vocabulary: </w:t>
      </w:r>
      <w:hyperlink w:anchor="latin-record-0055">
        <w:r>
          <w:rPr>
            <w:color w:val="000000"/>
          </w:rPr>
          <w:t xml:space="preserve">agens; patiens</w:t>
        </w:r>
      </w:hyperlink>
      <w:r>
        <w:rPr>
          <w:b w:val="0"/>
          <w:i w:val="0"/>
        </w:rPr>
        <w:t xml:space="preserve">; </w:t>
      </w:r>
      <w:hyperlink w:anchor="latin-record-0061">
        <w:r>
          <w:rPr>
            <w:color w:val="000000"/>
          </w:rPr>
          <w:t xml:space="preserve">agere; operari</w:t>
        </w:r>
      </w:hyperlink>
      <w:r>
        <w:rPr>
          <w:b w:val="0"/>
          <w:i w:val="0"/>
        </w:rPr>
        <w:t xml:space="preserve">; </w:t>
      </w:r>
      <w:hyperlink w:anchor="latin-record-0183">
        <w:r>
          <w:rPr>
            <w:color w:val="000000"/>
          </w:rPr>
          <w:t xml:space="preserve">calor; calere</w:t>
        </w:r>
      </w:hyperlink>
      <w:r>
        <w:rPr>
          <w:b w:val="0"/>
          <w:i w:val="0"/>
        </w:rPr>
        <w:t xml:space="preserve">; </w:t>
      </w:r>
      <w:hyperlink w:anchor="latin-record-0451">
        <w:r>
          <w:rPr>
            <w:color w:val="000000"/>
          </w:rPr>
          <w:t xml:space="preserve">ex otio in actum</w:t>
        </w:r>
      </w:hyperlink>
      <w:r>
        <w:rPr>
          <w:b w:val="0"/>
          <w:i w:val="0"/>
        </w:rPr>
        <w:t xml:space="preserve">; </w:t>
      </w:r>
      <w:hyperlink w:anchor="latin-record-0813">
        <w:r>
          <w:rPr>
            <w:color w:val="000000"/>
          </w:rPr>
          <w:t xml:space="preserve">movere; motus</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996">
        <w:r>
          <w:rPr>
            <w:color w:val="000000"/>
          </w:rPr>
          <w:t xml:space="preserve">prior; posterior</w:t>
        </w:r>
      </w:hyperlink>
      <w:r>
        <w:rPr>
          <w:b w:val="0"/>
          <w:i w:val="0"/>
        </w:rPr>
        <w:t xml:space="preserve">; </w:t>
      </w:r>
      <w:hyperlink w:anchor="latin-record-1311">
        <w:r>
          <w:rPr>
            <w:color w:val="000000"/>
          </w:rPr>
          <w:t xml:space="preserve">turgere; concipere; edere</w:t>
        </w:r>
      </w:hyperlink>
      <w:r>
        <w:rPr>
          <w:b w:val="0"/>
          <w:i w:val="0"/>
        </w:rPr>
        <w:t xml:space="preserve">; </w:t>
      </w:r>
      <w:hyperlink w:anchor="latin-record-1349">
        <w:r>
          <w:rPr>
            <w:color w:val="000000"/>
          </w:rPr>
          <w:t xml:space="preserve">vicissitudo; vices</w:t>
        </w:r>
      </w:hyperlink>
      <w:r>
        <w:rPr>
          <w:b w:val="0"/>
          <w:i w:val="0"/>
        </w:rPr>
        <w:t>.</w:t>
      </w:r>
    </w:p>
    <w:p>
      <w:pPr>
        <w:widowControl/>
      </w:pPr>
      <w:bookmarkStart w:id="1866" w:name="passage-vi-12-11"/>
      <w:bookmarkEnd w:id="1866"/>
      <w:r>
        <w:rPr>
          <w:b/>
          <w:i w:val="0"/>
        </w:rPr>
        <w:t>VI.12.11</w:t>
      </w:r>
      <w:r>
        <w:rPr>
          <w:b/>
          <w:i w:val="0"/>
        </w:rPr>
        <w:t>, source pp. 212–213.</w:t>
      </w:r>
      <w:r>
        <w:rPr>
          <w:b w:val="0"/>
          <w:i w:val="0"/>
        </w:rPr>
        <w:t xml:space="preserve"> Articles: </w:t>
      </w:r>
      <w:hyperlink w:anchor="vital-motion-action-and-passion">
        <w:r>
          <w:rPr>
            <w:color w:val="000000"/>
          </w:rPr>
          <w:t xml:space="preserve">Vital motion, action and passion</w:t>
        </w:r>
      </w:hyperlink>
      <w:r>
        <w:rPr>
          <w:b w:val="0"/>
          <w:i w:val="0"/>
        </w:rPr>
        <w:t xml:space="preserve">. Vocabulary: </w:t>
      </w:r>
      <w:hyperlink w:anchor="latin-record-0022">
        <w:r>
          <w:rPr>
            <w:color w:val="000000"/>
          </w:rPr>
          <w:t xml:space="preserve">actio; passio</w:t>
        </w:r>
      </w:hyperlink>
      <w:r>
        <w:rPr>
          <w:b w:val="0"/>
          <w:i w:val="0"/>
        </w:rPr>
        <w:t xml:space="preserve">; </w:t>
      </w:r>
      <w:hyperlink w:anchor="latin-record-0097">
        <w:r>
          <w:rPr>
            <w:color w:val="000000"/>
          </w:rPr>
          <w:t xml:space="preserve">anima universalis</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0964">
        <w:r>
          <w:rPr>
            <w:color w:val="000000"/>
          </w:rPr>
          <w:t xml:space="preserve">posse; valere; oportere</w:t>
        </w:r>
      </w:hyperlink>
      <w:r>
        <w:rPr>
          <w:b w:val="0"/>
          <w:i w:val="0"/>
        </w:rPr>
        <w:t>.</w:t>
      </w:r>
    </w:p>
    <w:p>
      <w:pPr>
        <w:widowControl/>
      </w:pPr>
      <w:bookmarkStart w:id="1867" w:name="passage-vi-12-12"/>
      <w:bookmarkEnd w:id="1867"/>
      <w:r>
        <w:rPr>
          <w:b/>
          <w:i w:val="0"/>
        </w:rPr>
        <w:t>VI.12.12</w:t>
      </w:r>
      <w:r>
        <w:rPr>
          <w:b/>
          <w:i w:val="0"/>
        </w:rPr>
        <w:t>, source pp. 212–213.</w:t>
      </w:r>
      <w:r>
        <w:rPr>
          <w:b w:val="0"/>
          <w:i w:val="0"/>
        </w:rPr>
        <w:t xml:space="preserve"> Articles: </w:t>
      </w:r>
      <w:hyperlink w:anchor="generation-corruption-and-self-preservation">
        <w:r>
          <w:rPr>
            <w:color w:val="000000"/>
          </w:rPr>
          <w:t xml:space="preserve">Generation, corruption and self-preservation</w:t>
        </w:r>
      </w:hyperlink>
      <w:r>
        <w:rPr>
          <w:b w:val="0"/>
          <w:i w:val="0"/>
        </w:rPr>
        <w:t xml:space="preserve">; </w:t>
      </w:r>
      <w:hyperlink w:anchor="viii-intellectual-generation">
        <w:r>
          <w:rPr>
            <w:color w:val="000000"/>
          </w:rPr>
          <w:t xml:space="preserve">Intellectual generation and daily renewal</w:t>
        </w:r>
      </w:hyperlink>
      <w:r>
        <w:rPr>
          <w:b w:val="0"/>
          <w:i w:val="0"/>
        </w:rPr>
        <w:t xml:space="preserve">; </w:t>
      </w:r>
      <w:hyperlink w:anchor="vital-motion-action-and-passion">
        <w:r>
          <w:rPr>
            <w:color w:val="000000"/>
          </w:rPr>
          <w:t xml:space="preserve">Vital motion, action and passion</w:t>
        </w:r>
      </w:hyperlink>
      <w:r>
        <w:rPr>
          <w:b w:val="0"/>
          <w:i w:val="0"/>
        </w:rPr>
        <w:t xml:space="preserve">. Vocabulary: </w:t>
      </w:r>
      <w:hyperlink w:anchor="latin-record-0036">
        <w:r>
          <w:rPr>
            <w:color w:val="000000"/>
          </w:rPr>
          <w:t xml:space="preserve">adventitius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588">
        <w:r>
          <w:rPr>
            <w:color w:val="000000"/>
          </w:rPr>
          <w:t xml:space="preserve">ignorare se ipsam</w:t>
        </w:r>
      </w:hyperlink>
      <w:r>
        <w:rPr>
          <w:b w:val="0"/>
          <w:i w:val="0"/>
        </w:rPr>
        <w:t xml:space="preserve">; </w:t>
      </w:r>
      <w:hyperlink w:anchor="latin-record-0673">
        <w:r>
          <w:rPr>
            <w:color w:val="000000"/>
          </w:rPr>
          <w:t xml:space="preserve">intermittere; aberrare</w:t>
        </w:r>
      </w:hyperlink>
      <w:r>
        <w:rPr>
          <w:b w:val="0"/>
          <w:i w:val="0"/>
        </w:rPr>
        <w:t xml:space="preserve">; </w:t>
      </w:r>
      <w:hyperlink w:anchor="latin-record-0777">
        <w:r>
          <w:rPr>
            <w:color w:val="000000"/>
          </w:rPr>
          <w:t xml:space="preserve">mens</w:t>
        </w:r>
      </w:hyperlink>
      <w:r>
        <w:rPr>
          <w:b w:val="0"/>
          <w:i w:val="0"/>
        </w:rPr>
        <w:t xml:space="preserve">; </w:t>
      </w:r>
      <w:hyperlink w:anchor="latin-record-0810">
        <w:r>
          <w:rPr>
            <w:color w:val="000000"/>
          </w:rPr>
          <w:t xml:space="preserve">motus vitalis</w:t>
        </w:r>
      </w:hyperlink>
      <w:r>
        <w:rPr>
          <w:b w:val="0"/>
          <w:i w:val="0"/>
        </w:rPr>
        <w:t xml:space="preserve">; </w:t>
      </w:r>
      <w:hyperlink w:anchor="latin-record-0863">
        <w:r>
          <w:rPr>
            <w:color w:val="000000"/>
          </w:rPr>
          <w:t xml:space="preserve">operatio; actus</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266">
        <w:r>
          <w:rPr>
            <w:color w:val="000000"/>
          </w:rPr>
          <w:t xml:space="preserve">sursum; deorsum; extra; intra</w:t>
        </w:r>
      </w:hyperlink>
      <w:r>
        <w:rPr>
          <w:b w:val="0"/>
          <w:i w:val="0"/>
        </w:rPr>
        <w:t xml:space="preserve">; </w:t>
      </w:r>
      <w:hyperlink w:anchor="latin-record-1376">
        <w:r>
          <w:rPr>
            <w:color w:val="000000"/>
          </w:rPr>
          <w:t xml:space="preserve">vita se generans</w:t>
        </w:r>
      </w:hyperlink>
      <w:r>
        <w:rPr>
          <w:b w:val="0"/>
          <w:i w:val="0"/>
        </w:rPr>
        <w:t xml:space="preserve">; </w:t>
      </w:r>
      <w:hyperlink w:anchor="latin-record-1377">
        <w:r>
          <w:rPr>
            <w:color w:val="000000"/>
          </w:rPr>
          <w:t xml:space="preserve">vita; vivere</w:t>
        </w:r>
      </w:hyperlink>
      <w:r>
        <w:rPr>
          <w:b w:val="0"/>
          <w:i w:val="0"/>
        </w:rPr>
        <w:t>.</w:t>
      </w:r>
    </w:p>
    <w:p>
      <w:pPr>
        <w:widowControl/>
      </w:pPr>
      <w:bookmarkStart w:id="1868" w:name="passage-vi-12-13"/>
      <w:bookmarkEnd w:id="1868"/>
      <w:r>
        <w:rPr>
          <w:b/>
          <w:i w:val="0"/>
        </w:rPr>
        <w:t>VI.12.13</w:t>
      </w:r>
      <w:r>
        <w:rPr>
          <w:b/>
          <w:i w:val="0"/>
        </w:rPr>
        <w:t>, source pp. 214–215.</w:t>
      </w:r>
      <w:r>
        <w:rPr>
          <w:b w:val="0"/>
          <w:i w:val="0"/>
        </w:rPr>
        <w:t xml:space="preserve"> Articles: </w:t>
      </w:r>
      <w:hyperlink w:anchor="eight-motions-and-cold-water">
        <w:r>
          <w:rPr>
            <w:color w:val="000000"/>
          </w:rPr>
          <w:t xml:space="preserve">Eight motions and the cold-water objection</w:t>
        </w:r>
      </w:hyperlink>
      <w:r>
        <w:rPr>
          <w:b w:val="0"/>
          <w:i w:val="0"/>
        </w:rPr>
        <w:t xml:space="preserve">. Vocabulary: </w:t>
      </w:r>
      <w:hyperlink w:anchor="latin-record-0075">
        <w:r>
          <w:rPr>
            <w:color w:val="000000"/>
          </w:rPr>
          <w:t xml:space="preserve">alteratio; generatio; corruptio</w:t>
        </w:r>
      </w:hyperlink>
      <w:r>
        <w:rPr>
          <w:b w:val="0"/>
          <w:i w:val="0"/>
        </w:rPr>
        <w:t xml:space="preserve">; </w:t>
      </w:r>
      <w:hyperlink w:anchor="latin-record-0151">
        <w:r>
          <w:rPr>
            <w:color w:val="000000"/>
          </w:rPr>
          <w:t xml:space="preserve">augmentum; decrementum</w:t>
        </w:r>
      </w:hyperlink>
      <w:r>
        <w:rPr>
          <w:b w:val="0"/>
          <w:i w:val="0"/>
        </w:rPr>
        <w:t xml:space="preserve">; </w:t>
      </w:r>
      <w:hyperlink w:anchor="latin-record-0174">
        <w:r>
          <w:rPr>
            <w:color w:val="000000"/>
          </w:rPr>
          <w:t xml:space="preserve">calefacere; calefieri</w:t>
        </w:r>
      </w:hyperlink>
      <w:r>
        <w:rPr>
          <w:b w:val="0"/>
          <w:i w:val="0"/>
        </w:rPr>
        <w:t xml:space="preserve">; </w:t>
      </w:r>
      <w:hyperlink w:anchor="latin-record-0183">
        <w:r>
          <w:rPr>
            <w:color w:val="000000"/>
          </w:rPr>
          <w:t xml:space="preserve">calor; calere</w:t>
        </w:r>
      </w:hyperlink>
      <w:r>
        <w:rPr>
          <w:b w:val="0"/>
          <w:i w:val="0"/>
        </w:rPr>
        <w:t xml:space="preserve">; </w:t>
      </w:r>
      <w:hyperlink w:anchor="latin-record-0282">
        <w:r>
          <w:rPr>
            <w:color w:val="000000"/>
          </w:rPr>
          <w:t xml:space="preserve">condensatio; rarefactio; progressio</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523">
        <w:r>
          <w:rPr>
            <w:color w:val="000000"/>
          </w:rPr>
          <w:t xml:space="preserve">frigefieri; scaturire</w:t>
        </w:r>
      </w:hyperlink>
      <w:r>
        <w:rPr>
          <w:b w:val="0"/>
          <w:i w:val="0"/>
        </w:rPr>
        <w:t xml:space="preserve">; </w:t>
      </w:r>
      <w:hyperlink w:anchor="latin-record-0525">
        <w:r>
          <w:rPr>
            <w:color w:val="000000"/>
          </w:rPr>
          <w:t xml:space="preserve">frigiditas secundum virtutem</w:t>
        </w:r>
      </w:hyperlink>
      <w:r>
        <w:rPr>
          <w:b w:val="0"/>
          <w:i w:val="0"/>
        </w:rPr>
        <w:t xml:space="preserve">; </w:t>
      </w:r>
      <w:hyperlink w:anchor="latin-record-0586">
        <w:r>
          <w:rPr>
            <w:color w:val="000000"/>
          </w:rPr>
          <w:t xml:space="preserve">ignis; aer; aqua</w:t>
        </w:r>
      </w:hyperlink>
      <w:r>
        <w:rPr>
          <w:b w:val="0"/>
          <w:i w:val="0"/>
        </w:rPr>
        <w:t xml:space="preserve">; </w:t>
      </w:r>
      <w:hyperlink w:anchor="latin-record-0953">
        <w:r>
          <w:rPr>
            <w:color w:val="000000"/>
          </w:rPr>
          <w:t xml:space="preserve">Platonici; Peripatetici</w:t>
        </w:r>
      </w:hyperlink>
      <w:r>
        <w:rPr>
          <w:b w:val="0"/>
          <w:i w:val="0"/>
        </w:rPr>
        <w:t>.</w:t>
      </w:r>
    </w:p>
    <w:p>
      <w:pPr>
        <w:widowControl/>
      </w:pPr>
      <w:bookmarkStart w:id="1869" w:name="passage-vi-12-14"/>
      <w:bookmarkEnd w:id="1869"/>
      <w:r>
        <w:rPr>
          <w:b/>
          <w:i w:val="0"/>
        </w:rPr>
        <w:t>VI.12.14</w:t>
      </w:r>
      <w:r>
        <w:rPr>
          <w:b/>
          <w:i w:val="0"/>
        </w:rPr>
        <w:t>, source pp. 214–215.</w:t>
      </w:r>
      <w:r>
        <w:rPr>
          <w:b w:val="0"/>
          <w:i w:val="0"/>
        </w:rPr>
        <w:t xml:space="preserve"> Articles: </w:t>
      </w:r>
      <w:hyperlink w:anchor="generation-corruption-and-self-preservation">
        <w:r>
          <w:rPr>
            <w:color w:val="000000"/>
          </w:rPr>
          <w:t xml:space="preserve">Generation, corruption and self-preservation</w:t>
        </w:r>
      </w:hyperlink>
      <w:r>
        <w:rPr>
          <w:b w:val="0"/>
          <w:i w:val="0"/>
        </w:rPr>
        <w:t xml:space="preserve">; </w:t>
      </w:r>
      <w:hyperlink w:anchor="vital-motion-action-and-passion">
        <w:r>
          <w:rPr>
            <w:color w:val="000000"/>
          </w:rPr>
          <w:t xml:space="preserve">Vital motion, action and passion</w:t>
        </w:r>
      </w:hyperlink>
      <w:r>
        <w:rPr>
          <w:b w:val="0"/>
          <w:i w:val="0"/>
        </w:rPr>
        <w:t xml:space="preserve">. Vocabulary: </w:t>
      </w:r>
      <w:hyperlink w:anchor="latin-record-0326">
        <w:r>
          <w:rPr>
            <w:color w:val="000000"/>
          </w:rPr>
          <w:t xml:space="preserve">contrarius; oppositus; repugnans</w:t>
        </w:r>
      </w:hyperlink>
      <w:r>
        <w:rPr>
          <w:b w:val="0"/>
          <w:i w:val="0"/>
        </w:rPr>
        <w:t xml:space="preserve">; </w:t>
      </w:r>
      <w:hyperlink w:anchor="latin-record-0493">
        <w:r>
          <w:rPr>
            <w:color w:val="000000"/>
          </w:rPr>
          <w:t xml:space="preserve">finita natura</w:t>
        </w:r>
      </w:hyperlink>
      <w:r>
        <w:rPr>
          <w:b w:val="0"/>
          <w:i w:val="0"/>
        </w:rPr>
        <w:t xml:space="preserve">; </w:t>
      </w:r>
      <w:hyperlink w:anchor="latin-record-0542">
        <w:r>
          <w:rPr>
            <w:color w:val="000000"/>
          </w:rPr>
          <w:t xml:space="preserve">genitor; genitum</w:t>
        </w:r>
      </w:hyperlink>
      <w:r>
        <w:rPr>
          <w:b w:val="0"/>
          <w:i w:val="0"/>
        </w:rPr>
        <w:t xml:space="preserve">; </w:t>
      </w:r>
      <w:hyperlink w:anchor="latin-record-0653">
        <w:r>
          <w:rPr>
            <w:color w:val="000000"/>
          </w:rPr>
          <w:t xml:space="preserve">instinctus; nixus</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0996">
        <w:r>
          <w:rPr>
            <w:color w:val="000000"/>
          </w:rPr>
          <w:t xml:space="preserve">prior; posterior</w:t>
        </w:r>
      </w:hyperlink>
      <w:r>
        <w:rPr>
          <w:b w:val="0"/>
          <w:i w:val="0"/>
        </w:rPr>
        <w:t xml:space="preserve">; </w:t>
      </w:r>
      <w:hyperlink w:anchor="latin-record-1008">
        <w:r>
          <w:rPr>
            <w:color w:val="000000"/>
          </w:rPr>
          <w:t xml:space="preserve">proles</w:t>
        </w:r>
      </w:hyperlink>
      <w:r>
        <w:rPr>
          <w:b w:val="0"/>
          <w:i w:val="0"/>
        </w:rPr>
        <w:t xml:space="preserve">; </w:t>
      </w:r>
      <w:hyperlink w:anchor="latin-record-1169">
        <w:r>
          <w:rPr>
            <w:color w:val="000000"/>
          </w:rPr>
          <w:t xml:space="preserve">servare; non esse</w:t>
        </w:r>
      </w:hyperlink>
      <w:r>
        <w:rPr>
          <w:b w:val="0"/>
          <w:i w:val="0"/>
        </w:rPr>
        <w:t>.</w:t>
      </w:r>
    </w:p>
    <w:p>
      <w:pPr>
        <w:widowControl/>
      </w:pPr>
      <w:bookmarkStart w:id="1870" w:name="passage-vi-12-15"/>
      <w:bookmarkEnd w:id="1870"/>
      <w:r>
        <w:rPr>
          <w:b/>
          <w:i w:val="0"/>
        </w:rPr>
        <w:t>VI.12.15</w:t>
      </w:r>
      <w:r>
        <w:rPr>
          <w:b/>
          <w:i w:val="0"/>
        </w:rPr>
        <w:t>, source pp. 216–217.</w:t>
      </w:r>
      <w:r>
        <w:rPr>
          <w:b w:val="0"/>
          <w:i w:val="0"/>
        </w:rPr>
        <w:t xml:space="preserve"> Articles: </w:t>
      </w:r>
      <w:hyperlink w:anchor="eight-motions-and-cold-water">
        <w:r>
          <w:rPr>
            <w:color w:val="000000"/>
          </w:rPr>
          <w:t xml:space="preserve">Eight motions and the cold-water objection</w:t>
        </w:r>
      </w:hyperlink>
      <w:r>
        <w:rPr>
          <w:b w:val="0"/>
          <w:i w:val="0"/>
        </w:rPr>
        <w:t xml:space="preserve">. Vocabulary: </w:t>
      </w:r>
      <w:hyperlink w:anchor="latin-record-0151">
        <w:r>
          <w:rPr>
            <w:color w:val="000000"/>
          </w:rPr>
          <w:t xml:space="preserve">augmentum; decrementum</w:t>
        </w:r>
      </w:hyperlink>
      <w:r>
        <w:rPr>
          <w:b w:val="0"/>
          <w:i w:val="0"/>
        </w:rPr>
        <w:t xml:space="preserve">; </w:t>
      </w:r>
      <w:hyperlink w:anchor="latin-record-0897">
        <w:r>
          <w:rPr>
            <w:color w:val="000000"/>
          </w:rPr>
          <w:t xml:space="preserve">partes novae; veteres</w:t>
        </w:r>
      </w:hyperlink>
      <w:r>
        <w:rPr>
          <w:b w:val="0"/>
          <w:i w:val="0"/>
        </w:rPr>
        <w:t>.</w:t>
      </w:r>
    </w:p>
    <w:p>
      <w:pPr>
        <w:widowControl/>
      </w:pPr>
      <w:bookmarkStart w:id="1871" w:name="passage-vi-12-16"/>
      <w:bookmarkEnd w:id="1871"/>
      <w:r>
        <w:rPr>
          <w:b/>
          <w:i w:val="0"/>
        </w:rPr>
        <w:t>VI.12.16</w:t>
      </w:r>
      <w:r>
        <w:rPr>
          <w:b/>
          <w:i w:val="0"/>
        </w:rPr>
        <w:t>, source pp. 216–217.</w:t>
      </w:r>
      <w:r>
        <w:rPr>
          <w:b w:val="0"/>
          <w:i w:val="0"/>
        </w:rPr>
        <w:t xml:space="preserve"> Articles: </w:t>
      </w:r>
      <w:hyperlink w:anchor="eight-motions-and-cold-water">
        <w:r>
          <w:rPr>
            <w:color w:val="000000"/>
          </w:rPr>
          <w:t xml:space="preserve">Eight motions and the cold-water objection</w:t>
        </w:r>
      </w:hyperlink>
      <w:r>
        <w:rPr>
          <w:b w:val="0"/>
          <w:i w:val="0"/>
        </w:rPr>
        <w:t xml:space="preserve">. Vocabulary: </w:t>
      </w:r>
      <w:hyperlink w:anchor="latin-record-0279">
        <w:r>
          <w:rPr>
            <w:color w:val="000000"/>
          </w:rPr>
          <w:t xml:space="preserve">concludere; respondere; quaerere</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1200">
        <w:r>
          <w:rPr>
            <w:color w:val="000000"/>
          </w:rPr>
          <w:t xml:space="preserve">solus; omnis; nullus</w:t>
        </w:r>
      </w:hyperlink>
      <w:r>
        <w:rPr>
          <w:b w:val="0"/>
          <w:i w:val="0"/>
        </w:rPr>
        <w:t xml:space="preserve">; </w:t>
      </w:r>
      <w:hyperlink w:anchor="latin-record-1286">
        <w:r>
          <w:rPr>
            <w:color w:val="000000"/>
          </w:rPr>
          <w:t xml:space="preserve">termini proprii; alieni</w:t>
        </w:r>
      </w:hyperlink>
      <w:r>
        <w:rPr>
          <w:b w:val="0"/>
          <w:i w:val="0"/>
        </w:rPr>
        <w:t xml:space="preserve">; </w:t>
      </w:r>
      <w:hyperlink w:anchor="latin-record-1304">
        <w:r>
          <w:rPr>
            <w:color w:val="000000"/>
          </w:rPr>
          <w:t xml:space="preserve">transitus; circuitus</w:t>
        </w:r>
      </w:hyperlink>
      <w:r>
        <w:rPr>
          <w:b w:val="0"/>
          <w:i w:val="0"/>
        </w:rPr>
        <w:t>.</w:t>
      </w:r>
    </w:p>
    <w:p>
      <w:pPr>
        <w:widowControl/>
      </w:pPr>
      <w:bookmarkStart w:id="1872" w:name="passage-vi-12-17"/>
      <w:bookmarkEnd w:id="1872"/>
      <w:r>
        <w:rPr>
          <w:b/>
          <w:i w:val="0"/>
        </w:rPr>
        <w:t>VI.12.17</w:t>
      </w:r>
      <w:r>
        <w:rPr>
          <w:b/>
          <w:i w:val="0"/>
        </w:rPr>
        <w:t>, source pp. 216–217.</w:t>
      </w:r>
      <w:r>
        <w:rPr>
          <w:b w:val="0"/>
          <w:i w:val="0"/>
        </w:rPr>
        <w:t xml:space="preserve"> Articles: </w:t>
      </w:r>
      <w:hyperlink w:anchor="seminal-power-fish-eggs-and-tree">
        <w:r>
          <w:rPr>
            <w:color w:val="000000"/>
          </w:rPr>
          <w:t xml:space="preserve">Seminal power, fish eggs and the tree</w:t>
        </w:r>
      </w:hyperlink>
      <w:r>
        <w:rPr>
          <w:b w:val="0"/>
          <w:i w:val="0"/>
        </w:rPr>
        <w:t xml:space="preserve">; </w:t>
      </w:r>
      <w:hyperlink w:anchor="temporal-discourse-and-psychic-ascent">
        <w:r>
          <w:rPr>
            <w:color w:val="000000"/>
          </w:rPr>
          <w:t xml:space="preserve">Temporal discourse and psychic ascent</w:t>
        </w:r>
      </w:hyperlink>
      <w:r>
        <w:rPr>
          <w:b w:val="0"/>
          <w:i w:val="0"/>
        </w:rPr>
        <w:t xml:space="preserve">; </w:t>
      </w:r>
      <w:hyperlink w:anchor="three-offices-and-proof-order">
        <w:r>
          <w:rPr>
            <w:color w:val="000000"/>
          </w:rPr>
          <w:t xml:space="preserve">Three offices and the order of proof</w:t>
        </w:r>
      </w:hyperlink>
      <w:r>
        <w:rPr>
          <w:b w:val="0"/>
          <w:i w:val="0"/>
        </w:rPr>
        <w:t xml:space="preserve">. Vocabulary: </w:t>
      </w:r>
      <w:hyperlink w:anchor="latin-record-0134">
        <w:r>
          <w:rPr>
            <w:color w:val="000000"/>
          </w:rPr>
          <w:t xml:space="preserve">ascensio; descensio</w:t>
        </w:r>
      </w:hyperlink>
      <w:r>
        <w:rPr>
          <w:b w:val="0"/>
          <w:i w:val="0"/>
        </w:rPr>
        <w:t xml:space="preserve">; </w:t>
      </w:r>
      <w:hyperlink w:anchor="latin-record-0394">
        <w:r>
          <w:rPr>
            <w:color w:val="000000"/>
          </w:rPr>
          <w:t xml:space="preserve">discursus temporalis</w:t>
        </w:r>
      </w:hyperlink>
      <w:r>
        <w:rPr>
          <w:b w:val="0"/>
          <w:i w:val="0"/>
        </w:rPr>
        <w:t xml:space="preserve">; </w:t>
      </w:r>
      <w:hyperlink w:anchor="latin-record-0433">
        <w:r>
          <w:rPr>
            <w:color w:val="000000"/>
          </w:rPr>
          <w:t xml:space="preserve">emergere</w:t>
        </w:r>
      </w:hyperlink>
      <w:r>
        <w:rPr>
          <w:b w:val="0"/>
          <w:i w:val="0"/>
        </w:rPr>
        <w:t xml:space="preserve">; </w:t>
      </w:r>
      <w:hyperlink w:anchor="latin-record-0813">
        <w:r>
          <w:rPr>
            <w:color w:val="000000"/>
          </w:rPr>
          <w:t xml:space="preserve">movere; motus</w:t>
        </w:r>
      </w:hyperlink>
      <w:r>
        <w:rPr>
          <w:b w:val="0"/>
          <w:i w:val="0"/>
        </w:rPr>
        <w:t xml:space="preserve">; </w:t>
      </w:r>
      <w:hyperlink w:anchor="latin-record-0882">
        <w:r>
          <w:rPr>
            <w:color w:val="000000"/>
          </w:rPr>
          <w:t xml:space="preserve">origo; principium; causa</w:t>
        </w:r>
      </w:hyperlink>
      <w:r>
        <w:rPr>
          <w:b w:val="0"/>
          <w:i w:val="0"/>
        </w:rPr>
        <w:t xml:space="preserve">; </w:t>
      </w:r>
      <w:hyperlink w:anchor="latin-record-0953">
        <w:r>
          <w:rPr>
            <w:color w:val="000000"/>
          </w:rPr>
          <w:t xml:space="preserve">Platonici; Peripatetici</w:t>
        </w:r>
      </w:hyperlink>
      <w:r>
        <w:rPr>
          <w:b w:val="0"/>
          <w:i w:val="0"/>
        </w:rPr>
        <w:t xml:space="preserve">; </w:t>
      </w:r>
      <w:hyperlink w:anchor="latin-record-1048">
        <w:r>
          <w:rPr>
            <w:color w:val="000000"/>
          </w:rPr>
          <w:t xml:space="preserve">quantum; quatenus; respectus</w:t>
        </w:r>
      </w:hyperlink>
      <w:r>
        <w:rPr>
          <w:b w:val="0"/>
          <w:i w:val="0"/>
        </w:rPr>
        <w:t xml:space="preserve">; </w:t>
      </w:r>
      <w:hyperlink w:anchor="latin-record-1094">
        <w:r>
          <w:rPr>
            <w:color w:val="000000"/>
          </w:rPr>
          <w:t xml:space="preserve">regere; ducere; gubernare</w:t>
        </w:r>
      </w:hyperlink>
      <w:r>
        <w:rPr>
          <w:b w:val="0"/>
          <w:i w:val="0"/>
        </w:rPr>
        <w:t xml:space="preserve">; </w:t>
      </w:r>
      <w:hyperlink w:anchor="latin-record-1107">
        <w:r>
          <w:rPr>
            <w:color w:val="000000"/>
          </w:rPr>
          <w:t xml:space="preserve">reperire; invenire</w:t>
        </w:r>
      </w:hyperlink>
      <w:r>
        <w:rPr>
          <w:b w:val="0"/>
          <w:i w:val="0"/>
        </w:rPr>
        <w:t xml:space="preserve">; </w:t>
      </w:r>
      <w:hyperlink w:anchor="latin-record-1348">
        <w:r>
          <w:rPr>
            <w:color w:val="000000"/>
          </w:rPr>
          <w:t xml:space="preserve">vicissitudo seminum</w:t>
        </w:r>
      </w:hyperlink>
      <w:r>
        <w:rPr>
          <w:b w:val="0"/>
          <w:i w:val="0"/>
        </w:rPr>
        <w:t>.</w:t>
      </w:r>
    </w:p>
    <w:p>
      <w:pPr>
        <w:widowControl/>
      </w:pPr>
      <w:bookmarkStart w:id="1873" w:name="passage-vi-12-18"/>
      <w:bookmarkEnd w:id="1873"/>
      <w:r>
        <w:rPr>
          <w:b/>
          <w:i w:val="0"/>
        </w:rPr>
        <w:t>VI.12.18</w:t>
      </w:r>
      <w:r>
        <w:rPr>
          <w:b/>
          <w:i w:val="0"/>
        </w:rPr>
        <w:t>, source pp. 218–219.</w:t>
      </w:r>
      <w:r>
        <w:rPr>
          <w:b w:val="0"/>
          <w:i w:val="0"/>
        </w:rPr>
        <w:t xml:space="preserve"> Articles: </w:t>
      </w:r>
      <w:hyperlink w:anchor="separate-forms-and-intellectual-life">
        <w:r>
          <w:rPr>
            <w:color w:val="000000"/>
          </w:rPr>
          <w:t xml:space="preserve">Separate forms and intellectual life</w:t>
        </w:r>
      </w:hyperlink>
      <w:r>
        <w:rPr>
          <w:b w:val="0"/>
          <w:i w:val="0"/>
        </w:rPr>
        <w:t xml:space="preserve">; </w:t>
      </w:r>
      <w:hyperlink w:anchor="temporal-discourse-and-psychic-ascent">
        <w:r>
          <w:rPr>
            <w:color w:val="000000"/>
          </w:rPr>
          <w:t xml:space="preserve">Temporal discourse and psychic ascent</w:t>
        </w:r>
      </w:hyperlink>
      <w:r>
        <w:rPr>
          <w:b w:val="0"/>
          <w:i w:val="0"/>
        </w:rPr>
        <w:t xml:space="preserve">. Vocabulary: </w:t>
      </w:r>
      <w:hyperlink w:anchor="latin-record-0031">
        <w:r>
          <w:rPr>
            <w:color w:val="000000"/>
          </w:rPr>
          <w:t xml:space="preserve">ad incorporalia</w:t>
        </w:r>
      </w:hyperlink>
      <w:r>
        <w:rPr>
          <w:b w:val="0"/>
          <w:i w:val="0"/>
        </w:rPr>
        <w:t xml:space="preserve">; </w:t>
      </w:r>
      <w:hyperlink w:anchor="latin-record-0061">
        <w:r>
          <w:rPr>
            <w:color w:val="000000"/>
          </w:rPr>
          <w:t xml:space="preserve">agere; operari</w:t>
        </w:r>
      </w:hyperlink>
      <w:r>
        <w:rPr>
          <w:b w:val="0"/>
          <w:i w:val="0"/>
        </w:rPr>
        <w:t xml:space="preserve">; </w:t>
      </w:r>
      <w:hyperlink w:anchor="latin-record-0090">
        <w:r>
          <w:rPr>
            <w:color w:val="000000"/>
          </w:rPr>
          <w:t xml:space="preserve">angelus; Deus</w:t>
        </w:r>
      </w:hyperlink>
      <w:r>
        <w:rPr>
          <w:b w:val="0"/>
          <w:i w:val="0"/>
        </w:rPr>
        <w:t xml:space="preserve">; </w:t>
      </w:r>
      <w:hyperlink w:anchor="latin-record-0336">
        <w:r>
          <w:rPr>
            <w:color w:val="000000"/>
          </w:rPr>
          <w:t xml:space="preserve">corporeus; corporalis; incorporeus</w:t>
        </w:r>
      </w:hyperlink>
      <w:r>
        <w:rPr>
          <w:b w:val="0"/>
          <w:i w:val="0"/>
        </w:rPr>
        <w:t xml:space="preserve">; </w:t>
      </w:r>
      <w:hyperlink w:anchor="latin-record-0392">
        <w:r>
          <w:rPr>
            <w:color w:val="000000"/>
          </w:rPr>
          <w:t xml:space="preserve">discursio; revolutio</w:t>
        </w:r>
      </w:hyperlink>
      <w:r>
        <w:rPr>
          <w:b w:val="0"/>
          <w:i w:val="0"/>
        </w:rPr>
        <w:t xml:space="preserve">; </w:t>
      </w:r>
      <w:hyperlink w:anchor="latin-record-0503">
        <w:r>
          <w:rPr>
            <w:color w:val="000000"/>
          </w:rPr>
          <w:t xml:space="preserve">forma</w:t>
        </w:r>
      </w:hyperlink>
      <w:r>
        <w:rPr>
          <w:b w:val="0"/>
          <w:i w:val="0"/>
        </w:rPr>
        <w:t xml:space="preserve">; </w:t>
      </w:r>
      <w:hyperlink w:anchor="latin-record-0916">
        <w:r>
          <w:rPr>
            <w:color w:val="000000"/>
          </w:rPr>
          <w:t xml:space="preserve">per naturam ac vim propriam</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019">
        <w:r>
          <w:rPr>
            <w:color w:val="000000"/>
          </w:rPr>
          <w:t xml:space="preserve">proprius; communis</w:t>
        </w:r>
      </w:hyperlink>
      <w:r>
        <w:rPr>
          <w:b w:val="0"/>
          <w:i w:val="0"/>
        </w:rPr>
        <w:t xml:space="preserve">; </w:t>
      </w:r>
      <w:hyperlink w:anchor="latin-record-1094">
        <w:r>
          <w:rPr>
            <w:color w:val="000000"/>
          </w:rPr>
          <w:t xml:space="preserve">regere; ducere; gubernare</w:t>
        </w:r>
      </w:hyperlink>
      <w:r>
        <w:rPr>
          <w:b w:val="0"/>
          <w:i w:val="0"/>
        </w:rPr>
        <w:t xml:space="preserve">; </w:t>
      </w:r>
      <w:hyperlink w:anchor="latin-record-1183">
        <w:r>
          <w:rPr>
            <w:color w:val="000000"/>
          </w:rPr>
          <w:t xml:space="preserve">simul possidere et videre</w:t>
        </w:r>
      </w:hyperlink>
      <w:r>
        <w:rPr>
          <w:b w:val="0"/>
          <w:i w:val="0"/>
        </w:rPr>
        <w:t xml:space="preserve">; </w:t>
      </w:r>
      <w:hyperlink w:anchor="latin-record-1184">
        <w:r>
          <w:rPr>
            <w:color w:val="000000"/>
          </w:rPr>
          <w:t xml:space="preserve">simul; vicissim; invicem</w:t>
        </w:r>
      </w:hyperlink>
      <w:r>
        <w:rPr>
          <w:b w:val="0"/>
          <w:i w:val="0"/>
        </w:rPr>
        <w:t xml:space="preserve">; </w:t>
      </w:r>
      <w:hyperlink w:anchor="latin-record-1351">
        <w:r>
          <w:rPr>
            <w:color w:val="000000"/>
          </w:rPr>
          <w:t xml:space="preserve">videre; cernere; intueri</w:t>
        </w:r>
      </w:hyperlink>
      <w:r>
        <w:rPr>
          <w:b w:val="0"/>
          <w:i w:val="0"/>
        </w:rPr>
        <w:t>.</w:t>
      </w:r>
    </w:p>
    <w:p>
      <w:pPr>
        <w:widowControl/>
      </w:pPr>
      <w:bookmarkStart w:id="1874" w:name="passage-vi-12-19"/>
      <w:bookmarkEnd w:id="1874"/>
      <w:r>
        <w:rPr>
          <w:b/>
          <w:i w:val="0"/>
        </w:rPr>
        <w:t>VI.12.19</w:t>
      </w:r>
      <w:r>
        <w:rPr>
          <w:b/>
          <w:i w:val="0"/>
        </w:rPr>
        <w:t>, source pp. 218–219.</w:t>
      </w:r>
      <w:r>
        <w:rPr>
          <w:b w:val="0"/>
          <w:i w:val="0"/>
        </w:rPr>
        <w:t xml:space="preserve"> Articles: </w:t>
      </w:r>
      <w:hyperlink w:anchor="contrary-powers-and-directed-movement">
        <w:r>
          <w:rPr>
            <w:color w:val="000000"/>
          </w:rPr>
          <w:t xml:space="preserve">Contrary powers and directed movement</w:t>
        </w:r>
      </w:hyperlink>
      <w:r>
        <w:rPr>
          <w:b w:val="0"/>
          <w:i w:val="0"/>
        </w:rPr>
        <w:t xml:space="preserve">; </w:t>
      </w:r>
      <w:hyperlink w:anchor="exemplars-of-bodily-motion-in-soul">
        <w:r>
          <w:rPr>
            <w:color w:val="000000"/>
          </w:rPr>
          <w:t xml:space="preserve">Exemplars of bodily motion in soul</w:t>
        </w:r>
      </w:hyperlink>
      <w:r>
        <w:rPr>
          <w:b w:val="0"/>
          <w:i w:val="0"/>
        </w:rPr>
        <w:t xml:space="preserve">; </w:t>
      </w:r>
      <w:hyperlink w:anchor="generation-corruption-and-self-preservation">
        <w:r>
          <w:rPr>
            <w:color w:val="000000"/>
          </w:rPr>
          <w:t xml:space="preserve">Generation, corruption and self-preservation</w:t>
        </w:r>
      </w:hyperlink>
      <w:r>
        <w:rPr>
          <w:b w:val="0"/>
          <w:i w:val="0"/>
        </w:rPr>
        <w:t xml:space="preserve">. Vocabulary: </w:t>
      </w:r>
      <w:hyperlink w:anchor="latin-record-0090">
        <w:r>
          <w:rPr>
            <w:color w:val="000000"/>
          </w:rPr>
          <w:t xml:space="preserve">angelus; Deus</w:t>
        </w:r>
      </w:hyperlink>
      <w:r>
        <w:rPr>
          <w:b w:val="0"/>
          <w:i w:val="0"/>
        </w:rPr>
        <w:t xml:space="preserve">; </w:t>
      </w:r>
      <w:hyperlink w:anchor="latin-record-0377">
        <w:r>
          <w:rPr>
            <w:color w:val="000000"/>
          </w:rPr>
          <w:t xml:space="preserve">dextera; sinistra; ante; retro</w:t>
        </w:r>
      </w:hyperlink>
      <w:r>
        <w:rPr>
          <w:b w:val="0"/>
          <w:i w:val="0"/>
        </w:rPr>
        <w:t xml:space="preserve">; </w:t>
      </w:r>
      <w:hyperlink w:anchor="latin-record-0391">
        <w:r>
          <w:rPr>
            <w:color w:val="000000"/>
          </w:rPr>
          <w:t xml:space="preserve">discurrere; distrahi</w:t>
        </w:r>
      </w:hyperlink>
      <w:r>
        <w:rPr>
          <w:b w:val="0"/>
          <w:i w:val="0"/>
        </w:rPr>
        <w:t xml:space="preserve">; </w:t>
      </w:r>
      <w:hyperlink w:anchor="latin-record-0457">
        <w:r>
          <w:rPr>
            <w:color w:val="000000"/>
          </w:rPr>
          <w:t xml:space="preserve">exemplar</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555">
        <w:r>
          <w:rPr>
            <w:color w:val="000000"/>
          </w:rPr>
          <w:t xml:space="preserve">haerere</w:t>
        </w:r>
      </w:hyperlink>
      <w:r>
        <w:rPr>
          <w:b w:val="0"/>
          <w:i w:val="0"/>
        </w:rPr>
        <w:t xml:space="preserve">; </w:t>
      </w:r>
      <w:hyperlink w:anchor="latin-record-0681">
        <w:r>
          <w:rPr>
            <w:color w:val="000000"/>
          </w:rPr>
          <w:t xml:space="preserve">intueri; colligere</w:t>
        </w:r>
      </w:hyperlink>
      <w:r>
        <w:rPr>
          <w:b w:val="0"/>
          <w:i w:val="0"/>
        </w:rPr>
        <w:t xml:space="preserve">; </w:t>
      </w:r>
      <w:hyperlink w:anchor="latin-record-1048">
        <w:r>
          <w:rPr>
            <w:color w:val="000000"/>
          </w:rPr>
          <w:t xml:space="preserve">quantum; quatenus; respectus</w:t>
        </w:r>
      </w:hyperlink>
      <w:r>
        <w:rPr>
          <w:b w:val="0"/>
          <w:i w:val="0"/>
        </w:rPr>
        <w:t xml:space="preserve">; </w:t>
      </w:r>
      <w:hyperlink w:anchor="latin-record-1081">
        <w:r>
          <w:rPr>
            <w:color w:val="000000"/>
          </w:rPr>
          <w:t xml:space="preserve">rectum; obliquum; circulus</w:t>
        </w:r>
      </w:hyperlink>
      <w:r>
        <w:rPr>
          <w:b w:val="0"/>
          <w:i w:val="0"/>
        </w:rPr>
        <w:t xml:space="preserve">; </w:t>
      </w:r>
      <w:hyperlink w:anchor="latin-record-1089">
        <w:r>
          <w:rPr>
            <w:color w:val="000000"/>
          </w:rPr>
          <w:t xml:space="preserve">reflecti</w:t>
        </w:r>
      </w:hyperlink>
      <w:r>
        <w:rPr>
          <w:b w:val="0"/>
          <w:i w:val="0"/>
        </w:rPr>
        <w:t xml:space="preserve">; </w:t>
      </w:r>
      <w:hyperlink w:anchor="latin-record-1101">
        <w:r>
          <w:rPr>
            <w:color w:val="000000"/>
          </w:rPr>
          <w:t xml:space="preserve">reminisci; oblivisci</w:t>
        </w:r>
      </w:hyperlink>
      <w:r>
        <w:rPr>
          <w:b w:val="0"/>
          <w:i w:val="0"/>
        </w:rPr>
        <w:t xml:space="preserve">; </w:t>
      </w:r>
      <w:hyperlink w:anchor="latin-record-1115">
        <w:r>
          <w:rPr>
            <w:color w:val="000000"/>
          </w:rPr>
          <w:t xml:space="preserve">resolvere; deducere</w:t>
        </w:r>
      </w:hyperlink>
      <w:r>
        <w:rPr>
          <w:b w:val="0"/>
          <w:i w:val="0"/>
        </w:rPr>
        <w:t xml:space="preserve">; </w:t>
      </w:r>
      <w:hyperlink w:anchor="latin-record-1266">
        <w:r>
          <w:rPr>
            <w:color w:val="000000"/>
          </w:rPr>
          <w:t xml:space="preserve">sursum; deorsum; extra; intra</w:t>
        </w:r>
      </w:hyperlink>
      <w:r>
        <w:rPr>
          <w:b w:val="0"/>
          <w:i w:val="0"/>
        </w:rPr>
        <w:t xml:space="preserve">; </w:t>
      </w:r>
      <w:hyperlink w:anchor="latin-record-1322">
        <w:r>
          <w:rPr>
            <w:color w:val="000000"/>
          </w:rPr>
          <w:t xml:space="preserve">universale; particulare</w:t>
        </w:r>
      </w:hyperlink>
      <w:r>
        <w:rPr>
          <w:b w:val="0"/>
          <w:i w:val="0"/>
        </w:rPr>
        <w:t>.</w:t>
      </w:r>
    </w:p>
    <w:p>
      <w:pPr>
        <w:widowControl/>
      </w:pPr>
      <w:bookmarkStart w:id="1875" w:name="passage-vi-12-20"/>
      <w:bookmarkEnd w:id="1875"/>
      <w:r>
        <w:rPr>
          <w:b/>
          <w:i w:val="0"/>
        </w:rPr>
        <w:t>VI.12.20</w:t>
      </w:r>
      <w:r>
        <w:rPr>
          <w:b/>
          <w:i w:val="0"/>
        </w:rPr>
        <w:t>, source pp. 220–221.</w:t>
      </w:r>
      <w:r>
        <w:rPr>
          <w:b w:val="0"/>
          <w:i w:val="0"/>
        </w:rPr>
        <w:t xml:space="preserve"> Articles: </w:t>
      </w:r>
      <w:hyperlink w:anchor="exemplars-of-bodily-motion-in-soul">
        <w:r>
          <w:rPr>
            <w:color w:val="000000"/>
          </w:rPr>
          <w:t xml:space="preserve">Exemplars of bodily motion in soul</w:t>
        </w:r>
      </w:hyperlink>
      <w:r>
        <w:rPr>
          <w:b w:val="0"/>
          <w:i w:val="0"/>
        </w:rPr>
        <w:t xml:space="preserve">; </w:t>
      </w:r>
      <w:hyperlink w:anchor="generation-corruption-and-self-preservation">
        <w:r>
          <w:rPr>
            <w:color w:val="000000"/>
          </w:rPr>
          <w:t xml:space="preserve">Generation, corruption and self-preservation</w:t>
        </w:r>
      </w:hyperlink>
      <w:r>
        <w:rPr>
          <w:b w:val="0"/>
          <w:i w:val="0"/>
        </w:rPr>
        <w:t xml:space="preserve">; </w:t>
      </w:r>
      <w:hyperlink w:anchor="vital-motion-action-and-passion">
        <w:r>
          <w:rPr>
            <w:color w:val="000000"/>
          </w:rPr>
          <w:t xml:space="preserve">Vital motion, action and passion</w:t>
        </w:r>
      </w:hyperlink>
      <w:r>
        <w:rPr>
          <w:b w:val="0"/>
          <w:i w:val="0"/>
        </w:rPr>
        <w:t xml:space="preserve">. Vocabulary: </w:t>
      </w:r>
      <w:hyperlink w:anchor="latin-record-0457">
        <w:r>
          <w:rPr>
            <w:color w:val="000000"/>
          </w:rPr>
          <w:t xml:space="preserve">exemplar</w:t>
        </w:r>
      </w:hyperlink>
      <w:r>
        <w:rPr>
          <w:b w:val="0"/>
          <w:i w:val="0"/>
        </w:rPr>
        <w:t xml:space="preserve">; </w:t>
      </w:r>
      <w:hyperlink w:anchor="latin-record-0477">
        <w:r>
          <w:rPr>
            <w:color w:val="000000"/>
          </w:rPr>
          <w:t xml:space="preserve">facultas; capacitas</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922">
        <w:r>
          <w:rPr>
            <w:color w:val="000000"/>
          </w:rPr>
          <w:t xml:space="preserve">per se; quodammodo; proprie</w:t>
        </w:r>
      </w:hyperlink>
      <w:r>
        <w:rPr>
          <w:b w:val="0"/>
          <w:i w:val="0"/>
        </w:rPr>
        <w:t xml:space="preserve">; </w:t>
      </w:r>
      <w:hyperlink w:anchor="latin-record-1057">
        <w:r>
          <w:rPr>
            <w:color w:val="000000"/>
          </w:rPr>
          <w:t xml:space="preserve">quodammodo; quasi</w:t>
        </w:r>
      </w:hyperlink>
      <w:r>
        <w:rPr>
          <w:b w:val="0"/>
          <w:i w:val="0"/>
        </w:rPr>
        <w:t xml:space="preserve">; </w:t>
      </w:r>
      <w:hyperlink w:anchor="latin-record-1233">
        <w:r>
          <w:rPr>
            <w:color w:val="000000"/>
          </w:rPr>
          <w:t xml:space="preserve">spontaneus; gradi</w:t>
        </w:r>
      </w:hyperlink>
      <w:r>
        <w:rPr>
          <w:b w:val="0"/>
          <w:i w:val="0"/>
        </w:rPr>
        <w:t>.</w:t>
      </w:r>
    </w:p>
    <w:p>
      <w:pPr>
        <w:pStyle w:val="Heading2"/>
      </w:pPr>
      <w:bookmarkStart w:id="1876" w:name="chapter-vi.13"/>
      <w:r>
        <w:rPr>
          <w:b w:val="0"/>
          <w:i w:val="0"/>
        </w:rPr>
        <w:t>Chapter VI.13</w:t>
      </w:r>
      <w:bookmarkEnd w:id="1876"/>
    </w:p>
    <w:p>
      <w:pPr>
        <w:widowControl/>
      </w:pPr>
      <w:bookmarkStart w:id="1877" w:name="passage-vi-13-1"/>
      <w:bookmarkEnd w:id="1877"/>
      <w:r>
        <w:rPr>
          <w:b/>
          <w:i w:val="0"/>
        </w:rPr>
        <w:t>VI.13.1</w:t>
      </w:r>
      <w:r>
        <w:rPr>
          <w:b/>
          <w:i w:val="0"/>
        </w:rPr>
        <w:t>, source pp. 222–223.</w:t>
      </w:r>
      <w:r>
        <w:rPr>
          <w:b w:val="0"/>
          <w:i w:val="0"/>
        </w:rPr>
        <w:t xml:space="preserve"> Articles: </w:t>
      </w:r>
      <w:hyperlink w:anchor="growth-amputation-and-soul-size">
        <w:r>
          <w:rPr>
            <w:color w:val="000000"/>
          </w:rPr>
          <w:t xml:space="preserve">Growth, amputation and soul-size</w:t>
        </w:r>
      </w:hyperlink>
      <w:r>
        <w:rPr>
          <w:b w:val="0"/>
          <w:i w:val="0"/>
        </w:rPr>
        <w:t xml:space="preserve">. Vocabulary: </w:t>
      </w:r>
      <w:hyperlink w:anchor="latin-record-0064">
        <w:r>
          <w:rPr>
            <w:color w:val="000000"/>
          </w:rPr>
          <w:t xml:space="preserve">agilis; agilitas; celeritas</w:t>
        </w:r>
      </w:hyperlink>
      <w:r>
        <w:rPr>
          <w:b w:val="0"/>
          <w:i w:val="0"/>
        </w:rPr>
        <w:t xml:space="preserve">; </w:t>
      </w:r>
      <w:hyperlink w:anchor="latin-record-0092">
        <w:r>
          <w:rPr>
            <w:color w:val="000000"/>
          </w:rPr>
          <w:t xml:space="preserve">anima</w:t>
        </w:r>
      </w:hyperlink>
      <w:r>
        <w:rPr>
          <w:b w:val="0"/>
          <w:i w:val="0"/>
        </w:rPr>
        <w:t xml:space="preserve">; </w:t>
      </w:r>
      <w:hyperlink w:anchor="latin-record-0168">
        <w:r>
          <w:rPr>
            <w:color w:val="000000"/>
          </w:rPr>
          <w:t xml:space="preserve">bracchium; crus</w:t>
        </w:r>
      </w:hyperlink>
      <w:r>
        <w:rPr>
          <w:b w:val="0"/>
          <w:i w:val="0"/>
        </w:rPr>
        <w:t xml:space="preserve">; </w:t>
      </w:r>
      <w:hyperlink w:anchor="latin-record-0528">
        <w:r>
          <w:rPr>
            <w:color w:val="000000"/>
          </w:rPr>
          <w:t xml:space="preserve">frustum; secare</w:t>
        </w:r>
      </w:hyperlink>
      <w:r>
        <w:rPr>
          <w:b w:val="0"/>
          <w:i w:val="0"/>
        </w:rPr>
        <w:t xml:space="preserve">; </w:t>
      </w:r>
      <w:hyperlink w:anchor="latin-record-0714">
        <w:r>
          <w:rPr>
            <w:color w:val="000000"/>
          </w:rPr>
          <w:t xml:space="preserve">liber; solutus; separatus</w:t>
        </w:r>
      </w:hyperlink>
      <w:r>
        <w:rPr>
          <w:b w:val="0"/>
          <w:i w:val="0"/>
        </w:rPr>
        <w:t xml:space="preserve">; </w:t>
      </w:r>
      <w:hyperlink w:anchor="latin-record-1159">
        <w:r>
          <w:rPr>
            <w:color w:val="000000"/>
          </w:rPr>
          <w:t xml:space="preserve">sensus; sentire</w:t>
        </w:r>
      </w:hyperlink>
      <w:r>
        <w:rPr>
          <w:b w:val="0"/>
          <w:i w:val="0"/>
        </w:rPr>
        <w:t xml:space="preserve">; </w:t>
      </w:r>
      <w:hyperlink w:anchor="latin-record-1170">
        <w:r>
          <w:rPr>
            <w:color w:val="000000"/>
          </w:rPr>
          <w:t xml:space="preserve">si; sin; nisi; licet</w:t>
        </w:r>
      </w:hyperlink>
      <w:r>
        <w:rPr>
          <w:b w:val="0"/>
          <w:i w:val="0"/>
        </w:rPr>
        <w:t xml:space="preserve">; </w:t>
      </w:r>
      <w:hyperlink w:anchor="latin-record-1321">
        <w:r>
          <w:rPr>
            <w:color w:val="000000"/>
          </w:rPr>
          <w:t xml:space="preserve">unius naturae</w:t>
        </w:r>
      </w:hyperlink>
      <w:r>
        <w:rPr>
          <w:b w:val="0"/>
          <w:i w:val="0"/>
        </w:rPr>
        <w:t>.</w:t>
      </w:r>
    </w:p>
    <w:p>
      <w:pPr>
        <w:widowControl/>
      </w:pPr>
      <w:bookmarkStart w:id="1878" w:name="passage-vi-13-2"/>
      <w:bookmarkEnd w:id="1878"/>
      <w:r>
        <w:rPr>
          <w:b/>
          <w:i w:val="0"/>
        </w:rPr>
        <w:t>VI.13.2</w:t>
      </w:r>
      <w:r>
        <w:rPr>
          <w:b/>
          <w:i w:val="0"/>
        </w:rPr>
        <w:t>, source pp. 222–223.</w:t>
      </w:r>
      <w:r>
        <w:rPr>
          <w:b w:val="0"/>
          <w:i w:val="0"/>
        </w:rPr>
        <w:t xml:space="preserve"> Articles: </w:t>
      </w:r>
      <w:hyperlink w:anchor="growth-amputation-and-soul-size">
        <w:r>
          <w:rPr>
            <w:color w:val="000000"/>
          </w:rPr>
          <w:t xml:space="preserve">Growth, amputation and soul-size</w:t>
        </w:r>
      </w:hyperlink>
      <w:r>
        <w:rPr>
          <w:b w:val="0"/>
          <w:i w:val="0"/>
        </w:rPr>
        <w:t xml:space="preserve">. Vocabulary: </w:t>
      </w:r>
      <w:hyperlink w:anchor="latin-record-0168">
        <w:r>
          <w:rPr>
            <w:color w:val="000000"/>
          </w:rPr>
          <w:t xml:space="preserve">bracchium; crus</w:t>
        </w:r>
      </w:hyperlink>
      <w:r>
        <w:rPr>
          <w:b w:val="0"/>
          <w:i w:val="0"/>
        </w:rPr>
        <w:t xml:space="preserve">; </w:t>
      </w:r>
      <w:hyperlink w:anchor="latin-record-1033">
        <w:r>
          <w:rPr>
            <w:color w:val="000000"/>
          </w:rPr>
          <w:t xml:space="preserve">pusillanimis; hebes; obliviosus</w:t>
        </w:r>
      </w:hyperlink>
      <w:r>
        <w:rPr>
          <w:b w:val="0"/>
          <w:i w:val="0"/>
        </w:rPr>
        <w:t>.</w:t>
      </w:r>
    </w:p>
    <w:p>
      <w:pPr>
        <w:widowControl/>
      </w:pPr>
      <w:bookmarkStart w:id="1879" w:name="passage-vi-13-3"/>
      <w:bookmarkEnd w:id="1879"/>
      <w:r>
        <w:rPr>
          <w:b/>
          <w:i w:val="0"/>
        </w:rPr>
        <w:t>VI.13.3</w:t>
      </w:r>
      <w:r>
        <w:rPr>
          <w:b/>
          <w:i w:val="0"/>
        </w:rPr>
        <w:t>, source pp. 222–223.</w:t>
      </w:r>
      <w:r>
        <w:rPr>
          <w:b w:val="0"/>
          <w:i w:val="0"/>
        </w:rPr>
        <w:t xml:space="preserve"> Articles: </w:t>
      </w:r>
      <w:hyperlink w:anchor="food-lending-and-borrowing-life">
        <w:r>
          <w:rPr>
            <w:color w:val="000000"/>
          </w:rPr>
          <w:t xml:space="preserve">Food, lending and borrowing life</w:t>
        </w:r>
      </w:hyperlink>
      <w:r>
        <w:rPr>
          <w:b w:val="0"/>
          <w:i w:val="0"/>
        </w:rPr>
        <w:t xml:space="preserve">; </w:t>
      </w:r>
      <w:hyperlink w:anchor="growth-amputation-and-soul-size">
        <w:r>
          <w:rPr>
            <w:color w:val="000000"/>
          </w:rPr>
          <w:t xml:space="preserve">Growth, amputation and soul-size</w:t>
        </w:r>
      </w:hyperlink>
      <w:r>
        <w:rPr>
          <w:b w:val="0"/>
          <w:i w:val="0"/>
        </w:rPr>
        <w:t xml:space="preserve">. Vocabulary: </w:t>
      </w:r>
      <w:hyperlink w:anchor="latin-record-0042">
        <w:r>
          <w:rPr>
            <w:color w:val="000000"/>
          </w:rPr>
          <w:t xml:space="preserve">aequaliter; aeque; aequare</w:t>
        </w:r>
      </w:hyperlink>
      <w:r>
        <w:rPr>
          <w:b w:val="0"/>
          <w:i w:val="0"/>
        </w:rPr>
        <w:t xml:space="preserve">; </w:t>
      </w:r>
      <w:hyperlink w:anchor="latin-record-0072">
        <w:r>
          <w:rPr>
            <w:color w:val="000000"/>
          </w:rPr>
          <w:t xml:space="preserve">alimentum; alimonia; nutrimentum</w:t>
        </w:r>
      </w:hyperlink>
      <w:r>
        <w:rPr>
          <w:b w:val="0"/>
          <w:i w:val="0"/>
        </w:rPr>
        <w:t xml:space="preserve">; </w:t>
      </w:r>
      <w:hyperlink w:anchor="latin-record-0349">
        <w:r>
          <w:rPr>
            <w:color w:val="000000"/>
          </w:rPr>
          <w:t xml:space="preserve">crescere; decrescere; adolescere</w:t>
        </w:r>
      </w:hyperlink>
      <w:r>
        <w:rPr>
          <w:b w:val="0"/>
          <w:i w:val="0"/>
        </w:rPr>
        <w:t xml:space="preserve">; </w:t>
      </w:r>
      <w:hyperlink w:anchor="latin-record-0748">
        <w:r>
          <w:rPr>
            <w:color w:val="000000"/>
          </w:rPr>
          <w:t xml:space="preserve">magnificentior; divinior</w:t>
        </w:r>
      </w:hyperlink>
      <w:r>
        <w:rPr>
          <w:b w:val="0"/>
          <w:i w:val="0"/>
        </w:rPr>
        <w:t xml:space="preserve">; </w:t>
      </w:r>
      <w:hyperlink w:anchor="latin-record-0819">
        <w:r>
          <w:rPr>
            <w:color w:val="000000"/>
          </w:rPr>
          <w:t xml:space="preserve">mutuare vitam</w:t>
        </w:r>
      </w:hyperlink>
      <w:r>
        <w:rPr>
          <w:b w:val="0"/>
          <w:i w:val="0"/>
        </w:rPr>
        <w:t xml:space="preserve">; </w:t>
      </w:r>
      <w:hyperlink w:anchor="latin-record-0964">
        <w:r>
          <w:rPr>
            <w:color w:val="000000"/>
          </w:rPr>
          <w:t xml:space="preserve">posse; valere; oportere</w:t>
        </w:r>
      </w:hyperlink>
      <w:r>
        <w:rPr>
          <w:b w:val="0"/>
          <w:i w:val="0"/>
        </w:rPr>
        <w:t xml:space="preserve">; </w:t>
      </w:r>
      <w:hyperlink w:anchor="latin-record-1175">
        <w:r>
          <w:rPr>
            <w:color w:val="000000"/>
          </w:rPr>
          <w:t xml:space="preserve">similis; idem</w:t>
        </w:r>
      </w:hyperlink>
      <w:r>
        <w:rPr>
          <w:b w:val="0"/>
          <w:i w:val="0"/>
        </w:rPr>
        <w:t>.</w:t>
      </w:r>
    </w:p>
    <w:p>
      <w:pPr>
        <w:widowControl/>
      </w:pPr>
      <w:bookmarkStart w:id="1880" w:name="passage-vi-13-4"/>
      <w:bookmarkEnd w:id="1880"/>
      <w:r>
        <w:rPr>
          <w:b/>
          <w:i w:val="0"/>
        </w:rPr>
        <w:t>VI.13.4</w:t>
      </w:r>
      <w:r>
        <w:rPr>
          <w:b/>
          <w:i w:val="0"/>
        </w:rPr>
        <w:t>, source pp. 222–223.</w:t>
      </w:r>
      <w:r>
        <w:rPr>
          <w:b w:val="0"/>
          <w:i w:val="0"/>
        </w:rPr>
        <w:t xml:space="preserve"> Articles: </w:t>
      </w:r>
      <w:hyperlink w:anchor="food-lending-and-borrowing-life">
        <w:r>
          <w:rPr>
            <w:color w:val="000000"/>
          </w:rPr>
          <w:t xml:space="preserve">Food, lending and borrowing life</w:t>
        </w:r>
      </w:hyperlink>
      <w:r>
        <w:rPr>
          <w:b w:val="0"/>
          <w:i w:val="0"/>
        </w:rPr>
        <w:t xml:space="preserve">. Vocabulary: </w:t>
      </w:r>
      <w:hyperlink w:anchor="latin-record-0072">
        <w:r>
          <w:rPr>
            <w:color w:val="000000"/>
          </w:rPr>
          <w:t xml:space="preserve">alimentum; alimonia; nutrimentum</w:t>
        </w:r>
      </w:hyperlink>
      <w:r>
        <w:rPr>
          <w:b w:val="0"/>
          <w:i w:val="0"/>
        </w:rPr>
        <w:t xml:space="preserve">; </w:t>
      </w:r>
      <w:hyperlink w:anchor="latin-record-0165">
        <w:r>
          <w:rPr>
            <w:color w:val="000000"/>
          </w:rPr>
          <w:t xml:space="preserve">bonitas naturae</w:t>
        </w:r>
      </w:hyperlink>
      <w:r>
        <w:rPr>
          <w:b w:val="0"/>
          <w:i w:val="0"/>
        </w:rPr>
        <w:t xml:space="preserve">; </w:t>
      </w:r>
      <w:hyperlink w:anchor="latin-record-0560">
        <w:r>
          <w:rPr>
            <w:color w:val="000000"/>
          </w:rPr>
          <w:t xml:space="preserve">haurire; perdere; servare</w:t>
        </w:r>
      </w:hyperlink>
      <w:r>
        <w:rPr>
          <w:b w:val="0"/>
          <w:i w:val="0"/>
        </w:rPr>
        <w:t xml:space="preserve">; </w:t>
      </w:r>
      <w:hyperlink w:anchor="latin-record-0827">
        <w:r>
          <w:rPr>
            <w:color w:val="000000"/>
          </w:rPr>
          <w:t xml:space="preserve">natura; naturalis</w:t>
        </w:r>
      </w:hyperlink>
      <w:r>
        <w:rPr>
          <w:b w:val="0"/>
          <w:i w:val="0"/>
        </w:rPr>
        <w:t>.</w:t>
      </w:r>
    </w:p>
    <w:p>
      <w:pPr>
        <w:widowControl/>
      </w:pPr>
      <w:bookmarkStart w:id="1881" w:name="passage-vi-13-5"/>
      <w:bookmarkEnd w:id="1881"/>
      <w:r>
        <w:rPr>
          <w:b/>
          <w:i w:val="0"/>
        </w:rPr>
        <w:t>VI.13.5</w:t>
      </w:r>
      <w:r>
        <w:rPr>
          <w:b/>
          <w:i w:val="0"/>
        </w:rPr>
        <w:t>, source pp. 224–225.</w:t>
      </w:r>
      <w:r>
        <w:rPr>
          <w:b w:val="0"/>
          <w:i w:val="0"/>
        </w:rPr>
        <w:t xml:space="preserve"> Articles: </w:t>
      </w:r>
      <w:hyperlink w:anchor="food-lending-and-borrowing-life">
        <w:r>
          <w:rPr>
            <w:color w:val="000000"/>
          </w:rPr>
          <w:t xml:space="preserve">Food, lending and borrowing life</w:t>
        </w:r>
      </w:hyperlink>
      <w:r>
        <w:rPr>
          <w:b w:val="0"/>
          <w:i w:val="0"/>
        </w:rPr>
        <w:t xml:space="preserve">; </w:t>
      </w:r>
      <w:hyperlink w:anchor="persistence-memory-and-recognition">
        <w:r>
          <w:rPr>
            <w:color w:val="000000"/>
          </w:rPr>
          <w:t xml:space="preserve">Persistence, memory and recognition</w:t>
        </w:r>
      </w:hyperlink>
      <w:r>
        <w:rPr>
          <w:b w:val="0"/>
          <w:i w:val="0"/>
        </w:rPr>
        <w:t xml:space="preserve">. Vocabulary: </w:t>
      </w:r>
      <w:hyperlink w:anchor="latin-record-0303">
        <w:r>
          <w:rPr>
            <w:color w:val="000000"/>
          </w:rPr>
          <w:t xml:space="preserve">consentire</w:t>
        </w:r>
      </w:hyperlink>
      <w:r>
        <w:rPr>
          <w:b w:val="0"/>
          <w:i w:val="0"/>
        </w:rPr>
        <w:t xml:space="preserve">; </w:t>
      </w:r>
      <w:hyperlink w:anchor="latin-record-0596">
        <w:r>
          <w:rPr>
            <w:color w:val="000000"/>
          </w:rPr>
          <w:t xml:space="preserve">immo; tamen; nihilominus</w:t>
        </w:r>
      </w:hyperlink>
      <w:r>
        <w:rPr>
          <w:b w:val="0"/>
          <w:i w:val="0"/>
        </w:rPr>
        <w:t xml:space="preserve">; </w:t>
      </w:r>
      <w:hyperlink w:anchor="latin-record-1247">
        <w:r>
          <w:rPr>
            <w:color w:val="000000"/>
          </w:rPr>
          <w:t xml:space="preserve">substantia; essentia</w:t>
        </w:r>
      </w:hyperlink>
      <w:r>
        <w:rPr>
          <w:b w:val="0"/>
          <w:i w:val="0"/>
        </w:rPr>
        <w:t xml:space="preserve">; </w:t>
      </w:r>
      <w:hyperlink w:anchor="latin-record-1249">
        <w:r>
          <w:rPr>
            <w:color w:val="000000"/>
          </w:rPr>
          <w:t xml:space="preserve">subterfugere; adsciscere</w:t>
        </w:r>
      </w:hyperlink>
      <w:r>
        <w:rPr>
          <w:b w:val="0"/>
          <w:i w:val="0"/>
        </w:rPr>
        <w:t>.</w:t>
      </w:r>
    </w:p>
    <w:p>
      <w:pPr>
        <w:widowControl/>
      </w:pPr>
      <w:bookmarkStart w:id="1882" w:name="passage-vi-13-6"/>
      <w:bookmarkEnd w:id="1882"/>
      <w:r>
        <w:rPr>
          <w:b/>
          <w:i w:val="0"/>
        </w:rPr>
        <w:t>VI.13.6</w:t>
      </w:r>
      <w:r>
        <w:rPr>
          <w:b/>
          <w:i w:val="0"/>
        </w:rPr>
        <w:t>, source pp. 224–225.</w:t>
      </w:r>
      <w:r>
        <w:rPr>
          <w:b w:val="0"/>
          <w:i w:val="0"/>
        </w:rPr>
        <w:t xml:space="preserve"> Articles: </w:t>
      </w:r>
      <w:hyperlink w:anchor="images-migration-and-perfect-agent">
        <w:r>
          <w:rPr>
            <w:color w:val="000000"/>
          </w:rPr>
          <w:t xml:space="preserve">Images, migration and the perfect agent</w:t>
        </w:r>
      </w:hyperlink>
      <w:r>
        <w:rPr>
          <w:b w:val="0"/>
          <w:i w:val="0"/>
        </w:rPr>
        <w:t xml:space="preserve">; </w:t>
      </w:r>
      <w:hyperlink w:anchor="persistence-memory-and-recognition">
        <w:r>
          <w:rPr>
            <w:color w:val="000000"/>
          </w:rPr>
          <w:t xml:space="preserve">Persistence, memory and recognition</w:t>
        </w:r>
      </w:hyperlink>
      <w:r>
        <w:rPr>
          <w:b w:val="0"/>
          <w:i w:val="0"/>
        </w:rPr>
        <w:t xml:space="preserve">. Vocabulary: </w:t>
      </w:r>
      <w:hyperlink w:anchor="latin-record-0105">
        <w:r>
          <w:rPr>
            <w:color w:val="000000"/>
          </w:rPr>
          <w:t xml:space="preserve">animus</w:t>
        </w:r>
      </w:hyperlink>
      <w:r>
        <w:rPr>
          <w:b w:val="0"/>
          <w:i w:val="0"/>
        </w:rPr>
        <w:t xml:space="preserve">; </w:t>
      </w:r>
      <w:hyperlink w:anchor="latin-record-0495">
        <w:r>
          <w:rPr>
            <w:color w:val="000000"/>
          </w:rPr>
          <w:t xml:space="preserve">fluere</w:t>
        </w:r>
      </w:hyperlink>
      <w:r>
        <w:rPr>
          <w:b w:val="0"/>
          <w:i w:val="0"/>
        </w:rPr>
        <w:t xml:space="preserve">; </w:t>
      </w:r>
      <w:hyperlink w:anchor="latin-record-0599">
        <w:r>
          <w:rPr>
            <w:color w:val="000000"/>
          </w:rPr>
          <w:t xml:space="preserve">immortalis; perpetuus; sempiternus</w:t>
        </w:r>
      </w:hyperlink>
      <w:r>
        <w:rPr>
          <w:b w:val="0"/>
          <w:i w:val="0"/>
        </w:rPr>
        <w:t xml:space="preserve">; </w:t>
      </w:r>
      <w:hyperlink w:anchor="latin-record-0616">
        <w:r>
          <w:rPr>
            <w:color w:val="000000"/>
          </w:rPr>
          <w:t xml:space="preserve">incolumis; servare</w:t>
        </w:r>
      </w:hyperlink>
      <w:r>
        <w:rPr>
          <w:b w:val="0"/>
          <w:i w:val="0"/>
        </w:rPr>
        <w:t xml:space="preserve">; </w:t>
      </w:r>
      <w:hyperlink w:anchor="latin-record-0693">
        <w:r>
          <w:rPr>
            <w:color w:val="000000"/>
          </w:rPr>
          <w:t xml:space="preserve">iudicare; discernere</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0775">
        <w:r>
          <w:rPr>
            <w:color w:val="000000"/>
          </w:rPr>
          <w:t xml:space="preserve">memoria; agnoscere</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1078">
        <w:r>
          <w:rPr>
            <w:color w:val="000000"/>
          </w:rPr>
          <w:t xml:space="preserve">recipere; accipere</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175">
        <w:r>
          <w:rPr>
            <w:color w:val="000000"/>
          </w:rPr>
          <w:t xml:space="preserve">similis; idem</w:t>
        </w:r>
      </w:hyperlink>
      <w:r>
        <w:rPr>
          <w:b w:val="0"/>
          <w:i w:val="0"/>
        </w:rPr>
        <w:t xml:space="preserve">; </w:t>
      </w:r>
      <w:hyperlink w:anchor="latin-record-1351">
        <w:r>
          <w:rPr>
            <w:color w:val="000000"/>
          </w:rPr>
          <w:t xml:space="preserve">videre; cernere; intueri</w:t>
        </w:r>
      </w:hyperlink>
      <w:r>
        <w:rPr>
          <w:b w:val="0"/>
          <w:i w:val="0"/>
        </w:rPr>
        <w:t xml:space="preserve">; </w:t>
      </w:r>
      <w:hyperlink w:anchor="latin-record-1385">
        <w:r>
          <w:rPr>
            <w:color w:val="000000"/>
          </w:rPr>
          <w:t xml:space="preserve">voluntas; mos; opinio; scientia</w:t>
        </w:r>
      </w:hyperlink>
      <w:r>
        <w:rPr>
          <w:b w:val="0"/>
          <w:i w:val="0"/>
        </w:rPr>
        <w:t>.</w:t>
      </w:r>
    </w:p>
    <w:p>
      <w:pPr>
        <w:widowControl/>
      </w:pPr>
      <w:bookmarkStart w:id="1883" w:name="passage-vi-13-7"/>
      <w:bookmarkEnd w:id="1883"/>
      <w:r>
        <w:rPr>
          <w:b/>
          <w:i w:val="0"/>
        </w:rPr>
        <w:t>VI.13.7</w:t>
      </w:r>
      <w:r>
        <w:rPr>
          <w:b/>
          <w:i w:val="0"/>
        </w:rPr>
        <w:t>, source pp. 224–225.</w:t>
      </w:r>
      <w:r>
        <w:rPr>
          <w:b w:val="0"/>
          <w:i w:val="0"/>
        </w:rPr>
        <w:t xml:space="preserve"> Articles: </w:t>
      </w:r>
      <w:hyperlink w:anchor="corporeal-soul-and-elemental-doxography">
        <w:r>
          <w:rPr>
            <w:color w:val="000000"/>
          </w:rPr>
          <w:t xml:space="preserve">Corporeal soul and elemental doxography</w:t>
        </w:r>
      </w:hyperlink>
      <w:r>
        <w:rPr>
          <w:b w:val="0"/>
          <w:i w:val="0"/>
        </w:rPr>
        <w:t xml:space="preserve">; </w:t>
      </w:r>
      <w:hyperlink w:anchor="dense-subtle-and-fifth-body">
        <w:r>
          <w:rPr>
            <w:color w:val="000000"/>
          </w:rPr>
          <w:t xml:space="preserve">Dense, subtle and fifth body</w:t>
        </w:r>
      </w:hyperlink>
      <w:r>
        <w:rPr>
          <w:b w:val="0"/>
          <w:i w:val="0"/>
        </w:rPr>
        <w:t xml:space="preserve">; </w:t>
      </w:r>
      <w:hyperlink w:anchor="persistence-memory-and-recognition">
        <w:r>
          <w:rPr>
            <w:color w:val="000000"/>
          </w:rPr>
          <w:t xml:space="preserve">Persistence, memory and recognition</w:t>
        </w:r>
      </w:hyperlink>
      <w:r>
        <w:rPr>
          <w:b w:val="0"/>
          <w:i w:val="0"/>
        </w:rPr>
        <w:t xml:space="preserve">. Vocabulary: </w:t>
      </w:r>
      <w:hyperlink w:anchor="latin-record-0064">
        <w:r>
          <w:rPr>
            <w:color w:val="000000"/>
          </w:rPr>
          <w:t xml:space="preserve">agilis; agilitas; celeritas</w:t>
        </w:r>
      </w:hyperlink>
      <w:r>
        <w:rPr>
          <w:b w:val="0"/>
          <w:i w:val="0"/>
        </w:rPr>
        <w:t xml:space="preserve">; </w:t>
      </w:r>
      <w:hyperlink w:anchor="latin-record-0494">
        <w:r>
          <w:rPr>
            <w:color w:val="000000"/>
          </w:rPr>
          <w:t xml:space="preserve">flatus; evanescere</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0887">
        <w:r>
          <w:rPr>
            <w:color w:val="000000"/>
          </w:rPr>
          <w:t xml:space="preserve">ossa; nervi; caro</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1106">
        <w:r>
          <w:rPr>
            <w:color w:val="000000"/>
          </w:rPr>
          <w:t xml:space="preserve">renovare; labi</w:t>
        </w:r>
      </w:hyperlink>
      <w:r>
        <w:rPr>
          <w:b w:val="0"/>
          <w:i w:val="0"/>
        </w:rPr>
        <w:t xml:space="preserve">; </w:t>
      </w:r>
      <w:hyperlink w:anchor="latin-record-1258">
        <w:r>
          <w:rPr>
            <w:color w:val="000000"/>
          </w:rPr>
          <w:t xml:space="preserve">suffundere</w:t>
        </w:r>
      </w:hyperlink>
      <w:r>
        <w:rPr>
          <w:b w:val="0"/>
          <w:i w:val="0"/>
        </w:rPr>
        <w:t xml:space="preserve">; </w:t>
      </w:r>
      <w:hyperlink w:anchor="latin-record-1380">
        <w:r>
          <w:rPr>
            <w:color w:val="000000"/>
          </w:rPr>
          <w:t xml:space="preserve">vivificare</w:t>
        </w:r>
      </w:hyperlink>
      <w:r>
        <w:rPr>
          <w:b w:val="0"/>
          <w:i w:val="0"/>
        </w:rPr>
        <w:t>.</w:t>
      </w:r>
    </w:p>
    <w:p>
      <w:pPr>
        <w:widowControl/>
      </w:pPr>
      <w:bookmarkStart w:id="1884" w:name="passage-vi-13-8"/>
      <w:bookmarkEnd w:id="1884"/>
      <w:r>
        <w:rPr>
          <w:b/>
          <w:i w:val="0"/>
        </w:rPr>
        <w:t>VI.13.8</w:t>
      </w:r>
      <w:r>
        <w:rPr>
          <w:b/>
          <w:i w:val="0"/>
        </w:rPr>
        <w:t>, source pp. 226–227.</w:t>
      </w:r>
      <w:r>
        <w:rPr>
          <w:b w:val="0"/>
          <w:i w:val="0"/>
        </w:rPr>
        <w:t xml:space="preserve"> Articles: </w:t>
      </w:r>
      <w:hyperlink w:anchor="constitution-point-and-harmony">
        <w:r>
          <w:rPr>
            <w:color w:val="000000"/>
          </w:rPr>
          <w:t xml:space="preserve">Constitution, localized point and harmony</w:t>
        </w:r>
      </w:hyperlink>
      <w:r>
        <w:rPr>
          <w:b w:val="0"/>
          <w:i w:val="0"/>
        </w:rPr>
        <w:t xml:space="preserve">; </w:t>
      </w:r>
      <w:hyperlink w:anchor="temperament-flux-and-stable-ruler">
        <w:r>
          <w:rPr>
            <w:color w:val="000000"/>
          </w:rPr>
          <w:t xml:space="preserve">Temperament, flux and the stable ruler</w:t>
        </w:r>
      </w:hyperlink>
      <w:r>
        <w:rPr>
          <w:b w:val="0"/>
          <w:i w:val="0"/>
        </w:rPr>
        <w:t xml:space="preserve">. Vocabulary: </w:t>
      </w:r>
      <w:hyperlink w:anchor="latin-record-0259">
        <w:r>
          <w:rPr>
            <w:color w:val="000000"/>
          </w:rPr>
          <w:t xml:space="preserve">complexio humorum</w:t>
        </w:r>
      </w:hyperlink>
      <w:r>
        <w:rPr>
          <w:b w:val="0"/>
          <w:i w:val="0"/>
        </w:rPr>
        <w:t xml:space="preserve">; </w:t>
      </w:r>
      <w:hyperlink w:anchor="latin-record-0321">
        <w:r>
          <w:rPr>
            <w:color w:val="000000"/>
          </w:rPr>
          <w:t xml:space="preserve">continuatio; ordinatrix</w:t>
        </w:r>
      </w:hyperlink>
      <w:r>
        <w:rPr>
          <w:b w:val="0"/>
          <w:i w:val="0"/>
        </w:rPr>
        <w:t xml:space="preserve">; </w:t>
      </w:r>
      <w:hyperlink w:anchor="latin-record-0426">
        <w:r>
          <w:rPr>
            <w:color w:val="000000"/>
          </w:rPr>
          <w:t xml:space="preserve">effluere; refluere</w:t>
        </w:r>
      </w:hyperlink>
      <w:r>
        <w:rPr>
          <w:b w:val="0"/>
          <w:i w:val="0"/>
        </w:rPr>
        <w:t xml:space="preserve">; </w:t>
      </w:r>
      <w:hyperlink w:anchor="latin-record-0492">
        <w:r>
          <w:rPr>
            <w:color w:val="000000"/>
          </w:rPr>
          <w:t xml:space="preserve">finis; limes; terminus</w:t>
        </w:r>
      </w:hyperlink>
      <w:r>
        <w:rPr>
          <w:b w:val="0"/>
          <w:i w:val="0"/>
        </w:rPr>
        <w:t xml:space="preserve">; </w:t>
      </w:r>
      <w:hyperlink w:anchor="latin-record-0495">
        <w:r>
          <w:rPr>
            <w:color w:val="000000"/>
          </w:rPr>
          <w:t xml:space="preserve">fluere</w:t>
        </w:r>
      </w:hyperlink>
      <w:r>
        <w:rPr>
          <w:b w:val="0"/>
          <w:i w:val="0"/>
        </w:rPr>
        <w:t xml:space="preserve">; </w:t>
      </w:r>
      <w:hyperlink w:anchor="latin-record-0573">
        <w:r>
          <w:rPr>
            <w:color w:val="000000"/>
          </w:rPr>
          <w:t xml:space="preserve">humor; membrum; spiritus</w:t>
        </w:r>
      </w:hyperlink>
      <w:r>
        <w:rPr>
          <w:b w:val="0"/>
          <w:i w:val="0"/>
        </w:rPr>
        <w:t xml:space="preserve">; </w:t>
      </w:r>
      <w:hyperlink w:anchor="latin-record-0607">
        <w:r>
          <w:rPr>
            <w:color w:val="000000"/>
          </w:rPr>
          <w:t xml:space="preserve">imponere; implere; continere</w:t>
        </w:r>
      </w:hyperlink>
      <w:r>
        <w:rPr>
          <w:b w:val="0"/>
          <w:i w:val="0"/>
        </w:rPr>
        <w:t xml:space="preserve">; </w:t>
      </w:r>
      <w:hyperlink w:anchor="latin-record-0644">
        <w:r>
          <w:rPr>
            <w:color w:val="000000"/>
          </w:rPr>
          <w:t xml:space="preserve">innumeralis unitas</w:t>
        </w:r>
      </w:hyperlink>
      <w:r>
        <w:rPr>
          <w:b w:val="0"/>
          <w:i w:val="0"/>
        </w:rPr>
        <w:t xml:space="preserve">; </w:t>
      </w:r>
      <w:hyperlink w:anchor="latin-record-0813">
        <w:r>
          <w:rPr>
            <w:color w:val="000000"/>
          </w:rPr>
          <w:t xml:space="preserve">movere; motus</w:t>
        </w:r>
      </w:hyperlink>
      <w:r>
        <w:rPr>
          <w:b w:val="0"/>
          <w:i w:val="0"/>
        </w:rPr>
        <w:t xml:space="preserve">; </w:t>
      </w:r>
      <w:hyperlink w:anchor="latin-record-0876">
        <w:r>
          <w:rPr>
            <w:color w:val="000000"/>
          </w:rPr>
          <w:t xml:space="preserve">ordinare; ordo</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1046">
        <w:r>
          <w:rPr>
            <w:color w:val="000000"/>
          </w:rPr>
          <w:t xml:space="preserve">quantitas; qualitas</w:t>
        </w:r>
      </w:hyperlink>
      <w:r>
        <w:rPr>
          <w:b w:val="0"/>
          <w:i w:val="0"/>
        </w:rPr>
        <w:t xml:space="preserve">; </w:t>
      </w:r>
      <w:hyperlink w:anchor="latin-record-1291">
        <w:r>
          <w:rPr>
            <w:color w:val="000000"/>
          </w:rPr>
          <w:t xml:space="preserve">terminus; rector</w:t>
        </w:r>
      </w:hyperlink>
      <w:r>
        <w:rPr>
          <w:b w:val="0"/>
          <w:i w:val="0"/>
        </w:rPr>
        <w:t>.</w:t>
      </w:r>
    </w:p>
    <w:p>
      <w:pPr>
        <w:widowControl/>
      </w:pPr>
      <w:bookmarkStart w:id="1885" w:name="passage-vi-13-9"/>
      <w:bookmarkEnd w:id="1885"/>
      <w:r>
        <w:rPr>
          <w:b/>
          <w:i w:val="0"/>
        </w:rPr>
        <w:t>VI.13.9</w:t>
      </w:r>
      <w:r>
        <w:rPr>
          <w:b/>
          <w:i w:val="0"/>
        </w:rPr>
        <w:t>, source pp. 226–227.</w:t>
      </w:r>
      <w:r>
        <w:rPr>
          <w:b w:val="0"/>
          <w:i w:val="0"/>
        </w:rPr>
        <w:t xml:space="preserve"> Articles: </w:t>
      </w:r>
      <w:hyperlink w:anchor="images-migration-and-perfect-agent">
        <w:r>
          <w:rPr>
            <w:color w:val="000000"/>
          </w:rPr>
          <w:t xml:space="preserve">Images, migration and the perfect agent</w:t>
        </w:r>
      </w:hyperlink>
      <w:r>
        <w:rPr>
          <w:b w:val="0"/>
          <w:i w:val="0"/>
        </w:rPr>
        <w:t xml:space="preserve">; </w:t>
      </w:r>
      <w:hyperlink w:anchor="persistence-memory-and-recognition">
        <w:r>
          <w:rPr>
            <w:color w:val="000000"/>
          </w:rPr>
          <w:t xml:space="preserve">Persistence, memory and recognition</w:t>
        </w:r>
      </w:hyperlink>
      <w:r>
        <w:rPr>
          <w:b w:val="0"/>
          <w:i w:val="0"/>
        </w:rPr>
        <w:t xml:space="preserve">; </w:t>
      </w:r>
      <w:hyperlink w:anchor="stable-craftsman-and-river-reflection">
        <w:r>
          <w:rPr>
            <w:color w:val="000000"/>
          </w:rPr>
          <w:t xml:space="preserve">Stable craftsman and the river reflection</w:t>
        </w:r>
      </w:hyperlink>
      <w:r>
        <w:rPr>
          <w:b w:val="0"/>
          <w:i w:val="0"/>
        </w:rPr>
        <w:t xml:space="preserve">. Vocabulary: </w:t>
      </w:r>
      <w:hyperlink w:anchor="latin-record-0131">
        <w:r>
          <w:rPr>
            <w:color w:val="000000"/>
          </w:rPr>
          <w:t xml:space="preserve">artifex stabilissimus</w:t>
        </w:r>
      </w:hyperlink>
      <w:r>
        <w:rPr>
          <w:b w:val="0"/>
          <w:i w:val="0"/>
        </w:rPr>
        <w:t xml:space="preserve">; </w:t>
      </w:r>
      <w:hyperlink w:anchor="latin-record-0279">
        <w:r>
          <w:rPr>
            <w:color w:val="000000"/>
          </w:rPr>
          <w:t xml:space="preserve">concludere; respondere; quaerere</w:t>
        </w:r>
      </w:hyperlink>
      <w:r>
        <w:rPr>
          <w:b w:val="0"/>
          <w:i w:val="0"/>
        </w:rPr>
        <w:t xml:space="preserve">; </w:t>
      </w:r>
      <w:hyperlink w:anchor="latin-record-0486">
        <w:r>
          <w:rPr>
            <w:color w:val="000000"/>
          </w:rPr>
          <w:t xml:space="preserve">figura eadem; similis</w:t>
        </w:r>
      </w:hyperlink>
      <w:r>
        <w:rPr>
          <w:b w:val="0"/>
          <w:i w:val="0"/>
        </w:rPr>
        <w:t xml:space="preserve">; </w:t>
      </w:r>
      <w:hyperlink w:anchor="latin-record-0495">
        <w:r>
          <w:rPr>
            <w:color w:val="000000"/>
          </w:rPr>
          <w:t xml:space="preserve">fluere</w:t>
        </w:r>
      </w:hyperlink>
      <w:r>
        <w:rPr>
          <w:b w:val="0"/>
          <w:i w:val="0"/>
        </w:rPr>
        <w:t xml:space="preserve">; </w:t>
      </w:r>
      <w:hyperlink w:anchor="latin-record-0753">
        <w:r>
          <w:rPr>
            <w:color w:val="000000"/>
          </w:rPr>
          <w:t xml:space="preserve">manere; permanere; constare</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0996">
        <w:r>
          <w:rPr>
            <w:color w:val="000000"/>
          </w:rPr>
          <w:t xml:space="preserve">prior; posterior</w:t>
        </w:r>
      </w:hyperlink>
      <w:r>
        <w:rPr>
          <w:b w:val="0"/>
          <w:i w:val="0"/>
        </w:rPr>
        <w:t xml:space="preserve">; </w:t>
      </w:r>
      <w:hyperlink w:anchor="latin-record-1064">
        <w:r>
          <w:rPr>
            <w:color w:val="000000"/>
          </w:rPr>
          <w:t xml:space="preserve">ratio</w:t>
        </w:r>
      </w:hyperlink>
      <w:r>
        <w:rPr>
          <w:b w:val="0"/>
          <w:i w:val="0"/>
        </w:rPr>
        <w:t xml:space="preserve">; </w:t>
      </w:r>
      <w:hyperlink w:anchor="latin-record-1076">
        <w:r>
          <w:rPr>
            <w:color w:val="000000"/>
          </w:rPr>
          <w:t xml:space="preserve">rationes et semina</w:t>
        </w:r>
      </w:hyperlink>
      <w:r>
        <w:rPr>
          <w:b w:val="0"/>
          <w:i w:val="0"/>
        </w:rPr>
        <w:t xml:space="preserve">; </w:t>
      </w:r>
      <w:hyperlink w:anchor="latin-record-1088">
        <w:r>
          <w:rPr>
            <w:color w:val="000000"/>
          </w:rPr>
          <w:t xml:space="preserve">reficere</w:t>
        </w:r>
      </w:hyperlink>
      <w:r>
        <w:rPr>
          <w:b w:val="0"/>
          <w:i w:val="0"/>
        </w:rPr>
        <w:t xml:space="preserve">; </w:t>
      </w:r>
      <w:hyperlink w:anchor="latin-record-1154">
        <w:r>
          <w:rPr>
            <w:color w:val="000000"/>
          </w:rPr>
          <w:t xml:space="preserve">semper; numquam; saepe; quandoque</w:t>
        </w:r>
      </w:hyperlink>
      <w:r>
        <w:rPr>
          <w:b w:val="0"/>
          <w:i w:val="0"/>
        </w:rPr>
        <w:t xml:space="preserve">; </w:t>
      </w:r>
      <w:hyperlink w:anchor="latin-record-1175">
        <w:r>
          <w:rPr>
            <w:color w:val="000000"/>
          </w:rPr>
          <w:t xml:space="preserve">similis; idem</w:t>
        </w:r>
      </w:hyperlink>
      <w:r>
        <w:rPr>
          <w:b w:val="0"/>
          <w:i w:val="0"/>
        </w:rPr>
        <w:t xml:space="preserve">; </w:t>
      </w:r>
      <w:hyperlink w:anchor="latin-record-1266">
        <w:r>
          <w:rPr>
            <w:color w:val="000000"/>
          </w:rPr>
          <w:t xml:space="preserve">sursum; deorsum; extra; intra</w:t>
        </w:r>
      </w:hyperlink>
      <w:r>
        <w:rPr>
          <w:b w:val="0"/>
          <w:i w:val="0"/>
        </w:rPr>
        <w:t>.</w:t>
      </w:r>
    </w:p>
    <w:p>
      <w:pPr>
        <w:widowControl/>
      </w:pPr>
      <w:bookmarkStart w:id="1886" w:name="passage-vi-13-10"/>
      <w:bookmarkEnd w:id="1886"/>
      <w:r>
        <w:rPr>
          <w:b/>
          <w:i w:val="0"/>
        </w:rPr>
        <w:t>VI.13.10</w:t>
      </w:r>
      <w:r>
        <w:rPr>
          <w:b/>
          <w:i w:val="0"/>
        </w:rPr>
        <w:t>, source pp. 226–227.</w:t>
      </w:r>
      <w:r>
        <w:rPr>
          <w:b w:val="0"/>
          <w:i w:val="0"/>
        </w:rPr>
        <w:t xml:space="preserve"> Articles: </w:t>
      </w:r>
      <w:hyperlink w:anchor="images-migration-and-perfect-agent">
        <w:r>
          <w:rPr>
            <w:color w:val="000000"/>
          </w:rPr>
          <w:t xml:space="preserve">Images, migration and the perfect agent</w:t>
        </w:r>
      </w:hyperlink>
      <w:r>
        <w:rPr>
          <w:b w:val="0"/>
          <w:i w:val="0"/>
        </w:rPr>
        <w:t xml:space="preserve">; </w:t>
      </w:r>
      <w:hyperlink w:anchor="stable-craftsman-and-river-reflection">
        <w:r>
          <w:rPr>
            <w:color w:val="000000"/>
          </w:rPr>
          <w:t xml:space="preserve">Stable craftsman and the river reflection</w:t>
        </w:r>
      </w:hyperlink>
      <w:r>
        <w:rPr>
          <w:b w:val="0"/>
          <w:i w:val="0"/>
        </w:rPr>
        <w:t xml:space="preserve">. Vocabulary: </w:t>
      </w:r>
      <w:hyperlink w:anchor="latin-record-0369">
        <w:r>
          <w:rPr>
            <w:color w:val="000000"/>
          </w:rPr>
          <w:t xml:space="preserve">depingere; effigies</w:t>
        </w:r>
      </w:hyperlink>
      <w:r>
        <w:rPr>
          <w:b w:val="0"/>
          <w:i w:val="0"/>
        </w:rPr>
        <w:t xml:space="preserve">; </w:t>
      </w:r>
      <w:hyperlink w:anchor="latin-record-0470">
        <w:r>
          <w:rPr>
            <w:color w:val="000000"/>
          </w:rPr>
          <w:t xml:space="preserve">faber intimus</w:t>
        </w:r>
      </w:hyperlink>
      <w:r>
        <w:rPr>
          <w:b w:val="0"/>
          <w:i w:val="0"/>
        </w:rPr>
        <w:t xml:space="preserve">; </w:t>
      </w:r>
      <w:hyperlink w:anchor="latin-record-0495">
        <w:r>
          <w:rPr>
            <w:color w:val="000000"/>
          </w:rPr>
          <w:t xml:space="preserve">fluere</w:t>
        </w:r>
      </w:hyperlink>
      <w:r>
        <w:rPr>
          <w:b w:val="0"/>
          <w:i w:val="0"/>
        </w:rPr>
        <w:t xml:space="preserve">; </w:t>
      </w:r>
      <w:hyperlink w:anchor="latin-record-0931">
        <w:r>
          <w:rPr>
            <w:color w:val="000000"/>
          </w:rPr>
          <w:t xml:space="preserve">permanere; stabilire; stabilis</w:t>
        </w:r>
      </w:hyperlink>
      <w:r>
        <w:rPr>
          <w:b w:val="0"/>
          <w:i w:val="0"/>
        </w:rPr>
        <w:t xml:space="preserve">; </w:t>
      </w:r>
      <w:hyperlink w:anchor="latin-record-1175">
        <w:r>
          <w:rPr>
            <w:color w:val="000000"/>
          </w:rPr>
          <w:t xml:space="preserve">similis; idem</w:t>
        </w:r>
      </w:hyperlink>
      <w:r>
        <w:rPr>
          <w:b w:val="0"/>
          <w:i w:val="0"/>
        </w:rPr>
        <w:t xml:space="preserve">; </w:t>
      </w:r>
      <w:hyperlink w:anchor="latin-record-1391">
        <w:r>
          <w:rPr>
            <w:color w:val="000000"/>
          </w:rPr>
          <w:t xml:space="preserve">vultus; flumen; unda</w:t>
        </w:r>
      </w:hyperlink>
      <w:r>
        <w:rPr>
          <w:b w:val="0"/>
          <w:i w:val="0"/>
        </w:rPr>
        <w:t>.</w:t>
      </w:r>
    </w:p>
    <w:p>
      <w:pPr>
        <w:widowControl/>
      </w:pPr>
      <w:bookmarkStart w:id="1887" w:name="passage-vi-13-11"/>
      <w:bookmarkEnd w:id="1887"/>
      <w:r>
        <w:rPr>
          <w:b/>
          <w:i w:val="0"/>
        </w:rPr>
        <w:t>VI.13.11</w:t>
      </w:r>
      <w:r>
        <w:rPr>
          <w:b/>
          <w:i w:val="0"/>
        </w:rPr>
        <w:t>, source pp. 228–229.</w:t>
      </w:r>
      <w:r>
        <w:rPr>
          <w:b w:val="0"/>
          <w:i w:val="0"/>
        </w:rPr>
        <w:t xml:space="preserve"> Articles: </w:t>
      </w:r>
      <w:hyperlink w:anchor="images-migration-and-perfect-agent">
        <w:r>
          <w:rPr>
            <w:color w:val="000000"/>
          </w:rPr>
          <w:t xml:space="preserve">Images, migration and the perfect agent</w:t>
        </w:r>
      </w:hyperlink>
      <w:r>
        <w:rPr>
          <w:b w:val="0"/>
          <w:i w:val="0"/>
        </w:rPr>
        <w:t xml:space="preserve">; </w:t>
      </w:r>
      <w:hyperlink w:anchor="persistence-memory-and-recognition">
        <w:r>
          <w:rPr>
            <w:color w:val="000000"/>
          </w:rPr>
          <w:t xml:space="preserve">Persistence, memory and recognition</w:t>
        </w:r>
      </w:hyperlink>
      <w:r>
        <w:rPr>
          <w:b w:val="0"/>
          <w:i w:val="0"/>
        </w:rPr>
        <w:t xml:space="preserve">. Vocabulary: </w:t>
      </w:r>
      <w:hyperlink w:anchor="latin-record-0061">
        <w:r>
          <w:rPr>
            <w:color w:val="000000"/>
          </w:rPr>
          <w:t xml:space="preserve">agere; operari</w:t>
        </w:r>
      </w:hyperlink>
      <w:r>
        <w:rPr>
          <w:b w:val="0"/>
          <w:i w:val="0"/>
        </w:rPr>
        <w:t xml:space="preserve">; </w:t>
      </w:r>
      <w:hyperlink w:anchor="latin-record-0361">
        <w:r>
          <w:rPr>
            <w:color w:val="000000"/>
          </w:rPr>
          <w:t xml:space="preserve">deficere; perficere</w:t>
        </w:r>
      </w:hyperlink>
      <w:r>
        <w:rPr>
          <w:b w:val="0"/>
          <w:i w:val="0"/>
        </w:rPr>
        <w:t xml:space="preserve">; </w:t>
      </w:r>
      <w:hyperlink w:anchor="latin-record-0380">
        <w:r>
          <w:rPr>
            <w:color w:val="000000"/>
          </w:rPr>
          <w:t xml:space="preserve">dicere; nominare; appellare</w:t>
        </w:r>
      </w:hyperlink>
      <w:r>
        <w:rPr>
          <w:b w:val="0"/>
          <w:i w:val="0"/>
        </w:rPr>
        <w:t xml:space="preserve">; </w:t>
      </w:r>
      <w:hyperlink w:anchor="latin-record-0487">
        <w:r>
          <w:rPr>
            <w:color w:val="000000"/>
          </w:rPr>
          <w:t xml:space="preserve">figurare; perfectus agens</w:t>
        </w:r>
      </w:hyperlink>
      <w:r>
        <w:rPr>
          <w:b w:val="0"/>
          <w:i w:val="0"/>
        </w:rPr>
        <w:t xml:space="preserve">; </w:t>
      </w:r>
      <w:hyperlink w:anchor="latin-record-0495">
        <w:r>
          <w:rPr>
            <w:color w:val="000000"/>
          </w:rPr>
          <w:t xml:space="preserve">fluere</w:t>
        </w:r>
      </w:hyperlink>
      <w:r>
        <w:rPr>
          <w:b w:val="0"/>
          <w:i w:val="0"/>
        </w:rPr>
        <w:t xml:space="preserve">; </w:t>
      </w:r>
      <w:hyperlink w:anchor="latin-record-0511">
        <w:r>
          <w:rPr>
            <w:color w:val="000000"/>
          </w:rPr>
          <w:t xml:space="preserve">formare se ipsam</w:t>
        </w:r>
      </w:hyperlink>
      <w:r>
        <w:rPr>
          <w:b w:val="0"/>
          <w:i w:val="0"/>
        </w:rPr>
        <w:t xml:space="preserve">; </w:t>
      </w:r>
      <w:hyperlink w:anchor="latin-record-0591">
        <w:r>
          <w:rPr>
            <w:color w:val="000000"/>
          </w:rPr>
          <w:t xml:space="preserve">imaginem aliam suae similem</w:t>
        </w:r>
      </w:hyperlink>
      <w:r>
        <w:rPr>
          <w:b w:val="0"/>
          <w:i w:val="0"/>
        </w:rPr>
        <w:t xml:space="preserve">; </w:t>
      </w:r>
      <w:hyperlink w:anchor="latin-record-0592">
        <w:r>
          <w:rPr>
            <w:color w:val="000000"/>
          </w:rPr>
          <w:t xml:space="preserve">imago</w:t>
        </w:r>
      </w:hyperlink>
      <w:r>
        <w:rPr>
          <w:b w:val="0"/>
          <w:i w:val="0"/>
        </w:rPr>
        <w:t xml:space="preserve">; </w:t>
      </w:r>
      <w:hyperlink w:anchor="latin-record-0650">
        <w:r>
          <w:rPr>
            <w:color w:val="000000"/>
          </w:rPr>
          <w:t xml:space="preserve">insinuare; transire</w:t>
        </w:r>
      </w:hyperlink>
      <w:r>
        <w:rPr>
          <w:b w:val="0"/>
          <w:i w:val="0"/>
        </w:rPr>
        <w:t xml:space="preserve">; </w:t>
      </w:r>
      <w:hyperlink w:anchor="latin-record-0776">
        <w:r>
          <w:rPr>
            <w:color w:val="000000"/>
          </w:rPr>
          <w:t xml:space="preserve">memoriter tenere</w:t>
        </w:r>
      </w:hyperlink>
      <w:r>
        <w:rPr>
          <w:b w:val="0"/>
          <w:i w:val="0"/>
        </w:rPr>
        <w:t xml:space="preserve">; </w:t>
      </w:r>
      <w:hyperlink w:anchor="latin-record-0927">
        <w:r>
          <w:rPr>
            <w:color w:val="000000"/>
          </w:rPr>
          <w:t xml:space="preserve">perfectus; imperfectus; perficere</w:t>
        </w:r>
      </w:hyperlink>
      <w:r>
        <w:rPr>
          <w:b w:val="0"/>
          <w:i w:val="0"/>
        </w:rPr>
        <w:t xml:space="preserve">; </w:t>
      </w:r>
      <w:hyperlink w:anchor="latin-record-1236">
        <w:r>
          <w:rPr>
            <w:color w:val="000000"/>
          </w:rPr>
          <w:t xml:space="preserve">statim; subito; paulatim</w:t>
        </w:r>
      </w:hyperlink>
      <w:r>
        <w:rPr>
          <w:b w:val="0"/>
          <w:i w:val="0"/>
        </w:rPr>
        <w:t>.</w:t>
      </w:r>
    </w:p>
    <w:p>
      <w:pPr>
        <w:pStyle w:val="Heading2"/>
      </w:pPr>
      <w:bookmarkStart w:id="1888" w:name="chapter-vii.1"/>
      <w:r>
        <w:rPr>
          <w:b w:val="0"/>
          <w:i w:val="0"/>
        </w:rPr>
        <w:t>Chapter VII.1</w:t>
      </w:r>
      <w:bookmarkEnd w:id="1888"/>
    </w:p>
    <w:p>
      <w:pPr>
        <w:widowControl/>
      </w:pPr>
      <w:bookmarkStart w:id="1889" w:name="passage-vii-1-1"/>
      <w:bookmarkEnd w:id="1889"/>
      <w:r>
        <w:rPr>
          <w:b/>
          <w:i w:val="0"/>
        </w:rPr>
        <w:t>VII.1.1</w:t>
      </w:r>
      <w:r>
        <w:rPr>
          <w:b/>
          <w:i w:val="0"/>
        </w:rPr>
        <w:t>, source pp. 232–233.</w:t>
      </w:r>
      <w:r>
        <w:rPr>
          <w:b w:val="0"/>
          <w:i w:val="0"/>
        </w:rPr>
        <w:t xml:space="preserve"> Articles: </w:t>
      </w:r>
      <w:hyperlink w:anchor="vii-memory-solid-fluid">
        <w:r>
          <w:rPr>
            <w:color w:val="000000"/>
          </w:rPr>
          <w:t xml:space="preserve">Memory, rigidity and fluidity</w:t>
        </w:r>
      </w:hyperlink>
      <w:r>
        <w:rPr>
          <w:b w:val="0"/>
          <w:i w:val="0"/>
        </w:rPr>
        <w:t xml:space="preserve">; </w:t>
      </w:r>
      <w:hyperlink w:anchor="vii-reception-wax-mirrors">
        <w:r>
          <w:rPr>
            <w:color w:val="000000"/>
          </w:rPr>
          <w:t xml:space="preserve">Receiving images: wax, seals and mirrors</w:t>
        </w:r>
      </w:hyperlink>
      <w:r>
        <w:rPr>
          <w:b w:val="0"/>
          <w:i w:val="0"/>
        </w:rPr>
        <w:t xml:space="preserve">. Vocabulary: </w:t>
      </w:r>
      <w:hyperlink w:anchor="latin-record-0015">
        <w:r>
          <w:rPr>
            <w:color w:val="000000"/>
          </w:rPr>
          <w:t xml:space="preserve">accipere</w:t>
        </w:r>
      </w:hyperlink>
      <w:r>
        <w:rPr>
          <w:b w:val="0"/>
          <w:i w:val="0"/>
        </w:rPr>
        <w:t xml:space="preserve">; </w:t>
      </w:r>
      <w:hyperlink w:anchor="latin-record-0080">
        <w:r>
          <w:rPr>
            <w:color w:val="000000"/>
          </w:rPr>
          <w:t xml:space="preserve">amittere</w:t>
        </w:r>
      </w:hyperlink>
      <w:r>
        <w:rPr>
          <w:b w:val="0"/>
          <w:i w:val="0"/>
        </w:rPr>
        <w:t xml:space="preserve">; </w:t>
      </w:r>
      <w:hyperlink w:anchor="latin-record-0189">
        <w:r>
          <w:rPr>
            <w:color w:val="000000"/>
          </w:rPr>
          <w:t xml:space="preserve">capere</w:t>
        </w:r>
      </w:hyperlink>
      <w:r>
        <w:rPr>
          <w:b w:val="0"/>
          <w:i w:val="0"/>
        </w:rPr>
        <w:t xml:space="preserve">; </w:t>
      </w:r>
      <w:hyperlink w:anchor="latin-record-0208">
        <w:r>
          <w:rPr>
            <w:color w:val="000000"/>
          </w:rPr>
          <w:t xml:space="preserve">cera</w:t>
        </w:r>
      </w:hyperlink>
      <w:r>
        <w:rPr>
          <w:b w:val="0"/>
          <w:i w:val="0"/>
        </w:rPr>
        <w:t xml:space="preserve">; </w:t>
      </w:r>
      <w:hyperlink w:anchor="latin-record-0290">
        <w:r>
          <w:rPr>
            <w:color w:val="000000"/>
          </w:rPr>
          <w:t xml:space="preserve">confundere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388">
        <w:r>
          <w:rPr>
            <w:color w:val="000000"/>
          </w:rPr>
          <w:t xml:space="preserve">discernere</w:t>
        </w:r>
      </w:hyperlink>
      <w:r>
        <w:rPr>
          <w:b w:val="0"/>
          <w:i w:val="0"/>
        </w:rPr>
        <w:t xml:space="preserve">; </w:t>
      </w:r>
      <w:hyperlink w:anchor="latin-record-0484">
        <w:r>
          <w:rPr>
            <w:color w:val="000000"/>
          </w:rPr>
          <w:t xml:space="preserve">figura / figurare</w:t>
        </w:r>
      </w:hyperlink>
      <w:r>
        <w:rPr>
          <w:b w:val="0"/>
          <w:i w:val="0"/>
        </w:rPr>
        <w:t xml:space="preserve">; </w:t>
      </w:r>
      <w:hyperlink w:anchor="latin-record-0592">
        <w:r>
          <w:rPr>
            <w:color w:val="000000"/>
          </w:rPr>
          <w:t xml:space="preserve">imago</w:t>
        </w:r>
      </w:hyperlink>
      <w:r>
        <w:rPr>
          <w:b w:val="0"/>
          <w:i w:val="0"/>
        </w:rPr>
        <w:t xml:space="preserve">; </w:t>
      </w:r>
      <w:hyperlink w:anchor="latin-record-0691">
        <w:r>
          <w:rPr>
            <w:color w:val="000000"/>
          </w:rPr>
          <w:t xml:space="preserve">iudicare</w:t>
        </w:r>
      </w:hyperlink>
      <w:r>
        <w:rPr>
          <w:b w:val="0"/>
          <w:i w:val="0"/>
        </w:rPr>
        <w:t xml:space="preserve">; </w:t>
      </w:r>
      <w:hyperlink w:anchor="latin-record-0749">
        <w:r>
          <w:rPr>
            <w:color w:val="000000"/>
          </w:rPr>
          <w:t xml:space="preserve">magnitudo</w:t>
        </w:r>
      </w:hyperlink>
      <w:r>
        <w:rPr>
          <w:b w:val="0"/>
          <w:i w:val="0"/>
        </w:rPr>
        <w:t xml:space="preserve">; </w:t>
      </w:r>
      <w:hyperlink w:anchor="latin-record-0751">
        <w:r>
          <w:rPr>
            <w:color w:val="000000"/>
          </w:rPr>
          <w:t xml:space="preserve">maior / minor</w:t>
        </w:r>
      </w:hyperlink>
      <w:r>
        <w:rPr>
          <w:b w:val="0"/>
          <w:i w:val="0"/>
        </w:rPr>
        <w:t xml:space="preserve">; </w:t>
      </w:r>
      <w:hyperlink w:anchor="latin-record-0854">
        <w:r>
          <w:rPr>
            <w:color w:val="000000"/>
          </w:rPr>
          <w:t xml:space="preserve">oculus / cerebrum</w:t>
        </w:r>
      </w:hyperlink>
      <w:r>
        <w:rPr>
          <w:b w:val="0"/>
          <w:i w:val="0"/>
        </w:rPr>
        <w:t xml:space="preserve">; </w:t>
      </w:r>
      <w:hyperlink w:anchor="latin-record-0890">
        <w:r>
          <w:rPr>
            <w:color w:val="000000"/>
          </w:rPr>
          <w:t xml:space="preserve">pars</w:t>
        </w:r>
      </w:hyperlink>
      <w:r>
        <w:rPr>
          <w:b w:val="0"/>
          <w:i w:val="0"/>
        </w:rPr>
        <w:t xml:space="preserve">; </w:t>
      </w:r>
      <w:hyperlink w:anchor="latin-record-0952">
        <w:r>
          <w:rPr>
            <w:color w:val="000000"/>
          </w:rPr>
          <w:t xml:space="preserve">Plato / Socrates</w:t>
        </w:r>
      </w:hyperlink>
      <w:r>
        <w:rPr>
          <w:b w:val="0"/>
          <w:i w:val="0"/>
        </w:rPr>
        <w:t xml:space="preserve">; </w:t>
      </w:r>
      <w:hyperlink w:anchor="latin-record-1071">
        <w:r>
          <w:rPr>
            <w:color w:val="000000"/>
          </w:rPr>
          <w:t xml:space="preserve">ratio as argument</w:t>
        </w:r>
      </w:hyperlink>
      <w:r>
        <w:rPr>
          <w:b w:val="0"/>
          <w:i w:val="0"/>
        </w:rPr>
        <w:t xml:space="preserve">; </w:t>
      </w:r>
      <w:hyperlink w:anchor="latin-record-1172">
        <w:r>
          <w:rPr>
            <w:color w:val="000000"/>
          </w:rPr>
          <w:t xml:space="preserve">sigillum</w:t>
        </w:r>
      </w:hyperlink>
      <w:r>
        <w:rPr>
          <w:b w:val="0"/>
          <w:i w:val="0"/>
        </w:rPr>
        <w:t xml:space="preserve">; </w:t>
      </w:r>
      <w:hyperlink w:anchor="latin-record-1268">
        <w:r>
          <w:rPr>
            <w:color w:val="000000"/>
          </w:rPr>
          <w:t xml:space="preserve">suscipere</w:t>
        </w:r>
      </w:hyperlink>
      <w:r>
        <w:rPr>
          <w:b w:val="0"/>
          <w:i w:val="0"/>
        </w:rPr>
        <w:t xml:space="preserve">; </w:t>
      </w:r>
      <w:hyperlink w:anchor="latin-record-1301">
        <w:r>
          <w:rPr>
            <w:color w:val="000000"/>
          </w:rPr>
          <w:t xml:space="preserve">transferre</w:t>
        </w:r>
      </w:hyperlink>
      <w:r>
        <w:rPr>
          <w:b w:val="0"/>
          <w:i w:val="0"/>
        </w:rPr>
        <w:t xml:space="preserve">; </w:t>
      </w:r>
      <w:hyperlink w:anchor="latin-record-1362">
        <w:r>
          <w:rPr>
            <w:color w:val="000000"/>
          </w:rPr>
          <w:t xml:space="preserve">vis / potentia / virtus</w:t>
        </w:r>
      </w:hyperlink>
      <w:r>
        <w:rPr>
          <w:b w:val="0"/>
          <w:i w:val="0"/>
        </w:rPr>
        <w:t xml:space="preserve">; </w:t>
      </w:r>
      <w:hyperlink w:anchor="latin-record-1394">
        <w:r>
          <w:rPr>
            <w:color w:val="000000"/>
          </w:rPr>
          <w:t xml:space="preserve">Xenophon / Alcibiades / Phaedrus</w:t>
        </w:r>
      </w:hyperlink>
      <w:r>
        <w:rPr>
          <w:b w:val="0"/>
          <w:i w:val="0"/>
        </w:rPr>
        <w:t>.</w:t>
      </w:r>
    </w:p>
    <w:p>
      <w:pPr>
        <w:widowControl/>
      </w:pPr>
      <w:bookmarkStart w:id="1890" w:name="passage-vii-1-2"/>
      <w:bookmarkEnd w:id="1890"/>
      <w:r>
        <w:rPr>
          <w:b/>
          <w:i w:val="0"/>
        </w:rPr>
        <w:t>VII.1.2</w:t>
      </w:r>
      <w:r>
        <w:rPr>
          <w:b/>
          <w:i w:val="0"/>
        </w:rPr>
        <w:t>, source pp. 234–235.</w:t>
      </w:r>
      <w:r>
        <w:rPr>
          <w:b w:val="0"/>
          <w:i w:val="0"/>
        </w:rPr>
        <w:t xml:space="preserve"> Articles: </w:t>
      </w:r>
      <w:hyperlink w:anchor="vii-memory-solid-fluid">
        <w:r>
          <w:rPr>
            <w:color w:val="000000"/>
          </w:rPr>
          <w:t xml:space="preserve">Memory, rigidity and fluidity</w:t>
        </w:r>
      </w:hyperlink>
      <w:r>
        <w:rPr>
          <w:b w:val="0"/>
          <w:i w:val="0"/>
        </w:rPr>
        <w:t xml:space="preserve">; </w:t>
      </w:r>
      <w:hyperlink w:anchor="vii-reception-wax-mirrors">
        <w:r>
          <w:rPr>
            <w:color w:val="000000"/>
          </w:rPr>
          <w:t xml:space="preserve">Receiving images: wax, seals and mirrors</w:t>
        </w:r>
      </w:hyperlink>
      <w:r>
        <w:rPr>
          <w:b w:val="0"/>
          <w:i w:val="0"/>
        </w:rPr>
        <w:t xml:space="preserve">. Vocabulary: </w:t>
      </w:r>
      <w:hyperlink w:anchor="latin-record-0015">
        <w:r>
          <w:rPr>
            <w:color w:val="000000"/>
          </w:rPr>
          <w:t xml:space="preserve">accipere</w:t>
        </w:r>
      </w:hyperlink>
      <w:r>
        <w:rPr>
          <w:b w:val="0"/>
          <w:i w:val="0"/>
        </w:rPr>
        <w:t xml:space="preserve">; </w:t>
      </w:r>
      <w:hyperlink w:anchor="latin-record-0098">
        <w:r>
          <w:rPr>
            <w:color w:val="000000"/>
          </w:rPr>
          <w:t xml:space="preserve">animal / animans</w:t>
        </w:r>
      </w:hyperlink>
      <w:r>
        <w:rPr>
          <w:b w:val="0"/>
          <w:i w:val="0"/>
        </w:rPr>
        <w:t xml:space="preserve">; </w:t>
      </w:r>
      <w:hyperlink w:anchor="latin-record-0189">
        <w:r>
          <w:rPr>
            <w:color w:val="000000"/>
          </w:rPr>
          <w:t xml:space="preserve">capere</w:t>
        </w:r>
      </w:hyperlink>
      <w:r>
        <w:rPr>
          <w:b w:val="0"/>
          <w:i w:val="0"/>
        </w:rPr>
        <w:t xml:space="preserve">; </w:t>
      </w:r>
      <w:hyperlink w:anchor="latin-record-0410">
        <w:r>
          <w:rPr>
            <w:color w:val="000000"/>
          </w:rPr>
          <w:t xml:space="preserve">docilitas / acumen</w:t>
        </w:r>
      </w:hyperlink>
      <w:r>
        <w:rPr>
          <w:b w:val="0"/>
          <w:i w:val="0"/>
        </w:rPr>
        <w:t xml:space="preserve">; </w:t>
      </w:r>
      <w:hyperlink w:anchor="latin-record-0484">
        <w:r>
          <w:rPr>
            <w:color w:val="000000"/>
          </w:rPr>
          <w:t xml:space="preserve">figura / figurare</w:t>
        </w:r>
      </w:hyperlink>
      <w:r>
        <w:rPr>
          <w:b w:val="0"/>
          <w:i w:val="0"/>
        </w:rPr>
        <w:t xml:space="preserve">; </w:t>
      </w:r>
      <w:hyperlink w:anchor="latin-record-0593">
        <w:r>
          <w:rPr>
            <w:color w:val="000000"/>
          </w:rPr>
          <w:t xml:space="preserve">immensus / ingens</w:t>
        </w:r>
      </w:hyperlink>
      <w:r>
        <w:rPr>
          <w:b w:val="0"/>
          <w:i w:val="0"/>
        </w:rPr>
        <w:t xml:space="preserve">; </w:t>
      </w:r>
      <w:hyperlink w:anchor="latin-record-0691">
        <w:r>
          <w:rPr>
            <w:color w:val="000000"/>
          </w:rPr>
          <w:t xml:space="preserve">iudicare</w:t>
        </w:r>
      </w:hyperlink>
      <w:r>
        <w:rPr>
          <w:b w:val="0"/>
          <w:i w:val="0"/>
        </w:rPr>
        <w:t xml:space="preserve">; </w:t>
      </w:r>
      <w:hyperlink w:anchor="latin-record-0726">
        <w:r>
          <w:rPr>
            <w:color w:val="000000"/>
          </w:rPr>
          <w:t xml:space="preserve">lucere / perspicuus</w:t>
        </w:r>
      </w:hyperlink>
      <w:r>
        <w:rPr>
          <w:b w:val="0"/>
          <w:i w:val="0"/>
        </w:rPr>
        <w:t xml:space="preserve">; </w:t>
      </w:r>
      <w:hyperlink w:anchor="latin-record-0749">
        <w:r>
          <w:rPr>
            <w:color w:val="000000"/>
          </w:rPr>
          <w:t xml:space="preserve">magnitudo</w:t>
        </w:r>
      </w:hyperlink>
      <w:r>
        <w:rPr>
          <w:b w:val="0"/>
          <w:i w:val="0"/>
        </w:rPr>
        <w:t xml:space="preserve">; </w:t>
      </w:r>
      <w:hyperlink w:anchor="latin-record-0751">
        <w:r>
          <w:rPr>
            <w:color w:val="000000"/>
          </w:rPr>
          <w:t xml:space="preserve">maior / minor</w:t>
        </w:r>
      </w:hyperlink>
      <w:r>
        <w:rPr>
          <w:b w:val="0"/>
          <w:i w:val="0"/>
        </w:rPr>
        <w:t xml:space="preserve">; </w:t>
      </w:r>
      <w:hyperlink w:anchor="latin-record-0851">
        <w:r>
          <w:rPr>
            <w:color w:val="000000"/>
          </w:rPr>
          <w:t xml:space="preserve">obfuscare</w:t>
        </w:r>
      </w:hyperlink>
      <w:r>
        <w:rPr>
          <w:b w:val="0"/>
          <w:i w:val="0"/>
        </w:rPr>
        <w:t xml:space="preserve">; </w:t>
      </w:r>
      <w:hyperlink w:anchor="latin-record-1021">
        <w:r>
          <w:rPr>
            <w:color w:val="000000"/>
          </w:rPr>
          <w:t xml:space="preserve">prospicere / intueri / excogitare</w:t>
        </w:r>
      </w:hyperlink>
      <w:r>
        <w:rPr>
          <w:b w:val="0"/>
          <w:i w:val="0"/>
        </w:rPr>
        <w:t xml:space="preserve">; </w:t>
      </w:r>
      <w:hyperlink w:anchor="latin-record-1198">
        <w:r>
          <w:rPr>
            <w:color w:val="000000"/>
          </w:rPr>
          <w:t xml:space="preserve">solidus / fluxus / labilis</w:t>
        </w:r>
      </w:hyperlink>
      <w:r>
        <w:rPr>
          <w:b w:val="0"/>
          <w:i w:val="0"/>
        </w:rPr>
        <w:t xml:space="preserve">; </w:t>
      </w:r>
      <w:hyperlink w:anchor="latin-record-1218">
        <w:r>
          <w:rPr>
            <w:color w:val="000000"/>
          </w:rPr>
          <w:t xml:space="preserve">speculum / specillum</w:t>
        </w:r>
      </w:hyperlink>
      <w:r>
        <w:rPr>
          <w:b w:val="0"/>
          <w:i w:val="0"/>
        </w:rPr>
        <w:t xml:space="preserve">; </w:t>
      </w:r>
      <w:hyperlink w:anchor="latin-record-1282">
        <w:r>
          <w:rPr>
            <w:color w:val="000000"/>
          </w:rPr>
          <w:t xml:space="preserve">tenere / memoria</w:t>
        </w:r>
      </w:hyperlink>
      <w:r>
        <w:rPr>
          <w:b w:val="0"/>
          <w:i w:val="0"/>
        </w:rPr>
        <w:t xml:space="preserve">; </w:t>
      </w:r>
      <w:hyperlink w:anchor="latin-record-1290">
        <w:r>
          <w:rPr>
            <w:color w:val="000000"/>
          </w:rPr>
          <w:t xml:space="preserve">terminus praescriptus</w:t>
        </w:r>
      </w:hyperlink>
      <w:r>
        <w:rPr>
          <w:b w:val="0"/>
          <w:i w:val="0"/>
        </w:rPr>
        <w:t xml:space="preserve">; </w:t>
      </w:r>
      <w:hyperlink w:anchor="latin-record-1390">
        <w:r>
          <w:rPr>
            <w:color w:val="000000"/>
          </w:rPr>
          <w:t xml:space="preserve">vultus / pupilla</w:t>
        </w:r>
      </w:hyperlink>
      <w:r>
        <w:rPr>
          <w:b w:val="0"/>
          <w:i w:val="0"/>
        </w:rPr>
        <w:t>.</w:t>
      </w:r>
    </w:p>
    <w:p>
      <w:pPr>
        <w:widowControl/>
      </w:pPr>
      <w:bookmarkStart w:id="1891" w:name="passage-vii-1-3"/>
      <w:bookmarkEnd w:id="1891"/>
      <w:r>
        <w:rPr>
          <w:b/>
          <w:i w:val="0"/>
        </w:rPr>
        <w:t>VII.1.3</w:t>
      </w:r>
      <w:r>
        <w:rPr>
          <w:b/>
          <w:i w:val="0"/>
        </w:rPr>
        <w:t>, source pp. 236–237.</w:t>
      </w:r>
      <w:r>
        <w:rPr>
          <w:b w:val="0"/>
          <w:i w:val="0"/>
        </w:rPr>
        <w:t xml:space="preserve"> Articles: </w:t>
      </w:r>
      <w:hyperlink w:anchor="vii-lucifer-meaning">
        <w:r>
          <w:rPr>
            <w:color w:val="000000"/>
          </w:rPr>
          <w:t xml:space="preserve">Lucifer and indivisible meaning</w:t>
        </w:r>
      </w:hyperlink>
      <w:r>
        <w:rPr>
          <w:b w:val="0"/>
          <w:i w:val="0"/>
        </w:rPr>
        <w:t xml:space="preserve">; </w:t>
      </w:r>
      <w:hyperlink w:anchor="vii-memory-solid-fluid">
        <w:r>
          <w:rPr>
            <w:color w:val="000000"/>
          </w:rPr>
          <w:t xml:space="preserve">Memory, rigidity and fluidity</w:t>
        </w:r>
      </w:hyperlink>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spiritual-images-light">
        <w:r>
          <w:rPr>
            <w:color w:val="000000"/>
          </w:rPr>
          <w:t xml:space="preserve">Spiritual images and light</w:t>
        </w:r>
      </w:hyperlink>
      <w:r>
        <w:rPr>
          <w:b w:val="0"/>
          <w:i w:val="0"/>
        </w:rPr>
        <w:t xml:space="preserve">. Vocabulary: </w:t>
      </w:r>
      <w:hyperlink w:anchor="latin-record-0050">
        <w:r>
          <w:rPr>
            <w:color w:val="000000"/>
          </w:rPr>
          <w:t xml:space="preserve">affigere / coniungere</w:t>
        </w:r>
      </w:hyperlink>
      <w:r>
        <w:rPr>
          <w:b w:val="0"/>
          <w:i w:val="0"/>
        </w:rPr>
        <w:t xml:space="preserve">; </w:t>
      </w:r>
      <w:hyperlink w:anchor="latin-record-0144">
        <w:r>
          <w:rPr>
            <w:color w:val="000000"/>
          </w:rPr>
          <w:t xml:space="preserve">attingere / penetrare</w:t>
        </w:r>
      </w:hyperlink>
      <w:r>
        <w:rPr>
          <w:b w:val="0"/>
          <w:i w:val="0"/>
        </w:rPr>
        <w:t xml:space="preserve">; </w:t>
      </w:r>
      <w:hyperlink w:anchor="latin-record-0226">
        <w:r>
          <w:rPr>
            <w:color w:val="000000"/>
          </w:rPr>
          <w:t xml:space="preserve">cogitare</w:t>
        </w:r>
      </w:hyperlink>
      <w:r>
        <w:rPr>
          <w:b w:val="0"/>
          <w:i w:val="0"/>
        </w:rPr>
        <w:t xml:space="preserve">; </w:t>
      </w:r>
      <w:hyperlink w:anchor="latin-record-0290">
        <w:r>
          <w:rPr>
            <w:color w:val="000000"/>
          </w:rPr>
          <w:t xml:space="preserve">confundere</w:t>
        </w:r>
      </w:hyperlink>
      <w:r>
        <w:rPr>
          <w:b w:val="0"/>
          <w:i w:val="0"/>
        </w:rPr>
        <w:t xml:space="preserve">; </w:t>
      </w:r>
      <w:hyperlink w:anchor="latin-record-0390">
        <w:r>
          <w:rPr>
            <w:color w:val="000000"/>
          </w:rPr>
          <w:t xml:space="preserve">discretio</w:t>
        </w:r>
      </w:hyperlink>
      <w:r>
        <w:rPr>
          <w:b w:val="0"/>
          <w:i w:val="0"/>
        </w:rPr>
        <w:t xml:space="preserve">; </w:t>
      </w:r>
      <w:hyperlink w:anchor="latin-record-0435">
        <w:r>
          <w:rPr>
            <w:color w:val="000000"/>
          </w:rPr>
          <w:t xml:space="preserve">emicare / exuberare / evadere</w:t>
        </w:r>
      </w:hyperlink>
      <w:r>
        <w:rPr>
          <w:b w:val="0"/>
          <w:i w:val="0"/>
        </w:rPr>
        <w:t xml:space="preserve">; </w:t>
      </w:r>
      <w:hyperlink w:anchor="latin-record-0475">
        <w:r>
          <w:rPr>
            <w:color w:val="000000"/>
          </w:rPr>
          <w:t xml:space="preserve">facies / profundum</w:t>
        </w:r>
      </w:hyperlink>
      <w:r>
        <w:rPr>
          <w:b w:val="0"/>
          <w:i w:val="0"/>
        </w:rPr>
        <w:t xml:space="preserve">; </w:t>
      </w:r>
      <w:hyperlink w:anchor="latin-record-0481">
        <w:r>
          <w:rPr>
            <w:color w:val="000000"/>
          </w:rPr>
          <w:t xml:space="preserve">fieri / facere</w:t>
        </w:r>
      </w:hyperlink>
      <w:r>
        <w:rPr>
          <w:b w:val="0"/>
          <w:i w:val="0"/>
        </w:rPr>
        <w:t xml:space="preserve">; </w:t>
      </w:r>
      <w:hyperlink w:anchor="latin-record-0488">
        <w:r>
          <w:rPr>
            <w:color w:val="000000"/>
          </w:rPr>
          <w:t xml:space="preserve">fingere / figere</w:t>
        </w:r>
      </w:hyperlink>
      <w:r>
        <w:rPr>
          <w:b w:val="0"/>
          <w:i w:val="0"/>
        </w:rPr>
        <w:t xml:space="preserve">; </w:t>
      </w:r>
      <w:hyperlink w:anchor="latin-record-0514">
        <w:r>
          <w:rPr>
            <w:color w:val="000000"/>
          </w:rPr>
          <w:t xml:space="preserve">forsitan / forsan / fortasse</w:t>
        </w:r>
      </w:hyperlink>
      <w:r>
        <w:rPr>
          <w:b w:val="0"/>
          <w:i w:val="0"/>
        </w:rPr>
        <w:t xml:space="preserve">; </w:t>
      </w:r>
      <w:hyperlink w:anchor="latin-record-0978">
        <w:r>
          <w:rPr>
            <w:color w:val="000000"/>
          </w:rPr>
          <w:t xml:space="preserve">praesens / absens</w:t>
        </w:r>
      </w:hyperlink>
      <w:r>
        <w:rPr>
          <w:b w:val="0"/>
          <w:i w:val="0"/>
        </w:rPr>
        <w:t xml:space="preserve">; </w:t>
      </w:r>
      <w:hyperlink w:anchor="latin-record-1120">
        <w:r>
          <w:rPr>
            <w:color w:val="000000"/>
          </w:rPr>
          <w:t xml:space="preserve">retinere / servare</w:t>
        </w:r>
      </w:hyperlink>
      <w:r>
        <w:rPr>
          <w:b w:val="0"/>
          <w:i w:val="0"/>
        </w:rPr>
        <w:t xml:space="preserve">; </w:t>
      </w:r>
      <w:hyperlink w:anchor="latin-record-1133">
        <w:r>
          <w:rPr>
            <w:color w:val="000000"/>
          </w:rPr>
          <w:t xml:space="preserve">sapor / odor / aqua</w:t>
        </w:r>
      </w:hyperlink>
      <w:r>
        <w:rPr>
          <w:b w:val="0"/>
          <w:i w:val="0"/>
        </w:rPr>
        <w:t xml:space="preserve">; </w:t>
      </w:r>
      <w:hyperlink w:anchor="latin-record-1173">
        <w:r>
          <w:rPr>
            <w:color w:val="000000"/>
          </w:rPr>
          <w:t xml:space="preserve">significatio / vox</w:t>
        </w:r>
      </w:hyperlink>
      <w:r>
        <w:rPr>
          <w:b w:val="0"/>
          <w:i w:val="0"/>
        </w:rPr>
        <w:t xml:space="preserve">; </w:t>
      </w:r>
      <w:hyperlink w:anchor="latin-record-1186">
        <w:r>
          <w:rPr>
            <w:color w:val="000000"/>
          </w:rPr>
          <w:t xml:space="preserve">simulacrum</w:t>
        </w:r>
      </w:hyperlink>
      <w:r>
        <w:rPr>
          <w:b w:val="0"/>
          <w:i w:val="0"/>
        </w:rPr>
        <w:t xml:space="preserve">; </w:t>
      </w:r>
      <w:hyperlink w:anchor="latin-record-1223">
        <w:r>
          <w:rPr>
            <w:color w:val="000000"/>
          </w:rPr>
          <w:t xml:space="preserve">spiritalis</w:t>
        </w:r>
      </w:hyperlink>
      <w:r>
        <w:rPr>
          <w:b w:val="0"/>
          <w:i w:val="0"/>
        </w:rPr>
        <w:t xml:space="preserve">; </w:t>
      </w:r>
      <w:hyperlink w:anchor="latin-record-1230">
        <w:r>
          <w:rPr>
            <w:color w:val="000000"/>
          </w:rPr>
          <w:t xml:space="preserve">splendor / lumen / lux</w:t>
        </w:r>
      </w:hyperlink>
      <w:r>
        <w:rPr>
          <w:b w:val="0"/>
          <w:i w:val="0"/>
        </w:rPr>
        <w:t xml:space="preserve">; </w:t>
      </w:r>
      <w:hyperlink w:anchor="latin-record-1282">
        <w:r>
          <w:rPr>
            <w:color w:val="000000"/>
          </w:rPr>
          <w:t xml:space="preserve">tenere / memoria</w:t>
        </w:r>
      </w:hyperlink>
      <w:r>
        <w:rPr>
          <w:b w:val="0"/>
          <w:i w:val="0"/>
        </w:rPr>
        <w:t xml:space="preserve">; </w:t>
      </w:r>
      <w:hyperlink w:anchor="latin-record-1305">
        <w:r>
          <w:rPr>
            <w:color w:val="000000"/>
          </w:rPr>
          <w:t xml:space="preserve">transmittere / conservare</w:t>
        </w:r>
      </w:hyperlink>
      <w:r>
        <w:rPr>
          <w:b w:val="0"/>
          <w:i w:val="0"/>
        </w:rPr>
        <w:t xml:space="preserve">; </w:t>
      </w:r>
      <w:hyperlink w:anchor="latin-record-1338">
        <w:r>
          <w:rPr>
            <w:color w:val="000000"/>
          </w:rPr>
          <w:t xml:space="preserve">verberare</w:t>
        </w:r>
      </w:hyperlink>
      <w:r>
        <w:rPr>
          <w:b w:val="0"/>
          <w:i w:val="0"/>
        </w:rPr>
        <w:t>.</w:t>
      </w:r>
    </w:p>
    <w:p>
      <w:pPr>
        <w:pStyle w:val="Heading2"/>
      </w:pPr>
      <w:bookmarkStart w:id="1892" w:name="chapter-vii.2"/>
      <w:r>
        <w:rPr>
          <w:b w:val="0"/>
          <w:i w:val="0"/>
        </w:rPr>
        <w:t>Chapter VII.2</w:t>
      </w:r>
      <w:bookmarkEnd w:id="1892"/>
    </w:p>
    <w:p>
      <w:pPr>
        <w:widowControl/>
      </w:pPr>
      <w:bookmarkStart w:id="1893" w:name="passage-vii-2-1"/>
      <w:bookmarkEnd w:id="1893"/>
      <w:r>
        <w:rPr>
          <w:b/>
          <w:i w:val="0"/>
        </w:rPr>
        <w:t>VII.2.1</w:t>
      </w:r>
      <w:r>
        <w:rPr>
          <w:b/>
          <w:i w:val="0"/>
        </w:rPr>
        <w:t>, source pp. 238–239.</w:t>
      </w:r>
      <w:r>
        <w:rPr>
          <w:b w:val="0"/>
          <w:i w:val="0"/>
        </w:rPr>
        <w:t xml:space="preserve"> Articles: </w:t>
      </w:r>
      <w:hyperlink w:anchor="vii-common-sense-comparison">
        <w:r>
          <w:rPr>
            <w:color w:val="000000"/>
          </w:rPr>
          <w:t xml:space="preserve">Comparison and common sense</w:t>
        </w:r>
      </w:hyperlink>
      <w:r>
        <w:rPr>
          <w:b w:val="0"/>
          <w:i w:val="0"/>
        </w:rPr>
        <w:t xml:space="preserve">; </w:t>
      </w:r>
      <w:hyperlink w:anchor="vii-point-line">
        <w:r>
          <w:rPr>
            <w:color w:val="000000"/>
          </w:rPr>
          <w:t xml:space="preserve">Point, line and the comparing power</w:t>
        </w:r>
      </w:hyperlink>
      <w:r>
        <w:rPr>
          <w:b w:val="0"/>
          <w:i w:val="0"/>
        </w:rPr>
        <w:t xml:space="preserve">. Vocabulary: </w:t>
      </w:r>
      <w:hyperlink w:anchor="latin-record-0093">
        <w:r>
          <w:rPr>
            <w:color w:val="000000"/>
          </w:rPr>
          <w:t xml:space="preserve">anima / animus</w:t>
        </w:r>
      </w:hyperlink>
      <w:r>
        <w:rPr>
          <w:b w:val="0"/>
          <w:i w:val="0"/>
        </w:rPr>
        <w:t xml:space="preserve">; </w:t>
      </w:r>
      <w:hyperlink w:anchor="latin-record-0145">
        <w:r>
          <w:rPr>
            <w:color w:val="000000"/>
          </w:rPr>
          <w:t xml:space="preserve">attingere / persentire</w:t>
        </w:r>
      </w:hyperlink>
      <w:r>
        <w:rPr>
          <w:b w:val="0"/>
          <w:i w:val="0"/>
        </w:rPr>
        <w:t xml:space="preserve">; </w:t>
      </w:r>
      <w:hyperlink w:anchor="latin-record-0207">
        <w:r>
          <w:rPr>
            <w:color w:val="000000"/>
          </w:rPr>
          <w:t xml:space="preserve">centrum / vis interior</w:t>
        </w:r>
      </w:hyperlink>
      <w:r>
        <w:rPr>
          <w:b w:val="0"/>
          <w:i w:val="0"/>
        </w:rPr>
        <w:t xml:space="preserve">; </w:t>
      </w:r>
      <w:hyperlink w:anchor="latin-record-0232">
        <w:r>
          <w:rPr>
            <w:color w:val="000000"/>
          </w:rPr>
          <w:t xml:space="preserve">cognoscere / agnoscere / noscere</w:t>
        </w:r>
      </w:hyperlink>
      <w:r>
        <w:rPr>
          <w:b w:val="0"/>
          <w:i w:val="0"/>
        </w:rPr>
        <w:t xml:space="preserve">; </w:t>
      </w:r>
      <w:hyperlink w:anchor="latin-record-0239">
        <w:r>
          <w:rPr>
            <w:color w:val="000000"/>
          </w:rPr>
          <w:t xml:space="preserve">color / vox / odor</w:t>
        </w:r>
      </w:hyperlink>
      <w:r>
        <w:rPr>
          <w:b w:val="0"/>
          <w:i w:val="0"/>
        </w:rPr>
        <w:t xml:space="preserve">; </w:t>
      </w:r>
      <w:hyperlink w:anchor="latin-record-0253">
        <w:r>
          <w:rPr>
            <w:color w:val="000000"/>
          </w:rPr>
          <w:t xml:space="preserve">comparare</w:t>
        </w:r>
      </w:hyperlink>
      <w:r>
        <w:rPr>
          <w:b w:val="0"/>
          <w:i w:val="0"/>
        </w:rPr>
        <w:t xml:space="preserve">; </w:t>
      </w:r>
      <w:hyperlink w:anchor="latin-record-0385">
        <w:r>
          <w:rPr>
            <w:color w:val="000000"/>
          </w:rPr>
          <w:t xml:space="preserve">diiudicare</w:t>
        </w:r>
      </w:hyperlink>
      <w:r>
        <w:rPr>
          <w:b w:val="0"/>
          <w:i w:val="0"/>
        </w:rPr>
        <w:t xml:space="preserve">; </w:t>
      </w:r>
      <w:hyperlink w:anchor="latin-record-0538">
        <w:r>
          <w:rPr>
            <w:color w:val="000000"/>
          </w:rPr>
          <w:t xml:space="preserve">geminus / apprehendere</w:t>
        </w:r>
      </w:hyperlink>
      <w:r>
        <w:rPr>
          <w:b w:val="0"/>
          <w:i w:val="0"/>
        </w:rPr>
        <w:t xml:space="preserve">; </w:t>
      </w:r>
      <w:hyperlink w:anchor="latin-record-0576">
        <w:r>
          <w:rPr>
            <w:color w:val="000000"/>
          </w:rPr>
          <w:t xml:space="preserve">hypothetical concession</w:t>
        </w:r>
      </w:hyperlink>
      <w:r>
        <w:rPr>
          <w:b w:val="0"/>
          <w:i w:val="0"/>
        </w:rPr>
        <w:t xml:space="preserve">; </w:t>
      </w:r>
      <w:hyperlink w:anchor="latin-record-0654">
        <w:r>
          <w:rPr>
            <w:color w:val="000000"/>
          </w:rPr>
          <w:t xml:space="preserve">instrumentum</w:t>
        </w:r>
      </w:hyperlink>
      <w:r>
        <w:rPr>
          <w:b w:val="0"/>
          <w:i w:val="0"/>
        </w:rPr>
        <w:t xml:space="preserve">; </w:t>
      </w:r>
      <w:hyperlink w:anchor="latin-record-0849">
        <w:r>
          <w:rPr>
            <w:color w:val="000000"/>
          </w:rPr>
          <w:t xml:space="preserve">nuntiare</w:t>
        </w:r>
      </w:hyperlink>
      <w:r>
        <w:rPr>
          <w:b w:val="0"/>
          <w:i w:val="0"/>
        </w:rPr>
        <w:t xml:space="preserve">; </w:t>
      </w:r>
      <w:hyperlink w:anchor="latin-record-0852">
        <w:r>
          <w:rPr>
            <w:color w:val="000000"/>
          </w:rPr>
          <w:t xml:space="preserve">obiectum</w:t>
        </w:r>
      </w:hyperlink>
      <w:r>
        <w:rPr>
          <w:b w:val="0"/>
          <w:i w:val="0"/>
        </w:rPr>
        <w:t xml:space="preserve">; </w:t>
      </w:r>
      <w:hyperlink w:anchor="latin-record-1137">
        <w:r>
          <w:rPr>
            <w:color w:val="000000"/>
          </w:rPr>
          <w:t xml:space="preserve">scientia et ignorantia</w:t>
        </w:r>
      </w:hyperlink>
      <w:r>
        <w:rPr>
          <w:b w:val="0"/>
          <w:i w:val="0"/>
        </w:rPr>
        <w:t xml:space="preserve">; </w:t>
      </w:r>
      <w:hyperlink w:anchor="latin-record-1255">
        <w:r>
          <w:rPr>
            <w:color w:val="000000"/>
          </w:rPr>
          <w:t xml:space="preserve">sufficere / supervacuus</w:t>
        </w:r>
      </w:hyperlink>
      <w:r>
        <w:rPr>
          <w:b w:val="0"/>
          <w:i w:val="0"/>
        </w:rPr>
        <w:t xml:space="preserve">; </w:t>
      </w:r>
      <w:hyperlink w:anchor="latin-record-1362">
        <w:r>
          <w:rPr>
            <w:color w:val="000000"/>
          </w:rPr>
          <w:t xml:space="preserve">vis / potentia / virtus</w:t>
        </w:r>
      </w:hyperlink>
      <w:r>
        <w:rPr>
          <w:b w:val="0"/>
          <w:i w:val="0"/>
        </w:rPr>
        <w:t xml:space="preserve">; </w:t>
      </w:r>
      <w:hyperlink w:anchor="latin-record-1372">
        <w:r>
          <w:rPr>
            <w:color w:val="000000"/>
          </w:rPr>
          <w:t xml:space="preserve">visus / auditus / olfactus</w:t>
        </w:r>
      </w:hyperlink>
      <w:r>
        <w:rPr>
          <w:b w:val="0"/>
          <w:i w:val="0"/>
        </w:rPr>
        <w:t>.</w:t>
      </w:r>
    </w:p>
    <w:p>
      <w:pPr>
        <w:widowControl/>
      </w:pPr>
      <w:bookmarkStart w:id="1894" w:name="passage-vii-2-2"/>
      <w:bookmarkEnd w:id="1894"/>
      <w:r>
        <w:rPr>
          <w:b/>
          <w:i w:val="0"/>
        </w:rPr>
        <w:t>VII.2.2</w:t>
      </w:r>
      <w:r>
        <w:rPr>
          <w:b/>
          <w:i w:val="0"/>
        </w:rPr>
        <w:t>, source pp. 240–241.</w:t>
      </w:r>
      <w:r>
        <w:rPr>
          <w:b w:val="0"/>
          <w:i w:val="0"/>
        </w:rPr>
        <w:t xml:space="preserve"> Articles: </w:t>
      </w:r>
      <w:hyperlink w:anchor="vii-common-sense-comparison">
        <w:r>
          <w:rPr>
            <w:color w:val="000000"/>
          </w:rPr>
          <w:t xml:space="preserve">Comparison and common sense</w:t>
        </w:r>
      </w:hyperlink>
      <w:r>
        <w:rPr>
          <w:b w:val="0"/>
          <w:i w:val="0"/>
        </w:rPr>
        <w:t xml:space="preserve">; </w:t>
      </w:r>
      <w:hyperlink w:anchor="vii-point-line">
        <w:r>
          <w:rPr>
            <w:color w:val="000000"/>
          </w:rPr>
          <w:t xml:space="preserve">Point, line and the comparing power</w:t>
        </w:r>
      </w:hyperlink>
      <w:r>
        <w:rPr>
          <w:b w:val="0"/>
          <w:i w:val="0"/>
        </w:rPr>
        <w:t xml:space="preserve">. Vocabulary: </w:t>
      </w:r>
      <w:hyperlink w:anchor="latin-record-0001">
        <w:r>
          <w:rPr>
            <w:color w:val="000000"/>
          </w:rPr>
          <w:t xml:space="preserve">a / b: geometrical labels</w:t>
        </w:r>
      </w:hyperlink>
      <w:r>
        <w:rPr>
          <w:b w:val="0"/>
          <w:i w:val="0"/>
        </w:rPr>
        <w:t xml:space="preserve">; </w:t>
      </w:r>
      <w:hyperlink w:anchor="latin-record-0145">
        <w:r>
          <w:rPr>
            <w:color w:val="000000"/>
          </w:rPr>
          <w:t xml:space="preserve">attingere / persentire</w:t>
        </w:r>
      </w:hyperlink>
      <w:r>
        <w:rPr>
          <w:b w:val="0"/>
          <w:i w:val="0"/>
        </w:rPr>
        <w:t xml:space="preserve">; </w:t>
      </w:r>
      <w:hyperlink w:anchor="latin-record-0192">
        <w:r>
          <w:rPr>
            <w:color w:val="000000"/>
          </w:rPr>
          <w:t xml:space="preserve">caput / finis / terminus lineae</w:t>
        </w:r>
      </w:hyperlink>
      <w:r>
        <w:rPr>
          <w:b w:val="0"/>
          <w:i w:val="0"/>
        </w:rPr>
        <w:t xml:space="preserve">; </w:t>
      </w:r>
      <w:hyperlink w:anchor="latin-record-0383">
        <w:r>
          <w:rPr>
            <w:color w:val="000000"/>
          </w:rPr>
          <w:t xml:space="preserve">diffundere / spargere / porrigere</w:t>
        </w:r>
      </w:hyperlink>
      <w:r>
        <w:rPr>
          <w:b w:val="0"/>
          <w:i w:val="0"/>
        </w:rPr>
        <w:t xml:space="preserve">; </w:t>
      </w:r>
      <w:hyperlink w:anchor="latin-record-0385">
        <w:r>
          <w:rPr>
            <w:color w:val="000000"/>
          </w:rPr>
          <w:t xml:space="preserve">diiudicare</w:t>
        </w:r>
      </w:hyperlink>
      <w:r>
        <w:rPr>
          <w:b w:val="0"/>
          <w:i w:val="0"/>
        </w:rPr>
        <w:t xml:space="preserve">; </w:t>
      </w:r>
      <w:hyperlink w:anchor="latin-record-0576">
        <w:r>
          <w:rPr>
            <w:color w:val="000000"/>
          </w:rPr>
          <w:t xml:space="preserve">hypothetical concession</w:t>
        </w:r>
      </w:hyperlink>
      <w:r>
        <w:rPr>
          <w:b w:val="0"/>
          <w:i w:val="0"/>
        </w:rPr>
        <w:t xml:space="preserve">; </w:t>
      </w:r>
      <w:hyperlink w:anchor="latin-record-0626">
        <w:r>
          <w:rPr>
            <w:color w:val="000000"/>
          </w:rPr>
          <w:t xml:space="preserve">indivisibilis / individuus / partibilis</w:t>
        </w:r>
      </w:hyperlink>
      <w:r>
        <w:rPr>
          <w:b w:val="0"/>
          <w:i w:val="0"/>
        </w:rPr>
        <w:t xml:space="preserve">; </w:t>
      </w:r>
      <w:hyperlink w:anchor="latin-record-0745">
        <w:r>
          <w:rPr>
            <w:color w:val="000000"/>
          </w:rPr>
          <w:t xml:space="preserve">magistra sensuum</w:t>
        </w:r>
      </w:hyperlink>
      <w:r>
        <w:rPr>
          <w:b w:val="0"/>
          <w:i w:val="0"/>
        </w:rPr>
        <w:t xml:space="preserve">; </w:t>
      </w:r>
      <w:hyperlink w:anchor="latin-record-0841">
        <w:r>
          <w:rPr>
            <w:color w:val="000000"/>
          </w:rPr>
          <w:t xml:space="preserve">nobilior</w:t>
        </w:r>
      </w:hyperlink>
      <w:r>
        <w:rPr>
          <w:b w:val="0"/>
          <w:i w:val="0"/>
        </w:rPr>
        <w:t xml:space="preserve">; </w:t>
      </w:r>
      <w:hyperlink w:anchor="latin-record-0941">
        <w:r>
          <w:rPr>
            <w:color w:val="000000"/>
          </w:rPr>
          <w:t xml:space="preserve">pervenire / transire / concurrere</w:t>
        </w:r>
      </w:hyperlink>
      <w:r>
        <w:rPr>
          <w:b w:val="0"/>
          <w:i w:val="0"/>
        </w:rPr>
        <w:t xml:space="preserve">; </w:t>
      </w:r>
      <w:hyperlink w:anchor="latin-record-1027">
        <w:r>
          <w:rPr>
            <w:color w:val="000000"/>
          </w:rPr>
          <w:t xml:space="preserve">punctum / linea</w:t>
        </w:r>
      </w:hyperlink>
      <w:r>
        <w:rPr>
          <w:b w:val="0"/>
          <w:i w:val="0"/>
        </w:rPr>
        <w:t xml:space="preserve">; </w:t>
      </w:r>
      <w:hyperlink w:anchor="latin-record-1255">
        <w:r>
          <w:rPr>
            <w:color w:val="000000"/>
          </w:rPr>
          <w:t xml:space="preserve">sufficere / supervacuus</w:t>
        </w:r>
      </w:hyperlink>
      <w:r>
        <w:rPr>
          <w:b w:val="0"/>
          <w:i w:val="0"/>
        </w:rPr>
        <w:t xml:space="preserve">; </w:t>
      </w:r>
      <w:hyperlink w:anchor="latin-record-1275">
        <w:r>
          <w:rPr>
            <w:color w:val="000000"/>
          </w:rPr>
          <w:t xml:space="preserve">tangere</w:t>
        </w:r>
      </w:hyperlink>
      <w:r>
        <w:rPr>
          <w:b w:val="0"/>
          <w:i w:val="0"/>
        </w:rPr>
        <w:t xml:space="preserve">; </w:t>
      </w:r>
      <w:hyperlink w:anchor="latin-record-1328">
        <w:r>
          <w:rPr>
            <w:color w:val="000000"/>
          </w:rPr>
          <w:t xml:space="preserve">vacare</w:t>
        </w:r>
      </w:hyperlink>
      <w:r>
        <w:rPr>
          <w:b w:val="0"/>
          <w:i w:val="0"/>
        </w:rPr>
        <w:t>.</w:t>
      </w:r>
    </w:p>
    <w:p>
      <w:pPr>
        <w:pStyle w:val="Heading2"/>
      </w:pPr>
      <w:bookmarkStart w:id="1895" w:name="chapter-vii.3"/>
      <w:r>
        <w:rPr>
          <w:b w:val="0"/>
          <w:i w:val="0"/>
        </w:rPr>
        <w:t>Chapter VII.3</w:t>
      </w:r>
      <w:bookmarkEnd w:id="1895"/>
    </w:p>
    <w:p>
      <w:pPr>
        <w:widowControl/>
      </w:pPr>
      <w:bookmarkStart w:id="1896" w:name="passage-vii-3-1"/>
      <w:bookmarkEnd w:id="1896"/>
      <w:r>
        <w:rPr>
          <w:b/>
          <w:i w:val="0"/>
        </w:rPr>
        <w:t>VII.3.1</w:t>
      </w:r>
      <w:r>
        <w:rPr>
          <w:b/>
          <w:i w:val="0"/>
        </w:rPr>
        <w:t>, source pp. 242–243.</w:t>
      </w:r>
      <w:r>
        <w:rPr>
          <w:b w:val="0"/>
          <w:i w:val="0"/>
        </w:rPr>
        <w:t xml:space="preserve"> Articles: </w:t>
      </w:r>
      <w:hyperlink w:anchor="vii-animal-acuity-size">
        <w:r>
          <w:rPr>
            <w:color w:val="000000"/>
          </w:rPr>
          <w:t xml:space="preserve">Animal acuity and bodily size</w:t>
        </w:r>
      </w:hyperlink>
      <w:r>
        <w:rPr>
          <w:b w:val="0"/>
          <w:i w:val="0"/>
        </w:rPr>
        <w:t xml:space="preserve">; </w:t>
      </w:r>
      <w:hyperlink w:anchor="vii-common-sense-comparison">
        <w:r>
          <w:rPr>
            <w:color w:val="000000"/>
          </w:rPr>
          <w:t xml:space="preserve">Comparison and common sense</w:t>
        </w:r>
      </w:hyperlink>
      <w:r>
        <w:rPr>
          <w:b w:val="0"/>
          <w:i w:val="0"/>
        </w:rPr>
        <w:t xml:space="preserve">. Vocabulary: </w:t>
      </w:r>
      <w:hyperlink w:anchor="latin-record-0018">
        <w:r>
          <w:rPr>
            <w:color w:val="000000"/>
          </w:rPr>
          <w:t xml:space="preserve">acies / acute videre</w:t>
        </w:r>
      </w:hyperlink>
      <w:r>
        <w:rPr>
          <w:b w:val="0"/>
          <w:i w:val="0"/>
        </w:rPr>
        <w:t xml:space="preserve">; </w:t>
      </w:r>
      <w:hyperlink w:anchor="latin-record-0107">
        <w:r>
          <w:rPr>
            <w:color w:val="000000"/>
          </w:rPr>
          <w:t xml:space="preserve">apis / ovis / sollertia</w:t>
        </w:r>
      </w:hyperlink>
      <w:r>
        <w:rPr>
          <w:b w:val="0"/>
          <w:i w:val="0"/>
        </w:rPr>
        <w:t xml:space="preserve">; </w:t>
      </w:r>
      <w:hyperlink w:anchor="latin-record-0119">
        <w:r>
          <w:rPr>
            <w:color w:val="000000"/>
          </w:rPr>
          <w:t xml:space="preserve">aquila / bos</w:t>
        </w:r>
      </w:hyperlink>
      <w:r>
        <w:rPr>
          <w:b w:val="0"/>
          <w:i w:val="0"/>
        </w:rPr>
        <w:t xml:space="preserve">; </w:t>
      </w:r>
      <w:hyperlink w:anchor="latin-record-0184">
        <w:r>
          <w:rPr>
            <w:color w:val="000000"/>
          </w:rPr>
          <w:t xml:space="preserve">canis / agnus / sagacitas</w:t>
        </w:r>
      </w:hyperlink>
      <w:r>
        <w:rPr>
          <w:b w:val="0"/>
          <w:i w:val="0"/>
        </w:rPr>
        <w:t xml:space="preserve">; </w:t>
      </w:r>
      <w:hyperlink w:anchor="latin-record-0235">
        <w:r>
          <w:rPr>
            <w:color w:val="000000"/>
          </w:rPr>
          <w:t xml:space="preserve">colligere / impartibilis</w:t>
        </w:r>
      </w:hyperlink>
      <w:r>
        <w:rPr>
          <w:b w:val="0"/>
          <w:i w:val="0"/>
        </w:rPr>
        <w:t xml:space="preserve">; </w:t>
      </w:r>
      <w:hyperlink w:anchor="latin-record-0246">
        <w:r>
          <w:rPr>
            <w:color w:val="000000"/>
          </w:rPr>
          <w:t xml:space="preserve">communis sensus</w:t>
        </w:r>
      </w:hyperlink>
      <w:r>
        <w:rPr>
          <w:b w:val="0"/>
          <w:i w:val="0"/>
        </w:rPr>
        <w:t xml:space="preserve">; </w:t>
      </w:r>
      <w:hyperlink w:anchor="latin-record-0286">
        <w:r>
          <w:rPr>
            <w:color w:val="000000"/>
          </w:rPr>
          <w:t xml:space="preserve">conducere / nocere</w:t>
        </w:r>
      </w:hyperlink>
      <w:r>
        <w:rPr>
          <w:b w:val="0"/>
          <w:i w:val="0"/>
        </w:rPr>
        <w:t xml:space="preserve">; </w:t>
      </w:r>
      <w:hyperlink w:anchor="latin-record-0432">
        <w:r>
          <w:rPr>
            <w:color w:val="000000"/>
          </w:rPr>
          <w:t xml:space="preserve">elephas / equus / prudentia</w:t>
        </w:r>
      </w:hyperlink>
      <w:r>
        <w:rPr>
          <w:b w:val="0"/>
          <w:i w:val="0"/>
        </w:rPr>
        <w:t xml:space="preserve">; </w:t>
      </w:r>
      <w:hyperlink w:anchor="latin-record-0708">
        <w:r>
          <w:rPr>
            <w:color w:val="000000"/>
          </w:rPr>
          <w:t xml:space="preserve">leo / audacia</w:t>
        </w:r>
      </w:hyperlink>
      <w:r>
        <w:rPr>
          <w:b w:val="0"/>
          <w:i w:val="0"/>
        </w:rPr>
        <w:t xml:space="preserve">; </w:t>
      </w:r>
      <w:hyperlink w:anchor="latin-record-0834">
        <w:r>
          <w:rPr>
            <w:color w:val="000000"/>
          </w:rPr>
          <w:t xml:space="preserve">necessitas / oportet</w:t>
        </w:r>
      </w:hyperlink>
      <w:r>
        <w:rPr>
          <w:b w:val="0"/>
          <w:i w:val="0"/>
        </w:rPr>
        <w:t xml:space="preserve">; </w:t>
      </w:r>
      <w:hyperlink w:anchor="latin-record-1045">
        <w:r>
          <w:rPr>
            <w:color w:val="000000"/>
          </w:rPr>
          <w:t xml:space="preserve">quantitas / dimensio</w:t>
        </w:r>
      </w:hyperlink>
      <w:r>
        <w:rPr>
          <w:b w:val="0"/>
          <w:i w:val="0"/>
        </w:rPr>
        <w:t xml:space="preserve">; </w:t>
      </w:r>
      <w:hyperlink w:anchor="latin-record-1069">
        <w:r>
          <w:rPr>
            <w:color w:val="000000"/>
          </w:rPr>
          <w:t xml:space="preserve">ratio / transcendere</w:t>
        </w:r>
      </w:hyperlink>
      <w:r>
        <w:rPr>
          <w:b w:val="0"/>
          <w:i w:val="0"/>
        </w:rPr>
        <w:t xml:space="preserve">; </w:t>
      </w:r>
      <w:hyperlink w:anchor="latin-record-1174">
        <w:r>
          <w:rPr>
            <w:color w:val="000000"/>
          </w:rPr>
          <w:t xml:space="preserve">simia / asinus / ingenium</w:t>
        </w:r>
      </w:hyperlink>
      <w:r>
        <w:rPr>
          <w:b w:val="0"/>
          <w:i w:val="0"/>
        </w:rPr>
        <w:t xml:space="preserve">; </w:t>
      </w:r>
      <w:hyperlink w:anchor="latin-record-1256">
        <w:r>
          <w:rPr>
            <w:color w:val="000000"/>
          </w:rPr>
          <w:t xml:space="preserve">sufficientia / indigere</w:t>
        </w:r>
      </w:hyperlink>
      <w:r>
        <w:rPr>
          <w:b w:val="0"/>
          <w:i w:val="0"/>
        </w:rPr>
        <w:t xml:space="preserve">; </w:t>
      </w:r>
      <w:hyperlink w:anchor="latin-record-1329">
        <w:r>
          <w:rPr>
            <w:color w:val="000000"/>
          </w:rPr>
          <w:t xml:space="preserve">valere</w:t>
        </w:r>
      </w:hyperlink>
      <w:r>
        <w:rPr>
          <w:b w:val="0"/>
          <w:i w:val="0"/>
        </w:rPr>
        <w:t xml:space="preserve">; </w:t>
      </w:r>
      <w:hyperlink w:anchor="latin-record-1362">
        <w:r>
          <w:rPr>
            <w:color w:val="000000"/>
          </w:rPr>
          <w:t xml:space="preserve">vis / potentia / virtus</w:t>
        </w:r>
      </w:hyperlink>
      <w:r>
        <w:rPr>
          <w:b w:val="0"/>
          <w:i w:val="0"/>
        </w:rPr>
        <w:t xml:space="preserve">; </w:t>
      </w:r>
      <w:hyperlink w:anchor="latin-record-1389">
        <w:r>
          <w:rPr>
            <w:color w:val="000000"/>
          </w:rPr>
          <w:t xml:space="preserve">vulpes / sus / astutia</w:t>
        </w:r>
      </w:hyperlink>
      <w:r>
        <w:rPr>
          <w:b w:val="0"/>
          <w:i w:val="0"/>
        </w:rPr>
        <w:t xml:space="preserve">; </w:t>
      </w:r>
      <w:hyperlink w:anchor="latin-record-1390">
        <w:r>
          <w:rPr>
            <w:color w:val="000000"/>
          </w:rPr>
          <w:t xml:space="preserve">vultus / pupilla</w:t>
        </w:r>
      </w:hyperlink>
      <w:r>
        <w:rPr>
          <w:b w:val="0"/>
          <w:i w:val="0"/>
        </w:rPr>
        <w:t>.</w:t>
      </w:r>
    </w:p>
    <w:p>
      <w:pPr>
        <w:pStyle w:val="Heading2"/>
      </w:pPr>
      <w:bookmarkStart w:id="1897" w:name="chapter-vii.4"/>
      <w:r>
        <w:rPr>
          <w:b w:val="0"/>
          <w:i w:val="0"/>
        </w:rPr>
        <w:t>Chapter VII.4</w:t>
      </w:r>
      <w:bookmarkEnd w:id="1897"/>
    </w:p>
    <w:p>
      <w:pPr>
        <w:widowControl/>
      </w:pPr>
      <w:bookmarkStart w:id="1898" w:name="passage-vii-4-1"/>
      <w:bookmarkEnd w:id="1898"/>
      <w:r>
        <w:rPr>
          <w:b/>
          <w:i w:val="0"/>
        </w:rPr>
        <w:t>VII.4.1</w:t>
      </w:r>
      <w:r>
        <w:rPr>
          <w:b/>
          <w:i w:val="0"/>
        </w:rPr>
        <w:t>, source pp. 244–245.</w:t>
      </w:r>
      <w:r>
        <w:rPr>
          <w:b w:val="0"/>
          <w:i w:val="0"/>
        </w:rPr>
        <w:t xml:space="preserve"> Articles: </w:t>
      </w:r>
      <w:hyperlink w:anchor="vii-one-comprehension">
        <w:r>
          <w:rPr>
            <w:color w:val="000000"/>
          </w:rPr>
          <w:t xml:space="preserve">One comprehension and indivisible sensation</w:t>
        </w:r>
      </w:hyperlink>
      <w:r>
        <w:rPr>
          <w:b w:val="0"/>
          <w:i w:val="0"/>
        </w:rPr>
        <w:t xml:space="preserve">. Vocabulary: </w:t>
      </w:r>
      <w:hyperlink w:anchor="latin-record-0237">
        <w:r>
          <w:rPr>
            <w:color w:val="000000"/>
          </w:rPr>
          <w:t xml:space="preserve">collocare</w:t>
        </w:r>
      </w:hyperlink>
      <w:r>
        <w:rPr>
          <w:b w:val="0"/>
          <w:i w:val="0"/>
        </w:rPr>
        <w:t xml:space="preserve">; </w:t>
      </w:r>
      <w:hyperlink w:anchor="latin-record-0267">
        <w:r>
          <w:rPr>
            <w:color w:val="000000"/>
          </w:rPr>
          <w:t xml:space="preserve">compositum / forma communis</w:t>
        </w:r>
      </w:hyperlink>
      <w:r>
        <w:rPr>
          <w:b w:val="0"/>
          <w:i w:val="0"/>
        </w:rPr>
        <w:t xml:space="preserve">; </w:t>
      </w:r>
      <w:hyperlink w:anchor="latin-record-0275">
        <w:r>
          <w:rPr>
            <w:color w:val="000000"/>
          </w:rPr>
          <w:t xml:space="preserve">concipere / comprehendere</w:t>
        </w:r>
      </w:hyperlink>
      <w:r>
        <w:rPr>
          <w:b w:val="0"/>
          <w:i w:val="0"/>
        </w:rPr>
        <w:t xml:space="preserve">; </w:t>
      </w:r>
      <w:hyperlink w:anchor="latin-record-0294">
        <w:r>
          <w:rPr>
            <w:color w:val="000000"/>
          </w:rPr>
          <w:t xml:space="preserve">congruere / quadrare / aptare</w:t>
        </w:r>
      </w:hyperlink>
      <w:r>
        <w:rPr>
          <w:b w:val="0"/>
          <w:i w:val="0"/>
        </w:rPr>
        <w:t xml:space="preserve">; </w:t>
      </w:r>
      <w:hyperlink w:anchor="latin-record-0338">
        <w:r>
          <w:rPr>
            <w:color w:val="000000"/>
          </w:rPr>
          <w:t xml:space="preserve">corpus / corporalis</w:t>
        </w:r>
      </w:hyperlink>
      <w:r>
        <w:rPr>
          <w:b w:val="0"/>
          <w:i w:val="0"/>
        </w:rPr>
        <w:t xml:space="preserve">; </w:t>
      </w:r>
      <w:hyperlink w:anchor="latin-record-0402">
        <w:r>
          <w:rPr>
            <w:color w:val="000000"/>
          </w:rPr>
          <w:t xml:space="preserve">distribuere / partiri / secare</w:t>
        </w:r>
      </w:hyperlink>
      <w:r>
        <w:rPr>
          <w:b w:val="0"/>
          <w:i w:val="0"/>
        </w:rPr>
        <w:t xml:space="preserve">; </w:t>
      </w:r>
      <w:hyperlink w:anchor="latin-record-0576">
        <w:r>
          <w:rPr>
            <w:color w:val="000000"/>
          </w:rPr>
          <w:t xml:space="preserve">hypothetical concession</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793">
        <w:r>
          <w:rPr>
            <w:color w:val="000000"/>
          </w:rPr>
          <w:t xml:space="preserve">moles / distendere</w:t>
        </w:r>
      </w:hyperlink>
      <w:r>
        <w:rPr>
          <w:b w:val="0"/>
          <w:i w:val="0"/>
        </w:rPr>
        <w:t xml:space="preserve">; </w:t>
      </w:r>
      <w:hyperlink w:anchor="latin-record-0824">
        <w:r>
          <w:rPr>
            <w:color w:val="000000"/>
          </w:rPr>
          <w:t xml:space="preserve">natura / naturalis</w:t>
        </w:r>
      </w:hyperlink>
      <w:r>
        <w:rPr>
          <w:b w:val="0"/>
          <w:i w:val="0"/>
        </w:rPr>
        <w:t xml:space="preserve">; </w:t>
      </w:r>
      <w:hyperlink w:anchor="latin-record-0834">
        <w:r>
          <w:rPr>
            <w:color w:val="000000"/>
          </w:rPr>
          <w:t xml:space="preserve">necessitas / oportet</w:t>
        </w:r>
      </w:hyperlink>
      <w:r>
        <w:rPr>
          <w:b w:val="0"/>
          <w:i w:val="0"/>
        </w:rPr>
        <w:t xml:space="preserve">; </w:t>
      </w:r>
      <w:hyperlink w:anchor="latin-record-0890">
        <w:r>
          <w:rPr>
            <w:color w:val="000000"/>
          </w:rPr>
          <w:t xml:space="preserve">pars</w:t>
        </w:r>
      </w:hyperlink>
      <w:r>
        <w:rPr>
          <w:b w:val="0"/>
          <w:i w:val="0"/>
        </w:rPr>
        <w:t>.</w:t>
      </w:r>
    </w:p>
    <w:p>
      <w:pPr>
        <w:widowControl/>
      </w:pPr>
      <w:bookmarkStart w:id="1899" w:name="passage-vii-4-2"/>
      <w:bookmarkEnd w:id="1899"/>
      <w:r>
        <w:rPr>
          <w:b/>
          <w:i w:val="0"/>
        </w:rPr>
        <w:t>VII.4.2</w:t>
      </w:r>
      <w:r>
        <w:rPr>
          <w:b/>
          <w:i w:val="0"/>
        </w:rPr>
        <w:t>, source pp. 246–247.</w:t>
      </w:r>
      <w:r>
        <w:rPr>
          <w:b w:val="0"/>
          <w:i w:val="0"/>
        </w:rPr>
        <w:t xml:space="preserve"> Articles: </w:t>
      </w:r>
      <w:hyperlink w:anchor="vii-one-comprehension">
        <w:r>
          <w:rPr>
            <w:color w:val="000000"/>
          </w:rPr>
          <w:t xml:space="preserve">One comprehension and indivisible sensation</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substance-degrees">
        <w:r>
          <w:rPr>
            <w:color w:val="000000"/>
          </w:rPr>
          <w:t xml:space="preserve">Substance, qualities and degrees</w:t>
        </w:r>
      </w:hyperlink>
      <w:r>
        <w:rPr>
          <w:b w:val="0"/>
          <w:i w:val="0"/>
        </w:rPr>
        <w:t xml:space="preserve">. Vocabulary: </w:t>
      </w:r>
      <w:hyperlink w:anchor="latin-record-0292">
        <w:r>
          <w:rPr>
            <w:color w:val="000000"/>
          </w:rPr>
          <w:t xml:space="preserve">congregatio / momentum</w:t>
        </w:r>
      </w:hyperlink>
      <w:r>
        <w:rPr>
          <w:b w:val="0"/>
          <w:i w:val="0"/>
        </w:rPr>
        <w:t xml:space="preserve">; </w:t>
      </w:r>
      <w:hyperlink w:anchor="latin-record-0314">
        <w:r>
          <w:rPr>
            <w:color w:val="000000"/>
          </w:rPr>
          <w:t xml:space="preserve">construere / constituere</w:t>
        </w:r>
      </w:hyperlink>
      <w:r>
        <w:rPr>
          <w:b w:val="0"/>
          <w:i w:val="0"/>
        </w:rPr>
        <w:t xml:space="preserve">; </w:t>
      </w:r>
      <w:hyperlink w:anchor="latin-record-0402">
        <w:r>
          <w:rPr>
            <w:color w:val="000000"/>
          </w:rPr>
          <w:t xml:space="preserve">distribuere / partiri / secare</w:t>
        </w:r>
      </w:hyperlink>
      <w:r>
        <w:rPr>
          <w:b w:val="0"/>
          <w:i w:val="0"/>
        </w:rPr>
        <w:t xml:space="preserve">; </w:t>
      </w:r>
      <w:hyperlink w:anchor="latin-record-0488">
        <w:r>
          <w:rPr>
            <w:color w:val="000000"/>
          </w:rPr>
          <w:t xml:space="preserve">fingere / figere</w:t>
        </w:r>
      </w:hyperlink>
      <w:r>
        <w:rPr>
          <w:b w:val="0"/>
          <w:i w:val="0"/>
        </w:rPr>
        <w:t xml:space="preserve">; </w:t>
      </w:r>
      <w:hyperlink w:anchor="latin-record-0500">
        <w:r>
          <w:rPr>
            <w:color w:val="000000"/>
          </w:rPr>
          <w:t xml:space="preserve">fons / subiectum virtutis</w:t>
        </w:r>
      </w:hyperlink>
      <w:r>
        <w:rPr>
          <w:b w:val="0"/>
          <w:i w:val="0"/>
        </w:rPr>
        <w:t xml:space="preserve">; </w:t>
      </w:r>
      <w:hyperlink w:anchor="latin-record-0514">
        <w:r>
          <w:rPr>
            <w:color w:val="000000"/>
          </w:rPr>
          <w:t xml:space="preserve">forsitan / forsan / fortasse</w:t>
        </w:r>
      </w:hyperlink>
      <w:r>
        <w:rPr>
          <w:b w:val="0"/>
          <w:i w:val="0"/>
        </w:rPr>
        <w:t xml:space="preserve">; </w:t>
      </w:r>
      <w:hyperlink w:anchor="latin-record-0635">
        <w:r>
          <w:rPr>
            <w:color w:val="000000"/>
          </w:rPr>
          <w:t xml:space="preserve">infinitus / innumerabilis</w:t>
        </w:r>
      </w:hyperlink>
      <w:r>
        <w:rPr>
          <w:b w:val="0"/>
          <w:i w:val="0"/>
        </w:rPr>
        <w:t xml:space="preserve">; </w:t>
      </w:r>
      <w:hyperlink w:anchor="latin-record-0908">
        <w:r>
          <w:rPr>
            <w:color w:val="000000"/>
          </w:rPr>
          <w:t xml:space="preserve">paulatim / subito</w:t>
        </w:r>
      </w:hyperlink>
      <w:r>
        <w:rPr>
          <w:b w:val="0"/>
          <w:i w:val="0"/>
        </w:rPr>
        <w:t xml:space="preserve">; </w:t>
      </w:r>
      <w:hyperlink w:anchor="latin-record-1157">
        <w:r>
          <w:rPr>
            <w:color w:val="000000"/>
          </w:rPr>
          <w:t xml:space="preserve">sensus / sentire</w:t>
        </w:r>
      </w:hyperlink>
      <w:r>
        <w:rPr>
          <w:b w:val="0"/>
          <w:i w:val="0"/>
        </w:rPr>
        <w:t xml:space="preserve">; </w:t>
      </w:r>
      <w:hyperlink w:anchor="latin-record-1161">
        <w:r>
          <w:rPr>
            <w:color w:val="000000"/>
          </w:rPr>
          <w:t xml:space="preserve">sentire / sentiens / expers sensus</w:t>
        </w:r>
      </w:hyperlink>
      <w:r>
        <w:rPr>
          <w:b w:val="0"/>
          <w:i w:val="0"/>
        </w:rPr>
        <w:t xml:space="preserve">; </w:t>
      </w:r>
      <w:hyperlink w:anchor="latin-record-1212">
        <w:r>
          <w:rPr>
            <w:color w:val="000000"/>
          </w:rPr>
          <w:t xml:space="preserve">species sensibilis</w:t>
        </w:r>
      </w:hyperlink>
      <w:r>
        <w:rPr>
          <w:b w:val="0"/>
          <w:i w:val="0"/>
        </w:rPr>
        <w:t xml:space="preserve">; </w:t>
      </w:r>
      <w:hyperlink w:anchor="latin-record-1371">
        <w:r>
          <w:rPr>
            <w:color w:val="000000"/>
          </w:rPr>
          <w:t xml:space="preserve">visio</w:t>
        </w:r>
      </w:hyperlink>
      <w:r>
        <w:rPr>
          <w:b w:val="0"/>
          <w:i w:val="0"/>
        </w:rPr>
        <w:t>.</w:t>
      </w:r>
    </w:p>
    <w:p>
      <w:pPr>
        <w:pStyle w:val="Heading2"/>
      </w:pPr>
      <w:bookmarkStart w:id="1900" w:name="chapter-vii.5"/>
      <w:r>
        <w:rPr>
          <w:b w:val="0"/>
          <w:i w:val="0"/>
        </w:rPr>
        <w:t>Chapter VII.5</w:t>
      </w:r>
      <w:bookmarkEnd w:id="1900"/>
    </w:p>
    <w:p>
      <w:pPr>
        <w:widowControl/>
      </w:pPr>
      <w:bookmarkStart w:id="1901" w:name="passage-vii-5-1"/>
      <w:bookmarkEnd w:id="1901"/>
      <w:r>
        <w:rPr>
          <w:b/>
          <w:i w:val="0"/>
        </w:rPr>
        <w:t>VII.5.1</w:t>
      </w:r>
      <w:r>
        <w:rPr>
          <w:b/>
          <w:i w:val="0"/>
        </w:rPr>
        <w:t>, source pp. 248–249.</w:t>
      </w:r>
      <w:r>
        <w:rPr>
          <w:b w:val="0"/>
          <w:i w:val="0"/>
        </w:rPr>
        <w:t xml:space="preserve"> Articles: </w:t>
      </w:r>
      <w:hyperlink w:anchor="vii-pain-location">
        <w:r>
          <w:rPr>
            <w:color w:val="000000"/>
          </w:rPr>
          <w:t xml:space="preserve">Pain, location and reporting</w:t>
        </w:r>
      </w:hyperlink>
      <w:r>
        <w:rPr>
          <w:b w:val="0"/>
          <w:i w:val="0"/>
        </w:rPr>
        <w:t xml:space="preserve">; </w:t>
      </w:r>
      <w:hyperlink w:anchor="vii-proportion-bodily-goods">
        <w:r>
          <w:rPr>
            <w:color w:val="000000"/>
          </w:rPr>
          <w:t xml:space="preserve">Proportion, health, strength and beauty</w:t>
        </w:r>
      </w:hyperlink>
      <w:r>
        <w:rPr>
          <w:b w:val="0"/>
          <w:i w:val="0"/>
        </w:rPr>
        <w:t xml:space="preserve">; </w:t>
      </w:r>
      <w:hyperlink w:anchor="vii-whole-soul-vital-intensity">
        <w:r>
          <w:rPr>
            <w:color w:val="000000"/>
          </w:rPr>
          <w:t xml:space="preserve">Whole presence and vital intensity</w:t>
        </w:r>
      </w:hyperlink>
      <w:r>
        <w:rPr>
          <w:b w:val="0"/>
          <w:i w:val="0"/>
        </w:rPr>
        <w:t xml:space="preserve">. Vocabulary: </w:t>
      </w:r>
      <w:hyperlink w:anchor="latin-record-0037">
        <w:r>
          <w:rPr>
            <w:color w:val="000000"/>
          </w:rPr>
          <w:t xml:space="preserve">advertere / admovere / clamare</w:t>
        </w:r>
      </w:hyperlink>
      <w:r>
        <w:rPr>
          <w:b w:val="0"/>
          <w:i w:val="0"/>
        </w:rPr>
        <w:t xml:space="preserve">; </w:t>
      </w:r>
      <w:hyperlink w:anchor="latin-record-0039">
        <w:r>
          <w:rPr>
            <w:color w:val="000000"/>
          </w:rPr>
          <w:t xml:space="preserve">aequalis pars / totum</w:t>
        </w:r>
      </w:hyperlink>
      <w:r>
        <w:rPr>
          <w:b w:val="0"/>
          <w:i w:val="0"/>
        </w:rPr>
        <w:t xml:space="preserve">; </w:t>
      </w:r>
      <w:hyperlink w:anchor="latin-record-0320">
        <w:r>
          <w:rPr>
            <w:color w:val="000000"/>
          </w:rPr>
          <w:t xml:space="preserve">continuatio molis</w:t>
        </w:r>
      </w:hyperlink>
      <w:r>
        <w:rPr>
          <w:b w:val="0"/>
          <w:i w:val="0"/>
        </w:rPr>
        <w:t xml:space="preserve">; </w:t>
      </w:r>
      <w:hyperlink w:anchor="latin-record-0773">
        <w:r>
          <w:rPr>
            <w:color w:val="000000"/>
          </w:rPr>
          <w:t xml:space="preserve">membrum / particula</w:t>
        </w:r>
      </w:hyperlink>
      <w:r>
        <w:rPr>
          <w:b w:val="0"/>
          <w:i w:val="0"/>
        </w:rPr>
        <w:t xml:space="preserve">; </w:t>
      </w:r>
      <w:hyperlink w:anchor="latin-record-0855">
        <w:r>
          <w:rPr>
            <w:color w:val="000000"/>
          </w:rPr>
          <w:t xml:space="preserve">offendere / dolere</w:t>
        </w:r>
      </w:hyperlink>
      <w:r>
        <w:rPr>
          <w:b w:val="0"/>
          <w:i w:val="0"/>
        </w:rPr>
        <w:t xml:space="preserve">; </w:t>
      </w:r>
      <w:hyperlink w:anchor="latin-record-0943">
        <w:r>
          <w:rPr>
            <w:color w:val="000000"/>
          </w:rPr>
          <w:t xml:space="preserve">pes / manus / os</w:t>
        </w:r>
      </w:hyperlink>
      <w:r>
        <w:rPr>
          <w:b w:val="0"/>
          <w:i w:val="0"/>
        </w:rPr>
        <w:t xml:space="preserve">; </w:t>
      </w:r>
      <w:hyperlink w:anchor="latin-record-0980">
        <w:r>
          <w:rPr>
            <w:color w:val="000000"/>
          </w:rPr>
          <w:t xml:space="preserve">praesentia / absentia</w:t>
        </w:r>
      </w:hyperlink>
      <w:r>
        <w:rPr>
          <w:b w:val="0"/>
          <w:i w:val="0"/>
        </w:rPr>
        <w:t xml:space="preserve">; </w:t>
      </w:r>
      <w:hyperlink w:anchor="latin-record-1235">
        <w:r>
          <w:rPr>
            <w:color w:val="000000"/>
          </w:rPr>
          <w:t xml:space="preserve">statim / e vestigio / absque mora</w:t>
        </w:r>
      </w:hyperlink>
      <w:r>
        <w:rPr>
          <w:b w:val="0"/>
          <w:i w:val="0"/>
        </w:rPr>
        <w:t xml:space="preserve">; </w:t>
      </w:r>
      <w:hyperlink w:anchor="latin-record-1295">
        <w:r>
          <w:rPr>
            <w:color w:val="000000"/>
          </w:rPr>
          <w:t xml:space="preserve">tota adesse</w:t>
        </w:r>
      </w:hyperlink>
      <w:r>
        <w:rPr>
          <w:b w:val="0"/>
          <w:i w:val="0"/>
        </w:rPr>
        <w:t>.</w:t>
      </w:r>
    </w:p>
    <w:p>
      <w:pPr>
        <w:widowControl/>
      </w:pPr>
      <w:bookmarkStart w:id="1902" w:name="passage-vii-5-2"/>
      <w:bookmarkEnd w:id="1902"/>
      <w:r>
        <w:rPr>
          <w:b/>
          <w:i w:val="0"/>
        </w:rPr>
        <w:t>VII.5.2</w:t>
      </w:r>
      <w:r>
        <w:rPr>
          <w:b/>
          <w:i w:val="0"/>
        </w:rPr>
        <w:t>, source pp. 250–251.</w:t>
      </w:r>
      <w:r>
        <w:rPr>
          <w:b w:val="0"/>
          <w:i w:val="0"/>
        </w:rPr>
        <w:t xml:space="preserve"> Articles: </w:t>
      </w:r>
      <w:hyperlink w:anchor="vii-pain-location">
        <w:r>
          <w:rPr>
            <w:color w:val="000000"/>
          </w:rPr>
          <w:t xml:space="preserve">Pain, location and reporting</w:t>
        </w:r>
      </w:hyperlink>
      <w:r>
        <w:rPr>
          <w:b w:val="0"/>
          <w:i w:val="0"/>
        </w:rPr>
        <w:t xml:space="preserve">; </w:t>
      </w:r>
      <w:hyperlink w:anchor="vii-whole-soul-vital-intensity">
        <w:r>
          <w:rPr>
            <w:color w:val="000000"/>
          </w:rPr>
          <w:t xml:space="preserve">Whole presence and vital intensity</w:t>
        </w:r>
      </w:hyperlink>
      <w:r>
        <w:rPr>
          <w:b w:val="0"/>
          <w:i w:val="0"/>
        </w:rPr>
        <w:t xml:space="preserve">. Vocabulary: </w:t>
      </w:r>
      <w:hyperlink w:anchor="latin-record-0066">
        <w:r>
          <w:rPr>
            <w:color w:val="000000"/>
          </w:rPr>
          <w:t xml:space="preserve">albedo / inficere / foedare</w:t>
        </w:r>
      </w:hyperlink>
      <w:r>
        <w:rPr>
          <w:b w:val="0"/>
          <w:i w:val="0"/>
        </w:rPr>
        <w:t xml:space="preserve">; </w:t>
      </w:r>
      <w:hyperlink w:anchor="latin-record-0098">
        <w:r>
          <w:rPr>
            <w:color w:val="000000"/>
          </w:rPr>
          <w:t xml:space="preserve">animal / animans</w:t>
        </w:r>
      </w:hyperlink>
      <w:r>
        <w:rPr>
          <w:b w:val="0"/>
          <w:i w:val="0"/>
        </w:rPr>
        <w:t xml:space="preserve">; </w:t>
      </w:r>
      <w:hyperlink w:anchor="latin-record-0153">
        <w:r>
          <w:rPr>
            <w:color w:val="000000"/>
          </w:rPr>
          <w:t xml:space="preserve">Augustinus / Aurelius</w:t>
        </w:r>
      </w:hyperlink>
      <w:r>
        <w:rPr>
          <w:b w:val="0"/>
          <w:i w:val="0"/>
        </w:rPr>
        <w:t xml:space="preserve">; </w:t>
      </w:r>
      <w:hyperlink w:anchor="latin-record-0247">
        <w:r>
          <w:rPr>
            <w:color w:val="000000"/>
          </w:rPr>
          <w:t xml:space="preserve">commutare</w:t>
        </w:r>
      </w:hyperlink>
      <w:r>
        <w:rPr>
          <w:b w:val="0"/>
          <w:i w:val="0"/>
        </w:rPr>
        <w:t xml:space="preserve">; </w:t>
      </w:r>
      <w:hyperlink w:anchor="latin-record-0352">
        <w:r>
          <w:rPr>
            <w:color w:val="000000"/>
          </w:rPr>
          <w:t xml:space="preserve">crus / femur / pectus / collum</w:t>
        </w:r>
      </w:hyperlink>
      <w:r>
        <w:rPr>
          <w:b w:val="0"/>
          <w:i w:val="0"/>
        </w:rPr>
        <w:t xml:space="preserve">; </w:t>
      </w:r>
      <w:hyperlink w:anchor="latin-record-0370">
        <w:r>
          <w:rPr>
            <w:color w:val="000000"/>
          </w:rPr>
          <w:t xml:space="preserve">deserere</w:t>
        </w:r>
      </w:hyperlink>
      <w:r>
        <w:rPr>
          <w:b w:val="0"/>
          <w:i w:val="0"/>
        </w:rPr>
        <w:t xml:space="preserve">; </w:t>
      </w:r>
      <w:hyperlink w:anchor="latin-record-0383">
        <w:r>
          <w:rPr>
            <w:color w:val="000000"/>
          </w:rPr>
          <w:t xml:space="preserve">diffundere / spargere / porrigere</w:t>
        </w:r>
      </w:hyperlink>
      <w:r>
        <w:rPr>
          <w:b w:val="0"/>
          <w:i w:val="0"/>
        </w:rPr>
        <w:t xml:space="preserve">; </w:t>
      </w:r>
      <w:hyperlink w:anchor="latin-record-0514">
        <w:r>
          <w:rPr>
            <w:color w:val="000000"/>
          </w:rPr>
          <w:t xml:space="preserve">forsitan / forsan / fortasse</w:t>
        </w:r>
      </w:hyperlink>
      <w:r>
        <w:rPr>
          <w:b w:val="0"/>
          <w:i w:val="0"/>
        </w:rPr>
        <w:t xml:space="preserve">; </w:t>
      </w:r>
      <w:hyperlink w:anchor="latin-record-0668">
        <w:r>
          <w:rPr>
            <w:color w:val="000000"/>
          </w:rPr>
          <w:t xml:space="preserve">intensius / remissius</w:t>
        </w:r>
      </w:hyperlink>
      <w:r>
        <w:rPr>
          <w:b w:val="0"/>
          <w:i w:val="0"/>
        </w:rPr>
        <w:t xml:space="preserve">; </w:t>
      </w:r>
      <w:hyperlink w:anchor="latin-record-0719">
        <w:r>
          <w:rPr>
            <w:color w:val="000000"/>
          </w:rPr>
          <w:t xml:space="preserve">localis diffusio / vitalis intensio</w:t>
        </w:r>
      </w:hyperlink>
      <w:r>
        <w:rPr>
          <w:b w:val="0"/>
          <w:i w:val="0"/>
        </w:rPr>
        <w:t xml:space="preserve">; </w:t>
      </w:r>
      <w:hyperlink w:anchor="latin-record-0773">
        <w:r>
          <w:rPr>
            <w:color w:val="000000"/>
          </w:rPr>
          <w:t xml:space="preserve">membrum / particula</w:t>
        </w:r>
      </w:hyperlink>
      <w:r>
        <w:rPr>
          <w:b w:val="0"/>
          <w:i w:val="0"/>
        </w:rPr>
        <w:t xml:space="preserve">; </w:t>
      </w:r>
      <w:hyperlink w:anchor="latin-record-0980">
        <w:r>
          <w:rPr>
            <w:color w:val="000000"/>
          </w:rPr>
          <w:t xml:space="preserve">praesentia / absentia</w:t>
        </w:r>
      </w:hyperlink>
      <w:r>
        <w:rPr>
          <w:b w:val="0"/>
          <w:i w:val="0"/>
        </w:rPr>
        <w:t xml:space="preserve">; </w:t>
      </w:r>
      <w:hyperlink w:anchor="latin-record-1086">
        <w:r>
          <w:rPr>
            <w:color w:val="000000"/>
          </w:rPr>
          <w:t xml:space="preserve">referre / enuntiare</w:t>
        </w:r>
      </w:hyperlink>
      <w:r>
        <w:rPr>
          <w:b w:val="0"/>
          <w:i w:val="0"/>
        </w:rPr>
        <w:t xml:space="preserve">; </w:t>
      </w:r>
      <w:hyperlink w:anchor="latin-record-1253">
        <w:r>
          <w:rPr>
            <w:color w:val="000000"/>
          </w:rPr>
          <w:t xml:space="preserve">successio / gradatim</w:t>
        </w:r>
      </w:hyperlink>
      <w:r>
        <w:rPr>
          <w:b w:val="0"/>
          <w:i w:val="0"/>
        </w:rPr>
        <w:t xml:space="preserve">; </w:t>
      </w:r>
      <w:hyperlink w:anchor="latin-record-1275">
        <w:r>
          <w:rPr>
            <w:color w:val="000000"/>
          </w:rPr>
          <w:t xml:space="preserve">tangere</w:t>
        </w:r>
      </w:hyperlink>
      <w:r>
        <w:rPr>
          <w:b w:val="0"/>
          <w:i w:val="0"/>
        </w:rPr>
        <w:t xml:space="preserve">; </w:t>
      </w:r>
      <w:hyperlink w:anchor="latin-record-1379">
        <w:r>
          <w:rPr>
            <w:color w:val="000000"/>
          </w:rPr>
          <w:t xml:space="preserve">vivere</w:t>
        </w:r>
      </w:hyperlink>
      <w:r>
        <w:rPr>
          <w:b w:val="0"/>
          <w:i w:val="0"/>
        </w:rPr>
        <w:t>.</w:t>
      </w:r>
    </w:p>
    <w:p>
      <w:pPr>
        <w:widowControl/>
      </w:pPr>
      <w:bookmarkStart w:id="1903" w:name="passage-vii-5-3"/>
      <w:bookmarkEnd w:id="1903"/>
      <w:r>
        <w:rPr>
          <w:b/>
          <w:i w:val="0"/>
        </w:rPr>
        <w:t>VII.5.3</w:t>
      </w:r>
      <w:r>
        <w:rPr>
          <w:b/>
          <w:i w:val="0"/>
        </w:rPr>
        <w:t>, source pp. 252–253.</w:t>
      </w:r>
      <w:r>
        <w:rPr>
          <w:b w:val="0"/>
          <w:i w:val="0"/>
        </w:rPr>
        <w:t xml:space="preserve"> Articles: </w:t>
      </w:r>
      <w:hyperlink w:anchor="vii-pain-location">
        <w:r>
          <w:rPr>
            <w:color w:val="000000"/>
          </w:rPr>
          <w:t xml:space="preserve">Pain, location and reporting</w:t>
        </w:r>
      </w:hyperlink>
      <w:r>
        <w:rPr>
          <w:b w:val="0"/>
          <w:i w:val="0"/>
        </w:rPr>
        <w:t xml:space="preserve">; </w:t>
      </w:r>
      <w:hyperlink w:anchor="vii-point-line">
        <w:r>
          <w:rPr>
            <w:color w:val="000000"/>
          </w:rPr>
          <w:t xml:space="preserve">Point, line and the comparing power</w:t>
        </w:r>
      </w:hyperlink>
      <w:r>
        <w:rPr>
          <w:b w:val="0"/>
          <w:i w:val="0"/>
        </w:rPr>
        <w:t xml:space="preserve">; </w:t>
      </w:r>
      <w:hyperlink w:anchor="vii-whole-soul-vital-intensity">
        <w:r>
          <w:rPr>
            <w:color w:val="000000"/>
          </w:rPr>
          <w:t xml:space="preserve">Whole presence and vital intensity</w:t>
        </w:r>
      </w:hyperlink>
      <w:r>
        <w:rPr>
          <w:b w:val="0"/>
          <w:i w:val="0"/>
        </w:rPr>
        <w:t xml:space="preserve">. Vocabulary: </w:t>
      </w:r>
      <w:hyperlink w:anchor="latin-record-0256">
        <w:r>
          <w:rPr>
            <w:color w:val="000000"/>
          </w:rPr>
          <w:t xml:space="preserve">compati / consonare / concurrere</w:t>
        </w:r>
      </w:hyperlink>
      <w:r>
        <w:rPr>
          <w:b w:val="0"/>
          <w:i w:val="0"/>
        </w:rPr>
        <w:t xml:space="preserve">; </w:t>
      </w:r>
      <w:hyperlink w:anchor="latin-record-0351">
        <w:r>
          <w:rPr>
            <w:color w:val="000000"/>
          </w:rPr>
          <w:t xml:space="preserve">cruciatus / molestia / persensio</w:t>
        </w:r>
      </w:hyperlink>
      <w:r>
        <w:rPr>
          <w:b w:val="0"/>
          <w:i w:val="0"/>
        </w:rPr>
        <w:t xml:space="preserve">; </w:t>
      </w:r>
      <w:hyperlink w:anchor="latin-record-0383">
        <w:r>
          <w:rPr>
            <w:color w:val="000000"/>
          </w:rPr>
          <w:t xml:space="preserve">diffundere / spargere / porrigere</w:t>
        </w:r>
      </w:hyperlink>
      <w:r>
        <w:rPr>
          <w:b w:val="0"/>
          <w:i w:val="0"/>
        </w:rPr>
        <w:t xml:space="preserve">; </w:t>
      </w:r>
      <w:hyperlink w:anchor="latin-record-0543">
        <w:r>
          <w:rPr>
            <w:color w:val="000000"/>
          </w:rPr>
          <w:t xml:space="preserve">genu / lapillus</w:t>
        </w:r>
      </w:hyperlink>
      <w:r>
        <w:rPr>
          <w:b w:val="0"/>
          <w:i w:val="0"/>
        </w:rPr>
        <w:t xml:space="preserve">; </w:t>
      </w:r>
      <w:hyperlink w:anchor="latin-record-0604">
        <w:r>
          <w:rPr>
            <w:color w:val="000000"/>
          </w:rPr>
          <w:t xml:space="preserve">imperium / adhibere</w:t>
        </w:r>
      </w:hyperlink>
      <w:r>
        <w:rPr>
          <w:b w:val="0"/>
          <w:i w:val="0"/>
        </w:rPr>
        <w:t xml:space="preserve">; </w:t>
      </w:r>
      <w:hyperlink w:anchor="latin-record-0674">
        <w:r>
          <w:rPr>
            <w:color w:val="000000"/>
          </w:rPr>
          <w:t xml:space="preserve">internuntius / mora</w:t>
        </w:r>
      </w:hyperlink>
      <w:r>
        <w:rPr>
          <w:b w:val="0"/>
          <w:i w:val="0"/>
        </w:rPr>
        <w:t xml:space="preserve">; </w:t>
      </w:r>
      <w:hyperlink w:anchor="latin-record-0773">
        <w:r>
          <w:rPr>
            <w:color w:val="000000"/>
          </w:rPr>
          <w:t xml:space="preserve">membrum / particula</w:t>
        </w:r>
      </w:hyperlink>
      <w:r>
        <w:rPr>
          <w:b w:val="0"/>
          <w:i w:val="0"/>
        </w:rPr>
        <w:t xml:space="preserve">; </w:t>
      </w:r>
      <w:hyperlink w:anchor="latin-record-0981">
        <w:r>
          <w:rPr>
            <w:color w:val="000000"/>
          </w:rPr>
          <w:t xml:space="preserve">praesentire / praesentia</w:t>
        </w:r>
      </w:hyperlink>
      <w:r>
        <w:rPr>
          <w:b w:val="0"/>
          <w:i w:val="0"/>
        </w:rPr>
        <w:t xml:space="preserve">; </w:t>
      </w:r>
      <w:hyperlink w:anchor="latin-record-1235">
        <w:r>
          <w:rPr>
            <w:color w:val="000000"/>
          </w:rPr>
          <w:t xml:space="preserve">statim / e vestigio / absque mora</w:t>
        </w:r>
      </w:hyperlink>
      <w:r>
        <w:rPr>
          <w:b w:val="0"/>
          <w:i w:val="0"/>
        </w:rPr>
        <w:t xml:space="preserve">; </w:t>
      </w:r>
      <w:hyperlink w:anchor="latin-record-1253">
        <w:r>
          <w:rPr>
            <w:color w:val="000000"/>
          </w:rPr>
          <w:t xml:space="preserve">successio / gradatim</w:t>
        </w:r>
      </w:hyperlink>
      <w:r>
        <w:rPr>
          <w:b w:val="0"/>
          <w:i w:val="0"/>
        </w:rPr>
        <w:t xml:space="preserve">; </w:t>
      </w:r>
      <w:hyperlink w:anchor="latin-record-1254">
        <w:r>
          <w:rPr>
            <w:color w:val="000000"/>
          </w:rPr>
          <w:t xml:space="preserve">succurrere / medela</w:t>
        </w:r>
      </w:hyperlink>
      <w:r>
        <w:rPr>
          <w:b w:val="0"/>
          <w:i w:val="0"/>
        </w:rPr>
        <w:t xml:space="preserve">; </w:t>
      </w:r>
      <w:hyperlink w:anchor="latin-record-1365">
        <w:r>
          <w:rPr>
            <w:color w:val="000000"/>
          </w:rPr>
          <w:t xml:space="preserve">vis iudiciaria</w:t>
        </w:r>
      </w:hyperlink>
      <w:r>
        <w:rPr>
          <w:b w:val="0"/>
          <w:i w:val="0"/>
        </w:rPr>
        <w:t>.</w:t>
      </w:r>
    </w:p>
    <w:p>
      <w:pPr>
        <w:widowControl/>
      </w:pPr>
      <w:bookmarkStart w:id="1904" w:name="passage-vii-5-4"/>
      <w:bookmarkEnd w:id="1904"/>
      <w:r>
        <w:rPr>
          <w:b/>
          <w:i w:val="0"/>
        </w:rPr>
        <w:t>VII.5.4</w:t>
      </w:r>
      <w:r>
        <w:rPr>
          <w:b/>
          <w:i w:val="0"/>
        </w:rPr>
        <w:t>, source pp. 254–255.</w:t>
      </w:r>
      <w:r>
        <w:rPr>
          <w:b w:val="0"/>
          <w:i w:val="0"/>
        </w:rPr>
        <w:t xml:space="preserve"> Articles: </w:t>
      </w:r>
      <w:hyperlink w:anchor="vii-lucifer-meaning">
        <w:r>
          <w:rPr>
            <w:color w:val="000000"/>
          </w:rPr>
          <w:t xml:space="preserve">Lucifer and indivisible meaning</w:t>
        </w:r>
      </w:hyperlink>
      <w:r>
        <w:rPr>
          <w:b w:val="0"/>
          <w:i w:val="0"/>
        </w:rPr>
        <w:t xml:space="preserve">; </w:t>
      </w:r>
      <w:hyperlink w:anchor="vii-severed-animals">
        <w:r>
          <w:rPr>
            <w:color w:val="000000"/>
          </w:rPr>
          <w:t xml:space="preserve">Severed animals and replacement souls</w:t>
        </w:r>
      </w:hyperlink>
      <w:r>
        <w:rPr>
          <w:b w:val="0"/>
          <w:i w:val="0"/>
        </w:rPr>
        <w:t xml:space="preserve">. Vocabulary: </w:t>
      </w:r>
      <w:hyperlink w:anchor="latin-record-0098">
        <w:r>
          <w:rPr>
            <w:color w:val="000000"/>
          </w:rPr>
          <w:t xml:space="preserve">animal / animans</w:t>
        </w:r>
      </w:hyperlink>
      <w:r>
        <w:rPr>
          <w:b w:val="0"/>
          <w:i w:val="0"/>
        </w:rPr>
        <w:t xml:space="preserve">; </w:t>
      </w:r>
      <w:hyperlink w:anchor="latin-record-0252">
        <w:r>
          <w:rPr>
            <w:color w:val="000000"/>
          </w:rPr>
          <w:t xml:space="preserve">compago / resolvere</w:t>
        </w:r>
      </w:hyperlink>
      <w:r>
        <w:rPr>
          <w:b w:val="0"/>
          <w:i w:val="0"/>
        </w:rPr>
        <w:t xml:space="preserve">; </w:t>
      </w:r>
      <w:hyperlink w:anchor="latin-record-0381">
        <w:r>
          <w:rPr>
            <w:color w:val="000000"/>
          </w:rPr>
          <w:t xml:space="preserve">dictio / supervivere</w:t>
        </w:r>
      </w:hyperlink>
      <w:r>
        <w:rPr>
          <w:b w:val="0"/>
          <w:i w:val="0"/>
        </w:rPr>
        <w:t xml:space="preserve">; </w:t>
      </w:r>
      <w:hyperlink w:anchor="latin-record-0481">
        <w:r>
          <w:rPr>
            <w:color w:val="000000"/>
          </w:rPr>
          <w:t xml:space="preserve">fieri / facere</w:t>
        </w:r>
      </w:hyperlink>
      <w:r>
        <w:rPr>
          <w:b w:val="0"/>
          <w:i w:val="0"/>
        </w:rPr>
        <w:t xml:space="preserve">; </w:t>
      </w:r>
      <w:hyperlink w:anchor="latin-record-0520">
        <w:r>
          <w:rPr>
            <w:color w:val="000000"/>
          </w:rPr>
          <w:t xml:space="preserve">frangere / recreare</w:t>
        </w:r>
      </w:hyperlink>
      <w:r>
        <w:rPr>
          <w:b w:val="0"/>
          <w:i w:val="0"/>
        </w:rPr>
        <w:t xml:space="preserve">; </w:t>
      </w:r>
      <w:hyperlink w:anchor="latin-record-0527">
        <w:r>
          <w:rPr>
            <w:color w:val="000000"/>
          </w:rPr>
          <w:t xml:space="preserve">frustum / secare</w:t>
        </w:r>
      </w:hyperlink>
      <w:r>
        <w:rPr>
          <w:b w:val="0"/>
          <w:i w:val="0"/>
        </w:rPr>
        <w:t xml:space="preserve">; </w:t>
      </w:r>
      <w:hyperlink w:anchor="latin-record-0579">
        <w:r>
          <w:rPr>
            <w:color w:val="000000"/>
          </w:rPr>
          <w:t xml:space="preserve">idoneus / vilis / perfectior</w:t>
        </w:r>
      </w:hyperlink>
      <w:r>
        <w:rPr>
          <w:b w:val="0"/>
          <w:i w:val="0"/>
        </w:rPr>
        <w:t xml:space="preserve">; </w:t>
      </w:r>
      <w:hyperlink w:anchor="latin-record-0671">
        <w:r>
          <w:rPr>
            <w:color w:val="000000"/>
          </w:rPr>
          <w:t xml:space="preserve">interire / perire / abire</w:t>
        </w:r>
      </w:hyperlink>
      <w:r>
        <w:rPr>
          <w:b w:val="0"/>
          <w:i w:val="0"/>
        </w:rPr>
        <w:t xml:space="preserve">; </w:t>
      </w:r>
      <w:hyperlink w:anchor="latin-record-0717">
        <w:r>
          <w:rPr>
            <w:color w:val="000000"/>
          </w:rPr>
          <w:t xml:space="preserve">lignum / extremum punctum</w:t>
        </w:r>
      </w:hyperlink>
      <w:r>
        <w:rPr>
          <w:b w:val="0"/>
          <w:i w:val="0"/>
        </w:rPr>
        <w:t xml:space="preserve">; </w:t>
      </w:r>
      <w:hyperlink w:anchor="latin-record-0728">
        <w:r>
          <w:rPr>
            <w:color w:val="000000"/>
          </w:rPr>
          <w:t xml:space="preserve">luci / fer / latio</w:t>
        </w:r>
      </w:hyperlink>
      <w:r>
        <w:rPr>
          <w:b w:val="0"/>
          <w:i w:val="0"/>
        </w:rPr>
        <w:t xml:space="preserve">; </w:t>
      </w:r>
      <w:hyperlink w:anchor="latin-record-0729">
        <w:r>
          <w:rPr>
            <w:color w:val="000000"/>
          </w:rPr>
          <w:t xml:space="preserve">Lucifer / Venus</w:t>
        </w:r>
      </w:hyperlink>
      <w:r>
        <w:rPr>
          <w:b w:val="0"/>
          <w:i w:val="0"/>
        </w:rPr>
        <w:t xml:space="preserve">; </w:t>
      </w:r>
      <w:hyperlink w:anchor="latin-record-0808">
        <w:r>
          <w:rPr>
            <w:color w:val="000000"/>
          </w:rPr>
          <w:t xml:space="preserve">motus / movere</w:t>
        </w:r>
      </w:hyperlink>
      <w:r>
        <w:rPr>
          <w:b w:val="0"/>
          <w:i w:val="0"/>
        </w:rPr>
        <w:t xml:space="preserve">; </w:t>
      </w:r>
      <w:hyperlink w:anchor="latin-record-0824">
        <w:r>
          <w:rPr>
            <w:color w:val="000000"/>
          </w:rPr>
          <w:t xml:space="preserve">natura / naturalis</w:t>
        </w:r>
      </w:hyperlink>
      <w:r>
        <w:rPr>
          <w:b w:val="0"/>
          <w:i w:val="0"/>
        </w:rPr>
        <w:t xml:space="preserve">; </w:t>
      </w:r>
      <w:hyperlink w:anchor="latin-record-1109">
        <w:r>
          <w:rPr>
            <w:color w:val="000000"/>
          </w:rPr>
          <w:t xml:space="preserve">reptilia / secundum Platonicos</w:t>
        </w:r>
      </w:hyperlink>
      <w:r>
        <w:rPr>
          <w:b w:val="0"/>
          <w:i w:val="0"/>
        </w:rPr>
        <w:t xml:space="preserve">; </w:t>
      </w:r>
      <w:hyperlink w:anchor="latin-record-1173">
        <w:r>
          <w:rPr>
            <w:color w:val="000000"/>
          </w:rPr>
          <w:t xml:space="preserve">significatio / vox</w:t>
        </w:r>
      </w:hyperlink>
      <w:r>
        <w:rPr>
          <w:b w:val="0"/>
          <w:i w:val="0"/>
        </w:rPr>
        <w:t xml:space="preserve">; </w:t>
      </w:r>
      <w:hyperlink w:anchor="latin-record-1325">
        <w:r>
          <w:rPr>
            <w:color w:val="000000"/>
          </w:rPr>
          <w:t xml:space="preserve">ut alias ostendemus / ut in sequentibus apparebit / ut in superioribus enarravimus</w:t>
        </w:r>
      </w:hyperlink>
      <w:r>
        <w:rPr>
          <w:b w:val="0"/>
          <w:i w:val="0"/>
        </w:rPr>
        <w:t xml:space="preserve">; </w:t>
      </w:r>
      <w:hyperlink w:anchor="latin-record-1375">
        <w:r>
          <w:rPr>
            <w:color w:val="000000"/>
          </w:rPr>
          <w:t xml:space="preserve">vita mundi / novae animae</w:t>
        </w:r>
      </w:hyperlink>
      <w:r>
        <w:rPr>
          <w:b w:val="0"/>
          <w:i w:val="0"/>
        </w:rPr>
        <w:t xml:space="preserve">; </w:t>
      </w:r>
      <w:hyperlink w:anchor="latin-record-1379">
        <w:r>
          <w:rPr>
            <w:color w:val="000000"/>
          </w:rPr>
          <w:t xml:space="preserve">vivere</w:t>
        </w:r>
      </w:hyperlink>
      <w:r>
        <w:rPr>
          <w:b w:val="0"/>
          <w:i w:val="0"/>
        </w:rPr>
        <w:t>.</w:t>
      </w:r>
    </w:p>
    <w:p>
      <w:pPr>
        <w:pStyle w:val="Heading2"/>
      </w:pPr>
      <w:bookmarkStart w:id="1905" w:name="chapter-vii.6"/>
      <w:r>
        <w:rPr>
          <w:b w:val="0"/>
          <w:i w:val="0"/>
        </w:rPr>
        <w:t>Chapter VII.6</w:t>
      </w:r>
      <w:bookmarkEnd w:id="1905"/>
    </w:p>
    <w:p>
      <w:pPr>
        <w:widowControl/>
      </w:pPr>
      <w:bookmarkStart w:id="1906" w:name="passage-vii-6-1"/>
      <w:bookmarkEnd w:id="1906"/>
      <w:r>
        <w:rPr>
          <w:b/>
          <w:i w:val="0"/>
        </w:rPr>
        <w:t>VII.6.1</w:t>
      </w:r>
      <w:r>
        <w:rPr>
          <w:b/>
          <w:i w:val="0"/>
        </w:rPr>
        <w:t>, source pp. 256–257.</w:t>
      </w:r>
      <w:r>
        <w:rPr>
          <w:b w:val="0"/>
          <w:i w:val="0"/>
        </w:rPr>
        <w:t xml:space="preserve"> Articles: </w:t>
      </w:r>
      <w:hyperlink w:anchor="vii-bodily-spirit">
        <w:r>
          <w:rPr>
            <w:color w:val="000000"/>
          </w:rPr>
          <w:t xml:space="preserve">Bodily spirit and mediation</w:t>
        </w:r>
      </w:hyperlink>
      <w:r>
        <w:rPr>
          <w:b w:val="0"/>
          <w:i w:val="0"/>
        </w:rPr>
        <w:t xml:space="preserve">; </w:t>
      </w:r>
      <w:hyperlink w:anchor="vii-injury-judge">
        <w:r>
          <w:rPr>
            <w:color w:val="000000"/>
          </w:rPr>
          <w:t xml:space="preserve">Injury and the uninjured judge</w:t>
        </w:r>
      </w:hyperlink>
      <w:r>
        <w:rPr>
          <w:b w:val="0"/>
          <w:i w:val="0"/>
        </w:rPr>
        <w:t xml:space="preserve">; </w:t>
      </w:r>
      <w:hyperlink w:anchor="vii-sensation-attention">
        <w:r>
          <w:rPr>
            <w:color w:val="000000"/>
          </w:rPr>
          <w:t xml:space="preserve">Sensation as attentive activity</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vital-harmony">
        <w:r>
          <w:rPr>
            <w:color w:val="000000"/>
          </w:rPr>
          <w:t xml:space="preserve">Vital harmony and its producer</w:t>
        </w:r>
      </w:hyperlink>
      <w:r>
        <w:rPr>
          <w:b w:val="0"/>
          <w:i w:val="0"/>
        </w:rPr>
        <w:t xml:space="preserve">. Vocabulary: </w:t>
      </w:r>
      <w:hyperlink w:anchor="latin-record-0285">
        <w:r>
          <w:rPr>
            <w:color w:val="000000"/>
          </w:rPr>
          <w:t xml:space="preserve">condolere / compassio / condolentia</w:t>
        </w:r>
      </w:hyperlink>
      <w:r>
        <w:rPr>
          <w:b w:val="0"/>
          <w:i w:val="0"/>
        </w:rPr>
        <w:t xml:space="preserve">; </w:t>
      </w:r>
      <w:hyperlink w:anchor="latin-record-0332">
        <w:r>
          <w:rPr>
            <w:color w:val="000000"/>
          </w:rPr>
          <w:t xml:space="preserve">copulare / insinuare / cognatus</w:t>
        </w:r>
      </w:hyperlink>
      <w:r>
        <w:rPr>
          <w:b w:val="0"/>
          <w:i w:val="0"/>
        </w:rPr>
        <w:t xml:space="preserve">; </w:t>
      </w:r>
      <w:hyperlink w:anchor="latin-record-0333">
        <w:r>
          <w:rPr>
            <w:color w:val="000000"/>
          </w:rPr>
          <w:t xml:space="preserve">cor / sanguis / calor</w:t>
        </w:r>
      </w:hyperlink>
      <w:r>
        <w:rPr>
          <w:b w:val="0"/>
          <w:i w:val="0"/>
        </w:rPr>
        <w:t xml:space="preserve">; </w:t>
      </w:r>
      <w:hyperlink w:anchor="latin-record-0481">
        <w:r>
          <w:rPr>
            <w:color w:val="000000"/>
          </w:rPr>
          <w:t xml:space="preserve">fieri / facere</w:t>
        </w:r>
      </w:hyperlink>
      <w:r>
        <w:rPr>
          <w:b w:val="0"/>
          <w:i w:val="0"/>
        </w:rPr>
        <w:t xml:space="preserve">; </w:t>
      </w:r>
      <w:hyperlink w:anchor="latin-record-0519">
        <w:r>
          <w:rPr>
            <w:color w:val="000000"/>
          </w:rPr>
          <w:t xml:space="preserve">frangere / discindere / solvere / contrahere</w:t>
        </w:r>
      </w:hyperlink>
      <w:r>
        <w:rPr>
          <w:b w:val="0"/>
          <w:i w:val="0"/>
        </w:rPr>
        <w:t xml:space="preserve">; </w:t>
      </w:r>
      <w:hyperlink w:anchor="latin-record-0533">
        <w:r>
          <w:rPr>
            <w:color w:val="000000"/>
          </w:rPr>
          <w:t xml:space="preserve">fundere / diffundere / permanare</w:t>
        </w:r>
      </w:hyperlink>
      <w:r>
        <w:rPr>
          <w:b w:val="0"/>
          <w:i w:val="0"/>
        </w:rPr>
        <w:t xml:space="preserve">; </w:t>
      </w:r>
      <w:hyperlink w:anchor="latin-record-0769">
        <w:r>
          <w:rPr>
            <w:color w:val="000000"/>
          </w:rPr>
          <w:t xml:space="preserve">medicus / cutis / caro</w:t>
        </w:r>
      </w:hyperlink>
      <w:r>
        <w:rPr>
          <w:b w:val="0"/>
          <w:i w:val="0"/>
        </w:rPr>
        <w:t xml:space="preserve">; </w:t>
      </w:r>
      <w:hyperlink w:anchor="latin-record-0808">
        <w:r>
          <w:rPr>
            <w:color w:val="000000"/>
          </w:rPr>
          <w:t xml:space="preserve">motus / movere</w:t>
        </w:r>
      </w:hyperlink>
      <w:r>
        <w:rPr>
          <w:b w:val="0"/>
          <w:i w:val="0"/>
        </w:rPr>
        <w:t xml:space="preserve">; </w:t>
      </w:r>
      <w:hyperlink w:anchor="latin-record-0905">
        <w:r>
          <w:rPr>
            <w:color w:val="000000"/>
          </w:rPr>
          <w:t xml:space="preserve">passio / affectio</w:t>
        </w:r>
      </w:hyperlink>
      <w:r>
        <w:rPr>
          <w:b w:val="0"/>
          <w:i w:val="0"/>
        </w:rPr>
        <w:t xml:space="preserve">; </w:t>
      </w:r>
      <w:hyperlink w:anchor="latin-record-0924">
        <w:r>
          <w:rPr>
            <w:color w:val="000000"/>
          </w:rPr>
          <w:t xml:space="preserve">perceptio / animadversio / phantasia</w:t>
        </w:r>
      </w:hyperlink>
      <w:r>
        <w:rPr>
          <w:b w:val="0"/>
          <w:i w:val="0"/>
        </w:rPr>
        <w:t xml:space="preserve">; </w:t>
      </w:r>
      <w:hyperlink w:anchor="latin-record-0932">
        <w:r>
          <w:rPr>
            <w:color w:val="000000"/>
          </w:rPr>
          <w:t xml:space="preserve">pernicies / diligere opus</w:t>
        </w:r>
      </w:hyperlink>
      <w:r>
        <w:rPr>
          <w:b w:val="0"/>
          <w:i w:val="0"/>
        </w:rPr>
        <w:t xml:space="preserve">; </w:t>
      </w:r>
      <w:hyperlink w:anchor="latin-record-0945">
        <w:r>
          <w:rPr>
            <w:color w:val="000000"/>
          </w:rPr>
          <w:t xml:space="preserve">phantasia</w:t>
        </w:r>
      </w:hyperlink>
      <w:r>
        <w:rPr>
          <w:b w:val="0"/>
          <w:i w:val="0"/>
        </w:rPr>
        <w:t xml:space="preserve">; </w:t>
      </w:r>
      <w:hyperlink w:anchor="latin-record-0980">
        <w:r>
          <w:rPr>
            <w:color w:val="000000"/>
          </w:rPr>
          <w:t xml:space="preserve">praesentia / absentia</w:t>
        </w:r>
      </w:hyperlink>
      <w:r>
        <w:rPr>
          <w:b w:val="0"/>
          <w:i w:val="0"/>
        </w:rPr>
        <w:t xml:space="preserve">; </w:t>
      </w:r>
      <w:hyperlink w:anchor="latin-record-0984">
        <w:r>
          <w:rPr>
            <w:color w:val="000000"/>
          </w:rPr>
          <w:t xml:space="preserve">praestare vitam / vitalis</w:t>
        </w:r>
      </w:hyperlink>
      <w:r>
        <w:rPr>
          <w:b w:val="0"/>
          <w:i w:val="0"/>
        </w:rPr>
        <w:t xml:space="preserve">; </w:t>
      </w:r>
      <w:hyperlink w:anchor="latin-record-1031">
        <w:r>
          <w:rPr>
            <w:color w:val="000000"/>
          </w:rPr>
          <w:t xml:space="preserve">purus / crassus / terrenus</w:t>
        </w:r>
      </w:hyperlink>
      <w:r>
        <w:rPr>
          <w:b w:val="0"/>
          <w:i w:val="0"/>
        </w:rPr>
        <w:t xml:space="preserve">; </w:t>
      </w:r>
      <w:hyperlink w:anchor="latin-record-1093">
        <w:r>
          <w:rPr>
            <w:color w:val="000000"/>
          </w:rPr>
          <w:t xml:space="preserve">regere / movere</w:t>
        </w:r>
      </w:hyperlink>
      <w:r>
        <w:rPr>
          <w:b w:val="0"/>
          <w:i w:val="0"/>
        </w:rPr>
        <w:t xml:space="preserve">; </w:t>
      </w:r>
      <w:hyperlink w:anchor="latin-record-1228">
        <w:r>
          <w:rPr>
            <w:color w:val="000000"/>
          </w:rPr>
          <w:t xml:space="preserve">spiritus / corpusculum</w:t>
        </w:r>
      </w:hyperlink>
      <w:r>
        <w:rPr>
          <w:b w:val="0"/>
          <w:i w:val="0"/>
        </w:rPr>
        <w:t xml:space="preserve">; </w:t>
      </w:r>
      <w:hyperlink w:anchor="latin-record-1273">
        <w:r>
          <w:rPr>
            <w:color w:val="000000"/>
          </w:rPr>
          <w:t xml:space="preserve">tactus</w:t>
        </w:r>
      </w:hyperlink>
      <w:r>
        <w:rPr>
          <w:b w:val="0"/>
          <w:i w:val="0"/>
        </w:rPr>
        <w:t xml:space="preserve">; </w:t>
      </w:r>
      <w:hyperlink w:anchor="latin-record-1284">
        <w:r>
          <w:rPr>
            <w:color w:val="000000"/>
          </w:rPr>
          <w:t xml:space="preserve">tenuis / lucidus</w:t>
        </w:r>
      </w:hyperlink>
      <w:r>
        <w:rPr>
          <w:b w:val="0"/>
          <w:i w:val="0"/>
        </w:rPr>
        <w:t>.</w:t>
      </w:r>
    </w:p>
    <w:p>
      <w:pPr>
        <w:widowControl/>
      </w:pPr>
      <w:bookmarkStart w:id="1907" w:name="passage-vii-6-2"/>
      <w:bookmarkEnd w:id="1907"/>
      <w:r>
        <w:rPr>
          <w:b/>
          <w:i w:val="0"/>
        </w:rPr>
        <w:t>VII.6.2</w:t>
      </w:r>
      <w:r>
        <w:rPr>
          <w:b/>
          <w:i w:val="0"/>
        </w:rPr>
        <w:t>, source pp. 258–259.</w:t>
      </w:r>
      <w:r>
        <w:rPr>
          <w:b w:val="0"/>
          <w:i w:val="0"/>
        </w:rPr>
        <w:t xml:space="preserve"> Articles: </w:t>
      </w:r>
      <w:hyperlink w:anchor="vii-bodily-spirit">
        <w:r>
          <w:rPr>
            <w:color w:val="000000"/>
          </w:rPr>
          <w:t xml:space="preserve">Bodily spirit and mediation</w:t>
        </w:r>
      </w:hyperlink>
      <w:r>
        <w:rPr>
          <w:b w:val="0"/>
          <w:i w:val="0"/>
        </w:rPr>
        <w:t xml:space="preserve">; </w:t>
      </w:r>
      <w:hyperlink w:anchor="vii-injury-judge">
        <w:r>
          <w:rPr>
            <w:color w:val="000000"/>
          </w:rPr>
          <w:t xml:space="preserve">Injury and the uninjured judge</w:t>
        </w:r>
      </w:hyperlink>
      <w:r>
        <w:rPr>
          <w:b w:val="0"/>
          <w:i w:val="0"/>
        </w:rPr>
        <w:t xml:space="preserve">. Vocabulary: </w:t>
      </w:r>
      <w:hyperlink w:anchor="latin-record-0694">
        <w:r>
          <w:rPr>
            <w:color w:val="000000"/>
          </w:rPr>
          <w:t xml:space="preserve">iudicium passionis</w:t>
        </w:r>
      </w:hyperlink>
      <w:r>
        <w:rPr>
          <w:b w:val="0"/>
          <w:i w:val="0"/>
        </w:rPr>
        <w:t xml:space="preserve">; </w:t>
      </w:r>
      <w:hyperlink w:anchor="latin-record-0698">
        <w:r>
          <w:rPr>
            <w:color w:val="000000"/>
          </w:rPr>
          <w:t xml:space="preserve">laesio / noxius</w:t>
        </w:r>
      </w:hyperlink>
      <w:r>
        <w:rPr>
          <w:b w:val="0"/>
          <w:i w:val="0"/>
        </w:rPr>
        <w:t xml:space="preserve">; </w:t>
      </w:r>
      <w:hyperlink w:anchor="latin-record-0905">
        <w:r>
          <w:rPr>
            <w:color w:val="000000"/>
          </w:rPr>
          <w:t xml:space="preserve">passio / affectio</w:t>
        </w:r>
      </w:hyperlink>
      <w:r>
        <w:rPr>
          <w:b w:val="0"/>
          <w:i w:val="0"/>
        </w:rPr>
        <w:t xml:space="preserve">; </w:t>
      </w:r>
      <w:hyperlink w:anchor="latin-record-0926">
        <w:r>
          <w:rPr>
            <w:color w:val="000000"/>
          </w:rPr>
          <w:t xml:space="preserve">perdere / laedere</w:t>
        </w:r>
      </w:hyperlink>
      <w:r>
        <w:rPr>
          <w:b w:val="0"/>
          <w:i w:val="0"/>
        </w:rPr>
        <w:t xml:space="preserve">; </w:t>
      </w:r>
      <w:hyperlink w:anchor="latin-record-0945">
        <w:r>
          <w:rPr>
            <w:color w:val="000000"/>
          </w:rPr>
          <w:t xml:space="preserve">phantasia</w:t>
        </w:r>
      </w:hyperlink>
      <w:r>
        <w:rPr>
          <w:b w:val="0"/>
          <w:i w:val="0"/>
        </w:rPr>
        <w:t xml:space="preserve">; </w:t>
      </w:r>
      <w:hyperlink w:anchor="latin-record-1157">
        <w:r>
          <w:rPr>
            <w:color w:val="000000"/>
          </w:rPr>
          <w:t xml:space="preserve">sensus / sentire</w:t>
        </w:r>
      </w:hyperlink>
      <w:r>
        <w:rPr>
          <w:b w:val="0"/>
          <w:i w:val="0"/>
        </w:rPr>
        <w:t xml:space="preserve">; </w:t>
      </w:r>
      <w:hyperlink w:anchor="latin-record-1246">
        <w:r>
          <w:rPr>
            <w:color w:val="000000"/>
          </w:rPr>
          <w:t xml:space="preserve">substantia / virtus / operatio</w:t>
        </w:r>
      </w:hyperlink>
      <w:r>
        <w:rPr>
          <w:b w:val="0"/>
          <w:i w:val="0"/>
        </w:rPr>
        <w:t xml:space="preserve">; </w:t>
      </w:r>
      <w:hyperlink w:anchor="latin-record-1362">
        <w:r>
          <w:rPr>
            <w:color w:val="000000"/>
          </w:rPr>
          <w:t xml:space="preserve">vis / potentia / virtus</w:t>
        </w:r>
      </w:hyperlink>
      <w:r>
        <w:rPr>
          <w:b w:val="0"/>
          <w:i w:val="0"/>
        </w:rPr>
        <w:t>.</w:t>
      </w:r>
    </w:p>
    <w:p>
      <w:pPr>
        <w:widowControl/>
      </w:pPr>
      <w:bookmarkStart w:id="1908" w:name="passage-vii-6-3"/>
      <w:bookmarkEnd w:id="1908"/>
      <w:r>
        <w:rPr>
          <w:b/>
          <w:i w:val="0"/>
        </w:rPr>
        <w:t>VII.6.3</w:t>
      </w:r>
      <w:r>
        <w:rPr>
          <w:b/>
          <w:i w:val="0"/>
        </w:rPr>
        <w:t>, source pp. 260–261.</w:t>
      </w:r>
      <w:r>
        <w:rPr>
          <w:b w:val="0"/>
          <w:i w:val="0"/>
        </w:rPr>
        <w:t xml:space="preserve"> Articles: </w:t>
      </w:r>
      <w:hyperlink w:anchor="vii-bodily-constitution">
        <w:r>
          <w:rPr>
            <w:color w:val="000000"/>
          </w:rPr>
          <w:t xml:space="preserve">Bodily constitution and temperament</w:t>
        </w:r>
      </w:hyperlink>
      <w:r>
        <w:rPr>
          <w:b w:val="0"/>
          <w:i w:val="0"/>
        </w:rPr>
        <w:t xml:space="preserve">; </w:t>
      </w:r>
      <w:hyperlink w:anchor="vii-bodily-spirit">
        <w:r>
          <w:rPr>
            <w:color w:val="000000"/>
          </w:rPr>
          <w:t xml:space="preserve">Bodily spirit and mediation</w:t>
        </w:r>
      </w:hyperlink>
      <w:r>
        <w:rPr>
          <w:b w:val="0"/>
          <w:i w:val="0"/>
        </w:rPr>
        <w:t xml:space="preserve">; </w:t>
      </w:r>
      <w:hyperlink w:anchor="vii-injury-judge">
        <w:r>
          <w:rPr>
            <w:color w:val="000000"/>
          </w:rPr>
          <w:t xml:space="preserve">Injury and the uninjured judge</w:t>
        </w:r>
      </w:hyperlink>
      <w:r>
        <w:rPr>
          <w:b w:val="0"/>
          <w:i w:val="0"/>
        </w:rPr>
        <w:t xml:space="preserve">; </w:t>
      </w:r>
      <w:hyperlink w:anchor="vii-sensation-attention">
        <w:r>
          <w:rPr>
            <w:color w:val="000000"/>
          </w:rPr>
          <w:t xml:space="preserve">Sensation as attentive activity</w:t>
        </w:r>
      </w:hyperlink>
      <w:r>
        <w:rPr>
          <w:b w:val="0"/>
          <w:i w:val="0"/>
        </w:rPr>
        <w:t xml:space="preserve">. Vocabulary: </w:t>
      </w:r>
      <w:hyperlink w:anchor="latin-record-0020">
        <w:r>
          <w:rPr>
            <w:color w:val="000000"/>
          </w:rPr>
          <w:t xml:space="preserve">actio / operatio / opus</w:t>
        </w:r>
      </w:hyperlink>
      <w:r>
        <w:rPr>
          <w:b w:val="0"/>
          <w:i w:val="0"/>
        </w:rPr>
        <w:t xml:space="preserve">; </w:t>
      </w:r>
      <w:hyperlink w:anchor="latin-record-0035">
        <w:r>
          <w:rPr>
            <w:color w:val="000000"/>
          </w:rPr>
          <w:t xml:space="preserve">adiungere / repellere</w:t>
        </w:r>
      </w:hyperlink>
      <w:r>
        <w:rPr>
          <w:b w:val="0"/>
          <w:i w:val="0"/>
        </w:rPr>
        <w:t xml:space="preserve">; </w:t>
      </w:r>
      <w:hyperlink w:anchor="latin-record-0059">
        <w:r>
          <w:rPr>
            <w:color w:val="000000"/>
          </w:rPr>
          <w:t xml:space="preserve">agere / pati</w:t>
        </w:r>
      </w:hyperlink>
      <w:r>
        <w:rPr>
          <w:b w:val="0"/>
          <w:i w:val="0"/>
        </w:rPr>
        <w:t xml:space="preserve">; </w:t>
      </w:r>
      <w:hyperlink w:anchor="latin-record-0076">
        <w:r>
          <w:rPr>
            <w:color w:val="000000"/>
          </w:rPr>
          <w:t xml:space="preserve">alteritas</w:t>
        </w:r>
      </w:hyperlink>
      <w:r>
        <w:rPr>
          <w:b w:val="0"/>
          <w:i w:val="0"/>
        </w:rPr>
        <w:t xml:space="preserve">; </w:t>
      </w:r>
      <w:hyperlink w:anchor="latin-record-0142">
        <w:r>
          <w:rPr>
            <w:color w:val="000000"/>
          </w:rPr>
          <w:t xml:space="preserve">attentio / attentior</w:t>
        </w:r>
      </w:hyperlink>
      <w:r>
        <w:rPr>
          <w:b w:val="0"/>
          <w:i w:val="0"/>
        </w:rPr>
        <w:t xml:space="preserve">; </w:t>
      </w:r>
      <w:hyperlink w:anchor="latin-record-0154">
        <w:r>
          <w:rPr>
            <w:color w:val="000000"/>
          </w:rPr>
          <w:t xml:space="preserve">auris / nares / os</w:t>
        </w:r>
      </w:hyperlink>
      <w:r>
        <w:rPr>
          <w:b w:val="0"/>
          <w:i w:val="0"/>
        </w:rPr>
        <w:t xml:space="preserve">; </w:t>
      </w:r>
      <w:hyperlink w:anchor="latin-record-0295">
        <w:r>
          <w:rPr>
            <w:color w:val="000000"/>
          </w:rPr>
          <w:t xml:space="preserve">congruus / incongruus / obsistere</w:t>
        </w:r>
      </w:hyperlink>
      <w:r>
        <w:rPr>
          <w:b w:val="0"/>
          <w:i w:val="0"/>
        </w:rPr>
        <w:t xml:space="preserve">; </w:t>
      </w:r>
      <w:hyperlink w:anchor="latin-record-0327">
        <w:r>
          <w:rPr>
            <w:color w:val="000000"/>
          </w:rPr>
          <w:t xml:space="preserve">convenientia / inconvenientia</w:t>
        </w:r>
      </w:hyperlink>
      <w:r>
        <w:rPr>
          <w:b w:val="0"/>
          <w:i w:val="0"/>
        </w:rPr>
        <w:t xml:space="preserve">; </w:t>
      </w:r>
      <w:hyperlink w:anchor="latin-record-0455">
        <w:r>
          <w:rPr>
            <w:color w:val="000000"/>
          </w:rPr>
          <w:t xml:space="preserve">excitatum iudicium</w:t>
        </w:r>
      </w:hyperlink>
      <w:r>
        <w:rPr>
          <w:b w:val="0"/>
          <w:i w:val="0"/>
        </w:rPr>
        <w:t xml:space="preserve">; </w:t>
      </w:r>
      <w:hyperlink w:anchor="latin-record-0513">
        <w:r>
          <w:rPr>
            <w:color w:val="000000"/>
          </w:rPr>
          <w:t xml:space="preserve">formari a corpore</w:t>
        </w:r>
      </w:hyperlink>
      <w:r>
        <w:rPr>
          <w:b w:val="0"/>
          <w:i w:val="0"/>
        </w:rPr>
        <w:t xml:space="preserve">; </w:t>
      </w:r>
      <w:hyperlink w:anchor="latin-record-0571">
        <w:r>
          <w:rPr>
            <w:color w:val="000000"/>
          </w:rPr>
          <w:t xml:space="preserve">humidus / terreus / lutulentus</w:t>
        </w:r>
      </w:hyperlink>
      <w:r>
        <w:rPr>
          <w:b w:val="0"/>
          <w:i w:val="0"/>
        </w:rPr>
        <w:t xml:space="preserve">; </w:t>
      </w:r>
      <w:hyperlink w:anchor="latin-record-0654">
        <w:r>
          <w:rPr>
            <w:color w:val="000000"/>
          </w:rPr>
          <w:t xml:space="preserve">instrumentum</w:t>
        </w:r>
      </w:hyperlink>
      <w:r>
        <w:rPr>
          <w:b w:val="0"/>
          <w:i w:val="0"/>
        </w:rPr>
        <w:t xml:space="preserve">; </w:t>
      </w:r>
      <w:hyperlink w:anchor="latin-record-0690">
        <w:r>
          <w:rPr>
            <w:color w:val="000000"/>
          </w:rPr>
          <w:t xml:space="preserve">iudex liber passione</w:t>
        </w:r>
      </w:hyperlink>
      <w:r>
        <w:rPr>
          <w:b w:val="0"/>
          <w:i w:val="0"/>
        </w:rPr>
        <w:t xml:space="preserve">; </w:t>
      </w:r>
      <w:hyperlink w:anchor="latin-record-0734">
        <w:r>
          <w:rPr>
            <w:color w:val="000000"/>
          </w:rPr>
          <w:t xml:space="preserve">luminosus / aereus / caliginosus</w:t>
        </w:r>
      </w:hyperlink>
      <w:r>
        <w:rPr>
          <w:b w:val="0"/>
          <w:i w:val="0"/>
        </w:rPr>
        <w:t xml:space="preserve">; </w:t>
      </w:r>
      <w:hyperlink w:anchor="latin-record-0783">
        <w:r>
          <w:rPr>
            <w:color w:val="000000"/>
          </w:rPr>
          <w:t xml:space="preserve">mersus / affectio / punctum affectionis</w:t>
        </w:r>
      </w:hyperlink>
      <w:r>
        <w:rPr>
          <w:b w:val="0"/>
          <w:i w:val="0"/>
        </w:rPr>
        <w:t xml:space="preserve">; </w:t>
      </w:r>
      <w:hyperlink w:anchor="latin-record-0843">
        <w:r>
          <w:rPr>
            <w:color w:val="000000"/>
          </w:rPr>
          <w:t xml:space="preserve">non latere</w:t>
        </w:r>
      </w:hyperlink>
      <w:r>
        <w:rPr>
          <w:b w:val="0"/>
          <w:i w:val="0"/>
        </w:rPr>
        <w:t xml:space="preserve">; </w:t>
      </w:r>
      <w:hyperlink w:anchor="latin-record-0905">
        <w:r>
          <w:rPr>
            <w:color w:val="000000"/>
          </w:rPr>
          <w:t xml:space="preserve">passio / affectio</w:t>
        </w:r>
      </w:hyperlink>
      <w:r>
        <w:rPr>
          <w:b w:val="0"/>
          <w:i w:val="0"/>
        </w:rPr>
        <w:t xml:space="preserve">; </w:t>
      </w:r>
      <w:hyperlink w:anchor="latin-record-0955">
        <w:r>
          <w:rPr>
            <w:color w:val="000000"/>
          </w:rPr>
          <w:t xml:space="preserve">Plotinus / Augustinus</w:t>
        </w:r>
      </w:hyperlink>
      <w:r>
        <w:rPr>
          <w:b w:val="0"/>
          <w:i w:val="0"/>
        </w:rPr>
        <w:t xml:space="preserve">; </w:t>
      </w:r>
      <w:hyperlink w:anchor="latin-record-1051">
        <w:r>
          <w:rPr>
            <w:color w:val="000000"/>
          </w:rPr>
          <w:t xml:space="preserve">quies / valitudo / consensio</w:t>
        </w:r>
      </w:hyperlink>
      <w:r>
        <w:rPr>
          <w:b w:val="0"/>
          <w:i w:val="0"/>
        </w:rPr>
        <w:t xml:space="preserve">; </w:t>
      </w:r>
      <w:hyperlink w:anchor="latin-record-1157">
        <w:r>
          <w:rPr>
            <w:color w:val="000000"/>
          </w:rPr>
          <w:t xml:space="preserve">sensus / sentire</w:t>
        </w:r>
      </w:hyperlink>
      <w:r>
        <w:rPr>
          <w:b w:val="0"/>
          <w:i w:val="0"/>
        </w:rPr>
        <w:t xml:space="preserve">; </w:t>
      </w:r>
      <w:hyperlink w:anchor="latin-record-1168">
        <w:r>
          <w:rPr>
            <w:color w:val="000000"/>
          </w:rPr>
          <w:t xml:space="preserve">serenus / mobilis</w:t>
        </w:r>
      </w:hyperlink>
      <w:r>
        <w:rPr>
          <w:b w:val="0"/>
          <w:i w:val="0"/>
        </w:rPr>
        <w:t xml:space="preserve">; </w:t>
      </w:r>
      <w:hyperlink w:anchor="latin-record-1205">
        <w:r>
          <w:rPr>
            <w:color w:val="000000"/>
          </w:rPr>
          <w:t xml:space="preserve">sonus / percussio / silentium</w:t>
        </w:r>
      </w:hyperlink>
      <w:r>
        <w:rPr>
          <w:b w:val="0"/>
          <w:i w:val="0"/>
        </w:rPr>
        <w:t xml:space="preserve">; </w:t>
      </w:r>
      <w:hyperlink w:anchor="latin-record-1278">
        <w:r>
          <w:rPr>
            <w:color w:val="000000"/>
          </w:rPr>
          <w:t xml:space="preserve">temperatio</w:t>
        </w:r>
      </w:hyperlink>
      <w:r>
        <w:rPr>
          <w:b w:val="0"/>
          <w:i w:val="0"/>
        </w:rPr>
        <w:t xml:space="preserve">; </w:t>
      </w:r>
      <w:hyperlink w:anchor="latin-record-1333">
        <w:r>
          <w:rPr>
            <w:color w:val="000000"/>
          </w:rPr>
          <w:t xml:space="preserve">vegetare</w:t>
        </w:r>
      </w:hyperlink>
      <w:r>
        <w:rPr>
          <w:b w:val="0"/>
          <w:i w:val="0"/>
        </w:rPr>
        <w:t xml:space="preserve">; </w:t>
      </w:r>
      <w:hyperlink w:anchor="latin-record-1338">
        <w:r>
          <w:rPr>
            <w:color w:val="000000"/>
          </w:rPr>
          <w:t xml:space="preserve">verberare</w:t>
        </w:r>
      </w:hyperlink>
      <w:r>
        <w:rPr>
          <w:b w:val="0"/>
          <w:i w:val="0"/>
        </w:rPr>
        <w:t>.</w:t>
      </w:r>
    </w:p>
    <w:p>
      <w:pPr>
        <w:pStyle w:val="Heading2"/>
      </w:pPr>
      <w:bookmarkStart w:id="1909" w:name="chapter-vii.7"/>
      <w:r>
        <w:rPr>
          <w:b w:val="0"/>
          <w:i w:val="0"/>
        </w:rPr>
        <w:t>Chapter VII.7</w:t>
      </w:r>
      <w:bookmarkEnd w:id="1909"/>
    </w:p>
    <w:p>
      <w:pPr>
        <w:widowControl/>
      </w:pPr>
      <w:bookmarkStart w:id="1910" w:name="passage-vii-7-1"/>
      <w:bookmarkEnd w:id="1910"/>
      <w:r>
        <w:rPr>
          <w:b/>
          <w:i w:val="0"/>
        </w:rPr>
        <w:t>VII.7.1</w:t>
      </w:r>
      <w:r>
        <w:rPr>
          <w:b/>
          <w:i w:val="0"/>
        </w:rPr>
        <w:t>, source pp. 262–263.</w:t>
      </w:r>
      <w:r>
        <w:rPr>
          <w:b w:val="0"/>
          <w:i w:val="0"/>
        </w:rPr>
        <w:t xml:space="preserve"> Articles: </w:t>
      </w:r>
      <w:hyperlink w:anchor="vii-bodily-constitution">
        <w:r>
          <w:rPr>
            <w:color w:val="000000"/>
          </w:rPr>
          <w:t xml:space="preserve">Bodily constitution and temperament</w:t>
        </w:r>
      </w:hyperlink>
      <w:r>
        <w:rPr>
          <w:b w:val="0"/>
          <w:i w:val="0"/>
        </w:rPr>
        <w:t xml:space="preserve">. Vocabulary: </w:t>
      </w:r>
      <w:hyperlink w:anchor="latin-record-0257">
        <w:r>
          <w:rPr>
            <w:color w:val="000000"/>
          </w:rPr>
          <w:t xml:space="preserve">complexio</w:t>
        </w:r>
      </w:hyperlink>
      <w:r>
        <w:rPr>
          <w:b w:val="0"/>
          <w:i w:val="0"/>
        </w:rPr>
        <w:t xml:space="preserve">; </w:t>
      </w:r>
      <w:hyperlink w:anchor="latin-record-0278">
        <w:r>
          <w:rPr>
            <w:color w:val="000000"/>
          </w:rPr>
          <w:t xml:space="preserve">concludere / probare</w:t>
        </w:r>
      </w:hyperlink>
      <w:r>
        <w:rPr>
          <w:b w:val="0"/>
          <w:i w:val="0"/>
        </w:rPr>
        <w:t xml:space="preserve">; </w:t>
      </w:r>
      <w:hyperlink w:anchor="latin-record-0383">
        <w:r>
          <w:rPr>
            <w:color w:val="000000"/>
          </w:rPr>
          <w:t xml:space="preserve">diffundere / spargere / porrigere</w:t>
        </w:r>
      </w:hyperlink>
      <w:r>
        <w:rPr>
          <w:b w:val="0"/>
          <w:i w:val="0"/>
        </w:rPr>
        <w:t xml:space="preserve">; </w:t>
      </w:r>
      <w:hyperlink w:anchor="latin-record-0412">
        <w:r>
          <w:rPr>
            <w:color w:val="000000"/>
          </w:rPr>
          <w:t xml:space="preserve">dominari / vigere / astringere</w:t>
        </w:r>
      </w:hyperlink>
      <w:r>
        <w:rPr>
          <w:b w:val="0"/>
          <w:i w:val="0"/>
        </w:rPr>
        <w:t xml:space="preserve">; </w:t>
      </w:r>
      <w:hyperlink w:anchor="latin-record-0481">
        <w:r>
          <w:rPr>
            <w:color w:val="000000"/>
          </w:rPr>
          <w:t xml:space="preserve">fieri / facere</w:t>
        </w:r>
      </w:hyperlink>
      <w:r>
        <w:rPr>
          <w:b w:val="0"/>
          <w:i w:val="0"/>
        </w:rPr>
        <w:t xml:space="preserve">; </w:t>
      </w:r>
      <w:hyperlink w:anchor="latin-record-0869">
        <w:r>
          <w:rPr>
            <w:color w:val="000000"/>
          </w:rPr>
          <w:t xml:space="preserve">opposita / contraria</w:t>
        </w:r>
      </w:hyperlink>
      <w:r>
        <w:rPr>
          <w:b w:val="0"/>
          <w:i w:val="0"/>
        </w:rPr>
        <w:t xml:space="preserve">; </w:t>
      </w:r>
      <w:hyperlink w:anchor="latin-record-1043">
        <w:r>
          <w:rPr>
            <w:color w:val="000000"/>
          </w:rPr>
          <w:t xml:space="preserve">qualitas / affectio corporis</w:t>
        </w:r>
      </w:hyperlink>
      <w:r>
        <w:rPr>
          <w:b w:val="0"/>
          <w:i w:val="0"/>
        </w:rPr>
        <w:t xml:space="preserve">; </w:t>
      </w:r>
      <w:hyperlink w:anchor="latin-record-1071">
        <w:r>
          <w:rPr>
            <w:color w:val="000000"/>
          </w:rPr>
          <w:t xml:space="preserve">ratio as argument</w:t>
        </w:r>
      </w:hyperlink>
      <w:r>
        <w:rPr>
          <w:b w:val="0"/>
          <w:i w:val="0"/>
        </w:rPr>
        <w:t xml:space="preserve">; </w:t>
      </w:r>
      <w:hyperlink w:anchor="latin-record-1179">
        <w:r>
          <w:rPr>
            <w:color w:val="000000"/>
          </w:rPr>
          <w:t xml:space="preserve">simplex qualitas / forma astricta</w:t>
        </w:r>
      </w:hyperlink>
      <w:r>
        <w:rPr>
          <w:b w:val="0"/>
          <w:i w:val="0"/>
        </w:rPr>
        <w:t>.</w:t>
      </w:r>
    </w:p>
    <w:p>
      <w:pPr>
        <w:pStyle w:val="Heading2"/>
      </w:pPr>
      <w:bookmarkStart w:id="1911" w:name="chapter-vii.8"/>
      <w:r>
        <w:rPr>
          <w:b w:val="0"/>
          <w:i w:val="0"/>
        </w:rPr>
        <w:t>Chapter VII.8</w:t>
      </w:r>
      <w:bookmarkEnd w:id="1911"/>
    </w:p>
    <w:p>
      <w:pPr>
        <w:widowControl/>
      </w:pPr>
      <w:bookmarkStart w:id="1912" w:name="passage-vii-8-1"/>
      <w:bookmarkEnd w:id="1912"/>
      <w:r>
        <w:rPr>
          <w:b/>
          <w:i w:val="0"/>
        </w:rPr>
        <w:t>VII.8.1</w:t>
      </w:r>
      <w:r>
        <w:rPr>
          <w:b/>
          <w:i w:val="0"/>
        </w:rPr>
        <w:t>, source pp. 264–265.</w:t>
      </w:r>
      <w:r>
        <w:rPr>
          <w:b w:val="0"/>
          <w:i w:val="0"/>
        </w:rPr>
        <w:t xml:space="preserve"> Articles: </w:t>
      </w:r>
      <w:hyperlink w:anchor="vii-bodily-constitution">
        <w:r>
          <w:rPr>
            <w:color w:val="000000"/>
          </w:rPr>
          <w:t xml:space="preserve">Bodily constitution and temperament</w:t>
        </w:r>
      </w:hyperlink>
      <w:r>
        <w:rPr>
          <w:b w:val="0"/>
          <w:i w:val="0"/>
        </w:rPr>
        <w:t xml:space="preserve">; </w:t>
      </w:r>
      <w:hyperlink w:anchor="first-cause">
        <w:r>
          <w:rPr>
            <w:color w:val="000000"/>
          </w:rPr>
          <w:t xml:space="preserve">First Cause, principal causes and causal dependence</w:t>
        </w:r>
      </w:hyperlink>
      <w:r>
        <w:rPr>
          <w:b w:val="0"/>
          <w:i w:val="0"/>
        </w:rPr>
        <w:t xml:space="preserve">; </w:t>
      </w:r>
      <w:hyperlink w:anchor="vii-freedom-matter">
        <w:r>
          <w:rPr>
            <w:color w:val="000000"/>
          </w:rPr>
          <w:t xml:space="preserve">Freedom from matter and causal priority</w:t>
        </w:r>
      </w:hyperlink>
      <w:r>
        <w:rPr>
          <w:b w:val="0"/>
          <w:i w:val="0"/>
        </w:rPr>
        <w:t xml:space="preserve">; </w:t>
      </w:r>
      <w:hyperlink w:anchor="vii-nutrition-principal-agent">
        <w:r>
          <w:rPr>
            <w:color w:val="000000"/>
          </w:rPr>
          <w:t xml:space="preserve">Nutrition, growth and the principal agent</w:t>
        </w:r>
      </w:hyperlink>
      <w:r>
        <w:rPr>
          <w:b w:val="0"/>
          <w:i w:val="0"/>
        </w:rPr>
        <w:t xml:space="preserve">; </w:t>
      </w:r>
      <w:hyperlink w:anchor="vii-soul-body-craftsman">
        <w:r>
          <w:rPr>
            <w:color w:val="000000"/>
          </w:rPr>
          <w:t xml:space="preserve">Soul as the body’s craftsman</w:t>
        </w:r>
      </w:hyperlink>
      <w:r>
        <w:rPr>
          <w:b w:val="0"/>
          <w:i w:val="0"/>
        </w:rPr>
        <w:t xml:space="preserve">. Vocabulary: </w:t>
      </w:r>
      <w:hyperlink w:anchor="latin-record-0020">
        <w:r>
          <w:rPr>
            <w:color w:val="000000"/>
          </w:rPr>
          <w:t xml:space="preserve">actio / operatio / opus</w:t>
        </w:r>
      </w:hyperlink>
      <w:r>
        <w:rPr>
          <w:b w:val="0"/>
          <w:i w:val="0"/>
        </w:rPr>
        <w:t xml:space="preserve">; </w:t>
      </w:r>
      <w:hyperlink w:anchor="latin-record-0150">
        <w:r>
          <w:rPr>
            <w:color w:val="000000"/>
          </w:rPr>
          <w:t xml:space="preserve">augmentum</w:t>
        </w:r>
      </w:hyperlink>
      <w:r>
        <w:rPr>
          <w:b w:val="0"/>
          <w:i w:val="0"/>
        </w:rPr>
        <w:t xml:space="preserve">; </w:t>
      </w:r>
      <w:hyperlink w:anchor="latin-record-0182">
        <w:r>
          <w:rPr>
            <w:color w:val="000000"/>
          </w:rPr>
          <w:t xml:space="preserve">calor / penetrare / dissolvere</w:t>
        </w:r>
      </w:hyperlink>
      <w:r>
        <w:rPr>
          <w:b w:val="0"/>
          <w:i w:val="0"/>
        </w:rPr>
        <w:t xml:space="preserve">; </w:t>
      </w:r>
      <w:hyperlink w:anchor="latin-record-0203">
        <w:r>
          <w:rPr>
            <w:color w:val="000000"/>
          </w:rPr>
          <w:t xml:space="preserve">causa principalis</w:t>
        </w:r>
      </w:hyperlink>
      <w:r>
        <w:rPr>
          <w:b w:val="0"/>
          <w:i w:val="0"/>
        </w:rPr>
        <w:t xml:space="preserve">; </w:t>
      </w:r>
      <w:hyperlink w:anchor="latin-record-0214">
        <w:r>
          <w:rPr>
            <w:color w:val="000000"/>
          </w:rPr>
          <w:t xml:space="preserve">cibus / nutrimentum / viva caro</w:t>
        </w:r>
      </w:hyperlink>
      <w:r>
        <w:rPr>
          <w:b w:val="0"/>
          <w:i w:val="0"/>
        </w:rPr>
        <w:t xml:space="preserve">; </w:t>
      </w:r>
      <w:hyperlink w:anchor="latin-record-0257">
        <w:r>
          <w:rPr>
            <w:color w:val="000000"/>
          </w:rPr>
          <w:t xml:space="preserve">complexio</w:t>
        </w:r>
      </w:hyperlink>
      <w:r>
        <w:rPr>
          <w:b w:val="0"/>
          <w:i w:val="0"/>
        </w:rPr>
        <w:t xml:space="preserve">; </w:t>
      </w:r>
      <w:hyperlink w:anchor="latin-record-0278">
        <w:r>
          <w:rPr>
            <w:color w:val="000000"/>
          </w:rPr>
          <w:t xml:space="preserve">concludere / probare</w:t>
        </w:r>
      </w:hyperlink>
      <w:r>
        <w:rPr>
          <w:b w:val="0"/>
          <w:i w:val="0"/>
        </w:rPr>
        <w:t xml:space="preserve">; </w:t>
      </w:r>
      <w:hyperlink w:anchor="latin-record-0280">
        <w:r>
          <w:rPr>
            <w:color w:val="000000"/>
          </w:rPr>
          <w:t xml:space="preserve">concoquere / digerere</w:t>
        </w:r>
      </w:hyperlink>
      <w:r>
        <w:rPr>
          <w:b w:val="0"/>
          <w:i w:val="0"/>
        </w:rPr>
        <w:t xml:space="preserve">; </w:t>
      </w:r>
      <w:hyperlink w:anchor="latin-record-0287">
        <w:r>
          <w:rPr>
            <w:color w:val="000000"/>
          </w:rPr>
          <w:t xml:space="preserve">conflare / peragere</w:t>
        </w:r>
      </w:hyperlink>
      <w:r>
        <w:rPr>
          <w:b w:val="0"/>
          <w:i w:val="0"/>
        </w:rPr>
        <w:t xml:space="preserve">; </w:t>
      </w:r>
      <w:hyperlink w:anchor="latin-record-0314">
        <w:r>
          <w:rPr>
            <w:color w:val="000000"/>
          </w:rPr>
          <w:t xml:space="preserve">construere / constituere</w:t>
        </w:r>
      </w:hyperlink>
      <w:r>
        <w:rPr>
          <w:b w:val="0"/>
          <w:i w:val="0"/>
        </w:rPr>
        <w:t xml:space="preserve">; </w:t>
      </w:r>
      <w:hyperlink w:anchor="latin-record-0431">
        <w:r>
          <w:rPr>
            <w:color w:val="000000"/>
          </w:rPr>
          <w:t xml:space="preserve">elementum / mixtum</w:t>
        </w:r>
      </w:hyperlink>
      <w:r>
        <w:rPr>
          <w:b w:val="0"/>
          <w:i w:val="0"/>
        </w:rPr>
        <w:t xml:space="preserve">; </w:t>
      </w:r>
      <w:hyperlink w:anchor="latin-record-0504">
        <w:r>
          <w:rPr>
            <w:color w:val="000000"/>
          </w:rPr>
          <w:t xml:space="preserve">forma / qualitas</w:t>
        </w:r>
      </w:hyperlink>
      <w:r>
        <w:rPr>
          <w:b w:val="0"/>
          <w:i w:val="0"/>
        </w:rPr>
        <w:t xml:space="preserve">; </w:t>
      </w:r>
      <w:hyperlink w:anchor="latin-record-0505">
        <w:r>
          <w:rPr>
            <w:color w:val="000000"/>
          </w:rPr>
          <w:t xml:space="preserve">forma accidentalis / substantialis</w:t>
        </w:r>
      </w:hyperlink>
      <w:r>
        <w:rPr>
          <w:b w:val="0"/>
          <w:i w:val="0"/>
        </w:rPr>
        <w:t xml:space="preserve">; </w:t>
      </w:r>
      <w:hyperlink w:anchor="latin-record-0654">
        <w:r>
          <w:rPr>
            <w:color w:val="000000"/>
          </w:rPr>
          <w:t xml:space="preserve">instrumentum</w:t>
        </w:r>
      </w:hyperlink>
      <w:r>
        <w:rPr>
          <w:b w:val="0"/>
          <w:i w:val="0"/>
        </w:rPr>
        <w:t xml:space="preserve">; </w:t>
      </w:r>
      <w:hyperlink w:anchor="latin-record-0850">
        <w:r>
          <w:rPr>
            <w:color w:val="000000"/>
          </w:rPr>
          <w:t xml:space="preserve">nutritiva potentia</w:t>
        </w:r>
      </w:hyperlink>
      <w:r>
        <w:rPr>
          <w:b w:val="0"/>
          <w:i w:val="0"/>
        </w:rPr>
        <w:t xml:space="preserve">; </w:t>
      </w:r>
      <w:hyperlink w:anchor="latin-record-0977">
        <w:r>
          <w:rPr>
            <w:color w:val="000000"/>
          </w:rPr>
          <w:t xml:space="preserve">praescribere / ordinare / vagari</w:t>
        </w:r>
      </w:hyperlink>
      <w:r>
        <w:rPr>
          <w:b w:val="0"/>
          <w:i w:val="0"/>
        </w:rPr>
        <w:t xml:space="preserve">; </w:t>
      </w:r>
      <w:hyperlink w:anchor="latin-record-0992">
        <w:r>
          <w:rPr>
            <w:color w:val="000000"/>
          </w:rPr>
          <w:t xml:space="preserve">principalis / agens principale</w:t>
        </w:r>
      </w:hyperlink>
      <w:r>
        <w:rPr>
          <w:b w:val="0"/>
          <w:i w:val="0"/>
        </w:rPr>
        <w:t xml:space="preserve">; </w:t>
      </w:r>
      <w:hyperlink w:anchor="latin-record-1288">
        <w:r>
          <w:rPr>
            <w:color w:val="000000"/>
          </w:rPr>
          <w:t xml:space="preserve">terminus / gradus / proportio / figura</w:t>
        </w:r>
      </w:hyperlink>
      <w:r>
        <w:rPr>
          <w:b w:val="0"/>
          <w:i w:val="0"/>
        </w:rPr>
        <w:t>.</w:t>
      </w:r>
    </w:p>
    <w:p>
      <w:pPr>
        <w:pStyle w:val="Heading2"/>
      </w:pPr>
      <w:bookmarkStart w:id="1913" w:name="chapter-vii.9"/>
      <w:r>
        <w:rPr>
          <w:b w:val="0"/>
          <w:i w:val="0"/>
        </w:rPr>
        <w:t>Chapter VII.9</w:t>
      </w:r>
      <w:bookmarkEnd w:id="1913"/>
    </w:p>
    <w:p>
      <w:pPr>
        <w:widowControl/>
      </w:pPr>
      <w:bookmarkStart w:id="1914" w:name="passage-vii-9-1"/>
      <w:bookmarkEnd w:id="1914"/>
      <w:r>
        <w:rPr>
          <w:b/>
          <w:i w:val="0"/>
        </w:rPr>
        <w:t>VII.9.1</w:t>
      </w:r>
      <w:r>
        <w:rPr>
          <w:b/>
          <w:i w:val="0"/>
        </w:rPr>
        <w:t>, source pp. 266–267.</w:t>
      </w:r>
      <w:r>
        <w:rPr>
          <w:b w:val="0"/>
          <w:i w:val="0"/>
        </w:rPr>
        <w:t xml:space="preserve"> Articles: </w:t>
      </w:r>
      <w:hyperlink w:anchor="vii-bodily-constitution">
        <w:r>
          <w:rPr>
            <w:color w:val="000000"/>
          </w:rPr>
          <w:t xml:space="preserve">Bodily constitution and temperament</w:t>
        </w:r>
      </w:hyperlink>
      <w:r>
        <w:rPr>
          <w:b w:val="0"/>
          <w:i w:val="0"/>
        </w:rPr>
        <w:t xml:space="preserve">; </w:t>
      </w:r>
      <w:hyperlink w:anchor="vii-substance-degrees">
        <w:r>
          <w:rPr>
            <w:color w:val="000000"/>
          </w:rPr>
          <w:t xml:space="preserve">Substance, qualities and degrees</w:t>
        </w:r>
      </w:hyperlink>
      <w:r>
        <w:rPr>
          <w:b w:val="0"/>
          <w:i w:val="0"/>
        </w:rPr>
        <w:t xml:space="preserve">. Vocabulary: </w:t>
      </w:r>
      <w:hyperlink w:anchor="latin-record-0314">
        <w:r>
          <w:rPr>
            <w:color w:val="000000"/>
          </w:rPr>
          <w:t xml:space="preserve">construere / constituere</w:t>
        </w:r>
      </w:hyperlink>
      <w:r>
        <w:rPr>
          <w:b w:val="0"/>
          <w:i w:val="0"/>
        </w:rPr>
        <w:t xml:space="preserve">; </w:t>
      </w:r>
      <w:hyperlink w:anchor="latin-record-0325">
        <w:r>
          <w:rPr>
            <w:color w:val="000000"/>
          </w:rPr>
          <w:t xml:space="preserve">contrariae qualitates / medium</w:t>
        </w:r>
      </w:hyperlink>
      <w:r>
        <w:rPr>
          <w:b w:val="0"/>
          <w:i w:val="0"/>
        </w:rPr>
        <w:t xml:space="preserve">; </w:t>
      </w:r>
      <w:hyperlink w:anchor="latin-record-0453">
        <w:r>
          <w:rPr>
            <w:color w:val="000000"/>
          </w:rPr>
          <w:t xml:space="preserve">excessus / extraneus / dissociare</w:t>
        </w:r>
      </w:hyperlink>
      <w:r>
        <w:rPr>
          <w:b w:val="0"/>
          <w:i w:val="0"/>
        </w:rPr>
        <w:t xml:space="preserve">; </w:t>
      </w:r>
      <w:hyperlink w:anchor="latin-record-0545">
        <w:r>
          <w:rPr>
            <w:color w:val="000000"/>
          </w:rPr>
          <w:t xml:space="preserve">genus substantiae / genus qualitatis</w:t>
        </w:r>
      </w:hyperlink>
      <w:r>
        <w:rPr>
          <w:b w:val="0"/>
          <w:i w:val="0"/>
        </w:rPr>
        <w:t xml:space="preserve">; </w:t>
      </w:r>
      <w:hyperlink w:anchor="latin-record-0702">
        <w:r>
          <w:rPr>
            <w:color w:val="000000"/>
          </w:rPr>
          <w:t xml:space="preserve">lapis</w:t>
        </w:r>
      </w:hyperlink>
      <w:r>
        <w:rPr>
          <w:b w:val="0"/>
          <w:i w:val="0"/>
        </w:rPr>
        <w:t xml:space="preserve">; </w:t>
      </w:r>
      <w:hyperlink w:anchor="latin-record-0741">
        <w:r>
          <w:rPr>
            <w:color w:val="000000"/>
          </w:rPr>
          <w:t xml:space="preserve">magis ac minus / intensio / remissio</w:t>
        </w:r>
      </w:hyperlink>
      <w:r>
        <w:rPr>
          <w:b w:val="0"/>
          <w:i w:val="0"/>
        </w:rPr>
        <w:t xml:space="preserve">; </w:t>
      </w:r>
      <w:hyperlink w:anchor="latin-record-0759">
        <w:r>
          <w:rPr>
            <w:color w:val="000000"/>
          </w:rPr>
          <w:t xml:space="preserve">materia / suscipi / misceri</w:t>
        </w:r>
      </w:hyperlink>
      <w:r>
        <w:rPr>
          <w:b w:val="0"/>
          <w:i w:val="0"/>
        </w:rPr>
        <w:t xml:space="preserve">; </w:t>
      </w:r>
      <w:hyperlink w:anchor="latin-record-0824">
        <w:r>
          <w:rPr>
            <w:color w:val="000000"/>
          </w:rPr>
          <w:t xml:space="preserve">natura / naturalis</w:t>
        </w:r>
      </w:hyperlink>
      <w:r>
        <w:rPr>
          <w:b w:val="0"/>
          <w:i w:val="0"/>
        </w:rPr>
        <w:t xml:space="preserve">; </w:t>
      </w:r>
      <w:hyperlink w:anchor="latin-record-1244">
        <w:r>
          <w:rPr>
            <w:color w:val="000000"/>
          </w:rPr>
          <w:t xml:space="preserve">subsistere / subiectum</w:t>
        </w:r>
      </w:hyperlink>
      <w:r>
        <w:rPr>
          <w:b w:val="0"/>
          <w:i w:val="0"/>
        </w:rPr>
        <w:t>.</w:t>
      </w:r>
    </w:p>
    <w:p>
      <w:pPr>
        <w:widowControl/>
      </w:pPr>
      <w:bookmarkStart w:id="1915" w:name="passage-vii-9-2"/>
      <w:bookmarkEnd w:id="1915"/>
      <w:r>
        <w:rPr>
          <w:b/>
          <w:i w:val="0"/>
        </w:rPr>
        <w:t>VII.9.2</w:t>
      </w:r>
      <w:r>
        <w:rPr>
          <w:b/>
          <w:i w:val="0"/>
        </w:rPr>
        <w:t>, source pp. 268–269.</w:t>
      </w:r>
      <w:r>
        <w:rPr>
          <w:b w:val="0"/>
          <w:i w:val="0"/>
        </w:rPr>
        <w:t xml:space="preserve"> Articles: </w:t>
      </w:r>
      <w:hyperlink w:anchor="vii-nutrition-principal-agent">
        <w:r>
          <w:rPr>
            <w:color w:val="000000"/>
          </w:rPr>
          <w:t xml:space="preserve">Nutrition, growth and the principal agent</w:t>
        </w:r>
      </w:hyperlink>
      <w:r>
        <w:rPr>
          <w:b w:val="0"/>
          <w:i w:val="0"/>
        </w:rPr>
        <w:t xml:space="preserve">; </w:t>
      </w:r>
      <w:hyperlink w:anchor="vii-soul-body-craftsman">
        <w:r>
          <w:rPr>
            <w:color w:val="000000"/>
          </w:rPr>
          <w:t xml:space="preserve">Soul as the body’s craftsman</w:t>
        </w:r>
      </w:hyperlink>
      <w:r>
        <w:rPr>
          <w:b w:val="0"/>
          <w:i w:val="0"/>
        </w:rPr>
        <w:t xml:space="preserve">; </w:t>
      </w:r>
      <w:hyperlink w:anchor="vii-substance-degrees">
        <w:r>
          <w:rPr>
            <w:color w:val="000000"/>
          </w:rPr>
          <w:t xml:space="preserve">Substance, qualities and degrees</w:t>
        </w:r>
      </w:hyperlink>
      <w:r>
        <w:rPr>
          <w:b w:val="0"/>
          <w:i w:val="0"/>
        </w:rPr>
        <w:t xml:space="preserve">. Vocabulary: </w:t>
      </w:r>
      <w:hyperlink w:anchor="latin-record-0013">
        <w:r>
          <w:rPr>
            <w:color w:val="000000"/>
          </w:rPr>
          <w:t xml:space="preserve">accidens adveniens</w:t>
        </w:r>
      </w:hyperlink>
      <w:r>
        <w:rPr>
          <w:b w:val="0"/>
          <w:i w:val="0"/>
        </w:rPr>
        <w:t xml:space="preserve">; </w:t>
      </w:r>
      <w:hyperlink w:anchor="latin-record-0094">
        <w:r>
          <w:rPr>
            <w:color w:val="000000"/>
          </w:rPr>
          <w:t xml:space="preserve">anima nutritiva / sensitiva</w:t>
        </w:r>
      </w:hyperlink>
      <w:r>
        <w:rPr>
          <w:b w:val="0"/>
          <w:i w:val="0"/>
        </w:rPr>
        <w:t xml:space="preserve">; </w:t>
      </w:r>
      <w:hyperlink w:anchor="latin-record-0098">
        <w:r>
          <w:rPr>
            <w:color w:val="000000"/>
          </w:rPr>
          <w:t xml:space="preserve">animal / animans</w:t>
        </w:r>
      </w:hyperlink>
      <w:r>
        <w:rPr>
          <w:b w:val="0"/>
          <w:i w:val="0"/>
        </w:rPr>
        <w:t xml:space="preserve">; </w:t>
      </w:r>
      <w:hyperlink w:anchor="latin-record-0130">
        <w:r>
          <w:rPr>
            <w:color w:val="000000"/>
          </w:rPr>
          <w:t xml:space="preserve">artifex / pedissequa / officium</w:t>
        </w:r>
      </w:hyperlink>
      <w:r>
        <w:rPr>
          <w:b w:val="0"/>
          <w:i w:val="0"/>
        </w:rPr>
        <w:t xml:space="preserve">; </w:t>
      </w:r>
      <w:hyperlink w:anchor="latin-record-0185">
        <w:r>
          <w:rPr>
            <w:color w:val="000000"/>
          </w:rPr>
          <w:t xml:space="preserve">canis / equus / homo</w:t>
        </w:r>
      </w:hyperlink>
      <w:r>
        <w:rPr>
          <w:b w:val="0"/>
          <w:i w:val="0"/>
        </w:rPr>
        <w:t xml:space="preserve">; </w:t>
      </w:r>
      <w:hyperlink w:anchor="latin-record-0298">
        <w:r>
          <w:rPr>
            <w:color w:val="000000"/>
          </w:rPr>
          <w:t xml:space="preserve">connectere / labi / abire</w:t>
        </w:r>
      </w:hyperlink>
      <w:r>
        <w:rPr>
          <w:b w:val="0"/>
          <w:i w:val="0"/>
        </w:rPr>
        <w:t xml:space="preserve">; </w:t>
      </w:r>
      <w:hyperlink w:anchor="latin-record-0314">
        <w:r>
          <w:rPr>
            <w:color w:val="000000"/>
          </w:rPr>
          <w:t xml:space="preserve">construere / constituere</w:t>
        </w:r>
      </w:hyperlink>
      <w:r>
        <w:rPr>
          <w:b w:val="0"/>
          <w:i w:val="0"/>
        </w:rPr>
        <w:t xml:space="preserve">; </w:t>
      </w:r>
      <w:hyperlink w:anchor="latin-record-0471">
        <w:r>
          <w:rPr>
            <w:color w:val="000000"/>
          </w:rPr>
          <w:t xml:space="preserve">fabricare / servare / reficere</w:t>
        </w:r>
      </w:hyperlink>
      <w:r>
        <w:rPr>
          <w:b w:val="0"/>
          <w:i w:val="0"/>
        </w:rPr>
        <w:t xml:space="preserve">; </w:t>
      </w:r>
      <w:hyperlink w:anchor="latin-record-0654">
        <w:r>
          <w:rPr>
            <w:color w:val="000000"/>
          </w:rPr>
          <w:t xml:space="preserve">instrumentum</w:t>
        </w:r>
      </w:hyperlink>
      <w:r>
        <w:rPr>
          <w:b w:val="0"/>
          <w:i w:val="0"/>
        </w:rPr>
        <w:t xml:space="preserve">; </w:t>
      </w:r>
      <w:hyperlink w:anchor="latin-record-0939">
        <w:r>
          <w:rPr>
            <w:color w:val="000000"/>
          </w:rPr>
          <w:t xml:space="preserve">perturbatio / impedire / augere</w:t>
        </w:r>
      </w:hyperlink>
      <w:r>
        <w:rPr>
          <w:b w:val="0"/>
          <w:i w:val="0"/>
        </w:rPr>
        <w:t xml:space="preserve">; </w:t>
      </w:r>
      <w:hyperlink w:anchor="latin-record-0945">
        <w:r>
          <w:rPr>
            <w:color w:val="000000"/>
          </w:rPr>
          <w:t xml:space="preserve">phantasia</w:t>
        </w:r>
      </w:hyperlink>
      <w:r>
        <w:rPr>
          <w:b w:val="0"/>
          <w:i w:val="0"/>
        </w:rPr>
        <w:t xml:space="preserve">; </w:t>
      </w:r>
      <w:hyperlink w:anchor="latin-record-1006">
        <w:r>
          <w:rPr>
            <w:color w:val="000000"/>
          </w:rPr>
          <w:t xml:space="preserve">progredi / servire</w:t>
        </w:r>
      </w:hyperlink>
      <w:r>
        <w:rPr>
          <w:b w:val="0"/>
          <w:i w:val="0"/>
        </w:rPr>
        <w:t xml:space="preserve">; </w:t>
      </w:r>
      <w:hyperlink w:anchor="latin-record-1120">
        <w:r>
          <w:rPr>
            <w:color w:val="000000"/>
          </w:rPr>
          <w:t xml:space="preserve">retinere / servare</w:t>
        </w:r>
      </w:hyperlink>
      <w:r>
        <w:rPr>
          <w:b w:val="0"/>
          <w:i w:val="0"/>
        </w:rPr>
        <w:t xml:space="preserve">; </w:t>
      </w:r>
      <w:hyperlink w:anchor="latin-record-1210">
        <w:r>
          <w:rPr>
            <w:color w:val="000000"/>
          </w:rPr>
          <w:t xml:space="preserve">species / genus / cognomen</w:t>
        </w:r>
      </w:hyperlink>
      <w:r>
        <w:rPr>
          <w:b w:val="0"/>
          <w:i w:val="0"/>
        </w:rPr>
        <w:t xml:space="preserve">; </w:t>
      </w:r>
      <w:hyperlink w:anchor="latin-record-1308">
        <w:r>
          <w:rPr>
            <w:color w:val="000000"/>
          </w:rPr>
          <w:t xml:space="preserve">tristitia / laetitia / debilitare / roborare</w:t>
        </w:r>
      </w:hyperlink>
      <w:r>
        <w:rPr>
          <w:b w:val="0"/>
          <w:i w:val="0"/>
        </w:rPr>
        <w:t>.</w:t>
      </w:r>
    </w:p>
    <w:p>
      <w:pPr>
        <w:pStyle w:val="Heading2"/>
      </w:pPr>
      <w:bookmarkStart w:id="1916" w:name="chapter-vii.10"/>
      <w:r>
        <w:rPr>
          <w:b w:val="0"/>
          <w:i w:val="0"/>
        </w:rPr>
        <w:t>Chapter VII.10</w:t>
      </w:r>
      <w:bookmarkEnd w:id="1916"/>
    </w:p>
    <w:p>
      <w:pPr>
        <w:widowControl/>
      </w:pPr>
      <w:bookmarkStart w:id="1917" w:name="passage-vii-10-1"/>
      <w:bookmarkEnd w:id="1917"/>
      <w:r>
        <w:rPr>
          <w:b/>
          <w:i w:val="0"/>
        </w:rPr>
        <w:t>VII.10.1</w:t>
      </w:r>
      <w:r>
        <w:rPr>
          <w:b/>
          <w:i w:val="0"/>
        </w:rPr>
        <w:t>, source pp. 270–271.</w:t>
      </w:r>
      <w:r>
        <w:rPr>
          <w:b w:val="0"/>
          <w:i w:val="0"/>
        </w:rPr>
        <w:t xml:space="preserve"> Articles: </w:t>
      </w:r>
      <w:hyperlink w:anchor="vii-harmony-strings">
        <w:r>
          <w:rPr>
            <w:color w:val="000000"/>
          </w:rPr>
          <w:t xml:space="preserve">Harmony and the strings</w:t>
        </w:r>
      </w:hyperlink>
      <w:r>
        <w:rPr>
          <w:b w:val="0"/>
          <w:i w:val="0"/>
        </w:rPr>
        <w:t xml:space="preserve">. Vocabulary: </w:t>
      </w:r>
      <w:hyperlink w:anchor="latin-record-0126">
        <w:r>
          <w:rPr>
            <w:color w:val="000000"/>
          </w:rPr>
          <w:t xml:space="preserve">Aristoxenus / musici</w:t>
        </w:r>
      </w:hyperlink>
      <w:r>
        <w:rPr>
          <w:b w:val="0"/>
          <w:i w:val="0"/>
        </w:rPr>
        <w:t xml:space="preserve">; </w:t>
      </w:r>
      <w:hyperlink w:anchor="latin-record-0284">
        <w:r>
          <w:rPr>
            <w:color w:val="000000"/>
          </w:rPr>
          <w:t xml:space="preserve">conditio humorum / imperium</w:t>
        </w:r>
      </w:hyperlink>
      <w:r>
        <w:rPr>
          <w:b w:val="0"/>
          <w:i w:val="0"/>
        </w:rPr>
        <w:t xml:space="preserve">; </w:t>
      </w:r>
      <w:hyperlink w:anchor="latin-record-0396">
        <w:r>
          <w:rPr>
            <w:color w:val="000000"/>
          </w:rPr>
          <w:t xml:space="preserve">disiungere / copulare incorporeis</w:t>
        </w:r>
      </w:hyperlink>
      <w:r>
        <w:rPr>
          <w:b w:val="0"/>
          <w:i w:val="0"/>
        </w:rPr>
        <w:t xml:space="preserve">; </w:t>
      </w:r>
      <w:hyperlink w:anchor="latin-record-0480">
        <w:r>
          <w:rPr>
            <w:color w:val="000000"/>
          </w:rPr>
          <w:t xml:space="preserve">fides / chorda</w:t>
        </w:r>
      </w:hyperlink>
      <w:r>
        <w:rPr>
          <w:b w:val="0"/>
          <w:i w:val="0"/>
        </w:rPr>
        <w:t xml:space="preserve">; </w:t>
      </w:r>
      <w:hyperlink w:anchor="latin-record-0481">
        <w:r>
          <w:rPr>
            <w:color w:val="000000"/>
          </w:rPr>
          <w:t xml:space="preserve">fieri / facere</w:t>
        </w:r>
      </w:hyperlink>
      <w:r>
        <w:rPr>
          <w:b w:val="0"/>
          <w:i w:val="0"/>
        </w:rPr>
        <w:t xml:space="preserve">; </w:t>
      </w:r>
      <w:hyperlink w:anchor="latin-record-0485">
        <w:r>
          <w:rPr>
            <w:color w:val="000000"/>
          </w:rPr>
          <w:t xml:space="preserve">figura artificiosa / dispositio</w:t>
        </w:r>
      </w:hyperlink>
      <w:r>
        <w:rPr>
          <w:b w:val="0"/>
          <w:i w:val="0"/>
        </w:rPr>
        <w:t xml:space="preserve">; </w:t>
      </w:r>
      <w:hyperlink w:anchor="latin-record-0558">
        <w:r>
          <w:rPr>
            <w:color w:val="000000"/>
          </w:rPr>
          <w:t xml:space="preserve">harmonia / progenitus</w:t>
        </w:r>
      </w:hyperlink>
      <w:r>
        <w:rPr>
          <w:b w:val="0"/>
          <w:i w:val="0"/>
        </w:rPr>
        <w:t xml:space="preserve">; </w:t>
      </w:r>
      <w:hyperlink w:anchor="latin-record-0808">
        <w:r>
          <w:rPr>
            <w:color w:val="000000"/>
          </w:rPr>
          <w:t xml:space="preserve">motus / movere</w:t>
        </w:r>
      </w:hyperlink>
      <w:r>
        <w:rPr>
          <w:b w:val="0"/>
          <w:i w:val="0"/>
        </w:rPr>
        <w:t xml:space="preserve">; </w:t>
      </w:r>
      <w:hyperlink w:anchor="latin-record-0912">
        <w:r>
          <w:rPr>
            <w:color w:val="000000"/>
          </w:rPr>
          <w:t xml:space="preserve">pendere / oriri / sustinere / nasci</w:t>
        </w:r>
      </w:hyperlink>
      <w:r>
        <w:rPr>
          <w:b w:val="0"/>
          <w:i w:val="0"/>
        </w:rPr>
        <w:t xml:space="preserve">; </w:t>
      </w:r>
      <w:hyperlink w:anchor="latin-record-0921">
        <w:r>
          <w:rPr>
            <w:color w:val="000000"/>
          </w:rPr>
          <w:t xml:space="preserve">per se exsistere / operari</w:t>
        </w:r>
      </w:hyperlink>
      <w:r>
        <w:rPr>
          <w:b w:val="0"/>
          <w:i w:val="0"/>
        </w:rPr>
        <w:t xml:space="preserve">; </w:t>
      </w:r>
      <w:hyperlink w:anchor="latin-record-1110">
        <w:r>
          <w:rPr>
            <w:color w:val="000000"/>
          </w:rPr>
          <w:t xml:space="preserve">repugnare / reflectere</w:t>
        </w:r>
      </w:hyperlink>
      <w:r>
        <w:rPr>
          <w:b w:val="0"/>
          <w:i w:val="0"/>
        </w:rPr>
        <w:t xml:space="preserve">; </w:t>
      </w:r>
      <w:hyperlink w:anchor="latin-record-1203">
        <w:r>
          <w:rPr>
            <w:color w:val="000000"/>
          </w:rPr>
          <w:t xml:space="preserve">somniare</w:t>
        </w:r>
      </w:hyperlink>
      <w:r>
        <w:rPr>
          <w:b w:val="0"/>
          <w:i w:val="0"/>
        </w:rPr>
        <w:t xml:space="preserve">; </w:t>
      </w:r>
      <w:hyperlink w:anchor="latin-record-1325">
        <w:r>
          <w:rPr>
            <w:color w:val="000000"/>
          </w:rPr>
          <w:t xml:space="preserve">ut alias ostendemus / ut in sequentibus apparebit / ut in superioribus enarravimus</w:t>
        </w:r>
      </w:hyperlink>
      <w:r>
        <w:rPr>
          <w:b w:val="0"/>
          <w:i w:val="0"/>
        </w:rPr>
        <w:t xml:space="preserve">; </w:t>
      </w:r>
      <w:hyperlink w:anchor="latin-record-1329">
        <w:r>
          <w:rPr>
            <w:color w:val="000000"/>
          </w:rPr>
          <w:t xml:space="preserve">valere</w:t>
        </w:r>
      </w:hyperlink>
      <w:r>
        <w:rPr>
          <w:b w:val="0"/>
          <w:i w:val="0"/>
        </w:rPr>
        <w:t>.</w:t>
      </w:r>
    </w:p>
    <w:p>
      <w:pPr>
        <w:pStyle w:val="Heading2"/>
      </w:pPr>
      <w:bookmarkStart w:id="1918" w:name="chapter-vii.11"/>
      <w:r>
        <w:rPr>
          <w:b w:val="0"/>
          <w:i w:val="0"/>
        </w:rPr>
        <w:t>Chapter VII.11</w:t>
      </w:r>
      <w:bookmarkEnd w:id="1918"/>
    </w:p>
    <w:p>
      <w:pPr>
        <w:widowControl/>
      </w:pPr>
      <w:bookmarkStart w:id="1919" w:name="passage-vii-11-1"/>
      <w:bookmarkEnd w:id="1919"/>
      <w:r>
        <w:rPr>
          <w:b/>
          <w:i w:val="0"/>
        </w:rPr>
        <w:t>VII.11.1</w:t>
      </w:r>
      <w:r>
        <w:rPr>
          <w:b/>
          <w:i w:val="0"/>
        </w:rPr>
        <w:t>, source pp. 272–273.</w:t>
      </w:r>
      <w:r>
        <w:rPr>
          <w:b w:val="0"/>
          <w:i w:val="0"/>
        </w:rPr>
        <w:t xml:space="preserve"> Articles: </w:t>
      </w:r>
      <w:hyperlink w:anchor="vii-bodily-spirit">
        <w:r>
          <w:rPr>
            <w:color w:val="000000"/>
          </w:rPr>
          <w:t xml:space="preserve">Bodily spirit and mediation</w:t>
        </w:r>
      </w:hyperlink>
      <w:r>
        <w:rPr>
          <w:b w:val="0"/>
          <w:i w:val="0"/>
        </w:rPr>
        <w:t xml:space="preserve">; </w:t>
      </w:r>
      <w:hyperlink w:anchor="vii-harmony-strings">
        <w:r>
          <w:rPr>
            <w:color w:val="000000"/>
          </w:rPr>
          <w:t xml:space="preserve">Harmony and the strings</w:t>
        </w:r>
      </w:hyperlink>
      <w:r>
        <w:rPr>
          <w:b w:val="0"/>
          <w:i w:val="0"/>
        </w:rPr>
        <w:t xml:space="preserve">; </w:t>
      </w:r>
      <w:hyperlink w:anchor="vii-vital-harmony">
        <w:r>
          <w:rPr>
            <w:color w:val="000000"/>
          </w:rPr>
          <w:t xml:space="preserve">Vital harmony and its producer</w:t>
        </w:r>
      </w:hyperlink>
      <w:r>
        <w:rPr>
          <w:b w:val="0"/>
          <w:i w:val="0"/>
        </w:rPr>
        <w:t xml:space="preserve">. Vocabulary: </w:t>
      </w:r>
      <w:hyperlink w:anchor="latin-record-0138">
        <w:r>
          <w:rPr>
            <w:color w:val="000000"/>
          </w:rPr>
          <w:t xml:space="preserve">assidue / naturaliter / interius</w:t>
        </w:r>
      </w:hyperlink>
      <w:r>
        <w:rPr>
          <w:b w:val="0"/>
          <w:i w:val="0"/>
        </w:rPr>
        <w:t xml:space="preserve">; </w:t>
      </w:r>
      <w:hyperlink w:anchor="latin-record-0274">
        <w:r>
          <w:rPr>
            <w:color w:val="000000"/>
          </w:rPr>
          <w:t xml:space="preserve">concinnitas / consonantia</w:t>
        </w:r>
      </w:hyperlink>
      <w:r>
        <w:rPr>
          <w:b w:val="0"/>
          <w:i w:val="0"/>
        </w:rPr>
        <w:t xml:space="preserve">; </w:t>
      </w:r>
      <w:hyperlink w:anchor="latin-record-0312">
        <w:r>
          <w:rPr>
            <w:color w:val="000000"/>
          </w:rPr>
          <w:t xml:space="preserve">conspiratio / concinere / coalescere</w:t>
        </w:r>
      </w:hyperlink>
      <w:r>
        <w:rPr>
          <w:b w:val="0"/>
          <w:i w:val="0"/>
        </w:rPr>
        <w:t xml:space="preserve">; </w:t>
      </w:r>
      <w:hyperlink w:anchor="latin-record-0316">
        <w:r>
          <w:rPr>
            <w:color w:val="000000"/>
          </w:rPr>
          <w:t xml:space="preserve">contemperare / temperatrix</w:t>
        </w:r>
      </w:hyperlink>
      <w:r>
        <w:rPr>
          <w:b w:val="0"/>
          <w:i w:val="0"/>
        </w:rPr>
        <w:t xml:space="preserve">; </w:t>
      </w:r>
      <w:hyperlink w:anchor="latin-record-0468">
        <w:r>
          <w:rPr>
            <w:color w:val="000000"/>
          </w:rPr>
          <w:t xml:space="preserve">extrinsecum principium</w:t>
        </w:r>
      </w:hyperlink>
      <w:r>
        <w:rPr>
          <w:b w:val="0"/>
          <w:i w:val="0"/>
        </w:rPr>
        <w:t xml:space="preserve">; </w:t>
      </w:r>
      <w:hyperlink w:anchor="latin-record-0576">
        <w:r>
          <w:rPr>
            <w:color w:val="000000"/>
          </w:rPr>
          <w:t xml:space="preserve">hypothetical concession</w:t>
        </w:r>
      </w:hyperlink>
      <w:r>
        <w:rPr>
          <w:b w:val="0"/>
          <w:i w:val="0"/>
        </w:rPr>
        <w:t xml:space="preserve">; </w:t>
      </w:r>
      <w:hyperlink w:anchor="latin-record-1070">
        <w:r>
          <w:rPr>
            <w:color w:val="000000"/>
          </w:rPr>
          <w:t xml:space="preserve">ratio animae</w:t>
        </w:r>
      </w:hyperlink>
      <w:r>
        <w:rPr>
          <w:b w:val="0"/>
          <w:i w:val="0"/>
        </w:rPr>
        <w:t xml:space="preserve">; </w:t>
      </w:r>
      <w:hyperlink w:anchor="latin-record-1379">
        <w:r>
          <w:rPr>
            <w:color w:val="000000"/>
          </w:rPr>
          <w:t xml:space="preserve">vivere</w:t>
        </w:r>
      </w:hyperlink>
      <w:r>
        <w:rPr>
          <w:b w:val="0"/>
          <w:i w:val="0"/>
        </w:rPr>
        <w:t xml:space="preserve">; </w:t>
      </w:r>
      <w:hyperlink w:anchor="latin-record-1382">
        <w:r>
          <w:rPr>
            <w:color w:val="000000"/>
          </w:rPr>
          <w:t xml:space="preserve">vivificus spiritus / vitalis harmonia</w:t>
        </w:r>
      </w:hyperlink>
      <w:r>
        <w:rPr>
          <w:b w:val="0"/>
          <w:i w:val="0"/>
        </w:rPr>
        <w:t>.</w:t>
      </w:r>
    </w:p>
    <w:p>
      <w:pPr>
        <w:pStyle w:val="Heading2"/>
      </w:pPr>
      <w:bookmarkStart w:id="1920" w:name="chapter-vii.12"/>
      <w:r>
        <w:rPr>
          <w:b w:val="0"/>
          <w:i w:val="0"/>
        </w:rPr>
        <w:t>Chapter VII.12</w:t>
      </w:r>
      <w:bookmarkEnd w:id="1920"/>
    </w:p>
    <w:p>
      <w:pPr>
        <w:widowControl/>
      </w:pPr>
      <w:bookmarkStart w:id="1921" w:name="passage-vii-12-1"/>
      <w:bookmarkEnd w:id="1921"/>
      <w:r>
        <w:rPr>
          <w:b/>
          <w:i w:val="0"/>
        </w:rPr>
        <w:t>VII.12.1</w:t>
      </w:r>
      <w:r>
        <w:rPr>
          <w:b/>
          <w:i w:val="0"/>
        </w:rPr>
        <w:t>, source pp. 274–275.</w:t>
      </w:r>
      <w:r>
        <w:rPr>
          <w:b w:val="0"/>
          <w:i w:val="0"/>
        </w:rPr>
        <w:t xml:space="preserve"> Articles: </w:t>
      </w:r>
      <w:hyperlink w:anchor="vii-composition-unity">
        <w:r>
          <w:rPr>
            <w:color w:val="000000"/>
          </w:rPr>
          <w:t xml:space="preserve">Composition and inward unity</w:t>
        </w:r>
      </w:hyperlink>
      <w:r>
        <w:rPr>
          <w:b w:val="0"/>
          <w:i w:val="0"/>
        </w:rPr>
        <w:t xml:space="preserve">; </w:t>
      </w:r>
      <w:hyperlink w:anchor="vii-proportion-bodily-goods">
        <w:r>
          <w:rPr>
            <w:color w:val="000000"/>
          </w:rPr>
          <w:t xml:space="preserve">Proportion, health, strength and beauty</w:t>
        </w:r>
      </w:hyperlink>
      <w:r>
        <w:rPr>
          <w:b w:val="0"/>
          <w:i w:val="0"/>
        </w:rPr>
        <w:t xml:space="preserve">. Vocabulary: </w:t>
      </w:r>
      <w:hyperlink w:anchor="latin-record-0029">
        <w:r>
          <w:rPr>
            <w:color w:val="000000"/>
          </w:rPr>
          <w:t xml:space="preserve">actus simplex</w:t>
        </w:r>
      </w:hyperlink>
      <w:r>
        <w:rPr>
          <w:b w:val="0"/>
          <w:i w:val="0"/>
        </w:rPr>
        <w:t xml:space="preserve">; </w:t>
      </w:r>
      <w:hyperlink w:anchor="latin-record-0098">
        <w:r>
          <w:rPr>
            <w:color w:val="000000"/>
          </w:rPr>
          <w:t xml:space="preserve">animal / animans</w:t>
        </w:r>
      </w:hyperlink>
      <w:r>
        <w:rPr>
          <w:b w:val="0"/>
          <w:i w:val="0"/>
        </w:rPr>
        <w:t xml:space="preserve">; </w:t>
      </w:r>
      <w:hyperlink w:anchor="latin-record-0123">
        <w:r>
          <w:rPr>
            <w:color w:val="000000"/>
          </w:rPr>
          <w:t xml:space="preserve">Aristoteles / Hippocrates</w:t>
        </w:r>
      </w:hyperlink>
      <w:r>
        <w:rPr>
          <w:b w:val="0"/>
          <w:i w:val="0"/>
        </w:rPr>
        <w:t xml:space="preserve">; </w:t>
      </w:r>
      <w:hyperlink w:anchor="latin-record-0219">
        <w:r>
          <w:rPr>
            <w:color w:val="000000"/>
          </w:rPr>
          <w:t xml:space="preserve">coagulum / conglutinare</w:t>
        </w:r>
      </w:hyperlink>
      <w:r>
        <w:rPr>
          <w:b w:val="0"/>
          <w:i w:val="0"/>
        </w:rPr>
        <w:t xml:space="preserve">; </w:t>
      </w:r>
      <w:hyperlink w:anchor="latin-record-0260">
        <w:r>
          <w:rPr>
            <w:color w:val="000000"/>
          </w:rPr>
          <w:t xml:space="preserve">componere</w:t>
        </w:r>
      </w:hyperlink>
      <w:r>
        <w:rPr>
          <w:b w:val="0"/>
          <w:i w:val="0"/>
        </w:rPr>
        <w:t xml:space="preserve">; </w:t>
      </w:r>
      <w:hyperlink w:anchor="latin-record-0264">
        <w:r>
          <w:rPr>
            <w:color w:val="000000"/>
          </w:rPr>
          <w:t xml:space="preserve">compositio</w:t>
        </w:r>
      </w:hyperlink>
      <w:r>
        <w:rPr>
          <w:b w:val="0"/>
          <w:i w:val="0"/>
        </w:rPr>
        <w:t xml:space="preserve">; </w:t>
      </w:r>
      <w:hyperlink w:anchor="latin-record-0388">
        <w:r>
          <w:rPr>
            <w:color w:val="000000"/>
          </w:rPr>
          <w:t xml:space="preserve">discernere</w:t>
        </w:r>
      </w:hyperlink>
      <w:r>
        <w:rPr>
          <w:b w:val="0"/>
          <w:i w:val="0"/>
        </w:rPr>
        <w:t xml:space="preserve">; </w:t>
      </w:r>
      <w:hyperlink w:anchor="latin-record-0661">
        <w:r>
          <w:rPr>
            <w:color w:val="000000"/>
          </w:rPr>
          <w:t xml:space="preserve">intellectus / sensus / appetitus</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806">
        <w:r>
          <w:rPr>
            <w:color w:val="000000"/>
          </w:rPr>
          <w:t xml:space="preserve">motor / rector / una forma</w:t>
        </w:r>
      </w:hyperlink>
      <w:r>
        <w:rPr>
          <w:b w:val="0"/>
          <w:i w:val="0"/>
        </w:rPr>
        <w:t xml:space="preserve">; </w:t>
      </w:r>
      <w:hyperlink w:anchor="latin-record-0885">
        <w:r>
          <w:rPr>
            <w:color w:val="000000"/>
          </w:rPr>
          <w:t xml:space="preserve">os / nervus / caro</w:t>
        </w:r>
      </w:hyperlink>
      <w:r>
        <w:rPr>
          <w:b w:val="0"/>
          <w:i w:val="0"/>
        </w:rPr>
        <w:t xml:space="preserve">; </w:t>
      </w:r>
      <w:hyperlink w:anchor="latin-record-1072">
        <w:r>
          <w:rPr>
            <w:color w:val="000000"/>
          </w:rPr>
          <w:t xml:space="preserve">ratio compositionis / proportio</w:t>
        </w:r>
      </w:hyperlink>
      <w:r>
        <w:rPr>
          <w:b w:val="0"/>
          <w:i w:val="0"/>
        </w:rPr>
        <w:t xml:space="preserve">; </w:t>
      </w:r>
      <w:hyperlink w:anchor="latin-record-1129">
        <w:r>
          <w:rPr>
            <w:color w:val="000000"/>
          </w:rPr>
          <w:t xml:space="preserve">sanitas / robur / pulchritudo</w:t>
        </w:r>
      </w:hyperlink>
      <w:r>
        <w:rPr>
          <w:b w:val="0"/>
          <w:i w:val="0"/>
        </w:rPr>
        <w:t xml:space="preserve">; </w:t>
      </w:r>
      <w:hyperlink w:anchor="latin-record-1137">
        <w:r>
          <w:rPr>
            <w:color w:val="000000"/>
          </w:rPr>
          <w:t xml:space="preserve">scientia et ignorantia</w:t>
        </w:r>
      </w:hyperlink>
      <w:r>
        <w:rPr>
          <w:b w:val="0"/>
          <w:i w:val="0"/>
        </w:rPr>
        <w:t xml:space="preserve">; </w:t>
      </w:r>
      <w:hyperlink w:anchor="latin-record-1317">
        <w:r>
          <w:rPr>
            <w:color w:val="000000"/>
          </w:rPr>
          <w:t xml:space="preserve">unio plurium / vis insita</w:t>
        </w:r>
      </w:hyperlink>
      <w:r>
        <w:rPr>
          <w:b w:val="0"/>
          <w:i w:val="0"/>
        </w:rPr>
        <w:t xml:space="preserve">; </w:t>
      </w:r>
      <w:hyperlink w:anchor="latin-record-1357">
        <w:r>
          <w:rPr>
            <w:color w:val="000000"/>
          </w:rPr>
          <w:t xml:space="preserve">vires / affectus / actus / habitus</w:t>
        </w:r>
      </w:hyperlink>
      <w:r>
        <w:rPr>
          <w:b w:val="0"/>
          <w:i w:val="0"/>
        </w:rPr>
        <w:t>.</w:t>
      </w:r>
    </w:p>
    <w:p>
      <w:pPr>
        <w:pStyle w:val="Heading2"/>
      </w:pPr>
      <w:bookmarkStart w:id="1922" w:name="chapter-vii.13"/>
      <w:r>
        <w:rPr>
          <w:b w:val="0"/>
          <w:i w:val="0"/>
        </w:rPr>
        <w:t>Chapter VII.13</w:t>
      </w:r>
      <w:bookmarkEnd w:id="1922"/>
    </w:p>
    <w:p>
      <w:pPr>
        <w:widowControl/>
      </w:pPr>
      <w:bookmarkStart w:id="1923" w:name="passage-vii-13-1"/>
      <w:bookmarkEnd w:id="1923"/>
      <w:r>
        <w:rPr>
          <w:b/>
          <w:i w:val="0"/>
        </w:rPr>
        <w:t>VII.13.1</w:t>
      </w:r>
      <w:r>
        <w:rPr>
          <w:b/>
          <w:i w:val="0"/>
        </w:rPr>
        <w:t>, source pp. 276–277.</w:t>
      </w:r>
      <w:r>
        <w:rPr>
          <w:b w:val="0"/>
          <w:i w:val="0"/>
        </w:rPr>
        <w:t xml:space="preserve"> Articles: </w:t>
      </w:r>
      <w:hyperlink w:anchor="vii-freedom-matter">
        <w:r>
          <w:rPr>
            <w:color w:val="000000"/>
          </w:rPr>
          <w:t xml:space="preserve">Freedom from matter and causal priority</w:t>
        </w:r>
      </w:hyperlink>
      <w:r>
        <w:rPr>
          <w:b w:val="0"/>
          <w:i w:val="0"/>
        </w:rPr>
        <w:t xml:space="preserve">; </w:t>
      </w:r>
      <w:hyperlink w:anchor="vii-nutrition-principal-agent">
        <w:r>
          <w:rPr>
            <w:color w:val="000000"/>
          </w:rPr>
          <w:t xml:space="preserve">Nutrition, growth and the principal agent</w:t>
        </w:r>
      </w:hyperlink>
      <w:r>
        <w:rPr>
          <w:b w:val="0"/>
          <w:i w:val="0"/>
        </w:rPr>
        <w:t xml:space="preserve">; </w:t>
      </w:r>
      <w:hyperlink w:anchor="vii-spiritual-images-light">
        <w:r>
          <w:rPr>
            <w:color w:val="000000"/>
          </w:rPr>
          <w:t xml:space="preserve">Spiritual images and light</w:t>
        </w:r>
      </w:hyperlink>
      <w:r>
        <w:rPr>
          <w:b w:val="0"/>
          <w:i w:val="0"/>
        </w:rPr>
        <w:t xml:space="preserve">. Vocabulary: </w:t>
      </w:r>
      <w:hyperlink w:anchor="latin-record-0007">
        <w:r>
          <w:rPr>
            <w:color w:val="000000"/>
          </w:rPr>
          <w:t xml:space="preserve">absque materia / paries</w:t>
        </w:r>
      </w:hyperlink>
      <w:r>
        <w:rPr>
          <w:b w:val="0"/>
          <w:i w:val="0"/>
        </w:rPr>
        <w:t xml:space="preserve">; </w:t>
      </w:r>
      <w:hyperlink w:anchor="latin-record-0178">
        <w:r>
          <w:rPr>
            <w:color w:val="000000"/>
          </w:rPr>
          <w:t xml:space="preserve">caliditas / siccitas / frigus</w:t>
        </w:r>
      </w:hyperlink>
      <w:r>
        <w:rPr>
          <w:b w:val="0"/>
          <w:i w:val="0"/>
        </w:rPr>
        <w:t xml:space="preserve">; </w:t>
      </w:r>
      <w:hyperlink w:anchor="latin-record-0423">
        <w:r>
          <w:rPr>
            <w:color w:val="000000"/>
          </w:rPr>
          <w:t xml:space="preserve">efficere / causa / effectus</w:t>
        </w:r>
      </w:hyperlink>
      <w:r>
        <w:rPr>
          <w:b w:val="0"/>
          <w:i w:val="0"/>
        </w:rPr>
        <w:t xml:space="preserve">; </w:t>
      </w:r>
      <w:hyperlink w:anchor="latin-record-0504">
        <w:r>
          <w:rPr>
            <w:color w:val="000000"/>
          </w:rPr>
          <w:t xml:space="preserve">forma / qualitas</w:t>
        </w:r>
      </w:hyperlink>
      <w:r>
        <w:rPr>
          <w:b w:val="0"/>
          <w:i w:val="0"/>
        </w:rPr>
        <w:t xml:space="preserve">; </w:t>
      </w:r>
      <w:hyperlink w:anchor="latin-record-0572">
        <w:r>
          <w:rPr>
            <w:color w:val="000000"/>
          </w:rPr>
          <w:t xml:space="preserve">humor / mixtio / procreare</w:t>
        </w:r>
      </w:hyperlink>
      <w:r>
        <w:rPr>
          <w:b w:val="0"/>
          <w:i w:val="0"/>
        </w:rPr>
        <w:t xml:space="preserve">; </w:t>
      </w:r>
      <w:hyperlink w:anchor="latin-record-0585">
        <w:r>
          <w:rPr>
            <w:color w:val="000000"/>
          </w:rPr>
          <w:t xml:space="preserve">ignis / terra / lapis</w:t>
        </w:r>
      </w:hyperlink>
      <w:r>
        <w:rPr>
          <w:b w:val="0"/>
          <w:i w:val="0"/>
        </w:rPr>
        <w:t xml:space="preserve">; </w:t>
      </w:r>
      <w:hyperlink w:anchor="latin-record-0663">
        <w:r>
          <w:rPr>
            <w:color w:val="000000"/>
          </w:rPr>
          <w:t xml:space="preserve">intelligentia</w:t>
        </w:r>
      </w:hyperlink>
      <w:r>
        <w:rPr>
          <w:b w:val="0"/>
          <w:i w:val="0"/>
        </w:rPr>
        <w:t xml:space="preserve">; </w:t>
      </w:r>
      <w:hyperlink w:anchor="latin-record-0713">
        <w:r>
          <w:rPr>
            <w:color w:val="000000"/>
          </w:rPr>
          <w:t xml:space="preserve">liber a materia</w:t>
        </w:r>
      </w:hyperlink>
      <w:r>
        <w:rPr>
          <w:b w:val="0"/>
          <w:i w:val="0"/>
        </w:rPr>
        <w:t xml:space="preserve">; </w:t>
      </w:r>
      <w:hyperlink w:anchor="latin-record-0905">
        <w:r>
          <w:rPr>
            <w:color w:val="000000"/>
          </w:rPr>
          <w:t xml:space="preserve">passio / affectio</w:t>
        </w:r>
      </w:hyperlink>
      <w:r>
        <w:rPr>
          <w:b w:val="0"/>
          <w:i w:val="0"/>
        </w:rPr>
        <w:t xml:space="preserve">; </w:t>
      </w:r>
      <w:hyperlink w:anchor="latin-record-0983">
        <w:r>
          <w:rPr>
            <w:color w:val="000000"/>
          </w:rPr>
          <w:t xml:space="preserve">praestantior / sublimior</w:t>
        </w:r>
      </w:hyperlink>
      <w:r>
        <w:rPr>
          <w:b w:val="0"/>
          <w:i w:val="0"/>
        </w:rPr>
        <w:t xml:space="preserve">; </w:t>
      </w:r>
      <w:hyperlink w:anchor="latin-record-1223">
        <w:r>
          <w:rPr>
            <w:color w:val="000000"/>
          </w:rPr>
          <w:t xml:space="preserve">spiritalis</w:t>
        </w:r>
      </w:hyperlink>
      <w:r>
        <w:rPr>
          <w:b w:val="0"/>
          <w:i w:val="0"/>
        </w:rPr>
        <w:t xml:space="preserve">; </w:t>
      </w:r>
      <w:hyperlink w:anchor="latin-record-1260">
        <w:r>
          <w:rPr>
            <w:color w:val="000000"/>
          </w:rPr>
          <w:t xml:space="preserve">super et praeter ordinem elementorum</w:t>
        </w:r>
      </w:hyperlink>
      <w:r>
        <w:rPr>
          <w:b w:val="0"/>
          <w:i w:val="0"/>
        </w:rPr>
        <w:t xml:space="preserve">; </w:t>
      </w:r>
      <w:hyperlink w:anchor="latin-record-1325">
        <w:r>
          <w:rPr>
            <w:color w:val="000000"/>
          </w:rPr>
          <w:t xml:space="preserve">ut alias ostendemus / ut in sequentibus apparebit / ut in superioribus enarravimus</w:t>
        </w:r>
      </w:hyperlink>
      <w:r>
        <w:rPr>
          <w:b w:val="0"/>
          <w:i w:val="0"/>
        </w:rPr>
        <w:t>.</w:t>
      </w:r>
    </w:p>
    <w:p>
      <w:pPr>
        <w:pStyle w:val="Heading2"/>
      </w:pPr>
      <w:bookmarkStart w:id="1924" w:name="chapter-vii.14"/>
      <w:r>
        <w:rPr>
          <w:b w:val="0"/>
          <w:i w:val="0"/>
        </w:rPr>
        <w:t>Chapter VII.14</w:t>
      </w:r>
      <w:bookmarkEnd w:id="1924"/>
    </w:p>
    <w:p>
      <w:pPr>
        <w:widowControl/>
      </w:pPr>
      <w:bookmarkStart w:id="1925" w:name="passage-vii-14-1"/>
      <w:bookmarkEnd w:id="1925"/>
      <w:r>
        <w:rPr>
          <w:b/>
          <w:i w:val="0"/>
        </w:rPr>
        <w:t>VII.14.1</w:t>
      </w:r>
      <w:r>
        <w:rPr>
          <w:b/>
          <w:i w:val="0"/>
        </w:rPr>
        <w:t>, source pp. 278–279.</w:t>
      </w:r>
      <w:r>
        <w:rPr>
          <w:b w:val="0"/>
          <w:i w:val="0"/>
        </w:rPr>
        <w:t xml:space="preserve"> Articles: </w:t>
      </w:r>
      <w:hyperlink w:anchor="vii-harmony-strings">
        <w:r>
          <w:rPr>
            <w:color w:val="000000"/>
          </w:rPr>
          <w:t xml:space="preserve">Harmony and the strings</w:t>
        </w:r>
      </w:hyperlink>
      <w:r>
        <w:rPr>
          <w:b w:val="0"/>
          <w:i w:val="0"/>
        </w:rPr>
        <w:t xml:space="preserve">; </w:t>
      </w:r>
      <w:hyperlink w:anchor="vii-moral-concord">
        <w:r>
          <w:rPr>
            <w:color w:val="000000"/>
          </w:rPr>
          <w:t xml:space="preserve">Moral concord and the robber</w:t>
        </w:r>
      </w:hyperlink>
      <w:r>
        <w:rPr>
          <w:b w:val="0"/>
          <w:i w:val="0"/>
        </w:rPr>
        <w:t xml:space="preserve">. Vocabulary: </w:t>
      </w:r>
      <w:hyperlink w:anchor="latin-record-0063">
        <w:r>
          <w:rPr>
            <w:color w:val="000000"/>
          </w:rPr>
          <w:t xml:space="preserve">aggredi / spirare</w:t>
        </w:r>
      </w:hyperlink>
      <w:r>
        <w:rPr>
          <w:b w:val="0"/>
          <w:i w:val="0"/>
        </w:rPr>
        <w:t xml:space="preserve">; </w:t>
      </w:r>
      <w:hyperlink w:anchor="latin-record-0271">
        <w:r>
          <w:rPr>
            <w:color w:val="000000"/>
          </w:rPr>
          <w:t xml:space="preserve">concentus / concinere</w:t>
        </w:r>
      </w:hyperlink>
      <w:r>
        <w:rPr>
          <w:b w:val="0"/>
          <w:i w:val="0"/>
        </w:rPr>
        <w:t xml:space="preserve">; </w:t>
      </w:r>
      <w:hyperlink w:anchor="latin-record-0281">
        <w:r>
          <w:rPr>
            <w:color w:val="000000"/>
          </w:rPr>
          <w:t xml:space="preserve">concoquere / generare prolem</w:t>
        </w:r>
      </w:hyperlink>
      <w:r>
        <w:rPr>
          <w:b w:val="0"/>
          <w:i w:val="0"/>
        </w:rPr>
        <w:t xml:space="preserve">; </w:t>
      </w:r>
      <w:hyperlink w:anchor="latin-record-0400">
        <w:r>
          <w:rPr>
            <w:color w:val="000000"/>
          </w:rPr>
          <w:t xml:space="preserve">dissentire / pugnare / appetitus</w:t>
        </w:r>
      </w:hyperlink>
      <w:r>
        <w:rPr>
          <w:b w:val="0"/>
          <w:i w:val="0"/>
        </w:rPr>
        <w:t xml:space="preserve">; </w:t>
      </w:r>
      <w:hyperlink w:anchor="latin-record-0684">
        <w:r>
          <w:rPr>
            <w:color w:val="000000"/>
          </w:rPr>
          <w:t xml:space="preserve">invenire / reminisci / loqui</w:t>
        </w:r>
      </w:hyperlink>
      <w:r>
        <w:rPr>
          <w:b w:val="0"/>
          <w:i w:val="0"/>
        </w:rPr>
        <w:t xml:space="preserve">; </w:t>
      </w:r>
      <w:hyperlink w:anchor="latin-record-0742">
        <w:r>
          <w:rPr>
            <w:color w:val="000000"/>
          </w:rPr>
          <w:t xml:space="preserve">magis anima / magis vita</w:t>
        </w:r>
      </w:hyperlink>
      <w:r>
        <w:rPr>
          <w:b w:val="0"/>
          <w:i w:val="0"/>
        </w:rPr>
        <w:t xml:space="preserve">; </w:t>
      </w:r>
      <w:hyperlink w:anchor="latin-record-0837">
        <w:r>
          <w:rPr>
            <w:color w:val="000000"/>
          </w:rPr>
          <w:t xml:space="preserve">nequam / probus / iustus / latro</w:t>
        </w:r>
      </w:hyperlink>
      <w:r>
        <w:rPr>
          <w:b w:val="0"/>
          <w:i w:val="0"/>
        </w:rPr>
        <w:t xml:space="preserve">; </w:t>
      </w:r>
      <w:hyperlink w:anchor="latin-record-1272">
        <w:r>
          <w:rPr>
            <w:color w:val="000000"/>
          </w:rPr>
          <w:t xml:space="preserve">sustinere / vibrare</w:t>
        </w:r>
      </w:hyperlink>
      <w:r>
        <w:rPr>
          <w:b w:val="0"/>
          <w:i w:val="0"/>
        </w:rPr>
        <w:t xml:space="preserve">; </w:t>
      </w:r>
      <w:hyperlink w:anchor="latin-record-1378">
        <w:r>
          <w:rPr>
            <w:color w:val="000000"/>
          </w:rPr>
          <w:t xml:space="preserve">vivax / audens / robustus</w:t>
        </w:r>
      </w:hyperlink>
      <w:r>
        <w:rPr>
          <w:b w:val="0"/>
          <w:i w:val="0"/>
        </w:rPr>
        <w:t>.</w:t>
      </w:r>
    </w:p>
    <w:p>
      <w:pPr>
        <w:pStyle w:val="Heading2"/>
      </w:pPr>
      <w:bookmarkStart w:id="1926" w:name="chapter-vii.15"/>
      <w:r>
        <w:rPr>
          <w:b w:val="0"/>
          <w:i w:val="0"/>
        </w:rPr>
        <w:t>Chapter VII.15</w:t>
      </w:r>
      <w:bookmarkEnd w:id="1926"/>
    </w:p>
    <w:p>
      <w:pPr>
        <w:widowControl/>
      </w:pPr>
      <w:bookmarkStart w:id="1927" w:name="passage-vii-15-1"/>
      <w:bookmarkEnd w:id="1927"/>
      <w:r>
        <w:rPr>
          <w:b/>
          <w:i w:val="0"/>
        </w:rPr>
        <w:t>VII.15.1</w:t>
      </w:r>
      <w:r>
        <w:rPr>
          <w:b/>
          <w:i w:val="0"/>
        </w:rPr>
        <w:t>, source pp. 280–281.</w:t>
      </w:r>
      <w:r>
        <w:rPr>
          <w:b w:val="0"/>
          <w:i w:val="0"/>
        </w:rPr>
        <w:t xml:space="preserve"> Articles: </w:t>
      </w:r>
      <w:hyperlink w:anchor="vii-discord-soul">
        <w:r>
          <w:rPr>
            <w:color w:val="000000"/>
          </w:rPr>
          <w:t xml:space="preserve">Discord and the soul’s persistence</w:t>
        </w:r>
      </w:hyperlink>
      <w:r>
        <w:rPr>
          <w:b w:val="0"/>
          <w:i w:val="0"/>
        </w:rPr>
        <w:t xml:space="preserve">; </w:t>
      </w:r>
      <w:hyperlink w:anchor="vii-moral-concord">
        <w:r>
          <w:rPr>
            <w:color w:val="000000"/>
          </w:rPr>
          <w:t xml:space="preserve">Moral concord and the robber</w:t>
        </w:r>
      </w:hyperlink>
      <w:r>
        <w:rPr>
          <w:b w:val="0"/>
          <w:i w:val="0"/>
        </w:rPr>
        <w:t xml:space="preserve">. Vocabulary: </w:t>
      </w:r>
      <w:hyperlink w:anchor="latin-record-0093">
        <w:r>
          <w:rPr>
            <w:color w:val="000000"/>
          </w:rPr>
          <w:t xml:space="preserve">anima / animus</w:t>
        </w:r>
      </w:hyperlink>
      <w:r>
        <w:rPr>
          <w:b w:val="0"/>
          <w:i w:val="0"/>
        </w:rPr>
        <w:t xml:space="preserve">; </w:t>
      </w:r>
      <w:hyperlink w:anchor="latin-record-0104">
        <w:r>
          <w:rPr>
            <w:color w:val="000000"/>
          </w:rPr>
          <w:t xml:space="preserve">animi mortalium</w:t>
        </w:r>
      </w:hyperlink>
      <w:r>
        <w:rPr>
          <w:b w:val="0"/>
          <w:i w:val="0"/>
        </w:rPr>
        <w:t xml:space="preserve">; </w:t>
      </w:r>
      <w:hyperlink w:anchor="latin-record-0401">
        <w:r>
          <w:rPr>
            <w:color w:val="000000"/>
          </w:rPr>
          <w:t xml:space="preserve">dissonantia / discordia / dissensio</w:t>
        </w:r>
      </w:hyperlink>
      <w:r>
        <w:rPr>
          <w:b w:val="0"/>
          <w:i w:val="0"/>
        </w:rPr>
        <w:t xml:space="preserve">; </w:t>
      </w:r>
      <w:hyperlink w:anchor="latin-record-0824">
        <w:r>
          <w:rPr>
            <w:color w:val="000000"/>
          </w:rPr>
          <w:t xml:space="preserve">natura / naturalis</w:t>
        </w:r>
      </w:hyperlink>
      <w:r>
        <w:rPr>
          <w:b w:val="0"/>
          <w:i w:val="0"/>
        </w:rPr>
        <w:t xml:space="preserve">; </w:t>
      </w:r>
      <w:hyperlink w:anchor="latin-record-0830">
        <w:r>
          <w:rPr>
            <w:color w:val="000000"/>
          </w:rPr>
          <w:t xml:space="preserve">naturalis habitus / dissipare</w:t>
        </w:r>
      </w:hyperlink>
      <w:r>
        <w:rPr>
          <w:b w:val="0"/>
          <w:i w:val="0"/>
        </w:rPr>
        <w:t xml:space="preserve">; </w:t>
      </w:r>
      <w:hyperlink w:anchor="latin-record-0864">
        <w:r>
          <w:rPr>
            <w:color w:val="000000"/>
          </w:rPr>
          <w:t xml:space="preserve">opinio / affectus / distrahere</w:t>
        </w:r>
      </w:hyperlink>
      <w:r>
        <w:rPr>
          <w:b w:val="0"/>
          <w:i w:val="0"/>
        </w:rPr>
        <w:t xml:space="preserve">; </w:t>
      </w:r>
      <w:hyperlink w:anchor="latin-record-0929">
        <w:r>
          <w:rPr>
            <w:color w:val="000000"/>
          </w:rPr>
          <w:t xml:space="preserve">permanere / perseverare</w:t>
        </w:r>
      </w:hyperlink>
      <w:r>
        <w:rPr>
          <w:b w:val="0"/>
          <w:i w:val="0"/>
        </w:rPr>
        <w:t xml:space="preserve">; </w:t>
      </w:r>
      <w:hyperlink w:anchor="latin-record-1018">
        <w:r>
          <w:rPr>
            <w:color w:val="000000"/>
          </w:rPr>
          <w:t xml:space="preserve">proprius / intimus / alienior</w:t>
        </w:r>
      </w:hyperlink>
      <w:r>
        <w:rPr>
          <w:b w:val="0"/>
          <w:i w:val="0"/>
        </w:rPr>
        <w:t xml:space="preserve">; </w:t>
      </w:r>
      <w:hyperlink w:anchor="latin-record-1197">
        <w:r>
          <w:rPr>
            <w:color w:val="000000"/>
          </w:rPr>
          <w:t xml:space="preserve">soli et omni</w:t>
        </w:r>
      </w:hyperlink>
      <w:r>
        <w:rPr>
          <w:b w:val="0"/>
          <w:i w:val="0"/>
        </w:rPr>
        <w:t>.</w:t>
      </w:r>
    </w:p>
    <w:p>
      <w:pPr>
        <w:pStyle w:val="Heading2"/>
      </w:pPr>
      <w:bookmarkStart w:id="1928" w:name="chapter-viii.1"/>
      <w:r>
        <w:rPr>
          <w:b w:val="0"/>
          <w:i w:val="0"/>
        </w:rPr>
        <w:t>Chapter VIII.1</w:t>
      </w:r>
      <w:bookmarkEnd w:id="1928"/>
    </w:p>
    <w:p>
      <w:pPr>
        <w:widowControl/>
      </w:pPr>
      <w:bookmarkStart w:id="1929" w:name="passage-viii-1-1"/>
      <w:bookmarkEnd w:id="1929"/>
      <w:r>
        <w:rPr>
          <w:b/>
          <w:i w:val="0"/>
        </w:rPr>
        <w:t>VIII.1.1</w:t>
      </w:r>
      <w:r>
        <w:rPr>
          <w:b/>
          <w:i w:val="0"/>
        </w:rPr>
        <w:t>, source pp. 284–285.</w:t>
      </w:r>
      <w:r>
        <w:rPr>
          <w:b w:val="0"/>
          <w:i w:val="0"/>
        </w:rPr>
        <w:t xml:space="preserve"> Articles: </w:t>
      </w:r>
      <w:hyperlink w:anchor="viii-four-stages">
        <w:r>
          <w:rPr>
            <w:color w:val="000000"/>
          </w:rPr>
          <w:t xml:space="preserve">Four stages of cognition</w:t>
        </w:r>
      </w:hyperlink>
      <w:r>
        <w:rPr>
          <w:b w:val="0"/>
          <w:i w:val="0"/>
        </w:rPr>
        <w:t xml:space="preserve">; </w:t>
      </w:r>
      <w:hyperlink w:anchor="viii-images-intentions">
        <w:r>
          <w:rPr>
            <w:color w:val="000000"/>
          </w:rPr>
          <w:t xml:space="preserve">Images, intentions, and conjecturing substance</w:t>
        </w:r>
      </w:hyperlink>
      <w:r>
        <w:rPr>
          <w:b w:val="0"/>
          <w:i w:val="0"/>
        </w:rPr>
        <w:t xml:space="preserve">. Vocabulary: </w:t>
      </w:r>
      <w:hyperlink w:anchor="latin-record-0017">
        <w:r>
          <w:rPr>
            <w:color w:val="000000"/>
          </w:rPr>
          <w:t xml:space="preserve">accipere / suscipere</w:t>
        </w:r>
      </w:hyperlink>
      <w:r>
        <w:rPr>
          <w:b w:val="0"/>
          <w:i w:val="0"/>
        </w:rPr>
        <w:t xml:space="preserve">; </w:t>
      </w:r>
      <w:hyperlink w:anchor="latin-record-0062">
        <w:r>
          <w:rPr>
            <w:color w:val="000000"/>
          </w:rPr>
          <w:t xml:space="preserve">aggredi / exponere / ostendere</w:t>
        </w:r>
      </w:hyperlink>
      <w:r>
        <w:rPr>
          <w:b w:val="0"/>
          <w:i w:val="0"/>
        </w:rPr>
        <w:t xml:space="preserve">; </w:t>
      </w:r>
      <w:hyperlink w:anchor="latin-record-0065">
        <w:r>
          <w:rPr>
            <w:color w:val="000000"/>
          </w:rPr>
          <w:t xml:space="preserve">agnoscere / cognoscere</w:t>
        </w:r>
      </w:hyperlink>
      <w:r>
        <w:rPr>
          <w:b w:val="0"/>
          <w:i w:val="0"/>
        </w:rPr>
        <w:t xml:space="preserve">; </w:t>
      </w:r>
      <w:hyperlink w:anchor="latin-record-0079">
        <w:r>
          <w:rPr>
            <w:color w:val="000000"/>
          </w:rPr>
          <w:t xml:space="preserve">amicitia / disciplina</w:t>
        </w:r>
      </w:hyperlink>
      <w:r>
        <w:rPr>
          <w:b w:val="0"/>
          <w:i w:val="0"/>
        </w:rPr>
        <w:t xml:space="preserve">; </w:t>
      </w:r>
      <w:hyperlink w:anchor="latin-record-0133">
        <w:r>
          <w:rPr>
            <w:color w:val="000000"/>
          </w:rPr>
          <w:t xml:space="preserve">ascendere / surgere / evolare</w:t>
        </w:r>
      </w:hyperlink>
      <w:r>
        <w:rPr>
          <w:b w:val="0"/>
          <w:i w:val="0"/>
        </w:rPr>
        <w:t xml:space="preserve">; </w:t>
      </w:r>
      <w:hyperlink w:anchor="latin-record-0143">
        <w:r>
          <w:rPr>
            <w:color w:val="000000"/>
          </w:rPr>
          <w:t xml:space="preserve">attingere</w:t>
        </w:r>
      </w:hyperlink>
      <w:r>
        <w:rPr>
          <w:b w:val="0"/>
          <w:i w:val="0"/>
        </w:rPr>
        <w:t xml:space="preserve">; </w:t>
      </w:r>
      <w:hyperlink w:anchor="latin-record-0152">
        <w:r>
          <w:rPr>
            <w:color w:val="000000"/>
          </w:rPr>
          <w:t xml:space="preserve">augurari / suspicari / somniare</w:t>
        </w:r>
      </w:hyperlink>
      <w:r>
        <w:rPr>
          <w:b w:val="0"/>
          <w:i w:val="0"/>
        </w:rPr>
        <w:t xml:space="preserve">; </w:t>
      </w:r>
      <w:hyperlink w:anchor="latin-record-0167">
        <w:r>
          <w:rPr>
            <w:color w:val="000000"/>
          </w:rPr>
          <w:t xml:space="preserve">bonum / malum</w:t>
        </w:r>
      </w:hyperlink>
      <w:r>
        <w:rPr>
          <w:b w:val="0"/>
          <w:i w:val="0"/>
        </w:rPr>
        <w:t xml:space="preserve">; </w:t>
      </w:r>
      <w:hyperlink w:anchor="latin-record-0226">
        <w:r>
          <w:rPr>
            <w:color w:val="000000"/>
          </w:rPr>
          <w:t xml:space="preserve">cogitare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33">
        <w:r>
          <w:rPr>
            <w:color w:val="000000"/>
          </w:rPr>
          <w:t xml:space="preserve">colligere</w:t>
        </w:r>
      </w:hyperlink>
      <w:r>
        <w:rPr>
          <w:b w:val="0"/>
          <w:i w:val="0"/>
        </w:rPr>
        <w:t xml:space="preserve">; </w:t>
      </w:r>
      <w:hyperlink w:anchor="latin-record-0272">
        <w:r>
          <w:rPr>
            <w:color w:val="000000"/>
          </w:rPr>
          <w:t xml:space="preserve">conceptus / conceptio</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1">
        <w:r>
          <w:rPr>
            <w:color w:val="000000"/>
          </w:rPr>
          <w:t xml:space="preserve">designare / discernere</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546">
        <w:r>
          <w:rPr>
            <w:color w:val="000000"/>
          </w:rPr>
          <w:t xml:space="preserve">gradus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590">
        <w:r>
          <w:rPr>
            <w:color w:val="000000"/>
          </w:rPr>
          <w:t xml:space="preserve">imaginatio</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63">
        <w:r>
          <w:rPr>
            <w:color w:val="000000"/>
          </w:rPr>
          <w:t xml:space="preserve">intelligentia</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69">
        <w:r>
          <w:rPr>
            <w:color w:val="000000"/>
          </w:rPr>
          <w:t xml:space="preserve">intentio</w:t>
        </w:r>
      </w:hyperlink>
      <w:r>
        <w:rPr>
          <w:b w:val="0"/>
          <w:i w:val="0"/>
        </w:rPr>
        <w:t xml:space="preserve">; </w:t>
      </w:r>
      <w:hyperlink w:anchor="latin-record-0692">
        <w:r>
          <w:rPr>
            <w:color w:val="000000"/>
          </w:rPr>
          <w:t xml:space="preserve">iudicare / pronuntiare</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90">
        <w:r>
          <w:rPr>
            <w:color w:val="000000"/>
          </w:rPr>
          <w:t xml:space="preserve">modus / pactum</w:t>
        </w:r>
      </w:hyperlink>
      <w:r>
        <w:rPr>
          <w:b w:val="0"/>
          <w:i w:val="0"/>
        </w:rPr>
        <w:t xml:space="preserve">; </w:t>
      </w:r>
      <w:hyperlink w:anchor="latin-record-0865">
        <w:r>
          <w:rPr>
            <w:color w:val="000000"/>
          </w:rPr>
          <w:t xml:space="preserve">opinio / sententia</w:t>
        </w:r>
      </w:hyperlink>
      <w:r>
        <w:rPr>
          <w:b w:val="0"/>
          <w:i w:val="0"/>
        </w:rPr>
        <w:t xml:space="preserve">; </w:t>
      </w:r>
      <w:hyperlink w:anchor="latin-record-0945">
        <w:r>
          <w:rPr>
            <w:color w:val="000000"/>
          </w:rPr>
          <w:t xml:space="preserve">phantasia</w:t>
        </w:r>
      </w:hyperlink>
      <w:r>
        <w:rPr>
          <w:b w:val="0"/>
          <w:i w:val="0"/>
        </w:rPr>
        <w:t xml:space="preserve">; </w:t>
      </w:r>
      <w:hyperlink w:anchor="latin-record-0980">
        <w:r>
          <w:rPr>
            <w:color w:val="000000"/>
          </w:rPr>
          <w:t xml:space="preserve">praesentia / absentia</w:t>
        </w:r>
      </w:hyperlink>
      <w:r>
        <w:rPr>
          <w:b w:val="0"/>
          <w:i w:val="0"/>
        </w:rPr>
        <w:t xml:space="preserve">; </w:t>
      </w:r>
      <w:hyperlink w:anchor="latin-record-1003">
        <w:r>
          <w:rPr>
            <w:color w:val="000000"/>
          </w:rPr>
          <w:t xml:space="preserve">procerus / frons / humerus / glaucus / aquilinus</w:t>
        </w:r>
      </w:hyperlink>
      <w:r>
        <w:rPr>
          <w:b w:val="0"/>
          <w:i w:val="0"/>
        </w:rPr>
        <w:t xml:space="preserve">; </w:t>
      </w:r>
      <w:hyperlink w:anchor="latin-record-1024">
        <w:r>
          <w:rPr>
            <w:color w:val="000000"/>
          </w:rPr>
          <w:t xml:space="preserve">pulchritudo / bonitas</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112">
        <w:r>
          <w:rPr>
            <w:color w:val="000000"/>
          </w:rPr>
          <w:t xml:space="preserve">res</w:t>
        </w:r>
      </w:hyperlink>
      <w:r>
        <w:rPr>
          <w:b w:val="0"/>
          <w:i w:val="0"/>
        </w:rPr>
        <w:t xml:space="preserve">; </w:t>
      </w:r>
      <w:hyperlink w:anchor="latin-record-1130">
        <w:r>
          <w:rPr>
            <w:color w:val="000000"/>
          </w:rPr>
          <w:t xml:space="preserve">sapere</w:t>
        </w:r>
      </w:hyperlink>
      <w:r>
        <w:rPr>
          <w:b w:val="0"/>
          <w:i w:val="0"/>
        </w:rPr>
        <w:t xml:space="preserve">; </w:t>
      </w:r>
      <w:hyperlink w:anchor="latin-record-1156">
        <w:r>
          <w:rPr>
            <w:color w:val="000000"/>
          </w:rPr>
          <w:t xml:space="preserve">sensus</w:t>
        </w:r>
      </w:hyperlink>
      <w:r>
        <w:rPr>
          <w:b w:val="0"/>
          <w:i w:val="0"/>
        </w:rPr>
        <w:t xml:space="preserve">; </w:t>
      </w:r>
      <w:hyperlink w:anchor="latin-record-1187">
        <w:r>
          <w:rPr>
            <w:color w:val="000000"/>
          </w:rPr>
          <w:t xml:space="preserve">simulacrum / imago / effigies</w:t>
        </w:r>
      </w:hyperlink>
      <w:r>
        <w:rPr>
          <w:b w:val="0"/>
          <w:i w:val="0"/>
        </w:rPr>
        <w:t xml:space="preserve">; </w:t>
      </w:r>
      <w:hyperlink w:anchor="latin-record-1194">
        <w:r>
          <w:rPr>
            <w:color w:val="000000"/>
          </w:rPr>
          <w:t xml:space="preserve">Socrates / Plato</w:t>
        </w:r>
      </w:hyperlink>
      <w:r>
        <w:rPr>
          <w:b w:val="0"/>
          <w:i w:val="0"/>
        </w:rPr>
        <w:t xml:space="preserve">; </w:t>
      </w:r>
      <w:hyperlink w:anchor="latin-record-1226">
        <w:r>
          <w:rPr>
            <w:color w:val="000000"/>
          </w:rPr>
          <w:t xml:space="preserve">spiritus (incorporeal)</w:t>
        </w:r>
      </w:hyperlink>
      <w:r>
        <w:rPr>
          <w:b w:val="0"/>
          <w:i w:val="0"/>
        </w:rPr>
        <w:t xml:space="preserve">; </w:t>
      </w:r>
      <w:hyperlink w:anchor="latin-record-1245">
        <w:r>
          <w:rPr>
            <w:color w:val="000000"/>
          </w:rPr>
          <w:t xml:space="preserve">substantia</w:t>
        </w:r>
      </w:hyperlink>
      <w:r>
        <w:rPr>
          <w:b w:val="0"/>
          <w:i w:val="0"/>
        </w:rPr>
        <w:t xml:space="preserve">; </w:t>
      </w:r>
      <w:hyperlink w:anchor="latin-record-1261">
        <w:r>
          <w:rPr>
            <w:color w:val="000000"/>
          </w:rPr>
          <w:t xml:space="preserve">superare / excedere / excellere</w:t>
        </w:r>
      </w:hyperlink>
      <w:r>
        <w:rPr>
          <w:b w:val="0"/>
          <w:i w:val="0"/>
        </w:rPr>
        <w:t xml:space="preserve">; </w:t>
      </w:r>
      <w:hyperlink w:anchor="latin-record-1263">
        <w:r>
          <w:rPr>
            <w:color w:val="000000"/>
          </w:rPr>
          <w:t xml:space="preserve">superficies / pictura</w:t>
        </w:r>
      </w:hyperlink>
      <w:r>
        <w:rPr>
          <w:b w:val="0"/>
          <w:i w:val="0"/>
        </w:rPr>
        <w:t xml:space="preserve">; </w:t>
      </w:r>
      <w:hyperlink w:anchor="latin-record-1326">
        <w:r>
          <w:rPr>
            <w:color w:val="000000"/>
          </w:rPr>
          <w:t xml:space="preserve">ut quidam putant / ut Platonici opinantur</w:t>
        </w:r>
      </w:hyperlink>
      <w:r>
        <w:rPr>
          <w:b w:val="0"/>
          <w:i w:val="0"/>
        </w:rPr>
        <w:t xml:space="preserve">; </w:t>
      </w:r>
      <w:hyperlink w:anchor="latin-record-1341">
        <w:r>
          <w:rPr>
            <w:color w:val="000000"/>
          </w:rPr>
          <w:t xml:space="preserve">versari / volutari / vagari</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30" w:name="passage-viii-1-2"/>
      <w:bookmarkEnd w:id="1930"/>
      <w:r>
        <w:rPr>
          <w:b/>
          <w:i w:val="0"/>
        </w:rPr>
        <w:t>VIII.1.2</w:t>
      </w:r>
      <w:r>
        <w:rPr>
          <w:b/>
          <w:i w:val="0"/>
        </w:rPr>
        <w:t>, source pp. 286–287.</w:t>
      </w:r>
      <w:r>
        <w:rPr>
          <w:b w:val="0"/>
          <w:i w:val="0"/>
        </w:rPr>
        <w:t xml:space="preserve"> Articles: </w:t>
      </w:r>
      <w:hyperlink w:anchor="viii-universal-idea">
        <w:r>
          <w:rPr>
            <w:color w:val="000000"/>
          </w:rPr>
          <w:t xml:space="preserve">Common nature, participation, and the divine Idea</w:t>
        </w:r>
      </w:hyperlink>
      <w:r>
        <w:rPr>
          <w:b w:val="0"/>
          <w:i w:val="0"/>
        </w:rPr>
        <w:t xml:space="preserve">; </w:t>
      </w:r>
      <w:hyperlink w:anchor="viii-four-stages">
        <w:r>
          <w:rPr>
            <w:color w:val="000000"/>
          </w:rPr>
          <w:t xml:space="preserve">Four stages of cognition</w:t>
        </w:r>
      </w:hyperlink>
      <w:r>
        <w:rPr>
          <w:b w:val="0"/>
          <w:i w:val="0"/>
        </w:rPr>
        <w:t xml:space="preserve">; </w:t>
      </w:r>
      <w:hyperlink w:anchor="viii-images-intentions">
        <w:r>
          <w:rPr>
            <w:color w:val="000000"/>
          </w:rPr>
          <w:t xml:space="preserve">Images, intentions, and conjecturing substance</w:t>
        </w:r>
      </w:hyperlink>
      <w:r>
        <w:rPr>
          <w:b w:val="0"/>
          <w:i w:val="0"/>
        </w:rPr>
        <w:t xml:space="preserve">. Vocabulary: </w:t>
      </w:r>
      <w:hyperlink w:anchor="latin-record-0065">
        <w:r>
          <w:rPr>
            <w:color w:val="000000"/>
          </w:rPr>
          <w:t xml:space="preserve">agnoscere / cognoscere</w:t>
        </w:r>
      </w:hyperlink>
      <w:r>
        <w:rPr>
          <w:b w:val="0"/>
          <w:i w:val="0"/>
        </w:rPr>
        <w:t xml:space="preserve">; </w:t>
      </w:r>
      <w:hyperlink w:anchor="latin-record-0079">
        <w:r>
          <w:rPr>
            <w:color w:val="000000"/>
          </w:rPr>
          <w:t xml:space="preserve">amicitia / disciplina</w:t>
        </w:r>
      </w:hyperlink>
      <w:r>
        <w:rPr>
          <w:b w:val="0"/>
          <w:i w:val="0"/>
        </w:rPr>
        <w:t xml:space="preserve">; </w:t>
      </w:r>
      <w:hyperlink w:anchor="latin-record-0106">
        <w:r>
          <w:rPr>
            <w:color w:val="000000"/>
          </w:rPr>
          <w:t xml:space="preserve">Antisthenes / Xenophon</w:t>
        </w:r>
      </w:hyperlink>
      <w:r>
        <w:rPr>
          <w:b w:val="0"/>
          <w:i w:val="0"/>
        </w:rPr>
        <w:t xml:space="preserve">; </w:t>
      </w:r>
      <w:hyperlink w:anchor="latin-record-0133">
        <w:r>
          <w:rPr>
            <w:color w:val="000000"/>
          </w:rPr>
          <w:t xml:space="preserve">ascendere / surgere / evolare</w:t>
        </w:r>
      </w:hyperlink>
      <w:r>
        <w:rPr>
          <w:b w:val="0"/>
          <w:i w:val="0"/>
        </w:rPr>
        <w:t xml:space="preserve">; </w:t>
      </w:r>
      <w:hyperlink w:anchor="latin-record-0167">
        <w:r>
          <w:rPr>
            <w:color w:val="000000"/>
          </w:rPr>
          <w:t xml:space="preserve">bonum / malum</w:t>
        </w:r>
      </w:hyperlink>
      <w:r>
        <w:rPr>
          <w:b w:val="0"/>
          <w:i w:val="0"/>
        </w:rPr>
        <w:t xml:space="preserve">; </w:t>
      </w:r>
      <w:hyperlink w:anchor="latin-record-0244">
        <w:r>
          <w:rPr>
            <w:color w:val="000000"/>
          </w:rPr>
          <w:t xml:space="preserve">communicare / infundere</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283">
        <w:r>
          <w:rPr>
            <w:color w:val="000000"/>
          </w:rPr>
          <w:t xml:space="preserve">condicio</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68">
        <w:r>
          <w:rPr>
            <w:color w:val="000000"/>
          </w:rPr>
          <w:t xml:space="preserve">depingere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65">
        <w:r>
          <w:rPr>
            <w:color w:val="000000"/>
          </w:rPr>
          <w:t xml:space="preserve">homo / humanus</w:t>
        </w:r>
      </w:hyperlink>
      <w:r>
        <w:rPr>
          <w:b w:val="0"/>
          <w:i w:val="0"/>
        </w:rPr>
        <w:t xml:space="preserve">; </w:t>
      </w:r>
      <w:hyperlink w:anchor="latin-record-0569">
        <w:r>
          <w:rPr>
            <w:color w:val="000000"/>
          </w:rPr>
          <w:t xml:space="preserve">humanitas</w:t>
        </w:r>
      </w:hyperlink>
      <w:r>
        <w:rPr>
          <w:b w:val="0"/>
          <w:i w:val="0"/>
        </w:rPr>
        <w:t xml:space="preserve">; </w:t>
      </w:r>
      <w:hyperlink w:anchor="latin-record-0577">
        <w:r>
          <w:rPr>
            <w:color w:val="000000"/>
          </w:rPr>
          <w:t xml:space="preserve">idea</w:t>
        </w:r>
      </w:hyperlink>
      <w:r>
        <w:rPr>
          <w:b w:val="0"/>
          <w:i w:val="0"/>
        </w:rPr>
        <w:t xml:space="preserve">; </w:t>
      </w:r>
      <w:hyperlink w:anchor="latin-record-0611">
        <w:r>
          <w:rPr>
            <w:color w:val="000000"/>
          </w:rPr>
          <w:t xml:space="preserve">in se / in alio / in multis</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43">
        <w:r>
          <w:rPr>
            <w:color w:val="000000"/>
          </w:rPr>
          <w:t xml:space="preserve">innumerabilis</w:t>
        </w:r>
      </w:hyperlink>
      <w:r>
        <w:rPr>
          <w:b w:val="0"/>
          <w:i w:val="0"/>
        </w:rPr>
        <w:t xml:space="preserve">; </w:t>
      </w:r>
      <w:hyperlink w:anchor="latin-record-0660">
        <w:r>
          <w:rPr>
            <w:color w:val="000000"/>
          </w:rPr>
          <w:t xml:space="preserve">intellectus</w:t>
        </w:r>
      </w:hyperlink>
      <w:r>
        <w:rPr>
          <w:b w:val="0"/>
          <w:i w:val="0"/>
        </w:rPr>
        <w:t xml:space="preserve">; </w:t>
      </w:r>
      <w:hyperlink w:anchor="latin-record-0663">
        <w:r>
          <w:rPr>
            <w:color w:val="000000"/>
          </w:rPr>
          <w:t xml:space="preserve">intelligentia</w:t>
        </w:r>
      </w:hyperlink>
      <w:r>
        <w:rPr>
          <w:b w:val="0"/>
          <w:i w:val="0"/>
        </w:rPr>
        <w:t xml:space="preserve">; </w:t>
      </w:r>
      <w:hyperlink w:anchor="latin-record-0669">
        <w:r>
          <w:rPr>
            <w:color w:val="000000"/>
          </w:rPr>
          <w:t xml:space="preserve">intentio</w:t>
        </w:r>
      </w:hyperlink>
      <w:r>
        <w:rPr>
          <w:b w:val="0"/>
          <w:i w:val="0"/>
        </w:rPr>
        <w:t xml:space="preserve">; </w:t>
      </w:r>
      <w:hyperlink w:anchor="latin-record-0721">
        <w:r>
          <w:rPr>
            <w:color w:val="000000"/>
          </w:rPr>
          <w:t xml:space="preserve">locus / situs / tempus</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25">
        <w:r>
          <w:rPr>
            <w:color w:val="000000"/>
          </w:rPr>
          <w:t xml:space="preserve">natura communis</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98">
        <w:r>
          <w:rPr>
            <w:color w:val="000000"/>
          </w:rPr>
          <w:t xml:space="preserve">participatio</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0935">
        <w:r>
          <w:rPr>
            <w:color w:val="000000"/>
          </w:rPr>
          <w:t xml:space="preserve">persona</w:t>
        </w:r>
      </w:hyperlink>
      <w:r>
        <w:rPr>
          <w:b w:val="0"/>
          <w:i w:val="0"/>
        </w:rPr>
        <w:t xml:space="preserve">; </w:t>
      </w:r>
      <w:hyperlink w:anchor="latin-record-0945">
        <w:r>
          <w:rPr>
            <w:color w:val="000000"/>
          </w:rPr>
          <w:t xml:space="preserve">phantasia</w:t>
        </w:r>
      </w:hyperlink>
      <w:r>
        <w:rPr>
          <w:b w:val="0"/>
          <w:i w:val="0"/>
        </w:rPr>
        <w:t xml:space="preserve">; </w:t>
      </w:r>
      <w:hyperlink w:anchor="latin-record-1016">
        <w:r>
          <w:rPr>
            <w:color w:val="000000"/>
          </w:rPr>
          <w:t xml:space="preserve">proprius</w:t>
        </w:r>
      </w:hyperlink>
      <w:r>
        <w:rPr>
          <w:b w:val="0"/>
          <w:i w:val="0"/>
        </w:rPr>
        <w:t xml:space="preserve">; </w:t>
      </w:r>
      <w:hyperlink w:anchor="latin-record-1024">
        <w:r>
          <w:rPr>
            <w:color w:val="000000"/>
          </w:rPr>
          <w:t xml:space="preserve">pulchritudo / bonitas</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176">
        <w:r>
          <w:rPr>
            <w:color w:val="000000"/>
          </w:rPr>
          <w:t xml:space="preserve">similitudo</w:t>
        </w:r>
      </w:hyperlink>
      <w:r>
        <w:rPr>
          <w:b w:val="0"/>
          <w:i w:val="0"/>
        </w:rPr>
        <w:t xml:space="preserve">; </w:t>
      </w:r>
      <w:hyperlink w:anchor="latin-record-1190">
        <w:r>
          <w:rPr>
            <w:color w:val="000000"/>
          </w:rPr>
          <w:t xml:space="preserve">singularis / particularis</w:t>
        </w:r>
      </w:hyperlink>
      <w:r>
        <w:rPr>
          <w:b w:val="0"/>
          <w:i w:val="0"/>
        </w:rPr>
        <w:t xml:space="preserve">; </w:t>
      </w:r>
      <w:hyperlink w:anchor="latin-record-1194">
        <w:r>
          <w:rPr>
            <w:color w:val="000000"/>
          </w:rPr>
          <w:t xml:space="preserve">Socrates / Plato</w:t>
        </w:r>
      </w:hyperlink>
      <w:r>
        <w:rPr>
          <w:b w:val="0"/>
          <w:i w:val="0"/>
        </w:rPr>
        <w:t xml:space="preserve">; </w:t>
      </w:r>
      <w:hyperlink w:anchor="latin-record-1243">
        <w:r>
          <w:rPr>
            <w:color w:val="000000"/>
          </w:rPr>
          <w:t xml:space="preserve">subsistere / consistere</w:t>
        </w:r>
      </w:hyperlink>
      <w:r>
        <w:rPr>
          <w:b w:val="0"/>
          <w:i w:val="0"/>
        </w:rPr>
        <w:t xml:space="preserve">; </w:t>
      </w:r>
      <w:hyperlink w:anchor="latin-record-1341">
        <w:r>
          <w:rPr>
            <w:color w:val="000000"/>
          </w:rPr>
          <w:t xml:space="preserve">versari / volutari / vagari</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31" w:name="passage-viii-1-3"/>
      <w:bookmarkEnd w:id="1931"/>
      <w:r>
        <w:rPr>
          <w:b/>
          <w:i w:val="0"/>
        </w:rPr>
        <w:t>VIII.1.3</w:t>
      </w:r>
      <w:r>
        <w:rPr>
          <w:b/>
          <w:i w:val="0"/>
        </w:rPr>
        <w:t>, source pp. 288–289.</w:t>
      </w:r>
      <w:r>
        <w:rPr>
          <w:b w:val="0"/>
          <w:i w:val="0"/>
        </w:rPr>
        <w:t xml:space="preserve"> Articles: </w:t>
      </w:r>
      <w:hyperlink w:anchor="viii-universal-idea">
        <w:r>
          <w:rPr>
            <w:color w:val="000000"/>
          </w:rPr>
          <w:t xml:space="preserve">Common nature, participation, and the divine Idea</w:t>
        </w:r>
      </w:hyperlink>
      <w:r>
        <w:rPr>
          <w:b w:val="0"/>
          <w:i w:val="0"/>
        </w:rPr>
        <w:t xml:space="preserve">. Vocabulary: </w:t>
      </w:r>
      <w:hyperlink w:anchor="latin-record-0133">
        <w:r>
          <w:rPr>
            <w:color w:val="000000"/>
          </w:rPr>
          <w:t xml:space="preserve">ascendere / surgere / evolare</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197">
        <w:r>
          <w:rPr>
            <w:color w:val="000000"/>
          </w:rPr>
          <w:t xml:space="preserve">casus / casu</w:t>
        </w:r>
      </w:hyperlink>
      <w:r>
        <w:rPr>
          <w:b w:val="0"/>
          <w:i w:val="0"/>
        </w:rPr>
        <w:t xml:space="preserve">; </w:t>
      </w:r>
      <w:hyperlink w:anchor="latin-record-0198">
        <w:r>
          <w:rPr>
            <w:color w:val="000000"/>
          </w:rPr>
          <w:t xml:space="preserve">causa</w:t>
        </w:r>
      </w:hyperlink>
      <w:r>
        <w:rPr>
          <w:b w:val="0"/>
          <w:i w:val="0"/>
        </w:rPr>
        <w:t xml:space="preserve">; </w:t>
      </w:r>
      <w:hyperlink w:anchor="latin-record-0245">
        <w:r>
          <w:rPr>
            <w:color w:val="000000"/>
          </w:rPr>
          <w:t xml:space="preserve">communis (additional forms)</w:t>
        </w:r>
      </w:hyperlink>
      <w:r>
        <w:rPr>
          <w:b w:val="0"/>
          <w:i w:val="0"/>
        </w:rPr>
        <w:t xml:space="preserve">; </w:t>
      </w:r>
      <w:hyperlink w:anchor="latin-record-0277">
        <w:r>
          <w:rPr>
            <w:color w:val="000000"/>
          </w:rPr>
          <w:t xml:space="preserve">concludere / inferre / sequi</w:t>
        </w:r>
      </w:hyperlink>
      <w:r>
        <w:rPr>
          <w:b w:val="0"/>
          <w:i w:val="0"/>
        </w:rPr>
        <w:t xml:space="preserve">; </w:t>
      </w:r>
      <w:hyperlink w:anchor="latin-record-0328">
        <w:r>
          <w:rPr>
            <w:color w:val="000000"/>
          </w:rPr>
          <w:t xml:space="preserve">convenire / conciliare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76">
        <w:r>
          <w:rPr>
            <w:color w:val="000000"/>
          </w:rPr>
          <w:t xml:space="preserve">Deus / divinus</w:t>
        </w:r>
      </w:hyperlink>
      <w:r>
        <w:rPr>
          <w:b w:val="0"/>
          <w:i w:val="0"/>
        </w:rPr>
        <w:t xml:space="preserve">; </w:t>
      </w:r>
      <w:hyperlink w:anchor="latin-record-0440">
        <w:r>
          <w:rPr>
            <w:color w:val="000000"/>
          </w:rPr>
          <w:t xml:space="preserve">esse</w:t>
        </w:r>
      </w:hyperlink>
      <w:r>
        <w:rPr>
          <w:b w:val="0"/>
          <w:i w:val="0"/>
        </w:rPr>
        <w:t xml:space="preserve">; </w:t>
      </w:r>
      <w:hyperlink w:anchor="latin-record-0458">
        <w:r>
          <w:rPr>
            <w:color w:val="000000"/>
          </w:rPr>
          <w:t xml:space="preserve">exemplar / fabricare</w:t>
        </w:r>
      </w:hyperlink>
      <w:r>
        <w:rPr>
          <w:b w:val="0"/>
          <w:i w:val="0"/>
        </w:rPr>
        <w:t xml:space="preserve">; </w:t>
      </w:r>
      <w:hyperlink w:anchor="latin-record-0473">
        <w:r>
          <w:rPr>
            <w:color w:val="000000"/>
          </w:rPr>
          <w:t xml:space="preserve">facere / fieri</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65">
        <w:r>
          <w:rPr>
            <w:color w:val="000000"/>
          </w:rPr>
          <w:t xml:space="preserve">homo / humanus</w:t>
        </w:r>
      </w:hyperlink>
      <w:r>
        <w:rPr>
          <w:b w:val="0"/>
          <w:i w:val="0"/>
        </w:rPr>
        <w:t xml:space="preserve">; </w:t>
      </w:r>
      <w:hyperlink w:anchor="latin-record-0577">
        <w:r>
          <w:rPr>
            <w:color w:val="000000"/>
          </w:rPr>
          <w:t xml:space="preserve">idea</w:t>
        </w:r>
      </w:hyperlink>
      <w:r>
        <w:rPr>
          <w:b w:val="0"/>
          <w:i w:val="0"/>
        </w:rPr>
        <w:t xml:space="preserve">; </w:t>
      </w:r>
      <w:hyperlink w:anchor="latin-record-0595">
        <w:r>
          <w:rPr>
            <w:color w:val="000000"/>
          </w:rPr>
          <w:t xml:space="preserve">immo / tamen / non tamen</w:t>
        </w:r>
      </w:hyperlink>
      <w:r>
        <w:rPr>
          <w:b w:val="0"/>
          <w:i w:val="0"/>
        </w:rPr>
        <w:t xml:space="preserve">; </w:t>
      </w:r>
      <w:hyperlink w:anchor="latin-record-0658">
        <w:r>
          <w:rPr>
            <w:color w:val="000000"/>
          </w:rPr>
          <w:t xml:space="preserve">intellectualis / intelligibilis</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21">
        <w:r>
          <w:rPr>
            <w:color w:val="000000"/>
          </w:rPr>
          <w:t xml:space="preserve">locus / situs / tempus</w:t>
        </w:r>
      </w:hyperlink>
      <w:r>
        <w:rPr>
          <w:b w:val="0"/>
          <w:i w:val="0"/>
        </w:rPr>
        <w:t xml:space="preserve">; </w:t>
      </w:r>
      <w:hyperlink w:anchor="latin-record-0757">
        <w:r>
          <w:rPr>
            <w:color w:val="000000"/>
          </w:rPr>
          <w:t xml:space="preserve">materia</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11">
        <w:r>
          <w:rPr>
            <w:color w:val="000000"/>
          </w:rPr>
          <w:t xml:space="preserve">movere / immobilis</w:t>
        </w:r>
      </w:hyperlink>
      <w:r>
        <w:rPr>
          <w:b w:val="0"/>
          <w:i w:val="0"/>
        </w:rPr>
        <w:t xml:space="preserve">; </w:t>
      </w:r>
      <w:hyperlink w:anchor="latin-record-0823">
        <w:r>
          <w:rPr>
            <w:color w:val="000000"/>
          </w:rPr>
          <w:t xml:space="preserve">natura</w:t>
        </w:r>
      </w:hyperlink>
      <w:r>
        <w:rPr>
          <w:b w:val="0"/>
          <w:i w:val="0"/>
        </w:rPr>
        <w:t xml:space="preserve">; </w:t>
      </w:r>
      <w:hyperlink w:anchor="latin-record-0825">
        <w:r>
          <w:rPr>
            <w:color w:val="000000"/>
          </w:rPr>
          <w:t xml:space="preserve">natura communis</w:t>
        </w:r>
      </w:hyperlink>
      <w:r>
        <w:rPr>
          <w:b w:val="0"/>
          <w:i w:val="0"/>
        </w:rPr>
        <w:t xml:space="preserve">; </w:t>
      </w:r>
      <w:hyperlink w:anchor="latin-record-0829">
        <w:r>
          <w:rPr>
            <w:color w:val="000000"/>
          </w:rPr>
          <w:t xml:space="preserve">naturalis</w:t>
        </w:r>
      </w:hyperlink>
      <w:r>
        <w:rPr>
          <w:b w:val="0"/>
          <w:i w:val="0"/>
        </w:rPr>
        <w:t xml:space="preserve">; </w:t>
      </w:r>
      <w:hyperlink w:anchor="latin-record-0875">
        <w:r>
          <w:rPr>
            <w:color w:val="000000"/>
          </w:rPr>
          <w:t xml:space="preserve">ordinare / ordo</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0935">
        <w:r>
          <w:rPr>
            <w:color w:val="000000"/>
          </w:rPr>
          <w:t xml:space="preserve">persona</w:t>
        </w:r>
      </w:hyperlink>
      <w:r>
        <w:rPr>
          <w:b w:val="0"/>
          <w:i w:val="0"/>
        </w:rPr>
        <w:t xml:space="preserve">; </w:t>
      </w:r>
      <w:hyperlink w:anchor="latin-record-1016">
        <w:r>
          <w:rPr>
            <w:color w:val="000000"/>
          </w:rPr>
          <w:t xml:space="preserve">proprius</w:t>
        </w:r>
      </w:hyperlink>
      <w:r>
        <w:rPr>
          <w:b w:val="0"/>
          <w:i w:val="0"/>
        </w:rPr>
        <w:t xml:space="preserve">; </w:t>
      </w:r>
      <w:hyperlink w:anchor="latin-record-1243">
        <w:r>
          <w:rPr>
            <w:color w:val="000000"/>
          </w:rPr>
          <w:t xml:space="preserve">subsistere / consistere</w:t>
        </w:r>
      </w:hyperlink>
      <w:r>
        <w:rPr>
          <w:b w:val="0"/>
          <w:i w:val="0"/>
        </w:rPr>
        <w:t xml:space="preserve">; </w:t>
      </w:r>
      <w:hyperlink w:anchor="latin-record-1265">
        <w:r>
          <w:rPr>
            <w:color w:val="000000"/>
          </w:rPr>
          <w:t xml:space="preserve">supervenire</w:t>
        </w:r>
      </w:hyperlink>
      <w:r>
        <w:rPr>
          <w:b w:val="0"/>
          <w:i w:val="0"/>
        </w:rPr>
        <w:t xml:space="preserve">; </w:t>
      </w:r>
      <w:hyperlink w:anchor="latin-record-1319">
        <w:r>
          <w:rPr>
            <w:color w:val="000000"/>
          </w:rPr>
          <w:t xml:space="preserve">unitas / multitudo</w:t>
        </w:r>
      </w:hyperlink>
      <w:r>
        <w:rPr>
          <w:b w:val="0"/>
          <w:i w:val="0"/>
        </w:rPr>
        <w:t>.</w:t>
      </w:r>
    </w:p>
    <w:p>
      <w:pPr>
        <w:widowControl/>
      </w:pPr>
      <w:bookmarkStart w:id="1932" w:name="passage-viii-1-4"/>
      <w:bookmarkEnd w:id="1932"/>
      <w:r>
        <w:rPr>
          <w:b/>
          <w:i w:val="0"/>
        </w:rPr>
        <w:t>VIII.1.4</w:t>
      </w:r>
      <w:r>
        <w:rPr>
          <w:b/>
          <w:i w:val="0"/>
        </w:rPr>
        <w:t>, source pp. 290–291.</w:t>
      </w:r>
      <w:r>
        <w:rPr>
          <w:b w:val="0"/>
          <w:i w:val="0"/>
        </w:rPr>
        <w:t xml:space="preserve"> Articles: </w:t>
      </w:r>
      <w:hyperlink w:anchor="viii-universal-idea">
        <w:r>
          <w:rPr>
            <w:color w:val="000000"/>
          </w:rPr>
          <w:t xml:space="preserve">Common nature, participation, and the divine Idea</w:t>
        </w:r>
      </w:hyperlink>
      <w:r>
        <w:rPr>
          <w:b w:val="0"/>
          <w:i w:val="0"/>
        </w:rPr>
        <w:t xml:space="preserve">; </w:t>
      </w:r>
      <w:hyperlink w:anchor="viii-four-stages">
        <w:r>
          <w:rPr>
            <w:color w:val="000000"/>
          </w:rPr>
          <w:t xml:space="preserve">Four stages of cognition</w:t>
        </w:r>
      </w:hyperlink>
      <w:r>
        <w:rPr>
          <w:b w:val="0"/>
          <w:i w:val="0"/>
        </w:rPr>
        <w:t xml:space="preserve">; </w:t>
      </w:r>
      <w:hyperlink w:anchor="viii-immediate-reflexive">
        <w:r>
          <w:rPr>
            <w:color w:val="000000"/>
          </w:rPr>
          <w:t xml:space="preserve">Immediate intellection and the return to particulars</w:t>
        </w:r>
      </w:hyperlink>
      <w:r>
        <w:rPr>
          <w:b w:val="0"/>
          <w:i w:val="0"/>
        </w:rPr>
        <w:t xml:space="preserve">. Vocabulary: </w:t>
      </w:r>
      <w:hyperlink w:anchor="latin-record-0006">
        <w:r>
          <w:rPr>
            <w:color w:val="000000"/>
          </w:rPr>
          <w:t xml:space="preserve">absolutus</w:t>
        </w:r>
      </w:hyperlink>
      <w:r>
        <w:rPr>
          <w:b w:val="0"/>
          <w:i w:val="0"/>
        </w:rPr>
        <w:t xml:space="preserve">; </w:t>
      </w:r>
      <w:hyperlink w:anchor="latin-record-0121">
        <w:r>
          <w:rPr>
            <w:color w:val="000000"/>
          </w:rPr>
          <w:t xml:space="preserve">argumentatio / demonstratio</w:t>
        </w:r>
      </w:hyperlink>
      <w:r>
        <w:rPr>
          <w:b w:val="0"/>
          <w:i w:val="0"/>
        </w:rPr>
        <w:t xml:space="preserve">; </w:t>
      </w:r>
      <w:hyperlink w:anchor="latin-record-0143">
        <w:r>
          <w:rPr>
            <w:color w:val="000000"/>
          </w:rPr>
          <w:t xml:space="preserve">attingere</w:t>
        </w:r>
      </w:hyperlink>
      <w:r>
        <w:rPr>
          <w:b w:val="0"/>
          <w:i w:val="0"/>
        </w:rPr>
        <w:t xml:space="preserve">; </w:t>
      </w:r>
      <w:hyperlink w:anchor="latin-record-0209">
        <w:r>
          <w:rPr>
            <w:color w:val="000000"/>
          </w:rPr>
          <w:t xml:space="preserve">certa / certus</w:t>
        </w:r>
      </w:hyperlink>
      <w:r>
        <w:rPr>
          <w:b w:val="0"/>
          <w:i w:val="0"/>
        </w:rPr>
        <w:t xml:space="preserve">; </w:t>
      </w:r>
      <w:hyperlink w:anchor="latin-record-0226">
        <w:r>
          <w:rPr>
            <w:color w:val="000000"/>
          </w:rPr>
          <w:t xml:space="preserve">cogitare</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68">
        <w:r>
          <w:rPr>
            <w:color w:val="000000"/>
          </w:rPr>
          <w:t xml:space="preserve">depingere</w:t>
        </w:r>
      </w:hyperlink>
      <w:r>
        <w:rPr>
          <w:b w:val="0"/>
          <w:i w:val="0"/>
        </w:rPr>
        <w:t xml:space="preserve">; </w:t>
      </w:r>
      <w:hyperlink w:anchor="latin-record-0393">
        <w:r>
          <w:rPr>
            <w:color w:val="000000"/>
          </w:rPr>
          <w:t xml:space="preserve">discursus / discurrere</w:t>
        </w:r>
      </w:hyperlink>
      <w:r>
        <w:rPr>
          <w:b w:val="0"/>
          <w:i w:val="0"/>
        </w:rPr>
        <w:t xml:space="preserve">; </w:t>
      </w:r>
      <w:hyperlink w:anchor="latin-record-0565">
        <w:r>
          <w:rPr>
            <w:color w:val="000000"/>
          </w:rPr>
          <w:t xml:space="preserve">homo / humanus</w:t>
        </w:r>
      </w:hyperlink>
      <w:r>
        <w:rPr>
          <w:b w:val="0"/>
          <w:i w:val="0"/>
        </w:rPr>
        <w:t xml:space="preserve">; </w:t>
      </w:r>
      <w:hyperlink w:anchor="latin-record-0590">
        <w:r>
          <w:rPr>
            <w:color w:val="000000"/>
          </w:rPr>
          <w:t xml:space="preserve">imaginatio</w:t>
        </w:r>
      </w:hyperlink>
      <w:r>
        <w:rPr>
          <w:b w:val="0"/>
          <w:i w:val="0"/>
        </w:rPr>
        <w:t xml:space="preserve">; </w:t>
      </w:r>
      <w:hyperlink w:anchor="latin-record-0595">
        <w:r>
          <w:rPr>
            <w:color w:val="000000"/>
          </w:rPr>
          <w:t xml:space="preserve">immo / tamen / non tamen</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60">
        <w:r>
          <w:rPr>
            <w:color w:val="000000"/>
          </w:rPr>
          <w:t xml:space="preserve">intellectus</w:t>
        </w:r>
      </w:hyperlink>
      <w:r>
        <w:rPr>
          <w:b w:val="0"/>
          <w:i w:val="0"/>
        </w:rPr>
        <w:t xml:space="preserve">; </w:t>
      </w:r>
      <w:hyperlink w:anchor="latin-record-0669">
        <w:r>
          <w:rPr>
            <w:color w:val="000000"/>
          </w:rPr>
          <w:t xml:space="preserve">intentio</w:t>
        </w:r>
      </w:hyperlink>
      <w:r>
        <w:rPr>
          <w:b w:val="0"/>
          <w:i w:val="0"/>
        </w:rPr>
        <w:t xml:space="preserve">; </w:t>
      </w:r>
      <w:hyperlink w:anchor="latin-record-0721">
        <w:r>
          <w:rPr>
            <w:color w:val="000000"/>
          </w:rPr>
          <w:t xml:space="preserve">locus / situs / tempus</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945">
        <w:r>
          <w:rPr>
            <w:color w:val="000000"/>
          </w:rPr>
          <w:t xml:space="preserve">phantasia</w:t>
        </w:r>
      </w:hyperlink>
      <w:r>
        <w:rPr>
          <w:b w:val="0"/>
          <w:i w:val="0"/>
        </w:rPr>
        <w:t xml:space="preserve">; </w:t>
      </w:r>
      <w:hyperlink w:anchor="latin-record-1016">
        <w:r>
          <w:rPr>
            <w:color w:val="000000"/>
          </w:rPr>
          <w:t xml:space="preserve">proprius</w:t>
        </w:r>
      </w:hyperlink>
      <w:r>
        <w:rPr>
          <w:b w:val="0"/>
          <w:i w:val="0"/>
        </w:rPr>
        <w:t xml:space="preserve">; </w:t>
      </w:r>
      <w:hyperlink w:anchor="latin-record-1024">
        <w:r>
          <w:rPr>
            <w:color w:val="000000"/>
          </w:rPr>
          <w:t xml:space="preserve">pulchritudo / bonitas</w:t>
        </w:r>
      </w:hyperlink>
      <w:r>
        <w:rPr>
          <w:b w:val="0"/>
          <w:i w:val="0"/>
        </w:rPr>
        <w:t xml:space="preserve">; </w:t>
      </w:r>
      <w:hyperlink w:anchor="latin-record-1099">
        <w:r>
          <w:rPr>
            <w:color w:val="000000"/>
          </w:rPr>
          <w:t xml:space="preserve">relinquere / dimittere</w:t>
        </w:r>
      </w:hyperlink>
      <w:r>
        <w:rPr>
          <w:b w:val="0"/>
          <w:i w:val="0"/>
        </w:rPr>
        <w:t xml:space="preserve">; </w:t>
      </w:r>
      <w:hyperlink w:anchor="latin-record-1112">
        <w:r>
          <w:rPr>
            <w:color w:val="000000"/>
          </w:rPr>
          <w:t xml:space="preserve">res</w:t>
        </w:r>
      </w:hyperlink>
      <w:r>
        <w:rPr>
          <w:b w:val="0"/>
          <w:i w:val="0"/>
        </w:rPr>
        <w:t xml:space="preserve">; </w:t>
      </w:r>
      <w:hyperlink w:anchor="latin-record-1156">
        <w:r>
          <w:rPr>
            <w:color w:val="000000"/>
          </w:rPr>
          <w:t xml:space="preserve">sensus</w:t>
        </w:r>
      </w:hyperlink>
      <w:r>
        <w:rPr>
          <w:b w:val="0"/>
          <w:i w:val="0"/>
        </w:rPr>
        <w:t xml:space="preserve">; </w:t>
      </w:r>
      <w:hyperlink w:anchor="latin-record-1187">
        <w:r>
          <w:rPr>
            <w:color w:val="000000"/>
          </w:rPr>
          <w:t xml:space="preserve">simulacrum / imago / effigies</w:t>
        </w:r>
      </w:hyperlink>
      <w:r>
        <w:rPr>
          <w:b w:val="0"/>
          <w:i w:val="0"/>
        </w:rPr>
        <w:t xml:space="preserve">; </w:t>
      </w:r>
      <w:hyperlink w:anchor="latin-record-1190">
        <w:r>
          <w:rPr>
            <w:color w:val="000000"/>
          </w:rPr>
          <w:t xml:space="preserve">singularis / particularis</w:t>
        </w:r>
      </w:hyperlink>
      <w:r>
        <w:rPr>
          <w:b w:val="0"/>
          <w:i w:val="0"/>
        </w:rPr>
        <w:t xml:space="preserve">; </w:t>
      </w:r>
      <w:hyperlink w:anchor="latin-record-1243">
        <w:r>
          <w:rPr>
            <w:color w:val="000000"/>
          </w:rPr>
          <w:t xml:space="preserve">subsistere / consistere</w:t>
        </w:r>
      </w:hyperlink>
      <w:r>
        <w:rPr>
          <w:b w:val="0"/>
          <w:i w:val="0"/>
        </w:rPr>
        <w:t xml:space="preserve">; </w:t>
      </w:r>
      <w:hyperlink w:anchor="latin-record-1323">
        <w:r>
          <w:rPr>
            <w:color w:val="000000"/>
          </w:rPr>
          <w:t xml:space="preserve">universalis</w:t>
        </w:r>
      </w:hyperlink>
      <w:r>
        <w:rPr>
          <w:b w:val="0"/>
          <w:i w:val="0"/>
        </w:rPr>
        <w:t xml:space="preserve">; </w:t>
      </w:r>
      <w:hyperlink w:anchor="latin-record-1341">
        <w:r>
          <w:rPr>
            <w:color w:val="000000"/>
          </w:rPr>
          <w:t xml:space="preserve">versari / volutari / vagari</w:t>
        </w:r>
      </w:hyperlink>
      <w:r>
        <w:rPr>
          <w:b w:val="0"/>
          <w:i w:val="0"/>
        </w:rPr>
        <w:t xml:space="preserve">; </w:t>
      </w:r>
      <w:hyperlink w:anchor="latin-record-1361">
        <w:r>
          <w:rPr>
            <w:color w:val="000000"/>
          </w:rPr>
          <w:t xml:space="preserve">vis</w:t>
        </w:r>
      </w:hyperlink>
      <w:r>
        <w:rPr>
          <w:b w:val="0"/>
          <w:i w:val="0"/>
        </w:rPr>
        <w:t>.</w:t>
      </w:r>
    </w:p>
    <w:p>
      <w:pPr>
        <w:widowControl/>
      </w:pPr>
      <w:bookmarkStart w:id="1933" w:name="passage-viii-1-5"/>
      <w:bookmarkEnd w:id="1933"/>
      <w:r>
        <w:rPr>
          <w:b/>
          <w:i w:val="0"/>
        </w:rPr>
        <w:t>VIII.1.5</w:t>
      </w:r>
      <w:r>
        <w:rPr>
          <w:b/>
          <w:i w:val="0"/>
        </w:rPr>
        <w:t>, source pp. 292–293.</w:t>
      </w:r>
      <w:r>
        <w:rPr>
          <w:b w:val="0"/>
          <w:i w:val="0"/>
        </w:rPr>
        <w:t xml:space="preserve"> Articles: </w:t>
      </w:r>
      <w:hyperlink w:anchor="viii-four-stages">
        <w:r>
          <w:rPr>
            <w:color w:val="000000"/>
          </w:rPr>
          <w:t xml:space="preserve">Four stages of cognition</w:t>
        </w:r>
      </w:hyperlink>
      <w:r>
        <w:rPr>
          <w:b w:val="0"/>
          <w:i w:val="0"/>
        </w:rPr>
        <w:t xml:space="preserve">; </w:t>
      </w:r>
      <w:hyperlink w:anchor="viii-immediate-reflexive">
        <w:r>
          <w:rPr>
            <w:color w:val="000000"/>
          </w:rPr>
          <w:t xml:space="preserve">Immediate intellection and the return to particulars</w:t>
        </w:r>
      </w:hyperlink>
      <w:r>
        <w:rPr>
          <w:b w:val="0"/>
          <w:i w:val="0"/>
        </w:rPr>
        <w:t xml:space="preserve">; </w:t>
      </w:r>
      <w:hyperlink w:anchor="viii-innate-forms">
        <w:r>
          <w:rPr>
            <w:color w:val="000000"/>
          </w:rPr>
          <w:t xml:space="preserve">Innate forms and the stimulus of images</w:t>
        </w:r>
      </w:hyperlink>
      <w:r>
        <w:rPr>
          <w:b w:val="0"/>
          <w:i w:val="0"/>
        </w:rPr>
        <w:t xml:space="preserve">; </w:t>
      </w:r>
      <w:hyperlink w:anchor="viii-reflexive-will">
        <w:r>
          <w:rPr>
            <w:color w:val="000000"/>
          </w:rPr>
          <w:t xml:space="preserve">Reflexive understanding and willing</w:t>
        </w:r>
      </w:hyperlink>
      <w:r>
        <w:rPr>
          <w:b w:val="0"/>
          <w:i w:val="0"/>
        </w:rPr>
        <w:t xml:space="preserve">. Vocabulary: </w:t>
      </w:r>
      <w:hyperlink w:anchor="latin-record-0006">
        <w:r>
          <w:rPr>
            <w:color w:val="000000"/>
          </w:rPr>
          <w:t xml:space="preserve">absolutus</w:t>
        </w:r>
      </w:hyperlink>
      <w:r>
        <w:rPr>
          <w:b w:val="0"/>
          <w:i w:val="0"/>
        </w:rPr>
        <w:t xml:space="preserve">; </w:t>
      </w:r>
      <w:hyperlink w:anchor="latin-record-0008">
        <w:r>
          <w:rPr>
            <w:color w:val="000000"/>
          </w:rPr>
          <w:t xml:space="preserve">abstractio / abstrahere</w:t>
        </w:r>
      </w:hyperlink>
      <w:r>
        <w:rPr>
          <w:b w:val="0"/>
          <w:i w:val="0"/>
        </w:rPr>
        <w:t xml:space="preserve">; </w:t>
      </w:r>
      <w:hyperlink w:anchor="latin-record-0028">
        <w:r>
          <w:rPr>
            <w:color w:val="000000"/>
          </w:rPr>
          <w:t xml:space="preserve">actus reflexus (return to the particular)</w:t>
        </w:r>
      </w:hyperlink>
      <w:r>
        <w:rPr>
          <w:b w:val="0"/>
          <w:i w:val="0"/>
        </w:rPr>
        <w:t xml:space="preserve">; </w:t>
      </w:r>
      <w:hyperlink w:anchor="latin-record-0062">
        <w:r>
          <w:rPr>
            <w:color w:val="000000"/>
          </w:rPr>
          <w:t xml:space="preserve">aggredi / exponere / ostendere</w:t>
        </w:r>
      </w:hyperlink>
      <w:r>
        <w:rPr>
          <w:b w:val="0"/>
          <w:i w:val="0"/>
        </w:rPr>
        <w:t xml:space="preserve">; </w:t>
      </w:r>
      <w:hyperlink w:anchor="latin-record-0065">
        <w:r>
          <w:rPr>
            <w:color w:val="000000"/>
          </w:rPr>
          <w:t xml:space="preserve">agnoscere / cognoscere</w:t>
        </w:r>
      </w:hyperlink>
      <w:r>
        <w:rPr>
          <w:b w:val="0"/>
          <w:i w:val="0"/>
        </w:rPr>
        <w:t xml:space="preserve">; </w:t>
      </w:r>
      <w:hyperlink w:anchor="latin-record-0067">
        <w:r>
          <w:rPr>
            <w:color w:val="000000"/>
          </w:rPr>
          <w:t xml:space="preserve">alere / nutrire</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93">
        <w:r>
          <w:rPr>
            <w:color w:val="000000"/>
          </w:rPr>
          <w:t xml:space="preserve">discursus / discurrere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614">
        <w:r>
          <w:rPr>
            <w:color w:val="000000"/>
          </w:rPr>
          <w:t xml:space="preserve">incitare</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60">
        <w:r>
          <w:rPr>
            <w:color w:val="000000"/>
          </w:rPr>
          <w:t xml:space="preserve">intellectus</w:t>
        </w:r>
      </w:hyperlink>
      <w:r>
        <w:rPr>
          <w:b w:val="0"/>
          <w:i w:val="0"/>
        </w:rPr>
        <w:t xml:space="preserve">; </w:t>
      </w:r>
      <w:hyperlink w:anchor="latin-record-0663">
        <w:r>
          <w:rPr>
            <w:color w:val="000000"/>
          </w:rPr>
          <w:t xml:space="preserve">intelligentia</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78">
        <w:r>
          <w:rPr>
            <w:color w:val="000000"/>
          </w:rPr>
          <w:t xml:space="preserve">mens (additional inflections)</w:t>
        </w:r>
      </w:hyperlink>
      <w:r>
        <w:rPr>
          <w:b w:val="0"/>
          <w:i w:val="0"/>
        </w:rPr>
        <w:t xml:space="preserve">; </w:t>
      </w:r>
      <w:hyperlink w:anchor="latin-record-0790">
        <w:r>
          <w:rPr>
            <w:color w:val="000000"/>
          </w:rPr>
          <w:t xml:space="preserve">modus / pactum</w:t>
        </w:r>
      </w:hyperlink>
      <w:r>
        <w:rPr>
          <w:b w:val="0"/>
          <w:i w:val="0"/>
        </w:rPr>
        <w:t xml:space="preserve">; </w:t>
      </w:r>
      <w:hyperlink w:anchor="latin-record-0801">
        <w:r>
          <w:rPr>
            <w:color w:val="000000"/>
          </w:rPr>
          <w:t xml:space="preserve">mortalis / corruptibilis</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945">
        <w:r>
          <w:rPr>
            <w:color w:val="000000"/>
          </w:rPr>
          <w:t xml:space="preserve">phantasia</w:t>
        </w:r>
      </w:hyperlink>
      <w:r>
        <w:rPr>
          <w:b w:val="0"/>
          <w:i w:val="0"/>
        </w:rPr>
        <w:t xml:space="preserve">; </w:t>
      </w:r>
      <w:hyperlink w:anchor="latin-record-0987">
        <w:r>
          <w:rPr>
            <w:color w:val="000000"/>
          </w:rPr>
          <w:t xml:space="preserve">primum / deinde / prius / secundo</w:t>
        </w:r>
      </w:hyperlink>
      <w:r>
        <w:rPr>
          <w:b w:val="0"/>
          <w:i w:val="0"/>
        </w:rPr>
        <w:t xml:space="preserve">; </w:t>
      </w:r>
      <w:hyperlink w:anchor="latin-record-1091">
        <w:r>
          <w:rPr>
            <w:color w:val="000000"/>
          </w:rPr>
          <w:t xml:space="preserve">reflexio / reflectere</w:t>
        </w:r>
      </w:hyperlink>
      <w:r>
        <w:rPr>
          <w:b w:val="0"/>
          <w:i w:val="0"/>
        </w:rPr>
        <w:t xml:space="preserve">; </w:t>
      </w:r>
      <w:hyperlink w:anchor="latin-record-1099">
        <w:r>
          <w:rPr>
            <w:color w:val="000000"/>
          </w:rPr>
          <w:t xml:space="preserve">relinquere / dimittere</w:t>
        </w:r>
      </w:hyperlink>
      <w:r>
        <w:rPr>
          <w:b w:val="0"/>
          <w:i w:val="0"/>
        </w:rPr>
        <w:t xml:space="preserve">; </w:t>
      </w:r>
      <w:hyperlink w:anchor="latin-record-1187">
        <w:r>
          <w:rPr>
            <w:color w:val="000000"/>
          </w:rPr>
          <w:t xml:space="preserve">simulacrum / imago / effigies</w:t>
        </w:r>
      </w:hyperlink>
      <w:r>
        <w:rPr>
          <w:b w:val="0"/>
          <w:i w:val="0"/>
        </w:rPr>
        <w:t xml:space="preserve">; </w:t>
      </w:r>
      <w:hyperlink w:anchor="latin-record-1190">
        <w:r>
          <w:rPr>
            <w:color w:val="000000"/>
          </w:rPr>
          <w:t xml:space="preserve">singularis / particularis</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w:t>
      </w:r>
    </w:p>
    <w:p>
      <w:pPr>
        <w:pStyle w:val="Heading2"/>
      </w:pPr>
      <w:bookmarkStart w:id="1934" w:name="chapter-viii.2"/>
      <w:r>
        <w:rPr>
          <w:b w:val="0"/>
          <w:i w:val="0"/>
        </w:rPr>
        <w:t>Chapter VIII.2</w:t>
      </w:r>
      <w:bookmarkEnd w:id="1934"/>
    </w:p>
    <w:p>
      <w:pPr>
        <w:widowControl/>
      </w:pPr>
      <w:bookmarkStart w:id="1935" w:name="passage-viii-2-1"/>
      <w:bookmarkEnd w:id="1935"/>
      <w:r>
        <w:rPr>
          <w:b/>
          <w:i w:val="0"/>
        </w:rPr>
        <w:t>VIII.2.1</w:t>
      </w:r>
      <w:r>
        <w:rPr>
          <w:b/>
          <w:i w:val="0"/>
        </w:rPr>
        <w:t>, source pp. 294–295.</w:t>
      </w:r>
      <w:r>
        <w:rPr>
          <w:b w:val="0"/>
          <w:i w:val="0"/>
        </w:rPr>
        <w:t xml:space="preserve"> Articles: </w:t>
      </w:r>
      <w:hyperlink w:anchor="viii-food-truth">
        <w:r>
          <w:rPr>
            <w:color w:val="000000"/>
          </w:rPr>
          <w:t xml:space="preserve">Food, truth, and the hungry mind</w:t>
        </w:r>
      </w:hyperlink>
      <w:r>
        <w:rPr>
          <w:b w:val="0"/>
          <w:i w:val="0"/>
        </w:rPr>
        <w:t xml:space="preserve">. Vocabulary: </w:t>
      </w:r>
      <w:hyperlink w:anchor="latin-record-0067">
        <w:r>
          <w:rPr>
            <w:color w:val="000000"/>
          </w:rPr>
          <w:t xml:space="preserve">alere / nutrire</w:t>
        </w:r>
      </w:hyperlink>
      <w:r>
        <w:rPr>
          <w:b w:val="0"/>
          <w:i w:val="0"/>
        </w:rPr>
        <w:t xml:space="preserve">; </w:t>
      </w:r>
      <w:hyperlink w:anchor="latin-record-0071">
        <w:r>
          <w:rPr>
            <w:color w:val="000000"/>
          </w:rPr>
          <w:t xml:space="preserve">alimentum / alimonia / esca / cibus</w:t>
        </w:r>
      </w:hyperlink>
      <w:r>
        <w:rPr>
          <w:b w:val="0"/>
          <w:i w:val="0"/>
        </w:rPr>
        <w:t xml:space="preserve">; </w:t>
      </w:r>
      <w:hyperlink w:anchor="latin-record-0092">
        <w:r>
          <w:rPr>
            <w:color w:val="000000"/>
          </w:rPr>
          <w:t xml:space="preserve">anima</w:t>
        </w:r>
      </w:hyperlink>
      <w:r>
        <w:rPr>
          <w:b w:val="0"/>
          <w:i w:val="0"/>
        </w:rPr>
        <w:t xml:space="preserve">; </w:t>
      </w:r>
      <w:hyperlink w:anchor="latin-record-0105">
        <w:r>
          <w:rPr>
            <w:color w:val="000000"/>
          </w:rPr>
          <w:t xml:space="preserve">animus</w:t>
        </w:r>
      </w:hyperlink>
      <w:r>
        <w:rPr>
          <w:b w:val="0"/>
          <w:i w:val="0"/>
        </w:rPr>
        <w:t xml:space="preserve">; </w:t>
      </w:r>
      <w:hyperlink w:anchor="latin-record-0117">
        <w:r>
          <w:rPr>
            <w:color w:val="000000"/>
          </w:rPr>
          <w:t xml:space="preserve">aquaticus / terrestris / aereus</w:t>
        </w:r>
      </w:hyperlink>
      <w:r>
        <w:rPr>
          <w:b w:val="0"/>
          <w:i w:val="0"/>
        </w:rPr>
        <w:t xml:space="preserve">; </w:t>
      </w:r>
      <w:hyperlink w:anchor="latin-record-0221">
        <w:r>
          <w:rPr>
            <w:color w:val="000000"/>
          </w:rPr>
          <w:t xml:space="preserve">coalescere</w:t>
        </w:r>
      </w:hyperlink>
      <w:r>
        <w:rPr>
          <w:b w:val="0"/>
          <w:i w:val="0"/>
        </w:rPr>
        <w:t xml:space="preserve">; </w:t>
      </w:r>
      <w:hyperlink w:anchor="latin-record-0328">
        <w:r>
          <w:rPr>
            <w:color w:val="000000"/>
          </w:rPr>
          <w:t xml:space="preserve">convenire / conciliare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7">
        <w:r>
          <w:rPr>
            <w:color w:val="000000"/>
          </w:rPr>
          <w:t xml:space="preserve">corpus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41">
        <w:r>
          <w:rPr>
            <w:color w:val="000000"/>
          </w:rPr>
          <w:t xml:space="preserve">corpusculum</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89">
        <w:r>
          <w:rPr>
            <w:color w:val="000000"/>
          </w:rPr>
          <w:t xml:space="preserve">illecebra</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41">
        <w:r>
          <w:rPr>
            <w:color w:val="000000"/>
          </w:rPr>
          <w:t xml:space="preserve">ingenium</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46">
        <w:r>
          <w:rPr>
            <w:color w:val="000000"/>
          </w:rPr>
          <w:t xml:space="preserve">magnanimitas / pusillanimitas</w:t>
        </w:r>
      </w:hyperlink>
      <w:r>
        <w:rPr>
          <w:b w:val="0"/>
          <w:i w:val="0"/>
        </w:rPr>
        <w:t xml:space="preserve">; </w:t>
      </w:r>
      <w:hyperlink w:anchor="latin-record-0823">
        <w:r>
          <w:rPr>
            <w:color w:val="000000"/>
          </w:rPr>
          <w:t xml:space="preserve">natura</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89">
        <w:r>
          <w:rPr>
            <w:color w:val="000000"/>
          </w:rPr>
          <w:t xml:space="preserve">panis / caro</w:t>
        </w:r>
      </w:hyperlink>
      <w:r>
        <w:rPr>
          <w:b w:val="0"/>
          <w:i w:val="0"/>
        </w:rPr>
        <w:t xml:space="preserve">; </w:t>
      </w:r>
      <w:hyperlink w:anchor="latin-record-0951">
        <w:r>
          <w:rPr>
            <w:color w:val="000000"/>
          </w:rPr>
          <w:t xml:space="preserve">pinguis / tenuis / grandis / pusillus</w:t>
        </w:r>
      </w:hyperlink>
      <w:r>
        <w:rPr>
          <w:b w:val="0"/>
          <w:i w:val="0"/>
        </w:rPr>
        <w:t xml:space="preserve">; </w:t>
      </w:r>
      <w:hyperlink w:anchor="latin-record-1005">
        <w:r>
          <w:rPr>
            <w:color w:val="000000"/>
          </w:rPr>
          <w:t xml:space="preserve">proficere / crescere / decrescere</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112">
        <w:r>
          <w:rPr>
            <w:color w:val="000000"/>
          </w:rPr>
          <w:t xml:space="preserve">res</w:t>
        </w:r>
      </w:hyperlink>
      <w:r>
        <w:rPr>
          <w:b w:val="0"/>
          <w:i w:val="0"/>
        </w:rPr>
        <w:t xml:space="preserve">; </w:t>
      </w:r>
      <w:hyperlink w:anchor="latin-record-1283">
        <w:r>
          <w:rPr>
            <w:color w:val="000000"/>
          </w:rPr>
          <w:t xml:space="preserve">tenuare / purgare</w:t>
        </w:r>
      </w:hyperlink>
      <w:r>
        <w:rPr>
          <w:b w:val="0"/>
          <w:i w:val="0"/>
        </w:rPr>
        <w:t xml:space="preserve">; </w:t>
      </w:r>
      <w:hyperlink w:anchor="latin-record-1302">
        <w:r>
          <w:rPr>
            <w:color w:val="000000"/>
          </w:rPr>
          <w:t xml:space="preserve">transire / migrare / commutare</w:t>
        </w:r>
      </w:hyperlink>
      <w:r>
        <w:rPr>
          <w:b w:val="0"/>
          <w:i w:val="0"/>
        </w:rPr>
        <w:t xml:space="preserve">; </w:t>
      </w:r>
      <w:hyperlink w:anchor="latin-record-1344">
        <w:r>
          <w:rPr>
            <w:color w:val="000000"/>
          </w:rPr>
          <w:t xml:space="preserve">vesci / pasci</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w:t>
      </w:r>
    </w:p>
    <w:p>
      <w:pPr>
        <w:widowControl/>
      </w:pPr>
      <w:bookmarkStart w:id="1936" w:name="passage-viii-2-2"/>
      <w:bookmarkEnd w:id="1936"/>
      <w:r>
        <w:rPr>
          <w:b/>
          <w:i w:val="0"/>
        </w:rPr>
        <w:t>VIII.2.2</w:t>
      </w:r>
      <w:r>
        <w:rPr>
          <w:b/>
          <w:i w:val="0"/>
        </w:rPr>
        <w:t>, source pp. 294–295.</w:t>
      </w:r>
      <w:r>
        <w:rPr>
          <w:b w:val="0"/>
          <w:i w:val="0"/>
        </w:rPr>
        <w:t xml:space="preserve"> Articles: </w:t>
      </w:r>
      <w:hyperlink w:anchor="viii-food-truth">
        <w:r>
          <w:rPr>
            <w:color w:val="000000"/>
          </w:rPr>
          <w:t xml:space="preserve">Food, truth, and the hungry mind</w:t>
        </w:r>
      </w:hyperlink>
      <w:r>
        <w:rPr>
          <w:b w:val="0"/>
          <w:i w:val="0"/>
        </w:rPr>
        <w:t xml:space="preserve">. Vocabulary: </w:t>
      </w:r>
      <w:hyperlink w:anchor="latin-record-0048">
        <w:r>
          <w:rPr>
            <w:color w:val="000000"/>
          </w:rPr>
          <w:t xml:space="preserve">aeternus / aeternitas</w:t>
        </w:r>
      </w:hyperlink>
      <w:r>
        <w:rPr>
          <w:b w:val="0"/>
          <w:i w:val="0"/>
        </w:rPr>
        <w:t xml:space="preserve">; </w:t>
      </w:r>
      <w:hyperlink w:anchor="latin-record-0071">
        <w:r>
          <w:rPr>
            <w:color w:val="000000"/>
          </w:rPr>
          <w:t xml:space="preserve">alimentum / alimonia / esca / cibus</w:t>
        </w:r>
      </w:hyperlink>
      <w:r>
        <w:rPr>
          <w:b w:val="0"/>
          <w:i w:val="0"/>
        </w:rPr>
        <w:t xml:space="preserve">; </w:t>
      </w:r>
      <w:hyperlink w:anchor="latin-record-1344">
        <w:r>
          <w:rPr>
            <w:color w:val="000000"/>
          </w:rPr>
          <w:t xml:space="preserve">vesci / pasci</w:t>
        </w:r>
      </w:hyperlink>
      <w:r>
        <w:rPr>
          <w:b w:val="0"/>
          <w:i w:val="0"/>
        </w:rPr>
        <w:t>.</w:t>
      </w:r>
    </w:p>
    <w:p>
      <w:pPr>
        <w:widowControl/>
      </w:pPr>
      <w:bookmarkStart w:id="1937" w:name="passage-viii-2-3"/>
      <w:bookmarkEnd w:id="1937"/>
      <w:r>
        <w:rPr>
          <w:b/>
          <w:i w:val="0"/>
        </w:rPr>
        <w:t>VIII.2.3</w:t>
      </w:r>
      <w:r>
        <w:rPr>
          <w:b/>
          <w:i w:val="0"/>
        </w:rPr>
        <w:t>, source pp. 296–297.</w:t>
      </w:r>
      <w:r>
        <w:rPr>
          <w:b w:val="0"/>
          <w:i w:val="0"/>
        </w:rPr>
        <w:t xml:space="preserve"> Articles: </w:t>
      </w:r>
      <w:hyperlink w:anchor="viii-body-instrument">
        <w:r>
          <w:rPr>
            <w:color w:val="000000"/>
          </w:rPr>
          <w:t xml:space="preserve">Body, instruments, and vital spirit</w:t>
        </w:r>
      </w:hyperlink>
      <w:r>
        <w:rPr>
          <w:b w:val="0"/>
          <w:i w:val="0"/>
        </w:rPr>
        <w:t xml:space="preserve">; </w:t>
      </w:r>
      <w:hyperlink w:anchor="viii-four-stages">
        <w:r>
          <w:rPr>
            <w:color w:val="000000"/>
          </w:rPr>
          <w:t xml:space="preserve">Four stages of cognition</w:t>
        </w:r>
      </w:hyperlink>
      <w:r>
        <w:rPr>
          <w:b w:val="0"/>
          <w:i w:val="0"/>
        </w:rPr>
        <w:t xml:space="preserve">; </w:t>
      </w:r>
      <w:hyperlink w:anchor="viii-truth-mathematics">
        <w:r>
          <w:rPr>
            <w:color w:val="000000"/>
          </w:rPr>
          <w:t xml:space="preserve">Truth, mathematical figures, and immutable principles</w:t>
        </w:r>
      </w:hyperlink>
      <w:r>
        <w:rPr>
          <w:b w:val="0"/>
          <w:i w:val="0"/>
        </w:rPr>
        <w:t xml:space="preserve">. Vocabulary: </w:t>
      </w:r>
      <w:hyperlink w:anchor="latin-record-0105">
        <w:r>
          <w:rPr>
            <w:color w:val="000000"/>
          </w:rPr>
          <w:t xml:space="preserve">animus</w:t>
        </w:r>
      </w:hyperlink>
      <w:r>
        <w:rPr>
          <w:b w:val="0"/>
          <w:i w:val="0"/>
        </w:rPr>
        <w:t xml:space="preserve">; </w:t>
      </w:r>
      <w:hyperlink w:anchor="latin-record-0128">
        <w:r>
          <w:rPr>
            <w:color w:val="000000"/>
          </w:rPr>
          <w:t xml:space="preserve">ars / instrumentum</w:t>
        </w:r>
      </w:hyperlink>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221">
        <w:r>
          <w:rPr>
            <w:color w:val="000000"/>
          </w:rPr>
          <w:t xml:space="preserve">coalescere</w:t>
        </w:r>
      </w:hyperlink>
      <w:r>
        <w:rPr>
          <w:b w:val="0"/>
          <w:i w:val="0"/>
        </w:rPr>
        <w:t xml:space="preserve">; </w:t>
      </w:r>
      <w:hyperlink w:anchor="latin-record-0289">
        <w:r>
          <w:rPr>
            <w:color w:val="000000"/>
          </w:rPr>
          <w:t xml:space="preserve">conformatio</w:t>
        </w:r>
      </w:hyperlink>
      <w:r>
        <w:rPr>
          <w:b w:val="0"/>
          <w:i w:val="0"/>
        </w:rPr>
        <w:t xml:space="preserve">; </w:t>
      </w:r>
      <w:hyperlink w:anchor="latin-record-0355">
        <w:r>
          <w:rPr>
            <w:color w:val="000000"/>
          </w:rPr>
          <w:t xml:space="preserve">dare / tribuere</w:t>
        </w:r>
      </w:hyperlink>
      <w:r>
        <w:rPr>
          <w:b w:val="0"/>
          <w:i w:val="0"/>
        </w:rPr>
        <w:t xml:space="preserve">; </w:t>
      </w:r>
      <w:hyperlink w:anchor="latin-record-0438">
        <w:r>
          <w:rPr>
            <w:color w:val="000000"/>
          </w:rPr>
          <w:t xml:space="preserve">Epicurei</w:t>
        </w:r>
      </w:hyperlink>
      <w:r>
        <w:rPr>
          <w:b w:val="0"/>
          <w:i w:val="0"/>
        </w:rPr>
        <w:t xml:space="preserve">; </w:t>
      </w:r>
      <w:hyperlink w:anchor="latin-record-0440">
        <w:r>
          <w:rPr>
            <w:color w:val="000000"/>
          </w:rPr>
          <w:t xml:space="preserve">esse</w:t>
        </w:r>
      </w:hyperlink>
      <w:r>
        <w:rPr>
          <w:b w:val="0"/>
          <w:i w:val="0"/>
        </w:rPr>
        <w:t xml:space="preserve">; </w:t>
      </w:r>
      <w:hyperlink w:anchor="latin-record-0536">
        <w:r>
          <w:rPr>
            <w:color w:val="000000"/>
          </w:rPr>
          <w:t xml:space="preserve">furor / arma ministrare</w:t>
        </w:r>
      </w:hyperlink>
      <w:r>
        <w:rPr>
          <w:b w:val="0"/>
          <w:i w:val="0"/>
        </w:rPr>
        <w:t xml:space="preserve">; </w:t>
      </w:r>
      <w:hyperlink w:anchor="latin-record-0565">
        <w:r>
          <w:rPr>
            <w:color w:val="000000"/>
          </w:rPr>
          <w:t xml:space="preserve">homo / humanus</w:t>
        </w:r>
      </w:hyperlink>
      <w:r>
        <w:rPr>
          <w:b w:val="0"/>
          <w:i w:val="0"/>
        </w:rPr>
        <w:t xml:space="preserve">; </w:t>
      </w:r>
      <w:hyperlink w:anchor="latin-record-0581">
        <w:r>
          <w:rPr>
            <w:color w:val="000000"/>
          </w:rPr>
          <w:t xml:space="preserve">ignavia / torpere</w:t>
        </w:r>
      </w:hyperlink>
      <w:r>
        <w:rPr>
          <w:b w:val="0"/>
          <w:i w:val="0"/>
        </w:rPr>
        <w:t xml:space="preserve">; </w:t>
      </w:r>
      <w:hyperlink w:anchor="latin-record-0629">
        <w:r>
          <w:rPr>
            <w:color w:val="000000"/>
          </w:rPr>
          <w:t xml:space="preserve">industria / usus / affectus</w:t>
        </w:r>
      </w:hyperlink>
      <w:r>
        <w:rPr>
          <w:b w:val="0"/>
          <w:i w:val="0"/>
        </w:rPr>
        <w:t xml:space="preserve">; </w:t>
      </w:r>
      <w:hyperlink w:anchor="latin-record-0630">
        <w:r>
          <w:rPr>
            <w:color w:val="000000"/>
          </w:rPr>
          <w:t xml:space="preserve">inesse</w:t>
        </w:r>
      </w:hyperlink>
      <w:r>
        <w:rPr>
          <w:b w:val="0"/>
          <w:i w:val="0"/>
        </w:rPr>
        <w:t xml:space="preserve">; </w:t>
      </w:r>
      <w:hyperlink w:anchor="latin-record-0641">
        <w:r>
          <w:rPr>
            <w:color w:val="000000"/>
          </w:rPr>
          <w:t xml:space="preserve">ingenium</w:t>
        </w:r>
      </w:hyperlink>
      <w:r>
        <w:rPr>
          <w:b w:val="0"/>
          <w:i w:val="0"/>
        </w:rPr>
        <w:t xml:space="preserve">; </w:t>
      </w:r>
      <w:hyperlink w:anchor="latin-record-0746">
        <w:r>
          <w:rPr>
            <w:color w:val="000000"/>
          </w:rPr>
          <w:t xml:space="preserve">magnanimitas / pusillanimitas</w:t>
        </w:r>
      </w:hyperlink>
      <w:r>
        <w:rPr>
          <w:b w:val="0"/>
          <w:i w:val="0"/>
        </w:rPr>
        <w:t xml:space="preserve">; </w:t>
      </w:r>
      <w:hyperlink w:anchor="latin-record-0772">
        <w:r>
          <w:rPr>
            <w:color w:val="000000"/>
          </w:rPr>
          <w:t xml:space="preserve">membrum</w:t>
        </w:r>
      </w:hyperlink>
      <w:r>
        <w:rPr>
          <w:b w:val="0"/>
          <w:i w:val="0"/>
        </w:rPr>
        <w:t xml:space="preserve">; </w:t>
      </w:r>
      <w:hyperlink w:anchor="latin-record-0790">
        <w:r>
          <w:rPr>
            <w:color w:val="000000"/>
          </w:rPr>
          <w:t xml:space="preserve">modus / pactum</w:t>
        </w:r>
      </w:hyperlink>
      <w:r>
        <w:rPr>
          <w:b w:val="0"/>
          <w:i w:val="0"/>
        </w:rPr>
        <w:t xml:space="preserve">; </w:t>
      </w:r>
      <w:hyperlink w:anchor="latin-record-0795">
        <w:r>
          <w:rPr>
            <w:color w:val="000000"/>
          </w:rPr>
          <w:t xml:space="preserve">mollities / ariditas</w:t>
        </w:r>
      </w:hyperlink>
      <w:r>
        <w:rPr>
          <w:b w:val="0"/>
          <w:i w:val="0"/>
        </w:rPr>
        <w:t xml:space="preserve">; </w:t>
      </w:r>
      <w:hyperlink w:anchor="latin-record-0829">
        <w:r>
          <w:rPr>
            <w:color w:val="000000"/>
          </w:rPr>
          <w:t xml:space="preserve">naturalis</w:t>
        </w:r>
      </w:hyperlink>
      <w:r>
        <w:rPr>
          <w:b w:val="0"/>
          <w:i w:val="0"/>
        </w:rPr>
        <w:t xml:space="preserve">; </w:t>
      </w:r>
      <w:hyperlink w:anchor="latin-record-0889">
        <w:r>
          <w:rPr>
            <w:color w:val="000000"/>
          </w:rPr>
          <w:t xml:space="preserve">panis / caro</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0951">
        <w:r>
          <w:rPr>
            <w:color w:val="000000"/>
          </w:rPr>
          <w:t xml:space="preserve">pinguis / tenuis / grandis / pusillus</w:t>
        </w:r>
      </w:hyperlink>
      <w:r>
        <w:rPr>
          <w:b w:val="0"/>
          <w:i w:val="0"/>
        </w:rPr>
        <w:t xml:space="preserve">; </w:t>
      </w:r>
      <w:hyperlink w:anchor="latin-record-1005">
        <w:r>
          <w:rPr>
            <w:color w:val="000000"/>
          </w:rPr>
          <w:t xml:space="preserve">proficere / crescere / decrescere</w:t>
        </w:r>
      </w:hyperlink>
      <w:r>
        <w:rPr>
          <w:b w:val="0"/>
          <w:i w:val="0"/>
        </w:rPr>
        <w:t xml:space="preserve">; </w:t>
      </w:r>
      <w:hyperlink w:anchor="latin-record-1067">
        <w:r>
          <w:rPr>
            <w:color w:val="000000"/>
          </w:rPr>
          <w:t xml:space="preserve">ratio (reasoning power)</w:t>
        </w:r>
      </w:hyperlink>
      <w:r>
        <w:rPr>
          <w:b w:val="0"/>
          <w:i w:val="0"/>
        </w:rPr>
        <w:t xml:space="preserve">; </w:t>
      </w:r>
      <w:hyperlink w:anchor="latin-record-1176">
        <w:r>
          <w:rPr>
            <w:color w:val="000000"/>
          </w:rPr>
          <w:t xml:space="preserve">similitudo</w:t>
        </w:r>
      </w:hyperlink>
      <w:r>
        <w:rPr>
          <w:b w:val="0"/>
          <w:i w:val="0"/>
        </w:rPr>
        <w:t xml:space="preserve">; </w:t>
      </w:r>
      <w:hyperlink w:anchor="latin-record-1227">
        <w:r>
          <w:rPr>
            <w:color w:val="000000"/>
          </w:rPr>
          <w:t xml:space="preserve">spiritus (vital mediator)</w:t>
        </w:r>
      </w:hyperlink>
      <w:r>
        <w:rPr>
          <w:b w:val="0"/>
          <w:i w:val="0"/>
        </w:rPr>
        <w:t xml:space="preserve">; </w:t>
      </w:r>
      <w:hyperlink w:anchor="latin-record-1261">
        <w:r>
          <w:rPr>
            <w:color w:val="000000"/>
          </w:rPr>
          <w:t xml:space="preserve">superare / excedere / excellere</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w:t>
      </w:r>
    </w:p>
    <w:p>
      <w:pPr>
        <w:widowControl/>
      </w:pPr>
      <w:bookmarkStart w:id="1938" w:name="passage-viii-2-4"/>
      <w:bookmarkEnd w:id="1938"/>
      <w:r>
        <w:rPr>
          <w:b/>
          <w:i w:val="0"/>
        </w:rPr>
        <w:t>VIII.2.4</w:t>
      </w:r>
      <w:r>
        <w:rPr>
          <w:b/>
          <w:i w:val="0"/>
        </w:rPr>
        <w:t>, source pp. 296–297.</w:t>
      </w:r>
      <w:r>
        <w:rPr>
          <w:b w:val="0"/>
          <w:i w:val="0"/>
        </w:rPr>
        <w:t xml:space="preserve"> Articles: </w:t>
      </w:r>
      <w:hyperlink w:anchor="viii-virtue-equality">
        <w:r>
          <w:rPr>
            <w:color w:val="000000"/>
          </w:rPr>
          <w:t xml:space="preserve">Spiritual equality, the line, and the tuned lyre</w:t>
        </w:r>
      </w:hyperlink>
      <w:r>
        <w:rPr>
          <w:b w:val="0"/>
          <w:i w:val="0"/>
        </w:rPr>
        <w:t xml:space="preserve">. Vocabulary: </w:t>
      </w:r>
      <w:hyperlink w:anchor="latin-record-0040">
        <w:r>
          <w:rPr>
            <w:color w:val="000000"/>
          </w:rPr>
          <w:t xml:space="preserve">aequalitas / consonantia</w:t>
        </w:r>
      </w:hyperlink>
      <w:r>
        <w:rPr>
          <w:b w:val="0"/>
          <w:i w:val="0"/>
        </w:rPr>
        <w:t xml:space="preserve">; </w:t>
      </w:r>
      <w:hyperlink w:anchor="latin-record-0355">
        <w:r>
          <w:rPr>
            <w:color w:val="000000"/>
          </w:rPr>
          <w:t xml:space="preserve">dare / tribuere</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738">
        <w:r>
          <w:rPr>
            <w:color w:val="000000"/>
          </w:rPr>
          <w:t xml:space="preserve">lyra / temperare</w:t>
        </w:r>
      </w:hyperlink>
      <w:r>
        <w:rPr>
          <w:b w:val="0"/>
          <w:i w:val="0"/>
        </w:rPr>
        <w:t xml:space="preserve">; </w:t>
      </w:r>
      <w:hyperlink w:anchor="latin-record-0740">
        <w:r>
          <w:rPr>
            <w:color w:val="000000"/>
          </w:rPr>
          <w:t xml:space="preserve">Magi</w:t>
        </w:r>
      </w:hyperlink>
      <w:r>
        <w:rPr>
          <w:b w:val="0"/>
          <w:i w:val="0"/>
        </w:rPr>
        <w:t xml:space="preserve">; </w:t>
      </w:r>
      <w:hyperlink w:anchor="latin-record-0790">
        <w:r>
          <w:rPr>
            <w:color w:val="000000"/>
          </w:rPr>
          <w:t xml:space="preserve">modus / pactum</w:t>
        </w:r>
      </w:hyperlink>
      <w:r>
        <w:rPr>
          <w:b w:val="0"/>
          <w:i w:val="0"/>
        </w:rPr>
        <w:t xml:space="preserve">; </w:t>
      </w:r>
      <w:hyperlink w:anchor="latin-record-1039">
        <w:r>
          <w:rPr>
            <w:color w:val="000000"/>
          </w:rPr>
          <w:t xml:space="preserve">quadrangularis / circularis</w:t>
        </w:r>
      </w:hyperlink>
      <w:r>
        <w:rPr>
          <w:b w:val="0"/>
          <w:i w:val="0"/>
        </w:rPr>
        <w:t xml:space="preserve">; </w:t>
      </w:r>
      <w:hyperlink w:anchor="latin-record-1044">
        <w:r>
          <w:rPr>
            <w:color w:val="000000"/>
          </w:rPr>
          <w:t xml:space="preserve">quantitas</w:t>
        </w:r>
      </w:hyperlink>
      <w:r>
        <w:rPr>
          <w:b w:val="0"/>
          <w:i w:val="0"/>
        </w:rPr>
        <w:t>.</w:t>
      </w:r>
    </w:p>
    <w:p>
      <w:pPr>
        <w:widowControl/>
      </w:pPr>
      <w:bookmarkStart w:id="1939" w:name="passage-viii-2-5"/>
      <w:bookmarkEnd w:id="1939"/>
      <w:r>
        <w:rPr>
          <w:b/>
          <w:i w:val="0"/>
        </w:rPr>
        <w:t>VIII.2.5</w:t>
      </w:r>
      <w:r>
        <w:rPr>
          <w:b/>
          <w:i w:val="0"/>
        </w:rPr>
        <w:t>, source pp. 298–299.</w:t>
      </w:r>
      <w:r>
        <w:rPr>
          <w:b w:val="0"/>
          <w:i w:val="0"/>
        </w:rPr>
        <w:t xml:space="preserve"> Articles: </w:t>
      </w:r>
      <w:hyperlink w:anchor="viii-body-instrument">
        <w:r>
          <w:rPr>
            <w:color w:val="000000"/>
          </w:rPr>
          <w:t xml:space="preserve">Body, instruments, and vital spirit</w:t>
        </w:r>
      </w:hyperlink>
      <w:r>
        <w:rPr>
          <w:b w:val="0"/>
          <w:i w:val="0"/>
        </w:rPr>
        <w:t xml:space="preserve">; </w:t>
      </w:r>
      <w:hyperlink w:anchor="viii-food-truth">
        <w:r>
          <w:rPr>
            <w:color w:val="000000"/>
          </w:rPr>
          <w:t xml:space="preserve">Food, truth, and the hungry mind</w:t>
        </w:r>
      </w:hyperlink>
      <w:r>
        <w:rPr>
          <w:b w:val="0"/>
          <w:i w:val="0"/>
        </w:rPr>
        <w:t xml:space="preserve">. Vocabulary: </w:t>
      </w:r>
      <w:hyperlink w:anchor="latin-record-0067">
        <w:r>
          <w:rPr>
            <w:color w:val="000000"/>
          </w:rPr>
          <w:t xml:space="preserve">alere / nutrire</w:t>
        </w:r>
      </w:hyperlink>
      <w:r>
        <w:rPr>
          <w:b w:val="0"/>
          <w:i w:val="0"/>
        </w:rPr>
        <w:t xml:space="preserve">; </w:t>
      </w:r>
      <w:hyperlink w:anchor="latin-record-0071">
        <w:r>
          <w:rPr>
            <w:color w:val="000000"/>
          </w:rPr>
          <w:t xml:space="preserve">alimentum / alimonia / esca / cibus</w:t>
        </w:r>
      </w:hyperlink>
      <w:r>
        <w:rPr>
          <w:b w:val="0"/>
          <w:i w:val="0"/>
        </w:rPr>
        <w:t xml:space="preserve">; </w:t>
      </w:r>
      <w:hyperlink w:anchor="latin-record-0105">
        <w:r>
          <w:rPr>
            <w:color w:val="000000"/>
          </w:rPr>
          <w:t xml:space="preserve">animus</w:t>
        </w:r>
      </w:hyperlink>
      <w:r>
        <w:rPr>
          <w:b w:val="0"/>
          <w:i w:val="0"/>
        </w:rPr>
        <w:t xml:space="preserve">; </w:t>
      </w:r>
      <w:hyperlink w:anchor="latin-record-0109">
        <w:r>
          <w:rPr>
            <w:color w:val="000000"/>
          </w:rPr>
          <w:t xml:space="preserve">appetere / cupere / affectare</w:t>
        </w:r>
      </w:hyperlink>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243">
        <w:r>
          <w:rPr>
            <w:color w:val="000000"/>
          </w:rPr>
          <w:t xml:space="preserve">commodum / utilitas</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6">
        <w:r>
          <w:rPr>
            <w:color w:val="000000"/>
          </w:rPr>
          <w:t xml:space="preserve">Deus / divinus</w:t>
        </w:r>
      </w:hyperlink>
      <w:r>
        <w:rPr>
          <w:b w:val="0"/>
          <w:i w:val="0"/>
        </w:rPr>
        <w:t xml:space="preserve">; </w:t>
      </w:r>
      <w:hyperlink w:anchor="latin-record-0437">
        <w:r>
          <w:rPr>
            <w:color w:val="000000"/>
          </w:rPr>
          <w:t xml:space="preserve">enervare / nervosus</w:t>
        </w:r>
      </w:hyperlink>
      <w:r>
        <w:rPr>
          <w:b w:val="0"/>
          <w:i w:val="0"/>
        </w:rPr>
        <w:t xml:space="preserve">; </w:t>
      </w:r>
      <w:hyperlink w:anchor="latin-record-0440">
        <w:r>
          <w:rPr>
            <w:color w:val="000000"/>
          </w:rPr>
          <w:t xml:space="preserve">esse</w:t>
        </w:r>
      </w:hyperlink>
      <w:r>
        <w:rPr>
          <w:b w:val="0"/>
          <w:i w:val="0"/>
        </w:rPr>
        <w:t xml:space="preserve">; </w:t>
      </w:r>
      <w:hyperlink w:anchor="latin-record-0448">
        <w:r>
          <w:rPr>
            <w:color w:val="000000"/>
          </w:rPr>
          <w:t xml:space="preserve">esurire / sitire</w:t>
        </w:r>
      </w:hyperlink>
      <w:r>
        <w:rPr>
          <w:b w:val="0"/>
          <w:i w:val="0"/>
        </w:rPr>
        <w:t xml:space="preserve">; </w:t>
      </w:r>
      <w:hyperlink w:anchor="latin-record-0465">
        <w:r>
          <w:rPr>
            <w:color w:val="000000"/>
          </w:rPr>
          <w:t xml:space="preserve">exsultare / illuminare / adolescere</w:t>
        </w:r>
      </w:hyperlink>
      <w:r>
        <w:rPr>
          <w:b w:val="0"/>
          <w:i w:val="0"/>
        </w:rPr>
        <w:t xml:space="preserve">; </w:t>
      </w:r>
      <w:hyperlink w:anchor="latin-record-0565">
        <w:r>
          <w:rPr>
            <w:color w:val="000000"/>
          </w:rPr>
          <w:t xml:space="preserve">homo / humanus</w:t>
        </w:r>
      </w:hyperlink>
      <w:r>
        <w:rPr>
          <w:b w:val="0"/>
          <w:i w:val="0"/>
        </w:rPr>
        <w:t xml:space="preserve">; </w:t>
      </w:r>
      <w:hyperlink w:anchor="latin-record-0595">
        <w:r>
          <w:rPr>
            <w:color w:val="000000"/>
          </w:rPr>
          <w:t xml:space="preserve">immo / tamen / non tamen</w:t>
        </w:r>
      </w:hyperlink>
      <w:r>
        <w:rPr>
          <w:b w:val="0"/>
          <w:i w:val="0"/>
        </w:rPr>
        <w:t xml:space="preserve">; </w:t>
      </w:r>
      <w:hyperlink w:anchor="latin-record-0770">
        <w:r>
          <w:rPr>
            <w:color w:val="000000"/>
          </w:rPr>
          <w:t xml:space="preserve">mediocriter / gravari / languescere / aegrotare</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23">
        <w:r>
          <w:rPr>
            <w:color w:val="000000"/>
          </w:rPr>
          <w:t xml:space="preserve">natura</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1092">
        <w:r>
          <w:rPr>
            <w:color w:val="000000"/>
          </w:rPr>
          <w:t xml:space="preserve">regere / curare</w:t>
        </w:r>
      </w:hyperlink>
      <w:r>
        <w:rPr>
          <w:b w:val="0"/>
          <w:i w:val="0"/>
        </w:rPr>
        <w:t xml:space="preserve">; </w:t>
      </w:r>
      <w:hyperlink w:anchor="latin-record-1112">
        <w:r>
          <w:rPr>
            <w:color w:val="000000"/>
          </w:rPr>
          <w:t xml:space="preserve">res</w:t>
        </w:r>
      </w:hyperlink>
      <w:r>
        <w:rPr>
          <w:b w:val="0"/>
          <w:i w:val="0"/>
        </w:rPr>
        <w:t xml:space="preserve">; </w:t>
      </w:r>
      <w:hyperlink w:anchor="latin-record-1176">
        <w:r>
          <w:rPr>
            <w:color w:val="000000"/>
          </w:rPr>
          <w:t xml:space="preserve">similitudo</w:t>
        </w:r>
      </w:hyperlink>
      <w:r>
        <w:rPr>
          <w:b w:val="0"/>
          <w:i w:val="0"/>
        </w:rPr>
        <w:t xml:space="preserve">; </w:t>
      </w:r>
      <w:hyperlink w:anchor="latin-record-1339">
        <w:r>
          <w:rPr>
            <w:color w:val="000000"/>
          </w:rPr>
          <w:t xml:space="preserve">veritas / verum</w:t>
        </w:r>
      </w:hyperlink>
      <w:r>
        <w:rPr>
          <w:b w:val="0"/>
          <w:i w:val="0"/>
        </w:rPr>
        <w:t xml:space="preserve">; </w:t>
      </w:r>
      <w:hyperlink w:anchor="latin-record-1344">
        <w:r>
          <w:rPr>
            <w:color w:val="000000"/>
          </w:rPr>
          <w:t xml:space="preserve">vesci / pasci</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40" w:name="passage-viii-2-6"/>
      <w:bookmarkEnd w:id="1940"/>
      <w:r>
        <w:rPr>
          <w:b/>
          <w:i w:val="0"/>
        </w:rPr>
        <w:t>VIII.2.6</w:t>
      </w:r>
      <w:r>
        <w:rPr>
          <w:b/>
          <w:i w:val="0"/>
        </w:rPr>
        <w:t>, source pp. 300–301.</w:t>
      </w:r>
      <w:r>
        <w:rPr>
          <w:b w:val="0"/>
          <w:i w:val="0"/>
        </w:rPr>
        <w:t xml:space="preserve"> Articles: </w:t>
      </w:r>
      <w:hyperlink w:anchor="viii-food-truth">
        <w:r>
          <w:rPr>
            <w:color w:val="000000"/>
          </w:rPr>
          <w:t xml:space="preserve">Food, truth, and the hungry mind</w:t>
        </w:r>
      </w:hyperlink>
      <w:r>
        <w:rPr>
          <w:b w:val="0"/>
          <w:i w:val="0"/>
        </w:rPr>
        <w:t xml:space="preserve">. Vocabulary: </w:t>
      </w:r>
      <w:hyperlink w:anchor="latin-record-0071">
        <w:r>
          <w:rPr>
            <w:color w:val="000000"/>
          </w:rPr>
          <w:t xml:space="preserve">alimentum / alimonia / esca / cibus</w:t>
        </w:r>
      </w:hyperlink>
      <w:r>
        <w:rPr>
          <w:b w:val="0"/>
          <w:i w:val="0"/>
        </w:rPr>
        <w:t xml:space="preserve">; </w:t>
      </w:r>
      <w:hyperlink w:anchor="latin-record-0109">
        <w:r>
          <w:rPr>
            <w:color w:val="000000"/>
          </w:rPr>
          <w:t xml:space="preserve">appetere / cupere / affectare</w:t>
        </w:r>
      </w:hyperlink>
      <w:r>
        <w:rPr>
          <w:b w:val="0"/>
          <w:i w:val="0"/>
        </w:rPr>
        <w:t xml:space="preserve">; </w:t>
      </w:r>
      <w:hyperlink w:anchor="latin-record-0110">
        <w:r>
          <w:rPr>
            <w:color w:val="000000"/>
          </w:rPr>
          <w:t xml:space="preserve">appetitus / appetitio</w:t>
        </w:r>
      </w:hyperlink>
      <w:r>
        <w:rPr>
          <w:b w:val="0"/>
          <w:i w:val="0"/>
        </w:rPr>
        <w:t xml:space="preserve">; </w:t>
      </w:r>
      <w:hyperlink w:anchor="latin-record-0301">
        <w:r>
          <w:rPr>
            <w:color w:val="000000"/>
          </w:rPr>
          <w:t xml:space="preserve">consensio stabilis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6">
        <w:r>
          <w:rPr>
            <w:color w:val="000000"/>
          </w:rPr>
          <w:t xml:space="preserve">Deus / divinus</w:t>
        </w:r>
      </w:hyperlink>
      <w:r>
        <w:rPr>
          <w:b w:val="0"/>
          <w:i w:val="0"/>
        </w:rPr>
        <w:t xml:space="preserve">; </w:t>
      </w:r>
      <w:hyperlink w:anchor="latin-record-0565">
        <w:r>
          <w:rPr>
            <w:color w:val="000000"/>
          </w:rPr>
          <w:t xml:space="preserve">homo / humanus</w:t>
        </w:r>
      </w:hyperlink>
      <w:r>
        <w:rPr>
          <w:b w:val="0"/>
          <w:i w:val="0"/>
        </w:rPr>
        <w:t xml:space="preserve">; </w:t>
      </w:r>
      <w:hyperlink w:anchor="latin-record-0818">
        <w:r>
          <w:rPr>
            <w:color w:val="000000"/>
          </w:rPr>
          <w:t xml:space="preserve">mutatio / mutare</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1344">
        <w:r>
          <w:rPr>
            <w:color w:val="000000"/>
          </w:rPr>
          <w:t xml:space="preserve">vesci / pasci</w:t>
        </w:r>
      </w:hyperlink>
      <w:r>
        <w:rPr>
          <w:b w:val="0"/>
          <w:i w:val="0"/>
        </w:rPr>
        <w:t>.</w:t>
      </w:r>
    </w:p>
    <w:p>
      <w:pPr>
        <w:widowControl/>
      </w:pPr>
      <w:bookmarkStart w:id="1941" w:name="passage-viii-2-7"/>
      <w:bookmarkEnd w:id="1941"/>
      <w:r>
        <w:rPr>
          <w:b/>
          <w:i w:val="0"/>
        </w:rPr>
        <w:t>VIII.2.7</w:t>
      </w:r>
      <w:r>
        <w:rPr>
          <w:b/>
          <w:i w:val="0"/>
        </w:rPr>
        <w:t>, source pp. 302–303.</w:t>
      </w:r>
      <w:r>
        <w:rPr>
          <w:b w:val="0"/>
          <w:i w:val="0"/>
        </w:rPr>
        <w:t xml:space="preserve"> Articles: </w:t>
      </w:r>
      <w:hyperlink w:anchor="viii-truth-mathematics">
        <w:r>
          <w:rPr>
            <w:color w:val="000000"/>
          </w:rPr>
          <w:t xml:space="preserve">Truth, mathematical figures, and immutable principles</w:t>
        </w:r>
      </w:hyperlink>
      <w:r>
        <w:rPr>
          <w:b w:val="0"/>
          <w:i w:val="0"/>
        </w:rPr>
        <w:t xml:space="preserve">. Vocabulary: </w:t>
      </w:r>
      <w:hyperlink w:anchor="latin-record-0167">
        <w:r>
          <w:rPr>
            <w:color w:val="000000"/>
          </w:rPr>
          <w:t xml:space="preserve">bonum / malum</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6">
        <w:r>
          <w:rPr>
            <w:color w:val="000000"/>
          </w:rPr>
          <w:t xml:space="preserve">Deus / divinus</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15">
        <w:r>
          <w:rPr>
            <w:color w:val="000000"/>
          </w:rPr>
          <w:t xml:space="preserve">forte / forsitan / si modo</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30">
        <w:r>
          <w:rPr>
            <w:color w:val="000000"/>
          </w:rPr>
          <w:t xml:space="preserve">inesse</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724">
        <w:r>
          <w:rPr>
            <w:color w:val="000000"/>
          </w:rPr>
          <w:t xml:space="preserve">longitudo / latitudo / profunditas</w:t>
        </w:r>
      </w:hyperlink>
      <w:r>
        <w:rPr>
          <w:b w:val="0"/>
          <w:i w:val="0"/>
        </w:rPr>
        <w:t xml:space="preserve">; </w:t>
      </w:r>
      <w:hyperlink w:anchor="latin-record-0767">
        <w:r>
          <w:rPr>
            <w:color w:val="000000"/>
          </w:rPr>
          <w:t xml:space="preserve">mathematici / circulus / planum</w:t>
        </w:r>
      </w:hyperlink>
      <w:r>
        <w:rPr>
          <w:b w:val="0"/>
          <w:i w:val="0"/>
        </w:rPr>
        <w:t xml:space="preserve">; </w:t>
      </w:r>
      <w:hyperlink w:anchor="latin-record-0815">
        <w:r>
          <w:rPr>
            <w:color w:val="000000"/>
          </w:rPr>
          <w:t xml:space="preserve">mutabilis / immutabilis</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16">
        <w:r>
          <w:rPr>
            <w:color w:val="000000"/>
          </w:rPr>
          <w:t xml:space="preserve">proprius</w:t>
        </w:r>
      </w:hyperlink>
      <w:r>
        <w:rPr>
          <w:b w:val="0"/>
          <w:i w:val="0"/>
        </w:rPr>
        <w:t xml:space="preserve">; </w:t>
      </w:r>
      <w:hyperlink w:anchor="latin-record-1044">
        <w:r>
          <w:rPr>
            <w:color w:val="000000"/>
          </w:rPr>
          <w:t xml:space="preserve">quantitas</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67">
        <w:r>
          <w:rPr>
            <w:color w:val="000000"/>
          </w:rPr>
          <w:t xml:space="preserve">ratio (reasoning power)</w:t>
        </w:r>
      </w:hyperlink>
      <w:r>
        <w:rPr>
          <w:b w:val="0"/>
          <w:i w:val="0"/>
        </w:rPr>
        <w:t xml:space="preserve">; </w:t>
      </w:r>
      <w:hyperlink w:anchor="latin-record-1112">
        <w:r>
          <w:rPr>
            <w:color w:val="000000"/>
          </w:rPr>
          <w:t xml:space="preserve">res</w:t>
        </w:r>
      </w:hyperlink>
      <w:r>
        <w:rPr>
          <w:b w:val="0"/>
          <w:i w:val="0"/>
        </w:rPr>
        <w:t xml:space="preserve">; </w:t>
      </w:r>
      <w:hyperlink w:anchor="latin-record-1226">
        <w:r>
          <w:rPr>
            <w:color w:val="000000"/>
          </w:rPr>
          <w:t xml:space="preserve">spiritus (incorporeal)</w:t>
        </w:r>
      </w:hyperlink>
      <w:r>
        <w:rPr>
          <w:b w:val="0"/>
          <w:i w:val="0"/>
        </w:rPr>
        <w:t xml:space="preserve">; </w:t>
      </w:r>
      <w:hyperlink w:anchor="latin-record-1323">
        <w:r>
          <w:rPr>
            <w:color w:val="000000"/>
          </w:rPr>
          <w:t xml:space="preserve">universalis</w:t>
        </w:r>
      </w:hyperlink>
      <w:r>
        <w:rPr>
          <w:b w:val="0"/>
          <w:i w:val="0"/>
        </w:rPr>
        <w:t xml:space="preserve">; </w:t>
      </w:r>
      <w:hyperlink w:anchor="latin-record-1339">
        <w:r>
          <w:rPr>
            <w:color w:val="000000"/>
          </w:rPr>
          <w:t xml:space="preserve">veritas / verum</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42" w:name="passage-viii-2-8"/>
      <w:bookmarkEnd w:id="1942"/>
      <w:r>
        <w:rPr>
          <w:b/>
          <w:i w:val="0"/>
        </w:rPr>
        <w:t>VIII.2.8</w:t>
      </w:r>
      <w:r>
        <w:rPr>
          <w:b/>
          <w:i w:val="0"/>
        </w:rPr>
        <w:t>, source pp. 304–305.</w:t>
      </w:r>
      <w:r>
        <w:rPr>
          <w:b w:val="0"/>
          <w:i w:val="0"/>
        </w:rPr>
        <w:t xml:space="preserve"> Articles: </w:t>
      </w:r>
      <w:hyperlink w:anchor="viii-food-truth">
        <w:r>
          <w:rPr>
            <w:color w:val="000000"/>
          </w:rPr>
          <w:t xml:space="preserve">Food, truth, and the hungry mind</w:t>
        </w:r>
      </w:hyperlink>
      <w:r>
        <w:rPr>
          <w:b w:val="0"/>
          <w:i w:val="0"/>
        </w:rPr>
        <w:t xml:space="preserve">; </w:t>
      </w:r>
      <w:hyperlink w:anchor="viii-individual-perpetuity">
        <w:r>
          <w:rPr>
            <w:color w:val="000000"/>
          </w:rPr>
          <w:t xml:space="preserve">Individual immortality and the scope of the conclusion</w:t>
        </w:r>
      </w:hyperlink>
      <w:r>
        <w:rPr>
          <w:b w:val="0"/>
          <w:i w:val="0"/>
        </w:rPr>
        <w:t xml:space="preserve">; </w:t>
      </w:r>
      <w:hyperlink w:anchor="viii-natural-desire">
        <w:r>
          <w:rPr>
            <w:color w:val="000000"/>
          </w:rPr>
          <w:t xml:space="preserve">Natural desire, possible good, and Olympiodorus</w:t>
        </w:r>
      </w:hyperlink>
      <w:r>
        <w:rPr>
          <w:b w:val="0"/>
          <w:i w:val="0"/>
        </w:rPr>
        <w:t xml:space="preserve">; </w:t>
      </w:r>
      <w:hyperlink w:anchor="viii-truth-mathematics">
        <w:r>
          <w:rPr>
            <w:color w:val="000000"/>
          </w:rPr>
          <w:t xml:space="preserve">Truth, mathematical figures, and immutable principles</w:t>
        </w:r>
      </w:hyperlink>
      <w:r>
        <w:rPr>
          <w:b w:val="0"/>
          <w:i w:val="0"/>
        </w:rPr>
        <w:t xml:space="preserve">. Vocabulary: </w:t>
      </w:r>
      <w:hyperlink w:anchor="latin-record-0017">
        <w:r>
          <w:rPr>
            <w:color w:val="000000"/>
          </w:rPr>
          <w:t xml:space="preserve">accipere / suscipere</w:t>
        </w:r>
      </w:hyperlink>
      <w:r>
        <w:rPr>
          <w:b w:val="0"/>
          <w:i w:val="0"/>
        </w:rPr>
        <w:t xml:space="preserve">; </w:t>
      </w:r>
      <w:hyperlink w:anchor="latin-record-0071">
        <w:r>
          <w:rPr>
            <w:color w:val="000000"/>
          </w:rPr>
          <w:t xml:space="preserve">alimentum / alimonia / esca / cibus</w:t>
        </w:r>
      </w:hyperlink>
      <w:r>
        <w:rPr>
          <w:b w:val="0"/>
          <w:i w:val="0"/>
        </w:rPr>
        <w:t xml:space="preserve">; </w:t>
      </w:r>
      <w:hyperlink w:anchor="latin-record-0105">
        <w:r>
          <w:rPr>
            <w:color w:val="000000"/>
          </w:rPr>
          <w:t xml:space="preserve">animus</w:t>
        </w:r>
      </w:hyperlink>
      <w:r>
        <w:rPr>
          <w:b w:val="0"/>
          <w:i w:val="0"/>
        </w:rPr>
        <w:t xml:space="preserve">; </w:t>
      </w:r>
      <w:hyperlink w:anchor="latin-record-0109">
        <w:r>
          <w:rPr>
            <w:color w:val="000000"/>
          </w:rPr>
          <w:t xml:space="preserve">appetere / cupere / affectare</w:t>
        </w:r>
      </w:hyperlink>
      <w:r>
        <w:rPr>
          <w:b w:val="0"/>
          <w:i w:val="0"/>
        </w:rPr>
        <w:t xml:space="preserve">; </w:t>
      </w:r>
      <w:hyperlink w:anchor="latin-record-0110">
        <w:r>
          <w:rPr>
            <w:color w:val="000000"/>
          </w:rPr>
          <w:t xml:space="preserve">appetitus / appetitio</w:t>
        </w:r>
      </w:hyperlink>
      <w:r>
        <w:rPr>
          <w:b w:val="0"/>
          <w:i w:val="0"/>
        </w:rPr>
        <w:t xml:space="preserve">; </w:t>
      </w:r>
      <w:hyperlink w:anchor="latin-record-0121">
        <w:r>
          <w:rPr>
            <w:color w:val="000000"/>
          </w:rPr>
          <w:t xml:space="preserve">argumentatio / demonstratio</w:t>
        </w:r>
      </w:hyperlink>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167">
        <w:r>
          <w:rPr>
            <w:color w:val="000000"/>
          </w:rPr>
          <w:t xml:space="preserve">bonum / malum</w:t>
        </w:r>
      </w:hyperlink>
      <w:r>
        <w:rPr>
          <w:b w:val="0"/>
          <w:i w:val="0"/>
        </w:rPr>
        <w:t xml:space="preserve">; </w:t>
      </w:r>
      <w:hyperlink w:anchor="latin-record-0329">
        <w:r>
          <w:rPr>
            <w:color w:val="000000"/>
          </w:rPr>
          <w:t xml:space="preserve">converti / convertere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42">
        <w:r>
          <w:rPr>
            <w:color w:val="000000"/>
          </w:rPr>
          <w:t xml:space="preserve">corrumpere / interire / perdere</w:t>
        </w:r>
      </w:hyperlink>
      <w:r>
        <w:rPr>
          <w:b w:val="0"/>
          <w:i w:val="0"/>
        </w:rPr>
        <w:t xml:space="preserve">; </w:t>
      </w:r>
      <w:hyperlink w:anchor="latin-record-0376">
        <w:r>
          <w:rPr>
            <w:color w:val="000000"/>
          </w:rPr>
          <w:t xml:space="preserve">Deus / divinus</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92">
        <w:r>
          <w:rPr>
            <w:color w:val="000000"/>
          </w:rPr>
          <w:t xml:space="preserve">iudicare / pronuntiare</w:t>
        </w:r>
      </w:hyperlink>
      <w:r>
        <w:rPr>
          <w:b w:val="0"/>
          <w:i w:val="0"/>
        </w:rPr>
        <w:t xml:space="preserve">; </w:t>
      </w:r>
      <w:hyperlink w:anchor="latin-record-0778">
        <w:r>
          <w:rPr>
            <w:color w:val="000000"/>
          </w:rPr>
          <w:t xml:space="preserve">mens (additional inflections)</w:t>
        </w:r>
      </w:hyperlink>
      <w:r>
        <w:rPr>
          <w:b w:val="0"/>
          <w:i w:val="0"/>
        </w:rPr>
        <w:t xml:space="preserve">; </w:t>
      </w:r>
      <w:hyperlink w:anchor="latin-record-0790">
        <w:r>
          <w:rPr>
            <w:color w:val="000000"/>
          </w:rPr>
          <w:t xml:space="preserve">modus / pactum</w:t>
        </w:r>
      </w:hyperlink>
      <w:r>
        <w:rPr>
          <w:b w:val="0"/>
          <w:i w:val="0"/>
        </w:rPr>
        <w:t xml:space="preserve">; </w:t>
      </w:r>
      <w:hyperlink w:anchor="latin-record-0801">
        <w:r>
          <w:rPr>
            <w:color w:val="000000"/>
          </w:rPr>
          <w:t xml:space="preserve">mortalis / corruptibilis</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858">
        <w:r>
          <w:rPr>
            <w:color w:val="000000"/>
          </w:rPr>
          <w:t xml:space="preserve">Olympiodorus / Phaedo / Gorgias</w:t>
        </w:r>
      </w:hyperlink>
      <w:r>
        <w:rPr>
          <w:b w:val="0"/>
          <w:i w:val="0"/>
        </w:rPr>
        <w:t xml:space="preserve">; </w:t>
      </w:r>
      <w:hyperlink w:anchor="latin-record-0966">
        <w:r>
          <w:rPr>
            <w:color w:val="000000"/>
          </w:rPr>
          <w:t xml:space="preserve">possibile / utile / impotentia</w:t>
        </w:r>
      </w:hyperlink>
      <w:r>
        <w:rPr>
          <w:b w:val="0"/>
          <w:i w:val="0"/>
        </w:rPr>
        <w:t xml:space="preserve">; </w:t>
      </w:r>
      <w:hyperlink w:anchor="latin-record-0968">
        <w:r>
          <w:rPr>
            <w:color w:val="000000"/>
          </w:rPr>
          <w:t xml:space="preserve">potentia</w:t>
        </w:r>
      </w:hyperlink>
      <w:r>
        <w:rPr>
          <w:b w:val="0"/>
          <w:i w:val="0"/>
        </w:rPr>
        <w:t xml:space="preserve">; </w:t>
      </w:r>
      <w:hyperlink w:anchor="latin-record-1038">
        <w:r>
          <w:rPr>
            <w:color w:val="000000"/>
          </w:rPr>
          <w:t xml:space="preserve">qua ratione / quatenus</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67">
        <w:r>
          <w:rPr>
            <w:color w:val="000000"/>
          </w:rPr>
          <w:t xml:space="preserve">ratio (reasoning power)</w:t>
        </w:r>
      </w:hyperlink>
      <w:r>
        <w:rPr>
          <w:b w:val="0"/>
          <w:i w:val="0"/>
        </w:rPr>
        <w:t xml:space="preserve">; </w:t>
      </w:r>
      <w:hyperlink w:anchor="latin-record-1112">
        <w:r>
          <w:rPr>
            <w:color w:val="000000"/>
          </w:rPr>
          <w:t xml:space="preserve">res</w:t>
        </w:r>
      </w:hyperlink>
      <w:r>
        <w:rPr>
          <w:b w:val="0"/>
          <w:i w:val="0"/>
        </w:rPr>
        <w:t xml:space="preserve">; </w:t>
      </w:r>
      <w:hyperlink w:anchor="latin-record-1156">
        <w:r>
          <w:rPr>
            <w:color w:val="000000"/>
          </w:rPr>
          <w:t xml:space="preserve">sensus</w:t>
        </w:r>
      </w:hyperlink>
      <w:r>
        <w:rPr>
          <w:b w:val="0"/>
          <w:i w:val="0"/>
        </w:rPr>
        <w:t xml:space="preserve">; </w:t>
      </w:r>
      <w:hyperlink w:anchor="latin-record-1164">
        <w:r>
          <w:rPr>
            <w:color w:val="000000"/>
          </w:rPr>
          <w:t xml:space="preserve">separare / segregare</w:t>
        </w:r>
      </w:hyperlink>
      <w:r>
        <w:rPr>
          <w:b w:val="0"/>
          <w:i w:val="0"/>
        </w:rPr>
        <w:t xml:space="preserve">; </w:t>
      </w:r>
      <w:hyperlink w:anchor="latin-record-1339">
        <w:r>
          <w:rPr>
            <w:color w:val="000000"/>
          </w:rPr>
          <w:t xml:space="preserve">veritas / verum</w:t>
        </w:r>
      </w:hyperlink>
      <w:r>
        <w:rPr>
          <w:b w:val="0"/>
          <w:i w:val="0"/>
        </w:rPr>
        <w:t xml:space="preserve">; </w:t>
      </w:r>
      <w:hyperlink w:anchor="latin-record-1344">
        <w:r>
          <w:rPr>
            <w:color w:val="000000"/>
          </w:rPr>
          <w:t xml:space="preserve">vesci / pasci</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74">
        <w:r>
          <w:rPr>
            <w:color w:val="000000"/>
          </w:rPr>
          <w:t xml:space="preserve">vita / vivere</w:t>
        </w:r>
      </w:hyperlink>
      <w:r>
        <w:rPr>
          <w:b w:val="0"/>
          <w:i w:val="0"/>
        </w:rPr>
        <w:t xml:space="preserve">; </w:t>
      </w:r>
      <w:hyperlink w:anchor="latin-record-1387">
        <w:r>
          <w:rPr>
            <w:color w:val="000000"/>
          </w:rPr>
          <w:t xml:space="preserve">voluptas / fastidium / dolor</w:t>
        </w:r>
      </w:hyperlink>
      <w:r>
        <w:rPr>
          <w:b w:val="0"/>
          <w:i w:val="0"/>
        </w:rPr>
        <w:t>.</w:t>
      </w:r>
    </w:p>
    <w:p>
      <w:pPr>
        <w:pStyle w:val="Heading2"/>
      </w:pPr>
      <w:bookmarkStart w:id="1943" w:name="chapter-viii.3"/>
      <w:r>
        <w:rPr>
          <w:b w:val="0"/>
          <w:i w:val="0"/>
        </w:rPr>
        <w:t>Chapter VIII.3</w:t>
      </w:r>
      <w:bookmarkEnd w:id="1943"/>
    </w:p>
    <w:p>
      <w:pPr>
        <w:widowControl/>
      </w:pPr>
      <w:bookmarkStart w:id="1944" w:name="passage-viii-3-1"/>
      <w:bookmarkEnd w:id="1944"/>
      <w:r>
        <w:rPr>
          <w:b/>
          <w:i w:val="0"/>
        </w:rPr>
        <w:t>VIII.3.1</w:t>
      </w:r>
      <w:r>
        <w:rPr>
          <w:b/>
          <w:i w:val="0"/>
        </w:rPr>
        <w:t>, source pp. 306–307.</w:t>
      </w:r>
      <w:r>
        <w:rPr>
          <w:b w:val="0"/>
          <w:i w:val="0"/>
        </w:rPr>
        <w:t xml:space="preserve"> Articles: </w:t>
      </w:r>
      <w:hyperlink w:anchor="viii-virtue-quality">
        <w:r>
          <w:rPr>
            <w:color w:val="000000"/>
          </w:rPr>
          <w:t xml:space="preserve">Virtue as an indivisible quality</w:t>
        </w:r>
      </w:hyperlink>
      <w:r>
        <w:rPr>
          <w:b w:val="0"/>
          <w:i w:val="0"/>
        </w:rPr>
        <w:t xml:space="preserve">. Vocabulary: </w:t>
      </w:r>
      <w:hyperlink w:anchor="latin-record-0044">
        <w:r>
          <w:rPr>
            <w:color w:val="000000"/>
          </w:rPr>
          <w:t xml:space="preserve">aequari / aequare</w:t>
        </w:r>
      </w:hyperlink>
      <w:r>
        <w:rPr>
          <w:b w:val="0"/>
          <w:i w:val="0"/>
        </w:rPr>
        <w:t xml:space="preserve">; </w:t>
      </w:r>
      <w:hyperlink w:anchor="latin-record-0062">
        <w:r>
          <w:rPr>
            <w:color w:val="000000"/>
          </w:rPr>
          <w:t xml:space="preserve">aggredi / exponere / ostendere</w:t>
        </w:r>
      </w:hyperlink>
      <w:r>
        <w:rPr>
          <w:b w:val="0"/>
          <w:i w:val="0"/>
        </w:rPr>
        <w:t xml:space="preserve">; </w:t>
      </w:r>
      <w:hyperlink w:anchor="latin-record-0092">
        <w:r>
          <w:rPr>
            <w:color w:val="000000"/>
          </w:rPr>
          <w:t xml:space="preserve">anima</w:t>
        </w:r>
      </w:hyperlink>
      <w:r>
        <w:rPr>
          <w:b w:val="0"/>
          <w:i w:val="0"/>
        </w:rPr>
        <w:t xml:space="preserve">; </w:t>
      </w:r>
      <w:hyperlink w:anchor="latin-record-0110">
        <w:r>
          <w:rPr>
            <w:color w:val="000000"/>
          </w:rPr>
          <w:t xml:space="preserve">appetitus / appetitio</w:t>
        </w:r>
      </w:hyperlink>
      <w:r>
        <w:rPr>
          <w:b w:val="0"/>
          <w:i w:val="0"/>
        </w:rPr>
        <w:t xml:space="preserve">; </w:t>
      </w:r>
      <w:hyperlink w:anchor="latin-record-0121">
        <w:r>
          <w:rPr>
            <w:color w:val="000000"/>
          </w:rPr>
          <w:t xml:space="preserve">argumentatio / demonstratio</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83">
        <w:r>
          <w:rPr>
            <w:color w:val="000000"/>
          </w:rPr>
          <w:t xml:space="preserve">condicio</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55">
        <w:r>
          <w:rPr>
            <w:color w:val="000000"/>
          </w:rPr>
          <w:t xml:space="preserve">dare / tribuere</w:t>
        </w:r>
      </w:hyperlink>
      <w:r>
        <w:rPr>
          <w:b w:val="0"/>
          <w:i w:val="0"/>
        </w:rPr>
        <w:t xml:space="preserve">; </w:t>
      </w:r>
      <w:hyperlink w:anchor="latin-record-0376">
        <w:r>
          <w:rPr>
            <w:color w:val="000000"/>
          </w:rPr>
          <w:t xml:space="preserve">Deus / divinus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16">
        <w:r>
          <w:rPr>
            <w:color w:val="000000"/>
          </w:rPr>
          <w:t xml:space="preserve">fortitudo / timor</w:t>
        </w:r>
      </w:hyperlink>
      <w:r>
        <w:rPr>
          <w:b w:val="0"/>
          <w:i w:val="0"/>
        </w:rPr>
        <w:t xml:space="preserve">; </w:t>
      </w:r>
      <w:hyperlink w:anchor="latin-record-0565">
        <w:r>
          <w:rPr>
            <w:color w:val="000000"/>
          </w:rPr>
          <w:t xml:space="preserve">homo / humanus</w:t>
        </w:r>
      </w:hyperlink>
      <w:r>
        <w:rPr>
          <w:b w:val="0"/>
          <w:i w:val="0"/>
        </w:rPr>
        <w:t xml:space="preserve">; </w:t>
      </w:r>
      <w:hyperlink w:anchor="latin-record-0602">
        <w:r>
          <w:rPr>
            <w:color w:val="000000"/>
          </w:rPr>
          <w:t xml:space="preserve">impedire / cohibere / claudere</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60">
        <w:r>
          <w:rPr>
            <w:color w:val="000000"/>
          </w:rPr>
          <w:t xml:space="preserve">intellectus</w:t>
        </w:r>
      </w:hyperlink>
      <w:r>
        <w:rPr>
          <w:b w:val="0"/>
          <w:i w:val="0"/>
        </w:rPr>
        <w:t xml:space="preserve">; </w:t>
      </w:r>
      <w:hyperlink w:anchor="latin-record-0696">
        <w:r>
          <w:rPr>
            <w:color w:val="000000"/>
          </w:rPr>
          <w:t xml:space="preserve">iustitia / suum cuique</w:t>
        </w:r>
      </w:hyperlink>
      <w:r>
        <w:rPr>
          <w:b w:val="0"/>
          <w:i w:val="0"/>
        </w:rPr>
        <w:t xml:space="preserve">; </w:t>
      </w:r>
      <w:hyperlink w:anchor="latin-record-0790">
        <w:r>
          <w:rPr>
            <w:color w:val="000000"/>
          </w:rPr>
          <w:t xml:space="preserve">modus / pactum</w:t>
        </w:r>
      </w:hyperlink>
      <w:r>
        <w:rPr>
          <w:b w:val="0"/>
          <w:i w:val="0"/>
        </w:rPr>
        <w:t xml:space="preserve">; </w:t>
      </w:r>
      <w:hyperlink w:anchor="latin-record-0796">
        <w:r>
          <w:rPr>
            <w:color w:val="000000"/>
          </w:rPr>
          <w:t xml:space="preserve">mollities appetitus</w:t>
        </w:r>
      </w:hyperlink>
      <w:r>
        <w:rPr>
          <w:b w:val="0"/>
          <w:i w:val="0"/>
        </w:rPr>
        <w:t xml:space="preserve">; </w:t>
      </w:r>
      <w:hyperlink w:anchor="latin-record-0803">
        <w:r>
          <w:rPr>
            <w:color w:val="000000"/>
          </w:rPr>
          <w:t xml:space="preserve">mos / consuetudo</w:t>
        </w:r>
      </w:hyperlink>
      <w:r>
        <w:rPr>
          <w:b w:val="0"/>
          <w:i w:val="0"/>
        </w:rPr>
        <w:t xml:space="preserve">; </w:t>
      </w:r>
      <w:hyperlink w:anchor="latin-record-0829">
        <w:r>
          <w:rPr>
            <w:color w:val="000000"/>
          </w:rPr>
          <w:t xml:space="preserve">naturalis</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0959">
        <w:r>
          <w:rPr>
            <w:color w:val="000000"/>
          </w:rPr>
          <w:t xml:space="preserve">ponere / concedere / admittere</w:t>
        </w:r>
      </w:hyperlink>
      <w:r>
        <w:rPr>
          <w:b w:val="0"/>
          <w:i w:val="0"/>
        </w:rPr>
        <w:t xml:space="preserve">; </w:t>
      </w:r>
      <w:hyperlink w:anchor="latin-record-1040">
        <w:r>
          <w:rPr>
            <w:color w:val="000000"/>
          </w:rPr>
          <w:t xml:space="preserve">quaerere / interrogare / percontari</w:t>
        </w:r>
      </w:hyperlink>
      <w:r>
        <w:rPr>
          <w:b w:val="0"/>
          <w:i w:val="0"/>
        </w:rPr>
        <w:t xml:space="preserve">; </w:t>
      </w:r>
      <w:hyperlink w:anchor="latin-record-1042">
        <w:r>
          <w:rPr>
            <w:color w:val="000000"/>
          </w:rPr>
          <w:t xml:space="preserve">qualitas</w:t>
        </w:r>
      </w:hyperlink>
      <w:r>
        <w:rPr>
          <w:b w:val="0"/>
          <w:i w:val="0"/>
        </w:rPr>
        <w:t xml:space="preserve">; </w:t>
      </w:r>
      <w:hyperlink w:anchor="latin-record-1074">
        <w:r>
          <w:rPr>
            <w:color w:val="000000"/>
          </w:rPr>
          <w:t xml:space="preserve">rationalis</w:t>
        </w:r>
      </w:hyperlink>
      <w:r>
        <w:rPr>
          <w:b w:val="0"/>
          <w:i w:val="0"/>
        </w:rPr>
        <w:t xml:space="preserve">; </w:t>
      </w:r>
      <w:hyperlink w:anchor="latin-record-1112">
        <w:r>
          <w:rPr>
            <w:color w:val="000000"/>
          </w:rPr>
          <w:t xml:space="preserve">res</w:t>
        </w:r>
      </w:hyperlink>
      <w:r>
        <w:rPr>
          <w:b w:val="0"/>
          <w:i w:val="0"/>
        </w:rPr>
        <w:t xml:space="preserve">; </w:t>
      </w:r>
      <w:hyperlink w:anchor="latin-record-1130">
        <w:r>
          <w:rPr>
            <w:color w:val="000000"/>
          </w:rPr>
          <w:t xml:space="preserve">sapere</w:t>
        </w:r>
      </w:hyperlink>
      <w:r>
        <w:rPr>
          <w:b w:val="0"/>
          <w:i w:val="0"/>
        </w:rPr>
        <w:t xml:space="preserve">; </w:t>
      </w:r>
      <w:hyperlink w:anchor="latin-record-1131">
        <w:r>
          <w:rPr>
            <w:color w:val="000000"/>
          </w:rPr>
          <w:t xml:space="preserve">sapientia / scientia / prudentia / ars</w:t>
        </w:r>
      </w:hyperlink>
      <w:r>
        <w:rPr>
          <w:b w:val="0"/>
          <w:i w:val="0"/>
        </w:rPr>
        <w:t xml:space="preserve">; </w:t>
      </w:r>
      <w:hyperlink w:anchor="latin-record-1214">
        <w:r>
          <w:rPr>
            <w:color w:val="000000"/>
          </w:rPr>
          <w:t xml:space="preserve">speculativus / moralis</w:t>
        </w:r>
      </w:hyperlink>
      <w:r>
        <w:rPr>
          <w:b w:val="0"/>
          <w:i w:val="0"/>
        </w:rPr>
        <w:t xml:space="preserve">; </w:t>
      </w:r>
      <w:hyperlink w:anchor="latin-record-1276">
        <w:r>
          <w:rPr>
            <w:color w:val="000000"/>
          </w:rPr>
          <w:t xml:space="preserve">temperantia / libido</w:t>
        </w:r>
      </w:hyperlink>
      <w:r>
        <w:rPr>
          <w:b w:val="0"/>
          <w:i w:val="0"/>
        </w:rPr>
        <w:t xml:space="preserve">; </w:t>
      </w:r>
      <w:hyperlink w:anchor="latin-record-1358">
        <w:r>
          <w:rPr>
            <w:color w:val="000000"/>
          </w:rPr>
          <w:t xml:space="preserve">virtus</w:t>
        </w:r>
      </w:hyperlink>
      <w:r>
        <w:rPr>
          <w:b w:val="0"/>
          <w:i w:val="0"/>
        </w:rPr>
        <w:t>.</w:t>
      </w:r>
    </w:p>
    <w:p>
      <w:pPr>
        <w:widowControl/>
      </w:pPr>
      <w:bookmarkStart w:id="1945" w:name="passage-viii-3-2"/>
      <w:bookmarkEnd w:id="1945"/>
      <w:r>
        <w:rPr>
          <w:b/>
          <w:i w:val="0"/>
        </w:rPr>
        <w:t>VIII.3.2</w:t>
      </w:r>
      <w:r>
        <w:rPr>
          <w:b/>
          <w:i w:val="0"/>
        </w:rPr>
        <w:t>, source pp. 308–309.</w:t>
      </w:r>
      <w:r>
        <w:rPr>
          <w:b w:val="0"/>
          <w:i w:val="0"/>
        </w:rPr>
        <w:t xml:space="preserve"> Articles: </w:t>
      </w:r>
      <w:hyperlink w:anchor="viii-immediate-reflexive">
        <w:r>
          <w:rPr>
            <w:color w:val="000000"/>
          </w:rPr>
          <w:t xml:space="preserve">Immediate intellection and the return to particulars</w:t>
        </w:r>
      </w:hyperlink>
      <w:r>
        <w:rPr>
          <w:b w:val="0"/>
          <w:i w:val="0"/>
        </w:rPr>
        <w:t xml:space="preserve">; </w:t>
      </w:r>
      <w:hyperlink w:anchor="viii-sudden-insight">
        <w:r>
          <w:rPr>
            <w:color w:val="000000"/>
          </w:rPr>
          <w:t xml:space="preserve">Sudden insight, habituation, and the hare</w:t>
        </w:r>
      </w:hyperlink>
      <w:r>
        <w:rPr>
          <w:b w:val="0"/>
          <w:i w:val="0"/>
        </w:rPr>
        <w:t xml:space="preserve">. Vocabulary: </w:t>
      </w:r>
      <w:hyperlink w:anchor="latin-record-0110">
        <w:r>
          <w:rPr>
            <w:color w:val="000000"/>
          </w:rPr>
          <w:t xml:space="preserve">appetitus / appetitio</w:t>
        </w:r>
      </w:hyperlink>
      <w:r>
        <w:rPr>
          <w:b w:val="0"/>
          <w:i w:val="0"/>
        </w:rPr>
        <w:t xml:space="preserve">; </w:t>
      </w:r>
      <w:hyperlink w:anchor="latin-record-0218">
        <w:r>
          <w:rPr>
            <w:color w:val="000000"/>
          </w:rPr>
          <w:t xml:space="preserve">claritas / fervor</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709">
        <w:r>
          <w:rPr>
            <w:color w:val="000000"/>
          </w:rPr>
          <w:t xml:space="preserve">lepus / vestigium / indago</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112">
        <w:r>
          <w:rPr>
            <w:color w:val="000000"/>
          </w:rPr>
          <w:t xml:space="preserve">res</w:t>
        </w:r>
      </w:hyperlink>
      <w:r>
        <w:rPr>
          <w:b w:val="0"/>
          <w:i w:val="0"/>
        </w:rPr>
        <w:t>.</w:t>
      </w:r>
    </w:p>
    <w:p>
      <w:pPr>
        <w:widowControl/>
      </w:pPr>
      <w:bookmarkStart w:id="1946" w:name="passage-viii-3-3"/>
      <w:bookmarkEnd w:id="1946"/>
      <w:r>
        <w:rPr>
          <w:b/>
          <w:i w:val="0"/>
        </w:rPr>
        <w:t>VIII.3.3</w:t>
      </w:r>
      <w:r>
        <w:rPr>
          <w:b/>
          <w:i w:val="0"/>
        </w:rPr>
        <w:t>, source pp. 308–309.</w:t>
      </w:r>
      <w:r>
        <w:rPr>
          <w:b w:val="0"/>
          <w:i w:val="0"/>
        </w:rPr>
        <w:t xml:space="preserve"> Articles: </w:t>
      </w:r>
      <w:hyperlink w:anchor="viii-immediate-reflexive">
        <w:r>
          <w:rPr>
            <w:color w:val="000000"/>
          </w:rPr>
          <w:t xml:space="preserve">Immediate intellection and the return to particulars</w:t>
        </w:r>
      </w:hyperlink>
      <w:r>
        <w:rPr>
          <w:b w:val="0"/>
          <w:i w:val="0"/>
        </w:rPr>
        <w:t xml:space="preserve">; </w:t>
      </w:r>
      <w:hyperlink w:anchor="viii-sudden-insight">
        <w:r>
          <w:rPr>
            <w:color w:val="000000"/>
          </w:rPr>
          <w:t xml:space="preserve">Sudden insight, habituation, and the hare</w:t>
        </w:r>
      </w:hyperlink>
      <w:r>
        <w:rPr>
          <w:b w:val="0"/>
          <w:i w:val="0"/>
        </w:rPr>
        <w:t xml:space="preserve">. Vocabulary: </w:t>
      </w:r>
      <w:hyperlink w:anchor="latin-record-0195">
        <w:r>
          <w:rPr>
            <w:color w:val="000000"/>
          </w:rPr>
          <w:t xml:space="preserve">carere / deficere / abesse</w:t>
        </w:r>
      </w:hyperlink>
      <w:r>
        <w:rPr>
          <w:b w:val="0"/>
          <w:i w:val="0"/>
        </w:rPr>
        <w:t xml:space="preserve">; </w:t>
      </w:r>
      <w:hyperlink w:anchor="latin-record-0218">
        <w:r>
          <w:rPr>
            <w:color w:val="000000"/>
          </w:rPr>
          <w:t xml:space="preserve">claritas / fervor</w:t>
        </w:r>
      </w:hyperlink>
      <w:r>
        <w:rPr>
          <w:b w:val="0"/>
          <w:i w:val="0"/>
        </w:rPr>
        <w:t xml:space="preserve">; </w:t>
      </w:r>
      <w:hyperlink w:anchor="latin-record-0395">
        <w:r>
          <w:rPr>
            <w:color w:val="000000"/>
          </w:rPr>
          <w:t xml:space="preserve">discussio</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51">
        <w:r>
          <w:rPr>
            <w:color w:val="000000"/>
          </w:rPr>
          <w:t xml:space="preserve">inspirare / flagrare / aestus</w:t>
        </w:r>
      </w:hyperlink>
      <w:r>
        <w:rPr>
          <w:b w:val="0"/>
          <w:i w:val="0"/>
        </w:rPr>
        <w:t xml:space="preserve">; </w:t>
      </w:r>
      <w:hyperlink w:anchor="latin-record-0660">
        <w:r>
          <w:rPr>
            <w:color w:val="000000"/>
          </w:rPr>
          <w:t xml:space="preserve">intellectus</w:t>
        </w:r>
      </w:hyperlink>
      <w:r>
        <w:rPr>
          <w:b w:val="0"/>
          <w:i w:val="0"/>
        </w:rPr>
        <w:t xml:space="preserve">; </w:t>
      </w:r>
      <w:hyperlink w:anchor="latin-record-0703">
        <w:r>
          <w:rPr>
            <w:color w:val="000000"/>
          </w:rPr>
          <w:t xml:space="preserve">lapis / scintilla / collidere</w:t>
        </w:r>
      </w:hyperlink>
      <w:r>
        <w:rPr>
          <w:b w:val="0"/>
          <w:i w:val="0"/>
        </w:rPr>
        <w:t xml:space="preserve">; </w:t>
      </w:r>
      <w:hyperlink w:anchor="latin-record-0803">
        <w:r>
          <w:rPr>
            <w:color w:val="000000"/>
          </w:rPr>
          <w:t xml:space="preserve">mos / consuetudo</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074">
        <w:r>
          <w:rPr>
            <w:color w:val="000000"/>
          </w:rPr>
          <w:t xml:space="preserve">rationalis</w:t>
        </w:r>
      </w:hyperlink>
      <w:r>
        <w:rPr>
          <w:b w:val="0"/>
          <w:i w:val="0"/>
        </w:rPr>
        <w:t xml:space="preserve">; </w:t>
      </w:r>
      <w:hyperlink w:anchor="latin-record-1112">
        <w:r>
          <w:rPr>
            <w:color w:val="000000"/>
          </w:rPr>
          <w:t xml:space="preserve">res</w:t>
        </w:r>
      </w:hyperlink>
      <w:r>
        <w:rPr>
          <w:b w:val="0"/>
          <w:i w:val="0"/>
        </w:rPr>
        <w:t xml:space="preserve">; </w:t>
      </w:r>
      <w:hyperlink w:anchor="latin-record-1217">
        <w:r>
          <w:rPr>
            <w:color w:val="000000"/>
          </w:rPr>
          <w:t xml:space="preserve">speculum / lana / accendere</w:t>
        </w:r>
      </w:hyperlink>
      <w:r>
        <w:rPr>
          <w:b w:val="0"/>
          <w:i w:val="0"/>
        </w:rPr>
        <w:t>.</w:t>
      </w:r>
    </w:p>
    <w:p>
      <w:pPr>
        <w:widowControl/>
      </w:pPr>
      <w:bookmarkStart w:id="1947" w:name="passage-viii-3-4"/>
      <w:bookmarkEnd w:id="1947"/>
      <w:r>
        <w:rPr>
          <w:b/>
          <w:i w:val="0"/>
        </w:rPr>
        <w:t>VIII.3.4</w:t>
      </w:r>
      <w:r>
        <w:rPr>
          <w:b/>
          <w:i w:val="0"/>
        </w:rPr>
        <w:t>, source pp. 308–309.</w:t>
      </w:r>
      <w:r>
        <w:rPr>
          <w:b w:val="0"/>
          <w:i w:val="0"/>
        </w:rPr>
        <w:t xml:space="preserve"> Articles: </w:t>
      </w:r>
      <w:hyperlink w:anchor="viii-sudden-insight">
        <w:r>
          <w:rPr>
            <w:color w:val="000000"/>
          </w:rPr>
          <w:t xml:space="preserve">Sudden insight, habituation, and the hare</w:t>
        </w:r>
      </w:hyperlink>
      <w:r>
        <w:rPr>
          <w:b w:val="0"/>
          <w:i w:val="0"/>
        </w:rPr>
        <w:t xml:space="preserve">. Vocabulary: </w:t>
      </w:r>
      <w:hyperlink w:anchor="latin-record-0152">
        <w:r>
          <w:rPr>
            <w:color w:val="000000"/>
          </w:rPr>
          <w:t xml:space="preserve">augurari / suspicari / somniare</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229">
        <w:r>
          <w:rPr>
            <w:color w:val="000000"/>
          </w:rPr>
          <w:t xml:space="preserve">cognitio</w:t>
        </w:r>
      </w:hyperlink>
      <w:r>
        <w:rPr>
          <w:b w:val="0"/>
          <w:i w:val="0"/>
        </w:rPr>
        <w:t xml:space="preserve">; </w:t>
      </w:r>
      <w:hyperlink w:anchor="latin-record-0419">
        <w:r>
          <w:rPr>
            <w:color w:val="000000"/>
          </w:rPr>
          <w:t xml:space="preserve">ebrius / monstrum</w:t>
        </w:r>
      </w:hyperlink>
      <w:r>
        <w:rPr>
          <w:b w:val="0"/>
          <w:i w:val="0"/>
        </w:rPr>
        <w:t xml:space="preserve">; </w:t>
      </w:r>
      <w:hyperlink w:anchor="latin-record-0553">
        <w:r>
          <w:rPr>
            <w:color w:val="000000"/>
          </w:rPr>
          <w:t xml:space="preserve">habere / possidere</w:t>
        </w:r>
      </w:hyperlink>
      <w:r>
        <w:rPr>
          <w:b w:val="0"/>
          <w:i w:val="0"/>
        </w:rPr>
        <w:t xml:space="preserve">; </w:t>
      </w:r>
      <w:hyperlink w:anchor="latin-record-0790">
        <w:r>
          <w:rPr>
            <w:color w:val="000000"/>
          </w:rPr>
          <w:t xml:space="preserve">modus / pactum</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112">
        <w:r>
          <w:rPr>
            <w:color w:val="000000"/>
          </w:rPr>
          <w:t xml:space="preserve">res</w:t>
        </w:r>
      </w:hyperlink>
      <w:r>
        <w:rPr>
          <w:b w:val="0"/>
          <w:i w:val="0"/>
        </w:rPr>
        <w:t>.</w:t>
      </w:r>
    </w:p>
    <w:p>
      <w:pPr>
        <w:widowControl/>
      </w:pPr>
      <w:bookmarkStart w:id="1948" w:name="passage-viii-3-5"/>
      <w:bookmarkEnd w:id="1948"/>
      <w:r>
        <w:rPr>
          <w:b/>
          <w:i w:val="0"/>
        </w:rPr>
        <w:t>VIII.3.5</w:t>
      </w:r>
      <w:r>
        <w:rPr>
          <w:b/>
          <w:i w:val="0"/>
        </w:rPr>
        <w:t>, source pp. 310–311.</w:t>
      </w:r>
      <w:r>
        <w:rPr>
          <w:b w:val="0"/>
          <w:i w:val="0"/>
        </w:rPr>
        <w:t xml:space="preserve"> Articles: </w:t>
      </w:r>
      <w:hyperlink w:anchor="viii-sudden-insight">
        <w:r>
          <w:rPr>
            <w:color w:val="000000"/>
          </w:rPr>
          <w:t xml:space="preserve">Sudden insight, habituation, and the hare</w:t>
        </w:r>
      </w:hyperlink>
      <w:r>
        <w:rPr>
          <w:b w:val="0"/>
          <w:i w:val="0"/>
        </w:rPr>
        <w:t xml:space="preserve">. Vocabulary: </w:t>
      </w:r>
      <w:hyperlink w:anchor="latin-record-0195">
        <w:r>
          <w:rPr>
            <w:color w:val="000000"/>
          </w:rPr>
          <w:t xml:space="preserve">carere / deficere / abesse</w:t>
        </w:r>
      </w:hyperlink>
      <w:r>
        <w:rPr>
          <w:b w:val="0"/>
          <w:i w:val="0"/>
        </w:rPr>
        <w:t xml:space="preserve">; </w:t>
      </w:r>
      <w:hyperlink w:anchor="latin-record-0418">
        <w:r>
          <w:rPr>
            <w:color w:val="000000"/>
          </w:rPr>
          <w:t xml:space="preserve">e vestigio</w:t>
        </w:r>
      </w:hyperlink>
      <w:r>
        <w:rPr>
          <w:b w:val="0"/>
          <w:i w:val="0"/>
        </w:rPr>
        <w:t xml:space="preserve">; </w:t>
      </w:r>
      <w:hyperlink w:anchor="latin-record-0419">
        <w:r>
          <w:rPr>
            <w:color w:val="000000"/>
          </w:rPr>
          <w:t xml:space="preserve">ebrius / monstrum</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30">
        <w:r>
          <w:rPr>
            <w:color w:val="000000"/>
          </w:rPr>
          <w:t xml:space="preserve">inesse</w:t>
        </w:r>
      </w:hyperlink>
      <w:r>
        <w:rPr>
          <w:b w:val="0"/>
          <w:i w:val="0"/>
        </w:rPr>
        <w:t xml:space="preserve">; </w:t>
      </w:r>
      <w:hyperlink w:anchor="latin-record-0705">
        <w:r>
          <w:rPr>
            <w:color w:val="000000"/>
          </w:rPr>
          <w:t xml:space="preserve">latere / lucere</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910">
        <w:r>
          <w:rPr>
            <w:color w:val="000000"/>
          </w:rPr>
          <w:t xml:space="preserve">pedetentim / paulatim / subito</w:t>
        </w:r>
      </w:hyperlink>
      <w:r>
        <w:rPr>
          <w:b w:val="0"/>
          <w:i w:val="0"/>
        </w:rPr>
        <w:t xml:space="preserve">; </w:t>
      </w:r>
      <w:hyperlink w:anchor="latin-record-1067">
        <w:r>
          <w:rPr>
            <w:color w:val="000000"/>
          </w:rPr>
          <w:t xml:space="preserve">ratio (reasoning power)</w:t>
        </w:r>
      </w:hyperlink>
      <w:r>
        <w:rPr>
          <w:b w:val="0"/>
          <w:i w:val="0"/>
        </w:rPr>
        <w:t xml:space="preserve">; </w:t>
      </w:r>
      <w:hyperlink w:anchor="latin-record-1112">
        <w:r>
          <w:rPr>
            <w:color w:val="000000"/>
          </w:rPr>
          <w:t xml:space="preserve">res</w:t>
        </w:r>
      </w:hyperlink>
      <w:r>
        <w:rPr>
          <w:b w:val="0"/>
          <w:i w:val="0"/>
        </w:rPr>
        <w:t xml:space="preserve">; </w:t>
      </w:r>
      <w:hyperlink w:anchor="latin-record-1214">
        <w:r>
          <w:rPr>
            <w:color w:val="000000"/>
          </w:rPr>
          <w:t xml:space="preserve">speculativus / moralis</w:t>
        </w:r>
      </w:hyperlink>
      <w:r>
        <w:rPr>
          <w:b w:val="0"/>
          <w:i w:val="0"/>
        </w:rPr>
        <w:t xml:space="preserve">; </w:t>
      </w:r>
      <w:hyperlink w:anchor="latin-record-1361">
        <w:r>
          <w:rPr>
            <w:color w:val="000000"/>
          </w:rPr>
          <w:t xml:space="preserve">vis</w:t>
        </w:r>
      </w:hyperlink>
      <w:r>
        <w:rPr>
          <w:b w:val="0"/>
          <w:i w:val="0"/>
        </w:rPr>
        <w:t xml:space="preserve">; </w:t>
      </w:r>
      <w:hyperlink w:anchor="latin-record-1383">
        <w:r>
          <w:rPr>
            <w:color w:val="000000"/>
          </w:rPr>
          <w:t xml:space="preserve">voluntas / velle</w:t>
        </w:r>
      </w:hyperlink>
      <w:r>
        <w:rPr>
          <w:b w:val="0"/>
          <w:i w:val="0"/>
        </w:rPr>
        <w:t xml:space="preserve">; </w:t>
      </w:r>
      <w:hyperlink w:anchor="latin-record-1384">
        <w:r>
          <w:rPr>
            <w:color w:val="000000"/>
          </w:rPr>
          <w:t xml:space="preserve">voluntas constans</w:t>
        </w:r>
      </w:hyperlink>
      <w:r>
        <w:rPr>
          <w:b w:val="0"/>
          <w:i w:val="0"/>
        </w:rPr>
        <w:t>.</w:t>
      </w:r>
    </w:p>
    <w:p>
      <w:pPr>
        <w:widowControl/>
      </w:pPr>
      <w:bookmarkStart w:id="1949" w:name="passage-viii-3-6"/>
      <w:bookmarkEnd w:id="1949"/>
      <w:r>
        <w:rPr>
          <w:b/>
          <w:i w:val="0"/>
        </w:rPr>
        <w:t>VIII.3.6</w:t>
      </w:r>
      <w:r>
        <w:rPr>
          <w:b/>
          <w:i w:val="0"/>
        </w:rPr>
        <w:t>, source pp. 310–311.</w:t>
      </w:r>
      <w:r>
        <w:rPr>
          <w:b w:val="0"/>
          <w:i w:val="0"/>
        </w:rPr>
        <w:t xml:space="preserve"> Articles: </w:t>
      </w:r>
      <w:hyperlink w:anchor="viii-mutual-sciences">
        <w:r>
          <w:rPr>
            <w:color w:val="000000"/>
          </w:rPr>
          <w:t xml:space="preserve">Sciences, virtues, and mutual containment</w:t>
        </w:r>
      </w:hyperlink>
      <w:r>
        <w:rPr>
          <w:b w:val="0"/>
          <w:i w:val="0"/>
        </w:rPr>
        <w:t xml:space="preserve">; </w:t>
      </w:r>
      <w:hyperlink w:anchor="viii-virtue-quality">
        <w:r>
          <w:rPr>
            <w:color w:val="000000"/>
          </w:rPr>
          <w:t xml:space="preserve">Virtue as an indivisible quality</w:t>
        </w:r>
      </w:hyperlink>
      <w:r>
        <w:rPr>
          <w:b w:val="0"/>
          <w:i w:val="0"/>
        </w:rPr>
        <w:t xml:space="preserve">. Vocabulary: </w:t>
      </w:r>
      <w:hyperlink w:anchor="latin-record-0149">
        <w:r>
          <w:rPr>
            <w:color w:val="000000"/>
          </w:rPr>
          <w:t xml:space="preserve">augere / augmentum / incrementum / decrementum</w:t>
        </w:r>
      </w:hyperlink>
      <w:r>
        <w:rPr>
          <w:b w:val="0"/>
          <w:i w:val="0"/>
        </w:rPr>
        <w:t xml:space="preserve">; </w:t>
      </w:r>
      <w:hyperlink w:anchor="latin-record-0226">
        <w:r>
          <w:rPr>
            <w:color w:val="000000"/>
          </w:rPr>
          <w:t xml:space="preserve">cogitare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40">
        <w:r>
          <w:rPr>
            <w:color w:val="000000"/>
          </w:rPr>
          <w:t xml:space="preserve">esse</w:t>
        </w:r>
      </w:hyperlink>
      <w:r>
        <w:rPr>
          <w:b w:val="0"/>
          <w:i w:val="0"/>
        </w:rPr>
        <w:t xml:space="preserve">; </w:t>
      </w:r>
      <w:hyperlink w:anchor="latin-record-0458">
        <w:r>
          <w:rPr>
            <w:color w:val="000000"/>
          </w:rPr>
          <w:t xml:space="preserve">exemplar / fabricare</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49">
        <w:r>
          <w:rPr>
            <w:color w:val="000000"/>
          </w:rPr>
          <w:t xml:space="preserve">gremium / detrudere / pellere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77">
        <w:r>
          <w:rPr>
            <w:color w:val="000000"/>
          </w:rPr>
          <w:t xml:space="preserve">idea</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60">
        <w:r>
          <w:rPr>
            <w:color w:val="000000"/>
          </w:rPr>
          <w:t xml:space="preserve">intellectus</w:t>
        </w:r>
      </w:hyperlink>
      <w:r>
        <w:rPr>
          <w:b w:val="0"/>
          <w:i w:val="0"/>
        </w:rPr>
        <w:t xml:space="preserve">; </w:t>
      </w:r>
      <w:hyperlink w:anchor="latin-record-0663">
        <w:r>
          <w:rPr>
            <w:color w:val="000000"/>
          </w:rPr>
          <w:t xml:space="preserve">intelligentia</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84">
        <w:r>
          <w:rPr>
            <w:color w:val="000000"/>
          </w:rPr>
          <w:t xml:space="preserve">ortus / finis virtutis</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1016">
        <w:r>
          <w:rPr>
            <w:color w:val="000000"/>
          </w:rPr>
          <w:t xml:space="preserve">proprius</w:t>
        </w:r>
      </w:hyperlink>
      <w:r>
        <w:rPr>
          <w:b w:val="0"/>
          <w:i w:val="0"/>
        </w:rPr>
        <w:t xml:space="preserve">; </w:t>
      </w:r>
      <w:hyperlink w:anchor="latin-record-1112">
        <w:r>
          <w:rPr>
            <w:color w:val="000000"/>
          </w:rPr>
          <w:t xml:space="preserve">res</w:t>
        </w:r>
      </w:hyperlink>
      <w:r>
        <w:rPr>
          <w:b w:val="0"/>
          <w:i w:val="0"/>
        </w:rPr>
        <w:t xml:space="preserve">; </w:t>
      </w:r>
      <w:hyperlink w:anchor="latin-record-1136">
        <w:r>
          <w:rPr>
            <w:color w:val="000000"/>
          </w:rPr>
          <w:t xml:space="preserve">scientia</w:t>
        </w:r>
      </w:hyperlink>
      <w:r>
        <w:rPr>
          <w:b w:val="0"/>
          <w:i w:val="0"/>
        </w:rPr>
        <w:t xml:space="preserve">; </w:t>
      </w:r>
      <w:hyperlink w:anchor="latin-record-1214">
        <w:r>
          <w:rPr>
            <w:color w:val="000000"/>
          </w:rPr>
          <w:t xml:space="preserve">speculativus / moralis</w:t>
        </w:r>
      </w:hyperlink>
      <w:r>
        <w:rPr>
          <w:b w:val="0"/>
          <w:i w:val="0"/>
        </w:rPr>
        <w:t xml:space="preserve">; </w:t>
      </w:r>
      <w:hyperlink w:anchor="latin-record-1319">
        <w:r>
          <w:rPr>
            <w:color w:val="000000"/>
          </w:rPr>
          <w:t xml:space="preserve">unitas / multitudo</w:t>
        </w:r>
      </w:hyperlink>
      <w:r>
        <w:rPr>
          <w:b w:val="0"/>
          <w:i w:val="0"/>
        </w:rPr>
        <w:t xml:space="preserve">; </w:t>
      </w:r>
      <w:hyperlink w:anchor="latin-record-1358">
        <w:r>
          <w:rPr>
            <w:color w:val="000000"/>
          </w:rPr>
          <w:t xml:space="preserve">virtus</w:t>
        </w:r>
      </w:hyperlink>
      <w:r>
        <w:rPr>
          <w:b w:val="0"/>
          <w:i w:val="0"/>
        </w:rPr>
        <w:t>.</w:t>
      </w:r>
    </w:p>
    <w:p>
      <w:pPr>
        <w:widowControl/>
      </w:pPr>
      <w:bookmarkStart w:id="1950" w:name="passage-viii-3-7"/>
      <w:bookmarkEnd w:id="1950"/>
      <w:r>
        <w:rPr>
          <w:b/>
          <w:i w:val="0"/>
        </w:rPr>
        <w:t>VIII.3.7</w:t>
      </w:r>
      <w:r>
        <w:rPr>
          <w:b/>
          <w:i w:val="0"/>
        </w:rPr>
        <w:t>, source pp. 312–313.</w:t>
      </w:r>
      <w:r>
        <w:rPr>
          <w:b w:val="0"/>
          <w:i w:val="0"/>
        </w:rPr>
        <w:t xml:space="preserve"> Articles: </w:t>
      </w:r>
      <w:hyperlink w:anchor="viii-mutual-sciences">
        <w:r>
          <w:rPr>
            <w:color w:val="000000"/>
          </w:rPr>
          <w:t xml:space="preserve">Sciences, virtues, and mutual containment</w:t>
        </w:r>
      </w:hyperlink>
      <w:r>
        <w:rPr>
          <w:b w:val="0"/>
          <w:i w:val="0"/>
        </w:rPr>
        <w:t xml:space="preserve">. Vocabulary: </w:t>
      </w:r>
      <w:hyperlink w:anchor="latin-record-0019">
        <w:r>
          <w:rPr>
            <w:color w:val="000000"/>
          </w:rPr>
          <w:t xml:space="preserve">acies mentis / caligo</w:t>
        </w:r>
      </w:hyperlink>
      <w:r>
        <w:rPr>
          <w:b w:val="0"/>
          <w:i w:val="0"/>
        </w:rPr>
        <w:t xml:space="preserve">; </w:t>
      </w:r>
      <w:hyperlink w:anchor="latin-record-0198">
        <w:r>
          <w:rPr>
            <w:color w:val="000000"/>
          </w:rPr>
          <w:t xml:space="preserve">causa</w:t>
        </w:r>
      </w:hyperlink>
      <w:r>
        <w:rPr>
          <w:b w:val="0"/>
          <w:i w:val="0"/>
        </w:rPr>
        <w:t xml:space="preserve">; </w:t>
      </w:r>
      <w:hyperlink w:anchor="latin-record-0229">
        <w:r>
          <w:rPr>
            <w:color w:val="000000"/>
          </w:rPr>
          <w:t xml:space="preserve">cognitio</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299">
        <w:r>
          <w:rPr>
            <w:color w:val="000000"/>
          </w:rPr>
          <w:t xml:space="preserve">connexus</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17">
        <w:r>
          <w:rPr>
            <w:color w:val="000000"/>
          </w:rPr>
          <w:t xml:space="preserve">continere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16">
        <w:r>
          <w:rPr>
            <w:color w:val="000000"/>
          </w:rPr>
          <w:t xml:space="preserve">fortitudo / timor</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95">
        <w:r>
          <w:rPr>
            <w:color w:val="000000"/>
          </w:rPr>
          <w:t xml:space="preserve">immo / tamen / non tamen</w:t>
        </w:r>
      </w:hyperlink>
      <w:r>
        <w:rPr>
          <w:b w:val="0"/>
          <w:i w:val="0"/>
        </w:rPr>
        <w:t xml:space="preserve">; </w:t>
      </w:r>
      <w:hyperlink w:anchor="latin-record-0619">
        <w:r>
          <w:rPr>
            <w:color w:val="000000"/>
          </w:rPr>
          <w:t xml:space="preserve">indicium / rimari</w:t>
        </w:r>
      </w:hyperlink>
      <w:r>
        <w:rPr>
          <w:b w:val="0"/>
          <w:i w:val="0"/>
        </w:rPr>
        <w:t xml:space="preserve">; </w:t>
      </w:r>
      <w:hyperlink w:anchor="latin-record-0630">
        <w:r>
          <w:rPr>
            <w:color w:val="000000"/>
          </w:rPr>
          <w:t xml:space="preserve">inesse</w:t>
        </w:r>
      </w:hyperlink>
      <w:r>
        <w:rPr>
          <w:b w:val="0"/>
          <w:i w:val="0"/>
        </w:rPr>
        <w:t xml:space="preserve">; </w:t>
      </w:r>
      <w:hyperlink w:anchor="latin-record-0641">
        <w:r>
          <w:rPr>
            <w:color w:val="000000"/>
          </w:rPr>
          <w:t xml:space="preserve">ingenium</w:t>
        </w:r>
      </w:hyperlink>
      <w:r>
        <w:rPr>
          <w:b w:val="0"/>
          <w:i w:val="0"/>
        </w:rPr>
        <w:t xml:space="preserve">; </w:t>
      </w:r>
      <w:hyperlink w:anchor="latin-record-0663">
        <w:r>
          <w:rPr>
            <w:color w:val="000000"/>
          </w:rPr>
          <w:t xml:space="preserve">intelligentia</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696">
        <w:r>
          <w:rPr>
            <w:color w:val="000000"/>
          </w:rPr>
          <w:t xml:space="preserve">iustitia / suum cuique</w:t>
        </w:r>
      </w:hyperlink>
      <w:r>
        <w:rPr>
          <w:b w:val="0"/>
          <w:i w:val="0"/>
        </w:rPr>
        <w:t xml:space="preserve">; </w:t>
      </w:r>
      <w:hyperlink w:anchor="latin-record-0705">
        <w:r>
          <w:rPr>
            <w:color w:val="000000"/>
          </w:rPr>
          <w:t xml:space="preserve">latere / lucere</w:t>
        </w:r>
      </w:hyperlink>
      <w:r>
        <w:rPr>
          <w:b w:val="0"/>
          <w:i w:val="0"/>
        </w:rPr>
        <w:t xml:space="preserve">; </w:t>
      </w:r>
      <w:hyperlink w:anchor="latin-record-0878">
        <w:r>
          <w:rPr>
            <w:color w:val="000000"/>
          </w:rPr>
          <w:t xml:space="preserve">ordo naturae / effectus</w:t>
        </w:r>
      </w:hyperlink>
      <w:r>
        <w:rPr>
          <w:b w:val="0"/>
          <w:i w:val="0"/>
        </w:rPr>
        <w:t xml:space="preserve">; </w:t>
      </w:r>
      <w:hyperlink w:anchor="latin-record-1013">
        <w:r>
          <w:rPr>
            <w:color w:val="000000"/>
          </w:rPr>
          <w:t xml:space="preserve">propositio / docere</w:t>
        </w:r>
      </w:hyperlink>
      <w:r>
        <w:rPr>
          <w:b w:val="0"/>
          <w:i w:val="0"/>
        </w:rPr>
        <w:t xml:space="preserve">; </w:t>
      </w:r>
      <w:hyperlink w:anchor="latin-record-1044">
        <w:r>
          <w:rPr>
            <w:color w:val="000000"/>
          </w:rPr>
          <w:t xml:space="preserve">quantitas</w:t>
        </w:r>
      </w:hyperlink>
      <w:r>
        <w:rPr>
          <w:b w:val="0"/>
          <w:i w:val="0"/>
        </w:rPr>
        <w:t xml:space="preserve">; </w:t>
      </w:r>
      <w:hyperlink w:anchor="latin-record-1112">
        <w:r>
          <w:rPr>
            <w:color w:val="000000"/>
          </w:rPr>
          <w:t xml:space="preserve">res</w:t>
        </w:r>
      </w:hyperlink>
      <w:r>
        <w:rPr>
          <w:b w:val="0"/>
          <w:i w:val="0"/>
        </w:rPr>
        <w:t xml:space="preserve">; </w:t>
      </w:r>
      <w:hyperlink w:anchor="latin-record-1126">
        <w:r>
          <w:rPr>
            <w:color w:val="000000"/>
          </w:rPr>
          <w:t xml:space="preserve">sagacitas / elicere / delitescere</w:t>
        </w:r>
      </w:hyperlink>
      <w:r>
        <w:rPr>
          <w:b w:val="0"/>
          <w:i w:val="0"/>
        </w:rPr>
        <w:t xml:space="preserve">; </w:t>
      </w:r>
      <w:hyperlink w:anchor="latin-record-1131">
        <w:r>
          <w:rPr>
            <w:color w:val="000000"/>
          </w:rPr>
          <w:t xml:space="preserve">sapientia / scientia / prudentia / ars</w:t>
        </w:r>
      </w:hyperlink>
      <w:r>
        <w:rPr>
          <w:b w:val="0"/>
          <w:i w:val="0"/>
        </w:rPr>
        <w:t xml:space="preserve">; </w:t>
      </w:r>
      <w:hyperlink w:anchor="latin-record-1214">
        <w:r>
          <w:rPr>
            <w:color w:val="000000"/>
          </w:rPr>
          <w:t xml:space="preserve">speculativus / moralis</w:t>
        </w:r>
      </w:hyperlink>
      <w:r>
        <w:rPr>
          <w:b w:val="0"/>
          <w:i w:val="0"/>
        </w:rPr>
        <w:t xml:space="preserve">; </w:t>
      </w:r>
      <w:hyperlink w:anchor="latin-record-1276">
        <w:r>
          <w:rPr>
            <w:color w:val="000000"/>
          </w:rPr>
          <w:t xml:space="preserve">temperantia / libido</w:t>
        </w:r>
      </w:hyperlink>
      <w:r>
        <w:rPr>
          <w:b w:val="0"/>
          <w:i w:val="0"/>
        </w:rPr>
        <w:t>.</w:t>
      </w:r>
    </w:p>
    <w:p>
      <w:pPr>
        <w:widowControl/>
      </w:pPr>
      <w:bookmarkStart w:id="1951" w:name="passage-viii-3-8"/>
      <w:bookmarkEnd w:id="1951"/>
      <w:r>
        <w:rPr>
          <w:b/>
          <w:i w:val="0"/>
        </w:rPr>
        <w:t>VIII.3.8</w:t>
      </w:r>
      <w:r>
        <w:rPr>
          <w:b/>
          <w:i w:val="0"/>
        </w:rPr>
        <w:t>, source pp. 314–315.</w:t>
      </w:r>
      <w:r>
        <w:rPr>
          <w:b w:val="0"/>
          <w:i w:val="0"/>
        </w:rPr>
        <w:t xml:space="preserve"> Articles: </w:t>
      </w:r>
      <w:hyperlink w:anchor="viii-virtue-quality">
        <w:r>
          <w:rPr>
            <w:color w:val="000000"/>
          </w:rPr>
          <w:t xml:space="preserve">Virtue as an indivisible quality</w:t>
        </w:r>
      </w:hyperlink>
      <w:r>
        <w:rPr>
          <w:b w:val="0"/>
          <w:i w:val="0"/>
        </w:rPr>
        <w:t xml:space="preserve">. Vocabulary: </w:t>
      </w:r>
      <w:hyperlink w:anchor="latin-record-0092">
        <w:r>
          <w:rPr>
            <w:color w:val="000000"/>
          </w:rPr>
          <w:t xml:space="preserve">anima</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62">
        <w:r>
          <w:rPr>
            <w:color w:val="000000"/>
          </w:rPr>
          <w:t xml:space="preserve">definitio</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0">
        <w:r>
          <w:rPr>
            <w:color w:val="000000"/>
          </w:rPr>
          <w:t xml:space="preserve">esse</w:t>
        </w:r>
      </w:hyperlink>
      <w:r>
        <w:rPr>
          <w:b w:val="0"/>
          <w:i w:val="0"/>
        </w:rPr>
        <w:t xml:space="preserve">; </w:t>
      </w:r>
      <w:hyperlink w:anchor="latin-record-0458">
        <w:r>
          <w:rPr>
            <w:color w:val="000000"/>
          </w:rPr>
          <w:t xml:space="preserve">exemplar / fabricare</w:t>
        </w:r>
      </w:hyperlink>
      <w:r>
        <w:rPr>
          <w:b w:val="0"/>
          <w:i w:val="0"/>
        </w:rPr>
        <w:t xml:space="preserve">; </w:t>
      </w:r>
      <w:hyperlink w:anchor="latin-record-0473">
        <w:r>
          <w:rPr>
            <w:color w:val="000000"/>
          </w:rPr>
          <w:t xml:space="preserve">facere / fieri</w:t>
        </w:r>
      </w:hyperlink>
      <w:r>
        <w:rPr>
          <w:b w:val="0"/>
          <w:i w:val="0"/>
        </w:rPr>
        <w:t xml:space="preserve">; </w:t>
      </w:r>
      <w:hyperlink w:anchor="latin-record-0530">
        <w:r>
          <w:rPr>
            <w:color w:val="000000"/>
          </w:rPr>
          <w:t xml:space="preserve">fugere / fugare</w:t>
        </w:r>
      </w:hyperlink>
      <w:r>
        <w:rPr>
          <w:b w:val="0"/>
          <w:i w:val="0"/>
        </w:rPr>
        <w:t xml:space="preserve">; </w:t>
      </w:r>
      <w:hyperlink w:anchor="latin-record-0554">
        <w:r>
          <w:rPr>
            <w:color w:val="000000"/>
          </w:rPr>
          <w:t xml:space="preserve">habitus</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790">
        <w:r>
          <w:rPr>
            <w:color w:val="000000"/>
          </w:rPr>
          <w:t xml:space="preserve">modus / pactum</w:t>
        </w:r>
      </w:hyperlink>
      <w:r>
        <w:rPr>
          <w:b w:val="0"/>
          <w:i w:val="0"/>
        </w:rPr>
        <w:t xml:space="preserve">; </w:t>
      </w:r>
      <w:hyperlink w:anchor="latin-record-0801">
        <w:r>
          <w:rPr>
            <w:color w:val="000000"/>
          </w:rPr>
          <w:t xml:space="preserve">mortalis / corruptibilis</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1016">
        <w:r>
          <w:rPr>
            <w:color w:val="000000"/>
          </w:rPr>
          <w:t xml:space="preserve">proprius</w:t>
        </w:r>
      </w:hyperlink>
      <w:r>
        <w:rPr>
          <w:b w:val="0"/>
          <w:i w:val="0"/>
        </w:rPr>
        <w:t xml:space="preserve">; </w:t>
      </w:r>
      <w:hyperlink w:anchor="latin-record-1040">
        <w:r>
          <w:rPr>
            <w:color w:val="000000"/>
          </w:rPr>
          <w:t xml:space="preserve">quaerere / interrogare / percontari</w:t>
        </w:r>
      </w:hyperlink>
      <w:r>
        <w:rPr>
          <w:b w:val="0"/>
          <w:i w:val="0"/>
        </w:rPr>
        <w:t xml:space="preserve">; </w:t>
      </w:r>
      <w:hyperlink w:anchor="latin-record-1042">
        <w:r>
          <w:rPr>
            <w:color w:val="000000"/>
          </w:rPr>
          <w:t xml:space="preserve">qualitas</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112">
        <w:r>
          <w:rPr>
            <w:color w:val="000000"/>
          </w:rPr>
          <w:t xml:space="preserve">res</w:t>
        </w:r>
      </w:hyperlink>
      <w:r>
        <w:rPr>
          <w:b w:val="0"/>
          <w:i w:val="0"/>
        </w:rPr>
        <w:t xml:space="preserve">; </w:t>
      </w:r>
      <w:hyperlink w:anchor="latin-record-1214">
        <w:r>
          <w:rPr>
            <w:color w:val="000000"/>
          </w:rPr>
          <w:t xml:space="preserve">speculativus / moralis</w:t>
        </w:r>
      </w:hyperlink>
      <w:r>
        <w:rPr>
          <w:b w:val="0"/>
          <w:i w:val="0"/>
        </w:rPr>
        <w:t xml:space="preserve">; </w:t>
      </w:r>
      <w:hyperlink w:anchor="latin-record-1240">
        <w:r>
          <w:rPr>
            <w:color w:val="000000"/>
          </w:rPr>
          <w:t xml:space="preserve">subiectum / receptaculum</w:t>
        </w:r>
      </w:hyperlink>
      <w:r>
        <w:rPr>
          <w:b w:val="0"/>
          <w:i w:val="0"/>
        </w:rPr>
        <w:t xml:space="preserve">; </w:t>
      </w:r>
      <w:hyperlink w:anchor="latin-record-1358">
        <w:r>
          <w:rPr>
            <w:color w:val="000000"/>
          </w:rPr>
          <w:t xml:space="preserve">virtus</w:t>
        </w:r>
      </w:hyperlink>
      <w:r>
        <w:rPr>
          <w:b w:val="0"/>
          <w:i w:val="0"/>
        </w:rPr>
        <w:t xml:space="preserve">; </w:t>
      </w:r>
      <w:hyperlink w:anchor="latin-record-1361">
        <w:r>
          <w:rPr>
            <w:color w:val="000000"/>
          </w:rPr>
          <w:t xml:space="preserve">vis</w:t>
        </w:r>
      </w:hyperlink>
      <w:r>
        <w:rPr>
          <w:b w:val="0"/>
          <w:i w:val="0"/>
        </w:rPr>
        <w:t>.</w:t>
      </w:r>
    </w:p>
    <w:p>
      <w:pPr>
        <w:pStyle w:val="Heading2"/>
      </w:pPr>
      <w:bookmarkStart w:id="1952" w:name="chapter-viii.4"/>
      <w:r>
        <w:rPr>
          <w:b w:val="0"/>
          <w:i w:val="0"/>
        </w:rPr>
        <w:t>Chapter VIII.4</w:t>
      </w:r>
      <w:bookmarkEnd w:id="1952"/>
    </w:p>
    <w:p>
      <w:pPr>
        <w:widowControl/>
      </w:pPr>
      <w:bookmarkStart w:id="1953" w:name="passage-viii-4-1"/>
      <w:bookmarkEnd w:id="1953"/>
      <w:r>
        <w:rPr>
          <w:b/>
          <w:i w:val="0"/>
        </w:rPr>
        <w:t>VIII.4.1</w:t>
      </w:r>
      <w:r>
        <w:rPr>
          <w:b/>
          <w:i w:val="0"/>
        </w:rPr>
        <w:t>, source pp. 316–317.</w:t>
      </w:r>
      <w:r>
        <w:rPr>
          <w:b w:val="0"/>
          <w:i w:val="0"/>
        </w:rPr>
        <w:t xml:space="preserve"> Articles: </w:t>
      </w:r>
      <w:hyperlink w:anchor="viii-bodily-points">
        <w:r>
          <w:rPr>
            <w:color w:val="000000"/>
          </w:rPr>
          <w:t xml:space="preserve">Bodily points and the seat of understanding</w:t>
        </w:r>
      </w:hyperlink>
      <w:r>
        <w:rPr>
          <w:b w:val="0"/>
          <w:i w:val="0"/>
        </w:rPr>
        <w:t xml:space="preserve">; </w:t>
      </w:r>
      <w:hyperlink w:anchor="viii-intellectual-intelligible">
        <w:r>
          <w:rPr>
            <w:color w:val="000000"/>
          </w:rPr>
          <w:t xml:space="preserve">Intellectual forms and intelligible essences</w:t>
        </w:r>
      </w:hyperlink>
      <w:r>
        <w:rPr>
          <w:b w:val="0"/>
          <w:i w:val="0"/>
        </w:rPr>
        <w:t xml:space="preserve">. Vocabulary: </w:t>
      </w:r>
      <w:hyperlink w:anchor="latin-record-0017">
        <w:r>
          <w:rPr>
            <w:color w:val="000000"/>
          </w:rPr>
          <w:t xml:space="preserve">accipere / suscipere</w:t>
        </w:r>
      </w:hyperlink>
      <w:r>
        <w:rPr>
          <w:b w:val="0"/>
          <w:i w:val="0"/>
        </w:rPr>
        <w:t xml:space="preserve">; </w:t>
      </w:r>
      <w:hyperlink w:anchor="latin-record-0099">
        <w:r>
          <w:rPr>
            <w:color w:val="000000"/>
          </w:rPr>
          <w:t xml:space="preserve">animal / rationale</w:t>
        </w:r>
      </w:hyperlink>
      <w:r>
        <w:rPr>
          <w:b w:val="0"/>
          <w:i w:val="0"/>
        </w:rPr>
        <w:t xml:space="preserve">; </w:t>
      </w:r>
      <w:hyperlink w:anchor="latin-record-0272">
        <w:r>
          <w:rPr>
            <w:color w:val="000000"/>
          </w:rPr>
          <w:t xml:space="preserve">conceptus / conceptio</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7">
        <w:r>
          <w:rPr>
            <w:color w:val="000000"/>
          </w:rPr>
          <w:t xml:space="preserve">corpus</w:t>
        </w:r>
      </w:hyperlink>
      <w:r>
        <w:rPr>
          <w:b w:val="0"/>
          <w:i w:val="0"/>
        </w:rPr>
        <w:t xml:space="preserve">; </w:t>
      </w:r>
      <w:hyperlink w:anchor="latin-record-0362">
        <w:r>
          <w:rPr>
            <w:color w:val="000000"/>
          </w:rPr>
          <w:t xml:space="preserve">definitio</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03">
        <w:r>
          <w:rPr>
            <w:color w:val="000000"/>
          </w:rPr>
          <w:t xml:space="preserve">forma</w:t>
        </w:r>
      </w:hyperlink>
      <w:r>
        <w:rPr>
          <w:b w:val="0"/>
          <w:i w:val="0"/>
        </w:rPr>
        <w:t xml:space="preserve">; </w:t>
      </w:r>
      <w:hyperlink w:anchor="latin-record-0548">
        <w:r>
          <w:rPr>
            <w:color w:val="000000"/>
          </w:rPr>
          <w:t xml:space="preserve">Graeci Platonici / Arabes Platonici</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660">
        <w:r>
          <w:rPr>
            <w:color w:val="000000"/>
          </w:rPr>
          <w:t xml:space="preserve">intellectus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692">
        <w:r>
          <w:rPr>
            <w:color w:val="000000"/>
          </w:rPr>
          <w:t xml:space="preserve">iudicare / pronuntiare</w:t>
        </w:r>
      </w:hyperlink>
      <w:r>
        <w:rPr>
          <w:b w:val="0"/>
          <w:i w:val="0"/>
        </w:rPr>
        <w:t xml:space="preserve">; </w:t>
      </w:r>
      <w:hyperlink w:anchor="latin-record-0706">
        <w:r>
          <w:rPr>
            <w:color w:val="000000"/>
          </w:rPr>
          <w:t xml:space="preserve">latitudo / extensio</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823">
        <w:r>
          <w:rPr>
            <w:color w:val="000000"/>
          </w:rPr>
          <w:t xml:space="preserve">natura</w:t>
        </w:r>
      </w:hyperlink>
      <w:r>
        <w:rPr>
          <w:b w:val="0"/>
          <w:i w:val="0"/>
        </w:rPr>
        <w:t xml:space="preserve">; </w:t>
      </w:r>
      <w:hyperlink w:anchor="latin-record-0865">
        <w:r>
          <w:rPr>
            <w:color w:val="000000"/>
          </w:rPr>
          <w:t xml:space="preserve">opinio / sententia</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1026">
        <w:r>
          <w:rPr>
            <w:color w:val="000000"/>
          </w:rPr>
          <w:t xml:space="preserve">punctum</w:t>
        </w:r>
      </w:hyperlink>
      <w:r>
        <w:rPr>
          <w:b w:val="0"/>
          <w:i w:val="0"/>
        </w:rPr>
        <w:t xml:space="preserve">; </w:t>
      </w:r>
      <w:hyperlink w:anchor="latin-record-1112">
        <w:r>
          <w:rPr>
            <w:color w:val="000000"/>
          </w:rPr>
          <w:t xml:space="preserve">res</w:t>
        </w:r>
      </w:hyperlink>
      <w:r>
        <w:rPr>
          <w:b w:val="0"/>
          <w:i w:val="0"/>
        </w:rPr>
        <w:t xml:space="preserve">; </w:t>
      </w:r>
      <w:hyperlink w:anchor="latin-record-1136">
        <w:r>
          <w:rPr>
            <w:color w:val="000000"/>
          </w:rPr>
          <w:t xml:space="preserve">scientia</w:t>
        </w:r>
      </w:hyperlink>
      <w:r>
        <w:rPr>
          <w:b w:val="0"/>
          <w:i w:val="0"/>
        </w:rPr>
        <w:t xml:space="preserve">; </w:t>
      </w:r>
      <w:hyperlink w:anchor="latin-record-1148">
        <w:r>
          <w:rPr>
            <w:color w:val="000000"/>
          </w:rPr>
          <w:t xml:space="preserve">sedes / fundamentum</w:t>
        </w:r>
      </w:hyperlink>
      <w:r>
        <w:rPr>
          <w:b w:val="0"/>
          <w:i w:val="0"/>
        </w:rPr>
        <w:t xml:space="preserve">; </w:t>
      </w:r>
      <w:hyperlink w:anchor="latin-record-1209">
        <w:r>
          <w:rPr>
            <w:color w:val="000000"/>
          </w:rPr>
          <w:t xml:space="preserve">species</w:t>
        </w:r>
      </w:hyperlink>
      <w:r>
        <w:rPr>
          <w:b w:val="0"/>
          <w:i w:val="0"/>
        </w:rPr>
        <w:t xml:space="preserve">; </w:t>
      </w:r>
      <w:hyperlink w:anchor="latin-record-1240">
        <w:r>
          <w:rPr>
            <w:color w:val="000000"/>
          </w:rPr>
          <w:t xml:space="preserve">subiectum / receptaculum</w:t>
        </w:r>
      </w:hyperlink>
      <w:r>
        <w:rPr>
          <w:b w:val="0"/>
          <w:i w:val="0"/>
        </w:rPr>
        <w:t xml:space="preserve">; </w:t>
      </w:r>
      <w:hyperlink w:anchor="latin-record-1289">
        <w:r>
          <w:rPr>
            <w:color w:val="000000"/>
          </w:rPr>
          <w:t xml:space="preserve">terminus / terminare</w:t>
        </w:r>
      </w:hyperlink>
      <w:r>
        <w:rPr>
          <w:b w:val="0"/>
          <w:i w:val="0"/>
        </w:rPr>
        <w:t>.</w:t>
      </w:r>
    </w:p>
    <w:p>
      <w:pPr>
        <w:widowControl/>
      </w:pPr>
      <w:bookmarkStart w:id="1954" w:name="passage-viii-4-2"/>
      <w:bookmarkEnd w:id="1954"/>
      <w:r>
        <w:rPr>
          <w:b/>
          <w:i w:val="0"/>
        </w:rPr>
        <w:t>VIII.4.2</w:t>
      </w:r>
      <w:r>
        <w:rPr>
          <w:b/>
          <w:i w:val="0"/>
        </w:rPr>
        <w:t>, source pp. 318–319.</w:t>
      </w:r>
      <w:r>
        <w:rPr>
          <w:b w:val="0"/>
          <w:i w:val="0"/>
        </w:rPr>
        <w:t xml:space="preserve"> Articles: </w:t>
      </w:r>
      <w:hyperlink w:anchor="viii-bodily-points">
        <w:r>
          <w:rPr>
            <w:color w:val="000000"/>
          </w:rPr>
          <w:t xml:space="preserve">Bodily points and the seat of understanding</w:t>
        </w:r>
      </w:hyperlink>
      <w:r>
        <w:rPr>
          <w:b w:val="0"/>
          <w:i w:val="0"/>
        </w:rPr>
        <w:t xml:space="preserve">; </w:t>
      </w:r>
      <w:hyperlink w:anchor="viii-infinite-operations">
        <w:r>
          <w:rPr>
            <w:color w:val="000000"/>
          </w:rPr>
          <w:t xml:space="preserve">Infinite operations and the limits of sensory kinds</w:t>
        </w:r>
      </w:hyperlink>
      <w:r>
        <w:rPr>
          <w:b w:val="0"/>
          <w:i w:val="0"/>
        </w:rPr>
        <w:t xml:space="preserve">. Vocabulary: </w:t>
      </w:r>
      <w:hyperlink w:anchor="latin-record-0012">
        <w:r>
          <w:rPr>
            <w:color w:val="000000"/>
          </w:rPr>
          <w:t xml:space="preserve">accidens</w:t>
        </w:r>
      </w:hyperlink>
      <w:r>
        <w:rPr>
          <w:b w:val="0"/>
          <w:i w:val="0"/>
        </w:rPr>
        <w:t xml:space="preserve">; </w:t>
      </w:r>
      <w:hyperlink w:anchor="latin-record-0024">
        <w:r>
          <w:rPr>
            <w:color w:val="000000"/>
          </w:rPr>
          <w:t xml:space="preserve">actus / actu</w:t>
        </w:r>
      </w:hyperlink>
      <w:r>
        <w:rPr>
          <w:b w:val="0"/>
          <w:i w:val="0"/>
        </w:rPr>
        <w:t xml:space="preserve">; </w:t>
      </w:r>
      <w:hyperlink w:anchor="latin-record-0026">
        <w:r>
          <w:rPr>
            <w:color w:val="000000"/>
          </w:rPr>
          <w:t xml:space="preserve">actus proprius</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19">
        <w:r>
          <w:rPr>
            <w:color w:val="000000"/>
          </w:rPr>
          <w:t xml:space="preserve">contingere / concursus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602">
        <w:r>
          <w:rPr>
            <w:color w:val="000000"/>
          </w:rPr>
          <w:t xml:space="preserve">impedire / cohibere / claudere</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06">
        <w:r>
          <w:rPr>
            <w:color w:val="000000"/>
          </w:rPr>
          <w:t xml:space="preserve">latitudo / extensio</w:t>
        </w:r>
      </w:hyperlink>
      <w:r>
        <w:rPr>
          <w:b w:val="0"/>
          <w:i w:val="0"/>
        </w:rPr>
        <w:t xml:space="preserve">; </w:t>
      </w:r>
      <w:hyperlink w:anchor="latin-record-0724">
        <w:r>
          <w:rPr>
            <w:color w:val="000000"/>
          </w:rPr>
          <w:t xml:space="preserve">longitudo / latitudo / profunditas</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968">
        <w:r>
          <w:rPr>
            <w:color w:val="000000"/>
          </w:rPr>
          <w:t xml:space="preserve">potentia</w:t>
        </w:r>
      </w:hyperlink>
      <w:r>
        <w:rPr>
          <w:b w:val="0"/>
          <w:i w:val="0"/>
        </w:rPr>
        <w:t xml:space="preserve">; </w:t>
      </w:r>
      <w:hyperlink w:anchor="latin-record-1016">
        <w:r>
          <w:rPr>
            <w:color w:val="000000"/>
          </w:rPr>
          <w:t xml:space="preserve">proprius</w:t>
        </w:r>
      </w:hyperlink>
      <w:r>
        <w:rPr>
          <w:b w:val="0"/>
          <w:i w:val="0"/>
        </w:rPr>
        <w:t xml:space="preserve">; </w:t>
      </w:r>
      <w:hyperlink w:anchor="latin-record-1026">
        <w:r>
          <w:rPr>
            <w:color w:val="000000"/>
          </w:rPr>
          <w:t xml:space="preserve">punctum</w:t>
        </w:r>
      </w:hyperlink>
      <w:r>
        <w:rPr>
          <w:b w:val="0"/>
          <w:i w:val="0"/>
        </w:rPr>
        <w:t xml:space="preserve">; </w:t>
      </w:r>
      <w:hyperlink w:anchor="latin-record-1040">
        <w:r>
          <w:rPr>
            <w:color w:val="000000"/>
          </w:rPr>
          <w:t xml:space="preserve">quaerere / interrogare / percontari</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85">
        <w:r>
          <w:rPr>
            <w:color w:val="000000"/>
          </w:rPr>
          <w:t xml:space="preserve">refellere / confutare / redarguere</w:t>
        </w:r>
      </w:hyperlink>
      <w:r>
        <w:rPr>
          <w:b w:val="0"/>
          <w:i w:val="0"/>
        </w:rPr>
        <w:t xml:space="preserve">; </w:t>
      </w:r>
      <w:hyperlink w:anchor="latin-record-1112">
        <w:r>
          <w:rPr>
            <w:color w:val="000000"/>
          </w:rPr>
          <w:t xml:space="preserve">res</w:t>
        </w:r>
      </w:hyperlink>
      <w:r>
        <w:rPr>
          <w:b w:val="0"/>
          <w:i w:val="0"/>
        </w:rPr>
        <w:t xml:space="preserve">; </w:t>
      </w:r>
      <w:hyperlink w:anchor="latin-record-1119">
        <w:r>
          <w:rPr>
            <w:color w:val="000000"/>
          </w:rPr>
          <w:t xml:space="preserve">respondere / fateor / negare</w:t>
        </w:r>
      </w:hyperlink>
      <w:r>
        <w:rPr>
          <w:b w:val="0"/>
          <w:i w:val="0"/>
        </w:rPr>
        <w:t xml:space="preserve">; </w:t>
      </w:r>
      <w:hyperlink w:anchor="latin-record-1148">
        <w:r>
          <w:rPr>
            <w:color w:val="000000"/>
          </w:rPr>
          <w:t xml:space="preserve">sedes / fundamentum</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06">
        <w:r>
          <w:rPr>
            <w:color w:val="000000"/>
          </w:rPr>
          <w:t xml:space="preserve">tria puncta / medium / extrema</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55" w:name="passage-viii-4-3"/>
      <w:bookmarkEnd w:id="1955"/>
      <w:r>
        <w:rPr>
          <w:b/>
          <w:i w:val="0"/>
        </w:rPr>
        <w:t>VIII.4.3</w:t>
      </w:r>
      <w:r>
        <w:rPr>
          <w:b/>
          <w:i w:val="0"/>
        </w:rPr>
        <w:t>, source pp. 320–321.</w:t>
      </w:r>
      <w:r>
        <w:rPr>
          <w:b w:val="0"/>
          <w:i w:val="0"/>
        </w:rPr>
        <w:t xml:space="preserve"> Articles: </w:t>
      </w:r>
      <w:hyperlink w:anchor="viii-definition-parts">
        <w:r>
          <w:rPr>
            <w:color w:val="000000"/>
          </w:rPr>
          <w:t xml:space="preserve">Definition, genus, difference, and mindless parts</w:t>
        </w:r>
      </w:hyperlink>
      <w:r>
        <w:rPr>
          <w:b w:val="0"/>
          <w:i w:val="0"/>
        </w:rPr>
        <w:t xml:space="preserve">. Vocabulary: </w:t>
      </w:r>
      <w:hyperlink w:anchor="latin-record-0116">
        <w:r>
          <w:rPr>
            <w:color w:val="000000"/>
          </w:rPr>
          <w:t xml:space="preserve">aqua / ignis / calor / frigus</w:t>
        </w:r>
      </w:hyperlink>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77">
        <w:r>
          <w:rPr>
            <w:color w:val="000000"/>
          </w:rPr>
          <w:t xml:space="preserve">concludere / inferre / sequi</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53">
        <w:r>
          <w:rPr>
            <w:color w:val="000000"/>
          </w:rPr>
          <w:t xml:space="preserve">cumulus / continuum</w:t>
        </w:r>
      </w:hyperlink>
      <w:r>
        <w:rPr>
          <w:b w:val="0"/>
          <w:i w:val="0"/>
        </w:rPr>
        <w:t xml:space="preserve">; </w:t>
      </w:r>
      <w:hyperlink w:anchor="latin-record-0371">
        <w:r>
          <w:rPr>
            <w:color w:val="000000"/>
          </w:rPr>
          <w:t xml:space="preserve">designare / discernere</w:t>
        </w:r>
      </w:hyperlink>
      <w:r>
        <w:rPr>
          <w:b w:val="0"/>
          <w:i w:val="0"/>
        </w:rPr>
        <w:t xml:space="preserve">; </w:t>
      </w:r>
      <w:hyperlink w:anchor="latin-record-0403">
        <w:r>
          <w:rPr>
            <w:color w:val="000000"/>
          </w:rPr>
          <w:t xml:space="preserve">dividere / secare / partiri</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50">
        <w:r>
          <w:rPr>
            <w:color w:val="000000"/>
          </w:rPr>
          <w:t xml:space="preserve">gutta / triticum / granum</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90">
        <w:r>
          <w:rPr>
            <w:color w:val="000000"/>
          </w:rPr>
          <w:t xml:space="preserve">imaginatio</w:t>
        </w:r>
      </w:hyperlink>
      <w:r>
        <w:rPr>
          <w:b w:val="0"/>
          <w:i w:val="0"/>
        </w:rPr>
        <w:t xml:space="preserve">; </w:t>
      </w:r>
      <w:hyperlink w:anchor="latin-record-0660">
        <w:r>
          <w:rPr>
            <w:color w:val="000000"/>
          </w:rPr>
          <w:t xml:space="preserve">intellectus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06">
        <w:r>
          <w:rPr>
            <w:color w:val="000000"/>
          </w:rPr>
          <w:t xml:space="preserve">latitudo / extensio</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790">
        <w:r>
          <w:rPr>
            <w:color w:val="000000"/>
          </w:rPr>
          <w:t xml:space="preserve">modus / pactum</w:t>
        </w:r>
      </w:hyperlink>
      <w:r>
        <w:rPr>
          <w:b w:val="0"/>
          <w:i w:val="0"/>
        </w:rPr>
        <w:t xml:space="preserve">; </w:t>
      </w:r>
      <w:hyperlink w:anchor="latin-record-0818">
        <w:r>
          <w:rPr>
            <w:color w:val="000000"/>
          </w:rPr>
          <w:t xml:space="preserve">mutatio / mutare</w:t>
        </w:r>
      </w:hyperlink>
      <w:r>
        <w:rPr>
          <w:b w:val="0"/>
          <w:i w:val="0"/>
        </w:rPr>
        <w:t xml:space="preserve">; </w:t>
      </w:r>
      <w:hyperlink w:anchor="latin-record-0829">
        <w:r>
          <w:rPr>
            <w:color w:val="000000"/>
          </w:rPr>
          <w:t xml:space="preserve">naturalis</w:t>
        </w:r>
      </w:hyperlink>
      <w:r>
        <w:rPr>
          <w:b w:val="0"/>
          <w:i w:val="0"/>
        </w:rPr>
        <w:t xml:space="preserve">; </w:t>
      </w:r>
      <w:hyperlink w:anchor="latin-record-0839">
        <w:r>
          <w:rPr>
            <w:color w:val="000000"/>
          </w:rPr>
          <w:t xml:space="preserve">nix / albedo</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959">
        <w:r>
          <w:rPr>
            <w:color w:val="000000"/>
          </w:rPr>
          <w:t xml:space="preserve">ponere / concedere / admittere</w:t>
        </w:r>
      </w:hyperlink>
      <w:r>
        <w:rPr>
          <w:b w:val="0"/>
          <w:i w:val="0"/>
        </w:rPr>
        <w:t xml:space="preserve">; </w:t>
      </w:r>
      <w:hyperlink w:anchor="latin-record-1112">
        <w:r>
          <w:rPr>
            <w:color w:val="000000"/>
          </w:rPr>
          <w:t xml:space="preserve">res</w:t>
        </w:r>
      </w:hyperlink>
      <w:r>
        <w:rPr>
          <w:b w:val="0"/>
          <w:i w:val="0"/>
        </w:rPr>
        <w:t xml:space="preserve">; </w:t>
      </w:r>
      <w:hyperlink w:anchor="latin-record-1119">
        <w:r>
          <w:rPr>
            <w:color w:val="000000"/>
          </w:rPr>
          <w:t xml:space="preserve">respondere / fateor / negare</w:t>
        </w:r>
      </w:hyperlink>
      <w:r>
        <w:rPr>
          <w:b w:val="0"/>
          <w:i w:val="0"/>
        </w:rPr>
        <w:t xml:space="preserve">; </w:t>
      </w:r>
      <w:hyperlink w:anchor="latin-record-1176">
        <w:r>
          <w:rPr>
            <w:color w:val="000000"/>
          </w:rPr>
          <w:t xml:space="preserve">similitudo</w:t>
        </w:r>
      </w:hyperlink>
      <w:r>
        <w:rPr>
          <w:b w:val="0"/>
          <w:i w:val="0"/>
        </w:rPr>
        <w:t>.</w:t>
      </w:r>
    </w:p>
    <w:p>
      <w:pPr>
        <w:widowControl/>
      </w:pPr>
      <w:bookmarkStart w:id="1956" w:name="passage-viii-4-4"/>
      <w:bookmarkEnd w:id="1956"/>
      <w:r>
        <w:rPr>
          <w:b/>
          <w:i w:val="0"/>
        </w:rPr>
        <w:t>VIII.4.4</w:t>
      </w:r>
      <w:r>
        <w:rPr>
          <w:b/>
          <w:i w:val="0"/>
        </w:rPr>
        <w:t>, source pp. 322–323.</w:t>
      </w:r>
      <w:r>
        <w:rPr>
          <w:b w:val="0"/>
          <w:i w:val="0"/>
        </w:rPr>
        <w:t xml:space="preserve"> Articles: </w:t>
      </w:r>
      <w:hyperlink w:anchor="viii-definition-parts">
        <w:r>
          <w:rPr>
            <w:color w:val="000000"/>
          </w:rPr>
          <w:t xml:space="preserve">Definition, genus, difference, and mindless parts</w:t>
        </w:r>
      </w:hyperlink>
      <w:r>
        <w:rPr>
          <w:b w:val="0"/>
          <w:i w:val="0"/>
        </w:rPr>
        <w:t xml:space="preserve">; </w:t>
      </w:r>
      <w:hyperlink w:anchor="viii-infinite-operations">
        <w:r>
          <w:rPr>
            <w:color w:val="000000"/>
          </w:rPr>
          <w:t xml:space="preserve">Infinite operations and the limits of sensory kinds</w:t>
        </w:r>
      </w:hyperlink>
      <w:r>
        <w:rPr>
          <w:b w:val="0"/>
          <w:i w:val="0"/>
        </w:rPr>
        <w:t xml:space="preserve">. Vocabulary: </w:t>
      </w:r>
      <w:hyperlink w:anchor="latin-record-0099">
        <w:r>
          <w:rPr>
            <w:color w:val="000000"/>
          </w:rPr>
          <w:t xml:space="preserve">animal / rationale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209">
        <w:r>
          <w:rPr>
            <w:color w:val="000000"/>
          </w:rPr>
          <w:t xml:space="preserve">certa / certus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62">
        <w:r>
          <w:rPr>
            <w:color w:val="000000"/>
          </w:rPr>
          <w:t xml:space="preserve">definitio</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382">
        <w:r>
          <w:rPr>
            <w:color w:val="000000"/>
          </w:rPr>
          <w:t xml:space="preserve">differentia</w:t>
        </w:r>
      </w:hyperlink>
      <w:r>
        <w:rPr>
          <w:b w:val="0"/>
          <w:i w:val="0"/>
        </w:rPr>
        <w:t xml:space="preserve">; </w:t>
      </w:r>
      <w:hyperlink w:anchor="latin-record-0393">
        <w:r>
          <w:rPr>
            <w:color w:val="000000"/>
          </w:rPr>
          <w:t xml:space="preserve">discursus / discurrere</w:t>
        </w:r>
      </w:hyperlink>
      <w:r>
        <w:rPr>
          <w:b w:val="0"/>
          <w:i w:val="0"/>
        </w:rPr>
        <w:t xml:space="preserve">; </w:t>
      </w:r>
      <w:hyperlink w:anchor="latin-record-0403">
        <w:r>
          <w:rPr>
            <w:color w:val="000000"/>
          </w:rPr>
          <w:t xml:space="preserve">dividere / secare / partiri</w:t>
        </w:r>
      </w:hyperlink>
      <w:r>
        <w:rPr>
          <w:b w:val="0"/>
          <w:i w:val="0"/>
        </w:rPr>
        <w:t xml:space="preserve">; </w:t>
      </w:r>
      <w:hyperlink w:anchor="latin-record-0440">
        <w:r>
          <w:rPr>
            <w:color w:val="000000"/>
          </w:rPr>
          <w:t xml:space="preserve">esse</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44">
        <w:r>
          <w:rPr>
            <w:color w:val="000000"/>
          </w:rPr>
          <w:t xml:space="preserve">genus</w:t>
        </w:r>
      </w:hyperlink>
      <w:r>
        <w:rPr>
          <w:b w:val="0"/>
          <w:i w:val="0"/>
        </w:rPr>
        <w:t xml:space="preserve">; </w:t>
      </w:r>
      <w:hyperlink w:anchor="latin-record-0565">
        <w:r>
          <w:rPr>
            <w:color w:val="000000"/>
          </w:rPr>
          <w:t xml:space="preserve">homo / humanus</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43">
        <w:r>
          <w:rPr>
            <w:color w:val="000000"/>
          </w:rPr>
          <w:t xml:space="preserve">innumerabilis</w:t>
        </w:r>
      </w:hyperlink>
      <w:r>
        <w:rPr>
          <w:b w:val="0"/>
          <w:i w:val="0"/>
        </w:rPr>
        <w:t xml:space="preserve">; </w:t>
      </w:r>
      <w:hyperlink w:anchor="latin-record-0660">
        <w:r>
          <w:rPr>
            <w:color w:val="000000"/>
          </w:rPr>
          <w:t xml:space="preserve">intellectus</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875">
        <w:r>
          <w:rPr>
            <w:color w:val="000000"/>
          </w:rPr>
          <w:t xml:space="preserve">ordinare / ordo</w:t>
        </w:r>
      </w:hyperlink>
      <w:r>
        <w:rPr>
          <w:b w:val="0"/>
          <w:i w:val="0"/>
        </w:rPr>
        <w:t xml:space="preserve">; </w:t>
      </w:r>
      <w:hyperlink w:anchor="latin-record-0878">
        <w:r>
          <w:rPr>
            <w:color w:val="000000"/>
          </w:rPr>
          <w:t xml:space="preserve">ordo naturae / effectus</w:t>
        </w:r>
      </w:hyperlink>
      <w:r>
        <w:rPr>
          <w:b w:val="0"/>
          <w:i w:val="0"/>
        </w:rPr>
        <w:t xml:space="preserve">; </w:t>
      </w:r>
      <w:hyperlink w:anchor="latin-record-0886">
        <w:r>
          <w:rPr>
            <w:color w:val="000000"/>
          </w:rPr>
          <w:t xml:space="preserve">ossa / caro / nervi</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74">
        <w:r>
          <w:rPr>
            <w:color w:val="000000"/>
          </w:rPr>
          <w:t xml:space="preserve">rationalis</w:t>
        </w:r>
      </w:hyperlink>
      <w:r>
        <w:rPr>
          <w:b w:val="0"/>
          <w:i w:val="0"/>
        </w:rPr>
        <w:t xml:space="preserve">; </w:t>
      </w:r>
      <w:hyperlink w:anchor="latin-record-1112">
        <w:r>
          <w:rPr>
            <w:color w:val="000000"/>
          </w:rPr>
          <w:t xml:space="preserve">res</w:t>
        </w:r>
      </w:hyperlink>
      <w:r>
        <w:rPr>
          <w:b w:val="0"/>
          <w:i w:val="0"/>
        </w:rPr>
        <w:t xml:space="preserve">; </w:t>
      </w:r>
      <w:hyperlink w:anchor="latin-record-1114">
        <w:r>
          <w:rPr>
            <w:color w:val="000000"/>
          </w:rPr>
          <w:t xml:space="preserve">resolutio / divisio</w:t>
        </w:r>
      </w:hyperlink>
      <w:r>
        <w:rPr>
          <w:b w:val="0"/>
          <w:i w:val="0"/>
        </w:rPr>
        <w:t xml:space="preserve">; </w:t>
      </w:r>
      <w:hyperlink w:anchor="latin-record-1176">
        <w:r>
          <w:rPr>
            <w:color w:val="000000"/>
          </w:rPr>
          <w:t xml:space="preserve">similitudo</w:t>
        </w:r>
      </w:hyperlink>
      <w:r>
        <w:rPr>
          <w:b w:val="0"/>
          <w:i w:val="0"/>
        </w:rPr>
        <w:t xml:space="preserve">; </w:t>
      </w:r>
      <w:hyperlink w:anchor="latin-record-1245">
        <w:r>
          <w:rPr>
            <w:color w:val="000000"/>
          </w:rPr>
          <w:t xml:space="preserve">substantia</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19">
        <w:r>
          <w:rPr>
            <w:color w:val="000000"/>
          </w:rPr>
          <w:t xml:space="preserve">unitas / multitudo</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4">
        <w:r>
          <w:rPr>
            <w:color w:val="000000"/>
          </w:rPr>
          <w:t xml:space="preserve">vis in si vis</w:t>
        </w:r>
      </w:hyperlink>
      <w:r>
        <w:rPr>
          <w:b w:val="0"/>
          <w:i w:val="0"/>
        </w:rPr>
        <w:t>.</w:t>
      </w:r>
    </w:p>
    <w:p>
      <w:pPr>
        <w:widowControl/>
      </w:pPr>
      <w:bookmarkStart w:id="1957" w:name="passage-viii-4-5"/>
      <w:bookmarkEnd w:id="1957"/>
      <w:r>
        <w:rPr>
          <w:b/>
          <w:i w:val="0"/>
        </w:rPr>
        <w:t>VIII.4.5</w:t>
      </w:r>
      <w:r>
        <w:rPr>
          <w:b/>
          <w:i w:val="0"/>
        </w:rPr>
        <w:t>, source pp. 324–325.</w:t>
      </w:r>
      <w:r>
        <w:rPr>
          <w:b w:val="0"/>
          <w:i w:val="0"/>
        </w:rPr>
        <w:t xml:space="preserve"> Articles: </w:t>
      </w:r>
      <w:hyperlink w:anchor="viii-analysis-mangling">
        <w:r>
          <w:rPr>
            <w:color w:val="000000"/>
          </w:rPr>
          <w:t xml:space="preserve">Analysis, mangling, and fictive construction</w:t>
        </w:r>
      </w:hyperlink>
      <w:r>
        <w:rPr>
          <w:b w:val="0"/>
          <w:i w:val="0"/>
        </w:rPr>
        <w:t xml:space="preserve">; </w:t>
      </w:r>
      <w:hyperlink w:anchor="viii-definition-parts">
        <w:r>
          <w:rPr>
            <w:color w:val="000000"/>
          </w:rPr>
          <w:t xml:space="preserve">Definition, genus, difference, and mindless parts</w:t>
        </w:r>
      </w:hyperlink>
      <w:r>
        <w:rPr>
          <w:b w:val="0"/>
          <w:i w:val="0"/>
        </w:rPr>
        <w:t xml:space="preserve">. Vocabulary: </w:t>
      </w:r>
      <w:hyperlink w:anchor="latin-record-0017">
        <w:r>
          <w:rPr>
            <w:color w:val="000000"/>
          </w:rPr>
          <w:t xml:space="preserve">accipere / suscipere</w:t>
        </w:r>
      </w:hyperlink>
      <w:r>
        <w:rPr>
          <w:b w:val="0"/>
          <w:i w:val="0"/>
        </w:rPr>
        <w:t xml:space="preserve">; </w:t>
      </w:r>
      <w:hyperlink w:anchor="latin-record-0078">
        <w:r>
          <w:rPr>
            <w:color w:val="000000"/>
          </w:rPr>
          <w:t xml:space="preserve">amens / mens</w:t>
        </w:r>
      </w:hyperlink>
      <w:r>
        <w:rPr>
          <w:b w:val="0"/>
          <w:i w:val="0"/>
        </w:rPr>
        <w:t xml:space="preserve">; </w:t>
      </w:r>
      <w:hyperlink w:anchor="latin-record-0197">
        <w:r>
          <w:rPr>
            <w:color w:val="000000"/>
          </w:rPr>
          <w:t xml:space="preserve">casus / casu</w:t>
        </w:r>
      </w:hyperlink>
      <w:r>
        <w:rPr>
          <w:b w:val="0"/>
          <w:i w:val="0"/>
        </w:rPr>
        <w:t xml:space="preserve">; </w:t>
      </w:r>
      <w:hyperlink w:anchor="latin-record-0277">
        <w:r>
          <w:rPr>
            <w:color w:val="000000"/>
          </w:rPr>
          <w:t xml:space="preserve">concludere / inferre / sequi</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55">
        <w:r>
          <w:rPr>
            <w:color w:val="000000"/>
          </w:rPr>
          <w:t xml:space="preserve">dare / tribuere</w:t>
        </w:r>
      </w:hyperlink>
      <w:r>
        <w:rPr>
          <w:b w:val="0"/>
          <w:i w:val="0"/>
        </w:rPr>
        <w:t xml:space="preserve">; </w:t>
      </w:r>
      <w:hyperlink w:anchor="latin-record-0362">
        <w:r>
          <w:rPr>
            <w:color w:val="000000"/>
          </w:rPr>
          <w:t xml:space="preserve">definitio</w:t>
        </w:r>
      </w:hyperlink>
      <w:r>
        <w:rPr>
          <w:b w:val="0"/>
          <w:i w:val="0"/>
        </w:rPr>
        <w:t xml:space="preserve">; </w:t>
      </w:r>
      <w:hyperlink w:anchor="latin-record-0378">
        <w:r>
          <w:rPr>
            <w:color w:val="000000"/>
          </w:rPr>
          <w:t xml:space="preserve">dextra / sinistra</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382">
        <w:r>
          <w:rPr>
            <w:color w:val="000000"/>
          </w:rPr>
          <w:t xml:space="preserve">differentia</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38">
        <w:r>
          <w:rPr>
            <w:color w:val="000000"/>
          </w:rPr>
          <w:t xml:space="preserve">Epicurei</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82">
        <w:r>
          <w:rPr>
            <w:color w:val="000000"/>
          </w:rPr>
          <w:t xml:space="preserve">figmentum / machinatio</w:t>
        </w:r>
      </w:hyperlink>
      <w:r>
        <w:rPr>
          <w:b w:val="0"/>
          <w:i w:val="0"/>
        </w:rPr>
        <w:t xml:space="preserve">; </w:t>
      </w:r>
      <w:hyperlink w:anchor="latin-record-0544">
        <w:r>
          <w:rPr>
            <w:color w:val="000000"/>
          </w:rPr>
          <w:t xml:space="preserve">genus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54">
        <w:r>
          <w:rPr>
            <w:color w:val="000000"/>
          </w:rPr>
          <w:t xml:space="preserve">habitus</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60">
        <w:r>
          <w:rPr>
            <w:color w:val="000000"/>
          </w:rPr>
          <w:t xml:space="preserve">intellectus</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88">
        <w:r>
          <w:rPr>
            <w:color w:val="000000"/>
          </w:rPr>
          <w:t xml:space="preserve">mixtio / miscere</w:t>
        </w:r>
      </w:hyperlink>
      <w:r>
        <w:rPr>
          <w:b w:val="0"/>
          <w:i w:val="0"/>
        </w:rPr>
        <w:t xml:space="preserve">; </w:t>
      </w:r>
      <w:hyperlink w:anchor="latin-record-0823">
        <w:r>
          <w:rPr>
            <w:color w:val="000000"/>
          </w:rPr>
          <w:t xml:space="preserve">natura</w:t>
        </w:r>
      </w:hyperlink>
      <w:r>
        <w:rPr>
          <w:b w:val="0"/>
          <w:i w:val="0"/>
        </w:rPr>
        <w:t xml:space="preserve">; </w:t>
      </w:r>
      <w:hyperlink w:anchor="latin-record-0865">
        <w:r>
          <w:rPr>
            <w:color w:val="000000"/>
          </w:rPr>
          <w:t xml:space="preserve">opinio / sententia</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959">
        <w:r>
          <w:rPr>
            <w:color w:val="000000"/>
          </w:rPr>
          <w:t xml:space="preserve">ponere / concedere / admittere</w:t>
        </w:r>
      </w:hyperlink>
      <w:r>
        <w:rPr>
          <w:b w:val="0"/>
          <w:i w:val="0"/>
        </w:rPr>
        <w:t xml:space="preserve">; </w:t>
      </w:r>
      <w:hyperlink w:anchor="latin-record-1040">
        <w:r>
          <w:rPr>
            <w:color w:val="000000"/>
          </w:rPr>
          <w:t xml:space="preserve">quaerere / interrogare / percontari</w:t>
        </w:r>
      </w:hyperlink>
      <w:r>
        <w:rPr>
          <w:b w:val="0"/>
          <w:i w:val="0"/>
        </w:rPr>
        <w:t xml:space="preserve">; </w:t>
      </w:r>
      <w:hyperlink w:anchor="latin-record-1112">
        <w:r>
          <w:rPr>
            <w:color w:val="000000"/>
          </w:rPr>
          <w:t xml:space="preserve">res</w:t>
        </w:r>
      </w:hyperlink>
      <w:r>
        <w:rPr>
          <w:b w:val="0"/>
          <w:i w:val="0"/>
        </w:rPr>
        <w:t xml:space="preserve">; </w:t>
      </w:r>
      <w:hyperlink w:anchor="latin-record-1119">
        <w:r>
          <w:rPr>
            <w:color w:val="000000"/>
          </w:rPr>
          <w:t xml:space="preserve">respondere / fateor / negare</w:t>
        </w:r>
      </w:hyperlink>
      <w:r>
        <w:rPr>
          <w:b w:val="0"/>
          <w:i w:val="0"/>
        </w:rPr>
        <w:t xml:space="preserve">; </w:t>
      </w:r>
      <w:hyperlink w:anchor="latin-record-1339">
        <w:r>
          <w:rPr>
            <w:color w:val="000000"/>
          </w:rPr>
          <w:t xml:space="preserve">veritas / verum</w:t>
        </w:r>
      </w:hyperlink>
      <w:r>
        <w:rPr>
          <w:b w:val="0"/>
          <w:i w:val="0"/>
        </w:rPr>
        <w:t xml:space="preserve">; </w:t>
      </w:r>
      <w:hyperlink w:anchor="latin-record-1383">
        <w:r>
          <w:rPr>
            <w:color w:val="000000"/>
          </w:rPr>
          <w:t xml:space="preserve">voluntas / velle</w:t>
        </w:r>
      </w:hyperlink>
      <w:r>
        <w:rPr>
          <w:b w:val="0"/>
          <w:i w:val="0"/>
        </w:rPr>
        <w:t>.</w:t>
      </w:r>
    </w:p>
    <w:p>
      <w:pPr>
        <w:widowControl/>
      </w:pPr>
      <w:bookmarkStart w:id="1958" w:name="passage-viii-4-6"/>
      <w:bookmarkEnd w:id="1958"/>
      <w:r>
        <w:rPr>
          <w:b/>
          <w:i w:val="0"/>
        </w:rPr>
        <w:t>VIII.4.6</w:t>
      </w:r>
      <w:r>
        <w:rPr>
          <w:b/>
          <w:i w:val="0"/>
        </w:rPr>
        <w:t>, source pp. 326–327.</w:t>
      </w:r>
      <w:r>
        <w:rPr>
          <w:b w:val="0"/>
          <w:i w:val="0"/>
        </w:rPr>
        <w:t xml:space="preserve"> Articles: </w:t>
      </w:r>
      <w:hyperlink w:anchor="viii-analysis-mangling">
        <w:r>
          <w:rPr>
            <w:color w:val="000000"/>
          </w:rPr>
          <w:t xml:space="preserve">Analysis, mangling, and fictive construction</w:t>
        </w:r>
      </w:hyperlink>
      <w:r>
        <w:rPr>
          <w:b w:val="0"/>
          <w:i w:val="0"/>
        </w:rPr>
        <w:t xml:space="preserve">. Vocabulary: </w:t>
      </w:r>
      <w:hyperlink w:anchor="latin-record-0209">
        <w:r>
          <w:rPr>
            <w:color w:val="000000"/>
          </w:rPr>
          <w:t xml:space="preserve">certa / certus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8">
        <w:r>
          <w:rPr>
            <w:color w:val="000000"/>
          </w:rPr>
          <w:t xml:space="preserve">dextra / sinistra</w:t>
        </w:r>
      </w:hyperlink>
      <w:r>
        <w:rPr>
          <w:b w:val="0"/>
          <w:i w:val="0"/>
        </w:rPr>
        <w:t xml:space="preserve">; </w:t>
      </w:r>
      <w:hyperlink w:anchor="latin-record-0382">
        <w:r>
          <w:rPr>
            <w:color w:val="000000"/>
          </w:rPr>
          <w:t xml:space="preserve">differentia</w:t>
        </w:r>
      </w:hyperlink>
      <w:r>
        <w:rPr>
          <w:b w:val="0"/>
          <w:i w:val="0"/>
        </w:rPr>
        <w:t xml:space="preserve">; </w:t>
      </w:r>
      <w:hyperlink w:anchor="latin-record-0386">
        <w:r>
          <w:rPr>
            <w:color w:val="000000"/>
          </w:rPr>
          <w:t xml:space="preserve">dilaniatio / lacerare / discerpere</w:t>
        </w:r>
      </w:hyperlink>
      <w:r>
        <w:rPr>
          <w:b w:val="0"/>
          <w:i w:val="0"/>
        </w:rPr>
        <w:t xml:space="preserve">; </w:t>
      </w:r>
      <w:hyperlink w:anchor="latin-record-0403">
        <w:r>
          <w:rPr>
            <w:color w:val="000000"/>
          </w:rPr>
          <w:t xml:space="preserve">dividere / secare / partiri</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82">
        <w:r>
          <w:rPr>
            <w:color w:val="000000"/>
          </w:rPr>
          <w:t xml:space="preserve">figmentum / machinatio</w:t>
        </w:r>
      </w:hyperlink>
      <w:r>
        <w:rPr>
          <w:b w:val="0"/>
          <w:i w:val="0"/>
        </w:rPr>
        <w:t xml:space="preserve">; </w:t>
      </w:r>
      <w:hyperlink w:anchor="latin-record-0544">
        <w:r>
          <w:rPr>
            <w:color w:val="000000"/>
          </w:rPr>
          <w:t xml:space="preserve">genus</w:t>
        </w:r>
      </w:hyperlink>
      <w:r>
        <w:rPr>
          <w:b w:val="0"/>
          <w:i w:val="0"/>
        </w:rPr>
        <w:t xml:space="preserve">; </w:t>
      </w:r>
      <w:hyperlink w:anchor="latin-record-0778">
        <w:r>
          <w:rPr>
            <w:color w:val="000000"/>
          </w:rPr>
          <w:t xml:space="preserve">mens (additional inflections)</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25">
        <w:r>
          <w:rPr>
            <w:color w:val="000000"/>
          </w:rPr>
          <w:t xml:space="preserve">natura communis</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44">
        <w:r>
          <w:rPr>
            <w:color w:val="000000"/>
          </w:rPr>
          <w:t xml:space="preserve">quantitas</w:t>
        </w:r>
      </w:hyperlink>
      <w:r>
        <w:rPr>
          <w:b w:val="0"/>
          <w:i w:val="0"/>
        </w:rPr>
        <w:t xml:space="preserve">; </w:t>
      </w:r>
      <w:hyperlink w:anchor="latin-record-1099">
        <w:r>
          <w:rPr>
            <w:color w:val="000000"/>
          </w:rPr>
          <w:t xml:space="preserve">relinquere / dimittere</w:t>
        </w:r>
      </w:hyperlink>
      <w:r>
        <w:rPr>
          <w:b w:val="0"/>
          <w:i w:val="0"/>
        </w:rPr>
        <w:t xml:space="preserve">; </w:t>
      </w:r>
      <w:hyperlink w:anchor="latin-record-1114">
        <w:r>
          <w:rPr>
            <w:color w:val="000000"/>
          </w:rPr>
          <w:t xml:space="preserve">resolutio / divisio</w:t>
        </w:r>
      </w:hyperlink>
      <w:r>
        <w:rPr>
          <w:b w:val="0"/>
          <w:i w:val="0"/>
        </w:rPr>
        <w:t xml:space="preserve">; </w:t>
      </w:r>
      <w:hyperlink w:anchor="latin-record-1319">
        <w:r>
          <w:rPr>
            <w:color w:val="000000"/>
          </w:rPr>
          <w:t xml:space="preserve">unitas / multitudo</w:t>
        </w:r>
      </w:hyperlink>
      <w:r>
        <w:rPr>
          <w:b w:val="0"/>
          <w:i w:val="0"/>
        </w:rPr>
        <w:t>.</w:t>
      </w:r>
    </w:p>
    <w:p>
      <w:pPr>
        <w:widowControl/>
      </w:pPr>
      <w:bookmarkStart w:id="1959" w:name="passage-viii-4-7"/>
      <w:bookmarkEnd w:id="1959"/>
      <w:r>
        <w:rPr>
          <w:b/>
          <w:i w:val="0"/>
        </w:rPr>
        <w:t>VIII.4.7</w:t>
      </w:r>
      <w:r>
        <w:rPr>
          <w:b/>
          <w:i w:val="0"/>
        </w:rPr>
        <w:t>, source pp. 326–327.</w:t>
      </w:r>
      <w:r>
        <w:rPr>
          <w:b w:val="0"/>
          <w:i w:val="0"/>
        </w:rPr>
        <w:t xml:space="preserve"> Articles: </w:t>
      </w:r>
      <w:hyperlink w:anchor="viii-definition-parts">
        <w:r>
          <w:rPr>
            <w:color w:val="000000"/>
          </w:rPr>
          <w:t xml:space="preserve">Definition, genus, difference, and mindless parts</w:t>
        </w:r>
      </w:hyperlink>
      <w:r>
        <w:rPr>
          <w:b w:val="0"/>
          <w:i w:val="0"/>
        </w:rPr>
        <w:t xml:space="preserve">. Vocabulary: </w:t>
      </w:r>
      <w:hyperlink w:anchor="latin-record-0195">
        <w:r>
          <w:rPr>
            <w:color w:val="000000"/>
          </w:rPr>
          <w:t xml:space="preserve">carere / deficere / abesse</w:t>
        </w:r>
      </w:hyperlink>
      <w:r>
        <w:rPr>
          <w:b w:val="0"/>
          <w:i w:val="0"/>
        </w:rPr>
        <w:t xml:space="preserve">; </w:t>
      </w:r>
      <w:hyperlink w:anchor="latin-record-0238">
        <w:r>
          <w:rPr>
            <w:color w:val="000000"/>
          </w:rPr>
          <w:t xml:space="preserve">color / figura</w:t>
        </w:r>
      </w:hyperlink>
      <w:r>
        <w:rPr>
          <w:b w:val="0"/>
          <w:i w:val="0"/>
        </w:rPr>
        <w:t xml:space="preserve">; </w:t>
      </w:r>
      <w:hyperlink w:anchor="latin-record-0317">
        <w:r>
          <w:rPr>
            <w:color w:val="000000"/>
          </w:rPr>
          <w:t xml:space="preserve">continere</w:t>
        </w:r>
      </w:hyperlink>
      <w:r>
        <w:rPr>
          <w:b w:val="0"/>
          <w:i w:val="0"/>
        </w:rPr>
        <w:t xml:space="preserve">; </w:t>
      </w:r>
      <w:hyperlink w:anchor="latin-record-0438">
        <w:r>
          <w:rPr>
            <w:color w:val="000000"/>
          </w:rPr>
          <w:t xml:space="preserve">Epicurei</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40">
        <w:r>
          <w:rPr>
            <w:color w:val="000000"/>
          </w:rPr>
          <w:t xml:space="preserve">quaerere / interrogare / percontari</w:t>
        </w:r>
      </w:hyperlink>
      <w:r>
        <w:rPr>
          <w:b w:val="0"/>
          <w:i w:val="0"/>
        </w:rPr>
        <w:t xml:space="preserve">; </w:t>
      </w:r>
      <w:hyperlink w:anchor="latin-record-1119">
        <w:r>
          <w:rPr>
            <w:color w:val="000000"/>
          </w:rPr>
          <w:t xml:space="preserve">respondere / fateor / negare</w:t>
        </w:r>
      </w:hyperlink>
      <w:r>
        <w:rPr>
          <w:b w:val="0"/>
          <w:i w:val="0"/>
        </w:rPr>
        <w:t>.</w:t>
      </w:r>
    </w:p>
    <w:p>
      <w:pPr>
        <w:widowControl/>
      </w:pPr>
      <w:bookmarkStart w:id="1960" w:name="passage-viii-4-8"/>
      <w:bookmarkEnd w:id="1960"/>
      <w:r>
        <w:rPr>
          <w:b/>
          <w:i w:val="0"/>
        </w:rPr>
        <w:t>VIII.4.8</w:t>
      </w:r>
      <w:r>
        <w:rPr>
          <w:b/>
          <w:i w:val="0"/>
        </w:rPr>
        <w:t>, source pp. 328–329.</w:t>
      </w:r>
      <w:r>
        <w:rPr>
          <w:b w:val="0"/>
          <w:i w:val="0"/>
        </w:rPr>
        <w:t xml:space="preserve"> Articles: </w:t>
      </w:r>
      <w:hyperlink w:anchor="viii-definition-parts">
        <w:r>
          <w:rPr>
            <w:color w:val="000000"/>
          </w:rPr>
          <w:t xml:space="preserve">Definition, genus, difference, and mindless parts</w:t>
        </w:r>
      </w:hyperlink>
      <w:r>
        <w:rPr>
          <w:b w:val="0"/>
          <w:i w:val="0"/>
        </w:rPr>
        <w:t xml:space="preserve">. Vocabulary: </w:t>
      </w:r>
      <w:hyperlink w:anchor="latin-record-0044">
        <w:r>
          <w:rPr>
            <w:color w:val="000000"/>
          </w:rPr>
          <w:t xml:space="preserve">aequari / aequare</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229">
        <w:r>
          <w:rPr>
            <w:color w:val="000000"/>
          </w:rPr>
          <w:t xml:space="preserve">cognitio</w:t>
        </w:r>
      </w:hyperlink>
      <w:r>
        <w:rPr>
          <w:b w:val="0"/>
          <w:i w:val="0"/>
        </w:rPr>
        <w:t xml:space="preserve">; </w:t>
      </w:r>
      <w:hyperlink w:anchor="latin-record-0238">
        <w:r>
          <w:rPr>
            <w:color w:val="000000"/>
          </w:rPr>
          <w:t xml:space="preserve">color / figura</w:t>
        </w:r>
      </w:hyperlink>
      <w:r>
        <w:rPr>
          <w:b w:val="0"/>
          <w:i w:val="0"/>
        </w:rPr>
        <w:t xml:space="preserve">; </w:t>
      </w:r>
      <w:hyperlink w:anchor="latin-record-0272">
        <w:r>
          <w:rPr>
            <w:color w:val="000000"/>
          </w:rPr>
          <w:t xml:space="preserve">conceptus / conceptio</w:t>
        </w:r>
      </w:hyperlink>
      <w:r>
        <w:rPr>
          <w:b w:val="0"/>
          <w:i w:val="0"/>
        </w:rPr>
        <w:t xml:space="preserve">; </w:t>
      </w:r>
      <w:hyperlink w:anchor="latin-record-0317">
        <w:r>
          <w:rPr>
            <w:color w:val="000000"/>
          </w:rPr>
          <w:t xml:space="preserve">continere</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0">
        <w:r>
          <w:rPr>
            <w:color w:val="000000"/>
          </w:rPr>
          <w:t xml:space="preserve">esse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47">
        <w:r>
          <w:rPr>
            <w:color w:val="000000"/>
          </w:rPr>
          <w:t xml:space="preserve">inscitia</w:t>
        </w:r>
      </w:hyperlink>
      <w:r>
        <w:rPr>
          <w:b w:val="0"/>
          <w:i w:val="0"/>
        </w:rPr>
        <w:t xml:space="preserve">; </w:t>
      </w:r>
      <w:hyperlink w:anchor="latin-record-0839">
        <w:r>
          <w:rPr>
            <w:color w:val="000000"/>
          </w:rPr>
          <w:t xml:space="preserve">nix / albedo</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16">
        <w:r>
          <w:rPr>
            <w:color w:val="000000"/>
          </w:rPr>
          <w:t xml:space="preserve">proprius</w:t>
        </w:r>
      </w:hyperlink>
      <w:r>
        <w:rPr>
          <w:b w:val="0"/>
          <w:i w:val="0"/>
        </w:rPr>
        <w:t xml:space="preserve">; </w:t>
      </w:r>
      <w:hyperlink w:anchor="latin-record-1085">
        <w:r>
          <w:rPr>
            <w:color w:val="000000"/>
          </w:rPr>
          <w:t xml:space="preserve">refellere / confutare / redarguere</w:t>
        </w:r>
      </w:hyperlink>
      <w:r>
        <w:rPr>
          <w:b w:val="0"/>
          <w:i w:val="0"/>
        </w:rPr>
        <w:t xml:space="preserve">; </w:t>
      </w:r>
      <w:hyperlink w:anchor="latin-record-1136">
        <w:r>
          <w:rPr>
            <w:color w:val="000000"/>
          </w:rPr>
          <w:t xml:space="preserve">scientia</w:t>
        </w:r>
      </w:hyperlink>
      <w:r>
        <w:rPr>
          <w:b w:val="0"/>
          <w:i w:val="0"/>
        </w:rPr>
        <w:t xml:space="preserve">; </w:t>
      </w:r>
      <w:hyperlink w:anchor="latin-record-1139">
        <w:r>
          <w:rPr>
            <w:color w:val="000000"/>
          </w:rPr>
          <w:t xml:space="preserve">scitum / obiectum</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83">
        <w:r>
          <w:rPr>
            <w:color w:val="000000"/>
          </w:rPr>
          <w:t xml:space="preserve">voluntas / velle</w:t>
        </w:r>
      </w:hyperlink>
      <w:r>
        <w:rPr>
          <w:b w:val="0"/>
          <w:i w:val="0"/>
        </w:rPr>
        <w:t>.</w:t>
      </w:r>
    </w:p>
    <w:p>
      <w:pPr>
        <w:widowControl/>
      </w:pPr>
      <w:bookmarkStart w:id="1961" w:name="passage-viii-4-9"/>
      <w:bookmarkEnd w:id="1961"/>
      <w:r>
        <w:rPr>
          <w:b/>
          <w:i w:val="0"/>
        </w:rPr>
        <w:t>VIII.4.9</w:t>
      </w:r>
      <w:r>
        <w:rPr>
          <w:b/>
          <w:i w:val="0"/>
        </w:rPr>
        <w:t>, source pp. 330–331.</w:t>
      </w:r>
      <w:r>
        <w:rPr>
          <w:b w:val="0"/>
          <w:i w:val="0"/>
        </w:rPr>
        <w:t xml:space="preserve"> Articles: </w:t>
      </w:r>
      <w:hyperlink w:anchor="viii-intellectual-intelligible">
        <w:r>
          <w:rPr>
            <w:color w:val="000000"/>
          </w:rPr>
          <w:t xml:space="preserve">Intellectual forms and intelligible essences</w:t>
        </w:r>
      </w:hyperlink>
      <w:r>
        <w:rPr>
          <w:b w:val="0"/>
          <w:i w:val="0"/>
        </w:rPr>
        <w:t xml:space="preserve">. Vocabulary: </w:t>
      </w:r>
      <w:hyperlink w:anchor="latin-record-0024">
        <w:r>
          <w:rPr>
            <w:color w:val="000000"/>
          </w:rPr>
          <w:t xml:space="preserve">actus / actu</w:t>
        </w:r>
      </w:hyperlink>
      <w:r>
        <w:rPr>
          <w:b w:val="0"/>
          <w:i w:val="0"/>
        </w:rPr>
        <w:t xml:space="preserve">; </w:t>
      </w:r>
      <w:hyperlink w:anchor="latin-record-0044">
        <w:r>
          <w:rPr>
            <w:color w:val="000000"/>
          </w:rPr>
          <w:t xml:space="preserve">aequari / aequare</w:t>
        </w:r>
      </w:hyperlink>
      <w:r>
        <w:rPr>
          <w:b w:val="0"/>
          <w:i w:val="0"/>
        </w:rPr>
        <w:t xml:space="preserve">; </w:t>
      </w:r>
      <w:hyperlink w:anchor="latin-record-0135">
        <w:r>
          <w:rPr>
            <w:color w:val="000000"/>
          </w:rPr>
          <w:t xml:space="preserve">aspectus / respectus</w:t>
        </w:r>
      </w:hyperlink>
      <w:r>
        <w:rPr>
          <w:b w:val="0"/>
          <w:i w:val="0"/>
        </w:rPr>
        <w:t xml:space="preserve">; </w:t>
      </w:r>
      <w:hyperlink w:anchor="latin-record-0167">
        <w:r>
          <w:rPr>
            <w:color w:val="000000"/>
          </w:rPr>
          <w:t xml:space="preserve">bonum / malum</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55">
        <w:r>
          <w:rPr>
            <w:color w:val="000000"/>
          </w:rPr>
          <w:t xml:space="preserve">dare / tribuere</w:t>
        </w:r>
      </w:hyperlink>
      <w:r>
        <w:rPr>
          <w:b w:val="0"/>
          <w:i w:val="0"/>
        </w:rPr>
        <w:t xml:space="preserve">; </w:t>
      </w:r>
      <w:hyperlink w:anchor="latin-record-0376">
        <w:r>
          <w:rPr>
            <w:color w:val="000000"/>
          </w:rPr>
          <w:t xml:space="preserve">Deus / divinus</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40">
        <w:r>
          <w:rPr>
            <w:color w:val="000000"/>
          </w:rPr>
          <w:t xml:space="preserve">esse</w:t>
        </w:r>
      </w:hyperlink>
      <w:r>
        <w:rPr>
          <w:b w:val="0"/>
          <w:i w:val="0"/>
        </w:rPr>
        <w:t xml:space="preserve">; </w:t>
      </w:r>
      <w:hyperlink w:anchor="latin-record-0445">
        <w:r>
          <w:rPr>
            <w:color w:val="000000"/>
          </w:rPr>
          <w:t xml:space="preserve">essentia</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03">
        <w:r>
          <w:rPr>
            <w:color w:val="000000"/>
          </w:rPr>
          <w:t xml:space="preserve">forma</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58">
        <w:r>
          <w:rPr>
            <w:color w:val="000000"/>
          </w:rPr>
          <w:t xml:space="preserve">intellectualis / intelligibilis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66">
        <w:r>
          <w:rPr>
            <w:color w:val="000000"/>
          </w:rPr>
          <w:t xml:space="preserve">intelligibilis (additional forms)</w:t>
        </w:r>
      </w:hyperlink>
      <w:r>
        <w:rPr>
          <w:b w:val="0"/>
          <w:i w:val="0"/>
        </w:rPr>
        <w:t xml:space="preserve">; </w:t>
      </w:r>
      <w:hyperlink w:anchor="latin-record-0790">
        <w:r>
          <w:rPr>
            <w:color w:val="000000"/>
          </w:rPr>
          <w:t xml:space="preserve">modus / pactum</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16">
        <w:r>
          <w:rPr>
            <w:color w:val="000000"/>
          </w:rPr>
          <w:t xml:space="preserve">proprius</w:t>
        </w:r>
      </w:hyperlink>
      <w:r>
        <w:rPr>
          <w:b w:val="0"/>
          <w:i w:val="0"/>
        </w:rPr>
        <w:t xml:space="preserve">; </w:t>
      </w:r>
      <w:hyperlink w:anchor="latin-record-1112">
        <w:r>
          <w:rPr>
            <w:color w:val="000000"/>
          </w:rPr>
          <w:t xml:space="preserve">res</w:t>
        </w:r>
      </w:hyperlink>
      <w:r>
        <w:rPr>
          <w:b w:val="0"/>
          <w:i w:val="0"/>
        </w:rPr>
        <w:t xml:space="preserve">; </w:t>
      </w:r>
      <w:hyperlink w:anchor="latin-record-1119">
        <w:r>
          <w:rPr>
            <w:color w:val="000000"/>
          </w:rPr>
          <w:t xml:space="preserve">respondere / fateor / negare</w:t>
        </w:r>
      </w:hyperlink>
      <w:r>
        <w:rPr>
          <w:b w:val="0"/>
          <w:i w:val="0"/>
        </w:rPr>
        <w:t xml:space="preserve">; </w:t>
      </w:r>
      <w:hyperlink w:anchor="latin-record-1178">
        <w:r>
          <w:rPr>
            <w:color w:val="000000"/>
          </w:rPr>
          <w:t xml:space="preserve">simplex / simplicitas</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62" w:name="passage-viii-4-10"/>
      <w:bookmarkEnd w:id="1962"/>
      <w:r>
        <w:rPr>
          <w:b/>
          <w:i w:val="0"/>
        </w:rPr>
        <w:t>VIII.4.10</w:t>
      </w:r>
      <w:r>
        <w:rPr>
          <w:b/>
          <w:i w:val="0"/>
        </w:rPr>
        <w:t>, source pp. 332–333.</w:t>
      </w:r>
      <w:r>
        <w:rPr>
          <w:b w:val="0"/>
          <w:i w:val="0"/>
        </w:rPr>
        <w:t xml:space="preserve"> Articles: </w:t>
      </w:r>
      <w:hyperlink w:anchor="viii-species-simplicity">
        <w:r>
          <w:rPr>
            <w:color w:val="000000"/>
          </w:rPr>
          <w:t xml:space="preserve">Simplicity of human and numerical species</w:t>
        </w:r>
      </w:hyperlink>
      <w:r>
        <w:rPr>
          <w:b w:val="0"/>
          <w:i w:val="0"/>
        </w:rPr>
        <w:t xml:space="preserve">. Vocabulary: </w:t>
      </w:r>
      <w:hyperlink w:anchor="latin-record-0099">
        <w:r>
          <w:rPr>
            <w:color w:val="000000"/>
          </w:rPr>
          <w:t xml:space="preserve">animal / rationale</w:t>
        </w:r>
      </w:hyperlink>
      <w:r>
        <w:rPr>
          <w:b w:val="0"/>
          <w:i w:val="0"/>
        </w:rPr>
        <w:t xml:space="preserve">; </w:t>
      </w:r>
      <w:hyperlink w:anchor="latin-record-0194">
        <w:r>
          <w:rPr>
            <w:color w:val="000000"/>
          </w:rPr>
          <w:t xml:space="preserve">caput / pectus / femur</w:t>
        </w:r>
      </w:hyperlink>
      <w:r>
        <w:rPr>
          <w:b w:val="0"/>
          <w:i w:val="0"/>
        </w:rPr>
        <w:t xml:space="preserve">; </w:t>
      </w:r>
      <w:hyperlink w:anchor="latin-record-0244">
        <w:r>
          <w:rPr>
            <w:color w:val="000000"/>
          </w:rPr>
          <w:t xml:space="preserve">communicare / infundere</w:t>
        </w:r>
      </w:hyperlink>
      <w:r>
        <w:rPr>
          <w:b w:val="0"/>
          <w:i w:val="0"/>
        </w:rPr>
        <w:t xml:space="preserve">; </w:t>
      </w:r>
      <w:hyperlink w:anchor="latin-record-0365">
        <w:r>
          <w:rPr>
            <w:color w:val="000000"/>
          </w:rPr>
          <w:t xml:space="preserve">denarius / septenarius / octonarius / senarius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382">
        <w:r>
          <w:rPr>
            <w:color w:val="000000"/>
          </w:rPr>
          <w:t xml:space="preserve">differentia</w:t>
        </w:r>
      </w:hyperlink>
      <w:r>
        <w:rPr>
          <w:b w:val="0"/>
          <w:i w:val="0"/>
        </w:rPr>
        <w:t xml:space="preserve">; </w:t>
      </w:r>
      <w:hyperlink w:anchor="latin-record-0403">
        <w:r>
          <w:rPr>
            <w:color w:val="000000"/>
          </w:rPr>
          <w:t xml:space="preserve">dividere / secare / partiri</w:t>
        </w:r>
      </w:hyperlink>
      <w:r>
        <w:rPr>
          <w:b w:val="0"/>
          <w:i w:val="0"/>
        </w:rPr>
        <w:t xml:space="preserve">; </w:t>
      </w:r>
      <w:hyperlink w:anchor="latin-record-0440">
        <w:r>
          <w:rPr>
            <w:color w:val="000000"/>
          </w:rPr>
          <w:t xml:space="preserve">esse</w:t>
        </w:r>
      </w:hyperlink>
      <w:r>
        <w:rPr>
          <w:b w:val="0"/>
          <w:i w:val="0"/>
        </w:rPr>
        <w:t xml:space="preserve">; </w:t>
      </w:r>
      <w:hyperlink w:anchor="latin-record-0565">
        <w:r>
          <w:rPr>
            <w:color w:val="000000"/>
          </w:rPr>
          <w:t xml:space="preserve">homo / humanus</w:t>
        </w:r>
      </w:hyperlink>
      <w:r>
        <w:rPr>
          <w:b w:val="0"/>
          <w:i w:val="0"/>
        </w:rPr>
        <w:t xml:space="preserve">; </w:t>
      </w:r>
      <w:hyperlink w:anchor="latin-record-0772">
        <w:r>
          <w:rPr>
            <w:color w:val="000000"/>
          </w:rPr>
          <w:t xml:space="preserve">membrum</w:t>
        </w:r>
      </w:hyperlink>
      <w:r>
        <w:rPr>
          <w:b w:val="0"/>
          <w:i w:val="0"/>
        </w:rPr>
        <w:t xml:space="preserve">; </w:t>
      </w:r>
      <w:hyperlink w:anchor="latin-record-0823">
        <w:r>
          <w:rPr>
            <w:color w:val="000000"/>
          </w:rPr>
          <w:t xml:space="preserve">natura</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875">
        <w:r>
          <w:rPr>
            <w:color w:val="000000"/>
          </w:rPr>
          <w:t xml:space="preserve">ordinare / ordo</w:t>
        </w:r>
      </w:hyperlink>
      <w:r>
        <w:rPr>
          <w:b w:val="0"/>
          <w:i w:val="0"/>
        </w:rPr>
        <w:t xml:space="preserve">; </w:t>
      </w:r>
      <w:hyperlink w:anchor="latin-record-0878">
        <w:r>
          <w:rPr>
            <w:color w:val="000000"/>
          </w:rPr>
          <w:t xml:space="preserve">ordo naturae / effectus</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38">
        <w:r>
          <w:rPr>
            <w:color w:val="000000"/>
          </w:rPr>
          <w:t xml:space="preserve">qua ratione / quatenus</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74">
        <w:r>
          <w:rPr>
            <w:color w:val="000000"/>
          </w:rPr>
          <w:t xml:space="preserve">rationalis</w:t>
        </w:r>
      </w:hyperlink>
      <w:r>
        <w:rPr>
          <w:b w:val="0"/>
          <w:i w:val="0"/>
        </w:rPr>
        <w:t xml:space="preserve">; </w:t>
      </w:r>
      <w:hyperlink w:anchor="latin-record-1075">
        <w:r>
          <w:rPr>
            <w:color w:val="000000"/>
          </w:rPr>
          <w:t xml:space="preserve">rationalitas / animalitas</w:t>
        </w:r>
      </w:hyperlink>
      <w:r>
        <w:rPr>
          <w:b w:val="0"/>
          <w:i w:val="0"/>
        </w:rPr>
        <w:t xml:space="preserve">; </w:t>
      </w:r>
      <w:hyperlink w:anchor="latin-record-1112">
        <w:r>
          <w:rPr>
            <w:color w:val="000000"/>
          </w:rPr>
          <w:t xml:space="preserve">res</w:t>
        </w:r>
      </w:hyperlink>
      <w:r>
        <w:rPr>
          <w:b w:val="0"/>
          <w:i w:val="0"/>
        </w:rPr>
        <w:t xml:space="preserve">; </w:t>
      </w:r>
      <w:hyperlink w:anchor="latin-record-1136">
        <w:r>
          <w:rPr>
            <w:color w:val="000000"/>
          </w:rPr>
          <w:t xml:space="preserve">scientia</w:t>
        </w:r>
      </w:hyperlink>
      <w:r>
        <w:rPr>
          <w:b w:val="0"/>
          <w:i w:val="0"/>
        </w:rPr>
        <w:t xml:space="preserve">; </w:t>
      </w:r>
      <w:hyperlink w:anchor="latin-record-1178">
        <w:r>
          <w:rPr>
            <w:color w:val="000000"/>
          </w:rPr>
          <w:t xml:space="preserve">simplex / simplicitas</w:t>
        </w:r>
      </w:hyperlink>
      <w:r>
        <w:rPr>
          <w:b w:val="0"/>
          <w:i w:val="0"/>
        </w:rPr>
        <w:t xml:space="preserve">; </w:t>
      </w:r>
      <w:hyperlink w:anchor="latin-record-1209">
        <w:r>
          <w:rPr>
            <w:color w:val="000000"/>
          </w:rPr>
          <w:t xml:space="preserve">species</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63" w:name="passage-viii-4-11"/>
      <w:bookmarkEnd w:id="1963"/>
      <w:r>
        <w:rPr>
          <w:b/>
          <w:i w:val="0"/>
        </w:rPr>
        <w:t>VIII.4.11</w:t>
      </w:r>
      <w:r>
        <w:rPr>
          <w:b/>
          <w:i w:val="0"/>
        </w:rPr>
        <w:t>, source pp. 334–335.</w:t>
      </w:r>
      <w:r>
        <w:rPr>
          <w:b w:val="0"/>
          <w:i w:val="0"/>
        </w:rPr>
        <w:t xml:space="preserve"> Articles: </w:t>
      </w:r>
      <w:hyperlink w:anchor="viii-species-simplicity">
        <w:r>
          <w:rPr>
            <w:color w:val="000000"/>
          </w:rPr>
          <w:t xml:space="preserve">Simplicity of human and numerical species</w:t>
        </w:r>
      </w:hyperlink>
      <w:r>
        <w:rPr>
          <w:b w:val="0"/>
          <w:i w:val="0"/>
        </w:rPr>
        <w:t xml:space="preserve">; </w:t>
      </w:r>
      <w:hyperlink w:anchor="viii-touch-traversal">
        <w:r>
          <w:rPr>
            <w:color w:val="000000"/>
          </w:rPr>
          <w:t xml:space="preserve">Touch, traversal, and the rejection of bodily contact</w:t>
        </w:r>
      </w:hyperlink>
      <w:r>
        <w:rPr>
          <w:b w:val="0"/>
          <w:i w:val="0"/>
        </w:rPr>
        <w:t xml:space="preserve">; </w:t>
      </w:r>
      <w:hyperlink w:anchor="viii-truth-mathematics">
        <w:r>
          <w:rPr>
            <w:color w:val="000000"/>
          </w:rPr>
          <w:t xml:space="preserve">Truth, mathematical figures, and immutable principles</w:t>
        </w:r>
      </w:hyperlink>
      <w:r>
        <w:rPr>
          <w:b w:val="0"/>
          <w:i w:val="0"/>
        </w:rPr>
        <w:t xml:space="preserve">. Vocabulary: </w:t>
      </w:r>
      <w:hyperlink w:anchor="latin-record-0024">
        <w:r>
          <w:rPr>
            <w:color w:val="000000"/>
          </w:rPr>
          <w:t xml:space="preserve">actus / actu</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209">
        <w:r>
          <w:rPr>
            <w:color w:val="000000"/>
          </w:rPr>
          <w:t xml:space="preserve">certa / certus</w:t>
        </w:r>
      </w:hyperlink>
      <w:r>
        <w:rPr>
          <w:b w:val="0"/>
          <w:i w:val="0"/>
        </w:rPr>
        <w:t xml:space="preserve">; </w:t>
      </w:r>
      <w:hyperlink w:anchor="latin-record-0226">
        <w:r>
          <w:rPr>
            <w:color w:val="000000"/>
          </w:rPr>
          <w:t xml:space="preserve">cogitare</w:t>
        </w:r>
      </w:hyperlink>
      <w:r>
        <w:rPr>
          <w:b w:val="0"/>
          <w:i w:val="0"/>
        </w:rPr>
        <w:t xml:space="preserve">; </w:t>
      </w:r>
      <w:hyperlink w:anchor="latin-record-0365">
        <w:r>
          <w:rPr>
            <w:color w:val="000000"/>
          </w:rPr>
          <w:t xml:space="preserve">denarius / septenarius / octonarius / senarius</w:t>
        </w:r>
      </w:hyperlink>
      <w:r>
        <w:rPr>
          <w:b w:val="0"/>
          <w:i w:val="0"/>
        </w:rPr>
        <w:t xml:space="preserve">; </w:t>
      </w:r>
      <w:hyperlink w:anchor="latin-record-0546">
        <w:r>
          <w:rPr>
            <w:color w:val="000000"/>
          </w:rPr>
          <w:t xml:space="preserve">gradus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54">
        <w:r>
          <w:rPr>
            <w:color w:val="000000"/>
          </w:rPr>
          <w:t xml:space="preserve">habitus</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744">
        <w:r>
          <w:rPr>
            <w:color w:val="000000"/>
          </w:rPr>
          <w:t xml:space="preserve">magis minusve</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976">
        <w:r>
          <w:rPr>
            <w:color w:val="000000"/>
          </w:rPr>
          <w:t xml:space="preserve">praeparatio / pedisequa</w:t>
        </w:r>
      </w:hyperlink>
      <w:r>
        <w:rPr>
          <w:b w:val="0"/>
          <w:i w:val="0"/>
        </w:rPr>
        <w:t xml:space="preserve">; </w:t>
      </w:r>
      <w:hyperlink w:anchor="latin-record-1016">
        <w:r>
          <w:rPr>
            <w:color w:val="000000"/>
          </w:rPr>
          <w:t xml:space="preserve">proprius</w:t>
        </w:r>
      </w:hyperlink>
      <w:r>
        <w:rPr>
          <w:b w:val="0"/>
          <w:i w:val="0"/>
        </w:rPr>
        <w:t xml:space="preserve">; </w:t>
      </w:r>
      <w:hyperlink w:anchor="latin-record-1112">
        <w:r>
          <w:rPr>
            <w:color w:val="000000"/>
          </w:rPr>
          <w:t xml:space="preserve">res</w:t>
        </w:r>
      </w:hyperlink>
      <w:r>
        <w:rPr>
          <w:b w:val="0"/>
          <w:i w:val="0"/>
        </w:rPr>
        <w:t xml:space="preserve">; </w:t>
      </w:r>
      <w:hyperlink w:anchor="latin-record-1136">
        <w:r>
          <w:rPr>
            <w:color w:val="000000"/>
          </w:rPr>
          <w:t xml:space="preserve">scientia</w:t>
        </w:r>
      </w:hyperlink>
      <w:r>
        <w:rPr>
          <w:b w:val="0"/>
          <w:i w:val="0"/>
        </w:rPr>
        <w:t xml:space="preserve">; </w:t>
      </w:r>
      <w:hyperlink w:anchor="latin-record-1178">
        <w:r>
          <w:rPr>
            <w:color w:val="000000"/>
          </w:rPr>
          <w:t xml:space="preserve">simplex / simplicitas</w:t>
        </w:r>
      </w:hyperlink>
      <w:r>
        <w:rPr>
          <w:b w:val="0"/>
          <w:i w:val="0"/>
        </w:rPr>
        <w:t xml:space="preserve">; </w:t>
      </w:r>
      <w:hyperlink w:anchor="latin-record-1209">
        <w:r>
          <w:rPr>
            <w:color w:val="000000"/>
          </w:rPr>
          <w:t xml:space="preserve">species</w:t>
        </w:r>
      </w:hyperlink>
      <w:r>
        <w:rPr>
          <w:b w:val="0"/>
          <w:i w:val="0"/>
        </w:rPr>
        <w:t xml:space="preserve">; </w:t>
      </w:r>
      <w:hyperlink w:anchor="latin-record-1319">
        <w:r>
          <w:rPr>
            <w:color w:val="000000"/>
          </w:rPr>
          <w:t xml:space="preserve">unitas / multitudo</w:t>
        </w:r>
      </w:hyperlink>
      <w:r>
        <w:rPr>
          <w:b w:val="0"/>
          <w:i w:val="0"/>
        </w:rPr>
        <w:t xml:space="preserve">; </w:t>
      </w:r>
      <w:hyperlink w:anchor="latin-record-1339">
        <w:r>
          <w:rPr>
            <w:color w:val="000000"/>
          </w:rPr>
          <w:t xml:space="preserve">veritas / verum</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64" w:name="passage-viii-4-12"/>
      <w:bookmarkEnd w:id="1964"/>
      <w:r>
        <w:rPr>
          <w:b/>
          <w:i w:val="0"/>
        </w:rPr>
        <w:t>VIII.4.12</w:t>
      </w:r>
      <w:r>
        <w:rPr>
          <w:b/>
          <w:i w:val="0"/>
        </w:rPr>
        <w:t>, source pp. 334–335.</w:t>
      </w:r>
      <w:r>
        <w:rPr>
          <w:b w:val="0"/>
          <w:i w:val="0"/>
        </w:rPr>
        <w:t xml:space="preserve"> Articles: </w:t>
      </w:r>
      <w:hyperlink w:anchor="viii-first-concepts">
        <w:r>
          <w:rPr>
            <w:color w:val="000000"/>
          </w:rPr>
          <w:t xml:space="preserve">First concepts, unity, and the end of analysis</w:t>
        </w:r>
      </w:hyperlink>
      <w:r>
        <w:rPr>
          <w:b w:val="0"/>
          <w:i w:val="0"/>
        </w:rPr>
        <w:t xml:space="preserve">. Vocabulary: </w:t>
      </w:r>
      <w:hyperlink w:anchor="latin-record-0403">
        <w:r>
          <w:rPr>
            <w:color w:val="000000"/>
          </w:rPr>
          <w:t xml:space="preserve">dividere / secare / partiri</w:t>
        </w:r>
      </w:hyperlink>
      <w:r>
        <w:rPr>
          <w:b w:val="0"/>
          <w:i w:val="0"/>
        </w:rPr>
        <w:t xml:space="preserve">; </w:t>
      </w:r>
      <w:hyperlink w:anchor="latin-record-0440">
        <w:r>
          <w:rPr>
            <w:color w:val="000000"/>
          </w:rPr>
          <w:t xml:space="preserve">esse</w:t>
        </w:r>
      </w:hyperlink>
      <w:r>
        <w:rPr>
          <w:b w:val="0"/>
          <w:i w:val="0"/>
        </w:rPr>
        <w:t xml:space="preserve">; </w:t>
      </w:r>
      <w:hyperlink w:anchor="latin-record-0515">
        <w:r>
          <w:rPr>
            <w:color w:val="000000"/>
          </w:rPr>
          <w:t xml:space="preserve">forte / forsitan / si modo</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705">
        <w:r>
          <w:rPr>
            <w:color w:val="000000"/>
          </w:rPr>
          <w:t xml:space="preserve">latere / lucere</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823">
        <w:r>
          <w:rPr>
            <w:color w:val="000000"/>
          </w:rPr>
          <w:t xml:space="preserve">natura</w:t>
        </w:r>
      </w:hyperlink>
      <w:r>
        <w:rPr>
          <w:b w:val="0"/>
          <w:i w:val="0"/>
        </w:rPr>
        <w:t xml:space="preserve">; </w:t>
      </w:r>
      <w:hyperlink w:anchor="latin-record-0956">
        <w:r>
          <w:rPr>
            <w:color w:val="000000"/>
          </w:rPr>
          <w:t xml:space="preserve">Plotinus / Proclus</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44">
        <w:r>
          <w:rPr>
            <w:color w:val="000000"/>
          </w:rPr>
          <w:t xml:space="preserve">quantitas</w:t>
        </w:r>
      </w:hyperlink>
      <w:r>
        <w:rPr>
          <w:b w:val="0"/>
          <w:i w:val="0"/>
        </w:rPr>
        <w:t xml:space="preserve">; </w:t>
      </w:r>
      <w:hyperlink w:anchor="latin-record-1085">
        <w:r>
          <w:rPr>
            <w:color w:val="000000"/>
          </w:rPr>
          <w:t xml:space="preserve">refellere / confutare / redarguere</w:t>
        </w:r>
      </w:hyperlink>
      <w:r>
        <w:rPr>
          <w:b w:val="0"/>
          <w:i w:val="0"/>
        </w:rPr>
        <w:t xml:space="preserve">; </w:t>
      </w:r>
      <w:hyperlink w:anchor="latin-record-1112">
        <w:r>
          <w:rPr>
            <w:color w:val="000000"/>
          </w:rPr>
          <w:t xml:space="preserve">res</w:t>
        </w:r>
      </w:hyperlink>
      <w:r>
        <w:rPr>
          <w:b w:val="0"/>
          <w:i w:val="0"/>
        </w:rPr>
        <w:t xml:space="preserve">; </w:t>
      </w:r>
      <w:hyperlink w:anchor="latin-record-1114">
        <w:r>
          <w:rPr>
            <w:color w:val="000000"/>
          </w:rPr>
          <w:t xml:space="preserve">resolutio / divisio</w:t>
        </w:r>
      </w:hyperlink>
      <w:r>
        <w:rPr>
          <w:b w:val="0"/>
          <w:i w:val="0"/>
        </w:rPr>
        <w:t xml:space="preserve">; </w:t>
      </w:r>
      <w:hyperlink w:anchor="latin-record-1136">
        <w:r>
          <w:rPr>
            <w:color w:val="000000"/>
          </w:rPr>
          <w:t xml:space="preserve">scientia</w:t>
        </w:r>
      </w:hyperlink>
      <w:r>
        <w:rPr>
          <w:b w:val="0"/>
          <w:i w:val="0"/>
        </w:rPr>
        <w:t xml:space="preserve">; </w:t>
      </w:r>
      <w:hyperlink w:anchor="latin-record-1178">
        <w:r>
          <w:rPr>
            <w:color w:val="000000"/>
          </w:rPr>
          <w:t xml:space="preserve">simplex / simplicitas</w:t>
        </w:r>
      </w:hyperlink>
      <w:r>
        <w:rPr>
          <w:b w:val="0"/>
          <w:i w:val="0"/>
        </w:rPr>
        <w:t xml:space="preserve">; </w:t>
      </w:r>
      <w:hyperlink w:anchor="latin-record-1257">
        <w:r>
          <w:rPr>
            <w:color w:val="000000"/>
          </w:rPr>
          <w:t xml:space="preserve">sufficientia subsistendi</w:t>
        </w:r>
      </w:hyperlink>
      <w:r>
        <w:rPr>
          <w:b w:val="0"/>
          <w:i w:val="0"/>
        </w:rPr>
        <w:t xml:space="preserve">; </w:t>
      </w:r>
      <w:hyperlink w:anchor="latin-record-1319">
        <w:r>
          <w:rPr>
            <w:color w:val="000000"/>
          </w:rPr>
          <w:t xml:space="preserve">unitas / multitudo</w:t>
        </w:r>
      </w:hyperlink>
      <w:r>
        <w:rPr>
          <w:b w:val="0"/>
          <w:i w:val="0"/>
        </w:rPr>
        <w:t>.</w:t>
      </w:r>
    </w:p>
    <w:p>
      <w:pPr>
        <w:widowControl/>
      </w:pPr>
      <w:bookmarkStart w:id="1965" w:name="passage-viii-4-13"/>
      <w:bookmarkEnd w:id="1965"/>
      <w:r>
        <w:rPr>
          <w:b/>
          <w:i w:val="0"/>
        </w:rPr>
        <w:t>VIII.4.13</w:t>
      </w:r>
      <w:r>
        <w:rPr>
          <w:b/>
          <w:i w:val="0"/>
        </w:rPr>
        <w:t>, source pp. 336–337.</w:t>
      </w:r>
      <w:r>
        <w:rPr>
          <w:b w:val="0"/>
          <w:i w:val="0"/>
        </w:rPr>
        <w:t xml:space="preserve"> Articles: </w:t>
      </w:r>
      <w:hyperlink w:anchor="viii-first-concepts">
        <w:r>
          <w:rPr>
            <w:color w:val="000000"/>
          </w:rPr>
          <w:t xml:space="preserve">First concepts, unity, and the end of analysis</w:t>
        </w:r>
      </w:hyperlink>
      <w:r>
        <w:rPr>
          <w:b w:val="0"/>
          <w:i w:val="0"/>
        </w:rPr>
        <w:t xml:space="preserve">; </w:t>
      </w:r>
      <w:hyperlink w:anchor="viii-individual-perpetuity">
        <w:r>
          <w:rPr>
            <w:color w:val="000000"/>
          </w:rPr>
          <w:t xml:space="preserve">Individual immortality and the scope of the conclusion</w:t>
        </w:r>
      </w:hyperlink>
      <w:r>
        <w:rPr>
          <w:b w:val="0"/>
          <w:i w:val="0"/>
        </w:rPr>
        <w:t xml:space="preserve">; </w:t>
      </w:r>
      <w:hyperlink w:anchor="viii-intellectual-intelligible">
        <w:r>
          <w:rPr>
            <w:color w:val="000000"/>
          </w:rPr>
          <w:t xml:space="preserve">Intellectual forms and intelligible essences</w:t>
        </w:r>
      </w:hyperlink>
      <w:r>
        <w:rPr>
          <w:b w:val="0"/>
          <w:i w:val="0"/>
        </w:rPr>
        <w:t xml:space="preserve">. Vocabulary: </w:t>
      </w:r>
      <w:hyperlink w:anchor="latin-record-0044">
        <w:r>
          <w:rPr>
            <w:color w:val="000000"/>
          </w:rPr>
          <w:t xml:space="preserve">aequari / aequare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72">
        <w:r>
          <w:rPr>
            <w:color w:val="000000"/>
          </w:rPr>
          <w:t xml:space="preserve">conceptus / conceptio</w:t>
        </w:r>
      </w:hyperlink>
      <w:r>
        <w:rPr>
          <w:b w:val="0"/>
          <w:i w:val="0"/>
        </w:rPr>
        <w:t xml:space="preserve">; </w:t>
      </w:r>
      <w:hyperlink w:anchor="latin-record-0277">
        <w:r>
          <w:rPr>
            <w:color w:val="000000"/>
          </w:rPr>
          <w:t xml:space="preserve">concludere / inferre / sequi</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0">
        <w:r>
          <w:rPr>
            <w:color w:val="000000"/>
          </w:rPr>
          <w:t xml:space="preserve">esse</w:t>
        </w:r>
      </w:hyperlink>
      <w:r>
        <w:rPr>
          <w:b w:val="0"/>
          <w:i w:val="0"/>
        </w:rPr>
        <w:t xml:space="preserve">; </w:t>
      </w:r>
      <w:hyperlink w:anchor="latin-record-0515">
        <w:r>
          <w:rPr>
            <w:color w:val="000000"/>
          </w:rPr>
          <w:t xml:space="preserve">forte / forsitan / si modo</w:t>
        </w:r>
      </w:hyperlink>
      <w:r>
        <w:rPr>
          <w:b w:val="0"/>
          <w:i w:val="0"/>
        </w:rPr>
        <w:t xml:space="preserve">; </w:t>
      </w:r>
      <w:hyperlink w:anchor="latin-record-0546">
        <w:r>
          <w:rPr>
            <w:color w:val="000000"/>
          </w:rPr>
          <w:t xml:space="preserve">gradus</w:t>
        </w:r>
      </w:hyperlink>
      <w:r>
        <w:rPr>
          <w:b w:val="0"/>
          <w:i w:val="0"/>
        </w:rPr>
        <w:t xml:space="preserve">; </w:t>
      </w:r>
      <w:hyperlink w:anchor="latin-record-0621">
        <w:r>
          <w:rPr>
            <w:color w:val="000000"/>
          </w:rPr>
          <w:t xml:space="preserve">indissolubilis</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45">
        <w:r>
          <w:rPr>
            <w:color w:val="000000"/>
          </w:rPr>
          <w:t xml:space="preserve">notio / perceptio</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91">
        <w:r>
          <w:rPr>
            <w:color w:val="000000"/>
          </w:rPr>
          <w:t xml:space="preserve">reflexio / reflectere</w:t>
        </w:r>
      </w:hyperlink>
      <w:r>
        <w:rPr>
          <w:b w:val="0"/>
          <w:i w:val="0"/>
        </w:rPr>
        <w:t xml:space="preserve">; </w:t>
      </w:r>
      <w:hyperlink w:anchor="latin-record-1112">
        <w:r>
          <w:rPr>
            <w:color w:val="000000"/>
          </w:rPr>
          <w:t xml:space="preserve">res</w:t>
        </w:r>
      </w:hyperlink>
      <w:r>
        <w:rPr>
          <w:b w:val="0"/>
          <w:i w:val="0"/>
        </w:rPr>
        <w:t xml:space="preserve">; </w:t>
      </w:r>
      <w:hyperlink w:anchor="latin-record-1178">
        <w:r>
          <w:rPr>
            <w:color w:val="000000"/>
          </w:rPr>
          <w:t xml:space="preserve">simplex / simplicitas</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74">
        <w:r>
          <w:rPr>
            <w:color w:val="000000"/>
          </w:rPr>
          <w:t xml:space="preserve">vita / vivere</w:t>
        </w:r>
      </w:hyperlink>
      <w:r>
        <w:rPr>
          <w:b w:val="0"/>
          <w:i w:val="0"/>
        </w:rPr>
        <w:t>.</w:t>
      </w:r>
    </w:p>
    <w:p>
      <w:pPr>
        <w:pStyle w:val="Heading2"/>
      </w:pPr>
      <w:bookmarkStart w:id="1966" w:name="chapter-viii.5"/>
      <w:r>
        <w:rPr>
          <w:b w:val="0"/>
          <w:i w:val="0"/>
        </w:rPr>
        <w:t>Chapter VIII.5</w:t>
      </w:r>
      <w:bookmarkEnd w:id="1966"/>
    </w:p>
    <w:p>
      <w:pPr>
        <w:widowControl/>
      </w:pPr>
      <w:bookmarkStart w:id="1967" w:name="passage-viii-5-1"/>
      <w:bookmarkEnd w:id="1967"/>
      <w:r>
        <w:rPr>
          <w:b/>
          <w:i w:val="0"/>
        </w:rPr>
        <w:t>VIII.5.1</w:t>
      </w:r>
      <w:r>
        <w:rPr>
          <w:b/>
          <w:i w:val="0"/>
        </w:rPr>
        <w:t>, source pp. 338–339.</w:t>
      </w:r>
      <w:r>
        <w:rPr>
          <w:b w:val="0"/>
          <w:i w:val="0"/>
        </w:rPr>
        <w:t xml:space="preserve"> Articles: </w:t>
      </w:r>
      <w:hyperlink w:anchor="viii-bodily-points">
        <w:r>
          <w:rPr>
            <w:color w:val="000000"/>
          </w:rPr>
          <w:t xml:space="preserve">Bodily points and the seat of understanding</w:t>
        </w:r>
      </w:hyperlink>
      <w:r>
        <w:rPr>
          <w:b w:val="0"/>
          <w:i w:val="0"/>
        </w:rPr>
        <w:t xml:space="preserve">; </w:t>
      </w:r>
      <w:hyperlink w:anchor="viii-touch-traversal">
        <w:r>
          <w:rPr>
            <w:color w:val="000000"/>
          </w:rPr>
          <w:t xml:space="preserve">Touch, traversal, and the rejection of bodily contact</w:t>
        </w:r>
      </w:hyperlink>
      <w:r>
        <w:rPr>
          <w:b w:val="0"/>
          <w:i w:val="0"/>
        </w:rPr>
        <w:t xml:space="preserve">. Vocabulary: </w:t>
      </w:r>
      <w:hyperlink w:anchor="latin-record-0190">
        <w:r>
          <w:rPr>
            <w:color w:val="000000"/>
          </w:rPr>
          <w:t xml:space="preserve">capere / comprehendere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83">
        <w:r>
          <w:rPr>
            <w:color w:val="000000"/>
          </w:rPr>
          <w:t xml:space="preserve">condicio</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7">
        <w:r>
          <w:rPr>
            <w:color w:val="000000"/>
          </w:rPr>
          <w:t xml:space="preserve">corpus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393">
        <w:r>
          <w:rPr>
            <w:color w:val="000000"/>
          </w:rPr>
          <w:t xml:space="preserve">discursus / discurrere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43">
        <w:r>
          <w:rPr>
            <w:color w:val="000000"/>
          </w:rPr>
          <w:t xml:space="preserve">innumerabilis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06">
        <w:r>
          <w:rPr>
            <w:color w:val="000000"/>
          </w:rPr>
          <w:t xml:space="preserve">latitudo / extensio</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875">
        <w:r>
          <w:rPr>
            <w:color w:val="000000"/>
          </w:rPr>
          <w:t xml:space="preserve">ordinare / ordo</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1026">
        <w:r>
          <w:rPr>
            <w:color w:val="000000"/>
          </w:rPr>
          <w:t xml:space="preserve">punctum</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112">
        <w:r>
          <w:rPr>
            <w:color w:val="000000"/>
          </w:rPr>
          <w:t xml:space="preserve">res</w:t>
        </w:r>
      </w:hyperlink>
      <w:r>
        <w:rPr>
          <w:b w:val="0"/>
          <w:i w:val="0"/>
        </w:rPr>
        <w:t xml:space="preserve">; </w:t>
      </w:r>
      <w:hyperlink w:anchor="latin-record-1199">
        <w:r>
          <w:rPr>
            <w:color w:val="000000"/>
          </w:rPr>
          <w:t xml:space="preserve">solus (restrictive)</w:t>
        </w:r>
      </w:hyperlink>
      <w:r>
        <w:rPr>
          <w:b w:val="0"/>
          <w:i w:val="0"/>
        </w:rPr>
        <w:t xml:space="preserve">; </w:t>
      </w:r>
      <w:hyperlink w:anchor="latin-record-1300">
        <w:r>
          <w:rPr>
            <w:color w:val="000000"/>
          </w:rPr>
          <w:t xml:space="preserve">transcurrere</w:t>
        </w:r>
      </w:hyperlink>
      <w:r>
        <w:rPr>
          <w:b w:val="0"/>
          <w:i w:val="0"/>
        </w:rPr>
        <w:t xml:space="preserve">; </w:t>
      </w:r>
      <w:hyperlink w:anchor="latin-record-1352">
        <w:r>
          <w:rPr>
            <w:color w:val="000000"/>
          </w:rPr>
          <w:t xml:space="preserve">videri / apparere / patere / constare</w:t>
        </w:r>
      </w:hyperlink>
      <w:r>
        <w:rPr>
          <w:b w:val="0"/>
          <w:i w:val="0"/>
        </w:rPr>
        <w:t>.</w:t>
      </w:r>
    </w:p>
    <w:p>
      <w:pPr>
        <w:widowControl/>
      </w:pPr>
      <w:bookmarkStart w:id="1968" w:name="passage-viii-5-2"/>
      <w:bookmarkEnd w:id="1968"/>
      <w:r>
        <w:rPr>
          <w:b/>
          <w:i w:val="0"/>
        </w:rPr>
        <w:t>VIII.5.2</w:t>
      </w:r>
      <w:r>
        <w:rPr>
          <w:b/>
          <w:i w:val="0"/>
        </w:rPr>
        <w:t>, source pp. 340–341.</w:t>
      </w:r>
      <w:r>
        <w:rPr>
          <w:b w:val="0"/>
          <w:i w:val="0"/>
        </w:rPr>
        <w:t xml:space="preserve"> Articles: </w:t>
      </w:r>
      <w:hyperlink w:anchor="viii-analysis-mangling">
        <w:r>
          <w:rPr>
            <w:color w:val="000000"/>
          </w:rPr>
          <w:t xml:space="preserve">Analysis, mangling, and fictive construction</w:t>
        </w:r>
      </w:hyperlink>
      <w:r>
        <w:rPr>
          <w:b w:val="0"/>
          <w:i w:val="0"/>
        </w:rPr>
        <w:t xml:space="preserve">; </w:t>
      </w:r>
      <w:hyperlink w:anchor="viii-touch-traversal">
        <w:r>
          <w:rPr>
            <w:color w:val="000000"/>
          </w:rPr>
          <w:t xml:space="preserve">Touch, traversal, and the rejection of bodily contact</w:t>
        </w:r>
      </w:hyperlink>
      <w:r>
        <w:rPr>
          <w:b w:val="0"/>
          <w:i w:val="0"/>
        </w:rPr>
        <w:t xml:space="preserve">. Vocabulary: </w:t>
      </w:r>
      <w:hyperlink w:anchor="latin-record-0121">
        <w:r>
          <w:rPr>
            <w:color w:val="000000"/>
          </w:rPr>
          <w:t xml:space="preserve">argumentatio / demonstratio</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601">
        <w:r>
          <w:rPr>
            <w:color w:val="000000"/>
          </w:rPr>
          <w:t xml:space="preserve">impartibilis</w:t>
        </w:r>
      </w:hyperlink>
      <w:r>
        <w:rPr>
          <w:b w:val="0"/>
          <w:i w:val="0"/>
        </w:rPr>
        <w:t xml:space="preserve">; </w:t>
      </w:r>
      <w:hyperlink w:anchor="latin-record-0624">
        <w:r>
          <w:rPr>
            <w:color w:val="000000"/>
          </w:rPr>
          <w:t xml:space="preserve">individuus / indivisibilis</w:t>
        </w:r>
      </w:hyperlink>
      <w:r>
        <w:rPr>
          <w:b w:val="0"/>
          <w:i w:val="0"/>
        </w:rPr>
        <w:t xml:space="preserve">; </w:t>
      </w:r>
      <w:hyperlink w:anchor="latin-record-0631">
        <w:r>
          <w:rPr>
            <w:color w:val="000000"/>
          </w:rPr>
          <w:t xml:space="preserve">infectio / puritas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24">
        <w:r>
          <w:rPr>
            <w:color w:val="000000"/>
          </w:rPr>
          <w:t xml:space="preserve">longitudo / latitudo / profunditas</w:t>
        </w:r>
      </w:hyperlink>
      <w:r>
        <w:rPr>
          <w:b w:val="0"/>
          <w:i w:val="0"/>
        </w:rPr>
        <w:t xml:space="preserve">; </w:t>
      </w:r>
      <w:hyperlink w:anchor="latin-record-0823">
        <w:r>
          <w:rPr>
            <w:color w:val="000000"/>
          </w:rPr>
          <w:t xml:space="preserve">natura</w:t>
        </w:r>
      </w:hyperlink>
      <w:r>
        <w:rPr>
          <w:b w:val="0"/>
          <w:i w:val="0"/>
        </w:rPr>
        <w:t xml:space="preserve">; </w:t>
      </w:r>
      <w:hyperlink w:anchor="latin-record-0865">
        <w:r>
          <w:rPr>
            <w:color w:val="000000"/>
          </w:rPr>
          <w:t xml:space="preserve">opinio / sententia</w:t>
        </w:r>
      </w:hyperlink>
      <w:r>
        <w:rPr>
          <w:b w:val="0"/>
          <w:i w:val="0"/>
        </w:rPr>
        <w:t xml:space="preserve">; </w:t>
      </w:r>
      <w:hyperlink w:anchor="latin-record-0956">
        <w:r>
          <w:rPr>
            <w:color w:val="000000"/>
          </w:rPr>
          <w:t xml:space="preserve">Plotinus / Proclus</w:t>
        </w:r>
      </w:hyperlink>
      <w:r>
        <w:rPr>
          <w:b w:val="0"/>
          <w:i w:val="0"/>
        </w:rPr>
        <w:t xml:space="preserve">; </w:t>
      </w:r>
      <w:hyperlink w:anchor="latin-record-1114">
        <w:r>
          <w:rPr>
            <w:color w:val="000000"/>
          </w:rPr>
          <w:t xml:space="preserve">resolutio / divisio</w:t>
        </w:r>
      </w:hyperlink>
      <w:r>
        <w:rPr>
          <w:b w:val="0"/>
          <w:i w:val="0"/>
        </w:rPr>
        <w:t xml:space="preserve">; </w:t>
      </w:r>
      <w:hyperlink w:anchor="latin-record-1149">
        <w:r>
          <w:rPr>
            <w:color w:val="000000"/>
          </w:rPr>
          <w:t xml:space="preserve">segregare / restituere</w:t>
        </w:r>
      </w:hyperlink>
      <w:r>
        <w:rPr>
          <w:b w:val="0"/>
          <w:i w:val="0"/>
        </w:rPr>
        <w:t xml:space="preserve">; </w:t>
      </w:r>
      <w:hyperlink w:anchor="latin-record-1164">
        <w:r>
          <w:rPr>
            <w:color w:val="000000"/>
          </w:rPr>
          <w:t xml:space="preserve">separare / segregare</w:t>
        </w:r>
      </w:hyperlink>
      <w:r>
        <w:rPr>
          <w:b w:val="0"/>
          <w:i w:val="0"/>
        </w:rPr>
        <w:t xml:space="preserve">; </w:t>
      </w:r>
      <w:hyperlink w:anchor="latin-record-1178">
        <w:r>
          <w:rPr>
            <w:color w:val="000000"/>
          </w:rPr>
          <w:t xml:space="preserve">simplex / simplicitas</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w:t>
      </w:r>
    </w:p>
    <w:p>
      <w:pPr>
        <w:pStyle w:val="Heading2"/>
      </w:pPr>
      <w:bookmarkStart w:id="1969" w:name="chapter-viii.6"/>
      <w:r>
        <w:rPr>
          <w:b w:val="0"/>
          <w:i w:val="0"/>
        </w:rPr>
        <w:t>Chapter VIII.6</w:t>
      </w:r>
      <w:bookmarkEnd w:id="1969"/>
    </w:p>
    <w:p>
      <w:pPr>
        <w:widowControl/>
      </w:pPr>
      <w:bookmarkStart w:id="1970" w:name="passage-viii-6-1"/>
      <w:bookmarkEnd w:id="1970"/>
      <w:r>
        <w:rPr>
          <w:b/>
          <w:i w:val="0"/>
        </w:rPr>
        <w:t>VIII.6.1</w:t>
      </w:r>
      <w:r>
        <w:rPr>
          <w:b/>
          <w:i w:val="0"/>
        </w:rPr>
        <w:t>, source pp. 342–343.</w:t>
      </w:r>
      <w:r>
        <w:rPr>
          <w:b w:val="0"/>
          <w:i w:val="0"/>
        </w:rPr>
        <w:t xml:space="preserve"> Articles: </w:t>
      </w:r>
      <w:hyperlink w:anchor="viii-virtue-equality">
        <w:r>
          <w:rPr>
            <w:color w:val="000000"/>
          </w:rPr>
          <w:t xml:space="preserve">Spiritual equality, the line, and the tuned lyre</w:t>
        </w:r>
      </w:hyperlink>
      <w:r>
        <w:rPr>
          <w:b w:val="0"/>
          <w:i w:val="0"/>
        </w:rPr>
        <w:t xml:space="preserve">; </w:t>
      </w:r>
      <w:hyperlink w:anchor="viii-whole-mind">
        <w:r>
          <w:rPr>
            <w:color w:val="000000"/>
          </w:rPr>
          <w:t xml:space="preserve">The whole mind and the measure of equality</w:t>
        </w:r>
      </w:hyperlink>
      <w:r>
        <w:rPr>
          <w:b w:val="0"/>
          <w:i w:val="0"/>
        </w:rPr>
        <w:t xml:space="preserve">. Vocabulary: </w:t>
      </w:r>
      <w:hyperlink w:anchor="latin-record-0033">
        <w:r>
          <w:rPr>
            <w:color w:val="000000"/>
          </w:rPr>
          <w:t xml:space="preserve">adaequatio</w:t>
        </w:r>
      </w:hyperlink>
      <w:r>
        <w:rPr>
          <w:b w:val="0"/>
          <w:i w:val="0"/>
        </w:rPr>
        <w:t xml:space="preserve">; </w:t>
      </w:r>
      <w:hyperlink w:anchor="latin-record-0040">
        <w:r>
          <w:rPr>
            <w:color w:val="000000"/>
          </w:rPr>
          <w:t xml:space="preserve">aequalitas / consonantia</w:t>
        </w:r>
      </w:hyperlink>
      <w:r>
        <w:rPr>
          <w:b w:val="0"/>
          <w:i w:val="0"/>
        </w:rPr>
        <w:t xml:space="preserve">; </w:t>
      </w:r>
      <w:hyperlink w:anchor="latin-record-0041">
        <w:r>
          <w:rPr>
            <w:color w:val="000000"/>
          </w:rPr>
          <w:t xml:space="preserve">aequalitas summa</w:t>
        </w:r>
      </w:hyperlink>
      <w:r>
        <w:rPr>
          <w:b w:val="0"/>
          <w:i w:val="0"/>
        </w:rPr>
        <w:t xml:space="preserve">; </w:t>
      </w:r>
      <w:hyperlink w:anchor="latin-record-0044">
        <w:r>
          <w:rPr>
            <w:color w:val="000000"/>
          </w:rPr>
          <w:t xml:space="preserve">aequari / aequare</w:t>
        </w:r>
      </w:hyperlink>
      <w:r>
        <w:rPr>
          <w:b w:val="0"/>
          <w:i w:val="0"/>
        </w:rPr>
        <w:t xml:space="preserve">; </w:t>
      </w:r>
      <w:hyperlink w:anchor="latin-record-0065">
        <w:r>
          <w:rPr>
            <w:color w:val="000000"/>
          </w:rPr>
          <w:t xml:space="preserve">agnoscere / cognoscere</w:t>
        </w:r>
      </w:hyperlink>
      <w:r>
        <w:rPr>
          <w:b w:val="0"/>
          <w:i w:val="0"/>
        </w:rPr>
        <w:t xml:space="preserve">; </w:t>
      </w:r>
      <w:hyperlink w:anchor="latin-record-0186">
        <w:r>
          <w:rPr>
            <w:color w:val="000000"/>
          </w:rPr>
          <w:t xml:space="preserve">canis / formica / equus / elephas / sol</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54">
        <w:r>
          <w:rPr>
            <w:color w:val="000000"/>
          </w:rPr>
          <w:t xml:space="preserve">comparare / referre</w:t>
        </w:r>
      </w:hyperlink>
      <w:r>
        <w:rPr>
          <w:b w:val="0"/>
          <w:i w:val="0"/>
        </w:rPr>
        <w:t xml:space="preserve">; </w:t>
      </w:r>
      <w:hyperlink w:anchor="latin-record-0317">
        <w:r>
          <w:rPr>
            <w:color w:val="000000"/>
          </w:rPr>
          <w:t xml:space="preserve">continere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7">
        <w:r>
          <w:rPr>
            <w:color w:val="000000"/>
          </w:rPr>
          <w:t xml:space="preserve">corpus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660">
        <w:r>
          <w:rPr>
            <w:color w:val="000000"/>
          </w:rPr>
          <w:t xml:space="preserve">intellectus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72">
        <w:r>
          <w:rPr>
            <w:color w:val="000000"/>
          </w:rPr>
          <w:t xml:space="preserve">membrum</w:t>
        </w:r>
      </w:hyperlink>
      <w:r>
        <w:rPr>
          <w:b w:val="0"/>
          <w:i w:val="0"/>
        </w:rPr>
        <w:t xml:space="preserve">; </w:t>
      </w:r>
      <w:hyperlink w:anchor="latin-record-0777">
        <w:r>
          <w:rPr>
            <w:color w:val="000000"/>
          </w:rPr>
          <w:t xml:space="preserve">mens</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92">
        <w:r>
          <w:rPr>
            <w:color w:val="000000"/>
          </w:rPr>
          <w:t xml:space="preserve">pars / totum</w:t>
        </w:r>
      </w:hyperlink>
      <w:r>
        <w:rPr>
          <w:b w:val="0"/>
          <w:i w:val="0"/>
        </w:rPr>
        <w:t xml:space="preserve">; </w:t>
      </w:r>
      <w:hyperlink w:anchor="latin-record-0893">
        <w:r>
          <w:rPr>
            <w:color w:val="000000"/>
          </w:rPr>
          <w:t xml:space="preserve">pars / totum (further forms)</w:t>
        </w:r>
      </w:hyperlink>
      <w:r>
        <w:rPr>
          <w:b w:val="0"/>
          <w:i w:val="0"/>
        </w:rPr>
        <w:t xml:space="preserve">; </w:t>
      </w:r>
      <w:hyperlink w:anchor="latin-record-0898">
        <w:r>
          <w:rPr>
            <w:color w:val="000000"/>
          </w:rPr>
          <w:t xml:space="preserve">participatio</w:t>
        </w:r>
      </w:hyperlink>
      <w:r>
        <w:rPr>
          <w:b w:val="0"/>
          <w:i w:val="0"/>
        </w:rPr>
        <w:t xml:space="preserve">; </w:t>
      </w:r>
      <w:hyperlink w:anchor="latin-record-0959">
        <w:r>
          <w:rPr>
            <w:color w:val="000000"/>
          </w:rPr>
          <w:t xml:space="preserve">ponere / concedere / admittere</w:t>
        </w:r>
      </w:hyperlink>
      <w:r>
        <w:rPr>
          <w:b w:val="0"/>
          <w:i w:val="0"/>
        </w:rPr>
        <w:t xml:space="preserve">; </w:t>
      </w:r>
      <w:hyperlink w:anchor="latin-record-1044">
        <w:r>
          <w:rPr>
            <w:color w:val="000000"/>
          </w:rPr>
          <w:t xml:space="preserve">quantitas</w:t>
        </w:r>
      </w:hyperlink>
      <w:r>
        <w:rPr>
          <w:b w:val="0"/>
          <w:i w:val="0"/>
        </w:rPr>
        <w:t xml:space="preserve">; </w:t>
      </w:r>
      <w:hyperlink w:anchor="latin-record-1085">
        <w:r>
          <w:rPr>
            <w:color w:val="000000"/>
          </w:rPr>
          <w:t xml:space="preserve">refellere / confutare / redarguere</w:t>
        </w:r>
      </w:hyperlink>
      <w:r>
        <w:rPr>
          <w:b w:val="0"/>
          <w:i w:val="0"/>
        </w:rPr>
        <w:t xml:space="preserve">; </w:t>
      </w:r>
      <w:hyperlink w:anchor="latin-record-1112">
        <w:r>
          <w:rPr>
            <w:color w:val="000000"/>
          </w:rPr>
          <w:t xml:space="preserve">res</w:t>
        </w:r>
      </w:hyperlink>
      <w:r>
        <w:rPr>
          <w:b w:val="0"/>
          <w:i w:val="0"/>
        </w:rPr>
        <w:t xml:space="preserve">; </w:t>
      </w:r>
      <w:hyperlink w:anchor="latin-record-1142">
        <w:r>
          <w:rPr>
            <w:color w:val="000000"/>
          </w:rPr>
          <w:t xml:space="preserve">se toto</w:t>
        </w:r>
      </w:hyperlink>
      <w:r>
        <w:rPr>
          <w:b w:val="0"/>
          <w:i w:val="0"/>
        </w:rPr>
        <w:t>.</w:t>
      </w:r>
    </w:p>
    <w:p>
      <w:pPr>
        <w:pStyle w:val="Heading2"/>
      </w:pPr>
      <w:bookmarkStart w:id="1971" w:name="chapter-viii.7"/>
      <w:r>
        <w:rPr>
          <w:b w:val="0"/>
          <w:i w:val="0"/>
        </w:rPr>
        <w:t>Chapter VIII.7</w:t>
      </w:r>
      <w:bookmarkEnd w:id="1971"/>
    </w:p>
    <w:p>
      <w:pPr>
        <w:widowControl/>
      </w:pPr>
      <w:bookmarkStart w:id="1972" w:name="passage-viii-7-1"/>
      <w:bookmarkEnd w:id="1972"/>
      <w:r>
        <w:rPr>
          <w:b/>
          <w:i w:val="0"/>
        </w:rPr>
        <w:t>VIII.7.1</w:t>
      </w:r>
      <w:r>
        <w:rPr>
          <w:b/>
          <w:i w:val="0"/>
        </w:rPr>
        <w:t>, source pp. 344–345.</w:t>
      </w:r>
      <w:r>
        <w:rPr>
          <w:b w:val="0"/>
          <w:i w:val="0"/>
        </w:rPr>
        <w:t xml:space="preserve"> Articles: </w:t>
      </w:r>
      <w:hyperlink w:anchor="viii-analysis-mangling">
        <w:r>
          <w:rPr>
            <w:color w:val="000000"/>
          </w:rPr>
          <w:t xml:space="preserve">Analysis, mangling, and fictive construction</w:t>
        </w:r>
      </w:hyperlink>
      <w:r>
        <w:rPr>
          <w:b w:val="0"/>
          <w:i w:val="0"/>
        </w:rPr>
        <w:t xml:space="preserve">; </w:t>
      </w:r>
      <w:hyperlink w:anchor="viii-reception-identity">
        <w:r>
          <w:rPr>
            <w:color w:val="000000"/>
          </w:rPr>
          <w:t xml:space="preserve">Receiving forms without losing one’s own</w:t>
        </w:r>
      </w:hyperlink>
      <w:r>
        <w:rPr>
          <w:b w:val="0"/>
          <w:i w:val="0"/>
        </w:rPr>
        <w:t xml:space="preserve">. Vocabulary: </w:t>
      </w:r>
      <w:hyperlink w:anchor="latin-record-0017">
        <w:r>
          <w:rPr>
            <w:color w:val="000000"/>
          </w:rPr>
          <w:t xml:space="preserve">accipere / suscipere</w:t>
        </w:r>
      </w:hyperlink>
      <w:r>
        <w:rPr>
          <w:b w:val="0"/>
          <w:i w:val="0"/>
        </w:rPr>
        <w:t xml:space="preserve">; </w:t>
      </w:r>
      <w:hyperlink w:anchor="latin-record-0069">
        <w:r>
          <w:rPr>
            <w:color w:val="000000"/>
          </w:rPr>
          <w:t xml:space="preserve">alienus / extraneus</w:t>
        </w:r>
      </w:hyperlink>
      <w:r>
        <w:rPr>
          <w:b w:val="0"/>
          <w:i w:val="0"/>
        </w:rPr>
        <w:t xml:space="preserve">; </w:t>
      </w:r>
      <w:hyperlink w:anchor="latin-record-0081">
        <w:r>
          <w:rPr>
            <w:color w:val="000000"/>
          </w:rPr>
          <w:t xml:space="preserve">amittere / deicere</w:t>
        </w:r>
      </w:hyperlink>
      <w:r>
        <w:rPr>
          <w:b w:val="0"/>
          <w:i w:val="0"/>
        </w:rPr>
        <w:t xml:space="preserve">; </w:t>
      </w:r>
      <w:hyperlink w:anchor="latin-record-0116">
        <w:r>
          <w:rPr>
            <w:color w:val="000000"/>
          </w:rPr>
          <w:t xml:space="preserve">aqua / ignis / calor / frigus</w:t>
        </w:r>
      </w:hyperlink>
      <w:r>
        <w:rPr>
          <w:b w:val="0"/>
          <w:i w:val="0"/>
        </w:rPr>
        <w:t xml:space="preserve">; </w:t>
      </w:r>
      <w:hyperlink w:anchor="latin-record-0265">
        <w:r>
          <w:rPr>
            <w:color w:val="000000"/>
          </w:rPr>
          <w:t xml:space="preserve">compositio / mixtum</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440">
        <w:r>
          <w:rPr>
            <w:color w:val="000000"/>
          </w:rPr>
          <w:t xml:space="preserve">esse</w:t>
        </w:r>
      </w:hyperlink>
      <w:r>
        <w:rPr>
          <w:b w:val="0"/>
          <w:i w:val="0"/>
        </w:rPr>
        <w:t xml:space="preserve">; </w:t>
      </w:r>
      <w:hyperlink w:anchor="latin-record-0554">
        <w:r>
          <w:rPr>
            <w:color w:val="000000"/>
          </w:rPr>
          <w:t xml:space="preserve">habitus</w:t>
        </w:r>
      </w:hyperlink>
      <w:r>
        <w:rPr>
          <w:b w:val="0"/>
          <w:i w:val="0"/>
        </w:rPr>
        <w:t xml:space="preserve">; </w:t>
      </w:r>
      <w:hyperlink w:anchor="latin-record-0628">
        <w:r>
          <w:rPr>
            <w:color w:val="000000"/>
          </w:rPr>
          <w:t xml:space="preserve">induere / exuere</w:t>
        </w:r>
      </w:hyperlink>
      <w:r>
        <w:rPr>
          <w:b w:val="0"/>
          <w:i w:val="0"/>
        </w:rPr>
        <w:t xml:space="preserve">; </w:t>
      </w:r>
      <w:hyperlink w:anchor="latin-record-0659">
        <w:r>
          <w:rPr>
            <w:color w:val="000000"/>
          </w:rPr>
          <w:t xml:space="preserve">intellectualitas</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777">
        <w:r>
          <w:rPr>
            <w:color w:val="000000"/>
          </w:rPr>
          <w:t xml:space="preserve">mens</w:t>
        </w:r>
      </w:hyperlink>
      <w:r>
        <w:rPr>
          <w:b w:val="0"/>
          <w:i w:val="0"/>
        </w:rPr>
        <w:t xml:space="preserve">; </w:t>
      </w:r>
      <w:hyperlink w:anchor="latin-record-0790">
        <w:r>
          <w:rPr>
            <w:color w:val="000000"/>
          </w:rPr>
          <w:t xml:space="preserve">modus / pactum</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860">
        <w:r>
          <w:rPr>
            <w:color w:val="000000"/>
          </w:rPr>
          <w:t xml:space="preserve">operatio / actio</w:t>
        </w:r>
      </w:hyperlink>
      <w:r>
        <w:rPr>
          <w:b w:val="0"/>
          <w:i w:val="0"/>
        </w:rPr>
        <w:t xml:space="preserve">; </w:t>
      </w:r>
      <w:hyperlink w:anchor="latin-record-0928">
        <w:r>
          <w:rPr>
            <w:color w:val="000000"/>
          </w:rPr>
          <w:t xml:space="preserve">permanere / manere / remanere</w:t>
        </w:r>
      </w:hyperlink>
      <w:r>
        <w:rPr>
          <w:b w:val="0"/>
          <w:i w:val="0"/>
        </w:rPr>
        <w:t xml:space="preserve">; </w:t>
      </w:r>
      <w:hyperlink w:anchor="latin-record-1016">
        <w:r>
          <w:rPr>
            <w:color w:val="000000"/>
          </w:rPr>
          <w:t xml:space="preserve">proprius</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102">
        <w:r>
          <w:rPr>
            <w:color w:val="000000"/>
          </w:rPr>
          <w:t xml:space="preserve">remittere / perficere</w:t>
        </w:r>
      </w:hyperlink>
      <w:r>
        <w:rPr>
          <w:b w:val="0"/>
          <w:i w:val="0"/>
        </w:rPr>
        <w:t xml:space="preserve">; </w:t>
      </w:r>
      <w:hyperlink w:anchor="latin-record-1112">
        <w:r>
          <w:rPr>
            <w:color w:val="000000"/>
          </w:rPr>
          <w:t xml:space="preserve">res</w:t>
        </w:r>
      </w:hyperlink>
      <w:r>
        <w:rPr>
          <w:b w:val="0"/>
          <w:i w:val="0"/>
        </w:rPr>
        <w:t xml:space="preserve">; </w:t>
      </w:r>
      <w:hyperlink w:anchor="latin-record-1144">
        <w:r>
          <w:rPr>
            <w:color w:val="000000"/>
          </w:rPr>
          <w:t xml:space="preserve">secernere / discernere</w:t>
        </w:r>
      </w:hyperlink>
      <w:r>
        <w:rPr>
          <w:b w:val="0"/>
          <w:i w:val="0"/>
        </w:rPr>
        <w:t xml:space="preserve">; </w:t>
      </w:r>
      <w:hyperlink w:anchor="latin-record-1341">
        <w:r>
          <w:rPr>
            <w:color w:val="000000"/>
          </w:rPr>
          <w:t xml:space="preserve">versari / volutari / vagari</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55">
        <w:r>
          <w:rPr>
            <w:color w:val="000000"/>
          </w:rPr>
          <w:t xml:space="preserve">vinum / dulcedo / sapor</w:t>
        </w:r>
      </w:hyperlink>
      <w:r>
        <w:rPr>
          <w:b w:val="0"/>
          <w:i w:val="0"/>
        </w:rPr>
        <w:t>.</w:t>
      </w:r>
    </w:p>
    <w:p>
      <w:pPr>
        <w:pStyle w:val="Heading2"/>
      </w:pPr>
      <w:bookmarkStart w:id="1973" w:name="chapter-viii.8"/>
      <w:r>
        <w:rPr>
          <w:b w:val="0"/>
          <w:i w:val="0"/>
        </w:rPr>
        <w:t>Chapter VIII.8</w:t>
      </w:r>
      <w:bookmarkEnd w:id="1973"/>
    </w:p>
    <w:p>
      <w:pPr>
        <w:widowControl/>
      </w:pPr>
      <w:bookmarkStart w:id="1974" w:name="passage-viii-8-1"/>
      <w:bookmarkEnd w:id="1974"/>
      <w:r>
        <w:rPr>
          <w:b/>
          <w:i w:val="0"/>
        </w:rPr>
        <w:t>VIII.8.1</w:t>
      </w:r>
      <w:r>
        <w:rPr>
          <w:b/>
          <w:i w:val="0"/>
        </w:rPr>
        <w:t>, source pp. 346–347.</w:t>
      </w:r>
      <w:r>
        <w:rPr>
          <w:b w:val="0"/>
          <w:i w:val="0"/>
        </w:rPr>
        <w:t xml:space="preserve"> Articles: </w:t>
      </w:r>
      <w:hyperlink w:anchor="viii-universality-law">
        <w:r>
          <w:rPr>
            <w:color w:val="000000"/>
          </w:rPr>
          <w:t xml:space="preserve">Universality, law, and material restriction</w:t>
        </w:r>
      </w:hyperlink>
      <w:r>
        <w:rPr>
          <w:b w:val="0"/>
          <w:i w:val="0"/>
        </w:rPr>
        <w:t xml:space="preserve">. Vocabulary: </w:t>
      </w:r>
      <w:hyperlink w:anchor="latin-record-0058">
        <w:r>
          <w:rPr>
            <w:color w:val="000000"/>
          </w:rPr>
          <w:t xml:space="preserve">agere / operari</w:t>
        </w:r>
      </w:hyperlink>
      <w:r>
        <w:rPr>
          <w:b w:val="0"/>
          <w:i w:val="0"/>
        </w:rPr>
        <w:t xml:space="preserve">; </w:t>
      </w:r>
      <w:hyperlink w:anchor="latin-record-0091">
        <w:r>
          <w:rPr>
            <w:color w:val="000000"/>
          </w:rPr>
          <w:t xml:space="preserve">angustus / amplus</w:t>
        </w:r>
      </w:hyperlink>
      <w:r>
        <w:rPr>
          <w:b w:val="0"/>
          <w:i w:val="0"/>
        </w:rPr>
        <w:t xml:space="preserve">; </w:t>
      </w:r>
      <w:hyperlink w:anchor="latin-record-0141">
        <w:r>
          <w:rPr>
            <w:color w:val="000000"/>
          </w:rPr>
          <w:t xml:space="preserve">astringere / alligare</w:t>
        </w:r>
      </w:hyperlink>
      <w:r>
        <w:rPr>
          <w:b w:val="0"/>
          <w:i w:val="0"/>
        </w:rPr>
        <w:t xml:space="preserve">; </w:t>
      </w:r>
      <w:hyperlink w:anchor="latin-record-0226">
        <w:r>
          <w:rPr>
            <w:color w:val="000000"/>
          </w:rPr>
          <w:t xml:space="preserve">cogitare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45">
        <w:r>
          <w:rPr>
            <w:color w:val="000000"/>
          </w:rPr>
          <w:t xml:space="preserve">communis (additional forms)</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283">
        <w:r>
          <w:rPr>
            <w:color w:val="000000"/>
          </w:rPr>
          <w:t xml:space="preserve">condicio</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757">
        <w:r>
          <w:rPr>
            <w:color w:val="000000"/>
          </w:rPr>
          <w:t xml:space="preserve">materia</w:t>
        </w:r>
      </w:hyperlink>
      <w:r>
        <w:rPr>
          <w:b w:val="0"/>
          <w:i w:val="0"/>
        </w:rPr>
        <w:t xml:space="preserve">; </w:t>
      </w:r>
      <w:hyperlink w:anchor="latin-record-0766">
        <w:r>
          <w:rPr>
            <w:color w:val="000000"/>
          </w:rPr>
          <w:t xml:space="preserve">materialis</w:t>
        </w:r>
      </w:hyperlink>
      <w:r>
        <w:rPr>
          <w:b w:val="0"/>
          <w:i w:val="0"/>
        </w:rPr>
        <w:t xml:space="preserve">; </w:t>
      </w:r>
      <w:hyperlink w:anchor="latin-record-0823">
        <w:r>
          <w:rPr>
            <w:color w:val="000000"/>
          </w:rPr>
          <w:t xml:space="preserve">natura</w:t>
        </w:r>
      </w:hyperlink>
      <w:r>
        <w:rPr>
          <w:b w:val="0"/>
          <w:i w:val="0"/>
        </w:rPr>
        <w:t xml:space="preserve">; </w:t>
      </w:r>
      <w:hyperlink w:anchor="latin-record-1096">
        <w:r>
          <w:rPr>
            <w:color w:val="000000"/>
          </w:rPr>
          <w:t xml:space="preserve">regula / lex</w:t>
        </w:r>
      </w:hyperlink>
      <w:r>
        <w:rPr>
          <w:b w:val="0"/>
          <w:i w:val="0"/>
        </w:rPr>
        <w:t xml:space="preserve">; </w:t>
      </w:r>
      <w:hyperlink w:anchor="latin-record-1112">
        <w:r>
          <w:rPr>
            <w:color w:val="000000"/>
          </w:rPr>
          <w:t xml:space="preserve">res</w:t>
        </w:r>
      </w:hyperlink>
      <w:r>
        <w:rPr>
          <w:b w:val="0"/>
          <w:i w:val="0"/>
        </w:rPr>
        <w:t xml:space="preserve">; </w:t>
      </w:r>
      <w:hyperlink w:anchor="latin-record-1190">
        <w:r>
          <w:rPr>
            <w:color w:val="000000"/>
          </w:rPr>
          <w:t xml:space="preserve">singularis / particularis</w:t>
        </w:r>
      </w:hyperlink>
      <w:r>
        <w:rPr>
          <w:b w:val="0"/>
          <w:i w:val="0"/>
        </w:rPr>
        <w:t xml:space="preserve">; </w:t>
      </w:r>
      <w:hyperlink w:anchor="latin-record-1323">
        <w:r>
          <w:rPr>
            <w:color w:val="000000"/>
          </w:rPr>
          <w:t xml:space="preserve">universalis</w:t>
        </w:r>
      </w:hyperlink>
      <w:r>
        <w:rPr>
          <w:b w:val="0"/>
          <w:i w:val="0"/>
        </w:rPr>
        <w:t xml:space="preserve">; </w:t>
      </w:r>
      <w:hyperlink w:anchor="latin-record-1361">
        <w:r>
          <w:rPr>
            <w:color w:val="000000"/>
          </w:rPr>
          <w:t xml:space="preserve">vis</w:t>
        </w:r>
      </w:hyperlink>
      <w:r>
        <w:rPr>
          <w:b w:val="0"/>
          <w:i w:val="0"/>
        </w:rPr>
        <w:t>.</w:t>
      </w:r>
    </w:p>
    <w:p>
      <w:pPr>
        <w:widowControl/>
      </w:pPr>
      <w:bookmarkStart w:id="1975" w:name="passage-viii-8-2"/>
      <w:bookmarkEnd w:id="1975"/>
      <w:r>
        <w:rPr>
          <w:b/>
          <w:i w:val="0"/>
        </w:rPr>
        <w:t>VIII.8.2</w:t>
      </w:r>
      <w:r>
        <w:rPr>
          <w:b/>
          <w:i w:val="0"/>
        </w:rPr>
        <w:t>, source pp. 346–347.</w:t>
      </w:r>
      <w:r>
        <w:rPr>
          <w:b w:val="0"/>
          <w:i w:val="0"/>
        </w:rPr>
        <w:t xml:space="preserve"> Articles: </w:t>
      </w:r>
      <w:hyperlink w:anchor="viii-universality-law">
        <w:r>
          <w:rPr>
            <w:color w:val="000000"/>
          </w:rPr>
          <w:t xml:space="preserve">Universality, law, and material restriction</w:t>
        </w:r>
      </w:hyperlink>
      <w:r>
        <w:rPr>
          <w:b w:val="0"/>
          <w:i w:val="0"/>
        </w:rPr>
        <w:t xml:space="preserve">. Vocabulary: </w:t>
      </w:r>
      <w:hyperlink w:anchor="latin-record-0141">
        <w:r>
          <w:rPr>
            <w:color w:val="000000"/>
          </w:rPr>
          <w:t xml:space="preserve">astringere / alligare</w:t>
        </w:r>
      </w:hyperlink>
      <w:r>
        <w:rPr>
          <w:b w:val="0"/>
          <w:i w:val="0"/>
        </w:rPr>
        <w:t xml:space="preserve">; </w:t>
      </w:r>
      <w:hyperlink w:anchor="latin-record-0342">
        <w:r>
          <w:rPr>
            <w:color w:val="000000"/>
          </w:rPr>
          <w:t xml:space="preserve">corrumpere / interire / perdere</w:t>
        </w:r>
      </w:hyperlink>
      <w:r>
        <w:rPr>
          <w:b w:val="0"/>
          <w:i w:val="0"/>
        </w:rPr>
        <w:t xml:space="preserve">; </w:t>
      </w:r>
      <w:hyperlink w:anchor="latin-record-0499">
        <w:r>
          <w:rPr>
            <w:color w:val="000000"/>
          </w:rPr>
          <w:t xml:space="preserve">fons / receptaculum naturale</w:t>
        </w:r>
      </w:hyperlink>
      <w:r>
        <w:rPr>
          <w:b w:val="0"/>
          <w:i w:val="0"/>
        </w:rPr>
        <w:t xml:space="preserve">; </w:t>
      </w:r>
      <w:hyperlink w:anchor="latin-record-0649">
        <w:r>
          <w:rPr>
            <w:color w:val="000000"/>
          </w:rPr>
          <w:t xml:space="preserve">insidiae materiae</w:t>
        </w:r>
      </w:hyperlink>
      <w:r>
        <w:rPr>
          <w:b w:val="0"/>
          <w:i w:val="0"/>
        </w:rPr>
        <w:t xml:space="preserve">; </w:t>
      </w:r>
      <w:hyperlink w:anchor="latin-record-0829">
        <w:r>
          <w:rPr>
            <w:color w:val="000000"/>
          </w:rPr>
          <w:t xml:space="preserve">naturalis</w:t>
        </w:r>
      </w:hyperlink>
      <w:r>
        <w:rPr>
          <w:b w:val="0"/>
          <w:i w:val="0"/>
        </w:rPr>
        <w:t xml:space="preserve">; </w:t>
      </w:r>
      <w:hyperlink w:anchor="latin-record-1016">
        <w:r>
          <w:rPr>
            <w:color w:val="000000"/>
          </w:rPr>
          <w:t xml:space="preserve">proprius</w:t>
        </w:r>
      </w:hyperlink>
      <w:r>
        <w:rPr>
          <w:b w:val="0"/>
          <w:i w:val="0"/>
        </w:rPr>
        <w:t>.</w:t>
      </w:r>
    </w:p>
    <w:p>
      <w:pPr>
        <w:pStyle w:val="Heading2"/>
      </w:pPr>
      <w:bookmarkStart w:id="1976" w:name="chapter-viii.9"/>
      <w:r>
        <w:rPr>
          <w:b w:val="0"/>
          <w:i w:val="0"/>
        </w:rPr>
        <w:t>Chapter VIII.9</w:t>
      </w:r>
      <w:bookmarkEnd w:id="1976"/>
    </w:p>
    <w:p>
      <w:pPr>
        <w:widowControl/>
      </w:pPr>
      <w:bookmarkStart w:id="1977" w:name="passage-viii-9-1"/>
      <w:bookmarkEnd w:id="1977"/>
      <w:r>
        <w:rPr>
          <w:b/>
          <w:i w:val="0"/>
        </w:rPr>
        <w:t>VIII.9.1</w:t>
      </w:r>
      <w:r>
        <w:rPr>
          <w:b/>
          <w:i w:val="0"/>
        </w:rPr>
        <w:t>, source pp. 348–349.</w:t>
      </w:r>
      <w:r>
        <w:rPr>
          <w:b w:val="0"/>
          <w:i w:val="0"/>
        </w:rPr>
        <w:t xml:space="preserve"> Articles: </w:t>
      </w:r>
      <w:hyperlink w:anchor="viii-individual-perpetuity">
        <w:r>
          <w:rPr>
            <w:color w:val="000000"/>
          </w:rPr>
          <w:t xml:space="preserve">Individual immortality and the scope of the conclusion</w:t>
        </w:r>
      </w:hyperlink>
      <w:r>
        <w:rPr>
          <w:b w:val="0"/>
          <w:i w:val="0"/>
        </w:rPr>
        <w:t xml:space="preserve">; </w:t>
      </w:r>
      <w:hyperlink w:anchor="viii-mutual-minds">
        <w:r>
          <w:rPr>
            <w:color w:val="000000"/>
          </w:rPr>
          <w:t xml:space="preserve">Mutual knowledge of minds and the celestial spheres</w:t>
        </w:r>
      </w:hyperlink>
      <w:r>
        <w:rPr>
          <w:b w:val="0"/>
          <w:i w:val="0"/>
        </w:rPr>
        <w:t xml:space="preserve">. Vocabulary: </w:t>
      </w:r>
      <w:hyperlink w:anchor="latin-record-0027">
        <w:r>
          <w:rPr>
            <w:color w:val="000000"/>
          </w:rPr>
          <w:t xml:space="preserve">actus rectus / reflexus</w:t>
        </w:r>
      </w:hyperlink>
      <w:r>
        <w:rPr>
          <w:b w:val="0"/>
          <w:i w:val="0"/>
        </w:rPr>
        <w:t xml:space="preserve">; </w:t>
      </w:r>
      <w:hyperlink w:anchor="latin-record-0044">
        <w:r>
          <w:rPr>
            <w:color w:val="000000"/>
          </w:rPr>
          <w:t xml:space="preserve">aequari / aequare</w:t>
        </w:r>
      </w:hyperlink>
      <w:r>
        <w:rPr>
          <w:b w:val="0"/>
          <w:i w:val="0"/>
        </w:rPr>
        <w:t xml:space="preserve">; </w:t>
      </w:r>
      <w:hyperlink w:anchor="latin-record-0083">
        <w:r>
          <w:rPr>
            <w:color w:val="000000"/>
          </w:rPr>
          <w:t xml:space="preserve">amplexus / complecti / capere</w:t>
        </w:r>
      </w:hyperlink>
      <w:r>
        <w:rPr>
          <w:b w:val="0"/>
          <w:i w:val="0"/>
        </w:rPr>
        <w:t xml:space="preserve">; </w:t>
      </w:r>
      <w:hyperlink w:anchor="latin-record-0229">
        <w:r>
          <w:rPr>
            <w:color w:val="000000"/>
          </w:rPr>
          <w:t xml:space="preserve">cognitio</w:t>
        </w:r>
      </w:hyperlink>
      <w:r>
        <w:rPr>
          <w:b w:val="0"/>
          <w:i w:val="0"/>
        </w:rPr>
        <w:t xml:space="preserve">; </w:t>
      </w:r>
      <w:hyperlink w:anchor="latin-record-0317">
        <w:r>
          <w:rPr>
            <w:color w:val="000000"/>
          </w:rPr>
          <w:t xml:space="preserve">continere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440">
        <w:r>
          <w:rPr>
            <w:color w:val="000000"/>
          </w:rPr>
          <w:t xml:space="preserve">esse</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02">
        <w:r>
          <w:rPr>
            <w:color w:val="000000"/>
          </w:rPr>
          <w:t xml:space="preserve">impedire / cohibere / claudere</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77">
        <w:r>
          <w:rPr>
            <w:color w:val="000000"/>
          </w:rPr>
          <w:t xml:space="preserve">mens</w:t>
        </w:r>
      </w:hyperlink>
      <w:r>
        <w:rPr>
          <w:b w:val="0"/>
          <w:i w:val="0"/>
        </w:rPr>
        <w:t xml:space="preserve">; </w:t>
      </w:r>
      <w:hyperlink w:anchor="latin-record-0823">
        <w:r>
          <w:rPr>
            <w:color w:val="000000"/>
          </w:rPr>
          <w:t xml:space="preserve">natura</w:t>
        </w:r>
      </w:hyperlink>
      <w:r>
        <w:rPr>
          <w:b w:val="0"/>
          <w:i w:val="0"/>
        </w:rPr>
        <w:t xml:space="preserve">; </w:t>
      </w:r>
      <w:hyperlink w:anchor="latin-record-1044">
        <w:r>
          <w:rPr>
            <w:color w:val="000000"/>
          </w:rPr>
          <w:t xml:space="preserve">quantitas</w:t>
        </w:r>
      </w:hyperlink>
      <w:r>
        <w:rPr>
          <w:b w:val="0"/>
          <w:i w:val="0"/>
        </w:rPr>
        <w:t xml:space="preserve">; </w:t>
      </w:r>
      <w:hyperlink w:anchor="latin-record-1091">
        <w:r>
          <w:rPr>
            <w:color w:val="000000"/>
          </w:rPr>
          <w:t xml:space="preserve">reflexio / reflectere</w:t>
        </w:r>
      </w:hyperlink>
      <w:r>
        <w:rPr>
          <w:b w:val="0"/>
          <w:i w:val="0"/>
        </w:rPr>
        <w:t xml:space="preserve">; </w:t>
      </w:r>
      <w:hyperlink w:anchor="latin-record-1112">
        <w:r>
          <w:rPr>
            <w:color w:val="000000"/>
          </w:rPr>
          <w:t xml:space="preserve">res</w:t>
        </w:r>
      </w:hyperlink>
      <w:r>
        <w:rPr>
          <w:b w:val="0"/>
          <w:i w:val="0"/>
        </w:rPr>
        <w:t xml:space="preserve">; </w:t>
      </w:r>
      <w:hyperlink w:anchor="latin-record-1128">
        <w:r>
          <w:rPr>
            <w:color w:val="000000"/>
          </w:rPr>
          <w:t xml:space="preserve">saltem futura sit semper</w:t>
        </w:r>
      </w:hyperlink>
      <w:r>
        <w:rPr>
          <w:b w:val="0"/>
          <w:i w:val="0"/>
        </w:rPr>
        <w:t xml:space="preserve">; </w:t>
      </w:r>
      <w:hyperlink w:anchor="latin-record-1134">
        <w:r>
          <w:rPr>
            <w:color w:val="000000"/>
          </w:rPr>
          <w:t xml:space="preserve">Saturnus / Iuppiter / sphaera</w:t>
        </w:r>
      </w:hyperlink>
      <w:r>
        <w:rPr>
          <w:b w:val="0"/>
          <w:i w:val="0"/>
        </w:rPr>
        <w:t>.</w:t>
      </w:r>
    </w:p>
    <w:p>
      <w:pPr>
        <w:pStyle w:val="Heading2"/>
      </w:pPr>
      <w:bookmarkStart w:id="1978" w:name="chapter-viii.10"/>
      <w:r>
        <w:rPr>
          <w:b w:val="0"/>
          <w:i w:val="0"/>
        </w:rPr>
        <w:t>Chapter VIII.10</w:t>
      </w:r>
      <w:bookmarkEnd w:id="1978"/>
    </w:p>
    <w:p>
      <w:pPr>
        <w:widowControl/>
      </w:pPr>
      <w:bookmarkStart w:id="1979" w:name="passage-viii-10-1"/>
      <w:bookmarkEnd w:id="1979"/>
      <w:r>
        <w:rPr>
          <w:b/>
          <w:i w:val="0"/>
        </w:rPr>
        <w:t>VIII.10.1</w:t>
      </w:r>
      <w:r>
        <w:rPr>
          <w:b/>
          <w:i w:val="0"/>
        </w:rPr>
        <w:t>, source pp. 350–351.</w:t>
      </w:r>
      <w:r>
        <w:rPr>
          <w:b w:val="0"/>
          <w:i w:val="0"/>
        </w:rPr>
        <w:t xml:space="preserve"> Articles: </w:t>
      </w:r>
      <w:hyperlink w:anchor="viii-operation-kind">
        <w:r>
          <w:rPr>
            <w:color w:val="000000"/>
          </w:rPr>
          <w:t xml:space="preserve">Kind, generation, and operation’s dependence on substance</w:t>
        </w:r>
      </w:hyperlink>
      <w:r>
        <w:rPr>
          <w:b w:val="0"/>
          <w:i w:val="0"/>
        </w:rPr>
        <w:t xml:space="preserve">; </w:t>
      </w:r>
      <w:hyperlink w:anchor="viii-mental-hands">
        <w:r>
          <w:rPr>
            <w:color w:val="000000"/>
          </w:rPr>
          <w:t xml:space="preserve">Mental hands, conception, and creative understanding</w:t>
        </w:r>
      </w:hyperlink>
      <w:r>
        <w:rPr>
          <w:b w:val="0"/>
          <w:i w:val="0"/>
        </w:rPr>
        <w:t xml:space="preserve">. Vocabulary: </w:t>
      </w:r>
      <w:hyperlink w:anchor="latin-record-0016">
        <w:r>
          <w:rPr>
            <w:color w:val="000000"/>
          </w:rPr>
          <w:t xml:space="preserve">accipere / concipere</w:t>
        </w:r>
      </w:hyperlink>
      <w:r>
        <w:rPr>
          <w:b w:val="0"/>
          <w:i w:val="0"/>
        </w:rPr>
        <w:t xml:space="preserve">; </w:t>
      </w:r>
      <w:hyperlink w:anchor="latin-record-0058">
        <w:r>
          <w:rPr>
            <w:color w:val="000000"/>
          </w:rPr>
          <w:t xml:space="preserve">agere / operari</w:t>
        </w:r>
      </w:hyperlink>
      <w:r>
        <w:rPr>
          <w:b w:val="0"/>
          <w:i w:val="0"/>
        </w:rPr>
        <w:t xml:space="preserve">; </w:t>
      </w:r>
      <w:hyperlink w:anchor="latin-record-0065">
        <w:r>
          <w:rPr>
            <w:color w:val="000000"/>
          </w:rPr>
          <w:t xml:space="preserve">agnoscere / cognoscere</w:t>
        </w:r>
      </w:hyperlink>
      <w:r>
        <w:rPr>
          <w:b w:val="0"/>
          <w:i w:val="0"/>
        </w:rPr>
        <w:t xml:space="preserve">; </w:t>
      </w:r>
      <w:hyperlink w:anchor="latin-record-0116">
        <w:r>
          <w:rPr>
            <w:color w:val="000000"/>
          </w:rPr>
          <w:t xml:space="preserve">aqua / ignis / calor / frigus</w:t>
        </w:r>
      </w:hyperlink>
      <w:r>
        <w:rPr>
          <w:b w:val="0"/>
          <w:i w:val="0"/>
        </w:rPr>
        <w:t xml:space="preserve">; </w:t>
      </w:r>
      <w:hyperlink w:anchor="latin-record-0143">
        <w:r>
          <w:rPr>
            <w:color w:val="000000"/>
          </w:rPr>
          <w:t xml:space="preserve">attingere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209">
        <w:r>
          <w:rPr>
            <w:color w:val="000000"/>
          </w:rPr>
          <w:t xml:space="preserve">certa / certus</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277">
        <w:r>
          <w:rPr>
            <w:color w:val="000000"/>
          </w:rPr>
          <w:t xml:space="preserve">concludere / inferre / sequi</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44">
        <w:r>
          <w:rPr>
            <w:color w:val="000000"/>
          </w:rPr>
          <w:t xml:space="preserve">genus</w:t>
        </w:r>
      </w:hyperlink>
      <w:r>
        <w:rPr>
          <w:b w:val="0"/>
          <w:i w:val="0"/>
        </w:rPr>
        <w:t xml:space="preserve">; </w:t>
      </w:r>
      <w:hyperlink w:anchor="latin-record-0565">
        <w:r>
          <w:rPr>
            <w:color w:val="000000"/>
          </w:rPr>
          <w:t xml:space="preserve">homo / humanus</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60">
        <w:r>
          <w:rPr>
            <w:color w:val="000000"/>
          </w:rPr>
          <w:t xml:space="preserve">operatio / actio</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875">
        <w:r>
          <w:rPr>
            <w:color w:val="000000"/>
          </w:rPr>
          <w:t xml:space="preserve">ordinare / ordo</w:t>
        </w:r>
      </w:hyperlink>
      <w:r>
        <w:rPr>
          <w:b w:val="0"/>
          <w:i w:val="0"/>
        </w:rPr>
        <w:t xml:space="preserve">; </w:t>
      </w:r>
      <w:hyperlink w:anchor="latin-record-0888">
        <w:r>
          <w:rPr>
            <w:color w:val="000000"/>
          </w:rPr>
          <w:t xml:space="preserve">ovis / ignis</w:t>
        </w:r>
      </w:hyperlink>
      <w:r>
        <w:rPr>
          <w:b w:val="0"/>
          <w:i w:val="0"/>
        </w:rPr>
        <w:t xml:space="preserve">; </w:t>
      </w:r>
      <w:hyperlink w:anchor="latin-record-0987">
        <w:r>
          <w:rPr>
            <w:color w:val="000000"/>
          </w:rPr>
          <w:t xml:space="preserve">primum / deinde / prius / secundo</w:t>
        </w:r>
      </w:hyperlink>
      <w:r>
        <w:rPr>
          <w:b w:val="0"/>
          <w:i w:val="0"/>
        </w:rPr>
        <w:t xml:space="preserve">; </w:t>
      </w:r>
      <w:hyperlink w:anchor="latin-record-1009">
        <w:r>
          <w:rPr>
            <w:color w:val="000000"/>
          </w:rPr>
          <w:t xml:space="preserve">proles / parturire</w:t>
        </w:r>
      </w:hyperlink>
      <w:r>
        <w:rPr>
          <w:b w:val="0"/>
          <w:i w:val="0"/>
        </w:rPr>
        <w:t xml:space="preserve">; </w:t>
      </w:r>
      <w:hyperlink w:anchor="latin-record-1016">
        <w:r>
          <w:rPr>
            <w:color w:val="000000"/>
          </w:rPr>
          <w:t xml:space="preserve">proprius</w:t>
        </w:r>
      </w:hyperlink>
      <w:r>
        <w:rPr>
          <w:b w:val="0"/>
          <w:i w:val="0"/>
        </w:rPr>
        <w:t xml:space="preserve">; </w:t>
      </w:r>
      <w:hyperlink w:anchor="latin-record-1112">
        <w:r>
          <w:rPr>
            <w:color w:val="000000"/>
          </w:rPr>
          <w:t xml:space="preserve">res</w:t>
        </w:r>
      </w:hyperlink>
      <w:r>
        <w:rPr>
          <w:b w:val="0"/>
          <w:i w:val="0"/>
        </w:rPr>
        <w:t xml:space="preserve">; </w:t>
      </w:r>
      <w:hyperlink w:anchor="latin-record-1176">
        <w:r>
          <w:rPr>
            <w:color w:val="000000"/>
          </w:rPr>
          <w:t xml:space="preserve">similitudo</w:t>
        </w:r>
      </w:hyperlink>
      <w:r>
        <w:rPr>
          <w:b w:val="0"/>
          <w:i w:val="0"/>
        </w:rPr>
        <w:t xml:space="preserve">; </w:t>
      </w:r>
      <w:hyperlink w:anchor="latin-record-1242">
        <w:r>
          <w:rPr>
            <w:color w:val="000000"/>
          </w:rPr>
          <w:t xml:space="preserve">sublimior</w:t>
        </w:r>
      </w:hyperlink>
      <w:r>
        <w:rPr>
          <w:b w:val="0"/>
          <w:i w:val="0"/>
        </w:rPr>
        <w:t xml:space="preserve">; </w:t>
      </w:r>
      <w:hyperlink w:anchor="latin-record-1245">
        <w:r>
          <w:rPr>
            <w:color w:val="000000"/>
          </w:rPr>
          <w:t xml:space="preserve">substantia</w:t>
        </w:r>
      </w:hyperlink>
      <w:r>
        <w:rPr>
          <w:b w:val="0"/>
          <w:i w:val="0"/>
        </w:rPr>
        <w:t xml:space="preserve">; </w:t>
      </w:r>
      <w:hyperlink w:anchor="latin-record-1361">
        <w:r>
          <w:rPr>
            <w:color w:val="000000"/>
          </w:rPr>
          <w:t xml:space="preserve">vis</w:t>
        </w:r>
      </w:hyperlink>
      <w:r>
        <w:rPr>
          <w:b w:val="0"/>
          <w:i w:val="0"/>
        </w:rPr>
        <w:t>.</w:t>
      </w:r>
    </w:p>
    <w:p>
      <w:pPr>
        <w:widowControl/>
      </w:pPr>
      <w:bookmarkStart w:id="1980" w:name="passage-viii-10-2"/>
      <w:bookmarkEnd w:id="1980"/>
      <w:r>
        <w:rPr>
          <w:b/>
          <w:i w:val="0"/>
        </w:rPr>
        <w:t>VIII.10.2</w:t>
      </w:r>
      <w:r>
        <w:rPr>
          <w:b/>
          <w:i w:val="0"/>
        </w:rPr>
        <w:t>, source pp. 352–353.</w:t>
      </w:r>
      <w:r>
        <w:rPr>
          <w:b w:val="0"/>
          <w:i w:val="0"/>
        </w:rPr>
        <w:t xml:space="preserve"> Articles: </w:t>
      </w:r>
      <w:hyperlink w:anchor="viii-individual-perpetuity">
        <w:r>
          <w:rPr>
            <w:color w:val="000000"/>
          </w:rPr>
          <w:t xml:space="preserve">Individual immortality and the scope of the conclusion</w:t>
        </w:r>
      </w:hyperlink>
      <w:r>
        <w:rPr>
          <w:b w:val="0"/>
          <w:i w:val="0"/>
        </w:rPr>
        <w:t xml:space="preserve">; </w:t>
      </w:r>
      <w:hyperlink w:anchor="viii-operation-kind">
        <w:r>
          <w:rPr>
            <w:color w:val="000000"/>
          </w:rPr>
          <w:t xml:space="preserve">Kind, generation, and operation’s dependence on substance</w:t>
        </w:r>
      </w:hyperlink>
      <w:r>
        <w:rPr>
          <w:b w:val="0"/>
          <w:i w:val="0"/>
        </w:rPr>
        <w:t xml:space="preserve">; </w:t>
      </w:r>
      <w:hyperlink w:anchor="viii-mental-hands">
        <w:r>
          <w:rPr>
            <w:color w:val="000000"/>
          </w:rPr>
          <w:t xml:space="preserve">Mental hands, conception, and creative understanding</w:t>
        </w:r>
      </w:hyperlink>
      <w:r>
        <w:rPr>
          <w:b w:val="0"/>
          <w:i w:val="0"/>
        </w:rPr>
        <w:t xml:space="preserve">. Vocabulary: </w:t>
      </w:r>
      <w:hyperlink w:anchor="latin-record-0008">
        <w:r>
          <w:rPr>
            <w:color w:val="000000"/>
          </w:rPr>
          <w:t xml:space="preserve">abstractio / abstrahere</w:t>
        </w:r>
      </w:hyperlink>
      <w:r>
        <w:rPr>
          <w:b w:val="0"/>
          <w:i w:val="0"/>
        </w:rPr>
        <w:t xml:space="preserve">; </w:t>
      </w:r>
      <w:hyperlink w:anchor="latin-record-0109">
        <w:r>
          <w:rPr>
            <w:color w:val="000000"/>
          </w:rPr>
          <w:t xml:space="preserve">appetere / cupere / affectare</w:t>
        </w:r>
      </w:hyperlink>
      <w:r>
        <w:rPr>
          <w:b w:val="0"/>
          <w:i w:val="0"/>
        </w:rPr>
        <w:t xml:space="preserve">; </w:t>
      </w:r>
      <w:hyperlink w:anchor="latin-record-0124">
        <w:r>
          <w:rPr>
            <w:color w:val="000000"/>
          </w:rPr>
          <w:t xml:space="preserve">Aristoteles / Platonici</w:t>
        </w:r>
      </w:hyperlink>
      <w:r>
        <w:rPr>
          <w:b w:val="0"/>
          <w:i w:val="0"/>
        </w:rPr>
        <w:t xml:space="preserve">; </w:t>
      </w:r>
      <w:hyperlink w:anchor="latin-record-0143">
        <w:r>
          <w:rPr>
            <w:color w:val="000000"/>
          </w:rPr>
          <w:t xml:space="preserve">attingere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209">
        <w:r>
          <w:rPr>
            <w:color w:val="000000"/>
          </w:rPr>
          <w:t xml:space="preserve">certa / certus</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83">
        <w:r>
          <w:rPr>
            <w:color w:val="000000"/>
          </w:rPr>
          <w:t xml:space="preserve">condicio</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393">
        <w:r>
          <w:rPr>
            <w:color w:val="000000"/>
          </w:rPr>
          <w:t xml:space="preserve">discursus / discurrere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38">
        <w:r>
          <w:rPr>
            <w:color w:val="000000"/>
          </w:rPr>
          <w:t xml:space="preserve">Epicurei</w:t>
        </w:r>
      </w:hyperlink>
      <w:r>
        <w:rPr>
          <w:b w:val="0"/>
          <w:i w:val="0"/>
        </w:rPr>
        <w:t xml:space="preserve">; </w:t>
      </w:r>
      <w:hyperlink w:anchor="latin-record-0440">
        <w:r>
          <w:rPr>
            <w:color w:val="000000"/>
          </w:rPr>
          <w:t xml:space="preserve">esse</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46">
        <w:r>
          <w:rPr>
            <w:color w:val="000000"/>
          </w:rPr>
          <w:t xml:space="preserve">gradus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95">
        <w:r>
          <w:rPr>
            <w:color w:val="000000"/>
          </w:rPr>
          <w:t xml:space="preserve">immo / tamen / non tamen</w:t>
        </w:r>
      </w:hyperlink>
      <w:r>
        <w:rPr>
          <w:b w:val="0"/>
          <w:i w:val="0"/>
        </w:rPr>
        <w:t xml:space="preserve">; </w:t>
      </w:r>
      <w:hyperlink w:anchor="latin-record-0602">
        <w:r>
          <w:rPr>
            <w:color w:val="000000"/>
          </w:rPr>
          <w:t xml:space="preserve">impedire / cohibere / claudere</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60">
        <w:r>
          <w:rPr>
            <w:color w:val="000000"/>
          </w:rPr>
          <w:t xml:space="preserve">intellectus</w:t>
        </w:r>
      </w:hyperlink>
      <w:r>
        <w:rPr>
          <w:b w:val="0"/>
          <w:i w:val="0"/>
        </w:rPr>
        <w:t xml:space="preserve">; </w:t>
      </w:r>
      <w:hyperlink w:anchor="latin-record-0724">
        <w:r>
          <w:rPr>
            <w:color w:val="000000"/>
          </w:rPr>
          <w:t xml:space="preserve">longitudo / latitudo / profunditas</w:t>
        </w:r>
      </w:hyperlink>
      <w:r>
        <w:rPr>
          <w:b w:val="0"/>
          <w:i w:val="0"/>
        </w:rPr>
        <w:t xml:space="preserve">; </w:t>
      </w:r>
      <w:hyperlink w:anchor="latin-record-0755">
        <w:r>
          <w:rPr>
            <w:color w:val="000000"/>
          </w:rPr>
          <w:t xml:space="preserve">manus mentis</w:t>
        </w:r>
      </w:hyperlink>
      <w:r>
        <w:rPr>
          <w:b w:val="0"/>
          <w:i w:val="0"/>
        </w:rPr>
        <w:t xml:space="preserve">; </w:t>
      </w:r>
      <w:hyperlink w:anchor="latin-record-0766">
        <w:r>
          <w:rPr>
            <w:color w:val="000000"/>
          </w:rPr>
          <w:t xml:space="preserve">materialis</w:t>
        </w:r>
      </w:hyperlink>
      <w:r>
        <w:rPr>
          <w:b w:val="0"/>
          <w:i w:val="0"/>
        </w:rPr>
        <w:t xml:space="preserve">; </w:t>
      </w:r>
      <w:hyperlink w:anchor="latin-record-0779">
        <w:r>
          <w:rPr>
            <w:color w:val="000000"/>
          </w:rPr>
          <w:t xml:space="preserve">mensura / magnitudo</w:t>
        </w:r>
      </w:hyperlink>
      <w:r>
        <w:rPr>
          <w:b w:val="0"/>
          <w:i w:val="0"/>
        </w:rPr>
        <w:t xml:space="preserve">; </w:t>
      </w:r>
      <w:hyperlink w:anchor="latin-record-0789">
        <w:r>
          <w:rPr>
            <w:color w:val="000000"/>
          </w:rPr>
          <w:t xml:space="preserve">mixtus / sincerus</w:t>
        </w:r>
      </w:hyperlink>
      <w:r>
        <w:rPr>
          <w:b w:val="0"/>
          <w:i w:val="0"/>
        </w:rPr>
        <w:t xml:space="preserve">; </w:t>
      </w:r>
      <w:hyperlink w:anchor="latin-record-0790">
        <w:r>
          <w:rPr>
            <w:color w:val="000000"/>
          </w:rPr>
          <w:t xml:space="preserve">modus / pactum</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23">
        <w:r>
          <w:rPr>
            <w:color w:val="000000"/>
          </w:rPr>
          <w:t xml:space="preserve">natura</w:t>
        </w:r>
      </w:hyperlink>
      <w:r>
        <w:rPr>
          <w:b w:val="0"/>
          <w:i w:val="0"/>
        </w:rPr>
        <w:t xml:space="preserve">; </w:t>
      </w:r>
      <w:hyperlink w:anchor="latin-record-0865">
        <w:r>
          <w:rPr>
            <w:color w:val="000000"/>
          </w:rPr>
          <w:t xml:space="preserve">opinio / sententia</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0968">
        <w:r>
          <w:rPr>
            <w:color w:val="000000"/>
          </w:rPr>
          <w:t xml:space="preserve">potentia</w:t>
        </w:r>
      </w:hyperlink>
      <w:r>
        <w:rPr>
          <w:b w:val="0"/>
          <w:i w:val="0"/>
        </w:rPr>
        <w:t xml:space="preserve">; </w:t>
      </w:r>
      <w:hyperlink w:anchor="latin-record-1009">
        <w:r>
          <w:rPr>
            <w:color w:val="000000"/>
          </w:rPr>
          <w:t xml:space="preserve">proles / parturire</w:t>
        </w:r>
      </w:hyperlink>
      <w:r>
        <w:rPr>
          <w:b w:val="0"/>
          <w:i w:val="0"/>
        </w:rPr>
        <w:t xml:space="preserve">; </w:t>
      </w:r>
      <w:hyperlink w:anchor="latin-record-1020">
        <w:r>
          <w:rPr>
            <w:color w:val="000000"/>
          </w:rPr>
          <w:t xml:space="preserve">prospicere / effingere / fingere</w:t>
        </w:r>
      </w:hyperlink>
      <w:r>
        <w:rPr>
          <w:b w:val="0"/>
          <w:i w:val="0"/>
        </w:rPr>
        <w:t xml:space="preserve">; </w:t>
      </w:r>
      <w:hyperlink w:anchor="latin-record-1042">
        <w:r>
          <w:rPr>
            <w:color w:val="000000"/>
          </w:rPr>
          <w:t xml:space="preserve">qualitas</w:t>
        </w:r>
      </w:hyperlink>
      <w:r>
        <w:rPr>
          <w:b w:val="0"/>
          <w:i w:val="0"/>
        </w:rPr>
        <w:t xml:space="preserve">; </w:t>
      </w:r>
      <w:hyperlink w:anchor="latin-record-1112">
        <w:r>
          <w:rPr>
            <w:color w:val="000000"/>
          </w:rPr>
          <w:t xml:space="preserve">res</w:t>
        </w:r>
      </w:hyperlink>
      <w:r>
        <w:rPr>
          <w:b w:val="0"/>
          <w:i w:val="0"/>
        </w:rPr>
        <w:t xml:space="preserve">; </w:t>
      </w:r>
      <w:hyperlink w:anchor="latin-record-1119">
        <w:r>
          <w:rPr>
            <w:color w:val="000000"/>
          </w:rPr>
          <w:t xml:space="preserve">respondere / fateor / negare</w:t>
        </w:r>
      </w:hyperlink>
      <w:r>
        <w:rPr>
          <w:b w:val="0"/>
          <w:i w:val="0"/>
        </w:rPr>
        <w:t xml:space="preserve">; </w:t>
      </w:r>
      <w:hyperlink w:anchor="latin-record-1176">
        <w:r>
          <w:rPr>
            <w:color w:val="000000"/>
          </w:rPr>
          <w:t xml:space="preserve">similitudo</w:t>
        </w:r>
      </w:hyperlink>
      <w:r>
        <w:rPr>
          <w:b w:val="0"/>
          <w:i w:val="0"/>
        </w:rPr>
        <w:t xml:space="preserve">; </w:t>
      </w:r>
      <w:hyperlink w:anchor="latin-record-1196">
        <w:r>
          <w:rPr>
            <w:color w:val="000000"/>
          </w:rPr>
          <w:t xml:space="preserve">sola (subject)</w:t>
        </w:r>
      </w:hyperlink>
      <w:r>
        <w:rPr>
          <w:b w:val="0"/>
          <w:i w:val="0"/>
        </w:rPr>
        <w:t xml:space="preserve">; </w:t>
      </w:r>
      <w:hyperlink w:anchor="latin-record-1199">
        <w:r>
          <w:rPr>
            <w:color w:val="000000"/>
          </w:rPr>
          <w:t xml:space="preserve">solus (restrictive)</w:t>
        </w:r>
      </w:hyperlink>
      <w:r>
        <w:rPr>
          <w:b w:val="0"/>
          <w:i w:val="0"/>
        </w:rPr>
        <w:t xml:space="preserve">; </w:t>
      </w:r>
      <w:hyperlink w:anchor="latin-record-1242">
        <w:r>
          <w:rPr>
            <w:color w:val="000000"/>
          </w:rPr>
          <w:t xml:space="preserve">sublimior</w:t>
        </w:r>
      </w:hyperlink>
      <w:r>
        <w:rPr>
          <w:b w:val="0"/>
          <w:i w:val="0"/>
        </w:rPr>
        <w:t xml:space="preserve">; </w:t>
      </w:r>
      <w:hyperlink w:anchor="latin-record-1245">
        <w:r>
          <w:rPr>
            <w:color w:val="000000"/>
          </w:rPr>
          <w:t xml:space="preserve">substantia</w:t>
        </w:r>
      </w:hyperlink>
      <w:r>
        <w:rPr>
          <w:b w:val="0"/>
          <w:i w:val="0"/>
        </w:rPr>
        <w:t xml:space="preserve">; </w:t>
      </w:r>
      <w:hyperlink w:anchor="latin-record-1261">
        <w:r>
          <w:rPr>
            <w:color w:val="000000"/>
          </w:rPr>
          <w:t xml:space="preserve">superare / excedere / excellere</w:t>
        </w:r>
      </w:hyperlink>
      <w:r>
        <w:rPr>
          <w:b w:val="0"/>
          <w:i w:val="0"/>
        </w:rPr>
        <w:t>.</w:t>
      </w:r>
    </w:p>
    <w:p>
      <w:pPr>
        <w:pStyle w:val="Heading2"/>
      </w:pPr>
      <w:bookmarkStart w:id="1981" w:name="chapter-viii.11"/>
      <w:r>
        <w:rPr>
          <w:b w:val="0"/>
          <w:i w:val="0"/>
        </w:rPr>
        <w:t>Chapter VIII.11</w:t>
      </w:r>
      <w:bookmarkEnd w:id="1981"/>
    </w:p>
    <w:p>
      <w:pPr>
        <w:widowControl/>
      </w:pPr>
      <w:bookmarkStart w:id="1982" w:name="passage-viii-11-1"/>
      <w:bookmarkEnd w:id="1982"/>
      <w:r>
        <w:rPr>
          <w:b/>
          <w:i w:val="0"/>
        </w:rPr>
        <w:t>VIII.11.1</w:t>
      </w:r>
      <w:r>
        <w:rPr>
          <w:b/>
          <w:i w:val="0"/>
        </w:rPr>
        <w:t>, source pp. 354–355.</w:t>
      </w:r>
      <w:r>
        <w:rPr>
          <w:b w:val="0"/>
          <w:i w:val="0"/>
        </w:rPr>
        <w:t xml:space="preserve"> Articles: </w:t>
      </w:r>
      <w:hyperlink w:anchor="viii-repose-contemplation">
        <w:r>
          <w:rPr>
            <w:color w:val="000000"/>
          </w:rPr>
          <w:t xml:space="preserve">Repose, motion, and contemplation</w:t>
        </w:r>
      </w:hyperlink>
      <w:r>
        <w:rPr>
          <w:b w:val="0"/>
          <w:i w:val="0"/>
        </w:rPr>
        <w:t xml:space="preserve">. Vocabulary: </w:t>
      </w:r>
      <w:hyperlink w:anchor="latin-record-0048">
        <w:r>
          <w:rPr>
            <w:color w:val="000000"/>
          </w:rPr>
          <w:t xml:space="preserve">aeternus / aeternitas</w:t>
        </w:r>
      </w:hyperlink>
      <w:r>
        <w:rPr>
          <w:b w:val="0"/>
          <w:i w:val="0"/>
        </w:rPr>
        <w:t xml:space="preserve">; </w:t>
      </w:r>
      <w:hyperlink w:anchor="latin-record-0109">
        <w:r>
          <w:rPr>
            <w:color w:val="000000"/>
          </w:rPr>
          <w:t xml:space="preserve">appetere / cupere / affectare</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23">
        <w:r>
          <w:rPr>
            <w:color w:val="000000"/>
          </w:rPr>
          <w:t xml:space="preserve">natura</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0940">
        <w:r>
          <w:rPr>
            <w:color w:val="000000"/>
          </w:rPr>
          <w:t xml:space="preserve">perturbatio / negotium</w:t>
        </w:r>
      </w:hyperlink>
      <w:r>
        <w:rPr>
          <w:b w:val="0"/>
          <w:i w:val="0"/>
        </w:rPr>
        <w:t xml:space="preserve">; </w:t>
      </w:r>
      <w:hyperlink w:anchor="latin-record-1005">
        <w:r>
          <w:rPr>
            <w:color w:val="000000"/>
          </w:rPr>
          <w:t xml:space="preserve">proficere / crescere / decrescere</w:t>
        </w:r>
      </w:hyperlink>
      <w:r>
        <w:rPr>
          <w:b w:val="0"/>
          <w:i w:val="0"/>
        </w:rPr>
        <w:t xml:space="preserve">; </w:t>
      </w:r>
      <w:hyperlink w:anchor="latin-record-1352">
        <w:r>
          <w:rPr>
            <w:color w:val="000000"/>
          </w:rPr>
          <w:t xml:space="preserve">videri / apparere / patere / constare</w:t>
        </w:r>
      </w:hyperlink>
      <w:r>
        <w:rPr>
          <w:b w:val="0"/>
          <w:i w:val="0"/>
        </w:rPr>
        <w:t>.</w:t>
      </w:r>
    </w:p>
    <w:p>
      <w:pPr>
        <w:pStyle w:val="Heading2"/>
      </w:pPr>
      <w:bookmarkStart w:id="1983" w:name="chapter-viii.12"/>
      <w:r>
        <w:rPr>
          <w:b w:val="0"/>
          <w:i w:val="0"/>
        </w:rPr>
        <w:t>Chapter VIII.12</w:t>
      </w:r>
      <w:bookmarkEnd w:id="1983"/>
    </w:p>
    <w:p>
      <w:pPr>
        <w:widowControl/>
      </w:pPr>
      <w:bookmarkStart w:id="1984" w:name="passage-viii-12-1"/>
      <w:bookmarkEnd w:id="1984"/>
      <w:r>
        <w:rPr>
          <w:b/>
          <w:i w:val="0"/>
        </w:rPr>
        <w:t>VIII.12.1</w:t>
      </w:r>
      <w:r>
        <w:rPr>
          <w:b/>
          <w:i w:val="0"/>
        </w:rPr>
        <w:t>, source pp. 356–357.</w:t>
      </w:r>
      <w:r>
        <w:rPr>
          <w:b w:val="0"/>
          <w:i w:val="0"/>
        </w:rPr>
        <w:t xml:space="preserve"> Articles: </w:t>
      </w:r>
      <w:hyperlink w:anchor="viii-contraries-evil">
        <w:r>
          <w:rPr>
            <w:color w:val="000000"/>
          </w:rPr>
          <w:t xml:space="preserve">Contraries, privations, and knowledge of evil</w:t>
        </w:r>
      </w:hyperlink>
      <w:r>
        <w:rPr>
          <w:b w:val="0"/>
          <w:i w:val="0"/>
        </w:rPr>
        <w:t xml:space="preserve">. Vocabulary: </w:t>
      </w:r>
      <w:hyperlink w:anchor="latin-record-0069">
        <w:r>
          <w:rPr>
            <w:color w:val="000000"/>
          </w:rPr>
          <w:t xml:space="preserve">alienus / extraneus</w:t>
        </w:r>
      </w:hyperlink>
      <w:r>
        <w:rPr>
          <w:b w:val="0"/>
          <w:i w:val="0"/>
        </w:rPr>
        <w:t xml:space="preserve">; </w:t>
      </w:r>
      <w:hyperlink w:anchor="latin-record-0167">
        <w:r>
          <w:rPr>
            <w:color w:val="000000"/>
          </w:rPr>
          <w:t xml:space="preserve">bonum / malum</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198">
        <w:r>
          <w:rPr>
            <w:color w:val="000000"/>
          </w:rPr>
          <w:t xml:space="preserve">causa</w:t>
        </w:r>
      </w:hyperlink>
      <w:r>
        <w:rPr>
          <w:b w:val="0"/>
          <w:i w:val="0"/>
        </w:rPr>
        <w:t xml:space="preserve">; </w:t>
      </w:r>
      <w:hyperlink w:anchor="latin-record-0229">
        <w:r>
          <w:rPr>
            <w:color w:val="000000"/>
          </w:rPr>
          <w:t xml:space="preserve">cognitio</w:t>
        </w:r>
      </w:hyperlink>
      <w:r>
        <w:rPr>
          <w:b w:val="0"/>
          <w:i w:val="0"/>
        </w:rPr>
        <w:t xml:space="preserve">; </w:t>
      </w:r>
      <w:hyperlink w:anchor="latin-record-0273">
        <w:r>
          <w:rPr>
            <w:color w:val="000000"/>
          </w:rPr>
          <w:t xml:space="preserve">conciliare / pax</w:t>
        </w:r>
      </w:hyperlink>
      <w:r>
        <w:rPr>
          <w:b w:val="0"/>
          <w:i w:val="0"/>
        </w:rPr>
        <w:t xml:space="preserve">; </w:t>
      </w:r>
      <w:hyperlink w:anchor="latin-record-0305">
        <w:r>
          <w:rPr>
            <w:color w:val="000000"/>
          </w:rPr>
          <w:t xml:space="preserve">conservator / servator</w:t>
        </w:r>
      </w:hyperlink>
      <w:r>
        <w:rPr>
          <w:b w:val="0"/>
          <w:i w:val="0"/>
        </w:rPr>
        <w:t xml:space="preserve">; </w:t>
      </w:r>
      <w:hyperlink w:anchor="latin-record-0324">
        <w:r>
          <w:rPr>
            <w:color w:val="000000"/>
          </w:rPr>
          <w:t xml:space="preserve">contraria elementa</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42">
        <w:r>
          <w:rPr>
            <w:color w:val="000000"/>
          </w:rPr>
          <w:t xml:space="preserve">corrumpere / interire / perdere</w:t>
        </w:r>
      </w:hyperlink>
      <w:r>
        <w:rPr>
          <w:b w:val="0"/>
          <w:i w:val="0"/>
        </w:rPr>
        <w:t xml:space="preserve">; </w:t>
      </w:r>
      <w:hyperlink w:anchor="latin-record-0415">
        <w:r>
          <w:rPr>
            <w:color w:val="000000"/>
          </w:rPr>
          <w:t xml:space="preserve">dulce / amarum / utile / inutile</w:t>
        </w:r>
      </w:hyperlink>
      <w:r>
        <w:rPr>
          <w:b w:val="0"/>
          <w:i w:val="0"/>
        </w:rPr>
        <w:t xml:space="preserve">; </w:t>
      </w:r>
      <w:hyperlink w:anchor="latin-record-0440">
        <w:r>
          <w:rPr>
            <w:color w:val="000000"/>
          </w:rPr>
          <w:t xml:space="preserve">esse</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37">
        <w:r>
          <w:rPr>
            <w:color w:val="000000"/>
          </w:rPr>
          <w:t xml:space="preserve">lux / tenebrae / vox / silentium</w:t>
        </w:r>
      </w:hyperlink>
      <w:r>
        <w:rPr>
          <w:b w:val="0"/>
          <w:i w:val="0"/>
        </w:rPr>
        <w:t xml:space="preserve">; </w:t>
      </w:r>
      <w:hyperlink w:anchor="latin-record-0778">
        <w:r>
          <w:rPr>
            <w:color w:val="000000"/>
          </w:rPr>
          <w:t xml:space="preserve">mens (additional inflections)</w:t>
        </w:r>
      </w:hyperlink>
      <w:r>
        <w:rPr>
          <w:b w:val="0"/>
          <w:i w:val="0"/>
        </w:rPr>
        <w:t xml:space="preserve">; </w:t>
      </w:r>
      <w:hyperlink w:anchor="latin-record-0790">
        <w:r>
          <w:rPr>
            <w:color w:val="000000"/>
          </w:rPr>
          <w:t xml:space="preserve">modus / pactum</w:t>
        </w:r>
      </w:hyperlink>
      <w:r>
        <w:rPr>
          <w:b w:val="0"/>
          <w:i w:val="0"/>
        </w:rPr>
        <w:t xml:space="preserve">; </w:t>
      </w:r>
      <w:hyperlink w:anchor="latin-record-0801">
        <w:r>
          <w:rPr>
            <w:color w:val="000000"/>
          </w:rPr>
          <w:t xml:space="preserve">mortalis / corruptibilis</w:t>
        </w:r>
      </w:hyperlink>
      <w:r>
        <w:rPr>
          <w:b w:val="0"/>
          <w:i w:val="0"/>
        </w:rPr>
        <w:t xml:space="preserve">; </w:t>
      </w:r>
      <w:hyperlink w:anchor="latin-record-1016">
        <w:r>
          <w:rPr>
            <w:color w:val="000000"/>
          </w:rPr>
          <w:t xml:space="preserve">proprius</w:t>
        </w:r>
      </w:hyperlink>
      <w:r>
        <w:rPr>
          <w:b w:val="0"/>
          <w:i w:val="0"/>
        </w:rPr>
        <w:t>.</w:t>
      </w:r>
    </w:p>
    <w:p>
      <w:pPr>
        <w:pStyle w:val="Heading2"/>
      </w:pPr>
      <w:bookmarkStart w:id="1985" w:name="chapter-viii.13"/>
      <w:r>
        <w:rPr>
          <w:b w:val="0"/>
          <w:i w:val="0"/>
        </w:rPr>
        <w:t>Chapter VIII.13</w:t>
      </w:r>
      <w:bookmarkEnd w:id="1985"/>
    </w:p>
    <w:p>
      <w:pPr>
        <w:widowControl/>
      </w:pPr>
      <w:bookmarkStart w:id="1986" w:name="passage-viii-13-1"/>
      <w:bookmarkEnd w:id="1986"/>
      <w:r>
        <w:rPr>
          <w:b/>
          <w:i w:val="0"/>
        </w:rPr>
        <w:t>VIII.13.1</w:t>
      </w:r>
      <w:r>
        <w:rPr>
          <w:b/>
          <w:i w:val="0"/>
        </w:rPr>
        <w:t>, source pp. 358–359.</w:t>
      </w:r>
      <w:r>
        <w:rPr>
          <w:b w:val="0"/>
          <w:i w:val="0"/>
        </w:rPr>
        <w:t xml:space="preserve"> Articles: </w:t>
      </w:r>
      <w:hyperlink w:anchor="viii-universal-idea">
        <w:r>
          <w:rPr>
            <w:color w:val="000000"/>
          </w:rPr>
          <w:t xml:space="preserve">Common nature, participation, and the divine Idea</w:t>
        </w:r>
      </w:hyperlink>
      <w:r>
        <w:rPr>
          <w:b w:val="0"/>
          <w:i w:val="0"/>
        </w:rPr>
        <w:t xml:space="preserve">; </w:t>
      </w:r>
      <w:hyperlink w:anchor="viii-innate-forms">
        <w:r>
          <w:rPr>
            <w:color w:val="000000"/>
          </w:rPr>
          <w:t xml:space="preserve">Innate forms and the stimulus of images</w:t>
        </w:r>
      </w:hyperlink>
      <w:r>
        <w:rPr>
          <w:b w:val="0"/>
          <w:i w:val="0"/>
        </w:rPr>
        <w:t xml:space="preserve">; </w:t>
      </w:r>
      <w:hyperlink w:anchor="viii-mirror-light">
        <w:r>
          <w:rPr>
            <w:color w:val="000000"/>
          </w:rPr>
          <w:t xml:space="preserve">Mirror, light, and the soul of the sun</w:t>
        </w:r>
      </w:hyperlink>
      <w:r>
        <w:rPr>
          <w:b w:val="0"/>
          <w:i w:val="0"/>
        </w:rPr>
        <w:t xml:space="preserve">. Vocabulary: </w:t>
      </w:r>
      <w:hyperlink w:anchor="latin-record-0012">
        <w:r>
          <w:rPr>
            <w:color w:val="000000"/>
          </w:rPr>
          <w:t xml:space="preserve">accidens</w:t>
        </w:r>
      </w:hyperlink>
      <w:r>
        <w:rPr>
          <w:b w:val="0"/>
          <w:i w:val="0"/>
        </w:rPr>
        <w:t xml:space="preserve">; </w:t>
      </w:r>
      <w:hyperlink w:anchor="latin-record-0017">
        <w:r>
          <w:rPr>
            <w:color w:val="000000"/>
          </w:rPr>
          <w:t xml:space="preserve">accipere / suscipere</w:t>
        </w:r>
      </w:hyperlink>
      <w:r>
        <w:rPr>
          <w:b w:val="0"/>
          <w:i w:val="0"/>
        </w:rPr>
        <w:t xml:space="preserve">; </w:t>
      </w:r>
      <w:hyperlink w:anchor="latin-record-0069">
        <w:r>
          <w:rPr>
            <w:color w:val="000000"/>
          </w:rPr>
          <w:t xml:space="preserve">alienus / extraneus</w:t>
        </w:r>
      </w:hyperlink>
      <w:r>
        <w:rPr>
          <w:b w:val="0"/>
          <w:i w:val="0"/>
        </w:rPr>
        <w:t xml:space="preserve">; </w:t>
      </w:r>
      <w:hyperlink w:anchor="latin-record-0096">
        <w:r>
          <w:rPr>
            <w:color w:val="000000"/>
          </w:rPr>
          <w:t xml:space="preserve">anima solis</w:t>
        </w:r>
      </w:hyperlink>
      <w:r>
        <w:rPr>
          <w:b w:val="0"/>
          <w:i w:val="0"/>
        </w:rPr>
        <w:t xml:space="preserve">; </w:t>
      </w:r>
      <w:hyperlink w:anchor="latin-record-0116">
        <w:r>
          <w:rPr>
            <w:color w:val="000000"/>
          </w:rPr>
          <w:t xml:space="preserve">aqua / ignis / calor / frigus</w:t>
        </w:r>
      </w:hyperlink>
      <w:r>
        <w:rPr>
          <w:b w:val="0"/>
          <w:i w:val="0"/>
        </w:rPr>
        <w:t xml:space="preserve">; </w:t>
      </w:r>
      <w:hyperlink w:anchor="latin-record-0283">
        <w:r>
          <w:rPr>
            <w:color w:val="000000"/>
          </w:rPr>
          <w:t xml:space="preserve">condicio</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55">
        <w:r>
          <w:rPr>
            <w:color w:val="000000"/>
          </w:rPr>
          <w:t xml:space="preserve">dare / tribuere</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54">
        <w:r>
          <w:rPr>
            <w:color w:val="000000"/>
          </w:rPr>
          <w:t xml:space="preserve">excitare / promere / adita</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03">
        <w:r>
          <w:rPr>
            <w:color w:val="000000"/>
          </w:rPr>
          <w:t xml:space="preserve">forma</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577">
        <w:r>
          <w:rPr>
            <w:color w:val="000000"/>
          </w:rPr>
          <w:t xml:space="preserve">idea</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31">
        <w:r>
          <w:rPr>
            <w:color w:val="000000"/>
          </w:rPr>
          <w:t xml:space="preserve">infectio / puritas</w:t>
        </w:r>
      </w:hyperlink>
      <w:r>
        <w:rPr>
          <w:b w:val="0"/>
          <w:i w:val="0"/>
        </w:rPr>
        <w:t xml:space="preserve">; </w:t>
      </w:r>
      <w:hyperlink w:anchor="latin-record-0657">
        <w:r>
          <w:rPr>
            <w:color w:val="000000"/>
          </w:rPr>
          <w:t xml:space="preserve">integritas / puritas / supervacuum</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705">
        <w:r>
          <w:rPr>
            <w:color w:val="000000"/>
          </w:rPr>
          <w:t xml:space="preserve">latere / lucere</w:t>
        </w:r>
      </w:hyperlink>
      <w:r>
        <w:rPr>
          <w:b w:val="0"/>
          <w:i w:val="0"/>
        </w:rPr>
        <w:t xml:space="preserve">; </w:t>
      </w:r>
      <w:hyperlink w:anchor="latin-record-0718">
        <w:r>
          <w:rPr>
            <w:color w:val="000000"/>
          </w:rPr>
          <w:t xml:space="preserve">lignum / flamma / flammula</w:t>
        </w:r>
      </w:hyperlink>
      <w:r>
        <w:rPr>
          <w:b w:val="0"/>
          <w:i w:val="0"/>
        </w:rPr>
        <w:t xml:space="preserve">; </w:t>
      </w:r>
      <w:hyperlink w:anchor="latin-record-0731">
        <w:r>
          <w:rPr>
            <w:color w:val="000000"/>
          </w:rPr>
          <w:t xml:space="preserve">lumen / lux</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831">
        <w:r>
          <w:rPr>
            <w:color w:val="000000"/>
          </w:rPr>
          <w:t xml:space="preserve">naturaliter insitus</w:t>
        </w:r>
      </w:hyperlink>
      <w:r>
        <w:rPr>
          <w:b w:val="0"/>
          <w:i w:val="0"/>
        </w:rPr>
        <w:t xml:space="preserve">; </w:t>
      </w:r>
      <w:hyperlink w:anchor="latin-record-0845">
        <w:r>
          <w:rPr>
            <w:color w:val="000000"/>
          </w:rPr>
          <w:t xml:space="preserve">notio / perceptio</w:t>
        </w:r>
      </w:hyperlink>
      <w:r>
        <w:rPr>
          <w:b w:val="0"/>
          <w:i w:val="0"/>
        </w:rPr>
        <w:t xml:space="preserve">; </w:t>
      </w:r>
      <w:hyperlink w:anchor="latin-record-0865">
        <w:r>
          <w:rPr>
            <w:color w:val="000000"/>
          </w:rPr>
          <w:t xml:space="preserve">opinio / sententia</w:t>
        </w:r>
      </w:hyperlink>
      <w:r>
        <w:rPr>
          <w:b w:val="0"/>
          <w:i w:val="0"/>
        </w:rPr>
        <w:t xml:space="preserve">; </w:t>
      </w:r>
      <w:hyperlink w:anchor="latin-record-0883">
        <w:r>
          <w:rPr>
            <w:color w:val="000000"/>
          </w:rPr>
          <w:t xml:space="preserve">Orphici / Heraclitus</w:t>
        </w:r>
      </w:hyperlink>
      <w:r>
        <w:rPr>
          <w:b w:val="0"/>
          <w:i w:val="0"/>
        </w:rPr>
        <w:t xml:space="preserve">; </w:t>
      </w:r>
      <w:hyperlink w:anchor="latin-record-1016">
        <w:r>
          <w:rPr>
            <w:color w:val="000000"/>
          </w:rPr>
          <w:t xml:space="preserve">proprius</w:t>
        </w:r>
      </w:hyperlink>
      <w:r>
        <w:rPr>
          <w:b w:val="0"/>
          <w:i w:val="0"/>
        </w:rPr>
        <w:t xml:space="preserve">; </w:t>
      </w:r>
      <w:hyperlink w:anchor="latin-record-1083">
        <w:r>
          <w:rPr>
            <w:color w:val="000000"/>
          </w:rPr>
          <w:t xml:space="preserve">reddere</w:t>
        </w:r>
      </w:hyperlink>
      <w:r>
        <w:rPr>
          <w:b w:val="0"/>
          <w:i w:val="0"/>
        </w:rPr>
        <w:t xml:space="preserve">; </w:t>
      </w:r>
      <w:hyperlink w:anchor="latin-record-1112">
        <w:r>
          <w:rPr>
            <w:color w:val="000000"/>
          </w:rPr>
          <w:t xml:space="preserve">res</w:t>
        </w:r>
      </w:hyperlink>
      <w:r>
        <w:rPr>
          <w:b w:val="0"/>
          <w:i w:val="0"/>
        </w:rPr>
        <w:t xml:space="preserve">; </w:t>
      </w:r>
      <w:hyperlink w:anchor="latin-record-1122">
        <w:r>
          <w:rPr>
            <w:color w:val="000000"/>
          </w:rPr>
          <w:t xml:space="preserve">reviviscere</w:t>
        </w:r>
      </w:hyperlink>
      <w:r>
        <w:rPr>
          <w:b w:val="0"/>
          <w:i w:val="0"/>
        </w:rPr>
        <w:t xml:space="preserve">; </w:t>
      </w:r>
      <w:hyperlink w:anchor="latin-record-1216">
        <w:r>
          <w:rPr>
            <w:color w:val="000000"/>
          </w:rPr>
          <w:t xml:space="preserve">speculum / distantia</w:t>
        </w:r>
      </w:hyperlink>
      <w:r>
        <w:rPr>
          <w:b w:val="0"/>
          <w:i w:val="0"/>
        </w:rPr>
        <w:t xml:space="preserve">; </w:t>
      </w:r>
      <w:hyperlink w:anchor="latin-record-1224">
        <w:r>
          <w:rPr>
            <w:color w:val="000000"/>
          </w:rPr>
          <w:t xml:space="preserve">spiritalis (optical)</w:t>
        </w:r>
      </w:hyperlink>
      <w:r>
        <w:rPr>
          <w:b w:val="0"/>
          <w:i w:val="0"/>
        </w:rPr>
        <w:t xml:space="preserve">; </w:t>
      </w:r>
      <w:hyperlink w:anchor="latin-record-1326">
        <w:r>
          <w:rPr>
            <w:color w:val="000000"/>
          </w:rPr>
          <w:t xml:space="preserve">ut quidam putant / ut Platonici opinantur</w:t>
        </w:r>
      </w:hyperlink>
      <w:r>
        <w:rPr>
          <w:b w:val="0"/>
          <w:i w:val="0"/>
        </w:rPr>
        <w:t xml:space="preserve">; </w:t>
      </w:r>
      <w:hyperlink w:anchor="latin-record-1339">
        <w:r>
          <w:rPr>
            <w:color w:val="000000"/>
          </w:rPr>
          <w:t xml:space="preserve">veritas / verum</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 xml:space="preserve">; </w:t>
      </w:r>
      <w:hyperlink w:anchor="latin-record-1370">
        <w:r>
          <w:rPr>
            <w:color w:val="000000"/>
          </w:rPr>
          <w:t xml:space="preserve">visibilis / invisibilis</w:t>
        </w:r>
      </w:hyperlink>
      <w:r>
        <w:rPr>
          <w:b w:val="0"/>
          <w:i w:val="0"/>
        </w:rPr>
        <w:t>.</w:t>
      </w:r>
    </w:p>
    <w:p>
      <w:pPr>
        <w:widowControl/>
      </w:pPr>
      <w:bookmarkStart w:id="1987" w:name="passage-viii-13-2"/>
      <w:bookmarkEnd w:id="1987"/>
      <w:r>
        <w:rPr>
          <w:b/>
          <w:i w:val="0"/>
        </w:rPr>
        <w:t>VIII.13.2</w:t>
      </w:r>
      <w:r>
        <w:rPr>
          <w:b/>
          <w:i w:val="0"/>
        </w:rPr>
        <w:t>, source pp. 360–361.</w:t>
      </w:r>
      <w:r>
        <w:rPr>
          <w:b w:val="0"/>
          <w:i w:val="0"/>
        </w:rPr>
        <w:t xml:space="preserve"> Articles: </w:t>
      </w:r>
      <w:hyperlink w:anchor="viii-contraries-evil">
        <w:r>
          <w:rPr>
            <w:color w:val="000000"/>
          </w:rPr>
          <w:t xml:space="preserve">Contraries, privations, and knowledge of evil</w:t>
        </w:r>
      </w:hyperlink>
      <w:r>
        <w:rPr>
          <w:b w:val="0"/>
          <w:i w:val="0"/>
        </w:rPr>
        <w:t xml:space="preserve">; </w:t>
      </w:r>
      <w:hyperlink w:anchor="viii-reception-identity">
        <w:r>
          <w:rPr>
            <w:color w:val="000000"/>
          </w:rPr>
          <w:t xml:space="preserve">Receiving forms without losing one’s own</w:t>
        </w:r>
      </w:hyperlink>
      <w:r>
        <w:rPr>
          <w:b w:val="0"/>
          <w:i w:val="0"/>
        </w:rPr>
        <w:t xml:space="preserve">. Vocabulary: </w:t>
      </w:r>
      <w:hyperlink w:anchor="latin-record-0017">
        <w:r>
          <w:rPr>
            <w:color w:val="000000"/>
          </w:rPr>
          <w:t xml:space="preserve">accipere / suscipere</w:t>
        </w:r>
      </w:hyperlink>
      <w:r>
        <w:rPr>
          <w:b w:val="0"/>
          <w:i w:val="0"/>
        </w:rPr>
        <w:t xml:space="preserve">; </w:t>
      </w:r>
      <w:hyperlink w:anchor="latin-record-0081">
        <w:r>
          <w:rPr>
            <w:color w:val="000000"/>
          </w:rPr>
          <w:t xml:space="preserve">amittere / deicere</w:t>
        </w:r>
      </w:hyperlink>
      <w:r>
        <w:rPr>
          <w:b w:val="0"/>
          <w:i w:val="0"/>
        </w:rPr>
        <w:t xml:space="preserve">; </w:t>
      </w:r>
      <w:hyperlink w:anchor="latin-record-0116">
        <w:r>
          <w:rPr>
            <w:color w:val="000000"/>
          </w:rPr>
          <w:t xml:space="preserve">aqua / ignis / calor / frigus</w:t>
        </w:r>
      </w:hyperlink>
      <w:r>
        <w:rPr>
          <w:b w:val="0"/>
          <w:i w:val="0"/>
        </w:rPr>
        <w:t xml:space="preserve">; </w:t>
      </w:r>
      <w:hyperlink w:anchor="latin-record-0167">
        <w:r>
          <w:rPr>
            <w:color w:val="000000"/>
          </w:rPr>
          <w:t xml:space="preserve">bonum / malum</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329">
        <w:r>
          <w:rPr>
            <w:color w:val="000000"/>
          </w:rPr>
          <w:t xml:space="preserve">converti / convertere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42">
        <w:r>
          <w:rPr>
            <w:color w:val="000000"/>
          </w:rPr>
          <w:t xml:space="preserve">corrumpere / interire / perdere</w:t>
        </w:r>
      </w:hyperlink>
      <w:r>
        <w:rPr>
          <w:b w:val="0"/>
          <w:i w:val="0"/>
        </w:rPr>
        <w:t xml:space="preserve">; </w:t>
      </w:r>
      <w:hyperlink w:anchor="latin-record-0371">
        <w:r>
          <w:rPr>
            <w:color w:val="000000"/>
          </w:rPr>
          <w:t xml:space="preserve">designare / discernere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03">
        <w:r>
          <w:rPr>
            <w:color w:val="000000"/>
          </w:rPr>
          <w:t xml:space="preserve">forma</w:t>
        </w:r>
      </w:hyperlink>
      <w:r>
        <w:rPr>
          <w:b w:val="0"/>
          <w:i w:val="0"/>
        </w:rPr>
        <w:t xml:space="preserve">; </w:t>
      </w:r>
      <w:hyperlink w:anchor="latin-record-0658">
        <w:r>
          <w:rPr>
            <w:color w:val="000000"/>
          </w:rPr>
          <w:t xml:space="preserve">intellectualis / intelligibilis</w:t>
        </w:r>
      </w:hyperlink>
      <w:r>
        <w:rPr>
          <w:b w:val="0"/>
          <w:i w:val="0"/>
        </w:rPr>
        <w:t xml:space="preserve">; </w:t>
      </w:r>
      <w:hyperlink w:anchor="latin-record-0660">
        <w:r>
          <w:rPr>
            <w:color w:val="000000"/>
          </w:rPr>
          <w:t xml:space="preserve">intellectus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30">
        <w:r>
          <w:rPr>
            <w:color w:val="000000"/>
          </w:rPr>
          <w:t xml:space="preserve">lucrari</w:t>
        </w:r>
      </w:hyperlink>
      <w:r>
        <w:rPr>
          <w:b w:val="0"/>
          <w:i w:val="0"/>
        </w:rPr>
        <w:t xml:space="preserve">; </w:t>
      </w:r>
      <w:hyperlink w:anchor="latin-record-0790">
        <w:r>
          <w:rPr>
            <w:color w:val="000000"/>
          </w:rPr>
          <w:t xml:space="preserve">modus / pactum</w:t>
        </w:r>
      </w:hyperlink>
      <w:r>
        <w:rPr>
          <w:b w:val="0"/>
          <w:i w:val="0"/>
        </w:rPr>
        <w:t xml:space="preserve">; </w:t>
      </w:r>
      <w:hyperlink w:anchor="latin-record-0801">
        <w:r>
          <w:rPr>
            <w:color w:val="000000"/>
          </w:rPr>
          <w:t xml:space="preserve">mortalis / corruptibilis</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18">
        <w:r>
          <w:rPr>
            <w:color w:val="000000"/>
          </w:rPr>
          <w:t xml:space="preserve">mutatio / mutare</w:t>
        </w:r>
      </w:hyperlink>
      <w:r>
        <w:rPr>
          <w:b w:val="0"/>
          <w:i w:val="0"/>
        </w:rPr>
        <w:t xml:space="preserve">; </w:t>
      </w:r>
      <w:hyperlink w:anchor="latin-record-0823">
        <w:r>
          <w:rPr>
            <w:color w:val="000000"/>
          </w:rPr>
          <w:t xml:space="preserve">natura</w:t>
        </w:r>
      </w:hyperlink>
      <w:r>
        <w:rPr>
          <w:b w:val="0"/>
          <w:i w:val="0"/>
        </w:rPr>
        <w:t xml:space="preserve">; </w:t>
      </w:r>
      <w:hyperlink w:anchor="latin-record-0998">
        <w:r>
          <w:rPr>
            <w:color w:val="000000"/>
          </w:rPr>
          <w:t xml:space="preserve">privatio / defectus / malum / noxius / salubris</w:t>
        </w:r>
      </w:hyperlink>
      <w:r>
        <w:rPr>
          <w:b w:val="0"/>
          <w:i w:val="0"/>
        </w:rPr>
        <w:t xml:space="preserve">; </w:t>
      </w:r>
      <w:hyperlink w:anchor="latin-record-1005">
        <w:r>
          <w:rPr>
            <w:color w:val="000000"/>
          </w:rPr>
          <w:t xml:space="preserve">proficere / crescere / decrescere</w:t>
        </w:r>
      </w:hyperlink>
      <w:r>
        <w:rPr>
          <w:b w:val="0"/>
          <w:i w:val="0"/>
        </w:rPr>
        <w:t xml:space="preserve">; </w:t>
      </w:r>
      <w:hyperlink w:anchor="latin-record-1083">
        <w:r>
          <w:rPr>
            <w:color w:val="000000"/>
          </w:rPr>
          <w:t xml:space="preserve">reddere</w:t>
        </w:r>
      </w:hyperlink>
      <w:r>
        <w:rPr>
          <w:b w:val="0"/>
          <w:i w:val="0"/>
        </w:rPr>
        <w:t xml:space="preserve">; </w:t>
      </w:r>
      <w:hyperlink w:anchor="latin-record-1102">
        <w:r>
          <w:rPr>
            <w:color w:val="000000"/>
          </w:rPr>
          <w:t xml:space="preserve">remittere / perficere</w:t>
        </w:r>
      </w:hyperlink>
      <w:r>
        <w:rPr>
          <w:b w:val="0"/>
          <w:i w:val="0"/>
        </w:rPr>
        <w:t xml:space="preserve">; </w:t>
      </w:r>
      <w:hyperlink w:anchor="latin-record-1112">
        <w:r>
          <w:rPr>
            <w:color w:val="000000"/>
          </w:rPr>
          <w:t xml:space="preserve">res</w:t>
        </w:r>
      </w:hyperlink>
      <w:r>
        <w:rPr>
          <w:b w:val="0"/>
          <w:i w:val="0"/>
        </w:rPr>
        <w:t xml:space="preserve">; </w:t>
      </w:r>
      <w:hyperlink w:anchor="latin-record-1352">
        <w:r>
          <w:rPr>
            <w:color w:val="000000"/>
          </w:rPr>
          <w:t xml:space="preserve">videri / apparere / patere / constare</w:t>
        </w:r>
      </w:hyperlink>
      <w:r>
        <w:rPr>
          <w:b w:val="0"/>
          <w:i w:val="0"/>
        </w:rPr>
        <w:t>.</w:t>
      </w:r>
    </w:p>
    <w:p>
      <w:pPr>
        <w:pStyle w:val="Heading2"/>
      </w:pPr>
      <w:bookmarkStart w:id="1988" w:name="chapter-viii.14"/>
      <w:r>
        <w:rPr>
          <w:b w:val="0"/>
          <w:i w:val="0"/>
        </w:rPr>
        <w:t>Chapter VIII.14</w:t>
      </w:r>
      <w:bookmarkEnd w:id="1988"/>
    </w:p>
    <w:p>
      <w:pPr>
        <w:widowControl/>
      </w:pPr>
      <w:bookmarkStart w:id="1989" w:name="passage-viii-14-1"/>
      <w:bookmarkEnd w:id="1989"/>
      <w:r>
        <w:rPr>
          <w:b/>
          <w:i w:val="0"/>
        </w:rPr>
        <w:t>VIII.14.1</w:t>
      </w:r>
      <w:r>
        <w:rPr>
          <w:b/>
          <w:i w:val="0"/>
        </w:rPr>
        <w:t>, source pp. 362–363.</w:t>
      </w:r>
      <w:r>
        <w:rPr>
          <w:b w:val="0"/>
          <w:i w:val="0"/>
        </w:rPr>
        <w:t xml:space="preserve"> Articles: </w:t>
      </w:r>
      <w:hyperlink w:anchor="viii-operation-kind">
        <w:r>
          <w:rPr>
            <w:color w:val="000000"/>
          </w:rPr>
          <w:t xml:space="preserve">Kind, generation, and operation’s dependence on substance</w:t>
        </w:r>
      </w:hyperlink>
      <w:r>
        <w:rPr>
          <w:b w:val="0"/>
          <w:i w:val="0"/>
        </w:rPr>
        <w:t xml:space="preserve">; </w:t>
      </w:r>
      <w:hyperlink w:anchor="viii-mind-transforms">
        <w:r>
          <w:rPr>
            <w:color w:val="000000"/>
          </w:rPr>
          <w:t xml:space="preserve">Mind’s transformation of material conditions</w:t>
        </w:r>
      </w:hyperlink>
      <w:r>
        <w:rPr>
          <w:b w:val="0"/>
          <w:i w:val="0"/>
        </w:rPr>
        <w:t xml:space="preserve">. Vocabulary: </w:t>
      </w:r>
      <w:hyperlink w:anchor="latin-record-0058">
        <w:r>
          <w:rPr>
            <w:color w:val="000000"/>
          </w:rPr>
          <w:t xml:space="preserve">agere / operari</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226">
        <w:r>
          <w:rPr>
            <w:color w:val="000000"/>
          </w:rPr>
          <w:t xml:space="preserve">cogitare</w:t>
        </w:r>
      </w:hyperlink>
      <w:r>
        <w:rPr>
          <w:b w:val="0"/>
          <w:i w:val="0"/>
        </w:rPr>
        <w:t xml:space="preserve">; </w:t>
      </w:r>
      <w:hyperlink w:anchor="latin-record-0233">
        <w:r>
          <w:rPr>
            <w:color w:val="000000"/>
          </w:rPr>
          <w:t xml:space="preserve">colligere</w:t>
        </w:r>
      </w:hyperlink>
      <w:r>
        <w:rPr>
          <w:b w:val="0"/>
          <w:i w:val="0"/>
        </w:rPr>
        <w:t xml:space="preserve">; </w:t>
      </w:r>
      <w:hyperlink w:anchor="latin-record-0266">
        <w:r>
          <w:rPr>
            <w:color w:val="000000"/>
          </w:rPr>
          <w:t xml:space="preserve">compositum</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35">
        <w:r>
          <w:rPr>
            <w:color w:val="000000"/>
          </w:rPr>
          <w:t xml:space="preserve">corporeus / corporalis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459">
        <w:r>
          <w:rPr>
            <w:color w:val="000000"/>
          </w:rPr>
          <w:t xml:space="preserve">eximere / liberare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602">
        <w:r>
          <w:rPr>
            <w:color w:val="000000"/>
          </w:rPr>
          <w:t xml:space="preserve">impedire / cohibere / claudere</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60">
        <w:r>
          <w:rPr>
            <w:color w:val="000000"/>
          </w:rPr>
          <w:t xml:space="preserve">intellectus</w:t>
        </w:r>
      </w:hyperlink>
      <w:r>
        <w:rPr>
          <w:b w:val="0"/>
          <w:i w:val="0"/>
        </w:rPr>
        <w:t xml:space="preserve">; </w:t>
      </w:r>
      <w:hyperlink w:anchor="latin-record-0682">
        <w:r>
          <w:rPr>
            <w:color w:val="000000"/>
          </w:rPr>
          <w:t xml:space="preserve">intuitus / intueri / conspicere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701">
        <w:r>
          <w:rPr>
            <w:color w:val="000000"/>
          </w:rPr>
          <w:t xml:space="preserve">lapides / prima vita</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90">
        <w:r>
          <w:rPr>
            <w:color w:val="000000"/>
          </w:rPr>
          <w:t xml:space="preserve">modus / pactum</w:t>
        </w:r>
      </w:hyperlink>
      <w:r>
        <w:rPr>
          <w:b w:val="0"/>
          <w:i w:val="0"/>
        </w:rPr>
        <w:t xml:space="preserve">; </w:t>
      </w:r>
      <w:hyperlink w:anchor="latin-record-0801">
        <w:r>
          <w:rPr>
            <w:color w:val="000000"/>
          </w:rPr>
          <w:t xml:space="preserve">mortalis / corruptibilis</w:t>
        </w:r>
      </w:hyperlink>
      <w:r>
        <w:rPr>
          <w:b w:val="0"/>
          <w:i w:val="0"/>
        </w:rPr>
        <w:t xml:space="preserve">; </w:t>
      </w:r>
      <w:hyperlink w:anchor="latin-record-0829">
        <w:r>
          <w:rPr>
            <w:color w:val="000000"/>
          </w:rPr>
          <w:t xml:space="preserve">naturalis</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860">
        <w:r>
          <w:rPr>
            <w:color w:val="000000"/>
          </w:rPr>
          <w:t xml:space="preserve">operatio / actio</w:t>
        </w:r>
      </w:hyperlink>
      <w:r>
        <w:rPr>
          <w:b w:val="0"/>
          <w:i w:val="0"/>
        </w:rPr>
        <w:t xml:space="preserve">; </w:t>
      </w:r>
      <w:hyperlink w:anchor="latin-record-0873">
        <w:r>
          <w:rPr>
            <w:color w:val="000000"/>
          </w:rPr>
          <w:t xml:space="preserve">orbis in puncto</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0985">
        <w:r>
          <w:rPr>
            <w:color w:val="000000"/>
          </w:rPr>
          <w:t xml:space="preserve">praeteritum / futurum / praesens</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16">
        <w:r>
          <w:rPr>
            <w:color w:val="000000"/>
          </w:rPr>
          <w:t xml:space="preserve">proprius</w:t>
        </w:r>
      </w:hyperlink>
      <w:r>
        <w:rPr>
          <w:b w:val="0"/>
          <w:i w:val="0"/>
        </w:rPr>
        <w:t xml:space="preserve">; </w:t>
      </w:r>
      <w:hyperlink w:anchor="latin-record-1032">
        <w:r>
          <w:rPr>
            <w:color w:val="000000"/>
          </w:rPr>
          <w:t xml:space="preserve">purus / unus / stabilis (intellectual consideration)</w:t>
        </w:r>
      </w:hyperlink>
      <w:r>
        <w:rPr>
          <w:b w:val="0"/>
          <w:i w:val="0"/>
        </w:rPr>
        <w:t xml:space="preserve">; </w:t>
      </w:r>
      <w:hyperlink w:anchor="latin-record-1042">
        <w:r>
          <w:rPr>
            <w:color w:val="000000"/>
          </w:rPr>
          <w:t xml:space="preserve">qualitas</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112">
        <w:r>
          <w:rPr>
            <w:color w:val="000000"/>
          </w:rPr>
          <w:t xml:space="preserve">res</w:t>
        </w:r>
      </w:hyperlink>
      <w:r>
        <w:rPr>
          <w:b w:val="0"/>
          <w:i w:val="0"/>
        </w:rPr>
        <w:t xml:space="preserve">; </w:t>
      </w:r>
      <w:hyperlink w:anchor="latin-record-1176">
        <w:r>
          <w:rPr>
            <w:color w:val="000000"/>
          </w:rPr>
          <w:t xml:space="preserve">similitudo</w:t>
        </w:r>
      </w:hyperlink>
      <w:r>
        <w:rPr>
          <w:b w:val="0"/>
          <w:i w:val="0"/>
        </w:rPr>
        <w:t xml:space="preserve">; </w:t>
      </w:r>
      <w:hyperlink w:anchor="latin-record-1261">
        <w:r>
          <w:rPr>
            <w:color w:val="000000"/>
          </w:rPr>
          <w:t xml:space="preserve">superare / excedere / excellere</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61">
        <w:r>
          <w:rPr>
            <w:color w:val="000000"/>
          </w:rPr>
          <w:t xml:space="preserve">vis</w:t>
        </w:r>
      </w:hyperlink>
      <w:r>
        <w:rPr>
          <w:b w:val="0"/>
          <w:i w:val="0"/>
        </w:rPr>
        <w:t xml:space="preserve">; </w:t>
      </w:r>
      <w:hyperlink w:anchor="latin-record-1374">
        <w:r>
          <w:rPr>
            <w:color w:val="000000"/>
          </w:rPr>
          <w:t xml:space="preserve">vita / vivere</w:t>
        </w:r>
      </w:hyperlink>
      <w:r>
        <w:rPr>
          <w:b w:val="0"/>
          <w:i w:val="0"/>
        </w:rPr>
        <w:t>.</w:t>
      </w:r>
    </w:p>
    <w:p>
      <w:pPr>
        <w:pStyle w:val="Heading2"/>
      </w:pPr>
      <w:bookmarkStart w:id="1990" w:name="chapter-viii.15"/>
      <w:r>
        <w:rPr>
          <w:b w:val="0"/>
          <w:i w:val="0"/>
        </w:rPr>
        <w:t>Chapter VIII.15</w:t>
      </w:r>
      <w:bookmarkEnd w:id="1990"/>
    </w:p>
    <w:p>
      <w:pPr>
        <w:widowControl/>
      </w:pPr>
      <w:bookmarkStart w:id="1991" w:name="passage-viii-15-1"/>
      <w:bookmarkEnd w:id="1991"/>
      <w:r>
        <w:rPr>
          <w:b/>
          <w:i w:val="0"/>
        </w:rPr>
        <w:t>VIII.15.1</w:t>
      </w:r>
      <w:r>
        <w:rPr>
          <w:b/>
          <w:i w:val="0"/>
        </w:rPr>
        <w:t>, source pp. 364–365.</w:t>
      </w:r>
      <w:r>
        <w:rPr>
          <w:b w:val="0"/>
          <w:i w:val="0"/>
        </w:rPr>
        <w:t xml:space="preserve"> Articles: </w:t>
      </w:r>
      <w:hyperlink w:anchor="viii-outflow-return">
        <w:r>
          <w:rPr>
            <w:color w:val="000000"/>
          </w:rPr>
          <w:t xml:space="preserve">Outward flow and rational life’s return</w:t>
        </w:r>
      </w:hyperlink>
      <w:r>
        <w:rPr>
          <w:b w:val="0"/>
          <w:i w:val="0"/>
        </w:rPr>
        <w:t xml:space="preserve">; </w:t>
      </w:r>
      <w:hyperlink w:anchor="viii-reflexive-will">
        <w:r>
          <w:rPr>
            <w:color w:val="000000"/>
          </w:rPr>
          <w:t xml:space="preserve">Reflexive understanding and willing</w:t>
        </w:r>
      </w:hyperlink>
      <w:r>
        <w:rPr>
          <w:b w:val="0"/>
          <w:i w:val="0"/>
        </w:rPr>
        <w:t xml:space="preserve">; </w:t>
      </w:r>
      <w:hyperlink w:anchor="viii-repose-contemplation">
        <w:r>
          <w:rPr>
            <w:color w:val="000000"/>
          </w:rPr>
          <w:t xml:space="preserve">Repose, motion, and contemplation</w:t>
        </w:r>
      </w:hyperlink>
      <w:r>
        <w:rPr>
          <w:b w:val="0"/>
          <w:i w:val="0"/>
        </w:rPr>
        <w:t xml:space="preserve">. Vocabulary: </w:t>
      </w:r>
      <w:hyperlink w:anchor="latin-record-0058">
        <w:r>
          <w:rPr>
            <w:color w:val="000000"/>
          </w:rPr>
          <w:t xml:space="preserve">agere / operari</w:t>
        </w:r>
      </w:hyperlink>
      <w:r>
        <w:rPr>
          <w:b w:val="0"/>
          <w:i w:val="0"/>
        </w:rPr>
        <w:t xml:space="preserve">; </w:t>
      </w:r>
      <w:hyperlink w:anchor="latin-record-0069">
        <w:r>
          <w:rPr>
            <w:color w:val="000000"/>
          </w:rPr>
          <w:t xml:space="preserve">alienus / extraneus</w:t>
        </w:r>
      </w:hyperlink>
      <w:r>
        <w:rPr>
          <w:b w:val="0"/>
          <w:i w:val="0"/>
        </w:rPr>
        <w:t xml:space="preserve">; </w:t>
      </w:r>
      <w:hyperlink w:anchor="latin-record-0169">
        <w:r>
          <w:rPr>
            <w:color w:val="000000"/>
          </w:rPr>
          <w:t xml:space="preserve">brachium / opus extra</w:t>
        </w:r>
      </w:hyperlink>
      <w:r>
        <w:rPr>
          <w:b w:val="0"/>
          <w:i w:val="0"/>
        </w:rPr>
        <w:t xml:space="preserve">; </w:t>
      </w:r>
      <w:hyperlink w:anchor="latin-record-0300">
        <w:r>
          <w:rPr>
            <w:color w:val="000000"/>
          </w:rPr>
          <w:t xml:space="preserve">conscius / animadversio</w:t>
        </w:r>
      </w:hyperlink>
      <w:r>
        <w:rPr>
          <w:b w:val="0"/>
          <w:i w:val="0"/>
        </w:rPr>
        <w:t xml:space="preserve">; </w:t>
      </w:r>
      <w:hyperlink w:anchor="latin-record-0306">
        <w:r>
          <w:rPr>
            <w:color w:val="000000"/>
          </w:rPr>
          <w:t xml:space="preserve">considerare / contemplari / speculari / inspicere</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5">
        <w:r>
          <w:rPr>
            <w:color w:val="000000"/>
          </w:rPr>
          <w:t xml:space="preserve">essentia</w:t>
        </w:r>
      </w:hyperlink>
      <w:r>
        <w:rPr>
          <w:b w:val="0"/>
          <w:i w:val="0"/>
        </w:rPr>
        <w:t xml:space="preserve">; </w:t>
      </w:r>
      <w:hyperlink w:anchor="latin-record-0447">
        <w:r>
          <w:rPr>
            <w:color w:val="000000"/>
          </w:rPr>
          <w:t xml:space="preserve">essentia–vita–mens</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65">
        <w:r>
          <w:rPr>
            <w:color w:val="000000"/>
          </w:rPr>
          <w:t xml:space="preserve">homo / humanus</w:t>
        </w:r>
      </w:hyperlink>
      <w:r>
        <w:rPr>
          <w:b w:val="0"/>
          <w:i w:val="0"/>
        </w:rPr>
        <w:t xml:space="preserve">; </w:t>
      </w:r>
      <w:hyperlink w:anchor="latin-record-0643">
        <w:r>
          <w:rPr>
            <w:color w:val="000000"/>
          </w:rPr>
          <w:t xml:space="preserve">innumerabilis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58">
        <w:r>
          <w:rPr>
            <w:color w:val="000000"/>
          </w:rPr>
          <w:t xml:space="preserve">materia (additional forms)</w:t>
        </w:r>
      </w:hyperlink>
      <w:r>
        <w:rPr>
          <w:b w:val="0"/>
          <w:i w:val="0"/>
        </w:rPr>
        <w:t xml:space="preserve">; </w:t>
      </w:r>
      <w:hyperlink w:anchor="latin-record-0790">
        <w:r>
          <w:rPr>
            <w:color w:val="000000"/>
          </w:rPr>
          <w:t xml:space="preserve">modus / pactum</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60">
        <w:r>
          <w:rPr>
            <w:color w:val="000000"/>
          </w:rPr>
          <w:t xml:space="preserve">operatio / actio</w:t>
        </w:r>
      </w:hyperlink>
      <w:r>
        <w:rPr>
          <w:b w:val="0"/>
          <w:i w:val="0"/>
        </w:rPr>
        <w:t xml:space="preserve">; </w:t>
      </w:r>
      <w:hyperlink w:anchor="latin-record-1016">
        <w:r>
          <w:rPr>
            <w:color w:val="000000"/>
          </w:rPr>
          <w:t xml:space="preserve">proprius</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091">
        <w:r>
          <w:rPr>
            <w:color w:val="000000"/>
          </w:rPr>
          <w:t xml:space="preserve">reflexio / reflectere</w:t>
        </w:r>
      </w:hyperlink>
      <w:r>
        <w:rPr>
          <w:b w:val="0"/>
          <w:i w:val="0"/>
        </w:rPr>
        <w:t xml:space="preserve">; </w:t>
      </w:r>
      <w:hyperlink w:anchor="latin-record-1108">
        <w:r>
          <w:rPr>
            <w:color w:val="000000"/>
          </w:rPr>
          <w:t xml:space="preserve">replicare</w:t>
        </w:r>
      </w:hyperlink>
      <w:r>
        <w:rPr>
          <w:b w:val="0"/>
          <w:i w:val="0"/>
        </w:rPr>
        <w:t xml:space="preserve">; </w:t>
      </w:r>
      <w:hyperlink w:anchor="latin-record-1112">
        <w:r>
          <w:rPr>
            <w:color w:val="000000"/>
          </w:rPr>
          <w:t xml:space="preserve">res</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83">
        <w:r>
          <w:rPr>
            <w:color w:val="000000"/>
          </w:rPr>
          <w:t xml:space="preserve">voluntas / velle</w:t>
        </w:r>
      </w:hyperlink>
      <w:r>
        <w:rPr>
          <w:b w:val="0"/>
          <w:i w:val="0"/>
        </w:rPr>
        <w:t>.</w:t>
      </w:r>
    </w:p>
    <w:p>
      <w:pPr>
        <w:widowControl/>
      </w:pPr>
      <w:bookmarkStart w:id="1992" w:name="passage-viii-15-2"/>
      <w:bookmarkEnd w:id="1992"/>
      <w:r>
        <w:rPr>
          <w:b/>
          <w:i w:val="0"/>
        </w:rPr>
        <w:t>VIII.15.2</w:t>
      </w:r>
      <w:r>
        <w:rPr>
          <w:b/>
          <w:i w:val="0"/>
        </w:rPr>
        <w:t>, source pp. 366–367.</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viii-individual-perpetuity">
        <w:r>
          <w:rPr>
            <w:color w:val="000000"/>
          </w:rPr>
          <w:t xml:space="preserve">Individual immortality and the scope of the conclusion</w:t>
        </w:r>
      </w:hyperlink>
      <w:r>
        <w:rPr>
          <w:b w:val="0"/>
          <w:i w:val="0"/>
        </w:rPr>
        <w:t xml:space="preserve">; </w:t>
      </w:r>
      <w:hyperlink w:anchor="viii-intellectual-generation">
        <w:r>
          <w:rPr>
            <w:color w:val="000000"/>
          </w:rPr>
          <w:t xml:space="preserve">Intellectual generation and daily renewal</w:t>
        </w:r>
      </w:hyperlink>
      <w:r>
        <w:rPr>
          <w:b w:val="0"/>
          <w:i w:val="0"/>
        </w:rPr>
        <w:t xml:space="preserve">; </w:t>
      </w:r>
      <w:hyperlink w:anchor="viii-self-cause">
        <w:r>
          <w:rPr>
            <w:color w:val="000000"/>
          </w:rPr>
          <w:t xml:space="preserve">Self-causation: formal cause and efficient cause</w:t>
        </w:r>
      </w:hyperlink>
      <w:r>
        <w:rPr>
          <w:b w:val="0"/>
          <w:i w:val="0"/>
        </w:rPr>
        <w:t xml:space="preserve">. Vocabulary: </w:t>
      </w:r>
      <w:hyperlink w:anchor="latin-record-0058">
        <w:r>
          <w:rPr>
            <w:color w:val="000000"/>
          </w:rPr>
          <w:t xml:space="preserve">agere / operari</w:t>
        </w:r>
      </w:hyperlink>
      <w:r>
        <w:rPr>
          <w:b w:val="0"/>
          <w:i w:val="0"/>
        </w:rPr>
        <w:t xml:space="preserve">; </w:t>
      </w:r>
      <w:hyperlink w:anchor="latin-record-0092">
        <w:r>
          <w:rPr>
            <w:color w:val="000000"/>
          </w:rPr>
          <w:t xml:space="preserve">anima</w:t>
        </w:r>
      </w:hyperlink>
      <w:r>
        <w:rPr>
          <w:b w:val="0"/>
          <w:i w:val="0"/>
        </w:rPr>
        <w:t xml:space="preserve">; </w:t>
      </w:r>
      <w:hyperlink w:anchor="latin-record-0121">
        <w:r>
          <w:rPr>
            <w:color w:val="000000"/>
          </w:rPr>
          <w:t xml:space="preserve">argumentatio / demonstratio</w:t>
        </w:r>
      </w:hyperlink>
      <w:r>
        <w:rPr>
          <w:b w:val="0"/>
          <w:i w:val="0"/>
        </w:rPr>
        <w:t xml:space="preserve">; </w:t>
      </w:r>
      <w:hyperlink w:anchor="latin-record-0160">
        <w:r>
          <w:rPr>
            <w:color w:val="000000"/>
          </w:rPr>
          <w:t xml:space="preserve">bene esse / simpliciter esse</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317">
        <w:r>
          <w:rPr>
            <w:color w:val="000000"/>
          </w:rPr>
          <w:t xml:space="preserve">continere</w:t>
        </w:r>
      </w:hyperlink>
      <w:r>
        <w:rPr>
          <w:b w:val="0"/>
          <w:i w:val="0"/>
        </w:rPr>
        <w:t xml:space="preserve">; </w:t>
      </w:r>
      <w:hyperlink w:anchor="latin-record-0355">
        <w:r>
          <w:rPr>
            <w:color w:val="000000"/>
          </w:rPr>
          <w:t xml:space="preserve">dare / tribuere</w:t>
        </w:r>
      </w:hyperlink>
      <w:r>
        <w:rPr>
          <w:b w:val="0"/>
          <w:i w:val="0"/>
        </w:rPr>
        <w:t xml:space="preserve">; </w:t>
      </w:r>
      <w:hyperlink w:anchor="latin-record-0406">
        <w:r>
          <w:rPr>
            <w:color w:val="000000"/>
          </w:rPr>
          <w:t xml:space="preserve">divisibilis / dividuus</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445">
        <w:r>
          <w:rPr>
            <w:color w:val="000000"/>
          </w:rPr>
          <w:t xml:space="preserve">essentia</w:t>
        </w:r>
      </w:hyperlink>
      <w:r>
        <w:rPr>
          <w:b w:val="0"/>
          <w:i w:val="0"/>
        </w:rPr>
        <w:t xml:space="preserve">; </w:t>
      </w:r>
      <w:hyperlink w:anchor="latin-record-0452">
        <w:r>
          <w:rPr>
            <w:color w:val="000000"/>
          </w:rPr>
          <w:t xml:space="preserve">ex se / in se / per se</w:t>
        </w:r>
      </w:hyperlink>
      <w:r>
        <w:rPr>
          <w:b w:val="0"/>
          <w:i w:val="0"/>
        </w:rPr>
        <w:t xml:space="preserve">; </w:t>
      </w:r>
      <w:hyperlink w:anchor="latin-record-0473">
        <w:r>
          <w:rPr>
            <w:color w:val="000000"/>
          </w:rPr>
          <w:t xml:space="preserve">facere / fieri</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10">
        <w:r>
          <w:rPr>
            <w:color w:val="000000"/>
          </w:rPr>
          <w:t xml:space="preserve">formare / perficere (intellectual self-formation)</w:t>
        </w:r>
      </w:hyperlink>
      <w:r>
        <w:rPr>
          <w:b w:val="0"/>
          <w:i w:val="0"/>
        </w:rPr>
        <w:t xml:space="preserve">; </w:t>
      </w:r>
      <w:hyperlink w:anchor="latin-record-0541">
        <w:r>
          <w:rPr>
            <w:color w:val="000000"/>
          </w:rPr>
          <w:t xml:space="preserve">generatio / genitrix / successio</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98">
        <w:r>
          <w:rPr>
            <w:color w:val="000000"/>
          </w:rPr>
          <w:t xml:space="preserve">immortalis / immortalitas</w:t>
        </w:r>
      </w:hyperlink>
      <w:r>
        <w:rPr>
          <w:b w:val="0"/>
          <w:i w:val="0"/>
        </w:rPr>
        <w:t xml:space="preserve">; </w:t>
      </w:r>
      <w:hyperlink w:anchor="latin-record-0618">
        <w:r>
          <w:rPr>
            <w:color w:val="000000"/>
          </w:rPr>
          <w:t xml:space="preserve">incorporeus / incorporalis</w:t>
        </w:r>
      </w:hyperlink>
      <w:r>
        <w:rPr>
          <w:b w:val="0"/>
          <w:i w:val="0"/>
        </w:rPr>
        <w:t xml:space="preserve">; </w:t>
      </w:r>
      <w:hyperlink w:anchor="latin-record-0658">
        <w:r>
          <w:rPr>
            <w:color w:val="000000"/>
          </w:rPr>
          <w:t xml:space="preserve">intellectualis / intelligibilis</w:t>
        </w:r>
      </w:hyperlink>
      <w:r>
        <w:rPr>
          <w:b w:val="0"/>
          <w:i w:val="0"/>
        </w:rPr>
        <w:t xml:space="preserve">; </w:t>
      </w:r>
      <w:hyperlink w:anchor="latin-record-0660">
        <w:r>
          <w:rPr>
            <w:color w:val="000000"/>
          </w:rPr>
          <w:t xml:space="preserve">intellectus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05">
        <w:r>
          <w:rPr>
            <w:color w:val="000000"/>
          </w:rPr>
          <w:t xml:space="preserve">latere / lucere</w:t>
        </w:r>
      </w:hyperlink>
      <w:r>
        <w:rPr>
          <w:b w:val="0"/>
          <w:i w:val="0"/>
        </w:rPr>
        <w:t xml:space="preserve">; </w:t>
      </w:r>
      <w:hyperlink w:anchor="latin-record-0787">
        <w:r>
          <w:rPr>
            <w:color w:val="000000"/>
          </w:rPr>
          <w:t xml:space="preserve">mitto / ipse viderit</w:t>
        </w:r>
      </w:hyperlink>
      <w:r>
        <w:rPr>
          <w:b w:val="0"/>
          <w:i w:val="0"/>
        </w:rPr>
        <w:t xml:space="preserve">; </w:t>
      </w:r>
      <w:hyperlink w:anchor="latin-record-0803">
        <w:r>
          <w:rPr>
            <w:color w:val="000000"/>
          </w:rPr>
          <w:t xml:space="preserve">mos / consuetudo</w:t>
        </w:r>
      </w:hyperlink>
      <w:r>
        <w:rPr>
          <w:b w:val="0"/>
          <w:i w:val="0"/>
        </w:rPr>
        <w:t xml:space="preserve">; </w:t>
      </w:r>
      <w:hyperlink w:anchor="latin-record-0823">
        <w:r>
          <w:rPr>
            <w:color w:val="000000"/>
          </w:rPr>
          <w:t xml:space="preserve">natura</w:t>
        </w:r>
      </w:hyperlink>
      <w:r>
        <w:rPr>
          <w:b w:val="0"/>
          <w:i w:val="0"/>
        </w:rPr>
        <w:t xml:space="preserve">; </w:t>
      </w:r>
      <w:hyperlink w:anchor="latin-record-0829">
        <w:r>
          <w:rPr>
            <w:color w:val="000000"/>
          </w:rPr>
          <w:t xml:space="preserve">naturalis</w:t>
        </w:r>
      </w:hyperlink>
      <w:r>
        <w:rPr>
          <w:b w:val="0"/>
          <w:i w:val="0"/>
        </w:rPr>
        <w:t xml:space="preserve">; </w:t>
      </w:r>
      <w:hyperlink w:anchor="latin-record-0860">
        <w:r>
          <w:rPr>
            <w:color w:val="000000"/>
          </w:rPr>
          <w:t xml:space="preserve">operatio / actio</w:t>
        </w:r>
      </w:hyperlink>
      <w:r>
        <w:rPr>
          <w:b w:val="0"/>
          <w:i w:val="0"/>
        </w:rPr>
        <w:t xml:space="preserve">; </w:t>
      </w:r>
      <w:hyperlink w:anchor="latin-record-0909">
        <w:r>
          <w:rPr>
            <w:color w:val="000000"/>
          </w:rPr>
          <w:t xml:space="preserve">Paulus apostolus</w:t>
        </w:r>
      </w:hyperlink>
      <w:r>
        <w:rPr>
          <w:b w:val="0"/>
          <w:i w:val="0"/>
        </w:rPr>
        <w:t xml:space="preserve">; </w:t>
      </w:r>
      <w:hyperlink w:anchor="latin-record-0956">
        <w:r>
          <w:rPr>
            <w:color w:val="000000"/>
          </w:rPr>
          <w:t xml:space="preserve">Plotinus / Proclus</w:t>
        </w:r>
      </w:hyperlink>
      <w:r>
        <w:rPr>
          <w:b w:val="0"/>
          <w:i w:val="0"/>
        </w:rPr>
        <w:t xml:space="preserve">; </w:t>
      </w:r>
      <w:hyperlink w:anchor="latin-record-1105">
        <w:r>
          <w:rPr>
            <w:color w:val="000000"/>
          </w:rPr>
          <w:t xml:space="preserve">renovare / renovatio</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 xml:space="preserve">; </w:t>
      </w:r>
      <w:hyperlink w:anchor="latin-record-1374">
        <w:r>
          <w:rPr>
            <w:color w:val="000000"/>
          </w:rPr>
          <w:t xml:space="preserve">vita / vivere</w:t>
        </w:r>
      </w:hyperlink>
      <w:r>
        <w:rPr>
          <w:b w:val="0"/>
          <w:i w:val="0"/>
        </w:rPr>
        <w:t>.</w:t>
      </w:r>
    </w:p>
    <w:p>
      <w:pPr>
        <w:widowControl/>
      </w:pPr>
      <w:bookmarkStart w:id="1993" w:name="passage-viii-15-3"/>
      <w:bookmarkEnd w:id="1993"/>
      <w:r>
        <w:rPr>
          <w:b/>
          <w:i w:val="0"/>
        </w:rPr>
        <w:t>VIII.15.3</w:t>
      </w:r>
      <w:r>
        <w:rPr>
          <w:b/>
          <w:i w:val="0"/>
        </w:rPr>
        <w:t>, source pp. 368–369.</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viii-intellectual-generation">
        <w:r>
          <w:rPr>
            <w:color w:val="000000"/>
          </w:rPr>
          <w:t xml:space="preserve">Intellectual generation and daily renewal</w:t>
        </w:r>
      </w:hyperlink>
      <w:r>
        <w:rPr>
          <w:b w:val="0"/>
          <w:i w:val="0"/>
        </w:rPr>
        <w:t xml:space="preserve">; </w:t>
      </w:r>
      <w:hyperlink w:anchor="viii-outflow-return">
        <w:r>
          <w:rPr>
            <w:color w:val="000000"/>
          </w:rPr>
          <w:t xml:space="preserve">Outward flow and rational life’s return</w:t>
        </w:r>
      </w:hyperlink>
      <w:r>
        <w:rPr>
          <w:b w:val="0"/>
          <w:i w:val="0"/>
        </w:rPr>
        <w:t xml:space="preserve">; </w:t>
      </w:r>
      <w:hyperlink w:anchor="viii-self-cause">
        <w:r>
          <w:rPr>
            <w:color w:val="000000"/>
          </w:rPr>
          <w:t xml:space="preserve">Self-causation: formal cause and efficient cause</w:t>
        </w:r>
      </w:hyperlink>
      <w:r>
        <w:rPr>
          <w:b w:val="0"/>
          <w:i w:val="0"/>
        </w:rPr>
        <w:t xml:space="preserve">. Vocabulary: </w:t>
      </w:r>
      <w:hyperlink w:anchor="latin-record-0024">
        <w:r>
          <w:rPr>
            <w:color w:val="000000"/>
          </w:rPr>
          <w:t xml:space="preserve">actus / actu</w:t>
        </w:r>
      </w:hyperlink>
      <w:r>
        <w:rPr>
          <w:b w:val="0"/>
          <w:i w:val="0"/>
        </w:rPr>
        <w:t xml:space="preserve">; </w:t>
      </w:r>
      <w:hyperlink w:anchor="latin-record-0058">
        <w:r>
          <w:rPr>
            <w:color w:val="000000"/>
          </w:rPr>
          <w:t xml:space="preserve">agere / operari</w:t>
        </w:r>
      </w:hyperlink>
      <w:r>
        <w:rPr>
          <w:b w:val="0"/>
          <w:i w:val="0"/>
        </w:rPr>
        <w:t xml:space="preserve">; </w:t>
      </w:r>
      <w:hyperlink w:anchor="latin-record-0069">
        <w:r>
          <w:rPr>
            <w:color w:val="000000"/>
          </w:rPr>
          <w:t xml:space="preserve">alienus / extraneus</w:t>
        </w:r>
      </w:hyperlink>
      <w:r>
        <w:rPr>
          <w:b w:val="0"/>
          <w:i w:val="0"/>
        </w:rPr>
        <w:t xml:space="preserve">; </w:t>
      </w:r>
      <w:hyperlink w:anchor="latin-record-0109">
        <w:r>
          <w:rPr>
            <w:color w:val="000000"/>
          </w:rPr>
          <w:t xml:space="preserve">appetere / cupere / affectare</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198">
        <w:r>
          <w:rPr>
            <w:color w:val="000000"/>
          </w:rPr>
          <w:t xml:space="preserve">causa</w:t>
        </w:r>
      </w:hyperlink>
      <w:r>
        <w:rPr>
          <w:b w:val="0"/>
          <w:i w:val="0"/>
        </w:rPr>
        <w:t xml:space="preserve">; </w:t>
      </w:r>
      <w:hyperlink w:anchor="latin-record-0201">
        <w:r>
          <w:rPr>
            <w:color w:val="000000"/>
          </w:rPr>
          <w:t xml:space="preserve">causa non efficiens sed formalis</w:t>
        </w:r>
      </w:hyperlink>
      <w:r>
        <w:rPr>
          <w:b w:val="0"/>
          <w:i w:val="0"/>
        </w:rPr>
        <w:t xml:space="preserve">; </w:t>
      </w:r>
      <w:hyperlink w:anchor="latin-record-0283">
        <w:r>
          <w:rPr>
            <w:color w:val="000000"/>
          </w:rPr>
          <w:t xml:space="preserve">condicio</w:t>
        </w:r>
      </w:hyperlink>
      <w:r>
        <w:rPr>
          <w:b w:val="0"/>
          <w:i w:val="0"/>
        </w:rPr>
        <w:t xml:space="preserve">; </w:t>
      </w:r>
      <w:hyperlink w:anchor="latin-record-0355">
        <w:r>
          <w:rPr>
            <w:color w:val="000000"/>
          </w:rPr>
          <w:t xml:space="preserve">dare / tribuere</w:t>
        </w:r>
      </w:hyperlink>
      <w:r>
        <w:rPr>
          <w:b w:val="0"/>
          <w:i w:val="0"/>
        </w:rPr>
        <w:t xml:space="preserve">; </w:t>
      </w:r>
      <w:hyperlink w:anchor="latin-record-0425">
        <w:r>
          <w:rPr>
            <w:color w:val="000000"/>
          </w:rPr>
          <w:t xml:space="preserve">effluere / diffluere / defluere</w:t>
        </w:r>
      </w:hyperlink>
      <w:r>
        <w:rPr>
          <w:b w:val="0"/>
          <w:i w:val="0"/>
        </w:rPr>
        <w:t xml:space="preserve">; </w:t>
      </w:r>
      <w:hyperlink w:anchor="latin-record-0440">
        <w:r>
          <w:rPr>
            <w:color w:val="000000"/>
          </w:rPr>
          <w:t xml:space="preserve">esse</w:t>
        </w:r>
      </w:hyperlink>
      <w:r>
        <w:rPr>
          <w:b w:val="0"/>
          <w:i w:val="0"/>
        </w:rPr>
        <w:t xml:space="preserve">; </w:t>
      </w:r>
      <w:hyperlink w:anchor="latin-record-0452">
        <w:r>
          <w:rPr>
            <w:color w:val="000000"/>
          </w:rPr>
          <w:t xml:space="preserve">ex se / in se / per se</w:t>
        </w:r>
      </w:hyperlink>
      <w:r>
        <w:rPr>
          <w:b w:val="0"/>
          <w:i w:val="0"/>
        </w:rPr>
        <w:t xml:space="preserve">; </w:t>
      </w:r>
      <w:hyperlink w:anchor="latin-record-0458">
        <w:r>
          <w:rPr>
            <w:color w:val="000000"/>
          </w:rPr>
          <w:t xml:space="preserve">exemplar / fabricare</w:t>
        </w:r>
      </w:hyperlink>
      <w:r>
        <w:rPr>
          <w:b w:val="0"/>
          <w:i w:val="0"/>
        </w:rPr>
        <w:t xml:space="preserve">; </w:t>
      </w:r>
      <w:hyperlink w:anchor="latin-record-0460">
        <w:r>
          <w:rPr>
            <w:color w:val="000000"/>
          </w:rPr>
          <w:t xml:space="preserve">existentia</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605">
        <w:r>
          <w:rPr>
            <w:color w:val="000000"/>
          </w:rPr>
          <w:t xml:space="preserve">implere / consummare</w:t>
        </w:r>
      </w:hyperlink>
      <w:r>
        <w:rPr>
          <w:b w:val="0"/>
          <w:i w:val="0"/>
        </w:rPr>
        <w:t xml:space="preserve">; </w:t>
      </w:r>
      <w:hyperlink w:anchor="latin-record-0777">
        <w:r>
          <w:rPr>
            <w:color w:val="000000"/>
          </w:rPr>
          <w:t xml:space="preserve">mens</w:t>
        </w:r>
      </w:hyperlink>
      <w:r>
        <w:rPr>
          <w:b w:val="0"/>
          <w:i w:val="0"/>
        </w:rPr>
        <w:t xml:space="preserve">; </w:t>
      </w:r>
      <w:hyperlink w:anchor="latin-record-0807">
        <w:r>
          <w:rPr>
            <w:color w:val="000000"/>
          </w:rPr>
          <w:t xml:space="preserve">motus / alteratio / quies</w:t>
        </w:r>
      </w:hyperlink>
      <w:r>
        <w:rPr>
          <w:b w:val="0"/>
          <w:i w:val="0"/>
        </w:rPr>
        <w:t xml:space="preserve">; </w:t>
      </w:r>
      <w:hyperlink w:anchor="latin-record-0823">
        <w:r>
          <w:rPr>
            <w:color w:val="000000"/>
          </w:rPr>
          <w:t xml:space="preserve">natura</w:t>
        </w:r>
      </w:hyperlink>
      <w:r>
        <w:rPr>
          <w:b w:val="0"/>
          <w:i w:val="0"/>
        </w:rPr>
        <w:t xml:space="preserve">; </w:t>
      </w:r>
      <w:hyperlink w:anchor="latin-record-0842">
        <w:r>
          <w:rPr>
            <w:color w:val="000000"/>
          </w:rPr>
          <w:t xml:space="preserve">non efficiens sed formalis</w:t>
        </w:r>
      </w:hyperlink>
      <w:r>
        <w:rPr>
          <w:b w:val="0"/>
          <w:i w:val="0"/>
        </w:rPr>
        <w:t xml:space="preserve">; </w:t>
      </w:r>
      <w:hyperlink w:anchor="latin-record-0860">
        <w:r>
          <w:rPr>
            <w:color w:val="000000"/>
          </w:rPr>
          <w:t xml:space="preserve">operatio / actio</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16">
        <w:r>
          <w:rPr>
            <w:color w:val="000000"/>
          </w:rPr>
          <w:t xml:space="preserve">proprius</w:t>
        </w:r>
      </w:hyperlink>
      <w:r>
        <w:rPr>
          <w:b w:val="0"/>
          <w:i w:val="0"/>
        </w:rPr>
        <w:t xml:space="preserve">; </w:t>
      </w:r>
      <w:hyperlink w:anchor="latin-record-1074">
        <w:r>
          <w:rPr>
            <w:color w:val="000000"/>
          </w:rPr>
          <w:t xml:space="preserve">rationalis</w:t>
        </w:r>
      </w:hyperlink>
      <w:r>
        <w:rPr>
          <w:b w:val="0"/>
          <w:i w:val="0"/>
        </w:rPr>
        <w:t xml:space="preserve">; </w:t>
      </w:r>
      <w:hyperlink w:anchor="latin-record-1097">
        <w:r>
          <w:rPr>
            <w:color w:val="000000"/>
          </w:rPr>
          <w:t xml:space="preserve">relabi / redundare</w:t>
        </w:r>
      </w:hyperlink>
      <w:r>
        <w:rPr>
          <w:b w:val="0"/>
          <w:i w:val="0"/>
        </w:rPr>
        <w:t xml:space="preserve">; </w:t>
      </w:r>
      <w:hyperlink w:anchor="latin-record-1112">
        <w:r>
          <w:rPr>
            <w:color w:val="000000"/>
          </w:rPr>
          <w:t xml:space="preserve">res</w:t>
        </w:r>
      </w:hyperlink>
      <w:r>
        <w:rPr>
          <w:b w:val="0"/>
          <w:i w:val="0"/>
        </w:rPr>
        <w:t xml:space="preserve">; </w:t>
      </w:r>
      <w:hyperlink w:anchor="latin-record-1271">
        <w:r>
          <w:rPr>
            <w:color w:val="000000"/>
          </w:rPr>
          <w:t xml:space="preserve">sustentaculum / inquinatio</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74">
        <w:r>
          <w:rPr>
            <w:color w:val="000000"/>
          </w:rPr>
          <w:t xml:space="preserve">vita / vivere</w:t>
        </w:r>
      </w:hyperlink>
      <w:r>
        <w:rPr>
          <w:b w:val="0"/>
          <w:i w:val="0"/>
        </w:rPr>
        <w:t>.</w:t>
      </w:r>
    </w:p>
    <w:p>
      <w:pPr>
        <w:pStyle w:val="Heading2"/>
      </w:pPr>
      <w:bookmarkStart w:id="1994" w:name="chapter-viii.16"/>
      <w:r>
        <w:rPr>
          <w:b w:val="0"/>
          <w:i w:val="0"/>
        </w:rPr>
        <w:t>Chapter VIII.16</w:t>
      </w:r>
      <w:bookmarkEnd w:id="1994"/>
    </w:p>
    <w:p>
      <w:pPr>
        <w:widowControl/>
      </w:pPr>
      <w:bookmarkStart w:id="1995" w:name="passage-viii-16-1"/>
      <w:bookmarkEnd w:id="1995"/>
      <w:r>
        <w:rPr>
          <w:b/>
          <w:i w:val="0"/>
        </w:rPr>
        <w:t>VIII.16.1</w:t>
      </w:r>
      <w:r>
        <w:rPr>
          <w:b/>
          <w:i w:val="0"/>
        </w:rPr>
        <w:t>, source pp. 370–371.</w:t>
      </w:r>
      <w:r>
        <w:rPr>
          <w:b w:val="0"/>
          <w:i w:val="0"/>
        </w:rPr>
        <w:t xml:space="preserve"> Articles: </w:t>
      </w:r>
      <w:hyperlink w:anchor="viii-analysis-mangling">
        <w:r>
          <w:rPr>
            <w:color w:val="000000"/>
          </w:rPr>
          <w:t xml:space="preserve">Analysis, mangling, and fictive construction</w:t>
        </w:r>
      </w:hyperlink>
      <w:r>
        <w:rPr>
          <w:b w:val="0"/>
          <w:i w:val="0"/>
        </w:rPr>
        <w:t xml:space="preserve">; </w:t>
      </w:r>
      <w:hyperlink w:anchor="viii-infinite-operations">
        <w:r>
          <w:rPr>
            <w:color w:val="000000"/>
          </w:rPr>
          <w:t xml:space="preserve">Infinite operations and the limits of sensory kinds</w:t>
        </w:r>
      </w:hyperlink>
      <w:r>
        <w:rPr>
          <w:b w:val="0"/>
          <w:i w:val="0"/>
        </w:rPr>
        <w:t xml:space="preserve">; </w:t>
      </w:r>
      <w:hyperlink w:anchor="viii-mental-hands">
        <w:r>
          <w:rPr>
            <w:color w:val="000000"/>
          </w:rPr>
          <w:t xml:space="preserve">Mental hands, conception, and creative understanding</w:t>
        </w:r>
      </w:hyperlink>
      <w:r>
        <w:rPr>
          <w:b w:val="0"/>
          <w:i w:val="0"/>
        </w:rPr>
        <w:t xml:space="preserve">; </w:t>
      </w:r>
      <w:hyperlink w:anchor="viii-reflexive-will">
        <w:r>
          <w:rPr>
            <w:color w:val="000000"/>
          </w:rPr>
          <w:t xml:space="preserve">Reflexive understanding and willing</w:t>
        </w:r>
      </w:hyperlink>
      <w:r>
        <w:rPr>
          <w:b w:val="0"/>
          <w:i w:val="0"/>
        </w:rPr>
        <w:t xml:space="preserve">; </w:t>
      </w:r>
      <w:hyperlink w:anchor="viii-repose-contemplation">
        <w:r>
          <w:rPr>
            <w:color w:val="000000"/>
          </w:rPr>
          <w:t xml:space="preserve">Repose, motion, and contemplation</w:t>
        </w:r>
      </w:hyperlink>
      <w:r>
        <w:rPr>
          <w:b w:val="0"/>
          <w:i w:val="0"/>
        </w:rPr>
        <w:t xml:space="preserve">. Vocabulary: </w:t>
      </w:r>
      <w:hyperlink w:anchor="latin-record-0110">
        <w:r>
          <w:rPr>
            <w:color w:val="000000"/>
          </w:rPr>
          <w:t xml:space="preserve">appetitus / appetitio</w:t>
        </w:r>
      </w:hyperlink>
      <w:r>
        <w:rPr>
          <w:b w:val="0"/>
          <w:i w:val="0"/>
        </w:rPr>
        <w:t xml:space="preserve">; </w:t>
      </w:r>
      <w:hyperlink w:anchor="latin-record-0149">
        <w:r>
          <w:rPr>
            <w:color w:val="000000"/>
          </w:rPr>
          <w:t xml:space="preserve">augere / augmentum / incrementum / decrementum</w:t>
        </w:r>
      </w:hyperlink>
      <w:r>
        <w:rPr>
          <w:b w:val="0"/>
          <w:i w:val="0"/>
        </w:rPr>
        <w:t xml:space="preserve">; </w:t>
      </w:r>
      <w:hyperlink w:anchor="latin-record-0157">
        <w:r>
          <w:rPr>
            <w:color w:val="000000"/>
          </w:rPr>
          <w:t xml:space="preserve">aviditas / cupiditas</w:t>
        </w:r>
      </w:hyperlink>
      <w:r>
        <w:rPr>
          <w:b w:val="0"/>
          <w:i w:val="0"/>
        </w:rPr>
        <w:t xml:space="preserve">; </w:t>
      </w:r>
      <w:hyperlink w:anchor="latin-record-0195">
        <w:r>
          <w:rPr>
            <w:color w:val="000000"/>
          </w:rPr>
          <w:t xml:space="preserve">carere / deficere / abesse</w:t>
        </w:r>
      </w:hyperlink>
      <w:r>
        <w:rPr>
          <w:b w:val="0"/>
          <w:i w:val="0"/>
        </w:rPr>
        <w:t xml:space="preserve">; </w:t>
      </w:r>
      <w:hyperlink w:anchor="latin-record-0226">
        <w:r>
          <w:rPr>
            <w:color w:val="000000"/>
          </w:rPr>
          <w:t xml:space="preserve">cogitare</w:t>
        </w:r>
      </w:hyperlink>
      <w:r>
        <w:rPr>
          <w:b w:val="0"/>
          <w:i w:val="0"/>
        </w:rPr>
        <w:t xml:space="preserve">; </w:t>
      </w:r>
      <w:hyperlink w:anchor="latin-record-0231">
        <w:r>
          <w:rPr>
            <w:color w:val="000000"/>
          </w:rPr>
          <w:t xml:space="preserve">cognoscere (additional forms)</w:t>
        </w:r>
      </w:hyperlink>
      <w:r>
        <w:rPr>
          <w:b w:val="0"/>
          <w:i w:val="0"/>
        </w:rPr>
        <w:t xml:space="preserve">; </w:t>
      </w:r>
      <w:hyperlink w:anchor="latin-record-0276">
        <w:r>
          <w:rPr>
            <w:color w:val="000000"/>
          </w:rPr>
          <w:t xml:space="preserve">concipere / excogitare</w:t>
        </w:r>
      </w:hyperlink>
      <w:r>
        <w:rPr>
          <w:b w:val="0"/>
          <w:i w:val="0"/>
        </w:rPr>
        <w:t xml:space="preserve">; </w:t>
      </w:r>
      <w:hyperlink w:anchor="latin-record-0300">
        <w:r>
          <w:rPr>
            <w:color w:val="000000"/>
          </w:rPr>
          <w:t xml:space="preserve">conscius / animadversio</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24">
        <w:r>
          <w:rPr>
            <w:color w:val="000000"/>
          </w:rPr>
          <w:t xml:space="preserve">efficere / producere / generare</w:t>
        </w:r>
      </w:hyperlink>
      <w:r>
        <w:rPr>
          <w:b w:val="0"/>
          <w:i w:val="0"/>
        </w:rPr>
        <w:t xml:space="preserve">; </w:t>
      </w:r>
      <w:hyperlink w:anchor="latin-record-0440">
        <w:r>
          <w:rPr>
            <w:color w:val="000000"/>
          </w:rPr>
          <w:t xml:space="preserve">esse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15">
        <w:r>
          <w:rPr>
            <w:color w:val="000000"/>
          </w:rPr>
          <w:t xml:space="preserve">forte / forsitan / si modo</w:t>
        </w:r>
      </w:hyperlink>
      <w:r>
        <w:rPr>
          <w:b w:val="0"/>
          <w:i w:val="0"/>
        </w:rPr>
        <w:t xml:space="preserve">; </w:t>
      </w:r>
      <w:hyperlink w:anchor="latin-record-0546">
        <w:r>
          <w:rPr>
            <w:color w:val="000000"/>
          </w:rPr>
          <w:t xml:space="preserve">gradus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58">
        <w:r>
          <w:rPr>
            <w:color w:val="000000"/>
          </w:rPr>
          <w:t xml:space="preserve">intellectualis / intelligibilis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705">
        <w:r>
          <w:rPr>
            <w:color w:val="000000"/>
          </w:rPr>
          <w:t xml:space="preserve">latere / lucere</w:t>
        </w:r>
      </w:hyperlink>
      <w:r>
        <w:rPr>
          <w:b w:val="0"/>
          <w:i w:val="0"/>
        </w:rPr>
        <w:t xml:space="preserve">; </w:t>
      </w:r>
      <w:hyperlink w:anchor="latin-record-0790">
        <w:r>
          <w:rPr>
            <w:color w:val="000000"/>
          </w:rPr>
          <w:t xml:space="preserve">modus / pactum</w:t>
        </w:r>
      </w:hyperlink>
      <w:r>
        <w:rPr>
          <w:b w:val="0"/>
          <w:i w:val="0"/>
        </w:rPr>
        <w:t xml:space="preserve">; </w:t>
      </w:r>
      <w:hyperlink w:anchor="latin-record-0847">
        <w:r>
          <w:rPr>
            <w:color w:val="000000"/>
          </w:rPr>
          <w:t xml:space="preserve">numerus / figura / proportio</w:t>
        </w:r>
      </w:hyperlink>
      <w:r>
        <w:rPr>
          <w:b w:val="0"/>
          <w:i w:val="0"/>
        </w:rPr>
        <w:t xml:space="preserve">; </w:t>
      </w:r>
      <w:hyperlink w:anchor="latin-record-0892">
        <w:r>
          <w:rPr>
            <w:color w:val="000000"/>
          </w:rPr>
          <w:t xml:space="preserve">pars / totum</w:t>
        </w:r>
      </w:hyperlink>
      <w:r>
        <w:rPr>
          <w:b w:val="0"/>
          <w:i w:val="0"/>
        </w:rPr>
        <w:t xml:space="preserve">; </w:t>
      </w:r>
      <w:hyperlink w:anchor="latin-record-0917">
        <w:r>
          <w:rPr>
            <w:color w:val="000000"/>
          </w:rPr>
          <w:t xml:space="preserve">per omnia</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0963">
        <w:r>
          <w:rPr>
            <w:color w:val="000000"/>
          </w:rPr>
          <w:t xml:space="preserve">posse / fingere / excogitare</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16">
        <w:r>
          <w:rPr>
            <w:color w:val="000000"/>
          </w:rPr>
          <w:t xml:space="preserve">proprius</w:t>
        </w:r>
      </w:hyperlink>
      <w:r>
        <w:rPr>
          <w:b w:val="0"/>
          <w:i w:val="0"/>
        </w:rPr>
        <w:t xml:space="preserve">; </w:t>
      </w:r>
      <w:hyperlink w:anchor="latin-record-1038">
        <w:r>
          <w:rPr>
            <w:color w:val="000000"/>
          </w:rPr>
          <w:t xml:space="preserve">qua ratione / quatenus</w:t>
        </w:r>
      </w:hyperlink>
      <w:r>
        <w:rPr>
          <w:b w:val="0"/>
          <w:i w:val="0"/>
        </w:rPr>
        <w:t xml:space="preserve">; </w:t>
      </w:r>
      <w:hyperlink w:anchor="latin-record-1074">
        <w:r>
          <w:rPr>
            <w:color w:val="000000"/>
          </w:rPr>
          <w:t xml:space="preserve">rationalis</w:t>
        </w:r>
      </w:hyperlink>
      <w:r>
        <w:rPr>
          <w:b w:val="0"/>
          <w:i w:val="0"/>
        </w:rPr>
        <w:t xml:space="preserve">; </w:t>
      </w:r>
      <w:hyperlink w:anchor="latin-record-1108">
        <w:r>
          <w:rPr>
            <w:color w:val="000000"/>
          </w:rPr>
          <w:t xml:space="preserve">replicare</w:t>
        </w:r>
      </w:hyperlink>
      <w:r>
        <w:rPr>
          <w:b w:val="0"/>
          <w:i w:val="0"/>
        </w:rPr>
        <w:t xml:space="preserve">; </w:t>
      </w:r>
      <w:hyperlink w:anchor="latin-record-1112">
        <w:r>
          <w:rPr>
            <w:color w:val="000000"/>
          </w:rPr>
          <w:t xml:space="preserve">res</w:t>
        </w:r>
      </w:hyperlink>
      <w:r>
        <w:rPr>
          <w:b w:val="0"/>
          <w:i w:val="0"/>
        </w:rPr>
        <w:t xml:space="preserve">; </w:t>
      </w:r>
      <w:hyperlink w:anchor="latin-record-1123">
        <w:r>
          <w:rPr>
            <w:color w:val="000000"/>
          </w:rPr>
          <w:t xml:space="preserve">revolutio / orbicularis</w:t>
        </w:r>
      </w:hyperlink>
      <w:r>
        <w:rPr>
          <w:b w:val="0"/>
          <w:i w:val="0"/>
        </w:rPr>
        <w:t xml:space="preserve">; </w:t>
      </w:r>
      <w:hyperlink w:anchor="latin-record-1156">
        <w:r>
          <w:rPr>
            <w:color w:val="000000"/>
          </w:rPr>
          <w:t xml:space="preserve">sensus</w:t>
        </w:r>
      </w:hyperlink>
      <w:r>
        <w:rPr>
          <w:b w:val="0"/>
          <w:i w:val="0"/>
        </w:rPr>
        <w:t xml:space="preserve">; </w:t>
      </w:r>
      <w:hyperlink w:anchor="latin-record-1199">
        <w:r>
          <w:rPr>
            <w:color w:val="000000"/>
          </w:rPr>
          <w:t xml:space="preserve">solus (restrictive)</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 xml:space="preserve">; </w:t>
      </w:r>
      <w:hyperlink w:anchor="latin-record-1383">
        <w:r>
          <w:rPr>
            <w:color w:val="000000"/>
          </w:rPr>
          <w:t xml:space="preserve">voluntas / velle</w:t>
        </w:r>
      </w:hyperlink>
      <w:r>
        <w:rPr>
          <w:b w:val="0"/>
          <w:i w:val="0"/>
        </w:rPr>
        <w:t>.</w:t>
      </w:r>
    </w:p>
    <w:p>
      <w:pPr>
        <w:widowControl/>
      </w:pPr>
      <w:bookmarkStart w:id="1996" w:name="passage-viii-16-2"/>
      <w:bookmarkEnd w:id="1996"/>
      <w:r>
        <w:rPr>
          <w:b/>
          <w:i w:val="0"/>
        </w:rPr>
        <w:t>VIII.16.2</w:t>
      </w:r>
      <w:r>
        <w:rPr>
          <w:b/>
          <w:i w:val="0"/>
        </w:rPr>
        <w:t>, source pp. 372–373.</w:t>
      </w:r>
      <w:r>
        <w:rPr>
          <w:b w:val="0"/>
          <w:i w:val="0"/>
        </w:rPr>
        <w:t xml:space="preserve"> Articles: </w:t>
      </w:r>
      <w:hyperlink w:anchor="viii-finite-angels">
        <w:r>
          <w:rPr>
            <w:color w:val="000000"/>
          </w:rPr>
          <w:t xml:space="preserve">Finite angels, infinite act, and infinite potency</w:t>
        </w:r>
      </w:hyperlink>
      <w:r>
        <w:rPr>
          <w:b w:val="0"/>
          <w:i w:val="0"/>
        </w:rPr>
        <w:t xml:space="preserve">; </w:t>
      </w:r>
      <w:hyperlink w:anchor="viii-infinite-operations">
        <w:r>
          <w:rPr>
            <w:color w:val="000000"/>
          </w:rPr>
          <w:t xml:space="preserve">Infinite operations and the limits of sensory kinds</w:t>
        </w:r>
      </w:hyperlink>
      <w:r>
        <w:rPr>
          <w:b w:val="0"/>
          <w:i w:val="0"/>
        </w:rPr>
        <w:t xml:space="preserve">; </w:t>
      </w:r>
      <w:hyperlink w:anchor="viii-mental-hands">
        <w:r>
          <w:rPr>
            <w:color w:val="000000"/>
          </w:rPr>
          <w:t xml:space="preserve">Mental hands, conception, and creative understanding</w:t>
        </w:r>
      </w:hyperlink>
      <w:r>
        <w:rPr>
          <w:b w:val="0"/>
          <w:i w:val="0"/>
        </w:rPr>
        <w:t xml:space="preserve">. Vocabulary: </w:t>
      </w:r>
      <w:hyperlink w:anchor="latin-record-0024">
        <w:r>
          <w:rPr>
            <w:color w:val="000000"/>
          </w:rPr>
          <w:t xml:space="preserve">actus / actu</w:t>
        </w:r>
      </w:hyperlink>
      <w:r>
        <w:rPr>
          <w:b w:val="0"/>
          <w:i w:val="0"/>
        </w:rPr>
        <w:t xml:space="preserve">; </w:t>
      </w:r>
      <w:hyperlink w:anchor="latin-record-0025">
        <w:r>
          <w:rPr>
            <w:color w:val="000000"/>
          </w:rPr>
          <w:t xml:space="preserve">actus infinitus / potentia infinita</w:t>
        </w:r>
      </w:hyperlink>
      <w:r>
        <w:rPr>
          <w:b w:val="0"/>
          <w:i w:val="0"/>
        </w:rPr>
        <w:t xml:space="preserve">; </w:t>
      </w:r>
      <w:hyperlink w:anchor="latin-record-0089">
        <w:r>
          <w:rPr>
            <w:color w:val="000000"/>
          </w:rPr>
          <w:t xml:space="preserve">angelus finitus</w:t>
        </w:r>
      </w:hyperlink>
      <w:r>
        <w:rPr>
          <w:b w:val="0"/>
          <w:i w:val="0"/>
        </w:rPr>
        <w:t xml:space="preserve">; </w:t>
      </w:r>
      <w:hyperlink w:anchor="latin-record-0132">
        <w:r>
          <w:rPr>
            <w:color w:val="000000"/>
          </w:rPr>
          <w:t xml:space="preserve">ascendere / descendere</w:t>
        </w:r>
      </w:hyperlink>
      <w:r>
        <w:rPr>
          <w:b w:val="0"/>
          <w:i w:val="0"/>
        </w:rPr>
        <w:t xml:space="preserve">; </w:t>
      </w:r>
      <w:hyperlink w:anchor="latin-record-0233">
        <w:r>
          <w:rPr>
            <w:color w:val="000000"/>
          </w:rPr>
          <w:t xml:space="preserve">colligere</w:t>
        </w:r>
      </w:hyperlink>
      <w:r>
        <w:rPr>
          <w:b w:val="0"/>
          <w:i w:val="0"/>
        </w:rPr>
        <w:t xml:space="preserve">; </w:t>
      </w:r>
      <w:hyperlink w:anchor="latin-record-0376">
        <w:r>
          <w:rPr>
            <w:color w:val="000000"/>
          </w:rPr>
          <w:t xml:space="preserve">Deus / divinus</w:t>
        </w:r>
      </w:hyperlink>
      <w:r>
        <w:rPr>
          <w:b w:val="0"/>
          <w:i w:val="0"/>
        </w:rPr>
        <w:t xml:space="preserve">; </w:t>
      </w:r>
      <w:hyperlink w:anchor="latin-record-0440">
        <w:r>
          <w:rPr>
            <w:color w:val="000000"/>
          </w:rPr>
          <w:t xml:space="preserve">esse</w:t>
        </w:r>
      </w:hyperlink>
      <w:r>
        <w:rPr>
          <w:b w:val="0"/>
          <w:i w:val="0"/>
        </w:rPr>
        <w:t xml:space="preserve">; </w:t>
      </w:r>
      <w:hyperlink w:anchor="latin-record-0458">
        <w:r>
          <w:rPr>
            <w:color w:val="000000"/>
          </w:rPr>
          <w:t xml:space="preserve">exemplar / fabricare</w:t>
        </w:r>
      </w:hyperlink>
      <w:r>
        <w:rPr>
          <w:b w:val="0"/>
          <w:i w:val="0"/>
        </w:rPr>
        <w:t xml:space="preserve">; </w:t>
      </w:r>
      <w:hyperlink w:anchor="latin-record-0546">
        <w:r>
          <w:rPr>
            <w:color w:val="000000"/>
          </w:rPr>
          <w:t xml:space="preserve">gradus</w:t>
        </w:r>
      </w:hyperlink>
      <w:r>
        <w:rPr>
          <w:b w:val="0"/>
          <w:i w:val="0"/>
        </w:rPr>
        <w:t xml:space="preserve">; </w:t>
      </w:r>
      <w:hyperlink w:anchor="latin-record-0565">
        <w:r>
          <w:rPr>
            <w:color w:val="000000"/>
          </w:rPr>
          <w:t xml:space="preserve">homo / humanus</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43">
        <w:r>
          <w:rPr>
            <w:color w:val="000000"/>
          </w:rPr>
          <w:t xml:space="preserve">innumerabilis</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687">
        <w:r>
          <w:rPr>
            <w:color w:val="000000"/>
          </w:rPr>
          <w:t xml:space="preserve">invicem / vicissim</w:t>
        </w:r>
      </w:hyperlink>
      <w:r>
        <w:rPr>
          <w:b w:val="0"/>
          <w:i w:val="0"/>
        </w:rPr>
        <w:t xml:space="preserve">; </w:t>
      </w:r>
      <w:hyperlink w:anchor="latin-record-0692">
        <w:r>
          <w:rPr>
            <w:color w:val="000000"/>
          </w:rPr>
          <w:t xml:space="preserve">iudicare / pronuntiare</w:t>
        </w:r>
      </w:hyperlink>
      <w:r>
        <w:rPr>
          <w:b w:val="0"/>
          <w:i w:val="0"/>
        </w:rPr>
        <w:t xml:space="preserve">; </w:t>
      </w:r>
      <w:hyperlink w:anchor="latin-record-0757">
        <w:r>
          <w:rPr>
            <w:color w:val="000000"/>
          </w:rPr>
          <w:t xml:space="preserve">materia</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75">
        <w:r>
          <w:rPr>
            <w:color w:val="000000"/>
          </w:rPr>
          <w:t xml:space="preserve">ordinare / ordo</w:t>
        </w:r>
      </w:hyperlink>
      <w:r>
        <w:rPr>
          <w:b w:val="0"/>
          <w:i w:val="0"/>
        </w:rPr>
        <w:t xml:space="preserve">; </w:t>
      </w:r>
      <w:hyperlink w:anchor="latin-record-0934">
        <w:r>
          <w:rPr>
            <w:color w:val="000000"/>
          </w:rPr>
          <w:t xml:space="preserve">perpetuus / sempiternus</w:t>
        </w:r>
      </w:hyperlink>
      <w:r>
        <w:rPr>
          <w:b w:val="0"/>
          <w:i w:val="0"/>
        </w:rPr>
        <w:t xml:space="preserve">; </w:t>
      </w:r>
      <w:hyperlink w:anchor="latin-record-0950">
        <w:r>
          <w:rPr>
            <w:color w:val="000000"/>
          </w:rPr>
          <w:t xml:space="preserve">pingere in se / aere / pariete</w:t>
        </w:r>
      </w:hyperlink>
      <w:r>
        <w:rPr>
          <w:b w:val="0"/>
          <w:i w:val="0"/>
        </w:rPr>
        <w:t xml:space="preserve">; </w:t>
      </w:r>
      <w:hyperlink w:anchor="latin-record-0968">
        <w:r>
          <w:rPr>
            <w:color w:val="000000"/>
          </w:rPr>
          <w:t xml:space="preserve">potentia</w:t>
        </w:r>
      </w:hyperlink>
      <w:r>
        <w:rPr>
          <w:b w:val="0"/>
          <w:i w:val="0"/>
        </w:rPr>
        <w:t xml:space="preserve">; </w:t>
      </w:r>
      <w:hyperlink w:anchor="latin-record-1016">
        <w:r>
          <w:rPr>
            <w:color w:val="000000"/>
          </w:rPr>
          <w:t xml:space="preserve">proprius</w:t>
        </w:r>
      </w:hyperlink>
      <w:r>
        <w:rPr>
          <w:b w:val="0"/>
          <w:i w:val="0"/>
        </w:rPr>
        <w:t xml:space="preserve">; </w:t>
      </w:r>
      <w:hyperlink w:anchor="latin-record-1083">
        <w:r>
          <w:rPr>
            <w:color w:val="000000"/>
          </w:rPr>
          <w:t xml:space="preserve">reddere</w:t>
        </w:r>
      </w:hyperlink>
      <w:r>
        <w:rPr>
          <w:b w:val="0"/>
          <w:i w:val="0"/>
        </w:rPr>
        <w:t xml:space="preserve">; </w:t>
      </w:r>
      <w:hyperlink w:anchor="latin-record-1112">
        <w:r>
          <w:rPr>
            <w:color w:val="000000"/>
          </w:rPr>
          <w:t xml:space="preserve">res</w:t>
        </w:r>
      </w:hyperlink>
      <w:r>
        <w:rPr>
          <w:b w:val="0"/>
          <w:i w:val="0"/>
        </w:rPr>
        <w:t xml:space="preserve">; </w:t>
      </w:r>
      <w:hyperlink w:anchor="latin-record-1226">
        <w:r>
          <w:rPr>
            <w:color w:val="000000"/>
          </w:rPr>
          <w:t xml:space="preserve">spiritus (incorporeal)</w:t>
        </w:r>
      </w:hyperlink>
      <w:r>
        <w:rPr>
          <w:b w:val="0"/>
          <w:i w:val="0"/>
        </w:rPr>
        <w:t xml:space="preserve">; </w:t>
      </w:r>
      <w:hyperlink w:anchor="latin-record-1261">
        <w:r>
          <w:rPr>
            <w:color w:val="000000"/>
          </w:rPr>
          <w:t xml:space="preserve">superare / excedere / excellere</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19">
        <w:r>
          <w:rPr>
            <w:color w:val="000000"/>
          </w:rPr>
          <w:t xml:space="preserve">unitas / multitudo</w:t>
        </w:r>
      </w:hyperlink>
      <w:r>
        <w:rPr>
          <w:b w:val="0"/>
          <w:i w:val="0"/>
        </w:rPr>
        <w:t xml:space="preserve">; </w:t>
      </w:r>
      <w:hyperlink w:anchor="latin-record-1323">
        <w:r>
          <w:rPr>
            <w:color w:val="000000"/>
          </w:rPr>
          <w:t xml:space="preserve">universalis</w:t>
        </w:r>
      </w:hyperlink>
      <w:r>
        <w:rPr>
          <w:b w:val="0"/>
          <w:i w:val="0"/>
        </w:rPr>
        <w:t xml:space="preserve">; </w:t>
      </w:r>
      <w:hyperlink w:anchor="latin-record-1347">
        <w:r>
          <w:rPr>
            <w:color w:val="000000"/>
          </w:rPr>
          <w:t xml:space="preserve">vicissitudo generationis</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w:t>
      </w:r>
    </w:p>
    <w:p>
      <w:pPr>
        <w:widowControl/>
      </w:pPr>
      <w:bookmarkStart w:id="1997" w:name="passage-viii-16-3"/>
      <w:bookmarkEnd w:id="1997"/>
      <w:r>
        <w:rPr>
          <w:b/>
          <w:i w:val="0"/>
        </w:rPr>
        <w:t>VIII.16.3</w:t>
      </w:r>
      <w:r>
        <w:rPr>
          <w:b/>
          <w:i w:val="0"/>
        </w:rPr>
        <w:t>, source pp. 374–375.</w:t>
      </w:r>
      <w:r>
        <w:rPr>
          <w:b w:val="0"/>
          <w:i w:val="0"/>
        </w:rPr>
        <w:t xml:space="preserve"> Articles: </w:t>
      </w:r>
      <w:hyperlink w:anchor="viii-infinite-operations">
        <w:r>
          <w:rPr>
            <w:color w:val="000000"/>
          </w:rPr>
          <w:t xml:space="preserve">Infinite operations and the limits of sensory kinds</w:t>
        </w:r>
      </w:hyperlink>
      <w:r>
        <w:rPr>
          <w:b w:val="0"/>
          <w:i w:val="0"/>
        </w:rPr>
        <w:t xml:space="preserve">; </w:t>
      </w:r>
      <w:hyperlink w:anchor="viii-divine-enlargement">
        <w:r>
          <w:rPr>
            <w:color w:val="000000"/>
          </w:rPr>
          <w:t xml:space="preserve">Insatiable desire and divine enlargement</w:t>
        </w:r>
      </w:hyperlink>
      <w:r>
        <w:rPr>
          <w:b w:val="0"/>
          <w:i w:val="0"/>
        </w:rPr>
        <w:t xml:space="preserve">; </w:t>
      </w:r>
      <w:hyperlink w:anchor="viii-infinity-measure">
        <w:r>
          <w:rPr>
            <w:color w:val="000000"/>
          </w:rPr>
          <w:t xml:space="preserve">Measuring infinity and thinking being and nonbeing</w:t>
        </w:r>
      </w:hyperlink>
      <w:r>
        <w:rPr>
          <w:b w:val="0"/>
          <w:i w:val="0"/>
        </w:rPr>
        <w:t xml:space="preserve">. Vocabulary: </w:t>
      </w:r>
      <w:hyperlink w:anchor="latin-record-0044">
        <w:r>
          <w:rPr>
            <w:color w:val="000000"/>
          </w:rPr>
          <w:t xml:space="preserve">aequari / aequare</w:t>
        </w:r>
      </w:hyperlink>
      <w:r>
        <w:rPr>
          <w:b w:val="0"/>
          <w:i w:val="0"/>
        </w:rPr>
        <w:t xml:space="preserve">; </w:t>
      </w:r>
      <w:hyperlink w:anchor="latin-record-0045">
        <w:r>
          <w:rPr>
            <w:color w:val="000000"/>
          </w:rPr>
          <w:t xml:space="preserve">aequatio</w:t>
        </w:r>
      </w:hyperlink>
      <w:r>
        <w:rPr>
          <w:b w:val="0"/>
          <w:i w:val="0"/>
        </w:rPr>
        <w:t xml:space="preserve">; </w:t>
      </w:r>
      <w:hyperlink w:anchor="latin-record-0120">
        <w:r>
          <w:rPr>
            <w:color w:val="000000"/>
          </w:rPr>
          <w:t xml:space="preserve">ardor / ardere / ardenter</w:t>
        </w:r>
      </w:hyperlink>
      <w:r>
        <w:rPr>
          <w:b w:val="0"/>
          <w:i w:val="0"/>
        </w:rPr>
        <w:t xml:space="preserve">; </w:t>
      </w:r>
      <w:hyperlink w:anchor="latin-record-0187">
        <w:r>
          <w:rPr>
            <w:color w:val="000000"/>
          </w:rPr>
          <w:t xml:space="preserve">capacitas / implere</w:t>
        </w:r>
      </w:hyperlink>
      <w:r>
        <w:rPr>
          <w:b w:val="0"/>
          <w:i w:val="0"/>
        </w:rPr>
        <w:t xml:space="preserve">; </w:t>
      </w:r>
      <w:hyperlink w:anchor="latin-record-0190">
        <w:r>
          <w:rPr>
            <w:color w:val="000000"/>
          </w:rPr>
          <w:t xml:space="preserve">capere / comprehendere</w:t>
        </w:r>
      </w:hyperlink>
      <w:r>
        <w:rPr>
          <w:b w:val="0"/>
          <w:i w:val="0"/>
        </w:rPr>
        <w:t xml:space="preserve">; </w:t>
      </w:r>
      <w:hyperlink w:anchor="latin-record-0209">
        <w:r>
          <w:rPr>
            <w:color w:val="000000"/>
          </w:rPr>
          <w:t xml:space="preserve">certa / certus</w:t>
        </w:r>
      </w:hyperlink>
      <w:r>
        <w:rPr>
          <w:b w:val="0"/>
          <w:i w:val="0"/>
        </w:rPr>
        <w:t xml:space="preserve">; </w:t>
      </w:r>
      <w:hyperlink w:anchor="latin-record-0229">
        <w:r>
          <w:rPr>
            <w:color w:val="000000"/>
          </w:rPr>
          <w:t xml:space="preserve">cognitio</w:t>
        </w:r>
      </w:hyperlink>
      <w:r>
        <w:rPr>
          <w:b w:val="0"/>
          <w:i w:val="0"/>
        </w:rPr>
        <w:t xml:space="preserve">; </w:t>
      </w:r>
      <w:hyperlink w:anchor="latin-record-0347">
        <w:r>
          <w:rPr>
            <w:color w:val="000000"/>
          </w:rPr>
          <w:t xml:space="preserve">creatio / interitus</w:t>
        </w:r>
      </w:hyperlink>
      <w:r>
        <w:rPr>
          <w:b w:val="0"/>
          <w:i w:val="0"/>
        </w:rPr>
        <w:t xml:space="preserve">; </w:t>
      </w:r>
      <w:hyperlink w:anchor="latin-record-0376">
        <w:r>
          <w:rPr>
            <w:color w:val="000000"/>
          </w:rPr>
          <w:t xml:space="preserve">Deus / divinus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08">
        <w:r>
          <w:rPr>
            <w:color w:val="000000"/>
          </w:rPr>
          <w:t xml:space="preserve">divitiarum cumulus / imperii amplitudo</w:t>
        </w:r>
      </w:hyperlink>
      <w:r>
        <w:rPr>
          <w:b w:val="0"/>
          <w:i w:val="0"/>
        </w:rPr>
        <w:t xml:space="preserve">; </w:t>
      </w:r>
      <w:hyperlink w:anchor="latin-record-0440">
        <w:r>
          <w:rPr>
            <w:color w:val="000000"/>
          </w:rPr>
          <w:t xml:space="preserve">esse</w:t>
        </w:r>
      </w:hyperlink>
      <w:r>
        <w:rPr>
          <w:b w:val="0"/>
          <w:i w:val="0"/>
        </w:rPr>
        <w:t xml:space="preserve">; </w:t>
      </w:r>
      <w:hyperlink w:anchor="latin-record-0515">
        <w:r>
          <w:rPr>
            <w:color w:val="000000"/>
          </w:rPr>
          <w:t xml:space="preserve">forte / forsitan / si modo</w:t>
        </w:r>
      </w:hyperlink>
      <w:r>
        <w:rPr>
          <w:b w:val="0"/>
          <w:i w:val="0"/>
        </w:rPr>
        <w:t xml:space="preserve">; </w:t>
      </w:r>
      <w:hyperlink w:anchor="latin-record-0546">
        <w:r>
          <w:rPr>
            <w:color w:val="000000"/>
          </w:rPr>
          <w:t xml:space="preserve">gradus</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60">
        <w:r>
          <w:rPr>
            <w:color w:val="000000"/>
          </w:rPr>
          <w:t xml:space="preserve">intellectus</w:t>
        </w:r>
      </w:hyperlink>
      <w:r>
        <w:rPr>
          <w:b w:val="0"/>
          <w:i w:val="0"/>
        </w:rPr>
        <w:t xml:space="preserve">; </w:t>
      </w:r>
      <w:hyperlink w:anchor="latin-record-0672">
        <w:r>
          <w:rPr>
            <w:color w:val="000000"/>
          </w:rPr>
          <w:t xml:space="preserve">interminatus</w:t>
        </w:r>
      </w:hyperlink>
      <w:r>
        <w:rPr>
          <w:b w:val="0"/>
          <w:i w:val="0"/>
        </w:rPr>
        <w:t xml:space="preserve">; </w:t>
      </w:r>
      <w:hyperlink w:anchor="latin-record-0685">
        <w:r>
          <w:rPr>
            <w:color w:val="000000"/>
          </w:rPr>
          <w:t xml:space="preserve">invenire / reperire</w:t>
        </w:r>
      </w:hyperlink>
      <w:r>
        <w:rPr>
          <w:b w:val="0"/>
          <w:i w:val="0"/>
        </w:rPr>
        <w:t xml:space="preserve">; </w:t>
      </w:r>
      <w:hyperlink w:anchor="latin-record-0780">
        <w:r>
          <w:rPr>
            <w:color w:val="000000"/>
          </w:rPr>
          <w:t xml:space="preserve">mensura / metiri / proportio / aequare</w:t>
        </w:r>
      </w:hyperlink>
      <w:r>
        <w:rPr>
          <w:b w:val="0"/>
          <w:i w:val="0"/>
        </w:rPr>
        <w:t xml:space="preserve">; </w:t>
      </w:r>
      <w:hyperlink w:anchor="latin-record-0790">
        <w:r>
          <w:rPr>
            <w:color w:val="000000"/>
          </w:rPr>
          <w:t xml:space="preserve">modus / pactum</w:t>
        </w:r>
      </w:hyperlink>
      <w:r>
        <w:rPr>
          <w:b w:val="0"/>
          <w:i w:val="0"/>
        </w:rPr>
        <w:t xml:space="preserve">; </w:t>
      </w:r>
      <w:hyperlink w:anchor="latin-record-0823">
        <w:r>
          <w:rPr>
            <w:color w:val="000000"/>
          </w:rPr>
          <w:t xml:space="preserve">natura</w:t>
        </w:r>
      </w:hyperlink>
      <w:r>
        <w:rPr>
          <w:b w:val="0"/>
          <w:i w:val="0"/>
        </w:rPr>
        <w:t xml:space="preserve">; </w:t>
      </w:r>
      <w:hyperlink w:anchor="latin-record-0845">
        <w:r>
          <w:rPr>
            <w:color w:val="000000"/>
          </w:rPr>
          <w:t xml:space="preserve">notio / perceptio</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1016">
        <w:r>
          <w:rPr>
            <w:color w:val="000000"/>
          </w:rPr>
          <w:t xml:space="preserve">proprius</w:t>
        </w:r>
      </w:hyperlink>
      <w:r>
        <w:rPr>
          <w:b w:val="0"/>
          <w:i w:val="0"/>
        </w:rPr>
        <w:t xml:space="preserve">; </w:t>
      </w:r>
      <w:hyperlink w:anchor="latin-record-1038">
        <w:r>
          <w:rPr>
            <w:color w:val="000000"/>
          </w:rPr>
          <w:t xml:space="preserve">qua ratione / quatenus</w:t>
        </w:r>
      </w:hyperlink>
      <w:r>
        <w:rPr>
          <w:b w:val="0"/>
          <w:i w:val="0"/>
        </w:rPr>
        <w:t xml:space="preserve">; </w:t>
      </w:r>
      <w:hyperlink w:anchor="latin-record-1056">
        <w:r>
          <w:rPr>
            <w:color w:val="000000"/>
          </w:rPr>
          <w:t xml:space="preserve">quodammodo / quasi / ut ita loquar</w:t>
        </w:r>
      </w:hyperlink>
      <w:r>
        <w:rPr>
          <w:b w:val="0"/>
          <w:i w:val="0"/>
        </w:rPr>
        <w:t xml:space="preserve">; </w:t>
      </w:r>
      <w:hyperlink w:anchor="latin-record-1065">
        <w:r>
          <w:rPr>
            <w:color w:val="000000"/>
          </w:rPr>
          <w:t xml:space="preserve">ratio (account or principle)</w:t>
        </w:r>
      </w:hyperlink>
      <w:r>
        <w:rPr>
          <w:b w:val="0"/>
          <w:i w:val="0"/>
        </w:rPr>
        <w:t xml:space="preserve">; </w:t>
      </w:r>
      <w:hyperlink w:anchor="latin-record-1066">
        <w:r>
          <w:rPr>
            <w:color w:val="000000"/>
          </w:rPr>
          <w:t xml:space="preserve">ratio (additional inflections)</w:t>
        </w:r>
      </w:hyperlink>
      <w:r>
        <w:rPr>
          <w:b w:val="0"/>
          <w:i w:val="0"/>
        </w:rPr>
        <w:t xml:space="preserve">; </w:t>
      </w:r>
      <w:hyperlink w:anchor="latin-record-1112">
        <w:r>
          <w:rPr>
            <w:color w:val="000000"/>
          </w:rPr>
          <w:t xml:space="preserve">res</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52">
        <w:r>
          <w:rPr>
            <w:color w:val="000000"/>
          </w:rPr>
          <w:t xml:space="preserve">videri / apparere / patere / constare</w:t>
        </w:r>
      </w:hyperlink>
      <w:r>
        <w:rPr>
          <w:b w:val="0"/>
          <w:i w:val="0"/>
        </w:rPr>
        <w:t xml:space="preserve">; </w:t>
      </w:r>
      <w:hyperlink w:anchor="latin-record-1361">
        <w:r>
          <w:rPr>
            <w:color w:val="000000"/>
          </w:rPr>
          <w:t xml:space="preserve">vis</w:t>
        </w:r>
      </w:hyperlink>
      <w:r>
        <w:rPr>
          <w:b w:val="0"/>
          <w:i w:val="0"/>
        </w:rPr>
        <w:t>.</w:t>
      </w:r>
    </w:p>
    <w:p>
      <w:pPr>
        <w:widowControl/>
      </w:pPr>
      <w:bookmarkStart w:id="1998" w:name="passage-viii-16-4"/>
      <w:bookmarkEnd w:id="1998"/>
      <w:r>
        <w:rPr>
          <w:b/>
          <w:i w:val="0"/>
        </w:rPr>
        <w:t>VIII.16.4</w:t>
      </w:r>
      <w:r>
        <w:rPr>
          <w:b/>
          <w:i w:val="0"/>
        </w:rPr>
        <w:t>, source pp. 376–377.</w:t>
      </w:r>
      <w:r>
        <w:rPr>
          <w:b w:val="0"/>
          <w:i w:val="0"/>
        </w:rPr>
        <w:t xml:space="preserve"> Articles: </w:t>
      </w:r>
      <w:hyperlink w:anchor="first-cause">
        <w:r>
          <w:rPr>
            <w:color w:val="000000"/>
          </w:rPr>
          <w:t xml:space="preserve">First Cause, principal causes and causal dependence</w:t>
        </w:r>
      </w:hyperlink>
      <w:r>
        <w:rPr>
          <w:b w:val="0"/>
          <w:i w:val="0"/>
        </w:rPr>
        <w:t xml:space="preserve">; </w:t>
      </w:r>
      <w:hyperlink w:anchor="viii-individual-perpetuity">
        <w:r>
          <w:rPr>
            <w:color w:val="000000"/>
          </w:rPr>
          <w:t xml:space="preserve">Individual immortality and the scope of the conclusion</w:t>
        </w:r>
      </w:hyperlink>
      <w:r>
        <w:rPr>
          <w:b w:val="0"/>
          <w:i w:val="0"/>
        </w:rPr>
        <w:t xml:space="preserve">; </w:t>
      </w:r>
      <w:hyperlink w:anchor="viii-divine-enlargement">
        <w:r>
          <w:rPr>
            <w:color w:val="000000"/>
          </w:rPr>
          <w:t xml:space="preserve">Insatiable desire and divine enlargement</w:t>
        </w:r>
      </w:hyperlink>
      <w:r>
        <w:rPr>
          <w:b w:val="0"/>
          <w:i w:val="0"/>
        </w:rPr>
        <w:t xml:space="preserve">; </w:t>
      </w:r>
      <w:hyperlink w:anchor="viii-self-cause">
        <w:r>
          <w:rPr>
            <w:color w:val="000000"/>
          </w:rPr>
          <w:t xml:space="preserve">Self-causation: formal cause and efficient cause</w:t>
        </w:r>
      </w:hyperlink>
      <w:r>
        <w:rPr>
          <w:b w:val="0"/>
          <w:i w:val="0"/>
        </w:rPr>
        <w:t xml:space="preserve">. Vocabulary: </w:t>
      </w:r>
      <w:hyperlink w:anchor="latin-record-0006">
        <w:r>
          <w:rPr>
            <w:color w:val="000000"/>
          </w:rPr>
          <w:t xml:space="preserve">absolutus</w:t>
        </w:r>
      </w:hyperlink>
      <w:r>
        <w:rPr>
          <w:b w:val="0"/>
          <w:i w:val="0"/>
        </w:rPr>
        <w:t xml:space="preserve">; </w:t>
      </w:r>
      <w:hyperlink w:anchor="latin-record-0084">
        <w:r>
          <w:rPr>
            <w:color w:val="000000"/>
          </w:rPr>
          <w:t xml:space="preserve">amplificatio divina</w:t>
        </w:r>
      </w:hyperlink>
      <w:r>
        <w:rPr>
          <w:b w:val="0"/>
          <w:i w:val="0"/>
        </w:rPr>
        <w:t xml:space="preserve">; </w:t>
      </w:r>
      <w:hyperlink w:anchor="latin-record-0120">
        <w:r>
          <w:rPr>
            <w:color w:val="000000"/>
          </w:rPr>
          <w:t xml:space="preserve">ardor / ardere / ardenter</w:t>
        </w:r>
      </w:hyperlink>
      <w:r>
        <w:rPr>
          <w:b w:val="0"/>
          <w:i w:val="0"/>
        </w:rPr>
        <w:t xml:space="preserve">; </w:t>
      </w:r>
      <w:hyperlink w:anchor="latin-record-0187">
        <w:r>
          <w:rPr>
            <w:color w:val="000000"/>
          </w:rPr>
          <w:t xml:space="preserve">capacitas / implere</w:t>
        </w:r>
      </w:hyperlink>
      <w:r>
        <w:rPr>
          <w:b w:val="0"/>
          <w:i w:val="0"/>
        </w:rPr>
        <w:t xml:space="preserve">; </w:t>
      </w:r>
      <w:hyperlink w:anchor="latin-record-0270">
        <w:r>
          <w:rPr>
            <w:color w:val="000000"/>
          </w:rPr>
          <w:t xml:space="preserve">concedere / donare</w:t>
        </w:r>
      </w:hyperlink>
      <w:r>
        <w:rPr>
          <w:b w:val="0"/>
          <w:i w:val="0"/>
        </w:rPr>
        <w:t xml:space="preserve">; </w:t>
      </w:r>
      <w:hyperlink w:anchor="latin-record-0339">
        <w:r>
          <w:rPr>
            <w:color w:val="000000"/>
          </w:rPr>
          <w:t xml:space="preserve">corpus / corporalis (further forms)</w:t>
        </w:r>
      </w:hyperlink>
      <w:r>
        <w:rPr>
          <w:b w:val="0"/>
          <w:i w:val="0"/>
        </w:rPr>
        <w:t xml:space="preserve">; </w:t>
      </w:r>
      <w:hyperlink w:anchor="latin-record-0376">
        <w:r>
          <w:rPr>
            <w:color w:val="000000"/>
          </w:rPr>
          <w:t xml:space="preserve">Deus / divinus</w:t>
        </w:r>
      </w:hyperlink>
      <w:r>
        <w:rPr>
          <w:b w:val="0"/>
          <w:i w:val="0"/>
        </w:rPr>
        <w:t xml:space="preserve">; </w:t>
      </w:r>
      <w:hyperlink w:anchor="latin-record-0379">
        <w:r>
          <w:rPr>
            <w:color w:val="000000"/>
          </w:rPr>
          <w:t xml:space="preserve">dicere / loqui / vocare</w:t>
        </w:r>
      </w:hyperlink>
      <w:r>
        <w:rPr>
          <w:b w:val="0"/>
          <w:i w:val="0"/>
        </w:rPr>
        <w:t xml:space="preserve">; </w:t>
      </w:r>
      <w:hyperlink w:anchor="latin-record-0440">
        <w:r>
          <w:rPr>
            <w:color w:val="000000"/>
          </w:rPr>
          <w:t xml:space="preserve">esse</w:t>
        </w:r>
      </w:hyperlink>
      <w:r>
        <w:rPr>
          <w:b w:val="0"/>
          <w:i w:val="0"/>
        </w:rPr>
        <w:t xml:space="preserve">; </w:t>
      </w:r>
      <w:hyperlink w:anchor="latin-record-0448">
        <w:r>
          <w:rPr>
            <w:color w:val="000000"/>
          </w:rPr>
          <w:t xml:space="preserve">esurire / sitire</w:t>
        </w:r>
      </w:hyperlink>
      <w:r>
        <w:rPr>
          <w:b w:val="0"/>
          <w:i w:val="0"/>
        </w:rPr>
        <w:t xml:space="preserve">; </w:t>
      </w:r>
      <w:hyperlink w:anchor="latin-record-0474">
        <w:r>
          <w:rPr>
            <w:color w:val="000000"/>
          </w:rPr>
          <w:t xml:space="preserve">facere / fieri (further forms)</w:t>
        </w:r>
      </w:hyperlink>
      <w:r>
        <w:rPr>
          <w:b w:val="0"/>
          <w:i w:val="0"/>
        </w:rPr>
        <w:t xml:space="preserve">; </w:t>
      </w:r>
      <w:hyperlink w:anchor="latin-record-0490">
        <w:r>
          <w:rPr>
            <w:color w:val="000000"/>
          </w:rPr>
          <w:t xml:space="preserve">finis (end and absence of end)</w:t>
        </w:r>
      </w:hyperlink>
      <w:r>
        <w:rPr>
          <w:b w:val="0"/>
          <w:i w:val="0"/>
        </w:rPr>
        <w:t xml:space="preserve">; </w:t>
      </w:r>
      <w:hyperlink w:anchor="latin-record-0553">
        <w:r>
          <w:rPr>
            <w:color w:val="000000"/>
          </w:rPr>
          <w:t xml:space="preserve">habere / possidere</w:t>
        </w:r>
      </w:hyperlink>
      <w:r>
        <w:rPr>
          <w:b w:val="0"/>
          <w:i w:val="0"/>
        </w:rPr>
        <w:t xml:space="preserve">; </w:t>
      </w:r>
      <w:hyperlink w:anchor="latin-record-0565">
        <w:r>
          <w:rPr>
            <w:color w:val="000000"/>
          </w:rPr>
          <w:t xml:space="preserve">homo / humanus</w:t>
        </w:r>
      </w:hyperlink>
      <w:r>
        <w:rPr>
          <w:b w:val="0"/>
          <w:i w:val="0"/>
        </w:rPr>
        <w:t xml:space="preserve">; </w:t>
      </w:r>
      <w:hyperlink w:anchor="latin-record-0584">
        <w:r>
          <w:rPr>
            <w:color w:val="000000"/>
          </w:rPr>
          <w:t xml:space="preserve">ignis / lapis / descendere / deferre</w:t>
        </w:r>
      </w:hyperlink>
      <w:r>
        <w:rPr>
          <w:b w:val="0"/>
          <w:i w:val="0"/>
        </w:rPr>
        <w:t xml:space="preserve">; </w:t>
      </w:r>
      <w:hyperlink w:anchor="latin-record-0634">
        <w:r>
          <w:rPr>
            <w:color w:val="000000"/>
          </w:rPr>
          <w:t xml:space="preserve">infinitus / infinitas</w:t>
        </w:r>
      </w:hyperlink>
      <w:r>
        <w:rPr>
          <w:b w:val="0"/>
          <w:i w:val="0"/>
        </w:rPr>
        <w:t xml:space="preserve">; </w:t>
      </w:r>
      <w:hyperlink w:anchor="latin-record-0648">
        <w:r>
          <w:rPr>
            <w:color w:val="000000"/>
          </w:rPr>
          <w:t xml:space="preserve">inserere / servare / revocare</w:t>
        </w:r>
      </w:hyperlink>
      <w:r>
        <w:rPr>
          <w:b w:val="0"/>
          <w:i w:val="0"/>
        </w:rPr>
        <w:t xml:space="preserve">; </w:t>
      </w:r>
      <w:hyperlink w:anchor="latin-record-0658">
        <w:r>
          <w:rPr>
            <w:color w:val="000000"/>
          </w:rPr>
          <w:t xml:space="preserve">intellectualis / intelligibilis</w:t>
        </w:r>
      </w:hyperlink>
      <w:r>
        <w:rPr>
          <w:b w:val="0"/>
          <w:i w:val="0"/>
        </w:rPr>
        <w:t xml:space="preserve">; </w:t>
      </w:r>
      <w:hyperlink w:anchor="latin-record-0664">
        <w:r>
          <w:rPr>
            <w:color w:val="000000"/>
          </w:rPr>
          <w:t xml:space="preserve">intelligere / intellectio</w:t>
        </w:r>
      </w:hyperlink>
      <w:r>
        <w:rPr>
          <w:b w:val="0"/>
          <w:i w:val="0"/>
        </w:rPr>
        <w:t xml:space="preserve">; </w:t>
      </w:r>
      <w:hyperlink w:anchor="latin-record-0777">
        <w:r>
          <w:rPr>
            <w:color w:val="000000"/>
          </w:rPr>
          <w:t xml:space="preserve">mens</w:t>
        </w:r>
      </w:hyperlink>
      <w:r>
        <w:rPr>
          <w:b w:val="0"/>
          <w:i w:val="0"/>
        </w:rPr>
        <w:t xml:space="preserve">; </w:t>
      </w:r>
      <w:hyperlink w:anchor="latin-record-0790">
        <w:r>
          <w:rPr>
            <w:color w:val="000000"/>
          </w:rPr>
          <w:t xml:space="preserve">modus / pactum</w:t>
        </w:r>
      </w:hyperlink>
      <w:r>
        <w:rPr>
          <w:b w:val="0"/>
          <w:i w:val="0"/>
        </w:rPr>
        <w:t xml:space="preserve">; </w:t>
      </w:r>
      <w:hyperlink w:anchor="latin-record-0860">
        <w:r>
          <w:rPr>
            <w:color w:val="000000"/>
          </w:rPr>
          <w:t xml:space="preserve">operatio / actio</w:t>
        </w:r>
      </w:hyperlink>
      <w:r>
        <w:rPr>
          <w:b w:val="0"/>
          <w:i w:val="0"/>
        </w:rPr>
        <w:t xml:space="preserve">; </w:t>
      </w:r>
      <w:hyperlink w:anchor="latin-record-0865">
        <w:r>
          <w:rPr>
            <w:color w:val="000000"/>
          </w:rPr>
          <w:t xml:space="preserve">opinio / sententia</w:t>
        </w:r>
      </w:hyperlink>
      <w:r>
        <w:rPr>
          <w:b w:val="0"/>
          <w:i w:val="0"/>
        </w:rPr>
        <w:t xml:space="preserve">; </w:t>
      </w:r>
      <w:hyperlink w:anchor="latin-record-0867">
        <w:r>
          <w:rPr>
            <w:color w:val="000000"/>
          </w:rPr>
          <w:t xml:space="preserve">oportere / necesse / debere</w:t>
        </w:r>
      </w:hyperlink>
      <w:r>
        <w:rPr>
          <w:b w:val="0"/>
          <w:i w:val="0"/>
        </w:rPr>
        <w:t xml:space="preserve">; </w:t>
      </w:r>
      <w:hyperlink w:anchor="latin-record-0987">
        <w:r>
          <w:rPr>
            <w:color w:val="000000"/>
          </w:rPr>
          <w:t xml:space="preserve">primum / deinde / prius / secundo</w:t>
        </w:r>
      </w:hyperlink>
      <w:r>
        <w:rPr>
          <w:b w:val="0"/>
          <w:i w:val="0"/>
        </w:rPr>
        <w:t xml:space="preserve">; </w:t>
      </w:r>
      <w:hyperlink w:anchor="latin-record-0994">
        <w:r>
          <w:rPr>
            <w:color w:val="000000"/>
          </w:rPr>
          <w:t xml:space="preserve">principium / finis</w:t>
        </w:r>
      </w:hyperlink>
      <w:r>
        <w:rPr>
          <w:b w:val="0"/>
          <w:i w:val="0"/>
        </w:rPr>
        <w:t xml:space="preserve">; </w:t>
      </w:r>
      <w:hyperlink w:anchor="latin-record-1016">
        <w:r>
          <w:rPr>
            <w:color w:val="000000"/>
          </w:rPr>
          <w:t xml:space="preserve">proprius</w:t>
        </w:r>
      </w:hyperlink>
      <w:r>
        <w:rPr>
          <w:b w:val="0"/>
          <w:i w:val="0"/>
        </w:rPr>
        <w:t xml:space="preserve">; </w:t>
      </w:r>
      <w:hyperlink w:anchor="latin-record-1038">
        <w:r>
          <w:rPr>
            <w:color w:val="000000"/>
          </w:rPr>
          <w:t xml:space="preserve">qua ratione / quatenus</w:t>
        </w:r>
      </w:hyperlink>
      <w:r>
        <w:rPr>
          <w:b w:val="0"/>
          <w:i w:val="0"/>
        </w:rPr>
        <w:t xml:space="preserve">; </w:t>
      </w:r>
      <w:hyperlink w:anchor="latin-record-1112">
        <w:r>
          <w:rPr>
            <w:color w:val="000000"/>
          </w:rPr>
          <w:t xml:space="preserve">res</w:t>
        </w:r>
      </w:hyperlink>
      <w:r>
        <w:rPr>
          <w:b w:val="0"/>
          <w:i w:val="0"/>
        </w:rPr>
        <w:t xml:space="preserve">; </w:t>
      </w:r>
      <w:hyperlink w:anchor="latin-record-1176">
        <w:r>
          <w:rPr>
            <w:color w:val="000000"/>
          </w:rPr>
          <w:t xml:space="preserve">similitudo</w:t>
        </w:r>
      </w:hyperlink>
      <w:r>
        <w:rPr>
          <w:b w:val="0"/>
          <w:i w:val="0"/>
        </w:rPr>
        <w:t xml:space="preserve">; </w:t>
      </w:r>
      <w:hyperlink w:anchor="latin-record-1261">
        <w:r>
          <w:rPr>
            <w:color w:val="000000"/>
          </w:rPr>
          <w:t xml:space="preserve">superare / excedere / excellere</w:t>
        </w:r>
      </w:hyperlink>
      <w:r>
        <w:rPr>
          <w:b w:val="0"/>
          <w:i w:val="0"/>
        </w:rPr>
        <w:t xml:space="preserve">; </w:t>
      </w:r>
      <w:hyperlink w:anchor="latin-record-1289">
        <w:r>
          <w:rPr>
            <w:color w:val="000000"/>
          </w:rPr>
          <w:t xml:space="preserve">terminus / terminare</w:t>
        </w:r>
      </w:hyperlink>
      <w:r>
        <w:rPr>
          <w:b w:val="0"/>
          <w:i w:val="0"/>
        </w:rPr>
        <w:t xml:space="preserve">; </w:t>
      </w:r>
      <w:hyperlink w:anchor="latin-record-1339">
        <w:r>
          <w:rPr>
            <w:color w:val="000000"/>
          </w:rPr>
          <w:t xml:space="preserve">veritas / verum</w:t>
        </w:r>
      </w:hyperlink>
      <w:r>
        <w:rPr>
          <w:b w:val="0"/>
          <w:i w:val="0"/>
        </w:rPr>
        <w:t xml:space="preserve">; </w:t>
      </w:r>
      <w:hyperlink w:anchor="latin-record-1358">
        <w:r>
          <w:rPr>
            <w:color w:val="000000"/>
          </w:rPr>
          <w:t xml:space="preserve">virtus</w:t>
        </w:r>
      </w:hyperlink>
      <w:r>
        <w:rPr>
          <w:b w:val="0"/>
          <w:i w:val="0"/>
        </w:rPr>
        <w:t xml:space="preserve">; </w:t>
      </w:r>
      <w:hyperlink w:anchor="latin-record-1361">
        <w:r>
          <w:rPr>
            <w:color w:val="000000"/>
          </w:rPr>
          <w:t xml:space="preserve">vis</w:t>
        </w:r>
      </w:hyperlink>
      <w:r>
        <w:rPr>
          <w:b w:val="0"/>
          <w:i w:val="0"/>
        </w:rPr>
        <w:t xml:space="preserve">; </w:t>
      </w:r>
      <w:hyperlink w:anchor="latin-record-1374">
        <w:r>
          <w:rPr>
            <w:color w:val="000000"/>
          </w:rPr>
          <w:t xml:space="preserve">vita / vivere</w:t>
        </w:r>
      </w:hyperlink>
      <w:r>
        <w:rPr>
          <w:b w:val="0"/>
          <w:i w:val="0"/>
        </w:rPr>
        <w:t>.</w:t>
      </w:r>
    </w:p>
    <w:p>
      <w:pPr>
        <w:pStyle w:val="Heading1"/>
      </w:pPr>
      <w:bookmarkStart w:id="1999" w:name="english-lookup"/>
      <w:r>
        <w:rPr>
          <w:b w:val="0"/>
          <w:i w:val="0"/>
        </w:rPr>
        <w:t>English lookup</w:t>
      </w:r>
      <w:bookmarkEnd w:id="1999"/>
    </w:p>
    <w:p>
      <w:pPr>
        <w:widowControl/>
      </w:pPr>
      <w:r>
        <w:rPr>
          <w:b w:val="0"/>
          <w:i w:val="0"/>
        </w:rPr>
        <w:t>Common alternative terms lead to relevant articles. The alphabetical article directory provides the full list of article titles; this lookup is supplementary and does not replace the explanations.</w:t>
      </w:r>
    </w:p>
    <w:p>
      <w:pPr>
        <w:widowControl/>
      </w:pPr>
      <w:r>
        <w:rPr>
          <w:b/>
          <w:i w:val="0"/>
        </w:rPr>
        <w:t>Absolute being.</w:t>
      </w:r>
      <w:r>
        <w:rPr>
          <w:b w:val="0"/>
          <w:i w:val="0"/>
        </w:rPr>
        <w:t xml:space="preserve"> </w:t>
      </w:r>
      <w:hyperlink w:anchor="essence-and-being">
        <w:r>
          <w:rPr>
            <w:color w:val="000000"/>
          </w:rPr>
          <w:t xml:space="preserve">Essence and being</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Abstraction.</w:t>
      </w:r>
      <w:r>
        <w:rPr>
          <w:b w:val="0"/>
          <w:i w:val="0"/>
        </w:rPr>
        <w:t xml:space="preserve"> </w:t>
      </w:r>
      <w:hyperlink w:anchor="viii-immediate-reflexive">
        <w:r>
          <w:rPr>
            <w:color w:val="000000"/>
          </w:rPr>
          <w:t xml:space="preserve">Immediate intellection and the return to particulars</w:t>
        </w:r>
      </w:hyperlink>
      <w:r>
        <w:rPr>
          <w:b w:val="0"/>
          <w:i w:val="0"/>
        </w:rPr>
        <w:t xml:space="preserve">; </w:t>
      </w:r>
      <w:hyperlink w:anchor="viii-mental-hands">
        <w:r>
          <w:rPr>
            <w:color w:val="000000"/>
          </w:rPr>
          <w:t xml:space="preserve">Mental hands, conception, and creative understanding</w:t>
        </w:r>
      </w:hyperlink>
      <w:r>
        <w:rPr>
          <w:b w:val="0"/>
          <w:i w:val="0"/>
        </w:rPr>
        <w:t>.</w:t>
      </w:r>
    </w:p>
    <w:p>
      <w:pPr>
        <w:widowControl/>
      </w:pPr>
      <w:r>
        <w:rPr>
          <w:b/>
          <w:i w:val="0"/>
        </w:rPr>
        <w:t>Act and actuality.</w:t>
      </w:r>
      <w:r>
        <w:rPr>
          <w:b w:val="0"/>
          <w:i w:val="0"/>
        </w:rPr>
        <w:t xml:space="preserve"> </w:t>
      </w:r>
      <w:hyperlink w:anchor="creature-power-and-operation">
        <w:r>
          <w:rPr>
            <w:color w:val="000000"/>
          </w:rPr>
          <w:t xml:space="preserve">Creature, power and operation</w:t>
        </w:r>
      </w:hyperlink>
      <w:r>
        <w:rPr>
          <w:b w:val="0"/>
          <w:i w:val="0"/>
        </w:rPr>
        <w:t xml:space="preserve">; </w:t>
      </w:r>
      <w:hyperlink w:anchor="potency-possibility-and-the-lion">
        <w:r>
          <w:rPr>
            <w:color w:val="000000"/>
          </w:rPr>
          <w:t xml:space="preserve">Potency, possibility and the lion</w:t>
        </w:r>
      </w:hyperlink>
      <w:r>
        <w:rPr>
          <w:b w:val="0"/>
          <w:i w:val="0"/>
        </w:rPr>
        <w:t>.</w:t>
      </w:r>
    </w:p>
    <w:p>
      <w:pPr>
        <w:widowControl/>
      </w:pPr>
      <w:r>
        <w:rPr>
          <w:b/>
          <w:i w:val="0"/>
        </w:rPr>
        <w:t>Activity and operation.</w:t>
      </w:r>
      <w:r>
        <w:rPr>
          <w:b w:val="0"/>
          <w:i w:val="0"/>
        </w:rPr>
        <w:t xml:space="preserve"> </w:t>
      </w:r>
      <w:hyperlink w:anchor="creature-power-and-operation">
        <w:r>
          <w:rPr>
            <w:color w:val="000000"/>
          </w:rPr>
          <w:t xml:space="preserve">Creature, power and operation</w:t>
        </w:r>
      </w:hyperlink>
      <w:r>
        <w:rPr>
          <w:b w:val="0"/>
          <w:i w:val="0"/>
        </w:rPr>
        <w:t xml:space="preserve">; </w:t>
      </w:r>
      <w:hyperlink w:anchor="vital-motion-action-and-passion">
        <w:r>
          <w:rPr>
            <w:color w:val="000000"/>
          </w:rPr>
          <w:t xml:space="preserve">Vital motion, action and passion</w:t>
        </w:r>
      </w:hyperlink>
      <w:r>
        <w:rPr>
          <w:b w:val="0"/>
          <w:i w:val="0"/>
        </w:rPr>
        <w:t xml:space="preserve">; </w:t>
      </w:r>
      <w:hyperlink w:anchor="viii-operation-kind">
        <w:r>
          <w:rPr>
            <w:color w:val="000000"/>
          </w:rPr>
          <w:t xml:space="preserve">Kind, generation, and operation’s dependence on substance</w:t>
        </w:r>
      </w:hyperlink>
      <w:r>
        <w:rPr>
          <w:b w:val="0"/>
          <w:i w:val="0"/>
        </w:rPr>
        <w:t>.</w:t>
      </w:r>
    </w:p>
    <w:p>
      <w:pPr>
        <w:widowControl/>
      </w:pPr>
      <w:r>
        <w:rPr>
          <w:b/>
          <w:i w:val="0"/>
        </w:rPr>
        <w:t>Affection and passivity.</w:t>
      </w:r>
      <w:r>
        <w:rPr>
          <w:b w:val="0"/>
          <w:i w:val="0"/>
        </w:rPr>
        <w:t xml:space="preserve"> </w:t>
      </w:r>
      <w:hyperlink w:anchor="passivity-and-bodily-affection">
        <w:r>
          <w:rPr>
            <w:color w:val="000000"/>
          </w:rPr>
          <w:t xml:space="preserve">Passivity and bodily affection</w:t>
        </w:r>
      </w:hyperlink>
      <w:r>
        <w:rPr>
          <w:b w:val="0"/>
          <w:i w:val="0"/>
        </w:rPr>
        <w:t xml:space="preserve">; </w:t>
      </w:r>
      <w:hyperlink w:anchor="vii-injury-judge">
        <w:r>
          <w:rPr>
            <w:color w:val="000000"/>
          </w:rPr>
          <w:t xml:space="preserve">Injury and the uninjured judge</w:t>
        </w:r>
      </w:hyperlink>
      <w:r>
        <w:rPr>
          <w:b w:val="0"/>
          <w:i w:val="0"/>
        </w:rPr>
        <w:t>.</w:t>
      </w:r>
    </w:p>
    <w:p>
      <w:pPr>
        <w:widowControl/>
      </w:pPr>
      <w:r>
        <w:rPr>
          <w:b/>
          <w:i w:val="0"/>
        </w:rPr>
        <w:t>Angelic mind.</w:t>
      </w:r>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viii-finite-angels">
        <w:r>
          <w:rPr>
            <w:color w:val="000000"/>
          </w:rPr>
          <w:t xml:space="preserve">Finite angels, infinite act, and infinite potency</w:t>
        </w:r>
      </w:hyperlink>
      <w:r>
        <w:rPr>
          <w:b w:val="0"/>
          <w:i w:val="0"/>
        </w:rPr>
        <w:t>.</w:t>
      </w:r>
    </w:p>
    <w:p>
      <w:pPr>
        <w:widowControl/>
      </w:pPr>
      <w:r>
        <w:rPr>
          <w:b/>
          <w:i w:val="0"/>
        </w:rPr>
        <w:t>Animal soul.</w:t>
      </w:r>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vii-severed-animals">
        <w:r>
          <w:rPr>
            <w:color w:val="000000"/>
          </w:rPr>
          <w:t xml:space="preserve">Severed animals and replacement souls</w:t>
        </w:r>
      </w:hyperlink>
      <w:r>
        <w:rPr>
          <w:b w:val="0"/>
          <w:i w:val="0"/>
        </w:rPr>
        <w:t>.</w:t>
      </w:r>
    </w:p>
    <w:p>
      <w:pPr>
        <w:widowControl/>
      </w:pPr>
      <w:r>
        <w:rPr>
          <w:b/>
          <w:i w:val="0"/>
        </w:rPr>
        <w:t>Annihilation.</w:t>
      </w:r>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viii-individual-perpetuity">
        <w:r>
          <w:rPr>
            <w:color w:val="000000"/>
          </w:rPr>
          <w:t xml:space="preserve">Individual immortality and the scope of the conclusion</w:t>
        </w:r>
      </w:hyperlink>
      <w:r>
        <w:rPr>
          <w:b w:val="0"/>
          <w:i w:val="0"/>
        </w:rPr>
        <w:t>.</w:t>
      </w:r>
    </w:p>
    <w:p>
      <w:pPr>
        <w:widowControl/>
      </w:pPr>
      <w:r>
        <w:rPr>
          <w:b/>
          <w:i w:val="0"/>
        </w:rPr>
        <w:t>Appetite and desire.</w:t>
      </w:r>
      <w:r>
        <w:rPr>
          <w:b w:val="0"/>
          <w:i w:val="0"/>
        </w:rPr>
        <w:t xml:space="preserve"> </w:t>
      </w:r>
      <w:hyperlink w:anchor="conversion-desire-and-compulsion">
        <w:r>
          <w:rPr>
            <w:color w:val="000000"/>
          </w:rPr>
          <w:t xml:space="preserve">Conversion, desire and compulsion</w:t>
        </w:r>
      </w:hyperlink>
      <w:r>
        <w:rPr>
          <w:b w:val="0"/>
          <w:i w:val="0"/>
        </w:rPr>
        <w:t xml:space="preserve">; </w:t>
      </w:r>
      <w:hyperlink w:anchor="viii-natural-desire">
        <w:r>
          <w:rPr>
            <w:color w:val="000000"/>
          </w:rPr>
          <w:t xml:space="preserve">Natural desire, possible good, and Olympiodorus</w:t>
        </w:r>
      </w:hyperlink>
      <w:r>
        <w:rPr>
          <w:b w:val="0"/>
          <w:i w:val="0"/>
        </w:rPr>
        <w:t xml:space="preserve">; </w:t>
      </w:r>
      <w:hyperlink w:anchor="viii-divine-enlargement">
        <w:r>
          <w:rPr>
            <w:color w:val="000000"/>
          </w:rPr>
          <w:t xml:space="preserve">Insatiable desire and divine enlargement</w:t>
        </w:r>
      </w:hyperlink>
      <w:r>
        <w:rPr>
          <w:b w:val="0"/>
          <w:i w:val="0"/>
        </w:rPr>
        <w:t>.</w:t>
      </w:r>
    </w:p>
    <w:p>
      <w:pPr>
        <w:widowControl/>
      </w:pPr>
      <w:r>
        <w:rPr>
          <w:b/>
          <w:i w:val="0"/>
        </w:rPr>
        <w:t>Art and craftsmanship.</w:t>
      </w:r>
      <w:r>
        <w:rPr>
          <w:b w:val="0"/>
          <w:i w:val="0"/>
        </w:rPr>
        <w:t xml:space="preserve"> </w:t>
      </w:r>
      <w:hyperlink w:anchor="art-and-elemental-transformation">
        <w:r>
          <w:rPr>
            <w:color w:val="000000"/>
          </w:rPr>
          <w:t xml:space="preserve">Art and elemental transformation</w:t>
        </w:r>
      </w:hyperlink>
      <w:r>
        <w:rPr>
          <w:b w:val="0"/>
          <w:i w:val="0"/>
        </w:rPr>
        <w:t xml:space="preserve">; </w:t>
      </w:r>
      <w:hyperlink w:anchor="ariston-sculptor-and-painter">
        <w:r>
          <w:rPr>
            <w:color w:val="000000"/>
          </w:rPr>
          <w:t xml:space="preserve">Ariston, sculptor and painter</w:t>
        </w:r>
      </w:hyperlink>
      <w:r>
        <w:rPr>
          <w:b w:val="0"/>
          <w:i w:val="0"/>
        </w:rPr>
        <w:t xml:space="preserve">; </w:t>
      </w:r>
      <w:hyperlink w:anchor="vii-soul-body-craftsman">
        <w:r>
          <w:rPr>
            <w:color w:val="000000"/>
          </w:rPr>
          <w:t xml:space="preserve">Soul as the body’s craftsman</w:t>
        </w:r>
      </w:hyperlink>
      <w:r>
        <w:rPr>
          <w:b w:val="0"/>
          <w:i w:val="0"/>
        </w:rPr>
        <w:t>.</w:t>
      </w:r>
    </w:p>
    <w:p>
      <w:pPr>
        <w:widowControl/>
      </w:pPr>
      <w:r>
        <w:rPr>
          <w:b/>
          <w:i w:val="0"/>
        </w:rPr>
        <w:t>Attention.</w:t>
      </w:r>
      <w:r>
        <w:rPr>
          <w:b w:val="0"/>
          <w:i w:val="0"/>
        </w:rPr>
        <w:t xml:space="preserve"> </w:t>
      </w:r>
      <w:hyperlink w:anchor="vii-sensation-attention">
        <w:r>
          <w:rPr>
            <w:color w:val="000000"/>
          </w:rPr>
          <w:t xml:space="preserve">Sensation as attentive activity</w:t>
        </w:r>
      </w:hyperlink>
      <w:r>
        <w:rPr>
          <w:b w:val="0"/>
          <w:i w:val="0"/>
        </w:rPr>
        <w:t>.</w:t>
      </w:r>
    </w:p>
    <w:p>
      <w:pPr>
        <w:widowControl/>
      </w:pPr>
      <w:r>
        <w:rPr>
          <w:b/>
          <w:i w:val="0"/>
        </w:rPr>
        <w:t>Augustine and rational identity.</w:t>
      </w:r>
      <w:r>
        <w:rPr>
          <w:b w:val="0"/>
          <w:i w:val="0"/>
        </w:rPr>
        <w:t xml:space="preserve"> </w:t>
      </w:r>
      <w:hyperlink w:anchor="generation-corruption-and-annihilation">
        <w:r>
          <w:rPr>
            <w:color w:val="000000"/>
          </w:rPr>
          <w:t xml:space="preserve">Generation, corruption and annihilation</w:t>
        </w:r>
      </w:hyperlink>
      <w:r>
        <w:rPr>
          <w:b w:val="0"/>
          <w:i w:val="0"/>
        </w:rPr>
        <w:t xml:space="preserve">; </w:t>
      </w:r>
      <w:hyperlink w:anchor="conversion-desire-and-compulsion">
        <w:r>
          <w:rPr>
            <w:color w:val="000000"/>
          </w:rPr>
          <w:t xml:space="preserve">Conversion, desire and compulsion</w:t>
        </w:r>
      </w:hyperlink>
      <w:r>
        <w:rPr>
          <w:b w:val="0"/>
          <w:i w:val="0"/>
        </w:rPr>
        <w:t xml:space="preserve">; </w:t>
      </w:r>
      <w:hyperlink w:anchor="sleep-and-dreams">
        <w:r>
          <w:rPr>
            <w:color w:val="000000"/>
          </w:rPr>
          <w:t xml:space="preserve">Sleep and dreams</w:t>
        </w:r>
      </w:hyperlink>
      <w:r>
        <w:rPr>
          <w:b w:val="0"/>
          <w:i w:val="0"/>
        </w:rPr>
        <w:t>.</w:t>
      </w:r>
    </w:p>
    <w:p>
      <w:pPr>
        <w:widowControl/>
      </w:pPr>
      <w:r>
        <w:rPr>
          <w:b/>
          <w:i w:val="0"/>
        </w:rPr>
        <w:t>Avicenna and self-awareness.</w:t>
      </w:r>
      <w:r>
        <w:rPr>
          <w:b w:val="0"/>
          <w:i w:val="0"/>
        </w:rPr>
        <w:t xml:space="preserve"> </w:t>
      </w:r>
      <w:hyperlink w:anchor="avicenna-imagined-adult">
        <w:r>
          <w:rPr>
            <w:color w:val="000000"/>
          </w:rPr>
          <w:t xml:space="preserve">Avicenna’s imagined adult</w:t>
        </w:r>
      </w:hyperlink>
      <w:r>
        <w:rPr>
          <w:b w:val="0"/>
          <w:i w:val="0"/>
        </w:rPr>
        <w:t>.</w:t>
      </w:r>
    </w:p>
    <w:p>
      <w:pPr>
        <w:widowControl/>
      </w:pPr>
      <w:r>
        <w:rPr>
          <w:b/>
          <w:i w:val="0"/>
        </w:rPr>
        <w:t>Being.</w:t>
      </w:r>
      <w:r>
        <w:rPr>
          <w:b w:val="0"/>
          <w:i w:val="0"/>
        </w:rPr>
        <w:t xml:space="preserve"> </w:t>
      </w:r>
      <w:hyperlink w:anchor="essence-and-being">
        <w:r>
          <w:rPr>
            <w:color w:val="000000"/>
          </w:rPr>
          <w:t xml:space="preserve">Essence and being</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Being through oneself.</w:t>
      </w:r>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Bodily spirit.</w:t>
      </w:r>
      <w:r>
        <w:rPr>
          <w:b w:val="0"/>
          <w:i w:val="0"/>
        </w:rPr>
        <w:t xml:space="preserve"> </w:t>
      </w:r>
      <w:hyperlink w:anchor="vii-bodily-spirit">
        <w:r>
          <w:rPr>
            <w:color w:val="000000"/>
          </w:rPr>
          <w:t xml:space="preserve">Bodily spirit and mediation</w:t>
        </w:r>
      </w:hyperlink>
      <w:r>
        <w:rPr>
          <w:b w:val="0"/>
          <w:i w:val="0"/>
        </w:rPr>
        <w:t xml:space="preserve">; </w:t>
      </w:r>
      <w:hyperlink w:anchor="viii-body-instrument">
        <w:r>
          <w:rPr>
            <w:color w:val="000000"/>
          </w:rPr>
          <w:t xml:space="preserve">Body, instruments, and vital spirit</w:t>
        </w:r>
      </w:hyperlink>
      <w:r>
        <w:rPr>
          <w:b w:val="0"/>
          <w:i w:val="0"/>
        </w:rPr>
        <w:t>.</w:t>
      </w:r>
    </w:p>
    <w:p>
      <w:pPr>
        <w:widowControl/>
      </w:pPr>
      <w:r>
        <w:rPr>
          <w:b/>
          <w:i w:val="0"/>
        </w:rPr>
        <w:t>Body and magnitude.</w:t>
      </w:r>
      <w:r>
        <w:rPr>
          <w:b w:val="0"/>
          <w:i w:val="0"/>
        </w:rPr>
        <w:t xml:space="preserve"> </w:t>
      </w:r>
      <w:hyperlink w:anchor="indivisibility-and-contact">
        <w:r>
          <w:rPr>
            <w:color w:val="000000"/>
          </w:rPr>
          <w:t xml:space="preserve">Indivisibility and contact</w:t>
        </w:r>
      </w:hyperlink>
      <w:r>
        <w:rPr>
          <w:b w:val="0"/>
          <w:i w:val="0"/>
        </w:rPr>
        <w:t xml:space="preserve">; </w:t>
      </w:r>
      <w:hyperlink w:anchor="number-and-spiritual-amplitude">
        <w:r>
          <w:rPr>
            <w:color w:val="000000"/>
          </w:rPr>
          <w:t xml:space="preserve">Number and spiritual amplitude</w:t>
        </w:r>
      </w:hyperlink>
      <w:r>
        <w:rPr>
          <w:b w:val="0"/>
          <w:i w:val="0"/>
        </w:rPr>
        <w:t>.</w:t>
      </w:r>
    </w:p>
    <w:p>
      <w:pPr>
        <w:widowControl/>
      </w:pPr>
      <w:r>
        <w:rPr>
          <w:b/>
          <w:i w:val="0"/>
        </w:rPr>
        <w:t>Cause.</w:t>
      </w:r>
      <w:r>
        <w:rPr>
          <w:b w:val="0"/>
          <w:i w:val="0"/>
        </w:rPr>
        <w:t xml:space="preserve"> </w:t>
      </w: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w:t>
      </w:r>
    </w:p>
    <w:p>
      <w:pPr>
        <w:widowControl/>
      </w:pPr>
      <w:r>
        <w:rPr>
          <w:b/>
          <w:i w:val="0"/>
        </w:rPr>
        <w:t>Cave.</w:t>
      </w:r>
      <w:r>
        <w:rPr>
          <w:b w:val="0"/>
          <w:i w:val="0"/>
        </w:rPr>
        <w:t xml:space="preserve"> </w:t>
      </w:r>
      <w:hyperlink w:anchor="plato-cave-and-gradual-education">
        <w:r>
          <w:rPr>
            <w:color w:val="000000"/>
          </w:rPr>
          <w:t xml:space="preserve">Plato’s cave and gradual education</w:t>
        </w:r>
      </w:hyperlink>
      <w:r>
        <w:rPr>
          <w:b w:val="0"/>
          <w:i w:val="0"/>
        </w:rPr>
        <w:t>.</w:t>
      </w:r>
    </w:p>
    <w:p>
      <w:pPr>
        <w:widowControl/>
      </w:pPr>
      <w:r>
        <w:rPr>
          <w:b/>
          <w:i w:val="0"/>
        </w:rPr>
        <w:t>Choice and compulsion.</w:t>
      </w:r>
      <w:r>
        <w:rPr>
          <w:b w:val="0"/>
          <w:i w:val="0"/>
        </w:rPr>
        <w:t xml:space="preserve"> </w:t>
      </w:r>
      <w:hyperlink w:anchor="conversion-desire-and-compulsion">
        <w:r>
          <w:rPr>
            <w:color w:val="000000"/>
          </w:rPr>
          <w:t xml:space="preserve">Conversion, desire and compulsion</w:t>
        </w:r>
      </w:hyperlink>
      <w:r>
        <w:rPr>
          <w:b w:val="0"/>
          <w:i w:val="0"/>
        </w:rPr>
        <w:t>.</w:t>
      </w:r>
    </w:p>
    <w:p>
      <w:pPr>
        <w:widowControl/>
      </w:pPr>
      <w:r>
        <w:rPr>
          <w:b/>
          <w:i w:val="0"/>
        </w:rPr>
        <w:t>Circular motion.</w:t>
      </w:r>
      <w:r>
        <w:rPr>
          <w:b w:val="0"/>
          <w:i w:val="0"/>
        </w:rPr>
        <w:t xml:space="preserve"> </w:t>
      </w:r>
      <w:hyperlink w:anchor="circularity-and-spiritual-spheres">
        <w:r>
          <w:rPr>
            <w:color w:val="000000"/>
          </w:rPr>
          <w:t xml:space="preserve">Circularity and spiritual spheres</w:t>
        </w:r>
      </w:hyperlink>
      <w:r>
        <w:rPr>
          <w:b w:val="0"/>
          <w:i w:val="0"/>
        </w:rPr>
        <w:t xml:space="preserve">; </w:t>
      </w:r>
      <w:hyperlink w:anchor="exemplars-of-bodily-motion-in-soul">
        <w:r>
          <w:rPr>
            <w:color w:val="000000"/>
          </w:rPr>
          <w:t xml:space="preserve">Exemplars of bodily motion in soul</w:t>
        </w:r>
      </w:hyperlink>
      <w:r>
        <w:rPr>
          <w:b w:val="0"/>
          <w:i w:val="0"/>
        </w:rPr>
        <w:t>.</w:t>
      </w:r>
    </w:p>
    <w:p>
      <w:pPr>
        <w:widowControl/>
      </w:pPr>
      <w:r>
        <w:rPr>
          <w:b/>
          <w:i w:val="0"/>
        </w:rPr>
        <w:t>Clock.</w:t>
      </w:r>
      <w:r>
        <w:rPr>
          <w:b w:val="0"/>
          <w:i w:val="0"/>
        </w:rPr>
        <w:t xml:space="preserve"> </w:t>
      </w:r>
      <w:hyperlink w:anchor="rennet-magnet-and-clock">
        <w:r>
          <w:rPr>
            <w:color w:val="000000"/>
          </w:rPr>
          <w:t xml:space="preserve">Rennet, magnet and clock</w:t>
        </w:r>
      </w:hyperlink>
      <w:r>
        <w:rPr>
          <w:b w:val="0"/>
          <w:i w:val="0"/>
        </w:rPr>
        <w:t>.</w:t>
      </w:r>
    </w:p>
    <w:p>
      <w:pPr>
        <w:widowControl/>
      </w:pPr>
      <w:r>
        <w:rPr>
          <w:b/>
          <w:i w:val="0"/>
        </w:rPr>
        <w:t>Common sense.</w:t>
      </w:r>
      <w:r>
        <w:rPr>
          <w:b w:val="0"/>
          <w:i w:val="0"/>
        </w:rPr>
        <w:t xml:space="preserve"> </w:t>
      </w:r>
      <w:hyperlink w:anchor="vii-common-sense-comparison">
        <w:r>
          <w:rPr>
            <w:color w:val="000000"/>
          </w:rPr>
          <w:t xml:space="preserve">Comparison and common sense</w:t>
        </w:r>
      </w:hyperlink>
      <w:r>
        <w:rPr>
          <w:b w:val="0"/>
          <w:i w:val="0"/>
        </w:rPr>
        <w:t>.</w:t>
      </w:r>
    </w:p>
    <w:p>
      <w:pPr>
        <w:widowControl/>
      </w:pPr>
      <w:r>
        <w:rPr>
          <w:b/>
          <w:i w:val="0"/>
        </w:rPr>
        <w:t>Composition.</w:t>
      </w:r>
      <w:r>
        <w:rPr>
          <w:b w:val="0"/>
          <w:i w:val="0"/>
        </w:rPr>
        <w:t xml:space="preserve"> </w:t>
      </w:r>
      <w:hyperlink w:anchor="vii-composition-unity">
        <w:r>
          <w:rPr>
            <w:color w:val="000000"/>
          </w:rPr>
          <w:t xml:space="preserve">Composition and inward unity</w:t>
        </w:r>
      </w:hyperlink>
      <w:r>
        <w:rPr>
          <w:b w:val="0"/>
          <w:i w:val="0"/>
        </w:rPr>
        <w:t xml:space="preserve">; </w:t>
      </w:r>
      <w:hyperlink w:anchor="viii-definition-parts">
        <w:r>
          <w:rPr>
            <w:color w:val="000000"/>
          </w:rPr>
          <w:t xml:space="preserve">Definition, genus, difference, and mindless parts</w:t>
        </w:r>
      </w:hyperlink>
      <w:r>
        <w:rPr>
          <w:b w:val="0"/>
          <w:i w:val="0"/>
        </w:rPr>
        <w:t>.</w:t>
      </w:r>
    </w:p>
    <w:p>
      <w:pPr>
        <w:widowControl/>
      </w:pPr>
      <w:r>
        <w:rPr>
          <w:b/>
          <w:i w:val="0"/>
        </w:rPr>
        <w:t>Concord and discord.</w:t>
      </w:r>
      <w:r>
        <w:rPr>
          <w:b w:val="0"/>
          <w:i w:val="0"/>
        </w:rPr>
        <w:t xml:space="preserve"> </w:t>
      </w:r>
      <w:hyperlink w:anchor="vii-vital-harmony">
        <w:r>
          <w:rPr>
            <w:color w:val="000000"/>
          </w:rPr>
          <w:t xml:space="preserve">Vital harmony and its producer</w:t>
        </w:r>
      </w:hyperlink>
      <w:r>
        <w:rPr>
          <w:b w:val="0"/>
          <w:i w:val="0"/>
        </w:rPr>
        <w:t xml:space="preserve">; </w:t>
      </w:r>
      <w:hyperlink w:anchor="vii-discord-soul">
        <w:r>
          <w:rPr>
            <w:color w:val="000000"/>
          </w:rPr>
          <w:t xml:space="preserve">Discord and the soul’s persistence</w:t>
        </w:r>
      </w:hyperlink>
      <w:r>
        <w:rPr>
          <w:b w:val="0"/>
          <w:i w:val="0"/>
        </w:rPr>
        <w:t>.</w:t>
      </w:r>
    </w:p>
    <w:p>
      <w:pPr>
        <w:widowControl/>
      </w:pPr>
      <w:r>
        <w:rPr>
          <w:b/>
          <w:i w:val="0"/>
        </w:rPr>
        <w:t>Conditions and necessities.</w:t>
      </w:r>
      <w:r>
        <w:rPr>
          <w:b w:val="0"/>
          <w:i w:val="0"/>
        </w:rPr>
        <w:t xml:space="preserve"> </w:t>
      </w:r>
      <w:hyperlink w:anchor="conditions-and-the-fashioners-law">
        <w:r>
          <w:rPr>
            <w:color w:val="000000"/>
          </w:rPr>
          <w:t xml:space="preserve">Conditions and the fashioner’s law</w:t>
        </w:r>
      </w:hyperlink>
      <w:r>
        <w:rPr>
          <w:b w:val="0"/>
          <w:i w:val="0"/>
        </w:rPr>
        <w:t xml:space="preserve">; </w:t>
      </w:r>
      <w:hyperlink w:anchor="necessary-predication-and-the-fire-objection">
        <w:r>
          <w:rPr>
            <w:color w:val="000000"/>
          </w:rPr>
          <w:t xml:space="preserve">Necessary predication and the fire objection</w:t>
        </w:r>
      </w:hyperlink>
      <w:r>
        <w:rPr>
          <w:b w:val="0"/>
          <w:i w:val="0"/>
        </w:rPr>
        <w:t>.</w:t>
      </w:r>
    </w:p>
    <w:p>
      <w:pPr>
        <w:widowControl/>
      </w:pPr>
      <w:r>
        <w:rPr>
          <w:b/>
          <w:i w:val="0"/>
        </w:rPr>
        <w:t>Conjecture and intentions.</w:t>
      </w:r>
      <w:r>
        <w:rPr>
          <w:b w:val="0"/>
          <w:i w:val="0"/>
        </w:rPr>
        <w:t xml:space="preserve"> </w:t>
      </w:r>
      <w:hyperlink w:anchor="viii-images-intentions">
        <w:r>
          <w:rPr>
            <w:color w:val="000000"/>
          </w:rPr>
          <w:t xml:space="preserve">Images, intentions, and conjecturing substance</w:t>
        </w:r>
      </w:hyperlink>
      <w:r>
        <w:rPr>
          <w:b w:val="0"/>
          <w:i w:val="0"/>
        </w:rPr>
        <w:t>.</w:t>
      </w:r>
    </w:p>
    <w:p>
      <w:pPr>
        <w:widowControl/>
      </w:pPr>
      <w:r>
        <w:rPr>
          <w:b/>
          <w:i w:val="0"/>
        </w:rPr>
        <w:t>Corruption and death.</w:t>
      </w:r>
      <w:r>
        <w:rPr>
          <w:b w:val="0"/>
          <w:i w:val="0"/>
        </w:rPr>
        <w:t xml:space="preserve"> </w:t>
      </w:r>
      <w:hyperlink w:anchor="contraries-death-and-imperishability">
        <w:r>
          <w:rPr>
            <w:color w:val="000000"/>
          </w:rPr>
          <w:t xml:space="preserve">Contraries, death and imperishability</w:t>
        </w:r>
      </w:hyperlink>
      <w:r>
        <w:rPr>
          <w:b w:val="0"/>
          <w:i w:val="0"/>
        </w:rPr>
        <w:t xml:space="preserve">; </w:t>
      </w:r>
      <w:hyperlink w:anchor="generation-corruption-and-annihilation">
        <w:r>
          <w:rPr>
            <w:color w:val="000000"/>
          </w:rPr>
          <w:t xml:space="preserve">Generation, corruption and annihilation</w:t>
        </w:r>
      </w:hyperlink>
      <w:r>
        <w:rPr>
          <w:b w:val="0"/>
          <w:i w:val="0"/>
        </w:rPr>
        <w:t>.</w:t>
      </w:r>
    </w:p>
    <w:p>
      <w:pPr>
        <w:widowControl/>
      </w:pPr>
      <w:r>
        <w:rPr>
          <w:b/>
          <w:i w:val="0"/>
        </w:rPr>
        <w:t>Creation from nothing.</w:t>
      </w:r>
      <w:r>
        <w:rPr>
          <w:b w:val="0"/>
          <w:i w:val="0"/>
        </w:rPr>
        <w:t xml:space="preserve"> </w:t>
      </w:r>
      <w:hyperlink w:anchor="creation-and-generation">
        <w:r>
          <w:rPr>
            <w:color w:val="000000"/>
          </w:rPr>
          <w:t xml:space="preserve">Creation and generation</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Definition.</w:t>
      </w:r>
      <w:r>
        <w:rPr>
          <w:b w:val="0"/>
          <w:i w:val="0"/>
        </w:rPr>
        <w:t xml:space="preserve"> </w:t>
      </w:r>
      <w:hyperlink w:anchor="comets-and-defining-accounts">
        <w:r>
          <w:rPr>
            <w:color w:val="000000"/>
          </w:rPr>
          <w:t xml:space="preserve">Comets and defining accounts</w:t>
        </w:r>
      </w:hyperlink>
      <w:r>
        <w:rPr>
          <w:b w:val="0"/>
          <w:i w:val="0"/>
        </w:rPr>
        <w:t xml:space="preserve">; </w:t>
      </w:r>
      <w:hyperlink w:anchor="viii-definition-parts">
        <w:r>
          <w:rPr>
            <w:color w:val="000000"/>
          </w:rPr>
          <w:t xml:space="preserve">Definition, genus, difference, and mindless parts</w:t>
        </w:r>
      </w:hyperlink>
      <w:r>
        <w:rPr>
          <w:b w:val="0"/>
          <w:i w:val="0"/>
        </w:rPr>
        <w:t>.</w:t>
      </w:r>
    </w:p>
    <w:p>
      <w:pPr>
        <w:widowControl/>
      </w:pPr>
      <w:r>
        <w:rPr>
          <w:b/>
          <w:i w:val="0"/>
        </w:rPr>
        <w:t>Dependence.</w:t>
      </w:r>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relation-and-continuing-dependence">
        <w:r>
          <w:rPr>
            <w:color w:val="000000"/>
          </w:rPr>
          <w:t xml:space="preserve">Relation and continuing dependence</w:t>
        </w:r>
      </w:hyperlink>
      <w:r>
        <w:rPr>
          <w:b w:val="0"/>
          <w:i w:val="0"/>
        </w:rPr>
        <w:t>.</w:t>
      </w:r>
    </w:p>
    <w:p>
      <w:pPr>
        <w:widowControl/>
      </w:pPr>
      <w:r>
        <w:rPr>
          <w:b/>
          <w:i w:val="0"/>
        </w:rPr>
        <w:t>Descent and transmigration.</w:t>
      </w:r>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images-migration-and-perfect-agent">
        <w:r>
          <w:rPr>
            <w:color w:val="000000"/>
          </w:rPr>
          <w:t xml:space="preserve">Images, migration and the perfect agent</w:t>
        </w:r>
      </w:hyperlink>
      <w:r>
        <w:rPr>
          <w:b w:val="0"/>
          <w:i w:val="0"/>
        </w:rPr>
        <w:t>.</w:t>
      </w:r>
    </w:p>
    <w:p>
      <w:pPr>
        <w:widowControl/>
      </w:pPr>
      <w:r>
        <w:rPr>
          <w:b/>
          <w:i w:val="0"/>
        </w:rPr>
        <w:t>Difference and genus.</w:t>
      </w:r>
      <w:r>
        <w:rPr>
          <w:b w:val="0"/>
          <w:i w:val="0"/>
        </w:rPr>
        <w:t xml:space="preserve"> </w:t>
      </w:r>
      <w:hyperlink w:anchor="viii-definition-parts">
        <w:r>
          <w:rPr>
            <w:color w:val="000000"/>
          </w:rPr>
          <w:t xml:space="preserve">Definition, genus, difference, and mindless parts</w:t>
        </w:r>
      </w:hyperlink>
      <w:r>
        <w:rPr>
          <w:b w:val="0"/>
          <w:i w:val="0"/>
        </w:rPr>
        <w:t>.</w:t>
      </w:r>
    </w:p>
    <w:p>
      <w:pPr>
        <w:widowControl/>
      </w:pPr>
      <w:r>
        <w:rPr>
          <w:b/>
          <w:i w:val="0"/>
        </w:rPr>
        <w:t>Digestion and growth.</w:t>
      </w:r>
      <w:r>
        <w:rPr>
          <w:b w:val="0"/>
          <w:i w:val="0"/>
        </w:rPr>
        <w:t xml:space="preserve"> </w:t>
      </w:r>
      <w:hyperlink w:anchor="nourishment-and-life-giving-form">
        <w:r>
          <w:rPr>
            <w:color w:val="000000"/>
          </w:rPr>
          <w:t xml:space="preserve">Nourishment and the life-giving form</w:t>
        </w:r>
      </w:hyperlink>
      <w:r>
        <w:rPr>
          <w:b w:val="0"/>
          <w:i w:val="0"/>
        </w:rPr>
        <w:t xml:space="preserve">; </w:t>
      </w:r>
      <w:hyperlink w:anchor="vii-nutrition-principal-agent">
        <w:r>
          <w:rPr>
            <w:color w:val="000000"/>
          </w:rPr>
          <w:t xml:space="preserve">Nutrition, growth and the principal agent</w:t>
        </w:r>
      </w:hyperlink>
      <w:r>
        <w:rPr>
          <w:b w:val="0"/>
          <w:i w:val="0"/>
        </w:rPr>
        <w:t>.</w:t>
      </w:r>
    </w:p>
    <w:p>
      <w:pPr>
        <w:widowControl/>
      </w:pPr>
      <w:r>
        <w:rPr>
          <w:b/>
          <w:i w:val="0"/>
        </w:rPr>
        <w:t>Divisibility.</w:t>
      </w:r>
      <w:r>
        <w:rPr>
          <w:b w:val="0"/>
          <w:i w:val="0"/>
        </w:rPr>
        <w:t xml:space="preserve"> </w:t>
      </w:r>
      <w:hyperlink w:anchor="indivisibility-and-contact">
        <w:r>
          <w:rPr>
            <w:color w:val="000000"/>
          </w:rPr>
          <w:t xml:space="preserve">Indivisibility and contact</w:t>
        </w:r>
      </w:hyperlink>
      <w:r>
        <w:rPr>
          <w:b w:val="0"/>
          <w:i w:val="0"/>
        </w:rPr>
        <w:t xml:space="preserve">; </w:t>
      </w:r>
      <w:hyperlink w:anchor="viii-definition-parts">
        <w:r>
          <w:rPr>
            <w:color w:val="000000"/>
          </w:rPr>
          <w:t xml:space="preserve">Definition, genus, difference, and mindless parts</w:t>
        </w:r>
      </w:hyperlink>
      <w:r>
        <w:rPr>
          <w:b w:val="0"/>
          <w:i w:val="0"/>
        </w:rPr>
        <w:t>.</w:t>
      </w:r>
    </w:p>
    <w:p>
      <w:pPr>
        <w:widowControl/>
      </w:pPr>
      <w:r>
        <w:rPr>
          <w:b/>
          <w:i w:val="0"/>
        </w:rPr>
        <w:t>Dreams.</w:t>
      </w:r>
      <w:r>
        <w:rPr>
          <w:b w:val="0"/>
          <w:i w:val="0"/>
        </w:rPr>
        <w:t xml:space="preserve"> </w:t>
      </w:r>
      <w:hyperlink w:anchor="sleep-and-dreams">
        <w:r>
          <w:rPr>
            <w:color w:val="000000"/>
          </w:rPr>
          <w:t xml:space="preserve">Sleep and dreams</w:t>
        </w:r>
      </w:hyperlink>
      <w:r>
        <w:rPr>
          <w:b w:val="0"/>
          <w:i w:val="0"/>
        </w:rPr>
        <w:t>.</w:t>
      </w:r>
    </w:p>
    <w:p>
      <w:pPr>
        <w:widowControl/>
      </w:pPr>
      <w:r>
        <w:rPr>
          <w:b/>
          <w:i w:val="0"/>
        </w:rPr>
        <w:t>Efficient cause.</w:t>
      </w:r>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viii-self-cause">
        <w:r>
          <w:rPr>
            <w:color w:val="000000"/>
          </w:rPr>
          <w:t xml:space="preserve">Self-causation: formal cause and efficient cause</w:t>
        </w:r>
      </w:hyperlink>
      <w:r>
        <w:rPr>
          <w:b w:val="0"/>
          <w:i w:val="0"/>
        </w:rPr>
        <w:t>.</w:t>
      </w:r>
    </w:p>
    <w:p>
      <w:pPr>
        <w:widowControl/>
      </w:pPr>
      <w:r>
        <w:rPr>
          <w:b/>
          <w:i w:val="0"/>
        </w:rPr>
        <w:t>Emanation and overflow.</w:t>
      </w:r>
      <w:r>
        <w:rPr>
          <w:b w:val="0"/>
          <w:i w:val="0"/>
        </w:rPr>
        <w:t xml:space="preserve"> </w:t>
      </w:r>
      <w:hyperlink w:anchor="fountains-drawing-and-infusion">
        <w:r>
          <w:rPr>
            <w:color w:val="000000"/>
          </w:rPr>
          <w:t xml:space="preserve">Fountains, drawing and infusion</w:t>
        </w:r>
      </w:hyperlink>
      <w:r>
        <w:rPr>
          <w:b w:val="0"/>
          <w:i w:val="0"/>
        </w:rPr>
        <w:t xml:space="preserve">; </w:t>
      </w:r>
      <w:hyperlink w:anchor="relation-and-continuing-dependence">
        <w:r>
          <w:rPr>
            <w:color w:val="000000"/>
          </w:rPr>
          <w:t xml:space="preserve">Relation and continuing dependence</w:t>
        </w:r>
      </w:hyperlink>
      <w:r>
        <w:rPr>
          <w:b w:val="0"/>
          <w:i w:val="0"/>
        </w:rPr>
        <w:t>.</w:t>
      </w:r>
    </w:p>
    <w:p>
      <w:pPr>
        <w:widowControl/>
      </w:pPr>
      <w:r>
        <w:rPr>
          <w:b/>
          <w:i w:val="0"/>
        </w:rPr>
        <w:t>Essence and existence.</w:t>
      </w:r>
      <w:r>
        <w:rPr>
          <w:b w:val="0"/>
          <w:i w:val="0"/>
        </w:rPr>
        <w:t xml:space="preserve"> </w:t>
      </w:r>
      <w:hyperlink w:anchor="essence-and-being">
        <w:r>
          <w:rPr>
            <w:color w:val="000000"/>
          </w:rPr>
          <w:t xml:space="preserve">Essence and being</w:t>
        </w:r>
      </w:hyperlink>
      <w:r>
        <w:rPr>
          <w:b w:val="0"/>
          <w:i w:val="0"/>
        </w:rPr>
        <w:t xml:space="preserve">; </w:t>
      </w:r>
      <w:hyperlink w:anchor="creature-power-and-operation">
        <w:r>
          <w:rPr>
            <w:color w:val="000000"/>
          </w:rPr>
          <w:t xml:space="preserve">Creature, power and operation</w:t>
        </w:r>
      </w:hyperlink>
      <w:r>
        <w:rPr>
          <w:b w:val="0"/>
          <w:i w:val="0"/>
        </w:rPr>
        <w:t>.</w:t>
      </w:r>
    </w:p>
    <w:p>
      <w:pPr>
        <w:widowControl/>
      </w:pPr>
      <w:r>
        <w:rPr>
          <w:b/>
          <w:i w:val="0"/>
        </w:rPr>
        <w:t>Evil and privation.</w:t>
      </w:r>
      <w:r>
        <w:rPr>
          <w:b w:val="0"/>
          <w:i w:val="0"/>
        </w:rPr>
        <w:t xml:space="preserve"> </w:t>
      </w:r>
      <w:hyperlink w:anchor="viii-contraries-evil">
        <w:r>
          <w:rPr>
            <w:color w:val="000000"/>
          </w:rPr>
          <w:t xml:space="preserve">Contraries, privations, and knowledge of evil</w:t>
        </w:r>
      </w:hyperlink>
      <w:r>
        <w:rPr>
          <w:b w:val="0"/>
          <w:i w:val="0"/>
        </w:rPr>
        <w:t>.</w:t>
      </w:r>
    </w:p>
    <w:p>
      <w:pPr>
        <w:widowControl/>
      </w:pPr>
      <w:r>
        <w:rPr>
          <w:b/>
          <w:i w:val="0"/>
        </w:rPr>
        <w:t>Exemplar and Idea.</w:t>
      </w:r>
      <w:r>
        <w:rPr>
          <w:b w:val="0"/>
          <w:i w:val="0"/>
        </w:rPr>
        <w:t xml:space="preserve"> </w:t>
      </w:r>
      <w:hyperlink w:anchor="participation-common-and-proper">
        <w:r>
          <w:rPr>
            <w:color w:val="000000"/>
          </w:rPr>
          <w:t xml:space="preserve">Participation, common and proper</w:t>
        </w:r>
      </w:hyperlink>
      <w:r>
        <w:rPr>
          <w:b w:val="0"/>
          <w:i w:val="0"/>
        </w:rPr>
        <w:t xml:space="preserve">; </w:t>
      </w:r>
      <w:hyperlink w:anchor="viii-universal-idea">
        <w:r>
          <w:rPr>
            <w:color w:val="000000"/>
          </w:rPr>
          <w:t xml:space="preserve">Common nature, participation, and the divine Idea</w:t>
        </w:r>
      </w:hyperlink>
      <w:r>
        <w:rPr>
          <w:b w:val="0"/>
          <w:i w:val="0"/>
        </w:rPr>
        <w:t>.</w:t>
      </w:r>
    </w:p>
    <w:p>
      <w:pPr>
        <w:widowControl/>
      </w:pPr>
      <w:r>
        <w:rPr>
          <w:b/>
          <w:i w:val="0"/>
        </w:rPr>
        <w:t>Final cause.</w:t>
      </w:r>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First Cause.</w:t>
      </w:r>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First principle.</w:t>
      </w:r>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Fish eggs.</w:t>
      </w:r>
      <w:r>
        <w:rPr>
          <w:b w:val="0"/>
          <w:i w:val="0"/>
        </w:rPr>
        <w:t xml:space="preserve"> </w:t>
      </w:r>
      <w:hyperlink w:anchor="seminal-power-fish-eggs-and-tree">
        <w:r>
          <w:rPr>
            <w:color w:val="000000"/>
          </w:rPr>
          <w:t xml:space="preserve">Seminal power, fish eggs and the tree</w:t>
        </w:r>
      </w:hyperlink>
      <w:r>
        <w:rPr>
          <w:b w:val="0"/>
          <w:i w:val="0"/>
        </w:rPr>
        <w:t>.</w:t>
      </w:r>
    </w:p>
    <w:p>
      <w:pPr>
        <w:widowControl/>
      </w:pPr>
      <w:r>
        <w:rPr>
          <w:b/>
          <w:i w:val="0"/>
        </w:rPr>
        <w:t>Form.</w:t>
      </w:r>
      <w:r>
        <w:rPr>
          <w:b w:val="0"/>
          <w:i w:val="0"/>
        </w:rPr>
        <w:t xml:space="preserve"> </w:t>
      </w:r>
      <w:hyperlink w:anchor="form-and-formal-being">
        <w:r>
          <w:rPr>
            <w:color w:val="000000"/>
          </w:rPr>
          <w:t xml:space="preserve">Form and formal being</w:t>
        </w:r>
      </w:hyperlink>
      <w:r>
        <w:rPr>
          <w:b w:val="0"/>
          <w:i w:val="0"/>
        </w:rPr>
        <w:t xml:space="preserve">; </w:t>
      </w:r>
      <w:hyperlink w:anchor="substantial-form-and-receiving-subject">
        <w:r>
          <w:rPr>
            <w:color w:val="000000"/>
          </w:rPr>
          <w:t xml:space="preserve">Substantial form and the receiving subject</w:t>
        </w:r>
      </w:hyperlink>
      <w:r>
        <w:rPr>
          <w:b w:val="0"/>
          <w:i w:val="0"/>
        </w:rPr>
        <w:t>.</w:t>
      </w:r>
    </w:p>
    <w:p>
      <w:pPr>
        <w:widowControl/>
      </w:pPr>
      <w:r>
        <w:rPr>
          <w:b/>
          <w:i w:val="0"/>
        </w:rPr>
        <w:t>Formal cause.</w:t>
      </w:r>
      <w:r>
        <w:rPr>
          <w:b w:val="0"/>
          <w:i w:val="0"/>
        </w:rPr>
        <w:t xml:space="preserve"> </w:t>
      </w:r>
      <w:hyperlink w:anchor="form-and-formal-being">
        <w:r>
          <w:rPr>
            <w:color w:val="000000"/>
          </w:rPr>
          <w:t xml:space="preserve">Form and formal being</w:t>
        </w:r>
      </w:hyperlink>
      <w:r>
        <w:rPr>
          <w:b w:val="0"/>
          <w:i w:val="0"/>
        </w:rPr>
        <w:t xml:space="preserve">; </w:t>
      </w:r>
      <w:hyperlink w:anchor="viii-self-cause">
        <w:r>
          <w:rPr>
            <w:color w:val="000000"/>
          </w:rPr>
          <w:t xml:space="preserve">Self-causation: formal cause and efficient cause</w:t>
        </w:r>
      </w:hyperlink>
      <w:r>
        <w:rPr>
          <w:b w:val="0"/>
          <w:i w:val="0"/>
        </w:rPr>
        <w:t>.</w:t>
      </w:r>
    </w:p>
    <w:p>
      <w:pPr>
        <w:widowControl/>
      </w:pPr>
      <w:r>
        <w:rPr>
          <w:b/>
          <w:i w:val="0"/>
        </w:rPr>
        <w:t>Formal self-causation.</w:t>
      </w:r>
      <w:r>
        <w:rPr>
          <w:b w:val="0"/>
          <w:i w:val="0"/>
        </w:rPr>
        <w:t xml:space="preserve"> </w:t>
      </w:r>
      <w:hyperlink w:anchor="viii-self-cause">
        <w:r>
          <w:rPr>
            <w:color w:val="000000"/>
          </w:rPr>
          <w:t xml:space="preserve">Self-causation: formal cause and efficient cause</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Freedom from matter.</w:t>
      </w:r>
      <w:r>
        <w:rPr>
          <w:b w:val="0"/>
          <w:i w:val="0"/>
        </w:rPr>
        <w:t xml:space="preserve"> </w:t>
      </w:r>
      <w:hyperlink w:anchor="inclination-and-independence">
        <w:r>
          <w:rPr>
            <w:color w:val="000000"/>
          </w:rPr>
          <w:t xml:space="preserve">Inclination and independence</w:t>
        </w:r>
      </w:hyperlink>
      <w:r>
        <w:rPr>
          <w:b w:val="0"/>
          <w:i w:val="0"/>
        </w:rPr>
        <w:t xml:space="preserve">; </w:t>
      </w:r>
      <w:hyperlink w:anchor="vii-freedom-matter">
        <w:r>
          <w:rPr>
            <w:color w:val="000000"/>
          </w:rPr>
          <w:t xml:space="preserve">Freedom from matter and causal priority</w:t>
        </w:r>
      </w:hyperlink>
      <w:r>
        <w:rPr>
          <w:b w:val="0"/>
          <w:i w:val="0"/>
        </w:rPr>
        <w:t>.</w:t>
      </w:r>
    </w:p>
    <w:p>
      <w:pPr>
        <w:widowControl/>
      </w:pPr>
      <w:r>
        <w:rPr>
          <w:b/>
          <w:i w:val="0"/>
        </w:rPr>
        <w:t>God.</w:t>
      </w:r>
      <w:r>
        <w:rPr>
          <w:b w:val="0"/>
          <w:i w:val="0"/>
        </w:rPr>
        <w:t xml:space="preserve"> </w:t>
      </w:r>
      <w:hyperlink w:anchor="first-cause">
        <w:r>
          <w:rPr>
            <w:color w:val="000000"/>
          </w:rPr>
          <w:t xml:space="preserve">First Cause, principal causes and causal dependence</w:t>
        </w:r>
      </w:hyperlink>
      <w:r>
        <w:rPr>
          <w:b w:val="0"/>
          <w:i w:val="0"/>
        </w:rPr>
        <w:t xml:space="preserve">; </w:t>
      </w:r>
      <w:hyperlink w:anchor="viii-divine-enlargement">
        <w:r>
          <w:rPr>
            <w:color w:val="000000"/>
          </w:rPr>
          <w:t xml:space="preserve">Insatiable desire and divine enlargement</w:t>
        </w:r>
      </w:hyperlink>
      <w:r>
        <w:rPr>
          <w:b w:val="0"/>
          <w:i w:val="0"/>
        </w:rPr>
        <w:t>.</w:t>
      </w:r>
    </w:p>
    <w:p>
      <w:pPr>
        <w:widowControl/>
      </w:pPr>
      <w:r>
        <w:rPr>
          <w:b/>
          <w:i w:val="0"/>
        </w:rPr>
        <w:t>Goodness and return.</w:t>
      </w:r>
      <w:r>
        <w:rPr>
          <w:b w:val="0"/>
          <w:i w:val="0"/>
        </w:rPr>
        <w:t xml:space="preserve"> </w:t>
      </w:r>
      <w:hyperlink w:anchor="conversion-desire-and-compulsion">
        <w:r>
          <w:rPr>
            <w:color w:val="000000"/>
          </w:rPr>
          <w:t xml:space="preserve">Conversion, desire and compulsion</w:t>
        </w:r>
      </w:hyperlink>
      <w:r>
        <w:rPr>
          <w:b w:val="0"/>
          <w:i w:val="0"/>
        </w:rPr>
        <w:t xml:space="preserve">; </w:t>
      </w:r>
      <w:hyperlink w:anchor="viii-outflow-return">
        <w:r>
          <w:rPr>
            <w:color w:val="000000"/>
          </w:rPr>
          <w:t xml:space="preserve">Outward flow and rational life’s return</w:t>
        </w:r>
      </w:hyperlink>
      <w:r>
        <w:rPr>
          <w:b w:val="0"/>
          <w:i w:val="0"/>
        </w:rPr>
        <w:t>.</w:t>
      </w:r>
    </w:p>
    <w:p>
      <w:pPr>
        <w:widowControl/>
      </w:pPr>
      <w:r>
        <w:rPr>
          <w:b/>
          <w:i w:val="0"/>
        </w:rPr>
        <w:t>Habit and education.</w:t>
      </w:r>
      <w:r>
        <w:rPr>
          <w:b w:val="0"/>
          <w:i w:val="0"/>
        </w:rPr>
        <w:t xml:space="preserve"> </w:t>
      </w:r>
      <w:hyperlink w:anchor="habit-purification-and-intellectual-experiment">
        <w:r>
          <w:rPr>
            <w:color w:val="000000"/>
          </w:rPr>
          <w:t xml:space="preserve">Habit, purification and intellectual experiment</w:t>
        </w:r>
      </w:hyperlink>
      <w:r>
        <w:rPr>
          <w:b w:val="0"/>
          <w:i w:val="0"/>
        </w:rPr>
        <w:t xml:space="preserve">; </w:t>
      </w:r>
      <w:hyperlink w:anchor="viii-sudden-insight">
        <w:r>
          <w:rPr>
            <w:color w:val="000000"/>
          </w:rPr>
          <w:t xml:space="preserve">Sudden insight, habituation, and the hare</w:t>
        </w:r>
      </w:hyperlink>
      <w:r>
        <w:rPr>
          <w:b w:val="0"/>
          <w:i w:val="0"/>
        </w:rPr>
        <w:t>.</w:t>
      </w:r>
    </w:p>
    <w:p>
      <w:pPr>
        <w:widowControl/>
      </w:pPr>
      <w:r>
        <w:rPr>
          <w:b/>
          <w:i w:val="0"/>
        </w:rPr>
        <w:t>Hare.</w:t>
      </w:r>
      <w:r>
        <w:rPr>
          <w:b w:val="0"/>
          <w:i w:val="0"/>
        </w:rPr>
        <w:t xml:space="preserve"> </w:t>
      </w:r>
      <w:hyperlink w:anchor="viii-sudden-insight">
        <w:r>
          <w:rPr>
            <w:color w:val="000000"/>
          </w:rPr>
          <w:t xml:space="preserve">Sudden insight, habituation, and the hare</w:t>
        </w:r>
      </w:hyperlink>
      <w:r>
        <w:rPr>
          <w:b w:val="0"/>
          <w:i w:val="0"/>
        </w:rPr>
        <w:t>.</w:t>
      </w:r>
    </w:p>
    <w:p>
      <w:pPr>
        <w:widowControl/>
      </w:pPr>
      <w:r>
        <w:rPr>
          <w:b/>
          <w:i w:val="0"/>
        </w:rPr>
        <w:t>Harmony theory of soul.</w:t>
      </w:r>
      <w:r>
        <w:rPr>
          <w:b w:val="0"/>
          <w:i w:val="0"/>
        </w:rPr>
        <w:t xml:space="preserve"> </w:t>
      </w:r>
      <w:hyperlink w:anchor="constitution-point-and-harmony">
        <w:r>
          <w:rPr>
            <w:color w:val="000000"/>
          </w:rPr>
          <w:t xml:space="preserve">Constitution, localized point and harmony</w:t>
        </w:r>
      </w:hyperlink>
      <w:r>
        <w:rPr>
          <w:b w:val="0"/>
          <w:i w:val="0"/>
        </w:rPr>
        <w:t xml:space="preserve">; </w:t>
      </w:r>
      <w:hyperlink w:anchor="vii-harmony-strings">
        <w:r>
          <w:rPr>
            <w:color w:val="000000"/>
          </w:rPr>
          <w:t xml:space="preserve">Harmony and the strings</w:t>
        </w:r>
      </w:hyperlink>
      <w:r>
        <w:rPr>
          <w:b w:val="0"/>
          <w:i w:val="0"/>
        </w:rPr>
        <w:t xml:space="preserve">; </w:t>
      </w:r>
      <w:hyperlink w:anchor="vii-vital-harmony">
        <w:r>
          <w:rPr>
            <w:color w:val="000000"/>
          </w:rPr>
          <w:t xml:space="preserve">Vital harmony and its producer</w:t>
        </w:r>
      </w:hyperlink>
      <w:r>
        <w:rPr>
          <w:b w:val="0"/>
          <w:i w:val="0"/>
        </w:rPr>
        <w:t>.</w:t>
      </w:r>
    </w:p>
    <w:p>
      <w:pPr>
        <w:widowControl/>
      </w:pPr>
      <w:r>
        <w:rPr>
          <w:b/>
          <w:i w:val="0"/>
        </w:rPr>
        <w:t>Humours and temperament.</w:t>
      </w:r>
      <w:r>
        <w:rPr>
          <w:b w:val="0"/>
          <w:i w:val="0"/>
        </w:rPr>
        <w:t xml:space="preserve"> </w:t>
      </w:r>
      <w:hyperlink w:anchor="temperament-and-harmony">
        <w:r>
          <w:rPr>
            <w:color w:val="000000"/>
          </w:rPr>
          <w:t xml:space="preserve">Temperament and harmony</w:t>
        </w:r>
      </w:hyperlink>
      <w:r>
        <w:rPr>
          <w:b w:val="0"/>
          <w:i w:val="0"/>
        </w:rPr>
        <w:t xml:space="preserve">; </w:t>
      </w:r>
      <w:hyperlink w:anchor="vii-bodily-constitution">
        <w:r>
          <w:rPr>
            <w:color w:val="000000"/>
          </w:rPr>
          <w:t xml:space="preserve">Bodily constitution and temperament</w:t>
        </w:r>
      </w:hyperlink>
      <w:r>
        <w:rPr>
          <w:b w:val="0"/>
          <w:i w:val="0"/>
        </w:rPr>
        <w:t>.</w:t>
      </w:r>
    </w:p>
    <w:p>
      <w:pPr>
        <w:widowControl/>
      </w:pPr>
      <w:r>
        <w:rPr>
          <w:b/>
          <w:i w:val="0"/>
        </w:rPr>
        <w:t>Identity through change.</w:t>
      </w:r>
      <w:r>
        <w:rPr>
          <w:b w:val="0"/>
          <w:i w:val="0"/>
        </w:rPr>
        <w:t xml:space="preserve"> </w:t>
      </w:r>
      <w:hyperlink w:anchor="spiritual-matter-and-identity">
        <w:r>
          <w:rPr>
            <w:color w:val="000000"/>
          </w:rPr>
          <w:t xml:space="preserve">Spiritual matter and identity</w:t>
        </w:r>
      </w:hyperlink>
      <w:r>
        <w:rPr>
          <w:b w:val="0"/>
          <w:i w:val="0"/>
        </w:rPr>
        <w:t xml:space="preserve">; </w:t>
      </w:r>
      <w:hyperlink w:anchor="persistence-memory-and-recognition">
        <w:r>
          <w:rPr>
            <w:color w:val="000000"/>
          </w:rPr>
          <w:t xml:space="preserve">Persistence, memory and recognition</w:t>
        </w:r>
      </w:hyperlink>
      <w:r>
        <w:rPr>
          <w:b w:val="0"/>
          <w:i w:val="0"/>
        </w:rPr>
        <w:t>.</w:t>
      </w:r>
    </w:p>
    <w:p>
      <w:pPr>
        <w:widowControl/>
      </w:pPr>
      <w:r>
        <w:rPr>
          <w:b/>
          <w:i w:val="0"/>
        </w:rPr>
        <w:t>Image and mirror.</w:t>
      </w:r>
      <w:r>
        <w:rPr>
          <w:b w:val="0"/>
          <w:i w:val="0"/>
        </w:rPr>
        <w:t xml:space="preserve"> </w:t>
      </w:r>
      <w:hyperlink w:anchor="image-shadow-and-ranked-truth">
        <w:r>
          <w:rPr>
            <w:color w:val="000000"/>
          </w:rPr>
          <w:t xml:space="preserve">Image, shadow and ranked truth</w:t>
        </w:r>
      </w:hyperlink>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i-mirror-light">
        <w:r>
          <w:rPr>
            <w:color w:val="000000"/>
          </w:rPr>
          <w:t xml:space="preserve">Mirror, light, and the soul of the sun</w:t>
        </w:r>
      </w:hyperlink>
      <w:r>
        <w:rPr>
          <w:b w:val="0"/>
          <w:i w:val="0"/>
        </w:rPr>
        <w:t>.</w:t>
      </w:r>
    </w:p>
    <w:p>
      <w:pPr>
        <w:widowControl/>
      </w:pPr>
      <w:r>
        <w:rPr>
          <w:b/>
          <w:i w:val="0"/>
        </w:rPr>
        <w:t>Imagination.</w:t>
      </w:r>
      <w:r>
        <w:rPr>
          <w:b w:val="0"/>
          <w:i w:val="0"/>
        </w:rPr>
        <w:t xml:space="preserve"> </w:t>
      </w:r>
      <w:hyperlink w:anchor="viii-four-stages">
        <w:r>
          <w:rPr>
            <w:color w:val="000000"/>
          </w:rPr>
          <w:t xml:space="preserve">Four stages of cognition</w:t>
        </w:r>
      </w:hyperlink>
      <w:r>
        <w:rPr>
          <w:b w:val="0"/>
          <w:i w:val="0"/>
        </w:rPr>
        <w:t xml:space="preserve">; </w:t>
      </w:r>
      <w:hyperlink w:anchor="viii-images-intentions">
        <w:r>
          <w:rPr>
            <w:color w:val="000000"/>
          </w:rPr>
          <w:t xml:space="preserve">Images, intentions, and conjecturing substance</w:t>
        </w:r>
      </w:hyperlink>
      <w:r>
        <w:rPr>
          <w:b w:val="0"/>
          <w:i w:val="0"/>
        </w:rPr>
        <w:t>.</w:t>
      </w:r>
    </w:p>
    <w:p>
      <w:pPr>
        <w:widowControl/>
      </w:pPr>
      <w:r>
        <w:rPr>
          <w:b/>
          <w:i w:val="0"/>
        </w:rPr>
        <w:t>Immortality.</w:t>
      </w:r>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viii-individual-perpetuity">
        <w:r>
          <w:rPr>
            <w:color w:val="000000"/>
          </w:rPr>
          <w:t xml:space="preserve">Individual immortality and the scope of the conclusion</w:t>
        </w:r>
      </w:hyperlink>
      <w:r>
        <w:rPr>
          <w:b w:val="0"/>
          <w:i w:val="0"/>
        </w:rPr>
        <w:t>.</w:t>
      </w:r>
    </w:p>
    <w:p>
      <w:pPr>
        <w:widowControl/>
      </w:pPr>
      <w:r>
        <w:rPr>
          <w:b/>
          <w:i w:val="0"/>
        </w:rPr>
        <w:t>Incorporeal and immaterial.</w:t>
      </w:r>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avicenna-imagined-adult">
        <w:r>
          <w:rPr>
            <w:color w:val="000000"/>
          </w:rPr>
          <w:t xml:space="preserve">Avicenna’s imagined adult</w:t>
        </w:r>
      </w:hyperlink>
      <w:r>
        <w:rPr>
          <w:b w:val="0"/>
          <w:i w:val="0"/>
        </w:rPr>
        <w:t xml:space="preserve">; </w:t>
      </w:r>
      <w:hyperlink w:anchor="viii-operation-kind">
        <w:r>
          <w:rPr>
            <w:color w:val="000000"/>
          </w:rPr>
          <w:t xml:space="preserve">Kind, generation, and operation’s dependence on substance</w:t>
        </w:r>
      </w:hyperlink>
      <w:r>
        <w:rPr>
          <w:b w:val="0"/>
          <w:i w:val="0"/>
        </w:rPr>
        <w:t>.</w:t>
      </w:r>
    </w:p>
    <w:p>
      <w:pPr>
        <w:widowControl/>
      </w:pPr>
      <w:r>
        <w:rPr>
          <w:b/>
          <w:i w:val="0"/>
        </w:rPr>
        <w:t>Individual and species.</w:t>
      </w:r>
      <w:r>
        <w:rPr>
          <w:b w:val="0"/>
          <w:i w:val="0"/>
        </w:rPr>
        <w:t xml:space="preserve"> </w:t>
      </w:r>
      <w:hyperlink w:anchor="viii-intellectual-generation">
        <w:r>
          <w:rPr>
            <w:color w:val="000000"/>
          </w:rPr>
          <w:t xml:space="preserve">Intellectual generation and daily renewal</w:t>
        </w:r>
      </w:hyperlink>
      <w:r>
        <w:rPr>
          <w:b w:val="0"/>
          <w:i w:val="0"/>
        </w:rPr>
        <w:t xml:space="preserve">; </w:t>
      </w:r>
      <w:hyperlink w:anchor="viii-individual-perpetuity">
        <w:r>
          <w:rPr>
            <w:color w:val="000000"/>
          </w:rPr>
          <w:t xml:space="preserve">Individual immortality and the scope of the conclusion</w:t>
        </w:r>
      </w:hyperlink>
      <w:r>
        <w:rPr>
          <w:b w:val="0"/>
          <w:i w:val="0"/>
        </w:rPr>
        <w:t>.</w:t>
      </w:r>
    </w:p>
    <w:p>
      <w:pPr>
        <w:widowControl/>
      </w:pPr>
      <w:r>
        <w:rPr>
          <w:b/>
          <w:i w:val="0"/>
        </w:rPr>
        <w:t>Infinite capacity.</w:t>
      </w:r>
      <w:r>
        <w:rPr>
          <w:b w:val="0"/>
          <w:i w:val="0"/>
        </w:rPr>
        <w:t xml:space="preserve"> </w:t>
      </w:r>
      <w:hyperlink w:anchor="viii-infinite-operations">
        <w:r>
          <w:rPr>
            <w:color w:val="000000"/>
          </w:rPr>
          <w:t xml:space="preserve">Infinite operations and the limits of sensory kinds</w:t>
        </w:r>
      </w:hyperlink>
      <w:r>
        <w:rPr>
          <w:b w:val="0"/>
          <w:i w:val="0"/>
        </w:rPr>
        <w:t xml:space="preserve">; </w:t>
      </w:r>
      <w:hyperlink w:anchor="viii-divine-enlargement">
        <w:r>
          <w:rPr>
            <w:color w:val="000000"/>
          </w:rPr>
          <w:t xml:space="preserve">Insatiable desire and divine enlargement</w:t>
        </w:r>
      </w:hyperlink>
      <w:r>
        <w:rPr>
          <w:b w:val="0"/>
          <w:i w:val="0"/>
        </w:rPr>
        <w:t>.</w:t>
      </w:r>
    </w:p>
    <w:p>
      <w:pPr>
        <w:widowControl/>
      </w:pPr>
      <w:r>
        <w:rPr>
          <w:b/>
          <w:i w:val="0"/>
        </w:rPr>
        <w:t>Infinity of God.</w:t>
      </w:r>
      <w:r>
        <w:rPr>
          <w:b w:val="0"/>
          <w:i w:val="0"/>
        </w:rPr>
        <w:t xml:space="preserve"> </w:t>
      </w:r>
      <w:hyperlink w:anchor="first-cause">
        <w:r>
          <w:rPr>
            <w:color w:val="000000"/>
          </w:rPr>
          <w:t xml:space="preserve">First Cause, principal causes and causal dependence</w:t>
        </w:r>
      </w:hyperlink>
      <w:r>
        <w:rPr>
          <w:b w:val="0"/>
          <w:i w:val="0"/>
        </w:rPr>
        <w:t xml:space="preserve">; </w:t>
      </w:r>
      <w:hyperlink w:anchor="viii-finite-angels">
        <w:r>
          <w:rPr>
            <w:color w:val="000000"/>
          </w:rPr>
          <w:t xml:space="preserve">Finite angels, infinite act, and infinite potency</w:t>
        </w:r>
      </w:hyperlink>
      <w:r>
        <w:rPr>
          <w:b w:val="0"/>
          <w:i w:val="0"/>
        </w:rPr>
        <w:t>.</w:t>
      </w:r>
    </w:p>
    <w:p>
      <w:pPr>
        <w:widowControl/>
      </w:pPr>
      <w:r>
        <w:rPr>
          <w:b/>
          <w:i w:val="0"/>
        </w:rPr>
        <w:t>Instrument.</w:t>
      </w:r>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vii-nutrition-principal-agent">
        <w:r>
          <w:rPr>
            <w:color w:val="000000"/>
          </w:rPr>
          <w:t xml:space="preserve">Nutrition, growth and the principal agent</w:t>
        </w:r>
      </w:hyperlink>
      <w:r>
        <w:rPr>
          <w:b w:val="0"/>
          <w:i w:val="0"/>
        </w:rPr>
        <w:t xml:space="preserve">; </w:t>
      </w:r>
      <w:hyperlink w:anchor="viii-body-instrument">
        <w:r>
          <w:rPr>
            <w:color w:val="000000"/>
          </w:rPr>
          <w:t xml:space="preserve">Body, instruments, and vital spirit</w:t>
        </w:r>
      </w:hyperlink>
      <w:r>
        <w:rPr>
          <w:b w:val="0"/>
          <w:i w:val="0"/>
        </w:rPr>
        <w:t>.</w:t>
      </w:r>
    </w:p>
    <w:p>
      <w:pPr>
        <w:widowControl/>
      </w:pPr>
      <w:r>
        <w:rPr>
          <w:b/>
          <w:i w:val="0"/>
        </w:rPr>
        <w:t>Intellect.</w:t>
      </w:r>
      <w:r>
        <w:rPr>
          <w:b w:val="0"/>
          <w:i w:val="0"/>
        </w:rPr>
        <w:t xml:space="preserve"> </w:t>
      </w:r>
      <w:hyperlink w:anchor="viii-four-stages">
        <w:r>
          <w:rPr>
            <w:color w:val="000000"/>
          </w:rPr>
          <w:t xml:space="preserve">Four stages of cognition</w:t>
        </w:r>
      </w:hyperlink>
      <w:r>
        <w:rPr>
          <w:b w:val="0"/>
          <w:i w:val="0"/>
        </w:rPr>
        <w:t xml:space="preserve">; </w:t>
      </w:r>
      <w:hyperlink w:anchor="viii-intellectual-intelligible">
        <w:r>
          <w:rPr>
            <w:color w:val="000000"/>
          </w:rPr>
          <w:t xml:space="preserve">Intellectual forms and intelligible essences</w:t>
        </w:r>
      </w:hyperlink>
      <w:r>
        <w:rPr>
          <w:b w:val="0"/>
          <w:i w:val="0"/>
        </w:rPr>
        <w:t>.</w:t>
      </w:r>
    </w:p>
    <w:p>
      <w:pPr>
        <w:widowControl/>
      </w:pPr>
      <w:r>
        <w:rPr>
          <w:b/>
          <w:i w:val="0"/>
        </w:rPr>
        <w:t>Intellectual and intelligible.</w:t>
      </w:r>
      <w:r>
        <w:rPr>
          <w:b w:val="0"/>
          <w:i w:val="0"/>
        </w:rPr>
        <w:t xml:space="preserve"> </w:t>
      </w:r>
      <w:hyperlink w:anchor="viii-intellectual-intelligible">
        <w:r>
          <w:rPr>
            <w:color w:val="000000"/>
          </w:rPr>
          <w:t xml:space="preserve">Intellectual forms and intelligible essences</w:t>
        </w:r>
      </w:hyperlink>
      <w:r>
        <w:rPr>
          <w:b w:val="0"/>
          <w:i w:val="0"/>
        </w:rPr>
        <w:t>.</w:t>
      </w:r>
    </w:p>
    <w:p>
      <w:pPr>
        <w:widowControl/>
      </w:pPr>
      <w:r>
        <w:rPr>
          <w:b/>
          <w:i w:val="0"/>
        </w:rPr>
        <w:t>Intention in cognition.</w:t>
      </w:r>
      <w:r>
        <w:rPr>
          <w:b w:val="0"/>
          <w:i w:val="0"/>
        </w:rPr>
        <w:t xml:space="preserve"> </w:t>
      </w:r>
      <w:hyperlink w:anchor="viii-images-intentions">
        <w:r>
          <w:rPr>
            <w:color w:val="000000"/>
          </w:rPr>
          <w:t xml:space="preserve">Images, intentions, and conjecturing substance</w:t>
        </w:r>
      </w:hyperlink>
      <w:r>
        <w:rPr>
          <w:b w:val="0"/>
          <w:i w:val="0"/>
        </w:rPr>
        <w:t>.</w:t>
      </w:r>
    </w:p>
    <w:p>
      <w:pPr>
        <w:widowControl/>
      </w:pPr>
      <w:r>
        <w:rPr>
          <w:b/>
          <w:i w:val="0"/>
        </w:rPr>
        <w:t>Judgement of pain.</w:t>
      </w:r>
      <w:r>
        <w:rPr>
          <w:b w:val="0"/>
          <w:i w:val="0"/>
        </w:rPr>
        <w:t xml:space="preserve"> </w:t>
      </w:r>
      <w:hyperlink w:anchor="vii-pain-location">
        <w:r>
          <w:rPr>
            <w:color w:val="000000"/>
          </w:rPr>
          <w:t xml:space="preserve">Pain, location and reporting</w:t>
        </w:r>
      </w:hyperlink>
      <w:r>
        <w:rPr>
          <w:b w:val="0"/>
          <w:i w:val="0"/>
        </w:rPr>
        <w:t xml:space="preserve">; </w:t>
      </w:r>
      <w:hyperlink w:anchor="vii-injury-judge">
        <w:r>
          <w:rPr>
            <w:color w:val="000000"/>
          </w:rPr>
          <w:t xml:space="preserve">Injury and the uninjured judge</w:t>
        </w:r>
      </w:hyperlink>
      <w:r>
        <w:rPr>
          <w:b w:val="0"/>
          <w:i w:val="0"/>
        </w:rPr>
        <w:t>.</w:t>
      </w:r>
    </w:p>
    <w:p>
      <w:pPr>
        <w:widowControl/>
      </w:pPr>
      <w:r>
        <w:rPr>
          <w:b/>
          <w:i w:val="0"/>
        </w:rPr>
        <w:t>Knowledge of particulars.</w:t>
      </w:r>
      <w:r>
        <w:rPr>
          <w:b w:val="0"/>
          <w:i w:val="0"/>
        </w:rPr>
        <w:t xml:space="preserve"> </w:t>
      </w:r>
      <w:hyperlink w:anchor="viii-immediate-reflexive">
        <w:r>
          <w:rPr>
            <w:color w:val="000000"/>
          </w:rPr>
          <w:t xml:space="preserve">Immediate intellection and the return to particulars</w:t>
        </w:r>
      </w:hyperlink>
      <w:r>
        <w:rPr>
          <w:b w:val="0"/>
          <w:i w:val="0"/>
        </w:rPr>
        <w:t>.</w:t>
      </w:r>
    </w:p>
    <w:p>
      <w:pPr>
        <w:widowControl/>
      </w:pPr>
      <w:r>
        <w:rPr>
          <w:b/>
          <w:i w:val="0"/>
        </w:rPr>
        <w:t>Learning and recollection.</w:t>
      </w:r>
      <w:r>
        <w:rPr>
          <w:b w:val="0"/>
          <w:i w:val="0"/>
        </w:rPr>
        <w:t xml:space="preserve"> </w:t>
      </w:r>
      <w:hyperlink w:anchor="teaching-without-loss">
        <w:r>
          <w:rPr>
            <w:color w:val="000000"/>
          </w:rPr>
          <w:t xml:space="preserve">Teaching without loss</w:t>
        </w:r>
      </w:hyperlink>
      <w:r>
        <w:rPr>
          <w:b w:val="0"/>
          <w:i w:val="0"/>
        </w:rPr>
        <w:t xml:space="preserve">; </w:t>
      </w:r>
      <w:hyperlink w:anchor="persistence-memory-and-recognition">
        <w:r>
          <w:rPr>
            <w:color w:val="000000"/>
          </w:rPr>
          <w:t xml:space="preserve">Persistence, memory and recognition</w:t>
        </w:r>
      </w:hyperlink>
      <w:r>
        <w:rPr>
          <w:b w:val="0"/>
          <w:i w:val="0"/>
        </w:rPr>
        <w:t xml:space="preserve">; </w:t>
      </w:r>
      <w:hyperlink w:anchor="viii-innate-forms">
        <w:r>
          <w:rPr>
            <w:color w:val="000000"/>
          </w:rPr>
          <w:t xml:space="preserve">Innate forms and the stimulus of images</w:t>
        </w:r>
      </w:hyperlink>
      <w:r>
        <w:rPr>
          <w:b w:val="0"/>
          <w:i w:val="0"/>
        </w:rPr>
        <w:t>.</w:t>
      </w:r>
    </w:p>
    <w:p>
      <w:pPr>
        <w:widowControl/>
      </w:pPr>
      <w:r>
        <w:rPr>
          <w:b/>
          <w:i w:val="0"/>
        </w:rPr>
        <w:t>Life and vital motion.</w:t>
      </w:r>
      <w:r>
        <w:rPr>
          <w:b w:val="0"/>
          <w:i w:val="0"/>
        </w:rPr>
        <w:t xml:space="preserve"> </w:t>
      </w:r>
      <w:hyperlink w:anchor="life-and-vivification">
        <w:r>
          <w:rPr>
            <w:color w:val="000000"/>
          </w:rPr>
          <w:t xml:space="preserve">Life and vivification</w:t>
        </w:r>
      </w:hyperlink>
      <w:r>
        <w:rPr>
          <w:b w:val="0"/>
          <w:i w:val="0"/>
        </w:rPr>
        <w:t xml:space="preserve">; </w:t>
      </w:r>
      <w:hyperlink w:anchor="vital-motion-action-and-passion">
        <w:r>
          <w:rPr>
            <w:color w:val="000000"/>
          </w:rPr>
          <w:t xml:space="preserve">Vital motion, action and passion</w:t>
        </w:r>
      </w:hyperlink>
      <w:r>
        <w:rPr>
          <w:b w:val="0"/>
          <w:i w:val="0"/>
        </w:rPr>
        <w:t>.</w:t>
      </w:r>
    </w:p>
    <w:p>
      <w:pPr>
        <w:widowControl/>
      </w:pPr>
      <w:r>
        <w:rPr>
          <w:b/>
          <w:i w:val="0"/>
        </w:rPr>
        <w:t>Light and spirit.</w:t>
      </w:r>
      <w:r>
        <w:rPr>
          <w:b w:val="0"/>
          <w:i w:val="0"/>
        </w:rPr>
        <w:t xml:space="preserve"> </w:t>
      </w:r>
      <w:hyperlink w:anchor="light-spirit-and-unseen-source">
        <w:r>
          <w:rPr>
            <w:color w:val="000000"/>
          </w:rPr>
          <w:t xml:space="preserve">Light, spirit and the unseen source</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i-mirror-light">
        <w:r>
          <w:rPr>
            <w:color w:val="000000"/>
          </w:rPr>
          <w:t xml:space="preserve">Mirror, light, and the soul of the sun</w:t>
        </w:r>
      </w:hyperlink>
      <w:r>
        <w:rPr>
          <w:b w:val="0"/>
          <w:i w:val="0"/>
        </w:rPr>
        <w:t>.</w:t>
      </w:r>
    </w:p>
    <w:p>
      <w:pPr>
        <w:widowControl/>
      </w:pPr>
      <w:r>
        <w:rPr>
          <w:b/>
          <w:i w:val="0"/>
        </w:rPr>
        <w:t>Lion.</w:t>
      </w:r>
      <w:r>
        <w:rPr>
          <w:b w:val="0"/>
          <w:i w:val="0"/>
        </w:rPr>
        <w:t xml:space="preserve"> </w:t>
      </w:r>
      <w:hyperlink w:anchor="potency-possibility-and-the-lion">
        <w:r>
          <w:rPr>
            <w:color w:val="000000"/>
          </w:rPr>
          <w:t xml:space="preserve">Potency, possibility and the lion</w:t>
        </w:r>
      </w:hyperlink>
      <w:r>
        <w:rPr>
          <w:b w:val="0"/>
          <w:i w:val="0"/>
        </w:rPr>
        <w:t xml:space="preserve">; </w:t>
      </w:r>
      <w:hyperlink w:anchor="vii-animal-acuity-size">
        <w:r>
          <w:rPr>
            <w:color w:val="000000"/>
          </w:rPr>
          <w:t xml:space="preserve">Animal acuity and bodily size</w:t>
        </w:r>
      </w:hyperlink>
      <w:r>
        <w:rPr>
          <w:b w:val="0"/>
          <w:i w:val="0"/>
        </w:rPr>
        <w:t>.</w:t>
      </w:r>
    </w:p>
    <w:p>
      <w:pPr>
        <w:widowControl/>
      </w:pPr>
      <w:r>
        <w:rPr>
          <w:b/>
          <w:i w:val="0"/>
        </w:rPr>
        <w:t>Lucifer.</w:t>
      </w:r>
      <w:r>
        <w:rPr>
          <w:b w:val="0"/>
          <w:i w:val="0"/>
        </w:rPr>
        <w:t xml:space="preserve"> </w:t>
      </w:r>
      <w:hyperlink w:anchor="vii-lucifer-meaning">
        <w:r>
          <w:rPr>
            <w:color w:val="000000"/>
          </w:rPr>
          <w:t xml:space="preserve">Lucifer and indivisible meaning</w:t>
        </w:r>
      </w:hyperlink>
      <w:r>
        <w:rPr>
          <w:b w:val="0"/>
          <w:i w:val="0"/>
        </w:rPr>
        <w:t>.</w:t>
      </w:r>
    </w:p>
    <w:p>
      <w:pPr>
        <w:widowControl/>
      </w:pPr>
      <w:r>
        <w:rPr>
          <w:b/>
          <w:i w:val="0"/>
        </w:rPr>
        <w:t>Magnet.</w:t>
      </w:r>
      <w:r>
        <w:rPr>
          <w:b w:val="0"/>
          <w:i w:val="0"/>
        </w:rPr>
        <w:t xml:space="preserve"> </w:t>
      </w:r>
      <w:hyperlink w:anchor="rennet-magnet-and-clock">
        <w:r>
          <w:rPr>
            <w:color w:val="000000"/>
          </w:rPr>
          <w:t xml:space="preserve">Rennet, magnet and clock</w:t>
        </w:r>
      </w:hyperlink>
      <w:r>
        <w:rPr>
          <w:b w:val="0"/>
          <w:i w:val="0"/>
        </w:rPr>
        <w:t>.</w:t>
      </w:r>
    </w:p>
    <w:p>
      <w:pPr>
        <w:widowControl/>
      </w:pPr>
      <w:r>
        <w:rPr>
          <w:b/>
          <w:i w:val="0"/>
        </w:rPr>
        <w:t>Material cause.</w:t>
      </w:r>
      <w:r>
        <w:rPr>
          <w:b w:val="0"/>
          <w:i w:val="0"/>
        </w:rPr>
        <w:t xml:space="preserve"> </w:t>
      </w:r>
      <w:hyperlink w:anchor="prime-matter-and-enduring-support">
        <w:r>
          <w:rPr>
            <w:color w:val="000000"/>
          </w:rPr>
          <w:t xml:space="preserve">Prime matter and enduring support</w:t>
        </w:r>
      </w:hyperlink>
      <w:r>
        <w:rPr>
          <w:b w:val="0"/>
          <w:i w:val="0"/>
        </w:rPr>
        <w:t xml:space="preserve">; </w:t>
      </w:r>
      <w:hyperlink w:anchor="four-causes-and-graded-dependence">
        <w:r>
          <w:rPr>
            <w:color w:val="000000"/>
          </w:rPr>
          <w:t xml:space="preserve">Four causes and graded dependence</w:t>
        </w:r>
      </w:hyperlink>
      <w:r>
        <w:rPr>
          <w:b w:val="0"/>
          <w:i w:val="0"/>
        </w:rPr>
        <w:t>.</w:t>
      </w:r>
    </w:p>
    <w:p>
      <w:pPr>
        <w:widowControl/>
      </w:pPr>
      <w:r>
        <w:rPr>
          <w:b/>
          <w:i w:val="0"/>
        </w:rPr>
        <w:t>Matter.</w:t>
      </w:r>
      <w:r>
        <w:rPr>
          <w:b w:val="0"/>
          <w:i w:val="0"/>
        </w:rPr>
        <w:t xml:space="preserve"> </w:t>
      </w:r>
      <w:hyperlink w:anchor="prime-matter-and-enduring-support">
        <w:r>
          <w:rPr>
            <w:color w:val="000000"/>
          </w:rPr>
          <w:t xml:space="preserve">Prime matter and enduring support</w:t>
        </w:r>
      </w:hyperlink>
      <w:r>
        <w:rPr>
          <w:b w:val="0"/>
          <w:i w:val="0"/>
        </w:rPr>
        <w:t xml:space="preserve">; </w:t>
      </w:r>
      <w:hyperlink w:anchor="spiritual-matter-and-identity">
        <w:r>
          <w:rPr>
            <w:color w:val="000000"/>
          </w:rPr>
          <w:t xml:space="preserve">Spiritual matter and identity</w:t>
        </w:r>
      </w:hyperlink>
      <w:r>
        <w:rPr>
          <w:b w:val="0"/>
          <w:i w:val="0"/>
        </w:rPr>
        <w:t>.</w:t>
      </w:r>
    </w:p>
    <w:p>
      <w:pPr>
        <w:widowControl/>
      </w:pPr>
      <w:r>
        <w:rPr>
          <w:b/>
          <w:i w:val="0"/>
        </w:rPr>
        <w:t>Measurement of infinity.</w:t>
      </w:r>
      <w:r>
        <w:rPr>
          <w:b w:val="0"/>
          <w:i w:val="0"/>
        </w:rPr>
        <w:t xml:space="preserve"> </w:t>
      </w:r>
      <w:hyperlink w:anchor="viii-infinity-measure">
        <w:r>
          <w:rPr>
            <w:color w:val="000000"/>
          </w:rPr>
          <w:t xml:space="preserve">Measuring infinity and thinking being and nonbeing</w:t>
        </w:r>
      </w:hyperlink>
      <w:r>
        <w:rPr>
          <w:b w:val="0"/>
          <w:i w:val="0"/>
        </w:rPr>
        <w:t>.</w:t>
      </w:r>
    </w:p>
    <w:p>
      <w:pPr>
        <w:widowControl/>
      </w:pPr>
      <w:r>
        <w:rPr>
          <w:b/>
          <w:i w:val="0"/>
        </w:rPr>
        <w:t>Memory.</w:t>
      </w:r>
      <w:r>
        <w:rPr>
          <w:b w:val="0"/>
          <w:i w:val="0"/>
        </w:rPr>
        <w:t xml:space="preserve"> </w:t>
      </w:r>
      <w:hyperlink w:anchor="time-memory-and-expectation">
        <w:r>
          <w:rPr>
            <w:color w:val="000000"/>
          </w:rPr>
          <w:t xml:space="preserve">Time, memory and expectation</w:t>
        </w:r>
      </w:hyperlink>
      <w:r>
        <w:rPr>
          <w:b w:val="0"/>
          <w:i w:val="0"/>
        </w:rPr>
        <w:t xml:space="preserve">; </w:t>
      </w:r>
      <w:hyperlink w:anchor="persistence-memory-and-recognition">
        <w:r>
          <w:rPr>
            <w:color w:val="000000"/>
          </w:rPr>
          <w:t xml:space="preserve">Persistence, memory and recognition</w:t>
        </w:r>
      </w:hyperlink>
      <w:r>
        <w:rPr>
          <w:b w:val="0"/>
          <w:i w:val="0"/>
        </w:rPr>
        <w:t xml:space="preserve">; </w:t>
      </w:r>
      <w:hyperlink w:anchor="vii-memory-solid-fluid">
        <w:r>
          <w:rPr>
            <w:color w:val="000000"/>
          </w:rPr>
          <w:t xml:space="preserve">Memory, rigidity and fluidity</w:t>
        </w:r>
      </w:hyperlink>
      <w:r>
        <w:rPr>
          <w:b w:val="0"/>
          <w:i w:val="0"/>
        </w:rPr>
        <w:t>.</w:t>
      </w:r>
    </w:p>
    <w:p>
      <w:pPr>
        <w:widowControl/>
      </w:pPr>
      <w:r>
        <w:rPr>
          <w:b/>
          <w:i w:val="0"/>
        </w:rPr>
        <w:t>Mind and intellect.</w:t>
      </w:r>
      <w:r>
        <w:rPr>
          <w:b w:val="0"/>
          <w:i w:val="0"/>
        </w:rPr>
        <w:t xml:space="preserve"> </w:t>
      </w:r>
      <w:hyperlink w:anchor="viii-four-stages">
        <w:r>
          <w:rPr>
            <w:color w:val="000000"/>
          </w:rPr>
          <w:t xml:space="preserve">Four stages of cognition</w:t>
        </w:r>
      </w:hyperlink>
      <w:r>
        <w:rPr>
          <w:b w:val="0"/>
          <w:i w:val="0"/>
        </w:rPr>
        <w:t xml:space="preserve">; </w:t>
      </w:r>
      <w:hyperlink w:anchor="viii-intellectual-intelligible">
        <w:r>
          <w:rPr>
            <w:color w:val="000000"/>
          </w:rPr>
          <w:t xml:space="preserve">Intellectual forms and intelligible essences</w:t>
        </w:r>
      </w:hyperlink>
      <w:r>
        <w:rPr>
          <w:b w:val="0"/>
          <w:i w:val="0"/>
        </w:rPr>
        <w:t xml:space="preserve">; </w:t>
      </w:r>
      <w:hyperlink w:anchor="viii-reflexive-will">
        <w:r>
          <w:rPr>
            <w:color w:val="000000"/>
          </w:rPr>
          <w:t xml:space="preserve">Reflexive understanding and willing</w:t>
        </w:r>
      </w:hyperlink>
      <w:r>
        <w:rPr>
          <w:b w:val="0"/>
          <w:i w:val="0"/>
        </w:rPr>
        <w:t>.</w:t>
      </w:r>
    </w:p>
    <w:p>
      <w:pPr>
        <w:widowControl/>
      </w:pPr>
      <w:r>
        <w:rPr>
          <w:b/>
          <w:i w:val="0"/>
        </w:rPr>
        <w:t>Mirror.</w:t>
      </w:r>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i-mirror-light">
        <w:r>
          <w:rPr>
            <w:color w:val="000000"/>
          </w:rPr>
          <w:t xml:space="preserve">Mirror, light, and the soul of the sun</w:t>
        </w:r>
      </w:hyperlink>
      <w:r>
        <w:rPr>
          <w:b w:val="0"/>
          <w:i w:val="0"/>
        </w:rPr>
        <w:t xml:space="preserve">; </w:t>
      </w:r>
      <w:hyperlink w:anchor="bronze-mirror-and-concentrated-fire">
        <w:r>
          <w:rPr>
            <w:color w:val="000000"/>
          </w:rPr>
          <w:t xml:space="preserve">Bronze mirror and concentrated fire</w:t>
        </w:r>
      </w:hyperlink>
      <w:r>
        <w:rPr>
          <w:b w:val="0"/>
          <w:i w:val="0"/>
        </w:rPr>
        <w:t>.</w:t>
      </w:r>
    </w:p>
    <w:p>
      <w:pPr>
        <w:widowControl/>
      </w:pPr>
      <w:r>
        <w:rPr>
          <w:b/>
          <w:i w:val="0"/>
        </w:rPr>
        <w:t>Mixture.</w:t>
      </w:r>
      <w:r>
        <w:rPr>
          <w:b w:val="0"/>
          <w:i w:val="0"/>
        </w:rPr>
        <w:t xml:space="preserve"> </w:t>
      </w:r>
      <w:hyperlink w:anchor="vii-bodily-constitution">
        <w:r>
          <w:rPr>
            <w:color w:val="000000"/>
          </w:rPr>
          <w:t xml:space="preserve">Bodily constitution and temperament</w:t>
        </w:r>
      </w:hyperlink>
      <w:r>
        <w:rPr>
          <w:b w:val="0"/>
          <w:i w:val="0"/>
        </w:rPr>
        <w:t xml:space="preserve">; </w:t>
      </w:r>
      <w:hyperlink w:anchor="elements-conjunction-and-inward-orderer">
        <w:r>
          <w:rPr>
            <w:color w:val="000000"/>
          </w:rPr>
          <w:t xml:space="preserve">Elements, conjunction and the inward orderer</w:t>
        </w:r>
      </w:hyperlink>
      <w:r>
        <w:rPr>
          <w:b w:val="0"/>
          <w:i w:val="0"/>
        </w:rPr>
        <w:t>.</w:t>
      </w:r>
    </w:p>
    <w:p>
      <w:pPr>
        <w:widowControl/>
      </w:pPr>
      <w:r>
        <w:rPr>
          <w:b/>
          <w:i w:val="0"/>
        </w:rPr>
        <w:t>Natural powers.</w:t>
      </w:r>
      <w:r>
        <w:rPr>
          <w:b w:val="0"/>
          <w:i w:val="0"/>
        </w:rPr>
        <w:t xml:space="preserve"> </w:t>
      </w:r>
      <w:hyperlink w:anchor="three-offices-and-proof-order">
        <w:r>
          <w:rPr>
            <w:color w:val="000000"/>
          </w:rPr>
          <w:t xml:space="preserve">Three offices and the order of proof</w:t>
        </w:r>
      </w:hyperlink>
      <w:r>
        <w:rPr>
          <w:b w:val="0"/>
          <w:i w:val="0"/>
        </w:rPr>
        <w:t xml:space="preserve">; </w:t>
      </w:r>
      <w:hyperlink w:anchor="nourishment-and-life-giving-form">
        <w:r>
          <w:rPr>
            <w:color w:val="000000"/>
          </w:rPr>
          <w:t xml:space="preserve">Nourishment and the life-giving form</w:t>
        </w:r>
      </w:hyperlink>
      <w:r>
        <w:rPr>
          <w:b w:val="0"/>
          <w:i w:val="0"/>
        </w:rPr>
        <w:t>.</w:t>
      </w:r>
    </w:p>
    <w:p>
      <w:pPr>
        <w:widowControl/>
      </w:pPr>
      <w:r>
        <w:rPr>
          <w:b/>
          <w:i w:val="0"/>
        </w:rPr>
        <w:t>Natural self-motion.</w:t>
      </w:r>
      <w:r>
        <w:rPr>
          <w:b w:val="0"/>
          <w:i w:val="0"/>
        </w:rPr>
        <w:t xml:space="preserve"> </w:t>
      </w:r>
      <w:hyperlink w:anchor="primary-self-motion-and-parts">
        <w:r>
          <w:rPr>
            <w:color w:val="000000"/>
          </w:rPr>
          <w:t xml:space="preserve">Primary self-motion and the regress of parts</w:t>
        </w:r>
      </w:hyperlink>
      <w:r>
        <w:rPr>
          <w:b w:val="0"/>
          <w:i w:val="0"/>
        </w:rPr>
        <w:t>.</w:t>
      </w:r>
    </w:p>
    <w:p>
      <w:pPr>
        <w:widowControl/>
      </w:pPr>
      <w:r>
        <w:rPr>
          <w:b/>
          <w:i w:val="0"/>
        </w:rPr>
        <w:t>Nourishment.</w:t>
      </w:r>
      <w:r>
        <w:rPr>
          <w:b w:val="0"/>
          <w:i w:val="0"/>
        </w:rPr>
        <w:t xml:space="preserve"> </w:t>
      </w:r>
      <w:hyperlink w:anchor="nourishment-and-life-giving-form">
        <w:r>
          <w:rPr>
            <w:color w:val="000000"/>
          </w:rPr>
          <w:t xml:space="preserve">Nourishment and the life-giving form</w:t>
        </w:r>
      </w:hyperlink>
      <w:r>
        <w:rPr>
          <w:b w:val="0"/>
          <w:i w:val="0"/>
        </w:rPr>
        <w:t xml:space="preserve">; </w:t>
      </w:r>
      <w:hyperlink w:anchor="food-lending-and-borrowing-life">
        <w:r>
          <w:rPr>
            <w:color w:val="000000"/>
          </w:rPr>
          <w:t xml:space="preserve">Food, lending and borrowing life</w:t>
        </w:r>
      </w:hyperlink>
      <w:r>
        <w:rPr>
          <w:b w:val="0"/>
          <w:i w:val="0"/>
        </w:rPr>
        <w:t>.</w:t>
      </w:r>
    </w:p>
    <w:p>
      <w:pPr>
        <w:widowControl/>
      </w:pPr>
      <w:r>
        <w:rPr>
          <w:b/>
          <w:i w:val="0"/>
        </w:rPr>
        <w:t>Pain and bodily injury.</w:t>
      </w:r>
      <w:r>
        <w:rPr>
          <w:b w:val="0"/>
          <w:i w:val="0"/>
        </w:rPr>
        <w:t xml:space="preserve"> </w:t>
      </w:r>
      <w:hyperlink w:anchor="vii-injury-judge">
        <w:r>
          <w:rPr>
            <w:color w:val="000000"/>
          </w:rPr>
          <w:t xml:space="preserve">Injury and the uninjured judge</w:t>
        </w:r>
      </w:hyperlink>
      <w:r>
        <w:rPr>
          <w:b w:val="0"/>
          <w:i w:val="0"/>
        </w:rPr>
        <w:t xml:space="preserve">; </w:t>
      </w:r>
      <w:hyperlink w:anchor="vii-pain-location">
        <w:r>
          <w:rPr>
            <w:color w:val="000000"/>
          </w:rPr>
          <w:t xml:space="preserve">Pain, location and reporting</w:t>
        </w:r>
      </w:hyperlink>
      <w:r>
        <w:rPr>
          <w:b w:val="0"/>
          <w:i w:val="0"/>
        </w:rPr>
        <w:t xml:space="preserve">; </w:t>
      </w:r>
      <w:hyperlink w:anchor="vii-sensation-attention">
        <w:r>
          <w:rPr>
            <w:color w:val="000000"/>
          </w:rPr>
          <w:t xml:space="preserve">Sensation as attentive activity</w:t>
        </w:r>
      </w:hyperlink>
      <w:r>
        <w:rPr>
          <w:b w:val="0"/>
          <w:i w:val="0"/>
        </w:rPr>
        <w:t>.</w:t>
      </w:r>
    </w:p>
    <w:p>
      <w:pPr>
        <w:widowControl/>
      </w:pPr>
      <w:r>
        <w:rPr>
          <w:b/>
          <w:i w:val="0"/>
        </w:rPr>
        <w:t>Participation.</w:t>
      </w:r>
      <w:r>
        <w:rPr>
          <w:b w:val="0"/>
          <w:i w:val="0"/>
        </w:rPr>
        <w:t xml:space="preserve"> </w:t>
      </w:r>
      <w:hyperlink w:anchor="participation-common-and-proper">
        <w:r>
          <w:rPr>
            <w:color w:val="000000"/>
          </w:rPr>
          <w:t xml:space="preserve">Participation, common and proper</w:t>
        </w:r>
      </w:hyperlink>
      <w:r>
        <w:rPr>
          <w:b w:val="0"/>
          <w:i w:val="0"/>
        </w:rPr>
        <w:t xml:space="preserve">; </w:t>
      </w:r>
      <w:hyperlink w:anchor="viii-universal-idea">
        <w:r>
          <w:rPr>
            <w:color w:val="000000"/>
          </w:rPr>
          <w:t xml:space="preserve">Common nature, participation, and the divine Idea</w:t>
        </w:r>
      </w:hyperlink>
      <w:r>
        <w:rPr>
          <w:b w:val="0"/>
          <w:i w:val="0"/>
        </w:rPr>
        <w:t>.</w:t>
      </w:r>
    </w:p>
    <w:p>
      <w:pPr>
        <w:widowControl/>
      </w:pPr>
      <w:r>
        <w:rPr>
          <w:b/>
          <w:i w:val="0"/>
        </w:rPr>
        <w:t>Phantasy.</w:t>
      </w:r>
      <w:r>
        <w:rPr>
          <w:b w:val="0"/>
          <w:i w:val="0"/>
        </w:rPr>
        <w:t xml:space="preserve"> </w:t>
      </w:r>
      <w:hyperlink w:anchor="viii-four-stages">
        <w:r>
          <w:rPr>
            <w:color w:val="000000"/>
          </w:rPr>
          <w:t xml:space="preserve">Four stages of cognition</w:t>
        </w:r>
      </w:hyperlink>
      <w:r>
        <w:rPr>
          <w:b w:val="0"/>
          <w:i w:val="0"/>
        </w:rPr>
        <w:t xml:space="preserve">; </w:t>
      </w:r>
      <w:hyperlink w:anchor="viii-images-intentions">
        <w:r>
          <w:rPr>
            <w:color w:val="000000"/>
          </w:rPr>
          <w:t xml:space="preserve">Images, intentions, and conjecturing substance</w:t>
        </w:r>
      </w:hyperlink>
      <w:r>
        <w:rPr>
          <w:b w:val="0"/>
          <w:i w:val="0"/>
        </w:rPr>
        <w:t>.</w:t>
      </w:r>
    </w:p>
    <w:p>
      <w:pPr>
        <w:widowControl/>
      </w:pPr>
      <w:r>
        <w:rPr>
          <w:b/>
          <w:i w:val="0"/>
        </w:rPr>
        <w:t>Plato and the cave.</w:t>
      </w:r>
      <w:r>
        <w:rPr>
          <w:b w:val="0"/>
          <w:i w:val="0"/>
        </w:rPr>
        <w:t xml:space="preserve"> </w:t>
      </w:r>
      <w:hyperlink w:anchor="plato-cave-and-gradual-education">
        <w:r>
          <w:rPr>
            <w:color w:val="000000"/>
          </w:rPr>
          <w:t xml:space="preserve">Plato’s cave and gradual education</w:t>
        </w:r>
      </w:hyperlink>
      <w:r>
        <w:rPr>
          <w:b w:val="0"/>
          <w:i w:val="0"/>
        </w:rPr>
        <w:t>.</w:t>
      </w:r>
    </w:p>
    <w:p>
      <w:pPr>
        <w:widowControl/>
      </w:pPr>
      <w:r>
        <w:rPr>
          <w:b/>
          <w:i w:val="0"/>
        </w:rPr>
        <w:t>Point and soul.</w:t>
      </w:r>
      <w:r>
        <w:rPr>
          <w:b w:val="0"/>
          <w:i w:val="0"/>
        </w:rPr>
        <w:t xml:space="preserve"> </w:t>
      </w:r>
      <w:hyperlink w:anchor="point-dimension-and-substantial-unity">
        <w:r>
          <w:rPr>
            <w:color w:val="000000"/>
          </w:rPr>
          <w:t xml:space="preserve">Point, dimension and substantial unity</w:t>
        </w:r>
      </w:hyperlink>
      <w:r>
        <w:rPr>
          <w:b w:val="0"/>
          <w:i w:val="0"/>
        </w:rPr>
        <w:t xml:space="preserve">; </w:t>
      </w:r>
      <w:hyperlink w:anchor="vii-point-line">
        <w:r>
          <w:rPr>
            <w:color w:val="000000"/>
          </w:rPr>
          <w:t xml:space="preserve">Point, line and the comparing power</w:t>
        </w:r>
      </w:hyperlink>
      <w:r>
        <w:rPr>
          <w:b w:val="0"/>
          <w:i w:val="0"/>
        </w:rPr>
        <w:t xml:space="preserve">; </w:t>
      </w:r>
      <w:hyperlink w:anchor="viii-bodily-points">
        <w:r>
          <w:rPr>
            <w:color w:val="000000"/>
          </w:rPr>
          <w:t xml:space="preserve">Bodily points and the seat of understanding</w:t>
        </w:r>
      </w:hyperlink>
      <w:r>
        <w:rPr>
          <w:b w:val="0"/>
          <w:i w:val="0"/>
        </w:rPr>
        <w:t>.</w:t>
      </w:r>
    </w:p>
    <w:p>
      <w:pPr>
        <w:widowControl/>
      </w:pPr>
      <w:r>
        <w:rPr>
          <w:b/>
          <w:i w:val="0"/>
        </w:rPr>
        <w:t>Potency and possibility.</w:t>
      </w:r>
      <w:r>
        <w:rPr>
          <w:b w:val="0"/>
          <w:i w:val="0"/>
        </w:rPr>
        <w:t xml:space="preserve"> </w:t>
      </w:r>
      <w:hyperlink w:anchor="potency-possibility-and-the-lion">
        <w:r>
          <w:rPr>
            <w:color w:val="000000"/>
          </w:rPr>
          <w:t xml:space="preserve">Potency, possibility and the lion</w:t>
        </w:r>
      </w:hyperlink>
      <w:r>
        <w:rPr>
          <w:b w:val="0"/>
          <w:i w:val="0"/>
        </w:rPr>
        <w:t xml:space="preserve">; </w:t>
      </w:r>
      <w:hyperlink w:anchor="spiritual-matter-and-identity">
        <w:r>
          <w:rPr>
            <w:color w:val="000000"/>
          </w:rPr>
          <w:t xml:space="preserve">Spiritual matter and identity</w:t>
        </w:r>
      </w:hyperlink>
      <w:r>
        <w:rPr>
          <w:b w:val="0"/>
          <w:i w:val="0"/>
        </w:rPr>
        <w:t>.</w:t>
      </w:r>
    </w:p>
    <w:p>
      <w:pPr>
        <w:widowControl/>
      </w:pPr>
      <w:r>
        <w:rPr>
          <w:b/>
          <w:i w:val="0"/>
        </w:rPr>
        <w:t>Power and substance.</w:t>
      </w:r>
      <w:r>
        <w:rPr>
          <w:b w:val="0"/>
          <w:i w:val="0"/>
        </w:rPr>
        <w:t xml:space="preserve"> </w:t>
      </w:r>
      <w:hyperlink w:anchor="creature-power-and-operation">
        <w:r>
          <w:rPr>
            <w:color w:val="000000"/>
          </w:rPr>
          <w:t xml:space="preserve">Creature, power and operation</w:t>
        </w:r>
      </w:hyperlink>
      <w:r>
        <w:rPr>
          <w:b w:val="0"/>
          <w:i w:val="0"/>
        </w:rPr>
        <w:t xml:space="preserve">; </w:t>
      </w:r>
      <w:hyperlink w:anchor="vii-substance-degrees">
        <w:r>
          <w:rPr>
            <w:color w:val="000000"/>
          </w:rPr>
          <w:t xml:space="preserve">Substance, qualities and degrees</w:t>
        </w:r>
      </w:hyperlink>
      <w:r>
        <w:rPr>
          <w:b w:val="0"/>
          <w:i w:val="0"/>
        </w:rPr>
        <w:t>.</w:t>
      </w:r>
    </w:p>
    <w:p>
      <w:pPr>
        <w:widowControl/>
      </w:pPr>
      <w:r>
        <w:rPr>
          <w:b/>
          <w:i w:val="0"/>
        </w:rPr>
        <w:t>Preservation.</w:t>
      </w:r>
      <w:r>
        <w:rPr>
          <w:b w:val="0"/>
          <w:i w:val="0"/>
        </w:rPr>
        <w:t xml:space="preserve"> </w:t>
      </w:r>
      <w:hyperlink w:anchor="creation-and-generation">
        <w:r>
          <w:rPr>
            <w:color w:val="000000"/>
          </w:rPr>
          <w:t xml:space="preserve">Creation and generation</w:t>
        </w:r>
      </w:hyperlink>
      <w:r>
        <w:rPr>
          <w:b w:val="0"/>
          <w:i w:val="0"/>
        </w:rPr>
        <w:t xml:space="preserve">; </w:t>
      </w:r>
      <w:hyperlink w:anchor="viii-individual-perpetuity">
        <w:r>
          <w:rPr>
            <w:color w:val="000000"/>
          </w:rPr>
          <w:t xml:space="preserve">Individual immortality and the scope of the conclusion</w:t>
        </w:r>
      </w:hyperlink>
      <w:r>
        <w:rPr>
          <w:b w:val="0"/>
          <w:i w:val="0"/>
        </w:rPr>
        <w:t>.</w:t>
      </w:r>
    </w:p>
    <w:p>
      <w:pPr>
        <w:widowControl/>
      </w:pPr>
      <w:r>
        <w:rPr>
          <w:b/>
          <w:i w:val="0"/>
        </w:rPr>
        <w:t>Primary cause.</w:t>
      </w:r>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Prime matter.</w:t>
      </w:r>
      <w:r>
        <w:rPr>
          <w:b w:val="0"/>
          <w:i w:val="0"/>
        </w:rPr>
        <w:t xml:space="preserve"> </w:t>
      </w:r>
      <w:hyperlink w:anchor="prime-matter-and-enduring-support">
        <w:r>
          <w:rPr>
            <w:color w:val="000000"/>
          </w:rPr>
          <w:t xml:space="preserve">Prime matter and enduring support</w:t>
        </w:r>
      </w:hyperlink>
      <w:r>
        <w:rPr>
          <w:b w:val="0"/>
          <w:i w:val="0"/>
        </w:rPr>
        <w:t>.</w:t>
      </w:r>
    </w:p>
    <w:p>
      <w:pPr>
        <w:widowControl/>
      </w:pPr>
      <w:r>
        <w:rPr>
          <w:b/>
          <w:i w:val="0"/>
        </w:rPr>
        <w:t>Principal cause.</w:t>
      </w:r>
      <w:r>
        <w:rPr>
          <w:b w:val="0"/>
          <w:i w:val="0"/>
        </w:rPr>
        <w:t xml:space="preserve"> </w:t>
      </w:r>
      <w:hyperlink w:anchor="first-cause">
        <w:r>
          <w:rPr>
            <w:color w:val="000000"/>
          </w:rPr>
          <w:t xml:space="preserve">First Cause, principal causes and causal dependence</w:t>
        </w:r>
      </w:hyperlink>
      <w:r>
        <w:rPr>
          <w:b w:val="0"/>
          <w:i w:val="0"/>
        </w:rPr>
        <w:t xml:space="preserve">; </w:t>
      </w:r>
      <w:hyperlink w:anchor="vii-nutrition-principal-agent">
        <w:r>
          <w:rPr>
            <w:color w:val="000000"/>
          </w:rPr>
          <w:t xml:space="preserve">Nutrition, growth and the principal agent</w:t>
        </w:r>
      </w:hyperlink>
      <w:r>
        <w:rPr>
          <w:b w:val="0"/>
          <w:i w:val="0"/>
        </w:rPr>
        <w:t>.</w:t>
      </w:r>
    </w:p>
    <w:p>
      <w:pPr>
        <w:widowControl/>
      </w:pPr>
      <w:r>
        <w:rPr>
          <w:b/>
          <w:i w:val="0"/>
        </w:rPr>
        <w:t>Proclus and self-production.</w:t>
      </w:r>
      <w:r>
        <w:rPr>
          <w:b w:val="0"/>
          <w:i w:val="0"/>
        </w:rPr>
        <w:t xml:space="preserve"> </w:t>
      </w:r>
      <w:hyperlink w:anchor="viii-self-cause">
        <w:r>
          <w:rPr>
            <w:color w:val="000000"/>
          </w:rPr>
          <w:t xml:space="preserve">Self-causation: formal cause and efficient cause</w:t>
        </w:r>
      </w:hyperlink>
      <w:r>
        <w:rPr>
          <w:b w:val="0"/>
          <w:i w:val="0"/>
        </w:rPr>
        <w:t xml:space="preserve">; </w:t>
      </w:r>
      <w:hyperlink w:anchor="platonist-disagreement-and-descent">
        <w:r>
          <w:rPr>
            <w:color w:val="000000"/>
          </w:rPr>
          <w:t xml:space="preserve">Platonist disagreement and descent</w:t>
        </w:r>
      </w:hyperlink>
      <w:r>
        <w:rPr>
          <w:b w:val="0"/>
          <w:i w:val="0"/>
        </w:rPr>
        <w:t>.</w:t>
      </w:r>
    </w:p>
    <w:p>
      <w:pPr>
        <w:widowControl/>
      </w:pPr>
      <w:r>
        <w:rPr>
          <w:b/>
          <w:i w:val="0"/>
        </w:rPr>
        <w:t>Rational soul.</w:t>
      </w:r>
      <w:r>
        <w:rPr>
          <w:b w:val="0"/>
          <w:i w:val="0"/>
        </w:rPr>
        <w:t xml:space="preserve"> </w:t>
      </w:r>
      <w:hyperlink w:anchor="rational-soul-and-irrational-life">
        <w:r>
          <w:rPr>
            <w:color w:val="000000"/>
          </w:rPr>
          <w:t xml:space="preserve">Rational soul and irrational life</w:t>
        </w:r>
      </w:hyperlink>
      <w:r>
        <w:rPr>
          <w:b w:val="0"/>
          <w:i w:val="0"/>
        </w:rPr>
        <w:t>.</w:t>
      </w:r>
    </w:p>
    <w:p>
      <w:pPr>
        <w:widowControl/>
      </w:pPr>
      <w:r>
        <w:rPr>
          <w:b/>
          <w:i w:val="0"/>
        </w:rPr>
        <w:t>Reason and reasoning.</w:t>
      </w:r>
      <w:r>
        <w:rPr>
          <w:b w:val="0"/>
          <w:i w:val="0"/>
        </w:rPr>
        <w:t xml:space="preserve"> </w:t>
      </w:r>
      <w:hyperlink w:anchor="intelligible-principles-and-reasoning">
        <w:r>
          <w:rPr>
            <w:color w:val="000000"/>
          </w:rPr>
          <w:t xml:space="preserve">Intelligible principles and reasoning</w:t>
        </w:r>
      </w:hyperlink>
      <w:r>
        <w:rPr>
          <w:b w:val="0"/>
          <w:i w:val="0"/>
        </w:rPr>
        <w:t xml:space="preserve">; </w:t>
      </w:r>
      <w:hyperlink w:anchor="sensory-error-and-corrective-reason">
        <w:r>
          <w:rPr>
            <w:color w:val="000000"/>
          </w:rPr>
          <w:t xml:space="preserve">Sensory error and corrective reason</w:t>
        </w:r>
      </w:hyperlink>
      <w:r>
        <w:rPr>
          <w:b w:val="0"/>
          <w:i w:val="0"/>
        </w:rPr>
        <w:t>.</w:t>
      </w:r>
    </w:p>
    <w:p>
      <w:pPr>
        <w:widowControl/>
      </w:pPr>
      <w:r>
        <w:rPr>
          <w:b/>
          <w:i w:val="0"/>
        </w:rPr>
        <w:t>Reception of forms.</w:t>
      </w:r>
      <w:r>
        <w:rPr>
          <w:b w:val="0"/>
          <w:i w:val="0"/>
        </w:rPr>
        <w:t xml:space="preserve"> </w:t>
      </w:r>
      <w:hyperlink w:anchor="reception-and-the-receiver">
        <w:r>
          <w:rPr>
            <w:color w:val="000000"/>
          </w:rPr>
          <w:t xml:space="preserve">Reception and the receiver</w:t>
        </w:r>
      </w:hyperlink>
      <w:r>
        <w:rPr>
          <w:b w:val="0"/>
          <w:i w:val="0"/>
        </w:rPr>
        <w:t xml:space="preserve">; </w:t>
      </w:r>
      <w:hyperlink w:anchor="viii-reception-identity">
        <w:r>
          <w:rPr>
            <w:color w:val="000000"/>
          </w:rPr>
          <w:t xml:space="preserve">Receiving forms without losing one’s own</w:t>
        </w:r>
      </w:hyperlink>
      <w:r>
        <w:rPr>
          <w:b w:val="0"/>
          <w:i w:val="0"/>
        </w:rPr>
        <w:t>.</w:t>
      </w:r>
    </w:p>
    <w:p>
      <w:pPr>
        <w:widowControl/>
      </w:pPr>
      <w:r>
        <w:rPr>
          <w:b/>
          <w:i w:val="0"/>
        </w:rPr>
        <w:t>Reflection and reflexivity.</w:t>
      </w:r>
      <w:r>
        <w:rPr>
          <w:b w:val="0"/>
          <w:i w:val="0"/>
        </w:rPr>
        <w:t xml:space="preserve"> </w:t>
      </w:r>
      <w:hyperlink w:anchor="viii-reflexive-will">
        <w:r>
          <w:rPr>
            <w:color w:val="000000"/>
          </w:rPr>
          <w:t xml:space="preserve">Reflexive understanding and willing</w:t>
        </w:r>
      </w:hyperlink>
      <w:r>
        <w:rPr>
          <w:b w:val="0"/>
          <w:i w:val="0"/>
        </w:rPr>
        <w:t xml:space="preserve">; </w:t>
      </w:r>
      <w:hyperlink w:anchor="viii-immediate-reflexive">
        <w:r>
          <w:rPr>
            <w:color w:val="000000"/>
          </w:rPr>
          <w:t xml:space="preserve">Immediate intellection and the return to particulars</w:t>
        </w:r>
      </w:hyperlink>
      <w:r>
        <w:rPr>
          <w:b w:val="0"/>
          <w:i w:val="0"/>
        </w:rPr>
        <w:t>.</w:t>
      </w:r>
    </w:p>
    <w:p>
      <w:pPr>
        <w:widowControl/>
      </w:pPr>
      <w:r>
        <w:rPr>
          <w:b/>
          <w:i w:val="0"/>
        </w:rPr>
        <w:t>Rest and stability.</w:t>
      </w:r>
      <w:r>
        <w:rPr>
          <w:b w:val="0"/>
          <w:i w:val="0"/>
        </w:rPr>
        <w:t xml:space="preserve"> </w:t>
      </w:r>
      <w:hyperlink w:anchor="motion-and-substantial-stability">
        <w:r>
          <w:rPr>
            <w:color w:val="000000"/>
          </w:rPr>
          <w:t xml:space="preserve">Motion and substantial stability</w:t>
        </w:r>
      </w:hyperlink>
      <w:r>
        <w:rPr>
          <w:b w:val="0"/>
          <w:i w:val="0"/>
        </w:rPr>
        <w:t xml:space="preserve">; </w:t>
      </w:r>
      <w:hyperlink w:anchor="viii-repose-contemplation">
        <w:r>
          <w:rPr>
            <w:color w:val="000000"/>
          </w:rPr>
          <w:t xml:space="preserve">Repose, motion, and contemplation</w:t>
        </w:r>
      </w:hyperlink>
      <w:r>
        <w:rPr>
          <w:b w:val="0"/>
          <w:i w:val="0"/>
        </w:rPr>
        <w:t>.</w:t>
      </w:r>
    </w:p>
    <w:p>
      <w:pPr>
        <w:widowControl/>
      </w:pPr>
      <w:r>
        <w:rPr>
          <w:b/>
          <w:i w:val="0"/>
        </w:rPr>
        <w:t>River.</w:t>
      </w:r>
      <w:r>
        <w:rPr>
          <w:b w:val="0"/>
          <w:i w:val="0"/>
        </w:rPr>
        <w:t xml:space="preserve"> </w:t>
      </w:r>
      <w:hyperlink w:anchor="stable-craftsman-and-river-reflection">
        <w:r>
          <w:rPr>
            <w:color w:val="000000"/>
          </w:rPr>
          <w:t xml:space="preserve">Stable craftsman and the river reflection</w:t>
        </w:r>
      </w:hyperlink>
      <w:r>
        <w:rPr>
          <w:b w:val="0"/>
          <w:i w:val="0"/>
        </w:rPr>
        <w:t>.</w:t>
      </w:r>
    </w:p>
    <w:p>
      <w:pPr>
        <w:widowControl/>
      </w:pPr>
      <w:r>
        <w:rPr>
          <w:b/>
          <w:i w:val="0"/>
        </w:rPr>
        <w:t>Secondary causes.</w:t>
      </w:r>
      <w:r>
        <w:rPr>
          <w:b w:val="0"/>
          <w:i w:val="0"/>
        </w:rPr>
        <w:t xml:space="preserve"> </w:t>
      </w:r>
      <w:hyperlink w:anchor="first-cause">
        <w:r>
          <w:rPr>
            <w:color w:val="000000"/>
          </w:rPr>
          <w:t xml:space="preserve">First Cause, principal causes and causal dependence</w:t>
        </w:r>
      </w:hyperlink>
      <w:r>
        <w:rPr>
          <w:b w:val="0"/>
          <w:i w:val="0"/>
        </w:rPr>
        <w:t xml:space="preserve">; </w:t>
      </w:r>
      <w:hyperlink w:anchor="participation-common-and-proper">
        <w:r>
          <w:rPr>
            <w:color w:val="000000"/>
          </w:rPr>
          <w:t xml:space="preserve">Participation, common and proper</w:t>
        </w:r>
      </w:hyperlink>
      <w:r>
        <w:rPr>
          <w:b w:val="0"/>
          <w:i w:val="0"/>
        </w:rPr>
        <w:t>.</w:t>
      </w:r>
    </w:p>
    <w:p>
      <w:pPr>
        <w:widowControl/>
      </w:pPr>
      <w:r>
        <w:rPr>
          <w:b/>
          <w:i w:val="0"/>
        </w:rPr>
        <w:t>Sensation.</w:t>
      </w:r>
      <w:r>
        <w:rPr>
          <w:b w:val="0"/>
          <w:i w:val="0"/>
        </w:rPr>
        <w:t xml:space="preserve"> </w:t>
      </w:r>
      <w:hyperlink w:anchor="vii-one-comprehension">
        <w:r>
          <w:rPr>
            <w:color w:val="000000"/>
          </w:rPr>
          <w:t xml:space="preserve">One comprehension and indivisible sensation</w:t>
        </w:r>
      </w:hyperlink>
      <w:r>
        <w:rPr>
          <w:b w:val="0"/>
          <w:i w:val="0"/>
        </w:rPr>
        <w:t xml:space="preserve">; </w:t>
      </w:r>
      <w:hyperlink w:anchor="vii-sensation-attention">
        <w:r>
          <w:rPr>
            <w:color w:val="000000"/>
          </w:rPr>
          <w:t xml:space="preserve">Sensation as attentive activity</w:t>
        </w:r>
      </w:hyperlink>
      <w:r>
        <w:rPr>
          <w:b w:val="0"/>
          <w:i w:val="0"/>
        </w:rPr>
        <w:t xml:space="preserve">; </w:t>
      </w:r>
      <w:hyperlink w:anchor="viii-four-stages">
        <w:r>
          <w:rPr>
            <w:color w:val="000000"/>
          </w:rPr>
          <w:t xml:space="preserve">Four stages of cognition</w:t>
        </w:r>
      </w:hyperlink>
      <w:r>
        <w:rPr>
          <w:b w:val="0"/>
          <w:i w:val="0"/>
        </w:rPr>
        <w:t>.</w:t>
      </w:r>
    </w:p>
    <w:p>
      <w:pPr>
        <w:widowControl/>
      </w:pPr>
      <w:r>
        <w:rPr>
          <w:b/>
          <w:i w:val="0"/>
        </w:rPr>
        <w:t>Soul.</w:t>
      </w:r>
      <w:r>
        <w:rPr>
          <w:b w:val="0"/>
          <w:i w:val="0"/>
        </w:rPr>
        <w:t xml:space="preserve"> </w:t>
      </w:r>
      <w:hyperlink w:anchor="rational-soul-and-irrational-life">
        <w:r>
          <w:rPr>
            <w:color w:val="000000"/>
          </w:rPr>
          <w:t xml:space="preserve">Rational soul and irrational life</w:t>
        </w:r>
      </w:hyperlink>
      <w:r>
        <w:rPr>
          <w:b w:val="0"/>
          <w:i w:val="0"/>
        </w:rPr>
        <w:t xml:space="preserve">; </w:t>
      </w:r>
      <w:hyperlink w:anchor="divine-production-and-third-essence">
        <w:r>
          <w:rPr>
            <w:color w:val="000000"/>
          </w:rPr>
          <w:t xml:space="preserve">Divine production and the third essence</w:t>
        </w:r>
      </w:hyperlink>
      <w:r>
        <w:rPr>
          <w:b w:val="0"/>
          <w:i w:val="0"/>
        </w:rPr>
        <w:t>.</w:t>
      </w:r>
    </w:p>
    <w:p>
      <w:pPr>
        <w:widowControl/>
      </w:pPr>
      <w:r>
        <w:rPr>
          <w:b/>
          <w:i w:val="0"/>
        </w:rPr>
        <w:t>Soul as body.</w:t>
      </w:r>
      <w:r>
        <w:rPr>
          <w:b w:val="0"/>
          <w:i w:val="0"/>
        </w:rPr>
        <w:t xml:space="preserve"> </w:t>
      </w:r>
      <w:hyperlink w:anchor="corporeal-soul-and-elemental-doxography">
        <w:r>
          <w:rPr>
            <w:color w:val="000000"/>
          </w:rPr>
          <w:t xml:space="preserve">Corporeal soul and elemental doxography</w:t>
        </w:r>
      </w:hyperlink>
      <w:r>
        <w:rPr>
          <w:b w:val="0"/>
          <w:i w:val="0"/>
        </w:rPr>
        <w:t>.</w:t>
      </w:r>
    </w:p>
    <w:p>
      <w:pPr>
        <w:widowControl/>
      </w:pPr>
      <w:r>
        <w:rPr>
          <w:b/>
          <w:i w:val="0"/>
        </w:rPr>
        <w:t>Spiritual magnitude.</w:t>
      </w:r>
      <w:r>
        <w:rPr>
          <w:b w:val="0"/>
          <w:i w:val="0"/>
        </w:rPr>
        <w:t xml:space="preserve"> </w:t>
      </w:r>
      <w:hyperlink w:anchor="number-and-spiritual-amplitude">
        <w:r>
          <w:rPr>
            <w:color w:val="000000"/>
          </w:rPr>
          <w:t xml:space="preserve">Number and spiritual amplitude</w:t>
        </w:r>
      </w:hyperlink>
      <w:r>
        <w:rPr>
          <w:b w:val="0"/>
          <w:i w:val="0"/>
        </w:rPr>
        <w:t>.</w:t>
      </w:r>
    </w:p>
    <w:p>
      <w:pPr>
        <w:widowControl/>
      </w:pPr>
      <w:r>
        <w:rPr>
          <w:b/>
          <w:i w:val="0"/>
        </w:rPr>
        <w:t>Spiritual matter.</w:t>
      </w:r>
      <w:r>
        <w:rPr>
          <w:b w:val="0"/>
          <w:i w:val="0"/>
        </w:rPr>
        <w:t xml:space="preserve"> </w:t>
      </w:r>
      <w:hyperlink w:anchor="spiritual-matter-and-identity">
        <w:r>
          <w:rPr>
            <w:color w:val="000000"/>
          </w:rPr>
          <w:t xml:space="preserve">Spiritual matter and identity</w:t>
        </w:r>
      </w:hyperlink>
      <w:r>
        <w:rPr>
          <w:b w:val="0"/>
          <w:i w:val="0"/>
        </w:rPr>
        <w:t>.</w:t>
      </w:r>
    </w:p>
    <w:p>
      <w:pPr>
        <w:widowControl/>
      </w:pPr>
      <w:r>
        <w:rPr>
          <w:b/>
          <w:i w:val="0"/>
        </w:rPr>
        <w:t>Substance and accident.</w:t>
      </w:r>
      <w:r>
        <w:rPr>
          <w:b w:val="0"/>
          <w:i w:val="0"/>
        </w:rPr>
        <w:t xml:space="preserve"> </w:t>
      </w:r>
      <w:hyperlink w:anchor="creature-power-and-operation">
        <w:r>
          <w:rPr>
            <w:color w:val="000000"/>
          </w:rPr>
          <w:t xml:space="preserve">Creature, power and operation</w:t>
        </w:r>
      </w:hyperlink>
      <w:r>
        <w:rPr>
          <w:b w:val="0"/>
          <w:i w:val="0"/>
        </w:rPr>
        <w:t xml:space="preserve">; </w:t>
      </w:r>
      <w:hyperlink w:anchor="vii-substance-degrees">
        <w:r>
          <w:rPr>
            <w:color w:val="000000"/>
          </w:rPr>
          <w:t xml:space="preserve">Substance, qualities and degrees</w:t>
        </w:r>
      </w:hyperlink>
      <w:r>
        <w:rPr>
          <w:b w:val="0"/>
          <w:i w:val="0"/>
        </w:rPr>
        <w:t>.</w:t>
      </w:r>
    </w:p>
    <w:p>
      <w:pPr>
        <w:widowControl/>
      </w:pPr>
      <w:r>
        <w:rPr>
          <w:b/>
          <w:i w:val="0"/>
        </w:rPr>
        <w:t>Substantial form.</w:t>
      </w:r>
      <w:r>
        <w:rPr>
          <w:b w:val="0"/>
          <w:i w:val="0"/>
        </w:rPr>
        <w:t xml:space="preserve"> </w:t>
      </w:r>
      <w:hyperlink w:anchor="form-and-formal-being">
        <w:r>
          <w:rPr>
            <w:color w:val="000000"/>
          </w:rPr>
          <w:t xml:space="preserve">Form and formal being</w:t>
        </w:r>
      </w:hyperlink>
      <w:r>
        <w:rPr>
          <w:b w:val="0"/>
          <w:i w:val="0"/>
        </w:rPr>
        <w:t xml:space="preserve">; </w:t>
      </w:r>
      <w:hyperlink w:anchor="substantial-form-and-receiving-subject">
        <w:r>
          <w:rPr>
            <w:color w:val="000000"/>
          </w:rPr>
          <w:t xml:space="preserve">Substantial form and the receiving subject</w:t>
        </w:r>
      </w:hyperlink>
      <w:r>
        <w:rPr>
          <w:b w:val="0"/>
          <w:i w:val="0"/>
        </w:rPr>
        <w:t>.</w:t>
      </w:r>
    </w:p>
    <w:p>
      <w:pPr>
        <w:widowControl/>
      </w:pPr>
      <w:r>
        <w:rPr>
          <w:b/>
          <w:i w:val="0"/>
        </w:rPr>
        <w:t>Time.</w:t>
      </w:r>
      <w:r>
        <w:rPr>
          <w:b w:val="0"/>
          <w:i w:val="0"/>
        </w:rPr>
        <w:t xml:space="preserve"> </w:t>
      </w:r>
      <w:hyperlink w:anchor="time-memory-and-expectation">
        <w:r>
          <w:rPr>
            <w:color w:val="000000"/>
          </w:rPr>
          <w:t xml:space="preserve">Time, memory and expectation</w:t>
        </w:r>
      </w:hyperlink>
      <w:r>
        <w:rPr>
          <w:b w:val="0"/>
          <w:i w:val="0"/>
        </w:rPr>
        <w:t xml:space="preserve">; </w:t>
      </w:r>
      <w:hyperlink w:anchor="temporal-discourse-and-psychic-ascent">
        <w:r>
          <w:rPr>
            <w:color w:val="000000"/>
          </w:rPr>
          <w:t xml:space="preserve">Temporal discourse and psychic ascent</w:t>
        </w:r>
      </w:hyperlink>
      <w:r>
        <w:rPr>
          <w:b w:val="0"/>
          <w:i w:val="0"/>
        </w:rPr>
        <w:t>.</w:t>
      </w:r>
    </w:p>
    <w:p>
      <w:pPr>
        <w:widowControl/>
      </w:pPr>
      <w:r>
        <w:rPr>
          <w:b/>
          <w:i w:val="0"/>
        </w:rPr>
        <w:t>Truth.</w:t>
      </w:r>
      <w:r>
        <w:rPr>
          <w:b w:val="0"/>
          <w:i w:val="0"/>
        </w:rPr>
        <w:t xml:space="preserve"> </w:t>
      </w:r>
      <w:hyperlink w:anchor="viii-truth-mathematics">
        <w:r>
          <w:rPr>
            <w:color w:val="000000"/>
          </w:rPr>
          <w:t xml:space="preserve">Truth, mathematical figures, and immutable principles</w:t>
        </w:r>
      </w:hyperlink>
      <w:r>
        <w:rPr>
          <w:b w:val="0"/>
          <w:i w:val="0"/>
        </w:rPr>
        <w:t xml:space="preserve">; </w:t>
      </w:r>
      <w:hyperlink w:anchor="viii-food-truth">
        <w:r>
          <w:rPr>
            <w:color w:val="000000"/>
          </w:rPr>
          <w:t xml:space="preserve">Food, truth, and the hungry mind</w:t>
        </w:r>
      </w:hyperlink>
      <w:r>
        <w:rPr>
          <w:b w:val="0"/>
          <w:i w:val="0"/>
        </w:rPr>
        <w:t>.</w:t>
      </w:r>
    </w:p>
    <w:p>
      <w:pPr>
        <w:widowControl/>
      </w:pPr>
      <w:r>
        <w:rPr>
          <w:b/>
          <w:i w:val="0"/>
        </w:rPr>
        <w:t>Unity and whole presence.</w:t>
      </w:r>
      <w:r>
        <w:rPr>
          <w:b w:val="0"/>
          <w:i w:val="0"/>
        </w:rPr>
        <w:t xml:space="preserve"> </w:t>
      </w:r>
      <w:hyperlink w:anchor="unity-dispersion-and-inward-bond">
        <w:r>
          <w:rPr>
            <w:color w:val="000000"/>
          </w:rPr>
          <w:t xml:space="preserve">Unity, dispersion and the inward bond</w:t>
        </w:r>
      </w:hyperlink>
      <w:r>
        <w:rPr>
          <w:b w:val="0"/>
          <w:i w:val="0"/>
        </w:rPr>
        <w:t xml:space="preserve">; </w:t>
      </w:r>
      <w:hyperlink w:anchor="vii-whole-soul-vital-intensity">
        <w:r>
          <w:rPr>
            <w:color w:val="000000"/>
          </w:rPr>
          <w:t xml:space="preserve">Whole presence and vital intensity</w:t>
        </w:r>
      </w:hyperlink>
      <w:r>
        <w:rPr>
          <w:b w:val="0"/>
          <w:i w:val="0"/>
        </w:rPr>
        <w:t xml:space="preserve">; </w:t>
      </w:r>
      <w:hyperlink w:anchor="viii-whole-mind">
        <w:r>
          <w:rPr>
            <w:color w:val="000000"/>
          </w:rPr>
          <w:t xml:space="preserve">The whole mind and the measure of equality</w:t>
        </w:r>
      </w:hyperlink>
      <w:r>
        <w:rPr>
          <w:b w:val="0"/>
          <w:i w:val="0"/>
        </w:rPr>
        <w:t>.</w:t>
      </w:r>
    </w:p>
    <w:p>
      <w:pPr>
        <w:widowControl/>
      </w:pPr>
      <w:r>
        <w:rPr>
          <w:b/>
          <w:i w:val="0"/>
        </w:rPr>
        <w:t>Universals.</w:t>
      </w:r>
      <w:r>
        <w:rPr>
          <w:b w:val="0"/>
          <w:i w:val="0"/>
        </w:rPr>
        <w:t xml:space="preserve"> </w:t>
      </w:r>
      <w:hyperlink w:anchor="viii-universal-idea">
        <w:r>
          <w:rPr>
            <w:color w:val="000000"/>
          </w:rPr>
          <w:t xml:space="preserve">Common nature, participation, and the divine Idea</w:t>
        </w:r>
      </w:hyperlink>
      <w:r>
        <w:rPr>
          <w:b w:val="0"/>
          <w:i w:val="0"/>
        </w:rPr>
        <w:t xml:space="preserve">; </w:t>
      </w:r>
      <w:hyperlink w:anchor="viii-universality-law">
        <w:r>
          <w:rPr>
            <w:color w:val="000000"/>
          </w:rPr>
          <w:t xml:space="preserve">Universality, law, and material restriction</w:t>
        </w:r>
      </w:hyperlink>
      <w:r>
        <w:rPr>
          <w:b w:val="0"/>
          <w:i w:val="0"/>
        </w:rPr>
        <w:t>.</w:t>
      </w:r>
    </w:p>
    <w:p>
      <w:pPr>
        <w:widowControl/>
      </w:pPr>
      <w:r>
        <w:rPr>
          <w:b/>
          <w:i w:val="0"/>
        </w:rPr>
        <w:t>Vegetative power.</w:t>
      </w:r>
      <w:r>
        <w:rPr>
          <w:b w:val="0"/>
          <w:i w:val="0"/>
        </w:rPr>
        <w:t xml:space="preserve"> </w:t>
      </w:r>
      <w:hyperlink w:anchor="three-offices-and-proof-order">
        <w:r>
          <w:rPr>
            <w:color w:val="000000"/>
          </w:rPr>
          <w:t xml:space="preserve">Three offices and the order of proof</w:t>
        </w:r>
      </w:hyperlink>
      <w:r>
        <w:rPr>
          <w:b w:val="0"/>
          <w:i w:val="0"/>
        </w:rPr>
        <w:t xml:space="preserve">; </w:t>
      </w:r>
      <w:hyperlink w:anchor="nourishment-and-life-giving-form">
        <w:r>
          <w:rPr>
            <w:color w:val="000000"/>
          </w:rPr>
          <w:t xml:space="preserve">Nourishment and the life-giving form</w:t>
        </w:r>
      </w:hyperlink>
      <w:r>
        <w:rPr>
          <w:b w:val="0"/>
          <w:i w:val="0"/>
        </w:rPr>
        <w:t>.</w:t>
      </w:r>
    </w:p>
    <w:p>
      <w:pPr>
        <w:widowControl/>
      </w:pPr>
      <w:r>
        <w:rPr>
          <w:b/>
          <w:i w:val="0"/>
        </w:rPr>
        <w:t>Virtue and power.</w:t>
      </w:r>
      <w:r>
        <w:rPr>
          <w:b w:val="0"/>
          <w:i w:val="0"/>
        </w:rPr>
        <w:t xml:space="preserve"> </w:t>
      </w:r>
      <w:hyperlink w:anchor="viii-virtue-quality">
        <w:r>
          <w:rPr>
            <w:color w:val="000000"/>
          </w:rPr>
          <w:t xml:space="preserve">Virtue as an indivisible quality</w:t>
        </w:r>
      </w:hyperlink>
      <w:r>
        <w:rPr>
          <w:b w:val="0"/>
          <w:i w:val="0"/>
        </w:rPr>
        <w:t xml:space="preserve">; </w:t>
      </w:r>
      <w:hyperlink w:anchor="creature-power-and-operation">
        <w:r>
          <w:rPr>
            <w:color w:val="000000"/>
          </w:rPr>
          <w:t xml:space="preserve">Creature, power and operation</w:t>
        </w:r>
      </w:hyperlink>
      <w:r>
        <w:rPr>
          <w:b w:val="0"/>
          <w:i w:val="0"/>
        </w:rPr>
        <w:t>.</w:t>
      </w:r>
    </w:p>
    <w:p>
      <w:pPr>
        <w:widowControl/>
      </w:pPr>
      <w:r>
        <w:rPr>
          <w:b/>
          <w:i w:val="0"/>
        </w:rPr>
        <w:t>Will.</w:t>
      </w:r>
      <w:r>
        <w:rPr>
          <w:b w:val="0"/>
          <w:i w:val="0"/>
        </w:rPr>
        <w:t xml:space="preserve"> </w:t>
      </w:r>
      <w:hyperlink w:anchor="conversion-desire-and-compulsion">
        <w:r>
          <w:rPr>
            <w:color w:val="000000"/>
          </w:rPr>
          <w:t xml:space="preserve">Conversion, desire and compulsion</w:t>
        </w:r>
      </w:hyperlink>
      <w:r>
        <w:rPr>
          <w:b w:val="0"/>
          <w:i w:val="0"/>
        </w:rPr>
        <w:t xml:space="preserve">; </w:t>
      </w:r>
      <w:hyperlink w:anchor="viii-reflexive-will">
        <w:r>
          <w:rPr>
            <w:color w:val="000000"/>
          </w:rPr>
          <w:t xml:space="preserve">Reflexive understanding and willing</w:t>
        </w:r>
      </w:hyperlink>
      <w:r>
        <w:rPr>
          <w:b w:val="0"/>
          <w:i w:val="0"/>
        </w:rPr>
        <w:t>.</w:t>
      </w:r>
    </w:p>
    <w:p>
      <w:pPr>
        <w:pStyle w:val="Heading1"/>
      </w:pPr>
      <w:bookmarkStart w:id="2000" w:name="thematic-index"/>
      <w:r>
        <w:rPr>
          <w:b w:val="0"/>
          <w:i w:val="0"/>
        </w:rPr>
        <w:t>Thematic index</w:t>
      </w:r>
      <w:bookmarkEnd w:id="2000"/>
    </w:p>
    <w:p>
      <w:pPr>
        <w:widowControl/>
      </w:pPr>
      <w:r>
        <w:rPr>
          <w:b w:val="0"/>
          <w:i w:val="0"/>
        </w:rPr>
        <w:t>These reading routes bring together connected arguments without identifying their terms as synonyms. An article may belong to more than one route.</w:t>
      </w:r>
    </w:p>
    <w:p>
      <w:pPr>
        <w:pStyle w:val="Heading2"/>
      </w:pPr>
      <w:bookmarkStart w:id="2001" w:name="first-cause-and-kinds-of-causal-dependence"/>
      <w:r>
        <w:rPr>
          <w:b w:val="0"/>
          <w:i w:val="0"/>
        </w:rPr>
        <w:t>First Cause and kinds of causal dependence</w:t>
      </w:r>
      <w:bookmarkEnd w:id="2001"/>
    </w:p>
    <w:p>
      <w:pPr>
        <w:widowControl/>
      </w:pPr>
      <w:r>
        <w:rPr>
          <w:b w:val="0"/>
          <w:i w:val="0"/>
        </w:rPr>
        <w:t>Begin with the extended First Cause article, then distinguish constitutive causes, the gift of being, created operations, principal agents, instruments and the formal sense of self-causation.</w:t>
      </w:r>
    </w:p>
    <w:p>
      <w:pPr>
        <w:widowControl/>
      </w:pPr>
      <w:hyperlink w:anchor="first-cause">
        <w:r>
          <w:rPr>
            <w:color w:val="000000"/>
          </w:rPr>
          <w:t xml:space="preserve">First Cause, principal causes and causal dependence</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relation-and-continuing-dependence">
        <w:r>
          <w:rPr>
            <w:color w:val="000000"/>
          </w:rPr>
          <w:t xml:space="preserve">Relation and continuing dependence</w:t>
        </w:r>
      </w:hyperlink>
      <w:r>
        <w:rPr>
          <w:b w:val="0"/>
          <w:i w:val="0"/>
        </w:rPr>
        <w:t xml:space="preserve">; </w:t>
      </w:r>
      <w:hyperlink w:anchor="creation-and-generation">
        <w:r>
          <w:rPr>
            <w:color w:val="000000"/>
          </w:rPr>
          <w:t xml:space="preserve">Creation and generation</w:t>
        </w:r>
      </w:hyperlink>
      <w:r>
        <w:rPr>
          <w:b w:val="0"/>
          <w:i w:val="0"/>
        </w:rPr>
        <w:t xml:space="preserve">; </w:t>
      </w:r>
      <w:hyperlink w:anchor="instrument-and-creative-mediation">
        <w:r>
          <w:rPr>
            <w:color w:val="000000"/>
          </w:rPr>
          <w:t xml:space="preserve">Instrument and creative mediation</w:t>
        </w:r>
      </w:hyperlink>
      <w:r>
        <w:rPr>
          <w:b w:val="0"/>
          <w:i w:val="0"/>
        </w:rPr>
        <w:t xml:space="preserve">; </w:t>
      </w:r>
      <w:hyperlink w:anchor="creature-power-and-operation">
        <w:r>
          <w:rPr>
            <w:color w:val="000000"/>
          </w:rPr>
          <w:t xml:space="preserve">Creature, power and operation</w:t>
        </w:r>
      </w:hyperlink>
      <w:r>
        <w:rPr>
          <w:b w:val="0"/>
          <w:i w:val="0"/>
        </w:rPr>
        <w:t xml:space="preserve">; </w:t>
      </w:r>
      <w:hyperlink w:anchor="participation-common-and-proper">
        <w:r>
          <w:rPr>
            <w:color w:val="000000"/>
          </w:rPr>
          <w:t xml:space="preserve">Participation, common and proper</w:t>
        </w:r>
      </w:hyperlink>
      <w:r>
        <w:rPr>
          <w:b w:val="0"/>
          <w:i w:val="0"/>
        </w:rPr>
        <w:t xml:space="preserve">; </w:t>
      </w:r>
      <w:hyperlink w:anchor="divine-production-and-third-essence">
        <w:r>
          <w:rPr>
            <w:color w:val="000000"/>
          </w:rPr>
          <w:t xml:space="preserve">Divine production and the third essence</w:t>
        </w:r>
      </w:hyperlink>
      <w:r>
        <w:rPr>
          <w:b w:val="0"/>
          <w:i w:val="0"/>
        </w:rPr>
        <w:t xml:space="preserve">; </w:t>
      </w:r>
      <w:hyperlink w:anchor="vii-nutrition-principal-agent">
        <w:r>
          <w:rPr>
            <w:color w:val="000000"/>
          </w:rPr>
          <w:t xml:space="preserve">Nutrition, growth and the principal agent</w:t>
        </w:r>
      </w:hyperlink>
      <w:r>
        <w:rPr>
          <w:b w:val="0"/>
          <w:i w:val="0"/>
        </w:rPr>
        <w:t xml:space="preserve">; </w:t>
      </w:r>
      <w:hyperlink w:anchor="vii-freedom-matter">
        <w:r>
          <w:rPr>
            <w:color w:val="000000"/>
          </w:rPr>
          <w:t xml:space="preserve">Freedom from matter and causal priority</w:t>
        </w:r>
      </w:hyperlink>
      <w:r>
        <w:rPr>
          <w:b w:val="0"/>
          <w:i w:val="0"/>
        </w:rPr>
        <w:t xml:space="preserve">; </w:t>
      </w:r>
      <w:hyperlink w:anchor="viii-self-cause">
        <w:r>
          <w:rPr>
            <w:color w:val="000000"/>
          </w:rPr>
          <w:t xml:space="preserve">Self-causation: formal cause and efficient cause</w:t>
        </w:r>
      </w:hyperlink>
      <w:r>
        <w:rPr>
          <w:b w:val="0"/>
          <w:i w:val="0"/>
        </w:rPr>
        <w:t>.</w:t>
      </w:r>
    </w:p>
    <w:p>
      <w:pPr>
        <w:pStyle w:val="Heading2"/>
      </w:pPr>
      <w:bookmarkStart w:id="2002" w:name="being-form-matter-and-reception"/>
      <w:r>
        <w:rPr>
          <w:b w:val="0"/>
          <w:i w:val="0"/>
        </w:rPr>
        <w:t>Being form matter and reception</w:t>
      </w:r>
      <w:bookmarkEnd w:id="2002"/>
    </w:p>
    <w:p>
      <w:pPr>
        <w:widowControl/>
      </w:pPr>
      <w:r>
        <w:rPr>
          <w:b w:val="0"/>
          <w:i w:val="0"/>
        </w:rPr>
        <w:t>These articles separate essence, being, form and operative power, and distinguish material reception from the qualified receptivity of incorporeal substances.</w:t>
      </w:r>
    </w:p>
    <w:p>
      <w:pPr>
        <w:widowControl/>
      </w:pPr>
      <w:hyperlink w:anchor="prime-matter-and-enduring-support">
        <w:r>
          <w:rPr>
            <w:color w:val="000000"/>
          </w:rPr>
          <w:t xml:space="preserve">Prime matter and enduring support</w:t>
        </w:r>
      </w:hyperlink>
      <w:r>
        <w:rPr>
          <w:b w:val="0"/>
          <w:i w:val="0"/>
        </w:rPr>
        <w:t xml:space="preserve">; </w:t>
      </w:r>
      <w:hyperlink w:anchor="essence-and-being">
        <w:r>
          <w:rPr>
            <w:color w:val="000000"/>
          </w:rPr>
          <w:t xml:space="preserve">Essence and being</w:t>
        </w:r>
      </w:hyperlink>
      <w:r>
        <w:rPr>
          <w:b w:val="0"/>
          <w:i w:val="0"/>
        </w:rPr>
        <w:t xml:space="preserve">; </w:t>
      </w:r>
      <w:hyperlink w:anchor="form-and-formal-being">
        <w:r>
          <w:rPr>
            <w:color w:val="000000"/>
          </w:rPr>
          <w:t xml:space="preserve">Form and formal being</w:t>
        </w:r>
      </w:hyperlink>
      <w:r>
        <w:rPr>
          <w:b w:val="0"/>
          <w:i w:val="0"/>
        </w:rPr>
        <w:t xml:space="preserve">; </w:t>
      </w:r>
      <w:hyperlink w:anchor="reception-and-the-receiver">
        <w:r>
          <w:rPr>
            <w:color w:val="000000"/>
          </w:rPr>
          <w:t xml:space="preserve">Reception and the receiver</w:t>
        </w:r>
      </w:hyperlink>
      <w:r>
        <w:rPr>
          <w:b w:val="0"/>
          <w:i w:val="0"/>
        </w:rPr>
        <w:t xml:space="preserve">; </w:t>
      </w:r>
      <w:hyperlink w:anchor="spiritual-matter-and-identity">
        <w:r>
          <w:rPr>
            <w:color w:val="000000"/>
          </w:rPr>
          <w:t xml:space="preserve">Spiritual matter and identity</w:t>
        </w:r>
      </w:hyperlink>
      <w:r>
        <w:rPr>
          <w:b w:val="0"/>
          <w:i w:val="0"/>
        </w:rPr>
        <w:t xml:space="preserve">; </w:t>
      </w:r>
      <w:hyperlink w:anchor="potency-possibility-and-the-lion">
        <w:r>
          <w:rPr>
            <w:color w:val="000000"/>
          </w:rPr>
          <w:t xml:space="preserve">Potency, possibility and the lion</w:t>
        </w:r>
      </w:hyperlink>
      <w:r>
        <w:rPr>
          <w:b w:val="0"/>
          <w:i w:val="0"/>
        </w:rPr>
        <w:t xml:space="preserve">; </w:t>
      </w:r>
      <w:hyperlink w:anchor="substantial-form-and-receiving-subject">
        <w:r>
          <w:rPr>
            <w:color w:val="000000"/>
          </w:rPr>
          <w:t xml:space="preserve">Substantial form and the receiving subject</w:t>
        </w:r>
      </w:hyperlink>
      <w:r>
        <w:rPr>
          <w:b w:val="0"/>
          <w:i w:val="0"/>
        </w:rPr>
        <w:t xml:space="preserve">; </w:t>
      </w:r>
      <w:hyperlink w:anchor="viii-reception-identity">
        <w:r>
          <w:rPr>
            <w:color w:val="000000"/>
          </w:rPr>
          <w:t xml:space="preserve">Receiving forms without losing one’s own</w:t>
        </w:r>
      </w:hyperlink>
      <w:r>
        <w:rPr>
          <w:b w:val="0"/>
          <w:i w:val="0"/>
        </w:rPr>
        <w:t xml:space="preserve">; </w:t>
      </w:r>
      <w:hyperlink w:anchor="viii-intellectual-intelligible">
        <w:r>
          <w:rPr>
            <w:color w:val="000000"/>
          </w:rPr>
          <w:t xml:space="preserve">Intellectual forms and intelligible essences</w:t>
        </w:r>
      </w:hyperlink>
      <w:r>
        <w:rPr>
          <w:b w:val="0"/>
          <w:i w:val="0"/>
        </w:rPr>
        <w:t xml:space="preserve">; </w:t>
      </w:r>
      <w:hyperlink w:anchor="viii-mind-transforms">
        <w:r>
          <w:rPr>
            <w:color w:val="000000"/>
          </w:rPr>
          <w:t xml:space="preserve">Mind’s transformation of material conditions</w:t>
        </w:r>
      </w:hyperlink>
      <w:r>
        <w:rPr>
          <w:b w:val="0"/>
          <w:i w:val="0"/>
        </w:rPr>
        <w:t xml:space="preserve">; </w:t>
      </w:r>
      <w:hyperlink w:anchor="viii-operation-kind">
        <w:r>
          <w:rPr>
            <w:color w:val="000000"/>
          </w:rPr>
          <w:t xml:space="preserve">Kind, generation, and operation’s dependence on substance</w:t>
        </w:r>
      </w:hyperlink>
      <w:r>
        <w:rPr>
          <w:b w:val="0"/>
          <w:i w:val="0"/>
        </w:rPr>
        <w:t>.</w:t>
      </w:r>
    </w:p>
    <w:p>
      <w:pPr>
        <w:pStyle w:val="Heading2"/>
      </w:pPr>
      <w:bookmarkStart w:id="2003" w:name="rational-soul-lower-life-and-the-hierarchy"/>
      <w:r>
        <w:rPr>
          <w:b w:val="0"/>
          <w:i w:val="0"/>
        </w:rPr>
        <w:t>Rational soul lower life and the hierarchy</w:t>
      </w:r>
      <w:bookmarkEnd w:id="2003"/>
    </w:p>
    <w:p>
      <w:pPr>
        <w:widowControl/>
      </w:pPr>
      <w:r>
        <w:rPr>
          <w:b w:val="0"/>
          <w:i w:val="0"/>
        </w:rPr>
        <w:t>The rational-soul scope is fundamental. Read these routes together when a passage compares soul, animal life, bodily qualities, angelic mind and God, or reports a disputed descent or migration.</w:t>
      </w:r>
    </w:p>
    <w:p>
      <w:pPr>
        <w:widowControl/>
      </w:pPr>
      <w:hyperlink w:anchor="rational-soul-and-irrational-life">
        <w:r>
          <w:rPr>
            <w:color w:val="000000"/>
          </w:rPr>
          <w:t xml:space="preserve">Rational soul and irrational life</w:t>
        </w:r>
      </w:hyperlink>
      <w:r>
        <w:rPr>
          <w:b w:val="0"/>
          <w:i w:val="0"/>
        </w:rPr>
        <w:t xml:space="preserve">; </w:t>
      </w:r>
      <w:hyperlink w:anchor="inclination-and-independence">
        <w:r>
          <w:rPr>
            <w:color w:val="000000"/>
          </w:rPr>
          <w:t xml:space="preserve">Inclination and independence</w:t>
        </w:r>
      </w:hyperlink>
      <w:r>
        <w:rPr>
          <w:b w:val="0"/>
          <w:i w:val="0"/>
        </w:rPr>
        <w:t xml:space="preserve">; </w:t>
      </w:r>
      <w:hyperlink w:anchor="soul-as-universal-bond">
        <w:r>
          <w:rPr>
            <w:color w:val="000000"/>
          </w:rPr>
          <w:t xml:space="preserve">Soul as universal bond</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corporeal-soul-and-elemental-doxography">
        <w:r>
          <w:rPr>
            <w:color w:val="000000"/>
          </w:rPr>
          <w:t xml:space="preserve">Corporeal soul and elemental doxography</w:t>
        </w:r>
      </w:hyperlink>
      <w:r>
        <w:rPr>
          <w:b w:val="0"/>
          <w:i w:val="0"/>
        </w:rPr>
        <w:t xml:space="preserve">; </w:t>
      </w:r>
      <w:hyperlink w:anchor="constitution-point-and-harmony">
        <w:r>
          <w:rPr>
            <w:color w:val="000000"/>
          </w:rPr>
          <w:t xml:space="preserve">Constitution, localized point and harmony</w:t>
        </w:r>
      </w:hyperlink>
      <w:r>
        <w:rPr>
          <w:b w:val="0"/>
          <w:i w:val="0"/>
        </w:rPr>
        <w:t xml:space="preserve">; </w:t>
      </w:r>
      <w:hyperlink w:anchor="separate-forms-and-intellectual-life">
        <w:r>
          <w:rPr>
            <w:color w:val="000000"/>
          </w:rPr>
          <w:t xml:space="preserve">Separate forms and intellectual life</w:t>
        </w:r>
      </w:hyperlink>
      <w:r>
        <w:rPr>
          <w:b w:val="0"/>
          <w:i w:val="0"/>
        </w:rPr>
        <w:t xml:space="preserve">; </w:t>
      </w:r>
      <w:hyperlink w:anchor="dense-subtle-and-fifth-body">
        <w:r>
          <w:rPr>
            <w:color w:val="000000"/>
          </w:rPr>
          <w:t xml:space="preserve">Dense, subtle and fifth body</w:t>
        </w:r>
      </w:hyperlink>
      <w:r>
        <w:rPr>
          <w:b w:val="0"/>
          <w:i w:val="0"/>
        </w:rPr>
        <w:t xml:space="preserve">; </w:t>
      </w:r>
      <w:hyperlink w:anchor="images-migration-and-perfect-agent">
        <w:r>
          <w:rPr>
            <w:color w:val="000000"/>
          </w:rPr>
          <w:t xml:space="preserve">Images, migration and the perfect agent</w:t>
        </w:r>
      </w:hyperlink>
      <w:r>
        <w:rPr>
          <w:b w:val="0"/>
          <w:i w:val="0"/>
        </w:rPr>
        <w:t xml:space="preserve">; </w:t>
      </w:r>
      <w:hyperlink w:anchor="vii-severed-animals">
        <w:r>
          <w:rPr>
            <w:color w:val="000000"/>
          </w:rPr>
          <w:t xml:space="preserve">Severed animals and replacement souls</w:t>
        </w:r>
      </w:hyperlink>
      <w:r>
        <w:rPr>
          <w:b w:val="0"/>
          <w:i w:val="0"/>
        </w:rPr>
        <w:t xml:space="preserve">; </w:t>
      </w:r>
      <w:hyperlink w:anchor="vii-substance-degrees">
        <w:r>
          <w:rPr>
            <w:color w:val="000000"/>
          </w:rPr>
          <w:t xml:space="preserve">Substance, qualities and degrees</w:t>
        </w:r>
      </w:hyperlink>
      <w:r>
        <w:rPr>
          <w:b w:val="0"/>
          <w:i w:val="0"/>
        </w:rPr>
        <w:t xml:space="preserve">; </w:t>
      </w:r>
      <w:hyperlink w:anchor="viii-finite-angels">
        <w:r>
          <w:rPr>
            <w:color w:val="000000"/>
          </w:rPr>
          <w:t xml:space="preserve">Finite angels, infinite act, and infinite potency</w:t>
        </w:r>
      </w:hyperlink>
      <w:r>
        <w:rPr>
          <w:b w:val="0"/>
          <w:i w:val="0"/>
        </w:rPr>
        <w:t>.</w:t>
      </w:r>
    </w:p>
    <w:p>
      <w:pPr>
        <w:pStyle w:val="Heading2"/>
      </w:pPr>
      <w:bookmarkStart w:id="2004" w:name="life-motion-stability-and-time"/>
      <w:r>
        <w:rPr>
          <w:b w:val="0"/>
          <w:i w:val="0"/>
        </w:rPr>
        <w:t>Life motion stability and time</w:t>
      </w:r>
      <w:bookmarkEnd w:id="2004"/>
    </w:p>
    <w:p>
      <w:pPr>
        <w:widowControl/>
      </w:pPr>
      <w:r>
        <w:rPr>
          <w:b w:val="0"/>
          <w:i w:val="0"/>
        </w:rPr>
        <w:t>Self-motion, vital activity, bodily movement, reflexive return and substantial stability are different comparisons. The motion articles preserve the objections and the steps by which Ficino connects them.</w:t>
      </w:r>
    </w:p>
    <w:p>
      <w:pPr>
        <w:widowControl/>
      </w:pPr>
      <w:hyperlink w:anchor="motion-and-substantial-stability">
        <w:r>
          <w:rPr>
            <w:color w:val="000000"/>
          </w:rPr>
          <w:t xml:space="preserve">Motion and substantial stability</w:t>
        </w:r>
      </w:hyperlink>
      <w:r>
        <w:rPr>
          <w:b w:val="0"/>
          <w:i w:val="0"/>
        </w:rPr>
        <w:t xml:space="preserve">; </w:t>
      </w:r>
      <w:hyperlink w:anchor="natural-striving-source-and-return">
        <w:r>
          <w:rPr>
            <w:color w:val="000000"/>
          </w:rPr>
          <w:t xml:space="preserve">Natural striving, source and return</w:t>
        </w:r>
      </w:hyperlink>
      <w:r>
        <w:rPr>
          <w:b w:val="0"/>
          <w:i w:val="0"/>
        </w:rPr>
        <w:t xml:space="preserve">; </w:t>
      </w:r>
      <w:hyperlink w:anchor="circularity-and-spiritual-spheres">
        <w:r>
          <w:rPr>
            <w:color w:val="000000"/>
          </w:rPr>
          <w:t xml:space="preserve">Circularity and spiritual spheres</w:t>
        </w:r>
      </w:hyperlink>
      <w:r>
        <w:rPr>
          <w:b w:val="0"/>
          <w:i w:val="0"/>
        </w:rPr>
        <w:t xml:space="preserve">; </w:t>
      </w:r>
      <w:hyperlink w:anchor="life-and-vivification">
        <w:r>
          <w:rPr>
            <w:color w:val="000000"/>
          </w:rPr>
          <w:t xml:space="preserve">Life and vivification</w:t>
        </w:r>
      </w:hyperlink>
      <w:r>
        <w:rPr>
          <w:b w:val="0"/>
          <w:i w:val="0"/>
        </w:rPr>
        <w:t xml:space="preserve">; </w:t>
      </w:r>
      <w:hyperlink w:anchor="time-memory-and-expectation">
        <w:r>
          <w:rPr>
            <w:color w:val="000000"/>
          </w:rPr>
          <w:t xml:space="preserve">Time, memory and expectation</w:t>
        </w:r>
      </w:hyperlink>
      <w:r>
        <w:rPr>
          <w:b w:val="0"/>
          <w:i w:val="0"/>
        </w:rPr>
        <w:t xml:space="preserve">; </w:t>
      </w:r>
      <w:hyperlink w:anchor="animation-first-light-and-regress">
        <w:r>
          <w:rPr>
            <w:color w:val="000000"/>
          </w:rPr>
          <w:t xml:space="preserve">Animation, first light and regress</w:t>
        </w:r>
      </w:hyperlink>
      <w:r>
        <w:rPr>
          <w:b w:val="0"/>
          <w:i w:val="0"/>
        </w:rPr>
        <w:t xml:space="preserve">; </w:t>
      </w:r>
      <w:hyperlink w:anchor="contrary-powers-and-directed-movement">
        <w:r>
          <w:rPr>
            <w:color w:val="000000"/>
          </w:rPr>
          <w:t xml:space="preserve">Contrary powers and directed movement</w:t>
        </w:r>
      </w:hyperlink>
      <w:r>
        <w:rPr>
          <w:b w:val="0"/>
          <w:i w:val="0"/>
        </w:rPr>
        <w:t xml:space="preserve">; </w:t>
      </w:r>
      <w:hyperlink w:anchor="primary-self-motion-and-parts">
        <w:r>
          <w:rPr>
            <w:color w:val="000000"/>
          </w:rPr>
          <w:t xml:space="preserve">Primary self-motion and the regress of parts</w:t>
        </w:r>
      </w:hyperlink>
      <w:r>
        <w:rPr>
          <w:b w:val="0"/>
          <w:i w:val="0"/>
        </w:rPr>
        <w:t xml:space="preserve">; </w:t>
      </w:r>
      <w:hyperlink w:anchor="integrity-of-the-whole">
        <w:r>
          <w:rPr>
            <w:color w:val="000000"/>
          </w:rPr>
          <w:t xml:space="preserve">Integrity of the whole</w:t>
        </w:r>
      </w:hyperlink>
      <w:r>
        <w:rPr>
          <w:b w:val="0"/>
          <w:i w:val="0"/>
        </w:rPr>
        <w:t xml:space="preserve">; </w:t>
      </w:r>
      <w:hyperlink w:anchor="vital-motion-action-and-passion">
        <w:r>
          <w:rPr>
            <w:color w:val="000000"/>
          </w:rPr>
          <w:t xml:space="preserve">Vital motion, action and passion</w:t>
        </w:r>
      </w:hyperlink>
      <w:r>
        <w:rPr>
          <w:b w:val="0"/>
          <w:i w:val="0"/>
        </w:rPr>
        <w:t xml:space="preserve">; </w:t>
      </w:r>
      <w:hyperlink w:anchor="eight-motions-and-cold-water">
        <w:r>
          <w:rPr>
            <w:color w:val="000000"/>
          </w:rPr>
          <w:t xml:space="preserve">Eight motions and the cold-water objection</w:t>
        </w:r>
      </w:hyperlink>
      <w:r>
        <w:rPr>
          <w:b w:val="0"/>
          <w:i w:val="0"/>
        </w:rPr>
        <w:t xml:space="preserve">; </w:t>
      </w:r>
      <w:hyperlink w:anchor="generation-corruption-and-self-preservation">
        <w:r>
          <w:rPr>
            <w:color w:val="000000"/>
          </w:rPr>
          <w:t xml:space="preserve">Generation, corruption and self-preservation</w:t>
        </w:r>
      </w:hyperlink>
      <w:r>
        <w:rPr>
          <w:b w:val="0"/>
          <w:i w:val="0"/>
        </w:rPr>
        <w:t xml:space="preserve">; </w:t>
      </w:r>
      <w:hyperlink w:anchor="temporal-discourse-and-psychic-ascent">
        <w:r>
          <w:rPr>
            <w:color w:val="000000"/>
          </w:rPr>
          <w:t xml:space="preserve">Temporal discourse and psychic ascent</w:t>
        </w:r>
      </w:hyperlink>
      <w:r>
        <w:rPr>
          <w:b w:val="0"/>
          <w:i w:val="0"/>
        </w:rPr>
        <w:t xml:space="preserve">; </w:t>
      </w:r>
      <w:hyperlink w:anchor="exemplars-of-bodily-motion-in-soul">
        <w:r>
          <w:rPr>
            <w:color w:val="000000"/>
          </w:rPr>
          <w:t xml:space="preserve">Exemplars of bodily motion in soul</w:t>
        </w:r>
      </w:hyperlink>
      <w:r>
        <w:rPr>
          <w:b w:val="0"/>
          <w:i w:val="0"/>
        </w:rPr>
        <w:t xml:space="preserve">; </w:t>
      </w:r>
      <w:hyperlink w:anchor="stable-craftsman-and-river-reflection">
        <w:r>
          <w:rPr>
            <w:color w:val="000000"/>
          </w:rPr>
          <w:t xml:space="preserve">Stable craftsman and the river reflection</w:t>
        </w:r>
      </w:hyperlink>
      <w:r>
        <w:rPr>
          <w:b w:val="0"/>
          <w:i w:val="0"/>
        </w:rPr>
        <w:t xml:space="preserve">; </w:t>
      </w:r>
      <w:hyperlink w:anchor="viii-repose-contemplation">
        <w:r>
          <w:rPr>
            <w:color w:val="000000"/>
          </w:rPr>
          <w:t xml:space="preserve">Repose, motion, and contemplation</w:t>
        </w:r>
      </w:hyperlink>
      <w:r>
        <w:rPr>
          <w:b w:val="0"/>
          <w:i w:val="0"/>
        </w:rPr>
        <w:t xml:space="preserve">; </w:t>
      </w:r>
      <w:hyperlink w:anchor="viii-outflow-return">
        <w:r>
          <w:rPr>
            <w:color w:val="000000"/>
          </w:rPr>
          <w:t xml:space="preserve">Outward flow and rational life’s return</w:t>
        </w:r>
      </w:hyperlink>
      <w:r>
        <w:rPr>
          <w:b w:val="0"/>
          <w:i w:val="0"/>
        </w:rPr>
        <w:t>.</w:t>
      </w:r>
    </w:p>
    <w:p>
      <w:pPr>
        <w:pStyle w:val="Heading2"/>
      </w:pPr>
      <w:bookmarkStart w:id="2005" w:name="indivisibility-extension-place-and-whole-presence"/>
      <w:r>
        <w:rPr>
          <w:b w:val="0"/>
          <w:i w:val="0"/>
        </w:rPr>
        <w:t>Indivisibility extension place and whole presence</w:t>
      </w:r>
      <w:bookmarkEnd w:id="2005"/>
    </w:p>
    <w:p>
      <w:pPr>
        <w:widowControl/>
      </w:pPr>
      <w:r>
        <w:rPr>
          <w:b w:val="0"/>
          <w:i w:val="0"/>
        </w:rPr>
        <w:t>A point, a small body and an indivisible power are not equivalent. These routes examine spatial distribution, contact, comparison and the relation between parts and the whole.</w:t>
      </w:r>
    </w:p>
    <w:p>
      <w:pPr>
        <w:widowControl/>
      </w:pPr>
      <w:hyperlink w:anchor="indivisibility-and-contact">
        <w:r>
          <w:rPr>
            <w:color w:val="000000"/>
          </w:rPr>
          <w:t xml:space="preserve">Indivisibility and contact</w:t>
        </w:r>
      </w:hyperlink>
      <w:r>
        <w:rPr>
          <w:b w:val="0"/>
          <w:i w:val="0"/>
        </w:rPr>
        <w:t xml:space="preserve">; </w:t>
      </w:r>
      <w:hyperlink w:anchor="number-and-spiritual-amplitude">
        <w:r>
          <w:rPr>
            <w:color w:val="000000"/>
          </w:rPr>
          <w:t xml:space="preserve">Number and spiritual amplitude</w:t>
        </w:r>
      </w:hyperlink>
      <w:r>
        <w:rPr>
          <w:b w:val="0"/>
          <w:i w:val="0"/>
        </w:rPr>
        <w:t xml:space="preserve">; </w:t>
      </w:r>
      <w:hyperlink w:anchor="point-dimension-and-substantial-unity">
        <w:r>
          <w:rPr>
            <w:color w:val="000000"/>
          </w:rPr>
          <w:t xml:space="preserve">Point, dimension and substantial unity</w:t>
        </w:r>
      </w:hyperlink>
      <w:r>
        <w:rPr>
          <w:b w:val="0"/>
          <w:i w:val="0"/>
        </w:rPr>
        <w:t xml:space="preserve">; </w:t>
      </w:r>
      <w:hyperlink w:anchor="essential-presence-and-containment">
        <w:r>
          <w:rPr>
            <w:color w:val="000000"/>
          </w:rPr>
          <w:t xml:space="preserve">Essential presence and containment</w:t>
        </w:r>
      </w:hyperlink>
      <w:r>
        <w:rPr>
          <w:b w:val="0"/>
          <w:i w:val="0"/>
        </w:rPr>
        <w:t xml:space="preserve">; </w:t>
      </w:r>
      <w:hyperlink w:anchor="unity-dispersion-and-inward-bond">
        <w:r>
          <w:rPr>
            <w:color w:val="000000"/>
          </w:rPr>
          <w:t xml:space="preserve">Unity, dispersion and the inward bond</w:t>
        </w:r>
      </w:hyperlink>
      <w:r>
        <w:rPr>
          <w:b w:val="0"/>
          <w:i w:val="0"/>
        </w:rPr>
        <w:t xml:space="preserve">; </w:t>
      </w:r>
      <w:hyperlink w:anchor="place-coincidence-and-painless-penetration">
        <w:r>
          <w:rPr>
            <w:color w:val="000000"/>
          </w:rPr>
          <w:t xml:space="preserve">Place, coincidence and painless penetration</w:t>
        </w:r>
      </w:hyperlink>
      <w:r>
        <w:rPr>
          <w:b w:val="0"/>
          <w:i w:val="0"/>
        </w:rPr>
        <w:t xml:space="preserve">; </w:t>
      </w:r>
      <w:hyperlink w:anchor="members-house-and-sinew">
        <w:r>
          <w:rPr>
            <w:color w:val="000000"/>
          </w:rPr>
          <w:t xml:space="preserve">Members, house and sinew</w:t>
        </w:r>
      </w:hyperlink>
      <w:r>
        <w:rPr>
          <w:b w:val="0"/>
          <w:i w:val="0"/>
        </w:rPr>
        <w:t xml:space="preserve">; </w:t>
      </w:r>
      <w:hyperlink w:anchor="vii-common-sense-comparison">
        <w:r>
          <w:rPr>
            <w:color w:val="000000"/>
          </w:rPr>
          <w:t xml:space="preserve">Comparison and common sense</w:t>
        </w:r>
      </w:hyperlink>
      <w:r>
        <w:rPr>
          <w:b w:val="0"/>
          <w:i w:val="0"/>
        </w:rPr>
        <w:t xml:space="preserve">; </w:t>
      </w:r>
      <w:hyperlink w:anchor="vii-composition-unity">
        <w:r>
          <w:rPr>
            <w:color w:val="000000"/>
          </w:rPr>
          <w:t xml:space="preserve">Composition and inward unity</w:t>
        </w:r>
      </w:hyperlink>
      <w:r>
        <w:rPr>
          <w:b w:val="0"/>
          <w:i w:val="0"/>
        </w:rPr>
        <w:t xml:space="preserve">; </w:t>
      </w:r>
      <w:hyperlink w:anchor="vii-one-comprehension">
        <w:r>
          <w:rPr>
            <w:color w:val="000000"/>
          </w:rPr>
          <w:t xml:space="preserve">One comprehension and indivisible sensation</w:t>
        </w:r>
      </w:hyperlink>
      <w:r>
        <w:rPr>
          <w:b w:val="0"/>
          <w:i w:val="0"/>
        </w:rPr>
        <w:t xml:space="preserve">; </w:t>
      </w:r>
      <w:hyperlink w:anchor="vii-point-line">
        <w:r>
          <w:rPr>
            <w:color w:val="000000"/>
          </w:rPr>
          <w:t xml:space="preserve">Point, line and the comparing power</w:t>
        </w:r>
      </w:hyperlink>
      <w:r>
        <w:rPr>
          <w:b w:val="0"/>
          <w:i w:val="0"/>
        </w:rPr>
        <w:t xml:space="preserve">; </w:t>
      </w:r>
      <w:hyperlink w:anchor="vii-whole-soul-vital-intensity">
        <w:r>
          <w:rPr>
            <w:color w:val="000000"/>
          </w:rPr>
          <w:t xml:space="preserve">Whole presence and vital intensity</w:t>
        </w:r>
      </w:hyperlink>
      <w:r>
        <w:rPr>
          <w:b w:val="0"/>
          <w:i w:val="0"/>
        </w:rPr>
        <w:t xml:space="preserve">; </w:t>
      </w:r>
      <w:hyperlink w:anchor="viii-bodily-points">
        <w:r>
          <w:rPr>
            <w:color w:val="000000"/>
          </w:rPr>
          <w:t xml:space="preserve">Bodily points and the seat of understanding</w:t>
        </w:r>
      </w:hyperlink>
      <w:r>
        <w:rPr>
          <w:b w:val="0"/>
          <w:i w:val="0"/>
        </w:rPr>
        <w:t xml:space="preserve">; </w:t>
      </w:r>
      <w:hyperlink w:anchor="viii-touch-traversal">
        <w:r>
          <w:rPr>
            <w:color w:val="000000"/>
          </w:rPr>
          <w:t xml:space="preserve">Touch, traversal, and the rejection of bodily contact</w:t>
        </w:r>
      </w:hyperlink>
      <w:r>
        <w:rPr>
          <w:b w:val="0"/>
          <w:i w:val="0"/>
        </w:rPr>
        <w:t xml:space="preserve">; </w:t>
      </w:r>
      <w:hyperlink w:anchor="viii-whole-mind">
        <w:r>
          <w:rPr>
            <w:color w:val="000000"/>
          </w:rPr>
          <w:t xml:space="preserve">The whole mind and the measure of equality</w:t>
        </w:r>
      </w:hyperlink>
      <w:r>
        <w:rPr>
          <w:b w:val="0"/>
          <w:i w:val="0"/>
        </w:rPr>
        <w:t xml:space="preserve">; </w:t>
      </w:r>
      <w:hyperlink w:anchor="viii-virtue-equality">
        <w:r>
          <w:rPr>
            <w:color w:val="000000"/>
          </w:rPr>
          <w:t xml:space="preserve">Spiritual equality, the line, and the tuned lyre</w:t>
        </w:r>
      </w:hyperlink>
      <w:r>
        <w:rPr>
          <w:b w:val="0"/>
          <w:i w:val="0"/>
        </w:rPr>
        <w:t>.</w:t>
      </w:r>
    </w:p>
    <w:p>
      <w:pPr>
        <w:pStyle w:val="Heading2"/>
      </w:pPr>
      <w:bookmarkStart w:id="2006" w:name="body-nourishment-growth-and-mixture"/>
      <w:r>
        <w:rPr>
          <w:b w:val="0"/>
          <w:i w:val="0"/>
        </w:rPr>
        <w:t>Body nourishment growth and mixture</w:t>
      </w:r>
      <w:bookmarkEnd w:id="2006"/>
    </w:p>
    <w:p>
      <w:pPr>
        <w:widowControl/>
      </w:pPr>
      <w:r>
        <w:rPr>
          <w:b w:val="0"/>
          <w:i w:val="0"/>
        </w:rPr>
        <w:t>Natural production, nutritive direction and bodily constitution supply distinct tests. The physiological claims remain historical examples, while their causal distinctions are explained in their own terms.</w:t>
      </w:r>
    </w:p>
    <w:p>
      <w:pPr>
        <w:widowControl/>
      </w:pPr>
      <w:hyperlink w:anchor="art-and-elemental-transformation">
        <w:r>
          <w:rPr>
            <w:color w:val="000000"/>
          </w:rPr>
          <w:t xml:space="preserve">Art and elemental transformation</w:t>
        </w:r>
      </w:hyperlink>
      <w:r>
        <w:rPr>
          <w:b w:val="0"/>
          <w:i w:val="0"/>
        </w:rPr>
        <w:t xml:space="preserve">; </w:t>
      </w:r>
      <w:hyperlink w:anchor="transmission-of-form-and-natural-order">
        <w:r>
          <w:rPr>
            <w:color w:val="000000"/>
          </w:rPr>
          <w:t xml:space="preserve">Transmission of form and natural order</w:t>
        </w:r>
      </w:hyperlink>
      <w:r>
        <w:rPr>
          <w:b w:val="0"/>
          <w:i w:val="0"/>
        </w:rPr>
        <w:t xml:space="preserve">; </w:t>
      </w:r>
      <w:hyperlink w:anchor="nourishment-and-life-giving-form">
        <w:r>
          <w:rPr>
            <w:color w:val="000000"/>
          </w:rPr>
          <w:t xml:space="preserve">Nourishment and the life-giving form</w:t>
        </w:r>
      </w:hyperlink>
      <w:r>
        <w:rPr>
          <w:b w:val="0"/>
          <w:i w:val="0"/>
        </w:rPr>
        <w:t xml:space="preserve">; </w:t>
      </w:r>
      <w:hyperlink w:anchor="earth-wood-and-severed-stones">
        <w:r>
          <w:rPr>
            <w:color w:val="000000"/>
          </w:rPr>
          <w:t xml:space="preserve">Earth, wood and severed stones</w:t>
        </w:r>
      </w:hyperlink>
      <w:r>
        <w:rPr>
          <w:b w:val="0"/>
          <w:i w:val="0"/>
        </w:rPr>
        <w:t xml:space="preserve">; </w:t>
      </w:r>
      <w:hyperlink w:anchor="rennet-magnet-and-clock">
        <w:r>
          <w:rPr>
            <w:color w:val="000000"/>
          </w:rPr>
          <w:t xml:space="preserve">Rennet, magnet and clock</w:t>
        </w:r>
      </w:hyperlink>
      <w:r>
        <w:rPr>
          <w:b w:val="0"/>
          <w:i w:val="0"/>
        </w:rPr>
        <w:t xml:space="preserve">; </w:t>
      </w:r>
      <w:hyperlink w:anchor="seminal-power-fish-eggs-and-tree">
        <w:r>
          <w:rPr>
            <w:color w:val="000000"/>
          </w:rPr>
          <w:t xml:space="preserve">Seminal power, fish eggs and the tree</w:t>
        </w:r>
      </w:hyperlink>
      <w:r>
        <w:rPr>
          <w:b w:val="0"/>
          <w:i w:val="0"/>
        </w:rPr>
        <w:t xml:space="preserve">; </w:t>
      </w:r>
      <w:hyperlink w:anchor="elements-conjunction-and-inward-orderer">
        <w:r>
          <w:rPr>
            <w:color w:val="000000"/>
          </w:rPr>
          <w:t xml:space="preserve">Elements, conjunction and the inward orderer</w:t>
        </w:r>
      </w:hyperlink>
      <w:r>
        <w:rPr>
          <w:b w:val="0"/>
          <w:i w:val="0"/>
        </w:rPr>
        <w:t xml:space="preserve">; </w:t>
      </w:r>
      <w:hyperlink w:anchor="growth-amputation-and-soul-size">
        <w:r>
          <w:rPr>
            <w:color w:val="000000"/>
          </w:rPr>
          <w:t xml:space="preserve">Growth, amputation and soul-size</w:t>
        </w:r>
      </w:hyperlink>
      <w:r>
        <w:rPr>
          <w:b w:val="0"/>
          <w:i w:val="0"/>
        </w:rPr>
        <w:t xml:space="preserve">; </w:t>
      </w:r>
      <w:hyperlink w:anchor="food-lending-and-borrowing-life">
        <w:r>
          <w:rPr>
            <w:color w:val="000000"/>
          </w:rPr>
          <w:t xml:space="preserve">Food, lending and borrowing life</w:t>
        </w:r>
      </w:hyperlink>
      <w:r>
        <w:rPr>
          <w:b w:val="0"/>
          <w:i w:val="0"/>
        </w:rPr>
        <w:t xml:space="preserve">; </w:t>
      </w:r>
      <w:hyperlink w:anchor="temperament-flux-and-stable-ruler">
        <w:r>
          <w:rPr>
            <w:color w:val="000000"/>
          </w:rPr>
          <w:t xml:space="preserve">Temperament, flux and the stable ruler</w:t>
        </w:r>
      </w:hyperlink>
      <w:r>
        <w:rPr>
          <w:b w:val="0"/>
          <w:i w:val="0"/>
        </w:rPr>
        <w:t xml:space="preserve">; </w:t>
      </w:r>
      <w:hyperlink w:anchor="vii-bodily-constitution">
        <w:r>
          <w:rPr>
            <w:color w:val="000000"/>
          </w:rPr>
          <w:t xml:space="preserve">Bodily constitution and temperament</w:t>
        </w:r>
      </w:hyperlink>
      <w:r>
        <w:rPr>
          <w:b w:val="0"/>
          <w:i w:val="0"/>
        </w:rPr>
        <w:t xml:space="preserve">; </w:t>
      </w:r>
      <w:hyperlink w:anchor="vii-bodily-spirit">
        <w:r>
          <w:rPr>
            <w:color w:val="000000"/>
          </w:rPr>
          <w:t xml:space="preserve">Bodily spirit and mediation</w:t>
        </w:r>
      </w:hyperlink>
      <w:r>
        <w:rPr>
          <w:b w:val="0"/>
          <w:i w:val="0"/>
        </w:rPr>
        <w:t xml:space="preserve">; </w:t>
      </w:r>
      <w:hyperlink w:anchor="vii-nutrition-principal-agent">
        <w:r>
          <w:rPr>
            <w:color w:val="000000"/>
          </w:rPr>
          <w:t xml:space="preserve">Nutrition, growth and the principal agent</w:t>
        </w:r>
      </w:hyperlink>
      <w:r>
        <w:rPr>
          <w:b w:val="0"/>
          <w:i w:val="0"/>
        </w:rPr>
        <w:t xml:space="preserve">; </w:t>
      </w:r>
      <w:hyperlink w:anchor="vii-soul-body-craftsman">
        <w:r>
          <w:rPr>
            <w:color w:val="000000"/>
          </w:rPr>
          <w:t xml:space="preserve">Soul as the body’s craftsman</w:t>
        </w:r>
      </w:hyperlink>
      <w:r>
        <w:rPr>
          <w:b w:val="0"/>
          <w:i w:val="0"/>
        </w:rPr>
        <w:t xml:space="preserve">; </w:t>
      </w:r>
      <w:hyperlink w:anchor="viii-body-instrument">
        <w:r>
          <w:rPr>
            <w:color w:val="000000"/>
          </w:rPr>
          <w:t xml:space="preserve">Body, instruments, and vital spirit</w:t>
        </w:r>
      </w:hyperlink>
      <w:r>
        <w:rPr>
          <w:b w:val="0"/>
          <w:i w:val="0"/>
        </w:rPr>
        <w:t>.</w:t>
      </w:r>
    </w:p>
    <w:p>
      <w:pPr>
        <w:pStyle w:val="Heading2"/>
      </w:pPr>
      <w:bookmarkStart w:id="2007" w:name="sensation-images-pain-and-judgement"/>
      <w:r>
        <w:rPr>
          <w:b w:val="0"/>
          <w:i w:val="0"/>
        </w:rPr>
        <w:t>Sensation images pain and judgement</w:t>
      </w:r>
      <w:bookmarkEnd w:id="2007"/>
    </w:p>
    <w:p>
      <w:pPr>
        <w:widowControl/>
      </w:pPr>
      <w:r>
        <w:rPr>
          <w:b w:val="0"/>
          <w:i w:val="0"/>
        </w:rPr>
        <w:t>The argument passes from receiving images and comparing senses to locating injury and explaining attentive activity. The different roles of body, bodily spirit, sensory power and soul remain separate.</w:t>
      </w:r>
    </w:p>
    <w:p>
      <w:pPr>
        <w:widowControl/>
      </w:pPr>
      <w:hyperlink w:anchor="passivity-and-bodily-affection">
        <w:r>
          <w:rPr>
            <w:color w:val="000000"/>
          </w:rPr>
          <w:t xml:space="preserve">Passivity and bodily affection</w:t>
        </w:r>
      </w:hyperlink>
      <w:r>
        <w:rPr>
          <w:b w:val="0"/>
          <w:i w:val="0"/>
        </w:rPr>
        <w:t xml:space="preserve">; </w:t>
      </w:r>
      <w:hyperlink w:anchor="sensory-error-and-corrective-reason">
        <w:r>
          <w:rPr>
            <w:color w:val="000000"/>
          </w:rPr>
          <w:t xml:space="preserve">Sensory error and corrective reason</w:t>
        </w:r>
      </w:hyperlink>
      <w:r>
        <w:rPr>
          <w:b w:val="0"/>
          <w:i w:val="0"/>
        </w:rPr>
        <w:t xml:space="preserve">; </w:t>
      </w:r>
      <w:hyperlink w:anchor="vii-animal-acuity-size">
        <w:r>
          <w:rPr>
            <w:color w:val="000000"/>
          </w:rPr>
          <w:t xml:space="preserve">Animal acuity and bodily size</w:t>
        </w:r>
      </w:hyperlink>
      <w:r>
        <w:rPr>
          <w:b w:val="0"/>
          <w:i w:val="0"/>
        </w:rPr>
        <w:t xml:space="preserve">; </w:t>
      </w:r>
      <w:hyperlink w:anchor="vii-memory-solid-fluid">
        <w:r>
          <w:rPr>
            <w:color w:val="000000"/>
          </w:rPr>
          <w:t xml:space="preserve">Memory, rigidity and fluidity</w:t>
        </w:r>
      </w:hyperlink>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spiritual-images-light">
        <w:r>
          <w:rPr>
            <w:color w:val="000000"/>
          </w:rPr>
          <w:t xml:space="preserve">Spiritual images and light</w:t>
        </w:r>
      </w:hyperlink>
      <w:r>
        <w:rPr>
          <w:b w:val="0"/>
          <w:i w:val="0"/>
        </w:rPr>
        <w:t xml:space="preserve">; </w:t>
      </w:r>
      <w:hyperlink w:anchor="vii-injury-judge">
        <w:r>
          <w:rPr>
            <w:color w:val="000000"/>
          </w:rPr>
          <w:t xml:space="preserve">Injury and the uninjured judge</w:t>
        </w:r>
      </w:hyperlink>
      <w:r>
        <w:rPr>
          <w:b w:val="0"/>
          <w:i w:val="0"/>
        </w:rPr>
        <w:t xml:space="preserve">; </w:t>
      </w:r>
      <w:hyperlink w:anchor="vii-pain-location">
        <w:r>
          <w:rPr>
            <w:color w:val="000000"/>
          </w:rPr>
          <w:t xml:space="preserve">Pain, location and reporting</w:t>
        </w:r>
      </w:hyperlink>
      <w:r>
        <w:rPr>
          <w:b w:val="0"/>
          <w:i w:val="0"/>
        </w:rPr>
        <w:t xml:space="preserve">; </w:t>
      </w:r>
      <w:hyperlink w:anchor="vii-sensation-attention">
        <w:r>
          <w:rPr>
            <w:color w:val="000000"/>
          </w:rPr>
          <w:t xml:space="preserve">Sensation as attentive activity</w:t>
        </w:r>
      </w:hyperlink>
      <w:r>
        <w:rPr>
          <w:b w:val="0"/>
          <w:i w:val="0"/>
        </w:rPr>
        <w:t xml:space="preserve">; </w:t>
      </w:r>
      <w:hyperlink w:anchor="vii-common-sense-comparison">
        <w:r>
          <w:rPr>
            <w:color w:val="000000"/>
          </w:rPr>
          <w:t xml:space="preserve">Comparison and common sense</w:t>
        </w:r>
      </w:hyperlink>
      <w:r>
        <w:rPr>
          <w:b w:val="0"/>
          <w:i w:val="0"/>
        </w:rPr>
        <w:t xml:space="preserve">; </w:t>
      </w:r>
      <w:hyperlink w:anchor="viii-four-stages">
        <w:r>
          <w:rPr>
            <w:color w:val="000000"/>
          </w:rPr>
          <w:t xml:space="preserve">Four stages of cognition</w:t>
        </w:r>
      </w:hyperlink>
      <w:r>
        <w:rPr>
          <w:b w:val="0"/>
          <w:i w:val="0"/>
        </w:rPr>
        <w:t xml:space="preserve">; </w:t>
      </w:r>
      <w:hyperlink w:anchor="viii-images-intentions">
        <w:r>
          <w:rPr>
            <w:color w:val="000000"/>
          </w:rPr>
          <w:t xml:space="preserve">Images, intentions, and conjecturing substance</w:t>
        </w:r>
      </w:hyperlink>
      <w:r>
        <w:rPr>
          <w:b w:val="0"/>
          <w:i w:val="0"/>
        </w:rPr>
        <w:t>.</w:t>
      </w:r>
    </w:p>
    <w:p>
      <w:pPr>
        <w:pStyle w:val="Heading2"/>
      </w:pPr>
      <w:bookmarkStart w:id="2008" w:name="intellect-universals-and-the-structure-of-knowledge"/>
      <w:r>
        <w:rPr>
          <w:b w:val="0"/>
          <w:i w:val="0"/>
        </w:rPr>
        <w:t>Intellect universals and the structure of knowledge</w:t>
      </w:r>
      <w:bookmarkEnd w:id="2008"/>
    </w:p>
    <w:p>
      <w:pPr>
        <w:widowControl/>
      </w:pPr>
      <w:r>
        <w:rPr>
          <w:b w:val="0"/>
          <w:i w:val="0"/>
        </w:rPr>
        <w:t>Follow the distinctions among an image, an intention, common nature, a divine Idea, an intelligible essence and an intellectual form. Logical division and material division are tested separately.</w:t>
      </w:r>
    </w:p>
    <w:p>
      <w:pPr>
        <w:widowControl/>
      </w:pPr>
      <w:hyperlink w:anchor="intelligible-principles-and-reasoning">
        <w:r>
          <w:rPr>
            <w:color w:val="000000"/>
          </w:rPr>
          <w:t xml:space="preserve">Intelligible principles and reasoning</w:t>
        </w:r>
      </w:hyperlink>
      <w:r>
        <w:rPr>
          <w:b w:val="0"/>
          <w:i w:val="0"/>
        </w:rPr>
        <w:t xml:space="preserve">; </w:t>
      </w:r>
      <w:hyperlink w:anchor="ideas-natural-ascent-and-rest">
        <w:r>
          <w:rPr>
            <w:color w:val="000000"/>
          </w:rPr>
          <w:t xml:space="preserve">Ideas, natural ascent and rest</w:t>
        </w:r>
      </w:hyperlink>
      <w:r>
        <w:rPr>
          <w:b w:val="0"/>
          <w:i w:val="0"/>
        </w:rPr>
        <w:t xml:space="preserve">; </w:t>
      </w:r>
      <w:hyperlink w:anchor="intellectual-objects-and-owl-eye">
        <w:r>
          <w:rPr>
            <w:color w:val="000000"/>
          </w:rPr>
          <w:t xml:space="preserve">Intellectual objects and the owl’s eye</w:t>
        </w:r>
      </w:hyperlink>
      <w:r>
        <w:rPr>
          <w:b w:val="0"/>
          <w:i w:val="0"/>
        </w:rPr>
        <w:t xml:space="preserve">; </w:t>
      </w:r>
      <w:hyperlink w:anchor="viii-universal-idea">
        <w:r>
          <w:rPr>
            <w:color w:val="000000"/>
          </w:rPr>
          <w:t xml:space="preserve">Common nature, participation, and the divine Idea</w:t>
        </w:r>
      </w:hyperlink>
      <w:r>
        <w:rPr>
          <w:b w:val="0"/>
          <w:i w:val="0"/>
        </w:rPr>
        <w:t xml:space="preserve">; </w:t>
      </w:r>
      <w:hyperlink w:anchor="viii-immediate-reflexive">
        <w:r>
          <w:rPr>
            <w:color w:val="000000"/>
          </w:rPr>
          <w:t xml:space="preserve">Immediate intellection and the return to particulars</w:t>
        </w:r>
      </w:hyperlink>
      <w:r>
        <w:rPr>
          <w:b w:val="0"/>
          <w:i w:val="0"/>
        </w:rPr>
        <w:t xml:space="preserve">; </w:t>
      </w:r>
      <w:hyperlink w:anchor="viii-truth-mathematics">
        <w:r>
          <w:rPr>
            <w:color w:val="000000"/>
          </w:rPr>
          <w:t xml:space="preserve">Truth, mathematical figures, and immutable principles</w:t>
        </w:r>
      </w:hyperlink>
      <w:r>
        <w:rPr>
          <w:b w:val="0"/>
          <w:i w:val="0"/>
        </w:rPr>
        <w:t xml:space="preserve">; </w:t>
      </w:r>
      <w:hyperlink w:anchor="viii-virtue-quality">
        <w:r>
          <w:rPr>
            <w:color w:val="000000"/>
          </w:rPr>
          <w:t xml:space="preserve">Virtue as an indivisible quality</w:t>
        </w:r>
      </w:hyperlink>
      <w:r>
        <w:rPr>
          <w:b w:val="0"/>
          <w:i w:val="0"/>
        </w:rPr>
        <w:t xml:space="preserve">; </w:t>
      </w:r>
      <w:hyperlink w:anchor="viii-mutual-sciences">
        <w:r>
          <w:rPr>
            <w:color w:val="000000"/>
          </w:rPr>
          <w:t xml:space="preserve">Sciences, virtues, and mutual containment</w:t>
        </w:r>
      </w:hyperlink>
      <w:r>
        <w:rPr>
          <w:b w:val="0"/>
          <w:i w:val="0"/>
        </w:rPr>
        <w:t xml:space="preserve">; </w:t>
      </w:r>
      <w:hyperlink w:anchor="viii-intellectual-intelligible">
        <w:r>
          <w:rPr>
            <w:color w:val="000000"/>
          </w:rPr>
          <w:t xml:space="preserve">Intellectual forms and intelligible essences</w:t>
        </w:r>
      </w:hyperlink>
      <w:r>
        <w:rPr>
          <w:b w:val="0"/>
          <w:i w:val="0"/>
        </w:rPr>
        <w:t xml:space="preserve">; </w:t>
      </w:r>
      <w:hyperlink w:anchor="viii-definition-parts">
        <w:r>
          <w:rPr>
            <w:color w:val="000000"/>
          </w:rPr>
          <w:t xml:space="preserve">Definition, genus, difference, and mindless parts</w:t>
        </w:r>
      </w:hyperlink>
      <w:r>
        <w:rPr>
          <w:b w:val="0"/>
          <w:i w:val="0"/>
        </w:rPr>
        <w:t xml:space="preserve">; </w:t>
      </w:r>
      <w:hyperlink w:anchor="viii-analysis-mangling">
        <w:r>
          <w:rPr>
            <w:color w:val="000000"/>
          </w:rPr>
          <w:t xml:space="preserve">Analysis, mangling, and fictive construction</w:t>
        </w:r>
      </w:hyperlink>
      <w:r>
        <w:rPr>
          <w:b w:val="0"/>
          <w:i w:val="0"/>
        </w:rPr>
        <w:t xml:space="preserve">; </w:t>
      </w:r>
      <w:hyperlink w:anchor="viii-species-simplicity">
        <w:r>
          <w:rPr>
            <w:color w:val="000000"/>
          </w:rPr>
          <w:t xml:space="preserve">Simplicity of human and numerical species</w:t>
        </w:r>
      </w:hyperlink>
      <w:r>
        <w:rPr>
          <w:b w:val="0"/>
          <w:i w:val="0"/>
        </w:rPr>
        <w:t xml:space="preserve">; </w:t>
      </w:r>
      <w:hyperlink w:anchor="viii-first-concepts">
        <w:r>
          <w:rPr>
            <w:color w:val="000000"/>
          </w:rPr>
          <w:t xml:space="preserve">First concepts, unity, and the end of analysis</w:t>
        </w:r>
      </w:hyperlink>
      <w:r>
        <w:rPr>
          <w:b w:val="0"/>
          <w:i w:val="0"/>
        </w:rPr>
        <w:t xml:space="preserve">; </w:t>
      </w:r>
      <w:hyperlink w:anchor="viii-universality-law">
        <w:r>
          <w:rPr>
            <w:color w:val="000000"/>
          </w:rPr>
          <w:t xml:space="preserve">Universality, law, and material restriction</w:t>
        </w:r>
      </w:hyperlink>
      <w:r>
        <w:rPr>
          <w:b w:val="0"/>
          <w:i w:val="0"/>
        </w:rPr>
        <w:t xml:space="preserve">; </w:t>
      </w:r>
      <w:hyperlink w:anchor="viii-mutual-minds">
        <w:r>
          <w:rPr>
            <w:color w:val="000000"/>
          </w:rPr>
          <w:t xml:space="preserve">Mutual knowledge of minds and the celestial spheres</w:t>
        </w:r>
      </w:hyperlink>
      <w:r>
        <w:rPr>
          <w:b w:val="0"/>
          <w:i w:val="0"/>
        </w:rPr>
        <w:t xml:space="preserve">; </w:t>
      </w:r>
      <w:hyperlink w:anchor="viii-mental-hands">
        <w:r>
          <w:rPr>
            <w:color w:val="000000"/>
          </w:rPr>
          <w:t xml:space="preserve">Mental hands, conception, and creative understanding</w:t>
        </w:r>
      </w:hyperlink>
      <w:r>
        <w:rPr>
          <w:b w:val="0"/>
          <w:i w:val="0"/>
        </w:rPr>
        <w:t xml:space="preserve">; </w:t>
      </w:r>
      <w:hyperlink w:anchor="viii-innate-forms">
        <w:r>
          <w:rPr>
            <w:color w:val="000000"/>
          </w:rPr>
          <w:t xml:space="preserve">Innate forms and the stimulus of images</w:t>
        </w:r>
      </w:hyperlink>
      <w:r>
        <w:rPr>
          <w:b w:val="0"/>
          <w:i w:val="0"/>
        </w:rPr>
        <w:t>.</w:t>
      </w:r>
    </w:p>
    <w:p>
      <w:pPr>
        <w:pStyle w:val="Heading2"/>
      </w:pPr>
      <w:bookmarkStart w:id="2009" w:name="learning-memory-reflection-and-moral-formation"/>
      <w:r>
        <w:rPr>
          <w:b w:val="0"/>
          <w:i w:val="0"/>
        </w:rPr>
        <w:t>Learning memory reflection and moral formation</w:t>
      </w:r>
      <w:bookmarkEnd w:id="2009"/>
    </w:p>
    <w:p>
      <w:pPr>
        <w:widowControl/>
      </w:pPr>
      <w:r>
        <w:rPr>
          <w:b w:val="0"/>
          <w:i w:val="0"/>
        </w:rPr>
        <w:t>Knowledge can be acquired, retained, shared and reflected upon in different ways. The educational examples also distinguish habit, immediate apprehension and activity directed toward the good.</w:t>
      </w:r>
    </w:p>
    <w:p>
      <w:pPr>
        <w:widowControl/>
      </w:pPr>
      <w:hyperlink w:anchor="teaching-without-loss">
        <w:r>
          <w:rPr>
            <w:color w:val="000000"/>
          </w:rPr>
          <w:t xml:space="preserve">Teaching without loss</w:t>
        </w:r>
      </w:hyperlink>
      <w:r>
        <w:rPr>
          <w:b w:val="0"/>
          <w:i w:val="0"/>
        </w:rPr>
        <w:t xml:space="preserve">; </w:t>
      </w:r>
      <w:hyperlink w:anchor="sleep-and-dreams">
        <w:r>
          <w:rPr>
            <w:color w:val="000000"/>
          </w:rPr>
          <w:t xml:space="preserve">Sleep and dreams</w:t>
        </w:r>
      </w:hyperlink>
      <w:r>
        <w:rPr>
          <w:b w:val="0"/>
          <w:i w:val="0"/>
        </w:rPr>
        <w:t xml:space="preserve">; </w:t>
      </w:r>
      <w:hyperlink w:anchor="conversion-desire-and-compulsion">
        <w:r>
          <w:rPr>
            <w:color w:val="000000"/>
          </w:rPr>
          <w:t xml:space="preserve">Conversion, desire and compulsion</w:t>
        </w:r>
      </w:hyperlink>
      <w:r>
        <w:rPr>
          <w:b w:val="0"/>
          <w:i w:val="0"/>
        </w:rPr>
        <w:t xml:space="preserve">; </w:t>
      </w:r>
      <w:hyperlink w:anchor="habit-purification-and-intellectual-experiment">
        <w:r>
          <w:rPr>
            <w:color w:val="000000"/>
          </w:rPr>
          <w:t xml:space="preserve">Habit, purification and intellectual experiment</w:t>
        </w:r>
      </w:hyperlink>
      <w:r>
        <w:rPr>
          <w:b w:val="0"/>
          <w:i w:val="0"/>
        </w:rPr>
        <w:t xml:space="preserve">; </w:t>
      </w:r>
      <w:hyperlink w:anchor="avicenna-imagined-adult">
        <w:r>
          <w:rPr>
            <w:color w:val="000000"/>
          </w:rPr>
          <w:t xml:space="preserve">Avicenna’s imagined adult</w:t>
        </w:r>
      </w:hyperlink>
      <w:r>
        <w:rPr>
          <w:b w:val="0"/>
          <w:i w:val="0"/>
        </w:rPr>
        <w:t xml:space="preserve">; </w:t>
      </w:r>
      <w:hyperlink w:anchor="plato-cave-and-gradual-education">
        <w:r>
          <w:rPr>
            <w:color w:val="000000"/>
          </w:rPr>
          <w:t xml:space="preserve">Plato’s cave and gradual education</w:t>
        </w:r>
      </w:hyperlink>
      <w:r>
        <w:rPr>
          <w:b w:val="0"/>
          <w:i w:val="0"/>
        </w:rPr>
        <w:t xml:space="preserve">; </w:t>
      </w:r>
      <w:hyperlink w:anchor="persistence-memory-and-recognition">
        <w:r>
          <w:rPr>
            <w:color w:val="000000"/>
          </w:rPr>
          <w:t xml:space="preserve">Persistence, memory and recognition</w:t>
        </w:r>
      </w:hyperlink>
      <w:r>
        <w:rPr>
          <w:b w:val="0"/>
          <w:i w:val="0"/>
        </w:rPr>
        <w:t xml:space="preserve">; </w:t>
      </w:r>
      <w:hyperlink w:anchor="vii-moral-concord">
        <w:r>
          <w:rPr>
            <w:color w:val="000000"/>
          </w:rPr>
          <w:t xml:space="preserve">Moral concord and the robber</w:t>
        </w:r>
      </w:hyperlink>
      <w:r>
        <w:rPr>
          <w:b w:val="0"/>
          <w:i w:val="0"/>
        </w:rPr>
        <w:t xml:space="preserve">; </w:t>
      </w:r>
      <w:hyperlink w:anchor="viii-food-truth">
        <w:r>
          <w:rPr>
            <w:color w:val="000000"/>
          </w:rPr>
          <w:t xml:space="preserve">Food, truth, and the hungry mind</w:t>
        </w:r>
      </w:hyperlink>
      <w:r>
        <w:rPr>
          <w:b w:val="0"/>
          <w:i w:val="0"/>
        </w:rPr>
        <w:t xml:space="preserve">; </w:t>
      </w:r>
      <w:hyperlink w:anchor="viii-sudden-insight">
        <w:r>
          <w:rPr>
            <w:color w:val="000000"/>
          </w:rPr>
          <w:t xml:space="preserve">Sudden insight, habituation, and the hare</w:t>
        </w:r>
      </w:hyperlink>
      <w:r>
        <w:rPr>
          <w:b w:val="0"/>
          <w:i w:val="0"/>
        </w:rPr>
        <w:t xml:space="preserve">; </w:t>
      </w:r>
      <w:hyperlink w:anchor="viii-reflexive-will">
        <w:r>
          <w:rPr>
            <w:color w:val="000000"/>
          </w:rPr>
          <w:t xml:space="preserve">Reflexive understanding and willing</w:t>
        </w:r>
      </w:hyperlink>
      <w:r>
        <w:rPr>
          <w:b w:val="0"/>
          <w:i w:val="0"/>
        </w:rPr>
        <w:t xml:space="preserve">; </w:t>
      </w:r>
      <w:hyperlink w:anchor="viii-intellectual-generation">
        <w:r>
          <w:rPr>
            <w:color w:val="000000"/>
          </w:rPr>
          <w:t xml:space="preserve">Intellectual generation and daily renewal</w:t>
        </w:r>
      </w:hyperlink>
      <w:r>
        <w:rPr>
          <w:b w:val="0"/>
          <w:i w:val="0"/>
        </w:rPr>
        <w:t>.</w:t>
      </w:r>
    </w:p>
    <w:p>
      <w:pPr>
        <w:pStyle w:val="Heading2"/>
      </w:pPr>
      <w:bookmarkStart w:id="2010" w:name="harmony-proportion-and-the-agent-that-orders"/>
      <w:r>
        <w:rPr>
          <w:b w:val="0"/>
          <w:i w:val="0"/>
        </w:rPr>
        <w:t>Harmony proportion and the agent that orders</w:t>
      </w:r>
      <w:bookmarkEnd w:id="2010"/>
    </w:p>
    <w:p>
      <w:pPr>
        <w:widowControl/>
      </w:pPr>
      <w:r>
        <w:rPr>
          <w:b w:val="0"/>
          <w:i w:val="0"/>
        </w:rPr>
        <w:t>Ficino rejects the identity of soul and harmony while retaining bodily concord, proportion and arrangement. These articles distinguish an ordered result from the power that makes and maintains it.</w:t>
      </w:r>
    </w:p>
    <w:p>
      <w:pPr>
        <w:widowControl/>
      </w:pPr>
      <w:hyperlink w:anchor="temperament-and-harmony">
        <w:r>
          <w:rPr>
            <w:color w:val="000000"/>
          </w:rPr>
          <w:t xml:space="preserve">Temperament and harmony</w:t>
        </w:r>
      </w:hyperlink>
      <w:r>
        <w:rPr>
          <w:b w:val="0"/>
          <w:i w:val="0"/>
        </w:rPr>
        <w:t xml:space="preserve">; </w:t>
      </w:r>
      <w:hyperlink w:anchor="constitution-point-and-harmony">
        <w:r>
          <w:rPr>
            <w:color w:val="000000"/>
          </w:rPr>
          <w:t xml:space="preserve">Constitution, localized point and harmony</w:t>
        </w:r>
      </w:hyperlink>
      <w:r>
        <w:rPr>
          <w:b w:val="0"/>
          <w:i w:val="0"/>
        </w:rPr>
        <w:t xml:space="preserve">; </w:t>
      </w:r>
      <w:hyperlink w:anchor="vii-harmony-strings">
        <w:r>
          <w:rPr>
            <w:color w:val="000000"/>
          </w:rPr>
          <w:t xml:space="preserve">Harmony and the strings</w:t>
        </w:r>
      </w:hyperlink>
      <w:r>
        <w:rPr>
          <w:b w:val="0"/>
          <w:i w:val="0"/>
        </w:rPr>
        <w:t xml:space="preserve">; </w:t>
      </w:r>
      <w:hyperlink w:anchor="vii-vital-harmony">
        <w:r>
          <w:rPr>
            <w:color w:val="000000"/>
          </w:rPr>
          <w:t xml:space="preserve">Vital harmony and its producer</w:t>
        </w:r>
      </w:hyperlink>
      <w:r>
        <w:rPr>
          <w:b w:val="0"/>
          <w:i w:val="0"/>
        </w:rPr>
        <w:t xml:space="preserve">; </w:t>
      </w:r>
      <w:hyperlink w:anchor="vii-proportion-bodily-goods">
        <w:r>
          <w:rPr>
            <w:color w:val="000000"/>
          </w:rPr>
          <w:t xml:space="preserve">Proportion, health, strength and beauty</w:t>
        </w:r>
      </w:hyperlink>
      <w:r>
        <w:rPr>
          <w:b w:val="0"/>
          <w:i w:val="0"/>
        </w:rPr>
        <w:t xml:space="preserve">; </w:t>
      </w:r>
      <w:hyperlink w:anchor="vii-moral-concord">
        <w:r>
          <w:rPr>
            <w:color w:val="000000"/>
          </w:rPr>
          <w:t xml:space="preserve">Moral concord and the robber</w:t>
        </w:r>
      </w:hyperlink>
      <w:r>
        <w:rPr>
          <w:b w:val="0"/>
          <w:i w:val="0"/>
        </w:rPr>
        <w:t xml:space="preserve">; </w:t>
      </w:r>
      <w:hyperlink w:anchor="vii-discord-soul">
        <w:r>
          <w:rPr>
            <w:color w:val="000000"/>
          </w:rPr>
          <w:t xml:space="preserve">Discord and the soul’s persistence</w:t>
        </w:r>
      </w:hyperlink>
      <w:r>
        <w:rPr>
          <w:b w:val="0"/>
          <w:i w:val="0"/>
        </w:rPr>
        <w:t xml:space="preserve">; </w:t>
      </w:r>
      <w:hyperlink w:anchor="vii-composition-unity">
        <w:r>
          <w:rPr>
            <w:color w:val="000000"/>
          </w:rPr>
          <w:t xml:space="preserve">Composition and inward unity</w:t>
        </w:r>
      </w:hyperlink>
      <w:r>
        <w:rPr>
          <w:b w:val="0"/>
          <w:i w:val="0"/>
        </w:rPr>
        <w:t xml:space="preserve">; </w:t>
      </w:r>
      <w:hyperlink w:anchor="viii-virtue-equality">
        <w:r>
          <w:rPr>
            <w:color w:val="000000"/>
          </w:rPr>
          <w:t xml:space="preserve">Spiritual equality, the line, and the tuned lyre</w:t>
        </w:r>
      </w:hyperlink>
      <w:r>
        <w:rPr>
          <w:b w:val="0"/>
          <w:i w:val="0"/>
        </w:rPr>
        <w:t>.</w:t>
      </w:r>
    </w:p>
    <w:p>
      <w:pPr>
        <w:pStyle w:val="Heading2"/>
      </w:pPr>
      <w:bookmarkStart w:id="2011" w:name="immortality-infinity-and-the-preservation-of-identity"/>
      <w:r>
        <w:rPr>
          <w:b w:val="0"/>
          <w:i w:val="0"/>
        </w:rPr>
        <w:t>Immortality infinity and the preservation of identity</w:t>
      </w:r>
      <w:bookmarkEnd w:id="2011"/>
    </w:p>
    <w:p>
      <w:pPr>
        <w:widowControl/>
      </w:pPr>
      <w:r>
        <w:rPr>
          <w:b w:val="0"/>
          <w:i w:val="0"/>
        </w:rPr>
        <w:t>Non-annihilation, the persistence of a rational nature, individual life and a species’ succession must be distinguished. The mind’s unlimited range is also distinguished from divine absolute infinity.</w:t>
      </w:r>
    </w:p>
    <w:p>
      <w:pPr>
        <w:widowControl/>
      </w:pPr>
      <w:hyperlink w:anchor="generation-corruption-and-annihilation">
        <w:r>
          <w:rPr>
            <w:color w:val="000000"/>
          </w:rPr>
          <w:t xml:space="preserve">Generation, corruption and annihilation</w:t>
        </w:r>
      </w:hyperlink>
      <w:r>
        <w:rPr>
          <w:b w:val="0"/>
          <w:i w:val="0"/>
        </w:rPr>
        <w:t xml:space="preserve">; </w:t>
      </w:r>
      <w:hyperlink w:anchor="contraries-death-and-imperishability">
        <w:r>
          <w:rPr>
            <w:color w:val="000000"/>
          </w:rPr>
          <w:t xml:space="preserve">Contraries, death and imperishability</w:t>
        </w:r>
      </w:hyperlink>
      <w:r>
        <w:rPr>
          <w:b w:val="0"/>
          <w:i w:val="0"/>
        </w:rPr>
        <w:t xml:space="preserve">; </w:t>
      </w:r>
      <w:hyperlink w:anchor="zoroaster-and-the-mistress-of-life">
        <w:r>
          <w:rPr>
            <w:color w:val="000000"/>
          </w:rPr>
          <w:t xml:space="preserve">Zoroaster and the mistress of life</w:t>
        </w:r>
      </w:hyperlink>
      <w:r>
        <w:rPr>
          <w:b w:val="0"/>
          <w:i w:val="0"/>
        </w:rPr>
        <w:t xml:space="preserve">; </w:t>
      </w:r>
      <w:hyperlink w:anchor="conditions-and-the-fashioners-law">
        <w:r>
          <w:rPr>
            <w:color w:val="000000"/>
          </w:rPr>
          <w:t xml:space="preserve">Conditions and the fashioner’s law</w:t>
        </w:r>
      </w:hyperlink>
      <w:r>
        <w:rPr>
          <w:b w:val="0"/>
          <w:i w:val="0"/>
        </w:rPr>
        <w:t xml:space="preserve">; </w:t>
      </w:r>
      <w:hyperlink w:anchor="viii-natural-desire">
        <w:r>
          <w:rPr>
            <w:color w:val="000000"/>
          </w:rPr>
          <w:t xml:space="preserve">Natural desire, possible good, and Olympiodorus</w:t>
        </w:r>
      </w:hyperlink>
      <w:r>
        <w:rPr>
          <w:b w:val="0"/>
          <w:i w:val="0"/>
        </w:rPr>
        <w:t xml:space="preserve">; </w:t>
      </w:r>
      <w:hyperlink w:anchor="viii-contraries-evil">
        <w:r>
          <w:rPr>
            <w:color w:val="000000"/>
          </w:rPr>
          <w:t xml:space="preserve">Contraries, privations, and knowledge of evil</w:t>
        </w:r>
      </w:hyperlink>
      <w:r>
        <w:rPr>
          <w:b w:val="0"/>
          <w:i w:val="0"/>
        </w:rPr>
        <w:t xml:space="preserve">; </w:t>
      </w:r>
      <w:hyperlink w:anchor="viii-infinite-operations">
        <w:r>
          <w:rPr>
            <w:color w:val="000000"/>
          </w:rPr>
          <w:t xml:space="preserve">Infinite operations and the limits of sensory kinds</w:t>
        </w:r>
      </w:hyperlink>
      <w:r>
        <w:rPr>
          <w:b w:val="0"/>
          <w:i w:val="0"/>
        </w:rPr>
        <w:t xml:space="preserve">; </w:t>
      </w:r>
      <w:hyperlink w:anchor="viii-finite-angels">
        <w:r>
          <w:rPr>
            <w:color w:val="000000"/>
          </w:rPr>
          <w:t xml:space="preserve">Finite angels, infinite act, and infinite potency</w:t>
        </w:r>
      </w:hyperlink>
      <w:r>
        <w:rPr>
          <w:b w:val="0"/>
          <w:i w:val="0"/>
        </w:rPr>
        <w:t xml:space="preserve">; </w:t>
      </w:r>
      <w:hyperlink w:anchor="viii-infinity-measure">
        <w:r>
          <w:rPr>
            <w:color w:val="000000"/>
          </w:rPr>
          <w:t xml:space="preserve">Measuring infinity and thinking being and nonbeing</w:t>
        </w:r>
      </w:hyperlink>
      <w:r>
        <w:rPr>
          <w:b w:val="0"/>
          <w:i w:val="0"/>
        </w:rPr>
        <w:t xml:space="preserve">; </w:t>
      </w:r>
      <w:hyperlink w:anchor="viii-divine-enlargement">
        <w:r>
          <w:rPr>
            <w:color w:val="000000"/>
          </w:rPr>
          <w:t xml:space="preserve">Insatiable desire and divine enlargement</w:t>
        </w:r>
      </w:hyperlink>
      <w:r>
        <w:rPr>
          <w:b w:val="0"/>
          <w:i w:val="0"/>
        </w:rPr>
        <w:t xml:space="preserve">; </w:t>
      </w:r>
      <w:hyperlink w:anchor="viii-individual-perpetuity">
        <w:r>
          <w:rPr>
            <w:color w:val="000000"/>
          </w:rPr>
          <w:t xml:space="preserve">Individual immortality and the scope of the conclusion</w:t>
        </w:r>
      </w:hyperlink>
      <w:r>
        <w:rPr>
          <w:b w:val="0"/>
          <w:i w:val="0"/>
        </w:rPr>
        <w:t>.</w:t>
      </w:r>
    </w:p>
    <w:p>
      <w:pPr>
        <w:pStyle w:val="Heading2"/>
      </w:pPr>
      <w:bookmarkStart w:id="2012" w:name="concrete-images-crafts-and-natural-examples"/>
      <w:r>
        <w:rPr>
          <w:b w:val="0"/>
          <w:i w:val="0"/>
        </w:rPr>
        <w:t>Concrete images crafts and natural examples</w:t>
      </w:r>
      <w:bookmarkEnd w:id="2012"/>
    </w:p>
    <w:p>
      <w:pPr>
        <w:widowControl/>
      </w:pPr>
      <w:r>
        <w:rPr>
          <w:b w:val="0"/>
          <w:i w:val="0"/>
        </w:rPr>
        <w:t>These examples are explained for the relations they illuminate. Their metaphorical or hypothetical use is not converted into a literal identity between soul and a bodily object.</w:t>
      </w:r>
    </w:p>
    <w:p>
      <w:pPr>
        <w:widowControl/>
      </w:pPr>
      <w:hyperlink w:anchor="comets-and-defining-accounts">
        <w:r>
          <w:rPr>
            <w:color w:val="000000"/>
          </w:rPr>
          <w:t xml:space="preserve">Comets and defining accounts</w:t>
        </w:r>
      </w:hyperlink>
      <w:r>
        <w:rPr>
          <w:b w:val="0"/>
          <w:i w:val="0"/>
        </w:rPr>
        <w:t xml:space="preserve">; </w:t>
      </w:r>
      <w:hyperlink w:anchor="fountains-drawing-and-infusion">
        <w:r>
          <w:rPr>
            <w:color w:val="000000"/>
          </w:rPr>
          <w:t xml:space="preserve">Fountains, drawing and infusion</w:t>
        </w:r>
      </w:hyperlink>
      <w:r>
        <w:rPr>
          <w:b w:val="0"/>
          <w:i w:val="0"/>
        </w:rPr>
        <w:t xml:space="preserve">; </w:t>
      </w:r>
      <w:hyperlink w:anchor="seal-wax-and-restoration">
        <w:r>
          <w:rPr>
            <w:color w:val="000000"/>
          </w:rPr>
          <w:t xml:space="preserve">Seal, wax and restoration</w:t>
        </w:r>
      </w:hyperlink>
      <w:r>
        <w:rPr>
          <w:b w:val="0"/>
          <w:i w:val="0"/>
        </w:rPr>
        <w:t xml:space="preserve">; </w:t>
      </w:r>
      <w:hyperlink w:anchor="ariston-sculptor-and-painter">
        <w:r>
          <w:rPr>
            <w:color w:val="000000"/>
          </w:rPr>
          <w:t xml:space="preserve">Ariston, sculptor and painter</w:t>
        </w:r>
      </w:hyperlink>
      <w:r>
        <w:rPr>
          <w:b w:val="0"/>
          <w:i w:val="0"/>
        </w:rPr>
        <w:t xml:space="preserve">; </w:t>
      </w:r>
      <w:hyperlink w:anchor="image-shadow-and-ranked-truth">
        <w:r>
          <w:rPr>
            <w:color w:val="000000"/>
          </w:rPr>
          <w:t xml:space="preserve">Image, shadow and ranked truth</w:t>
        </w:r>
      </w:hyperlink>
      <w:r>
        <w:rPr>
          <w:b w:val="0"/>
          <w:i w:val="0"/>
        </w:rPr>
        <w:t xml:space="preserve">; </w:t>
      </w:r>
      <w:hyperlink w:anchor="garment-mud-and-misleading-shadows">
        <w:r>
          <w:rPr>
            <w:color w:val="000000"/>
          </w:rPr>
          <w:t xml:space="preserve">Garment, mud and misleading shadows</w:t>
        </w:r>
      </w:hyperlink>
      <w:r>
        <w:rPr>
          <w:b w:val="0"/>
          <w:i w:val="0"/>
        </w:rPr>
        <w:t xml:space="preserve">; </w:t>
      </w:r>
      <w:hyperlink w:anchor="bronze-mirror-and-concentrated-fire">
        <w:r>
          <w:rPr>
            <w:color w:val="000000"/>
          </w:rPr>
          <w:t xml:space="preserve">Bronze mirror and concentrated fire</w:t>
        </w:r>
      </w:hyperlink>
      <w:r>
        <w:rPr>
          <w:b w:val="0"/>
          <w:i w:val="0"/>
        </w:rPr>
        <w:t xml:space="preserve">; </w:t>
      </w:r>
      <w:hyperlink w:anchor="light-spirit-and-unseen-source">
        <w:r>
          <w:rPr>
            <w:color w:val="000000"/>
          </w:rPr>
          <w:t xml:space="preserve">Light, spirit and the unseen source</w:t>
        </w:r>
      </w:hyperlink>
      <w:r>
        <w:rPr>
          <w:b w:val="0"/>
          <w:i w:val="0"/>
        </w:rPr>
        <w:t xml:space="preserve">; </w:t>
      </w:r>
      <w:hyperlink w:anchor="spark-globe-and-luminous-vehicles">
        <w:r>
          <w:rPr>
            <w:color w:val="000000"/>
          </w:rPr>
          <w:t xml:space="preserve">Spark, globe and luminous vehicles</w:t>
        </w:r>
      </w:hyperlink>
      <w:r>
        <w:rPr>
          <w:b w:val="0"/>
          <w:i w:val="0"/>
        </w:rPr>
        <w:t xml:space="preserve">; </w:t>
      </w:r>
      <w:hyperlink w:anchor="rennet-magnet-and-clock">
        <w:r>
          <w:rPr>
            <w:color w:val="000000"/>
          </w:rPr>
          <w:t xml:space="preserve">Rennet, magnet and clock</w:t>
        </w:r>
      </w:hyperlink>
      <w:r>
        <w:rPr>
          <w:b w:val="0"/>
          <w:i w:val="0"/>
        </w:rPr>
        <w:t xml:space="preserve">; </w:t>
      </w:r>
      <w:hyperlink w:anchor="vii-lucifer-meaning">
        <w:r>
          <w:rPr>
            <w:color w:val="000000"/>
          </w:rPr>
          <w:t xml:space="preserve">Lucifer and indivisible meaning</w:t>
        </w:r>
      </w:hyperlink>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harmony-strings">
        <w:r>
          <w:rPr>
            <w:color w:val="000000"/>
          </w:rPr>
          <w:t xml:space="preserve">Harmony and the strings</w:t>
        </w:r>
      </w:hyperlink>
      <w:r>
        <w:rPr>
          <w:b w:val="0"/>
          <w:i w:val="0"/>
        </w:rPr>
        <w:t xml:space="preserve">; </w:t>
      </w:r>
      <w:hyperlink w:anchor="viii-mirror-light">
        <w:r>
          <w:rPr>
            <w:color w:val="000000"/>
          </w:rPr>
          <w:t xml:space="preserve">Mirror, light, and the soul of the sun</w:t>
        </w:r>
      </w:hyperlink>
      <w:r>
        <w:rPr>
          <w:b w:val="0"/>
          <w:i w:val="0"/>
        </w:rPr>
        <w:t xml:space="preserve">; </w:t>
      </w:r>
      <w:hyperlink w:anchor="viii-mental-hands">
        <w:r>
          <w:rPr>
            <w:color w:val="000000"/>
          </w:rPr>
          <w:t xml:space="preserve">Mental hands, conception, and creative understanding</w:t>
        </w:r>
      </w:hyperlink>
      <w:r>
        <w:rPr>
          <w:b w:val="0"/>
          <w:i w:val="0"/>
        </w:rPr>
        <w:t>.</w:t>
      </w:r>
    </w:p>
    <w:p>
      <w:pPr>
        <w:pStyle w:val="Heading2"/>
      </w:pPr>
      <w:bookmarkStart w:id="2013" w:name="authorities-alternatives-and-the-conduct-of-proof"/>
      <w:r>
        <w:rPr>
          <w:b w:val="0"/>
          <w:i w:val="0"/>
        </w:rPr>
        <w:t>Authorities alternatives and the conduct of proof</w:t>
      </w:r>
      <w:bookmarkEnd w:id="2013"/>
    </w:p>
    <w:p>
      <w:pPr>
        <w:widowControl/>
      </w:pPr>
      <w:r>
        <w:rPr>
          <w:b w:val="0"/>
          <w:i w:val="0"/>
        </w:rPr>
        <w:t>The source’s reported classifications, assumptions, objections and reservations are part of its meaning. These routes help distinguish an endorsed conclusion from a position introduced for examination.</w:t>
      </w:r>
    </w:p>
    <w:p>
      <w:pPr>
        <w:widowControl/>
      </w:pPr>
      <w:hyperlink w:anchor="cavalcanti-and-five-positions">
        <w:r>
          <w:rPr>
            <w:color w:val="000000"/>
          </w:rPr>
          <w:t xml:space="preserve">Cavalcanti and the five positions</w:t>
        </w:r>
      </w:hyperlink>
      <w:r>
        <w:rPr>
          <w:b w:val="0"/>
          <w:i w:val="0"/>
        </w:rPr>
        <w:t xml:space="preserve">; </w:t>
      </w:r>
      <w:hyperlink w:anchor="corporeal-soul-and-elemental-doxography">
        <w:r>
          <w:rPr>
            <w:color w:val="000000"/>
          </w:rPr>
          <w:t xml:space="preserve">Corporeal soul and elemental doxography</w:t>
        </w:r>
      </w:hyperlink>
      <w:r>
        <w:rPr>
          <w:b w:val="0"/>
          <w:i w:val="0"/>
        </w:rPr>
        <w:t xml:space="preserve">; </w:t>
      </w:r>
      <w:hyperlink w:anchor="three-offices-and-proof-order">
        <w:r>
          <w:rPr>
            <w:color w:val="000000"/>
          </w:rPr>
          <w:t xml:space="preserve">Three offices and the order of proof</w:t>
        </w:r>
      </w:hyperlink>
      <w:r>
        <w:rPr>
          <w:b w:val="0"/>
          <w:i w:val="0"/>
        </w:rPr>
        <w:t xml:space="preserve">; </w:t>
      </w:r>
      <w:hyperlink w:anchor="necessary-predication-and-the-fire-objection">
        <w:r>
          <w:rPr>
            <w:color w:val="000000"/>
          </w:rPr>
          <w:t xml:space="preserve">Necessary predication and the fire objection</w:t>
        </w:r>
      </w:hyperlink>
      <w:r>
        <w:rPr>
          <w:b w:val="0"/>
          <w:i w:val="0"/>
        </w:rPr>
        <w:t xml:space="preserve">; </w:t>
      </w:r>
      <w:hyperlink w:anchor="conditions-and-the-fashioners-law">
        <w:r>
          <w:rPr>
            <w:color w:val="000000"/>
          </w:rPr>
          <w:t xml:space="preserve">Conditions and the fashioner’s law</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zoroaster-and-the-mistress-of-life">
        <w:r>
          <w:rPr>
            <w:color w:val="000000"/>
          </w:rPr>
          <w:t xml:space="preserve">Zoroaster and the mistress of life</w:t>
        </w:r>
      </w:hyperlink>
      <w:r>
        <w:rPr>
          <w:b w:val="0"/>
          <w:i w:val="0"/>
        </w:rPr>
        <w:t xml:space="preserve">; </w:t>
      </w:r>
      <w:hyperlink w:anchor="avicenna-imagined-adult">
        <w:r>
          <w:rPr>
            <w:color w:val="000000"/>
          </w:rPr>
          <w:t xml:space="preserve">Avicenna’s imagined adult</w:t>
        </w:r>
      </w:hyperlink>
      <w:r>
        <w:rPr>
          <w:b w:val="0"/>
          <w:i w:val="0"/>
        </w:rPr>
        <w:t xml:space="preserve">; </w:t>
      </w:r>
      <w:hyperlink w:anchor="plato-cave-and-gradual-education">
        <w:r>
          <w:rPr>
            <w:color w:val="000000"/>
          </w:rPr>
          <w:t xml:space="preserve">Plato’s cave and gradual education</w:t>
        </w:r>
      </w:hyperlink>
      <w:r>
        <w:rPr>
          <w:b w:val="0"/>
          <w:i w:val="0"/>
        </w:rPr>
        <w:t xml:space="preserve">; </w:t>
      </w:r>
      <w:hyperlink w:anchor="viii-natural-desire">
        <w:r>
          <w:rPr>
            <w:color w:val="000000"/>
          </w:rPr>
          <w:t xml:space="preserve">Natural desire, possible good, and Olympiodorus</w:t>
        </w:r>
      </w:hyperlink>
      <w:r>
        <w:rPr>
          <w:b w:val="0"/>
          <w:i w:val="0"/>
        </w:rPr>
        <w:t xml:space="preserve">; </w:t>
      </w:r>
      <w:hyperlink w:anchor="viii-self-cause">
        <w:r>
          <w:rPr>
            <w:color w:val="000000"/>
          </w:rPr>
          <w:t xml:space="preserve">Self-causation: formal cause and efficient cause</w:t>
        </w:r>
      </w:hyperlink>
      <w:r>
        <w:rPr>
          <w:b w:val="0"/>
          <w:i w:val="0"/>
        </w:rPr>
        <w:t xml:space="preserve">; </w:t>
      </w:r>
      <w:hyperlink w:anchor="viii-analysis-mangling">
        <w:r>
          <w:rPr>
            <w:color w:val="000000"/>
          </w:rPr>
          <w:t xml:space="preserve">Analysis, mangling, and fictive construction</w:t>
        </w:r>
      </w:hyperlink>
      <w:r>
        <w:rPr>
          <w:b w:val="0"/>
          <w:i w:val="0"/>
        </w:rPr>
        <w:t>.</w:t>
      </w:r>
    </w:p>
    <w:p>
      <w:pPr>
        <w:pStyle w:val="Heading1"/>
      </w:pPr>
      <w:bookmarkStart w:id="2014" w:name="authorities-and-cited-works"/>
      <w:r>
        <w:rPr>
          <w:b w:val="0"/>
          <w:i w:val="0"/>
        </w:rPr>
        <w:t>Authorities and cited works</w:t>
      </w:r>
      <w:bookmarkEnd w:id="2014"/>
    </w:p>
    <w:p>
      <w:pPr>
        <w:widowControl/>
      </w:pPr>
      <w:r>
        <w:rPr>
          <w:b w:val="0"/>
          <w:i w:val="0"/>
        </w:rPr>
        <w:t>These entries locate named authorities, reported schools, interlocutors and explicitly identified works discussed in the companion. They distinguish Ficino’s attribution, his own endorsement, an illustrative name and a work-title citation. Grouped entries retain the members of the source’s classifications. The index is a finding aid, not a new history of these figures or a verification of every ancient attribution.</w:t>
      </w:r>
    </w:p>
    <w:p>
      <w:pPr>
        <w:pStyle w:val="Heading2"/>
      </w:pPr>
      <w:bookmarkStart w:id="2015" w:name="authorities-and-interlocutors"/>
      <w:r>
        <w:rPr>
          <w:b w:val="0"/>
          <w:i w:val="0"/>
        </w:rPr>
        <w:t>Authorities and interlocutors</w:t>
      </w:r>
      <w:bookmarkEnd w:id="2015"/>
    </w:p>
    <w:p>
      <w:pPr>
        <w:widowControl/>
      </w:pPr>
      <w:r>
        <w:rPr>
          <w:b/>
          <w:i w:val="0"/>
        </w:rPr>
        <w:t>Ariston.</w:t>
      </w:r>
      <w:r>
        <w:rPr>
          <w:b w:val="0"/>
          <w:i w:val="0"/>
        </w:rPr>
        <w:t xml:space="preserve"> The father of Plato serves as an example of a determinate human being generating another determinate human being in matter. He does not produce absolute humanity or being itself; the example helps distinguish natural generation from creation. References: </w:t>
      </w:r>
      <w:hyperlink w:anchor="passage-v-13-5">
        <w:r>
          <w:rPr>
            <w:color w:val="000000"/>
          </w:rPr>
          <w:t xml:space="preserve">V.13.5</w:t>
        </w:r>
      </w:hyperlink>
      <w:r>
        <w:rPr>
          <w:b w:val="0"/>
          <w:i w:val="0"/>
        </w:rPr>
        <w:t xml:space="preserve">. See </w:t>
      </w:r>
      <w:hyperlink w:anchor="ariston-sculptor-and-painter">
        <w:r>
          <w:rPr>
            <w:color w:val="000000"/>
          </w:rPr>
          <w:t xml:space="preserve">Ariston, sculptor and painter</w:t>
        </w:r>
      </w:hyperlink>
      <w:r>
        <w:rPr>
          <w:b w:val="0"/>
          <w:i w:val="0"/>
        </w:rPr>
        <w:t>.</w:t>
      </w:r>
    </w:p>
    <w:p>
      <w:pPr>
        <w:widowControl/>
      </w:pPr>
      <w:r>
        <w:rPr>
          <w:b/>
          <w:i w:val="0"/>
        </w:rPr>
        <w:t>Aristotle.</w:t>
      </w:r>
      <w:r>
        <w:rPr>
          <w:b w:val="0"/>
          <w:i w:val="0"/>
        </w:rPr>
        <w:t xml:space="preserve"> Ficino places Aristotle largely, rather than without qualification, with the ancient theologians. Elsewhere the owl-eye comparison and arguments concerning cognitive activity and bodily restriction enter particular proofs. These uses do not by themselves establish complete agreement between Aristotle and Ficino. References: </w:t>
      </w:r>
      <w:hyperlink w:anchor="passage-vi-1-6">
        <w:r>
          <w:rPr>
            <w:color w:val="000000"/>
          </w:rPr>
          <w:t xml:space="preserve">VI.1.6</w:t>
        </w:r>
      </w:hyperlink>
      <w:r>
        <w:rPr>
          <w:b w:val="0"/>
          <w:i w:val="0"/>
        </w:rPr>
        <w:t xml:space="preserve">, </w:t>
      </w:r>
      <w:hyperlink w:anchor="passage-vi-2-9">
        <w:r>
          <w:rPr>
            <w:color w:val="000000"/>
          </w:rPr>
          <w:t xml:space="preserve">VI.2.9</w:t>
        </w:r>
      </w:hyperlink>
      <w:r>
        <w:rPr>
          <w:b w:val="0"/>
          <w:i w:val="0"/>
        </w:rPr>
        <w:t xml:space="preserve">, </w:t>
      </w:r>
      <w:hyperlink w:anchor="passage-vii-12-1">
        <w:r>
          <w:rPr>
            <w:color w:val="000000"/>
          </w:rPr>
          <w:t xml:space="preserve">VII.12.1</w:t>
        </w:r>
      </w:hyperlink>
      <w:r>
        <w:rPr>
          <w:b w:val="0"/>
          <w:i w:val="0"/>
        </w:rPr>
        <w:t xml:space="preserve">, </w:t>
      </w:r>
      <w:hyperlink w:anchor="passage-viii-10-2">
        <w:r>
          <w:rPr>
            <w:color w:val="000000"/>
          </w:rPr>
          <w:t xml:space="preserve">VIII.10.2</w:t>
        </w:r>
      </w:hyperlink>
      <w:r>
        <w:rPr>
          <w:b w:val="0"/>
          <w:i w:val="0"/>
        </w:rPr>
        <w:t xml:space="preserve">. See </w:t>
      </w:r>
      <w:hyperlink w:anchor="divine-production-and-third-essence">
        <w:r>
          <w:rPr>
            <w:color w:val="000000"/>
          </w:rPr>
          <w:t xml:space="preserve">Divine production and the third essence</w:t>
        </w:r>
      </w:hyperlink>
      <w:r>
        <w:rPr>
          <w:b w:val="0"/>
          <w:i w:val="0"/>
        </w:rPr>
        <w:t xml:space="preserve">; </w:t>
      </w:r>
      <w:hyperlink w:anchor="intellectual-objects-and-owl-eye">
        <w:r>
          <w:rPr>
            <w:color w:val="000000"/>
          </w:rPr>
          <w:t xml:space="preserve">Intellectual objects and the owl’s eye</w:t>
        </w:r>
      </w:hyperlink>
      <w:r>
        <w:rPr>
          <w:b w:val="0"/>
          <w:i w:val="0"/>
        </w:rPr>
        <w:t xml:space="preserve">; </w:t>
      </w:r>
      <w:hyperlink w:anchor="vii-proportion-bodily-goods">
        <w:r>
          <w:rPr>
            <w:color w:val="000000"/>
          </w:rPr>
          <w:t xml:space="preserve">Proportion, health, strength and beauty</w:t>
        </w:r>
      </w:hyperlink>
      <w:r>
        <w:rPr>
          <w:b w:val="0"/>
          <w:i w:val="0"/>
        </w:rPr>
        <w:t xml:space="preserve">; </w:t>
      </w:r>
      <w:hyperlink w:anchor="viii-operation-kind">
        <w:r>
          <w:rPr>
            <w:color w:val="000000"/>
          </w:rPr>
          <w:t xml:space="preserve">Kind, generation, and operation’s dependence on substance</w:t>
        </w:r>
      </w:hyperlink>
      <w:r>
        <w:rPr>
          <w:b w:val="0"/>
          <w:i w:val="0"/>
        </w:rPr>
        <w:t>.</w:t>
      </w:r>
    </w:p>
    <w:p>
      <w:pPr>
        <w:widowControl/>
      </w:pPr>
      <w:r>
        <w:rPr>
          <w:b/>
          <w:i w:val="0"/>
        </w:rPr>
        <w:t>Aristoxenus and Dicaearchus.</w:t>
      </w:r>
      <w:r>
        <w:rPr>
          <w:b w:val="0"/>
          <w:i w:val="0"/>
        </w:rPr>
        <w:t xml:space="preserve"> Ficino reports their account of life as a bodily temperament. Aristoxenus also figures in the classification of dependent soul-principles and in the later musical-harmony objection. The rejection concerns harmony as the sufficient producer or identity of soul. References: </w:t>
      </w:r>
      <w:hyperlink w:anchor="passage-v-15-8">
        <w:r>
          <w:rPr>
            <w:color w:val="000000"/>
          </w:rPr>
          <w:t xml:space="preserve">V.15.8</w:t>
        </w:r>
      </w:hyperlink>
      <w:r>
        <w:rPr>
          <w:b w:val="0"/>
          <w:i w:val="0"/>
        </w:rPr>
        <w:t xml:space="preserve">, </w:t>
      </w:r>
      <w:hyperlink w:anchor="passage-vi-1-5">
        <w:r>
          <w:rPr>
            <w:color w:val="000000"/>
          </w:rPr>
          <w:t xml:space="preserve">VI.1.5</w:t>
        </w:r>
      </w:hyperlink>
      <w:r>
        <w:rPr>
          <w:b w:val="0"/>
          <w:i w:val="0"/>
        </w:rPr>
        <w:t xml:space="preserve">, </w:t>
      </w:r>
      <w:hyperlink w:anchor="passage-vii-10-1">
        <w:r>
          <w:rPr>
            <w:color w:val="000000"/>
          </w:rPr>
          <w:t xml:space="preserve">VII.10.1</w:t>
        </w:r>
      </w:hyperlink>
      <w:r>
        <w:rPr>
          <w:b w:val="0"/>
          <w:i w:val="0"/>
        </w:rPr>
        <w:t xml:space="preserve">. See </w:t>
      </w:r>
      <w:hyperlink w:anchor="temperament-and-harmony">
        <w:r>
          <w:rPr>
            <w:color w:val="000000"/>
          </w:rPr>
          <w:t xml:space="preserve">Temperament and harmony</w:t>
        </w:r>
      </w:hyperlink>
      <w:r>
        <w:rPr>
          <w:b w:val="0"/>
          <w:i w:val="0"/>
        </w:rPr>
        <w:t xml:space="preserve">; </w:t>
      </w:r>
      <w:hyperlink w:anchor="constitution-point-and-harmony">
        <w:r>
          <w:rPr>
            <w:color w:val="000000"/>
          </w:rPr>
          <w:t xml:space="preserve">Constitution, localized point and harmony</w:t>
        </w:r>
      </w:hyperlink>
      <w:r>
        <w:rPr>
          <w:b w:val="0"/>
          <w:i w:val="0"/>
        </w:rPr>
        <w:t xml:space="preserve">; </w:t>
      </w:r>
      <w:hyperlink w:anchor="vii-harmony-strings">
        <w:r>
          <w:rPr>
            <w:color w:val="000000"/>
          </w:rPr>
          <w:t xml:space="preserve">Harmony and the strings</w:t>
        </w:r>
      </w:hyperlink>
      <w:r>
        <w:rPr>
          <w:b w:val="0"/>
          <w:i w:val="0"/>
        </w:rPr>
        <w:t>.</w:t>
      </w:r>
    </w:p>
    <w:p>
      <w:pPr>
        <w:widowControl/>
      </w:pPr>
      <w:r>
        <w:rPr>
          <w:b/>
          <w:i w:val="0"/>
        </w:rPr>
        <w:t>Augustine.</w:t>
      </w:r>
      <w:r>
        <w:rPr>
          <w:b w:val="0"/>
          <w:i w:val="0"/>
        </w:rPr>
        <w:t xml:space="preserve"> Augustine supports direct divine creation, the stable mind directing bodily movement, whole presence and active sensation in different passages. These local appeals have distinct argumentative functions and should not be collapsed into a single quotation. References: </w:t>
      </w:r>
      <w:hyperlink w:anchor="passage-v-13-1">
        <w:r>
          <w:rPr>
            <w:color w:val="000000"/>
          </w:rPr>
          <w:t xml:space="preserve">V.13.1</w:t>
        </w:r>
      </w:hyperlink>
      <w:r>
        <w:rPr>
          <w:b w:val="0"/>
          <w:i w:val="0"/>
        </w:rPr>
        <w:t xml:space="preserve">, </w:t>
      </w:r>
      <w:hyperlink w:anchor="passage-v-15-5">
        <w:r>
          <w:rPr>
            <w:color w:val="000000"/>
          </w:rPr>
          <w:t xml:space="preserve">V.15.5</w:t>
        </w:r>
      </w:hyperlink>
      <w:r>
        <w:rPr>
          <w:b w:val="0"/>
          <w:i w:val="0"/>
        </w:rPr>
        <w:t xml:space="preserve">, </w:t>
      </w:r>
      <w:hyperlink w:anchor="passage-vii-5-2">
        <w:r>
          <w:rPr>
            <w:color w:val="000000"/>
          </w:rPr>
          <w:t xml:space="preserve">VII.5.2</w:t>
        </w:r>
      </w:hyperlink>
      <w:r>
        <w:rPr>
          <w:b w:val="0"/>
          <w:i w:val="0"/>
        </w:rPr>
        <w:t xml:space="preserve">, </w:t>
      </w:r>
      <w:hyperlink w:anchor="passage-vii-6-3">
        <w:r>
          <w:rPr>
            <w:color w:val="000000"/>
          </w:rPr>
          <w:t xml:space="preserve">VII.6.3</w:t>
        </w:r>
      </w:hyperlink>
      <w:r>
        <w:rPr>
          <w:b w:val="0"/>
          <w:i w:val="0"/>
        </w:rPr>
        <w:t xml:space="preserve">. See </w:t>
      </w:r>
      <w:hyperlink w:anchor="divine-production-and-third-essence">
        <w:r>
          <w:rPr>
            <w:color w:val="000000"/>
          </w:rPr>
          <w:t xml:space="preserve">Divine production and the third essence</w:t>
        </w:r>
      </w:hyperlink>
      <w:r>
        <w:rPr>
          <w:b w:val="0"/>
          <w:i w:val="0"/>
        </w:rPr>
        <w:t xml:space="preserve">; </w:t>
      </w:r>
      <w:hyperlink w:anchor="time-memory-and-expectation">
        <w:r>
          <w:rPr>
            <w:color w:val="000000"/>
          </w:rPr>
          <w:t xml:space="preserve">Time, memory and expectation</w:t>
        </w:r>
      </w:hyperlink>
      <w:r>
        <w:rPr>
          <w:b w:val="0"/>
          <w:i w:val="0"/>
        </w:rPr>
        <w:t xml:space="preserve">; </w:t>
      </w:r>
      <w:hyperlink w:anchor="vii-whole-soul-vital-intensity">
        <w:r>
          <w:rPr>
            <w:color w:val="000000"/>
          </w:rPr>
          <w:t xml:space="preserve">Whole presence and vital intensity</w:t>
        </w:r>
      </w:hyperlink>
      <w:r>
        <w:rPr>
          <w:b w:val="0"/>
          <w:i w:val="0"/>
        </w:rPr>
        <w:t xml:space="preserve">; </w:t>
      </w:r>
      <w:hyperlink w:anchor="vii-sensation-attention">
        <w:r>
          <w:rPr>
            <w:color w:val="000000"/>
          </w:rPr>
          <w:t xml:space="preserve">Sensation as attentive activity</w:t>
        </w:r>
      </w:hyperlink>
      <w:r>
        <w:rPr>
          <w:b w:val="0"/>
          <w:i w:val="0"/>
        </w:rPr>
        <w:t>.</w:t>
      </w:r>
    </w:p>
    <w:p>
      <w:pPr>
        <w:widowControl/>
      </w:pPr>
      <w:r>
        <w:rPr>
          <w:b/>
          <w:i w:val="0"/>
        </w:rPr>
        <w:t>Avicenna.</w:t>
      </w:r>
      <w:r>
        <w:rPr>
          <w:b w:val="0"/>
          <w:i w:val="0"/>
        </w:rPr>
        <w:t xml:space="preserve"> Ficino recounts an imagined adult created without sensory experience and argues from self-affirmation. His further inference to incorporeality relies on the truth of an uncorrupted natural judgement. The account is explained as printed rather than replaced by another familiar version of the experiment. References: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2-14">
        <w:r>
          <w:rPr>
            <w:color w:val="000000"/>
          </w:rPr>
          <w:t xml:space="preserve">VI.2.14</w:t>
        </w:r>
      </w:hyperlink>
      <w:r>
        <w:rPr>
          <w:b w:val="0"/>
          <w:i w:val="0"/>
        </w:rPr>
        <w:t xml:space="preserve">. See </w:t>
      </w:r>
      <w:hyperlink w:anchor="avicenna-imagined-adult">
        <w:r>
          <w:rPr>
            <w:color w:val="000000"/>
          </w:rPr>
          <w:t xml:space="preserve">Avicenna’s imagined adult</w:t>
        </w:r>
      </w:hyperlink>
      <w:r>
        <w:rPr>
          <w:b w:val="0"/>
          <w:i w:val="0"/>
        </w:rPr>
        <w:t>.</w:t>
      </w:r>
    </w:p>
    <w:p>
      <w:pPr>
        <w:widowControl/>
      </w:pPr>
      <w:r>
        <w:rPr>
          <w:b/>
          <w:i w:val="0"/>
        </w:rPr>
        <w:t>Cavalcanti, Giovanni, and the Regnano gathering.</w:t>
      </w:r>
      <w:r>
        <w:rPr>
          <w:b w:val="0"/>
          <w:i w:val="0"/>
        </w:rPr>
        <w:t xml:space="preserve"> Cavalcanti’s speech at his house opens Book VI and requests proofs proper to the human soul. Cristoforo Landino, Bernardo Nuzzi and Giorgio Antonio Vespucci belong to the remembered gathering. The speech’s classification is part of the literary conduct of the proof. References: </w:t>
      </w:r>
      <w:hyperlink w:anchor="passage-vi-1-1">
        <w:r>
          <w:rPr>
            <w:color w:val="000000"/>
          </w:rPr>
          <w:t xml:space="preserve">VI.1.1</w:t>
        </w:r>
      </w:hyperlink>
      <w:r>
        <w:rPr>
          <w:b w:val="0"/>
          <w:i w:val="0"/>
        </w:rPr>
        <w:t xml:space="preserve">. See </w:t>
      </w:r>
      <w:hyperlink w:anchor="cavalcanti-and-five-positions">
        <w:r>
          <w:rPr>
            <w:color w:val="000000"/>
          </w:rPr>
          <w:t xml:space="preserve">Cavalcanti and the five positions</w:t>
        </w:r>
      </w:hyperlink>
      <w:r>
        <w:rPr>
          <w:b w:val="0"/>
          <w:i w:val="0"/>
        </w:rPr>
        <w:t>.</w:t>
      </w:r>
    </w:p>
    <w:p>
      <w:pPr>
        <w:widowControl/>
      </w:pPr>
      <w:r>
        <w:rPr>
          <w:b/>
          <w:i w:val="0"/>
        </w:rPr>
        <w:t>Contemporary philosophical circle.</w:t>
      </w:r>
      <w:r>
        <w:rPr>
          <w:b w:val="0"/>
          <w:i w:val="0"/>
        </w:rPr>
        <w:t xml:space="preserve"> Bernardo Bembo, Antonio Cronico of Venice, Demetrius of Attica, Richard Angellerius of Anghiari, Oliviero Arduino of Florence, Naldo Naldi, Bartolomeo Fonzio, Giovanni Battista Boninsegni and Pier Leone of Spoleto appear in the contemporary discussion framing the classification. The source gives them different roles as host, disputants, Peripatetics, witnesses or interpreter of Platonic and Peripatetic teaching. These are Ficino’s descriptions, not independent biographies. References: </w:t>
      </w:r>
      <w:hyperlink w:anchor="passage-vi-1-6">
        <w:r>
          <w:rPr>
            <w:color w:val="000000"/>
          </w:rPr>
          <w:t xml:space="preserve">VI.1.6</w:t>
        </w:r>
      </w:hyperlink>
      <w:r>
        <w:rPr>
          <w:b w:val="0"/>
          <w:i w:val="0"/>
        </w:rPr>
        <w:t xml:space="preserve">. See </w:t>
      </w:r>
      <w:hyperlink w:anchor="cavalcanti-and-five-positions">
        <w:r>
          <w:rPr>
            <w:color w:val="000000"/>
          </w:rPr>
          <w:t xml:space="preserve">Cavalcanti and the five positions</w:t>
        </w:r>
      </w:hyperlink>
      <w:r>
        <w:rPr>
          <w:b w:val="0"/>
          <w:i w:val="0"/>
        </w:rPr>
        <w:t>.</w:t>
      </w:r>
    </w:p>
    <w:p>
      <w:pPr>
        <w:widowControl/>
      </w:pPr>
      <w:r>
        <w:rPr>
          <w:b/>
          <w:i w:val="0"/>
        </w:rPr>
        <w:t>Dionysius the Areopagite and Origen.</w:t>
      </w:r>
      <w:r>
        <w:rPr>
          <w:b w:val="0"/>
          <w:i w:val="0"/>
        </w:rPr>
        <w:t xml:space="preserve"> With Augustine, these Christian authorities support Ficino’s preference for direct divine production of soul over the angelic production attributed to Plotinus and Proclus. Origen also appears in a separately reserved report about descent; the two contexts require separate treatment. References: </w:t>
      </w:r>
      <w:hyperlink w:anchor="passage-v-13-1">
        <w:r>
          <w:rPr>
            <w:color w:val="000000"/>
          </w:rPr>
          <w:t xml:space="preserve">V.13.1</w:t>
        </w:r>
      </w:hyperlink>
      <w:r>
        <w:rPr>
          <w:b w:val="0"/>
          <w:i w:val="0"/>
        </w:rPr>
        <w:t xml:space="preserve">, </w:t>
      </w:r>
      <w:hyperlink w:anchor="passage-v-14-9">
        <w:r>
          <w:rPr>
            <w:color w:val="000000"/>
          </w:rPr>
          <w:t xml:space="preserve">V.14.9</w:t>
        </w:r>
      </w:hyperlink>
      <w:r>
        <w:rPr>
          <w:b w:val="0"/>
          <w:i w:val="0"/>
        </w:rPr>
        <w:t xml:space="preserve">. See </w:t>
      </w:r>
      <w:hyperlink w:anchor="divine-production-and-third-essence">
        <w:r>
          <w:rPr>
            <w:color w:val="000000"/>
          </w:rPr>
          <w:t xml:space="preserve">Divine production and the third essence</w:t>
        </w:r>
      </w:hyperlink>
      <w:r>
        <w:rPr>
          <w:b w:val="0"/>
          <w:i w:val="0"/>
        </w:rPr>
        <w:t xml:space="preserve">; </w:t>
      </w:r>
      <w:hyperlink w:anchor="platonist-disagreement-and-descent">
        <w:r>
          <w:rPr>
            <w:color w:val="000000"/>
          </w:rPr>
          <w:t xml:space="preserve">Platonist disagreement and descent</w:t>
        </w:r>
      </w:hyperlink>
      <w:r>
        <w:rPr>
          <w:b w:val="0"/>
          <w:i w:val="0"/>
        </w:rPr>
        <w:t>.</w:t>
      </w:r>
    </w:p>
    <w:p>
      <w:pPr>
        <w:widowControl/>
      </w:pPr>
      <w:r>
        <w:rPr>
          <w:b/>
          <w:i w:val="0"/>
        </w:rPr>
        <w:t>Elemental-soul authorities.</w:t>
      </w:r>
      <w:r>
        <w:rPr>
          <w:b w:val="0"/>
          <w:i w:val="0"/>
        </w:rPr>
        <w:t xml:space="preserve"> The opening classification reports fiery accounts under Democritus, Leucippus and Hipparchus; airy accounts under Anaximenes, Diogenes of Apollonia and Critias; watery under Hippias; earthy under Hesiod and Pronopides; fire-and-air under Boethus and Epicurus; and water-and-earth under Xenophantes. These associations are the source’s doxography. Xenophantes is not silently identified with Xenophanes of Colophon. References: </w:t>
      </w:r>
      <w:hyperlink w:anchor="passage-vi-1-2">
        <w:r>
          <w:rPr>
            <w:color w:val="000000"/>
          </w:rPr>
          <w:t xml:space="preserve">VI.1.2</w:t>
        </w:r>
      </w:hyperlink>
      <w:r>
        <w:rPr>
          <w:b w:val="0"/>
          <w:i w:val="0"/>
        </w:rPr>
        <w:t xml:space="preserve">. See </w:t>
      </w:r>
      <w:hyperlink w:anchor="corporeal-soul-and-elemental-doxography">
        <w:r>
          <w:rPr>
            <w:color w:val="000000"/>
          </w:rPr>
          <w:t xml:space="preserve">Corporeal soul and elemental doxography</w:t>
        </w:r>
      </w:hyperlink>
      <w:r>
        <w:rPr>
          <w:b w:val="0"/>
          <w:i w:val="0"/>
        </w:rPr>
        <w:t>.</w:t>
      </w:r>
    </w:p>
    <w:p>
      <w:pPr>
        <w:widowControl/>
      </w:pPr>
      <w:r>
        <w:rPr>
          <w:b/>
          <w:i w:val="0"/>
        </w:rPr>
        <w:t>Empedocles and Timaeus of Locri.</w:t>
      </w:r>
      <w:r>
        <w:rPr>
          <w:b w:val="0"/>
          <w:i w:val="0"/>
        </w:rPr>
        <w:t xml:space="preserve"> They appear with Origen and Plotinus in the reported descent account from which Ficino maintains a reservation. Their presence does not make every consequence of that account Ficino’s own settled teaching. References: </w:t>
      </w:r>
      <w:hyperlink w:anchor="passage-v-14-9">
        <w:r>
          <w:rPr>
            <w:color w:val="000000"/>
          </w:rPr>
          <w:t xml:space="preserve">V.14.9</w:t>
        </w:r>
      </w:hyperlink>
      <w:r>
        <w:rPr>
          <w:b w:val="0"/>
          <w:i w:val="0"/>
        </w:rPr>
        <w:t xml:space="preserve">. See </w:t>
      </w:r>
      <w:hyperlink w:anchor="platonist-disagreement-and-descent">
        <w:r>
          <w:rPr>
            <w:color w:val="000000"/>
          </w:rPr>
          <w:t xml:space="preserve">Platonist disagreement and descent</w:t>
        </w:r>
      </w:hyperlink>
      <w:r>
        <w:rPr>
          <w:b w:val="0"/>
          <w:i w:val="0"/>
        </w:rPr>
        <w:t>.</w:t>
      </w:r>
    </w:p>
    <w:p>
      <w:pPr>
        <w:widowControl/>
      </w:pPr>
      <w:r>
        <w:rPr>
          <w:b/>
          <w:i w:val="0"/>
        </w:rPr>
        <w:t>Heraclitus.</w:t>
      </w:r>
      <w:r>
        <w:rPr>
          <w:b w:val="0"/>
          <w:i w:val="0"/>
        </w:rPr>
        <w:t xml:space="preserve"> A Greek dry-light maxim is interpreted through Ficino’s accompanying Latin gloss. Another appeal, with the Orphic writers, occurs in the visible/invisible-light discussion. The companion does not replace the printed quotation with another historical form of the fragment. References: </w:t>
      </w:r>
      <w:hyperlink w:anchor="passage-vi-2-26">
        <w:r>
          <w:rPr>
            <w:color w:val="000000"/>
          </w:rPr>
          <w:t xml:space="preserve">VI.2.26</w:t>
        </w:r>
      </w:hyperlink>
      <w:r>
        <w:rPr>
          <w:b w:val="0"/>
          <w:i w:val="0"/>
        </w:rPr>
        <w:t xml:space="preserve">, </w:t>
      </w:r>
      <w:hyperlink w:anchor="passage-viii-13-1">
        <w:r>
          <w:rPr>
            <w:color w:val="000000"/>
          </w:rPr>
          <w:t xml:space="preserve">VIII.13.1</w:t>
        </w:r>
      </w:hyperlink>
      <w:r>
        <w:rPr>
          <w:b w:val="0"/>
          <w:i w:val="0"/>
        </w:rPr>
        <w:t xml:space="preserve">. See </w:t>
      </w:r>
      <w:hyperlink w:anchor="spark-globe-and-luminous-vehicles">
        <w:r>
          <w:rPr>
            <w:color w:val="000000"/>
          </w:rPr>
          <w:t xml:space="preserve">Spark, globe and luminous vehicles</w:t>
        </w:r>
      </w:hyperlink>
      <w:r>
        <w:rPr>
          <w:b w:val="0"/>
          <w:i w:val="0"/>
        </w:rPr>
        <w:t xml:space="preserve">; </w:t>
      </w:r>
      <w:hyperlink w:anchor="viii-mirror-light">
        <w:r>
          <w:rPr>
            <w:color w:val="000000"/>
          </w:rPr>
          <w:t xml:space="preserve">Mirror, light, and the soul of the sun</w:t>
        </w:r>
      </w:hyperlink>
      <w:r>
        <w:rPr>
          <w:b w:val="0"/>
          <w:i w:val="0"/>
        </w:rPr>
        <w:t>.</w:t>
      </w:r>
    </w:p>
    <w:p>
      <w:pPr>
        <w:widowControl/>
      </w:pPr>
      <w:r>
        <w:rPr>
          <w:b/>
          <w:i w:val="0"/>
        </w:rPr>
        <w:t>Hippocrates.</w:t>
      </w:r>
      <w:r>
        <w:rPr>
          <w:b w:val="0"/>
          <w:i w:val="0"/>
        </w:rPr>
        <w:t xml:space="preserve"> Bodily proportions are contrasted with the character of cognitive excellence in the argument against identifying soul with bodily harmony. This is a use within Ficino’s historical physiology, not modern medical advice. References: </w:t>
      </w:r>
      <w:hyperlink w:anchor="passage-vii-12-1">
        <w:r>
          <w:rPr>
            <w:color w:val="000000"/>
          </w:rPr>
          <w:t xml:space="preserve">VII.12.1</w:t>
        </w:r>
      </w:hyperlink>
      <w:r>
        <w:rPr>
          <w:b w:val="0"/>
          <w:i w:val="0"/>
        </w:rPr>
        <w:t xml:space="preserve">. See </w:t>
      </w:r>
      <w:hyperlink w:anchor="vii-proportion-bodily-goods">
        <w:r>
          <w:rPr>
            <w:color w:val="000000"/>
          </w:rPr>
          <w:t xml:space="preserve">Proportion, health, strength and beauty</w:t>
        </w:r>
      </w:hyperlink>
      <w:r>
        <w:rPr>
          <w:b w:val="0"/>
          <w:i w:val="0"/>
        </w:rPr>
        <w:t>.</w:t>
      </w:r>
    </w:p>
    <w:p>
      <w:pPr>
        <w:widowControl/>
      </w:pPr>
      <w:r>
        <w:rPr>
          <w:b/>
          <w:i w:val="0"/>
        </w:rPr>
        <w:t>Localized-point authorities.</w:t>
      </w:r>
      <w:r>
        <w:rPr>
          <w:b w:val="0"/>
          <w:i w:val="0"/>
        </w:rPr>
        <w:t xml:space="preserve"> Chrysippus, Archelaus and Heraclides of Pontus are assigned to the account of soul as a luminous qualitative point in heart or brain. The classificatory role is distinct from the later claim of a nonlocal, whole-present soul. References: </w:t>
      </w:r>
      <w:hyperlink w:anchor="passage-vi-1-4">
        <w:r>
          <w:rPr>
            <w:color w:val="000000"/>
          </w:rPr>
          <w:t xml:space="preserve">VI.1.4</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widowControl/>
      </w:pPr>
      <w:r>
        <w:rPr>
          <w:b/>
          <w:i w:val="0"/>
        </w:rPr>
        <w:t>Nonlocal but materially dependent authorities.</w:t>
      </w:r>
      <w:r>
        <w:rPr>
          <w:b w:val="0"/>
          <w:i w:val="0"/>
        </w:rPr>
        <w:t xml:space="preserve"> Xenophanes of Colophon, Asclepiades, Aristoxenus and Critolaus occur under a principle present throughout the body without spatial confinement, yet still dependent on material constitution or extracted from matter by an external producer. Whole presence alone therefore does not reach the fifth, divine account. References: </w:t>
      </w:r>
      <w:hyperlink w:anchor="passage-vi-1-5">
        <w:r>
          <w:rPr>
            <w:color w:val="000000"/>
          </w:rPr>
          <w:t xml:space="preserve">VI.1.5</w:t>
        </w:r>
      </w:hyperlink>
      <w:r>
        <w:rPr>
          <w:b w:val="0"/>
          <w:i w:val="0"/>
        </w:rPr>
        <w:t xml:space="preserve">. See </w:t>
      </w:r>
      <w:hyperlink w:anchor="constitution-point-and-harmony">
        <w:r>
          <w:rPr>
            <w:color w:val="000000"/>
          </w:rPr>
          <w:t xml:space="preserve">Constitution, localized point and harmony</w:t>
        </w:r>
      </w:hyperlink>
      <w:r>
        <w:rPr>
          <w:b w:val="0"/>
          <w:i w:val="0"/>
        </w:rPr>
        <w:t xml:space="preserve">; </w:t>
      </w:r>
      <w:hyperlink w:anchor="divine-production-and-third-essence">
        <w:r>
          <w:rPr>
            <w:color w:val="000000"/>
          </w:rPr>
          <w:t xml:space="preserve">Divine production and the third essence</w:t>
        </w:r>
      </w:hyperlink>
      <w:r>
        <w:rPr>
          <w:b w:val="0"/>
          <w:i w:val="0"/>
        </w:rPr>
        <w:t>.</w:t>
      </w:r>
    </w:p>
    <w:p>
      <w:pPr>
        <w:widowControl/>
      </w:pPr>
      <w:r>
        <w:rPr>
          <w:b/>
          <w:i w:val="0"/>
        </w:rPr>
        <w:t>Olympiodorus.</w:t>
      </w:r>
      <w:r>
        <w:rPr>
          <w:b w:val="0"/>
          <w:i w:val="0"/>
        </w:rPr>
        <w:t xml:space="preserve"> Ficino cites Olympiodorus’s treatment of natural desire in connection with the Phaedo and Gorgias and with Pythagorean and Platonic materials. The argument turns on the possibility and proper object of a natural desire. References: </w:t>
      </w:r>
      <w:hyperlink w:anchor="passage-viii-2-8">
        <w:r>
          <w:rPr>
            <w:color w:val="000000"/>
          </w:rPr>
          <w:t xml:space="preserve">VIII.2.8</w:t>
        </w:r>
      </w:hyperlink>
      <w:r>
        <w:rPr>
          <w:b w:val="0"/>
          <w:i w:val="0"/>
        </w:rPr>
        <w:t xml:space="preserve">. See </w:t>
      </w:r>
      <w:hyperlink w:anchor="viii-natural-desire">
        <w:r>
          <w:rPr>
            <w:color w:val="000000"/>
          </w:rPr>
          <w:t xml:space="preserve">Natural desire, possible good, and Olympiodorus</w:t>
        </w:r>
      </w:hyperlink>
      <w:r>
        <w:rPr>
          <w:b w:val="0"/>
          <w:i w:val="0"/>
        </w:rPr>
        <w:t>.</w:t>
      </w:r>
    </w:p>
    <w:p>
      <w:pPr>
        <w:widowControl/>
      </w:pPr>
      <w:r>
        <w:rPr>
          <w:b/>
          <w:i w:val="0"/>
        </w:rPr>
        <w:t>Paul.</w:t>
      </w:r>
      <w:r>
        <w:rPr>
          <w:b w:val="0"/>
          <w:i w:val="0"/>
        </w:rPr>
        <w:t xml:space="preserve"> Daily inward renewal enters the account of intellectual life and generation. The reference is explained in its immediate argument; no independently verified biblical verse number is supplied. References: </w:t>
      </w:r>
      <w:hyperlink w:anchor="passage-viii-15-2">
        <w:r>
          <w:rPr>
            <w:color w:val="000000"/>
          </w:rPr>
          <w:t xml:space="preserve">VIII.15.2</w:t>
        </w:r>
      </w:hyperlink>
      <w:r>
        <w:rPr>
          <w:b w:val="0"/>
          <w:i w:val="0"/>
        </w:rPr>
        <w:t xml:space="preserve">. See </w:t>
      </w:r>
      <w:hyperlink w:anchor="viii-intellectual-generation">
        <w:r>
          <w:rPr>
            <w:color w:val="000000"/>
          </w:rPr>
          <w:t xml:space="preserve">Intellectual generation and daily renewal</w:t>
        </w:r>
      </w:hyperlink>
      <w:r>
        <w:rPr>
          <w:b w:val="0"/>
          <w:i w:val="0"/>
        </w:rPr>
        <w:t>.</w:t>
      </w:r>
    </w:p>
    <w:p>
      <w:pPr>
        <w:widowControl/>
      </w:pPr>
      <w:r>
        <w:rPr>
          <w:b/>
          <w:i w:val="0"/>
        </w:rPr>
        <w:t>Plato.</w:t>
      </w:r>
      <w:r>
        <w:rPr>
          <w:b w:val="0"/>
          <w:i w:val="0"/>
        </w:rPr>
        <w:t xml:space="preserve"> Plato is both an authority and an illustrative individual in this volume. His name in examples of particular human beings must be distinguished from claims attributed to his works. The cave, the mixing-bowl account and the hierarchy of intelligible forms have different local uses. References: </w:t>
      </w:r>
      <w:hyperlink w:anchor="passage-v-5-9">
        <w:r>
          <w:rPr>
            <w:color w:val="000000"/>
          </w:rPr>
          <w:t xml:space="preserve">V.5.9</w:t>
        </w:r>
      </w:hyperlink>
      <w:r>
        <w:rPr>
          <w:b w:val="0"/>
          <w:i w:val="0"/>
        </w:rPr>
        <w:t xml:space="preserve">, </w:t>
      </w:r>
      <w:hyperlink w:anchor="passage-vi-2-14">
        <w:r>
          <w:rPr>
            <w:color w:val="000000"/>
          </w:rPr>
          <w:t xml:space="preserve">VI.2.14</w:t>
        </w:r>
      </w:hyperlink>
      <w:r>
        <w:rPr>
          <w:b w:val="0"/>
          <w:i w:val="0"/>
        </w:rPr>
        <w:t xml:space="preserve">, </w:t>
      </w:r>
      <w:hyperlink w:anchor="passage-vi-2-17">
        <w:r>
          <w:rPr>
            <w:color w:val="000000"/>
          </w:rPr>
          <w:t xml:space="preserve">VI.2.17</w:t>
        </w:r>
      </w:hyperlink>
      <w:r>
        <w:rPr>
          <w:b w:val="0"/>
          <w:i w:val="0"/>
        </w:rPr>
        <w:t xml:space="preserve">, </w:t>
      </w:r>
      <w:hyperlink w:anchor="passage-vii-1-1">
        <w:r>
          <w:rPr>
            <w:color w:val="000000"/>
          </w:rPr>
          <w:t xml:space="preserve">VII.1.1</w:t>
        </w:r>
      </w:hyperlink>
      <w:r>
        <w:rPr>
          <w:b w:val="0"/>
          <w:i w:val="0"/>
        </w:rPr>
        <w:t xml:space="preserve">, </w:t>
      </w:r>
      <w:hyperlink w:anchor="passage-viii-1-1">
        <w:r>
          <w:rPr>
            <w:color w:val="000000"/>
          </w:rPr>
          <w:t xml:space="preserve">VIII.1.1</w:t>
        </w:r>
      </w:hyperlink>
      <w:r>
        <w:rPr>
          <w:b w:val="0"/>
          <w:i w:val="0"/>
        </w:rPr>
        <w:t xml:space="preserve">. See </w:t>
      </w:r>
      <w:hyperlink w:anchor="plato-cave-and-gradual-education">
        <w:r>
          <w:rPr>
            <w:color w:val="000000"/>
          </w:rPr>
          <w:t xml:space="preserve">Plato’s cave and gradual education</w:t>
        </w:r>
      </w:hyperlink>
      <w:r>
        <w:rPr>
          <w:b w:val="0"/>
          <w:i w:val="0"/>
        </w:rPr>
        <w:t xml:space="preserve">; </w:t>
      </w:r>
      <w:hyperlink w:anchor="four-causes-and-graded-dependence">
        <w:r>
          <w:rPr>
            <w:color w:val="000000"/>
          </w:rPr>
          <w:t xml:space="preserve">Four causes and graded dependence</w:t>
        </w:r>
      </w:hyperlink>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i-universal-idea">
        <w:r>
          <w:rPr>
            <w:color w:val="000000"/>
          </w:rPr>
          <w:t xml:space="preserve">Common nature, participation, and the divine Idea</w:t>
        </w:r>
      </w:hyperlink>
      <w:r>
        <w:rPr>
          <w:b w:val="0"/>
          <w:i w:val="0"/>
        </w:rPr>
        <w:t>.</w:t>
      </w:r>
    </w:p>
    <w:p>
      <w:pPr>
        <w:widowControl/>
      </w:pPr>
      <w:r>
        <w:rPr>
          <w:b/>
          <w:i w:val="0"/>
        </w:rPr>
        <w:t>Plotinus.</w:t>
      </w:r>
      <w:r>
        <w:rPr>
          <w:b w:val="0"/>
          <w:i w:val="0"/>
        </w:rPr>
        <w:t xml:space="preserve"> The volume reports angelic production, lower-soul immortality and descent in passages where Ficino’s own endorsement varies. Other passages use Plotinus on vegetative power, active perception or a tentative analysis of being. Attribution and assent are not interchangeable. References: </w:t>
      </w:r>
      <w:hyperlink w:anchor="passage-v-13-1">
        <w:r>
          <w:rPr>
            <w:color w:val="000000"/>
          </w:rPr>
          <w:t xml:space="preserve">V.13.1</w:t>
        </w:r>
      </w:hyperlink>
      <w:r>
        <w:rPr>
          <w:b w:val="0"/>
          <w:i w:val="0"/>
        </w:rPr>
        <w:t xml:space="preserve">, </w:t>
      </w:r>
      <w:hyperlink w:anchor="passage-v-14-8">
        <w:r>
          <w:rPr>
            <w:color w:val="000000"/>
          </w:rPr>
          <w:t xml:space="preserve">V.14.8</w:t>
        </w:r>
      </w:hyperlink>
      <w:r>
        <w:rPr>
          <w:b w:val="0"/>
          <w:i w:val="0"/>
        </w:rPr>
        <w:t xml:space="preserve">, </w:t>
      </w:r>
      <w:hyperlink w:anchor="passage-v-14-9">
        <w:r>
          <w:rPr>
            <w:color w:val="000000"/>
          </w:rPr>
          <w:t xml:space="preserve">V.14.9</w:t>
        </w:r>
      </w:hyperlink>
      <w:r>
        <w:rPr>
          <w:b w:val="0"/>
          <w:i w:val="0"/>
        </w:rPr>
        <w:t xml:space="preserve">, </w:t>
      </w:r>
      <w:hyperlink w:anchor="passage-vi-10-1">
        <w:r>
          <w:rPr>
            <w:color w:val="000000"/>
          </w:rPr>
          <w:t xml:space="preserve">VI.10.1</w:t>
        </w:r>
      </w:hyperlink>
      <w:r>
        <w:rPr>
          <w:b w:val="0"/>
          <w:i w:val="0"/>
        </w:rPr>
        <w:t xml:space="preserve">, </w:t>
      </w:r>
      <w:hyperlink w:anchor="passage-vii-6-3">
        <w:r>
          <w:rPr>
            <w:color w:val="000000"/>
          </w:rPr>
          <w:t xml:space="preserve">VII.6.3</w:t>
        </w:r>
      </w:hyperlink>
      <w:r>
        <w:rPr>
          <w:b w:val="0"/>
          <w:i w:val="0"/>
        </w:rPr>
        <w:t xml:space="preserve">, </w:t>
      </w:r>
      <w:hyperlink w:anchor="passage-viii-4-12">
        <w:r>
          <w:rPr>
            <w:color w:val="000000"/>
          </w:rPr>
          <w:t xml:space="preserve">VIII.4.12</w:t>
        </w:r>
      </w:hyperlink>
      <w:r>
        <w:rPr>
          <w:b w:val="0"/>
          <w:i w:val="0"/>
        </w:rPr>
        <w:t xml:space="preserve">. See </w:t>
      </w:r>
      <w:hyperlink w:anchor="divine-production-and-third-essence">
        <w:r>
          <w:rPr>
            <w:color w:val="000000"/>
          </w:rPr>
          <w:t xml:space="preserve">Divine production and the third essence</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seminal-power-fish-eggs-and-tree">
        <w:r>
          <w:rPr>
            <w:color w:val="000000"/>
          </w:rPr>
          <w:t xml:space="preserve">Seminal power, fish eggs and the tree</w:t>
        </w:r>
      </w:hyperlink>
      <w:r>
        <w:rPr>
          <w:b w:val="0"/>
          <w:i w:val="0"/>
        </w:rPr>
        <w:t xml:space="preserve">; </w:t>
      </w:r>
      <w:hyperlink w:anchor="vii-sensation-attention">
        <w:r>
          <w:rPr>
            <w:color w:val="000000"/>
          </w:rPr>
          <w:t xml:space="preserve">Sensation as attentive activity</w:t>
        </w:r>
      </w:hyperlink>
      <w:r>
        <w:rPr>
          <w:b w:val="0"/>
          <w:i w:val="0"/>
        </w:rPr>
        <w:t xml:space="preserve">; </w:t>
      </w:r>
      <w:hyperlink w:anchor="viii-analysis-mangling">
        <w:r>
          <w:rPr>
            <w:color w:val="000000"/>
          </w:rPr>
          <w:t xml:space="preserve">Analysis, mangling, and fictive construction</w:t>
        </w:r>
      </w:hyperlink>
      <w:r>
        <w:rPr>
          <w:b w:val="0"/>
          <w:i w:val="0"/>
        </w:rPr>
        <w:t>.</w:t>
      </w:r>
    </w:p>
    <w:p>
      <w:pPr>
        <w:widowControl/>
      </w:pPr>
      <w:r>
        <w:rPr>
          <w:b/>
          <w:i w:val="0"/>
        </w:rPr>
        <w:t>Porphyry.</w:t>
      </w:r>
      <w:r>
        <w:rPr>
          <w:b w:val="0"/>
          <w:i w:val="0"/>
        </w:rPr>
        <w:t xml:space="preserve"> Porphyry is placed against the immortality of irrational life, alongside Proclus, in one reported dispute. His use with Plotinus concerning vegetative power’s independence from bodily quantity does not by itself contradict that position: the properties being tested differ. References: </w:t>
      </w:r>
      <w:hyperlink w:anchor="passage-v-14-8">
        <w:r>
          <w:rPr>
            <w:color w:val="000000"/>
          </w:rPr>
          <w:t xml:space="preserve">V.14.8</w:t>
        </w:r>
      </w:hyperlink>
      <w:r>
        <w:rPr>
          <w:b w:val="0"/>
          <w:i w:val="0"/>
        </w:rPr>
        <w:t xml:space="preserve">, </w:t>
      </w:r>
      <w:hyperlink w:anchor="passage-vi-10-1">
        <w:r>
          <w:rPr>
            <w:color w:val="000000"/>
          </w:rPr>
          <w:t xml:space="preserve">VI.10.1</w:t>
        </w:r>
      </w:hyperlink>
      <w:r>
        <w:rPr>
          <w:b w:val="0"/>
          <w:i w:val="0"/>
        </w:rPr>
        <w:t xml:space="preserve">. See </w:t>
      </w:r>
      <w:hyperlink w:anchor="platonist-disagreement-and-descent">
        <w:r>
          <w:rPr>
            <w:color w:val="000000"/>
          </w:rPr>
          <w:t xml:space="preserve">Platonist disagreement and descent</w:t>
        </w:r>
      </w:hyperlink>
      <w:r>
        <w:rPr>
          <w:b w:val="0"/>
          <w:i w:val="0"/>
        </w:rPr>
        <w:t xml:space="preserve">; </w:t>
      </w:r>
      <w:hyperlink w:anchor="seminal-power-fish-eggs-and-tree">
        <w:r>
          <w:rPr>
            <w:color w:val="000000"/>
          </w:rPr>
          <w:t xml:space="preserve">Seminal power, fish eggs and the tree</w:t>
        </w:r>
      </w:hyperlink>
      <w:r>
        <w:rPr>
          <w:b w:val="0"/>
          <w:i w:val="0"/>
        </w:rPr>
        <w:t>.</w:t>
      </w:r>
    </w:p>
    <w:p>
      <w:pPr>
        <w:widowControl/>
      </w:pPr>
      <w:r>
        <w:rPr>
          <w:b/>
          <w:i w:val="0"/>
        </w:rPr>
        <w:t>Proclus.</w:t>
      </w:r>
      <w:r>
        <w:rPr>
          <w:b w:val="0"/>
          <w:i w:val="0"/>
        </w:rPr>
        <w:t xml:space="preserve"> Ficino reports Proclus in several settings, including angelic soul-production, the dispute over irrational immortality and a tentative analysis of being. VIII.15.2 explicitly leaves the stronger thesis of essential self-production to Proclus; VIII.15.3 retains formal self-causation rather than efficient self-creation. References: </w:t>
      </w:r>
      <w:hyperlink w:anchor="passage-v-13-1">
        <w:r>
          <w:rPr>
            <w:color w:val="000000"/>
          </w:rPr>
          <w:t xml:space="preserve">V.13.1</w:t>
        </w:r>
      </w:hyperlink>
      <w:r>
        <w:rPr>
          <w:b w:val="0"/>
          <w:i w:val="0"/>
        </w:rPr>
        <w:t xml:space="preserve">, </w:t>
      </w:r>
      <w:hyperlink w:anchor="passage-v-14-8">
        <w:r>
          <w:rPr>
            <w:color w:val="000000"/>
          </w:rPr>
          <w:t xml:space="preserve">V.14.8</w:t>
        </w:r>
      </w:hyperlink>
      <w:r>
        <w:rPr>
          <w:b w:val="0"/>
          <w:i w:val="0"/>
        </w:rPr>
        <w:t xml:space="preserve">, </w:t>
      </w:r>
      <w:hyperlink w:anchor="passage-viii-4-12">
        <w:r>
          <w:rPr>
            <w:color w:val="000000"/>
          </w:rPr>
          <w:t xml:space="preserve">VIII.4.12</w:t>
        </w:r>
      </w:hyperlink>
      <w:r>
        <w:rPr>
          <w:b w:val="0"/>
          <w:i w:val="0"/>
        </w:rPr>
        <w:t xml:space="preserve">, </w:t>
      </w:r>
      <w:hyperlink w:anchor="passage-viii-15-2">
        <w:r>
          <w:rPr>
            <w:color w:val="000000"/>
          </w:rPr>
          <w:t xml:space="preserve">VIII.15.2</w:t>
        </w:r>
      </w:hyperlink>
      <w:r>
        <w:rPr>
          <w:b w:val="0"/>
          <w:i w:val="0"/>
        </w:rPr>
        <w:t xml:space="preserve">, </w:t>
      </w:r>
      <w:hyperlink w:anchor="passage-viii-15-3">
        <w:r>
          <w:rPr>
            <w:color w:val="000000"/>
          </w:rPr>
          <w:t xml:space="preserve">VIII.15.3</w:t>
        </w:r>
      </w:hyperlink>
      <w:r>
        <w:rPr>
          <w:b w:val="0"/>
          <w:i w:val="0"/>
        </w:rPr>
        <w:t xml:space="preserve">. See </w:t>
      </w:r>
      <w:hyperlink w:anchor="divine-production-and-third-essence">
        <w:r>
          <w:rPr>
            <w:color w:val="000000"/>
          </w:rPr>
          <w:t xml:space="preserve">Divine production and the third essence</w:t>
        </w:r>
      </w:hyperlink>
      <w:r>
        <w:rPr>
          <w:b w:val="0"/>
          <w:i w:val="0"/>
        </w:rPr>
        <w:t xml:space="preserve">; </w:t>
      </w:r>
      <w:hyperlink w:anchor="platonist-disagreement-and-descent">
        <w:r>
          <w:rPr>
            <w:color w:val="000000"/>
          </w:rPr>
          <w:t xml:space="preserve">Platonist disagreement and descent</w:t>
        </w:r>
      </w:hyperlink>
      <w:r>
        <w:rPr>
          <w:b w:val="0"/>
          <w:i w:val="0"/>
        </w:rPr>
        <w:t xml:space="preserve">; </w:t>
      </w:r>
      <w:hyperlink w:anchor="viii-analysis-mangling">
        <w:r>
          <w:rPr>
            <w:color w:val="000000"/>
          </w:rPr>
          <w:t xml:space="preserve">Analysis, mangling, and fictive construction</w:t>
        </w:r>
      </w:hyperlink>
      <w:r>
        <w:rPr>
          <w:b w:val="0"/>
          <w:i w:val="0"/>
        </w:rPr>
        <w:t xml:space="preserve">; </w:t>
      </w:r>
      <w:hyperlink w:anchor="viii-self-cause">
        <w:r>
          <w:rPr>
            <w:color w:val="000000"/>
          </w:rPr>
          <w:t xml:space="preserve">Self-causation: formal cause and efficient cause</w:t>
        </w:r>
      </w:hyperlink>
      <w:r>
        <w:rPr>
          <w:b w:val="0"/>
          <w:i w:val="0"/>
        </w:rPr>
        <w:t xml:space="preserve">; </w:t>
      </w:r>
      <w:hyperlink w:anchor="first-cause">
        <w:r>
          <w:rPr>
            <w:color w:val="000000"/>
          </w:rPr>
          <w:t xml:space="preserve">First Cause, principal causes and causal dependence</w:t>
        </w:r>
      </w:hyperlink>
      <w:r>
        <w:rPr>
          <w:b w:val="0"/>
          <w:i w:val="0"/>
        </w:rPr>
        <w:t>.</w:t>
      </w:r>
    </w:p>
    <w:p>
      <w:pPr>
        <w:widowControl/>
      </w:pPr>
      <w:r>
        <w:rPr>
          <w:b/>
          <w:i w:val="0"/>
        </w:rPr>
        <w:t>Pythagoras and the ancient theologians.</w:t>
      </w:r>
      <w:r>
        <w:rPr>
          <w:b w:val="0"/>
          <w:i w:val="0"/>
        </w:rPr>
        <w:t xml:space="preserve"> The sphere argument attributed to Pythagoras is mentioned while being passed over in Book V. Book VI places Zoroaster, Hermes, Orpheus, Aglaophemus, Pythagoras and Plato in the ancient theological line. These two contexts do different argumentative work. References: </w:t>
      </w:r>
      <w:hyperlink w:anchor="passage-v-1-4">
        <w:r>
          <w:rPr>
            <w:color w:val="000000"/>
          </w:rPr>
          <w:t xml:space="preserve">V.1.4</w:t>
        </w:r>
      </w:hyperlink>
      <w:r>
        <w:rPr>
          <w:b w:val="0"/>
          <w:i w:val="0"/>
        </w:rPr>
        <w:t xml:space="preserve">, </w:t>
      </w:r>
      <w:hyperlink w:anchor="passage-vi-1-6">
        <w:r>
          <w:rPr>
            <w:color w:val="000000"/>
          </w:rPr>
          <w:t xml:space="preserve">VI.1.6</w:t>
        </w:r>
      </w:hyperlink>
      <w:r>
        <w:rPr>
          <w:b w:val="0"/>
          <w:i w:val="0"/>
        </w:rPr>
        <w:t xml:space="preserve">. See </w:t>
      </w:r>
      <w:hyperlink w:anchor="circularity-and-spiritual-spheres">
        <w:r>
          <w:rPr>
            <w:color w:val="000000"/>
          </w:rPr>
          <w:t xml:space="preserve">Circularity and spiritual spheres</w:t>
        </w:r>
      </w:hyperlink>
      <w:r>
        <w:rPr>
          <w:b w:val="0"/>
          <w:i w:val="0"/>
        </w:rPr>
        <w:t xml:space="preserve">; </w:t>
      </w:r>
      <w:hyperlink w:anchor="divine-production-and-third-essence">
        <w:r>
          <w:rPr>
            <w:color w:val="000000"/>
          </w:rPr>
          <w:t xml:space="preserve">Divine production and the third essence</w:t>
        </w:r>
      </w:hyperlink>
      <w:r>
        <w:rPr>
          <w:b w:val="0"/>
          <w:i w:val="0"/>
        </w:rPr>
        <w:t>.</w:t>
      </w:r>
    </w:p>
    <w:p>
      <w:pPr>
        <w:widowControl/>
      </w:pPr>
      <w:r>
        <w:rPr>
          <w:b/>
          <w:i w:val="0"/>
        </w:rPr>
        <w:t>Socrates and named pupils or companions.</w:t>
      </w:r>
      <w:r>
        <w:rPr>
          <w:b w:val="0"/>
          <w:i w:val="0"/>
        </w:rPr>
        <w:t xml:space="preserve"> Socrates and Plato frequently function as concrete individuals in arguments about reception, generation and universals. Xenophon, Alcibiades and Phaedrus in VII.1.1 are remembered persons; Phaedrus there is not a citation of the dialogue. Antisthenes and Xenophon in VIII.1.2 likewise help distinguish individuals from common nature. References: </w:t>
      </w:r>
      <w:hyperlink w:anchor="passage-v-7-1">
        <w:r>
          <w:rPr>
            <w:color w:val="000000"/>
          </w:rPr>
          <w:t xml:space="preserve">V.7.1</w:t>
        </w:r>
      </w:hyperlink>
      <w:r>
        <w:rPr>
          <w:b w:val="0"/>
          <w:i w:val="0"/>
        </w:rPr>
        <w:t xml:space="preserve">, </w:t>
      </w:r>
      <w:hyperlink w:anchor="passage-v-8-1">
        <w:r>
          <w:rPr>
            <w:color w:val="000000"/>
          </w:rPr>
          <w:t xml:space="preserve">V.8.1</w:t>
        </w:r>
      </w:hyperlink>
      <w:r>
        <w:rPr>
          <w:b w:val="0"/>
          <w:i w:val="0"/>
        </w:rPr>
        <w:t xml:space="preserve">, </w:t>
      </w:r>
      <w:hyperlink w:anchor="passage-vii-1-1">
        <w:r>
          <w:rPr>
            <w:color w:val="000000"/>
          </w:rPr>
          <w:t xml:space="preserve">VII.1.1</w:t>
        </w:r>
      </w:hyperlink>
      <w:r>
        <w:rPr>
          <w:b w:val="0"/>
          <w:i w:val="0"/>
        </w:rPr>
        <w:t xml:space="preserve">, </w:t>
      </w:r>
      <w:hyperlink w:anchor="passage-viii-1-2">
        <w:r>
          <w:rPr>
            <w:color w:val="000000"/>
          </w:rPr>
          <w:t xml:space="preserve">VIII.1.2</w:t>
        </w:r>
      </w:hyperlink>
      <w:r>
        <w:rPr>
          <w:b w:val="0"/>
          <w:i w:val="0"/>
        </w:rPr>
        <w:t xml:space="preserve">. See </w:t>
      </w:r>
      <w:hyperlink w:anchor="reception-and-the-receiver">
        <w:r>
          <w:rPr>
            <w:color w:val="000000"/>
          </w:rPr>
          <w:t xml:space="preserve">Reception and the receiver</w:t>
        </w:r>
      </w:hyperlink>
      <w:r>
        <w:rPr>
          <w:b w:val="0"/>
          <w:i w:val="0"/>
        </w:rPr>
        <w:t xml:space="preserve">; </w:t>
      </w:r>
      <w:hyperlink w:anchor="vii-reception-wax-mirrors">
        <w:r>
          <w:rPr>
            <w:color w:val="000000"/>
          </w:rPr>
          <w:t xml:space="preserve">Receiving images: wax, seals and mirrors</w:t>
        </w:r>
      </w:hyperlink>
      <w:r>
        <w:rPr>
          <w:b w:val="0"/>
          <w:i w:val="0"/>
        </w:rPr>
        <w:t xml:space="preserve">; </w:t>
      </w:r>
      <w:hyperlink w:anchor="viii-universal-idea">
        <w:r>
          <w:rPr>
            <w:color w:val="000000"/>
          </w:rPr>
          <w:t xml:space="preserve">Common nature, participation, and the divine Idea</w:t>
        </w:r>
      </w:hyperlink>
      <w:r>
        <w:rPr>
          <w:b w:val="0"/>
          <w:i w:val="0"/>
        </w:rPr>
        <w:t>.</w:t>
      </w:r>
    </w:p>
    <w:p>
      <w:pPr>
        <w:widowControl/>
      </w:pPr>
      <w:r>
        <w:rPr>
          <w:b/>
          <w:i w:val="0"/>
        </w:rPr>
        <w:t>Stoic constitution authorities.</w:t>
      </w:r>
      <w:r>
        <w:rPr>
          <w:b w:val="0"/>
          <w:i w:val="0"/>
        </w:rPr>
        <w:t xml:space="preserve"> Zeno of Citium, Cleanthes, Antipater and Posidonius are said to appear to have held the warm-constitution account. Ficino’s qualifying language is retained rather than converted into an independently certain historical attribution. References: </w:t>
      </w:r>
      <w:hyperlink w:anchor="passage-vi-1-3">
        <w:r>
          <w:rPr>
            <w:color w:val="000000"/>
          </w:rPr>
          <w:t xml:space="preserve">VI.1.3</w:t>
        </w:r>
      </w:hyperlink>
      <w:r>
        <w:rPr>
          <w:b w:val="0"/>
          <w:i w:val="0"/>
        </w:rPr>
        <w:t xml:space="preserve">. See </w:t>
      </w:r>
      <w:hyperlink w:anchor="constitution-point-and-harmony">
        <w:r>
          <w:rPr>
            <w:color w:val="000000"/>
          </w:rPr>
          <w:t xml:space="preserve">Constitution, localized point and harmony</w:t>
        </w:r>
      </w:hyperlink>
      <w:r>
        <w:rPr>
          <w:b w:val="0"/>
          <w:i w:val="0"/>
        </w:rPr>
        <w:t>.</w:t>
      </w:r>
    </w:p>
    <w:p>
      <w:pPr>
        <w:widowControl/>
      </w:pPr>
      <w:r>
        <w:rPr>
          <w:b/>
          <w:i w:val="0"/>
        </w:rPr>
        <w:t>Strato and the imagined Epicurean objection.</w:t>
      </w:r>
      <w:r>
        <w:rPr>
          <w:b w:val="0"/>
          <w:i w:val="0"/>
        </w:rPr>
        <w:t xml:space="preserve"> The objection that exclusion of death might allow annihilation is introduced as what Strato or an Epicurean might say. It is an argumentative possibility in the source, not a historically authenticated quotation from Strato. References: </w:t>
      </w:r>
      <w:hyperlink w:anchor="passage-v-14-7">
        <w:r>
          <w:rPr>
            <w:color w:val="000000"/>
          </w:rPr>
          <w:t xml:space="preserve">V.14.7</w:t>
        </w:r>
      </w:hyperlink>
      <w:r>
        <w:rPr>
          <w:b w:val="0"/>
          <w:i w:val="0"/>
        </w:rPr>
        <w:t xml:space="preserve">. See </w:t>
      </w:r>
      <w:hyperlink w:anchor="contraries-death-and-imperishability">
        <w:r>
          <w:rPr>
            <w:color w:val="000000"/>
          </w:rPr>
          <w:t xml:space="preserve">Contraries, death and imperishability</w:t>
        </w:r>
      </w:hyperlink>
      <w:r>
        <w:rPr>
          <w:b w:val="0"/>
          <w:i w:val="0"/>
        </w:rPr>
        <w:t xml:space="preserve">; </w:t>
      </w:r>
      <w:hyperlink w:anchor="generation-corruption-and-annihilation">
        <w:r>
          <w:rPr>
            <w:color w:val="000000"/>
          </w:rPr>
          <w:t xml:space="preserve">Generation, corruption and annihilation</w:t>
        </w:r>
      </w:hyperlink>
      <w:r>
        <w:rPr>
          <w:b w:val="0"/>
          <w:i w:val="0"/>
        </w:rPr>
        <w:t>.</w:t>
      </w:r>
    </w:p>
    <w:p>
      <w:pPr>
        <w:widowControl/>
      </w:pPr>
      <w:r>
        <w:rPr>
          <w:b/>
          <w:i w:val="0"/>
        </w:rPr>
        <w:t>Xenocrates, Speusippus and Numenius.</w:t>
      </w:r>
      <w:r>
        <w:rPr>
          <w:b w:val="0"/>
          <w:i w:val="0"/>
        </w:rPr>
        <w:t xml:space="preserve"> With Plotinus, they are reported on the side of immortality for irrational souls; Porphyry, Proclus and others are placed on the other side. Ficino’s rational-soul scope prevents this report from being read as his undifferentiated assertion about every form of animal life. References: </w:t>
      </w:r>
      <w:hyperlink w:anchor="passage-v-14-8">
        <w:r>
          <w:rPr>
            <w:color w:val="000000"/>
          </w:rPr>
          <w:t xml:space="preserve">V.14.8</w:t>
        </w:r>
      </w:hyperlink>
      <w:r>
        <w:rPr>
          <w:b w:val="0"/>
          <w:i w:val="0"/>
        </w:rPr>
        <w:t xml:space="preserve">. See </w:t>
      </w:r>
      <w:hyperlink w:anchor="platonist-disagreement-and-descent">
        <w:r>
          <w:rPr>
            <w:color w:val="000000"/>
          </w:rPr>
          <w:t xml:space="preserve">Platonist disagreement and descent</w:t>
        </w:r>
      </w:hyperlink>
      <w:r>
        <w:rPr>
          <w:b w:val="0"/>
          <w:i w:val="0"/>
        </w:rPr>
        <w:t xml:space="preserve">; </w:t>
      </w:r>
      <w:hyperlink w:anchor="rational-soul-and-irrational-life">
        <w:r>
          <w:rPr>
            <w:color w:val="000000"/>
          </w:rPr>
          <w:t xml:space="preserve">Rational soul and irrational life</w:t>
        </w:r>
      </w:hyperlink>
      <w:r>
        <w:rPr>
          <w:b w:val="0"/>
          <w:i w:val="0"/>
        </w:rPr>
        <w:t>.</w:t>
      </w:r>
    </w:p>
    <w:p>
      <w:pPr>
        <w:widowControl/>
      </w:pPr>
      <w:r>
        <w:rPr>
          <w:b/>
          <w:i w:val="0"/>
        </w:rPr>
        <w:t>Zoroaster.</w:t>
      </w:r>
      <w:r>
        <w:rPr>
          <w:b w:val="0"/>
          <w:i w:val="0"/>
        </w:rPr>
        <w:t xml:space="preserve"> The Greek expression describing soul as immortal and mistress of life supports the local discussion of life and death through Ficino’s own gloss. The attribution remains the supplied text’s attribution. Zoroaster also appears in the ancient theological sequence. References: </w:t>
      </w:r>
      <w:hyperlink w:anchor="passage-v-14-6">
        <w:r>
          <w:rPr>
            <w:color w:val="000000"/>
          </w:rPr>
          <w:t xml:space="preserve">V.14.6</w:t>
        </w:r>
      </w:hyperlink>
      <w:r>
        <w:rPr>
          <w:b w:val="0"/>
          <w:i w:val="0"/>
        </w:rPr>
        <w:t xml:space="preserve">, </w:t>
      </w:r>
      <w:hyperlink w:anchor="passage-vi-1-6">
        <w:r>
          <w:rPr>
            <w:color w:val="000000"/>
          </w:rPr>
          <w:t xml:space="preserve">VI.1.6</w:t>
        </w:r>
      </w:hyperlink>
      <w:r>
        <w:rPr>
          <w:b w:val="0"/>
          <w:i w:val="0"/>
        </w:rPr>
        <w:t xml:space="preserve">. See </w:t>
      </w:r>
      <w:hyperlink w:anchor="zoroaster-and-the-mistress-of-life">
        <w:r>
          <w:rPr>
            <w:color w:val="000000"/>
          </w:rPr>
          <w:t xml:space="preserve">Zoroaster and the mistress of life</w:t>
        </w:r>
      </w:hyperlink>
      <w:r>
        <w:rPr>
          <w:b w:val="0"/>
          <w:i w:val="0"/>
        </w:rPr>
        <w:t xml:space="preserve">; </w:t>
      </w:r>
      <w:hyperlink w:anchor="divine-production-and-third-essence">
        <w:r>
          <w:rPr>
            <w:color w:val="000000"/>
          </w:rPr>
          <w:t xml:space="preserve">Divine production and the third essence</w:t>
        </w:r>
      </w:hyperlink>
      <w:r>
        <w:rPr>
          <w:b w:val="0"/>
          <w:i w:val="0"/>
        </w:rPr>
        <w:t>.</w:t>
      </w:r>
    </w:p>
    <w:p>
      <w:pPr>
        <w:pStyle w:val="Heading2"/>
      </w:pPr>
      <w:bookmarkStart w:id="2016" w:name="explicitly-named-works"/>
      <w:r>
        <w:rPr>
          <w:b w:val="0"/>
          <w:i w:val="0"/>
        </w:rPr>
        <w:t>Explicitly named works</w:t>
      </w:r>
      <w:bookmarkEnd w:id="2016"/>
    </w:p>
    <w:p>
      <w:pPr>
        <w:widowControl/>
      </w:pPr>
      <w:r>
        <w:rPr>
          <w:b/>
          <w:i w:val="0"/>
        </w:rPr>
        <w:t>Avicenna, Natural Philosophy, book VI.</w:t>
      </w:r>
      <w:r>
        <w:rPr>
          <w:b w:val="0"/>
          <w:i w:val="0"/>
        </w:rPr>
        <w:t xml:space="preserve"> The source explicitly names this work in introducing the imagined adult without sensory experience. The subsequent reply and the comparison with Plato develop Ficino’s local presentation, rather than replacing it with another version of the experiment. References: </w:t>
      </w:r>
      <w:hyperlink w:anchor="passage-vi-2-12">
        <w:r>
          <w:rPr>
            <w:color w:val="000000"/>
          </w:rPr>
          <w:t xml:space="preserve">VI.2.12</w:t>
        </w:r>
      </w:hyperlink>
      <w:r>
        <w:rPr>
          <w:b w:val="0"/>
          <w:i w:val="0"/>
        </w:rPr>
        <w:t xml:space="preserve">, </w:t>
      </w:r>
      <w:hyperlink w:anchor="passage-vi-2-13">
        <w:r>
          <w:rPr>
            <w:color w:val="000000"/>
          </w:rPr>
          <w:t xml:space="preserve">VI.2.13</w:t>
        </w:r>
      </w:hyperlink>
      <w:r>
        <w:rPr>
          <w:b w:val="0"/>
          <w:i w:val="0"/>
        </w:rPr>
        <w:t xml:space="preserve">, </w:t>
      </w:r>
      <w:hyperlink w:anchor="passage-vi-2-14">
        <w:r>
          <w:rPr>
            <w:color w:val="000000"/>
          </w:rPr>
          <w:t xml:space="preserve">VI.2.14</w:t>
        </w:r>
      </w:hyperlink>
      <w:r>
        <w:rPr>
          <w:b w:val="0"/>
          <w:i w:val="0"/>
        </w:rPr>
        <w:t xml:space="preserve">. See </w:t>
      </w:r>
      <w:hyperlink w:anchor="avicenna-imagined-adult">
        <w:r>
          <w:rPr>
            <w:color w:val="000000"/>
          </w:rPr>
          <w:t xml:space="preserve">Avicenna’s imagined adult</w:t>
        </w:r>
      </w:hyperlink>
      <w:r>
        <w:rPr>
          <w:b w:val="0"/>
          <w:i w:val="0"/>
        </w:rPr>
        <w:t>.</w:t>
      </w:r>
    </w:p>
    <w:p>
      <w:pPr>
        <w:widowControl/>
      </w:pPr>
      <w:r>
        <w:rPr>
          <w:b/>
          <w:i w:val="0"/>
        </w:rPr>
        <w:t xml:space="preserve">Aristotle, </w:t>
      </w:r>
      <w:r>
        <w:t>“</w:t>
      </w:r>
      <w:r>
        <w:rPr>
          <w:b/>
          <w:i w:val="0"/>
        </w:rPr>
        <w:t>Divine Philosophy,</w:t>
      </w:r>
      <w:r>
        <w:t>”</w:t>
      </w:r>
      <w:r>
        <w:rPr>
          <w:b/>
          <w:i w:val="0"/>
        </w:rPr>
        <w:t xml:space="preserve"> book II.</w:t>
      </w:r>
      <w:r>
        <w:rPr>
          <w:b w:val="0"/>
          <w:i w:val="0"/>
        </w:rPr>
        <w:t xml:space="preserve"> The source’s own title and book designation accompany the owl-eye analogy. Modern chapter or Bekker references have not been silently supplied. References: </w:t>
      </w:r>
      <w:hyperlink w:anchor="passage-vi-2-9">
        <w:r>
          <w:rPr>
            <w:color w:val="000000"/>
          </w:rPr>
          <w:t xml:space="preserve">VI.2.9</w:t>
        </w:r>
      </w:hyperlink>
      <w:r>
        <w:rPr>
          <w:b w:val="0"/>
          <w:i w:val="0"/>
        </w:rPr>
        <w:t xml:space="preserve">. See </w:t>
      </w:r>
      <w:hyperlink w:anchor="intellectual-objects-and-owl-eye">
        <w:r>
          <w:rPr>
            <w:color w:val="000000"/>
          </w:rPr>
          <w:t xml:space="preserve">Intellectual objects and the owl’s eye</w:t>
        </w:r>
      </w:hyperlink>
      <w:r>
        <w:rPr>
          <w:b w:val="0"/>
          <w:i w:val="0"/>
        </w:rPr>
        <w:t>.</w:t>
      </w:r>
    </w:p>
    <w:p>
      <w:pPr>
        <w:widowControl/>
      </w:pPr>
      <w:r>
        <w:rPr>
          <w:b/>
          <w:i w:val="0"/>
        </w:rPr>
        <w:t>Plato, Gorgias and Phaedo.</w:t>
      </w:r>
      <w:r>
        <w:rPr>
          <w:b w:val="0"/>
          <w:i w:val="0"/>
        </w:rPr>
        <w:t xml:space="preserve"> These titles occur in the Olympiodorus reference supporting the treatment of natural desire. The present index follows Ficino’s mediation rather than claiming to verify a verbatim Platonic quotation. References: </w:t>
      </w:r>
      <w:hyperlink w:anchor="passage-viii-2-8">
        <w:r>
          <w:rPr>
            <w:color w:val="000000"/>
          </w:rPr>
          <w:t xml:space="preserve">VIII.2.8</w:t>
        </w:r>
      </w:hyperlink>
      <w:r>
        <w:rPr>
          <w:b w:val="0"/>
          <w:i w:val="0"/>
        </w:rPr>
        <w:t xml:space="preserve">. See </w:t>
      </w:r>
      <w:hyperlink w:anchor="viii-natural-desire">
        <w:r>
          <w:rPr>
            <w:color w:val="000000"/>
          </w:rPr>
          <w:t xml:space="preserve">Natural desire, possible good, and Olympiodorus</w:t>
        </w:r>
      </w:hyperlink>
      <w:r>
        <w:rPr>
          <w:b w:val="0"/>
          <w:i w:val="0"/>
        </w:rPr>
        <w:t>.</w:t>
      </w:r>
    </w:p>
    <w:p>
      <w:pPr>
        <w:widowControl/>
      </w:pPr>
      <w:r>
        <w:rPr>
          <w:b/>
          <w:i w:val="0"/>
        </w:rPr>
        <w:t>Plato, Republic, book VII.</w:t>
      </w:r>
      <w:r>
        <w:rPr>
          <w:b w:val="0"/>
          <w:i w:val="0"/>
        </w:rPr>
        <w:t xml:space="preserve"> The cave narrative and its subsequent mapping organize gradual intellectual education and the difficulty of return. Ficino’s retelling and applications are the immediate object of the articles. References: </w:t>
      </w:r>
      <w:hyperlink w:anchor="passage-vi-2-9">
        <w:r>
          <w:rPr>
            <w:color w:val="000000"/>
          </w:rPr>
          <w:t xml:space="preserve">VI.2.9</w:t>
        </w:r>
      </w:hyperlink>
      <w:r>
        <w:rPr>
          <w:b w:val="0"/>
          <w:i w:val="0"/>
        </w:rPr>
        <w:t xml:space="preserve">, </w:t>
      </w:r>
      <w:hyperlink w:anchor="passage-vi-2-14">
        <w:r>
          <w:rPr>
            <w:color w:val="000000"/>
          </w:rPr>
          <w:t xml:space="preserve">VI.2.14</w:t>
        </w:r>
      </w:hyperlink>
      <w:r>
        <w:rPr>
          <w:b w:val="0"/>
          <w:i w:val="0"/>
        </w:rPr>
        <w:t xml:space="preserve">, </w:t>
      </w:r>
      <w:hyperlink w:anchor="passage-vi-2-15">
        <w:r>
          <w:rPr>
            <w:color w:val="000000"/>
          </w:rPr>
          <w:t xml:space="preserve">VI.2.15</w:t>
        </w:r>
      </w:hyperlink>
      <w:r>
        <w:rPr>
          <w:b w:val="0"/>
          <w:i w:val="0"/>
        </w:rPr>
        <w:t xml:space="preserve">, </w:t>
      </w:r>
      <w:hyperlink w:anchor="passage-vi-2-16">
        <w:r>
          <w:rPr>
            <w:color w:val="000000"/>
          </w:rPr>
          <w:t xml:space="preserve">VI.2.16</w:t>
        </w:r>
      </w:hyperlink>
      <w:r>
        <w:rPr>
          <w:b w:val="0"/>
          <w:i w:val="0"/>
        </w:rPr>
        <w:t xml:space="preserve">, </w:t>
      </w:r>
      <w:hyperlink w:anchor="passage-vi-2-17">
        <w:r>
          <w:rPr>
            <w:color w:val="000000"/>
          </w:rPr>
          <w:t xml:space="preserve">VI.2.17</w:t>
        </w:r>
      </w:hyperlink>
      <w:r>
        <w:rPr>
          <w:b w:val="0"/>
          <w:i w:val="0"/>
        </w:rPr>
        <w:t xml:space="preserve">. See </w:t>
      </w:r>
      <w:hyperlink w:anchor="plato-cave-and-gradual-education">
        <w:r>
          <w:rPr>
            <w:color w:val="000000"/>
          </w:rPr>
          <w:t xml:space="preserve">Plato’s cave and gradual education</w:t>
        </w:r>
      </w:hyperlink>
      <w:r>
        <w:rPr>
          <w:b w:val="0"/>
          <w:i w:val="0"/>
        </w:rPr>
        <w:t xml:space="preserve">; </w:t>
      </w:r>
      <w:hyperlink w:anchor="intellectual-objects-and-owl-eye">
        <w:r>
          <w:rPr>
            <w:color w:val="000000"/>
          </w:rPr>
          <w:t xml:space="preserve">Intellectual objects and the owl’s eye</w:t>
        </w:r>
      </w:hyperlink>
      <w:r>
        <w:rPr>
          <w:b w:val="0"/>
          <w:i w:val="0"/>
        </w:rPr>
        <w:t>.</w:t>
      </w:r>
    </w:p>
    <w:p>
      <w:pPr>
        <w:widowControl/>
      </w:pPr>
      <w:r>
        <w:rPr>
          <w:b/>
          <w:i w:val="0"/>
        </w:rPr>
        <w:t>Plato, Timaeus.</w:t>
      </w:r>
      <w:r>
        <w:rPr>
          <w:b w:val="0"/>
          <w:i w:val="0"/>
        </w:rPr>
        <w:t xml:space="preserve"> The explicit mixing-bowl reference concerns souls and the causes on which they depend. Elsewhere </w:t>
      </w:r>
      <w:r>
        <w:t>“</w:t>
      </w:r>
      <w:r>
        <w:rPr>
          <w:b w:val="0"/>
          <w:i w:val="0"/>
        </w:rPr>
        <w:t>Timaeus the Pythagorean</w:t>
      </w:r>
      <w:r>
        <w:t>”</w:t>
      </w:r>
      <w:r>
        <w:rPr>
          <w:b w:val="0"/>
          <w:i w:val="0"/>
        </w:rPr>
        <w:t xml:space="preserve"> names an argumentative authority and should not automatically be treated as an explicit title citation. References: </w:t>
      </w:r>
      <w:hyperlink w:anchor="passage-v-5-9">
        <w:r>
          <w:rPr>
            <w:color w:val="000000"/>
          </w:rPr>
          <w:t xml:space="preserve">V.5.9</w:t>
        </w:r>
      </w:hyperlink>
      <w:r>
        <w:rPr>
          <w:b w:val="0"/>
          <w:i w:val="0"/>
        </w:rPr>
        <w:t xml:space="preserve">, </w:t>
      </w:r>
      <w:hyperlink w:anchor="passage-v-4-1">
        <w:r>
          <w:rPr>
            <w:color w:val="000000"/>
          </w:rPr>
          <w:t xml:space="preserve">V.4.1</w:t>
        </w:r>
      </w:hyperlink>
      <w:r>
        <w:rPr>
          <w:b w:val="0"/>
          <w:i w:val="0"/>
        </w:rPr>
        <w:t xml:space="preserve">. See </w:t>
      </w:r>
      <w:hyperlink w:anchor="four-causes-and-graded-dependence">
        <w:r>
          <w:rPr>
            <w:color w:val="000000"/>
          </w:rPr>
          <w:t xml:space="preserve">Four causes and graded dependence</w:t>
        </w:r>
      </w:hyperlink>
      <w:r>
        <w:rPr>
          <w:b w:val="0"/>
          <w:i w:val="0"/>
        </w:rPr>
        <w:t xml:space="preserve">; </w:t>
      </w:r>
      <w:hyperlink w:anchor="prime-matter-and-enduring-support">
        <w:r>
          <w:rPr>
            <w:color w:val="000000"/>
          </w:rPr>
          <w:t xml:space="preserve">Prime matter and enduring support</w:t>
        </w:r>
      </w:hyperlink>
      <w:r>
        <w:rPr>
          <w:b w:val="0"/>
          <w:i w:val="0"/>
        </w:rPr>
        <w:t>.</w:t>
      </w:r>
    </w:p>
    <w:p>
      <w:pPr>
        <w:pStyle w:val="Heading1"/>
      </w:pPr>
      <w:bookmarkStart w:id="2017" w:name="sources-and-editorial-notes"/>
      <w:r>
        <w:rPr>
          <w:b w:val="0"/>
          <w:i w:val="0"/>
        </w:rPr>
        <w:t>Sources and editorial notes</w:t>
      </w:r>
      <w:bookmarkEnd w:id="2017"/>
    </w:p>
    <w:p>
      <w:pPr>
        <w:pStyle w:val="Heading2"/>
      </w:pPr>
      <w:bookmarkStart w:id="2018" w:name="primary-source"/>
      <w:r>
        <w:rPr>
          <w:b w:val="0"/>
          <w:i w:val="0"/>
        </w:rPr>
        <w:t>Primary source</w:t>
      </w:r>
      <w:bookmarkEnd w:id="2018"/>
    </w:p>
    <w:p>
      <w:pPr>
        <w:widowControl/>
      </w:pPr>
      <w:r>
        <w:rPr>
          <w:b w:val="0"/>
          <w:i w:val="0"/>
        </w:rPr>
        <w:t xml:space="preserve">Marsilio Ficino, </w:t>
      </w:r>
      <w:r>
        <w:rPr>
          <w:b w:val="0"/>
          <w:i/>
        </w:rPr>
        <w:t>Platonic Theology on the Immortality of Souls</w:t>
      </w:r>
      <w:r>
        <w:rPr>
          <w:b w:val="0"/>
          <w:i w:val="0"/>
        </w:rPr>
        <w:t>, Volume II, Books V–VIII. Supplied Diotimos bilingual edition, comprising a Latin reading text and an independently worded English translation. The consulted PDF has 461 pages; the accompanying DOCX contains the same 297 paired comparison units. The source’s edition statement appears on PDF page 2, reading instructions on page 5, substantive apparatus on pages 381–451, and comparison-unit locator register on pages 453–461.</w:t>
      </w:r>
    </w:p>
    <w:p>
      <w:pPr>
        <w:widowControl/>
      </w:pPr>
      <w:r>
        <w:rPr>
          <w:b w:val="0"/>
          <w:i w:val="0"/>
        </w:rPr>
        <w:t>All passage references in this companion use that edition’s comparison units. No location from a modern edition has been silently substituted. Statements about variant readings, authorial corrections or historical-witness agreement are attributed to the supplied apparatus. The companion’s lexical and philosophical explanations are based on the supplied text, with uncertainty retained where the source requires it.</w:t>
      </w:r>
    </w:p>
    <w:p>
      <w:pPr>
        <w:pStyle w:val="Heading2"/>
      </w:pPr>
      <w:bookmarkStart w:id="2019" w:name="historical-witnesses-identified-by-the-source-edition"/>
      <w:r>
        <w:rPr>
          <w:b w:val="0"/>
          <w:i w:val="0"/>
        </w:rPr>
        <w:t>Historical witnesses identified by the source edition</w:t>
      </w:r>
      <w:bookmarkEnd w:id="2019"/>
    </w:p>
    <w:p>
      <w:pPr>
        <w:widowControl/>
      </w:pPr>
      <w:r>
        <w:rPr>
          <w:b w:val="0"/>
          <w:i w:val="0"/>
        </w:rPr>
        <w:t>The supplied edition identifies the following witnesses and digital records. They describe its editorial foundation; listing them does not mean this companion has performed a second collation of their images.</w:t>
      </w:r>
    </w:p>
    <w:p>
      <w:pPr>
        <w:ind w:left="187" w:hanging="187"/>
      </w:pPr>
      <w:r>
        <w:t xml:space="preserve">• </w:t>
      </w:r>
      <w:r>
        <w:rPr>
          <w:b/>
          <w:i w:val="0"/>
        </w:rPr>
        <w:t>M1482:</w:t>
      </w:r>
      <w:r>
        <w:rPr>
          <w:b w:val="0"/>
          <w:i w:val="0"/>
        </w:rPr>
        <w:t xml:space="preserve"> Florence 1482 printing. Digital record supplied by the edition: </w:t>
      </w:r>
      <w:hyperlink r:id="rId10">
        <w:r>
          <w:rPr>
            <w:color w:val="000000"/>
          </w:rPr>
          <w:t xml:space="preserve">Bayerische Staatsbibliothek record</w:t>
        </w:r>
      </w:hyperlink>
    </w:p>
    <w:p>
      <w:pPr>
        <w:ind w:left="187" w:hanging="187"/>
      </w:pPr>
      <w:r>
        <w:t xml:space="preserve">• </w:t>
      </w:r>
      <w:r>
        <w:rPr>
          <w:b/>
          <w:i w:val="0"/>
        </w:rPr>
        <w:t>G1559:</w:t>
      </w:r>
      <w:r>
        <w:rPr>
          <w:b w:val="0"/>
          <w:i w:val="0"/>
        </w:rPr>
        <w:t xml:space="preserve"> Paris 1559 printing. Digital record supplied by the edition: </w:t>
      </w:r>
      <w:hyperlink r:id="rId11">
        <w:r>
          <w:rPr>
            <w:color w:val="000000"/>
          </w:rPr>
          <w:t xml:space="preserve">Universidad Complutense de Madrid record</w:t>
        </w:r>
      </w:hyperlink>
    </w:p>
    <w:p>
      <w:pPr>
        <w:ind w:left="187" w:hanging="187"/>
      </w:pPr>
      <w:r>
        <w:t xml:space="preserve">• </w:t>
      </w:r>
      <w:r>
        <w:rPr>
          <w:b/>
          <w:i w:val="0"/>
        </w:rPr>
        <w:t>P1641:</w:t>
      </w:r>
      <w:r>
        <w:rPr>
          <w:b w:val="0"/>
          <w:i w:val="0"/>
        </w:rPr>
        <w:t xml:space="preserve"> Paris 1641 </w:t>
      </w:r>
      <w:r>
        <w:rPr>
          <w:b w:val="0"/>
          <w:i/>
        </w:rPr>
        <w:t>Opera</w:t>
      </w:r>
      <w:r>
        <w:rPr>
          <w:b w:val="0"/>
          <w:i w:val="0"/>
        </w:rPr>
        <w:t xml:space="preserve"> printing, used by the source edition as a later control. Digital record supplied by the edition: </w:t>
      </w:r>
      <w:hyperlink r:id="rId12">
        <w:r>
          <w:rPr>
            <w:color w:val="000000"/>
          </w:rPr>
          <w:t xml:space="preserve">Digitized volume</w:t>
        </w:r>
      </w:hyperlink>
    </w:p>
    <w:p>
      <w:pPr>
        <w:pStyle w:val="Heading2"/>
      </w:pPr>
      <w:bookmarkStart w:id="2020" w:name="attribution-and-textual-caution"/>
      <w:r>
        <w:rPr>
          <w:b w:val="0"/>
          <w:i w:val="0"/>
        </w:rPr>
        <w:t>Attribution and textual caution</w:t>
      </w:r>
      <w:bookmarkEnd w:id="2020"/>
    </w:p>
    <w:p>
      <w:pPr>
        <w:widowControl/>
      </w:pPr>
      <w:r>
        <w:rPr>
          <w:b w:val="0"/>
          <w:i w:val="0"/>
        </w:rPr>
        <w:t xml:space="preserve">Named ancient, late-antique and Christian authors enter this lexicon first through Ficino’s use of them. </w:t>
      </w:r>
      <w:r>
        <w:t>“</w:t>
      </w:r>
      <w:r>
        <w:rPr>
          <w:b w:val="0"/>
          <w:i w:val="0"/>
        </w:rPr>
        <w:t>Plato says,</w:t>
      </w:r>
      <w:r>
        <w:t>”</w:t>
      </w:r>
      <w:r>
        <w:rPr>
          <w:b w:val="0"/>
          <w:i w:val="0"/>
        </w:rPr>
        <w:t xml:space="preserve"> </w:t>
      </w:r>
      <w:r>
        <w:t>“</w:t>
      </w:r>
      <w:r>
        <w:rPr>
          <w:b w:val="0"/>
          <w:i w:val="0"/>
        </w:rPr>
        <w:t>the Platonists hold,</w:t>
      </w:r>
      <w:r>
        <w:t>”</w:t>
      </w:r>
      <w:r>
        <w:rPr>
          <w:b w:val="0"/>
          <w:i w:val="0"/>
        </w:rPr>
        <w:t xml:space="preserve"> or </w:t>
      </w:r>
      <w:r>
        <w:t>“</w:t>
      </w:r>
      <w:r>
        <w:rPr>
          <w:b w:val="0"/>
          <w:i w:val="0"/>
        </w:rPr>
        <w:t>Proclus maintains</w:t>
      </w:r>
      <w:r>
        <w:t>”</w:t>
      </w:r>
      <w:r>
        <w:rPr>
          <w:b w:val="0"/>
          <w:i w:val="0"/>
        </w:rPr>
        <w:t xml:space="preserve"> identifies a claim in the supplied passage. Unless expressly stated otherwise, it is not the result of a separate textual investigation of the named author’s complete works. The difference matters especially when Ficino reports a position, prefers another authority, or expressly declines responsibility for a stronger claim.</w:t>
      </w:r>
    </w:p>
    <w:p>
      <w:pPr>
        <w:widowControl/>
      </w:pPr>
      <w:r>
        <w:rPr>
          <w:b w:val="0"/>
          <w:i w:val="0"/>
        </w:rPr>
        <w:t xml:space="preserve">At </w:t>
      </w:r>
      <w:r>
        <w:rPr>
          <w:b/>
          <w:i w:val="0"/>
        </w:rPr>
        <w:t>V.10.2–3</w:t>
      </w:r>
      <w:r>
        <w:rPr>
          <w:b w:val="0"/>
          <w:i w:val="0"/>
        </w:rPr>
        <w:t xml:space="preserve">, the apparatus retains </w:t>
      </w:r>
      <w:r>
        <w:rPr>
          <w:b w:val="0"/>
          <w:i/>
        </w:rPr>
        <w:t>mutabiliter</w:t>
      </w:r>
      <w:r>
        <w:rPr>
          <w:b w:val="0"/>
          <w:i w:val="0"/>
        </w:rPr>
        <w:t xml:space="preserve"> and </w:t>
      </w:r>
      <w:r>
        <w:rPr>
          <w:b w:val="0"/>
          <w:i/>
        </w:rPr>
        <w:t>relatio perfectionis</w:t>
      </w:r>
      <w:r>
        <w:rPr>
          <w:b w:val="0"/>
          <w:i w:val="0"/>
        </w:rPr>
        <w:t xml:space="preserve">. Mutable mediation and the soul’s perfecting relation therefore remain visible in the explanations. At </w:t>
      </w:r>
      <w:r>
        <w:rPr>
          <w:b/>
          <w:i w:val="0"/>
        </w:rPr>
        <w:t>V.13.11</w:t>
      </w:r>
      <w:r>
        <w:rPr>
          <w:b w:val="0"/>
          <w:i w:val="0"/>
        </w:rPr>
        <w:t xml:space="preserve">, the supplied Latin has </w:t>
      </w:r>
      <w:r>
        <w:rPr>
          <w:b w:val="0"/>
          <w:i/>
        </w:rPr>
        <w:t>voluptas</w:t>
      </w:r>
      <w:r>
        <w:rPr>
          <w:b w:val="0"/>
          <w:i w:val="0"/>
        </w:rPr>
        <w:t xml:space="preserve">, reflected by </w:t>
      </w:r>
      <w:r>
        <w:t>“</w:t>
      </w:r>
      <w:r>
        <w:rPr>
          <w:b w:val="0"/>
          <w:i w:val="0"/>
        </w:rPr>
        <w:t>pleasure</w:t>
      </w:r>
      <w:r>
        <w:t>”</w:t>
      </w:r>
      <w:r>
        <w:rPr>
          <w:b w:val="0"/>
          <w:i w:val="0"/>
        </w:rPr>
        <w:t xml:space="preserve">; it is not silently replaced with </w:t>
      </w:r>
      <w:r>
        <w:rPr>
          <w:b w:val="0"/>
          <w:i/>
        </w:rPr>
        <w:t>voluntas</w:t>
      </w:r>
      <w:r>
        <w:rPr>
          <w:b w:val="0"/>
          <w:i w:val="0"/>
        </w:rPr>
        <w:t xml:space="preserve">. At </w:t>
      </w:r>
      <w:r>
        <w:rPr>
          <w:b/>
          <w:i w:val="0"/>
        </w:rPr>
        <w:t>VII.5.4</w:t>
      </w:r>
      <w:r>
        <w:rPr>
          <w:b w:val="0"/>
          <w:i w:val="0"/>
        </w:rPr>
        <w:t xml:space="preserve">, the retained negation states that more perfect souls do not live in each severed member, which lacks their varied bodily instruments. At </w:t>
      </w:r>
      <w:r>
        <w:rPr>
          <w:b/>
          <w:i w:val="0"/>
        </w:rPr>
        <w:t>VII.12.1</w:t>
      </w:r>
      <w:r>
        <w:rPr>
          <w:b w:val="0"/>
          <w:i w:val="0"/>
        </w:rPr>
        <w:t xml:space="preserve">, the active force of </w:t>
      </w:r>
      <w:r>
        <w:rPr>
          <w:b w:val="0"/>
          <w:i/>
        </w:rPr>
        <w:t>componant</w:t>
      </w:r>
      <w:r>
        <w:rPr>
          <w:b w:val="0"/>
          <w:i w:val="0"/>
        </w:rPr>
        <w:t xml:space="preserve"> matters to the question how the individual powers could compose the soul, rather than merely be composed themselves.</w:t>
      </w:r>
    </w:p>
    <w:p>
      <w:pPr>
        <w:widowControl/>
      </w:pPr>
      <w:r>
        <w:rPr>
          <w:b w:val="0"/>
          <w:i w:val="0"/>
        </w:rPr>
        <w:t xml:space="preserve">At </w:t>
      </w:r>
      <w:r>
        <w:rPr>
          <w:b/>
          <w:i w:val="0"/>
        </w:rPr>
        <w:t>VIII.13.1</w:t>
      </w:r>
      <w:r>
        <w:rPr>
          <w:b w:val="0"/>
          <w:i w:val="0"/>
        </w:rPr>
        <w:t xml:space="preserve">, the edition explicitly adopts </w:t>
      </w:r>
      <w:r>
        <w:rPr>
          <w:b w:val="0"/>
          <w:i/>
        </w:rPr>
        <w:t>visibilis</w:t>
      </w:r>
      <w:r>
        <w:rPr>
          <w:b w:val="0"/>
          <w:i w:val="0"/>
        </w:rPr>
        <w:t xml:space="preserve"> as an emendation against the reported witness reading </w:t>
      </w:r>
      <w:r>
        <w:rPr>
          <w:b w:val="0"/>
          <w:i/>
        </w:rPr>
        <w:t>invisibilis</w:t>
      </w:r>
      <w:r>
        <w:rPr>
          <w:b w:val="0"/>
          <w:i w:val="0"/>
        </w:rPr>
        <w:t xml:space="preserve">. The lexicon explains the adopted reading as this edition’s text, not as unanimous manuscript or printed-witness testimony. Awkward wording retained at </w:t>
      </w:r>
      <w:r>
        <w:rPr>
          <w:b/>
          <w:i w:val="0"/>
        </w:rPr>
        <w:t>VIII.4.10</w:t>
      </w:r>
      <w:r>
        <w:rPr>
          <w:b w:val="0"/>
          <w:i w:val="0"/>
        </w:rPr>
        <w:t xml:space="preserve"> and </w:t>
      </w:r>
      <w:r>
        <w:rPr>
          <w:b/>
          <w:i w:val="0"/>
        </w:rPr>
        <w:t>VIII.16.4</w:t>
      </w:r>
      <w:r>
        <w:rPr>
          <w:b w:val="0"/>
          <w:i w:val="0"/>
        </w:rPr>
        <w:t xml:space="preserve"> is treated with the source’s stated caution rather than silently rewritten into a supposedly settled Latin original.</w:t>
      </w:r>
    </w:p>
    <w:p>
      <w:pPr>
        <w:widowControl/>
      </w:pPr>
      <w:r>
        <w:rPr>
          <w:b w:val="0"/>
          <w:i w:val="0"/>
        </w:rPr>
        <w:t xml:space="preserve">At </w:t>
      </w:r>
      <w:r>
        <w:rPr>
          <w:b/>
          <w:i w:val="0"/>
        </w:rPr>
        <w:t>V.4.10</w:t>
      </w:r>
      <w:r>
        <w:rPr>
          <w:b w:val="0"/>
          <w:i w:val="0"/>
        </w:rPr>
        <w:t xml:space="preserve"> (PDF </w:t>
      </w:r>
      <w:r>
        <w:rPr>
          <w:b/>
          <w:i w:val="0"/>
        </w:rPr>
        <w:t>24–25</w:t>
      </w:r>
      <w:r>
        <w:rPr>
          <w:b w:val="0"/>
          <w:i w:val="0"/>
        </w:rPr>
        <w:t xml:space="preserve">), the supplied English takes </w:t>
      </w:r>
      <w:r>
        <w:rPr>
          <w:b w:val="0"/>
          <w:i/>
        </w:rPr>
        <w:t>hanc</w:t>
      </w:r>
      <w:r>
        <w:rPr>
          <w:b w:val="0"/>
          <w:i w:val="0"/>
        </w:rPr>
        <w:t xml:space="preserve"> in </w:t>
      </w:r>
      <w:r>
        <w:rPr>
          <w:b w:val="0"/>
          <w:i/>
        </w:rPr>
        <w:t>Hanc format vis ea quae primum movet</w:t>
      </w:r>
      <w:r>
        <w:rPr>
          <w:b w:val="0"/>
          <w:i w:val="0"/>
        </w:rPr>
        <w:t xml:space="preserve"> to refer to the efficient power that forms matter; the apparatus explicitly adopts the same construal (PDF </w:t>
      </w:r>
      <w:r>
        <w:rPr>
          <w:b/>
          <w:i w:val="0"/>
        </w:rPr>
        <w:t>385</w:t>
      </w:r>
      <w:r>
        <w:rPr>
          <w:b w:val="0"/>
          <w:i w:val="0"/>
        </w:rPr>
        <w:t xml:space="preserve">). Both </w:t>
      </w:r>
      <w:r>
        <w:rPr>
          <w:b w:val="0"/>
          <w:i/>
        </w:rPr>
        <w:t>materia</w:t>
      </w:r>
      <w:r>
        <w:rPr>
          <w:b w:val="0"/>
          <w:i w:val="0"/>
        </w:rPr>
        <w:t xml:space="preserve"> and </w:t>
      </w:r>
      <w:r>
        <w:rPr>
          <w:b w:val="0"/>
          <w:i/>
        </w:rPr>
        <w:t>vis</w:t>
      </w:r>
      <w:r>
        <w:rPr>
          <w:b w:val="0"/>
          <w:i w:val="0"/>
        </w:rPr>
        <w:t xml:space="preserve"> are feminine, so morphology alone does not settle the antecedent. This companion records the edition’s adopted interpretation; no typographical error or alternative Latin reading has been established.</w:t>
      </w:r>
    </w:p>
    <w:p>
      <w:pPr>
        <w:widowControl/>
      </w:pPr>
      <w:r>
        <w:rPr>
          <w:b w:val="0"/>
          <w:i w:val="0"/>
        </w:rPr>
        <w:t xml:space="preserve">At </w:t>
      </w:r>
      <w:r>
        <w:rPr>
          <w:b/>
          <w:i w:val="0"/>
        </w:rPr>
        <w:t>VII.15.1</w:t>
      </w:r>
      <w:r>
        <w:rPr>
          <w:b w:val="0"/>
          <w:i w:val="0"/>
        </w:rPr>
        <w:t xml:space="preserve">, </w:t>
      </w:r>
      <w:r>
        <w:rPr>
          <w:b w:val="0"/>
          <w:i/>
        </w:rPr>
        <w:t>mortalium</w:t>
      </w:r>
      <w:r>
        <w:rPr>
          <w:b w:val="0"/>
          <w:i w:val="0"/>
        </w:rPr>
        <w:t xml:space="preserve"> means </w:t>
      </w:r>
      <w:r>
        <w:t>“</w:t>
      </w:r>
      <w:r>
        <w:rPr>
          <w:b w:val="0"/>
          <w:i w:val="0"/>
        </w:rPr>
        <w:t>of mortals</w:t>
      </w:r>
      <w:r>
        <w:t>”</w:t>
      </w:r>
      <w:r>
        <w:rPr>
          <w:b w:val="0"/>
          <w:i w:val="0"/>
        </w:rPr>
        <w:t xml:space="preserve">: the phrase concerns the souls of mortal human beings, not an assertion that their souls are mortal. The supplied English </w:t>
      </w:r>
      <w:r>
        <w:t>“</w:t>
      </w:r>
      <w:r>
        <w:rPr>
          <w:b w:val="0"/>
          <w:i w:val="0"/>
        </w:rPr>
        <w:t>every mortal soul</w:t>
      </w:r>
      <w:r>
        <w:t>”</w:t>
      </w:r>
      <w:r>
        <w:rPr>
          <w:b w:val="0"/>
          <w:i w:val="0"/>
        </w:rPr>
        <w:t xml:space="preserve"> should be read in that possessive sense.</w:t>
      </w:r>
    </w:p>
    <w:p>
      <w:pPr>
        <w:widowControl/>
      </w:pPr>
      <w:r>
        <w:rPr>
          <w:b w:val="0"/>
          <w:i w:val="0"/>
        </w:rPr>
        <w:t xml:space="preserve">At </w:t>
      </w:r>
      <w:r>
        <w:rPr>
          <w:b/>
          <w:i w:val="0"/>
        </w:rPr>
        <w:t>VI.12.12</w:t>
      </w:r>
      <w:r>
        <w:rPr>
          <w:b w:val="0"/>
          <w:i w:val="0"/>
        </w:rPr>
        <w:t xml:space="preserve"> (PDF </w:t>
      </w:r>
      <w:r>
        <w:rPr>
          <w:b/>
          <w:i w:val="0"/>
        </w:rPr>
        <w:t>212–213</w:t>
      </w:r>
      <w:r>
        <w:rPr>
          <w:b w:val="0"/>
          <w:i w:val="0"/>
        </w:rPr>
        <w:t xml:space="preserve">), the stark phrase </w:t>
      </w:r>
      <w:r>
        <w:rPr>
          <w:b w:val="0"/>
          <w:i/>
        </w:rPr>
        <w:t>non cognitivo, ignorat enim se ipsam</w:t>
      </w:r>
      <w:r>
        <w:rPr>
          <w:b w:val="0"/>
          <w:i w:val="0"/>
        </w:rPr>
        <w:t xml:space="preserve">, </w:t>
      </w:r>
      <w:r>
        <w:t>“</w:t>
      </w:r>
      <w:r>
        <w:rPr>
          <w:b w:val="0"/>
          <w:i w:val="0"/>
        </w:rPr>
        <w:t>not cognitive, for it does not know itself,</w:t>
      </w:r>
      <w:r>
        <w:t>”</w:t>
      </w:r>
      <w:r>
        <w:rPr>
          <w:b w:val="0"/>
          <w:i w:val="0"/>
        </w:rPr>
        <w:t xml:space="preserve"> is retained. The context distinguishes constant essential life from intermittent cognitive acts. It does not authorize inserting </w:t>
      </w:r>
      <w:r>
        <w:t>“</w:t>
      </w:r>
      <w:r>
        <w:rPr>
          <w:b w:val="0"/>
          <w:i w:val="0"/>
        </w:rPr>
        <w:t>always</w:t>
      </w:r>
      <w:r>
        <w:t>”</w:t>
      </w:r>
      <w:r>
        <w:rPr>
          <w:b w:val="0"/>
          <w:i w:val="0"/>
        </w:rPr>
        <w:t xml:space="preserve"> into the sentence or denying every possible act of self-reflection. The reported </w:t>
      </w:r>
      <w:r>
        <w:t>“</w:t>
      </w:r>
      <w:r>
        <w:rPr>
          <w:b w:val="0"/>
          <w:i w:val="0"/>
        </w:rPr>
        <w:t>life generating itself</w:t>
      </w:r>
      <w:r>
        <w:t>”</w:t>
      </w:r>
      <w:r>
        <w:rPr>
          <w:b w:val="0"/>
          <w:i w:val="0"/>
        </w:rPr>
        <w:t xml:space="preserve"> belongs to VI.12.10’s vital progression, while VI.12.14 expressly excludes finite self-generation. VIII.15.2’s strong formulation </w:t>
      </w:r>
      <w:r>
        <w:rPr>
          <w:b w:val="0"/>
          <w:i/>
        </w:rPr>
        <w:t>semper intelligendo atque volendo</w:t>
      </w:r>
      <w:r>
        <w:rPr>
          <w:b w:val="0"/>
          <w:i w:val="0"/>
        </w:rPr>
        <w:t xml:space="preserve"> remains visible alongside this distinction; it is not silently harmonized into a claim of uninterrupted conscious attention.</w:t>
      </w:r>
    </w:p>
    <w:p>
      <w:pPr>
        <w:widowControl/>
      </w:pPr>
      <w:r>
        <w:rPr>
          <w:b w:val="0"/>
          <w:i w:val="0"/>
        </w:rPr>
        <w:t xml:space="preserve">At </w:t>
      </w:r>
      <w:r>
        <w:rPr>
          <w:b/>
          <w:i w:val="0"/>
        </w:rPr>
        <w:t>VI.13.8</w:t>
      </w:r>
      <w:r>
        <w:rPr>
          <w:b w:val="0"/>
          <w:i w:val="0"/>
        </w:rPr>
        <w:t xml:space="preserve"> (PDF </w:t>
      </w:r>
      <w:r>
        <w:rPr>
          <w:b/>
          <w:i w:val="0"/>
        </w:rPr>
        <w:t>226–227</w:t>
      </w:r>
      <w:r>
        <w:rPr>
          <w:b w:val="0"/>
          <w:i w:val="0"/>
        </w:rPr>
        <w:t xml:space="preserve">), </w:t>
      </w:r>
      <w:r>
        <w:t>“</w:t>
      </w:r>
      <w:r>
        <w:rPr>
          <w:b w:val="0"/>
          <w:i w:val="0"/>
        </w:rPr>
        <w:t>unity beyond number</w:t>
      </w:r>
      <w:r>
        <w:t>”</w:t>
      </w:r>
      <w:r>
        <w:rPr>
          <w:b w:val="0"/>
          <w:i w:val="0"/>
        </w:rPr>
        <w:t xml:space="preserve"> interprets the retained </w:t>
      </w:r>
      <w:r>
        <w:rPr>
          <w:b w:val="0"/>
          <w:i/>
        </w:rPr>
        <w:t>innumeralis</w:t>
      </w:r>
      <w:r>
        <w:rPr>
          <w:b w:val="0"/>
          <w:i w:val="0"/>
        </w:rPr>
        <w:t xml:space="preserve">, reported in M1482 and G1559 against P1641’s </w:t>
      </w:r>
      <w:r>
        <w:rPr>
          <w:b w:val="0"/>
          <w:i/>
        </w:rPr>
        <w:t>innumerabilis</w:t>
      </w:r>
      <w:r>
        <w:rPr>
          <w:b w:val="0"/>
          <w:i w:val="0"/>
        </w:rPr>
        <w:t>. The apparatus explains this through continuity beyond the sequence of counted material replacements. This is an interpretive gloss, not an unambiguous technical equivalent or an assertion that the body contains an actually infinite number of components.</w:t>
      </w:r>
    </w:p>
    <w:p>
      <w:pPr>
        <w:widowControl/>
      </w:pPr>
      <w:r>
        <w:rPr>
          <w:b w:val="0"/>
          <w:i w:val="0"/>
        </w:rPr>
        <w:t xml:space="preserve">The printed chapter-number error at </w:t>
      </w:r>
      <w:r>
        <w:rPr>
          <w:b/>
          <w:i w:val="0"/>
        </w:rPr>
        <w:t>VIII.11</w:t>
      </w:r>
      <w:r>
        <w:rPr>
          <w:b w:val="0"/>
          <w:i w:val="0"/>
        </w:rPr>
        <w:t xml:space="preserve"> is corrected in the supplied edition from the eleventh-argument rubric and the surrounding sequence. The companion follows that numbering; no chapter is missing from its argument map.</w:t>
      </w:r>
    </w:p>
    <w:p>
      <w:pPr>
        <w:pStyle w:val="Heading2"/>
      </w:pPr>
      <w:bookmarkStart w:id="2021" w:name="translation-and-terminology"/>
      <w:r>
        <w:rPr>
          <w:b w:val="0"/>
          <w:i w:val="0"/>
        </w:rPr>
        <w:t>Translation and terminology</w:t>
      </w:r>
      <w:bookmarkEnd w:id="2021"/>
    </w:p>
    <w:p>
      <w:pPr>
        <w:widowControl/>
      </w:pPr>
      <w:r>
        <w:rPr>
          <w:b w:val="0"/>
          <w:i w:val="0"/>
        </w:rPr>
        <w:t xml:space="preserve">The purpose of this companion is to make distinctions accessible. Variation among </w:t>
      </w:r>
      <w:r>
        <w:t>“</w:t>
      </w:r>
      <w:r>
        <w:rPr>
          <w:b w:val="0"/>
          <w:i w:val="0"/>
        </w:rPr>
        <w:t>act,</w:t>
      </w:r>
      <w:r>
        <w:t>”</w:t>
      </w:r>
      <w:r>
        <w:rPr>
          <w:b w:val="0"/>
          <w:i w:val="0"/>
        </w:rPr>
        <w:t xml:space="preserve"> </w:t>
      </w:r>
      <w:r>
        <w:t>“</w:t>
      </w:r>
      <w:r>
        <w:rPr>
          <w:b w:val="0"/>
          <w:i w:val="0"/>
        </w:rPr>
        <w:t>activity,</w:t>
      </w:r>
      <w:r>
        <w:t>”</w:t>
      </w:r>
      <w:r>
        <w:rPr>
          <w:b w:val="0"/>
          <w:i w:val="0"/>
        </w:rPr>
        <w:t xml:space="preserve"> </w:t>
      </w:r>
      <w:r>
        <w:t>“</w:t>
      </w:r>
      <w:r>
        <w:rPr>
          <w:b w:val="0"/>
          <w:i w:val="0"/>
        </w:rPr>
        <w:t>operation,</w:t>
      </w:r>
      <w:r>
        <w:t>”</w:t>
      </w:r>
      <w:r>
        <w:rPr>
          <w:b w:val="0"/>
          <w:i w:val="0"/>
        </w:rPr>
        <w:t xml:space="preserve"> </w:t>
      </w:r>
      <w:r>
        <w:t>“</w:t>
      </w:r>
      <w:r>
        <w:rPr>
          <w:b w:val="0"/>
          <w:i w:val="0"/>
        </w:rPr>
        <w:t>form,</w:t>
      </w:r>
      <w:r>
        <w:t>”</w:t>
      </w:r>
      <w:r>
        <w:rPr>
          <w:b w:val="0"/>
          <w:i w:val="0"/>
        </w:rPr>
        <w:t xml:space="preserve"> </w:t>
      </w:r>
      <w:r>
        <w:t>“</w:t>
      </w:r>
      <w:r>
        <w:rPr>
          <w:b w:val="0"/>
          <w:i w:val="0"/>
        </w:rPr>
        <w:t>species,</w:t>
      </w:r>
      <w:r>
        <w:t>”</w:t>
      </w:r>
      <w:r>
        <w:rPr>
          <w:b w:val="0"/>
          <w:i w:val="0"/>
        </w:rPr>
        <w:t xml:space="preserve"> </w:t>
      </w:r>
      <w:r>
        <w:t>“</w:t>
      </w:r>
      <w:r>
        <w:rPr>
          <w:b w:val="0"/>
          <w:i w:val="0"/>
        </w:rPr>
        <w:t>reason,</w:t>
      </w:r>
      <w:r>
        <w:t>”</w:t>
      </w:r>
      <w:r>
        <w:rPr>
          <w:b w:val="0"/>
          <w:i w:val="0"/>
        </w:rPr>
        <w:t xml:space="preserve"> </w:t>
      </w:r>
      <w:r>
        <w:t>“</w:t>
      </w:r>
      <w:r>
        <w:rPr>
          <w:b w:val="0"/>
          <w:i w:val="0"/>
        </w:rPr>
        <w:t>principle,</w:t>
      </w:r>
      <w:r>
        <w:t>”</w:t>
      </w:r>
      <w:r>
        <w:rPr>
          <w:b w:val="0"/>
          <w:i w:val="0"/>
        </w:rPr>
        <w:t xml:space="preserve"> </w:t>
      </w:r>
      <w:r>
        <w:t>“</w:t>
      </w:r>
      <w:r>
        <w:rPr>
          <w:b w:val="0"/>
          <w:i w:val="0"/>
        </w:rPr>
        <w:t>power</w:t>
      </w:r>
      <w:r>
        <w:t>”</w:t>
      </w:r>
      <w:r>
        <w:rPr>
          <w:b w:val="0"/>
          <w:i w:val="0"/>
        </w:rPr>
        <w:t xml:space="preserve"> and </w:t>
      </w:r>
      <w:r>
        <w:t>“</w:t>
      </w:r>
      <w:r>
        <w:rPr>
          <w:b w:val="0"/>
          <w:i w:val="0"/>
        </w:rPr>
        <w:t>potency</w:t>
      </w:r>
      <w:r>
        <w:t>”</w:t>
      </w:r>
      <w:r>
        <w:rPr>
          <w:b w:val="0"/>
          <w:i w:val="0"/>
        </w:rPr>
        <w:t xml:space="preserve"> is assessed in its local context. It is not assumed to be inconsistency simply because one Latin word can have more than one English equivalent or more than one Latin construction can share an English word.</w:t>
      </w:r>
    </w:p>
    <w:p>
      <w:pPr>
        <w:widowControl/>
      </w:pPr>
      <w:r>
        <w:rPr>
          <w:b w:val="0"/>
          <w:i w:val="0"/>
        </w:rPr>
        <w:t xml:space="preserve">In particular, </w:t>
      </w:r>
      <w:r>
        <w:t>“</w:t>
      </w:r>
      <w:r>
        <w:rPr>
          <w:b w:val="0"/>
          <w:i w:val="0"/>
        </w:rPr>
        <w:t>first cause,</w:t>
      </w:r>
      <w:r>
        <w:t>”</w:t>
      </w:r>
      <w:r>
        <w:rPr>
          <w:b w:val="0"/>
          <w:i w:val="0"/>
        </w:rPr>
        <w:t xml:space="preserve"> </w:t>
      </w:r>
      <w:r>
        <w:t>“</w:t>
      </w:r>
      <w:r>
        <w:rPr>
          <w:b w:val="0"/>
          <w:i w:val="0"/>
        </w:rPr>
        <w:t>first principle</w:t>
      </w:r>
      <w:r>
        <w:t>”</w:t>
      </w:r>
      <w:r>
        <w:rPr>
          <w:b w:val="0"/>
          <w:i w:val="0"/>
        </w:rPr>
        <w:t xml:space="preserve"> and </w:t>
      </w:r>
      <w:r>
        <w:t>“</w:t>
      </w:r>
      <w:r>
        <w:rPr>
          <w:b w:val="0"/>
          <w:i w:val="0"/>
        </w:rPr>
        <w:t>principal cause</w:t>
      </w:r>
      <w:r>
        <w:t>”</w:t>
      </w:r>
      <w:r>
        <w:rPr>
          <w:b w:val="0"/>
          <w:i w:val="0"/>
        </w:rPr>
        <w:t xml:space="preserve"> consistently reflect distinct Latin descriptions in the passages examined. </w:t>
      </w:r>
      <w:r>
        <w:t>“</w:t>
      </w:r>
      <w:r>
        <w:rPr>
          <w:b w:val="0"/>
          <w:i w:val="0"/>
        </w:rPr>
        <w:t>Primary cause</w:t>
      </w:r>
      <w:r>
        <w:t>”</w:t>
      </w:r>
      <w:r>
        <w:rPr>
          <w:b w:val="0"/>
          <w:i w:val="0"/>
        </w:rPr>
        <w:t xml:space="preserve"> is not an exact phrase in the supplied Volume II. The extended First Cause article explains how that possible English label can be understood without proposing a correction to the translation.</w:t>
      </w:r>
    </w:p>
    <w:p>
      <w:pPr>
        <w:pStyle w:val="Heading2"/>
      </w:pPr>
      <w:bookmarkStart w:id="2022" w:name="format-and-review-statement"/>
      <w:r>
        <w:rPr>
          <w:b w:val="0"/>
          <w:i w:val="0"/>
        </w:rPr>
        <w:t>Format and review statement</w:t>
      </w:r>
      <w:bookmarkEnd w:id="2022"/>
    </w:p>
    <w:p>
      <w:pPr>
        <w:widowControl/>
      </w:pPr>
      <w:r>
        <w:rPr>
          <w:b w:val="0"/>
          <w:i w:val="0"/>
        </w:rPr>
        <w:t>The Markdown is the textual master for the DOCX, PDF and EPUB. The PDF is rendered from the DOCX; the EPUB is a reflowable edition with embedded fonts. The release checks compare the canonical body and footnote text across formats, test internal links and article-directory page references, and inspect every rendered PDF page.</w:t>
      </w:r>
    </w:p>
    <w:p>
      <w:pPr>
        <w:widowControl/>
      </w:pPr>
      <w:r>
        <w:rPr>
          <w:b w:val="0"/>
          <w:i w:val="0"/>
        </w:rPr>
        <w:t>The EPUB receives structural, navigation, text-parity and font-coverage checks. No dedicated ebook-reading application or EPUBCheck is available in the production environment, so actual reading-app behaviour is not claimed to have been tested. Page breaks in the reflowable edition depend on the reader’s software and settings.</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widowControl/>
        <w:spacing w:after="60"/>
      </w:pPr>
      <w:r>
        <w:footnoteRef/>
        <w:t xml:space="preserve"> </w:t>
      </w:r>
      <w:r>
        <w:rPr>
          <w:b w:val="0"/>
          <w:i w:val="0"/>
          <w:sz w:val="18"/>
        </w:rPr>
        <w:t xml:space="preserve">Marsilio Ficino, </w:t>
      </w:r>
      <w:r>
        <w:rPr>
          <w:b w:val="0"/>
          <w:i/>
          <w:sz w:val="18"/>
        </w:rPr>
        <w:t>Platonic Theology on the Immortality of Souls</w:t>
      </w:r>
      <w:r>
        <w:rPr>
          <w:b w:val="0"/>
          <w:i w:val="0"/>
          <w:sz w:val="18"/>
        </w:rPr>
        <w:t>, Volume II, Books V–VIII, supplied Diotimos bilingual edition, source PDF pp. 2, 5, 381–451 and 453–461. The witness descriptions and readings are the source edition’s reports; this companion does not claim a new collation.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DejaVu Serif" w:hAnsi="DejaVu Serif"/>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erif" w:hAnsi="DejaVu Serif"/>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erif" w:hAnsi="DejaVu Serif"/>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cstheme="majorBidi" w:ascii="DejaVu Serif" w:hAnsi="DejaVu Serif"/>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cstheme="majorBidi" w:ascii="DejaVu Serif" w:hAnsi="DejaVu Serif"/>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80" w:after="160"/>
      <w:outlineLvl w:val="2"/>
    </w:pPr>
    <w:rPr>
      <w:rFonts w:cstheme="majorBidi" w:ascii="DejaVu Serif" w:hAnsi="DejaVu Serif"/>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DejaVu Serif" w:hAnsi="DejaVu Serif"/>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DejaVu Serif" w:hAnsi="DejaVu Serif"/>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DejaVu Serif" w:hAnsi="DejaVu Serif"/>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DejaVu Serif" w:hAnsi="DejaVu Serif"/>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DejaVu Serif" w:hAnsi="DejaVu Serif"/>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DejaVu Serif" w:hAnsi="DejaVu Serif"/>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ejaVu Serif" w:hAnsi="DejaVu Serif"/>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80"/>
      <w:contextualSpacing/>
    </w:pPr>
    <w:rPr>
      <w:rFonts w:cstheme="majorBidi" w:ascii="DejaVu Serif" w:hAnsi="DejaVu Serif"/>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60"/>
    </w:pPr>
    <w:rPr>
      <w:rFonts w:cstheme="majorBidi" w:ascii="DejaVu Serif" w:hAnsi="DejaVu Serif"/>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DejaVu Serif" w:hAnsi="DejaVu Serif"/>
      <w:color w:val="000000"/>
    </w:rPr>
  </w:style>
  <w:style w:type="paragraph" w:styleId="BodyText">
    <w:name w:val="Body Text"/>
    <w:basedOn w:val="Normal"/>
    <w:link w:val="BodyTextChar"/>
    <w:uiPriority w:val="99"/>
    <w:unhideWhenUsed/>
    <w:rsid w:val="00AA1D8D"/>
    <w:pPr>
      <w:spacing w:after="120"/>
    </w:pPr>
    <w:rPr>
      <w:rFonts w:ascii="DejaVu Serif" w:hAnsi="DejaVu Serif"/>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DejaVu Serif" w:hAnsi="DejaVu Serif"/>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DejaVu Serif" w:hAnsi="DejaVu Serif"/>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DejaVu Serif" w:hAnsi="DejaVu Serif"/>
      <w:color w:val="000000"/>
    </w:rPr>
  </w:style>
  <w:style w:type="paragraph" w:styleId="List2">
    <w:name w:val="List 2"/>
    <w:basedOn w:val="Normal"/>
    <w:uiPriority w:val="99"/>
    <w:unhideWhenUsed/>
    <w:rsid w:val="00326F90"/>
    <w:pPr>
      <w:ind w:left="720" w:hanging="360"/>
      <w:contextualSpacing/>
    </w:pPr>
    <w:rPr>
      <w:rFonts w:ascii="DejaVu Serif" w:hAnsi="DejaVu Serif"/>
      <w:color w:val="000000"/>
    </w:rPr>
  </w:style>
  <w:style w:type="paragraph" w:styleId="List3">
    <w:name w:val="List 3"/>
    <w:basedOn w:val="Normal"/>
    <w:uiPriority w:val="99"/>
    <w:unhideWhenUsed/>
    <w:rsid w:val="00326F90"/>
    <w:pPr>
      <w:ind w:left="1080" w:hanging="360"/>
      <w:contextualSpacing/>
    </w:pPr>
    <w:rPr>
      <w:rFonts w:ascii="DejaVu Serif" w:hAnsi="DejaVu Serif"/>
      <w:color w:val="000000"/>
    </w:rPr>
  </w:style>
  <w:style w:type="paragraph" w:styleId="ListBullet">
    <w:name w:val="List Bullet"/>
    <w:basedOn w:val="Normal"/>
    <w:uiPriority w:val="99"/>
    <w:unhideWhenUsed/>
    <w:rsid w:val="00326F90"/>
    <w:pPr>
      <w:numPr>
        <w:numId w:val="1"/>
      </w:numPr>
      <w:contextualSpacing/>
    </w:pPr>
    <w:rPr>
      <w:rFonts w:ascii="DejaVu Serif" w:hAnsi="DejaVu Serif"/>
      <w:color w:val="000000"/>
    </w:rPr>
  </w:style>
  <w:style w:type="paragraph" w:styleId="ListBullet2">
    <w:name w:val="List Bullet 2"/>
    <w:basedOn w:val="Normal"/>
    <w:uiPriority w:val="99"/>
    <w:unhideWhenUsed/>
    <w:rsid w:val="00326F90"/>
    <w:pPr>
      <w:numPr>
        <w:numId w:val="2"/>
      </w:numPr>
      <w:contextualSpacing/>
    </w:pPr>
    <w:rPr>
      <w:rFonts w:ascii="DejaVu Serif" w:hAnsi="DejaVu Serif"/>
      <w:color w:val="000000"/>
    </w:rPr>
  </w:style>
  <w:style w:type="paragraph" w:styleId="ListBullet3">
    <w:name w:val="List Bullet 3"/>
    <w:basedOn w:val="Normal"/>
    <w:uiPriority w:val="99"/>
    <w:unhideWhenUsed/>
    <w:rsid w:val="00326F90"/>
    <w:pPr>
      <w:numPr>
        <w:numId w:val="3"/>
      </w:numPr>
      <w:contextualSpacing/>
    </w:pPr>
    <w:rPr>
      <w:rFonts w:ascii="DejaVu Serif" w:hAnsi="DejaVu Serif"/>
      <w:color w:val="000000"/>
    </w:rPr>
  </w:style>
  <w:style w:type="paragraph" w:styleId="ListNumber">
    <w:name w:val="List Number"/>
    <w:basedOn w:val="Normal"/>
    <w:uiPriority w:val="99"/>
    <w:unhideWhenUsed/>
    <w:rsid w:val="00326F90"/>
    <w:pPr>
      <w:numPr>
        <w:numId w:val="5"/>
      </w:numPr>
      <w:contextualSpacing/>
    </w:pPr>
    <w:rPr>
      <w:rFonts w:ascii="DejaVu Serif" w:hAnsi="DejaVu Serif"/>
      <w:color w:val="000000"/>
    </w:rPr>
  </w:style>
  <w:style w:type="paragraph" w:styleId="ListNumber2">
    <w:name w:val="List Number 2"/>
    <w:basedOn w:val="Normal"/>
    <w:uiPriority w:val="99"/>
    <w:unhideWhenUsed/>
    <w:rsid w:val="0029639D"/>
    <w:pPr>
      <w:numPr>
        <w:numId w:val="6"/>
      </w:numPr>
      <w:contextualSpacing/>
    </w:pPr>
    <w:rPr>
      <w:rFonts w:ascii="DejaVu Serif" w:hAnsi="DejaVu Serif"/>
      <w:color w:val="000000"/>
    </w:rPr>
  </w:style>
  <w:style w:type="paragraph" w:styleId="ListNumber3">
    <w:name w:val="List Number 3"/>
    <w:basedOn w:val="Normal"/>
    <w:uiPriority w:val="99"/>
    <w:unhideWhenUsed/>
    <w:rsid w:val="0029639D"/>
    <w:pPr>
      <w:numPr>
        <w:numId w:val="7"/>
      </w:numPr>
      <w:contextualSpacing/>
    </w:pPr>
    <w:rPr>
      <w:rFonts w:ascii="DejaVu Serif" w:hAnsi="DejaVu Serif"/>
      <w:color w:val="000000"/>
    </w:rPr>
  </w:style>
  <w:style w:type="paragraph" w:styleId="ListContinue">
    <w:name w:val="List Continue"/>
    <w:basedOn w:val="Normal"/>
    <w:uiPriority w:val="99"/>
    <w:unhideWhenUsed/>
    <w:rsid w:val="0029639D"/>
    <w:pPr>
      <w:spacing w:after="120"/>
      <w:ind w:left="360"/>
      <w:contextualSpacing/>
    </w:pPr>
    <w:rPr>
      <w:rFonts w:ascii="DejaVu Serif" w:hAnsi="DejaVu Serif"/>
      <w:color w:val="000000"/>
    </w:rPr>
  </w:style>
  <w:style w:type="paragraph" w:styleId="ListContinue2">
    <w:name w:val="List Continue 2"/>
    <w:basedOn w:val="Normal"/>
    <w:uiPriority w:val="99"/>
    <w:unhideWhenUsed/>
    <w:rsid w:val="0029639D"/>
    <w:pPr>
      <w:spacing w:after="120"/>
      <w:ind w:left="720"/>
      <w:contextualSpacing/>
    </w:pPr>
    <w:rPr>
      <w:rFonts w:ascii="DejaVu Serif" w:hAnsi="DejaVu Serif"/>
      <w:color w:val="000000"/>
    </w:rPr>
  </w:style>
  <w:style w:type="paragraph" w:styleId="ListContinue3">
    <w:name w:val="List Continue 3"/>
    <w:basedOn w:val="Normal"/>
    <w:uiPriority w:val="99"/>
    <w:unhideWhenUsed/>
    <w:rsid w:val="0029639D"/>
    <w:pPr>
      <w:spacing w:after="120"/>
      <w:ind w:left="1080"/>
      <w:contextualSpacing/>
    </w:pPr>
    <w:rPr>
      <w:rFonts w:ascii="DejaVu Serif" w:hAnsi="DejaVu Serif"/>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ejaVu Serif" w:hAnsi="DejaVu Serif"/>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DejaVu Serif" w:hAnsi="DejaVu Serif"/>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DejaVu Serif" w:hAnsi="DejaVu Serif"/>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DejaVu Serif" w:hAnsi="DejaVu Serif"/>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DejaVu Serif" w:hAnsi="DejaVu Serif"/>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dz-nbn-resolving.de/urn:nbn:de:bvb:12-bsb00066894-9" TargetMode="External"/><Relationship Id="rId11" Type="http://schemas.openxmlformats.org/officeDocument/2006/relationships/hyperlink" Target="https://patrimoniodigital.ucm.es/s/patrimonio/item/645358" TargetMode="External"/><Relationship Id="rId12" Type="http://schemas.openxmlformats.org/officeDocument/2006/relationships/hyperlink" Target="https://archive.org/details/BIUSante_01177x01" TargetMode="External"/><Relationship Id="rIdFootnotesRevision"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Ficino Platonic Theology Volume II Lexicon</dc:title>
  <dc:subject>Books V–VIII; supplied Diotimos bilingual edition</dc:subject>
  <dc:creator/>
  <cp:keywords>Ficino, Platonic Theology, Latin, lexicon</cp:keywords>
  <dc:description>Philological and philosophical reading companion; Volume II reading companion</dc:description>
  <cp:lastModifiedBy/>
  <cp:revision>1</cp:revision>
  <dcterms:created xsi:type="dcterms:W3CDTF">2026-10-14T21:45:47Z</dcterms:created>
  <dcterms:modified xsi:type="dcterms:W3CDTF">2026-10-14T21:45:47Z</dcterms:modified>
  <cp:category/>
</cp:coreProperties>
</file>